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ink/ink1.xml" ContentType="application/inkml+xml"/>
  <Override PartName="/word/ink/ink2.xml" ContentType="application/inkml+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style1.xml" ContentType="application/vnd.ms-office.chartstyle+xml"/>
  <Override PartName="/word/charts/colors1.xml" ContentType="application/vnd.ms-office.chartcolorstyle+xml"/>
  <Override PartName="/word/header2.xml" ContentType="application/vnd.openxmlformats-officedocument.wordprocessingml.head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ink/ink3.xml" ContentType="application/inkml+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3C31C0" w14:textId="52076D6C" w:rsidR="00EB5A4F" w:rsidRPr="00D32CB0" w:rsidRDefault="00EB5A4F" w:rsidP="00EB5A4F">
      <w:pPr>
        <w:spacing w:line="360" w:lineRule="auto"/>
        <w:rPr>
          <w:b/>
          <w:color w:val="FFFFFF" w:themeColor="background1"/>
          <w:sz w:val="56"/>
          <w:szCs w:val="56"/>
        </w:rPr>
      </w:pPr>
      <w:r w:rsidRPr="00D32CB0">
        <w:rPr>
          <w:rFonts w:ascii="Times New Roman" w:eastAsia="Times New Roman" w:hAnsi="Times New Roman"/>
          <w:noProof/>
          <w:sz w:val="24"/>
          <w:lang w:val="en-US"/>
        </w:rPr>
        <w:drawing>
          <wp:anchor distT="0" distB="0" distL="114300" distR="114300" simplePos="0" relativeHeight="251633663" behindDoc="1" locked="0" layoutInCell="1" allowOverlap="1" wp14:anchorId="11A24451" wp14:editId="618DEC2D">
            <wp:simplePos x="0" y="0"/>
            <wp:positionH relativeFrom="margin">
              <wp:posOffset>-570230</wp:posOffset>
            </wp:positionH>
            <wp:positionV relativeFrom="paragraph">
              <wp:posOffset>-823595</wp:posOffset>
            </wp:positionV>
            <wp:extent cx="6621780" cy="7023100"/>
            <wp:effectExtent l="0" t="0" r="7620" b="6350"/>
            <wp:wrapNone/>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DD+-PORTADAS-mod-janibel.jpg"/>
                    <pic:cNvPicPr/>
                  </pic:nvPicPr>
                  <pic:blipFill>
                    <a:blip r:embed="rId11">
                      <a:extLst>
                        <a:ext uri="{28A0092B-C50C-407E-A947-70E740481C1C}">
                          <a14:useLocalDpi xmlns:a14="http://schemas.microsoft.com/office/drawing/2010/main" val="0"/>
                        </a:ext>
                      </a:extLst>
                    </a:blip>
                    <a:stretch>
                      <a:fillRect/>
                    </a:stretch>
                  </pic:blipFill>
                  <pic:spPr>
                    <a:xfrm>
                      <a:off x="0" y="0"/>
                      <a:ext cx="6621780" cy="7023100"/>
                    </a:xfrm>
                    <a:prstGeom prst="rect">
                      <a:avLst/>
                    </a:prstGeom>
                  </pic:spPr>
                </pic:pic>
              </a:graphicData>
            </a:graphic>
            <wp14:sizeRelH relativeFrom="margin">
              <wp14:pctWidth>0</wp14:pctWidth>
            </wp14:sizeRelH>
            <wp14:sizeRelV relativeFrom="margin">
              <wp14:pctHeight>0</wp14:pctHeight>
            </wp14:sizeRelV>
          </wp:anchor>
        </w:drawing>
      </w:r>
    </w:p>
    <w:p w14:paraId="2BDF1A33" w14:textId="09E249AC" w:rsidR="00BC3829" w:rsidRDefault="00BC3829" w:rsidP="00BC3829">
      <w:pPr>
        <w:spacing w:line="360" w:lineRule="auto"/>
      </w:pPr>
    </w:p>
    <w:p w14:paraId="336EBDEF" w14:textId="3FEE3490" w:rsidR="00BC3829" w:rsidRDefault="00BC3829" w:rsidP="00BC3829">
      <w:pPr>
        <w:spacing w:line="360" w:lineRule="auto"/>
      </w:pPr>
    </w:p>
    <w:p w14:paraId="2E939D44" w14:textId="0FEFBF5B" w:rsidR="00BC3829" w:rsidRDefault="00BC3829" w:rsidP="00BC3829">
      <w:pPr>
        <w:tabs>
          <w:tab w:val="left" w:pos="3088"/>
        </w:tabs>
        <w:spacing w:line="360" w:lineRule="auto"/>
      </w:pPr>
      <w:r>
        <w:rPr>
          <w:rFonts w:ascii="Times New Roman" w:eastAsia="Times New Roman" w:hAnsi="Times New Roman"/>
          <w:sz w:val="24"/>
        </w:rPr>
        <w:tab/>
        <w:t xml:space="preserve">                              </w:t>
      </w:r>
      <w:r>
        <w:rPr>
          <w:rFonts w:ascii="Times New Roman" w:eastAsia="Times New Roman" w:hAnsi="Times New Roman"/>
          <w:sz w:val="24"/>
        </w:rPr>
        <w:tab/>
        <w:t xml:space="preserve">         </w:t>
      </w:r>
    </w:p>
    <w:p w14:paraId="7B8CAEE4" w14:textId="77777777" w:rsidR="00BC3829" w:rsidRDefault="00BC3829" w:rsidP="009A27ED">
      <w:pPr>
        <w:tabs>
          <w:tab w:val="left" w:pos="3088"/>
        </w:tabs>
        <w:spacing w:line="360" w:lineRule="auto"/>
        <w:jc w:val="center"/>
      </w:pPr>
    </w:p>
    <w:p w14:paraId="02687B9E" w14:textId="77777777" w:rsidR="00BE0548" w:rsidRDefault="00BC3829" w:rsidP="009A27ED">
      <w:pPr>
        <w:spacing w:line="360" w:lineRule="auto"/>
        <w:jc w:val="center"/>
        <w:rPr>
          <w:rFonts w:ascii="Times New Roman" w:eastAsia="Times New Roman" w:hAnsi="Times New Roman"/>
          <w:b/>
          <w:color w:val="FFFFFF" w:themeColor="background1"/>
          <w:sz w:val="24"/>
          <w:szCs w:val="36"/>
        </w:rPr>
      </w:pPr>
      <w:r w:rsidRPr="00BE0548">
        <w:rPr>
          <w:rFonts w:ascii="Times New Roman" w:eastAsia="Times New Roman" w:hAnsi="Times New Roman"/>
          <w:b/>
          <w:color w:val="FFFFFF" w:themeColor="background1"/>
          <w:sz w:val="24"/>
          <w:szCs w:val="36"/>
        </w:rPr>
        <w:t xml:space="preserve">REDUCCIÓN DE EMISIONES POR DEGRADACIÓN Y DEFORESTACIÓN </w:t>
      </w:r>
    </w:p>
    <w:p w14:paraId="12BBBCDA" w14:textId="5C689856" w:rsidR="00BE0548" w:rsidRPr="00BE0548" w:rsidRDefault="00BE0548" w:rsidP="009A27ED">
      <w:pPr>
        <w:spacing w:line="360" w:lineRule="auto"/>
        <w:jc w:val="center"/>
        <w:rPr>
          <w:rFonts w:ascii="Times New Roman" w:eastAsia="Times New Roman" w:hAnsi="Times New Roman"/>
          <w:b/>
          <w:color w:val="FFFFFF" w:themeColor="background1"/>
          <w:sz w:val="24"/>
          <w:szCs w:val="36"/>
        </w:rPr>
      </w:pPr>
      <w:r w:rsidRPr="009A27ED">
        <w:rPr>
          <w:rFonts w:ascii="Times New Roman" w:eastAsia="Times New Roman" w:hAnsi="Times New Roman"/>
          <w:noProof/>
          <w:sz w:val="24"/>
          <w:lang w:val="en-US"/>
        </w:rPr>
        <mc:AlternateContent>
          <mc:Choice Requires="wps">
            <w:drawing>
              <wp:anchor distT="228600" distB="228600" distL="228600" distR="228600" simplePos="0" relativeHeight="251773952" behindDoc="1" locked="0" layoutInCell="1" allowOverlap="1" wp14:anchorId="6A823E06" wp14:editId="0A7F326C">
                <wp:simplePos x="0" y="0"/>
                <wp:positionH relativeFrom="margin">
                  <wp:posOffset>-508000</wp:posOffset>
                </wp:positionH>
                <wp:positionV relativeFrom="margin">
                  <wp:posOffset>2869565</wp:posOffset>
                </wp:positionV>
                <wp:extent cx="6065520" cy="654685"/>
                <wp:effectExtent l="0" t="0" r="0" b="0"/>
                <wp:wrapSquare wrapText="bothSides"/>
                <wp:docPr id="37" name="Cuadro de texto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654685"/>
                        </a:xfrm>
                        <a:prstGeom prst="rect">
                          <a:avLst/>
                        </a:prstGeom>
                        <a:solidFill>
                          <a:schemeClr val="accent2"/>
                        </a:solidFill>
                        <a:ln>
                          <a:noFill/>
                        </a:ln>
                      </wps:spPr>
                      <wps:txbx>
                        <w:txbxContent>
                          <w:p w14:paraId="4FF2F677" w14:textId="428B4266" w:rsidR="00DF3AFC" w:rsidRDefault="00DF3AFC" w:rsidP="00BC3829">
                            <w:pPr>
                              <w:jc w:val="center"/>
                              <w:rPr>
                                <w:b/>
                                <w:sz w:val="36"/>
                                <w:szCs w:val="36"/>
                              </w:rPr>
                            </w:pPr>
                            <w:r>
                              <w:rPr>
                                <w:b/>
                                <w:sz w:val="36"/>
                                <w:szCs w:val="36"/>
                              </w:rPr>
                              <w:t>Marco de Gestión Ambiental y Social</w:t>
                            </w:r>
                          </w:p>
                          <w:p w14:paraId="36E602F4" w14:textId="77777777" w:rsidR="00DF3AFC" w:rsidRPr="00E2427D" w:rsidRDefault="00DF3AFC" w:rsidP="00BC3829">
                            <w:pPr>
                              <w:spacing w:before="27"/>
                              <w:ind w:left="485"/>
                              <w:jc w:val="center"/>
                              <w:rPr>
                                <w:b/>
                                <w:sz w:val="40"/>
                              </w:rPr>
                            </w:pPr>
                          </w:p>
                        </w:txbxContent>
                      </wps:txbx>
                      <wps:bodyPr rot="0" vert="horz" wrap="square" lIns="182880" tIns="182880" rIns="182880" bIns="18288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A823E06" id="_x0000_t202" coordsize="21600,21600" o:spt="202" path="m,l,21600r21600,l21600,xe">
                <v:stroke joinstyle="miter"/>
                <v:path gradientshapeok="t" o:connecttype="rect"/>
              </v:shapetype>
              <v:shape id="Cuadro de texto 37" o:spid="_x0000_s1026" type="#_x0000_t202" style="position:absolute;left:0;text-align:left;margin-left:-40pt;margin-top:225.95pt;width:477.6pt;height:51.55pt;z-index:-251542528;visibility:visible;mso-wrap-style:square;mso-width-percent:0;mso-height-percent:0;mso-wrap-distance-left:18pt;mso-wrap-distance-top:18pt;mso-wrap-distance-right:18pt;mso-wrap-distance-bottom:18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JLI8AEAANEDAAAOAAAAZHJzL2Uyb0RvYy54bWysU9tu2zAMfR+wfxD0vjgJliAw4hRdig4D&#10;ugvQ7QMYWY6FyaJGKbGzrx8lp+myvhV7EURROuQ5PFrfDJ0VR03BoKvkbDKVQjuFtXH7Sv74fv9u&#10;JUWI4Gqw6HQlTzrIm83bN+vel3qOLdpak2AQF8reV7KN0ZdFEVSrOwgT9NpxskHqIHJI+6Im6Bm9&#10;s8V8Ol0WPVLtCZUOgU/vxqTcZPym0Sp+bZqgo7CV5N5iXimvu7QWmzWUewLfGnVuA17RRQfGcdEL&#10;1B1EEAcyL6A6owgDNnGisCuwaYzSmQOzmU3/YfPYgteZC4sT/EWm8P9g1Zfjo/9GIg4fcOABZhLB&#10;P6D6GYTDbQtur2+JsG811Fx4liQreh/K89MkdShDAtn1n7HmIcMhYgYaGuqSKsxTMDoP4HQRXQ9R&#10;KD5cTpeLxZxTinPLxfvlapFLQPn02lOIHzV2Im0qSTzUjA7HhxBTN1A+XUnFAlpT3xtrc5CMpLeW&#10;xBHYAqCUdnF+LnB107p032F6OYKmk8w0kRtpxmE3cDIx3mF9Ys6Eo6f4D/CmRfotRc9+qmT4dQDS&#10;UthPLum2mq9WyYFXEV1Fu6sInGK4SkYpxu02jsY9eDL7lquN03J4y3o3Jkvx3Nm5d/ZNVujs8WTM&#10;v+N86/knbv4AAAD//wMAUEsDBBQABgAIAAAAIQBNnOz/3wAAAAsBAAAPAAAAZHJzL2Rvd25yZXYu&#10;eG1sTI9NTsMwFIT3SNzBekjsWrsBtyGNU1VI3SCxIOUAL7GbBPwT2W6S3h6zguVoRjPflIfFaDIp&#10;HwZnBWzWDIiyrZOD7QR8nk+rHEiIaCVqZ5WAmwpwqO7vSiykm+2HmurYkVRiQ4EC+hjHgtLQ9spg&#10;WLtR2eRdnDcYk/QdlR7nVG40zRjbUoODTQs9juq1V+13fTUC3mWo5+Z8G3GXfZ2mJ/3m2RGFeHxY&#10;jnsgUS3xLwy/+AkdqsTUuKuVgWgBq5ylL1HAM9+8AEmJfMczII0AzjkDWpX0/4fqBwAA//8DAFBL&#10;AQItABQABgAIAAAAIQC2gziS/gAAAOEBAAATAAAAAAAAAAAAAAAAAAAAAABbQ29udGVudF9UeXBl&#10;c10ueG1sUEsBAi0AFAAGAAgAAAAhADj9If/WAAAAlAEAAAsAAAAAAAAAAAAAAAAALwEAAF9yZWxz&#10;Ly5yZWxzUEsBAi0AFAAGAAgAAAAhAFJ0ksjwAQAA0QMAAA4AAAAAAAAAAAAAAAAALgIAAGRycy9l&#10;Mm9Eb2MueG1sUEsBAi0AFAAGAAgAAAAhAE2c7P/fAAAACwEAAA8AAAAAAAAAAAAAAAAASgQAAGRy&#10;cy9kb3ducmV2LnhtbFBLBQYAAAAABAAEAPMAAABWBQAAAAA=&#10;" fillcolor="#ed7d31 [3205]" stroked="f">
                <v:textbox inset="14.4pt,14.4pt,14.4pt,14.4pt">
                  <w:txbxContent>
                    <w:p w14:paraId="4FF2F677" w14:textId="428B4266" w:rsidR="00DF3AFC" w:rsidRDefault="00DF3AFC" w:rsidP="00BC3829">
                      <w:pPr>
                        <w:jc w:val="center"/>
                        <w:rPr>
                          <w:b/>
                          <w:sz w:val="36"/>
                          <w:szCs w:val="36"/>
                        </w:rPr>
                      </w:pPr>
                      <w:r>
                        <w:rPr>
                          <w:b/>
                          <w:sz w:val="36"/>
                          <w:szCs w:val="36"/>
                        </w:rPr>
                        <w:t>Marco de Gestión Ambiental y Social</w:t>
                      </w:r>
                    </w:p>
                    <w:p w14:paraId="36E602F4" w14:textId="77777777" w:rsidR="00DF3AFC" w:rsidRPr="00E2427D" w:rsidRDefault="00DF3AFC" w:rsidP="00BC3829">
                      <w:pPr>
                        <w:spacing w:before="27"/>
                        <w:ind w:left="485"/>
                        <w:jc w:val="center"/>
                        <w:rPr>
                          <w:b/>
                          <w:sz w:val="40"/>
                        </w:rPr>
                      </w:pPr>
                    </w:p>
                  </w:txbxContent>
                </v:textbox>
                <w10:wrap type="square" anchorx="margin" anchory="margin"/>
              </v:shape>
            </w:pict>
          </mc:Fallback>
        </mc:AlternateContent>
      </w:r>
      <w:r w:rsidR="00BC3829" w:rsidRPr="00BE0548">
        <w:rPr>
          <w:rFonts w:ascii="Times New Roman" w:eastAsia="Times New Roman" w:hAnsi="Times New Roman"/>
          <w:b/>
          <w:color w:val="FFFFFF" w:themeColor="background1"/>
          <w:sz w:val="24"/>
          <w:szCs w:val="36"/>
        </w:rPr>
        <w:t>(RED</w:t>
      </w:r>
      <w:r>
        <w:rPr>
          <w:rFonts w:ascii="Times New Roman" w:eastAsia="Times New Roman" w:hAnsi="Times New Roman"/>
          <w:b/>
          <w:color w:val="FFFFFF" w:themeColor="background1"/>
          <w:sz w:val="24"/>
          <w:szCs w:val="36"/>
        </w:rPr>
        <w:t>D+)</w:t>
      </w:r>
      <w:r w:rsidRPr="00BE0548">
        <w:rPr>
          <w:rFonts w:ascii="Times New Roman" w:eastAsia="Times New Roman" w:hAnsi="Times New Roman"/>
          <w:b/>
          <w:color w:val="FFFFFF" w:themeColor="background1"/>
          <w:sz w:val="24"/>
          <w:szCs w:val="36"/>
        </w:rPr>
        <w:t xml:space="preserve">  </w:t>
      </w:r>
    </w:p>
    <w:p w14:paraId="3402CD77" w14:textId="4983B2A1" w:rsidR="00BC3829" w:rsidRPr="00BE0548" w:rsidRDefault="00BC3829" w:rsidP="009A27ED">
      <w:pPr>
        <w:spacing w:line="360" w:lineRule="auto"/>
        <w:jc w:val="center"/>
        <w:rPr>
          <w:b/>
          <w:color w:val="FFFFFF" w:themeColor="background1"/>
          <w:sz w:val="36"/>
          <w:szCs w:val="36"/>
        </w:rPr>
      </w:pPr>
      <w:r w:rsidRPr="00BE0548">
        <w:rPr>
          <w:rFonts w:ascii="Times New Roman" w:eastAsia="Times New Roman" w:hAnsi="Times New Roman"/>
          <w:b/>
          <w:color w:val="FFFFFF" w:themeColor="background1"/>
          <w:sz w:val="24"/>
          <w:szCs w:val="36"/>
        </w:rPr>
        <w:t>Proyecto Preparación para REDD+</w:t>
      </w:r>
    </w:p>
    <w:p w14:paraId="31C74BDC" w14:textId="6C575A90" w:rsidR="00BC3829" w:rsidRPr="008B4CA2" w:rsidRDefault="00BE0548" w:rsidP="00BE0548">
      <w:pPr>
        <w:spacing w:after="0" w:line="360" w:lineRule="auto"/>
        <w:jc w:val="center"/>
        <w:rPr>
          <w:sz w:val="28"/>
          <w:szCs w:val="28"/>
        </w:rPr>
      </w:pPr>
      <w:r>
        <w:rPr>
          <w:rFonts w:ascii="Times New Roman" w:eastAsia="Times New Roman" w:hAnsi="Times New Roman"/>
          <w:b/>
          <w:color w:val="FFFFFF" w:themeColor="background1"/>
          <w:sz w:val="24"/>
          <w:szCs w:val="36"/>
        </w:rPr>
        <w:t xml:space="preserve">                                                    </w:t>
      </w:r>
      <w:r w:rsidR="00BC3829" w:rsidRPr="00BE0548">
        <w:rPr>
          <w:rFonts w:ascii="Times New Roman" w:eastAsia="Times New Roman" w:hAnsi="Times New Roman"/>
          <w:b/>
          <w:color w:val="FFFFFF" w:themeColor="background1"/>
          <w:sz w:val="24"/>
          <w:szCs w:val="36"/>
        </w:rPr>
        <w:t>P151752 / SNIP 13782</w:t>
      </w:r>
      <w:r w:rsidR="00BC3829" w:rsidRPr="008B4CA2">
        <w:rPr>
          <w:rFonts w:ascii="Times New Roman" w:eastAsia="Times New Roman" w:hAnsi="Times New Roman"/>
          <w:sz w:val="24"/>
          <w:szCs w:val="28"/>
        </w:rPr>
        <w:t>o Domingo, República Dominicana</w:t>
      </w:r>
    </w:p>
    <w:p w14:paraId="45B612C9" w14:textId="02183D16" w:rsidR="00BC3829" w:rsidRPr="008B4CA2" w:rsidRDefault="00364108" w:rsidP="009A27ED">
      <w:pPr>
        <w:spacing w:line="360" w:lineRule="auto"/>
        <w:jc w:val="center"/>
        <w:rPr>
          <w:sz w:val="28"/>
          <w:szCs w:val="28"/>
        </w:rPr>
      </w:pPr>
      <w:r w:rsidRPr="009A27ED">
        <w:rPr>
          <w:rFonts w:ascii="Times New Roman" w:eastAsia="Times New Roman" w:hAnsi="Times New Roman"/>
          <w:sz w:val="24"/>
          <w:szCs w:val="28"/>
        </w:rPr>
        <w:t xml:space="preserve">Actualizado al </w:t>
      </w:r>
      <w:r w:rsidR="003010DC" w:rsidRPr="009A27ED">
        <w:rPr>
          <w:rFonts w:ascii="Times New Roman" w:eastAsia="Times New Roman" w:hAnsi="Times New Roman"/>
          <w:sz w:val="24"/>
          <w:szCs w:val="28"/>
        </w:rPr>
        <w:t>04 a</w:t>
      </w:r>
      <w:r w:rsidR="00256FFE" w:rsidRPr="009A27ED">
        <w:rPr>
          <w:rFonts w:ascii="Times New Roman" w:eastAsia="Times New Roman" w:hAnsi="Times New Roman"/>
          <w:sz w:val="24"/>
          <w:szCs w:val="28"/>
        </w:rPr>
        <w:t>gosto</w:t>
      </w:r>
      <w:r w:rsidR="00CA2C0A" w:rsidRPr="009A27ED">
        <w:rPr>
          <w:rFonts w:ascii="Times New Roman" w:eastAsia="Times New Roman" w:hAnsi="Times New Roman"/>
          <w:sz w:val="24"/>
          <w:szCs w:val="28"/>
        </w:rPr>
        <w:t xml:space="preserve"> 2022</w:t>
      </w:r>
    </w:p>
    <w:p w14:paraId="6B6B792B" w14:textId="0B1D947D" w:rsidR="009A27ED" w:rsidRPr="00BE0548" w:rsidRDefault="009A27ED" w:rsidP="009A27ED">
      <w:pPr>
        <w:spacing w:after="0" w:line="360" w:lineRule="auto"/>
        <w:jc w:val="center"/>
        <w:rPr>
          <w:b/>
          <w:color w:val="ED7D31" w:themeColor="accent2"/>
          <w:lang w:val="es-DO"/>
        </w:rPr>
      </w:pPr>
      <w:r w:rsidRPr="00BE0548">
        <w:rPr>
          <w:rFonts w:ascii="Times New Roman" w:eastAsia="Times New Roman" w:hAnsi="Times New Roman"/>
          <w:b/>
          <w:color w:val="ED7D31" w:themeColor="accent2"/>
          <w:sz w:val="24"/>
          <w:lang w:val="es-DO"/>
        </w:rPr>
        <w:t>(</w:t>
      </w:r>
      <w:r w:rsidRPr="00BE0548">
        <w:rPr>
          <w:rFonts w:ascii="Times New Roman" w:eastAsia="Times New Roman" w:hAnsi="Times New Roman"/>
          <w:b/>
          <w:i/>
          <w:color w:val="ED7D31" w:themeColor="accent2"/>
          <w:sz w:val="24"/>
          <w:lang w:val="es-DO"/>
        </w:rPr>
        <w:t>Desarrollo de capacidades de actores involucrados en el uso y cambio de uso de la tierra en la República Dominicana</w:t>
      </w:r>
      <w:r w:rsidRPr="00BE0548">
        <w:rPr>
          <w:rFonts w:ascii="Times New Roman" w:eastAsia="Times New Roman" w:hAnsi="Times New Roman"/>
          <w:b/>
          <w:color w:val="ED7D31" w:themeColor="accent2"/>
          <w:sz w:val="24"/>
          <w:lang w:val="es-DO"/>
        </w:rPr>
        <w:t>)</w:t>
      </w:r>
    </w:p>
    <w:p w14:paraId="1514469B" w14:textId="67189018" w:rsidR="009A27ED" w:rsidRDefault="009A27ED" w:rsidP="009A27ED">
      <w:pPr>
        <w:spacing w:after="0" w:line="360" w:lineRule="auto"/>
        <w:rPr>
          <w:b/>
        </w:rPr>
      </w:pPr>
    </w:p>
    <w:p w14:paraId="74FB7704" w14:textId="0F1FE684" w:rsidR="00BC3829" w:rsidRDefault="00BC3829" w:rsidP="00BC3829">
      <w:pPr>
        <w:spacing w:line="360" w:lineRule="auto"/>
        <w:rPr>
          <w:sz w:val="28"/>
          <w:szCs w:val="28"/>
        </w:rPr>
      </w:pPr>
    </w:p>
    <w:p w14:paraId="6E11D806" w14:textId="631F82DC" w:rsidR="00BC3829" w:rsidRDefault="00BC3829" w:rsidP="00BC3829">
      <w:pPr>
        <w:spacing w:line="360" w:lineRule="auto"/>
        <w:rPr>
          <w:sz w:val="28"/>
          <w:szCs w:val="28"/>
        </w:rPr>
      </w:pPr>
    </w:p>
    <w:p w14:paraId="3D995CE2" w14:textId="08D633A4" w:rsidR="00BC3829" w:rsidRDefault="00BE0548" w:rsidP="00BC3829">
      <w:pPr>
        <w:spacing w:line="360" w:lineRule="auto"/>
        <w:rPr>
          <w:sz w:val="28"/>
          <w:szCs w:val="28"/>
        </w:rPr>
      </w:pPr>
      <w:r w:rsidRPr="00BE0548">
        <w:rPr>
          <w:rFonts w:ascii="Times New Roman" w:eastAsia="Times New Roman" w:hAnsi="Times New Roman"/>
          <w:noProof/>
          <w:color w:val="ED7D31" w:themeColor="accent2"/>
          <w:sz w:val="24"/>
          <w:lang w:val="en-US"/>
        </w:rPr>
        <w:drawing>
          <wp:anchor distT="0" distB="0" distL="114300" distR="114300" simplePos="0" relativeHeight="251772928" behindDoc="0" locked="0" layoutInCell="1" allowOverlap="1" wp14:anchorId="250748C4" wp14:editId="1C87BED9">
            <wp:simplePos x="0" y="0"/>
            <wp:positionH relativeFrom="page">
              <wp:align>center</wp:align>
            </wp:positionH>
            <wp:positionV relativeFrom="paragraph">
              <wp:posOffset>273050</wp:posOffset>
            </wp:positionV>
            <wp:extent cx="1226185" cy="704215"/>
            <wp:effectExtent l="0" t="0" r="0" b="635"/>
            <wp:wrapNone/>
            <wp:docPr id="36" name="Imagen 36" descr="Resultado de imagen para banco mundial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sultado de imagen para banco mundial 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26185" cy="7042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E0548">
        <w:rPr>
          <w:rFonts w:ascii="Times New Roman" w:eastAsia="Times New Roman" w:hAnsi="Times New Roman"/>
          <w:noProof/>
          <w:color w:val="ED7D31" w:themeColor="accent2"/>
          <w:sz w:val="24"/>
          <w:lang w:val="en-US"/>
        </w:rPr>
        <w:drawing>
          <wp:anchor distT="0" distB="0" distL="114300" distR="114300" simplePos="0" relativeHeight="251771904" behindDoc="0" locked="0" layoutInCell="1" allowOverlap="1" wp14:anchorId="182E1FA3" wp14:editId="7C78FE94">
            <wp:simplePos x="0" y="0"/>
            <wp:positionH relativeFrom="margin">
              <wp:posOffset>305435</wp:posOffset>
            </wp:positionH>
            <wp:positionV relativeFrom="paragraph">
              <wp:posOffset>64770</wp:posOffset>
            </wp:positionV>
            <wp:extent cx="1047750" cy="1047750"/>
            <wp:effectExtent l="0" t="0" r="0" b="0"/>
            <wp:wrapNone/>
            <wp:docPr id="35" name="Imagen 35" descr="Resultado de imagen para fcpf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para fcpf 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47750" cy="10477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F8D29EF" w14:textId="55FDEB47" w:rsidR="00BC3829" w:rsidRDefault="00BC3829" w:rsidP="00BC3829">
      <w:pPr>
        <w:spacing w:line="360" w:lineRule="auto"/>
        <w:rPr>
          <w:sz w:val="28"/>
          <w:szCs w:val="28"/>
        </w:rPr>
      </w:pPr>
    </w:p>
    <w:p w14:paraId="43D5F431" w14:textId="5674AC65" w:rsidR="00C910E6" w:rsidRDefault="00C910E6" w:rsidP="00C910E6">
      <w:pPr>
        <w:spacing w:after="0" w:line="360" w:lineRule="auto"/>
        <w:rPr>
          <w:b/>
        </w:rPr>
      </w:pPr>
    </w:p>
    <w:p w14:paraId="523DAFA1" w14:textId="77777777" w:rsidR="00BE0548" w:rsidRDefault="00BE0548" w:rsidP="00BE0548">
      <w:pPr>
        <w:spacing w:after="0" w:line="360" w:lineRule="auto"/>
        <w:jc w:val="left"/>
        <w:rPr>
          <w:rFonts w:ascii="Times New Roman" w:eastAsia="Times New Roman" w:hAnsi="Times New Roman"/>
          <w:b/>
          <w:sz w:val="24"/>
        </w:rPr>
      </w:pPr>
    </w:p>
    <w:p w14:paraId="21B8C787" w14:textId="77777777" w:rsidR="00BE0548" w:rsidRDefault="00BE0548" w:rsidP="00BE0548">
      <w:pPr>
        <w:spacing w:after="0" w:line="360" w:lineRule="auto"/>
        <w:jc w:val="left"/>
        <w:rPr>
          <w:rFonts w:ascii="Times New Roman" w:eastAsia="Times New Roman" w:hAnsi="Times New Roman"/>
          <w:b/>
          <w:sz w:val="24"/>
        </w:rPr>
      </w:pPr>
    </w:p>
    <w:p w14:paraId="38DD444E" w14:textId="77777777" w:rsidR="00BE0548" w:rsidRDefault="00BE0548" w:rsidP="00BE0548">
      <w:pPr>
        <w:spacing w:after="0" w:line="360" w:lineRule="auto"/>
        <w:jc w:val="left"/>
        <w:rPr>
          <w:rFonts w:ascii="Times New Roman" w:eastAsia="Times New Roman" w:hAnsi="Times New Roman"/>
          <w:b/>
          <w:sz w:val="24"/>
        </w:rPr>
      </w:pPr>
    </w:p>
    <w:p w14:paraId="0205D0A0" w14:textId="48CB432F" w:rsidR="00C910E6" w:rsidRPr="009A27ED" w:rsidRDefault="00C910E6" w:rsidP="00BE0548">
      <w:pPr>
        <w:spacing w:after="0" w:line="360" w:lineRule="auto"/>
        <w:jc w:val="left"/>
        <w:rPr>
          <w:b/>
        </w:rPr>
      </w:pPr>
      <w:r w:rsidRPr="009A27ED">
        <w:rPr>
          <w:rFonts w:ascii="Times New Roman" w:eastAsia="Times New Roman" w:hAnsi="Times New Roman"/>
          <w:b/>
          <w:sz w:val="24"/>
        </w:rPr>
        <w:lastRenderedPageBreak/>
        <w:t>Ministerio de Medio Ambiente y Recursos Naturales</w:t>
      </w:r>
    </w:p>
    <w:p w14:paraId="21BB2961" w14:textId="78FBBE58" w:rsidR="00FF5EE9" w:rsidRPr="009A27ED" w:rsidRDefault="00FF5EE9" w:rsidP="00BE0548">
      <w:pPr>
        <w:spacing w:after="0" w:line="360" w:lineRule="auto"/>
        <w:jc w:val="left"/>
      </w:pPr>
      <w:r w:rsidRPr="009A27ED">
        <w:rPr>
          <w:rFonts w:ascii="Times New Roman" w:eastAsia="Times New Roman" w:hAnsi="Times New Roman"/>
          <w:sz w:val="24"/>
        </w:rPr>
        <w:t xml:space="preserve">Milagros María De Camps Germán. </w:t>
      </w:r>
      <w:r w:rsidR="005B72B2" w:rsidRPr="009A27ED">
        <w:rPr>
          <w:rFonts w:ascii="Times New Roman" w:eastAsia="Times New Roman" w:hAnsi="Times New Roman"/>
          <w:sz w:val="24"/>
        </w:rPr>
        <w:t>Viceministra del Viceministerio</w:t>
      </w:r>
      <w:r w:rsidRPr="009A27ED">
        <w:rPr>
          <w:rFonts w:ascii="Times New Roman" w:eastAsia="Times New Roman" w:hAnsi="Times New Roman"/>
          <w:sz w:val="24"/>
        </w:rPr>
        <w:t xml:space="preserve"> de Cooperación. Internacional.</w:t>
      </w:r>
    </w:p>
    <w:p w14:paraId="70E92675" w14:textId="2676C03E" w:rsidR="00485B33" w:rsidRPr="009A27ED" w:rsidRDefault="009F3CF5" w:rsidP="00BE0548">
      <w:pPr>
        <w:spacing w:after="0" w:line="360" w:lineRule="auto"/>
        <w:jc w:val="left"/>
        <w:rPr>
          <w:lang w:val="es-DO"/>
        </w:rPr>
      </w:pPr>
      <w:r w:rsidRPr="009A27ED">
        <w:rPr>
          <w:rFonts w:ascii="Times New Roman" w:eastAsia="Times New Roman" w:hAnsi="Times New Roman"/>
          <w:sz w:val="24"/>
          <w:lang w:val="es-DO"/>
        </w:rPr>
        <w:t xml:space="preserve">Nathalie Flores </w:t>
      </w:r>
      <w:r w:rsidR="005B72B2" w:rsidRPr="009A27ED">
        <w:rPr>
          <w:rFonts w:ascii="Times New Roman" w:eastAsia="Times New Roman" w:hAnsi="Times New Roman"/>
          <w:sz w:val="24"/>
          <w:lang w:val="es-DO"/>
        </w:rPr>
        <w:t>directora</w:t>
      </w:r>
      <w:r w:rsidR="00485B33" w:rsidRPr="009A27ED">
        <w:rPr>
          <w:rFonts w:ascii="Times New Roman" w:eastAsia="Times New Roman" w:hAnsi="Times New Roman"/>
          <w:sz w:val="24"/>
          <w:lang w:val="es-DO"/>
        </w:rPr>
        <w:t xml:space="preserve"> Dirección de Adaptación y Mitigación del Cambio Climático</w:t>
      </w:r>
    </w:p>
    <w:p w14:paraId="4DE6D02A" w14:textId="77777777" w:rsidR="00C910E6" w:rsidRPr="009A27ED" w:rsidRDefault="00C910E6" w:rsidP="00C910E6">
      <w:pPr>
        <w:spacing w:after="0" w:line="360" w:lineRule="auto"/>
        <w:rPr>
          <w:b/>
        </w:rPr>
      </w:pPr>
      <w:r w:rsidRPr="009A27ED">
        <w:rPr>
          <w:rFonts w:ascii="Times New Roman" w:eastAsia="Times New Roman" w:hAnsi="Times New Roman"/>
          <w:b/>
          <w:sz w:val="24"/>
        </w:rPr>
        <w:t xml:space="preserve">Equipo Unidad Técnica de Gestión (UTG) </w:t>
      </w:r>
    </w:p>
    <w:p w14:paraId="2ACCA789" w14:textId="77777777" w:rsidR="00C910E6" w:rsidRPr="009A27ED" w:rsidRDefault="00C910E6" w:rsidP="00BE0548">
      <w:pPr>
        <w:spacing w:after="0" w:line="360" w:lineRule="auto"/>
        <w:jc w:val="left"/>
        <w:rPr>
          <w:lang w:val="es-DO"/>
        </w:rPr>
      </w:pPr>
      <w:r w:rsidRPr="009A27ED">
        <w:rPr>
          <w:rFonts w:ascii="Times New Roman" w:eastAsia="Times New Roman" w:hAnsi="Times New Roman"/>
          <w:sz w:val="24"/>
          <w:lang w:val="es-DO"/>
        </w:rPr>
        <w:t xml:space="preserve">Mercedes Socorro Pantaleón Inoa, Coordinadora </w:t>
      </w:r>
    </w:p>
    <w:p w14:paraId="0844092A" w14:textId="77777777" w:rsidR="00C910E6" w:rsidRPr="009A27ED" w:rsidRDefault="00C910E6" w:rsidP="00BE0548">
      <w:pPr>
        <w:spacing w:after="0" w:line="360" w:lineRule="auto"/>
        <w:jc w:val="left"/>
        <w:rPr>
          <w:b/>
          <w:lang w:val="es-DO"/>
        </w:rPr>
      </w:pPr>
      <w:r w:rsidRPr="009A27ED">
        <w:rPr>
          <w:rFonts w:ascii="Times New Roman" w:eastAsia="Times New Roman" w:hAnsi="Times New Roman"/>
          <w:sz w:val="24"/>
          <w:lang w:val="es-DO"/>
        </w:rPr>
        <w:t>Ramón Ovidio Sánchez, Coordinador Técnico Especialista en Uso de Suelos, Bosques y Agricultura</w:t>
      </w:r>
    </w:p>
    <w:p w14:paraId="3520544B" w14:textId="77777777" w:rsidR="00C910E6" w:rsidRPr="009A27ED" w:rsidRDefault="00C910E6" w:rsidP="00BE0548">
      <w:pPr>
        <w:spacing w:after="0" w:line="360" w:lineRule="auto"/>
        <w:jc w:val="left"/>
        <w:rPr>
          <w:lang w:val="es-DO"/>
        </w:rPr>
      </w:pPr>
      <w:r w:rsidRPr="009A27ED">
        <w:rPr>
          <w:rFonts w:ascii="Times New Roman" w:eastAsia="Times New Roman" w:hAnsi="Times New Roman"/>
          <w:sz w:val="24"/>
          <w:lang w:val="es-DO"/>
        </w:rPr>
        <w:t xml:space="preserve">Piedad Ma. Castillo, Especialista Social </w:t>
      </w:r>
    </w:p>
    <w:p w14:paraId="344E9864" w14:textId="77777777" w:rsidR="00C910E6" w:rsidRPr="009A27ED" w:rsidRDefault="00C910E6" w:rsidP="00BE0548">
      <w:pPr>
        <w:spacing w:after="0" w:line="360" w:lineRule="auto"/>
        <w:jc w:val="left"/>
        <w:rPr>
          <w:lang w:val="es-DO"/>
        </w:rPr>
      </w:pPr>
      <w:r w:rsidRPr="009A27ED">
        <w:rPr>
          <w:rFonts w:ascii="Times New Roman" w:eastAsia="Times New Roman" w:hAnsi="Times New Roman"/>
          <w:sz w:val="24"/>
          <w:lang w:val="es-DO"/>
        </w:rPr>
        <w:t xml:space="preserve">Jean-Alexis </w:t>
      </w:r>
      <w:proofErr w:type="spellStart"/>
      <w:r w:rsidRPr="009A27ED">
        <w:rPr>
          <w:rFonts w:ascii="Times New Roman" w:eastAsia="Times New Roman" w:hAnsi="Times New Roman"/>
          <w:sz w:val="24"/>
          <w:lang w:val="es-DO"/>
        </w:rPr>
        <w:t>Gaugé</w:t>
      </w:r>
      <w:proofErr w:type="spellEnd"/>
      <w:r w:rsidRPr="009A27ED">
        <w:rPr>
          <w:rFonts w:ascii="Times New Roman" w:eastAsia="Times New Roman" w:hAnsi="Times New Roman"/>
          <w:sz w:val="24"/>
          <w:lang w:val="es-DO"/>
        </w:rPr>
        <w:t xml:space="preserve"> Quiñones, </w:t>
      </w:r>
      <w:r w:rsidRPr="009A27ED">
        <w:rPr>
          <w:rFonts w:ascii="Times New Roman" w:eastAsia="Times New Roman" w:hAnsi="Times New Roman"/>
          <w:sz w:val="24"/>
        </w:rPr>
        <w:t>Especialista Legal-Interinstitucional</w:t>
      </w:r>
      <w:r w:rsidRPr="009A27ED">
        <w:rPr>
          <w:rFonts w:ascii="Times New Roman" w:eastAsia="Times New Roman" w:hAnsi="Times New Roman"/>
          <w:b/>
          <w:sz w:val="24"/>
        </w:rPr>
        <w:t xml:space="preserve"> </w:t>
      </w:r>
    </w:p>
    <w:p w14:paraId="4638F152" w14:textId="77777777" w:rsidR="00C910E6" w:rsidRPr="009A27ED" w:rsidRDefault="00C910E6" w:rsidP="00BE0548">
      <w:pPr>
        <w:spacing w:after="0" w:line="360" w:lineRule="auto"/>
        <w:jc w:val="left"/>
        <w:rPr>
          <w:lang w:val="es-DO"/>
        </w:rPr>
      </w:pPr>
      <w:r w:rsidRPr="009A27ED">
        <w:rPr>
          <w:rFonts w:ascii="Times New Roman" w:eastAsia="Times New Roman" w:hAnsi="Times New Roman"/>
          <w:sz w:val="24"/>
          <w:lang w:val="es-DO"/>
        </w:rPr>
        <w:t xml:space="preserve">Mencía </w:t>
      </w:r>
      <w:proofErr w:type="spellStart"/>
      <w:r w:rsidRPr="009A27ED">
        <w:rPr>
          <w:rFonts w:ascii="Times New Roman" w:eastAsia="Times New Roman" w:hAnsi="Times New Roman"/>
          <w:sz w:val="24"/>
          <w:lang w:val="es-DO"/>
        </w:rPr>
        <w:t>Smelin</w:t>
      </w:r>
      <w:proofErr w:type="spellEnd"/>
      <w:r w:rsidRPr="009A27ED">
        <w:rPr>
          <w:rFonts w:ascii="Times New Roman" w:eastAsia="Times New Roman" w:hAnsi="Times New Roman"/>
          <w:sz w:val="24"/>
          <w:lang w:val="es-DO"/>
        </w:rPr>
        <w:t xml:space="preserve"> Reyes Valerio, </w:t>
      </w:r>
      <w:r w:rsidRPr="009A27ED">
        <w:rPr>
          <w:rFonts w:ascii="Times New Roman" w:eastAsia="Times New Roman" w:hAnsi="Times New Roman"/>
          <w:sz w:val="24"/>
        </w:rPr>
        <w:t>Especialista en Comunicaciones</w:t>
      </w:r>
    </w:p>
    <w:p w14:paraId="118EAB16" w14:textId="655BABEB" w:rsidR="00C910E6" w:rsidRPr="009A27ED" w:rsidRDefault="00C910E6" w:rsidP="00BE0548">
      <w:pPr>
        <w:spacing w:after="0" w:line="360" w:lineRule="auto"/>
        <w:jc w:val="left"/>
      </w:pPr>
      <w:r w:rsidRPr="009A27ED">
        <w:rPr>
          <w:rFonts w:ascii="Times New Roman" w:eastAsia="Times New Roman" w:hAnsi="Times New Roman"/>
          <w:sz w:val="24"/>
        </w:rPr>
        <w:t xml:space="preserve">Oscar Valenzuela García, Analista de Documentos Técnicos  </w:t>
      </w:r>
    </w:p>
    <w:p w14:paraId="08DF40A0" w14:textId="4E65D6E3" w:rsidR="005B72B2" w:rsidRPr="009A27ED" w:rsidRDefault="005B72B2" w:rsidP="00BE0548">
      <w:pPr>
        <w:spacing w:after="0" w:line="360" w:lineRule="auto"/>
        <w:jc w:val="left"/>
      </w:pPr>
      <w:r w:rsidRPr="009A27ED">
        <w:rPr>
          <w:rFonts w:ascii="Times New Roman" w:eastAsia="Times New Roman" w:hAnsi="Times New Roman"/>
          <w:sz w:val="24"/>
        </w:rPr>
        <w:t xml:space="preserve">Cesar </w:t>
      </w:r>
      <w:proofErr w:type="spellStart"/>
      <w:r w:rsidRPr="009A27ED">
        <w:rPr>
          <w:rFonts w:ascii="Times New Roman" w:eastAsia="Times New Roman" w:hAnsi="Times New Roman"/>
          <w:sz w:val="24"/>
        </w:rPr>
        <w:t>Avril</w:t>
      </w:r>
      <w:proofErr w:type="spellEnd"/>
      <w:r w:rsidRPr="009A27ED">
        <w:rPr>
          <w:rFonts w:ascii="Times New Roman" w:eastAsia="Times New Roman" w:hAnsi="Times New Roman"/>
          <w:sz w:val="24"/>
        </w:rPr>
        <w:t xml:space="preserve"> Cáceres, Técnico Social  </w:t>
      </w:r>
    </w:p>
    <w:p w14:paraId="6181782C" w14:textId="1D340CAC" w:rsidR="005B72B2" w:rsidRPr="009A27ED" w:rsidRDefault="005B72B2" w:rsidP="00BE0548">
      <w:pPr>
        <w:spacing w:after="0" w:line="360" w:lineRule="auto"/>
        <w:jc w:val="left"/>
      </w:pPr>
      <w:r w:rsidRPr="009A27ED">
        <w:rPr>
          <w:rFonts w:ascii="Times New Roman" w:eastAsia="Times New Roman" w:hAnsi="Times New Roman"/>
          <w:sz w:val="24"/>
        </w:rPr>
        <w:t xml:space="preserve">Juan Manuel Grillo Beras, Encargado </w:t>
      </w:r>
      <w:r w:rsidR="00C45E35" w:rsidRPr="009A27ED">
        <w:rPr>
          <w:rFonts w:ascii="Times New Roman" w:eastAsia="Times New Roman" w:hAnsi="Times New Roman"/>
          <w:sz w:val="24"/>
        </w:rPr>
        <w:t>de Fortalecimiento Institucional Entidades Ejecutoras</w:t>
      </w:r>
    </w:p>
    <w:p w14:paraId="599F3435" w14:textId="77777777" w:rsidR="00C42BBE" w:rsidRPr="009A27ED" w:rsidRDefault="00C42BBE" w:rsidP="00BE0548">
      <w:pPr>
        <w:spacing w:after="0" w:line="360" w:lineRule="auto"/>
        <w:jc w:val="left"/>
        <w:rPr>
          <w:b/>
          <w:sz w:val="28"/>
          <w:szCs w:val="28"/>
        </w:rPr>
      </w:pPr>
      <w:r w:rsidRPr="009A27ED">
        <w:rPr>
          <w:rFonts w:ascii="Times New Roman" w:eastAsia="Times New Roman" w:hAnsi="Times New Roman"/>
          <w:b/>
          <w:sz w:val="24"/>
          <w:szCs w:val="28"/>
        </w:rPr>
        <w:t>Consultoría</w:t>
      </w:r>
    </w:p>
    <w:p w14:paraId="4BA2B2FD" w14:textId="57415AA4" w:rsidR="00C42BBE" w:rsidRPr="009A27ED" w:rsidRDefault="00C42BBE" w:rsidP="00BE0548">
      <w:pPr>
        <w:spacing w:after="0" w:line="360" w:lineRule="auto"/>
        <w:jc w:val="left"/>
        <w:rPr>
          <w:lang w:val="es-DO"/>
        </w:rPr>
      </w:pPr>
      <w:r w:rsidRPr="009A27ED">
        <w:rPr>
          <w:rFonts w:ascii="Times New Roman" w:eastAsia="Times New Roman" w:hAnsi="Times New Roman"/>
          <w:sz w:val="24"/>
          <w:lang w:val="es-DO"/>
        </w:rPr>
        <w:t>Evaluación Estratégica Social y Ambiental de República Dominicana REDD+</w:t>
      </w:r>
    </w:p>
    <w:p w14:paraId="550A4108" w14:textId="77777777" w:rsidR="00C42BBE" w:rsidRPr="009A27ED" w:rsidRDefault="00C42BBE" w:rsidP="00BE0548">
      <w:pPr>
        <w:spacing w:after="0" w:line="360" w:lineRule="auto"/>
        <w:jc w:val="left"/>
        <w:rPr>
          <w:b/>
          <w:sz w:val="28"/>
          <w:szCs w:val="28"/>
          <w:lang w:val="en-US"/>
        </w:rPr>
      </w:pPr>
      <w:r w:rsidRPr="009A27ED">
        <w:rPr>
          <w:rFonts w:ascii="Times New Roman" w:eastAsia="Times New Roman" w:hAnsi="Times New Roman"/>
          <w:b/>
          <w:sz w:val="24"/>
          <w:szCs w:val="28"/>
          <w:lang w:val="en-US"/>
        </w:rPr>
        <w:t>Consorcio Climate Law and Policy (CLP) y (PRONATURA)</w:t>
      </w:r>
    </w:p>
    <w:p w14:paraId="056DB19E" w14:textId="77777777" w:rsidR="00C42BBE" w:rsidRPr="009A27ED" w:rsidRDefault="00C42BBE" w:rsidP="00BE0548">
      <w:pPr>
        <w:spacing w:after="0" w:line="360" w:lineRule="auto"/>
        <w:jc w:val="left"/>
        <w:rPr>
          <w:szCs w:val="22"/>
        </w:rPr>
      </w:pPr>
      <w:r w:rsidRPr="009A27ED">
        <w:rPr>
          <w:rFonts w:ascii="Times New Roman" w:eastAsia="Times New Roman" w:hAnsi="Times New Roman"/>
          <w:sz w:val="24"/>
          <w:szCs w:val="22"/>
        </w:rPr>
        <w:t xml:space="preserve">Ugo Ribet </w:t>
      </w:r>
    </w:p>
    <w:p w14:paraId="5C43A87A" w14:textId="77777777" w:rsidR="00C42BBE" w:rsidRPr="009A27ED" w:rsidRDefault="00C42BBE" w:rsidP="00BE0548">
      <w:pPr>
        <w:spacing w:after="0" w:line="360" w:lineRule="auto"/>
        <w:jc w:val="left"/>
        <w:rPr>
          <w:szCs w:val="22"/>
        </w:rPr>
      </w:pPr>
      <w:r w:rsidRPr="009A27ED">
        <w:rPr>
          <w:rFonts w:ascii="Times New Roman" w:eastAsia="Times New Roman" w:hAnsi="Times New Roman"/>
          <w:sz w:val="24"/>
          <w:szCs w:val="22"/>
        </w:rPr>
        <w:t xml:space="preserve">Francisco </w:t>
      </w:r>
      <w:proofErr w:type="spellStart"/>
      <w:r w:rsidRPr="009A27ED">
        <w:rPr>
          <w:rFonts w:ascii="Times New Roman" w:eastAsia="Times New Roman" w:hAnsi="Times New Roman"/>
          <w:sz w:val="24"/>
          <w:szCs w:val="22"/>
        </w:rPr>
        <w:t>Arneman</w:t>
      </w:r>
      <w:proofErr w:type="spellEnd"/>
    </w:p>
    <w:p w14:paraId="2AA3455C" w14:textId="77777777" w:rsidR="00C42BBE" w:rsidRPr="009A27ED" w:rsidRDefault="00C42BBE" w:rsidP="00BE0548">
      <w:pPr>
        <w:spacing w:after="0" w:line="360" w:lineRule="auto"/>
        <w:jc w:val="left"/>
        <w:rPr>
          <w:szCs w:val="22"/>
        </w:rPr>
      </w:pPr>
      <w:r w:rsidRPr="009A27ED">
        <w:rPr>
          <w:rFonts w:ascii="Times New Roman" w:eastAsia="Times New Roman" w:hAnsi="Times New Roman"/>
          <w:sz w:val="24"/>
          <w:szCs w:val="22"/>
        </w:rPr>
        <w:t>Laura Guzmán</w:t>
      </w:r>
    </w:p>
    <w:p w14:paraId="67B2CD90" w14:textId="77777777" w:rsidR="00C42BBE" w:rsidRPr="009A27ED" w:rsidRDefault="00C42BBE" w:rsidP="00BE0548">
      <w:pPr>
        <w:spacing w:after="0" w:line="360" w:lineRule="auto"/>
        <w:jc w:val="left"/>
        <w:rPr>
          <w:b/>
          <w:sz w:val="28"/>
          <w:szCs w:val="28"/>
        </w:rPr>
      </w:pPr>
      <w:r w:rsidRPr="009A27ED">
        <w:rPr>
          <w:rFonts w:ascii="Times New Roman" w:eastAsia="Times New Roman" w:hAnsi="Times New Roman"/>
          <w:b/>
          <w:sz w:val="24"/>
          <w:szCs w:val="28"/>
        </w:rPr>
        <w:t xml:space="preserve">Revisión y ajustes </w:t>
      </w:r>
    </w:p>
    <w:p w14:paraId="549847BD" w14:textId="26A2980D" w:rsidR="00C910E6" w:rsidRPr="009A27ED" w:rsidRDefault="00C910E6" w:rsidP="00BE0548">
      <w:pPr>
        <w:spacing w:after="0" w:line="360" w:lineRule="auto"/>
        <w:jc w:val="left"/>
      </w:pPr>
      <w:r w:rsidRPr="009A27ED">
        <w:rPr>
          <w:rFonts w:ascii="Times New Roman" w:eastAsia="Times New Roman" w:hAnsi="Times New Roman"/>
          <w:sz w:val="24"/>
        </w:rPr>
        <w:t xml:space="preserve">Carlos </w:t>
      </w:r>
      <w:r w:rsidR="001B6C5C" w:rsidRPr="009A27ED">
        <w:rPr>
          <w:rFonts w:ascii="Times New Roman" w:eastAsia="Times New Roman" w:hAnsi="Times New Roman"/>
          <w:sz w:val="24"/>
        </w:rPr>
        <w:t>Rodríguez</w:t>
      </w:r>
      <w:r w:rsidRPr="009A27ED">
        <w:rPr>
          <w:rFonts w:ascii="Times New Roman" w:eastAsia="Times New Roman" w:hAnsi="Times New Roman"/>
          <w:sz w:val="24"/>
        </w:rPr>
        <w:t xml:space="preserve"> </w:t>
      </w:r>
      <w:proofErr w:type="spellStart"/>
      <w:r w:rsidRPr="009A27ED">
        <w:rPr>
          <w:rFonts w:ascii="Times New Roman" w:eastAsia="Times New Roman" w:hAnsi="Times New Roman"/>
          <w:sz w:val="24"/>
        </w:rPr>
        <w:t>Olivet</w:t>
      </w:r>
      <w:proofErr w:type="spellEnd"/>
    </w:p>
    <w:p w14:paraId="710507D5" w14:textId="77777777" w:rsidR="00C910E6" w:rsidRPr="009A27ED" w:rsidRDefault="00C910E6" w:rsidP="00BE0548">
      <w:pPr>
        <w:spacing w:after="0" w:line="360" w:lineRule="auto"/>
        <w:jc w:val="left"/>
      </w:pPr>
      <w:r w:rsidRPr="009A27ED">
        <w:rPr>
          <w:rFonts w:ascii="Times New Roman" w:eastAsia="Times New Roman" w:hAnsi="Times New Roman"/>
          <w:sz w:val="24"/>
        </w:rPr>
        <w:t>Melvin Pérez Ozuna</w:t>
      </w:r>
    </w:p>
    <w:p w14:paraId="690A5EFA" w14:textId="77777777" w:rsidR="00C910E6" w:rsidRPr="009A27ED" w:rsidRDefault="00C910E6" w:rsidP="00BE0548">
      <w:pPr>
        <w:spacing w:after="0" w:line="360" w:lineRule="auto"/>
        <w:jc w:val="left"/>
      </w:pPr>
      <w:r w:rsidRPr="009A27ED">
        <w:rPr>
          <w:rFonts w:ascii="Times New Roman" w:eastAsia="Times New Roman" w:hAnsi="Times New Roman"/>
          <w:sz w:val="24"/>
        </w:rPr>
        <w:t>Ana Gabriela Díaz Banegas</w:t>
      </w:r>
    </w:p>
    <w:p w14:paraId="4DEA8C8A" w14:textId="77777777" w:rsidR="00C910E6" w:rsidRPr="009A27ED" w:rsidRDefault="00C910E6" w:rsidP="008B38AE">
      <w:pPr>
        <w:spacing w:after="0" w:line="360" w:lineRule="auto"/>
      </w:pPr>
      <w:r w:rsidRPr="009A27ED">
        <w:rPr>
          <w:rFonts w:ascii="Times New Roman" w:eastAsia="Times New Roman" w:hAnsi="Times New Roman"/>
          <w:sz w:val="24"/>
        </w:rPr>
        <w:t>Sergio Rodríguez De León</w:t>
      </w:r>
    </w:p>
    <w:p w14:paraId="62D50568" w14:textId="27488CDA" w:rsidR="00F42A85" w:rsidRPr="009A27ED" w:rsidRDefault="00F42A85" w:rsidP="00F42A85">
      <w:pPr>
        <w:spacing w:after="0" w:line="360" w:lineRule="auto"/>
        <w:rPr>
          <w:b/>
          <w:szCs w:val="22"/>
        </w:rPr>
      </w:pPr>
    </w:p>
    <w:p w14:paraId="02EA6FC4" w14:textId="77777777" w:rsidR="00F42A85" w:rsidRPr="009A27ED" w:rsidRDefault="00F42A85" w:rsidP="00F42A85">
      <w:pPr>
        <w:spacing w:after="0" w:line="360" w:lineRule="auto"/>
        <w:rPr>
          <w:szCs w:val="22"/>
          <w:lang w:val="es-DO"/>
        </w:rPr>
      </w:pPr>
      <w:r w:rsidRPr="009A27ED">
        <w:rPr>
          <w:rFonts w:ascii="Times New Roman" w:eastAsia="Times New Roman" w:hAnsi="Times New Roman"/>
          <w:b/>
          <w:sz w:val="24"/>
          <w:szCs w:val="22"/>
          <w:lang w:val="es-DO"/>
        </w:rPr>
        <w:t>Cita del documento</w:t>
      </w:r>
    </w:p>
    <w:p w14:paraId="76CE5651" w14:textId="44BE0AD7" w:rsidR="00F42A85" w:rsidRPr="009A27ED" w:rsidRDefault="00F42A85" w:rsidP="00BE0548">
      <w:pPr>
        <w:spacing w:after="0" w:line="360" w:lineRule="auto"/>
        <w:rPr>
          <w:szCs w:val="22"/>
          <w:lang w:val="pt-BR"/>
        </w:rPr>
      </w:pPr>
      <w:r w:rsidRPr="009A27ED">
        <w:rPr>
          <w:rFonts w:ascii="Times New Roman" w:eastAsia="Times New Roman" w:hAnsi="Times New Roman"/>
          <w:sz w:val="24"/>
          <w:szCs w:val="22"/>
          <w:lang w:val="es-DO"/>
        </w:rPr>
        <w:t xml:space="preserve">Ministerio de Medio Ambiente y Recursos Naturales. 2019. Marco de </w:t>
      </w:r>
      <w:r w:rsidR="008D459D" w:rsidRPr="009A27ED">
        <w:rPr>
          <w:rFonts w:ascii="Times New Roman" w:eastAsia="Times New Roman" w:hAnsi="Times New Roman"/>
          <w:sz w:val="24"/>
          <w:szCs w:val="22"/>
          <w:lang w:val="es-DO"/>
        </w:rPr>
        <w:t>Gestión</w:t>
      </w:r>
      <w:r w:rsidRPr="009A27ED">
        <w:rPr>
          <w:rFonts w:ascii="Times New Roman" w:eastAsia="Times New Roman" w:hAnsi="Times New Roman"/>
          <w:sz w:val="24"/>
          <w:szCs w:val="22"/>
          <w:lang w:val="es-DO"/>
        </w:rPr>
        <w:t xml:space="preserve">  Ambiental y Social (MGAS) REDD+,  República </w:t>
      </w:r>
      <w:proofErr w:type="gramStart"/>
      <w:r w:rsidRPr="009A27ED">
        <w:rPr>
          <w:rFonts w:ascii="Times New Roman" w:eastAsia="Times New Roman" w:hAnsi="Times New Roman"/>
          <w:sz w:val="24"/>
          <w:szCs w:val="22"/>
          <w:lang w:val="es-DO"/>
        </w:rPr>
        <w:t>Dominicana</w:t>
      </w:r>
      <w:r w:rsidR="00050BD5" w:rsidRPr="009A27ED">
        <w:rPr>
          <w:rFonts w:ascii="Times New Roman" w:eastAsia="Times New Roman" w:hAnsi="Times New Roman"/>
          <w:sz w:val="24"/>
          <w:szCs w:val="22"/>
          <w:lang w:val="es-DO"/>
        </w:rPr>
        <w:t xml:space="preserve">, </w:t>
      </w:r>
      <w:r w:rsidRPr="009A27ED">
        <w:rPr>
          <w:rFonts w:ascii="Times New Roman" w:eastAsia="Times New Roman" w:hAnsi="Times New Roman"/>
          <w:sz w:val="24"/>
          <w:szCs w:val="22"/>
          <w:lang w:val="es-DO"/>
        </w:rPr>
        <w:t xml:space="preserve"> Banco</w:t>
      </w:r>
      <w:proofErr w:type="gramEnd"/>
      <w:r w:rsidRPr="009A27ED">
        <w:rPr>
          <w:rFonts w:ascii="Times New Roman" w:eastAsia="Times New Roman" w:hAnsi="Times New Roman"/>
          <w:sz w:val="24"/>
          <w:szCs w:val="22"/>
          <w:lang w:val="es-DO"/>
        </w:rPr>
        <w:t xml:space="preserve"> Mundial/ Fondo Cooperativo para el Carbono de los Bosques. </w:t>
      </w:r>
      <w:r w:rsidRPr="009A27ED">
        <w:rPr>
          <w:rFonts w:ascii="Times New Roman" w:eastAsia="Times New Roman" w:hAnsi="Times New Roman"/>
          <w:sz w:val="24"/>
          <w:szCs w:val="22"/>
          <w:lang w:val="pt-BR"/>
        </w:rPr>
        <w:t>Santo Domingo, República Dominicana.</w:t>
      </w:r>
    </w:p>
    <w:p w14:paraId="29D69ABA" w14:textId="77777777" w:rsidR="00C910E6" w:rsidRPr="009A27ED" w:rsidRDefault="00C910E6" w:rsidP="00F42A85">
      <w:pPr>
        <w:spacing w:after="0" w:line="360" w:lineRule="auto"/>
        <w:rPr>
          <w:szCs w:val="22"/>
          <w:lang w:val="pt-BR"/>
        </w:rPr>
      </w:pPr>
    </w:p>
    <w:p w14:paraId="3EB47C37" w14:textId="1611A5AF" w:rsidR="00C910E6" w:rsidRPr="009A27ED" w:rsidRDefault="00F42A85" w:rsidP="00F42A85">
      <w:pPr>
        <w:spacing w:after="0" w:line="360" w:lineRule="auto"/>
        <w:rPr>
          <w:b/>
          <w:szCs w:val="22"/>
          <w:lang w:val="pt-BR"/>
        </w:rPr>
      </w:pPr>
      <w:r w:rsidRPr="009A27ED">
        <w:rPr>
          <w:rFonts w:ascii="Times New Roman" w:eastAsia="Times New Roman" w:hAnsi="Times New Roman"/>
          <w:b/>
          <w:sz w:val="24"/>
          <w:szCs w:val="22"/>
          <w:lang w:val="pt-BR"/>
        </w:rPr>
        <w:lastRenderedPageBreak/>
        <w:t>Contacto</w:t>
      </w:r>
    </w:p>
    <w:p w14:paraId="736323E8" w14:textId="55D68A55" w:rsidR="00F42A85" w:rsidRPr="009A27ED" w:rsidRDefault="00F23304" w:rsidP="00F42A85">
      <w:pPr>
        <w:spacing w:after="0" w:line="360" w:lineRule="auto"/>
        <w:rPr>
          <w:szCs w:val="22"/>
          <w:lang w:val="pt-BR"/>
        </w:rPr>
      </w:pPr>
      <w:hyperlink r:id="rId14" w:history="1">
        <w:r w:rsidRPr="009A27ED">
          <w:rPr>
            <w:rStyle w:val="Hipervnculo"/>
            <w:szCs w:val="22"/>
            <w:lang w:val="pt-BR"/>
          </w:rPr>
          <w:t>http://ambiente.gob.</w:t>
        </w:r>
      </w:hyperlink>
      <w:r w:rsidRPr="009A27ED">
        <w:rPr>
          <w:rFonts w:ascii="Times New Roman" w:eastAsia="Times New Roman" w:hAnsi="Times New Roman"/>
          <w:sz w:val="24"/>
          <w:szCs w:val="22"/>
          <w:lang w:val="pt-BR"/>
        </w:rPr>
        <w:t>do</w:t>
      </w:r>
    </w:p>
    <w:p w14:paraId="3D6566BB" w14:textId="07543E54" w:rsidR="00F42A85" w:rsidRPr="009A27ED" w:rsidRDefault="00F42A85" w:rsidP="00F42A85">
      <w:pPr>
        <w:spacing w:after="0" w:line="360" w:lineRule="auto"/>
        <w:rPr>
          <w:lang w:val="pt-BR"/>
        </w:rPr>
      </w:pPr>
    </w:p>
    <w:p w14:paraId="45E7E07A" w14:textId="2A2911D8" w:rsidR="00002C67" w:rsidRPr="009A27ED" w:rsidRDefault="00002C67" w:rsidP="00F42A85">
      <w:pPr>
        <w:spacing w:after="0" w:line="360" w:lineRule="auto"/>
        <w:rPr>
          <w:lang w:val="pt-BR"/>
        </w:rPr>
      </w:pPr>
    </w:p>
    <w:p w14:paraId="049E4FE2" w14:textId="7ED903E5" w:rsidR="00002C67" w:rsidRPr="009A27ED" w:rsidRDefault="00002C67" w:rsidP="00F42A85">
      <w:pPr>
        <w:spacing w:after="0" w:line="360" w:lineRule="auto"/>
        <w:rPr>
          <w:lang w:val="pt-BR"/>
        </w:rPr>
      </w:pPr>
    </w:p>
    <w:p w14:paraId="667770C9" w14:textId="2D51F13E" w:rsidR="00002C67" w:rsidRPr="009A27ED" w:rsidRDefault="00002C67" w:rsidP="00F42A85">
      <w:pPr>
        <w:spacing w:after="0" w:line="360" w:lineRule="auto"/>
        <w:rPr>
          <w:lang w:val="pt-BR"/>
        </w:rPr>
      </w:pPr>
    </w:p>
    <w:p w14:paraId="3BA08FCC" w14:textId="0AA15E05" w:rsidR="00002C67" w:rsidRDefault="00002C67" w:rsidP="00F42A85">
      <w:pPr>
        <w:spacing w:after="0" w:line="360" w:lineRule="auto"/>
        <w:rPr>
          <w:lang w:val="pt-BR"/>
        </w:rPr>
      </w:pPr>
    </w:p>
    <w:p w14:paraId="0DF65F78" w14:textId="77777777" w:rsidR="00AD2952" w:rsidRDefault="00AD2952" w:rsidP="00F42A85">
      <w:pPr>
        <w:spacing w:after="0" w:line="360" w:lineRule="auto"/>
        <w:rPr>
          <w:lang w:val="pt-BR"/>
        </w:rPr>
      </w:pPr>
    </w:p>
    <w:p w14:paraId="40973922" w14:textId="77777777" w:rsidR="00AD2952" w:rsidRDefault="00AD2952" w:rsidP="00F42A85">
      <w:pPr>
        <w:spacing w:after="0" w:line="360" w:lineRule="auto"/>
        <w:rPr>
          <w:lang w:val="pt-BR"/>
        </w:rPr>
      </w:pPr>
    </w:p>
    <w:p w14:paraId="7A565700" w14:textId="77777777" w:rsidR="00AD2952" w:rsidRDefault="00AD2952" w:rsidP="00F42A85">
      <w:pPr>
        <w:spacing w:after="0" w:line="360" w:lineRule="auto"/>
        <w:rPr>
          <w:lang w:val="pt-BR"/>
        </w:rPr>
      </w:pPr>
    </w:p>
    <w:p w14:paraId="0FED2192" w14:textId="77777777" w:rsidR="00AD2952" w:rsidRDefault="00AD2952" w:rsidP="00F42A85">
      <w:pPr>
        <w:spacing w:after="0" w:line="360" w:lineRule="auto"/>
        <w:rPr>
          <w:lang w:val="pt-BR"/>
        </w:rPr>
      </w:pPr>
    </w:p>
    <w:p w14:paraId="4D1CC521" w14:textId="77777777" w:rsidR="00AD2952" w:rsidRDefault="00AD2952" w:rsidP="00F42A85">
      <w:pPr>
        <w:spacing w:after="0" w:line="360" w:lineRule="auto"/>
        <w:rPr>
          <w:lang w:val="pt-BR"/>
        </w:rPr>
      </w:pPr>
    </w:p>
    <w:p w14:paraId="59C157B2" w14:textId="77777777" w:rsidR="00AD2952" w:rsidRDefault="00AD2952" w:rsidP="00F42A85">
      <w:pPr>
        <w:spacing w:after="0" w:line="360" w:lineRule="auto"/>
        <w:rPr>
          <w:lang w:val="pt-BR"/>
        </w:rPr>
      </w:pPr>
    </w:p>
    <w:p w14:paraId="74964CF9" w14:textId="77777777" w:rsidR="00AD2952" w:rsidRDefault="00AD2952" w:rsidP="00F42A85">
      <w:pPr>
        <w:spacing w:after="0" w:line="360" w:lineRule="auto"/>
        <w:rPr>
          <w:lang w:val="pt-BR"/>
        </w:rPr>
      </w:pPr>
    </w:p>
    <w:p w14:paraId="2770CC52" w14:textId="77777777" w:rsidR="00AD2952" w:rsidRDefault="00AD2952" w:rsidP="00F42A85">
      <w:pPr>
        <w:spacing w:after="0" w:line="360" w:lineRule="auto"/>
        <w:rPr>
          <w:lang w:val="pt-BR"/>
        </w:rPr>
      </w:pPr>
    </w:p>
    <w:p w14:paraId="1CD0A143" w14:textId="77777777" w:rsidR="00AD2952" w:rsidRDefault="00AD2952" w:rsidP="00F42A85">
      <w:pPr>
        <w:spacing w:after="0" w:line="360" w:lineRule="auto"/>
        <w:rPr>
          <w:lang w:val="pt-BR"/>
        </w:rPr>
      </w:pPr>
    </w:p>
    <w:p w14:paraId="1BB76C9B" w14:textId="77777777" w:rsidR="00AD2952" w:rsidRDefault="00AD2952" w:rsidP="00F42A85">
      <w:pPr>
        <w:spacing w:after="0" w:line="360" w:lineRule="auto"/>
        <w:rPr>
          <w:lang w:val="pt-BR"/>
        </w:rPr>
      </w:pPr>
    </w:p>
    <w:p w14:paraId="0DC6F9F6" w14:textId="77777777" w:rsidR="00AD2952" w:rsidRDefault="00AD2952" w:rsidP="00F42A85">
      <w:pPr>
        <w:spacing w:after="0" w:line="360" w:lineRule="auto"/>
        <w:rPr>
          <w:lang w:val="pt-BR"/>
        </w:rPr>
      </w:pPr>
    </w:p>
    <w:p w14:paraId="58ADBDD5" w14:textId="77777777" w:rsidR="00AD2952" w:rsidRDefault="00AD2952" w:rsidP="00F42A85">
      <w:pPr>
        <w:spacing w:after="0" w:line="360" w:lineRule="auto"/>
        <w:rPr>
          <w:lang w:val="pt-BR"/>
        </w:rPr>
      </w:pPr>
    </w:p>
    <w:p w14:paraId="0B57A02D" w14:textId="77777777" w:rsidR="00AD2952" w:rsidRDefault="00AD2952" w:rsidP="00F42A85">
      <w:pPr>
        <w:spacing w:after="0" w:line="360" w:lineRule="auto"/>
        <w:rPr>
          <w:lang w:val="pt-BR"/>
        </w:rPr>
      </w:pPr>
    </w:p>
    <w:p w14:paraId="5039576E" w14:textId="77777777" w:rsidR="00AD2952" w:rsidRDefault="00AD2952" w:rsidP="00F42A85">
      <w:pPr>
        <w:spacing w:after="0" w:line="360" w:lineRule="auto"/>
        <w:rPr>
          <w:lang w:val="pt-BR"/>
        </w:rPr>
      </w:pPr>
    </w:p>
    <w:p w14:paraId="0DA5B823" w14:textId="77777777" w:rsidR="00AD2952" w:rsidRDefault="00AD2952" w:rsidP="00F42A85">
      <w:pPr>
        <w:spacing w:after="0" w:line="360" w:lineRule="auto"/>
        <w:rPr>
          <w:lang w:val="pt-BR"/>
        </w:rPr>
      </w:pPr>
    </w:p>
    <w:p w14:paraId="70F67CEE" w14:textId="77777777" w:rsidR="00AD2952" w:rsidRPr="009A27ED" w:rsidRDefault="00AD2952" w:rsidP="00F42A85">
      <w:pPr>
        <w:spacing w:after="0" w:line="360" w:lineRule="auto"/>
        <w:rPr>
          <w:lang w:val="pt-BR"/>
        </w:rPr>
      </w:pPr>
    </w:p>
    <w:p w14:paraId="6BA0A547" w14:textId="77777777" w:rsidR="00002C67" w:rsidRPr="009A27ED" w:rsidRDefault="00002C67" w:rsidP="00F42A85">
      <w:pPr>
        <w:spacing w:after="0" w:line="360" w:lineRule="auto"/>
        <w:rPr>
          <w:lang w:val="pt-BR"/>
        </w:rPr>
      </w:pPr>
    </w:p>
    <w:p w14:paraId="672CC267" w14:textId="77777777" w:rsidR="00BE0548" w:rsidRDefault="00BE0548" w:rsidP="0078724F">
      <w:pPr>
        <w:pStyle w:val="Ttulo1"/>
        <w:numPr>
          <w:ilvl w:val="0"/>
          <w:numId w:val="0"/>
        </w:numPr>
        <w:spacing w:line="360" w:lineRule="auto"/>
        <w:jc w:val="both"/>
        <w:rPr>
          <w:rFonts w:ascii="Times New Roman" w:eastAsia="Times New Roman" w:hAnsi="Times New Roman"/>
          <w:sz w:val="24"/>
        </w:rPr>
      </w:pPr>
      <w:bookmarkStart w:id="0" w:name="_Toc111837903"/>
    </w:p>
    <w:p w14:paraId="6173E245" w14:textId="49B2B093" w:rsidR="00947670" w:rsidRPr="009A27ED" w:rsidRDefault="00275ACA" w:rsidP="0078724F">
      <w:pPr>
        <w:pStyle w:val="Ttulo1"/>
        <w:numPr>
          <w:ilvl w:val="0"/>
          <w:numId w:val="0"/>
        </w:numPr>
        <w:spacing w:line="360" w:lineRule="auto"/>
        <w:jc w:val="both"/>
      </w:pPr>
      <w:r w:rsidRPr="009A27ED">
        <w:rPr>
          <w:rFonts w:ascii="Times New Roman" w:eastAsia="Times New Roman" w:hAnsi="Times New Roman"/>
          <w:sz w:val="24"/>
        </w:rPr>
        <w:t>Tabla de Contenido</w:t>
      </w:r>
      <w:bookmarkEnd w:id="0"/>
    </w:p>
    <w:p w14:paraId="15ED6422" w14:textId="3AFE7DDB" w:rsidR="00B65ED1" w:rsidRPr="009A27ED" w:rsidRDefault="005A46BB" w:rsidP="003010DC">
      <w:pPr>
        <w:pStyle w:val="TDC1"/>
        <w:tabs>
          <w:tab w:val="right" w:leader="dot" w:pos="9394"/>
        </w:tabs>
        <w:spacing w:line="360" w:lineRule="auto"/>
        <w:jc w:val="both"/>
        <w:rPr>
          <w:rFonts w:eastAsiaTheme="minorEastAsia" w:cstheme="minorBidi"/>
          <w:b w:val="0"/>
          <w:bCs w:val="0"/>
          <w:noProof/>
          <w:sz w:val="22"/>
          <w:szCs w:val="22"/>
          <w:lang w:val="es-DO"/>
        </w:rPr>
      </w:pPr>
      <w:r w:rsidRPr="009A27ED">
        <w:rPr>
          <w:rFonts w:ascii="Times New Roman" w:eastAsia="Times New Roman" w:hAnsi="Times New Roman"/>
          <w:b w:val="0"/>
          <w:sz w:val="24"/>
          <w:szCs w:val="22"/>
        </w:rPr>
        <w:fldChar w:fldCharType="begin"/>
      </w:r>
      <w:r w:rsidRPr="009A27ED">
        <w:rPr>
          <w:rFonts w:ascii="Times New Roman" w:eastAsia="Times New Roman" w:hAnsi="Times New Roman"/>
          <w:b w:val="0"/>
          <w:sz w:val="24"/>
          <w:szCs w:val="22"/>
        </w:rPr>
        <w:instrText xml:space="preserve"> TOC \o "1-3" \h \z \u </w:instrText>
      </w:r>
      <w:r w:rsidRPr="009A27ED">
        <w:rPr>
          <w:rFonts w:ascii="Times New Roman" w:eastAsia="Times New Roman" w:hAnsi="Times New Roman"/>
          <w:b w:val="0"/>
          <w:sz w:val="24"/>
          <w:szCs w:val="22"/>
        </w:rPr>
        <w:fldChar w:fldCharType="separate"/>
      </w:r>
    </w:p>
    <w:p w14:paraId="4F27255F" w14:textId="6D68C966" w:rsidR="00B65ED1" w:rsidRPr="009A27ED" w:rsidRDefault="00B65ED1">
      <w:pPr>
        <w:pStyle w:val="TDC1"/>
        <w:tabs>
          <w:tab w:val="right" w:leader="dot" w:pos="9394"/>
        </w:tabs>
        <w:spacing w:line="360" w:lineRule="auto"/>
        <w:jc w:val="both"/>
        <w:rPr>
          <w:rFonts w:eastAsiaTheme="minorEastAsia" w:cstheme="minorBidi"/>
          <w:b w:val="0"/>
          <w:bCs w:val="0"/>
          <w:noProof/>
          <w:sz w:val="22"/>
          <w:szCs w:val="22"/>
          <w:lang w:val="en-US"/>
        </w:rPr>
      </w:pPr>
      <w:hyperlink w:anchor="_Toc111837905" w:history="1">
        <w:r w:rsidRPr="009A27ED">
          <w:rPr>
            <w:rStyle w:val="Hipervnculo"/>
            <w:noProof/>
          </w:rPr>
          <w:t>Acrónimos</w:t>
        </w:r>
        <w:r w:rsidRPr="009A27ED">
          <w:rPr>
            <w:noProof/>
            <w:webHidden/>
          </w:rPr>
          <w:tab/>
        </w:r>
        <w:r w:rsidRPr="009A27ED">
          <w:rPr>
            <w:noProof/>
            <w:webHidden/>
          </w:rPr>
          <w:fldChar w:fldCharType="begin"/>
        </w:r>
        <w:r w:rsidRPr="009A27ED">
          <w:rPr>
            <w:noProof/>
            <w:webHidden/>
          </w:rPr>
          <w:instrText xml:space="preserve"> PAGEREF _Toc111837905 \h </w:instrText>
        </w:r>
        <w:r w:rsidRPr="009A27ED">
          <w:rPr>
            <w:noProof/>
            <w:webHidden/>
          </w:rPr>
        </w:r>
        <w:r w:rsidRPr="009A27ED">
          <w:rPr>
            <w:noProof/>
            <w:webHidden/>
          </w:rPr>
          <w:fldChar w:fldCharType="separate"/>
        </w:r>
        <w:r w:rsidR="007953F0" w:rsidRPr="009A27ED">
          <w:rPr>
            <w:noProof/>
            <w:webHidden/>
          </w:rPr>
          <w:t>8</w:t>
        </w:r>
        <w:r w:rsidRPr="009A27ED">
          <w:rPr>
            <w:noProof/>
            <w:webHidden/>
          </w:rPr>
          <w:fldChar w:fldCharType="end"/>
        </w:r>
      </w:hyperlink>
    </w:p>
    <w:p w14:paraId="2BD1901E" w14:textId="60C17873" w:rsidR="00B65ED1" w:rsidRPr="009A27ED" w:rsidRDefault="00B65ED1">
      <w:pPr>
        <w:pStyle w:val="TDC1"/>
        <w:tabs>
          <w:tab w:val="right" w:leader="dot" w:pos="9394"/>
        </w:tabs>
        <w:spacing w:line="360" w:lineRule="auto"/>
        <w:jc w:val="both"/>
        <w:rPr>
          <w:rFonts w:eastAsiaTheme="minorEastAsia" w:cstheme="minorBidi"/>
          <w:b w:val="0"/>
          <w:bCs w:val="0"/>
          <w:noProof/>
          <w:sz w:val="22"/>
          <w:szCs w:val="22"/>
          <w:lang w:val="en-US"/>
        </w:rPr>
      </w:pPr>
      <w:hyperlink w:anchor="_Toc111837906" w:history="1">
        <w:r w:rsidRPr="009A27ED">
          <w:rPr>
            <w:rStyle w:val="Hipervnculo"/>
            <w:noProof/>
          </w:rPr>
          <w:t>Glosario</w:t>
        </w:r>
        <w:r w:rsidRPr="009A27ED">
          <w:rPr>
            <w:noProof/>
            <w:webHidden/>
          </w:rPr>
          <w:tab/>
        </w:r>
        <w:r w:rsidRPr="009A27ED">
          <w:rPr>
            <w:noProof/>
            <w:webHidden/>
          </w:rPr>
          <w:fldChar w:fldCharType="begin"/>
        </w:r>
        <w:r w:rsidRPr="009A27ED">
          <w:rPr>
            <w:noProof/>
            <w:webHidden/>
          </w:rPr>
          <w:instrText xml:space="preserve"> PAGEREF _Toc111837906 \h </w:instrText>
        </w:r>
        <w:r w:rsidRPr="009A27ED">
          <w:rPr>
            <w:noProof/>
            <w:webHidden/>
          </w:rPr>
        </w:r>
        <w:r w:rsidRPr="009A27ED">
          <w:rPr>
            <w:noProof/>
            <w:webHidden/>
          </w:rPr>
          <w:fldChar w:fldCharType="separate"/>
        </w:r>
        <w:r w:rsidR="007953F0" w:rsidRPr="009A27ED">
          <w:rPr>
            <w:noProof/>
            <w:webHidden/>
          </w:rPr>
          <w:t>10</w:t>
        </w:r>
        <w:r w:rsidRPr="009A27ED">
          <w:rPr>
            <w:noProof/>
            <w:webHidden/>
          </w:rPr>
          <w:fldChar w:fldCharType="end"/>
        </w:r>
      </w:hyperlink>
    </w:p>
    <w:p w14:paraId="2192AA3D" w14:textId="45444ED1" w:rsidR="00B65ED1" w:rsidRPr="009A27ED" w:rsidRDefault="00B65ED1">
      <w:pPr>
        <w:pStyle w:val="TDC1"/>
        <w:tabs>
          <w:tab w:val="right" w:leader="dot" w:pos="9394"/>
        </w:tabs>
        <w:spacing w:line="360" w:lineRule="auto"/>
        <w:jc w:val="both"/>
        <w:rPr>
          <w:rFonts w:eastAsiaTheme="minorEastAsia" w:cstheme="minorBidi"/>
          <w:b w:val="0"/>
          <w:bCs w:val="0"/>
          <w:noProof/>
          <w:sz w:val="22"/>
          <w:szCs w:val="22"/>
          <w:lang w:val="en-US"/>
        </w:rPr>
      </w:pPr>
      <w:hyperlink w:anchor="_Toc111837907" w:history="1">
        <w:r w:rsidRPr="009A27ED">
          <w:rPr>
            <w:rStyle w:val="Hipervnculo"/>
            <w:noProof/>
          </w:rPr>
          <w:t>Resumen Ejecutivo</w:t>
        </w:r>
        <w:r w:rsidRPr="009A27ED">
          <w:rPr>
            <w:noProof/>
            <w:webHidden/>
          </w:rPr>
          <w:tab/>
        </w:r>
        <w:r w:rsidRPr="009A27ED">
          <w:rPr>
            <w:noProof/>
            <w:webHidden/>
          </w:rPr>
          <w:fldChar w:fldCharType="begin"/>
        </w:r>
        <w:r w:rsidRPr="009A27ED">
          <w:rPr>
            <w:noProof/>
            <w:webHidden/>
          </w:rPr>
          <w:instrText xml:space="preserve"> PAGEREF _Toc111837907 \h </w:instrText>
        </w:r>
        <w:r w:rsidRPr="009A27ED">
          <w:rPr>
            <w:noProof/>
            <w:webHidden/>
          </w:rPr>
        </w:r>
        <w:r w:rsidRPr="009A27ED">
          <w:rPr>
            <w:noProof/>
            <w:webHidden/>
          </w:rPr>
          <w:fldChar w:fldCharType="separate"/>
        </w:r>
        <w:r w:rsidR="007953F0" w:rsidRPr="009A27ED">
          <w:rPr>
            <w:noProof/>
            <w:webHidden/>
          </w:rPr>
          <w:t>15</w:t>
        </w:r>
        <w:r w:rsidRPr="009A27ED">
          <w:rPr>
            <w:noProof/>
            <w:webHidden/>
          </w:rPr>
          <w:fldChar w:fldCharType="end"/>
        </w:r>
      </w:hyperlink>
    </w:p>
    <w:p w14:paraId="1299A9C0" w14:textId="0936E03E" w:rsidR="00B65ED1" w:rsidRPr="009A27ED" w:rsidRDefault="00B65ED1">
      <w:pPr>
        <w:pStyle w:val="TDC1"/>
        <w:tabs>
          <w:tab w:val="left" w:pos="480"/>
          <w:tab w:val="right" w:leader="dot" w:pos="9394"/>
        </w:tabs>
        <w:spacing w:line="360" w:lineRule="auto"/>
        <w:jc w:val="both"/>
        <w:rPr>
          <w:rFonts w:eastAsiaTheme="minorEastAsia" w:cstheme="minorBidi"/>
          <w:b w:val="0"/>
          <w:bCs w:val="0"/>
          <w:noProof/>
          <w:sz w:val="22"/>
          <w:szCs w:val="22"/>
          <w:lang w:val="en-US"/>
        </w:rPr>
      </w:pPr>
      <w:hyperlink w:anchor="_Toc111837908" w:history="1">
        <w:r w:rsidRPr="009A27ED">
          <w:rPr>
            <w:rStyle w:val="Hipervnculo"/>
            <w:noProof/>
          </w:rPr>
          <w:t>1</w:t>
        </w:r>
        <w:r w:rsidRPr="009A27ED">
          <w:rPr>
            <w:rFonts w:eastAsiaTheme="minorEastAsia" w:cstheme="minorBidi"/>
            <w:b w:val="0"/>
            <w:bCs w:val="0"/>
            <w:noProof/>
            <w:sz w:val="22"/>
            <w:szCs w:val="22"/>
            <w:lang w:val="en-US"/>
          </w:rPr>
          <w:tab/>
        </w:r>
        <w:r w:rsidRPr="009A27ED">
          <w:rPr>
            <w:rStyle w:val="Hipervnculo"/>
            <w:noProof/>
          </w:rPr>
          <w:t>Introducción</w:t>
        </w:r>
        <w:r w:rsidRPr="009A27ED">
          <w:rPr>
            <w:noProof/>
            <w:webHidden/>
          </w:rPr>
          <w:tab/>
        </w:r>
        <w:r w:rsidRPr="009A27ED">
          <w:rPr>
            <w:noProof/>
            <w:webHidden/>
          </w:rPr>
          <w:fldChar w:fldCharType="begin"/>
        </w:r>
        <w:r w:rsidRPr="009A27ED">
          <w:rPr>
            <w:noProof/>
            <w:webHidden/>
          </w:rPr>
          <w:instrText xml:space="preserve"> PAGEREF _Toc111837908 \h </w:instrText>
        </w:r>
        <w:r w:rsidRPr="009A27ED">
          <w:rPr>
            <w:noProof/>
            <w:webHidden/>
          </w:rPr>
        </w:r>
        <w:r w:rsidRPr="009A27ED">
          <w:rPr>
            <w:noProof/>
            <w:webHidden/>
          </w:rPr>
          <w:fldChar w:fldCharType="separate"/>
        </w:r>
        <w:r w:rsidR="007953F0" w:rsidRPr="009A27ED">
          <w:rPr>
            <w:noProof/>
            <w:webHidden/>
          </w:rPr>
          <w:t>17</w:t>
        </w:r>
        <w:r w:rsidRPr="009A27ED">
          <w:rPr>
            <w:noProof/>
            <w:webHidden/>
          </w:rPr>
          <w:fldChar w:fldCharType="end"/>
        </w:r>
      </w:hyperlink>
    </w:p>
    <w:p w14:paraId="2C11D815" w14:textId="169867A3" w:rsidR="00B65ED1" w:rsidRPr="009A27ED" w:rsidRDefault="00B65ED1">
      <w:pPr>
        <w:pStyle w:val="TDC2"/>
        <w:tabs>
          <w:tab w:val="left" w:pos="720"/>
          <w:tab w:val="right" w:leader="dot" w:pos="9394"/>
        </w:tabs>
        <w:spacing w:line="360" w:lineRule="auto"/>
        <w:jc w:val="both"/>
        <w:rPr>
          <w:rFonts w:eastAsiaTheme="minorEastAsia" w:cstheme="minorBidi"/>
          <w:i w:val="0"/>
          <w:iCs w:val="0"/>
          <w:noProof/>
          <w:sz w:val="22"/>
          <w:szCs w:val="22"/>
          <w:lang w:val="en-US"/>
        </w:rPr>
      </w:pPr>
      <w:hyperlink w:anchor="_Toc111837909" w:history="1">
        <w:r w:rsidRPr="009A27ED">
          <w:rPr>
            <w:rStyle w:val="Hipervnculo"/>
            <w:noProof/>
          </w:rPr>
          <w:t>1.1</w:t>
        </w:r>
        <w:r w:rsidRPr="009A27ED">
          <w:rPr>
            <w:rFonts w:eastAsiaTheme="minorEastAsia" w:cstheme="minorBidi"/>
            <w:i w:val="0"/>
            <w:iCs w:val="0"/>
            <w:noProof/>
            <w:sz w:val="22"/>
            <w:szCs w:val="22"/>
            <w:lang w:val="en-US"/>
          </w:rPr>
          <w:tab/>
        </w:r>
        <w:r w:rsidRPr="009A27ED">
          <w:rPr>
            <w:rStyle w:val="Hipervnculo"/>
            <w:noProof/>
          </w:rPr>
          <w:t>Visión REDD+ en República Dominicana</w:t>
        </w:r>
        <w:r w:rsidRPr="009A27ED">
          <w:rPr>
            <w:noProof/>
            <w:webHidden/>
          </w:rPr>
          <w:tab/>
        </w:r>
        <w:r w:rsidRPr="009A27ED">
          <w:rPr>
            <w:noProof/>
            <w:webHidden/>
          </w:rPr>
          <w:fldChar w:fldCharType="begin"/>
        </w:r>
        <w:r w:rsidRPr="009A27ED">
          <w:rPr>
            <w:noProof/>
            <w:webHidden/>
          </w:rPr>
          <w:instrText xml:space="preserve"> PAGEREF _Toc111837909 \h </w:instrText>
        </w:r>
        <w:r w:rsidRPr="009A27ED">
          <w:rPr>
            <w:noProof/>
            <w:webHidden/>
          </w:rPr>
        </w:r>
        <w:r w:rsidRPr="009A27ED">
          <w:rPr>
            <w:noProof/>
            <w:webHidden/>
          </w:rPr>
          <w:fldChar w:fldCharType="separate"/>
        </w:r>
        <w:r w:rsidR="007953F0" w:rsidRPr="009A27ED">
          <w:rPr>
            <w:noProof/>
            <w:webHidden/>
          </w:rPr>
          <w:t>17</w:t>
        </w:r>
        <w:r w:rsidRPr="009A27ED">
          <w:rPr>
            <w:noProof/>
            <w:webHidden/>
          </w:rPr>
          <w:fldChar w:fldCharType="end"/>
        </w:r>
      </w:hyperlink>
    </w:p>
    <w:p w14:paraId="439B7359" w14:textId="18EEEABF" w:rsidR="00B65ED1" w:rsidRPr="009A27ED" w:rsidRDefault="00B65ED1">
      <w:pPr>
        <w:pStyle w:val="TDC2"/>
        <w:tabs>
          <w:tab w:val="left" w:pos="720"/>
          <w:tab w:val="right" w:leader="dot" w:pos="9394"/>
        </w:tabs>
        <w:spacing w:line="360" w:lineRule="auto"/>
        <w:jc w:val="both"/>
        <w:rPr>
          <w:rFonts w:eastAsiaTheme="minorEastAsia" w:cstheme="minorBidi"/>
          <w:i w:val="0"/>
          <w:iCs w:val="0"/>
          <w:noProof/>
          <w:sz w:val="22"/>
          <w:szCs w:val="22"/>
          <w:lang w:val="en-US"/>
        </w:rPr>
      </w:pPr>
      <w:hyperlink w:anchor="_Toc111837910" w:history="1">
        <w:r w:rsidRPr="009A27ED">
          <w:rPr>
            <w:rStyle w:val="Hipervnculo"/>
            <w:noProof/>
          </w:rPr>
          <w:t>1.2</w:t>
        </w:r>
        <w:r w:rsidRPr="009A27ED">
          <w:rPr>
            <w:rFonts w:eastAsiaTheme="minorEastAsia" w:cstheme="minorBidi"/>
            <w:i w:val="0"/>
            <w:iCs w:val="0"/>
            <w:noProof/>
            <w:sz w:val="22"/>
            <w:szCs w:val="22"/>
            <w:lang w:val="en-US"/>
          </w:rPr>
          <w:tab/>
        </w:r>
        <w:r w:rsidRPr="009A27ED">
          <w:rPr>
            <w:rStyle w:val="Hipervnculo"/>
            <w:noProof/>
          </w:rPr>
          <w:t>Requerimientos de Salvaguardas del FCPF</w:t>
        </w:r>
        <w:r w:rsidRPr="009A27ED">
          <w:rPr>
            <w:noProof/>
            <w:webHidden/>
          </w:rPr>
          <w:tab/>
        </w:r>
        <w:r w:rsidRPr="009A27ED">
          <w:rPr>
            <w:noProof/>
            <w:webHidden/>
          </w:rPr>
          <w:fldChar w:fldCharType="begin"/>
        </w:r>
        <w:r w:rsidRPr="009A27ED">
          <w:rPr>
            <w:noProof/>
            <w:webHidden/>
          </w:rPr>
          <w:instrText xml:space="preserve"> PAGEREF _Toc111837910 \h </w:instrText>
        </w:r>
        <w:r w:rsidRPr="009A27ED">
          <w:rPr>
            <w:noProof/>
            <w:webHidden/>
          </w:rPr>
        </w:r>
        <w:r w:rsidRPr="009A27ED">
          <w:rPr>
            <w:noProof/>
            <w:webHidden/>
          </w:rPr>
          <w:fldChar w:fldCharType="separate"/>
        </w:r>
        <w:r w:rsidR="007953F0" w:rsidRPr="009A27ED">
          <w:rPr>
            <w:noProof/>
            <w:webHidden/>
          </w:rPr>
          <w:t>21</w:t>
        </w:r>
        <w:r w:rsidRPr="009A27ED">
          <w:rPr>
            <w:noProof/>
            <w:webHidden/>
          </w:rPr>
          <w:fldChar w:fldCharType="end"/>
        </w:r>
      </w:hyperlink>
    </w:p>
    <w:p w14:paraId="3DA4EF61" w14:textId="29246368" w:rsidR="00B65ED1" w:rsidRPr="009A27ED" w:rsidRDefault="00B65ED1">
      <w:pPr>
        <w:pStyle w:val="TDC2"/>
        <w:tabs>
          <w:tab w:val="left" w:pos="720"/>
          <w:tab w:val="right" w:leader="dot" w:pos="9394"/>
        </w:tabs>
        <w:spacing w:line="360" w:lineRule="auto"/>
        <w:jc w:val="both"/>
        <w:rPr>
          <w:rFonts w:eastAsiaTheme="minorEastAsia" w:cstheme="minorBidi"/>
          <w:i w:val="0"/>
          <w:iCs w:val="0"/>
          <w:noProof/>
          <w:sz w:val="22"/>
          <w:szCs w:val="22"/>
          <w:lang w:val="en-US"/>
        </w:rPr>
      </w:pPr>
      <w:hyperlink w:anchor="_Toc111837911" w:history="1">
        <w:r w:rsidRPr="009A27ED">
          <w:rPr>
            <w:rStyle w:val="Hipervnculo"/>
            <w:noProof/>
          </w:rPr>
          <w:t>1.3</w:t>
        </w:r>
        <w:r w:rsidRPr="009A27ED">
          <w:rPr>
            <w:rFonts w:eastAsiaTheme="minorEastAsia" w:cstheme="minorBidi"/>
            <w:i w:val="0"/>
            <w:iCs w:val="0"/>
            <w:noProof/>
            <w:sz w:val="22"/>
            <w:szCs w:val="22"/>
            <w:lang w:val="en-US"/>
          </w:rPr>
          <w:tab/>
        </w:r>
        <w:r w:rsidRPr="009A27ED">
          <w:rPr>
            <w:rStyle w:val="Hipervnculo"/>
            <w:noProof/>
          </w:rPr>
          <w:t>Requerimientos de salvaguardas de la CMNUCC</w:t>
        </w:r>
        <w:r w:rsidRPr="009A27ED">
          <w:rPr>
            <w:noProof/>
            <w:webHidden/>
          </w:rPr>
          <w:tab/>
        </w:r>
        <w:r w:rsidRPr="009A27ED">
          <w:rPr>
            <w:noProof/>
            <w:webHidden/>
          </w:rPr>
          <w:fldChar w:fldCharType="begin"/>
        </w:r>
        <w:r w:rsidRPr="009A27ED">
          <w:rPr>
            <w:noProof/>
            <w:webHidden/>
          </w:rPr>
          <w:instrText xml:space="preserve"> PAGEREF _Toc111837911 \h </w:instrText>
        </w:r>
        <w:r w:rsidRPr="009A27ED">
          <w:rPr>
            <w:noProof/>
            <w:webHidden/>
          </w:rPr>
        </w:r>
        <w:r w:rsidRPr="009A27ED">
          <w:rPr>
            <w:noProof/>
            <w:webHidden/>
          </w:rPr>
          <w:fldChar w:fldCharType="separate"/>
        </w:r>
        <w:r w:rsidR="007953F0" w:rsidRPr="009A27ED">
          <w:rPr>
            <w:noProof/>
            <w:webHidden/>
          </w:rPr>
          <w:t>22</w:t>
        </w:r>
        <w:r w:rsidRPr="009A27ED">
          <w:rPr>
            <w:noProof/>
            <w:webHidden/>
          </w:rPr>
          <w:fldChar w:fldCharType="end"/>
        </w:r>
      </w:hyperlink>
    </w:p>
    <w:p w14:paraId="7B80321A" w14:textId="303AA5DF" w:rsidR="00B65ED1" w:rsidRPr="009A27ED" w:rsidRDefault="00B65ED1">
      <w:pPr>
        <w:pStyle w:val="TDC2"/>
        <w:tabs>
          <w:tab w:val="left" w:pos="720"/>
          <w:tab w:val="right" w:leader="dot" w:pos="9394"/>
        </w:tabs>
        <w:spacing w:line="360" w:lineRule="auto"/>
        <w:jc w:val="both"/>
        <w:rPr>
          <w:rFonts w:eastAsiaTheme="minorEastAsia" w:cstheme="minorBidi"/>
          <w:i w:val="0"/>
          <w:iCs w:val="0"/>
          <w:noProof/>
          <w:sz w:val="22"/>
          <w:szCs w:val="22"/>
          <w:lang w:val="en-US"/>
        </w:rPr>
      </w:pPr>
      <w:hyperlink w:anchor="_Toc111837912" w:history="1">
        <w:r w:rsidRPr="009A27ED">
          <w:rPr>
            <w:rStyle w:val="Hipervnculo"/>
            <w:noProof/>
          </w:rPr>
          <w:t>1.4</w:t>
        </w:r>
        <w:r w:rsidRPr="009A27ED">
          <w:rPr>
            <w:rFonts w:eastAsiaTheme="minorEastAsia" w:cstheme="minorBidi"/>
            <w:i w:val="0"/>
            <w:iCs w:val="0"/>
            <w:noProof/>
            <w:sz w:val="22"/>
            <w:szCs w:val="22"/>
            <w:lang w:val="en-US"/>
          </w:rPr>
          <w:tab/>
        </w:r>
        <w:r w:rsidRPr="009A27ED">
          <w:rPr>
            <w:rStyle w:val="Hipervnculo"/>
            <w:noProof/>
          </w:rPr>
          <w:t>Alcance y metodología del MGAS</w:t>
        </w:r>
        <w:r w:rsidRPr="009A27ED">
          <w:rPr>
            <w:noProof/>
            <w:webHidden/>
          </w:rPr>
          <w:tab/>
        </w:r>
        <w:r w:rsidRPr="009A27ED">
          <w:rPr>
            <w:noProof/>
            <w:webHidden/>
          </w:rPr>
          <w:fldChar w:fldCharType="begin"/>
        </w:r>
        <w:r w:rsidRPr="009A27ED">
          <w:rPr>
            <w:noProof/>
            <w:webHidden/>
          </w:rPr>
          <w:instrText xml:space="preserve"> PAGEREF _Toc111837912 \h </w:instrText>
        </w:r>
        <w:r w:rsidRPr="009A27ED">
          <w:rPr>
            <w:noProof/>
            <w:webHidden/>
          </w:rPr>
        </w:r>
        <w:r w:rsidRPr="009A27ED">
          <w:rPr>
            <w:noProof/>
            <w:webHidden/>
          </w:rPr>
          <w:fldChar w:fldCharType="separate"/>
        </w:r>
        <w:r w:rsidR="007953F0" w:rsidRPr="009A27ED">
          <w:rPr>
            <w:noProof/>
            <w:webHidden/>
          </w:rPr>
          <w:t>24</w:t>
        </w:r>
        <w:r w:rsidRPr="009A27ED">
          <w:rPr>
            <w:noProof/>
            <w:webHidden/>
          </w:rPr>
          <w:fldChar w:fldCharType="end"/>
        </w:r>
      </w:hyperlink>
    </w:p>
    <w:p w14:paraId="000F15CC" w14:textId="1D4445A1" w:rsidR="00B65ED1" w:rsidRPr="009A27ED" w:rsidRDefault="00B65ED1">
      <w:pPr>
        <w:pStyle w:val="TDC3"/>
        <w:tabs>
          <w:tab w:val="left" w:pos="1200"/>
          <w:tab w:val="right" w:leader="dot" w:pos="9394"/>
        </w:tabs>
        <w:spacing w:line="360" w:lineRule="auto"/>
        <w:jc w:val="both"/>
        <w:rPr>
          <w:rFonts w:eastAsiaTheme="minorEastAsia" w:cstheme="minorBidi"/>
          <w:noProof/>
          <w:sz w:val="22"/>
          <w:szCs w:val="22"/>
          <w:lang w:val="en-US"/>
        </w:rPr>
      </w:pPr>
      <w:hyperlink w:anchor="_Toc111837913" w:history="1">
        <w:r w:rsidRPr="009A27ED">
          <w:rPr>
            <w:rStyle w:val="Hipervnculo"/>
            <w:noProof/>
          </w:rPr>
          <w:t>1.4.1</w:t>
        </w:r>
        <w:r w:rsidRPr="009A27ED">
          <w:rPr>
            <w:rFonts w:eastAsiaTheme="minorEastAsia" w:cstheme="minorBidi"/>
            <w:noProof/>
            <w:sz w:val="22"/>
            <w:szCs w:val="22"/>
            <w:lang w:val="en-US"/>
          </w:rPr>
          <w:tab/>
        </w:r>
        <w:r w:rsidRPr="009A27ED">
          <w:rPr>
            <w:rStyle w:val="Hipervnculo"/>
            <w:noProof/>
          </w:rPr>
          <w:t>Alcance del MGAS</w:t>
        </w:r>
        <w:r w:rsidRPr="009A27ED">
          <w:rPr>
            <w:noProof/>
            <w:webHidden/>
          </w:rPr>
          <w:tab/>
        </w:r>
        <w:r w:rsidRPr="009A27ED">
          <w:rPr>
            <w:noProof/>
            <w:webHidden/>
          </w:rPr>
          <w:fldChar w:fldCharType="begin"/>
        </w:r>
        <w:r w:rsidRPr="009A27ED">
          <w:rPr>
            <w:noProof/>
            <w:webHidden/>
          </w:rPr>
          <w:instrText xml:space="preserve"> PAGEREF _Toc111837913 \h </w:instrText>
        </w:r>
        <w:r w:rsidRPr="009A27ED">
          <w:rPr>
            <w:noProof/>
            <w:webHidden/>
          </w:rPr>
        </w:r>
        <w:r w:rsidRPr="009A27ED">
          <w:rPr>
            <w:noProof/>
            <w:webHidden/>
          </w:rPr>
          <w:fldChar w:fldCharType="separate"/>
        </w:r>
        <w:r w:rsidR="007953F0" w:rsidRPr="009A27ED">
          <w:rPr>
            <w:noProof/>
            <w:webHidden/>
          </w:rPr>
          <w:t>24</w:t>
        </w:r>
        <w:r w:rsidRPr="009A27ED">
          <w:rPr>
            <w:noProof/>
            <w:webHidden/>
          </w:rPr>
          <w:fldChar w:fldCharType="end"/>
        </w:r>
      </w:hyperlink>
    </w:p>
    <w:p w14:paraId="5DC3DA72" w14:textId="4DEDCCB1" w:rsidR="00B65ED1" w:rsidRPr="009A27ED" w:rsidRDefault="00B65ED1">
      <w:pPr>
        <w:pStyle w:val="TDC3"/>
        <w:tabs>
          <w:tab w:val="left" w:pos="1200"/>
          <w:tab w:val="right" w:leader="dot" w:pos="9394"/>
        </w:tabs>
        <w:spacing w:line="360" w:lineRule="auto"/>
        <w:jc w:val="both"/>
        <w:rPr>
          <w:rFonts w:eastAsiaTheme="minorEastAsia" w:cstheme="minorBidi"/>
          <w:noProof/>
          <w:sz w:val="22"/>
          <w:szCs w:val="22"/>
          <w:lang w:val="en-US"/>
        </w:rPr>
      </w:pPr>
      <w:hyperlink w:anchor="_Toc111837914" w:history="1">
        <w:r w:rsidRPr="009A27ED">
          <w:rPr>
            <w:rStyle w:val="Hipervnculo"/>
            <w:noProof/>
          </w:rPr>
          <w:t>1.4.2</w:t>
        </w:r>
        <w:r w:rsidRPr="009A27ED">
          <w:rPr>
            <w:rFonts w:eastAsiaTheme="minorEastAsia" w:cstheme="minorBidi"/>
            <w:noProof/>
            <w:sz w:val="22"/>
            <w:szCs w:val="22"/>
            <w:lang w:val="en-US"/>
          </w:rPr>
          <w:tab/>
        </w:r>
        <w:r w:rsidRPr="009A27ED">
          <w:rPr>
            <w:rStyle w:val="Hipervnculo"/>
            <w:noProof/>
          </w:rPr>
          <w:t>Metodología empleada en la elaboración del MGAS</w:t>
        </w:r>
        <w:r w:rsidRPr="009A27ED">
          <w:rPr>
            <w:noProof/>
            <w:webHidden/>
          </w:rPr>
          <w:tab/>
        </w:r>
        <w:r w:rsidRPr="009A27ED">
          <w:rPr>
            <w:noProof/>
            <w:webHidden/>
          </w:rPr>
          <w:fldChar w:fldCharType="begin"/>
        </w:r>
        <w:r w:rsidRPr="009A27ED">
          <w:rPr>
            <w:noProof/>
            <w:webHidden/>
          </w:rPr>
          <w:instrText xml:space="preserve"> PAGEREF _Toc111837914 \h </w:instrText>
        </w:r>
        <w:r w:rsidRPr="009A27ED">
          <w:rPr>
            <w:noProof/>
            <w:webHidden/>
          </w:rPr>
        </w:r>
        <w:r w:rsidRPr="009A27ED">
          <w:rPr>
            <w:noProof/>
            <w:webHidden/>
          </w:rPr>
          <w:fldChar w:fldCharType="separate"/>
        </w:r>
        <w:r w:rsidR="007953F0" w:rsidRPr="009A27ED">
          <w:rPr>
            <w:noProof/>
            <w:webHidden/>
          </w:rPr>
          <w:t>24</w:t>
        </w:r>
        <w:r w:rsidRPr="009A27ED">
          <w:rPr>
            <w:noProof/>
            <w:webHidden/>
          </w:rPr>
          <w:fldChar w:fldCharType="end"/>
        </w:r>
      </w:hyperlink>
    </w:p>
    <w:p w14:paraId="3DA02F1E" w14:textId="44C03970" w:rsidR="00B65ED1" w:rsidRPr="009A27ED" w:rsidRDefault="00B65ED1">
      <w:pPr>
        <w:pStyle w:val="TDC1"/>
        <w:tabs>
          <w:tab w:val="left" w:pos="480"/>
          <w:tab w:val="right" w:leader="dot" w:pos="9394"/>
        </w:tabs>
        <w:spacing w:line="360" w:lineRule="auto"/>
        <w:jc w:val="both"/>
        <w:rPr>
          <w:rFonts w:eastAsiaTheme="minorEastAsia" w:cstheme="minorBidi"/>
          <w:b w:val="0"/>
          <w:bCs w:val="0"/>
          <w:noProof/>
          <w:sz w:val="22"/>
          <w:szCs w:val="22"/>
          <w:lang w:val="en-US"/>
        </w:rPr>
      </w:pPr>
      <w:hyperlink w:anchor="_Toc111837915" w:history="1">
        <w:r w:rsidRPr="009A27ED">
          <w:rPr>
            <w:rStyle w:val="Hipervnculo"/>
            <w:noProof/>
          </w:rPr>
          <w:t>2</w:t>
        </w:r>
        <w:r w:rsidRPr="009A27ED">
          <w:rPr>
            <w:rFonts w:eastAsiaTheme="minorEastAsia" w:cstheme="minorBidi"/>
            <w:b w:val="0"/>
            <w:bCs w:val="0"/>
            <w:noProof/>
            <w:sz w:val="22"/>
            <w:szCs w:val="22"/>
            <w:lang w:val="en-US"/>
          </w:rPr>
          <w:tab/>
        </w:r>
        <w:r w:rsidRPr="009A27ED">
          <w:rPr>
            <w:rStyle w:val="Hipervnculo"/>
            <w:noProof/>
          </w:rPr>
          <w:t>Descripción de las causas de deforestación y degradación en República Dominicana, opciones y acciones estratégicas REDD+</w:t>
        </w:r>
        <w:r w:rsidRPr="009A27ED">
          <w:rPr>
            <w:noProof/>
            <w:webHidden/>
          </w:rPr>
          <w:tab/>
        </w:r>
        <w:r w:rsidRPr="009A27ED">
          <w:rPr>
            <w:noProof/>
            <w:webHidden/>
          </w:rPr>
          <w:fldChar w:fldCharType="begin"/>
        </w:r>
        <w:r w:rsidRPr="009A27ED">
          <w:rPr>
            <w:noProof/>
            <w:webHidden/>
          </w:rPr>
          <w:instrText xml:space="preserve"> PAGEREF _Toc111837915 \h </w:instrText>
        </w:r>
        <w:r w:rsidRPr="009A27ED">
          <w:rPr>
            <w:noProof/>
            <w:webHidden/>
          </w:rPr>
        </w:r>
        <w:r w:rsidRPr="009A27ED">
          <w:rPr>
            <w:noProof/>
            <w:webHidden/>
          </w:rPr>
          <w:fldChar w:fldCharType="separate"/>
        </w:r>
        <w:r w:rsidR="007953F0" w:rsidRPr="009A27ED">
          <w:rPr>
            <w:noProof/>
            <w:webHidden/>
          </w:rPr>
          <w:t>25</w:t>
        </w:r>
        <w:r w:rsidRPr="009A27ED">
          <w:rPr>
            <w:noProof/>
            <w:webHidden/>
          </w:rPr>
          <w:fldChar w:fldCharType="end"/>
        </w:r>
      </w:hyperlink>
    </w:p>
    <w:p w14:paraId="453C61FF" w14:textId="486856E7" w:rsidR="00B65ED1" w:rsidRPr="009A27ED" w:rsidRDefault="00B65ED1">
      <w:pPr>
        <w:pStyle w:val="TDC2"/>
        <w:tabs>
          <w:tab w:val="left" w:pos="720"/>
          <w:tab w:val="right" w:leader="dot" w:pos="9394"/>
        </w:tabs>
        <w:spacing w:line="360" w:lineRule="auto"/>
        <w:jc w:val="both"/>
        <w:rPr>
          <w:rFonts w:eastAsiaTheme="minorEastAsia" w:cstheme="minorBidi"/>
          <w:i w:val="0"/>
          <w:iCs w:val="0"/>
          <w:noProof/>
          <w:sz w:val="22"/>
          <w:szCs w:val="22"/>
          <w:lang w:val="en-US"/>
        </w:rPr>
      </w:pPr>
      <w:hyperlink w:anchor="_Toc111837916" w:history="1">
        <w:r w:rsidRPr="009A27ED">
          <w:rPr>
            <w:rStyle w:val="Hipervnculo"/>
            <w:noProof/>
          </w:rPr>
          <w:t>2.1</w:t>
        </w:r>
        <w:r w:rsidRPr="009A27ED">
          <w:rPr>
            <w:rFonts w:eastAsiaTheme="minorEastAsia" w:cstheme="minorBidi"/>
            <w:i w:val="0"/>
            <w:iCs w:val="0"/>
            <w:noProof/>
            <w:sz w:val="22"/>
            <w:szCs w:val="22"/>
            <w:lang w:val="en-US"/>
          </w:rPr>
          <w:tab/>
        </w:r>
        <w:r w:rsidRPr="009A27ED">
          <w:rPr>
            <w:rStyle w:val="Hipervnculo"/>
            <w:noProof/>
          </w:rPr>
          <w:t>Causas de la deforestación y degradación en República Dominicana</w:t>
        </w:r>
        <w:r w:rsidRPr="009A27ED">
          <w:rPr>
            <w:noProof/>
            <w:webHidden/>
          </w:rPr>
          <w:tab/>
        </w:r>
        <w:r w:rsidRPr="009A27ED">
          <w:rPr>
            <w:noProof/>
            <w:webHidden/>
          </w:rPr>
          <w:fldChar w:fldCharType="begin"/>
        </w:r>
        <w:r w:rsidRPr="009A27ED">
          <w:rPr>
            <w:noProof/>
            <w:webHidden/>
          </w:rPr>
          <w:instrText xml:space="preserve"> PAGEREF _Toc111837916 \h </w:instrText>
        </w:r>
        <w:r w:rsidRPr="009A27ED">
          <w:rPr>
            <w:noProof/>
            <w:webHidden/>
          </w:rPr>
        </w:r>
        <w:r w:rsidRPr="009A27ED">
          <w:rPr>
            <w:noProof/>
            <w:webHidden/>
          </w:rPr>
          <w:fldChar w:fldCharType="separate"/>
        </w:r>
        <w:r w:rsidR="007953F0" w:rsidRPr="009A27ED">
          <w:rPr>
            <w:noProof/>
            <w:webHidden/>
          </w:rPr>
          <w:t>25</w:t>
        </w:r>
        <w:r w:rsidRPr="009A27ED">
          <w:rPr>
            <w:noProof/>
            <w:webHidden/>
          </w:rPr>
          <w:fldChar w:fldCharType="end"/>
        </w:r>
      </w:hyperlink>
    </w:p>
    <w:p w14:paraId="38885425" w14:textId="129E2399" w:rsidR="00B65ED1" w:rsidRPr="009A27ED" w:rsidRDefault="00B65ED1">
      <w:pPr>
        <w:pStyle w:val="TDC3"/>
        <w:tabs>
          <w:tab w:val="left" w:pos="1200"/>
          <w:tab w:val="right" w:leader="dot" w:pos="9394"/>
        </w:tabs>
        <w:spacing w:line="360" w:lineRule="auto"/>
        <w:jc w:val="both"/>
        <w:rPr>
          <w:rFonts w:eastAsiaTheme="minorEastAsia" w:cstheme="minorBidi"/>
          <w:noProof/>
          <w:sz w:val="22"/>
          <w:szCs w:val="22"/>
          <w:lang w:val="en-US"/>
        </w:rPr>
      </w:pPr>
      <w:hyperlink w:anchor="_Toc111837917" w:history="1">
        <w:r w:rsidRPr="009A27ED">
          <w:rPr>
            <w:rStyle w:val="Hipervnculo"/>
            <w:noProof/>
          </w:rPr>
          <w:t>2.1.1</w:t>
        </w:r>
        <w:r w:rsidRPr="009A27ED">
          <w:rPr>
            <w:rFonts w:eastAsiaTheme="minorEastAsia" w:cstheme="minorBidi"/>
            <w:noProof/>
            <w:sz w:val="22"/>
            <w:szCs w:val="22"/>
            <w:lang w:val="en-US"/>
          </w:rPr>
          <w:tab/>
        </w:r>
        <w:r w:rsidRPr="009A27ED">
          <w:rPr>
            <w:rStyle w:val="Hipervnculo"/>
            <w:noProof/>
          </w:rPr>
          <w:t>Causas directas</w:t>
        </w:r>
        <w:r w:rsidRPr="009A27ED">
          <w:rPr>
            <w:noProof/>
            <w:webHidden/>
          </w:rPr>
          <w:tab/>
        </w:r>
        <w:r w:rsidRPr="009A27ED">
          <w:rPr>
            <w:noProof/>
            <w:webHidden/>
          </w:rPr>
          <w:fldChar w:fldCharType="begin"/>
        </w:r>
        <w:r w:rsidRPr="009A27ED">
          <w:rPr>
            <w:noProof/>
            <w:webHidden/>
          </w:rPr>
          <w:instrText xml:space="preserve"> PAGEREF _Toc111837917 \h </w:instrText>
        </w:r>
        <w:r w:rsidRPr="009A27ED">
          <w:rPr>
            <w:noProof/>
            <w:webHidden/>
          </w:rPr>
        </w:r>
        <w:r w:rsidRPr="009A27ED">
          <w:rPr>
            <w:noProof/>
            <w:webHidden/>
          </w:rPr>
          <w:fldChar w:fldCharType="separate"/>
        </w:r>
        <w:r w:rsidR="007953F0" w:rsidRPr="009A27ED">
          <w:rPr>
            <w:noProof/>
            <w:webHidden/>
          </w:rPr>
          <w:t>25</w:t>
        </w:r>
        <w:r w:rsidRPr="009A27ED">
          <w:rPr>
            <w:noProof/>
            <w:webHidden/>
          </w:rPr>
          <w:fldChar w:fldCharType="end"/>
        </w:r>
      </w:hyperlink>
    </w:p>
    <w:p w14:paraId="6110E77B" w14:textId="3FEC1AD3" w:rsidR="00B65ED1" w:rsidRPr="009A27ED" w:rsidRDefault="00B65ED1">
      <w:pPr>
        <w:pStyle w:val="TDC3"/>
        <w:tabs>
          <w:tab w:val="left" w:pos="1200"/>
          <w:tab w:val="right" w:leader="dot" w:pos="9394"/>
        </w:tabs>
        <w:spacing w:line="360" w:lineRule="auto"/>
        <w:jc w:val="both"/>
        <w:rPr>
          <w:rFonts w:eastAsiaTheme="minorEastAsia" w:cstheme="minorBidi"/>
          <w:noProof/>
          <w:sz w:val="22"/>
          <w:szCs w:val="22"/>
          <w:lang w:val="en-US"/>
        </w:rPr>
      </w:pPr>
      <w:hyperlink w:anchor="_Toc111837918" w:history="1">
        <w:r w:rsidRPr="009A27ED">
          <w:rPr>
            <w:rStyle w:val="Hipervnculo"/>
            <w:rFonts w:eastAsia="Calibri"/>
            <w:noProof/>
            <w:lang w:eastAsia="gl"/>
          </w:rPr>
          <w:t>2.1.2</w:t>
        </w:r>
        <w:r w:rsidRPr="009A27ED">
          <w:rPr>
            <w:rFonts w:eastAsiaTheme="minorEastAsia" w:cstheme="minorBidi"/>
            <w:noProof/>
            <w:sz w:val="22"/>
            <w:szCs w:val="22"/>
            <w:lang w:val="en-US"/>
          </w:rPr>
          <w:tab/>
        </w:r>
        <w:r w:rsidRPr="009A27ED">
          <w:rPr>
            <w:rStyle w:val="Hipervnculo"/>
            <w:rFonts w:eastAsia="Calibri"/>
            <w:noProof/>
            <w:lang w:eastAsia="gl"/>
          </w:rPr>
          <w:t>Causas indirectas</w:t>
        </w:r>
        <w:r w:rsidRPr="009A27ED">
          <w:rPr>
            <w:noProof/>
            <w:webHidden/>
          </w:rPr>
          <w:tab/>
        </w:r>
        <w:r w:rsidRPr="009A27ED">
          <w:rPr>
            <w:noProof/>
            <w:webHidden/>
          </w:rPr>
          <w:fldChar w:fldCharType="begin"/>
        </w:r>
        <w:r w:rsidRPr="009A27ED">
          <w:rPr>
            <w:noProof/>
            <w:webHidden/>
          </w:rPr>
          <w:instrText xml:space="preserve"> PAGEREF _Toc111837918 \h </w:instrText>
        </w:r>
        <w:r w:rsidRPr="009A27ED">
          <w:rPr>
            <w:noProof/>
            <w:webHidden/>
          </w:rPr>
        </w:r>
        <w:r w:rsidRPr="009A27ED">
          <w:rPr>
            <w:noProof/>
            <w:webHidden/>
          </w:rPr>
          <w:fldChar w:fldCharType="separate"/>
        </w:r>
        <w:r w:rsidR="007953F0" w:rsidRPr="009A27ED">
          <w:rPr>
            <w:noProof/>
            <w:webHidden/>
          </w:rPr>
          <w:t>36</w:t>
        </w:r>
        <w:r w:rsidRPr="009A27ED">
          <w:rPr>
            <w:noProof/>
            <w:webHidden/>
          </w:rPr>
          <w:fldChar w:fldCharType="end"/>
        </w:r>
      </w:hyperlink>
    </w:p>
    <w:p w14:paraId="608D43EE" w14:textId="76F7D47B" w:rsidR="00B65ED1" w:rsidRPr="009A27ED" w:rsidRDefault="00B65ED1">
      <w:pPr>
        <w:pStyle w:val="TDC2"/>
        <w:tabs>
          <w:tab w:val="left" w:pos="720"/>
          <w:tab w:val="right" w:leader="dot" w:pos="9394"/>
        </w:tabs>
        <w:spacing w:line="360" w:lineRule="auto"/>
        <w:jc w:val="both"/>
        <w:rPr>
          <w:rFonts w:eastAsiaTheme="minorEastAsia" w:cstheme="minorBidi"/>
          <w:i w:val="0"/>
          <w:iCs w:val="0"/>
          <w:noProof/>
          <w:sz w:val="22"/>
          <w:szCs w:val="22"/>
          <w:lang w:val="en-US"/>
        </w:rPr>
      </w:pPr>
      <w:hyperlink w:anchor="_Toc111837919" w:history="1">
        <w:r w:rsidRPr="009A27ED">
          <w:rPr>
            <w:rStyle w:val="Hipervnculo"/>
            <w:noProof/>
          </w:rPr>
          <w:t>2.2</w:t>
        </w:r>
        <w:r w:rsidRPr="009A27ED">
          <w:rPr>
            <w:rFonts w:eastAsiaTheme="minorEastAsia" w:cstheme="minorBidi"/>
            <w:i w:val="0"/>
            <w:iCs w:val="0"/>
            <w:noProof/>
            <w:sz w:val="22"/>
            <w:szCs w:val="22"/>
            <w:lang w:val="en-US"/>
          </w:rPr>
          <w:tab/>
        </w:r>
        <w:r w:rsidRPr="009A27ED">
          <w:rPr>
            <w:rStyle w:val="Hipervnculo"/>
            <w:noProof/>
          </w:rPr>
          <w:t>Opciones y acciones estratégicas REDD+</w:t>
        </w:r>
        <w:r w:rsidRPr="009A27ED">
          <w:rPr>
            <w:noProof/>
            <w:webHidden/>
          </w:rPr>
          <w:tab/>
        </w:r>
        <w:r w:rsidRPr="009A27ED">
          <w:rPr>
            <w:noProof/>
            <w:webHidden/>
          </w:rPr>
          <w:fldChar w:fldCharType="begin"/>
        </w:r>
        <w:r w:rsidRPr="009A27ED">
          <w:rPr>
            <w:noProof/>
            <w:webHidden/>
          </w:rPr>
          <w:instrText xml:space="preserve"> PAGEREF _Toc111837919 \h </w:instrText>
        </w:r>
        <w:r w:rsidRPr="009A27ED">
          <w:rPr>
            <w:noProof/>
            <w:webHidden/>
          </w:rPr>
        </w:r>
        <w:r w:rsidRPr="009A27ED">
          <w:rPr>
            <w:noProof/>
            <w:webHidden/>
          </w:rPr>
          <w:fldChar w:fldCharType="separate"/>
        </w:r>
        <w:r w:rsidR="007953F0" w:rsidRPr="009A27ED">
          <w:rPr>
            <w:noProof/>
            <w:webHidden/>
          </w:rPr>
          <w:t>43</w:t>
        </w:r>
        <w:r w:rsidRPr="009A27ED">
          <w:rPr>
            <w:noProof/>
            <w:webHidden/>
          </w:rPr>
          <w:fldChar w:fldCharType="end"/>
        </w:r>
      </w:hyperlink>
    </w:p>
    <w:p w14:paraId="2673F108" w14:textId="176DC661" w:rsidR="00B65ED1" w:rsidRPr="009A27ED" w:rsidRDefault="00062A19" w:rsidP="00062A19">
      <w:pPr>
        <w:pStyle w:val="TDC2"/>
        <w:tabs>
          <w:tab w:val="left" w:pos="720"/>
          <w:tab w:val="right" w:leader="dot" w:pos="9394"/>
        </w:tabs>
        <w:spacing w:line="360" w:lineRule="auto"/>
        <w:ind w:left="0"/>
        <w:jc w:val="both"/>
        <w:rPr>
          <w:rFonts w:eastAsiaTheme="minorEastAsia" w:cstheme="minorBidi"/>
          <w:i w:val="0"/>
          <w:iCs w:val="0"/>
          <w:noProof/>
          <w:sz w:val="22"/>
          <w:szCs w:val="22"/>
          <w:lang w:val="en-US"/>
        </w:rPr>
      </w:pPr>
      <w:r w:rsidRPr="009A27ED">
        <w:rPr>
          <w:rFonts w:ascii="Times New Roman" w:eastAsia="Times New Roman" w:hAnsi="Times New Roman"/>
          <w:sz w:val="24"/>
        </w:rPr>
        <w:t xml:space="preserve">    </w:t>
      </w:r>
      <w:hyperlink w:anchor="_Toc111837920" w:history="1">
        <w:r w:rsidR="00B65ED1" w:rsidRPr="009A27ED">
          <w:rPr>
            <w:rStyle w:val="Hipervnculo"/>
            <w:noProof/>
          </w:rPr>
          <w:t>2.3</w:t>
        </w:r>
        <w:r w:rsidR="00B65ED1" w:rsidRPr="009A27ED">
          <w:rPr>
            <w:rFonts w:eastAsiaTheme="minorEastAsia" w:cstheme="minorBidi"/>
            <w:i w:val="0"/>
            <w:iCs w:val="0"/>
            <w:noProof/>
            <w:sz w:val="22"/>
            <w:szCs w:val="22"/>
            <w:lang w:val="en-US"/>
          </w:rPr>
          <w:tab/>
        </w:r>
        <w:r w:rsidR="00B65ED1" w:rsidRPr="009A27ED">
          <w:rPr>
            <w:rStyle w:val="Hipervnculo"/>
            <w:noProof/>
          </w:rPr>
          <w:t>Planes, Sistemas, Programas, Proyectos y actividades REDD+</w:t>
        </w:r>
        <w:r w:rsidR="00B65ED1" w:rsidRPr="009A27ED">
          <w:rPr>
            <w:noProof/>
            <w:webHidden/>
          </w:rPr>
          <w:tab/>
        </w:r>
        <w:r w:rsidR="00B65ED1" w:rsidRPr="009A27ED">
          <w:rPr>
            <w:noProof/>
            <w:webHidden/>
          </w:rPr>
          <w:fldChar w:fldCharType="begin"/>
        </w:r>
        <w:r w:rsidR="00B65ED1" w:rsidRPr="009A27ED">
          <w:rPr>
            <w:noProof/>
            <w:webHidden/>
          </w:rPr>
          <w:instrText xml:space="preserve"> PAGEREF _Toc111837920 \h </w:instrText>
        </w:r>
        <w:r w:rsidR="00B65ED1" w:rsidRPr="009A27ED">
          <w:rPr>
            <w:noProof/>
            <w:webHidden/>
          </w:rPr>
        </w:r>
        <w:r w:rsidR="00B65ED1" w:rsidRPr="009A27ED">
          <w:rPr>
            <w:noProof/>
            <w:webHidden/>
          </w:rPr>
          <w:fldChar w:fldCharType="separate"/>
        </w:r>
        <w:r w:rsidR="007953F0" w:rsidRPr="009A27ED">
          <w:rPr>
            <w:noProof/>
            <w:webHidden/>
          </w:rPr>
          <w:t>53</w:t>
        </w:r>
        <w:r w:rsidR="00B65ED1" w:rsidRPr="009A27ED">
          <w:rPr>
            <w:noProof/>
            <w:webHidden/>
          </w:rPr>
          <w:fldChar w:fldCharType="end"/>
        </w:r>
      </w:hyperlink>
    </w:p>
    <w:p w14:paraId="48F28524" w14:textId="353E4400" w:rsidR="00B65ED1" w:rsidRPr="009A27ED" w:rsidRDefault="00B65ED1">
      <w:pPr>
        <w:pStyle w:val="TDC3"/>
        <w:tabs>
          <w:tab w:val="left" w:pos="1200"/>
          <w:tab w:val="right" w:leader="dot" w:pos="9394"/>
        </w:tabs>
        <w:spacing w:line="360" w:lineRule="auto"/>
        <w:jc w:val="both"/>
        <w:rPr>
          <w:rFonts w:eastAsiaTheme="minorEastAsia" w:cstheme="minorBidi"/>
          <w:noProof/>
          <w:sz w:val="22"/>
          <w:szCs w:val="22"/>
          <w:lang w:val="en-US"/>
        </w:rPr>
      </w:pPr>
      <w:hyperlink w:anchor="_Toc111837921" w:history="1">
        <w:r w:rsidRPr="009A27ED">
          <w:rPr>
            <w:rStyle w:val="Hipervnculo"/>
            <w:i/>
            <w:iCs/>
            <w:noProof/>
          </w:rPr>
          <w:t>2.3.1</w:t>
        </w:r>
        <w:r w:rsidRPr="009A27ED">
          <w:rPr>
            <w:rFonts w:eastAsiaTheme="minorEastAsia" w:cstheme="minorBidi"/>
            <w:noProof/>
            <w:sz w:val="22"/>
            <w:szCs w:val="22"/>
            <w:lang w:val="en-US"/>
          </w:rPr>
          <w:tab/>
        </w:r>
        <w:r w:rsidRPr="009A27ED">
          <w:rPr>
            <w:rStyle w:val="Hipervnculo"/>
            <w:i/>
            <w:iCs/>
            <w:noProof/>
          </w:rPr>
          <w:t>Planes, sistemas, programas y proyectos nacionales</w:t>
        </w:r>
        <w:r w:rsidRPr="009A27ED">
          <w:rPr>
            <w:noProof/>
            <w:webHidden/>
          </w:rPr>
          <w:tab/>
        </w:r>
        <w:r w:rsidRPr="009A27ED">
          <w:rPr>
            <w:noProof/>
            <w:webHidden/>
          </w:rPr>
          <w:fldChar w:fldCharType="begin"/>
        </w:r>
        <w:r w:rsidRPr="009A27ED">
          <w:rPr>
            <w:noProof/>
            <w:webHidden/>
          </w:rPr>
          <w:instrText xml:space="preserve"> PAGEREF _Toc111837921 \h </w:instrText>
        </w:r>
        <w:r w:rsidRPr="009A27ED">
          <w:rPr>
            <w:noProof/>
            <w:webHidden/>
          </w:rPr>
        </w:r>
        <w:r w:rsidRPr="009A27ED">
          <w:rPr>
            <w:noProof/>
            <w:webHidden/>
          </w:rPr>
          <w:fldChar w:fldCharType="separate"/>
        </w:r>
        <w:r w:rsidR="007953F0" w:rsidRPr="009A27ED">
          <w:rPr>
            <w:noProof/>
            <w:webHidden/>
          </w:rPr>
          <w:t>55</w:t>
        </w:r>
        <w:r w:rsidRPr="009A27ED">
          <w:rPr>
            <w:noProof/>
            <w:webHidden/>
          </w:rPr>
          <w:fldChar w:fldCharType="end"/>
        </w:r>
      </w:hyperlink>
    </w:p>
    <w:p w14:paraId="68F2C324" w14:textId="56200591" w:rsidR="00B65ED1" w:rsidRPr="009A27ED" w:rsidRDefault="00B65ED1">
      <w:pPr>
        <w:pStyle w:val="TDC2"/>
        <w:tabs>
          <w:tab w:val="left" w:pos="720"/>
          <w:tab w:val="right" w:leader="dot" w:pos="9394"/>
        </w:tabs>
        <w:spacing w:line="360" w:lineRule="auto"/>
        <w:jc w:val="both"/>
        <w:rPr>
          <w:rFonts w:eastAsiaTheme="minorEastAsia" w:cstheme="minorBidi"/>
          <w:i w:val="0"/>
          <w:iCs w:val="0"/>
          <w:noProof/>
          <w:sz w:val="22"/>
          <w:szCs w:val="22"/>
          <w:lang w:val="en-US"/>
        </w:rPr>
      </w:pPr>
      <w:hyperlink w:anchor="_Toc111837929" w:history="1">
        <w:r w:rsidRPr="009A27ED">
          <w:rPr>
            <w:rStyle w:val="Hipervnculo"/>
            <w:noProof/>
          </w:rPr>
          <w:t>2.4</w:t>
        </w:r>
        <w:r w:rsidRPr="009A27ED">
          <w:rPr>
            <w:rFonts w:eastAsiaTheme="minorEastAsia" w:cstheme="minorBidi"/>
            <w:i w:val="0"/>
            <w:iCs w:val="0"/>
            <w:noProof/>
            <w:sz w:val="22"/>
            <w:szCs w:val="22"/>
            <w:lang w:val="en-US"/>
          </w:rPr>
          <w:tab/>
        </w:r>
        <w:r w:rsidRPr="009A27ED">
          <w:rPr>
            <w:rStyle w:val="Hipervnculo"/>
            <w:noProof/>
          </w:rPr>
          <w:t>Descripción de las actividades tipo REDD+</w:t>
        </w:r>
        <w:r w:rsidRPr="009A27ED">
          <w:rPr>
            <w:noProof/>
            <w:webHidden/>
          </w:rPr>
          <w:tab/>
        </w:r>
        <w:r w:rsidRPr="009A27ED">
          <w:rPr>
            <w:noProof/>
            <w:webHidden/>
          </w:rPr>
          <w:fldChar w:fldCharType="begin"/>
        </w:r>
        <w:r w:rsidRPr="009A27ED">
          <w:rPr>
            <w:noProof/>
            <w:webHidden/>
          </w:rPr>
          <w:instrText xml:space="preserve"> PAGEREF _Toc111837929 \h </w:instrText>
        </w:r>
        <w:r w:rsidRPr="009A27ED">
          <w:rPr>
            <w:noProof/>
            <w:webHidden/>
          </w:rPr>
        </w:r>
        <w:r w:rsidRPr="009A27ED">
          <w:rPr>
            <w:noProof/>
            <w:webHidden/>
          </w:rPr>
          <w:fldChar w:fldCharType="separate"/>
        </w:r>
        <w:r w:rsidR="007953F0" w:rsidRPr="009A27ED">
          <w:rPr>
            <w:noProof/>
            <w:webHidden/>
          </w:rPr>
          <w:t>68</w:t>
        </w:r>
        <w:r w:rsidRPr="009A27ED">
          <w:rPr>
            <w:noProof/>
            <w:webHidden/>
          </w:rPr>
          <w:fldChar w:fldCharType="end"/>
        </w:r>
      </w:hyperlink>
    </w:p>
    <w:p w14:paraId="44352833" w14:textId="15D3B242" w:rsidR="00B65ED1" w:rsidRPr="009A27ED" w:rsidRDefault="00B65ED1">
      <w:pPr>
        <w:pStyle w:val="TDC2"/>
        <w:tabs>
          <w:tab w:val="left" w:pos="720"/>
          <w:tab w:val="right" w:leader="dot" w:pos="9394"/>
        </w:tabs>
        <w:spacing w:line="360" w:lineRule="auto"/>
        <w:jc w:val="both"/>
        <w:rPr>
          <w:rFonts w:eastAsiaTheme="minorEastAsia" w:cstheme="minorBidi"/>
          <w:i w:val="0"/>
          <w:iCs w:val="0"/>
          <w:noProof/>
          <w:sz w:val="22"/>
          <w:szCs w:val="22"/>
          <w:lang w:val="en-US"/>
        </w:rPr>
      </w:pPr>
      <w:hyperlink w:anchor="_Toc111837930" w:history="1">
        <w:r w:rsidRPr="009A27ED">
          <w:rPr>
            <w:rStyle w:val="Hipervnculo"/>
            <w:noProof/>
          </w:rPr>
          <w:t>2.5</w:t>
        </w:r>
        <w:r w:rsidRPr="009A27ED">
          <w:rPr>
            <w:rFonts w:eastAsiaTheme="minorEastAsia" w:cstheme="minorBidi"/>
            <w:i w:val="0"/>
            <w:iCs w:val="0"/>
            <w:noProof/>
            <w:sz w:val="22"/>
            <w:szCs w:val="22"/>
            <w:lang w:val="en-US"/>
          </w:rPr>
          <w:tab/>
        </w:r>
        <w:r w:rsidRPr="009A27ED">
          <w:rPr>
            <w:rStyle w:val="Hipervnculo"/>
            <w:noProof/>
          </w:rPr>
          <w:t>Áreas geográficas priorizadas REDD+</w:t>
        </w:r>
        <w:r w:rsidRPr="009A27ED">
          <w:rPr>
            <w:noProof/>
            <w:webHidden/>
          </w:rPr>
          <w:tab/>
        </w:r>
        <w:r w:rsidRPr="009A27ED">
          <w:rPr>
            <w:noProof/>
            <w:webHidden/>
          </w:rPr>
          <w:fldChar w:fldCharType="begin"/>
        </w:r>
        <w:r w:rsidRPr="009A27ED">
          <w:rPr>
            <w:noProof/>
            <w:webHidden/>
          </w:rPr>
          <w:instrText xml:space="preserve"> PAGEREF _Toc111837930 \h </w:instrText>
        </w:r>
        <w:r w:rsidRPr="009A27ED">
          <w:rPr>
            <w:noProof/>
            <w:webHidden/>
          </w:rPr>
        </w:r>
        <w:r w:rsidRPr="009A27ED">
          <w:rPr>
            <w:noProof/>
            <w:webHidden/>
          </w:rPr>
          <w:fldChar w:fldCharType="separate"/>
        </w:r>
        <w:r w:rsidR="007953F0" w:rsidRPr="009A27ED">
          <w:rPr>
            <w:noProof/>
            <w:webHidden/>
          </w:rPr>
          <w:t>73</w:t>
        </w:r>
        <w:r w:rsidRPr="009A27ED">
          <w:rPr>
            <w:noProof/>
            <w:webHidden/>
          </w:rPr>
          <w:fldChar w:fldCharType="end"/>
        </w:r>
      </w:hyperlink>
    </w:p>
    <w:p w14:paraId="46540A7D" w14:textId="0A3DDB38" w:rsidR="00B65ED1" w:rsidRPr="009A27ED" w:rsidRDefault="00B65ED1">
      <w:pPr>
        <w:pStyle w:val="TDC3"/>
        <w:tabs>
          <w:tab w:val="left" w:pos="1200"/>
          <w:tab w:val="right" w:leader="dot" w:pos="9394"/>
        </w:tabs>
        <w:spacing w:line="360" w:lineRule="auto"/>
        <w:jc w:val="both"/>
        <w:rPr>
          <w:rFonts w:eastAsiaTheme="minorEastAsia" w:cstheme="minorBidi"/>
          <w:noProof/>
          <w:sz w:val="22"/>
          <w:szCs w:val="22"/>
          <w:lang w:val="en-US"/>
        </w:rPr>
      </w:pPr>
      <w:hyperlink w:anchor="_Toc111837931" w:history="1">
        <w:r w:rsidRPr="009A27ED">
          <w:rPr>
            <w:rStyle w:val="Hipervnculo"/>
            <w:noProof/>
          </w:rPr>
          <w:t>2.5.1</w:t>
        </w:r>
        <w:r w:rsidRPr="009A27ED">
          <w:rPr>
            <w:rFonts w:eastAsiaTheme="minorEastAsia" w:cstheme="minorBidi"/>
            <w:noProof/>
            <w:sz w:val="22"/>
            <w:szCs w:val="22"/>
            <w:lang w:val="en-US"/>
          </w:rPr>
          <w:tab/>
        </w:r>
        <w:r w:rsidRPr="009A27ED">
          <w:rPr>
            <w:rStyle w:val="Hipervnculo"/>
            <w:noProof/>
          </w:rPr>
          <w:t>Características ambientales y sociales</w:t>
        </w:r>
        <w:r w:rsidRPr="009A27ED">
          <w:rPr>
            <w:noProof/>
            <w:webHidden/>
          </w:rPr>
          <w:tab/>
        </w:r>
        <w:r w:rsidRPr="009A27ED">
          <w:rPr>
            <w:noProof/>
            <w:webHidden/>
          </w:rPr>
          <w:fldChar w:fldCharType="begin"/>
        </w:r>
        <w:r w:rsidRPr="009A27ED">
          <w:rPr>
            <w:noProof/>
            <w:webHidden/>
          </w:rPr>
          <w:instrText xml:space="preserve"> PAGEREF _Toc111837931 \h </w:instrText>
        </w:r>
        <w:r w:rsidRPr="009A27ED">
          <w:rPr>
            <w:noProof/>
            <w:webHidden/>
          </w:rPr>
        </w:r>
        <w:r w:rsidRPr="009A27ED">
          <w:rPr>
            <w:noProof/>
            <w:webHidden/>
          </w:rPr>
          <w:fldChar w:fldCharType="separate"/>
        </w:r>
        <w:r w:rsidR="007953F0" w:rsidRPr="009A27ED">
          <w:rPr>
            <w:noProof/>
            <w:webHidden/>
          </w:rPr>
          <w:t>75</w:t>
        </w:r>
        <w:r w:rsidRPr="009A27ED">
          <w:rPr>
            <w:noProof/>
            <w:webHidden/>
          </w:rPr>
          <w:fldChar w:fldCharType="end"/>
        </w:r>
      </w:hyperlink>
    </w:p>
    <w:p w14:paraId="21232EB6" w14:textId="2DCA549A" w:rsidR="00B65ED1" w:rsidRPr="009A27ED" w:rsidRDefault="00B65ED1">
      <w:pPr>
        <w:pStyle w:val="TDC3"/>
        <w:tabs>
          <w:tab w:val="left" w:pos="1200"/>
          <w:tab w:val="right" w:leader="dot" w:pos="9394"/>
        </w:tabs>
        <w:spacing w:line="360" w:lineRule="auto"/>
        <w:jc w:val="both"/>
        <w:rPr>
          <w:rFonts w:eastAsiaTheme="minorEastAsia" w:cstheme="minorBidi"/>
          <w:noProof/>
          <w:sz w:val="22"/>
          <w:szCs w:val="22"/>
          <w:lang w:val="en-US"/>
        </w:rPr>
      </w:pPr>
      <w:hyperlink w:anchor="_Toc111837932" w:history="1">
        <w:r w:rsidRPr="009A27ED">
          <w:rPr>
            <w:rStyle w:val="Hipervnculo"/>
            <w:noProof/>
          </w:rPr>
          <w:t>2.5.2</w:t>
        </w:r>
        <w:r w:rsidRPr="009A27ED">
          <w:rPr>
            <w:rFonts w:eastAsiaTheme="minorEastAsia" w:cstheme="minorBidi"/>
            <w:noProof/>
            <w:sz w:val="22"/>
            <w:szCs w:val="22"/>
            <w:lang w:val="en-US"/>
          </w:rPr>
          <w:tab/>
        </w:r>
        <w:r w:rsidRPr="009A27ED">
          <w:rPr>
            <w:rStyle w:val="Hipervnculo"/>
            <w:noProof/>
          </w:rPr>
          <w:t>Caracterización ambiental de las áreas priorizadas</w:t>
        </w:r>
        <w:r w:rsidRPr="009A27ED">
          <w:rPr>
            <w:noProof/>
            <w:webHidden/>
          </w:rPr>
          <w:tab/>
        </w:r>
        <w:r w:rsidRPr="009A27ED">
          <w:rPr>
            <w:noProof/>
            <w:webHidden/>
          </w:rPr>
          <w:fldChar w:fldCharType="begin"/>
        </w:r>
        <w:r w:rsidRPr="009A27ED">
          <w:rPr>
            <w:noProof/>
            <w:webHidden/>
          </w:rPr>
          <w:instrText xml:space="preserve"> PAGEREF _Toc111837932 \h </w:instrText>
        </w:r>
        <w:r w:rsidRPr="009A27ED">
          <w:rPr>
            <w:noProof/>
            <w:webHidden/>
          </w:rPr>
        </w:r>
        <w:r w:rsidRPr="009A27ED">
          <w:rPr>
            <w:noProof/>
            <w:webHidden/>
          </w:rPr>
          <w:fldChar w:fldCharType="separate"/>
        </w:r>
        <w:r w:rsidR="007953F0" w:rsidRPr="009A27ED">
          <w:rPr>
            <w:noProof/>
            <w:webHidden/>
          </w:rPr>
          <w:t>77</w:t>
        </w:r>
        <w:r w:rsidRPr="009A27ED">
          <w:rPr>
            <w:noProof/>
            <w:webHidden/>
          </w:rPr>
          <w:fldChar w:fldCharType="end"/>
        </w:r>
      </w:hyperlink>
    </w:p>
    <w:p w14:paraId="5DC3B2AA" w14:textId="47A5C9FA" w:rsidR="00B65ED1" w:rsidRPr="009A27ED" w:rsidRDefault="00B65ED1">
      <w:pPr>
        <w:pStyle w:val="TDC3"/>
        <w:tabs>
          <w:tab w:val="left" w:pos="1200"/>
          <w:tab w:val="right" w:leader="dot" w:pos="9394"/>
        </w:tabs>
        <w:spacing w:line="360" w:lineRule="auto"/>
        <w:jc w:val="both"/>
        <w:rPr>
          <w:rFonts w:eastAsiaTheme="minorEastAsia" w:cstheme="minorBidi"/>
          <w:noProof/>
          <w:sz w:val="22"/>
          <w:szCs w:val="22"/>
          <w:lang w:val="en-US"/>
        </w:rPr>
      </w:pPr>
      <w:hyperlink w:anchor="_Toc111837933" w:history="1">
        <w:r w:rsidRPr="009A27ED">
          <w:rPr>
            <w:rStyle w:val="Hipervnculo"/>
            <w:noProof/>
          </w:rPr>
          <w:t>2.5.3</w:t>
        </w:r>
        <w:r w:rsidRPr="009A27ED">
          <w:rPr>
            <w:rFonts w:eastAsiaTheme="minorEastAsia" w:cstheme="minorBidi"/>
            <w:noProof/>
            <w:sz w:val="22"/>
            <w:szCs w:val="22"/>
            <w:lang w:val="en-US"/>
          </w:rPr>
          <w:tab/>
        </w:r>
        <w:r w:rsidRPr="009A27ED">
          <w:rPr>
            <w:rStyle w:val="Hipervnculo"/>
            <w:noProof/>
          </w:rPr>
          <w:t>Caracterización social de las áreas priorizadas</w:t>
        </w:r>
        <w:r w:rsidRPr="009A27ED">
          <w:rPr>
            <w:noProof/>
            <w:webHidden/>
          </w:rPr>
          <w:tab/>
        </w:r>
        <w:r w:rsidRPr="009A27ED">
          <w:rPr>
            <w:noProof/>
            <w:webHidden/>
          </w:rPr>
          <w:fldChar w:fldCharType="begin"/>
        </w:r>
        <w:r w:rsidRPr="009A27ED">
          <w:rPr>
            <w:noProof/>
            <w:webHidden/>
          </w:rPr>
          <w:instrText xml:space="preserve"> PAGEREF _Toc111837933 \h </w:instrText>
        </w:r>
        <w:r w:rsidRPr="009A27ED">
          <w:rPr>
            <w:noProof/>
            <w:webHidden/>
          </w:rPr>
        </w:r>
        <w:r w:rsidRPr="009A27ED">
          <w:rPr>
            <w:noProof/>
            <w:webHidden/>
          </w:rPr>
          <w:fldChar w:fldCharType="separate"/>
        </w:r>
        <w:r w:rsidR="007953F0" w:rsidRPr="009A27ED">
          <w:rPr>
            <w:noProof/>
            <w:webHidden/>
          </w:rPr>
          <w:t>94</w:t>
        </w:r>
        <w:r w:rsidRPr="009A27ED">
          <w:rPr>
            <w:noProof/>
            <w:webHidden/>
          </w:rPr>
          <w:fldChar w:fldCharType="end"/>
        </w:r>
      </w:hyperlink>
    </w:p>
    <w:p w14:paraId="37AA0697" w14:textId="11EB656C" w:rsidR="00B65ED1" w:rsidRPr="009A27ED" w:rsidRDefault="00B65ED1">
      <w:pPr>
        <w:pStyle w:val="TDC1"/>
        <w:tabs>
          <w:tab w:val="right" w:leader="dot" w:pos="9394"/>
        </w:tabs>
        <w:spacing w:line="360" w:lineRule="auto"/>
        <w:jc w:val="both"/>
        <w:rPr>
          <w:rFonts w:eastAsiaTheme="minorEastAsia" w:cstheme="minorBidi"/>
          <w:b w:val="0"/>
          <w:bCs w:val="0"/>
          <w:noProof/>
          <w:sz w:val="22"/>
          <w:szCs w:val="22"/>
          <w:lang w:val="en-US"/>
        </w:rPr>
      </w:pPr>
      <w:hyperlink w:anchor="_Toc111837934" w:history="1">
        <w:r w:rsidRPr="009A27ED">
          <w:rPr>
            <w:rStyle w:val="Hipervnculo"/>
            <w:noProof/>
          </w:rPr>
          <w:t>3. Marco Legal e Institucional nacional e internacional y análisis de brechas</w:t>
        </w:r>
        <w:r w:rsidRPr="009A27ED">
          <w:rPr>
            <w:noProof/>
            <w:webHidden/>
          </w:rPr>
          <w:tab/>
        </w:r>
        <w:r w:rsidRPr="009A27ED">
          <w:rPr>
            <w:noProof/>
            <w:webHidden/>
          </w:rPr>
          <w:fldChar w:fldCharType="begin"/>
        </w:r>
        <w:r w:rsidRPr="009A27ED">
          <w:rPr>
            <w:noProof/>
            <w:webHidden/>
          </w:rPr>
          <w:instrText xml:space="preserve"> PAGEREF _Toc111837934 \h </w:instrText>
        </w:r>
        <w:r w:rsidRPr="009A27ED">
          <w:rPr>
            <w:noProof/>
            <w:webHidden/>
          </w:rPr>
        </w:r>
        <w:r w:rsidRPr="009A27ED">
          <w:rPr>
            <w:noProof/>
            <w:webHidden/>
          </w:rPr>
          <w:fldChar w:fldCharType="separate"/>
        </w:r>
        <w:r w:rsidR="007953F0" w:rsidRPr="009A27ED">
          <w:rPr>
            <w:noProof/>
            <w:webHidden/>
          </w:rPr>
          <w:t>102</w:t>
        </w:r>
        <w:r w:rsidRPr="009A27ED">
          <w:rPr>
            <w:noProof/>
            <w:webHidden/>
          </w:rPr>
          <w:fldChar w:fldCharType="end"/>
        </w:r>
      </w:hyperlink>
    </w:p>
    <w:p w14:paraId="10CB98BD" w14:textId="772D80E9" w:rsidR="00B65ED1" w:rsidRPr="009A27ED" w:rsidRDefault="00B65ED1">
      <w:pPr>
        <w:pStyle w:val="TDC2"/>
        <w:tabs>
          <w:tab w:val="right" w:leader="dot" w:pos="9394"/>
        </w:tabs>
        <w:spacing w:line="360" w:lineRule="auto"/>
        <w:jc w:val="both"/>
        <w:rPr>
          <w:rFonts w:eastAsiaTheme="minorEastAsia" w:cstheme="minorBidi"/>
          <w:i w:val="0"/>
          <w:iCs w:val="0"/>
          <w:noProof/>
          <w:sz w:val="22"/>
          <w:szCs w:val="22"/>
          <w:lang w:val="en-US"/>
        </w:rPr>
      </w:pPr>
      <w:hyperlink w:anchor="_Toc111837935" w:history="1">
        <w:r w:rsidRPr="009A27ED">
          <w:rPr>
            <w:rStyle w:val="Hipervnculo"/>
            <w:noProof/>
          </w:rPr>
          <w:t>3.1. Legislación nacional aplicable a la Estrategia Nacional REDD+ en República Dominicana vinculada a las políticas operativas del Banco Mundial, análisis de brechas y recomendaciones</w:t>
        </w:r>
        <w:r w:rsidRPr="009A27ED">
          <w:rPr>
            <w:noProof/>
            <w:webHidden/>
          </w:rPr>
          <w:tab/>
        </w:r>
        <w:r w:rsidRPr="009A27ED">
          <w:rPr>
            <w:noProof/>
            <w:webHidden/>
          </w:rPr>
          <w:fldChar w:fldCharType="begin"/>
        </w:r>
        <w:r w:rsidRPr="009A27ED">
          <w:rPr>
            <w:noProof/>
            <w:webHidden/>
          </w:rPr>
          <w:instrText xml:space="preserve"> PAGEREF _Toc111837935 \h </w:instrText>
        </w:r>
        <w:r w:rsidRPr="009A27ED">
          <w:rPr>
            <w:noProof/>
            <w:webHidden/>
          </w:rPr>
        </w:r>
        <w:r w:rsidRPr="009A27ED">
          <w:rPr>
            <w:noProof/>
            <w:webHidden/>
          </w:rPr>
          <w:fldChar w:fldCharType="separate"/>
        </w:r>
        <w:r w:rsidR="007953F0" w:rsidRPr="009A27ED">
          <w:rPr>
            <w:noProof/>
            <w:webHidden/>
          </w:rPr>
          <w:t>102</w:t>
        </w:r>
        <w:r w:rsidRPr="009A27ED">
          <w:rPr>
            <w:noProof/>
            <w:webHidden/>
          </w:rPr>
          <w:fldChar w:fldCharType="end"/>
        </w:r>
      </w:hyperlink>
    </w:p>
    <w:p w14:paraId="6DAF41E1" w14:textId="438AACFE" w:rsidR="00B65ED1" w:rsidRPr="009A27ED" w:rsidRDefault="00B65ED1">
      <w:pPr>
        <w:pStyle w:val="TDC2"/>
        <w:tabs>
          <w:tab w:val="right" w:leader="dot" w:pos="9394"/>
        </w:tabs>
        <w:spacing w:line="360" w:lineRule="auto"/>
        <w:jc w:val="both"/>
        <w:rPr>
          <w:rFonts w:eastAsiaTheme="minorEastAsia" w:cstheme="minorBidi"/>
          <w:i w:val="0"/>
          <w:iCs w:val="0"/>
          <w:noProof/>
          <w:sz w:val="22"/>
          <w:szCs w:val="22"/>
          <w:lang w:val="en-US"/>
        </w:rPr>
      </w:pPr>
      <w:hyperlink w:anchor="_Toc111837936" w:history="1">
        <w:r w:rsidRPr="009A27ED">
          <w:rPr>
            <w:rStyle w:val="Hipervnculo"/>
            <w:noProof/>
          </w:rPr>
          <w:t>3.2. Instrumentos internacionales ratificados/firmados por República Dominicana relevantes a las PO del BM aplicables</w:t>
        </w:r>
        <w:r w:rsidRPr="009A27ED">
          <w:rPr>
            <w:noProof/>
            <w:webHidden/>
          </w:rPr>
          <w:tab/>
        </w:r>
        <w:r w:rsidRPr="009A27ED">
          <w:rPr>
            <w:noProof/>
            <w:webHidden/>
          </w:rPr>
          <w:fldChar w:fldCharType="begin"/>
        </w:r>
        <w:r w:rsidRPr="009A27ED">
          <w:rPr>
            <w:noProof/>
            <w:webHidden/>
          </w:rPr>
          <w:instrText xml:space="preserve"> PAGEREF _Toc111837936 \h </w:instrText>
        </w:r>
        <w:r w:rsidRPr="009A27ED">
          <w:rPr>
            <w:noProof/>
            <w:webHidden/>
          </w:rPr>
        </w:r>
        <w:r w:rsidRPr="009A27ED">
          <w:rPr>
            <w:noProof/>
            <w:webHidden/>
          </w:rPr>
          <w:fldChar w:fldCharType="separate"/>
        </w:r>
        <w:r w:rsidR="007953F0" w:rsidRPr="009A27ED">
          <w:rPr>
            <w:noProof/>
            <w:webHidden/>
          </w:rPr>
          <w:t>103</w:t>
        </w:r>
        <w:r w:rsidRPr="009A27ED">
          <w:rPr>
            <w:noProof/>
            <w:webHidden/>
          </w:rPr>
          <w:fldChar w:fldCharType="end"/>
        </w:r>
      </w:hyperlink>
    </w:p>
    <w:p w14:paraId="777F4FEB" w14:textId="4A9EBBE2" w:rsidR="00B65ED1" w:rsidRPr="009A27ED" w:rsidRDefault="00B65ED1">
      <w:pPr>
        <w:pStyle w:val="TDC2"/>
        <w:tabs>
          <w:tab w:val="right" w:leader="dot" w:pos="9394"/>
        </w:tabs>
        <w:spacing w:line="360" w:lineRule="auto"/>
        <w:jc w:val="both"/>
        <w:rPr>
          <w:rFonts w:eastAsiaTheme="minorEastAsia" w:cstheme="minorBidi"/>
          <w:i w:val="0"/>
          <w:iCs w:val="0"/>
          <w:noProof/>
          <w:sz w:val="22"/>
          <w:szCs w:val="22"/>
          <w:lang w:val="en-US"/>
        </w:rPr>
      </w:pPr>
      <w:hyperlink w:anchor="_Toc111837937" w:history="1">
        <w:r w:rsidRPr="009A27ED">
          <w:rPr>
            <w:rStyle w:val="Hipervnculo"/>
            <w:noProof/>
          </w:rPr>
          <w:t>3.3. Marco para la implementación de las salvaguardas REDD+ de la CMNUCC</w:t>
        </w:r>
        <w:r w:rsidRPr="009A27ED">
          <w:rPr>
            <w:noProof/>
            <w:webHidden/>
          </w:rPr>
          <w:tab/>
        </w:r>
        <w:r w:rsidRPr="009A27ED">
          <w:rPr>
            <w:noProof/>
            <w:webHidden/>
          </w:rPr>
          <w:fldChar w:fldCharType="begin"/>
        </w:r>
        <w:r w:rsidRPr="009A27ED">
          <w:rPr>
            <w:noProof/>
            <w:webHidden/>
          </w:rPr>
          <w:instrText xml:space="preserve"> PAGEREF _Toc111837937 \h </w:instrText>
        </w:r>
        <w:r w:rsidRPr="009A27ED">
          <w:rPr>
            <w:noProof/>
            <w:webHidden/>
          </w:rPr>
        </w:r>
        <w:r w:rsidRPr="009A27ED">
          <w:rPr>
            <w:noProof/>
            <w:webHidden/>
          </w:rPr>
          <w:fldChar w:fldCharType="separate"/>
        </w:r>
        <w:r w:rsidR="007953F0" w:rsidRPr="009A27ED">
          <w:rPr>
            <w:noProof/>
            <w:webHidden/>
          </w:rPr>
          <w:t>105</w:t>
        </w:r>
        <w:r w:rsidRPr="009A27ED">
          <w:rPr>
            <w:noProof/>
            <w:webHidden/>
          </w:rPr>
          <w:fldChar w:fldCharType="end"/>
        </w:r>
      </w:hyperlink>
    </w:p>
    <w:p w14:paraId="6A29DBE3" w14:textId="38AC7E93" w:rsidR="00B65ED1" w:rsidRPr="009A27ED" w:rsidRDefault="00B65ED1">
      <w:pPr>
        <w:pStyle w:val="TDC3"/>
        <w:tabs>
          <w:tab w:val="right" w:leader="dot" w:pos="9394"/>
        </w:tabs>
        <w:spacing w:line="360" w:lineRule="auto"/>
        <w:jc w:val="both"/>
        <w:rPr>
          <w:rFonts w:eastAsiaTheme="minorEastAsia" w:cstheme="minorBidi"/>
          <w:noProof/>
          <w:sz w:val="22"/>
          <w:szCs w:val="22"/>
          <w:lang w:val="en-US"/>
        </w:rPr>
      </w:pPr>
      <w:hyperlink w:anchor="_Toc111837938" w:history="1">
        <w:r w:rsidRPr="009A27ED">
          <w:rPr>
            <w:rStyle w:val="Hipervnculo"/>
            <w:noProof/>
          </w:rPr>
          <w:t xml:space="preserve">3.3.1. Salvaguarda A </w:t>
        </w:r>
        <w:r w:rsidRPr="009A27ED">
          <w:rPr>
            <w:noProof/>
            <w:webHidden/>
          </w:rPr>
          <w:tab/>
        </w:r>
        <w:r w:rsidRPr="009A27ED">
          <w:rPr>
            <w:noProof/>
            <w:webHidden/>
          </w:rPr>
          <w:fldChar w:fldCharType="begin"/>
        </w:r>
        <w:r w:rsidRPr="009A27ED">
          <w:rPr>
            <w:noProof/>
            <w:webHidden/>
          </w:rPr>
          <w:instrText xml:space="preserve"> PAGEREF _Toc111837938 \h </w:instrText>
        </w:r>
        <w:r w:rsidRPr="009A27ED">
          <w:rPr>
            <w:noProof/>
            <w:webHidden/>
          </w:rPr>
        </w:r>
        <w:r w:rsidRPr="009A27ED">
          <w:rPr>
            <w:noProof/>
            <w:webHidden/>
          </w:rPr>
          <w:fldChar w:fldCharType="separate"/>
        </w:r>
        <w:r w:rsidR="007953F0" w:rsidRPr="009A27ED">
          <w:rPr>
            <w:noProof/>
            <w:webHidden/>
          </w:rPr>
          <w:t>105</w:t>
        </w:r>
        <w:r w:rsidRPr="009A27ED">
          <w:rPr>
            <w:noProof/>
            <w:webHidden/>
          </w:rPr>
          <w:fldChar w:fldCharType="end"/>
        </w:r>
      </w:hyperlink>
    </w:p>
    <w:p w14:paraId="62E5747F" w14:textId="7BE8065C" w:rsidR="00B65ED1" w:rsidRPr="009A27ED" w:rsidRDefault="00B65ED1">
      <w:pPr>
        <w:pStyle w:val="TDC3"/>
        <w:tabs>
          <w:tab w:val="right" w:leader="dot" w:pos="9394"/>
        </w:tabs>
        <w:spacing w:line="360" w:lineRule="auto"/>
        <w:jc w:val="both"/>
        <w:rPr>
          <w:rFonts w:eastAsiaTheme="minorEastAsia" w:cstheme="minorBidi"/>
          <w:noProof/>
          <w:sz w:val="22"/>
          <w:szCs w:val="22"/>
          <w:lang w:val="en-US"/>
        </w:rPr>
      </w:pPr>
      <w:hyperlink w:anchor="_Toc111837939" w:history="1">
        <w:r w:rsidRPr="009A27ED">
          <w:rPr>
            <w:rStyle w:val="Hipervnculo"/>
            <w:noProof/>
          </w:rPr>
          <w:t>3.3.2 Salvaguarda B</w:t>
        </w:r>
        <w:r w:rsidRPr="009A27ED">
          <w:rPr>
            <w:noProof/>
            <w:webHidden/>
          </w:rPr>
          <w:tab/>
        </w:r>
        <w:r w:rsidRPr="009A27ED">
          <w:rPr>
            <w:noProof/>
            <w:webHidden/>
          </w:rPr>
          <w:fldChar w:fldCharType="begin"/>
        </w:r>
        <w:r w:rsidRPr="009A27ED">
          <w:rPr>
            <w:noProof/>
            <w:webHidden/>
          </w:rPr>
          <w:instrText xml:space="preserve"> PAGEREF _Toc111837939 \h </w:instrText>
        </w:r>
        <w:r w:rsidRPr="009A27ED">
          <w:rPr>
            <w:noProof/>
            <w:webHidden/>
          </w:rPr>
        </w:r>
        <w:r w:rsidRPr="009A27ED">
          <w:rPr>
            <w:noProof/>
            <w:webHidden/>
          </w:rPr>
          <w:fldChar w:fldCharType="separate"/>
        </w:r>
        <w:r w:rsidR="007953F0" w:rsidRPr="009A27ED">
          <w:rPr>
            <w:noProof/>
            <w:webHidden/>
          </w:rPr>
          <w:t>106</w:t>
        </w:r>
        <w:r w:rsidRPr="009A27ED">
          <w:rPr>
            <w:noProof/>
            <w:webHidden/>
          </w:rPr>
          <w:fldChar w:fldCharType="end"/>
        </w:r>
      </w:hyperlink>
    </w:p>
    <w:p w14:paraId="17B30E98" w14:textId="7C9B6EF1" w:rsidR="00B65ED1" w:rsidRPr="009A27ED" w:rsidRDefault="00B65ED1">
      <w:pPr>
        <w:pStyle w:val="TDC3"/>
        <w:tabs>
          <w:tab w:val="right" w:leader="dot" w:pos="9394"/>
        </w:tabs>
        <w:spacing w:line="360" w:lineRule="auto"/>
        <w:jc w:val="both"/>
        <w:rPr>
          <w:rFonts w:eastAsiaTheme="minorEastAsia" w:cstheme="minorBidi"/>
          <w:noProof/>
          <w:sz w:val="22"/>
          <w:szCs w:val="22"/>
          <w:lang w:val="en-US"/>
        </w:rPr>
      </w:pPr>
      <w:hyperlink w:anchor="_Toc111837940" w:history="1">
        <w:r w:rsidRPr="009A27ED">
          <w:rPr>
            <w:rStyle w:val="Hipervnculo"/>
            <w:noProof/>
          </w:rPr>
          <w:t>3.3.3 Salvaguarda C</w:t>
        </w:r>
        <w:r w:rsidRPr="009A27ED">
          <w:rPr>
            <w:noProof/>
            <w:webHidden/>
          </w:rPr>
          <w:tab/>
        </w:r>
        <w:r w:rsidRPr="009A27ED">
          <w:rPr>
            <w:noProof/>
            <w:webHidden/>
          </w:rPr>
          <w:fldChar w:fldCharType="begin"/>
        </w:r>
        <w:r w:rsidRPr="009A27ED">
          <w:rPr>
            <w:noProof/>
            <w:webHidden/>
          </w:rPr>
          <w:instrText xml:space="preserve"> PAGEREF _Toc111837940 \h </w:instrText>
        </w:r>
        <w:r w:rsidRPr="009A27ED">
          <w:rPr>
            <w:noProof/>
            <w:webHidden/>
          </w:rPr>
        </w:r>
        <w:r w:rsidRPr="009A27ED">
          <w:rPr>
            <w:noProof/>
            <w:webHidden/>
          </w:rPr>
          <w:fldChar w:fldCharType="separate"/>
        </w:r>
        <w:r w:rsidR="007953F0" w:rsidRPr="009A27ED">
          <w:rPr>
            <w:noProof/>
            <w:webHidden/>
          </w:rPr>
          <w:t>110</w:t>
        </w:r>
        <w:r w:rsidRPr="009A27ED">
          <w:rPr>
            <w:noProof/>
            <w:webHidden/>
          </w:rPr>
          <w:fldChar w:fldCharType="end"/>
        </w:r>
      </w:hyperlink>
    </w:p>
    <w:p w14:paraId="4B43AA9F" w14:textId="6D275519" w:rsidR="00B65ED1" w:rsidRPr="009A27ED" w:rsidRDefault="00B65ED1">
      <w:pPr>
        <w:pStyle w:val="TDC3"/>
        <w:tabs>
          <w:tab w:val="right" w:leader="dot" w:pos="9394"/>
        </w:tabs>
        <w:spacing w:line="360" w:lineRule="auto"/>
        <w:jc w:val="both"/>
        <w:rPr>
          <w:rFonts w:eastAsiaTheme="minorEastAsia" w:cstheme="minorBidi"/>
          <w:noProof/>
          <w:sz w:val="22"/>
          <w:szCs w:val="22"/>
          <w:lang w:val="en-US"/>
        </w:rPr>
      </w:pPr>
      <w:hyperlink w:anchor="_Toc111837941" w:history="1">
        <w:r w:rsidRPr="009A27ED">
          <w:rPr>
            <w:rStyle w:val="Hipervnculo"/>
            <w:noProof/>
          </w:rPr>
          <w:t>.3.4 Salvaguarda D</w:t>
        </w:r>
        <w:r w:rsidRPr="009A27ED">
          <w:rPr>
            <w:noProof/>
            <w:webHidden/>
          </w:rPr>
          <w:tab/>
        </w:r>
        <w:r w:rsidRPr="009A27ED">
          <w:rPr>
            <w:noProof/>
            <w:webHidden/>
          </w:rPr>
          <w:fldChar w:fldCharType="begin"/>
        </w:r>
        <w:r w:rsidRPr="009A27ED">
          <w:rPr>
            <w:noProof/>
            <w:webHidden/>
          </w:rPr>
          <w:instrText xml:space="preserve"> PAGEREF _Toc111837941 \h </w:instrText>
        </w:r>
        <w:r w:rsidRPr="009A27ED">
          <w:rPr>
            <w:noProof/>
            <w:webHidden/>
          </w:rPr>
        </w:r>
        <w:r w:rsidRPr="009A27ED">
          <w:rPr>
            <w:noProof/>
            <w:webHidden/>
          </w:rPr>
          <w:fldChar w:fldCharType="separate"/>
        </w:r>
        <w:r w:rsidR="007953F0" w:rsidRPr="009A27ED">
          <w:rPr>
            <w:noProof/>
            <w:webHidden/>
          </w:rPr>
          <w:t>113</w:t>
        </w:r>
        <w:r w:rsidRPr="009A27ED">
          <w:rPr>
            <w:noProof/>
            <w:webHidden/>
          </w:rPr>
          <w:fldChar w:fldCharType="end"/>
        </w:r>
      </w:hyperlink>
    </w:p>
    <w:p w14:paraId="7DF56196" w14:textId="13E7F0C1" w:rsidR="00B65ED1" w:rsidRPr="009A27ED" w:rsidRDefault="00B65ED1">
      <w:pPr>
        <w:pStyle w:val="TDC3"/>
        <w:tabs>
          <w:tab w:val="right" w:leader="dot" w:pos="9394"/>
        </w:tabs>
        <w:spacing w:line="360" w:lineRule="auto"/>
        <w:jc w:val="both"/>
        <w:rPr>
          <w:rFonts w:eastAsiaTheme="minorEastAsia" w:cstheme="minorBidi"/>
          <w:noProof/>
          <w:sz w:val="22"/>
          <w:szCs w:val="22"/>
          <w:lang w:val="en-US"/>
        </w:rPr>
      </w:pPr>
      <w:hyperlink w:anchor="_Toc111837942" w:history="1">
        <w:r w:rsidRPr="009A27ED">
          <w:rPr>
            <w:rStyle w:val="Hipervnculo"/>
            <w:noProof/>
          </w:rPr>
          <w:t>3.3.5 Salvaguarda E</w:t>
        </w:r>
        <w:r w:rsidRPr="009A27ED">
          <w:rPr>
            <w:noProof/>
            <w:webHidden/>
          </w:rPr>
          <w:tab/>
        </w:r>
        <w:r w:rsidRPr="009A27ED">
          <w:rPr>
            <w:noProof/>
            <w:webHidden/>
          </w:rPr>
          <w:fldChar w:fldCharType="begin"/>
        </w:r>
        <w:r w:rsidRPr="009A27ED">
          <w:rPr>
            <w:noProof/>
            <w:webHidden/>
          </w:rPr>
          <w:instrText xml:space="preserve"> PAGEREF _Toc111837942 \h </w:instrText>
        </w:r>
        <w:r w:rsidRPr="009A27ED">
          <w:rPr>
            <w:noProof/>
            <w:webHidden/>
          </w:rPr>
        </w:r>
        <w:r w:rsidRPr="009A27ED">
          <w:rPr>
            <w:noProof/>
            <w:webHidden/>
          </w:rPr>
          <w:fldChar w:fldCharType="separate"/>
        </w:r>
        <w:r w:rsidR="007953F0" w:rsidRPr="009A27ED">
          <w:rPr>
            <w:noProof/>
            <w:webHidden/>
          </w:rPr>
          <w:t>115</w:t>
        </w:r>
        <w:r w:rsidRPr="009A27ED">
          <w:rPr>
            <w:noProof/>
            <w:webHidden/>
          </w:rPr>
          <w:fldChar w:fldCharType="end"/>
        </w:r>
      </w:hyperlink>
    </w:p>
    <w:p w14:paraId="49ADB0CD" w14:textId="154FB836" w:rsidR="00B65ED1" w:rsidRPr="009A27ED" w:rsidRDefault="00B65ED1">
      <w:pPr>
        <w:pStyle w:val="TDC3"/>
        <w:tabs>
          <w:tab w:val="right" w:leader="dot" w:pos="9394"/>
        </w:tabs>
        <w:spacing w:line="360" w:lineRule="auto"/>
        <w:jc w:val="both"/>
        <w:rPr>
          <w:rFonts w:eastAsiaTheme="minorEastAsia" w:cstheme="minorBidi"/>
          <w:noProof/>
          <w:sz w:val="22"/>
          <w:szCs w:val="22"/>
          <w:lang w:val="en-US"/>
        </w:rPr>
      </w:pPr>
      <w:hyperlink w:anchor="_Toc111837943" w:history="1">
        <w:r w:rsidRPr="009A27ED">
          <w:rPr>
            <w:rStyle w:val="Hipervnculo"/>
            <w:noProof/>
          </w:rPr>
          <w:t>3.3.6 Salvaguardas F y G</w:t>
        </w:r>
        <w:r w:rsidRPr="009A27ED">
          <w:rPr>
            <w:noProof/>
            <w:webHidden/>
          </w:rPr>
          <w:tab/>
        </w:r>
        <w:r w:rsidRPr="009A27ED">
          <w:rPr>
            <w:noProof/>
            <w:webHidden/>
          </w:rPr>
          <w:fldChar w:fldCharType="begin"/>
        </w:r>
        <w:r w:rsidRPr="009A27ED">
          <w:rPr>
            <w:noProof/>
            <w:webHidden/>
          </w:rPr>
          <w:instrText xml:space="preserve"> PAGEREF _Toc111837943 \h </w:instrText>
        </w:r>
        <w:r w:rsidRPr="009A27ED">
          <w:rPr>
            <w:noProof/>
            <w:webHidden/>
          </w:rPr>
        </w:r>
        <w:r w:rsidRPr="009A27ED">
          <w:rPr>
            <w:noProof/>
            <w:webHidden/>
          </w:rPr>
          <w:fldChar w:fldCharType="separate"/>
        </w:r>
        <w:r w:rsidR="007953F0" w:rsidRPr="009A27ED">
          <w:rPr>
            <w:noProof/>
            <w:webHidden/>
          </w:rPr>
          <w:t>117</w:t>
        </w:r>
        <w:r w:rsidRPr="009A27ED">
          <w:rPr>
            <w:noProof/>
            <w:webHidden/>
          </w:rPr>
          <w:fldChar w:fldCharType="end"/>
        </w:r>
      </w:hyperlink>
    </w:p>
    <w:p w14:paraId="27648550" w14:textId="65BF866F" w:rsidR="00B65ED1" w:rsidRPr="009A27ED" w:rsidRDefault="00B65ED1">
      <w:pPr>
        <w:pStyle w:val="TDC2"/>
        <w:tabs>
          <w:tab w:val="right" w:leader="dot" w:pos="9394"/>
        </w:tabs>
        <w:spacing w:line="360" w:lineRule="auto"/>
        <w:jc w:val="both"/>
        <w:rPr>
          <w:rFonts w:eastAsiaTheme="minorEastAsia" w:cstheme="minorBidi"/>
          <w:i w:val="0"/>
          <w:iCs w:val="0"/>
          <w:noProof/>
          <w:sz w:val="22"/>
          <w:szCs w:val="22"/>
          <w:lang w:val="en-US"/>
        </w:rPr>
      </w:pPr>
      <w:hyperlink w:anchor="_Toc111837944" w:history="1">
        <w:r w:rsidRPr="009A27ED">
          <w:rPr>
            <w:rStyle w:val="Hipervnculo"/>
            <w:noProof/>
          </w:rPr>
          <w:t>3.4. Marco de Políticas Operativas del Banco Mundial aplicables</w:t>
        </w:r>
        <w:r w:rsidRPr="009A27ED">
          <w:rPr>
            <w:noProof/>
            <w:webHidden/>
          </w:rPr>
          <w:tab/>
        </w:r>
        <w:r w:rsidRPr="009A27ED">
          <w:rPr>
            <w:noProof/>
            <w:webHidden/>
          </w:rPr>
          <w:fldChar w:fldCharType="begin"/>
        </w:r>
        <w:r w:rsidRPr="009A27ED">
          <w:rPr>
            <w:noProof/>
            <w:webHidden/>
          </w:rPr>
          <w:instrText xml:space="preserve"> PAGEREF _Toc111837944 \h </w:instrText>
        </w:r>
        <w:r w:rsidRPr="009A27ED">
          <w:rPr>
            <w:noProof/>
            <w:webHidden/>
          </w:rPr>
        </w:r>
        <w:r w:rsidRPr="009A27ED">
          <w:rPr>
            <w:noProof/>
            <w:webHidden/>
          </w:rPr>
          <w:fldChar w:fldCharType="separate"/>
        </w:r>
        <w:r w:rsidR="007953F0" w:rsidRPr="009A27ED">
          <w:rPr>
            <w:noProof/>
            <w:webHidden/>
          </w:rPr>
          <w:t>119</w:t>
        </w:r>
        <w:r w:rsidRPr="009A27ED">
          <w:rPr>
            <w:noProof/>
            <w:webHidden/>
          </w:rPr>
          <w:fldChar w:fldCharType="end"/>
        </w:r>
      </w:hyperlink>
    </w:p>
    <w:p w14:paraId="565B038F" w14:textId="1984F32A" w:rsidR="00B65ED1" w:rsidRPr="009A27ED" w:rsidRDefault="00B65ED1">
      <w:pPr>
        <w:pStyle w:val="TDC3"/>
        <w:tabs>
          <w:tab w:val="right" w:leader="dot" w:pos="9394"/>
        </w:tabs>
        <w:spacing w:line="360" w:lineRule="auto"/>
        <w:jc w:val="both"/>
        <w:rPr>
          <w:rFonts w:eastAsiaTheme="minorEastAsia" w:cstheme="minorBidi"/>
          <w:noProof/>
          <w:sz w:val="22"/>
          <w:szCs w:val="22"/>
          <w:lang w:val="en-US"/>
        </w:rPr>
      </w:pPr>
      <w:hyperlink w:anchor="_Toc111837945" w:history="1">
        <w:r w:rsidRPr="009A27ED">
          <w:rPr>
            <w:rStyle w:val="Hipervnculo"/>
            <w:noProof/>
          </w:rPr>
          <w:t>3.4.1. Brechas respecto a impactos ambientales y sociales</w:t>
        </w:r>
        <w:r w:rsidRPr="009A27ED">
          <w:rPr>
            <w:noProof/>
            <w:webHidden/>
          </w:rPr>
          <w:tab/>
        </w:r>
        <w:r w:rsidRPr="009A27ED">
          <w:rPr>
            <w:noProof/>
            <w:webHidden/>
          </w:rPr>
          <w:fldChar w:fldCharType="begin"/>
        </w:r>
        <w:r w:rsidRPr="009A27ED">
          <w:rPr>
            <w:noProof/>
            <w:webHidden/>
          </w:rPr>
          <w:instrText xml:space="preserve"> PAGEREF _Toc111837945 \h </w:instrText>
        </w:r>
        <w:r w:rsidRPr="009A27ED">
          <w:rPr>
            <w:noProof/>
            <w:webHidden/>
          </w:rPr>
        </w:r>
        <w:r w:rsidRPr="009A27ED">
          <w:rPr>
            <w:noProof/>
            <w:webHidden/>
          </w:rPr>
          <w:fldChar w:fldCharType="separate"/>
        </w:r>
        <w:r w:rsidR="007953F0" w:rsidRPr="009A27ED">
          <w:rPr>
            <w:noProof/>
            <w:webHidden/>
          </w:rPr>
          <w:t>120</w:t>
        </w:r>
        <w:r w:rsidRPr="009A27ED">
          <w:rPr>
            <w:noProof/>
            <w:webHidden/>
          </w:rPr>
          <w:fldChar w:fldCharType="end"/>
        </w:r>
      </w:hyperlink>
    </w:p>
    <w:p w14:paraId="7CA4794F" w14:textId="41C940BE" w:rsidR="00B65ED1" w:rsidRPr="009A27ED" w:rsidRDefault="00B65ED1">
      <w:pPr>
        <w:pStyle w:val="TDC3"/>
        <w:tabs>
          <w:tab w:val="right" w:leader="dot" w:pos="9394"/>
        </w:tabs>
        <w:spacing w:line="360" w:lineRule="auto"/>
        <w:jc w:val="both"/>
        <w:rPr>
          <w:rFonts w:eastAsiaTheme="minorEastAsia" w:cstheme="minorBidi"/>
          <w:noProof/>
          <w:sz w:val="22"/>
          <w:szCs w:val="22"/>
          <w:lang w:val="en-US"/>
        </w:rPr>
      </w:pPr>
      <w:hyperlink w:anchor="_Toc111837946" w:history="1">
        <w:r w:rsidRPr="009A27ED">
          <w:rPr>
            <w:rStyle w:val="Hipervnculo"/>
            <w:noProof/>
          </w:rPr>
          <w:t>3.4.2. Brechas respecto a hábitat naturales</w:t>
        </w:r>
        <w:r w:rsidRPr="009A27ED">
          <w:rPr>
            <w:noProof/>
            <w:webHidden/>
          </w:rPr>
          <w:tab/>
        </w:r>
        <w:r w:rsidRPr="009A27ED">
          <w:rPr>
            <w:noProof/>
            <w:webHidden/>
          </w:rPr>
          <w:fldChar w:fldCharType="begin"/>
        </w:r>
        <w:r w:rsidRPr="009A27ED">
          <w:rPr>
            <w:noProof/>
            <w:webHidden/>
          </w:rPr>
          <w:instrText xml:space="preserve"> PAGEREF _Toc111837946 \h </w:instrText>
        </w:r>
        <w:r w:rsidRPr="009A27ED">
          <w:rPr>
            <w:noProof/>
            <w:webHidden/>
          </w:rPr>
        </w:r>
        <w:r w:rsidRPr="009A27ED">
          <w:rPr>
            <w:noProof/>
            <w:webHidden/>
          </w:rPr>
          <w:fldChar w:fldCharType="separate"/>
        </w:r>
        <w:r w:rsidR="007953F0" w:rsidRPr="009A27ED">
          <w:rPr>
            <w:noProof/>
            <w:webHidden/>
          </w:rPr>
          <w:t>121</w:t>
        </w:r>
        <w:r w:rsidRPr="009A27ED">
          <w:rPr>
            <w:noProof/>
            <w:webHidden/>
          </w:rPr>
          <w:fldChar w:fldCharType="end"/>
        </w:r>
      </w:hyperlink>
    </w:p>
    <w:p w14:paraId="4CCECF46" w14:textId="179CEE94" w:rsidR="00B65ED1" w:rsidRPr="009A27ED" w:rsidRDefault="00B65ED1">
      <w:pPr>
        <w:pStyle w:val="TDC3"/>
        <w:tabs>
          <w:tab w:val="right" w:leader="dot" w:pos="9394"/>
        </w:tabs>
        <w:spacing w:line="360" w:lineRule="auto"/>
        <w:jc w:val="both"/>
        <w:rPr>
          <w:rFonts w:eastAsiaTheme="minorEastAsia" w:cstheme="minorBidi"/>
          <w:noProof/>
          <w:sz w:val="22"/>
          <w:szCs w:val="22"/>
          <w:lang w:val="en-US"/>
        </w:rPr>
      </w:pPr>
      <w:hyperlink w:anchor="_Toc111837947" w:history="1">
        <w:r w:rsidRPr="009A27ED">
          <w:rPr>
            <w:rStyle w:val="Hipervnculo"/>
            <w:noProof/>
          </w:rPr>
          <w:t>3.4.3. Brechas respecto de bosques</w:t>
        </w:r>
        <w:r w:rsidRPr="009A27ED">
          <w:rPr>
            <w:noProof/>
            <w:webHidden/>
          </w:rPr>
          <w:tab/>
        </w:r>
        <w:r w:rsidRPr="009A27ED">
          <w:rPr>
            <w:noProof/>
            <w:webHidden/>
          </w:rPr>
          <w:fldChar w:fldCharType="begin"/>
        </w:r>
        <w:r w:rsidRPr="009A27ED">
          <w:rPr>
            <w:noProof/>
            <w:webHidden/>
          </w:rPr>
          <w:instrText xml:space="preserve"> PAGEREF _Toc111837947 \h </w:instrText>
        </w:r>
        <w:r w:rsidRPr="009A27ED">
          <w:rPr>
            <w:noProof/>
            <w:webHidden/>
          </w:rPr>
        </w:r>
        <w:r w:rsidRPr="009A27ED">
          <w:rPr>
            <w:noProof/>
            <w:webHidden/>
          </w:rPr>
          <w:fldChar w:fldCharType="separate"/>
        </w:r>
        <w:r w:rsidR="007953F0" w:rsidRPr="009A27ED">
          <w:rPr>
            <w:noProof/>
            <w:webHidden/>
          </w:rPr>
          <w:t>122</w:t>
        </w:r>
        <w:r w:rsidRPr="009A27ED">
          <w:rPr>
            <w:noProof/>
            <w:webHidden/>
          </w:rPr>
          <w:fldChar w:fldCharType="end"/>
        </w:r>
      </w:hyperlink>
    </w:p>
    <w:p w14:paraId="34F288C5" w14:textId="1F2853C3" w:rsidR="00B65ED1" w:rsidRPr="009A27ED" w:rsidRDefault="00B65ED1">
      <w:pPr>
        <w:pStyle w:val="TDC3"/>
        <w:tabs>
          <w:tab w:val="right" w:leader="dot" w:pos="9394"/>
        </w:tabs>
        <w:spacing w:line="360" w:lineRule="auto"/>
        <w:jc w:val="both"/>
        <w:rPr>
          <w:rFonts w:eastAsiaTheme="minorEastAsia" w:cstheme="minorBidi"/>
          <w:noProof/>
          <w:sz w:val="22"/>
          <w:szCs w:val="22"/>
          <w:lang w:val="en-US"/>
        </w:rPr>
      </w:pPr>
      <w:hyperlink w:anchor="_Toc111837948" w:history="1">
        <w:r w:rsidRPr="009A27ED">
          <w:rPr>
            <w:rStyle w:val="Hipervnculo"/>
            <w:noProof/>
          </w:rPr>
          <w:t>3.4.4. Brechas respecto a reasentamiento involuntario</w:t>
        </w:r>
        <w:r w:rsidRPr="009A27ED">
          <w:rPr>
            <w:noProof/>
            <w:webHidden/>
          </w:rPr>
          <w:tab/>
        </w:r>
        <w:r w:rsidRPr="009A27ED">
          <w:rPr>
            <w:noProof/>
            <w:webHidden/>
          </w:rPr>
          <w:fldChar w:fldCharType="begin"/>
        </w:r>
        <w:r w:rsidRPr="009A27ED">
          <w:rPr>
            <w:noProof/>
            <w:webHidden/>
          </w:rPr>
          <w:instrText xml:space="preserve"> PAGEREF _Toc111837948 \h </w:instrText>
        </w:r>
        <w:r w:rsidRPr="009A27ED">
          <w:rPr>
            <w:noProof/>
            <w:webHidden/>
          </w:rPr>
        </w:r>
        <w:r w:rsidRPr="009A27ED">
          <w:rPr>
            <w:noProof/>
            <w:webHidden/>
          </w:rPr>
          <w:fldChar w:fldCharType="separate"/>
        </w:r>
        <w:r w:rsidR="007953F0" w:rsidRPr="009A27ED">
          <w:rPr>
            <w:noProof/>
            <w:webHidden/>
          </w:rPr>
          <w:t>122</w:t>
        </w:r>
        <w:r w:rsidRPr="009A27ED">
          <w:rPr>
            <w:noProof/>
            <w:webHidden/>
          </w:rPr>
          <w:fldChar w:fldCharType="end"/>
        </w:r>
      </w:hyperlink>
    </w:p>
    <w:p w14:paraId="5775CD53" w14:textId="5E7C375E" w:rsidR="00B65ED1" w:rsidRPr="009A27ED" w:rsidRDefault="00B65ED1">
      <w:pPr>
        <w:pStyle w:val="TDC3"/>
        <w:tabs>
          <w:tab w:val="right" w:leader="dot" w:pos="9394"/>
        </w:tabs>
        <w:spacing w:line="360" w:lineRule="auto"/>
        <w:jc w:val="both"/>
        <w:rPr>
          <w:rFonts w:eastAsiaTheme="minorEastAsia" w:cstheme="minorBidi"/>
          <w:noProof/>
          <w:sz w:val="22"/>
          <w:szCs w:val="22"/>
          <w:lang w:val="en-US"/>
        </w:rPr>
      </w:pPr>
      <w:hyperlink w:anchor="_Toc111837949" w:history="1">
        <w:r w:rsidRPr="009A27ED">
          <w:rPr>
            <w:rStyle w:val="Hipervnculo"/>
            <w:noProof/>
          </w:rPr>
          <w:t>3.4.5. Brechas respecto de Género y Desarrollo</w:t>
        </w:r>
        <w:r w:rsidRPr="009A27ED">
          <w:rPr>
            <w:noProof/>
            <w:webHidden/>
          </w:rPr>
          <w:tab/>
        </w:r>
        <w:r w:rsidRPr="009A27ED">
          <w:rPr>
            <w:noProof/>
            <w:webHidden/>
          </w:rPr>
          <w:fldChar w:fldCharType="begin"/>
        </w:r>
        <w:r w:rsidRPr="009A27ED">
          <w:rPr>
            <w:noProof/>
            <w:webHidden/>
          </w:rPr>
          <w:instrText xml:space="preserve"> PAGEREF _Toc111837949 \h </w:instrText>
        </w:r>
        <w:r w:rsidRPr="009A27ED">
          <w:rPr>
            <w:noProof/>
            <w:webHidden/>
          </w:rPr>
        </w:r>
        <w:r w:rsidRPr="009A27ED">
          <w:rPr>
            <w:noProof/>
            <w:webHidden/>
          </w:rPr>
          <w:fldChar w:fldCharType="separate"/>
        </w:r>
        <w:r w:rsidR="007953F0" w:rsidRPr="009A27ED">
          <w:rPr>
            <w:noProof/>
            <w:webHidden/>
          </w:rPr>
          <w:t>124</w:t>
        </w:r>
        <w:r w:rsidRPr="009A27ED">
          <w:rPr>
            <w:noProof/>
            <w:webHidden/>
          </w:rPr>
          <w:fldChar w:fldCharType="end"/>
        </w:r>
      </w:hyperlink>
    </w:p>
    <w:p w14:paraId="5D52C83C" w14:textId="635ADDC4" w:rsidR="00B65ED1" w:rsidRPr="009A27ED" w:rsidRDefault="00B65ED1">
      <w:pPr>
        <w:pStyle w:val="TDC3"/>
        <w:tabs>
          <w:tab w:val="right" w:leader="dot" w:pos="9394"/>
        </w:tabs>
        <w:spacing w:line="360" w:lineRule="auto"/>
        <w:jc w:val="both"/>
        <w:rPr>
          <w:rFonts w:eastAsiaTheme="minorEastAsia" w:cstheme="minorBidi"/>
          <w:noProof/>
          <w:sz w:val="22"/>
          <w:szCs w:val="22"/>
          <w:lang w:val="en-US"/>
        </w:rPr>
      </w:pPr>
      <w:hyperlink w:anchor="_Toc111837950" w:history="1">
        <w:r w:rsidRPr="009A27ED">
          <w:rPr>
            <w:rStyle w:val="Hipervnculo"/>
            <w:noProof/>
          </w:rPr>
          <w:t>3.4.6. Brechas respecto OP 4.09 Manejo de Plagas</w:t>
        </w:r>
        <w:r w:rsidRPr="009A27ED">
          <w:rPr>
            <w:noProof/>
            <w:webHidden/>
          </w:rPr>
          <w:tab/>
        </w:r>
        <w:r w:rsidRPr="009A27ED">
          <w:rPr>
            <w:noProof/>
            <w:webHidden/>
          </w:rPr>
          <w:fldChar w:fldCharType="begin"/>
        </w:r>
        <w:r w:rsidRPr="009A27ED">
          <w:rPr>
            <w:noProof/>
            <w:webHidden/>
          </w:rPr>
          <w:instrText xml:space="preserve"> PAGEREF _Toc111837950 \h </w:instrText>
        </w:r>
        <w:r w:rsidRPr="009A27ED">
          <w:rPr>
            <w:noProof/>
            <w:webHidden/>
          </w:rPr>
        </w:r>
        <w:r w:rsidRPr="009A27ED">
          <w:rPr>
            <w:noProof/>
            <w:webHidden/>
          </w:rPr>
          <w:fldChar w:fldCharType="separate"/>
        </w:r>
        <w:r w:rsidR="007953F0" w:rsidRPr="009A27ED">
          <w:rPr>
            <w:noProof/>
            <w:webHidden/>
          </w:rPr>
          <w:t>124</w:t>
        </w:r>
        <w:r w:rsidRPr="009A27ED">
          <w:rPr>
            <w:noProof/>
            <w:webHidden/>
          </w:rPr>
          <w:fldChar w:fldCharType="end"/>
        </w:r>
      </w:hyperlink>
    </w:p>
    <w:p w14:paraId="4BD892E4" w14:textId="3B978C6C" w:rsidR="00B65ED1" w:rsidRPr="009A27ED" w:rsidRDefault="00B65ED1">
      <w:pPr>
        <w:pStyle w:val="TDC1"/>
        <w:tabs>
          <w:tab w:val="right" w:leader="dot" w:pos="9394"/>
        </w:tabs>
        <w:spacing w:line="360" w:lineRule="auto"/>
        <w:jc w:val="both"/>
        <w:rPr>
          <w:rFonts w:eastAsiaTheme="minorEastAsia" w:cstheme="minorBidi"/>
          <w:b w:val="0"/>
          <w:bCs w:val="0"/>
          <w:noProof/>
          <w:sz w:val="22"/>
          <w:szCs w:val="22"/>
          <w:lang w:val="en-US"/>
        </w:rPr>
      </w:pPr>
      <w:hyperlink w:anchor="_Toc111837951" w:history="1">
        <w:r w:rsidRPr="009A27ED">
          <w:rPr>
            <w:rStyle w:val="Hipervnculo"/>
            <w:noProof/>
          </w:rPr>
          <w:t>4. Identificación y evaluación de los riesgos e impactos ambientales y sociales asociados a las opciones y acciones estratégicas REDD+ y a los tipos de actividades seleccionadas en los programas nacionales para la implementación.</w:t>
        </w:r>
        <w:r w:rsidRPr="009A27ED">
          <w:rPr>
            <w:noProof/>
            <w:webHidden/>
          </w:rPr>
          <w:tab/>
        </w:r>
        <w:r w:rsidRPr="009A27ED">
          <w:rPr>
            <w:noProof/>
            <w:webHidden/>
          </w:rPr>
          <w:fldChar w:fldCharType="begin"/>
        </w:r>
        <w:r w:rsidRPr="009A27ED">
          <w:rPr>
            <w:noProof/>
            <w:webHidden/>
          </w:rPr>
          <w:instrText xml:space="preserve"> PAGEREF _Toc111837951 \h </w:instrText>
        </w:r>
        <w:r w:rsidRPr="009A27ED">
          <w:rPr>
            <w:noProof/>
            <w:webHidden/>
          </w:rPr>
        </w:r>
        <w:r w:rsidRPr="009A27ED">
          <w:rPr>
            <w:noProof/>
            <w:webHidden/>
          </w:rPr>
          <w:fldChar w:fldCharType="separate"/>
        </w:r>
        <w:r w:rsidR="007953F0" w:rsidRPr="009A27ED">
          <w:rPr>
            <w:noProof/>
            <w:webHidden/>
          </w:rPr>
          <w:t>125</w:t>
        </w:r>
        <w:r w:rsidRPr="009A27ED">
          <w:rPr>
            <w:noProof/>
            <w:webHidden/>
          </w:rPr>
          <w:fldChar w:fldCharType="end"/>
        </w:r>
      </w:hyperlink>
    </w:p>
    <w:p w14:paraId="4E8820A6" w14:textId="64959836" w:rsidR="00B65ED1" w:rsidRPr="009A27ED" w:rsidRDefault="00B65ED1">
      <w:pPr>
        <w:pStyle w:val="TDC2"/>
        <w:tabs>
          <w:tab w:val="right" w:leader="dot" w:pos="9394"/>
        </w:tabs>
        <w:spacing w:line="360" w:lineRule="auto"/>
        <w:jc w:val="both"/>
        <w:rPr>
          <w:rFonts w:eastAsiaTheme="minorEastAsia" w:cstheme="minorBidi"/>
          <w:i w:val="0"/>
          <w:iCs w:val="0"/>
          <w:noProof/>
          <w:sz w:val="22"/>
          <w:szCs w:val="22"/>
          <w:lang w:val="en-US"/>
        </w:rPr>
      </w:pPr>
      <w:hyperlink w:anchor="_Toc111837952" w:history="1">
        <w:r w:rsidRPr="009A27ED">
          <w:rPr>
            <w:rStyle w:val="Hipervnculo"/>
            <w:noProof/>
          </w:rPr>
          <w:t>4.1. Evaluación ambiental y social de las Opciones y Acciones Estratégicas REDD+ como resultado de la SESA</w:t>
        </w:r>
        <w:r w:rsidRPr="009A27ED">
          <w:rPr>
            <w:noProof/>
            <w:webHidden/>
          </w:rPr>
          <w:tab/>
        </w:r>
        <w:r w:rsidRPr="009A27ED">
          <w:rPr>
            <w:noProof/>
            <w:webHidden/>
          </w:rPr>
          <w:fldChar w:fldCharType="begin"/>
        </w:r>
        <w:r w:rsidRPr="009A27ED">
          <w:rPr>
            <w:noProof/>
            <w:webHidden/>
          </w:rPr>
          <w:instrText xml:space="preserve"> PAGEREF _Toc111837952 \h </w:instrText>
        </w:r>
        <w:r w:rsidRPr="009A27ED">
          <w:rPr>
            <w:noProof/>
            <w:webHidden/>
          </w:rPr>
        </w:r>
        <w:r w:rsidRPr="009A27ED">
          <w:rPr>
            <w:noProof/>
            <w:webHidden/>
          </w:rPr>
          <w:fldChar w:fldCharType="separate"/>
        </w:r>
        <w:r w:rsidR="007953F0" w:rsidRPr="009A27ED">
          <w:rPr>
            <w:noProof/>
            <w:webHidden/>
          </w:rPr>
          <w:t>125</w:t>
        </w:r>
        <w:r w:rsidRPr="009A27ED">
          <w:rPr>
            <w:noProof/>
            <w:webHidden/>
          </w:rPr>
          <w:fldChar w:fldCharType="end"/>
        </w:r>
      </w:hyperlink>
    </w:p>
    <w:p w14:paraId="575968C1" w14:textId="614BB23E" w:rsidR="00B65ED1" w:rsidRPr="009A27ED" w:rsidRDefault="00B65ED1">
      <w:pPr>
        <w:pStyle w:val="TDC3"/>
        <w:tabs>
          <w:tab w:val="right" w:leader="dot" w:pos="9394"/>
        </w:tabs>
        <w:spacing w:line="360" w:lineRule="auto"/>
        <w:jc w:val="both"/>
        <w:rPr>
          <w:rFonts w:eastAsiaTheme="minorEastAsia" w:cstheme="minorBidi"/>
          <w:noProof/>
          <w:sz w:val="22"/>
          <w:szCs w:val="22"/>
          <w:lang w:val="en-US"/>
        </w:rPr>
      </w:pPr>
      <w:hyperlink w:anchor="_Toc111837953" w:history="1">
        <w:r w:rsidRPr="009A27ED">
          <w:rPr>
            <w:rStyle w:val="Hipervnculo"/>
            <w:noProof/>
          </w:rPr>
          <w:t>4.1.1. Evaluación ambiental y social de las actividades directas (actividades tipo REDD+)</w:t>
        </w:r>
        <w:r w:rsidRPr="009A27ED">
          <w:rPr>
            <w:noProof/>
            <w:webHidden/>
          </w:rPr>
          <w:tab/>
        </w:r>
        <w:r w:rsidRPr="009A27ED">
          <w:rPr>
            <w:noProof/>
            <w:webHidden/>
          </w:rPr>
          <w:fldChar w:fldCharType="begin"/>
        </w:r>
        <w:r w:rsidRPr="009A27ED">
          <w:rPr>
            <w:noProof/>
            <w:webHidden/>
          </w:rPr>
          <w:instrText xml:space="preserve"> PAGEREF _Toc111837953 \h </w:instrText>
        </w:r>
        <w:r w:rsidRPr="009A27ED">
          <w:rPr>
            <w:noProof/>
            <w:webHidden/>
          </w:rPr>
        </w:r>
        <w:r w:rsidRPr="009A27ED">
          <w:rPr>
            <w:noProof/>
            <w:webHidden/>
          </w:rPr>
          <w:fldChar w:fldCharType="separate"/>
        </w:r>
        <w:r w:rsidR="007953F0" w:rsidRPr="009A27ED">
          <w:rPr>
            <w:noProof/>
            <w:webHidden/>
          </w:rPr>
          <w:t>137</w:t>
        </w:r>
        <w:r w:rsidRPr="009A27ED">
          <w:rPr>
            <w:noProof/>
            <w:webHidden/>
          </w:rPr>
          <w:fldChar w:fldCharType="end"/>
        </w:r>
      </w:hyperlink>
    </w:p>
    <w:p w14:paraId="1C1495E6" w14:textId="51C0C729" w:rsidR="00B65ED1" w:rsidRPr="009A27ED" w:rsidRDefault="00B65ED1">
      <w:pPr>
        <w:pStyle w:val="TDC2"/>
        <w:tabs>
          <w:tab w:val="right" w:leader="dot" w:pos="9394"/>
        </w:tabs>
        <w:spacing w:line="360" w:lineRule="auto"/>
        <w:jc w:val="both"/>
        <w:rPr>
          <w:rFonts w:eastAsiaTheme="minorEastAsia" w:cstheme="minorBidi"/>
          <w:i w:val="0"/>
          <w:iCs w:val="0"/>
          <w:noProof/>
          <w:sz w:val="22"/>
          <w:szCs w:val="22"/>
          <w:lang w:val="en-US"/>
        </w:rPr>
      </w:pPr>
      <w:hyperlink w:anchor="_Toc111837954" w:history="1">
        <w:r w:rsidRPr="009A27ED">
          <w:rPr>
            <w:rStyle w:val="Hipervnculo"/>
            <w:noProof/>
          </w:rPr>
          <w:t>4.2 Análisis de riesgos y medidas consideradas vinculadas a la tenencia de la tierra.</w:t>
        </w:r>
        <w:r w:rsidRPr="009A27ED">
          <w:rPr>
            <w:noProof/>
            <w:webHidden/>
          </w:rPr>
          <w:tab/>
        </w:r>
        <w:r w:rsidRPr="009A27ED">
          <w:rPr>
            <w:noProof/>
            <w:webHidden/>
          </w:rPr>
          <w:fldChar w:fldCharType="begin"/>
        </w:r>
        <w:r w:rsidRPr="009A27ED">
          <w:rPr>
            <w:noProof/>
            <w:webHidden/>
          </w:rPr>
          <w:instrText xml:space="preserve"> PAGEREF _Toc111837954 \h </w:instrText>
        </w:r>
        <w:r w:rsidRPr="009A27ED">
          <w:rPr>
            <w:noProof/>
            <w:webHidden/>
          </w:rPr>
        </w:r>
        <w:r w:rsidRPr="009A27ED">
          <w:rPr>
            <w:noProof/>
            <w:webHidden/>
          </w:rPr>
          <w:fldChar w:fldCharType="separate"/>
        </w:r>
        <w:r w:rsidR="007953F0" w:rsidRPr="009A27ED">
          <w:rPr>
            <w:noProof/>
            <w:webHidden/>
          </w:rPr>
          <w:t>147</w:t>
        </w:r>
        <w:r w:rsidRPr="009A27ED">
          <w:rPr>
            <w:noProof/>
            <w:webHidden/>
          </w:rPr>
          <w:fldChar w:fldCharType="end"/>
        </w:r>
      </w:hyperlink>
    </w:p>
    <w:p w14:paraId="5CC74D9A" w14:textId="41A564F7" w:rsidR="00B65ED1" w:rsidRPr="009A27ED" w:rsidRDefault="00B65ED1">
      <w:pPr>
        <w:pStyle w:val="TDC1"/>
        <w:tabs>
          <w:tab w:val="right" w:leader="dot" w:pos="9394"/>
        </w:tabs>
        <w:spacing w:line="360" w:lineRule="auto"/>
        <w:jc w:val="both"/>
        <w:rPr>
          <w:rFonts w:eastAsiaTheme="minorEastAsia" w:cstheme="minorBidi"/>
          <w:b w:val="0"/>
          <w:bCs w:val="0"/>
          <w:noProof/>
          <w:sz w:val="22"/>
          <w:szCs w:val="22"/>
          <w:lang w:val="en-US"/>
        </w:rPr>
      </w:pPr>
      <w:hyperlink w:anchor="_Toc111837955" w:history="1">
        <w:r w:rsidRPr="009A27ED">
          <w:rPr>
            <w:rStyle w:val="Hipervnculo"/>
            <w:noProof/>
          </w:rPr>
          <w:t>5. Arreglos institucionales para la implementación del MGAS</w:t>
        </w:r>
        <w:r w:rsidRPr="009A27ED">
          <w:rPr>
            <w:noProof/>
            <w:webHidden/>
          </w:rPr>
          <w:tab/>
        </w:r>
        <w:r w:rsidRPr="009A27ED">
          <w:rPr>
            <w:noProof/>
            <w:webHidden/>
          </w:rPr>
          <w:fldChar w:fldCharType="begin"/>
        </w:r>
        <w:r w:rsidRPr="009A27ED">
          <w:rPr>
            <w:noProof/>
            <w:webHidden/>
          </w:rPr>
          <w:instrText xml:space="preserve"> PAGEREF _Toc111837955 \h </w:instrText>
        </w:r>
        <w:r w:rsidRPr="009A27ED">
          <w:rPr>
            <w:noProof/>
            <w:webHidden/>
          </w:rPr>
        </w:r>
        <w:r w:rsidRPr="009A27ED">
          <w:rPr>
            <w:noProof/>
            <w:webHidden/>
          </w:rPr>
          <w:fldChar w:fldCharType="separate"/>
        </w:r>
        <w:r w:rsidR="007953F0" w:rsidRPr="009A27ED">
          <w:rPr>
            <w:noProof/>
            <w:webHidden/>
          </w:rPr>
          <w:t>148</w:t>
        </w:r>
        <w:r w:rsidRPr="009A27ED">
          <w:rPr>
            <w:noProof/>
            <w:webHidden/>
          </w:rPr>
          <w:fldChar w:fldCharType="end"/>
        </w:r>
      </w:hyperlink>
    </w:p>
    <w:p w14:paraId="64F8FDDC" w14:textId="2524FB0F" w:rsidR="00B65ED1" w:rsidRPr="009A27ED" w:rsidRDefault="00B65ED1">
      <w:pPr>
        <w:pStyle w:val="TDC2"/>
        <w:tabs>
          <w:tab w:val="left" w:pos="720"/>
          <w:tab w:val="right" w:leader="dot" w:pos="9394"/>
        </w:tabs>
        <w:spacing w:line="360" w:lineRule="auto"/>
        <w:jc w:val="both"/>
        <w:rPr>
          <w:rFonts w:eastAsiaTheme="minorEastAsia" w:cstheme="minorBidi"/>
          <w:i w:val="0"/>
          <w:iCs w:val="0"/>
          <w:noProof/>
          <w:sz w:val="22"/>
          <w:szCs w:val="22"/>
          <w:lang w:val="en-US"/>
        </w:rPr>
      </w:pPr>
      <w:hyperlink w:anchor="_Toc111837956" w:history="1">
        <w:r w:rsidRPr="009A27ED">
          <w:rPr>
            <w:rStyle w:val="Hipervnculo"/>
            <w:noProof/>
          </w:rPr>
          <w:t>5.1</w:t>
        </w:r>
        <w:r w:rsidRPr="009A27ED">
          <w:rPr>
            <w:rFonts w:eastAsiaTheme="minorEastAsia" w:cstheme="minorBidi"/>
            <w:i w:val="0"/>
            <w:iCs w:val="0"/>
            <w:noProof/>
            <w:sz w:val="22"/>
            <w:szCs w:val="22"/>
            <w:lang w:val="en-US"/>
          </w:rPr>
          <w:tab/>
        </w:r>
        <w:r w:rsidRPr="009A27ED">
          <w:rPr>
            <w:rStyle w:val="Hipervnculo"/>
            <w:noProof/>
          </w:rPr>
          <w:t>Entidades Ejecutoras con las que se establecen acuerdos interinstitucionales.</w:t>
        </w:r>
        <w:r w:rsidRPr="009A27ED">
          <w:rPr>
            <w:noProof/>
            <w:webHidden/>
          </w:rPr>
          <w:tab/>
        </w:r>
        <w:r w:rsidRPr="009A27ED">
          <w:rPr>
            <w:noProof/>
            <w:webHidden/>
          </w:rPr>
          <w:fldChar w:fldCharType="begin"/>
        </w:r>
        <w:r w:rsidRPr="009A27ED">
          <w:rPr>
            <w:noProof/>
            <w:webHidden/>
          </w:rPr>
          <w:instrText xml:space="preserve"> PAGEREF _Toc111837956 \h </w:instrText>
        </w:r>
        <w:r w:rsidRPr="009A27ED">
          <w:rPr>
            <w:noProof/>
            <w:webHidden/>
          </w:rPr>
        </w:r>
        <w:r w:rsidRPr="009A27ED">
          <w:rPr>
            <w:noProof/>
            <w:webHidden/>
          </w:rPr>
          <w:fldChar w:fldCharType="separate"/>
        </w:r>
        <w:r w:rsidR="007953F0" w:rsidRPr="009A27ED">
          <w:rPr>
            <w:noProof/>
            <w:webHidden/>
          </w:rPr>
          <w:t>152</w:t>
        </w:r>
        <w:r w:rsidRPr="009A27ED">
          <w:rPr>
            <w:noProof/>
            <w:webHidden/>
          </w:rPr>
          <w:fldChar w:fldCharType="end"/>
        </w:r>
      </w:hyperlink>
    </w:p>
    <w:p w14:paraId="78196C0B" w14:textId="64949640" w:rsidR="00B65ED1" w:rsidRPr="009A27ED" w:rsidRDefault="00B65ED1">
      <w:pPr>
        <w:pStyle w:val="TDC2"/>
        <w:tabs>
          <w:tab w:val="left" w:pos="720"/>
          <w:tab w:val="right" w:leader="dot" w:pos="9394"/>
        </w:tabs>
        <w:spacing w:line="360" w:lineRule="auto"/>
        <w:jc w:val="both"/>
        <w:rPr>
          <w:rFonts w:eastAsiaTheme="minorEastAsia" w:cstheme="minorBidi"/>
          <w:i w:val="0"/>
          <w:iCs w:val="0"/>
          <w:noProof/>
          <w:sz w:val="22"/>
          <w:szCs w:val="22"/>
          <w:lang w:val="en-US"/>
        </w:rPr>
      </w:pPr>
      <w:hyperlink w:anchor="_Toc111837986" w:history="1">
        <w:r w:rsidRPr="009A27ED">
          <w:rPr>
            <w:rStyle w:val="Hipervnculo"/>
            <w:noProof/>
          </w:rPr>
          <w:t>5.2</w:t>
        </w:r>
        <w:r w:rsidRPr="009A27ED">
          <w:rPr>
            <w:rFonts w:eastAsiaTheme="minorEastAsia" w:cstheme="minorBidi"/>
            <w:i w:val="0"/>
            <w:iCs w:val="0"/>
            <w:noProof/>
            <w:sz w:val="22"/>
            <w:szCs w:val="22"/>
            <w:lang w:val="en-US"/>
          </w:rPr>
          <w:tab/>
        </w:r>
        <w:r w:rsidRPr="009A27ED">
          <w:rPr>
            <w:rStyle w:val="Hipervnculo"/>
            <w:noProof/>
          </w:rPr>
          <w:t>Tipo de arreglos institucionales con Entidades Ejecutoras</w:t>
        </w:r>
        <w:r w:rsidRPr="009A27ED">
          <w:rPr>
            <w:noProof/>
            <w:webHidden/>
          </w:rPr>
          <w:tab/>
        </w:r>
        <w:r w:rsidRPr="009A27ED">
          <w:rPr>
            <w:noProof/>
            <w:webHidden/>
          </w:rPr>
          <w:fldChar w:fldCharType="begin"/>
        </w:r>
        <w:r w:rsidRPr="009A27ED">
          <w:rPr>
            <w:noProof/>
            <w:webHidden/>
          </w:rPr>
          <w:instrText xml:space="preserve"> PAGEREF _Toc111837986 \h </w:instrText>
        </w:r>
        <w:r w:rsidRPr="009A27ED">
          <w:rPr>
            <w:noProof/>
            <w:webHidden/>
          </w:rPr>
        </w:r>
        <w:r w:rsidRPr="009A27ED">
          <w:rPr>
            <w:noProof/>
            <w:webHidden/>
          </w:rPr>
          <w:fldChar w:fldCharType="separate"/>
        </w:r>
        <w:r w:rsidR="007953F0" w:rsidRPr="009A27ED">
          <w:rPr>
            <w:noProof/>
            <w:webHidden/>
          </w:rPr>
          <w:t>153</w:t>
        </w:r>
        <w:r w:rsidRPr="009A27ED">
          <w:rPr>
            <w:noProof/>
            <w:webHidden/>
          </w:rPr>
          <w:fldChar w:fldCharType="end"/>
        </w:r>
      </w:hyperlink>
    </w:p>
    <w:p w14:paraId="0252E2A7" w14:textId="6079F80E" w:rsidR="00B65ED1" w:rsidRPr="009A27ED" w:rsidRDefault="00B65ED1">
      <w:pPr>
        <w:pStyle w:val="TDC1"/>
        <w:tabs>
          <w:tab w:val="right" w:leader="dot" w:pos="9394"/>
        </w:tabs>
        <w:spacing w:line="360" w:lineRule="auto"/>
        <w:jc w:val="both"/>
        <w:rPr>
          <w:rFonts w:eastAsiaTheme="minorEastAsia" w:cstheme="minorBidi"/>
          <w:b w:val="0"/>
          <w:bCs w:val="0"/>
          <w:noProof/>
          <w:sz w:val="22"/>
          <w:szCs w:val="22"/>
          <w:lang w:val="en-US"/>
        </w:rPr>
      </w:pPr>
      <w:hyperlink w:anchor="_Toc111837987" w:history="1">
        <w:r w:rsidRPr="009A27ED">
          <w:rPr>
            <w:rStyle w:val="Hipervnculo"/>
            <w:noProof/>
          </w:rPr>
          <w:t>6. Procedimientos para la Implementación del MGAS</w:t>
        </w:r>
        <w:r w:rsidRPr="009A27ED">
          <w:rPr>
            <w:noProof/>
            <w:webHidden/>
          </w:rPr>
          <w:tab/>
        </w:r>
        <w:r w:rsidRPr="009A27ED">
          <w:rPr>
            <w:noProof/>
            <w:webHidden/>
          </w:rPr>
          <w:fldChar w:fldCharType="begin"/>
        </w:r>
        <w:r w:rsidRPr="009A27ED">
          <w:rPr>
            <w:noProof/>
            <w:webHidden/>
          </w:rPr>
          <w:instrText xml:space="preserve"> PAGEREF _Toc111837987 \h </w:instrText>
        </w:r>
        <w:r w:rsidRPr="009A27ED">
          <w:rPr>
            <w:noProof/>
            <w:webHidden/>
          </w:rPr>
        </w:r>
        <w:r w:rsidRPr="009A27ED">
          <w:rPr>
            <w:noProof/>
            <w:webHidden/>
          </w:rPr>
          <w:fldChar w:fldCharType="separate"/>
        </w:r>
        <w:r w:rsidR="007953F0" w:rsidRPr="009A27ED">
          <w:rPr>
            <w:noProof/>
            <w:webHidden/>
          </w:rPr>
          <w:t>155</w:t>
        </w:r>
        <w:r w:rsidRPr="009A27ED">
          <w:rPr>
            <w:noProof/>
            <w:webHidden/>
          </w:rPr>
          <w:fldChar w:fldCharType="end"/>
        </w:r>
      </w:hyperlink>
    </w:p>
    <w:p w14:paraId="40CDCF80" w14:textId="7B93F5B2" w:rsidR="00B65ED1" w:rsidRPr="009A27ED" w:rsidRDefault="00B65ED1">
      <w:pPr>
        <w:pStyle w:val="TDC2"/>
        <w:tabs>
          <w:tab w:val="left" w:pos="720"/>
          <w:tab w:val="right" w:leader="dot" w:pos="9394"/>
        </w:tabs>
        <w:spacing w:line="360" w:lineRule="auto"/>
        <w:jc w:val="both"/>
        <w:rPr>
          <w:rFonts w:eastAsiaTheme="minorEastAsia" w:cstheme="minorBidi"/>
          <w:i w:val="0"/>
          <w:iCs w:val="0"/>
          <w:noProof/>
          <w:sz w:val="22"/>
          <w:szCs w:val="22"/>
          <w:lang w:val="en-US"/>
        </w:rPr>
      </w:pPr>
      <w:hyperlink w:anchor="_Toc111837988" w:history="1">
        <w:r w:rsidRPr="009A27ED">
          <w:rPr>
            <w:rStyle w:val="Hipervnculo"/>
            <w:noProof/>
          </w:rPr>
          <w:t>6.1</w:t>
        </w:r>
        <w:r w:rsidRPr="009A27ED">
          <w:rPr>
            <w:rFonts w:eastAsiaTheme="minorEastAsia" w:cstheme="minorBidi"/>
            <w:i w:val="0"/>
            <w:iCs w:val="0"/>
            <w:noProof/>
            <w:sz w:val="22"/>
            <w:szCs w:val="22"/>
            <w:lang w:val="en-US"/>
          </w:rPr>
          <w:tab/>
        </w:r>
        <w:r w:rsidRPr="009A27ED">
          <w:rPr>
            <w:rStyle w:val="Hipervnculo"/>
            <w:noProof/>
          </w:rPr>
          <w:t>Normas de Asistencia Técnica para las Acciones Facilitadoras</w:t>
        </w:r>
        <w:r w:rsidRPr="009A27ED">
          <w:rPr>
            <w:noProof/>
            <w:webHidden/>
          </w:rPr>
          <w:tab/>
        </w:r>
        <w:r w:rsidRPr="009A27ED">
          <w:rPr>
            <w:noProof/>
            <w:webHidden/>
          </w:rPr>
          <w:fldChar w:fldCharType="begin"/>
        </w:r>
        <w:r w:rsidRPr="009A27ED">
          <w:rPr>
            <w:noProof/>
            <w:webHidden/>
          </w:rPr>
          <w:instrText xml:space="preserve"> PAGEREF _Toc111837988 \h </w:instrText>
        </w:r>
        <w:r w:rsidRPr="009A27ED">
          <w:rPr>
            <w:noProof/>
            <w:webHidden/>
          </w:rPr>
        </w:r>
        <w:r w:rsidRPr="009A27ED">
          <w:rPr>
            <w:noProof/>
            <w:webHidden/>
          </w:rPr>
          <w:fldChar w:fldCharType="separate"/>
        </w:r>
        <w:r w:rsidR="007953F0" w:rsidRPr="009A27ED">
          <w:rPr>
            <w:noProof/>
            <w:webHidden/>
          </w:rPr>
          <w:t>155</w:t>
        </w:r>
        <w:r w:rsidRPr="009A27ED">
          <w:rPr>
            <w:noProof/>
            <w:webHidden/>
          </w:rPr>
          <w:fldChar w:fldCharType="end"/>
        </w:r>
      </w:hyperlink>
    </w:p>
    <w:p w14:paraId="329E2923" w14:textId="6BB89D8C" w:rsidR="00B65ED1" w:rsidRPr="009A27ED" w:rsidRDefault="00B65ED1">
      <w:pPr>
        <w:pStyle w:val="TDC2"/>
        <w:tabs>
          <w:tab w:val="right" w:leader="dot" w:pos="9394"/>
        </w:tabs>
        <w:spacing w:line="360" w:lineRule="auto"/>
        <w:jc w:val="both"/>
        <w:rPr>
          <w:rFonts w:eastAsiaTheme="minorEastAsia" w:cstheme="minorBidi"/>
          <w:i w:val="0"/>
          <w:iCs w:val="0"/>
          <w:noProof/>
          <w:sz w:val="22"/>
          <w:szCs w:val="22"/>
          <w:lang w:val="en-US"/>
        </w:rPr>
      </w:pPr>
      <w:hyperlink w:anchor="_Toc111837989" w:history="1">
        <w:r w:rsidRPr="009A27ED">
          <w:rPr>
            <w:rStyle w:val="Hipervnculo"/>
            <w:noProof/>
          </w:rPr>
          <w:t>6.2 Lista de exclusión</w:t>
        </w:r>
        <w:r w:rsidRPr="009A27ED">
          <w:rPr>
            <w:noProof/>
            <w:webHidden/>
          </w:rPr>
          <w:tab/>
        </w:r>
        <w:r w:rsidRPr="009A27ED">
          <w:rPr>
            <w:noProof/>
            <w:webHidden/>
          </w:rPr>
          <w:fldChar w:fldCharType="begin"/>
        </w:r>
        <w:r w:rsidRPr="009A27ED">
          <w:rPr>
            <w:noProof/>
            <w:webHidden/>
          </w:rPr>
          <w:instrText xml:space="preserve"> PAGEREF _Toc111837989 \h </w:instrText>
        </w:r>
        <w:r w:rsidRPr="009A27ED">
          <w:rPr>
            <w:noProof/>
            <w:webHidden/>
          </w:rPr>
        </w:r>
        <w:r w:rsidRPr="009A27ED">
          <w:rPr>
            <w:noProof/>
            <w:webHidden/>
          </w:rPr>
          <w:fldChar w:fldCharType="separate"/>
        </w:r>
        <w:r w:rsidR="007953F0" w:rsidRPr="009A27ED">
          <w:rPr>
            <w:noProof/>
            <w:webHidden/>
          </w:rPr>
          <w:t>156</w:t>
        </w:r>
        <w:r w:rsidRPr="009A27ED">
          <w:rPr>
            <w:noProof/>
            <w:webHidden/>
          </w:rPr>
          <w:fldChar w:fldCharType="end"/>
        </w:r>
      </w:hyperlink>
    </w:p>
    <w:p w14:paraId="789CE0B4" w14:textId="00C596C2" w:rsidR="00B65ED1" w:rsidRPr="009A27ED" w:rsidRDefault="00B65ED1">
      <w:pPr>
        <w:pStyle w:val="TDC2"/>
        <w:tabs>
          <w:tab w:val="right" w:leader="dot" w:pos="9394"/>
        </w:tabs>
        <w:spacing w:line="360" w:lineRule="auto"/>
        <w:jc w:val="both"/>
        <w:rPr>
          <w:rFonts w:eastAsiaTheme="minorEastAsia" w:cstheme="minorBidi"/>
          <w:i w:val="0"/>
          <w:iCs w:val="0"/>
          <w:noProof/>
          <w:sz w:val="22"/>
          <w:szCs w:val="22"/>
          <w:lang w:val="en-US"/>
        </w:rPr>
      </w:pPr>
      <w:hyperlink w:anchor="_Toc111837990" w:history="1">
        <w:r w:rsidRPr="009A27ED">
          <w:rPr>
            <w:rStyle w:val="Hipervnculo"/>
            <w:noProof/>
          </w:rPr>
          <w:t>6.3 Criterios generales de selección</w:t>
        </w:r>
        <w:r w:rsidRPr="009A27ED">
          <w:rPr>
            <w:noProof/>
            <w:webHidden/>
          </w:rPr>
          <w:tab/>
        </w:r>
        <w:r w:rsidRPr="009A27ED">
          <w:rPr>
            <w:noProof/>
            <w:webHidden/>
          </w:rPr>
          <w:fldChar w:fldCharType="begin"/>
        </w:r>
        <w:r w:rsidRPr="009A27ED">
          <w:rPr>
            <w:noProof/>
            <w:webHidden/>
          </w:rPr>
          <w:instrText xml:space="preserve"> PAGEREF _Toc111837990 \h </w:instrText>
        </w:r>
        <w:r w:rsidRPr="009A27ED">
          <w:rPr>
            <w:noProof/>
            <w:webHidden/>
          </w:rPr>
        </w:r>
        <w:r w:rsidRPr="009A27ED">
          <w:rPr>
            <w:noProof/>
            <w:webHidden/>
          </w:rPr>
          <w:fldChar w:fldCharType="separate"/>
        </w:r>
        <w:r w:rsidR="007953F0" w:rsidRPr="009A27ED">
          <w:rPr>
            <w:noProof/>
            <w:webHidden/>
          </w:rPr>
          <w:t>157</w:t>
        </w:r>
        <w:r w:rsidRPr="009A27ED">
          <w:rPr>
            <w:noProof/>
            <w:webHidden/>
          </w:rPr>
          <w:fldChar w:fldCharType="end"/>
        </w:r>
      </w:hyperlink>
    </w:p>
    <w:p w14:paraId="3565540D" w14:textId="11C49615" w:rsidR="00B65ED1" w:rsidRPr="009A27ED" w:rsidRDefault="00B65ED1">
      <w:pPr>
        <w:pStyle w:val="TDC2"/>
        <w:tabs>
          <w:tab w:val="left" w:pos="720"/>
          <w:tab w:val="right" w:leader="dot" w:pos="9394"/>
        </w:tabs>
        <w:spacing w:line="360" w:lineRule="auto"/>
        <w:jc w:val="both"/>
        <w:rPr>
          <w:rFonts w:eastAsiaTheme="minorEastAsia" w:cstheme="minorBidi"/>
          <w:i w:val="0"/>
          <w:iCs w:val="0"/>
          <w:noProof/>
          <w:sz w:val="22"/>
          <w:szCs w:val="22"/>
          <w:lang w:val="en-US"/>
        </w:rPr>
      </w:pPr>
      <w:hyperlink w:anchor="_Toc111837991" w:history="1">
        <w:r w:rsidRPr="009A27ED">
          <w:rPr>
            <w:rStyle w:val="Hipervnculo"/>
            <w:noProof/>
          </w:rPr>
          <w:t>6.4</w:t>
        </w:r>
        <w:r w:rsidRPr="009A27ED">
          <w:rPr>
            <w:rFonts w:eastAsiaTheme="minorEastAsia" w:cstheme="minorBidi"/>
            <w:i w:val="0"/>
            <w:iCs w:val="0"/>
            <w:noProof/>
            <w:sz w:val="22"/>
            <w:szCs w:val="22"/>
            <w:lang w:val="en-US"/>
          </w:rPr>
          <w:tab/>
        </w:r>
        <w:r w:rsidRPr="009A27ED">
          <w:rPr>
            <w:rStyle w:val="Hipervnculo"/>
            <w:noProof/>
          </w:rPr>
          <w:t>Criterios de selección específicos</w:t>
        </w:r>
        <w:r w:rsidRPr="009A27ED">
          <w:rPr>
            <w:noProof/>
            <w:webHidden/>
          </w:rPr>
          <w:tab/>
        </w:r>
        <w:r w:rsidRPr="009A27ED">
          <w:rPr>
            <w:noProof/>
            <w:webHidden/>
          </w:rPr>
          <w:fldChar w:fldCharType="begin"/>
        </w:r>
        <w:r w:rsidRPr="009A27ED">
          <w:rPr>
            <w:noProof/>
            <w:webHidden/>
          </w:rPr>
          <w:instrText xml:space="preserve"> PAGEREF _Toc111837991 \h </w:instrText>
        </w:r>
        <w:r w:rsidRPr="009A27ED">
          <w:rPr>
            <w:noProof/>
            <w:webHidden/>
          </w:rPr>
        </w:r>
        <w:r w:rsidRPr="009A27ED">
          <w:rPr>
            <w:noProof/>
            <w:webHidden/>
          </w:rPr>
          <w:fldChar w:fldCharType="separate"/>
        </w:r>
        <w:r w:rsidR="007953F0" w:rsidRPr="009A27ED">
          <w:rPr>
            <w:noProof/>
            <w:webHidden/>
          </w:rPr>
          <w:t>158</w:t>
        </w:r>
        <w:r w:rsidRPr="009A27ED">
          <w:rPr>
            <w:noProof/>
            <w:webHidden/>
          </w:rPr>
          <w:fldChar w:fldCharType="end"/>
        </w:r>
      </w:hyperlink>
    </w:p>
    <w:p w14:paraId="0B56378A" w14:textId="4D95D0A6" w:rsidR="00B65ED1" w:rsidRPr="009A27ED" w:rsidRDefault="00B65ED1">
      <w:pPr>
        <w:pStyle w:val="TDC2"/>
        <w:tabs>
          <w:tab w:val="left" w:pos="720"/>
          <w:tab w:val="right" w:leader="dot" w:pos="9394"/>
        </w:tabs>
        <w:spacing w:line="360" w:lineRule="auto"/>
        <w:jc w:val="both"/>
        <w:rPr>
          <w:rFonts w:eastAsiaTheme="minorEastAsia" w:cstheme="minorBidi"/>
          <w:i w:val="0"/>
          <w:iCs w:val="0"/>
          <w:noProof/>
          <w:sz w:val="22"/>
          <w:szCs w:val="22"/>
          <w:lang w:val="en-US"/>
        </w:rPr>
      </w:pPr>
      <w:hyperlink w:anchor="_Toc111837992" w:history="1">
        <w:r w:rsidRPr="009A27ED">
          <w:rPr>
            <w:rStyle w:val="Hipervnculo"/>
            <w:noProof/>
          </w:rPr>
          <w:t>6.5</w:t>
        </w:r>
        <w:r w:rsidRPr="009A27ED">
          <w:rPr>
            <w:rFonts w:eastAsiaTheme="minorEastAsia" w:cstheme="minorBidi"/>
            <w:i w:val="0"/>
            <w:iCs w:val="0"/>
            <w:noProof/>
            <w:sz w:val="22"/>
            <w:szCs w:val="22"/>
            <w:lang w:val="en-US"/>
          </w:rPr>
          <w:tab/>
        </w:r>
        <w:r w:rsidRPr="009A27ED">
          <w:rPr>
            <w:rStyle w:val="Hipervnculo"/>
            <w:noProof/>
          </w:rPr>
          <w:t>Procedimientos para asegurar el cumplimiento de las salvaguardas ambientales y sociales durante la implementación de actividades tipo REDD+</w:t>
        </w:r>
        <w:r w:rsidRPr="009A27ED">
          <w:rPr>
            <w:noProof/>
            <w:webHidden/>
          </w:rPr>
          <w:tab/>
        </w:r>
        <w:r w:rsidRPr="009A27ED">
          <w:rPr>
            <w:noProof/>
            <w:webHidden/>
          </w:rPr>
          <w:fldChar w:fldCharType="begin"/>
        </w:r>
        <w:r w:rsidRPr="009A27ED">
          <w:rPr>
            <w:noProof/>
            <w:webHidden/>
          </w:rPr>
          <w:instrText xml:space="preserve"> PAGEREF _Toc111837992 \h </w:instrText>
        </w:r>
        <w:r w:rsidRPr="009A27ED">
          <w:rPr>
            <w:noProof/>
            <w:webHidden/>
          </w:rPr>
        </w:r>
        <w:r w:rsidRPr="009A27ED">
          <w:rPr>
            <w:noProof/>
            <w:webHidden/>
          </w:rPr>
          <w:fldChar w:fldCharType="separate"/>
        </w:r>
        <w:r w:rsidR="007953F0" w:rsidRPr="009A27ED">
          <w:rPr>
            <w:noProof/>
            <w:webHidden/>
          </w:rPr>
          <w:t>161</w:t>
        </w:r>
        <w:r w:rsidRPr="009A27ED">
          <w:rPr>
            <w:noProof/>
            <w:webHidden/>
          </w:rPr>
          <w:fldChar w:fldCharType="end"/>
        </w:r>
      </w:hyperlink>
    </w:p>
    <w:p w14:paraId="059D612F" w14:textId="46038594" w:rsidR="00B65ED1" w:rsidRPr="009A27ED" w:rsidRDefault="00B65ED1">
      <w:pPr>
        <w:pStyle w:val="TDC3"/>
        <w:tabs>
          <w:tab w:val="left" w:pos="1200"/>
          <w:tab w:val="right" w:leader="dot" w:pos="9394"/>
        </w:tabs>
        <w:spacing w:line="360" w:lineRule="auto"/>
        <w:jc w:val="both"/>
        <w:rPr>
          <w:rFonts w:eastAsiaTheme="minorEastAsia" w:cstheme="minorBidi"/>
          <w:noProof/>
          <w:sz w:val="22"/>
          <w:szCs w:val="22"/>
          <w:lang w:val="en-US"/>
        </w:rPr>
      </w:pPr>
      <w:hyperlink w:anchor="_Toc111837993" w:history="1">
        <w:r w:rsidRPr="009A27ED">
          <w:rPr>
            <w:rStyle w:val="Hipervnculo"/>
            <w:bCs/>
            <w:noProof/>
          </w:rPr>
          <w:t>6.5.1</w:t>
        </w:r>
        <w:r w:rsidRPr="009A27ED">
          <w:rPr>
            <w:rFonts w:eastAsiaTheme="minorEastAsia" w:cstheme="minorBidi"/>
            <w:noProof/>
            <w:sz w:val="22"/>
            <w:szCs w:val="22"/>
            <w:lang w:val="en-US"/>
          </w:rPr>
          <w:tab/>
        </w:r>
        <w:r w:rsidRPr="009A27ED">
          <w:rPr>
            <w:rStyle w:val="Hipervnculo"/>
            <w:bCs/>
            <w:noProof/>
          </w:rPr>
          <w:t>Fase I Preparación</w:t>
        </w:r>
        <w:r w:rsidRPr="009A27ED">
          <w:rPr>
            <w:noProof/>
            <w:webHidden/>
          </w:rPr>
          <w:tab/>
        </w:r>
        <w:r w:rsidRPr="009A27ED">
          <w:rPr>
            <w:noProof/>
            <w:webHidden/>
          </w:rPr>
          <w:fldChar w:fldCharType="begin"/>
        </w:r>
        <w:r w:rsidRPr="009A27ED">
          <w:rPr>
            <w:noProof/>
            <w:webHidden/>
          </w:rPr>
          <w:instrText xml:space="preserve"> PAGEREF _Toc111837993 \h </w:instrText>
        </w:r>
        <w:r w:rsidRPr="009A27ED">
          <w:rPr>
            <w:noProof/>
            <w:webHidden/>
          </w:rPr>
        </w:r>
        <w:r w:rsidRPr="009A27ED">
          <w:rPr>
            <w:noProof/>
            <w:webHidden/>
          </w:rPr>
          <w:fldChar w:fldCharType="separate"/>
        </w:r>
        <w:r w:rsidR="007953F0" w:rsidRPr="009A27ED">
          <w:rPr>
            <w:noProof/>
            <w:webHidden/>
          </w:rPr>
          <w:t>162</w:t>
        </w:r>
        <w:r w:rsidRPr="009A27ED">
          <w:rPr>
            <w:noProof/>
            <w:webHidden/>
          </w:rPr>
          <w:fldChar w:fldCharType="end"/>
        </w:r>
      </w:hyperlink>
    </w:p>
    <w:p w14:paraId="01A5F675" w14:textId="78ECEC2E" w:rsidR="00B65ED1" w:rsidRPr="009A27ED" w:rsidRDefault="00B65ED1">
      <w:pPr>
        <w:pStyle w:val="TDC3"/>
        <w:tabs>
          <w:tab w:val="left" w:pos="1200"/>
          <w:tab w:val="right" w:leader="dot" w:pos="9394"/>
        </w:tabs>
        <w:spacing w:line="360" w:lineRule="auto"/>
        <w:jc w:val="both"/>
        <w:rPr>
          <w:rFonts w:eastAsiaTheme="minorEastAsia" w:cstheme="minorBidi"/>
          <w:noProof/>
          <w:sz w:val="22"/>
          <w:szCs w:val="22"/>
          <w:lang w:val="en-US"/>
        </w:rPr>
      </w:pPr>
      <w:hyperlink w:anchor="_Toc111837994" w:history="1">
        <w:r w:rsidRPr="009A27ED">
          <w:rPr>
            <w:rStyle w:val="Hipervnculo"/>
            <w:bCs/>
            <w:noProof/>
          </w:rPr>
          <w:t>6.5.2</w:t>
        </w:r>
        <w:r w:rsidRPr="009A27ED">
          <w:rPr>
            <w:rFonts w:eastAsiaTheme="minorEastAsia" w:cstheme="minorBidi"/>
            <w:noProof/>
            <w:sz w:val="22"/>
            <w:szCs w:val="22"/>
            <w:lang w:val="en-US"/>
          </w:rPr>
          <w:tab/>
        </w:r>
        <w:r w:rsidRPr="009A27ED">
          <w:rPr>
            <w:rStyle w:val="Hipervnculo"/>
            <w:bCs/>
            <w:noProof/>
          </w:rPr>
          <w:t>Fase II Selección de las actividades por parte de las Entidades Ejecutoras y registro de beneficiarios</w:t>
        </w:r>
        <w:r w:rsidRPr="009A27ED">
          <w:rPr>
            <w:noProof/>
            <w:webHidden/>
          </w:rPr>
          <w:tab/>
        </w:r>
        <w:r w:rsidRPr="009A27ED">
          <w:rPr>
            <w:noProof/>
            <w:webHidden/>
          </w:rPr>
          <w:fldChar w:fldCharType="begin"/>
        </w:r>
        <w:r w:rsidRPr="009A27ED">
          <w:rPr>
            <w:noProof/>
            <w:webHidden/>
          </w:rPr>
          <w:instrText xml:space="preserve"> PAGEREF _Toc111837994 \h </w:instrText>
        </w:r>
        <w:r w:rsidRPr="009A27ED">
          <w:rPr>
            <w:noProof/>
            <w:webHidden/>
          </w:rPr>
        </w:r>
        <w:r w:rsidRPr="009A27ED">
          <w:rPr>
            <w:noProof/>
            <w:webHidden/>
          </w:rPr>
          <w:fldChar w:fldCharType="separate"/>
        </w:r>
        <w:r w:rsidR="007953F0" w:rsidRPr="009A27ED">
          <w:rPr>
            <w:noProof/>
            <w:webHidden/>
          </w:rPr>
          <w:t>163</w:t>
        </w:r>
        <w:r w:rsidRPr="009A27ED">
          <w:rPr>
            <w:noProof/>
            <w:webHidden/>
          </w:rPr>
          <w:fldChar w:fldCharType="end"/>
        </w:r>
      </w:hyperlink>
    </w:p>
    <w:p w14:paraId="56ECAAB0" w14:textId="56CAB403" w:rsidR="00B65ED1" w:rsidRPr="009A27ED" w:rsidRDefault="00B65ED1">
      <w:pPr>
        <w:pStyle w:val="TDC3"/>
        <w:tabs>
          <w:tab w:val="left" w:pos="1200"/>
          <w:tab w:val="right" w:leader="dot" w:pos="9394"/>
        </w:tabs>
        <w:spacing w:line="360" w:lineRule="auto"/>
        <w:jc w:val="both"/>
        <w:rPr>
          <w:rFonts w:eastAsiaTheme="minorEastAsia" w:cstheme="minorBidi"/>
          <w:noProof/>
          <w:sz w:val="22"/>
          <w:szCs w:val="22"/>
          <w:lang w:val="en-US"/>
        </w:rPr>
      </w:pPr>
      <w:hyperlink w:anchor="_Toc111837995" w:history="1">
        <w:r w:rsidRPr="009A27ED">
          <w:rPr>
            <w:rStyle w:val="Hipervnculo"/>
            <w:bCs/>
            <w:noProof/>
          </w:rPr>
          <w:t>6.5.3</w:t>
        </w:r>
        <w:r w:rsidRPr="009A27ED">
          <w:rPr>
            <w:rFonts w:eastAsiaTheme="minorEastAsia" w:cstheme="minorBidi"/>
            <w:noProof/>
            <w:sz w:val="22"/>
            <w:szCs w:val="22"/>
            <w:lang w:val="en-US"/>
          </w:rPr>
          <w:tab/>
        </w:r>
        <w:r w:rsidRPr="009A27ED">
          <w:rPr>
            <w:rStyle w:val="Hipervnculo"/>
            <w:bCs/>
            <w:noProof/>
          </w:rPr>
          <w:t>Fase III Planes de Manejo Ambiental y Social (PMAS) de las actividades específicas REDD+ en cumplimiento de las salvaguardas ambientales y sociales</w:t>
        </w:r>
        <w:r w:rsidRPr="009A27ED">
          <w:rPr>
            <w:noProof/>
            <w:webHidden/>
          </w:rPr>
          <w:tab/>
        </w:r>
        <w:r w:rsidRPr="009A27ED">
          <w:rPr>
            <w:noProof/>
            <w:webHidden/>
          </w:rPr>
          <w:fldChar w:fldCharType="begin"/>
        </w:r>
        <w:r w:rsidRPr="009A27ED">
          <w:rPr>
            <w:noProof/>
            <w:webHidden/>
          </w:rPr>
          <w:instrText xml:space="preserve"> PAGEREF _Toc111837995 \h </w:instrText>
        </w:r>
        <w:r w:rsidRPr="009A27ED">
          <w:rPr>
            <w:noProof/>
            <w:webHidden/>
          </w:rPr>
        </w:r>
        <w:r w:rsidRPr="009A27ED">
          <w:rPr>
            <w:noProof/>
            <w:webHidden/>
          </w:rPr>
          <w:fldChar w:fldCharType="separate"/>
        </w:r>
        <w:r w:rsidR="007953F0" w:rsidRPr="009A27ED">
          <w:rPr>
            <w:noProof/>
            <w:webHidden/>
          </w:rPr>
          <w:t>163</w:t>
        </w:r>
        <w:r w:rsidRPr="009A27ED">
          <w:rPr>
            <w:noProof/>
            <w:webHidden/>
          </w:rPr>
          <w:fldChar w:fldCharType="end"/>
        </w:r>
      </w:hyperlink>
    </w:p>
    <w:p w14:paraId="505D0704" w14:textId="7FE8512C" w:rsidR="00B65ED1" w:rsidRPr="009A27ED" w:rsidRDefault="00B65ED1">
      <w:pPr>
        <w:pStyle w:val="TDC3"/>
        <w:tabs>
          <w:tab w:val="left" w:pos="1200"/>
          <w:tab w:val="right" w:leader="dot" w:pos="9394"/>
        </w:tabs>
        <w:spacing w:line="360" w:lineRule="auto"/>
        <w:jc w:val="both"/>
        <w:rPr>
          <w:rFonts w:eastAsiaTheme="minorEastAsia" w:cstheme="minorBidi"/>
          <w:noProof/>
          <w:sz w:val="22"/>
          <w:szCs w:val="22"/>
          <w:lang w:val="en-US"/>
        </w:rPr>
      </w:pPr>
      <w:hyperlink w:anchor="_Toc111837996" w:history="1">
        <w:r w:rsidRPr="009A27ED">
          <w:rPr>
            <w:rStyle w:val="Hipervnculo"/>
            <w:noProof/>
          </w:rPr>
          <w:t>6.5.4</w:t>
        </w:r>
        <w:r w:rsidRPr="009A27ED">
          <w:rPr>
            <w:rFonts w:eastAsiaTheme="minorEastAsia" w:cstheme="minorBidi"/>
            <w:noProof/>
            <w:sz w:val="22"/>
            <w:szCs w:val="22"/>
            <w:lang w:val="en-US"/>
          </w:rPr>
          <w:tab/>
        </w:r>
        <w:r w:rsidRPr="009A27ED">
          <w:rPr>
            <w:rStyle w:val="Hipervnculo"/>
            <w:noProof/>
          </w:rPr>
          <w:t>Fase IV Implementación y acompañamiento técnico</w:t>
        </w:r>
        <w:r w:rsidRPr="009A27ED">
          <w:rPr>
            <w:noProof/>
            <w:webHidden/>
          </w:rPr>
          <w:tab/>
        </w:r>
        <w:r w:rsidRPr="009A27ED">
          <w:rPr>
            <w:noProof/>
            <w:webHidden/>
          </w:rPr>
          <w:fldChar w:fldCharType="begin"/>
        </w:r>
        <w:r w:rsidRPr="009A27ED">
          <w:rPr>
            <w:noProof/>
            <w:webHidden/>
          </w:rPr>
          <w:instrText xml:space="preserve"> PAGEREF _Toc111837996 \h </w:instrText>
        </w:r>
        <w:r w:rsidRPr="009A27ED">
          <w:rPr>
            <w:noProof/>
            <w:webHidden/>
          </w:rPr>
        </w:r>
        <w:r w:rsidRPr="009A27ED">
          <w:rPr>
            <w:noProof/>
            <w:webHidden/>
          </w:rPr>
          <w:fldChar w:fldCharType="separate"/>
        </w:r>
        <w:r w:rsidR="007953F0" w:rsidRPr="009A27ED">
          <w:rPr>
            <w:noProof/>
            <w:webHidden/>
          </w:rPr>
          <w:t>165</w:t>
        </w:r>
        <w:r w:rsidRPr="009A27ED">
          <w:rPr>
            <w:noProof/>
            <w:webHidden/>
          </w:rPr>
          <w:fldChar w:fldCharType="end"/>
        </w:r>
      </w:hyperlink>
    </w:p>
    <w:p w14:paraId="1BE30B08" w14:textId="3AFC687E" w:rsidR="00B65ED1" w:rsidRPr="009A27ED" w:rsidRDefault="00B65ED1">
      <w:pPr>
        <w:pStyle w:val="TDC1"/>
        <w:tabs>
          <w:tab w:val="right" w:leader="dot" w:pos="9394"/>
        </w:tabs>
        <w:spacing w:line="360" w:lineRule="auto"/>
        <w:jc w:val="both"/>
        <w:rPr>
          <w:rFonts w:eastAsiaTheme="minorEastAsia" w:cstheme="minorBidi"/>
          <w:b w:val="0"/>
          <w:bCs w:val="0"/>
          <w:noProof/>
          <w:sz w:val="22"/>
          <w:szCs w:val="22"/>
          <w:lang w:val="en-US"/>
        </w:rPr>
      </w:pPr>
      <w:hyperlink w:anchor="_Toc111837997" w:history="1">
        <w:r w:rsidRPr="009A27ED">
          <w:rPr>
            <w:rStyle w:val="Hipervnculo"/>
            <w:noProof/>
          </w:rPr>
          <w:t>7. Sistema de Información de Salvaguardas (SIS)</w:t>
        </w:r>
        <w:r w:rsidRPr="009A27ED">
          <w:rPr>
            <w:noProof/>
            <w:webHidden/>
          </w:rPr>
          <w:tab/>
        </w:r>
        <w:r w:rsidRPr="009A27ED">
          <w:rPr>
            <w:noProof/>
            <w:webHidden/>
          </w:rPr>
          <w:fldChar w:fldCharType="begin"/>
        </w:r>
        <w:r w:rsidRPr="009A27ED">
          <w:rPr>
            <w:noProof/>
            <w:webHidden/>
          </w:rPr>
          <w:instrText xml:space="preserve"> PAGEREF _Toc111837997 \h </w:instrText>
        </w:r>
        <w:r w:rsidRPr="009A27ED">
          <w:rPr>
            <w:noProof/>
            <w:webHidden/>
          </w:rPr>
        </w:r>
        <w:r w:rsidRPr="009A27ED">
          <w:rPr>
            <w:noProof/>
            <w:webHidden/>
          </w:rPr>
          <w:fldChar w:fldCharType="separate"/>
        </w:r>
        <w:r w:rsidR="007953F0" w:rsidRPr="009A27ED">
          <w:rPr>
            <w:noProof/>
            <w:webHidden/>
          </w:rPr>
          <w:t>165</w:t>
        </w:r>
        <w:r w:rsidRPr="009A27ED">
          <w:rPr>
            <w:noProof/>
            <w:webHidden/>
          </w:rPr>
          <w:fldChar w:fldCharType="end"/>
        </w:r>
      </w:hyperlink>
    </w:p>
    <w:p w14:paraId="702AFEEE" w14:textId="69F32BC5" w:rsidR="00B65ED1" w:rsidRPr="009A27ED" w:rsidRDefault="00B65ED1">
      <w:pPr>
        <w:pStyle w:val="TDC2"/>
        <w:tabs>
          <w:tab w:val="right" w:leader="dot" w:pos="9394"/>
        </w:tabs>
        <w:spacing w:line="360" w:lineRule="auto"/>
        <w:jc w:val="both"/>
        <w:rPr>
          <w:rFonts w:eastAsiaTheme="minorEastAsia" w:cstheme="minorBidi"/>
          <w:i w:val="0"/>
          <w:iCs w:val="0"/>
          <w:noProof/>
          <w:sz w:val="22"/>
          <w:szCs w:val="22"/>
          <w:lang w:val="en-US"/>
        </w:rPr>
      </w:pPr>
      <w:hyperlink w:anchor="_Toc111837998" w:history="1">
        <w:r w:rsidRPr="009A27ED">
          <w:rPr>
            <w:rStyle w:val="Hipervnculo"/>
            <w:noProof/>
          </w:rPr>
          <w:t>7.1 Arreglos institucionales para generar los reportes del SIS</w:t>
        </w:r>
        <w:r w:rsidRPr="009A27ED">
          <w:rPr>
            <w:noProof/>
            <w:webHidden/>
          </w:rPr>
          <w:tab/>
        </w:r>
        <w:r w:rsidRPr="009A27ED">
          <w:rPr>
            <w:noProof/>
            <w:webHidden/>
          </w:rPr>
          <w:fldChar w:fldCharType="begin"/>
        </w:r>
        <w:r w:rsidRPr="009A27ED">
          <w:rPr>
            <w:noProof/>
            <w:webHidden/>
          </w:rPr>
          <w:instrText xml:space="preserve"> PAGEREF _Toc111837998 \h </w:instrText>
        </w:r>
        <w:r w:rsidRPr="009A27ED">
          <w:rPr>
            <w:noProof/>
            <w:webHidden/>
          </w:rPr>
        </w:r>
        <w:r w:rsidRPr="009A27ED">
          <w:rPr>
            <w:noProof/>
            <w:webHidden/>
          </w:rPr>
          <w:fldChar w:fldCharType="separate"/>
        </w:r>
        <w:r w:rsidR="007953F0" w:rsidRPr="009A27ED">
          <w:rPr>
            <w:noProof/>
            <w:webHidden/>
          </w:rPr>
          <w:t>168</w:t>
        </w:r>
        <w:r w:rsidRPr="009A27ED">
          <w:rPr>
            <w:noProof/>
            <w:webHidden/>
          </w:rPr>
          <w:fldChar w:fldCharType="end"/>
        </w:r>
      </w:hyperlink>
    </w:p>
    <w:p w14:paraId="3C82E62C" w14:textId="10FE880E" w:rsidR="00B65ED1" w:rsidRPr="009A27ED" w:rsidRDefault="00B65ED1">
      <w:pPr>
        <w:pStyle w:val="TDC1"/>
        <w:tabs>
          <w:tab w:val="left" w:pos="480"/>
          <w:tab w:val="right" w:leader="dot" w:pos="9394"/>
        </w:tabs>
        <w:spacing w:line="360" w:lineRule="auto"/>
        <w:jc w:val="both"/>
        <w:rPr>
          <w:rFonts w:eastAsiaTheme="minorEastAsia" w:cstheme="minorBidi"/>
          <w:b w:val="0"/>
          <w:bCs w:val="0"/>
          <w:noProof/>
          <w:sz w:val="22"/>
          <w:szCs w:val="22"/>
          <w:lang w:val="en-US"/>
        </w:rPr>
      </w:pPr>
      <w:hyperlink w:anchor="_Toc111837999" w:history="1">
        <w:r w:rsidRPr="009A27ED">
          <w:rPr>
            <w:rStyle w:val="Hipervnculo"/>
            <w:noProof/>
          </w:rPr>
          <w:t>8.</w:t>
        </w:r>
        <w:r w:rsidRPr="009A27ED">
          <w:rPr>
            <w:rFonts w:eastAsiaTheme="minorEastAsia" w:cstheme="minorBidi"/>
            <w:b w:val="0"/>
            <w:bCs w:val="0"/>
            <w:noProof/>
            <w:sz w:val="22"/>
            <w:szCs w:val="22"/>
            <w:lang w:val="en-US"/>
          </w:rPr>
          <w:tab/>
        </w:r>
        <w:r w:rsidRPr="009A27ED">
          <w:rPr>
            <w:rStyle w:val="Hipervnculo"/>
            <w:noProof/>
          </w:rPr>
          <w:t>Enfoque de género y Plan de Acción de Género para REDD+</w:t>
        </w:r>
        <w:r w:rsidRPr="009A27ED">
          <w:rPr>
            <w:noProof/>
            <w:webHidden/>
          </w:rPr>
          <w:tab/>
        </w:r>
        <w:r w:rsidRPr="009A27ED">
          <w:rPr>
            <w:noProof/>
            <w:webHidden/>
          </w:rPr>
          <w:fldChar w:fldCharType="begin"/>
        </w:r>
        <w:r w:rsidRPr="009A27ED">
          <w:rPr>
            <w:noProof/>
            <w:webHidden/>
          </w:rPr>
          <w:instrText xml:space="preserve"> PAGEREF _Toc111837999 \h </w:instrText>
        </w:r>
        <w:r w:rsidRPr="009A27ED">
          <w:rPr>
            <w:noProof/>
            <w:webHidden/>
          </w:rPr>
        </w:r>
        <w:r w:rsidRPr="009A27ED">
          <w:rPr>
            <w:noProof/>
            <w:webHidden/>
          </w:rPr>
          <w:fldChar w:fldCharType="separate"/>
        </w:r>
        <w:r w:rsidR="007953F0" w:rsidRPr="009A27ED">
          <w:rPr>
            <w:noProof/>
            <w:webHidden/>
          </w:rPr>
          <w:t>171</w:t>
        </w:r>
        <w:r w:rsidRPr="009A27ED">
          <w:rPr>
            <w:noProof/>
            <w:webHidden/>
          </w:rPr>
          <w:fldChar w:fldCharType="end"/>
        </w:r>
      </w:hyperlink>
    </w:p>
    <w:p w14:paraId="04C50D9D" w14:textId="5E80CDA9" w:rsidR="00B65ED1" w:rsidRPr="009A27ED" w:rsidRDefault="00B65ED1">
      <w:pPr>
        <w:pStyle w:val="TDC1"/>
        <w:tabs>
          <w:tab w:val="right" w:leader="dot" w:pos="9394"/>
        </w:tabs>
        <w:spacing w:line="360" w:lineRule="auto"/>
        <w:jc w:val="both"/>
        <w:rPr>
          <w:rFonts w:eastAsiaTheme="minorEastAsia" w:cstheme="minorBidi"/>
          <w:b w:val="0"/>
          <w:bCs w:val="0"/>
          <w:noProof/>
          <w:sz w:val="22"/>
          <w:szCs w:val="22"/>
          <w:lang w:val="en-US"/>
        </w:rPr>
      </w:pPr>
      <w:hyperlink w:anchor="_Toc111838000" w:history="1">
        <w:r w:rsidRPr="009A27ED">
          <w:rPr>
            <w:rStyle w:val="Hipervnculo"/>
            <w:noProof/>
          </w:rPr>
          <w:t>9. Riesgos por Desplazamiento de Emisiones</w:t>
        </w:r>
        <w:r w:rsidRPr="009A27ED">
          <w:rPr>
            <w:noProof/>
            <w:webHidden/>
          </w:rPr>
          <w:tab/>
        </w:r>
        <w:r w:rsidRPr="009A27ED">
          <w:rPr>
            <w:noProof/>
            <w:webHidden/>
          </w:rPr>
          <w:fldChar w:fldCharType="begin"/>
        </w:r>
        <w:r w:rsidRPr="009A27ED">
          <w:rPr>
            <w:noProof/>
            <w:webHidden/>
          </w:rPr>
          <w:instrText xml:space="preserve"> PAGEREF _Toc111838000 \h </w:instrText>
        </w:r>
        <w:r w:rsidRPr="009A27ED">
          <w:rPr>
            <w:noProof/>
            <w:webHidden/>
          </w:rPr>
        </w:r>
        <w:r w:rsidRPr="009A27ED">
          <w:rPr>
            <w:noProof/>
            <w:webHidden/>
          </w:rPr>
          <w:fldChar w:fldCharType="separate"/>
        </w:r>
        <w:r w:rsidR="007953F0" w:rsidRPr="009A27ED">
          <w:rPr>
            <w:noProof/>
            <w:webHidden/>
          </w:rPr>
          <w:t>173</w:t>
        </w:r>
        <w:r w:rsidRPr="009A27ED">
          <w:rPr>
            <w:noProof/>
            <w:webHidden/>
          </w:rPr>
          <w:fldChar w:fldCharType="end"/>
        </w:r>
      </w:hyperlink>
    </w:p>
    <w:p w14:paraId="16A7FB88" w14:textId="62C55ED1" w:rsidR="00B65ED1" w:rsidRPr="009A27ED" w:rsidRDefault="00B65ED1">
      <w:pPr>
        <w:pStyle w:val="TDC1"/>
        <w:tabs>
          <w:tab w:val="left" w:pos="480"/>
          <w:tab w:val="right" w:leader="dot" w:pos="9394"/>
        </w:tabs>
        <w:spacing w:line="360" w:lineRule="auto"/>
        <w:jc w:val="both"/>
        <w:rPr>
          <w:rFonts w:eastAsiaTheme="minorEastAsia" w:cstheme="minorBidi"/>
          <w:b w:val="0"/>
          <w:bCs w:val="0"/>
          <w:noProof/>
          <w:sz w:val="22"/>
          <w:szCs w:val="22"/>
          <w:lang w:val="en-US"/>
        </w:rPr>
      </w:pPr>
      <w:hyperlink w:anchor="_Toc111838001" w:history="1">
        <w:r w:rsidRPr="009A27ED">
          <w:rPr>
            <w:rStyle w:val="Hipervnculo"/>
            <w:rFonts w:ascii="Symbol" w:hAnsi="Symbol"/>
            <w:noProof/>
          </w:rPr>
          <w:t></w:t>
        </w:r>
        <w:r w:rsidRPr="009A27ED">
          <w:rPr>
            <w:rFonts w:eastAsiaTheme="minorEastAsia" w:cstheme="minorBidi"/>
            <w:b w:val="0"/>
            <w:bCs w:val="0"/>
            <w:noProof/>
            <w:sz w:val="22"/>
            <w:szCs w:val="22"/>
            <w:lang w:val="en-US"/>
          </w:rPr>
          <w:tab/>
        </w:r>
        <w:r w:rsidRPr="009A27ED">
          <w:rPr>
            <w:rStyle w:val="Hipervnculo"/>
            <w:noProof/>
          </w:rPr>
          <w:t>10. Mecanismo de Quejas, Reclamos y Manejo de Conflictos para REDD+</w:t>
        </w:r>
        <w:r w:rsidRPr="009A27ED">
          <w:rPr>
            <w:noProof/>
            <w:webHidden/>
          </w:rPr>
          <w:tab/>
        </w:r>
        <w:r w:rsidRPr="009A27ED">
          <w:rPr>
            <w:noProof/>
            <w:webHidden/>
          </w:rPr>
          <w:fldChar w:fldCharType="begin"/>
        </w:r>
        <w:r w:rsidRPr="009A27ED">
          <w:rPr>
            <w:noProof/>
            <w:webHidden/>
          </w:rPr>
          <w:instrText xml:space="preserve"> PAGEREF _Toc111838001 \h </w:instrText>
        </w:r>
        <w:r w:rsidRPr="009A27ED">
          <w:rPr>
            <w:noProof/>
            <w:webHidden/>
          </w:rPr>
        </w:r>
        <w:r w:rsidRPr="009A27ED">
          <w:rPr>
            <w:noProof/>
            <w:webHidden/>
          </w:rPr>
          <w:fldChar w:fldCharType="separate"/>
        </w:r>
        <w:r w:rsidR="007953F0" w:rsidRPr="009A27ED">
          <w:rPr>
            <w:noProof/>
            <w:webHidden/>
          </w:rPr>
          <w:t>173</w:t>
        </w:r>
        <w:r w:rsidRPr="009A27ED">
          <w:rPr>
            <w:noProof/>
            <w:webHidden/>
          </w:rPr>
          <w:fldChar w:fldCharType="end"/>
        </w:r>
      </w:hyperlink>
    </w:p>
    <w:p w14:paraId="45694C6C" w14:textId="70FF9AD3" w:rsidR="00B65ED1" w:rsidRPr="009A27ED" w:rsidRDefault="00B65ED1">
      <w:pPr>
        <w:pStyle w:val="TDC1"/>
        <w:tabs>
          <w:tab w:val="right" w:leader="dot" w:pos="9394"/>
        </w:tabs>
        <w:spacing w:line="360" w:lineRule="auto"/>
        <w:jc w:val="both"/>
        <w:rPr>
          <w:rFonts w:eastAsiaTheme="minorEastAsia" w:cstheme="minorBidi"/>
          <w:b w:val="0"/>
          <w:bCs w:val="0"/>
          <w:noProof/>
          <w:sz w:val="22"/>
          <w:szCs w:val="22"/>
          <w:lang w:val="en-US"/>
        </w:rPr>
      </w:pPr>
      <w:hyperlink w:anchor="_Toc111838002" w:history="1">
        <w:r w:rsidRPr="009A27ED">
          <w:rPr>
            <w:rStyle w:val="Hipervnculo"/>
            <w:noProof/>
          </w:rPr>
          <w:t>11. Proceso de socialización de la EN-REDD+- con los actores involucrados</w:t>
        </w:r>
        <w:r w:rsidRPr="009A27ED">
          <w:rPr>
            <w:noProof/>
            <w:webHidden/>
          </w:rPr>
          <w:tab/>
        </w:r>
        <w:r w:rsidRPr="009A27ED">
          <w:rPr>
            <w:noProof/>
            <w:webHidden/>
          </w:rPr>
          <w:fldChar w:fldCharType="begin"/>
        </w:r>
        <w:r w:rsidRPr="009A27ED">
          <w:rPr>
            <w:noProof/>
            <w:webHidden/>
          </w:rPr>
          <w:instrText xml:space="preserve"> PAGEREF _Toc111838002 \h </w:instrText>
        </w:r>
        <w:r w:rsidRPr="009A27ED">
          <w:rPr>
            <w:noProof/>
            <w:webHidden/>
          </w:rPr>
        </w:r>
        <w:r w:rsidRPr="009A27ED">
          <w:rPr>
            <w:noProof/>
            <w:webHidden/>
          </w:rPr>
          <w:fldChar w:fldCharType="separate"/>
        </w:r>
        <w:r w:rsidR="007953F0" w:rsidRPr="009A27ED">
          <w:rPr>
            <w:noProof/>
            <w:webHidden/>
          </w:rPr>
          <w:t>176</w:t>
        </w:r>
        <w:r w:rsidRPr="009A27ED">
          <w:rPr>
            <w:noProof/>
            <w:webHidden/>
          </w:rPr>
          <w:fldChar w:fldCharType="end"/>
        </w:r>
      </w:hyperlink>
    </w:p>
    <w:p w14:paraId="73A5B807" w14:textId="211C90C7" w:rsidR="00B65ED1" w:rsidRPr="009A27ED" w:rsidRDefault="00B65ED1">
      <w:pPr>
        <w:pStyle w:val="TDC3"/>
        <w:tabs>
          <w:tab w:val="right" w:leader="dot" w:pos="9394"/>
        </w:tabs>
        <w:spacing w:line="360" w:lineRule="auto"/>
        <w:jc w:val="both"/>
        <w:rPr>
          <w:rFonts w:eastAsiaTheme="minorEastAsia" w:cstheme="minorBidi"/>
          <w:noProof/>
          <w:sz w:val="22"/>
          <w:szCs w:val="22"/>
          <w:lang w:val="en-US"/>
        </w:rPr>
      </w:pPr>
    </w:p>
    <w:p w14:paraId="3791DADB" w14:textId="6C83DB60" w:rsidR="00B65ED1" w:rsidRPr="009A27ED" w:rsidRDefault="00B65ED1">
      <w:pPr>
        <w:pStyle w:val="TDC1"/>
        <w:tabs>
          <w:tab w:val="right" w:leader="dot" w:pos="9394"/>
        </w:tabs>
        <w:spacing w:line="360" w:lineRule="auto"/>
        <w:jc w:val="both"/>
        <w:rPr>
          <w:rFonts w:eastAsiaTheme="minorEastAsia" w:cstheme="minorBidi"/>
          <w:b w:val="0"/>
          <w:bCs w:val="0"/>
          <w:noProof/>
          <w:sz w:val="22"/>
          <w:szCs w:val="22"/>
          <w:lang w:val="en-US"/>
        </w:rPr>
      </w:pPr>
      <w:hyperlink w:anchor="_Toc111838005" w:history="1">
        <w:r w:rsidRPr="009A27ED">
          <w:rPr>
            <w:rStyle w:val="Hipervnculo"/>
            <w:noProof/>
          </w:rPr>
          <w:t>12. Fortalecimiento de las Capacidades Institucionales</w:t>
        </w:r>
        <w:r w:rsidRPr="009A27ED">
          <w:rPr>
            <w:noProof/>
            <w:webHidden/>
          </w:rPr>
          <w:tab/>
        </w:r>
        <w:r w:rsidRPr="009A27ED">
          <w:rPr>
            <w:noProof/>
            <w:webHidden/>
          </w:rPr>
          <w:fldChar w:fldCharType="begin"/>
        </w:r>
        <w:r w:rsidRPr="009A27ED">
          <w:rPr>
            <w:noProof/>
            <w:webHidden/>
          </w:rPr>
          <w:instrText xml:space="preserve"> PAGEREF _Toc111838005 \h </w:instrText>
        </w:r>
        <w:r w:rsidRPr="009A27ED">
          <w:rPr>
            <w:noProof/>
            <w:webHidden/>
          </w:rPr>
        </w:r>
        <w:r w:rsidRPr="009A27ED">
          <w:rPr>
            <w:noProof/>
            <w:webHidden/>
          </w:rPr>
          <w:fldChar w:fldCharType="separate"/>
        </w:r>
        <w:r w:rsidR="007953F0" w:rsidRPr="009A27ED">
          <w:rPr>
            <w:noProof/>
            <w:webHidden/>
          </w:rPr>
          <w:t>192</w:t>
        </w:r>
        <w:r w:rsidRPr="009A27ED">
          <w:rPr>
            <w:noProof/>
            <w:webHidden/>
          </w:rPr>
          <w:fldChar w:fldCharType="end"/>
        </w:r>
      </w:hyperlink>
    </w:p>
    <w:p w14:paraId="7185D634" w14:textId="74836B40" w:rsidR="00B65ED1" w:rsidRPr="009A27ED" w:rsidRDefault="00B65ED1">
      <w:pPr>
        <w:pStyle w:val="TDC1"/>
        <w:tabs>
          <w:tab w:val="right" w:leader="dot" w:pos="9394"/>
        </w:tabs>
        <w:spacing w:line="360" w:lineRule="auto"/>
        <w:jc w:val="both"/>
        <w:rPr>
          <w:rFonts w:eastAsiaTheme="minorEastAsia" w:cstheme="minorBidi"/>
          <w:b w:val="0"/>
          <w:bCs w:val="0"/>
          <w:noProof/>
          <w:sz w:val="22"/>
          <w:szCs w:val="22"/>
          <w:lang w:val="en-US"/>
        </w:rPr>
      </w:pPr>
      <w:hyperlink w:anchor="_Toc111838006" w:history="1">
        <w:r w:rsidRPr="009A27ED">
          <w:rPr>
            <w:rStyle w:val="Hipervnculo"/>
            <w:noProof/>
          </w:rPr>
          <w:t>13. Plan de distribución de beneficios</w:t>
        </w:r>
        <w:r w:rsidRPr="009A27ED">
          <w:rPr>
            <w:noProof/>
            <w:webHidden/>
          </w:rPr>
          <w:tab/>
        </w:r>
        <w:r w:rsidRPr="009A27ED">
          <w:rPr>
            <w:noProof/>
            <w:webHidden/>
          </w:rPr>
          <w:fldChar w:fldCharType="begin"/>
        </w:r>
        <w:r w:rsidRPr="009A27ED">
          <w:rPr>
            <w:noProof/>
            <w:webHidden/>
          </w:rPr>
          <w:instrText xml:space="preserve"> PAGEREF _Toc111838006 \h </w:instrText>
        </w:r>
        <w:r w:rsidRPr="009A27ED">
          <w:rPr>
            <w:noProof/>
            <w:webHidden/>
          </w:rPr>
        </w:r>
        <w:r w:rsidRPr="009A27ED">
          <w:rPr>
            <w:noProof/>
            <w:webHidden/>
          </w:rPr>
          <w:fldChar w:fldCharType="separate"/>
        </w:r>
        <w:r w:rsidR="007953F0" w:rsidRPr="009A27ED">
          <w:rPr>
            <w:noProof/>
            <w:webHidden/>
          </w:rPr>
          <w:t>198</w:t>
        </w:r>
        <w:r w:rsidRPr="009A27ED">
          <w:rPr>
            <w:noProof/>
            <w:webHidden/>
          </w:rPr>
          <w:fldChar w:fldCharType="end"/>
        </w:r>
      </w:hyperlink>
    </w:p>
    <w:p w14:paraId="36777025" w14:textId="21A64094" w:rsidR="00B65ED1" w:rsidRPr="009A27ED" w:rsidRDefault="00B65ED1">
      <w:pPr>
        <w:pStyle w:val="TDC2"/>
        <w:tabs>
          <w:tab w:val="right" w:leader="dot" w:pos="9394"/>
        </w:tabs>
        <w:spacing w:line="360" w:lineRule="auto"/>
        <w:jc w:val="both"/>
        <w:rPr>
          <w:rFonts w:eastAsiaTheme="minorEastAsia" w:cstheme="minorBidi"/>
          <w:i w:val="0"/>
          <w:iCs w:val="0"/>
          <w:noProof/>
          <w:sz w:val="22"/>
          <w:szCs w:val="22"/>
          <w:lang w:val="en-US"/>
        </w:rPr>
      </w:pPr>
      <w:hyperlink w:anchor="_Toc111838007" w:history="1">
        <w:r w:rsidRPr="009A27ED">
          <w:rPr>
            <w:rStyle w:val="Hipervnculo"/>
            <w:noProof/>
          </w:rPr>
          <w:t>13.1 Generalidades del Plan de Distribución de Beneficios</w:t>
        </w:r>
        <w:r w:rsidRPr="009A27ED">
          <w:rPr>
            <w:noProof/>
            <w:webHidden/>
          </w:rPr>
          <w:tab/>
        </w:r>
        <w:r w:rsidRPr="009A27ED">
          <w:rPr>
            <w:noProof/>
            <w:webHidden/>
          </w:rPr>
          <w:fldChar w:fldCharType="begin"/>
        </w:r>
        <w:r w:rsidRPr="009A27ED">
          <w:rPr>
            <w:noProof/>
            <w:webHidden/>
          </w:rPr>
          <w:instrText xml:space="preserve"> PAGEREF _Toc111838007 \h </w:instrText>
        </w:r>
        <w:r w:rsidRPr="009A27ED">
          <w:rPr>
            <w:noProof/>
            <w:webHidden/>
          </w:rPr>
        </w:r>
        <w:r w:rsidRPr="009A27ED">
          <w:rPr>
            <w:noProof/>
            <w:webHidden/>
          </w:rPr>
          <w:fldChar w:fldCharType="separate"/>
        </w:r>
        <w:r w:rsidR="007953F0" w:rsidRPr="009A27ED">
          <w:rPr>
            <w:noProof/>
            <w:webHidden/>
          </w:rPr>
          <w:t>198</w:t>
        </w:r>
        <w:r w:rsidRPr="009A27ED">
          <w:rPr>
            <w:noProof/>
            <w:webHidden/>
          </w:rPr>
          <w:fldChar w:fldCharType="end"/>
        </w:r>
      </w:hyperlink>
    </w:p>
    <w:p w14:paraId="1F15FA9C" w14:textId="0FC4789C" w:rsidR="00B65ED1" w:rsidRPr="009A27ED" w:rsidRDefault="00B65ED1">
      <w:pPr>
        <w:pStyle w:val="TDC2"/>
        <w:tabs>
          <w:tab w:val="right" w:leader="dot" w:pos="9394"/>
        </w:tabs>
        <w:spacing w:line="360" w:lineRule="auto"/>
        <w:jc w:val="both"/>
        <w:rPr>
          <w:rFonts w:eastAsiaTheme="minorEastAsia" w:cstheme="minorBidi"/>
          <w:i w:val="0"/>
          <w:iCs w:val="0"/>
          <w:noProof/>
          <w:sz w:val="22"/>
          <w:szCs w:val="22"/>
          <w:lang w:val="en-US"/>
        </w:rPr>
      </w:pPr>
      <w:hyperlink w:anchor="_Toc111838008" w:history="1">
        <w:r w:rsidRPr="009A27ED">
          <w:rPr>
            <w:rStyle w:val="Hipervnculo"/>
            <w:noProof/>
          </w:rPr>
          <w:t>13.2  Régimen legal de tenencia de la tierra e instrumentos legales vigentes para el reconocimiento de la propiedad</w:t>
        </w:r>
        <w:r w:rsidRPr="009A27ED">
          <w:rPr>
            <w:noProof/>
            <w:webHidden/>
          </w:rPr>
          <w:tab/>
        </w:r>
        <w:r w:rsidRPr="009A27ED">
          <w:rPr>
            <w:noProof/>
            <w:webHidden/>
          </w:rPr>
          <w:fldChar w:fldCharType="begin"/>
        </w:r>
        <w:r w:rsidRPr="009A27ED">
          <w:rPr>
            <w:noProof/>
            <w:webHidden/>
          </w:rPr>
          <w:instrText xml:space="preserve"> PAGEREF _Toc111838008 \h </w:instrText>
        </w:r>
        <w:r w:rsidRPr="009A27ED">
          <w:rPr>
            <w:noProof/>
            <w:webHidden/>
          </w:rPr>
        </w:r>
        <w:r w:rsidRPr="009A27ED">
          <w:rPr>
            <w:noProof/>
            <w:webHidden/>
          </w:rPr>
          <w:fldChar w:fldCharType="separate"/>
        </w:r>
        <w:r w:rsidR="007953F0" w:rsidRPr="009A27ED">
          <w:rPr>
            <w:noProof/>
            <w:webHidden/>
          </w:rPr>
          <w:t>199</w:t>
        </w:r>
        <w:r w:rsidRPr="009A27ED">
          <w:rPr>
            <w:noProof/>
            <w:webHidden/>
          </w:rPr>
          <w:fldChar w:fldCharType="end"/>
        </w:r>
      </w:hyperlink>
    </w:p>
    <w:p w14:paraId="293BEADF" w14:textId="47875BE9" w:rsidR="00B65ED1" w:rsidRPr="009A27ED" w:rsidRDefault="00B65ED1">
      <w:pPr>
        <w:pStyle w:val="TDC2"/>
        <w:tabs>
          <w:tab w:val="right" w:leader="dot" w:pos="9394"/>
        </w:tabs>
        <w:spacing w:line="360" w:lineRule="auto"/>
        <w:jc w:val="both"/>
        <w:rPr>
          <w:rFonts w:eastAsiaTheme="minorEastAsia" w:cstheme="minorBidi"/>
          <w:i w:val="0"/>
          <w:iCs w:val="0"/>
          <w:noProof/>
          <w:sz w:val="22"/>
          <w:szCs w:val="22"/>
          <w:lang w:val="en-US"/>
        </w:rPr>
      </w:pPr>
      <w:hyperlink w:anchor="_Toc111838009" w:history="1">
        <w:r w:rsidRPr="009A27ED">
          <w:rPr>
            <w:rStyle w:val="Hipervnculo"/>
            <w:noProof/>
          </w:rPr>
          <w:t>13.3 Régimen legal sobre los mecanismos de compensación para la conservación de los recursos naturales, e instrumentos y disposiciones legales para la transferencia de propiedad del carbono y/o Emisiones Reducidas (ERs)</w:t>
        </w:r>
        <w:r w:rsidRPr="009A27ED">
          <w:rPr>
            <w:noProof/>
            <w:webHidden/>
          </w:rPr>
          <w:tab/>
        </w:r>
        <w:r w:rsidRPr="009A27ED">
          <w:rPr>
            <w:noProof/>
            <w:webHidden/>
          </w:rPr>
          <w:fldChar w:fldCharType="begin"/>
        </w:r>
        <w:r w:rsidRPr="009A27ED">
          <w:rPr>
            <w:noProof/>
            <w:webHidden/>
          </w:rPr>
          <w:instrText xml:space="preserve"> PAGEREF _Toc111838009 \h </w:instrText>
        </w:r>
        <w:r w:rsidRPr="009A27ED">
          <w:rPr>
            <w:noProof/>
            <w:webHidden/>
          </w:rPr>
        </w:r>
        <w:r w:rsidRPr="009A27ED">
          <w:rPr>
            <w:noProof/>
            <w:webHidden/>
          </w:rPr>
          <w:fldChar w:fldCharType="separate"/>
        </w:r>
        <w:r w:rsidR="007953F0" w:rsidRPr="009A27ED">
          <w:rPr>
            <w:noProof/>
            <w:webHidden/>
          </w:rPr>
          <w:t>200</w:t>
        </w:r>
        <w:r w:rsidRPr="009A27ED">
          <w:rPr>
            <w:noProof/>
            <w:webHidden/>
          </w:rPr>
          <w:fldChar w:fldCharType="end"/>
        </w:r>
      </w:hyperlink>
    </w:p>
    <w:p w14:paraId="7AAE2953" w14:textId="108DFC22" w:rsidR="00B65ED1" w:rsidRPr="009A27ED" w:rsidRDefault="00B65ED1">
      <w:pPr>
        <w:pStyle w:val="TDC2"/>
        <w:tabs>
          <w:tab w:val="right" w:leader="dot" w:pos="9394"/>
        </w:tabs>
        <w:spacing w:line="360" w:lineRule="auto"/>
        <w:jc w:val="both"/>
        <w:rPr>
          <w:rFonts w:eastAsiaTheme="minorEastAsia" w:cstheme="minorBidi"/>
          <w:i w:val="0"/>
          <w:iCs w:val="0"/>
          <w:noProof/>
          <w:sz w:val="22"/>
          <w:szCs w:val="22"/>
          <w:lang w:val="en-US"/>
        </w:rPr>
      </w:pPr>
      <w:hyperlink w:anchor="_Toc111838010" w:history="1">
        <w:r w:rsidRPr="009A27ED">
          <w:rPr>
            <w:rStyle w:val="Hipervnculo"/>
            <w:noProof/>
          </w:rPr>
          <w:t>13.4 Tipos de beneficios</w:t>
        </w:r>
        <w:r w:rsidRPr="009A27ED">
          <w:rPr>
            <w:noProof/>
            <w:webHidden/>
          </w:rPr>
          <w:tab/>
        </w:r>
        <w:r w:rsidRPr="009A27ED">
          <w:rPr>
            <w:noProof/>
            <w:webHidden/>
          </w:rPr>
          <w:fldChar w:fldCharType="begin"/>
        </w:r>
        <w:r w:rsidRPr="009A27ED">
          <w:rPr>
            <w:noProof/>
            <w:webHidden/>
          </w:rPr>
          <w:instrText xml:space="preserve"> PAGEREF _Toc111838010 \h </w:instrText>
        </w:r>
        <w:r w:rsidRPr="009A27ED">
          <w:rPr>
            <w:noProof/>
            <w:webHidden/>
          </w:rPr>
        </w:r>
        <w:r w:rsidRPr="009A27ED">
          <w:rPr>
            <w:noProof/>
            <w:webHidden/>
          </w:rPr>
          <w:fldChar w:fldCharType="separate"/>
        </w:r>
        <w:r w:rsidR="007953F0" w:rsidRPr="009A27ED">
          <w:rPr>
            <w:noProof/>
            <w:webHidden/>
          </w:rPr>
          <w:t>205</w:t>
        </w:r>
        <w:r w:rsidRPr="009A27ED">
          <w:rPr>
            <w:noProof/>
            <w:webHidden/>
          </w:rPr>
          <w:fldChar w:fldCharType="end"/>
        </w:r>
      </w:hyperlink>
    </w:p>
    <w:p w14:paraId="3940271E" w14:textId="6D79D899" w:rsidR="00B65ED1" w:rsidRPr="009A27ED" w:rsidRDefault="00B65ED1">
      <w:pPr>
        <w:pStyle w:val="TDC1"/>
        <w:tabs>
          <w:tab w:val="right" w:leader="dot" w:pos="9394"/>
        </w:tabs>
        <w:spacing w:line="360" w:lineRule="auto"/>
        <w:jc w:val="both"/>
        <w:rPr>
          <w:rFonts w:eastAsiaTheme="minorEastAsia" w:cstheme="minorBidi"/>
          <w:b w:val="0"/>
          <w:bCs w:val="0"/>
          <w:noProof/>
          <w:sz w:val="22"/>
          <w:szCs w:val="22"/>
          <w:lang w:val="en-US"/>
        </w:rPr>
      </w:pPr>
      <w:hyperlink w:anchor="_Toc111838012" w:history="1">
        <w:r w:rsidRPr="009A27ED">
          <w:rPr>
            <w:rStyle w:val="Hipervnculo"/>
            <w:noProof/>
          </w:rPr>
          <w:t>14. Detalles de presupuesto para la implementación del MGAS</w:t>
        </w:r>
        <w:r w:rsidRPr="009A27ED">
          <w:rPr>
            <w:noProof/>
            <w:webHidden/>
          </w:rPr>
          <w:tab/>
        </w:r>
        <w:r w:rsidRPr="009A27ED">
          <w:rPr>
            <w:noProof/>
            <w:webHidden/>
          </w:rPr>
          <w:fldChar w:fldCharType="begin"/>
        </w:r>
        <w:r w:rsidRPr="009A27ED">
          <w:rPr>
            <w:noProof/>
            <w:webHidden/>
          </w:rPr>
          <w:instrText xml:space="preserve"> PAGEREF _Toc111838012 \h </w:instrText>
        </w:r>
        <w:r w:rsidRPr="009A27ED">
          <w:rPr>
            <w:noProof/>
            <w:webHidden/>
          </w:rPr>
        </w:r>
        <w:r w:rsidRPr="009A27ED">
          <w:rPr>
            <w:noProof/>
            <w:webHidden/>
          </w:rPr>
          <w:fldChar w:fldCharType="separate"/>
        </w:r>
        <w:r w:rsidR="007953F0" w:rsidRPr="009A27ED">
          <w:rPr>
            <w:noProof/>
            <w:webHidden/>
          </w:rPr>
          <w:t>206</w:t>
        </w:r>
        <w:r w:rsidRPr="009A27ED">
          <w:rPr>
            <w:noProof/>
            <w:webHidden/>
          </w:rPr>
          <w:fldChar w:fldCharType="end"/>
        </w:r>
      </w:hyperlink>
    </w:p>
    <w:p w14:paraId="6D297DF7" w14:textId="58A35A27" w:rsidR="00B65ED1" w:rsidRPr="009A27ED" w:rsidRDefault="00B65ED1">
      <w:pPr>
        <w:pStyle w:val="TDC1"/>
        <w:tabs>
          <w:tab w:val="right" w:leader="dot" w:pos="9394"/>
        </w:tabs>
        <w:spacing w:line="360" w:lineRule="auto"/>
        <w:jc w:val="both"/>
        <w:rPr>
          <w:rFonts w:eastAsiaTheme="minorEastAsia" w:cstheme="minorBidi"/>
          <w:b w:val="0"/>
          <w:bCs w:val="0"/>
          <w:noProof/>
          <w:sz w:val="22"/>
          <w:szCs w:val="22"/>
          <w:lang w:val="en-US"/>
        </w:rPr>
      </w:pPr>
      <w:hyperlink w:anchor="_Toc111838013" w:history="1">
        <w:r w:rsidRPr="009A27ED">
          <w:rPr>
            <w:rStyle w:val="Hipervnculo"/>
            <w:noProof/>
          </w:rPr>
          <w:t>15. Conclusiones y Próximos pasos para Operativizar el MGAS</w:t>
        </w:r>
        <w:r w:rsidRPr="009A27ED">
          <w:rPr>
            <w:noProof/>
            <w:webHidden/>
          </w:rPr>
          <w:tab/>
        </w:r>
        <w:r w:rsidRPr="009A27ED">
          <w:rPr>
            <w:noProof/>
            <w:webHidden/>
          </w:rPr>
          <w:fldChar w:fldCharType="begin"/>
        </w:r>
        <w:r w:rsidRPr="009A27ED">
          <w:rPr>
            <w:noProof/>
            <w:webHidden/>
          </w:rPr>
          <w:instrText xml:space="preserve"> PAGEREF _Toc111838013 \h </w:instrText>
        </w:r>
        <w:r w:rsidRPr="009A27ED">
          <w:rPr>
            <w:noProof/>
            <w:webHidden/>
          </w:rPr>
        </w:r>
        <w:r w:rsidRPr="009A27ED">
          <w:rPr>
            <w:noProof/>
            <w:webHidden/>
          </w:rPr>
          <w:fldChar w:fldCharType="separate"/>
        </w:r>
        <w:r w:rsidR="007953F0" w:rsidRPr="009A27ED">
          <w:rPr>
            <w:noProof/>
            <w:webHidden/>
          </w:rPr>
          <w:t>208</w:t>
        </w:r>
        <w:r w:rsidRPr="009A27ED">
          <w:rPr>
            <w:noProof/>
            <w:webHidden/>
          </w:rPr>
          <w:fldChar w:fldCharType="end"/>
        </w:r>
      </w:hyperlink>
    </w:p>
    <w:p w14:paraId="6BD2654A" w14:textId="0F02F1E2" w:rsidR="00B65ED1" w:rsidRPr="009A27ED" w:rsidRDefault="00B65ED1">
      <w:pPr>
        <w:pStyle w:val="TDC1"/>
        <w:tabs>
          <w:tab w:val="right" w:leader="dot" w:pos="9394"/>
        </w:tabs>
        <w:spacing w:line="360" w:lineRule="auto"/>
        <w:jc w:val="both"/>
        <w:rPr>
          <w:rFonts w:eastAsiaTheme="minorEastAsia" w:cstheme="minorBidi"/>
          <w:b w:val="0"/>
          <w:bCs w:val="0"/>
          <w:noProof/>
          <w:sz w:val="22"/>
          <w:szCs w:val="22"/>
          <w:lang w:val="en-US"/>
        </w:rPr>
      </w:pPr>
      <w:hyperlink w:anchor="_Toc111838014" w:history="1">
        <w:r w:rsidRPr="009A27ED">
          <w:rPr>
            <w:rStyle w:val="Hipervnculo"/>
            <w:noProof/>
          </w:rPr>
          <w:t>16. Anexos</w:t>
        </w:r>
        <w:r w:rsidRPr="009A27ED">
          <w:rPr>
            <w:noProof/>
            <w:webHidden/>
          </w:rPr>
          <w:tab/>
        </w:r>
        <w:r w:rsidRPr="009A27ED">
          <w:rPr>
            <w:noProof/>
            <w:webHidden/>
          </w:rPr>
          <w:fldChar w:fldCharType="begin"/>
        </w:r>
        <w:r w:rsidRPr="009A27ED">
          <w:rPr>
            <w:noProof/>
            <w:webHidden/>
          </w:rPr>
          <w:instrText xml:space="preserve"> PAGEREF _Toc111838014 \h </w:instrText>
        </w:r>
        <w:r w:rsidRPr="009A27ED">
          <w:rPr>
            <w:noProof/>
            <w:webHidden/>
          </w:rPr>
        </w:r>
        <w:r w:rsidRPr="009A27ED">
          <w:rPr>
            <w:noProof/>
            <w:webHidden/>
          </w:rPr>
          <w:fldChar w:fldCharType="separate"/>
        </w:r>
        <w:r w:rsidR="007953F0" w:rsidRPr="009A27ED">
          <w:rPr>
            <w:noProof/>
            <w:webHidden/>
          </w:rPr>
          <w:t>208</w:t>
        </w:r>
        <w:r w:rsidRPr="009A27ED">
          <w:rPr>
            <w:noProof/>
            <w:webHidden/>
          </w:rPr>
          <w:fldChar w:fldCharType="end"/>
        </w:r>
      </w:hyperlink>
    </w:p>
    <w:p w14:paraId="0184ABC4" w14:textId="2C060074" w:rsidR="00B65ED1" w:rsidRPr="009A27ED" w:rsidRDefault="00B65ED1">
      <w:pPr>
        <w:pStyle w:val="TDC1"/>
        <w:tabs>
          <w:tab w:val="right" w:leader="dot" w:pos="9394"/>
        </w:tabs>
        <w:spacing w:line="360" w:lineRule="auto"/>
        <w:jc w:val="both"/>
        <w:rPr>
          <w:rFonts w:eastAsiaTheme="minorEastAsia" w:cstheme="minorBidi"/>
          <w:b w:val="0"/>
          <w:bCs w:val="0"/>
          <w:noProof/>
          <w:sz w:val="22"/>
          <w:szCs w:val="22"/>
          <w:lang w:val="en-US"/>
        </w:rPr>
      </w:pPr>
      <w:hyperlink w:anchor="_Toc111838015" w:history="1">
        <w:r w:rsidRPr="009A27ED">
          <w:rPr>
            <w:rStyle w:val="Hipervnculo"/>
            <w:noProof/>
          </w:rPr>
          <w:t>Anexo 1 Análisis de la legislación nacional relevante a la EN-REDD+ vinculado a las Políticas Operativas del Banco Mundial</w:t>
        </w:r>
        <w:r w:rsidRPr="009A27ED">
          <w:rPr>
            <w:noProof/>
            <w:webHidden/>
          </w:rPr>
          <w:tab/>
        </w:r>
        <w:r w:rsidRPr="009A27ED">
          <w:rPr>
            <w:noProof/>
            <w:webHidden/>
          </w:rPr>
          <w:fldChar w:fldCharType="begin"/>
        </w:r>
        <w:r w:rsidRPr="009A27ED">
          <w:rPr>
            <w:noProof/>
            <w:webHidden/>
          </w:rPr>
          <w:instrText xml:space="preserve"> PAGEREF _Toc111838015 \h </w:instrText>
        </w:r>
        <w:r w:rsidRPr="009A27ED">
          <w:rPr>
            <w:noProof/>
            <w:webHidden/>
          </w:rPr>
        </w:r>
        <w:r w:rsidRPr="009A27ED">
          <w:rPr>
            <w:noProof/>
            <w:webHidden/>
          </w:rPr>
          <w:fldChar w:fldCharType="separate"/>
        </w:r>
        <w:r w:rsidR="007953F0" w:rsidRPr="009A27ED">
          <w:rPr>
            <w:noProof/>
            <w:webHidden/>
          </w:rPr>
          <w:t>208</w:t>
        </w:r>
        <w:r w:rsidRPr="009A27ED">
          <w:rPr>
            <w:noProof/>
            <w:webHidden/>
          </w:rPr>
          <w:fldChar w:fldCharType="end"/>
        </w:r>
      </w:hyperlink>
    </w:p>
    <w:p w14:paraId="59BE369F" w14:textId="6C6D0E7B" w:rsidR="00B65ED1" w:rsidRPr="009A27ED" w:rsidRDefault="00B65ED1">
      <w:pPr>
        <w:pStyle w:val="TDC1"/>
        <w:tabs>
          <w:tab w:val="right" w:leader="dot" w:pos="9394"/>
        </w:tabs>
        <w:spacing w:line="360" w:lineRule="auto"/>
        <w:jc w:val="both"/>
        <w:rPr>
          <w:rFonts w:eastAsiaTheme="minorEastAsia" w:cstheme="minorBidi"/>
          <w:b w:val="0"/>
          <w:bCs w:val="0"/>
          <w:noProof/>
          <w:sz w:val="22"/>
          <w:szCs w:val="22"/>
          <w:lang w:val="en-US"/>
        </w:rPr>
      </w:pPr>
      <w:hyperlink w:anchor="_Toc111838016" w:history="1">
        <w:r w:rsidRPr="009A27ED">
          <w:rPr>
            <w:rStyle w:val="Hipervnculo"/>
            <w:noProof/>
          </w:rPr>
          <w:t>Anexo 2. Marco de Políticas de Reasentamiento de acuerdo con el contexto de país y los requerimientos de la PO 4.12 del BM, incluyendo las normas de procedimiento</w:t>
        </w:r>
        <w:r w:rsidRPr="009A27ED">
          <w:rPr>
            <w:noProof/>
            <w:webHidden/>
          </w:rPr>
          <w:tab/>
        </w:r>
        <w:r w:rsidRPr="009A27ED">
          <w:rPr>
            <w:noProof/>
            <w:webHidden/>
          </w:rPr>
          <w:fldChar w:fldCharType="begin"/>
        </w:r>
        <w:r w:rsidRPr="009A27ED">
          <w:rPr>
            <w:noProof/>
            <w:webHidden/>
          </w:rPr>
          <w:instrText xml:space="preserve"> PAGEREF _Toc111838016 \h </w:instrText>
        </w:r>
        <w:r w:rsidRPr="009A27ED">
          <w:rPr>
            <w:noProof/>
            <w:webHidden/>
          </w:rPr>
        </w:r>
        <w:r w:rsidRPr="009A27ED">
          <w:rPr>
            <w:noProof/>
            <w:webHidden/>
          </w:rPr>
          <w:fldChar w:fldCharType="separate"/>
        </w:r>
        <w:r w:rsidR="007953F0" w:rsidRPr="009A27ED">
          <w:rPr>
            <w:noProof/>
            <w:webHidden/>
          </w:rPr>
          <w:t>241</w:t>
        </w:r>
        <w:r w:rsidRPr="009A27ED">
          <w:rPr>
            <w:noProof/>
            <w:webHidden/>
          </w:rPr>
          <w:fldChar w:fldCharType="end"/>
        </w:r>
      </w:hyperlink>
    </w:p>
    <w:p w14:paraId="71426959" w14:textId="33577314" w:rsidR="00B65ED1" w:rsidRPr="009A27ED" w:rsidRDefault="00B65ED1">
      <w:pPr>
        <w:pStyle w:val="TDC2"/>
        <w:tabs>
          <w:tab w:val="left" w:pos="720"/>
          <w:tab w:val="right" w:leader="dot" w:pos="9394"/>
        </w:tabs>
        <w:spacing w:line="360" w:lineRule="auto"/>
        <w:jc w:val="both"/>
        <w:rPr>
          <w:rFonts w:eastAsiaTheme="minorEastAsia" w:cstheme="minorBidi"/>
          <w:i w:val="0"/>
          <w:iCs w:val="0"/>
          <w:noProof/>
          <w:sz w:val="22"/>
          <w:szCs w:val="22"/>
          <w:lang w:val="en-US"/>
        </w:rPr>
      </w:pPr>
      <w:hyperlink w:anchor="_Toc111838017" w:history="1">
        <w:r w:rsidRPr="009A27ED">
          <w:rPr>
            <w:rStyle w:val="Hipervnculo"/>
            <w:noProof/>
          </w:rPr>
          <w:t>I.</w:t>
        </w:r>
        <w:r w:rsidRPr="009A27ED">
          <w:rPr>
            <w:rFonts w:eastAsiaTheme="minorEastAsia" w:cstheme="minorBidi"/>
            <w:i w:val="0"/>
            <w:iCs w:val="0"/>
            <w:noProof/>
            <w:sz w:val="22"/>
            <w:szCs w:val="22"/>
            <w:lang w:val="en-US"/>
          </w:rPr>
          <w:tab/>
        </w:r>
        <w:r w:rsidRPr="009A27ED">
          <w:rPr>
            <w:rStyle w:val="Hipervnculo"/>
            <w:noProof/>
          </w:rPr>
          <w:t>Introducción</w:t>
        </w:r>
        <w:r w:rsidRPr="009A27ED">
          <w:rPr>
            <w:noProof/>
            <w:webHidden/>
          </w:rPr>
          <w:tab/>
        </w:r>
        <w:r w:rsidRPr="009A27ED">
          <w:rPr>
            <w:noProof/>
            <w:webHidden/>
          </w:rPr>
          <w:fldChar w:fldCharType="begin"/>
        </w:r>
        <w:r w:rsidRPr="009A27ED">
          <w:rPr>
            <w:noProof/>
            <w:webHidden/>
          </w:rPr>
          <w:instrText xml:space="preserve"> PAGEREF _Toc111838017 \h </w:instrText>
        </w:r>
        <w:r w:rsidRPr="009A27ED">
          <w:rPr>
            <w:noProof/>
            <w:webHidden/>
          </w:rPr>
        </w:r>
        <w:r w:rsidRPr="009A27ED">
          <w:rPr>
            <w:noProof/>
            <w:webHidden/>
          </w:rPr>
          <w:fldChar w:fldCharType="separate"/>
        </w:r>
        <w:r w:rsidR="007953F0" w:rsidRPr="009A27ED">
          <w:rPr>
            <w:noProof/>
            <w:webHidden/>
          </w:rPr>
          <w:t>241</w:t>
        </w:r>
        <w:r w:rsidRPr="009A27ED">
          <w:rPr>
            <w:noProof/>
            <w:webHidden/>
          </w:rPr>
          <w:fldChar w:fldCharType="end"/>
        </w:r>
      </w:hyperlink>
    </w:p>
    <w:p w14:paraId="1BD05CBE" w14:textId="774295D9" w:rsidR="00B65ED1" w:rsidRPr="009A27ED" w:rsidRDefault="00B65ED1">
      <w:pPr>
        <w:pStyle w:val="TDC2"/>
        <w:tabs>
          <w:tab w:val="left" w:pos="720"/>
          <w:tab w:val="right" w:leader="dot" w:pos="9394"/>
        </w:tabs>
        <w:spacing w:line="360" w:lineRule="auto"/>
        <w:jc w:val="both"/>
        <w:rPr>
          <w:rFonts w:eastAsiaTheme="minorEastAsia" w:cstheme="minorBidi"/>
          <w:i w:val="0"/>
          <w:iCs w:val="0"/>
          <w:noProof/>
          <w:sz w:val="22"/>
          <w:szCs w:val="22"/>
          <w:lang w:val="en-US"/>
        </w:rPr>
      </w:pPr>
      <w:hyperlink w:anchor="_Toc111838018" w:history="1">
        <w:r w:rsidRPr="009A27ED">
          <w:rPr>
            <w:rStyle w:val="Hipervnculo"/>
            <w:noProof/>
          </w:rPr>
          <w:t>II.</w:t>
        </w:r>
        <w:r w:rsidRPr="009A27ED">
          <w:rPr>
            <w:rFonts w:eastAsiaTheme="minorEastAsia" w:cstheme="minorBidi"/>
            <w:i w:val="0"/>
            <w:iCs w:val="0"/>
            <w:noProof/>
            <w:sz w:val="22"/>
            <w:szCs w:val="22"/>
            <w:lang w:val="en-US"/>
          </w:rPr>
          <w:tab/>
        </w:r>
        <w:r w:rsidRPr="009A27ED">
          <w:rPr>
            <w:rStyle w:val="Hipervnculo"/>
            <w:noProof/>
          </w:rPr>
          <w:t>Objetivos y alcance del MPRI</w:t>
        </w:r>
        <w:r w:rsidRPr="009A27ED">
          <w:rPr>
            <w:noProof/>
            <w:webHidden/>
          </w:rPr>
          <w:tab/>
        </w:r>
        <w:r w:rsidRPr="009A27ED">
          <w:rPr>
            <w:noProof/>
            <w:webHidden/>
          </w:rPr>
          <w:fldChar w:fldCharType="begin"/>
        </w:r>
        <w:r w:rsidRPr="009A27ED">
          <w:rPr>
            <w:noProof/>
            <w:webHidden/>
          </w:rPr>
          <w:instrText xml:space="preserve"> PAGEREF _Toc111838018 \h </w:instrText>
        </w:r>
        <w:r w:rsidRPr="009A27ED">
          <w:rPr>
            <w:noProof/>
            <w:webHidden/>
          </w:rPr>
        </w:r>
        <w:r w:rsidRPr="009A27ED">
          <w:rPr>
            <w:noProof/>
            <w:webHidden/>
          </w:rPr>
          <w:fldChar w:fldCharType="separate"/>
        </w:r>
        <w:r w:rsidR="007953F0" w:rsidRPr="009A27ED">
          <w:rPr>
            <w:noProof/>
            <w:webHidden/>
          </w:rPr>
          <w:t>242</w:t>
        </w:r>
        <w:r w:rsidRPr="009A27ED">
          <w:rPr>
            <w:noProof/>
            <w:webHidden/>
          </w:rPr>
          <w:fldChar w:fldCharType="end"/>
        </w:r>
      </w:hyperlink>
    </w:p>
    <w:p w14:paraId="23829D99" w14:textId="309AF018" w:rsidR="00B65ED1" w:rsidRPr="009A27ED" w:rsidRDefault="00B65ED1">
      <w:pPr>
        <w:pStyle w:val="TDC3"/>
        <w:tabs>
          <w:tab w:val="left" w:pos="960"/>
          <w:tab w:val="right" w:leader="dot" w:pos="9394"/>
        </w:tabs>
        <w:spacing w:line="360" w:lineRule="auto"/>
        <w:jc w:val="both"/>
        <w:rPr>
          <w:rFonts w:eastAsiaTheme="minorEastAsia" w:cstheme="minorBidi"/>
          <w:noProof/>
          <w:sz w:val="22"/>
          <w:szCs w:val="22"/>
          <w:lang w:val="en-US"/>
        </w:rPr>
      </w:pPr>
      <w:hyperlink w:anchor="_Toc111838019" w:history="1">
        <w:r w:rsidRPr="009A27ED">
          <w:rPr>
            <w:rStyle w:val="Hipervnculo"/>
            <w:noProof/>
          </w:rPr>
          <w:t>a)</w:t>
        </w:r>
        <w:r w:rsidRPr="009A27ED">
          <w:rPr>
            <w:rFonts w:eastAsiaTheme="minorEastAsia" w:cstheme="minorBidi"/>
            <w:noProof/>
            <w:sz w:val="22"/>
            <w:szCs w:val="22"/>
            <w:lang w:val="en-US"/>
          </w:rPr>
          <w:tab/>
        </w:r>
        <w:r w:rsidRPr="009A27ED">
          <w:rPr>
            <w:rStyle w:val="Hipervnculo"/>
            <w:noProof/>
          </w:rPr>
          <w:t>Alcance</w:t>
        </w:r>
        <w:r w:rsidRPr="009A27ED">
          <w:rPr>
            <w:noProof/>
            <w:webHidden/>
          </w:rPr>
          <w:tab/>
        </w:r>
        <w:r w:rsidRPr="009A27ED">
          <w:rPr>
            <w:noProof/>
            <w:webHidden/>
          </w:rPr>
          <w:fldChar w:fldCharType="begin"/>
        </w:r>
        <w:r w:rsidRPr="009A27ED">
          <w:rPr>
            <w:noProof/>
            <w:webHidden/>
          </w:rPr>
          <w:instrText xml:space="preserve"> PAGEREF _Toc111838019 \h </w:instrText>
        </w:r>
        <w:r w:rsidRPr="009A27ED">
          <w:rPr>
            <w:noProof/>
            <w:webHidden/>
          </w:rPr>
        </w:r>
        <w:r w:rsidRPr="009A27ED">
          <w:rPr>
            <w:noProof/>
            <w:webHidden/>
          </w:rPr>
          <w:fldChar w:fldCharType="separate"/>
        </w:r>
        <w:r w:rsidR="007953F0" w:rsidRPr="009A27ED">
          <w:rPr>
            <w:noProof/>
            <w:webHidden/>
          </w:rPr>
          <w:t>242</w:t>
        </w:r>
        <w:r w:rsidRPr="009A27ED">
          <w:rPr>
            <w:noProof/>
            <w:webHidden/>
          </w:rPr>
          <w:fldChar w:fldCharType="end"/>
        </w:r>
      </w:hyperlink>
    </w:p>
    <w:p w14:paraId="64E4AF60" w14:textId="795D6D7A" w:rsidR="00B65ED1" w:rsidRPr="009A27ED" w:rsidRDefault="00B65ED1">
      <w:pPr>
        <w:pStyle w:val="TDC3"/>
        <w:tabs>
          <w:tab w:val="left" w:pos="960"/>
          <w:tab w:val="right" w:leader="dot" w:pos="9394"/>
        </w:tabs>
        <w:spacing w:line="360" w:lineRule="auto"/>
        <w:jc w:val="both"/>
        <w:rPr>
          <w:rFonts w:eastAsiaTheme="minorEastAsia" w:cstheme="minorBidi"/>
          <w:noProof/>
          <w:sz w:val="22"/>
          <w:szCs w:val="22"/>
          <w:lang w:val="en-US"/>
        </w:rPr>
      </w:pPr>
      <w:hyperlink w:anchor="_Toc111838020" w:history="1">
        <w:r w:rsidRPr="009A27ED">
          <w:rPr>
            <w:rStyle w:val="Hipervnculo"/>
            <w:noProof/>
          </w:rPr>
          <w:t>b)</w:t>
        </w:r>
        <w:r w:rsidRPr="009A27ED">
          <w:rPr>
            <w:rFonts w:eastAsiaTheme="minorEastAsia" w:cstheme="minorBidi"/>
            <w:noProof/>
            <w:sz w:val="22"/>
            <w:szCs w:val="22"/>
            <w:lang w:val="en-US"/>
          </w:rPr>
          <w:tab/>
        </w:r>
        <w:r w:rsidRPr="009A27ED">
          <w:rPr>
            <w:rStyle w:val="Hipervnculo"/>
            <w:noProof/>
          </w:rPr>
          <w:t>Objetivos del MPRI</w:t>
        </w:r>
        <w:r w:rsidRPr="009A27ED">
          <w:rPr>
            <w:noProof/>
            <w:webHidden/>
          </w:rPr>
          <w:tab/>
        </w:r>
        <w:r w:rsidRPr="009A27ED">
          <w:rPr>
            <w:noProof/>
            <w:webHidden/>
          </w:rPr>
          <w:fldChar w:fldCharType="begin"/>
        </w:r>
        <w:r w:rsidRPr="009A27ED">
          <w:rPr>
            <w:noProof/>
            <w:webHidden/>
          </w:rPr>
          <w:instrText xml:space="preserve"> PAGEREF _Toc111838020 \h </w:instrText>
        </w:r>
        <w:r w:rsidRPr="009A27ED">
          <w:rPr>
            <w:noProof/>
            <w:webHidden/>
          </w:rPr>
        </w:r>
        <w:r w:rsidRPr="009A27ED">
          <w:rPr>
            <w:noProof/>
            <w:webHidden/>
          </w:rPr>
          <w:fldChar w:fldCharType="separate"/>
        </w:r>
        <w:r w:rsidR="007953F0" w:rsidRPr="009A27ED">
          <w:rPr>
            <w:noProof/>
            <w:webHidden/>
          </w:rPr>
          <w:t>243</w:t>
        </w:r>
        <w:r w:rsidRPr="009A27ED">
          <w:rPr>
            <w:noProof/>
            <w:webHidden/>
          </w:rPr>
          <w:fldChar w:fldCharType="end"/>
        </w:r>
      </w:hyperlink>
    </w:p>
    <w:p w14:paraId="3428E9F1" w14:textId="31607F16" w:rsidR="00B65ED1" w:rsidRPr="009A27ED" w:rsidRDefault="00B65ED1">
      <w:pPr>
        <w:pStyle w:val="TDC3"/>
        <w:tabs>
          <w:tab w:val="left" w:pos="960"/>
          <w:tab w:val="right" w:leader="dot" w:pos="9394"/>
        </w:tabs>
        <w:spacing w:line="360" w:lineRule="auto"/>
        <w:jc w:val="both"/>
        <w:rPr>
          <w:rFonts w:eastAsiaTheme="minorEastAsia" w:cstheme="minorBidi"/>
          <w:noProof/>
          <w:sz w:val="22"/>
          <w:szCs w:val="22"/>
          <w:lang w:val="en-US"/>
        </w:rPr>
      </w:pPr>
      <w:hyperlink w:anchor="_Toc111838021" w:history="1">
        <w:r w:rsidRPr="009A27ED">
          <w:rPr>
            <w:rStyle w:val="Hipervnculo"/>
            <w:noProof/>
          </w:rPr>
          <w:t>c)</w:t>
        </w:r>
        <w:r w:rsidRPr="009A27ED">
          <w:rPr>
            <w:rFonts w:eastAsiaTheme="minorEastAsia" w:cstheme="minorBidi"/>
            <w:noProof/>
            <w:sz w:val="22"/>
            <w:szCs w:val="22"/>
            <w:lang w:val="en-US"/>
          </w:rPr>
          <w:tab/>
        </w:r>
        <w:r w:rsidRPr="009A27ED">
          <w:rPr>
            <w:rStyle w:val="Hipervnculo"/>
            <w:noProof/>
          </w:rPr>
          <w:t>Principios del MPRI</w:t>
        </w:r>
        <w:r w:rsidRPr="009A27ED">
          <w:rPr>
            <w:noProof/>
            <w:webHidden/>
          </w:rPr>
          <w:tab/>
        </w:r>
        <w:r w:rsidRPr="009A27ED">
          <w:rPr>
            <w:noProof/>
            <w:webHidden/>
          </w:rPr>
          <w:fldChar w:fldCharType="begin"/>
        </w:r>
        <w:r w:rsidRPr="009A27ED">
          <w:rPr>
            <w:noProof/>
            <w:webHidden/>
          </w:rPr>
          <w:instrText xml:space="preserve"> PAGEREF _Toc111838021 \h </w:instrText>
        </w:r>
        <w:r w:rsidRPr="009A27ED">
          <w:rPr>
            <w:noProof/>
            <w:webHidden/>
          </w:rPr>
        </w:r>
        <w:r w:rsidRPr="009A27ED">
          <w:rPr>
            <w:noProof/>
            <w:webHidden/>
          </w:rPr>
          <w:fldChar w:fldCharType="separate"/>
        </w:r>
        <w:r w:rsidR="007953F0" w:rsidRPr="009A27ED">
          <w:rPr>
            <w:noProof/>
            <w:webHidden/>
          </w:rPr>
          <w:t>244</w:t>
        </w:r>
        <w:r w:rsidRPr="009A27ED">
          <w:rPr>
            <w:noProof/>
            <w:webHidden/>
          </w:rPr>
          <w:fldChar w:fldCharType="end"/>
        </w:r>
      </w:hyperlink>
    </w:p>
    <w:p w14:paraId="20A383E4" w14:textId="15DBA9E9" w:rsidR="00B65ED1" w:rsidRPr="009A27ED" w:rsidRDefault="00B65ED1">
      <w:pPr>
        <w:pStyle w:val="TDC1"/>
        <w:tabs>
          <w:tab w:val="right" w:leader="dot" w:pos="9394"/>
        </w:tabs>
        <w:spacing w:line="360" w:lineRule="auto"/>
        <w:jc w:val="both"/>
        <w:rPr>
          <w:rFonts w:eastAsiaTheme="minorEastAsia" w:cstheme="minorBidi"/>
          <w:b w:val="0"/>
          <w:bCs w:val="0"/>
          <w:noProof/>
          <w:sz w:val="22"/>
          <w:szCs w:val="22"/>
          <w:lang w:val="en-US"/>
        </w:rPr>
      </w:pPr>
      <w:hyperlink w:anchor="_Toc111838022" w:history="1">
        <w:r w:rsidRPr="009A27ED">
          <w:rPr>
            <w:rStyle w:val="Hipervnculo"/>
            <w:noProof/>
          </w:rPr>
          <w:t>Anexo 3. Plan de manejo integrado de Plagas y Enfermedades (abordaje de la PO 4.09)</w:t>
        </w:r>
        <w:r w:rsidRPr="009A27ED">
          <w:rPr>
            <w:noProof/>
            <w:webHidden/>
          </w:rPr>
          <w:tab/>
        </w:r>
        <w:r w:rsidRPr="009A27ED">
          <w:rPr>
            <w:noProof/>
            <w:webHidden/>
          </w:rPr>
          <w:fldChar w:fldCharType="begin"/>
        </w:r>
        <w:r w:rsidRPr="009A27ED">
          <w:rPr>
            <w:noProof/>
            <w:webHidden/>
          </w:rPr>
          <w:instrText xml:space="preserve"> PAGEREF _Toc111838022 \h </w:instrText>
        </w:r>
        <w:r w:rsidRPr="009A27ED">
          <w:rPr>
            <w:noProof/>
            <w:webHidden/>
          </w:rPr>
        </w:r>
        <w:r w:rsidRPr="009A27ED">
          <w:rPr>
            <w:noProof/>
            <w:webHidden/>
          </w:rPr>
          <w:fldChar w:fldCharType="separate"/>
        </w:r>
        <w:r w:rsidR="007953F0" w:rsidRPr="009A27ED">
          <w:rPr>
            <w:noProof/>
            <w:webHidden/>
          </w:rPr>
          <w:t>280</w:t>
        </w:r>
        <w:r w:rsidRPr="009A27ED">
          <w:rPr>
            <w:noProof/>
            <w:webHidden/>
          </w:rPr>
          <w:fldChar w:fldCharType="end"/>
        </w:r>
      </w:hyperlink>
    </w:p>
    <w:p w14:paraId="3C07844A" w14:textId="7C86C5F8" w:rsidR="00B65ED1" w:rsidRPr="009A27ED" w:rsidRDefault="00B65ED1">
      <w:pPr>
        <w:pStyle w:val="TDC2"/>
        <w:tabs>
          <w:tab w:val="left" w:pos="720"/>
          <w:tab w:val="right" w:leader="dot" w:pos="9394"/>
        </w:tabs>
        <w:spacing w:line="360" w:lineRule="auto"/>
        <w:jc w:val="both"/>
        <w:rPr>
          <w:rFonts w:eastAsiaTheme="minorEastAsia" w:cstheme="minorBidi"/>
          <w:i w:val="0"/>
          <w:iCs w:val="0"/>
          <w:noProof/>
          <w:sz w:val="22"/>
          <w:szCs w:val="22"/>
          <w:lang w:val="en-US"/>
        </w:rPr>
      </w:pPr>
      <w:hyperlink w:anchor="_Toc111838023" w:history="1">
        <w:r w:rsidRPr="009A27ED">
          <w:rPr>
            <w:rStyle w:val="Hipervnculo"/>
            <w:rFonts w:ascii="Calibri" w:hAnsi="Calibri" w:cs="Calibri"/>
            <w:noProof/>
          </w:rPr>
          <w:t>1.</w:t>
        </w:r>
        <w:r w:rsidRPr="009A27ED">
          <w:rPr>
            <w:rFonts w:eastAsiaTheme="minorEastAsia" w:cstheme="minorBidi"/>
            <w:i w:val="0"/>
            <w:iCs w:val="0"/>
            <w:noProof/>
            <w:sz w:val="22"/>
            <w:szCs w:val="22"/>
            <w:lang w:val="en-US"/>
          </w:rPr>
          <w:tab/>
        </w:r>
        <w:r w:rsidRPr="009A27ED">
          <w:rPr>
            <w:rStyle w:val="Hipervnculo"/>
            <w:rFonts w:ascii="Calibri" w:hAnsi="Calibri" w:cs="Calibri"/>
            <w:noProof/>
          </w:rPr>
          <w:t>Marco Conceptual</w:t>
        </w:r>
        <w:r w:rsidRPr="009A27ED">
          <w:rPr>
            <w:noProof/>
            <w:webHidden/>
          </w:rPr>
          <w:tab/>
        </w:r>
        <w:r w:rsidRPr="009A27ED">
          <w:rPr>
            <w:noProof/>
            <w:webHidden/>
          </w:rPr>
          <w:fldChar w:fldCharType="begin"/>
        </w:r>
        <w:r w:rsidRPr="009A27ED">
          <w:rPr>
            <w:noProof/>
            <w:webHidden/>
          </w:rPr>
          <w:instrText xml:space="preserve"> PAGEREF _Toc111838023 \h </w:instrText>
        </w:r>
        <w:r w:rsidRPr="009A27ED">
          <w:rPr>
            <w:noProof/>
            <w:webHidden/>
          </w:rPr>
        </w:r>
        <w:r w:rsidRPr="009A27ED">
          <w:rPr>
            <w:noProof/>
            <w:webHidden/>
          </w:rPr>
          <w:fldChar w:fldCharType="separate"/>
        </w:r>
        <w:r w:rsidR="007953F0" w:rsidRPr="009A27ED">
          <w:rPr>
            <w:noProof/>
            <w:webHidden/>
          </w:rPr>
          <w:t>280</w:t>
        </w:r>
        <w:r w:rsidRPr="009A27ED">
          <w:rPr>
            <w:noProof/>
            <w:webHidden/>
          </w:rPr>
          <w:fldChar w:fldCharType="end"/>
        </w:r>
      </w:hyperlink>
    </w:p>
    <w:p w14:paraId="076AE925" w14:textId="2DA15203" w:rsidR="00B65ED1" w:rsidRPr="009A27ED" w:rsidRDefault="00B65ED1">
      <w:pPr>
        <w:pStyle w:val="TDC2"/>
        <w:tabs>
          <w:tab w:val="left" w:pos="720"/>
          <w:tab w:val="right" w:leader="dot" w:pos="9394"/>
        </w:tabs>
        <w:spacing w:line="360" w:lineRule="auto"/>
        <w:jc w:val="both"/>
        <w:rPr>
          <w:rFonts w:eastAsiaTheme="minorEastAsia" w:cstheme="minorBidi"/>
          <w:i w:val="0"/>
          <w:iCs w:val="0"/>
          <w:noProof/>
          <w:sz w:val="22"/>
          <w:szCs w:val="22"/>
          <w:lang w:val="en-US"/>
        </w:rPr>
      </w:pPr>
      <w:hyperlink w:anchor="_Toc111838024" w:history="1">
        <w:r w:rsidRPr="009A27ED">
          <w:rPr>
            <w:rStyle w:val="Hipervnculo"/>
            <w:rFonts w:ascii="Calibri" w:hAnsi="Calibri" w:cs="Calibri"/>
            <w:noProof/>
          </w:rPr>
          <w:t>2.</w:t>
        </w:r>
        <w:r w:rsidRPr="009A27ED">
          <w:rPr>
            <w:rFonts w:eastAsiaTheme="minorEastAsia" w:cstheme="minorBidi"/>
            <w:i w:val="0"/>
            <w:iCs w:val="0"/>
            <w:noProof/>
            <w:sz w:val="22"/>
            <w:szCs w:val="22"/>
            <w:lang w:val="en-US"/>
          </w:rPr>
          <w:tab/>
        </w:r>
        <w:r w:rsidRPr="009A27ED">
          <w:rPr>
            <w:rStyle w:val="Hipervnculo"/>
            <w:rFonts w:ascii="Calibri" w:hAnsi="Calibri" w:cs="Calibri"/>
            <w:noProof/>
          </w:rPr>
          <w:t>Finalidad de los Planes de Manejo de Plagas</w:t>
        </w:r>
        <w:r w:rsidRPr="009A27ED">
          <w:rPr>
            <w:noProof/>
            <w:webHidden/>
          </w:rPr>
          <w:tab/>
        </w:r>
        <w:r w:rsidRPr="009A27ED">
          <w:rPr>
            <w:noProof/>
            <w:webHidden/>
          </w:rPr>
          <w:fldChar w:fldCharType="begin"/>
        </w:r>
        <w:r w:rsidRPr="009A27ED">
          <w:rPr>
            <w:noProof/>
            <w:webHidden/>
          </w:rPr>
          <w:instrText xml:space="preserve"> PAGEREF _Toc111838024 \h </w:instrText>
        </w:r>
        <w:r w:rsidRPr="009A27ED">
          <w:rPr>
            <w:noProof/>
            <w:webHidden/>
          </w:rPr>
        </w:r>
        <w:r w:rsidRPr="009A27ED">
          <w:rPr>
            <w:noProof/>
            <w:webHidden/>
          </w:rPr>
          <w:fldChar w:fldCharType="separate"/>
        </w:r>
        <w:r w:rsidR="007953F0" w:rsidRPr="009A27ED">
          <w:rPr>
            <w:noProof/>
            <w:webHidden/>
          </w:rPr>
          <w:t>280</w:t>
        </w:r>
        <w:r w:rsidRPr="009A27ED">
          <w:rPr>
            <w:noProof/>
            <w:webHidden/>
          </w:rPr>
          <w:fldChar w:fldCharType="end"/>
        </w:r>
      </w:hyperlink>
    </w:p>
    <w:p w14:paraId="2B7EF740" w14:textId="01613294" w:rsidR="00B65ED1" w:rsidRPr="009A27ED" w:rsidRDefault="00B65ED1">
      <w:pPr>
        <w:pStyle w:val="TDC2"/>
        <w:tabs>
          <w:tab w:val="left" w:pos="720"/>
          <w:tab w:val="right" w:leader="dot" w:pos="9394"/>
        </w:tabs>
        <w:spacing w:line="360" w:lineRule="auto"/>
        <w:jc w:val="both"/>
        <w:rPr>
          <w:rFonts w:eastAsiaTheme="minorEastAsia" w:cstheme="minorBidi"/>
          <w:i w:val="0"/>
          <w:iCs w:val="0"/>
          <w:noProof/>
          <w:sz w:val="22"/>
          <w:szCs w:val="22"/>
          <w:lang w:val="en-US"/>
        </w:rPr>
      </w:pPr>
      <w:hyperlink w:anchor="_Toc111838025" w:history="1">
        <w:r w:rsidRPr="009A27ED">
          <w:rPr>
            <w:rStyle w:val="Hipervnculo"/>
            <w:rFonts w:ascii="Calibri" w:hAnsi="Calibri" w:cs="Calibri"/>
            <w:noProof/>
          </w:rPr>
          <w:t>3.</w:t>
        </w:r>
        <w:r w:rsidRPr="009A27ED">
          <w:rPr>
            <w:rFonts w:eastAsiaTheme="minorEastAsia" w:cstheme="minorBidi"/>
            <w:i w:val="0"/>
            <w:iCs w:val="0"/>
            <w:noProof/>
            <w:sz w:val="22"/>
            <w:szCs w:val="22"/>
            <w:lang w:val="en-US"/>
          </w:rPr>
          <w:tab/>
        </w:r>
        <w:r w:rsidRPr="009A27ED">
          <w:rPr>
            <w:rStyle w:val="Hipervnculo"/>
            <w:rFonts w:ascii="Calibri" w:hAnsi="Calibri" w:cs="Calibri"/>
            <w:noProof/>
          </w:rPr>
          <w:t>Requisitos que deben cumplir los plaguicidas para el cumplimiento de la OP 4.09</w:t>
        </w:r>
        <w:r w:rsidRPr="009A27ED">
          <w:rPr>
            <w:noProof/>
            <w:webHidden/>
          </w:rPr>
          <w:tab/>
        </w:r>
        <w:r w:rsidRPr="009A27ED">
          <w:rPr>
            <w:noProof/>
            <w:webHidden/>
          </w:rPr>
          <w:fldChar w:fldCharType="begin"/>
        </w:r>
        <w:r w:rsidRPr="009A27ED">
          <w:rPr>
            <w:noProof/>
            <w:webHidden/>
          </w:rPr>
          <w:instrText xml:space="preserve"> PAGEREF _Toc111838025 \h </w:instrText>
        </w:r>
        <w:r w:rsidRPr="009A27ED">
          <w:rPr>
            <w:noProof/>
            <w:webHidden/>
          </w:rPr>
        </w:r>
        <w:r w:rsidRPr="009A27ED">
          <w:rPr>
            <w:noProof/>
            <w:webHidden/>
          </w:rPr>
          <w:fldChar w:fldCharType="separate"/>
        </w:r>
        <w:r w:rsidR="007953F0" w:rsidRPr="009A27ED">
          <w:rPr>
            <w:noProof/>
            <w:webHidden/>
          </w:rPr>
          <w:t>280</w:t>
        </w:r>
        <w:r w:rsidRPr="009A27ED">
          <w:rPr>
            <w:noProof/>
            <w:webHidden/>
          </w:rPr>
          <w:fldChar w:fldCharType="end"/>
        </w:r>
      </w:hyperlink>
    </w:p>
    <w:p w14:paraId="40E01EAD" w14:textId="4B0E67ED" w:rsidR="00B65ED1" w:rsidRPr="009A27ED" w:rsidRDefault="00B65ED1">
      <w:pPr>
        <w:pStyle w:val="TDC2"/>
        <w:tabs>
          <w:tab w:val="left" w:pos="720"/>
          <w:tab w:val="right" w:leader="dot" w:pos="9394"/>
        </w:tabs>
        <w:spacing w:line="360" w:lineRule="auto"/>
        <w:jc w:val="both"/>
        <w:rPr>
          <w:rFonts w:eastAsiaTheme="minorEastAsia" w:cstheme="minorBidi"/>
          <w:i w:val="0"/>
          <w:iCs w:val="0"/>
          <w:noProof/>
          <w:sz w:val="22"/>
          <w:szCs w:val="22"/>
          <w:lang w:val="en-US"/>
        </w:rPr>
      </w:pPr>
      <w:hyperlink w:anchor="_Toc111838026" w:history="1">
        <w:r w:rsidRPr="009A27ED">
          <w:rPr>
            <w:rStyle w:val="Hipervnculo"/>
            <w:rFonts w:ascii="Calibri" w:hAnsi="Calibri" w:cs="Calibri"/>
            <w:noProof/>
          </w:rPr>
          <w:t>4.</w:t>
        </w:r>
        <w:r w:rsidRPr="009A27ED">
          <w:rPr>
            <w:rFonts w:eastAsiaTheme="minorEastAsia" w:cstheme="minorBidi"/>
            <w:i w:val="0"/>
            <w:iCs w:val="0"/>
            <w:noProof/>
            <w:sz w:val="22"/>
            <w:szCs w:val="22"/>
            <w:lang w:val="en-US"/>
          </w:rPr>
          <w:tab/>
        </w:r>
        <w:r w:rsidRPr="009A27ED">
          <w:rPr>
            <w:rStyle w:val="Hipervnculo"/>
            <w:rFonts w:ascii="Calibri" w:hAnsi="Calibri" w:cs="Calibri"/>
            <w:noProof/>
          </w:rPr>
          <w:t>Medidas de mitigación y capacitación a considerar</w:t>
        </w:r>
        <w:r w:rsidRPr="009A27ED">
          <w:rPr>
            <w:noProof/>
            <w:webHidden/>
          </w:rPr>
          <w:tab/>
        </w:r>
        <w:r w:rsidRPr="009A27ED">
          <w:rPr>
            <w:noProof/>
            <w:webHidden/>
          </w:rPr>
          <w:fldChar w:fldCharType="begin"/>
        </w:r>
        <w:r w:rsidRPr="009A27ED">
          <w:rPr>
            <w:noProof/>
            <w:webHidden/>
          </w:rPr>
          <w:instrText xml:space="preserve"> PAGEREF _Toc111838026 \h </w:instrText>
        </w:r>
        <w:r w:rsidRPr="009A27ED">
          <w:rPr>
            <w:noProof/>
            <w:webHidden/>
          </w:rPr>
        </w:r>
        <w:r w:rsidRPr="009A27ED">
          <w:rPr>
            <w:noProof/>
            <w:webHidden/>
          </w:rPr>
          <w:fldChar w:fldCharType="separate"/>
        </w:r>
        <w:r w:rsidR="007953F0" w:rsidRPr="009A27ED">
          <w:rPr>
            <w:noProof/>
            <w:webHidden/>
          </w:rPr>
          <w:t>281</w:t>
        </w:r>
        <w:r w:rsidRPr="009A27ED">
          <w:rPr>
            <w:noProof/>
            <w:webHidden/>
          </w:rPr>
          <w:fldChar w:fldCharType="end"/>
        </w:r>
      </w:hyperlink>
    </w:p>
    <w:p w14:paraId="7105B72D" w14:textId="1489CE23" w:rsidR="00B65ED1" w:rsidRPr="009A27ED" w:rsidRDefault="00B65ED1">
      <w:pPr>
        <w:pStyle w:val="TDC3"/>
        <w:tabs>
          <w:tab w:val="left" w:pos="1200"/>
          <w:tab w:val="right" w:leader="dot" w:pos="9394"/>
        </w:tabs>
        <w:spacing w:line="360" w:lineRule="auto"/>
        <w:jc w:val="both"/>
        <w:rPr>
          <w:rFonts w:eastAsiaTheme="minorEastAsia" w:cstheme="minorBidi"/>
          <w:noProof/>
          <w:sz w:val="22"/>
          <w:szCs w:val="22"/>
          <w:lang w:val="en-US"/>
        </w:rPr>
      </w:pPr>
      <w:hyperlink w:anchor="_Toc111838027" w:history="1">
        <w:r w:rsidRPr="009A27ED">
          <w:rPr>
            <w:rStyle w:val="Hipervnculo"/>
            <w:rFonts w:ascii="Calibri" w:hAnsi="Calibri" w:cs="Calibri"/>
            <w:noProof/>
          </w:rPr>
          <w:t>4.1.</w:t>
        </w:r>
        <w:r w:rsidRPr="009A27ED">
          <w:rPr>
            <w:rFonts w:eastAsiaTheme="minorEastAsia" w:cstheme="minorBidi"/>
            <w:noProof/>
            <w:sz w:val="22"/>
            <w:szCs w:val="22"/>
            <w:lang w:val="en-US"/>
          </w:rPr>
          <w:tab/>
        </w:r>
        <w:r w:rsidRPr="009A27ED">
          <w:rPr>
            <w:rStyle w:val="Hipervnculo"/>
            <w:rFonts w:ascii="Calibri" w:hAnsi="Calibri" w:cs="Calibri"/>
            <w:noProof/>
          </w:rPr>
          <w:t>Medidas de mitigación para potenciales impactos negativos en el uso de plaguicidas</w:t>
        </w:r>
        <w:r w:rsidRPr="009A27ED">
          <w:rPr>
            <w:noProof/>
            <w:webHidden/>
          </w:rPr>
          <w:tab/>
        </w:r>
        <w:r w:rsidRPr="009A27ED">
          <w:rPr>
            <w:noProof/>
            <w:webHidden/>
          </w:rPr>
          <w:fldChar w:fldCharType="begin"/>
        </w:r>
        <w:r w:rsidRPr="009A27ED">
          <w:rPr>
            <w:noProof/>
            <w:webHidden/>
          </w:rPr>
          <w:instrText xml:space="preserve"> PAGEREF _Toc111838027 \h </w:instrText>
        </w:r>
        <w:r w:rsidRPr="009A27ED">
          <w:rPr>
            <w:noProof/>
            <w:webHidden/>
          </w:rPr>
        </w:r>
        <w:r w:rsidRPr="009A27ED">
          <w:rPr>
            <w:noProof/>
            <w:webHidden/>
          </w:rPr>
          <w:fldChar w:fldCharType="separate"/>
        </w:r>
        <w:r w:rsidR="007953F0" w:rsidRPr="009A27ED">
          <w:rPr>
            <w:noProof/>
            <w:webHidden/>
          </w:rPr>
          <w:t>281</w:t>
        </w:r>
        <w:r w:rsidRPr="009A27ED">
          <w:rPr>
            <w:noProof/>
            <w:webHidden/>
          </w:rPr>
          <w:fldChar w:fldCharType="end"/>
        </w:r>
      </w:hyperlink>
    </w:p>
    <w:p w14:paraId="03511B82" w14:textId="2BF5CFA6" w:rsidR="00B65ED1" w:rsidRPr="009A27ED" w:rsidRDefault="00B65ED1">
      <w:pPr>
        <w:pStyle w:val="TDC2"/>
        <w:tabs>
          <w:tab w:val="left" w:pos="960"/>
          <w:tab w:val="right" w:leader="dot" w:pos="9394"/>
        </w:tabs>
        <w:spacing w:line="360" w:lineRule="auto"/>
        <w:jc w:val="both"/>
        <w:rPr>
          <w:rFonts w:eastAsiaTheme="minorEastAsia" w:cstheme="minorBidi"/>
          <w:i w:val="0"/>
          <w:iCs w:val="0"/>
          <w:noProof/>
          <w:sz w:val="22"/>
          <w:szCs w:val="22"/>
          <w:lang w:val="en-US"/>
        </w:rPr>
      </w:pPr>
      <w:hyperlink w:anchor="_Toc111838028" w:history="1">
        <w:r w:rsidRPr="009A27ED">
          <w:rPr>
            <w:rStyle w:val="Hipervnculo"/>
            <w:rFonts w:ascii="Calibri" w:hAnsi="Calibri" w:cs="Calibri"/>
            <w:noProof/>
          </w:rPr>
          <w:t>4.2.</w:t>
        </w:r>
        <w:r w:rsidRPr="009A27ED">
          <w:rPr>
            <w:rFonts w:eastAsiaTheme="minorEastAsia" w:cstheme="minorBidi"/>
            <w:i w:val="0"/>
            <w:iCs w:val="0"/>
            <w:noProof/>
            <w:sz w:val="22"/>
            <w:szCs w:val="22"/>
            <w:lang w:val="en-US"/>
          </w:rPr>
          <w:tab/>
        </w:r>
        <w:r w:rsidRPr="009A27ED">
          <w:rPr>
            <w:rStyle w:val="Hipervnculo"/>
            <w:rFonts w:ascii="Calibri" w:hAnsi="Calibri" w:cs="Calibri"/>
            <w:noProof/>
          </w:rPr>
          <w:t>Consideraciones en cuanto al almacenamiento</w:t>
        </w:r>
        <w:r w:rsidRPr="009A27ED">
          <w:rPr>
            <w:noProof/>
            <w:webHidden/>
          </w:rPr>
          <w:tab/>
        </w:r>
        <w:r w:rsidRPr="009A27ED">
          <w:rPr>
            <w:noProof/>
            <w:webHidden/>
          </w:rPr>
          <w:fldChar w:fldCharType="begin"/>
        </w:r>
        <w:r w:rsidRPr="009A27ED">
          <w:rPr>
            <w:noProof/>
            <w:webHidden/>
          </w:rPr>
          <w:instrText xml:space="preserve"> PAGEREF _Toc111838028 \h </w:instrText>
        </w:r>
        <w:r w:rsidRPr="009A27ED">
          <w:rPr>
            <w:noProof/>
            <w:webHidden/>
          </w:rPr>
        </w:r>
        <w:r w:rsidRPr="009A27ED">
          <w:rPr>
            <w:noProof/>
            <w:webHidden/>
          </w:rPr>
          <w:fldChar w:fldCharType="separate"/>
        </w:r>
        <w:r w:rsidR="007953F0" w:rsidRPr="009A27ED">
          <w:rPr>
            <w:noProof/>
            <w:webHidden/>
          </w:rPr>
          <w:t>282</w:t>
        </w:r>
        <w:r w:rsidRPr="009A27ED">
          <w:rPr>
            <w:noProof/>
            <w:webHidden/>
          </w:rPr>
          <w:fldChar w:fldCharType="end"/>
        </w:r>
      </w:hyperlink>
    </w:p>
    <w:p w14:paraId="5998FBE7" w14:textId="7B308FEB" w:rsidR="00B65ED1" w:rsidRPr="009A27ED" w:rsidRDefault="00B65ED1">
      <w:pPr>
        <w:pStyle w:val="TDC2"/>
        <w:tabs>
          <w:tab w:val="left" w:pos="720"/>
          <w:tab w:val="right" w:leader="dot" w:pos="9394"/>
        </w:tabs>
        <w:spacing w:line="360" w:lineRule="auto"/>
        <w:jc w:val="both"/>
        <w:rPr>
          <w:rFonts w:eastAsiaTheme="minorEastAsia" w:cstheme="minorBidi"/>
          <w:i w:val="0"/>
          <w:iCs w:val="0"/>
          <w:noProof/>
          <w:sz w:val="22"/>
          <w:szCs w:val="22"/>
          <w:lang w:val="en-US"/>
        </w:rPr>
      </w:pPr>
      <w:hyperlink w:anchor="_Toc111838029" w:history="1">
        <w:r w:rsidRPr="009A27ED">
          <w:rPr>
            <w:rStyle w:val="Hipervnculo"/>
            <w:rFonts w:ascii="Calibri" w:hAnsi="Calibri" w:cs="Calibri"/>
            <w:noProof/>
          </w:rPr>
          <w:t>5.</w:t>
        </w:r>
        <w:r w:rsidRPr="009A27ED">
          <w:rPr>
            <w:rFonts w:eastAsiaTheme="minorEastAsia" w:cstheme="minorBidi"/>
            <w:i w:val="0"/>
            <w:iCs w:val="0"/>
            <w:noProof/>
            <w:sz w:val="22"/>
            <w:szCs w:val="22"/>
            <w:lang w:val="en-US"/>
          </w:rPr>
          <w:tab/>
        </w:r>
        <w:r w:rsidRPr="009A27ED">
          <w:rPr>
            <w:rStyle w:val="Hipervnculo"/>
            <w:rFonts w:ascii="Calibri" w:hAnsi="Calibri" w:cs="Calibri"/>
            <w:noProof/>
          </w:rPr>
          <w:t>Consideraciones de las actividades de difusión y entrenamiento</w:t>
        </w:r>
        <w:r w:rsidRPr="009A27ED">
          <w:rPr>
            <w:noProof/>
            <w:webHidden/>
          </w:rPr>
          <w:tab/>
        </w:r>
        <w:r w:rsidRPr="009A27ED">
          <w:rPr>
            <w:noProof/>
            <w:webHidden/>
          </w:rPr>
          <w:fldChar w:fldCharType="begin"/>
        </w:r>
        <w:r w:rsidRPr="009A27ED">
          <w:rPr>
            <w:noProof/>
            <w:webHidden/>
          </w:rPr>
          <w:instrText xml:space="preserve"> PAGEREF _Toc111838029 \h </w:instrText>
        </w:r>
        <w:r w:rsidRPr="009A27ED">
          <w:rPr>
            <w:noProof/>
            <w:webHidden/>
          </w:rPr>
        </w:r>
        <w:r w:rsidRPr="009A27ED">
          <w:rPr>
            <w:noProof/>
            <w:webHidden/>
          </w:rPr>
          <w:fldChar w:fldCharType="separate"/>
        </w:r>
        <w:r w:rsidR="007953F0" w:rsidRPr="009A27ED">
          <w:rPr>
            <w:noProof/>
            <w:webHidden/>
          </w:rPr>
          <w:t>283</w:t>
        </w:r>
        <w:r w:rsidRPr="009A27ED">
          <w:rPr>
            <w:noProof/>
            <w:webHidden/>
          </w:rPr>
          <w:fldChar w:fldCharType="end"/>
        </w:r>
      </w:hyperlink>
    </w:p>
    <w:p w14:paraId="5D04B72B" w14:textId="678CBAD5" w:rsidR="00B65ED1" w:rsidRPr="009A27ED" w:rsidRDefault="00B65ED1">
      <w:pPr>
        <w:pStyle w:val="TDC2"/>
        <w:tabs>
          <w:tab w:val="left" w:pos="720"/>
          <w:tab w:val="right" w:leader="dot" w:pos="9394"/>
        </w:tabs>
        <w:spacing w:line="360" w:lineRule="auto"/>
        <w:jc w:val="both"/>
        <w:rPr>
          <w:rFonts w:eastAsiaTheme="minorEastAsia" w:cstheme="minorBidi"/>
          <w:i w:val="0"/>
          <w:iCs w:val="0"/>
          <w:noProof/>
          <w:sz w:val="22"/>
          <w:szCs w:val="22"/>
          <w:lang w:val="en-US"/>
        </w:rPr>
      </w:pPr>
      <w:hyperlink w:anchor="_Toc111838030" w:history="1">
        <w:r w:rsidRPr="009A27ED">
          <w:rPr>
            <w:rStyle w:val="Hipervnculo"/>
            <w:rFonts w:ascii="Calibri" w:hAnsi="Calibri" w:cs="Calibri"/>
            <w:noProof/>
          </w:rPr>
          <w:t>6.</w:t>
        </w:r>
        <w:r w:rsidRPr="009A27ED">
          <w:rPr>
            <w:rFonts w:eastAsiaTheme="minorEastAsia" w:cstheme="minorBidi"/>
            <w:i w:val="0"/>
            <w:iCs w:val="0"/>
            <w:noProof/>
            <w:sz w:val="22"/>
            <w:szCs w:val="22"/>
            <w:lang w:val="en-US"/>
          </w:rPr>
          <w:tab/>
        </w:r>
        <w:r w:rsidRPr="009A27ED">
          <w:rPr>
            <w:rStyle w:val="Hipervnculo"/>
            <w:rFonts w:ascii="Calibri" w:hAnsi="Calibri" w:cs="Calibri"/>
            <w:noProof/>
          </w:rPr>
          <w:t>Equipo mínimo de protección personal</w:t>
        </w:r>
        <w:r w:rsidRPr="009A27ED">
          <w:rPr>
            <w:noProof/>
            <w:webHidden/>
          </w:rPr>
          <w:tab/>
        </w:r>
        <w:r w:rsidRPr="009A27ED">
          <w:rPr>
            <w:noProof/>
            <w:webHidden/>
          </w:rPr>
          <w:fldChar w:fldCharType="begin"/>
        </w:r>
        <w:r w:rsidRPr="009A27ED">
          <w:rPr>
            <w:noProof/>
            <w:webHidden/>
          </w:rPr>
          <w:instrText xml:space="preserve"> PAGEREF _Toc111838030 \h </w:instrText>
        </w:r>
        <w:r w:rsidRPr="009A27ED">
          <w:rPr>
            <w:noProof/>
            <w:webHidden/>
          </w:rPr>
        </w:r>
        <w:r w:rsidRPr="009A27ED">
          <w:rPr>
            <w:noProof/>
            <w:webHidden/>
          </w:rPr>
          <w:fldChar w:fldCharType="separate"/>
        </w:r>
        <w:r w:rsidR="007953F0" w:rsidRPr="009A27ED">
          <w:rPr>
            <w:noProof/>
            <w:webHidden/>
          </w:rPr>
          <w:t>283</w:t>
        </w:r>
        <w:r w:rsidRPr="009A27ED">
          <w:rPr>
            <w:noProof/>
            <w:webHidden/>
          </w:rPr>
          <w:fldChar w:fldCharType="end"/>
        </w:r>
      </w:hyperlink>
    </w:p>
    <w:p w14:paraId="18F3CCD5" w14:textId="1E51ACDD" w:rsidR="00B65ED1" w:rsidRPr="009A27ED" w:rsidRDefault="00B65ED1">
      <w:pPr>
        <w:pStyle w:val="TDC1"/>
        <w:tabs>
          <w:tab w:val="right" w:leader="dot" w:pos="9394"/>
        </w:tabs>
        <w:spacing w:line="360" w:lineRule="auto"/>
        <w:jc w:val="both"/>
        <w:rPr>
          <w:rFonts w:eastAsiaTheme="minorEastAsia" w:cstheme="minorBidi"/>
          <w:b w:val="0"/>
          <w:bCs w:val="0"/>
          <w:noProof/>
          <w:sz w:val="22"/>
          <w:szCs w:val="22"/>
          <w:lang w:val="en-US"/>
        </w:rPr>
      </w:pPr>
      <w:hyperlink w:anchor="_Toc111838031" w:history="1">
        <w:r w:rsidRPr="009A27ED">
          <w:rPr>
            <w:rStyle w:val="Hipervnculo"/>
            <w:noProof/>
          </w:rPr>
          <w:t>Anexo 4. Protocolo para la protección de Patrimonio Cultural Físico de acuerdo con la PO 4.11 del BM</w:t>
        </w:r>
        <w:r w:rsidRPr="009A27ED">
          <w:rPr>
            <w:noProof/>
            <w:webHidden/>
          </w:rPr>
          <w:tab/>
        </w:r>
        <w:r w:rsidRPr="009A27ED">
          <w:rPr>
            <w:noProof/>
            <w:webHidden/>
          </w:rPr>
          <w:fldChar w:fldCharType="begin"/>
        </w:r>
        <w:r w:rsidRPr="009A27ED">
          <w:rPr>
            <w:noProof/>
            <w:webHidden/>
          </w:rPr>
          <w:instrText xml:space="preserve"> PAGEREF _Toc111838031 \h </w:instrText>
        </w:r>
        <w:r w:rsidRPr="009A27ED">
          <w:rPr>
            <w:noProof/>
            <w:webHidden/>
          </w:rPr>
        </w:r>
        <w:r w:rsidRPr="009A27ED">
          <w:rPr>
            <w:noProof/>
            <w:webHidden/>
          </w:rPr>
          <w:fldChar w:fldCharType="separate"/>
        </w:r>
        <w:r w:rsidR="007953F0" w:rsidRPr="009A27ED">
          <w:rPr>
            <w:noProof/>
            <w:webHidden/>
          </w:rPr>
          <w:t>283</w:t>
        </w:r>
        <w:r w:rsidRPr="009A27ED">
          <w:rPr>
            <w:noProof/>
            <w:webHidden/>
          </w:rPr>
          <w:fldChar w:fldCharType="end"/>
        </w:r>
      </w:hyperlink>
    </w:p>
    <w:p w14:paraId="5C05C38C" w14:textId="381BCA8D" w:rsidR="00B65ED1" w:rsidRPr="009A27ED" w:rsidRDefault="00B65ED1">
      <w:pPr>
        <w:pStyle w:val="TDC1"/>
        <w:tabs>
          <w:tab w:val="right" w:leader="dot" w:pos="9394"/>
        </w:tabs>
        <w:spacing w:line="360" w:lineRule="auto"/>
        <w:jc w:val="both"/>
        <w:rPr>
          <w:rFonts w:eastAsiaTheme="minorEastAsia" w:cstheme="minorBidi"/>
          <w:b w:val="0"/>
          <w:bCs w:val="0"/>
          <w:noProof/>
          <w:sz w:val="22"/>
          <w:szCs w:val="22"/>
          <w:lang w:val="en-US"/>
        </w:rPr>
      </w:pPr>
      <w:hyperlink w:anchor="_Toc111838032" w:history="1">
        <w:r w:rsidRPr="009A27ED">
          <w:rPr>
            <w:rStyle w:val="Hipervnculo"/>
            <w:noProof/>
          </w:rPr>
          <w:t>Anexo 5. Evidencias del proceso de consulta y validación de los instrumentos ambientales y sociales</w:t>
        </w:r>
        <w:r w:rsidRPr="009A27ED">
          <w:rPr>
            <w:noProof/>
            <w:webHidden/>
          </w:rPr>
          <w:tab/>
        </w:r>
        <w:r w:rsidRPr="009A27ED">
          <w:rPr>
            <w:noProof/>
            <w:webHidden/>
          </w:rPr>
          <w:fldChar w:fldCharType="begin"/>
        </w:r>
        <w:r w:rsidRPr="009A27ED">
          <w:rPr>
            <w:noProof/>
            <w:webHidden/>
          </w:rPr>
          <w:instrText xml:space="preserve"> PAGEREF _Toc111838032 \h </w:instrText>
        </w:r>
        <w:r w:rsidRPr="009A27ED">
          <w:rPr>
            <w:noProof/>
            <w:webHidden/>
          </w:rPr>
        </w:r>
        <w:r w:rsidRPr="009A27ED">
          <w:rPr>
            <w:noProof/>
            <w:webHidden/>
          </w:rPr>
          <w:fldChar w:fldCharType="separate"/>
        </w:r>
        <w:r w:rsidR="007953F0" w:rsidRPr="009A27ED">
          <w:rPr>
            <w:noProof/>
            <w:webHidden/>
          </w:rPr>
          <w:t>285</w:t>
        </w:r>
        <w:r w:rsidRPr="009A27ED">
          <w:rPr>
            <w:noProof/>
            <w:webHidden/>
          </w:rPr>
          <w:fldChar w:fldCharType="end"/>
        </w:r>
      </w:hyperlink>
    </w:p>
    <w:p w14:paraId="642BA63A" w14:textId="4B158F8B" w:rsidR="00B65ED1" w:rsidRPr="009A27ED" w:rsidRDefault="00B65ED1">
      <w:pPr>
        <w:pStyle w:val="TDC1"/>
        <w:tabs>
          <w:tab w:val="right" w:leader="dot" w:pos="9394"/>
        </w:tabs>
        <w:spacing w:line="360" w:lineRule="auto"/>
        <w:jc w:val="both"/>
        <w:rPr>
          <w:rFonts w:eastAsiaTheme="minorEastAsia" w:cstheme="minorBidi"/>
          <w:b w:val="0"/>
          <w:bCs w:val="0"/>
          <w:noProof/>
          <w:sz w:val="22"/>
          <w:szCs w:val="22"/>
          <w:lang w:val="en-US"/>
        </w:rPr>
      </w:pPr>
      <w:hyperlink w:anchor="_Toc111838033" w:history="1">
        <w:r w:rsidRPr="009A27ED">
          <w:rPr>
            <w:rStyle w:val="Hipervnculo"/>
            <w:noProof/>
          </w:rPr>
          <w:t>Anexo 6. Guía para la aplicación y seguimiento del cumplimiento de salvaguardas. Manual del usuario</w:t>
        </w:r>
        <w:r w:rsidRPr="009A27ED">
          <w:rPr>
            <w:noProof/>
            <w:webHidden/>
          </w:rPr>
          <w:tab/>
        </w:r>
        <w:r w:rsidRPr="009A27ED">
          <w:rPr>
            <w:noProof/>
            <w:webHidden/>
          </w:rPr>
          <w:fldChar w:fldCharType="begin"/>
        </w:r>
        <w:r w:rsidRPr="009A27ED">
          <w:rPr>
            <w:noProof/>
            <w:webHidden/>
          </w:rPr>
          <w:instrText xml:space="preserve"> PAGEREF _Toc111838033 \h </w:instrText>
        </w:r>
        <w:r w:rsidRPr="009A27ED">
          <w:rPr>
            <w:noProof/>
            <w:webHidden/>
          </w:rPr>
        </w:r>
        <w:r w:rsidRPr="009A27ED">
          <w:rPr>
            <w:noProof/>
            <w:webHidden/>
          </w:rPr>
          <w:fldChar w:fldCharType="separate"/>
        </w:r>
        <w:r w:rsidR="007953F0" w:rsidRPr="009A27ED">
          <w:rPr>
            <w:noProof/>
            <w:webHidden/>
          </w:rPr>
          <w:t>285</w:t>
        </w:r>
        <w:r w:rsidRPr="009A27ED">
          <w:rPr>
            <w:noProof/>
            <w:webHidden/>
          </w:rPr>
          <w:fldChar w:fldCharType="end"/>
        </w:r>
      </w:hyperlink>
    </w:p>
    <w:p w14:paraId="3A70BFBB" w14:textId="66D5347C" w:rsidR="008B7042" w:rsidRPr="009A27ED" w:rsidRDefault="005A46BB" w:rsidP="00002C67">
      <w:pPr>
        <w:spacing w:after="0" w:line="360" w:lineRule="auto"/>
        <w:rPr>
          <w:szCs w:val="22"/>
        </w:rPr>
      </w:pPr>
      <w:r w:rsidRPr="009A27ED">
        <w:rPr>
          <w:rFonts w:ascii="Times New Roman" w:eastAsia="Times New Roman" w:hAnsi="Times New Roman"/>
          <w:b/>
          <w:bCs/>
          <w:sz w:val="24"/>
          <w:szCs w:val="22"/>
        </w:rPr>
        <w:fldChar w:fldCharType="end"/>
      </w:r>
    </w:p>
    <w:p w14:paraId="1D97B9E9" w14:textId="24A3C1D6" w:rsidR="003E5EBE" w:rsidRPr="009A27ED" w:rsidRDefault="003010DC" w:rsidP="003010DC">
      <w:pPr>
        <w:pStyle w:val="Ttulo1"/>
        <w:numPr>
          <w:ilvl w:val="0"/>
          <w:numId w:val="0"/>
        </w:numPr>
        <w:tabs>
          <w:tab w:val="left" w:pos="240"/>
          <w:tab w:val="center" w:pos="4702"/>
        </w:tabs>
        <w:spacing w:line="360" w:lineRule="auto"/>
        <w:jc w:val="both"/>
      </w:pPr>
      <w:bookmarkStart w:id="1" w:name="_Toc111837904"/>
      <w:r w:rsidRPr="009A27ED">
        <w:rPr>
          <w:rFonts w:ascii="Times New Roman" w:eastAsia="Times New Roman" w:hAnsi="Times New Roman"/>
          <w:sz w:val="24"/>
        </w:rPr>
        <w:tab/>
      </w:r>
      <w:r w:rsidRPr="009A27ED">
        <w:rPr>
          <w:rFonts w:ascii="Times New Roman" w:eastAsia="Times New Roman" w:hAnsi="Times New Roman"/>
          <w:sz w:val="24"/>
        </w:rPr>
        <w:tab/>
      </w:r>
      <w:r w:rsidR="00A4383B" w:rsidRPr="009A27ED">
        <w:rPr>
          <w:rFonts w:ascii="Times New Roman" w:eastAsia="Times New Roman" w:hAnsi="Times New Roman"/>
          <w:sz w:val="24"/>
        </w:rPr>
        <w:t xml:space="preserve">Índice de </w:t>
      </w:r>
      <w:r w:rsidR="00C55107" w:rsidRPr="009A27ED">
        <w:rPr>
          <w:rFonts w:ascii="Times New Roman" w:eastAsia="Times New Roman" w:hAnsi="Times New Roman"/>
          <w:sz w:val="24"/>
        </w:rPr>
        <w:t>cuadros</w:t>
      </w:r>
      <w:r w:rsidR="00A4383B" w:rsidRPr="009A27ED">
        <w:rPr>
          <w:rFonts w:ascii="Times New Roman" w:eastAsia="Times New Roman" w:hAnsi="Times New Roman"/>
          <w:sz w:val="24"/>
        </w:rPr>
        <w:t xml:space="preserve"> </w:t>
      </w:r>
      <w:r w:rsidR="003E5EBE" w:rsidRPr="009A27ED">
        <w:rPr>
          <w:rFonts w:ascii="Times New Roman" w:eastAsia="Times New Roman" w:hAnsi="Times New Roman"/>
          <w:sz w:val="24"/>
        </w:rPr>
        <w:t>e ilustraciones</w:t>
      </w:r>
      <w:bookmarkEnd w:id="1"/>
    </w:p>
    <w:p w14:paraId="2E572C09" w14:textId="77777777" w:rsidR="004330D8" w:rsidRPr="009A27ED" w:rsidRDefault="004330D8" w:rsidP="004330D8">
      <w:pPr>
        <w:spacing w:line="360" w:lineRule="auto"/>
        <w:rPr>
          <w:b/>
          <w:sz w:val="28"/>
          <w:szCs w:val="28"/>
        </w:rPr>
      </w:pPr>
    </w:p>
    <w:p w14:paraId="394FEFC8" w14:textId="2F536BB1" w:rsidR="004330D8" w:rsidRPr="009A27ED" w:rsidRDefault="004330D8" w:rsidP="004330D8">
      <w:pPr>
        <w:spacing w:line="360" w:lineRule="auto"/>
        <w:rPr>
          <w:b/>
          <w:sz w:val="28"/>
          <w:szCs w:val="28"/>
        </w:rPr>
      </w:pPr>
      <w:r w:rsidRPr="009A27ED">
        <w:rPr>
          <w:rFonts w:ascii="Times New Roman" w:eastAsia="Times New Roman" w:hAnsi="Times New Roman"/>
          <w:b/>
          <w:sz w:val="24"/>
          <w:szCs w:val="28"/>
        </w:rPr>
        <w:t>Cuadro</w:t>
      </w:r>
    </w:p>
    <w:p w14:paraId="45E71676" w14:textId="080390E0" w:rsidR="00DF3AFC" w:rsidRPr="009A27ED" w:rsidRDefault="00740501">
      <w:pPr>
        <w:pStyle w:val="Tabladeilustraciones"/>
        <w:tabs>
          <w:tab w:val="right" w:leader="dot" w:pos="9394"/>
        </w:tabs>
        <w:spacing w:line="360" w:lineRule="auto"/>
        <w:jc w:val="both"/>
        <w:rPr>
          <w:rFonts w:eastAsiaTheme="minorEastAsia" w:cstheme="minorBidi"/>
          <w:b w:val="0"/>
          <w:noProof/>
          <w:sz w:val="22"/>
          <w:szCs w:val="22"/>
          <w:lang w:val="en-US" w:eastAsia="en-US"/>
        </w:rPr>
      </w:pPr>
      <w:r w:rsidRPr="009A27ED">
        <w:rPr>
          <w:rFonts w:ascii="Times New Roman" w:eastAsia="Times New Roman" w:hAnsi="Times New Roman"/>
          <w:b w:val="0"/>
          <w:sz w:val="24"/>
          <w:szCs w:val="22"/>
        </w:rPr>
        <w:fldChar w:fldCharType="begin"/>
      </w:r>
      <w:r w:rsidRPr="009A27ED">
        <w:rPr>
          <w:rFonts w:ascii="Times New Roman" w:eastAsia="Times New Roman" w:hAnsi="Times New Roman"/>
          <w:b w:val="0"/>
          <w:sz w:val="24"/>
          <w:szCs w:val="22"/>
        </w:rPr>
        <w:instrText xml:space="preserve"> TOC \h \z \c "Cuadro" </w:instrText>
      </w:r>
      <w:r w:rsidRPr="009A27ED">
        <w:rPr>
          <w:rFonts w:ascii="Times New Roman" w:eastAsia="Times New Roman" w:hAnsi="Times New Roman"/>
          <w:b w:val="0"/>
          <w:sz w:val="24"/>
          <w:szCs w:val="22"/>
        </w:rPr>
        <w:fldChar w:fldCharType="separate"/>
      </w:r>
      <w:hyperlink w:anchor="_Toc111887411" w:history="1">
        <w:r w:rsidR="00DF3AFC" w:rsidRPr="009A27ED">
          <w:rPr>
            <w:rStyle w:val="Hipervnculo"/>
            <w:noProof/>
          </w:rPr>
          <w:t>Cuadro 1. Salvaguardas REDD+</w:t>
        </w:r>
        <w:r w:rsidR="00DF3AFC" w:rsidRPr="009A27ED">
          <w:rPr>
            <w:noProof/>
            <w:webHidden/>
          </w:rPr>
          <w:tab/>
        </w:r>
        <w:r w:rsidR="00DF3AFC" w:rsidRPr="009A27ED">
          <w:rPr>
            <w:noProof/>
            <w:webHidden/>
          </w:rPr>
          <w:fldChar w:fldCharType="begin"/>
        </w:r>
        <w:r w:rsidR="00DF3AFC" w:rsidRPr="009A27ED">
          <w:rPr>
            <w:noProof/>
            <w:webHidden/>
          </w:rPr>
          <w:instrText xml:space="preserve"> PAGEREF _Toc111887411 \h </w:instrText>
        </w:r>
        <w:r w:rsidR="00DF3AFC" w:rsidRPr="009A27ED">
          <w:rPr>
            <w:noProof/>
            <w:webHidden/>
          </w:rPr>
        </w:r>
        <w:r w:rsidR="00DF3AFC" w:rsidRPr="009A27ED">
          <w:rPr>
            <w:noProof/>
            <w:webHidden/>
          </w:rPr>
          <w:fldChar w:fldCharType="separate"/>
        </w:r>
        <w:r w:rsidR="00DF3AFC" w:rsidRPr="009A27ED">
          <w:rPr>
            <w:noProof/>
            <w:webHidden/>
          </w:rPr>
          <w:t>25</w:t>
        </w:r>
        <w:r w:rsidR="00DF3AFC" w:rsidRPr="009A27ED">
          <w:rPr>
            <w:noProof/>
            <w:webHidden/>
          </w:rPr>
          <w:fldChar w:fldCharType="end"/>
        </w:r>
      </w:hyperlink>
    </w:p>
    <w:p w14:paraId="4D557EC3" w14:textId="3D6671C1"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12" w:history="1">
        <w:r w:rsidRPr="009A27ED">
          <w:rPr>
            <w:rStyle w:val="Hipervnculo"/>
            <w:noProof/>
          </w:rPr>
          <w:t>Cuadro 2.  Causas directas de la deforestación según orden de prioridad a nivel nacional</w:t>
        </w:r>
        <w:r w:rsidRPr="009A27ED">
          <w:rPr>
            <w:noProof/>
            <w:webHidden/>
          </w:rPr>
          <w:tab/>
        </w:r>
        <w:r w:rsidRPr="009A27ED">
          <w:rPr>
            <w:noProof/>
            <w:webHidden/>
          </w:rPr>
          <w:fldChar w:fldCharType="begin"/>
        </w:r>
        <w:r w:rsidRPr="009A27ED">
          <w:rPr>
            <w:noProof/>
            <w:webHidden/>
          </w:rPr>
          <w:instrText xml:space="preserve"> PAGEREF _Toc111887412 \h </w:instrText>
        </w:r>
        <w:r w:rsidRPr="009A27ED">
          <w:rPr>
            <w:noProof/>
            <w:webHidden/>
          </w:rPr>
        </w:r>
        <w:r w:rsidRPr="009A27ED">
          <w:rPr>
            <w:noProof/>
            <w:webHidden/>
          </w:rPr>
          <w:fldChar w:fldCharType="separate"/>
        </w:r>
        <w:r w:rsidRPr="009A27ED">
          <w:rPr>
            <w:noProof/>
            <w:webHidden/>
          </w:rPr>
          <w:t>28</w:t>
        </w:r>
        <w:r w:rsidRPr="009A27ED">
          <w:rPr>
            <w:noProof/>
            <w:webHidden/>
          </w:rPr>
          <w:fldChar w:fldCharType="end"/>
        </w:r>
      </w:hyperlink>
    </w:p>
    <w:p w14:paraId="63ECED22" w14:textId="661F3983"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13" w:history="1">
        <w:r w:rsidRPr="009A27ED">
          <w:rPr>
            <w:rStyle w:val="Hipervnculo"/>
            <w:noProof/>
          </w:rPr>
          <w:t>Cuadro 3. Causas directas de la degradación de los bosques según orden de prioridad a nivel nacional</w:t>
        </w:r>
        <w:r w:rsidRPr="009A27ED">
          <w:rPr>
            <w:noProof/>
            <w:webHidden/>
          </w:rPr>
          <w:tab/>
        </w:r>
        <w:r w:rsidRPr="009A27ED">
          <w:rPr>
            <w:noProof/>
            <w:webHidden/>
          </w:rPr>
          <w:fldChar w:fldCharType="begin"/>
        </w:r>
        <w:r w:rsidRPr="009A27ED">
          <w:rPr>
            <w:noProof/>
            <w:webHidden/>
          </w:rPr>
          <w:instrText xml:space="preserve"> PAGEREF _Toc111887413 \h </w:instrText>
        </w:r>
        <w:r w:rsidRPr="009A27ED">
          <w:rPr>
            <w:noProof/>
            <w:webHidden/>
          </w:rPr>
        </w:r>
        <w:r w:rsidRPr="009A27ED">
          <w:rPr>
            <w:noProof/>
            <w:webHidden/>
          </w:rPr>
          <w:fldChar w:fldCharType="separate"/>
        </w:r>
        <w:r w:rsidRPr="009A27ED">
          <w:rPr>
            <w:noProof/>
            <w:webHidden/>
          </w:rPr>
          <w:t>28</w:t>
        </w:r>
        <w:r w:rsidRPr="009A27ED">
          <w:rPr>
            <w:noProof/>
            <w:webHidden/>
          </w:rPr>
          <w:fldChar w:fldCharType="end"/>
        </w:r>
      </w:hyperlink>
    </w:p>
    <w:p w14:paraId="13521994" w14:textId="5534F757"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14" w:history="1">
        <w:r w:rsidRPr="009A27ED">
          <w:rPr>
            <w:rStyle w:val="Hipervnculo"/>
            <w:noProof/>
          </w:rPr>
          <w:t>Cuadro 4. Causas indirectas de la deforestación y degradación de los bosques según orden de prioridad a nivel nacional</w:t>
        </w:r>
        <w:r w:rsidRPr="009A27ED">
          <w:rPr>
            <w:noProof/>
            <w:webHidden/>
          </w:rPr>
          <w:tab/>
        </w:r>
        <w:r w:rsidRPr="009A27ED">
          <w:rPr>
            <w:noProof/>
            <w:webHidden/>
          </w:rPr>
          <w:fldChar w:fldCharType="begin"/>
        </w:r>
        <w:r w:rsidRPr="009A27ED">
          <w:rPr>
            <w:noProof/>
            <w:webHidden/>
          </w:rPr>
          <w:instrText xml:space="preserve"> PAGEREF _Toc111887414 \h </w:instrText>
        </w:r>
        <w:r w:rsidRPr="009A27ED">
          <w:rPr>
            <w:noProof/>
            <w:webHidden/>
          </w:rPr>
        </w:r>
        <w:r w:rsidRPr="009A27ED">
          <w:rPr>
            <w:noProof/>
            <w:webHidden/>
          </w:rPr>
          <w:fldChar w:fldCharType="separate"/>
        </w:r>
        <w:r w:rsidRPr="009A27ED">
          <w:rPr>
            <w:noProof/>
            <w:webHidden/>
          </w:rPr>
          <w:t>29</w:t>
        </w:r>
        <w:r w:rsidRPr="009A27ED">
          <w:rPr>
            <w:noProof/>
            <w:webHidden/>
          </w:rPr>
          <w:fldChar w:fldCharType="end"/>
        </w:r>
      </w:hyperlink>
    </w:p>
    <w:p w14:paraId="4FAC0FA4" w14:textId="4DC53F6D"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15" w:history="1">
        <w:r w:rsidRPr="009A27ED">
          <w:rPr>
            <w:rStyle w:val="Hipervnculo"/>
            <w:noProof/>
          </w:rPr>
          <w:t>Cuadro 5 . Opciones y acciones estratégicas: alcance y causal que aborda</w:t>
        </w:r>
        <w:r w:rsidRPr="009A27ED">
          <w:rPr>
            <w:noProof/>
            <w:webHidden/>
          </w:rPr>
          <w:tab/>
        </w:r>
        <w:r w:rsidRPr="009A27ED">
          <w:rPr>
            <w:noProof/>
            <w:webHidden/>
          </w:rPr>
          <w:fldChar w:fldCharType="begin"/>
        </w:r>
        <w:r w:rsidRPr="009A27ED">
          <w:rPr>
            <w:noProof/>
            <w:webHidden/>
          </w:rPr>
          <w:instrText xml:space="preserve"> PAGEREF _Toc111887415 \h </w:instrText>
        </w:r>
        <w:r w:rsidRPr="009A27ED">
          <w:rPr>
            <w:noProof/>
            <w:webHidden/>
          </w:rPr>
        </w:r>
        <w:r w:rsidRPr="009A27ED">
          <w:rPr>
            <w:noProof/>
            <w:webHidden/>
          </w:rPr>
          <w:fldChar w:fldCharType="separate"/>
        </w:r>
        <w:r w:rsidRPr="009A27ED">
          <w:rPr>
            <w:noProof/>
            <w:webHidden/>
          </w:rPr>
          <w:t>46</w:t>
        </w:r>
        <w:r w:rsidRPr="009A27ED">
          <w:rPr>
            <w:noProof/>
            <w:webHidden/>
          </w:rPr>
          <w:fldChar w:fldCharType="end"/>
        </w:r>
      </w:hyperlink>
    </w:p>
    <w:p w14:paraId="16E0EE5B" w14:textId="40DCFE7D"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16" w:history="1">
        <w:r w:rsidRPr="009A27ED">
          <w:rPr>
            <w:rStyle w:val="Hipervnculo"/>
            <w:noProof/>
          </w:rPr>
          <w:t>Cuadro 6. . Lista de Planes, Sistemas, Programas y Proyectos seleccionados para la EN-REDD+ y acciones tipo que desarrollan.</w:t>
        </w:r>
        <w:r w:rsidRPr="009A27ED">
          <w:rPr>
            <w:noProof/>
            <w:webHidden/>
          </w:rPr>
          <w:tab/>
        </w:r>
        <w:r w:rsidRPr="009A27ED">
          <w:rPr>
            <w:noProof/>
            <w:webHidden/>
          </w:rPr>
          <w:fldChar w:fldCharType="begin"/>
        </w:r>
        <w:r w:rsidRPr="009A27ED">
          <w:rPr>
            <w:noProof/>
            <w:webHidden/>
          </w:rPr>
          <w:instrText xml:space="preserve"> PAGEREF _Toc111887416 \h </w:instrText>
        </w:r>
        <w:r w:rsidRPr="009A27ED">
          <w:rPr>
            <w:noProof/>
            <w:webHidden/>
          </w:rPr>
        </w:r>
        <w:r w:rsidRPr="009A27ED">
          <w:rPr>
            <w:noProof/>
            <w:webHidden/>
          </w:rPr>
          <w:fldChar w:fldCharType="separate"/>
        </w:r>
        <w:r w:rsidRPr="009A27ED">
          <w:rPr>
            <w:noProof/>
            <w:webHidden/>
          </w:rPr>
          <w:t>56</w:t>
        </w:r>
        <w:r w:rsidRPr="009A27ED">
          <w:rPr>
            <w:noProof/>
            <w:webHidden/>
          </w:rPr>
          <w:fldChar w:fldCharType="end"/>
        </w:r>
      </w:hyperlink>
    </w:p>
    <w:p w14:paraId="4E24E27D" w14:textId="78FE8343"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17" w:history="1">
        <w:r w:rsidRPr="009A27ED">
          <w:rPr>
            <w:rStyle w:val="Hipervnculo"/>
            <w:noProof/>
          </w:rPr>
          <w:t>Cuadro 7. . Actividades tipo para REDD+</w:t>
        </w:r>
        <w:r w:rsidRPr="009A27ED">
          <w:rPr>
            <w:noProof/>
            <w:webHidden/>
          </w:rPr>
          <w:tab/>
        </w:r>
        <w:r w:rsidRPr="009A27ED">
          <w:rPr>
            <w:noProof/>
            <w:webHidden/>
          </w:rPr>
          <w:fldChar w:fldCharType="begin"/>
        </w:r>
        <w:r w:rsidRPr="009A27ED">
          <w:rPr>
            <w:noProof/>
            <w:webHidden/>
          </w:rPr>
          <w:instrText xml:space="preserve"> PAGEREF _Toc111887417 \h </w:instrText>
        </w:r>
        <w:r w:rsidRPr="009A27ED">
          <w:rPr>
            <w:noProof/>
            <w:webHidden/>
          </w:rPr>
        </w:r>
        <w:r w:rsidRPr="009A27ED">
          <w:rPr>
            <w:noProof/>
            <w:webHidden/>
          </w:rPr>
          <w:fldChar w:fldCharType="separate"/>
        </w:r>
        <w:r w:rsidRPr="009A27ED">
          <w:rPr>
            <w:noProof/>
            <w:webHidden/>
          </w:rPr>
          <w:t>70</w:t>
        </w:r>
        <w:r w:rsidRPr="009A27ED">
          <w:rPr>
            <w:noProof/>
            <w:webHidden/>
          </w:rPr>
          <w:fldChar w:fldCharType="end"/>
        </w:r>
      </w:hyperlink>
    </w:p>
    <w:p w14:paraId="7811AF8C" w14:textId="30F95A12"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18" w:history="1">
        <w:r w:rsidRPr="009A27ED">
          <w:rPr>
            <w:rStyle w:val="Hipervnculo"/>
            <w:noProof/>
          </w:rPr>
          <w:t>Cuadro 8.  . Áreas geográficas priorizadas con sus municipios para implementar las acciones estratégicas REDD+</w:t>
        </w:r>
        <w:r w:rsidRPr="009A27ED">
          <w:rPr>
            <w:noProof/>
            <w:webHidden/>
          </w:rPr>
          <w:tab/>
        </w:r>
        <w:r w:rsidRPr="009A27ED">
          <w:rPr>
            <w:noProof/>
            <w:webHidden/>
          </w:rPr>
          <w:fldChar w:fldCharType="begin"/>
        </w:r>
        <w:r w:rsidRPr="009A27ED">
          <w:rPr>
            <w:noProof/>
            <w:webHidden/>
          </w:rPr>
          <w:instrText xml:space="preserve"> PAGEREF _Toc111887418 \h </w:instrText>
        </w:r>
        <w:r w:rsidRPr="009A27ED">
          <w:rPr>
            <w:noProof/>
            <w:webHidden/>
          </w:rPr>
        </w:r>
        <w:r w:rsidRPr="009A27ED">
          <w:rPr>
            <w:noProof/>
            <w:webHidden/>
          </w:rPr>
          <w:fldChar w:fldCharType="separate"/>
        </w:r>
        <w:r w:rsidRPr="009A27ED">
          <w:rPr>
            <w:noProof/>
            <w:webHidden/>
          </w:rPr>
          <w:t>76</w:t>
        </w:r>
        <w:r w:rsidRPr="009A27ED">
          <w:rPr>
            <w:noProof/>
            <w:webHidden/>
          </w:rPr>
          <w:fldChar w:fldCharType="end"/>
        </w:r>
      </w:hyperlink>
    </w:p>
    <w:p w14:paraId="59887B67" w14:textId="0FC4AC56"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19" w:history="1">
        <w:r w:rsidRPr="009A27ED">
          <w:rPr>
            <w:rStyle w:val="Hipervnculo"/>
            <w:noProof/>
          </w:rPr>
          <w:t>Cuadro 9. Cuencas hidrográficas presentes en las áreas priorizadas</w:t>
        </w:r>
        <w:r w:rsidRPr="009A27ED">
          <w:rPr>
            <w:noProof/>
            <w:webHidden/>
          </w:rPr>
          <w:tab/>
        </w:r>
        <w:r w:rsidRPr="009A27ED">
          <w:rPr>
            <w:noProof/>
            <w:webHidden/>
          </w:rPr>
          <w:fldChar w:fldCharType="begin"/>
        </w:r>
        <w:r w:rsidRPr="009A27ED">
          <w:rPr>
            <w:noProof/>
            <w:webHidden/>
          </w:rPr>
          <w:instrText xml:space="preserve"> PAGEREF _Toc111887419 \h </w:instrText>
        </w:r>
        <w:r w:rsidRPr="009A27ED">
          <w:rPr>
            <w:noProof/>
            <w:webHidden/>
          </w:rPr>
        </w:r>
        <w:r w:rsidRPr="009A27ED">
          <w:rPr>
            <w:noProof/>
            <w:webHidden/>
          </w:rPr>
          <w:fldChar w:fldCharType="separate"/>
        </w:r>
        <w:r w:rsidRPr="009A27ED">
          <w:rPr>
            <w:noProof/>
            <w:webHidden/>
          </w:rPr>
          <w:t>80</w:t>
        </w:r>
        <w:r w:rsidRPr="009A27ED">
          <w:rPr>
            <w:noProof/>
            <w:webHidden/>
          </w:rPr>
          <w:fldChar w:fldCharType="end"/>
        </w:r>
      </w:hyperlink>
    </w:p>
    <w:p w14:paraId="63F30DD6" w14:textId="542D0CD7"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20" w:history="1">
        <w:r w:rsidRPr="009A27ED">
          <w:rPr>
            <w:rStyle w:val="Hipervnculo"/>
            <w:noProof/>
          </w:rPr>
          <w:t>Cuadro 10. . Datos de los distritos de riego</w:t>
        </w:r>
        <w:r w:rsidRPr="009A27ED">
          <w:rPr>
            <w:noProof/>
            <w:webHidden/>
          </w:rPr>
          <w:tab/>
        </w:r>
        <w:r w:rsidRPr="009A27ED">
          <w:rPr>
            <w:noProof/>
            <w:webHidden/>
          </w:rPr>
          <w:fldChar w:fldCharType="begin"/>
        </w:r>
        <w:r w:rsidRPr="009A27ED">
          <w:rPr>
            <w:noProof/>
            <w:webHidden/>
          </w:rPr>
          <w:instrText xml:space="preserve"> PAGEREF _Toc111887420 \h </w:instrText>
        </w:r>
        <w:r w:rsidRPr="009A27ED">
          <w:rPr>
            <w:noProof/>
            <w:webHidden/>
          </w:rPr>
        </w:r>
        <w:r w:rsidRPr="009A27ED">
          <w:rPr>
            <w:noProof/>
            <w:webHidden/>
          </w:rPr>
          <w:fldChar w:fldCharType="separate"/>
        </w:r>
        <w:r w:rsidRPr="009A27ED">
          <w:rPr>
            <w:noProof/>
            <w:webHidden/>
          </w:rPr>
          <w:t>81</w:t>
        </w:r>
        <w:r w:rsidRPr="009A27ED">
          <w:rPr>
            <w:noProof/>
            <w:webHidden/>
          </w:rPr>
          <w:fldChar w:fldCharType="end"/>
        </w:r>
      </w:hyperlink>
    </w:p>
    <w:p w14:paraId="7E66A866" w14:textId="6E5399EE"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21" w:history="1">
        <w:r w:rsidRPr="009A27ED">
          <w:rPr>
            <w:rStyle w:val="Hipervnculo"/>
            <w:noProof/>
          </w:rPr>
          <w:t>Cuadro 11. Características de suelos en las áreas priorizadas</w:t>
        </w:r>
        <w:r w:rsidRPr="009A27ED">
          <w:rPr>
            <w:noProof/>
            <w:webHidden/>
          </w:rPr>
          <w:tab/>
        </w:r>
        <w:r w:rsidRPr="009A27ED">
          <w:rPr>
            <w:noProof/>
            <w:webHidden/>
          </w:rPr>
          <w:fldChar w:fldCharType="begin"/>
        </w:r>
        <w:r w:rsidRPr="009A27ED">
          <w:rPr>
            <w:noProof/>
            <w:webHidden/>
          </w:rPr>
          <w:instrText xml:space="preserve"> PAGEREF _Toc111887421 \h </w:instrText>
        </w:r>
        <w:r w:rsidRPr="009A27ED">
          <w:rPr>
            <w:noProof/>
            <w:webHidden/>
          </w:rPr>
        </w:r>
        <w:r w:rsidRPr="009A27ED">
          <w:rPr>
            <w:noProof/>
            <w:webHidden/>
          </w:rPr>
          <w:fldChar w:fldCharType="separate"/>
        </w:r>
        <w:r w:rsidRPr="009A27ED">
          <w:rPr>
            <w:noProof/>
            <w:webHidden/>
          </w:rPr>
          <w:t>81</w:t>
        </w:r>
        <w:r w:rsidRPr="009A27ED">
          <w:rPr>
            <w:noProof/>
            <w:webHidden/>
          </w:rPr>
          <w:fldChar w:fldCharType="end"/>
        </w:r>
      </w:hyperlink>
    </w:p>
    <w:p w14:paraId="43575335" w14:textId="3B0C1ADC"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22" w:history="1">
        <w:r w:rsidRPr="009A27ED">
          <w:rPr>
            <w:rStyle w:val="Hipervnculo"/>
            <w:noProof/>
          </w:rPr>
          <w:t>Cuadro 12.  Capacidad productiva de los suelos por áreas priorizadas</w:t>
        </w:r>
        <w:r w:rsidRPr="009A27ED">
          <w:rPr>
            <w:noProof/>
            <w:webHidden/>
          </w:rPr>
          <w:tab/>
        </w:r>
        <w:r w:rsidRPr="009A27ED">
          <w:rPr>
            <w:noProof/>
            <w:webHidden/>
          </w:rPr>
          <w:fldChar w:fldCharType="begin"/>
        </w:r>
        <w:r w:rsidRPr="009A27ED">
          <w:rPr>
            <w:noProof/>
            <w:webHidden/>
          </w:rPr>
          <w:instrText xml:space="preserve"> PAGEREF _Toc111887422 \h </w:instrText>
        </w:r>
        <w:r w:rsidRPr="009A27ED">
          <w:rPr>
            <w:noProof/>
            <w:webHidden/>
          </w:rPr>
        </w:r>
        <w:r w:rsidRPr="009A27ED">
          <w:rPr>
            <w:noProof/>
            <w:webHidden/>
          </w:rPr>
          <w:fldChar w:fldCharType="separate"/>
        </w:r>
        <w:r w:rsidRPr="009A27ED">
          <w:rPr>
            <w:noProof/>
            <w:webHidden/>
          </w:rPr>
          <w:t>83</w:t>
        </w:r>
        <w:r w:rsidRPr="009A27ED">
          <w:rPr>
            <w:noProof/>
            <w:webHidden/>
          </w:rPr>
          <w:fldChar w:fldCharType="end"/>
        </w:r>
      </w:hyperlink>
    </w:p>
    <w:p w14:paraId="081FDF5D" w14:textId="45CF3713"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23" w:history="1">
        <w:r w:rsidRPr="009A27ED">
          <w:rPr>
            <w:rStyle w:val="Hipervnculo"/>
            <w:noProof/>
          </w:rPr>
          <w:t xml:space="preserve">Cuadro 13. </w:t>
        </w:r>
        <w:r w:rsidRPr="009A27ED">
          <w:rPr>
            <w:rStyle w:val="Hipervnculo"/>
            <w:noProof/>
            <w:lang w:val="pt-BR"/>
          </w:rPr>
          <w:t>Principales eventos extremos período 1998-2018</w:t>
        </w:r>
        <w:r w:rsidRPr="009A27ED">
          <w:rPr>
            <w:noProof/>
            <w:webHidden/>
          </w:rPr>
          <w:tab/>
        </w:r>
        <w:r w:rsidRPr="009A27ED">
          <w:rPr>
            <w:noProof/>
            <w:webHidden/>
          </w:rPr>
          <w:fldChar w:fldCharType="begin"/>
        </w:r>
        <w:r w:rsidRPr="009A27ED">
          <w:rPr>
            <w:noProof/>
            <w:webHidden/>
          </w:rPr>
          <w:instrText xml:space="preserve"> PAGEREF _Toc111887423 \h </w:instrText>
        </w:r>
        <w:r w:rsidRPr="009A27ED">
          <w:rPr>
            <w:noProof/>
            <w:webHidden/>
          </w:rPr>
        </w:r>
        <w:r w:rsidRPr="009A27ED">
          <w:rPr>
            <w:noProof/>
            <w:webHidden/>
          </w:rPr>
          <w:fldChar w:fldCharType="separate"/>
        </w:r>
        <w:r w:rsidRPr="009A27ED">
          <w:rPr>
            <w:noProof/>
            <w:webHidden/>
          </w:rPr>
          <w:t>84</w:t>
        </w:r>
        <w:r w:rsidRPr="009A27ED">
          <w:rPr>
            <w:noProof/>
            <w:webHidden/>
          </w:rPr>
          <w:fldChar w:fldCharType="end"/>
        </w:r>
      </w:hyperlink>
    </w:p>
    <w:p w14:paraId="49C8B4B9" w14:textId="732EBCF6"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24" w:history="1">
        <w:r w:rsidRPr="009A27ED">
          <w:rPr>
            <w:rStyle w:val="Hipervnculo"/>
            <w:noProof/>
          </w:rPr>
          <w:t>Cuadro 14</w:t>
        </w:r>
        <w:r w:rsidRPr="009A27ED">
          <w:rPr>
            <w:rStyle w:val="Hipervnculo"/>
            <w:noProof/>
            <w:lang w:val="pt-BR"/>
          </w:rPr>
          <w:t>. Cobertura de áreas protegidas por área priorizada</w:t>
        </w:r>
        <w:r w:rsidRPr="009A27ED">
          <w:rPr>
            <w:noProof/>
            <w:webHidden/>
          </w:rPr>
          <w:tab/>
        </w:r>
        <w:r w:rsidRPr="009A27ED">
          <w:rPr>
            <w:noProof/>
            <w:webHidden/>
          </w:rPr>
          <w:fldChar w:fldCharType="begin"/>
        </w:r>
        <w:r w:rsidRPr="009A27ED">
          <w:rPr>
            <w:noProof/>
            <w:webHidden/>
          </w:rPr>
          <w:instrText xml:space="preserve"> PAGEREF _Toc111887424 \h </w:instrText>
        </w:r>
        <w:r w:rsidRPr="009A27ED">
          <w:rPr>
            <w:noProof/>
            <w:webHidden/>
          </w:rPr>
        </w:r>
        <w:r w:rsidRPr="009A27ED">
          <w:rPr>
            <w:noProof/>
            <w:webHidden/>
          </w:rPr>
          <w:fldChar w:fldCharType="separate"/>
        </w:r>
        <w:r w:rsidRPr="009A27ED">
          <w:rPr>
            <w:noProof/>
            <w:webHidden/>
          </w:rPr>
          <w:t>87</w:t>
        </w:r>
        <w:r w:rsidRPr="009A27ED">
          <w:rPr>
            <w:noProof/>
            <w:webHidden/>
          </w:rPr>
          <w:fldChar w:fldCharType="end"/>
        </w:r>
      </w:hyperlink>
    </w:p>
    <w:p w14:paraId="33C9F10E" w14:textId="22A45783"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25" w:history="1">
        <w:r w:rsidRPr="009A27ED">
          <w:rPr>
            <w:rStyle w:val="Hipervnculo"/>
            <w:noProof/>
          </w:rPr>
          <w:t>Cuadro 15.  Zonas de vida en las áreas priorizadas</w:t>
        </w:r>
        <w:r w:rsidRPr="009A27ED">
          <w:rPr>
            <w:noProof/>
            <w:webHidden/>
          </w:rPr>
          <w:tab/>
        </w:r>
        <w:r w:rsidRPr="009A27ED">
          <w:rPr>
            <w:noProof/>
            <w:webHidden/>
          </w:rPr>
          <w:fldChar w:fldCharType="begin"/>
        </w:r>
        <w:r w:rsidRPr="009A27ED">
          <w:rPr>
            <w:noProof/>
            <w:webHidden/>
          </w:rPr>
          <w:instrText xml:space="preserve"> PAGEREF _Toc111887425 \h </w:instrText>
        </w:r>
        <w:r w:rsidRPr="009A27ED">
          <w:rPr>
            <w:noProof/>
            <w:webHidden/>
          </w:rPr>
        </w:r>
        <w:r w:rsidRPr="009A27ED">
          <w:rPr>
            <w:noProof/>
            <w:webHidden/>
          </w:rPr>
          <w:fldChar w:fldCharType="separate"/>
        </w:r>
        <w:r w:rsidRPr="009A27ED">
          <w:rPr>
            <w:noProof/>
            <w:webHidden/>
          </w:rPr>
          <w:t>91</w:t>
        </w:r>
        <w:r w:rsidRPr="009A27ED">
          <w:rPr>
            <w:noProof/>
            <w:webHidden/>
          </w:rPr>
          <w:fldChar w:fldCharType="end"/>
        </w:r>
      </w:hyperlink>
    </w:p>
    <w:p w14:paraId="65316360" w14:textId="56BD8A83"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26" w:history="1">
        <w:r w:rsidRPr="009A27ED">
          <w:rPr>
            <w:rStyle w:val="Hipervnculo"/>
            <w:noProof/>
          </w:rPr>
          <w:t>Cuadro 16 .  Usos de suelo de las Áreas Priorizadas para REDD+ en República Dominicana</w:t>
        </w:r>
        <w:r w:rsidRPr="009A27ED">
          <w:rPr>
            <w:noProof/>
            <w:webHidden/>
          </w:rPr>
          <w:tab/>
        </w:r>
        <w:r w:rsidRPr="009A27ED">
          <w:rPr>
            <w:noProof/>
            <w:webHidden/>
          </w:rPr>
          <w:fldChar w:fldCharType="begin"/>
        </w:r>
        <w:r w:rsidRPr="009A27ED">
          <w:rPr>
            <w:noProof/>
            <w:webHidden/>
          </w:rPr>
          <w:instrText xml:space="preserve"> PAGEREF _Toc111887426 \h </w:instrText>
        </w:r>
        <w:r w:rsidRPr="009A27ED">
          <w:rPr>
            <w:noProof/>
            <w:webHidden/>
          </w:rPr>
        </w:r>
        <w:r w:rsidRPr="009A27ED">
          <w:rPr>
            <w:noProof/>
            <w:webHidden/>
          </w:rPr>
          <w:fldChar w:fldCharType="separate"/>
        </w:r>
        <w:r w:rsidRPr="009A27ED">
          <w:rPr>
            <w:noProof/>
            <w:webHidden/>
          </w:rPr>
          <w:t>92</w:t>
        </w:r>
        <w:r w:rsidRPr="009A27ED">
          <w:rPr>
            <w:noProof/>
            <w:webHidden/>
          </w:rPr>
          <w:fldChar w:fldCharType="end"/>
        </w:r>
      </w:hyperlink>
    </w:p>
    <w:p w14:paraId="32BE4A0B" w14:textId="683C6884"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27" w:history="1">
        <w:r w:rsidRPr="009A27ED">
          <w:rPr>
            <w:rStyle w:val="Hipervnculo"/>
            <w:noProof/>
          </w:rPr>
          <w:t>Cuadro 17. Pendiente en las áreas priorizadas</w:t>
        </w:r>
        <w:r w:rsidRPr="009A27ED">
          <w:rPr>
            <w:noProof/>
            <w:webHidden/>
          </w:rPr>
          <w:tab/>
        </w:r>
        <w:r w:rsidRPr="009A27ED">
          <w:rPr>
            <w:noProof/>
            <w:webHidden/>
          </w:rPr>
          <w:fldChar w:fldCharType="begin"/>
        </w:r>
        <w:r w:rsidRPr="009A27ED">
          <w:rPr>
            <w:noProof/>
            <w:webHidden/>
          </w:rPr>
          <w:instrText xml:space="preserve"> PAGEREF _Toc111887427 \h </w:instrText>
        </w:r>
        <w:r w:rsidRPr="009A27ED">
          <w:rPr>
            <w:noProof/>
            <w:webHidden/>
          </w:rPr>
        </w:r>
        <w:r w:rsidRPr="009A27ED">
          <w:rPr>
            <w:noProof/>
            <w:webHidden/>
          </w:rPr>
          <w:fldChar w:fldCharType="separate"/>
        </w:r>
        <w:r w:rsidRPr="009A27ED">
          <w:rPr>
            <w:noProof/>
            <w:webHidden/>
          </w:rPr>
          <w:t>93</w:t>
        </w:r>
        <w:r w:rsidRPr="009A27ED">
          <w:rPr>
            <w:noProof/>
            <w:webHidden/>
          </w:rPr>
          <w:fldChar w:fldCharType="end"/>
        </w:r>
      </w:hyperlink>
    </w:p>
    <w:p w14:paraId="492B5E9D" w14:textId="676A987C"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28" w:history="1">
        <w:r w:rsidRPr="009A27ED">
          <w:rPr>
            <w:rStyle w:val="Hipervnculo"/>
            <w:noProof/>
          </w:rPr>
          <w:t>Cuadro 18</w:t>
        </w:r>
        <w:r w:rsidRPr="009A27ED">
          <w:rPr>
            <w:rStyle w:val="Hipervnculo"/>
            <w:i/>
            <w:noProof/>
          </w:rPr>
          <w:t>. Procesos críticos, áreas afectadas y causas</w:t>
        </w:r>
        <w:r w:rsidRPr="009A27ED">
          <w:rPr>
            <w:noProof/>
            <w:webHidden/>
          </w:rPr>
          <w:tab/>
        </w:r>
        <w:r w:rsidRPr="009A27ED">
          <w:rPr>
            <w:noProof/>
            <w:webHidden/>
          </w:rPr>
          <w:fldChar w:fldCharType="begin"/>
        </w:r>
        <w:r w:rsidRPr="009A27ED">
          <w:rPr>
            <w:noProof/>
            <w:webHidden/>
          </w:rPr>
          <w:instrText xml:space="preserve"> PAGEREF _Toc111887428 \h </w:instrText>
        </w:r>
        <w:r w:rsidRPr="009A27ED">
          <w:rPr>
            <w:noProof/>
            <w:webHidden/>
          </w:rPr>
        </w:r>
        <w:r w:rsidRPr="009A27ED">
          <w:rPr>
            <w:noProof/>
            <w:webHidden/>
          </w:rPr>
          <w:fldChar w:fldCharType="separate"/>
        </w:r>
        <w:r w:rsidRPr="009A27ED">
          <w:rPr>
            <w:noProof/>
            <w:webHidden/>
          </w:rPr>
          <w:t>94</w:t>
        </w:r>
        <w:r w:rsidRPr="009A27ED">
          <w:rPr>
            <w:noProof/>
            <w:webHidden/>
          </w:rPr>
          <w:fldChar w:fldCharType="end"/>
        </w:r>
      </w:hyperlink>
    </w:p>
    <w:p w14:paraId="1FD985FA" w14:textId="11FE0CB4"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29" w:history="1">
        <w:r w:rsidRPr="009A27ED">
          <w:rPr>
            <w:rStyle w:val="Hipervnculo"/>
            <w:noProof/>
          </w:rPr>
          <w:t>Cuadro 19. Procesos Críticos y Factores Controlantes Claves</w:t>
        </w:r>
        <w:r w:rsidRPr="009A27ED">
          <w:rPr>
            <w:noProof/>
            <w:webHidden/>
          </w:rPr>
          <w:tab/>
        </w:r>
        <w:r w:rsidRPr="009A27ED">
          <w:rPr>
            <w:noProof/>
            <w:webHidden/>
          </w:rPr>
          <w:fldChar w:fldCharType="begin"/>
        </w:r>
        <w:r w:rsidRPr="009A27ED">
          <w:rPr>
            <w:noProof/>
            <w:webHidden/>
          </w:rPr>
          <w:instrText xml:space="preserve"> PAGEREF _Toc111887429 \h </w:instrText>
        </w:r>
        <w:r w:rsidRPr="009A27ED">
          <w:rPr>
            <w:noProof/>
            <w:webHidden/>
          </w:rPr>
        </w:r>
        <w:r w:rsidRPr="009A27ED">
          <w:rPr>
            <w:noProof/>
            <w:webHidden/>
          </w:rPr>
          <w:fldChar w:fldCharType="separate"/>
        </w:r>
        <w:r w:rsidRPr="009A27ED">
          <w:rPr>
            <w:noProof/>
            <w:webHidden/>
          </w:rPr>
          <w:t>95</w:t>
        </w:r>
        <w:r w:rsidRPr="009A27ED">
          <w:rPr>
            <w:noProof/>
            <w:webHidden/>
          </w:rPr>
          <w:fldChar w:fldCharType="end"/>
        </w:r>
      </w:hyperlink>
    </w:p>
    <w:p w14:paraId="76F59299" w14:textId="74E8170C"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30" w:history="1">
        <w:r w:rsidRPr="009A27ED">
          <w:rPr>
            <w:rStyle w:val="Hipervnculo"/>
            <w:noProof/>
          </w:rPr>
          <w:t>Cuadro 20. Cambio en Cobertura Boscosa en el Período 1996-2012</w:t>
        </w:r>
        <w:r w:rsidRPr="009A27ED">
          <w:rPr>
            <w:noProof/>
            <w:webHidden/>
          </w:rPr>
          <w:tab/>
        </w:r>
        <w:r w:rsidRPr="009A27ED">
          <w:rPr>
            <w:noProof/>
            <w:webHidden/>
          </w:rPr>
          <w:fldChar w:fldCharType="begin"/>
        </w:r>
        <w:r w:rsidRPr="009A27ED">
          <w:rPr>
            <w:noProof/>
            <w:webHidden/>
          </w:rPr>
          <w:instrText xml:space="preserve"> PAGEREF _Toc111887430 \h </w:instrText>
        </w:r>
        <w:r w:rsidRPr="009A27ED">
          <w:rPr>
            <w:noProof/>
            <w:webHidden/>
          </w:rPr>
        </w:r>
        <w:r w:rsidRPr="009A27ED">
          <w:rPr>
            <w:noProof/>
            <w:webHidden/>
          </w:rPr>
          <w:fldChar w:fldCharType="separate"/>
        </w:r>
        <w:r w:rsidRPr="009A27ED">
          <w:rPr>
            <w:noProof/>
            <w:webHidden/>
          </w:rPr>
          <w:t>95</w:t>
        </w:r>
        <w:r w:rsidRPr="009A27ED">
          <w:rPr>
            <w:noProof/>
            <w:webHidden/>
          </w:rPr>
          <w:fldChar w:fldCharType="end"/>
        </w:r>
      </w:hyperlink>
    </w:p>
    <w:p w14:paraId="4605DC10" w14:textId="0BD1563C"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31" w:history="1">
        <w:r w:rsidRPr="009A27ED">
          <w:rPr>
            <w:rStyle w:val="Hipervnculo"/>
            <w:noProof/>
          </w:rPr>
          <w:t>Cuadro 21. Modelo metropolitano</w:t>
        </w:r>
        <w:r w:rsidRPr="009A27ED">
          <w:rPr>
            <w:noProof/>
            <w:webHidden/>
          </w:rPr>
          <w:tab/>
        </w:r>
        <w:r w:rsidRPr="009A27ED">
          <w:rPr>
            <w:noProof/>
            <w:webHidden/>
          </w:rPr>
          <w:fldChar w:fldCharType="begin"/>
        </w:r>
        <w:r w:rsidRPr="009A27ED">
          <w:rPr>
            <w:noProof/>
            <w:webHidden/>
          </w:rPr>
          <w:instrText xml:space="preserve"> PAGEREF _Toc111887431 \h </w:instrText>
        </w:r>
        <w:r w:rsidRPr="009A27ED">
          <w:rPr>
            <w:noProof/>
            <w:webHidden/>
          </w:rPr>
        </w:r>
        <w:r w:rsidRPr="009A27ED">
          <w:rPr>
            <w:noProof/>
            <w:webHidden/>
          </w:rPr>
          <w:fldChar w:fldCharType="separate"/>
        </w:r>
        <w:r w:rsidRPr="009A27ED">
          <w:rPr>
            <w:noProof/>
            <w:webHidden/>
          </w:rPr>
          <w:t>96</w:t>
        </w:r>
        <w:r w:rsidRPr="009A27ED">
          <w:rPr>
            <w:noProof/>
            <w:webHidden/>
          </w:rPr>
          <w:fldChar w:fldCharType="end"/>
        </w:r>
      </w:hyperlink>
    </w:p>
    <w:p w14:paraId="69D81B9D" w14:textId="41159CB2"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32" w:history="1">
        <w:r w:rsidRPr="009A27ED">
          <w:rPr>
            <w:rStyle w:val="Hipervnculo"/>
            <w:noProof/>
          </w:rPr>
          <w:t>Cuadro 22. Variable metropolitana</w:t>
        </w:r>
        <w:r w:rsidRPr="009A27ED">
          <w:rPr>
            <w:noProof/>
            <w:webHidden/>
          </w:rPr>
          <w:tab/>
        </w:r>
        <w:r w:rsidRPr="009A27ED">
          <w:rPr>
            <w:noProof/>
            <w:webHidden/>
          </w:rPr>
          <w:fldChar w:fldCharType="begin"/>
        </w:r>
        <w:r w:rsidRPr="009A27ED">
          <w:rPr>
            <w:noProof/>
            <w:webHidden/>
          </w:rPr>
          <w:instrText xml:space="preserve"> PAGEREF _Toc111887432 \h </w:instrText>
        </w:r>
        <w:r w:rsidRPr="009A27ED">
          <w:rPr>
            <w:noProof/>
            <w:webHidden/>
          </w:rPr>
        </w:r>
        <w:r w:rsidRPr="009A27ED">
          <w:rPr>
            <w:noProof/>
            <w:webHidden/>
          </w:rPr>
          <w:fldChar w:fldCharType="separate"/>
        </w:r>
        <w:r w:rsidRPr="009A27ED">
          <w:rPr>
            <w:noProof/>
            <w:webHidden/>
          </w:rPr>
          <w:t>97</w:t>
        </w:r>
        <w:r w:rsidRPr="009A27ED">
          <w:rPr>
            <w:noProof/>
            <w:webHidden/>
          </w:rPr>
          <w:fldChar w:fldCharType="end"/>
        </w:r>
      </w:hyperlink>
    </w:p>
    <w:p w14:paraId="22A85305" w14:textId="549B7970"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33" w:history="1">
        <w:r w:rsidRPr="009A27ED">
          <w:rPr>
            <w:rStyle w:val="Hipervnculo"/>
            <w:noProof/>
          </w:rPr>
          <w:t>Cuadro 23. .  Población censada y tasa de crecimiento media anual, por cada censo para el período 1970-2010</w:t>
        </w:r>
        <w:r w:rsidRPr="009A27ED">
          <w:rPr>
            <w:noProof/>
            <w:webHidden/>
          </w:rPr>
          <w:tab/>
        </w:r>
        <w:r w:rsidRPr="009A27ED">
          <w:rPr>
            <w:noProof/>
            <w:webHidden/>
          </w:rPr>
          <w:fldChar w:fldCharType="begin"/>
        </w:r>
        <w:r w:rsidRPr="009A27ED">
          <w:rPr>
            <w:noProof/>
            <w:webHidden/>
          </w:rPr>
          <w:instrText xml:space="preserve"> PAGEREF _Toc111887433 \h </w:instrText>
        </w:r>
        <w:r w:rsidRPr="009A27ED">
          <w:rPr>
            <w:noProof/>
            <w:webHidden/>
          </w:rPr>
        </w:r>
        <w:r w:rsidRPr="009A27ED">
          <w:rPr>
            <w:noProof/>
            <w:webHidden/>
          </w:rPr>
          <w:fldChar w:fldCharType="separate"/>
        </w:r>
        <w:r w:rsidRPr="009A27ED">
          <w:rPr>
            <w:noProof/>
            <w:webHidden/>
          </w:rPr>
          <w:t>98</w:t>
        </w:r>
        <w:r w:rsidRPr="009A27ED">
          <w:rPr>
            <w:noProof/>
            <w:webHidden/>
          </w:rPr>
          <w:fldChar w:fldCharType="end"/>
        </w:r>
      </w:hyperlink>
    </w:p>
    <w:p w14:paraId="2E859965" w14:textId="71BAA79B"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34" w:history="1">
        <w:r w:rsidRPr="009A27ED">
          <w:rPr>
            <w:rStyle w:val="Hipervnculo"/>
            <w:noProof/>
          </w:rPr>
          <w:t>Cuadro 24. Variables metropolitanas</w:t>
        </w:r>
        <w:r w:rsidRPr="009A27ED">
          <w:rPr>
            <w:noProof/>
            <w:webHidden/>
          </w:rPr>
          <w:tab/>
        </w:r>
        <w:r w:rsidRPr="009A27ED">
          <w:rPr>
            <w:noProof/>
            <w:webHidden/>
          </w:rPr>
          <w:fldChar w:fldCharType="begin"/>
        </w:r>
        <w:r w:rsidRPr="009A27ED">
          <w:rPr>
            <w:noProof/>
            <w:webHidden/>
          </w:rPr>
          <w:instrText xml:space="preserve"> PAGEREF _Toc111887434 \h </w:instrText>
        </w:r>
        <w:r w:rsidRPr="009A27ED">
          <w:rPr>
            <w:noProof/>
            <w:webHidden/>
          </w:rPr>
        </w:r>
        <w:r w:rsidRPr="009A27ED">
          <w:rPr>
            <w:noProof/>
            <w:webHidden/>
          </w:rPr>
          <w:fldChar w:fldCharType="separate"/>
        </w:r>
        <w:r w:rsidRPr="009A27ED">
          <w:rPr>
            <w:noProof/>
            <w:webHidden/>
          </w:rPr>
          <w:t>98</w:t>
        </w:r>
        <w:r w:rsidRPr="009A27ED">
          <w:rPr>
            <w:noProof/>
            <w:webHidden/>
          </w:rPr>
          <w:fldChar w:fldCharType="end"/>
        </w:r>
      </w:hyperlink>
    </w:p>
    <w:p w14:paraId="565A8278" w14:textId="59E75223"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35" w:history="1">
        <w:r w:rsidRPr="009A27ED">
          <w:rPr>
            <w:rStyle w:val="Hipervnculo"/>
            <w:noProof/>
          </w:rPr>
          <w:t>Cuadro 25. Distribución de la población en Áreas Priorizadas por tipo</w:t>
        </w:r>
        <w:r w:rsidRPr="009A27ED">
          <w:rPr>
            <w:noProof/>
            <w:webHidden/>
          </w:rPr>
          <w:tab/>
        </w:r>
        <w:r w:rsidRPr="009A27ED">
          <w:rPr>
            <w:noProof/>
            <w:webHidden/>
          </w:rPr>
          <w:fldChar w:fldCharType="begin"/>
        </w:r>
        <w:r w:rsidRPr="009A27ED">
          <w:rPr>
            <w:noProof/>
            <w:webHidden/>
          </w:rPr>
          <w:instrText xml:space="preserve"> PAGEREF _Toc111887435 \h </w:instrText>
        </w:r>
        <w:r w:rsidRPr="009A27ED">
          <w:rPr>
            <w:noProof/>
            <w:webHidden/>
          </w:rPr>
        </w:r>
        <w:r w:rsidRPr="009A27ED">
          <w:rPr>
            <w:noProof/>
            <w:webHidden/>
          </w:rPr>
          <w:fldChar w:fldCharType="separate"/>
        </w:r>
        <w:r w:rsidRPr="009A27ED">
          <w:rPr>
            <w:noProof/>
            <w:webHidden/>
          </w:rPr>
          <w:t>98</w:t>
        </w:r>
        <w:r w:rsidRPr="009A27ED">
          <w:rPr>
            <w:noProof/>
            <w:webHidden/>
          </w:rPr>
          <w:fldChar w:fldCharType="end"/>
        </w:r>
      </w:hyperlink>
    </w:p>
    <w:p w14:paraId="694C1A12" w14:textId="5BA7BC9E"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36" w:history="1">
        <w:r w:rsidRPr="009A27ED">
          <w:rPr>
            <w:rStyle w:val="Hipervnculo"/>
            <w:noProof/>
          </w:rPr>
          <w:t>Cuadro 26. Distribución de la población en Áreas Priorizadas según sexo</w:t>
        </w:r>
        <w:r w:rsidRPr="009A27ED">
          <w:rPr>
            <w:noProof/>
            <w:webHidden/>
          </w:rPr>
          <w:tab/>
        </w:r>
        <w:r w:rsidRPr="009A27ED">
          <w:rPr>
            <w:noProof/>
            <w:webHidden/>
          </w:rPr>
          <w:fldChar w:fldCharType="begin"/>
        </w:r>
        <w:r w:rsidRPr="009A27ED">
          <w:rPr>
            <w:noProof/>
            <w:webHidden/>
          </w:rPr>
          <w:instrText xml:space="preserve"> PAGEREF _Toc111887436 \h </w:instrText>
        </w:r>
        <w:r w:rsidRPr="009A27ED">
          <w:rPr>
            <w:noProof/>
            <w:webHidden/>
          </w:rPr>
        </w:r>
        <w:r w:rsidRPr="009A27ED">
          <w:rPr>
            <w:noProof/>
            <w:webHidden/>
          </w:rPr>
          <w:fldChar w:fldCharType="separate"/>
        </w:r>
        <w:r w:rsidRPr="009A27ED">
          <w:rPr>
            <w:noProof/>
            <w:webHidden/>
          </w:rPr>
          <w:t>98</w:t>
        </w:r>
        <w:r w:rsidRPr="009A27ED">
          <w:rPr>
            <w:noProof/>
            <w:webHidden/>
          </w:rPr>
          <w:fldChar w:fldCharType="end"/>
        </w:r>
      </w:hyperlink>
    </w:p>
    <w:p w14:paraId="279114A2" w14:textId="661773E1"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37" w:history="1">
        <w:r w:rsidRPr="009A27ED">
          <w:rPr>
            <w:rStyle w:val="Hipervnculo"/>
            <w:noProof/>
          </w:rPr>
          <w:t>Cuadro 27.  Niveles de educación en las áreas priorizadas</w:t>
        </w:r>
        <w:r w:rsidRPr="009A27ED">
          <w:rPr>
            <w:noProof/>
            <w:webHidden/>
          </w:rPr>
          <w:tab/>
        </w:r>
        <w:r w:rsidRPr="009A27ED">
          <w:rPr>
            <w:noProof/>
            <w:webHidden/>
          </w:rPr>
          <w:fldChar w:fldCharType="begin"/>
        </w:r>
        <w:r w:rsidRPr="009A27ED">
          <w:rPr>
            <w:noProof/>
            <w:webHidden/>
          </w:rPr>
          <w:instrText xml:space="preserve"> PAGEREF _Toc111887437 \h </w:instrText>
        </w:r>
        <w:r w:rsidRPr="009A27ED">
          <w:rPr>
            <w:noProof/>
            <w:webHidden/>
          </w:rPr>
        </w:r>
        <w:r w:rsidRPr="009A27ED">
          <w:rPr>
            <w:noProof/>
            <w:webHidden/>
          </w:rPr>
          <w:fldChar w:fldCharType="separate"/>
        </w:r>
        <w:r w:rsidRPr="009A27ED">
          <w:rPr>
            <w:noProof/>
            <w:webHidden/>
          </w:rPr>
          <w:t>99</w:t>
        </w:r>
        <w:r w:rsidRPr="009A27ED">
          <w:rPr>
            <w:noProof/>
            <w:webHidden/>
          </w:rPr>
          <w:fldChar w:fldCharType="end"/>
        </w:r>
      </w:hyperlink>
    </w:p>
    <w:p w14:paraId="03D15A81" w14:textId="5F9A0805"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38" w:history="1">
        <w:r w:rsidRPr="009A27ED">
          <w:rPr>
            <w:rStyle w:val="Hipervnculo"/>
            <w:noProof/>
          </w:rPr>
          <w:t>Cuadro 28. Características de las viviendas</w:t>
        </w:r>
        <w:r w:rsidRPr="009A27ED">
          <w:rPr>
            <w:noProof/>
            <w:webHidden/>
          </w:rPr>
          <w:tab/>
        </w:r>
        <w:r w:rsidRPr="009A27ED">
          <w:rPr>
            <w:noProof/>
            <w:webHidden/>
          </w:rPr>
          <w:fldChar w:fldCharType="begin"/>
        </w:r>
        <w:r w:rsidRPr="009A27ED">
          <w:rPr>
            <w:noProof/>
            <w:webHidden/>
          </w:rPr>
          <w:instrText xml:space="preserve"> PAGEREF _Toc111887438 \h </w:instrText>
        </w:r>
        <w:r w:rsidRPr="009A27ED">
          <w:rPr>
            <w:noProof/>
            <w:webHidden/>
          </w:rPr>
        </w:r>
        <w:r w:rsidRPr="009A27ED">
          <w:rPr>
            <w:noProof/>
            <w:webHidden/>
          </w:rPr>
          <w:fldChar w:fldCharType="separate"/>
        </w:r>
        <w:r w:rsidRPr="009A27ED">
          <w:rPr>
            <w:noProof/>
            <w:webHidden/>
          </w:rPr>
          <w:t>99</w:t>
        </w:r>
        <w:r w:rsidRPr="009A27ED">
          <w:rPr>
            <w:noProof/>
            <w:webHidden/>
          </w:rPr>
          <w:fldChar w:fldCharType="end"/>
        </w:r>
      </w:hyperlink>
    </w:p>
    <w:p w14:paraId="1189BD90" w14:textId="4023E200"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39" w:history="1">
        <w:r w:rsidRPr="009A27ED">
          <w:rPr>
            <w:rStyle w:val="Hipervnculo"/>
            <w:noProof/>
          </w:rPr>
          <w:t>Cuadro 29. Situación de salud en las áreas prioritarias</w:t>
        </w:r>
        <w:r w:rsidRPr="009A27ED">
          <w:rPr>
            <w:noProof/>
            <w:webHidden/>
          </w:rPr>
          <w:tab/>
        </w:r>
        <w:r w:rsidRPr="009A27ED">
          <w:rPr>
            <w:noProof/>
            <w:webHidden/>
          </w:rPr>
          <w:fldChar w:fldCharType="begin"/>
        </w:r>
        <w:r w:rsidRPr="009A27ED">
          <w:rPr>
            <w:noProof/>
            <w:webHidden/>
          </w:rPr>
          <w:instrText xml:space="preserve"> PAGEREF _Toc111887439 \h </w:instrText>
        </w:r>
        <w:r w:rsidRPr="009A27ED">
          <w:rPr>
            <w:noProof/>
            <w:webHidden/>
          </w:rPr>
        </w:r>
        <w:r w:rsidRPr="009A27ED">
          <w:rPr>
            <w:noProof/>
            <w:webHidden/>
          </w:rPr>
          <w:fldChar w:fldCharType="separate"/>
        </w:r>
        <w:r w:rsidRPr="009A27ED">
          <w:rPr>
            <w:noProof/>
            <w:webHidden/>
          </w:rPr>
          <w:t>100</w:t>
        </w:r>
        <w:r w:rsidRPr="009A27ED">
          <w:rPr>
            <w:noProof/>
            <w:webHidden/>
          </w:rPr>
          <w:fldChar w:fldCharType="end"/>
        </w:r>
      </w:hyperlink>
    </w:p>
    <w:p w14:paraId="6C3A07B7" w14:textId="37EE9533"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40" w:history="1">
        <w:r w:rsidRPr="009A27ED">
          <w:rPr>
            <w:rStyle w:val="Hipervnculo"/>
            <w:noProof/>
          </w:rPr>
          <w:t>Cuadro 30. Ocupación y Economía</w:t>
        </w:r>
        <w:r w:rsidRPr="009A27ED">
          <w:rPr>
            <w:noProof/>
            <w:webHidden/>
          </w:rPr>
          <w:tab/>
        </w:r>
        <w:r w:rsidRPr="009A27ED">
          <w:rPr>
            <w:noProof/>
            <w:webHidden/>
          </w:rPr>
          <w:fldChar w:fldCharType="begin"/>
        </w:r>
        <w:r w:rsidRPr="009A27ED">
          <w:rPr>
            <w:noProof/>
            <w:webHidden/>
          </w:rPr>
          <w:instrText xml:space="preserve"> PAGEREF _Toc111887440 \h </w:instrText>
        </w:r>
        <w:r w:rsidRPr="009A27ED">
          <w:rPr>
            <w:noProof/>
            <w:webHidden/>
          </w:rPr>
        </w:r>
        <w:r w:rsidRPr="009A27ED">
          <w:rPr>
            <w:noProof/>
            <w:webHidden/>
          </w:rPr>
          <w:fldChar w:fldCharType="separate"/>
        </w:r>
        <w:r w:rsidRPr="009A27ED">
          <w:rPr>
            <w:noProof/>
            <w:webHidden/>
          </w:rPr>
          <w:t>100</w:t>
        </w:r>
        <w:r w:rsidRPr="009A27ED">
          <w:rPr>
            <w:noProof/>
            <w:webHidden/>
          </w:rPr>
          <w:fldChar w:fldCharType="end"/>
        </w:r>
      </w:hyperlink>
    </w:p>
    <w:p w14:paraId="0946DF7C" w14:textId="20F5CA87"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41" w:history="1">
        <w:r w:rsidRPr="009A27ED">
          <w:rPr>
            <w:rStyle w:val="Hipervnculo"/>
            <w:noProof/>
          </w:rPr>
          <w:t>Cuadro 31.  Grupos Focales identificados en las áreas priorizadas</w:t>
        </w:r>
        <w:r w:rsidRPr="009A27ED">
          <w:rPr>
            <w:noProof/>
            <w:webHidden/>
          </w:rPr>
          <w:tab/>
        </w:r>
        <w:r w:rsidRPr="009A27ED">
          <w:rPr>
            <w:noProof/>
            <w:webHidden/>
          </w:rPr>
          <w:fldChar w:fldCharType="begin"/>
        </w:r>
        <w:r w:rsidRPr="009A27ED">
          <w:rPr>
            <w:noProof/>
            <w:webHidden/>
          </w:rPr>
          <w:instrText xml:space="preserve"> PAGEREF _Toc111887441 \h </w:instrText>
        </w:r>
        <w:r w:rsidRPr="009A27ED">
          <w:rPr>
            <w:noProof/>
            <w:webHidden/>
          </w:rPr>
        </w:r>
        <w:r w:rsidRPr="009A27ED">
          <w:rPr>
            <w:noProof/>
            <w:webHidden/>
          </w:rPr>
          <w:fldChar w:fldCharType="separate"/>
        </w:r>
        <w:r w:rsidRPr="009A27ED">
          <w:rPr>
            <w:noProof/>
            <w:webHidden/>
          </w:rPr>
          <w:t>101</w:t>
        </w:r>
        <w:r w:rsidRPr="009A27ED">
          <w:rPr>
            <w:noProof/>
            <w:webHidden/>
          </w:rPr>
          <w:fldChar w:fldCharType="end"/>
        </w:r>
      </w:hyperlink>
    </w:p>
    <w:p w14:paraId="7EF85004" w14:textId="2DEF00F0"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42" w:history="1">
        <w:r w:rsidRPr="009A27ED">
          <w:rPr>
            <w:rStyle w:val="Hipervnculo"/>
            <w:noProof/>
          </w:rPr>
          <w:t>Cuadro 32.  Identificación de actores clave por áreas prioritarias</w:t>
        </w:r>
        <w:r w:rsidRPr="009A27ED">
          <w:rPr>
            <w:noProof/>
            <w:webHidden/>
          </w:rPr>
          <w:tab/>
        </w:r>
        <w:r w:rsidRPr="009A27ED">
          <w:rPr>
            <w:noProof/>
            <w:webHidden/>
          </w:rPr>
          <w:fldChar w:fldCharType="begin"/>
        </w:r>
        <w:r w:rsidRPr="009A27ED">
          <w:rPr>
            <w:noProof/>
            <w:webHidden/>
          </w:rPr>
          <w:instrText xml:space="preserve"> PAGEREF _Toc111887442 \h </w:instrText>
        </w:r>
        <w:r w:rsidRPr="009A27ED">
          <w:rPr>
            <w:noProof/>
            <w:webHidden/>
          </w:rPr>
        </w:r>
        <w:r w:rsidRPr="009A27ED">
          <w:rPr>
            <w:noProof/>
            <w:webHidden/>
          </w:rPr>
          <w:fldChar w:fldCharType="separate"/>
        </w:r>
        <w:r w:rsidRPr="009A27ED">
          <w:rPr>
            <w:noProof/>
            <w:webHidden/>
          </w:rPr>
          <w:t>103</w:t>
        </w:r>
        <w:r w:rsidRPr="009A27ED">
          <w:rPr>
            <w:noProof/>
            <w:webHidden/>
          </w:rPr>
          <w:fldChar w:fldCharType="end"/>
        </w:r>
      </w:hyperlink>
    </w:p>
    <w:p w14:paraId="17229D98" w14:textId="5F29881C"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43" w:history="1">
        <w:r w:rsidRPr="009A27ED">
          <w:rPr>
            <w:rStyle w:val="Hipervnculo"/>
            <w:noProof/>
          </w:rPr>
          <w:t>Cuadro 33. Instrumentos internacionales ratificados/firmados por República Dominicana relevantes y  aplicables  a las PO del BM</w:t>
        </w:r>
        <w:r w:rsidRPr="009A27ED">
          <w:rPr>
            <w:noProof/>
            <w:webHidden/>
          </w:rPr>
          <w:tab/>
        </w:r>
        <w:r w:rsidRPr="009A27ED">
          <w:rPr>
            <w:noProof/>
            <w:webHidden/>
          </w:rPr>
          <w:fldChar w:fldCharType="begin"/>
        </w:r>
        <w:r w:rsidRPr="009A27ED">
          <w:rPr>
            <w:noProof/>
            <w:webHidden/>
          </w:rPr>
          <w:instrText xml:space="preserve"> PAGEREF _Toc111887443 \h </w:instrText>
        </w:r>
        <w:r w:rsidRPr="009A27ED">
          <w:rPr>
            <w:noProof/>
            <w:webHidden/>
          </w:rPr>
        </w:r>
        <w:r w:rsidRPr="009A27ED">
          <w:rPr>
            <w:noProof/>
            <w:webHidden/>
          </w:rPr>
          <w:fldChar w:fldCharType="separate"/>
        </w:r>
        <w:r w:rsidRPr="009A27ED">
          <w:rPr>
            <w:noProof/>
            <w:webHidden/>
          </w:rPr>
          <w:t>105</w:t>
        </w:r>
        <w:r w:rsidRPr="009A27ED">
          <w:rPr>
            <w:noProof/>
            <w:webHidden/>
          </w:rPr>
          <w:fldChar w:fldCharType="end"/>
        </w:r>
      </w:hyperlink>
    </w:p>
    <w:p w14:paraId="260498AD" w14:textId="216DFD14"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44" w:history="1">
        <w:r w:rsidRPr="009A27ED">
          <w:rPr>
            <w:rStyle w:val="Hipervnculo"/>
            <w:noProof/>
          </w:rPr>
          <w:t>Cuadro 34. Marco legal relevante para asegurar cumplimiento con la salvaguarda A</w:t>
        </w:r>
        <w:r w:rsidRPr="009A27ED">
          <w:rPr>
            <w:noProof/>
            <w:webHidden/>
          </w:rPr>
          <w:tab/>
        </w:r>
        <w:r w:rsidRPr="009A27ED">
          <w:rPr>
            <w:noProof/>
            <w:webHidden/>
          </w:rPr>
          <w:fldChar w:fldCharType="begin"/>
        </w:r>
        <w:r w:rsidRPr="009A27ED">
          <w:rPr>
            <w:noProof/>
            <w:webHidden/>
          </w:rPr>
          <w:instrText xml:space="preserve"> PAGEREF _Toc111887444 \h </w:instrText>
        </w:r>
        <w:r w:rsidRPr="009A27ED">
          <w:rPr>
            <w:noProof/>
            <w:webHidden/>
          </w:rPr>
        </w:r>
        <w:r w:rsidRPr="009A27ED">
          <w:rPr>
            <w:noProof/>
            <w:webHidden/>
          </w:rPr>
          <w:fldChar w:fldCharType="separate"/>
        </w:r>
        <w:r w:rsidRPr="009A27ED">
          <w:rPr>
            <w:noProof/>
            <w:webHidden/>
          </w:rPr>
          <w:t>108</w:t>
        </w:r>
        <w:r w:rsidRPr="009A27ED">
          <w:rPr>
            <w:noProof/>
            <w:webHidden/>
          </w:rPr>
          <w:fldChar w:fldCharType="end"/>
        </w:r>
      </w:hyperlink>
    </w:p>
    <w:p w14:paraId="1961F121" w14:textId="36588B9F"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45" w:history="1">
        <w:r w:rsidRPr="009A27ED">
          <w:rPr>
            <w:rStyle w:val="Hipervnculo"/>
            <w:noProof/>
          </w:rPr>
          <w:t>Cuadro 35. Marco legal relevante para asegurar el cumplimiento de la salvaguarda b</w:t>
        </w:r>
        <w:r w:rsidRPr="009A27ED">
          <w:rPr>
            <w:noProof/>
            <w:webHidden/>
          </w:rPr>
          <w:tab/>
        </w:r>
        <w:r w:rsidRPr="009A27ED">
          <w:rPr>
            <w:noProof/>
            <w:webHidden/>
          </w:rPr>
          <w:fldChar w:fldCharType="begin"/>
        </w:r>
        <w:r w:rsidRPr="009A27ED">
          <w:rPr>
            <w:noProof/>
            <w:webHidden/>
          </w:rPr>
          <w:instrText xml:space="preserve"> PAGEREF _Toc111887445 \h </w:instrText>
        </w:r>
        <w:r w:rsidRPr="009A27ED">
          <w:rPr>
            <w:noProof/>
            <w:webHidden/>
          </w:rPr>
        </w:r>
        <w:r w:rsidRPr="009A27ED">
          <w:rPr>
            <w:noProof/>
            <w:webHidden/>
          </w:rPr>
          <w:fldChar w:fldCharType="separate"/>
        </w:r>
        <w:r w:rsidRPr="009A27ED">
          <w:rPr>
            <w:noProof/>
            <w:webHidden/>
          </w:rPr>
          <w:t>112</w:t>
        </w:r>
        <w:r w:rsidRPr="009A27ED">
          <w:rPr>
            <w:noProof/>
            <w:webHidden/>
          </w:rPr>
          <w:fldChar w:fldCharType="end"/>
        </w:r>
      </w:hyperlink>
    </w:p>
    <w:p w14:paraId="5D6C2F04" w14:textId="645DB64F"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46" w:history="1">
        <w:r w:rsidRPr="009A27ED">
          <w:rPr>
            <w:rStyle w:val="Hipervnculo"/>
            <w:noProof/>
          </w:rPr>
          <w:t>Cuadro 36. Marco legal relevante para asegurar el cumplimiento de la salvaguarda c</w:t>
        </w:r>
        <w:r w:rsidRPr="009A27ED">
          <w:rPr>
            <w:noProof/>
            <w:webHidden/>
          </w:rPr>
          <w:tab/>
        </w:r>
        <w:r w:rsidRPr="009A27ED">
          <w:rPr>
            <w:noProof/>
            <w:webHidden/>
          </w:rPr>
          <w:fldChar w:fldCharType="begin"/>
        </w:r>
        <w:r w:rsidRPr="009A27ED">
          <w:rPr>
            <w:noProof/>
            <w:webHidden/>
          </w:rPr>
          <w:instrText xml:space="preserve"> PAGEREF _Toc111887446 \h </w:instrText>
        </w:r>
        <w:r w:rsidRPr="009A27ED">
          <w:rPr>
            <w:noProof/>
            <w:webHidden/>
          </w:rPr>
        </w:r>
        <w:r w:rsidRPr="009A27ED">
          <w:rPr>
            <w:noProof/>
            <w:webHidden/>
          </w:rPr>
          <w:fldChar w:fldCharType="separate"/>
        </w:r>
        <w:r w:rsidRPr="009A27ED">
          <w:rPr>
            <w:noProof/>
            <w:webHidden/>
          </w:rPr>
          <w:t>115</w:t>
        </w:r>
        <w:r w:rsidRPr="009A27ED">
          <w:rPr>
            <w:noProof/>
            <w:webHidden/>
          </w:rPr>
          <w:fldChar w:fldCharType="end"/>
        </w:r>
      </w:hyperlink>
    </w:p>
    <w:p w14:paraId="1A5496DB" w14:textId="45E55822"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47" w:history="1">
        <w:r w:rsidRPr="009A27ED">
          <w:rPr>
            <w:rStyle w:val="Hipervnculo"/>
            <w:noProof/>
          </w:rPr>
          <w:t>Cuadro 37.  Marco legal relevante para asegurar el cumplimiento de la salvaguarda e</w:t>
        </w:r>
        <w:r w:rsidRPr="009A27ED">
          <w:rPr>
            <w:noProof/>
            <w:webHidden/>
          </w:rPr>
          <w:tab/>
        </w:r>
        <w:r w:rsidRPr="009A27ED">
          <w:rPr>
            <w:noProof/>
            <w:webHidden/>
          </w:rPr>
          <w:fldChar w:fldCharType="begin"/>
        </w:r>
        <w:r w:rsidRPr="009A27ED">
          <w:rPr>
            <w:noProof/>
            <w:webHidden/>
          </w:rPr>
          <w:instrText xml:space="preserve"> PAGEREF _Toc111887447 \h </w:instrText>
        </w:r>
        <w:r w:rsidRPr="009A27ED">
          <w:rPr>
            <w:noProof/>
            <w:webHidden/>
          </w:rPr>
        </w:r>
        <w:r w:rsidRPr="009A27ED">
          <w:rPr>
            <w:noProof/>
            <w:webHidden/>
          </w:rPr>
          <w:fldChar w:fldCharType="separate"/>
        </w:r>
        <w:r w:rsidRPr="009A27ED">
          <w:rPr>
            <w:noProof/>
            <w:webHidden/>
          </w:rPr>
          <w:t>117</w:t>
        </w:r>
        <w:r w:rsidRPr="009A27ED">
          <w:rPr>
            <w:noProof/>
            <w:webHidden/>
          </w:rPr>
          <w:fldChar w:fldCharType="end"/>
        </w:r>
      </w:hyperlink>
    </w:p>
    <w:p w14:paraId="3A2C0056" w14:textId="237D6D1A"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48" w:history="1">
        <w:r w:rsidRPr="009A27ED">
          <w:rPr>
            <w:rStyle w:val="Hipervnculo"/>
            <w:noProof/>
          </w:rPr>
          <w:t>Cuadro 38. Marco legal relevante para asegurar el cumplimiento de las salvaguardas f y g</w:t>
        </w:r>
        <w:r w:rsidRPr="009A27ED">
          <w:rPr>
            <w:noProof/>
            <w:webHidden/>
          </w:rPr>
          <w:tab/>
        </w:r>
        <w:r w:rsidRPr="009A27ED">
          <w:rPr>
            <w:noProof/>
            <w:webHidden/>
          </w:rPr>
          <w:fldChar w:fldCharType="begin"/>
        </w:r>
        <w:r w:rsidRPr="009A27ED">
          <w:rPr>
            <w:noProof/>
            <w:webHidden/>
          </w:rPr>
          <w:instrText xml:space="preserve"> PAGEREF _Toc111887448 \h </w:instrText>
        </w:r>
        <w:r w:rsidRPr="009A27ED">
          <w:rPr>
            <w:noProof/>
            <w:webHidden/>
          </w:rPr>
        </w:r>
        <w:r w:rsidRPr="009A27ED">
          <w:rPr>
            <w:noProof/>
            <w:webHidden/>
          </w:rPr>
          <w:fldChar w:fldCharType="separate"/>
        </w:r>
        <w:r w:rsidRPr="009A27ED">
          <w:rPr>
            <w:noProof/>
            <w:webHidden/>
          </w:rPr>
          <w:t>119</w:t>
        </w:r>
        <w:r w:rsidRPr="009A27ED">
          <w:rPr>
            <w:noProof/>
            <w:webHidden/>
          </w:rPr>
          <w:fldChar w:fldCharType="end"/>
        </w:r>
      </w:hyperlink>
    </w:p>
    <w:p w14:paraId="4515C699" w14:textId="01F1BC92"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49" w:history="1">
        <w:r w:rsidRPr="009A27ED">
          <w:rPr>
            <w:rStyle w:val="Hipervnculo"/>
            <w:noProof/>
          </w:rPr>
          <w:t>Cuadro 39. Políticas Operativas del Banco Mundial aplicables al Programa REDD+ en RD</w:t>
        </w:r>
        <w:r w:rsidRPr="009A27ED">
          <w:rPr>
            <w:noProof/>
            <w:webHidden/>
          </w:rPr>
          <w:tab/>
        </w:r>
        <w:r w:rsidRPr="009A27ED">
          <w:rPr>
            <w:noProof/>
            <w:webHidden/>
          </w:rPr>
          <w:fldChar w:fldCharType="begin"/>
        </w:r>
        <w:r w:rsidRPr="009A27ED">
          <w:rPr>
            <w:noProof/>
            <w:webHidden/>
          </w:rPr>
          <w:instrText xml:space="preserve"> PAGEREF _Toc111887449 \h </w:instrText>
        </w:r>
        <w:r w:rsidRPr="009A27ED">
          <w:rPr>
            <w:noProof/>
            <w:webHidden/>
          </w:rPr>
        </w:r>
        <w:r w:rsidRPr="009A27ED">
          <w:rPr>
            <w:noProof/>
            <w:webHidden/>
          </w:rPr>
          <w:fldChar w:fldCharType="separate"/>
        </w:r>
        <w:r w:rsidRPr="009A27ED">
          <w:rPr>
            <w:noProof/>
            <w:webHidden/>
          </w:rPr>
          <w:t>121</w:t>
        </w:r>
        <w:r w:rsidRPr="009A27ED">
          <w:rPr>
            <w:noProof/>
            <w:webHidden/>
          </w:rPr>
          <w:fldChar w:fldCharType="end"/>
        </w:r>
      </w:hyperlink>
    </w:p>
    <w:p w14:paraId="6F70AFE0" w14:textId="0A25FBF0"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50" w:history="1">
        <w:r w:rsidRPr="009A27ED">
          <w:rPr>
            <w:rStyle w:val="Hipervnculo"/>
            <w:noProof/>
          </w:rPr>
          <w:t>Cuadro 40. Evaluación ambiental y social de las acciones estratégicas</w:t>
        </w:r>
        <w:r w:rsidRPr="009A27ED">
          <w:rPr>
            <w:noProof/>
            <w:webHidden/>
          </w:rPr>
          <w:tab/>
        </w:r>
        <w:r w:rsidRPr="009A27ED">
          <w:rPr>
            <w:noProof/>
            <w:webHidden/>
          </w:rPr>
          <w:fldChar w:fldCharType="begin"/>
        </w:r>
        <w:r w:rsidRPr="009A27ED">
          <w:rPr>
            <w:noProof/>
            <w:webHidden/>
          </w:rPr>
          <w:instrText xml:space="preserve"> PAGEREF _Toc111887450 \h </w:instrText>
        </w:r>
        <w:r w:rsidRPr="009A27ED">
          <w:rPr>
            <w:noProof/>
            <w:webHidden/>
          </w:rPr>
        </w:r>
        <w:r w:rsidRPr="009A27ED">
          <w:rPr>
            <w:noProof/>
            <w:webHidden/>
          </w:rPr>
          <w:fldChar w:fldCharType="separate"/>
        </w:r>
        <w:r w:rsidRPr="009A27ED">
          <w:rPr>
            <w:noProof/>
            <w:webHidden/>
          </w:rPr>
          <w:t>129</w:t>
        </w:r>
        <w:r w:rsidRPr="009A27ED">
          <w:rPr>
            <w:noProof/>
            <w:webHidden/>
          </w:rPr>
          <w:fldChar w:fldCharType="end"/>
        </w:r>
      </w:hyperlink>
    </w:p>
    <w:p w14:paraId="51180B7A" w14:textId="1F43AEB5"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51" w:history="1">
        <w:r w:rsidRPr="009A27ED">
          <w:rPr>
            <w:rStyle w:val="Hipervnculo"/>
            <w:noProof/>
          </w:rPr>
          <w:t>Cuadro 41.  Evaluación ambiental y social de los tipos de actividades seleccionadas para REDD+.</w:t>
        </w:r>
        <w:r w:rsidRPr="009A27ED">
          <w:rPr>
            <w:noProof/>
            <w:webHidden/>
          </w:rPr>
          <w:tab/>
        </w:r>
        <w:r w:rsidRPr="009A27ED">
          <w:rPr>
            <w:noProof/>
            <w:webHidden/>
          </w:rPr>
          <w:fldChar w:fldCharType="begin"/>
        </w:r>
        <w:r w:rsidRPr="009A27ED">
          <w:rPr>
            <w:noProof/>
            <w:webHidden/>
          </w:rPr>
          <w:instrText xml:space="preserve"> PAGEREF _Toc111887451 \h </w:instrText>
        </w:r>
        <w:r w:rsidRPr="009A27ED">
          <w:rPr>
            <w:noProof/>
            <w:webHidden/>
          </w:rPr>
        </w:r>
        <w:r w:rsidRPr="009A27ED">
          <w:rPr>
            <w:noProof/>
            <w:webHidden/>
          </w:rPr>
          <w:fldChar w:fldCharType="separate"/>
        </w:r>
        <w:r w:rsidRPr="009A27ED">
          <w:rPr>
            <w:noProof/>
            <w:webHidden/>
          </w:rPr>
          <w:t>141</w:t>
        </w:r>
        <w:r w:rsidRPr="009A27ED">
          <w:rPr>
            <w:noProof/>
            <w:webHidden/>
          </w:rPr>
          <w:fldChar w:fldCharType="end"/>
        </w:r>
      </w:hyperlink>
    </w:p>
    <w:p w14:paraId="227D1EC4" w14:textId="7251A135"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52" w:history="1">
        <w:r w:rsidRPr="009A27ED">
          <w:rPr>
            <w:rStyle w:val="Hipervnculo"/>
            <w:noProof/>
          </w:rPr>
          <w:t>Cuadro 42. Instituciones y roles para la implementación del MGAS</w:t>
        </w:r>
        <w:r w:rsidRPr="009A27ED">
          <w:rPr>
            <w:noProof/>
            <w:webHidden/>
          </w:rPr>
          <w:tab/>
        </w:r>
        <w:r w:rsidRPr="009A27ED">
          <w:rPr>
            <w:noProof/>
            <w:webHidden/>
          </w:rPr>
          <w:fldChar w:fldCharType="begin"/>
        </w:r>
        <w:r w:rsidRPr="009A27ED">
          <w:rPr>
            <w:noProof/>
            <w:webHidden/>
          </w:rPr>
          <w:instrText xml:space="preserve"> PAGEREF _Toc111887452 \h </w:instrText>
        </w:r>
        <w:r w:rsidRPr="009A27ED">
          <w:rPr>
            <w:noProof/>
            <w:webHidden/>
          </w:rPr>
        </w:r>
        <w:r w:rsidRPr="009A27ED">
          <w:rPr>
            <w:noProof/>
            <w:webHidden/>
          </w:rPr>
          <w:fldChar w:fldCharType="separate"/>
        </w:r>
        <w:r w:rsidRPr="009A27ED">
          <w:rPr>
            <w:noProof/>
            <w:webHidden/>
          </w:rPr>
          <w:t>152</w:t>
        </w:r>
        <w:r w:rsidRPr="009A27ED">
          <w:rPr>
            <w:noProof/>
            <w:webHidden/>
          </w:rPr>
          <w:fldChar w:fldCharType="end"/>
        </w:r>
      </w:hyperlink>
    </w:p>
    <w:p w14:paraId="3511F7B5" w14:textId="3F3D0C0A"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53" w:history="1">
        <w:r w:rsidRPr="009A27ED">
          <w:rPr>
            <w:rStyle w:val="Hipervnculo"/>
            <w:noProof/>
          </w:rPr>
          <w:t>Cuadro 43. Entidades responsables de proyectos y programas</w:t>
        </w:r>
        <w:r w:rsidRPr="009A27ED">
          <w:rPr>
            <w:noProof/>
            <w:webHidden/>
          </w:rPr>
          <w:tab/>
        </w:r>
        <w:r w:rsidRPr="009A27ED">
          <w:rPr>
            <w:noProof/>
            <w:webHidden/>
          </w:rPr>
          <w:fldChar w:fldCharType="begin"/>
        </w:r>
        <w:r w:rsidRPr="009A27ED">
          <w:rPr>
            <w:noProof/>
            <w:webHidden/>
          </w:rPr>
          <w:instrText xml:space="preserve"> PAGEREF _Toc111887453 \h </w:instrText>
        </w:r>
        <w:r w:rsidRPr="009A27ED">
          <w:rPr>
            <w:noProof/>
            <w:webHidden/>
          </w:rPr>
        </w:r>
        <w:r w:rsidRPr="009A27ED">
          <w:rPr>
            <w:noProof/>
            <w:webHidden/>
          </w:rPr>
          <w:fldChar w:fldCharType="separate"/>
        </w:r>
        <w:r w:rsidRPr="009A27ED">
          <w:rPr>
            <w:noProof/>
            <w:webHidden/>
          </w:rPr>
          <w:t>155</w:t>
        </w:r>
        <w:r w:rsidRPr="009A27ED">
          <w:rPr>
            <w:noProof/>
            <w:webHidden/>
          </w:rPr>
          <w:fldChar w:fldCharType="end"/>
        </w:r>
      </w:hyperlink>
    </w:p>
    <w:p w14:paraId="0D589E91" w14:textId="1DFBA819"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54" w:history="1">
        <w:r w:rsidRPr="009A27ED">
          <w:rPr>
            <w:rStyle w:val="Hipervnculo"/>
            <w:noProof/>
          </w:rPr>
          <w:t>Cuadro 44. Lista de actividades excluidas</w:t>
        </w:r>
        <w:r w:rsidRPr="009A27ED">
          <w:rPr>
            <w:noProof/>
            <w:webHidden/>
          </w:rPr>
          <w:tab/>
        </w:r>
        <w:r w:rsidRPr="009A27ED">
          <w:rPr>
            <w:noProof/>
            <w:webHidden/>
          </w:rPr>
          <w:fldChar w:fldCharType="begin"/>
        </w:r>
        <w:r w:rsidRPr="009A27ED">
          <w:rPr>
            <w:noProof/>
            <w:webHidden/>
          </w:rPr>
          <w:instrText xml:space="preserve"> PAGEREF _Toc111887454 \h </w:instrText>
        </w:r>
        <w:r w:rsidRPr="009A27ED">
          <w:rPr>
            <w:noProof/>
            <w:webHidden/>
          </w:rPr>
        </w:r>
        <w:r w:rsidRPr="009A27ED">
          <w:rPr>
            <w:noProof/>
            <w:webHidden/>
          </w:rPr>
          <w:fldChar w:fldCharType="separate"/>
        </w:r>
        <w:r w:rsidRPr="009A27ED">
          <w:rPr>
            <w:noProof/>
            <w:webHidden/>
          </w:rPr>
          <w:t>158</w:t>
        </w:r>
        <w:r w:rsidRPr="009A27ED">
          <w:rPr>
            <w:noProof/>
            <w:webHidden/>
          </w:rPr>
          <w:fldChar w:fldCharType="end"/>
        </w:r>
      </w:hyperlink>
    </w:p>
    <w:p w14:paraId="1BC7E2EA" w14:textId="0AB2FF32"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55" w:history="1">
        <w:r w:rsidRPr="009A27ED">
          <w:rPr>
            <w:rStyle w:val="Hipervnculo"/>
            <w:noProof/>
          </w:rPr>
          <w:t>Cuadro 45. Criterios de selección específicos para Manejo Forestal Sostenible</w:t>
        </w:r>
        <w:r w:rsidRPr="009A27ED">
          <w:rPr>
            <w:noProof/>
            <w:webHidden/>
          </w:rPr>
          <w:tab/>
        </w:r>
        <w:r w:rsidRPr="009A27ED">
          <w:rPr>
            <w:noProof/>
            <w:webHidden/>
          </w:rPr>
          <w:fldChar w:fldCharType="begin"/>
        </w:r>
        <w:r w:rsidRPr="009A27ED">
          <w:rPr>
            <w:noProof/>
            <w:webHidden/>
          </w:rPr>
          <w:instrText xml:space="preserve"> PAGEREF _Toc111887455 \h </w:instrText>
        </w:r>
        <w:r w:rsidRPr="009A27ED">
          <w:rPr>
            <w:noProof/>
            <w:webHidden/>
          </w:rPr>
        </w:r>
        <w:r w:rsidRPr="009A27ED">
          <w:rPr>
            <w:noProof/>
            <w:webHidden/>
          </w:rPr>
          <w:fldChar w:fldCharType="separate"/>
        </w:r>
        <w:r w:rsidRPr="009A27ED">
          <w:rPr>
            <w:noProof/>
            <w:webHidden/>
          </w:rPr>
          <w:t>160</w:t>
        </w:r>
        <w:r w:rsidRPr="009A27ED">
          <w:rPr>
            <w:noProof/>
            <w:webHidden/>
          </w:rPr>
          <w:fldChar w:fldCharType="end"/>
        </w:r>
      </w:hyperlink>
    </w:p>
    <w:p w14:paraId="5E58F45C" w14:textId="0E0B3F24"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56" w:history="1">
        <w:r w:rsidRPr="009A27ED">
          <w:rPr>
            <w:rStyle w:val="Hipervnculo"/>
            <w:noProof/>
          </w:rPr>
          <w:t>Cuadro 46. Criterios de selección específicos Reforestación en el marco de REDD+</w:t>
        </w:r>
        <w:r w:rsidRPr="009A27ED">
          <w:rPr>
            <w:noProof/>
            <w:webHidden/>
          </w:rPr>
          <w:tab/>
        </w:r>
        <w:r w:rsidRPr="009A27ED">
          <w:rPr>
            <w:noProof/>
            <w:webHidden/>
          </w:rPr>
          <w:fldChar w:fldCharType="begin"/>
        </w:r>
        <w:r w:rsidRPr="009A27ED">
          <w:rPr>
            <w:noProof/>
            <w:webHidden/>
          </w:rPr>
          <w:instrText xml:space="preserve"> PAGEREF _Toc111887456 \h </w:instrText>
        </w:r>
        <w:r w:rsidRPr="009A27ED">
          <w:rPr>
            <w:noProof/>
            <w:webHidden/>
          </w:rPr>
        </w:r>
        <w:r w:rsidRPr="009A27ED">
          <w:rPr>
            <w:noProof/>
            <w:webHidden/>
          </w:rPr>
          <w:fldChar w:fldCharType="separate"/>
        </w:r>
        <w:r w:rsidRPr="009A27ED">
          <w:rPr>
            <w:noProof/>
            <w:webHidden/>
          </w:rPr>
          <w:t>160</w:t>
        </w:r>
        <w:r w:rsidRPr="009A27ED">
          <w:rPr>
            <w:noProof/>
            <w:webHidden/>
          </w:rPr>
          <w:fldChar w:fldCharType="end"/>
        </w:r>
      </w:hyperlink>
    </w:p>
    <w:p w14:paraId="15A366F5" w14:textId="467A7279"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57" w:history="1">
        <w:r w:rsidRPr="009A27ED">
          <w:rPr>
            <w:rStyle w:val="Hipervnculo"/>
            <w:noProof/>
          </w:rPr>
          <w:t>Cuadro 47. Criterios de Selección Sistemas agroforestales.</w:t>
        </w:r>
        <w:r w:rsidRPr="009A27ED">
          <w:rPr>
            <w:noProof/>
            <w:webHidden/>
          </w:rPr>
          <w:tab/>
        </w:r>
        <w:r w:rsidRPr="009A27ED">
          <w:rPr>
            <w:noProof/>
            <w:webHidden/>
          </w:rPr>
          <w:fldChar w:fldCharType="begin"/>
        </w:r>
        <w:r w:rsidRPr="009A27ED">
          <w:rPr>
            <w:noProof/>
            <w:webHidden/>
          </w:rPr>
          <w:instrText xml:space="preserve"> PAGEREF _Toc111887457 \h </w:instrText>
        </w:r>
        <w:r w:rsidRPr="009A27ED">
          <w:rPr>
            <w:noProof/>
            <w:webHidden/>
          </w:rPr>
        </w:r>
        <w:r w:rsidRPr="009A27ED">
          <w:rPr>
            <w:noProof/>
            <w:webHidden/>
          </w:rPr>
          <w:fldChar w:fldCharType="separate"/>
        </w:r>
        <w:r w:rsidRPr="009A27ED">
          <w:rPr>
            <w:noProof/>
            <w:webHidden/>
          </w:rPr>
          <w:t>161</w:t>
        </w:r>
        <w:r w:rsidRPr="009A27ED">
          <w:rPr>
            <w:noProof/>
            <w:webHidden/>
          </w:rPr>
          <w:fldChar w:fldCharType="end"/>
        </w:r>
      </w:hyperlink>
    </w:p>
    <w:p w14:paraId="38B1904F" w14:textId="1E9ADBF8"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58" w:history="1">
        <w:r w:rsidRPr="009A27ED">
          <w:rPr>
            <w:rStyle w:val="Hipervnculo"/>
            <w:noProof/>
          </w:rPr>
          <w:t>Cuadro 48. Criterios de selección Sistemas silvopastoriles (Arborización en fincas ganaderas)</w:t>
        </w:r>
        <w:r w:rsidRPr="009A27ED">
          <w:rPr>
            <w:noProof/>
            <w:webHidden/>
          </w:rPr>
          <w:tab/>
        </w:r>
        <w:r w:rsidRPr="009A27ED">
          <w:rPr>
            <w:noProof/>
            <w:webHidden/>
          </w:rPr>
          <w:fldChar w:fldCharType="begin"/>
        </w:r>
        <w:r w:rsidRPr="009A27ED">
          <w:rPr>
            <w:noProof/>
            <w:webHidden/>
          </w:rPr>
          <w:instrText xml:space="preserve"> PAGEREF _Toc111887458 \h </w:instrText>
        </w:r>
        <w:r w:rsidRPr="009A27ED">
          <w:rPr>
            <w:noProof/>
            <w:webHidden/>
          </w:rPr>
        </w:r>
        <w:r w:rsidRPr="009A27ED">
          <w:rPr>
            <w:noProof/>
            <w:webHidden/>
          </w:rPr>
          <w:fldChar w:fldCharType="separate"/>
        </w:r>
        <w:r w:rsidRPr="009A27ED">
          <w:rPr>
            <w:noProof/>
            <w:webHidden/>
          </w:rPr>
          <w:t>161</w:t>
        </w:r>
        <w:r w:rsidRPr="009A27ED">
          <w:rPr>
            <w:noProof/>
            <w:webHidden/>
          </w:rPr>
          <w:fldChar w:fldCharType="end"/>
        </w:r>
      </w:hyperlink>
    </w:p>
    <w:p w14:paraId="0EF9EF3C" w14:textId="1D79AD24"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59" w:history="1">
        <w:r w:rsidRPr="009A27ED">
          <w:rPr>
            <w:rStyle w:val="Hipervnculo"/>
            <w:noProof/>
          </w:rPr>
          <w:t>Cuadro 49. Criterios para la Regeneración Natural asistida de zonas degradadas</w:t>
        </w:r>
        <w:r w:rsidRPr="009A27ED">
          <w:rPr>
            <w:noProof/>
            <w:webHidden/>
          </w:rPr>
          <w:tab/>
        </w:r>
        <w:r w:rsidRPr="009A27ED">
          <w:rPr>
            <w:noProof/>
            <w:webHidden/>
          </w:rPr>
          <w:fldChar w:fldCharType="begin"/>
        </w:r>
        <w:r w:rsidRPr="009A27ED">
          <w:rPr>
            <w:noProof/>
            <w:webHidden/>
          </w:rPr>
          <w:instrText xml:space="preserve"> PAGEREF _Toc111887459 \h </w:instrText>
        </w:r>
        <w:r w:rsidRPr="009A27ED">
          <w:rPr>
            <w:noProof/>
            <w:webHidden/>
          </w:rPr>
        </w:r>
        <w:r w:rsidRPr="009A27ED">
          <w:rPr>
            <w:noProof/>
            <w:webHidden/>
          </w:rPr>
          <w:fldChar w:fldCharType="separate"/>
        </w:r>
        <w:r w:rsidRPr="009A27ED">
          <w:rPr>
            <w:noProof/>
            <w:webHidden/>
          </w:rPr>
          <w:t>162</w:t>
        </w:r>
        <w:r w:rsidRPr="009A27ED">
          <w:rPr>
            <w:noProof/>
            <w:webHidden/>
          </w:rPr>
          <w:fldChar w:fldCharType="end"/>
        </w:r>
      </w:hyperlink>
    </w:p>
    <w:p w14:paraId="255B7DAE" w14:textId="21F5CEC1"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60" w:history="1">
        <w:r w:rsidRPr="009A27ED">
          <w:rPr>
            <w:rStyle w:val="Hipervnculo"/>
            <w:noProof/>
          </w:rPr>
          <w:t>Cuadro 50. Criterios para la conservación de bosques en AP prioritarias con participación comunitaria</w:t>
        </w:r>
        <w:r w:rsidRPr="009A27ED">
          <w:rPr>
            <w:noProof/>
            <w:webHidden/>
          </w:rPr>
          <w:tab/>
        </w:r>
        <w:r w:rsidRPr="009A27ED">
          <w:rPr>
            <w:noProof/>
            <w:webHidden/>
          </w:rPr>
          <w:fldChar w:fldCharType="begin"/>
        </w:r>
        <w:r w:rsidRPr="009A27ED">
          <w:rPr>
            <w:noProof/>
            <w:webHidden/>
          </w:rPr>
          <w:instrText xml:space="preserve"> PAGEREF _Toc111887460 \h </w:instrText>
        </w:r>
        <w:r w:rsidRPr="009A27ED">
          <w:rPr>
            <w:noProof/>
            <w:webHidden/>
          </w:rPr>
        </w:r>
        <w:r w:rsidRPr="009A27ED">
          <w:rPr>
            <w:noProof/>
            <w:webHidden/>
          </w:rPr>
          <w:fldChar w:fldCharType="separate"/>
        </w:r>
        <w:r w:rsidRPr="009A27ED">
          <w:rPr>
            <w:noProof/>
            <w:webHidden/>
          </w:rPr>
          <w:t>162</w:t>
        </w:r>
        <w:r w:rsidRPr="009A27ED">
          <w:rPr>
            <w:noProof/>
            <w:webHidden/>
          </w:rPr>
          <w:fldChar w:fldCharType="end"/>
        </w:r>
      </w:hyperlink>
    </w:p>
    <w:p w14:paraId="41F14E7B" w14:textId="68242217"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61" w:history="1">
        <w:r w:rsidRPr="009A27ED">
          <w:rPr>
            <w:rStyle w:val="Hipervnculo"/>
            <w:noProof/>
          </w:rPr>
          <w:t>Cuadro 51. Listado de Planes y Manejo ambiental y social elaborados</w:t>
        </w:r>
        <w:r w:rsidRPr="009A27ED">
          <w:rPr>
            <w:noProof/>
            <w:webHidden/>
          </w:rPr>
          <w:tab/>
        </w:r>
        <w:r w:rsidRPr="009A27ED">
          <w:rPr>
            <w:noProof/>
            <w:webHidden/>
          </w:rPr>
          <w:fldChar w:fldCharType="begin"/>
        </w:r>
        <w:r w:rsidRPr="009A27ED">
          <w:rPr>
            <w:noProof/>
            <w:webHidden/>
          </w:rPr>
          <w:instrText xml:space="preserve"> PAGEREF _Toc111887461 \h </w:instrText>
        </w:r>
        <w:r w:rsidRPr="009A27ED">
          <w:rPr>
            <w:noProof/>
            <w:webHidden/>
          </w:rPr>
        </w:r>
        <w:r w:rsidRPr="009A27ED">
          <w:rPr>
            <w:noProof/>
            <w:webHidden/>
          </w:rPr>
          <w:fldChar w:fldCharType="separate"/>
        </w:r>
        <w:r w:rsidRPr="009A27ED">
          <w:rPr>
            <w:noProof/>
            <w:webHidden/>
          </w:rPr>
          <w:t>166</w:t>
        </w:r>
        <w:r w:rsidRPr="009A27ED">
          <w:rPr>
            <w:noProof/>
            <w:webHidden/>
          </w:rPr>
          <w:fldChar w:fldCharType="end"/>
        </w:r>
      </w:hyperlink>
    </w:p>
    <w:p w14:paraId="615CAF74" w14:textId="514BFB43"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62" w:history="1">
        <w:r w:rsidRPr="009A27ED">
          <w:rPr>
            <w:rStyle w:val="Hipervnculo"/>
            <w:noProof/>
          </w:rPr>
          <w:t>Cuadro 52. Indicadores de las Salvaguardas CMNUCC</w:t>
        </w:r>
        <w:r w:rsidRPr="009A27ED">
          <w:rPr>
            <w:noProof/>
            <w:webHidden/>
          </w:rPr>
          <w:tab/>
        </w:r>
        <w:r w:rsidRPr="009A27ED">
          <w:rPr>
            <w:noProof/>
            <w:webHidden/>
          </w:rPr>
          <w:fldChar w:fldCharType="begin"/>
        </w:r>
        <w:r w:rsidRPr="009A27ED">
          <w:rPr>
            <w:noProof/>
            <w:webHidden/>
          </w:rPr>
          <w:instrText xml:space="preserve"> PAGEREF _Toc111887462 \h </w:instrText>
        </w:r>
        <w:r w:rsidRPr="009A27ED">
          <w:rPr>
            <w:noProof/>
            <w:webHidden/>
          </w:rPr>
        </w:r>
        <w:r w:rsidRPr="009A27ED">
          <w:rPr>
            <w:noProof/>
            <w:webHidden/>
          </w:rPr>
          <w:fldChar w:fldCharType="separate"/>
        </w:r>
        <w:r w:rsidRPr="009A27ED">
          <w:rPr>
            <w:noProof/>
            <w:webHidden/>
          </w:rPr>
          <w:t>170</w:t>
        </w:r>
        <w:r w:rsidRPr="009A27ED">
          <w:rPr>
            <w:noProof/>
            <w:webHidden/>
          </w:rPr>
          <w:fldChar w:fldCharType="end"/>
        </w:r>
      </w:hyperlink>
    </w:p>
    <w:p w14:paraId="3BC3EF20" w14:textId="7674DF27"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63" w:history="1">
        <w:r w:rsidRPr="009A27ED">
          <w:rPr>
            <w:rStyle w:val="Hipervnculo"/>
            <w:noProof/>
          </w:rPr>
          <w:t>Cuadro 53. Proceso de socialización de la EN-REDD+- con los actores involucrados</w:t>
        </w:r>
        <w:r w:rsidRPr="009A27ED">
          <w:rPr>
            <w:noProof/>
            <w:webHidden/>
          </w:rPr>
          <w:tab/>
        </w:r>
        <w:r w:rsidRPr="009A27ED">
          <w:rPr>
            <w:noProof/>
            <w:webHidden/>
          </w:rPr>
          <w:fldChar w:fldCharType="begin"/>
        </w:r>
        <w:r w:rsidRPr="009A27ED">
          <w:rPr>
            <w:noProof/>
            <w:webHidden/>
          </w:rPr>
          <w:instrText xml:space="preserve"> PAGEREF _Toc111887463 \h </w:instrText>
        </w:r>
        <w:r w:rsidRPr="009A27ED">
          <w:rPr>
            <w:noProof/>
            <w:webHidden/>
          </w:rPr>
        </w:r>
        <w:r w:rsidRPr="009A27ED">
          <w:rPr>
            <w:noProof/>
            <w:webHidden/>
          </w:rPr>
          <w:fldChar w:fldCharType="separate"/>
        </w:r>
        <w:r w:rsidRPr="009A27ED">
          <w:rPr>
            <w:noProof/>
            <w:webHidden/>
          </w:rPr>
          <w:t>181</w:t>
        </w:r>
        <w:r w:rsidRPr="009A27ED">
          <w:rPr>
            <w:noProof/>
            <w:webHidden/>
          </w:rPr>
          <w:fldChar w:fldCharType="end"/>
        </w:r>
      </w:hyperlink>
    </w:p>
    <w:p w14:paraId="66B96D5F" w14:textId="16EAE68B"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64" w:history="1">
        <w:r w:rsidRPr="009A27ED">
          <w:rPr>
            <w:rStyle w:val="Hipervnculo"/>
            <w:noProof/>
          </w:rPr>
          <w:t>Cuadro 54. Indicativo de lugar y fechas de talleres en áreas priorizadas</w:t>
        </w:r>
        <w:r w:rsidRPr="009A27ED">
          <w:rPr>
            <w:noProof/>
            <w:webHidden/>
          </w:rPr>
          <w:tab/>
        </w:r>
        <w:r w:rsidRPr="009A27ED">
          <w:rPr>
            <w:noProof/>
            <w:webHidden/>
          </w:rPr>
          <w:fldChar w:fldCharType="begin"/>
        </w:r>
        <w:r w:rsidRPr="009A27ED">
          <w:rPr>
            <w:noProof/>
            <w:webHidden/>
          </w:rPr>
          <w:instrText xml:space="preserve"> PAGEREF _Toc111887464 \h </w:instrText>
        </w:r>
        <w:r w:rsidRPr="009A27ED">
          <w:rPr>
            <w:noProof/>
            <w:webHidden/>
          </w:rPr>
        </w:r>
        <w:r w:rsidRPr="009A27ED">
          <w:rPr>
            <w:noProof/>
            <w:webHidden/>
          </w:rPr>
          <w:fldChar w:fldCharType="separate"/>
        </w:r>
        <w:r w:rsidRPr="009A27ED">
          <w:rPr>
            <w:noProof/>
            <w:webHidden/>
          </w:rPr>
          <w:t>188</w:t>
        </w:r>
        <w:r w:rsidRPr="009A27ED">
          <w:rPr>
            <w:noProof/>
            <w:webHidden/>
          </w:rPr>
          <w:fldChar w:fldCharType="end"/>
        </w:r>
      </w:hyperlink>
    </w:p>
    <w:p w14:paraId="72A5D20A" w14:textId="5F9F34E7"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65" w:history="1">
        <w:r w:rsidRPr="009A27ED">
          <w:rPr>
            <w:rStyle w:val="Hipervnculo"/>
            <w:noProof/>
          </w:rPr>
          <w:t>Cuadro 55. Recomendaciones emanadas y dadas a la UTG-REDD+ por parte de las Entidades Ejecutoras y actores claves en procesos de contactos y talleres</w:t>
        </w:r>
        <w:r w:rsidRPr="009A27ED">
          <w:rPr>
            <w:noProof/>
            <w:webHidden/>
          </w:rPr>
          <w:tab/>
        </w:r>
        <w:r w:rsidRPr="009A27ED">
          <w:rPr>
            <w:noProof/>
            <w:webHidden/>
          </w:rPr>
          <w:fldChar w:fldCharType="begin"/>
        </w:r>
        <w:r w:rsidRPr="009A27ED">
          <w:rPr>
            <w:noProof/>
            <w:webHidden/>
          </w:rPr>
          <w:instrText xml:space="preserve"> PAGEREF _Toc111887465 \h </w:instrText>
        </w:r>
        <w:r w:rsidRPr="009A27ED">
          <w:rPr>
            <w:noProof/>
            <w:webHidden/>
          </w:rPr>
        </w:r>
        <w:r w:rsidRPr="009A27ED">
          <w:rPr>
            <w:noProof/>
            <w:webHidden/>
          </w:rPr>
          <w:fldChar w:fldCharType="separate"/>
        </w:r>
        <w:r w:rsidRPr="009A27ED">
          <w:rPr>
            <w:noProof/>
            <w:webHidden/>
          </w:rPr>
          <w:t>190</w:t>
        </w:r>
        <w:r w:rsidRPr="009A27ED">
          <w:rPr>
            <w:noProof/>
            <w:webHidden/>
          </w:rPr>
          <w:fldChar w:fldCharType="end"/>
        </w:r>
      </w:hyperlink>
    </w:p>
    <w:p w14:paraId="5E77C57D" w14:textId="2B47A3E9"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66" w:history="1">
        <w:r w:rsidRPr="009A27ED">
          <w:rPr>
            <w:rStyle w:val="Hipervnculo"/>
            <w:noProof/>
          </w:rPr>
          <w:t>Cuadro 56. Elementos del proceso de inducción:</w:t>
        </w:r>
        <w:r w:rsidRPr="009A27ED">
          <w:rPr>
            <w:noProof/>
            <w:webHidden/>
          </w:rPr>
          <w:tab/>
        </w:r>
        <w:r w:rsidRPr="009A27ED">
          <w:rPr>
            <w:noProof/>
            <w:webHidden/>
          </w:rPr>
          <w:fldChar w:fldCharType="begin"/>
        </w:r>
        <w:r w:rsidRPr="009A27ED">
          <w:rPr>
            <w:noProof/>
            <w:webHidden/>
          </w:rPr>
          <w:instrText xml:space="preserve"> PAGEREF _Toc111887466 \h </w:instrText>
        </w:r>
        <w:r w:rsidRPr="009A27ED">
          <w:rPr>
            <w:noProof/>
            <w:webHidden/>
          </w:rPr>
        </w:r>
        <w:r w:rsidRPr="009A27ED">
          <w:rPr>
            <w:noProof/>
            <w:webHidden/>
          </w:rPr>
          <w:fldChar w:fldCharType="separate"/>
        </w:r>
        <w:r w:rsidRPr="009A27ED">
          <w:rPr>
            <w:noProof/>
            <w:webHidden/>
          </w:rPr>
          <w:t>196</w:t>
        </w:r>
        <w:r w:rsidRPr="009A27ED">
          <w:rPr>
            <w:noProof/>
            <w:webHidden/>
          </w:rPr>
          <w:fldChar w:fldCharType="end"/>
        </w:r>
      </w:hyperlink>
    </w:p>
    <w:p w14:paraId="33E02FFE" w14:textId="1FC32CE6"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67" w:history="1">
        <w:r w:rsidRPr="009A27ED">
          <w:rPr>
            <w:rStyle w:val="Hipervnculo"/>
            <w:noProof/>
          </w:rPr>
          <w:t>Cuadro 57. Disposiciones legales relevantes para la Distribución de Beneficios</w:t>
        </w:r>
        <w:r w:rsidRPr="009A27ED">
          <w:rPr>
            <w:noProof/>
            <w:webHidden/>
          </w:rPr>
          <w:tab/>
        </w:r>
        <w:r w:rsidRPr="009A27ED">
          <w:rPr>
            <w:noProof/>
            <w:webHidden/>
          </w:rPr>
          <w:fldChar w:fldCharType="begin"/>
        </w:r>
        <w:r w:rsidRPr="009A27ED">
          <w:rPr>
            <w:noProof/>
            <w:webHidden/>
          </w:rPr>
          <w:instrText xml:space="preserve"> PAGEREF _Toc111887467 \h </w:instrText>
        </w:r>
        <w:r w:rsidRPr="009A27ED">
          <w:rPr>
            <w:noProof/>
            <w:webHidden/>
          </w:rPr>
        </w:r>
        <w:r w:rsidRPr="009A27ED">
          <w:rPr>
            <w:noProof/>
            <w:webHidden/>
          </w:rPr>
          <w:fldChar w:fldCharType="separate"/>
        </w:r>
        <w:r w:rsidRPr="009A27ED">
          <w:rPr>
            <w:noProof/>
            <w:webHidden/>
          </w:rPr>
          <w:t>204</w:t>
        </w:r>
        <w:r w:rsidRPr="009A27ED">
          <w:rPr>
            <w:noProof/>
            <w:webHidden/>
          </w:rPr>
          <w:fldChar w:fldCharType="end"/>
        </w:r>
      </w:hyperlink>
    </w:p>
    <w:p w14:paraId="3A9DE61C" w14:textId="4CADEE92"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68" w:history="1">
        <w:r w:rsidRPr="009A27ED">
          <w:rPr>
            <w:rStyle w:val="Hipervnculo"/>
            <w:noProof/>
          </w:rPr>
          <w:t>Cuadro 58. Costos operacionales y transaccionales estimados del Programa REDD++ y el PDB</w:t>
        </w:r>
        <w:r w:rsidRPr="009A27ED">
          <w:rPr>
            <w:noProof/>
            <w:webHidden/>
          </w:rPr>
          <w:tab/>
        </w:r>
        <w:r w:rsidRPr="009A27ED">
          <w:rPr>
            <w:noProof/>
            <w:webHidden/>
          </w:rPr>
          <w:fldChar w:fldCharType="begin"/>
        </w:r>
        <w:r w:rsidRPr="009A27ED">
          <w:rPr>
            <w:noProof/>
            <w:webHidden/>
          </w:rPr>
          <w:instrText xml:space="preserve"> PAGEREF _Toc111887468 \h </w:instrText>
        </w:r>
        <w:r w:rsidRPr="009A27ED">
          <w:rPr>
            <w:noProof/>
            <w:webHidden/>
          </w:rPr>
        </w:r>
        <w:r w:rsidRPr="009A27ED">
          <w:rPr>
            <w:noProof/>
            <w:webHidden/>
          </w:rPr>
          <w:fldChar w:fldCharType="separate"/>
        </w:r>
        <w:r w:rsidRPr="009A27ED">
          <w:rPr>
            <w:noProof/>
            <w:webHidden/>
          </w:rPr>
          <w:t>210</w:t>
        </w:r>
        <w:r w:rsidRPr="009A27ED">
          <w:rPr>
            <w:noProof/>
            <w:webHidden/>
          </w:rPr>
          <w:fldChar w:fldCharType="end"/>
        </w:r>
      </w:hyperlink>
    </w:p>
    <w:p w14:paraId="56919AE9" w14:textId="5C36ADED"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69" w:history="1">
        <w:r w:rsidRPr="009A27ED">
          <w:rPr>
            <w:rStyle w:val="Hipervnculo"/>
            <w:noProof/>
          </w:rPr>
          <w:t>Cuadro 59. Políticas Operativas del Banco Mundial. Análisis y aplicación relacionadas a leyes del país.</w:t>
        </w:r>
        <w:r w:rsidRPr="009A27ED">
          <w:rPr>
            <w:noProof/>
            <w:webHidden/>
          </w:rPr>
          <w:tab/>
        </w:r>
        <w:r w:rsidRPr="009A27ED">
          <w:rPr>
            <w:noProof/>
            <w:webHidden/>
          </w:rPr>
          <w:fldChar w:fldCharType="begin"/>
        </w:r>
        <w:r w:rsidRPr="009A27ED">
          <w:rPr>
            <w:noProof/>
            <w:webHidden/>
          </w:rPr>
          <w:instrText xml:space="preserve"> PAGEREF _Toc111887469 \h </w:instrText>
        </w:r>
        <w:r w:rsidRPr="009A27ED">
          <w:rPr>
            <w:noProof/>
            <w:webHidden/>
          </w:rPr>
        </w:r>
        <w:r w:rsidRPr="009A27ED">
          <w:rPr>
            <w:noProof/>
            <w:webHidden/>
          </w:rPr>
          <w:fldChar w:fldCharType="separate"/>
        </w:r>
        <w:r w:rsidRPr="009A27ED">
          <w:rPr>
            <w:noProof/>
            <w:webHidden/>
          </w:rPr>
          <w:t>212</w:t>
        </w:r>
        <w:r w:rsidRPr="009A27ED">
          <w:rPr>
            <w:noProof/>
            <w:webHidden/>
          </w:rPr>
          <w:fldChar w:fldCharType="end"/>
        </w:r>
      </w:hyperlink>
    </w:p>
    <w:p w14:paraId="2AF0B536" w14:textId="72A867D2"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70" w:history="1">
        <w:r w:rsidRPr="009A27ED">
          <w:rPr>
            <w:rStyle w:val="Hipervnculo"/>
            <w:noProof/>
          </w:rPr>
          <w:t>Cuadro 60. Análisis de brechas o vacíos entre el marco legal e institucional del país y la Política Operacional 4.12 del Banco Mundial.</w:t>
        </w:r>
        <w:r w:rsidRPr="009A27ED">
          <w:rPr>
            <w:noProof/>
            <w:webHidden/>
          </w:rPr>
          <w:tab/>
        </w:r>
        <w:r w:rsidRPr="009A27ED">
          <w:rPr>
            <w:noProof/>
            <w:webHidden/>
          </w:rPr>
          <w:fldChar w:fldCharType="begin"/>
        </w:r>
        <w:r w:rsidRPr="009A27ED">
          <w:rPr>
            <w:noProof/>
            <w:webHidden/>
          </w:rPr>
          <w:instrText xml:space="preserve"> PAGEREF _Toc111887470 \h </w:instrText>
        </w:r>
        <w:r w:rsidRPr="009A27ED">
          <w:rPr>
            <w:noProof/>
            <w:webHidden/>
          </w:rPr>
        </w:r>
        <w:r w:rsidRPr="009A27ED">
          <w:rPr>
            <w:noProof/>
            <w:webHidden/>
          </w:rPr>
          <w:fldChar w:fldCharType="separate"/>
        </w:r>
        <w:r w:rsidRPr="009A27ED">
          <w:rPr>
            <w:noProof/>
            <w:webHidden/>
          </w:rPr>
          <w:t>253</w:t>
        </w:r>
        <w:r w:rsidRPr="009A27ED">
          <w:rPr>
            <w:noProof/>
            <w:webHidden/>
          </w:rPr>
          <w:fldChar w:fldCharType="end"/>
        </w:r>
      </w:hyperlink>
    </w:p>
    <w:p w14:paraId="6F64A6EA" w14:textId="5EBBC5B8" w:rsidR="00DF3AFC" w:rsidRPr="009A27ED" w:rsidRDefault="00DF3AFC">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7471" w:history="1">
        <w:r w:rsidRPr="009A27ED">
          <w:rPr>
            <w:rStyle w:val="Hipervnculo"/>
            <w:noProof/>
          </w:rPr>
          <w:t>Cuadro 61 Los criterios de elegibilidad con respecto a la afectación, y sus diferentes alternativas de solución son.</w:t>
        </w:r>
        <w:r w:rsidRPr="009A27ED">
          <w:rPr>
            <w:noProof/>
            <w:webHidden/>
          </w:rPr>
          <w:tab/>
        </w:r>
        <w:r w:rsidRPr="009A27ED">
          <w:rPr>
            <w:noProof/>
            <w:webHidden/>
          </w:rPr>
          <w:fldChar w:fldCharType="begin"/>
        </w:r>
        <w:r w:rsidRPr="009A27ED">
          <w:rPr>
            <w:noProof/>
            <w:webHidden/>
          </w:rPr>
          <w:instrText xml:space="preserve"> PAGEREF _Toc111887471 \h </w:instrText>
        </w:r>
        <w:r w:rsidRPr="009A27ED">
          <w:rPr>
            <w:noProof/>
            <w:webHidden/>
          </w:rPr>
        </w:r>
        <w:r w:rsidRPr="009A27ED">
          <w:rPr>
            <w:noProof/>
            <w:webHidden/>
          </w:rPr>
          <w:fldChar w:fldCharType="separate"/>
        </w:r>
        <w:r w:rsidRPr="009A27ED">
          <w:rPr>
            <w:noProof/>
            <w:webHidden/>
          </w:rPr>
          <w:t>259</w:t>
        </w:r>
        <w:r w:rsidRPr="009A27ED">
          <w:rPr>
            <w:noProof/>
            <w:webHidden/>
          </w:rPr>
          <w:fldChar w:fldCharType="end"/>
        </w:r>
      </w:hyperlink>
    </w:p>
    <w:p w14:paraId="03645819" w14:textId="4C475759" w:rsidR="00DF3AFC" w:rsidRPr="009A27ED" w:rsidRDefault="00DF3AFC">
      <w:pPr>
        <w:pStyle w:val="Tabladeilustraciones"/>
        <w:tabs>
          <w:tab w:val="right" w:leader="dot" w:pos="9394"/>
        </w:tabs>
        <w:spacing w:line="360" w:lineRule="auto"/>
        <w:jc w:val="both"/>
        <w:rPr>
          <w:rStyle w:val="Hipervnculo"/>
          <w:noProof/>
        </w:rPr>
      </w:pPr>
      <w:hyperlink w:anchor="_Toc111887472" w:history="1">
        <w:r w:rsidRPr="009A27ED">
          <w:rPr>
            <w:rStyle w:val="Hipervnculo"/>
            <w:noProof/>
          </w:rPr>
          <w:t>Cuadro 62. Resultados de diagnóstico preliminar sobre titularidad de la tierra en República Dominicana, con 1,500 muestras como universo del estudio.</w:t>
        </w:r>
        <w:r w:rsidRPr="009A27ED">
          <w:rPr>
            <w:noProof/>
            <w:webHidden/>
          </w:rPr>
          <w:tab/>
        </w:r>
        <w:r w:rsidRPr="009A27ED">
          <w:rPr>
            <w:noProof/>
            <w:webHidden/>
          </w:rPr>
          <w:fldChar w:fldCharType="begin"/>
        </w:r>
        <w:r w:rsidRPr="009A27ED">
          <w:rPr>
            <w:noProof/>
            <w:webHidden/>
          </w:rPr>
          <w:instrText xml:space="preserve"> PAGEREF _Toc111887472 \h </w:instrText>
        </w:r>
        <w:r w:rsidRPr="009A27ED">
          <w:rPr>
            <w:noProof/>
            <w:webHidden/>
          </w:rPr>
        </w:r>
        <w:r w:rsidRPr="009A27ED">
          <w:rPr>
            <w:noProof/>
            <w:webHidden/>
          </w:rPr>
          <w:fldChar w:fldCharType="separate"/>
        </w:r>
        <w:r w:rsidRPr="009A27ED">
          <w:rPr>
            <w:noProof/>
            <w:webHidden/>
          </w:rPr>
          <w:t>280</w:t>
        </w:r>
        <w:r w:rsidRPr="009A27ED">
          <w:rPr>
            <w:noProof/>
            <w:webHidden/>
          </w:rPr>
          <w:fldChar w:fldCharType="end"/>
        </w:r>
      </w:hyperlink>
    </w:p>
    <w:p w14:paraId="67EEBDD5" w14:textId="77777777" w:rsidR="004330D8" w:rsidRPr="009A27ED" w:rsidRDefault="004330D8" w:rsidP="004330D8">
      <w:pPr>
        <w:spacing w:line="360" w:lineRule="auto"/>
        <w:rPr>
          <w:lang w:eastAsia="es-DO"/>
        </w:rPr>
      </w:pPr>
    </w:p>
    <w:p w14:paraId="269DAC72" w14:textId="33F16824" w:rsidR="0078443F" w:rsidRPr="009A27ED" w:rsidRDefault="00740501" w:rsidP="004330D8">
      <w:pPr>
        <w:pStyle w:val="Sinespaciado"/>
        <w:spacing w:line="360" w:lineRule="auto"/>
        <w:rPr>
          <w:b/>
          <w:noProof/>
          <w:sz w:val="28"/>
          <w:szCs w:val="28"/>
        </w:rPr>
      </w:pPr>
      <w:r w:rsidRPr="009A27ED">
        <w:rPr>
          <w:rFonts w:ascii="Times New Roman" w:eastAsia="Times New Roman" w:hAnsi="Times New Roman"/>
          <w:sz w:val="24"/>
        </w:rPr>
        <w:fldChar w:fldCharType="end"/>
      </w:r>
      <w:bookmarkStart w:id="2" w:name="_Toc532335834"/>
      <w:r w:rsidR="004330D8" w:rsidRPr="009A27ED">
        <w:rPr>
          <w:rFonts w:ascii="Times New Roman" w:eastAsia="Times New Roman" w:hAnsi="Times New Roman"/>
          <w:b/>
          <w:sz w:val="24"/>
          <w:szCs w:val="28"/>
        </w:rPr>
        <w:t xml:space="preserve">Esquemas </w:t>
      </w:r>
      <w:r w:rsidR="00E84BF9" w:rsidRPr="009A27ED">
        <w:rPr>
          <w:rFonts w:ascii="Times New Roman" w:eastAsia="Times New Roman" w:hAnsi="Times New Roman"/>
          <w:b/>
          <w:sz w:val="24"/>
          <w:szCs w:val="28"/>
        </w:rPr>
        <w:fldChar w:fldCharType="begin"/>
      </w:r>
      <w:r w:rsidR="00E84BF9" w:rsidRPr="009A27ED">
        <w:rPr>
          <w:rFonts w:ascii="Times New Roman" w:eastAsia="Times New Roman" w:hAnsi="Times New Roman"/>
          <w:b/>
          <w:sz w:val="24"/>
          <w:szCs w:val="28"/>
        </w:rPr>
        <w:instrText xml:space="preserve"> TOC \h \z \c "Esquema " </w:instrText>
      </w:r>
      <w:r w:rsidR="00E84BF9" w:rsidRPr="009A27ED">
        <w:rPr>
          <w:rFonts w:ascii="Times New Roman" w:eastAsia="Times New Roman" w:hAnsi="Times New Roman"/>
          <w:b/>
          <w:sz w:val="24"/>
          <w:szCs w:val="28"/>
        </w:rPr>
        <w:fldChar w:fldCharType="separate"/>
      </w:r>
    </w:p>
    <w:p w14:paraId="09ED6A5C" w14:textId="021A17F8" w:rsidR="0078443F" w:rsidRPr="009A27ED" w:rsidRDefault="0078443F">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r:id="rId15" w:anchor="_Toc111889889" w:history="1">
        <w:r w:rsidRPr="009A27ED">
          <w:rPr>
            <w:rStyle w:val="Hipervnculo"/>
            <w:noProof/>
          </w:rPr>
          <w:t>Esquema  1. Opciones y Acciones Estratégicas REDD+. Actividades Tipo y Entidades Ejecutoras</w:t>
        </w:r>
        <w:r w:rsidRPr="009A27ED">
          <w:rPr>
            <w:noProof/>
            <w:webHidden/>
          </w:rPr>
          <w:tab/>
        </w:r>
        <w:r w:rsidRPr="009A27ED">
          <w:rPr>
            <w:noProof/>
            <w:webHidden/>
          </w:rPr>
          <w:fldChar w:fldCharType="begin"/>
        </w:r>
        <w:r w:rsidRPr="009A27ED">
          <w:rPr>
            <w:noProof/>
            <w:webHidden/>
          </w:rPr>
          <w:instrText xml:space="preserve"> PAGEREF _Toc111889889 \h </w:instrText>
        </w:r>
        <w:r w:rsidRPr="009A27ED">
          <w:rPr>
            <w:noProof/>
            <w:webHidden/>
          </w:rPr>
        </w:r>
        <w:r w:rsidRPr="009A27ED">
          <w:rPr>
            <w:noProof/>
            <w:webHidden/>
          </w:rPr>
          <w:fldChar w:fldCharType="separate"/>
        </w:r>
        <w:r w:rsidRPr="009A27ED">
          <w:rPr>
            <w:noProof/>
            <w:webHidden/>
          </w:rPr>
          <w:t>21</w:t>
        </w:r>
        <w:r w:rsidRPr="009A27ED">
          <w:rPr>
            <w:noProof/>
            <w:webHidden/>
          </w:rPr>
          <w:fldChar w:fldCharType="end"/>
        </w:r>
      </w:hyperlink>
    </w:p>
    <w:p w14:paraId="7415EFD6" w14:textId="7651D02D" w:rsidR="0078443F" w:rsidRPr="009A27ED" w:rsidRDefault="0078443F">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9890" w:history="1">
        <w:r w:rsidRPr="009A27ED">
          <w:rPr>
            <w:rStyle w:val="Hipervnculo"/>
            <w:noProof/>
          </w:rPr>
          <w:t>Esquema  2. Causas indirectas o subyacentes de la deforestación y degradación de los bosques en la República Dominicana</w:t>
        </w:r>
        <w:r w:rsidRPr="009A27ED">
          <w:rPr>
            <w:noProof/>
            <w:webHidden/>
          </w:rPr>
          <w:tab/>
        </w:r>
        <w:r w:rsidRPr="009A27ED">
          <w:rPr>
            <w:noProof/>
            <w:webHidden/>
          </w:rPr>
          <w:fldChar w:fldCharType="begin"/>
        </w:r>
        <w:r w:rsidRPr="009A27ED">
          <w:rPr>
            <w:noProof/>
            <w:webHidden/>
          </w:rPr>
          <w:instrText xml:space="preserve"> PAGEREF _Toc111889890 \h </w:instrText>
        </w:r>
        <w:r w:rsidRPr="009A27ED">
          <w:rPr>
            <w:noProof/>
            <w:webHidden/>
          </w:rPr>
        </w:r>
        <w:r w:rsidRPr="009A27ED">
          <w:rPr>
            <w:noProof/>
            <w:webHidden/>
          </w:rPr>
          <w:fldChar w:fldCharType="separate"/>
        </w:r>
        <w:r w:rsidRPr="009A27ED">
          <w:rPr>
            <w:noProof/>
            <w:webHidden/>
          </w:rPr>
          <w:t>38</w:t>
        </w:r>
        <w:r w:rsidRPr="009A27ED">
          <w:rPr>
            <w:noProof/>
            <w:webHidden/>
          </w:rPr>
          <w:fldChar w:fldCharType="end"/>
        </w:r>
      </w:hyperlink>
    </w:p>
    <w:p w14:paraId="089EC93A" w14:textId="28B89633" w:rsidR="0078443F" w:rsidRPr="009A27ED" w:rsidRDefault="0078443F">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9891" w:history="1">
        <w:r w:rsidRPr="009A27ED">
          <w:rPr>
            <w:rStyle w:val="Hipervnculo"/>
            <w:noProof/>
          </w:rPr>
          <w:t>Esquema  3. Coordinación de la OCR con las Entidades Ejecutoras</w:t>
        </w:r>
        <w:r w:rsidRPr="009A27ED">
          <w:rPr>
            <w:noProof/>
            <w:webHidden/>
          </w:rPr>
          <w:tab/>
        </w:r>
        <w:r w:rsidRPr="009A27ED">
          <w:rPr>
            <w:noProof/>
            <w:webHidden/>
          </w:rPr>
          <w:fldChar w:fldCharType="begin"/>
        </w:r>
        <w:r w:rsidRPr="009A27ED">
          <w:rPr>
            <w:noProof/>
            <w:webHidden/>
          </w:rPr>
          <w:instrText xml:space="preserve"> PAGEREF _Toc111889891 \h </w:instrText>
        </w:r>
        <w:r w:rsidRPr="009A27ED">
          <w:rPr>
            <w:noProof/>
            <w:webHidden/>
          </w:rPr>
        </w:r>
        <w:r w:rsidRPr="009A27ED">
          <w:rPr>
            <w:noProof/>
            <w:webHidden/>
          </w:rPr>
          <w:fldChar w:fldCharType="separate"/>
        </w:r>
        <w:r w:rsidRPr="009A27ED">
          <w:rPr>
            <w:noProof/>
            <w:webHidden/>
          </w:rPr>
          <w:t>151</w:t>
        </w:r>
        <w:r w:rsidRPr="009A27ED">
          <w:rPr>
            <w:noProof/>
            <w:webHidden/>
          </w:rPr>
          <w:fldChar w:fldCharType="end"/>
        </w:r>
      </w:hyperlink>
    </w:p>
    <w:p w14:paraId="4E9A5983" w14:textId="4C991C3D" w:rsidR="0078443F" w:rsidRPr="009A27ED" w:rsidRDefault="0078443F">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9892" w:history="1">
        <w:r w:rsidRPr="009A27ED">
          <w:rPr>
            <w:rStyle w:val="Hipervnculo"/>
            <w:noProof/>
          </w:rPr>
          <w:t>Esquema  4. . Instituciones claves para la implementación del MGAS</w:t>
        </w:r>
        <w:r w:rsidRPr="009A27ED">
          <w:rPr>
            <w:noProof/>
            <w:webHidden/>
          </w:rPr>
          <w:tab/>
        </w:r>
        <w:r w:rsidRPr="009A27ED">
          <w:rPr>
            <w:noProof/>
            <w:webHidden/>
          </w:rPr>
          <w:fldChar w:fldCharType="begin"/>
        </w:r>
        <w:r w:rsidRPr="009A27ED">
          <w:rPr>
            <w:noProof/>
            <w:webHidden/>
          </w:rPr>
          <w:instrText xml:space="preserve"> PAGEREF _Toc111889892 \h </w:instrText>
        </w:r>
        <w:r w:rsidRPr="009A27ED">
          <w:rPr>
            <w:noProof/>
            <w:webHidden/>
          </w:rPr>
        </w:r>
        <w:r w:rsidRPr="009A27ED">
          <w:rPr>
            <w:noProof/>
            <w:webHidden/>
          </w:rPr>
          <w:fldChar w:fldCharType="separate"/>
        </w:r>
        <w:r w:rsidRPr="009A27ED">
          <w:rPr>
            <w:noProof/>
            <w:webHidden/>
          </w:rPr>
          <w:t>152</w:t>
        </w:r>
        <w:r w:rsidRPr="009A27ED">
          <w:rPr>
            <w:noProof/>
            <w:webHidden/>
          </w:rPr>
          <w:fldChar w:fldCharType="end"/>
        </w:r>
      </w:hyperlink>
    </w:p>
    <w:p w14:paraId="1268CD36" w14:textId="0B454BFF" w:rsidR="0078443F" w:rsidRPr="009A27ED" w:rsidRDefault="0078443F">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9893" w:history="1">
        <w:r w:rsidRPr="009A27ED">
          <w:rPr>
            <w:rStyle w:val="Hipervnculo"/>
            <w:noProof/>
          </w:rPr>
          <w:t>Esquema  5. Fases del proceso para implementar el MGAS</w:t>
        </w:r>
        <w:r w:rsidRPr="009A27ED">
          <w:rPr>
            <w:noProof/>
            <w:webHidden/>
          </w:rPr>
          <w:tab/>
        </w:r>
        <w:r w:rsidRPr="009A27ED">
          <w:rPr>
            <w:noProof/>
            <w:webHidden/>
          </w:rPr>
          <w:fldChar w:fldCharType="begin"/>
        </w:r>
        <w:r w:rsidRPr="009A27ED">
          <w:rPr>
            <w:noProof/>
            <w:webHidden/>
          </w:rPr>
          <w:instrText xml:space="preserve"> PAGEREF _Toc111889893 \h </w:instrText>
        </w:r>
        <w:r w:rsidRPr="009A27ED">
          <w:rPr>
            <w:noProof/>
            <w:webHidden/>
          </w:rPr>
        </w:r>
        <w:r w:rsidRPr="009A27ED">
          <w:rPr>
            <w:noProof/>
            <w:webHidden/>
          </w:rPr>
          <w:fldChar w:fldCharType="separate"/>
        </w:r>
        <w:r w:rsidRPr="009A27ED">
          <w:rPr>
            <w:noProof/>
            <w:webHidden/>
          </w:rPr>
          <w:t>164</w:t>
        </w:r>
        <w:r w:rsidRPr="009A27ED">
          <w:rPr>
            <w:noProof/>
            <w:webHidden/>
          </w:rPr>
          <w:fldChar w:fldCharType="end"/>
        </w:r>
      </w:hyperlink>
    </w:p>
    <w:p w14:paraId="59954331" w14:textId="54A900C5" w:rsidR="0078443F" w:rsidRPr="009A27ED" w:rsidRDefault="0078443F">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9894" w:history="1">
        <w:r w:rsidRPr="009A27ED">
          <w:rPr>
            <w:rStyle w:val="Hipervnculo"/>
            <w:noProof/>
          </w:rPr>
          <w:t>Esquema  6.  Arreglos institucionales del SIS</w:t>
        </w:r>
        <w:r w:rsidRPr="009A27ED">
          <w:rPr>
            <w:noProof/>
            <w:webHidden/>
          </w:rPr>
          <w:tab/>
        </w:r>
        <w:r w:rsidRPr="009A27ED">
          <w:rPr>
            <w:noProof/>
            <w:webHidden/>
          </w:rPr>
          <w:fldChar w:fldCharType="begin"/>
        </w:r>
        <w:r w:rsidRPr="009A27ED">
          <w:rPr>
            <w:noProof/>
            <w:webHidden/>
          </w:rPr>
          <w:instrText xml:space="preserve"> PAGEREF _Toc111889894 \h </w:instrText>
        </w:r>
        <w:r w:rsidRPr="009A27ED">
          <w:rPr>
            <w:noProof/>
            <w:webHidden/>
          </w:rPr>
        </w:r>
        <w:r w:rsidRPr="009A27ED">
          <w:rPr>
            <w:noProof/>
            <w:webHidden/>
          </w:rPr>
          <w:fldChar w:fldCharType="separate"/>
        </w:r>
        <w:r w:rsidRPr="009A27ED">
          <w:rPr>
            <w:noProof/>
            <w:webHidden/>
          </w:rPr>
          <w:t>171</w:t>
        </w:r>
        <w:r w:rsidRPr="009A27ED">
          <w:rPr>
            <w:noProof/>
            <w:webHidden/>
          </w:rPr>
          <w:fldChar w:fldCharType="end"/>
        </w:r>
      </w:hyperlink>
    </w:p>
    <w:p w14:paraId="4E3F9FF1" w14:textId="0AC9753D" w:rsidR="0078443F" w:rsidRPr="009A27ED" w:rsidRDefault="0078443F">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9895" w:history="1">
        <w:r w:rsidRPr="009A27ED">
          <w:rPr>
            <w:rStyle w:val="Hipervnculo"/>
            <w:noProof/>
          </w:rPr>
          <w:t>Esquema  7. Flujo de proceso de la información (Fuente: Elaboración propia Ministerio Medio Ambiente, Consultores y Asociados)</w:t>
        </w:r>
        <w:r w:rsidRPr="009A27ED">
          <w:rPr>
            <w:noProof/>
            <w:webHidden/>
          </w:rPr>
          <w:tab/>
        </w:r>
        <w:r w:rsidRPr="009A27ED">
          <w:rPr>
            <w:noProof/>
            <w:webHidden/>
          </w:rPr>
          <w:fldChar w:fldCharType="begin"/>
        </w:r>
        <w:r w:rsidRPr="009A27ED">
          <w:rPr>
            <w:noProof/>
            <w:webHidden/>
          </w:rPr>
          <w:instrText xml:space="preserve"> PAGEREF _Toc111889895 \h </w:instrText>
        </w:r>
        <w:r w:rsidRPr="009A27ED">
          <w:rPr>
            <w:noProof/>
            <w:webHidden/>
          </w:rPr>
        </w:r>
        <w:r w:rsidRPr="009A27ED">
          <w:rPr>
            <w:noProof/>
            <w:webHidden/>
          </w:rPr>
          <w:fldChar w:fldCharType="separate"/>
        </w:r>
        <w:r w:rsidRPr="009A27ED">
          <w:rPr>
            <w:noProof/>
            <w:webHidden/>
          </w:rPr>
          <w:t>172</w:t>
        </w:r>
        <w:r w:rsidRPr="009A27ED">
          <w:rPr>
            <w:noProof/>
            <w:webHidden/>
          </w:rPr>
          <w:fldChar w:fldCharType="end"/>
        </w:r>
      </w:hyperlink>
    </w:p>
    <w:p w14:paraId="79E7C507" w14:textId="40D9B720" w:rsidR="0078443F" w:rsidRPr="009A27ED" w:rsidRDefault="0078443F">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9896" w:history="1">
        <w:r w:rsidRPr="009A27ED">
          <w:rPr>
            <w:rStyle w:val="Hipervnculo"/>
            <w:noProof/>
          </w:rPr>
          <w:t>Esquema  8. Procedimiento para el MQRC en República Dominicana</w:t>
        </w:r>
        <w:r w:rsidRPr="009A27ED">
          <w:rPr>
            <w:noProof/>
            <w:webHidden/>
          </w:rPr>
          <w:tab/>
        </w:r>
        <w:r w:rsidRPr="009A27ED">
          <w:rPr>
            <w:noProof/>
            <w:webHidden/>
          </w:rPr>
          <w:fldChar w:fldCharType="begin"/>
        </w:r>
        <w:r w:rsidRPr="009A27ED">
          <w:rPr>
            <w:noProof/>
            <w:webHidden/>
          </w:rPr>
          <w:instrText xml:space="preserve"> PAGEREF _Toc111889896 \h </w:instrText>
        </w:r>
        <w:r w:rsidRPr="009A27ED">
          <w:rPr>
            <w:noProof/>
            <w:webHidden/>
          </w:rPr>
        </w:r>
        <w:r w:rsidRPr="009A27ED">
          <w:rPr>
            <w:noProof/>
            <w:webHidden/>
          </w:rPr>
          <w:fldChar w:fldCharType="separate"/>
        </w:r>
        <w:r w:rsidRPr="009A27ED">
          <w:rPr>
            <w:noProof/>
            <w:webHidden/>
          </w:rPr>
          <w:t>176</w:t>
        </w:r>
        <w:r w:rsidRPr="009A27ED">
          <w:rPr>
            <w:noProof/>
            <w:webHidden/>
          </w:rPr>
          <w:fldChar w:fldCharType="end"/>
        </w:r>
      </w:hyperlink>
    </w:p>
    <w:p w14:paraId="4B7E8DA3" w14:textId="2B5697E2" w:rsidR="0078443F" w:rsidRPr="009A27ED" w:rsidRDefault="0078443F">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9897" w:history="1">
        <w:r w:rsidRPr="009A27ED">
          <w:rPr>
            <w:rStyle w:val="Hipervnculo"/>
            <w:noProof/>
          </w:rPr>
          <w:t>Esquema  9. Descripción del PDB, los arreglos y los mecanismos para la distribución de beneficios e ilustración de la relación entre ellos.</w:t>
        </w:r>
        <w:r w:rsidRPr="009A27ED">
          <w:rPr>
            <w:noProof/>
            <w:webHidden/>
          </w:rPr>
          <w:tab/>
        </w:r>
        <w:r w:rsidRPr="009A27ED">
          <w:rPr>
            <w:noProof/>
            <w:webHidden/>
          </w:rPr>
          <w:fldChar w:fldCharType="begin"/>
        </w:r>
        <w:r w:rsidRPr="009A27ED">
          <w:rPr>
            <w:noProof/>
            <w:webHidden/>
          </w:rPr>
          <w:instrText xml:space="preserve"> PAGEREF _Toc111889897 \h </w:instrText>
        </w:r>
        <w:r w:rsidRPr="009A27ED">
          <w:rPr>
            <w:noProof/>
            <w:webHidden/>
          </w:rPr>
        </w:r>
        <w:r w:rsidRPr="009A27ED">
          <w:rPr>
            <w:noProof/>
            <w:webHidden/>
          </w:rPr>
          <w:fldChar w:fldCharType="separate"/>
        </w:r>
        <w:r w:rsidRPr="009A27ED">
          <w:rPr>
            <w:noProof/>
            <w:webHidden/>
          </w:rPr>
          <w:t>201</w:t>
        </w:r>
        <w:r w:rsidRPr="009A27ED">
          <w:rPr>
            <w:noProof/>
            <w:webHidden/>
          </w:rPr>
          <w:fldChar w:fldCharType="end"/>
        </w:r>
      </w:hyperlink>
    </w:p>
    <w:p w14:paraId="510C75DD" w14:textId="3B3EFB65" w:rsidR="0078443F" w:rsidRPr="009A27ED" w:rsidRDefault="0078443F">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r:id="rId16" w:anchor="_Toc111889898" w:history="1">
        <w:r w:rsidRPr="009A27ED">
          <w:rPr>
            <w:rStyle w:val="Hipervnculo"/>
            <w:noProof/>
          </w:rPr>
          <w:t>Esquema  10.  Flujo de beneficios y procesos de toma de decisiones para la distribución de beneficios</w:t>
        </w:r>
        <w:r w:rsidRPr="009A27ED">
          <w:rPr>
            <w:noProof/>
            <w:webHidden/>
          </w:rPr>
          <w:tab/>
        </w:r>
        <w:r w:rsidRPr="009A27ED">
          <w:rPr>
            <w:noProof/>
            <w:webHidden/>
          </w:rPr>
          <w:fldChar w:fldCharType="begin"/>
        </w:r>
        <w:r w:rsidRPr="009A27ED">
          <w:rPr>
            <w:noProof/>
            <w:webHidden/>
          </w:rPr>
          <w:instrText xml:space="preserve"> PAGEREF _Toc111889898 \h </w:instrText>
        </w:r>
        <w:r w:rsidRPr="009A27ED">
          <w:rPr>
            <w:noProof/>
            <w:webHidden/>
          </w:rPr>
        </w:r>
        <w:r w:rsidRPr="009A27ED">
          <w:rPr>
            <w:noProof/>
            <w:webHidden/>
          </w:rPr>
          <w:fldChar w:fldCharType="separate"/>
        </w:r>
        <w:r w:rsidRPr="009A27ED">
          <w:rPr>
            <w:noProof/>
            <w:webHidden/>
          </w:rPr>
          <w:t>207</w:t>
        </w:r>
        <w:r w:rsidRPr="009A27ED">
          <w:rPr>
            <w:noProof/>
            <w:webHidden/>
          </w:rPr>
          <w:fldChar w:fldCharType="end"/>
        </w:r>
      </w:hyperlink>
    </w:p>
    <w:p w14:paraId="66127C58" w14:textId="283436E8" w:rsidR="0078443F" w:rsidRPr="009A27ED" w:rsidRDefault="0078443F">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89899" w:history="1">
        <w:r w:rsidRPr="009A27ED">
          <w:rPr>
            <w:rStyle w:val="Hipervnculo"/>
            <w:noProof/>
          </w:rPr>
          <w:t>Esquema  11. Flujograma del proceso de solicitud PSA-CYN</w:t>
        </w:r>
        <w:r w:rsidRPr="009A27ED">
          <w:rPr>
            <w:noProof/>
            <w:webHidden/>
          </w:rPr>
          <w:tab/>
        </w:r>
        <w:r w:rsidRPr="009A27ED">
          <w:rPr>
            <w:noProof/>
            <w:webHidden/>
          </w:rPr>
          <w:fldChar w:fldCharType="begin"/>
        </w:r>
        <w:r w:rsidRPr="009A27ED">
          <w:rPr>
            <w:noProof/>
            <w:webHidden/>
          </w:rPr>
          <w:instrText xml:space="preserve"> PAGEREF _Toc111889899 \h </w:instrText>
        </w:r>
        <w:r w:rsidRPr="009A27ED">
          <w:rPr>
            <w:noProof/>
            <w:webHidden/>
          </w:rPr>
        </w:r>
        <w:r w:rsidRPr="009A27ED">
          <w:rPr>
            <w:noProof/>
            <w:webHidden/>
          </w:rPr>
          <w:fldChar w:fldCharType="separate"/>
        </w:r>
        <w:r w:rsidRPr="009A27ED">
          <w:rPr>
            <w:noProof/>
            <w:webHidden/>
          </w:rPr>
          <w:t>279</w:t>
        </w:r>
        <w:r w:rsidRPr="009A27ED">
          <w:rPr>
            <w:noProof/>
            <w:webHidden/>
          </w:rPr>
          <w:fldChar w:fldCharType="end"/>
        </w:r>
      </w:hyperlink>
    </w:p>
    <w:p w14:paraId="4D6CF53B" w14:textId="682F5E1B" w:rsidR="00CE6214" w:rsidRPr="009A27ED" w:rsidRDefault="00E84BF9" w:rsidP="00E84BF9">
      <w:pPr>
        <w:pStyle w:val="Sinespaciado"/>
        <w:spacing w:line="360" w:lineRule="auto"/>
      </w:pPr>
      <w:r w:rsidRPr="009A27ED">
        <w:rPr>
          <w:rFonts w:ascii="Times New Roman" w:eastAsia="Times New Roman" w:hAnsi="Times New Roman"/>
          <w:sz w:val="24"/>
        </w:rPr>
        <w:fldChar w:fldCharType="end"/>
      </w:r>
    </w:p>
    <w:p w14:paraId="40B6B6C9" w14:textId="4C7C6573" w:rsidR="00391424" w:rsidRPr="009A27ED" w:rsidRDefault="00391424" w:rsidP="00D436E6">
      <w:pPr>
        <w:pStyle w:val="Sinespaciado"/>
        <w:spacing w:line="360" w:lineRule="auto"/>
      </w:pPr>
    </w:p>
    <w:p w14:paraId="5B4CD2C1" w14:textId="1308A1BB" w:rsidR="00391424" w:rsidRPr="009A27ED" w:rsidRDefault="0078443F" w:rsidP="0078443F">
      <w:pPr>
        <w:pStyle w:val="Sinespaciado"/>
        <w:tabs>
          <w:tab w:val="left" w:pos="7096"/>
        </w:tabs>
        <w:spacing w:line="360" w:lineRule="auto"/>
      </w:pPr>
      <w:r w:rsidRPr="009A27ED">
        <w:rPr>
          <w:rFonts w:ascii="Times New Roman" w:eastAsia="Times New Roman" w:hAnsi="Times New Roman"/>
          <w:sz w:val="24"/>
        </w:rPr>
        <w:tab/>
      </w:r>
    </w:p>
    <w:p w14:paraId="72EA66B2" w14:textId="5935D1AE" w:rsidR="00AD6B12" w:rsidRPr="009A27ED" w:rsidRDefault="00AD6B12">
      <w:pPr>
        <w:spacing w:after="160" w:line="360" w:lineRule="auto"/>
        <w:rPr>
          <w:szCs w:val="22"/>
          <w:lang w:val="es-GT"/>
        </w:rPr>
      </w:pPr>
    </w:p>
    <w:p w14:paraId="00B9DC27" w14:textId="6C3CABC1" w:rsidR="00002C67" w:rsidRPr="009A27ED" w:rsidRDefault="00002C67">
      <w:pPr>
        <w:spacing w:after="160" w:line="360" w:lineRule="auto"/>
        <w:rPr>
          <w:szCs w:val="22"/>
          <w:lang w:val="es-GT"/>
        </w:rPr>
      </w:pPr>
    </w:p>
    <w:p w14:paraId="6E95F01D" w14:textId="10384871" w:rsidR="00002C67" w:rsidRPr="009A27ED" w:rsidRDefault="00002C67">
      <w:pPr>
        <w:spacing w:after="160" w:line="360" w:lineRule="auto"/>
        <w:rPr>
          <w:szCs w:val="22"/>
          <w:lang w:val="es-GT"/>
        </w:rPr>
      </w:pPr>
    </w:p>
    <w:p w14:paraId="5A3FDFF4" w14:textId="360883FC" w:rsidR="00002C67" w:rsidRPr="009A27ED" w:rsidRDefault="00002C67">
      <w:pPr>
        <w:spacing w:after="160" w:line="360" w:lineRule="auto"/>
        <w:rPr>
          <w:szCs w:val="22"/>
          <w:lang w:val="es-GT"/>
        </w:rPr>
      </w:pPr>
    </w:p>
    <w:p w14:paraId="7FBC1D9B" w14:textId="22197CF6" w:rsidR="00002C67" w:rsidRPr="009A27ED" w:rsidRDefault="00002C67">
      <w:pPr>
        <w:spacing w:after="160" w:line="360" w:lineRule="auto"/>
        <w:rPr>
          <w:szCs w:val="22"/>
          <w:lang w:val="es-GT"/>
        </w:rPr>
      </w:pPr>
    </w:p>
    <w:p w14:paraId="46DBA9A8" w14:textId="0DB476F9" w:rsidR="00002C67" w:rsidRPr="009A27ED" w:rsidRDefault="00002C67">
      <w:pPr>
        <w:spacing w:after="160" w:line="360" w:lineRule="auto"/>
        <w:rPr>
          <w:szCs w:val="22"/>
          <w:lang w:val="es-GT"/>
        </w:rPr>
      </w:pPr>
    </w:p>
    <w:p w14:paraId="5F44F809" w14:textId="2455C005" w:rsidR="00002C67" w:rsidRPr="009A27ED" w:rsidRDefault="00002C67">
      <w:pPr>
        <w:spacing w:after="160" w:line="360" w:lineRule="auto"/>
        <w:rPr>
          <w:szCs w:val="22"/>
          <w:lang w:val="es-GT"/>
        </w:rPr>
      </w:pPr>
    </w:p>
    <w:p w14:paraId="08B43492" w14:textId="4D28FE76" w:rsidR="00E84BF9" w:rsidRPr="009A27ED" w:rsidRDefault="00E84BF9" w:rsidP="00E84BF9">
      <w:pPr>
        <w:tabs>
          <w:tab w:val="left" w:pos="7110"/>
        </w:tabs>
        <w:spacing w:after="160" w:line="360" w:lineRule="auto"/>
        <w:rPr>
          <w:szCs w:val="22"/>
          <w:lang w:val="es-GT"/>
        </w:rPr>
      </w:pPr>
      <w:r w:rsidRPr="009A27ED">
        <w:rPr>
          <w:rFonts w:ascii="Times New Roman" w:eastAsia="Times New Roman" w:hAnsi="Times New Roman"/>
          <w:sz w:val="24"/>
          <w:szCs w:val="22"/>
          <w:lang w:val="es-GT"/>
        </w:rPr>
        <w:tab/>
      </w:r>
    </w:p>
    <w:p w14:paraId="5EE5AA08" w14:textId="38AA102C" w:rsidR="00363CF6" w:rsidRPr="009A27ED" w:rsidRDefault="00E84BF9" w:rsidP="00363CF6">
      <w:pPr>
        <w:spacing w:after="160" w:line="360" w:lineRule="auto"/>
        <w:rPr>
          <w:b/>
          <w:noProof/>
          <w:sz w:val="28"/>
          <w:szCs w:val="28"/>
        </w:rPr>
      </w:pPr>
      <w:r w:rsidRPr="009A27ED">
        <w:rPr>
          <w:rFonts w:ascii="Times New Roman" w:eastAsia="Times New Roman" w:hAnsi="Times New Roman"/>
          <w:sz w:val="24"/>
          <w:szCs w:val="22"/>
          <w:lang w:val="es-GT"/>
        </w:rPr>
        <w:br w:type="page"/>
      </w:r>
      <w:r w:rsidR="00363CF6" w:rsidRPr="009A27ED">
        <w:rPr>
          <w:rFonts w:ascii="Times New Roman" w:eastAsia="Times New Roman" w:hAnsi="Times New Roman"/>
          <w:b/>
          <w:sz w:val="24"/>
          <w:szCs w:val="28"/>
          <w:lang w:val="es-GT"/>
        </w:rPr>
        <w:lastRenderedPageBreak/>
        <w:t xml:space="preserve">Mapas </w:t>
      </w:r>
      <w:r w:rsidR="00363CF6" w:rsidRPr="009A27ED">
        <w:rPr>
          <w:rFonts w:ascii="Times New Roman" w:eastAsia="Times New Roman" w:hAnsi="Times New Roman"/>
          <w:b/>
          <w:sz w:val="24"/>
          <w:szCs w:val="28"/>
          <w:lang w:val="es-GT"/>
        </w:rPr>
        <w:fldChar w:fldCharType="begin"/>
      </w:r>
      <w:r w:rsidR="00363CF6" w:rsidRPr="009A27ED">
        <w:rPr>
          <w:rFonts w:ascii="Times New Roman" w:eastAsia="Times New Roman" w:hAnsi="Times New Roman"/>
          <w:b/>
          <w:sz w:val="24"/>
          <w:szCs w:val="28"/>
          <w:lang w:val="es-GT"/>
        </w:rPr>
        <w:instrText xml:space="preserve"> TOC \h \z \c "Mapa" </w:instrText>
      </w:r>
      <w:r w:rsidR="00363CF6" w:rsidRPr="009A27ED">
        <w:rPr>
          <w:rFonts w:ascii="Times New Roman" w:eastAsia="Times New Roman" w:hAnsi="Times New Roman"/>
          <w:b/>
          <w:sz w:val="24"/>
          <w:szCs w:val="28"/>
          <w:lang w:val="es-GT"/>
        </w:rPr>
        <w:fldChar w:fldCharType="separate"/>
      </w:r>
    </w:p>
    <w:p w14:paraId="2BB8EAFF" w14:textId="0E1EDE8F" w:rsidR="00363CF6" w:rsidRPr="009A27ED" w:rsidRDefault="00363CF6">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90679" w:history="1">
        <w:r w:rsidRPr="009A27ED">
          <w:rPr>
            <w:rStyle w:val="Hipervnculo"/>
            <w:noProof/>
          </w:rPr>
          <w:t>Mapa 1. Mapa de las Áreas Geográficas Priorizadas.</w:t>
        </w:r>
        <w:r w:rsidRPr="009A27ED">
          <w:rPr>
            <w:noProof/>
            <w:webHidden/>
          </w:rPr>
          <w:tab/>
        </w:r>
        <w:r w:rsidRPr="009A27ED">
          <w:rPr>
            <w:noProof/>
            <w:webHidden/>
          </w:rPr>
          <w:fldChar w:fldCharType="begin"/>
        </w:r>
        <w:r w:rsidRPr="009A27ED">
          <w:rPr>
            <w:noProof/>
            <w:webHidden/>
          </w:rPr>
          <w:instrText xml:space="preserve"> PAGEREF _Toc111890679 \h </w:instrText>
        </w:r>
        <w:r w:rsidRPr="009A27ED">
          <w:rPr>
            <w:noProof/>
            <w:webHidden/>
          </w:rPr>
        </w:r>
        <w:r w:rsidRPr="009A27ED">
          <w:rPr>
            <w:noProof/>
            <w:webHidden/>
          </w:rPr>
          <w:fldChar w:fldCharType="separate"/>
        </w:r>
        <w:r w:rsidRPr="009A27ED">
          <w:rPr>
            <w:noProof/>
            <w:webHidden/>
          </w:rPr>
          <w:t>77</w:t>
        </w:r>
        <w:r w:rsidRPr="009A27ED">
          <w:rPr>
            <w:noProof/>
            <w:webHidden/>
          </w:rPr>
          <w:fldChar w:fldCharType="end"/>
        </w:r>
      </w:hyperlink>
    </w:p>
    <w:p w14:paraId="701BF64D" w14:textId="49020CD1" w:rsidR="00363CF6" w:rsidRPr="009A27ED" w:rsidRDefault="00363CF6">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90680" w:history="1">
        <w:r w:rsidRPr="009A27ED">
          <w:rPr>
            <w:rStyle w:val="Hipervnculo"/>
            <w:noProof/>
          </w:rPr>
          <w:t xml:space="preserve">Mapa 2 Mapa que presenta las zonas productivas de cacao, café, sistemas silvopastoriles, pagos por servicios </w:t>
        </w:r>
        <w:r w:rsidR="009237A3" w:rsidRPr="009A27ED">
          <w:rPr>
            <w:rStyle w:val="Hipervnculo"/>
            <w:noProof/>
          </w:rPr>
          <w:t xml:space="preserve">  </w:t>
        </w:r>
        <w:r w:rsidRPr="009A27ED">
          <w:rPr>
            <w:rStyle w:val="Hipervnculo"/>
            <w:noProof/>
          </w:rPr>
          <w:t>ambientales y de manejo forestal sustentable y su relación espacial con las áreas prioritarias. Fuente: Programa REDD+ Advance Draft.</w:t>
        </w:r>
        <w:r w:rsidRPr="009A27ED">
          <w:rPr>
            <w:noProof/>
            <w:webHidden/>
          </w:rPr>
          <w:tab/>
        </w:r>
        <w:r w:rsidRPr="009A27ED">
          <w:rPr>
            <w:noProof/>
            <w:webHidden/>
          </w:rPr>
          <w:fldChar w:fldCharType="begin"/>
        </w:r>
        <w:r w:rsidRPr="009A27ED">
          <w:rPr>
            <w:noProof/>
            <w:webHidden/>
          </w:rPr>
          <w:instrText xml:space="preserve"> PAGEREF _Toc111890680 \h </w:instrText>
        </w:r>
        <w:r w:rsidRPr="009A27ED">
          <w:rPr>
            <w:noProof/>
            <w:webHidden/>
          </w:rPr>
        </w:r>
        <w:r w:rsidRPr="009A27ED">
          <w:rPr>
            <w:noProof/>
            <w:webHidden/>
          </w:rPr>
          <w:fldChar w:fldCharType="separate"/>
        </w:r>
        <w:r w:rsidRPr="009A27ED">
          <w:rPr>
            <w:noProof/>
            <w:webHidden/>
          </w:rPr>
          <w:t>78</w:t>
        </w:r>
        <w:r w:rsidRPr="009A27ED">
          <w:rPr>
            <w:noProof/>
            <w:webHidden/>
          </w:rPr>
          <w:fldChar w:fldCharType="end"/>
        </w:r>
      </w:hyperlink>
    </w:p>
    <w:p w14:paraId="7BC4D49E" w14:textId="5E75EC5E" w:rsidR="00363CF6" w:rsidRPr="009A27ED" w:rsidRDefault="00363CF6">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90681" w:history="1">
        <w:r w:rsidRPr="009A27ED">
          <w:rPr>
            <w:rStyle w:val="Hipervnculo"/>
            <w:noProof/>
          </w:rPr>
          <w:t>Mapa 3. Regiones Territoriales de Planificación de República Dominicana</w:t>
        </w:r>
        <w:r w:rsidRPr="009A27ED">
          <w:rPr>
            <w:noProof/>
            <w:webHidden/>
          </w:rPr>
          <w:tab/>
        </w:r>
        <w:r w:rsidRPr="009A27ED">
          <w:rPr>
            <w:noProof/>
            <w:webHidden/>
          </w:rPr>
          <w:fldChar w:fldCharType="begin"/>
        </w:r>
        <w:r w:rsidRPr="009A27ED">
          <w:rPr>
            <w:noProof/>
            <w:webHidden/>
          </w:rPr>
          <w:instrText xml:space="preserve"> PAGEREF _Toc111890681 \h </w:instrText>
        </w:r>
        <w:r w:rsidRPr="009A27ED">
          <w:rPr>
            <w:noProof/>
            <w:webHidden/>
          </w:rPr>
        </w:r>
        <w:r w:rsidRPr="009A27ED">
          <w:rPr>
            <w:noProof/>
            <w:webHidden/>
          </w:rPr>
          <w:fldChar w:fldCharType="separate"/>
        </w:r>
        <w:r w:rsidRPr="009A27ED">
          <w:rPr>
            <w:noProof/>
            <w:webHidden/>
          </w:rPr>
          <w:t>79</w:t>
        </w:r>
        <w:r w:rsidRPr="009A27ED">
          <w:rPr>
            <w:noProof/>
            <w:webHidden/>
          </w:rPr>
          <w:fldChar w:fldCharType="end"/>
        </w:r>
      </w:hyperlink>
    </w:p>
    <w:p w14:paraId="491D99EC" w14:textId="2EE25655" w:rsidR="00363CF6" w:rsidRPr="009A27ED" w:rsidRDefault="00363CF6">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90682" w:history="1">
        <w:r w:rsidRPr="009A27ED">
          <w:rPr>
            <w:rStyle w:val="Hipervnculo"/>
            <w:noProof/>
          </w:rPr>
          <w:t>Mapa 4. Mapa Regiones prioritarias para REDD+</w:t>
        </w:r>
        <w:r w:rsidRPr="009A27ED">
          <w:rPr>
            <w:noProof/>
            <w:webHidden/>
          </w:rPr>
          <w:tab/>
        </w:r>
        <w:r w:rsidRPr="009A27ED">
          <w:rPr>
            <w:noProof/>
            <w:webHidden/>
          </w:rPr>
          <w:fldChar w:fldCharType="begin"/>
        </w:r>
        <w:r w:rsidRPr="009A27ED">
          <w:rPr>
            <w:noProof/>
            <w:webHidden/>
          </w:rPr>
          <w:instrText xml:space="preserve"> PAGEREF _Toc111890682 \h </w:instrText>
        </w:r>
        <w:r w:rsidRPr="009A27ED">
          <w:rPr>
            <w:noProof/>
            <w:webHidden/>
          </w:rPr>
        </w:r>
        <w:r w:rsidRPr="009A27ED">
          <w:rPr>
            <w:noProof/>
            <w:webHidden/>
          </w:rPr>
          <w:fldChar w:fldCharType="separate"/>
        </w:r>
        <w:r w:rsidRPr="009A27ED">
          <w:rPr>
            <w:noProof/>
            <w:webHidden/>
          </w:rPr>
          <w:t>80</w:t>
        </w:r>
        <w:r w:rsidRPr="009A27ED">
          <w:rPr>
            <w:noProof/>
            <w:webHidden/>
          </w:rPr>
          <w:fldChar w:fldCharType="end"/>
        </w:r>
      </w:hyperlink>
    </w:p>
    <w:p w14:paraId="0FA6DB90" w14:textId="68D13785" w:rsidR="00363CF6" w:rsidRPr="009A27ED" w:rsidRDefault="00363CF6">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90683" w:history="1">
        <w:r w:rsidRPr="009A27ED">
          <w:rPr>
            <w:rStyle w:val="Hipervnculo"/>
            <w:noProof/>
          </w:rPr>
          <w:t>Mapa 5. Cobertura área prioritaria 1</w:t>
        </w:r>
        <w:r w:rsidRPr="009A27ED">
          <w:rPr>
            <w:noProof/>
            <w:webHidden/>
          </w:rPr>
          <w:tab/>
        </w:r>
        <w:r w:rsidRPr="009A27ED">
          <w:rPr>
            <w:noProof/>
            <w:webHidden/>
          </w:rPr>
          <w:fldChar w:fldCharType="begin"/>
        </w:r>
        <w:r w:rsidRPr="009A27ED">
          <w:rPr>
            <w:noProof/>
            <w:webHidden/>
          </w:rPr>
          <w:instrText xml:space="preserve"> PAGEREF _Toc111890683 \h </w:instrText>
        </w:r>
        <w:r w:rsidRPr="009A27ED">
          <w:rPr>
            <w:noProof/>
            <w:webHidden/>
          </w:rPr>
        </w:r>
        <w:r w:rsidRPr="009A27ED">
          <w:rPr>
            <w:noProof/>
            <w:webHidden/>
          </w:rPr>
          <w:fldChar w:fldCharType="separate"/>
        </w:r>
        <w:r w:rsidRPr="009A27ED">
          <w:rPr>
            <w:noProof/>
            <w:webHidden/>
          </w:rPr>
          <w:t>89</w:t>
        </w:r>
        <w:r w:rsidRPr="009A27ED">
          <w:rPr>
            <w:noProof/>
            <w:webHidden/>
          </w:rPr>
          <w:fldChar w:fldCharType="end"/>
        </w:r>
      </w:hyperlink>
    </w:p>
    <w:p w14:paraId="0F41DB36" w14:textId="64FD38E9" w:rsidR="00363CF6" w:rsidRPr="009A27ED" w:rsidRDefault="00363CF6">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90684" w:history="1">
        <w:r w:rsidRPr="009A27ED">
          <w:rPr>
            <w:rStyle w:val="Hipervnculo"/>
            <w:noProof/>
          </w:rPr>
          <w:t>Mapa 6. Cobertura área prioritaria 2</w:t>
        </w:r>
        <w:r w:rsidRPr="009A27ED">
          <w:rPr>
            <w:noProof/>
            <w:webHidden/>
          </w:rPr>
          <w:tab/>
        </w:r>
        <w:r w:rsidRPr="009A27ED">
          <w:rPr>
            <w:noProof/>
            <w:webHidden/>
          </w:rPr>
          <w:fldChar w:fldCharType="begin"/>
        </w:r>
        <w:r w:rsidRPr="009A27ED">
          <w:rPr>
            <w:noProof/>
            <w:webHidden/>
          </w:rPr>
          <w:instrText xml:space="preserve"> PAGEREF _Toc111890684 \h </w:instrText>
        </w:r>
        <w:r w:rsidRPr="009A27ED">
          <w:rPr>
            <w:noProof/>
            <w:webHidden/>
          </w:rPr>
        </w:r>
        <w:r w:rsidRPr="009A27ED">
          <w:rPr>
            <w:noProof/>
            <w:webHidden/>
          </w:rPr>
          <w:fldChar w:fldCharType="separate"/>
        </w:r>
        <w:r w:rsidRPr="009A27ED">
          <w:rPr>
            <w:noProof/>
            <w:webHidden/>
          </w:rPr>
          <w:t>89</w:t>
        </w:r>
        <w:r w:rsidRPr="009A27ED">
          <w:rPr>
            <w:noProof/>
            <w:webHidden/>
          </w:rPr>
          <w:fldChar w:fldCharType="end"/>
        </w:r>
      </w:hyperlink>
    </w:p>
    <w:p w14:paraId="6C836D6C" w14:textId="4D9D50C5" w:rsidR="00363CF6" w:rsidRPr="009A27ED" w:rsidRDefault="00363CF6">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90685" w:history="1">
        <w:r w:rsidRPr="009A27ED">
          <w:rPr>
            <w:rStyle w:val="Hipervnculo"/>
            <w:noProof/>
          </w:rPr>
          <w:t>Mapa 7 Cobertura área prioritaria 3</w:t>
        </w:r>
        <w:r w:rsidRPr="009A27ED">
          <w:rPr>
            <w:noProof/>
            <w:webHidden/>
          </w:rPr>
          <w:tab/>
        </w:r>
        <w:r w:rsidRPr="009A27ED">
          <w:rPr>
            <w:noProof/>
            <w:webHidden/>
          </w:rPr>
          <w:fldChar w:fldCharType="begin"/>
        </w:r>
        <w:r w:rsidRPr="009A27ED">
          <w:rPr>
            <w:noProof/>
            <w:webHidden/>
          </w:rPr>
          <w:instrText xml:space="preserve"> PAGEREF _Toc111890685 \h </w:instrText>
        </w:r>
        <w:r w:rsidRPr="009A27ED">
          <w:rPr>
            <w:noProof/>
            <w:webHidden/>
          </w:rPr>
        </w:r>
        <w:r w:rsidRPr="009A27ED">
          <w:rPr>
            <w:noProof/>
            <w:webHidden/>
          </w:rPr>
          <w:fldChar w:fldCharType="separate"/>
        </w:r>
        <w:r w:rsidRPr="009A27ED">
          <w:rPr>
            <w:noProof/>
            <w:webHidden/>
          </w:rPr>
          <w:t>90</w:t>
        </w:r>
        <w:r w:rsidRPr="009A27ED">
          <w:rPr>
            <w:noProof/>
            <w:webHidden/>
          </w:rPr>
          <w:fldChar w:fldCharType="end"/>
        </w:r>
      </w:hyperlink>
    </w:p>
    <w:p w14:paraId="0909BB07" w14:textId="308A685F" w:rsidR="00363CF6" w:rsidRPr="009A27ED" w:rsidRDefault="00363CF6">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90686" w:history="1">
        <w:r w:rsidRPr="009A27ED">
          <w:rPr>
            <w:rStyle w:val="Hipervnculo"/>
            <w:noProof/>
          </w:rPr>
          <w:t>Mapa 8. Cobertura área prioritaria 4</w:t>
        </w:r>
        <w:r w:rsidRPr="009A27ED">
          <w:rPr>
            <w:noProof/>
            <w:webHidden/>
          </w:rPr>
          <w:tab/>
        </w:r>
        <w:r w:rsidRPr="009A27ED">
          <w:rPr>
            <w:noProof/>
            <w:webHidden/>
          </w:rPr>
          <w:fldChar w:fldCharType="begin"/>
        </w:r>
        <w:r w:rsidRPr="009A27ED">
          <w:rPr>
            <w:noProof/>
            <w:webHidden/>
          </w:rPr>
          <w:instrText xml:space="preserve"> PAGEREF _Toc111890686 \h </w:instrText>
        </w:r>
        <w:r w:rsidRPr="009A27ED">
          <w:rPr>
            <w:noProof/>
            <w:webHidden/>
          </w:rPr>
        </w:r>
        <w:r w:rsidRPr="009A27ED">
          <w:rPr>
            <w:noProof/>
            <w:webHidden/>
          </w:rPr>
          <w:fldChar w:fldCharType="separate"/>
        </w:r>
        <w:r w:rsidRPr="009A27ED">
          <w:rPr>
            <w:noProof/>
            <w:webHidden/>
          </w:rPr>
          <w:t>90</w:t>
        </w:r>
        <w:r w:rsidRPr="009A27ED">
          <w:rPr>
            <w:noProof/>
            <w:webHidden/>
          </w:rPr>
          <w:fldChar w:fldCharType="end"/>
        </w:r>
      </w:hyperlink>
    </w:p>
    <w:p w14:paraId="5558B982" w14:textId="276B612E" w:rsidR="00363CF6" w:rsidRPr="009A27ED" w:rsidRDefault="00363CF6">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90687" w:history="1">
        <w:r w:rsidRPr="009A27ED">
          <w:rPr>
            <w:rStyle w:val="Hipervnculo"/>
            <w:noProof/>
          </w:rPr>
          <w:t>Mapa 9. Cobertura área prioritaria 5</w:t>
        </w:r>
        <w:r w:rsidRPr="009A27ED">
          <w:rPr>
            <w:noProof/>
            <w:webHidden/>
          </w:rPr>
          <w:tab/>
        </w:r>
        <w:r w:rsidRPr="009A27ED">
          <w:rPr>
            <w:noProof/>
            <w:webHidden/>
          </w:rPr>
          <w:fldChar w:fldCharType="begin"/>
        </w:r>
        <w:r w:rsidRPr="009A27ED">
          <w:rPr>
            <w:noProof/>
            <w:webHidden/>
          </w:rPr>
          <w:instrText xml:space="preserve"> PAGEREF _Toc111890687 \h </w:instrText>
        </w:r>
        <w:r w:rsidRPr="009A27ED">
          <w:rPr>
            <w:noProof/>
            <w:webHidden/>
          </w:rPr>
        </w:r>
        <w:r w:rsidRPr="009A27ED">
          <w:rPr>
            <w:noProof/>
            <w:webHidden/>
          </w:rPr>
          <w:fldChar w:fldCharType="separate"/>
        </w:r>
        <w:r w:rsidRPr="009A27ED">
          <w:rPr>
            <w:noProof/>
            <w:webHidden/>
          </w:rPr>
          <w:t>91</w:t>
        </w:r>
        <w:r w:rsidRPr="009A27ED">
          <w:rPr>
            <w:noProof/>
            <w:webHidden/>
          </w:rPr>
          <w:fldChar w:fldCharType="end"/>
        </w:r>
      </w:hyperlink>
    </w:p>
    <w:p w14:paraId="45EC956E" w14:textId="39E9F195" w:rsidR="00AA40BA" w:rsidRPr="009A27ED" w:rsidRDefault="00363CF6" w:rsidP="00AA40BA">
      <w:pPr>
        <w:spacing w:after="160" w:line="360" w:lineRule="auto"/>
        <w:rPr>
          <w:szCs w:val="22"/>
          <w:lang w:val="es-GT"/>
        </w:rPr>
      </w:pPr>
      <w:r w:rsidRPr="009A27ED">
        <w:rPr>
          <w:rFonts w:ascii="Times New Roman" w:eastAsia="Times New Roman" w:hAnsi="Times New Roman"/>
          <w:sz w:val="24"/>
          <w:szCs w:val="22"/>
          <w:lang w:val="es-GT"/>
        </w:rPr>
        <w:fldChar w:fldCharType="end"/>
      </w:r>
    </w:p>
    <w:p w14:paraId="38B6CD82" w14:textId="1023BC0B" w:rsidR="00E84BF9" w:rsidRPr="009A27ED" w:rsidRDefault="004330D8" w:rsidP="004330D8">
      <w:pPr>
        <w:spacing w:after="160" w:line="360" w:lineRule="auto"/>
        <w:rPr>
          <w:b/>
          <w:szCs w:val="22"/>
          <w:lang w:val="es-GT"/>
        </w:rPr>
      </w:pPr>
      <w:r w:rsidRPr="009A27ED">
        <w:rPr>
          <w:rFonts w:ascii="Times New Roman" w:eastAsia="Times New Roman" w:hAnsi="Times New Roman"/>
          <w:b/>
          <w:sz w:val="24"/>
          <w:szCs w:val="28"/>
          <w:lang w:val="es-GT"/>
        </w:rPr>
        <w:t>Graficas</w:t>
      </w:r>
    </w:p>
    <w:p w14:paraId="4FA8C778" w14:textId="0494E62B" w:rsidR="004330D8" w:rsidRPr="009A27ED" w:rsidRDefault="004330D8">
      <w:pPr>
        <w:pStyle w:val="Tabladeilustraciones"/>
        <w:tabs>
          <w:tab w:val="right" w:leader="dot" w:pos="9394"/>
        </w:tabs>
        <w:spacing w:line="360" w:lineRule="auto"/>
        <w:jc w:val="both"/>
        <w:rPr>
          <w:rFonts w:eastAsiaTheme="minorEastAsia" w:cstheme="minorBidi"/>
          <w:b w:val="0"/>
          <w:noProof/>
          <w:sz w:val="22"/>
          <w:szCs w:val="22"/>
          <w:lang w:val="en-US" w:eastAsia="en-US"/>
        </w:rPr>
      </w:pPr>
      <w:r w:rsidRPr="009A27ED">
        <w:rPr>
          <w:rFonts w:ascii="Times New Roman" w:eastAsia="Times New Roman" w:hAnsi="Times New Roman"/>
          <w:sz w:val="24"/>
          <w:szCs w:val="22"/>
          <w:lang w:val="es-GT"/>
        </w:rPr>
        <w:fldChar w:fldCharType="begin"/>
      </w:r>
      <w:r w:rsidRPr="009A27ED">
        <w:rPr>
          <w:rFonts w:ascii="Times New Roman" w:eastAsia="Times New Roman" w:hAnsi="Times New Roman"/>
          <w:sz w:val="24"/>
          <w:szCs w:val="22"/>
          <w:lang w:val="es-GT"/>
        </w:rPr>
        <w:instrText xml:space="preserve"> TOC \h \z \c "Grafica " </w:instrText>
      </w:r>
      <w:r w:rsidRPr="009A27ED">
        <w:rPr>
          <w:rFonts w:ascii="Times New Roman" w:eastAsia="Times New Roman" w:hAnsi="Times New Roman"/>
          <w:sz w:val="24"/>
          <w:szCs w:val="22"/>
          <w:lang w:val="es-GT"/>
        </w:rPr>
        <w:fldChar w:fldCharType="separate"/>
      </w:r>
      <w:hyperlink w:anchor="_Toc111892203" w:history="1">
        <w:r w:rsidRPr="009A27ED">
          <w:rPr>
            <w:rStyle w:val="Hipervnculo"/>
            <w:noProof/>
          </w:rPr>
          <w:t>Grafica  1. Áreas protegidas en áreas priorizadas</w:t>
        </w:r>
        <w:r w:rsidRPr="009A27ED">
          <w:rPr>
            <w:noProof/>
            <w:webHidden/>
          </w:rPr>
          <w:tab/>
        </w:r>
        <w:r w:rsidRPr="009A27ED">
          <w:rPr>
            <w:noProof/>
            <w:webHidden/>
          </w:rPr>
          <w:fldChar w:fldCharType="begin"/>
        </w:r>
        <w:r w:rsidRPr="009A27ED">
          <w:rPr>
            <w:noProof/>
            <w:webHidden/>
          </w:rPr>
          <w:instrText xml:space="preserve"> PAGEREF _Toc111892203 \h </w:instrText>
        </w:r>
        <w:r w:rsidRPr="009A27ED">
          <w:rPr>
            <w:noProof/>
            <w:webHidden/>
          </w:rPr>
        </w:r>
        <w:r w:rsidRPr="009A27ED">
          <w:rPr>
            <w:noProof/>
            <w:webHidden/>
          </w:rPr>
          <w:fldChar w:fldCharType="separate"/>
        </w:r>
        <w:r w:rsidRPr="009A27ED">
          <w:rPr>
            <w:noProof/>
            <w:webHidden/>
          </w:rPr>
          <w:t>86</w:t>
        </w:r>
        <w:r w:rsidRPr="009A27ED">
          <w:rPr>
            <w:noProof/>
            <w:webHidden/>
          </w:rPr>
          <w:fldChar w:fldCharType="end"/>
        </w:r>
      </w:hyperlink>
    </w:p>
    <w:p w14:paraId="18F9181E" w14:textId="4E8F7C56" w:rsidR="004330D8" w:rsidRPr="009A27ED" w:rsidRDefault="004330D8">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92204" w:history="1">
        <w:r w:rsidRPr="009A27ED">
          <w:rPr>
            <w:rStyle w:val="Hipervnculo"/>
            <w:noProof/>
          </w:rPr>
          <w:t>Grafica  2.  Usos de suelo en las áreas priorizadas</w:t>
        </w:r>
        <w:r w:rsidRPr="009A27ED">
          <w:rPr>
            <w:noProof/>
            <w:webHidden/>
          </w:rPr>
          <w:tab/>
        </w:r>
        <w:r w:rsidRPr="009A27ED">
          <w:rPr>
            <w:noProof/>
            <w:webHidden/>
          </w:rPr>
          <w:fldChar w:fldCharType="begin"/>
        </w:r>
        <w:r w:rsidRPr="009A27ED">
          <w:rPr>
            <w:noProof/>
            <w:webHidden/>
          </w:rPr>
          <w:instrText xml:space="preserve"> PAGEREF _Toc111892204 \h </w:instrText>
        </w:r>
        <w:r w:rsidRPr="009A27ED">
          <w:rPr>
            <w:noProof/>
            <w:webHidden/>
          </w:rPr>
        </w:r>
        <w:r w:rsidRPr="009A27ED">
          <w:rPr>
            <w:noProof/>
            <w:webHidden/>
          </w:rPr>
          <w:fldChar w:fldCharType="separate"/>
        </w:r>
        <w:r w:rsidRPr="009A27ED">
          <w:rPr>
            <w:noProof/>
            <w:webHidden/>
          </w:rPr>
          <w:t>93</w:t>
        </w:r>
        <w:r w:rsidRPr="009A27ED">
          <w:rPr>
            <w:noProof/>
            <w:webHidden/>
          </w:rPr>
          <w:fldChar w:fldCharType="end"/>
        </w:r>
      </w:hyperlink>
    </w:p>
    <w:p w14:paraId="271F025A" w14:textId="324C55FB" w:rsidR="004330D8" w:rsidRPr="009A27ED" w:rsidRDefault="004330D8">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92205" w:history="1">
        <w:r w:rsidRPr="009A27ED">
          <w:rPr>
            <w:rStyle w:val="Hipervnculo"/>
            <w:noProof/>
          </w:rPr>
          <w:t>Grafica  3 Uso de Suelos</w:t>
        </w:r>
        <w:r w:rsidRPr="009A27ED">
          <w:rPr>
            <w:noProof/>
            <w:webHidden/>
          </w:rPr>
          <w:tab/>
        </w:r>
        <w:r w:rsidRPr="009A27ED">
          <w:rPr>
            <w:noProof/>
            <w:webHidden/>
          </w:rPr>
          <w:fldChar w:fldCharType="begin"/>
        </w:r>
        <w:r w:rsidRPr="009A27ED">
          <w:rPr>
            <w:noProof/>
            <w:webHidden/>
          </w:rPr>
          <w:instrText xml:space="preserve"> PAGEREF _Toc111892205 \h </w:instrText>
        </w:r>
        <w:r w:rsidRPr="009A27ED">
          <w:rPr>
            <w:noProof/>
            <w:webHidden/>
          </w:rPr>
        </w:r>
        <w:r w:rsidRPr="009A27ED">
          <w:rPr>
            <w:noProof/>
            <w:webHidden/>
          </w:rPr>
          <w:fldChar w:fldCharType="separate"/>
        </w:r>
        <w:r w:rsidRPr="009A27ED">
          <w:rPr>
            <w:noProof/>
            <w:webHidden/>
          </w:rPr>
          <w:t>93</w:t>
        </w:r>
        <w:r w:rsidRPr="009A27ED">
          <w:rPr>
            <w:noProof/>
            <w:webHidden/>
          </w:rPr>
          <w:fldChar w:fldCharType="end"/>
        </w:r>
      </w:hyperlink>
    </w:p>
    <w:p w14:paraId="6BAA0D29" w14:textId="7EF0D22B" w:rsidR="004330D8" w:rsidRPr="009A27ED" w:rsidRDefault="004330D8">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92206" w:history="1">
        <w:r w:rsidRPr="009A27ED">
          <w:rPr>
            <w:rStyle w:val="Hipervnculo"/>
            <w:noProof/>
          </w:rPr>
          <w:t>Grafica  4. Rangos de pendiente de las áreas priorizadas</w:t>
        </w:r>
        <w:r w:rsidRPr="009A27ED">
          <w:rPr>
            <w:noProof/>
            <w:webHidden/>
          </w:rPr>
          <w:tab/>
        </w:r>
        <w:r w:rsidRPr="009A27ED">
          <w:rPr>
            <w:noProof/>
            <w:webHidden/>
          </w:rPr>
          <w:fldChar w:fldCharType="begin"/>
        </w:r>
        <w:r w:rsidRPr="009A27ED">
          <w:rPr>
            <w:noProof/>
            <w:webHidden/>
          </w:rPr>
          <w:instrText xml:space="preserve"> PAGEREF _Toc111892206 \h </w:instrText>
        </w:r>
        <w:r w:rsidRPr="009A27ED">
          <w:rPr>
            <w:noProof/>
            <w:webHidden/>
          </w:rPr>
        </w:r>
        <w:r w:rsidRPr="009A27ED">
          <w:rPr>
            <w:noProof/>
            <w:webHidden/>
          </w:rPr>
          <w:fldChar w:fldCharType="separate"/>
        </w:r>
        <w:r w:rsidRPr="009A27ED">
          <w:rPr>
            <w:noProof/>
            <w:webHidden/>
          </w:rPr>
          <w:t>93</w:t>
        </w:r>
        <w:r w:rsidRPr="009A27ED">
          <w:rPr>
            <w:noProof/>
            <w:webHidden/>
          </w:rPr>
          <w:fldChar w:fldCharType="end"/>
        </w:r>
      </w:hyperlink>
    </w:p>
    <w:p w14:paraId="75C7CF42" w14:textId="34A31C22" w:rsidR="004330D8" w:rsidRPr="009A27ED" w:rsidRDefault="004330D8">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92207" w:history="1">
        <w:r w:rsidRPr="009A27ED">
          <w:rPr>
            <w:rStyle w:val="Hipervnculo"/>
            <w:noProof/>
          </w:rPr>
          <w:t>Grafica  5. Porcentajes de Hogares en las áreas priorizadas</w:t>
        </w:r>
        <w:r w:rsidRPr="009A27ED">
          <w:rPr>
            <w:noProof/>
            <w:webHidden/>
          </w:rPr>
          <w:tab/>
        </w:r>
        <w:r w:rsidRPr="009A27ED">
          <w:rPr>
            <w:noProof/>
            <w:webHidden/>
          </w:rPr>
          <w:fldChar w:fldCharType="begin"/>
        </w:r>
        <w:r w:rsidRPr="009A27ED">
          <w:rPr>
            <w:noProof/>
            <w:webHidden/>
          </w:rPr>
          <w:instrText xml:space="preserve"> PAGEREF _Toc111892207 \h </w:instrText>
        </w:r>
        <w:r w:rsidRPr="009A27ED">
          <w:rPr>
            <w:noProof/>
            <w:webHidden/>
          </w:rPr>
        </w:r>
        <w:r w:rsidRPr="009A27ED">
          <w:rPr>
            <w:noProof/>
            <w:webHidden/>
          </w:rPr>
          <w:fldChar w:fldCharType="separate"/>
        </w:r>
        <w:r w:rsidRPr="009A27ED">
          <w:rPr>
            <w:noProof/>
            <w:webHidden/>
          </w:rPr>
          <w:t>97</w:t>
        </w:r>
        <w:r w:rsidRPr="009A27ED">
          <w:rPr>
            <w:noProof/>
            <w:webHidden/>
          </w:rPr>
          <w:fldChar w:fldCharType="end"/>
        </w:r>
      </w:hyperlink>
    </w:p>
    <w:p w14:paraId="0D671070" w14:textId="6BECD057" w:rsidR="004330D8" w:rsidRPr="009A27ED" w:rsidRDefault="004330D8">
      <w:pPr>
        <w:pStyle w:val="Tabladeilustraciones"/>
        <w:tabs>
          <w:tab w:val="right" w:leader="dot" w:pos="9394"/>
        </w:tabs>
        <w:spacing w:line="360" w:lineRule="auto"/>
        <w:jc w:val="both"/>
        <w:rPr>
          <w:rFonts w:eastAsiaTheme="minorEastAsia" w:cstheme="minorBidi"/>
          <w:b w:val="0"/>
          <w:noProof/>
          <w:sz w:val="22"/>
          <w:szCs w:val="22"/>
          <w:lang w:val="en-US" w:eastAsia="en-US"/>
        </w:rPr>
      </w:pPr>
      <w:hyperlink w:anchor="_Toc111892208" w:history="1">
        <w:r w:rsidRPr="009A27ED">
          <w:rPr>
            <w:rStyle w:val="Hipervnculo"/>
            <w:noProof/>
          </w:rPr>
          <w:t>Grafica  6. Índice de Ingresos en las áreas priorizadas</w:t>
        </w:r>
        <w:r w:rsidRPr="009A27ED">
          <w:rPr>
            <w:noProof/>
            <w:webHidden/>
          </w:rPr>
          <w:tab/>
        </w:r>
        <w:r w:rsidRPr="009A27ED">
          <w:rPr>
            <w:noProof/>
            <w:webHidden/>
          </w:rPr>
          <w:fldChar w:fldCharType="begin"/>
        </w:r>
        <w:r w:rsidRPr="009A27ED">
          <w:rPr>
            <w:noProof/>
            <w:webHidden/>
          </w:rPr>
          <w:instrText xml:space="preserve"> PAGEREF _Toc111892208 \h </w:instrText>
        </w:r>
        <w:r w:rsidRPr="009A27ED">
          <w:rPr>
            <w:noProof/>
            <w:webHidden/>
          </w:rPr>
        </w:r>
        <w:r w:rsidRPr="009A27ED">
          <w:rPr>
            <w:noProof/>
            <w:webHidden/>
          </w:rPr>
          <w:fldChar w:fldCharType="separate"/>
        </w:r>
        <w:r w:rsidRPr="009A27ED">
          <w:rPr>
            <w:noProof/>
            <w:webHidden/>
          </w:rPr>
          <w:t>101</w:t>
        </w:r>
        <w:r w:rsidRPr="009A27ED">
          <w:rPr>
            <w:noProof/>
            <w:webHidden/>
          </w:rPr>
          <w:fldChar w:fldCharType="end"/>
        </w:r>
      </w:hyperlink>
    </w:p>
    <w:p w14:paraId="4387D5FC" w14:textId="63CCDACE" w:rsidR="003010DC" w:rsidRPr="009A27ED" w:rsidRDefault="004330D8" w:rsidP="00E84BF9">
      <w:pPr>
        <w:tabs>
          <w:tab w:val="left" w:pos="7110"/>
        </w:tabs>
        <w:spacing w:after="160" w:line="360" w:lineRule="auto"/>
        <w:rPr>
          <w:szCs w:val="22"/>
          <w:lang w:val="es-GT"/>
        </w:rPr>
      </w:pPr>
      <w:r w:rsidRPr="009A27ED">
        <w:rPr>
          <w:rFonts w:ascii="Times New Roman" w:eastAsia="Times New Roman" w:hAnsi="Times New Roman"/>
          <w:sz w:val="24"/>
          <w:szCs w:val="22"/>
          <w:lang w:val="es-GT"/>
        </w:rPr>
        <w:fldChar w:fldCharType="end"/>
      </w:r>
    </w:p>
    <w:p w14:paraId="6E123C8F" w14:textId="5964391F" w:rsidR="003010DC" w:rsidRPr="009A27ED" w:rsidRDefault="003010DC">
      <w:pPr>
        <w:spacing w:after="160" w:line="360" w:lineRule="auto"/>
        <w:rPr>
          <w:szCs w:val="22"/>
          <w:lang w:val="es-GT"/>
        </w:rPr>
      </w:pPr>
    </w:p>
    <w:p w14:paraId="74F031A0" w14:textId="73D59F41" w:rsidR="003010DC" w:rsidRPr="009A27ED" w:rsidRDefault="003010DC">
      <w:pPr>
        <w:spacing w:after="160" w:line="360" w:lineRule="auto"/>
        <w:rPr>
          <w:szCs w:val="22"/>
          <w:lang w:val="es-GT"/>
        </w:rPr>
      </w:pPr>
    </w:p>
    <w:p w14:paraId="654B6491" w14:textId="7327AEB2" w:rsidR="00363CF6" w:rsidRPr="009A27ED" w:rsidRDefault="00363CF6">
      <w:pPr>
        <w:spacing w:after="160" w:line="360" w:lineRule="auto"/>
        <w:rPr>
          <w:szCs w:val="22"/>
          <w:lang w:val="es-GT"/>
        </w:rPr>
      </w:pPr>
    </w:p>
    <w:p w14:paraId="5465E39D" w14:textId="2305D944" w:rsidR="00363CF6" w:rsidRPr="009A27ED" w:rsidRDefault="00363CF6">
      <w:pPr>
        <w:spacing w:after="160" w:line="360" w:lineRule="auto"/>
        <w:rPr>
          <w:szCs w:val="22"/>
          <w:lang w:val="es-GT"/>
        </w:rPr>
      </w:pPr>
    </w:p>
    <w:p w14:paraId="326CD427" w14:textId="3CED7B37" w:rsidR="00363CF6" w:rsidRPr="009A27ED" w:rsidRDefault="00363CF6">
      <w:pPr>
        <w:spacing w:after="160" w:line="360" w:lineRule="auto"/>
        <w:rPr>
          <w:szCs w:val="22"/>
          <w:lang w:val="es-GT"/>
        </w:rPr>
      </w:pPr>
    </w:p>
    <w:p w14:paraId="7D9CCF82" w14:textId="54B5F105" w:rsidR="00363CF6" w:rsidRPr="009A27ED" w:rsidRDefault="00363CF6">
      <w:pPr>
        <w:spacing w:after="160" w:line="360" w:lineRule="auto"/>
        <w:rPr>
          <w:szCs w:val="22"/>
          <w:lang w:val="es-GT"/>
        </w:rPr>
      </w:pPr>
    </w:p>
    <w:p w14:paraId="62EC3244" w14:textId="1133BDFE" w:rsidR="00363CF6" w:rsidRPr="009A27ED" w:rsidRDefault="00363CF6">
      <w:pPr>
        <w:spacing w:after="160" w:line="360" w:lineRule="auto"/>
        <w:rPr>
          <w:szCs w:val="22"/>
          <w:lang w:val="es-GT"/>
        </w:rPr>
      </w:pPr>
    </w:p>
    <w:p w14:paraId="090C6B41" w14:textId="6089F691" w:rsidR="00363CF6" w:rsidRPr="009A27ED" w:rsidRDefault="00363CF6">
      <w:pPr>
        <w:spacing w:after="160" w:line="360" w:lineRule="auto"/>
        <w:rPr>
          <w:szCs w:val="22"/>
          <w:lang w:val="es-GT"/>
        </w:rPr>
      </w:pPr>
    </w:p>
    <w:p w14:paraId="29E61F5B" w14:textId="639FA7B8" w:rsidR="00002C67" w:rsidRPr="009A27ED" w:rsidRDefault="00AD2952">
      <w:pPr>
        <w:spacing w:after="160" w:line="360" w:lineRule="auto"/>
        <w:rPr>
          <w:szCs w:val="22"/>
          <w:lang w:val="es-GT"/>
        </w:rPr>
      </w:pPr>
      <w:r>
        <w:rPr>
          <w:szCs w:val="22"/>
          <w:lang w:val="es-GT"/>
        </w:rPr>
        <w:lastRenderedPageBreak/>
        <w:t xml:space="preserve"> </w:t>
      </w:r>
    </w:p>
    <w:p w14:paraId="60965F1B" w14:textId="3087A4D8" w:rsidR="00947670" w:rsidRPr="009A27ED" w:rsidRDefault="00947670" w:rsidP="003B080D">
      <w:pPr>
        <w:pStyle w:val="Ttulo1"/>
        <w:numPr>
          <w:ilvl w:val="0"/>
          <w:numId w:val="0"/>
        </w:numPr>
        <w:spacing w:line="360" w:lineRule="auto"/>
        <w:jc w:val="both"/>
      </w:pPr>
      <w:bookmarkStart w:id="3" w:name="_Toc111837905"/>
      <w:r w:rsidRPr="009A27ED">
        <w:rPr>
          <w:rFonts w:ascii="Times New Roman" w:eastAsia="Times New Roman" w:hAnsi="Times New Roman"/>
          <w:sz w:val="24"/>
        </w:rPr>
        <w:t>Acrónimos</w:t>
      </w:r>
      <w:bookmarkEnd w:id="2"/>
      <w:bookmarkEnd w:id="3"/>
    </w:p>
    <w:p w14:paraId="03CB874C" w14:textId="77777777" w:rsidR="00947670" w:rsidRPr="009A27ED" w:rsidRDefault="00947670" w:rsidP="00947670">
      <w:pPr>
        <w:spacing w:before="60" w:after="60" w:line="360" w:lineRule="auto"/>
        <w:rPr>
          <w:szCs w:val="22"/>
        </w:rPr>
      </w:pPr>
    </w:p>
    <w:p w14:paraId="32122515" w14:textId="1FB021D0" w:rsidR="00947670" w:rsidRPr="009A27ED" w:rsidRDefault="00947670" w:rsidP="00256899">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AGA</w:t>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r>
      <w:r w:rsidR="000A022C"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Alianza de Gobierno Abierto</w:t>
      </w:r>
    </w:p>
    <w:p w14:paraId="7D25727D" w14:textId="430DDA3D" w:rsidR="00947670" w:rsidRPr="009A27ED" w:rsidRDefault="00947670" w:rsidP="00256899">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APA</w:t>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r>
      <w:r w:rsidR="000A022C"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Asociación de Productores Agroforestales Zambrana-Chacuey</w:t>
      </w:r>
    </w:p>
    <w:p w14:paraId="7AF1A46A" w14:textId="77777777" w:rsidR="00212909" w:rsidRPr="009A27ED" w:rsidRDefault="00212909" w:rsidP="00212909">
      <w:pPr>
        <w:spacing w:after="0" w:line="360" w:lineRule="auto"/>
        <w:rPr>
          <w:rFonts w:cstheme="minorBidi"/>
          <w:color w:val="000000" w:themeColor="text1"/>
          <w:szCs w:val="22"/>
        </w:rPr>
      </w:pPr>
      <w:r w:rsidRPr="009A27ED">
        <w:rPr>
          <w:rFonts w:ascii="Times New Roman" w:eastAsia="Times New Roman" w:hAnsi="Times New Roman"/>
          <w:b/>
          <w:color w:val="000000" w:themeColor="text1"/>
          <w:sz w:val="24"/>
          <w:szCs w:val="22"/>
          <w:bdr w:val="none" w:sz="0" w:space="0" w:color="auto" w:frame="1"/>
          <w:shd w:val="clear" w:color="auto" w:fill="FFFFFF"/>
          <w:lang w:eastAsia="es-ES"/>
        </w:rPr>
        <w:t>BITS</w:t>
      </w:r>
      <w:r w:rsidRPr="009A27ED">
        <w:rPr>
          <w:rFonts w:ascii="Times New Roman" w:eastAsia="Times New Roman" w:hAnsi="Times New Roman"/>
          <w:color w:val="000000" w:themeColor="text1"/>
          <w:sz w:val="24"/>
          <w:szCs w:val="22"/>
          <w:bdr w:val="none" w:sz="0" w:space="0" w:color="auto" w:frame="1"/>
          <w:shd w:val="clear" w:color="auto" w:fill="FFFFFF"/>
          <w:lang w:eastAsia="es-ES"/>
        </w:rPr>
        <w:tab/>
      </w:r>
      <w:r w:rsidRPr="009A27ED">
        <w:rPr>
          <w:rFonts w:ascii="Times New Roman" w:eastAsia="Times New Roman" w:hAnsi="Times New Roman"/>
          <w:color w:val="000000" w:themeColor="text1"/>
          <w:sz w:val="24"/>
          <w:szCs w:val="22"/>
          <w:bdr w:val="none" w:sz="0" w:space="0" w:color="auto" w:frame="1"/>
          <w:shd w:val="clear" w:color="auto" w:fill="FFFFFF"/>
          <w:lang w:eastAsia="es-ES"/>
        </w:rPr>
        <w:tab/>
      </w:r>
      <w:r w:rsidRPr="009A27ED">
        <w:rPr>
          <w:rFonts w:ascii="Times New Roman" w:eastAsia="Times New Roman" w:hAnsi="Times New Roman"/>
          <w:color w:val="000000" w:themeColor="text1"/>
          <w:sz w:val="24"/>
          <w:szCs w:val="22"/>
          <w:bdr w:val="none" w:sz="0" w:space="0" w:color="auto" w:frame="1"/>
          <w:shd w:val="clear" w:color="auto" w:fill="FFFFFF"/>
          <w:lang w:eastAsia="es-ES"/>
        </w:rPr>
        <w:tab/>
        <w:t>Agencia Sueca para la Cooperación Internacional Técnica y Económica</w:t>
      </w:r>
    </w:p>
    <w:p w14:paraId="311FB7AD" w14:textId="1608BB27" w:rsidR="00140831" w:rsidRPr="009A27ED" w:rsidRDefault="00947670" w:rsidP="000A022C">
      <w:pPr>
        <w:tabs>
          <w:tab w:val="left" w:pos="2160"/>
        </w:tabs>
        <w:spacing w:after="0" w:line="360" w:lineRule="auto"/>
        <w:rPr>
          <w:color w:val="000000" w:themeColor="text1"/>
          <w:szCs w:val="22"/>
        </w:rPr>
      </w:pPr>
      <w:r w:rsidRPr="009A27ED">
        <w:rPr>
          <w:rFonts w:ascii="Times New Roman" w:eastAsia="Times New Roman" w:hAnsi="Times New Roman"/>
          <w:b/>
          <w:color w:val="000000" w:themeColor="text1"/>
          <w:sz w:val="24"/>
          <w:szCs w:val="22"/>
        </w:rPr>
        <w:t>BM</w:t>
      </w:r>
      <w:r w:rsidRPr="009A27ED">
        <w:rPr>
          <w:rFonts w:ascii="Times New Roman" w:eastAsia="Times New Roman" w:hAnsi="Times New Roman"/>
          <w:color w:val="000000" w:themeColor="text1"/>
          <w:sz w:val="24"/>
          <w:szCs w:val="22"/>
        </w:rPr>
        <w:tab/>
        <w:t xml:space="preserve">Banco </w:t>
      </w:r>
      <w:r w:rsidR="00140831" w:rsidRPr="009A27ED">
        <w:rPr>
          <w:rFonts w:ascii="Times New Roman" w:eastAsia="Times New Roman" w:hAnsi="Times New Roman"/>
          <w:color w:val="000000" w:themeColor="text1"/>
          <w:sz w:val="24"/>
          <w:szCs w:val="22"/>
        </w:rPr>
        <w:t>Mundial</w:t>
      </w:r>
    </w:p>
    <w:p w14:paraId="474292C6" w14:textId="12C2DCE0" w:rsidR="00947670" w:rsidRPr="009A27ED" w:rsidRDefault="00947670" w:rsidP="000A022C">
      <w:pPr>
        <w:tabs>
          <w:tab w:val="left" w:pos="2160"/>
        </w:tabs>
        <w:spacing w:after="0" w:line="360" w:lineRule="auto"/>
        <w:rPr>
          <w:color w:val="000000" w:themeColor="text1"/>
          <w:szCs w:val="22"/>
        </w:rPr>
      </w:pPr>
      <w:r w:rsidRPr="009A27ED">
        <w:rPr>
          <w:rFonts w:ascii="Times New Roman" w:eastAsia="Times New Roman" w:hAnsi="Times New Roman"/>
          <w:b/>
          <w:color w:val="000000" w:themeColor="text1"/>
          <w:sz w:val="24"/>
          <w:szCs w:val="22"/>
        </w:rPr>
        <w:t>CAD</w:t>
      </w:r>
      <w:r w:rsidRPr="009A27ED">
        <w:rPr>
          <w:rFonts w:ascii="Times New Roman" w:eastAsia="Times New Roman" w:hAnsi="Times New Roman"/>
          <w:color w:val="000000" w:themeColor="text1"/>
          <w:sz w:val="24"/>
          <w:szCs w:val="22"/>
        </w:rPr>
        <w:t xml:space="preserve">                    </w:t>
      </w:r>
      <w:r w:rsidR="003B080D" w:rsidRPr="009A27ED">
        <w:rPr>
          <w:rFonts w:ascii="Times New Roman" w:eastAsia="Times New Roman" w:hAnsi="Times New Roman"/>
          <w:color w:val="000000" w:themeColor="text1"/>
          <w:sz w:val="24"/>
          <w:szCs w:val="22"/>
        </w:rPr>
        <w:t xml:space="preserve"> </w:t>
      </w:r>
      <w:r w:rsidR="000A022C"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Consorcio Ambiental Dominicano</w:t>
      </w:r>
    </w:p>
    <w:p w14:paraId="7E35D06A" w14:textId="513E3AC5" w:rsidR="00212909" w:rsidRPr="009A27ED" w:rsidRDefault="00212909" w:rsidP="00212909">
      <w:pPr>
        <w:spacing w:after="0" w:line="360" w:lineRule="auto"/>
        <w:rPr>
          <w:color w:val="000000" w:themeColor="text1"/>
          <w:szCs w:val="22"/>
          <w:lang w:val="pt-BR"/>
        </w:rPr>
      </w:pPr>
      <w:r w:rsidRPr="009A27ED">
        <w:rPr>
          <w:rFonts w:ascii="Times New Roman" w:eastAsia="Times New Roman" w:hAnsi="Times New Roman"/>
          <w:b/>
          <w:color w:val="000000" w:themeColor="text1"/>
          <w:sz w:val="24"/>
          <w:szCs w:val="22"/>
          <w:lang w:val="pt-BR"/>
        </w:rPr>
        <w:t>CD-REDD+</w:t>
      </w:r>
      <w:r w:rsidRPr="009A27ED">
        <w:rPr>
          <w:rFonts w:ascii="Times New Roman" w:eastAsia="Times New Roman" w:hAnsi="Times New Roman"/>
          <w:b/>
          <w:color w:val="000000" w:themeColor="text1"/>
          <w:sz w:val="24"/>
          <w:szCs w:val="22"/>
          <w:lang w:val="pt-BR"/>
        </w:rPr>
        <w:tab/>
      </w:r>
      <w:r w:rsidRPr="009A27ED">
        <w:rPr>
          <w:rFonts w:ascii="Times New Roman" w:eastAsia="Times New Roman" w:hAnsi="Times New Roman"/>
          <w:b/>
          <w:color w:val="000000" w:themeColor="text1"/>
          <w:sz w:val="24"/>
          <w:szCs w:val="22"/>
          <w:lang w:val="pt-BR"/>
        </w:rPr>
        <w:tab/>
      </w:r>
      <w:r w:rsidRPr="009A27ED">
        <w:rPr>
          <w:rFonts w:ascii="Times New Roman" w:eastAsia="Times New Roman" w:hAnsi="Times New Roman"/>
          <w:color w:val="000000" w:themeColor="text1"/>
          <w:sz w:val="24"/>
          <w:szCs w:val="22"/>
          <w:lang w:val="pt-BR"/>
        </w:rPr>
        <w:t xml:space="preserve">Comité </w:t>
      </w:r>
      <w:r w:rsidR="00512407" w:rsidRPr="009A27ED">
        <w:rPr>
          <w:rFonts w:ascii="Times New Roman" w:eastAsia="Times New Roman" w:hAnsi="Times New Roman"/>
          <w:color w:val="000000" w:themeColor="text1"/>
          <w:sz w:val="24"/>
          <w:szCs w:val="22"/>
          <w:lang w:val="pt-BR"/>
        </w:rPr>
        <w:t>Diretivo</w:t>
      </w:r>
      <w:r w:rsidRPr="009A27ED">
        <w:rPr>
          <w:rFonts w:ascii="Times New Roman" w:eastAsia="Times New Roman" w:hAnsi="Times New Roman"/>
          <w:color w:val="000000" w:themeColor="text1"/>
          <w:sz w:val="24"/>
          <w:szCs w:val="22"/>
          <w:lang w:val="pt-BR"/>
        </w:rPr>
        <w:t xml:space="preserve"> REDD+</w:t>
      </w:r>
    </w:p>
    <w:p w14:paraId="7E3E4F07" w14:textId="287B2035" w:rsidR="00512407" w:rsidRPr="009A27ED" w:rsidRDefault="00212909" w:rsidP="00512407">
      <w:pPr>
        <w:tabs>
          <w:tab w:val="left" w:pos="2400"/>
        </w:tabs>
        <w:spacing w:after="0" w:line="360" w:lineRule="auto"/>
        <w:rPr>
          <w:rFonts w:cs="Arial"/>
          <w:bCs/>
          <w:color w:val="000000" w:themeColor="text1"/>
          <w:szCs w:val="22"/>
          <w:shd w:val="clear" w:color="auto" w:fill="FFFFFF"/>
        </w:rPr>
      </w:pPr>
      <w:r w:rsidRPr="009A27ED">
        <w:rPr>
          <w:rFonts w:ascii="Times New Roman" w:eastAsia="Times New Roman" w:hAnsi="Times New Roman"/>
          <w:b/>
          <w:color w:val="000000" w:themeColor="text1"/>
          <w:sz w:val="24"/>
          <w:szCs w:val="22"/>
        </w:rPr>
        <w:t>CMNUCC</w:t>
      </w:r>
      <w:r w:rsidR="00512407" w:rsidRPr="009A27ED">
        <w:rPr>
          <w:rFonts w:ascii="Times New Roman" w:eastAsia="Times New Roman" w:hAnsi="Times New Roman"/>
          <w:b/>
          <w:color w:val="000000" w:themeColor="text1"/>
          <w:sz w:val="24"/>
          <w:szCs w:val="22"/>
        </w:rPr>
        <w:t xml:space="preserve">                           </w:t>
      </w:r>
      <w:r w:rsidR="00512407" w:rsidRPr="009A27ED">
        <w:rPr>
          <w:rFonts w:ascii="Times New Roman" w:eastAsia="Times New Roman" w:hAnsi="Times New Roman" w:cs="Arial"/>
          <w:bCs/>
          <w:color w:val="000000" w:themeColor="text1"/>
          <w:sz w:val="24"/>
          <w:szCs w:val="22"/>
          <w:shd w:val="clear" w:color="auto" w:fill="FFFFFF"/>
        </w:rPr>
        <w:t>Convención Marco de las Naciones Unidas sobre el Cambio Climático</w:t>
      </w:r>
    </w:p>
    <w:p w14:paraId="168F5764" w14:textId="590EE9A2" w:rsidR="00512407" w:rsidRPr="009A27ED" w:rsidRDefault="00512407" w:rsidP="00512407">
      <w:pPr>
        <w:tabs>
          <w:tab w:val="left" w:pos="2400"/>
        </w:tabs>
        <w:spacing w:after="0" w:line="360" w:lineRule="auto"/>
        <w:rPr>
          <w:color w:val="000000" w:themeColor="text1"/>
          <w:szCs w:val="22"/>
        </w:rPr>
      </w:pPr>
      <w:r w:rsidRPr="009A27ED">
        <w:rPr>
          <w:rFonts w:ascii="Times New Roman" w:eastAsia="Times New Roman" w:hAnsi="Times New Roman"/>
          <w:b/>
          <w:color w:val="000000" w:themeColor="text1"/>
          <w:sz w:val="24"/>
          <w:szCs w:val="22"/>
        </w:rPr>
        <w:t xml:space="preserve">CNMSF                              </w:t>
      </w:r>
      <w:r w:rsidRPr="009A27ED">
        <w:rPr>
          <w:rFonts w:ascii="Times New Roman" w:eastAsia="Times New Roman" w:hAnsi="Times New Roman"/>
          <w:color w:val="000000" w:themeColor="text1"/>
          <w:sz w:val="24"/>
          <w:szCs w:val="22"/>
        </w:rPr>
        <w:t>Comité Nacional para la Aplicación de Medidas Sanitarias y Fitosanitarias</w:t>
      </w:r>
    </w:p>
    <w:p w14:paraId="593B4A20" w14:textId="6250B0A5" w:rsidR="00212909" w:rsidRPr="009A27ED" w:rsidRDefault="00512407" w:rsidP="00512407">
      <w:pPr>
        <w:tabs>
          <w:tab w:val="left" w:pos="2400"/>
        </w:tabs>
        <w:spacing w:after="0" w:line="360" w:lineRule="auto"/>
        <w:rPr>
          <w:b/>
          <w:color w:val="000000" w:themeColor="text1"/>
          <w:szCs w:val="22"/>
        </w:rPr>
      </w:pPr>
      <w:r w:rsidRPr="009A27ED">
        <w:rPr>
          <w:rFonts w:ascii="Times New Roman" w:eastAsia="Times New Roman" w:hAnsi="Times New Roman"/>
          <w:b/>
          <w:color w:val="000000" w:themeColor="text1"/>
          <w:sz w:val="24"/>
          <w:szCs w:val="22"/>
        </w:rPr>
        <w:t xml:space="preserve">CONACADO                      </w:t>
      </w:r>
      <w:r w:rsidRPr="009A27ED">
        <w:rPr>
          <w:rFonts w:ascii="Times New Roman" w:eastAsia="Times New Roman" w:hAnsi="Times New Roman"/>
          <w:color w:val="000000" w:themeColor="text1"/>
          <w:sz w:val="24"/>
          <w:szCs w:val="22"/>
        </w:rPr>
        <w:t xml:space="preserve">Consorcio Nacional de </w:t>
      </w:r>
      <w:proofErr w:type="spellStart"/>
      <w:r w:rsidRPr="009A27ED">
        <w:rPr>
          <w:rFonts w:ascii="Times New Roman" w:eastAsia="Times New Roman" w:hAnsi="Times New Roman"/>
          <w:color w:val="000000" w:themeColor="text1"/>
          <w:sz w:val="24"/>
          <w:szCs w:val="22"/>
        </w:rPr>
        <w:t>Cacaocultores</w:t>
      </w:r>
      <w:proofErr w:type="spellEnd"/>
      <w:r w:rsidRPr="009A27ED">
        <w:rPr>
          <w:rFonts w:ascii="Times New Roman" w:eastAsia="Times New Roman" w:hAnsi="Times New Roman"/>
          <w:color w:val="000000" w:themeColor="text1"/>
          <w:sz w:val="24"/>
          <w:szCs w:val="22"/>
        </w:rPr>
        <w:t xml:space="preserve"> </w:t>
      </w:r>
      <w:proofErr w:type="gramStart"/>
      <w:r w:rsidRPr="009A27ED">
        <w:rPr>
          <w:rFonts w:ascii="Times New Roman" w:eastAsia="Times New Roman" w:hAnsi="Times New Roman"/>
          <w:color w:val="000000" w:themeColor="text1"/>
          <w:sz w:val="24"/>
          <w:szCs w:val="22"/>
        </w:rPr>
        <w:t>Dominicano</w:t>
      </w:r>
      <w:r w:rsidR="00567CF4" w:rsidRPr="009A27ED">
        <w:rPr>
          <w:rFonts w:ascii="Times New Roman" w:eastAsia="Times New Roman" w:hAnsi="Times New Roman"/>
          <w:color w:val="000000" w:themeColor="text1"/>
          <w:sz w:val="24"/>
          <w:szCs w:val="22"/>
        </w:rPr>
        <w:t>s</w:t>
      </w:r>
      <w:proofErr w:type="gramEnd"/>
      <w:r w:rsidRPr="009A27ED">
        <w:rPr>
          <w:rFonts w:ascii="Times New Roman" w:eastAsia="Times New Roman" w:hAnsi="Times New Roman"/>
          <w:b/>
          <w:color w:val="000000" w:themeColor="text1"/>
          <w:sz w:val="24"/>
          <w:szCs w:val="22"/>
        </w:rPr>
        <w:t xml:space="preserve"> </w:t>
      </w:r>
    </w:p>
    <w:p w14:paraId="579F0244" w14:textId="2B409795" w:rsidR="001A39BA" w:rsidRPr="009A27ED" w:rsidRDefault="001A39BA" w:rsidP="00512407">
      <w:pPr>
        <w:tabs>
          <w:tab w:val="left" w:pos="2400"/>
        </w:tabs>
        <w:spacing w:after="0" w:line="360" w:lineRule="auto"/>
        <w:rPr>
          <w:color w:val="000000" w:themeColor="text1"/>
          <w:szCs w:val="22"/>
        </w:rPr>
      </w:pPr>
      <w:r w:rsidRPr="009A27ED">
        <w:rPr>
          <w:rFonts w:ascii="Times New Roman" w:eastAsia="Times New Roman" w:hAnsi="Times New Roman"/>
          <w:b/>
          <w:color w:val="000000" w:themeColor="text1"/>
          <w:sz w:val="24"/>
          <w:szCs w:val="22"/>
        </w:rPr>
        <w:t xml:space="preserve">CONAMUCA                     </w:t>
      </w:r>
      <w:r w:rsidRPr="009A27ED">
        <w:rPr>
          <w:rFonts w:ascii="Times New Roman" w:eastAsia="Times New Roman" w:hAnsi="Times New Roman"/>
          <w:color w:val="000000" w:themeColor="text1"/>
          <w:sz w:val="24"/>
          <w:szCs w:val="22"/>
        </w:rPr>
        <w:t xml:space="preserve">Confederación Nacional de Mujeres del Campo </w:t>
      </w:r>
    </w:p>
    <w:p w14:paraId="60059F81" w14:textId="2F9CF491" w:rsidR="00947670" w:rsidRPr="009A27ED" w:rsidRDefault="00947670" w:rsidP="000A022C">
      <w:pPr>
        <w:tabs>
          <w:tab w:val="left" w:pos="4320"/>
        </w:tabs>
        <w:spacing w:after="0" w:line="360" w:lineRule="auto"/>
        <w:rPr>
          <w:color w:val="000000" w:themeColor="text1"/>
          <w:szCs w:val="22"/>
        </w:rPr>
      </w:pPr>
      <w:r w:rsidRPr="009A27ED">
        <w:rPr>
          <w:rFonts w:ascii="Times New Roman" w:eastAsia="Times New Roman" w:hAnsi="Times New Roman"/>
          <w:b/>
          <w:color w:val="000000" w:themeColor="text1"/>
          <w:sz w:val="24"/>
          <w:szCs w:val="22"/>
        </w:rPr>
        <w:t>CONALECHE</w:t>
      </w:r>
      <w:r w:rsidR="00140831" w:rsidRPr="009A27ED">
        <w:rPr>
          <w:rFonts w:ascii="Times New Roman" w:eastAsia="Times New Roman" w:hAnsi="Times New Roman"/>
          <w:b/>
          <w:color w:val="000000" w:themeColor="text1"/>
          <w:sz w:val="24"/>
          <w:szCs w:val="22"/>
        </w:rPr>
        <w:t xml:space="preserve">                     C</w:t>
      </w:r>
      <w:r w:rsidRPr="009A27ED">
        <w:rPr>
          <w:rFonts w:ascii="Times New Roman" w:eastAsia="Times New Roman" w:hAnsi="Times New Roman"/>
          <w:color w:val="000000" w:themeColor="text1"/>
          <w:sz w:val="24"/>
          <w:szCs w:val="22"/>
        </w:rPr>
        <w:t>onsejo Nacional para la Reglamentación y Fomento de la Industria Lechera</w:t>
      </w:r>
    </w:p>
    <w:p w14:paraId="7A51B720" w14:textId="3A90C9F9" w:rsidR="00212909" w:rsidRPr="009A27ED" w:rsidRDefault="00212909" w:rsidP="00212909">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COP</w:t>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t>Conferencia de las Partes</w:t>
      </w:r>
    </w:p>
    <w:p w14:paraId="5FA13151" w14:textId="22F02ECD" w:rsidR="001A39BA" w:rsidRPr="009A27ED" w:rsidRDefault="001A39BA" w:rsidP="00212909">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CPD</w:t>
      </w:r>
      <w:r w:rsidRPr="009A27ED">
        <w:rPr>
          <w:rFonts w:ascii="Times New Roman" w:eastAsia="Times New Roman" w:hAnsi="Times New Roman"/>
          <w:b/>
          <w:color w:val="000000" w:themeColor="text1"/>
          <w:sz w:val="24"/>
          <w:szCs w:val="22"/>
        </w:rPr>
        <w:tab/>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t>Constitución Política de la República Dominicana</w:t>
      </w:r>
    </w:p>
    <w:p w14:paraId="73172839" w14:textId="77777777" w:rsidR="00140831" w:rsidRPr="009A27ED" w:rsidRDefault="00947670" w:rsidP="00256899">
      <w:pPr>
        <w:spacing w:after="0" w:line="360" w:lineRule="auto"/>
        <w:rPr>
          <w:color w:val="000000" w:themeColor="text1"/>
          <w:szCs w:val="22"/>
          <w:lang w:eastAsia="es-ES"/>
        </w:rPr>
      </w:pPr>
      <w:r w:rsidRPr="009A27ED">
        <w:rPr>
          <w:rFonts w:ascii="Times New Roman" w:eastAsia="Times New Roman" w:hAnsi="Times New Roman"/>
          <w:b/>
          <w:color w:val="000000" w:themeColor="text1"/>
          <w:sz w:val="24"/>
          <w:szCs w:val="22"/>
          <w:lang w:eastAsia="es-ES"/>
        </w:rPr>
        <w:t>CORAASAN</w:t>
      </w:r>
      <w:r w:rsidRPr="009A27ED">
        <w:rPr>
          <w:rFonts w:ascii="Times New Roman" w:eastAsia="Times New Roman" w:hAnsi="Times New Roman"/>
          <w:color w:val="000000" w:themeColor="text1"/>
          <w:sz w:val="24"/>
          <w:szCs w:val="22"/>
          <w:lang w:eastAsia="es-ES"/>
        </w:rPr>
        <w:t xml:space="preserve">      </w:t>
      </w:r>
      <w:r w:rsidR="00140831" w:rsidRPr="009A27ED">
        <w:rPr>
          <w:rFonts w:ascii="Times New Roman" w:eastAsia="Times New Roman" w:hAnsi="Times New Roman"/>
          <w:color w:val="000000" w:themeColor="text1"/>
          <w:sz w:val="24"/>
          <w:szCs w:val="22"/>
          <w:lang w:eastAsia="es-ES"/>
        </w:rPr>
        <w:tab/>
      </w:r>
      <w:r w:rsidRPr="009A27ED">
        <w:rPr>
          <w:rFonts w:ascii="Times New Roman" w:eastAsia="Times New Roman" w:hAnsi="Times New Roman"/>
          <w:color w:val="000000" w:themeColor="text1"/>
          <w:sz w:val="24"/>
          <w:szCs w:val="22"/>
          <w:lang w:eastAsia="es-ES"/>
        </w:rPr>
        <w:t xml:space="preserve"> </w:t>
      </w:r>
      <w:r w:rsidR="003B080D" w:rsidRPr="009A27ED">
        <w:rPr>
          <w:rFonts w:ascii="Times New Roman" w:eastAsia="Times New Roman" w:hAnsi="Times New Roman"/>
          <w:color w:val="000000" w:themeColor="text1"/>
          <w:sz w:val="24"/>
          <w:szCs w:val="22"/>
          <w:lang w:eastAsia="es-ES"/>
        </w:rPr>
        <w:t xml:space="preserve"> </w:t>
      </w:r>
      <w:r w:rsidR="000A022C" w:rsidRPr="009A27ED">
        <w:rPr>
          <w:rFonts w:ascii="Times New Roman" w:eastAsia="Times New Roman" w:hAnsi="Times New Roman"/>
          <w:color w:val="000000" w:themeColor="text1"/>
          <w:sz w:val="24"/>
          <w:szCs w:val="22"/>
          <w:lang w:eastAsia="es-ES"/>
        </w:rPr>
        <w:tab/>
      </w:r>
      <w:r w:rsidRPr="009A27ED">
        <w:rPr>
          <w:rFonts w:ascii="Times New Roman" w:eastAsia="Times New Roman" w:hAnsi="Times New Roman"/>
          <w:color w:val="000000" w:themeColor="text1"/>
          <w:sz w:val="24"/>
          <w:szCs w:val="22"/>
          <w:lang w:eastAsia="es-ES"/>
        </w:rPr>
        <w:t>Corporación de Acueducto y Alcantarillado de Santiago</w:t>
      </w:r>
    </w:p>
    <w:p w14:paraId="7285C2C4" w14:textId="77777777" w:rsidR="00140831" w:rsidRPr="009A27ED" w:rsidRDefault="00947670" w:rsidP="00256899">
      <w:pPr>
        <w:spacing w:after="0" w:line="360" w:lineRule="auto"/>
        <w:rPr>
          <w:color w:val="000000" w:themeColor="text1"/>
          <w:szCs w:val="22"/>
          <w:lang w:val="pt-BR"/>
        </w:rPr>
      </w:pPr>
      <w:r w:rsidRPr="009A27ED">
        <w:rPr>
          <w:rFonts w:ascii="Times New Roman" w:eastAsia="Times New Roman" w:hAnsi="Times New Roman"/>
          <w:b/>
          <w:color w:val="000000" w:themeColor="text1"/>
          <w:sz w:val="24"/>
          <w:szCs w:val="22"/>
          <w:lang w:val="pt-BR"/>
        </w:rPr>
        <w:t>CRIM</w:t>
      </w:r>
      <w:r w:rsidRPr="009A27ED">
        <w:rPr>
          <w:rFonts w:ascii="Times New Roman" w:eastAsia="Times New Roman" w:hAnsi="Times New Roman"/>
          <w:color w:val="000000" w:themeColor="text1"/>
          <w:sz w:val="24"/>
          <w:szCs w:val="22"/>
          <w:lang w:val="pt-BR"/>
        </w:rPr>
        <w:tab/>
      </w:r>
      <w:r w:rsidRPr="009A27ED">
        <w:rPr>
          <w:rFonts w:ascii="Times New Roman" w:eastAsia="Times New Roman" w:hAnsi="Times New Roman"/>
          <w:color w:val="000000" w:themeColor="text1"/>
          <w:sz w:val="24"/>
          <w:szCs w:val="22"/>
          <w:lang w:val="pt-BR"/>
        </w:rPr>
        <w:tab/>
      </w:r>
      <w:r w:rsidR="000A022C" w:rsidRPr="009A27ED">
        <w:rPr>
          <w:rFonts w:ascii="Times New Roman" w:eastAsia="Times New Roman" w:hAnsi="Times New Roman"/>
          <w:color w:val="000000" w:themeColor="text1"/>
          <w:sz w:val="24"/>
          <w:szCs w:val="22"/>
          <w:lang w:val="pt-BR"/>
        </w:rPr>
        <w:tab/>
      </w:r>
      <w:r w:rsidRPr="009A27ED">
        <w:rPr>
          <w:rFonts w:ascii="Times New Roman" w:eastAsia="Times New Roman" w:hAnsi="Times New Roman"/>
          <w:color w:val="000000" w:themeColor="text1"/>
          <w:sz w:val="24"/>
          <w:szCs w:val="22"/>
          <w:lang w:val="pt-BR"/>
        </w:rPr>
        <w:t>Certificado de Registro de Impacto Mínimo</w:t>
      </w:r>
    </w:p>
    <w:p w14:paraId="0E3FD928" w14:textId="034F5541" w:rsidR="00212909" w:rsidRPr="009A27ED" w:rsidRDefault="00212909" w:rsidP="00256899">
      <w:pPr>
        <w:spacing w:after="0" w:line="360" w:lineRule="auto"/>
        <w:rPr>
          <w:b/>
          <w:color w:val="000000" w:themeColor="text1"/>
          <w:szCs w:val="22"/>
          <w:shd w:val="clear" w:color="auto" w:fill="FFFFFF"/>
          <w:lang w:eastAsia="es-ES"/>
        </w:rPr>
      </w:pPr>
      <w:r w:rsidRPr="009A27ED">
        <w:rPr>
          <w:rFonts w:ascii="Times New Roman" w:eastAsia="Times New Roman" w:hAnsi="Times New Roman"/>
          <w:b/>
          <w:color w:val="000000" w:themeColor="text1"/>
          <w:sz w:val="24"/>
          <w:szCs w:val="22"/>
        </w:rPr>
        <w:t>CTA</w:t>
      </w:r>
      <w:r w:rsidRPr="009A27ED">
        <w:rPr>
          <w:rFonts w:ascii="Times New Roman" w:eastAsia="Times New Roman" w:hAnsi="Times New Roman"/>
          <w:color w:val="000000" w:themeColor="text1"/>
          <w:sz w:val="24"/>
          <w:szCs w:val="22"/>
        </w:rPr>
        <w:tab/>
      </w:r>
      <w:r w:rsidR="00140831"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t>Comité Técnico Asesor</w:t>
      </w:r>
      <w:r w:rsidRPr="009A27ED">
        <w:rPr>
          <w:rFonts w:ascii="Times New Roman" w:eastAsia="Times New Roman" w:hAnsi="Times New Roman"/>
          <w:b/>
          <w:color w:val="000000" w:themeColor="text1"/>
          <w:sz w:val="24"/>
          <w:szCs w:val="22"/>
          <w:shd w:val="clear" w:color="auto" w:fill="FFFFFF"/>
          <w:lang w:eastAsia="es-ES"/>
        </w:rPr>
        <w:t xml:space="preserve"> </w:t>
      </w:r>
    </w:p>
    <w:p w14:paraId="0A9EDC3D" w14:textId="77777777" w:rsidR="00212909" w:rsidRPr="009A27ED" w:rsidRDefault="00212909" w:rsidP="00212909">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DDC</w:t>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t>Dirección de Cambio Climático</w:t>
      </w:r>
    </w:p>
    <w:p w14:paraId="2DC8D1DF" w14:textId="77777777" w:rsidR="00140831" w:rsidRPr="009A27ED" w:rsidRDefault="00947670" w:rsidP="00256899">
      <w:pPr>
        <w:spacing w:after="0" w:line="360" w:lineRule="auto"/>
        <w:rPr>
          <w:color w:val="000000" w:themeColor="text1"/>
          <w:szCs w:val="22"/>
          <w:shd w:val="clear" w:color="auto" w:fill="FFFFFF"/>
          <w:lang w:eastAsia="es-ES"/>
        </w:rPr>
      </w:pPr>
      <w:r w:rsidRPr="009A27ED">
        <w:rPr>
          <w:rFonts w:ascii="Times New Roman" w:eastAsia="Times New Roman" w:hAnsi="Times New Roman"/>
          <w:b/>
          <w:color w:val="000000" w:themeColor="text1"/>
          <w:sz w:val="24"/>
          <w:szCs w:val="22"/>
          <w:shd w:val="clear" w:color="auto" w:fill="FFFFFF"/>
          <w:lang w:eastAsia="es-ES"/>
        </w:rPr>
        <w:t>DIA</w:t>
      </w:r>
      <w:r w:rsidRPr="009A27ED">
        <w:rPr>
          <w:rFonts w:ascii="Times New Roman" w:eastAsia="Times New Roman" w:hAnsi="Times New Roman"/>
          <w:b/>
          <w:color w:val="000000" w:themeColor="text1"/>
          <w:sz w:val="24"/>
          <w:szCs w:val="22"/>
          <w:shd w:val="clear" w:color="auto" w:fill="FFFFFF"/>
          <w:lang w:eastAsia="es-ES"/>
        </w:rPr>
        <w:tab/>
      </w:r>
      <w:r w:rsidRPr="009A27ED">
        <w:rPr>
          <w:rFonts w:ascii="Times New Roman" w:eastAsia="Times New Roman" w:hAnsi="Times New Roman"/>
          <w:b/>
          <w:color w:val="000000" w:themeColor="text1"/>
          <w:sz w:val="24"/>
          <w:szCs w:val="22"/>
          <w:shd w:val="clear" w:color="auto" w:fill="FFFFFF"/>
          <w:lang w:eastAsia="es-ES"/>
        </w:rPr>
        <w:tab/>
      </w:r>
      <w:r w:rsidR="000A022C" w:rsidRPr="009A27ED">
        <w:rPr>
          <w:rFonts w:ascii="Times New Roman" w:eastAsia="Times New Roman" w:hAnsi="Times New Roman"/>
          <w:b/>
          <w:color w:val="000000" w:themeColor="text1"/>
          <w:sz w:val="24"/>
          <w:szCs w:val="22"/>
          <w:shd w:val="clear" w:color="auto" w:fill="FFFFFF"/>
          <w:lang w:eastAsia="es-ES"/>
        </w:rPr>
        <w:tab/>
      </w:r>
      <w:r w:rsidRPr="009A27ED">
        <w:rPr>
          <w:rFonts w:ascii="Times New Roman" w:eastAsia="Times New Roman" w:hAnsi="Times New Roman"/>
          <w:color w:val="000000" w:themeColor="text1"/>
          <w:sz w:val="24"/>
          <w:szCs w:val="22"/>
          <w:shd w:val="clear" w:color="auto" w:fill="FFFFFF"/>
          <w:lang w:eastAsia="es-ES"/>
        </w:rPr>
        <w:t>Declaración de impacto ambiental</w:t>
      </w:r>
    </w:p>
    <w:p w14:paraId="2D581313" w14:textId="108DDFA1" w:rsidR="00947670" w:rsidRPr="009A27ED" w:rsidRDefault="00947670" w:rsidP="00256899">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DIGECA</w:t>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r>
      <w:r w:rsidR="000A022C"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 xml:space="preserve">Dirección General de Ganadería </w:t>
      </w:r>
    </w:p>
    <w:p w14:paraId="57A27FC9" w14:textId="77777777" w:rsidR="00212909" w:rsidRPr="009A27ED" w:rsidRDefault="00212909" w:rsidP="00212909">
      <w:pPr>
        <w:spacing w:after="0" w:line="360" w:lineRule="auto"/>
        <w:rPr>
          <w:color w:val="000000" w:themeColor="text1"/>
          <w:sz w:val="28"/>
          <w:szCs w:val="22"/>
        </w:rPr>
      </w:pPr>
      <w:r w:rsidRPr="009A27ED">
        <w:rPr>
          <w:rFonts w:ascii="Times New Roman" w:eastAsia="Times New Roman" w:hAnsi="Times New Roman"/>
          <w:b/>
          <w:color w:val="000000" w:themeColor="text1"/>
          <w:sz w:val="24"/>
          <w:szCs w:val="22"/>
        </w:rPr>
        <w:t>EAS</w:t>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t>Evaluación Ambiental y Social</w:t>
      </w:r>
    </w:p>
    <w:p w14:paraId="32FC35B1" w14:textId="135746B7" w:rsidR="00212909" w:rsidRPr="009A27ED" w:rsidRDefault="00212909" w:rsidP="00212909">
      <w:pPr>
        <w:spacing w:after="0" w:line="360" w:lineRule="auto"/>
        <w:rPr>
          <w:color w:val="000000" w:themeColor="text1"/>
          <w:szCs w:val="22"/>
        </w:rPr>
      </w:pPr>
      <w:r w:rsidRPr="009A27ED">
        <w:rPr>
          <w:rFonts w:ascii="Times New Roman" w:eastAsia="Times New Roman" w:hAnsi="Times New Roman"/>
          <w:b/>
          <w:color w:val="000000" w:themeColor="text1"/>
          <w:sz w:val="24"/>
          <w:szCs w:val="22"/>
          <w:lang w:eastAsia="es-ES"/>
        </w:rPr>
        <w:t>EGEHID</w:t>
      </w:r>
      <w:r w:rsidR="00140831" w:rsidRPr="009A27ED">
        <w:rPr>
          <w:rFonts w:ascii="Times New Roman" w:eastAsia="Times New Roman" w:hAnsi="Times New Roman"/>
          <w:b/>
          <w:color w:val="000000" w:themeColor="text1"/>
          <w:sz w:val="24"/>
          <w:szCs w:val="22"/>
          <w:lang w:eastAsia="es-ES"/>
        </w:rPr>
        <w:tab/>
      </w:r>
      <w:r w:rsidR="00140831" w:rsidRPr="009A27ED">
        <w:rPr>
          <w:rFonts w:ascii="Times New Roman" w:eastAsia="Times New Roman" w:hAnsi="Times New Roman"/>
          <w:b/>
          <w:color w:val="000000" w:themeColor="text1"/>
          <w:sz w:val="24"/>
          <w:szCs w:val="22"/>
          <w:lang w:eastAsia="es-ES"/>
        </w:rPr>
        <w:tab/>
      </w:r>
      <w:r w:rsidR="00140831" w:rsidRPr="009A27ED">
        <w:rPr>
          <w:rFonts w:ascii="Times New Roman" w:eastAsia="Times New Roman" w:hAnsi="Times New Roman"/>
          <w:b/>
          <w:color w:val="000000" w:themeColor="text1"/>
          <w:sz w:val="24"/>
          <w:szCs w:val="22"/>
          <w:lang w:eastAsia="es-ES"/>
        </w:rPr>
        <w:tab/>
      </w:r>
      <w:r w:rsidRPr="009A27ED">
        <w:rPr>
          <w:rFonts w:ascii="Times New Roman" w:eastAsia="Times New Roman" w:hAnsi="Times New Roman"/>
          <w:b/>
          <w:color w:val="000000" w:themeColor="text1"/>
          <w:sz w:val="24"/>
          <w:szCs w:val="22"/>
          <w:lang w:eastAsia="es-ES"/>
        </w:rPr>
        <w:t xml:space="preserve"> </w:t>
      </w:r>
      <w:r w:rsidRPr="009A27ED">
        <w:rPr>
          <w:rFonts w:ascii="Times New Roman" w:eastAsia="Times New Roman" w:hAnsi="Times New Roman"/>
          <w:color w:val="000000" w:themeColor="text1"/>
          <w:sz w:val="24"/>
          <w:szCs w:val="22"/>
          <w:lang w:eastAsia="es-ES"/>
        </w:rPr>
        <w:t>Empresa de Generación Hidroeléctrica Dominicana</w:t>
      </w:r>
    </w:p>
    <w:p w14:paraId="4619DB99" w14:textId="77777777" w:rsidR="00140831" w:rsidRPr="009A27ED" w:rsidRDefault="00947670" w:rsidP="00256899">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EIA</w:t>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r>
      <w:r w:rsidR="000A022C" w:rsidRPr="009A27ED">
        <w:rPr>
          <w:rFonts w:ascii="Times New Roman" w:eastAsia="Times New Roman" w:hAnsi="Times New Roman"/>
          <w:color w:val="000000" w:themeColor="text1"/>
          <w:sz w:val="24"/>
          <w:szCs w:val="22"/>
        </w:rPr>
        <w:tab/>
      </w:r>
      <w:r w:rsidR="00D34380" w:rsidRPr="009A27ED">
        <w:rPr>
          <w:rFonts w:ascii="Times New Roman" w:eastAsia="Times New Roman" w:hAnsi="Times New Roman"/>
          <w:color w:val="000000" w:themeColor="text1"/>
          <w:sz w:val="24"/>
          <w:szCs w:val="22"/>
        </w:rPr>
        <w:t xml:space="preserve">Estudio </w:t>
      </w:r>
      <w:r w:rsidRPr="009A27ED">
        <w:rPr>
          <w:rFonts w:ascii="Times New Roman" w:eastAsia="Times New Roman" w:hAnsi="Times New Roman"/>
          <w:color w:val="000000" w:themeColor="text1"/>
          <w:sz w:val="24"/>
          <w:szCs w:val="22"/>
        </w:rPr>
        <w:t>de Impacto Ambiental</w:t>
      </w:r>
    </w:p>
    <w:p w14:paraId="71DD5B43" w14:textId="1640917B" w:rsidR="00947670" w:rsidRPr="009A27ED" w:rsidRDefault="00947670" w:rsidP="00256899">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ENBPA</w:t>
      </w:r>
      <w:r w:rsidRPr="009A27ED">
        <w:rPr>
          <w:rFonts w:ascii="Times New Roman" w:eastAsia="Times New Roman" w:hAnsi="Times New Roman"/>
          <w:b/>
          <w:color w:val="000000" w:themeColor="text1"/>
          <w:sz w:val="24"/>
          <w:szCs w:val="22"/>
        </w:rPr>
        <w:tab/>
      </w:r>
      <w:r w:rsidRPr="009A27ED">
        <w:rPr>
          <w:rFonts w:ascii="Times New Roman" w:eastAsia="Times New Roman" w:hAnsi="Times New Roman"/>
          <w:b/>
          <w:color w:val="000000" w:themeColor="text1"/>
          <w:sz w:val="24"/>
          <w:szCs w:val="22"/>
        </w:rPr>
        <w:tab/>
      </w:r>
      <w:r w:rsidR="000A022C" w:rsidRPr="009A27ED">
        <w:rPr>
          <w:rFonts w:ascii="Times New Roman" w:eastAsia="Times New Roman" w:hAnsi="Times New Roman"/>
          <w:b/>
          <w:color w:val="000000" w:themeColor="text1"/>
          <w:sz w:val="24"/>
          <w:szCs w:val="22"/>
        </w:rPr>
        <w:tab/>
      </w:r>
      <w:r w:rsidRPr="009A27ED">
        <w:rPr>
          <w:rFonts w:ascii="Times New Roman" w:eastAsia="Times New Roman" w:hAnsi="Times New Roman" w:cs="Arial"/>
          <w:color w:val="000000" w:themeColor="text1"/>
          <w:sz w:val="24"/>
          <w:szCs w:val="22"/>
          <w:shd w:val="clear" w:color="auto" w:fill="FFFFFF"/>
        </w:rPr>
        <w:t>Estrategia Nacional de</w:t>
      </w:r>
      <w:r w:rsidR="00B229ED" w:rsidRPr="009A27ED">
        <w:rPr>
          <w:rFonts w:ascii="Times New Roman" w:eastAsia="Times New Roman" w:hAnsi="Times New Roman" w:cs="Arial"/>
          <w:color w:val="000000" w:themeColor="text1"/>
          <w:sz w:val="24"/>
          <w:szCs w:val="22"/>
          <w:shd w:val="clear" w:color="auto" w:fill="FFFFFF"/>
        </w:rPr>
        <w:t xml:space="preserve"> </w:t>
      </w:r>
      <w:r w:rsidRPr="009A27ED">
        <w:rPr>
          <w:rFonts w:ascii="Times New Roman" w:eastAsia="Times New Roman" w:hAnsi="Times New Roman" w:cs="Arial"/>
          <w:bCs/>
          <w:color w:val="000000" w:themeColor="text1"/>
          <w:sz w:val="24"/>
          <w:szCs w:val="22"/>
          <w:shd w:val="clear" w:color="auto" w:fill="FFFFFF"/>
        </w:rPr>
        <w:t>Biodiversidad y Plan de Acción</w:t>
      </w:r>
    </w:p>
    <w:p w14:paraId="540306F6" w14:textId="69CDDE6A" w:rsidR="00947670" w:rsidRPr="009A27ED" w:rsidRDefault="001A39BA" w:rsidP="00256899">
      <w:pPr>
        <w:spacing w:after="0" w:line="360" w:lineRule="auto"/>
        <w:rPr>
          <w:rStyle w:val="nfasis"/>
          <w:rFonts w:cs="Arial"/>
          <w:bCs/>
          <w:i w:val="0"/>
          <w:iCs w:val="0"/>
          <w:color w:val="000000" w:themeColor="text1"/>
          <w:szCs w:val="22"/>
          <w:shd w:val="clear" w:color="auto" w:fill="FFFFFF"/>
        </w:rPr>
      </w:pPr>
      <w:r w:rsidRPr="009A27ED">
        <w:rPr>
          <w:rFonts w:ascii="Times New Roman" w:eastAsia="Times New Roman" w:hAnsi="Times New Roman"/>
          <w:b/>
          <w:color w:val="000000" w:themeColor="text1"/>
          <w:sz w:val="24"/>
          <w:szCs w:val="22"/>
        </w:rPr>
        <w:t xml:space="preserve">END </w:t>
      </w:r>
      <w:r w:rsidRPr="009A27ED">
        <w:rPr>
          <w:rFonts w:ascii="Times New Roman" w:eastAsia="Times New Roman" w:hAnsi="Times New Roman"/>
          <w:b/>
          <w:color w:val="000000" w:themeColor="text1"/>
          <w:sz w:val="24"/>
          <w:szCs w:val="22"/>
        </w:rPr>
        <w:tab/>
      </w:r>
      <w:r w:rsidR="00947670" w:rsidRPr="009A27ED">
        <w:rPr>
          <w:rFonts w:ascii="Times New Roman" w:eastAsia="Times New Roman" w:hAnsi="Times New Roman"/>
          <w:b/>
          <w:color w:val="000000" w:themeColor="text1"/>
          <w:sz w:val="24"/>
          <w:szCs w:val="22"/>
        </w:rPr>
        <w:tab/>
      </w:r>
      <w:r w:rsidR="000A022C" w:rsidRPr="009A27ED">
        <w:rPr>
          <w:rFonts w:ascii="Times New Roman" w:eastAsia="Times New Roman" w:hAnsi="Times New Roman"/>
          <w:b/>
          <w:color w:val="000000" w:themeColor="text1"/>
          <w:sz w:val="24"/>
          <w:szCs w:val="22"/>
        </w:rPr>
        <w:tab/>
      </w:r>
      <w:r w:rsidR="00947670" w:rsidRPr="009A27ED">
        <w:rPr>
          <w:rFonts w:ascii="Times New Roman" w:eastAsia="Times New Roman" w:hAnsi="Times New Roman" w:cs="Arial"/>
          <w:color w:val="000000" w:themeColor="text1"/>
          <w:sz w:val="24"/>
          <w:szCs w:val="22"/>
          <w:shd w:val="clear" w:color="auto" w:fill="FFFFFF"/>
        </w:rPr>
        <w:t>Estrategia Nacional de Desarrollo </w:t>
      </w:r>
      <w:r w:rsidR="00947670" w:rsidRPr="009A27ED">
        <w:rPr>
          <w:rStyle w:val="nfasis"/>
          <w:rFonts w:ascii="Times New Roman" w:eastAsia="Times New Roman" w:hAnsi="Times New Roman" w:cs="Arial"/>
          <w:bCs/>
          <w:color w:val="000000" w:themeColor="text1"/>
          <w:sz w:val="24"/>
          <w:szCs w:val="22"/>
          <w:shd w:val="clear" w:color="auto" w:fill="FFFFFF"/>
        </w:rPr>
        <w:t>de la Rep</w:t>
      </w:r>
      <w:r w:rsidR="00947670" w:rsidRPr="009A27ED">
        <w:rPr>
          <w:rFonts w:ascii="Times New Roman" w:eastAsia="Times New Roman" w:hAnsi="Times New Roman"/>
          <w:color w:val="000000" w:themeColor="text1"/>
          <w:sz w:val="24"/>
          <w:szCs w:val="22"/>
        </w:rPr>
        <w:t>ú</w:t>
      </w:r>
      <w:r w:rsidR="00947670" w:rsidRPr="009A27ED">
        <w:rPr>
          <w:rStyle w:val="nfasis"/>
          <w:rFonts w:ascii="Times New Roman" w:eastAsia="Times New Roman" w:hAnsi="Times New Roman" w:cs="Arial"/>
          <w:bCs/>
          <w:color w:val="000000" w:themeColor="text1"/>
          <w:sz w:val="24"/>
          <w:szCs w:val="22"/>
          <w:shd w:val="clear" w:color="auto" w:fill="FFFFFF"/>
        </w:rPr>
        <w:t>blica Dominicana</w:t>
      </w:r>
    </w:p>
    <w:p w14:paraId="132EDB52" w14:textId="3BF35FE3" w:rsidR="00947670" w:rsidRPr="009A27ED" w:rsidRDefault="00947670" w:rsidP="00256899">
      <w:pPr>
        <w:spacing w:after="0" w:line="360" w:lineRule="auto"/>
        <w:rPr>
          <w:rStyle w:val="nfasis"/>
          <w:rFonts w:cs="Arial"/>
          <w:bCs/>
          <w:color w:val="000000" w:themeColor="text1"/>
          <w:szCs w:val="22"/>
          <w:shd w:val="clear" w:color="auto" w:fill="FFFFFF"/>
        </w:rPr>
      </w:pPr>
      <w:r w:rsidRPr="009A27ED">
        <w:rPr>
          <w:rStyle w:val="nfasis"/>
          <w:rFonts w:ascii="Times New Roman" w:eastAsia="Times New Roman" w:hAnsi="Times New Roman" w:cs="Arial"/>
          <w:b/>
          <w:bCs/>
          <w:i w:val="0"/>
          <w:color w:val="000000" w:themeColor="text1"/>
          <w:sz w:val="24"/>
          <w:szCs w:val="22"/>
          <w:shd w:val="clear" w:color="auto" w:fill="FFFFFF"/>
        </w:rPr>
        <w:t>EN-REDD+</w:t>
      </w:r>
      <w:r w:rsidRPr="009A27ED">
        <w:rPr>
          <w:rStyle w:val="nfasis"/>
          <w:rFonts w:ascii="Times New Roman" w:eastAsia="Times New Roman" w:hAnsi="Times New Roman" w:cs="Arial"/>
          <w:bCs/>
          <w:i w:val="0"/>
          <w:color w:val="000000" w:themeColor="text1"/>
          <w:sz w:val="24"/>
          <w:szCs w:val="22"/>
          <w:shd w:val="clear" w:color="auto" w:fill="FFFFFF"/>
        </w:rPr>
        <w:tab/>
      </w:r>
      <w:r w:rsidR="000A022C" w:rsidRPr="009A27ED">
        <w:rPr>
          <w:rStyle w:val="nfasis"/>
          <w:rFonts w:ascii="Times New Roman" w:eastAsia="Times New Roman" w:hAnsi="Times New Roman" w:cs="Arial"/>
          <w:bCs/>
          <w:color w:val="000000" w:themeColor="text1"/>
          <w:sz w:val="24"/>
          <w:szCs w:val="22"/>
          <w:shd w:val="clear" w:color="auto" w:fill="FFFFFF"/>
        </w:rPr>
        <w:tab/>
      </w:r>
      <w:r w:rsidRPr="009A27ED">
        <w:rPr>
          <w:rStyle w:val="nfasis"/>
          <w:rFonts w:ascii="Times New Roman" w:eastAsia="Times New Roman" w:hAnsi="Times New Roman" w:cs="Arial"/>
          <w:bCs/>
          <w:color w:val="000000" w:themeColor="text1"/>
          <w:sz w:val="24"/>
          <w:szCs w:val="22"/>
          <w:shd w:val="clear" w:color="auto" w:fill="FFFFFF"/>
        </w:rPr>
        <w:t>Estrategia Nacional REDD+</w:t>
      </w:r>
    </w:p>
    <w:p w14:paraId="571BF239" w14:textId="349B114C" w:rsidR="003D6161" w:rsidRPr="009A27ED" w:rsidRDefault="003D6161" w:rsidP="00256899">
      <w:pPr>
        <w:spacing w:after="0" w:line="360" w:lineRule="auto"/>
        <w:rPr>
          <w:b/>
          <w:color w:val="000000" w:themeColor="text1"/>
          <w:szCs w:val="22"/>
        </w:rPr>
      </w:pPr>
      <w:proofErr w:type="spellStart"/>
      <w:r w:rsidRPr="009A27ED">
        <w:rPr>
          <w:rFonts w:ascii="Times New Roman" w:eastAsia="Times New Roman" w:hAnsi="Times New Roman"/>
          <w:b/>
          <w:color w:val="000000" w:themeColor="text1"/>
          <w:sz w:val="24"/>
          <w:szCs w:val="22"/>
        </w:rPr>
        <w:t>ERs</w:t>
      </w:r>
      <w:proofErr w:type="spellEnd"/>
      <w:r w:rsidRPr="009A27ED">
        <w:rPr>
          <w:rFonts w:ascii="Times New Roman" w:eastAsia="Times New Roman" w:hAnsi="Times New Roman"/>
          <w:b/>
          <w:color w:val="000000" w:themeColor="text1"/>
          <w:sz w:val="24"/>
          <w:szCs w:val="22"/>
        </w:rPr>
        <w:tab/>
      </w:r>
      <w:r w:rsidRPr="009A27ED">
        <w:rPr>
          <w:rFonts w:ascii="Times New Roman" w:eastAsia="Times New Roman" w:hAnsi="Times New Roman"/>
          <w:b/>
          <w:color w:val="000000" w:themeColor="text1"/>
          <w:sz w:val="24"/>
          <w:szCs w:val="22"/>
        </w:rPr>
        <w:tab/>
      </w:r>
      <w:r w:rsidR="000A022C" w:rsidRPr="009A27ED">
        <w:rPr>
          <w:rFonts w:ascii="Times New Roman" w:eastAsia="Times New Roman" w:hAnsi="Times New Roman"/>
          <w:b/>
          <w:color w:val="000000" w:themeColor="text1"/>
          <w:sz w:val="24"/>
          <w:szCs w:val="22"/>
        </w:rPr>
        <w:tab/>
      </w:r>
      <w:r w:rsidRPr="009A27ED">
        <w:rPr>
          <w:rFonts w:ascii="Times New Roman" w:eastAsia="Times New Roman" w:hAnsi="Times New Roman"/>
          <w:color w:val="000000" w:themeColor="text1"/>
          <w:sz w:val="24"/>
          <w:szCs w:val="22"/>
        </w:rPr>
        <w:t>Emisiones reducidas</w:t>
      </w:r>
    </w:p>
    <w:p w14:paraId="27210E85" w14:textId="3728C343" w:rsidR="00512407" w:rsidRPr="009A27ED" w:rsidRDefault="00212909" w:rsidP="00212909">
      <w:pPr>
        <w:spacing w:after="0" w:line="360" w:lineRule="auto"/>
        <w:rPr>
          <w:color w:val="000000" w:themeColor="text1"/>
          <w:szCs w:val="22"/>
        </w:rPr>
      </w:pPr>
      <w:r w:rsidRPr="009A27ED">
        <w:rPr>
          <w:rFonts w:ascii="Times New Roman" w:eastAsia="Times New Roman" w:hAnsi="Times New Roman"/>
          <w:b/>
          <w:color w:val="000000" w:themeColor="text1"/>
          <w:sz w:val="24"/>
          <w:szCs w:val="22"/>
        </w:rPr>
        <w:lastRenderedPageBreak/>
        <w:t>FCPF</w:t>
      </w:r>
      <w:r w:rsidR="00512407" w:rsidRPr="009A27ED">
        <w:rPr>
          <w:rFonts w:ascii="Times New Roman" w:eastAsia="Times New Roman" w:hAnsi="Times New Roman"/>
          <w:b/>
          <w:color w:val="000000" w:themeColor="text1"/>
          <w:sz w:val="24"/>
          <w:szCs w:val="22"/>
        </w:rPr>
        <w:tab/>
      </w:r>
      <w:r w:rsidR="00512407" w:rsidRPr="009A27ED">
        <w:rPr>
          <w:rFonts w:ascii="Times New Roman" w:eastAsia="Times New Roman" w:hAnsi="Times New Roman"/>
          <w:b/>
          <w:color w:val="000000" w:themeColor="text1"/>
          <w:sz w:val="24"/>
          <w:szCs w:val="22"/>
        </w:rPr>
        <w:tab/>
      </w:r>
      <w:r w:rsidR="00512407" w:rsidRPr="009A27ED">
        <w:rPr>
          <w:rFonts w:ascii="Times New Roman" w:eastAsia="Times New Roman" w:hAnsi="Times New Roman"/>
          <w:b/>
          <w:color w:val="000000" w:themeColor="text1"/>
          <w:sz w:val="24"/>
          <w:szCs w:val="22"/>
        </w:rPr>
        <w:tab/>
      </w:r>
      <w:r w:rsidR="00512407" w:rsidRPr="009A27ED">
        <w:rPr>
          <w:rFonts w:ascii="Times New Roman" w:eastAsia="Times New Roman" w:hAnsi="Times New Roman"/>
          <w:color w:val="000000" w:themeColor="text1"/>
          <w:sz w:val="24"/>
          <w:szCs w:val="22"/>
        </w:rPr>
        <w:t>Fondo Cooperativo para el Carbono de los Bosques</w:t>
      </w:r>
    </w:p>
    <w:p w14:paraId="721149AF" w14:textId="63A7F5D8" w:rsidR="00212909" w:rsidRPr="009A27ED" w:rsidRDefault="00512407" w:rsidP="00212909">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FECADESJ</w:t>
      </w:r>
      <w:r w:rsidR="00212909" w:rsidRPr="009A27ED">
        <w:rPr>
          <w:rFonts w:ascii="Times New Roman" w:eastAsia="Times New Roman" w:hAnsi="Times New Roman"/>
          <w:color w:val="000000" w:themeColor="text1"/>
          <w:sz w:val="24"/>
          <w:szCs w:val="22"/>
        </w:rPr>
        <w:tab/>
      </w:r>
      <w:r w:rsidR="00212909"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 xml:space="preserve">Federación de Caficultores y Agricultores de San Juan </w:t>
      </w:r>
    </w:p>
    <w:p w14:paraId="055C8AD3" w14:textId="77777777" w:rsidR="003751D3" w:rsidRPr="009A27ED" w:rsidRDefault="00512407" w:rsidP="00212909">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FEDECARES</w:t>
      </w:r>
      <w:r w:rsidRPr="009A27ED">
        <w:rPr>
          <w:rFonts w:ascii="Times New Roman" w:eastAsia="Times New Roman" w:hAnsi="Times New Roman"/>
          <w:color w:val="000000" w:themeColor="text1"/>
          <w:sz w:val="24"/>
          <w:szCs w:val="22"/>
        </w:rPr>
        <w:t xml:space="preserve"> </w:t>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r>
      <w:r w:rsidR="001A39BA" w:rsidRPr="009A27ED">
        <w:rPr>
          <w:rFonts w:ascii="Times New Roman" w:eastAsia="Times New Roman" w:hAnsi="Times New Roman"/>
          <w:color w:val="000000" w:themeColor="text1"/>
          <w:sz w:val="24"/>
          <w:szCs w:val="22"/>
        </w:rPr>
        <w:t>Federación</w:t>
      </w:r>
      <w:r w:rsidRPr="009A27ED">
        <w:rPr>
          <w:rFonts w:ascii="Times New Roman" w:eastAsia="Times New Roman" w:hAnsi="Times New Roman"/>
          <w:color w:val="000000" w:themeColor="text1"/>
          <w:sz w:val="24"/>
          <w:szCs w:val="22"/>
        </w:rPr>
        <w:t xml:space="preserve"> de Caficultores la Región Sur </w:t>
      </w:r>
    </w:p>
    <w:p w14:paraId="482A2DCA" w14:textId="722B433E" w:rsidR="003751D3" w:rsidRPr="009A27ED" w:rsidRDefault="003751D3" w:rsidP="003751D3">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 xml:space="preserve">FEDAGASUR    </w:t>
      </w:r>
      <w:r w:rsidRPr="009A27ED">
        <w:rPr>
          <w:rFonts w:ascii="Times New Roman" w:eastAsia="Times New Roman" w:hAnsi="Times New Roman"/>
          <w:color w:val="000000" w:themeColor="text1"/>
          <w:sz w:val="24"/>
          <w:szCs w:val="22"/>
        </w:rPr>
        <w:t xml:space="preserve">                  Federación de Ganaderos del Sur  </w:t>
      </w:r>
    </w:p>
    <w:p w14:paraId="57583AFA" w14:textId="75324814" w:rsidR="003751D3" w:rsidRPr="009A27ED" w:rsidRDefault="003751D3" w:rsidP="003751D3">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 xml:space="preserve">FEDEGANO </w:t>
      </w:r>
      <w:r w:rsidRPr="009A27ED">
        <w:rPr>
          <w:rFonts w:ascii="Times New Roman" w:eastAsia="Times New Roman" w:hAnsi="Times New Roman"/>
          <w:color w:val="000000" w:themeColor="text1"/>
          <w:sz w:val="24"/>
          <w:szCs w:val="22"/>
        </w:rPr>
        <w:t xml:space="preserve">                       Federación de Ganadero del Noroeste</w:t>
      </w:r>
    </w:p>
    <w:p w14:paraId="25041F9A" w14:textId="20C77AE5" w:rsidR="003751D3" w:rsidRPr="009A27ED" w:rsidRDefault="003751D3" w:rsidP="003751D3">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FEDEGANORTE</w:t>
      </w:r>
      <w:r w:rsidRPr="009A27ED">
        <w:rPr>
          <w:rFonts w:ascii="Times New Roman" w:eastAsia="Times New Roman" w:hAnsi="Times New Roman"/>
          <w:color w:val="000000" w:themeColor="text1"/>
          <w:sz w:val="24"/>
          <w:szCs w:val="22"/>
        </w:rPr>
        <w:t xml:space="preserve">                 Federación de Ganaderos del Norte</w:t>
      </w:r>
    </w:p>
    <w:p w14:paraId="3D8F3D48" w14:textId="49CA1CDE" w:rsidR="00512407" w:rsidRPr="009A27ED" w:rsidRDefault="00EE3163" w:rsidP="003751D3">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 xml:space="preserve">FEMULLA </w:t>
      </w:r>
      <w:r w:rsidRPr="009A27ED">
        <w:rPr>
          <w:rFonts w:ascii="Times New Roman" w:eastAsia="Times New Roman" w:hAnsi="Times New Roman"/>
          <w:color w:val="000000" w:themeColor="text1"/>
          <w:sz w:val="24"/>
          <w:szCs w:val="22"/>
        </w:rPr>
        <w:t xml:space="preserve">                          </w:t>
      </w:r>
      <w:r w:rsidR="003751D3" w:rsidRPr="009A27ED">
        <w:rPr>
          <w:rFonts w:ascii="Times New Roman" w:eastAsia="Times New Roman" w:hAnsi="Times New Roman"/>
          <w:color w:val="000000" w:themeColor="text1"/>
          <w:sz w:val="24"/>
          <w:szCs w:val="22"/>
        </w:rPr>
        <w:t>Federación de Mujeres del Llano</w:t>
      </w:r>
      <w:r w:rsidR="00512407" w:rsidRPr="009A27ED">
        <w:rPr>
          <w:rFonts w:ascii="Times New Roman" w:eastAsia="Times New Roman" w:hAnsi="Times New Roman"/>
          <w:color w:val="000000" w:themeColor="text1"/>
          <w:sz w:val="24"/>
          <w:szCs w:val="22"/>
        </w:rPr>
        <w:t xml:space="preserve"> </w:t>
      </w:r>
    </w:p>
    <w:p w14:paraId="4C4922EA" w14:textId="77777777" w:rsidR="00140831" w:rsidRPr="009A27ED" w:rsidRDefault="00947670" w:rsidP="00256899">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FLQE</w:t>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r>
      <w:r w:rsidR="000A022C"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Fundación Loma Quita Espuela</w:t>
      </w:r>
    </w:p>
    <w:p w14:paraId="0C7EC2E0" w14:textId="690A5419" w:rsidR="00947670" w:rsidRPr="009A27ED" w:rsidRDefault="00947670" w:rsidP="00256899">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HN</w:t>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r>
      <w:r w:rsidR="000A022C"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Hábitats Naturales</w:t>
      </w:r>
    </w:p>
    <w:p w14:paraId="061B2351" w14:textId="77777777" w:rsidR="00212909" w:rsidRPr="009A27ED" w:rsidRDefault="00212909" w:rsidP="00212909">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IA</w:t>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t>Informe Ambiental</w:t>
      </w:r>
    </w:p>
    <w:p w14:paraId="5E42A6DC" w14:textId="77777777" w:rsidR="00212909" w:rsidRPr="009A27ED" w:rsidRDefault="00212909" w:rsidP="00256899">
      <w:pPr>
        <w:spacing w:after="0" w:line="360" w:lineRule="auto"/>
        <w:rPr>
          <w:b/>
          <w:color w:val="000000" w:themeColor="text1"/>
          <w:szCs w:val="22"/>
        </w:rPr>
      </w:pPr>
      <w:r w:rsidRPr="009A27ED">
        <w:rPr>
          <w:rFonts w:ascii="Times New Roman" w:eastAsia="Times New Roman" w:hAnsi="Times New Roman"/>
          <w:b/>
          <w:color w:val="000000" w:themeColor="text1"/>
          <w:sz w:val="24"/>
          <w:szCs w:val="22"/>
        </w:rPr>
        <w:t>IAD</w:t>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t>Instituto Agrario Dominicano</w:t>
      </w:r>
      <w:r w:rsidRPr="009A27ED">
        <w:rPr>
          <w:rFonts w:ascii="Times New Roman" w:eastAsia="Times New Roman" w:hAnsi="Times New Roman"/>
          <w:b/>
          <w:color w:val="000000" w:themeColor="text1"/>
          <w:sz w:val="24"/>
          <w:szCs w:val="22"/>
        </w:rPr>
        <w:t xml:space="preserve"> </w:t>
      </w:r>
    </w:p>
    <w:p w14:paraId="5BAB956C" w14:textId="77777777" w:rsidR="00140831" w:rsidRPr="009A27ED" w:rsidRDefault="00212909" w:rsidP="00256899">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ICA</w:t>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t>Informes de Cumplimiento Ambienta</w:t>
      </w:r>
    </w:p>
    <w:p w14:paraId="7703D92B" w14:textId="2CCD5110" w:rsidR="00947670" w:rsidRPr="009A27ED" w:rsidRDefault="00EF15A9" w:rsidP="00256899">
      <w:pPr>
        <w:spacing w:after="0" w:line="360" w:lineRule="auto"/>
        <w:rPr>
          <w:color w:val="000000" w:themeColor="text1"/>
          <w:szCs w:val="22"/>
        </w:rPr>
      </w:pPr>
      <w:proofErr w:type="spellStart"/>
      <w:r w:rsidRPr="009A27ED">
        <w:rPr>
          <w:rFonts w:ascii="Times New Roman" w:eastAsia="Times New Roman" w:hAnsi="Times New Roman"/>
          <w:color w:val="000000" w:themeColor="text1"/>
          <w:sz w:val="24"/>
          <w:szCs w:val="22"/>
        </w:rPr>
        <w:t>l</w:t>
      </w:r>
      <w:r w:rsidR="00947670" w:rsidRPr="009A27ED">
        <w:rPr>
          <w:rFonts w:ascii="Times New Roman" w:eastAsia="Times New Roman" w:hAnsi="Times New Roman"/>
          <w:b/>
          <w:color w:val="000000" w:themeColor="text1"/>
          <w:sz w:val="24"/>
          <w:szCs w:val="22"/>
        </w:rPr>
        <w:t>INDOCAFE</w:t>
      </w:r>
      <w:proofErr w:type="spellEnd"/>
      <w:r w:rsidR="00947670" w:rsidRPr="009A27ED">
        <w:rPr>
          <w:rFonts w:ascii="Times New Roman" w:eastAsia="Times New Roman" w:hAnsi="Times New Roman"/>
          <w:color w:val="000000" w:themeColor="text1"/>
          <w:sz w:val="24"/>
          <w:szCs w:val="22"/>
        </w:rPr>
        <w:tab/>
      </w:r>
      <w:r w:rsidR="000A022C" w:rsidRPr="009A27ED">
        <w:rPr>
          <w:rFonts w:ascii="Times New Roman" w:eastAsia="Times New Roman" w:hAnsi="Times New Roman"/>
          <w:color w:val="000000" w:themeColor="text1"/>
          <w:sz w:val="24"/>
          <w:szCs w:val="22"/>
        </w:rPr>
        <w:tab/>
      </w:r>
      <w:r w:rsidR="00947670" w:rsidRPr="009A27ED">
        <w:rPr>
          <w:rFonts w:ascii="Times New Roman" w:eastAsia="Times New Roman" w:hAnsi="Times New Roman"/>
          <w:color w:val="000000" w:themeColor="text1"/>
          <w:sz w:val="24"/>
          <w:szCs w:val="22"/>
        </w:rPr>
        <w:t>Instituto Dominicano del Café</w:t>
      </w:r>
    </w:p>
    <w:p w14:paraId="3727C453" w14:textId="77777777" w:rsidR="00212909" w:rsidRPr="009A27ED" w:rsidRDefault="00212909" w:rsidP="00212909">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IPAC</w:t>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t>Iniciativa Participativa Anticorrupción</w:t>
      </w:r>
    </w:p>
    <w:p w14:paraId="6EE1D518" w14:textId="77777777" w:rsidR="00212909" w:rsidRPr="009A27ED" w:rsidRDefault="00212909" w:rsidP="00212909">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LAIP</w:t>
      </w:r>
      <w:r w:rsidRPr="009A27ED">
        <w:rPr>
          <w:rFonts w:ascii="Times New Roman" w:eastAsia="Times New Roman" w:hAnsi="Times New Roman"/>
          <w:b/>
          <w:color w:val="000000" w:themeColor="text1"/>
          <w:sz w:val="24"/>
          <w:szCs w:val="22"/>
        </w:rPr>
        <w:tab/>
      </w:r>
      <w:r w:rsidRPr="009A27ED">
        <w:rPr>
          <w:rFonts w:ascii="Times New Roman" w:eastAsia="Times New Roman" w:hAnsi="Times New Roman"/>
          <w:b/>
          <w:color w:val="000000" w:themeColor="text1"/>
          <w:sz w:val="24"/>
          <w:szCs w:val="22"/>
        </w:rPr>
        <w:tab/>
      </w:r>
      <w:r w:rsidRPr="009A27ED">
        <w:rPr>
          <w:rFonts w:ascii="Times New Roman" w:eastAsia="Times New Roman" w:hAnsi="Times New Roman"/>
          <w:b/>
          <w:color w:val="000000" w:themeColor="text1"/>
          <w:sz w:val="24"/>
          <w:szCs w:val="22"/>
        </w:rPr>
        <w:tab/>
      </w:r>
      <w:r w:rsidRPr="009A27ED">
        <w:rPr>
          <w:rFonts w:ascii="Times New Roman" w:eastAsia="Times New Roman" w:hAnsi="Times New Roman" w:cs="Arial"/>
          <w:color w:val="000000" w:themeColor="text1"/>
          <w:sz w:val="24"/>
          <w:szCs w:val="22"/>
          <w:shd w:val="clear" w:color="auto" w:fill="FFFFFF"/>
        </w:rPr>
        <w:t>Ley de Acceso a la Información Pública</w:t>
      </w:r>
    </w:p>
    <w:p w14:paraId="2B16B600" w14:textId="77777777" w:rsidR="00212909" w:rsidRPr="009A27ED" w:rsidRDefault="00212909" w:rsidP="00212909">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LGLAIP</w:t>
      </w:r>
      <w:r w:rsidRPr="009A27ED">
        <w:rPr>
          <w:rFonts w:ascii="Times New Roman" w:eastAsia="Times New Roman" w:hAnsi="Times New Roman"/>
          <w:b/>
          <w:color w:val="000000" w:themeColor="text1"/>
          <w:sz w:val="24"/>
          <w:szCs w:val="22"/>
        </w:rPr>
        <w:tab/>
      </w:r>
      <w:r w:rsidRPr="009A27ED">
        <w:rPr>
          <w:rFonts w:ascii="Times New Roman" w:eastAsia="Times New Roman" w:hAnsi="Times New Roman"/>
          <w:b/>
          <w:color w:val="000000" w:themeColor="text1"/>
          <w:sz w:val="24"/>
          <w:szCs w:val="22"/>
        </w:rPr>
        <w:tab/>
      </w:r>
      <w:r w:rsidRPr="009A27ED">
        <w:rPr>
          <w:rFonts w:ascii="Times New Roman" w:eastAsia="Times New Roman" w:hAnsi="Times New Roman"/>
          <w:b/>
          <w:color w:val="000000" w:themeColor="text1"/>
          <w:sz w:val="24"/>
          <w:szCs w:val="22"/>
        </w:rPr>
        <w:tab/>
      </w:r>
      <w:r w:rsidRPr="009A27ED">
        <w:rPr>
          <w:rFonts w:ascii="Times New Roman" w:eastAsia="Times New Roman" w:hAnsi="Times New Roman" w:cs="Arial"/>
          <w:color w:val="000000" w:themeColor="text1"/>
          <w:sz w:val="24"/>
          <w:szCs w:val="22"/>
          <w:shd w:val="clear" w:color="auto" w:fill="FFFFFF"/>
        </w:rPr>
        <w:t>Ley General de Libre Acceso a la Información Pública</w:t>
      </w:r>
    </w:p>
    <w:p w14:paraId="186B2CE4" w14:textId="09EFC2C0" w:rsidR="00140831" w:rsidRPr="009A27ED" w:rsidRDefault="00947670" w:rsidP="00644CA5">
      <w:pPr>
        <w:spacing w:after="0" w:line="360" w:lineRule="auto"/>
        <w:rPr>
          <w:b/>
          <w:color w:val="000000" w:themeColor="text1"/>
          <w:szCs w:val="22"/>
        </w:rPr>
      </w:pPr>
      <w:r w:rsidRPr="009A27ED">
        <w:rPr>
          <w:rFonts w:ascii="Times New Roman" w:eastAsia="Times New Roman" w:hAnsi="Times New Roman"/>
          <w:b/>
          <w:color w:val="000000" w:themeColor="text1"/>
          <w:sz w:val="24"/>
          <w:szCs w:val="22"/>
        </w:rPr>
        <w:t>LOAP</w:t>
      </w:r>
      <w:r w:rsidRPr="009A27ED">
        <w:rPr>
          <w:rFonts w:ascii="Times New Roman" w:eastAsia="Times New Roman" w:hAnsi="Times New Roman"/>
          <w:b/>
          <w:color w:val="000000" w:themeColor="text1"/>
          <w:sz w:val="24"/>
          <w:szCs w:val="22"/>
        </w:rPr>
        <w:tab/>
      </w:r>
      <w:r w:rsidRPr="009A27ED">
        <w:rPr>
          <w:rFonts w:ascii="Times New Roman" w:eastAsia="Times New Roman" w:hAnsi="Times New Roman"/>
          <w:b/>
          <w:color w:val="000000" w:themeColor="text1"/>
          <w:sz w:val="24"/>
          <w:szCs w:val="22"/>
        </w:rPr>
        <w:tab/>
      </w:r>
      <w:r w:rsidR="000A022C" w:rsidRPr="009A27ED">
        <w:rPr>
          <w:rFonts w:ascii="Times New Roman" w:eastAsia="Times New Roman" w:hAnsi="Times New Roman"/>
          <w:b/>
          <w:color w:val="000000" w:themeColor="text1"/>
          <w:sz w:val="24"/>
          <w:szCs w:val="22"/>
        </w:rPr>
        <w:tab/>
      </w:r>
      <w:r w:rsidRPr="009A27ED">
        <w:rPr>
          <w:rStyle w:val="nfasis"/>
          <w:rFonts w:ascii="Times New Roman" w:eastAsia="Times New Roman" w:hAnsi="Times New Roman" w:cs="Arial"/>
          <w:bCs/>
          <w:color w:val="000000" w:themeColor="text1"/>
          <w:sz w:val="24"/>
          <w:szCs w:val="22"/>
          <w:shd w:val="clear" w:color="auto" w:fill="FFFFFF"/>
        </w:rPr>
        <w:t>Ley</w:t>
      </w:r>
      <w:r w:rsidRPr="009A27ED">
        <w:rPr>
          <w:rFonts w:ascii="Times New Roman" w:eastAsia="Times New Roman" w:hAnsi="Times New Roman" w:cs="Arial"/>
          <w:color w:val="000000" w:themeColor="text1"/>
          <w:sz w:val="24"/>
          <w:szCs w:val="22"/>
          <w:shd w:val="clear" w:color="auto" w:fill="FFFFFF"/>
        </w:rPr>
        <w:t xml:space="preserve"> Orgánica de Administración </w:t>
      </w:r>
      <w:r w:rsidR="00EE3163" w:rsidRPr="009A27ED">
        <w:rPr>
          <w:rFonts w:ascii="Times New Roman" w:eastAsia="Times New Roman" w:hAnsi="Times New Roman" w:cs="Arial"/>
          <w:color w:val="000000" w:themeColor="text1"/>
          <w:sz w:val="24"/>
          <w:szCs w:val="22"/>
          <w:shd w:val="clear" w:color="auto" w:fill="FFFFFF"/>
        </w:rPr>
        <w:t>Pública</w:t>
      </w:r>
    </w:p>
    <w:p w14:paraId="473B6026" w14:textId="2E87931E" w:rsidR="00644CA5" w:rsidRPr="009A27ED" w:rsidRDefault="00947670" w:rsidP="00644CA5">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RIRD</w:t>
      </w:r>
      <w:r w:rsidR="00644CA5" w:rsidRPr="009A27ED">
        <w:rPr>
          <w:rFonts w:ascii="Times New Roman" w:eastAsia="Times New Roman" w:hAnsi="Times New Roman"/>
          <w:b/>
          <w:color w:val="000000" w:themeColor="text1"/>
          <w:sz w:val="24"/>
          <w:szCs w:val="22"/>
        </w:rPr>
        <w:tab/>
      </w:r>
      <w:r w:rsidR="00644CA5" w:rsidRPr="009A27ED">
        <w:rPr>
          <w:rFonts w:ascii="Times New Roman" w:eastAsia="Times New Roman" w:hAnsi="Times New Roman"/>
          <w:b/>
          <w:color w:val="000000" w:themeColor="text1"/>
          <w:sz w:val="24"/>
          <w:szCs w:val="22"/>
        </w:rPr>
        <w:tab/>
      </w:r>
      <w:r w:rsidR="000A022C" w:rsidRPr="009A27ED">
        <w:rPr>
          <w:rFonts w:ascii="Times New Roman" w:eastAsia="Times New Roman" w:hAnsi="Times New Roman"/>
          <w:b/>
          <w:color w:val="000000" w:themeColor="text1"/>
          <w:sz w:val="24"/>
          <w:szCs w:val="22"/>
        </w:rPr>
        <w:tab/>
      </w:r>
      <w:r w:rsidR="00644CA5" w:rsidRPr="009A27ED">
        <w:rPr>
          <w:rFonts w:ascii="Times New Roman" w:eastAsia="Times New Roman" w:hAnsi="Times New Roman"/>
          <w:color w:val="000000" w:themeColor="text1"/>
          <w:sz w:val="24"/>
          <w:szCs w:val="22"/>
        </w:rPr>
        <w:t>Ley de Registro Inmobiliario</w:t>
      </w:r>
    </w:p>
    <w:p w14:paraId="2223B626" w14:textId="41ABE5B9" w:rsidR="00C97D96" w:rsidRPr="009A27ED" w:rsidRDefault="00C97D96" w:rsidP="00C97D96">
      <w:pPr>
        <w:spacing w:after="0" w:line="360" w:lineRule="auto"/>
        <w:rPr>
          <w:b/>
          <w:color w:val="000000" w:themeColor="text1"/>
          <w:szCs w:val="22"/>
        </w:rPr>
      </w:pPr>
      <w:r w:rsidRPr="009A27ED">
        <w:rPr>
          <w:rFonts w:ascii="Times New Roman" w:eastAsia="Times New Roman" w:hAnsi="Times New Roman"/>
          <w:b/>
          <w:color w:val="000000" w:themeColor="text1"/>
          <w:sz w:val="24"/>
          <w:szCs w:val="22"/>
        </w:rPr>
        <w:t xml:space="preserve">MCCU                                </w:t>
      </w:r>
      <w:r w:rsidRPr="009A27ED">
        <w:rPr>
          <w:rFonts w:ascii="Times New Roman" w:eastAsia="Times New Roman" w:hAnsi="Times New Roman"/>
          <w:color w:val="000000" w:themeColor="text1"/>
          <w:sz w:val="24"/>
          <w:szCs w:val="22"/>
        </w:rPr>
        <w:t>Movimiento de Comunidades Unidas</w:t>
      </w:r>
    </w:p>
    <w:p w14:paraId="0C6543C6" w14:textId="0FC5996C" w:rsidR="00947670" w:rsidRPr="009A27ED" w:rsidRDefault="00752A06" w:rsidP="00256899">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M</w:t>
      </w:r>
      <w:r w:rsidR="00C42BBE" w:rsidRPr="009A27ED">
        <w:rPr>
          <w:rFonts w:ascii="Times New Roman" w:eastAsia="Times New Roman" w:hAnsi="Times New Roman"/>
          <w:b/>
          <w:color w:val="000000" w:themeColor="text1"/>
          <w:sz w:val="24"/>
          <w:szCs w:val="22"/>
        </w:rPr>
        <w:t>edio A</w:t>
      </w:r>
      <w:r w:rsidRPr="009A27ED">
        <w:rPr>
          <w:rFonts w:ascii="Times New Roman" w:eastAsia="Times New Roman" w:hAnsi="Times New Roman"/>
          <w:b/>
          <w:color w:val="000000" w:themeColor="text1"/>
          <w:sz w:val="24"/>
          <w:szCs w:val="22"/>
        </w:rPr>
        <w:t>mbiente</w:t>
      </w:r>
      <w:r w:rsidR="00947670" w:rsidRPr="009A27ED">
        <w:rPr>
          <w:rFonts w:ascii="Times New Roman" w:eastAsia="Times New Roman" w:hAnsi="Times New Roman"/>
          <w:b/>
          <w:color w:val="000000" w:themeColor="text1"/>
          <w:sz w:val="24"/>
          <w:szCs w:val="22"/>
        </w:rPr>
        <w:tab/>
      </w:r>
      <w:r w:rsidR="00644CA5" w:rsidRPr="009A27ED">
        <w:rPr>
          <w:rFonts w:ascii="Times New Roman" w:eastAsia="Times New Roman" w:hAnsi="Times New Roman"/>
          <w:color w:val="000000" w:themeColor="text1"/>
          <w:sz w:val="24"/>
          <w:szCs w:val="22"/>
        </w:rPr>
        <w:t>Ministerio de Medio Ambiente y Recursos Naturales</w:t>
      </w:r>
    </w:p>
    <w:p w14:paraId="23E5C116" w14:textId="437D35F9" w:rsidR="00947670" w:rsidRPr="009A27ED" w:rsidRDefault="00947670" w:rsidP="00256899">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MGAS</w:t>
      </w:r>
      <w:r w:rsidRPr="009A27ED">
        <w:rPr>
          <w:rFonts w:ascii="Times New Roman" w:eastAsia="Times New Roman" w:hAnsi="Times New Roman"/>
          <w:color w:val="000000" w:themeColor="text1"/>
          <w:sz w:val="24"/>
          <w:szCs w:val="22"/>
        </w:rPr>
        <w:tab/>
      </w:r>
      <w:r w:rsidR="000A022C"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t>Marco de Gestión Ambiental y Social</w:t>
      </w:r>
    </w:p>
    <w:p w14:paraId="402D2306" w14:textId="358C7137" w:rsidR="00947670" w:rsidRPr="009A27ED" w:rsidRDefault="00947670" w:rsidP="00256899">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MIP</w:t>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r>
      <w:r w:rsidR="000A022C"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Manejo Integrado de Plagas</w:t>
      </w:r>
    </w:p>
    <w:p w14:paraId="1EA57DF4" w14:textId="67E02A10" w:rsidR="00947670" w:rsidRPr="009A27ED" w:rsidRDefault="00947670" w:rsidP="00256899">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MPRI</w:t>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r>
      <w:r w:rsidR="000A022C"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Marco de Política de Reasentamiento Involuntario</w:t>
      </w:r>
    </w:p>
    <w:p w14:paraId="4DDDB07D" w14:textId="188EBF21" w:rsidR="00947670" w:rsidRPr="009A27ED" w:rsidRDefault="00947670" w:rsidP="00256899">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MQRC</w:t>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r>
      <w:r w:rsidR="000A022C"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lang w:eastAsia="zh-CN"/>
        </w:rPr>
        <w:t>Mecanismo de Quejas, Reclamos y Manejo de Conflictos</w:t>
      </w:r>
    </w:p>
    <w:p w14:paraId="4CC883C0" w14:textId="62816ECA" w:rsidR="00947670" w:rsidRPr="009A27ED" w:rsidRDefault="00947670" w:rsidP="00256899">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NP</w:t>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r>
      <w:r w:rsidR="000A022C"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Normas de Procedimiento</w:t>
      </w:r>
    </w:p>
    <w:p w14:paraId="43733C82" w14:textId="1245F1E6" w:rsidR="00947670" w:rsidRPr="009A27ED" w:rsidRDefault="00947670" w:rsidP="00256899">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NTMF</w:t>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r>
      <w:r w:rsidR="000A022C"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Normas Técnicas para Planes de Manejo Forestal</w:t>
      </w:r>
    </w:p>
    <w:p w14:paraId="0FFB91CC" w14:textId="49F8E8D0" w:rsidR="00947670" w:rsidRPr="009A27ED" w:rsidRDefault="00947670" w:rsidP="00256899">
      <w:pPr>
        <w:spacing w:after="0" w:line="360" w:lineRule="auto"/>
        <w:rPr>
          <w:b/>
          <w:color w:val="000000" w:themeColor="text1"/>
          <w:szCs w:val="22"/>
        </w:rPr>
      </w:pPr>
      <w:r w:rsidRPr="009A27ED">
        <w:rPr>
          <w:rFonts w:ascii="Times New Roman" w:eastAsia="Times New Roman" w:hAnsi="Times New Roman"/>
          <w:b/>
          <w:color w:val="000000" w:themeColor="text1"/>
          <w:sz w:val="24"/>
          <w:szCs w:val="22"/>
        </w:rPr>
        <w:t>OCR</w:t>
      </w:r>
      <w:r w:rsidRPr="009A27ED">
        <w:rPr>
          <w:rFonts w:ascii="Times New Roman" w:eastAsia="Times New Roman" w:hAnsi="Times New Roman"/>
          <w:b/>
          <w:color w:val="000000" w:themeColor="text1"/>
          <w:sz w:val="24"/>
          <w:szCs w:val="22"/>
        </w:rPr>
        <w:tab/>
      </w:r>
      <w:r w:rsidRPr="009A27ED">
        <w:rPr>
          <w:rFonts w:ascii="Times New Roman" w:eastAsia="Times New Roman" w:hAnsi="Times New Roman"/>
          <w:color w:val="000000" w:themeColor="text1"/>
          <w:sz w:val="24"/>
          <w:szCs w:val="22"/>
        </w:rPr>
        <w:tab/>
      </w:r>
      <w:r w:rsidR="000A022C"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Oficina de Coordinación REDD+</w:t>
      </w:r>
      <w:r w:rsidRPr="009A27ED">
        <w:rPr>
          <w:rFonts w:ascii="Times New Roman" w:eastAsia="Times New Roman" w:hAnsi="Times New Roman"/>
          <w:b/>
          <w:color w:val="000000" w:themeColor="text1"/>
          <w:sz w:val="24"/>
          <w:szCs w:val="22"/>
        </w:rPr>
        <w:t xml:space="preserve"> </w:t>
      </w:r>
    </w:p>
    <w:p w14:paraId="5BB46394" w14:textId="77777777" w:rsidR="00EF371D" w:rsidRPr="009A27ED" w:rsidRDefault="00EF371D" w:rsidP="00EF371D">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ONG</w:t>
      </w:r>
      <w:r w:rsidRPr="009A27ED">
        <w:rPr>
          <w:rFonts w:ascii="Times New Roman" w:eastAsia="Times New Roman" w:hAnsi="Times New Roman"/>
          <w:b/>
          <w:color w:val="000000" w:themeColor="text1"/>
          <w:sz w:val="24"/>
          <w:szCs w:val="22"/>
        </w:rPr>
        <w:tab/>
      </w:r>
      <w:r w:rsidRPr="009A27ED">
        <w:rPr>
          <w:rFonts w:ascii="Times New Roman" w:eastAsia="Times New Roman" w:hAnsi="Times New Roman"/>
          <w:b/>
          <w:color w:val="000000" w:themeColor="text1"/>
          <w:sz w:val="24"/>
          <w:szCs w:val="22"/>
        </w:rPr>
        <w:tab/>
      </w:r>
      <w:r w:rsidRPr="009A27ED">
        <w:rPr>
          <w:rFonts w:ascii="Times New Roman" w:eastAsia="Times New Roman" w:hAnsi="Times New Roman"/>
          <w:b/>
          <w:color w:val="000000" w:themeColor="text1"/>
          <w:sz w:val="24"/>
          <w:szCs w:val="22"/>
        </w:rPr>
        <w:tab/>
      </w:r>
      <w:r w:rsidRPr="009A27ED">
        <w:rPr>
          <w:rFonts w:ascii="Times New Roman" w:eastAsia="Times New Roman" w:hAnsi="Times New Roman" w:cs="Arial"/>
          <w:color w:val="000000" w:themeColor="text1"/>
          <w:sz w:val="24"/>
          <w:szCs w:val="22"/>
          <w:shd w:val="clear" w:color="auto" w:fill="FFFFFF"/>
        </w:rPr>
        <w:t>Organización No Gubernamental</w:t>
      </w:r>
    </w:p>
    <w:p w14:paraId="41150491" w14:textId="6D085305" w:rsidR="00947670" w:rsidRPr="009A27ED" w:rsidRDefault="00947670" w:rsidP="00256899">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OP/BM</w:t>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r>
      <w:r w:rsidR="000A022C"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Políticas Operacionales del Banco Mundial</w:t>
      </w:r>
    </w:p>
    <w:p w14:paraId="0A485933" w14:textId="0B1295C5" w:rsidR="00947670" w:rsidRPr="009A27ED" w:rsidRDefault="00947670" w:rsidP="00256899">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P&amp;S</w:t>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r>
      <w:r w:rsidR="000A022C"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Plagas y Enfermedades</w:t>
      </w:r>
    </w:p>
    <w:p w14:paraId="294AC2EE" w14:textId="77777777" w:rsidR="00212909" w:rsidRPr="009A27ED" w:rsidRDefault="00212909" w:rsidP="00212909">
      <w:pPr>
        <w:spacing w:after="0" w:line="360" w:lineRule="auto"/>
        <w:rPr>
          <w:color w:val="000000" w:themeColor="text1"/>
          <w:szCs w:val="22"/>
        </w:rPr>
      </w:pPr>
      <w:proofErr w:type="spellStart"/>
      <w:r w:rsidRPr="009A27ED">
        <w:rPr>
          <w:rFonts w:ascii="Times New Roman" w:eastAsia="Times New Roman" w:hAnsi="Times New Roman"/>
          <w:b/>
          <w:color w:val="000000" w:themeColor="text1"/>
          <w:sz w:val="24"/>
          <w:szCs w:val="22"/>
        </w:rPr>
        <w:t>PdR</w:t>
      </w:r>
      <w:proofErr w:type="spellEnd"/>
      <w:r w:rsidRPr="009A27ED">
        <w:rPr>
          <w:rFonts w:ascii="Times New Roman" w:eastAsia="Times New Roman" w:hAnsi="Times New Roman"/>
          <w:b/>
          <w:color w:val="000000" w:themeColor="text1"/>
          <w:sz w:val="24"/>
          <w:szCs w:val="22"/>
        </w:rPr>
        <w:t>/</w:t>
      </w:r>
      <w:proofErr w:type="spellStart"/>
      <w:r w:rsidRPr="009A27ED">
        <w:rPr>
          <w:rFonts w:ascii="Times New Roman" w:eastAsia="Times New Roman" w:hAnsi="Times New Roman"/>
          <w:b/>
          <w:color w:val="000000" w:themeColor="text1"/>
          <w:sz w:val="24"/>
          <w:szCs w:val="22"/>
        </w:rPr>
        <w:t>NdP</w:t>
      </w:r>
      <w:proofErr w:type="spellEnd"/>
      <w:r w:rsidRPr="009A27ED">
        <w:rPr>
          <w:rFonts w:ascii="Times New Roman" w:eastAsia="Times New Roman" w:hAnsi="Times New Roman"/>
          <w:b/>
          <w:color w:val="000000" w:themeColor="text1"/>
          <w:sz w:val="24"/>
          <w:szCs w:val="22"/>
        </w:rPr>
        <w:tab/>
      </w:r>
      <w:r w:rsidRPr="009A27ED">
        <w:rPr>
          <w:rFonts w:ascii="Times New Roman" w:eastAsia="Times New Roman" w:hAnsi="Times New Roman"/>
          <w:b/>
          <w:color w:val="000000" w:themeColor="text1"/>
          <w:sz w:val="24"/>
          <w:szCs w:val="22"/>
        </w:rPr>
        <w:tab/>
      </w:r>
      <w:r w:rsidRPr="009A27ED">
        <w:rPr>
          <w:rFonts w:ascii="Times New Roman" w:eastAsia="Times New Roman" w:hAnsi="Times New Roman"/>
          <w:color w:val="000000" w:themeColor="text1"/>
          <w:sz w:val="24"/>
          <w:szCs w:val="22"/>
        </w:rPr>
        <w:t>Plan de Reasentamiento / Normas de Procedimiento</w:t>
      </w:r>
    </w:p>
    <w:p w14:paraId="0721638D" w14:textId="77777777" w:rsidR="00212909" w:rsidRPr="009A27ED" w:rsidRDefault="00212909" w:rsidP="00212909">
      <w:pPr>
        <w:spacing w:after="0" w:line="360" w:lineRule="auto"/>
        <w:rPr>
          <w:color w:val="000000" w:themeColor="text1"/>
          <w:szCs w:val="22"/>
        </w:rPr>
      </w:pPr>
      <w:r w:rsidRPr="009A27ED">
        <w:rPr>
          <w:rFonts w:ascii="Times New Roman" w:eastAsia="Times New Roman" w:hAnsi="Times New Roman"/>
          <w:b/>
          <w:color w:val="000000" w:themeColor="text1"/>
          <w:sz w:val="24"/>
          <w:szCs w:val="22"/>
        </w:rPr>
        <w:lastRenderedPageBreak/>
        <w:t>PLR</w:t>
      </w:r>
      <w:r w:rsidRPr="009A27ED">
        <w:rPr>
          <w:rFonts w:ascii="Times New Roman" w:eastAsia="Times New Roman" w:hAnsi="Times New Roman"/>
          <w:b/>
          <w:color w:val="000000" w:themeColor="text1"/>
          <w:sz w:val="24"/>
          <w:szCs w:val="22"/>
        </w:rPr>
        <w:tab/>
      </w:r>
      <w:r w:rsidRPr="009A27ED">
        <w:rPr>
          <w:rFonts w:ascii="Times New Roman" w:eastAsia="Times New Roman" w:hAnsi="Times New Roman"/>
          <w:b/>
          <w:color w:val="000000" w:themeColor="text1"/>
          <w:sz w:val="24"/>
          <w:szCs w:val="22"/>
        </w:rPr>
        <w:tab/>
      </w:r>
      <w:r w:rsidRPr="009A27ED">
        <w:rPr>
          <w:rFonts w:ascii="Times New Roman" w:eastAsia="Times New Roman" w:hAnsi="Times New Roman"/>
          <w:b/>
          <w:color w:val="000000" w:themeColor="text1"/>
          <w:sz w:val="24"/>
          <w:szCs w:val="22"/>
        </w:rPr>
        <w:tab/>
      </w:r>
      <w:r w:rsidRPr="009A27ED">
        <w:rPr>
          <w:rFonts w:ascii="Times New Roman" w:eastAsia="Times New Roman" w:hAnsi="Times New Roman"/>
          <w:color w:val="000000" w:themeColor="text1"/>
          <w:sz w:val="24"/>
          <w:szCs w:val="22"/>
        </w:rPr>
        <w:t xml:space="preserve">Políticas, leyes y reglamentos </w:t>
      </w:r>
    </w:p>
    <w:p w14:paraId="296E1999" w14:textId="77777777" w:rsidR="00212909" w:rsidRPr="009A27ED" w:rsidRDefault="00212909" w:rsidP="00212909">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PLSF</w:t>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t xml:space="preserve">Anteproyecto de Ley Sectorial Forestal </w:t>
      </w:r>
    </w:p>
    <w:p w14:paraId="49EC78A9" w14:textId="77777777" w:rsidR="00212909" w:rsidRPr="009A27ED" w:rsidRDefault="00212909" w:rsidP="00212909">
      <w:pPr>
        <w:shd w:val="clear" w:color="auto" w:fill="FFFFFF" w:themeFill="background1"/>
        <w:spacing w:after="0" w:line="360" w:lineRule="auto"/>
        <w:rPr>
          <w:color w:val="000000" w:themeColor="text1"/>
          <w:szCs w:val="22"/>
        </w:rPr>
      </w:pPr>
      <w:r w:rsidRPr="009A27ED">
        <w:rPr>
          <w:rFonts w:ascii="Times New Roman" w:eastAsia="Times New Roman" w:hAnsi="Times New Roman"/>
          <w:b/>
          <w:color w:val="000000" w:themeColor="text1"/>
          <w:sz w:val="24"/>
          <w:szCs w:val="22"/>
        </w:rPr>
        <w:t>PMAS</w:t>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s="Calibri"/>
          <w:color w:val="000000"/>
          <w:sz w:val="24"/>
          <w:szCs w:val="22"/>
          <w:lang w:val="es-GT" w:eastAsia="es-ES_tradnl"/>
        </w:rPr>
        <w:t>Planes de Manejo Ambiental y Social</w:t>
      </w:r>
    </w:p>
    <w:p w14:paraId="23CA6AC5" w14:textId="276EC71C" w:rsidR="00874FCA" w:rsidRPr="009A27ED" w:rsidRDefault="00212909" w:rsidP="00212909">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PNUD</w:t>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t>Programa de las Naciones Unidas para el Desarrollo</w:t>
      </w:r>
    </w:p>
    <w:p w14:paraId="06D179F2" w14:textId="77777777" w:rsidR="00140831" w:rsidRPr="009A27ED" w:rsidRDefault="000A022C" w:rsidP="000A022C">
      <w:pPr>
        <w:spacing w:after="0" w:line="360" w:lineRule="auto"/>
        <w:ind w:right="-1126"/>
        <w:rPr>
          <w:color w:val="000000" w:themeColor="text1"/>
          <w:szCs w:val="22"/>
        </w:rPr>
      </w:pPr>
      <w:r w:rsidRPr="009A27ED">
        <w:rPr>
          <w:rFonts w:ascii="Times New Roman" w:eastAsia="Times New Roman" w:hAnsi="Times New Roman"/>
          <w:b/>
          <w:color w:val="000000" w:themeColor="text1"/>
          <w:sz w:val="24"/>
          <w:szCs w:val="22"/>
        </w:rPr>
        <w:t>PSA</w:t>
      </w:r>
      <w:r w:rsidRPr="009A27ED">
        <w:rPr>
          <w:rFonts w:ascii="Times New Roman" w:eastAsia="Times New Roman" w:hAnsi="Times New Roman"/>
          <w:b/>
          <w:color w:val="000000" w:themeColor="text1"/>
          <w:sz w:val="24"/>
          <w:szCs w:val="22"/>
        </w:rPr>
        <w:tab/>
      </w:r>
      <w:r w:rsidRPr="009A27ED">
        <w:rPr>
          <w:rFonts w:ascii="Times New Roman" w:eastAsia="Times New Roman" w:hAnsi="Times New Roman"/>
          <w:b/>
          <w:color w:val="000000" w:themeColor="text1"/>
          <w:sz w:val="24"/>
          <w:szCs w:val="22"/>
        </w:rPr>
        <w:tab/>
      </w:r>
      <w:r w:rsidRPr="009A27ED">
        <w:rPr>
          <w:rFonts w:ascii="Times New Roman" w:eastAsia="Times New Roman" w:hAnsi="Times New Roman"/>
          <w:b/>
          <w:color w:val="000000" w:themeColor="text1"/>
          <w:sz w:val="24"/>
          <w:szCs w:val="22"/>
        </w:rPr>
        <w:tab/>
      </w:r>
      <w:r w:rsidR="00947670" w:rsidRPr="009A27ED">
        <w:rPr>
          <w:rFonts w:ascii="Times New Roman" w:eastAsia="Times New Roman" w:hAnsi="Times New Roman"/>
          <w:color w:val="000000" w:themeColor="text1"/>
          <w:sz w:val="24"/>
          <w:szCs w:val="22"/>
        </w:rPr>
        <w:t>Pago por servicio ambiental</w:t>
      </w:r>
    </w:p>
    <w:p w14:paraId="19393DDC" w14:textId="5C4F9D14" w:rsidR="00F35FD2" w:rsidRPr="009A27ED" w:rsidRDefault="00124B63" w:rsidP="000A022C">
      <w:pPr>
        <w:spacing w:after="0" w:line="360" w:lineRule="auto"/>
        <w:ind w:right="-1126"/>
        <w:rPr>
          <w:color w:val="000000" w:themeColor="text1"/>
          <w:szCs w:val="22"/>
        </w:rPr>
      </w:pPr>
      <w:r w:rsidRPr="009A27ED">
        <w:rPr>
          <w:rFonts w:ascii="Times New Roman" w:eastAsia="Times New Roman" w:hAnsi="Times New Roman"/>
          <w:b/>
          <w:color w:val="000000" w:themeColor="text1"/>
          <w:sz w:val="24"/>
          <w:szCs w:val="22"/>
        </w:rPr>
        <w:t>Programa REDD+</w:t>
      </w:r>
      <w:r w:rsidR="001920C0" w:rsidRPr="009A27ED">
        <w:rPr>
          <w:rFonts w:ascii="Times New Roman" w:eastAsia="Times New Roman" w:hAnsi="Times New Roman"/>
          <w:b/>
          <w:color w:val="000000" w:themeColor="text1"/>
          <w:sz w:val="24"/>
          <w:szCs w:val="22"/>
        </w:rPr>
        <w:t>+</w:t>
      </w:r>
      <w:r w:rsidR="00140831" w:rsidRPr="009A27ED">
        <w:rPr>
          <w:rFonts w:ascii="Times New Roman" w:eastAsia="Times New Roman" w:hAnsi="Times New Roman"/>
          <w:b/>
          <w:color w:val="000000" w:themeColor="text1"/>
          <w:sz w:val="24"/>
          <w:szCs w:val="22"/>
        </w:rPr>
        <w:tab/>
      </w:r>
      <w:r w:rsidR="00F35FD2" w:rsidRPr="009A27ED">
        <w:rPr>
          <w:rFonts w:ascii="Times New Roman" w:eastAsia="Times New Roman" w:hAnsi="Times New Roman"/>
          <w:color w:val="000000" w:themeColor="text1"/>
          <w:sz w:val="24"/>
          <w:szCs w:val="22"/>
        </w:rPr>
        <w:t xml:space="preserve"> </w:t>
      </w:r>
      <w:r w:rsidR="00F35FD2" w:rsidRPr="009A27ED">
        <w:rPr>
          <w:rFonts w:ascii="Times New Roman" w:eastAsia="Times New Roman" w:hAnsi="Times New Roman" w:cs="Arial"/>
          <w:bCs/>
          <w:color w:val="000000" w:themeColor="text1"/>
          <w:sz w:val="24"/>
          <w:szCs w:val="22"/>
          <w:shd w:val="clear" w:color="auto" w:fill="FFFFFF"/>
        </w:rPr>
        <w:t>Programa de Reducciones de Emisiones por Deforestación y Degradación de los Bosques</w:t>
      </w:r>
      <w:r w:rsidR="00F35FD2" w:rsidRPr="009A27ED">
        <w:rPr>
          <w:rFonts w:ascii="Times New Roman" w:eastAsia="Times New Roman" w:hAnsi="Times New Roman" w:cs="Arial"/>
          <w:color w:val="000000" w:themeColor="text1"/>
          <w:sz w:val="24"/>
          <w:szCs w:val="22"/>
          <w:shd w:val="clear" w:color="auto" w:fill="FFFFFF"/>
        </w:rPr>
        <w:t xml:space="preserve">  </w:t>
      </w:r>
    </w:p>
    <w:p w14:paraId="265DE12D" w14:textId="100E85D9" w:rsidR="00947670" w:rsidRPr="009A27ED" w:rsidRDefault="00947670" w:rsidP="000A022C">
      <w:pPr>
        <w:spacing w:after="0" w:line="360" w:lineRule="auto"/>
        <w:ind w:right="-676"/>
        <w:rPr>
          <w:color w:val="000000" w:themeColor="text1"/>
          <w:szCs w:val="22"/>
        </w:rPr>
      </w:pPr>
      <w:r w:rsidRPr="009A27ED">
        <w:rPr>
          <w:rFonts w:ascii="Times New Roman" w:eastAsia="Times New Roman" w:hAnsi="Times New Roman"/>
          <w:b/>
          <w:color w:val="000000" w:themeColor="text1"/>
          <w:sz w:val="24"/>
          <w:szCs w:val="22"/>
        </w:rPr>
        <w:t>PRI</w:t>
      </w:r>
      <w:r w:rsidRPr="009A27ED">
        <w:rPr>
          <w:rFonts w:ascii="Times New Roman" w:eastAsia="Times New Roman" w:hAnsi="Times New Roman"/>
          <w:b/>
          <w:color w:val="000000" w:themeColor="text1"/>
          <w:sz w:val="24"/>
          <w:szCs w:val="22"/>
        </w:rPr>
        <w:tab/>
      </w:r>
      <w:r w:rsidRPr="009A27ED">
        <w:rPr>
          <w:rFonts w:ascii="Times New Roman" w:eastAsia="Times New Roman" w:hAnsi="Times New Roman"/>
          <w:b/>
          <w:color w:val="000000" w:themeColor="text1"/>
          <w:sz w:val="24"/>
          <w:szCs w:val="22"/>
        </w:rPr>
        <w:tab/>
      </w:r>
      <w:r w:rsidR="000A022C" w:rsidRPr="009A27ED">
        <w:rPr>
          <w:rFonts w:ascii="Times New Roman" w:eastAsia="Times New Roman" w:hAnsi="Times New Roman"/>
          <w:b/>
          <w:color w:val="000000" w:themeColor="text1"/>
          <w:sz w:val="24"/>
          <w:szCs w:val="22"/>
        </w:rPr>
        <w:tab/>
      </w:r>
      <w:r w:rsidRPr="009A27ED">
        <w:rPr>
          <w:rFonts w:ascii="Times New Roman" w:eastAsia="Times New Roman" w:hAnsi="Times New Roman"/>
          <w:color w:val="000000" w:themeColor="text1"/>
          <w:sz w:val="24"/>
          <w:szCs w:val="22"/>
        </w:rPr>
        <w:t>Plan de Reasentamiento Involuntario</w:t>
      </w:r>
    </w:p>
    <w:p w14:paraId="192559D3" w14:textId="77777777" w:rsidR="00212909" w:rsidRPr="009A27ED" w:rsidRDefault="00212909" w:rsidP="00256899">
      <w:pPr>
        <w:spacing w:after="0" w:line="360" w:lineRule="auto"/>
        <w:rPr>
          <w:b/>
          <w:color w:val="000000" w:themeColor="text1"/>
          <w:szCs w:val="22"/>
        </w:rPr>
      </w:pPr>
      <w:r w:rsidRPr="009A27ED">
        <w:rPr>
          <w:rFonts w:ascii="Times New Roman" w:eastAsia="Times New Roman" w:hAnsi="Times New Roman"/>
          <w:b/>
          <w:color w:val="000000" w:themeColor="text1"/>
          <w:sz w:val="24"/>
          <w:szCs w:val="22"/>
        </w:rPr>
        <w:t>RD</w:t>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t>República Dominicana</w:t>
      </w:r>
      <w:r w:rsidRPr="009A27ED" w:rsidDel="00212909">
        <w:rPr>
          <w:rFonts w:ascii="Times New Roman" w:eastAsia="Times New Roman" w:hAnsi="Times New Roman"/>
          <w:b/>
          <w:color w:val="000000" w:themeColor="text1"/>
          <w:sz w:val="24"/>
          <w:szCs w:val="22"/>
        </w:rPr>
        <w:t xml:space="preserve"> </w:t>
      </w:r>
    </w:p>
    <w:p w14:paraId="39B14625" w14:textId="1D753ECF" w:rsidR="00947670" w:rsidRPr="009A27ED" w:rsidRDefault="00947670" w:rsidP="00256899">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REDD+</w:t>
      </w:r>
      <w:r w:rsidRPr="009A27ED">
        <w:rPr>
          <w:rFonts w:ascii="Times New Roman" w:eastAsia="Times New Roman" w:hAnsi="Times New Roman"/>
          <w:b/>
          <w:color w:val="000000" w:themeColor="text1"/>
          <w:sz w:val="24"/>
          <w:szCs w:val="22"/>
        </w:rPr>
        <w:tab/>
      </w:r>
      <w:r w:rsidRPr="009A27ED">
        <w:rPr>
          <w:rFonts w:ascii="Times New Roman" w:eastAsia="Times New Roman" w:hAnsi="Times New Roman"/>
          <w:b/>
          <w:color w:val="000000" w:themeColor="text1"/>
          <w:sz w:val="24"/>
          <w:szCs w:val="22"/>
        </w:rPr>
        <w:tab/>
      </w:r>
      <w:r w:rsidR="000A022C" w:rsidRPr="009A27ED">
        <w:rPr>
          <w:rFonts w:ascii="Times New Roman" w:eastAsia="Times New Roman" w:hAnsi="Times New Roman"/>
          <w:b/>
          <w:color w:val="000000" w:themeColor="text1"/>
          <w:sz w:val="24"/>
          <w:szCs w:val="22"/>
        </w:rPr>
        <w:tab/>
      </w:r>
      <w:r w:rsidRPr="009A27ED">
        <w:rPr>
          <w:rFonts w:ascii="Times New Roman" w:eastAsia="Times New Roman" w:hAnsi="Times New Roman"/>
          <w:color w:val="000000" w:themeColor="text1"/>
          <w:sz w:val="24"/>
          <w:szCs w:val="22"/>
        </w:rPr>
        <w:t xml:space="preserve">Reducción de Emisiones por Deforestación y Degradación de los Bosques </w:t>
      </w:r>
    </w:p>
    <w:p w14:paraId="60DCCA83" w14:textId="00AEBA73" w:rsidR="00947670" w:rsidRPr="009A27ED" w:rsidRDefault="00947670" w:rsidP="00256899">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RF</w:t>
      </w:r>
      <w:r w:rsidRPr="009A27ED">
        <w:rPr>
          <w:rFonts w:ascii="Times New Roman" w:eastAsia="Times New Roman" w:hAnsi="Times New Roman"/>
          <w:b/>
          <w:color w:val="000000" w:themeColor="text1"/>
          <w:sz w:val="24"/>
          <w:szCs w:val="22"/>
        </w:rPr>
        <w:tab/>
      </w:r>
      <w:r w:rsidRPr="009A27ED">
        <w:rPr>
          <w:rFonts w:ascii="Times New Roman" w:eastAsia="Times New Roman" w:hAnsi="Times New Roman"/>
          <w:b/>
          <w:color w:val="000000" w:themeColor="text1"/>
          <w:sz w:val="24"/>
          <w:szCs w:val="22"/>
        </w:rPr>
        <w:tab/>
      </w:r>
      <w:r w:rsidR="000A022C" w:rsidRPr="009A27ED">
        <w:rPr>
          <w:rFonts w:ascii="Times New Roman" w:eastAsia="Times New Roman" w:hAnsi="Times New Roman"/>
          <w:b/>
          <w:color w:val="000000" w:themeColor="text1"/>
          <w:sz w:val="24"/>
          <w:szCs w:val="22"/>
        </w:rPr>
        <w:tab/>
      </w:r>
      <w:r w:rsidRPr="009A27ED">
        <w:rPr>
          <w:rFonts w:ascii="Times New Roman" w:eastAsia="Times New Roman" w:hAnsi="Times New Roman"/>
          <w:color w:val="000000" w:themeColor="text1"/>
          <w:sz w:val="24"/>
          <w:szCs w:val="22"/>
        </w:rPr>
        <w:t>Reglamento Forestal</w:t>
      </w:r>
    </w:p>
    <w:p w14:paraId="1151F1F6" w14:textId="4DDBB4AA" w:rsidR="00947670" w:rsidRPr="009A27ED" w:rsidRDefault="00947670" w:rsidP="00256899">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R-PP</w:t>
      </w:r>
      <w:r w:rsidRPr="009A27ED">
        <w:rPr>
          <w:rFonts w:ascii="Times New Roman" w:eastAsia="Times New Roman" w:hAnsi="Times New Roman"/>
          <w:b/>
          <w:color w:val="000000" w:themeColor="text1"/>
          <w:sz w:val="24"/>
          <w:szCs w:val="22"/>
        </w:rPr>
        <w:tab/>
      </w:r>
      <w:r w:rsidRPr="009A27ED">
        <w:rPr>
          <w:rFonts w:ascii="Times New Roman" w:eastAsia="Times New Roman" w:hAnsi="Times New Roman"/>
          <w:b/>
          <w:color w:val="000000" w:themeColor="text1"/>
          <w:sz w:val="24"/>
          <w:szCs w:val="22"/>
        </w:rPr>
        <w:tab/>
      </w:r>
      <w:r w:rsidR="000A022C" w:rsidRPr="009A27ED">
        <w:rPr>
          <w:rFonts w:ascii="Times New Roman" w:eastAsia="Times New Roman" w:hAnsi="Times New Roman"/>
          <w:b/>
          <w:color w:val="000000" w:themeColor="text1"/>
          <w:sz w:val="24"/>
          <w:szCs w:val="22"/>
        </w:rPr>
        <w:tab/>
      </w:r>
      <w:r w:rsidRPr="009A27ED">
        <w:rPr>
          <w:rFonts w:ascii="Times New Roman" w:eastAsia="Times New Roman" w:hAnsi="Times New Roman" w:cs="Arial"/>
          <w:bCs/>
          <w:color w:val="000000" w:themeColor="text1"/>
          <w:sz w:val="24"/>
          <w:szCs w:val="22"/>
          <w:shd w:val="clear" w:color="auto" w:fill="FFFFFF"/>
        </w:rPr>
        <w:t>Propuesta de Preparación</w:t>
      </w:r>
      <w:r w:rsidRPr="009A27ED">
        <w:rPr>
          <w:rFonts w:ascii="Times New Roman" w:eastAsia="Times New Roman" w:hAnsi="Times New Roman" w:cs="Arial"/>
          <w:color w:val="000000" w:themeColor="text1"/>
          <w:sz w:val="24"/>
          <w:szCs w:val="22"/>
          <w:shd w:val="clear" w:color="auto" w:fill="FFFFFF"/>
        </w:rPr>
        <w:t> para REDD+ (por sus siglas en inglés) </w:t>
      </w:r>
    </w:p>
    <w:p w14:paraId="0FBC3333" w14:textId="2067EC29" w:rsidR="00947670" w:rsidRPr="009A27ED" w:rsidRDefault="00947670" w:rsidP="00256899">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SESA</w:t>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r>
      <w:r w:rsidR="000A022C"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Evaluación Estratégica Ambiental y Social</w:t>
      </w:r>
      <w:r w:rsidR="00094A53" w:rsidRPr="009A27ED">
        <w:rPr>
          <w:rFonts w:ascii="Times New Roman" w:eastAsia="Times New Roman" w:hAnsi="Times New Roman"/>
          <w:color w:val="000000" w:themeColor="text1"/>
          <w:sz w:val="24"/>
          <w:szCs w:val="22"/>
        </w:rPr>
        <w:t xml:space="preserve"> </w:t>
      </w:r>
      <w:r w:rsidR="00094A53" w:rsidRPr="009A27ED">
        <w:rPr>
          <w:rFonts w:ascii="Times New Roman" w:eastAsia="Times New Roman" w:hAnsi="Times New Roman" w:cs="Arial"/>
          <w:color w:val="000000" w:themeColor="text1"/>
          <w:sz w:val="24"/>
          <w:szCs w:val="22"/>
          <w:shd w:val="clear" w:color="auto" w:fill="FFFFFF"/>
        </w:rPr>
        <w:t>(por sus siglas en inglés)</w:t>
      </w:r>
    </w:p>
    <w:p w14:paraId="52B3D499" w14:textId="77777777" w:rsidR="00212909" w:rsidRPr="009A27ED" w:rsidRDefault="00212909" w:rsidP="00212909">
      <w:pPr>
        <w:spacing w:after="0" w:line="360" w:lineRule="auto"/>
        <w:rPr>
          <w:color w:val="000000" w:themeColor="text1"/>
          <w:szCs w:val="22"/>
          <w:lang w:val="pt-BR"/>
        </w:rPr>
      </w:pPr>
      <w:r w:rsidRPr="009A27ED">
        <w:rPr>
          <w:rFonts w:ascii="Times New Roman" w:eastAsia="Times New Roman" w:hAnsi="Times New Roman"/>
          <w:b/>
          <w:color w:val="000000" w:themeColor="text1"/>
          <w:sz w:val="24"/>
          <w:szCs w:val="22"/>
          <w:shd w:val="clear" w:color="auto" w:fill="FFFFFF"/>
          <w:lang w:val="pt-BR" w:eastAsia="es-ES"/>
        </w:rPr>
        <w:t>SINAP</w:t>
      </w:r>
      <w:r w:rsidRPr="009A27ED">
        <w:rPr>
          <w:rFonts w:ascii="Times New Roman" w:eastAsia="Times New Roman" w:hAnsi="Times New Roman"/>
          <w:color w:val="000000" w:themeColor="text1"/>
          <w:sz w:val="24"/>
          <w:szCs w:val="22"/>
          <w:shd w:val="clear" w:color="auto" w:fill="FFFFFF"/>
          <w:lang w:val="pt-BR" w:eastAsia="es-ES"/>
        </w:rPr>
        <w:tab/>
      </w:r>
      <w:r w:rsidRPr="009A27ED">
        <w:rPr>
          <w:rFonts w:ascii="Times New Roman" w:eastAsia="Times New Roman" w:hAnsi="Times New Roman"/>
          <w:color w:val="000000" w:themeColor="text1"/>
          <w:sz w:val="24"/>
          <w:szCs w:val="22"/>
          <w:shd w:val="clear" w:color="auto" w:fill="FFFFFF"/>
          <w:lang w:val="pt-BR" w:eastAsia="es-ES"/>
        </w:rPr>
        <w:tab/>
      </w:r>
      <w:r w:rsidRPr="009A27ED">
        <w:rPr>
          <w:rFonts w:ascii="Times New Roman" w:eastAsia="Times New Roman" w:hAnsi="Times New Roman"/>
          <w:color w:val="000000" w:themeColor="text1"/>
          <w:sz w:val="24"/>
          <w:szCs w:val="22"/>
          <w:shd w:val="clear" w:color="auto" w:fill="FFFFFF"/>
          <w:lang w:val="pt-BR" w:eastAsia="es-ES"/>
        </w:rPr>
        <w:tab/>
        <w:t>Sistema Nacional de Áreas Protegidas</w:t>
      </w:r>
      <w:r w:rsidRPr="009A27ED">
        <w:rPr>
          <w:rFonts w:ascii="Times New Roman" w:eastAsia="Times New Roman" w:hAnsi="Times New Roman"/>
          <w:color w:val="000000" w:themeColor="text1"/>
          <w:sz w:val="24"/>
          <w:szCs w:val="22"/>
          <w:lang w:val="pt-BR"/>
        </w:rPr>
        <w:t xml:space="preserve">  </w:t>
      </w:r>
    </w:p>
    <w:p w14:paraId="3F76CEEC" w14:textId="7F9AC5C0" w:rsidR="00C96F2F" w:rsidRPr="009A27ED" w:rsidRDefault="00947670" w:rsidP="00C96F2F">
      <w:pPr>
        <w:tabs>
          <w:tab w:val="left" w:pos="2400"/>
        </w:tabs>
        <w:spacing w:after="0" w:line="360" w:lineRule="auto"/>
        <w:rPr>
          <w:b/>
          <w:color w:val="000000" w:themeColor="text1"/>
          <w:szCs w:val="22"/>
        </w:rPr>
      </w:pPr>
      <w:r w:rsidRPr="009A27ED">
        <w:rPr>
          <w:rFonts w:ascii="Times New Roman" w:eastAsia="Times New Roman" w:hAnsi="Times New Roman"/>
          <w:b/>
          <w:color w:val="000000" w:themeColor="text1"/>
          <w:sz w:val="24"/>
          <w:szCs w:val="22"/>
        </w:rPr>
        <w:t>SI</w:t>
      </w:r>
      <w:r w:rsidR="00C96F2F" w:rsidRPr="009A27ED">
        <w:rPr>
          <w:rFonts w:ascii="Times New Roman" w:eastAsia="Times New Roman" w:hAnsi="Times New Roman"/>
          <w:b/>
          <w:color w:val="000000" w:themeColor="text1"/>
          <w:sz w:val="24"/>
          <w:szCs w:val="22"/>
        </w:rPr>
        <w:t>S</w:t>
      </w:r>
      <w:r w:rsidR="00C96F2F" w:rsidRPr="009A27ED">
        <w:rPr>
          <w:rFonts w:ascii="Times New Roman" w:eastAsia="Times New Roman" w:hAnsi="Times New Roman"/>
          <w:sz w:val="24"/>
        </w:rPr>
        <w:t xml:space="preserve">                                      </w:t>
      </w:r>
      <w:r w:rsidR="00C96F2F" w:rsidRPr="009A27ED">
        <w:rPr>
          <w:rFonts w:ascii="Times New Roman" w:eastAsia="Times New Roman" w:hAnsi="Times New Roman"/>
          <w:bCs/>
          <w:color w:val="000000" w:themeColor="text1"/>
          <w:sz w:val="24"/>
          <w:szCs w:val="22"/>
        </w:rPr>
        <w:t>Sistema de Información de Salvaguardas</w:t>
      </w:r>
    </w:p>
    <w:p w14:paraId="4204F448" w14:textId="691BB7BA" w:rsidR="00947670" w:rsidRPr="009A27ED" w:rsidRDefault="00C96F2F" w:rsidP="00256899">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 xml:space="preserve">SQRC        </w:t>
      </w:r>
      <w:r w:rsidR="00947670"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 xml:space="preserve">               Sistema de Quejas, Reclamos y Manejo de Conflictos </w:t>
      </w:r>
      <w:r w:rsidR="00947670" w:rsidRPr="009A27ED">
        <w:rPr>
          <w:rFonts w:ascii="Times New Roman" w:eastAsia="Times New Roman" w:hAnsi="Times New Roman"/>
          <w:color w:val="000000" w:themeColor="text1"/>
          <w:sz w:val="24"/>
          <w:szCs w:val="22"/>
        </w:rPr>
        <w:tab/>
      </w:r>
      <w:r w:rsidR="000A022C" w:rsidRPr="009A27ED">
        <w:rPr>
          <w:rFonts w:ascii="Times New Roman" w:eastAsia="Times New Roman" w:hAnsi="Times New Roman"/>
          <w:color w:val="000000" w:themeColor="text1"/>
          <w:sz w:val="24"/>
          <w:szCs w:val="22"/>
        </w:rPr>
        <w:tab/>
      </w:r>
    </w:p>
    <w:p w14:paraId="0127DA9D" w14:textId="4C66073E" w:rsidR="00947670" w:rsidRPr="009A27ED" w:rsidRDefault="00947670" w:rsidP="00256899">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SODIN</w:t>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r>
      <w:r w:rsidR="000A022C"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Sociedad de Desarrollo Integral del Nordeste</w:t>
      </w:r>
    </w:p>
    <w:p w14:paraId="70FA5834" w14:textId="02FA0387" w:rsidR="00947670" w:rsidRPr="009A27ED" w:rsidRDefault="00947670" w:rsidP="00256899">
      <w:pPr>
        <w:spacing w:after="0" w:line="360" w:lineRule="auto"/>
        <w:rPr>
          <w:color w:val="000000" w:themeColor="text1"/>
          <w:szCs w:val="22"/>
        </w:rPr>
      </w:pPr>
      <w:proofErr w:type="spellStart"/>
      <w:r w:rsidRPr="009A27ED">
        <w:rPr>
          <w:rFonts w:ascii="Times New Roman" w:eastAsia="Times New Roman" w:hAnsi="Times New Roman"/>
          <w:b/>
          <w:color w:val="000000" w:themeColor="text1"/>
          <w:sz w:val="24"/>
          <w:szCs w:val="22"/>
        </w:rPr>
        <w:t>TdR</w:t>
      </w:r>
      <w:proofErr w:type="spellEnd"/>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r>
      <w:r w:rsidR="000A022C"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 xml:space="preserve">Términos de Referencia </w:t>
      </w:r>
    </w:p>
    <w:p w14:paraId="266EEF4F" w14:textId="77777777" w:rsidR="00212909" w:rsidRPr="009A27ED" w:rsidRDefault="00212909" w:rsidP="00212909">
      <w:pPr>
        <w:shd w:val="clear" w:color="auto" w:fill="FFFFFF" w:themeFill="background1"/>
        <w:spacing w:after="0" w:line="360" w:lineRule="auto"/>
        <w:rPr>
          <w:bCs/>
          <w:color w:val="000000" w:themeColor="text1"/>
          <w:szCs w:val="22"/>
          <w:bdr w:val="none" w:sz="0" w:space="0" w:color="auto" w:frame="1"/>
          <w:shd w:val="clear" w:color="auto" w:fill="FFFFFF" w:themeFill="background1"/>
        </w:rPr>
      </w:pPr>
      <w:r w:rsidRPr="009A27ED">
        <w:rPr>
          <w:rFonts w:ascii="Times New Roman" w:eastAsia="Times New Roman" w:hAnsi="Times New Roman"/>
          <w:b/>
          <w:color w:val="000000" w:themeColor="text1"/>
          <w:sz w:val="24"/>
          <w:szCs w:val="22"/>
        </w:rPr>
        <w:t>UNESCO</w:t>
      </w:r>
      <w:r w:rsidRPr="009A27ED">
        <w:rPr>
          <w:rFonts w:ascii="Times New Roman" w:eastAsia="Times New Roman" w:hAnsi="Times New Roman"/>
          <w:b/>
          <w:color w:val="000000" w:themeColor="text1"/>
          <w:sz w:val="24"/>
          <w:szCs w:val="22"/>
        </w:rPr>
        <w:tab/>
      </w:r>
      <w:r w:rsidRPr="009A27ED">
        <w:rPr>
          <w:rFonts w:ascii="Times New Roman" w:eastAsia="Times New Roman" w:hAnsi="Times New Roman"/>
          <w:b/>
          <w:color w:val="000000" w:themeColor="text1"/>
          <w:sz w:val="24"/>
          <w:szCs w:val="22"/>
        </w:rPr>
        <w:tab/>
      </w:r>
      <w:r w:rsidRPr="009A27ED">
        <w:rPr>
          <w:rFonts w:ascii="Times New Roman" w:eastAsia="Times New Roman" w:hAnsi="Times New Roman"/>
          <w:bCs/>
          <w:color w:val="000000" w:themeColor="text1"/>
          <w:sz w:val="24"/>
          <w:szCs w:val="22"/>
          <w:bdr w:val="none" w:sz="0" w:space="0" w:color="auto" w:frame="1"/>
          <w:shd w:val="clear" w:color="auto" w:fill="FFFFFF" w:themeFill="background1"/>
        </w:rPr>
        <w:t>Organización de las Naciones Unidas para la Educación, la Ciencia y la Cultura</w:t>
      </w:r>
    </w:p>
    <w:p w14:paraId="399468A1" w14:textId="77777777" w:rsidR="00EE3163" w:rsidRPr="009A27ED" w:rsidRDefault="00947670" w:rsidP="00EE3163">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UTG</w:t>
      </w:r>
      <w:r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ab/>
      </w:r>
      <w:r w:rsidR="000A022C" w:rsidRPr="009A27ED">
        <w:rPr>
          <w:rFonts w:ascii="Times New Roman" w:eastAsia="Times New Roman" w:hAnsi="Times New Roman"/>
          <w:color w:val="000000" w:themeColor="text1"/>
          <w:sz w:val="24"/>
          <w:szCs w:val="22"/>
        </w:rPr>
        <w:tab/>
      </w:r>
      <w:r w:rsidRPr="009A27ED">
        <w:rPr>
          <w:rFonts w:ascii="Times New Roman" w:eastAsia="Times New Roman" w:hAnsi="Times New Roman"/>
          <w:color w:val="000000" w:themeColor="text1"/>
          <w:sz w:val="24"/>
          <w:szCs w:val="22"/>
        </w:rPr>
        <w:t>Unidad Técnica de Gestión</w:t>
      </w:r>
      <w:bookmarkStart w:id="4" w:name="_Toc532335835"/>
    </w:p>
    <w:p w14:paraId="602A1BBE" w14:textId="29399838" w:rsidR="00EE3163" w:rsidRPr="009A27ED" w:rsidRDefault="00EE3163" w:rsidP="00EE3163">
      <w:pPr>
        <w:spacing w:after="0" w:line="360" w:lineRule="auto"/>
        <w:rPr>
          <w:color w:val="000000" w:themeColor="text1"/>
          <w:szCs w:val="22"/>
        </w:rPr>
      </w:pPr>
      <w:r w:rsidRPr="009A27ED">
        <w:rPr>
          <w:rFonts w:ascii="Times New Roman" w:eastAsia="Times New Roman" w:hAnsi="Times New Roman"/>
          <w:b/>
          <w:color w:val="000000" w:themeColor="text1"/>
          <w:sz w:val="24"/>
          <w:szCs w:val="22"/>
        </w:rPr>
        <w:t xml:space="preserve">UASD    </w:t>
      </w:r>
      <w:r w:rsidRPr="009A27ED">
        <w:rPr>
          <w:rFonts w:ascii="Times New Roman" w:eastAsia="Times New Roman" w:hAnsi="Times New Roman"/>
          <w:b/>
          <w:color w:val="000000" w:themeColor="text1"/>
          <w:sz w:val="24"/>
          <w:szCs w:val="22"/>
        </w:rPr>
        <w:tab/>
      </w:r>
      <w:r w:rsidRPr="009A27ED">
        <w:rPr>
          <w:rFonts w:ascii="Times New Roman" w:eastAsia="Times New Roman" w:hAnsi="Times New Roman"/>
          <w:b/>
          <w:color w:val="000000" w:themeColor="text1"/>
          <w:sz w:val="24"/>
          <w:szCs w:val="22"/>
        </w:rPr>
        <w:tab/>
      </w:r>
      <w:r w:rsidRPr="009A27ED">
        <w:rPr>
          <w:rFonts w:ascii="Times New Roman" w:eastAsia="Times New Roman" w:hAnsi="Times New Roman"/>
          <w:b/>
          <w:color w:val="000000" w:themeColor="text1"/>
          <w:sz w:val="24"/>
          <w:szCs w:val="22"/>
        </w:rPr>
        <w:tab/>
      </w:r>
      <w:r w:rsidRPr="009A27ED">
        <w:rPr>
          <w:rFonts w:ascii="Times New Roman" w:eastAsia="Times New Roman" w:hAnsi="Times New Roman"/>
          <w:color w:val="000000" w:themeColor="text1"/>
          <w:sz w:val="24"/>
          <w:szCs w:val="22"/>
        </w:rPr>
        <w:t xml:space="preserve">Universidad Autónoma de Santo Domingo </w:t>
      </w:r>
    </w:p>
    <w:p w14:paraId="2BE32EB9" w14:textId="77777777" w:rsidR="00EE3163" w:rsidRPr="009A27ED" w:rsidRDefault="00EE3163" w:rsidP="006329B9">
      <w:pPr>
        <w:spacing w:line="360" w:lineRule="auto"/>
        <w:rPr>
          <w:color w:val="000000" w:themeColor="text1"/>
          <w:szCs w:val="22"/>
        </w:rPr>
      </w:pPr>
    </w:p>
    <w:p w14:paraId="4E1459C2" w14:textId="2DE25D82" w:rsidR="00CE6214" w:rsidRPr="009A27ED" w:rsidRDefault="00CE6214" w:rsidP="006329B9">
      <w:pPr>
        <w:spacing w:line="360" w:lineRule="auto"/>
      </w:pPr>
      <w:r w:rsidRPr="009A27ED">
        <w:rPr>
          <w:rFonts w:ascii="Times New Roman" w:eastAsia="Times New Roman" w:hAnsi="Times New Roman"/>
          <w:sz w:val="24"/>
        </w:rPr>
        <w:br w:type="page"/>
      </w:r>
    </w:p>
    <w:p w14:paraId="02CFB53C" w14:textId="49F03D1B" w:rsidR="00947670" w:rsidRPr="009A27ED" w:rsidRDefault="00947670" w:rsidP="0078724F">
      <w:pPr>
        <w:pStyle w:val="Ttulo1"/>
        <w:numPr>
          <w:ilvl w:val="0"/>
          <w:numId w:val="0"/>
        </w:numPr>
        <w:spacing w:line="360" w:lineRule="auto"/>
        <w:jc w:val="both"/>
      </w:pPr>
      <w:bookmarkStart w:id="5" w:name="_Toc111837906"/>
      <w:r w:rsidRPr="009A27ED">
        <w:rPr>
          <w:rFonts w:ascii="Times New Roman" w:eastAsia="Times New Roman" w:hAnsi="Times New Roman"/>
          <w:sz w:val="24"/>
        </w:rPr>
        <w:lastRenderedPageBreak/>
        <w:t>Glosario</w:t>
      </w:r>
      <w:bookmarkEnd w:id="4"/>
      <w:bookmarkEnd w:id="5"/>
      <w:r w:rsidRPr="009A27ED">
        <w:rPr>
          <w:rFonts w:ascii="Times New Roman" w:eastAsia="Times New Roman" w:hAnsi="Times New Roman"/>
          <w:sz w:val="24"/>
        </w:rPr>
        <w:t xml:space="preserve"> </w:t>
      </w:r>
    </w:p>
    <w:p w14:paraId="05D6F157" w14:textId="0B752D30" w:rsidR="00947670" w:rsidRPr="009A27ED" w:rsidRDefault="00947670" w:rsidP="00256899">
      <w:pPr>
        <w:shd w:val="clear" w:color="auto" w:fill="FFFFFF" w:themeFill="background1"/>
        <w:spacing w:before="120" w:after="0" w:line="360" w:lineRule="auto"/>
        <w:rPr>
          <w:rFonts w:eastAsia="Calibri"/>
          <w:szCs w:val="22"/>
        </w:rPr>
      </w:pPr>
      <w:r w:rsidRPr="009A27ED">
        <w:rPr>
          <w:rFonts w:ascii="Times New Roman" w:eastAsia="Times New Roman" w:hAnsi="Times New Roman" w:cs="FiraSans-Light"/>
          <w:b/>
          <w:sz w:val="24"/>
          <w:szCs w:val="22"/>
        </w:rPr>
        <w:t xml:space="preserve">Acción estratégica: </w:t>
      </w:r>
      <w:r w:rsidRPr="009A27ED">
        <w:rPr>
          <w:rFonts w:ascii="Times New Roman" w:eastAsia="Times New Roman" w:hAnsi="Times New Roman" w:cs="FiraSans-Light"/>
          <w:sz w:val="24"/>
          <w:szCs w:val="22"/>
        </w:rPr>
        <w:t xml:space="preserve">es la medida concreta establecida por cada opción estratégica en el marco de la implementación de </w:t>
      </w:r>
      <w:r w:rsidRPr="009A27ED">
        <w:rPr>
          <w:rFonts w:ascii="Times New Roman" w:eastAsia="Times New Roman" w:hAnsi="Times New Roman"/>
          <w:sz w:val="24"/>
          <w:szCs w:val="22"/>
        </w:rPr>
        <w:t xml:space="preserve">REDD+. </w:t>
      </w:r>
    </w:p>
    <w:p w14:paraId="51B5DD60" w14:textId="77777777" w:rsidR="00366815" w:rsidRPr="009A27ED" w:rsidRDefault="00366815" w:rsidP="00366815">
      <w:pPr>
        <w:shd w:val="clear" w:color="auto" w:fill="FFFFFF" w:themeFill="background1"/>
        <w:spacing w:before="120" w:after="0" w:line="360" w:lineRule="auto"/>
        <w:rPr>
          <w:szCs w:val="22"/>
          <w:lang w:eastAsia="es-ES_tradnl"/>
        </w:rPr>
      </w:pPr>
      <w:r w:rsidRPr="009A27ED">
        <w:rPr>
          <w:rFonts w:ascii="Times New Roman" w:eastAsia="Times New Roman" w:hAnsi="Times New Roman"/>
          <w:b/>
          <w:sz w:val="24"/>
          <w:szCs w:val="22"/>
        </w:rPr>
        <w:t>Actividades tipo REDD+:</w:t>
      </w:r>
      <w:r w:rsidRPr="009A27ED">
        <w:rPr>
          <w:rFonts w:ascii="Times New Roman" w:eastAsia="Times New Roman" w:hAnsi="Times New Roman"/>
          <w:sz w:val="24"/>
          <w:szCs w:val="22"/>
        </w:rPr>
        <w:t xml:space="preserve"> son las diversas actividades nacionales establecidas para lograr REDD+. Estas se </w:t>
      </w:r>
      <w:r w:rsidRPr="009A27ED">
        <w:rPr>
          <w:rFonts w:ascii="Times New Roman" w:eastAsia="Times New Roman" w:hAnsi="Times New Roman"/>
          <w:sz w:val="24"/>
          <w:szCs w:val="22"/>
          <w:lang w:eastAsia="es-ES_tradnl"/>
        </w:rPr>
        <w:t xml:space="preserve">definen a partir de programas y proyectos nacionales o regionales que están en ejecución, fueron consideradas para su implementación como parte del Programa de Reducciones de Emisiones por Deforestación y Degradación de los Bosques (Programa REDD+). </w:t>
      </w:r>
    </w:p>
    <w:p w14:paraId="63561585" w14:textId="28C15436" w:rsidR="00366815" w:rsidRPr="009A27ED" w:rsidRDefault="00927120" w:rsidP="00366815">
      <w:pPr>
        <w:shd w:val="clear" w:color="auto" w:fill="FFFFFF" w:themeFill="background1"/>
        <w:spacing w:before="120" w:after="0" w:line="360" w:lineRule="auto"/>
        <w:rPr>
          <w:rFonts w:cs="FiraSans-Light"/>
          <w:szCs w:val="22"/>
        </w:rPr>
      </w:pPr>
      <w:r w:rsidRPr="009A27ED">
        <w:rPr>
          <w:rFonts w:ascii="Times New Roman" w:eastAsia="Times New Roman" w:hAnsi="Times New Roman" w:cs="FiraSans-Light"/>
          <w:b/>
          <w:sz w:val="24"/>
          <w:szCs w:val="22"/>
        </w:rPr>
        <w:t>Adaptación</w:t>
      </w:r>
      <w:r w:rsidR="00366815" w:rsidRPr="009A27ED">
        <w:rPr>
          <w:rFonts w:ascii="Times New Roman" w:eastAsia="Times New Roman" w:hAnsi="Times New Roman" w:cs="FiraSans-Light"/>
          <w:sz w:val="24"/>
          <w:szCs w:val="22"/>
        </w:rPr>
        <w:t>: iniciativas y medidas encaminadas a reducir la vulnerabilidad de los sistemas naturales y humanos ante los efectos reales o esperados de un cambio climático. Existen diferentes tipos de adaptación, por ejemplo: preventiva y reactiva; privada y pública; autónoma y planificada. Algunos ejemplos de adaptación son la construcción de diques fluviales o costeros, la sustitución de plantas sensibles al choque térmico por otras más resistentes. Fuente: CIE IPCC, 2007.</w:t>
      </w:r>
    </w:p>
    <w:p w14:paraId="721D6C4C" w14:textId="472459DE" w:rsidR="00366815" w:rsidRPr="009A27ED" w:rsidRDefault="00366815" w:rsidP="00366815">
      <w:pPr>
        <w:shd w:val="clear" w:color="auto" w:fill="FFFFFF" w:themeFill="background1"/>
        <w:spacing w:before="120" w:after="0" w:line="360" w:lineRule="auto"/>
        <w:rPr>
          <w:szCs w:val="22"/>
          <w:lang w:eastAsia="es-ES_tradnl"/>
        </w:rPr>
      </w:pPr>
      <w:r w:rsidRPr="009A27ED">
        <w:rPr>
          <w:rFonts w:ascii="Times New Roman" w:eastAsia="Times New Roman" w:hAnsi="Times New Roman"/>
          <w:b/>
          <w:sz w:val="24"/>
          <w:szCs w:val="22"/>
          <w:lang w:eastAsia="es-ES_tradnl"/>
        </w:rPr>
        <w:t>Amenaza:</w:t>
      </w:r>
      <w:r w:rsidRPr="009A27ED">
        <w:rPr>
          <w:rFonts w:ascii="Times New Roman" w:eastAsia="Times New Roman" w:hAnsi="Times New Roman"/>
          <w:sz w:val="24"/>
          <w:szCs w:val="22"/>
          <w:lang w:eastAsia="es-ES_tradnl"/>
        </w:rPr>
        <w:t xml:space="preserve"> nivel de presión ecológica que afecta la viabilidad de especies, comunidades y ecosistemas. Fuente: Guía Metodológica para la Elaboración y/o Actualización de Planes de Manejo de Áreas Protegidas de República Dominicana.</w:t>
      </w:r>
    </w:p>
    <w:p w14:paraId="32D18BEB" w14:textId="77777777" w:rsidR="001773BA" w:rsidRPr="009A27ED" w:rsidRDefault="001773BA" w:rsidP="001773BA">
      <w:pPr>
        <w:shd w:val="clear" w:color="auto" w:fill="FFFFFF" w:themeFill="background1"/>
        <w:spacing w:before="120" w:after="0" w:line="360" w:lineRule="auto"/>
        <w:rPr>
          <w:szCs w:val="22"/>
          <w:lang w:eastAsia="es-ES_tradnl"/>
        </w:rPr>
      </w:pPr>
      <w:r w:rsidRPr="009A27ED">
        <w:rPr>
          <w:rFonts w:ascii="Times New Roman" w:eastAsia="Times New Roman" w:hAnsi="Times New Roman"/>
          <w:b/>
          <w:sz w:val="24"/>
          <w:szCs w:val="22"/>
          <w:lang w:eastAsia="es-ES_tradnl"/>
        </w:rPr>
        <w:t>Aprovechamiento forestal</w:t>
      </w:r>
      <w:r w:rsidRPr="009A27ED">
        <w:rPr>
          <w:rFonts w:ascii="Times New Roman" w:eastAsia="Times New Roman" w:hAnsi="Times New Roman"/>
          <w:sz w:val="24"/>
          <w:szCs w:val="22"/>
          <w:lang w:eastAsia="es-ES_tradnl"/>
        </w:rPr>
        <w:t>: toda acción de extracción de árboles para obtener productos forestales maderables o no con fines industriales y/o comerciales. Fuente: Reglamento Forestal Dominicano.</w:t>
      </w:r>
    </w:p>
    <w:p w14:paraId="42375736" w14:textId="77777777" w:rsidR="001773BA" w:rsidRPr="009A27ED" w:rsidRDefault="001773BA" w:rsidP="001773BA">
      <w:pPr>
        <w:shd w:val="clear" w:color="auto" w:fill="FFFFFF" w:themeFill="background1"/>
        <w:spacing w:before="120" w:after="0" w:line="360" w:lineRule="auto"/>
        <w:rPr>
          <w:rFonts w:cs="FiraSans-Light"/>
          <w:szCs w:val="22"/>
        </w:rPr>
      </w:pPr>
      <w:r w:rsidRPr="009A27ED">
        <w:rPr>
          <w:rFonts w:ascii="Times New Roman" w:eastAsia="Times New Roman" w:hAnsi="Times New Roman" w:cs="FiraSans-Light"/>
          <w:b/>
          <w:bCs/>
          <w:sz w:val="24"/>
          <w:szCs w:val="22"/>
        </w:rPr>
        <w:t>Aprovechamiento sostenible:</w:t>
      </w:r>
      <w:r w:rsidRPr="009A27ED">
        <w:rPr>
          <w:rFonts w:ascii="Times New Roman" w:eastAsia="Times New Roman" w:hAnsi="Times New Roman" w:cs="FiraSans-Light"/>
          <w:sz w:val="24"/>
          <w:szCs w:val="22"/>
        </w:rPr>
        <w:t xml:space="preserve"> la utilización de los recursos naturales en forma que se respete la integridad funcional y la capacidad de carga de los ecosistemas de que forman parte. Fuente: Ley General 64-00 de Medio Ambiente y Recursos Naturales.</w:t>
      </w:r>
    </w:p>
    <w:p w14:paraId="5AE2B0E5" w14:textId="1A74EC64" w:rsidR="00947670" w:rsidRPr="009A27ED" w:rsidRDefault="00947670" w:rsidP="00256899">
      <w:pPr>
        <w:spacing w:before="120" w:after="0" w:line="360" w:lineRule="auto"/>
        <w:rPr>
          <w:szCs w:val="22"/>
          <w:lang w:eastAsia="es-ES_tradnl"/>
        </w:rPr>
      </w:pPr>
      <w:r w:rsidRPr="009A27ED">
        <w:rPr>
          <w:rFonts w:ascii="Times New Roman" w:eastAsia="Times New Roman" w:hAnsi="Times New Roman" w:cs="FiraSans-Light"/>
          <w:b/>
          <w:sz w:val="24"/>
          <w:szCs w:val="22"/>
        </w:rPr>
        <w:t>Áreas protegidas:</w:t>
      </w:r>
      <w:r w:rsidRPr="009A27ED">
        <w:rPr>
          <w:rFonts w:ascii="Times New Roman" w:eastAsia="Times New Roman" w:hAnsi="Times New Roman" w:cs="FiraSans-Light"/>
          <w:sz w:val="24"/>
          <w:szCs w:val="22"/>
        </w:rPr>
        <w:t xml:space="preserve"> </w:t>
      </w:r>
      <w:r w:rsidR="00A62B87" w:rsidRPr="009A27ED">
        <w:rPr>
          <w:rFonts w:ascii="Times New Roman" w:eastAsia="Times New Roman" w:hAnsi="Times New Roman" w:cs="FiraSans-Light"/>
          <w:sz w:val="24"/>
          <w:szCs w:val="22"/>
        </w:rPr>
        <w:t>u</w:t>
      </w:r>
      <w:r w:rsidRPr="009A27ED">
        <w:rPr>
          <w:rFonts w:ascii="Times New Roman" w:eastAsia="Times New Roman" w:hAnsi="Times New Roman" w:cs="FiraSans-Light"/>
          <w:sz w:val="24"/>
          <w:szCs w:val="22"/>
        </w:rPr>
        <w:t xml:space="preserve">na porción de terreno y/o mar especialmente dedicada a la protección y mantenimiento de elementos significativos de biodiversidad y de recursos naturales y culturales, manejados por mandato legal y otros medios efectivos. Fuente: </w:t>
      </w:r>
      <w:r w:rsidRPr="009A27ED">
        <w:rPr>
          <w:rFonts w:ascii="Times New Roman" w:eastAsia="Times New Roman" w:hAnsi="Times New Roman"/>
          <w:sz w:val="24"/>
          <w:szCs w:val="22"/>
          <w:lang w:eastAsia="es-ES_tradnl"/>
        </w:rPr>
        <w:t>Ley General 64-00 de Medio Ambiente y Recursos Naturales.</w:t>
      </w:r>
    </w:p>
    <w:p w14:paraId="092B6335" w14:textId="77777777" w:rsidR="001773BA" w:rsidRPr="009A27ED" w:rsidRDefault="001773BA" w:rsidP="001773BA">
      <w:pPr>
        <w:spacing w:before="120" w:after="0" w:line="360" w:lineRule="auto"/>
        <w:rPr>
          <w:szCs w:val="22"/>
        </w:rPr>
      </w:pPr>
      <w:r w:rsidRPr="009A27ED">
        <w:rPr>
          <w:rFonts w:ascii="Times New Roman" w:eastAsia="Times New Roman" w:hAnsi="Times New Roman"/>
          <w:b/>
          <w:sz w:val="24"/>
          <w:szCs w:val="22"/>
        </w:rPr>
        <w:t>Biodiversidad o diversidad biológica</w:t>
      </w:r>
      <w:r w:rsidRPr="009A27ED">
        <w:rPr>
          <w:rFonts w:ascii="Times New Roman" w:eastAsia="Times New Roman" w:hAnsi="Times New Roman"/>
          <w:sz w:val="24"/>
          <w:szCs w:val="22"/>
        </w:rPr>
        <w:t xml:space="preserve">: variabilidad de genes, especies y ecosistemas de cualquier fuente, incluidos todos los ecosistemas, así como los complejos ecológicos de los que forman parte. Comprende la biodiversidad existente dentro de cada especie, entre las especies y de ecosistemas, </w:t>
      </w:r>
      <w:r w:rsidRPr="009A27ED">
        <w:rPr>
          <w:rFonts w:ascii="Times New Roman" w:eastAsia="Times New Roman" w:hAnsi="Times New Roman"/>
          <w:sz w:val="24"/>
          <w:szCs w:val="22"/>
        </w:rPr>
        <w:lastRenderedPageBreak/>
        <w:t>como resultado de procesos naturales y culturales. Fuente: Política de Acceso a Recursos Genéticos y Distribución de Beneficios (ABS) de la República Dominicana.</w:t>
      </w:r>
    </w:p>
    <w:p w14:paraId="2E934826" w14:textId="6CD47DAF" w:rsidR="00947670" w:rsidRPr="009A27ED" w:rsidRDefault="00947670" w:rsidP="00256899">
      <w:pPr>
        <w:spacing w:before="120" w:after="0" w:line="360" w:lineRule="auto"/>
        <w:rPr>
          <w:szCs w:val="22"/>
          <w:lang w:eastAsia="es-ES_tradnl"/>
        </w:rPr>
      </w:pPr>
      <w:r w:rsidRPr="009A27ED">
        <w:rPr>
          <w:rFonts w:ascii="Times New Roman" w:eastAsia="Times New Roman" w:hAnsi="Times New Roman"/>
          <w:b/>
          <w:sz w:val="24"/>
          <w:szCs w:val="22"/>
          <w:lang w:eastAsia="es-ES_tradnl"/>
        </w:rPr>
        <w:t>Bosque natural:</w:t>
      </w:r>
      <w:r w:rsidRPr="009A27ED">
        <w:rPr>
          <w:rFonts w:ascii="Times New Roman" w:eastAsia="Times New Roman" w:hAnsi="Times New Roman"/>
          <w:sz w:val="24"/>
          <w:szCs w:val="22"/>
          <w:lang w:eastAsia="es-ES_tradnl"/>
        </w:rPr>
        <w:t xml:space="preserve"> es un sistema ecológico en el cual predominan los árboles, los cuales han crecido espontáneamente dando paso a los diferentes procesos y relaciones ecológicas que sirven de refugio a la vida silvestre y producen madera y/o productos forestales no maderero. </w:t>
      </w:r>
      <w:r w:rsidRPr="009A27ED">
        <w:rPr>
          <w:rFonts w:ascii="Times New Roman" w:eastAsia="Times New Roman" w:hAnsi="Times New Roman"/>
          <w:sz w:val="24"/>
          <w:szCs w:val="22"/>
        </w:rPr>
        <w:t xml:space="preserve">Fuente: </w:t>
      </w:r>
      <w:r w:rsidRPr="009A27ED">
        <w:rPr>
          <w:rFonts w:ascii="Times New Roman" w:eastAsia="Times New Roman" w:hAnsi="Times New Roman"/>
          <w:sz w:val="24"/>
          <w:szCs w:val="22"/>
          <w:lang w:eastAsia="es-ES_tradnl"/>
        </w:rPr>
        <w:t>Reglamento Forestal Dominicano.</w:t>
      </w:r>
    </w:p>
    <w:p w14:paraId="657C1A45" w14:textId="77777777" w:rsidR="001773BA" w:rsidRPr="009A27ED" w:rsidRDefault="001773BA" w:rsidP="001773BA">
      <w:pPr>
        <w:shd w:val="clear" w:color="auto" w:fill="FFFFFF" w:themeFill="background1"/>
        <w:spacing w:before="120" w:after="0" w:line="360" w:lineRule="auto"/>
        <w:rPr>
          <w:rFonts w:eastAsia="Times New Roman"/>
          <w:szCs w:val="22"/>
          <w:lang w:val="es-GT" w:eastAsia="es-ES_tradnl"/>
        </w:rPr>
      </w:pPr>
      <w:r w:rsidRPr="009A27ED">
        <w:rPr>
          <w:rFonts w:ascii="Times New Roman" w:eastAsia="Times New Roman" w:hAnsi="Times New Roman"/>
          <w:b/>
          <w:sz w:val="24"/>
          <w:szCs w:val="22"/>
          <w:lang w:eastAsia="es-ES_tradnl"/>
        </w:rPr>
        <w:t>Bosque REDD+ República Dominicana:</w:t>
      </w:r>
      <w:r w:rsidRPr="009A27ED">
        <w:rPr>
          <w:rFonts w:ascii="Times New Roman" w:eastAsia="Times New Roman" w:hAnsi="Times New Roman"/>
          <w:sz w:val="24"/>
          <w:szCs w:val="22"/>
          <w:lang w:eastAsia="es-ES_tradnl"/>
        </w:rPr>
        <w:t xml:space="preserve"> ecosistema natural o plantado con diversidad biológica y enriquecimiento de</w:t>
      </w:r>
      <w:r w:rsidRPr="009A27ED">
        <w:rPr>
          <w:rFonts w:ascii="Times New Roman" w:eastAsia="Times New Roman" w:hAnsi="Times New Roman"/>
          <w:iCs/>
          <w:sz w:val="24"/>
          <w:szCs w:val="22"/>
          <w:lang w:val="es-DO" w:eastAsia="es-ES_tradnl"/>
        </w:rPr>
        <w:t xml:space="preserve"> especies leñosas, que produce bienes, provee servicios ambientales y sociales, cuya superficie mínima de tierra es de 0.81 ha (3x3 pixeles de 30m), con una cobertura de copa arbórea que supera el 30% de dicha superficie y árboles o arbustos con potencial para alcanzar una altura mínima de 5 metros en su madurez in situ y 3 metros para bosque seco. Se incluyen en esta definición los sistemas agroforestales que cumplan con estos criterios.</w:t>
      </w:r>
    </w:p>
    <w:p w14:paraId="778DDF3D" w14:textId="48C857EC" w:rsidR="00947670" w:rsidRPr="009A27ED" w:rsidRDefault="00947670" w:rsidP="00256899">
      <w:pPr>
        <w:spacing w:before="120" w:after="0" w:line="360" w:lineRule="auto"/>
        <w:rPr>
          <w:szCs w:val="22"/>
          <w:lang w:eastAsia="es-ES_tradnl"/>
        </w:rPr>
      </w:pPr>
      <w:r w:rsidRPr="009A27ED">
        <w:rPr>
          <w:rFonts w:ascii="Times New Roman" w:eastAsia="Times New Roman" w:hAnsi="Times New Roman"/>
          <w:b/>
          <w:sz w:val="24"/>
          <w:szCs w:val="22"/>
          <w:lang w:eastAsia="es-ES_tradnl"/>
        </w:rPr>
        <w:t>Cambio climático:</w:t>
      </w:r>
      <w:r w:rsidRPr="009A27ED">
        <w:rPr>
          <w:rFonts w:ascii="Times New Roman" w:eastAsia="Times New Roman" w:hAnsi="Times New Roman"/>
          <w:sz w:val="24"/>
          <w:szCs w:val="22"/>
          <w:lang w:eastAsia="es-ES_tradnl"/>
        </w:rPr>
        <w:t xml:space="preserve"> </w:t>
      </w:r>
      <w:r w:rsidR="00A62B87" w:rsidRPr="009A27ED">
        <w:rPr>
          <w:rFonts w:ascii="Times New Roman" w:eastAsia="Times New Roman" w:hAnsi="Times New Roman"/>
          <w:sz w:val="24"/>
          <w:szCs w:val="22"/>
          <w:lang w:eastAsia="es-ES_tradnl"/>
        </w:rPr>
        <w:t>l</w:t>
      </w:r>
      <w:r w:rsidRPr="009A27ED">
        <w:rPr>
          <w:rFonts w:ascii="Times New Roman" w:eastAsia="Times New Roman" w:hAnsi="Times New Roman"/>
          <w:sz w:val="24"/>
          <w:szCs w:val="22"/>
          <w:lang w:eastAsia="es-ES_tradnl"/>
        </w:rPr>
        <w:t xml:space="preserve">a CMNUCC en su Artículo 1, define “cambio climático” como “un cambio de clima atribuido directa o indirectamente a la actividad humana que altera la composición de la atmósfera mundial y que se suma a la variabilidad natural del clima observada durante períodos de tiempo comparables”. La CMNUCC distingue entre ‘cambio climático’ atribuido a actividades humanas que alteran la composición atmosférica y ‘variabilidad climática’ atribuida a causas naturales. </w:t>
      </w:r>
      <w:r w:rsidRPr="009A27ED">
        <w:rPr>
          <w:rFonts w:ascii="Times New Roman" w:eastAsia="Times New Roman" w:hAnsi="Times New Roman"/>
          <w:sz w:val="24"/>
          <w:szCs w:val="22"/>
        </w:rPr>
        <w:t xml:space="preserve">Fuente: </w:t>
      </w:r>
      <w:r w:rsidRPr="009A27ED">
        <w:rPr>
          <w:rFonts w:ascii="Times New Roman" w:eastAsia="Times New Roman" w:hAnsi="Times New Roman"/>
          <w:sz w:val="24"/>
          <w:szCs w:val="22"/>
          <w:lang w:eastAsia="es-ES_tradnl"/>
        </w:rPr>
        <w:t>Ley General 64-00 de Medio Ambiente y Recursos Naturales.</w:t>
      </w:r>
    </w:p>
    <w:p w14:paraId="378AD7B6" w14:textId="77777777" w:rsidR="00947670" w:rsidRPr="009A27ED" w:rsidRDefault="00947670" w:rsidP="00256899">
      <w:pPr>
        <w:spacing w:before="120" w:after="0" w:line="360" w:lineRule="auto"/>
        <w:rPr>
          <w:szCs w:val="22"/>
          <w:lang w:eastAsia="es-ES_tradnl"/>
        </w:rPr>
      </w:pPr>
      <w:r w:rsidRPr="009A27ED">
        <w:rPr>
          <w:rFonts w:ascii="Times New Roman" w:eastAsia="Times New Roman" w:hAnsi="Times New Roman"/>
          <w:b/>
          <w:sz w:val="24"/>
          <w:szCs w:val="22"/>
          <w:lang w:eastAsia="es-ES_tradnl"/>
        </w:rPr>
        <w:t>Conservación:</w:t>
      </w:r>
      <w:r w:rsidRPr="009A27ED">
        <w:rPr>
          <w:rFonts w:ascii="Times New Roman" w:eastAsia="Times New Roman" w:hAnsi="Times New Roman"/>
          <w:sz w:val="24"/>
          <w:szCs w:val="22"/>
          <w:lang w:eastAsia="es-ES_tradnl"/>
        </w:rPr>
        <w:t xml:space="preserve"> la aplicación de las medidas necesarias para preservar, mejorar, </w:t>
      </w:r>
      <w:r w:rsidRPr="009A27ED">
        <w:rPr>
          <w:rFonts w:ascii="Times New Roman" w:eastAsia="Times New Roman" w:hAnsi="Times New Roman"/>
          <w:sz w:val="24"/>
          <w:szCs w:val="22"/>
        </w:rPr>
        <w:t>mantener</w:t>
      </w:r>
      <w:r w:rsidRPr="009A27ED">
        <w:rPr>
          <w:rFonts w:ascii="Times New Roman" w:eastAsia="Times New Roman" w:hAnsi="Times New Roman"/>
          <w:sz w:val="24"/>
          <w:szCs w:val="22"/>
          <w:lang w:eastAsia="es-ES_tradnl"/>
        </w:rPr>
        <w:t>, rehabilitar y restaurar las poblaciones y los ecosistemas, sin afectar su aprovechamiento. Ley General 64-00 de Medio Ambiente y Recursos Naturales</w:t>
      </w:r>
      <w:r w:rsidRPr="009A27ED">
        <w:rPr>
          <w:rFonts w:ascii="Times New Roman" w:eastAsia="Times New Roman" w:hAnsi="Times New Roman"/>
          <w:sz w:val="24"/>
          <w:szCs w:val="22"/>
        </w:rPr>
        <w:t>.</w:t>
      </w:r>
      <w:r w:rsidRPr="009A27ED">
        <w:rPr>
          <w:rFonts w:ascii="Times New Roman" w:eastAsia="Times New Roman" w:hAnsi="Times New Roman"/>
          <w:sz w:val="24"/>
          <w:szCs w:val="22"/>
          <w:lang w:eastAsia="es-ES_tradnl"/>
        </w:rPr>
        <w:t xml:space="preserve"> </w:t>
      </w:r>
      <w:r w:rsidRPr="009A27ED">
        <w:rPr>
          <w:rFonts w:ascii="Times New Roman" w:eastAsia="Times New Roman" w:hAnsi="Times New Roman"/>
          <w:sz w:val="24"/>
          <w:szCs w:val="22"/>
        </w:rPr>
        <w:t xml:space="preserve">Fuente: </w:t>
      </w:r>
      <w:r w:rsidRPr="009A27ED">
        <w:rPr>
          <w:rFonts w:ascii="Times New Roman" w:eastAsia="Times New Roman" w:hAnsi="Times New Roman"/>
          <w:sz w:val="24"/>
          <w:szCs w:val="22"/>
          <w:lang w:eastAsia="es-ES_tradnl"/>
        </w:rPr>
        <w:t>Ley General 64-00 de Medio Ambiente y Recursos Naturales.</w:t>
      </w:r>
    </w:p>
    <w:p w14:paraId="3A0FF53E" w14:textId="77777777" w:rsidR="00947670" w:rsidRPr="009A27ED" w:rsidRDefault="00947670" w:rsidP="00256899">
      <w:pPr>
        <w:spacing w:before="120" w:after="0" w:line="360" w:lineRule="auto"/>
        <w:rPr>
          <w:szCs w:val="22"/>
          <w:lang w:eastAsia="es-ES_tradnl"/>
        </w:rPr>
      </w:pPr>
      <w:r w:rsidRPr="009A27ED">
        <w:rPr>
          <w:rFonts w:ascii="Times New Roman" w:eastAsia="Times New Roman" w:hAnsi="Times New Roman"/>
          <w:b/>
          <w:sz w:val="24"/>
          <w:szCs w:val="22"/>
        </w:rPr>
        <w:t>Daño ambiental</w:t>
      </w:r>
      <w:r w:rsidRPr="009A27ED">
        <w:rPr>
          <w:rFonts w:ascii="Times New Roman" w:eastAsia="Times New Roman" w:hAnsi="Times New Roman"/>
          <w:sz w:val="24"/>
          <w:szCs w:val="22"/>
        </w:rPr>
        <w:t xml:space="preserve">: toda </w:t>
      </w:r>
      <w:r w:rsidR="009D6B2D" w:rsidRPr="009A27ED">
        <w:rPr>
          <w:rFonts w:ascii="Times New Roman" w:eastAsia="Times New Roman" w:hAnsi="Times New Roman"/>
          <w:sz w:val="24"/>
          <w:szCs w:val="22"/>
        </w:rPr>
        <w:t>pérdida</w:t>
      </w:r>
      <w:r w:rsidRPr="009A27ED">
        <w:rPr>
          <w:rFonts w:ascii="Times New Roman" w:eastAsia="Times New Roman" w:hAnsi="Times New Roman"/>
          <w:sz w:val="24"/>
          <w:szCs w:val="22"/>
        </w:rPr>
        <w:t>, disminución, deterioro o perjuicio que se ocasione al medio ambiente o a uno o más de sus componentes.</w:t>
      </w:r>
      <w:r w:rsidRPr="009A27ED">
        <w:rPr>
          <w:rFonts w:ascii="Times New Roman" w:eastAsia="Times New Roman" w:hAnsi="Times New Roman"/>
          <w:sz w:val="24"/>
          <w:szCs w:val="22"/>
          <w:lang w:eastAsia="es-ES_tradnl"/>
        </w:rPr>
        <w:t xml:space="preserve"> </w:t>
      </w:r>
      <w:r w:rsidRPr="009A27ED">
        <w:rPr>
          <w:rFonts w:ascii="Times New Roman" w:eastAsia="Times New Roman" w:hAnsi="Times New Roman"/>
          <w:sz w:val="24"/>
          <w:szCs w:val="22"/>
        </w:rPr>
        <w:t xml:space="preserve">Fuente: </w:t>
      </w:r>
      <w:r w:rsidRPr="009A27ED">
        <w:rPr>
          <w:rFonts w:ascii="Times New Roman" w:eastAsia="Times New Roman" w:hAnsi="Times New Roman"/>
          <w:sz w:val="24"/>
          <w:szCs w:val="22"/>
          <w:lang w:eastAsia="es-ES_tradnl"/>
        </w:rPr>
        <w:t>Ley General 64-00 de Medio Ambiente y Recursos Naturales.</w:t>
      </w:r>
      <w:r w:rsidRPr="009A27ED">
        <w:rPr>
          <w:rFonts w:ascii="Times New Roman" w:eastAsia="Times New Roman" w:hAnsi="Times New Roman"/>
          <w:sz w:val="24"/>
          <w:szCs w:val="22"/>
        </w:rPr>
        <w:t xml:space="preserve"> </w:t>
      </w:r>
    </w:p>
    <w:p w14:paraId="648756B9" w14:textId="77777777" w:rsidR="00947670" w:rsidRPr="009A27ED" w:rsidRDefault="00947670" w:rsidP="00256899">
      <w:pPr>
        <w:spacing w:before="120" w:after="0" w:line="360" w:lineRule="auto"/>
        <w:rPr>
          <w:szCs w:val="22"/>
          <w:lang w:eastAsia="es-ES_tradnl"/>
        </w:rPr>
      </w:pPr>
      <w:r w:rsidRPr="009A27ED">
        <w:rPr>
          <w:rFonts w:ascii="Times New Roman" w:eastAsia="Times New Roman" w:hAnsi="Times New Roman"/>
          <w:b/>
          <w:sz w:val="24"/>
          <w:szCs w:val="22"/>
        </w:rPr>
        <w:t>Declaración de impacto ambiental:</w:t>
      </w:r>
      <w:r w:rsidRPr="009A27ED">
        <w:rPr>
          <w:rFonts w:ascii="Times New Roman" w:eastAsia="Times New Roman" w:hAnsi="Times New Roman"/>
          <w:sz w:val="24"/>
          <w:szCs w:val="22"/>
        </w:rPr>
        <w:t xml:space="preserve"> es un proceso que analiza una propuesta de acción desde el punto de vista de su efecto sobre el medio ambiente y los recursos naturales y consiste en la enunciación del efecto sustancial, positivo o negativo de dicha acción propuesta sobre uno o varios elementos.</w:t>
      </w:r>
      <w:r w:rsidRPr="009A27ED">
        <w:rPr>
          <w:rFonts w:ascii="Times New Roman" w:eastAsia="Times New Roman" w:hAnsi="Times New Roman"/>
          <w:sz w:val="24"/>
          <w:szCs w:val="22"/>
          <w:lang w:eastAsia="es-ES_tradnl"/>
        </w:rPr>
        <w:t xml:space="preserve"> </w:t>
      </w:r>
      <w:r w:rsidRPr="009A27ED">
        <w:rPr>
          <w:rFonts w:ascii="Times New Roman" w:eastAsia="Times New Roman" w:hAnsi="Times New Roman"/>
          <w:sz w:val="24"/>
          <w:szCs w:val="22"/>
        </w:rPr>
        <w:t xml:space="preserve">Fuente: </w:t>
      </w:r>
      <w:r w:rsidRPr="009A27ED">
        <w:rPr>
          <w:rFonts w:ascii="Times New Roman" w:eastAsia="Times New Roman" w:hAnsi="Times New Roman"/>
          <w:sz w:val="24"/>
          <w:szCs w:val="22"/>
          <w:lang w:eastAsia="es-ES_tradnl"/>
        </w:rPr>
        <w:t>Ley General 64-00 de Medio Ambiente y Recursos Naturales.</w:t>
      </w:r>
    </w:p>
    <w:p w14:paraId="046F47BB" w14:textId="77777777" w:rsidR="00947670" w:rsidRPr="009A27ED" w:rsidRDefault="00947670" w:rsidP="00256899">
      <w:pPr>
        <w:spacing w:before="120" w:after="0" w:line="360" w:lineRule="auto"/>
        <w:rPr>
          <w:szCs w:val="22"/>
        </w:rPr>
      </w:pPr>
      <w:r w:rsidRPr="009A27ED">
        <w:rPr>
          <w:rFonts w:ascii="Times New Roman" w:eastAsia="Times New Roman" w:hAnsi="Times New Roman"/>
          <w:b/>
          <w:sz w:val="24"/>
          <w:szCs w:val="22"/>
        </w:rPr>
        <w:lastRenderedPageBreak/>
        <w:t>Documento de impacto ambiental:</w:t>
      </w:r>
      <w:r w:rsidRPr="009A27ED">
        <w:rPr>
          <w:rFonts w:ascii="Times New Roman" w:eastAsia="Times New Roman" w:hAnsi="Times New Roman"/>
          <w:sz w:val="24"/>
          <w:szCs w:val="22"/>
        </w:rPr>
        <w:t xml:space="preserve"> documento preparado por un equipo multidisciplinario, bajo la responsabilidad del proponente, mediante el cual se da a conocer a la autoridad competente y otros interesados, los resultados y conclusiones del estudio de impacto ambiental, y se traducen las informaciones y datos técnicos, en lenguaje claro y de fácil comprensión.</w:t>
      </w:r>
      <w:r w:rsidRPr="009A27ED">
        <w:rPr>
          <w:rFonts w:ascii="Times New Roman" w:eastAsia="Times New Roman" w:hAnsi="Times New Roman"/>
          <w:sz w:val="24"/>
          <w:szCs w:val="22"/>
          <w:lang w:eastAsia="es-ES_tradnl"/>
        </w:rPr>
        <w:t xml:space="preserve"> </w:t>
      </w:r>
      <w:r w:rsidRPr="009A27ED">
        <w:rPr>
          <w:rFonts w:ascii="Times New Roman" w:eastAsia="Times New Roman" w:hAnsi="Times New Roman"/>
          <w:sz w:val="24"/>
          <w:szCs w:val="22"/>
        </w:rPr>
        <w:t xml:space="preserve">Fuente: </w:t>
      </w:r>
      <w:r w:rsidRPr="009A27ED">
        <w:rPr>
          <w:rFonts w:ascii="Times New Roman" w:eastAsia="Times New Roman" w:hAnsi="Times New Roman"/>
          <w:sz w:val="24"/>
          <w:szCs w:val="22"/>
          <w:lang w:eastAsia="es-ES_tradnl"/>
        </w:rPr>
        <w:t>Ley General 64-00 de Medio Ambiente y Recursos Naturales.</w:t>
      </w:r>
    </w:p>
    <w:p w14:paraId="67096F8C" w14:textId="1AE7DC9C" w:rsidR="00947670" w:rsidRPr="009A27ED" w:rsidRDefault="00947670" w:rsidP="00256899">
      <w:pPr>
        <w:spacing w:before="120" w:after="0" w:line="360" w:lineRule="auto"/>
        <w:rPr>
          <w:szCs w:val="22"/>
        </w:rPr>
      </w:pPr>
      <w:r w:rsidRPr="009A27ED">
        <w:rPr>
          <w:rFonts w:ascii="Times New Roman" w:eastAsia="Times New Roman" w:hAnsi="Times New Roman"/>
          <w:b/>
          <w:sz w:val="24"/>
          <w:szCs w:val="22"/>
        </w:rPr>
        <w:t>Ecosistema:</w:t>
      </w:r>
      <w:r w:rsidRPr="009A27ED">
        <w:rPr>
          <w:rFonts w:ascii="Times New Roman" w:eastAsia="Times New Roman" w:hAnsi="Times New Roman"/>
          <w:sz w:val="24"/>
          <w:szCs w:val="22"/>
        </w:rPr>
        <w:t xml:space="preserve"> </w:t>
      </w:r>
      <w:r w:rsidR="00A62B87" w:rsidRPr="009A27ED">
        <w:rPr>
          <w:rFonts w:ascii="Times New Roman" w:eastAsia="Times New Roman" w:hAnsi="Times New Roman"/>
          <w:sz w:val="24"/>
          <w:szCs w:val="22"/>
        </w:rPr>
        <w:t>c</w:t>
      </w:r>
      <w:r w:rsidRPr="009A27ED">
        <w:rPr>
          <w:rFonts w:ascii="Times New Roman" w:eastAsia="Times New Roman" w:hAnsi="Times New Roman"/>
          <w:sz w:val="24"/>
          <w:szCs w:val="22"/>
        </w:rPr>
        <w:t>omplejo dinámico de comunidades de plantas, animales y microorganismos, y su medio físico, interactuando como una unidad funcional. Fuente: Ley Sectorial de Áreas Protegidas, 202-04.</w:t>
      </w:r>
    </w:p>
    <w:p w14:paraId="2AD7801C" w14:textId="4C0717D3" w:rsidR="00947670" w:rsidRPr="009A27ED" w:rsidRDefault="00947670" w:rsidP="00256899">
      <w:pPr>
        <w:spacing w:before="120" w:after="0" w:line="360" w:lineRule="auto"/>
        <w:rPr>
          <w:szCs w:val="22"/>
        </w:rPr>
      </w:pPr>
      <w:r w:rsidRPr="009A27ED">
        <w:rPr>
          <w:rFonts w:ascii="Times New Roman" w:eastAsia="Times New Roman" w:hAnsi="Times New Roman"/>
          <w:b/>
          <w:sz w:val="24"/>
          <w:szCs w:val="22"/>
        </w:rPr>
        <w:t>Especie:</w:t>
      </w:r>
      <w:r w:rsidRPr="009A27ED">
        <w:rPr>
          <w:rFonts w:ascii="Times New Roman" w:eastAsia="Times New Roman" w:hAnsi="Times New Roman"/>
          <w:sz w:val="24"/>
          <w:szCs w:val="22"/>
        </w:rPr>
        <w:t xml:space="preserve"> </w:t>
      </w:r>
      <w:r w:rsidR="00A62B87" w:rsidRPr="009A27ED">
        <w:rPr>
          <w:rFonts w:ascii="Times New Roman" w:eastAsia="Times New Roman" w:hAnsi="Times New Roman"/>
          <w:sz w:val="24"/>
          <w:szCs w:val="22"/>
        </w:rPr>
        <w:t>c</w:t>
      </w:r>
      <w:r w:rsidRPr="009A27ED">
        <w:rPr>
          <w:rFonts w:ascii="Times New Roman" w:eastAsia="Times New Roman" w:hAnsi="Times New Roman"/>
          <w:sz w:val="24"/>
          <w:szCs w:val="22"/>
        </w:rPr>
        <w:t xml:space="preserve">onjunto de organismos capaces de reproducirse entre </w:t>
      </w:r>
      <w:r w:rsidR="006F47EA" w:rsidRPr="009A27ED">
        <w:rPr>
          <w:rFonts w:ascii="Times New Roman" w:eastAsia="Times New Roman" w:hAnsi="Times New Roman"/>
          <w:sz w:val="24"/>
          <w:szCs w:val="22"/>
        </w:rPr>
        <w:t>sí</w:t>
      </w:r>
      <w:r w:rsidRPr="009A27ED">
        <w:rPr>
          <w:rFonts w:ascii="Times New Roman" w:eastAsia="Times New Roman" w:hAnsi="Times New Roman"/>
          <w:sz w:val="24"/>
          <w:szCs w:val="22"/>
        </w:rPr>
        <w:t xml:space="preserve">. Fuente: Ley Sectorial de Áreas Protegidas, 202-04. </w:t>
      </w:r>
    </w:p>
    <w:p w14:paraId="308CD0DF" w14:textId="2BB46E29" w:rsidR="00947670" w:rsidRPr="009A27ED" w:rsidRDefault="00947670" w:rsidP="00256899">
      <w:pPr>
        <w:spacing w:before="120" w:after="0" w:line="360" w:lineRule="auto"/>
        <w:rPr>
          <w:szCs w:val="22"/>
        </w:rPr>
      </w:pPr>
      <w:r w:rsidRPr="009A27ED">
        <w:rPr>
          <w:rFonts w:ascii="Times New Roman" w:eastAsia="Times New Roman" w:hAnsi="Times New Roman"/>
          <w:b/>
          <w:sz w:val="24"/>
          <w:szCs w:val="22"/>
        </w:rPr>
        <w:t>Especie exótica:</w:t>
      </w:r>
      <w:r w:rsidRPr="009A27ED">
        <w:rPr>
          <w:rFonts w:ascii="Times New Roman" w:eastAsia="Times New Roman" w:hAnsi="Times New Roman"/>
          <w:sz w:val="24"/>
          <w:szCs w:val="22"/>
        </w:rPr>
        <w:t xml:space="preserve"> </w:t>
      </w:r>
      <w:r w:rsidR="00A62B87" w:rsidRPr="009A27ED">
        <w:rPr>
          <w:rFonts w:ascii="Times New Roman" w:eastAsia="Times New Roman" w:hAnsi="Times New Roman"/>
          <w:sz w:val="24"/>
          <w:szCs w:val="22"/>
        </w:rPr>
        <w:t>e</w:t>
      </w:r>
      <w:r w:rsidRPr="009A27ED">
        <w:rPr>
          <w:rFonts w:ascii="Times New Roman" w:eastAsia="Times New Roman" w:hAnsi="Times New Roman"/>
          <w:sz w:val="24"/>
          <w:szCs w:val="22"/>
        </w:rPr>
        <w:t xml:space="preserve">specie de flora, fauna o microorganismos, cuya área natural de dispersión geográfica no corresponde al territorio de un </w:t>
      </w:r>
      <w:r w:rsidR="00752A06" w:rsidRPr="009A27ED">
        <w:rPr>
          <w:rFonts w:ascii="Times New Roman" w:eastAsia="Times New Roman" w:hAnsi="Times New Roman"/>
          <w:sz w:val="24"/>
          <w:szCs w:val="22"/>
        </w:rPr>
        <w:t>ecosistema</w:t>
      </w:r>
      <w:r w:rsidRPr="009A27ED">
        <w:rPr>
          <w:rFonts w:ascii="Times New Roman" w:eastAsia="Times New Roman" w:hAnsi="Times New Roman"/>
          <w:sz w:val="24"/>
          <w:szCs w:val="22"/>
        </w:rPr>
        <w:t xml:space="preserve"> en particular. Fuente: Ley Sectorial de Áreas Protegidas, 202-04.</w:t>
      </w:r>
    </w:p>
    <w:p w14:paraId="1CE8C43B" w14:textId="43F2EC6B" w:rsidR="00947670" w:rsidRPr="009A27ED" w:rsidRDefault="00947670" w:rsidP="00256899">
      <w:pPr>
        <w:spacing w:before="120" w:after="0" w:line="360" w:lineRule="auto"/>
        <w:rPr>
          <w:szCs w:val="22"/>
          <w:lang w:eastAsia="es-ES_tradnl"/>
        </w:rPr>
      </w:pPr>
      <w:r w:rsidRPr="009A27ED">
        <w:rPr>
          <w:rFonts w:ascii="Times New Roman" w:eastAsia="Times New Roman" w:hAnsi="Times New Roman"/>
          <w:b/>
          <w:sz w:val="24"/>
          <w:szCs w:val="22"/>
        </w:rPr>
        <w:t>Estudio de impacto ambiental:</w:t>
      </w:r>
      <w:r w:rsidRPr="009A27ED">
        <w:rPr>
          <w:rFonts w:ascii="Times New Roman" w:eastAsia="Times New Roman" w:hAnsi="Times New Roman"/>
          <w:sz w:val="24"/>
          <w:szCs w:val="22"/>
        </w:rPr>
        <w:t xml:space="preserve"> </w:t>
      </w:r>
      <w:r w:rsidR="00A62B87" w:rsidRPr="009A27ED">
        <w:rPr>
          <w:rFonts w:ascii="Times New Roman" w:eastAsia="Times New Roman" w:hAnsi="Times New Roman"/>
          <w:sz w:val="24"/>
          <w:szCs w:val="22"/>
        </w:rPr>
        <w:t>c</w:t>
      </w:r>
      <w:r w:rsidRPr="009A27ED">
        <w:rPr>
          <w:rFonts w:ascii="Times New Roman" w:eastAsia="Times New Roman" w:hAnsi="Times New Roman"/>
          <w:sz w:val="24"/>
          <w:szCs w:val="22"/>
        </w:rPr>
        <w:t xml:space="preserve">onjunto de actividades técnicas y científicas destinadas a la identificación, predicción y control de los impactos ambientales de un proyecto y sus alternativas, presentando en forma de informe técnico y realizado según criterios establecidos por las normas vigentes. Fuente: </w:t>
      </w:r>
      <w:r w:rsidRPr="009A27ED">
        <w:rPr>
          <w:rFonts w:ascii="Times New Roman" w:eastAsia="Times New Roman" w:hAnsi="Times New Roman"/>
          <w:sz w:val="24"/>
          <w:szCs w:val="22"/>
          <w:lang w:eastAsia="es-ES_tradnl"/>
        </w:rPr>
        <w:t>Ley General 64-00 de Medio Ambiente y Recursos Naturales.</w:t>
      </w:r>
    </w:p>
    <w:p w14:paraId="70728E95" w14:textId="0F57E088" w:rsidR="00947670" w:rsidRPr="009A27ED" w:rsidRDefault="00947670" w:rsidP="00256899">
      <w:pPr>
        <w:spacing w:before="120" w:after="0" w:line="360" w:lineRule="auto"/>
        <w:rPr>
          <w:szCs w:val="22"/>
          <w:lang w:eastAsia="es-ES_tradnl"/>
        </w:rPr>
      </w:pPr>
      <w:r w:rsidRPr="009A27ED">
        <w:rPr>
          <w:rFonts w:ascii="Times New Roman" w:eastAsia="Times New Roman" w:hAnsi="Times New Roman"/>
          <w:b/>
          <w:sz w:val="24"/>
          <w:szCs w:val="22"/>
        </w:rPr>
        <w:t>Evaluación de impacto ambiental:</w:t>
      </w:r>
      <w:r w:rsidRPr="009A27ED">
        <w:rPr>
          <w:rFonts w:ascii="Times New Roman" w:eastAsia="Times New Roman" w:hAnsi="Times New Roman"/>
          <w:sz w:val="24"/>
          <w:szCs w:val="22"/>
        </w:rPr>
        <w:t xml:space="preserve"> </w:t>
      </w:r>
      <w:r w:rsidR="00A62B87" w:rsidRPr="009A27ED">
        <w:rPr>
          <w:rFonts w:ascii="Times New Roman" w:eastAsia="Times New Roman" w:hAnsi="Times New Roman"/>
          <w:sz w:val="24"/>
          <w:szCs w:val="22"/>
        </w:rPr>
        <w:t>e</w:t>
      </w:r>
      <w:r w:rsidRPr="009A27ED">
        <w:rPr>
          <w:rFonts w:ascii="Times New Roman" w:eastAsia="Times New Roman" w:hAnsi="Times New Roman"/>
          <w:sz w:val="24"/>
          <w:szCs w:val="22"/>
        </w:rPr>
        <w:t xml:space="preserve">s el instrumento de política y gestión ambiental formado por el conjunto de procedimientos, estudios y sistemas técnicos que permite estimar los efectos que la ejecución de una determinada obra, actividad o proyecto pueda causar sobre el medio ambiente. </w:t>
      </w:r>
      <w:r w:rsidRPr="009A27ED">
        <w:rPr>
          <w:rFonts w:ascii="Times New Roman" w:eastAsia="Times New Roman" w:hAnsi="Times New Roman"/>
          <w:sz w:val="24"/>
          <w:szCs w:val="22"/>
          <w:lang w:eastAsia="es-ES_tradnl"/>
        </w:rPr>
        <w:t xml:space="preserve">Ley General 64-00 de Medio Ambiente y Recursos Naturales. </w:t>
      </w:r>
    </w:p>
    <w:p w14:paraId="6B6D1510" w14:textId="77777777" w:rsidR="001773BA" w:rsidRPr="009A27ED" w:rsidRDefault="001773BA" w:rsidP="001773BA">
      <w:pPr>
        <w:spacing w:before="120" w:after="0" w:line="360" w:lineRule="auto"/>
        <w:rPr>
          <w:szCs w:val="22"/>
        </w:rPr>
      </w:pPr>
      <w:r w:rsidRPr="009A27ED">
        <w:rPr>
          <w:rFonts w:ascii="Times New Roman" w:eastAsia="Times New Roman" w:hAnsi="Times New Roman"/>
          <w:b/>
          <w:sz w:val="24"/>
          <w:szCs w:val="22"/>
        </w:rPr>
        <w:t>Fauna:</w:t>
      </w:r>
      <w:r w:rsidRPr="009A27ED">
        <w:rPr>
          <w:rFonts w:ascii="Times New Roman" w:eastAsia="Times New Roman" w:hAnsi="Times New Roman"/>
          <w:sz w:val="24"/>
          <w:szCs w:val="22"/>
        </w:rPr>
        <w:t xml:space="preserve"> conjunto de animales silvestres, endémicos y nativos, introducidos y migratorios que no hayan sido domesticados, criados o propagados por el hombre, o que aun habiendo sido domesticados se han readaptado a vivir en estado silvestre. Fuente: Ley Sectorial de Áreas Protegidas, 202-04.</w:t>
      </w:r>
    </w:p>
    <w:p w14:paraId="52CE0969" w14:textId="77777777" w:rsidR="001773BA" w:rsidRPr="009A27ED" w:rsidRDefault="001773BA" w:rsidP="001773BA">
      <w:pPr>
        <w:spacing w:before="120" w:after="0" w:line="360" w:lineRule="auto"/>
        <w:rPr>
          <w:szCs w:val="22"/>
          <w:lang w:eastAsia="es-ES_tradnl"/>
        </w:rPr>
      </w:pPr>
      <w:r w:rsidRPr="009A27ED">
        <w:rPr>
          <w:rFonts w:ascii="Times New Roman" w:eastAsia="Times New Roman" w:hAnsi="Times New Roman"/>
          <w:b/>
          <w:sz w:val="24"/>
          <w:szCs w:val="22"/>
        </w:rPr>
        <w:t>Flora</w:t>
      </w:r>
      <w:r w:rsidRPr="009A27ED">
        <w:rPr>
          <w:rFonts w:ascii="Times New Roman" w:eastAsia="Times New Roman" w:hAnsi="Times New Roman"/>
          <w:sz w:val="24"/>
          <w:szCs w:val="22"/>
        </w:rPr>
        <w:t>: conjunto de plantas no cultivadas. Fuente: Ley Sectorial de Áreas Protegidas, 202-04.</w:t>
      </w:r>
    </w:p>
    <w:p w14:paraId="044B4F56" w14:textId="21031116" w:rsidR="00947670" w:rsidRPr="009A27ED" w:rsidRDefault="00947670" w:rsidP="00256899">
      <w:pPr>
        <w:spacing w:before="120" w:after="0" w:line="360" w:lineRule="auto"/>
        <w:rPr>
          <w:szCs w:val="22"/>
          <w:lang w:eastAsia="es-ES_tradnl"/>
        </w:rPr>
      </w:pPr>
      <w:r w:rsidRPr="009A27ED">
        <w:rPr>
          <w:rFonts w:ascii="Times New Roman" w:eastAsia="Times New Roman" w:hAnsi="Times New Roman"/>
          <w:b/>
          <w:sz w:val="24"/>
          <w:szCs w:val="22"/>
          <w:lang w:eastAsia="es-ES_tradnl"/>
        </w:rPr>
        <w:t>Gases de efecto Invernadero (GEI</w:t>
      </w:r>
      <w:r w:rsidRPr="009A27ED">
        <w:rPr>
          <w:rFonts w:ascii="Times New Roman" w:eastAsia="Times New Roman" w:hAnsi="Times New Roman"/>
          <w:b/>
          <w:sz w:val="24"/>
          <w:szCs w:val="22"/>
        </w:rPr>
        <w:t>)</w:t>
      </w:r>
      <w:r w:rsidRPr="009A27ED">
        <w:rPr>
          <w:rFonts w:ascii="Times New Roman" w:eastAsia="Times New Roman" w:hAnsi="Times New Roman"/>
          <w:sz w:val="24"/>
          <w:szCs w:val="22"/>
        </w:rPr>
        <w:t>:</w:t>
      </w:r>
      <w:r w:rsidRPr="009A27ED">
        <w:rPr>
          <w:rFonts w:ascii="Times New Roman" w:eastAsia="Times New Roman" w:hAnsi="Times New Roman"/>
          <w:sz w:val="24"/>
          <w:szCs w:val="22"/>
          <w:lang w:eastAsia="es-ES_tradnl"/>
        </w:rPr>
        <w:t xml:space="preserve"> </w:t>
      </w:r>
      <w:r w:rsidR="00A62B87" w:rsidRPr="009A27ED">
        <w:rPr>
          <w:rFonts w:ascii="Times New Roman" w:eastAsia="Times New Roman" w:hAnsi="Times New Roman"/>
          <w:sz w:val="24"/>
          <w:szCs w:val="22"/>
          <w:lang w:eastAsia="es-ES_tradnl"/>
        </w:rPr>
        <w:t>l</w:t>
      </w:r>
      <w:r w:rsidRPr="009A27ED">
        <w:rPr>
          <w:rFonts w:ascii="Times New Roman" w:eastAsia="Times New Roman" w:hAnsi="Times New Roman"/>
          <w:sz w:val="24"/>
          <w:szCs w:val="22"/>
          <w:lang w:eastAsia="es-ES_tradnl"/>
        </w:rPr>
        <w:t xml:space="preserve">os gases de efecto invernadero son aquellos constituyentes gaseosos de la atmósfera, ambos naturales y antropogénicos, que absorben y emiten radiación a </w:t>
      </w:r>
      <w:r w:rsidRPr="009A27ED">
        <w:rPr>
          <w:rFonts w:ascii="Times New Roman" w:eastAsia="Times New Roman" w:hAnsi="Times New Roman"/>
          <w:sz w:val="24"/>
          <w:szCs w:val="22"/>
          <w:lang w:eastAsia="es-ES_tradnl"/>
        </w:rPr>
        <w:lastRenderedPageBreak/>
        <w:t xml:space="preserve">longitudes de onda específicas dentro del espectro de radiación infrarroja emitida por la superficie de la tierra, la atmósfera y las nubes. Esta propiedad causa el efecto invernadero, vapor de agua H2O, Dióxido de </w:t>
      </w:r>
      <w:r w:rsidRPr="009A27ED">
        <w:rPr>
          <w:rFonts w:ascii="Times New Roman" w:eastAsia="Times New Roman" w:hAnsi="Times New Roman"/>
          <w:sz w:val="24"/>
          <w:szCs w:val="22"/>
        </w:rPr>
        <w:t>carbono (</w:t>
      </w:r>
      <w:r w:rsidRPr="009A27ED">
        <w:rPr>
          <w:rFonts w:ascii="Times New Roman" w:eastAsia="Times New Roman" w:hAnsi="Times New Roman"/>
          <w:sz w:val="24"/>
          <w:szCs w:val="22"/>
          <w:lang w:eastAsia="es-ES_tradnl"/>
        </w:rPr>
        <w:t xml:space="preserve">CO2), </w:t>
      </w:r>
      <w:r w:rsidR="007F0BC6" w:rsidRPr="009A27ED">
        <w:rPr>
          <w:rFonts w:ascii="Times New Roman" w:eastAsia="Times New Roman" w:hAnsi="Times New Roman"/>
          <w:sz w:val="24"/>
          <w:szCs w:val="22"/>
          <w:lang w:eastAsia="es-ES_tradnl"/>
        </w:rPr>
        <w:t>Óxido</w:t>
      </w:r>
      <w:r w:rsidRPr="009A27ED">
        <w:rPr>
          <w:rFonts w:ascii="Times New Roman" w:eastAsia="Times New Roman" w:hAnsi="Times New Roman"/>
          <w:sz w:val="24"/>
          <w:szCs w:val="22"/>
          <w:lang w:eastAsia="es-ES_tradnl"/>
        </w:rPr>
        <w:t xml:space="preserve"> nitroso (N2O</w:t>
      </w:r>
      <w:r w:rsidRPr="009A27ED">
        <w:rPr>
          <w:rFonts w:ascii="Times New Roman" w:eastAsia="Times New Roman" w:hAnsi="Times New Roman"/>
          <w:sz w:val="24"/>
          <w:szCs w:val="22"/>
        </w:rPr>
        <w:t>), Metano (</w:t>
      </w:r>
      <w:r w:rsidRPr="009A27ED">
        <w:rPr>
          <w:rFonts w:ascii="Times New Roman" w:eastAsia="Times New Roman" w:hAnsi="Times New Roman"/>
          <w:sz w:val="24"/>
          <w:szCs w:val="22"/>
          <w:lang w:eastAsia="es-ES_tradnl"/>
        </w:rPr>
        <w:t xml:space="preserve">CH4) y </w:t>
      </w:r>
      <w:r w:rsidR="007F0BC6" w:rsidRPr="009A27ED">
        <w:rPr>
          <w:rFonts w:ascii="Times New Roman" w:eastAsia="Times New Roman" w:hAnsi="Times New Roman"/>
          <w:sz w:val="24"/>
          <w:szCs w:val="22"/>
          <w:lang w:eastAsia="es-ES_tradnl"/>
        </w:rPr>
        <w:t>Ozono (</w:t>
      </w:r>
      <w:r w:rsidRPr="009A27ED">
        <w:rPr>
          <w:rFonts w:ascii="Times New Roman" w:eastAsia="Times New Roman" w:hAnsi="Times New Roman"/>
          <w:sz w:val="24"/>
          <w:szCs w:val="22"/>
          <w:lang w:eastAsia="es-ES_tradnl"/>
        </w:rPr>
        <w:t xml:space="preserve">O3). Son los principales gases de efecto invernadero en la atmósfera terrestre. Así como el CO2, N2O Y CH4, el Protocolo de </w:t>
      </w:r>
      <w:proofErr w:type="spellStart"/>
      <w:r w:rsidRPr="009A27ED">
        <w:rPr>
          <w:rFonts w:ascii="Times New Roman" w:eastAsia="Times New Roman" w:hAnsi="Times New Roman"/>
          <w:sz w:val="24"/>
          <w:szCs w:val="22"/>
          <w:lang w:eastAsia="es-ES_tradnl"/>
        </w:rPr>
        <w:t>Kyoto</w:t>
      </w:r>
      <w:proofErr w:type="spellEnd"/>
      <w:r w:rsidRPr="009A27ED">
        <w:rPr>
          <w:rFonts w:ascii="Times New Roman" w:eastAsia="Times New Roman" w:hAnsi="Times New Roman"/>
          <w:sz w:val="24"/>
          <w:szCs w:val="22"/>
          <w:lang w:eastAsia="es-ES_tradnl"/>
        </w:rPr>
        <w:t xml:space="preserve"> también interviene con los gases SF6 y </w:t>
      </w:r>
      <w:proofErr w:type="spellStart"/>
      <w:r w:rsidRPr="009A27ED">
        <w:rPr>
          <w:rFonts w:ascii="Times New Roman" w:eastAsia="Times New Roman" w:hAnsi="Times New Roman"/>
          <w:sz w:val="24"/>
          <w:szCs w:val="22"/>
          <w:lang w:eastAsia="es-ES_tradnl"/>
        </w:rPr>
        <w:t>hidrofluoro</w:t>
      </w:r>
      <w:proofErr w:type="spellEnd"/>
      <w:r w:rsidRPr="009A27ED">
        <w:rPr>
          <w:rFonts w:ascii="Times New Roman" w:eastAsia="Times New Roman" w:hAnsi="Times New Roman"/>
          <w:sz w:val="24"/>
          <w:szCs w:val="22"/>
          <w:lang w:eastAsia="es-ES_tradnl"/>
        </w:rPr>
        <w:t xml:space="preserve"> carbonos (HFC) y </w:t>
      </w:r>
      <w:r w:rsidR="00434410" w:rsidRPr="009A27ED">
        <w:rPr>
          <w:rFonts w:ascii="Times New Roman" w:eastAsia="Times New Roman" w:hAnsi="Times New Roman"/>
          <w:sz w:val="24"/>
          <w:szCs w:val="22"/>
          <w:lang w:eastAsia="es-ES_tradnl"/>
        </w:rPr>
        <w:t>perfluorocarbonos</w:t>
      </w:r>
      <w:r w:rsidRPr="009A27ED">
        <w:rPr>
          <w:rFonts w:ascii="Times New Roman" w:eastAsia="Times New Roman" w:hAnsi="Times New Roman"/>
          <w:sz w:val="24"/>
          <w:szCs w:val="22"/>
          <w:lang w:eastAsia="es-ES_tradnl"/>
        </w:rPr>
        <w:t xml:space="preserve"> (PFC). (CIE IPCC 2007).</w:t>
      </w:r>
    </w:p>
    <w:p w14:paraId="29BBA30D" w14:textId="11FC1CC5" w:rsidR="00947670" w:rsidRPr="009A27ED" w:rsidRDefault="00947670" w:rsidP="00256899">
      <w:pPr>
        <w:spacing w:before="120" w:after="0" w:line="360" w:lineRule="auto"/>
        <w:rPr>
          <w:szCs w:val="22"/>
          <w:lang w:eastAsia="es-ES_tradnl"/>
        </w:rPr>
      </w:pPr>
      <w:r w:rsidRPr="009A27ED">
        <w:rPr>
          <w:rFonts w:ascii="Times New Roman" w:eastAsia="Times New Roman" w:hAnsi="Times New Roman"/>
          <w:b/>
          <w:sz w:val="24"/>
          <w:szCs w:val="22"/>
          <w:lang w:eastAsia="es-ES_tradnl"/>
        </w:rPr>
        <w:t>Hábitat</w:t>
      </w:r>
      <w:r w:rsidRPr="009A27ED">
        <w:rPr>
          <w:rFonts w:ascii="Times New Roman" w:eastAsia="Times New Roman" w:hAnsi="Times New Roman"/>
          <w:sz w:val="24"/>
          <w:szCs w:val="22"/>
          <w:lang w:eastAsia="es-ES_tradnl"/>
        </w:rPr>
        <w:t xml:space="preserve">: </w:t>
      </w:r>
      <w:r w:rsidR="00A62B87" w:rsidRPr="009A27ED">
        <w:rPr>
          <w:rFonts w:ascii="Times New Roman" w:eastAsia="Times New Roman" w:hAnsi="Times New Roman"/>
          <w:sz w:val="24"/>
          <w:szCs w:val="22"/>
          <w:lang w:eastAsia="es-ES_tradnl"/>
        </w:rPr>
        <w:t>e</w:t>
      </w:r>
      <w:r w:rsidRPr="009A27ED">
        <w:rPr>
          <w:rFonts w:ascii="Times New Roman" w:eastAsia="Times New Roman" w:hAnsi="Times New Roman"/>
          <w:sz w:val="24"/>
          <w:szCs w:val="22"/>
          <w:lang w:eastAsia="es-ES_tradnl"/>
        </w:rPr>
        <w:t xml:space="preserve">s el conjunto de condiciones ecológicas específicas donde los organismos desarrollan con mayor éxito sus actividades vitales. </w:t>
      </w:r>
      <w:r w:rsidRPr="009A27ED">
        <w:rPr>
          <w:rFonts w:ascii="Times New Roman" w:eastAsia="Times New Roman" w:hAnsi="Times New Roman"/>
          <w:sz w:val="24"/>
          <w:szCs w:val="22"/>
        </w:rPr>
        <w:t xml:space="preserve">Fuente: </w:t>
      </w:r>
      <w:r w:rsidRPr="009A27ED">
        <w:rPr>
          <w:rFonts w:ascii="Times New Roman" w:eastAsia="Times New Roman" w:hAnsi="Times New Roman"/>
          <w:sz w:val="24"/>
          <w:szCs w:val="22"/>
          <w:lang w:eastAsia="es-ES_tradnl"/>
        </w:rPr>
        <w:t>Reglamento Forestal Dominicano.</w:t>
      </w:r>
    </w:p>
    <w:p w14:paraId="08411656" w14:textId="0D921F64" w:rsidR="00947670" w:rsidRPr="009A27ED" w:rsidRDefault="00947670" w:rsidP="00256899">
      <w:pPr>
        <w:spacing w:before="120" w:after="0" w:line="360" w:lineRule="auto"/>
        <w:rPr>
          <w:szCs w:val="22"/>
          <w:lang w:eastAsia="es-ES_tradnl"/>
        </w:rPr>
      </w:pPr>
      <w:r w:rsidRPr="009A27ED">
        <w:rPr>
          <w:rFonts w:ascii="Times New Roman" w:eastAsia="Times New Roman" w:hAnsi="Times New Roman"/>
          <w:b/>
          <w:sz w:val="24"/>
          <w:szCs w:val="22"/>
        </w:rPr>
        <w:t>Impacto Ambiental</w:t>
      </w:r>
      <w:r w:rsidRPr="009A27ED">
        <w:rPr>
          <w:rFonts w:ascii="Times New Roman" w:eastAsia="Times New Roman" w:hAnsi="Times New Roman"/>
          <w:sz w:val="24"/>
          <w:szCs w:val="22"/>
        </w:rPr>
        <w:t xml:space="preserve">: cualquier alteración significativa, positiva o negativa, de uno o </w:t>
      </w:r>
      <w:r w:rsidR="001D74C2" w:rsidRPr="009A27ED">
        <w:rPr>
          <w:rFonts w:ascii="Times New Roman" w:eastAsia="Times New Roman" w:hAnsi="Times New Roman"/>
          <w:sz w:val="24"/>
          <w:szCs w:val="22"/>
        </w:rPr>
        <w:t>más</w:t>
      </w:r>
      <w:r w:rsidRPr="009A27ED">
        <w:rPr>
          <w:rFonts w:ascii="Times New Roman" w:eastAsia="Times New Roman" w:hAnsi="Times New Roman"/>
          <w:sz w:val="24"/>
          <w:szCs w:val="22"/>
        </w:rPr>
        <w:t xml:space="preserve"> de los componentes del medio ambiente y los recursos naturales, provocada por la acción humana y/o acontecimientos de la naturaleza. Fuente: </w:t>
      </w:r>
      <w:r w:rsidRPr="009A27ED">
        <w:rPr>
          <w:rFonts w:ascii="Times New Roman" w:eastAsia="Times New Roman" w:hAnsi="Times New Roman"/>
          <w:sz w:val="24"/>
          <w:szCs w:val="22"/>
          <w:lang w:eastAsia="es-ES_tradnl"/>
        </w:rPr>
        <w:t>Ley General 64-00 de Medio Ambiente y Recursos Naturales.</w:t>
      </w:r>
    </w:p>
    <w:p w14:paraId="0932D232" w14:textId="77777777" w:rsidR="001773BA" w:rsidRPr="009A27ED" w:rsidRDefault="001773BA" w:rsidP="001773BA">
      <w:pPr>
        <w:spacing w:before="120" w:after="0" w:line="360" w:lineRule="auto"/>
        <w:rPr>
          <w:szCs w:val="22"/>
        </w:rPr>
      </w:pPr>
      <w:r w:rsidRPr="009A27ED">
        <w:rPr>
          <w:rFonts w:ascii="Times New Roman" w:eastAsia="Times New Roman" w:hAnsi="Times New Roman"/>
          <w:b/>
          <w:sz w:val="24"/>
          <w:szCs w:val="22"/>
        </w:rPr>
        <w:t>Impacto Social:</w:t>
      </w:r>
      <w:r w:rsidRPr="009A27ED">
        <w:rPr>
          <w:rFonts w:ascii="Times New Roman" w:eastAsia="Times New Roman" w:hAnsi="Times New Roman"/>
          <w:sz w:val="24"/>
          <w:szCs w:val="22"/>
        </w:rPr>
        <w:t xml:space="preserve"> alteración o afectación de la calidad de vida de la sociedad, incluye a los grupos, comunidades, personas vulnerables afectados positiva o negativamente por actividades, eventos realizados por el ser humano o por la naturaleza. Fuente: elaboración propia.</w:t>
      </w:r>
    </w:p>
    <w:p w14:paraId="324F65AC" w14:textId="0FE85E3B" w:rsidR="00947670" w:rsidRPr="009A27ED" w:rsidRDefault="00947670" w:rsidP="00256899">
      <w:pPr>
        <w:spacing w:before="120" w:after="0" w:line="360" w:lineRule="auto"/>
        <w:rPr>
          <w:szCs w:val="22"/>
          <w:lang w:eastAsia="es-ES_tradnl"/>
        </w:rPr>
      </w:pPr>
      <w:r w:rsidRPr="009A27ED">
        <w:rPr>
          <w:rFonts w:ascii="Times New Roman" w:eastAsia="Times New Roman" w:hAnsi="Times New Roman"/>
          <w:b/>
          <w:sz w:val="24"/>
          <w:szCs w:val="22"/>
          <w:lang w:eastAsia="es-ES_tradnl"/>
        </w:rPr>
        <w:t>Industria forestal</w:t>
      </w:r>
      <w:r w:rsidRPr="009A27ED">
        <w:rPr>
          <w:rFonts w:ascii="Times New Roman" w:eastAsia="Times New Roman" w:hAnsi="Times New Roman"/>
          <w:sz w:val="24"/>
          <w:szCs w:val="22"/>
          <w:lang w:eastAsia="es-ES_tradnl"/>
        </w:rPr>
        <w:t xml:space="preserve">: </w:t>
      </w:r>
      <w:r w:rsidR="00A62B87" w:rsidRPr="009A27ED">
        <w:rPr>
          <w:rFonts w:ascii="Times New Roman" w:eastAsia="Times New Roman" w:hAnsi="Times New Roman"/>
          <w:sz w:val="24"/>
          <w:szCs w:val="22"/>
          <w:lang w:eastAsia="es-ES_tradnl"/>
        </w:rPr>
        <w:t>e</w:t>
      </w:r>
      <w:r w:rsidRPr="009A27ED">
        <w:rPr>
          <w:rFonts w:ascii="Times New Roman" w:eastAsia="Times New Roman" w:hAnsi="Times New Roman"/>
          <w:sz w:val="24"/>
          <w:szCs w:val="22"/>
          <w:lang w:eastAsia="es-ES_tradnl"/>
        </w:rPr>
        <w:t xml:space="preserve">s toda actividad de procesamiento que utilice como materia prima principal, productos y subproductos que tengan su origen en el bosque, para incorporarle valor agregado, mediante su transformación. </w:t>
      </w:r>
      <w:r w:rsidRPr="009A27ED">
        <w:rPr>
          <w:rFonts w:ascii="Times New Roman" w:eastAsia="Times New Roman" w:hAnsi="Times New Roman"/>
          <w:sz w:val="24"/>
          <w:szCs w:val="22"/>
        </w:rPr>
        <w:t xml:space="preserve">Fuente: </w:t>
      </w:r>
      <w:r w:rsidRPr="009A27ED">
        <w:rPr>
          <w:rFonts w:ascii="Times New Roman" w:eastAsia="Times New Roman" w:hAnsi="Times New Roman"/>
          <w:sz w:val="24"/>
          <w:szCs w:val="22"/>
          <w:lang w:eastAsia="es-ES_tradnl"/>
        </w:rPr>
        <w:t xml:space="preserve">Reglamento Forestal Dominicano. </w:t>
      </w:r>
    </w:p>
    <w:p w14:paraId="3ED0834A" w14:textId="231F3A8B" w:rsidR="00947670" w:rsidRPr="009A27ED" w:rsidRDefault="00947670" w:rsidP="00256899">
      <w:pPr>
        <w:spacing w:before="120" w:after="0" w:line="360" w:lineRule="auto"/>
        <w:rPr>
          <w:szCs w:val="22"/>
          <w:lang w:eastAsia="es-ES_tradnl"/>
        </w:rPr>
      </w:pPr>
      <w:r w:rsidRPr="009A27ED">
        <w:rPr>
          <w:rFonts w:ascii="Times New Roman" w:eastAsia="Times New Roman" w:hAnsi="Times New Roman"/>
          <w:b/>
          <w:sz w:val="24"/>
          <w:szCs w:val="22"/>
          <w:lang w:eastAsia="es-ES_tradnl"/>
        </w:rPr>
        <w:t>Manejo forestal</w:t>
      </w:r>
      <w:r w:rsidRPr="009A27ED">
        <w:rPr>
          <w:rFonts w:ascii="Times New Roman" w:eastAsia="Times New Roman" w:hAnsi="Times New Roman"/>
          <w:sz w:val="24"/>
          <w:szCs w:val="22"/>
          <w:lang w:eastAsia="es-ES_tradnl"/>
        </w:rPr>
        <w:t xml:space="preserve">: </w:t>
      </w:r>
      <w:r w:rsidR="00A62B87" w:rsidRPr="009A27ED">
        <w:rPr>
          <w:rFonts w:ascii="Times New Roman" w:eastAsia="Times New Roman" w:hAnsi="Times New Roman"/>
          <w:sz w:val="24"/>
          <w:szCs w:val="22"/>
          <w:lang w:eastAsia="es-ES_tradnl"/>
        </w:rPr>
        <w:t>a</w:t>
      </w:r>
      <w:r w:rsidRPr="009A27ED">
        <w:rPr>
          <w:rFonts w:ascii="Times New Roman" w:eastAsia="Times New Roman" w:hAnsi="Times New Roman"/>
          <w:sz w:val="24"/>
          <w:szCs w:val="22"/>
          <w:lang w:eastAsia="es-ES_tradnl"/>
        </w:rPr>
        <w:t xml:space="preserve">ctividad que comprende operaciones de carácter administrativo, económico, jurídico, social, técnico y científico que se realiza para el adecuado establecimiento, manejo, conservación y el uso sostenible de los bosques. </w:t>
      </w:r>
      <w:r w:rsidRPr="009A27ED">
        <w:rPr>
          <w:rFonts w:ascii="Times New Roman" w:eastAsia="Times New Roman" w:hAnsi="Times New Roman"/>
          <w:sz w:val="24"/>
          <w:szCs w:val="22"/>
        </w:rPr>
        <w:t xml:space="preserve">Fuente: </w:t>
      </w:r>
      <w:r w:rsidRPr="009A27ED">
        <w:rPr>
          <w:rFonts w:ascii="Times New Roman" w:eastAsia="Times New Roman" w:hAnsi="Times New Roman"/>
          <w:sz w:val="24"/>
          <w:szCs w:val="22"/>
          <w:lang w:eastAsia="es-ES_tradnl"/>
        </w:rPr>
        <w:t>Reglamento Forestal Dominicano.</w:t>
      </w:r>
    </w:p>
    <w:p w14:paraId="0015AE95" w14:textId="175CB4EC" w:rsidR="001773BA" w:rsidRPr="009A27ED" w:rsidRDefault="001773BA" w:rsidP="00256899">
      <w:pPr>
        <w:spacing w:before="120" w:after="0" w:line="360" w:lineRule="auto"/>
        <w:rPr>
          <w:color w:val="000000" w:themeColor="text1"/>
          <w:szCs w:val="22"/>
        </w:rPr>
      </w:pPr>
      <w:r w:rsidRPr="009A27ED">
        <w:rPr>
          <w:rFonts w:ascii="Times New Roman" w:eastAsia="Times New Roman" w:hAnsi="Times New Roman"/>
          <w:b/>
          <w:sz w:val="24"/>
          <w:szCs w:val="22"/>
        </w:rPr>
        <w:t>Marco de Gestión Ambiental y Social (MGAS):</w:t>
      </w:r>
      <w:r w:rsidRPr="009A27ED">
        <w:rPr>
          <w:rFonts w:ascii="Times New Roman" w:eastAsia="Times New Roman" w:hAnsi="Times New Roman"/>
          <w:sz w:val="24"/>
          <w:szCs w:val="22"/>
        </w:rPr>
        <w:t xml:space="preserve"> </w:t>
      </w:r>
      <w:r w:rsidRPr="009A27ED">
        <w:rPr>
          <w:rFonts w:ascii="Times New Roman" w:eastAsia="Times New Roman" w:hAnsi="Times New Roman"/>
          <w:color w:val="000000" w:themeColor="text1"/>
          <w:sz w:val="24"/>
          <w:szCs w:val="22"/>
        </w:rPr>
        <w:t>es el instrumento operativo por el cual se establecen los principios, lineamientos y procedimientos para abordar, evitar y minimizar los riesgos e impactos adversos asociados a la implementación de proyectos, actividades, políticas o reglamentaciones asociados con la futura implementación de la Estrategia Nacional REDD+ y cumplir con los lineamientos normativos tanto nacionales como internacionales convenidos para REDD+.</w:t>
      </w:r>
    </w:p>
    <w:p w14:paraId="1BFB39BF" w14:textId="77777777" w:rsidR="001773BA" w:rsidRPr="009A27ED" w:rsidRDefault="001773BA" w:rsidP="001773BA">
      <w:pPr>
        <w:spacing w:before="120" w:after="0" w:line="360" w:lineRule="auto"/>
        <w:rPr>
          <w:szCs w:val="22"/>
        </w:rPr>
      </w:pPr>
      <w:r w:rsidRPr="009A27ED">
        <w:rPr>
          <w:rFonts w:ascii="Times New Roman" w:eastAsia="Times New Roman" w:hAnsi="Times New Roman"/>
          <w:b/>
          <w:color w:val="000000" w:themeColor="text1"/>
          <w:sz w:val="24"/>
          <w:szCs w:val="22"/>
          <w:lang w:eastAsia="zh-CN"/>
        </w:rPr>
        <w:t>Mecanismo de Quejas, Reclamos y Manejo de Conflictos (MQRC)</w:t>
      </w:r>
      <w:r w:rsidRPr="009A27ED">
        <w:rPr>
          <w:rFonts w:ascii="Times New Roman" w:eastAsia="Times New Roman" w:hAnsi="Times New Roman"/>
          <w:color w:val="000000" w:themeColor="text1"/>
          <w:sz w:val="24"/>
          <w:szCs w:val="22"/>
          <w:lang w:eastAsia="zh-CN"/>
        </w:rPr>
        <w:t xml:space="preserve">: es el proceso que debe seguirse para recibir, examinar, abordar, vigilar y notificar las reclamaciones, las inquietudes o los </w:t>
      </w:r>
      <w:r w:rsidRPr="009A27ED">
        <w:rPr>
          <w:rFonts w:ascii="Times New Roman" w:eastAsia="Times New Roman" w:hAnsi="Times New Roman"/>
          <w:color w:val="000000" w:themeColor="text1"/>
          <w:sz w:val="24"/>
          <w:szCs w:val="22"/>
          <w:lang w:eastAsia="zh-CN"/>
        </w:rPr>
        <w:lastRenderedPageBreak/>
        <w:t xml:space="preserve">comentarios presentados partes las afectadas </w:t>
      </w:r>
      <w:r w:rsidRPr="009A27ED">
        <w:rPr>
          <w:rFonts w:ascii="Times New Roman" w:eastAsia="Times New Roman" w:hAnsi="Times New Roman"/>
          <w:color w:val="212121"/>
          <w:sz w:val="24"/>
          <w:szCs w:val="22"/>
        </w:rPr>
        <w:t>como consecuencia de la implementación de REDD+. Para su implementación se creó el Sistema de Quejas, Reclamos y Manejo de Conflictos (SQRC), con el fin de sistematizar y lograr una gestión adecuada de la aplicación del MQRC.</w:t>
      </w:r>
    </w:p>
    <w:p w14:paraId="016404D0" w14:textId="78837DD1" w:rsidR="00947670" w:rsidRPr="009A27ED" w:rsidRDefault="00947670" w:rsidP="00256899">
      <w:pPr>
        <w:spacing w:before="120" w:after="0" w:line="360" w:lineRule="auto"/>
        <w:rPr>
          <w:szCs w:val="22"/>
        </w:rPr>
      </w:pPr>
      <w:r w:rsidRPr="009A27ED">
        <w:rPr>
          <w:rFonts w:ascii="Times New Roman" w:eastAsia="Times New Roman" w:hAnsi="Times New Roman"/>
          <w:b/>
          <w:sz w:val="24"/>
          <w:szCs w:val="22"/>
          <w:lang w:eastAsia="es-ES_tradnl"/>
        </w:rPr>
        <w:t>Mitigación:</w:t>
      </w:r>
      <w:r w:rsidRPr="009A27ED">
        <w:rPr>
          <w:rFonts w:ascii="Times New Roman" w:eastAsia="Times New Roman" w:hAnsi="Times New Roman"/>
          <w:sz w:val="24"/>
          <w:szCs w:val="22"/>
          <w:lang w:eastAsia="es-ES_tradnl"/>
        </w:rPr>
        <w:t xml:space="preserve"> </w:t>
      </w:r>
      <w:r w:rsidR="00A62B87" w:rsidRPr="009A27ED">
        <w:rPr>
          <w:rFonts w:ascii="Times New Roman" w:eastAsia="Times New Roman" w:hAnsi="Times New Roman"/>
          <w:sz w:val="24"/>
          <w:szCs w:val="22"/>
        </w:rPr>
        <w:t>m</w:t>
      </w:r>
      <w:r w:rsidRPr="009A27ED">
        <w:rPr>
          <w:rFonts w:ascii="Times New Roman" w:eastAsia="Times New Roman" w:hAnsi="Times New Roman"/>
          <w:sz w:val="24"/>
          <w:szCs w:val="22"/>
        </w:rPr>
        <w:t>itigación: planificación y ejecución de medidas de intervención dirigidas a reducir o disminuir el riesgo. Fuente: Ley 147-02 sobre Gestión de Riesgos.</w:t>
      </w:r>
    </w:p>
    <w:p w14:paraId="0A3D1EFF" w14:textId="77777777" w:rsidR="004266D5" w:rsidRPr="009A27ED" w:rsidRDefault="004266D5" w:rsidP="004266D5">
      <w:pPr>
        <w:spacing w:before="120" w:after="0" w:line="360" w:lineRule="auto"/>
        <w:rPr>
          <w:b/>
          <w:szCs w:val="22"/>
        </w:rPr>
      </w:pPr>
      <w:r w:rsidRPr="009A27ED">
        <w:rPr>
          <w:rFonts w:ascii="Times New Roman" w:eastAsia="Times New Roman" w:hAnsi="Times New Roman"/>
          <w:b/>
          <w:sz w:val="24"/>
          <w:szCs w:val="22"/>
        </w:rPr>
        <w:t xml:space="preserve">Opción Estratégica: </w:t>
      </w:r>
      <w:r w:rsidRPr="009A27ED">
        <w:rPr>
          <w:rFonts w:ascii="Times New Roman" w:eastAsia="Times New Roman" w:hAnsi="Times New Roman"/>
          <w:sz w:val="24"/>
          <w:szCs w:val="22"/>
        </w:rPr>
        <w:t>un conjunto de medidas de acción concordantes con la diversidad forestal y las distintas realidades locales del país, destinadas a enfrentar las causas de la deforestación y degradación de bosques, así como los motivos que impiden o interfieren negativamente en la ejecución de actividades de restauración, conservación, manejo sostenible, enriquecimiento y regeneración de los recursos forestales. Fuente: MGAS República Dominicana.</w:t>
      </w:r>
    </w:p>
    <w:p w14:paraId="104DA303" w14:textId="4824EE4A" w:rsidR="00947670" w:rsidRPr="009A27ED" w:rsidRDefault="00947670" w:rsidP="00256899">
      <w:pPr>
        <w:spacing w:before="120" w:after="0" w:line="360" w:lineRule="auto"/>
        <w:rPr>
          <w:szCs w:val="22"/>
          <w:lang w:eastAsia="es-ES_tradnl"/>
        </w:rPr>
      </w:pPr>
      <w:r w:rsidRPr="009A27ED">
        <w:rPr>
          <w:rFonts w:ascii="Times New Roman" w:eastAsia="Times New Roman" w:hAnsi="Times New Roman"/>
          <w:b/>
          <w:sz w:val="24"/>
          <w:szCs w:val="22"/>
          <w:lang w:eastAsia="es-ES_tradnl"/>
        </w:rPr>
        <w:t>Ordenamiento del territorio:</w:t>
      </w:r>
      <w:r w:rsidRPr="009A27ED">
        <w:rPr>
          <w:rFonts w:ascii="Times New Roman" w:eastAsia="Times New Roman" w:hAnsi="Times New Roman"/>
          <w:sz w:val="24"/>
          <w:szCs w:val="22"/>
          <w:lang w:eastAsia="es-ES_tradnl"/>
        </w:rPr>
        <w:t xml:space="preserve"> </w:t>
      </w:r>
      <w:r w:rsidR="00A62B87" w:rsidRPr="009A27ED">
        <w:rPr>
          <w:rFonts w:ascii="Times New Roman" w:eastAsia="Times New Roman" w:hAnsi="Times New Roman"/>
          <w:sz w:val="24"/>
          <w:szCs w:val="22"/>
          <w:lang w:eastAsia="es-ES_tradnl"/>
        </w:rPr>
        <w:t>p</w:t>
      </w:r>
      <w:r w:rsidRPr="009A27ED">
        <w:rPr>
          <w:rFonts w:ascii="Times New Roman" w:eastAsia="Times New Roman" w:hAnsi="Times New Roman"/>
          <w:sz w:val="24"/>
          <w:szCs w:val="22"/>
          <w:lang w:eastAsia="es-ES_tradnl"/>
        </w:rPr>
        <w:t xml:space="preserve">roceso de planeamiento, evaluación y control dirigido a identificar y programar actividades humanas compatibles con la conservación, el uso y manejo de los Recursos Naturales en el Territorio Nacional, respetando la capacidad de carga del entorno natural, para preservar y restaurar el equilibrio ecológico y proteger el medio ambiente, así como garantizar el bienestar de la población. </w:t>
      </w:r>
      <w:r w:rsidRPr="009A27ED">
        <w:rPr>
          <w:rFonts w:ascii="Times New Roman" w:eastAsia="Times New Roman" w:hAnsi="Times New Roman"/>
          <w:sz w:val="24"/>
          <w:szCs w:val="22"/>
        </w:rPr>
        <w:t xml:space="preserve">Fuente: </w:t>
      </w:r>
      <w:r w:rsidRPr="009A27ED">
        <w:rPr>
          <w:rFonts w:ascii="Times New Roman" w:eastAsia="Times New Roman" w:hAnsi="Times New Roman"/>
          <w:sz w:val="24"/>
          <w:szCs w:val="22"/>
          <w:lang w:eastAsia="es-ES_tradnl"/>
        </w:rPr>
        <w:t>Ley General 64-00 de Medio Ambiente y Recursos Naturales.</w:t>
      </w:r>
    </w:p>
    <w:p w14:paraId="3A7FB832" w14:textId="77777777" w:rsidR="004266D5" w:rsidRPr="009A27ED" w:rsidRDefault="004266D5" w:rsidP="004266D5">
      <w:pPr>
        <w:spacing w:before="120" w:after="0" w:line="360" w:lineRule="auto"/>
        <w:rPr>
          <w:szCs w:val="22"/>
          <w:lang w:eastAsia="es-ES_tradnl"/>
        </w:rPr>
      </w:pPr>
      <w:r w:rsidRPr="009A27ED">
        <w:rPr>
          <w:rFonts w:ascii="Times New Roman" w:eastAsia="Times New Roman" w:hAnsi="Times New Roman"/>
          <w:b/>
          <w:sz w:val="24"/>
          <w:szCs w:val="22"/>
          <w:lang w:eastAsia="es-ES_tradnl"/>
        </w:rPr>
        <w:t>Patrimonio forestal del Estado:</w:t>
      </w:r>
      <w:r w:rsidRPr="009A27ED">
        <w:rPr>
          <w:rFonts w:ascii="Times New Roman" w:eastAsia="Times New Roman" w:hAnsi="Times New Roman"/>
          <w:sz w:val="24"/>
          <w:szCs w:val="22"/>
          <w:lang w:eastAsia="es-ES_tradnl"/>
        </w:rPr>
        <w:t xml:space="preserve"> bosques y terrenos de aptitud forestal que de conformidad con la legislación vigente son propiedad del Estado. Fuente: Reglamento Forestal Dominicano.</w:t>
      </w:r>
    </w:p>
    <w:p w14:paraId="1E57CFA9" w14:textId="70B811FB" w:rsidR="00947670" w:rsidRPr="009A27ED" w:rsidRDefault="00947670" w:rsidP="00256899">
      <w:pPr>
        <w:spacing w:before="120" w:after="0" w:line="360" w:lineRule="auto"/>
        <w:rPr>
          <w:szCs w:val="22"/>
        </w:rPr>
      </w:pPr>
      <w:r w:rsidRPr="009A27ED">
        <w:rPr>
          <w:rFonts w:ascii="Times New Roman" w:eastAsia="Times New Roman" w:hAnsi="Times New Roman"/>
          <w:b/>
          <w:sz w:val="24"/>
          <w:szCs w:val="22"/>
        </w:rPr>
        <w:t>Plan de manejo</w:t>
      </w:r>
      <w:r w:rsidRPr="009A27ED">
        <w:rPr>
          <w:rFonts w:ascii="Times New Roman" w:eastAsia="Times New Roman" w:hAnsi="Times New Roman"/>
          <w:sz w:val="24"/>
          <w:szCs w:val="22"/>
        </w:rPr>
        <w:t xml:space="preserve">: </w:t>
      </w:r>
      <w:r w:rsidR="00A62B87" w:rsidRPr="009A27ED">
        <w:rPr>
          <w:rFonts w:ascii="Times New Roman" w:eastAsia="Times New Roman" w:hAnsi="Times New Roman"/>
          <w:sz w:val="24"/>
          <w:szCs w:val="22"/>
        </w:rPr>
        <w:t>e</w:t>
      </w:r>
      <w:r w:rsidRPr="009A27ED">
        <w:rPr>
          <w:rFonts w:ascii="Times New Roman" w:eastAsia="Times New Roman" w:hAnsi="Times New Roman"/>
          <w:sz w:val="24"/>
          <w:szCs w:val="22"/>
        </w:rPr>
        <w:t xml:space="preserve">s un documento técnico y normativo que contiene el conjunto de decisiones sobre un área protegida en las que, con fundamento estrictamente basado en el conocimiento científico y en la experiencia de las aplicaciones técnicas, establece prohibiciones y autorizaciones específicas y norma las actividades que son permitidas en las áreas protegidas, indicando en detalle la forma y los sitios exactos donde es posible realizar estas actividades. Fuente: Ley Sectorial de Áreas Protegidas, 202-04. </w:t>
      </w:r>
    </w:p>
    <w:p w14:paraId="3628205B" w14:textId="6096C48A" w:rsidR="00947670" w:rsidRPr="009A27ED" w:rsidRDefault="00947670" w:rsidP="00256899">
      <w:pPr>
        <w:spacing w:before="120" w:after="0" w:line="360" w:lineRule="auto"/>
        <w:rPr>
          <w:szCs w:val="22"/>
          <w:lang w:eastAsia="es-ES_tradnl"/>
        </w:rPr>
      </w:pPr>
      <w:r w:rsidRPr="009A27ED">
        <w:rPr>
          <w:rFonts w:ascii="Times New Roman" w:eastAsia="Times New Roman" w:hAnsi="Times New Roman"/>
          <w:b/>
          <w:sz w:val="24"/>
          <w:szCs w:val="22"/>
          <w:lang w:eastAsia="es-ES_tradnl"/>
        </w:rPr>
        <w:t>Plan de manejo forestal:</w:t>
      </w:r>
      <w:r w:rsidRPr="009A27ED">
        <w:rPr>
          <w:rFonts w:ascii="Times New Roman" w:eastAsia="Times New Roman" w:hAnsi="Times New Roman"/>
          <w:sz w:val="24"/>
          <w:szCs w:val="22"/>
          <w:lang w:eastAsia="es-ES_tradnl"/>
        </w:rPr>
        <w:t xml:space="preserve"> </w:t>
      </w:r>
      <w:r w:rsidR="00A62B87" w:rsidRPr="009A27ED">
        <w:rPr>
          <w:rFonts w:ascii="Times New Roman" w:eastAsia="Times New Roman" w:hAnsi="Times New Roman"/>
          <w:sz w:val="24"/>
          <w:szCs w:val="22"/>
          <w:lang w:eastAsia="es-ES_tradnl"/>
        </w:rPr>
        <w:t>e</w:t>
      </w:r>
      <w:r w:rsidRPr="009A27ED">
        <w:rPr>
          <w:rFonts w:ascii="Times New Roman" w:eastAsia="Times New Roman" w:hAnsi="Times New Roman"/>
          <w:sz w:val="24"/>
          <w:szCs w:val="22"/>
          <w:lang w:eastAsia="es-ES_tradnl"/>
        </w:rPr>
        <w:t>s el documento de planificación que contiene el conjunto de acciones y procedimientos que tiene por objeto el ordenamiento de un predio para el logro del manejo sostenible, y que incluye las actividades de cultivo, protección, conservación, restauración y aprovechamiento de los recursos, de tal manera que se respete la integridad funcional y las capacidades de carga de los ecosistemas de los que forma parte. Fuente: Reglamento Forestal Dominicano.</w:t>
      </w:r>
    </w:p>
    <w:p w14:paraId="65019020" w14:textId="12FED3CD" w:rsidR="00947670" w:rsidRPr="009A27ED" w:rsidRDefault="00947670" w:rsidP="00256899">
      <w:pPr>
        <w:spacing w:before="120" w:after="0" w:line="360" w:lineRule="auto"/>
        <w:rPr>
          <w:szCs w:val="22"/>
          <w:lang w:eastAsia="es-ES_tradnl"/>
        </w:rPr>
      </w:pPr>
      <w:r w:rsidRPr="009A27ED">
        <w:rPr>
          <w:rFonts w:ascii="Times New Roman" w:eastAsia="Times New Roman" w:hAnsi="Times New Roman"/>
          <w:b/>
          <w:sz w:val="24"/>
          <w:szCs w:val="22"/>
          <w:lang w:eastAsia="es-ES_tradnl"/>
        </w:rPr>
        <w:lastRenderedPageBreak/>
        <w:t>Plantaciones forestales:</w:t>
      </w:r>
      <w:r w:rsidRPr="009A27ED">
        <w:rPr>
          <w:rFonts w:ascii="Times New Roman" w:eastAsia="Times New Roman" w:hAnsi="Times New Roman"/>
          <w:sz w:val="24"/>
          <w:szCs w:val="22"/>
          <w:lang w:eastAsia="es-ES_tradnl"/>
        </w:rPr>
        <w:t xml:space="preserve"> </w:t>
      </w:r>
      <w:r w:rsidR="00A62B87" w:rsidRPr="009A27ED">
        <w:rPr>
          <w:rFonts w:ascii="Times New Roman" w:eastAsia="Times New Roman" w:hAnsi="Times New Roman"/>
          <w:sz w:val="24"/>
          <w:szCs w:val="22"/>
          <w:lang w:eastAsia="es-ES_tradnl"/>
        </w:rPr>
        <w:t>s</w:t>
      </w:r>
      <w:r w:rsidRPr="009A27ED">
        <w:rPr>
          <w:rFonts w:ascii="Times New Roman" w:eastAsia="Times New Roman" w:hAnsi="Times New Roman"/>
          <w:sz w:val="24"/>
          <w:szCs w:val="22"/>
          <w:lang w:eastAsia="es-ES_tradnl"/>
        </w:rPr>
        <w:t>on áreas cubiertas de especies forestales plantadas y las cuales han superado la etapa de establecimiento. Las plantaciones forestales pueden convertirse en bosques plantados, bosques mixtos, o simplemente en hileras, bloques o cualquier dimensión superficial con árboles plantados. Fuente: Reglamento Forestal Dominicano.</w:t>
      </w:r>
    </w:p>
    <w:p w14:paraId="767851EA" w14:textId="55102801" w:rsidR="00947670" w:rsidRPr="009A27ED" w:rsidRDefault="00947670" w:rsidP="00256899">
      <w:pPr>
        <w:spacing w:before="120" w:after="0" w:line="360" w:lineRule="auto"/>
        <w:rPr>
          <w:szCs w:val="22"/>
          <w:lang w:eastAsia="es-ES_tradnl"/>
        </w:rPr>
      </w:pPr>
      <w:r w:rsidRPr="009A27ED">
        <w:rPr>
          <w:rFonts w:ascii="Times New Roman" w:eastAsia="Times New Roman" w:hAnsi="Times New Roman"/>
          <w:b/>
          <w:sz w:val="24"/>
          <w:szCs w:val="22"/>
          <w:lang w:eastAsia="es-ES_tradnl"/>
        </w:rPr>
        <w:t>Producto forestal:</w:t>
      </w:r>
      <w:r w:rsidRPr="009A27ED">
        <w:rPr>
          <w:rFonts w:ascii="Times New Roman" w:eastAsia="Times New Roman" w:hAnsi="Times New Roman"/>
          <w:sz w:val="24"/>
          <w:szCs w:val="22"/>
          <w:lang w:eastAsia="es-ES_tradnl"/>
        </w:rPr>
        <w:t xml:space="preserve"> </w:t>
      </w:r>
      <w:r w:rsidR="00A62B87" w:rsidRPr="009A27ED">
        <w:rPr>
          <w:rFonts w:ascii="Times New Roman" w:eastAsia="Times New Roman" w:hAnsi="Times New Roman"/>
          <w:sz w:val="24"/>
          <w:szCs w:val="22"/>
          <w:lang w:eastAsia="es-ES_tradnl"/>
        </w:rPr>
        <w:t>e</w:t>
      </w:r>
      <w:r w:rsidRPr="009A27ED">
        <w:rPr>
          <w:rFonts w:ascii="Times New Roman" w:eastAsia="Times New Roman" w:hAnsi="Times New Roman"/>
          <w:sz w:val="24"/>
          <w:szCs w:val="22"/>
          <w:lang w:eastAsia="es-ES_tradnl"/>
        </w:rPr>
        <w:t>s todo material extraído del bosque, y cualquier resultante (incluyendo las externalidades) de la actividad desarrollada en los ecosistemas forestales. Fuente: Reglamento Forestal Dominicano.</w:t>
      </w:r>
    </w:p>
    <w:p w14:paraId="046D7BA0" w14:textId="6B080FF1" w:rsidR="00947670" w:rsidRPr="009A27ED" w:rsidRDefault="00947670" w:rsidP="00256899">
      <w:pPr>
        <w:spacing w:before="120" w:after="0" w:line="360" w:lineRule="auto"/>
        <w:rPr>
          <w:szCs w:val="22"/>
          <w:lang w:eastAsia="es-ES_tradnl"/>
        </w:rPr>
      </w:pPr>
      <w:r w:rsidRPr="009A27ED">
        <w:rPr>
          <w:rFonts w:ascii="Times New Roman" w:eastAsia="Times New Roman" w:hAnsi="Times New Roman"/>
          <w:b/>
          <w:sz w:val="24"/>
          <w:szCs w:val="22"/>
          <w:lang w:eastAsia="es-ES_tradnl"/>
        </w:rPr>
        <w:t>Recursos forestales</w:t>
      </w:r>
      <w:r w:rsidRPr="009A27ED">
        <w:rPr>
          <w:rFonts w:ascii="Times New Roman" w:eastAsia="Times New Roman" w:hAnsi="Times New Roman"/>
          <w:sz w:val="24"/>
          <w:szCs w:val="22"/>
          <w:lang w:eastAsia="es-ES_tradnl"/>
        </w:rPr>
        <w:t xml:space="preserve">: </w:t>
      </w:r>
      <w:r w:rsidR="00A62B87" w:rsidRPr="009A27ED">
        <w:rPr>
          <w:rFonts w:ascii="Times New Roman" w:eastAsia="Times New Roman" w:hAnsi="Times New Roman"/>
          <w:sz w:val="24"/>
          <w:szCs w:val="22"/>
          <w:lang w:eastAsia="es-ES_tradnl"/>
        </w:rPr>
        <w:t>s</w:t>
      </w:r>
      <w:r w:rsidRPr="009A27ED">
        <w:rPr>
          <w:rFonts w:ascii="Times New Roman" w:eastAsia="Times New Roman" w:hAnsi="Times New Roman"/>
          <w:sz w:val="24"/>
          <w:szCs w:val="22"/>
          <w:lang w:eastAsia="es-ES_tradnl"/>
        </w:rPr>
        <w:t>on bosques, plantaciones y terrenos forestales. Fuente: Reglamento Forestal Dominicano.</w:t>
      </w:r>
    </w:p>
    <w:p w14:paraId="7D8CFEBB" w14:textId="2F587B53" w:rsidR="00947670" w:rsidRPr="009A27ED" w:rsidRDefault="00947670" w:rsidP="00256899">
      <w:pPr>
        <w:spacing w:before="120" w:after="0" w:line="360" w:lineRule="auto"/>
        <w:rPr>
          <w:b/>
          <w:szCs w:val="22"/>
          <w:lang w:eastAsia="es-ES_tradnl"/>
        </w:rPr>
      </w:pPr>
      <w:r w:rsidRPr="009A27ED">
        <w:rPr>
          <w:rFonts w:ascii="Times New Roman" w:eastAsia="Times New Roman" w:hAnsi="Times New Roman"/>
          <w:b/>
          <w:sz w:val="24"/>
          <w:szCs w:val="22"/>
          <w:lang w:eastAsia="es-ES_tradnl"/>
        </w:rPr>
        <w:t>Reforestación:</w:t>
      </w:r>
      <w:r w:rsidRPr="009A27ED">
        <w:rPr>
          <w:rFonts w:ascii="Times New Roman" w:eastAsia="Times New Roman" w:hAnsi="Times New Roman"/>
          <w:sz w:val="24"/>
          <w:szCs w:val="22"/>
          <w:lang w:eastAsia="es-ES_tradnl"/>
        </w:rPr>
        <w:t xml:space="preserve"> </w:t>
      </w:r>
      <w:r w:rsidR="00A62B87" w:rsidRPr="009A27ED">
        <w:rPr>
          <w:rFonts w:ascii="Times New Roman" w:eastAsia="Times New Roman" w:hAnsi="Times New Roman"/>
          <w:sz w:val="24"/>
          <w:szCs w:val="22"/>
          <w:lang w:eastAsia="es-ES_tradnl"/>
        </w:rPr>
        <w:t>l</w:t>
      </w:r>
      <w:r w:rsidRPr="009A27ED">
        <w:rPr>
          <w:rFonts w:ascii="Times New Roman" w:eastAsia="Times New Roman" w:hAnsi="Times New Roman"/>
          <w:sz w:val="24"/>
          <w:szCs w:val="22"/>
          <w:lang w:eastAsia="es-ES_tradnl"/>
        </w:rPr>
        <w:t>a acción de poblar con especies arbóreas superficies que hayan sido objeto de aprovechamientos previos o arrasadas por incendios u otras causas. Fuente: Reglamento Forestal Dominicano.</w:t>
      </w:r>
    </w:p>
    <w:p w14:paraId="08B359CF" w14:textId="7794448C" w:rsidR="00947670" w:rsidRPr="009A27ED" w:rsidRDefault="00947670" w:rsidP="00256899">
      <w:pPr>
        <w:spacing w:before="120" w:after="0" w:line="360" w:lineRule="auto"/>
        <w:rPr>
          <w:szCs w:val="22"/>
        </w:rPr>
      </w:pPr>
      <w:r w:rsidRPr="009A27ED">
        <w:rPr>
          <w:rFonts w:ascii="Times New Roman" w:eastAsia="Times New Roman" w:hAnsi="Times New Roman"/>
          <w:b/>
          <w:sz w:val="24"/>
          <w:szCs w:val="22"/>
        </w:rPr>
        <w:t>Riesgo</w:t>
      </w:r>
      <w:r w:rsidRPr="009A27ED">
        <w:rPr>
          <w:rFonts w:ascii="Times New Roman" w:eastAsia="Times New Roman" w:hAnsi="Times New Roman"/>
          <w:sz w:val="24"/>
          <w:szCs w:val="22"/>
        </w:rPr>
        <w:t xml:space="preserve">: </w:t>
      </w:r>
      <w:r w:rsidR="00A62B87" w:rsidRPr="009A27ED">
        <w:rPr>
          <w:rFonts w:ascii="Times New Roman" w:eastAsia="Times New Roman" w:hAnsi="Times New Roman"/>
          <w:sz w:val="24"/>
          <w:szCs w:val="22"/>
        </w:rPr>
        <w:t>e</w:t>
      </w:r>
      <w:r w:rsidRPr="009A27ED">
        <w:rPr>
          <w:rFonts w:ascii="Times New Roman" w:eastAsia="Times New Roman" w:hAnsi="Times New Roman"/>
          <w:sz w:val="24"/>
          <w:szCs w:val="22"/>
        </w:rPr>
        <w:t xml:space="preserve">s la probabilidad de que se presenten desfavorables consecuencias económicas, sociales o ambientales en un sitio particular y durante un tiempo de exposición determinado. Se obtiene de relacionar la amenaza con la vulnerabilidad de los elementos expuestos. Fuente: Ley 147-02 sobre Gestión de Riesgos. </w:t>
      </w:r>
    </w:p>
    <w:p w14:paraId="130CBF83" w14:textId="3C48513D" w:rsidR="004266D5" w:rsidRPr="009A27ED" w:rsidRDefault="00947670" w:rsidP="00256899">
      <w:pPr>
        <w:spacing w:before="120" w:after="0" w:line="360" w:lineRule="auto"/>
        <w:rPr>
          <w:szCs w:val="22"/>
          <w:lang w:eastAsia="es-ES_tradnl"/>
        </w:rPr>
      </w:pPr>
      <w:r w:rsidRPr="009A27ED">
        <w:rPr>
          <w:rFonts w:ascii="Times New Roman" w:eastAsia="Times New Roman" w:hAnsi="Times New Roman"/>
          <w:b/>
          <w:sz w:val="24"/>
          <w:szCs w:val="22"/>
        </w:rPr>
        <w:t>Restauración ecológica:</w:t>
      </w:r>
      <w:r w:rsidRPr="009A27ED">
        <w:rPr>
          <w:rFonts w:ascii="Times New Roman" w:eastAsia="Times New Roman" w:hAnsi="Times New Roman"/>
          <w:sz w:val="24"/>
          <w:szCs w:val="22"/>
        </w:rPr>
        <w:t xml:space="preserve"> </w:t>
      </w:r>
      <w:r w:rsidR="00A62B87" w:rsidRPr="009A27ED">
        <w:rPr>
          <w:rFonts w:ascii="Times New Roman" w:eastAsia="Times New Roman" w:hAnsi="Times New Roman"/>
          <w:sz w:val="24"/>
          <w:szCs w:val="22"/>
        </w:rPr>
        <w:t>t</w:t>
      </w:r>
      <w:r w:rsidRPr="009A27ED">
        <w:rPr>
          <w:rFonts w:ascii="Times New Roman" w:eastAsia="Times New Roman" w:hAnsi="Times New Roman"/>
          <w:sz w:val="24"/>
          <w:szCs w:val="22"/>
        </w:rPr>
        <w:t xml:space="preserve">oda actividad dirigida a recuperar las características estructurales y funcionales de ecosistemas originales de un área determinada, con fines de conservación. </w:t>
      </w:r>
      <w:r w:rsidRPr="009A27ED">
        <w:rPr>
          <w:rFonts w:ascii="Times New Roman" w:eastAsia="Times New Roman" w:hAnsi="Times New Roman"/>
          <w:sz w:val="24"/>
          <w:szCs w:val="22"/>
          <w:lang w:eastAsia="es-ES_tradnl"/>
        </w:rPr>
        <w:t>Fuente: Guía Metodológica para la Elaboración y/o Actualización de Planes de Manejo de Áreas Protegidas de República Dominicana.</w:t>
      </w:r>
    </w:p>
    <w:p w14:paraId="59D4B8E4" w14:textId="418405F1" w:rsidR="004266D5" w:rsidRPr="009A27ED" w:rsidRDefault="004266D5" w:rsidP="004266D5">
      <w:pPr>
        <w:spacing w:before="120" w:after="0" w:line="360" w:lineRule="auto"/>
        <w:rPr>
          <w:szCs w:val="22"/>
          <w:lang w:eastAsia="es-ES_tradnl"/>
        </w:rPr>
      </w:pPr>
      <w:r w:rsidRPr="009A27ED">
        <w:rPr>
          <w:rFonts w:ascii="Times New Roman" w:eastAsia="Times New Roman" w:hAnsi="Times New Roman"/>
          <w:b/>
          <w:sz w:val="24"/>
          <w:szCs w:val="22"/>
          <w:lang w:eastAsia="es-ES_tradnl"/>
        </w:rPr>
        <w:t>Servicios ambientales:</w:t>
      </w:r>
      <w:r w:rsidRPr="009A27ED">
        <w:rPr>
          <w:rFonts w:ascii="Times New Roman" w:eastAsia="Times New Roman" w:hAnsi="Times New Roman"/>
          <w:sz w:val="24"/>
          <w:szCs w:val="22"/>
          <w:lang w:eastAsia="es-ES_tradnl"/>
        </w:rPr>
        <w:t xml:space="preserve"> los que brindan el bosque y las plantaciones forestales e inciden directamente en la protección y el mejoramiento del medio ambiente. Entre los cuales están los siguientes: Protección del suelo, regulación del ciclo hidrológico, protección de la biodiversidad, manutención del paisaje y captura de carbono. </w:t>
      </w:r>
      <w:r w:rsidRPr="009A27ED">
        <w:rPr>
          <w:rFonts w:ascii="Times New Roman" w:eastAsia="Times New Roman" w:hAnsi="Times New Roman"/>
          <w:sz w:val="24"/>
          <w:szCs w:val="22"/>
        </w:rPr>
        <w:t xml:space="preserve">Fuente: </w:t>
      </w:r>
      <w:r w:rsidRPr="009A27ED">
        <w:rPr>
          <w:rFonts w:ascii="Times New Roman" w:eastAsia="Times New Roman" w:hAnsi="Times New Roman"/>
          <w:sz w:val="24"/>
          <w:szCs w:val="22"/>
          <w:lang w:eastAsia="es-ES_tradnl"/>
        </w:rPr>
        <w:t>Reglamento Forestal Dominicano.</w:t>
      </w:r>
    </w:p>
    <w:p w14:paraId="66E88C5D" w14:textId="77777777" w:rsidR="004266D5" w:rsidRPr="009A27ED" w:rsidRDefault="004266D5" w:rsidP="004266D5">
      <w:pPr>
        <w:spacing w:before="120" w:after="0" w:line="360" w:lineRule="auto"/>
        <w:rPr>
          <w:szCs w:val="22"/>
        </w:rPr>
      </w:pPr>
      <w:r w:rsidRPr="009A27ED">
        <w:rPr>
          <w:rFonts w:ascii="Times New Roman" w:eastAsia="Times New Roman" w:hAnsi="Times New Roman"/>
          <w:b/>
          <w:sz w:val="24"/>
          <w:szCs w:val="22"/>
          <w:lang w:eastAsia="es-ES_tradnl"/>
        </w:rPr>
        <w:t>Sistema agroforestal:</w:t>
      </w:r>
      <w:r w:rsidRPr="009A27ED">
        <w:rPr>
          <w:rFonts w:ascii="Times New Roman" w:eastAsia="Times New Roman" w:hAnsi="Times New Roman"/>
          <w:sz w:val="24"/>
          <w:szCs w:val="22"/>
          <w:lang w:eastAsia="es-ES_tradnl"/>
        </w:rPr>
        <w:t xml:space="preserve"> es la forma de uso de la tierra que implica la combinación organizada en tiempo y espacio de especies forestales con especies agrícolas y/o pecuarias. Fuente: Reglamento Forestal Dominicano.</w:t>
      </w:r>
    </w:p>
    <w:p w14:paraId="113A52C0" w14:textId="50C5EBE0" w:rsidR="004266D5" w:rsidRPr="009A27ED" w:rsidRDefault="004266D5" w:rsidP="004266D5">
      <w:pPr>
        <w:spacing w:before="120" w:after="0" w:line="360" w:lineRule="auto"/>
        <w:rPr>
          <w:szCs w:val="22"/>
        </w:rPr>
      </w:pPr>
      <w:r w:rsidRPr="009A27ED">
        <w:rPr>
          <w:rFonts w:ascii="Times New Roman" w:eastAsia="Times New Roman" w:hAnsi="Times New Roman"/>
          <w:b/>
          <w:sz w:val="24"/>
          <w:szCs w:val="22"/>
        </w:rPr>
        <w:lastRenderedPageBreak/>
        <w:t>Sistema de Información de Salvaguardas (SIS):</w:t>
      </w:r>
      <w:r w:rsidRPr="009A27ED">
        <w:rPr>
          <w:rFonts w:ascii="Times New Roman" w:eastAsia="Times New Roman" w:hAnsi="Times New Roman"/>
          <w:sz w:val="24"/>
          <w:szCs w:val="22"/>
        </w:rPr>
        <w:t xml:space="preserve"> </w:t>
      </w:r>
      <w:r w:rsidRPr="009A27ED">
        <w:rPr>
          <w:rFonts w:ascii="Times New Roman" w:eastAsia="Times New Roman" w:hAnsi="Times New Roman" w:cs="Arial"/>
          <w:color w:val="212121"/>
          <w:sz w:val="24"/>
          <w:szCs w:val="22"/>
          <w:shd w:val="clear" w:color="auto" w:fill="FFFFFF"/>
        </w:rPr>
        <w:t>este sistema puede entenderse como los acuerdos institucionales nacionales y los procesos asociados, establecidos para proporcionar información sobre cómo se están abordando y respetando las salvaguardas en un país, a lo largo de la implementación de las intervenciones REDD+.</w:t>
      </w:r>
      <w:r w:rsidRPr="009A27ED">
        <w:rPr>
          <w:rFonts w:ascii="Times New Roman" w:eastAsia="Times New Roman" w:hAnsi="Times New Roman"/>
          <w:sz w:val="24"/>
          <w:szCs w:val="22"/>
        </w:rPr>
        <w:t xml:space="preserve"> Fuente: SIS República Dominicana.</w:t>
      </w:r>
    </w:p>
    <w:p w14:paraId="5C50596F" w14:textId="161BD803" w:rsidR="00947670" w:rsidRPr="009A27ED" w:rsidRDefault="00947670" w:rsidP="00256899">
      <w:pPr>
        <w:spacing w:before="120" w:after="0" w:line="360" w:lineRule="auto"/>
        <w:rPr>
          <w:szCs w:val="22"/>
        </w:rPr>
      </w:pPr>
      <w:r w:rsidRPr="009A27ED">
        <w:rPr>
          <w:rFonts w:ascii="Times New Roman" w:eastAsia="Times New Roman" w:hAnsi="Times New Roman"/>
          <w:b/>
          <w:sz w:val="24"/>
          <w:szCs w:val="22"/>
        </w:rPr>
        <w:t>Sistema Nacional de Áreas Protegidas</w:t>
      </w:r>
      <w:r w:rsidRPr="009A27ED">
        <w:rPr>
          <w:rFonts w:ascii="Times New Roman" w:eastAsia="Times New Roman" w:hAnsi="Times New Roman"/>
          <w:sz w:val="24"/>
          <w:szCs w:val="22"/>
        </w:rPr>
        <w:t xml:space="preserve">: </w:t>
      </w:r>
      <w:r w:rsidR="00A62B87" w:rsidRPr="009A27ED">
        <w:rPr>
          <w:rFonts w:ascii="Times New Roman" w:eastAsia="Times New Roman" w:hAnsi="Times New Roman"/>
          <w:sz w:val="24"/>
          <w:szCs w:val="22"/>
        </w:rPr>
        <w:t>e</w:t>
      </w:r>
      <w:r w:rsidRPr="009A27ED">
        <w:rPr>
          <w:rFonts w:ascii="Times New Roman" w:eastAsia="Times New Roman" w:hAnsi="Times New Roman"/>
          <w:sz w:val="24"/>
          <w:szCs w:val="22"/>
        </w:rPr>
        <w:t xml:space="preserve">s el conjunto armonizado de unidades naturales coordinadas dentro de sus propias categorías de manejo, las cuales poseen objetivos, características y tipos de manejo muy precisos y especializados, y diferentes entre ellas, y que, al considerarlas y administrarlas como conjunto, el Estado debe lograr que el sistema funcione como un solo ente. Ley Sectorial de Áreas protegidas, No. 202-04. ARTÍCULO 6.- El Sistema Nacional de Áreas Protegidas es el conjunto de espacios terrestres y marinos del territorio nacional que han sido destinados al cumplimiento de los objetivos de conservación establecidos en la presente ley. Fuente: </w:t>
      </w:r>
      <w:r w:rsidRPr="009A27ED">
        <w:rPr>
          <w:rFonts w:ascii="Times New Roman" w:eastAsia="Times New Roman" w:hAnsi="Times New Roman"/>
          <w:sz w:val="24"/>
          <w:szCs w:val="22"/>
          <w:lang w:eastAsia="es-ES_tradnl"/>
        </w:rPr>
        <w:t>Guía Metodológica para la Elaboración y/o Actualización de Planes de Manejo de Áreas Protegidas de República Dominicana.</w:t>
      </w:r>
    </w:p>
    <w:p w14:paraId="16C44890" w14:textId="3AE16FEB" w:rsidR="00947670" w:rsidRPr="009A27ED" w:rsidRDefault="00947670" w:rsidP="00256899">
      <w:pPr>
        <w:spacing w:before="120" w:after="0" w:line="360" w:lineRule="auto"/>
        <w:rPr>
          <w:szCs w:val="22"/>
        </w:rPr>
      </w:pPr>
      <w:r w:rsidRPr="009A27ED">
        <w:rPr>
          <w:rFonts w:ascii="Times New Roman" w:eastAsia="Times New Roman" w:hAnsi="Times New Roman"/>
          <w:b/>
          <w:sz w:val="24"/>
          <w:szCs w:val="22"/>
        </w:rPr>
        <w:t>Uso sostenible:</w:t>
      </w:r>
      <w:r w:rsidRPr="009A27ED">
        <w:rPr>
          <w:rFonts w:ascii="Times New Roman" w:eastAsia="Times New Roman" w:hAnsi="Times New Roman"/>
          <w:sz w:val="24"/>
          <w:szCs w:val="22"/>
        </w:rPr>
        <w:t xml:space="preserve"> </w:t>
      </w:r>
      <w:r w:rsidR="00A62B87" w:rsidRPr="009A27ED">
        <w:rPr>
          <w:rFonts w:ascii="Times New Roman" w:eastAsia="Times New Roman" w:hAnsi="Times New Roman"/>
          <w:sz w:val="24"/>
          <w:szCs w:val="22"/>
        </w:rPr>
        <w:t>e</w:t>
      </w:r>
      <w:r w:rsidRPr="009A27ED">
        <w:rPr>
          <w:rFonts w:ascii="Times New Roman" w:eastAsia="Times New Roman" w:hAnsi="Times New Roman"/>
          <w:sz w:val="24"/>
          <w:szCs w:val="22"/>
        </w:rPr>
        <w:t>s aquel uso que busca la mejor combinación de los factores: 1) tierra y sus recursos naturales, 2) capital y 3) trabajo, para la realización de actividades de producción o protección que generen ingresos y ganancias netas, ambientales, sociales y económicas, en el largo plazo y de una manera permanente, de manera que su utilización actual no perjudique su utilización por las futuras generaciones. Fuente: Ley Sectorial de Áreas Protegidas, 202-04.</w:t>
      </w:r>
    </w:p>
    <w:p w14:paraId="11B1E46D" w14:textId="758F53B9" w:rsidR="00947670" w:rsidRPr="009A27ED" w:rsidRDefault="00947670" w:rsidP="00256899">
      <w:pPr>
        <w:spacing w:before="120" w:after="0" w:line="360" w:lineRule="auto"/>
        <w:rPr>
          <w:szCs w:val="22"/>
        </w:rPr>
      </w:pPr>
      <w:r w:rsidRPr="009A27ED">
        <w:rPr>
          <w:rFonts w:ascii="Times New Roman" w:eastAsia="Times New Roman" w:hAnsi="Times New Roman"/>
          <w:b/>
          <w:sz w:val="24"/>
          <w:szCs w:val="22"/>
          <w:lang w:eastAsia="es-ES_tradnl"/>
        </w:rPr>
        <w:t>Vulnerabilidad:</w:t>
      </w:r>
      <w:r w:rsidRPr="009A27ED">
        <w:rPr>
          <w:rFonts w:ascii="Times New Roman" w:eastAsia="Times New Roman" w:hAnsi="Times New Roman"/>
          <w:sz w:val="24"/>
          <w:szCs w:val="22"/>
          <w:lang w:eastAsia="es-ES_tradnl"/>
        </w:rPr>
        <w:t xml:space="preserve"> </w:t>
      </w:r>
      <w:r w:rsidR="00A62B87" w:rsidRPr="009A27ED">
        <w:rPr>
          <w:rFonts w:ascii="Times New Roman" w:eastAsia="Times New Roman" w:hAnsi="Times New Roman"/>
          <w:sz w:val="24"/>
          <w:szCs w:val="22"/>
          <w:lang w:eastAsia="es-ES_tradnl"/>
        </w:rPr>
        <w:t>l</w:t>
      </w:r>
      <w:r w:rsidRPr="009A27ED">
        <w:rPr>
          <w:rFonts w:ascii="Times New Roman" w:eastAsia="Times New Roman" w:hAnsi="Times New Roman"/>
          <w:sz w:val="24"/>
          <w:szCs w:val="22"/>
          <w:lang w:eastAsia="es-ES_tradnl"/>
        </w:rPr>
        <w:t xml:space="preserve">as condiciones determinadas por factores o procesos físicos, sociales, económicos y ambientales que aumentan la susceptibilidad y exposición de una comunidad al impacto de amenazas. Fuente: EIRD de las Naciones Unidas, Ginebra, 2004. </w:t>
      </w:r>
    </w:p>
    <w:p w14:paraId="18627C8E" w14:textId="168BD9BE" w:rsidR="00947670" w:rsidRPr="009A27ED" w:rsidRDefault="00947670" w:rsidP="00256899">
      <w:pPr>
        <w:spacing w:before="120" w:after="0" w:line="360" w:lineRule="auto"/>
        <w:rPr>
          <w:szCs w:val="22"/>
          <w:lang w:eastAsia="es-ES_tradnl"/>
        </w:rPr>
      </w:pPr>
      <w:r w:rsidRPr="009A27ED">
        <w:rPr>
          <w:rFonts w:ascii="Times New Roman" w:eastAsia="Times New Roman" w:hAnsi="Times New Roman"/>
          <w:b/>
          <w:sz w:val="24"/>
          <w:szCs w:val="22"/>
          <w:lang w:eastAsia="es-ES_tradnl"/>
        </w:rPr>
        <w:t>Zona de amortiguamiento:</w:t>
      </w:r>
      <w:r w:rsidRPr="009A27ED">
        <w:rPr>
          <w:rFonts w:ascii="Times New Roman" w:eastAsia="Times New Roman" w:hAnsi="Times New Roman"/>
          <w:sz w:val="24"/>
          <w:szCs w:val="22"/>
          <w:lang w:eastAsia="es-ES_tradnl"/>
        </w:rPr>
        <w:t xml:space="preserve"> </w:t>
      </w:r>
      <w:r w:rsidR="00A62B87" w:rsidRPr="009A27ED">
        <w:rPr>
          <w:rFonts w:ascii="Times New Roman" w:eastAsia="Times New Roman" w:hAnsi="Times New Roman"/>
          <w:sz w:val="24"/>
          <w:szCs w:val="22"/>
          <w:lang w:eastAsia="es-ES_tradnl"/>
        </w:rPr>
        <w:t>f</w:t>
      </w:r>
      <w:r w:rsidRPr="009A27ED">
        <w:rPr>
          <w:rFonts w:ascii="Times New Roman" w:eastAsia="Times New Roman" w:hAnsi="Times New Roman"/>
          <w:sz w:val="24"/>
          <w:szCs w:val="22"/>
          <w:lang w:eastAsia="es-ES_tradnl"/>
        </w:rPr>
        <w:t>ranja de terreno que circunda un área natural protegida, o su zona núcleo, diseñada y establecida para minimizar la presión de una población en aumento y demandante de bienes y servicios. Dichas zonas quedarán definidas según las normas establecidas por el Sistema Nacional de Áreas Protegidas, de conformidad al Artículo 33 de la Ley 64-00. Fuente: Reglamento Forestal Dominicano.</w:t>
      </w:r>
    </w:p>
    <w:p w14:paraId="15512170" w14:textId="77777777" w:rsidR="00947670" w:rsidRPr="009A27ED" w:rsidRDefault="00947670" w:rsidP="00947670">
      <w:pPr>
        <w:shd w:val="clear" w:color="auto" w:fill="FFFFFF" w:themeFill="background1"/>
        <w:spacing w:before="60" w:after="60" w:line="360" w:lineRule="auto"/>
        <w:rPr>
          <w:b/>
          <w:bCs/>
          <w:color w:val="000000" w:themeColor="text1"/>
          <w:szCs w:val="22"/>
          <w:bdr w:val="none" w:sz="0" w:space="0" w:color="auto" w:frame="1"/>
          <w:shd w:val="clear" w:color="auto" w:fill="FFFFFF" w:themeFill="background1"/>
        </w:rPr>
        <w:sectPr w:rsidR="00947670" w:rsidRPr="009A27ED" w:rsidSect="00107097">
          <w:headerReference w:type="default" r:id="rId17"/>
          <w:footerReference w:type="even" r:id="rId18"/>
          <w:footerReference w:type="default" r:id="rId19"/>
          <w:pgSz w:w="17035" w:h="15840" w:orient="landscape" w:code="1"/>
          <w:pgMar w:top="1418" w:right="6213" w:bottom="1701" w:left="1418" w:header="142" w:footer="709" w:gutter="0"/>
          <w:cols w:space="720"/>
          <w:titlePg/>
          <w:docGrid w:linePitch="326"/>
        </w:sectPr>
      </w:pPr>
    </w:p>
    <w:p w14:paraId="1A6B81F4" w14:textId="41271FD9" w:rsidR="00947670" w:rsidRPr="009A27ED" w:rsidRDefault="00947670" w:rsidP="009E5DF9">
      <w:pPr>
        <w:pStyle w:val="Ttulo1"/>
        <w:numPr>
          <w:ilvl w:val="0"/>
          <w:numId w:val="0"/>
        </w:numPr>
        <w:spacing w:line="360" w:lineRule="auto"/>
        <w:jc w:val="both"/>
      </w:pPr>
      <w:bookmarkStart w:id="6" w:name="_Toc532335836"/>
      <w:bookmarkStart w:id="7" w:name="_Toc111837907"/>
      <w:bookmarkStart w:id="8" w:name="_Toc529469975"/>
      <w:r w:rsidRPr="009A27ED">
        <w:rPr>
          <w:rFonts w:ascii="Times New Roman" w:eastAsia="Times New Roman" w:hAnsi="Times New Roman"/>
          <w:sz w:val="24"/>
        </w:rPr>
        <w:lastRenderedPageBreak/>
        <w:t>Resumen Ejecutivo</w:t>
      </w:r>
      <w:bookmarkEnd w:id="6"/>
      <w:bookmarkEnd w:id="7"/>
      <w:r w:rsidRPr="009A27ED">
        <w:rPr>
          <w:rFonts w:ascii="Times New Roman" w:eastAsia="Times New Roman" w:hAnsi="Times New Roman"/>
          <w:sz w:val="24"/>
        </w:rPr>
        <w:t xml:space="preserve"> </w:t>
      </w:r>
      <w:bookmarkEnd w:id="8"/>
    </w:p>
    <w:p w14:paraId="2965264A" w14:textId="46340241" w:rsidR="00947670" w:rsidRPr="009A27ED" w:rsidRDefault="00947670" w:rsidP="005B6485">
      <w:pPr>
        <w:autoSpaceDE w:val="0"/>
        <w:autoSpaceDN w:val="0"/>
        <w:adjustRightInd w:val="0"/>
        <w:spacing w:before="120" w:after="0" w:line="360" w:lineRule="auto"/>
        <w:rPr>
          <w:szCs w:val="22"/>
        </w:rPr>
      </w:pPr>
      <w:r w:rsidRPr="009A27ED">
        <w:rPr>
          <w:rFonts w:ascii="Times New Roman" w:eastAsia="Times New Roman" w:hAnsi="Times New Roman"/>
          <w:sz w:val="24"/>
          <w:szCs w:val="22"/>
        </w:rPr>
        <w:t>El Marco de Gestión Ambiental y Social (MGAS) de la Estrategia REDD+ de Rep</w:t>
      </w:r>
      <w:r w:rsidR="00AF66E5" w:rsidRPr="009A27ED">
        <w:rPr>
          <w:rFonts w:ascii="Times New Roman" w:eastAsia="Times New Roman" w:hAnsi="Times New Roman"/>
          <w:sz w:val="24"/>
          <w:szCs w:val="22"/>
        </w:rPr>
        <w:t>ú</w:t>
      </w:r>
      <w:r w:rsidRPr="009A27ED">
        <w:rPr>
          <w:rFonts w:ascii="Times New Roman" w:eastAsia="Times New Roman" w:hAnsi="Times New Roman"/>
          <w:sz w:val="24"/>
          <w:szCs w:val="22"/>
        </w:rPr>
        <w:t>blica Dominicana</w:t>
      </w:r>
      <w:r w:rsidR="00BE2D00" w:rsidRPr="009A27ED">
        <w:rPr>
          <w:rFonts w:ascii="Times New Roman" w:eastAsia="Times New Roman" w:hAnsi="Times New Roman"/>
          <w:sz w:val="24"/>
          <w:szCs w:val="22"/>
        </w:rPr>
        <w:t xml:space="preserve">, </w:t>
      </w:r>
      <w:r w:rsidR="001F5586" w:rsidRPr="009A27ED">
        <w:rPr>
          <w:rFonts w:ascii="Times New Roman" w:eastAsia="Times New Roman" w:hAnsi="Times New Roman"/>
          <w:sz w:val="24"/>
          <w:szCs w:val="22"/>
        </w:rPr>
        <w:t xml:space="preserve">tiene </w:t>
      </w:r>
      <w:r w:rsidRPr="009A27ED">
        <w:rPr>
          <w:rFonts w:ascii="Times New Roman" w:eastAsia="Times New Roman" w:hAnsi="Times New Roman"/>
          <w:sz w:val="24"/>
          <w:szCs w:val="22"/>
        </w:rPr>
        <w:t xml:space="preserve">por </w:t>
      </w:r>
      <w:bookmarkStart w:id="9" w:name="_Hlk20567070"/>
      <w:r w:rsidRPr="009A27ED">
        <w:rPr>
          <w:rFonts w:ascii="Times New Roman" w:eastAsia="Times New Roman" w:hAnsi="Times New Roman"/>
          <w:sz w:val="24"/>
          <w:szCs w:val="22"/>
        </w:rPr>
        <w:t>objetivo establecer y sistematizar, a través de protocolos</w:t>
      </w:r>
      <w:r w:rsidR="00D94265" w:rsidRPr="009A27ED">
        <w:rPr>
          <w:rFonts w:ascii="Times New Roman" w:eastAsia="Times New Roman" w:hAnsi="Times New Roman"/>
          <w:sz w:val="24"/>
          <w:szCs w:val="22"/>
        </w:rPr>
        <w:t xml:space="preserve"> prácticos</w:t>
      </w:r>
      <w:r w:rsidRPr="009A27ED">
        <w:rPr>
          <w:rFonts w:ascii="Times New Roman" w:eastAsia="Times New Roman" w:hAnsi="Times New Roman"/>
          <w:sz w:val="24"/>
          <w:szCs w:val="22"/>
        </w:rPr>
        <w:t xml:space="preserve">, los procedimientos de implementación y seguimiento de las acciones </w:t>
      </w:r>
      <w:r w:rsidR="0088302F" w:rsidRPr="009A27ED">
        <w:rPr>
          <w:rFonts w:ascii="Times New Roman" w:eastAsia="Times New Roman" w:hAnsi="Times New Roman"/>
          <w:sz w:val="24"/>
          <w:szCs w:val="22"/>
        </w:rPr>
        <w:t>tipo</w:t>
      </w:r>
      <w:r w:rsidRPr="009A27ED">
        <w:rPr>
          <w:rFonts w:ascii="Times New Roman" w:eastAsia="Times New Roman" w:hAnsi="Times New Roman"/>
          <w:sz w:val="24"/>
          <w:szCs w:val="22"/>
        </w:rPr>
        <w:t xml:space="preserve"> REDD+, en concordancia con las Políticas Opera</w:t>
      </w:r>
      <w:r w:rsidR="006B2B22" w:rsidRPr="009A27ED">
        <w:rPr>
          <w:rFonts w:ascii="Times New Roman" w:eastAsia="Times New Roman" w:hAnsi="Times New Roman"/>
          <w:sz w:val="24"/>
          <w:szCs w:val="22"/>
        </w:rPr>
        <w:t>tivas</w:t>
      </w:r>
      <w:r w:rsidRPr="009A27ED">
        <w:rPr>
          <w:rFonts w:ascii="Times New Roman" w:eastAsia="Times New Roman" w:hAnsi="Times New Roman"/>
          <w:sz w:val="24"/>
          <w:szCs w:val="22"/>
        </w:rPr>
        <w:t xml:space="preserve"> del Banco Mundial (</w:t>
      </w:r>
      <w:r w:rsidR="006B2B22" w:rsidRPr="009A27ED">
        <w:rPr>
          <w:rFonts w:ascii="Times New Roman" w:eastAsia="Times New Roman" w:hAnsi="Times New Roman"/>
          <w:sz w:val="24"/>
          <w:szCs w:val="22"/>
        </w:rPr>
        <w:t>PO</w:t>
      </w:r>
      <w:r w:rsidRPr="009A27ED">
        <w:rPr>
          <w:rFonts w:ascii="Times New Roman" w:eastAsia="Times New Roman" w:hAnsi="Times New Roman"/>
          <w:sz w:val="24"/>
          <w:szCs w:val="22"/>
        </w:rPr>
        <w:t xml:space="preserve">/BM) activadas y salvaguardas de la CMNUCC. </w:t>
      </w:r>
      <w:r w:rsidRPr="009A27ED">
        <w:rPr>
          <w:rFonts w:ascii="Times New Roman" w:eastAsia="Times New Roman" w:hAnsi="Times New Roman"/>
          <w:color w:val="000000" w:themeColor="text1"/>
          <w:sz w:val="24"/>
          <w:szCs w:val="22"/>
        </w:rPr>
        <w:t xml:space="preserve">Es el instrumento operativo por el cual se establecen los principios, lineamientos y procedimientos para abordar, evitar y minimizar los riesgos e impactos adversos asociados a la implementación de actividades REDD+ y cumplir con los lineamientos normativos tanto nacionales como internacionales convenidos para </w:t>
      </w:r>
      <w:r w:rsidR="006B2B22" w:rsidRPr="009A27ED">
        <w:rPr>
          <w:rFonts w:ascii="Times New Roman" w:eastAsia="Times New Roman" w:hAnsi="Times New Roman"/>
          <w:color w:val="000000" w:themeColor="text1"/>
          <w:sz w:val="24"/>
          <w:szCs w:val="22"/>
        </w:rPr>
        <w:t xml:space="preserve">la implementación del mecanismo </w:t>
      </w:r>
      <w:r w:rsidRPr="009A27ED">
        <w:rPr>
          <w:rFonts w:ascii="Times New Roman" w:eastAsia="Times New Roman" w:hAnsi="Times New Roman"/>
          <w:color w:val="000000" w:themeColor="text1"/>
          <w:sz w:val="24"/>
          <w:szCs w:val="22"/>
        </w:rPr>
        <w:t>REDD+.</w:t>
      </w:r>
    </w:p>
    <w:bookmarkEnd w:id="9"/>
    <w:p w14:paraId="287AA4A6" w14:textId="7F2A04E5" w:rsidR="00947670" w:rsidRPr="009A27ED" w:rsidRDefault="00947670" w:rsidP="005B6485">
      <w:pPr>
        <w:spacing w:before="120" w:after="0" w:line="360" w:lineRule="auto"/>
        <w:rPr>
          <w:color w:val="000000" w:themeColor="text1"/>
          <w:szCs w:val="22"/>
        </w:rPr>
      </w:pPr>
      <w:r w:rsidRPr="009A27ED">
        <w:rPr>
          <w:rFonts w:ascii="Times New Roman" w:eastAsia="Times New Roman" w:hAnsi="Times New Roman"/>
          <w:sz w:val="24"/>
          <w:szCs w:val="22"/>
        </w:rPr>
        <w:t xml:space="preserve">El proceso de desarrollo del MGAS ha considerado información proveniente de documentos y procesos  previos, tales como </w:t>
      </w:r>
      <w:r w:rsidRPr="009A27ED">
        <w:rPr>
          <w:rFonts w:ascii="Times New Roman" w:eastAsia="Times New Roman" w:hAnsi="Times New Roman"/>
          <w:color w:val="000000" w:themeColor="text1"/>
          <w:sz w:val="24"/>
          <w:szCs w:val="22"/>
        </w:rPr>
        <w:t>el proceso SESA</w:t>
      </w:r>
      <w:r w:rsidRPr="009A27ED">
        <w:rPr>
          <w:rStyle w:val="Refdenotaalpie"/>
          <w:rFonts w:asciiTheme="minorHAnsi" w:eastAsia="Times New Roman" w:hAnsiTheme="minorHAnsi"/>
          <w:color w:val="000000" w:themeColor="text1"/>
          <w:sz w:val="24"/>
          <w:szCs w:val="22"/>
        </w:rPr>
        <w:footnoteReference w:id="1"/>
      </w:r>
      <w:r w:rsidRPr="009A27ED">
        <w:rPr>
          <w:rFonts w:ascii="Times New Roman" w:eastAsia="Times New Roman" w:hAnsi="Times New Roman"/>
          <w:color w:val="000000" w:themeColor="text1"/>
          <w:sz w:val="24"/>
          <w:szCs w:val="22"/>
        </w:rPr>
        <w:t xml:space="preserve"> implementado entre mayo y agosto 2018, durante </w:t>
      </w:r>
      <w:r w:rsidR="006B2B22" w:rsidRPr="009A27ED">
        <w:rPr>
          <w:rFonts w:ascii="Times New Roman" w:eastAsia="Times New Roman" w:hAnsi="Times New Roman"/>
          <w:color w:val="000000" w:themeColor="text1"/>
          <w:sz w:val="24"/>
          <w:szCs w:val="22"/>
        </w:rPr>
        <w:t xml:space="preserve">el </w:t>
      </w:r>
      <w:r w:rsidRPr="009A27ED">
        <w:rPr>
          <w:rFonts w:ascii="Times New Roman" w:eastAsia="Times New Roman" w:hAnsi="Times New Roman"/>
          <w:color w:val="000000" w:themeColor="text1"/>
          <w:sz w:val="24"/>
          <w:szCs w:val="22"/>
        </w:rPr>
        <w:t>cual se llev</w:t>
      </w:r>
      <w:r w:rsidR="00074BE3" w:rsidRPr="009A27ED">
        <w:rPr>
          <w:rFonts w:ascii="Times New Roman" w:eastAsia="Times New Roman" w:hAnsi="Times New Roman"/>
          <w:color w:val="000000" w:themeColor="text1"/>
          <w:sz w:val="24"/>
          <w:szCs w:val="22"/>
        </w:rPr>
        <w:t>aron</w:t>
      </w:r>
      <w:r w:rsidRPr="009A27ED">
        <w:rPr>
          <w:rFonts w:ascii="Times New Roman" w:eastAsia="Times New Roman" w:hAnsi="Times New Roman"/>
          <w:color w:val="000000" w:themeColor="text1"/>
          <w:sz w:val="24"/>
          <w:szCs w:val="22"/>
        </w:rPr>
        <w:t xml:space="preserve"> a cabo </w:t>
      </w:r>
      <w:r w:rsidRPr="009A27ED">
        <w:rPr>
          <w:rFonts w:ascii="Times New Roman" w:eastAsia="Times New Roman" w:hAnsi="Times New Roman"/>
          <w:sz w:val="24"/>
          <w:szCs w:val="22"/>
        </w:rPr>
        <w:t>talleres de consulta y participación con actores y sectores claves</w:t>
      </w:r>
      <w:r w:rsidRPr="009A27ED">
        <w:rPr>
          <w:rFonts w:ascii="Times New Roman" w:eastAsia="Times New Roman" w:hAnsi="Times New Roman"/>
          <w:color w:val="000000" w:themeColor="text1"/>
          <w:sz w:val="24"/>
          <w:szCs w:val="22"/>
        </w:rPr>
        <w:t xml:space="preserve"> para la identificación, y priorización de los posibles</w:t>
      </w:r>
      <w:r w:rsidR="00BC0FD8" w:rsidRPr="009A27ED">
        <w:rPr>
          <w:rFonts w:ascii="Times New Roman" w:eastAsia="Times New Roman" w:hAnsi="Times New Roman"/>
          <w:color w:val="000000" w:themeColor="text1"/>
          <w:sz w:val="24"/>
          <w:szCs w:val="22"/>
        </w:rPr>
        <w:t xml:space="preserve"> riesgos e</w:t>
      </w:r>
      <w:r w:rsidRPr="009A27ED">
        <w:rPr>
          <w:rFonts w:ascii="Times New Roman" w:eastAsia="Times New Roman" w:hAnsi="Times New Roman"/>
          <w:color w:val="000000" w:themeColor="text1"/>
          <w:sz w:val="24"/>
          <w:szCs w:val="22"/>
        </w:rPr>
        <w:t xml:space="preserve"> impactos (adversos y positivos) que pudieran surgir como consecuencia de la implementación de las Opciones y Acciones Estratégicas de la EN-REDD+.</w:t>
      </w:r>
      <w:r w:rsidRPr="009A27ED">
        <w:rPr>
          <w:rStyle w:val="Refdenotaalpie"/>
          <w:rFonts w:asciiTheme="minorHAnsi" w:eastAsia="Times New Roman" w:hAnsiTheme="minorHAnsi"/>
          <w:color w:val="000000" w:themeColor="text1"/>
          <w:sz w:val="24"/>
          <w:szCs w:val="22"/>
        </w:rPr>
        <w:footnoteReference w:id="2"/>
      </w:r>
      <w:r w:rsidRPr="009A27ED">
        <w:rPr>
          <w:rFonts w:ascii="Times New Roman" w:eastAsia="Times New Roman" w:hAnsi="Times New Roman"/>
          <w:color w:val="000000" w:themeColor="text1"/>
          <w:sz w:val="24"/>
          <w:szCs w:val="22"/>
        </w:rPr>
        <w:t xml:space="preserve"> El MGAS también se basa </w:t>
      </w:r>
      <w:bookmarkStart w:id="10" w:name="_Hlk20567277"/>
      <w:r w:rsidRPr="009A27ED">
        <w:rPr>
          <w:rFonts w:ascii="Times New Roman" w:eastAsia="Times New Roman" w:hAnsi="Times New Roman"/>
          <w:color w:val="000000" w:themeColor="text1"/>
          <w:sz w:val="24"/>
          <w:szCs w:val="22"/>
        </w:rPr>
        <w:t xml:space="preserve">en documentos existentes y elaborados para la implementación de REDD+, como </w:t>
      </w:r>
      <w:r w:rsidRPr="009A27ED">
        <w:rPr>
          <w:rFonts w:ascii="Times New Roman" w:eastAsia="Times New Roman" w:hAnsi="Times New Roman"/>
          <w:sz w:val="24"/>
          <w:szCs w:val="22"/>
        </w:rPr>
        <w:t xml:space="preserve">la definición y priorización de las principales causas de la deforestación y degradación de los bosques en </w:t>
      </w:r>
      <w:r w:rsidR="006B2B22" w:rsidRPr="009A27ED">
        <w:rPr>
          <w:rFonts w:ascii="Times New Roman" w:eastAsia="Times New Roman" w:hAnsi="Times New Roman"/>
          <w:sz w:val="24"/>
          <w:szCs w:val="22"/>
        </w:rPr>
        <w:t>el país</w:t>
      </w:r>
      <w:r w:rsidRPr="009A27ED">
        <w:rPr>
          <w:rFonts w:ascii="Times New Roman" w:eastAsia="Times New Roman" w:hAnsi="Times New Roman"/>
          <w:sz w:val="24"/>
          <w:szCs w:val="22"/>
        </w:rPr>
        <w:t xml:space="preserve">, a fin de definir las intervenciones REDD+ adecuadas para </w:t>
      </w:r>
      <w:r w:rsidR="006B2B22" w:rsidRPr="009A27ED">
        <w:rPr>
          <w:rFonts w:ascii="Times New Roman" w:eastAsia="Times New Roman" w:hAnsi="Times New Roman"/>
          <w:sz w:val="24"/>
          <w:szCs w:val="22"/>
        </w:rPr>
        <w:t>el contexto nacional</w:t>
      </w:r>
      <w:r w:rsidRPr="009A27ED">
        <w:rPr>
          <w:rStyle w:val="Refdenotaalpie"/>
          <w:rFonts w:asciiTheme="minorHAnsi" w:eastAsia="Times New Roman" w:hAnsiTheme="minorHAnsi"/>
          <w:sz w:val="24"/>
          <w:szCs w:val="22"/>
        </w:rPr>
        <w:footnoteReference w:id="3"/>
      </w:r>
      <w:r w:rsidRPr="009A27ED">
        <w:rPr>
          <w:rFonts w:ascii="Times New Roman" w:eastAsia="Times New Roman" w:hAnsi="Times New Roman"/>
          <w:sz w:val="24"/>
          <w:szCs w:val="22"/>
        </w:rPr>
        <w:t>; las opciones y acciones estratégicas REDD+</w:t>
      </w:r>
      <w:r w:rsidRPr="009A27ED">
        <w:rPr>
          <w:rStyle w:val="Refdenotaalpie"/>
          <w:rFonts w:asciiTheme="minorHAnsi" w:eastAsia="Times New Roman" w:hAnsiTheme="minorHAnsi"/>
          <w:sz w:val="24"/>
          <w:szCs w:val="22"/>
        </w:rPr>
        <w:footnoteReference w:id="4"/>
      </w:r>
      <w:r w:rsidRPr="009A27ED">
        <w:rPr>
          <w:rFonts w:ascii="Times New Roman" w:eastAsia="Times New Roman" w:hAnsi="Times New Roman"/>
          <w:sz w:val="24"/>
          <w:szCs w:val="22"/>
        </w:rPr>
        <w:t>; el análisis del marco legal vigente e identificación de brechas con relación a las Políticas Operativas del BM y salvaguardas de la CMNUCC</w:t>
      </w:r>
      <w:r w:rsidRPr="009A27ED">
        <w:rPr>
          <w:rStyle w:val="Refdenotaalpie"/>
          <w:rFonts w:asciiTheme="minorHAnsi" w:eastAsia="Times New Roman" w:hAnsiTheme="minorHAnsi"/>
          <w:sz w:val="24"/>
          <w:szCs w:val="22"/>
        </w:rPr>
        <w:footnoteReference w:id="5"/>
      </w:r>
      <w:r w:rsidRPr="009A27ED">
        <w:rPr>
          <w:rFonts w:ascii="Times New Roman" w:eastAsia="Times New Roman" w:hAnsi="Times New Roman"/>
          <w:sz w:val="24"/>
          <w:szCs w:val="22"/>
        </w:rPr>
        <w:t xml:space="preserve">; el diseño del </w:t>
      </w:r>
      <w:r w:rsidR="00A00AFF" w:rsidRPr="009A27ED">
        <w:rPr>
          <w:rFonts w:ascii="Times New Roman" w:eastAsia="Times New Roman" w:hAnsi="Times New Roman"/>
          <w:color w:val="000000" w:themeColor="text1"/>
          <w:sz w:val="24"/>
          <w:szCs w:val="22"/>
        </w:rPr>
        <w:t>M</w:t>
      </w:r>
      <w:r w:rsidRPr="009A27ED">
        <w:rPr>
          <w:rFonts w:ascii="Times New Roman" w:eastAsia="Times New Roman" w:hAnsi="Times New Roman"/>
          <w:sz w:val="24"/>
          <w:szCs w:val="22"/>
        </w:rPr>
        <w:t xml:space="preserve">ecanismo de </w:t>
      </w:r>
      <w:r w:rsidR="00FF77C4" w:rsidRPr="009A27ED">
        <w:rPr>
          <w:rFonts w:ascii="Times New Roman" w:eastAsia="Times New Roman" w:hAnsi="Times New Roman"/>
          <w:sz w:val="24"/>
          <w:szCs w:val="22"/>
        </w:rPr>
        <w:t>Q</w:t>
      </w:r>
      <w:r w:rsidRPr="009A27ED">
        <w:rPr>
          <w:rFonts w:ascii="Times New Roman" w:eastAsia="Times New Roman" w:hAnsi="Times New Roman"/>
          <w:sz w:val="24"/>
          <w:szCs w:val="22"/>
        </w:rPr>
        <w:t>ueja</w:t>
      </w:r>
      <w:r w:rsidR="00D94265" w:rsidRPr="009A27ED">
        <w:rPr>
          <w:rFonts w:ascii="Times New Roman" w:eastAsia="Times New Roman" w:hAnsi="Times New Roman"/>
          <w:sz w:val="24"/>
          <w:szCs w:val="22"/>
        </w:rPr>
        <w:t xml:space="preserve">s, </w:t>
      </w:r>
      <w:r w:rsidR="00FF77C4" w:rsidRPr="009A27ED">
        <w:rPr>
          <w:rFonts w:ascii="Times New Roman" w:eastAsia="Times New Roman" w:hAnsi="Times New Roman"/>
          <w:sz w:val="24"/>
          <w:szCs w:val="22"/>
        </w:rPr>
        <w:t>R</w:t>
      </w:r>
      <w:r w:rsidR="00D94265" w:rsidRPr="009A27ED">
        <w:rPr>
          <w:rFonts w:ascii="Times New Roman" w:eastAsia="Times New Roman" w:hAnsi="Times New Roman"/>
          <w:sz w:val="24"/>
          <w:szCs w:val="22"/>
        </w:rPr>
        <w:t xml:space="preserve">eclamos y </w:t>
      </w:r>
      <w:r w:rsidR="00EF371D" w:rsidRPr="009A27ED">
        <w:rPr>
          <w:rFonts w:ascii="Times New Roman" w:eastAsia="Times New Roman" w:hAnsi="Times New Roman"/>
          <w:sz w:val="24"/>
          <w:szCs w:val="22"/>
        </w:rPr>
        <w:t>M</w:t>
      </w:r>
      <w:r w:rsidR="00A00AFF" w:rsidRPr="009A27ED">
        <w:rPr>
          <w:rFonts w:ascii="Times New Roman" w:eastAsia="Times New Roman" w:hAnsi="Times New Roman"/>
          <w:sz w:val="24"/>
          <w:szCs w:val="22"/>
        </w:rPr>
        <w:t>anejo</w:t>
      </w:r>
      <w:r w:rsidR="00D94265" w:rsidRPr="009A27ED">
        <w:rPr>
          <w:rFonts w:ascii="Times New Roman" w:eastAsia="Times New Roman" w:hAnsi="Times New Roman"/>
          <w:sz w:val="24"/>
          <w:szCs w:val="22"/>
        </w:rPr>
        <w:t xml:space="preserve"> de </w:t>
      </w:r>
      <w:r w:rsidR="00FF77C4" w:rsidRPr="009A27ED">
        <w:rPr>
          <w:rFonts w:ascii="Times New Roman" w:eastAsia="Times New Roman" w:hAnsi="Times New Roman"/>
          <w:sz w:val="24"/>
          <w:szCs w:val="22"/>
        </w:rPr>
        <w:t>C</w:t>
      </w:r>
      <w:r w:rsidR="00D94265" w:rsidRPr="009A27ED">
        <w:rPr>
          <w:rFonts w:ascii="Times New Roman" w:eastAsia="Times New Roman" w:hAnsi="Times New Roman"/>
          <w:sz w:val="24"/>
          <w:szCs w:val="22"/>
        </w:rPr>
        <w:t>onflictos</w:t>
      </w:r>
      <w:r w:rsidRPr="009A27ED">
        <w:rPr>
          <w:rFonts w:ascii="Times New Roman" w:eastAsia="Times New Roman" w:hAnsi="Times New Roman"/>
          <w:sz w:val="24"/>
          <w:szCs w:val="22"/>
        </w:rPr>
        <w:t xml:space="preserve"> para REDD+ (MQRC); y el diseño del Sistema de Información de Salvaguardas (SIS). </w:t>
      </w:r>
    </w:p>
    <w:bookmarkEnd w:id="10"/>
    <w:p w14:paraId="6E3C9E3B" w14:textId="4461ADC6" w:rsidR="003F6BC5" w:rsidRPr="009A27ED" w:rsidRDefault="00947670" w:rsidP="003F6BC5">
      <w:pPr>
        <w:spacing w:before="120" w:after="0" w:line="360" w:lineRule="auto"/>
        <w:rPr>
          <w:szCs w:val="22"/>
        </w:rPr>
      </w:pPr>
      <w:r w:rsidRPr="009A27ED">
        <w:rPr>
          <w:rFonts w:ascii="Times New Roman" w:eastAsia="Times New Roman" w:hAnsi="Times New Roman"/>
          <w:sz w:val="24"/>
          <w:szCs w:val="22"/>
        </w:rPr>
        <w:lastRenderedPageBreak/>
        <w:t>El MGAS ha sido desarrollado de acuerdo con las directrices del FCPF</w:t>
      </w:r>
      <w:r w:rsidRPr="009A27ED">
        <w:rPr>
          <w:rStyle w:val="Refdenotaalpie"/>
          <w:rFonts w:asciiTheme="minorHAnsi" w:eastAsia="Times New Roman" w:hAnsiTheme="minorHAnsi"/>
          <w:sz w:val="24"/>
          <w:szCs w:val="22"/>
        </w:rPr>
        <w:footnoteReference w:id="6"/>
      </w:r>
      <w:r w:rsidRPr="009A27ED">
        <w:rPr>
          <w:rFonts w:ascii="Times New Roman" w:eastAsia="Times New Roman" w:hAnsi="Times New Roman"/>
          <w:sz w:val="24"/>
          <w:szCs w:val="22"/>
        </w:rPr>
        <w:t xml:space="preserve"> y los requerimientos del país. Al final de su construcción</w:t>
      </w:r>
      <w:r w:rsidR="00BE2D00" w:rsidRPr="009A27ED">
        <w:rPr>
          <w:rFonts w:ascii="Times New Roman" w:eastAsia="Times New Roman" w:hAnsi="Times New Roman"/>
          <w:sz w:val="24"/>
          <w:szCs w:val="22"/>
        </w:rPr>
        <w:t>,</w:t>
      </w:r>
      <w:r w:rsidRPr="009A27ED">
        <w:rPr>
          <w:rFonts w:ascii="Times New Roman" w:eastAsia="Times New Roman" w:hAnsi="Times New Roman"/>
          <w:sz w:val="24"/>
          <w:szCs w:val="22"/>
        </w:rPr>
        <w:t xml:space="preserve"> el MGAS</w:t>
      </w:r>
      <w:r w:rsidR="00D94265" w:rsidRPr="009A27ED">
        <w:rPr>
          <w:rFonts w:ascii="Times New Roman" w:eastAsia="Times New Roman" w:hAnsi="Times New Roman"/>
          <w:sz w:val="24"/>
          <w:szCs w:val="22"/>
        </w:rPr>
        <w:t xml:space="preserve"> </w:t>
      </w:r>
      <w:r w:rsidRPr="009A27ED">
        <w:rPr>
          <w:rFonts w:ascii="Times New Roman" w:eastAsia="Times New Roman" w:hAnsi="Times New Roman"/>
          <w:sz w:val="24"/>
          <w:szCs w:val="22"/>
        </w:rPr>
        <w:t xml:space="preserve">fue presentado a </w:t>
      </w:r>
      <w:r w:rsidR="00A82FFD" w:rsidRPr="009A27ED">
        <w:rPr>
          <w:rFonts w:ascii="Times New Roman" w:eastAsia="Times New Roman" w:hAnsi="Times New Roman"/>
          <w:sz w:val="24"/>
          <w:szCs w:val="22"/>
        </w:rPr>
        <w:t>los actores involucrados</w:t>
      </w:r>
      <w:r w:rsidR="00D94265" w:rsidRPr="009A27ED">
        <w:rPr>
          <w:rFonts w:ascii="Times New Roman" w:eastAsia="Times New Roman" w:hAnsi="Times New Roman"/>
          <w:sz w:val="24"/>
          <w:szCs w:val="22"/>
        </w:rPr>
        <w:t xml:space="preserve"> con el </w:t>
      </w:r>
      <w:r w:rsidRPr="009A27ED">
        <w:rPr>
          <w:rFonts w:ascii="Times New Roman" w:eastAsia="Times New Roman" w:hAnsi="Times New Roman"/>
          <w:sz w:val="24"/>
          <w:szCs w:val="22"/>
        </w:rPr>
        <w:t xml:space="preserve">fin de validarlo en un taller nacional, </w:t>
      </w:r>
      <w:r w:rsidR="00D94265" w:rsidRPr="009A27ED">
        <w:rPr>
          <w:rFonts w:ascii="Times New Roman" w:eastAsia="Times New Roman" w:hAnsi="Times New Roman"/>
          <w:sz w:val="24"/>
          <w:szCs w:val="22"/>
        </w:rPr>
        <w:t xml:space="preserve">además </w:t>
      </w:r>
      <w:r w:rsidRPr="009A27ED">
        <w:rPr>
          <w:rFonts w:ascii="Times New Roman" w:eastAsia="Times New Roman" w:hAnsi="Times New Roman"/>
          <w:sz w:val="24"/>
          <w:szCs w:val="22"/>
        </w:rPr>
        <w:t xml:space="preserve">se pudo obtener una retroalimentación a los procedimientos propuestos en los talleres del proceso SESA por los participantes. </w:t>
      </w:r>
    </w:p>
    <w:p w14:paraId="57D448FF" w14:textId="305DA565" w:rsidR="003F6BC5" w:rsidRPr="009A27ED" w:rsidRDefault="003F6BC5" w:rsidP="005B6485">
      <w:pPr>
        <w:spacing w:before="120" w:after="0" w:line="360" w:lineRule="auto"/>
        <w:rPr>
          <w:szCs w:val="22"/>
        </w:rPr>
      </w:pPr>
      <w:bookmarkStart w:id="11" w:name="_Hlk20567452"/>
      <w:r w:rsidRPr="009A27ED">
        <w:rPr>
          <w:rFonts w:ascii="Times New Roman" w:eastAsia="Times New Roman" w:hAnsi="Times New Roman" w:cs="Calibri"/>
          <w:color w:val="000000"/>
          <w:sz w:val="24"/>
          <w:szCs w:val="22"/>
          <w:lang w:val="es-GT" w:eastAsia="es-ES_tradnl"/>
        </w:rPr>
        <w:t xml:space="preserve">El MGAS entonces es el instrumento de </w:t>
      </w:r>
      <w:r w:rsidR="0027371A" w:rsidRPr="009A27ED">
        <w:rPr>
          <w:rFonts w:ascii="Times New Roman" w:eastAsia="Times New Roman" w:hAnsi="Times New Roman" w:cs="Calibri"/>
          <w:color w:val="000000"/>
          <w:sz w:val="24"/>
          <w:szCs w:val="22"/>
          <w:lang w:val="es-GT" w:eastAsia="es-ES_tradnl"/>
        </w:rPr>
        <w:t>gestión</w:t>
      </w:r>
      <w:r w:rsidRPr="009A27ED">
        <w:rPr>
          <w:rFonts w:ascii="Times New Roman" w:eastAsia="Times New Roman" w:hAnsi="Times New Roman" w:cs="Calibri"/>
          <w:color w:val="000000"/>
          <w:sz w:val="24"/>
          <w:szCs w:val="22"/>
          <w:lang w:val="es-GT" w:eastAsia="es-ES_tradnl"/>
        </w:rPr>
        <w:t xml:space="preserve"> ambiental y social de REDD+ para la EN-REDD+- </w:t>
      </w:r>
      <w:r w:rsidR="00720434" w:rsidRPr="009A27ED">
        <w:rPr>
          <w:rFonts w:ascii="Times New Roman" w:eastAsia="Times New Roman" w:hAnsi="Times New Roman" w:cs="Calibri"/>
          <w:color w:val="000000"/>
          <w:sz w:val="24"/>
          <w:szCs w:val="22"/>
          <w:lang w:val="es-GT" w:eastAsia="es-ES_tradnl"/>
        </w:rPr>
        <w:t>y</w:t>
      </w:r>
      <w:r w:rsidRPr="009A27ED">
        <w:rPr>
          <w:rFonts w:ascii="Times New Roman" w:eastAsia="Times New Roman" w:hAnsi="Times New Roman" w:cs="Calibri"/>
          <w:color w:val="000000"/>
          <w:sz w:val="24"/>
          <w:szCs w:val="22"/>
          <w:lang w:val="es-GT" w:eastAsia="es-ES_tradnl"/>
        </w:rPr>
        <w:t xml:space="preserve"> para el </w:t>
      </w:r>
      <w:r w:rsidR="006B2B22" w:rsidRPr="009A27ED">
        <w:rPr>
          <w:rFonts w:ascii="Times New Roman" w:eastAsia="Times New Roman" w:hAnsi="Times New Roman" w:cs="Calibri"/>
          <w:color w:val="000000"/>
          <w:sz w:val="24"/>
          <w:szCs w:val="22"/>
          <w:lang w:val="es-GT" w:eastAsia="es-ES_tradnl"/>
        </w:rPr>
        <w:t>Programa de Reducciones de Emisiones por Deforestación y Degradación de los Bosques (</w:t>
      </w:r>
      <w:r w:rsidR="00124B63" w:rsidRPr="009A27ED">
        <w:rPr>
          <w:rFonts w:ascii="Times New Roman" w:eastAsia="Times New Roman" w:hAnsi="Times New Roman" w:cs="Calibri"/>
          <w:color w:val="000000"/>
          <w:sz w:val="24"/>
          <w:szCs w:val="22"/>
          <w:lang w:val="es-GT" w:eastAsia="es-ES_tradnl"/>
        </w:rPr>
        <w:t>Programa REDD+</w:t>
      </w:r>
      <w:r w:rsidR="006B2B22" w:rsidRPr="009A27ED">
        <w:rPr>
          <w:rFonts w:ascii="Times New Roman" w:eastAsia="Times New Roman" w:hAnsi="Times New Roman" w:cs="Calibri"/>
          <w:color w:val="000000"/>
          <w:sz w:val="24"/>
          <w:szCs w:val="22"/>
          <w:lang w:val="es-GT" w:eastAsia="es-ES_tradnl"/>
        </w:rPr>
        <w:t>)</w:t>
      </w:r>
      <w:r w:rsidRPr="009A27ED">
        <w:rPr>
          <w:rFonts w:ascii="Times New Roman" w:eastAsia="Times New Roman" w:hAnsi="Times New Roman" w:cs="Calibri"/>
          <w:color w:val="000000"/>
          <w:sz w:val="24"/>
          <w:szCs w:val="22"/>
          <w:lang w:val="es-GT" w:eastAsia="es-ES_tradnl"/>
        </w:rPr>
        <w:t xml:space="preserve"> aplicable a nivel nacional, y</w:t>
      </w:r>
      <w:r w:rsidR="0088302F" w:rsidRPr="009A27ED">
        <w:rPr>
          <w:rFonts w:ascii="Times New Roman" w:eastAsia="Times New Roman" w:hAnsi="Times New Roman" w:cs="Calibri"/>
          <w:color w:val="000000"/>
          <w:sz w:val="24"/>
          <w:szCs w:val="22"/>
          <w:lang w:val="es-GT" w:eastAsia="es-ES_tradnl"/>
        </w:rPr>
        <w:t xml:space="preserve"> </w:t>
      </w:r>
      <w:r w:rsidRPr="009A27ED">
        <w:rPr>
          <w:rFonts w:ascii="Times New Roman" w:eastAsia="Times New Roman" w:hAnsi="Times New Roman" w:cs="Calibri"/>
          <w:color w:val="000000"/>
          <w:sz w:val="24"/>
          <w:szCs w:val="22"/>
          <w:lang w:val="es-GT" w:eastAsia="es-ES_tradnl"/>
        </w:rPr>
        <w:t xml:space="preserve">los </w:t>
      </w:r>
      <w:r w:rsidR="006B2B22" w:rsidRPr="009A27ED">
        <w:rPr>
          <w:rFonts w:ascii="Times New Roman" w:eastAsia="Times New Roman" w:hAnsi="Times New Roman" w:cs="Calibri"/>
          <w:color w:val="000000"/>
          <w:sz w:val="24"/>
          <w:szCs w:val="22"/>
          <w:lang w:val="es-GT" w:eastAsia="es-ES_tradnl"/>
        </w:rPr>
        <w:t>Planes de Manejo Ambiental y Social (</w:t>
      </w:r>
      <w:r w:rsidRPr="009A27ED">
        <w:rPr>
          <w:rFonts w:ascii="Times New Roman" w:eastAsia="Times New Roman" w:hAnsi="Times New Roman" w:cs="Calibri"/>
          <w:color w:val="000000"/>
          <w:sz w:val="24"/>
          <w:szCs w:val="22"/>
          <w:lang w:val="es-GT" w:eastAsia="es-ES_tradnl"/>
        </w:rPr>
        <w:t>PMAS</w:t>
      </w:r>
      <w:r w:rsidR="006B2B22" w:rsidRPr="009A27ED">
        <w:rPr>
          <w:rFonts w:ascii="Times New Roman" w:eastAsia="Times New Roman" w:hAnsi="Times New Roman" w:cs="Calibri"/>
          <w:color w:val="000000"/>
          <w:sz w:val="24"/>
          <w:szCs w:val="22"/>
          <w:lang w:val="es-GT" w:eastAsia="es-ES_tradnl"/>
        </w:rPr>
        <w:t>)</w:t>
      </w:r>
      <w:r w:rsidRPr="009A27ED">
        <w:rPr>
          <w:rFonts w:ascii="Times New Roman" w:eastAsia="Times New Roman" w:hAnsi="Times New Roman" w:cs="Calibri"/>
          <w:color w:val="000000"/>
          <w:sz w:val="24"/>
          <w:szCs w:val="22"/>
          <w:lang w:val="es-GT" w:eastAsia="es-ES_tradnl"/>
        </w:rPr>
        <w:t xml:space="preserve"> son los instrumentos que aplicarán medidas de mitigación a nivel de las cinco áreas priorizadas</w:t>
      </w:r>
      <w:r w:rsidR="006B2B22" w:rsidRPr="009A27ED">
        <w:rPr>
          <w:rFonts w:ascii="Times New Roman" w:eastAsia="Times New Roman" w:hAnsi="Times New Roman" w:cs="Calibri"/>
          <w:color w:val="000000"/>
          <w:sz w:val="24"/>
          <w:szCs w:val="22"/>
          <w:lang w:val="es-GT" w:eastAsia="es-ES_tradnl"/>
        </w:rPr>
        <w:t xml:space="preserve"> para REDD+</w:t>
      </w:r>
      <w:r w:rsidRPr="009A27ED">
        <w:rPr>
          <w:rFonts w:ascii="Times New Roman" w:eastAsia="Times New Roman" w:hAnsi="Times New Roman" w:cs="Calibri"/>
          <w:color w:val="000000"/>
          <w:sz w:val="24"/>
          <w:szCs w:val="22"/>
          <w:lang w:val="es-GT" w:eastAsia="es-ES_tradnl"/>
        </w:rPr>
        <w:t>.</w:t>
      </w:r>
    </w:p>
    <w:bookmarkEnd w:id="11"/>
    <w:p w14:paraId="685176A6" w14:textId="334B39B5" w:rsidR="00947670" w:rsidRPr="009A27ED" w:rsidRDefault="00947670" w:rsidP="00002C67">
      <w:pPr>
        <w:autoSpaceDE w:val="0"/>
        <w:autoSpaceDN w:val="0"/>
        <w:adjustRightInd w:val="0"/>
        <w:spacing w:before="120" w:after="0" w:line="360" w:lineRule="auto"/>
        <w:rPr>
          <w:szCs w:val="22"/>
        </w:rPr>
      </w:pPr>
      <w:r w:rsidRPr="009A27ED">
        <w:rPr>
          <w:rFonts w:ascii="Times New Roman" w:eastAsia="Times New Roman" w:hAnsi="Times New Roman"/>
          <w:sz w:val="24"/>
          <w:szCs w:val="22"/>
        </w:rPr>
        <w:t xml:space="preserve">El presente MGAS está compuesto por </w:t>
      </w:r>
      <w:r w:rsidR="00391424" w:rsidRPr="009A27ED">
        <w:rPr>
          <w:rFonts w:ascii="Times New Roman" w:eastAsia="Times New Roman" w:hAnsi="Times New Roman"/>
          <w:sz w:val="24"/>
          <w:szCs w:val="22"/>
        </w:rPr>
        <w:t xml:space="preserve">once </w:t>
      </w:r>
      <w:r w:rsidRPr="009A27ED">
        <w:rPr>
          <w:rFonts w:ascii="Times New Roman" w:eastAsia="Times New Roman" w:hAnsi="Times New Roman"/>
          <w:sz w:val="24"/>
          <w:szCs w:val="22"/>
        </w:rPr>
        <w:t>capítulos, abordando desde el contexto general de REDD+ en el país hasta los protocolos</w:t>
      </w:r>
      <w:r w:rsidR="00D94265" w:rsidRPr="009A27ED">
        <w:rPr>
          <w:rFonts w:ascii="Times New Roman" w:eastAsia="Times New Roman" w:hAnsi="Times New Roman"/>
          <w:sz w:val="24"/>
          <w:szCs w:val="22"/>
        </w:rPr>
        <w:t xml:space="preserve"> concretos</w:t>
      </w:r>
      <w:r w:rsidRPr="009A27ED">
        <w:rPr>
          <w:rFonts w:ascii="Times New Roman" w:eastAsia="Times New Roman" w:hAnsi="Times New Roman"/>
          <w:sz w:val="24"/>
          <w:szCs w:val="22"/>
        </w:rPr>
        <w:t xml:space="preserve"> para la Implementación y seguimiento de las acciones </w:t>
      </w:r>
      <w:r w:rsidR="007E798F" w:rsidRPr="009A27ED">
        <w:rPr>
          <w:rFonts w:ascii="Times New Roman" w:eastAsia="Times New Roman" w:hAnsi="Times New Roman"/>
          <w:sz w:val="24"/>
          <w:szCs w:val="22"/>
        </w:rPr>
        <w:t>específicas</w:t>
      </w:r>
      <w:r w:rsidRPr="009A27ED">
        <w:rPr>
          <w:rFonts w:ascii="Times New Roman" w:eastAsia="Times New Roman" w:hAnsi="Times New Roman"/>
          <w:sz w:val="24"/>
          <w:szCs w:val="22"/>
        </w:rPr>
        <w:t xml:space="preserve"> REDD+. De manera introductoria, el Capítulo </w:t>
      </w:r>
      <w:proofErr w:type="spellStart"/>
      <w:r w:rsidRPr="009A27ED">
        <w:rPr>
          <w:rFonts w:ascii="Times New Roman" w:eastAsia="Times New Roman" w:hAnsi="Times New Roman"/>
          <w:sz w:val="24"/>
          <w:szCs w:val="22"/>
        </w:rPr>
        <w:t>N°</w:t>
      </w:r>
      <w:proofErr w:type="spellEnd"/>
      <w:r w:rsidRPr="009A27ED">
        <w:rPr>
          <w:rFonts w:ascii="Times New Roman" w:eastAsia="Times New Roman" w:hAnsi="Times New Roman"/>
          <w:sz w:val="24"/>
          <w:szCs w:val="22"/>
        </w:rPr>
        <w:t xml:space="preserve"> 1 presenta el contexto </w:t>
      </w:r>
      <w:r w:rsidR="00DC2A1B" w:rsidRPr="009A27ED">
        <w:rPr>
          <w:rFonts w:ascii="Times New Roman" w:eastAsia="Times New Roman" w:hAnsi="Times New Roman"/>
          <w:sz w:val="24"/>
          <w:szCs w:val="22"/>
        </w:rPr>
        <w:t xml:space="preserve">y la visión </w:t>
      </w:r>
      <w:r w:rsidRPr="009A27ED">
        <w:rPr>
          <w:rFonts w:ascii="Times New Roman" w:eastAsia="Times New Roman" w:hAnsi="Times New Roman"/>
          <w:sz w:val="24"/>
          <w:szCs w:val="22"/>
        </w:rPr>
        <w:t>general para REDD+ en la Rep</w:t>
      </w:r>
      <w:r w:rsidR="00D94265" w:rsidRPr="009A27ED">
        <w:rPr>
          <w:rFonts w:ascii="Times New Roman" w:eastAsia="Times New Roman" w:hAnsi="Times New Roman"/>
          <w:sz w:val="24"/>
          <w:szCs w:val="22"/>
        </w:rPr>
        <w:t>ú</w:t>
      </w:r>
      <w:r w:rsidRPr="009A27ED">
        <w:rPr>
          <w:rFonts w:ascii="Times New Roman" w:eastAsia="Times New Roman" w:hAnsi="Times New Roman"/>
          <w:sz w:val="24"/>
          <w:szCs w:val="22"/>
        </w:rPr>
        <w:t xml:space="preserve">blica Dominicana, así como los requerimientos del FCPF y de la CMNUCC en términos de salvaguardas. Esto </w:t>
      </w:r>
      <w:proofErr w:type="spellStart"/>
      <w:r w:rsidRPr="009A27ED">
        <w:rPr>
          <w:rFonts w:ascii="Times New Roman" w:eastAsia="Times New Roman" w:hAnsi="Times New Roman"/>
          <w:sz w:val="24"/>
          <w:szCs w:val="22"/>
        </w:rPr>
        <w:t>permitetroducir</w:t>
      </w:r>
      <w:proofErr w:type="spellEnd"/>
      <w:r w:rsidRPr="009A27ED">
        <w:rPr>
          <w:rFonts w:ascii="Times New Roman" w:eastAsia="Times New Roman" w:hAnsi="Times New Roman"/>
          <w:sz w:val="24"/>
          <w:szCs w:val="22"/>
        </w:rPr>
        <w:t xml:space="preserve"> al objetivo del MGAS como instrumento de gestión operativo a nivel nacional, estructurado para dar cumplimiento a estas salvaguardas y evitar o mitigar riesgos y optimizar beneficios potenciales durante la implementación de la EN-REDD+. </w:t>
      </w:r>
    </w:p>
    <w:p w14:paraId="1841AE53" w14:textId="2CAB2856" w:rsidR="00947670" w:rsidRPr="009A27ED" w:rsidRDefault="00947670" w:rsidP="005B6485">
      <w:pPr>
        <w:spacing w:before="120" w:after="0" w:line="360" w:lineRule="auto"/>
        <w:rPr>
          <w:szCs w:val="22"/>
        </w:rPr>
      </w:pPr>
      <w:r w:rsidRPr="009A27ED">
        <w:rPr>
          <w:rFonts w:ascii="Times New Roman" w:eastAsia="Times New Roman" w:hAnsi="Times New Roman"/>
          <w:sz w:val="24"/>
          <w:szCs w:val="22"/>
        </w:rPr>
        <w:t>El Capítulo N°2 presenta la EN-REDD+, partiendo de las causa</w:t>
      </w:r>
      <w:r w:rsidR="006B2B22" w:rsidRPr="009A27ED">
        <w:rPr>
          <w:rFonts w:ascii="Times New Roman" w:eastAsia="Times New Roman" w:hAnsi="Times New Roman"/>
          <w:sz w:val="24"/>
          <w:szCs w:val="22"/>
        </w:rPr>
        <w:t>s</w:t>
      </w:r>
      <w:r w:rsidRPr="009A27ED">
        <w:rPr>
          <w:rFonts w:ascii="Times New Roman" w:eastAsia="Times New Roman" w:hAnsi="Times New Roman"/>
          <w:sz w:val="24"/>
          <w:szCs w:val="22"/>
        </w:rPr>
        <w:t xml:space="preserve"> de deforestación y degradación en el país, para poder introducir el proceso de diseño y resultado de las Opciones y Acciones Estratégicas REDD+, l</w:t>
      </w:r>
      <w:r w:rsidR="006B2B22" w:rsidRPr="009A27ED">
        <w:rPr>
          <w:rFonts w:ascii="Times New Roman" w:eastAsia="Times New Roman" w:hAnsi="Times New Roman"/>
          <w:sz w:val="24"/>
          <w:szCs w:val="22"/>
        </w:rPr>
        <w:t xml:space="preserve">as actividades </w:t>
      </w:r>
      <w:r w:rsidRPr="009A27ED">
        <w:rPr>
          <w:rFonts w:ascii="Times New Roman" w:eastAsia="Times New Roman" w:hAnsi="Times New Roman"/>
          <w:sz w:val="24"/>
          <w:szCs w:val="22"/>
        </w:rPr>
        <w:t xml:space="preserve">tipo REDD+ y los </w:t>
      </w:r>
      <w:r w:rsidR="006B2B22" w:rsidRPr="009A27ED">
        <w:rPr>
          <w:rFonts w:ascii="Times New Roman" w:eastAsia="Times New Roman" w:hAnsi="Times New Roman"/>
          <w:sz w:val="24"/>
          <w:szCs w:val="22"/>
        </w:rPr>
        <w:t xml:space="preserve">planes, sistemas, programas y </w:t>
      </w:r>
      <w:r w:rsidRPr="009A27ED">
        <w:rPr>
          <w:rFonts w:ascii="Times New Roman" w:eastAsia="Times New Roman" w:hAnsi="Times New Roman"/>
          <w:sz w:val="24"/>
          <w:szCs w:val="22"/>
        </w:rPr>
        <w:t xml:space="preserve">proyectos existentes bajo los cuales se implementará REDD+ en </w:t>
      </w:r>
      <w:r w:rsidR="00D94265" w:rsidRPr="009A27ED">
        <w:rPr>
          <w:rFonts w:ascii="Times New Roman" w:eastAsia="Times New Roman" w:hAnsi="Times New Roman"/>
          <w:sz w:val="24"/>
          <w:szCs w:val="22"/>
        </w:rPr>
        <w:t>el país</w:t>
      </w:r>
      <w:r w:rsidRPr="009A27ED">
        <w:rPr>
          <w:rFonts w:ascii="Times New Roman" w:eastAsia="Times New Roman" w:hAnsi="Times New Roman"/>
          <w:sz w:val="24"/>
          <w:szCs w:val="22"/>
        </w:rPr>
        <w:t xml:space="preserve">. </w:t>
      </w:r>
    </w:p>
    <w:p w14:paraId="2AC96ED6" w14:textId="3D3742AF" w:rsidR="00947670" w:rsidRPr="009A27ED" w:rsidRDefault="00947670" w:rsidP="005B6485">
      <w:pPr>
        <w:spacing w:before="120" w:after="0" w:line="360" w:lineRule="auto"/>
        <w:rPr>
          <w:szCs w:val="22"/>
        </w:rPr>
      </w:pPr>
      <w:r w:rsidRPr="009A27ED">
        <w:rPr>
          <w:rFonts w:ascii="Times New Roman" w:eastAsia="Times New Roman" w:hAnsi="Times New Roman"/>
          <w:sz w:val="24"/>
          <w:szCs w:val="22"/>
        </w:rPr>
        <w:t xml:space="preserve">El Capítulo N°3 hace referencia al marco legal aplicable al MGAS, homologando las </w:t>
      </w:r>
      <w:r w:rsidR="006B2B22" w:rsidRPr="009A27ED">
        <w:rPr>
          <w:rFonts w:ascii="Times New Roman" w:eastAsia="Times New Roman" w:hAnsi="Times New Roman"/>
          <w:sz w:val="24"/>
          <w:szCs w:val="22"/>
        </w:rPr>
        <w:t>PO</w:t>
      </w:r>
      <w:r w:rsidRPr="009A27ED">
        <w:rPr>
          <w:rFonts w:ascii="Times New Roman" w:eastAsia="Times New Roman" w:hAnsi="Times New Roman"/>
          <w:sz w:val="24"/>
          <w:szCs w:val="22"/>
        </w:rPr>
        <w:t xml:space="preserve">/BM con la legislación ambiental y social nacional. Incluye un análisis de brechas, listado de los compromisos internacionales, la descripción de la normativa nacional relevante y la identificación de salvaguardas aplicables a los tipos de actividades REDD+. </w:t>
      </w:r>
    </w:p>
    <w:p w14:paraId="2627B9E5" w14:textId="3303ACA4" w:rsidR="00DC2A1B" w:rsidRPr="009A27ED" w:rsidRDefault="00947670" w:rsidP="005B6485">
      <w:pPr>
        <w:spacing w:before="120" w:after="0" w:line="360" w:lineRule="auto"/>
        <w:rPr>
          <w:szCs w:val="22"/>
        </w:rPr>
      </w:pPr>
      <w:r w:rsidRPr="009A27ED">
        <w:rPr>
          <w:rFonts w:ascii="Times New Roman" w:eastAsia="Times New Roman" w:hAnsi="Times New Roman"/>
          <w:sz w:val="24"/>
          <w:szCs w:val="22"/>
        </w:rPr>
        <w:lastRenderedPageBreak/>
        <w:t xml:space="preserve">En el Capítulo N°4 se presenta </w:t>
      </w:r>
      <w:r w:rsidR="00D94265" w:rsidRPr="009A27ED">
        <w:rPr>
          <w:rFonts w:ascii="Times New Roman" w:eastAsia="Times New Roman" w:hAnsi="Times New Roman"/>
          <w:sz w:val="24"/>
          <w:szCs w:val="22"/>
        </w:rPr>
        <w:t>el</w:t>
      </w:r>
      <w:r w:rsidRPr="009A27ED">
        <w:rPr>
          <w:rFonts w:ascii="Times New Roman" w:eastAsia="Times New Roman" w:hAnsi="Times New Roman"/>
          <w:sz w:val="24"/>
          <w:szCs w:val="22"/>
        </w:rPr>
        <w:t xml:space="preserve"> resumen de l</w:t>
      </w:r>
      <w:r w:rsidR="00DC2A1B" w:rsidRPr="009A27ED">
        <w:rPr>
          <w:rFonts w:ascii="Times New Roman" w:eastAsia="Times New Roman" w:hAnsi="Times New Roman"/>
          <w:sz w:val="24"/>
          <w:szCs w:val="22"/>
        </w:rPr>
        <w:t>a identificación y evaluación de l</w:t>
      </w:r>
      <w:r w:rsidRPr="009A27ED">
        <w:rPr>
          <w:rFonts w:ascii="Times New Roman" w:eastAsia="Times New Roman" w:hAnsi="Times New Roman"/>
          <w:sz w:val="24"/>
          <w:szCs w:val="22"/>
        </w:rPr>
        <w:t xml:space="preserve">os principales </w:t>
      </w:r>
      <w:r w:rsidR="00DC2A1B" w:rsidRPr="009A27ED">
        <w:rPr>
          <w:rFonts w:ascii="Times New Roman" w:eastAsia="Times New Roman" w:hAnsi="Times New Roman"/>
          <w:sz w:val="24"/>
          <w:szCs w:val="22"/>
        </w:rPr>
        <w:t>riesgos e impactos ambientales asociados a las opciones y acciones estratégica REDD+ en República Dominicana</w:t>
      </w:r>
      <w:r w:rsidRPr="009A27ED">
        <w:rPr>
          <w:rFonts w:ascii="Times New Roman" w:eastAsia="Times New Roman" w:hAnsi="Times New Roman"/>
          <w:sz w:val="24"/>
          <w:szCs w:val="22"/>
        </w:rPr>
        <w:t xml:space="preserve">. </w:t>
      </w:r>
      <w:r w:rsidR="00DC2A1B" w:rsidRPr="009A27ED">
        <w:rPr>
          <w:rFonts w:ascii="Times New Roman" w:eastAsia="Times New Roman" w:hAnsi="Times New Roman"/>
          <w:sz w:val="24"/>
          <w:szCs w:val="22"/>
        </w:rPr>
        <w:t>También los resultados del proceso de evaluación estratégica ambiental y social de la opciones y acciones estratégicas REDD+, y de las actividades tipo seleccionadas para REDD+.</w:t>
      </w:r>
    </w:p>
    <w:p w14:paraId="0B316D22" w14:textId="00500143" w:rsidR="00947670" w:rsidRPr="009A27ED" w:rsidRDefault="00DC2A1B" w:rsidP="005B6485">
      <w:pPr>
        <w:spacing w:before="120" w:after="0" w:line="360" w:lineRule="auto"/>
        <w:rPr>
          <w:szCs w:val="22"/>
        </w:rPr>
      </w:pPr>
      <w:r w:rsidRPr="009A27ED">
        <w:rPr>
          <w:rFonts w:ascii="Times New Roman" w:eastAsia="Times New Roman" w:hAnsi="Times New Roman"/>
          <w:sz w:val="24"/>
          <w:szCs w:val="22"/>
        </w:rPr>
        <w:t>Los</w:t>
      </w:r>
      <w:r w:rsidR="00947670" w:rsidRPr="009A27ED">
        <w:rPr>
          <w:rFonts w:ascii="Times New Roman" w:eastAsia="Times New Roman" w:hAnsi="Times New Roman"/>
          <w:sz w:val="24"/>
          <w:szCs w:val="22"/>
        </w:rPr>
        <w:t xml:space="preserve"> Cap</w:t>
      </w:r>
      <w:r w:rsidRPr="009A27ED">
        <w:rPr>
          <w:rFonts w:ascii="Times New Roman" w:eastAsia="Times New Roman" w:hAnsi="Times New Roman"/>
          <w:sz w:val="24"/>
          <w:szCs w:val="22"/>
        </w:rPr>
        <w:t>í</w:t>
      </w:r>
      <w:r w:rsidR="00947670" w:rsidRPr="009A27ED">
        <w:rPr>
          <w:rFonts w:ascii="Times New Roman" w:eastAsia="Times New Roman" w:hAnsi="Times New Roman"/>
          <w:sz w:val="24"/>
          <w:szCs w:val="22"/>
        </w:rPr>
        <w:t>tulo</w:t>
      </w:r>
      <w:r w:rsidRPr="009A27ED">
        <w:rPr>
          <w:rFonts w:ascii="Times New Roman" w:eastAsia="Times New Roman" w:hAnsi="Times New Roman"/>
          <w:sz w:val="24"/>
          <w:szCs w:val="22"/>
        </w:rPr>
        <w:t>s</w:t>
      </w:r>
      <w:r w:rsidR="00947670" w:rsidRPr="009A27ED">
        <w:rPr>
          <w:rFonts w:ascii="Times New Roman" w:eastAsia="Times New Roman" w:hAnsi="Times New Roman"/>
          <w:sz w:val="24"/>
          <w:szCs w:val="22"/>
        </w:rPr>
        <w:t xml:space="preserve"> N°5</w:t>
      </w:r>
      <w:r w:rsidRPr="009A27ED">
        <w:rPr>
          <w:rFonts w:ascii="Times New Roman" w:eastAsia="Times New Roman" w:hAnsi="Times New Roman"/>
          <w:sz w:val="24"/>
          <w:szCs w:val="22"/>
        </w:rPr>
        <w:t xml:space="preserve"> y 6</w:t>
      </w:r>
      <w:r w:rsidR="00947670" w:rsidRPr="009A27ED">
        <w:rPr>
          <w:rFonts w:ascii="Times New Roman" w:eastAsia="Times New Roman" w:hAnsi="Times New Roman"/>
          <w:sz w:val="24"/>
          <w:szCs w:val="22"/>
        </w:rPr>
        <w:t xml:space="preserve"> presenta</w:t>
      </w:r>
      <w:r w:rsidR="00C243C2" w:rsidRPr="009A27ED">
        <w:rPr>
          <w:rFonts w:ascii="Times New Roman" w:eastAsia="Times New Roman" w:hAnsi="Times New Roman"/>
          <w:sz w:val="24"/>
          <w:szCs w:val="22"/>
        </w:rPr>
        <w:t>n</w:t>
      </w:r>
      <w:r w:rsidR="00947670" w:rsidRPr="009A27ED">
        <w:rPr>
          <w:rFonts w:ascii="Times New Roman" w:eastAsia="Times New Roman" w:hAnsi="Times New Roman"/>
          <w:sz w:val="24"/>
          <w:szCs w:val="22"/>
        </w:rPr>
        <w:t xml:space="preserve"> los arreglos institucionales para la implementación del MGAS. Est</w:t>
      </w:r>
      <w:r w:rsidR="0017708E" w:rsidRPr="009A27ED">
        <w:rPr>
          <w:rFonts w:ascii="Times New Roman" w:eastAsia="Times New Roman" w:hAnsi="Times New Roman"/>
          <w:sz w:val="24"/>
          <w:szCs w:val="22"/>
        </w:rPr>
        <w:t>a</w:t>
      </w:r>
      <w:r w:rsidR="00947670" w:rsidRPr="009A27ED">
        <w:rPr>
          <w:rFonts w:ascii="Times New Roman" w:eastAsia="Times New Roman" w:hAnsi="Times New Roman"/>
          <w:sz w:val="24"/>
          <w:szCs w:val="22"/>
        </w:rPr>
        <w:t xml:space="preserve"> es una sección clave del documento porque </w:t>
      </w:r>
      <w:r w:rsidR="003757AE" w:rsidRPr="009A27ED">
        <w:rPr>
          <w:rFonts w:ascii="Times New Roman" w:eastAsia="Times New Roman" w:hAnsi="Times New Roman"/>
          <w:sz w:val="24"/>
          <w:szCs w:val="22"/>
        </w:rPr>
        <w:t xml:space="preserve">se </w:t>
      </w:r>
      <w:r w:rsidR="00D94265" w:rsidRPr="009A27ED">
        <w:rPr>
          <w:rFonts w:ascii="Times New Roman" w:eastAsia="Times New Roman" w:hAnsi="Times New Roman"/>
          <w:sz w:val="24"/>
          <w:szCs w:val="22"/>
        </w:rPr>
        <w:t>presenta</w:t>
      </w:r>
      <w:r w:rsidR="00947670" w:rsidRPr="009A27ED">
        <w:rPr>
          <w:rFonts w:ascii="Times New Roman" w:eastAsia="Times New Roman" w:hAnsi="Times New Roman"/>
          <w:sz w:val="24"/>
          <w:szCs w:val="22"/>
        </w:rPr>
        <w:t xml:space="preserve"> el rol de las Entidades Ejecutoras (EE) de las acciones </w:t>
      </w:r>
      <w:r w:rsidR="007E798F" w:rsidRPr="009A27ED">
        <w:rPr>
          <w:rFonts w:ascii="Times New Roman" w:eastAsia="Times New Roman" w:hAnsi="Times New Roman"/>
          <w:sz w:val="24"/>
          <w:szCs w:val="22"/>
        </w:rPr>
        <w:t>específicas</w:t>
      </w:r>
      <w:r w:rsidR="00947670" w:rsidRPr="009A27ED">
        <w:rPr>
          <w:rFonts w:ascii="Times New Roman" w:eastAsia="Times New Roman" w:hAnsi="Times New Roman"/>
          <w:sz w:val="24"/>
          <w:szCs w:val="22"/>
        </w:rPr>
        <w:t xml:space="preserve"> REDD+, y su relación y responsabilidad con la Oficina de Coordinación REDD+ (OCR) para la implementación, el cumplimiento y el seguimiento de las salvaguardas</w:t>
      </w:r>
      <w:r w:rsidR="0017708E" w:rsidRPr="009A27ED">
        <w:rPr>
          <w:rFonts w:ascii="Times New Roman" w:eastAsia="Times New Roman" w:hAnsi="Times New Roman"/>
          <w:sz w:val="24"/>
          <w:szCs w:val="22"/>
        </w:rPr>
        <w:t xml:space="preserve"> REDD+</w:t>
      </w:r>
      <w:r w:rsidR="00F76B40" w:rsidRPr="009A27ED">
        <w:rPr>
          <w:rFonts w:ascii="Times New Roman" w:eastAsia="Times New Roman" w:hAnsi="Times New Roman"/>
          <w:sz w:val="24"/>
          <w:szCs w:val="22"/>
        </w:rPr>
        <w:t xml:space="preserve">, incluidas </w:t>
      </w:r>
      <w:r w:rsidR="0017708E" w:rsidRPr="009A27ED">
        <w:rPr>
          <w:rFonts w:ascii="Times New Roman" w:eastAsia="Times New Roman" w:hAnsi="Times New Roman"/>
          <w:sz w:val="24"/>
          <w:szCs w:val="22"/>
        </w:rPr>
        <w:t>las Políticas Operativas del Banco Mundial</w:t>
      </w:r>
      <w:r w:rsidR="00947670" w:rsidRPr="009A27ED">
        <w:rPr>
          <w:rFonts w:ascii="Times New Roman" w:eastAsia="Times New Roman" w:hAnsi="Times New Roman"/>
          <w:sz w:val="24"/>
          <w:szCs w:val="22"/>
        </w:rPr>
        <w:t xml:space="preserve">. </w:t>
      </w:r>
    </w:p>
    <w:p w14:paraId="29E3F321" w14:textId="77777777" w:rsidR="00C243C2" w:rsidRPr="009A27ED" w:rsidRDefault="00947670" w:rsidP="005B6485">
      <w:pPr>
        <w:spacing w:before="120" w:after="0" w:line="360" w:lineRule="auto"/>
        <w:rPr>
          <w:szCs w:val="22"/>
        </w:rPr>
      </w:pPr>
      <w:r w:rsidRPr="009A27ED">
        <w:rPr>
          <w:rFonts w:ascii="Times New Roman" w:eastAsia="Times New Roman" w:hAnsi="Times New Roman"/>
          <w:sz w:val="24"/>
          <w:szCs w:val="22"/>
        </w:rPr>
        <w:t xml:space="preserve">En el </w:t>
      </w:r>
      <w:r w:rsidR="007E798F" w:rsidRPr="009A27ED">
        <w:rPr>
          <w:rFonts w:ascii="Times New Roman" w:eastAsia="Times New Roman" w:hAnsi="Times New Roman"/>
          <w:sz w:val="24"/>
          <w:szCs w:val="22"/>
        </w:rPr>
        <w:t>Capítulo</w:t>
      </w:r>
      <w:r w:rsidRPr="009A27ED">
        <w:rPr>
          <w:rFonts w:ascii="Times New Roman" w:eastAsia="Times New Roman" w:hAnsi="Times New Roman"/>
          <w:sz w:val="24"/>
          <w:szCs w:val="22"/>
        </w:rPr>
        <w:t xml:space="preserve"> N°7 (junto con los anexos relevantes que contienen los protocolos</w:t>
      </w:r>
      <w:r w:rsidR="00D94265" w:rsidRPr="009A27ED">
        <w:rPr>
          <w:rFonts w:ascii="Times New Roman" w:eastAsia="Times New Roman" w:hAnsi="Times New Roman"/>
          <w:sz w:val="24"/>
          <w:szCs w:val="22"/>
        </w:rPr>
        <w:t xml:space="preserve"> concretos</w:t>
      </w:r>
      <w:r w:rsidRPr="009A27ED">
        <w:rPr>
          <w:rFonts w:ascii="Times New Roman" w:eastAsia="Times New Roman" w:hAnsi="Times New Roman"/>
          <w:sz w:val="24"/>
          <w:szCs w:val="22"/>
        </w:rPr>
        <w:t xml:space="preserve"> y marcos </w:t>
      </w:r>
      <w:r w:rsidR="007E798F" w:rsidRPr="009A27ED">
        <w:rPr>
          <w:rFonts w:ascii="Times New Roman" w:eastAsia="Times New Roman" w:hAnsi="Times New Roman"/>
          <w:sz w:val="24"/>
          <w:szCs w:val="22"/>
        </w:rPr>
        <w:t>específicos)</w:t>
      </w:r>
      <w:r w:rsidRPr="009A27ED">
        <w:rPr>
          <w:rFonts w:ascii="Times New Roman" w:eastAsia="Times New Roman" w:hAnsi="Times New Roman"/>
          <w:sz w:val="24"/>
          <w:szCs w:val="22"/>
        </w:rPr>
        <w:t xml:space="preserve"> se presenta el cuerpo del documento, correspondiente a los procedimientos para </w:t>
      </w:r>
      <w:r w:rsidR="00C243C2" w:rsidRPr="009A27ED">
        <w:rPr>
          <w:rFonts w:ascii="Times New Roman" w:eastAsia="Times New Roman" w:hAnsi="Times New Roman"/>
          <w:sz w:val="24"/>
          <w:szCs w:val="22"/>
        </w:rPr>
        <w:t xml:space="preserve">el monitoreo y reporte </w:t>
      </w:r>
      <w:r w:rsidRPr="009A27ED">
        <w:rPr>
          <w:rFonts w:ascii="Times New Roman" w:eastAsia="Times New Roman" w:hAnsi="Times New Roman"/>
          <w:sz w:val="24"/>
          <w:szCs w:val="22"/>
        </w:rPr>
        <w:t>del MGAS. En esta sección se describen los procedimientos y pasos que deberán seguir las EE y la OCR a fin de asegurar y demostrar cumplimiento con las salvaguardas ambientales y sociales durante la implementación de las actividades espec</w:t>
      </w:r>
      <w:r w:rsidR="00D94265" w:rsidRPr="009A27ED">
        <w:rPr>
          <w:rFonts w:ascii="Times New Roman" w:eastAsia="Times New Roman" w:hAnsi="Times New Roman"/>
          <w:sz w:val="24"/>
          <w:szCs w:val="22"/>
        </w:rPr>
        <w:t>í</w:t>
      </w:r>
      <w:r w:rsidRPr="009A27ED">
        <w:rPr>
          <w:rFonts w:ascii="Times New Roman" w:eastAsia="Times New Roman" w:hAnsi="Times New Roman"/>
          <w:sz w:val="24"/>
          <w:szCs w:val="22"/>
        </w:rPr>
        <w:t xml:space="preserve">ficas REDD+. </w:t>
      </w:r>
    </w:p>
    <w:p w14:paraId="3229F512" w14:textId="174DB795" w:rsidR="00947670" w:rsidRPr="009A27ED" w:rsidRDefault="00947670" w:rsidP="005B6485">
      <w:pPr>
        <w:spacing w:before="120" w:after="0" w:line="360" w:lineRule="auto"/>
        <w:rPr>
          <w:szCs w:val="22"/>
        </w:rPr>
      </w:pPr>
      <w:r w:rsidRPr="009A27ED">
        <w:rPr>
          <w:rFonts w:ascii="Times New Roman" w:eastAsia="Times New Roman" w:hAnsi="Times New Roman"/>
          <w:sz w:val="24"/>
          <w:szCs w:val="22"/>
        </w:rPr>
        <w:t>El Cap</w:t>
      </w:r>
      <w:r w:rsidR="00C243C2" w:rsidRPr="009A27ED">
        <w:rPr>
          <w:rFonts w:ascii="Times New Roman" w:eastAsia="Times New Roman" w:hAnsi="Times New Roman"/>
          <w:sz w:val="24"/>
          <w:szCs w:val="22"/>
        </w:rPr>
        <w:t>í</w:t>
      </w:r>
      <w:r w:rsidRPr="009A27ED">
        <w:rPr>
          <w:rFonts w:ascii="Times New Roman" w:eastAsia="Times New Roman" w:hAnsi="Times New Roman"/>
          <w:sz w:val="24"/>
          <w:szCs w:val="22"/>
        </w:rPr>
        <w:t xml:space="preserve">tulo N°8 del MGAS presenta el proceso de monitoreo y reporte del MGAS y salvaguardas a través del SIS, </w:t>
      </w:r>
      <w:r w:rsidR="00C243C2" w:rsidRPr="009A27ED">
        <w:rPr>
          <w:rFonts w:ascii="Times New Roman" w:eastAsia="Times New Roman" w:hAnsi="Times New Roman"/>
          <w:sz w:val="24"/>
          <w:szCs w:val="22"/>
        </w:rPr>
        <w:t xml:space="preserve">también un resumen </w:t>
      </w:r>
      <w:r w:rsidRPr="009A27ED">
        <w:rPr>
          <w:rFonts w:ascii="Times New Roman" w:eastAsia="Times New Roman" w:hAnsi="Times New Roman"/>
          <w:sz w:val="24"/>
          <w:szCs w:val="22"/>
        </w:rPr>
        <w:t xml:space="preserve">que permitirá manejar de forma clara y efectiva quejas o conflictos derivados de la implementación de las actividades REDD+, </w:t>
      </w:r>
      <w:r w:rsidR="00EE3163" w:rsidRPr="009A27ED">
        <w:rPr>
          <w:rFonts w:ascii="Times New Roman" w:eastAsia="Times New Roman" w:hAnsi="Times New Roman"/>
          <w:sz w:val="24"/>
          <w:szCs w:val="22"/>
        </w:rPr>
        <w:t>y,</w:t>
      </w:r>
      <w:r w:rsidRPr="009A27ED">
        <w:rPr>
          <w:rFonts w:ascii="Times New Roman" w:eastAsia="Times New Roman" w:hAnsi="Times New Roman"/>
          <w:sz w:val="24"/>
          <w:szCs w:val="22"/>
        </w:rPr>
        <w:t xml:space="preserve"> </w:t>
      </w:r>
      <w:r w:rsidR="00D94265" w:rsidRPr="009A27ED">
        <w:rPr>
          <w:rFonts w:ascii="Times New Roman" w:eastAsia="Times New Roman" w:hAnsi="Times New Roman"/>
          <w:sz w:val="24"/>
          <w:szCs w:val="22"/>
        </w:rPr>
        <w:t>por lo tanto,</w:t>
      </w:r>
      <w:r w:rsidRPr="009A27ED">
        <w:rPr>
          <w:rFonts w:ascii="Times New Roman" w:eastAsia="Times New Roman" w:hAnsi="Times New Roman"/>
          <w:sz w:val="24"/>
          <w:szCs w:val="22"/>
        </w:rPr>
        <w:t xml:space="preserve"> del MGAS. </w:t>
      </w:r>
      <w:r w:rsidR="00C243C2" w:rsidRPr="009A27ED">
        <w:rPr>
          <w:rFonts w:ascii="Times New Roman" w:eastAsia="Times New Roman" w:hAnsi="Times New Roman"/>
          <w:sz w:val="24"/>
          <w:szCs w:val="22"/>
        </w:rPr>
        <w:t xml:space="preserve">El Capítulo N°9 detalla los datos sobre el presupuesto desarrollado por la UTG para la implementación del MGAS. </w:t>
      </w:r>
      <w:r w:rsidR="00EE3163" w:rsidRPr="009A27ED">
        <w:rPr>
          <w:rFonts w:ascii="Times New Roman" w:eastAsia="Times New Roman" w:hAnsi="Times New Roman"/>
          <w:sz w:val="24"/>
          <w:szCs w:val="22"/>
        </w:rPr>
        <w:t>El Capítulo</w:t>
      </w:r>
      <w:r w:rsidR="00C243C2" w:rsidRPr="009A27ED">
        <w:rPr>
          <w:rFonts w:ascii="Times New Roman" w:eastAsia="Times New Roman" w:hAnsi="Times New Roman"/>
          <w:sz w:val="24"/>
          <w:szCs w:val="22"/>
        </w:rPr>
        <w:t xml:space="preserve"> N°10 presenta el proceso llevado a cabo por la UTG para socializar la EN REDD+ y su proceso de construcción con los actores involucrados.</w:t>
      </w:r>
    </w:p>
    <w:p w14:paraId="0E8E091C" w14:textId="1A6F3870" w:rsidR="003F6474" w:rsidRPr="009A27ED" w:rsidRDefault="00947670" w:rsidP="005B6485">
      <w:pPr>
        <w:spacing w:before="120" w:after="0" w:line="360" w:lineRule="auto"/>
      </w:pPr>
      <w:r w:rsidRPr="009A27ED">
        <w:rPr>
          <w:rFonts w:ascii="Times New Roman" w:eastAsia="Times New Roman" w:hAnsi="Times New Roman"/>
          <w:sz w:val="24"/>
          <w:szCs w:val="22"/>
        </w:rPr>
        <w:t xml:space="preserve">Finalmente, en el Capítulo N°11 </w:t>
      </w:r>
      <w:r w:rsidR="001B4E0C" w:rsidRPr="009A27ED">
        <w:rPr>
          <w:rFonts w:ascii="Times New Roman" w:eastAsia="Times New Roman" w:hAnsi="Times New Roman"/>
          <w:sz w:val="24"/>
          <w:szCs w:val="22"/>
        </w:rPr>
        <w:t xml:space="preserve">se presenta un resumen del Plan de Distribución de Beneficios y el Capítulo N°12 </w:t>
      </w:r>
      <w:r w:rsidRPr="009A27ED">
        <w:rPr>
          <w:rFonts w:ascii="Times New Roman" w:eastAsia="Times New Roman" w:hAnsi="Times New Roman"/>
          <w:sz w:val="24"/>
          <w:szCs w:val="22"/>
        </w:rPr>
        <w:t xml:space="preserve">se presentan las conclusiones del documento y pasos </w:t>
      </w:r>
      <w:r w:rsidR="00AF4C22" w:rsidRPr="009A27ED">
        <w:rPr>
          <w:rFonts w:ascii="Times New Roman" w:eastAsia="Times New Roman" w:hAnsi="Times New Roman"/>
          <w:sz w:val="24"/>
          <w:szCs w:val="22"/>
        </w:rPr>
        <w:t>propuestos</w:t>
      </w:r>
      <w:r w:rsidR="0082040D" w:rsidRPr="009A27ED">
        <w:rPr>
          <w:rFonts w:ascii="Times New Roman" w:eastAsia="Times New Roman" w:hAnsi="Times New Roman"/>
          <w:sz w:val="24"/>
          <w:szCs w:val="22"/>
        </w:rPr>
        <w:t xml:space="preserve"> </w:t>
      </w:r>
      <w:r w:rsidR="00B82249" w:rsidRPr="009A27ED">
        <w:rPr>
          <w:rFonts w:ascii="Times New Roman" w:eastAsia="Times New Roman" w:hAnsi="Times New Roman"/>
          <w:sz w:val="24"/>
          <w:szCs w:val="22"/>
        </w:rPr>
        <w:t xml:space="preserve">para el seguimiento y operacionalización del </w:t>
      </w:r>
      <w:r w:rsidRPr="009A27ED">
        <w:rPr>
          <w:rFonts w:ascii="Times New Roman" w:eastAsia="Times New Roman" w:hAnsi="Times New Roman"/>
          <w:sz w:val="24"/>
          <w:szCs w:val="22"/>
        </w:rPr>
        <w:t xml:space="preserve">MGAS. </w:t>
      </w:r>
      <w:r w:rsidR="003F6474" w:rsidRPr="009A27ED">
        <w:rPr>
          <w:rFonts w:ascii="Times New Roman" w:eastAsia="Times New Roman" w:hAnsi="Times New Roman"/>
          <w:sz w:val="24"/>
          <w:szCs w:val="22"/>
        </w:rPr>
        <w:t xml:space="preserve">El documento es acompañado de una serie de anexos que complementan el detalle de capítulos vitales del proceso de </w:t>
      </w:r>
      <w:r w:rsidR="00DC349B" w:rsidRPr="009A27ED">
        <w:rPr>
          <w:rFonts w:ascii="Times New Roman" w:eastAsia="Times New Roman" w:hAnsi="Times New Roman"/>
          <w:sz w:val="24"/>
          <w:szCs w:val="22"/>
        </w:rPr>
        <w:t xml:space="preserve">construcción de la Evaluación Estratégica Social y Ambiental (SESA), el Marco de Gestión Ambiental y Social (MGAS) emanado de esta evaluación, y los instrumentos asociados a los Planes de Manejo Ambiental y Social para cada área priorizada REDD+ (PMAS), el Sistema de Información de Salvaguardas (SIS) y </w:t>
      </w:r>
      <w:r w:rsidR="00DC349B" w:rsidRPr="009A27ED">
        <w:rPr>
          <w:rFonts w:ascii="Times New Roman" w:eastAsia="Times New Roman" w:hAnsi="Times New Roman"/>
          <w:sz w:val="24"/>
          <w:szCs w:val="22"/>
        </w:rPr>
        <w:lastRenderedPageBreak/>
        <w:t xml:space="preserve">las fichas correspondientes de seguimiento y monitoreo, el Mecanismo de Quejas, Reclamos y </w:t>
      </w:r>
      <w:r w:rsidR="00283BE5" w:rsidRPr="009A27ED">
        <w:rPr>
          <w:rFonts w:ascii="Times New Roman" w:eastAsia="Times New Roman" w:hAnsi="Times New Roman"/>
          <w:sz w:val="24"/>
          <w:szCs w:val="22"/>
        </w:rPr>
        <w:t>Manejo</w:t>
      </w:r>
      <w:r w:rsidR="00DC349B" w:rsidRPr="009A27ED">
        <w:rPr>
          <w:rFonts w:ascii="Times New Roman" w:eastAsia="Times New Roman" w:hAnsi="Times New Roman"/>
          <w:sz w:val="24"/>
          <w:szCs w:val="22"/>
        </w:rPr>
        <w:t xml:space="preserve"> de Conflictos (MQRC) y el Enfoque Nacional de Salvaguardas (ENS) y su respectiva articulación en el proceso de implementación de las actividades tipo REDD+</w:t>
      </w:r>
      <w:r w:rsidR="00283BE5" w:rsidRPr="009A27ED">
        <w:rPr>
          <w:rFonts w:ascii="Times New Roman" w:eastAsia="Times New Roman" w:hAnsi="Times New Roman"/>
          <w:sz w:val="24"/>
          <w:szCs w:val="22"/>
        </w:rPr>
        <w:t>, finalmente se incluye un resumen que refleja las orientaciones básicas para implementar un Plan de Distribución de Beneficios</w:t>
      </w:r>
      <w:r w:rsidR="00DC349B" w:rsidRPr="009A27ED">
        <w:rPr>
          <w:rFonts w:ascii="Times New Roman" w:eastAsia="Times New Roman" w:hAnsi="Times New Roman"/>
          <w:sz w:val="24"/>
          <w:szCs w:val="22"/>
        </w:rPr>
        <w:t>.</w:t>
      </w:r>
    </w:p>
    <w:p w14:paraId="74374B0D" w14:textId="5F4104AF" w:rsidR="003F6474" w:rsidRPr="009A27ED" w:rsidRDefault="003F6474" w:rsidP="005B6485">
      <w:pPr>
        <w:spacing w:before="120" w:after="0" w:line="360" w:lineRule="auto"/>
      </w:pPr>
    </w:p>
    <w:p w14:paraId="5C5D9CFE" w14:textId="767B6F31" w:rsidR="003F6474" w:rsidRPr="009A27ED" w:rsidRDefault="003F6474" w:rsidP="005B6485">
      <w:pPr>
        <w:spacing w:before="120" w:after="0" w:line="360" w:lineRule="auto"/>
      </w:pPr>
    </w:p>
    <w:p w14:paraId="78659BE7" w14:textId="71237D35" w:rsidR="003F6474" w:rsidRPr="009A27ED" w:rsidRDefault="003F6474" w:rsidP="005B6485">
      <w:pPr>
        <w:spacing w:before="120" w:after="0" w:line="360" w:lineRule="auto"/>
      </w:pPr>
    </w:p>
    <w:p w14:paraId="798754FC" w14:textId="77777777" w:rsidR="003F6474" w:rsidRPr="009A27ED" w:rsidRDefault="003F6474" w:rsidP="005B6485">
      <w:pPr>
        <w:spacing w:before="120" w:after="0" w:line="360" w:lineRule="auto"/>
      </w:pPr>
    </w:p>
    <w:p w14:paraId="29B0A54C" w14:textId="675DD35F" w:rsidR="00947670" w:rsidRPr="009A27ED" w:rsidRDefault="00947670" w:rsidP="00E67CB0">
      <w:pPr>
        <w:pStyle w:val="Ttulo1"/>
        <w:numPr>
          <w:ilvl w:val="0"/>
          <w:numId w:val="285"/>
        </w:numPr>
        <w:spacing w:line="360" w:lineRule="auto"/>
        <w:jc w:val="both"/>
      </w:pPr>
      <w:bookmarkStart w:id="12" w:name="_Toc18505631"/>
      <w:bookmarkStart w:id="13" w:name="_Toc18505632"/>
      <w:bookmarkStart w:id="14" w:name="_Toc18505633"/>
      <w:bookmarkStart w:id="15" w:name="_Toc18505634"/>
      <w:bookmarkStart w:id="16" w:name="_Toc18505635"/>
      <w:bookmarkStart w:id="17" w:name="_Toc18505636"/>
      <w:bookmarkStart w:id="18" w:name="_Toc18505637"/>
      <w:bookmarkStart w:id="19" w:name="_Toc18505638"/>
      <w:bookmarkStart w:id="20" w:name="_Toc18505639"/>
      <w:bookmarkStart w:id="21" w:name="_Toc18505640"/>
      <w:bookmarkStart w:id="22" w:name="_Toc18505641"/>
      <w:bookmarkStart w:id="23" w:name="_Toc18505642"/>
      <w:bookmarkStart w:id="24" w:name="_Toc18505643"/>
      <w:bookmarkStart w:id="25" w:name="_Toc18505644"/>
      <w:bookmarkStart w:id="26" w:name="_Toc18505645"/>
      <w:bookmarkStart w:id="27" w:name="_Toc532335837"/>
      <w:bookmarkStart w:id="28" w:name="_Toc111837908"/>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r w:rsidRPr="009A27ED">
        <w:rPr>
          <w:rFonts w:ascii="Times New Roman" w:eastAsia="Times New Roman" w:hAnsi="Times New Roman"/>
          <w:sz w:val="24"/>
        </w:rPr>
        <w:t>Introducción</w:t>
      </w:r>
      <w:bookmarkEnd w:id="27"/>
      <w:bookmarkEnd w:id="28"/>
      <w:r w:rsidRPr="009A27ED">
        <w:rPr>
          <w:rFonts w:ascii="Times New Roman" w:eastAsia="Times New Roman" w:hAnsi="Times New Roman"/>
          <w:sz w:val="24"/>
        </w:rPr>
        <w:t xml:space="preserve"> </w:t>
      </w:r>
    </w:p>
    <w:p w14:paraId="78C22BD3" w14:textId="78370AF6" w:rsidR="00947670" w:rsidRPr="009A27ED" w:rsidRDefault="00947670" w:rsidP="005B6485">
      <w:pPr>
        <w:spacing w:before="120" w:after="0" w:line="360" w:lineRule="auto"/>
        <w:rPr>
          <w:szCs w:val="22"/>
        </w:rPr>
      </w:pPr>
      <w:r w:rsidRPr="009A27ED">
        <w:rPr>
          <w:rFonts w:ascii="Times New Roman" w:eastAsia="Times New Roman" w:hAnsi="Times New Roman"/>
          <w:sz w:val="24"/>
          <w:szCs w:val="22"/>
        </w:rPr>
        <w:t xml:space="preserve">REDD+ es una estrategia internacional de mitigación del cambio climático que tiene como </w:t>
      </w:r>
      <w:r w:rsidR="00E959C6" w:rsidRPr="009A27ED">
        <w:rPr>
          <w:rFonts w:ascii="Times New Roman" w:eastAsia="Times New Roman" w:hAnsi="Times New Roman"/>
          <w:sz w:val="24"/>
          <w:szCs w:val="22"/>
        </w:rPr>
        <w:t>propósito</w:t>
      </w:r>
      <w:r w:rsidR="00752A06" w:rsidRPr="009A27ED">
        <w:rPr>
          <w:rFonts w:ascii="Times New Roman" w:eastAsia="Times New Roman" w:hAnsi="Times New Roman"/>
          <w:sz w:val="24"/>
          <w:szCs w:val="22"/>
        </w:rPr>
        <w:t xml:space="preserve"> </w:t>
      </w:r>
      <w:r w:rsidRPr="009A27ED">
        <w:rPr>
          <w:rFonts w:ascii="Times New Roman" w:eastAsia="Times New Roman" w:hAnsi="Times New Roman"/>
          <w:sz w:val="24"/>
          <w:szCs w:val="22"/>
        </w:rPr>
        <w:t>reducir las emisiones de la deforestación y la degradación forestal en los países con bosques tropicales, apoyar el papel de la conservación, la gestión sostenible de los bosques y el aumento de las reservas forestales de carbono. REDD+ tiene como objetivos generales</w:t>
      </w:r>
      <w:r w:rsidR="0017708E" w:rsidRPr="009A27ED">
        <w:rPr>
          <w:rFonts w:ascii="Times New Roman" w:eastAsia="Times New Roman" w:hAnsi="Times New Roman"/>
          <w:sz w:val="24"/>
          <w:szCs w:val="22"/>
        </w:rPr>
        <w:t>:</w:t>
      </w:r>
      <w:r w:rsidRPr="009A27ED">
        <w:rPr>
          <w:rFonts w:ascii="Times New Roman" w:eastAsia="Times New Roman" w:hAnsi="Times New Roman"/>
          <w:sz w:val="24"/>
          <w:szCs w:val="22"/>
        </w:rPr>
        <w:t xml:space="preserve"> </w:t>
      </w:r>
      <w:r w:rsidR="0017708E" w:rsidRPr="009A27ED">
        <w:rPr>
          <w:rFonts w:ascii="Times New Roman" w:eastAsia="Times New Roman" w:hAnsi="Times New Roman"/>
          <w:sz w:val="24"/>
          <w:szCs w:val="22"/>
        </w:rPr>
        <w:t xml:space="preserve">a) </w:t>
      </w:r>
      <w:r w:rsidRPr="009A27ED">
        <w:rPr>
          <w:rFonts w:ascii="Times New Roman" w:eastAsia="Times New Roman" w:hAnsi="Times New Roman"/>
          <w:sz w:val="24"/>
          <w:szCs w:val="22"/>
        </w:rPr>
        <w:t xml:space="preserve">contribuir a la reducción de las emisiones globales de carbono provenientes de la deforestación mediante la mejora de la gobernanza forestal a nivel nacional, y </w:t>
      </w:r>
      <w:r w:rsidR="0017708E" w:rsidRPr="009A27ED">
        <w:rPr>
          <w:rFonts w:ascii="Times New Roman" w:eastAsia="Times New Roman" w:hAnsi="Times New Roman"/>
          <w:sz w:val="24"/>
          <w:szCs w:val="22"/>
        </w:rPr>
        <w:t xml:space="preserve">b) </w:t>
      </w:r>
      <w:r w:rsidRPr="009A27ED">
        <w:rPr>
          <w:rFonts w:ascii="Times New Roman" w:eastAsia="Times New Roman" w:hAnsi="Times New Roman"/>
          <w:sz w:val="24"/>
          <w:szCs w:val="22"/>
        </w:rPr>
        <w:t>ofrecer incentivos financieros para detener o revertir la pérdida de los bosques</w:t>
      </w:r>
      <w:r w:rsidR="0017708E" w:rsidRPr="009A27ED">
        <w:rPr>
          <w:rFonts w:ascii="Times New Roman" w:eastAsia="Times New Roman" w:hAnsi="Times New Roman"/>
          <w:sz w:val="24"/>
          <w:szCs w:val="22"/>
        </w:rPr>
        <w:t xml:space="preserve"> a través de un pago por resultados</w:t>
      </w:r>
      <w:r w:rsidRPr="009A27ED">
        <w:rPr>
          <w:rFonts w:ascii="Times New Roman" w:eastAsia="Times New Roman" w:hAnsi="Times New Roman"/>
          <w:sz w:val="24"/>
          <w:szCs w:val="22"/>
        </w:rPr>
        <w:t xml:space="preserve">. </w:t>
      </w:r>
    </w:p>
    <w:p w14:paraId="4C1827FA" w14:textId="4BEEBE7C" w:rsidR="00947670" w:rsidRPr="009A27ED" w:rsidRDefault="00947670" w:rsidP="005B6485">
      <w:pPr>
        <w:spacing w:before="120" w:after="0" w:line="360" w:lineRule="auto"/>
        <w:rPr>
          <w:szCs w:val="22"/>
        </w:rPr>
      </w:pPr>
      <w:r w:rsidRPr="009A27ED">
        <w:rPr>
          <w:rFonts w:ascii="Times New Roman" w:eastAsia="Times New Roman" w:hAnsi="Times New Roman"/>
          <w:sz w:val="24"/>
          <w:szCs w:val="22"/>
        </w:rPr>
        <w:t xml:space="preserve">El Gobierno de la República Dominicana expresó su intención de participar en actividades REDD+ bajo la CMNUCC </w:t>
      </w:r>
      <w:r w:rsidR="0017708E" w:rsidRPr="009A27ED">
        <w:rPr>
          <w:rFonts w:ascii="Times New Roman" w:eastAsia="Times New Roman" w:hAnsi="Times New Roman"/>
          <w:sz w:val="24"/>
          <w:szCs w:val="22"/>
        </w:rPr>
        <w:t>(</w:t>
      </w:r>
      <w:r w:rsidRPr="009A27ED">
        <w:rPr>
          <w:rFonts w:ascii="Times New Roman" w:eastAsia="Times New Roman" w:hAnsi="Times New Roman"/>
          <w:sz w:val="24"/>
          <w:szCs w:val="22"/>
        </w:rPr>
        <w:t>con el apoyo del FCPF</w:t>
      </w:r>
      <w:r w:rsidR="0017708E" w:rsidRPr="009A27ED">
        <w:rPr>
          <w:rFonts w:ascii="Times New Roman" w:eastAsia="Times New Roman" w:hAnsi="Times New Roman"/>
          <w:sz w:val="24"/>
          <w:szCs w:val="22"/>
        </w:rPr>
        <w:t>)</w:t>
      </w:r>
      <w:r w:rsidRPr="009A27ED">
        <w:rPr>
          <w:rFonts w:ascii="Times New Roman" w:eastAsia="Times New Roman" w:hAnsi="Times New Roman"/>
          <w:sz w:val="24"/>
          <w:szCs w:val="22"/>
        </w:rPr>
        <w:t>, lo cual quiere decir que el país se comprometió a cumplir con los requerimientos y las directrices de ambas iniciativas, incluyendo las salvaguardas</w:t>
      </w:r>
      <w:r w:rsidR="00BE2D00" w:rsidRPr="009A27ED">
        <w:rPr>
          <w:rFonts w:ascii="Times New Roman" w:eastAsia="Times New Roman" w:hAnsi="Times New Roman"/>
          <w:sz w:val="24"/>
          <w:szCs w:val="22"/>
        </w:rPr>
        <w:t xml:space="preserve"> sociales y ambientales</w:t>
      </w:r>
      <w:r w:rsidRPr="009A27ED">
        <w:rPr>
          <w:rFonts w:ascii="Times New Roman" w:eastAsia="Times New Roman" w:hAnsi="Times New Roman"/>
          <w:sz w:val="24"/>
          <w:szCs w:val="22"/>
        </w:rPr>
        <w:t xml:space="preserve">. </w:t>
      </w:r>
      <w:r w:rsidR="0017708E" w:rsidRPr="009A27ED">
        <w:rPr>
          <w:rFonts w:ascii="Times New Roman" w:eastAsia="Times New Roman" w:hAnsi="Times New Roman"/>
          <w:sz w:val="24"/>
          <w:szCs w:val="22"/>
        </w:rPr>
        <w:t>El país</w:t>
      </w:r>
      <w:r w:rsidRPr="009A27ED">
        <w:rPr>
          <w:rFonts w:ascii="Times New Roman" w:eastAsia="Times New Roman" w:hAnsi="Times New Roman"/>
          <w:sz w:val="24"/>
          <w:szCs w:val="22"/>
        </w:rPr>
        <w:t xml:space="preserve"> debe asegurar consistencia con las salvaguardas </w:t>
      </w:r>
      <w:r w:rsidR="0017708E" w:rsidRPr="009A27ED">
        <w:rPr>
          <w:rFonts w:ascii="Times New Roman" w:eastAsia="Times New Roman" w:hAnsi="Times New Roman"/>
          <w:sz w:val="24"/>
          <w:szCs w:val="22"/>
        </w:rPr>
        <w:t>REDD+</w:t>
      </w:r>
      <w:r w:rsidRPr="009A27ED">
        <w:rPr>
          <w:rFonts w:ascii="Times New Roman" w:eastAsia="Times New Roman" w:hAnsi="Times New Roman"/>
          <w:sz w:val="24"/>
          <w:szCs w:val="22"/>
        </w:rPr>
        <w:t xml:space="preserve"> y las </w:t>
      </w:r>
      <w:r w:rsidR="00BE2D00" w:rsidRPr="009A27ED">
        <w:rPr>
          <w:rFonts w:ascii="Times New Roman" w:eastAsia="Times New Roman" w:hAnsi="Times New Roman"/>
          <w:sz w:val="24"/>
          <w:szCs w:val="22"/>
        </w:rPr>
        <w:t>P</w:t>
      </w:r>
      <w:r w:rsidRPr="009A27ED">
        <w:rPr>
          <w:rFonts w:ascii="Times New Roman" w:eastAsia="Times New Roman" w:hAnsi="Times New Roman"/>
          <w:sz w:val="24"/>
          <w:szCs w:val="22"/>
        </w:rPr>
        <w:t xml:space="preserve">olíticas </w:t>
      </w:r>
      <w:r w:rsidR="00BE2D00" w:rsidRPr="009A27ED">
        <w:rPr>
          <w:rFonts w:ascii="Times New Roman" w:eastAsia="Times New Roman" w:hAnsi="Times New Roman"/>
          <w:sz w:val="24"/>
          <w:szCs w:val="22"/>
        </w:rPr>
        <w:t xml:space="preserve">Operativas </w:t>
      </w:r>
      <w:r w:rsidRPr="009A27ED">
        <w:rPr>
          <w:rFonts w:ascii="Times New Roman" w:eastAsia="Times New Roman" w:hAnsi="Times New Roman"/>
          <w:sz w:val="24"/>
          <w:szCs w:val="22"/>
        </w:rPr>
        <w:t xml:space="preserve">del Banco Mundial. </w:t>
      </w:r>
    </w:p>
    <w:p w14:paraId="55C27211" w14:textId="77777777" w:rsidR="00947670" w:rsidRPr="009A27ED" w:rsidRDefault="00947670" w:rsidP="005B6485">
      <w:pPr>
        <w:spacing w:before="120" w:after="0" w:line="360" w:lineRule="auto"/>
        <w:rPr>
          <w:szCs w:val="22"/>
        </w:rPr>
      </w:pPr>
      <w:r w:rsidRPr="009A27ED">
        <w:rPr>
          <w:rFonts w:ascii="Times New Roman" w:eastAsia="Times New Roman" w:hAnsi="Times New Roman"/>
          <w:sz w:val="24"/>
          <w:szCs w:val="22"/>
        </w:rPr>
        <w:t>Desde el 2009 la República Dominicana se ha estado preparando para REDD+ a nivel nacional, y desde enero de 2013 es parte de los países del FCPF. El país sometió su R-PP al FCPF en el 2014 y recibió 3.8 millones de USD como apoyo para el proceso de preparación de la Estrategia Nacional REDD+.</w:t>
      </w:r>
    </w:p>
    <w:p w14:paraId="1F9EE49F" w14:textId="751F8280" w:rsidR="00947670" w:rsidRPr="009A27ED" w:rsidRDefault="00947670" w:rsidP="005B6485">
      <w:pPr>
        <w:spacing w:before="120" w:after="0" w:line="360" w:lineRule="auto"/>
        <w:rPr>
          <w:szCs w:val="22"/>
        </w:rPr>
      </w:pPr>
      <w:r w:rsidRPr="009A27ED">
        <w:rPr>
          <w:rFonts w:ascii="Times New Roman" w:eastAsia="Times New Roman" w:hAnsi="Times New Roman"/>
          <w:sz w:val="24"/>
          <w:szCs w:val="22"/>
        </w:rPr>
        <w:lastRenderedPageBreak/>
        <w:t xml:space="preserve">Con el financiamiento del FCPF la República Dominicana </w:t>
      </w:r>
      <w:r w:rsidR="008A42D5" w:rsidRPr="009A27ED">
        <w:rPr>
          <w:rFonts w:ascii="Times New Roman" w:eastAsia="Times New Roman" w:hAnsi="Times New Roman"/>
          <w:sz w:val="24"/>
          <w:szCs w:val="22"/>
        </w:rPr>
        <w:t>desarrolló</w:t>
      </w:r>
      <w:r w:rsidRPr="009A27ED">
        <w:rPr>
          <w:rFonts w:ascii="Times New Roman" w:eastAsia="Times New Roman" w:hAnsi="Times New Roman"/>
          <w:sz w:val="24"/>
          <w:szCs w:val="22"/>
        </w:rPr>
        <w:t xml:space="preserve"> actividades de planificación estratégica y de preparación para la implementación de REDD+ como son capacitación, difusión de información y estudios necesarios (sobre causa</w:t>
      </w:r>
      <w:r w:rsidR="008A42D5" w:rsidRPr="009A27ED">
        <w:rPr>
          <w:rFonts w:ascii="Times New Roman" w:eastAsia="Times New Roman" w:hAnsi="Times New Roman"/>
          <w:sz w:val="24"/>
          <w:szCs w:val="22"/>
        </w:rPr>
        <w:t>s</w:t>
      </w:r>
      <w:r w:rsidRPr="009A27ED">
        <w:rPr>
          <w:rFonts w:ascii="Times New Roman" w:eastAsia="Times New Roman" w:hAnsi="Times New Roman"/>
          <w:sz w:val="24"/>
          <w:szCs w:val="22"/>
        </w:rPr>
        <w:t xml:space="preserve"> de deforestación y degradación, capacidades institucionales/marco legal, tenencia de la tierra, niveles de referencia, </w:t>
      </w:r>
      <w:r w:rsidR="00BE2D00" w:rsidRPr="009A27ED">
        <w:rPr>
          <w:rFonts w:ascii="Times New Roman" w:eastAsia="Times New Roman" w:hAnsi="Times New Roman"/>
          <w:sz w:val="24"/>
          <w:szCs w:val="22"/>
        </w:rPr>
        <w:t xml:space="preserve">enfoque de salvaguardas, sistemas de información y el MRV, </w:t>
      </w:r>
      <w:r w:rsidRPr="009A27ED">
        <w:rPr>
          <w:rFonts w:ascii="Times New Roman" w:eastAsia="Times New Roman" w:hAnsi="Times New Roman"/>
          <w:sz w:val="24"/>
          <w:szCs w:val="22"/>
        </w:rPr>
        <w:t>etc.)</w:t>
      </w:r>
      <w:r w:rsidR="008A42D5" w:rsidRPr="009A27ED">
        <w:rPr>
          <w:rFonts w:ascii="Times New Roman" w:eastAsia="Times New Roman" w:hAnsi="Times New Roman"/>
          <w:sz w:val="24"/>
          <w:szCs w:val="22"/>
        </w:rPr>
        <w:t xml:space="preserve"> entre otras.</w:t>
      </w:r>
      <w:r w:rsidRPr="009A27ED">
        <w:rPr>
          <w:rFonts w:ascii="Times New Roman" w:eastAsia="Times New Roman" w:hAnsi="Times New Roman"/>
          <w:sz w:val="24"/>
          <w:szCs w:val="22"/>
        </w:rPr>
        <w:t xml:space="preserve"> </w:t>
      </w:r>
    </w:p>
    <w:p w14:paraId="4C719A24" w14:textId="690B9AD7" w:rsidR="00FD5E1E" w:rsidRPr="009A27ED" w:rsidRDefault="00947670" w:rsidP="005B6485">
      <w:pPr>
        <w:spacing w:before="120" w:after="0" w:line="360" w:lineRule="auto"/>
        <w:rPr>
          <w:szCs w:val="22"/>
        </w:rPr>
      </w:pPr>
      <w:r w:rsidRPr="009A27ED">
        <w:rPr>
          <w:rFonts w:ascii="Times New Roman" w:eastAsia="Times New Roman" w:hAnsi="Times New Roman"/>
          <w:sz w:val="24"/>
          <w:szCs w:val="22"/>
        </w:rPr>
        <w:t>Como uno de los requerimientos del FCPF el país desarroll</w:t>
      </w:r>
      <w:r w:rsidR="002604E0" w:rsidRPr="009A27ED">
        <w:rPr>
          <w:rFonts w:ascii="Times New Roman" w:eastAsia="Times New Roman" w:hAnsi="Times New Roman"/>
          <w:sz w:val="24"/>
          <w:szCs w:val="22"/>
        </w:rPr>
        <w:t>ó</w:t>
      </w:r>
      <w:r w:rsidRPr="009A27ED">
        <w:rPr>
          <w:rFonts w:ascii="Times New Roman" w:eastAsia="Times New Roman" w:hAnsi="Times New Roman"/>
          <w:sz w:val="24"/>
          <w:szCs w:val="22"/>
        </w:rPr>
        <w:t xml:space="preserve"> un Marco de Gestión Ambiental y Social (MGAS) para la implementación de la Estrategia REDD+. Este </w:t>
      </w:r>
      <w:r w:rsidR="008A42D5" w:rsidRPr="009A27ED">
        <w:rPr>
          <w:rFonts w:ascii="Times New Roman" w:eastAsia="Times New Roman" w:hAnsi="Times New Roman"/>
          <w:sz w:val="24"/>
          <w:szCs w:val="22"/>
        </w:rPr>
        <w:t xml:space="preserve">documento </w:t>
      </w:r>
      <w:r w:rsidRPr="009A27ED">
        <w:rPr>
          <w:rFonts w:ascii="Times New Roman" w:eastAsia="Times New Roman" w:hAnsi="Times New Roman"/>
          <w:sz w:val="24"/>
          <w:szCs w:val="22"/>
        </w:rPr>
        <w:t>es resultado del proceso de Evaluación Estratégica Ambiental y Social (SESA)</w:t>
      </w:r>
      <w:r w:rsidR="00DC349B" w:rsidRPr="009A27ED">
        <w:rPr>
          <w:rFonts w:ascii="Times New Roman" w:eastAsia="Times New Roman" w:hAnsi="Times New Roman"/>
          <w:sz w:val="24"/>
          <w:szCs w:val="22"/>
        </w:rPr>
        <w:t xml:space="preserve"> y</w:t>
      </w:r>
      <w:r w:rsidRPr="009A27ED">
        <w:rPr>
          <w:rFonts w:ascii="Times New Roman" w:eastAsia="Times New Roman" w:hAnsi="Times New Roman"/>
          <w:sz w:val="24"/>
          <w:szCs w:val="22"/>
        </w:rPr>
        <w:t xml:space="preserve"> de la</w:t>
      </w:r>
      <w:r w:rsidR="00DC349B" w:rsidRPr="009A27ED">
        <w:rPr>
          <w:rFonts w:ascii="Times New Roman" w:eastAsia="Times New Roman" w:hAnsi="Times New Roman"/>
          <w:sz w:val="24"/>
          <w:szCs w:val="22"/>
        </w:rPr>
        <w:t xml:space="preserve"> identificación de la</w:t>
      </w:r>
      <w:r w:rsidRPr="009A27ED">
        <w:rPr>
          <w:rFonts w:ascii="Times New Roman" w:eastAsia="Times New Roman" w:hAnsi="Times New Roman"/>
          <w:sz w:val="24"/>
          <w:szCs w:val="22"/>
        </w:rPr>
        <w:t xml:space="preserve">s Opciones </w:t>
      </w:r>
      <w:r w:rsidR="008A42D5" w:rsidRPr="009A27ED">
        <w:rPr>
          <w:rFonts w:ascii="Times New Roman" w:eastAsia="Times New Roman" w:hAnsi="Times New Roman"/>
          <w:sz w:val="24"/>
          <w:szCs w:val="22"/>
        </w:rPr>
        <w:t>Estratégicas</w:t>
      </w:r>
      <w:r w:rsidRPr="009A27ED">
        <w:rPr>
          <w:rFonts w:ascii="Times New Roman" w:eastAsia="Times New Roman" w:hAnsi="Times New Roman"/>
          <w:sz w:val="24"/>
          <w:szCs w:val="22"/>
        </w:rPr>
        <w:t xml:space="preserve"> REDD+ implementado entre mayo-agosto 2018. El MGAS establece principios, reglas, pautas y procedimientos para abordar los </w:t>
      </w:r>
      <w:r w:rsidR="00AA6244" w:rsidRPr="009A27ED">
        <w:rPr>
          <w:rFonts w:ascii="Times New Roman" w:eastAsia="Times New Roman" w:hAnsi="Times New Roman"/>
          <w:sz w:val="24"/>
          <w:szCs w:val="22"/>
        </w:rPr>
        <w:t>riesgos</w:t>
      </w:r>
      <w:r w:rsidRPr="009A27ED">
        <w:rPr>
          <w:rFonts w:ascii="Times New Roman" w:eastAsia="Times New Roman" w:hAnsi="Times New Roman"/>
          <w:sz w:val="24"/>
          <w:szCs w:val="22"/>
        </w:rPr>
        <w:t xml:space="preserve"> e impactos asociados con las opciones y acciones REDD+ identificados durante el proceso SESA. En gran medida proporciona un marco para que </w:t>
      </w:r>
      <w:r w:rsidR="009A6071" w:rsidRPr="009A27ED">
        <w:rPr>
          <w:rFonts w:ascii="Times New Roman" w:eastAsia="Times New Roman" w:hAnsi="Times New Roman"/>
          <w:sz w:val="24"/>
          <w:szCs w:val="22"/>
        </w:rPr>
        <w:t>e</w:t>
      </w:r>
      <w:r w:rsidRPr="009A27ED">
        <w:rPr>
          <w:rFonts w:ascii="Times New Roman" w:eastAsia="Times New Roman" w:hAnsi="Times New Roman"/>
          <w:sz w:val="24"/>
          <w:szCs w:val="22"/>
        </w:rPr>
        <w:t>l país aborde las cuestiones ambientales y sociales a medida que implement</w:t>
      </w:r>
      <w:r w:rsidR="00DC349B" w:rsidRPr="009A27ED">
        <w:rPr>
          <w:rFonts w:ascii="Times New Roman" w:eastAsia="Times New Roman" w:hAnsi="Times New Roman"/>
          <w:sz w:val="24"/>
          <w:szCs w:val="22"/>
        </w:rPr>
        <w:t>a</w:t>
      </w:r>
      <w:r w:rsidRPr="009A27ED">
        <w:rPr>
          <w:rFonts w:ascii="Times New Roman" w:eastAsia="Times New Roman" w:hAnsi="Times New Roman"/>
          <w:sz w:val="24"/>
          <w:szCs w:val="22"/>
        </w:rPr>
        <w:t xml:space="preserve"> su Estrategia </w:t>
      </w:r>
      <w:r w:rsidR="00B82249" w:rsidRPr="009A27ED">
        <w:rPr>
          <w:rFonts w:ascii="Times New Roman" w:eastAsia="Times New Roman" w:hAnsi="Times New Roman"/>
          <w:sz w:val="24"/>
          <w:szCs w:val="22"/>
        </w:rPr>
        <w:t xml:space="preserve">Nacional </w:t>
      </w:r>
      <w:r w:rsidRPr="009A27ED">
        <w:rPr>
          <w:rFonts w:ascii="Times New Roman" w:eastAsia="Times New Roman" w:hAnsi="Times New Roman"/>
          <w:sz w:val="24"/>
          <w:szCs w:val="22"/>
        </w:rPr>
        <w:t xml:space="preserve">REDD +. </w:t>
      </w:r>
    </w:p>
    <w:p w14:paraId="7F7534EB" w14:textId="5431BA9A" w:rsidR="008A42D5" w:rsidRPr="009A27ED" w:rsidRDefault="004B68C3" w:rsidP="001864F0">
      <w:pPr>
        <w:pStyle w:val="Ttulo2"/>
        <w:spacing w:line="360" w:lineRule="auto"/>
        <w:ind w:left="567"/>
        <w:jc w:val="both"/>
      </w:pPr>
      <w:bookmarkStart w:id="29" w:name="_Toc529469977"/>
      <w:bookmarkStart w:id="30" w:name="_Toc532335838"/>
      <w:bookmarkStart w:id="31" w:name="_Toc111837909"/>
      <w:r w:rsidRPr="009A27ED">
        <w:rPr>
          <w:rFonts w:ascii="Times New Roman" w:eastAsia="Times New Roman" w:hAnsi="Times New Roman"/>
          <w:sz w:val="24"/>
        </w:rPr>
        <w:t xml:space="preserve">Visión </w:t>
      </w:r>
      <w:r w:rsidR="00947670" w:rsidRPr="009A27ED">
        <w:rPr>
          <w:rFonts w:ascii="Times New Roman" w:eastAsia="Times New Roman" w:hAnsi="Times New Roman"/>
          <w:sz w:val="24"/>
        </w:rPr>
        <w:t>REDD+ en República Dominicana</w:t>
      </w:r>
      <w:bookmarkEnd w:id="29"/>
      <w:bookmarkEnd w:id="30"/>
      <w:bookmarkEnd w:id="31"/>
      <w:r w:rsidR="00947670" w:rsidRPr="009A27ED">
        <w:rPr>
          <w:rFonts w:ascii="Times New Roman" w:eastAsia="Times New Roman" w:hAnsi="Times New Roman"/>
          <w:sz w:val="24"/>
        </w:rPr>
        <w:t xml:space="preserve"> </w:t>
      </w:r>
      <w:bookmarkStart w:id="32" w:name="_Toc18505648"/>
      <w:bookmarkStart w:id="33" w:name="_Toc18505649"/>
      <w:bookmarkEnd w:id="32"/>
      <w:bookmarkEnd w:id="33"/>
    </w:p>
    <w:p w14:paraId="39C51198" w14:textId="5400268C" w:rsidR="002F4E1B" w:rsidRPr="009A27ED" w:rsidRDefault="00B339B7" w:rsidP="0023199C">
      <w:pPr>
        <w:spacing w:before="120" w:after="0" w:line="360" w:lineRule="auto"/>
        <w:rPr>
          <w:rFonts w:eastAsia="Times New Roman"/>
          <w:szCs w:val="22"/>
          <w:lang w:eastAsia="es-DO"/>
        </w:rPr>
      </w:pPr>
      <w:r w:rsidRPr="009A27ED">
        <w:rPr>
          <w:rFonts w:ascii="Times New Roman" w:eastAsia="Times New Roman" w:hAnsi="Times New Roman"/>
          <w:noProof/>
          <w:sz w:val="24"/>
          <w:lang w:val="en-US"/>
        </w:rPr>
        <mc:AlternateContent>
          <mc:Choice Requires="wpi">
            <w:drawing>
              <wp:anchor distT="0" distB="0" distL="114300" distR="114300" simplePos="0" relativeHeight="251778048" behindDoc="0" locked="0" layoutInCell="1" allowOverlap="1" wp14:anchorId="3A2E93E0" wp14:editId="77214FD2">
                <wp:simplePos x="0" y="0"/>
                <wp:positionH relativeFrom="column">
                  <wp:posOffset>-326390</wp:posOffset>
                </wp:positionH>
                <wp:positionV relativeFrom="paragraph">
                  <wp:posOffset>-5306695</wp:posOffset>
                </wp:positionV>
                <wp:extent cx="0" cy="11725910"/>
                <wp:effectExtent l="96520" t="158115" r="93980" b="146050"/>
                <wp:wrapNone/>
                <wp:docPr id="34" name="Entrada de lápiz 13"/>
                <wp:cNvGraphicFramePr>
                  <a:graphicFrameLocks xmlns:a="http://schemas.openxmlformats.org/drawingml/2006/main" noChangeAspect="1"/>
                </wp:cNvGraphicFramePr>
                <a:graphic xmlns:a="http://schemas.openxmlformats.org/drawingml/2006/main">
                  <a:graphicData uri="http://schemas.microsoft.com/office/word/2010/wordprocessingInk">
                    <w14:contentPart bwMode="auto" r:id="rId20">
                      <w14:nvContentPartPr>
                        <w14:cNvContentPartPr>
                          <a14:cpLocks xmlns:a14="http://schemas.microsoft.com/office/drawing/2010/main" noRot="1" noChangeAspect="1" noEditPoints="1" noChangeArrowheads="1" noChangeShapeType="1"/>
                        </w14:cNvContentPartPr>
                      </w14:nvContentPartPr>
                      <w14:xfrm>
                        <a:off x="0" y="0"/>
                        <a:ext cx="0" cy="11725910"/>
                      </w14:xfrm>
                    </w14:contentPart>
                  </a:graphicData>
                </a:graphic>
                <wp14:sizeRelH relativeFrom="page">
                  <wp14:pctWidth>0</wp14:pctWidth>
                </wp14:sizeRelH>
                <wp14:sizeRelV relativeFrom="page">
                  <wp14:pctHeight>0</wp14:pctHeight>
                </wp14:sizeRelV>
              </wp:anchor>
            </w:drawing>
          </mc:Choice>
          <mc:Fallback>
            <w:pict>
              <v:shapetype w14:anchorId="2C9C1F92"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trada de lápiz 13" o:spid="_x0000_s1026" type="#_x0000_t75" style="position:absolute;margin-left:-25.7pt;margin-top:-25598.75pt;width:0;height:51285.1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GksMvfAQAAAQQAAA4AAABkcnMvZTJvRG9jLnhtbJxT3W7aMBS+n7R3&#10;sHw/giGUERGqqXRSpa1Da/sAp7ZDrMY+lm0I7G32LHuxOgkZ0K6a1JtIPsf58v1lfrnTFdlK5xWa&#10;nLLBkBJpOApl1jl9uP/66TMlPoARUKGROd1LTy8XHz/Ma5vJEZZYCelIBDE+q21OyxBsliSel1KD&#10;H6CVJi4LdBpCPLp1IhzUEV1XyWg4vEhqdMI65NL7OF12S7po8YtC8vCjKLwMpMpp5BZyOmaz6Ww6&#10;SSeUuHb2eJxd0GQxh2ztwJaKH2jBO1hpUCaS+Au1hABk49QrKK24Q49FGHDUCRaF4rLVFNWx4Qt1&#10;N+apUcZSvnEZRxOkCStwofevXbznE7qi5LH+jiImBJuA9IAYDfp/IB3pJfKNjny6VJysIMRK+FJZ&#10;H43OlMipuxHsyN9sr44KVu6o63a7cqS5P04pMaAjp2sTHAggQpLqz2+rfhE2bqLqrbh9iQUszbj9&#10;hvzJ9ymy9JWYf5p/6Ffnf5sjMfgTY3NYpINXJZi1/OJtrNZhdC1UWKEywZ/fcQ7rUoI4H9+VYOX9&#10;3kZZrNGQvCmi37zl1K5wuulYDIDs2irvm2dbYbkLhHdDHqeMTUeTGWuXPWz3en86qVPkdFbc03PD&#10;9+TPXTwD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DBBQABgAIAAAAIQDzAO/N4QAAABABAAAP&#10;AAAAZHJzL2Rvd25yZXYueG1sTI9NT4QwEIbvJv6HZky87RZWERcpG2PiSWOyrInXbjtSAp0SWhb2&#10;31v1oLf5ePLOM+VusT074ehbRwLSdQIMSTndUiPg/fC8ugfmgyQte0co4IwedtXlRSkL7Wba46kO&#10;DYsh5AspwIQwFJx7ZdBKv3YDUtx9utHKENux4XqUcwy3Pd8kyR23sqV4wcgBnwyqrp6sgL3LP+rp&#10;RQ0Kt/Nrf3jrzDl0QlxfLY8PwAIu4Q+Gb/2oDlV0OrqJtGe9gFWW3kb0p0i3eQYsQr/Do4Asvck3&#10;OfCq5P8fqb4AAAD//wMAUEsDBBQABgAIAAAAIQCl3JpM5wEAAKYEAAAQAAAAZHJzL2luay9pbmsx&#10;LnhtbKRTUYucMBB+L/Q/hNzDvZwa3aXdk3PvoVQotHTpXaF99HROw2oiSTx3/33HqFmh9mgpiJiJ&#10;3zfzzXxzd39qavICSnMpEhr6jBIQuSy4KBP6/TH1dpRok4kiq6WAhJ5B0/v92zd3XBybOsY3QQah&#10;h6+mTmhlTBsHQd/3fr/xpSqDiLFN8Ekcv3ym+wlVwDMX3GBKPYdyKQyczEAW8yKhuTkx9z9yP8hO&#10;5eCuh4jKL38YleWQStVkxjFWmRBQE5E1WPcPSsy5xQ+OeUpQlDQcBXuRH27fb3cfbzGQnRK6OHdY&#10;osZKGhqsc/78T87A9iz+c+0HJVtQhsOlTaOo6eJM8vFs9Y1CFWhZd0NvKXnJ6g4lh4zhWCc5YbAi&#10;6Hc+1PZvfJOYqaBl5dONG+LcTMMbQGs1rZuq0VjnEH4wyhowYlHksZ0XskfG4hAfdOjtbhjInG/0&#10;zcz5pDpdOb4ndXGIvXE6R209L0zl2sT8jevSskdryAp4WZkF9N1fQ3NZS7TfNJurNE0/4Hicxday&#10;Gd46gIIc17Gs4XWIyrQB9fWCazJ9PIB4HcVLIRUc0EO6U+ByhouG2/pc+1c22dqZTPv8DZ4TemWX&#10;mVjkGLCDYSRkN9fs2tveUIabOI/UErgMaJv9LwAAAP//AwBQSwECLQAUAAYACAAAACEAmzMnNwwB&#10;AAAtAgAAEwAAAAAAAAAAAAAAAAAAAAAAW0NvbnRlbnRfVHlwZXNdLnhtbFBLAQItABQABgAIAAAA&#10;IQA4/SH/1gAAAJQBAAALAAAAAAAAAAAAAAAAAD0BAABfcmVscy8ucmVsc1BLAQItABQABgAIAAAA&#10;IQBRpLDL3wEAAAEEAAAOAAAAAAAAAAAAAAAAADwCAABkcnMvZTJvRG9jLnhtbFBLAQItABQABgAI&#10;AAAAIQB5GLydvwAAACEBAAAZAAAAAAAAAAAAAAAAAEcEAABkcnMvX3JlbHMvZTJvRG9jLnhtbC5y&#10;ZWxzUEsBAi0AFAAGAAgAAAAhAPMA783hAAAAEAEAAA8AAAAAAAAAAAAAAAAAPQUAAGRycy9kb3du&#10;cmV2LnhtbFBLAQItABQABgAIAAAAIQCl3JpM5wEAAKYEAAAQAAAAAAAAAAAAAAAAAEsGAABkcnMv&#10;aW5rL2luazEueG1sUEsFBgAAAAAGAAYAeAEAAGAIAAAAAA==&#10;">
                <v:imagedata r:id="rId23" o:title=""/>
                <o:lock v:ext="edit" rotation="t" verticies="t" shapetype="t"/>
              </v:shape>
            </w:pict>
          </mc:Fallback>
        </mc:AlternateContent>
      </w:r>
      <w:r w:rsidRPr="009A27ED">
        <w:rPr>
          <w:rFonts w:ascii="Times New Roman" w:eastAsia="Times New Roman" w:hAnsi="Times New Roman"/>
          <w:noProof/>
          <w:sz w:val="24"/>
          <w:lang w:val="en-US"/>
        </w:rPr>
        <mc:AlternateContent>
          <mc:Choice Requires="wpi">
            <w:drawing>
              <wp:anchor distT="0" distB="0" distL="114300" distR="114300" simplePos="0" relativeHeight="251779072" behindDoc="0" locked="0" layoutInCell="1" allowOverlap="1" wp14:anchorId="02462F6F" wp14:editId="03CC1C4E">
                <wp:simplePos x="0" y="0"/>
                <wp:positionH relativeFrom="column">
                  <wp:posOffset>-1196975</wp:posOffset>
                </wp:positionH>
                <wp:positionV relativeFrom="paragraph">
                  <wp:posOffset>444500</wp:posOffset>
                </wp:positionV>
                <wp:extent cx="920750" cy="920750"/>
                <wp:effectExtent l="64135" t="60960" r="53340" b="56515"/>
                <wp:wrapNone/>
                <wp:docPr id="30" name="Entrada de lápiz 14"/>
                <wp:cNvGraphicFramePr>
                  <a:graphicFrameLocks xmlns:a="http://schemas.openxmlformats.org/drawingml/2006/main" noChangeAspect="1"/>
                </wp:cNvGraphicFramePr>
                <a:graphic xmlns:a="http://schemas.openxmlformats.org/drawingml/2006/main">
                  <a:graphicData uri="http://schemas.microsoft.com/office/word/2010/wordprocessingInk">
                    <w14:contentPart bwMode="auto" r:id="rId24">
                      <w14:nvContentPartPr>
                        <w14:cNvContentPartPr>
                          <a14:cpLocks xmlns:a14="http://schemas.microsoft.com/office/drawing/2010/main" noRot="1" noChangeAspect="1" noEditPoints="1" noChangeArrowheads="1" noChangeShapeType="1"/>
                        </w14:cNvContentPartPr>
                      </w14:nvContentPartPr>
                      <w14:xfrm>
                        <a:off x="0" y="0"/>
                        <a:ext cx="920750" cy="920750"/>
                      </w14:xfrm>
                    </w14:contentPart>
                  </a:graphicData>
                </a:graphic>
                <wp14:sizeRelH relativeFrom="page">
                  <wp14:pctWidth>0</wp14:pctWidth>
                </wp14:sizeRelH>
                <wp14:sizeRelV relativeFrom="page">
                  <wp14:pctHeight>0</wp14:pctHeight>
                </wp14:sizeRelV>
              </wp:anchor>
            </w:drawing>
          </mc:Choice>
          <mc:Fallback>
            <w:pict>
              <v:shape w14:anchorId="06477CCF" id="Entrada de lápiz 14" o:spid="_x0000_s1026" type="#_x0000_t75" style="position:absolute;margin-left:-94.25pt;margin-top:35pt;width:72.5pt;height:72.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brZQbVAQAA9AMAAA4AAABkcnMvZTJvRG9jLnhtbJxTW27bMBD8L9A7&#10;EPyvZbnuI4LloIhTIECbGm1ygA1JWURELrGkLbu36Vl6saxkO7aTBgXyQ4i7xOzMzmhyvnaNWBmK&#10;Fn0p88FQCuMVausXpby9+frusxQxgdfQoDel3Jgoz6dv30zaUJgR1thoQ4JBfCzaUMo6pVBkWVS1&#10;cRAHGIznZoXkIPGVFpkmaBndNdloOPyYtUg6ECoTI1dn26ac9vhVZVT6UVXRJNGUkrml/qT+vOvO&#10;bDqBYkEQaqt2NOAVLBxYz0MfoWaQQCzJPoNyVhFGrNJAocuwqqwyvQZWkw+fqLny952SfKyWVCj0&#10;yfg0B0r7ffWN14xwjRR37XfU7AgsE8odIi/m/wZsSc9QLR3z2bpApoHEEYi1DVEKKqwuJV3p/MDf&#10;ry4OCuZ00HW9mpPo3r9ngzw45nTpE4EGoY1o/v4J9rfIx51V+1VcP8WCfFyo8A3Vfdy7mI+fifnn&#10;8nd52u6/91F4/ImclJzp4EUNfmG+xMBR2pUutU1ztD7F0zdE2NYG9Gn5Vw3B3GwCy8o7DdmLIvad&#10;lza1rsh1GWMDxLqP8OYxwmadhOLi2Wj46QPvUXFr9300c4uwn3OUKKZ1kt3je0f56GedPg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MEFAAGAAgAAAAhAEU44/3gAAAACwEAAA8AAABkcnMvZG93&#10;bnJldi54bWxMj8FOwzAMhu9IvENkJG5d0o1BVZpOgEAIpCIx4J41WVOROFWTrd3bY05wtP3p9/dX&#10;m9k7djRj7ANKyBcCmME26B47CZ8fT1kBLCaFWrmARsLJRNjU52eVKnWY8N0ct6ljFIKxVBJsSkPJ&#10;eWyt8SouwmCQbvswepVoHDuuRzVRuHd8KcQ196pH+mDVYB6sab+3By+huR/cC76u9tObsl4Xp+bx&#10;67mR8vJivrsFlsyc/mD41Sd1qMlpFw6oI3MSsrwo1sRKuBFUiojsakWLnYRlvhbA64r/71D/AAAA&#10;//8DAFBLAwQUAAYACAAAACEAP0yRq8ABAABwBAAAEAAAAGRycy9pbmsvaW5rMS54bWy0k09PtDAQ&#10;xu9v4ndo6hkosP8ksp7cxEQT86qJHhHq0kjbTVuW3W/vULpdjKsnvZAy7Twz8+vTy6sdb9CWKs2k&#10;yHEcEoyoKGXFxDrHT4+rYIGRNoWoikYKmuM91fhqefbvkol33mTwRaAgdL/iTY5rYzZZFHVdF3Zp&#10;KNU6SghJoxvxfneLly6rom9MMAMl9SFUSmHozvRiGatyXJod8edB+0G2qqR+u4+o8njCqKKkK6l4&#10;YbxiXQhBGyQKDn0/Y2T2G1gwqLOmCiPOYOAgCePJfLK4voBAscvx6L+FFjV0wnF0WvPlDzRXXzX7&#10;ttJkPptj5Fqq6LbvKbLMs+9nv1dyQ5Vh9Ih5gOI29qgc/i2fAZSiWjZtfzcYbYumBWQxIWALVzuO&#10;TgD5qgdsflUPuHyrN27uMxo33piDg+YtdbhawzgFo/ON95jRINyHH4yyzyEhSRKQRRCTR0KymGTp&#10;NJyRdHQVzsUHzVfV6trrvaqjX+2OpzZM1rHK1B46CcnUQx8jP5VaU7auzU+5bmyb7J1z4h1aMyE3&#10;x3/6luNz+xSRzRwCdpAgsQ8nnU0WoyVKJtP59JMzfTVAvvwAAAD//wMAUEsBAi0AFAAGAAgAAAAh&#10;AJszJzcMAQAALQIAABMAAAAAAAAAAAAAAAAAAAAAAFtDb250ZW50X1R5cGVzXS54bWxQSwECLQAU&#10;AAYACAAAACEAOP0h/9YAAACUAQAACwAAAAAAAAAAAAAAAAA9AQAAX3JlbHMvLnJlbHNQSwECLQAU&#10;AAYACAAAACEAVutlBtUBAAD0AwAADgAAAAAAAAAAAAAAAAA8AgAAZHJzL2Uyb0RvYy54bWxQSwEC&#10;LQAUAAYACAAAACEAeRi8nb8AAAAhAQAAGQAAAAAAAAAAAAAAAAA9BAAAZHJzL19yZWxzL2Uyb0Rv&#10;Yy54bWwucmVsc1BLAQItABQABgAIAAAAIQBFOOP94AAAAAsBAAAPAAAAAAAAAAAAAAAAADMFAABk&#10;cnMvZG93bnJldi54bWxQSwECLQAUAAYACAAAACEAP0yRq8ABAABwBAAAEAAAAAAAAAAAAAAAAABA&#10;BgAAZHJzL2luay9pbmsxLnhtbFBLBQYAAAAABgAGAHgBAAAuCAAAAAA=&#10;">
                <v:imagedata r:id="rId25" o:title=""/>
                <o:lock v:ext="edit" rotation="t" verticies="t" shapetype="t"/>
              </v:shape>
            </w:pict>
          </mc:Fallback>
        </mc:AlternateContent>
      </w:r>
      <w:r w:rsidR="002F4E1B" w:rsidRPr="009A27ED">
        <w:rPr>
          <w:rFonts w:ascii="Times New Roman" w:eastAsia="Times New Roman" w:hAnsi="Times New Roman"/>
          <w:sz w:val="24"/>
          <w:szCs w:val="22"/>
          <w:lang w:eastAsia="es-DO"/>
        </w:rPr>
        <w:t xml:space="preserve">A manera de resumen, República Dominicana realizó mediante un proceso participativo con actores clave un análisis de las causas directas e indirectas que provocan la deforestación y degradación de los bosques. Este análisis reflejó que las causas directas de la deforestación son principalmente la ganadería, y la agricultura comercial y migratoria. Las principales causas directas de degradación son el pastoreo en el bosque y la extracción ilegal de madera para la producción de carbón y leña. Por otro lado, las causas indirectas de la deforestación y degradación de los bosques están vinculadas con debilidades </w:t>
      </w:r>
      <w:r w:rsidR="00927120" w:rsidRPr="009A27ED">
        <w:rPr>
          <w:rFonts w:ascii="Times New Roman" w:eastAsia="Times New Roman" w:hAnsi="Times New Roman"/>
          <w:sz w:val="24"/>
          <w:szCs w:val="22"/>
          <w:lang w:eastAsia="es-DO"/>
        </w:rPr>
        <w:t xml:space="preserve">tanto a nivel </w:t>
      </w:r>
      <w:r w:rsidR="002F4E1B" w:rsidRPr="009A27ED">
        <w:rPr>
          <w:rFonts w:ascii="Times New Roman" w:eastAsia="Times New Roman" w:hAnsi="Times New Roman"/>
          <w:sz w:val="24"/>
          <w:szCs w:val="22"/>
          <w:lang w:eastAsia="es-DO"/>
        </w:rPr>
        <w:t>institucional</w:t>
      </w:r>
      <w:r w:rsidR="007C60B6" w:rsidRPr="009A27ED">
        <w:rPr>
          <w:rFonts w:ascii="Times New Roman" w:eastAsia="Times New Roman" w:hAnsi="Times New Roman"/>
          <w:sz w:val="24"/>
          <w:szCs w:val="22"/>
          <w:lang w:eastAsia="es-DO"/>
        </w:rPr>
        <w:t xml:space="preserve">, como en </w:t>
      </w:r>
      <w:r w:rsidR="002F4E1B" w:rsidRPr="009A27ED">
        <w:rPr>
          <w:rFonts w:ascii="Times New Roman" w:eastAsia="Times New Roman" w:hAnsi="Times New Roman"/>
          <w:sz w:val="24"/>
          <w:szCs w:val="22"/>
          <w:lang w:eastAsia="es-DO"/>
        </w:rPr>
        <w:t>la formulación e implementación de políticas públicas</w:t>
      </w:r>
      <w:r w:rsidR="007C60B6" w:rsidRPr="009A27ED">
        <w:rPr>
          <w:rFonts w:ascii="Times New Roman" w:eastAsia="Times New Roman" w:hAnsi="Times New Roman"/>
          <w:sz w:val="24"/>
          <w:szCs w:val="22"/>
          <w:lang w:eastAsia="es-DO"/>
        </w:rPr>
        <w:t>.</w:t>
      </w:r>
      <w:r w:rsidR="00202584" w:rsidRPr="009A27ED">
        <w:rPr>
          <w:rFonts w:ascii="Times New Roman" w:eastAsia="Times New Roman" w:hAnsi="Times New Roman"/>
          <w:sz w:val="24"/>
          <w:szCs w:val="22"/>
          <w:lang w:eastAsia="es-DO"/>
        </w:rPr>
        <w:t xml:space="preserve"> </w:t>
      </w:r>
    </w:p>
    <w:p w14:paraId="49C36065" w14:textId="5FBB4D27" w:rsidR="002F4E1B" w:rsidRPr="009A27ED" w:rsidRDefault="002F4E1B" w:rsidP="0023199C">
      <w:pPr>
        <w:spacing w:before="120" w:after="0" w:line="360" w:lineRule="auto"/>
        <w:rPr>
          <w:rFonts w:eastAsia="Times New Roman"/>
          <w:szCs w:val="22"/>
          <w:lang w:eastAsia="es-DO"/>
        </w:rPr>
      </w:pPr>
      <w:r w:rsidRPr="009A27ED">
        <w:rPr>
          <w:rFonts w:ascii="Times New Roman" w:eastAsia="Times New Roman" w:hAnsi="Times New Roman"/>
          <w:sz w:val="24"/>
          <w:szCs w:val="22"/>
          <w:lang w:eastAsia="es-DO"/>
        </w:rPr>
        <w:t xml:space="preserve">Tanto el </w:t>
      </w:r>
      <w:r w:rsidR="001920C0" w:rsidRPr="009A27ED">
        <w:rPr>
          <w:rFonts w:ascii="Times New Roman" w:eastAsia="Times New Roman" w:hAnsi="Times New Roman"/>
          <w:sz w:val="24"/>
          <w:szCs w:val="22"/>
          <w:lang w:eastAsia="es-DO"/>
        </w:rPr>
        <w:t>P</w:t>
      </w:r>
      <w:r w:rsidR="003318C1" w:rsidRPr="009A27ED">
        <w:rPr>
          <w:rFonts w:ascii="Times New Roman" w:eastAsia="Times New Roman" w:hAnsi="Times New Roman"/>
          <w:sz w:val="24"/>
          <w:szCs w:val="22"/>
          <w:lang w:eastAsia="es-DO"/>
        </w:rPr>
        <w:t xml:space="preserve">rograma </w:t>
      </w:r>
      <w:r w:rsidR="001920C0" w:rsidRPr="009A27ED">
        <w:rPr>
          <w:rFonts w:ascii="Times New Roman" w:eastAsia="Times New Roman" w:hAnsi="Times New Roman"/>
          <w:sz w:val="24"/>
          <w:szCs w:val="22"/>
          <w:lang w:eastAsia="es-DO"/>
        </w:rPr>
        <w:t>REDD+</w:t>
      </w:r>
      <w:r w:rsidR="003318C1" w:rsidRPr="009A27ED">
        <w:rPr>
          <w:rFonts w:ascii="Times New Roman" w:eastAsia="Times New Roman" w:hAnsi="Times New Roman"/>
          <w:sz w:val="24"/>
          <w:szCs w:val="22"/>
          <w:lang w:eastAsia="es-DO"/>
        </w:rPr>
        <w:t xml:space="preserve"> </w:t>
      </w:r>
      <w:r w:rsidRPr="009A27ED">
        <w:rPr>
          <w:rFonts w:ascii="Times New Roman" w:eastAsia="Times New Roman" w:hAnsi="Times New Roman"/>
          <w:sz w:val="24"/>
          <w:szCs w:val="22"/>
          <w:lang w:eastAsia="es-DO"/>
        </w:rPr>
        <w:t xml:space="preserve">como la EN-REDD+, están fundamentados en la implementación de opciones y acciones estratégicas. La primera opción consiste en fortalecer el marco legal e institucional para la conservación del patrimonio natural. La segunda, establecerá, fortalecerá y aplicará políticas públicas para limitar y/o contener la expansión de la frontera agrícola, ganadera y de infraestructura en áreas boscosas. La tercera promoverá modelos de gestión de recursos naturales que contribuyan a la conservación y uso sostenible de </w:t>
      </w:r>
      <w:r w:rsidRPr="009A27ED">
        <w:rPr>
          <w:rFonts w:ascii="Times New Roman" w:eastAsia="Times New Roman" w:hAnsi="Times New Roman"/>
          <w:sz w:val="24"/>
          <w:szCs w:val="22"/>
          <w:lang w:eastAsia="es-DO"/>
        </w:rPr>
        <w:lastRenderedPageBreak/>
        <w:t xml:space="preserve">los bosques y el aumento de la cobertura boscosa. Las dos primeras opciones están constituidas por acciones </w:t>
      </w:r>
      <w:r w:rsidR="00113F00" w:rsidRPr="009A27ED">
        <w:rPr>
          <w:rFonts w:ascii="Times New Roman" w:eastAsia="Times New Roman" w:hAnsi="Times New Roman"/>
          <w:sz w:val="24"/>
          <w:szCs w:val="22"/>
          <w:lang w:eastAsia="es-DO"/>
        </w:rPr>
        <w:t>facilitadoras</w:t>
      </w:r>
      <w:r w:rsidRPr="009A27ED">
        <w:rPr>
          <w:rFonts w:ascii="Times New Roman" w:eastAsia="Times New Roman" w:hAnsi="Times New Roman"/>
          <w:sz w:val="24"/>
          <w:szCs w:val="22"/>
          <w:lang w:eastAsia="es-DO"/>
        </w:rPr>
        <w:t xml:space="preserve"> que </w:t>
      </w:r>
      <w:r w:rsidR="00113F00" w:rsidRPr="009A27ED">
        <w:rPr>
          <w:rFonts w:ascii="Times New Roman" w:eastAsia="Times New Roman" w:hAnsi="Times New Roman"/>
          <w:sz w:val="24"/>
          <w:szCs w:val="22"/>
          <w:lang w:eastAsia="es-DO"/>
        </w:rPr>
        <w:t>habilitan</w:t>
      </w:r>
      <w:r w:rsidRPr="009A27ED">
        <w:rPr>
          <w:rFonts w:ascii="Times New Roman" w:eastAsia="Times New Roman" w:hAnsi="Times New Roman"/>
          <w:sz w:val="24"/>
          <w:szCs w:val="22"/>
          <w:lang w:eastAsia="es-DO"/>
        </w:rPr>
        <w:t xml:space="preserve"> el desarrollo de las acciones directas para la reducción de emisiones por deforestación y degradación de los bosques. Tanto las acciones </w:t>
      </w:r>
      <w:r w:rsidR="00060352" w:rsidRPr="009A27ED">
        <w:rPr>
          <w:rFonts w:ascii="Times New Roman" w:eastAsia="Times New Roman" w:hAnsi="Times New Roman"/>
          <w:sz w:val="24"/>
          <w:szCs w:val="22"/>
          <w:lang w:eastAsia="es-DO"/>
        </w:rPr>
        <w:t>facilitadoras</w:t>
      </w:r>
      <w:r w:rsidRPr="009A27ED">
        <w:rPr>
          <w:rFonts w:ascii="Times New Roman" w:eastAsia="Times New Roman" w:hAnsi="Times New Roman"/>
          <w:sz w:val="24"/>
          <w:szCs w:val="22"/>
          <w:lang w:eastAsia="es-DO"/>
        </w:rPr>
        <w:t xml:space="preserve"> como las directas tendrán incidencia a nivel nacional. </w:t>
      </w:r>
      <w:bookmarkStart w:id="34" w:name="_Hlk20567531"/>
      <w:r w:rsidRPr="009A27ED">
        <w:rPr>
          <w:rFonts w:ascii="Times New Roman" w:eastAsia="Times New Roman" w:hAnsi="Times New Roman"/>
          <w:sz w:val="24"/>
          <w:szCs w:val="22"/>
          <w:lang w:eastAsia="es-DO"/>
        </w:rPr>
        <w:t xml:space="preserve">Sin embargo, atendiendo a criterios de riesgos, vulnerabilidad ambiental y social y potencial de reducción de emisiones </w:t>
      </w:r>
      <w:r w:rsidR="002604E0" w:rsidRPr="009A27ED">
        <w:rPr>
          <w:rFonts w:ascii="Times New Roman" w:eastAsia="Times New Roman" w:hAnsi="Times New Roman"/>
          <w:sz w:val="24"/>
          <w:szCs w:val="22"/>
          <w:lang w:eastAsia="es-DO"/>
        </w:rPr>
        <w:t xml:space="preserve">las acciones se focalizarán </w:t>
      </w:r>
      <w:r w:rsidR="00FE3400" w:rsidRPr="009A27ED">
        <w:rPr>
          <w:rFonts w:ascii="Times New Roman" w:eastAsia="Times New Roman" w:hAnsi="Times New Roman"/>
          <w:sz w:val="24"/>
          <w:szCs w:val="22"/>
          <w:lang w:eastAsia="es-DO"/>
        </w:rPr>
        <w:t>en cinco</w:t>
      </w:r>
      <w:r w:rsidRPr="009A27ED">
        <w:rPr>
          <w:rFonts w:ascii="Times New Roman" w:eastAsia="Times New Roman" w:hAnsi="Times New Roman"/>
          <w:sz w:val="24"/>
          <w:szCs w:val="22"/>
          <w:lang w:eastAsia="es-DO"/>
        </w:rPr>
        <w:t xml:space="preserve"> áreas geográficas </w:t>
      </w:r>
      <w:r w:rsidR="002604E0" w:rsidRPr="009A27ED">
        <w:rPr>
          <w:rFonts w:ascii="Times New Roman" w:eastAsia="Times New Roman" w:hAnsi="Times New Roman"/>
          <w:sz w:val="24"/>
          <w:szCs w:val="22"/>
          <w:lang w:eastAsia="es-DO"/>
        </w:rPr>
        <w:t>priorizadas</w:t>
      </w:r>
      <w:r w:rsidRPr="009A27ED">
        <w:rPr>
          <w:rFonts w:ascii="Times New Roman" w:eastAsia="Times New Roman" w:hAnsi="Times New Roman"/>
          <w:sz w:val="24"/>
          <w:szCs w:val="22"/>
          <w:lang w:eastAsia="es-DO"/>
        </w:rPr>
        <w:t>, aunque la contabilidad de emisiones será a nivel nacional. Es decir, que las acciones se llevar</w:t>
      </w:r>
      <w:r w:rsidR="00802C2C" w:rsidRPr="009A27ED">
        <w:rPr>
          <w:rFonts w:ascii="Times New Roman" w:eastAsia="Times New Roman" w:hAnsi="Times New Roman"/>
          <w:sz w:val="24"/>
          <w:szCs w:val="22"/>
          <w:lang w:eastAsia="es-DO"/>
        </w:rPr>
        <w:t>á</w:t>
      </w:r>
      <w:r w:rsidRPr="009A27ED">
        <w:rPr>
          <w:rFonts w:ascii="Times New Roman" w:eastAsia="Times New Roman" w:hAnsi="Times New Roman"/>
          <w:sz w:val="24"/>
          <w:szCs w:val="22"/>
          <w:lang w:eastAsia="es-DO"/>
        </w:rPr>
        <w:t>n a cabo en todo el país.</w:t>
      </w:r>
      <w:bookmarkEnd w:id="34"/>
    </w:p>
    <w:p w14:paraId="664A446F" w14:textId="3B34442F" w:rsidR="002F4E1B" w:rsidRPr="009A27ED" w:rsidRDefault="002F4E1B" w:rsidP="0023199C">
      <w:pPr>
        <w:spacing w:before="120" w:after="0" w:line="360" w:lineRule="auto"/>
        <w:rPr>
          <w:rFonts w:eastAsia="Times New Roman"/>
          <w:szCs w:val="22"/>
          <w:lang w:eastAsia="es-DO"/>
        </w:rPr>
      </w:pPr>
      <w:r w:rsidRPr="009A27ED">
        <w:rPr>
          <w:rFonts w:ascii="Times New Roman" w:eastAsia="Times New Roman" w:hAnsi="Times New Roman"/>
          <w:sz w:val="24"/>
          <w:szCs w:val="22"/>
          <w:lang w:eastAsia="es-DO"/>
        </w:rPr>
        <w:t xml:space="preserve">Para ejecutar las acciones </w:t>
      </w:r>
      <w:r w:rsidR="002604E0" w:rsidRPr="009A27ED">
        <w:rPr>
          <w:rFonts w:ascii="Times New Roman" w:eastAsia="Times New Roman" w:hAnsi="Times New Roman"/>
          <w:sz w:val="24"/>
          <w:szCs w:val="22"/>
          <w:lang w:eastAsia="es-DO"/>
        </w:rPr>
        <w:t xml:space="preserve">estratégicas </w:t>
      </w:r>
      <w:r w:rsidRPr="009A27ED">
        <w:rPr>
          <w:rFonts w:ascii="Times New Roman" w:eastAsia="Times New Roman" w:hAnsi="Times New Roman"/>
          <w:sz w:val="24"/>
          <w:szCs w:val="22"/>
          <w:lang w:eastAsia="es-DO"/>
        </w:rPr>
        <w:t>directas se identificaron s</w:t>
      </w:r>
      <w:r w:rsidR="00652ACE" w:rsidRPr="009A27ED">
        <w:rPr>
          <w:rFonts w:ascii="Times New Roman" w:eastAsia="Times New Roman" w:hAnsi="Times New Roman"/>
          <w:sz w:val="24"/>
          <w:szCs w:val="22"/>
          <w:lang w:eastAsia="es-DO"/>
        </w:rPr>
        <w:t xml:space="preserve">eis </w:t>
      </w:r>
      <w:r w:rsidR="00DC349B" w:rsidRPr="009A27ED">
        <w:rPr>
          <w:rFonts w:ascii="Times New Roman" w:eastAsia="Times New Roman" w:hAnsi="Times New Roman"/>
          <w:sz w:val="24"/>
          <w:szCs w:val="22"/>
          <w:lang w:eastAsia="es-DO"/>
        </w:rPr>
        <w:t>a</w:t>
      </w:r>
      <w:r w:rsidRPr="009A27ED">
        <w:rPr>
          <w:rFonts w:ascii="Times New Roman" w:eastAsia="Times New Roman" w:hAnsi="Times New Roman"/>
          <w:sz w:val="24"/>
          <w:szCs w:val="22"/>
          <w:lang w:eastAsia="es-DO"/>
        </w:rPr>
        <w:t xml:space="preserve">ctividades que se han denominado </w:t>
      </w:r>
      <w:r w:rsidR="00364108" w:rsidRPr="009A27ED">
        <w:rPr>
          <w:rFonts w:ascii="Times New Roman" w:eastAsia="Times New Roman" w:hAnsi="Times New Roman"/>
          <w:sz w:val="24"/>
          <w:szCs w:val="22"/>
          <w:lang w:eastAsia="es-DO"/>
        </w:rPr>
        <w:t xml:space="preserve">Actividades </w:t>
      </w:r>
      <w:r w:rsidRPr="009A27ED">
        <w:rPr>
          <w:rFonts w:ascii="Times New Roman" w:eastAsia="Times New Roman" w:hAnsi="Times New Roman"/>
          <w:sz w:val="24"/>
          <w:szCs w:val="22"/>
          <w:lang w:eastAsia="es-DO"/>
        </w:rPr>
        <w:t xml:space="preserve">Tipo REDD+: 1. Manejo Forestal Sostenible; 2. Reforestación; 3. Sistemas </w:t>
      </w:r>
      <w:r w:rsidR="007C60B6" w:rsidRPr="009A27ED">
        <w:rPr>
          <w:rFonts w:ascii="Times New Roman" w:eastAsia="Times New Roman" w:hAnsi="Times New Roman"/>
          <w:sz w:val="24"/>
          <w:szCs w:val="22"/>
          <w:lang w:eastAsia="es-DO"/>
        </w:rPr>
        <w:t>A</w:t>
      </w:r>
      <w:r w:rsidRPr="009A27ED">
        <w:rPr>
          <w:rFonts w:ascii="Times New Roman" w:eastAsia="Times New Roman" w:hAnsi="Times New Roman"/>
          <w:sz w:val="24"/>
          <w:szCs w:val="22"/>
          <w:lang w:eastAsia="es-DO"/>
        </w:rPr>
        <w:t>groforestales: (Café, Cacao); 4. Sistemas Silvopastoriles</w:t>
      </w:r>
      <w:r w:rsidR="00480595" w:rsidRPr="009A27ED">
        <w:rPr>
          <w:rFonts w:ascii="Times New Roman" w:eastAsia="Times New Roman" w:hAnsi="Times New Roman"/>
          <w:sz w:val="24"/>
          <w:szCs w:val="22"/>
          <w:lang w:eastAsia="es-DO"/>
        </w:rPr>
        <w:t xml:space="preserve"> </w:t>
      </w:r>
      <w:r w:rsidR="00EF15A9" w:rsidRPr="009A27ED">
        <w:rPr>
          <w:rFonts w:ascii="Times New Roman" w:eastAsia="Times New Roman" w:hAnsi="Times New Roman"/>
          <w:sz w:val="24"/>
          <w:szCs w:val="22"/>
          <w:lang w:eastAsia="es-DO"/>
        </w:rPr>
        <w:t>(</w:t>
      </w:r>
      <w:r w:rsidR="00080EBC" w:rsidRPr="009A27ED">
        <w:rPr>
          <w:rFonts w:ascii="Times New Roman" w:eastAsia="Times New Roman" w:hAnsi="Times New Roman"/>
          <w:sz w:val="24"/>
          <w:szCs w:val="22"/>
          <w:lang w:eastAsia="es-DO"/>
        </w:rPr>
        <w:t>arborización de fincas ganaderas)</w:t>
      </w:r>
      <w:r w:rsidRPr="009A27ED">
        <w:rPr>
          <w:rFonts w:ascii="Times New Roman" w:eastAsia="Times New Roman" w:hAnsi="Times New Roman"/>
          <w:sz w:val="24"/>
          <w:szCs w:val="22"/>
          <w:lang w:eastAsia="es-DO"/>
        </w:rPr>
        <w:t xml:space="preserve">; 5. Regeneración Natural en </w:t>
      </w:r>
      <w:r w:rsidR="007C60B6" w:rsidRPr="009A27ED">
        <w:rPr>
          <w:rFonts w:ascii="Times New Roman" w:eastAsia="Times New Roman" w:hAnsi="Times New Roman"/>
          <w:sz w:val="24"/>
          <w:szCs w:val="22"/>
          <w:lang w:eastAsia="es-DO"/>
        </w:rPr>
        <w:t>Z</w:t>
      </w:r>
      <w:r w:rsidRPr="009A27ED">
        <w:rPr>
          <w:rFonts w:ascii="Times New Roman" w:eastAsia="Times New Roman" w:hAnsi="Times New Roman"/>
          <w:sz w:val="24"/>
          <w:szCs w:val="22"/>
          <w:lang w:eastAsia="es-DO"/>
        </w:rPr>
        <w:t xml:space="preserve">onas </w:t>
      </w:r>
      <w:r w:rsidR="007C60B6" w:rsidRPr="009A27ED">
        <w:rPr>
          <w:rFonts w:ascii="Times New Roman" w:eastAsia="Times New Roman" w:hAnsi="Times New Roman"/>
          <w:sz w:val="24"/>
          <w:szCs w:val="22"/>
          <w:lang w:eastAsia="es-DO"/>
        </w:rPr>
        <w:t>D</w:t>
      </w:r>
      <w:r w:rsidRPr="009A27ED">
        <w:rPr>
          <w:rFonts w:ascii="Times New Roman" w:eastAsia="Times New Roman" w:hAnsi="Times New Roman"/>
          <w:sz w:val="24"/>
          <w:szCs w:val="22"/>
          <w:lang w:eastAsia="es-DO"/>
        </w:rPr>
        <w:t xml:space="preserve">egradadas; 6. Conservación de </w:t>
      </w:r>
      <w:r w:rsidR="007C60B6" w:rsidRPr="009A27ED">
        <w:rPr>
          <w:rFonts w:ascii="Times New Roman" w:eastAsia="Times New Roman" w:hAnsi="Times New Roman"/>
          <w:sz w:val="24"/>
          <w:szCs w:val="22"/>
          <w:lang w:eastAsia="es-DO"/>
        </w:rPr>
        <w:t>B</w:t>
      </w:r>
      <w:r w:rsidRPr="009A27ED">
        <w:rPr>
          <w:rFonts w:ascii="Times New Roman" w:eastAsia="Times New Roman" w:hAnsi="Times New Roman"/>
          <w:sz w:val="24"/>
          <w:szCs w:val="22"/>
          <w:lang w:eastAsia="es-DO"/>
        </w:rPr>
        <w:t xml:space="preserve">osques en </w:t>
      </w:r>
      <w:r w:rsidR="007C60B6" w:rsidRPr="009A27ED">
        <w:rPr>
          <w:rFonts w:ascii="Times New Roman" w:eastAsia="Times New Roman" w:hAnsi="Times New Roman"/>
          <w:sz w:val="24"/>
          <w:szCs w:val="22"/>
          <w:lang w:eastAsia="es-DO"/>
        </w:rPr>
        <w:t>Á</w:t>
      </w:r>
      <w:r w:rsidRPr="009A27ED">
        <w:rPr>
          <w:rFonts w:ascii="Times New Roman" w:eastAsia="Times New Roman" w:hAnsi="Times New Roman"/>
          <w:sz w:val="24"/>
          <w:szCs w:val="22"/>
          <w:lang w:eastAsia="es-DO"/>
        </w:rPr>
        <w:t xml:space="preserve">reas </w:t>
      </w:r>
      <w:r w:rsidR="007C60B6" w:rsidRPr="009A27ED">
        <w:rPr>
          <w:rFonts w:ascii="Times New Roman" w:eastAsia="Times New Roman" w:hAnsi="Times New Roman"/>
          <w:sz w:val="24"/>
          <w:szCs w:val="22"/>
          <w:lang w:eastAsia="es-DO"/>
        </w:rPr>
        <w:t>P</w:t>
      </w:r>
      <w:r w:rsidRPr="009A27ED">
        <w:rPr>
          <w:rFonts w:ascii="Times New Roman" w:eastAsia="Times New Roman" w:hAnsi="Times New Roman"/>
          <w:sz w:val="24"/>
          <w:szCs w:val="22"/>
          <w:lang w:eastAsia="es-DO"/>
        </w:rPr>
        <w:t xml:space="preserve">rotegidas </w:t>
      </w:r>
      <w:r w:rsidR="007C60B6" w:rsidRPr="009A27ED">
        <w:rPr>
          <w:rFonts w:ascii="Times New Roman" w:eastAsia="Times New Roman" w:hAnsi="Times New Roman"/>
          <w:sz w:val="24"/>
          <w:szCs w:val="22"/>
          <w:lang w:eastAsia="es-DO"/>
        </w:rPr>
        <w:t>P</w:t>
      </w:r>
      <w:r w:rsidRPr="009A27ED">
        <w:rPr>
          <w:rFonts w:ascii="Times New Roman" w:eastAsia="Times New Roman" w:hAnsi="Times New Roman"/>
          <w:sz w:val="24"/>
          <w:szCs w:val="22"/>
          <w:lang w:eastAsia="es-DO"/>
        </w:rPr>
        <w:t xml:space="preserve">rioritarias </w:t>
      </w:r>
      <w:r w:rsidR="00480595" w:rsidRPr="009A27ED">
        <w:rPr>
          <w:rFonts w:ascii="Times New Roman" w:eastAsia="Times New Roman" w:hAnsi="Times New Roman"/>
          <w:sz w:val="24"/>
          <w:szCs w:val="22"/>
          <w:lang w:eastAsia="es-DO"/>
        </w:rPr>
        <w:t xml:space="preserve">con </w:t>
      </w:r>
      <w:r w:rsidR="007C60B6" w:rsidRPr="009A27ED">
        <w:rPr>
          <w:rFonts w:ascii="Times New Roman" w:eastAsia="Times New Roman" w:hAnsi="Times New Roman"/>
          <w:sz w:val="24"/>
          <w:szCs w:val="22"/>
          <w:lang w:eastAsia="es-DO"/>
        </w:rPr>
        <w:t>P</w:t>
      </w:r>
      <w:r w:rsidR="00480595" w:rsidRPr="009A27ED">
        <w:rPr>
          <w:rFonts w:ascii="Times New Roman" w:eastAsia="Times New Roman" w:hAnsi="Times New Roman"/>
          <w:sz w:val="24"/>
          <w:szCs w:val="22"/>
          <w:lang w:eastAsia="es-DO"/>
        </w:rPr>
        <w:t xml:space="preserve">articipación de la </w:t>
      </w:r>
      <w:r w:rsidR="007C60B6" w:rsidRPr="009A27ED">
        <w:rPr>
          <w:rFonts w:ascii="Times New Roman" w:eastAsia="Times New Roman" w:hAnsi="Times New Roman"/>
          <w:sz w:val="24"/>
          <w:szCs w:val="22"/>
          <w:lang w:eastAsia="es-DO"/>
        </w:rPr>
        <w:t>C</w:t>
      </w:r>
      <w:r w:rsidR="00480595" w:rsidRPr="009A27ED">
        <w:rPr>
          <w:rFonts w:ascii="Times New Roman" w:eastAsia="Times New Roman" w:hAnsi="Times New Roman"/>
          <w:sz w:val="24"/>
          <w:szCs w:val="22"/>
          <w:lang w:eastAsia="es-DO"/>
        </w:rPr>
        <w:t>omunidad</w:t>
      </w:r>
      <w:r w:rsidRPr="009A27ED">
        <w:rPr>
          <w:rFonts w:ascii="Times New Roman" w:eastAsia="Times New Roman" w:hAnsi="Times New Roman"/>
          <w:sz w:val="24"/>
          <w:szCs w:val="22"/>
          <w:lang w:eastAsia="es-DO"/>
        </w:rPr>
        <w:t>.</w:t>
      </w:r>
    </w:p>
    <w:p w14:paraId="4A305122" w14:textId="77777777" w:rsidR="002F4E1B" w:rsidRPr="009A27ED" w:rsidRDefault="002F4E1B" w:rsidP="002F4E1B">
      <w:pPr>
        <w:spacing w:after="0" w:line="360" w:lineRule="auto"/>
        <w:rPr>
          <w:rFonts w:eastAsia="Times New Roman"/>
          <w:szCs w:val="22"/>
          <w:lang w:eastAsia="es-DO"/>
        </w:rPr>
      </w:pPr>
    </w:p>
    <w:p w14:paraId="6AA9E0F5" w14:textId="7625328C" w:rsidR="00E3578D" w:rsidRPr="009A27ED" w:rsidRDefault="002F4E1B" w:rsidP="002F4E1B">
      <w:pPr>
        <w:spacing w:after="0" w:line="360" w:lineRule="auto"/>
        <w:rPr>
          <w:rFonts w:eastAsia="Times New Roman"/>
          <w:bCs/>
          <w:szCs w:val="22"/>
          <w:lang w:val="es-GT"/>
        </w:rPr>
      </w:pPr>
      <w:r w:rsidRPr="009A27ED">
        <w:rPr>
          <w:rFonts w:ascii="Times New Roman" w:eastAsia="Times New Roman" w:hAnsi="Times New Roman"/>
          <w:sz w:val="24"/>
          <w:szCs w:val="22"/>
          <w:lang w:eastAsia="es-DO"/>
        </w:rPr>
        <w:t xml:space="preserve">Estas actividades tipo serán implementadas a través de planes, </w:t>
      </w:r>
      <w:r w:rsidR="00DC349B" w:rsidRPr="009A27ED">
        <w:rPr>
          <w:rFonts w:ascii="Times New Roman" w:eastAsia="Times New Roman" w:hAnsi="Times New Roman"/>
          <w:sz w:val="24"/>
          <w:szCs w:val="22"/>
          <w:lang w:eastAsia="es-DO"/>
        </w:rPr>
        <w:t xml:space="preserve">sistemas, </w:t>
      </w:r>
      <w:r w:rsidRPr="009A27ED">
        <w:rPr>
          <w:rFonts w:ascii="Times New Roman" w:eastAsia="Times New Roman" w:hAnsi="Times New Roman"/>
          <w:sz w:val="24"/>
          <w:szCs w:val="22"/>
          <w:lang w:eastAsia="es-DO"/>
        </w:rPr>
        <w:t xml:space="preserve">programas y proyectos que vienen desarrollando diversas entidades públicas y privadas, a saber: a) </w:t>
      </w:r>
      <w:r w:rsidRPr="009A27ED">
        <w:rPr>
          <w:rFonts w:ascii="Times New Roman" w:eastAsia="Times New Roman" w:hAnsi="Times New Roman"/>
          <w:sz w:val="24"/>
          <w:szCs w:val="22"/>
          <w:lang w:val="es-GT"/>
        </w:rPr>
        <w:t>Viceministerio de Recursos Forestales</w:t>
      </w:r>
      <w:r w:rsidR="00E3578D" w:rsidRPr="009A27ED">
        <w:rPr>
          <w:rFonts w:ascii="Times New Roman" w:eastAsia="Times New Roman" w:hAnsi="Times New Roman"/>
          <w:sz w:val="24"/>
          <w:szCs w:val="22"/>
          <w:lang w:val="es-GT"/>
        </w:rPr>
        <w:t>, b)</w:t>
      </w:r>
      <w:r w:rsidRPr="009A27ED">
        <w:rPr>
          <w:rFonts w:ascii="Times New Roman" w:eastAsia="Times New Roman" w:hAnsi="Times New Roman"/>
          <w:sz w:val="24"/>
          <w:szCs w:val="22"/>
          <w:lang w:val="es-GT"/>
        </w:rPr>
        <w:t xml:space="preserve"> </w:t>
      </w:r>
      <w:r w:rsidR="00E3578D" w:rsidRPr="009A27ED">
        <w:rPr>
          <w:rFonts w:ascii="Times New Roman" w:eastAsia="Times New Roman" w:hAnsi="Times New Roman"/>
          <w:sz w:val="24"/>
          <w:szCs w:val="22"/>
          <w:lang w:val="es-GT"/>
        </w:rPr>
        <w:t xml:space="preserve">Viceministerio </w:t>
      </w:r>
      <w:r w:rsidRPr="009A27ED">
        <w:rPr>
          <w:rFonts w:ascii="Times New Roman" w:eastAsia="Times New Roman" w:hAnsi="Times New Roman"/>
          <w:sz w:val="24"/>
          <w:szCs w:val="22"/>
          <w:lang w:val="es-GT"/>
        </w:rPr>
        <w:t xml:space="preserve">de Áreas Protegidas y Biodiversidad; </w:t>
      </w:r>
      <w:r w:rsidR="00E3578D" w:rsidRPr="009A27ED">
        <w:rPr>
          <w:rFonts w:ascii="Times New Roman" w:eastAsia="Times New Roman" w:hAnsi="Times New Roman"/>
          <w:sz w:val="24"/>
          <w:szCs w:val="22"/>
          <w:lang w:val="es-GT"/>
        </w:rPr>
        <w:t>c</w:t>
      </w:r>
      <w:r w:rsidRPr="009A27ED">
        <w:rPr>
          <w:rFonts w:ascii="Times New Roman" w:eastAsia="Times New Roman" w:hAnsi="Times New Roman"/>
          <w:sz w:val="24"/>
          <w:szCs w:val="22"/>
          <w:lang w:val="es-GT"/>
        </w:rPr>
        <w:t xml:space="preserve">) </w:t>
      </w:r>
      <w:r w:rsidRPr="009A27ED">
        <w:rPr>
          <w:rFonts w:ascii="Times New Roman" w:eastAsia="Times New Roman" w:hAnsi="Times New Roman"/>
          <w:sz w:val="24"/>
          <w:szCs w:val="22"/>
          <w:shd w:val="clear" w:color="auto" w:fill="FFFFFF"/>
        </w:rPr>
        <w:t>Unidad Técnica Ejecutora de Proyectos de Desarrollo Agroforestal (UTEPDA)</w:t>
      </w:r>
      <w:r w:rsidR="00D57375" w:rsidRPr="009A27ED">
        <w:rPr>
          <w:rFonts w:ascii="Times New Roman" w:eastAsia="Times New Roman" w:hAnsi="Times New Roman"/>
          <w:sz w:val="24"/>
          <w:szCs w:val="22"/>
          <w:shd w:val="clear" w:color="auto" w:fill="FFFFFF"/>
        </w:rPr>
        <w:t xml:space="preserve"> dentro del Viceministerio de Recursos Forestales</w:t>
      </w:r>
      <w:r w:rsidRPr="009A27ED">
        <w:rPr>
          <w:rFonts w:ascii="Times New Roman" w:eastAsia="Times New Roman" w:hAnsi="Times New Roman"/>
          <w:sz w:val="24"/>
          <w:szCs w:val="22"/>
          <w:shd w:val="clear" w:color="auto" w:fill="FFFFFF"/>
        </w:rPr>
        <w:t xml:space="preserve">; </w:t>
      </w:r>
      <w:r w:rsidR="00E3578D" w:rsidRPr="009A27ED">
        <w:rPr>
          <w:rFonts w:ascii="Times New Roman" w:eastAsia="Times New Roman" w:hAnsi="Times New Roman"/>
          <w:sz w:val="24"/>
          <w:szCs w:val="22"/>
          <w:shd w:val="clear" w:color="auto" w:fill="FFFFFF"/>
        </w:rPr>
        <w:t>d</w:t>
      </w:r>
      <w:r w:rsidRPr="009A27ED">
        <w:rPr>
          <w:rFonts w:ascii="Times New Roman" w:eastAsia="Times New Roman" w:hAnsi="Times New Roman"/>
          <w:sz w:val="24"/>
          <w:szCs w:val="22"/>
          <w:shd w:val="clear" w:color="auto" w:fill="FFFFFF"/>
        </w:rPr>
        <w:t xml:space="preserve">) </w:t>
      </w:r>
      <w:r w:rsidRPr="009A27ED">
        <w:rPr>
          <w:rFonts w:ascii="Times New Roman" w:eastAsia="Times New Roman" w:hAnsi="Times New Roman"/>
          <w:bCs/>
          <w:sz w:val="24"/>
          <w:szCs w:val="22"/>
          <w:lang w:val="es-GT"/>
        </w:rPr>
        <w:t xml:space="preserve">Departamento de Cacao, Ministerio Agricultura; </w:t>
      </w:r>
      <w:r w:rsidR="00E3578D" w:rsidRPr="009A27ED">
        <w:rPr>
          <w:rFonts w:ascii="Times New Roman" w:eastAsia="Times New Roman" w:hAnsi="Times New Roman"/>
          <w:bCs/>
          <w:sz w:val="24"/>
          <w:szCs w:val="22"/>
          <w:lang w:val="es-GT"/>
        </w:rPr>
        <w:t>e</w:t>
      </w:r>
      <w:r w:rsidRPr="009A27ED">
        <w:rPr>
          <w:rFonts w:ascii="Times New Roman" w:eastAsia="Times New Roman" w:hAnsi="Times New Roman"/>
          <w:bCs/>
          <w:sz w:val="24"/>
          <w:szCs w:val="22"/>
          <w:lang w:val="es-GT"/>
        </w:rPr>
        <w:t xml:space="preserve">) </w:t>
      </w:r>
      <w:r w:rsidRPr="009A27ED">
        <w:rPr>
          <w:rFonts w:ascii="Times New Roman" w:eastAsia="Times New Roman" w:hAnsi="Times New Roman"/>
          <w:sz w:val="24"/>
          <w:szCs w:val="22"/>
          <w:lang w:val="es-GT"/>
        </w:rPr>
        <w:t>Instituto Dominicano del Café (</w:t>
      </w:r>
      <w:r w:rsidRPr="009A27ED">
        <w:rPr>
          <w:rFonts w:ascii="Times New Roman" w:eastAsia="Times New Roman" w:hAnsi="Times New Roman"/>
          <w:bCs/>
          <w:sz w:val="24"/>
          <w:szCs w:val="22"/>
          <w:lang w:val="es-GT"/>
        </w:rPr>
        <w:t>INDOCAFÉ</w:t>
      </w:r>
      <w:r w:rsidRPr="009A27ED">
        <w:rPr>
          <w:rFonts w:ascii="Times New Roman" w:eastAsia="Times New Roman" w:hAnsi="Times New Roman"/>
          <w:sz w:val="24"/>
          <w:szCs w:val="22"/>
          <w:lang w:val="es-GT"/>
        </w:rPr>
        <w:t xml:space="preserve">); </w:t>
      </w:r>
      <w:r w:rsidR="00E3578D" w:rsidRPr="009A27ED">
        <w:rPr>
          <w:rFonts w:ascii="Times New Roman" w:eastAsia="Times New Roman" w:hAnsi="Times New Roman"/>
          <w:sz w:val="24"/>
          <w:szCs w:val="22"/>
          <w:lang w:val="es-GT"/>
        </w:rPr>
        <w:t>f</w:t>
      </w:r>
      <w:r w:rsidRPr="009A27ED">
        <w:rPr>
          <w:rFonts w:ascii="Times New Roman" w:eastAsia="Times New Roman" w:hAnsi="Times New Roman"/>
          <w:sz w:val="24"/>
          <w:szCs w:val="22"/>
          <w:lang w:val="es-GT"/>
        </w:rPr>
        <w:t xml:space="preserve">) Consejo Nacional para </w:t>
      </w:r>
      <w:r w:rsidR="005001AC" w:rsidRPr="009A27ED">
        <w:rPr>
          <w:rFonts w:ascii="Times New Roman" w:eastAsia="Times New Roman" w:hAnsi="Times New Roman"/>
          <w:sz w:val="24"/>
          <w:szCs w:val="22"/>
          <w:lang w:val="es-GT"/>
        </w:rPr>
        <w:t xml:space="preserve">el Fomento y la </w:t>
      </w:r>
      <w:r w:rsidRPr="009A27ED">
        <w:rPr>
          <w:rFonts w:ascii="Times New Roman" w:eastAsia="Times New Roman" w:hAnsi="Times New Roman"/>
          <w:sz w:val="24"/>
          <w:szCs w:val="22"/>
          <w:lang w:val="es-GT"/>
        </w:rPr>
        <w:t>Reglamentación de la Industria Lechera (</w:t>
      </w:r>
      <w:r w:rsidRPr="009A27ED">
        <w:rPr>
          <w:rFonts w:ascii="Times New Roman" w:eastAsia="Times New Roman" w:hAnsi="Times New Roman"/>
          <w:bCs/>
          <w:sz w:val="24"/>
          <w:szCs w:val="22"/>
          <w:lang w:val="es-GT"/>
        </w:rPr>
        <w:t xml:space="preserve">CONALECHE); </w:t>
      </w:r>
      <w:r w:rsidR="00E3578D" w:rsidRPr="009A27ED">
        <w:rPr>
          <w:rFonts w:ascii="Times New Roman" w:eastAsia="Times New Roman" w:hAnsi="Times New Roman"/>
          <w:bCs/>
          <w:sz w:val="24"/>
          <w:szCs w:val="22"/>
          <w:lang w:val="es-GT"/>
        </w:rPr>
        <w:t>g</w:t>
      </w:r>
      <w:r w:rsidRPr="009A27ED">
        <w:rPr>
          <w:rFonts w:ascii="Times New Roman" w:eastAsia="Times New Roman" w:hAnsi="Times New Roman"/>
          <w:bCs/>
          <w:sz w:val="24"/>
          <w:szCs w:val="22"/>
          <w:lang w:val="es-GT"/>
        </w:rPr>
        <w:t xml:space="preserve">) Dirección General de Ganadería (DIGEGA); </w:t>
      </w:r>
      <w:r w:rsidR="00E3578D" w:rsidRPr="009A27ED">
        <w:rPr>
          <w:rFonts w:ascii="Times New Roman" w:eastAsia="Times New Roman" w:hAnsi="Times New Roman"/>
          <w:bCs/>
          <w:sz w:val="24"/>
          <w:szCs w:val="22"/>
          <w:lang w:val="es-GT"/>
        </w:rPr>
        <w:t>h</w:t>
      </w:r>
      <w:r w:rsidRPr="009A27ED">
        <w:rPr>
          <w:rFonts w:ascii="Times New Roman" w:eastAsia="Times New Roman" w:hAnsi="Times New Roman"/>
          <w:bCs/>
          <w:sz w:val="24"/>
          <w:szCs w:val="22"/>
          <w:lang w:val="es-GT"/>
        </w:rPr>
        <w:t xml:space="preserve">) Asociación de Silvicultores San Ramón; </w:t>
      </w:r>
      <w:r w:rsidR="00E3578D" w:rsidRPr="009A27ED">
        <w:rPr>
          <w:rFonts w:ascii="Times New Roman" w:eastAsia="Times New Roman" w:hAnsi="Times New Roman"/>
          <w:bCs/>
          <w:sz w:val="24"/>
          <w:szCs w:val="22"/>
          <w:lang w:val="es-GT"/>
        </w:rPr>
        <w:t>i</w:t>
      </w:r>
      <w:r w:rsidRPr="009A27ED">
        <w:rPr>
          <w:rFonts w:ascii="Times New Roman" w:eastAsia="Times New Roman" w:hAnsi="Times New Roman"/>
          <w:bCs/>
          <w:sz w:val="24"/>
          <w:szCs w:val="22"/>
          <w:lang w:val="es-GT"/>
        </w:rPr>
        <w:t xml:space="preserve">) </w:t>
      </w:r>
      <w:r w:rsidRPr="009A27ED">
        <w:rPr>
          <w:rFonts w:ascii="Times New Roman" w:eastAsia="Times New Roman" w:hAnsi="Times New Roman"/>
          <w:sz w:val="24"/>
          <w:szCs w:val="22"/>
          <w:lang w:val="es-GT"/>
        </w:rPr>
        <w:t xml:space="preserve">Asociación de Desarrollo Forestal </w:t>
      </w:r>
      <w:r w:rsidR="00FE3400" w:rsidRPr="009A27ED">
        <w:rPr>
          <w:rFonts w:ascii="Times New Roman" w:eastAsia="Times New Roman" w:hAnsi="Times New Roman"/>
          <w:sz w:val="24"/>
          <w:szCs w:val="22"/>
          <w:lang w:val="es-GT"/>
        </w:rPr>
        <w:t xml:space="preserve">Sostenible </w:t>
      </w:r>
      <w:r w:rsidRPr="009A27ED">
        <w:rPr>
          <w:rFonts w:ascii="Times New Roman" w:eastAsia="Times New Roman" w:hAnsi="Times New Roman"/>
          <w:sz w:val="24"/>
          <w:szCs w:val="22"/>
          <w:lang w:val="es-GT"/>
        </w:rPr>
        <w:t>de Restauración (</w:t>
      </w:r>
      <w:r w:rsidRPr="009A27ED">
        <w:rPr>
          <w:rFonts w:ascii="Times New Roman" w:eastAsia="Times New Roman" w:hAnsi="Times New Roman"/>
          <w:bCs/>
          <w:sz w:val="24"/>
          <w:szCs w:val="22"/>
          <w:lang w:val="es-GT"/>
        </w:rPr>
        <w:t>ASODEFOREST).</w:t>
      </w:r>
      <w:r w:rsidR="00DC349B" w:rsidRPr="009A27ED">
        <w:rPr>
          <w:rFonts w:ascii="Times New Roman" w:eastAsia="Times New Roman" w:hAnsi="Times New Roman"/>
          <w:bCs/>
          <w:sz w:val="24"/>
          <w:szCs w:val="22"/>
          <w:lang w:val="es-GT"/>
        </w:rPr>
        <w:t xml:space="preserve"> El siguiente diagrama, presenta la lógica de identificación y </w:t>
      </w:r>
      <w:r w:rsidR="00FE3400" w:rsidRPr="009A27ED">
        <w:rPr>
          <w:rFonts w:ascii="Times New Roman" w:eastAsia="Times New Roman" w:hAnsi="Times New Roman"/>
          <w:bCs/>
          <w:sz w:val="24"/>
          <w:szCs w:val="22"/>
          <w:lang w:val="es-GT"/>
        </w:rPr>
        <w:t>articulación entre</w:t>
      </w:r>
      <w:r w:rsidR="006F2A27" w:rsidRPr="009A27ED">
        <w:rPr>
          <w:rFonts w:ascii="Times New Roman" w:eastAsia="Times New Roman" w:hAnsi="Times New Roman"/>
          <w:bCs/>
          <w:sz w:val="24"/>
          <w:szCs w:val="22"/>
          <w:lang w:val="es-GT"/>
        </w:rPr>
        <w:t xml:space="preserve"> las opciones </w:t>
      </w:r>
      <w:r w:rsidR="00FE3400" w:rsidRPr="009A27ED">
        <w:rPr>
          <w:rFonts w:ascii="Times New Roman" w:eastAsia="Times New Roman" w:hAnsi="Times New Roman"/>
          <w:bCs/>
          <w:sz w:val="24"/>
          <w:szCs w:val="22"/>
          <w:lang w:val="es-GT"/>
        </w:rPr>
        <w:t>estratégicas, sus</w:t>
      </w:r>
      <w:r w:rsidR="006F2A27" w:rsidRPr="009A27ED">
        <w:rPr>
          <w:rFonts w:ascii="Times New Roman" w:eastAsia="Times New Roman" w:hAnsi="Times New Roman"/>
          <w:bCs/>
          <w:sz w:val="24"/>
          <w:szCs w:val="22"/>
          <w:lang w:val="es-GT"/>
        </w:rPr>
        <w:t xml:space="preserve"> acciones y actividades tipo REDD+ con las entidades ejecutoras (EE) que ayudarán a implementar la visión REDD+ de país.</w:t>
      </w:r>
    </w:p>
    <w:p w14:paraId="7002ECEF" w14:textId="738625A9" w:rsidR="00DC1344" w:rsidRPr="009A27ED" w:rsidRDefault="001768FA" w:rsidP="002F4E1B">
      <w:pPr>
        <w:spacing w:after="0" w:line="360" w:lineRule="auto"/>
        <w:rPr>
          <w:rFonts w:ascii="Helvetica" w:eastAsia="Times New Roman" w:hAnsi="Helvetica" w:cs="Helvetica"/>
          <w:color w:val="500050"/>
          <w:sz w:val="20"/>
          <w:szCs w:val="20"/>
          <w:lang w:eastAsia="es-DO"/>
        </w:rPr>
      </w:pPr>
      <w:r w:rsidRPr="009A27ED">
        <w:rPr>
          <w:rFonts w:ascii="Times New Roman" w:eastAsia="Times New Roman" w:hAnsi="Times New Roman"/>
          <w:noProof/>
          <w:sz w:val="24"/>
          <w:lang w:val="en-US"/>
        </w:rPr>
        <w:lastRenderedPageBreak/>
        <w:drawing>
          <wp:anchor distT="0" distB="0" distL="114300" distR="114300" simplePos="0" relativeHeight="251780096" behindDoc="1" locked="0" layoutInCell="1" allowOverlap="1" wp14:anchorId="4E8E449A" wp14:editId="652EBF20">
            <wp:simplePos x="0" y="0"/>
            <wp:positionH relativeFrom="column">
              <wp:posOffset>2940616</wp:posOffset>
            </wp:positionH>
            <wp:positionV relativeFrom="paragraph">
              <wp:posOffset>0</wp:posOffset>
            </wp:positionV>
            <wp:extent cx="4219575" cy="5535879"/>
            <wp:effectExtent l="0" t="0" r="0" b="8255"/>
            <wp:wrapTight wrapText="bothSides">
              <wp:wrapPolygon edited="0">
                <wp:start x="0" y="0"/>
                <wp:lineTo x="0" y="21558"/>
                <wp:lineTo x="21454" y="21558"/>
                <wp:lineTo x="21454" y="0"/>
                <wp:lineTo x="0" y="0"/>
              </wp:wrapPolygon>
            </wp:wrapTight>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ackup_of_esquema de REDD+3.png"/>
                    <pic:cNvPicPr/>
                  </pic:nvPicPr>
                  <pic:blipFill>
                    <a:blip r:embed="rId26">
                      <a:extLst>
                        <a:ext uri="{28A0092B-C50C-407E-A947-70E740481C1C}">
                          <a14:useLocalDpi xmlns:a14="http://schemas.microsoft.com/office/drawing/2010/main" val="0"/>
                        </a:ext>
                      </a:extLst>
                    </a:blip>
                    <a:stretch>
                      <a:fillRect/>
                    </a:stretch>
                  </pic:blipFill>
                  <pic:spPr>
                    <a:xfrm>
                      <a:off x="0" y="0"/>
                      <a:ext cx="4219575" cy="5535879"/>
                    </a:xfrm>
                    <a:prstGeom prst="rect">
                      <a:avLst/>
                    </a:prstGeom>
                  </pic:spPr>
                </pic:pic>
              </a:graphicData>
            </a:graphic>
            <wp14:sizeRelH relativeFrom="margin">
              <wp14:pctWidth>0</wp14:pctWidth>
            </wp14:sizeRelH>
            <wp14:sizeRelV relativeFrom="margin">
              <wp14:pctHeight>0</wp14:pctHeight>
            </wp14:sizeRelV>
          </wp:anchor>
        </w:drawing>
      </w:r>
      <w:r w:rsidRPr="009A27ED">
        <w:rPr>
          <w:rFonts w:ascii="Times New Roman" w:eastAsia="Times New Roman" w:hAnsi="Times New Roman"/>
          <w:noProof/>
          <w:sz w:val="24"/>
        </w:rPr>
        <mc:AlternateContent>
          <mc:Choice Requires="wps">
            <w:drawing>
              <wp:anchor distT="0" distB="0" distL="114300" distR="114300" simplePos="0" relativeHeight="251782144" behindDoc="1" locked="0" layoutInCell="1" allowOverlap="1" wp14:anchorId="7439713D" wp14:editId="3DDCD343">
                <wp:simplePos x="0" y="0"/>
                <wp:positionH relativeFrom="column">
                  <wp:posOffset>2921000</wp:posOffset>
                </wp:positionH>
                <wp:positionV relativeFrom="paragraph">
                  <wp:posOffset>5673725</wp:posOffset>
                </wp:positionV>
                <wp:extent cx="4949190" cy="635"/>
                <wp:effectExtent l="0" t="0" r="0" b="0"/>
                <wp:wrapTight wrapText="bothSides">
                  <wp:wrapPolygon edited="0">
                    <wp:start x="0" y="0"/>
                    <wp:lineTo x="0" y="21600"/>
                    <wp:lineTo x="21600" y="21600"/>
                    <wp:lineTo x="21600" y="0"/>
                  </wp:wrapPolygon>
                </wp:wrapTight>
                <wp:docPr id="3" name="Cuadro de texto 3"/>
                <wp:cNvGraphicFramePr/>
                <a:graphic xmlns:a="http://schemas.openxmlformats.org/drawingml/2006/main">
                  <a:graphicData uri="http://schemas.microsoft.com/office/word/2010/wordprocessingShape">
                    <wps:wsp>
                      <wps:cNvSpPr txBox="1"/>
                      <wps:spPr>
                        <a:xfrm>
                          <a:off x="0" y="0"/>
                          <a:ext cx="4949190" cy="635"/>
                        </a:xfrm>
                        <a:prstGeom prst="rect">
                          <a:avLst/>
                        </a:prstGeom>
                        <a:solidFill>
                          <a:prstClr val="white"/>
                        </a:solidFill>
                        <a:ln>
                          <a:noFill/>
                        </a:ln>
                      </wps:spPr>
                      <wps:txbx>
                        <w:txbxContent>
                          <w:p w14:paraId="36FE7693" w14:textId="7A42A6DE" w:rsidR="001768FA" w:rsidRPr="00DF5700" w:rsidRDefault="001768FA" w:rsidP="001768FA">
                            <w:pPr>
                              <w:pStyle w:val="Descripcin"/>
                              <w:rPr>
                                <w:noProof/>
                                <w:szCs w:val="24"/>
                              </w:rPr>
                            </w:pPr>
                            <w:bookmarkStart w:id="35" w:name="_Toc111889889"/>
                            <w:r>
                              <w:t xml:space="preserve">Esquema  </w:t>
                            </w:r>
                            <w:r>
                              <w:fldChar w:fldCharType="begin"/>
                            </w:r>
                            <w:r>
                              <w:instrText xml:space="preserve"> SEQ Esquema_ \* ARABIC </w:instrText>
                            </w:r>
                            <w:r>
                              <w:fldChar w:fldCharType="separate"/>
                            </w:r>
                            <w:r w:rsidR="00703EB9">
                              <w:rPr>
                                <w:noProof/>
                              </w:rPr>
                              <w:t>1</w:t>
                            </w:r>
                            <w:r>
                              <w:fldChar w:fldCharType="end"/>
                            </w:r>
                            <w:r>
                              <w:t>. Opciones y Acciones Estratégicas REDD+. Actividades Tipo y Entidades Ejecutoras</w:t>
                            </w:r>
                            <w:bookmarkEnd w:id="35"/>
                            <w: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439713D" id="Cuadro de texto 3" o:spid="_x0000_s1027" type="#_x0000_t202" style="position:absolute;left:0;text-align:left;margin-left:230pt;margin-top:446.75pt;width:389.7pt;height:.05pt;z-index:-251534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XjAMgIAAGsEAAAOAAAAZHJzL2Uyb0RvYy54bWysVMFu2zAMvQ/YPwi6L06arliMOEWWIsOA&#10;oi2QDj0rshwLkEWNUmJnXz9KttOt22nYRaZIitJ7j/TytmsMOyn0GmzBZ5MpZ8pKKLU9FPzb8/bD&#10;J858ELYUBqwq+Fl5frt6/27ZulxdQQ2mVMioiPV56wpeh+DyLPOyVo3wE3DKUrACbESgLR6yEkVL&#10;1RuTXU2nN1kLWDoEqbwn710f5KtUv6qUDI9V5VVgpuD0tpBWTOs+rtlqKfIDCldrOTxD/MMrGqEt&#10;XXopdSeCYEfUf5RqtETwUIWJhCaDqtJSJQyEZjZ9g2ZXC6cSFiLHuwtN/v+VlQ+nJ2S6LPicMysa&#10;kmhzFCUCKxULqgvA5pGk1vmccneOskP3GToSe/R7ckbsXYVN/BIqRnGi+3yhmCoxSc7rxfVitqCQ&#10;pNjN/GOskb0edejDFwUNi0bBkfRLtIrTvQ996pgSb/JgdLnVxsRNDGwMspMgrdtaBzUU/y3L2Jhr&#10;IZ7qC0ZPFvH1OKIVun2XSLlg3EN5JugIfQd5J7ea7rsXPjwJpJYhSDQG4ZGWykBbcBgszmrAH3/z&#10;x3xSkqKctdSCBfffjwIVZ+arJY1jv44GjsZ+NOyx2QAhndGAOZlMOoDBjGaF0LzQdKzjLRQSVtJd&#10;BQ+juQn9INB0SbVepyTqSifCvd05GUuPvD53LwLdoEpsiwcYm1Pkb8Tpc5M8bn0MxHRSLvLaszjQ&#10;TR2dtB+mL47Mr/uU9fqPWP0EAAD//wMAUEsDBBQABgAIAAAAIQDXe4+m4gAAAAwBAAAPAAAAZHJz&#10;L2Rvd25yZXYueG1sTI/BTsMwEETvSPyDtUhcEHVoQtSGOFVVwQEuFaEXbm68jQPxOrKdNvw9bi9w&#10;nJ3R7JtyNZmeHdH5zpKAh1kCDKmxqqNWwO7j5X4BzAdJSvaWUMAPelhV11elLJQ90Tse69CyWEK+&#10;kAJ0CEPBuW80GulndkCK3sE6I0OUruXKyVMsNz2fJ0nOjewoftBywI3G5rsejYBt9rnVd+Ph+W2d&#10;pe51N27yr7YW4vZmWj8BCziFvzCc8SM6VJFpb0dSnvUCsjyJW4KAxTJ9BHZOzNNlBmx/OeXAq5L/&#10;H1H9AgAA//8DAFBLAQItABQABgAIAAAAIQC2gziS/gAAAOEBAAATAAAAAAAAAAAAAAAAAAAAAABb&#10;Q29udGVudF9UeXBlc10ueG1sUEsBAi0AFAAGAAgAAAAhADj9If/WAAAAlAEAAAsAAAAAAAAAAAAA&#10;AAAALwEAAF9yZWxzLy5yZWxzUEsBAi0AFAAGAAgAAAAhAMjJeMAyAgAAawQAAA4AAAAAAAAAAAAA&#10;AAAALgIAAGRycy9lMm9Eb2MueG1sUEsBAi0AFAAGAAgAAAAhANd7j6biAAAADAEAAA8AAAAAAAAA&#10;AAAAAAAAjAQAAGRycy9kb3ducmV2LnhtbFBLBQYAAAAABAAEAPMAAACbBQAAAAA=&#10;" stroked="f">
                <v:textbox style="mso-fit-shape-to-text:t" inset="0,0,0,0">
                  <w:txbxContent>
                    <w:p w14:paraId="36FE7693" w14:textId="7A42A6DE" w:rsidR="001768FA" w:rsidRPr="00DF5700" w:rsidRDefault="001768FA" w:rsidP="001768FA">
                      <w:pPr>
                        <w:pStyle w:val="Descripcin"/>
                        <w:rPr>
                          <w:noProof/>
                          <w:szCs w:val="24"/>
                        </w:rPr>
                      </w:pPr>
                      <w:bookmarkStart w:id="42" w:name="_Toc111889889"/>
                      <w:r>
                        <w:t xml:space="preserve">Esquema  </w:t>
                      </w:r>
                      <w:r>
                        <w:fldChar w:fldCharType="begin"/>
                      </w:r>
                      <w:r>
                        <w:instrText xml:space="preserve"> SEQ Esquema_ \* ARABIC </w:instrText>
                      </w:r>
                      <w:r>
                        <w:fldChar w:fldCharType="separate"/>
                      </w:r>
                      <w:r w:rsidR="00703EB9">
                        <w:rPr>
                          <w:noProof/>
                        </w:rPr>
                        <w:t>1</w:t>
                      </w:r>
                      <w:r>
                        <w:fldChar w:fldCharType="end"/>
                      </w:r>
                      <w:r>
                        <w:t>. Opciones y Acciones Estratégicas REDD+. Actividades Tipo y Entidades Ejecutoras</w:t>
                      </w:r>
                      <w:bookmarkEnd w:id="42"/>
                      <w:r>
                        <w:t xml:space="preserve"> </w:t>
                      </w:r>
                    </w:p>
                  </w:txbxContent>
                </v:textbox>
                <w10:wrap type="tight"/>
              </v:shape>
            </w:pict>
          </mc:Fallback>
        </mc:AlternateContent>
      </w:r>
      <w:r w:rsidR="006F2A27" w:rsidRPr="009A27ED">
        <w:rPr>
          <w:rFonts w:ascii="Times New Roman" w:eastAsia="Times New Roman" w:hAnsi="Times New Roman"/>
          <w:bCs/>
          <w:sz w:val="24"/>
          <w:szCs w:val="22"/>
          <w:lang w:val="es-GT"/>
        </w:rPr>
        <w:t xml:space="preserve"> </w:t>
      </w:r>
    </w:p>
    <w:p w14:paraId="4DFCE83A" w14:textId="0A863F2E" w:rsidR="002118EB" w:rsidRPr="009A27ED" w:rsidRDefault="002118EB" w:rsidP="002F4E1B">
      <w:pPr>
        <w:spacing w:before="120" w:after="0" w:line="360" w:lineRule="auto"/>
      </w:pPr>
    </w:p>
    <w:p w14:paraId="49787B67" w14:textId="77777777" w:rsidR="002118EB" w:rsidRPr="009A27ED" w:rsidRDefault="002118EB" w:rsidP="002118EB">
      <w:pPr>
        <w:spacing w:line="360" w:lineRule="auto"/>
      </w:pPr>
    </w:p>
    <w:p w14:paraId="0D8F79AE" w14:textId="77777777" w:rsidR="002118EB" w:rsidRPr="009A27ED" w:rsidRDefault="002118EB" w:rsidP="002118EB">
      <w:pPr>
        <w:spacing w:line="360" w:lineRule="auto"/>
      </w:pPr>
    </w:p>
    <w:p w14:paraId="127C8209" w14:textId="77777777" w:rsidR="002118EB" w:rsidRPr="009A27ED" w:rsidRDefault="002118EB" w:rsidP="002118EB">
      <w:pPr>
        <w:spacing w:line="360" w:lineRule="auto"/>
      </w:pPr>
    </w:p>
    <w:p w14:paraId="73C1F3CE" w14:textId="77777777" w:rsidR="002118EB" w:rsidRPr="009A27ED" w:rsidRDefault="002118EB" w:rsidP="002118EB">
      <w:pPr>
        <w:spacing w:line="360" w:lineRule="auto"/>
      </w:pPr>
    </w:p>
    <w:p w14:paraId="5B327471" w14:textId="1F03E3F8" w:rsidR="002118EB" w:rsidRPr="009A27ED" w:rsidRDefault="002118EB" w:rsidP="002118EB">
      <w:pPr>
        <w:spacing w:line="360" w:lineRule="auto"/>
      </w:pPr>
    </w:p>
    <w:p w14:paraId="734D5E62" w14:textId="77777777" w:rsidR="00DC1344" w:rsidRPr="009A27ED" w:rsidRDefault="00DC1344" w:rsidP="002118EB">
      <w:pPr>
        <w:spacing w:line="360" w:lineRule="auto"/>
        <w:sectPr w:rsidR="00DC1344" w:rsidRPr="009A27ED" w:rsidSect="00BC6D88">
          <w:pgSz w:w="20635" w:h="12240" w:orient="landscape" w:code="1"/>
          <w:pgMar w:top="1440" w:right="6235" w:bottom="1440" w:left="1440" w:header="708" w:footer="708" w:gutter="0"/>
          <w:cols w:space="708"/>
          <w:docGrid w:linePitch="360"/>
        </w:sectPr>
      </w:pPr>
    </w:p>
    <w:p w14:paraId="44B7031D" w14:textId="60243F17" w:rsidR="00947670" w:rsidRPr="009A27ED" w:rsidRDefault="002604E0" w:rsidP="005B6485">
      <w:pPr>
        <w:spacing w:before="120" w:after="0" w:line="360" w:lineRule="auto"/>
        <w:rPr>
          <w:szCs w:val="22"/>
        </w:rPr>
      </w:pPr>
      <w:r w:rsidRPr="009A27ED">
        <w:rPr>
          <w:rFonts w:ascii="Times New Roman" w:eastAsia="Times New Roman" w:hAnsi="Times New Roman"/>
          <w:sz w:val="24"/>
          <w:szCs w:val="22"/>
        </w:rPr>
        <w:lastRenderedPageBreak/>
        <w:t>E</w:t>
      </w:r>
      <w:r w:rsidR="00947670" w:rsidRPr="009A27ED">
        <w:rPr>
          <w:rFonts w:ascii="Times New Roman" w:eastAsia="Times New Roman" w:hAnsi="Times New Roman"/>
          <w:sz w:val="24"/>
          <w:szCs w:val="22"/>
        </w:rPr>
        <w:t>n particular</w:t>
      </w:r>
      <w:r w:rsidR="00B82249" w:rsidRPr="009A27ED">
        <w:rPr>
          <w:rFonts w:ascii="Times New Roman" w:eastAsia="Times New Roman" w:hAnsi="Times New Roman"/>
          <w:sz w:val="24"/>
          <w:szCs w:val="22"/>
        </w:rPr>
        <w:t>,</w:t>
      </w:r>
      <w:r w:rsidR="00947670" w:rsidRPr="009A27ED">
        <w:rPr>
          <w:rFonts w:ascii="Times New Roman" w:eastAsia="Times New Roman" w:hAnsi="Times New Roman"/>
          <w:sz w:val="24"/>
          <w:szCs w:val="22"/>
        </w:rPr>
        <w:t xml:space="preserve"> durante 2017 </w:t>
      </w:r>
      <w:r w:rsidR="00D36C84" w:rsidRPr="009A27ED">
        <w:rPr>
          <w:rFonts w:ascii="Times New Roman" w:eastAsia="Times New Roman" w:hAnsi="Times New Roman"/>
          <w:sz w:val="24"/>
          <w:szCs w:val="22"/>
        </w:rPr>
        <w:t xml:space="preserve">al </w:t>
      </w:r>
      <w:r w:rsidR="00947670" w:rsidRPr="009A27ED">
        <w:rPr>
          <w:rFonts w:ascii="Times New Roman" w:eastAsia="Times New Roman" w:hAnsi="Times New Roman"/>
          <w:sz w:val="24"/>
          <w:szCs w:val="22"/>
        </w:rPr>
        <w:t>20</w:t>
      </w:r>
      <w:r w:rsidR="00A74277" w:rsidRPr="009A27ED">
        <w:rPr>
          <w:rFonts w:ascii="Times New Roman" w:eastAsia="Times New Roman" w:hAnsi="Times New Roman"/>
          <w:sz w:val="24"/>
          <w:szCs w:val="22"/>
        </w:rPr>
        <w:t>22</w:t>
      </w:r>
      <w:r w:rsidR="00947670" w:rsidRPr="009A27ED">
        <w:rPr>
          <w:rFonts w:ascii="Times New Roman" w:eastAsia="Times New Roman" w:hAnsi="Times New Roman"/>
          <w:sz w:val="24"/>
          <w:szCs w:val="22"/>
        </w:rPr>
        <w:t xml:space="preserve"> el país </w:t>
      </w:r>
      <w:r w:rsidR="00A62B87" w:rsidRPr="009A27ED">
        <w:rPr>
          <w:rFonts w:ascii="Times New Roman" w:eastAsia="Times New Roman" w:hAnsi="Times New Roman"/>
          <w:sz w:val="24"/>
          <w:szCs w:val="22"/>
        </w:rPr>
        <w:t>avanzó</w:t>
      </w:r>
      <w:r w:rsidR="00947670" w:rsidRPr="009A27ED">
        <w:rPr>
          <w:rFonts w:ascii="Times New Roman" w:eastAsia="Times New Roman" w:hAnsi="Times New Roman"/>
          <w:sz w:val="24"/>
          <w:szCs w:val="22"/>
        </w:rPr>
        <w:t xml:space="preserve"> en la elaboración de la EN REDD+</w:t>
      </w:r>
      <w:r w:rsidR="008E516B" w:rsidRPr="009A27ED">
        <w:rPr>
          <w:rFonts w:ascii="Times New Roman" w:eastAsia="Times New Roman" w:hAnsi="Times New Roman"/>
          <w:sz w:val="24"/>
          <w:szCs w:val="22"/>
        </w:rPr>
        <w:t xml:space="preserve"> (</w:t>
      </w:r>
      <w:proofErr w:type="gramStart"/>
      <w:r w:rsidR="008E516B" w:rsidRPr="009A27ED">
        <w:rPr>
          <w:rFonts w:ascii="Times New Roman" w:eastAsia="Times New Roman" w:hAnsi="Times New Roman"/>
          <w:sz w:val="24"/>
          <w:szCs w:val="22"/>
        </w:rPr>
        <w:t>Marzo</w:t>
      </w:r>
      <w:proofErr w:type="gramEnd"/>
      <w:r w:rsidR="008E516B" w:rsidRPr="009A27ED">
        <w:rPr>
          <w:rFonts w:ascii="Times New Roman" w:eastAsia="Times New Roman" w:hAnsi="Times New Roman"/>
          <w:sz w:val="24"/>
          <w:szCs w:val="22"/>
        </w:rPr>
        <w:t xml:space="preserve"> 2022)</w:t>
      </w:r>
      <w:r w:rsidR="00947670" w:rsidRPr="009A27ED">
        <w:rPr>
          <w:rFonts w:ascii="Times New Roman" w:eastAsia="Times New Roman" w:hAnsi="Times New Roman"/>
          <w:sz w:val="24"/>
          <w:szCs w:val="22"/>
        </w:rPr>
        <w:t xml:space="preserve"> y </w:t>
      </w:r>
      <w:r w:rsidR="003757AE" w:rsidRPr="009A27ED">
        <w:rPr>
          <w:rFonts w:ascii="Times New Roman" w:eastAsia="Times New Roman" w:hAnsi="Times New Roman"/>
          <w:sz w:val="24"/>
          <w:szCs w:val="22"/>
        </w:rPr>
        <w:t>d</w:t>
      </w:r>
      <w:r w:rsidR="00947670" w:rsidRPr="009A27ED">
        <w:rPr>
          <w:rFonts w:ascii="Times New Roman" w:eastAsia="Times New Roman" w:hAnsi="Times New Roman"/>
          <w:sz w:val="24"/>
          <w:szCs w:val="22"/>
        </w:rPr>
        <w:t xml:space="preserve">el marco para la implementación REDD+, </w:t>
      </w:r>
      <w:r w:rsidR="0071197E" w:rsidRPr="009A27ED">
        <w:rPr>
          <w:rFonts w:ascii="Times New Roman" w:eastAsia="Times New Roman" w:hAnsi="Times New Roman"/>
          <w:sz w:val="24"/>
          <w:szCs w:val="22"/>
        </w:rPr>
        <w:t xml:space="preserve">el cual finalizará en </w:t>
      </w:r>
      <w:r w:rsidR="002F4E1B" w:rsidRPr="009A27ED">
        <w:rPr>
          <w:rFonts w:ascii="Times New Roman" w:eastAsia="Times New Roman" w:hAnsi="Times New Roman"/>
          <w:sz w:val="24"/>
          <w:szCs w:val="22"/>
        </w:rPr>
        <w:t xml:space="preserve">septiembre </w:t>
      </w:r>
      <w:r w:rsidR="0071197E" w:rsidRPr="009A27ED">
        <w:rPr>
          <w:rFonts w:ascii="Times New Roman" w:eastAsia="Times New Roman" w:hAnsi="Times New Roman"/>
          <w:sz w:val="24"/>
          <w:szCs w:val="22"/>
        </w:rPr>
        <w:t>20</w:t>
      </w:r>
      <w:r w:rsidR="00C42D92" w:rsidRPr="009A27ED">
        <w:rPr>
          <w:rFonts w:ascii="Times New Roman" w:eastAsia="Times New Roman" w:hAnsi="Times New Roman"/>
          <w:sz w:val="24"/>
          <w:szCs w:val="22"/>
        </w:rPr>
        <w:t>22</w:t>
      </w:r>
      <w:r w:rsidR="00A250FF" w:rsidRPr="009A27ED">
        <w:rPr>
          <w:rFonts w:ascii="Times New Roman" w:eastAsia="Times New Roman" w:hAnsi="Times New Roman"/>
          <w:sz w:val="24"/>
          <w:szCs w:val="22"/>
        </w:rPr>
        <w:t>.</w:t>
      </w:r>
      <w:r w:rsidR="0071197E" w:rsidRPr="009A27ED">
        <w:rPr>
          <w:rFonts w:ascii="Times New Roman" w:eastAsia="Times New Roman" w:hAnsi="Times New Roman"/>
          <w:sz w:val="24"/>
          <w:szCs w:val="22"/>
        </w:rPr>
        <w:t xml:space="preserve"> </w:t>
      </w:r>
      <w:r w:rsidR="00A250FF" w:rsidRPr="009A27ED">
        <w:rPr>
          <w:rFonts w:ascii="Times New Roman" w:eastAsia="Times New Roman" w:hAnsi="Times New Roman"/>
          <w:sz w:val="24"/>
          <w:szCs w:val="22"/>
        </w:rPr>
        <w:t>S</w:t>
      </w:r>
      <w:r w:rsidR="00A62B87" w:rsidRPr="009A27ED">
        <w:rPr>
          <w:rFonts w:ascii="Times New Roman" w:eastAsia="Times New Roman" w:hAnsi="Times New Roman"/>
          <w:sz w:val="24"/>
          <w:szCs w:val="22"/>
        </w:rPr>
        <w:t xml:space="preserve">e han construido los siguientes </w:t>
      </w:r>
      <w:r w:rsidR="00947670" w:rsidRPr="009A27ED">
        <w:rPr>
          <w:rFonts w:ascii="Times New Roman" w:eastAsia="Times New Roman" w:hAnsi="Times New Roman"/>
          <w:sz w:val="24"/>
          <w:szCs w:val="22"/>
        </w:rPr>
        <w:t xml:space="preserve">componentes y </w:t>
      </w:r>
      <w:proofErr w:type="gramStart"/>
      <w:r w:rsidR="00947670" w:rsidRPr="009A27ED">
        <w:rPr>
          <w:rFonts w:ascii="Times New Roman" w:eastAsia="Times New Roman" w:hAnsi="Times New Roman"/>
          <w:sz w:val="24"/>
          <w:szCs w:val="22"/>
        </w:rPr>
        <w:t>sub componentes</w:t>
      </w:r>
      <w:proofErr w:type="gramEnd"/>
      <w:r w:rsidR="00947670" w:rsidRPr="009A27ED">
        <w:rPr>
          <w:rFonts w:ascii="Times New Roman" w:eastAsia="Times New Roman" w:hAnsi="Times New Roman"/>
          <w:sz w:val="24"/>
          <w:szCs w:val="22"/>
        </w:rPr>
        <w:t xml:space="preserve">: </w:t>
      </w:r>
    </w:p>
    <w:p w14:paraId="37A1BA27" w14:textId="77777777" w:rsidR="002F4E1B" w:rsidRPr="009A27ED" w:rsidRDefault="002F4E1B" w:rsidP="005B6485">
      <w:pPr>
        <w:spacing w:before="120" w:after="0" w:line="360" w:lineRule="auto"/>
        <w:rPr>
          <w:szCs w:val="22"/>
        </w:rPr>
      </w:pPr>
    </w:p>
    <w:p w14:paraId="3BFF3B97" w14:textId="77777777" w:rsidR="00947670" w:rsidRPr="009A27ED" w:rsidRDefault="00947670" w:rsidP="00D42802">
      <w:pPr>
        <w:pStyle w:val="Sinespaciado"/>
        <w:numPr>
          <w:ilvl w:val="0"/>
          <w:numId w:val="42"/>
        </w:numPr>
        <w:spacing w:line="360" w:lineRule="auto"/>
      </w:pPr>
      <w:r w:rsidRPr="009A27ED">
        <w:rPr>
          <w:rFonts w:ascii="Times New Roman" w:eastAsia="Times New Roman" w:hAnsi="Times New Roman"/>
          <w:sz w:val="24"/>
        </w:rPr>
        <w:t>Definición y priorización de las principales causas de la deforestación y degradación de los bosques en la República Dominicana, a fin de definir las intervenciones REDD+ adecuadas para el país</w:t>
      </w:r>
      <w:r w:rsidRPr="009A27ED">
        <w:rPr>
          <w:rStyle w:val="Refdenotaalpie"/>
          <w:rFonts w:asciiTheme="minorHAnsi" w:eastAsia="Times New Roman" w:hAnsiTheme="minorHAnsi"/>
          <w:sz w:val="24"/>
          <w:szCs w:val="22"/>
          <w:lang w:val="es-GT"/>
        </w:rPr>
        <w:footnoteReference w:id="7"/>
      </w:r>
      <w:r w:rsidRPr="009A27ED">
        <w:rPr>
          <w:rFonts w:ascii="Times New Roman" w:eastAsia="Times New Roman" w:hAnsi="Times New Roman"/>
          <w:sz w:val="24"/>
        </w:rPr>
        <w:t xml:space="preserve"> </w:t>
      </w:r>
    </w:p>
    <w:p w14:paraId="499DD158" w14:textId="4D7F2F78" w:rsidR="00947670" w:rsidRPr="009A27ED" w:rsidRDefault="00947670" w:rsidP="00D42802">
      <w:pPr>
        <w:pStyle w:val="Sinespaciado"/>
        <w:numPr>
          <w:ilvl w:val="0"/>
          <w:numId w:val="42"/>
        </w:numPr>
        <w:spacing w:line="360" w:lineRule="auto"/>
      </w:pPr>
      <w:r w:rsidRPr="009A27ED">
        <w:rPr>
          <w:rFonts w:ascii="Times New Roman" w:eastAsia="Times New Roman" w:hAnsi="Times New Roman"/>
          <w:sz w:val="24"/>
        </w:rPr>
        <w:t xml:space="preserve">Definición de las Opciones y Acciones </w:t>
      </w:r>
      <w:r w:rsidR="0057726B" w:rsidRPr="009A27ED">
        <w:rPr>
          <w:rFonts w:ascii="Times New Roman" w:eastAsia="Times New Roman" w:hAnsi="Times New Roman"/>
          <w:sz w:val="24"/>
        </w:rPr>
        <w:t>E</w:t>
      </w:r>
      <w:r w:rsidRPr="009A27ED">
        <w:rPr>
          <w:rFonts w:ascii="Times New Roman" w:eastAsia="Times New Roman" w:hAnsi="Times New Roman"/>
          <w:sz w:val="24"/>
        </w:rPr>
        <w:t>stratégicas REDD+</w:t>
      </w:r>
      <w:r w:rsidRPr="009A27ED">
        <w:rPr>
          <w:rStyle w:val="Refdenotaalpie"/>
          <w:rFonts w:asciiTheme="minorHAnsi" w:eastAsia="Times New Roman" w:hAnsiTheme="minorHAnsi"/>
          <w:sz w:val="24"/>
          <w:szCs w:val="22"/>
          <w:lang w:val="es-GT"/>
        </w:rPr>
        <w:footnoteReference w:id="8"/>
      </w:r>
      <w:r w:rsidRPr="009A27ED">
        <w:rPr>
          <w:rFonts w:ascii="Times New Roman" w:eastAsia="Times New Roman" w:hAnsi="Times New Roman"/>
          <w:sz w:val="24"/>
        </w:rPr>
        <w:t xml:space="preserve"> </w:t>
      </w:r>
    </w:p>
    <w:p w14:paraId="4674ED5E" w14:textId="77777777" w:rsidR="00947670" w:rsidRPr="009A27ED" w:rsidRDefault="00947670" w:rsidP="00D42802">
      <w:pPr>
        <w:pStyle w:val="Sinespaciado"/>
        <w:numPr>
          <w:ilvl w:val="0"/>
          <w:numId w:val="42"/>
        </w:numPr>
        <w:spacing w:line="360" w:lineRule="auto"/>
      </w:pPr>
      <w:r w:rsidRPr="009A27ED">
        <w:rPr>
          <w:rFonts w:ascii="Times New Roman" w:eastAsia="Times New Roman" w:hAnsi="Times New Roman"/>
          <w:sz w:val="24"/>
        </w:rPr>
        <w:t>Análisis del marco legal de República Dominicana vigente y relevante a las salvaguardas REDD+ de la CMNUCC</w:t>
      </w:r>
      <w:r w:rsidRPr="009A27ED">
        <w:rPr>
          <w:rStyle w:val="Refdenotaalpie"/>
          <w:rFonts w:asciiTheme="minorHAnsi" w:eastAsia="Times New Roman" w:hAnsiTheme="minorHAnsi"/>
          <w:sz w:val="24"/>
          <w:szCs w:val="22"/>
          <w:lang w:val="es-GT"/>
        </w:rPr>
        <w:footnoteReference w:id="9"/>
      </w:r>
    </w:p>
    <w:p w14:paraId="0EC3052B" w14:textId="77777777" w:rsidR="00947670" w:rsidRPr="009A27ED" w:rsidRDefault="00947670" w:rsidP="00D42802">
      <w:pPr>
        <w:pStyle w:val="Sinespaciado"/>
        <w:numPr>
          <w:ilvl w:val="0"/>
          <w:numId w:val="42"/>
        </w:numPr>
        <w:spacing w:line="360" w:lineRule="auto"/>
      </w:pPr>
      <w:r w:rsidRPr="009A27ED">
        <w:rPr>
          <w:rFonts w:ascii="Times New Roman" w:eastAsia="Times New Roman" w:hAnsi="Times New Roman"/>
          <w:sz w:val="24"/>
        </w:rPr>
        <w:t>Análisis del marco legal de República Dominicana vigente y relevante a las Políticas Operativas del BM</w:t>
      </w:r>
    </w:p>
    <w:p w14:paraId="6AAA0A2D" w14:textId="77777777" w:rsidR="00947670" w:rsidRPr="009A27ED" w:rsidRDefault="00947670" w:rsidP="00D42802">
      <w:pPr>
        <w:pStyle w:val="Sinespaciado"/>
        <w:numPr>
          <w:ilvl w:val="0"/>
          <w:numId w:val="42"/>
        </w:numPr>
        <w:spacing w:line="360" w:lineRule="auto"/>
      </w:pPr>
      <w:r w:rsidRPr="009A27ED">
        <w:rPr>
          <w:rFonts w:ascii="Times New Roman" w:eastAsia="Times New Roman" w:hAnsi="Times New Roman"/>
          <w:sz w:val="24"/>
        </w:rPr>
        <w:t>Interpretación de las salvaguardas y las políticas operativas del BM analizadas en el contexto nacional</w:t>
      </w:r>
    </w:p>
    <w:p w14:paraId="18554C19" w14:textId="1043EB23" w:rsidR="00947670" w:rsidRPr="009A27ED" w:rsidRDefault="00947670" w:rsidP="00D42802">
      <w:pPr>
        <w:pStyle w:val="Sinespaciado"/>
        <w:numPr>
          <w:ilvl w:val="0"/>
          <w:numId w:val="42"/>
        </w:numPr>
        <w:spacing w:line="360" w:lineRule="auto"/>
      </w:pPr>
      <w:r w:rsidRPr="009A27ED">
        <w:rPr>
          <w:rFonts w:ascii="Times New Roman" w:eastAsia="Times New Roman" w:hAnsi="Times New Roman"/>
          <w:sz w:val="24"/>
        </w:rPr>
        <w:t>Enfoque Nacional de Salvaguardas (ENS)</w:t>
      </w:r>
    </w:p>
    <w:p w14:paraId="1B551634" w14:textId="77777777" w:rsidR="00947670" w:rsidRPr="009A27ED" w:rsidRDefault="00947670" w:rsidP="00D42802">
      <w:pPr>
        <w:pStyle w:val="Sinespaciado"/>
        <w:numPr>
          <w:ilvl w:val="0"/>
          <w:numId w:val="42"/>
        </w:numPr>
        <w:spacing w:line="360" w:lineRule="auto"/>
      </w:pPr>
      <w:r w:rsidRPr="009A27ED">
        <w:rPr>
          <w:rFonts w:ascii="Times New Roman" w:eastAsia="Times New Roman" w:hAnsi="Times New Roman"/>
          <w:sz w:val="24"/>
        </w:rPr>
        <w:t>Plan de participación y consulta de la Evaluación Estratégica Ambiental y Social (SESA)</w:t>
      </w:r>
    </w:p>
    <w:p w14:paraId="2A41886E" w14:textId="77777777" w:rsidR="00947670" w:rsidRPr="009A27ED" w:rsidRDefault="00947670" w:rsidP="00D42802">
      <w:pPr>
        <w:pStyle w:val="Sinespaciado"/>
        <w:numPr>
          <w:ilvl w:val="0"/>
          <w:numId w:val="42"/>
        </w:numPr>
        <w:spacing w:line="360" w:lineRule="auto"/>
      </w:pPr>
      <w:r w:rsidRPr="009A27ED">
        <w:rPr>
          <w:rFonts w:ascii="Times New Roman" w:eastAsia="Times New Roman" w:hAnsi="Times New Roman"/>
          <w:sz w:val="24"/>
        </w:rPr>
        <w:t>Informe de la Evaluación Estratégica Ambiental y Social (SESA)</w:t>
      </w:r>
    </w:p>
    <w:p w14:paraId="2F1BBF00" w14:textId="77777777" w:rsidR="00947670" w:rsidRPr="009A27ED" w:rsidRDefault="00947670" w:rsidP="00D42802">
      <w:pPr>
        <w:pStyle w:val="Sinespaciado"/>
        <w:numPr>
          <w:ilvl w:val="0"/>
          <w:numId w:val="42"/>
        </w:numPr>
        <w:spacing w:line="360" w:lineRule="auto"/>
      </w:pPr>
      <w:r w:rsidRPr="009A27ED">
        <w:rPr>
          <w:rFonts w:ascii="Times New Roman" w:eastAsia="Times New Roman" w:hAnsi="Times New Roman"/>
          <w:sz w:val="24"/>
        </w:rPr>
        <w:t>Elaboración del Marco de Gestión Ambiental y Social (MGAS)</w:t>
      </w:r>
    </w:p>
    <w:p w14:paraId="567B3113" w14:textId="6F9DB55F" w:rsidR="00947670" w:rsidRPr="009A27ED" w:rsidRDefault="00947670" w:rsidP="00D42802">
      <w:pPr>
        <w:pStyle w:val="Sinespaciado"/>
        <w:numPr>
          <w:ilvl w:val="0"/>
          <w:numId w:val="42"/>
        </w:numPr>
        <w:spacing w:line="360" w:lineRule="auto"/>
      </w:pPr>
      <w:r w:rsidRPr="009A27ED">
        <w:rPr>
          <w:rFonts w:ascii="Times New Roman" w:eastAsia="Times New Roman" w:hAnsi="Times New Roman"/>
          <w:sz w:val="24"/>
        </w:rPr>
        <w:t>Marco de Política para Reasentamiento Involuntario y Marco de Procedimiento (MPRI,</w:t>
      </w:r>
      <w:r w:rsidR="00036EE0" w:rsidRPr="009A27ED">
        <w:rPr>
          <w:rFonts w:ascii="Times New Roman" w:eastAsia="Times New Roman" w:hAnsi="Times New Roman"/>
          <w:sz w:val="24"/>
        </w:rPr>
        <w:t xml:space="preserve"> </w:t>
      </w:r>
      <w:r w:rsidRPr="009A27ED">
        <w:rPr>
          <w:rFonts w:ascii="Times New Roman" w:eastAsia="Times New Roman" w:hAnsi="Times New Roman"/>
          <w:sz w:val="24"/>
        </w:rPr>
        <w:t>MP)</w:t>
      </w:r>
    </w:p>
    <w:p w14:paraId="4F168A15" w14:textId="1FC426DE" w:rsidR="00947670" w:rsidRPr="009A27ED" w:rsidRDefault="00947670" w:rsidP="00D42802">
      <w:pPr>
        <w:pStyle w:val="Sinespaciado"/>
        <w:numPr>
          <w:ilvl w:val="0"/>
          <w:numId w:val="42"/>
        </w:numPr>
        <w:spacing w:line="360" w:lineRule="auto"/>
      </w:pPr>
      <w:r w:rsidRPr="009A27ED">
        <w:rPr>
          <w:rFonts w:ascii="Times New Roman" w:eastAsia="Times New Roman" w:hAnsi="Times New Roman"/>
          <w:sz w:val="24"/>
        </w:rPr>
        <w:t>Elaboración del Mecanismo de Quejas</w:t>
      </w:r>
      <w:r w:rsidR="00B82249" w:rsidRPr="009A27ED">
        <w:rPr>
          <w:rFonts w:ascii="Times New Roman" w:eastAsia="Times New Roman" w:hAnsi="Times New Roman"/>
          <w:sz w:val="24"/>
        </w:rPr>
        <w:t xml:space="preserve">, Reclamos y </w:t>
      </w:r>
      <w:r w:rsidR="00A00AFF" w:rsidRPr="009A27ED">
        <w:rPr>
          <w:rFonts w:ascii="Times New Roman" w:eastAsia="Times New Roman" w:hAnsi="Times New Roman"/>
          <w:sz w:val="24"/>
        </w:rPr>
        <w:t>Manejo</w:t>
      </w:r>
      <w:r w:rsidRPr="009A27ED">
        <w:rPr>
          <w:rFonts w:ascii="Times New Roman" w:eastAsia="Times New Roman" w:hAnsi="Times New Roman"/>
          <w:sz w:val="24"/>
        </w:rPr>
        <w:t xml:space="preserve"> de Conflictos (</w:t>
      </w:r>
      <w:r w:rsidR="00EB5A4F" w:rsidRPr="009A27ED">
        <w:rPr>
          <w:rFonts w:ascii="Times New Roman" w:eastAsia="Times New Roman" w:hAnsi="Times New Roman"/>
          <w:sz w:val="24"/>
        </w:rPr>
        <w:t>MQRC</w:t>
      </w:r>
      <w:r w:rsidRPr="009A27ED">
        <w:rPr>
          <w:rFonts w:ascii="Times New Roman" w:eastAsia="Times New Roman" w:hAnsi="Times New Roman"/>
          <w:sz w:val="24"/>
        </w:rPr>
        <w:t>)</w:t>
      </w:r>
      <w:r w:rsidR="00244C32" w:rsidRPr="009A27ED">
        <w:rPr>
          <w:rFonts w:ascii="Times New Roman" w:eastAsia="Times New Roman" w:hAnsi="Times New Roman"/>
          <w:sz w:val="24"/>
        </w:rPr>
        <w:t xml:space="preserve"> y el Sistema de Quejas, Reclamos y Manejo de Conflictos (SQRC)</w:t>
      </w:r>
    </w:p>
    <w:p w14:paraId="2EBC1BDA" w14:textId="3178A5A0" w:rsidR="00947670" w:rsidRPr="009A27ED" w:rsidRDefault="00947670" w:rsidP="00D42802">
      <w:pPr>
        <w:pStyle w:val="Sinespaciado"/>
        <w:numPr>
          <w:ilvl w:val="0"/>
          <w:numId w:val="42"/>
        </w:numPr>
        <w:spacing w:after="100" w:afterAutospacing="1" w:line="360" w:lineRule="auto"/>
      </w:pPr>
      <w:r w:rsidRPr="009A27ED">
        <w:rPr>
          <w:rFonts w:ascii="Times New Roman" w:eastAsia="Times New Roman" w:hAnsi="Times New Roman"/>
          <w:sz w:val="24"/>
        </w:rPr>
        <w:t>Elaboración de</w:t>
      </w:r>
      <w:r w:rsidR="002604E0" w:rsidRPr="009A27ED">
        <w:rPr>
          <w:rFonts w:ascii="Times New Roman" w:eastAsia="Times New Roman" w:hAnsi="Times New Roman"/>
          <w:sz w:val="24"/>
        </w:rPr>
        <w:t>l</w:t>
      </w:r>
      <w:r w:rsidRPr="009A27ED">
        <w:rPr>
          <w:rFonts w:ascii="Times New Roman" w:eastAsia="Times New Roman" w:hAnsi="Times New Roman"/>
          <w:sz w:val="24"/>
        </w:rPr>
        <w:t xml:space="preserve"> Sistema de Información de Salvaguardas (SIS)</w:t>
      </w:r>
    </w:p>
    <w:p w14:paraId="73363DDD" w14:textId="725E3FA3" w:rsidR="00A01FF4" w:rsidRPr="009A27ED" w:rsidRDefault="00A01FF4" w:rsidP="00D42802">
      <w:pPr>
        <w:pStyle w:val="Sinespaciado"/>
        <w:numPr>
          <w:ilvl w:val="0"/>
          <w:numId w:val="42"/>
        </w:numPr>
        <w:spacing w:after="100" w:afterAutospacing="1" w:line="360" w:lineRule="auto"/>
      </w:pPr>
      <w:r w:rsidRPr="009A27ED">
        <w:rPr>
          <w:rFonts w:ascii="Times New Roman" w:eastAsia="Times New Roman" w:hAnsi="Times New Roman"/>
          <w:sz w:val="24"/>
        </w:rPr>
        <w:t>Planes de Manejo Ambiental y Social para las áreas priorizadas REDD+ (PMAS)</w:t>
      </w:r>
      <w:r w:rsidR="008A42D5" w:rsidRPr="009A27ED">
        <w:rPr>
          <w:rFonts w:ascii="Times New Roman" w:eastAsia="Times New Roman" w:hAnsi="Times New Roman"/>
          <w:sz w:val="24"/>
        </w:rPr>
        <w:t xml:space="preserve"> y su respectiva validación</w:t>
      </w:r>
    </w:p>
    <w:p w14:paraId="24BC360B" w14:textId="3BC00D62" w:rsidR="008A42D5" w:rsidRPr="009A27ED" w:rsidRDefault="008A42D5" w:rsidP="00D42802">
      <w:pPr>
        <w:pStyle w:val="Sinespaciado"/>
        <w:numPr>
          <w:ilvl w:val="0"/>
          <w:numId w:val="42"/>
        </w:numPr>
        <w:spacing w:after="100" w:afterAutospacing="1" w:line="360" w:lineRule="auto"/>
      </w:pPr>
      <w:r w:rsidRPr="009A27ED">
        <w:rPr>
          <w:rFonts w:ascii="Times New Roman" w:eastAsia="Times New Roman" w:hAnsi="Times New Roman"/>
          <w:sz w:val="24"/>
        </w:rPr>
        <w:lastRenderedPageBreak/>
        <w:t>Capacitación a las Entidades Ejecutoras en los temas relacionados con las salvaguardas REDD+ y las Políticas Operativas del Banco Mundial</w:t>
      </w:r>
    </w:p>
    <w:p w14:paraId="106ED511" w14:textId="326A3059" w:rsidR="002F4E1B" w:rsidRPr="009A27ED" w:rsidRDefault="00A01FF4" w:rsidP="00D42802">
      <w:pPr>
        <w:pStyle w:val="Sinespaciado"/>
        <w:numPr>
          <w:ilvl w:val="0"/>
          <w:numId w:val="42"/>
        </w:numPr>
        <w:spacing w:after="100" w:afterAutospacing="1" w:line="360" w:lineRule="auto"/>
      </w:pPr>
      <w:r w:rsidRPr="009A27ED">
        <w:rPr>
          <w:rFonts w:ascii="Times New Roman" w:eastAsia="Times New Roman" w:hAnsi="Times New Roman"/>
          <w:sz w:val="24"/>
        </w:rPr>
        <w:t>Plan de Distribución de Beneficios (PDB)</w:t>
      </w:r>
      <w:r w:rsidR="00496D94" w:rsidRPr="009A27ED">
        <w:rPr>
          <w:rFonts w:ascii="Times New Roman" w:eastAsia="Times New Roman" w:hAnsi="Times New Roman"/>
          <w:sz w:val="24"/>
        </w:rPr>
        <w:t xml:space="preserve">, sus Estructuras de Gobernanza </w:t>
      </w:r>
      <w:r w:rsidR="00C42D92" w:rsidRPr="009A27ED">
        <w:rPr>
          <w:rFonts w:ascii="Times New Roman" w:eastAsia="Times New Roman" w:hAnsi="Times New Roman"/>
          <w:sz w:val="24"/>
        </w:rPr>
        <w:t>y su respectiva validación</w:t>
      </w:r>
    </w:p>
    <w:p w14:paraId="3A9BBA5E" w14:textId="12359FE5" w:rsidR="00C42D92" w:rsidRPr="009A27ED" w:rsidRDefault="00A74277" w:rsidP="00D42802">
      <w:pPr>
        <w:pStyle w:val="Sinespaciado"/>
        <w:numPr>
          <w:ilvl w:val="0"/>
          <w:numId w:val="42"/>
        </w:numPr>
        <w:spacing w:after="100" w:afterAutospacing="1" w:line="360" w:lineRule="auto"/>
      </w:pPr>
      <w:r w:rsidRPr="009A27ED">
        <w:rPr>
          <w:rFonts w:ascii="Times New Roman" w:eastAsia="Times New Roman" w:hAnsi="Times New Roman"/>
          <w:sz w:val="24"/>
        </w:rPr>
        <w:t xml:space="preserve">Elaboración de </w:t>
      </w:r>
      <w:r w:rsidR="00C42D92" w:rsidRPr="009A27ED">
        <w:rPr>
          <w:rFonts w:ascii="Times New Roman" w:eastAsia="Times New Roman" w:hAnsi="Times New Roman"/>
          <w:sz w:val="24"/>
        </w:rPr>
        <w:t xml:space="preserve">Plan de Acción </w:t>
      </w:r>
      <w:r w:rsidRPr="009A27ED">
        <w:rPr>
          <w:rFonts w:ascii="Times New Roman" w:eastAsia="Times New Roman" w:hAnsi="Times New Roman"/>
          <w:sz w:val="24"/>
        </w:rPr>
        <w:t>de Género</w:t>
      </w:r>
      <w:r w:rsidR="00EF66A4" w:rsidRPr="009A27ED">
        <w:rPr>
          <w:rFonts w:ascii="Times New Roman" w:eastAsia="Times New Roman" w:hAnsi="Times New Roman"/>
          <w:sz w:val="24"/>
        </w:rPr>
        <w:t xml:space="preserve"> en Contexto REDD+</w:t>
      </w:r>
    </w:p>
    <w:p w14:paraId="2E664BE6" w14:textId="0C1127C3" w:rsidR="00531F4C" w:rsidRPr="009A27ED" w:rsidRDefault="00531F4C" w:rsidP="00D42802">
      <w:pPr>
        <w:pStyle w:val="Sinespaciado"/>
        <w:numPr>
          <w:ilvl w:val="0"/>
          <w:numId w:val="42"/>
        </w:numPr>
        <w:spacing w:after="100" w:afterAutospacing="1" w:line="360" w:lineRule="auto"/>
      </w:pPr>
      <w:r w:rsidRPr="009A27ED">
        <w:rPr>
          <w:rFonts w:ascii="Times New Roman" w:eastAsia="Times New Roman" w:hAnsi="Times New Roman"/>
          <w:sz w:val="24"/>
        </w:rPr>
        <w:t xml:space="preserve">Talleres de socialización de las diferentes herramientas para la implementación y gestión del </w:t>
      </w:r>
      <w:r w:rsidR="00124B63" w:rsidRPr="009A27ED">
        <w:rPr>
          <w:rFonts w:ascii="Times New Roman" w:eastAsia="Times New Roman" w:hAnsi="Times New Roman"/>
          <w:sz w:val="24"/>
        </w:rPr>
        <w:t>Programa REDD+</w:t>
      </w:r>
    </w:p>
    <w:p w14:paraId="54162EA8" w14:textId="409A5304" w:rsidR="00A74277" w:rsidRPr="009A27ED" w:rsidRDefault="00244C32" w:rsidP="00D42802">
      <w:pPr>
        <w:pStyle w:val="Sinespaciado"/>
        <w:numPr>
          <w:ilvl w:val="0"/>
          <w:numId w:val="42"/>
        </w:numPr>
        <w:spacing w:after="100" w:afterAutospacing="1" w:line="360" w:lineRule="auto"/>
      </w:pPr>
      <w:r w:rsidRPr="009A27ED">
        <w:rPr>
          <w:rFonts w:ascii="Times New Roman" w:eastAsia="Times New Roman" w:hAnsi="Times New Roman"/>
          <w:sz w:val="24"/>
        </w:rPr>
        <w:t>Talleres de difusión y sensibil</w:t>
      </w:r>
      <w:r w:rsidR="00531F4C" w:rsidRPr="009A27ED">
        <w:rPr>
          <w:rFonts w:ascii="Times New Roman" w:eastAsia="Times New Roman" w:hAnsi="Times New Roman"/>
          <w:sz w:val="24"/>
        </w:rPr>
        <w:t>i</w:t>
      </w:r>
      <w:r w:rsidRPr="009A27ED">
        <w:rPr>
          <w:rFonts w:ascii="Times New Roman" w:eastAsia="Times New Roman" w:hAnsi="Times New Roman"/>
          <w:sz w:val="24"/>
        </w:rPr>
        <w:t xml:space="preserve">zación sobre el </w:t>
      </w:r>
      <w:r w:rsidR="00124B63" w:rsidRPr="009A27ED">
        <w:rPr>
          <w:rFonts w:ascii="Times New Roman" w:eastAsia="Times New Roman" w:hAnsi="Times New Roman"/>
          <w:sz w:val="24"/>
        </w:rPr>
        <w:t>Programa REDD+</w:t>
      </w:r>
      <w:r w:rsidRPr="009A27ED">
        <w:rPr>
          <w:rFonts w:ascii="Times New Roman" w:eastAsia="Times New Roman" w:hAnsi="Times New Roman"/>
          <w:sz w:val="24"/>
        </w:rPr>
        <w:t xml:space="preserve"> a los actores principales y potenciales beneficiarios</w:t>
      </w:r>
    </w:p>
    <w:p w14:paraId="603F5497" w14:textId="7425EAB5" w:rsidR="00531F4C" w:rsidRPr="009A27ED" w:rsidRDefault="00531F4C" w:rsidP="00D42802">
      <w:pPr>
        <w:pStyle w:val="Sinespaciado"/>
        <w:numPr>
          <w:ilvl w:val="0"/>
          <w:numId w:val="42"/>
        </w:numPr>
        <w:spacing w:after="100" w:afterAutospacing="1" w:line="360" w:lineRule="auto"/>
      </w:pPr>
      <w:r w:rsidRPr="009A27ED">
        <w:rPr>
          <w:rFonts w:ascii="Times New Roman" w:eastAsia="Times New Roman" w:hAnsi="Times New Roman"/>
          <w:sz w:val="24"/>
        </w:rPr>
        <w:t xml:space="preserve">Cursos </w:t>
      </w:r>
      <w:r w:rsidR="00E3578D" w:rsidRPr="009A27ED">
        <w:rPr>
          <w:rFonts w:ascii="Times New Roman" w:eastAsia="Times New Roman" w:hAnsi="Times New Roman"/>
          <w:sz w:val="24"/>
        </w:rPr>
        <w:t xml:space="preserve">y </w:t>
      </w:r>
      <w:r w:rsidRPr="009A27ED">
        <w:rPr>
          <w:rFonts w:ascii="Times New Roman" w:eastAsia="Times New Roman" w:hAnsi="Times New Roman"/>
          <w:sz w:val="24"/>
        </w:rPr>
        <w:t>guías técnicas</w:t>
      </w:r>
      <w:r w:rsidR="00E3578D" w:rsidRPr="009A27ED">
        <w:rPr>
          <w:rFonts w:ascii="Times New Roman" w:eastAsia="Times New Roman" w:hAnsi="Times New Roman"/>
          <w:sz w:val="24"/>
        </w:rPr>
        <w:t xml:space="preserve"> </w:t>
      </w:r>
      <w:r w:rsidR="008E516B" w:rsidRPr="009A27ED">
        <w:rPr>
          <w:rFonts w:ascii="Times New Roman" w:eastAsia="Times New Roman" w:hAnsi="Times New Roman"/>
          <w:sz w:val="24"/>
        </w:rPr>
        <w:t xml:space="preserve">de Buenas Prácticas </w:t>
      </w:r>
      <w:r w:rsidR="00E3578D" w:rsidRPr="009A27ED">
        <w:rPr>
          <w:rFonts w:ascii="Times New Roman" w:eastAsia="Times New Roman" w:hAnsi="Times New Roman"/>
          <w:sz w:val="24"/>
        </w:rPr>
        <w:t>sobre las diferentes actividades tipo</w:t>
      </w:r>
      <w:r w:rsidR="00D36C84" w:rsidRPr="009A27ED">
        <w:rPr>
          <w:rFonts w:ascii="Times New Roman" w:eastAsia="Times New Roman" w:hAnsi="Times New Roman"/>
          <w:sz w:val="24"/>
        </w:rPr>
        <w:t xml:space="preserve"> REDD+,</w:t>
      </w:r>
      <w:r w:rsidR="00E3578D" w:rsidRPr="009A27ED">
        <w:rPr>
          <w:rFonts w:ascii="Times New Roman" w:eastAsia="Times New Roman" w:hAnsi="Times New Roman"/>
          <w:sz w:val="24"/>
        </w:rPr>
        <w:t xml:space="preserve"> dirigidas a los técnicos de las Entidades Ejecutoras</w:t>
      </w:r>
    </w:p>
    <w:p w14:paraId="7D9E88F3" w14:textId="02AC94C7" w:rsidR="00244C32" w:rsidRPr="009A27ED" w:rsidRDefault="00244C32" w:rsidP="00D42802">
      <w:pPr>
        <w:pStyle w:val="Sinespaciado"/>
        <w:numPr>
          <w:ilvl w:val="0"/>
          <w:numId w:val="42"/>
        </w:numPr>
        <w:spacing w:after="100" w:afterAutospacing="1" w:line="360" w:lineRule="auto"/>
      </w:pPr>
      <w:r w:rsidRPr="009A27ED">
        <w:rPr>
          <w:rFonts w:ascii="Times New Roman" w:eastAsia="Times New Roman" w:hAnsi="Times New Roman"/>
          <w:sz w:val="24"/>
        </w:rPr>
        <w:t>Implementación del Plan de Comunicación y elaboración de materiales</w:t>
      </w:r>
      <w:r w:rsidR="00496D94" w:rsidRPr="009A27ED">
        <w:rPr>
          <w:rFonts w:ascii="Times New Roman" w:eastAsia="Times New Roman" w:hAnsi="Times New Roman"/>
          <w:sz w:val="24"/>
        </w:rPr>
        <w:t xml:space="preserve"> </w:t>
      </w:r>
      <w:r w:rsidR="00D36C84" w:rsidRPr="009A27ED">
        <w:rPr>
          <w:rFonts w:ascii="Times New Roman" w:eastAsia="Times New Roman" w:hAnsi="Times New Roman"/>
          <w:sz w:val="24"/>
        </w:rPr>
        <w:t xml:space="preserve">digitales, </w:t>
      </w:r>
      <w:r w:rsidRPr="009A27ED">
        <w:rPr>
          <w:rFonts w:ascii="Times New Roman" w:eastAsia="Times New Roman" w:hAnsi="Times New Roman"/>
          <w:sz w:val="24"/>
        </w:rPr>
        <w:t xml:space="preserve">impresos y </w:t>
      </w:r>
      <w:r w:rsidR="00EF66A4" w:rsidRPr="009A27ED">
        <w:rPr>
          <w:rFonts w:ascii="Times New Roman" w:eastAsia="Times New Roman" w:hAnsi="Times New Roman"/>
          <w:sz w:val="24"/>
        </w:rPr>
        <w:t>audiovisuales</w:t>
      </w:r>
    </w:p>
    <w:p w14:paraId="127D6554" w14:textId="77777777" w:rsidR="00292CE1" w:rsidRPr="009A27ED" w:rsidRDefault="00292CE1" w:rsidP="00292CE1">
      <w:pPr>
        <w:pStyle w:val="Sinespaciado"/>
        <w:numPr>
          <w:ilvl w:val="0"/>
          <w:numId w:val="42"/>
        </w:numPr>
        <w:spacing w:after="100" w:afterAutospacing="1" w:line="360" w:lineRule="auto"/>
      </w:pPr>
      <w:r w:rsidRPr="009A27ED">
        <w:rPr>
          <w:rFonts w:ascii="Times New Roman" w:eastAsia="Times New Roman" w:hAnsi="Times New Roman"/>
          <w:sz w:val="24"/>
        </w:rPr>
        <w:t>Capacitación a las Entidades Ejecutoras en los temas relacionados con las salvaguardas REDD+ y las Políticas Operativas del Banco Mundial</w:t>
      </w:r>
    </w:p>
    <w:p w14:paraId="7C8196A6" w14:textId="77777777" w:rsidR="00292CE1" w:rsidRPr="009A27ED" w:rsidRDefault="00292CE1" w:rsidP="00292CE1">
      <w:pPr>
        <w:pStyle w:val="Sinespaciado"/>
        <w:spacing w:after="100" w:afterAutospacing="1" w:line="360" w:lineRule="auto"/>
        <w:ind w:left="720"/>
      </w:pPr>
    </w:p>
    <w:p w14:paraId="6E27664A" w14:textId="77777777" w:rsidR="00947670" w:rsidRPr="009A27ED" w:rsidRDefault="00947670" w:rsidP="001864F0">
      <w:pPr>
        <w:pStyle w:val="Ttulo2"/>
        <w:spacing w:line="360" w:lineRule="auto"/>
        <w:ind w:left="567"/>
        <w:jc w:val="both"/>
        <w:rPr>
          <w:sz w:val="24"/>
          <w:szCs w:val="24"/>
        </w:rPr>
      </w:pPr>
      <w:bookmarkStart w:id="36" w:name="_Toc1485039"/>
      <w:bookmarkStart w:id="37" w:name="_Toc529469978"/>
      <w:bookmarkStart w:id="38" w:name="_Toc532335839"/>
      <w:bookmarkStart w:id="39" w:name="_Toc111837910"/>
      <w:bookmarkEnd w:id="36"/>
      <w:r w:rsidRPr="009A27ED">
        <w:rPr>
          <w:rFonts w:ascii="Times New Roman" w:eastAsia="Times New Roman" w:hAnsi="Times New Roman"/>
          <w:sz w:val="24"/>
          <w:szCs w:val="24"/>
        </w:rPr>
        <w:t>Requerimientos de Salvaguardas del FCPF</w:t>
      </w:r>
      <w:bookmarkEnd w:id="37"/>
      <w:bookmarkEnd w:id="38"/>
      <w:bookmarkEnd w:id="39"/>
      <w:r w:rsidRPr="009A27ED">
        <w:rPr>
          <w:rFonts w:ascii="Times New Roman" w:eastAsia="Times New Roman" w:hAnsi="Times New Roman"/>
          <w:sz w:val="24"/>
          <w:szCs w:val="24"/>
        </w:rPr>
        <w:t xml:space="preserve"> </w:t>
      </w:r>
    </w:p>
    <w:p w14:paraId="788C23BC" w14:textId="1C2CFE5D" w:rsidR="00947670" w:rsidRPr="009A27ED" w:rsidRDefault="00947670" w:rsidP="005B6485">
      <w:pPr>
        <w:spacing w:before="120" w:after="0" w:line="360" w:lineRule="auto"/>
        <w:rPr>
          <w:szCs w:val="22"/>
        </w:rPr>
      </w:pPr>
      <w:r w:rsidRPr="009A27ED">
        <w:rPr>
          <w:rFonts w:ascii="Times New Roman" w:eastAsia="Times New Roman" w:hAnsi="Times New Roman"/>
          <w:sz w:val="24"/>
          <w:szCs w:val="22"/>
        </w:rPr>
        <w:t xml:space="preserve">El Fondo de Preparación del FCPF, </w:t>
      </w:r>
      <w:r w:rsidR="008A42D5" w:rsidRPr="009A27ED">
        <w:rPr>
          <w:rFonts w:ascii="Times New Roman" w:eastAsia="Times New Roman" w:hAnsi="Times New Roman"/>
          <w:sz w:val="24"/>
          <w:szCs w:val="22"/>
        </w:rPr>
        <w:t>apoyó</w:t>
      </w:r>
      <w:r w:rsidRPr="009A27ED">
        <w:rPr>
          <w:rFonts w:ascii="Times New Roman" w:eastAsia="Times New Roman" w:hAnsi="Times New Roman"/>
          <w:sz w:val="24"/>
          <w:szCs w:val="22"/>
        </w:rPr>
        <w:t xml:space="preserve"> a la República Dominicana, como país beneficiario, en el desarrollo de actividades de planificación estratégica y la preparación para la implementación de REDD+. El Comité de Participantes del FCPF </w:t>
      </w:r>
      <w:r w:rsidR="008A42D5" w:rsidRPr="009A27ED">
        <w:rPr>
          <w:rFonts w:ascii="Times New Roman" w:eastAsia="Times New Roman" w:hAnsi="Times New Roman"/>
          <w:sz w:val="24"/>
          <w:szCs w:val="22"/>
        </w:rPr>
        <w:t>resolvió</w:t>
      </w:r>
      <w:r w:rsidRPr="009A27ED">
        <w:rPr>
          <w:rFonts w:ascii="Times New Roman" w:eastAsia="Times New Roman" w:hAnsi="Times New Roman"/>
          <w:sz w:val="24"/>
          <w:szCs w:val="22"/>
        </w:rPr>
        <w:t xml:space="preserve"> aplicar un </w:t>
      </w:r>
      <w:r w:rsidR="00BE2D00" w:rsidRPr="009A27ED">
        <w:rPr>
          <w:rFonts w:ascii="Times New Roman" w:eastAsia="Times New Roman" w:hAnsi="Times New Roman" w:cs="Arial"/>
          <w:sz w:val="24"/>
          <w:szCs w:val="22"/>
        </w:rPr>
        <w:t>“</w:t>
      </w:r>
      <w:r w:rsidRPr="009A27ED">
        <w:rPr>
          <w:rFonts w:ascii="Times New Roman" w:eastAsia="Times New Roman" w:hAnsi="Times New Roman"/>
          <w:sz w:val="24"/>
          <w:szCs w:val="22"/>
        </w:rPr>
        <w:t xml:space="preserve">Enfoque Común de las Salvaguardas Sociales y Ambientales para los Socios Implementadores Múltiples bajo el Fondo </w:t>
      </w:r>
      <w:proofErr w:type="spellStart"/>
      <w:r w:rsidRPr="009A27ED">
        <w:rPr>
          <w:rFonts w:ascii="Times New Roman" w:eastAsia="Times New Roman" w:hAnsi="Times New Roman"/>
          <w:sz w:val="24"/>
          <w:szCs w:val="22"/>
        </w:rPr>
        <w:t>Readiness</w:t>
      </w:r>
      <w:proofErr w:type="spellEnd"/>
      <w:r w:rsidRPr="009A27ED">
        <w:rPr>
          <w:rFonts w:ascii="Times New Roman" w:eastAsia="Times New Roman" w:hAnsi="Times New Roman"/>
          <w:sz w:val="24"/>
          <w:szCs w:val="22"/>
        </w:rPr>
        <w:t xml:space="preserve"> del Fondo Cooperativo para el Carbono de  los Bosques (FCPF)</w:t>
      </w:r>
      <w:r w:rsidR="00BE2D00" w:rsidRPr="009A27ED">
        <w:rPr>
          <w:rFonts w:ascii="Times New Roman" w:eastAsia="Times New Roman" w:hAnsi="Times New Roman" w:cs="Arial"/>
          <w:sz w:val="24"/>
          <w:szCs w:val="22"/>
        </w:rPr>
        <w:t>”</w:t>
      </w:r>
      <w:r w:rsidRPr="009A27ED">
        <w:rPr>
          <w:rFonts w:ascii="Times New Roman" w:eastAsia="Times New Roman" w:hAnsi="Times New Roman"/>
          <w:sz w:val="24"/>
          <w:szCs w:val="22"/>
        </w:rPr>
        <w:t>, o Enfoque Común, que constituye en la adopción de las Políticas Operativas del Banco Mundial como equivalencia sustantiva entre los socios implementadores</w:t>
      </w:r>
      <w:r w:rsidR="00B82249" w:rsidRPr="009A27ED">
        <w:rPr>
          <w:rFonts w:ascii="Times New Roman" w:eastAsia="Times New Roman" w:hAnsi="Times New Roman"/>
          <w:sz w:val="24"/>
          <w:szCs w:val="22"/>
        </w:rPr>
        <w:t xml:space="preserve"> </w:t>
      </w:r>
      <w:r w:rsidRPr="009A27ED">
        <w:rPr>
          <w:rFonts w:ascii="Times New Roman" w:eastAsia="Times New Roman" w:hAnsi="Times New Roman"/>
          <w:sz w:val="24"/>
          <w:szCs w:val="22"/>
        </w:rPr>
        <w:t>(</w:t>
      </w:r>
      <w:r w:rsidR="000760F9" w:rsidRPr="009A27ED">
        <w:rPr>
          <w:rFonts w:ascii="Times New Roman" w:eastAsia="Times New Roman" w:hAnsi="Times New Roman"/>
          <w:sz w:val="24"/>
          <w:szCs w:val="22"/>
        </w:rPr>
        <w:t>O</w:t>
      </w:r>
      <w:r w:rsidRPr="009A27ED">
        <w:rPr>
          <w:rFonts w:ascii="Times New Roman" w:eastAsia="Times New Roman" w:hAnsi="Times New Roman"/>
          <w:sz w:val="24"/>
          <w:szCs w:val="22"/>
        </w:rPr>
        <w:t>P, por sus siglas en inglés) y fiduciarios en relación con la aplicación de salvaguardas ambientales y sociales.</w:t>
      </w:r>
    </w:p>
    <w:p w14:paraId="3343DC9B" w14:textId="77777777" w:rsidR="00947670" w:rsidRPr="009A27ED" w:rsidRDefault="00947670" w:rsidP="005B6485">
      <w:pPr>
        <w:spacing w:before="120" w:after="0" w:line="360" w:lineRule="auto"/>
        <w:rPr>
          <w:szCs w:val="22"/>
        </w:rPr>
      </w:pPr>
      <w:r w:rsidRPr="009A27ED">
        <w:rPr>
          <w:rFonts w:ascii="Times New Roman" w:eastAsia="Times New Roman" w:hAnsi="Times New Roman"/>
          <w:sz w:val="24"/>
          <w:szCs w:val="22"/>
        </w:rPr>
        <w:t xml:space="preserve">Las Políticas Operativas de Salvaguardas Sociales y Ambientales del Banco Mundial aplicables para el </w:t>
      </w:r>
      <w:r w:rsidRPr="009A27ED">
        <w:rPr>
          <w:rFonts w:ascii="Times New Roman" w:eastAsia="Times New Roman" w:hAnsi="Times New Roman"/>
          <w:i/>
          <w:sz w:val="24"/>
          <w:szCs w:val="22"/>
        </w:rPr>
        <w:t xml:space="preserve">enfoque común </w:t>
      </w:r>
      <w:r w:rsidRPr="009A27ED">
        <w:rPr>
          <w:rFonts w:ascii="Times New Roman" w:eastAsia="Times New Roman" w:hAnsi="Times New Roman"/>
          <w:sz w:val="24"/>
          <w:szCs w:val="22"/>
        </w:rPr>
        <w:t xml:space="preserve">del FCPF incluyen: </w:t>
      </w:r>
    </w:p>
    <w:p w14:paraId="4D730325" w14:textId="1BD18451" w:rsidR="00947670" w:rsidRPr="009A27ED" w:rsidRDefault="00947670" w:rsidP="00D42802">
      <w:pPr>
        <w:pStyle w:val="Sinespaciado"/>
        <w:numPr>
          <w:ilvl w:val="0"/>
          <w:numId w:val="34"/>
        </w:numPr>
        <w:spacing w:before="120" w:line="360" w:lineRule="auto"/>
      </w:pPr>
      <w:r w:rsidRPr="009A27ED">
        <w:rPr>
          <w:rFonts w:ascii="Times New Roman" w:eastAsia="Times New Roman" w:hAnsi="Times New Roman"/>
          <w:b/>
          <w:color w:val="000000" w:themeColor="text1"/>
          <w:sz w:val="24"/>
        </w:rPr>
        <w:lastRenderedPageBreak/>
        <w:t>Evaluación Ambiental</w:t>
      </w:r>
      <w:r w:rsidRPr="009A27ED">
        <w:rPr>
          <w:rFonts w:ascii="Times New Roman" w:eastAsia="Times New Roman" w:hAnsi="Times New Roman"/>
          <w:color w:val="000000" w:themeColor="text1"/>
          <w:sz w:val="24"/>
        </w:rPr>
        <w:t xml:space="preserve">: </w:t>
      </w:r>
      <w:r w:rsidRPr="009A27ED">
        <w:rPr>
          <w:rFonts w:ascii="Times New Roman" w:eastAsia="Times New Roman" w:hAnsi="Times New Roman"/>
          <w:sz w:val="24"/>
        </w:rPr>
        <w:t xml:space="preserve">esta política establece que todos los proyectos propuestos deberán someterse a una evaluación ambiental </w:t>
      </w:r>
      <w:r w:rsidR="00124B63" w:rsidRPr="009A27ED">
        <w:rPr>
          <w:rFonts w:ascii="Times New Roman" w:eastAsia="Times New Roman" w:hAnsi="Times New Roman"/>
          <w:sz w:val="24"/>
        </w:rPr>
        <w:t xml:space="preserve">y Social </w:t>
      </w:r>
      <w:r w:rsidRPr="009A27ED">
        <w:rPr>
          <w:rFonts w:ascii="Times New Roman" w:eastAsia="Times New Roman" w:hAnsi="Times New Roman"/>
          <w:sz w:val="24"/>
        </w:rPr>
        <w:t>(EA</w:t>
      </w:r>
      <w:r w:rsidR="00124B63" w:rsidRPr="009A27ED">
        <w:rPr>
          <w:rFonts w:ascii="Times New Roman" w:eastAsia="Times New Roman" w:hAnsi="Times New Roman"/>
          <w:sz w:val="24"/>
        </w:rPr>
        <w:t>S</w:t>
      </w:r>
      <w:r w:rsidRPr="009A27ED">
        <w:rPr>
          <w:rFonts w:ascii="Times New Roman" w:eastAsia="Times New Roman" w:hAnsi="Times New Roman"/>
          <w:sz w:val="24"/>
        </w:rPr>
        <w:t>) con el fin de garantizar su solidez y sostenibilidad ambiental y social, y mejorar así el proceso de toma de decisiones. En la EA</w:t>
      </w:r>
      <w:r w:rsidR="00124B63" w:rsidRPr="009A27ED">
        <w:rPr>
          <w:rFonts w:ascii="Times New Roman" w:eastAsia="Times New Roman" w:hAnsi="Times New Roman"/>
          <w:sz w:val="24"/>
        </w:rPr>
        <w:t>S</w:t>
      </w:r>
      <w:r w:rsidRPr="009A27ED">
        <w:rPr>
          <w:rFonts w:ascii="Times New Roman" w:eastAsia="Times New Roman" w:hAnsi="Times New Roman"/>
          <w:sz w:val="24"/>
        </w:rPr>
        <w:t xml:space="preserve"> se evalúan los posibles riesgos y repercusiones ambientales y sociales </w:t>
      </w:r>
      <w:r w:rsidR="008945E2" w:rsidRPr="009A27ED">
        <w:rPr>
          <w:rFonts w:ascii="Times New Roman" w:eastAsia="Times New Roman" w:hAnsi="Times New Roman"/>
          <w:sz w:val="24"/>
        </w:rPr>
        <w:t xml:space="preserve">de un proyecto. </w:t>
      </w:r>
      <w:r w:rsidRPr="009A27ED">
        <w:rPr>
          <w:rFonts w:ascii="Times New Roman" w:eastAsia="Times New Roman" w:hAnsi="Times New Roman"/>
          <w:sz w:val="24"/>
        </w:rPr>
        <w:t xml:space="preserve">en forma integral en su zona de influencia; se examinan alternativas para el proyecto; se identifican formas de mejorar la selección, ubicación, planificación, diseño y ejecución de los proyectos mediante la prevención, reducción al mínimo, mitigación o compensación de las repercusiones ambientales y sociales adversas y </w:t>
      </w:r>
      <w:r w:rsidR="001B42ED" w:rsidRPr="009A27ED">
        <w:rPr>
          <w:rFonts w:ascii="Times New Roman" w:eastAsia="Times New Roman" w:hAnsi="Times New Roman"/>
          <w:sz w:val="24"/>
        </w:rPr>
        <w:t xml:space="preserve">potenciar </w:t>
      </w:r>
      <w:r w:rsidRPr="009A27ED">
        <w:rPr>
          <w:rFonts w:ascii="Times New Roman" w:eastAsia="Times New Roman" w:hAnsi="Times New Roman"/>
          <w:sz w:val="24"/>
        </w:rPr>
        <w:t>el impacto positivo</w:t>
      </w:r>
      <w:r w:rsidR="00D94EF3" w:rsidRPr="009A27ED">
        <w:rPr>
          <w:rFonts w:ascii="Times New Roman" w:eastAsia="Times New Roman" w:hAnsi="Times New Roman"/>
          <w:sz w:val="24"/>
        </w:rPr>
        <w:t>;</w:t>
      </w:r>
      <w:r w:rsidRPr="009A27ED">
        <w:rPr>
          <w:rFonts w:ascii="Times New Roman" w:eastAsia="Times New Roman" w:hAnsi="Times New Roman"/>
          <w:sz w:val="24"/>
        </w:rPr>
        <w:t xml:space="preserve"> y se incluye el proceso de mitigación y gestión de las repercusiones ambientales y sociales adversas durante la ejecución del proyecto.</w:t>
      </w:r>
    </w:p>
    <w:p w14:paraId="504C7E4E" w14:textId="77777777" w:rsidR="00947670" w:rsidRPr="009A27ED" w:rsidRDefault="00947670" w:rsidP="00D42802">
      <w:pPr>
        <w:pStyle w:val="Sinespaciado"/>
        <w:numPr>
          <w:ilvl w:val="0"/>
          <w:numId w:val="34"/>
        </w:numPr>
        <w:spacing w:before="120" w:line="360" w:lineRule="auto"/>
        <w:rPr>
          <w:color w:val="000000" w:themeColor="text1"/>
        </w:rPr>
      </w:pPr>
      <w:r w:rsidRPr="009A27ED">
        <w:rPr>
          <w:rFonts w:ascii="Times New Roman" w:eastAsia="Times New Roman" w:hAnsi="Times New Roman"/>
          <w:b/>
          <w:color w:val="000000" w:themeColor="text1"/>
          <w:sz w:val="24"/>
        </w:rPr>
        <w:t>Hábitats naturales</w:t>
      </w:r>
      <w:r w:rsidRPr="009A27ED">
        <w:rPr>
          <w:rFonts w:ascii="Times New Roman" w:eastAsia="Times New Roman" w:hAnsi="Times New Roman"/>
          <w:color w:val="000000" w:themeColor="text1"/>
          <w:sz w:val="24"/>
        </w:rPr>
        <w:t>: promueve el desarrollo sostenible en armonía con el ambiente, a través de la protección, conservación, mantenimiento y rehabilitación de hábitats naturales y sus funciones.</w:t>
      </w:r>
    </w:p>
    <w:p w14:paraId="21964457" w14:textId="77777777" w:rsidR="00947670" w:rsidRPr="009A27ED" w:rsidRDefault="00947670" w:rsidP="00D42802">
      <w:pPr>
        <w:pStyle w:val="Sinespaciado"/>
        <w:numPr>
          <w:ilvl w:val="0"/>
          <w:numId w:val="34"/>
        </w:numPr>
        <w:spacing w:before="120" w:line="360" w:lineRule="auto"/>
        <w:rPr>
          <w:color w:val="000000" w:themeColor="text1"/>
        </w:rPr>
      </w:pPr>
      <w:r w:rsidRPr="009A27ED">
        <w:rPr>
          <w:rFonts w:ascii="Times New Roman" w:eastAsia="Times New Roman" w:hAnsi="Times New Roman"/>
          <w:b/>
          <w:color w:val="000000" w:themeColor="text1"/>
          <w:sz w:val="24"/>
        </w:rPr>
        <w:t>Bosques</w:t>
      </w:r>
      <w:r w:rsidRPr="009A27ED">
        <w:rPr>
          <w:rFonts w:ascii="Times New Roman" w:eastAsia="Times New Roman" w:hAnsi="Times New Roman"/>
          <w:color w:val="000000" w:themeColor="text1"/>
          <w:sz w:val="24"/>
        </w:rPr>
        <w:t>: reconocimiento del potencial de los bosques en la reducción de la pobreza de manera sostenible, la efectiva integración de los bosques en el desarrollo económico de manera sostenible, así como la protección de los servicios ambientales y el valor de los bosques.</w:t>
      </w:r>
    </w:p>
    <w:p w14:paraId="1CC87475" w14:textId="653653CF" w:rsidR="00947670" w:rsidRPr="009A27ED" w:rsidRDefault="00947670" w:rsidP="00D42802">
      <w:pPr>
        <w:pStyle w:val="Sinespaciado"/>
        <w:numPr>
          <w:ilvl w:val="0"/>
          <w:numId w:val="34"/>
        </w:numPr>
        <w:spacing w:before="120" w:line="360" w:lineRule="auto"/>
        <w:rPr>
          <w:color w:val="000000" w:themeColor="text1"/>
        </w:rPr>
      </w:pPr>
      <w:r w:rsidRPr="009A27ED">
        <w:rPr>
          <w:rFonts w:ascii="Times New Roman" w:eastAsia="Times New Roman" w:hAnsi="Times New Roman"/>
          <w:b/>
          <w:color w:val="000000" w:themeColor="text1"/>
          <w:sz w:val="24"/>
        </w:rPr>
        <w:t>Reasentamiento involuntario</w:t>
      </w:r>
      <w:r w:rsidRPr="009A27ED">
        <w:rPr>
          <w:rFonts w:ascii="Times New Roman" w:eastAsia="Times New Roman" w:hAnsi="Times New Roman"/>
          <w:color w:val="000000" w:themeColor="text1"/>
          <w:sz w:val="24"/>
        </w:rPr>
        <w:t>: busca aplicar los estándares más altos de compromiso entre los DP para evitar o minimizar el reasentamiento involuntario y, de no ser posible, ayudar a las personas desplazadas y/o afectadas, en la mejora o restablecimiento de sus formas de sustento y niveles de vida, con respecto a los niveles previos al reasentamiento o al comienzo de la implementación del proyecto/estrategia.</w:t>
      </w:r>
    </w:p>
    <w:p w14:paraId="6EAB8E36" w14:textId="0985C7F4" w:rsidR="00292CE1" w:rsidRPr="009A27ED" w:rsidRDefault="00947670" w:rsidP="00562F95">
      <w:pPr>
        <w:pStyle w:val="Sinespaciado"/>
        <w:numPr>
          <w:ilvl w:val="0"/>
          <w:numId w:val="34"/>
        </w:numPr>
        <w:spacing w:before="120" w:line="360" w:lineRule="auto"/>
        <w:rPr>
          <w:color w:val="000000" w:themeColor="text1"/>
        </w:rPr>
      </w:pPr>
      <w:r w:rsidRPr="009A27ED">
        <w:rPr>
          <w:rFonts w:ascii="Times New Roman" w:eastAsia="Times New Roman" w:hAnsi="Times New Roman"/>
          <w:b/>
          <w:color w:val="000000" w:themeColor="text1"/>
          <w:sz w:val="24"/>
        </w:rPr>
        <w:t>Pueblos Indígenas</w:t>
      </w:r>
      <w:r w:rsidRPr="009A27ED">
        <w:rPr>
          <w:rFonts w:ascii="Times New Roman" w:eastAsia="Times New Roman" w:hAnsi="Times New Roman"/>
          <w:color w:val="000000" w:themeColor="text1"/>
          <w:sz w:val="24"/>
        </w:rPr>
        <w:t xml:space="preserve">: </w:t>
      </w:r>
      <w:r w:rsidR="00AE50FF" w:rsidRPr="009A27ED">
        <w:rPr>
          <w:rFonts w:ascii="Times New Roman" w:eastAsia="Times New Roman" w:hAnsi="Times New Roman"/>
          <w:color w:val="000000" w:themeColor="text1"/>
          <w:sz w:val="24"/>
        </w:rPr>
        <w:t xml:space="preserve">busca </w:t>
      </w:r>
      <w:r w:rsidRPr="009A27ED">
        <w:rPr>
          <w:rFonts w:ascii="Times New Roman" w:eastAsia="Times New Roman" w:hAnsi="Times New Roman"/>
          <w:color w:val="000000" w:themeColor="text1"/>
          <w:sz w:val="24"/>
        </w:rPr>
        <w:t>promover el diseño de proyectos/estrategias con la participación plena y efectiva de los Pueblos Indígenas de manera que fomente el respeto pleno de su dignidad, derechos humanos, conocimiento tradicional, singularidad cultural y diversidad de manera que se promuevan beneficios sociales y económicos y se eviten efectos adversos.</w:t>
      </w:r>
      <w:r w:rsidR="000E3D10" w:rsidRPr="009A27ED">
        <w:rPr>
          <w:rFonts w:ascii="Times New Roman" w:eastAsia="Times New Roman" w:hAnsi="Times New Roman"/>
          <w:color w:val="000000" w:themeColor="text1"/>
          <w:sz w:val="24"/>
        </w:rPr>
        <w:t xml:space="preserve"> </w:t>
      </w:r>
      <w:r w:rsidR="000E3D10" w:rsidRPr="009A27ED">
        <w:rPr>
          <w:rFonts w:ascii="Times New Roman" w:eastAsia="Times New Roman" w:hAnsi="Times New Roman"/>
          <w:sz w:val="24"/>
        </w:rPr>
        <w:t>Sin embargo, d</w:t>
      </w:r>
      <w:r w:rsidR="000E3D10" w:rsidRPr="009A27ED">
        <w:rPr>
          <w:rFonts w:ascii="Times New Roman" w:eastAsia="Times New Roman" w:hAnsi="Times New Roman"/>
          <w:color w:val="000000" w:themeColor="text1"/>
          <w:sz w:val="24"/>
        </w:rPr>
        <w:t xml:space="preserve">ebido al contexto </w:t>
      </w:r>
      <w:r w:rsidR="00842BAD" w:rsidRPr="009A27ED">
        <w:rPr>
          <w:rFonts w:ascii="Times New Roman" w:eastAsia="Times New Roman" w:hAnsi="Times New Roman"/>
          <w:color w:val="000000" w:themeColor="text1"/>
          <w:sz w:val="24"/>
        </w:rPr>
        <w:t>histórico</w:t>
      </w:r>
      <w:r w:rsidR="003010DC" w:rsidRPr="009A27ED">
        <w:rPr>
          <w:rFonts w:ascii="Times New Roman" w:eastAsia="Times New Roman" w:hAnsi="Times New Roman"/>
          <w:color w:val="000000" w:themeColor="text1"/>
          <w:sz w:val="24"/>
        </w:rPr>
        <w:t xml:space="preserve"> </w:t>
      </w:r>
      <w:r w:rsidR="003010DC" w:rsidRPr="009A27ED">
        <w:rPr>
          <w:rFonts w:ascii="Times New Roman" w:eastAsia="Times New Roman" w:hAnsi="Times New Roman"/>
          <w:color w:val="000000" w:themeColor="text1"/>
          <w:sz w:val="24"/>
        </w:rPr>
        <w:lastRenderedPageBreak/>
        <w:t>de la República</w:t>
      </w:r>
      <w:r w:rsidR="000E3D10" w:rsidRPr="009A27ED">
        <w:rPr>
          <w:rFonts w:ascii="Times New Roman" w:eastAsia="Times New Roman" w:hAnsi="Times New Roman"/>
          <w:color w:val="000000" w:themeColor="text1"/>
          <w:sz w:val="24"/>
        </w:rPr>
        <w:t xml:space="preserve"> Dominicana, </w:t>
      </w:r>
      <w:r w:rsidR="00A41005" w:rsidRPr="009A27ED">
        <w:rPr>
          <w:rFonts w:ascii="Times New Roman" w:eastAsia="Times New Roman" w:hAnsi="Times New Roman"/>
          <w:color w:val="000000" w:themeColor="text1"/>
          <w:sz w:val="24"/>
        </w:rPr>
        <w:t>que no cuenta con etnias indígenas</w:t>
      </w:r>
      <w:r w:rsidR="00842BAD" w:rsidRPr="009A27ED">
        <w:rPr>
          <w:rFonts w:ascii="Times New Roman" w:eastAsia="Times New Roman" w:hAnsi="Times New Roman"/>
          <w:color w:val="000000" w:themeColor="text1"/>
          <w:sz w:val="24"/>
        </w:rPr>
        <w:t>, por lo que</w:t>
      </w:r>
      <w:r w:rsidR="00A41005" w:rsidRPr="009A27ED">
        <w:rPr>
          <w:rFonts w:ascii="Times New Roman" w:eastAsia="Times New Roman" w:hAnsi="Times New Roman"/>
          <w:color w:val="000000" w:themeColor="text1"/>
          <w:sz w:val="24"/>
        </w:rPr>
        <w:t xml:space="preserve"> </w:t>
      </w:r>
      <w:r w:rsidR="000E3D10" w:rsidRPr="009A27ED">
        <w:rPr>
          <w:rFonts w:ascii="Times New Roman" w:eastAsia="Times New Roman" w:hAnsi="Times New Roman"/>
          <w:color w:val="000000" w:themeColor="text1"/>
          <w:sz w:val="24"/>
        </w:rPr>
        <w:t>esta OP no será aplicable y por tanto no será exigida al país</w:t>
      </w:r>
      <w:r w:rsidR="00292CE1" w:rsidRPr="009A27ED">
        <w:rPr>
          <w:rFonts w:ascii="Times New Roman" w:eastAsia="Times New Roman" w:hAnsi="Times New Roman"/>
          <w:color w:val="000000" w:themeColor="text1"/>
          <w:sz w:val="24"/>
        </w:rPr>
        <w:t xml:space="preserve">. </w:t>
      </w:r>
    </w:p>
    <w:p w14:paraId="14BD7472" w14:textId="77777777" w:rsidR="00947670" w:rsidRPr="009A27ED" w:rsidRDefault="00947670" w:rsidP="00D42802">
      <w:pPr>
        <w:pStyle w:val="Sinespaciado"/>
        <w:numPr>
          <w:ilvl w:val="0"/>
          <w:numId w:val="34"/>
        </w:numPr>
        <w:spacing w:before="120" w:line="360" w:lineRule="auto"/>
        <w:rPr>
          <w:color w:val="000000" w:themeColor="text1"/>
        </w:rPr>
      </w:pPr>
      <w:r w:rsidRPr="009A27ED">
        <w:rPr>
          <w:rFonts w:ascii="Times New Roman" w:eastAsia="Times New Roman" w:hAnsi="Times New Roman"/>
          <w:b/>
          <w:color w:val="000000" w:themeColor="text1"/>
          <w:sz w:val="24"/>
        </w:rPr>
        <w:t>Recursos físicos y culturales</w:t>
      </w:r>
      <w:r w:rsidRPr="009A27ED">
        <w:rPr>
          <w:rFonts w:ascii="Times New Roman" w:eastAsia="Times New Roman" w:hAnsi="Times New Roman"/>
          <w:color w:val="000000" w:themeColor="text1"/>
          <w:sz w:val="24"/>
        </w:rPr>
        <w:t xml:space="preserve">: promover la preservación de los recursos culturales físicos y evitar daños o su destrucción. </w:t>
      </w:r>
    </w:p>
    <w:p w14:paraId="14DDEF73" w14:textId="1355CB76" w:rsidR="00947670" w:rsidRPr="009A27ED" w:rsidRDefault="00947670" w:rsidP="005B6485">
      <w:pPr>
        <w:pStyle w:val="Sinespaciado"/>
        <w:spacing w:before="120" w:line="360" w:lineRule="auto"/>
      </w:pPr>
      <w:r w:rsidRPr="009A27ED">
        <w:rPr>
          <w:rFonts w:ascii="Times New Roman" w:eastAsia="Times New Roman" w:hAnsi="Times New Roman"/>
          <w:sz w:val="24"/>
        </w:rPr>
        <w:t xml:space="preserve">De esta manera, la aplicación del enfoque común procura asegurar la aplicación de las salvaguardas sociales y ambientales, así como sus políticas asociadas, de manera que se promueva la prevención y mitigación de daños potenciales asociados para las personas y el ambiente, a la vez de promover beneficios asociados con las intervenciones en el marco del FCPF. Es así como los requisitos establecidos bajo el </w:t>
      </w:r>
      <w:r w:rsidRPr="009A27ED">
        <w:rPr>
          <w:rFonts w:ascii="Times New Roman" w:eastAsia="Times New Roman" w:hAnsi="Times New Roman"/>
          <w:i/>
          <w:sz w:val="24"/>
        </w:rPr>
        <w:t xml:space="preserve">enfoque común </w:t>
      </w:r>
      <w:r w:rsidRPr="009A27ED">
        <w:rPr>
          <w:rFonts w:ascii="Times New Roman" w:eastAsia="Times New Roman" w:hAnsi="Times New Roman"/>
          <w:sz w:val="24"/>
        </w:rPr>
        <w:t>incluyen</w:t>
      </w:r>
      <w:r w:rsidR="008A42D5" w:rsidRPr="009A27ED">
        <w:rPr>
          <w:rFonts w:ascii="Times New Roman" w:eastAsia="Times New Roman" w:hAnsi="Times New Roman"/>
          <w:sz w:val="24"/>
        </w:rPr>
        <w:t xml:space="preserve"> el desarrollo de</w:t>
      </w:r>
      <w:r w:rsidRPr="009A27ED">
        <w:rPr>
          <w:rFonts w:ascii="Times New Roman" w:eastAsia="Times New Roman" w:hAnsi="Times New Roman"/>
          <w:sz w:val="24"/>
        </w:rPr>
        <w:t>:</w:t>
      </w:r>
    </w:p>
    <w:p w14:paraId="5D6B16DA" w14:textId="77777777" w:rsidR="006F2A27" w:rsidRPr="009A27ED" w:rsidRDefault="006F2A27" w:rsidP="005B6485">
      <w:pPr>
        <w:pStyle w:val="Sinespaciado"/>
        <w:spacing w:before="120" w:line="360" w:lineRule="auto"/>
      </w:pPr>
    </w:p>
    <w:p w14:paraId="2137D43D" w14:textId="7D2914C1" w:rsidR="00947670" w:rsidRPr="009A27ED" w:rsidRDefault="00A62B87" w:rsidP="00D42802">
      <w:pPr>
        <w:pStyle w:val="Sinespaciado"/>
        <w:numPr>
          <w:ilvl w:val="0"/>
          <w:numId w:val="35"/>
        </w:numPr>
        <w:spacing w:line="360" w:lineRule="auto"/>
        <w:ind w:left="714" w:hanging="357"/>
        <w:rPr>
          <w:u w:val="single"/>
        </w:rPr>
      </w:pPr>
      <w:r w:rsidRPr="009A27ED">
        <w:rPr>
          <w:rFonts w:ascii="Times New Roman" w:eastAsia="Times New Roman" w:hAnsi="Times New Roman"/>
          <w:sz w:val="24"/>
        </w:rPr>
        <w:t xml:space="preserve">La Evaluación </w:t>
      </w:r>
      <w:r w:rsidR="00947670" w:rsidRPr="009A27ED">
        <w:rPr>
          <w:rFonts w:ascii="Times New Roman" w:eastAsia="Times New Roman" w:hAnsi="Times New Roman"/>
          <w:sz w:val="24"/>
        </w:rPr>
        <w:t>Estratégica Ambiental y Social (SESA)</w:t>
      </w:r>
      <w:r w:rsidRPr="009A27ED">
        <w:rPr>
          <w:rFonts w:ascii="Times New Roman" w:eastAsia="Times New Roman" w:hAnsi="Times New Roman"/>
          <w:sz w:val="24"/>
        </w:rPr>
        <w:t>;</w:t>
      </w:r>
    </w:p>
    <w:p w14:paraId="75D5EA3E" w14:textId="00557273" w:rsidR="00947670" w:rsidRPr="009A27ED" w:rsidRDefault="00A62B87" w:rsidP="00D42802">
      <w:pPr>
        <w:pStyle w:val="Sinespaciado"/>
        <w:numPr>
          <w:ilvl w:val="0"/>
          <w:numId w:val="35"/>
        </w:numPr>
        <w:spacing w:line="360" w:lineRule="auto"/>
        <w:ind w:left="714" w:hanging="357"/>
      </w:pPr>
      <w:r w:rsidRPr="009A27ED">
        <w:rPr>
          <w:rFonts w:ascii="Times New Roman" w:eastAsia="Times New Roman" w:hAnsi="Times New Roman"/>
          <w:sz w:val="24"/>
        </w:rPr>
        <w:t xml:space="preserve">Un </w:t>
      </w:r>
      <w:r w:rsidR="00947670" w:rsidRPr="009A27ED">
        <w:rPr>
          <w:rFonts w:ascii="Times New Roman" w:eastAsia="Times New Roman" w:hAnsi="Times New Roman"/>
          <w:sz w:val="24"/>
        </w:rPr>
        <w:t>Marco de Gestión Ambiental y Social (MGAS)</w:t>
      </w:r>
      <w:r w:rsidRPr="009A27ED">
        <w:rPr>
          <w:rFonts w:ascii="Times New Roman" w:eastAsia="Times New Roman" w:hAnsi="Times New Roman"/>
          <w:sz w:val="24"/>
        </w:rPr>
        <w:t>;</w:t>
      </w:r>
    </w:p>
    <w:p w14:paraId="2A8854AB" w14:textId="2B0C8B6E" w:rsidR="00947670" w:rsidRPr="009A27ED" w:rsidRDefault="00A62B87" w:rsidP="00D42802">
      <w:pPr>
        <w:pStyle w:val="Sinespaciado"/>
        <w:numPr>
          <w:ilvl w:val="0"/>
          <w:numId w:val="35"/>
        </w:numPr>
        <w:spacing w:line="360" w:lineRule="auto"/>
        <w:ind w:left="714" w:hanging="357"/>
      </w:pPr>
      <w:r w:rsidRPr="009A27ED">
        <w:rPr>
          <w:rFonts w:ascii="Times New Roman" w:eastAsia="Times New Roman" w:hAnsi="Times New Roman"/>
          <w:sz w:val="24"/>
        </w:rPr>
        <w:t xml:space="preserve">El </w:t>
      </w:r>
      <w:r w:rsidR="00947670" w:rsidRPr="009A27ED">
        <w:rPr>
          <w:rFonts w:ascii="Times New Roman" w:eastAsia="Times New Roman" w:hAnsi="Times New Roman"/>
          <w:sz w:val="24"/>
        </w:rPr>
        <w:t>Diseño de un Mecanismo de Atención a Quejas</w:t>
      </w:r>
      <w:r w:rsidR="00DD4F5C" w:rsidRPr="009A27ED">
        <w:rPr>
          <w:rFonts w:ascii="Times New Roman" w:eastAsia="Times New Roman" w:hAnsi="Times New Roman"/>
          <w:sz w:val="24"/>
        </w:rPr>
        <w:t xml:space="preserve">, Reclamos y </w:t>
      </w:r>
      <w:r w:rsidR="00C101C7" w:rsidRPr="009A27ED">
        <w:rPr>
          <w:rFonts w:ascii="Times New Roman" w:eastAsia="Times New Roman" w:hAnsi="Times New Roman"/>
          <w:sz w:val="24"/>
        </w:rPr>
        <w:t>Gestión</w:t>
      </w:r>
      <w:r w:rsidR="00BE2D00" w:rsidRPr="009A27ED">
        <w:rPr>
          <w:rFonts w:ascii="Times New Roman" w:eastAsia="Times New Roman" w:hAnsi="Times New Roman"/>
          <w:sz w:val="24"/>
        </w:rPr>
        <w:t xml:space="preserve"> de</w:t>
      </w:r>
      <w:r w:rsidR="00DD4F5C" w:rsidRPr="009A27ED">
        <w:rPr>
          <w:rFonts w:ascii="Times New Roman" w:eastAsia="Times New Roman" w:hAnsi="Times New Roman"/>
          <w:sz w:val="24"/>
        </w:rPr>
        <w:t xml:space="preserve"> Conflictos</w:t>
      </w:r>
      <w:r w:rsidR="00947670" w:rsidRPr="009A27ED">
        <w:rPr>
          <w:rFonts w:ascii="Times New Roman" w:eastAsia="Times New Roman" w:hAnsi="Times New Roman"/>
          <w:sz w:val="24"/>
        </w:rPr>
        <w:t xml:space="preserve"> (MQRC)</w:t>
      </w:r>
      <w:r w:rsidRPr="009A27ED">
        <w:rPr>
          <w:rFonts w:ascii="Times New Roman" w:eastAsia="Times New Roman" w:hAnsi="Times New Roman"/>
          <w:sz w:val="24"/>
        </w:rPr>
        <w:t>; y</w:t>
      </w:r>
    </w:p>
    <w:p w14:paraId="4B24FF9C" w14:textId="19FBCBE5" w:rsidR="00947670" w:rsidRPr="009A27ED" w:rsidRDefault="00A62B87" w:rsidP="00D42802">
      <w:pPr>
        <w:pStyle w:val="Sinespaciado"/>
        <w:numPr>
          <w:ilvl w:val="0"/>
          <w:numId w:val="35"/>
        </w:numPr>
        <w:spacing w:line="360" w:lineRule="auto"/>
        <w:ind w:left="714" w:hanging="357"/>
        <w:rPr>
          <w:u w:val="single"/>
        </w:rPr>
      </w:pPr>
      <w:r w:rsidRPr="009A27ED">
        <w:rPr>
          <w:rFonts w:ascii="Times New Roman" w:eastAsia="Times New Roman" w:hAnsi="Times New Roman"/>
          <w:sz w:val="24"/>
        </w:rPr>
        <w:t xml:space="preserve">El </w:t>
      </w:r>
      <w:r w:rsidR="00947670" w:rsidRPr="009A27ED">
        <w:rPr>
          <w:rFonts w:ascii="Times New Roman" w:eastAsia="Times New Roman" w:hAnsi="Times New Roman"/>
          <w:sz w:val="24"/>
        </w:rPr>
        <w:t>Diseño de un Sistema de Información de Salvaguardas (SIS)</w:t>
      </w:r>
    </w:p>
    <w:p w14:paraId="67F5AA9D" w14:textId="5986274F" w:rsidR="00947670" w:rsidRPr="009A27ED" w:rsidRDefault="00947670" w:rsidP="00A51A18">
      <w:pPr>
        <w:spacing w:before="120" w:after="100" w:afterAutospacing="1" w:line="360" w:lineRule="auto"/>
      </w:pPr>
      <w:r w:rsidRPr="009A27ED">
        <w:rPr>
          <w:rFonts w:ascii="Times New Roman" w:eastAsia="Times New Roman" w:hAnsi="Times New Roman"/>
          <w:sz w:val="24"/>
          <w:szCs w:val="22"/>
        </w:rPr>
        <w:t xml:space="preserve">La SESA da cumplimiento a la </w:t>
      </w:r>
      <w:r w:rsidR="008A42D5" w:rsidRPr="009A27ED">
        <w:rPr>
          <w:rFonts w:ascii="Times New Roman" w:eastAsia="Times New Roman" w:hAnsi="Times New Roman"/>
          <w:sz w:val="24"/>
          <w:szCs w:val="22"/>
        </w:rPr>
        <w:t xml:space="preserve">PO </w:t>
      </w:r>
      <w:r w:rsidRPr="009A27ED">
        <w:rPr>
          <w:rFonts w:ascii="Times New Roman" w:eastAsia="Times New Roman" w:hAnsi="Times New Roman"/>
          <w:sz w:val="24"/>
          <w:szCs w:val="22"/>
        </w:rPr>
        <w:t xml:space="preserve">4.01 Evaluación Ambiental (EA) del Banco </w:t>
      </w:r>
      <w:r w:rsidR="00125E95" w:rsidRPr="009A27ED">
        <w:rPr>
          <w:rFonts w:ascii="Times New Roman" w:eastAsia="Times New Roman" w:hAnsi="Times New Roman"/>
          <w:sz w:val="24"/>
          <w:szCs w:val="22"/>
        </w:rPr>
        <w:t>Mundial</w:t>
      </w:r>
      <w:r w:rsidRPr="009A27ED">
        <w:rPr>
          <w:rFonts w:ascii="Times New Roman" w:eastAsia="Times New Roman" w:hAnsi="Times New Roman"/>
          <w:sz w:val="24"/>
          <w:szCs w:val="22"/>
        </w:rPr>
        <w:t>. Está pensada como un proceso analítico participativo inclusivo a través del cual el país REDD+, con el concurso de l</w:t>
      </w:r>
      <w:r w:rsidR="00A82FFD" w:rsidRPr="009A27ED">
        <w:rPr>
          <w:rFonts w:ascii="Times New Roman" w:eastAsia="Times New Roman" w:hAnsi="Times New Roman"/>
          <w:sz w:val="24"/>
          <w:szCs w:val="22"/>
        </w:rPr>
        <w:t>o</w:t>
      </w:r>
      <w:r w:rsidRPr="009A27ED">
        <w:rPr>
          <w:rFonts w:ascii="Times New Roman" w:eastAsia="Times New Roman" w:hAnsi="Times New Roman"/>
          <w:sz w:val="24"/>
          <w:szCs w:val="22"/>
        </w:rPr>
        <w:t xml:space="preserve">s </w:t>
      </w:r>
      <w:r w:rsidR="00A82FFD" w:rsidRPr="009A27ED">
        <w:rPr>
          <w:rFonts w:ascii="Times New Roman" w:eastAsia="Times New Roman" w:hAnsi="Times New Roman"/>
          <w:sz w:val="24"/>
          <w:szCs w:val="22"/>
        </w:rPr>
        <w:t>actores involucrados</w:t>
      </w:r>
      <w:r w:rsidRPr="009A27ED">
        <w:rPr>
          <w:rFonts w:ascii="Times New Roman" w:eastAsia="Times New Roman" w:hAnsi="Times New Roman"/>
          <w:sz w:val="24"/>
          <w:szCs w:val="22"/>
        </w:rPr>
        <w:t xml:space="preserve">, busca analizar e identificar los impactos y riesgos probables, así como las oportunidades de las opciones estratégicas REDD+. El proceso SESA debe concluir con la preparación de un Marco de Gestión Ambiental y Social (MGAS) como un </w:t>
      </w:r>
      <w:r w:rsidR="009B38ED" w:rsidRPr="009A27ED">
        <w:rPr>
          <w:rFonts w:ascii="Times New Roman" w:eastAsia="Times New Roman" w:hAnsi="Times New Roman"/>
          <w:sz w:val="24"/>
          <w:szCs w:val="22"/>
        </w:rPr>
        <w:t xml:space="preserve">instrumento </w:t>
      </w:r>
      <w:r w:rsidRPr="009A27ED">
        <w:rPr>
          <w:rFonts w:ascii="Times New Roman" w:eastAsia="Times New Roman" w:hAnsi="Times New Roman"/>
          <w:sz w:val="24"/>
          <w:szCs w:val="22"/>
        </w:rPr>
        <w:t>para la gestión ambiental y social de los riesgos e impactos de la implementación de la Estrategia Nacional REDD+</w:t>
      </w:r>
      <w:r w:rsidR="009B38ED" w:rsidRPr="009A27ED">
        <w:rPr>
          <w:rFonts w:ascii="Times New Roman" w:eastAsia="Times New Roman" w:hAnsi="Times New Roman"/>
          <w:sz w:val="24"/>
        </w:rPr>
        <w:t xml:space="preserve"> y el </w:t>
      </w:r>
      <w:r w:rsidR="00124B63" w:rsidRPr="009A27ED">
        <w:rPr>
          <w:rFonts w:ascii="Times New Roman" w:eastAsia="Times New Roman" w:hAnsi="Times New Roman"/>
          <w:sz w:val="24"/>
        </w:rPr>
        <w:t>Programa REDD+</w:t>
      </w:r>
      <w:r w:rsidR="00C101C7" w:rsidRPr="009A27ED">
        <w:rPr>
          <w:rFonts w:ascii="Times New Roman" w:eastAsia="Times New Roman" w:hAnsi="Times New Roman"/>
          <w:sz w:val="24"/>
        </w:rPr>
        <w:t>.</w:t>
      </w:r>
    </w:p>
    <w:p w14:paraId="569F45DD" w14:textId="77777777" w:rsidR="00947670" w:rsidRPr="009A27ED" w:rsidRDefault="00947670" w:rsidP="001864F0">
      <w:pPr>
        <w:pStyle w:val="Ttulo2"/>
        <w:spacing w:line="360" w:lineRule="auto"/>
        <w:ind w:left="567"/>
        <w:jc w:val="both"/>
        <w:rPr>
          <w:sz w:val="24"/>
          <w:szCs w:val="24"/>
        </w:rPr>
      </w:pPr>
      <w:bookmarkStart w:id="40" w:name="_Toc529469979"/>
      <w:bookmarkStart w:id="41" w:name="_Toc532335840"/>
      <w:bookmarkStart w:id="42" w:name="_Toc111837911"/>
      <w:r w:rsidRPr="009A27ED">
        <w:rPr>
          <w:rFonts w:ascii="Times New Roman" w:eastAsia="Times New Roman" w:hAnsi="Times New Roman"/>
          <w:sz w:val="24"/>
          <w:szCs w:val="24"/>
        </w:rPr>
        <w:t>Requerimientos de salvaguardas de la CMNUCC</w:t>
      </w:r>
      <w:bookmarkEnd w:id="40"/>
      <w:bookmarkEnd w:id="41"/>
      <w:bookmarkEnd w:id="42"/>
    </w:p>
    <w:p w14:paraId="651979B0" w14:textId="0EB03196" w:rsidR="00947670" w:rsidRPr="009A27ED" w:rsidRDefault="00947670" w:rsidP="005B6485">
      <w:pPr>
        <w:spacing w:before="120" w:after="0" w:line="360" w:lineRule="auto"/>
        <w:rPr>
          <w:color w:val="000000" w:themeColor="text1"/>
          <w:szCs w:val="22"/>
        </w:rPr>
      </w:pPr>
      <w:r w:rsidRPr="009A27ED">
        <w:rPr>
          <w:rFonts w:ascii="Times New Roman" w:eastAsia="Times New Roman" w:hAnsi="Times New Roman"/>
          <w:sz w:val="24"/>
          <w:szCs w:val="22"/>
        </w:rPr>
        <w:t xml:space="preserve">En diciembre de 2010, la décimo sexta Conferencia de las Partes (COP 16) de la Convención de las Naciones Unidas sobre el Cambio Climático (CMNUCC) celebrada en Cancún acordó un conjunto de siete salvaguardas que apoyan la implementación de REDD+ (en adelante, las Salvaguardas REDD+ de la CMNUCC). Las Salvaguardas REDD+ de la CMNUCC </w:t>
      </w:r>
      <w:r w:rsidRPr="009A27ED">
        <w:rPr>
          <w:rFonts w:ascii="Times New Roman" w:eastAsia="Times New Roman" w:hAnsi="Times New Roman"/>
          <w:sz w:val="24"/>
          <w:szCs w:val="22"/>
        </w:rPr>
        <w:lastRenderedPageBreak/>
        <w:t xml:space="preserve">tienen como objetivo no sólo mitigar el riesgo de los impactos sociales y ambientales </w:t>
      </w:r>
      <w:r w:rsidRPr="009A27ED">
        <w:rPr>
          <w:rFonts w:ascii="Times New Roman" w:eastAsia="Times New Roman" w:hAnsi="Times New Roman"/>
          <w:color w:val="000000" w:themeColor="text1"/>
          <w:sz w:val="24"/>
          <w:szCs w:val="22"/>
        </w:rPr>
        <w:t>negativos de las medidas REDD+, sino también el de promover activamente los beneficios que van más allá de la reducción de emisiones de carbono, tales como aumento de la seguridad en la tenencia de la tierra, el empoderamiento de l</w:t>
      </w:r>
      <w:r w:rsidR="00A30131" w:rsidRPr="009A27ED">
        <w:rPr>
          <w:rFonts w:ascii="Times New Roman" w:eastAsia="Times New Roman" w:hAnsi="Times New Roman"/>
          <w:color w:val="000000" w:themeColor="text1"/>
          <w:sz w:val="24"/>
          <w:szCs w:val="22"/>
        </w:rPr>
        <w:t>os actores involucrados</w:t>
      </w:r>
      <w:r w:rsidRPr="009A27ED">
        <w:rPr>
          <w:rFonts w:ascii="Times New Roman" w:eastAsia="Times New Roman" w:hAnsi="Times New Roman"/>
          <w:color w:val="000000" w:themeColor="text1"/>
          <w:sz w:val="24"/>
          <w:szCs w:val="22"/>
        </w:rPr>
        <w:t xml:space="preserve"> por asegurar su participación plena y efectiva y la mejora de la biodiversidad y la gobernanza forestal. </w:t>
      </w:r>
    </w:p>
    <w:p w14:paraId="136A4C1B" w14:textId="08C56D00" w:rsidR="00BD732B" w:rsidRPr="009A27ED" w:rsidRDefault="00947670" w:rsidP="009219FE">
      <w:pPr>
        <w:spacing w:before="120" w:after="0" w:line="360" w:lineRule="auto"/>
        <w:rPr>
          <w:szCs w:val="22"/>
        </w:rPr>
      </w:pPr>
      <w:r w:rsidRPr="009A27ED">
        <w:rPr>
          <w:rFonts w:ascii="Times New Roman" w:eastAsia="Times New Roman" w:hAnsi="Times New Roman"/>
          <w:color w:val="000000" w:themeColor="text1"/>
          <w:sz w:val="24"/>
          <w:szCs w:val="22"/>
        </w:rPr>
        <w:t>Estas Salvaguardas esbozan un marco global de principios sociales, medioambientales y de gobernanza, bajo el cual deberán ser implementadas las actividades y medidas REDD+. Al cumplir con lo contenido en dicho marco global, los países podrán minimizar los riesgos planteados por las medidas REDD+, y aumentar la posibilidad de obtener los beneficios de REDD+, tanto los referentes al carbono como otros no relacionados con el carbono (</w:t>
      </w:r>
      <w:proofErr w:type="spellStart"/>
      <w:r w:rsidRPr="009A27ED">
        <w:rPr>
          <w:rFonts w:ascii="Times New Roman" w:eastAsia="Times New Roman" w:hAnsi="Times New Roman"/>
          <w:color w:val="000000" w:themeColor="text1"/>
          <w:sz w:val="24"/>
          <w:szCs w:val="22"/>
        </w:rPr>
        <w:t>co</w:t>
      </w:r>
      <w:r w:rsidR="000C18E5" w:rsidRPr="009A27ED">
        <w:rPr>
          <w:rFonts w:ascii="Times New Roman" w:eastAsia="Times New Roman" w:hAnsi="Times New Roman"/>
          <w:color w:val="000000" w:themeColor="text1"/>
          <w:sz w:val="24"/>
          <w:szCs w:val="22"/>
        </w:rPr>
        <w:t>-</w:t>
      </w:r>
      <w:r w:rsidRPr="009A27ED">
        <w:rPr>
          <w:rFonts w:ascii="Times New Roman" w:eastAsia="Times New Roman" w:hAnsi="Times New Roman"/>
          <w:color w:val="000000" w:themeColor="text1"/>
          <w:sz w:val="24"/>
          <w:szCs w:val="22"/>
        </w:rPr>
        <w:t>beneficios</w:t>
      </w:r>
      <w:proofErr w:type="spellEnd"/>
      <w:r w:rsidRPr="009A27ED">
        <w:rPr>
          <w:rFonts w:ascii="Times New Roman" w:eastAsia="Times New Roman" w:hAnsi="Times New Roman"/>
          <w:color w:val="000000" w:themeColor="text1"/>
          <w:sz w:val="24"/>
          <w:szCs w:val="22"/>
        </w:rPr>
        <w:t>).</w:t>
      </w:r>
      <w:r w:rsidR="009219FE" w:rsidRPr="009A27ED">
        <w:rPr>
          <w:rFonts w:ascii="Times New Roman" w:eastAsia="Times New Roman" w:hAnsi="Times New Roman"/>
          <w:color w:val="000000" w:themeColor="text1"/>
          <w:sz w:val="24"/>
          <w:szCs w:val="22"/>
        </w:rPr>
        <w:t xml:space="preserve"> </w:t>
      </w:r>
      <w:r w:rsidRPr="009A27ED">
        <w:rPr>
          <w:rFonts w:ascii="Times New Roman" w:eastAsia="Times New Roman" w:hAnsi="Times New Roman"/>
          <w:sz w:val="24"/>
          <w:szCs w:val="22"/>
        </w:rPr>
        <w:t>Las Salvaguardas REDD+ son las siguientes:</w:t>
      </w:r>
      <w:r w:rsidRPr="009A27ED">
        <w:rPr>
          <w:rStyle w:val="Refdenotaalpie"/>
          <w:rFonts w:asciiTheme="minorHAnsi" w:eastAsia="Times New Roman" w:hAnsiTheme="minorHAnsi"/>
          <w:sz w:val="24"/>
          <w:szCs w:val="22"/>
        </w:rPr>
        <w:footnoteReference w:id="10"/>
      </w:r>
    </w:p>
    <w:p w14:paraId="68C84BDD" w14:textId="77777777" w:rsidR="001E165D" w:rsidRPr="009A27ED" w:rsidRDefault="001E165D" w:rsidP="00CE462A">
      <w:pPr>
        <w:spacing w:before="60" w:after="0" w:line="360" w:lineRule="auto"/>
        <w:rPr>
          <w:szCs w:val="22"/>
        </w:rPr>
      </w:pPr>
    </w:p>
    <w:p w14:paraId="415C0588" w14:textId="77777777" w:rsidR="003010DC" w:rsidRPr="009A27ED" w:rsidRDefault="003010DC" w:rsidP="00E371C1">
      <w:pPr>
        <w:pStyle w:val="Descripcin"/>
        <w:spacing w:line="360" w:lineRule="auto"/>
        <w:rPr>
          <w:color w:val="000000" w:themeColor="text1"/>
          <w:sz w:val="20"/>
        </w:rPr>
      </w:pPr>
      <w:bookmarkStart w:id="43" w:name="_Toc14020"/>
    </w:p>
    <w:p w14:paraId="5122F18C" w14:textId="77777777" w:rsidR="003010DC" w:rsidRPr="009A27ED" w:rsidRDefault="003010DC" w:rsidP="00E371C1">
      <w:pPr>
        <w:pStyle w:val="Descripcin"/>
        <w:spacing w:line="360" w:lineRule="auto"/>
        <w:rPr>
          <w:color w:val="000000" w:themeColor="text1"/>
          <w:sz w:val="20"/>
        </w:rPr>
      </w:pPr>
    </w:p>
    <w:p w14:paraId="68413C63" w14:textId="77777777" w:rsidR="003010DC" w:rsidRPr="009A27ED" w:rsidRDefault="003010DC" w:rsidP="00E371C1">
      <w:pPr>
        <w:pStyle w:val="Descripcin"/>
        <w:spacing w:line="360" w:lineRule="auto"/>
        <w:rPr>
          <w:color w:val="000000" w:themeColor="text1"/>
          <w:sz w:val="20"/>
        </w:rPr>
      </w:pPr>
    </w:p>
    <w:p w14:paraId="1212D986" w14:textId="77777777" w:rsidR="003010DC" w:rsidRPr="009A27ED" w:rsidRDefault="003010DC" w:rsidP="00E371C1">
      <w:pPr>
        <w:pStyle w:val="Descripcin"/>
        <w:spacing w:line="360" w:lineRule="auto"/>
        <w:rPr>
          <w:color w:val="000000" w:themeColor="text1"/>
          <w:sz w:val="20"/>
        </w:rPr>
      </w:pPr>
    </w:p>
    <w:p w14:paraId="26925E4B" w14:textId="472A5C1F" w:rsidR="00E371C1" w:rsidRPr="009A27ED" w:rsidRDefault="00E371C1" w:rsidP="00E371C1">
      <w:pPr>
        <w:pStyle w:val="Descripcin"/>
        <w:spacing w:line="360" w:lineRule="auto"/>
        <w:rPr>
          <w:color w:val="000000" w:themeColor="text1"/>
          <w:sz w:val="24"/>
          <w:szCs w:val="22"/>
        </w:rPr>
      </w:pPr>
      <w:bookmarkStart w:id="44" w:name="_Toc111887411"/>
      <w:r w:rsidRPr="009A27ED">
        <w:rPr>
          <w:rFonts w:ascii="Times New Roman" w:eastAsia="Times New Roman" w:hAnsi="Times New Roman"/>
          <w:color w:val="000000" w:themeColor="text1"/>
          <w:sz w:val="24"/>
        </w:rPr>
        <w:t xml:space="preserve">Cuadro </w:t>
      </w:r>
      <w:r w:rsidR="00F43DB6" w:rsidRPr="009A27ED">
        <w:rPr>
          <w:rFonts w:ascii="Times New Roman" w:eastAsia="Times New Roman" w:hAnsi="Times New Roman"/>
          <w:color w:val="000000" w:themeColor="text1"/>
          <w:sz w:val="24"/>
        </w:rPr>
        <w:fldChar w:fldCharType="begin"/>
      </w:r>
      <w:r w:rsidR="00F43DB6" w:rsidRPr="009A27ED">
        <w:rPr>
          <w:rFonts w:ascii="Times New Roman" w:eastAsia="Times New Roman" w:hAnsi="Times New Roman"/>
          <w:color w:val="000000" w:themeColor="text1"/>
          <w:sz w:val="24"/>
        </w:rPr>
        <w:instrText xml:space="preserve"> SEQ Cuadro \* ARABIC </w:instrText>
      </w:r>
      <w:r w:rsidR="00F43DB6" w:rsidRPr="009A27ED">
        <w:rPr>
          <w:rFonts w:ascii="Times New Roman" w:eastAsia="Times New Roman" w:hAnsi="Times New Roman"/>
          <w:color w:val="000000" w:themeColor="text1"/>
          <w:sz w:val="24"/>
        </w:rPr>
        <w:fldChar w:fldCharType="separate"/>
      </w:r>
      <w:r w:rsidR="00DF3AFC" w:rsidRPr="009A27ED">
        <w:rPr>
          <w:rFonts w:ascii="Times New Roman" w:eastAsia="Times New Roman" w:hAnsi="Times New Roman"/>
          <w:noProof/>
          <w:color w:val="000000" w:themeColor="text1"/>
          <w:sz w:val="24"/>
        </w:rPr>
        <w:t>1</w:t>
      </w:r>
      <w:r w:rsidR="00F43DB6" w:rsidRPr="009A27ED">
        <w:rPr>
          <w:rFonts w:ascii="Times New Roman" w:eastAsia="Times New Roman" w:hAnsi="Times New Roman"/>
          <w:color w:val="000000" w:themeColor="text1"/>
          <w:sz w:val="24"/>
        </w:rPr>
        <w:fldChar w:fldCharType="end"/>
      </w:r>
      <w:r w:rsidR="001E165D" w:rsidRPr="009A27ED">
        <w:rPr>
          <w:rFonts w:ascii="Times New Roman" w:eastAsia="Times New Roman" w:hAnsi="Times New Roman"/>
          <w:color w:val="000000" w:themeColor="text1"/>
          <w:sz w:val="24"/>
        </w:rPr>
        <w:t xml:space="preserve">. </w:t>
      </w:r>
      <w:r w:rsidRPr="009A27ED">
        <w:rPr>
          <w:rFonts w:ascii="Times New Roman" w:eastAsia="Times New Roman" w:hAnsi="Times New Roman"/>
          <w:color w:val="000000" w:themeColor="text1"/>
          <w:sz w:val="24"/>
        </w:rPr>
        <w:t>Salvaguardas REDD+</w:t>
      </w:r>
      <w:bookmarkEnd w:id="44"/>
      <w:r w:rsidRPr="009A27ED">
        <w:rPr>
          <w:rFonts w:ascii="Times New Roman" w:eastAsia="Times New Roman" w:hAnsi="Times New Roman"/>
          <w:color w:val="000000" w:themeColor="text1"/>
          <w:sz w:val="24"/>
        </w:rPr>
        <w:t xml:space="preserve"> </w:t>
      </w:r>
      <w:bookmarkEnd w:id="43"/>
    </w:p>
    <w:tbl>
      <w:tblPr>
        <w:tblStyle w:val="Tablaconcuadrcula"/>
        <w:tblW w:w="0" w:type="auto"/>
        <w:tblInd w:w="-5" w:type="dxa"/>
        <w:tblLook w:val="04A0" w:firstRow="1" w:lastRow="0" w:firstColumn="1" w:lastColumn="0" w:noHBand="0" w:noVBand="1"/>
      </w:tblPr>
      <w:tblGrid>
        <w:gridCol w:w="8833"/>
      </w:tblGrid>
      <w:tr w:rsidR="00485C4E" w:rsidRPr="009A27ED" w14:paraId="681D5E11" w14:textId="77777777" w:rsidTr="00C871BE">
        <w:tc>
          <w:tcPr>
            <w:tcW w:w="9349" w:type="dxa"/>
          </w:tcPr>
          <w:p w14:paraId="5EE3E6E2" w14:textId="77777777" w:rsidR="00485C4E" w:rsidRPr="009A27ED" w:rsidRDefault="00485C4E" w:rsidP="00B104AC">
            <w:pPr>
              <w:pStyle w:val="asides"/>
              <w:pBdr>
                <w:top w:val="none" w:sz="0" w:space="0" w:color="auto"/>
                <w:left w:val="none" w:sz="0" w:space="0" w:color="auto"/>
                <w:bottom w:val="none" w:sz="0" w:space="0" w:color="auto"/>
                <w:right w:val="none" w:sz="0" w:space="0" w:color="auto"/>
              </w:pBdr>
              <w:spacing w:before="60" w:line="276" w:lineRule="auto"/>
              <w:ind w:left="0" w:right="0"/>
              <w:rPr>
                <w:rFonts w:asciiTheme="minorHAnsi" w:hAnsiTheme="minorHAnsi" w:cstheme="minorHAnsi"/>
                <w:sz w:val="20"/>
                <w:szCs w:val="20"/>
                <w:lang w:val="es-ES"/>
              </w:rPr>
            </w:pPr>
            <w:r w:rsidRPr="009A27ED">
              <w:rPr>
                <w:rFonts w:asciiTheme="minorHAnsi" w:hAnsiTheme="minorHAnsi" w:cstheme="minorHAnsi"/>
                <w:sz w:val="20"/>
                <w:szCs w:val="20"/>
                <w:lang w:val="es-ES"/>
              </w:rPr>
              <w:t>(a)  La complementariedad o compatibilidad de las medidas con los objetivos de los programas forestales nacionales y de las convenciones y los acuerdos internacionales sobre la materia;</w:t>
            </w:r>
          </w:p>
        </w:tc>
      </w:tr>
      <w:tr w:rsidR="00485C4E" w:rsidRPr="009A27ED" w14:paraId="49D394E4" w14:textId="77777777" w:rsidTr="00C871BE">
        <w:tc>
          <w:tcPr>
            <w:tcW w:w="9349" w:type="dxa"/>
          </w:tcPr>
          <w:p w14:paraId="49AE9694" w14:textId="77777777" w:rsidR="00485C4E" w:rsidRPr="009A27ED" w:rsidRDefault="00485C4E" w:rsidP="00B104AC">
            <w:pPr>
              <w:pStyle w:val="asides"/>
              <w:pBdr>
                <w:top w:val="none" w:sz="0" w:space="0" w:color="auto"/>
                <w:left w:val="none" w:sz="0" w:space="0" w:color="auto"/>
                <w:bottom w:val="none" w:sz="0" w:space="0" w:color="auto"/>
                <w:right w:val="none" w:sz="0" w:space="0" w:color="auto"/>
              </w:pBdr>
              <w:spacing w:before="60" w:line="276" w:lineRule="auto"/>
              <w:ind w:left="0" w:right="0"/>
              <w:rPr>
                <w:rFonts w:asciiTheme="minorHAnsi" w:hAnsiTheme="minorHAnsi" w:cstheme="minorHAnsi"/>
                <w:sz w:val="20"/>
                <w:szCs w:val="20"/>
                <w:lang w:val="es-ES"/>
              </w:rPr>
            </w:pPr>
            <w:r w:rsidRPr="009A27ED">
              <w:rPr>
                <w:rFonts w:asciiTheme="minorHAnsi" w:hAnsiTheme="minorHAnsi" w:cstheme="minorHAnsi"/>
                <w:sz w:val="20"/>
                <w:szCs w:val="20"/>
                <w:lang w:val="es-ES"/>
              </w:rPr>
              <w:t>(b)  La transparencia y eficacia de las estructuras de gobernanza forestal nacional, teniendo en cuenta la legislación y la soberanía nacionales;</w:t>
            </w:r>
          </w:p>
        </w:tc>
      </w:tr>
      <w:tr w:rsidR="00485C4E" w:rsidRPr="009A27ED" w14:paraId="0C4D4446" w14:textId="77777777" w:rsidTr="00C871BE">
        <w:tc>
          <w:tcPr>
            <w:tcW w:w="9349" w:type="dxa"/>
          </w:tcPr>
          <w:p w14:paraId="5503C299" w14:textId="5D8C09B1" w:rsidR="00485C4E" w:rsidRPr="009A27ED" w:rsidRDefault="00485C4E" w:rsidP="00B104AC">
            <w:pPr>
              <w:pStyle w:val="asides"/>
              <w:pBdr>
                <w:top w:val="none" w:sz="0" w:space="0" w:color="auto"/>
                <w:left w:val="none" w:sz="0" w:space="0" w:color="auto"/>
                <w:bottom w:val="none" w:sz="0" w:space="0" w:color="auto"/>
                <w:right w:val="none" w:sz="0" w:space="0" w:color="auto"/>
              </w:pBdr>
              <w:spacing w:before="60" w:line="276" w:lineRule="auto"/>
              <w:ind w:left="0" w:right="0"/>
              <w:rPr>
                <w:rFonts w:asciiTheme="minorHAnsi" w:hAnsiTheme="minorHAnsi" w:cstheme="minorHAnsi"/>
                <w:sz w:val="20"/>
                <w:szCs w:val="20"/>
                <w:lang w:val="es-ES"/>
              </w:rPr>
            </w:pPr>
            <w:r w:rsidRPr="009A27ED">
              <w:rPr>
                <w:rFonts w:asciiTheme="minorHAnsi" w:hAnsiTheme="minorHAnsi" w:cstheme="minorHAnsi"/>
                <w:sz w:val="20"/>
                <w:szCs w:val="20"/>
                <w:lang w:val="es-ES"/>
              </w:rPr>
              <w:t>(c)  El respeto de los conocimientos y los derechos de los pueblos indígenas y los miembros de las comunidades locales, tomando en consideración las obligaciones internacionales pertinentes y las circunstancias y la legislación nacionales, y teniendo presente que la Asamblea General de las Naciones Unidas ha aprobado la Declaración de las Nación es Unidas sobre los derechos de los pueblos indígenas;</w:t>
            </w:r>
            <w:r w:rsidR="00233BBB" w:rsidRPr="009A27ED">
              <w:rPr>
                <w:rFonts w:asciiTheme="minorHAnsi" w:hAnsiTheme="minorHAnsi" w:cstheme="minorHAnsi"/>
                <w:sz w:val="20"/>
                <w:szCs w:val="20"/>
                <w:lang w:val="es-ES"/>
              </w:rPr>
              <w:t xml:space="preserve"> </w:t>
            </w:r>
          </w:p>
        </w:tc>
      </w:tr>
      <w:tr w:rsidR="00485C4E" w:rsidRPr="009A27ED" w14:paraId="51D15E84" w14:textId="77777777" w:rsidTr="00C871BE">
        <w:tc>
          <w:tcPr>
            <w:tcW w:w="9349" w:type="dxa"/>
          </w:tcPr>
          <w:p w14:paraId="0B40D8FF" w14:textId="6528A743" w:rsidR="00485C4E" w:rsidRPr="009A27ED" w:rsidRDefault="00485C4E" w:rsidP="00B104AC">
            <w:pPr>
              <w:pStyle w:val="asides"/>
              <w:pBdr>
                <w:top w:val="none" w:sz="0" w:space="0" w:color="auto"/>
                <w:left w:val="none" w:sz="0" w:space="0" w:color="auto"/>
                <w:bottom w:val="none" w:sz="0" w:space="0" w:color="auto"/>
                <w:right w:val="none" w:sz="0" w:space="0" w:color="auto"/>
              </w:pBdr>
              <w:spacing w:before="60" w:line="276" w:lineRule="auto"/>
              <w:ind w:left="0" w:right="0"/>
              <w:rPr>
                <w:rFonts w:asciiTheme="minorHAnsi" w:hAnsiTheme="minorHAnsi" w:cstheme="minorHAnsi"/>
                <w:sz w:val="20"/>
                <w:szCs w:val="20"/>
                <w:lang w:val="es-ES"/>
              </w:rPr>
            </w:pPr>
            <w:r w:rsidRPr="009A27ED">
              <w:rPr>
                <w:rFonts w:asciiTheme="minorHAnsi" w:hAnsiTheme="minorHAnsi" w:cstheme="minorHAnsi"/>
                <w:sz w:val="20"/>
                <w:szCs w:val="20"/>
                <w:lang w:val="es-ES"/>
              </w:rPr>
              <w:lastRenderedPageBreak/>
              <w:t xml:space="preserve">(d)  La participación plena y efectiva de las </w:t>
            </w:r>
            <w:r w:rsidR="00A30131" w:rsidRPr="009A27ED">
              <w:rPr>
                <w:rFonts w:asciiTheme="minorHAnsi" w:hAnsiTheme="minorHAnsi" w:cstheme="minorHAnsi"/>
                <w:sz w:val="20"/>
                <w:szCs w:val="20"/>
                <w:lang w:val="es-ES"/>
              </w:rPr>
              <w:t>múltiples partes interesadas (actores involucrados)</w:t>
            </w:r>
            <w:r w:rsidRPr="009A27ED">
              <w:rPr>
                <w:rFonts w:asciiTheme="minorHAnsi" w:hAnsiTheme="minorHAnsi" w:cstheme="minorHAnsi"/>
                <w:sz w:val="20"/>
                <w:szCs w:val="20"/>
                <w:lang w:val="es-ES"/>
              </w:rPr>
              <w:t>, en particular, la de los pueblos indígenas y las comunidades locales, en las acciones mencionadas en los párrafos 70 y 72 de la presente decisión;</w:t>
            </w:r>
            <w:r w:rsidRPr="009A27ED">
              <w:rPr>
                <w:rStyle w:val="Refdenotaalpie"/>
                <w:rFonts w:asciiTheme="minorHAnsi" w:hAnsiTheme="minorHAnsi" w:cstheme="minorHAnsi"/>
                <w:sz w:val="20"/>
                <w:szCs w:val="20"/>
              </w:rPr>
              <w:footnoteReference w:id="11"/>
            </w:r>
          </w:p>
        </w:tc>
      </w:tr>
      <w:tr w:rsidR="00485C4E" w:rsidRPr="009A27ED" w14:paraId="401923E4" w14:textId="77777777" w:rsidTr="00C871BE">
        <w:tc>
          <w:tcPr>
            <w:tcW w:w="9349" w:type="dxa"/>
          </w:tcPr>
          <w:p w14:paraId="6823CA6A" w14:textId="77777777" w:rsidR="00485C4E" w:rsidRPr="009A27ED" w:rsidRDefault="00485C4E" w:rsidP="00B104AC">
            <w:pPr>
              <w:pStyle w:val="asides"/>
              <w:pBdr>
                <w:top w:val="none" w:sz="0" w:space="0" w:color="auto"/>
                <w:left w:val="none" w:sz="0" w:space="0" w:color="auto"/>
                <w:bottom w:val="none" w:sz="0" w:space="0" w:color="auto"/>
                <w:right w:val="none" w:sz="0" w:space="0" w:color="auto"/>
              </w:pBdr>
              <w:spacing w:before="60" w:line="276" w:lineRule="auto"/>
              <w:ind w:left="0" w:right="0"/>
              <w:rPr>
                <w:rFonts w:asciiTheme="minorHAnsi" w:hAnsiTheme="minorHAnsi" w:cstheme="minorHAnsi"/>
                <w:sz w:val="20"/>
                <w:szCs w:val="20"/>
                <w:lang w:val="es-ES"/>
              </w:rPr>
            </w:pPr>
            <w:r w:rsidRPr="009A27ED">
              <w:rPr>
                <w:rFonts w:asciiTheme="minorHAnsi" w:hAnsiTheme="minorHAnsi" w:cstheme="minorHAnsi"/>
                <w:sz w:val="20"/>
                <w:szCs w:val="20"/>
                <w:lang w:val="es-ES"/>
              </w:rPr>
              <w:t>(e)  La compatibilidad de las medidas con la conservación de los bosques naturales y la diversidad biológica, velando por que las que se indican en el párrafo 70 de la presente decisión no se utilicen para la conversión de bosques naturales, sino que sirvan, en cambio, para incentivar la protección y la conservación de esos bosques y los servicios derivados de sus ecosistemas y para potenciar otros beneficios sociales y ambientales;</w:t>
            </w:r>
          </w:p>
        </w:tc>
      </w:tr>
      <w:tr w:rsidR="00485C4E" w:rsidRPr="009A27ED" w14:paraId="76B6B1A9" w14:textId="77777777" w:rsidTr="00C871BE">
        <w:tc>
          <w:tcPr>
            <w:tcW w:w="9349" w:type="dxa"/>
          </w:tcPr>
          <w:p w14:paraId="1F82C470" w14:textId="77777777" w:rsidR="00485C4E" w:rsidRPr="009A27ED" w:rsidRDefault="00485C4E" w:rsidP="00B104AC">
            <w:pPr>
              <w:pStyle w:val="asides"/>
              <w:pBdr>
                <w:top w:val="none" w:sz="0" w:space="0" w:color="auto"/>
                <w:left w:val="none" w:sz="0" w:space="0" w:color="auto"/>
                <w:bottom w:val="none" w:sz="0" w:space="0" w:color="auto"/>
                <w:right w:val="none" w:sz="0" w:space="0" w:color="auto"/>
              </w:pBdr>
              <w:spacing w:before="60" w:line="276" w:lineRule="auto"/>
              <w:ind w:left="0" w:right="0"/>
              <w:rPr>
                <w:rFonts w:asciiTheme="minorHAnsi" w:hAnsiTheme="minorHAnsi" w:cstheme="minorHAnsi"/>
                <w:sz w:val="20"/>
                <w:szCs w:val="20"/>
                <w:lang w:val="es-ES"/>
              </w:rPr>
            </w:pPr>
            <w:r w:rsidRPr="009A27ED">
              <w:rPr>
                <w:rFonts w:asciiTheme="minorHAnsi" w:hAnsiTheme="minorHAnsi" w:cstheme="minorHAnsi"/>
                <w:sz w:val="20"/>
                <w:szCs w:val="20"/>
                <w:lang w:val="es-ES"/>
              </w:rPr>
              <w:t>(f)  Acciones para hacer frente a los riesgos de reversión;</w:t>
            </w:r>
          </w:p>
        </w:tc>
      </w:tr>
      <w:tr w:rsidR="00485C4E" w:rsidRPr="009A27ED" w14:paraId="4A2A25D0" w14:textId="77777777" w:rsidTr="00C871BE">
        <w:tc>
          <w:tcPr>
            <w:tcW w:w="9349" w:type="dxa"/>
          </w:tcPr>
          <w:p w14:paraId="59CA8A58" w14:textId="77777777" w:rsidR="00485C4E" w:rsidRPr="009A27ED" w:rsidRDefault="00485C4E" w:rsidP="00CE462A">
            <w:pPr>
              <w:pStyle w:val="asides"/>
              <w:keepNext/>
              <w:pBdr>
                <w:top w:val="none" w:sz="0" w:space="0" w:color="auto"/>
                <w:left w:val="none" w:sz="0" w:space="0" w:color="auto"/>
                <w:bottom w:val="none" w:sz="0" w:space="0" w:color="auto"/>
                <w:right w:val="none" w:sz="0" w:space="0" w:color="auto"/>
              </w:pBdr>
              <w:spacing w:before="60" w:line="276" w:lineRule="auto"/>
              <w:ind w:left="0" w:right="0"/>
              <w:rPr>
                <w:rFonts w:asciiTheme="minorHAnsi" w:hAnsiTheme="minorHAnsi" w:cstheme="minorHAnsi"/>
                <w:sz w:val="20"/>
                <w:szCs w:val="20"/>
                <w:lang w:val="es-ES"/>
              </w:rPr>
            </w:pPr>
            <w:r w:rsidRPr="009A27ED">
              <w:rPr>
                <w:rFonts w:asciiTheme="minorHAnsi" w:hAnsiTheme="minorHAnsi" w:cstheme="minorHAnsi"/>
                <w:sz w:val="20"/>
                <w:szCs w:val="20"/>
                <w:lang w:val="es-ES"/>
              </w:rPr>
              <w:t xml:space="preserve">(g)  Acciones para reducir el desplazamiento de emisiones. </w:t>
            </w:r>
          </w:p>
        </w:tc>
      </w:tr>
    </w:tbl>
    <w:p w14:paraId="4B4D9906" w14:textId="77777777" w:rsidR="009219FE" w:rsidRPr="009A27ED" w:rsidRDefault="009219FE" w:rsidP="005B6485">
      <w:pPr>
        <w:spacing w:before="120" w:after="0" w:line="360" w:lineRule="auto"/>
        <w:rPr>
          <w:szCs w:val="22"/>
        </w:rPr>
      </w:pPr>
    </w:p>
    <w:p w14:paraId="77B8AE25" w14:textId="18F35D43" w:rsidR="00947670" w:rsidRPr="009A27ED" w:rsidRDefault="00947670" w:rsidP="005B6485">
      <w:pPr>
        <w:spacing w:before="120" w:after="0" w:line="360" w:lineRule="auto"/>
        <w:rPr>
          <w:szCs w:val="22"/>
        </w:rPr>
      </w:pPr>
      <w:r w:rsidRPr="009A27ED">
        <w:rPr>
          <w:rFonts w:ascii="Times New Roman" w:eastAsia="Times New Roman" w:hAnsi="Times New Roman"/>
          <w:sz w:val="24"/>
          <w:szCs w:val="22"/>
        </w:rPr>
        <w:t xml:space="preserve">En 2013, con la adopción del </w:t>
      </w:r>
      <w:r w:rsidR="00BE2D00" w:rsidRPr="009A27ED">
        <w:rPr>
          <w:rFonts w:ascii="Times New Roman" w:eastAsia="Times New Roman" w:hAnsi="Times New Roman"/>
          <w:sz w:val="24"/>
          <w:szCs w:val="22"/>
        </w:rPr>
        <w:t>“</w:t>
      </w:r>
      <w:r w:rsidRPr="009A27ED">
        <w:rPr>
          <w:rFonts w:ascii="Times New Roman" w:eastAsia="Times New Roman" w:hAnsi="Times New Roman"/>
          <w:sz w:val="24"/>
          <w:szCs w:val="22"/>
        </w:rPr>
        <w:t>Marco de Varsovia para REDD+</w:t>
      </w:r>
      <w:r w:rsidR="00BE2D00" w:rsidRPr="009A27ED">
        <w:rPr>
          <w:rFonts w:ascii="Times New Roman" w:eastAsia="Times New Roman" w:hAnsi="Times New Roman"/>
          <w:sz w:val="24"/>
          <w:szCs w:val="22"/>
        </w:rPr>
        <w:t>”</w:t>
      </w:r>
      <w:r w:rsidRPr="009A27ED">
        <w:rPr>
          <w:rFonts w:ascii="Times New Roman" w:eastAsia="Times New Roman" w:hAnsi="Times New Roman"/>
          <w:sz w:val="24"/>
          <w:szCs w:val="22"/>
        </w:rPr>
        <w:t xml:space="preserve"> por la Conferencia de las Partes (COP19), REDD+ se ha convertido en un mecanismo que fomenta que los países avancen en el desarrollo y la implementación de sus programas nacionales REDD+, los cuales deben cumplir con tres requisitos en materia de salvaguardas con el fin de acceder a un financiamiento basado en resultados. Estos requisitos son los siguientes: </w:t>
      </w:r>
    </w:p>
    <w:p w14:paraId="02FDBE6D" w14:textId="77777777" w:rsidR="00947670" w:rsidRPr="009A27ED" w:rsidRDefault="00947670" w:rsidP="00D42802">
      <w:pPr>
        <w:pStyle w:val="Number1"/>
        <w:numPr>
          <w:ilvl w:val="0"/>
          <w:numId w:val="43"/>
        </w:numPr>
        <w:spacing w:before="120" w:line="360" w:lineRule="auto"/>
      </w:pPr>
      <w:r w:rsidRPr="009A27ED">
        <w:rPr>
          <w:rFonts w:ascii="Times New Roman" w:hAnsi="Times New Roman"/>
          <w:sz w:val="24"/>
        </w:rPr>
        <w:t>Los países deben asegurar que las actividades REDD+, independientemente de la fuente y el tipo de financiamiento, sean implementadas de manera coherente con las Salvaguardas REDD+ de la CMNUCC.</w:t>
      </w:r>
      <w:r w:rsidRPr="009A27ED">
        <w:rPr>
          <w:rFonts w:ascii="Times New Roman" w:hAnsi="Times New Roman"/>
          <w:sz w:val="24"/>
          <w:vertAlign w:val="superscript"/>
        </w:rPr>
        <w:footnoteReference w:id="12"/>
      </w:r>
      <w:r w:rsidRPr="009A27ED">
        <w:rPr>
          <w:rFonts w:ascii="Times New Roman" w:hAnsi="Times New Roman"/>
          <w:sz w:val="24"/>
        </w:rPr>
        <w:t xml:space="preserve">  </w:t>
      </w:r>
    </w:p>
    <w:p w14:paraId="5B7F0E2C" w14:textId="77777777" w:rsidR="00947670" w:rsidRPr="009A27ED" w:rsidRDefault="00947670" w:rsidP="00D42802">
      <w:pPr>
        <w:pStyle w:val="Number1"/>
        <w:numPr>
          <w:ilvl w:val="0"/>
          <w:numId w:val="43"/>
        </w:numPr>
        <w:spacing w:before="120" w:line="360" w:lineRule="auto"/>
      </w:pPr>
      <w:r w:rsidRPr="009A27ED">
        <w:rPr>
          <w:rFonts w:ascii="Times New Roman" w:hAnsi="Times New Roman"/>
          <w:sz w:val="24"/>
        </w:rPr>
        <w:t>Los países deben desarrollar un sistema para brindar información sobre cómo se están abordando y respetando las Salvaguardas REDD+ de la CMNUCC;</w:t>
      </w:r>
      <w:r w:rsidRPr="009A27ED">
        <w:rPr>
          <w:rFonts w:ascii="Times New Roman" w:hAnsi="Times New Roman"/>
          <w:sz w:val="24"/>
          <w:vertAlign w:val="superscript"/>
        </w:rPr>
        <w:footnoteReference w:id="13"/>
      </w:r>
      <w:r w:rsidRPr="009A27ED">
        <w:rPr>
          <w:rFonts w:ascii="Times New Roman" w:hAnsi="Times New Roman"/>
          <w:sz w:val="24"/>
          <w:vertAlign w:val="superscript"/>
        </w:rPr>
        <w:t xml:space="preserve"> </w:t>
      </w:r>
    </w:p>
    <w:p w14:paraId="344F9F21" w14:textId="77777777" w:rsidR="00947670" w:rsidRPr="009A27ED" w:rsidRDefault="00947670" w:rsidP="00D42802">
      <w:pPr>
        <w:pStyle w:val="Number1"/>
        <w:numPr>
          <w:ilvl w:val="0"/>
          <w:numId w:val="43"/>
        </w:numPr>
        <w:spacing w:before="120" w:line="360" w:lineRule="auto"/>
      </w:pPr>
      <w:r w:rsidRPr="009A27ED">
        <w:rPr>
          <w:rFonts w:ascii="Times New Roman" w:hAnsi="Times New Roman"/>
          <w:sz w:val="24"/>
        </w:rPr>
        <w:t>Los países deben proporcionar un resumen de la información sobre cómo se están abordando y respetando todas las Salvaguardas REDD+ de la CMNUCC durante la implementación de las actividades REDD+.</w:t>
      </w:r>
      <w:r w:rsidRPr="009A27ED">
        <w:rPr>
          <w:rFonts w:ascii="Times New Roman" w:hAnsi="Times New Roman"/>
          <w:sz w:val="24"/>
          <w:vertAlign w:val="superscript"/>
        </w:rPr>
        <w:footnoteReference w:id="14"/>
      </w:r>
    </w:p>
    <w:p w14:paraId="0FF714D7" w14:textId="59E4691F" w:rsidR="00947670" w:rsidRPr="009A27ED" w:rsidRDefault="00947670" w:rsidP="005B6485">
      <w:pPr>
        <w:spacing w:before="120" w:after="100" w:afterAutospacing="1" w:line="360" w:lineRule="auto"/>
      </w:pPr>
      <w:r w:rsidRPr="009A27ED">
        <w:rPr>
          <w:rFonts w:ascii="Times New Roman" w:eastAsia="Times New Roman" w:hAnsi="Times New Roman"/>
          <w:sz w:val="24"/>
          <w:szCs w:val="22"/>
        </w:rPr>
        <w:t xml:space="preserve">Por tal razón, los actores involucrados en el diseño, financiamiento e implementación de las actividades y medidas REDD+ se encuentran asumiendo acciones adecuadas que garanticen </w:t>
      </w:r>
      <w:r w:rsidRPr="009A27ED">
        <w:rPr>
          <w:rFonts w:ascii="Times New Roman" w:eastAsia="Times New Roman" w:hAnsi="Times New Roman"/>
          <w:sz w:val="24"/>
          <w:szCs w:val="22"/>
        </w:rPr>
        <w:lastRenderedPageBreak/>
        <w:t xml:space="preserve">la implementación, monitoreo y el reporte efectivo de las Salvaguardas REDD+, así como </w:t>
      </w:r>
      <w:r w:rsidR="003214A6" w:rsidRPr="009A27ED">
        <w:rPr>
          <w:rFonts w:ascii="Times New Roman" w:eastAsia="Times New Roman" w:hAnsi="Times New Roman"/>
          <w:sz w:val="24"/>
          <w:szCs w:val="22"/>
        </w:rPr>
        <w:t>las</w:t>
      </w:r>
      <w:r w:rsidRPr="009A27ED">
        <w:rPr>
          <w:rFonts w:ascii="Times New Roman" w:eastAsia="Times New Roman" w:hAnsi="Times New Roman"/>
          <w:sz w:val="24"/>
          <w:szCs w:val="22"/>
        </w:rPr>
        <w:t xml:space="preserve"> políticas opera</w:t>
      </w:r>
      <w:r w:rsidR="003214A6" w:rsidRPr="009A27ED">
        <w:rPr>
          <w:rFonts w:ascii="Times New Roman" w:eastAsia="Times New Roman" w:hAnsi="Times New Roman"/>
          <w:sz w:val="24"/>
          <w:szCs w:val="22"/>
        </w:rPr>
        <w:t>tivas</w:t>
      </w:r>
      <w:r w:rsidRPr="009A27ED">
        <w:rPr>
          <w:rFonts w:ascii="Times New Roman" w:eastAsia="Times New Roman" w:hAnsi="Times New Roman"/>
          <w:sz w:val="24"/>
          <w:szCs w:val="22"/>
        </w:rPr>
        <w:t xml:space="preserve"> que deriven del financiamiento para REDD+, sobre todo en esta etapa de preparación  donde el proceso de involucramiento de actores y sectores toma una relevancia vital, pues esta etapa sienta las bases de la consulta, la participación y el consenso sobre temas asociados con la pertinencia cultural, la participación plena y efectiva, la transparencia y la rendición de cuentas por parte de la gobernanza instalada para la gobernanza forestal en el país, así como la observancia de las consideraciones de género y las salvaguardas pertinentes.</w:t>
      </w:r>
      <w:r w:rsidRPr="009A27ED">
        <w:rPr>
          <w:rFonts w:ascii="Times New Roman" w:eastAsia="Times New Roman" w:hAnsi="Times New Roman"/>
          <w:sz w:val="24"/>
        </w:rPr>
        <w:t xml:space="preserve"> </w:t>
      </w:r>
    </w:p>
    <w:p w14:paraId="3204BAD0" w14:textId="005D3C9F" w:rsidR="00A25505" w:rsidRPr="009A27ED" w:rsidRDefault="00947670" w:rsidP="00597B6E">
      <w:pPr>
        <w:pStyle w:val="Ttulo2"/>
        <w:spacing w:line="360" w:lineRule="auto"/>
        <w:ind w:left="567"/>
        <w:jc w:val="both"/>
        <w:rPr>
          <w:sz w:val="24"/>
          <w:szCs w:val="24"/>
        </w:rPr>
      </w:pPr>
      <w:bookmarkStart w:id="45" w:name="_Toc496025451"/>
      <w:bookmarkStart w:id="46" w:name="_Toc529469980"/>
      <w:bookmarkStart w:id="47" w:name="_Toc532335841"/>
      <w:bookmarkStart w:id="48" w:name="_Toc111837912"/>
      <w:r w:rsidRPr="009A27ED">
        <w:rPr>
          <w:rFonts w:ascii="Times New Roman" w:eastAsia="Times New Roman" w:hAnsi="Times New Roman"/>
          <w:sz w:val="24"/>
          <w:szCs w:val="24"/>
        </w:rPr>
        <w:t xml:space="preserve">Alcance y </w:t>
      </w:r>
      <w:r w:rsidR="009219FE" w:rsidRPr="009A27ED">
        <w:rPr>
          <w:rFonts w:ascii="Times New Roman" w:eastAsia="Times New Roman" w:hAnsi="Times New Roman"/>
          <w:sz w:val="24"/>
          <w:szCs w:val="24"/>
        </w:rPr>
        <w:t>metodología</w:t>
      </w:r>
      <w:r w:rsidRPr="009A27ED">
        <w:rPr>
          <w:rFonts w:ascii="Times New Roman" w:eastAsia="Times New Roman" w:hAnsi="Times New Roman"/>
          <w:sz w:val="24"/>
          <w:szCs w:val="24"/>
        </w:rPr>
        <w:t xml:space="preserve"> del </w:t>
      </w:r>
      <w:bookmarkEnd w:id="45"/>
      <w:r w:rsidRPr="009A27ED">
        <w:rPr>
          <w:rFonts w:ascii="Times New Roman" w:eastAsia="Times New Roman" w:hAnsi="Times New Roman"/>
          <w:sz w:val="24"/>
          <w:szCs w:val="24"/>
        </w:rPr>
        <w:t>MGAS</w:t>
      </w:r>
      <w:bookmarkStart w:id="49" w:name="_Toc496025362"/>
      <w:bookmarkStart w:id="50" w:name="_Toc496025452"/>
      <w:bookmarkStart w:id="51" w:name="_Toc529469981"/>
      <w:bookmarkStart w:id="52" w:name="_Toc530931921"/>
      <w:bookmarkStart w:id="53" w:name="_Toc530933068"/>
      <w:bookmarkStart w:id="54" w:name="_Toc532335740"/>
      <w:bookmarkStart w:id="55" w:name="_Toc532335842"/>
      <w:bookmarkEnd w:id="46"/>
      <w:bookmarkEnd w:id="47"/>
      <w:bookmarkEnd w:id="48"/>
    </w:p>
    <w:p w14:paraId="76B5B85E" w14:textId="0AAD3631" w:rsidR="00947670" w:rsidRPr="009A27ED" w:rsidRDefault="00947670" w:rsidP="00A25505">
      <w:pPr>
        <w:pStyle w:val="Ttulo3"/>
        <w:spacing w:line="360" w:lineRule="auto"/>
        <w:jc w:val="both"/>
      </w:pPr>
      <w:bookmarkStart w:id="56" w:name="_Toc111837913"/>
      <w:r w:rsidRPr="009A27ED">
        <w:rPr>
          <w:rFonts w:ascii="Times New Roman" w:eastAsia="Times New Roman" w:hAnsi="Times New Roman"/>
          <w:b w:val="0"/>
          <w:sz w:val="24"/>
        </w:rPr>
        <w:t xml:space="preserve">Alcance del </w:t>
      </w:r>
      <w:bookmarkEnd w:id="49"/>
      <w:bookmarkEnd w:id="50"/>
      <w:r w:rsidRPr="009A27ED">
        <w:rPr>
          <w:rFonts w:ascii="Times New Roman" w:eastAsia="Times New Roman" w:hAnsi="Times New Roman"/>
          <w:b w:val="0"/>
          <w:sz w:val="24"/>
        </w:rPr>
        <w:t>MGAS</w:t>
      </w:r>
      <w:bookmarkEnd w:id="51"/>
      <w:bookmarkEnd w:id="52"/>
      <w:bookmarkEnd w:id="53"/>
      <w:bookmarkEnd w:id="54"/>
      <w:bookmarkEnd w:id="55"/>
      <w:bookmarkEnd w:id="56"/>
    </w:p>
    <w:p w14:paraId="346EDFAA" w14:textId="705890BE" w:rsidR="00947670" w:rsidRPr="009A27ED" w:rsidRDefault="00947670" w:rsidP="005B6485">
      <w:pPr>
        <w:spacing w:before="120" w:after="0" w:line="360" w:lineRule="auto"/>
        <w:rPr>
          <w:szCs w:val="22"/>
        </w:rPr>
      </w:pPr>
      <w:r w:rsidRPr="009A27ED">
        <w:rPr>
          <w:rFonts w:ascii="Times New Roman" w:eastAsia="Times New Roman" w:hAnsi="Times New Roman"/>
          <w:sz w:val="24"/>
          <w:szCs w:val="22"/>
        </w:rPr>
        <w:t xml:space="preserve">El MGAS de República Dominicana es el instrumento operativo por el cual se establecen los principios, lineamientos y procedimientos para abordar, evitar y minimizar los riesgos e impactos adversos asociados a la implementación de proyectos, actividades, políticas o reglamentaciones asociados con la futura implementación de la Estrategia Nacional REDD+ y cumplir con los lineamientos normativos tanto nacionales como internacionales convenidos para REDD+. </w:t>
      </w:r>
    </w:p>
    <w:p w14:paraId="1C875DCB" w14:textId="4D8C4107" w:rsidR="00947670" w:rsidRPr="009A27ED" w:rsidRDefault="00947670" w:rsidP="005B6485">
      <w:pPr>
        <w:spacing w:before="120" w:after="0" w:line="360" w:lineRule="auto"/>
        <w:rPr>
          <w:szCs w:val="22"/>
        </w:rPr>
      </w:pPr>
      <w:r w:rsidRPr="009A27ED">
        <w:rPr>
          <w:rFonts w:ascii="Times New Roman" w:eastAsia="Times New Roman" w:hAnsi="Times New Roman"/>
          <w:sz w:val="24"/>
          <w:szCs w:val="22"/>
        </w:rPr>
        <w:t xml:space="preserve">El MGAS que se presenta a continuación es el resultado del proceso analítico participativo (SESA) </w:t>
      </w:r>
      <w:r w:rsidR="006329B9" w:rsidRPr="009A27ED">
        <w:rPr>
          <w:rFonts w:ascii="Times New Roman" w:eastAsia="Times New Roman" w:hAnsi="Times New Roman"/>
          <w:sz w:val="24"/>
          <w:szCs w:val="22"/>
        </w:rPr>
        <w:t xml:space="preserve">basado en </w:t>
      </w:r>
      <w:r w:rsidRPr="009A27ED">
        <w:rPr>
          <w:rFonts w:ascii="Times New Roman" w:eastAsia="Times New Roman" w:hAnsi="Times New Roman"/>
          <w:sz w:val="24"/>
          <w:szCs w:val="22"/>
        </w:rPr>
        <w:t xml:space="preserve">las Opciones </w:t>
      </w:r>
      <w:r w:rsidR="002F4E1B" w:rsidRPr="009A27ED">
        <w:rPr>
          <w:rFonts w:ascii="Times New Roman" w:eastAsia="Times New Roman" w:hAnsi="Times New Roman"/>
          <w:sz w:val="24"/>
          <w:szCs w:val="22"/>
        </w:rPr>
        <w:t>Estratégicas</w:t>
      </w:r>
      <w:r w:rsidRPr="009A27ED">
        <w:rPr>
          <w:rFonts w:ascii="Times New Roman" w:eastAsia="Times New Roman" w:hAnsi="Times New Roman"/>
          <w:sz w:val="24"/>
          <w:szCs w:val="22"/>
        </w:rPr>
        <w:t xml:space="preserve"> REDD+ definidas para la Estrategia Nacional REDD+ (EN-REDD+) </w:t>
      </w:r>
      <w:r w:rsidR="006329B9" w:rsidRPr="009A27ED">
        <w:rPr>
          <w:rFonts w:ascii="Times New Roman" w:eastAsia="Times New Roman" w:hAnsi="Times New Roman"/>
          <w:sz w:val="24"/>
          <w:szCs w:val="22"/>
        </w:rPr>
        <w:t xml:space="preserve">en </w:t>
      </w:r>
      <w:r w:rsidRPr="009A27ED">
        <w:rPr>
          <w:rFonts w:ascii="Times New Roman" w:eastAsia="Times New Roman" w:hAnsi="Times New Roman"/>
          <w:sz w:val="24"/>
          <w:szCs w:val="22"/>
        </w:rPr>
        <w:t>el país</w:t>
      </w:r>
      <w:r w:rsidR="006329B9" w:rsidRPr="009A27ED">
        <w:rPr>
          <w:rFonts w:ascii="Times New Roman" w:eastAsia="Times New Roman" w:hAnsi="Times New Roman"/>
          <w:sz w:val="24"/>
          <w:szCs w:val="22"/>
        </w:rPr>
        <w:t>, siendo estas:</w:t>
      </w:r>
      <w:r w:rsidRPr="009A27ED">
        <w:rPr>
          <w:rFonts w:ascii="Times New Roman" w:eastAsia="Times New Roman" w:hAnsi="Times New Roman"/>
          <w:sz w:val="24"/>
          <w:szCs w:val="22"/>
        </w:rPr>
        <w:t xml:space="preserve"> </w:t>
      </w:r>
    </w:p>
    <w:p w14:paraId="1025F0D8" w14:textId="19D7A1C3" w:rsidR="00947670" w:rsidRPr="009A27ED" w:rsidRDefault="00947670" w:rsidP="00D42802">
      <w:pPr>
        <w:pStyle w:val="Number1"/>
        <w:numPr>
          <w:ilvl w:val="0"/>
          <w:numId w:val="81"/>
        </w:numPr>
        <w:spacing w:before="120" w:line="360" w:lineRule="auto"/>
      </w:pPr>
      <w:r w:rsidRPr="009A27ED">
        <w:rPr>
          <w:rFonts w:ascii="Times New Roman" w:eastAsiaTheme="minorEastAsia" w:hAnsi="Times New Roman"/>
          <w:sz w:val="24"/>
        </w:rPr>
        <w:t>Fortalecer el marco legal e institucional para la conservación del patrimonio natural</w:t>
      </w:r>
      <w:r w:rsidRPr="009A27ED">
        <w:rPr>
          <w:rFonts w:ascii="Times New Roman" w:eastAsiaTheme="minorEastAsia" w:hAnsi="Times New Roman"/>
          <w:color w:val="70AD47" w:themeColor="accent6"/>
          <w:sz w:val="24"/>
        </w:rPr>
        <w:t xml:space="preserve"> </w:t>
      </w:r>
      <w:r w:rsidRPr="009A27ED">
        <w:rPr>
          <w:rFonts w:ascii="Times New Roman" w:eastAsiaTheme="minorEastAsia" w:hAnsi="Times New Roman"/>
          <w:sz w:val="24"/>
        </w:rPr>
        <w:t>y el uso sostenible de los recursos naturales</w:t>
      </w:r>
      <w:r w:rsidR="00F51A27" w:rsidRPr="009A27ED">
        <w:rPr>
          <w:rFonts w:ascii="Times New Roman" w:eastAsiaTheme="minorEastAsia" w:hAnsi="Times New Roman"/>
          <w:sz w:val="24"/>
        </w:rPr>
        <w:t>,</w:t>
      </w:r>
      <w:r w:rsidRPr="009A27ED">
        <w:rPr>
          <w:rFonts w:ascii="Times New Roman" w:eastAsiaTheme="minorEastAsia" w:hAnsi="Times New Roman"/>
          <w:sz w:val="24"/>
        </w:rPr>
        <w:t xml:space="preserve"> </w:t>
      </w:r>
    </w:p>
    <w:p w14:paraId="1A953582" w14:textId="00656666" w:rsidR="00947670" w:rsidRPr="009A27ED" w:rsidRDefault="00947670" w:rsidP="00D42802">
      <w:pPr>
        <w:pStyle w:val="Number1"/>
        <w:numPr>
          <w:ilvl w:val="0"/>
          <w:numId w:val="81"/>
        </w:numPr>
        <w:spacing w:before="120" w:line="360" w:lineRule="auto"/>
      </w:pPr>
      <w:r w:rsidRPr="009A27ED">
        <w:rPr>
          <w:rFonts w:ascii="Times New Roman" w:eastAsiaTheme="minorEastAsia" w:hAnsi="Times New Roman"/>
          <w:sz w:val="24"/>
        </w:rPr>
        <w:t>Establecer, fortalecer y aplicar políticas públicas para limitar y/o contener la expansión de la frontera agrícola, ganadera y de infraestructura en áreas boscosas</w:t>
      </w:r>
      <w:r w:rsidR="00F51A27" w:rsidRPr="009A27ED">
        <w:rPr>
          <w:rFonts w:ascii="Times New Roman" w:eastAsiaTheme="minorEastAsia" w:hAnsi="Times New Roman"/>
          <w:sz w:val="24"/>
        </w:rPr>
        <w:t>,</w:t>
      </w:r>
      <w:r w:rsidRPr="009A27ED">
        <w:rPr>
          <w:rFonts w:ascii="Times New Roman" w:eastAsiaTheme="minorEastAsia" w:hAnsi="Times New Roman"/>
          <w:sz w:val="24"/>
        </w:rPr>
        <w:t xml:space="preserve"> </w:t>
      </w:r>
    </w:p>
    <w:p w14:paraId="6932880D" w14:textId="605CC402" w:rsidR="00947670" w:rsidRPr="009A27ED" w:rsidRDefault="00947670" w:rsidP="00D42802">
      <w:pPr>
        <w:pStyle w:val="Number1"/>
        <w:numPr>
          <w:ilvl w:val="0"/>
          <w:numId w:val="81"/>
        </w:numPr>
        <w:spacing w:before="120" w:after="100" w:afterAutospacing="1" w:line="360" w:lineRule="auto"/>
        <w:rPr>
          <w:rFonts w:eastAsiaTheme="minorEastAsia"/>
        </w:rPr>
      </w:pPr>
      <w:r w:rsidRPr="009A27ED">
        <w:rPr>
          <w:rFonts w:ascii="Times New Roman" w:eastAsiaTheme="minorEastAsia" w:hAnsi="Times New Roman"/>
          <w:sz w:val="24"/>
        </w:rPr>
        <w:t>Promover modelos de gestión de recursos naturales que contribuyan a la conservación y uso sostenible de los bosques y el aumento de la cobertura boscosa.</w:t>
      </w:r>
    </w:p>
    <w:p w14:paraId="529A5408" w14:textId="77777777" w:rsidR="00947670" w:rsidRPr="009A27ED" w:rsidRDefault="00947670" w:rsidP="00A25505">
      <w:pPr>
        <w:pStyle w:val="Ttulo3"/>
        <w:spacing w:line="360" w:lineRule="auto"/>
        <w:jc w:val="both"/>
        <w:rPr>
          <w:b w:val="0"/>
        </w:rPr>
      </w:pPr>
      <w:bookmarkStart w:id="57" w:name="_Toc496025364"/>
      <w:bookmarkStart w:id="58" w:name="_Toc496025454"/>
      <w:bookmarkStart w:id="59" w:name="_Toc529469982"/>
      <w:r w:rsidRPr="009A27ED">
        <w:rPr>
          <w:rFonts w:ascii="Times New Roman" w:eastAsia="Times New Roman" w:hAnsi="Times New Roman"/>
          <w:b w:val="0"/>
          <w:sz w:val="24"/>
        </w:rPr>
        <w:lastRenderedPageBreak/>
        <w:t xml:space="preserve"> </w:t>
      </w:r>
      <w:bookmarkStart w:id="60" w:name="_Toc530931922"/>
      <w:bookmarkStart w:id="61" w:name="_Toc530933069"/>
      <w:bookmarkStart w:id="62" w:name="_Toc532335741"/>
      <w:bookmarkStart w:id="63" w:name="_Toc532335843"/>
      <w:bookmarkStart w:id="64" w:name="_Toc111837914"/>
      <w:r w:rsidRPr="009A27ED">
        <w:rPr>
          <w:rFonts w:ascii="Times New Roman" w:eastAsia="Times New Roman" w:hAnsi="Times New Roman"/>
          <w:b w:val="0"/>
          <w:sz w:val="24"/>
        </w:rPr>
        <w:t xml:space="preserve">Metodología empleada en la elaboración del </w:t>
      </w:r>
      <w:bookmarkEnd w:id="57"/>
      <w:bookmarkEnd w:id="58"/>
      <w:r w:rsidRPr="009A27ED">
        <w:rPr>
          <w:rFonts w:ascii="Times New Roman" w:eastAsia="Times New Roman" w:hAnsi="Times New Roman"/>
          <w:b w:val="0"/>
          <w:sz w:val="24"/>
        </w:rPr>
        <w:t>MGAS</w:t>
      </w:r>
      <w:bookmarkEnd w:id="59"/>
      <w:bookmarkEnd w:id="60"/>
      <w:bookmarkEnd w:id="61"/>
      <w:bookmarkEnd w:id="62"/>
      <w:bookmarkEnd w:id="63"/>
      <w:bookmarkEnd w:id="64"/>
    </w:p>
    <w:p w14:paraId="059693AC" w14:textId="18A782A3" w:rsidR="00947670" w:rsidRPr="009A27ED" w:rsidRDefault="00947670" w:rsidP="005B6485">
      <w:pPr>
        <w:spacing w:before="120" w:after="0" w:line="360" w:lineRule="auto"/>
        <w:rPr>
          <w:color w:val="000000" w:themeColor="text1"/>
          <w:szCs w:val="22"/>
        </w:rPr>
      </w:pPr>
      <w:r w:rsidRPr="009A27ED">
        <w:rPr>
          <w:rFonts w:ascii="Times New Roman" w:eastAsia="Times New Roman" w:hAnsi="Times New Roman"/>
          <w:sz w:val="24"/>
          <w:szCs w:val="22"/>
        </w:rPr>
        <w:t>El desarrollo del presente MGAS se basó en los resultados del proceso (SESA)</w:t>
      </w:r>
      <w:r w:rsidRPr="009A27ED">
        <w:rPr>
          <w:rFonts w:ascii="Times New Roman" w:eastAsia="Times New Roman" w:hAnsi="Times New Roman"/>
          <w:sz w:val="24"/>
          <w:szCs w:val="22"/>
          <w:vertAlign w:val="superscript"/>
        </w:rPr>
        <w:footnoteReference w:id="15"/>
      </w:r>
      <w:r w:rsidRPr="009A27ED">
        <w:rPr>
          <w:rFonts w:ascii="Times New Roman" w:eastAsia="Times New Roman" w:hAnsi="Times New Roman"/>
          <w:sz w:val="24"/>
          <w:szCs w:val="22"/>
        </w:rPr>
        <w:t xml:space="preserve"> implementado entre mayo y agosto 2018, durante la cual se llevó a cabo la identificación, y priorización de los posibles </w:t>
      </w:r>
      <w:r w:rsidR="009B38ED" w:rsidRPr="009A27ED">
        <w:rPr>
          <w:rFonts w:ascii="Times New Roman" w:eastAsia="Times New Roman" w:hAnsi="Times New Roman"/>
          <w:sz w:val="24"/>
          <w:szCs w:val="22"/>
        </w:rPr>
        <w:t>riesgos e impactos</w:t>
      </w:r>
      <w:r w:rsidR="009075E5" w:rsidRPr="009A27ED">
        <w:rPr>
          <w:rFonts w:ascii="Times New Roman" w:eastAsia="Times New Roman" w:hAnsi="Times New Roman"/>
          <w:sz w:val="24"/>
          <w:szCs w:val="22"/>
        </w:rPr>
        <w:t xml:space="preserve"> </w:t>
      </w:r>
      <w:r w:rsidRPr="009A27ED">
        <w:rPr>
          <w:rFonts w:ascii="Times New Roman" w:eastAsia="Times New Roman" w:hAnsi="Times New Roman"/>
          <w:sz w:val="24"/>
          <w:szCs w:val="22"/>
        </w:rPr>
        <w:t>(adversos y positivos) que pudieran surgir como consecuencia de la implementación de las Opciones y Acciones Estratégicas de la EN-REDD+.</w:t>
      </w:r>
      <w:r w:rsidRPr="009A27ED">
        <w:rPr>
          <w:rStyle w:val="Refdenotaalpie"/>
          <w:rFonts w:asciiTheme="minorHAnsi" w:eastAsia="Times New Roman" w:hAnsiTheme="minorHAnsi"/>
          <w:color w:val="000000" w:themeColor="text1"/>
          <w:sz w:val="24"/>
          <w:szCs w:val="22"/>
        </w:rPr>
        <w:footnoteReference w:id="16"/>
      </w:r>
    </w:p>
    <w:p w14:paraId="7CABDC03" w14:textId="77777777" w:rsidR="00947670" w:rsidRPr="009A27ED" w:rsidRDefault="00947670" w:rsidP="005B6485">
      <w:pPr>
        <w:spacing w:before="120" w:after="0" w:line="360" w:lineRule="auto"/>
        <w:rPr>
          <w:szCs w:val="22"/>
        </w:rPr>
      </w:pPr>
      <w:r w:rsidRPr="009A27ED">
        <w:rPr>
          <w:rFonts w:ascii="Times New Roman" w:eastAsia="Times New Roman" w:hAnsi="Times New Roman"/>
          <w:sz w:val="24"/>
          <w:szCs w:val="22"/>
        </w:rPr>
        <w:t>Para tal efecto se realizaron los siguientes análisis:</w:t>
      </w:r>
    </w:p>
    <w:p w14:paraId="68245793" w14:textId="4D15FF24" w:rsidR="00947670" w:rsidRPr="009A27ED" w:rsidRDefault="00947670" w:rsidP="00D42802">
      <w:pPr>
        <w:pStyle w:val="Aparrafopunteo"/>
        <w:numPr>
          <w:ilvl w:val="0"/>
          <w:numId w:val="44"/>
        </w:numPr>
        <w:spacing w:line="360" w:lineRule="auto"/>
        <w:rPr>
          <w:szCs w:val="22"/>
        </w:rPr>
      </w:pPr>
      <w:r w:rsidRPr="009A27ED">
        <w:rPr>
          <w:rFonts w:ascii="Times New Roman" w:eastAsia="Times New Roman" w:hAnsi="Times New Roman"/>
          <w:sz w:val="24"/>
          <w:szCs w:val="22"/>
        </w:rPr>
        <w:t>Definición y priorización de las principales causas de la deforestación y degradación de los bosques en la República Dominicana, a fin de definir las intervenciones REDD+ adecuadas para el país</w:t>
      </w:r>
      <w:r w:rsidR="00F51A27" w:rsidRPr="009A27ED">
        <w:rPr>
          <w:rFonts w:ascii="Times New Roman" w:eastAsia="Times New Roman" w:hAnsi="Times New Roman"/>
          <w:sz w:val="24"/>
          <w:szCs w:val="22"/>
        </w:rPr>
        <w:t>,</w:t>
      </w:r>
      <w:r w:rsidRPr="009A27ED">
        <w:rPr>
          <w:rStyle w:val="Refdenotaalpie"/>
          <w:rFonts w:asciiTheme="minorHAnsi" w:eastAsia="Times New Roman" w:hAnsiTheme="minorHAnsi"/>
          <w:sz w:val="24"/>
          <w:szCs w:val="22"/>
        </w:rPr>
        <w:footnoteReference w:id="17"/>
      </w:r>
      <w:r w:rsidRPr="009A27ED">
        <w:rPr>
          <w:rFonts w:ascii="Times New Roman" w:eastAsia="Times New Roman" w:hAnsi="Times New Roman"/>
          <w:sz w:val="24"/>
          <w:szCs w:val="22"/>
        </w:rPr>
        <w:t xml:space="preserve"> </w:t>
      </w:r>
    </w:p>
    <w:p w14:paraId="55407F3D" w14:textId="5FE9E8BC" w:rsidR="00947670" w:rsidRPr="009A27ED" w:rsidRDefault="00947670" w:rsidP="00D42802">
      <w:pPr>
        <w:pStyle w:val="Aparrafopunteo"/>
        <w:numPr>
          <w:ilvl w:val="0"/>
          <w:numId w:val="44"/>
        </w:numPr>
        <w:spacing w:line="360" w:lineRule="auto"/>
        <w:rPr>
          <w:szCs w:val="22"/>
        </w:rPr>
      </w:pPr>
      <w:r w:rsidRPr="009A27ED">
        <w:rPr>
          <w:rFonts w:ascii="Times New Roman" w:eastAsia="Times New Roman" w:hAnsi="Times New Roman"/>
          <w:sz w:val="24"/>
          <w:szCs w:val="22"/>
        </w:rPr>
        <w:t>Definici</w:t>
      </w:r>
      <w:r w:rsidRPr="009A27ED">
        <w:rPr>
          <w:rFonts w:ascii="Times New Roman" w:eastAsia="Times New Roman" w:hAnsi="Times New Roman"/>
          <w:color w:val="000000"/>
          <w:sz w:val="24"/>
          <w:szCs w:val="22"/>
        </w:rPr>
        <w:t>ó</w:t>
      </w:r>
      <w:r w:rsidRPr="009A27ED">
        <w:rPr>
          <w:rFonts w:ascii="Times New Roman" w:eastAsia="Times New Roman" w:hAnsi="Times New Roman"/>
          <w:sz w:val="24"/>
          <w:szCs w:val="22"/>
        </w:rPr>
        <w:t>n de las opciones y acciones estratégicas REDD+</w:t>
      </w:r>
      <w:r w:rsidR="00F51A27" w:rsidRPr="009A27ED">
        <w:rPr>
          <w:rFonts w:ascii="Times New Roman" w:eastAsia="Times New Roman" w:hAnsi="Times New Roman"/>
          <w:sz w:val="24"/>
          <w:szCs w:val="22"/>
        </w:rPr>
        <w:t>,</w:t>
      </w:r>
      <w:r w:rsidRPr="009A27ED">
        <w:rPr>
          <w:rStyle w:val="Refdenotaalpie"/>
          <w:rFonts w:asciiTheme="minorHAnsi" w:eastAsia="Times New Roman" w:hAnsiTheme="minorHAnsi"/>
          <w:sz w:val="24"/>
          <w:szCs w:val="22"/>
        </w:rPr>
        <w:footnoteReference w:id="18"/>
      </w:r>
      <w:r w:rsidRPr="009A27ED">
        <w:rPr>
          <w:rFonts w:ascii="Times New Roman" w:eastAsia="Times New Roman" w:hAnsi="Times New Roman"/>
          <w:sz w:val="24"/>
          <w:szCs w:val="22"/>
        </w:rPr>
        <w:t xml:space="preserve"> </w:t>
      </w:r>
    </w:p>
    <w:p w14:paraId="265E2306" w14:textId="2B9268A9" w:rsidR="00947670" w:rsidRPr="009A27ED" w:rsidRDefault="00947670" w:rsidP="00D42802">
      <w:pPr>
        <w:pStyle w:val="Aparrafopunteo"/>
        <w:numPr>
          <w:ilvl w:val="0"/>
          <w:numId w:val="44"/>
        </w:numPr>
        <w:spacing w:line="360" w:lineRule="auto"/>
        <w:rPr>
          <w:szCs w:val="22"/>
        </w:rPr>
      </w:pPr>
      <w:r w:rsidRPr="009A27ED">
        <w:rPr>
          <w:rFonts w:ascii="Times New Roman" w:eastAsia="Times New Roman" w:hAnsi="Times New Roman"/>
          <w:sz w:val="24"/>
          <w:szCs w:val="22"/>
        </w:rPr>
        <w:t>Análisis del marco legal de República Dominicana vigente, e identificación de brechas con relación a las Políticas Operativas del BM y salvaguardas de la CMNUCC</w:t>
      </w:r>
      <w:r w:rsidR="00F51A27" w:rsidRPr="009A27ED">
        <w:rPr>
          <w:rFonts w:ascii="Times New Roman" w:eastAsia="Times New Roman" w:hAnsi="Times New Roman"/>
          <w:sz w:val="24"/>
          <w:szCs w:val="22"/>
        </w:rPr>
        <w:t>,</w:t>
      </w:r>
      <w:r w:rsidRPr="009A27ED">
        <w:rPr>
          <w:rStyle w:val="Refdenotaalpie"/>
          <w:rFonts w:asciiTheme="minorHAnsi" w:eastAsia="Times New Roman" w:hAnsiTheme="minorHAnsi"/>
          <w:sz w:val="24"/>
          <w:szCs w:val="22"/>
        </w:rPr>
        <w:footnoteReference w:id="19"/>
      </w:r>
    </w:p>
    <w:p w14:paraId="04726B2F" w14:textId="2AC5F89B" w:rsidR="00947670" w:rsidRPr="009A27ED" w:rsidRDefault="00947670" w:rsidP="00D42802">
      <w:pPr>
        <w:pStyle w:val="Aparrafopunteo"/>
        <w:numPr>
          <w:ilvl w:val="0"/>
          <w:numId w:val="44"/>
        </w:numPr>
        <w:spacing w:line="360" w:lineRule="auto"/>
        <w:rPr>
          <w:szCs w:val="22"/>
        </w:rPr>
      </w:pPr>
      <w:r w:rsidRPr="009A27ED">
        <w:rPr>
          <w:rFonts w:ascii="Times New Roman" w:eastAsia="Times New Roman" w:hAnsi="Times New Roman"/>
          <w:sz w:val="24"/>
          <w:szCs w:val="22"/>
        </w:rPr>
        <w:t>Mecanismos de quejas existentes en el país</w:t>
      </w:r>
      <w:r w:rsidR="00F51A27" w:rsidRPr="009A27ED">
        <w:rPr>
          <w:rFonts w:ascii="Times New Roman" w:eastAsia="Times New Roman" w:hAnsi="Times New Roman"/>
          <w:sz w:val="24"/>
          <w:szCs w:val="22"/>
        </w:rPr>
        <w:t>,</w:t>
      </w:r>
    </w:p>
    <w:p w14:paraId="3486A0EC" w14:textId="10B5CA47" w:rsidR="00947670" w:rsidRPr="009A27ED" w:rsidRDefault="00947670" w:rsidP="00D42802">
      <w:pPr>
        <w:pStyle w:val="Aparrafopunteo"/>
        <w:numPr>
          <w:ilvl w:val="0"/>
          <w:numId w:val="44"/>
        </w:numPr>
        <w:spacing w:line="360" w:lineRule="auto"/>
        <w:rPr>
          <w:szCs w:val="22"/>
        </w:rPr>
      </w:pPr>
      <w:r w:rsidRPr="009A27ED">
        <w:rPr>
          <w:rFonts w:ascii="Times New Roman" w:eastAsia="Times New Roman" w:hAnsi="Times New Roman"/>
          <w:sz w:val="24"/>
          <w:szCs w:val="22"/>
        </w:rPr>
        <w:t>Mecanismos de monitoreo y seguimiento sobre temas ambientales y sociales, existentes en el país</w:t>
      </w:r>
      <w:r w:rsidR="00F51A27" w:rsidRPr="009A27ED">
        <w:rPr>
          <w:rFonts w:ascii="Times New Roman" w:eastAsia="Times New Roman" w:hAnsi="Times New Roman"/>
          <w:sz w:val="24"/>
          <w:szCs w:val="22"/>
        </w:rPr>
        <w:t>,</w:t>
      </w:r>
    </w:p>
    <w:p w14:paraId="2BD85614" w14:textId="17740211" w:rsidR="00947670" w:rsidRPr="009A27ED" w:rsidRDefault="00947670" w:rsidP="00D42802">
      <w:pPr>
        <w:pStyle w:val="Aparrafopunteo"/>
        <w:numPr>
          <w:ilvl w:val="0"/>
          <w:numId w:val="44"/>
        </w:numPr>
        <w:spacing w:line="360" w:lineRule="auto"/>
        <w:rPr>
          <w:szCs w:val="22"/>
        </w:rPr>
      </w:pPr>
      <w:r w:rsidRPr="009A27ED">
        <w:rPr>
          <w:rFonts w:ascii="Times New Roman" w:eastAsia="Times New Roman" w:hAnsi="Times New Roman"/>
          <w:sz w:val="24"/>
          <w:szCs w:val="22"/>
        </w:rPr>
        <w:t>Definición y análisis de los Programas Nacionales existentes, relacionados con REDD+</w:t>
      </w:r>
      <w:r w:rsidR="00F51A27" w:rsidRPr="009A27ED">
        <w:rPr>
          <w:rFonts w:ascii="Times New Roman" w:eastAsia="Times New Roman" w:hAnsi="Times New Roman"/>
          <w:sz w:val="24"/>
          <w:szCs w:val="22"/>
        </w:rPr>
        <w:t>.</w:t>
      </w:r>
    </w:p>
    <w:p w14:paraId="1385907B" w14:textId="4B2BDD3D" w:rsidR="00947670" w:rsidRPr="009A27ED" w:rsidRDefault="00695D69" w:rsidP="005B6485">
      <w:pPr>
        <w:spacing w:before="120" w:after="0" w:line="360" w:lineRule="auto"/>
        <w:rPr>
          <w:color w:val="000000" w:themeColor="text1"/>
          <w:szCs w:val="22"/>
        </w:rPr>
      </w:pPr>
      <w:r w:rsidRPr="009A27ED">
        <w:rPr>
          <w:rFonts w:ascii="Times New Roman" w:eastAsia="Times New Roman" w:hAnsi="Times New Roman"/>
          <w:sz w:val="24"/>
          <w:szCs w:val="22"/>
        </w:rPr>
        <w:t>E</w:t>
      </w:r>
      <w:r w:rsidR="00947670" w:rsidRPr="009A27ED">
        <w:rPr>
          <w:rFonts w:ascii="Times New Roman" w:eastAsia="Times New Roman" w:hAnsi="Times New Roman"/>
          <w:sz w:val="24"/>
          <w:szCs w:val="22"/>
        </w:rPr>
        <w:t>l MGAS ha sido desarrollado de acuerdo con las directrices del FCPF</w:t>
      </w:r>
      <w:r w:rsidR="00947670" w:rsidRPr="009A27ED">
        <w:rPr>
          <w:rStyle w:val="Refdenotaalpie"/>
          <w:rFonts w:asciiTheme="minorHAnsi" w:eastAsia="Times New Roman" w:hAnsiTheme="minorHAnsi"/>
          <w:sz w:val="24"/>
          <w:szCs w:val="22"/>
        </w:rPr>
        <w:footnoteReference w:id="20"/>
      </w:r>
      <w:r w:rsidR="00947670" w:rsidRPr="009A27ED">
        <w:rPr>
          <w:rFonts w:ascii="Times New Roman" w:eastAsia="Times New Roman" w:hAnsi="Times New Roman"/>
          <w:sz w:val="24"/>
          <w:szCs w:val="22"/>
        </w:rPr>
        <w:t xml:space="preserve"> y los requerimientos del país. Al final de su construcción el MGAS </w:t>
      </w:r>
      <w:r w:rsidR="00F51A27" w:rsidRPr="009A27ED">
        <w:rPr>
          <w:rFonts w:ascii="Times New Roman" w:eastAsia="Times New Roman" w:hAnsi="Times New Roman"/>
          <w:sz w:val="24"/>
          <w:szCs w:val="22"/>
        </w:rPr>
        <w:t>fue</w:t>
      </w:r>
      <w:r w:rsidR="00947670" w:rsidRPr="009A27ED">
        <w:rPr>
          <w:rFonts w:ascii="Times New Roman" w:eastAsia="Times New Roman" w:hAnsi="Times New Roman"/>
          <w:sz w:val="24"/>
          <w:szCs w:val="22"/>
        </w:rPr>
        <w:t xml:space="preserve"> presentado </w:t>
      </w:r>
      <w:r w:rsidR="00F51A27" w:rsidRPr="009A27ED">
        <w:rPr>
          <w:rFonts w:ascii="Times New Roman" w:eastAsia="Times New Roman" w:hAnsi="Times New Roman"/>
          <w:sz w:val="24"/>
          <w:szCs w:val="22"/>
        </w:rPr>
        <w:t>y validado</w:t>
      </w:r>
      <w:r w:rsidR="00947670" w:rsidRPr="009A27ED">
        <w:rPr>
          <w:rFonts w:ascii="Times New Roman" w:eastAsia="Times New Roman" w:hAnsi="Times New Roman"/>
          <w:sz w:val="24"/>
          <w:szCs w:val="22"/>
        </w:rPr>
        <w:t xml:space="preserve"> en un taller nacional</w:t>
      </w:r>
      <w:r w:rsidR="002F4E1B" w:rsidRPr="009A27ED">
        <w:rPr>
          <w:rFonts w:ascii="Times New Roman" w:eastAsia="Times New Roman" w:hAnsi="Times New Roman"/>
          <w:sz w:val="24"/>
          <w:szCs w:val="22"/>
        </w:rPr>
        <w:t xml:space="preserve"> (mayo 2019)</w:t>
      </w:r>
      <w:r w:rsidR="00947670" w:rsidRPr="009A27ED">
        <w:rPr>
          <w:rFonts w:ascii="Times New Roman" w:eastAsia="Times New Roman" w:hAnsi="Times New Roman"/>
          <w:sz w:val="24"/>
          <w:szCs w:val="22"/>
        </w:rPr>
        <w:t xml:space="preserve">, y se </w:t>
      </w:r>
      <w:r w:rsidR="00F51A27" w:rsidRPr="009A27ED">
        <w:rPr>
          <w:rFonts w:ascii="Times New Roman" w:eastAsia="Times New Roman" w:hAnsi="Times New Roman"/>
          <w:sz w:val="24"/>
          <w:szCs w:val="22"/>
        </w:rPr>
        <w:t>pudo</w:t>
      </w:r>
      <w:r w:rsidR="00947670" w:rsidRPr="009A27ED">
        <w:rPr>
          <w:rFonts w:ascii="Times New Roman" w:eastAsia="Times New Roman" w:hAnsi="Times New Roman"/>
          <w:sz w:val="24"/>
          <w:szCs w:val="22"/>
        </w:rPr>
        <w:t xml:space="preserve"> obtener una retroalimentación a los procedimientos propuestos en los talleres del proceso SESA por los participantes. Después de este taller se integrar</w:t>
      </w:r>
      <w:r w:rsidR="00CB3FEF" w:rsidRPr="009A27ED">
        <w:rPr>
          <w:rFonts w:ascii="Times New Roman" w:eastAsia="Times New Roman" w:hAnsi="Times New Roman"/>
          <w:sz w:val="24"/>
          <w:szCs w:val="22"/>
        </w:rPr>
        <w:t>on</w:t>
      </w:r>
      <w:r w:rsidR="00947670" w:rsidRPr="009A27ED">
        <w:rPr>
          <w:rFonts w:ascii="Times New Roman" w:eastAsia="Times New Roman" w:hAnsi="Times New Roman"/>
          <w:sz w:val="24"/>
          <w:szCs w:val="22"/>
        </w:rPr>
        <w:t xml:space="preserve"> los insumos y </w:t>
      </w:r>
      <w:r w:rsidR="002F4E1B" w:rsidRPr="009A27ED">
        <w:rPr>
          <w:rFonts w:ascii="Times New Roman" w:eastAsia="Times New Roman" w:hAnsi="Times New Roman"/>
          <w:sz w:val="24"/>
          <w:szCs w:val="22"/>
        </w:rPr>
        <w:t xml:space="preserve">la </w:t>
      </w:r>
      <w:r w:rsidR="00947670" w:rsidRPr="009A27ED">
        <w:rPr>
          <w:rFonts w:ascii="Times New Roman" w:eastAsia="Times New Roman" w:hAnsi="Times New Roman"/>
          <w:sz w:val="24"/>
          <w:szCs w:val="22"/>
        </w:rPr>
        <w:t xml:space="preserve">retroalimentación de actores nacionales a fin de entregar un documento final MGAS </w:t>
      </w:r>
      <w:r w:rsidR="0071197E" w:rsidRPr="009A27ED">
        <w:rPr>
          <w:rFonts w:ascii="Times New Roman" w:eastAsia="Times New Roman" w:hAnsi="Times New Roman"/>
          <w:sz w:val="24"/>
          <w:szCs w:val="22"/>
        </w:rPr>
        <w:t xml:space="preserve">durante el </w:t>
      </w:r>
      <w:r w:rsidR="002F4E1B" w:rsidRPr="009A27ED">
        <w:rPr>
          <w:rFonts w:ascii="Times New Roman" w:eastAsia="Times New Roman" w:hAnsi="Times New Roman"/>
          <w:sz w:val="24"/>
          <w:szCs w:val="22"/>
        </w:rPr>
        <w:t xml:space="preserve">segundo </w:t>
      </w:r>
      <w:r w:rsidR="0071197E" w:rsidRPr="009A27ED">
        <w:rPr>
          <w:rFonts w:ascii="Times New Roman" w:eastAsia="Times New Roman" w:hAnsi="Times New Roman"/>
          <w:sz w:val="24"/>
          <w:szCs w:val="22"/>
        </w:rPr>
        <w:t>semestre del</w:t>
      </w:r>
      <w:r w:rsidR="00947670" w:rsidRPr="009A27ED">
        <w:rPr>
          <w:rFonts w:ascii="Times New Roman" w:eastAsia="Times New Roman" w:hAnsi="Times New Roman"/>
          <w:sz w:val="24"/>
          <w:szCs w:val="22"/>
        </w:rPr>
        <w:t xml:space="preserve"> 2019. Se hace notar que, en el marco de la </w:t>
      </w:r>
      <w:r w:rsidR="00947670" w:rsidRPr="009A27ED">
        <w:rPr>
          <w:rFonts w:ascii="Times New Roman" w:eastAsia="Times New Roman" w:hAnsi="Times New Roman"/>
          <w:sz w:val="24"/>
          <w:szCs w:val="22"/>
        </w:rPr>
        <w:lastRenderedPageBreak/>
        <w:t xml:space="preserve">elaboración de la SESA se desarrollaron talleres de consulta y participación con actores y sectores claves, como resultado se obtuvieron los insumos para diseñar este </w:t>
      </w:r>
      <w:r w:rsidR="00B37F7C" w:rsidRPr="009A27ED">
        <w:rPr>
          <w:rFonts w:ascii="Times New Roman" w:eastAsia="Times New Roman" w:hAnsi="Times New Roman"/>
          <w:sz w:val="24"/>
          <w:szCs w:val="22"/>
        </w:rPr>
        <w:t>marco de gestión</w:t>
      </w:r>
      <w:r w:rsidR="00947670" w:rsidRPr="009A27ED">
        <w:rPr>
          <w:rFonts w:ascii="Times New Roman" w:eastAsia="Times New Roman" w:hAnsi="Times New Roman"/>
          <w:sz w:val="24"/>
          <w:szCs w:val="22"/>
        </w:rPr>
        <w:t>.</w:t>
      </w:r>
      <w:r w:rsidR="00947670" w:rsidRPr="009A27ED">
        <w:rPr>
          <w:rFonts w:ascii="Times New Roman" w:eastAsia="Times New Roman" w:hAnsi="Times New Roman"/>
          <w:sz w:val="24"/>
        </w:rPr>
        <w:t xml:space="preserve"> </w:t>
      </w:r>
      <w:r w:rsidR="006F2A27" w:rsidRPr="009A27ED">
        <w:rPr>
          <w:rFonts w:ascii="Times New Roman" w:eastAsia="Times New Roman" w:hAnsi="Times New Roman"/>
          <w:sz w:val="24"/>
          <w:szCs w:val="22"/>
        </w:rPr>
        <w:t>Durante el mes de junio 2019, la UTG desarrolló un taller de capacitación a las Entidades Ejecutoras REDD+ el cual incluyó una temática intensiva para comprender el compromiso de implementar REDD+ en República Dominicana, las Entidades Ejecutoras pudieron comprender el alcance y el compromiso adquirido para realizar acciones que contribuyan a la reducción de las emisiones provocadas por la deforestación y degradación de los bosques, asociado a los ecosistemas, las áreas priorizadas REDD+ y los medios de vida de los actores involucrados.</w:t>
      </w:r>
    </w:p>
    <w:p w14:paraId="3A07AC24" w14:textId="52DF4D46" w:rsidR="00B01F9C" w:rsidRPr="009A27ED" w:rsidRDefault="00947670" w:rsidP="00E371C1">
      <w:pPr>
        <w:pStyle w:val="Ttulo1"/>
        <w:spacing w:line="360" w:lineRule="auto"/>
        <w:ind w:left="426"/>
        <w:jc w:val="both"/>
      </w:pPr>
      <w:bookmarkStart w:id="65" w:name="_Toc529469983"/>
      <w:bookmarkStart w:id="66" w:name="_Toc532335844"/>
      <w:bookmarkStart w:id="67" w:name="_Toc111837915"/>
      <w:r w:rsidRPr="009A27ED">
        <w:rPr>
          <w:rFonts w:ascii="Times New Roman" w:eastAsia="Times New Roman" w:hAnsi="Times New Roman"/>
          <w:sz w:val="24"/>
        </w:rPr>
        <w:t>Descripción de las causa</w:t>
      </w:r>
      <w:r w:rsidR="002F4E1B" w:rsidRPr="009A27ED">
        <w:rPr>
          <w:rFonts w:ascii="Times New Roman" w:eastAsia="Times New Roman" w:hAnsi="Times New Roman"/>
          <w:sz w:val="24"/>
        </w:rPr>
        <w:t>s</w:t>
      </w:r>
      <w:r w:rsidRPr="009A27ED">
        <w:rPr>
          <w:rFonts w:ascii="Times New Roman" w:eastAsia="Times New Roman" w:hAnsi="Times New Roman"/>
          <w:sz w:val="24"/>
        </w:rPr>
        <w:t xml:space="preserve"> de deforestación y degradación en República Dominicana, opciones y acciones estratégicas REDD+</w:t>
      </w:r>
      <w:bookmarkEnd w:id="65"/>
      <w:bookmarkEnd w:id="66"/>
      <w:bookmarkEnd w:id="67"/>
    </w:p>
    <w:p w14:paraId="70BE0659" w14:textId="6CA6FCE3" w:rsidR="00947670" w:rsidRPr="009A27ED" w:rsidRDefault="00947670" w:rsidP="00597B6E">
      <w:pPr>
        <w:pStyle w:val="Ttulo2"/>
        <w:spacing w:line="360" w:lineRule="auto"/>
        <w:ind w:left="567"/>
        <w:jc w:val="both"/>
        <w:rPr>
          <w:sz w:val="24"/>
        </w:rPr>
      </w:pPr>
      <w:bookmarkStart w:id="68" w:name="_Toc529469984"/>
      <w:bookmarkStart w:id="69" w:name="_Toc532335845"/>
      <w:bookmarkStart w:id="70" w:name="_Toc111837916"/>
      <w:r w:rsidRPr="009A27ED">
        <w:rPr>
          <w:rFonts w:ascii="Times New Roman" w:eastAsia="Times New Roman" w:hAnsi="Times New Roman"/>
          <w:sz w:val="24"/>
        </w:rPr>
        <w:t>Causa</w:t>
      </w:r>
      <w:r w:rsidR="002F4E1B" w:rsidRPr="009A27ED">
        <w:rPr>
          <w:rFonts w:ascii="Times New Roman" w:eastAsia="Times New Roman" w:hAnsi="Times New Roman"/>
          <w:sz w:val="24"/>
        </w:rPr>
        <w:t>s</w:t>
      </w:r>
      <w:r w:rsidRPr="009A27ED">
        <w:rPr>
          <w:rFonts w:ascii="Times New Roman" w:eastAsia="Times New Roman" w:hAnsi="Times New Roman"/>
          <w:sz w:val="24"/>
        </w:rPr>
        <w:t xml:space="preserve"> de </w:t>
      </w:r>
      <w:r w:rsidR="003214A6" w:rsidRPr="009A27ED">
        <w:rPr>
          <w:rFonts w:ascii="Times New Roman" w:eastAsia="Times New Roman" w:hAnsi="Times New Roman"/>
          <w:sz w:val="24"/>
        </w:rPr>
        <w:t xml:space="preserve">la </w:t>
      </w:r>
      <w:r w:rsidR="002F4E1B" w:rsidRPr="009A27ED">
        <w:rPr>
          <w:rFonts w:ascii="Times New Roman" w:eastAsia="Times New Roman" w:hAnsi="Times New Roman"/>
          <w:sz w:val="24"/>
        </w:rPr>
        <w:t xml:space="preserve">deforestación </w:t>
      </w:r>
      <w:r w:rsidRPr="009A27ED">
        <w:rPr>
          <w:rFonts w:ascii="Times New Roman" w:eastAsia="Times New Roman" w:hAnsi="Times New Roman"/>
          <w:sz w:val="24"/>
        </w:rPr>
        <w:t xml:space="preserve">y </w:t>
      </w:r>
      <w:r w:rsidR="002F4E1B" w:rsidRPr="009A27ED">
        <w:rPr>
          <w:rFonts w:ascii="Times New Roman" w:eastAsia="Times New Roman" w:hAnsi="Times New Roman"/>
          <w:sz w:val="24"/>
        </w:rPr>
        <w:t xml:space="preserve">degradación </w:t>
      </w:r>
      <w:r w:rsidRPr="009A27ED">
        <w:rPr>
          <w:rFonts w:ascii="Times New Roman" w:eastAsia="Times New Roman" w:hAnsi="Times New Roman"/>
          <w:sz w:val="24"/>
        </w:rPr>
        <w:t>en República Dominicana</w:t>
      </w:r>
      <w:bookmarkEnd w:id="68"/>
      <w:bookmarkEnd w:id="69"/>
      <w:bookmarkEnd w:id="70"/>
    </w:p>
    <w:p w14:paraId="450679BF" w14:textId="7EDC504A" w:rsidR="00947670" w:rsidRPr="009A27ED" w:rsidRDefault="00947670" w:rsidP="005B6485">
      <w:pPr>
        <w:spacing w:before="120" w:after="0" w:line="360" w:lineRule="auto"/>
        <w:rPr>
          <w:noProof/>
          <w:szCs w:val="22"/>
          <w:lang w:eastAsia="es-ES"/>
        </w:rPr>
      </w:pPr>
      <w:r w:rsidRPr="009A27ED">
        <w:rPr>
          <w:rFonts w:ascii="Times New Roman" w:eastAsia="Times New Roman" w:hAnsi="Times New Roman"/>
          <w:noProof/>
          <w:sz w:val="24"/>
          <w:szCs w:val="22"/>
          <w:lang w:eastAsia="es-ES"/>
        </w:rPr>
        <w:t>República Dominicana identific</w:t>
      </w:r>
      <w:r w:rsidR="002F4E1B" w:rsidRPr="009A27ED">
        <w:rPr>
          <w:rFonts w:ascii="Times New Roman" w:eastAsia="Times New Roman" w:hAnsi="Times New Roman"/>
          <w:noProof/>
          <w:sz w:val="24"/>
          <w:szCs w:val="22"/>
          <w:lang w:eastAsia="es-ES"/>
        </w:rPr>
        <w:t>ó</w:t>
      </w:r>
      <w:r w:rsidRPr="009A27ED">
        <w:rPr>
          <w:rFonts w:ascii="Times New Roman" w:eastAsia="Times New Roman" w:hAnsi="Times New Roman"/>
          <w:noProof/>
          <w:sz w:val="24"/>
          <w:szCs w:val="22"/>
          <w:lang w:eastAsia="es-ES"/>
        </w:rPr>
        <w:t xml:space="preserve"> las principales causas de deforestación y degradación de sus bosques  y </w:t>
      </w:r>
      <w:r w:rsidR="000E4731" w:rsidRPr="009A27ED">
        <w:rPr>
          <w:rFonts w:ascii="Times New Roman" w:eastAsia="Times New Roman" w:hAnsi="Times New Roman"/>
          <w:noProof/>
          <w:sz w:val="24"/>
          <w:szCs w:val="22"/>
          <w:lang w:eastAsia="es-ES"/>
        </w:rPr>
        <w:t>definió</w:t>
      </w:r>
      <w:r w:rsidRPr="009A27ED">
        <w:rPr>
          <w:rFonts w:ascii="Times New Roman" w:eastAsia="Times New Roman" w:hAnsi="Times New Roman"/>
          <w:noProof/>
          <w:sz w:val="24"/>
          <w:szCs w:val="22"/>
          <w:lang w:eastAsia="es-ES"/>
        </w:rPr>
        <w:t xml:space="preserve"> las opciones </w:t>
      </w:r>
      <w:r w:rsidR="000E4731" w:rsidRPr="009A27ED">
        <w:rPr>
          <w:rFonts w:ascii="Times New Roman" w:eastAsia="Times New Roman" w:hAnsi="Times New Roman"/>
          <w:noProof/>
          <w:sz w:val="24"/>
          <w:szCs w:val="22"/>
          <w:lang w:eastAsia="es-ES"/>
        </w:rPr>
        <w:t>estratégicas</w:t>
      </w:r>
      <w:r w:rsidRPr="009A27ED">
        <w:rPr>
          <w:rFonts w:ascii="Times New Roman" w:eastAsia="Times New Roman" w:hAnsi="Times New Roman"/>
          <w:noProof/>
          <w:sz w:val="24"/>
          <w:szCs w:val="22"/>
          <w:lang w:eastAsia="es-ES"/>
        </w:rPr>
        <w:t xml:space="preserve"> para que el país est</w:t>
      </w:r>
      <w:r w:rsidR="00CB3FEF" w:rsidRPr="009A27ED">
        <w:rPr>
          <w:rFonts w:ascii="Times New Roman" w:eastAsia="Times New Roman" w:hAnsi="Times New Roman"/>
          <w:noProof/>
          <w:sz w:val="24"/>
          <w:szCs w:val="22"/>
          <w:lang w:eastAsia="es-ES"/>
        </w:rPr>
        <w:t>é</w:t>
      </w:r>
      <w:r w:rsidRPr="009A27ED">
        <w:rPr>
          <w:rFonts w:ascii="Times New Roman" w:eastAsia="Times New Roman" w:hAnsi="Times New Roman"/>
          <w:noProof/>
          <w:sz w:val="24"/>
          <w:szCs w:val="22"/>
          <w:lang w:eastAsia="es-ES"/>
        </w:rPr>
        <w:t xml:space="preserve"> en posibilidades de emprender esfuerzos para contrarrestar las mismas. </w:t>
      </w:r>
    </w:p>
    <w:p w14:paraId="5F6A110E" w14:textId="7DD002D3" w:rsidR="00947670" w:rsidRPr="009A27ED" w:rsidRDefault="00947670" w:rsidP="005B6485">
      <w:pPr>
        <w:spacing w:before="120" w:after="0" w:line="360" w:lineRule="auto"/>
        <w:rPr>
          <w:color w:val="000000" w:themeColor="text1"/>
          <w:szCs w:val="22"/>
        </w:rPr>
      </w:pPr>
      <w:r w:rsidRPr="009A27ED">
        <w:rPr>
          <w:rFonts w:ascii="Times New Roman" w:eastAsia="Times New Roman" w:hAnsi="Times New Roman"/>
          <w:sz w:val="24"/>
          <w:szCs w:val="22"/>
          <w:lang w:eastAsia="es-ES_tradnl"/>
        </w:rPr>
        <w:t>Para la identificación y priorización de las causa</w:t>
      </w:r>
      <w:r w:rsidR="000E4731" w:rsidRPr="009A27ED">
        <w:rPr>
          <w:rFonts w:ascii="Times New Roman" w:eastAsia="Times New Roman" w:hAnsi="Times New Roman"/>
          <w:sz w:val="24"/>
          <w:szCs w:val="22"/>
          <w:lang w:eastAsia="es-ES_tradnl"/>
        </w:rPr>
        <w:t>s</w:t>
      </w:r>
      <w:r w:rsidRPr="009A27ED">
        <w:rPr>
          <w:rFonts w:ascii="Times New Roman" w:eastAsia="Times New Roman" w:hAnsi="Times New Roman"/>
          <w:sz w:val="24"/>
          <w:szCs w:val="22"/>
          <w:lang w:eastAsia="es-ES_tradnl"/>
        </w:rPr>
        <w:t xml:space="preserve"> de la deforestación y degradación de los bosques se realizaron estudios analíticos y una serie de talleres participativos en los cuales se identificaron, evaluaron, priorizaron y validaron </w:t>
      </w:r>
      <w:r w:rsidRPr="009A27ED">
        <w:rPr>
          <w:rFonts w:ascii="Times New Roman" w:eastAsia="Times New Roman" w:hAnsi="Times New Roman"/>
          <w:sz w:val="24"/>
          <w:szCs w:val="22"/>
        </w:rPr>
        <w:t xml:space="preserve">las principales causas directas e indirectas (drivers) de la deforestación y degradación de los bosques y la disminución de las reservas de carbono forestal en el país, así como la definición y priorización de las principales </w:t>
      </w:r>
      <w:r w:rsidRPr="009A27ED">
        <w:rPr>
          <w:rFonts w:ascii="Times New Roman" w:eastAsia="Times New Roman" w:hAnsi="Times New Roman"/>
          <w:color w:val="000000" w:themeColor="text1"/>
          <w:sz w:val="24"/>
          <w:szCs w:val="22"/>
        </w:rPr>
        <w:t xml:space="preserve">opciones </w:t>
      </w:r>
      <w:r w:rsidR="00CB3FEF" w:rsidRPr="009A27ED">
        <w:rPr>
          <w:rFonts w:ascii="Times New Roman" w:eastAsia="Times New Roman" w:hAnsi="Times New Roman"/>
          <w:color w:val="000000" w:themeColor="text1"/>
          <w:sz w:val="24"/>
          <w:szCs w:val="22"/>
        </w:rPr>
        <w:t>de estrategia</w:t>
      </w:r>
      <w:r w:rsidRPr="009A27ED">
        <w:rPr>
          <w:rFonts w:ascii="Times New Roman" w:eastAsia="Times New Roman" w:hAnsi="Times New Roman"/>
          <w:color w:val="000000" w:themeColor="text1"/>
          <w:sz w:val="24"/>
          <w:szCs w:val="22"/>
        </w:rPr>
        <w:t xml:space="preserve"> que permitirán contrarrestar </w:t>
      </w:r>
      <w:r w:rsidR="00CD0183" w:rsidRPr="009A27ED">
        <w:rPr>
          <w:rFonts w:ascii="Times New Roman" w:eastAsia="Times New Roman" w:hAnsi="Times New Roman"/>
          <w:color w:val="000000" w:themeColor="text1"/>
          <w:sz w:val="24"/>
          <w:szCs w:val="22"/>
        </w:rPr>
        <w:t>las causas más relevantes</w:t>
      </w:r>
      <w:r w:rsidRPr="009A27ED">
        <w:rPr>
          <w:rFonts w:ascii="Times New Roman" w:eastAsia="Times New Roman" w:hAnsi="Times New Roman"/>
          <w:color w:val="000000" w:themeColor="text1"/>
          <w:sz w:val="24"/>
          <w:szCs w:val="22"/>
        </w:rPr>
        <w:t xml:space="preserve"> identificad</w:t>
      </w:r>
      <w:r w:rsidR="00CD0183" w:rsidRPr="009A27ED">
        <w:rPr>
          <w:rFonts w:ascii="Times New Roman" w:eastAsia="Times New Roman" w:hAnsi="Times New Roman"/>
          <w:color w:val="000000" w:themeColor="text1"/>
          <w:sz w:val="24"/>
          <w:szCs w:val="22"/>
        </w:rPr>
        <w:t>a</w:t>
      </w:r>
      <w:r w:rsidRPr="009A27ED">
        <w:rPr>
          <w:rFonts w:ascii="Times New Roman" w:eastAsia="Times New Roman" w:hAnsi="Times New Roman"/>
          <w:color w:val="000000" w:themeColor="text1"/>
          <w:sz w:val="24"/>
          <w:szCs w:val="22"/>
        </w:rPr>
        <w:t>s.</w:t>
      </w:r>
      <w:r w:rsidRPr="009A27ED">
        <w:rPr>
          <w:rStyle w:val="Refdenotaalpie"/>
          <w:rFonts w:asciiTheme="minorHAnsi" w:eastAsia="Times New Roman" w:hAnsiTheme="minorHAnsi"/>
          <w:color w:val="000000" w:themeColor="text1"/>
          <w:sz w:val="24"/>
          <w:szCs w:val="22"/>
        </w:rPr>
        <w:footnoteReference w:id="21"/>
      </w:r>
    </w:p>
    <w:p w14:paraId="031D26F9" w14:textId="2D4230C4" w:rsidR="00947670" w:rsidRPr="009A27ED" w:rsidRDefault="00947670" w:rsidP="009C47E1">
      <w:pPr>
        <w:pStyle w:val="Ttulo3"/>
        <w:spacing w:line="360" w:lineRule="auto"/>
        <w:jc w:val="both"/>
        <w:rPr>
          <w:b w:val="0"/>
        </w:rPr>
      </w:pPr>
      <w:bookmarkStart w:id="71" w:name="_Toc530931925"/>
      <w:bookmarkStart w:id="72" w:name="_Toc530933072"/>
      <w:bookmarkStart w:id="73" w:name="_Toc532335744"/>
      <w:bookmarkStart w:id="74" w:name="_Toc532335846"/>
      <w:bookmarkStart w:id="75" w:name="_Toc111837917"/>
      <w:r w:rsidRPr="009A27ED">
        <w:rPr>
          <w:rFonts w:ascii="Times New Roman" w:eastAsia="Times New Roman" w:hAnsi="Times New Roman"/>
          <w:b w:val="0"/>
          <w:sz w:val="24"/>
        </w:rPr>
        <w:t>Causas directas</w:t>
      </w:r>
      <w:bookmarkEnd w:id="71"/>
      <w:bookmarkEnd w:id="72"/>
      <w:bookmarkEnd w:id="73"/>
      <w:bookmarkEnd w:id="74"/>
      <w:bookmarkEnd w:id="75"/>
    </w:p>
    <w:p w14:paraId="490C8D4B" w14:textId="3009454D" w:rsidR="00947670" w:rsidRPr="009A27ED" w:rsidRDefault="00947670" w:rsidP="005B6485">
      <w:pPr>
        <w:spacing w:before="120" w:after="0" w:line="360" w:lineRule="auto"/>
        <w:rPr>
          <w:rFonts w:eastAsia="Calibri"/>
          <w:color w:val="000000" w:themeColor="text1"/>
          <w:szCs w:val="22"/>
          <w:lang w:eastAsia="gl"/>
        </w:rPr>
      </w:pPr>
      <w:r w:rsidRPr="009A27ED">
        <w:rPr>
          <w:rFonts w:ascii="Times New Roman" w:eastAsia="Times New Roman" w:hAnsi="Times New Roman"/>
          <w:color w:val="000000" w:themeColor="text1"/>
          <w:sz w:val="24"/>
          <w:szCs w:val="22"/>
          <w:lang w:eastAsia="gl"/>
        </w:rPr>
        <w:t xml:space="preserve">Las </w:t>
      </w:r>
      <w:r w:rsidRPr="009A27ED">
        <w:rPr>
          <w:rFonts w:ascii="Times New Roman" w:eastAsia="Times New Roman" w:hAnsi="Times New Roman"/>
          <w:i/>
          <w:color w:val="000000" w:themeColor="text1"/>
          <w:sz w:val="24"/>
          <w:szCs w:val="22"/>
          <w:lang w:eastAsia="gl"/>
        </w:rPr>
        <w:t>principales causa</w:t>
      </w:r>
      <w:r w:rsidR="000E4731" w:rsidRPr="009A27ED">
        <w:rPr>
          <w:rFonts w:ascii="Times New Roman" w:eastAsia="Times New Roman" w:hAnsi="Times New Roman"/>
          <w:i/>
          <w:color w:val="000000" w:themeColor="text1"/>
          <w:sz w:val="24"/>
          <w:szCs w:val="22"/>
          <w:lang w:eastAsia="gl"/>
        </w:rPr>
        <w:t>s</w:t>
      </w:r>
      <w:r w:rsidRPr="009A27ED">
        <w:rPr>
          <w:rFonts w:ascii="Times New Roman" w:eastAsia="Times New Roman" w:hAnsi="Times New Roman"/>
          <w:i/>
          <w:color w:val="000000" w:themeColor="text1"/>
          <w:sz w:val="24"/>
          <w:szCs w:val="22"/>
          <w:lang w:eastAsia="gl"/>
        </w:rPr>
        <w:t xml:space="preserve"> directas de la </w:t>
      </w:r>
      <w:r w:rsidRPr="009A27ED">
        <w:rPr>
          <w:rFonts w:ascii="Times New Roman" w:eastAsia="Times New Roman" w:hAnsi="Times New Roman"/>
          <w:b/>
          <w:bCs/>
          <w:i/>
          <w:color w:val="000000" w:themeColor="text1"/>
          <w:sz w:val="24"/>
          <w:szCs w:val="22"/>
          <w:lang w:eastAsia="gl"/>
        </w:rPr>
        <w:t>deforestación</w:t>
      </w:r>
      <w:r w:rsidRPr="009A27ED">
        <w:rPr>
          <w:rFonts w:ascii="Times New Roman" w:eastAsia="Times New Roman" w:hAnsi="Times New Roman"/>
          <w:b/>
          <w:bCs/>
          <w:color w:val="000000" w:themeColor="text1"/>
          <w:sz w:val="24"/>
          <w:szCs w:val="22"/>
          <w:lang w:eastAsia="gl"/>
        </w:rPr>
        <w:t xml:space="preserve"> </w:t>
      </w:r>
      <w:r w:rsidRPr="009A27ED">
        <w:rPr>
          <w:rFonts w:ascii="Times New Roman" w:eastAsia="Times New Roman" w:hAnsi="Times New Roman"/>
          <w:color w:val="000000" w:themeColor="text1"/>
          <w:sz w:val="24"/>
          <w:szCs w:val="22"/>
          <w:lang w:eastAsia="gl"/>
        </w:rPr>
        <w:t>son: la ganadería comercial y la tala ilegal del bosque natural, ambas identificadas como de muy alta prioridad, seguido de la agricultura comercial y migratoria/subsistencia, catalogadas como causales de alta prioridad</w:t>
      </w:r>
      <w:r w:rsidR="009075E5" w:rsidRPr="009A27ED">
        <w:rPr>
          <w:rFonts w:ascii="Times New Roman" w:eastAsia="Times New Roman" w:hAnsi="Times New Roman"/>
          <w:color w:val="000000" w:themeColor="text1"/>
          <w:sz w:val="24"/>
          <w:szCs w:val="22"/>
          <w:lang w:eastAsia="gl"/>
        </w:rPr>
        <w:t xml:space="preserve">. </w:t>
      </w:r>
    </w:p>
    <w:p w14:paraId="6F3B47D5" w14:textId="77777777" w:rsidR="00E371C1" w:rsidRPr="009A27ED" w:rsidRDefault="00E371C1" w:rsidP="00E371C1">
      <w:pPr>
        <w:pStyle w:val="Descripcin"/>
        <w:spacing w:line="360" w:lineRule="auto"/>
        <w:rPr>
          <w:color w:val="000000" w:themeColor="text1"/>
          <w:sz w:val="20"/>
        </w:rPr>
      </w:pPr>
      <w:bookmarkStart w:id="76" w:name="_Toc14021"/>
    </w:p>
    <w:p w14:paraId="55B6FD10" w14:textId="12026182" w:rsidR="00C774F6" w:rsidRPr="009A27ED" w:rsidRDefault="00E371C1" w:rsidP="00E371C1">
      <w:pPr>
        <w:pStyle w:val="Descripcin"/>
        <w:spacing w:line="360" w:lineRule="auto"/>
        <w:rPr>
          <w:rFonts w:eastAsia="Calibri" w:cs="Calibri"/>
          <w:sz w:val="22"/>
          <w:szCs w:val="22"/>
          <w:lang w:bidi="en-US"/>
        </w:rPr>
      </w:pPr>
      <w:bookmarkStart w:id="77" w:name="_Toc111887412"/>
      <w:r w:rsidRPr="009A27ED">
        <w:rPr>
          <w:rFonts w:ascii="Times New Roman" w:eastAsia="Times New Roman" w:hAnsi="Times New Roman"/>
          <w:color w:val="000000" w:themeColor="text1"/>
          <w:sz w:val="24"/>
        </w:rPr>
        <w:t xml:space="preserve">Cuadro </w:t>
      </w:r>
      <w:r w:rsidR="00F43DB6" w:rsidRPr="009A27ED">
        <w:rPr>
          <w:rFonts w:ascii="Times New Roman" w:eastAsia="Times New Roman" w:hAnsi="Times New Roman"/>
          <w:color w:val="000000" w:themeColor="text1"/>
          <w:sz w:val="24"/>
        </w:rPr>
        <w:fldChar w:fldCharType="begin"/>
      </w:r>
      <w:r w:rsidR="00F43DB6" w:rsidRPr="009A27ED">
        <w:rPr>
          <w:rFonts w:ascii="Times New Roman" w:eastAsia="Times New Roman" w:hAnsi="Times New Roman"/>
          <w:color w:val="000000" w:themeColor="text1"/>
          <w:sz w:val="24"/>
        </w:rPr>
        <w:instrText xml:space="preserve"> SEQ Cuadro \* ARABIC </w:instrText>
      </w:r>
      <w:r w:rsidR="00F43DB6" w:rsidRPr="009A27ED">
        <w:rPr>
          <w:rFonts w:ascii="Times New Roman" w:eastAsia="Times New Roman" w:hAnsi="Times New Roman"/>
          <w:color w:val="000000" w:themeColor="text1"/>
          <w:sz w:val="24"/>
        </w:rPr>
        <w:fldChar w:fldCharType="separate"/>
      </w:r>
      <w:r w:rsidR="00DF3AFC" w:rsidRPr="009A27ED">
        <w:rPr>
          <w:rFonts w:ascii="Times New Roman" w:eastAsia="Times New Roman" w:hAnsi="Times New Roman"/>
          <w:noProof/>
          <w:color w:val="000000" w:themeColor="text1"/>
          <w:sz w:val="24"/>
        </w:rPr>
        <w:t>2</w:t>
      </w:r>
      <w:r w:rsidR="00F43DB6" w:rsidRPr="009A27ED">
        <w:rPr>
          <w:rFonts w:ascii="Times New Roman" w:eastAsia="Times New Roman" w:hAnsi="Times New Roman"/>
          <w:color w:val="000000" w:themeColor="text1"/>
          <w:sz w:val="24"/>
        </w:rPr>
        <w:fldChar w:fldCharType="end"/>
      </w:r>
      <w:r w:rsidR="001E165D" w:rsidRPr="009A27ED">
        <w:rPr>
          <w:rFonts w:ascii="Times New Roman" w:eastAsia="Times New Roman" w:hAnsi="Times New Roman"/>
          <w:color w:val="000000" w:themeColor="text1"/>
          <w:sz w:val="24"/>
        </w:rPr>
        <w:t xml:space="preserve">. </w:t>
      </w:r>
      <w:r w:rsidRPr="009A27ED">
        <w:rPr>
          <w:rFonts w:ascii="Times New Roman" w:eastAsia="Times New Roman" w:hAnsi="Times New Roman"/>
          <w:color w:val="000000" w:themeColor="text1"/>
          <w:sz w:val="24"/>
        </w:rPr>
        <w:t xml:space="preserve"> Causas directas de la deforestación según orden de prioridad a nivel nacional</w:t>
      </w:r>
      <w:bookmarkEnd w:id="76"/>
      <w:bookmarkEnd w:id="77"/>
    </w:p>
    <w:tbl>
      <w:tblPr>
        <w:tblStyle w:val="TableNormal1"/>
        <w:tblW w:w="9072" w:type="dxa"/>
        <w:tblBorders>
          <w:top w:val="single" w:sz="12" w:space="0" w:color="8EAADB"/>
          <w:left w:val="single" w:sz="12" w:space="0" w:color="8EAADB"/>
          <w:bottom w:val="single" w:sz="12" w:space="0" w:color="8EAADB"/>
          <w:right w:val="single" w:sz="12" w:space="0" w:color="8EAADB"/>
          <w:insideH w:val="single" w:sz="12" w:space="0" w:color="8EAADB"/>
          <w:insideV w:val="single" w:sz="12" w:space="0" w:color="8EAADB"/>
        </w:tblBorders>
        <w:tblLayout w:type="fixed"/>
        <w:tblLook w:val="01E0" w:firstRow="1" w:lastRow="1" w:firstColumn="1" w:lastColumn="1" w:noHBand="0" w:noVBand="0"/>
      </w:tblPr>
      <w:tblGrid>
        <w:gridCol w:w="1701"/>
        <w:gridCol w:w="5387"/>
        <w:gridCol w:w="1984"/>
      </w:tblGrid>
      <w:tr w:rsidR="006D0B45" w:rsidRPr="009A27ED" w14:paraId="0651BF5E" w14:textId="77777777" w:rsidTr="006D0B45">
        <w:trPr>
          <w:trHeight w:val="448"/>
        </w:trPr>
        <w:tc>
          <w:tcPr>
            <w:tcW w:w="1701" w:type="dxa"/>
            <w:tcBorders>
              <w:top w:val="nil"/>
              <w:left w:val="nil"/>
              <w:right w:val="nil"/>
            </w:tcBorders>
            <w:shd w:val="clear" w:color="auto" w:fill="0070C0"/>
            <w:vAlign w:val="center"/>
          </w:tcPr>
          <w:p w14:paraId="0195472C" w14:textId="77777777" w:rsidR="00947670" w:rsidRPr="009A27ED" w:rsidRDefault="00947670" w:rsidP="00CB3FEF">
            <w:pPr>
              <w:tabs>
                <w:tab w:val="left" w:pos="709"/>
              </w:tabs>
              <w:spacing w:after="0"/>
              <w:jc w:val="center"/>
              <w:rPr>
                <w:rFonts w:cs="Calibri"/>
                <w:b/>
                <w:color w:val="FFFFFF" w:themeColor="background1"/>
                <w:sz w:val="20"/>
                <w:szCs w:val="20"/>
                <w:lang w:eastAsia="gl"/>
              </w:rPr>
            </w:pPr>
            <w:r w:rsidRPr="009A27ED">
              <w:rPr>
                <w:rFonts w:cs="Calibri"/>
                <w:b/>
                <w:color w:val="FFFFFF" w:themeColor="background1"/>
                <w:sz w:val="20"/>
                <w:szCs w:val="20"/>
                <w:lang w:eastAsia="gl"/>
              </w:rPr>
              <w:t>Prioridad</w:t>
            </w:r>
          </w:p>
        </w:tc>
        <w:tc>
          <w:tcPr>
            <w:tcW w:w="5387" w:type="dxa"/>
            <w:tcBorders>
              <w:top w:val="nil"/>
              <w:left w:val="nil"/>
              <w:right w:val="nil"/>
            </w:tcBorders>
            <w:shd w:val="clear" w:color="auto" w:fill="0070C0"/>
            <w:vAlign w:val="center"/>
          </w:tcPr>
          <w:p w14:paraId="56D81D0E" w14:textId="2E836E79" w:rsidR="00947670" w:rsidRPr="009A27ED" w:rsidRDefault="00947670" w:rsidP="00CB3FEF">
            <w:pPr>
              <w:tabs>
                <w:tab w:val="left" w:pos="709"/>
              </w:tabs>
              <w:spacing w:after="0"/>
              <w:jc w:val="center"/>
              <w:rPr>
                <w:rFonts w:cs="Calibri"/>
                <w:b/>
                <w:color w:val="FFFFFF" w:themeColor="background1"/>
                <w:sz w:val="20"/>
                <w:szCs w:val="20"/>
                <w:lang w:eastAsia="gl"/>
              </w:rPr>
            </w:pPr>
            <w:r w:rsidRPr="009A27ED">
              <w:rPr>
                <w:rFonts w:cs="Calibri"/>
                <w:b/>
                <w:color w:val="FFFFFF" w:themeColor="background1"/>
                <w:sz w:val="20"/>
                <w:szCs w:val="20"/>
                <w:lang w:eastAsia="gl"/>
              </w:rPr>
              <w:t>Causa</w:t>
            </w:r>
            <w:r w:rsidR="000E4731" w:rsidRPr="009A27ED">
              <w:rPr>
                <w:rFonts w:cs="Calibri"/>
                <w:b/>
                <w:color w:val="FFFFFF" w:themeColor="background1"/>
                <w:sz w:val="20"/>
                <w:szCs w:val="20"/>
                <w:lang w:eastAsia="gl"/>
              </w:rPr>
              <w:t>s</w:t>
            </w:r>
            <w:r w:rsidRPr="009A27ED">
              <w:rPr>
                <w:rFonts w:cs="Calibri"/>
                <w:b/>
                <w:color w:val="FFFFFF" w:themeColor="background1"/>
                <w:sz w:val="20"/>
                <w:szCs w:val="20"/>
                <w:lang w:eastAsia="gl"/>
              </w:rPr>
              <w:t xml:space="preserve"> </w:t>
            </w:r>
            <w:r w:rsidR="000E4731" w:rsidRPr="009A27ED">
              <w:rPr>
                <w:rFonts w:cs="Calibri"/>
                <w:b/>
                <w:color w:val="FFFFFF" w:themeColor="background1"/>
                <w:sz w:val="20"/>
                <w:szCs w:val="20"/>
                <w:lang w:eastAsia="gl"/>
              </w:rPr>
              <w:t>d</w:t>
            </w:r>
            <w:r w:rsidRPr="009A27ED">
              <w:rPr>
                <w:rFonts w:cs="Calibri"/>
                <w:b/>
                <w:color w:val="FFFFFF" w:themeColor="background1"/>
                <w:sz w:val="20"/>
                <w:szCs w:val="20"/>
                <w:lang w:eastAsia="gl"/>
              </w:rPr>
              <w:t>irecta</w:t>
            </w:r>
            <w:r w:rsidR="000E4731" w:rsidRPr="009A27ED">
              <w:rPr>
                <w:rFonts w:cs="Calibri"/>
                <w:b/>
                <w:color w:val="FFFFFF" w:themeColor="background1"/>
                <w:sz w:val="20"/>
                <w:szCs w:val="20"/>
                <w:lang w:eastAsia="gl"/>
              </w:rPr>
              <w:t>s</w:t>
            </w:r>
            <w:r w:rsidRPr="009A27ED">
              <w:rPr>
                <w:rFonts w:cs="Calibri"/>
                <w:b/>
                <w:color w:val="FFFFFF" w:themeColor="background1"/>
                <w:sz w:val="20"/>
                <w:szCs w:val="20"/>
                <w:lang w:eastAsia="gl"/>
              </w:rPr>
              <w:t xml:space="preserve"> de </w:t>
            </w:r>
            <w:r w:rsidR="000E4731" w:rsidRPr="009A27ED">
              <w:rPr>
                <w:rFonts w:cs="Calibri"/>
                <w:b/>
                <w:color w:val="FFFFFF" w:themeColor="background1"/>
                <w:sz w:val="20"/>
                <w:szCs w:val="20"/>
                <w:lang w:eastAsia="gl"/>
              </w:rPr>
              <w:t>la d</w:t>
            </w:r>
            <w:r w:rsidRPr="009A27ED">
              <w:rPr>
                <w:rFonts w:cs="Calibri"/>
                <w:b/>
                <w:color w:val="FFFFFF" w:themeColor="background1"/>
                <w:sz w:val="20"/>
                <w:szCs w:val="20"/>
                <w:lang w:eastAsia="gl"/>
              </w:rPr>
              <w:t>eforestación</w:t>
            </w:r>
          </w:p>
        </w:tc>
        <w:tc>
          <w:tcPr>
            <w:tcW w:w="1984" w:type="dxa"/>
            <w:tcBorders>
              <w:top w:val="nil"/>
              <w:left w:val="nil"/>
              <w:right w:val="nil"/>
            </w:tcBorders>
            <w:shd w:val="clear" w:color="auto" w:fill="0070C0"/>
            <w:vAlign w:val="center"/>
          </w:tcPr>
          <w:p w14:paraId="3BDF7329" w14:textId="77777777" w:rsidR="00947670" w:rsidRPr="009A27ED" w:rsidRDefault="00947670" w:rsidP="00CB3FEF">
            <w:pPr>
              <w:tabs>
                <w:tab w:val="left" w:pos="709"/>
              </w:tabs>
              <w:spacing w:after="0"/>
              <w:jc w:val="center"/>
              <w:rPr>
                <w:rFonts w:cs="Calibri"/>
                <w:b/>
                <w:color w:val="FFFFFF" w:themeColor="background1"/>
                <w:sz w:val="20"/>
                <w:szCs w:val="20"/>
                <w:lang w:eastAsia="gl"/>
              </w:rPr>
            </w:pPr>
            <w:r w:rsidRPr="009A27ED">
              <w:rPr>
                <w:rFonts w:cs="Calibri"/>
                <w:b/>
                <w:color w:val="FFFFFF" w:themeColor="background1"/>
                <w:sz w:val="20"/>
                <w:szCs w:val="20"/>
                <w:lang w:eastAsia="gl"/>
              </w:rPr>
              <w:t>Promedio de Percentil Relativo</w:t>
            </w:r>
          </w:p>
        </w:tc>
      </w:tr>
      <w:tr w:rsidR="00947670" w:rsidRPr="009A27ED" w14:paraId="5C19DD01" w14:textId="77777777" w:rsidTr="00CB3FEF">
        <w:trPr>
          <w:trHeight w:val="287"/>
        </w:trPr>
        <w:tc>
          <w:tcPr>
            <w:tcW w:w="1701" w:type="dxa"/>
            <w:vMerge w:val="restart"/>
            <w:tcBorders>
              <w:left w:val="single" w:sz="4" w:space="0" w:color="B4C5E7"/>
              <w:bottom w:val="single" w:sz="4" w:space="0" w:color="B4C5E7"/>
              <w:right w:val="single" w:sz="6" w:space="0" w:color="B4C5E7"/>
            </w:tcBorders>
          </w:tcPr>
          <w:p w14:paraId="092739F7" w14:textId="77777777" w:rsidR="00947670" w:rsidRPr="009A27ED" w:rsidRDefault="00947670" w:rsidP="00947670">
            <w:pPr>
              <w:tabs>
                <w:tab w:val="left" w:pos="709"/>
              </w:tabs>
              <w:spacing w:after="0"/>
              <w:ind w:left="360"/>
              <w:rPr>
                <w:rFonts w:cs="Calibri"/>
                <w:sz w:val="20"/>
                <w:szCs w:val="20"/>
                <w:lang w:eastAsia="gl"/>
              </w:rPr>
            </w:pPr>
          </w:p>
          <w:p w14:paraId="40E770C7" w14:textId="77777777" w:rsidR="00947670" w:rsidRPr="009A27ED" w:rsidRDefault="00947670" w:rsidP="00947670">
            <w:pPr>
              <w:tabs>
                <w:tab w:val="left" w:pos="709"/>
              </w:tabs>
              <w:spacing w:after="0"/>
              <w:ind w:left="360"/>
              <w:rPr>
                <w:rFonts w:cs="Calibri"/>
                <w:sz w:val="20"/>
                <w:szCs w:val="20"/>
                <w:lang w:eastAsia="gl"/>
              </w:rPr>
            </w:pPr>
            <w:r w:rsidRPr="009A27ED">
              <w:rPr>
                <w:rFonts w:cs="Calibri"/>
                <w:sz w:val="20"/>
                <w:szCs w:val="20"/>
                <w:lang w:eastAsia="gl"/>
              </w:rPr>
              <w:t>Muy alta</w:t>
            </w:r>
          </w:p>
        </w:tc>
        <w:tc>
          <w:tcPr>
            <w:tcW w:w="5387" w:type="dxa"/>
            <w:tcBorders>
              <w:left w:val="single" w:sz="6" w:space="0" w:color="B4C5E7"/>
              <w:bottom w:val="single" w:sz="4" w:space="0" w:color="B4C5E7"/>
              <w:right w:val="single" w:sz="4" w:space="0" w:color="B4C5E7"/>
            </w:tcBorders>
          </w:tcPr>
          <w:p w14:paraId="09DE570A" w14:textId="77777777" w:rsidR="00947670" w:rsidRPr="009A27ED" w:rsidRDefault="00947670" w:rsidP="00947670">
            <w:pPr>
              <w:tabs>
                <w:tab w:val="left" w:pos="709"/>
              </w:tabs>
              <w:spacing w:before="34" w:after="0"/>
              <w:ind w:left="100"/>
              <w:rPr>
                <w:rFonts w:cs="Calibri"/>
                <w:sz w:val="20"/>
                <w:szCs w:val="20"/>
                <w:lang w:eastAsia="gl"/>
              </w:rPr>
            </w:pPr>
            <w:r w:rsidRPr="009A27ED">
              <w:rPr>
                <w:rFonts w:cs="Calibri"/>
                <w:sz w:val="20"/>
                <w:szCs w:val="20"/>
                <w:lang w:eastAsia="gl"/>
              </w:rPr>
              <w:t>Ganadería comercial</w:t>
            </w:r>
          </w:p>
        </w:tc>
        <w:tc>
          <w:tcPr>
            <w:tcW w:w="1984" w:type="dxa"/>
            <w:tcBorders>
              <w:left w:val="single" w:sz="4" w:space="0" w:color="B4C5E7"/>
              <w:bottom w:val="single" w:sz="4" w:space="0" w:color="B4C5E7"/>
              <w:right w:val="single" w:sz="4" w:space="0" w:color="B4C5E7"/>
            </w:tcBorders>
          </w:tcPr>
          <w:p w14:paraId="31BDDED2" w14:textId="77777777" w:rsidR="00947670" w:rsidRPr="009A27ED" w:rsidRDefault="00947670" w:rsidP="00CB3FEF">
            <w:pPr>
              <w:tabs>
                <w:tab w:val="left" w:pos="709"/>
              </w:tabs>
              <w:spacing w:after="0"/>
              <w:jc w:val="center"/>
              <w:rPr>
                <w:rFonts w:cs="Calibri"/>
                <w:sz w:val="20"/>
                <w:szCs w:val="20"/>
                <w:lang w:eastAsia="gl"/>
              </w:rPr>
            </w:pPr>
            <w:r w:rsidRPr="009A27ED">
              <w:rPr>
                <w:rFonts w:cs="Calibri"/>
                <w:sz w:val="20"/>
                <w:szCs w:val="20"/>
                <w:lang w:eastAsia="gl"/>
              </w:rPr>
              <w:t>1</w:t>
            </w:r>
          </w:p>
        </w:tc>
      </w:tr>
      <w:tr w:rsidR="00947670" w:rsidRPr="009A27ED" w14:paraId="118C9D11" w14:textId="77777777" w:rsidTr="00CB3FEF">
        <w:trPr>
          <w:trHeight w:val="290"/>
        </w:trPr>
        <w:tc>
          <w:tcPr>
            <w:tcW w:w="1701" w:type="dxa"/>
            <w:vMerge/>
            <w:tcBorders>
              <w:top w:val="nil"/>
              <w:left w:val="single" w:sz="4" w:space="0" w:color="B4C5E7"/>
              <w:bottom w:val="single" w:sz="4" w:space="0" w:color="B4C5E7"/>
              <w:right w:val="single" w:sz="6" w:space="0" w:color="B4C5E7"/>
            </w:tcBorders>
          </w:tcPr>
          <w:p w14:paraId="67404A79" w14:textId="77777777" w:rsidR="00947670" w:rsidRPr="009A27ED" w:rsidRDefault="00947670" w:rsidP="00947670">
            <w:pPr>
              <w:tabs>
                <w:tab w:val="left" w:pos="709"/>
              </w:tabs>
              <w:spacing w:after="0"/>
              <w:ind w:left="360"/>
              <w:rPr>
                <w:rFonts w:cs="Calibri"/>
                <w:sz w:val="20"/>
                <w:szCs w:val="20"/>
              </w:rPr>
            </w:pPr>
          </w:p>
        </w:tc>
        <w:tc>
          <w:tcPr>
            <w:tcW w:w="5387" w:type="dxa"/>
            <w:tcBorders>
              <w:top w:val="single" w:sz="4" w:space="0" w:color="B4C5E7"/>
              <w:left w:val="single" w:sz="6" w:space="0" w:color="B4C5E7"/>
              <w:bottom w:val="single" w:sz="4" w:space="0" w:color="B4C5E7"/>
              <w:right w:val="single" w:sz="4" w:space="0" w:color="B4C5E7"/>
            </w:tcBorders>
          </w:tcPr>
          <w:p w14:paraId="2875FF5E" w14:textId="77777777" w:rsidR="00947670" w:rsidRPr="009A27ED" w:rsidRDefault="00947670" w:rsidP="00947670">
            <w:pPr>
              <w:tabs>
                <w:tab w:val="left" w:pos="709"/>
              </w:tabs>
              <w:spacing w:before="35" w:after="0"/>
              <w:ind w:left="100"/>
              <w:rPr>
                <w:rFonts w:cs="Calibri"/>
                <w:sz w:val="20"/>
                <w:szCs w:val="20"/>
                <w:lang w:val="pt-BR" w:eastAsia="gl"/>
              </w:rPr>
            </w:pPr>
            <w:r w:rsidRPr="009A27ED">
              <w:rPr>
                <w:rFonts w:cs="Calibri"/>
                <w:sz w:val="20"/>
                <w:szCs w:val="20"/>
                <w:lang w:val="pt-BR" w:eastAsia="gl"/>
              </w:rPr>
              <w:t>Tala ilegal de bosque natural</w:t>
            </w:r>
          </w:p>
        </w:tc>
        <w:tc>
          <w:tcPr>
            <w:tcW w:w="1984" w:type="dxa"/>
            <w:tcBorders>
              <w:top w:val="single" w:sz="4" w:space="0" w:color="B4C5E7"/>
              <w:left w:val="single" w:sz="4" w:space="0" w:color="B4C5E7"/>
              <w:bottom w:val="single" w:sz="4" w:space="0" w:color="B4C5E7"/>
              <w:right w:val="single" w:sz="4" w:space="0" w:color="B4C5E7"/>
            </w:tcBorders>
          </w:tcPr>
          <w:p w14:paraId="51D272D8" w14:textId="77777777" w:rsidR="00947670" w:rsidRPr="009A27ED" w:rsidRDefault="00947670" w:rsidP="00CB3FEF">
            <w:pPr>
              <w:tabs>
                <w:tab w:val="left" w:pos="709"/>
              </w:tabs>
              <w:spacing w:after="0"/>
              <w:jc w:val="center"/>
              <w:rPr>
                <w:rFonts w:cs="Calibri"/>
                <w:sz w:val="20"/>
                <w:szCs w:val="20"/>
                <w:lang w:eastAsia="gl"/>
              </w:rPr>
            </w:pPr>
            <w:r w:rsidRPr="009A27ED">
              <w:rPr>
                <w:rFonts w:cs="Calibri"/>
                <w:sz w:val="20"/>
                <w:szCs w:val="20"/>
                <w:lang w:eastAsia="gl"/>
              </w:rPr>
              <w:t>0,88</w:t>
            </w:r>
          </w:p>
        </w:tc>
      </w:tr>
      <w:tr w:rsidR="00947670" w:rsidRPr="009A27ED" w14:paraId="7881B06E" w14:textId="77777777" w:rsidTr="00CB3FEF">
        <w:trPr>
          <w:trHeight w:val="287"/>
        </w:trPr>
        <w:tc>
          <w:tcPr>
            <w:tcW w:w="1701" w:type="dxa"/>
            <w:vMerge w:val="restart"/>
            <w:tcBorders>
              <w:top w:val="single" w:sz="4" w:space="0" w:color="B4C5E7"/>
              <w:left w:val="single" w:sz="4" w:space="0" w:color="B4C5E7"/>
              <w:bottom w:val="single" w:sz="4" w:space="0" w:color="B4C5E7"/>
              <w:right w:val="single" w:sz="6" w:space="0" w:color="B4C5E7"/>
            </w:tcBorders>
            <w:shd w:val="clear" w:color="auto" w:fill="DBE5F1"/>
          </w:tcPr>
          <w:p w14:paraId="5A724B6C" w14:textId="77777777" w:rsidR="00947670" w:rsidRPr="009A27ED" w:rsidRDefault="00947670" w:rsidP="00947670">
            <w:pPr>
              <w:tabs>
                <w:tab w:val="left" w:pos="709"/>
              </w:tabs>
              <w:spacing w:before="10" w:after="0"/>
              <w:ind w:left="360"/>
              <w:rPr>
                <w:rFonts w:cs="Calibri"/>
                <w:sz w:val="20"/>
                <w:szCs w:val="20"/>
                <w:lang w:eastAsia="gl"/>
              </w:rPr>
            </w:pPr>
          </w:p>
          <w:p w14:paraId="6DC45B8D" w14:textId="77777777" w:rsidR="00947670" w:rsidRPr="009A27ED" w:rsidRDefault="00947670" w:rsidP="00947670">
            <w:pPr>
              <w:tabs>
                <w:tab w:val="left" w:pos="709"/>
              </w:tabs>
              <w:spacing w:after="0"/>
              <w:ind w:left="360"/>
              <w:rPr>
                <w:rFonts w:cs="Calibri"/>
                <w:sz w:val="20"/>
                <w:szCs w:val="20"/>
                <w:lang w:eastAsia="gl"/>
              </w:rPr>
            </w:pPr>
            <w:r w:rsidRPr="009A27ED">
              <w:rPr>
                <w:rFonts w:cs="Calibri"/>
                <w:sz w:val="20"/>
                <w:szCs w:val="20"/>
                <w:lang w:eastAsia="gl"/>
              </w:rPr>
              <w:t>Alta</w:t>
            </w:r>
          </w:p>
        </w:tc>
        <w:tc>
          <w:tcPr>
            <w:tcW w:w="5387" w:type="dxa"/>
            <w:tcBorders>
              <w:top w:val="single" w:sz="4" w:space="0" w:color="B4C5E7"/>
              <w:left w:val="single" w:sz="6" w:space="0" w:color="B4C5E7"/>
              <w:bottom w:val="single" w:sz="4" w:space="0" w:color="B4C5E7"/>
              <w:right w:val="single" w:sz="4" w:space="0" w:color="B4C5E7"/>
            </w:tcBorders>
            <w:shd w:val="clear" w:color="auto" w:fill="DBE5F1"/>
          </w:tcPr>
          <w:p w14:paraId="20F930F4" w14:textId="77777777" w:rsidR="00947670" w:rsidRPr="009A27ED" w:rsidRDefault="00947670" w:rsidP="00947670">
            <w:pPr>
              <w:tabs>
                <w:tab w:val="left" w:pos="709"/>
              </w:tabs>
              <w:spacing w:before="32" w:after="0"/>
              <w:ind w:left="100"/>
              <w:rPr>
                <w:rFonts w:cs="Calibri"/>
                <w:sz w:val="20"/>
                <w:szCs w:val="20"/>
                <w:lang w:eastAsia="gl"/>
              </w:rPr>
            </w:pPr>
            <w:r w:rsidRPr="009A27ED">
              <w:rPr>
                <w:rFonts w:cs="Calibri"/>
                <w:sz w:val="20"/>
                <w:szCs w:val="20"/>
                <w:lang w:eastAsia="gl"/>
              </w:rPr>
              <w:t>Agricultura comercial</w:t>
            </w:r>
          </w:p>
        </w:tc>
        <w:tc>
          <w:tcPr>
            <w:tcW w:w="1984" w:type="dxa"/>
            <w:tcBorders>
              <w:top w:val="single" w:sz="4" w:space="0" w:color="B4C5E7"/>
              <w:left w:val="single" w:sz="4" w:space="0" w:color="B4C5E7"/>
              <w:bottom w:val="single" w:sz="4" w:space="0" w:color="B4C5E7"/>
              <w:right w:val="single" w:sz="4" w:space="0" w:color="B4C5E7"/>
            </w:tcBorders>
            <w:shd w:val="clear" w:color="auto" w:fill="DBE5F1"/>
          </w:tcPr>
          <w:p w14:paraId="12D7B684" w14:textId="77777777" w:rsidR="00947670" w:rsidRPr="009A27ED" w:rsidRDefault="00947670" w:rsidP="00CB3FEF">
            <w:pPr>
              <w:tabs>
                <w:tab w:val="left" w:pos="709"/>
              </w:tabs>
              <w:spacing w:after="0"/>
              <w:jc w:val="center"/>
              <w:rPr>
                <w:rFonts w:cs="Calibri"/>
                <w:sz w:val="20"/>
                <w:szCs w:val="20"/>
                <w:lang w:eastAsia="gl"/>
              </w:rPr>
            </w:pPr>
            <w:r w:rsidRPr="009A27ED">
              <w:rPr>
                <w:rFonts w:cs="Calibri"/>
                <w:sz w:val="20"/>
                <w:szCs w:val="20"/>
                <w:lang w:eastAsia="gl"/>
              </w:rPr>
              <w:t>0,77</w:t>
            </w:r>
          </w:p>
        </w:tc>
      </w:tr>
      <w:tr w:rsidR="00947670" w:rsidRPr="009A27ED" w14:paraId="3CC683AD" w14:textId="77777777" w:rsidTr="00CB3FEF">
        <w:trPr>
          <w:trHeight w:val="287"/>
        </w:trPr>
        <w:tc>
          <w:tcPr>
            <w:tcW w:w="1701" w:type="dxa"/>
            <w:vMerge/>
            <w:tcBorders>
              <w:top w:val="nil"/>
              <w:left w:val="single" w:sz="4" w:space="0" w:color="B4C5E7"/>
              <w:bottom w:val="single" w:sz="4" w:space="0" w:color="B4C5E7"/>
              <w:right w:val="single" w:sz="6" w:space="0" w:color="B4C5E7"/>
            </w:tcBorders>
            <w:shd w:val="clear" w:color="auto" w:fill="DBE5F1"/>
          </w:tcPr>
          <w:p w14:paraId="225A5AEF" w14:textId="77777777" w:rsidR="00947670" w:rsidRPr="009A27ED" w:rsidRDefault="00947670" w:rsidP="00947670">
            <w:pPr>
              <w:tabs>
                <w:tab w:val="left" w:pos="709"/>
              </w:tabs>
              <w:spacing w:after="0"/>
              <w:ind w:left="360"/>
              <w:rPr>
                <w:rFonts w:cs="Calibri"/>
                <w:sz w:val="20"/>
                <w:szCs w:val="20"/>
              </w:rPr>
            </w:pPr>
          </w:p>
        </w:tc>
        <w:tc>
          <w:tcPr>
            <w:tcW w:w="5387" w:type="dxa"/>
            <w:tcBorders>
              <w:top w:val="single" w:sz="4" w:space="0" w:color="B4C5E7"/>
              <w:left w:val="single" w:sz="6" w:space="0" w:color="B4C5E7"/>
              <w:bottom w:val="single" w:sz="4" w:space="0" w:color="B4C5E7"/>
              <w:right w:val="single" w:sz="4" w:space="0" w:color="B4C5E7"/>
            </w:tcBorders>
            <w:shd w:val="clear" w:color="auto" w:fill="DBE5F1"/>
          </w:tcPr>
          <w:p w14:paraId="7F5F36BF" w14:textId="77777777" w:rsidR="00947670" w:rsidRPr="009A27ED" w:rsidRDefault="00947670" w:rsidP="00947670">
            <w:pPr>
              <w:tabs>
                <w:tab w:val="left" w:pos="709"/>
              </w:tabs>
              <w:spacing w:before="32" w:after="0"/>
              <w:ind w:left="100"/>
              <w:rPr>
                <w:rFonts w:cs="Calibri"/>
                <w:sz w:val="20"/>
                <w:szCs w:val="20"/>
                <w:lang w:eastAsia="gl"/>
              </w:rPr>
            </w:pPr>
            <w:r w:rsidRPr="009A27ED">
              <w:rPr>
                <w:rFonts w:cs="Calibri"/>
                <w:sz w:val="20"/>
                <w:szCs w:val="20"/>
                <w:lang w:eastAsia="gl"/>
              </w:rPr>
              <w:t>Agricultura migratoria/subsistencia</w:t>
            </w:r>
          </w:p>
        </w:tc>
        <w:tc>
          <w:tcPr>
            <w:tcW w:w="1984" w:type="dxa"/>
            <w:tcBorders>
              <w:top w:val="single" w:sz="4" w:space="0" w:color="B4C5E7"/>
              <w:left w:val="single" w:sz="4" w:space="0" w:color="B4C5E7"/>
              <w:bottom w:val="single" w:sz="4" w:space="0" w:color="B4C5E7"/>
              <w:right w:val="single" w:sz="4" w:space="0" w:color="B4C5E7"/>
            </w:tcBorders>
            <w:shd w:val="clear" w:color="auto" w:fill="DBE5F1"/>
          </w:tcPr>
          <w:p w14:paraId="02C438DF" w14:textId="77777777" w:rsidR="00947670" w:rsidRPr="009A27ED" w:rsidRDefault="00947670" w:rsidP="00CB3FEF">
            <w:pPr>
              <w:tabs>
                <w:tab w:val="left" w:pos="709"/>
              </w:tabs>
              <w:spacing w:after="0"/>
              <w:jc w:val="center"/>
              <w:rPr>
                <w:rFonts w:cs="Calibri"/>
                <w:sz w:val="20"/>
                <w:szCs w:val="20"/>
                <w:lang w:eastAsia="gl"/>
              </w:rPr>
            </w:pPr>
            <w:r w:rsidRPr="009A27ED">
              <w:rPr>
                <w:rFonts w:cs="Calibri"/>
                <w:sz w:val="20"/>
                <w:szCs w:val="20"/>
                <w:lang w:eastAsia="gl"/>
              </w:rPr>
              <w:t>0,66</w:t>
            </w:r>
          </w:p>
        </w:tc>
      </w:tr>
      <w:tr w:rsidR="00947670" w:rsidRPr="009A27ED" w14:paraId="60E3A082" w14:textId="77777777" w:rsidTr="00CB3FEF">
        <w:trPr>
          <w:trHeight w:val="287"/>
        </w:trPr>
        <w:tc>
          <w:tcPr>
            <w:tcW w:w="1701" w:type="dxa"/>
            <w:vMerge w:val="restart"/>
            <w:tcBorders>
              <w:top w:val="single" w:sz="4" w:space="0" w:color="B4C5E7"/>
              <w:left w:val="single" w:sz="4" w:space="0" w:color="B4C5E7"/>
              <w:bottom w:val="single" w:sz="4" w:space="0" w:color="B4C5E7"/>
              <w:right w:val="single" w:sz="6" w:space="0" w:color="B4C5E7"/>
            </w:tcBorders>
          </w:tcPr>
          <w:p w14:paraId="26B65453" w14:textId="77777777" w:rsidR="00947670" w:rsidRPr="009A27ED" w:rsidRDefault="00947670" w:rsidP="00947670">
            <w:pPr>
              <w:tabs>
                <w:tab w:val="left" w:pos="709"/>
              </w:tabs>
              <w:spacing w:before="10" w:after="0"/>
              <w:ind w:left="360"/>
              <w:rPr>
                <w:rFonts w:cs="Calibri"/>
                <w:sz w:val="20"/>
                <w:szCs w:val="20"/>
                <w:lang w:eastAsia="gl"/>
              </w:rPr>
            </w:pPr>
          </w:p>
          <w:p w14:paraId="3BCDC1C7" w14:textId="77777777" w:rsidR="00947670" w:rsidRPr="009A27ED" w:rsidRDefault="00947670" w:rsidP="00947670">
            <w:pPr>
              <w:tabs>
                <w:tab w:val="left" w:pos="709"/>
              </w:tabs>
              <w:spacing w:after="0"/>
              <w:ind w:left="360"/>
              <w:rPr>
                <w:rFonts w:cs="Calibri"/>
                <w:sz w:val="20"/>
                <w:szCs w:val="20"/>
                <w:lang w:eastAsia="gl"/>
              </w:rPr>
            </w:pPr>
            <w:r w:rsidRPr="009A27ED">
              <w:rPr>
                <w:rFonts w:cs="Calibri"/>
                <w:sz w:val="20"/>
                <w:szCs w:val="20"/>
                <w:lang w:eastAsia="gl"/>
              </w:rPr>
              <w:t>Media</w:t>
            </w:r>
          </w:p>
        </w:tc>
        <w:tc>
          <w:tcPr>
            <w:tcW w:w="5387" w:type="dxa"/>
            <w:tcBorders>
              <w:top w:val="single" w:sz="4" w:space="0" w:color="B4C5E7"/>
              <w:left w:val="single" w:sz="6" w:space="0" w:color="B4C5E7"/>
              <w:bottom w:val="single" w:sz="4" w:space="0" w:color="B4C5E7"/>
              <w:right w:val="single" w:sz="4" w:space="0" w:color="B4C5E7"/>
            </w:tcBorders>
          </w:tcPr>
          <w:p w14:paraId="5F8FD006" w14:textId="77777777" w:rsidR="00947670" w:rsidRPr="009A27ED" w:rsidRDefault="00947670" w:rsidP="00947670">
            <w:pPr>
              <w:tabs>
                <w:tab w:val="left" w:pos="709"/>
              </w:tabs>
              <w:spacing w:before="32" w:after="0"/>
              <w:ind w:left="100"/>
              <w:rPr>
                <w:rFonts w:cs="Calibri"/>
                <w:sz w:val="20"/>
                <w:szCs w:val="20"/>
                <w:lang w:eastAsia="gl"/>
              </w:rPr>
            </w:pPr>
            <w:r w:rsidRPr="009A27ED">
              <w:rPr>
                <w:rFonts w:cs="Calibri"/>
                <w:sz w:val="20"/>
                <w:szCs w:val="20"/>
                <w:lang w:eastAsia="gl"/>
              </w:rPr>
              <w:t>Minería a cielo abierto</w:t>
            </w:r>
          </w:p>
        </w:tc>
        <w:tc>
          <w:tcPr>
            <w:tcW w:w="1984" w:type="dxa"/>
            <w:tcBorders>
              <w:top w:val="single" w:sz="4" w:space="0" w:color="B4C5E7"/>
              <w:left w:val="single" w:sz="4" w:space="0" w:color="B4C5E7"/>
              <w:bottom w:val="single" w:sz="4" w:space="0" w:color="B4C5E7"/>
              <w:right w:val="single" w:sz="4" w:space="0" w:color="B4C5E7"/>
            </w:tcBorders>
          </w:tcPr>
          <w:p w14:paraId="2B2C6321" w14:textId="77777777" w:rsidR="00947670" w:rsidRPr="009A27ED" w:rsidRDefault="00947670" w:rsidP="00CB3FEF">
            <w:pPr>
              <w:tabs>
                <w:tab w:val="left" w:pos="709"/>
              </w:tabs>
              <w:spacing w:after="0"/>
              <w:jc w:val="center"/>
              <w:rPr>
                <w:rFonts w:cs="Calibri"/>
                <w:sz w:val="20"/>
                <w:szCs w:val="20"/>
                <w:lang w:eastAsia="gl"/>
              </w:rPr>
            </w:pPr>
            <w:r w:rsidRPr="009A27ED">
              <w:rPr>
                <w:rFonts w:cs="Calibri"/>
                <w:sz w:val="20"/>
                <w:szCs w:val="20"/>
                <w:lang w:eastAsia="gl"/>
              </w:rPr>
              <w:t>0,55</w:t>
            </w:r>
          </w:p>
        </w:tc>
      </w:tr>
      <w:tr w:rsidR="00947670" w:rsidRPr="009A27ED" w14:paraId="26685AC7" w14:textId="77777777" w:rsidTr="00CB3FEF">
        <w:trPr>
          <w:trHeight w:val="287"/>
        </w:trPr>
        <w:tc>
          <w:tcPr>
            <w:tcW w:w="1701" w:type="dxa"/>
            <w:vMerge/>
            <w:tcBorders>
              <w:top w:val="nil"/>
              <w:left w:val="single" w:sz="4" w:space="0" w:color="B4C5E7"/>
              <w:bottom w:val="single" w:sz="4" w:space="0" w:color="B4C5E7"/>
              <w:right w:val="single" w:sz="6" w:space="0" w:color="B4C5E7"/>
            </w:tcBorders>
          </w:tcPr>
          <w:p w14:paraId="17918BEC" w14:textId="77777777" w:rsidR="00947670" w:rsidRPr="009A27ED" w:rsidRDefault="00947670" w:rsidP="00947670">
            <w:pPr>
              <w:tabs>
                <w:tab w:val="left" w:pos="709"/>
              </w:tabs>
              <w:spacing w:after="0"/>
              <w:ind w:left="360"/>
              <w:rPr>
                <w:rFonts w:cs="Calibri"/>
                <w:sz w:val="20"/>
                <w:szCs w:val="20"/>
              </w:rPr>
            </w:pPr>
          </w:p>
        </w:tc>
        <w:tc>
          <w:tcPr>
            <w:tcW w:w="5387" w:type="dxa"/>
            <w:tcBorders>
              <w:top w:val="single" w:sz="4" w:space="0" w:color="B4C5E7"/>
              <w:left w:val="single" w:sz="6" w:space="0" w:color="B4C5E7"/>
              <w:bottom w:val="single" w:sz="4" w:space="0" w:color="B4C5E7"/>
              <w:right w:val="single" w:sz="4" w:space="0" w:color="B4C5E7"/>
            </w:tcBorders>
          </w:tcPr>
          <w:p w14:paraId="45B19767" w14:textId="77777777" w:rsidR="00947670" w:rsidRPr="009A27ED" w:rsidRDefault="00947670" w:rsidP="00947670">
            <w:pPr>
              <w:tabs>
                <w:tab w:val="left" w:pos="709"/>
              </w:tabs>
              <w:spacing w:before="32" w:after="0"/>
              <w:ind w:left="100"/>
              <w:rPr>
                <w:rFonts w:cs="Calibri"/>
                <w:sz w:val="20"/>
                <w:szCs w:val="20"/>
                <w:lang w:eastAsia="gl"/>
              </w:rPr>
            </w:pPr>
            <w:r w:rsidRPr="009A27ED">
              <w:rPr>
                <w:rFonts w:cs="Calibri"/>
                <w:sz w:val="20"/>
                <w:szCs w:val="20"/>
                <w:lang w:eastAsia="gl"/>
              </w:rPr>
              <w:t>Extracción de madera, leña/carbón</w:t>
            </w:r>
          </w:p>
        </w:tc>
        <w:tc>
          <w:tcPr>
            <w:tcW w:w="1984" w:type="dxa"/>
            <w:tcBorders>
              <w:top w:val="single" w:sz="4" w:space="0" w:color="B4C5E7"/>
              <w:left w:val="single" w:sz="4" w:space="0" w:color="B4C5E7"/>
              <w:bottom w:val="single" w:sz="4" w:space="0" w:color="B4C5E7"/>
              <w:right w:val="single" w:sz="4" w:space="0" w:color="B4C5E7"/>
            </w:tcBorders>
          </w:tcPr>
          <w:p w14:paraId="490A2CE0" w14:textId="77777777" w:rsidR="00947670" w:rsidRPr="009A27ED" w:rsidRDefault="00947670" w:rsidP="00CB3FEF">
            <w:pPr>
              <w:tabs>
                <w:tab w:val="left" w:pos="709"/>
              </w:tabs>
              <w:spacing w:after="0"/>
              <w:jc w:val="center"/>
              <w:rPr>
                <w:rFonts w:cs="Calibri"/>
                <w:sz w:val="20"/>
                <w:szCs w:val="20"/>
                <w:lang w:eastAsia="gl"/>
              </w:rPr>
            </w:pPr>
            <w:r w:rsidRPr="009A27ED">
              <w:rPr>
                <w:rFonts w:cs="Calibri"/>
                <w:sz w:val="20"/>
                <w:szCs w:val="20"/>
                <w:lang w:eastAsia="gl"/>
              </w:rPr>
              <w:t>0,44</w:t>
            </w:r>
          </w:p>
        </w:tc>
      </w:tr>
      <w:tr w:rsidR="00947670" w:rsidRPr="009A27ED" w14:paraId="43E28474" w14:textId="77777777" w:rsidTr="00CB3FEF">
        <w:trPr>
          <w:trHeight w:val="287"/>
        </w:trPr>
        <w:tc>
          <w:tcPr>
            <w:tcW w:w="1701" w:type="dxa"/>
            <w:vMerge w:val="restart"/>
            <w:tcBorders>
              <w:top w:val="single" w:sz="4" w:space="0" w:color="B4C5E7"/>
              <w:left w:val="single" w:sz="4" w:space="0" w:color="B4C5E7"/>
              <w:bottom w:val="single" w:sz="4" w:space="0" w:color="B4C5E7"/>
              <w:right w:val="single" w:sz="6" w:space="0" w:color="B4C5E7"/>
            </w:tcBorders>
            <w:shd w:val="clear" w:color="auto" w:fill="DBE5F1"/>
          </w:tcPr>
          <w:p w14:paraId="0C6F5020" w14:textId="77777777" w:rsidR="00947670" w:rsidRPr="009A27ED" w:rsidRDefault="00947670" w:rsidP="00947670">
            <w:pPr>
              <w:tabs>
                <w:tab w:val="left" w:pos="709"/>
              </w:tabs>
              <w:spacing w:after="0"/>
              <w:ind w:left="360"/>
              <w:rPr>
                <w:rFonts w:cs="Calibri"/>
                <w:sz w:val="20"/>
                <w:szCs w:val="20"/>
                <w:lang w:eastAsia="gl"/>
              </w:rPr>
            </w:pPr>
          </w:p>
          <w:p w14:paraId="25618836" w14:textId="77777777" w:rsidR="00947670" w:rsidRPr="009A27ED" w:rsidRDefault="00947670" w:rsidP="00947670">
            <w:pPr>
              <w:tabs>
                <w:tab w:val="left" w:pos="709"/>
              </w:tabs>
              <w:spacing w:after="0"/>
              <w:ind w:left="360"/>
              <w:rPr>
                <w:rFonts w:cs="Calibri"/>
                <w:sz w:val="20"/>
                <w:szCs w:val="20"/>
                <w:lang w:eastAsia="gl"/>
              </w:rPr>
            </w:pPr>
            <w:r w:rsidRPr="009A27ED">
              <w:rPr>
                <w:rFonts w:cs="Calibri"/>
                <w:sz w:val="20"/>
                <w:szCs w:val="20"/>
                <w:lang w:eastAsia="gl"/>
              </w:rPr>
              <w:t>Baja</w:t>
            </w:r>
          </w:p>
        </w:tc>
        <w:tc>
          <w:tcPr>
            <w:tcW w:w="5387" w:type="dxa"/>
            <w:tcBorders>
              <w:top w:val="single" w:sz="4" w:space="0" w:color="B4C5E7"/>
              <w:left w:val="single" w:sz="6" w:space="0" w:color="B4C5E7"/>
              <w:bottom w:val="single" w:sz="4" w:space="0" w:color="B4C5E7"/>
              <w:right w:val="single" w:sz="4" w:space="0" w:color="B4C5E7"/>
            </w:tcBorders>
            <w:shd w:val="clear" w:color="auto" w:fill="DBE5F1"/>
          </w:tcPr>
          <w:p w14:paraId="29B33604" w14:textId="77777777" w:rsidR="00947670" w:rsidRPr="009A27ED" w:rsidRDefault="00947670" w:rsidP="00947670">
            <w:pPr>
              <w:tabs>
                <w:tab w:val="left" w:pos="709"/>
              </w:tabs>
              <w:spacing w:before="35" w:after="0"/>
              <w:ind w:left="100"/>
              <w:rPr>
                <w:rFonts w:cs="Calibri"/>
                <w:sz w:val="20"/>
                <w:szCs w:val="20"/>
                <w:lang w:eastAsia="gl"/>
              </w:rPr>
            </w:pPr>
            <w:r w:rsidRPr="009A27ED">
              <w:rPr>
                <w:rFonts w:cs="Calibri"/>
                <w:sz w:val="20"/>
                <w:szCs w:val="20"/>
                <w:lang w:eastAsia="gl"/>
              </w:rPr>
              <w:t>Incendios de alta intensidad</w:t>
            </w:r>
          </w:p>
        </w:tc>
        <w:tc>
          <w:tcPr>
            <w:tcW w:w="1984" w:type="dxa"/>
            <w:tcBorders>
              <w:top w:val="single" w:sz="4" w:space="0" w:color="B4C5E7"/>
              <w:left w:val="single" w:sz="4" w:space="0" w:color="B4C5E7"/>
              <w:bottom w:val="single" w:sz="4" w:space="0" w:color="B4C5E7"/>
              <w:right w:val="single" w:sz="4" w:space="0" w:color="B4C5E7"/>
            </w:tcBorders>
            <w:shd w:val="clear" w:color="auto" w:fill="DBE5F1"/>
          </w:tcPr>
          <w:p w14:paraId="5B2C0C58" w14:textId="77777777" w:rsidR="00947670" w:rsidRPr="009A27ED" w:rsidRDefault="00947670" w:rsidP="00CB3FEF">
            <w:pPr>
              <w:tabs>
                <w:tab w:val="left" w:pos="709"/>
              </w:tabs>
              <w:spacing w:after="0"/>
              <w:jc w:val="center"/>
              <w:rPr>
                <w:rFonts w:cs="Calibri"/>
                <w:sz w:val="20"/>
                <w:szCs w:val="20"/>
                <w:lang w:eastAsia="gl"/>
              </w:rPr>
            </w:pPr>
            <w:r w:rsidRPr="009A27ED">
              <w:rPr>
                <w:rFonts w:cs="Calibri"/>
                <w:sz w:val="20"/>
                <w:szCs w:val="20"/>
                <w:lang w:eastAsia="gl"/>
              </w:rPr>
              <w:t>0,33</w:t>
            </w:r>
          </w:p>
        </w:tc>
      </w:tr>
      <w:tr w:rsidR="00947670" w:rsidRPr="009A27ED" w14:paraId="4377CBB0" w14:textId="77777777" w:rsidTr="00CB3FEF">
        <w:trPr>
          <w:trHeight w:val="290"/>
        </w:trPr>
        <w:tc>
          <w:tcPr>
            <w:tcW w:w="1701" w:type="dxa"/>
            <w:vMerge/>
            <w:tcBorders>
              <w:top w:val="nil"/>
              <w:left w:val="single" w:sz="4" w:space="0" w:color="B4C5E7"/>
              <w:bottom w:val="single" w:sz="4" w:space="0" w:color="B4C5E7"/>
              <w:right w:val="single" w:sz="6" w:space="0" w:color="B4C5E7"/>
            </w:tcBorders>
            <w:shd w:val="clear" w:color="auto" w:fill="DBE5F1"/>
          </w:tcPr>
          <w:p w14:paraId="640032FA" w14:textId="77777777" w:rsidR="00947670" w:rsidRPr="009A27ED" w:rsidRDefault="00947670" w:rsidP="00947670">
            <w:pPr>
              <w:tabs>
                <w:tab w:val="left" w:pos="709"/>
              </w:tabs>
              <w:spacing w:after="0"/>
              <w:ind w:left="360"/>
              <w:rPr>
                <w:rFonts w:cs="Calibri"/>
                <w:sz w:val="20"/>
                <w:szCs w:val="20"/>
              </w:rPr>
            </w:pPr>
          </w:p>
        </w:tc>
        <w:tc>
          <w:tcPr>
            <w:tcW w:w="5387" w:type="dxa"/>
            <w:tcBorders>
              <w:top w:val="single" w:sz="4" w:space="0" w:color="B4C5E7"/>
              <w:left w:val="single" w:sz="6" w:space="0" w:color="B4C5E7"/>
              <w:bottom w:val="single" w:sz="4" w:space="0" w:color="B4C5E7"/>
              <w:right w:val="single" w:sz="4" w:space="0" w:color="B4C5E7"/>
            </w:tcBorders>
            <w:shd w:val="clear" w:color="auto" w:fill="DBE5F1"/>
          </w:tcPr>
          <w:p w14:paraId="76B07CAE" w14:textId="77777777" w:rsidR="00947670" w:rsidRPr="009A27ED" w:rsidRDefault="00947670" w:rsidP="00947670">
            <w:pPr>
              <w:tabs>
                <w:tab w:val="left" w:pos="709"/>
              </w:tabs>
              <w:spacing w:before="35" w:after="0"/>
              <w:ind w:left="100"/>
              <w:rPr>
                <w:rFonts w:cs="Calibri"/>
                <w:sz w:val="20"/>
                <w:szCs w:val="20"/>
                <w:lang w:eastAsia="gl"/>
              </w:rPr>
            </w:pPr>
            <w:r w:rsidRPr="009A27ED">
              <w:rPr>
                <w:rFonts w:cs="Calibri"/>
                <w:sz w:val="20"/>
                <w:szCs w:val="20"/>
                <w:lang w:eastAsia="gl"/>
              </w:rPr>
              <w:t>Insumos energéticos (biomasa)</w:t>
            </w:r>
          </w:p>
        </w:tc>
        <w:tc>
          <w:tcPr>
            <w:tcW w:w="1984" w:type="dxa"/>
            <w:tcBorders>
              <w:top w:val="single" w:sz="4" w:space="0" w:color="B4C5E7"/>
              <w:left w:val="single" w:sz="4" w:space="0" w:color="B4C5E7"/>
              <w:bottom w:val="single" w:sz="4" w:space="0" w:color="B4C5E7"/>
              <w:right w:val="single" w:sz="4" w:space="0" w:color="B4C5E7"/>
            </w:tcBorders>
            <w:shd w:val="clear" w:color="auto" w:fill="DBE5F1"/>
          </w:tcPr>
          <w:p w14:paraId="6BAC1392" w14:textId="77777777" w:rsidR="00947670" w:rsidRPr="009A27ED" w:rsidRDefault="00947670" w:rsidP="00CB3FEF">
            <w:pPr>
              <w:tabs>
                <w:tab w:val="left" w:pos="709"/>
              </w:tabs>
              <w:spacing w:after="0"/>
              <w:jc w:val="center"/>
              <w:rPr>
                <w:rFonts w:cs="Calibri"/>
                <w:sz w:val="20"/>
                <w:szCs w:val="20"/>
                <w:lang w:eastAsia="gl"/>
              </w:rPr>
            </w:pPr>
            <w:r w:rsidRPr="009A27ED">
              <w:rPr>
                <w:rFonts w:cs="Calibri"/>
                <w:sz w:val="20"/>
                <w:szCs w:val="20"/>
                <w:lang w:eastAsia="gl"/>
              </w:rPr>
              <w:t>0,22</w:t>
            </w:r>
          </w:p>
        </w:tc>
      </w:tr>
      <w:tr w:rsidR="00947670" w:rsidRPr="009A27ED" w14:paraId="2B72BB78" w14:textId="77777777" w:rsidTr="00CB3FEF">
        <w:trPr>
          <w:trHeight w:val="287"/>
        </w:trPr>
        <w:tc>
          <w:tcPr>
            <w:tcW w:w="1701" w:type="dxa"/>
            <w:vMerge w:val="restart"/>
            <w:tcBorders>
              <w:top w:val="single" w:sz="4" w:space="0" w:color="B4C5E7"/>
              <w:left w:val="single" w:sz="4" w:space="0" w:color="B4C5E7"/>
              <w:bottom w:val="single" w:sz="4" w:space="0" w:color="B4C5E7"/>
              <w:right w:val="single" w:sz="6" w:space="0" w:color="B4C5E7"/>
            </w:tcBorders>
          </w:tcPr>
          <w:p w14:paraId="65CDFE52" w14:textId="77777777" w:rsidR="00947670" w:rsidRPr="009A27ED" w:rsidRDefault="00947670" w:rsidP="00947670">
            <w:pPr>
              <w:tabs>
                <w:tab w:val="left" w:pos="709"/>
              </w:tabs>
              <w:spacing w:before="10" w:after="0"/>
              <w:ind w:left="360"/>
              <w:rPr>
                <w:rFonts w:cs="Calibri"/>
                <w:sz w:val="20"/>
                <w:szCs w:val="20"/>
                <w:lang w:eastAsia="gl"/>
              </w:rPr>
            </w:pPr>
          </w:p>
          <w:p w14:paraId="2AA27265" w14:textId="77777777" w:rsidR="00947670" w:rsidRPr="009A27ED" w:rsidRDefault="00947670" w:rsidP="00947670">
            <w:pPr>
              <w:tabs>
                <w:tab w:val="left" w:pos="709"/>
              </w:tabs>
              <w:spacing w:after="0"/>
              <w:ind w:left="360"/>
              <w:rPr>
                <w:rFonts w:cs="Calibri"/>
                <w:sz w:val="20"/>
                <w:szCs w:val="20"/>
                <w:lang w:eastAsia="gl"/>
              </w:rPr>
            </w:pPr>
            <w:r w:rsidRPr="009A27ED">
              <w:rPr>
                <w:rFonts w:cs="Calibri"/>
                <w:sz w:val="20"/>
                <w:szCs w:val="20"/>
                <w:lang w:eastAsia="gl"/>
              </w:rPr>
              <w:t>Muy baja</w:t>
            </w:r>
          </w:p>
        </w:tc>
        <w:tc>
          <w:tcPr>
            <w:tcW w:w="5387" w:type="dxa"/>
            <w:tcBorders>
              <w:top w:val="single" w:sz="4" w:space="0" w:color="B4C5E7"/>
              <w:left w:val="single" w:sz="6" w:space="0" w:color="B4C5E7"/>
              <w:bottom w:val="single" w:sz="4" w:space="0" w:color="B4C5E7"/>
              <w:right w:val="single" w:sz="4" w:space="0" w:color="B4C5E7"/>
            </w:tcBorders>
          </w:tcPr>
          <w:p w14:paraId="350B6808" w14:textId="77777777" w:rsidR="00947670" w:rsidRPr="009A27ED" w:rsidRDefault="00947670" w:rsidP="00947670">
            <w:pPr>
              <w:tabs>
                <w:tab w:val="left" w:pos="709"/>
              </w:tabs>
              <w:spacing w:before="32" w:after="0"/>
              <w:ind w:left="100"/>
              <w:rPr>
                <w:rFonts w:cs="Calibri"/>
                <w:sz w:val="20"/>
                <w:szCs w:val="20"/>
                <w:lang w:eastAsia="gl"/>
              </w:rPr>
            </w:pPr>
            <w:r w:rsidRPr="009A27ED">
              <w:rPr>
                <w:rFonts w:cs="Calibri"/>
                <w:sz w:val="20"/>
                <w:szCs w:val="20"/>
                <w:lang w:eastAsia="gl"/>
              </w:rPr>
              <w:t>Infraestructura</w:t>
            </w:r>
          </w:p>
        </w:tc>
        <w:tc>
          <w:tcPr>
            <w:tcW w:w="1984" w:type="dxa"/>
            <w:tcBorders>
              <w:top w:val="single" w:sz="4" w:space="0" w:color="B4C5E7"/>
              <w:left w:val="single" w:sz="4" w:space="0" w:color="B4C5E7"/>
              <w:bottom w:val="single" w:sz="4" w:space="0" w:color="B4C5E7"/>
              <w:right w:val="single" w:sz="4" w:space="0" w:color="B4C5E7"/>
            </w:tcBorders>
          </w:tcPr>
          <w:p w14:paraId="11A2BE7F" w14:textId="77777777" w:rsidR="00947670" w:rsidRPr="009A27ED" w:rsidRDefault="00947670" w:rsidP="00CB3FEF">
            <w:pPr>
              <w:tabs>
                <w:tab w:val="left" w:pos="709"/>
              </w:tabs>
              <w:spacing w:after="0"/>
              <w:jc w:val="center"/>
              <w:rPr>
                <w:rFonts w:cs="Calibri"/>
                <w:sz w:val="20"/>
                <w:szCs w:val="20"/>
                <w:lang w:eastAsia="gl"/>
              </w:rPr>
            </w:pPr>
            <w:r w:rsidRPr="009A27ED">
              <w:rPr>
                <w:rFonts w:cs="Calibri"/>
                <w:sz w:val="20"/>
                <w:szCs w:val="20"/>
                <w:lang w:eastAsia="gl"/>
              </w:rPr>
              <w:t>0,11</w:t>
            </w:r>
          </w:p>
        </w:tc>
      </w:tr>
      <w:tr w:rsidR="00947670" w:rsidRPr="009A27ED" w14:paraId="5F886E7C" w14:textId="77777777" w:rsidTr="00CB3FEF">
        <w:trPr>
          <w:trHeight w:val="287"/>
        </w:trPr>
        <w:tc>
          <w:tcPr>
            <w:tcW w:w="1701" w:type="dxa"/>
            <w:vMerge/>
            <w:tcBorders>
              <w:top w:val="nil"/>
              <w:left w:val="single" w:sz="4" w:space="0" w:color="B4C5E7"/>
              <w:bottom w:val="single" w:sz="4" w:space="0" w:color="B4C5E7"/>
              <w:right w:val="single" w:sz="6" w:space="0" w:color="B4C5E7"/>
            </w:tcBorders>
          </w:tcPr>
          <w:p w14:paraId="6B8EC04F" w14:textId="77777777" w:rsidR="00947670" w:rsidRPr="009A27ED" w:rsidRDefault="00947670" w:rsidP="00D42802">
            <w:pPr>
              <w:numPr>
                <w:ilvl w:val="0"/>
                <w:numId w:val="20"/>
              </w:numPr>
              <w:tabs>
                <w:tab w:val="left" w:pos="709"/>
              </w:tabs>
              <w:spacing w:after="0"/>
              <w:rPr>
                <w:rFonts w:cs="Calibri"/>
                <w:sz w:val="20"/>
                <w:szCs w:val="20"/>
              </w:rPr>
            </w:pPr>
          </w:p>
        </w:tc>
        <w:tc>
          <w:tcPr>
            <w:tcW w:w="5387" w:type="dxa"/>
            <w:tcBorders>
              <w:top w:val="single" w:sz="4" w:space="0" w:color="B4C5E7"/>
              <w:left w:val="single" w:sz="6" w:space="0" w:color="B4C5E7"/>
              <w:bottom w:val="single" w:sz="4" w:space="0" w:color="B4C5E7"/>
              <w:right w:val="single" w:sz="4" w:space="0" w:color="B4C5E7"/>
            </w:tcBorders>
          </w:tcPr>
          <w:p w14:paraId="5E748F1C" w14:textId="77777777" w:rsidR="00947670" w:rsidRPr="009A27ED" w:rsidRDefault="00947670" w:rsidP="00947670">
            <w:pPr>
              <w:tabs>
                <w:tab w:val="left" w:pos="709"/>
              </w:tabs>
              <w:spacing w:before="32" w:after="0"/>
              <w:ind w:left="100"/>
              <w:rPr>
                <w:rFonts w:cs="Calibri"/>
                <w:sz w:val="20"/>
                <w:szCs w:val="20"/>
                <w:lang w:eastAsia="gl"/>
              </w:rPr>
            </w:pPr>
            <w:r w:rsidRPr="009A27ED">
              <w:rPr>
                <w:rFonts w:cs="Calibri"/>
                <w:sz w:val="20"/>
                <w:szCs w:val="20"/>
                <w:lang w:eastAsia="gl"/>
              </w:rPr>
              <w:t>Desastres naturales</w:t>
            </w:r>
          </w:p>
        </w:tc>
        <w:tc>
          <w:tcPr>
            <w:tcW w:w="1984" w:type="dxa"/>
            <w:tcBorders>
              <w:top w:val="single" w:sz="4" w:space="0" w:color="B4C5E7"/>
              <w:left w:val="single" w:sz="4" w:space="0" w:color="B4C5E7"/>
              <w:bottom w:val="single" w:sz="4" w:space="0" w:color="B4C5E7"/>
              <w:right w:val="single" w:sz="4" w:space="0" w:color="B4C5E7"/>
            </w:tcBorders>
          </w:tcPr>
          <w:p w14:paraId="38A2FB1E" w14:textId="77777777" w:rsidR="00947670" w:rsidRPr="009A27ED" w:rsidRDefault="00947670" w:rsidP="009D5AE5">
            <w:pPr>
              <w:keepNext/>
              <w:tabs>
                <w:tab w:val="left" w:pos="709"/>
              </w:tabs>
              <w:spacing w:after="0"/>
              <w:jc w:val="center"/>
              <w:rPr>
                <w:rFonts w:cs="Calibri"/>
                <w:sz w:val="20"/>
                <w:szCs w:val="20"/>
                <w:lang w:eastAsia="gl"/>
              </w:rPr>
            </w:pPr>
            <w:r w:rsidRPr="009A27ED">
              <w:rPr>
                <w:rFonts w:cs="Calibri"/>
                <w:sz w:val="20"/>
                <w:szCs w:val="20"/>
                <w:lang w:eastAsia="gl"/>
              </w:rPr>
              <w:t>0,01</w:t>
            </w:r>
          </w:p>
        </w:tc>
      </w:tr>
    </w:tbl>
    <w:p w14:paraId="61CCA7B8" w14:textId="793A3F67" w:rsidR="00947670" w:rsidRPr="009A27ED" w:rsidRDefault="00947670" w:rsidP="005B6485">
      <w:pPr>
        <w:spacing w:before="120" w:after="0" w:line="360" w:lineRule="auto"/>
        <w:rPr>
          <w:szCs w:val="22"/>
          <w:lang w:eastAsia="gl"/>
        </w:rPr>
      </w:pPr>
      <w:bookmarkStart w:id="78" w:name="_bookmark29"/>
      <w:bookmarkEnd w:id="78"/>
      <w:r w:rsidRPr="009A27ED">
        <w:rPr>
          <w:rFonts w:ascii="Times New Roman" w:eastAsia="Times New Roman" w:hAnsi="Times New Roman"/>
          <w:sz w:val="24"/>
          <w:szCs w:val="22"/>
          <w:lang w:eastAsia="gl"/>
        </w:rPr>
        <w:t xml:space="preserve">Por su parte, las </w:t>
      </w:r>
      <w:r w:rsidRPr="009A27ED">
        <w:rPr>
          <w:rFonts w:ascii="Times New Roman" w:eastAsia="Times New Roman" w:hAnsi="Times New Roman"/>
          <w:i/>
          <w:sz w:val="24"/>
          <w:szCs w:val="22"/>
          <w:lang w:eastAsia="gl"/>
        </w:rPr>
        <w:t>principales causa</w:t>
      </w:r>
      <w:r w:rsidR="000E4731" w:rsidRPr="009A27ED">
        <w:rPr>
          <w:rFonts w:ascii="Times New Roman" w:eastAsia="Times New Roman" w:hAnsi="Times New Roman"/>
          <w:i/>
          <w:sz w:val="24"/>
          <w:szCs w:val="22"/>
          <w:lang w:eastAsia="gl"/>
        </w:rPr>
        <w:t>s</w:t>
      </w:r>
      <w:r w:rsidRPr="009A27ED">
        <w:rPr>
          <w:rFonts w:ascii="Times New Roman" w:eastAsia="Times New Roman" w:hAnsi="Times New Roman"/>
          <w:i/>
          <w:sz w:val="24"/>
          <w:szCs w:val="22"/>
          <w:lang w:eastAsia="gl"/>
        </w:rPr>
        <w:t xml:space="preserve"> directas de la </w:t>
      </w:r>
      <w:r w:rsidRPr="009A27ED">
        <w:rPr>
          <w:rFonts w:ascii="Times New Roman" w:eastAsia="Times New Roman" w:hAnsi="Times New Roman"/>
          <w:b/>
          <w:bCs/>
          <w:i/>
          <w:sz w:val="24"/>
          <w:szCs w:val="22"/>
          <w:lang w:eastAsia="gl"/>
        </w:rPr>
        <w:t xml:space="preserve">degradación </w:t>
      </w:r>
      <w:r w:rsidRPr="009A27ED">
        <w:rPr>
          <w:rFonts w:ascii="Times New Roman" w:eastAsia="Times New Roman" w:hAnsi="Times New Roman"/>
          <w:i/>
          <w:sz w:val="24"/>
          <w:szCs w:val="22"/>
          <w:lang w:eastAsia="gl"/>
        </w:rPr>
        <w:t>de los bosques identificadas fueron</w:t>
      </w:r>
      <w:r w:rsidRPr="009A27ED">
        <w:rPr>
          <w:rFonts w:ascii="Times New Roman" w:eastAsia="Times New Roman" w:hAnsi="Times New Roman"/>
          <w:sz w:val="24"/>
          <w:szCs w:val="22"/>
          <w:lang w:eastAsia="gl"/>
        </w:rPr>
        <w:t>: i)</w:t>
      </w:r>
      <w:r w:rsidRPr="009A27ED">
        <w:rPr>
          <w:rFonts w:ascii="Times New Roman" w:eastAsia="Times New Roman" w:hAnsi="Times New Roman"/>
          <w:spacing w:val="-8"/>
          <w:sz w:val="24"/>
          <w:szCs w:val="22"/>
          <w:lang w:eastAsia="gl"/>
        </w:rPr>
        <w:t xml:space="preserve"> e</w:t>
      </w:r>
      <w:r w:rsidRPr="009A27ED">
        <w:rPr>
          <w:rFonts w:ascii="Times New Roman" w:eastAsia="Times New Roman" w:hAnsi="Times New Roman"/>
          <w:sz w:val="24"/>
          <w:szCs w:val="22"/>
          <w:lang w:eastAsia="gl"/>
        </w:rPr>
        <w:t>l</w:t>
      </w:r>
      <w:r w:rsidRPr="009A27ED">
        <w:rPr>
          <w:rFonts w:ascii="Times New Roman" w:eastAsia="Times New Roman" w:hAnsi="Times New Roman"/>
          <w:spacing w:val="-9"/>
          <w:sz w:val="24"/>
          <w:szCs w:val="22"/>
          <w:lang w:eastAsia="gl"/>
        </w:rPr>
        <w:t xml:space="preserve"> </w:t>
      </w:r>
      <w:r w:rsidRPr="009A27ED">
        <w:rPr>
          <w:rFonts w:ascii="Times New Roman" w:eastAsia="Times New Roman" w:hAnsi="Times New Roman"/>
          <w:sz w:val="24"/>
          <w:szCs w:val="22"/>
          <w:lang w:eastAsia="gl"/>
        </w:rPr>
        <w:t>pastoreo</w:t>
      </w:r>
      <w:r w:rsidRPr="009A27ED">
        <w:rPr>
          <w:rFonts w:ascii="Times New Roman" w:eastAsia="Times New Roman" w:hAnsi="Times New Roman"/>
          <w:spacing w:val="-9"/>
          <w:sz w:val="24"/>
          <w:szCs w:val="22"/>
          <w:lang w:eastAsia="gl"/>
        </w:rPr>
        <w:t xml:space="preserve"> </w:t>
      </w:r>
      <w:r w:rsidRPr="009A27ED">
        <w:rPr>
          <w:rFonts w:ascii="Times New Roman" w:eastAsia="Times New Roman" w:hAnsi="Times New Roman"/>
          <w:sz w:val="24"/>
          <w:szCs w:val="22"/>
          <w:lang w:eastAsia="gl"/>
        </w:rPr>
        <w:t xml:space="preserve">del ganado en el bosque, </w:t>
      </w:r>
      <w:proofErr w:type="spellStart"/>
      <w:r w:rsidRPr="009A27ED">
        <w:rPr>
          <w:rFonts w:ascii="Times New Roman" w:eastAsia="Times New Roman" w:hAnsi="Times New Roman"/>
          <w:sz w:val="24"/>
          <w:szCs w:val="22"/>
          <w:lang w:eastAsia="gl"/>
        </w:rPr>
        <w:t>ii</w:t>
      </w:r>
      <w:proofErr w:type="spellEnd"/>
      <w:r w:rsidRPr="009A27ED">
        <w:rPr>
          <w:rFonts w:ascii="Times New Roman" w:eastAsia="Times New Roman" w:hAnsi="Times New Roman"/>
          <w:sz w:val="24"/>
          <w:szCs w:val="22"/>
          <w:lang w:eastAsia="gl"/>
        </w:rPr>
        <w:t xml:space="preserve">) la extracción de madera/leña/carbón, </w:t>
      </w:r>
      <w:proofErr w:type="spellStart"/>
      <w:r w:rsidRPr="009A27ED">
        <w:rPr>
          <w:rFonts w:ascii="Times New Roman" w:eastAsia="Times New Roman" w:hAnsi="Times New Roman"/>
          <w:sz w:val="24"/>
          <w:szCs w:val="22"/>
          <w:lang w:eastAsia="gl"/>
        </w:rPr>
        <w:t>iii</w:t>
      </w:r>
      <w:proofErr w:type="spellEnd"/>
      <w:r w:rsidRPr="009A27ED">
        <w:rPr>
          <w:rFonts w:ascii="Times New Roman" w:eastAsia="Times New Roman" w:hAnsi="Times New Roman"/>
          <w:sz w:val="24"/>
          <w:szCs w:val="22"/>
          <w:lang w:eastAsia="gl"/>
        </w:rPr>
        <w:t xml:space="preserve">) los planes de manejo mal gestionados/mal ejecutados, todos considerados como de muy alta prioridad, </w:t>
      </w:r>
      <w:proofErr w:type="spellStart"/>
      <w:r w:rsidRPr="009A27ED">
        <w:rPr>
          <w:rFonts w:ascii="Times New Roman" w:eastAsia="Times New Roman" w:hAnsi="Times New Roman"/>
          <w:sz w:val="24"/>
          <w:szCs w:val="22"/>
          <w:lang w:eastAsia="gl"/>
        </w:rPr>
        <w:t>iv</w:t>
      </w:r>
      <w:proofErr w:type="spellEnd"/>
      <w:r w:rsidRPr="009A27ED">
        <w:rPr>
          <w:rFonts w:ascii="Times New Roman" w:eastAsia="Times New Roman" w:hAnsi="Times New Roman"/>
          <w:sz w:val="24"/>
          <w:szCs w:val="22"/>
          <w:lang w:eastAsia="gl"/>
        </w:rPr>
        <w:t xml:space="preserve">) los incendios forestales de mediana y baja Intensidad, </w:t>
      </w:r>
      <w:r w:rsidR="004F7215" w:rsidRPr="009A27ED">
        <w:rPr>
          <w:rFonts w:ascii="Times New Roman" w:eastAsia="Times New Roman" w:hAnsi="Times New Roman"/>
          <w:sz w:val="24"/>
          <w:szCs w:val="22"/>
          <w:lang w:eastAsia="gl"/>
        </w:rPr>
        <w:t xml:space="preserve">y </w:t>
      </w:r>
      <w:r w:rsidRPr="009A27ED">
        <w:rPr>
          <w:rFonts w:ascii="Times New Roman" w:eastAsia="Times New Roman" w:hAnsi="Times New Roman"/>
          <w:sz w:val="24"/>
          <w:szCs w:val="22"/>
          <w:lang w:eastAsia="gl"/>
        </w:rPr>
        <w:t>v) la introducción especies exóticas/invasoras, ambas catalogadas como de alta prio</w:t>
      </w:r>
      <w:r w:rsidR="009075E5" w:rsidRPr="009A27ED">
        <w:rPr>
          <w:rFonts w:ascii="Times New Roman" w:eastAsia="Times New Roman" w:hAnsi="Times New Roman"/>
          <w:sz w:val="24"/>
          <w:szCs w:val="22"/>
          <w:lang w:eastAsia="gl"/>
        </w:rPr>
        <w:t>ridad.</w:t>
      </w:r>
    </w:p>
    <w:p w14:paraId="08AD7734" w14:textId="77777777" w:rsidR="00E371C1" w:rsidRPr="009A27ED" w:rsidRDefault="00E371C1" w:rsidP="005B6485">
      <w:pPr>
        <w:spacing w:before="120" w:after="0" w:line="360" w:lineRule="auto"/>
        <w:rPr>
          <w:color w:val="000000" w:themeColor="text1"/>
          <w:sz w:val="20"/>
        </w:rPr>
      </w:pPr>
      <w:bookmarkStart w:id="79" w:name="_Toc14022"/>
    </w:p>
    <w:p w14:paraId="41334296" w14:textId="7C358073" w:rsidR="00A47E28" w:rsidRPr="009A27ED" w:rsidRDefault="00E371C1" w:rsidP="00E67CB0">
      <w:pPr>
        <w:pStyle w:val="Descripcin"/>
        <w:spacing w:line="360" w:lineRule="auto"/>
        <w:rPr>
          <w:color w:val="000000" w:themeColor="text1"/>
          <w:sz w:val="20"/>
        </w:rPr>
      </w:pPr>
      <w:bookmarkStart w:id="80" w:name="_Toc111887413"/>
      <w:r w:rsidRPr="009A27ED">
        <w:rPr>
          <w:rFonts w:ascii="Times New Roman" w:eastAsia="Times New Roman" w:hAnsi="Times New Roman"/>
          <w:color w:val="000000" w:themeColor="text1"/>
          <w:sz w:val="24"/>
        </w:rPr>
        <w:t xml:space="preserve">Cuadro </w:t>
      </w:r>
      <w:r w:rsidR="00F43DB6" w:rsidRPr="009A27ED">
        <w:rPr>
          <w:rFonts w:ascii="Times New Roman" w:eastAsia="Times New Roman" w:hAnsi="Times New Roman"/>
          <w:color w:val="000000" w:themeColor="text1"/>
          <w:sz w:val="24"/>
        </w:rPr>
        <w:fldChar w:fldCharType="begin"/>
      </w:r>
      <w:r w:rsidR="00F43DB6" w:rsidRPr="009A27ED">
        <w:rPr>
          <w:rFonts w:ascii="Times New Roman" w:eastAsia="Times New Roman" w:hAnsi="Times New Roman"/>
          <w:color w:val="000000" w:themeColor="text1"/>
          <w:sz w:val="24"/>
        </w:rPr>
        <w:instrText xml:space="preserve"> SEQ Cuadro \* ARABIC </w:instrText>
      </w:r>
      <w:r w:rsidR="00F43DB6" w:rsidRPr="009A27ED">
        <w:rPr>
          <w:rFonts w:ascii="Times New Roman" w:eastAsia="Times New Roman" w:hAnsi="Times New Roman"/>
          <w:color w:val="000000" w:themeColor="text1"/>
          <w:sz w:val="24"/>
        </w:rPr>
        <w:fldChar w:fldCharType="separate"/>
      </w:r>
      <w:r w:rsidR="00DF3AFC" w:rsidRPr="009A27ED">
        <w:rPr>
          <w:rFonts w:ascii="Times New Roman" w:eastAsia="Times New Roman" w:hAnsi="Times New Roman"/>
          <w:noProof/>
          <w:color w:val="000000" w:themeColor="text1"/>
          <w:sz w:val="24"/>
        </w:rPr>
        <w:t>3</w:t>
      </w:r>
      <w:r w:rsidR="00F43DB6" w:rsidRPr="009A27ED">
        <w:rPr>
          <w:rFonts w:ascii="Times New Roman" w:eastAsia="Times New Roman" w:hAnsi="Times New Roman"/>
          <w:color w:val="000000" w:themeColor="text1"/>
          <w:sz w:val="24"/>
        </w:rPr>
        <w:fldChar w:fldCharType="end"/>
      </w:r>
      <w:r w:rsidR="001E165D" w:rsidRPr="009A27ED">
        <w:rPr>
          <w:rFonts w:ascii="Times New Roman" w:eastAsia="Times New Roman" w:hAnsi="Times New Roman"/>
          <w:color w:val="000000" w:themeColor="text1"/>
          <w:sz w:val="24"/>
        </w:rPr>
        <w:t>.</w:t>
      </w:r>
      <w:r w:rsidRPr="009A27ED">
        <w:rPr>
          <w:rFonts w:ascii="Times New Roman" w:eastAsia="Times New Roman" w:hAnsi="Times New Roman"/>
          <w:color w:val="000000" w:themeColor="text1"/>
          <w:sz w:val="24"/>
        </w:rPr>
        <w:t xml:space="preserve"> Causas directas de la degradación de los bosques según orden de prioridad a nivel nacional</w:t>
      </w:r>
      <w:bookmarkEnd w:id="79"/>
      <w:bookmarkEnd w:id="80"/>
    </w:p>
    <w:tbl>
      <w:tblPr>
        <w:tblStyle w:val="TableNormal12"/>
        <w:tblW w:w="9355" w:type="dxa"/>
        <w:tblInd w:w="5" w:type="dxa"/>
        <w:tblBorders>
          <w:top w:val="single" w:sz="12" w:space="0" w:color="8EAADB"/>
          <w:left w:val="single" w:sz="12" w:space="0" w:color="8EAADB"/>
          <w:bottom w:val="single" w:sz="12" w:space="0" w:color="8EAADB"/>
          <w:right w:val="single" w:sz="12" w:space="0" w:color="8EAADB"/>
          <w:insideH w:val="single" w:sz="12" w:space="0" w:color="8EAADB"/>
          <w:insideV w:val="single" w:sz="12" w:space="0" w:color="8EAADB"/>
        </w:tblBorders>
        <w:tblLayout w:type="fixed"/>
        <w:tblLook w:val="01E0" w:firstRow="1" w:lastRow="1" w:firstColumn="1" w:lastColumn="1" w:noHBand="0" w:noVBand="0"/>
      </w:tblPr>
      <w:tblGrid>
        <w:gridCol w:w="1701"/>
        <w:gridCol w:w="4962"/>
        <w:gridCol w:w="2692"/>
      </w:tblGrid>
      <w:tr w:rsidR="006D0B45" w:rsidRPr="009A27ED" w14:paraId="3D7B06DE" w14:textId="77777777" w:rsidTr="00C14557">
        <w:trPr>
          <w:trHeight w:val="448"/>
        </w:trPr>
        <w:tc>
          <w:tcPr>
            <w:tcW w:w="1701" w:type="dxa"/>
            <w:tcBorders>
              <w:top w:val="nil"/>
              <w:left w:val="nil"/>
              <w:right w:val="nil"/>
            </w:tcBorders>
            <w:shd w:val="clear" w:color="auto" w:fill="0070C0"/>
            <w:vAlign w:val="center"/>
          </w:tcPr>
          <w:p w14:paraId="034B3762" w14:textId="77777777" w:rsidR="00947670" w:rsidRPr="009A27ED" w:rsidRDefault="00947670" w:rsidP="00CB3FEF">
            <w:pPr>
              <w:tabs>
                <w:tab w:val="left" w:pos="709"/>
              </w:tabs>
              <w:spacing w:after="0"/>
              <w:jc w:val="center"/>
              <w:rPr>
                <w:rFonts w:cs="Calibri"/>
                <w:b/>
                <w:color w:val="FFFFFF" w:themeColor="background1"/>
                <w:sz w:val="20"/>
                <w:szCs w:val="20"/>
                <w:lang w:eastAsia="gl"/>
              </w:rPr>
            </w:pPr>
            <w:r w:rsidRPr="009A27ED">
              <w:rPr>
                <w:rFonts w:cs="Calibri"/>
                <w:b/>
                <w:color w:val="FFFFFF" w:themeColor="background1"/>
                <w:sz w:val="20"/>
                <w:szCs w:val="20"/>
                <w:lang w:eastAsia="gl"/>
              </w:rPr>
              <w:t>Prioridad</w:t>
            </w:r>
          </w:p>
        </w:tc>
        <w:tc>
          <w:tcPr>
            <w:tcW w:w="4962" w:type="dxa"/>
            <w:tcBorders>
              <w:top w:val="nil"/>
              <w:left w:val="nil"/>
              <w:right w:val="nil"/>
            </w:tcBorders>
            <w:shd w:val="clear" w:color="auto" w:fill="0070C0"/>
            <w:vAlign w:val="center"/>
          </w:tcPr>
          <w:p w14:paraId="77984F8A" w14:textId="75992784" w:rsidR="00947670" w:rsidRPr="009A27ED" w:rsidRDefault="00947670" w:rsidP="00CB3FEF">
            <w:pPr>
              <w:tabs>
                <w:tab w:val="left" w:pos="709"/>
              </w:tabs>
              <w:spacing w:after="0"/>
              <w:jc w:val="center"/>
              <w:rPr>
                <w:rFonts w:cs="Calibri"/>
                <w:b/>
                <w:color w:val="FFFFFF" w:themeColor="background1"/>
                <w:sz w:val="20"/>
                <w:szCs w:val="20"/>
                <w:lang w:eastAsia="gl"/>
              </w:rPr>
            </w:pPr>
            <w:r w:rsidRPr="009A27ED">
              <w:rPr>
                <w:rFonts w:cs="Calibri"/>
                <w:b/>
                <w:color w:val="FFFFFF" w:themeColor="background1"/>
                <w:sz w:val="20"/>
                <w:szCs w:val="20"/>
                <w:lang w:eastAsia="gl"/>
              </w:rPr>
              <w:t>Causa</w:t>
            </w:r>
            <w:r w:rsidR="000E4731" w:rsidRPr="009A27ED">
              <w:rPr>
                <w:rFonts w:cs="Calibri"/>
                <w:b/>
                <w:color w:val="FFFFFF" w:themeColor="background1"/>
                <w:sz w:val="20"/>
                <w:szCs w:val="20"/>
                <w:lang w:eastAsia="gl"/>
              </w:rPr>
              <w:t>s d</w:t>
            </w:r>
            <w:r w:rsidRPr="009A27ED">
              <w:rPr>
                <w:rFonts w:cs="Calibri"/>
                <w:b/>
                <w:color w:val="FFFFFF" w:themeColor="background1"/>
                <w:sz w:val="20"/>
                <w:szCs w:val="20"/>
                <w:lang w:eastAsia="gl"/>
              </w:rPr>
              <w:t>irecta</w:t>
            </w:r>
            <w:r w:rsidR="000E4731" w:rsidRPr="009A27ED">
              <w:rPr>
                <w:rFonts w:cs="Calibri"/>
                <w:b/>
                <w:color w:val="FFFFFF" w:themeColor="background1"/>
                <w:sz w:val="20"/>
                <w:szCs w:val="20"/>
                <w:lang w:eastAsia="gl"/>
              </w:rPr>
              <w:t>s</w:t>
            </w:r>
            <w:r w:rsidRPr="009A27ED">
              <w:rPr>
                <w:rFonts w:cs="Calibri"/>
                <w:b/>
                <w:color w:val="FFFFFF" w:themeColor="background1"/>
                <w:sz w:val="20"/>
                <w:szCs w:val="20"/>
                <w:lang w:eastAsia="gl"/>
              </w:rPr>
              <w:t xml:space="preserve"> de </w:t>
            </w:r>
            <w:r w:rsidR="000E4731" w:rsidRPr="009A27ED">
              <w:rPr>
                <w:rFonts w:cs="Calibri"/>
                <w:b/>
                <w:color w:val="FFFFFF" w:themeColor="background1"/>
                <w:sz w:val="20"/>
                <w:szCs w:val="20"/>
                <w:lang w:eastAsia="gl"/>
              </w:rPr>
              <w:t>la degradación</w:t>
            </w:r>
          </w:p>
        </w:tc>
        <w:tc>
          <w:tcPr>
            <w:tcW w:w="2692" w:type="dxa"/>
            <w:tcBorders>
              <w:top w:val="nil"/>
              <w:left w:val="nil"/>
              <w:right w:val="nil"/>
            </w:tcBorders>
            <w:shd w:val="clear" w:color="auto" w:fill="0070C0"/>
            <w:vAlign w:val="center"/>
          </w:tcPr>
          <w:p w14:paraId="29305008" w14:textId="77777777" w:rsidR="00947670" w:rsidRPr="009A27ED" w:rsidRDefault="00947670" w:rsidP="00CB3FEF">
            <w:pPr>
              <w:tabs>
                <w:tab w:val="left" w:pos="709"/>
              </w:tabs>
              <w:spacing w:after="0" w:line="220" w:lineRule="atLeast"/>
              <w:jc w:val="center"/>
              <w:rPr>
                <w:rFonts w:cs="Calibri"/>
                <w:b/>
                <w:color w:val="FFFFFF" w:themeColor="background1"/>
                <w:sz w:val="20"/>
                <w:szCs w:val="20"/>
                <w:lang w:eastAsia="gl"/>
              </w:rPr>
            </w:pPr>
            <w:r w:rsidRPr="009A27ED">
              <w:rPr>
                <w:rFonts w:cs="Calibri"/>
                <w:b/>
                <w:color w:val="FFFFFF" w:themeColor="background1"/>
                <w:sz w:val="20"/>
                <w:szCs w:val="20"/>
                <w:lang w:eastAsia="gl"/>
              </w:rPr>
              <w:t>Promedio de Percentil Relativo</w:t>
            </w:r>
          </w:p>
        </w:tc>
      </w:tr>
      <w:tr w:rsidR="00947670" w:rsidRPr="009A27ED" w14:paraId="259F8526" w14:textId="77777777" w:rsidTr="00C14557">
        <w:trPr>
          <w:trHeight w:val="289"/>
        </w:trPr>
        <w:tc>
          <w:tcPr>
            <w:tcW w:w="1701" w:type="dxa"/>
            <w:vMerge w:val="restart"/>
            <w:tcBorders>
              <w:left w:val="single" w:sz="4" w:space="0" w:color="B4C5E7"/>
              <w:bottom w:val="single" w:sz="4" w:space="0" w:color="B4C5E7"/>
              <w:right w:val="single" w:sz="4" w:space="0" w:color="B4C5E7"/>
            </w:tcBorders>
          </w:tcPr>
          <w:p w14:paraId="33C342D3" w14:textId="77777777" w:rsidR="00947670" w:rsidRPr="009A27ED" w:rsidRDefault="00947670" w:rsidP="00947670">
            <w:pPr>
              <w:tabs>
                <w:tab w:val="left" w:pos="709"/>
              </w:tabs>
              <w:spacing w:after="0"/>
              <w:rPr>
                <w:rFonts w:cs="Calibri"/>
                <w:sz w:val="20"/>
                <w:szCs w:val="20"/>
                <w:lang w:eastAsia="gl"/>
              </w:rPr>
            </w:pPr>
          </w:p>
          <w:p w14:paraId="64E759C3" w14:textId="77777777" w:rsidR="00947670" w:rsidRPr="009A27ED" w:rsidRDefault="00947670" w:rsidP="00947670">
            <w:pPr>
              <w:tabs>
                <w:tab w:val="left" w:pos="709"/>
              </w:tabs>
              <w:spacing w:before="112" w:after="0"/>
              <w:ind w:left="107"/>
              <w:rPr>
                <w:rFonts w:cs="Calibri"/>
                <w:b/>
                <w:sz w:val="20"/>
                <w:szCs w:val="20"/>
                <w:lang w:eastAsia="gl"/>
              </w:rPr>
            </w:pPr>
            <w:r w:rsidRPr="009A27ED">
              <w:rPr>
                <w:rFonts w:cs="Calibri"/>
                <w:b/>
                <w:sz w:val="20"/>
                <w:szCs w:val="20"/>
                <w:lang w:eastAsia="gl"/>
              </w:rPr>
              <w:t>Muy alta</w:t>
            </w:r>
          </w:p>
        </w:tc>
        <w:tc>
          <w:tcPr>
            <w:tcW w:w="4962" w:type="dxa"/>
            <w:tcBorders>
              <w:left w:val="single" w:sz="4" w:space="0" w:color="B4C5E7"/>
              <w:bottom w:val="single" w:sz="4" w:space="0" w:color="B4C5E7"/>
              <w:right w:val="single" w:sz="4" w:space="0" w:color="B4C5E7"/>
            </w:tcBorders>
          </w:tcPr>
          <w:p w14:paraId="1A6B8820" w14:textId="77777777" w:rsidR="00947670" w:rsidRPr="009A27ED" w:rsidRDefault="00947670" w:rsidP="00947670">
            <w:pPr>
              <w:tabs>
                <w:tab w:val="left" w:pos="709"/>
              </w:tabs>
              <w:spacing w:before="34" w:after="0"/>
              <w:ind w:left="102"/>
              <w:rPr>
                <w:rFonts w:cs="Calibri"/>
                <w:sz w:val="20"/>
                <w:szCs w:val="20"/>
                <w:lang w:eastAsia="gl"/>
              </w:rPr>
            </w:pPr>
            <w:r w:rsidRPr="009A27ED">
              <w:rPr>
                <w:rFonts w:cs="Calibri"/>
                <w:sz w:val="20"/>
                <w:szCs w:val="20"/>
                <w:lang w:eastAsia="gl"/>
              </w:rPr>
              <w:t>Pastoreo de ganado en bosques</w:t>
            </w:r>
          </w:p>
        </w:tc>
        <w:tc>
          <w:tcPr>
            <w:tcW w:w="2692" w:type="dxa"/>
            <w:tcBorders>
              <w:left w:val="single" w:sz="4" w:space="0" w:color="B4C5E7"/>
              <w:bottom w:val="single" w:sz="4" w:space="0" w:color="B4C5E7"/>
              <w:right w:val="single" w:sz="4" w:space="0" w:color="B4C5E7"/>
            </w:tcBorders>
          </w:tcPr>
          <w:p w14:paraId="2A51F7E3" w14:textId="77777777" w:rsidR="00947670" w:rsidRPr="009A27ED" w:rsidRDefault="00947670" w:rsidP="00CB3FEF">
            <w:pPr>
              <w:tabs>
                <w:tab w:val="left" w:pos="709"/>
              </w:tabs>
              <w:spacing w:after="0"/>
              <w:jc w:val="center"/>
              <w:rPr>
                <w:rFonts w:cs="Calibri"/>
                <w:sz w:val="20"/>
                <w:szCs w:val="20"/>
                <w:lang w:eastAsia="gl"/>
              </w:rPr>
            </w:pPr>
            <w:r w:rsidRPr="009A27ED">
              <w:rPr>
                <w:rFonts w:cs="Calibri"/>
                <w:sz w:val="20"/>
                <w:szCs w:val="20"/>
                <w:lang w:eastAsia="gl"/>
              </w:rPr>
              <w:t>1</w:t>
            </w:r>
          </w:p>
        </w:tc>
      </w:tr>
      <w:tr w:rsidR="00947670" w:rsidRPr="009A27ED" w14:paraId="380C8B1E" w14:textId="77777777" w:rsidTr="00C14557">
        <w:trPr>
          <w:trHeight w:val="287"/>
        </w:trPr>
        <w:tc>
          <w:tcPr>
            <w:tcW w:w="1701" w:type="dxa"/>
            <w:vMerge/>
            <w:tcBorders>
              <w:top w:val="nil"/>
              <w:left w:val="single" w:sz="4" w:space="0" w:color="B4C5E7"/>
              <w:bottom w:val="single" w:sz="4" w:space="0" w:color="B4C5E7"/>
              <w:right w:val="single" w:sz="4" w:space="0" w:color="B4C5E7"/>
            </w:tcBorders>
          </w:tcPr>
          <w:p w14:paraId="73C3D9CB" w14:textId="77777777" w:rsidR="00947670" w:rsidRPr="009A27ED" w:rsidRDefault="00947670" w:rsidP="00947670">
            <w:pPr>
              <w:tabs>
                <w:tab w:val="left" w:pos="709"/>
              </w:tabs>
              <w:spacing w:after="0"/>
              <w:rPr>
                <w:rFonts w:cs="Calibri"/>
                <w:sz w:val="20"/>
                <w:szCs w:val="20"/>
              </w:rPr>
            </w:pPr>
          </w:p>
        </w:tc>
        <w:tc>
          <w:tcPr>
            <w:tcW w:w="4962" w:type="dxa"/>
            <w:tcBorders>
              <w:top w:val="single" w:sz="4" w:space="0" w:color="B4C5E7"/>
              <w:left w:val="single" w:sz="4" w:space="0" w:color="B4C5E7"/>
              <w:bottom w:val="single" w:sz="4" w:space="0" w:color="B4C5E7"/>
              <w:right w:val="single" w:sz="4" w:space="0" w:color="B4C5E7"/>
            </w:tcBorders>
          </w:tcPr>
          <w:p w14:paraId="3B873C87" w14:textId="77777777" w:rsidR="00947670" w:rsidRPr="009A27ED" w:rsidRDefault="00947670" w:rsidP="00947670">
            <w:pPr>
              <w:tabs>
                <w:tab w:val="left" w:pos="709"/>
              </w:tabs>
              <w:spacing w:before="32" w:after="0"/>
              <w:ind w:left="102"/>
              <w:rPr>
                <w:rFonts w:cs="Calibri"/>
                <w:sz w:val="20"/>
                <w:szCs w:val="20"/>
                <w:lang w:eastAsia="gl"/>
              </w:rPr>
            </w:pPr>
            <w:r w:rsidRPr="009A27ED">
              <w:rPr>
                <w:rFonts w:cs="Calibri"/>
                <w:sz w:val="20"/>
                <w:szCs w:val="20"/>
                <w:lang w:eastAsia="gl"/>
              </w:rPr>
              <w:t>Extracción de madera, leña/carbón</w:t>
            </w:r>
          </w:p>
        </w:tc>
        <w:tc>
          <w:tcPr>
            <w:tcW w:w="2692" w:type="dxa"/>
            <w:tcBorders>
              <w:top w:val="single" w:sz="4" w:space="0" w:color="B4C5E7"/>
              <w:left w:val="single" w:sz="4" w:space="0" w:color="B4C5E7"/>
              <w:bottom w:val="single" w:sz="4" w:space="0" w:color="B4C5E7"/>
              <w:right w:val="single" w:sz="4" w:space="0" w:color="B4C5E7"/>
            </w:tcBorders>
          </w:tcPr>
          <w:p w14:paraId="4E29E394" w14:textId="77777777" w:rsidR="00947670" w:rsidRPr="009A27ED" w:rsidRDefault="00947670" w:rsidP="00CB3FEF">
            <w:pPr>
              <w:tabs>
                <w:tab w:val="left" w:pos="709"/>
              </w:tabs>
              <w:spacing w:after="0"/>
              <w:jc w:val="center"/>
              <w:rPr>
                <w:rFonts w:cs="Calibri"/>
                <w:sz w:val="20"/>
                <w:szCs w:val="20"/>
                <w:lang w:eastAsia="gl"/>
              </w:rPr>
            </w:pPr>
            <w:r w:rsidRPr="009A27ED">
              <w:rPr>
                <w:rFonts w:cs="Calibri"/>
                <w:sz w:val="20"/>
                <w:szCs w:val="20"/>
                <w:lang w:eastAsia="gl"/>
              </w:rPr>
              <w:t>0,91</w:t>
            </w:r>
          </w:p>
        </w:tc>
      </w:tr>
      <w:tr w:rsidR="00947670" w:rsidRPr="009A27ED" w14:paraId="654486F0" w14:textId="77777777" w:rsidTr="00C14557">
        <w:trPr>
          <w:trHeight w:val="288"/>
        </w:trPr>
        <w:tc>
          <w:tcPr>
            <w:tcW w:w="1701" w:type="dxa"/>
            <w:vMerge/>
            <w:tcBorders>
              <w:top w:val="nil"/>
              <w:left w:val="single" w:sz="4" w:space="0" w:color="B4C5E7"/>
              <w:bottom w:val="single" w:sz="4" w:space="0" w:color="B4C5E7"/>
              <w:right w:val="single" w:sz="4" w:space="0" w:color="B4C5E7"/>
            </w:tcBorders>
          </w:tcPr>
          <w:p w14:paraId="5441DC62" w14:textId="77777777" w:rsidR="00947670" w:rsidRPr="009A27ED" w:rsidRDefault="00947670" w:rsidP="00947670">
            <w:pPr>
              <w:tabs>
                <w:tab w:val="left" w:pos="709"/>
              </w:tabs>
              <w:spacing w:after="0"/>
              <w:rPr>
                <w:rFonts w:cs="Calibri"/>
                <w:sz w:val="20"/>
                <w:szCs w:val="20"/>
              </w:rPr>
            </w:pPr>
          </w:p>
        </w:tc>
        <w:tc>
          <w:tcPr>
            <w:tcW w:w="4962" w:type="dxa"/>
            <w:tcBorders>
              <w:top w:val="single" w:sz="4" w:space="0" w:color="B4C5E7"/>
              <w:left w:val="single" w:sz="4" w:space="0" w:color="B4C5E7"/>
              <w:bottom w:val="single" w:sz="4" w:space="0" w:color="B4C5E7"/>
              <w:right w:val="single" w:sz="4" w:space="0" w:color="B4C5E7"/>
            </w:tcBorders>
          </w:tcPr>
          <w:p w14:paraId="7DB0774F" w14:textId="77777777" w:rsidR="00947670" w:rsidRPr="009A27ED" w:rsidRDefault="00947670" w:rsidP="00947670">
            <w:pPr>
              <w:tabs>
                <w:tab w:val="left" w:pos="709"/>
              </w:tabs>
              <w:spacing w:before="33" w:after="0"/>
              <w:ind w:left="102"/>
              <w:rPr>
                <w:rFonts w:cs="Calibri"/>
                <w:sz w:val="20"/>
                <w:szCs w:val="20"/>
                <w:lang w:eastAsia="gl"/>
              </w:rPr>
            </w:pPr>
            <w:r w:rsidRPr="009A27ED">
              <w:rPr>
                <w:rFonts w:cs="Calibri"/>
                <w:sz w:val="20"/>
                <w:szCs w:val="20"/>
                <w:lang w:eastAsia="gl"/>
              </w:rPr>
              <w:t>Planes de manejo mal gestionados/mal ejecutados</w:t>
            </w:r>
          </w:p>
        </w:tc>
        <w:tc>
          <w:tcPr>
            <w:tcW w:w="2692" w:type="dxa"/>
            <w:tcBorders>
              <w:top w:val="single" w:sz="4" w:space="0" w:color="B4C5E7"/>
              <w:left w:val="single" w:sz="4" w:space="0" w:color="B4C5E7"/>
              <w:bottom w:val="single" w:sz="4" w:space="0" w:color="B4C5E7"/>
              <w:right w:val="single" w:sz="4" w:space="0" w:color="B4C5E7"/>
            </w:tcBorders>
          </w:tcPr>
          <w:p w14:paraId="75DE1E7D" w14:textId="77777777" w:rsidR="00947670" w:rsidRPr="009A27ED" w:rsidRDefault="00947670" w:rsidP="00CB3FEF">
            <w:pPr>
              <w:tabs>
                <w:tab w:val="left" w:pos="709"/>
              </w:tabs>
              <w:spacing w:after="0"/>
              <w:jc w:val="center"/>
              <w:rPr>
                <w:rFonts w:cs="Calibri"/>
                <w:sz w:val="20"/>
                <w:szCs w:val="20"/>
                <w:lang w:eastAsia="gl"/>
              </w:rPr>
            </w:pPr>
            <w:r w:rsidRPr="009A27ED">
              <w:rPr>
                <w:rFonts w:cs="Calibri"/>
                <w:sz w:val="20"/>
                <w:szCs w:val="20"/>
                <w:lang w:eastAsia="gl"/>
              </w:rPr>
              <w:t>0,82</w:t>
            </w:r>
          </w:p>
        </w:tc>
      </w:tr>
      <w:tr w:rsidR="00947670" w:rsidRPr="009A27ED" w14:paraId="12B6AC08" w14:textId="77777777" w:rsidTr="00C14557">
        <w:trPr>
          <w:trHeight w:val="287"/>
        </w:trPr>
        <w:tc>
          <w:tcPr>
            <w:tcW w:w="1701" w:type="dxa"/>
            <w:vMerge w:val="restart"/>
            <w:tcBorders>
              <w:top w:val="single" w:sz="4" w:space="0" w:color="B4C5E7"/>
              <w:left w:val="single" w:sz="4" w:space="0" w:color="B4C5E7"/>
              <w:bottom w:val="single" w:sz="4" w:space="0" w:color="B4C5E7"/>
              <w:right w:val="single" w:sz="4" w:space="0" w:color="B4C5E7"/>
            </w:tcBorders>
            <w:shd w:val="clear" w:color="auto" w:fill="DBE5F1"/>
          </w:tcPr>
          <w:p w14:paraId="10F983D3" w14:textId="77777777" w:rsidR="00947670" w:rsidRPr="009A27ED" w:rsidRDefault="00947670" w:rsidP="00947670">
            <w:pPr>
              <w:tabs>
                <w:tab w:val="left" w:pos="709"/>
              </w:tabs>
              <w:spacing w:before="10" w:after="0"/>
              <w:rPr>
                <w:rFonts w:cs="Calibri"/>
                <w:sz w:val="20"/>
                <w:szCs w:val="20"/>
                <w:lang w:eastAsia="gl"/>
              </w:rPr>
            </w:pPr>
          </w:p>
          <w:p w14:paraId="4F42F8F0" w14:textId="77777777" w:rsidR="00947670" w:rsidRPr="009A27ED" w:rsidRDefault="00947670" w:rsidP="00947670">
            <w:pPr>
              <w:tabs>
                <w:tab w:val="left" w:pos="709"/>
              </w:tabs>
              <w:spacing w:after="0"/>
              <w:ind w:left="107"/>
              <w:rPr>
                <w:rFonts w:cs="Calibri"/>
                <w:b/>
                <w:sz w:val="20"/>
                <w:szCs w:val="20"/>
                <w:lang w:eastAsia="gl"/>
              </w:rPr>
            </w:pPr>
            <w:r w:rsidRPr="009A27ED">
              <w:rPr>
                <w:rFonts w:cs="Calibri"/>
                <w:b/>
                <w:sz w:val="20"/>
                <w:szCs w:val="20"/>
                <w:lang w:eastAsia="gl"/>
              </w:rPr>
              <w:t>Alta</w:t>
            </w:r>
          </w:p>
        </w:tc>
        <w:tc>
          <w:tcPr>
            <w:tcW w:w="4962" w:type="dxa"/>
            <w:tcBorders>
              <w:top w:val="single" w:sz="4" w:space="0" w:color="B4C5E7"/>
              <w:left w:val="single" w:sz="4" w:space="0" w:color="B4C5E7"/>
              <w:bottom w:val="single" w:sz="4" w:space="0" w:color="B4C5E7"/>
              <w:right w:val="single" w:sz="4" w:space="0" w:color="B4C5E7"/>
            </w:tcBorders>
            <w:shd w:val="clear" w:color="auto" w:fill="DBE5F1"/>
          </w:tcPr>
          <w:p w14:paraId="5754ED5F" w14:textId="77777777" w:rsidR="00947670" w:rsidRPr="009A27ED" w:rsidRDefault="00947670" w:rsidP="00947670">
            <w:pPr>
              <w:tabs>
                <w:tab w:val="left" w:pos="709"/>
              </w:tabs>
              <w:spacing w:before="32" w:after="0"/>
              <w:ind w:left="102"/>
              <w:rPr>
                <w:rFonts w:cs="Calibri"/>
                <w:sz w:val="20"/>
                <w:szCs w:val="20"/>
                <w:lang w:eastAsia="gl"/>
              </w:rPr>
            </w:pPr>
            <w:r w:rsidRPr="009A27ED">
              <w:rPr>
                <w:rFonts w:cs="Calibri"/>
                <w:sz w:val="20"/>
                <w:szCs w:val="20"/>
                <w:lang w:eastAsia="gl"/>
              </w:rPr>
              <w:t>Incendios de mediana y baja Intensidad</w:t>
            </w:r>
          </w:p>
        </w:tc>
        <w:tc>
          <w:tcPr>
            <w:tcW w:w="2692" w:type="dxa"/>
            <w:tcBorders>
              <w:top w:val="single" w:sz="4" w:space="0" w:color="B4C5E7"/>
              <w:left w:val="single" w:sz="4" w:space="0" w:color="B4C5E7"/>
              <w:bottom w:val="single" w:sz="4" w:space="0" w:color="B4C5E7"/>
              <w:right w:val="single" w:sz="4" w:space="0" w:color="B4C5E7"/>
            </w:tcBorders>
            <w:shd w:val="clear" w:color="auto" w:fill="DBE5F1"/>
          </w:tcPr>
          <w:p w14:paraId="70233BB6" w14:textId="77777777" w:rsidR="00947670" w:rsidRPr="009A27ED" w:rsidRDefault="00947670" w:rsidP="00CB3FEF">
            <w:pPr>
              <w:tabs>
                <w:tab w:val="left" w:pos="709"/>
              </w:tabs>
              <w:spacing w:after="0"/>
              <w:jc w:val="center"/>
              <w:rPr>
                <w:rFonts w:cs="Calibri"/>
                <w:sz w:val="20"/>
                <w:szCs w:val="20"/>
                <w:lang w:eastAsia="gl"/>
              </w:rPr>
            </w:pPr>
            <w:r w:rsidRPr="009A27ED">
              <w:rPr>
                <w:rFonts w:cs="Calibri"/>
                <w:sz w:val="20"/>
                <w:szCs w:val="20"/>
                <w:lang w:eastAsia="gl"/>
              </w:rPr>
              <w:t>0,73</w:t>
            </w:r>
          </w:p>
        </w:tc>
      </w:tr>
      <w:tr w:rsidR="00947670" w:rsidRPr="009A27ED" w14:paraId="3B165317" w14:textId="77777777" w:rsidTr="00C14557">
        <w:trPr>
          <w:trHeight w:val="287"/>
        </w:trPr>
        <w:tc>
          <w:tcPr>
            <w:tcW w:w="1701" w:type="dxa"/>
            <w:vMerge/>
            <w:tcBorders>
              <w:top w:val="nil"/>
              <w:left w:val="single" w:sz="4" w:space="0" w:color="B4C5E7"/>
              <w:bottom w:val="single" w:sz="4" w:space="0" w:color="B4C5E7"/>
              <w:right w:val="single" w:sz="4" w:space="0" w:color="B4C5E7"/>
            </w:tcBorders>
            <w:shd w:val="clear" w:color="auto" w:fill="DBE5F1"/>
          </w:tcPr>
          <w:p w14:paraId="04F26C93" w14:textId="77777777" w:rsidR="00947670" w:rsidRPr="009A27ED" w:rsidRDefault="00947670" w:rsidP="00947670">
            <w:pPr>
              <w:tabs>
                <w:tab w:val="left" w:pos="709"/>
              </w:tabs>
              <w:spacing w:after="0"/>
              <w:rPr>
                <w:rFonts w:cs="Calibri"/>
                <w:sz w:val="20"/>
                <w:szCs w:val="20"/>
              </w:rPr>
            </w:pPr>
          </w:p>
        </w:tc>
        <w:tc>
          <w:tcPr>
            <w:tcW w:w="4962" w:type="dxa"/>
            <w:tcBorders>
              <w:top w:val="single" w:sz="4" w:space="0" w:color="B4C5E7"/>
              <w:left w:val="single" w:sz="4" w:space="0" w:color="B4C5E7"/>
              <w:bottom w:val="single" w:sz="4" w:space="0" w:color="B4C5E7"/>
              <w:right w:val="single" w:sz="4" w:space="0" w:color="B4C5E7"/>
            </w:tcBorders>
            <w:shd w:val="clear" w:color="auto" w:fill="DBE5F1"/>
          </w:tcPr>
          <w:p w14:paraId="633C09AF" w14:textId="77777777" w:rsidR="00947670" w:rsidRPr="009A27ED" w:rsidRDefault="00947670" w:rsidP="00947670">
            <w:pPr>
              <w:tabs>
                <w:tab w:val="left" w:pos="709"/>
              </w:tabs>
              <w:spacing w:before="32" w:after="0"/>
              <w:ind w:left="102"/>
              <w:rPr>
                <w:rFonts w:cs="Calibri"/>
                <w:sz w:val="20"/>
                <w:szCs w:val="20"/>
                <w:lang w:eastAsia="gl"/>
              </w:rPr>
            </w:pPr>
            <w:r w:rsidRPr="009A27ED">
              <w:rPr>
                <w:rFonts w:cs="Calibri"/>
                <w:sz w:val="20"/>
                <w:szCs w:val="20"/>
                <w:lang w:eastAsia="gl"/>
              </w:rPr>
              <w:t>Introducción de especies exóticas/invasoras</w:t>
            </w:r>
          </w:p>
        </w:tc>
        <w:tc>
          <w:tcPr>
            <w:tcW w:w="2692" w:type="dxa"/>
            <w:tcBorders>
              <w:top w:val="single" w:sz="4" w:space="0" w:color="B4C5E7"/>
              <w:left w:val="single" w:sz="4" w:space="0" w:color="B4C5E7"/>
              <w:bottom w:val="single" w:sz="4" w:space="0" w:color="B4C5E7"/>
              <w:right w:val="single" w:sz="4" w:space="0" w:color="B4C5E7"/>
            </w:tcBorders>
            <w:shd w:val="clear" w:color="auto" w:fill="DBE5F1"/>
          </w:tcPr>
          <w:p w14:paraId="114C66F4" w14:textId="77777777" w:rsidR="00947670" w:rsidRPr="009A27ED" w:rsidRDefault="00947670" w:rsidP="00CB3FEF">
            <w:pPr>
              <w:tabs>
                <w:tab w:val="left" w:pos="709"/>
              </w:tabs>
              <w:spacing w:after="0"/>
              <w:jc w:val="center"/>
              <w:rPr>
                <w:rFonts w:cs="Calibri"/>
                <w:sz w:val="20"/>
                <w:szCs w:val="20"/>
                <w:lang w:eastAsia="gl"/>
              </w:rPr>
            </w:pPr>
            <w:r w:rsidRPr="009A27ED">
              <w:rPr>
                <w:rFonts w:cs="Calibri"/>
                <w:sz w:val="20"/>
                <w:szCs w:val="20"/>
                <w:lang w:eastAsia="gl"/>
              </w:rPr>
              <w:t>0,64</w:t>
            </w:r>
          </w:p>
        </w:tc>
      </w:tr>
      <w:tr w:rsidR="00947670" w:rsidRPr="009A27ED" w14:paraId="10E96891" w14:textId="77777777" w:rsidTr="00C14557">
        <w:trPr>
          <w:trHeight w:val="287"/>
        </w:trPr>
        <w:tc>
          <w:tcPr>
            <w:tcW w:w="1701" w:type="dxa"/>
            <w:vMerge w:val="restart"/>
            <w:tcBorders>
              <w:top w:val="single" w:sz="4" w:space="0" w:color="B4C5E7"/>
              <w:left w:val="single" w:sz="4" w:space="0" w:color="B4C5E7"/>
              <w:bottom w:val="single" w:sz="4" w:space="0" w:color="B4C5E7"/>
              <w:right w:val="single" w:sz="4" w:space="0" w:color="B4C5E7"/>
            </w:tcBorders>
          </w:tcPr>
          <w:p w14:paraId="627E78E3" w14:textId="77777777" w:rsidR="00947670" w:rsidRPr="009A27ED" w:rsidRDefault="00947670" w:rsidP="00947670">
            <w:pPr>
              <w:tabs>
                <w:tab w:val="left" w:pos="709"/>
              </w:tabs>
              <w:spacing w:after="0"/>
              <w:rPr>
                <w:rFonts w:cs="Calibri"/>
                <w:sz w:val="20"/>
                <w:szCs w:val="20"/>
                <w:lang w:eastAsia="gl"/>
              </w:rPr>
            </w:pPr>
          </w:p>
          <w:p w14:paraId="28F08D02" w14:textId="77777777" w:rsidR="00947670" w:rsidRPr="009A27ED" w:rsidRDefault="00947670" w:rsidP="00947670">
            <w:pPr>
              <w:tabs>
                <w:tab w:val="left" w:pos="709"/>
              </w:tabs>
              <w:spacing w:after="0"/>
              <w:ind w:left="107"/>
              <w:rPr>
                <w:rFonts w:cs="Calibri"/>
                <w:b/>
                <w:sz w:val="20"/>
                <w:szCs w:val="20"/>
                <w:lang w:eastAsia="gl"/>
              </w:rPr>
            </w:pPr>
            <w:r w:rsidRPr="009A27ED">
              <w:rPr>
                <w:rFonts w:cs="Calibri"/>
                <w:b/>
                <w:sz w:val="20"/>
                <w:szCs w:val="20"/>
                <w:lang w:eastAsia="gl"/>
              </w:rPr>
              <w:t>Media</w:t>
            </w:r>
          </w:p>
        </w:tc>
        <w:tc>
          <w:tcPr>
            <w:tcW w:w="4962" w:type="dxa"/>
            <w:tcBorders>
              <w:top w:val="single" w:sz="4" w:space="0" w:color="B4C5E7"/>
              <w:left w:val="single" w:sz="4" w:space="0" w:color="B4C5E7"/>
              <w:bottom w:val="single" w:sz="4" w:space="0" w:color="B4C5E7"/>
              <w:right w:val="single" w:sz="4" w:space="0" w:color="B4C5E7"/>
            </w:tcBorders>
          </w:tcPr>
          <w:p w14:paraId="2F5E58D3" w14:textId="77777777" w:rsidR="00947670" w:rsidRPr="009A27ED" w:rsidRDefault="00947670" w:rsidP="00947670">
            <w:pPr>
              <w:tabs>
                <w:tab w:val="left" w:pos="709"/>
              </w:tabs>
              <w:spacing w:before="35" w:after="0"/>
              <w:ind w:left="102"/>
              <w:rPr>
                <w:rFonts w:cs="Calibri"/>
                <w:sz w:val="20"/>
                <w:szCs w:val="20"/>
                <w:lang w:eastAsia="gl"/>
              </w:rPr>
            </w:pPr>
            <w:r w:rsidRPr="009A27ED">
              <w:rPr>
                <w:rFonts w:cs="Calibri"/>
                <w:sz w:val="20"/>
                <w:szCs w:val="20"/>
                <w:lang w:eastAsia="gl"/>
              </w:rPr>
              <w:t>Extracción de madera, leña/carbón</w:t>
            </w:r>
          </w:p>
        </w:tc>
        <w:tc>
          <w:tcPr>
            <w:tcW w:w="2692" w:type="dxa"/>
            <w:tcBorders>
              <w:top w:val="single" w:sz="4" w:space="0" w:color="B4C5E7"/>
              <w:left w:val="single" w:sz="4" w:space="0" w:color="B4C5E7"/>
              <w:bottom w:val="single" w:sz="4" w:space="0" w:color="B4C5E7"/>
              <w:right w:val="single" w:sz="4" w:space="0" w:color="B4C5E7"/>
            </w:tcBorders>
          </w:tcPr>
          <w:p w14:paraId="51825AFC" w14:textId="77777777" w:rsidR="00947670" w:rsidRPr="009A27ED" w:rsidRDefault="00947670" w:rsidP="00CB3FEF">
            <w:pPr>
              <w:tabs>
                <w:tab w:val="left" w:pos="709"/>
              </w:tabs>
              <w:spacing w:after="0"/>
              <w:jc w:val="center"/>
              <w:rPr>
                <w:rFonts w:cs="Calibri"/>
                <w:sz w:val="20"/>
                <w:szCs w:val="20"/>
                <w:lang w:eastAsia="gl"/>
              </w:rPr>
            </w:pPr>
            <w:r w:rsidRPr="009A27ED">
              <w:rPr>
                <w:rFonts w:cs="Calibri"/>
                <w:sz w:val="20"/>
                <w:szCs w:val="20"/>
                <w:lang w:eastAsia="gl"/>
              </w:rPr>
              <w:t>0,55</w:t>
            </w:r>
          </w:p>
        </w:tc>
      </w:tr>
      <w:tr w:rsidR="00947670" w:rsidRPr="009A27ED" w14:paraId="66B99F81" w14:textId="77777777" w:rsidTr="00C14557">
        <w:trPr>
          <w:trHeight w:val="290"/>
        </w:trPr>
        <w:tc>
          <w:tcPr>
            <w:tcW w:w="1701" w:type="dxa"/>
            <w:vMerge/>
            <w:tcBorders>
              <w:top w:val="nil"/>
              <w:left w:val="single" w:sz="4" w:space="0" w:color="B4C5E7"/>
              <w:bottom w:val="single" w:sz="4" w:space="0" w:color="B4C5E7"/>
              <w:right w:val="single" w:sz="4" w:space="0" w:color="B4C5E7"/>
            </w:tcBorders>
          </w:tcPr>
          <w:p w14:paraId="655D2F2E" w14:textId="77777777" w:rsidR="00947670" w:rsidRPr="009A27ED" w:rsidRDefault="00947670" w:rsidP="00947670">
            <w:pPr>
              <w:tabs>
                <w:tab w:val="left" w:pos="709"/>
              </w:tabs>
              <w:spacing w:after="0"/>
              <w:rPr>
                <w:rFonts w:cs="Calibri"/>
                <w:sz w:val="20"/>
                <w:szCs w:val="20"/>
              </w:rPr>
            </w:pPr>
          </w:p>
        </w:tc>
        <w:tc>
          <w:tcPr>
            <w:tcW w:w="4962" w:type="dxa"/>
            <w:tcBorders>
              <w:top w:val="single" w:sz="4" w:space="0" w:color="B4C5E7"/>
              <w:left w:val="single" w:sz="4" w:space="0" w:color="B4C5E7"/>
              <w:bottom w:val="single" w:sz="4" w:space="0" w:color="B4C5E7"/>
              <w:right w:val="single" w:sz="4" w:space="0" w:color="B4C5E7"/>
            </w:tcBorders>
          </w:tcPr>
          <w:p w14:paraId="42E7F3DE" w14:textId="77777777" w:rsidR="00947670" w:rsidRPr="009A27ED" w:rsidRDefault="00947670" w:rsidP="00947670">
            <w:pPr>
              <w:tabs>
                <w:tab w:val="left" w:pos="709"/>
              </w:tabs>
              <w:spacing w:before="35" w:after="0"/>
              <w:ind w:left="102"/>
              <w:rPr>
                <w:rFonts w:cs="Calibri"/>
                <w:sz w:val="20"/>
                <w:szCs w:val="20"/>
                <w:lang w:val="pt-BR" w:eastAsia="gl"/>
              </w:rPr>
            </w:pPr>
            <w:r w:rsidRPr="009A27ED">
              <w:rPr>
                <w:rFonts w:cs="Calibri"/>
                <w:sz w:val="20"/>
                <w:szCs w:val="20"/>
                <w:lang w:val="pt-BR" w:eastAsia="gl"/>
              </w:rPr>
              <w:t>Tala ilegal de bosque natural</w:t>
            </w:r>
          </w:p>
        </w:tc>
        <w:tc>
          <w:tcPr>
            <w:tcW w:w="2692" w:type="dxa"/>
            <w:tcBorders>
              <w:top w:val="single" w:sz="4" w:space="0" w:color="B4C5E7"/>
              <w:left w:val="single" w:sz="4" w:space="0" w:color="B4C5E7"/>
              <w:bottom w:val="single" w:sz="4" w:space="0" w:color="B4C5E7"/>
              <w:right w:val="single" w:sz="4" w:space="0" w:color="B4C5E7"/>
            </w:tcBorders>
          </w:tcPr>
          <w:p w14:paraId="578364AA" w14:textId="77777777" w:rsidR="00947670" w:rsidRPr="009A27ED" w:rsidRDefault="00947670" w:rsidP="00CB3FEF">
            <w:pPr>
              <w:tabs>
                <w:tab w:val="left" w:pos="709"/>
              </w:tabs>
              <w:spacing w:after="0"/>
              <w:jc w:val="center"/>
              <w:rPr>
                <w:rFonts w:cs="Calibri"/>
                <w:sz w:val="20"/>
                <w:szCs w:val="20"/>
                <w:lang w:eastAsia="gl"/>
              </w:rPr>
            </w:pPr>
            <w:r w:rsidRPr="009A27ED">
              <w:rPr>
                <w:rFonts w:cs="Calibri"/>
                <w:sz w:val="20"/>
                <w:szCs w:val="20"/>
                <w:lang w:eastAsia="gl"/>
              </w:rPr>
              <w:t>0,45</w:t>
            </w:r>
          </w:p>
        </w:tc>
      </w:tr>
      <w:tr w:rsidR="00947670" w:rsidRPr="009A27ED" w14:paraId="7470A9A4" w14:textId="77777777" w:rsidTr="00C14557">
        <w:trPr>
          <w:trHeight w:val="287"/>
        </w:trPr>
        <w:tc>
          <w:tcPr>
            <w:tcW w:w="1701" w:type="dxa"/>
            <w:vMerge w:val="restart"/>
            <w:tcBorders>
              <w:top w:val="single" w:sz="4" w:space="0" w:color="B4C5E7"/>
              <w:left w:val="single" w:sz="4" w:space="0" w:color="B4C5E7"/>
              <w:bottom w:val="single" w:sz="4" w:space="0" w:color="B4C5E7"/>
              <w:right w:val="single" w:sz="4" w:space="0" w:color="B4C5E7"/>
            </w:tcBorders>
            <w:shd w:val="clear" w:color="auto" w:fill="DBE5F1"/>
          </w:tcPr>
          <w:p w14:paraId="7A28F838" w14:textId="77777777" w:rsidR="00947670" w:rsidRPr="009A27ED" w:rsidRDefault="00947670" w:rsidP="00947670">
            <w:pPr>
              <w:tabs>
                <w:tab w:val="left" w:pos="709"/>
              </w:tabs>
              <w:spacing w:before="10" w:after="0"/>
              <w:rPr>
                <w:rFonts w:cs="Calibri"/>
                <w:sz w:val="20"/>
                <w:szCs w:val="20"/>
                <w:lang w:eastAsia="gl"/>
              </w:rPr>
            </w:pPr>
          </w:p>
          <w:p w14:paraId="10C76CD0" w14:textId="77777777" w:rsidR="00947670" w:rsidRPr="009A27ED" w:rsidRDefault="00947670" w:rsidP="00947670">
            <w:pPr>
              <w:tabs>
                <w:tab w:val="left" w:pos="709"/>
              </w:tabs>
              <w:spacing w:after="0"/>
              <w:ind w:left="107"/>
              <w:rPr>
                <w:rFonts w:cs="Calibri"/>
                <w:b/>
                <w:sz w:val="20"/>
                <w:szCs w:val="20"/>
                <w:lang w:eastAsia="gl"/>
              </w:rPr>
            </w:pPr>
            <w:r w:rsidRPr="009A27ED">
              <w:rPr>
                <w:rFonts w:cs="Calibri"/>
                <w:b/>
                <w:sz w:val="20"/>
                <w:szCs w:val="20"/>
                <w:lang w:eastAsia="gl"/>
              </w:rPr>
              <w:t>Baja</w:t>
            </w:r>
          </w:p>
        </w:tc>
        <w:tc>
          <w:tcPr>
            <w:tcW w:w="4962" w:type="dxa"/>
            <w:tcBorders>
              <w:top w:val="single" w:sz="4" w:space="0" w:color="B4C5E7"/>
              <w:left w:val="single" w:sz="4" w:space="0" w:color="B4C5E7"/>
              <w:bottom w:val="single" w:sz="4" w:space="0" w:color="B4C5E7"/>
              <w:right w:val="single" w:sz="4" w:space="0" w:color="B4C5E7"/>
            </w:tcBorders>
            <w:shd w:val="clear" w:color="auto" w:fill="DBE5F1"/>
          </w:tcPr>
          <w:p w14:paraId="4DA633C4" w14:textId="77777777" w:rsidR="00947670" w:rsidRPr="009A27ED" w:rsidRDefault="00947670" w:rsidP="00947670">
            <w:pPr>
              <w:tabs>
                <w:tab w:val="left" w:pos="709"/>
              </w:tabs>
              <w:spacing w:before="32" w:after="0"/>
              <w:ind w:left="102"/>
              <w:rPr>
                <w:rFonts w:cs="Calibri"/>
                <w:sz w:val="20"/>
                <w:szCs w:val="20"/>
                <w:lang w:eastAsia="gl"/>
              </w:rPr>
            </w:pPr>
            <w:r w:rsidRPr="009A27ED">
              <w:rPr>
                <w:rFonts w:cs="Calibri"/>
                <w:sz w:val="20"/>
                <w:szCs w:val="20"/>
                <w:lang w:eastAsia="gl"/>
              </w:rPr>
              <w:t>Desastres naturales</w:t>
            </w:r>
          </w:p>
        </w:tc>
        <w:tc>
          <w:tcPr>
            <w:tcW w:w="2692" w:type="dxa"/>
            <w:tcBorders>
              <w:top w:val="single" w:sz="4" w:space="0" w:color="B4C5E7"/>
              <w:left w:val="single" w:sz="4" w:space="0" w:color="B4C5E7"/>
              <w:bottom w:val="single" w:sz="4" w:space="0" w:color="B4C5E7"/>
              <w:right w:val="single" w:sz="4" w:space="0" w:color="B4C5E7"/>
            </w:tcBorders>
            <w:shd w:val="clear" w:color="auto" w:fill="DBE5F1"/>
          </w:tcPr>
          <w:p w14:paraId="7C1CB5A0" w14:textId="77777777" w:rsidR="00947670" w:rsidRPr="009A27ED" w:rsidRDefault="00947670" w:rsidP="00CB3FEF">
            <w:pPr>
              <w:tabs>
                <w:tab w:val="left" w:pos="709"/>
              </w:tabs>
              <w:spacing w:after="0"/>
              <w:jc w:val="center"/>
              <w:rPr>
                <w:rFonts w:cs="Calibri"/>
                <w:sz w:val="20"/>
                <w:szCs w:val="20"/>
                <w:lang w:eastAsia="gl"/>
              </w:rPr>
            </w:pPr>
            <w:r w:rsidRPr="009A27ED">
              <w:rPr>
                <w:rFonts w:cs="Calibri"/>
                <w:sz w:val="20"/>
                <w:szCs w:val="20"/>
                <w:lang w:eastAsia="gl"/>
              </w:rPr>
              <w:t>0,36</w:t>
            </w:r>
          </w:p>
        </w:tc>
      </w:tr>
      <w:tr w:rsidR="00947670" w:rsidRPr="009A27ED" w14:paraId="55883949" w14:textId="77777777" w:rsidTr="00C14557">
        <w:trPr>
          <w:trHeight w:val="287"/>
        </w:trPr>
        <w:tc>
          <w:tcPr>
            <w:tcW w:w="1701" w:type="dxa"/>
            <w:vMerge/>
            <w:tcBorders>
              <w:top w:val="nil"/>
              <w:left w:val="single" w:sz="4" w:space="0" w:color="B4C5E7"/>
              <w:bottom w:val="single" w:sz="4" w:space="0" w:color="B4C5E7"/>
              <w:right w:val="single" w:sz="4" w:space="0" w:color="B4C5E7"/>
            </w:tcBorders>
            <w:shd w:val="clear" w:color="auto" w:fill="DBE5F1"/>
          </w:tcPr>
          <w:p w14:paraId="2128F5C9" w14:textId="77777777" w:rsidR="00947670" w:rsidRPr="009A27ED" w:rsidRDefault="00947670" w:rsidP="00947670">
            <w:pPr>
              <w:tabs>
                <w:tab w:val="left" w:pos="709"/>
              </w:tabs>
              <w:spacing w:after="0"/>
              <w:rPr>
                <w:rFonts w:cs="Calibri"/>
                <w:sz w:val="20"/>
                <w:szCs w:val="20"/>
              </w:rPr>
            </w:pPr>
          </w:p>
        </w:tc>
        <w:tc>
          <w:tcPr>
            <w:tcW w:w="4962" w:type="dxa"/>
            <w:tcBorders>
              <w:top w:val="single" w:sz="4" w:space="0" w:color="B4C5E7"/>
              <w:left w:val="single" w:sz="4" w:space="0" w:color="B4C5E7"/>
              <w:bottom w:val="single" w:sz="4" w:space="0" w:color="B4C5E7"/>
              <w:right w:val="single" w:sz="4" w:space="0" w:color="B4C5E7"/>
            </w:tcBorders>
            <w:shd w:val="clear" w:color="auto" w:fill="DBE5F1"/>
          </w:tcPr>
          <w:p w14:paraId="3B69E794" w14:textId="77777777" w:rsidR="00947670" w:rsidRPr="009A27ED" w:rsidRDefault="00947670" w:rsidP="00947670">
            <w:pPr>
              <w:tabs>
                <w:tab w:val="left" w:pos="709"/>
              </w:tabs>
              <w:spacing w:before="32" w:after="0"/>
              <w:ind w:left="102"/>
              <w:rPr>
                <w:rFonts w:cs="Calibri"/>
                <w:sz w:val="20"/>
                <w:szCs w:val="20"/>
                <w:lang w:eastAsia="gl"/>
              </w:rPr>
            </w:pPr>
            <w:r w:rsidRPr="009A27ED">
              <w:rPr>
                <w:rFonts w:cs="Calibri"/>
                <w:sz w:val="20"/>
                <w:szCs w:val="20"/>
                <w:lang w:eastAsia="gl"/>
              </w:rPr>
              <w:t>Infraestructura</w:t>
            </w:r>
          </w:p>
        </w:tc>
        <w:tc>
          <w:tcPr>
            <w:tcW w:w="2692" w:type="dxa"/>
            <w:tcBorders>
              <w:top w:val="single" w:sz="4" w:space="0" w:color="B4C5E7"/>
              <w:left w:val="single" w:sz="4" w:space="0" w:color="B4C5E7"/>
              <w:bottom w:val="single" w:sz="4" w:space="0" w:color="B4C5E7"/>
              <w:right w:val="single" w:sz="4" w:space="0" w:color="B4C5E7"/>
            </w:tcBorders>
            <w:shd w:val="clear" w:color="auto" w:fill="DBE5F1"/>
          </w:tcPr>
          <w:p w14:paraId="68E5DE26" w14:textId="77777777" w:rsidR="00947670" w:rsidRPr="009A27ED" w:rsidRDefault="00947670" w:rsidP="00CB3FEF">
            <w:pPr>
              <w:tabs>
                <w:tab w:val="left" w:pos="709"/>
              </w:tabs>
              <w:spacing w:after="0"/>
              <w:jc w:val="center"/>
              <w:rPr>
                <w:rFonts w:cs="Calibri"/>
                <w:sz w:val="20"/>
                <w:szCs w:val="20"/>
                <w:lang w:eastAsia="gl"/>
              </w:rPr>
            </w:pPr>
            <w:r w:rsidRPr="009A27ED">
              <w:rPr>
                <w:rFonts w:cs="Calibri"/>
                <w:sz w:val="20"/>
                <w:szCs w:val="20"/>
                <w:lang w:eastAsia="gl"/>
              </w:rPr>
              <w:t>0,27</w:t>
            </w:r>
          </w:p>
        </w:tc>
      </w:tr>
      <w:tr w:rsidR="00947670" w:rsidRPr="009A27ED" w14:paraId="0CCBBF38" w14:textId="77777777" w:rsidTr="00C14557">
        <w:trPr>
          <w:trHeight w:val="287"/>
        </w:trPr>
        <w:tc>
          <w:tcPr>
            <w:tcW w:w="1701" w:type="dxa"/>
            <w:vMerge w:val="restart"/>
            <w:tcBorders>
              <w:top w:val="single" w:sz="4" w:space="0" w:color="B4C5E7"/>
              <w:left w:val="single" w:sz="4" w:space="0" w:color="B4C5E7"/>
              <w:bottom w:val="single" w:sz="4" w:space="0" w:color="B4C5E7"/>
              <w:right w:val="single" w:sz="4" w:space="0" w:color="B4C5E7"/>
            </w:tcBorders>
          </w:tcPr>
          <w:p w14:paraId="660A8B6C" w14:textId="77777777" w:rsidR="00947670" w:rsidRPr="009A27ED" w:rsidRDefault="00947670" w:rsidP="00947670">
            <w:pPr>
              <w:tabs>
                <w:tab w:val="left" w:pos="709"/>
              </w:tabs>
              <w:spacing w:after="0"/>
              <w:rPr>
                <w:rFonts w:cs="Calibri"/>
                <w:sz w:val="20"/>
                <w:szCs w:val="20"/>
                <w:lang w:eastAsia="gl"/>
              </w:rPr>
            </w:pPr>
          </w:p>
          <w:p w14:paraId="3D938946" w14:textId="77777777" w:rsidR="00947670" w:rsidRPr="009A27ED" w:rsidRDefault="00947670" w:rsidP="00947670">
            <w:pPr>
              <w:tabs>
                <w:tab w:val="left" w:pos="709"/>
              </w:tabs>
              <w:spacing w:before="110" w:after="0"/>
              <w:ind w:left="107"/>
              <w:rPr>
                <w:rFonts w:cs="Calibri"/>
                <w:b/>
                <w:sz w:val="20"/>
                <w:szCs w:val="20"/>
                <w:lang w:eastAsia="gl"/>
              </w:rPr>
            </w:pPr>
            <w:r w:rsidRPr="009A27ED">
              <w:rPr>
                <w:rFonts w:cs="Calibri"/>
                <w:b/>
                <w:sz w:val="20"/>
                <w:szCs w:val="20"/>
                <w:lang w:eastAsia="gl"/>
              </w:rPr>
              <w:t>Muy baja</w:t>
            </w:r>
          </w:p>
        </w:tc>
        <w:tc>
          <w:tcPr>
            <w:tcW w:w="4962" w:type="dxa"/>
            <w:tcBorders>
              <w:top w:val="single" w:sz="4" w:space="0" w:color="B4C5E7"/>
              <w:left w:val="single" w:sz="4" w:space="0" w:color="B4C5E7"/>
              <w:bottom w:val="single" w:sz="4" w:space="0" w:color="B4C5E7"/>
              <w:right w:val="single" w:sz="4" w:space="0" w:color="B4C5E7"/>
            </w:tcBorders>
          </w:tcPr>
          <w:p w14:paraId="60061081" w14:textId="77777777" w:rsidR="00947670" w:rsidRPr="009A27ED" w:rsidRDefault="00947670" w:rsidP="00947670">
            <w:pPr>
              <w:tabs>
                <w:tab w:val="left" w:pos="709"/>
              </w:tabs>
              <w:spacing w:before="32" w:after="0"/>
              <w:ind w:left="102"/>
              <w:rPr>
                <w:rFonts w:cs="Calibri"/>
                <w:sz w:val="20"/>
                <w:szCs w:val="20"/>
                <w:lang w:eastAsia="gl"/>
              </w:rPr>
            </w:pPr>
            <w:r w:rsidRPr="009A27ED">
              <w:rPr>
                <w:rFonts w:cs="Calibri"/>
                <w:sz w:val="20"/>
                <w:szCs w:val="20"/>
                <w:lang w:eastAsia="gl"/>
              </w:rPr>
              <w:t>Minería a cielo abierto</w:t>
            </w:r>
          </w:p>
        </w:tc>
        <w:tc>
          <w:tcPr>
            <w:tcW w:w="2692" w:type="dxa"/>
            <w:tcBorders>
              <w:top w:val="single" w:sz="4" w:space="0" w:color="B4C5E7"/>
              <w:left w:val="single" w:sz="4" w:space="0" w:color="B4C5E7"/>
              <w:bottom w:val="single" w:sz="4" w:space="0" w:color="B4C5E7"/>
              <w:right w:val="single" w:sz="4" w:space="0" w:color="B4C5E7"/>
            </w:tcBorders>
          </w:tcPr>
          <w:p w14:paraId="63B4090A" w14:textId="77777777" w:rsidR="00947670" w:rsidRPr="009A27ED" w:rsidRDefault="00947670" w:rsidP="00CB3FEF">
            <w:pPr>
              <w:tabs>
                <w:tab w:val="left" w:pos="709"/>
              </w:tabs>
              <w:spacing w:after="0"/>
              <w:jc w:val="center"/>
              <w:rPr>
                <w:rFonts w:cs="Calibri"/>
                <w:sz w:val="20"/>
                <w:szCs w:val="20"/>
                <w:lang w:eastAsia="gl"/>
              </w:rPr>
            </w:pPr>
            <w:r w:rsidRPr="009A27ED">
              <w:rPr>
                <w:rFonts w:cs="Calibri"/>
                <w:sz w:val="20"/>
                <w:szCs w:val="20"/>
                <w:lang w:eastAsia="gl"/>
              </w:rPr>
              <w:t>0,18</w:t>
            </w:r>
          </w:p>
        </w:tc>
      </w:tr>
      <w:tr w:rsidR="00947670" w:rsidRPr="009A27ED" w14:paraId="3388C27A" w14:textId="77777777" w:rsidTr="00C14557">
        <w:trPr>
          <w:trHeight w:val="287"/>
        </w:trPr>
        <w:tc>
          <w:tcPr>
            <w:tcW w:w="1701" w:type="dxa"/>
            <w:vMerge/>
            <w:tcBorders>
              <w:top w:val="nil"/>
              <w:left w:val="single" w:sz="4" w:space="0" w:color="B4C5E7"/>
              <w:bottom w:val="single" w:sz="4" w:space="0" w:color="B4C5E7"/>
              <w:right w:val="single" w:sz="4" w:space="0" w:color="B4C5E7"/>
            </w:tcBorders>
          </w:tcPr>
          <w:p w14:paraId="7F73811C" w14:textId="77777777" w:rsidR="00947670" w:rsidRPr="009A27ED" w:rsidRDefault="00947670" w:rsidP="00947670">
            <w:pPr>
              <w:tabs>
                <w:tab w:val="left" w:pos="709"/>
              </w:tabs>
              <w:spacing w:after="0"/>
              <w:rPr>
                <w:rFonts w:cs="Calibri"/>
                <w:sz w:val="20"/>
                <w:szCs w:val="20"/>
              </w:rPr>
            </w:pPr>
          </w:p>
        </w:tc>
        <w:tc>
          <w:tcPr>
            <w:tcW w:w="4962" w:type="dxa"/>
            <w:tcBorders>
              <w:top w:val="single" w:sz="4" w:space="0" w:color="B4C5E7"/>
              <w:left w:val="single" w:sz="4" w:space="0" w:color="B4C5E7"/>
              <w:bottom w:val="single" w:sz="4" w:space="0" w:color="B4C5E7"/>
              <w:right w:val="single" w:sz="4" w:space="0" w:color="B4C5E7"/>
            </w:tcBorders>
          </w:tcPr>
          <w:p w14:paraId="0D2D111A" w14:textId="77777777" w:rsidR="00947670" w:rsidRPr="009A27ED" w:rsidRDefault="00947670" w:rsidP="00947670">
            <w:pPr>
              <w:tabs>
                <w:tab w:val="left" w:pos="709"/>
              </w:tabs>
              <w:spacing w:before="32" w:after="0"/>
              <w:ind w:left="102"/>
              <w:rPr>
                <w:rFonts w:cs="Calibri"/>
                <w:sz w:val="20"/>
                <w:szCs w:val="20"/>
                <w:lang w:eastAsia="gl"/>
              </w:rPr>
            </w:pPr>
            <w:r w:rsidRPr="009A27ED">
              <w:rPr>
                <w:rFonts w:cs="Calibri"/>
                <w:sz w:val="20"/>
                <w:szCs w:val="20"/>
                <w:lang w:eastAsia="gl"/>
              </w:rPr>
              <w:t>Plagas y enfermedades forestales</w:t>
            </w:r>
          </w:p>
        </w:tc>
        <w:tc>
          <w:tcPr>
            <w:tcW w:w="2692" w:type="dxa"/>
            <w:tcBorders>
              <w:top w:val="single" w:sz="4" w:space="0" w:color="B4C5E7"/>
              <w:left w:val="single" w:sz="4" w:space="0" w:color="B4C5E7"/>
              <w:bottom w:val="single" w:sz="4" w:space="0" w:color="B4C5E7"/>
              <w:right w:val="single" w:sz="4" w:space="0" w:color="B4C5E7"/>
            </w:tcBorders>
          </w:tcPr>
          <w:p w14:paraId="14F5C4BA" w14:textId="77777777" w:rsidR="00947670" w:rsidRPr="009A27ED" w:rsidRDefault="00947670" w:rsidP="00CB3FEF">
            <w:pPr>
              <w:tabs>
                <w:tab w:val="left" w:pos="709"/>
              </w:tabs>
              <w:spacing w:after="0"/>
              <w:jc w:val="center"/>
              <w:rPr>
                <w:rFonts w:cs="Calibri"/>
                <w:sz w:val="20"/>
                <w:szCs w:val="20"/>
                <w:lang w:eastAsia="gl"/>
              </w:rPr>
            </w:pPr>
            <w:r w:rsidRPr="009A27ED">
              <w:rPr>
                <w:rFonts w:cs="Calibri"/>
                <w:sz w:val="20"/>
                <w:szCs w:val="20"/>
                <w:lang w:eastAsia="gl"/>
              </w:rPr>
              <w:t>0,09</w:t>
            </w:r>
          </w:p>
        </w:tc>
      </w:tr>
      <w:tr w:rsidR="00947670" w:rsidRPr="009A27ED" w14:paraId="2E4151FD" w14:textId="77777777" w:rsidTr="00C14557">
        <w:trPr>
          <w:trHeight w:val="290"/>
        </w:trPr>
        <w:tc>
          <w:tcPr>
            <w:tcW w:w="1701" w:type="dxa"/>
            <w:vMerge/>
            <w:tcBorders>
              <w:top w:val="nil"/>
              <w:left w:val="single" w:sz="4" w:space="0" w:color="B4C5E7"/>
              <w:bottom w:val="single" w:sz="4" w:space="0" w:color="B4C5E7"/>
              <w:right w:val="single" w:sz="4" w:space="0" w:color="B4C5E7"/>
            </w:tcBorders>
          </w:tcPr>
          <w:p w14:paraId="209990EC" w14:textId="77777777" w:rsidR="00947670" w:rsidRPr="009A27ED" w:rsidRDefault="00947670" w:rsidP="00947670">
            <w:pPr>
              <w:tabs>
                <w:tab w:val="left" w:pos="709"/>
              </w:tabs>
              <w:spacing w:after="0"/>
              <w:rPr>
                <w:rFonts w:cs="Calibri"/>
                <w:sz w:val="20"/>
                <w:szCs w:val="20"/>
              </w:rPr>
            </w:pPr>
          </w:p>
        </w:tc>
        <w:tc>
          <w:tcPr>
            <w:tcW w:w="4962" w:type="dxa"/>
            <w:tcBorders>
              <w:top w:val="single" w:sz="4" w:space="0" w:color="B4C5E7"/>
              <w:left w:val="single" w:sz="4" w:space="0" w:color="B4C5E7"/>
              <w:bottom w:val="single" w:sz="4" w:space="0" w:color="B4C5E7"/>
              <w:right w:val="single" w:sz="4" w:space="0" w:color="B4C5E7"/>
            </w:tcBorders>
          </w:tcPr>
          <w:p w14:paraId="3E5975F7" w14:textId="77777777" w:rsidR="00947670" w:rsidRPr="009A27ED" w:rsidRDefault="00947670" w:rsidP="00947670">
            <w:pPr>
              <w:tabs>
                <w:tab w:val="left" w:pos="709"/>
              </w:tabs>
              <w:spacing w:before="35" w:after="0"/>
              <w:ind w:left="102"/>
              <w:rPr>
                <w:rFonts w:cs="Calibri"/>
                <w:sz w:val="20"/>
                <w:szCs w:val="20"/>
                <w:lang w:eastAsia="gl"/>
              </w:rPr>
            </w:pPr>
            <w:r w:rsidRPr="009A27ED">
              <w:rPr>
                <w:rFonts w:cs="Calibri"/>
                <w:sz w:val="20"/>
                <w:szCs w:val="20"/>
                <w:lang w:eastAsia="gl"/>
              </w:rPr>
              <w:t>Otras causas misceláneas</w:t>
            </w:r>
          </w:p>
        </w:tc>
        <w:tc>
          <w:tcPr>
            <w:tcW w:w="2692" w:type="dxa"/>
            <w:tcBorders>
              <w:top w:val="single" w:sz="4" w:space="0" w:color="B4C5E7"/>
              <w:left w:val="single" w:sz="4" w:space="0" w:color="B4C5E7"/>
              <w:bottom w:val="single" w:sz="4" w:space="0" w:color="B4C5E7"/>
              <w:right w:val="single" w:sz="4" w:space="0" w:color="B4C5E7"/>
            </w:tcBorders>
          </w:tcPr>
          <w:p w14:paraId="090F6278" w14:textId="77777777" w:rsidR="00947670" w:rsidRPr="009A27ED" w:rsidRDefault="00947670" w:rsidP="009D5AE5">
            <w:pPr>
              <w:keepNext/>
              <w:tabs>
                <w:tab w:val="left" w:pos="709"/>
              </w:tabs>
              <w:spacing w:after="0"/>
              <w:jc w:val="center"/>
              <w:rPr>
                <w:rFonts w:cs="Calibri"/>
                <w:sz w:val="20"/>
                <w:szCs w:val="20"/>
                <w:lang w:eastAsia="gl"/>
              </w:rPr>
            </w:pPr>
            <w:r w:rsidRPr="009A27ED">
              <w:rPr>
                <w:rFonts w:cs="Calibri"/>
                <w:sz w:val="20"/>
                <w:szCs w:val="20"/>
                <w:lang w:eastAsia="gl"/>
              </w:rPr>
              <w:t>0,01</w:t>
            </w:r>
          </w:p>
        </w:tc>
      </w:tr>
    </w:tbl>
    <w:p w14:paraId="1AF319D3" w14:textId="0A6060CE" w:rsidR="00947670" w:rsidRPr="009A27ED" w:rsidRDefault="00947670" w:rsidP="009D5AE5">
      <w:pPr>
        <w:pStyle w:val="Descripcin"/>
        <w:spacing w:line="360" w:lineRule="auto"/>
        <w:rPr>
          <w:rFonts w:eastAsia="Calibri" w:cs="Calibri"/>
          <w:i w:val="0"/>
          <w:color w:val="000000" w:themeColor="text1"/>
          <w:sz w:val="24"/>
          <w:szCs w:val="22"/>
        </w:rPr>
      </w:pPr>
      <w:bookmarkStart w:id="81" w:name="_bookmark31"/>
      <w:bookmarkEnd w:id="81"/>
    </w:p>
    <w:p w14:paraId="053DCC69" w14:textId="0F8DE90B" w:rsidR="00947670" w:rsidRPr="009A27ED" w:rsidRDefault="00947670" w:rsidP="005B6485">
      <w:pPr>
        <w:spacing w:before="120" w:after="0" w:line="360" w:lineRule="auto"/>
        <w:rPr>
          <w:szCs w:val="22"/>
          <w:lang w:eastAsia="gl"/>
        </w:rPr>
      </w:pPr>
      <w:r w:rsidRPr="009A27ED">
        <w:rPr>
          <w:rFonts w:ascii="Times New Roman" w:eastAsia="Times New Roman" w:hAnsi="Times New Roman"/>
          <w:sz w:val="24"/>
          <w:szCs w:val="22"/>
          <w:lang w:eastAsia="gl"/>
        </w:rPr>
        <w:lastRenderedPageBreak/>
        <w:t xml:space="preserve">Por último, como principales causas indirectas de la deforestación y degradación de los bosques se encuentran: i) debilidad en las políticas públicas, </w:t>
      </w:r>
      <w:proofErr w:type="spellStart"/>
      <w:r w:rsidRPr="009A27ED">
        <w:rPr>
          <w:rFonts w:ascii="Times New Roman" w:eastAsia="Times New Roman" w:hAnsi="Times New Roman"/>
          <w:sz w:val="24"/>
          <w:szCs w:val="22"/>
          <w:lang w:eastAsia="gl"/>
        </w:rPr>
        <w:t>ii</w:t>
      </w:r>
      <w:proofErr w:type="spellEnd"/>
      <w:r w:rsidRPr="009A27ED">
        <w:rPr>
          <w:rFonts w:ascii="Times New Roman" w:eastAsia="Times New Roman" w:hAnsi="Times New Roman"/>
          <w:sz w:val="24"/>
          <w:szCs w:val="22"/>
          <w:lang w:eastAsia="gl"/>
        </w:rPr>
        <w:t xml:space="preserve">) debilidad en la institucionalidad forestal, </w:t>
      </w:r>
      <w:proofErr w:type="spellStart"/>
      <w:r w:rsidRPr="009A27ED">
        <w:rPr>
          <w:rFonts w:ascii="Times New Roman" w:eastAsia="Times New Roman" w:hAnsi="Times New Roman"/>
          <w:sz w:val="24"/>
          <w:szCs w:val="22"/>
          <w:lang w:eastAsia="gl"/>
        </w:rPr>
        <w:t>iii</w:t>
      </w:r>
      <w:proofErr w:type="spellEnd"/>
      <w:r w:rsidRPr="009A27ED">
        <w:rPr>
          <w:rFonts w:ascii="Times New Roman" w:eastAsia="Times New Roman" w:hAnsi="Times New Roman"/>
          <w:sz w:val="24"/>
          <w:szCs w:val="22"/>
          <w:lang w:eastAsia="gl"/>
        </w:rPr>
        <w:t xml:space="preserve">) débil educación a nivel nacional, consideradas todas como de muy alta prioridad, </w:t>
      </w:r>
      <w:proofErr w:type="spellStart"/>
      <w:r w:rsidRPr="009A27ED">
        <w:rPr>
          <w:rFonts w:ascii="Times New Roman" w:eastAsia="Times New Roman" w:hAnsi="Times New Roman"/>
          <w:sz w:val="24"/>
          <w:szCs w:val="22"/>
          <w:lang w:eastAsia="gl"/>
        </w:rPr>
        <w:t>iv</w:t>
      </w:r>
      <w:proofErr w:type="spellEnd"/>
      <w:r w:rsidRPr="009A27ED">
        <w:rPr>
          <w:rFonts w:ascii="Times New Roman" w:eastAsia="Times New Roman" w:hAnsi="Times New Roman"/>
          <w:sz w:val="24"/>
          <w:szCs w:val="22"/>
          <w:lang w:eastAsia="gl"/>
        </w:rPr>
        <w:t xml:space="preserve">) informalidad en el mercado leña/carbón, v) dinámica migratoria, </w:t>
      </w:r>
      <w:r w:rsidR="004F7215" w:rsidRPr="009A27ED">
        <w:rPr>
          <w:rFonts w:ascii="Times New Roman" w:eastAsia="Times New Roman" w:hAnsi="Times New Roman"/>
          <w:sz w:val="24"/>
          <w:szCs w:val="22"/>
          <w:lang w:eastAsia="gl"/>
        </w:rPr>
        <w:t xml:space="preserve">y </w:t>
      </w:r>
      <w:r w:rsidRPr="009A27ED">
        <w:rPr>
          <w:rFonts w:ascii="Times New Roman" w:eastAsia="Times New Roman" w:hAnsi="Times New Roman"/>
          <w:sz w:val="24"/>
          <w:szCs w:val="22"/>
          <w:lang w:eastAsia="gl"/>
        </w:rPr>
        <w:t>vi) baja valoración económica de bosques, identificadas como de alta prioridad (</w:t>
      </w:r>
      <w:r w:rsidR="00594B12" w:rsidRPr="009A27ED">
        <w:rPr>
          <w:rFonts w:ascii="Times New Roman" w:eastAsia="Times New Roman" w:hAnsi="Times New Roman"/>
          <w:sz w:val="24"/>
          <w:szCs w:val="22"/>
          <w:lang w:eastAsia="gl"/>
        </w:rPr>
        <w:t>Cuadro</w:t>
      </w:r>
      <w:r w:rsidRPr="009A27ED">
        <w:rPr>
          <w:rFonts w:ascii="Times New Roman" w:eastAsia="Times New Roman" w:hAnsi="Times New Roman"/>
          <w:sz w:val="24"/>
          <w:szCs w:val="22"/>
          <w:lang w:eastAsia="gl"/>
        </w:rPr>
        <w:t xml:space="preserve"> </w:t>
      </w:r>
      <w:r w:rsidR="00594B12" w:rsidRPr="009A27ED">
        <w:rPr>
          <w:rFonts w:ascii="Times New Roman" w:eastAsia="Times New Roman" w:hAnsi="Times New Roman"/>
          <w:sz w:val="24"/>
          <w:szCs w:val="22"/>
          <w:lang w:eastAsia="gl"/>
        </w:rPr>
        <w:t>4</w:t>
      </w:r>
      <w:r w:rsidRPr="009A27ED">
        <w:rPr>
          <w:rFonts w:ascii="Times New Roman" w:eastAsia="Times New Roman" w:hAnsi="Times New Roman"/>
          <w:sz w:val="24"/>
          <w:szCs w:val="22"/>
          <w:lang w:eastAsia="gl"/>
        </w:rPr>
        <w:t xml:space="preserve">). </w:t>
      </w:r>
    </w:p>
    <w:p w14:paraId="4374D549" w14:textId="77777777" w:rsidR="00E371C1" w:rsidRPr="009A27ED" w:rsidRDefault="00E371C1" w:rsidP="00E371C1">
      <w:pPr>
        <w:pStyle w:val="Descripcin"/>
        <w:spacing w:line="360" w:lineRule="auto"/>
        <w:rPr>
          <w:color w:val="auto"/>
          <w:sz w:val="20"/>
        </w:rPr>
      </w:pPr>
      <w:bookmarkStart w:id="82" w:name="_Toc14023"/>
    </w:p>
    <w:p w14:paraId="7B12738D" w14:textId="2B447347" w:rsidR="00A47E28" w:rsidRPr="009A27ED" w:rsidRDefault="00E371C1" w:rsidP="00E371C1">
      <w:pPr>
        <w:pStyle w:val="Descripcin"/>
        <w:spacing w:line="360" w:lineRule="auto"/>
        <w:rPr>
          <w:color w:val="000000" w:themeColor="text1"/>
          <w:sz w:val="20"/>
        </w:rPr>
      </w:pPr>
      <w:bookmarkStart w:id="83" w:name="_Toc111887414"/>
      <w:r w:rsidRPr="009A27ED">
        <w:rPr>
          <w:rFonts w:ascii="Times New Roman" w:eastAsia="Times New Roman" w:hAnsi="Times New Roman"/>
          <w:color w:val="000000" w:themeColor="text1"/>
          <w:sz w:val="24"/>
        </w:rPr>
        <w:t xml:space="preserve">Cuadro </w:t>
      </w:r>
      <w:r w:rsidR="00F43DB6" w:rsidRPr="009A27ED">
        <w:rPr>
          <w:rFonts w:ascii="Times New Roman" w:eastAsia="Times New Roman" w:hAnsi="Times New Roman"/>
          <w:color w:val="000000" w:themeColor="text1"/>
          <w:sz w:val="24"/>
        </w:rPr>
        <w:fldChar w:fldCharType="begin"/>
      </w:r>
      <w:r w:rsidR="00F43DB6" w:rsidRPr="009A27ED">
        <w:rPr>
          <w:rFonts w:ascii="Times New Roman" w:eastAsia="Times New Roman" w:hAnsi="Times New Roman"/>
          <w:color w:val="000000" w:themeColor="text1"/>
          <w:sz w:val="24"/>
        </w:rPr>
        <w:instrText xml:space="preserve"> SEQ Cuadro \* ARABIC </w:instrText>
      </w:r>
      <w:r w:rsidR="00F43DB6" w:rsidRPr="009A27ED">
        <w:rPr>
          <w:rFonts w:ascii="Times New Roman" w:eastAsia="Times New Roman" w:hAnsi="Times New Roman"/>
          <w:color w:val="000000" w:themeColor="text1"/>
          <w:sz w:val="24"/>
        </w:rPr>
        <w:fldChar w:fldCharType="separate"/>
      </w:r>
      <w:r w:rsidR="00DF3AFC" w:rsidRPr="009A27ED">
        <w:rPr>
          <w:rFonts w:ascii="Times New Roman" w:eastAsia="Times New Roman" w:hAnsi="Times New Roman"/>
          <w:noProof/>
          <w:color w:val="000000" w:themeColor="text1"/>
          <w:sz w:val="24"/>
        </w:rPr>
        <w:t>4</w:t>
      </w:r>
      <w:r w:rsidR="00F43DB6" w:rsidRPr="009A27ED">
        <w:rPr>
          <w:rFonts w:ascii="Times New Roman" w:eastAsia="Times New Roman" w:hAnsi="Times New Roman"/>
          <w:color w:val="000000" w:themeColor="text1"/>
          <w:sz w:val="24"/>
        </w:rPr>
        <w:fldChar w:fldCharType="end"/>
      </w:r>
      <w:r w:rsidR="001E165D" w:rsidRPr="009A27ED">
        <w:rPr>
          <w:rFonts w:ascii="Times New Roman" w:eastAsia="Times New Roman" w:hAnsi="Times New Roman"/>
          <w:color w:val="000000" w:themeColor="text1"/>
          <w:sz w:val="24"/>
        </w:rPr>
        <w:t>.</w:t>
      </w:r>
      <w:r w:rsidRPr="009A27ED">
        <w:rPr>
          <w:rFonts w:ascii="Times New Roman" w:eastAsia="Times New Roman" w:hAnsi="Times New Roman"/>
          <w:color w:val="000000" w:themeColor="text1"/>
          <w:sz w:val="24"/>
        </w:rPr>
        <w:t xml:space="preserve"> Causas indirectas de la deforestación y degradación de los bosques según orden de prioridad a nivel nacional</w:t>
      </w:r>
      <w:bookmarkEnd w:id="82"/>
      <w:bookmarkEnd w:id="83"/>
    </w:p>
    <w:tbl>
      <w:tblPr>
        <w:tblStyle w:val="TableNormal2"/>
        <w:tblW w:w="9355" w:type="dxa"/>
        <w:tblInd w:w="5" w:type="dxa"/>
        <w:tblBorders>
          <w:top w:val="single" w:sz="12" w:space="0" w:color="8EAADB"/>
          <w:left w:val="single" w:sz="12" w:space="0" w:color="8EAADB"/>
          <w:bottom w:val="single" w:sz="12" w:space="0" w:color="8EAADB"/>
          <w:right w:val="single" w:sz="12" w:space="0" w:color="8EAADB"/>
          <w:insideH w:val="single" w:sz="12" w:space="0" w:color="8EAADB"/>
          <w:insideV w:val="single" w:sz="12" w:space="0" w:color="8EAADB"/>
        </w:tblBorders>
        <w:tblLayout w:type="fixed"/>
        <w:tblLook w:val="01E0" w:firstRow="1" w:lastRow="1" w:firstColumn="1" w:lastColumn="1" w:noHBand="0" w:noVBand="0"/>
      </w:tblPr>
      <w:tblGrid>
        <w:gridCol w:w="1701"/>
        <w:gridCol w:w="4962"/>
        <w:gridCol w:w="2692"/>
      </w:tblGrid>
      <w:tr w:rsidR="006D0B45" w:rsidRPr="009A27ED" w14:paraId="6E3A01F1" w14:textId="77777777" w:rsidTr="00FB2811">
        <w:trPr>
          <w:trHeight w:val="448"/>
        </w:trPr>
        <w:tc>
          <w:tcPr>
            <w:tcW w:w="1701" w:type="dxa"/>
            <w:tcBorders>
              <w:top w:val="nil"/>
              <w:left w:val="nil"/>
              <w:right w:val="nil"/>
            </w:tcBorders>
            <w:shd w:val="clear" w:color="auto" w:fill="0070C0"/>
          </w:tcPr>
          <w:p w14:paraId="2ED78747" w14:textId="77777777" w:rsidR="00947670" w:rsidRPr="009A27ED" w:rsidRDefault="00947670" w:rsidP="00594B12">
            <w:pPr>
              <w:tabs>
                <w:tab w:val="left" w:pos="709"/>
              </w:tabs>
              <w:spacing w:before="119" w:after="0"/>
              <w:jc w:val="center"/>
              <w:rPr>
                <w:rFonts w:cs="Calibri"/>
                <w:b/>
                <w:color w:val="FFFFFF" w:themeColor="background1"/>
                <w:sz w:val="20"/>
                <w:szCs w:val="20"/>
                <w:lang w:eastAsia="gl"/>
              </w:rPr>
            </w:pPr>
            <w:r w:rsidRPr="009A27ED">
              <w:rPr>
                <w:rFonts w:cs="Calibri"/>
                <w:b/>
                <w:color w:val="FFFFFF" w:themeColor="background1"/>
                <w:sz w:val="20"/>
                <w:szCs w:val="20"/>
                <w:lang w:eastAsia="gl"/>
              </w:rPr>
              <w:t>Prioridad</w:t>
            </w:r>
          </w:p>
        </w:tc>
        <w:tc>
          <w:tcPr>
            <w:tcW w:w="4962" w:type="dxa"/>
            <w:tcBorders>
              <w:top w:val="nil"/>
              <w:left w:val="nil"/>
              <w:right w:val="nil"/>
            </w:tcBorders>
            <w:shd w:val="clear" w:color="auto" w:fill="0070C0"/>
          </w:tcPr>
          <w:p w14:paraId="1D6D6BF0" w14:textId="2A3B578B" w:rsidR="00947670" w:rsidRPr="009A27ED" w:rsidRDefault="00947670" w:rsidP="00594B12">
            <w:pPr>
              <w:tabs>
                <w:tab w:val="left" w:pos="709"/>
              </w:tabs>
              <w:spacing w:before="8" w:after="0" w:line="220" w:lineRule="atLeast"/>
              <w:ind w:left="165"/>
              <w:jc w:val="center"/>
              <w:rPr>
                <w:rFonts w:cs="Calibri"/>
                <w:b/>
                <w:color w:val="FFFFFF" w:themeColor="background1"/>
                <w:sz w:val="20"/>
                <w:szCs w:val="20"/>
                <w:lang w:eastAsia="gl"/>
              </w:rPr>
            </w:pPr>
            <w:r w:rsidRPr="009A27ED">
              <w:rPr>
                <w:rFonts w:cs="Calibri"/>
                <w:b/>
                <w:color w:val="FFFFFF" w:themeColor="background1"/>
                <w:sz w:val="20"/>
                <w:szCs w:val="20"/>
                <w:lang w:eastAsia="gl"/>
              </w:rPr>
              <w:t xml:space="preserve">Causas indirectas de la </w:t>
            </w:r>
            <w:r w:rsidR="000E4731" w:rsidRPr="009A27ED">
              <w:rPr>
                <w:rFonts w:cs="Calibri"/>
                <w:b/>
                <w:color w:val="FFFFFF" w:themeColor="background1"/>
                <w:sz w:val="20"/>
                <w:szCs w:val="20"/>
                <w:lang w:eastAsia="gl"/>
              </w:rPr>
              <w:t xml:space="preserve">deforestación </w:t>
            </w:r>
            <w:r w:rsidRPr="009A27ED">
              <w:rPr>
                <w:rFonts w:cs="Calibri"/>
                <w:b/>
                <w:color w:val="FFFFFF" w:themeColor="background1"/>
                <w:sz w:val="20"/>
                <w:szCs w:val="20"/>
                <w:lang w:eastAsia="gl"/>
              </w:rPr>
              <w:t xml:space="preserve">y </w:t>
            </w:r>
            <w:r w:rsidR="000E4731" w:rsidRPr="009A27ED">
              <w:rPr>
                <w:rFonts w:cs="Calibri"/>
                <w:b/>
                <w:color w:val="FFFFFF" w:themeColor="background1"/>
                <w:sz w:val="20"/>
                <w:szCs w:val="20"/>
                <w:lang w:eastAsia="gl"/>
              </w:rPr>
              <w:t xml:space="preserve">degradación </w:t>
            </w:r>
            <w:r w:rsidRPr="009A27ED">
              <w:rPr>
                <w:rFonts w:cs="Calibri"/>
                <w:b/>
                <w:color w:val="FFFFFF" w:themeColor="background1"/>
                <w:sz w:val="20"/>
                <w:szCs w:val="20"/>
                <w:lang w:eastAsia="gl"/>
              </w:rPr>
              <w:t xml:space="preserve">de los </w:t>
            </w:r>
            <w:r w:rsidR="003214A6" w:rsidRPr="009A27ED">
              <w:rPr>
                <w:rFonts w:cs="Calibri"/>
                <w:b/>
                <w:color w:val="FFFFFF" w:themeColor="background1"/>
                <w:sz w:val="20"/>
                <w:szCs w:val="20"/>
                <w:lang w:eastAsia="gl"/>
              </w:rPr>
              <w:t>b</w:t>
            </w:r>
            <w:r w:rsidRPr="009A27ED">
              <w:rPr>
                <w:rFonts w:cs="Calibri"/>
                <w:b/>
                <w:color w:val="FFFFFF" w:themeColor="background1"/>
                <w:sz w:val="20"/>
                <w:szCs w:val="20"/>
                <w:lang w:eastAsia="gl"/>
              </w:rPr>
              <w:t>osques</w:t>
            </w:r>
          </w:p>
        </w:tc>
        <w:tc>
          <w:tcPr>
            <w:tcW w:w="2692" w:type="dxa"/>
            <w:tcBorders>
              <w:top w:val="nil"/>
              <w:left w:val="nil"/>
              <w:right w:val="nil"/>
            </w:tcBorders>
            <w:shd w:val="clear" w:color="auto" w:fill="0070C0"/>
          </w:tcPr>
          <w:p w14:paraId="09D2920F" w14:textId="77777777" w:rsidR="00947670" w:rsidRPr="009A27ED" w:rsidRDefault="00947670" w:rsidP="00594B12">
            <w:pPr>
              <w:tabs>
                <w:tab w:val="left" w:pos="709"/>
              </w:tabs>
              <w:spacing w:before="8" w:after="0" w:line="220" w:lineRule="atLeast"/>
              <w:jc w:val="center"/>
              <w:rPr>
                <w:rFonts w:cs="Calibri"/>
                <w:b/>
                <w:color w:val="FFFFFF" w:themeColor="background1"/>
                <w:sz w:val="20"/>
                <w:szCs w:val="20"/>
                <w:lang w:eastAsia="gl"/>
              </w:rPr>
            </w:pPr>
            <w:r w:rsidRPr="009A27ED">
              <w:rPr>
                <w:rFonts w:cs="Calibri"/>
                <w:b/>
                <w:color w:val="FFFFFF" w:themeColor="background1"/>
                <w:sz w:val="20"/>
                <w:szCs w:val="20"/>
                <w:lang w:eastAsia="gl"/>
              </w:rPr>
              <w:t>Promedio de Percentil Relativo</w:t>
            </w:r>
          </w:p>
        </w:tc>
      </w:tr>
      <w:tr w:rsidR="00947670" w:rsidRPr="009A27ED" w14:paraId="0AEEFB5A" w14:textId="77777777" w:rsidTr="00C14557">
        <w:trPr>
          <w:trHeight w:val="289"/>
        </w:trPr>
        <w:tc>
          <w:tcPr>
            <w:tcW w:w="1701" w:type="dxa"/>
            <w:vMerge w:val="restart"/>
            <w:tcBorders>
              <w:left w:val="single" w:sz="4" w:space="0" w:color="B4C5E7"/>
              <w:bottom w:val="single" w:sz="4" w:space="0" w:color="B4C5E7"/>
              <w:right w:val="single" w:sz="4" w:space="0" w:color="B4C5E7"/>
            </w:tcBorders>
          </w:tcPr>
          <w:p w14:paraId="4269791B" w14:textId="77777777" w:rsidR="00947670" w:rsidRPr="009A27ED" w:rsidRDefault="00947670" w:rsidP="00947670">
            <w:pPr>
              <w:tabs>
                <w:tab w:val="left" w:pos="709"/>
              </w:tabs>
              <w:spacing w:after="0"/>
              <w:rPr>
                <w:rFonts w:cs="Calibri"/>
                <w:sz w:val="20"/>
                <w:szCs w:val="20"/>
                <w:lang w:eastAsia="gl"/>
              </w:rPr>
            </w:pPr>
          </w:p>
          <w:p w14:paraId="6357D2B4" w14:textId="77777777" w:rsidR="00947670" w:rsidRPr="009A27ED" w:rsidRDefault="00947670" w:rsidP="00947670">
            <w:pPr>
              <w:tabs>
                <w:tab w:val="left" w:pos="709"/>
              </w:tabs>
              <w:spacing w:before="112" w:after="0"/>
              <w:ind w:left="107"/>
              <w:rPr>
                <w:rFonts w:cs="Calibri"/>
                <w:b/>
                <w:sz w:val="20"/>
                <w:szCs w:val="20"/>
                <w:lang w:eastAsia="gl"/>
              </w:rPr>
            </w:pPr>
            <w:r w:rsidRPr="009A27ED">
              <w:rPr>
                <w:rFonts w:cs="Calibri"/>
                <w:b/>
                <w:sz w:val="20"/>
                <w:szCs w:val="20"/>
                <w:lang w:eastAsia="gl"/>
              </w:rPr>
              <w:t>Muy alta</w:t>
            </w:r>
          </w:p>
        </w:tc>
        <w:tc>
          <w:tcPr>
            <w:tcW w:w="4962" w:type="dxa"/>
            <w:tcBorders>
              <w:left w:val="single" w:sz="4" w:space="0" w:color="B4C5E7"/>
              <w:bottom w:val="single" w:sz="4" w:space="0" w:color="B4C5E7"/>
              <w:right w:val="single" w:sz="4" w:space="0" w:color="B4C5E7"/>
            </w:tcBorders>
          </w:tcPr>
          <w:p w14:paraId="3B3B31B0" w14:textId="77777777" w:rsidR="00947670" w:rsidRPr="009A27ED" w:rsidRDefault="00947670" w:rsidP="00947670">
            <w:pPr>
              <w:tabs>
                <w:tab w:val="left" w:pos="709"/>
              </w:tabs>
              <w:spacing w:before="34" w:after="0"/>
              <w:ind w:left="103"/>
              <w:rPr>
                <w:rFonts w:cs="Calibri"/>
                <w:sz w:val="20"/>
                <w:szCs w:val="20"/>
                <w:lang w:eastAsia="gl"/>
              </w:rPr>
            </w:pPr>
            <w:r w:rsidRPr="009A27ED">
              <w:rPr>
                <w:rFonts w:cs="Calibri"/>
                <w:sz w:val="20"/>
                <w:szCs w:val="20"/>
                <w:lang w:eastAsia="gl"/>
              </w:rPr>
              <w:t>Debilidad en las políticas públicas</w:t>
            </w:r>
          </w:p>
        </w:tc>
        <w:tc>
          <w:tcPr>
            <w:tcW w:w="2692" w:type="dxa"/>
            <w:tcBorders>
              <w:left w:val="single" w:sz="4" w:space="0" w:color="B4C5E7"/>
              <w:bottom w:val="single" w:sz="4" w:space="0" w:color="B4C5E7"/>
              <w:right w:val="single" w:sz="4" w:space="0" w:color="B4C5E7"/>
            </w:tcBorders>
          </w:tcPr>
          <w:p w14:paraId="68EDEECC" w14:textId="77777777" w:rsidR="00947670" w:rsidRPr="009A27ED" w:rsidRDefault="00947670" w:rsidP="00594B12">
            <w:pPr>
              <w:tabs>
                <w:tab w:val="left" w:pos="709"/>
              </w:tabs>
              <w:spacing w:after="0"/>
              <w:jc w:val="center"/>
              <w:rPr>
                <w:rFonts w:cs="Calibri"/>
                <w:sz w:val="20"/>
                <w:szCs w:val="20"/>
                <w:lang w:eastAsia="gl"/>
              </w:rPr>
            </w:pPr>
            <w:r w:rsidRPr="009A27ED">
              <w:rPr>
                <w:rFonts w:cs="Calibri"/>
                <w:sz w:val="20"/>
                <w:szCs w:val="20"/>
                <w:lang w:eastAsia="gl"/>
              </w:rPr>
              <w:t>1</w:t>
            </w:r>
          </w:p>
        </w:tc>
      </w:tr>
      <w:tr w:rsidR="00947670" w:rsidRPr="009A27ED" w14:paraId="7120BD2C" w14:textId="77777777" w:rsidTr="00C14557">
        <w:trPr>
          <w:trHeight w:val="287"/>
        </w:trPr>
        <w:tc>
          <w:tcPr>
            <w:tcW w:w="1701" w:type="dxa"/>
            <w:vMerge/>
            <w:tcBorders>
              <w:top w:val="nil"/>
              <w:left w:val="single" w:sz="4" w:space="0" w:color="B4C5E7"/>
              <w:bottom w:val="single" w:sz="4" w:space="0" w:color="B4C5E7"/>
              <w:right w:val="single" w:sz="4" w:space="0" w:color="B4C5E7"/>
            </w:tcBorders>
          </w:tcPr>
          <w:p w14:paraId="0D2D6D1C" w14:textId="77777777" w:rsidR="00947670" w:rsidRPr="009A27ED" w:rsidRDefault="00947670" w:rsidP="00947670">
            <w:pPr>
              <w:tabs>
                <w:tab w:val="left" w:pos="709"/>
              </w:tabs>
              <w:spacing w:after="0"/>
              <w:rPr>
                <w:rFonts w:cs="Calibri"/>
                <w:sz w:val="20"/>
                <w:szCs w:val="20"/>
              </w:rPr>
            </w:pPr>
          </w:p>
        </w:tc>
        <w:tc>
          <w:tcPr>
            <w:tcW w:w="4962" w:type="dxa"/>
            <w:tcBorders>
              <w:top w:val="single" w:sz="4" w:space="0" w:color="B4C5E7"/>
              <w:left w:val="single" w:sz="4" w:space="0" w:color="B4C5E7"/>
              <w:bottom w:val="single" w:sz="4" w:space="0" w:color="B4C5E7"/>
              <w:right w:val="single" w:sz="4" w:space="0" w:color="B4C5E7"/>
            </w:tcBorders>
          </w:tcPr>
          <w:p w14:paraId="22BF949B" w14:textId="77777777" w:rsidR="00947670" w:rsidRPr="009A27ED" w:rsidRDefault="00947670" w:rsidP="00947670">
            <w:pPr>
              <w:tabs>
                <w:tab w:val="left" w:pos="709"/>
              </w:tabs>
              <w:spacing w:before="32" w:after="0"/>
              <w:ind w:left="103"/>
              <w:rPr>
                <w:rFonts w:cs="Calibri"/>
                <w:sz w:val="20"/>
                <w:szCs w:val="20"/>
                <w:lang w:eastAsia="gl"/>
              </w:rPr>
            </w:pPr>
            <w:r w:rsidRPr="009A27ED">
              <w:rPr>
                <w:rFonts w:cs="Calibri"/>
                <w:sz w:val="20"/>
                <w:szCs w:val="20"/>
                <w:lang w:eastAsia="gl"/>
              </w:rPr>
              <w:t>Debilidad en la institucionalidad forestal</w:t>
            </w:r>
          </w:p>
        </w:tc>
        <w:tc>
          <w:tcPr>
            <w:tcW w:w="2692" w:type="dxa"/>
            <w:tcBorders>
              <w:top w:val="single" w:sz="4" w:space="0" w:color="B4C5E7"/>
              <w:left w:val="single" w:sz="4" w:space="0" w:color="B4C5E7"/>
              <w:bottom w:val="single" w:sz="4" w:space="0" w:color="B4C5E7"/>
              <w:right w:val="single" w:sz="4" w:space="0" w:color="B4C5E7"/>
            </w:tcBorders>
          </w:tcPr>
          <w:p w14:paraId="2AB4B216" w14:textId="77777777" w:rsidR="00947670" w:rsidRPr="009A27ED" w:rsidRDefault="00947670" w:rsidP="00594B12">
            <w:pPr>
              <w:tabs>
                <w:tab w:val="left" w:pos="709"/>
              </w:tabs>
              <w:spacing w:after="0"/>
              <w:jc w:val="center"/>
              <w:rPr>
                <w:rFonts w:cs="Calibri"/>
                <w:sz w:val="20"/>
                <w:szCs w:val="20"/>
                <w:lang w:eastAsia="gl"/>
              </w:rPr>
            </w:pPr>
            <w:r w:rsidRPr="009A27ED">
              <w:rPr>
                <w:rFonts w:cs="Calibri"/>
                <w:sz w:val="20"/>
                <w:szCs w:val="20"/>
                <w:lang w:eastAsia="gl"/>
              </w:rPr>
              <w:t>0,93</w:t>
            </w:r>
          </w:p>
        </w:tc>
      </w:tr>
      <w:tr w:rsidR="00947670" w:rsidRPr="009A27ED" w14:paraId="08B19D9B" w14:textId="77777777" w:rsidTr="00C14557">
        <w:trPr>
          <w:trHeight w:val="287"/>
        </w:trPr>
        <w:tc>
          <w:tcPr>
            <w:tcW w:w="1701" w:type="dxa"/>
            <w:vMerge/>
            <w:tcBorders>
              <w:top w:val="nil"/>
              <w:left w:val="single" w:sz="4" w:space="0" w:color="B4C5E7"/>
              <w:bottom w:val="single" w:sz="4" w:space="0" w:color="B4C5E7"/>
              <w:right w:val="single" w:sz="4" w:space="0" w:color="B4C5E7"/>
            </w:tcBorders>
          </w:tcPr>
          <w:p w14:paraId="10063042" w14:textId="77777777" w:rsidR="00947670" w:rsidRPr="009A27ED" w:rsidRDefault="00947670" w:rsidP="00947670">
            <w:pPr>
              <w:tabs>
                <w:tab w:val="left" w:pos="709"/>
              </w:tabs>
              <w:spacing w:after="0"/>
              <w:rPr>
                <w:rFonts w:cs="Calibri"/>
                <w:sz w:val="20"/>
                <w:szCs w:val="20"/>
              </w:rPr>
            </w:pPr>
          </w:p>
        </w:tc>
        <w:tc>
          <w:tcPr>
            <w:tcW w:w="4962" w:type="dxa"/>
            <w:tcBorders>
              <w:top w:val="single" w:sz="4" w:space="0" w:color="B4C5E7"/>
              <w:left w:val="single" w:sz="4" w:space="0" w:color="B4C5E7"/>
              <w:bottom w:val="single" w:sz="4" w:space="0" w:color="B4C5E7"/>
              <w:right w:val="single" w:sz="4" w:space="0" w:color="B4C5E7"/>
            </w:tcBorders>
          </w:tcPr>
          <w:p w14:paraId="5875FD69" w14:textId="77777777" w:rsidR="00947670" w:rsidRPr="009A27ED" w:rsidRDefault="00947670" w:rsidP="00947670">
            <w:pPr>
              <w:tabs>
                <w:tab w:val="left" w:pos="709"/>
              </w:tabs>
              <w:spacing w:before="32" w:after="0"/>
              <w:ind w:left="103"/>
              <w:rPr>
                <w:rFonts w:cs="Calibri"/>
                <w:sz w:val="20"/>
                <w:szCs w:val="20"/>
                <w:lang w:eastAsia="gl"/>
              </w:rPr>
            </w:pPr>
            <w:r w:rsidRPr="009A27ED">
              <w:rPr>
                <w:rFonts w:cs="Calibri"/>
                <w:sz w:val="20"/>
                <w:szCs w:val="20"/>
                <w:lang w:eastAsia="gl"/>
              </w:rPr>
              <w:t>Bajo nivel de educación ambiental</w:t>
            </w:r>
          </w:p>
        </w:tc>
        <w:tc>
          <w:tcPr>
            <w:tcW w:w="2692" w:type="dxa"/>
            <w:tcBorders>
              <w:top w:val="single" w:sz="4" w:space="0" w:color="B4C5E7"/>
              <w:left w:val="single" w:sz="4" w:space="0" w:color="B4C5E7"/>
              <w:bottom w:val="single" w:sz="4" w:space="0" w:color="B4C5E7"/>
              <w:right w:val="single" w:sz="4" w:space="0" w:color="B4C5E7"/>
            </w:tcBorders>
          </w:tcPr>
          <w:p w14:paraId="41879024" w14:textId="77777777" w:rsidR="00947670" w:rsidRPr="009A27ED" w:rsidRDefault="00947670" w:rsidP="00594B12">
            <w:pPr>
              <w:tabs>
                <w:tab w:val="left" w:pos="709"/>
              </w:tabs>
              <w:spacing w:after="0"/>
              <w:jc w:val="center"/>
              <w:rPr>
                <w:rFonts w:cs="Calibri"/>
                <w:sz w:val="20"/>
                <w:szCs w:val="20"/>
                <w:lang w:eastAsia="gl"/>
              </w:rPr>
            </w:pPr>
            <w:r w:rsidRPr="009A27ED">
              <w:rPr>
                <w:rFonts w:cs="Calibri"/>
                <w:sz w:val="20"/>
                <w:szCs w:val="20"/>
                <w:lang w:eastAsia="gl"/>
              </w:rPr>
              <w:t>0,86</w:t>
            </w:r>
          </w:p>
        </w:tc>
      </w:tr>
      <w:tr w:rsidR="00947670" w:rsidRPr="009A27ED" w14:paraId="0BB7123B" w14:textId="77777777" w:rsidTr="00C14557">
        <w:trPr>
          <w:trHeight w:val="288"/>
        </w:trPr>
        <w:tc>
          <w:tcPr>
            <w:tcW w:w="1701" w:type="dxa"/>
            <w:vMerge w:val="restart"/>
            <w:tcBorders>
              <w:top w:val="single" w:sz="4" w:space="0" w:color="B4C5E7"/>
              <w:left w:val="single" w:sz="4" w:space="0" w:color="B4C5E7"/>
              <w:bottom w:val="single" w:sz="4" w:space="0" w:color="B4C5E7"/>
              <w:right w:val="single" w:sz="4" w:space="0" w:color="B4C5E7"/>
            </w:tcBorders>
            <w:shd w:val="clear" w:color="auto" w:fill="DBE5F1"/>
          </w:tcPr>
          <w:p w14:paraId="20F805B3" w14:textId="77777777" w:rsidR="00947670" w:rsidRPr="009A27ED" w:rsidRDefault="00947670" w:rsidP="00947670">
            <w:pPr>
              <w:tabs>
                <w:tab w:val="left" w:pos="709"/>
              </w:tabs>
              <w:spacing w:after="0"/>
              <w:rPr>
                <w:rFonts w:cs="Calibri"/>
                <w:sz w:val="20"/>
                <w:szCs w:val="20"/>
                <w:lang w:eastAsia="gl"/>
              </w:rPr>
            </w:pPr>
          </w:p>
          <w:p w14:paraId="65FF54F4" w14:textId="77777777" w:rsidR="00947670" w:rsidRPr="009A27ED" w:rsidRDefault="00947670" w:rsidP="00947670">
            <w:pPr>
              <w:tabs>
                <w:tab w:val="left" w:pos="709"/>
              </w:tabs>
              <w:spacing w:before="113" w:after="0"/>
              <w:ind w:left="107"/>
              <w:rPr>
                <w:rFonts w:cs="Calibri"/>
                <w:b/>
                <w:sz w:val="20"/>
                <w:szCs w:val="20"/>
                <w:lang w:eastAsia="gl"/>
              </w:rPr>
            </w:pPr>
            <w:r w:rsidRPr="009A27ED">
              <w:rPr>
                <w:rFonts w:cs="Calibri"/>
                <w:b/>
                <w:sz w:val="20"/>
                <w:szCs w:val="20"/>
                <w:lang w:eastAsia="gl"/>
              </w:rPr>
              <w:t>Alta</w:t>
            </w:r>
          </w:p>
        </w:tc>
        <w:tc>
          <w:tcPr>
            <w:tcW w:w="4962" w:type="dxa"/>
            <w:tcBorders>
              <w:top w:val="single" w:sz="4" w:space="0" w:color="B4C5E7"/>
              <w:left w:val="single" w:sz="4" w:space="0" w:color="B4C5E7"/>
              <w:bottom w:val="single" w:sz="4" w:space="0" w:color="B4C5E7"/>
              <w:right w:val="single" w:sz="4" w:space="0" w:color="B4C5E7"/>
            </w:tcBorders>
            <w:shd w:val="clear" w:color="auto" w:fill="DBE5F1"/>
          </w:tcPr>
          <w:p w14:paraId="0F6B05EF" w14:textId="77777777" w:rsidR="00947670" w:rsidRPr="009A27ED" w:rsidRDefault="00947670" w:rsidP="00947670">
            <w:pPr>
              <w:tabs>
                <w:tab w:val="left" w:pos="709"/>
              </w:tabs>
              <w:spacing w:before="35" w:after="0"/>
              <w:ind w:left="103"/>
              <w:rPr>
                <w:rFonts w:cs="Calibri"/>
                <w:sz w:val="20"/>
                <w:szCs w:val="20"/>
                <w:lang w:eastAsia="gl"/>
              </w:rPr>
            </w:pPr>
            <w:r w:rsidRPr="009A27ED">
              <w:rPr>
                <w:rFonts w:cs="Calibri"/>
                <w:sz w:val="20"/>
                <w:szCs w:val="20"/>
                <w:lang w:eastAsia="gl"/>
              </w:rPr>
              <w:t>Informalidad mercado leña/carbón</w:t>
            </w:r>
          </w:p>
        </w:tc>
        <w:tc>
          <w:tcPr>
            <w:tcW w:w="2692" w:type="dxa"/>
            <w:tcBorders>
              <w:top w:val="single" w:sz="4" w:space="0" w:color="B4C5E7"/>
              <w:left w:val="single" w:sz="4" w:space="0" w:color="B4C5E7"/>
              <w:bottom w:val="single" w:sz="4" w:space="0" w:color="B4C5E7"/>
              <w:right w:val="single" w:sz="4" w:space="0" w:color="B4C5E7"/>
            </w:tcBorders>
            <w:shd w:val="clear" w:color="auto" w:fill="DBE5F1"/>
          </w:tcPr>
          <w:p w14:paraId="17CF6DE1" w14:textId="77777777" w:rsidR="00947670" w:rsidRPr="009A27ED" w:rsidRDefault="00947670" w:rsidP="00594B12">
            <w:pPr>
              <w:tabs>
                <w:tab w:val="left" w:pos="709"/>
              </w:tabs>
              <w:spacing w:after="0"/>
              <w:jc w:val="center"/>
              <w:rPr>
                <w:rFonts w:cs="Calibri"/>
                <w:sz w:val="20"/>
                <w:szCs w:val="20"/>
                <w:lang w:eastAsia="gl"/>
              </w:rPr>
            </w:pPr>
            <w:r w:rsidRPr="009A27ED">
              <w:rPr>
                <w:rFonts w:cs="Calibri"/>
                <w:sz w:val="20"/>
                <w:szCs w:val="20"/>
                <w:lang w:eastAsia="gl"/>
              </w:rPr>
              <w:t>0,79</w:t>
            </w:r>
          </w:p>
        </w:tc>
      </w:tr>
      <w:tr w:rsidR="00947670" w:rsidRPr="009A27ED" w14:paraId="754E32AD" w14:textId="77777777" w:rsidTr="00C14557">
        <w:trPr>
          <w:trHeight w:val="290"/>
        </w:trPr>
        <w:tc>
          <w:tcPr>
            <w:tcW w:w="1701" w:type="dxa"/>
            <w:vMerge/>
            <w:tcBorders>
              <w:top w:val="nil"/>
              <w:left w:val="single" w:sz="4" w:space="0" w:color="B4C5E7"/>
              <w:bottom w:val="single" w:sz="4" w:space="0" w:color="B4C5E7"/>
              <w:right w:val="single" w:sz="4" w:space="0" w:color="B4C5E7"/>
            </w:tcBorders>
            <w:shd w:val="clear" w:color="auto" w:fill="DBE5F1"/>
          </w:tcPr>
          <w:p w14:paraId="09430B79" w14:textId="77777777" w:rsidR="00947670" w:rsidRPr="009A27ED" w:rsidRDefault="00947670" w:rsidP="00947670">
            <w:pPr>
              <w:tabs>
                <w:tab w:val="left" w:pos="709"/>
              </w:tabs>
              <w:spacing w:after="0"/>
              <w:rPr>
                <w:rFonts w:cs="Calibri"/>
                <w:sz w:val="20"/>
                <w:szCs w:val="20"/>
              </w:rPr>
            </w:pPr>
          </w:p>
        </w:tc>
        <w:tc>
          <w:tcPr>
            <w:tcW w:w="4962" w:type="dxa"/>
            <w:tcBorders>
              <w:top w:val="single" w:sz="4" w:space="0" w:color="B4C5E7"/>
              <w:left w:val="single" w:sz="4" w:space="0" w:color="B4C5E7"/>
              <w:bottom w:val="single" w:sz="4" w:space="0" w:color="B4C5E7"/>
              <w:right w:val="single" w:sz="4" w:space="0" w:color="B4C5E7"/>
            </w:tcBorders>
            <w:shd w:val="clear" w:color="auto" w:fill="DBE5F1"/>
          </w:tcPr>
          <w:p w14:paraId="6C1BD09C" w14:textId="77777777" w:rsidR="00947670" w:rsidRPr="009A27ED" w:rsidRDefault="00947670" w:rsidP="00947670">
            <w:pPr>
              <w:tabs>
                <w:tab w:val="left" w:pos="709"/>
              </w:tabs>
              <w:spacing w:before="35" w:after="0"/>
              <w:ind w:left="103"/>
              <w:rPr>
                <w:rFonts w:cs="Calibri"/>
                <w:sz w:val="20"/>
                <w:szCs w:val="20"/>
                <w:lang w:eastAsia="gl"/>
              </w:rPr>
            </w:pPr>
            <w:r w:rsidRPr="009A27ED">
              <w:rPr>
                <w:rFonts w:cs="Calibri"/>
                <w:sz w:val="20"/>
                <w:szCs w:val="20"/>
                <w:lang w:eastAsia="gl"/>
              </w:rPr>
              <w:t>Dinámica migratoria</w:t>
            </w:r>
          </w:p>
        </w:tc>
        <w:tc>
          <w:tcPr>
            <w:tcW w:w="2692" w:type="dxa"/>
            <w:tcBorders>
              <w:top w:val="single" w:sz="4" w:space="0" w:color="B4C5E7"/>
              <w:left w:val="single" w:sz="4" w:space="0" w:color="B4C5E7"/>
              <w:bottom w:val="single" w:sz="4" w:space="0" w:color="B4C5E7"/>
              <w:right w:val="single" w:sz="4" w:space="0" w:color="B4C5E7"/>
            </w:tcBorders>
            <w:shd w:val="clear" w:color="auto" w:fill="DBE5F1"/>
          </w:tcPr>
          <w:p w14:paraId="021EDE99" w14:textId="77777777" w:rsidR="00947670" w:rsidRPr="009A27ED" w:rsidRDefault="00947670" w:rsidP="00594B12">
            <w:pPr>
              <w:tabs>
                <w:tab w:val="left" w:pos="709"/>
              </w:tabs>
              <w:spacing w:after="0"/>
              <w:jc w:val="center"/>
              <w:rPr>
                <w:rFonts w:cs="Calibri"/>
                <w:sz w:val="20"/>
                <w:szCs w:val="20"/>
                <w:lang w:eastAsia="gl"/>
              </w:rPr>
            </w:pPr>
            <w:r w:rsidRPr="009A27ED">
              <w:rPr>
                <w:rFonts w:cs="Calibri"/>
                <w:sz w:val="20"/>
                <w:szCs w:val="20"/>
                <w:lang w:eastAsia="gl"/>
              </w:rPr>
              <w:t>0,71</w:t>
            </w:r>
          </w:p>
        </w:tc>
      </w:tr>
      <w:tr w:rsidR="00947670" w:rsidRPr="009A27ED" w14:paraId="5705ECE6" w14:textId="77777777" w:rsidTr="00C14557">
        <w:trPr>
          <w:trHeight w:val="287"/>
        </w:trPr>
        <w:tc>
          <w:tcPr>
            <w:tcW w:w="1701" w:type="dxa"/>
            <w:vMerge/>
            <w:tcBorders>
              <w:top w:val="nil"/>
              <w:left w:val="single" w:sz="4" w:space="0" w:color="B4C5E7"/>
              <w:bottom w:val="single" w:sz="4" w:space="0" w:color="B4C5E7"/>
              <w:right w:val="single" w:sz="4" w:space="0" w:color="B4C5E7"/>
            </w:tcBorders>
            <w:shd w:val="clear" w:color="auto" w:fill="DBE5F1"/>
          </w:tcPr>
          <w:p w14:paraId="53FAFF4D" w14:textId="77777777" w:rsidR="00947670" w:rsidRPr="009A27ED" w:rsidRDefault="00947670" w:rsidP="00947670">
            <w:pPr>
              <w:tabs>
                <w:tab w:val="left" w:pos="709"/>
              </w:tabs>
              <w:spacing w:after="0"/>
              <w:rPr>
                <w:rFonts w:cs="Calibri"/>
                <w:sz w:val="20"/>
                <w:szCs w:val="20"/>
              </w:rPr>
            </w:pPr>
          </w:p>
        </w:tc>
        <w:tc>
          <w:tcPr>
            <w:tcW w:w="4962" w:type="dxa"/>
            <w:tcBorders>
              <w:top w:val="single" w:sz="4" w:space="0" w:color="B4C5E7"/>
              <w:left w:val="single" w:sz="4" w:space="0" w:color="B4C5E7"/>
              <w:bottom w:val="single" w:sz="4" w:space="0" w:color="B4C5E7"/>
              <w:right w:val="single" w:sz="4" w:space="0" w:color="B4C5E7"/>
            </w:tcBorders>
            <w:shd w:val="clear" w:color="auto" w:fill="DBE5F1"/>
          </w:tcPr>
          <w:p w14:paraId="5F20FF78" w14:textId="77777777" w:rsidR="00947670" w:rsidRPr="009A27ED" w:rsidRDefault="00947670" w:rsidP="00947670">
            <w:pPr>
              <w:tabs>
                <w:tab w:val="left" w:pos="709"/>
              </w:tabs>
              <w:spacing w:before="32" w:after="0"/>
              <w:ind w:left="103"/>
              <w:rPr>
                <w:rFonts w:cs="Calibri"/>
                <w:sz w:val="20"/>
                <w:szCs w:val="20"/>
                <w:lang w:eastAsia="gl"/>
              </w:rPr>
            </w:pPr>
            <w:r w:rsidRPr="009A27ED">
              <w:rPr>
                <w:rFonts w:cs="Calibri"/>
                <w:sz w:val="20"/>
                <w:szCs w:val="20"/>
                <w:lang w:eastAsia="gl"/>
              </w:rPr>
              <w:t>Baja valoración económica de bosques</w:t>
            </w:r>
          </w:p>
        </w:tc>
        <w:tc>
          <w:tcPr>
            <w:tcW w:w="2692" w:type="dxa"/>
            <w:tcBorders>
              <w:top w:val="single" w:sz="4" w:space="0" w:color="B4C5E7"/>
              <w:left w:val="single" w:sz="4" w:space="0" w:color="B4C5E7"/>
              <w:bottom w:val="single" w:sz="4" w:space="0" w:color="B4C5E7"/>
              <w:right w:val="single" w:sz="4" w:space="0" w:color="B4C5E7"/>
            </w:tcBorders>
            <w:shd w:val="clear" w:color="auto" w:fill="DBE5F1"/>
          </w:tcPr>
          <w:p w14:paraId="0FF577E9" w14:textId="77777777" w:rsidR="00947670" w:rsidRPr="009A27ED" w:rsidRDefault="00947670" w:rsidP="00594B12">
            <w:pPr>
              <w:tabs>
                <w:tab w:val="left" w:pos="709"/>
              </w:tabs>
              <w:spacing w:after="0"/>
              <w:jc w:val="center"/>
              <w:rPr>
                <w:rFonts w:cs="Calibri"/>
                <w:sz w:val="20"/>
                <w:szCs w:val="20"/>
                <w:lang w:eastAsia="gl"/>
              </w:rPr>
            </w:pPr>
            <w:r w:rsidRPr="009A27ED">
              <w:rPr>
                <w:rFonts w:cs="Calibri"/>
                <w:sz w:val="20"/>
                <w:szCs w:val="20"/>
                <w:lang w:eastAsia="gl"/>
              </w:rPr>
              <w:t>0,64</w:t>
            </w:r>
          </w:p>
        </w:tc>
      </w:tr>
      <w:tr w:rsidR="00947670" w:rsidRPr="009A27ED" w14:paraId="54BFBA01" w14:textId="77777777" w:rsidTr="00C14557">
        <w:trPr>
          <w:trHeight w:val="287"/>
        </w:trPr>
        <w:tc>
          <w:tcPr>
            <w:tcW w:w="1701" w:type="dxa"/>
            <w:vMerge w:val="restart"/>
            <w:tcBorders>
              <w:top w:val="single" w:sz="4" w:space="0" w:color="B4C5E7"/>
              <w:left w:val="single" w:sz="4" w:space="0" w:color="B4C5E7"/>
              <w:bottom w:val="single" w:sz="4" w:space="0" w:color="B4C5E7"/>
              <w:right w:val="single" w:sz="4" w:space="0" w:color="B4C5E7"/>
            </w:tcBorders>
          </w:tcPr>
          <w:p w14:paraId="195E29CB" w14:textId="77777777" w:rsidR="00947670" w:rsidRPr="009A27ED" w:rsidRDefault="00947670" w:rsidP="00947670">
            <w:pPr>
              <w:tabs>
                <w:tab w:val="left" w:pos="709"/>
              </w:tabs>
              <w:spacing w:after="0"/>
              <w:rPr>
                <w:rFonts w:cs="Calibri"/>
                <w:sz w:val="20"/>
                <w:szCs w:val="20"/>
                <w:lang w:eastAsia="gl"/>
              </w:rPr>
            </w:pPr>
          </w:p>
          <w:p w14:paraId="4C761C59" w14:textId="77777777" w:rsidR="00947670" w:rsidRPr="009A27ED" w:rsidRDefault="00947670" w:rsidP="00947670">
            <w:pPr>
              <w:tabs>
                <w:tab w:val="left" w:pos="709"/>
              </w:tabs>
              <w:spacing w:before="110" w:after="0"/>
              <w:ind w:left="107"/>
              <w:rPr>
                <w:rFonts w:cs="Calibri"/>
                <w:b/>
                <w:sz w:val="20"/>
                <w:szCs w:val="20"/>
                <w:lang w:eastAsia="gl"/>
              </w:rPr>
            </w:pPr>
            <w:r w:rsidRPr="009A27ED">
              <w:rPr>
                <w:rFonts w:cs="Calibri"/>
                <w:b/>
                <w:sz w:val="20"/>
                <w:szCs w:val="20"/>
                <w:lang w:eastAsia="gl"/>
              </w:rPr>
              <w:t>Media</w:t>
            </w:r>
          </w:p>
        </w:tc>
        <w:tc>
          <w:tcPr>
            <w:tcW w:w="4962" w:type="dxa"/>
            <w:tcBorders>
              <w:top w:val="single" w:sz="4" w:space="0" w:color="B4C5E7"/>
              <w:left w:val="single" w:sz="4" w:space="0" w:color="B4C5E7"/>
              <w:bottom w:val="single" w:sz="4" w:space="0" w:color="B4C5E7"/>
              <w:right w:val="single" w:sz="4" w:space="0" w:color="B4C5E7"/>
            </w:tcBorders>
          </w:tcPr>
          <w:p w14:paraId="6A2A66BC" w14:textId="77777777" w:rsidR="00947670" w:rsidRPr="009A27ED" w:rsidRDefault="00947670" w:rsidP="00947670">
            <w:pPr>
              <w:tabs>
                <w:tab w:val="left" w:pos="709"/>
              </w:tabs>
              <w:spacing w:before="32" w:after="0"/>
              <w:ind w:left="103"/>
              <w:rPr>
                <w:rFonts w:cs="Calibri"/>
                <w:sz w:val="20"/>
                <w:szCs w:val="20"/>
                <w:lang w:eastAsia="gl"/>
              </w:rPr>
            </w:pPr>
            <w:r w:rsidRPr="009A27ED">
              <w:rPr>
                <w:rFonts w:cs="Calibri"/>
                <w:sz w:val="20"/>
                <w:szCs w:val="20"/>
                <w:lang w:eastAsia="gl"/>
              </w:rPr>
              <w:t>Ausencia de incentivos forestales</w:t>
            </w:r>
          </w:p>
        </w:tc>
        <w:tc>
          <w:tcPr>
            <w:tcW w:w="2692" w:type="dxa"/>
            <w:tcBorders>
              <w:top w:val="single" w:sz="4" w:space="0" w:color="B4C5E7"/>
              <w:left w:val="single" w:sz="4" w:space="0" w:color="B4C5E7"/>
              <w:bottom w:val="single" w:sz="4" w:space="0" w:color="B4C5E7"/>
              <w:right w:val="single" w:sz="4" w:space="0" w:color="B4C5E7"/>
            </w:tcBorders>
          </w:tcPr>
          <w:p w14:paraId="77B4236B" w14:textId="77777777" w:rsidR="00947670" w:rsidRPr="009A27ED" w:rsidRDefault="00947670" w:rsidP="00594B12">
            <w:pPr>
              <w:tabs>
                <w:tab w:val="left" w:pos="709"/>
              </w:tabs>
              <w:spacing w:after="0"/>
              <w:jc w:val="center"/>
              <w:rPr>
                <w:rFonts w:cs="Calibri"/>
                <w:sz w:val="20"/>
                <w:szCs w:val="20"/>
                <w:lang w:eastAsia="gl"/>
              </w:rPr>
            </w:pPr>
            <w:r w:rsidRPr="009A27ED">
              <w:rPr>
                <w:rFonts w:cs="Calibri"/>
                <w:sz w:val="20"/>
                <w:szCs w:val="20"/>
                <w:lang w:eastAsia="gl"/>
              </w:rPr>
              <w:t>0,57</w:t>
            </w:r>
          </w:p>
        </w:tc>
      </w:tr>
      <w:tr w:rsidR="00947670" w:rsidRPr="009A27ED" w14:paraId="38BC3EBA" w14:textId="77777777" w:rsidTr="00C14557">
        <w:trPr>
          <w:trHeight w:val="287"/>
        </w:trPr>
        <w:tc>
          <w:tcPr>
            <w:tcW w:w="1701" w:type="dxa"/>
            <w:vMerge/>
            <w:tcBorders>
              <w:top w:val="nil"/>
              <w:left w:val="single" w:sz="4" w:space="0" w:color="B4C5E7"/>
              <w:bottom w:val="single" w:sz="4" w:space="0" w:color="B4C5E7"/>
              <w:right w:val="single" w:sz="4" w:space="0" w:color="B4C5E7"/>
            </w:tcBorders>
          </w:tcPr>
          <w:p w14:paraId="5A4F9533" w14:textId="77777777" w:rsidR="00947670" w:rsidRPr="009A27ED" w:rsidRDefault="00947670" w:rsidP="00947670">
            <w:pPr>
              <w:tabs>
                <w:tab w:val="left" w:pos="709"/>
              </w:tabs>
              <w:spacing w:after="0"/>
              <w:rPr>
                <w:rFonts w:cs="Calibri"/>
                <w:sz w:val="20"/>
                <w:szCs w:val="20"/>
              </w:rPr>
            </w:pPr>
          </w:p>
        </w:tc>
        <w:tc>
          <w:tcPr>
            <w:tcW w:w="4962" w:type="dxa"/>
            <w:tcBorders>
              <w:top w:val="single" w:sz="4" w:space="0" w:color="B4C5E7"/>
              <w:left w:val="single" w:sz="4" w:space="0" w:color="B4C5E7"/>
              <w:bottom w:val="single" w:sz="4" w:space="0" w:color="B4C5E7"/>
              <w:right w:val="single" w:sz="4" w:space="0" w:color="B4C5E7"/>
            </w:tcBorders>
          </w:tcPr>
          <w:p w14:paraId="3A1BA164" w14:textId="09A4E0BF" w:rsidR="00947670" w:rsidRPr="009A27ED" w:rsidRDefault="00947670" w:rsidP="00947670">
            <w:pPr>
              <w:tabs>
                <w:tab w:val="left" w:pos="709"/>
              </w:tabs>
              <w:spacing w:before="32" w:after="0"/>
              <w:ind w:left="103"/>
              <w:rPr>
                <w:rFonts w:cs="Calibri"/>
                <w:sz w:val="20"/>
                <w:szCs w:val="20"/>
                <w:lang w:eastAsia="gl"/>
              </w:rPr>
            </w:pPr>
            <w:r w:rsidRPr="009A27ED">
              <w:rPr>
                <w:rFonts w:cs="Calibri"/>
                <w:sz w:val="20"/>
                <w:szCs w:val="20"/>
                <w:lang w:eastAsia="gl"/>
              </w:rPr>
              <w:t xml:space="preserve">Pobreza </w:t>
            </w:r>
            <w:r w:rsidR="00CF5818" w:rsidRPr="009A27ED">
              <w:rPr>
                <w:rFonts w:cs="Calibri"/>
                <w:sz w:val="20"/>
                <w:szCs w:val="20"/>
                <w:lang w:eastAsia="gl"/>
              </w:rPr>
              <w:t>–</w:t>
            </w:r>
            <w:r w:rsidRPr="009A27ED">
              <w:rPr>
                <w:rFonts w:cs="Calibri"/>
                <w:sz w:val="20"/>
                <w:szCs w:val="20"/>
                <w:lang w:eastAsia="gl"/>
              </w:rPr>
              <w:t>desempleo</w:t>
            </w:r>
          </w:p>
        </w:tc>
        <w:tc>
          <w:tcPr>
            <w:tcW w:w="2692" w:type="dxa"/>
            <w:tcBorders>
              <w:top w:val="single" w:sz="4" w:space="0" w:color="B4C5E7"/>
              <w:left w:val="single" w:sz="4" w:space="0" w:color="B4C5E7"/>
              <w:bottom w:val="single" w:sz="4" w:space="0" w:color="B4C5E7"/>
              <w:right w:val="single" w:sz="4" w:space="0" w:color="B4C5E7"/>
            </w:tcBorders>
          </w:tcPr>
          <w:p w14:paraId="510B4754" w14:textId="77777777" w:rsidR="00947670" w:rsidRPr="009A27ED" w:rsidRDefault="00947670" w:rsidP="00594B12">
            <w:pPr>
              <w:tabs>
                <w:tab w:val="left" w:pos="709"/>
              </w:tabs>
              <w:spacing w:after="0"/>
              <w:jc w:val="center"/>
              <w:rPr>
                <w:rFonts w:cs="Calibri"/>
                <w:sz w:val="20"/>
                <w:szCs w:val="20"/>
                <w:lang w:eastAsia="gl"/>
              </w:rPr>
            </w:pPr>
            <w:r w:rsidRPr="009A27ED">
              <w:rPr>
                <w:rFonts w:cs="Calibri"/>
                <w:sz w:val="20"/>
                <w:szCs w:val="20"/>
                <w:lang w:eastAsia="gl"/>
              </w:rPr>
              <w:t>0,50</w:t>
            </w:r>
          </w:p>
        </w:tc>
      </w:tr>
      <w:tr w:rsidR="00947670" w:rsidRPr="009A27ED" w14:paraId="79083C98" w14:textId="77777777" w:rsidTr="00C14557">
        <w:trPr>
          <w:trHeight w:val="287"/>
        </w:trPr>
        <w:tc>
          <w:tcPr>
            <w:tcW w:w="1701" w:type="dxa"/>
            <w:vMerge/>
            <w:tcBorders>
              <w:top w:val="nil"/>
              <w:left w:val="single" w:sz="4" w:space="0" w:color="B4C5E7"/>
              <w:bottom w:val="single" w:sz="4" w:space="0" w:color="B4C5E7"/>
              <w:right w:val="single" w:sz="4" w:space="0" w:color="B4C5E7"/>
            </w:tcBorders>
          </w:tcPr>
          <w:p w14:paraId="28BF3DEA" w14:textId="77777777" w:rsidR="00947670" w:rsidRPr="009A27ED" w:rsidRDefault="00947670" w:rsidP="00947670">
            <w:pPr>
              <w:tabs>
                <w:tab w:val="left" w:pos="709"/>
              </w:tabs>
              <w:spacing w:after="0"/>
              <w:rPr>
                <w:rFonts w:cs="Calibri"/>
                <w:sz w:val="20"/>
                <w:szCs w:val="20"/>
              </w:rPr>
            </w:pPr>
          </w:p>
        </w:tc>
        <w:tc>
          <w:tcPr>
            <w:tcW w:w="4962" w:type="dxa"/>
            <w:tcBorders>
              <w:top w:val="single" w:sz="4" w:space="0" w:color="B4C5E7"/>
              <w:left w:val="single" w:sz="4" w:space="0" w:color="B4C5E7"/>
              <w:bottom w:val="single" w:sz="4" w:space="0" w:color="B4C5E7"/>
              <w:right w:val="single" w:sz="4" w:space="0" w:color="B4C5E7"/>
            </w:tcBorders>
          </w:tcPr>
          <w:p w14:paraId="4BB6F367" w14:textId="77777777" w:rsidR="00947670" w:rsidRPr="009A27ED" w:rsidRDefault="00947670" w:rsidP="00947670">
            <w:pPr>
              <w:tabs>
                <w:tab w:val="left" w:pos="709"/>
              </w:tabs>
              <w:spacing w:before="32" w:after="0"/>
              <w:ind w:left="103"/>
              <w:rPr>
                <w:rFonts w:cs="Calibri"/>
                <w:sz w:val="20"/>
                <w:szCs w:val="20"/>
                <w:lang w:eastAsia="gl"/>
              </w:rPr>
            </w:pPr>
            <w:r w:rsidRPr="009A27ED">
              <w:rPr>
                <w:rFonts w:cs="Calibri"/>
                <w:sz w:val="20"/>
                <w:szCs w:val="20"/>
                <w:lang w:eastAsia="gl"/>
              </w:rPr>
              <w:t>Incumplimiento legislación vigente</w:t>
            </w:r>
          </w:p>
        </w:tc>
        <w:tc>
          <w:tcPr>
            <w:tcW w:w="2692" w:type="dxa"/>
            <w:tcBorders>
              <w:top w:val="single" w:sz="4" w:space="0" w:color="B4C5E7"/>
              <w:left w:val="single" w:sz="4" w:space="0" w:color="B4C5E7"/>
              <w:bottom w:val="single" w:sz="4" w:space="0" w:color="B4C5E7"/>
              <w:right w:val="single" w:sz="4" w:space="0" w:color="B4C5E7"/>
            </w:tcBorders>
          </w:tcPr>
          <w:p w14:paraId="44A49581" w14:textId="77777777" w:rsidR="00947670" w:rsidRPr="009A27ED" w:rsidRDefault="00947670" w:rsidP="00594B12">
            <w:pPr>
              <w:tabs>
                <w:tab w:val="left" w:pos="709"/>
              </w:tabs>
              <w:spacing w:after="0"/>
              <w:jc w:val="center"/>
              <w:rPr>
                <w:rFonts w:cs="Calibri"/>
                <w:sz w:val="20"/>
                <w:szCs w:val="20"/>
                <w:lang w:eastAsia="gl"/>
              </w:rPr>
            </w:pPr>
            <w:r w:rsidRPr="009A27ED">
              <w:rPr>
                <w:rFonts w:cs="Calibri"/>
                <w:sz w:val="20"/>
                <w:szCs w:val="20"/>
                <w:lang w:eastAsia="gl"/>
              </w:rPr>
              <w:t>0,43</w:t>
            </w:r>
          </w:p>
        </w:tc>
      </w:tr>
      <w:tr w:rsidR="00947670" w:rsidRPr="009A27ED" w14:paraId="4A5D99B5" w14:textId="77777777" w:rsidTr="00C14557">
        <w:trPr>
          <w:trHeight w:val="290"/>
        </w:trPr>
        <w:tc>
          <w:tcPr>
            <w:tcW w:w="1701" w:type="dxa"/>
            <w:vMerge w:val="restart"/>
            <w:tcBorders>
              <w:top w:val="single" w:sz="4" w:space="0" w:color="B4C5E7"/>
              <w:left w:val="single" w:sz="4" w:space="0" w:color="B4C5E7"/>
              <w:right w:val="single" w:sz="4" w:space="0" w:color="B4C5E7"/>
            </w:tcBorders>
            <w:shd w:val="clear" w:color="auto" w:fill="DBE5F1"/>
          </w:tcPr>
          <w:p w14:paraId="4C097F0A" w14:textId="77777777" w:rsidR="00947670" w:rsidRPr="009A27ED" w:rsidRDefault="00947670" w:rsidP="00947670">
            <w:pPr>
              <w:tabs>
                <w:tab w:val="left" w:pos="709"/>
              </w:tabs>
              <w:spacing w:before="35" w:after="0"/>
              <w:ind w:left="107"/>
              <w:rPr>
                <w:rFonts w:cs="Calibri"/>
                <w:b/>
                <w:sz w:val="20"/>
                <w:szCs w:val="20"/>
                <w:lang w:eastAsia="gl"/>
              </w:rPr>
            </w:pPr>
          </w:p>
          <w:p w14:paraId="235B8B29" w14:textId="77777777" w:rsidR="00947670" w:rsidRPr="009A27ED" w:rsidRDefault="00947670" w:rsidP="00947670">
            <w:pPr>
              <w:tabs>
                <w:tab w:val="left" w:pos="709"/>
              </w:tabs>
              <w:spacing w:before="35" w:after="0"/>
              <w:ind w:left="107"/>
              <w:rPr>
                <w:rFonts w:cs="Calibri"/>
                <w:b/>
                <w:sz w:val="20"/>
                <w:szCs w:val="20"/>
                <w:lang w:eastAsia="gl"/>
              </w:rPr>
            </w:pPr>
            <w:r w:rsidRPr="009A27ED">
              <w:rPr>
                <w:rFonts w:cs="Calibri"/>
                <w:b/>
                <w:sz w:val="20"/>
                <w:szCs w:val="20"/>
                <w:lang w:eastAsia="gl"/>
              </w:rPr>
              <w:t>Baja</w:t>
            </w:r>
          </w:p>
        </w:tc>
        <w:tc>
          <w:tcPr>
            <w:tcW w:w="4962" w:type="dxa"/>
            <w:tcBorders>
              <w:top w:val="single" w:sz="4" w:space="0" w:color="B4C5E7"/>
              <w:left w:val="single" w:sz="4" w:space="0" w:color="B4C5E7"/>
              <w:bottom w:val="single" w:sz="4" w:space="0" w:color="B4C5E7"/>
              <w:right w:val="single" w:sz="4" w:space="0" w:color="B4C5E7"/>
            </w:tcBorders>
            <w:shd w:val="clear" w:color="auto" w:fill="DBE5F1"/>
          </w:tcPr>
          <w:p w14:paraId="09F66649" w14:textId="77777777" w:rsidR="00947670" w:rsidRPr="009A27ED" w:rsidRDefault="00947670" w:rsidP="00947670">
            <w:pPr>
              <w:tabs>
                <w:tab w:val="left" w:pos="709"/>
              </w:tabs>
              <w:spacing w:before="35" w:after="0"/>
              <w:ind w:left="103"/>
              <w:rPr>
                <w:rFonts w:cs="Calibri"/>
                <w:sz w:val="20"/>
                <w:szCs w:val="20"/>
                <w:lang w:eastAsia="gl"/>
              </w:rPr>
            </w:pPr>
            <w:r w:rsidRPr="009A27ED">
              <w:rPr>
                <w:rFonts w:cs="Calibri"/>
                <w:sz w:val="20"/>
                <w:szCs w:val="20"/>
                <w:lang w:eastAsia="gl"/>
              </w:rPr>
              <w:t>Tenencia de la tierra</w:t>
            </w:r>
          </w:p>
        </w:tc>
        <w:tc>
          <w:tcPr>
            <w:tcW w:w="2692" w:type="dxa"/>
            <w:tcBorders>
              <w:top w:val="single" w:sz="4" w:space="0" w:color="B4C5E7"/>
              <w:left w:val="single" w:sz="4" w:space="0" w:color="B4C5E7"/>
              <w:bottom w:val="single" w:sz="4" w:space="0" w:color="B4C5E7"/>
              <w:right w:val="single" w:sz="4" w:space="0" w:color="B4C5E7"/>
            </w:tcBorders>
            <w:shd w:val="clear" w:color="auto" w:fill="DBE5F1"/>
          </w:tcPr>
          <w:p w14:paraId="4CBEAF72" w14:textId="77777777" w:rsidR="00947670" w:rsidRPr="009A27ED" w:rsidRDefault="00947670" w:rsidP="00594B12">
            <w:pPr>
              <w:tabs>
                <w:tab w:val="left" w:pos="709"/>
              </w:tabs>
              <w:spacing w:after="0"/>
              <w:jc w:val="center"/>
              <w:rPr>
                <w:rFonts w:cs="Calibri"/>
                <w:sz w:val="20"/>
                <w:szCs w:val="20"/>
                <w:lang w:eastAsia="gl"/>
              </w:rPr>
            </w:pPr>
            <w:r w:rsidRPr="009A27ED">
              <w:rPr>
                <w:rFonts w:cs="Calibri"/>
                <w:sz w:val="20"/>
                <w:szCs w:val="20"/>
                <w:lang w:eastAsia="gl"/>
              </w:rPr>
              <w:t>0,36</w:t>
            </w:r>
          </w:p>
        </w:tc>
      </w:tr>
      <w:tr w:rsidR="00947670" w:rsidRPr="009A27ED" w14:paraId="115B1F43" w14:textId="77777777" w:rsidTr="00C14557">
        <w:tblPrEx>
          <w:tblBorders>
            <w:top w:val="single" w:sz="4" w:space="0" w:color="B4C5E7"/>
            <w:left w:val="single" w:sz="4" w:space="0" w:color="B4C5E7"/>
            <w:bottom w:val="single" w:sz="4" w:space="0" w:color="B4C5E7"/>
            <w:right w:val="single" w:sz="4" w:space="0" w:color="B4C5E7"/>
            <w:insideH w:val="single" w:sz="4" w:space="0" w:color="B4C5E7"/>
            <w:insideV w:val="single" w:sz="4" w:space="0" w:color="B4C5E7"/>
          </w:tblBorders>
        </w:tblPrEx>
        <w:trPr>
          <w:trHeight w:val="287"/>
        </w:trPr>
        <w:tc>
          <w:tcPr>
            <w:tcW w:w="1701" w:type="dxa"/>
            <w:vMerge/>
            <w:tcBorders>
              <w:left w:val="single" w:sz="4" w:space="0" w:color="B4C5E7"/>
              <w:right w:val="single" w:sz="4" w:space="0" w:color="B4C5E7"/>
            </w:tcBorders>
            <w:shd w:val="clear" w:color="auto" w:fill="DBE5F1"/>
          </w:tcPr>
          <w:p w14:paraId="03DE80CF" w14:textId="77777777" w:rsidR="00947670" w:rsidRPr="009A27ED" w:rsidRDefault="00947670" w:rsidP="00947670">
            <w:pPr>
              <w:tabs>
                <w:tab w:val="left" w:pos="709"/>
              </w:tabs>
              <w:spacing w:after="0"/>
              <w:rPr>
                <w:rFonts w:cs="Calibri"/>
                <w:sz w:val="20"/>
                <w:szCs w:val="20"/>
                <w:lang w:eastAsia="gl"/>
              </w:rPr>
            </w:pPr>
          </w:p>
        </w:tc>
        <w:tc>
          <w:tcPr>
            <w:tcW w:w="4962" w:type="dxa"/>
            <w:tcBorders>
              <w:left w:val="single" w:sz="4" w:space="0" w:color="B4C5E7"/>
            </w:tcBorders>
            <w:shd w:val="clear" w:color="auto" w:fill="DBE5F1"/>
          </w:tcPr>
          <w:p w14:paraId="0A0046B1" w14:textId="77777777" w:rsidR="00947670" w:rsidRPr="009A27ED" w:rsidRDefault="00947670" w:rsidP="00947670">
            <w:pPr>
              <w:tabs>
                <w:tab w:val="left" w:pos="709"/>
              </w:tabs>
              <w:spacing w:before="32" w:after="0"/>
              <w:ind w:left="108"/>
              <w:rPr>
                <w:rFonts w:cs="Calibri"/>
                <w:sz w:val="20"/>
                <w:szCs w:val="20"/>
                <w:lang w:eastAsia="gl"/>
              </w:rPr>
            </w:pPr>
            <w:r w:rsidRPr="009A27ED">
              <w:rPr>
                <w:rFonts w:cs="Calibri"/>
                <w:sz w:val="20"/>
                <w:szCs w:val="20"/>
                <w:lang w:eastAsia="gl"/>
              </w:rPr>
              <w:t>Desastres naturales</w:t>
            </w:r>
          </w:p>
        </w:tc>
        <w:tc>
          <w:tcPr>
            <w:tcW w:w="2692" w:type="dxa"/>
            <w:shd w:val="clear" w:color="auto" w:fill="DBE5F1"/>
          </w:tcPr>
          <w:p w14:paraId="47A49E56" w14:textId="77777777" w:rsidR="00947670" w:rsidRPr="009A27ED" w:rsidRDefault="00947670" w:rsidP="00594B12">
            <w:pPr>
              <w:tabs>
                <w:tab w:val="left" w:pos="709"/>
              </w:tabs>
              <w:spacing w:after="0"/>
              <w:jc w:val="center"/>
              <w:rPr>
                <w:rFonts w:cs="Calibri"/>
                <w:sz w:val="20"/>
                <w:szCs w:val="20"/>
                <w:lang w:eastAsia="gl"/>
              </w:rPr>
            </w:pPr>
            <w:r w:rsidRPr="009A27ED">
              <w:rPr>
                <w:rFonts w:cs="Calibri"/>
                <w:sz w:val="20"/>
                <w:szCs w:val="20"/>
                <w:lang w:eastAsia="gl"/>
              </w:rPr>
              <w:t>0,29</w:t>
            </w:r>
          </w:p>
        </w:tc>
      </w:tr>
      <w:tr w:rsidR="00947670" w:rsidRPr="009A27ED" w14:paraId="09F43DC5" w14:textId="77777777" w:rsidTr="00C14557">
        <w:tblPrEx>
          <w:tblBorders>
            <w:top w:val="single" w:sz="4" w:space="0" w:color="B4C5E7"/>
            <w:left w:val="single" w:sz="4" w:space="0" w:color="B4C5E7"/>
            <w:bottom w:val="single" w:sz="4" w:space="0" w:color="B4C5E7"/>
            <w:right w:val="single" w:sz="4" w:space="0" w:color="B4C5E7"/>
            <w:insideH w:val="single" w:sz="4" w:space="0" w:color="B4C5E7"/>
            <w:insideV w:val="single" w:sz="4" w:space="0" w:color="B4C5E7"/>
          </w:tblBorders>
        </w:tblPrEx>
        <w:trPr>
          <w:trHeight w:val="287"/>
        </w:trPr>
        <w:tc>
          <w:tcPr>
            <w:tcW w:w="1701" w:type="dxa"/>
            <w:vMerge/>
            <w:tcBorders>
              <w:left w:val="single" w:sz="4" w:space="0" w:color="B4C5E7"/>
              <w:right w:val="single" w:sz="4" w:space="0" w:color="B4C5E7"/>
            </w:tcBorders>
            <w:shd w:val="clear" w:color="auto" w:fill="DBE5F1"/>
          </w:tcPr>
          <w:p w14:paraId="6FCB14E5" w14:textId="77777777" w:rsidR="00947670" w:rsidRPr="009A27ED" w:rsidRDefault="00947670" w:rsidP="00947670">
            <w:pPr>
              <w:tabs>
                <w:tab w:val="left" w:pos="709"/>
              </w:tabs>
              <w:spacing w:after="0"/>
              <w:rPr>
                <w:rFonts w:cs="Calibri"/>
                <w:sz w:val="20"/>
                <w:szCs w:val="20"/>
              </w:rPr>
            </w:pPr>
          </w:p>
        </w:tc>
        <w:tc>
          <w:tcPr>
            <w:tcW w:w="4962" w:type="dxa"/>
            <w:tcBorders>
              <w:left w:val="single" w:sz="4" w:space="0" w:color="B4C5E7"/>
            </w:tcBorders>
            <w:shd w:val="clear" w:color="auto" w:fill="DBE5F1"/>
          </w:tcPr>
          <w:p w14:paraId="5CED80F0" w14:textId="77777777" w:rsidR="00947670" w:rsidRPr="009A27ED" w:rsidRDefault="00947670" w:rsidP="00947670">
            <w:pPr>
              <w:tabs>
                <w:tab w:val="left" w:pos="709"/>
              </w:tabs>
              <w:spacing w:before="32" w:after="0"/>
              <w:ind w:left="108"/>
              <w:rPr>
                <w:rFonts w:cs="Calibri"/>
                <w:sz w:val="20"/>
                <w:szCs w:val="20"/>
                <w:lang w:eastAsia="gl"/>
              </w:rPr>
            </w:pPr>
            <w:r w:rsidRPr="009A27ED">
              <w:rPr>
                <w:rFonts w:cs="Calibri"/>
                <w:sz w:val="20"/>
                <w:szCs w:val="20"/>
                <w:lang w:eastAsia="gl"/>
              </w:rPr>
              <w:t>Crecimiento poblacional</w:t>
            </w:r>
          </w:p>
        </w:tc>
        <w:tc>
          <w:tcPr>
            <w:tcW w:w="2692" w:type="dxa"/>
            <w:shd w:val="clear" w:color="auto" w:fill="DBE5F1"/>
          </w:tcPr>
          <w:p w14:paraId="1E7858D2" w14:textId="77777777" w:rsidR="00947670" w:rsidRPr="009A27ED" w:rsidRDefault="00947670" w:rsidP="00594B12">
            <w:pPr>
              <w:tabs>
                <w:tab w:val="left" w:pos="709"/>
              </w:tabs>
              <w:spacing w:after="0"/>
              <w:jc w:val="center"/>
              <w:rPr>
                <w:rFonts w:cs="Calibri"/>
                <w:sz w:val="20"/>
                <w:szCs w:val="20"/>
                <w:lang w:eastAsia="gl"/>
              </w:rPr>
            </w:pPr>
            <w:r w:rsidRPr="009A27ED">
              <w:rPr>
                <w:rFonts w:cs="Calibri"/>
                <w:sz w:val="20"/>
                <w:szCs w:val="20"/>
                <w:lang w:eastAsia="gl"/>
              </w:rPr>
              <w:t>0,21</w:t>
            </w:r>
          </w:p>
        </w:tc>
      </w:tr>
      <w:tr w:rsidR="00947670" w:rsidRPr="009A27ED" w14:paraId="1479B1FF" w14:textId="77777777" w:rsidTr="00C14557">
        <w:tblPrEx>
          <w:tblBorders>
            <w:top w:val="single" w:sz="4" w:space="0" w:color="B4C5E7"/>
            <w:left w:val="single" w:sz="4" w:space="0" w:color="B4C5E7"/>
            <w:bottom w:val="single" w:sz="4" w:space="0" w:color="B4C5E7"/>
            <w:right w:val="single" w:sz="4" w:space="0" w:color="B4C5E7"/>
            <w:insideH w:val="single" w:sz="4" w:space="0" w:color="B4C5E7"/>
            <w:insideV w:val="single" w:sz="4" w:space="0" w:color="B4C5E7"/>
          </w:tblBorders>
        </w:tblPrEx>
        <w:trPr>
          <w:trHeight w:val="287"/>
        </w:trPr>
        <w:tc>
          <w:tcPr>
            <w:tcW w:w="1701" w:type="dxa"/>
            <w:vMerge w:val="restart"/>
          </w:tcPr>
          <w:p w14:paraId="79F25AFF" w14:textId="77777777" w:rsidR="00947670" w:rsidRPr="009A27ED" w:rsidRDefault="00947670" w:rsidP="00947670">
            <w:pPr>
              <w:tabs>
                <w:tab w:val="left" w:pos="709"/>
              </w:tabs>
              <w:spacing w:after="0"/>
              <w:rPr>
                <w:rFonts w:cs="Calibri"/>
                <w:sz w:val="20"/>
                <w:szCs w:val="20"/>
                <w:lang w:eastAsia="gl"/>
              </w:rPr>
            </w:pPr>
          </w:p>
          <w:p w14:paraId="6199DDD3" w14:textId="77777777" w:rsidR="00947670" w:rsidRPr="009A27ED" w:rsidRDefault="00947670" w:rsidP="00947670">
            <w:pPr>
              <w:tabs>
                <w:tab w:val="left" w:pos="709"/>
              </w:tabs>
              <w:spacing w:before="112" w:after="0"/>
              <w:ind w:left="107"/>
              <w:rPr>
                <w:rFonts w:cs="Calibri"/>
                <w:b/>
                <w:sz w:val="20"/>
                <w:szCs w:val="20"/>
                <w:lang w:eastAsia="gl"/>
              </w:rPr>
            </w:pPr>
            <w:r w:rsidRPr="009A27ED">
              <w:rPr>
                <w:rFonts w:cs="Calibri"/>
                <w:b/>
                <w:sz w:val="20"/>
                <w:szCs w:val="20"/>
                <w:lang w:eastAsia="gl"/>
              </w:rPr>
              <w:t>Muy baja</w:t>
            </w:r>
          </w:p>
        </w:tc>
        <w:tc>
          <w:tcPr>
            <w:tcW w:w="4962" w:type="dxa"/>
          </w:tcPr>
          <w:p w14:paraId="66DFC4C9" w14:textId="77777777" w:rsidR="00947670" w:rsidRPr="009A27ED" w:rsidRDefault="00947670" w:rsidP="00947670">
            <w:pPr>
              <w:tabs>
                <w:tab w:val="left" w:pos="709"/>
              </w:tabs>
              <w:spacing w:before="32" w:after="0"/>
              <w:ind w:left="108"/>
              <w:rPr>
                <w:rFonts w:cs="Calibri"/>
                <w:sz w:val="20"/>
                <w:szCs w:val="20"/>
                <w:lang w:eastAsia="gl"/>
              </w:rPr>
            </w:pPr>
            <w:r w:rsidRPr="009A27ED">
              <w:rPr>
                <w:rFonts w:cs="Calibri"/>
                <w:sz w:val="20"/>
                <w:szCs w:val="20"/>
                <w:lang w:eastAsia="gl"/>
              </w:rPr>
              <w:t>Otras causas misceláneas</w:t>
            </w:r>
          </w:p>
        </w:tc>
        <w:tc>
          <w:tcPr>
            <w:tcW w:w="2692" w:type="dxa"/>
          </w:tcPr>
          <w:p w14:paraId="318D4AC2" w14:textId="77777777" w:rsidR="00947670" w:rsidRPr="009A27ED" w:rsidRDefault="00947670" w:rsidP="00594B12">
            <w:pPr>
              <w:tabs>
                <w:tab w:val="left" w:pos="709"/>
              </w:tabs>
              <w:spacing w:after="0"/>
              <w:jc w:val="center"/>
              <w:rPr>
                <w:rFonts w:cs="Calibri"/>
                <w:sz w:val="20"/>
                <w:szCs w:val="20"/>
                <w:lang w:eastAsia="gl"/>
              </w:rPr>
            </w:pPr>
            <w:r w:rsidRPr="009A27ED">
              <w:rPr>
                <w:rFonts w:cs="Calibri"/>
                <w:sz w:val="20"/>
                <w:szCs w:val="20"/>
                <w:lang w:eastAsia="gl"/>
              </w:rPr>
              <w:t>0,14</w:t>
            </w:r>
          </w:p>
        </w:tc>
      </w:tr>
      <w:tr w:rsidR="00947670" w:rsidRPr="009A27ED" w14:paraId="1AEA5459" w14:textId="77777777" w:rsidTr="00C14557">
        <w:tblPrEx>
          <w:tblBorders>
            <w:top w:val="single" w:sz="4" w:space="0" w:color="B4C5E7"/>
            <w:left w:val="single" w:sz="4" w:space="0" w:color="B4C5E7"/>
            <w:bottom w:val="single" w:sz="4" w:space="0" w:color="B4C5E7"/>
            <w:right w:val="single" w:sz="4" w:space="0" w:color="B4C5E7"/>
            <w:insideH w:val="single" w:sz="4" w:space="0" w:color="B4C5E7"/>
            <w:insideV w:val="single" w:sz="4" w:space="0" w:color="B4C5E7"/>
          </w:tblBorders>
        </w:tblPrEx>
        <w:trPr>
          <w:trHeight w:val="287"/>
        </w:trPr>
        <w:tc>
          <w:tcPr>
            <w:tcW w:w="1701" w:type="dxa"/>
            <w:vMerge/>
            <w:tcBorders>
              <w:top w:val="nil"/>
            </w:tcBorders>
          </w:tcPr>
          <w:p w14:paraId="1BAE3BFC" w14:textId="77777777" w:rsidR="00947670" w:rsidRPr="009A27ED" w:rsidRDefault="00947670" w:rsidP="00947670">
            <w:pPr>
              <w:tabs>
                <w:tab w:val="left" w:pos="709"/>
              </w:tabs>
              <w:spacing w:after="0"/>
              <w:rPr>
                <w:rFonts w:cs="Calibri"/>
                <w:sz w:val="20"/>
                <w:szCs w:val="20"/>
              </w:rPr>
            </w:pPr>
          </w:p>
        </w:tc>
        <w:tc>
          <w:tcPr>
            <w:tcW w:w="4962" w:type="dxa"/>
          </w:tcPr>
          <w:p w14:paraId="063FFCCE" w14:textId="77777777" w:rsidR="00947670" w:rsidRPr="009A27ED" w:rsidRDefault="00947670" w:rsidP="00947670">
            <w:pPr>
              <w:tabs>
                <w:tab w:val="left" w:pos="709"/>
              </w:tabs>
              <w:spacing w:before="35" w:after="0"/>
              <w:ind w:left="108"/>
              <w:rPr>
                <w:rFonts w:cs="Calibri"/>
                <w:sz w:val="20"/>
                <w:szCs w:val="20"/>
                <w:lang w:eastAsia="gl"/>
              </w:rPr>
            </w:pPr>
            <w:r w:rsidRPr="009A27ED">
              <w:rPr>
                <w:rFonts w:cs="Calibri"/>
                <w:sz w:val="20"/>
                <w:szCs w:val="20"/>
                <w:lang w:eastAsia="gl"/>
              </w:rPr>
              <w:t>Turismo: Expansión del área turística</w:t>
            </w:r>
          </w:p>
        </w:tc>
        <w:tc>
          <w:tcPr>
            <w:tcW w:w="2692" w:type="dxa"/>
          </w:tcPr>
          <w:p w14:paraId="5FD21E89" w14:textId="77777777" w:rsidR="00947670" w:rsidRPr="009A27ED" w:rsidRDefault="00947670" w:rsidP="00594B12">
            <w:pPr>
              <w:tabs>
                <w:tab w:val="left" w:pos="709"/>
              </w:tabs>
              <w:spacing w:after="0"/>
              <w:jc w:val="center"/>
              <w:rPr>
                <w:rFonts w:cs="Calibri"/>
                <w:sz w:val="20"/>
                <w:szCs w:val="20"/>
                <w:lang w:eastAsia="gl"/>
              </w:rPr>
            </w:pPr>
            <w:r w:rsidRPr="009A27ED">
              <w:rPr>
                <w:rFonts w:cs="Calibri"/>
                <w:sz w:val="20"/>
                <w:szCs w:val="20"/>
                <w:lang w:eastAsia="gl"/>
              </w:rPr>
              <w:t>0,07</w:t>
            </w:r>
          </w:p>
        </w:tc>
      </w:tr>
      <w:tr w:rsidR="00947670" w:rsidRPr="009A27ED" w14:paraId="24B78DCA" w14:textId="77777777" w:rsidTr="00C14557">
        <w:tblPrEx>
          <w:tblBorders>
            <w:top w:val="single" w:sz="4" w:space="0" w:color="B4C5E7"/>
            <w:left w:val="single" w:sz="4" w:space="0" w:color="B4C5E7"/>
            <w:bottom w:val="single" w:sz="4" w:space="0" w:color="B4C5E7"/>
            <w:right w:val="single" w:sz="4" w:space="0" w:color="B4C5E7"/>
            <w:insideH w:val="single" w:sz="4" w:space="0" w:color="B4C5E7"/>
            <w:insideV w:val="single" w:sz="4" w:space="0" w:color="B4C5E7"/>
          </w:tblBorders>
        </w:tblPrEx>
        <w:trPr>
          <w:trHeight w:val="290"/>
        </w:trPr>
        <w:tc>
          <w:tcPr>
            <w:tcW w:w="1701" w:type="dxa"/>
            <w:vMerge/>
            <w:tcBorders>
              <w:top w:val="nil"/>
            </w:tcBorders>
          </w:tcPr>
          <w:p w14:paraId="2AB2A75C" w14:textId="77777777" w:rsidR="00947670" w:rsidRPr="009A27ED" w:rsidRDefault="00947670" w:rsidP="00947670">
            <w:pPr>
              <w:tabs>
                <w:tab w:val="left" w:pos="709"/>
              </w:tabs>
              <w:spacing w:after="0"/>
              <w:rPr>
                <w:rFonts w:cs="Calibri"/>
                <w:sz w:val="20"/>
                <w:szCs w:val="20"/>
              </w:rPr>
            </w:pPr>
          </w:p>
        </w:tc>
        <w:tc>
          <w:tcPr>
            <w:tcW w:w="4962" w:type="dxa"/>
          </w:tcPr>
          <w:p w14:paraId="22CB43C6" w14:textId="77777777" w:rsidR="00947670" w:rsidRPr="009A27ED" w:rsidRDefault="00947670" w:rsidP="00947670">
            <w:pPr>
              <w:tabs>
                <w:tab w:val="left" w:pos="709"/>
              </w:tabs>
              <w:spacing w:before="35" w:after="0"/>
              <w:ind w:left="108"/>
              <w:rPr>
                <w:rFonts w:cs="Calibri"/>
                <w:sz w:val="20"/>
                <w:szCs w:val="20"/>
                <w:lang w:eastAsia="gl"/>
              </w:rPr>
            </w:pPr>
            <w:r w:rsidRPr="009A27ED">
              <w:rPr>
                <w:rFonts w:cs="Calibri"/>
                <w:sz w:val="20"/>
                <w:szCs w:val="20"/>
                <w:lang w:eastAsia="gl"/>
              </w:rPr>
              <w:t>Insumos energéticos (biomasa)</w:t>
            </w:r>
          </w:p>
        </w:tc>
        <w:tc>
          <w:tcPr>
            <w:tcW w:w="2692" w:type="dxa"/>
          </w:tcPr>
          <w:p w14:paraId="6AF3C41D" w14:textId="77777777" w:rsidR="00947670" w:rsidRPr="009A27ED" w:rsidRDefault="00947670" w:rsidP="00C774F6">
            <w:pPr>
              <w:keepNext/>
              <w:tabs>
                <w:tab w:val="left" w:pos="709"/>
              </w:tabs>
              <w:spacing w:after="0"/>
              <w:jc w:val="center"/>
              <w:rPr>
                <w:rFonts w:cs="Calibri"/>
                <w:sz w:val="20"/>
                <w:szCs w:val="20"/>
                <w:lang w:eastAsia="gl"/>
              </w:rPr>
            </w:pPr>
            <w:r w:rsidRPr="009A27ED">
              <w:rPr>
                <w:rFonts w:cs="Calibri"/>
                <w:sz w:val="20"/>
                <w:szCs w:val="20"/>
                <w:lang w:eastAsia="gl"/>
              </w:rPr>
              <w:t>0,01</w:t>
            </w:r>
          </w:p>
        </w:tc>
      </w:tr>
    </w:tbl>
    <w:p w14:paraId="66B9409B" w14:textId="7A7398B1" w:rsidR="00947670" w:rsidRPr="009A27ED" w:rsidRDefault="00947670" w:rsidP="005B6485">
      <w:pPr>
        <w:spacing w:before="120" w:after="100" w:afterAutospacing="1" w:line="360" w:lineRule="auto"/>
        <w:rPr>
          <w:szCs w:val="22"/>
          <w:lang w:eastAsia="gl"/>
        </w:rPr>
      </w:pPr>
      <w:r w:rsidRPr="009A27ED">
        <w:rPr>
          <w:rFonts w:ascii="Times New Roman" w:eastAsia="Times New Roman" w:hAnsi="Times New Roman"/>
          <w:sz w:val="24"/>
          <w:szCs w:val="22"/>
          <w:lang w:eastAsia="gl"/>
        </w:rPr>
        <w:t>Después de un amplio análisis de las principales causas, se realizó un trabajo de homologación y priorización, y se generaron los insumos fundamentales necesarios para la formulación de la Estrategia Nacional REDD+ de República Dominicana, y para la construcción del P</w:t>
      </w:r>
      <w:r w:rsidR="00A978AE" w:rsidRPr="009A27ED">
        <w:rPr>
          <w:rFonts w:ascii="Times New Roman" w:eastAsia="Times New Roman" w:hAnsi="Times New Roman"/>
          <w:sz w:val="24"/>
          <w:szCs w:val="22"/>
          <w:lang w:eastAsia="gl"/>
        </w:rPr>
        <w:t xml:space="preserve">rograma </w:t>
      </w:r>
      <w:r w:rsidR="00F35FD2" w:rsidRPr="009A27ED">
        <w:rPr>
          <w:rFonts w:ascii="Times New Roman" w:eastAsia="Times New Roman" w:hAnsi="Times New Roman"/>
          <w:sz w:val="24"/>
          <w:szCs w:val="22"/>
          <w:lang w:eastAsia="gl"/>
        </w:rPr>
        <w:t>REDD</w:t>
      </w:r>
      <w:r w:rsidR="00A978AE" w:rsidRPr="009A27ED">
        <w:rPr>
          <w:rFonts w:ascii="Times New Roman" w:eastAsia="Times New Roman" w:hAnsi="Times New Roman"/>
          <w:sz w:val="24"/>
          <w:szCs w:val="22"/>
          <w:lang w:eastAsia="gl"/>
        </w:rPr>
        <w:t>+</w:t>
      </w:r>
      <w:r w:rsidRPr="009A27ED">
        <w:rPr>
          <w:rFonts w:ascii="Times New Roman" w:eastAsia="Times New Roman" w:hAnsi="Times New Roman"/>
          <w:sz w:val="24"/>
          <w:szCs w:val="22"/>
          <w:lang w:eastAsia="gl"/>
        </w:rPr>
        <w:t>, quedando como principales causas las siguientes:</w:t>
      </w:r>
    </w:p>
    <w:p w14:paraId="0206575F" w14:textId="257E0551" w:rsidR="00947670" w:rsidRPr="009A27ED" w:rsidRDefault="00947670" w:rsidP="00D42802">
      <w:pPr>
        <w:pStyle w:val="Apunteoticket"/>
        <w:numPr>
          <w:ilvl w:val="0"/>
          <w:numId w:val="45"/>
        </w:numPr>
        <w:spacing w:line="360" w:lineRule="auto"/>
        <w:rPr>
          <w:szCs w:val="22"/>
        </w:rPr>
      </w:pPr>
      <w:r w:rsidRPr="009A27ED">
        <w:rPr>
          <w:rFonts w:ascii="Times New Roman" w:eastAsia="Times New Roman" w:hAnsi="Times New Roman"/>
          <w:sz w:val="24"/>
          <w:szCs w:val="22"/>
        </w:rPr>
        <w:t>Manejo y uso ins</w:t>
      </w:r>
      <w:r w:rsidR="003757AE" w:rsidRPr="009A27ED">
        <w:rPr>
          <w:rFonts w:ascii="Times New Roman" w:eastAsia="Times New Roman" w:hAnsi="Times New Roman"/>
          <w:sz w:val="24"/>
          <w:szCs w:val="22"/>
        </w:rPr>
        <w:t>ostenible</w:t>
      </w:r>
      <w:r w:rsidRPr="009A27ED">
        <w:rPr>
          <w:rFonts w:ascii="Times New Roman" w:eastAsia="Times New Roman" w:hAnsi="Times New Roman"/>
          <w:sz w:val="24"/>
          <w:szCs w:val="22"/>
        </w:rPr>
        <w:t xml:space="preserve"> de las tierras forestales</w:t>
      </w:r>
      <w:r w:rsidR="00233BBB" w:rsidRPr="009A27ED">
        <w:rPr>
          <w:rFonts w:ascii="Times New Roman" w:eastAsia="Times New Roman" w:hAnsi="Times New Roman"/>
          <w:sz w:val="24"/>
          <w:szCs w:val="22"/>
        </w:rPr>
        <w:t>,</w:t>
      </w:r>
      <w:r w:rsidRPr="009A27ED">
        <w:rPr>
          <w:rFonts w:ascii="Times New Roman" w:eastAsia="Times New Roman" w:hAnsi="Times New Roman"/>
          <w:sz w:val="24"/>
          <w:szCs w:val="22"/>
        </w:rPr>
        <w:t xml:space="preserve"> </w:t>
      </w:r>
    </w:p>
    <w:p w14:paraId="48528C30" w14:textId="1AD5F686" w:rsidR="00947670" w:rsidRPr="009A27ED" w:rsidRDefault="00947670" w:rsidP="00D42802">
      <w:pPr>
        <w:pStyle w:val="Apunteoticket"/>
        <w:numPr>
          <w:ilvl w:val="0"/>
          <w:numId w:val="45"/>
        </w:numPr>
        <w:spacing w:line="360" w:lineRule="auto"/>
        <w:rPr>
          <w:szCs w:val="22"/>
        </w:rPr>
      </w:pPr>
      <w:r w:rsidRPr="009A27ED">
        <w:rPr>
          <w:rFonts w:ascii="Times New Roman" w:eastAsia="Times New Roman" w:hAnsi="Times New Roman"/>
          <w:sz w:val="24"/>
          <w:szCs w:val="22"/>
        </w:rPr>
        <w:t>Manejo y uso ins</w:t>
      </w:r>
      <w:r w:rsidR="003757AE" w:rsidRPr="009A27ED">
        <w:rPr>
          <w:rFonts w:ascii="Times New Roman" w:eastAsia="Times New Roman" w:hAnsi="Times New Roman"/>
          <w:sz w:val="24"/>
          <w:szCs w:val="22"/>
        </w:rPr>
        <w:t>ostenible</w:t>
      </w:r>
      <w:r w:rsidRPr="009A27ED">
        <w:rPr>
          <w:rFonts w:ascii="Times New Roman" w:eastAsia="Times New Roman" w:hAnsi="Times New Roman"/>
          <w:sz w:val="24"/>
          <w:szCs w:val="22"/>
        </w:rPr>
        <w:t xml:space="preserve"> de las tierras para producción agrícola</w:t>
      </w:r>
      <w:r w:rsidR="00233BBB" w:rsidRPr="009A27ED">
        <w:rPr>
          <w:rFonts w:ascii="Times New Roman" w:eastAsia="Times New Roman" w:hAnsi="Times New Roman"/>
          <w:sz w:val="24"/>
          <w:szCs w:val="22"/>
        </w:rPr>
        <w:t>,</w:t>
      </w:r>
      <w:r w:rsidRPr="009A27ED">
        <w:rPr>
          <w:rFonts w:ascii="Times New Roman" w:eastAsia="Times New Roman" w:hAnsi="Times New Roman"/>
          <w:sz w:val="24"/>
          <w:szCs w:val="22"/>
        </w:rPr>
        <w:t xml:space="preserve"> </w:t>
      </w:r>
    </w:p>
    <w:p w14:paraId="21D8DB84" w14:textId="591C8CC9" w:rsidR="00947670" w:rsidRPr="009A27ED" w:rsidRDefault="00947670" w:rsidP="00D42802">
      <w:pPr>
        <w:pStyle w:val="Apunteoticket"/>
        <w:numPr>
          <w:ilvl w:val="0"/>
          <w:numId w:val="45"/>
        </w:numPr>
        <w:spacing w:line="360" w:lineRule="auto"/>
        <w:rPr>
          <w:szCs w:val="22"/>
        </w:rPr>
      </w:pPr>
      <w:r w:rsidRPr="009A27ED">
        <w:rPr>
          <w:rFonts w:ascii="Times New Roman" w:eastAsia="Times New Roman" w:hAnsi="Times New Roman"/>
          <w:sz w:val="24"/>
          <w:szCs w:val="22"/>
        </w:rPr>
        <w:t>Manejo y uso ins</w:t>
      </w:r>
      <w:r w:rsidR="003757AE" w:rsidRPr="009A27ED">
        <w:rPr>
          <w:rFonts w:ascii="Times New Roman" w:eastAsia="Times New Roman" w:hAnsi="Times New Roman"/>
          <w:sz w:val="24"/>
          <w:szCs w:val="22"/>
        </w:rPr>
        <w:t>ostenible</w:t>
      </w:r>
      <w:r w:rsidRPr="009A27ED">
        <w:rPr>
          <w:rFonts w:ascii="Times New Roman" w:eastAsia="Times New Roman" w:hAnsi="Times New Roman"/>
          <w:sz w:val="24"/>
          <w:szCs w:val="22"/>
        </w:rPr>
        <w:t xml:space="preserve"> de las tierras para producción ganadera</w:t>
      </w:r>
      <w:r w:rsidR="00233BBB" w:rsidRPr="009A27ED">
        <w:rPr>
          <w:rFonts w:ascii="Times New Roman" w:eastAsia="Times New Roman" w:hAnsi="Times New Roman"/>
          <w:sz w:val="24"/>
          <w:szCs w:val="22"/>
        </w:rPr>
        <w:t>,</w:t>
      </w:r>
      <w:r w:rsidRPr="009A27ED">
        <w:rPr>
          <w:rFonts w:ascii="Times New Roman" w:eastAsia="Times New Roman" w:hAnsi="Times New Roman"/>
          <w:sz w:val="24"/>
          <w:szCs w:val="22"/>
        </w:rPr>
        <w:t xml:space="preserve"> </w:t>
      </w:r>
    </w:p>
    <w:p w14:paraId="176A2BC6" w14:textId="18F8AE15" w:rsidR="00947670" w:rsidRPr="009A27ED" w:rsidRDefault="00947670" w:rsidP="00D42802">
      <w:pPr>
        <w:pStyle w:val="Apunteoticket"/>
        <w:numPr>
          <w:ilvl w:val="0"/>
          <w:numId w:val="45"/>
        </w:numPr>
        <w:spacing w:line="360" w:lineRule="auto"/>
        <w:rPr>
          <w:szCs w:val="22"/>
        </w:rPr>
      </w:pPr>
      <w:r w:rsidRPr="009A27ED">
        <w:rPr>
          <w:rFonts w:ascii="Times New Roman" w:eastAsia="Times New Roman" w:hAnsi="Times New Roman"/>
          <w:sz w:val="24"/>
          <w:szCs w:val="22"/>
        </w:rPr>
        <w:t>Incendios forestales</w:t>
      </w:r>
      <w:r w:rsidR="00233BBB" w:rsidRPr="009A27ED">
        <w:rPr>
          <w:rFonts w:ascii="Times New Roman" w:eastAsia="Times New Roman" w:hAnsi="Times New Roman"/>
          <w:sz w:val="24"/>
          <w:szCs w:val="22"/>
        </w:rPr>
        <w:t>,</w:t>
      </w:r>
      <w:r w:rsidRPr="009A27ED">
        <w:rPr>
          <w:rFonts w:ascii="Times New Roman" w:eastAsia="Times New Roman" w:hAnsi="Times New Roman"/>
          <w:sz w:val="24"/>
          <w:szCs w:val="22"/>
        </w:rPr>
        <w:t xml:space="preserve"> </w:t>
      </w:r>
    </w:p>
    <w:p w14:paraId="5F1E1615" w14:textId="173B2596" w:rsidR="00947670" w:rsidRPr="009A27ED" w:rsidRDefault="00947670" w:rsidP="00D42802">
      <w:pPr>
        <w:pStyle w:val="Apunteoticket"/>
        <w:numPr>
          <w:ilvl w:val="0"/>
          <w:numId w:val="45"/>
        </w:numPr>
        <w:spacing w:line="360" w:lineRule="auto"/>
        <w:rPr>
          <w:szCs w:val="22"/>
        </w:rPr>
      </w:pPr>
      <w:r w:rsidRPr="009A27ED">
        <w:rPr>
          <w:rFonts w:ascii="Times New Roman" w:eastAsia="Times New Roman" w:hAnsi="Times New Roman"/>
          <w:sz w:val="24"/>
          <w:szCs w:val="22"/>
        </w:rPr>
        <w:t>Minería a cielo abierto</w:t>
      </w:r>
      <w:r w:rsidR="00233BBB" w:rsidRPr="009A27ED">
        <w:rPr>
          <w:rFonts w:ascii="Times New Roman" w:eastAsia="Times New Roman" w:hAnsi="Times New Roman"/>
          <w:sz w:val="24"/>
          <w:szCs w:val="22"/>
        </w:rPr>
        <w:t>,</w:t>
      </w:r>
    </w:p>
    <w:p w14:paraId="20420497" w14:textId="531DA9AF" w:rsidR="00947670" w:rsidRPr="009A27ED" w:rsidRDefault="00947670" w:rsidP="00D42802">
      <w:pPr>
        <w:pStyle w:val="Apunteoticket"/>
        <w:numPr>
          <w:ilvl w:val="0"/>
          <w:numId w:val="45"/>
        </w:numPr>
        <w:spacing w:line="360" w:lineRule="auto"/>
        <w:rPr>
          <w:szCs w:val="22"/>
        </w:rPr>
      </w:pPr>
      <w:r w:rsidRPr="009A27ED">
        <w:rPr>
          <w:rFonts w:ascii="Times New Roman" w:eastAsia="Times New Roman" w:hAnsi="Times New Roman"/>
          <w:sz w:val="24"/>
          <w:szCs w:val="22"/>
        </w:rPr>
        <w:lastRenderedPageBreak/>
        <w:t>Plagas, enfermedades en introducción de especies invasoras exóticas</w:t>
      </w:r>
      <w:r w:rsidR="00233BBB" w:rsidRPr="009A27ED">
        <w:rPr>
          <w:rFonts w:ascii="Times New Roman" w:eastAsia="Times New Roman" w:hAnsi="Times New Roman"/>
          <w:sz w:val="24"/>
          <w:szCs w:val="22"/>
        </w:rPr>
        <w:t>,</w:t>
      </w:r>
      <w:r w:rsidRPr="009A27ED">
        <w:rPr>
          <w:rFonts w:ascii="Times New Roman" w:eastAsia="Times New Roman" w:hAnsi="Times New Roman"/>
          <w:sz w:val="24"/>
          <w:szCs w:val="22"/>
        </w:rPr>
        <w:t xml:space="preserve"> </w:t>
      </w:r>
    </w:p>
    <w:p w14:paraId="1FB6C9FB" w14:textId="34036F46" w:rsidR="00947670" w:rsidRPr="009A27ED" w:rsidRDefault="00947670" w:rsidP="00D42802">
      <w:pPr>
        <w:pStyle w:val="Apunteoticket"/>
        <w:numPr>
          <w:ilvl w:val="0"/>
          <w:numId w:val="45"/>
        </w:numPr>
        <w:spacing w:line="360" w:lineRule="auto"/>
        <w:rPr>
          <w:szCs w:val="22"/>
        </w:rPr>
      </w:pPr>
      <w:r w:rsidRPr="009A27ED">
        <w:rPr>
          <w:rFonts w:ascii="Times New Roman" w:eastAsia="Times New Roman" w:hAnsi="Times New Roman"/>
          <w:sz w:val="24"/>
          <w:szCs w:val="22"/>
        </w:rPr>
        <w:t>Expansión de infraestructura productiva de tipo urbana, vial e industrial</w:t>
      </w:r>
      <w:r w:rsidR="00233BBB" w:rsidRPr="009A27ED">
        <w:rPr>
          <w:rFonts w:ascii="Times New Roman" w:eastAsia="Times New Roman" w:hAnsi="Times New Roman"/>
          <w:sz w:val="24"/>
          <w:szCs w:val="22"/>
        </w:rPr>
        <w:t>,</w:t>
      </w:r>
      <w:r w:rsidRPr="009A27ED">
        <w:rPr>
          <w:rFonts w:ascii="Times New Roman" w:eastAsia="Times New Roman" w:hAnsi="Times New Roman"/>
          <w:sz w:val="24"/>
          <w:szCs w:val="22"/>
        </w:rPr>
        <w:t xml:space="preserve"> </w:t>
      </w:r>
    </w:p>
    <w:p w14:paraId="426F73B5" w14:textId="02D09BF6" w:rsidR="00947670" w:rsidRPr="009A27ED" w:rsidRDefault="00947670" w:rsidP="00D42802">
      <w:pPr>
        <w:pStyle w:val="Apunteoticket"/>
        <w:numPr>
          <w:ilvl w:val="0"/>
          <w:numId w:val="45"/>
        </w:numPr>
        <w:spacing w:line="360" w:lineRule="auto"/>
        <w:rPr>
          <w:szCs w:val="22"/>
        </w:rPr>
      </w:pPr>
      <w:r w:rsidRPr="009A27ED">
        <w:rPr>
          <w:rFonts w:ascii="Times New Roman" w:eastAsia="Times New Roman" w:hAnsi="Times New Roman"/>
          <w:sz w:val="24"/>
          <w:szCs w:val="22"/>
        </w:rPr>
        <w:t>Desastres naturales: huracanes, sequía y deslizamientos</w:t>
      </w:r>
      <w:r w:rsidR="00233BBB" w:rsidRPr="009A27ED">
        <w:rPr>
          <w:rFonts w:ascii="Times New Roman" w:eastAsia="Times New Roman" w:hAnsi="Times New Roman"/>
          <w:sz w:val="24"/>
          <w:szCs w:val="22"/>
        </w:rPr>
        <w:t>,</w:t>
      </w:r>
      <w:r w:rsidRPr="009A27ED">
        <w:rPr>
          <w:rFonts w:ascii="Times New Roman" w:eastAsia="Times New Roman" w:hAnsi="Times New Roman"/>
          <w:sz w:val="24"/>
          <w:szCs w:val="22"/>
        </w:rPr>
        <w:t xml:space="preserve"> </w:t>
      </w:r>
    </w:p>
    <w:p w14:paraId="48B6B235" w14:textId="17FBE371" w:rsidR="00947670" w:rsidRPr="009A27ED" w:rsidRDefault="00947670" w:rsidP="00D42802">
      <w:pPr>
        <w:pStyle w:val="Apunteoticket"/>
        <w:numPr>
          <w:ilvl w:val="0"/>
          <w:numId w:val="45"/>
        </w:numPr>
        <w:spacing w:line="360" w:lineRule="auto"/>
        <w:rPr>
          <w:szCs w:val="22"/>
        </w:rPr>
      </w:pPr>
      <w:r w:rsidRPr="009A27ED">
        <w:rPr>
          <w:rFonts w:ascii="Times New Roman" w:eastAsia="Times New Roman" w:hAnsi="Times New Roman"/>
          <w:sz w:val="24"/>
          <w:szCs w:val="22"/>
        </w:rPr>
        <w:t>Deficiencia en la institucionalidad; la aplicación de la legislación y escasez de políticas públicas ambientales y forestales</w:t>
      </w:r>
      <w:r w:rsidR="00233BBB" w:rsidRPr="009A27ED">
        <w:rPr>
          <w:rFonts w:ascii="Times New Roman" w:eastAsia="Times New Roman" w:hAnsi="Times New Roman"/>
          <w:sz w:val="24"/>
          <w:szCs w:val="22"/>
        </w:rPr>
        <w:t>,</w:t>
      </w:r>
      <w:r w:rsidRPr="009A27ED">
        <w:rPr>
          <w:rFonts w:ascii="Times New Roman" w:eastAsia="Times New Roman" w:hAnsi="Times New Roman"/>
          <w:sz w:val="24"/>
          <w:szCs w:val="22"/>
        </w:rPr>
        <w:t xml:space="preserve"> </w:t>
      </w:r>
    </w:p>
    <w:p w14:paraId="23DF71B9" w14:textId="35512CF0" w:rsidR="00947670" w:rsidRPr="009A27ED" w:rsidRDefault="00947670" w:rsidP="00D42802">
      <w:pPr>
        <w:pStyle w:val="Apunteoticket"/>
        <w:numPr>
          <w:ilvl w:val="0"/>
          <w:numId w:val="45"/>
        </w:numPr>
        <w:spacing w:line="360" w:lineRule="auto"/>
        <w:rPr>
          <w:szCs w:val="22"/>
        </w:rPr>
      </w:pPr>
      <w:r w:rsidRPr="009A27ED">
        <w:rPr>
          <w:rFonts w:ascii="Times New Roman" w:eastAsia="Times New Roman" w:hAnsi="Times New Roman"/>
          <w:sz w:val="24"/>
          <w:szCs w:val="22"/>
        </w:rPr>
        <w:t>Deficiente educación ambiental</w:t>
      </w:r>
      <w:r w:rsidR="00233BBB" w:rsidRPr="009A27ED">
        <w:rPr>
          <w:rFonts w:ascii="Times New Roman" w:eastAsia="Times New Roman" w:hAnsi="Times New Roman"/>
          <w:sz w:val="24"/>
          <w:szCs w:val="22"/>
        </w:rPr>
        <w:t>,</w:t>
      </w:r>
      <w:r w:rsidRPr="009A27ED">
        <w:rPr>
          <w:rFonts w:ascii="Times New Roman" w:eastAsia="Times New Roman" w:hAnsi="Times New Roman"/>
          <w:sz w:val="24"/>
          <w:szCs w:val="22"/>
        </w:rPr>
        <w:t xml:space="preserve"> </w:t>
      </w:r>
    </w:p>
    <w:p w14:paraId="4E1A9136" w14:textId="42CA8B32" w:rsidR="00947670" w:rsidRPr="009A27ED" w:rsidRDefault="00233BBB" w:rsidP="00D42802">
      <w:pPr>
        <w:pStyle w:val="Apunteoticket"/>
        <w:numPr>
          <w:ilvl w:val="0"/>
          <w:numId w:val="45"/>
        </w:numPr>
        <w:spacing w:line="360" w:lineRule="auto"/>
        <w:rPr>
          <w:szCs w:val="22"/>
        </w:rPr>
      </w:pPr>
      <w:r w:rsidRPr="009A27ED">
        <w:rPr>
          <w:rFonts w:ascii="Times New Roman" w:eastAsia="Times New Roman" w:hAnsi="Times New Roman"/>
          <w:sz w:val="24"/>
          <w:szCs w:val="22"/>
        </w:rPr>
        <w:t>Presión</w:t>
      </w:r>
      <w:r w:rsidR="00947670" w:rsidRPr="009A27ED">
        <w:rPr>
          <w:rFonts w:ascii="Times New Roman" w:eastAsia="Times New Roman" w:hAnsi="Times New Roman"/>
          <w:sz w:val="24"/>
          <w:szCs w:val="22"/>
        </w:rPr>
        <w:t xml:space="preserve"> sobre los </w:t>
      </w:r>
      <w:r w:rsidRPr="009A27ED">
        <w:rPr>
          <w:rFonts w:ascii="Times New Roman" w:eastAsia="Times New Roman" w:hAnsi="Times New Roman"/>
          <w:sz w:val="24"/>
          <w:szCs w:val="22"/>
        </w:rPr>
        <w:t>r</w:t>
      </w:r>
      <w:r w:rsidR="00947670" w:rsidRPr="009A27ED">
        <w:rPr>
          <w:rFonts w:ascii="Times New Roman" w:eastAsia="Times New Roman" w:hAnsi="Times New Roman"/>
          <w:sz w:val="24"/>
          <w:szCs w:val="22"/>
        </w:rPr>
        <w:t xml:space="preserve">ecursos </w:t>
      </w:r>
      <w:r w:rsidRPr="009A27ED">
        <w:rPr>
          <w:rFonts w:ascii="Times New Roman" w:eastAsia="Times New Roman" w:hAnsi="Times New Roman"/>
          <w:sz w:val="24"/>
          <w:szCs w:val="22"/>
        </w:rPr>
        <w:t>f</w:t>
      </w:r>
      <w:r w:rsidR="00947670" w:rsidRPr="009A27ED">
        <w:rPr>
          <w:rFonts w:ascii="Times New Roman" w:eastAsia="Times New Roman" w:hAnsi="Times New Roman"/>
          <w:sz w:val="24"/>
          <w:szCs w:val="22"/>
        </w:rPr>
        <w:t>orestales debido a la elevada migración ilegal de origen</w:t>
      </w:r>
    </w:p>
    <w:p w14:paraId="6C4197A3" w14:textId="2DB650FC" w:rsidR="00947670" w:rsidRPr="009A27ED" w:rsidRDefault="00233BBB" w:rsidP="00D42802">
      <w:pPr>
        <w:pStyle w:val="Apunteoticket"/>
        <w:numPr>
          <w:ilvl w:val="0"/>
          <w:numId w:val="45"/>
        </w:numPr>
        <w:spacing w:line="360" w:lineRule="auto"/>
        <w:rPr>
          <w:szCs w:val="22"/>
        </w:rPr>
      </w:pPr>
      <w:r w:rsidRPr="009A27ED">
        <w:rPr>
          <w:rFonts w:ascii="Times New Roman" w:eastAsia="Times New Roman" w:hAnsi="Times New Roman"/>
          <w:sz w:val="24"/>
          <w:szCs w:val="22"/>
        </w:rPr>
        <w:t>I</w:t>
      </w:r>
      <w:r w:rsidR="00947670" w:rsidRPr="009A27ED">
        <w:rPr>
          <w:rFonts w:ascii="Times New Roman" w:eastAsia="Times New Roman" w:hAnsi="Times New Roman"/>
          <w:sz w:val="24"/>
          <w:szCs w:val="22"/>
        </w:rPr>
        <w:t>nternacional</w:t>
      </w:r>
      <w:r w:rsidRPr="009A27ED">
        <w:rPr>
          <w:rFonts w:ascii="Times New Roman" w:eastAsia="Times New Roman" w:hAnsi="Times New Roman"/>
          <w:sz w:val="24"/>
          <w:szCs w:val="22"/>
        </w:rPr>
        <w:t>,</w:t>
      </w:r>
      <w:r w:rsidR="00947670" w:rsidRPr="009A27ED">
        <w:rPr>
          <w:rFonts w:ascii="Times New Roman" w:eastAsia="Times New Roman" w:hAnsi="Times New Roman"/>
          <w:sz w:val="24"/>
          <w:szCs w:val="22"/>
        </w:rPr>
        <w:t xml:space="preserve"> </w:t>
      </w:r>
    </w:p>
    <w:p w14:paraId="75F21B09" w14:textId="6AB900B8" w:rsidR="00947670" w:rsidRPr="009A27ED" w:rsidRDefault="00947670" w:rsidP="00D42802">
      <w:pPr>
        <w:pStyle w:val="Apunteoticket"/>
        <w:numPr>
          <w:ilvl w:val="0"/>
          <w:numId w:val="45"/>
        </w:numPr>
        <w:spacing w:line="360" w:lineRule="auto"/>
        <w:rPr>
          <w:szCs w:val="22"/>
        </w:rPr>
      </w:pPr>
      <w:r w:rsidRPr="009A27ED">
        <w:rPr>
          <w:rFonts w:ascii="Times New Roman" w:eastAsia="Times New Roman" w:hAnsi="Times New Roman"/>
          <w:sz w:val="24"/>
          <w:szCs w:val="22"/>
        </w:rPr>
        <w:t>Pobreza e inequidad social</w:t>
      </w:r>
      <w:r w:rsidR="00233BBB" w:rsidRPr="009A27ED">
        <w:rPr>
          <w:rFonts w:ascii="Times New Roman" w:eastAsia="Times New Roman" w:hAnsi="Times New Roman"/>
          <w:sz w:val="24"/>
          <w:szCs w:val="22"/>
        </w:rPr>
        <w:t>.</w:t>
      </w:r>
    </w:p>
    <w:p w14:paraId="565D7B84" w14:textId="77777777" w:rsidR="00233BBB" w:rsidRPr="009A27ED" w:rsidRDefault="00233BBB" w:rsidP="00233BBB">
      <w:pPr>
        <w:pStyle w:val="Apunteoticket"/>
        <w:numPr>
          <w:ilvl w:val="0"/>
          <w:numId w:val="0"/>
        </w:numPr>
        <w:spacing w:line="360" w:lineRule="auto"/>
        <w:ind w:left="459"/>
        <w:rPr>
          <w:szCs w:val="22"/>
        </w:rPr>
      </w:pPr>
    </w:p>
    <w:p w14:paraId="64041AFC" w14:textId="705CD1C6" w:rsidR="00947670" w:rsidRPr="009A27ED" w:rsidRDefault="00947670" w:rsidP="005B6485">
      <w:pPr>
        <w:spacing w:before="120" w:after="0" w:line="360" w:lineRule="auto"/>
        <w:rPr>
          <w:szCs w:val="22"/>
          <w:lang w:eastAsia="gl"/>
        </w:rPr>
      </w:pPr>
      <w:r w:rsidRPr="009A27ED">
        <w:rPr>
          <w:rFonts w:ascii="Times New Roman" w:eastAsia="Times New Roman" w:hAnsi="Times New Roman"/>
          <w:sz w:val="24"/>
          <w:szCs w:val="22"/>
          <w:lang w:eastAsia="gl"/>
        </w:rPr>
        <w:t>A continuación, se describen las causas directas prioritarias de la deforestación y degradación de los bosques de la República Dominicana.</w:t>
      </w:r>
      <w:r w:rsidRPr="009A27ED">
        <w:rPr>
          <w:rStyle w:val="Refdenotaalpie"/>
          <w:rFonts w:asciiTheme="minorHAnsi" w:eastAsia="Times New Roman" w:hAnsiTheme="minorHAnsi" w:cs="Calibri"/>
          <w:sz w:val="24"/>
          <w:szCs w:val="22"/>
          <w:lang w:eastAsia="gl"/>
        </w:rPr>
        <w:footnoteReference w:id="22"/>
      </w:r>
    </w:p>
    <w:p w14:paraId="5811A695" w14:textId="77777777" w:rsidR="00C871BE" w:rsidRPr="009A27ED" w:rsidRDefault="00C871BE" w:rsidP="005B6485">
      <w:pPr>
        <w:spacing w:before="120" w:after="0" w:line="360" w:lineRule="auto"/>
        <w:rPr>
          <w:szCs w:val="22"/>
          <w:lang w:eastAsia="gl"/>
        </w:rPr>
      </w:pPr>
    </w:p>
    <w:p w14:paraId="0C8C12FC" w14:textId="77777777" w:rsidR="00947670" w:rsidRPr="009A27ED" w:rsidRDefault="00947670" w:rsidP="00A16DE9">
      <w:pPr>
        <w:pStyle w:val="Ttulo4"/>
        <w:spacing w:line="360" w:lineRule="auto"/>
        <w:rPr>
          <w:rFonts w:eastAsia="Calibri"/>
          <w:color w:val="000000" w:themeColor="text1"/>
          <w:lang w:eastAsia="gl"/>
        </w:rPr>
      </w:pPr>
      <w:r w:rsidRPr="009A27ED">
        <w:rPr>
          <w:rFonts w:ascii="Times New Roman" w:eastAsia="Times New Roman" w:hAnsi="Times New Roman"/>
          <w:color w:val="000000" w:themeColor="text1"/>
          <w:sz w:val="24"/>
          <w:lang w:eastAsia="gl"/>
        </w:rPr>
        <w:t>Manejo y uso insostenible de las tierras para producción ganadera</w:t>
      </w:r>
    </w:p>
    <w:p w14:paraId="74C1146D" w14:textId="77777777" w:rsidR="00947670" w:rsidRPr="009A27ED" w:rsidRDefault="00947670" w:rsidP="005B6485">
      <w:pPr>
        <w:spacing w:before="120" w:after="0" w:line="360" w:lineRule="auto"/>
        <w:rPr>
          <w:i/>
          <w:szCs w:val="22"/>
          <w:lang w:eastAsia="gl"/>
        </w:rPr>
      </w:pPr>
      <w:r w:rsidRPr="009A27ED">
        <w:rPr>
          <w:rFonts w:ascii="Times New Roman" w:eastAsia="Times New Roman" w:hAnsi="Times New Roman"/>
          <w:i/>
          <w:sz w:val="24"/>
          <w:szCs w:val="22"/>
          <w:lang w:eastAsia="gl"/>
        </w:rPr>
        <w:t>Impacto: Deforestación, degradación forestal</w:t>
      </w:r>
    </w:p>
    <w:p w14:paraId="2E39935C" w14:textId="77777777" w:rsidR="00947670" w:rsidRPr="009A27ED" w:rsidRDefault="00947670" w:rsidP="005B6485">
      <w:pPr>
        <w:spacing w:before="120" w:after="0" w:line="360" w:lineRule="auto"/>
        <w:rPr>
          <w:szCs w:val="22"/>
          <w:lang w:eastAsia="gl"/>
        </w:rPr>
      </w:pPr>
      <w:r w:rsidRPr="009A27ED">
        <w:rPr>
          <w:rFonts w:ascii="Times New Roman" w:eastAsia="Times New Roman" w:hAnsi="Times New Roman"/>
          <w:sz w:val="24"/>
          <w:szCs w:val="22"/>
          <w:lang w:eastAsia="gl"/>
        </w:rPr>
        <w:t>Aunque en primera instancia la actividad agrícola ocasiona la deforestación, es el desarrollo de la ganadería el que constituye el principal factor de destrucción de los bosques del país. Así, los pequeños agricultores hacen aclareos y deforestan para producir granos básicos y otros cultivos de subsistencia. Luego ellos suelen convertir las parcelas agrícolas en pastizal y las venden a los ganaderos.</w:t>
      </w:r>
    </w:p>
    <w:p w14:paraId="71D6EA57" w14:textId="77777777" w:rsidR="00947670" w:rsidRPr="009A27ED" w:rsidRDefault="00947670" w:rsidP="005B6485">
      <w:pPr>
        <w:spacing w:before="120" w:after="0" w:line="360" w:lineRule="auto"/>
        <w:rPr>
          <w:rFonts w:eastAsia="Calibri" w:cs="Calibri"/>
          <w:color w:val="000000" w:themeColor="text1"/>
          <w:szCs w:val="22"/>
          <w:lang w:eastAsia="gl"/>
        </w:rPr>
      </w:pPr>
      <w:r w:rsidRPr="009A27ED">
        <w:rPr>
          <w:rFonts w:ascii="Times New Roman" w:eastAsia="Times New Roman" w:hAnsi="Times New Roman" w:cs="Calibri"/>
          <w:sz w:val="24"/>
          <w:szCs w:val="22"/>
          <w:lang w:eastAsia="gl"/>
        </w:rPr>
        <w:t xml:space="preserve">Si bien la agricultura de tumba y quema ha sido herramienta de la deforestación, la ganadería extensiva es el sistema de uso del suelo que ha sustituido de forma permanente la cobertura boscosa en la mayor parte del país. Tradicionalmente los ganaderos han aprovechado a los pequeños “conuqueros” para desmontar las áreas forestales y </w:t>
      </w:r>
      <w:r w:rsidRPr="009A27ED">
        <w:rPr>
          <w:rFonts w:ascii="Times New Roman" w:eastAsia="Times New Roman" w:hAnsi="Times New Roman" w:cs="Calibri"/>
          <w:color w:val="000000" w:themeColor="text1"/>
          <w:sz w:val="24"/>
          <w:szCs w:val="22"/>
          <w:lang w:eastAsia="gl"/>
        </w:rPr>
        <w:t xml:space="preserve">convertirlas en pastizales después de unos años de cultivo. Actualmente el éxodo rural, la desaceleración del desarrollo agrícola y la importancia creciente de las remesas en la economía rural, han transformado la </w:t>
      </w:r>
      <w:r w:rsidRPr="009A27ED">
        <w:rPr>
          <w:rFonts w:ascii="Times New Roman" w:eastAsia="Times New Roman" w:hAnsi="Times New Roman" w:cs="Calibri"/>
          <w:color w:val="000000" w:themeColor="text1"/>
          <w:sz w:val="24"/>
          <w:szCs w:val="22"/>
          <w:lang w:eastAsia="gl"/>
        </w:rPr>
        <w:lastRenderedPageBreak/>
        <w:t>ganadería en el modo dominante de uso de la tierra en todas las áreas montañosas con vocación forestal (</w:t>
      </w:r>
      <w:proofErr w:type="spellStart"/>
      <w:r w:rsidRPr="009A27ED">
        <w:rPr>
          <w:rFonts w:ascii="Times New Roman" w:eastAsia="Times New Roman" w:hAnsi="Times New Roman" w:cs="Calibri"/>
          <w:color w:val="000000" w:themeColor="text1"/>
          <w:sz w:val="24"/>
          <w:szCs w:val="22"/>
          <w:lang w:eastAsia="gl"/>
        </w:rPr>
        <w:t>Geilfus</w:t>
      </w:r>
      <w:proofErr w:type="spellEnd"/>
      <w:r w:rsidRPr="009A27ED">
        <w:rPr>
          <w:rFonts w:ascii="Times New Roman" w:eastAsia="Times New Roman" w:hAnsi="Times New Roman" w:cs="Calibri"/>
          <w:color w:val="000000" w:themeColor="text1"/>
          <w:sz w:val="24"/>
          <w:szCs w:val="22"/>
          <w:lang w:eastAsia="gl"/>
        </w:rPr>
        <w:t>, 2002).</w:t>
      </w:r>
    </w:p>
    <w:p w14:paraId="5CE8F51A" w14:textId="33E89383" w:rsidR="00947670" w:rsidRPr="009A27ED" w:rsidRDefault="00947670" w:rsidP="005B6485">
      <w:pPr>
        <w:spacing w:before="120" w:after="0" w:line="360" w:lineRule="auto"/>
        <w:rPr>
          <w:rFonts w:eastAsia="Calibri" w:cs="Calibri"/>
          <w:color w:val="000000" w:themeColor="text1"/>
          <w:szCs w:val="22"/>
          <w:lang w:eastAsia="gl"/>
        </w:rPr>
      </w:pPr>
      <w:r w:rsidRPr="009A27ED">
        <w:rPr>
          <w:rFonts w:ascii="Times New Roman" w:eastAsia="Times New Roman" w:hAnsi="Times New Roman" w:cs="Calibri"/>
          <w:color w:val="000000" w:themeColor="text1"/>
          <w:sz w:val="24"/>
          <w:szCs w:val="22"/>
          <w:lang w:eastAsia="gl"/>
        </w:rPr>
        <w:t xml:space="preserve">La ganadería extensiva ocupa grandes territorios de pasto y el ganado se va trasladando periódicamente de un lugar a otro en busca de forraje nuevo. El traslado y acarreo de los animales se traduce también en costo para el ganadero. </w:t>
      </w:r>
      <w:r w:rsidR="007E56D7" w:rsidRPr="009A27ED">
        <w:rPr>
          <w:rFonts w:ascii="Times New Roman" w:eastAsia="Times New Roman" w:hAnsi="Times New Roman" w:cs="Calibri"/>
          <w:color w:val="000000" w:themeColor="text1"/>
          <w:sz w:val="24"/>
          <w:szCs w:val="22"/>
          <w:lang w:eastAsia="gl"/>
        </w:rPr>
        <w:t>A</w:t>
      </w:r>
      <w:r w:rsidRPr="009A27ED">
        <w:rPr>
          <w:rFonts w:ascii="Times New Roman" w:eastAsia="Times New Roman" w:hAnsi="Times New Roman" w:cs="Calibri"/>
          <w:color w:val="000000" w:themeColor="text1"/>
          <w:sz w:val="24"/>
          <w:szCs w:val="22"/>
          <w:lang w:eastAsia="gl"/>
        </w:rPr>
        <w:t>l repetir esta práctica el hato atraviesa varias veces las mismas rutas y a su paso se va endureciendo el suelo y los retoños de los árboles son ramoneados o pisoteados por los animales, con lo que se interrumpe el proceso de crecimiento de la vegetación arbórea. Adicionalmente, los ganaderos suelen cortar los árboles que estorban o impiden el crecimiento de hierbas forrajeras (SEMARENA-JICA, 2002). En las laderas, el repetido paso del ganado da lugar a la formación de caminos horizontales de terrenos desnudos, los cuales favorecen la erosión del suelo. Asimismo, en las tierras transformadas en pastizales, al llegar la época seca, se suele prender fuego repetidamente, lo que también impide el crecimiento de árboles por regeneración natural (SEMARENA-JICA, 2002).</w:t>
      </w:r>
    </w:p>
    <w:p w14:paraId="700FDD0E" w14:textId="77777777" w:rsidR="00947670" w:rsidRPr="009A27ED" w:rsidRDefault="00947670" w:rsidP="005B6485">
      <w:pPr>
        <w:spacing w:before="120" w:after="0" w:line="360" w:lineRule="auto"/>
        <w:rPr>
          <w:rFonts w:eastAsia="Calibri" w:cs="Calibri"/>
          <w:color w:val="000000" w:themeColor="text1"/>
          <w:szCs w:val="22"/>
          <w:lang w:eastAsia="gl"/>
        </w:rPr>
      </w:pPr>
      <w:r w:rsidRPr="009A27ED">
        <w:rPr>
          <w:rFonts w:ascii="Times New Roman" w:eastAsia="Times New Roman" w:hAnsi="Times New Roman" w:cs="Calibri"/>
          <w:color w:val="000000" w:themeColor="text1"/>
          <w:sz w:val="24"/>
          <w:szCs w:val="22"/>
          <w:lang w:eastAsia="gl"/>
        </w:rPr>
        <w:t>La producción pecuaria es uno de los usos más importantes, en cuanto a competencia y sustitución de bosques en el país. Históricamente la ganadería extensiva ha sido promovida y favorecida por leyes y políticas públicas. Consecuentemente, la ganadería extensiva ocupa la mayor superficie de tierras de laderas en las cuencas altas y medias. Su impacto sobre la deforestación y degradación de bosques es considerable. En la actualidad no se cuenta con incentivos suficientes para reconvertir prácticas más sostenibles, como los sistemas silvopastoriles con rotaciones periódicas controladas. Pues la ganadería extensiva es el uso de la tierra más atractivo en condiciones de bajo valor de la tierra y costos de oportunidad muy bajos.</w:t>
      </w:r>
    </w:p>
    <w:p w14:paraId="2BA05088" w14:textId="7C6FE8B8" w:rsidR="00947670" w:rsidRPr="009A27ED" w:rsidRDefault="00947670" w:rsidP="005B6485">
      <w:pPr>
        <w:spacing w:before="120" w:after="0" w:line="360" w:lineRule="auto"/>
        <w:rPr>
          <w:rFonts w:eastAsia="Calibri" w:cs="Calibri"/>
          <w:szCs w:val="22"/>
          <w:lang w:eastAsia="gl"/>
        </w:rPr>
      </w:pPr>
      <w:r w:rsidRPr="009A27ED">
        <w:rPr>
          <w:rFonts w:ascii="Times New Roman" w:eastAsia="Times New Roman" w:hAnsi="Times New Roman" w:cs="Calibri"/>
          <w:color w:val="000000" w:themeColor="text1"/>
          <w:sz w:val="24"/>
          <w:szCs w:val="22"/>
          <w:lang w:eastAsia="gl"/>
        </w:rPr>
        <w:t xml:space="preserve">La incompatibilidad que existe entre las prácticas ganaderas y el manejo </w:t>
      </w:r>
      <w:r w:rsidRPr="009A27ED">
        <w:rPr>
          <w:rFonts w:ascii="Times New Roman" w:eastAsia="Times New Roman" w:hAnsi="Times New Roman" w:cs="Calibri"/>
          <w:sz w:val="24"/>
          <w:szCs w:val="22"/>
          <w:lang w:eastAsia="gl"/>
        </w:rPr>
        <w:t xml:space="preserve">de los bosques en el sector rural se considera como una de las principales amenazas que atentan contra la conservación de los ecosistemas forestales del país. Aproximadamente 180,000 ha de tierras de pastoreo están ubicadas en áreas protegidas, principalmente en las provincias de Santiago, Santiago Rodríguez, Monte Plata, La Altagracia, Azua y Bahoruco. La crianza intensiva de ganado y la agricultura para autoconsumo y venta en mercados locales representan el principal sustento de las familias campesinas y son prácticas vinculadas fuertemente a sus </w:t>
      </w:r>
      <w:r w:rsidRPr="009A27ED">
        <w:rPr>
          <w:rFonts w:ascii="Times New Roman" w:eastAsia="Times New Roman" w:hAnsi="Times New Roman" w:cs="Calibri"/>
          <w:sz w:val="24"/>
          <w:szCs w:val="22"/>
          <w:lang w:eastAsia="gl"/>
        </w:rPr>
        <w:lastRenderedPageBreak/>
        <w:t>tradiciones, mientras que el bosque y sus productos no constituyen un componente productivo relevante en el predio</w:t>
      </w:r>
      <w:r w:rsidR="00B76AF2" w:rsidRPr="009A27ED">
        <w:rPr>
          <w:rFonts w:ascii="Times New Roman" w:eastAsia="Times New Roman" w:hAnsi="Times New Roman" w:cs="Calibri"/>
          <w:sz w:val="24"/>
          <w:szCs w:val="22"/>
          <w:lang w:eastAsia="gl"/>
        </w:rPr>
        <w:t>, p</w:t>
      </w:r>
      <w:r w:rsidRPr="009A27ED">
        <w:rPr>
          <w:rFonts w:ascii="Times New Roman" w:eastAsia="Times New Roman" w:hAnsi="Times New Roman" w:cs="Calibri"/>
          <w:sz w:val="24"/>
          <w:szCs w:val="22"/>
          <w:lang w:eastAsia="gl"/>
        </w:rPr>
        <w:t xml:space="preserve">ues su contribución en la generación de ingresos ha sido históricamente poco significativa, de largo plazo y no conduce a satisfacer sus necesidades económicas inmediatas. </w:t>
      </w:r>
    </w:p>
    <w:p w14:paraId="403E415B" w14:textId="77777777" w:rsidR="00947670" w:rsidRPr="009A27ED" w:rsidRDefault="00947670" w:rsidP="005B6485">
      <w:pPr>
        <w:spacing w:before="120" w:after="0" w:line="360" w:lineRule="auto"/>
        <w:rPr>
          <w:rFonts w:eastAsia="Calibri" w:cs="Calibri"/>
          <w:szCs w:val="22"/>
          <w:lang w:eastAsia="gl"/>
        </w:rPr>
      </w:pPr>
      <w:r w:rsidRPr="009A27ED">
        <w:rPr>
          <w:rFonts w:ascii="Times New Roman" w:eastAsia="Times New Roman" w:hAnsi="Times New Roman" w:cs="Calibri"/>
          <w:sz w:val="24"/>
          <w:szCs w:val="22"/>
          <w:lang w:eastAsia="gl"/>
        </w:rPr>
        <w:t>La principal causa de expansión ganadera fue su alta rentabilidad y un alto costo de oportunidad para los propietarios al mantener los bosques originales, lo que presionó su reemplazo. Existe una fuerte relación entre pobreza rural y el deterioro de los recursos forestales. Las unidades campesinas más pobres se caracterizan por terrenos de baja productividad y gran fragilidad ambiental. Esto se explica por el tamaño de las explotaciones y la dificultad para acceder a capital que permita mejorar el rendimiento de sus tierras.</w:t>
      </w:r>
    </w:p>
    <w:p w14:paraId="2F5E12A2" w14:textId="7C19A1F9" w:rsidR="00947670" w:rsidRPr="009A27ED" w:rsidRDefault="00947670" w:rsidP="005B6485">
      <w:pPr>
        <w:spacing w:before="120" w:after="0" w:line="360" w:lineRule="auto"/>
        <w:rPr>
          <w:rFonts w:eastAsia="Calibri" w:cs="Calibri"/>
          <w:szCs w:val="22"/>
          <w:lang w:eastAsia="gl"/>
        </w:rPr>
      </w:pPr>
      <w:r w:rsidRPr="009A27ED">
        <w:rPr>
          <w:rFonts w:ascii="Times New Roman" w:eastAsia="Times New Roman" w:hAnsi="Times New Roman" w:cs="Calibri"/>
          <w:sz w:val="24"/>
          <w:szCs w:val="22"/>
          <w:lang w:eastAsia="gl"/>
        </w:rPr>
        <w:t>La baja capacidad forrajera, así como la falta de cercos apropiados, tiene como consecuencia que se utilice al bosque como fuente de alimento y refugio para el ganado. Con frecuencia los animales son liberados hacia predios vecinos para complementar sus necesidades de alimentación, de refugio o por abastecimiento de agua cuando no hay fuentes más cercanas disponibles en los terrenos de origen. En ocasiones el ganado debe recorrer extensos territorios, lo que suele generar un gran desgaste energético para el animal. El costo de oportunidad de no ocupar el bosque para alimento del ganado es muy alto y acciones orientadas a disminuir la presión sobre el bosque implica una</w:t>
      </w:r>
      <w:r w:rsidR="00574FC1" w:rsidRPr="009A27ED">
        <w:rPr>
          <w:rFonts w:ascii="Times New Roman" w:eastAsia="Times New Roman" w:hAnsi="Times New Roman" w:cs="Calibri"/>
          <w:sz w:val="24"/>
          <w:szCs w:val="22"/>
          <w:lang w:eastAsia="gl"/>
        </w:rPr>
        <w:t xml:space="preserve"> fuerte inversión</w:t>
      </w:r>
      <w:r w:rsidRPr="009A27ED">
        <w:rPr>
          <w:rFonts w:ascii="Times New Roman" w:eastAsia="Times New Roman" w:hAnsi="Times New Roman" w:cs="Calibri"/>
          <w:sz w:val="24"/>
          <w:szCs w:val="22"/>
          <w:lang w:eastAsia="gl"/>
        </w:rPr>
        <w:t>, la cual no es posible ser solventada por las familias rurales, pues se tiene poca valoración de los ecosistemas forestales y el uso del bosque para alimento del ganado constituye una práctica arraigada al estilo de vida rural.</w:t>
      </w:r>
    </w:p>
    <w:p w14:paraId="46FD8AC5" w14:textId="32F5679A" w:rsidR="00947670" w:rsidRPr="009A27ED" w:rsidRDefault="00947670" w:rsidP="005B6485">
      <w:pPr>
        <w:spacing w:before="120" w:after="0" w:line="360" w:lineRule="auto"/>
        <w:rPr>
          <w:rFonts w:eastAsia="Calibri" w:cs="Calibri"/>
          <w:szCs w:val="22"/>
          <w:lang w:eastAsia="gl"/>
        </w:rPr>
      </w:pPr>
      <w:r w:rsidRPr="009A27ED">
        <w:rPr>
          <w:rFonts w:ascii="Times New Roman" w:eastAsia="Times New Roman" w:hAnsi="Times New Roman" w:cs="Calibri"/>
          <w:sz w:val="24"/>
          <w:szCs w:val="22"/>
          <w:lang w:eastAsia="gl"/>
        </w:rPr>
        <w:t xml:space="preserve">La actividad ganadera es regulada institucionalmente por la Dirección General de Ganadería (DIGEGA), pero esta regulación no considera su relación o impacto sobre la deforestación y la degradación de los bosques de manera directa. Los programas gubernamentales de fomento agrícola, ganadero y forestal no poseen un marco político suficientemente alineado con la conservación de los bosques, lo que se evidencia en una carencia de coordinación tanto a nivel local como nacional. Esto </w:t>
      </w:r>
      <w:r w:rsidR="00574FC1" w:rsidRPr="009A27ED">
        <w:rPr>
          <w:rFonts w:ascii="Times New Roman" w:eastAsia="Times New Roman" w:hAnsi="Times New Roman" w:cs="Calibri"/>
          <w:sz w:val="24"/>
          <w:szCs w:val="22"/>
          <w:lang w:eastAsia="gl"/>
        </w:rPr>
        <w:t>representa</w:t>
      </w:r>
      <w:r w:rsidRPr="009A27ED">
        <w:rPr>
          <w:rFonts w:ascii="Times New Roman" w:eastAsia="Times New Roman" w:hAnsi="Times New Roman" w:cs="Calibri"/>
          <w:sz w:val="24"/>
          <w:szCs w:val="22"/>
          <w:lang w:eastAsia="gl"/>
        </w:rPr>
        <w:t xml:space="preserve"> una falta de eficacia y complementariedad en las políticas públicas del sector </w:t>
      </w:r>
      <w:proofErr w:type="spellStart"/>
      <w:r w:rsidRPr="009A27ED">
        <w:rPr>
          <w:rFonts w:ascii="Times New Roman" w:eastAsia="Times New Roman" w:hAnsi="Times New Roman" w:cs="Calibri"/>
          <w:sz w:val="24"/>
          <w:szCs w:val="22"/>
          <w:lang w:eastAsia="gl"/>
        </w:rPr>
        <w:t>silvo</w:t>
      </w:r>
      <w:proofErr w:type="spellEnd"/>
      <w:r w:rsidRPr="009A27ED">
        <w:rPr>
          <w:rFonts w:ascii="Times New Roman" w:eastAsia="Times New Roman" w:hAnsi="Times New Roman" w:cs="Calibri"/>
          <w:sz w:val="24"/>
          <w:szCs w:val="22"/>
          <w:lang w:eastAsia="gl"/>
        </w:rPr>
        <w:t xml:space="preserve"> agropecuario en su conjunto.</w:t>
      </w:r>
    </w:p>
    <w:p w14:paraId="27E7096D" w14:textId="6C3FDCC4" w:rsidR="00947670" w:rsidRPr="009A27ED" w:rsidRDefault="00947670" w:rsidP="005B6485">
      <w:pPr>
        <w:spacing w:before="120" w:after="100" w:afterAutospacing="1" w:line="360" w:lineRule="auto"/>
        <w:rPr>
          <w:rFonts w:eastAsia="Calibri" w:cs="Calibri"/>
          <w:szCs w:val="22"/>
          <w:lang w:eastAsia="gl"/>
        </w:rPr>
      </w:pPr>
      <w:r w:rsidRPr="009A27ED">
        <w:rPr>
          <w:rFonts w:ascii="Times New Roman" w:eastAsia="Times New Roman" w:hAnsi="Times New Roman" w:cs="Calibri"/>
          <w:sz w:val="24"/>
          <w:szCs w:val="22"/>
          <w:lang w:eastAsia="gl"/>
        </w:rPr>
        <w:t>Según el mapa de uso y cobertura del suelo 2018 la superficie nacional de tierras dedicada a la ganadería asciende a 1</w:t>
      </w:r>
      <w:r w:rsidR="006F47EA" w:rsidRPr="009A27ED">
        <w:rPr>
          <w:rFonts w:ascii="Times New Roman" w:eastAsia="Times New Roman" w:hAnsi="Times New Roman" w:cs="Calibri"/>
          <w:sz w:val="24"/>
          <w:szCs w:val="22"/>
          <w:lang w:eastAsia="gl"/>
        </w:rPr>
        <w:t>,400,000</w:t>
      </w:r>
      <w:r w:rsidRPr="009A27ED">
        <w:rPr>
          <w:rFonts w:ascii="Times New Roman" w:eastAsia="Times New Roman" w:hAnsi="Times New Roman" w:cs="Calibri"/>
          <w:sz w:val="24"/>
          <w:szCs w:val="22"/>
          <w:lang w:eastAsia="gl"/>
        </w:rPr>
        <w:t xml:space="preserve"> ha, lo que representa el 29% del territorio del país. El </w:t>
      </w:r>
      <w:r w:rsidRPr="009A27ED">
        <w:rPr>
          <w:rFonts w:ascii="Times New Roman" w:eastAsia="Times New Roman" w:hAnsi="Times New Roman" w:cs="Calibri"/>
          <w:sz w:val="24"/>
          <w:szCs w:val="22"/>
          <w:lang w:eastAsia="gl"/>
        </w:rPr>
        <w:lastRenderedPageBreak/>
        <w:t xml:space="preserve">impacto de la expansión ganadera se verifica mayormente </w:t>
      </w:r>
      <w:r w:rsidR="00574FC1" w:rsidRPr="009A27ED">
        <w:rPr>
          <w:rFonts w:ascii="Times New Roman" w:eastAsia="Times New Roman" w:hAnsi="Times New Roman" w:cs="Calibri"/>
          <w:sz w:val="24"/>
          <w:szCs w:val="22"/>
          <w:lang w:eastAsia="gl"/>
        </w:rPr>
        <w:t>por</w:t>
      </w:r>
      <w:r w:rsidRPr="009A27ED">
        <w:rPr>
          <w:rFonts w:ascii="Times New Roman" w:eastAsia="Times New Roman" w:hAnsi="Times New Roman" w:cs="Calibri"/>
          <w:sz w:val="24"/>
          <w:szCs w:val="22"/>
          <w:lang w:eastAsia="gl"/>
        </w:rPr>
        <w:t xml:space="preserve"> la deforestación de bosque y </w:t>
      </w:r>
      <w:r w:rsidR="00574FC1" w:rsidRPr="009A27ED">
        <w:rPr>
          <w:rFonts w:ascii="Times New Roman" w:eastAsia="Times New Roman" w:hAnsi="Times New Roman" w:cs="Calibri"/>
          <w:sz w:val="24"/>
          <w:szCs w:val="22"/>
          <w:lang w:eastAsia="gl"/>
        </w:rPr>
        <w:t>por el</w:t>
      </w:r>
      <w:r w:rsidRPr="009A27ED">
        <w:rPr>
          <w:rFonts w:ascii="Times New Roman" w:eastAsia="Times New Roman" w:hAnsi="Times New Roman" w:cs="Calibri"/>
          <w:sz w:val="24"/>
          <w:szCs w:val="22"/>
          <w:lang w:eastAsia="gl"/>
        </w:rPr>
        <w:t xml:space="preserve"> no aumento de existencias de carbono forestal. Finalmente, la recuperación de ecosistemas forestales degradados por la ganadería extensiva debería abordar el tema de la pobreza rural con un enfoque territorial y de gestión comunitaria. </w:t>
      </w:r>
      <w:proofErr w:type="gramStart"/>
      <w:r w:rsidRPr="009A27ED">
        <w:rPr>
          <w:rFonts w:ascii="Times New Roman" w:eastAsia="Times New Roman" w:hAnsi="Times New Roman" w:cs="Calibri"/>
          <w:sz w:val="24"/>
          <w:szCs w:val="22"/>
          <w:lang w:eastAsia="gl"/>
        </w:rPr>
        <w:t>Los programas a implementar</w:t>
      </w:r>
      <w:proofErr w:type="gramEnd"/>
      <w:r w:rsidRPr="009A27ED">
        <w:rPr>
          <w:rFonts w:ascii="Times New Roman" w:eastAsia="Times New Roman" w:hAnsi="Times New Roman" w:cs="Calibri"/>
          <w:sz w:val="24"/>
          <w:szCs w:val="22"/>
          <w:lang w:eastAsia="gl"/>
        </w:rPr>
        <w:t xml:space="preserve"> y los instrumentos de fomento debieran tener presente el aspecto espacial del territorio y la relación de uso actual y futuro. El involucramiento de la administración municipal como gestor y articulador de los múltiples instrumentos sectoriales vinculados al uso del suelo y de los recursos naturales locales, es una alternativa a considerar para asegurar una mejor gestión del medio rural, pues la legislación actual lo permite.</w:t>
      </w:r>
    </w:p>
    <w:p w14:paraId="656162AD" w14:textId="77777777" w:rsidR="00947670" w:rsidRPr="009A27ED" w:rsidRDefault="00947670" w:rsidP="00A16DE9">
      <w:pPr>
        <w:pStyle w:val="Ttulo4"/>
        <w:spacing w:line="360" w:lineRule="auto"/>
        <w:rPr>
          <w:rFonts w:eastAsia="Calibri"/>
          <w:color w:val="000000" w:themeColor="text1"/>
          <w:lang w:eastAsia="gl"/>
        </w:rPr>
      </w:pPr>
      <w:r w:rsidRPr="009A27ED">
        <w:rPr>
          <w:rFonts w:ascii="Times New Roman" w:eastAsia="Times New Roman" w:hAnsi="Times New Roman"/>
          <w:color w:val="000000" w:themeColor="text1"/>
          <w:sz w:val="24"/>
          <w:lang w:eastAsia="gl"/>
        </w:rPr>
        <w:t>Manejo y uso insostenible de las tierras para producción agrícola</w:t>
      </w:r>
    </w:p>
    <w:p w14:paraId="64137D02" w14:textId="77777777" w:rsidR="00947670" w:rsidRPr="009A27ED" w:rsidRDefault="00947670" w:rsidP="005B6485">
      <w:pPr>
        <w:widowControl w:val="0"/>
        <w:tabs>
          <w:tab w:val="left" w:pos="709"/>
        </w:tabs>
        <w:autoSpaceDE w:val="0"/>
        <w:autoSpaceDN w:val="0"/>
        <w:spacing w:before="120" w:after="0" w:line="360" w:lineRule="auto"/>
        <w:rPr>
          <w:rFonts w:eastAsia="Calibri" w:cs="Calibri"/>
          <w:i/>
          <w:szCs w:val="22"/>
          <w:lang w:eastAsia="gl"/>
        </w:rPr>
      </w:pPr>
      <w:r w:rsidRPr="009A27ED">
        <w:rPr>
          <w:rFonts w:ascii="Times New Roman" w:eastAsia="Times New Roman" w:hAnsi="Times New Roman" w:cs="Calibri"/>
          <w:i/>
          <w:sz w:val="24"/>
          <w:szCs w:val="22"/>
          <w:lang w:eastAsia="gl"/>
        </w:rPr>
        <w:t>Impacto: Deforestación</w:t>
      </w:r>
    </w:p>
    <w:p w14:paraId="5AAFA0B9" w14:textId="77777777" w:rsidR="00947670" w:rsidRPr="009A27ED" w:rsidRDefault="00947670" w:rsidP="005B6485">
      <w:pPr>
        <w:widowControl w:val="0"/>
        <w:tabs>
          <w:tab w:val="left" w:pos="709"/>
        </w:tabs>
        <w:autoSpaceDE w:val="0"/>
        <w:autoSpaceDN w:val="0"/>
        <w:spacing w:before="120" w:after="0" w:line="360" w:lineRule="auto"/>
        <w:rPr>
          <w:rFonts w:eastAsia="Calibri" w:cs="Calibri"/>
          <w:color w:val="000000" w:themeColor="text1"/>
          <w:szCs w:val="22"/>
          <w:lang w:eastAsia="gl"/>
        </w:rPr>
      </w:pPr>
      <w:r w:rsidRPr="009A27ED">
        <w:rPr>
          <w:rFonts w:ascii="Times New Roman" w:eastAsia="Times New Roman" w:hAnsi="Times New Roman" w:cs="Calibri"/>
          <w:sz w:val="24"/>
          <w:szCs w:val="22"/>
          <w:lang w:eastAsia="gl"/>
        </w:rPr>
        <w:t xml:space="preserve">La expansión agrícola y ganadera ha sido históricamente la principal causa de la deforestación de los bosques en República Dominicana, así como en el resto del mundo. La expansión de la frontera agrícola es en general el factor claramente dominante de la deforestación. El proceso del reemplazo del bosque por la agricultura fue parte de las políticas de los Estados para proveer de alimento a la población y también en muchos casos como fuente de ingresos por la exportación de </w:t>
      </w:r>
      <w:proofErr w:type="gramStart"/>
      <w:r w:rsidRPr="009A27ED">
        <w:rPr>
          <w:rFonts w:ascii="Times New Roman" w:eastAsia="Times New Roman" w:hAnsi="Times New Roman" w:cs="Calibri"/>
          <w:sz w:val="24"/>
          <w:szCs w:val="22"/>
          <w:lang w:eastAsia="gl"/>
        </w:rPr>
        <w:t>los mismos</w:t>
      </w:r>
      <w:proofErr w:type="gramEnd"/>
      <w:r w:rsidRPr="009A27ED">
        <w:rPr>
          <w:rFonts w:ascii="Times New Roman" w:eastAsia="Times New Roman" w:hAnsi="Times New Roman" w:cs="Calibri"/>
          <w:sz w:val="24"/>
          <w:szCs w:val="22"/>
          <w:lang w:eastAsia="gl"/>
        </w:rPr>
        <w:t xml:space="preserve">. Esta situación se mantuvo hasta mediados del Siglo XX, cuando fue evidente el impacto negativo que tuvo esta política en la </w:t>
      </w:r>
      <w:r w:rsidRPr="009A27ED">
        <w:rPr>
          <w:rFonts w:ascii="Times New Roman" w:eastAsia="Times New Roman" w:hAnsi="Times New Roman" w:cs="Calibri"/>
          <w:color w:val="000000" w:themeColor="text1"/>
          <w:sz w:val="24"/>
          <w:szCs w:val="22"/>
          <w:lang w:eastAsia="gl"/>
        </w:rPr>
        <w:t>reducción de la superficie de bosques y su daño asociado al recurso suelo.</w:t>
      </w:r>
    </w:p>
    <w:p w14:paraId="1EB5C1BC" w14:textId="77777777" w:rsidR="00947670" w:rsidRPr="009A27ED" w:rsidRDefault="00947670" w:rsidP="005B6485">
      <w:pPr>
        <w:widowControl w:val="0"/>
        <w:tabs>
          <w:tab w:val="left" w:pos="709"/>
        </w:tabs>
        <w:autoSpaceDE w:val="0"/>
        <w:autoSpaceDN w:val="0"/>
        <w:spacing w:before="120" w:after="0" w:line="360" w:lineRule="auto"/>
        <w:rPr>
          <w:rFonts w:eastAsia="Calibri" w:cs="Calibri"/>
          <w:color w:val="000000" w:themeColor="text1"/>
          <w:szCs w:val="22"/>
          <w:lang w:eastAsia="gl"/>
        </w:rPr>
      </w:pPr>
      <w:r w:rsidRPr="009A27ED">
        <w:rPr>
          <w:rFonts w:ascii="Times New Roman" w:eastAsia="Times New Roman" w:hAnsi="Times New Roman" w:cs="Calibri"/>
          <w:color w:val="000000" w:themeColor="text1"/>
          <w:sz w:val="24"/>
          <w:szCs w:val="22"/>
          <w:lang w:eastAsia="gl"/>
        </w:rPr>
        <w:t>Ya en el 1981 el 30% de todo el territorio en República Dominicana eran tierras cultivadas y el 43% ya estaban utilizadas como pastizales (</w:t>
      </w:r>
      <w:proofErr w:type="spellStart"/>
      <w:r w:rsidRPr="009A27ED">
        <w:rPr>
          <w:rFonts w:ascii="Times New Roman" w:eastAsia="Times New Roman" w:hAnsi="Times New Roman" w:cs="Calibri"/>
          <w:color w:val="000000" w:themeColor="text1"/>
          <w:sz w:val="24"/>
          <w:szCs w:val="22"/>
          <w:lang w:eastAsia="gl"/>
        </w:rPr>
        <w:t>Hartshorn</w:t>
      </w:r>
      <w:proofErr w:type="spellEnd"/>
      <w:r w:rsidRPr="009A27ED">
        <w:rPr>
          <w:rFonts w:ascii="Times New Roman" w:eastAsia="Times New Roman" w:hAnsi="Times New Roman" w:cs="Calibri"/>
          <w:color w:val="000000" w:themeColor="text1"/>
          <w:sz w:val="24"/>
          <w:szCs w:val="22"/>
          <w:lang w:eastAsia="gl"/>
        </w:rPr>
        <w:t xml:space="preserve"> et al, 1981). Más del 70% de las pendientes empinadas, no adecuadas para el cultivo, estaban siendo cultivadas. Se estima que para el 1982 solamente el 6% de las tierras estaba dedicada a la producción de alimentos para consumo nacional, mientras que el mediano y pequeño productor dedicaba el 40% de sus tierras al consumo doméstico (OAS, 1982).</w:t>
      </w:r>
    </w:p>
    <w:p w14:paraId="3DD60BAF" w14:textId="3FB5B822" w:rsidR="00947670" w:rsidRPr="009A27ED" w:rsidRDefault="00947670" w:rsidP="005B6485">
      <w:pPr>
        <w:widowControl w:val="0"/>
        <w:tabs>
          <w:tab w:val="left" w:pos="709"/>
        </w:tabs>
        <w:autoSpaceDE w:val="0"/>
        <w:autoSpaceDN w:val="0"/>
        <w:spacing w:before="120" w:after="0" w:line="360" w:lineRule="auto"/>
        <w:rPr>
          <w:rFonts w:eastAsia="Calibri" w:cs="Calibri"/>
          <w:color w:val="000000" w:themeColor="text1"/>
          <w:szCs w:val="22"/>
          <w:lang w:eastAsia="gl"/>
        </w:rPr>
      </w:pPr>
      <w:r w:rsidRPr="009A27ED">
        <w:rPr>
          <w:rFonts w:ascii="Times New Roman" w:eastAsia="Times New Roman" w:hAnsi="Times New Roman" w:cs="Calibri"/>
          <w:color w:val="000000" w:themeColor="text1"/>
          <w:sz w:val="24"/>
          <w:szCs w:val="22"/>
          <w:lang w:eastAsia="gl"/>
        </w:rPr>
        <w:t xml:space="preserve">Se reporta que para los años 1987-1988 el 40% de la producción nacional de maíz, 50% de la producción de habichuela y el 75% de la producción de maní provenía de productores dedicados a la agricultura migratoria en sitios marginales (Morell ,1988 y Rodríguez, 1987). Condiciones adversas de mercados internacionales de los cultivos agroforestales </w:t>
      </w:r>
      <w:r w:rsidRPr="009A27ED">
        <w:rPr>
          <w:rFonts w:ascii="Times New Roman" w:eastAsia="Times New Roman" w:hAnsi="Times New Roman" w:cs="Calibri"/>
          <w:color w:val="000000" w:themeColor="text1"/>
          <w:sz w:val="24"/>
          <w:szCs w:val="22"/>
          <w:lang w:eastAsia="gl"/>
        </w:rPr>
        <w:lastRenderedPageBreak/>
        <w:t>tradicionales (café y cacao) suelen conducir deforestación, a causa de cambios a pastizales y otros cultivos y la consecuente pérdida de la cobertura de sombra (</w:t>
      </w:r>
      <w:proofErr w:type="spellStart"/>
      <w:r w:rsidRPr="009A27ED">
        <w:rPr>
          <w:rFonts w:ascii="Times New Roman" w:eastAsia="Times New Roman" w:hAnsi="Times New Roman" w:cs="Calibri"/>
          <w:color w:val="000000" w:themeColor="text1"/>
          <w:sz w:val="24"/>
          <w:szCs w:val="22"/>
          <w:lang w:eastAsia="gl"/>
        </w:rPr>
        <w:t>Geilfus</w:t>
      </w:r>
      <w:proofErr w:type="spellEnd"/>
      <w:r w:rsidRPr="009A27ED">
        <w:rPr>
          <w:rFonts w:ascii="Times New Roman" w:eastAsia="Times New Roman" w:hAnsi="Times New Roman" w:cs="Calibri"/>
          <w:color w:val="000000" w:themeColor="text1"/>
          <w:sz w:val="24"/>
          <w:szCs w:val="22"/>
          <w:lang w:eastAsia="gl"/>
        </w:rPr>
        <w:t>, 2002).</w:t>
      </w:r>
    </w:p>
    <w:p w14:paraId="578B0FDD" w14:textId="3965D7AE" w:rsidR="00947670" w:rsidRPr="009A27ED" w:rsidRDefault="00947670" w:rsidP="005B6485">
      <w:pPr>
        <w:widowControl w:val="0"/>
        <w:tabs>
          <w:tab w:val="left" w:pos="709"/>
        </w:tabs>
        <w:autoSpaceDE w:val="0"/>
        <w:autoSpaceDN w:val="0"/>
        <w:spacing w:before="120" w:after="0" w:line="360" w:lineRule="auto"/>
        <w:rPr>
          <w:rFonts w:eastAsia="Calibri" w:cs="Calibri"/>
          <w:color w:val="000000" w:themeColor="text1"/>
          <w:szCs w:val="22"/>
          <w:lang w:eastAsia="gl"/>
        </w:rPr>
      </w:pPr>
      <w:r w:rsidRPr="009A27ED">
        <w:rPr>
          <w:rFonts w:ascii="Times New Roman" w:eastAsia="Times New Roman" w:hAnsi="Times New Roman" w:cs="Calibri"/>
          <w:color w:val="000000" w:themeColor="text1"/>
          <w:sz w:val="24"/>
          <w:szCs w:val="22"/>
          <w:lang w:eastAsia="gl"/>
        </w:rPr>
        <w:t xml:space="preserve">En el país, la superficie de suelos de vocación agrícola equivale </w:t>
      </w:r>
      <w:r w:rsidRPr="009A27ED">
        <w:rPr>
          <w:rFonts w:ascii="Times New Roman" w:eastAsia="Times New Roman" w:hAnsi="Times New Roman" w:cs="Calibri"/>
          <w:sz w:val="24"/>
          <w:szCs w:val="22"/>
          <w:lang w:eastAsia="gl"/>
        </w:rPr>
        <w:t xml:space="preserve">al 13% de su área total y un 65% es considerado de vocación forestal (ABT, 2002). En ambos sectores, la pérdida de suelos se manifiesta por el </w:t>
      </w:r>
      <w:r w:rsidRPr="009A27ED">
        <w:rPr>
          <w:rFonts w:ascii="Times New Roman" w:eastAsia="Times New Roman" w:hAnsi="Times New Roman" w:cs="Calibri"/>
          <w:color w:val="000000" w:themeColor="text1"/>
          <w:sz w:val="24"/>
          <w:szCs w:val="22"/>
          <w:lang w:eastAsia="gl"/>
        </w:rPr>
        <w:t xml:space="preserve">empobrecimiento de estos a consecuencia de la pérdida de nutrientes orgánicos y minerales arrastrados durante los procesos de erosión. Los estudios de pérdida de suelos estiman la misma entre 20 y 500 TM/ha/año (SEESCYT, 2008). Según estimados para la cuenca del </w:t>
      </w:r>
      <w:proofErr w:type="spellStart"/>
      <w:r w:rsidRPr="009A27ED">
        <w:rPr>
          <w:rFonts w:ascii="Times New Roman" w:eastAsia="Times New Roman" w:hAnsi="Times New Roman" w:cs="Calibri"/>
          <w:color w:val="000000" w:themeColor="text1"/>
          <w:sz w:val="24"/>
          <w:szCs w:val="22"/>
          <w:lang w:eastAsia="gl"/>
        </w:rPr>
        <w:t>Nizao</w:t>
      </w:r>
      <w:proofErr w:type="spellEnd"/>
      <w:r w:rsidRPr="009A27ED">
        <w:rPr>
          <w:rFonts w:ascii="Times New Roman" w:eastAsia="Times New Roman" w:hAnsi="Times New Roman" w:cs="Calibri"/>
          <w:color w:val="000000" w:themeColor="text1"/>
          <w:sz w:val="24"/>
          <w:szCs w:val="22"/>
          <w:lang w:eastAsia="gl"/>
        </w:rPr>
        <w:t xml:space="preserve">, cuando ocurren fenómenos naturales, como tormentas y ciclones, éstos producen un impacto muy importante en la erosión y deslizamientos de los suelos, pudiendo alcanzar 14 veces las tasas de erosión normales. Se estima que para el 2009 el 16% de los suelos del país (755,100 has) estaban </w:t>
      </w:r>
      <w:proofErr w:type="spellStart"/>
      <w:proofErr w:type="gramStart"/>
      <w:r w:rsidRPr="009A27ED">
        <w:rPr>
          <w:rFonts w:ascii="Times New Roman" w:eastAsia="Times New Roman" w:hAnsi="Times New Roman" w:cs="Calibri"/>
          <w:color w:val="000000" w:themeColor="text1"/>
          <w:sz w:val="24"/>
          <w:szCs w:val="22"/>
          <w:lang w:eastAsia="gl"/>
        </w:rPr>
        <w:t>sobre-utilizados</w:t>
      </w:r>
      <w:proofErr w:type="spellEnd"/>
      <w:proofErr w:type="gramEnd"/>
      <w:r w:rsidRPr="009A27ED">
        <w:rPr>
          <w:rFonts w:ascii="Times New Roman" w:eastAsia="Times New Roman" w:hAnsi="Times New Roman" w:cs="Calibri"/>
          <w:color w:val="000000" w:themeColor="text1"/>
          <w:sz w:val="24"/>
          <w:szCs w:val="22"/>
          <w:lang w:eastAsia="gl"/>
        </w:rPr>
        <w:t xml:space="preserve">, es decir, bajo un uso por encima de su capacidad productiva natural y por tanto sometidos a procesos de degradación o perdida de las características físicas, químicas y biológicas (Sánchez, 2009). La mayor parte de los suelos </w:t>
      </w:r>
      <w:proofErr w:type="spellStart"/>
      <w:proofErr w:type="gramStart"/>
      <w:r w:rsidRPr="009A27ED">
        <w:rPr>
          <w:rFonts w:ascii="Times New Roman" w:eastAsia="Times New Roman" w:hAnsi="Times New Roman" w:cs="Calibri"/>
          <w:color w:val="000000" w:themeColor="text1"/>
          <w:sz w:val="24"/>
          <w:szCs w:val="22"/>
          <w:lang w:eastAsia="gl"/>
        </w:rPr>
        <w:t>sobre-utilizados</w:t>
      </w:r>
      <w:proofErr w:type="spellEnd"/>
      <w:proofErr w:type="gramEnd"/>
      <w:r w:rsidRPr="009A27ED">
        <w:rPr>
          <w:rFonts w:ascii="Times New Roman" w:eastAsia="Times New Roman" w:hAnsi="Times New Roman" w:cs="Calibri"/>
          <w:color w:val="000000" w:themeColor="text1"/>
          <w:sz w:val="24"/>
          <w:szCs w:val="22"/>
          <w:lang w:eastAsia="gl"/>
        </w:rPr>
        <w:t xml:space="preserve"> se concentraba en zonas de montañas, con fuertes pendientes y suelos bajo un uso intensivo sin prácticas de conservación.</w:t>
      </w:r>
    </w:p>
    <w:p w14:paraId="0CEC8295" w14:textId="77777777" w:rsidR="00947670" w:rsidRPr="009A27ED" w:rsidRDefault="00947670" w:rsidP="005B6485">
      <w:pPr>
        <w:widowControl w:val="0"/>
        <w:tabs>
          <w:tab w:val="left" w:pos="709"/>
        </w:tabs>
        <w:autoSpaceDE w:val="0"/>
        <w:autoSpaceDN w:val="0"/>
        <w:spacing w:before="120" w:after="0" w:line="360" w:lineRule="auto"/>
        <w:rPr>
          <w:rFonts w:eastAsia="Calibri" w:cs="Calibri"/>
          <w:color w:val="000000" w:themeColor="text1"/>
          <w:szCs w:val="22"/>
          <w:lang w:eastAsia="gl"/>
        </w:rPr>
      </w:pPr>
      <w:r w:rsidRPr="009A27ED">
        <w:rPr>
          <w:rFonts w:ascii="Times New Roman" w:eastAsia="Times New Roman" w:hAnsi="Times New Roman" w:cs="Calibri"/>
          <w:color w:val="000000" w:themeColor="text1"/>
          <w:sz w:val="24"/>
          <w:szCs w:val="22"/>
          <w:lang w:eastAsia="gl"/>
        </w:rPr>
        <w:t xml:space="preserve">Para 2018 se determinó que aproximadamente 84,000 ha de tierras con cultivos agrícolas </w:t>
      </w:r>
      <w:r w:rsidRPr="009A27ED">
        <w:rPr>
          <w:rFonts w:ascii="Times New Roman" w:eastAsia="Times New Roman" w:hAnsi="Times New Roman" w:cs="Calibri"/>
          <w:sz w:val="24"/>
          <w:szCs w:val="22"/>
          <w:lang w:eastAsia="gl"/>
        </w:rPr>
        <w:t xml:space="preserve">estaban ubicadas en áreas protegidas, predominando los cultivos de café (27,000 ha), cacao (6,300 ha), coco (2,300 ha) y </w:t>
      </w:r>
      <w:r w:rsidRPr="009A27ED">
        <w:rPr>
          <w:rFonts w:ascii="Times New Roman" w:eastAsia="Times New Roman" w:hAnsi="Times New Roman" w:cs="Calibri"/>
          <w:color w:val="000000" w:themeColor="text1"/>
          <w:sz w:val="24"/>
          <w:szCs w:val="22"/>
          <w:lang w:eastAsia="gl"/>
        </w:rPr>
        <w:t>aproximadamente 47,000 ha con hortalizas y otro tipo de agricultura de subsistencia. El incremento de la agricultura migratoria ocasiona presión sobre el uso de la tierra, degradación del suelo y destrucción de hábitats. Esto da como resultado el aumento de la degradación y deforestación de las cuencas hidrográficas, lo que provoca a su vez una disminución en las recargas hídricas.</w:t>
      </w:r>
    </w:p>
    <w:p w14:paraId="685A33D1" w14:textId="0FF0B0D1" w:rsidR="00947670" w:rsidRPr="009A27ED" w:rsidRDefault="00947670" w:rsidP="005B6485">
      <w:pPr>
        <w:widowControl w:val="0"/>
        <w:tabs>
          <w:tab w:val="left" w:pos="709"/>
        </w:tabs>
        <w:autoSpaceDE w:val="0"/>
        <w:autoSpaceDN w:val="0"/>
        <w:spacing w:before="120" w:after="100" w:afterAutospacing="1" w:line="360" w:lineRule="auto"/>
        <w:rPr>
          <w:rFonts w:eastAsia="Calibri" w:cs="Calibri"/>
          <w:color w:val="000000" w:themeColor="text1"/>
          <w:szCs w:val="22"/>
          <w:lang w:eastAsia="gl"/>
        </w:rPr>
      </w:pPr>
      <w:r w:rsidRPr="009A27ED">
        <w:rPr>
          <w:rFonts w:ascii="Times New Roman" w:eastAsia="Times New Roman" w:hAnsi="Times New Roman" w:cs="Calibri"/>
          <w:color w:val="000000" w:themeColor="text1"/>
          <w:sz w:val="24"/>
          <w:szCs w:val="22"/>
          <w:lang w:eastAsia="gl"/>
        </w:rPr>
        <w:t>Según el mapa de uso y cobertura del suelo 2015 la superficie nacional de terrenos con uso agrícola asciende a 1</w:t>
      </w:r>
      <w:r w:rsidR="009D5AE5" w:rsidRPr="009A27ED">
        <w:rPr>
          <w:rFonts w:ascii="Times New Roman" w:eastAsia="Times New Roman" w:hAnsi="Times New Roman" w:cs="Calibri"/>
          <w:color w:val="000000" w:themeColor="text1"/>
          <w:sz w:val="24"/>
          <w:szCs w:val="22"/>
          <w:lang w:eastAsia="gl"/>
        </w:rPr>
        <w:t>, 190,000</w:t>
      </w:r>
      <w:r w:rsidRPr="009A27ED">
        <w:rPr>
          <w:rFonts w:ascii="Times New Roman" w:eastAsia="Times New Roman" w:hAnsi="Times New Roman" w:cs="Calibri"/>
          <w:color w:val="000000" w:themeColor="text1"/>
          <w:sz w:val="24"/>
          <w:szCs w:val="22"/>
          <w:lang w:eastAsia="gl"/>
        </w:rPr>
        <w:t xml:space="preserve"> ha, lo que representa un 23% de la superficie nacional. </w:t>
      </w:r>
    </w:p>
    <w:p w14:paraId="1E2A62B2" w14:textId="77777777" w:rsidR="00947670" w:rsidRPr="009A27ED" w:rsidRDefault="00947670" w:rsidP="00A16DE9">
      <w:pPr>
        <w:pStyle w:val="Ttulo4"/>
        <w:spacing w:line="360" w:lineRule="auto"/>
        <w:rPr>
          <w:rFonts w:eastAsia="Calibri"/>
          <w:color w:val="000000" w:themeColor="text1"/>
          <w:lang w:eastAsia="gl"/>
        </w:rPr>
      </w:pPr>
      <w:r w:rsidRPr="009A27ED">
        <w:rPr>
          <w:rFonts w:ascii="Times New Roman" w:eastAsia="Times New Roman" w:hAnsi="Times New Roman"/>
          <w:color w:val="000000" w:themeColor="text1"/>
          <w:sz w:val="24"/>
          <w:lang w:eastAsia="gl"/>
        </w:rPr>
        <w:t>Manejo y uso insostenible de las tierras forestales</w:t>
      </w:r>
    </w:p>
    <w:p w14:paraId="5B18F651" w14:textId="77777777" w:rsidR="00947670" w:rsidRPr="009A27ED" w:rsidRDefault="00947670" w:rsidP="005B6485">
      <w:pPr>
        <w:widowControl w:val="0"/>
        <w:tabs>
          <w:tab w:val="left" w:pos="709"/>
        </w:tabs>
        <w:autoSpaceDE w:val="0"/>
        <w:autoSpaceDN w:val="0"/>
        <w:spacing w:before="120" w:after="0" w:line="360" w:lineRule="auto"/>
        <w:rPr>
          <w:rFonts w:eastAsia="Calibri" w:cs="Calibri"/>
          <w:i/>
          <w:szCs w:val="22"/>
          <w:lang w:eastAsia="gl"/>
        </w:rPr>
      </w:pPr>
      <w:r w:rsidRPr="009A27ED">
        <w:rPr>
          <w:rFonts w:ascii="Times New Roman" w:eastAsia="Times New Roman" w:hAnsi="Times New Roman" w:cs="Calibri"/>
          <w:i/>
          <w:sz w:val="24"/>
          <w:szCs w:val="22"/>
          <w:lang w:eastAsia="gl"/>
        </w:rPr>
        <w:t>Impacto: Deforestación y Degradación forestal</w:t>
      </w:r>
    </w:p>
    <w:p w14:paraId="67AE6F58" w14:textId="3D11CA8C" w:rsidR="00947670" w:rsidRPr="009A27ED" w:rsidRDefault="00947670" w:rsidP="005B6485">
      <w:pPr>
        <w:spacing w:before="120" w:after="0" w:line="360" w:lineRule="auto"/>
        <w:rPr>
          <w:szCs w:val="22"/>
          <w:lang w:eastAsia="gl"/>
        </w:rPr>
      </w:pPr>
      <w:r w:rsidRPr="009A27ED">
        <w:rPr>
          <w:rFonts w:ascii="Times New Roman" w:eastAsia="Times New Roman" w:hAnsi="Times New Roman"/>
          <w:sz w:val="24"/>
          <w:szCs w:val="22"/>
          <w:lang w:eastAsia="gl"/>
        </w:rPr>
        <w:t xml:space="preserve">La dinámica por la que esta causal ocasiona degradación y deforestación se explica en gran medida porque, en primer lugar, los bosques son utilizados extrayendo materias primas sin consideraciones desde el punto de vista </w:t>
      </w:r>
      <w:r w:rsidR="009D5AE5" w:rsidRPr="009A27ED">
        <w:rPr>
          <w:rFonts w:ascii="Times New Roman" w:eastAsia="Times New Roman" w:hAnsi="Times New Roman"/>
          <w:sz w:val="24"/>
          <w:szCs w:val="22"/>
          <w:lang w:eastAsia="gl"/>
        </w:rPr>
        <w:t>ecosistémico</w:t>
      </w:r>
      <w:r w:rsidRPr="009A27ED">
        <w:rPr>
          <w:rFonts w:ascii="Times New Roman" w:eastAsia="Times New Roman" w:hAnsi="Times New Roman"/>
          <w:sz w:val="24"/>
          <w:szCs w:val="22"/>
          <w:lang w:eastAsia="gl"/>
        </w:rPr>
        <w:t xml:space="preserve"> y los requerimientos ecológicos </w:t>
      </w:r>
      <w:r w:rsidRPr="009A27ED">
        <w:rPr>
          <w:rFonts w:ascii="Times New Roman" w:eastAsia="Times New Roman" w:hAnsi="Times New Roman"/>
          <w:sz w:val="24"/>
          <w:szCs w:val="22"/>
          <w:lang w:eastAsia="gl"/>
        </w:rPr>
        <w:lastRenderedPageBreak/>
        <w:t>necesarios para su conservación. Esta acción sostenida en el tiempo lleva a la degradación de los bosques o a su pérdida, en tal forma que su recuperación obligaría a un alto esfuerzo en tiempo y costo financiero. Por tanto, el proceso de degradación y deforestación suele conducir a una unidad productiva de bajo rendimiento, en que los árboles son extraídos y vendidos como materia prima de poco valor, y el suelo es usado para un uso no-forestal que da un mayor rendimiento económico. En todas las macro regiones, con base a los talleres participativos, se mencionó como causal indirecta la “Baja rentabilidad y costos de oportunidad que representa el bosque” como causa que repercute en el uso insostenible de los bosques nativos.</w:t>
      </w:r>
    </w:p>
    <w:p w14:paraId="29F26EB8" w14:textId="77777777" w:rsidR="00947670" w:rsidRPr="009A27ED" w:rsidRDefault="00947670" w:rsidP="005B6485">
      <w:pPr>
        <w:spacing w:before="120" w:after="0" w:line="360" w:lineRule="auto"/>
        <w:rPr>
          <w:color w:val="000000" w:themeColor="text1"/>
          <w:szCs w:val="22"/>
          <w:lang w:eastAsia="gl"/>
        </w:rPr>
      </w:pPr>
      <w:r w:rsidRPr="009A27ED">
        <w:rPr>
          <w:rFonts w:ascii="Times New Roman" w:eastAsia="Times New Roman" w:hAnsi="Times New Roman"/>
          <w:sz w:val="24"/>
          <w:szCs w:val="22"/>
          <w:lang w:eastAsia="gl"/>
        </w:rPr>
        <w:t xml:space="preserve">Se considera que la reducción masiva de la cobertura forestal fue provocada por extracción de maderas preciosas en los bosques latifoliados y de pino, realizada entre 1930 y 1967, cuando el número de aserraderos aumentó de 20 a 178. </w:t>
      </w:r>
      <w:r w:rsidRPr="009A27ED">
        <w:rPr>
          <w:rFonts w:ascii="Times New Roman" w:eastAsia="Times New Roman" w:hAnsi="Times New Roman"/>
          <w:color w:val="000000" w:themeColor="text1"/>
          <w:sz w:val="24"/>
          <w:szCs w:val="22"/>
          <w:lang w:eastAsia="gl"/>
        </w:rPr>
        <w:t>Hoy día aún sigue la extracción de madera a una escala más reducida en algunas áreas, que se considera como un factor que genera un empobrecimiento económico y degradación ambiental (</w:t>
      </w:r>
      <w:proofErr w:type="spellStart"/>
      <w:r w:rsidRPr="009A27ED">
        <w:rPr>
          <w:rFonts w:ascii="Times New Roman" w:eastAsia="Times New Roman" w:hAnsi="Times New Roman"/>
          <w:color w:val="000000" w:themeColor="text1"/>
          <w:sz w:val="24"/>
          <w:szCs w:val="22"/>
          <w:lang w:eastAsia="gl"/>
        </w:rPr>
        <w:t>Geilfus</w:t>
      </w:r>
      <w:proofErr w:type="spellEnd"/>
      <w:r w:rsidRPr="009A27ED">
        <w:rPr>
          <w:rFonts w:ascii="Times New Roman" w:eastAsia="Times New Roman" w:hAnsi="Times New Roman"/>
          <w:color w:val="000000" w:themeColor="text1"/>
          <w:sz w:val="24"/>
          <w:szCs w:val="22"/>
          <w:lang w:eastAsia="gl"/>
        </w:rPr>
        <w:t>, 2002 y SEMARENA-JICA, 2002).</w:t>
      </w:r>
    </w:p>
    <w:p w14:paraId="548E43F6" w14:textId="77777777" w:rsidR="00947670" w:rsidRPr="009A27ED" w:rsidRDefault="00947670" w:rsidP="005B6485">
      <w:pPr>
        <w:spacing w:before="120" w:after="0" w:line="360" w:lineRule="auto"/>
        <w:rPr>
          <w:szCs w:val="22"/>
          <w:lang w:eastAsia="gl"/>
        </w:rPr>
      </w:pPr>
      <w:r w:rsidRPr="009A27ED">
        <w:rPr>
          <w:rFonts w:ascii="Times New Roman" w:eastAsia="Times New Roman" w:hAnsi="Times New Roman"/>
          <w:color w:val="000000" w:themeColor="text1"/>
          <w:sz w:val="24"/>
          <w:szCs w:val="22"/>
          <w:lang w:eastAsia="gl"/>
        </w:rPr>
        <w:t xml:space="preserve">La política tendiente a la restricción del corte y aprovechamiento de los bosques perduró varios años, hasta que finalmente en 1985 surgieron las políticas de fomento del uso adecuado de los bosques con la promulgación de la ley 290 y 291. Esta última modificó la Ley 705 de 1982 y consistía en permitir el corte condicionado de los árboles y la operación de los aserraderos. En este nuevo marco, se permitió aprovechar los árboles afectados por los desastres </w:t>
      </w:r>
      <w:r w:rsidRPr="009A27ED">
        <w:rPr>
          <w:rFonts w:ascii="Times New Roman" w:eastAsia="Times New Roman" w:hAnsi="Times New Roman"/>
          <w:sz w:val="24"/>
          <w:szCs w:val="22"/>
          <w:lang w:eastAsia="gl"/>
        </w:rPr>
        <w:t>naturales, cortados por proyectos agrícolas, industriales y turísticos, y, asimismo, los árboles de los bosques artificiales (plantados). Para las plantaciones forestales el corte requería la aprobación del plan de manejo por parte de la Comisión Nacional Técnica Forestal (CONATEF). Sin embargo, solo la promulgación de esta ley no ha sido suficiente para llevar a cabo el manejo sostenible de las tierras forestales.</w:t>
      </w:r>
    </w:p>
    <w:p w14:paraId="70D21A44" w14:textId="18B21E30" w:rsidR="00947670" w:rsidRPr="009A27ED" w:rsidRDefault="00947670" w:rsidP="005B6485">
      <w:pPr>
        <w:spacing w:before="120" w:after="0" w:line="360" w:lineRule="auto"/>
        <w:rPr>
          <w:color w:val="000000" w:themeColor="text1"/>
          <w:szCs w:val="22"/>
          <w:lang w:eastAsia="gl"/>
        </w:rPr>
      </w:pPr>
      <w:r w:rsidRPr="009A27ED">
        <w:rPr>
          <w:rFonts w:ascii="Times New Roman" w:eastAsia="Times New Roman" w:hAnsi="Times New Roman"/>
          <w:sz w:val="24"/>
          <w:szCs w:val="22"/>
          <w:lang w:eastAsia="gl"/>
        </w:rPr>
        <w:t>El impacto por el uso de los bosques para la producción de carbón y leña ha disminuido significativamente, debido al incentivo para el uso del gas licuado de petróleo. Durante dos décadas se ha dado un cambio radical, pasando de 1</w:t>
      </w:r>
      <w:r w:rsidR="006D0B45" w:rsidRPr="009A27ED">
        <w:rPr>
          <w:rFonts w:ascii="Times New Roman" w:eastAsia="Times New Roman" w:hAnsi="Times New Roman"/>
          <w:sz w:val="24"/>
          <w:szCs w:val="22"/>
          <w:lang w:eastAsia="gl"/>
        </w:rPr>
        <w:t>, 595,877</w:t>
      </w:r>
      <w:r w:rsidRPr="009A27ED">
        <w:rPr>
          <w:rFonts w:ascii="Times New Roman" w:eastAsia="Times New Roman" w:hAnsi="Times New Roman"/>
          <w:sz w:val="24"/>
          <w:szCs w:val="22"/>
          <w:lang w:eastAsia="gl"/>
        </w:rPr>
        <w:t xml:space="preserve"> sacos de 75 libras en 1982 a solo 75,000 sacos en 2003. Se estima que unos 265,067 hogares dominicanos (10% de los hogares) utilizan leña y carbón para cocinar sus alimentos. También panaderías, dulcerías, </w:t>
      </w:r>
      <w:r w:rsidRPr="009A27ED">
        <w:rPr>
          <w:rFonts w:ascii="Times New Roman" w:eastAsia="Times New Roman" w:hAnsi="Times New Roman"/>
          <w:sz w:val="24"/>
          <w:szCs w:val="22"/>
          <w:lang w:eastAsia="gl"/>
        </w:rPr>
        <w:lastRenderedPageBreak/>
        <w:t>fábricas de casabe, lavanderías, restaurantes, queserías, entre otras, utilizan leña y carbón (ENIGH, 2007, citado por Ministerio Ambiente-UASD-</w:t>
      </w:r>
      <w:r w:rsidRPr="009A27ED">
        <w:rPr>
          <w:rFonts w:ascii="Times New Roman" w:eastAsia="Times New Roman" w:hAnsi="Times New Roman"/>
          <w:color w:val="000000" w:themeColor="text1"/>
          <w:sz w:val="24"/>
          <w:szCs w:val="22"/>
          <w:lang w:eastAsia="gl"/>
        </w:rPr>
        <w:t>PNUMA, 2010).</w:t>
      </w:r>
    </w:p>
    <w:p w14:paraId="4746A41B" w14:textId="29943951" w:rsidR="00947670" w:rsidRPr="009A27ED" w:rsidRDefault="00947670" w:rsidP="005B6485">
      <w:pPr>
        <w:spacing w:before="120" w:after="0" w:line="360" w:lineRule="auto"/>
        <w:rPr>
          <w:szCs w:val="22"/>
          <w:lang w:eastAsia="gl"/>
        </w:rPr>
      </w:pPr>
      <w:r w:rsidRPr="009A27ED">
        <w:rPr>
          <w:rFonts w:ascii="Times New Roman" w:eastAsia="Times New Roman" w:hAnsi="Times New Roman"/>
          <w:color w:val="000000" w:themeColor="text1"/>
          <w:sz w:val="24"/>
          <w:szCs w:val="22"/>
          <w:lang w:eastAsia="gl"/>
        </w:rPr>
        <w:t xml:space="preserve">Según </w:t>
      </w:r>
      <w:proofErr w:type="gramStart"/>
      <w:r w:rsidRPr="009A27ED">
        <w:rPr>
          <w:rFonts w:ascii="Times New Roman" w:eastAsia="Times New Roman" w:hAnsi="Times New Roman"/>
          <w:color w:val="000000" w:themeColor="text1"/>
          <w:sz w:val="24"/>
          <w:szCs w:val="22"/>
          <w:lang w:eastAsia="gl"/>
        </w:rPr>
        <w:t>Checo</w:t>
      </w:r>
      <w:proofErr w:type="gramEnd"/>
      <w:r w:rsidRPr="009A27ED">
        <w:rPr>
          <w:rFonts w:ascii="Times New Roman" w:eastAsia="Times New Roman" w:hAnsi="Times New Roman"/>
          <w:color w:val="000000" w:themeColor="text1"/>
          <w:sz w:val="24"/>
          <w:szCs w:val="22"/>
          <w:lang w:eastAsia="gl"/>
        </w:rPr>
        <w:t xml:space="preserve"> (2010) el volumen de carbón producido en las cinco provincias de la región fronteriza asciende a 97,425 sacos anuales, del cual 46% es vendido localmente y 54% en Haití. Esto representa un mercado ilegal de RD$17.5 millones (US$473,958) por año y requiere intervenir 2,011 has de bosques y emplea una mano de obra equivalente a 21,204 jornales. Considerando que el proceso de degradación descrito es en gran parte una actividad ilegal, es extremadamente difícil caracterizar como opera dentro del bosque. Se supone que las extracciones ilegales son principalmente para producción de carbón, postes y leña, lo que en cuanto a sus efectos en el bosque podría suponer que es lo mismo, pero no así para la contabilidad de </w:t>
      </w:r>
      <w:r w:rsidRPr="009A27ED">
        <w:rPr>
          <w:rFonts w:ascii="Times New Roman" w:eastAsia="Times New Roman" w:hAnsi="Times New Roman"/>
          <w:sz w:val="24"/>
          <w:szCs w:val="22"/>
          <w:lang w:eastAsia="gl"/>
        </w:rPr>
        <w:t>emisiones, ya que los destinos de la biomasa son diferentes. Este es un aspecto relevante para proponer medidas de acción, dado que el mercado es complejo, básicamente por su informalidad, y no existen cifras certeras de lo que se emplea para productos de valor, como por ejemplo trozas y productos de menor elaboración como la leña.</w:t>
      </w:r>
    </w:p>
    <w:p w14:paraId="7C126DF5" w14:textId="77777777" w:rsidR="00947670" w:rsidRPr="009A27ED" w:rsidRDefault="00947670" w:rsidP="005B6485">
      <w:pPr>
        <w:spacing w:before="120" w:after="0" w:line="360" w:lineRule="auto"/>
        <w:rPr>
          <w:szCs w:val="22"/>
          <w:lang w:eastAsia="gl"/>
        </w:rPr>
      </w:pPr>
      <w:r w:rsidRPr="009A27ED">
        <w:rPr>
          <w:rFonts w:ascii="Times New Roman" w:eastAsia="Times New Roman" w:hAnsi="Times New Roman"/>
          <w:sz w:val="24"/>
          <w:szCs w:val="22"/>
          <w:lang w:eastAsia="gl"/>
        </w:rPr>
        <w:t>En la opinión de los actores clave que participaron en el estudio de causales de deforestación y degradación de los bosques, existen deficiencias relacionadas con la eficacia del plan de manejo forestal como instrumento de control y fiscalización del uso sostenible del bosque manejado. Ellos opinan que las intervenciones realizadas dentro del marco de un Plan de Manejo Forestal aprobado por el Viceministerio de Recursos Forestales podrían estar también generando algún tipo de degradación en los bosques.</w:t>
      </w:r>
    </w:p>
    <w:p w14:paraId="6A113B26" w14:textId="014D864D" w:rsidR="00947670" w:rsidRPr="009A27ED" w:rsidRDefault="00947670" w:rsidP="005B6485">
      <w:pPr>
        <w:spacing w:before="120" w:after="100" w:afterAutospacing="1" w:line="360" w:lineRule="auto"/>
        <w:rPr>
          <w:lang w:eastAsia="gl"/>
        </w:rPr>
      </w:pPr>
      <w:r w:rsidRPr="009A27ED">
        <w:rPr>
          <w:rFonts w:ascii="Times New Roman" w:eastAsia="Times New Roman" w:hAnsi="Times New Roman"/>
          <w:sz w:val="24"/>
          <w:szCs w:val="22"/>
          <w:lang w:eastAsia="gl"/>
        </w:rPr>
        <w:t xml:space="preserve">En síntesis, la degradación y la deforestación como consecuencia del mal manejo y uso insostenible de las tierras forestales, podría separarse en dos: i) cortas Ilegales, motivadas por el valor de los productos (madera, postes, leña y carbón, </w:t>
      </w:r>
      <w:r w:rsidR="00404F37" w:rsidRPr="009A27ED">
        <w:rPr>
          <w:rFonts w:ascii="Times New Roman" w:eastAsia="Times New Roman" w:hAnsi="Times New Roman"/>
          <w:sz w:val="24"/>
          <w:szCs w:val="22"/>
          <w:lang w:eastAsia="gl"/>
        </w:rPr>
        <w:t xml:space="preserve">y </w:t>
      </w:r>
      <w:proofErr w:type="spellStart"/>
      <w:r w:rsidRPr="009A27ED">
        <w:rPr>
          <w:rFonts w:ascii="Times New Roman" w:eastAsia="Times New Roman" w:hAnsi="Times New Roman"/>
          <w:sz w:val="24"/>
          <w:szCs w:val="22"/>
          <w:lang w:eastAsia="gl"/>
        </w:rPr>
        <w:t>ii</w:t>
      </w:r>
      <w:proofErr w:type="spellEnd"/>
      <w:r w:rsidRPr="009A27ED">
        <w:rPr>
          <w:rFonts w:ascii="Times New Roman" w:eastAsia="Times New Roman" w:hAnsi="Times New Roman"/>
          <w:sz w:val="24"/>
          <w:szCs w:val="22"/>
          <w:lang w:eastAsia="gl"/>
        </w:rPr>
        <w:t>) superficie intervenida bajo plan de manejo forestal, en la que no ocurre una extracción sostenible del bosque.</w:t>
      </w:r>
      <w:r w:rsidR="00574FC1" w:rsidRPr="009A27ED">
        <w:rPr>
          <w:rFonts w:ascii="Times New Roman" w:eastAsia="Times New Roman" w:hAnsi="Times New Roman"/>
          <w:sz w:val="24"/>
          <w:szCs w:val="22"/>
          <w:lang w:eastAsia="gl"/>
        </w:rPr>
        <w:t xml:space="preserve"> En todo caso, </w:t>
      </w:r>
      <w:r w:rsidR="006D0B45" w:rsidRPr="009A27ED">
        <w:rPr>
          <w:rFonts w:ascii="Times New Roman" w:eastAsia="Times New Roman" w:hAnsi="Times New Roman"/>
          <w:sz w:val="24"/>
          <w:szCs w:val="22"/>
          <w:lang w:eastAsia="gl"/>
        </w:rPr>
        <w:t>debe</w:t>
      </w:r>
      <w:r w:rsidR="00574FC1" w:rsidRPr="009A27ED">
        <w:rPr>
          <w:rFonts w:ascii="Times New Roman" w:eastAsia="Times New Roman" w:hAnsi="Times New Roman"/>
          <w:sz w:val="24"/>
          <w:szCs w:val="22"/>
          <w:lang w:eastAsia="gl"/>
        </w:rPr>
        <w:t xml:space="preserve"> haber mecanismos de verificación que permitan darle seguimiento a este comportamiento. </w:t>
      </w:r>
    </w:p>
    <w:p w14:paraId="3AEA2BF4" w14:textId="77777777" w:rsidR="00947670" w:rsidRPr="009A27ED" w:rsidRDefault="00947670" w:rsidP="00A16DE9">
      <w:pPr>
        <w:pStyle w:val="Ttulo4"/>
        <w:spacing w:line="360" w:lineRule="auto"/>
        <w:rPr>
          <w:rFonts w:eastAsia="Calibri"/>
          <w:color w:val="000000" w:themeColor="text1"/>
          <w:lang w:eastAsia="gl"/>
        </w:rPr>
      </w:pPr>
      <w:r w:rsidRPr="009A27ED">
        <w:rPr>
          <w:rFonts w:ascii="Times New Roman" w:eastAsia="Times New Roman" w:hAnsi="Times New Roman"/>
          <w:color w:val="000000" w:themeColor="text1"/>
          <w:sz w:val="24"/>
          <w:lang w:eastAsia="gl"/>
        </w:rPr>
        <w:t>Incendios forestales</w:t>
      </w:r>
    </w:p>
    <w:p w14:paraId="44A4FF70" w14:textId="77777777" w:rsidR="00947670" w:rsidRPr="009A27ED" w:rsidRDefault="00947670" w:rsidP="005B6485">
      <w:pPr>
        <w:spacing w:before="120" w:after="0" w:line="360" w:lineRule="auto"/>
        <w:rPr>
          <w:i/>
          <w:szCs w:val="22"/>
        </w:rPr>
      </w:pPr>
      <w:r w:rsidRPr="009A27ED">
        <w:rPr>
          <w:rFonts w:ascii="Times New Roman" w:eastAsia="Times New Roman" w:hAnsi="Times New Roman"/>
          <w:i/>
          <w:sz w:val="24"/>
          <w:szCs w:val="22"/>
        </w:rPr>
        <w:t>Impacto: deforestación y degradación forestal, dependiendo de la intensidad del incendio y del carácter permanente o no del daño ocasionado sobre la vegetación.</w:t>
      </w:r>
    </w:p>
    <w:p w14:paraId="08E856B0" w14:textId="77777777" w:rsidR="00947670" w:rsidRPr="009A27ED" w:rsidRDefault="00947670" w:rsidP="005B6485">
      <w:pPr>
        <w:spacing w:before="120" w:after="0" w:line="360" w:lineRule="auto"/>
        <w:rPr>
          <w:rFonts w:eastAsia="Calibri"/>
          <w:szCs w:val="22"/>
          <w:lang w:eastAsia="gl"/>
        </w:rPr>
      </w:pPr>
      <w:r w:rsidRPr="009A27ED">
        <w:rPr>
          <w:rFonts w:ascii="Times New Roman" w:eastAsia="Times New Roman" w:hAnsi="Times New Roman"/>
          <w:sz w:val="24"/>
          <w:szCs w:val="22"/>
          <w:lang w:eastAsia="gl"/>
        </w:rPr>
        <w:lastRenderedPageBreak/>
        <w:t>Los incendios forestales son fuegos que se propagan sin control en terrenos rurales a través de la vegetación leñosa, arbustiva o herbácea, ya sea viva o muerta. A diferencia de otras áreas del mundo donde el fuego es parte natural de la dinámica de desarrollo de ciertos ecosistemas forestales, en República Dominicana los incendios naturales son muy escasos y responden principalmente a caídas de rayos. Por lo tanto, esta causal de degradación y deforestación está estrechamente relacionada con el accionar del hombre, ya sea por su descuido, despreocupación y/o falta de destreza en el uso del fuego y, en muchos casos intencionales, lo que evidencia un problema cultural asociado al desconocimiento de los impactos que los incendios generan en el medio ambiente.</w:t>
      </w:r>
    </w:p>
    <w:p w14:paraId="54526019" w14:textId="77777777" w:rsidR="00947670" w:rsidRPr="009A27ED" w:rsidRDefault="00947670" w:rsidP="005B6485">
      <w:pPr>
        <w:spacing w:before="120" w:after="0" w:line="360" w:lineRule="auto"/>
        <w:rPr>
          <w:rFonts w:eastAsia="Calibri"/>
          <w:szCs w:val="22"/>
          <w:lang w:eastAsia="gl"/>
        </w:rPr>
      </w:pPr>
      <w:r w:rsidRPr="009A27ED">
        <w:rPr>
          <w:rFonts w:ascii="Times New Roman" w:eastAsia="Times New Roman" w:hAnsi="Times New Roman"/>
          <w:sz w:val="24"/>
          <w:szCs w:val="22"/>
          <w:lang w:eastAsia="gl"/>
        </w:rPr>
        <w:t xml:space="preserve">Según las estadísticas oficiales del Ministerio de Medio Ambiente y Recursos Naturales, durante el período 1995 al 2018 ocurrieron en el país 3,987 incendios forestales, los cuales afectaron 147,469 ha. La mayor parte de estos incendios ocurrieron entre 2007 a 2018 (agosto), pero con menor superficie afectada. </w:t>
      </w:r>
    </w:p>
    <w:p w14:paraId="773D87D4" w14:textId="5D090D16" w:rsidR="00947670" w:rsidRPr="009A27ED" w:rsidRDefault="00947670" w:rsidP="005B6485">
      <w:pPr>
        <w:spacing w:before="120" w:after="0" w:line="360" w:lineRule="auto"/>
        <w:rPr>
          <w:rFonts w:eastAsia="Calibri"/>
          <w:color w:val="000000" w:themeColor="text1"/>
          <w:szCs w:val="22"/>
          <w:lang w:eastAsia="gl"/>
        </w:rPr>
      </w:pPr>
      <w:r w:rsidRPr="009A27ED">
        <w:rPr>
          <w:rFonts w:ascii="Times New Roman" w:eastAsia="Times New Roman" w:hAnsi="Times New Roman"/>
          <w:sz w:val="24"/>
          <w:szCs w:val="22"/>
          <w:lang w:eastAsia="gl"/>
        </w:rPr>
        <w:t xml:space="preserve">Entre las causas principales de la ocurrencia de incendios forestales en el país están: </w:t>
      </w:r>
      <w:r w:rsidR="00695D69" w:rsidRPr="009A27ED">
        <w:rPr>
          <w:rFonts w:ascii="Times New Roman" w:eastAsia="Times New Roman" w:hAnsi="Times New Roman"/>
          <w:sz w:val="24"/>
          <w:szCs w:val="22"/>
          <w:lang w:eastAsia="gl"/>
        </w:rPr>
        <w:t>1</w:t>
      </w:r>
      <w:r w:rsidRPr="009A27ED">
        <w:rPr>
          <w:rFonts w:ascii="Times New Roman" w:eastAsia="Times New Roman" w:hAnsi="Times New Roman"/>
          <w:sz w:val="24"/>
          <w:szCs w:val="22"/>
          <w:lang w:eastAsia="gl"/>
        </w:rPr>
        <w:t xml:space="preserve">) propagación de fuego en labores de </w:t>
      </w:r>
      <w:proofErr w:type="spellStart"/>
      <w:r w:rsidRPr="009A27ED">
        <w:rPr>
          <w:rFonts w:ascii="Times New Roman" w:eastAsia="Times New Roman" w:hAnsi="Times New Roman"/>
          <w:sz w:val="24"/>
          <w:szCs w:val="22"/>
          <w:lang w:eastAsia="gl"/>
        </w:rPr>
        <w:t>conuquismo</w:t>
      </w:r>
      <w:proofErr w:type="spellEnd"/>
      <w:r w:rsidRPr="009A27ED">
        <w:rPr>
          <w:rFonts w:ascii="Times New Roman" w:eastAsia="Times New Roman" w:hAnsi="Times New Roman"/>
          <w:sz w:val="24"/>
          <w:szCs w:val="22"/>
          <w:lang w:eastAsia="gl"/>
        </w:rPr>
        <w:t xml:space="preserve"> (agricultura de tumba y quema), </w:t>
      </w:r>
      <w:r w:rsidR="00695D69" w:rsidRPr="009A27ED">
        <w:rPr>
          <w:rFonts w:ascii="Times New Roman" w:eastAsia="Times New Roman" w:hAnsi="Times New Roman"/>
          <w:sz w:val="24"/>
          <w:szCs w:val="22"/>
          <w:lang w:eastAsia="gl"/>
        </w:rPr>
        <w:t>2</w:t>
      </w:r>
      <w:r w:rsidRPr="009A27ED">
        <w:rPr>
          <w:rFonts w:ascii="Times New Roman" w:eastAsia="Times New Roman" w:hAnsi="Times New Roman"/>
          <w:sz w:val="24"/>
          <w:szCs w:val="22"/>
          <w:lang w:eastAsia="gl"/>
        </w:rPr>
        <w:t xml:space="preserve">) propagación de fuego en labores de adecuación y ampliación de pastos (ganadería </w:t>
      </w:r>
      <w:r w:rsidRPr="009A27ED">
        <w:rPr>
          <w:rFonts w:ascii="Times New Roman" w:eastAsia="Times New Roman" w:hAnsi="Times New Roman"/>
          <w:color w:val="000000" w:themeColor="text1"/>
          <w:sz w:val="24"/>
          <w:szCs w:val="22"/>
          <w:lang w:eastAsia="gl"/>
        </w:rPr>
        <w:t xml:space="preserve">extensiva), </w:t>
      </w:r>
      <w:r w:rsidR="00695D69" w:rsidRPr="009A27ED">
        <w:rPr>
          <w:rFonts w:ascii="Times New Roman" w:eastAsia="Times New Roman" w:hAnsi="Times New Roman"/>
          <w:color w:val="000000" w:themeColor="text1"/>
          <w:sz w:val="24"/>
          <w:szCs w:val="22"/>
          <w:lang w:eastAsia="gl"/>
        </w:rPr>
        <w:t>3</w:t>
      </w:r>
      <w:r w:rsidRPr="009A27ED">
        <w:rPr>
          <w:rFonts w:ascii="Times New Roman" w:eastAsia="Times New Roman" w:hAnsi="Times New Roman"/>
          <w:color w:val="000000" w:themeColor="text1"/>
          <w:sz w:val="24"/>
          <w:szCs w:val="22"/>
          <w:lang w:eastAsia="gl"/>
        </w:rPr>
        <w:t xml:space="preserve">) incendios intencionales, </w:t>
      </w:r>
      <w:r w:rsidR="00695D69" w:rsidRPr="009A27ED">
        <w:rPr>
          <w:rFonts w:ascii="Times New Roman" w:eastAsia="Times New Roman" w:hAnsi="Times New Roman"/>
          <w:color w:val="000000" w:themeColor="text1"/>
          <w:sz w:val="24"/>
          <w:szCs w:val="22"/>
          <w:lang w:eastAsia="gl"/>
        </w:rPr>
        <w:t>4</w:t>
      </w:r>
      <w:r w:rsidRPr="009A27ED">
        <w:rPr>
          <w:rFonts w:ascii="Times New Roman" w:eastAsia="Times New Roman" w:hAnsi="Times New Roman"/>
          <w:color w:val="000000" w:themeColor="text1"/>
          <w:sz w:val="24"/>
          <w:szCs w:val="22"/>
          <w:lang w:eastAsia="gl"/>
        </w:rPr>
        <w:t xml:space="preserve">) descuido de usuarios del bosque, </w:t>
      </w:r>
      <w:r w:rsidR="00695D69" w:rsidRPr="009A27ED">
        <w:rPr>
          <w:rFonts w:ascii="Times New Roman" w:eastAsia="Times New Roman" w:hAnsi="Times New Roman"/>
          <w:color w:val="000000" w:themeColor="text1"/>
          <w:sz w:val="24"/>
          <w:szCs w:val="22"/>
          <w:lang w:eastAsia="gl"/>
        </w:rPr>
        <w:t>5</w:t>
      </w:r>
      <w:r w:rsidRPr="009A27ED">
        <w:rPr>
          <w:rFonts w:ascii="Times New Roman" w:eastAsia="Times New Roman" w:hAnsi="Times New Roman"/>
          <w:color w:val="000000" w:themeColor="text1"/>
          <w:sz w:val="24"/>
          <w:szCs w:val="22"/>
          <w:lang w:eastAsia="gl"/>
        </w:rPr>
        <w:t>) propagación de hogueras en áreas de camping,</w:t>
      </w:r>
      <w:r w:rsidR="00695D69" w:rsidRPr="009A27ED">
        <w:rPr>
          <w:rFonts w:ascii="Times New Roman" w:eastAsia="Times New Roman" w:hAnsi="Times New Roman"/>
          <w:color w:val="000000" w:themeColor="text1"/>
          <w:sz w:val="24"/>
          <w:szCs w:val="22"/>
          <w:lang w:eastAsia="gl"/>
        </w:rPr>
        <w:t xml:space="preserve"> y</w:t>
      </w:r>
      <w:r w:rsidRPr="009A27ED">
        <w:rPr>
          <w:rFonts w:ascii="Times New Roman" w:eastAsia="Times New Roman" w:hAnsi="Times New Roman"/>
          <w:color w:val="000000" w:themeColor="text1"/>
          <w:sz w:val="24"/>
          <w:szCs w:val="22"/>
          <w:lang w:eastAsia="gl"/>
        </w:rPr>
        <w:t xml:space="preserve"> </w:t>
      </w:r>
      <w:r w:rsidR="00695D69" w:rsidRPr="009A27ED">
        <w:rPr>
          <w:rFonts w:ascii="Times New Roman" w:eastAsia="Times New Roman" w:hAnsi="Times New Roman"/>
          <w:color w:val="000000" w:themeColor="text1"/>
          <w:sz w:val="24"/>
          <w:szCs w:val="22"/>
          <w:lang w:eastAsia="gl"/>
        </w:rPr>
        <w:t>6</w:t>
      </w:r>
      <w:r w:rsidRPr="009A27ED">
        <w:rPr>
          <w:rFonts w:ascii="Times New Roman" w:eastAsia="Times New Roman" w:hAnsi="Times New Roman"/>
          <w:color w:val="000000" w:themeColor="text1"/>
          <w:sz w:val="24"/>
          <w:szCs w:val="22"/>
          <w:lang w:eastAsia="gl"/>
        </w:rPr>
        <w:t>) descargas eléctricas. En este sentido, la mayoría de los incendios forestales son de carácter antropogénicos (SEMARENA, 2007).</w:t>
      </w:r>
    </w:p>
    <w:p w14:paraId="0E90CDAC" w14:textId="0B146CAB" w:rsidR="00947670" w:rsidRPr="009A27ED" w:rsidRDefault="00947670" w:rsidP="005B6485">
      <w:pPr>
        <w:spacing w:before="120" w:after="0" w:line="360" w:lineRule="auto"/>
        <w:rPr>
          <w:rFonts w:eastAsia="Calibri"/>
          <w:color w:val="000000" w:themeColor="text1"/>
          <w:szCs w:val="22"/>
          <w:lang w:eastAsia="gl"/>
        </w:rPr>
      </w:pPr>
      <w:r w:rsidRPr="009A27ED">
        <w:rPr>
          <w:rFonts w:ascii="Times New Roman" w:eastAsia="Times New Roman" w:hAnsi="Times New Roman"/>
          <w:color w:val="000000" w:themeColor="text1"/>
          <w:sz w:val="24"/>
          <w:szCs w:val="22"/>
          <w:lang w:eastAsia="gl"/>
        </w:rPr>
        <w:t xml:space="preserve">Los daños son causados mayormente por dos tipos de fuego: </w:t>
      </w:r>
      <w:r w:rsidR="00695D69" w:rsidRPr="009A27ED">
        <w:rPr>
          <w:rFonts w:ascii="Times New Roman" w:eastAsia="Times New Roman" w:hAnsi="Times New Roman"/>
          <w:color w:val="000000" w:themeColor="text1"/>
          <w:sz w:val="24"/>
          <w:szCs w:val="22"/>
          <w:lang w:eastAsia="gl"/>
        </w:rPr>
        <w:t>1</w:t>
      </w:r>
      <w:r w:rsidRPr="009A27ED">
        <w:rPr>
          <w:rFonts w:ascii="Times New Roman" w:eastAsia="Times New Roman" w:hAnsi="Times New Roman"/>
          <w:color w:val="000000" w:themeColor="text1"/>
          <w:sz w:val="24"/>
          <w:szCs w:val="22"/>
          <w:lang w:eastAsia="gl"/>
        </w:rPr>
        <w:t xml:space="preserve">) uno que se arrastra por la superficie de la tierra, </w:t>
      </w:r>
      <w:r w:rsidR="00695D69" w:rsidRPr="009A27ED">
        <w:rPr>
          <w:rFonts w:ascii="Times New Roman" w:eastAsia="Times New Roman" w:hAnsi="Times New Roman"/>
          <w:color w:val="000000" w:themeColor="text1"/>
          <w:sz w:val="24"/>
          <w:szCs w:val="22"/>
          <w:lang w:eastAsia="gl"/>
        </w:rPr>
        <w:t>y 2)</w:t>
      </w:r>
      <w:r w:rsidRPr="009A27ED">
        <w:rPr>
          <w:rFonts w:ascii="Times New Roman" w:eastAsia="Times New Roman" w:hAnsi="Times New Roman"/>
          <w:color w:val="000000" w:themeColor="text1"/>
          <w:sz w:val="24"/>
          <w:szCs w:val="22"/>
          <w:lang w:eastAsia="gl"/>
        </w:rPr>
        <w:t xml:space="preserve"> otro que quema hasta la copa de los árboles. El tipo de fuego de cada incendio depende de las condiciones meteorológicas y de la localización. La mayor incidencia de los incendios forestales en el país ocurre en ambientes de pino y bosque mixto (pino y vegetación latifoliada). El fuego que se arrastra por la superficie de la tierra solo afecta a la raíz de pino (</w:t>
      </w:r>
      <w:proofErr w:type="spellStart"/>
      <w:r w:rsidRPr="009A27ED">
        <w:rPr>
          <w:rFonts w:ascii="Times New Roman" w:eastAsia="Times New Roman" w:hAnsi="Times New Roman"/>
          <w:i/>
          <w:color w:val="000000" w:themeColor="text1"/>
          <w:sz w:val="24"/>
          <w:szCs w:val="22"/>
          <w:lang w:eastAsia="gl"/>
        </w:rPr>
        <w:t>Pinus</w:t>
      </w:r>
      <w:proofErr w:type="spellEnd"/>
      <w:r w:rsidRPr="009A27ED">
        <w:rPr>
          <w:rFonts w:ascii="Times New Roman" w:eastAsia="Times New Roman" w:hAnsi="Times New Roman"/>
          <w:i/>
          <w:color w:val="000000" w:themeColor="text1"/>
          <w:sz w:val="24"/>
          <w:szCs w:val="22"/>
          <w:lang w:eastAsia="gl"/>
        </w:rPr>
        <w:t xml:space="preserve"> </w:t>
      </w:r>
      <w:proofErr w:type="spellStart"/>
      <w:r w:rsidRPr="009A27ED">
        <w:rPr>
          <w:rFonts w:ascii="Times New Roman" w:eastAsia="Times New Roman" w:hAnsi="Times New Roman"/>
          <w:i/>
          <w:color w:val="000000" w:themeColor="text1"/>
          <w:sz w:val="24"/>
          <w:szCs w:val="22"/>
          <w:lang w:eastAsia="gl"/>
        </w:rPr>
        <w:t>occidentalis</w:t>
      </w:r>
      <w:proofErr w:type="spellEnd"/>
      <w:r w:rsidRPr="009A27ED">
        <w:rPr>
          <w:rFonts w:ascii="Times New Roman" w:eastAsia="Times New Roman" w:hAnsi="Times New Roman"/>
          <w:color w:val="000000" w:themeColor="text1"/>
          <w:sz w:val="24"/>
          <w:szCs w:val="22"/>
          <w:lang w:eastAsia="gl"/>
        </w:rPr>
        <w:t>) y las hierbas y no llega a los propios árboles, sino más bien afecta el sotobosque. En tanto que el fuego que quema hasta las copas de árboles amenaza la existencia del propio bosque, al que genera la pérdida del suelo por la desaparición de la cobertura vegetal y escorrentías de aguas de lluvia (SEMARENA-JICA, 2002).</w:t>
      </w:r>
    </w:p>
    <w:p w14:paraId="642F0A7C" w14:textId="471D58B5" w:rsidR="00947670" w:rsidRPr="009A27ED" w:rsidRDefault="00947670" w:rsidP="00EB51AA">
      <w:pPr>
        <w:spacing w:before="120" w:after="100" w:afterAutospacing="1" w:line="360" w:lineRule="auto"/>
        <w:rPr>
          <w:rFonts w:eastAsia="Calibri"/>
          <w:szCs w:val="22"/>
          <w:lang w:eastAsia="gl"/>
        </w:rPr>
      </w:pPr>
      <w:r w:rsidRPr="009A27ED">
        <w:rPr>
          <w:rFonts w:ascii="Times New Roman" w:eastAsia="Times New Roman" w:hAnsi="Times New Roman"/>
          <w:color w:val="000000" w:themeColor="text1"/>
          <w:sz w:val="24"/>
          <w:szCs w:val="22"/>
          <w:lang w:eastAsia="gl"/>
        </w:rPr>
        <w:lastRenderedPageBreak/>
        <w:t>A través de la educación y el cambio conductual de las personas y sumado el manejo silvícola preventivo de los bosques, se podría disminuir significativamente la frecuencia, la intensidad y el impacto los incend</w:t>
      </w:r>
      <w:r w:rsidRPr="009A27ED">
        <w:rPr>
          <w:rFonts w:ascii="Times New Roman" w:eastAsia="Times New Roman" w:hAnsi="Times New Roman"/>
          <w:sz w:val="24"/>
          <w:szCs w:val="22"/>
          <w:lang w:eastAsia="gl"/>
        </w:rPr>
        <w:t>ios forestales.</w:t>
      </w:r>
    </w:p>
    <w:p w14:paraId="7DF8CFB0" w14:textId="77777777" w:rsidR="00947670" w:rsidRPr="009A27ED" w:rsidRDefault="00947670" w:rsidP="00A16DE9">
      <w:pPr>
        <w:pStyle w:val="Ttulo4"/>
        <w:spacing w:line="360" w:lineRule="auto"/>
        <w:rPr>
          <w:rFonts w:eastAsia="Calibri"/>
          <w:color w:val="000000" w:themeColor="text1"/>
          <w:lang w:eastAsia="gl"/>
        </w:rPr>
      </w:pPr>
      <w:r w:rsidRPr="009A27ED">
        <w:rPr>
          <w:rFonts w:ascii="Times New Roman" w:eastAsia="Times New Roman" w:hAnsi="Times New Roman"/>
          <w:color w:val="000000" w:themeColor="text1"/>
          <w:sz w:val="24"/>
          <w:lang w:eastAsia="gl"/>
        </w:rPr>
        <w:t>Minería</w:t>
      </w:r>
    </w:p>
    <w:p w14:paraId="4D448A26" w14:textId="77777777" w:rsidR="00947670" w:rsidRPr="009A27ED" w:rsidRDefault="00947670" w:rsidP="005B6485">
      <w:pPr>
        <w:spacing w:before="120" w:after="0" w:line="360" w:lineRule="auto"/>
        <w:rPr>
          <w:i/>
          <w:szCs w:val="22"/>
        </w:rPr>
      </w:pPr>
      <w:r w:rsidRPr="009A27ED">
        <w:rPr>
          <w:rFonts w:ascii="Times New Roman" w:eastAsia="Times New Roman" w:hAnsi="Times New Roman"/>
          <w:i/>
          <w:sz w:val="24"/>
          <w:szCs w:val="22"/>
        </w:rPr>
        <w:t>Impacto: Deforestación</w:t>
      </w:r>
    </w:p>
    <w:p w14:paraId="5974AD58" w14:textId="77777777" w:rsidR="00947670" w:rsidRPr="009A27ED" w:rsidRDefault="00947670" w:rsidP="005B6485">
      <w:pPr>
        <w:spacing w:before="120" w:after="0" w:line="360" w:lineRule="auto"/>
        <w:rPr>
          <w:szCs w:val="22"/>
        </w:rPr>
      </w:pPr>
      <w:r w:rsidRPr="009A27ED">
        <w:rPr>
          <w:rFonts w:ascii="Times New Roman" w:eastAsia="Times New Roman" w:hAnsi="Times New Roman"/>
          <w:sz w:val="24"/>
          <w:szCs w:val="22"/>
        </w:rPr>
        <w:t>Los yacimientos mineros en territorio dominicano representan un potencial económico que debe aprovecharse para generar empleos y riquezas, siempre que se haga de forma racional y recuperando ambientalmente las áreas explotadas. Es crítico reconocer la importancia del cuido al medio ambiente y la recuperación de áreas que puedan ser aprovechadas para obtención de recursos naturales, dado que representan acervos de generaciones futuras.</w:t>
      </w:r>
    </w:p>
    <w:p w14:paraId="6C2AE521" w14:textId="208CB1AD" w:rsidR="00947670" w:rsidRPr="009A27ED" w:rsidRDefault="00947670" w:rsidP="005B6485">
      <w:pPr>
        <w:spacing w:before="120" w:after="0" w:line="360" w:lineRule="auto"/>
        <w:rPr>
          <w:szCs w:val="22"/>
        </w:rPr>
      </w:pPr>
      <w:r w:rsidRPr="009A27ED">
        <w:rPr>
          <w:rFonts w:ascii="Times New Roman" w:eastAsia="Times New Roman" w:hAnsi="Times New Roman"/>
          <w:sz w:val="24"/>
          <w:szCs w:val="22"/>
        </w:rPr>
        <w:t xml:space="preserve">En la República Dominicana se encuentran yacimientos de distintos recursos que ofrece la naturaleza y que se valoran por sus distintos usos. </w:t>
      </w:r>
      <w:r w:rsidR="00353A92" w:rsidRPr="009A27ED">
        <w:rPr>
          <w:rFonts w:ascii="Times New Roman" w:eastAsia="Times New Roman" w:hAnsi="Times New Roman"/>
          <w:sz w:val="24"/>
          <w:szCs w:val="22"/>
        </w:rPr>
        <w:t>Pueden</w:t>
      </w:r>
      <w:r w:rsidRPr="009A27ED">
        <w:rPr>
          <w:rFonts w:ascii="Times New Roman" w:eastAsia="Times New Roman" w:hAnsi="Times New Roman"/>
          <w:sz w:val="24"/>
          <w:szCs w:val="22"/>
        </w:rPr>
        <w:t xml:space="preserve"> citar</w:t>
      </w:r>
      <w:r w:rsidR="00353A92" w:rsidRPr="009A27ED">
        <w:rPr>
          <w:rFonts w:ascii="Times New Roman" w:eastAsia="Times New Roman" w:hAnsi="Times New Roman"/>
          <w:sz w:val="24"/>
          <w:szCs w:val="22"/>
        </w:rPr>
        <w:t>se</w:t>
      </w:r>
      <w:r w:rsidRPr="009A27ED">
        <w:rPr>
          <w:rFonts w:ascii="Times New Roman" w:eastAsia="Times New Roman" w:hAnsi="Times New Roman"/>
          <w:sz w:val="24"/>
          <w:szCs w:val="22"/>
        </w:rPr>
        <w:t xml:space="preserve"> oro, plata, ferroníquel, bauxita, mármol, larimar, </w:t>
      </w:r>
      <w:r w:rsidR="00353A92" w:rsidRPr="009A27ED">
        <w:rPr>
          <w:rFonts w:ascii="Times New Roman" w:eastAsia="Times New Roman" w:hAnsi="Times New Roman"/>
          <w:sz w:val="24"/>
          <w:szCs w:val="22"/>
        </w:rPr>
        <w:t>ámbar</w:t>
      </w:r>
      <w:r w:rsidRPr="009A27ED">
        <w:rPr>
          <w:rFonts w:ascii="Times New Roman" w:eastAsia="Times New Roman" w:hAnsi="Times New Roman"/>
          <w:sz w:val="24"/>
          <w:szCs w:val="22"/>
        </w:rPr>
        <w:t>, sal y yeso, entre otros.</w:t>
      </w:r>
    </w:p>
    <w:p w14:paraId="44A50CDD" w14:textId="77777777" w:rsidR="00947670" w:rsidRPr="009A27ED" w:rsidRDefault="00947670" w:rsidP="005B6485">
      <w:pPr>
        <w:spacing w:before="120" w:after="0" w:line="360" w:lineRule="auto"/>
        <w:rPr>
          <w:szCs w:val="22"/>
        </w:rPr>
      </w:pPr>
      <w:r w:rsidRPr="009A27ED">
        <w:rPr>
          <w:rFonts w:ascii="Times New Roman" w:eastAsia="Times New Roman" w:hAnsi="Times New Roman"/>
          <w:sz w:val="24"/>
          <w:szCs w:val="22"/>
        </w:rPr>
        <w:t>La industria de construcción depende de la extracción de agregados, cuya demanda se duplicó entre 1995 y 2000 (16 millones de m³ por año). La extracción por empresas “</w:t>
      </w:r>
      <w:proofErr w:type="spellStart"/>
      <w:r w:rsidRPr="009A27ED">
        <w:rPr>
          <w:rFonts w:ascii="Times New Roman" w:eastAsia="Times New Roman" w:hAnsi="Times New Roman"/>
          <w:sz w:val="24"/>
          <w:szCs w:val="22"/>
        </w:rPr>
        <w:t>granceras</w:t>
      </w:r>
      <w:proofErr w:type="spellEnd"/>
      <w:r w:rsidRPr="009A27ED">
        <w:rPr>
          <w:rFonts w:ascii="Times New Roman" w:eastAsia="Times New Roman" w:hAnsi="Times New Roman"/>
          <w:sz w:val="24"/>
          <w:szCs w:val="22"/>
        </w:rPr>
        <w:t>” (10,000 m</w:t>
      </w:r>
      <w:r w:rsidRPr="009A27ED">
        <w:rPr>
          <w:rFonts w:ascii="Times New Roman" w:eastAsia="Times New Roman" w:hAnsi="Times New Roman"/>
          <w:sz w:val="24"/>
          <w:szCs w:val="22"/>
          <w:vertAlign w:val="superscript"/>
        </w:rPr>
        <w:t>3</w:t>
      </w:r>
      <w:r w:rsidRPr="009A27ED">
        <w:rPr>
          <w:rFonts w:ascii="Times New Roman" w:eastAsia="Times New Roman" w:hAnsi="Times New Roman"/>
          <w:sz w:val="24"/>
          <w:szCs w:val="22"/>
        </w:rPr>
        <w:t xml:space="preserve"> diarios en la cuenca baja del río </w:t>
      </w:r>
      <w:proofErr w:type="spellStart"/>
      <w:r w:rsidRPr="009A27ED">
        <w:rPr>
          <w:rFonts w:ascii="Times New Roman" w:eastAsia="Times New Roman" w:hAnsi="Times New Roman"/>
          <w:sz w:val="24"/>
          <w:szCs w:val="22"/>
        </w:rPr>
        <w:t>Nizao</w:t>
      </w:r>
      <w:proofErr w:type="spellEnd"/>
      <w:r w:rsidRPr="009A27ED">
        <w:rPr>
          <w:rFonts w:ascii="Times New Roman" w:eastAsia="Times New Roman" w:hAnsi="Times New Roman"/>
          <w:sz w:val="24"/>
          <w:szCs w:val="22"/>
        </w:rPr>
        <w:t xml:space="preserve"> y 14,000 m</w:t>
      </w:r>
      <w:r w:rsidRPr="009A27ED">
        <w:rPr>
          <w:rFonts w:ascii="Times New Roman" w:eastAsia="Times New Roman" w:hAnsi="Times New Roman"/>
          <w:sz w:val="24"/>
          <w:szCs w:val="22"/>
          <w:vertAlign w:val="superscript"/>
        </w:rPr>
        <w:t>3</w:t>
      </w:r>
      <w:r w:rsidRPr="009A27ED">
        <w:rPr>
          <w:rFonts w:ascii="Times New Roman" w:eastAsia="Times New Roman" w:hAnsi="Times New Roman"/>
          <w:sz w:val="24"/>
          <w:szCs w:val="22"/>
        </w:rPr>
        <w:t xml:space="preserve"> diarios en el valle del Cibao en el 2000) se realiza generalmente con mala planificación y extracción caótica, sin reclamación posterior salvo en caso de algunas empresas. La minería dominicana ocupa directamente más de 10,000 personas. La extracción no regulada de materiales en orillas de los ríos provoca la destrucción de las franjas boscosas de protección (Díaz y Hernández, 2006; y </w:t>
      </w:r>
      <w:proofErr w:type="spellStart"/>
      <w:r w:rsidRPr="009A27ED">
        <w:rPr>
          <w:rFonts w:ascii="Times New Roman" w:eastAsia="Times New Roman" w:hAnsi="Times New Roman"/>
          <w:sz w:val="24"/>
          <w:szCs w:val="22"/>
        </w:rPr>
        <w:t>Geilfus</w:t>
      </w:r>
      <w:proofErr w:type="spellEnd"/>
      <w:r w:rsidRPr="009A27ED">
        <w:rPr>
          <w:rFonts w:ascii="Times New Roman" w:eastAsia="Times New Roman" w:hAnsi="Times New Roman"/>
          <w:sz w:val="24"/>
          <w:szCs w:val="22"/>
        </w:rPr>
        <w:t>, 2002).</w:t>
      </w:r>
    </w:p>
    <w:p w14:paraId="0AEB4717" w14:textId="77777777" w:rsidR="00947670" w:rsidRPr="009A27ED" w:rsidRDefault="00947670" w:rsidP="005B6485">
      <w:pPr>
        <w:spacing w:before="120" w:after="0" w:line="360" w:lineRule="auto"/>
        <w:rPr>
          <w:szCs w:val="22"/>
        </w:rPr>
      </w:pPr>
      <w:r w:rsidRPr="009A27ED">
        <w:rPr>
          <w:rFonts w:ascii="Times New Roman" w:eastAsia="Times New Roman" w:hAnsi="Times New Roman"/>
          <w:sz w:val="24"/>
          <w:szCs w:val="22"/>
        </w:rPr>
        <w:t xml:space="preserve">Las operaciones mineras y las </w:t>
      </w:r>
      <w:proofErr w:type="spellStart"/>
      <w:r w:rsidRPr="009A27ED">
        <w:rPr>
          <w:rFonts w:ascii="Times New Roman" w:eastAsia="Times New Roman" w:hAnsi="Times New Roman"/>
          <w:sz w:val="24"/>
          <w:szCs w:val="22"/>
        </w:rPr>
        <w:t>granceras</w:t>
      </w:r>
      <w:proofErr w:type="spellEnd"/>
      <w:r w:rsidRPr="009A27ED">
        <w:rPr>
          <w:rFonts w:ascii="Times New Roman" w:eastAsia="Times New Roman" w:hAnsi="Times New Roman"/>
          <w:sz w:val="24"/>
          <w:szCs w:val="22"/>
        </w:rPr>
        <w:t xml:space="preserve"> han sido objeto de múltiples conflictos con comunidades vecinas afectadas, pues influencian las tasas de erosión, sedimentación y contribuyen a la vulnerabilidad frente a sequías e inundaciones, constituyéndose así en una amenaza importante a la conservación forestal. Asimismo, las operaciones mineras provocan una modificación del paisaje por remoción de materiales, generando creación de barrancos y excavaciones (Díaz y Hernández, 2006).</w:t>
      </w:r>
    </w:p>
    <w:p w14:paraId="7F12F7CC" w14:textId="77777777" w:rsidR="00947670" w:rsidRPr="009A27ED" w:rsidRDefault="00947670" w:rsidP="005B6485">
      <w:pPr>
        <w:spacing w:before="120" w:after="0" w:line="360" w:lineRule="auto"/>
        <w:rPr>
          <w:szCs w:val="22"/>
        </w:rPr>
      </w:pPr>
      <w:r w:rsidRPr="009A27ED">
        <w:rPr>
          <w:rFonts w:ascii="Times New Roman" w:eastAsia="Times New Roman" w:hAnsi="Times New Roman"/>
          <w:sz w:val="24"/>
          <w:szCs w:val="22"/>
        </w:rPr>
        <w:t xml:space="preserve">En varios documentos y lo expuesto por los actores claves durante el proceso participativo de los causales de deforestación y degradación de los bosques, se argumenta que no hay </w:t>
      </w:r>
      <w:r w:rsidRPr="009A27ED">
        <w:rPr>
          <w:rFonts w:ascii="Times New Roman" w:eastAsia="Times New Roman" w:hAnsi="Times New Roman"/>
          <w:sz w:val="24"/>
          <w:szCs w:val="22"/>
        </w:rPr>
        <w:lastRenderedPageBreak/>
        <w:t>incentivos para fomentar el manejo forestal de manera sostenible y que en cambio existen muchos estímulos para impulsar otras actividades productivas que inciden de forma negativa en la conservación forestal, como la minería, la ganadería, y la agricultura, entre otros.</w:t>
      </w:r>
    </w:p>
    <w:p w14:paraId="15B94107" w14:textId="77777777" w:rsidR="00947670" w:rsidRPr="009A27ED" w:rsidRDefault="00947670" w:rsidP="005B6485">
      <w:pPr>
        <w:spacing w:before="120" w:after="0" w:line="360" w:lineRule="auto"/>
        <w:rPr>
          <w:szCs w:val="22"/>
        </w:rPr>
      </w:pPr>
      <w:r w:rsidRPr="009A27ED">
        <w:rPr>
          <w:rFonts w:ascii="Times New Roman" w:eastAsia="Times New Roman" w:hAnsi="Times New Roman"/>
          <w:sz w:val="24"/>
          <w:szCs w:val="22"/>
        </w:rPr>
        <w:t>La minería ha recibido incentivos a través de políticas públicas, disposiciones legales y/o administrativas que estimulan su expansión y mejoran algunos indicadores de desarrollo económico nacional, pero no toman en cuenta el impacto sobre áreas cubiertas de bosque. El estímulo se convierte en “perverso”, ya que contribuye a desincentivar la conservación de los recursos naturales.</w:t>
      </w:r>
    </w:p>
    <w:p w14:paraId="7F005D04" w14:textId="77777777" w:rsidR="00947670" w:rsidRPr="009A27ED" w:rsidRDefault="00947670" w:rsidP="005B6485">
      <w:pPr>
        <w:spacing w:before="120" w:after="0" w:line="360" w:lineRule="auto"/>
        <w:rPr>
          <w:szCs w:val="22"/>
        </w:rPr>
      </w:pPr>
      <w:r w:rsidRPr="009A27ED">
        <w:rPr>
          <w:rFonts w:ascii="Times New Roman" w:eastAsia="Times New Roman" w:hAnsi="Times New Roman"/>
          <w:sz w:val="24"/>
          <w:szCs w:val="22"/>
        </w:rPr>
        <w:t>No obstante, las actividades productivas que se incentivan, como la minería, serían apropiadas si se aplican en el marco del desarrollo sostenible. Lo negativo radica cuando se incentiva la minería solamente pensando en hacerla más lucrativa, dejando de lado los daños y costos ambientales.</w:t>
      </w:r>
    </w:p>
    <w:p w14:paraId="05099C88" w14:textId="7CD2A306" w:rsidR="00695D69" w:rsidRPr="009A27ED" w:rsidRDefault="00947670" w:rsidP="005B6485">
      <w:pPr>
        <w:spacing w:before="120" w:after="100" w:afterAutospacing="1" w:line="360" w:lineRule="auto"/>
        <w:rPr>
          <w:i/>
          <w:szCs w:val="22"/>
        </w:rPr>
      </w:pPr>
      <w:r w:rsidRPr="009A27ED">
        <w:rPr>
          <w:rFonts w:ascii="Times New Roman" w:eastAsia="Times New Roman" w:hAnsi="Times New Roman"/>
          <w:sz w:val="24"/>
          <w:szCs w:val="22"/>
        </w:rPr>
        <w:t>En la República Dominicana todas las actividades mineras se realizan a cielo abierto (Ovalles, 2011) y los daños de este tipo de minería pueden ser no sólo en los espacios donde se produce la extracción sino también en sus inmediaciones, ya sea por la degradación de la flora y la fauna y/o por la contaminación de aguas abajo. De acuerdo con el Catastro Minero Dominicano, existen actualmente registradas cuatro explotaciones mineras metálicas, localizadas en Monte Plata, Monseñor Nouel, La Vega, Pedernales y Sánchez Ramírez. Estas explotaciones ocupan una superficie de 34,502 ha. Existen otras 122 explotaciones mineras no-metálica distribuidos en todo el país, que abarcan 153,532 ha.</w:t>
      </w:r>
      <w:r w:rsidR="00574FC1" w:rsidRPr="009A27ED">
        <w:rPr>
          <w:rFonts w:ascii="Times New Roman" w:eastAsia="Times New Roman" w:hAnsi="Times New Roman"/>
          <w:i/>
          <w:sz w:val="24"/>
          <w:szCs w:val="22"/>
        </w:rPr>
        <w:t xml:space="preserve"> </w:t>
      </w:r>
    </w:p>
    <w:p w14:paraId="00FFB471" w14:textId="77777777" w:rsidR="00947670" w:rsidRPr="009A27ED" w:rsidRDefault="00947670" w:rsidP="00A16DE9">
      <w:pPr>
        <w:pStyle w:val="Ttulo4"/>
        <w:spacing w:line="360" w:lineRule="auto"/>
        <w:rPr>
          <w:rFonts w:eastAsia="Calibri"/>
          <w:color w:val="000000" w:themeColor="text1"/>
          <w:lang w:eastAsia="gl"/>
        </w:rPr>
      </w:pPr>
      <w:r w:rsidRPr="009A27ED">
        <w:rPr>
          <w:rFonts w:ascii="Times New Roman" w:eastAsia="Times New Roman" w:hAnsi="Times New Roman"/>
          <w:color w:val="000000" w:themeColor="text1"/>
          <w:sz w:val="24"/>
          <w:lang w:eastAsia="gl"/>
        </w:rPr>
        <w:t>Plagas, enfermedades e introducción de especies exóticas invasoras</w:t>
      </w:r>
    </w:p>
    <w:p w14:paraId="6CBA168F" w14:textId="77777777" w:rsidR="00947670" w:rsidRPr="009A27ED" w:rsidRDefault="00947670" w:rsidP="005B6485">
      <w:pPr>
        <w:spacing w:before="120" w:after="0" w:line="360" w:lineRule="auto"/>
        <w:rPr>
          <w:i/>
          <w:szCs w:val="22"/>
        </w:rPr>
      </w:pPr>
      <w:r w:rsidRPr="009A27ED">
        <w:rPr>
          <w:rFonts w:ascii="Times New Roman" w:eastAsia="Times New Roman" w:hAnsi="Times New Roman"/>
          <w:i/>
          <w:sz w:val="24"/>
          <w:szCs w:val="22"/>
        </w:rPr>
        <w:t xml:space="preserve">Impacto: Degradación forestal </w:t>
      </w:r>
    </w:p>
    <w:p w14:paraId="3A005F0A" w14:textId="468A3AAD" w:rsidR="00947670" w:rsidRPr="009A27ED" w:rsidRDefault="00947670" w:rsidP="005B6485">
      <w:pPr>
        <w:spacing w:before="120" w:after="0" w:line="360" w:lineRule="auto"/>
        <w:rPr>
          <w:szCs w:val="22"/>
        </w:rPr>
      </w:pPr>
      <w:r w:rsidRPr="009A27ED">
        <w:rPr>
          <w:rFonts w:ascii="Times New Roman" w:eastAsia="Times New Roman" w:hAnsi="Times New Roman"/>
          <w:sz w:val="24"/>
          <w:szCs w:val="22"/>
        </w:rPr>
        <w:t xml:space="preserve">En la República Dominicana, las plagas, enfermedades e introducción de especies exóticas invasoras constituyen en su conjunto una causa de degradación de los bosques. Este tipo de causa bien se </w:t>
      </w:r>
      <w:r w:rsidR="006D0B45" w:rsidRPr="009A27ED">
        <w:rPr>
          <w:rFonts w:ascii="Times New Roman" w:eastAsia="Times New Roman" w:hAnsi="Times New Roman"/>
          <w:sz w:val="24"/>
          <w:szCs w:val="22"/>
        </w:rPr>
        <w:t>puede</w:t>
      </w:r>
      <w:r w:rsidRPr="009A27ED">
        <w:rPr>
          <w:rFonts w:ascii="Times New Roman" w:eastAsia="Times New Roman" w:hAnsi="Times New Roman"/>
          <w:sz w:val="24"/>
          <w:szCs w:val="22"/>
        </w:rPr>
        <w:t xml:space="preserve"> prevenir y combatir con la aplicación de medidas técnico-científicas. La pérdida de cobertura se debe principalmente a deficiencias en un manejo efectivo, que debería incluir acciones de saneamiento y prevención de plagas y enfermedades. Según la percepción de los actores claves que participaron en </w:t>
      </w:r>
      <w:r w:rsidR="009C2C9F" w:rsidRPr="009A27ED">
        <w:rPr>
          <w:rFonts w:ascii="Times New Roman" w:eastAsia="Times New Roman" w:hAnsi="Times New Roman"/>
          <w:sz w:val="24"/>
          <w:szCs w:val="22"/>
        </w:rPr>
        <w:t>el estudio causal</w:t>
      </w:r>
      <w:r w:rsidRPr="009A27ED">
        <w:rPr>
          <w:rFonts w:ascii="Times New Roman" w:eastAsia="Times New Roman" w:hAnsi="Times New Roman"/>
          <w:sz w:val="24"/>
          <w:szCs w:val="22"/>
        </w:rPr>
        <w:t xml:space="preserve"> de deforestación y degradación de los bosques, históricamente ha habido muy poca atención a la prevención y, </w:t>
      </w:r>
      <w:r w:rsidRPr="009A27ED">
        <w:rPr>
          <w:rFonts w:ascii="Times New Roman" w:eastAsia="Times New Roman" w:hAnsi="Times New Roman"/>
          <w:sz w:val="24"/>
          <w:szCs w:val="22"/>
        </w:rPr>
        <w:lastRenderedPageBreak/>
        <w:t>en algunos casos, la presencia de plagas ha sido aprovechada por muchas personas para depredar más el bosque, incluyendo superficies mayores a las realmente afectadas.</w:t>
      </w:r>
    </w:p>
    <w:p w14:paraId="3B4AE803" w14:textId="77777777" w:rsidR="00947670" w:rsidRPr="009A27ED" w:rsidRDefault="00947670" w:rsidP="005B6485">
      <w:pPr>
        <w:spacing w:before="120" w:after="0" w:line="360" w:lineRule="auto"/>
        <w:rPr>
          <w:szCs w:val="22"/>
        </w:rPr>
      </w:pPr>
      <w:r w:rsidRPr="009A27ED">
        <w:rPr>
          <w:rFonts w:ascii="Times New Roman" w:eastAsia="Times New Roman" w:hAnsi="Times New Roman"/>
          <w:sz w:val="24"/>
          <w:szCs w:val="22"/>
        </w:rPr>
        <w:t xml:space="preserve">Se reporta la presencia de 190 especies de plantas exóticas invasoras en el país, entre ellas 6 de las especies ubicadas dentro de las 100 peores especies vegetales invasoras del mundo. Cabe destacar una alta y desmedida presencia de la especie </w:t>
      </w:r>
      <w:proofErr w:type="spellStart"/>
      <w:r w:rsidRPr="009A27ED">
        <w:rPr>
          <w:rFonts w:ascii="Times New Roman" w:eastAsia="Times New Roman" w:hAnsi="Times New Roman"/>
          <w:i/>
          <w:sz w:val="24"/>
          <w:szCs w:val="22"/>
        </w:rPr>
        <w:t>Leucaena</w:t>
      </w:r>
      <w:proofErr w:type="spellEnd"/>
      <w:r w:rsidRPr="009A27ED">
        <w:rPr>
          <w:rFonts w:ascii="Times New Roman" w:eastAsia="Times New Roman" w:hAnsi="Times New Roman"/>
          <w:i/>
          <w:sz w:val="24"/>
          <w:szCs w:val="22"/>
        </w:rPr>
        <w:t xml:space="preserve"> </w:t>
      </w:r>
      <w:proofErr w:type="spellStart"/>
      <w:r w:rsidRPr="009A27ED">
        <w:rPr>
          <w:rFonts w:ascii="Times New Roman" w:eastAsia="Times New Roman" w:hAnsi="Times New Roman"/>
          <w:i/>
          <w:sz w:val="24"/>
          <w:szCs w:val="22"/>
        </w:rPr>
        <w:t>leucocephala</w:t>
      </w:r>
      <w:proofErr w:type="spellEnd"/>
      <w:r w:rsidRPr="009A27ED">
        <w:rPr>
          <w:rFonts w:ascii="Times New Roman" w:eastAsia="Times New Roman" w:hAnsi="Times New Roman"/>
          <w:sz w:val="24"/>
          <w:szCs w:val="22"/>
        </w:rPr>
        <w:t xml:space="preserve"> (lino, </w:t>
      </w:r>
      <w:proofErr w:type="spellStart"/>
      <w:r w:rsidRPr="009A27ED">
        <w:rPr>
          <w:rFonts w:ascii="Times New Roman" w:eastAsia="Times New Roman" w:hAnsi="Times New Roman"/>
          <w:sz w:val="24"/>
          <w:szCs w:val="22"/>
        </w:rPr>
        <w:t>leucaena</w:t>
      </w:r>
      <w:proofErr w:type="spellEnd"/>
      <w:r w:rsidRPr="009A27ED">
        <w:rPr>
          <w:rFonts w:ascii="Times New Roman" w:eastAsia="Times New Roman" w:hAnsi="Times New Roman"/>
          <w:sz w:val="24"/>
          <w:szCs w:val="22"/>
        </w:rPr>
        <w:t xml:space="preserve">) en los bosques del país. Las variedades de crecimiento rápido fueron introducidas en los años 80s con fines de aprovechamiento y elaboración de carbón vegetal en las denominadas fincas energéticas. Esta es una especie arbórea perteneciente a la familia de las Leguminosas o Fabáceas. A pesar de que esta especie es de alto valor forrajero y representa una buena alternativa para suplir el déficit de forraje en los meses secos, el uso de esta especie como forraje y energética es escaso y su propagación es altamente agresiva. Como consecuencia de esto, la referida especie invade rápidamente las tierras que están en proceso de restauración natural y evita la reproducción de especies nativas. Adicionalmente, se reporta a la </w:t>
      </w:r>
      <w:proofErr w:type="spellStart"/>
      <w:r w:rsidRPr="009A27ED">
        <w:rPr>
          <w:rFonts w:ascii="Times New Roman" w:eastAsia="Times New Roman" w:hAnsi="Times New Roman"/>
          <w:i/>
          <w:sz w:val="24"/>
          <w:szCs w:val="22"/>
        </w:rPr>
        <w:t>Azadirachta</w:t>
      </w:r>
      <w:proofErr w:type="spellEnd"/>
      <w:r w:rsidRPr="009A27ED">
        <w:rPr>
          <w:rFonts w:ascii="Times New Roman" w:eastAsia="Times New Roman" w:hAnsi="Times New Roman"/>
          <w:i/>
          <w:sz w:val="24"/>
          <w:szCs w:val="22"/>
        </w:rPr>
        <w:t xml:space="preserve"> indica</w:t>
      </w:r>
      <w:r w:rsidRPr="009A27ED">
        <w:rPr>
          <w:rFonts w:ascii="Times New Roman" w:eastAsia="Times New Roman" w:hAnsi="Times New Roman"/>
          <w:sz w:val="24"/>
          <w:szCs w:val="22"/>
        </w:rPr>
        <w:t xml:space="preserve"> (nim) como otra especie exótica altamente invasora que tiene presencia a nivel nacional. Esta especie fue introducida en los años 80s para fines de reforestación e insecticida natural, pero en la actualidad es utilizada a pequeña escala solo como maderable. Otra especie vegetal con alto potencial invasivo es la </w:t>
      </w:r>
      <w:proofErr w:type="spellStart"/>
      <w:r w:rsidRPr="009A27ED">
        <w:rPr>
          <w:rFonts w:ascii="Times New Roman" w:eastAsia="Times New Roman" w:hAnsi="Times New Roman"/>
          <w:i/>
          <w:sz w:val="24"/>
          <w:szCs w:val="22"/>
        </w:rPr>
        <w:t>Calliandra</w:t>
      </w:r>
      <w:proofErr w:type="spellEnd"/>
      <w:r w:rsidRPr="009A27ED">
        <w:rPr>
          <w:rFonts w:ascii="Times New Roman" w:eastAsia="Times New Roman" w:hAnsi="Times New Roman"/>
          <w:i/>
          <w:sz w:val="24"/>
          <w:szCs w:val="22"/>
        </w:rPr>
        <w:t xml:space="preserve"> </w:t>
      </w:r>
      <w:proofErr w:type="spellStart"/>
      <w:r w:rsidRPr="009A27ED">
        <w:rPr>
          <w:rFonts w:ascii="Times New Roman" w:eastAsia="Times New Roman" w:hAnsi="Times New Roman"/>
          <w:i/>
          <w:sz w:val="24"/>
          <w:szCs w:val="22"/>
        </w:rPr>
        <w:t>calyothyrsus</w:t>
      </w:r>
      <w:proofErr w:type="spellEnd"/>
      <w:r w:rsidRPr="009A27ED">
        <w:rPr>
          <w:rFonts w:ascii="Times New Roman" w:eastAsia="Times New Roman" w:hAnsi="Times New Roman"/>
          <w:sz w:val="24"/>
          <w:szCs w:val="22"/>
        </w:rPr>
        <w:t xml:space="preserve"> (</w:t>
      </w:r>
      <w:proofErr w:type="spellStart"/>
      <w:r w:rsidRPr="009A27ED">
        <w:rPr>
          <w:rFonts w:ascii="Times New Roman" w:eastAsia="Times New Roman" w:hAnsi="Times New Roman"/>
          <w:sz w:val="24"/>
          <w:szCs w:val="22"/>
        </w:rPr>
        <w:t>caliandra</w:t>
      </w:r>
      <w:proofErr w:type="spellEnd"/>
      <w:r w:rsidRPr="009A27ED">
        <w:rPr>
          <w:rFonts w:ascii="Times New Roman" w:eastAsia="Times New Roman" w:hAnsi="Times New Roman"/>
          <w:sz w:val="24"/>
          <w:szCs w:val="22"/>
        </w:rPr>
        <w:t xml:space="preserve">), que ha invadido una parte considerable del territorio nacional. Esta última pertenece también a la familia de las Leguminosas o Fabáceas y fue introducida en los años 80’s para fines forrajeros y barreras vivas. El crecimiento descontrolado de estas tres especies constituye una gran amenaza para muchas de las especies nativas de los ecosistemas forestales del país. No obstante, el Ministerio de Medio Ambiente y Recursos Naturales, a través de su Estrategia Nacional Especies Exóticas Invasoras, viene desarrollando esfuerzos para enfrentar el crecimiento desmedido de estas especies. </w:t>
      </w:r>
    </w:p>
    <w:p w14:paraId="43B38BB6" w14:textId="77777777" w:rsidR="00947670" w:rsidRPr="009A27ED" w:rsidRDefault="00947670" w:rsidP="005B6485">
      <w:pPr>
        <w:spacing w:before="120" w:after="0" w:line="360" w:lineRule="auto"/>
        <w:rPr>
          <w:szCs w:val="22"/>
        </w:rPr>
      </w:pPr>
      <w:r w:rsidRPr="009A27ED">
        <w:rPr>
          <w:rFonts w:ascii="Times New Roman" w:eastAsia="Times New Roman" w:hAnsi="Times New Roman"/>
          <w:sz w:val="24"/>
          <w:szCs w:val="22"/>
        </w:rPr>
        <w:t xml:space="preserve">Con respecto a plagas que atacan al bosque de conífera, existe la presencia del </w:t>
      </w:r>
      <w:proofErr w:type="spellStart"/>
      <w:r w:rsidRPr="009A27ED">
        <w:rPr>
          <w:rFonts w:ascii="Times New Roman" w:eastAsia="Times New Roman" w:hAnsi="Times New Roman"/>
          <w:i/>
          <w:sz w:val="24"/>
          <w:szCs w:val="22"/>
        </w:rPr>
        <w:t>Ips</w:t>
      </w:r>
      <w:proofErr w:type="spellEnd"/>
      <w:r w:rsidRPr="009A27ED">
        <w:rPr>
          <w:rFonts w:ascii="Times New Roman" w:eastAsia="Times New Roman" w:hAnsi="Times New Roman"/>
          <w:i/>
          <w:sz w:val="24"/>
          <w:szCs w:val="22"/>
        </w:rPr>
        <w:t xml:space="preserve"> </w:t>
      </w:r>
      <w:proofErr w:type="spellStart"/>
      <w:r w:rsidRPr="009A27ED">
        <w:rPr>
          <w:rFonts w:ascii="Times New Roman" w:eastAsia="Times New Roman" w:hAnsi="Times New Roman"/>
          <w:i/>
          <w:sz w:val="24"/>
          <w:szCs w:val="22"/>
        </w:rPr>
        <w:t>calligraphus</w:t>
      </w:r>
      <w:proofErr w:type="spellEnd"/>
      <w:r w:rsidRPr="009A27ED">
        <w:rPr>
          <w:rFonts w:ascii="Times New Roman" w:eastAsia="Times New Roman" w:hAnsi="Times New Roman"/>
          <w:sz w:val="24"/>
          <w:szCs w:val="22"/>
        </w:rPr>
        <w:t xml:space="preserve"> también conocido como escarabajos de la corteza o descortezador. Este barrenador ataca principalmente al </w:t>
      </w:r>
      <w:proofErr w:type="spellStart"/>
      <w:r w:rsidRPr="009A27ED">
        <w:rPr>
          <w:rFonts w:ascii="Times New Roman" w:eastAsia="Times New Roman" w:hAnsi="Times New Roman"/>
          <w:i/>
          <w:sz w:val="24"/>
          <w:szCs w:val="22"/>
        </w:rPr>
        <w:t>Pinus</w:t>
      </w:r>
      <w:proofErr w:type="spellEnd"/>
      <w:r w:rsidRPr="009A27ED">
        <w:rPr>
          <w:rFonts w:ascii="Times New Roman" w:eastAsia="Times New Roman" w:hAnsi="Times New Roman"/>
          <w:i/>
          <w:sz w:val="24"/>
          <w:szCs w:val="22"/>
        </w:rPr>
        <w:t xml:space="preserve"> </w:t>
      </w:r>
      <w:proofErr w:type="spellStart"/>
      <w:r w:rsidRPr="009A27ED">
        <w:rPr>
          <w:rFonts w:ascii="Times New Roman" w:eastAsia="Times New Roman" w:hAnsi="Times New Roman"/>
          <w:i/>
          <w:sz w:val="24"/>
          <w:szCs w:val="22"/>
        </w:rPr>
        <w:t>occidentalis</w:t>
      </w:r>
      <w:proofErr w:type="spellEnd"/>
      <w:r w:rsidRPr="009A27ED">
        <w:rPr>
          <w:rFonts w:ascii="Times New Roman" w:eastAsia="Times New Roman" w:hAnsi="Times New Roman"/>
          <w:sz w:val="24"/>
          <w:szCs w:val="22"/>
        </w:rPr>
        <w:t xml:space="preserve"> (pino criollo) o bosque natural de conífera. Esta plaga se ha registrado en los últimos años especialmente en los bosques de conífera de las provincias de Santiago y Dajabón, los cuales son considerados como estratégicos a nivel hídrico-forestal, pues representan un recurso importante para la industria maderera local como insumo para la elaboración de muebles y otros enseres domésticos.</w:t>
      </w:r>
    </w:p>
    <w:p w14:paraId="5A855130" w14:textId="130FF432" w:rsidR="00947670" w:rsidRPr="009A27ED" w:rsidRDefault="00947670" w:rsidP="005B6485">
      <w:pPr>
        <w:spacing w:before="120" w:after="100" w:afterAutospacing="1" w:line="360" w:lineRule="auto"/>
        <w:rPr>
          <w:i/>
          <w:szCs w:val="22"/>
        </w:rPr>
      </w:pPr>
      <w:r w:rsidRPr="009A27ED">
        <w:rPr>
          <w:rFonts w:ascii="Times New Roman" w:eastAsia="Times New Roman" w:hAnsi="Times New Roman"/>
          <w:sz w:val="24"/>
          <w:szCs w:val="22"/>
        </w:rPr>
        <w:lastRenderedPageBreak/>
        <w:t xml:space="preserve">Además del problema fitosanitario generado por el insecto descortezador, también se ha observado afectaciones por hongos patógenos, no </w:t>
      </w:r>
      <w:r w:rsidR="00173378" w:rsidRPr="009A27ED">
        <w:rPr>
          <w:rFonts w:ascii="Times New Roman" w:eastAsia="Times New Roman" w:hAnsi="Times New Roman"/>
          <w:sz w:val="24"/>
          <w:szCs w:val="22"/>
        </w:rPr>
        <w:t xml:space="preserve">sólo </w:t>
      </w:r>
      <w:r w:rsidRPr="009A27ED">
        <w:rPr>
          <w:rFonts w:ascii="Times New Roman" w:eastAsia="Times New Roman" w:hAnsi="Times New Roman"/>
          <w:sz w:val="24"/>
          <w:szCs w:val="22"/>
        </w:rPr>
        <w:t xml:space="preserve">en el bosque de pino, sino también en otros ecosistemas. Tal es el caso de afectaciones de </w:t>
      </w:r>
      <w:proofErr w:type="spellStart"/>
      <w:r w:rsidRPr="009A27ED">
        <w:rPr>
          <w:rFonts w:ascii="Times New Roman" w:eastAsia="Times New Roman" w:hAnsi="Times New Roman"/>
          <w:i/>
          <w:sz w:val="24"/>
          <w:szCs w:val="22"/>
        </w:rPr>
        <w:t>Apate</w:t>
      </w:r>
      <w:proofErr w:type="spellEnd"/>
      <w:r w:rsidRPr="009A27ED">
        <w:rPr>
          <w:rFonts w:ascii="Times New Roman" w:eastAsia="Times New Roman" w:hAnsi="Times New Roman"/>
          <w:i/>
          <w:sz w:val="24"/>
          <w:szCs w:val="22"/>
        </w:rPr>
        <w:t xml:space="preserve"> </w:t>
      </w:r>
      <w:proofErr w:type="spellStart"/>
      <w:r w:rsidRPr="009A27ED">
        <w:rPr>
          <w:rFonts w:ascii="Times New Roman" w:eastAsia="Times New Roman" w:hAnsi="Times New Roman"/>
          <w:i/>
          <w:sz w:val="24"/>
          <w:szCs w:val="22"/>
        </w:rPr>
        <w:t>monachus</w:t>
      </w:r>
      <w:proofErr w:type="spellEnd"/>
      <w:r w:rsidRPr="009A27ED">
        <w:rPr>
          <w:rFonts w:ascii="Times New Roman" w:eastAsia="Times New Roman" w:hAnsi="Times New Roman"/>
          <w:sz w:val="24"/>
          <w:szCs w:val="22"/>
        </w:rPr>
        <w:t xml:space="preserve"> en plantaciones jóvenes de caoba criolla, </w:t>
      </w:r>
      <w:proofErr w:type="spellStart"/>
      <w:r w:rsidRPr="009A27ED">
        <w:rPr>
          <w:rFonts w:ascii="Times New Roman" w:eastAsia="Times New Roman" w:hAnsi="Times New Roman"/>
          <w:i/>
          <w:sz w:val="24"/>
          <w:szCs w:val="22"/>
        </w:rPr>
        <w:t>Xylosandrus</w:t>
      </w:r>
      <w:proofErr w:type="spellEnd"/>
      <w:r w:rsidRPr="009A27ED">
        <w:rPr>
          <w:rFonts w:ascii="Times New Roman" w:eastAsia="Times New Roman" w:hAnsi="Times New Roman"/>
          <w:i/>
          <w:sz w:val="24"/>
          <w:szCs w:val="22"/>
        </w:rPr>
        <w:t xml:space="preserve"> </w:t>
      </w:r>
      <w:proofErr w:type="spellStart"/>
      <w:r w:rsidRPr="009A27ED">
        <w:rPr>
          <w:rFonts w:ascii="Times New Roman" w:eastAsia="Times New Roman" w:hAnsi="Times New Roman"/>
          <w:i/>
          <w:sz w:val="24"/>
          <w:szCs w:val="22"/>
        </w:rPr>
        <w:t>spp</w:t>
      </w:r>
      <w:proofErr w:type="spellEnd"/>
      <w:r w:rsidRPr="009A27ED">
        <w:rPr>
          <w:rFonts w:ascii="Times New Roman" w:eastAsia="Times New Roman" w:hAnsi="Times New Roman"/>
          <w:i/>
          <w:sz w:val="24"/>
          <w:szCs w:val="22"/>
        </w:rPr>
        <w:t>.</w:t>
      </w:r>
      <w:r w:rsidRPr="009A27ED">
        <w:rPr>
          <w:rFonts w:ascii="Times New Roman" w:eastAsia="Times New Roman" w:hAnsi="Times New Roman"/>
          <w:sz w:val="24"/>
          <w:szCs w:val="22"/>
        </w:rPr>
        <w:t xml:space="preserve"> </w:t>
      </w:r>
      <w:r w:rsidR="006D0B45" w:rsidRPr="009A27ED">
        <w:rPr>
          <w:rFonts w:ascii="Times New Roman" w:eastAsia="Times New Roman" w:hAnsi="Times New Roman"/>
          <w:sz w:val="24"/>
          <w:szCs w:val="22"/>
        </w:rPr>
        <w:t>En</w:t>
      </w:r>
      <w:r w:rsidRPr="009A27ED">
        <w:rPr>
          <w:rFonts w:ascii="Times New Roman" w:eastAsia="Times New Roman" w:hAnsi="Times New Roman"/>
          <w:sz w:val="24"/>
          <w:szCs w:val="22"/>
        </w:rPr>
        <w:t xml:space="preserve"> plantaciones jóvenes de caoba africana y se sospecha un ataque de </w:t>
      </w:r>
      <w:proofErr w:type="spellStart"/>
      <w:r w:rsidRPr="009A27ED">
        <w:rPr>
          <w:rFonts w:ascii="Times New Roman" w:eastAsia="Times New Roman" w:hAnsi="Times New Roman"/>
          <w:i/>
          <w:sz w:val="24"/>
          <w:szCs w:val="22"/>
        </w:rPr>
        <w:t>Diplodia</w:t>
      </w:r>
      <w:proofErr w:type="spellEnd"/>
      <w:r w:rsidRPr="009A27ED">
        <w:rPr>
          <w:rFonts w:ascii="Times New Roman" w:eastAsia="Times New Roman" w:hAnsi="Times New Roman"/>
          <w:i/>
          <w:sz w:val="24"/>
          <w:szCs w:val="22"/>
        </w:rPr>
        <w:t xml:space="preserve"> pinea</w:t>
      </w:r>
      <w:r w:rsidRPr="009A27ED">
        <w:rPr>
          <w:rFonts w:ascii="Times New Roman" w:eastAsia="Times New Roman" w:hAnsi="Times New Roman"/>
          <w:sz w:val="24"/>
          <w:szCs w:val="22"/>
        </w:rPr>
        <w:t xml:space="preserve"> en bosque de pino. En el año 2017 las medidas de saneamiento forestal conllevaron el aprovechamiento de 11,730 m3 de madera en bosques afectados (Ministerio Medio Ambiente y Recursos Naturales, 2018).</w:t>
      </w:r>
      <w:r w:rsidR="00574FC1" w:rsidRPr="009A27ED">
        <w:rPr>
          <w:rFonts w:ascii="Times New Roman" w:eastAsia="Times New Roman" w:hAnsi="Times New Roman"/>
          <w:i/>
          <w:sz w:val="24"/>
          <w:szCs w:val="22"/>
        </w:rPr>
        <w:t xml:space="preserve"> </w:t>
      </w:r>
    </w:p>
    <w:p w14:paraId="47888B4F" w14:textId="77777777" w:rsidR="00947670" w:rsidRPr="009A27ED" w:rsidRDefault="00947670" w:rsidP="00A16DE9">
      <w:pPr>
        <w:pStyle w:val="Ttulo4"/>
        <w:spacing w:line="360" w:lineRule="auto"/>
        <w:rPr>
          <w:rFonts w:eastAsia="Calibri"/>
          <w:color w:val="000000" w:themeColor="text1"/>
          <w:lang w:eastAsia="gl"/>
        </w:rPr>
      </w:pPr>
      <w:r w:rsidRPr="009A27ED">
        <w:rPr>
          <w:rFonts w:ascii="Times New Roman" w:eastAsia="Times New Roman" w:hAnsi="Times New Roman"/>
          <w:color w:val="000000" w:themeColor="text1"/>
          <w:sz w:val="24"/>
          <w:lang w:eastAsia="gl"/>
        </w:rPr>
        <w:t>Expansión de infraestructura de tipo urbana, vial e industrial</w:t>
      </w:r>
    </w:p>
    <w:p w14:paraId="5C552C9D" w14:textId="77777777" w:rsidR="00947670" w:rsidRPr="009A27ED" w:rsidRDefault="00947670" w:rsidP="005B6485">
      <w:pPr>
        <w:spacing w:before="120" w:after="0" w:line="360" w:lineRule="auto"/>
        <w:rPr>
          <w:i/>
          <w:szCs w:val="22"/>
        </w:rPr>
      </w:pPr>
      <w:r w:rsidRPr="009A27ED">
        <w:rPr>
          <w:rFonts w:ascii="Times New Roman" w:eastAsia="Times New Roman" w:hAnsi="Times New Roman"/>
          <w:i/>
          <w:sz w:val="24"/>
          <w:szCs w:val="22"/>
        </w:rPr>
        <w:t>Impacto: Deforestación</w:t>
      </w:r>
    </w:p>
    <w:p w14:paraId="4A9D77D9" w14:textId="0F13407A" w:rsidR="00947670" w:rsidRPr="009A27ED" w:rsidRDefault="00947670" w:rsidP="005B6485">
      <w:pPr>
        <w:spacing w:before="120" w:after="0" w:line="360" w:lineRule="auto"/>
        <w:rPr>
          <w:szCs w:val="22"/>
        </w:rPr>
      </w:pPr>
      <w:r w:rsidRPr="009A27ED">
        <w:rPr>
          <w:rFonts w:ascii="Times New Roman" w:eastAsia="Times New Roman" w:hAnsi="Times New Roman"/>
          <w:sz w:val="24"/>
          <w:szCs w:val="22"/>
        </w:rPr>
        <w:t>En los últimos años se observa una expansión horizontal de las principales ciudades del país, lo que est</w:t>
      </w:r>
      <w:r w:rsidR="000E7ACA" w:rsidRPr="009A27ED">
        <w:rPr>
          <w:rFonts w:ascii="Times New Roman" w:eastAsia="Times New Roman" w:hAnsi="Times New Roman"/>
          <w:sz w:val="24"/>
          <w:szCs w:val="22"/>
        </w:rPr>
        <w:t>á</w:t>
      </w:r>
      <w:r w:rsidRPr="009A27ED">
        <w:rPr>
          <w:rFonts w:ascii="Times New Roman" w:eastAsia="Times New Roman" w:hAnsi="Times New Roman"/>
          <w:sz w:val="24"/>
          <w:szCs w:val="22"/>
        </w:rPr>
        <w:t xml:space="preserve"> reduciendo tanto la superficie agrícola disponible como la cobertura de la vegetación natural en los terrenos adyacentes a las ciudades, particularmente las ciudades de Santo Domingo, La Romana, Santiago, La Vega, Moca, San Francisco de Macorís, Punta Cana. Por otra parte, el crecimiento económico del país está llevando a un acelerado desarrollo industrial, que a su vez expande la infraestructura en el territorio, a costa de la vegetación natural. Cabe indicar aquí la preponderancia del desarrollo minero, energético y vial. La expansión urbana, vial e industrial se atribuye una porción de la deforestación, con unas 19,000 ha en los últimos 10 años que se pierde de manera permanente. </w:t>
      </w:r>
    </w:p>
    <w:p w14:paraId="160BA07E" w14:textId="5BB28B47" w:rsidR="00947670" w:rsidRPr="009A27ED" w:rsidRDefault="00947670" w:rsidP="005B6485">
      <w:pPr>
        <w:spacing w:before="120" w:after="0" w:line="360" w:lineRule="auto"/>
        <w:rPr>
          <w:szCs w:val="22"/>
        </w:rPr>
      </w:pPr>
      <w:r w:rsidRPr="009A27ED">
        <w:rPr>
          <w:rFonts w:ascii="Times New Roman" w:eastAsia="Times New Roman" w:hAnsi="Times New Roman"/>
          <w:sz w:val="24"/>
          <w:szCs w:val="22"/>
        </w:rPr>
        <w:t>Un fenómeno complementario es la urbanización rural. Este fenómeno ha afectado mayormente a terrenos agrícolas, pero también, en menor medida, a terrenos forestal</w:t>
      </w:r>
      <w:r w:rsidR="000E7ACA" w:rsidRPr="009A27ED">
        <w:rPr>
          <w:rFonts w:ascii="Times New Roman" w:eastAsia="Times New Roman" w:hAnsi="Times New Roman"/>
          <w:sz w:val="24"/>
          <w:szCs w:val="22"/>
        </w:rPr>
        <w:t>es</w:t>
      </w:r>
      <w:r w:rsidRPr="009A27ED">
        <w:rPr>
          <w:rFonts w:ascii="Times New Roman" w:eastAsia="Times New Roman" w:hAnsi="Times New Roman"/>
          <w:sz w:val="24"/>
          <w:szCs w:val="22"/>
        </w:rPr>
        <w:t>. La legislación forestal mantiene la obligación de reforestar cualquier acción de corta de bosque asociada a este tipo de acciones, por lo que, en el balance, no debería haber pérdida de bosque. Sin embargo, las reforestaciones no siempre son exitosas y esto conlleva a una disminución neta de la superficie de bosques por esta situación y bosques en menor estado de desarrollo.</w:t>
      </w:r>
    </w:p>
    <w:p w14:paraId="5718C163" w14:textId="33951255" w:rsidR="00947670" w:rsidRPr="009A27ED" w:rsidRDefault="00947670" w:rsidP="005B6485">
      <w:pPr>
        <w:spacing w:before="120" w:after="0" w:line="360" w:lineRule="auto"/>
        <w:rPr>
          <w:szCs w:val="22"/>
        </w:rPr>
      </w:pPr>
      <w:r w:rsidRPr="009A27ED">
        <w:rPr>
          <w:rFonts w:ascii="Times New Roman" w:eastAsia="Times New Roman" w:hAnsi="Times New Roman"/>
          <w:sz w:val="24"/>
          <w:szCs w:val="22"/>
        </w:rPr>
        <w:t xml:space="preserve">Respecto a la expansión industrial, ésta también tiene la obligación de reforestar la superficie de bosque cortada por motivo de su actividad, tales como embalses hidroeléctricos, líneas de transmisión eléctrica, creación de nueva carreteras o creación de complejos industriales. Dado lo anterior, cualquier superficie cortada debería ser reforestada en un sitio sin cobertura y la pérdida neta de bosque debería ser cero. Sin embargo, la ley obliga a reforestar, pero no </w:t>
      </w:r>
      <w:r w:rsidRPr="009A27ED">
        <w:rPr>
          <w:rFonts w:ascii="Times New Roman" w:eastAsia="Times New Roman" w:hAnsi="Times New Roman"/>
          <w:sz w:val="24"/>
          <w:szCs w:val="22"/>
        </w:rPr>
        <w:lastRenderedPageBreak/>
        <w:t>a hacer un seguimiento a largo plazo de la superficie plantada, por lo que, en la práctica, muchas áreas plantadas no generan cobertura vegetal en el largo plazo y se produce una pérdida neta de superficie de bosque.</w:t>
      </w:r>
      <w:r w:rsidR="00574FC1" w:rsidRPr="009A27ED">
        <w:rPr>
          <w:rFonts w:ascii="Times New Roman" w:eastAsia="Times New Roman" w:hAnsi="Times New Roman"/>
          <w:sz w:val="24"/>
          <w:szCs w:val="22"/>
        </w:rPr>
        <w:t xml:space="preserve"> </w:t>
      </w:r>
    </w:p>
    <w:p w14:paraId="6BBFD4F8" w14:textId="77777777" w:rsidR="00947670" w:rsidRPr="009A27ED" w:rsidRDefault="00947670" w:rsidP="005B6485">
      <w:pPr>
        <w:spacing w:before="120" w:after="0" w:line="360" w:lineRule="auto"/>
        <w:rPr>
          <w:szCs w:val="22"/>
        </w:rPr>
      </w:pPr>
      <w:r w:rsidRPr="009A27ED">
        <w:rPr>
          <w:rFonts w:ascii="Times New Roman" w:eastAsia="Times New Roman" w:hAnsi="Times New Roman"/>
          <w:sz w:val="24"/>
          <w:szCs w:val="22"/>
        </w:rPr>
        <w:t xml:space="preserve">En esta misma causal, se incluye la creciente área superficial dedicada a infraestructura turística, la cual también conlleva pérdidas importantes de bosques. El impacto del turismo en la biodiversidad es considerado alto en los bosques costeros, manglares y praderas marinas, ecosistemas seriamente amenazados. La degradación ambiental en los destinos turísticos tiene múltiples causas y no puede atribuirse únicamente al turismo. El deterioro de los recursos naturales que son atribuidos directamente al modelo de desarrollo turístico del país son la fragmentación de los manglares en Macao-Cabeza de Toro (La Altagracia), del río Soco (San Pedro de Macorís) y Portillo (Samaná). En general, la contaminación y la sedimentación que se encuentran en lugares turísticos como el puerto de Samaná o el estuario de San Marcos en Puerto Plata son causadas por el desarrollo urbano en su conjunto. La destrucción de manglares en Río Dulce (La Romana) es el resultado de acciones de propietarios privados. </w:t>
      </w:r>
    </w:p>
    <w:p w14:paraId="26383199" w14:textId="0408A7A7" w:rsidR="00947670" w:rsidRPr="009A27ED" w:rsidRDefault="00947670" w:rsidP="005B6485">
      <w:pPr>
        <w:spacing w:before="120" w:after="100" w:afterAutospacing="1" w:line="360" w:lineRule="auto"/>
        <w:rPr>
          <w:szCs w:val="22"/>
        </w:rPr>
      </w:pPr>
      <w:r w:rsidRPr="009A27ED">
        <w:rPr>
          <w:rFonts w:ascii="Times New Roman" w:eastAsia="Times New Roman" w:hAnsi="Times New Roman"/>
          <w:sz w:val="24"/>
          <w:szCs w:val="22"/>
        </w:rPr>
        <w:t>El desarrollo turístico no s</w:t>
      </w:r>
      <w:r w:rsidR="000E7ACA" w:rsidRPr="009A27ED">
        <w:rPr>
          <w:rFonts w:ascii="Times New Roman" w:eastAsia="Times New Roman" w:hAnsi="Times New Roman"/>
          <w:sz w:val="24"/>
          <w:szCs w:val="22"/>
        </w:rPr>
        <w:t>ó</w:t>
      </w:r>
      <w:r w:rsidRPr="009A27ED">
        <w:rPr>
          <w:rFonts w:ascii="Times New Roman" w:eastAsia="Times New Roman" w:hAnsi="Times New Roman"/>
          <w:sz w:val="24"/>
          <w:szCs w:val="22"/>
        </w:rPr>
        <w:t>lo afecta la cobertura boscosa del país, ya que se considera que un efecto ambiental adicional atribuido al turismo es la contaminación proveniente de múltiples fuentes: materiales orgánicos en el agua (detergentes, desechos y aguas residuales), productos químicos de herbicidas y pesticidas utilizados en jardines y campos de golf, productos químicos peligrosos desechados por el desagüe, cloro en piscinas, desechos sólidos y basura, y contaminación por el uso excesivo de productos no renovables.</w:t>
      </w:r>
      <w:r w:rsidR="000E7ACA" w:rsidRPr="009A27ED">
        <w:rPr>
          <w:rFonts w:ascii="Times New Roman" w:eastAsia="Times New Roman" w:hAnsi="Times New Roman"/>
          <w:sz w:val="24"/>
          <w:szCs w:val="22"/>
        </w:rPr>
        <w:t xml:space="preserve"> </w:t>
      </w:r>
      <w:r w:rsidRPr="009A27ED">
        <w:rPr>
          <w:rFonts w:ascii="Times New Roman" w:eastAsia="Times New Roman" w:hAnsi="Times New Roman"/>
          <w:sz w:val="24"/>
          <w:szCs w:val="22"/>
        </w:rPr>
        <w:t>La estricta aplicación de la normativa existente sobre cambio de uso de suelo y una clara zonificación de uso de suelo puede contribuir de manera positiva en reducir la pérdida de cobertura boscosa a causa de la expansión de la infraestructura de tipo urbana, vial e industrial.</w:t>
      </w:r>
    </w:p>
    <w:p w14:paraId="54D381FD" w14:textId="77777777" w:rsidR="00947670" w:rsidRPr="009A27ED" w:rsidRDefault="00947670" w:rsidP="00A16DE9">
      <w:pPr>
        <w:pStyle w:val="Ttulo4"/>
        <w:spacing w:line="360" w:lineRule="auto"/>
        <w:rPr>
          <w:rFonts w:eastAsia="Calibri"/>
          <w:color w:val="000000" w:themeColor="text1"/>
          <w:lang w:eastAsia="gl"/>
        </w:rPr>
      </w:pPr>
      <w:r w:rsidRPr="009A27ED">
        <w:rPr>
          <w:rFonts w:ascii="Times New Roman" w:eastAsia="Times New Roman" w:hAnsi="Times New Roman"/>
          <w:color w:val="000000" w:themeColor="text1"/>
          <w:sz w:val="24"/>
          <w:lang w:eastAsia="gl"/>
        </w:rPr>
        <w:t>Desastres Naturales: Huracanes, sequía y deslizamientos</w:t>
      </w:r>
    </w:p>
    <w:p w14:paraId="512EA4B8" w14:textId="77777777" w:rsidR="00947670" w:rsidRPr="009A27ED" w:rsidRDefault="00947670" w:rsidP="005B6485">
      <w:pPr>
        <w:spacing w:before="120" w:after="0" w:line="360" w:lineRule="auto"/>
        <w:rPr>
          <w:i/>
          <w:szCs w:val="22"/>
        </w:rPr>
      </w:pPr>
      <w:r w:rsidRPr="009A27ED">
        <w:rPr>
          <w:rFonts w:ascii="Times New Roman" w:eastAsia="Times New Roman" w:hAnsi="Times New Roman"/>
          <w:i/>
          <w:sz w:val="24"/>
          <w:szCs w:val="22"/>
        </w:rPr>
        <w:t xml:space="preserve">Impacto: Degradación </w:t>
      </w:r>
    </w:p>
    <w:p w14:paraId="03F26FD5" w14:textId="48CE038F" w:rsidR="00947670" w:rsidRPr="009A27ED" w:rsidRDefault="00947670" w:rsidP="005B6485">
      <w:pPr>
        <w:spacing w:before="120" w:after="0" w:line="360" w:lineRule="auto"/>
        <w:rPr>
          <w:szCs w:val="22"/>
        </w:rPr>
      </w:pPr>
      <w:r w:rsidRPr="009A27ED">
        <w:rPr>
          <w:rFonts w:ascii="Times New Roman" w:eastAsia="Times New Roman" w:hAnsi="Times New Roman"/>
          <w:sz w:val="24"/>
          <w:szCs w:val="22"/>
        </w:rPr>
        <w:t xml:space="preserve">Debido a su ubicación geográfica, el país está permanentemente expuesto a huracanes y lluvias torrenciales que provocan grandes daños a la vegetación y los demás recursos asociados. Entre los años 1930 y 2007 la República Dominicana fue afectada por 8 huracanes </w:t>
      </w:r>
      <w:r w:rsidRPr="009A27ED">
        <w:rPr>
          <w:rFonts w:ascii="Times New Roman" w:eastAsia="Times New Roman" w:hAnsi="Times New Roman"/>
          <w:sz w:val="24"/>
          <w:szCs w:val="22"/>
        </w:rPr>
        <w:lastRenderedPageBreak/>
        <w:t>de alto impacto.</w:t>
      </w:r>
      <w:r w:rsidR="000E7ACA" w:rsidRPr="009A27ED">
        <w:rPr>
          <w:rFonts w:ascii="Times New Roman" w:eastAsia="Times New Roman" w:hAnsi="Times New Roman"/>
          <w:sz w:val="24"/>
          <w:szCs w:val="22"/>
        </w:rPr>
        <w:t xml:space="preserve"> </w:t>
      </w:r>
      <w:r w:rsidRPr="009A27ED">
        <w:rPr>
          <w:rFonts w:ascii="Times New Roman" w:eastAsia="Times New Roman" w:hAnsi="Times New Roman"/>
          <w:sz w:val="24"/>
          <w:szCs w:val="22"/>
        </w:rPr>
        <w:t xml:space="preserve">El daño mecánico de los fuertes vientos de los huracanes ocasiona grandes destrozos a la vegetación, provocando así degradación del bosque. De igual manera, las tormentas tropicales suelen afectar al país, dejando consigo grandes inundaciones. Asociado a esto están también los efectos de las escorrentías y deslizamientos de tierras a causa de la acción del agua.  </w:t>
      </w:r>
    </w:p>
    <w:p w14:paraId="433FA0CC" w14:textId="399474B8" w:rsidR="00947670" w:rsidRPr="009A27ED" w:rsidRDefault="00947670" w:rsidP="005B6485">
      <w:pPr>
        <w:spacing w:before="120" w:after="100" w:afterAutospacing="1" w:line="360" w:lineRule="auto"/>
        <w:rPr>
          <w:szCs w:val="22"/>
        </w:rPr>
      </w:pPr>
      <w:r w:rsidRPr="009A27ED">
        <w:rPr>
          <w:rFonts w:ascii="Times New Roman" w:eastAsia="Times New Roman" w:hAnsi="Times New Roman"/>
          <w:sz w:val="24"/>
          <w:szCs w:val="22"/>
        </w:rPr>
        <w:t>Adicionalmente, en las últimas décadas se han presenciado estaciones largas de sequía, las cuales tienden a cambiar paulatinamente el ecosistema y hábitat natural de especies endémicas, dando lugar a especies exóticas altamente invasoras que degradan el bosque.</w:t>
      </w:r>
      <w:r w:rsidR="00874197" w:rsidRPr="009A27ED">
        <w:rPr>
          <w:rFonts w:ascii="Times New Roman" w:eastAsia="Times New Roman" w:hAnsi="Times New Roman"/>
          <w:sz w:val="24"/>
          <w:szCs w:val="22"/>
        </w:rPr>
        <w:t xml:space="preserve"> </w:t>
      </w:r>
      <w:r w:rsidRPr="009A27ED">
        <w:rPr>
          <w:rFonts w:ascii="Times New Roman" w:eastAsia="Times New Roman" w:hAnsi="Times New Roman"/>
          <w:sz w:val="24"/>
          <w:szCs w:val="22"/>
        </w:rPr>
        <w:t>Los desastres naturales ocasionan la degradación del bosque, ya que afecta</w:t>
      </w:r>
      <w:r w:rsidR="000E7ACA" w:rsidRPr="009A27ED">
        <w:rPr>
          <w:rFonts w:ascii="Times New Roman" w:eastAsia="Times New Roman" w:hAnsi="Times New Roman"/>
          <w:sz w:val="24"/>
          <w:szCs w:val="22"/>
        </w:rPr>
        <w:t>n</w:t>
      </w:r>
      <w:r w:rsidRPr="009A27ED">
        <w:rPr>
          <w:rFonts w:ascii="Times New Roman" w:eastAsia="Times New Roman" w:hAnsi="Times New Roman"/>
          <w:sz w:val="24"/>
          <w:szCs w:val="22"/>
        </w:rPr>
        <w:t xml:space="preserve"> directamente la estructura y composición florística. De igual manera, las sequías propician incendios forestales en diferentes intensidades, los cuales también degradan los bosques. </w:t>
      </w:r>
    </w:p>
    <w:p w14:paraId="7B08832E" w14:textId="4D298DE1" w:rsidR="00947670" w:rsidRPr="009A27ED" w:rsidRDefault="00947670" w:rsidP="00A16DE9">
      <w:pPr>
        <w:pStyle w:val="Ttulo3"/>
        <w:spacing w:line="360" w:lineRule="auto"/>
        <w:jc w:val="both"/>
        <w:rPr>
          <w:rFonts w:asciiTheme="minorHAnsi" w:eastAsia="Calibri" w:hAnsiTheme="minorHAnsi"/>
          <w:lang w:eastAsia="gl"/>
        </w:rPr>
      </w:pPr>
      <w:bookmarkStart w:id="84" w:name="_Toc530931926"/>
      <w:bookmarkStart w:id="85" w:name="_Toc530933073"/>
      <w:bookmarkStart w:id="86" w:name="_Toc532335745"/>
      <w:bookmarkStart w:id="87" w:name="_Toc532335847"/>
      <w:bookmarkStart w:id="88" w:name="_Toc111837918"/>
      <w:r w:rsidRPr="009A27ED">
        <w:rPr>
          <w:rFonts w:asciiTheme="minorHAnsi" w:eastAsia="Times New Roman" w:hAnsiTheme="minorHAnsi"/>
          <w:sz w:val="24"/>
          <w:lang w:eastAsia="gl"/>
        </w:rPr>
        <w:t>Causas indirectas</w:t>
      </w:r>
      <w:bookmarkEnd w:id="84"/>
      <w:bookmarkEnd w:id="85"/>
      <w:bookmarkEnd w:id="86"/>
      <w:bookmarkEnd w:id="87"/>
      <w:bookmarkEnd w:id="88"/>
    </w:p>
    <w:p w14:paraId="03B33CD4" w14:textId="77777777" w:rsidR="00947670" w:rsidRPr="009A27ED" w:rsidRDefault="00947670" w:rsidP="00947670">
      <w:pPr>
        <w:widowControl w:val="0"/>
        <w:tabs>
          <w:tab w:val="left" w:pos="709"/>
        </w:tabs>
        <w:autoSpaceDE w:val="0"/>
        <w:autoSpaceDN w:val="0"/>
        <w:spacing w:before="116" w:after="0" w:line="360" w:lineRule="auto"/>
        <w:rPr>
          <w:rFonts w:eastAsia="Calibri" w:cs="Calibri"/>
          <w:szCs w:val="22"/>
          <w:lang w:eastAsia="gl"/>
        </w:rPr>
      </w:pPr>
      <w:r w:rsidRPr="009A27ED">
        <w:rPr>
          <w:rFonts w:ascii="Times New Roman" w:eastAsia="Times New Roman" w:hAnsi="Times New Roman" w:cs="Calibri"/>
          <w:sz w:val="24"/>
          <w:szCs w:val="22"/>
          <w:lang w:eastAsia="gl"/>
        </w:rPr>
        <w:t xml:space="preserve">Ciertos condicionantes sociales, económicos y ambientales potencian la DDB en la República Dominicana, estos constituyen las llamadas </w:t>
      </w:r>
      <w:r w:rsidRPr="009A27ED">
        <w:rPr>
          <w:rFonts w:ascii="Times New Roman" w:eastAsia="Times New Roman" w:hAnsi="Times New Roman" w:cs="Calibri"/>
          <w:i/>
          <w:sz w:val="24"/>
          <w:szCs w:val="22"/>
          <w:lang w:eastAsia="gl"/>
        </w:rPr>
        <w:t>causas indirectas o causas subyacentes</w:t>
      </w:r>
      <w:r w:rsidRPr="009A27ED">
        <w:rPr>
          <w:rFonts w:ascii="Times New Roman" w:eastAsia="Times New Roman" w:hAnsi="Times New Roman" w:cs="Calibri"/>
          <w:sz w:val="24"/>
          <w:szCs w:val="22"/>
          <w:lang w:eastAsia="gl"/>
        </w:rPr>
        <w:t>.</w:t>
      </w:r>
    </w:p>
    <w:p w14:paraId="7C4E05FC" w14:textId="77777777" w:rsidR="001768FA" w:rsidRPr="009A27ED" w:rsidRDefault="00947670" w:rsidP="001768FA">
      <w:pPr>
        <w:keepNext/>
        <w:widowControl w:val="0"/>
        <w:tabs>
          <w:tab w:val="left" w:pos="709"/>
        </w:tabs>
        <w:autoSpaceDE w:val="0"/>
        <w:autoSpaceDN w:val="0"/>
        <w:spacing w:before="116" w:after="0" w:line="360" w:lineRule="auto"/>
      </w:pPr>
      <w:r w:rsidRPr="009A27ED">
        <w:rPr>
          <w:rFonts w:ascii="Times New Roman" w:eastAsia="Times New Roman" w:hAnsi="Times New Roman"/>
          <w:noProof/>
          <w:sz w:val="24"/>
          <w:szCs w:val="22"/>
          <w:lang w:val="en-US"/>
        </w:rPr>
        <w:drawing>
          <wp:inline distT="0" distB="0" distL="0" distR="0" wp14:anchorId="52A5AF77" wp14:editId="39495088">
            <wp:extent cx="4600575" cy="2676641"/>
            <wp:effectExtent l="0" t="0" r="0" b="952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lum bright="-20000" contrast="40000"/>
                      <a:extLst>
                        <a:ext uri="{28A0092B-C50C-407E-A947-70E740481C1C}">
                          <a14:useLocalDpi xmlns:a14="http://schemas.microsoft.com/office/drawing/2010/main" val="0"/>
                        </a:ext>
                      </a:extLst>
                    </a:blip>
                    <a:srcRect/>
                    <a:stretch>
                      <a:fillRect/>
                    </a:stretch>
                  </pic:blipFill>
                  <pic:spPr bwMode="auto">
                    <a:xfrm>
                      <a:off x="0" y="0"/>
                      <a:ext cx="4605953" cy="2679770"/>
                    </a:xfrm>
                    <a:prstGeom prst="rect">
                      <a:avLst/>
                    </a:prstGeom>
                    <a:noFill/>
                    <a:ln>
                      <a:noFill/>
                    </a:ln>
                  </pic:spPr>
                </pic:pic>
              </a:graphicData>
            </a:graphic>
          </wp:inline>
        </w:drawing>
      </w:r>
    </w:p>
    <w:p w14:paraId="204661F0" w14:textId="5D8BDA6D" w:rsidR="009C2C9F" w:rsidRPr="009A27ED" w:rsidRDefault="001768FA" w:rsidP="001768FA">
      <w:pPr>
        <w:pStyle w:val="Descripcin"/>
        <w:spacing w:line="360" w:lineRule="auto"/>
      </w:pPr>
      <w:bookmarkStart w:id="89" w:name="_Toc111889890"/>
      <w:r w:rsidRPr="009A27ED">
        <w:rPr>
          <w:rFonts w:ascii="Times New Roman" w:eastAsia="Times New Roman" w:hAnsi="Times New Roman"/>
          <w:sz w:val="24"/>
        </w:rPr>
        <w:t xml:space="preserve">Esquema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Esquema_ \* ARABIC </w:instrText>
      </w:r>
      <w:r w:rsidRPr="009A27ED">
        <w:rPr>
          <w:rFonts w:ascii="Times New Roman" w:eastAsia="Times New Roman" w:hAnsi="Times New Roman"/>
          <w:sz w:val="24"/>
        </w:rPr>
        <w:fldChar w:fldCharType="separate"/>
      </w:r>
      <w:r w:rsidR="00703EB9" w:rsidRPr="009A27ED">
        <w:rPr>
          <w:rFonts w:ascii="Times New Roman" w:eastAsia="Times New Roman" w:hAnsi="Times New Roman"/>
          <w:noProof/>
          <w:sz w:val="24"/>
        </w:rPr>
        <w:t>2</w:t>
      </w:r>
      <w:r w:rsidRPr="009A27ED">
        <w:rPr>
          <w:rFonts w:ascii="Times New Roman" w:eastAsia="Times New Roman" w:hAnsi="Times New Roman"/>
          <w:sz w:val="24"/>
        </w:rPr>
        <w:fldChar w:fldCharType="end"/>
      </w:r>
      <w:r w:rsidRPr="009A27ED">
        <w:rPr>
          <w:rFonts w:ascii="Times New Roman" w:eastAsia="Times New Roman" w:hAnsi="Times New Roman"/>
          <w:sz w:val="24"/>
        </w:rPr>
        <w:t>. Causas indirectas o subyacentes de la deforestación y degradación de los bosques en la República Dominicana</w:t>
      </w:r>
      <w:bookmarkEnd w:id="89"/>
    </w:p>
    <w:p w14:paraId="4332BCC7" w14:textId="3E5B4198" w:rsidR="00947670" w:rsidRPr="009A27ED" w:rsidRDefault="00947670" w:rsidP="001768FA">
      <w:pPr>
        <w:widowControl w:val="0"/>
        <w:tabs>
          <w:tab w:val="left" w:pos="709"/>
        </w:tabs>
        <w:autoSpaceDE w:val="0"/>
        <w:autoSpaceDN w:val="0"/>
        <w:spacing w:before="116" w:after="0" w:line="360" w:lineRule="auto"/>
        <w:rPr>
          <w:rFonts w:eastAsia="Calibri" w:cs="Calibri"/>
          <w:b/>
          <w:color w:val="000000" w:themeColor="text1"/>
          <w:szCs w:val="22"/>
          <w:lang w:eastAsia="gl"/>
        </w:rPr>
      </w:pPr>
    </w:p>
    <w:p w14:paraId="4DF0366A" w14:textId="24971183" w:rsidR="001768FA" w:rsidRPr="009A27ED" w:rsidRDefault="001768FA" w:rsidP="001768FA">
      <w:pPr>
        <w:widowControl w:val="0"/>
        <w:tabs>
          <w:tab w:val="left" w:pos="709"/>
        </w:tabs>
        <w:autoSpaceDE w:val="0"/>
        <w:autoSpaceDN w:val="0"/>
        <w:spacing w:before="116" w:after="0" w:line="360" w:lineRule="auto"/>
        <w:rPr>
          <w:rFonts w:eastAsia="Calibri" w:cs="Calibri"/>
          <w:b/>
          <w:color w:val="000000" w:themeColor="text1"/>
          <w:szCs w:val="22"/>
          <w:lang w:eastAsia="gl"/>
        </w:rPr>
      </w:pPr>
    </w:p>
    <w:p w14:paraId="5287855D" w14:textId="26D2F227" w:rsidR="001768FA" w:rsidRPr="009A27ED" w:rsidRDefault="001768FA" w:rsidP="001768FA">
      <w:pPr>
        <w:widowControl w:val="0"/>
        <w:tabs>
          <w:tab w:val="left" w:pos="709"/>
        </w:tabs>
        <w:autoSpaceDE w:val="0"/>
        <w:autoSpaceDN w:val="0"/>
        <w:spacing w:before="116" w:after="0" w:line="360" w:lineRule="auto"/>
        <w:rPr>
          <w:rFonts w:eastAsia="Calibri" w:cs="Calibri"/>
          <w:b/>
          <w:color w:val="000000" w:themeColor="text1"/>
          <w:szCs w:val="22"/>
          <w:lang w:eastAsia="gl"/>
        </w:rPr>
      </w:pPr>
    </w:p>
    <w:p w14:paraId="05A09006" w14:textId="03AE8E0C" w:rsidR="001768FA" w:rsidRPr="009A27ED" w:rsidRDefault="001768FA" w:rsidP="001768FA">
      <w:pPr>
        <w:widowControl w:val="0"/>
        <w:tabs>
          <w:tab w:val="left" w:pos="709"/>
        </w:tabs>
        <w:autoSpaceDE w:val="0"/>
        <w:autoSpaceDN w:val="0"/>
        <w:spacing w:before="116" w:after="0" w:line="360" w:lineRule="auto"/>
        <w:rPr>
          <w:rFonts w:eastAsia="Calibri" w:cs="Calibri"/>
          <w:b/>
          <w:color w:val="000000" w:themeColor="text1"/>
          <w:szCs w:val="22"/>
          <w:lang w:eastAsia="gl"/>
        </w:rPr>
      </w:pPr>
    </w:p>
    <w:p w14:paraId="5A8C1FB9" w14:textId="77777777" w:rsidR="001768FA" w:rsidRPr="009A27ED" w:rsidRDefault="001768FA" w:rsidP="001768FA">
      <w:pPr>
        <w:widowControl w:val="0"/>
        <w:tabs>
          <w:tab w:val="left" w:pos="709"/>
        </w:tabs>
        <w:autoSpaceDE w:val="0"/>
        <w:autoSpaceDN w:val="0"/>
        <w:spacing w:before="116" w:after="0" w:line="360" w:lineRule="auto"/>
        <w:rPr>
          <w:rFonts w:eastAsia="Calibri" w:cs="Calibri"/>
          <w:b/>
          <w:color w:val="000000" w:themeColor="text1"/>
          <w:szCs w:val="22"/>
          <w:lang w:eastAsia="gl"/>
        </w:rPr>
      </w:pPr>
    </w:p>
    <w:p w14:paraId="0C80FC55" w14:textId="77777777" w:rsidR="00947670" w:rsidRPr="009A27ED" w:rsidRDefault="00947670" w:rsidP="00045DE5">
      <w:pPr>
        <w:pStyle w:val="Ttulo4"/>
        <w:spacing w:line="360" w:lineRule="auto"/>
        <w:rPr>
          <w:rFonts w:eastAsia="Calibri"/>
          <w:color w:val="000000" w:themeColor="text1"/>
          <w:lang w:eastAsia="gl"/>
        </w:rPr>
      </w:pPr>
      <w:r w:rsidRPr="009A27ED">
        <w:rPr>
          <w:rFonts w:ascii="Times New Roman" w:eastAsia="Times New Roman" w:hAnsi="Times New Roman"/>
          <w:color w:val="000000" w:themeColor="text1"/>
          <w:sz w:val="24"/>
          <w:lang w:eastAsia="gl"/>
        </w:rPr>
        <w:t>Crecimiento demográfico</w:t>
      </w:r>
    </w:p>
    <w:p w14:paraId="4B5CFAC8" w14:textId="77777777" w:rsidR="00947670" w:rsidRPr="009A27ED" w:rsidRDefault="00947670" w:rsidP="005B6485">
      <w:pPr>
        <w:spacing w:before="120" w:after="0" w:line="360" w:lineRule="auto"/>
        <w:rPr>
          <w:szCs w:val="22"/>
          <w:lang w:eastAsia="gl"/>
        </w:rPr>
      </w:pPr>
      <w:r w:rsidRPr="009A27ED">
        <w:rPr>
          <w:rFonts w:ascii="Times New Roman" w:eastAsia="Times New Roman" w:hAnsi="Times New Roman"/>
          <w:sz w:val="24"/>
          <w:szCs w:val="22"/>
          <w:lang w:eastAsia="gl"/>
        </w:rPr>
        <w:t>Una de las condiciones facilitadoras fundamentales en el problema de la deforestación y degradación de los bosques es el crecimiento demográfico. La población total de la República Dominicana aumentó de 3 millones en 1960 a más de 9 millones en el 2011. En este período la tasa de crecimiento ha sido de 1.4% anual, por lo que se proyecta una población de unos 11 millones para el 2020.</w:t>
      </w:r>
    </w:p>
    <w:p w14:paraId="2B442F9F" w14:textId="65319789" w:rsidR="00947670" w:rsidRPr="009A27ED" w:rsidRDefault="00947670" w:rsidP="005B6485">
      <w:pPr>
        <w:spacing w:before="120" w:after="100" w:afterAutospacing="1" w:line="360" w:lineRule="auto"/>
        <w:rPr>
          <w:lang w:eastAsia="gl"/>
        </w:rPr>
      </w:pPr>
      <w:r w:rsidRPr="009A27ED">
        <w:rPr>
          <w:rFonts w:ascii="Times New Roman" w:eastAsia="Times New Roman" w:hAnsi="Times New Roman"/>
          <w:sz w:val="24"/>
          <w:szCs w:val="22"/>
          <w:lang w:eastAsia="gl"/>
        </w:rPr>
        <w:t>El analfabetismo rural limita aún más las opciones de muchos ciudadanos, pues carecen de la educación básica necesaria</w:t>
      </w:r>
      <w:r w:rsidRPr="009A27ED">
        <w:rPr>
          <w:rFonts w:ascii="Times New Roman" w:eastAsia="Times New Roman" w:hAnsi="Times New Roman"/>
          <w:b/>
          <w:sz w:val="24"/>
          <w:szCs w:val="22"/>
          <w:lang w:eastAsia="gl"/>
        </w:rPr>
        <w:t xml:space="preserve"> </w:t>
      </w:r>
      <w:r w:rsidRPr="009A27ED">
        <w:rPr>
          <w:rFonts w:ascii="Times New Roman" w:eastAsia="Times New Roman" w:hAnsi="Times New Roman"/>
          <w:sz w:val="24"/>
          <w:szCs w:val="22"/>
          <w:lang w:eastAsia="gl"/>
        </w:rPr>
        <w:t>para llevar a cabo otras alternativas económicas a la agricultura de subsistencia. Con pocas alternativas</w:t>
      </w:r>
      <w:r w:rsidRPr="009A27ED">
        <w:rPr>
          <w:rFonts w:ascii="Times New Roman" w:eastAsia="Times New Roman" w:hAnsi="Times New Roman"/>
          <w:b/>
          <w:sz w:val="24"/>
          <w:szCs w:val="22"/>
          <w:lang w:eastAsia="gl"/>
        </w:rPr>
        <w:t xml:space="preserve"> </w:t>
      </w:r>
      <w:r w:rsidRPr="009A27ED">
        <w:rPr>
          <w:rFonts w:ascii="Times New Roman" w:eastAsia="Times New Roman" w:hAnsi="Times New Roman"/>
          <w:sz w:val="24"/>
          <w:szCs w:val="22"/>
          <w:lang w:eastAsia="gl"/>
        </w:rPr>
        <w:t>disponibles, los pobres de las zonas rurales consideran la eliminación de los bosques como la solución a corto plazo de sus problemas económicos.</w:t>
      </w:r>
    </w:p>
    <w:p w14:paraId="71E3AD1E" w14:textId="77777777" w:rsidR="00947670" w:rsidRPr="009A27ED" w:rsidRDefault="00947670" w:rsidP="00045DE5">
      <w:pPr>
        <w:pStyle w:val="Ttulo4"/>
        <w:spacing w:line="360" w:lineRule="auto"/>
        <w:rPr>
          <w:rFonts w:eastAsia="Calibri"/>
          <w:color w:val="000000" w:themeColor="text1"/>
          <w:lang w:eastAsia="gl"/>
        </w:rPr>
      </w:pPr>
      <w:r w:rsidRPr="009A27ED">
        <w:rPr>
          <w:rFonts w:ascii="Times New Roman" w:eastAsia="Times New Roman" w:hAnsi="Times New Roman"/>
          <w:color w:val="000000" w:themeColor="text1"/>
          <w:sz w:val="24"/>
          <w:lang w:eastAsia="gl"/>
        </w:rPr>
        <w:t>Pobreza e inequidad social</w:t>
      </w:r>
    </w:p>
    <w:p w14:paraId="1C3AEC5E" w14:textId="2C357F6B" w:rsidR="00947670" w:rsidRPr="009A27ED" w:rsidRDefault="00947670" w:rsidP="005B6485">
      <w:pPr>
        <w:spacing w:before="120" w:after="100" w:afterAutospacing="1" w:line="360" w:lineRule="auto"/>
        <w:rPr>
          <w:szCs w:val="22"/>
          <w:lang w:eastAsia="gl"/>
        </w:rPr>
      </w:pPr>
      <w:r w:rsidRPr="009A27ED">
        <w:rPr>
          <w:rFonts w:ascii="Times New Roman" w:eastAsia="Times New Roman" w:hAnsi="Times New Roman"/>
          <w:sz w:val="24"/>
          <w:szCs w:val="22"/>
          <w:lang w:eastAsia="gl"/>
        </w:rPr>
        <w:t xml:space="preserve">Otra condición favorable a la deforestación es la pobreza, especialmente en las áreas rurales. La pobreza limita las opciones económicas, reduce las oportunidades que generan ingresos y es una causa subyacente de la deforestación. El empleo limitado y bajos ingresos junto a la presión demográfica contribuyen a la deforestación, debido a que las personas en busca de trabajo tienen que elegir entre emigrar o dedicarse a las actividades agrícolas o al aprovechamiento de los recursos del bosque. La gente que vive en situación de pobreza no sólo padece de </w:t>
      </w:r>
      <w:r w:rsidR="00020454" w:rsidRPr="009A27ED">
        <w:rPr>
          <w:rFonts w:ascii="Times New Roman" w:eastAsia="Times New Roman" w:hAnsi="Times New Roman"/>
          <w:sz w:val="24"/>
          <w:szCs w:val="22"/>
          <w:lang w:eastAsia="gl"/>
        </w:rPr>
        <w:t xml:space="preserve">falta de </w:t>
      </w:r>
      <w:r w:rsidRPr="009A27ED">
        <w:rPr>
          <w:rFonts w:ascii="Times New Roman" w:eastAsia="Times New Roman" w:hAnsi="Times New Roman"/>
          <w:sz w:val="24"/>
          <w:szCs w:val="22"/>
          <w:lang w:eastAsia="gl"/>
        </w:rPr>
        <w:t>ingresos, sino que sufre además de una serie de carencias, tales como condiciones inadecuadas de salud y educación, desempleo y exclusión social.</w:t>
      </w:r>
    </w:p>
    <w:p w14:paraId="1B8A99A2" w14:textId="77777777" w:rsidR="00947670" w:rsidRPr="009A27ED" w:rsidRDefault="00947670" w:rsidP="00045DE5">
      <w:pPr>
        <w:pStyle w:val="Ttulo4"/>
        <w:spacing w:line="360" w:lineRule="auto"/>
        <w:rPr>
          <w:rFonts w:eastAsia="Calibri"/>
          <w:color w:val="000000" w:themeColor="text1"/>
          <w:lang w:eastAsia="gl"/>
        </w:rPr>
      </w:pPr>
      <w:r w:rsidRPr="009A27ED">
        <w:rPr>
          <w:rFonts w:ascii="Times New Roman" w:eastAsia="Times New Roman" w:hAnsi="Times New Roman"/>
          <w:color w:val="000000" w:themeColor="text1"/>
          <w:sz w:val="24"/>
          <w:lang w:eastAsia="gl"/>
        </w:rPr>
        <w:t>Tenencia de la tierra</w:t>
      </w:r>
    </w:p>
    <w:p w14:paraId="19DCCB27" w14:textId="77777777" w:rsidR="009075E5" w:rsidRPr="009A27ED" w:rsidRDefault="009075E5" w:rsidP="00856730">
      <w:pPr>
        <w:spacing w:after="0" w:line="360" w:lineRule="auto"/>
        <w:rPr>
          <w:b/>
          <w:szCs w:val="22"/>
        </w:rPr>
      </w:pPr>
    </w:p>
    <w:p w14:paraId="0366B547" w14:textId="6AEC7B97" w:rsidR="00856730" w:rsidRPr="009A27ED" w:rsidRDefault="00856730" w:rsidP="00E67CB0">
      <w:pPr>
        <w:pStyle w:val="Prrafodelista"/>
        <w:numPr>
          <w:ilvl w:val="0"/>
          <w:numId w:val="294"/>
        </w:numPr>
        <w:spacing w:after="0" w:line="360" w:lineRule="auto"/>
        <w:rPr>
          <w:b/>
          <w:szCs w:val="22"/>
        </w:rPr>
      </w:pPr>
      <w:r w:rsidRPr="009A27ED">
        <w:rPr>
          <w:rFonts w:ascii="Times New Roman" w:eastAsia="Times New Roman" w:hAnsi="Times New Roman"/>
          <w:b/>
          <w:sz w:val="24"/>
          <w:szCs w:val="22"/>
        </w:rPr>
        <w:t xml:space="preserve">Formas de </w:t>
      </w:r>
      <w:r w:rsidR="00AE5AF2" w:rsidRPr="009A27ED">
        <w:rPr>
          <w:rFonts w:ascii="Times New Roman" w:eastAsia="Times New Roman" w:hAnsi="Times New Roman"/>
          <w:b/>
          <w:sz w:val="24"/>
          <w:szCs w:val="22"/>
        </w:rPr>
        <w:t>t</w:t>
      </w:r>
      <w:r w:rsidRPr="009A27ED">
        <w:rPr>
          <w:rFonts w:ascii="Times New Roman" w:eastAsia="Times New Roman" w:hAnsi="Times New Roman"/>
          <w:b/>
          <w:sz w:val="24"/>
          <w:szCs w:val="22"/>
        </w:rPr>
        <w:t>enencia de la tierra</w:t>
      </w:r>
    </w:p>
    <w:p w14:paraId="14BBEF70" w14:textId="77777777" w:rsidR="006A73FA" w:rsidRPr="009A27ED" w:rsidRDefault="006A73FA" w:rsidP="00856730">
      <w:pPr>
        <w:spacing w:after="0" w:line="360" w:lineRule="auto"/>
        <w:rPr>
          <w:b/>
          <w:szCs w:val="22"/>
        </w:rPr>
      </w:pPr>
    </w:p>
    <w:p w14:paraId="70FAE0AE" w14:textId="2F19E77E" w:rsidR="00856730" w:rsidRPr="009A27ED" w:rsidRDefault="00856730" w:rsidP="00DC0AAC">
      <w:pPr>
        <w:spacing w:after="100" w:afterAutospacing="1" w:line="360" w:lineRule="auto"/>
        <w:rPr>
          <w:szCs w:val="22"/>
        </w:rPr>
      </w:pPr>
      <w:r w:rsidRPr="009A27ED">
        <w:rPr>
          <w:rFonts w:ascii="Times New Roman" w:eastAsia="Times New Roman" w:hAnsi="Times New Roman"/>
          <w:sz w:val="24"/>
          <w:szCs w:val="22"/>
        </w:rPr>
        <w:lastRenderedPageBreak/>
        <w:t xml:space="preserve">En República Dominicana, las tierras son de propiedad de particulares (personas físicas o morales de carácter privado) o propiedad del Estado. </w:t>
      </w:r>
      <w:r w:rsidR="00914563" w:rsidRPr="009A27ED">
        <w:rPr>
          <w:rFonts w:ascii="Times New Roman" w:eastAsia="Times New Roman" w:hAnsi="Times New Roman"/>
          <w:sz w:val="24"/>
          <w:szCs w:val="22"/>
        </w:rPr>
        <w:t>Se consideran d</w:t>
      </w:r>
      <w:r w:rsidRPr="009A27ED">
        <w:rPr>
          <w:rFonts w:ascii="Times New Roman" w:eastAsia="Times New Roman" w:hAnsi="Times New Roman"/>
          <w:sz w:val="24"/>
          <w:szCs w:val="22"/>
        </w:rPr>
        <w:t>e particulares, cuando se les ha reconocido legalmente un derecho de propiedad y han inscrito ese derecho en el Registro de Títulos correspondiente, quien a su vez emite un certificado que avala dicho registro, luego de haber agotado los procedimientos establecidos por la Ley No. 108-05 de Registro Inmobiliario</w:t>
      </w:r>
      <w:r w:rsidRPr="009A27ED">
        <w:rPr>
          <w:rStyle w:val="Refdenotaalpie"/>
          <w:rFonts w:asciiTheme="minorHAnsi" w:eastAsia="Times New Roman" w:hAnsiTheme="minorHAnsi"/>
          <w:sz w:val="24"/>
          <w:szCs w:val="22"/>
        </w:rPr>
        <w:footnoteReference w:id="23"/>
      </w:r>
      <w:r w:rsidRPr="009A27ED">
        <w:rPr>
          <w:rFonts w:ascii="Times New Roman" w:eastAsia="Times New Roman" w:hAnsi="Times New Roman"/>
          <w:sz w:val="24"/>
          <w:szCs w:val="22"/>
        </w:rPr>
        <w:t>.</w:t>
      </w:r>
      <w:r w:rsidR="00914563" w:rsidRPr="009A27ED">
        <w:rPr>
          <w:rFonts w:ascii="Times New Roman" w:eastAsia="Times New Roman" w:hAnsi="Times New Roman"/>
          <w:sz w:val="24"/>
          <w:szCs w:val="22"/>
        </w:rPr>
        <w:t xml:space="preserve">O por derecho al usufruto </w:t>
      </w:r>
      <w:r w:rsidRPr="009A27ED">
        <w:rPr>
          <w:rFonts w:ascii="Times New Roman" w:eastAsia="Times New Roman" w:hAnsi="Times New Roman"/>
          <w:sz w:val="24"/>
          <w:szCs w:val="22"/>
        </w:rPr>
        <w:t xml:space="preserve"> En el segundo caso, las tierras son propiedad del Estado, ya que este es el propietario originario de todas las tierras, tal como lo establece el Principio III de la citada ley de Registro Inmobiliario, o porque las ha obtenido por el procedimiento de expropiación por causa de utilidad pública, previsto en la Ley No. 344 de 1943 sobre Expropiaciones y sus modificaciones</w:t>
      </w:r>
      <w:r w:rsidRPr="009A27ED">
        <w:rPr>
          <w:rStyle w:val="Refdenotaalpie"/>
          <w:rFonts w:asciiTheme="minorHAnsi" w:eastAsia="Times New Roman" w:hAnsiTheme="minorHAnsi"/>
          <w:sz w:val="24"/>
          <w:szCs w:val="22"/>
        </w:rPr>
        <w:footnoteReference w:id="24"/>
      </w:r>
      <w:r w:rsidRPr="009A27ED">
        <w:rPr>
          <w:rFonts w:ascii="Times New Roman" w:eastAsia="Times New Roman" w:hAnsi="Times New Roman"/>
          <w:sz w:val="24"/>
          <w:szCs w:val="22"/>
        </w:rPr>
        <w:t xml:space="preserve">. </w:t>
      </w:r>
    </w:p>
    <w:p w14:paraId="4EBA3B04" w14:textId="755ACBA6" w:rsidR="00856730" w:rsidRPr="009A27ED" w:rsidRDefault="00856730" w:rsidP="00E67CB0">
      <w:pPr>
        <w:pStyle w:val="Prrafodelista"/>
        <w:numPr>
          <w:ilvl w:val="0"/>
          <w:numId w:val="294"/>
        </w:numPr>
        <w:spacing w:after="0" w:line="360" w:lineRule="auto"/>
        <w:rPr>
          <w:b/>
          <w:szCs w:val="22"/>
        </w:rPr>
      </w:pPr>
      <w:r w:rsidRPr="009A27ED">
        <w:rPr>
          <w:rFonts w:ascii="Times New Roman" w:eastAsia="Times New Roman" w:hAnsi="Times New Roman"/>
          <w:b/>
          <w:sz w:val="24"/>
          <w:szCs w:val="22"/>
        </w:rPr>
        <w:t>Aspectos legales de las distintas formas de tenencia de la tierra</w:t>
      </w:r>
    </w:p>
    <w:p w14:paraId="3EEE5EC6" w14:textId="56B2B4CF" w:rsidR="00856730" w:rsidRPr="009A27ED" w:rsidRDefault="00D34CEA" w:rsidP="00DC0AAC">
      <w:pPr>
        <w:spacing w:before="120" w:after="0" w:line="360" w:lineRule="auto"/>
        <w:rPr>
          <w:szCs w:val="22"/>
        </w:rPr>
      </w:pPr>
      <w:r w:rsidRPr="009A27ED">
        <w:rPr>
          <w:rFonts w:ascii="Times New Roman" w:eastAsia="Times New Roman" w:hAnsi="Times New Roman"/>
          <w:sz w:val="24"/>
          <w:szCs w:val="22"/>
        </w:rPr>
        <w:t>El</w:t>
      </w:r>
      <w:r w:rsidR="00856730" w:rsidRPr="009A27ED">
        <w:rPr>
          <w:rFonts w:ascii="Times New Roman" w:eastAsia="Times New Roman" w:hAnsi="Times New Roman"/>
          <w:sz w:val="24"/>
          <w:szCs w:val="22"/>
        </w:rPr>
        <w:t xml:space="preserve"> ordenamiento jurídico </w:t>
      </w:r>
      <w:r w:rsidRPr="009A27ED">
        <w:rPr>
          <w:rFonts w:ascii="Times New Roman" w:eastAsia="Times New Roman" w:hAnsi="Times New Roman"/>
          <w:sz w:val="24"/>
          <w:szCs w:val="22"/>
        </w:rPr>
        <w:t xml:space="preserve">de República </w:t>
      </w:r>
      <w:proofErr w:type="gramStart"/>
      <w:r w:rsidRPr="009A27ED">
        <w:rPr>
          <w:rFonts w:ascii="Times New Roman" w:eastAsia="Times New Roman" w:hAnsi="Times New Roman"/>
          <w:sz w:val="24"/>
          <w:szCs w:val="22"/>
        </w:rPr>
        <w:t>Dominicana,</w:t>
      </w:r>
      <w:proofErr w:type="gramEnd"/>
      <w:r w:rsidRPr="009A27ED">
        <w:rPr>
          <w:rFonts w:ascii="Times New Roman" w:eastAsia="Times New Roman" w:hAnsi="Times New Roman"/>
          <w:sz w:val="24"/>
          <w:szCs w:val="22"/>
        </w:rPr>
        <w:t xml:space="preserve"> </w:t>
      </w:r>
      <w:r w:rsidR="00856730" w:rsidRPr="009A27ED">
        <w:rPr>
          <w:rFonts w:ascii="Times New Roman" w:eastAsia="Times New Roman" w:hAnsi="Times New Roman"/>
          <w:sz w:val="24"/>
          <w:szCs w:val="22"/>
        </w:rPr>
        <w:t>reconoce el derecho de propiedad privada y plantea el acceso a la tenencia de la tierra bajo diferentes modalidades. En este sentido, el Código Civil dominicano define la propiedad en el artículo 544, como el “</w:t>
      </w:r>
      <w:r w:rsidR="00856730" w:rsidRPr="009A27ED">
        <w:rPr>
          <w:rFonts w:ascii="Times New Roman" w:eastAsia="Times New Roman" w:hAnsi="Times New Roman"/>
          <w:i/>
          <w:sz w:val="24"/>
          <w:szCs w:val="22"/>
        </w:rPr>
        <w:t>derecho de gozar y disponer de las cosas del modo más absoluto, con tal de que no se haga de ellas un uso prohibido por las leyes y reglamentos</w:t>
      </w:r>
      <w:r w:rsidR="00856730" w:rsidRPr="009A27ED">
        <w:rPr>
          <w:rFonts w:ascii="Times New Roman" w:eastAsia="Times New Roman" w:hAnsi="Times New Roman"/>
          <w:sz w:val="24"/>
          <w:szCs w:val="22"/>
        </w:rPr>
        <w:t>”</w:t>
      </w:r>
      <w:r w:rsidR="00856730" w:rsidRPr="009A27ED">
        <w:rPr>
          <w:rStyle w:val="Refdenotaalpie"/>
          <w:rFonts w:asciiTheme="minorHAnsi" w:eastAsia="Times New Roman" w:hAnsiTheme="minorHAnsi"/>
          <w:sz w:val="24"/>
          <w:szCs w:val="22"/>
        </w:rPr>
        <w:footnoteReference w:id="25"/>
      </w:r>
      <w:r w:rsidR="00856730" w:rsidRPr="009A27ED">
        <w:rPr>
          <w:rFonts w:ascii="Times New Roman" w:eastAsia="Times New Roman" w:hAnsi="Times New Roman"/>
          <w:sz w:val="24"/>
          <w:szCs w:val="22"/>
        </w:rPr>
        <w:t xml:space="preserve">. </w:t>
      </w:r>
    </w:p>
    <w:p w14:paraId="50BA4CCC" w14:textId="77777777" w:rsidR="00856730" w:rsidRPr="009A27ED" w:rsidRDefault="00856730" w:rsidP="006E0196">
      <w:pPr>
        <w:spacing w:before="120" w:after="0" w:line="360" w:lineRule="auto"/>
        <w:rPr>
          <w:i/>
          <w:iCs/>
          <w:szCs w:val="22"/>
        </w:rPr>
      </w:pPr>
      <w:r w:rsidRPr="009A27ED">
        <w:rPr>
          <w:rFonts w:ascii="Times New Roman" w:eastAsia="Times New Roman" w:hAnsi="Times New Roman"/>
          <w:sz w:val="24"/>
          <w:szCs w:val="22"/>
        </w:rPr>
        <w:t>Del mismo modo, el derecho a la propiedad inmobiliaria representa una garantía constitucional, amparada en el texto de nuestra Ley sustantiva como un derecho fundamental en su artículo No. 51 estableciendo que: “</w:t>
      </w:r>
      <w:r w:rsidRPr="009A27ED">
        <w:rPr>
          <w:rFonts w:ascii="Times New Roman" w:eastAsia="Times New Roman" w:hAnsi="Times New Roman"/>
          <w:i/>
          <w:sz w:val="24"/>
          <w:szCs w:val="22"/>
        </w:rPr>
        <w:t xml:space="preserve">El Estado reconoce y garantiza el derecho de propiedad. La propiedad tiene una función social que implica obligaciones. Toda persona tiene derecho al goce, disfrute y disposición de sus bienes. </w:t>
      </w:r>
      <w:r w:rsidRPr="009A27ED">
        <w:rPr>
          <w:rFonts w:ascii="Times New Roman" w:eastAsia="Times New Roman" w:hAnsi="Times New Roman"/>
          <w:i/>
          <w:iCs/>
          <w:sz w:val="24"/>
          <w:szCs w:val="22"/>
        </w:rPr>
        <w:t xml:space="preserve">1) Ninguna persona puede ser privada de su propiedad, sino por causa justificada de utilidad pública o de interés social, previo pago de su justo valor, determinado por acuerdo entre las partes o sentencia de tribunal competente, de conformidad con lo establecido en la ley. En caso de declaratoria de Estado de Emergencia o de Defensa, la indemnización podrá no ser previa; 2) El Estado promoverá, de acuerdo con la ley, el acceso a la propiedad, en especial a la propiedad </w:t>
      </w:r>
      <w:r w:rsidRPr="009A27ED">
        <w:rPr>
          <w:rFonts w:ascii="Times New Roman" w:eastAsia="Times New Roman" w:hAnsi="Times New Roman"/>
          <w:i/>
          <w:iCs/>
          <w:sz w:val="24"/>
          <w:szCs w:val="22"/>
        </w:rPr>
        <w:lastRenderedPageBreak/>
        <w:t>inmobiliaria titulada; 3) Se declara de interés social la dedicación de la tierra a fines útiles y la eliminación gradual del latifundio. Es un objetivo principal de la política social del Estado, promover la reforma agraria y la integración de forma efectiva de la población campesina al proceso de desarrollo nacional, mediante el estímulo y la cooperación para la renovación de sus métodos de producción agrícola y su capacitación tecnológica; 4) No habrá confiscación por razones políticas de los bienes de las personas físicas o jurídicas; 5) Sólo podrán ser objeto de confiscación o decomiso, mediante sentencia definitiva, los bienes de personas físicas o jurídicas, nacionales o extranjeras, que tengan su origen en actos ilícitos cometidos contra el patrimonio público, así como los utilizados o provenientes de actividades de tráfico ilícito de estupefacientes y sustancias psicotrópicas o relativas a la delincuencia transnacional organizada y de toda infracción prevista en las leyes penales; 6) La ley establecerá el régimen de administración y disposición de bienes incautados y abandonados en los procesos penales y en los juicios de extinción de dominio, previstos en el ordenamiento jurídico”</w:t>
      </w:r>
      <w:r w:rsidRPr="009A27ED">
        <w:rPr>
          <w:rStyle w:val="Refdenotaalpie"/>
          <w:rFonts w:asciiTheme="minorHAnsi" w:eastAsia="Times New Roman" w:hAnsiTheme="minorHAnsi"/>
          <w:i/>
          <w:iCs/>
          <w:sz w:val="24"/>
          <w:szCs w:val="22"/>
        </w:rPr>
        <w:footnoteReference w:id="26"/>
      </w:r>
      <w:r w:rsidRPr="009A27ED">
        <w:rPr>
          <w:rFonts w:ascii="Times New Roman" w:eastAsia="Times New Roman" w:hAnsi="Times New Roman"/>
          <w:i/>
          <w:iCs/>
          <w:sz w:val="24"/>
          <w:szCs w:val="22"/>
        </w:rPr>
        <w:t>.</w:t>
      </w:r>
    </w:p>
    <w:p w14:paraId="0D125D41" w14:textId="243B3987" w:rsidR="00856730" w:rsidRPr="009A27ED" w:rsidRDefault="00856730" w:rsidP="006E0196">
      <w:pPr>
        <w:autoSpaceDE w:val="0"/>
        <w:autoSpaceDN w:val="0"/>
        <w:adjustRightInd w:val="0"/>
        <w:spacing w:before="120" w:after="0" w:line="360" w:lineRule="auto"/>
        <w:rPr>
          <w:szCs w:val="22"/>
        </w:rPr>
      </w:pPr>
      <w:r w:rsidRPr="009A27ED">
        <w:rPr>
          <w:rFonts w:ascii="Times New Roman" w:eastAsia="Times New Roman" w:hAnsi="Times New Roman"/>
          <w:sz w:val="24"/>
          <w:szCs w:val="22"/>
        </w:rPr>
        <w:t xml:space="preserve">De acuerdo con la clasificación de los derechos reales establecida por </w:t>
      </w:r>
      <w:r w:rsidR="00D34CEA" w:rsidRPr="009A27ED">
        <w:rPr>
          <w:rFonts w:ascii="Times New Roman" w:eastAsia="Times New Roman" w:hAnsi="Times New Roman"/>
          <w:sz w:val="24"/>
          <w:szCs w:val="22"/>
        </w:rPr>
        <w:t>la</w:t>
      </w:r>
      <w:r w:rsidRPr="009A27ED">
        <w:rPr>
          <w:rFonts w:ascii="Times New Roman" w:eastAsia="Times New Roman" w:hAnsi="Times New Roman"/>
          <w:sz w:val="24"/>
          <w:szCs w:val="22"/>
        </w:rPr>
        <w:t xml:space="preserve"> legislación</w:t>
      </w:r>
      <w:r w:rsidR="00D34CEA" w:rsidRPr="009A27ED">
        <w:rPr>
          <w:rFonts w:ascii="Times New Roman" w:eastAsia="Times New Roman" w:hAnsi="Times New Roman"/>
          <w:sz w:val="24"/>
          <w:szCs w:val="22"/>
        </w:rPr>
        <w:t xml:space="preserve"> dominicana</w:t>
      </w:r>
      <w:r w:rsidRPr="009A27ED">
        <w:rPr>
          <w:rFonts w:ascii="Times New Roman" w:eastAsia="Times New Roman" w:hAnsi="Times New Roman"/>
          <w:sz w:val="24"/>
          <w:szCs w:val="22"/>
        </w:rPr>
        <w:t>, el derecho de propiedad y sus desmembraciones constituye un derecho real principal, siendo las desmembraciones de este derecho real las siguientes: El usufructo, el uso, habitación, las servidumbres reales, y las enfiteusis, cuyas características vemos a continuación:</w:t>
      </w:r>
    </w:p>
    <w:p w14:paraId="7BACBA8D" w14:textId="77777777" w:rsidR="00856730" w:rsidRPr="009A27ED" w:rsidRDefault="00856730" w:rsidP="006A73FA">
      <w:pPr>
        <w:autoSpaceDE w:val="0"/>
        <w:autoSpaceDN w:val="0"/>
        <w:adjustRightInd w:val="0"/>
        <w:spacing w:before="120" w:after="0" w:line="360" w:lineRule="auto"/>
        <w:rPr>
          <w:szCs w:val="22"/>
        </w:rPr>
      </w:pPr>
      <w:r w:rsidRPr="009A27ED">
        <w:rPr>
          <w:rFonts w:ascii="Times New Roman" w:eastAsia="Times New Roman" w:hAnsi="Times New Roman"/>
          <w:bCs/>
          <w:sz w:val="24"/>
          <w:szCs w:val="22"/>
        </w:rPr>
        <w:t xml:space="preserve">a) </w:t>
      </w:r>
      <w:r w:rsidRPr="009A27ED">
        <w:rPr>
          <w:rFonts w:ascii="Times New Roman" w:eastAsia="Times New Roman" w:hAnsi="Times New Roman"/>
          <w:bCs/>
          <w:sz w:val="24"/>
          <w:szCs w:val="22"/>
          <w:u w:val="single"/>
        </w:rPr>
        <w:t>El usufructo</w:t>
      </w:r>
      <w:r w:rsidRPr="009A27ED">
        <w:rPr>
          <w:rFonts w:ascii="Times New Roman" w:eastAsia="Times New Roman" w:hAnsi="Times New Roman"/>
          <w:bCs/>
          <w:sz w:val="24"/>
          <w:szCs w:val="22"/>
        </w:rPr>
        <w:t>:</w:t>
      </w:r>
      <w:r w:rsidRPr="009A27ED">
        <w:rPr>
          <w:rFonts w:ascii="Times New Roman" w:eastAsia="Times New Roman" w:hAnsi="Times New Roman"/>
          <w:b/>
          <w:bCs/>
          <w:sz w:val="24"/>
          <w:szCs w:val="22"/>
        </w:rPr>
        <w:t xml:space="preserve"> </w:t>
      </w:r>
      <w:r w:rsidRPr="009A27ED">
        <w:rPr>
          <w:rFonts w:ascii="Times New Roman" w:eastAsia="Times New Roman" w:hAnsi="Times New Roman"/>
          <w:sz w:val="24"/>
          <w:szCs w:val="22"/>
        </w:rPr>
        <w:t>El artículo 578 del Código Civil dominicano establece que “</w:t>
      </w:r>
      <w:r w:rsidRPr="009A27ED">
        <w:rPr>
          <w:rFonts w:ascii="Times New Roman" w:eastAsia="Times New Roman" w:hAnsi="Times New Roman"/>
          <w:i/>
          <w:iCs/>
          <w:sz w:val="24"/>
          <w:szCs w:val="22"/>
        </w:rPr>
        <w:t>el usufructo es el derecho de gozar de cosas cuya propiedad pertenece a otro, como este mismo, pero conservando la sustancia de aquellas</w:t>
      </w:r>
      <w:r w:rsidRPr="009A27ED">
        <w:rPr>
          <w:rFonts w:ascii="Times New Roman" w:eastAsia="Times New Roman" w:hAnsi="Times New Roman"/>
          <w:sz w:val="24"/>
          <w:szCs w:val="22"/>
        </w:rPr>
        <w:t>”</w:t>
      </w:r>
      <w:r w:rsidRPr="009A27ED">
        <w:rPr>
          <w:rStyle w:val="Refdenotaalpie"/>
          <w:rFonts w:asciiTheme="minorHAnsi" w:eastAsia="Times New Roman" w:hAnsiTheme="minorHAnsi"/>
          <w:sz w:val="24"/>
          <w:szCs w:val="22"/>
        </w:rPr>
        <w:footnoteReference w:id="27"/>
      </w:r>
      <w:r w:rsidRPr="009A27ED">
        <w:rPr>
          <w:rFonts w:ascii="Times New Roman" w:eastAsia="Times New Roman" w:hAnsi="Times New Roman"/>
          <w:sz w:val="24"/>
          <w:szCs w:val="22"/>
        </w:rPr>
        <w:t>. Es decir, que el usufructo es un derecho real temporal que otorga al usufructuario el goce y disfrute del inmueble, mientras que el nudo propietario conserva la propiedad de la cosa u objeto de esta convención.</w:t>
      </w:r>
    </w:p>
    <w:p w14:paraId="6BE65F1A" w14:textId="77777777" w:rsidR="00856730" w:rsidRPr="009A27ED" w:rsidRDefault="00856730" w:rsidP="006A73FA">
      <w:pPr>
        <w:autoSpaceDE w:val="0"/>
        <w:autoSpaceDN w:val="0"/>
        <w:adjustRightInd w:val="0"/>
        <w:spacing w:before="120" w:after="0" w:line="360" w:lineRule="auto"/>
        <w:rPr>
          <w:szCs w:val="22"/>
        </w:rPr>
      </w:pPr>
      <w:r w:rsidRPr="009A27ED">
        <w:rPr>
          <w:rFonts w:ascii="Times New Roman" w:eastAsia="Times New Roman" w:hAnsi="Times New Roman"/>
          <w:bCs/>
          <w:sz w:val="24"/>
          <w:szCs w:val="22"/>
        </w:rPr>
        <w:t xml:space="preserve">b) </w:t>
      </w:r>
      <w:r w:rsidRPr="009A27ED">
        <w:rPr>
          <w:rFonts w:ascii="Times New Roman" w:eastAsia="Times New Roman" w:hAnsi="Times New Roman"/>
          <w:bCs/>
          <w:sz w:val="24"/>
          <w:szCs w:val="22"/>
          <w:u w:val="single"/>
        </w:rPr>
        <w:t>El uso y habitación</w:t>
      </w:r>
      <w:r w:rsidRPr="009A27ED">
        <w:rPr>
          <w:rFonts w:ascii="Times New Roman" w:eastAsia="Times New Roman" w:hAnsi="Times New Roman"/>
          <w:sz w:val="24"/>
          <w:szCs w:val="22"/>
        </w:rPr>
        <w:t xml:space="preserve">: El derecho de uso y habitación previstos en los artículos 625 al 636 del Código Civil dominicano confieren a su titular la prerrogativa de usar la cosa como si fuera el propietario, con un derecho de percibir las rentas y los frutos producidos por el bien </w:t>
      </w:r>
      <w:r w:rsidRPr="009A27ED">
        <w:rPr>
          <w:rFonts w:ascii="Times New Roman" w:eastAsia="Times New Roman" w:hAnsi="Times New Roman"/>
          <w:sz w:val="24"/>
          <w:szCs w:val="22"/>
        </w:rPr>
        <w:lastRenderedPageBreak/>
        <w:t>inmueble de manera limitada, solo para el uso de las necesidades básicas del beneficiario y de la familia, incluyendo el alojamiento</w:t>
      </w:r>
      <w:r w:rsidRPr="009A27ED">
        <w:rPr>
          <w:rStyle w:val="Refdenotaalpie"/>
          <w:rFonts w:asciiTheme="minorHAnsi" w:eastAsia="Times New Roman" w:hAnsiTheme="minorHAnsi"/>
          <w:sz w:val="24"/>
          <w:szCs w:val="22"/>
        </w:rPr>
        <w:footnoteReference w:id="28"/>
      </w:r>
      <w:r w:rsidRPr="009A27ED">
        <w:rPr>
          <w:rFonts w:ascii="Times New Roman" w:eastAsia="Times New Roman" w:hAnsi="Times New Roman"/>
          <w:sz w:val="24"/>
          <w:szCs w:val="22"/>
        </w:rPr>
        <w:t>.</w:t>
      </w:r>
    </w:p>
    <w:p w14:paraId="1ABE4E82" w14:textId="77777777" w:rsidR="00856730" w:rsidRPr="009A27ED" w:rsidRDefault="00856730" w:rsidP="006A73FA">
      <w:pPr>
        <w:autoSpaceDE w:val="0"/>
        <w:autoSpaceDN w:val="0"/>
        <w:adjustRightInd w:val="0"/>
        <w:spacing w:before="120" w:after="0" w:line="360" w:lineRule="auto"/>
        <w:rPr>
          <w:color w:val="FF0000"/>
          <w:szCs w:val="22"/>
        </w:rPr>
      </w:pPr>
      <w:r w:rsidRPr="009A27ED">
        <w:rPr>
          <w:rFonts w:ascii="Times New Roman" w:eastAsia="Times New Roman" w:hAnsi="Times New Roman"/>
          <w:bCs/>
          <w:sz w:val="24"/>
          <w:szCs w:val="22"/>
        </w:rPr>
        <w:t>c)</w:t>
      </w:r>
      <w:r w:rsidRPr="009A27ED">
        <w:rPr>
          <w:rFonts w:ascii="Times New Roman" w:eastAsia="Times New Roman" w:hAnsi="Times New Roman"/>
          <w:b/>
          <w:bCs/>
          <w:sz w:val="24"/>
          <w:szCs w:val="22"/>
        </w:rPr>
        <w:t xml:space="preserve"> </w:t>
      </w:r>
      <w:r w:rsidRPr="009A27ED">
        <w:rPr>
          <w:rFonts w:ascii="Times New Roman" w:eastAsia="Times New Roman" w:hAnsi="Times New Roman"/>
          <w:bCs/>
          <w:sz w:val="24"/>
          <w:szCs w:val="22"/>
          <w:u w:val="single"/>
        </w:rPr>
        <w:t>Las servidumbres reales</w:t>
      </w:r>
      <w:r w:rsidRPr="009A27ED">
        <w:rPr>
          <w:rFonts w:ascii="Times New Roman" w:eastAsia="Times New Roman" w:hAnsi="Times New Roman"/>
          <w:b/>
          <w:bCs/>
          <w:sz w:val="24"/>
          <w:szCs w:val="22"/>
        </w:rPr>
        <w:t xml:space="preserve">: </w:t>
      </w:r>
      <w:r w:rsidRPr="009A27ED">
        <w:rPr>
          <w:rFonts w:ascii="Times New Roman" w:eastAsia="Times New Roman" w:hAnsi="Times New Roman"/>
          <w:sz w:val="24"/>
          <w:szCs w:val="22"/>
        </w:rPr>
        <w:t>El artículo 637 del Código Civil dominicano establece que “</w:t>
      </w:r>
      <w:r w:rsidRPr="009A27ED">
        <w:rPr>
          <w:rFonts w:ascii="Times New Roman" w:eastAsia="Times New Roman" w:hAnsi="Times New Roman"/>
          <w:i/>
          <w:sz w:val="24"/>
          <w:szCs w:val="22"/>
        </w:rPr>
        <w:t xml:space="preserve">la servidumbre </w:t>
      </w:r>
      <w:r w:rsidRPr="009A27ED">
        <w:rPr>
          <w:rFonts w:ascii="Times New Roman" w:eastAsia="Times New Roman" w:hAnsi="Times New Roman"/>
          <w:i/>
          <w:iCs/>
          <w:sz w:val="24"/>
          <w:szCs w:val="22"/>
        </w:rPr>
        <w:t xml:space="preserve">es una carga impuesta </w:t>
      </w:r>
      <w:r w:rsidRPr="009A27ED">
        <w:rPr>
          <w:rFonts w:ascii="Times New Roman" w:eastAsia="Times New Roman" w:hAnsi="Times New Roman"/>
          <w:i/>
          <w:sz w:val="24"/>
          <w:szCs w:val="22"/>
        </w:rPr>
        <w:t>sobre una heredad, para el uso y utilidad de una finca perteneciente a otro propietario</w:t>
      </w:r>
      <w:r w:rsidRPr="009A27ED">
        <w:rPr>
          <w:rFonts w:ascii="Times New Roman" w:eastAsia="Times New Roman" w:hAnsi="Times New Roman"/>
          <w:sz w:val="24"/>
          <w:szCs w:val="22"/>
        </w:rPr>
        <w:t>”</w:t>
      </w:r>
      <w:r w:rsidRPr="009A27ED">
        <w:rPr>
          <w:rStyle w:val="Refdenotaalpie"/>
          <w:rFonts w:asciiTheme="minorHAnsi" w:eastAsia="Times New Roman" w:hAnsiTheme="minorHAnsi"/>
          <w:sz w:val="24"/>
          <w:szCs w:val="22"/>
        </w:rPr>
        <w:footnoteReference w:id="29"/>
      </w:r>
      <w:r w:rsidRPr="009A27ED">
        <w:rPr>
          <w:rFonts w:ascii="Times New Roman" w:eastAsia="Times New Roman" w:hAnsi="Times New Roman"/>
          <w:sz w:val="24"/>
          <w:szCs w:val="22"/>
        </w:rPr>
        <w:t xml:space="preserve">. La misma tiene su origen en una situación de hecho dada entre dos o más predios, cuya solución resulta por mandato de la ley o en virtud de una convención entre partes. </w:t>
      </w:r>
      <w:r w:rsidRPr="009A27ED">
        <w:rPr>
          <w:rFonts w:ascii="Times New Roman" w:eastAsia="Times New Roman" w:hAnsi="Times New Roman"/>
          <w:color w:val="FF0000"/>
          <w:sz w:val="24"/>
          <w:szCs w:val="22"/>
        </w:rPr>
        <w:t xml:space="preserve"> </w:t>
      </w:r>
    </w:p>
    <w:p w14:paraId="39B9DA13" w14:textId="05E35152" w:rsidR="00856730" w:rsidRPr="009A27ED" w:rsidRDefault="00856730" w:rsidP="006A73FA">
      <w:pPr>
        <w:spacing w:before="120" w:after="0" w:line="360" w:lineRule="auto"/>
        <w:rPr>
          <w:szCs w:val="22"/>
        </w:rPr>
      </w:pPr>
      <w:r w:rsidRPr="009A27ED">
        <w:rPr>
          <w:rFonts w:ascii="Times New Roman" w:eastAsia="Times New Roman" w:hAnsi="Times New Roman"/>
          <w:sz w:val="24"/>
          <w:szCs w:val="22"/>
        </w:rPr>
        <w:t xml:space="preserve">d) </w:t>
      </w:r>
      <w:r w:rsidRPr="009A27ED">
        <w:rPr>
          <w:rFonts w:ascii="Times New Roman" w:eastAsia="Times New Roman" w:hAnsi="Times New Roman"/>
          <w:sz w:val="24"/>
          <w:szCs w:val="22"/>
          <w:u w:val="single"/>
        </w:rPr>
        <w:t>La enfiteusis</w:t>
      </w:r>
      <w:r w:rsidRPr="009A27ED">
        <w:rPr>
          <w:rFonts w:ascii="Times New Roman" w:eastAsia="Times New Roman" w:hAnsi="Times New Roman"/>
          <w:sz w:val="24"/>
          <w:szCs w:val="22"/>
        </w:rPr>
        <w:t>: La enfiteusis es una modalidad de arrendamiento que otorga al beneficiario un derecho real de uso y goce de la cosa ajena dada en arrendamiento por un período de no menos de 18 años ni mayor de 99 años.</w:t>
      </w:r>
    </w:p>
    <w:p w14:paraId="29EFE498" w14:textId="45D4CC22" w:rsidR="00856730" w:rsidRPr="009A27ED" w:rsidRDefault="006A73FA" w:rsidP="006E0196">
      <w:pPr>
        <w:autoSpaceDE w:val="0"/>
        <w:autoSpaceDN w:val="0"/>
        <w:adjustRightInd w:val="0"/>
        <w:spacing w:before="120" w:after="0" w:line="360" w:lineRule="auto"/>
        <w:rPr>
          <w:szCs w:val="22"/>
        </w:rPr>
      </w:pPr>
      <w:r w:rsidRPr="009A27ED">
        <w:rPr>
          <w:rFonts w:ascii="Times New Roman" w:eastAsia="Times New Roman" w:hAnsi="Times New Roman"/>
          <w:sz w:val="24"/>
          <w:szCs w:val="22"/>
        </w:rPr>
        <w:t>También</w:t>
      </w:r>
      <w:r w:rsidR="00856730" w:rsidRPr="009A27ED">
        <w:rPr>
          <w:rFonts w:ascii="Times New Roman" w:eastAsia="Times New Roman" w:hAnsi="Times New Roman"/>
          <w:sz w:val="24"/>
          <w:szCs w:val="22"/>
        </w:rPr>
        <w:t xml:space="preserve">, el marco legal dominicano establece los modos de adquirir la propiedad, lo que permite definir la tenencia formal de la tierra en nuestro ordenamiento jurídico. Los modos de adquirir la propiedad en República Dominicana se dividen en </w:t>
      </w:r>
      <w:r w:rsidR="00856730" w:rsidRPr="009A27ED">
        <w:rPr>
          <w:rFonts w:ascii="Times New Roman" w:eastAsia="Times New Roman" w:hAnsi="Times New Roman"/>
          <w:b/>
          <w:bCs/>
          <w:i/>
          <w:iCs/>
          <w:sz w:val="24"/>
          <w:szCs w:val="22"/>
        </w:rPr>
        <w:t xml:space="preserve">originarios </w:t>
      </w:r>
      <w:r w:rsidR="00856730" w:rsidRPr="009A27ED">
        <w:rPr>
          <w:rFonts w:ascii="Times New Roman" w:eastAsia="Times New Roman" w:hAnsi="Times New Roman"/>
          <w:sz w:val="24"/>
          <w:szCs w:val="22"/>
        </w:rPr>
        <w:t xml:space="preserve">y </w:t>
      </w:r>
      <w:r w:rsidR="00856730" w:rsidRPr="009A27ED">
        <w:rPr>
          <w:rFonts w:ascii="Times New Roman" w:eastAsia="Times New Roman" w:hAnsi="Times New Roman"/>
          <w:b/>
          <w:bCs/>
          <w:i/>
          <w:iCs/>
          <w:sz w:val="24"/>
          <w:szCs w:val="22"/>
        </w:rPr>
        <w:t>derivados</w:t>
      </w:r>
      <w:r w:rsidR="00856730" w:rsidRPr="009A27ED">
        <w:rPr>
          <w:rFonts w:ascii="Times New Roman" w:eastAsia="Times New Roman" w:hAnsi="Times New Roman"/>
          <w:sz w:val="24"/>
          <w:szCs w:val="22"/>
        </w:rPr>
        <w:t>.</w:t>
      </w:r>
    </w:p>
    <w:p w14:paraId="62449845" w14:textId="77777777" w:rsidR="00856730" w:rsidRPr="009A27ED" w:rsidRDefault="00856730" w:rsidP="006E0196">
      <w:pPr>
        <w:autoSpaceDE w:val="0"/>
        <w:autoSpaceDN w:val="0"/>
        <w:adjustRightInd w:val="0"/>
        <w:spacing w:before="120" w:after="0" w:line="360" w:lineRule="auto"/>
        <w:ind w:firstLine="708"/>
        <w:rPr>
          <w:szCs w:val="22"/>
        </w:rPr>
      </w:pPr>
      <w:r w:rsidRPr="009A27ED">
        <w:rPr>
          <w:rFonts w:ascii="Times New Roman" w:eastAsia="Times New Roman" w:hAnsi="Times New Roman"/>
          <w:bCs/>
          <w:sz w:val="24"/>
          <w:szCs w:val="22"/>
        </w:rPr>
        <w:t xml:space="preserve">1) </w:t>
      </w:r>
      <w:r w:rsidRPr="009A27ED">
        <w:rPr>
          <w:rFonts w:ascii="Times New Roman" w:eastAsia="Times New Roman" w:hAnsi="Times New Roman"/>
          <w:b/>
          <w:bCs/>
          <w:sz w:val="24"/>
          <w:szCs w:val="22"/>
          <w:u w:val="single"/>
        </w:rPr>
        <w:t>Modos originarios</w:t>
      </w:r>
      <w:r w:rsidRPr="009A27ED">
        <w:rPr>
          <w:rFonts w:ascii="Times New Roman" w:eastAsia="Times New Roman" w:hAnsi="Times New Roman"/>
          <w:sz w:val="24"/>
          <w:szCs w:val="22"/>
        </w:rPr>
        <w:t xml:space="preserve">: Son modos originarios de adquirir la propiedad </w:t>
      </w:r>
      <w:r w:rsidRPr="009A27ED">
        <w:rPr>
          <w:rFonts w:ascii="Times New Roman" w:eastAsia="Times New Roman" w:hAnsi="Times New Roman"/>
          <w:iCs/>
          <w:sz w:val="24"/>
          <w:szCs w:val="22"/>
        </w:rPr>
        <w:t>aquellos que hacen nacer el derecho por primera vez sobre la persona de su titular, es decir, el reconocimiento e inscripción por primera vez de un derecho real inmobiliario</w:t>
      </w:r>
      <w:r w:rsidRPr="009A27ED">
        <w:rPr>
          <w:rFonts w:ascii="Times New Roman" w:eastAsia="Times New Roman" w:hAnsi="Times New Roman"/>
          <w:sz w:val="24"/>
          <w:szCs w:val="22"/>
        </w:rPr>
        <w:t xml:space="preserve">, lo cual, en nuestro ordenamiento jurídico se refleja como </w:t>
      </w:r>
      <w:r w:rsidRPr="009A27ED">
        <w:rPr>
          <w:rFonts w:ascii="Times New Roman" w:eastAsia="Times New Roman" w:hAnsi="Times New Roman"/>
          <w:iCs/>
          <w:sz w:val="24"/>
          <w:szCs w:val="22"/>
        </w:rPr>
        <w:t>un producto final del procedimiento de saneamiento</w:t>
      </w:r>
      <w:r w:rsidRPr="009A27ED">
        <w:rPr>
          <w:rFonts w:ascii="Times New Roman" w:eastAsia="Times New Roman" w:hAnsi="Times New Roman"/>
          <w:sz w:val="24"/>
          <w:szCs w:val="22"/>
        </w:rPr>
        <w:t>, dando cumplimiento de esta manera al objeto principal de la Ley 108-05, contenido en su artículo primero, que es “</w:t>
      </w:r>
      <w:r w:rsidRPr="009A27ED">
        <w:rPr>
          <w:rFonts w:ascii="Times New Roman" w:eastAsia="Times New Roman" w:hAnsi="Times New Roman"/>
          <w:i/>
          <w:sz w:val="24"/>
          <w:szCs w:val="22"/>
        </w:rPr>
        <w:t>regular el saneamiento y el registro de todos los derechos reales inmobiliarios, así como las cargas y gravámenes susceptibles de registro....</w:t>
      </w:r>
      <w:r w:rsidRPr="009A27ED">
        <w:rPr>
          <w:rFonts w:ascii="Times New Roman" w:eastAsia="Times New Roman" w:hAnsi="Times New Roman"/>
          <w:sz w:val="24"/>
          <w:szCs w:val="22"/>
        </w:rPr>
        <w:t>”</w:t>
      </w:r>
      <w:r w:rsidRPr="009A27ED">
        <w:rPr>
          <w:rStyle w:val="Refdenotaalpie"/>
          <w:rFonts w:asciiTheme="minorHAnsi" w:eastAsia="Times New Roman" w:hAnsiTheme="minorHAnsi"/>
          <w:sz w:val="24"/>
          <w:szCs w:val="22"/>
        </w:rPr>
        <w:footnoteReference w:id="30"/>
      </w:r>
      <w:r w:rsidRPr="009A27ED">
        <w:rPr>
          <w:rFonts w:ascii="Times New Roman" w:eastAsia="Times New Roman" w:hAnsi="Times New Roman"/>
          <w:sz w:val="24"/>
          <w:szCs w:val="22"/>
        </w:rPr>
        <w:t>, siendo este modo de adquisición reflejado materialmente en la posesión y posterior adquisición por usucapión.</w:t>
      </w:r>
    </w:p>
    <w:p w14:paraId="1BB7B0F3" w14:textId="77777777" w:rsidR="00856730" w:rsidRPr="009A27ED" w:rsidRDefault="00856730" w:rsidP="006E0196">
      <w:pPr>
        <w:autoSpaceDE w:val="0"/>
        <w:autoSpaceDN w:val="0"/>
        <w:adjustRightInd w:val="0"/>
        <w:spacing w:before="120" w:after="0" w:line="360" w:lineRule="auto"/>
        <w:ind w:firstLine="708"/>
        <w:rPr>
          <w:szCs w:val="22"/>
        </w:rPr>
      </w:pPr>
      <w:r w:rsidRPr="009A27ED">
        <w:rPr>
          <w:rFonts w:ascii="Times New Roman" w:eastAsia="Times New Roman" w:hAnsi="Times New Roman"/>
          <w:sz w:val="24"/>
          <w:szCs w:val="22"/>
        </w:rPr>
        <w:t xml:space="preserve">2) </w:t>
      </w:r>
      <w:r w:rsidRPr="009A27ED">
        <w:rPr>
          <w:rFonts w:ascii="Times New Roman" w:eastAsia="Times New Roman" w:hAnsi="Times New Roman"/>
          <w:b/>
          <w:bCs/>
          <w:sz w:val="24"/>
          <w:szCs w:val="22"/>
          <w:u w:val="single"/>
        </w:rPr>
        <w:t>Modos derivados</w:t>
      </w:r>
      <w:r w:rsidRPr="009A27ED">
        <w:rPr>
          <w:rFonts w:ascii="Times New Roman" w:eastAsia="Times New Roman" w:hAnsi="Times New Roman"/>
          <w:b/>
          <w:bCs/>
          <w:sz w:val="24"/>
          <w:szCs w:val="22"/>
        </w:rPr>
        <w:t xml:space="preserve">: </w:t>
      </w:r>
      <w:r w:rsidRPr="009A27ED">
        <w:rPr>
          <w:rFonts w:ascii="Times New Roman" w:eastAsia="Times New Roman" w:hAnsi="Times New Roman"/>
          <w:sz w:val="24"/>
          <w:szCs w:val="22"/>
        </w:rPr>
        <w:t>Son modos derivados de adquisición de la propiedad, aquellos contenidos en los artículos 711 y 712 del Código Civil Dominicano, que establecen: “</w:t>
      </w:r>
      <w:r w:rsidRPr="009A27ED">
        <w:rPr>
          <w:rFonts w:ascii="Times New Roman" w:eastAsia="Times New Roman" w:hAnsi="Times New Roman"/>
          <w:i/>
          <w:iCs/>
          <w:sz w:val="24"/>
          <w:szCs w:val="22"/>
        </w:rPr>
        <w:t xml:space="preserve">La propiedad de los bienes se adquiere y transmite por </w:t>
      </w:r>
      <w:r w:rsidRPr="009A27ED">
        <w:rPr>
          <w:rFonts w:ascii="Times New Roman" w:eastAsia="Times New Roman" w:hAnsi="Times New Roman"/>
          <w:b/>
          <w:bCs/>
          <w:i/>
          <w:iCs/>
          <w:sz w:val="24"/>
          <w:szCs w:val="22"/>
        </w:rPr>
        <w:t>sucesión</w:t>
      </w:r>
      <w:r w:rsidRPr="009A27ED">
        <w:rPr>
          <w:rFonts w:ascii="Times New Roman" w:eastAsia="Times New Roman" w:hAnsi="Times New Roman"/>
          <w:i/>
          <w:iCs/>
          <w:sz w:val="24"/>
          <w:szCs w:val="22"/>
        </w:rPr>
        <w:t xml:space="preserve">, por </w:t>
      </w:r>
      <w:r w:rsidRPr="009A27ED">
        <w:rPr>
          <w:rFonts w:ascii="Times New Roman" w:eastAsia="Times New Roman" w:hAnsi="Times New Roman"/>
          <w:b/>
          <w:bCs/>
          <w:i/>
          <w:iCs/>
          <w:sz w:val="24"/>
          <w:szCs w:val="22"/>
        </w:rPr>
        <w:t xml:space="preserve">donación </w:t>
      </w:r>
      <w:r w:rsidRPr="009A27ED">
        <w:rPr>
          <w:rFonts w:ascii="Times New Roman" w:eastAsia="Times New Roman" w:hAnsi="Times New Roman"/>
          <w:i/>
          <w:iCs/>
          <w:sz w:val="24"/>
          <w:szCs w:val="22"/>
        </w:rPr>
        <w:t xml:space="preserve">entre vivos o </w:t>
      </w:r>
      <w:r w:rsidRPr="009A27ED">
        <w:rPr>
          <w:rFonts w:ascii="Times New Roman" w:eastAsia="Times New Roman" w:hAnsi="Times New Roman"/>
          <w:i/>
          <w:iCs/>
          <w:sz w:val="24"/>
          <w:szCs w:val="22"/>
        </w:rPr>
        <w:lastRenderedPageBreak/>
        <w:t xml:space="preserve">testamentaria, y por efecto de las </w:t>
      </w:r>
      <w:proofErr w:type="gramStart"/>
      <w:r w:rsidRPr="009A27ED">
        <w:rPr>
          <w:rFonts w:ascii="Times New Roman" w:eastAsia="Times New Roman" w:hAnsi="Times New Roman"/>
          <w:b/>
          <w:bCs/>
          <w:i/>
          <w:iCs/>
          <w:sz w:val="24"/>
          <w:szCs w:val="22"/>
        </w:rPr>
        <w:t>obligaciones</w:t>
      </w:r>
      <w:r w:rsidRPr="009A27ED">
        <w:rPr>
          <w:rFonts w:ascii="Times New Roman" w:eastAsia="Times New Roman" w:hAnsi="Times New Roman"/>
          <w:i/>
          <w:iCs/>
          <w:sz w:val="24"/>
          <w:szCs w:val="22"/>
        </w:rPr>
        <w:t>....</w:t>
      </w:r>
      <w:proofErr w:type="gramEnd"/>
      <w:r w:rsidRPr="009A27ED">
        <w:rPr>
          <w:rFonts w:ascii="Times New Roman" w:eastAsia="Times New Roman" w:hAnsi="Times New Roman"/>
          <w:i/>
          <w:iCs/>
          <w:sz w:val="24"/>
          <w:szCs w:val="22"/>
        </w:rPr>
        <w:t xml:space="preserve">la propiedad se adquiere también </w:t>
      </w:r>
      <w:r w:rsidRPr="009A27ED">
        <w:rPr>
          <w:rFonts w:ascii="Times New Roman" w:eastAsia="Times New Roman" w:hAnsi="Times New Roman"/>
          <w:b/>
          <w:bCs/>
          <w:i/>
          <w:iCs/>
          <w:sz w:val="24"/>
          <w:szCs w:val="22"/>
        </w:rPr>
        <w:t xml:space="preserve">por accesión </w:t>
      </w:r>
      <w:r w:rsidRPr="009A27ED">
        <w:rPr>
          <w:rFonts w:ascii="Times New Roman" w:eastAsia="Times New Roman" w:hAnsi="Times New Roman"/>
          <w:i/>
          <w:iCs/>
          <w:sz w:val="24"/>
          <w:szCs w:val="22"/>
        </w:rPr>
        <w:t xml:space="preserve">o incorporación, y </w:t>
      </w:r>
      <w:r w:rsidRPr="009A27ED">
        <w:rPr>
          <w:rFonts w:ascii="Times New Roman" w:eastAsia="Times New Roman" w:hAnsi="Times New Roman"/>
          <w:b/>
          <w:bCs/>
          <w:i/>
          <w:iCs/>
          <w:sz w:val="24"/>
          <w:szCs w:val="22"/>
        </w:rPr>
        <w:t>por prescripción</w:t>
      </w:r>
      <w:r w:rsidRPr="009A27ED">
        <w:rPr>
          <w:rFonts w:ascii="Times New Roman" w:eastAsia="Times New Roman" w:hAnsi="Times New Roman"/>
          <w:sz w:val="24"/>
          <w:szCs w:val="22"/>
        </w:rPr>
        <w:t>”</w:t>
      </w:r>
      <w:r w:rsidRPr="009A27ED">
        <w:rPr>
          <w:rStyle w:val="Refdenotaalpie"/>
          <w:rFonts w:asciiTheme="minorHAnsi" w:eastAsia="Times New Roman" w:hAnsiTheme="minorHAnsi"/>
          <w:sz w:val="24"/>
          <w:szCs w:val="22"/>
        </w:rPr>
        <w:footnoteReference w:id="31"/>
      </w:r>
      <w:r w:rsidRPr="009A27ED">
        <w:rPr>
          <w:rFonts w:ascii="Times New Roman" w:eastAsia="Times New Roman" w:hAnsi="Times New Roman"/>
          <w:sz w:val="24"/>
          <w:szCs w:val="22"/>
        </w:rPr>
        <w:t>.</w:t>
      </w:r>
    </w:p>
    <w:p w14:paraId="79F94E6F" w14:textId="77777777" w:rsidR="00856730" w:rsidRPr="009A27ED" w:rsidRDefault="00856730" w:rsidP="006A73FA">
      <w:pPr>
        <w:autoSpaceDE w:val="0"/>
        <w:autoSpaceDN w:val="0"/>
        <w:adjustRightInd w:val="0"/>
        <w:spacing w:before="120" w:after="0" w:line="360" w:lineRule="auto"/>
        <w:rPr>
          <w:szCs w:val="22"/>
        </w:rPr>
      </w:pPr>
      <w:r w:rsidRPr="009A27ED">
        <w:rPr>
          <w:rFonts w:ascii="Times New Roman" w:eastAsia="Times New Roman" w:hAnsi="Times New Roman"/>
          <w:sz w:val="24"/>
          <w:szCs w:val="22"/>
        </w:rPr>
        <w:t xml:space="preserve">a) </w:t>
      </w:r>
      <w:r w:rsidRPr="009A27ED">
        <w:rPr>
          <w:rFonts w:ascii="Times New Roman" w:eastAsia="Times New Roman" w:hAnsi="Times New Roman"/>
          <w:bCs/>
          <w:sz w:val="24"/>
          <w:szCs w:val="22"/>
          <w:u w:val="single"/>
        </w:rPr>
        <w:t>Transmisión por sucesión</w:t>
      </w:r>
      <w:r w:rsidRPr="009A27ED">
        <w:rPr>
          <w:rFonts w:ascii="Times New Roman" w:eastAsia="Times New Roman" w:hAnsi="Times New Roman"/>
          <w:b/>
          <w:bCs/>
          <w:sz w:val="24"/>
          <w:szCs w:val="22"/>
        </w:rPr>
        <w:t xml:space="preserve">. </w:t>
      </w:r>
      <w:r w:rsidRPr="009A27ED">
        <w:rPr>
          <w:rFonts w:ascii="Times New Roman" w:eastAsia="Times New Roman" w:hAnsi="Times New Roman"/>
          <w:sz w:val="24"/>
          <w:szCs w:val="22"/>
        </w:rPr>
        <w:t>De la lectura combinada de los artículos 712 y 718 del Código Civil Dominicano se establece que la sucesión es un modo de transmisión post mortem de los derechos del difunto a favor y provecho de los sucesores o legatarios con calidad legal para recibirlos.</w:t>
      </w:r>
    </w:p>
    <w:p w14:paraId="5D42C773" w14:textId="4CE70711" w:rsidR="00856730" w:rsidRPr="009A27ED" w:rsidRDefault="00856730" w:rsidP="006A73FA">
      <w:pPr>
        <w:autoSpaceDE w:val="0"/>
        <w:autoSpaceDN w:val="0"/>
        <w:adjustRightInd w:val="0"/>
        <w:spacing w:before="120" w:after="0" w:line="360" w:lineRule="auto"/>
        <w:rPr>
          <w:szCs w:val="22"/>
        </w:rPr>
      </w:pPr>
      <w:r w:rsidRPr="009A27ED">
        <w:rPr>
          <w:rFonts w:ascii="Times New Roman" w:eastAsia="Times New Roman" w:hAnsi="Times New Roman"/>
          <w:sz w:val="24"/>
          <w:szCs w:val="22"/>
        </w:rPr>
        <w:t xml:space="preserve">b) </w:t>
      </w:r>
      <w:r w:rsidRPr="009A27ED">
        <w:rPr>
          <w:rFonts w:ascii="Times New Roman" w:eastAsia="Times New Roman" w:hAnsi="Times New Roman"/>
          <w:bCs/>
          <w:sz w:val="24"/>
          <w:szCs w:val="22"/>
          <w:u w:val="single"/>
        </w:rPr>
        <w:t>Transmisión por Donación o Testamentaria</w:t>
      </w:r>
      <w:r w:rsidRPr="009A27ED">
        <w:rPr>
          <w:rFonts w:ascii="Times New Roman" w:eastAsia="Times New Roman" w:hAnsi="Times New Roman"/>
          <w:b/>
          <w:bCs/>
          <w:sz w:val="24"/>
          <w:szCs w:val="22"/>
        </w:rPr>
        <w:t xml:space="preserve">. </w:t>
      </w:r>
      <w:r w:rsidRPr="009A27ED">
        <w:rPr>
          <w:rFonts w:ascii="Times New Roman" w:eastAsia="Times New Roman" w:hAnsi="Times New Roman"/>
          <w:sz w:val="24"/>
          <w:szCs w:val="22"/>
        </w:rPr>
        <w:t>El artículo 893 de Código Civil dominicano establece que “</w:t>
      </w:r>
      <w:r w:rsidRPr="009A27ED">
        <w:rPr>
          <w:rFonts w:ascii="Times New Roman" w:eastAsia="Times New Roman" w:hAnsi="Times New Roman"/>
          <w:i/>
          <w:sz w:val="24"/>
          <w:szCs w:val="22"/>
        </w:rPr>
        <w:t xml:space="preserve">ninguno podrá disponer de sus bienes a título gratuito, sino por </w:t>
      </w:r>
      <w:r w:rsidRPr="009A27ED">
        <w:rPr>
          <w:rFonts w:ascii="Times New Roman" w:eastAsia="Times New Roman" w:hAnsi="Times New Roman"/>
          <w:i/>
          <w:iCs/>
          <w:sz w:val="24"/>
          <w:szCs w:val="22"/>
        </w:rPr>
        <w:t xml:space="preserve">donación </w:t>
      </w:r>
      <w:r w:rsidRPr="009A27ED">
        <w:rPr>
          <w:rFonts w:ascii="Times New Roman" w:eastAsia="Times New Roman" w:hAnsi="Times New Roman"/>
          <w:i/>
          <w:sz w:val="24"/>
          <w:szCs w:val="22"/>
        </w:rPr>
        <w:t>entre vivos o por testamento....</w:t>
      </w:r>
      <w:r w:rsidRPr="009A27ED">
        <w:rPr>
          <w:rFonts w:ascii="Times New Roman" w:eastAsia="Times New Roman" w:hAnsi="Times New Roman"/>
          <w:sz w:val="24"/>
          <w:szCs w:val="22"/>
        </w:rPr>
        <w:t>”</w:t>
      </w:r>
      <w:r w:rsidRPr="009A27ED">
        <w:rPr>
          <w:rStyle w:val="Refdenotaalpie"/>
          <w:rFonts w:asciiTheme="minorHAnsi" w:eastAsia="Times New Roman" w:hAnsiTheme="minorHAnsi"/>
          <w:sz w:val="24"/>
          <w:szCs w:val="22"/>
        </w:rPr>
        <w:footnoteReference w:id="32"/>
      </w:r>
      <w:r w:rsidRPr="009A27ED">
        <w:rPr>
          <w:rFonts w:ascii="Times New Roman" w:eastAsia="Times New Roman" w:hAnsi="Times New Roman"/>
          <w:sz w:val="24"/>
          <w:szCs w:val="22"/>
        </w:rPr>
        <w:t xml:space="preserve">, disponiendo además los artículos 894 y 895 que la transmisión por donación entre vivos es un acto por el cual el donante se desprende definitiva e irrevocablemente del bien donado, </w:t>
      </w:r>
      <w:r w:rsidRPr="009A27ED">
        <w:rPr>
          <w:rFonts w:ascii="Times New Roman" w:eastAsia="Times New Roman" w:hAnsi="Times New Roman"/>
          <w:i/>
          <w:iCs/>
          <w:sz w:val="24"/>
          <w:szCs w:val="22"/>
        </w:rPr>
        <w:t>en vida</w:t>
      </w:r>
      <w:r w:rsidRPr="009A27ED">
        <w:rPr>
          <w:rFonts w:ascii="Times New Roman" w:eastAsia="Times New Roman" w:hAnsi="Times New Roman"/>
          <w:sz w:val="24"/>
          <w:szCs w:val="22"/>
        </w:rPr>
        <w:t xml:space="preserve">; mientras que la transmisión </w:t>
      </w:r>
      <w:r w:rsidRPr="009A27ED">
        <w:rPr>
          <w:rFonts w:ascii="Times New Roman" w:eastAsia="Times New Roman" w:hAnsi="Times New Roman"/>
          <w:i/>
          <w:iCs/>
          <w:sz w:val="24"/>
          <w:szCs w:val="22"/>
        </w:rPr>
        <w:t xml:space="preserve">testamentaria </w:t>
      </w:r>
      <w:r w:rsidRPr="009A27ED">
        <w:rPr>
          <w:rFonts w:ascii="Times New Roman" w:eastAsia="Times New Roman" w:hAnsi="Times New Roman"/>
          <w:sz w:val="24"/>
          <w:szCs w:val="22"/>
        </w:rPr>
        <w:t xml:space="preserve">es un acto mediante el cual, </w:t>
      </w:r>
      <w:r w:rsidRPr="009A27ED">
        <w:rPr>
          <w:rFonts w:ascii="Times New Roman" w:eastAsia="Times New Roman" w:hAnsi="Times New Roman"/>
          <w:i/>
          <w:iCs/>
          <w:sz w:val="24"/>
          <w:szCs w:val="22"/>
        </w:rPr>
        <w:t>el testador dispone para el futuro</w:t>
      </w:r>
      <w:r w:rsidRPr="009A27ED">
        <w:rPr>
          <w:rFonts w:ascii="Times New Roman" w:eastAsia="Times New Roman" w:hAnsi="Times New Roman"/>
          <w:sz w:val="24"/>
          <w:szCs w:val="22"/>
        </w:rPr>
        <w:t xml:space="preserve">, es decir, para el tiempo en que deje de existir, ambos son modos derivados de transmisión de la propiedad, pero la modalidad testamentaria, </w:t>
      </w:r>
      <w:proofErr w:type="spellStart"/>
      <w:r w:rsidRPr="009A27ED">
        <w:rPr>
          <w:rFonts w:ascii="Times New Roman" w:eastAsia="Times New Roman" w:hAnsi="Times New Roman"/>
          <w:sz w:val="24"/>
          <w:szCs w:val="22"/>
        </w:rPr>
        <w:t>sucesor</w:t>
      </w:r>
      <w:r w:rsidR="00C40192" w:rsidRPr="009A27ED">
        <w:rPr>
          <w:rFonts w:ascii="Times New Roman" w:eastAsia="Times New Roman" w:hAnsi="Times New Roman"/>
          <w:sz w:val="24"/>
          <w:szCs w:val="22"/>
        </w:rPr>
        <w:t>i</w:t>
      </w:r>
      <w:r w:rsidRPr="009A27ED">
        <w:rPr>
          <w:rFonts w:ascii="Times New Roman" w:eastAsia="Times New Roman" w:hAnsi="Times New Roman"/>
          <w:sz w:val="24"/>
          <w:szCs w:val="22"/>
        </w:rPr>
        <w:t>al</w:t>
      </w:r>
      <w:proofErr w:type="spellEnd"/>
      <w:r w:rsidRPr="009A27ED">
        <w:rPr>
          <w:rFonts w:ascii="Times New Roman" w:eastAsia="Times New Roman" w:hAnsi="Times New Roman"/>
          <w:sz w:val="24"/>
          <w:szCs w:val="22"/>
        </w:rPr>
        <w:t xml:space="preserve"> o donación, dependerá de si el acto de disposición tendrá efecto entre vivos o después de fallecida la persona, y en este último caso, si dejó testamento o no.</w:t>
      </w:r>
    </w:p>
    <w:p w14:paraId="6B4FE1A8" w14:textId="77777777" w:rsidR="00856730" w:rsidRPr="009A27ED" w:rsidRDefault="00856730" w:rsidP="006A73FA">
      <w:pPr>
        <w:autoSpaceDE w:val="0"/>
        <w:autoSpaceDN w:val="0"/>
        <w:adjustRightInd w:val="0"/>
        <w:spacing w:before="120" w:after="0" w:line="360" w:lineRule="auto"/>
        <w:rPr>
          <w:szCs w:val="22"/>
        </w:rPr>
      </w:pPr>
      <w:r w:rsidRPr="009A27ED">
        <w:rPr>
          <w:rFonts w:ascii="Times New Roman" w:eastAsia="Times New Roman" w:hAnsi="Times New Roman"/>
          <w:sz w:val="24"/>
          <w:szCs w:val="22"/>
        </w:rPr>
        <w:t xml:space="preserve">c) </w:t>
      </w:r>
      <w:r w:rsidRPr="009A27ED">
        <w:rPr>
          <w:rFonts w:ascii="Times New Roman" w:eastAsia="Times New Roman" w:hAnsi="Times New Roman"/>
          <w:bCs/>
          <w:sz w:val="24"/>
          <w:szCs w:val="22"/>
          <w:u w:val="single"/>
        </w:rPr>
        <w:t>Transmisión por efecto de las obligaciones</w:t>
      </w:r>
      <w:r w:rsidRPr="009A27ED">
        <w:rPr>
          <w:rFonts w:ascii="Times New Roman" w:eastAsia="Times New Roman" w:hAnsi="Times New Roman"/>
          <w:b/>
          <w:bCs/>
          <w:sz w:val="24"/>
          <w:szCs w:val="22"/>
        </w:rPr>
        <w:t xml:space="preserve">. </w:t>
      </w:r>
      <w:r w:rsidRPr="009A27ED">
        <w:rPr>
          <w:rFonts w:ascii="Times New Roman" w:eastAsia="Times New Roman" w:hAnsi="Times New Roman"/>
          <w:sz w:val="24"/>
          <w:szCs w:val="22"/>
        </w:rPr>
        <w:t>El artículo 1101 del Código Civil Dominicano establece que “</w:t>
      </w:r>
      <w:r w:rsidRPr="009A27ED">
        <w:rPr>
          <w:rFonts w:ascii="Times New Roman" w:eastAsia="Times New Roman" w:hAnsi="Times New Roman"/>
          <w:i/>
          <w:sz w:val="24"/>
          <w:szCs w:val="22"/>
        </w:rPr>
        <w:t>el contrato es un convenio en cuya virtud una o varias personas se obligan respecto de una o varias otras, a dar, hacer o no hacer alguna cosa</w:t>
      </w:r>
      <w:r w:rsidRPr="009A27ED">
        <w:rPr>
          <w:rFonts w:ascii="Times New Roman" w:eastAsia="Times New Roman" w:hAnsi="Times New Roman"/>
          <w:sz w:val="24"/>
          <w:szCs w:val="22"/>
        </w:rPr>
        <w:t>”</w:t>
      </w:r>
      <w:r w:rsidRPr="009A27ED">
        <w:rPr>
          <w:rStyle w:val="Refdenotaalpie"/>
          <w:rFonts w:asciiTheme="minorHAnsi" w:eastAsia="Times New Roman" w:hAnsiTheme="minorHAnsi"/>
          <w:sz w:val="24"/>
          <w:szCs w:val="22"/>
        </w:rPr>
        <w:footnoteReference w:id="33"/>
      </w:r>
      <w:r w:rsidRPr="009A27ED">
        <w:rPr>
          <w:rFonts w:ascii="Times New Roman" w:eastAsia="Times New Roman" w:hAnsi="Times New Roman"/>
          <w:sz w:val="24"/>
          <w:szCs w:val="22"/>
        </w:rPr>
        <w:t>, cuyas condiciones de validez contenidas en el artículo 1104 del mismo Código son el consentimiento, la capacidad para contratar, un objeto cierto y una causa lícita. En ese sentido, debemos decir que uno de los principales modos convencionales u contractuales de adquisición de los derechos reales principales es por medio del contrato de compraventa, el cual es definido por el artículo 1582 del Código Civil dominicano, como un contrato por el cual uno se compromete a dar una cosa y otro a pagarla, pudiendo hacerse por documento público o bajo firma privada, pudiendo llevarse a cabo un sinnúmero de convenciones contractuales cuya finalidad sea la transmisión de la propiedad, pero ninguna surte los efectos inmediatos de transmisión del acto de compra venta.</w:t>
      </w:r>
    </w:p>
    <w:p w14:paraId="37804AB5" w14:textId="77777777" w:rsidR="00856730" w:rsidRPr="009A27ED" w:rsidRDefault="00856730" w:rsidP="006A73FA">
      <w:pPr>
        <w:autoSpaceDE w:val="0"/>
        <w:autoSpaceDN w:val="0"/>
        <w:adjustRightInd w:val="0"/>
        <w:spacing w:before="120" w:after="0" w:line="360" w:lineRule="auto"/>
        <w:rPr>
          <w:szCs w:val="22"/>
        </w:rPr>
      </w:pPr>
      <w:r w:rsidRPr="009A27ED">
        <w:rPr>
          <w:rFonts w:ascii="Times New Roman" w:eastAsia="Times New Roman" w:hAnsi="Times New Roman"/>
          <w:sz w:val="24"/>
          <w:szCs w:val="22"/>
        </w:rPr>
        <w:lastRenderedPageBreak/>
        <w:t xml:space="preserve">d) </w:t>
      </w:r>
      <w:r w:rsidRPr="009A27ED">
        <w:rPr>
          <w:rFonts w:ascii="Times New Roman" w:eastAsia="Times New Roman" w:hAnsi="Times New Roman"/>
          <w:bCs/>
          <w:sz w:val="24"/>
          <w:szCs w:val="22"/>
          <w:u w:val="single"/>
        </w:rPr>
        <w:t>Transmisión por accesión</w:t>
      </w:r>
      <w:r w:rsidRPr="009A27ED">
        <w:rPr>
          <w:rFonts w:ascii="Times New Roman" w:eastAsia="Times New Roman" w:hAnsi="Times New Roman"/>
          <w:b/>
          <w:bCs/>
          <w:sz w:val="24"/>
          <w:szCs w:val="22"/>
        </w:rPr>
        <w:t xml:space="preserve">. </w:t>
      </w:r>
      <w:r w:rsidRPr="009A27ED">
        <w:rPr>
          <w:rFonts w:ascii="Times New Roman" w:eastAsia="Times New Roman" w:hAnsi="Times New Roman"/>
          <w:sz w:val="24"/>
          <w:szCs w:val="22"/>
        </w:rPr>
        <w:t>El artículo 546 del Código Civil establece que “</w:t>
      </w:r>
      <w:r w:rsidRPr="009A27ED">
        <w:rPr>
          <w:rFonts w:ascii="Times New Roman" w:eastAsia="Times New Roman" w:hAnsi="Times New Roman"/>
          <w:i/>
          <w:sz w:val="24"/>
          <w:szCs w:val="22"/>
        </w:rPr>
        <w:t xml:space="preserve">la propiedad de una cosa, mueble, o inmueble, da derecho sobre todo lo que se agrega accesoriamente, sea </w:t>
      </w:r>
      <w:proofErr w:type="gramStart"/>
      <w:r w:rsidRPr="009A27ED">
        <w:rPr>
          <w:rFonts w:ascii="Times New Roman" w:eastAsia="Times New Roman" w:hAnsi="Times New Roman"/>
          <w:i/>
          <w:sz w:val="24"/>
          <w:szCs w:val="22"/>
        </w:rPr>
        <w:t>naturalmente o artificialmente</w:t>
      </w:r>
      <w:proofErr w:type="gramEnd"/>
      <w:r w:rsidRPr="009A27ED">
        <w:rPr>
          <w:rFonts w:ascii="Times New Roman" w:eastAsia="Times New Roman" w:hAnsi="Times New Roman"/>
          <w:i/>
          <w:sz w:val="24"/>
          <w:szCs w:val="22"/>
        </w:rPr>
        <w:t>. Este derecho se llama accesión</w:t>
      </w:r>
      <w:r w:rsidRPr="009A27ED">
        <w:rPr>
          <w:rFonts w:ascii="Times New Roman" w:eastAsia="Times New Roman" w:hAnsi="Times New Roman"/>
          <w:sz w:val="24"/>
          <w:szCs w:val="22"/>
        </w:rPr>
        <w:t>”</w:t>
      </w:r>
      <w:r w:rsidRPr="009A27ED">
        <w:rPr>
          <w:rStyle w:val="Refdenotaalpie"/>
          <w:rFonts w:asciiTheme="minorHAnsi" w:eastAsia="Times New Roman" w:hAnsiTheme="minorHAnsi"/>
          <w:sz w:val="24"/>
          <w:szCs w:val="22"/>
        </w:rPr>
        <w:footnoteReference w:id="34"/>
      </w:r>
      <w:r w:rsidRPr="009A27ED">
        <w:rPr>
          <w:rFonts w:ascii="Times New Roman" w:eastAsia="Times New Roman" w:hAnsi="Times New Roman"/>
          <w:sz w:val="24"/>
          <w:szCs w:val="22"/>
        </w:rPr>
        <w:t>. La accesión es un modo de adquirir la propiedad independientemente del hecho de la posesión, por lo que el propietario del terreno se convierte en dueño de todas las obras que en ella se implementen o surjan, sea o no poseedor del terreno en cuestión. Mientras que el artículo 551 del mismo código establece que “todo lo que se agrega o incorpora a la cosa, pertenece al dueño de ésta...”, en ese sentido, podemos ver que el derecho civil establece una presunción de propiedad en beneficio del propietario, sobre todo lo que en el terreno se construya, presunción que se destruye mediante la prueba en contrario.</w:t>
      </w:r>
    </w:p>
    <w:p w14:paraId="1605056B" w14:textId="0FA81DB4" w:rsidR="005C71C8" w:rsidRPr="009A27ED" w:rsidRDefault="00856730" w:rsidP="006A73FA">
      <w:pPr>
        <w:autoSpaceDE w:val="0"/>
        <w:autoSpaceDN w:val="0"/>
        <w:adjustRightInd w:val="0"/>
        <w:spacing w:before="120" w:after="0" w:line="360" w:lineRule="auto"/>
        <w:rPr>
          <w:szCs w:val="22"/>
        </w:rPr>
      </w:pPr>
      <w:r w:rsidRPr="009A27ED">
        <w:rPr>
          <w:rFonts w:ascii="Times New Roman" w:eastAsia="Times New Roman" w:hAnsi="Times New Roman"/>
          <w:sz w:val="24"/>
          <w:szCs w:val="22"/>
        </w:rPr>
        <w:t xml:space="preserve">e) </w:t>
      </w:r>
      <w:r w:rsidRPr="009A27ED">
        <w:rPr>
          <w:rFonts w:ascii="Times New Roman" w:eastAsia="Times New Roman" w:hAnsi="Times New Roman"/>
          <w:bCs/>
          <w:sz w:val="24"/>
          <w:szCs w:val="22"/>
          <w:u w:val="single"/>
        </w:rPr>
        <w:t>Transmisión por prescripción</w:t>
      </w:r>
      <w:r w:rsidRPr="009A27ED">
        <w:rPr>
          <w:rFonts w:ascii="Times New Roman" w:eastAsia="Times New Roman" w:hAnsi="Times New Roman"/>
          <w:b/>
          <w:bCs/>
          <w:sz w:val="24"/>
          <w:szCs w:val="22"/>
        </w:rPr>
        <w:t xml:space="preserve">. </w:t>
      </w:r>
      <w:r w:rsidRPr="009A27ED">
        <w:rPr>
          <w:rFonts w:ascii="Times New Roman" w:eastAsia="Times New Roman" w:hAnsi="Times New Roman"/>
          <w:sz w:val="24"/>
          <w:szCs w:val="22"/>
        </w:rPr>
        <w:t>La prescripción adquisitiva o usucapión es el medio por el cual el poseedor de una cosa inmueble adquiere el derecho de propiedad sobre esa cosa, por efecto de la posesión prolongada durante un plazo legalmente establecido. El artículo 21 de la Ley 108-05 establece que “</w:t>
      </w:r>
      <w:r w:rsidRPr="009A27ED">
        <w:rPr>
          <w:rFonts w:ascii="Times New Roman" w:eastAsia="Times New Roman" w:hAnsi="Times New Roman"/>
          <w:i/>
          <w:sz w:val="24"/>
          <w:szCs w:val="22"/>
        </w:rPr>
        <w:t>a los fines de saneamiento, hay posesión cuando una persona tiene un inmueble bajo su poder a título de dueño o por otro que ejerce el derecho en su nombre</w:t>
      </w:r>
      <w:r w:rsidRPr="009A27ED">
        <w:rPr>
          <w:rFonts w:ascii="Times New Roman" w:eastAsia="Times New Roman" w:hAnsi="Times New Roman"/>
          <w:sz w:val="24"/>
          <w:szCs w:val="22"/>
        </w:rPr>
        <w:t>”</w:t>
      </w:r>
      <w:r w:rsidRPr="009A27ED">
        <w:rPr>
          <w:rStyle w:val="Refdenotaalpie"/>
          <w:rFonts w:asciiTheme="minorHAnsi" w:eastAsia="Times New Roman" w:hAnsiTheme="minorHAnsi"/>
          <w:sz w:val="24"/>
          <w:szCs w:val="22"/>
        </w:rPr>
        <w:footnoteReference w:id="35"/>
      </w:r>
      <w:r w:rsidRPr="009A27ED">
        <w:rPr>
          <w:rFonts w:ascii="Times New Roman" w:eastAsia="Times New Roman" w:hAnsi="Times New Roman"/>
          <w:sz w:val="24"/>
          <w:szCs w:val="22"/>
        </w:rPr>
        <w:t>.</w:t>
      </w:r>
    </w:p>
    <w:p w14:paraId="755D2F43" w14:textId="7D1313F2" w:rsidR="00856730" w:rsidRPr="009A27ED" w:rsidRDefault="005C71C8" w:rsidP="00C40192">
      <w:pPr>
        <w:spacing w:before="120" w:after="0" w:line="360" w:lineRule="auto"/>
        <w:rPr>
          <w:szCs w:val="22"/>
        </w:rPr>
      </w:pPr>
      <w:r w:rsidRPr="009A27ED">
        <w:rPr>
          <w:rFonts w:ascii="Times New Roman" w:eastAsia="Times New Roman" w:hAnsi="Times New Roman"/>
          <w:sz w:val="24"/>
          <w:szCs w:val="22"/>
        </w:rPr>
        <w:t xml:space="preserve">f) </w:t>
      </w:r>
      <w:r w:rsidR="009B6B10" w:rsidRPr="009A27ED">
        <w:rPr>
          <w:rFonts w:ascii="Times New Roman" w:eastAsia="Times New Roman" w:hAnsi="Times New Roman"/>
          <w:sz w:val="24"/>
          <w:szCs w:val="22"/>
          <w:u w:val="single"/>
        </w:rPr>
        <w:t>Derechos</w:t>
      </w:r>
      <w:r w:rsidR="00856730" w:rsidRPr="009A27ED">
        <w:rPr>
          <w:rFonts w:ascii="Times New Roman" w:eastAsia="Times New Roman" w:hAnsi="Times New Roman"/>
          <w:sz w:val="24"/>
          <w:szCs w:val="22"/>
          <w:u w:val="single"/>
        </w:rPr>
        <w:t xml:space="preserve"> de los tenedores informales de la tierra</w:t>
      </w:r>
      <w:r w:rsidR="005F667F" w:rsidRPr="009A27ED">
        <w:rPr>
          <w:rFonts w:ascii="Times New Roman" w:eastAsia="Times New Roman" w:hAnsi="Times New Roman"/>
          <w:sz w:val="24"/>
          <w:szCs w:val="22"/>
        </w:rPr>
        <w:t>.</w:t>
      </w:r>
      <w:r w:rsidR="00856730" w:rsidRPr="009A27ED">
        <w:rPr>
          <w:rFonts w:ascii="Times New Roman" w:eastAsia="Times New Roman" w:hAnsi="Times New Roman"/>
          <w:sz w:val="24"/>
          <w:szCs w:val="22"/>
        </w:rPr>
        <w:t xml:space="preserve"> </w:t>
      </w:r>
      <w:r w:rsidR="009B6B10" w:rsidRPr="009A27ED">
        <w:rPr>
          <w:rFonts w:ascii="Times New Roman" w:eastAsia="Times New Roman" w:hAnsi="Times New Roman"/>
          <w:sz w:val="24"/>
          <w:szCs w:val="22"/>
        </w:rPr>
        <w:t>l</w:t>
      </w:r>
      <w:r w:rsidR="00856730" w:rsidRPr="009A27ED">
        <w:rPr>
          <w:rFonts w:ascii="Times New Roman" w:eastAsia="Times New Roman" w:hAnsi="Times New Roman"/>
          <w:sz w:val="24"/>
          <w:szCs w:val="22"/>
        </w:rPr>
        <w:t xml:space="preserve">as prácticas consuetudinarias y requisitos establecidos para la legitimación de los tenedores informales de la </w:t>
      </w:r>
      <w:proofErr w:type="gramStart"/>
      <w:r w:rsidR="00856730" w:rsidRPr="009A27ED">
        <w:rPr>
          <w:rFonts w:ascii="Times New Roman" w:eastAsia="Times New Roman" w:hAnsi="Times New Roman"/>
          <w:sz w:val="24"/>
          <w:szCs w:val="22"/>
        </w:rPr>
        <w:t>tierra,</w:t>
      </w:r>
      <w:proofErr w:type="gramEnd"/>
      <w:r w:rsidR="00856730" w:rsidRPr="009A27ED">
        <w:rPr>
          <w:rFonts w:ascii="Times New Roman" w:eastAsia="Times New Roman" w:hAnsi="Times New Roman"/>
          <w:sz w:val="24"/>
          <w:szCs w:val="22"/>
        </w:rPr>
        <w:t xml:space="preserve"> permitirán un reconocimiento de derechos sobre el uso de la tierra, lo que les concede una participación igualitaria dentro de la distribución de beneficios.</w:t>
      </w:r>
      <w:r w:rsidR="005C2EAE" w:rsidRPr="009A27ED">
        <w:rPr>
          <w:rFonts w:ascii="Times New Roman" w:eastAsia="Times New Roman" w:hAnsi="Times New Roman"/>
          <w:sz w:val="24"/>
          <w:szCs w:val="22"/>
        </w:rPr>
        <w:t xml:space="preserve"> </w:t>
      </w:r>
      <w:r w:rsidR="00856730" w:rsidRPr="009A27ED">
        <w:rPr>
          <w:rFonts w:ascii="Times New Roman" w:eastAsia="Times New Roman" w:hAnsi="Times New Roman"/>
          <w:sz w:val="24"/>
          <w:szCs w:val="22"/>
        </w:rPr>
        <w:t>Existen prácticas consuetudinarias reconocidas y adoptadas, al margen de las disposiciones legales que establecen un sistema formal de registro del derecho de propiedad, que implican principalmente la ocupación no formal de las tierras, ya sean rurales o urbanas, por parte de particulares que no tienen acceso a la tierra, mediante los procedimientos legales convencionales o se encuentran en alguna fase descontinuada o caduca del proceso de saneamiento.</w:t>
      </w:r>
    </w:p>
    <w:p w14:paraId="445A2200" w14:textId="1E56F161" w:rsidR="00856730" w:rsidRPr="009A27ED" w:rsidRDefault="00856730" w:rsidP="00C40192">
      <w:pPr>
        <w:spacing w:before="120" w:after="0" w:line="360" w:lineRule="auto"/>
        <w:rPr>
          <w:szCs w:val="22"/>
        </w:rPr>
      </w:pPr>
      <w:r w:rsidRPr="009A27ED">
        <w:rPr>
          <w:rFonts w:ascii="Times New Roman" w:eastAsia="Times New Roman" w:hAnsi="Times New Roman"/>
          <w:sz w:val="24"/>
          <w:szCs w:val="22"/>
        </w:rPr>
        <w:t xml:space="preserve">Cuando las tierras ocupadas por grupos sociales son terrenos propiedad del Estado Dominicano, los ocupantes pueden demostrar que poseen estos terrenos porque los cultivan </w:t>
      </w:r>
      <w:r w:rsidRPr="009A27ED">
        <w:rPr>
          <w:rFonts w:ascii="Times New Roman" w:eastAsia="Times New Roman" w:hAnsi="Times New Roman"/>
          <w:sz w:val="24"/>
          <w:szCs w:val="22"/>
        </w:rPr>
        <w:lastRenderedPageBreak/>
        <w:t xml:space="preserve">o los destinan a cualquier otro uso lucrativo (posesión material); porque los tienen cercados o por cualquier otra forma que sirva para determinar su dominio y las colindancias; o porque sus nombres figuran como reclamantes en un plano catastral hecho por el agrimensor que hizo la mensura, la que debe constar en acta de mensura debidamente registrada (posesión teórica), indicando también los años de ocupación (cinco, diez o veinte años), </w:t>
      </w:r>
      <w:r w:rsidRPr="009A27ED">
        <w:rPr>
          <w:rFonts w:ascii="Times New Roman" w:eastAsia="Times New Roman" w:hAnsi="Times New Roman"/>
          <w:sz w:val="24"/>
          <w:szCs w:val="22"/>
          <w:u w:val="single"/>
        </w:rPr>
        <w:t>de manera pública, continua, ininterrumpida, pacífica y a título de propietario</w:t>
      </w:r>
      <w:r w:rsidRPr="009A27ED">
        <w:rPr>
          <w:rFonts w:ascii="Times New Roman" w:eastAsia="Times New Roman" w:hAnsi="Times New Roman"/>
          <w:sz w:val="24"/>
          <w:szCs w:val="22"/>
        </w:rPr>
        <w:t xml:space="preserve">. </w:t>
      </w:r>
      <w:r w:rsidRPr="009A27ED">
        <w:rPr>
          <w:rFonts w:ascii="Times New Roman" w:eastAsia="Times New Roman" w:hAnsi="Times New Roman"/>
          <w:sz w:val="24"/>
          <w:szCs w:val="22"/>
          <w:u w:val="single"/>
        </w:rPr>
        <w:t>En este caso él o la ocupante tienen el derecho de reclamar ante el Tribunal de Tierras la adjudicación de esos derechos por usucapión o prescripción adquisitiva, iniciando de este modo el procedimiento de Saneamiento Catastral</w:t>
      </w:r>
      <w:r w:rsidRPr="009A27ED">
        <w:rPr>
          <w:rFonts w:ascii="Times New Roman" w:eastAsia="Times New Roman" w:hAnsi="Times New Roman"/>
          <w:sz w:val="24"/>
          <w:szCs w:val="22"/>
        </w:rPr>
        <w:t>. Cabe destacar que la posesión prolongada de hecho puede ser admitida demostrando la ocupación por generaciones de familias ocupantes, siempre y cuando pueda documentarse, mediante cualquier medio de prueba admitido por nuestro ordenamiento jurídico.</w:t>
      </w:r>
    </w:p>
    <w:p w14:paraId="128FF09D" w14:textId="3F8844B4" w:rsidR="009B6B10" w:rsidRPr="009A27ED" w:rsidRDefault="009B6B10" w:rsidP="00C40192">
      <w:pPr>
        <w:spacing w:before="120" w:after="0" w:line="360" w:lineRule="auto"/>
        <w:rPr>
          <w:szCs w:val="22"/>
        </w:rPr>
      </w:pPr>
      <w:r w:rsidRPr="009A27ED">
        <w:rPr>
          <w:rFonts w:ascii="Times New Roman" w:eastAsia="Times New Roman" w:hAnsi="Times New Roman"/>
          <w:sz w:val="24"/>
          <w:szCs w:val="22"/>
        </w:rPr>
        <w:t xml:space="preserve">En resumen, el derecho de propiedad tiene un carácter económico privado, y es por esto </w:t>
      </w:r>
      <w:proofErr w:type="gramStart"/>
      <w:r w:rsidRPr="009A27ED">
        <w:rPr>
          <w:rFonts w:ascii="Times New Roman" w:eastAsia="Times New Roman" w:hAnsi="Times New Roman"/>
          <w:sz w:val="24"/>
          <w:szCs w:val="22"/>
        </w:rPr>
        <w:t>que</w:t>
      </w:r>
      <w:proofErr w:type="gramEnd"/>
      <w:r w:rsidRPr="009A27ED">
        <w:rPr>
          <w:rFonts w:ascii="Times New Roman" w:eastAsia="Times New Roman" w:hAnsi="Times New Roman"/>
          <w:sz w:val="24"/>
          <w:szCs w:val="22"/>
        </w:rPr>
        <w:t xml:space="preserve"> las leyes dominicanas disponen de una serie de acciones cuya finalidad es la protección </w:t>
      </w:r>
      <w:proofErr w:type="gramStart"/>
      <w:r w:rsidRPr="009A27ED">
        <w:rPr>
          <w:rFonts w:ascii="Times New Roman" w:eastAsia="Times New Roman" w:hAnsi="Times New Roman"/>
          <w:sz w:val="24"/>
          <w:szCs w:val="22"/>
        </w:rPr>
        <w:t>del mismo</w:t>
      </w:r>
      <w:proofErr w:type="gramEnd"/>
      <w:r w:rsidRPr="009A27ED">
        <w:rPr>
          <w:rFonts w:ascii="Times New Roman" w:eastAsia="Times New Roman" w:hAnsi="Times New Roman"/>
          <w:sz w:val="24"/>
          <w:szCs w:val="22"/>
        </w:rPr>
        <w:t xml:space="preserve"> y la represión de las afectaciones, restricciones o perturbaciones de que pueda haber sido objeto. La Ley 108-05 contiene una serie de procedimientos tendientes a salvaguardar el derecho de propiedad y los demás derechos reales inmobiliarios, garantizando la legalidad de su afectación, de manera concreta, la ley dispone todo un sistema de publicidad inmobiliario en todos los aspectos y en todo tipo de relación legal o convencional que se pueda llevar a cabo sobre los inmuebles registrados, estableciendo las instituciones pertinentes para salvaguardar la eficacia, legalidad y transparencia de los procesos y procedimientos que en ella están contenidos.</w:t>
      </w:r>
    </w:p>
    <w:p w14:paraId="50D72BE5" w14:textId="40A10915" w:rsidR="00856730" w:rsidRPr="009A27ED" w:rsidRDefault="00856730" w:rsidP="00E67CB0">
      <w:pPr>
        <w:pStyle w:val="Prrafodelista"/>
        <w:numPr>
          <w:ilvl w:val="0"/>
          <w:numId w:val="294"/>
        </w:numPr>
        <w:spacing w:before="120" w:after="0" w:line="360" w:lineRule="auto"/>
        <w:rPr>
          <w:szCs w:val="22"/>
        </w:rPr>
      </w:pPr>
      <w:r w:rsidRPr="009A27ED">
        <w:rPr>
          <w:rFonts w:ascii="Times New Roman" w:eastAsia="Times New Roman" w:hAnsi="Times New Roman"/>
          <w:b/>
          <w:sz w:val="24"/>
          <w:szCs w:val="22"/>
        </w:rPr>
        <w:t>Brechas, vacíos y ambigüedades del régimen de tenencia de la tierra</w:t>
      </w:r>
      <w:r w:rsidRPr="009A27ED">
        <w:rPr>
          <w:rFonts w:ascii="Times New Roman" w:eastAsia="Times New Roman" w:hAnsi="Times New Roman"/>
          <w:sz w:val="24"/>
          <w:szCs w:val="22"/>
        </w:rPr>
        <w:t xml:space="preserve"> </w:t>
      </w:r>
    </w:p>
    <w:p w14:paraId="67532345" w14:textId="77777777" w:rsidR="00856730" w:rsidRPr="009A27ED" w:rsidRDefault="00856730" w:rsidP="00C40192">
      <w:pPr>
        <w:spacing w:before="120" w:after="0" w:line="360" w:lineRule="auto"/>
        <w:rPr>
          <w:szCs w:val="22"/>
        </w:rPr>
      </w:pPr>
      <w:r w:rsidRPr="009A27ED">
        <w:rPr>
          <w:rFonts w:ascii="Times New Roman" w:eastAsia="Times New Roman" w:hAnsi="Times New Roman"/>
          <w:sz w:val="24"/>
          <w:szCs w:val="22"/>
        </w:rPr>
        <w:t xml:space="preserve">La certeza jurídica de los derechos de tenencia de la tierra es uno de los principales retos del país. La mayor parte de las tierras en la República Dominicana no está sujeta a ningún derecho de propiedad registrado y se caracteriza por estar altamente concentrada. </w:t>
      </w:r>
    </w:p>
    <w:p w14:paraId="7B7D014E" w14:textId="77777777" w:rsidR="00856730" w:rsidRPr="009A27ED" w:rsidRDefault="00856730" w:rsidP="00C40192">
      <w:pPr>
        <w:spacing w:before="120" w:after="0" w:line="360" w:lineRule="auto"/>
        <w:rPr>
          <w:szCs w:val="22"/>
        </w:rPr>
      </w:pPr>
      <w:r w:rsidRPr="009A27ED">
        <w:rPr>
          <w:rFonts w:ascii="Times New Roman" w:eastAsia="Times New Roman" w:hAnsi="Times New Roman"/>
          <w:sz w:val="24"/>
          <w:szCs w:val="22"/>
        </w:rPr>
        <w:t xml:space="preserve">De manera general, el sector más pobre de la población rural no tiene tierra, o bien posee parcelas agrícolas muy pequeñas, y la mayoría de las personas, tanto en áreas urbanas como rurales, carecen de derechos formales sobre sus tierras. Hacia el año 2012, se estimaba que sólo un 25% de la tierra agrícola del país estaba registrada (principalmente latifundios y </w:t>
      </w:r>
      <w:r w:rsidRPr="009A27ED">
        <w:rPr>
          <w:rFonts w:ascii="Times New Roman" w:eastAsia="Times New Roman" w:hAnsi="Times New Roman"/>
          <w:sz w:val="24"/>
          <w:szCs w:val="22"/>
        </w:rPr>
        <w:lastRenderedPageBreak/>
        <w:t xml:space="preserve">tierras de gran valor), y entre un 25% y un 50% de los residentes en áreas urbanas contaban con títulos formales de propiedad inmobiliaria. Asimismo, en los casos en que la tierra no está registrada o se compruebe que no cumple con las características para optar por el reconocimiento de la tenencia informal por prescripción adquisitiva, se presume que es de propiedad del Estado conforme a las disposiciones de la Ley No.108-05 sobre Registro Inmobiliario. </w:t>
      </w:r>
    </w:p>
    <w:p w14:paraId="05A7F51E" w14:textId="544DF69F" w:rsidR="00856730" w:rsidRPr="009A27ED" w:rsidRDefault="00856730" w:rsidP="00883AC1">
      <w:pPr>
        <w:spacing w:line="360" w:lineRule="auto"/>
        <w:rPr>
          <w:szCs w:val="22"/>
        </w:rPr>
      </w:pPr>
      <w:r w:rsidRPr="009A27ED">
        <w:rPr>
          <w:rFonts w:ascii="Times New Roman" w:eastAsia="Times New Roman" w:hAnsi="Times New Roman"/>
          <w:sz w:val="24"/>
          <w:szCs w:val="22"/>
        </w:rPr>
        <w:t xml:space="preserve">Según se destaca en un estudio realizado por el Programa REDD/CCAD-GIZ en el año 2013, una de las debilidades relacionadas con la propiedad de las tierras radica en que la mayoría de los pequeños productores carecen de un título de propiedad respecto de los predios que sus familias han trabajado por generaciones. Sin </w:t>
      </w:r>
      <w:r w:rsidR="003010DC" w:rsidRPr="009A27ED">
        <w:rPr>
          <w:rFonts w:ascii="Times New Roman" w:eastAsia="Times New Roman" w:hAnsi="Times New Roman"/>
          <w:sz w:val="24"/>
          <w:szCs w:val="22"/>
        </w:rPr>
        <w:t>embargo, se</w:t>
      </w:r>
      <w:r w:rsidRPr="009A27ED">
        <w:rPr>
          <w:rFonts w:ascii="Times New Roman" w:eastAsia="Times New Roman" w:hAnsi="Times New Roman"/>
          <w:sz w:val="24"/>
          <w:szCs w:val="22"/>
        </w:rPr>
        <w:t xml:space="preserve"> debe destacar el esfuerzo realizado por el Estado, a través del Instituto Agrario Dominicano, para emitir títulos provisionales en favor de estos productores tenedores de tierra de la Reforma Agraria, mediante un proceso rápido y simple, como alternativa al proceso de titulación formal establecido en nuestra Ley de Registro Inmobiliario. La tenencia derivada de este proceso de titulación provisional goza de la presunción legal y legitimidad </w:t>
      </w:r>
      <w:r w:rsidR="003010DC" w:rsidRPr="009A27ED">
        <w:rPr>
          <w:rFonts w:ascii="Times New Roman" w:eastAsia="Times New Roman" w:hAnsi="Times New Roman"/>
          <w:sz w:val="24"/>
          <w:szCs w:val="22"/>
        </w:rPr>
        <w:t>suficiente para</w:t>
      </w:r>
      <w:r w:rsidRPr="009A27ED">
        <w:rPr>
          <w:rFonts w:ascii="Times New Roman" w:eastAsia="Times New Roman" w:hAnsi="Times New Roman"/>
          <w:sz w:val="24"/>
          <w:szCs w:val="22"/>
        </w:rPr>
        <w:t xml:space="preserve"> ser reconocida como una forma de acceder a la propiedad sin tener que proceder a la titulación formal.   </w:t>
      </w:r>
    </w:p>
    <w:p w14:paraId="371417BE" w14:textId="40F34965" w:rsidR="00856730" w:rsidRPr="009A27ED" w:rsidRDefault="00856730" w:rsidP="00C40192">
      <w:pPr>
        <w:spacing w:before="120" w:after="0" w:line="360" w:lineRule="auto"/>
        <w:rPr>
          <w:szCs w:val="22"/>
        </w:rPr>
      </w:pPr>
      <w:r w:rsidRPr="009A27ED">
        <w:rPr>
          <w:rFonts w:ascii="Times New Roman" w:eastAsia="Times New Roman" w:hAnsi="Times New Roman"/>
          <w:sz w:val="24"/>
          <w:szCs w:val="22"/>
        </w:rPr>
        <w:t xml:space="preserve">Por lo anterior, </w:t>
      </w:r>
      <w:r w:rsidR="00C4641F" w:rsidRPr="009A27ED">
        <w:rPr>
          <w:rFonts w:ascii="Times New Roman" w:eastAsia="Times New Roman" w:hAnsi="Times New Roman"/>
          <w:sz w:val="24"/>
          <w:szCs w:val="22"/>
        </w:rPr>
        <w:t xml:space="preserve">se establece </w:t>
      </w:r>
      <w:r w:rsidR="003010DC" w:rsidRPr="009A27ED">
        <w:rPr>
          <w:rFonts w:ascii="Times New Roman" w:eastAsia="Times New Roman" w:hAnsi="Times New Roman"/>
          <w:sz w:val="24"/>
          <w:szCs w:val="22"/>
        </w:rPr>
        <w:t>que,</w:t>
      </w:r>
      <w:r w:rsidRPr="009A27ED">
        <w:rPr>
          <w:rFonts w:ascii="Times New Roman" w:eastAsia="Times New Roman" w:hAnsi="Times New Roman"/>
          <w:sz w:val="24"/>
          <w:szCs w:val="22"/>
        </w:rPr>
        <w:t xml:space="preserve"> si bien el régimen formal de tenencia de la </w:t>
      </w:r>
      <w:r w:rsidR="003010DC" w:rsidRPr="009A27ED">
        <w:rPr>
          <w:rFonts w:ascii="Times New Roman" w:eastAsia="Times New Roman" w:hAnsi="Times New Roman"/>
          <w:sz w:val="24"/>
          <w:szCs w:val="22"/>
        </w:rPr>
        <w:t>tierra constituye</w:t>
      </w:r>
      <w:r w:rsidRPr="009A27ED">
        <w:rPr>
          <w:rFonts w:ascii="Times New Roman" w:eastAsia="Times New Roman" w:hAnsi="Times New Roman"/>
          <w:sz w:val="24"/>
          <w:szCs w:val="22"/>
        </w:rPr>
        <w:t xml:space="preserve"> un aspecto importante en la determinación del uso de ésta, la tenencia informal en la República Dominicana no representa un obstáculo para el reconocimiento de los beneficios derivados de la reducción de emisiones que podrán recibir los poseedores de hecho. </w:t>
      </w:r>
    </w:p>
    <w:p w14:paraId="469A7A79" w14:textId="3F2BDB0E" w:rsidR="00856730" w:rsidRPr="009A27ED" w:rsidRDefault="00856730" w:rsidP="00E67CB0">
      <w:pPr>
        <w:pStyle w:val="Bodytext20"/>
        <w:numPr>
          <w:ilvl w:val="0"/>
          <w:numId w:val="294"/>
        </w:numPr>
        <w:shd w:val="clear" w:color="auto" w:fill="auto"/>
        <w:spacing w:before="120" w:after="0" w:line="360" w:lineRule="auto"/>
        <w:rPr>
          <w:rFonts w:cstheme="minorHAnsi"/>
          <w:b/>
          <w:szCs w:val="22"/>
          <w:lang w:val="es-ES"/>
        </w:rPr>
      </w:pPr>
      <w:r w:rsidRPr="009A27ED">
        <w:rPr>
          <w:rFonts w:ascii="Times New Roman" w:eastAsia="Times New Roman" w:hAnsi="Times New Roman" w:cstheme="minorHAnsi"/>
          <w:b/>
          <w:sz w:val="24"/>
          <w:szCs w:val="22"/>
          <w:lang w:val="es-ES"/>
        </w:rPr>
        <w:t xml:space="preserve">Impacto de la </w:t>
      </w:r>
      <w:r w:rsidR="006A73FA" w:rsidRPr="009A27ED">
        <w:rPr>
          <w:rFonts w:ascii="Times New Roman" w:eastAsia="Times New Roman" w:hAnsi="Times New Roman" w:cstheme="minorHAnsi"/>
          <w:b/>
          <w:sz w:val="24"/>
          <w:szCs w:val="22"/>
          <w:lang w:val="es-ES"/>
        </w:rPr>
        <w:t>t</w:t>
      </w:r>
      <w:r w:rsidRPr="009A27ED">
        <w:rPr>
          <w:rFonts w:ascii="Times New Roman" w:eastAsia="Times New Roman" w:hAnsi="Times New Roman" w:cstheme="minorHAnsi"/>
          <w:b/>
          <w:sz w:val="24"/>
          <w:szCs w:val="22"/>
          <w:lang w:val="es-ES"/>
        </w:rPr>
        <w:t xml:space="preserve">enencia de la </w:t>
      </w:r>
      <w:r w:rsidR="006A73FA" w:rsidRPr="009A27ED">
        <w:rPr>
          <w:rFonts w:ascii="Times New Roman" w:eastAsia="Times New Roman" w:hAnsi="Times New Roman" w:cstheme="minorHAnsi"/>
          <w:b/>
          <w:sz w:val="24"/>
          <w:szCs w:val="22"/>
          <w:lang w:val="es-ES"/>
        </w:rPr>
        <w:t>t</w:t>
      </w:r>
      <w:r w:rsidRPr="009A27ED">
        <w:rPr>
          <w:rFonts w:ascii="Times New Roman" w:eastAsia="Times New Roman" w:hAnsi="Times New Roman" w:cstheme="minorHAnsi"/>
          <w:b/>
          <w:sz w:val="24"/>
          <w:szCs w:val="22"/>
          <w:lang w:val="es-ES"/>
        </w:rPr>
        <w:t xml:space="preserve">ierra en la implementación del </w:t>
      </w:r>
      <w:r w:rsidR="00124B63" w:rsidRPr="009A27ED">
        <w:rPr>
          <w:rFonts w:ascii="Times New Roman" w:eastAsia="Times New Roman" w:hAnsi="Times New Roman" w:cstheme="minorHAnsi"/>
          <w:b/>
          <w:sz w:val="24"/>
          <w:szCs w:val="22"/>
          <w:lang w:val="es-ES"/>
        </w:rPr>
        <w:t>Programa REDD+</w:t>
      </w:r>
      <w:r w:rsidRPr="009A27ED">
        <w:rPr>
          <w:rFonts w:ascii="Times New Roman" w:eastAsia="Times New Roman" w:hAnsi="Times New Roman" w:cstheme="minorHAnsi"/>
          <w:b/>
          <w:sz w:val="24"/>
          <w:szCs w:val="22"/>
          <w:lang w:val="es-ES"/>
        </w:rPr>
        <w:t>.</w:t>
      </w:r>
    </w:p>
    <w:p w14:paraId="11DEFEB5" w14:textId="1945EC2E" w:rsidR="00856730" w:rsidRPr="009A27ED" w:rsidRDefault="00856730" w:rsidP="00C40192">
      <w:pPr>
        <w:pStyle w:val="Bodytext20"/>
        <w:shd w:val="clear" w:color="auto" w:fill="auto"/>
        <w:spacing w:before="120" w:after="0" w:line="360" w:lineRule="auto"/>
        <w:rPr>
          <w:rFonts w:cstheme="minorHAnsi"/>
          <w:szCs w:val="22"/>
          <w:lang w:val="es-ES"/>
        </w:rPr>
      </w:pPr>
      <w:r w:rsidRPr="009A27ED">
        <w:rPr>
          <w:rFonts w:ascii="Times New Roman" w:eastAsia="Times New Roman" w:hAnsi="Times New Roman" w:cstheme="minorHAnsi"/>
          <w:sz w:val="24"/>
          <w:szCs w:val="22"/>
          <w:lang w:val="es-ES"/>
        </w:rPr>
        <w:t xml:space="preserve">El régimen de tenencia de la tierra en la República Dominicana presenta, a primera impresión, algunas dificultades para acceder a derechos formales de propiedad.  </w:t>
      </w:r>
      <w:r w:rsidR="00434410" w:rsidRPr="009A27ED">
        <w:rPr>
          <w:rFonts w:ascii="Times New Roman" w:eastAsia="Times New Roman" w:hAnsi="Times New Roman" w:cstheme="minorHAnsi"/>
          <w:sz w:val="24"/>
          <w:szCs w:val="22"/>
          <w:lang w:val="es-ES"/>
        </w:rPr>
        <w:t xml:space="preserve">Sin embargo, la implementación efectiva de un </w:t>
      </w:r>
      <w:r w:rsidR="00124B63" w:rsidRPr="009A27ED">
        <w:rPr>
          <w:rFonts w:ascii="Times New Roman" w:eastAsia="Times New Roman" w:hAnsi="Times New Roman" w:cstheme="minorHAnsi"/>
          <w:sz w:val="24"/>
          <w:szCs w:val="22"/>
          <w:lang w:val="es-ES"/>
        </w:rPr>
        <w:t>Programa REDD+</w:t>
      </w:r>
      <w:r w:rsidR="00434410" w:rsidRPr="009A27ED">
        <w:rPr>
          <w:rFonts w:ascii="Times New Roman" w:eastAsia="Times New Roman" w:hAnsi="Times New Roman" w:cstheme="minorHAnsi"/>
          <w:sz w:val="24"/>
          <w:szCs w:val="22"/>
          <w:lang w:val="es-ES"/>
        </w:rPr>
        <w:t xml:space="preserve">, desde el punto de vista de los arreglos institucionales a ser formalizados como consecuencia de la ejecución de las líneas de acción planteadas por el </w:t>
      </w:r>
      <w:r w:rsidR="00124B63" w:rsidRPr="009A27ED">
        <w:rPr>
          <w:rFonts w:ascii="Times New Roman" w:eastAsia="Times New Roman" w:hAnsi="Times New Roman" w:cstheme="minorHAnsi"/>
          <w:sz w:val="24"/>
          <w:szCs w:val="22"/>
          <w:lang w:val="es-ES"/>
        </w:rPr>
        <w:t>Programa REDD+</w:t>
      </w:r>
      <w:r w:rsidR="00434410" w:rsidRPr="009A27ED">
        <w:rPr>
          <w:rFonts w:ascii="Times New Roman" w:eastAsia="Times New Roman" w:hAnsi="Times New Roman" w:cstheme="minorHAnsi"/>
          <w:sz w:val="24"/>
          <w:szCs w:val="22"/>
          <w:lang w:val="es-ES"/>
        </w:rPr>
        <w:t xml:space="preserve"> provocará consecuencias positivas respecto a los vacíos y brechas identificados en párrafos previos. </w:t>
      </w:r>
      <w:r w:rsidRPr="009A27ED">
        <w:rPr>
          <w:rFonts w:ascii="Times New Roman" w:eastAsia="Times New Roman" w:hAnsi="Times New Roman" w:cstheme="minorHAnsi"/>
          <w:sz w:val="24"/>
          <w:szCs w:val="22"/>
          <w:lang w:val="es-ES"/>
        </w:rPr>
        <w:t xml:space="preserve">A este efecto, durante las consultas realizadas para la Evaluación Estratégica Ambiental y Social (SESA) con los actores y programas involucrados, se determinó que las alternativas planteadas para el reconocimiento y legitimación de la tenencia informal no representarán restricciones al acceso de los </w:t>
      </w:r>
      <w:r w:rsidRPr="009A27ED">
        <w:rPr>
          <w:rFonts w:ascii="Times New Roman" w:eastAsia="Times New Roman" w:hAnsi="Times New Roman" w:cstheme="minorHAnsi"/>
          <w:sz w:val="24"/>
          <w:szCs w:val="22"/>
          <w:lang w:val="es-ES"/>
        </w:rPr>
        <w:lastRenderedPageBreak/>
        <w:t xml:space="preserve">beneficios. Esto </w:t>
      </w:r>
      <w:r w:rsidR="009C0833" w:rsidRPr="009A27ED">
        <w:rPr>
          <w:rFonts w:ascii="Times New Roman" w:eastAsia="Times New Roman" w:hAnsi="Times New Roman" w:cstheme="minorHAnsi"/>
          <w:sz w:val="24"/>
          <w:szCs w:val="22"/>
          <w:lang w:val="es-ES"/>
        </w:rPr>
        <w:t>se ve</w:t>
      </w:r>
      <w:r w:rsidRPr="009A27ED">
        <w:rPr>
          <w:rFonts w:ascii="Times New Roman" w:eastAsia="Times New Roman" w:hAnsi="Times New Roman" w:cstheme="minorHAnsi"/>
          <w:sz w:val="24"/>
          <w:szCs w:val="22"/>
          <w:lang w:val="es-ES"/>
        </w:rPr>
        <w:t xml:space="preserve"> reflejado en la Tabla de Comentarios recibidos en los talleres regionales SES y las reuniones del Comité Técnico Asesor que se incluye en el Capítulo 5.2 del </w:t>
      </w:r>
      <w:r w:rsidR="00124B63" w:rsidRPr="009A27ED">
        <w:rPr>
          <w:rFonts w:ascii="Times New Roman" w:eastAsia="Times New Roman" w:hAnsi="Times New Roman" w:cstheme="minorHAnsi"/>
          <w:sz w:val="24"/>
          <w:szCs w:val="22"/>
          <w:lang w:val="es-ES"/>
        </w:rPr>
        <w:t>Programa REDD+</w:t>
      </w:r>
      <w:r w:rsidR="00A41005" w:rsidRPr="009A27ED">
        <w:rPr>
          <w:rFonts w:ascii="Times New Roman" w:eastAsia="Times New Roman" w:hAnsi="Times New Roman" w:cstheme="minorHAnsi"/>
          <w:sz w:val="24"/>
          <w:szCs w:val="22"/>
          <w:lang w:val="es-ES"/>
        </w:rPr>
        <w:t xml:space="preserve"> </w:t>
      </w:r>
      <w:r w:rsidRPr="009A27ED">
        <w:rPr>
          <w:rFonts w:ascii="Times New Roman" w:eastAsia="Times New Roman" w:hAnsi="Times New Roman" w:cstheme="minorHAnsi"/>
          <w:sz w:val="24"/>
          <w:szCs w:val="22"/>
          <w:lang w:val="es-ES"/>
        </w:rPr>
        <w:t>(“</w:t>
      </w:r>
      <w:r w:rsidR="009B6B10" w:rsidRPr="009A27ED">
        <w:rPr>
          <w:rFonts w:ascii="Times New Roman" w:eastAsia="Times New Roman" w:hAnsi="Times New Roman" w:cstheme="minorHAnsi"/>
          <w:sz w:val="24"/>
          <w:szCs w:val="22"/>
          <w:lang w:val="es-ES"/>
        </w:rPr>
        <w:t xml:space="preserve">Resumen de comentarios recibidos y como han sido tomados en consideración en el diseño e implementación del </w:t>
      </w:r>
      <w:r w:rsidR="00124B63" w:rsidRPr="009A27ED">
        <w:rPr>
          <w:rFonts w:ascii="Times New Roman" w:eastAsia="Times New Roman" w:hAnsi="Times New Roman" w:cstheme="minorHAnsi"/>
          <w:sz w:val="24"/>
          <w:szCs w:val="22"/>
          <w:lang w:val="es-ES"/>
        </w:rPr>
        <w:t>Programa REDD+</w:t>
      </w:r>
      <w:r w:rsidR="009B6B10" w:rsidRPr="009A27ED">
        <w:rPr>
          <w:rFonts w:ascii="Times New Roman" w:eastAsia="Times New Roman" w:hAnsi="Times New Roman" w:cstheme="minorHAnsi"/>
          <w:sz w:val="24"/>
          <w:szCs w:val="22"/>
          <w:lang w:val="es-ES"/>
        </w:rPr>
        <w:t>”</w:t>
      </w:r>
    </w:p>
    <w:p w14:paraId="7572953B" w14:textId="2A82510B" w:rsidR="009B6B10" w:rsidRPr="009A27ED" w:rsidRDefault="00856730" w:rsidP="009B6B10">
      <w:pPr>
        <w:shd w:val="clear" w:color="auto" w:fill="FFFFFF"/>
        <w:spacing w:before="120" w:after="0" w:line="360" w:lineRule="auto"/>
        <w:rPr>
          <w:szCs w:val="22"/>
        </w:rPr>
      </w:pPr>
      <w:r w:rsidRPr="009A27ED">
        <w:rPr>
          <w:rFonts w:ascii="Times New Roman" w:eastAsia="Times New Roman" w:hAnsi="Times New Roman"/>
          <w:sz w:val="24"/>
          <w:szCs w:val="22"/>
        </w:rPr>
        <w:t xml:space="preserve">En este sentido, el </w:t>
      </w:r>
      <w:r w:rsidR="00124B63" w:rsidRPr="009A27ED">
        <w:rPr>
          <w:rFonts w:ascii="Times New Roman" w:eastAsia="Times New Roman" w:hAnsi="Times New Roman"/>
          <w:sz w:val="24"/>
          <w:szCs w:val="22"/>
        </w:rPr>
        <w:t>Programa REDD</w:t>
      </w:r>
      <w:r w:rsidR="00434410" w:rsidRPr="009A27ED">
        <w:rPr>
          <w:rFonts w:ascii="Times New Roman" w:eastAsia="Times New Roman" w:hAnsi="Times New Roman"/>
          <w:sz w:val="24"/>
          <w:szCs w:val="22"/>
        </w:rPr>
        <w:t>+ presentado</w:t>
      </w:r>
      <w:r w:rsidRPr="009A27ED">
        <w:rPr>
          <w:rFonts w:ascii="Times New Roman" w:eastAsia="Times New Roman" w:hAnsi="Times New Roman"/>
          <w:sz w:val="24"/>
          <w:szCs w:val="22"/>
        </w:rPr>
        <w:t xml:space="preserve"> busca apoyar y facilitar el cumplimiento de los marcos legales existentes. A este efecto, se contempla el levantamiento de información y generación de datos de aquellos usufructuarios informales que cumplan con los requisitos necesarios para la prescripción adquisitiva, y que podrán calificar para iniciar el proceso formal de titulación ante la Jurisdicción Inmobiliaria. En esa medida, se podrá proporcionar a los actuales ocupantes la calidad de propietarios, produciendo una mayor seguridad jurídica y consecuentemente, mejores posibilidades de acceder a los mecanismos de compensación y fuentes de financiamiento que les permitan hacer uso apropiado de la tierra</w:t>
      </w:r>
      <w:r w:rsidR="009B6B10" w:rsidRPr="009A27ED">
        <w:rPr>
          <w:rFonts w:ascii="Times New Roman" w:eastAsia="Times New Roman" w:hAnsi="Times New Roman"/>
          <w:sz w:val="24"/>
          <w:szCs w:val="22"/>
        </w:rPr>
        <w:t xml:space="preserve">, integrándolos en la conservación y gestión de estas áreas. </w:t>
      </w:r>
    </w:p>
    <w:p w14:paraId="5B4F0CB6" w14:textId="646BCC8A" w:rsidR="00856730" w:rsidRPr="009A27ED" w:rsidRDefault="00856730" w:rsidP="00EF3D6B">
      <w:pPr>
        <w:autoSpaceDE w:val="0"/>
        <w:autoSpaceDN w:val="0"/>
        <w:adjustRightInd w:val="0"/>
        <w:spacing w:before="120" w:after="0" w:line="360" w:lineRule="auto"/>
        <w:rPr>
          <w:color w:val="000000"/>
          <w:szCs w:val="22"/>
        </w:rPr>
      </w:pPr>
      <w:r w:rsidRPr="009A27ED">
        <w:rPr>
          <w:rFonts w:ascii="Times New Roman" w:eastAsia="Times New Roman" w:hAnsi="Times New Roman"/>
          <w:color w:val="000000"/>
          <w:sz w:val="24"/>
          <w:szCs w:val="22"/>
        </w:rPr>
        <w:t xml:space="preserve">En lo que respecta al reconocimiento de las posesiones de hecho, existen en la actualidad mecanismos consuetudinarios reconocidos legalmente, que permiten avalar las intervenciones pacíficas bajo el esquema de la prescripción adquisitiva o presunción de legalidad de la tenencia informal. </w:t>
      </w:r>
      <w:r w:rsidRPr="009A27ED">
        <w:rPr>
          <w:rFonts w:ascii="Times New Roman" w:eastAsia="Times New Roman" w:hAnsi="Times New Roman"/>
          <w:iCs/>
          <w:sz w:val="24"/>
          <w:szCs w:val="22"/>
        </w:rPr>
        <w:t>Para el reconocimiento de esta presunción de legalidad de la tenencia de la tierra informal en</w:t>
      </w:r>
      <w:r w:rsidRPr="009A27ED">
        <w:rPr>
          <w:rFonts w:ascii="Times New Roman" w:eastAsia="Times New Roman" w:hAnsi="Times New Roman"/>
          <w:color w:val="000000"/>
          <w:sz w:val="24"/>
          <w:szCs w:val="22"/>
        </w:rPr>
        <w:t xml:space="preserve"> la implementación del </w:t>
      </w:r>
      <w:r w:rsidR="00124B63" w:rsidRPr="009A27ED">
        <w:rPr>
          <w:rFonts w:ascii="Times New Roman" w:eastAsia="Times New Roman" w:hAnsi="Times New Roman"/>
          <w:color w:val="000000"/>
          <w:sz w:val="24"/>
          <w:szCs w:val="22"/>
        </w:rPr>
        <w:t>Programa REDD+</w:t>
      </w:r>
      <w:r w:rsidRPr="009A27ED">
        <w:rPr>
          <w:rFonts w:ascii="Times New Roman" w:eastAsia="Times New Roman" w:hAnsi="Times New Roman"/>
          <w:color w:val="000000"/>
          <w:sz w:val="24"/>
          <w:szCs w:val="22"/>
        </w:rPr>
        <w:t>, se pueden considerar válidos los siguientes documentos o actos, a saber:</w:t>
      </w:r>
    </w:p>
    <w:p w14:paraId="715BF45E" w14:textId="77777777" w:rsidR="00856730" w:rsidRPr="009A27ED" w:rsidRDefault="00856730" w:rsidP="00E67CB0">
      <w:pPr>
        <w:pStyle w:val="Prrafodelista"/>
        <w:numPr>
          <w:ilvl w:val="0"/>
          <w:numId w:val="150"/>
        </w:numPr>
        <w:autoSpaceDE w:val="0"/>
        <w:autoSpaceDN w:val="0"/>
        <w:adjustRightInd w:val="0"/>
        <w:spacing w:before="120" w:after="0" w:line="360" w:lineRule="auto"/>
        <w:rPr>
          <w:color w:val="000000"/>
          <w:szCs w:val="22"/>
        </w:rPr>
      </w:pPr>
      <w:r w:rsidRPr="009A27ED">
        <w:rPr>
          <w:rFonts w:ascii="Times New Roman" w:eastAsia="Times New Roman" w:hAnsi="Times New Roman"/>
          <w:color w:val="000000"/>
          <w:sz w:val="24"/>
          <w:szCs w:val="22"/>
        </w:rPr>
        <w:t xml:space="preserve">Acto de compra notarizado inscrito y transcrito de terrenos comuneros sin mensurar a ocupante. </w:t>
      </w:r>
    </w:p>
    <w:p w14:paraId="6FBAAD63" w14:textId="77777777" w:rsidR="00856730" w:rsidRPr="009A27ED" w:rsidRDefault="00856730" w:rsidP="00E67CB0">
      <w:pPr>
        <w:pStyle w:val="Prrafodelista"/>
        <w:numPr>
          <w:ilvl w:val="0"/>
          <w:numId w:val="150"/>
        </w:numPr>
        <w:autoSpaceDE w:val="0"/>
        <w:autoSpaceDN w:val="0"/>
        <w:adjustRightInd w:val="0"/>
        <w:spacing w:after="0" w:line="360" w:lineRule="auto"/>
        <w:rPr>
          <w:color w:val="000000"/>
          <w:szCs w:val="22"/>
        </w:rPr>
      </w:pPr>
      <w:r w:rsidRPr="009A27ED">
        <w:rPr>
          <w:rFonts w:ascii="Times New Roman" w:eastAsia="Times New Roman" w:hAnsi="Times New Roman"/>
          <w:color w:val="000000"/>
          <w:sz w:val="24"/>
          <w:szCs w:val="22"/>
        </w:rPr>
        <w:t xml:space="preserve">Acto de compra notarizado inscrito y transcrito de terrenos comuneros sin mensurar a ocupante. </w:t>
      </w:r>
    </w:p>
    <w:p w14:paraId="679AADD1" w14:textId="22474983" w:rsidR="00856730" w:rsidRPr="009A27ED" w:rsidRDefault="00856730" w:rsidP="00E67CB0">
      <w:pPr>
        <w:pStyle w:val="Prrafodelista"/>
        <w:numPr>
          <w:ilvl w:val="0"/>
          <w:numId w:val="150"/>
        </w:numPr>
        <w:autoSpaceDE w:val="0"/>
        <w:autoSpaceDN w:val="0"/>
        <w:adjustRightInd w:val="0"/>
        <w:spacing w:after="0" w:line="360" w:lineRule="auto"/>
        <w:rPr>
          <w:iCs/>
          <w:color w:val="000000"/>
          <w:szCs w:val="22"/>
        </w:rPr>
      </w:pPr>
      <w:r w:rsidRPr="009A27ED">
        <w:rPr>
          <w:rFonts w:ascii="Times New Roman" w:eastAsia="Times New Roman" w:hAnsi="Times New Roman"/>
          <w:color w:val="000000"/>
          <w:sz w:val="24"/>
          <w:szCs w:val="22"/>
        </w:rPr>
        <w:t xml:space="preserve">Acto de </w:t>
      </w:r>
      <w:proofErr w:type="gramStart"/>
      <w:r w:rsidRPr="009A27ED">
        <w:rPr>
          <w:rFonts w:ascii="Times New Roman" w:eastAsia="Times New Roman" w:hAnsi="Times New Roman"/>
          <w:color w:val="000000"/>
          <w:sz w:val="24"/>
          <w:szCs w:val="22"/>
        </w:rPr>
        <w:t>compra-venta</w:t>
      </w:r>
      <w:proofErr w:type="gramEnd"/>
      <w:r w:rsidRPr="009A27ED">
        <w:rPr>
          <w:rFonts w:ascii="Times New Roman" w:eastAsia="Times New Roman" w:hAnsi="Times New Roman"/>
          <w:color w:val="000000"/>
          <w:sz w:val="24"/>
          <w:szCs w:val="22"/>
        </w:rPr>
        <w:t xml:space="preserve"> con alcalde como testigo, no notarizado. </w:t>
      </w:r>
    </w:p>
    <w:p w14:paraId="340B18B2" w14:textId="442FB103" w:rsidR="00856730" w:rsidRPr="009A27ED" w:rsidRDefault="00856730" w:rsidP="00E67CB0">
      <w:pPr>
        <w:pStyle w:val="Prrafodelista"/>
        <w:numPr>
          <w:ilvl w:val="0"/>
          <w:numId w:val="150"/>
        </w:numPr>
        <w:autoSpaceDE w:val="0"/>
        <w:autoSpaceDN w:val="0"/>
        <w:adjustRightInd w:val="0"/>
        <w:spacing w:after="0" w:line="360" w:lineRule="auto"/>
        <w:rPr>
          <w:iCs/>
          <w:szCs w:val="22"/>
        </w:rPr>
      </w:pPr>
      <w:r w:rsidRPr="009A27ED">
        <w:rPr>
          <w:rFonts w:ascii="Times New Roman" w:eastAsia="Times New Roman" w:hAnsi="Times New Roman"/>
          <w:iCs/>
          <w:sz w:val="24"/>
          <w:szCs w:val="22"/>
        </w:rPr>
        <w:t xml:space="preserve">Acto de </w:t>
      </w:r>
      <w:proofErr w:type="gramStart"/>
      <w:r w:rsidRPr="009A27ED">
        <w:rPr>
          <w:rFonts w:ascii="Times New Roman" w:eastAsia="Times New Roman" w:hAnsi="Times New Roman"/>
          <w:iCs/>
          <w:sz w:val="24"/>
          <w:szCs w:val="22"/>
        </w:rPr>
        <w:t>compra-venta</w:t>
      </w:r>
      <w:proofErr w:type="gramEnd"/>
      <w:r w:rsidRPr="009A27ED">
        <w:rPr>
          <w:rFonts w:ascii="Times New Roman" w:eastAsia="Times New Roman" w:hAnsi="Times New Roman"/>
          <w:iCs/>
          <w:sz w:val="24"/>
          <w:szCs w:val="22"/>
        </w:rPr>
        <w:t xml:space="preserve"> de terrenos mensurados</w:t>
      </w:r>
    </w:p>
    <w:p w14:paraId="28BF427A" w14:textId="3629F41C" w:rsidR="00856730" w:rsidRPr="009A27ED" w:rsidRDefault="00856730" w:rsidP="00E67CB0">
      <w:pPr>
        <w:pStyle w:val="Prrafodelista"/>
        <w:numPr>
          <w:ilvl w:val="0"/>
          <w:numId w:val="150"/>
        </w:numPr>
        <w:autoSpaceDE w:val="0"/>
        <w:autoSpaceDN w:val="0"/>
        <w:adjustRightInd w:val="0"/>
        <w:spacing w:after="0" w:line="360" w:lineRule="auto"/>
        <w:rPr>
          <w:iCs/>
          <w:szCs w:val="22"/>
        </w:rPr>
      </w:pPr>
      <w:r w:rsidRPr="009A27ED">
        <w:rPr>
          <w:rFonts w:ascii="Times New Roman" w:eastAsia="Times New Roman" w:hAnsi="Times New Roman"/>
          <w:iCs/>
          <w:sz w:val="24"/>
          <w:szCs w:val="22"/>
        </w:rPr>
        <w:t>Declaración jurada de posesión, notarizado bajo testigos</w:t>
      </w:r>
    </w:p>
    <w:p w14:paraId="4C6605AE" w14:textId="5CFF7757" w:rsidR="00856730" w:rsidRPr="009A27ED" w:rsidRDefault="00856730" w:rsidP="00E67CB0">
      <w:pPr>
        <w:pStyle w:val="Prrafodelista"/>
        <w:numPr>
          <w:ilvl w:val="0"/>
          <w:numId w:val="150"/>
        </w:numPr>
        <w:autoSpaceDE w:val="0"/>
        <w:autoSpaceDN w:val="0"/>
        <w:adjustRightInd w:val="0"/>
        <w:spacing w:after="0" w:line="360" w:lineRule="auto"/>
        <w:rPr>
          <w:iCs/>
          <w:szCs w:val="22"/>
        </w:rPr>
      </w:pPr>
      <w:r w:rsidRPr="009A27ED">
        <w:rPr>
          <w:rFonts w:ascii="Times New Roman" w:eastAsia="Times New Roman" w:hAnsi="Times New Roman"/>
          <w:iCs/>
          <w:sz w:val="24"/>
          <w:szCs w:val="22"/>
        </w:rPr>
        <w:t xml:space="preserve">Determinación de herederos, para </w:t>
      </w:r>
      <w:r w:rsidR="003010DC" w:rsidRPr="009A27ED">
        <w:rPr>
          <w:rFonts w:ascii="Times New Roman" w:eastAsia="Times New Roman" w:hAnsi="Times New Roman"/>
          <w:iCs/>
          <w:sz w:val="24"/>
          <w:szCs w:val="22"/>
        </w:rPr>
        <w:t>los casos</w:t>
      </w:r>
      <w:r w:rsidRPr="009A27ED">
        <w:rPr>
          <w:rFonts w:ascii="Times New Roman" w:eastAsia="Times New Roman" w:hAnsi="Times New Roman"/>
          <w:iCs/>
          <w:sz w:val="24"/>
          <w:szCs w:val="22"/>
        </w:rPr>
        <w:t xml:space="preserve"> de sucesión. </w:t>
      </w:r>
    </w:p>
    <w:p w14:paraId="68C85965" w14:textId="01AFCD29" w:rsidR="00C4641F" w:rsidRPr="009A27ED" w:rsidRDefault="00C4641F" w:rsidP="009B6B10">
      <w:pPr>
        <w:pStyle w:val="Prrafodelista"/>
        <w:autoSpaceDE w:val="0"/>
        <w:autoSpaceDN w:val="0"/>
        <w:adjustRightInd w:val="0"/>
        <w:spacing w:after="0" w:line="360" w:lineRule="auto"/>
        <w:ind w:left="720"/>
        <w:rPr>
          <w:iCs/>
          <w:szCs w:val="22"/>
        </w:rPr>
      </w:pPr>
    </w:p>
    <w:p w14:paraId="33B07E1D" w14:textId="77777777" w:rsidR="00947670" w:rsidRPr="009A27ED" w:rsidRDefault="00947670" w:rsidP="00CF26C7">
      <w:pPr>
        <w:pStyle w:val="Ttulo5"/>
        <w:spacing w:line="360" w:lineRule="auto"/>
        <w:rPr>
          <w:rFonts w:eastAsia="Calibri"/>
          <w:color w:val="auto"/>
          <w:lang w:eastAsia="gl"/>
        </w:rPr>
      </w:pPr>
      <w:r w:rsidRPr="009A27ED">
        <w:rPr>
          <w:rFonts w:ascii="Times New Roman" w:eastAsia="Times New Roman" w:hAnsi="Times New Roman"/>
          <w:color w:val="auto"/>
          <w:sz w:val="24"/>
          <w:lang w:eastAsia="gl"/>
        </w:rPr>
        <w:lastRenderedPageBreak/>
        <w:t>Condiciones topográficas</w:t>
      </w:r>
    </w:p>
    <w:p w14:paraId="5E6B7A11" w14:textId="115F156D" w:rsidR="00947670" w:rsidRPr="009A27ED" w:rsidRDefault="00947670" w:rsidP="005B6485">
      <w:pPr>
        <w:spacing w:before="120" w:after="100" w:afterAutospacing="1" w:line="360" w:lineRule="auto"/>
        <w:rPr>
          <w:color w:val="000000" w:themeColor="text1"/>
          <w:szCs w:val="22"/>
          <w:lang w:eastAsia="gl"/>
        </w:rPr>
      </w:pPr>
      <w:r w:rsidRPr="009A27ED">
        <w:rPr>
          <w:rFonts w:ascii="Times New Roman" w:eastAsia="Times New Roman" w:hAnsi="Times New Roman"/>
          <w:color w:val="000000" w:themeColor="text1"/>
          <w:sz w:val="24"/>
          <w:szCs w:val="22"/>
          <w:lang w:eastAsia="gl"/>
        </w:rPr>
        <w:t>La República Dominicana se caracteriza por una topografía accidentada, con condiciones fisiográficas de fuertes pendientes, alcanzando esto el 67% del territorio, que es considerado no apropiados para la agricultura intensiva.  Esto incluye la parte alta y media de las cuencas hidrográficas principales del país. A pesar de tener más de la mitad de su territorio en áreas montañosas, con pendientes abruptas, el territorio del país está sometido a un intenso desarrollo agropecuario en grandes extensiones de laderas, que facilitan la erosión y el arrastre de las tierras (</w:t>
      </w:r>
      <w:proofErr w:type="spellStart"/>
      <w:r w:rsidRPr="009A27ED">
        <w:rPr>
          <w:rFonts w:ascii="Times New Roman" w:eastAsia="Times New Roman" w:hAnsi="Times New Roman"/>
          <w:color w:val="000000" w:themeColor="text1"/>
          <w:sz w:val="24"/>
          <w:szCs w:val="22"/>
          <w:lang w:eastAsia="gl"/>
        </w:rPr>
        <w:t>Geilfus</w:t>
      </w:r>
      <w:proofErr w:type="spellEnd"/>
      <w:r w:rsidRPr="009A27ED">
        <w:rPr>
          <w:rFonts w:ascii="Times New Roman" w:eastAsia="Times New Roman" w:hAnsi="Times New Roman"/>
          <w:color w:val="000000" w:themeColor="text1"/>
          <w:sz w:val="24"/>
          <w:szCs w:val="22"/>
          <w:lang w:eastAsia="gl"/>
        </w:rPr>
        <w:t>, 2002 y SEMARENA-JICA, 2003).</w:t>
      </w:r>
    </w:p>
    <w:p w14:paraId="5C36D6BC" w14:textId="77777777" w:rsidR="00947670" w:rsidRPr="009A27ED" w:rsidRDefault="00947670" w:rsidP="00CF26C7">
      <w:pPr>
        <w:pStyle w:val="Ttulo5"/>
        <w:spacing w:line="360" w:lineRule="auto"/>
        <w:rPr>
          <w:rFonts w:eastAsia="Calibri"/>
          <w:color w:val="auto"/>
          <w:lang w:eastAsia="gl"/>
        </w:rPr>
      </w:pPr>
      <w:r w:rsidRPr="009A27ED">
        <w:rPr>
          <w:rFonts w:ascii="Times New Roman" w:eastAsia="Times New Roman" w:hAnsi="Times New Roman"/>
          <w:color w:val="auto"/>
          <w:sz w:val="24"/>
          <w:lang w:eastAsia="gl"/>
        </w:rPr>
        <w:t>Políticas fiscales y de desarrollo</w:t>
      </w:r>
    </w:p>
    <w:p w14:paraId="3ED8CE1A" w14:textId="77777777" w:rsidR="00947670" w:rsidRPr="009A27ED" w:rsidRDefault="00947670" w:rsidP="005B6485">
      <w:pPr>
        <w:spacing w:before="120" w:after="0" w:line="360" w:lineRule="auto"/>
        <w:rPr>
          <w:color w:val="000000" w:themeColor="text1"/>
          <w:szCs w:val="22"/>
          <w:lang w:eastAsia="gl"/>
        </w:rPr>
      </w:pPr>
      <w:r w:rsidRPr="009A27ED">
        <w:rPr>
          <w:rFonts w:ascii="Times New Roman" w:eastAsia="Times New Roman" w:hAnsi="Times New Roman"/>
          <w:color w:val="000000" w:themeColor="text1"/>
          <w:sz w:val="24"/>
          <w:szCs w:val="22"/>
          <w:lang w:eastAsia="gl"/>
        </w:rPr>
        <w:t>La deforestación suele ocurrir cuando existe una serie de políticas estatales- sociales y económicas, que indirectamente la promueven. Con frecuencia, los tomadores de decisiones políticas intentan recurrir a los recursos forestales para resolver una amplia gama de conflictos fiscales, económicos, sociales y políticos, en vez de modificar las estrategias de desarrollo y solucionando así los problemas de desempleo y la pobreza rural. Proyectos de infraestructura y desarrollo suelen no tomar en cuenta el valor del capital forestal perdido. Aunque en general bien intencionadas, muchas políticas gubernamentales son contraproducentes, porque tienen impactos indeseables e imprevisibles que son dañinos para el desarrollo sostenible de los bosques.</w:t>
      </w:r>
    </w:p>
    <w:p w14:paraId="1E679330" w14:textId="77777777" w:rsidR="00947670" w:rsidRPr="009A27ED" w:rsidRDefault="00947670" w:rsidP="005B6485">
      <w:pPr>
        <w:spacing w:before="120" w:after="100" w:afterAutospacing="1" w:line="360" w:lineRule="auto"/>
        <w:rPr>
          <w:color w:val="000000" w:themeColor="text1"/>
          <w:szCs w:val="22"/>
          <w:lang w:eastAsia="gl"/>
        </w:rPr>
      </w:pPr>
      <w:r w:rsidRPr="009A27ED">
        <w:rPr>
          <w:rFonts w:ascii="Times New Roman" w:eastAsia="Times New Roman" w:hAnsi="Times New Roman"/>
          <w:color w:val="000000" w:themeColor="text1"/>
          <w:sz w:val="24"/>
          <w:szCs w:val="22"/>
          <w:lang w:eastAsia="gl"/>
        </w:rPr>
        <w:t>Entre las políticas gubernamentales que se han adoptado para facilitar el desarrollo económico en otros sectores y que resultaron en deforestación, se incluyen las siguientes:</w:t>
      </w:r>
    </w:p>
    <w:p w14:paraId="068666D1" w14:textId="77777777" w:rsidR="00947670" w:rsidRPr="009A27ED" w:rsidRDefault="00947670" w:rsidP="00D42802">
      <w:pPr>
        <w:pStyle w:val="Apunteoticket"/>
        <w:numPr>
          <w:ilvl w:val="0"/>
          <w:numId w:val="46"/>
        </w:numPr>
        <w:spacing w:line="360" w:lineRule="auto"/>
        <w:rPr>
          <w:rFonts w:eastAsia="Calibri"/>
          <w:szCs w:val="22"/>
          <w:lang w:eastAsia="gl"/>
        </w:rPr>
      </w:pPr>
      <w:r w:rsidRPr="009A27ED">
        <w:rPr>
          <w:rFonts w:ascii="Times New Roman" w:eastAsia="Times New Roman" w:hAnsi="Times New Roman"/>
          <w:sz w:val="24"/>
          <w:szCs w:val="22"/>
          <w:lang w:eastAsia="gl"/>
        </w:rPr>
        <w:t>Créditos preferenciales para la expansión agrícola y ganadera.</w:t>
      </w:r>
    </w:p>
    <w:p w14:paraId="6D231340" w14:textId="77777777" w:rsidR="00947670" w:rsidRPr="009A27ED" w:rsidRDefault="00947670" w:rsidP="00D42802">
      <w:pPr>
        <w:pStyle w:val="Apunteoticket"/>
        <w:numPr>
          <w:ilvl w:val="0"/>
          <w:numId w:val="46"/>
        </w:numPr>
        <w:spacing w:line="360" w:lineRule="auto"/>
        <w:rPr>
          <w:rFonts w:eastAsia="Calibri"/>
          <w:szCs w:val="22"/>
          <w:lang w:eastAsia="gl"/>
        </w:rPr>
      </w:pPr>
      <w:r w:rsidRPr="009A27ED">
        <w:rPr>
          <w:rFonts w:ascii="Times New Roman" w:eastAsia="Times New Roman" w:hAnsi="Times New Roman"/>
          <w:sz w:val="24"/>
          <w:szCs w:val="22"/>
          <w:lang w:eastAsia="gl"/>
        </w:rPr>
        <w:t>Tasas reducidas de impuestos para usos de la tierra que están en competencia con el uso forestal.</w:t>
      </w:r>
    </w:p>
    <w:p w14:paraId="75A66858" w14:textId="77777777" w:rsidR="00947670" w:rsidRPr="009A27ED" w:rsidRDefault="00947670" w:rsidP="00D42802">
      <w:pPr>
        <w:pStyle w:val="Apunteoticket"/>
        <w:numPr>
          <w:ilvl w:val="0"/>
          <w:numId w:val="46"/>
        </w:numPr>
        <w:spacing w:line="360" w:lineRule="auto"/>
        <w:rPr>
          <w:rFonts w:eastAsia="Calibri"/>
          <w:szCs w:val="22"/>
          <w:lang w:eastAsia="gl"/>
        </w:rPr>
      </w:pPr>
      <w:r w:rsidRPr="009A27ED">
        <w:rPr>
          <w:rFonts w:ascii="Times New Roman" w:eastAsia="Times New Roman" w:hAnsi="Times New Roman"/>
          <w:sz w:val="24"/>
          <w:szCs w:val="22"/>
          <w:lang w:eastAsia="gl"/>
        </w:rPr>
        <w:t>Importación libre de impuestos de equipos destinado a nuevas industrias que tienen un impacto negativo sobre los bosques.</w:t>
      </w:r>
    </w:p>
    <w:p w14:paraId="0BFDFFF8" w14:textId="77777777" w:rsidR="00947670" w:rsidRPr="009A27ED" w:rsidRDefault="00947670" w:rsidP="00D42802">
      <w:pPr>
        <w:pStyle w:val="Apunteoticket"/>
        <w:numPr>
          <w:ilvl w:val="0"/>
          <w:numId w:val="46"/>
        </w:numPr>
        <w:spacing w:line="360" w:lineRule="auto"/>
        <w:rPr>
          <w:rFonts w:eastAsia="Calibri"/>
          <w:szCs w:val="22"/>
          <w:lang w:eastAsia="gl"/>
        </w:rPr>
      </w:pPr>
      <w:r w:rsidRPr="009A27ED">
        <w:rPr>
          <w:rFonts w:ascii="Times New Roman" w:eastAsia="Times New Roman" w:hAnsi="Times New Roman"/>
          <w:sz w:val="24"/>
          <w:szCs w:val="22"/>
          <w:lang w:eastAsia="gl"/>
        </w:rPr>
        <w:t>Programas de colonización patrocinados por el gobierno, en los cuales los bosques fueron talados y reemplazados por una agricultura de subsistencia marginalmente productiva.</w:t>
      </w:r>
    </w:p>
    <w:p w14:paraId="2A517448" w14:textId="77777777" w:rsidR="00947670" w:rsidRPr="009A27ED" w:rsidRDefault="00947670" w:rsidP="00D42802">
      <w:pPr>
        <w:pStyle w:val="Apunteoticket"/>
        <w:numPr>
          <w:ilvl w:val="0"/>
          <w:numId w:val="46"/>
        </w:numPr>
        <w:spacing w:after="100" w:afterAutospacing="1" w:line="360" w:lineRule="auto"/>
        <w:ind w:left="461"/>
        <w:rPr>
          <w:rFonts w:eastAsia="Calibri"/>
          <w:szCs w:val="22"/>
          <w:lang w:eastAsia="gl"/>
        </w:rPr>
      </w:pPr>
      <w:r w:rsidRPr="009A27ED">
        <w:rPr>
          <w:rFonts w:ascii="Times New Roman" w:eastAsia="Times New Roman" w:hAnsi="Times New Roman"/>
          <w:sz w:val="24"/>
          <w:szCs w:val="22"/>
          <w:lang w:eastAsia="gl"/>
        </w:rPr>
        <w:lastRenderedPageBreak/>
        <w:t>Subsidios “perversos” como el subsidio a los costos de equipo, inversión e infraestructura tanto a los consumidores de agua potable como a los regantes, y los subsidios al uso de agroquímicos.</w:t>
      </w:r>
    </w:p>
    <w:p w14:paraId="5D907370" w14:textId="29ED393C" w:rsidR="00947670" w:rsidRPr="009A27ED" w:rsidRDefault="00947670" w:rsidP="001864F0">
      <w:pPr>
        <w:pStyle w:val="Ttulo2"/>
        <w:spacing w:line="360" w:lineRule="auto"/>
        <w:ind w:left="567"/>
        <w:jc w:val="both"/>
      </w:pPr>
      <w:bookmarkStart w:id="90" w:name="_Toc1485045"/>
      <w:bookmarkStart w:id="91" w:name="_Toc529469985"/>
      <w:bookmarkStart w:id="92" w:name="_Toc532335848"/>
      <w:bookmarkStart w:id="93" w:name="_Toc111837919"/>
      <w:bookmarkEnd w:id="90"/>
      <w:r w:rsidRPr="009A27ED">
        <w:rPr>
          <w:rFonts w:ascii="Times New Roman" w:eastAsia="Times New Roman" w:hAnsi="Times New Roman"/>
          <w:sz w:val="24"/>
        </w:rPr>
        <w:t xml:space="preserve">Opciones y </w:t>
      </w:r>
      <w:r w:rsidR="006A73FA" w:rsidRPr="009A27ED">
        <w:rPr>
          <w:rFonts w:ascii="Times New Roman" w:eastAsia="Times New Roman" w:hAnsi="Times New Roman"/>
          <w:sz w:val="24"/>
        </w:rPr>
        <w:t>a</w:t>
      </w:r>
      <w:r w:rsidRPr="009A27ED">
        <w:rPr>
          <w:rFonts w:ascii="Times New Roman" w:eastAsia="Times New Roman" w:hAnsi="Times New Roman"/>
          <w:sz w:val="24"/>
        </w:rPr>
        <w:t xml:space="preserve">cciones </w:t>
      </w:r>
      <w:r w:rsidR="006A73FA" w:rsidRPr="009A27ED">
        <w:rPr>
          <w:rFonts w:ascii="Times New Roman" w:eastAsia="Times New Roman" w:hAnsi="Times New Roman"/>
          <w:sz w:val="24"/>
        </w:rPr>
        <w:t>e</w:t>
      </w:r>
      <w:r w:rsidRPr="009A27ED">
        <w:rPr>
          <w:rFonts w:ascii="Times New Roman" w:eastAsia="Times New Roman" w:hAnsi="Times New Roman"/>
          <w:sz w:val="24"/>
        </w:rPr>
        <w:t>stratégicas REDD+</w:t>
      </w:r>
      <w:bookmarkEnd w:id="91"/>
      <w:bookmarkEnd w:id="92"/>
      <w:bookmarkEnd w:id="93"/>
    </w:p>
    <w:p w14:paraId="09A96D34" w14:textId="60D693BB" w:rsidR="00947670" w:rsidRPr="009A27ED" w:rsidRDefault="00947670" w:rsidP="005B6485">
      <w:pPr>
        <w:spacing w:before="120" w:after="0" w:line="360" w:lineRule="auto"/>
        <w:rPr>
          <w:szCs w:val="22"/>
        </w:rPr>
      </w:pPr>
      <w:r w:rsidRPr="009A27ED">
        <w:rPr>
          <w:rFonts w:ascii="Times New Roman" w:eastAsia="Times New Roman" w:hAnsi="Times New Roman"/>
          <w:sz w:val="24"/>
          <w:szCs w:val="22"/>
        </w:rPr>
        <w:t xml:space="preserve">Con base en las causas de degradación y deforestación </w:t>
      </w:r>
      <w:r w:rsidR="00020454" w:rsidRPr="009A27ED">
        <w:rPr>
          <w:rFonts w:ascii="Times New Roman" w:eastAsia="Times New Roman" w:hAnsi="Times New Roman"/>
          <w:sz w:val="24"/>
          <w:szCs w:val="22"/>
        </w:rPr>
        <w:t xml:space="preserve">y </w:t>
      </w:r>
      <w:r w:rsidRPr="009A27ED">
        <w:rPr>
          <w:rFonts w:ascii="Times New Roman" w:eastAsia="Times New Roman" w:hAnsi="Times New Roman"/>
          <w:sz w:val="24"/>
          <w:szCs w:val="22"/>
        </w:rPr>
        <w:t>mediante un amplio proceso participativo con actores clave</w:t>
      </w:r>
      <w:r w:rsidR="00020454" w:rsidRPr="009A27ED">
        <w:rPr>
          <w:rFonts w:ascii="Times New Roman" w:eastAsia="Times New Roman" w:hAnsi="Times New Roman"/>
          <w:sz w:val="24"/>
          <w:szCs w:val="22"/>
        </w:rPr>
        <w:t>,</w:t>
      </w:r>
      <w:r w:rsidRPr="009A27ED">
        <w:rPr>
          <w:rFonts w:ascii="Times New Roman" w:eastAsia="Times New Roman" w:hAnsi="Times New Roman"/>
          <w:sz w:val="24"/>
          <w:szCs w:val="22"/>
        </w:rPr>
        <w:t xml:space="preserve"> se identificaron y consensuaron inicialmente 5 opciones y 23 acciones estratégicas para contrarrestar la deforestación y degradación forestal. Las 5 opciones con sus acciones estratégicas fueron sometidas al proceso SESA para la identificación de los potenciales impactos y medidas de mitigación.</w:t>
      </w:r>
    </w:p>
    <w:p w14:paraId="43CF0B61" w14:textId="1692B728" w:rsidR="00947670" w:rsidRPr="009A27ED" w:rsidRDefault="00947670" w:rsidP="005B6485">
      <w:pPr>
        <w:spacing w:before="120" w:after="0" w:line="360" w:lineRule="auto"/>
        <w:rPr>
          <w:szCs w:val="22"/>
        </w:rPr>
      </w:pPr>
      <w:r w:rsidRPr="009A27ED">
        <w:rPr>
          <w:rFonts w:ascii="Times New Roman" w:eastAsia="Times New Roman" w:hAnsi="Times New Roman"/>
          <w:sz w:val="24"/>
          <w:szCs w:val="22"/>
        </w:rPr>
        <w:t xml:space="preserve">Con los resultados del SESA, en Agosto 8 de 2018 el Ministerio de Ambiente y Recursos Naturales </w:t>
      </w:r>
      <w:r w:rsidRPr="009A27ED">
        <w:rPr>
          <w:rFonts w:ascii="Times New Roman" w:eastAsia="Times New Roman" w:hAnsi="Times New Roman"/>
          <w:color w:val="000000"/>
          <w:sz w:val="24"/>
          <w:szCs w:val="22"/>
        </w:rPr>
        <w:t xml:space="preserve">a través de un taller interministerial con la participación de todos los Viceministerios del Ministerio de Medio Ambiente y Recursos Naturales, analizaron las opciones y acciones de estrategia con dos objetivos clave: </w:t>
      </w:r>
      <w:r w:rsidR="00874197" w:rsidRPr="009A27ED">
        <w:rPr>
          <w:rFonts w:ascii="Times New Roman" w:eastAsia="Times New Roman" w:hAnsi="Times New Roman"/>
          <w:color w:val="000000"/>
          <w:sz w:val="24"/>
          <w:szCs w:val="22"/>
        </w:rPr>
        <w:t>1</w:t>
      </w:r>
      <w:r w:rsidRPr="009A27ED">
        <w:rPr>
          <w:rFonts w:ascii="Times New Roman" w:eastAsia="Times New Roman" w:hAnsi="Times New Roman"/>
          <w:color w:val="000000"/>
          <w:sz w:val="24"/>
          <w:szCs w:val="22"/>
        </w:rPr>
        <w:t xml:space="preserve">) validar y legitimar los resultados del SESA; lo que implicó la reorganización de las acciones </w:t>
      </w:r>
      <w:r w:rsidRPr="009A27ED">
        <w:rPr>
          <w:rFonts w:ascii="Times New Roman" w:eastAsia="Times New Roman" w:hAnsi="Times New Roman"/>
          <w:b/>
          <w:color w:val="000000"/>
          <w:sz w:val="24"/>
          <w:szCs w:val="22"/>
        </w:rPr>
        <w:t>en 3 opciones</w:t>
      </w:r>
      <w:r w:rsidR="002B2924" w:rsidRPr="009A27ED">
        <w:rPr>
          <w:rFonts w:ascii="Times New Roman" w:eastAsia="Times New Roman" w:hAnsi="Times New Roman"/>
          <w:b/>
          <w:color w:val="000000"/>
          <w:sz w:val="24"/>
          <w:szCs w:val="22"/>
        </w:rPr>
        <w:t xml:space="preserve"> estratégicas</w:t>
      </w:r>
      <w:r w:rsidRPr="009A27ED">
        <w:rPr>
          <w:rFonts w:ascii="Times New Roman" w:eastAsia="Times New Roman" w:hAnsi="Times New Roman"/>
          <w:color w:val="000000"/>
          <w:sz w:val="24"/>
          <w:szCs w:val="22"/>
        </w:rPr>
        <w:t xml:space="preserve"> </w:t>
      </w:r>
      <w:r w:rsidRPr="009A27ED">
        <w:rPr>
          <w:rFonts w:ascii="Times New Roman" w:eastAsia="Times New Roman" w:hAnsi="Times New Roman"/>
          <w:b/>
          <w:color w:val="000000"/>
          <w:sz w:val="24"/>
          <w:szCs w:val="22"/>
        </w:rPr>
        <w:t>y 2</w:t>
      </w:r>
      <w:r w:rsidR="00E12236" w:rsidRPr="009A27ED">
        <w:rPr>
          <w:rFonts w:ascii="Times New Roman" w:eastAsia="Times New Roman" w:hAnsi="Times New Roman"/>
          <w:b/>
          <w:color w:val="000000"/>
          <w:sz w:val="24"/>
          <w:szCs w:val="22"/>
        </w:rPr>
        <w:t>2</w:t>
      </w:r>
      <w:r w:rsidRPr="009A27ED">
        <w:rPr>
          <w:rFonts w:ascii="Times New Roman" w:eastAsia="Times New Roman" w:hAnsi="Times New Roman"/>
          <w:b/>
          <w:color w:val="000000"/>
          <w:sz w:val="24"/>
          <w:szCs w:val="22"/>
        </w:rPr>
        <w:t xml:space="preserve"> acciones estratégicas</w:t>
      </w:r>
      <w:r w:rsidRPr="009A27ED">
        <w:rPr>
          <w:rFonts w:ascii="Times New Roman" w:eastAsia="Times New Roman" w:hAnsi="Times New Roman"/>
          <w:color w:val="000000"/>
          <w:sz w:val="24"/>
          <w:szCs w:val="22"/>
        </w:rPr>
        <w:t xml:space="preserve">; y </w:t>
      </w:r>
      <w:r w:rsidR="00874197" w:rsidRPr="009A27ED">
        <w:rPr>
          <w:rFonts w:ascii="Times New Roman" w:eastAsia="Times New Roman" w:hAnsi="Times New Roman"/>
          <w:color w:val="000000"/>
          <w:sz w:val="24"/>
          <w:szCs w:val="22"/>
        </w:rPr>
        <w:t>2</w:t>
      </w:r>
      <w:r w:rsidRPr="009A27ED">
        <w:rPr>
          <w:rFonts w:ascii="Times New Roman" w:eastAsia="Times New Roman" w:hAnsi="Times New Roman"/>
          <w:color w:val="000000"/>
          <w:sz w:val="24"/>
          <w:szCs w:val="22"/>
        </w:rPr>
        <w:t xml:space="preserve">) evaluar el potencial de captura de carbono de los programas existentes en el país a ser incluidos en la EN-REDD+, incluyendo su capacidad de cumplir con las Salvaguardas ambientales y sociales de la CMNUCC y las </w:t>
      </w:r>
      <w:r w:rsidR="00874197" w:rsidRPr="009A27ED">
        <w:rPr>
          <w:rFonts w:ascii="Times New Roman" w:eastAsia="Times New Roman" w:hAnsi="Times New Roman"/>
          <w:color w:val="000000"/>
          <w:sz w:val="24"/>
          <w:szCs w:val="22"/>
        </w:rPr>
        <w:t>Políticas Operativas de Salvaguardas Sociales y Ambientales</w:t>
      </w:r>
      <w:r w:rsidRPr="009A27ED">
        <w:rPr>
          <w:rFonts w:ascii="Times New Roman" w:eastAsia="Times New Roman" w:hAnsi="Times New Roman"/>
          <w:color w:val="000000"/>
          <w:sz w:val="24"/>
          <w:szCs w:val="22"/>
        </w:rPr>
        <w:t xml:space="preserve"> </w:t>
      </w:r>
      <w:r w:rsidR="00020454" w:rsidRPr="009A27ED">
        <w:rPr>
          <w:rFonts w:ascii="Times New Roman" w:eastAsia="Times New Roman" w:hAnsi="Times New Roman"/>
          <w:color w:val="000000"/>
          <w:sz w:val="24"/>
          <w:szCs w:val="22"/>
        </w:rPr>
        <w:t>del Banco Mundial</w:t>
      </w:r>
      <w:r w:rsidRPr="009A27ED">
        <w:rPr>
          <w:rFonts w:ascii="Times New Roman" w:eastAsia="Times New Roman" w:hAnsi="Times New Roman"/>
          <w:color w:val="000000"/>
          <w:sz w:val="24"/>
          <w:szCs w:val="22"/>
        </w:rPr>
        <w:t xml:space="preserve">. La propuesta resultante se presentó al Comité Técnico Asesor de REDD+, siendo validado en el Taller celebrado el 14 de agosto de </w:t>
      </w:r>
      <w:r w:rsidR="006D0B45" w:rsidRPr="009A27ED">
        <w:rPr>
          <w:rFonts w:ascii="Times New Roman" w:eastAsia="Times New Roman" w:hAnsi="Times New Roman"/>
          <w:color w:val="000000"/>
          <w:sz w:val="24"/>
          <w:szCs w:val="22"/>
        </w:rPr>
        <w:t>2018</w:t>
      </w:r>
      <w:r w:rsidRPr="009A27ED">
        <w:rPr>
          <w:rStyle w:val="Refdenotaalpie"/>
          <w:rFonts w:asciiTheme="minorHAnsi" w:eastAsia="Times New Roman" w:hAnsiTheme="minorHAnsi"/>
          <w:sz w:val="24"/>
          <w:szCs w:val="22"/>
        </w:rPr>
        <w:footnoteReference w:id="36"/>
      </w:r>
      <w:r w:rsidRPr="009A27ED">
        <w:rPr>
          <w:rFonts w:ascii="Times New Roman" w:eastAsia="Times New Roman" w:hAnsi="Times New Roman"/>
          <w:sz w:val="24"/>
          <w:szCs w:val="22"/>
        </w:rPr>
        <w:t>.</w:t>
      </w:r>
    </w:p>
    <w:p w14:paraId="50CE1D2C" w14:textId="75EC236B" w:rsidR="00947670" w:rsidRPr="009A27ED" w:rsidRDefault="00947670" w:rsidP="005B6485">
      <w:pPr>
        <w:spacing w:before="120" w:after="0" w:line="360" w:lineRule="auto"/>
        <w:rPr>
          <w:rFonts w:eastAsia="Calibri"/>
          <w:szCs w:val="22"/>
        </w:rPr>
      </w:pPr>
      <w:r w:rsidRPr="009A27ED">
        <w:rPr>
          <w:rFonts w:ascii="Times New Roman" w:eastAsia="Times New Roman" w:hAnsi="Times New Roman"/>
          <w:sz w:val="24"/>
          <w:szCs w:val="22"/>
        </w:rPr>
        <w:t xml:space="preserve">Se entiende como </w:t>
      </w:r>
      <w:r w:rsidRPr="009A27ED">
        <w:rPr>
          <w:rFonts w:ascii="Times New Roman" w:eastAsia="Times New Roman" w:hAnsi="Times New Roman"/>
          <w:b/>
          <w:i/>
          <w:sz w:val="24"/>
          <w:szCs w:val="22"/>
        </w:rPr>
        <w:t>opciones estratégicas</w:t>
      </w:r>
      <w:r w:rsidRPr="009A27ED">
        <w:rPr>
          <w:rFonts w:ascii="Times New Roman" w:eastAsia="Times New Roman" w:hAnsi="Times New Roman"/>
          <w:sz w:val="24"/>
          <w:szCs w:val="22"/>
        </w:rPr>
        <w:t xml:space="preserve"> a</w:t>
      </w:r>
      <w:r w:rsidR="00020454" w:rsidRPr="009A27ED">
        <w:rPr>
          <w:rFonts w:ascii="Times New Roman" w:eastAsia="Times New Roman" w:hAnsi="Times New Roman"/>
          <w:sz w:val="24"/>
          <w:szCs w:val="22"/>
        </w:rPr>
        <w:t>l</w:t>
      </w:r>
      <w:r w:rsidRPr="009A27ED">
        <w:rPr>
          <w:rFonts w:ascii="Times New Roman" w:eastAsia="Times New Roman" w:hAnsi="Times New Roman"/>
          <w:sz w:val="24"/>
          <w:szCs w:val="22"/>
        </w:rPr>
        <w:t xml:space="preserve"> conjunto de medidas de acción concordantes con la diversidad forestal y las distintas realidades locales del país, destinadas a enfrentar las causas de la deforestación, degradación de bosques, así como los motivos que impiden o interfieren negativamente en la ejecución de actividades de restauración, conservación, manejo sostenible, enriquecimiento y regeneración de los recursos forestales. Una </w:t>
      </w:r>
      <w:r w:rsidRPr="009A27ED">
        <w:rPr>
          <w:rFonts w:ascii="Times New Roman" w:eastAsia="Times New Roman" w:hAnsi="Times New Roman"/>
          <w:b/>
          <w:i/>
          <w:sz w:val="24"/>
          <w:szCs w:val="22"/>
        </w:rPr>
        <w:t>acción estratégica</w:t>
      </w:r>
      <w:r w:rsidRPr="009A27ED">
        <w:rPr>
          <w:rFonts w:ascii="Times New Roman" w:eastAsia="Times New Roman" w:hAnsi="Times New Roman"/>
          <w:sz w:val="24"/>
          <w:szCs w:val="22"/>
        </w:rPr>
        <w:t xml:space="preserve"> constituye la definición concreta de una medida de</w:t>
      </w:r>
      <w:r w:rsidR="00CF26C7" w:rsidRPr="009A27ED">
        <w:rPr>
          <w:rFonts w:ascii="Times New Roman" w:eastAsia="Times New Roman" w:hAnsi="Times New Roman"/>
          <w:sz w:val="24"/>
          <w:szCs w:val="22"/>
        </w:rPr>
        <w:t>ntro de una opción estratégica.</w:t>
      </w:r>
    </w:p>
    <w:p w14:paraId="0E420012" w14:textId="75B02B5E" w:rsidR="00947670" w:rsidRPr="009A27ED" w:rsidRDefault="00947670" w:rsidP="005B6485">
      <w:pPr>
        <w:spacing w:before="120" w:after="0" w:line="360" w:lineRule="auto"/>
        <w:rPr>
          <w:rFonts w:eastAsia="Calibri"/>
          <w:szCs w:val="22"/>
        </w:rPr>
      </w:pPr>
      <w:r w:rsidRPr="009A27ED">
        <w:rPr>
          <w:rFonts w:ascii="Times New Roman" w:eastAsia="Times New Roman" w:hAnsi="Times New Roman"/>
          <w:sz w:val="24"/>
          <w:szCs w:val="22"/>
        </w:rPr>
        <w:lastRenderedPageBreak/>
        <w:t xml:space="preserve">Las acciones pueden ser de impacto específico sobre una o más causales de deforestación y degradación de los bosques y se clasificaron en </w:t>
      </w:r>
      <w:r w:rsidRPr="009A27ED">
        <w:rPr>
          <w:rFonts w:ascii="Times New Roman" w:eastAsia="Times New Roman" w:hAnsi="Times New Roman"/>
          <w:b/>
          <w:i/>
          <w:sz w:val="24"/>
          <w:szCs w:val="22"/>
        </w:rPr>
        <w:t xml:space="preserve">acciones directas </w:t>
      </w:r>
      <w:r w:rsidRPr="009A27ED">
        <w:rPr>
          <w:rFonts w:ascii="Times New Roman" w:eastAsia="Times New Roman" w:hAnsi="Times New Roman"/>
          <w:b/>
          <w:sz w:val="24"/>
          <w:szCs w:val="22"/>
        </w:rPr>
        <w:t xml:space="preserve">y </w:t>
      </w:r>
      <w:r w:rsidRPr="009A27ED">
        <w:rPr>
          <w:rFonts w:ascii="Times New Roman" w:eastAsia="Times New Roman" w:hAnsi="Times New Roman"/>
          <w:b/>
          <w:i/>
          <w:sz w:val="24"/>
          <w:szCs w:val="22"/>
        </w:rPr>
        <w:t>acciones facilitador</w:t>
      </w:r>
      <w:r w:rsidR="00020454" w:rsidRPr="009A27ED">
        <w:rPr>
          <w:rFonts w:ascii="Times New Roman" w:eastAsia="Times New Roman" w:hAnsi="Times New Roman"/>
          <w:b/>
          <w:i/>
          <w:sz w:val="24"/>
          <w:szCs w:val="22"/>
        </w:rPr>
        <w:t>a</w:t>
      </w:r>
      <w:r w:rsidRPr="009A27ED">
        <w:rPr>
          <w:rFonts w:ascii="Times New Roman" w:eastAsia="Times New Roman" w:hAnsi="Times New Roman"/>
          <w:b/>
          <w:i/>
          <w:sz w:val="24"/>
          <w:szCs w:val="22"/>
        </w:rPr>
        <w:t>s</w:t>
      </w:r>
      <w:r w:rsidRPr="009A27ED">
        <w:rPr>
          <w:rFonts w:ascii="Times New Roman" w:eastAsia="Times New Roman" w:hAnsi="Times New Roman"/>
          <w:i/>
          <w:sz w:val="24"/>
          <w:szCs w:val="22"/>
        </w:rPr>
        <w:t>.</w:t>
      </w:r>
      <w:r w:rsidRPr="009A27ED">
        <w:rPr>
          <w:rFonts w:ascii="Times New Roman" w:eastAsia="Times New Roman" w:hAnsi="Times New Roman"/>
          <w:sz w:val="24"/>
          <w:szCs w:val="22"/>
        </w:rPr>
        <w:t xml:space="preserve"> Las </w:t>
      </w:r>
      <w:r w:rsidRPr="009A27ED">
        <w:rPr>
          <w:rFonts w:ascii="Times New Roman" w:eastAsia="Times New Roman" w:hAnsi="Times New Roman"/>
          <w:b/>
          <w:sz w:val="24"/>
          <w:szCs w:val="22"/>
        </w:rPr>
        <w:t>acciones directas</w:t>
      </w:r>
      <w:r w:rsidRPr="009A27ED">
        <w:rPr>
          <w:rFonts w:ascii="Times New Roman" w:eastAsia="Times New Roman" w:hAnsi="Times New Roman"/>
          <w:sz w:val="24"/>
          <w:szCs w:val="22"/>
        </w:rPr>
        <w:t xml:space="preserve"> son aquellas que resultan en un cambio directo en los stocks de carbono a través de la implementación de las 5 actividades REDD+</w:t>
      </w:r>
      <w:r w:rsidRPr="009A27ED">
        <w:rPr>
          <w:rStyle w:val="Refdenotaalpie"/>
          <w:rFonts w:asciiTheme="minorHAnsi" w:eastAsia="Times New Roman" w:hAnsiTheme="minorHAnsi"/>
          <w:sz w:val="24"/>
          <w:szCs w:val="22"/>
        </w:rPr>
        <w:footnoteReference w:id="37"/>
      </w:r>
      <w:r w:rsidRPr="009A27ED">
        <w:rPr>
          <w:rFonts w:ascii="Times New Roman" w:eastAsia="Times New Roman" w:hAnsi="Times New Roman"/>
          <w:sz w:val="24"/>
          <w:szCs w:val="22"/>
        </w:rPr>
        <w:t xml:space="preserve"> acordadas por la CMNUCC (reducción de emisiones por deforestación, por degradación, conservación forestal, manejo forestal sostenible y aumento de stocks de carbono). Dado su carácter operacional, generan impactos ambientales, sociales y económicos de forma directa en los territorios. Las </w:t>
      </w:r>
      <w:r w:rsidRPr="009A27ED">
        <w:rPr>
          <w:rFonts w:ascii="Times New Roman" w:eastAsia="Times New Roman" w:hAnsi="Times New Roman"/>
          <w:b/>
          <w:i/>
          <w:sz w:val="24"/>
          <w:szCs w:val="22"/>
        </w:rPr>
        <w:t>acciones facilitadoras</w:t>
      </w:r>
      <w:r w:rsidRPr="009A27ED">
        <w:rPr>
          <w:rFonts w:ascii="Times New Roman" w:eastAsia="Times New Roman" w:hAnsi="Times New Roman"/>
          <w:sz w:val="24"/>
          <w:szCs w:val="22"/>
        </w:rPr>
        <w:t xml:space="preserve"> son aquellas que facilitan o potencian la implementación de las medidas o acciones directas. A su vez, las acciones en el</w:t>
      </w:r>
      <w:r w:rsidR="000D2602" w:rsidRPr="009A27ED">
        <w:rPr>
          <w:rFonts w:ascii="Times New Roman" w:eastAsia="Times New Roman" w:hAnsi="Times New Roman"/>
          <w:sz w:val="24"/>
          <w:szCs w:val="22"/>
        </w:rPr>
        <w:t xml:space="preserve"> </w:t>
      </w:r>
      <w:r w:rsidR="00124B63" w:rsidRPr="009A27ED">
        <w:rPr>
          <w:rFonts w:ascii="Times New Roman" w:eastAsia="Times New Roman" w:hAnsi="Times New Roman"/>
          <w:sz w:val="24"/>
          <w:szCs w:val="22"/>
        </w:rPr>
        <w:t>Programa REDD</w:t>
      </w:r>
      <w:r w:rsidR="001920C0" w:rsidRPr="009A27ED">
        <w:rPr>
          <w:rFonts w:ascii="Times New Roman" w:eastAsia="Times New Roman" w:hAnsi="Times New Roman"/>
          <w:sz w:val="24"/>
          <w:szCs w:val="22"/>
        </w:rPr>
        <w:t>+</w:t>
      </w:r>
      <w:r w:rsidR="001A652B" w:rsidRPr="009A27ED">
        <w:rPr>
          <w:rFonts w:ascii="Times New Roman" w:eastAsia="Times New Roman" w:hAnsi="Times New Roman"/>
          <w:sz w:val="24"/>
          <w:szCs w:val="22"/>
        </w:rPr>
        <w:t xml:space="preserve"> </w:t>
      </w:r>
      <w:r w:rsidRPr="009A27ED">
        <w:rPr>
          <w:rFonts w:ascii="Times New Roman" w:eastAsia="Times New Roman" w:hAnsi="Times New Roman"/>
          <w:sz w:val="24"/>
          <w:szCs w:val="22"/>
        </w:rPr>
        <w:t xml:space="preserve">pueden ser de tres tipos: </w:t>
      </w:r>
      <w:r w:rsidR="00874197" w:rsidRPr="009A27ED">
        <w:rPr>
          <w:rFonts w:ascii="Times New Roman" w:eastAsia="Times New Roman" w:hAnsi="Times New Roman"/>
          <w:sz w:val="24"/>
          <w:szCs w:val="22"/>
        </w:rPr>
        <w:t>1</w:t>
      </w:r>
      <w:r w:rsidRPr="009A27ED">
        <w:rPr>
          <w:rFonts w:ascii="Times New Roman" w:eastAsia="Times New Roman" w:hAnsi="Times New Roman"/>
          <w:sz w:val="24"/>
          <w:szCs w:val="22"/>
        </w:rPr>
        <w:t xml:space="preserve">) aquellas que evitan deforestación, </w:t>
      </w:r>
      <w:r w:rsidR="00874197" w:rsidRPr="009A27ED">
        <w:rPr>
          <w:rFonts w:ascii="Times New Roman" w:eastAsia="Times New Roman" w:hAnsi="Times New Roman"/>
          <w:sz w:val="24"/>
          <w:szCs w:val="22"/>
        </w:rPr>
        <w:t>2</w:t>
      </w:r>
      <w:r w:rsidRPr="009A27ED">
        <w:rPr>
          <w:rFonts w:ascii="Times New Roman" w:eastAsia="Times New Roman" w:hAnsi="Times New Roman"/>
          <w:sz w:val="24"/>
          <w:szCs w:val="22"/>
        </w:rPr>
        <w:t xml:space="preserve">) aquellas que evitan degradación, </w:t>
      </w:r>
      <w:r w:rsidR="00020454" w:rsidRPr="009A27ED">
        <w:rPr>
          <w:rFonts w:ascii="Times New Roman" w:eastAsia="Times New Roman" w:hAnsi="Times New Roman"/>
          <w:sz w:val="24"/>
          <w:szCs w:val="22"/>
        </w:rPr>
        <w:t xml:space="preserve">y </w:t>
      </w:r>
      <w:r w:rsidR="00874197" w:rsidRPr="009A27ED">
        <w:rPr>
          <w:rFonts w:ascii="Times New Roman" w:eastAsia="Times New Roman" w:hAnsi="Times New Roman"/>
          <w:sz w:val="24"/>
          <w:szCs w:val="22"/>
        </w:rPr>
        <w:t>3</w:t>
      </w:r>
      <w:r w:rsidRPr="009A27ED">
        <w:rPr>
          <w:rFonts w:ascii="Times New Roman" w:eastAsia="Times New Roman" w:hAnsi="Times New Roman"/>
          <w:sz w:val="24"/>
          <w:szCs w:val="22"/>
        </w:rPr>
        <w:t>) las que mejoran la existencia de carbono en los bosques.</w:t>
      </w:r>
    </w:p>
    <w:p w14:paraId="7FADFEFA" w14:textId="38E725BE" w:rsidR="00947670" w:rsidRPr="009A27ED" w:rsidRDefault="00947670" w:rsidP="005B6485">
      <w:pPr>
        <w:spacing w:before="120" w:after="0" w:line="360" w:lineRule="auto"/>
        <w:rPr>
          <w:rFonts w:eastAsia="Calibri"/>
          <w:szCs w:val="22"/>
        </w:rPr>
      </w:pPr>
      <w:r w:rsidRPr="009A27ED">
        <w:rPr>
          <w:rFonts w:ascii="Times New Roman" w:eastAsia="Times New Roman" w:hAnsi="Times New Roman"/>
          <w:sz w:val="24"/>
          <w:szCs w:val="22"/>
        </w:rPr>
        <w:t xml:space="preserve">En </w:t>
      </w:r>
      <w:r w:rsidR="00E371C1" w:rsidRPr="009A27ED">
        <w:rPr>
          <w:rFonts w:ascii="Times New Roman" w:eastAsia="Times New Roman" w:hAnsi="Times New Roman"/>
          <w:sz w:val="24"/>
          <w:szCs w:val="22"/>
        </w:rPr>
        <w:t>e</w:t>
      </w:r>
      <w:r w:rsidR="00B3618B" w:rsidRPr="009A27ED">
        <w:rPr>
          <w:rFonts w:ascii="Times New Roman" w:eastAsia="Times New Roman" w:hAnsi="Times New Roman"/>
          <w:sz w:val="24"/>
          <w:szCs w:val="22"/>
        </w:rPr>
        <w:t>l</w:t>
      </w:r>
      <w:r w:rsidR="00CF26C7" w:rsidRPr="009A27ED">
        <w:rPr>
          <w:rFonts w:ascii="Times New Roman" w:eastAsia="Times New Roman" w:hAnsi="Times New Roman"/>
          <w:sz w:val="24"/>
          <w:szCs w:val="22"/>
        </w:rPr>
        <w:t xml:space="preserve"> </w:t>
      </w:r>
      <w:r w:rsidR="005C2EAE" w:rsidRPr="009A27ED">
        <w:rPr>
          <w:rFonts w:ascii="Times New Roman" w:eastAsia="Times New Roman" w:hAnsi="Times New Roman"/>
          <w:sz w:val="24"/>
          <w:szCs w:val="22"/>
        </w:rPr>
        <w:t xml:space="preserve">cuadro </w:t>
      </w:r>
      <w:r w:rsidR="00E371C1" w:rsidRPr="009A27ED">
        <w:rPr>
          <w:rFonts w:ascii="Times New Roman" w:eastAsia="Times New Roman" w:hAnsi="Times New Roman"/>
          <w:sz w:val="24"/>
          <w:szCs w:val="22"/>
        </w:rPr>
        <w:t>5</w:t>
      </w:r>
      <w:r w:rsidRPr="009A27ED">
        <w:rPr>
          <w:rFonts w:ascii="Times New Roman" w:eastAsia="Times New Roman" w:hAnsi="Times New Roman"/>
          <w:sz w:val="24"/>
          <w:szCs w:val="22"/>
        </w:rPr>
        <w:t xml:space="preserve"> se presenta un resumen de las grandes opciones estratégicas</w:t>
      </w:r>
      <w:r w:rsidR="00885D5E" w:rsidRPr="009A27ED">
        <w:rPr>
          <w:rFonts w:ascii="Times New Roman" w:eastAsia="Times New Roman" w:hAnsi="Times New Roman"/>
          <w:sz w:val="24"/>
          <w:szCs w:val="22"/>
        </w:rPr>
        <w:t>,</w:t>
      </w:r>
      <w:r w:rsidRPr="009A27ED">
        <w:rPr>
          <w:rFonts w:ascii="Times New Roman" w:eastAsia="Times New Roman" w:hAnsi="Times New Roman"/>
          <w:sz w:val="24"/>
          <w:szCs w:val="22"/>
        </w:rPr>
        <w:t xml:space="preserve"> sus correspondientes acciones estratégicas</w:t>
      </w:r>
      <w:r w:rsidR="00885D5E" w:rsidRPr="009A27ED">
        <w:rPr>
          <w:rFonts w:ascii="Times New Roman" w:eastAsia="Times New Roman" w:hAnsi="Times New Roman"/>
          <w:sz w:val="24"/>
          <w:szCs w:val="22"/>
        </w:rPr>
        <w:t xml:space="preserve"> y un resumen del alcance de cada acción estratégica, incluyendo la referencia a la causal de deforestación y degradación a la cual pretende abordar</w:t>
      </w:r>
      <w:r w:rsidRPr="009A27ED">
        <w:rPr>
          <w:rFonts w:ascii="Times New Roman" w:eastAsia="Times New Roman" w:hAnsi="Times New Roman"/>
          <w:sz w:val="24"/>
          <w:szCs w:val="22"/>
        </w:rPr>
        <w:t>.</w:t>
      </w:r>
      <w:r w:rsidR="00CF26C7" w:rsidRPr="009A27ED">
        <w:rPr>
          <w:rFonts w:ascii="Times New Roman" w:eastAsia="Times New Roman" w:hAnsi="Times New Roman"/>
          <w:sz w:val="24"/>
          <w:szCs w:val="22"/>
        </w:rPr>
        <w:t xml:space="preserve"> </w:t>
      </w:r>
    </w:p>
    <w:p w14:paraId="093857CC" w14:textId="7678FC52" w:rsidR="00885D5E" w:rsidRPr="009A27ED" w:rsidRDefault="00885D5E" w:rsidP="005B6485">
      <w:pPr>
        <w:spacing w:before="120" w:after="0" w:line="360" w:lineRule="auto"/>
        <w:rPr>
          <w:rFonts w:eastAsia="Calibri"/>
          <w:szCs w:val="22"/>
        </w:rPr>
      </w:pPr>
    </w:p>
    <w:p w14:paraId="1A74DF36" w14:textId="57CBA9BE" w:rsidR="00885D5E" w:rsidRPr="009A27ED" w:rsidRDefault="00885D5E" w:rsidP="005B6485">
      <w:pPr>
        <w:spacing w:before="120" w:after="0" w:line="360" w:lineRule="auto"/>
        <w:rPr>
          <w:rFonts w:eastAsia="Calibri"/>
          <w:szCs w:val="22"/>
        </w:rPr>
      </w:pPr>
    </w:p>
    <w:p w14:paraId="3B3BD576" w14:textId="35F0B1C5" w:rsidR="00885D5E" w:rsidRPr="009A27ED" w:rsidRDefault="00885D5E" w:rsidP="005B6485">
      <w:pPr>
        <w:spacing w:before="120" w:after="0" w:line="360" w:lineRule="auto"/>
        <w:rPr>
          <w:rFonts w:eastAsia="Calibri"/>
          <w:szCs w:val="22"/>
        </w:rPr>
      </w:pPr>
    </w:p>
    <w:p w14:paraId="6DE0B59E" w14:textId="7714A593" w:rsidR="00885D5E" w:rsidRPr="009A27ED" w:rsidRDefault="00885D5E" w:rsidP="005B6485">
      <w:pPr>
        <w:spacing w:before="120" w:after="0" w:line="360" w:lineRule="auto"/>
        <w:rPr>
          <w:rFonts w:eastAsia="Calibri"/>
          <w:szCs w:val="22"/>
        </w:rPr>
      </w:pPr>
    </w:p>
    <w:p w14:paraId="6E20FD19" w14:textId="4177445F" w:rsidR="00885D5E" w:rsidRPr="009A27ED" w:rsidRDefault="00885D5E" w:rsidP="005F667F">
      <w:pPr>
        <w:pStyle w:val="Descripcin"/>
        <w:spacing w:line="360" w:lineRule="auto"/>
        <w:rPr>
          <w:color w:val="000000" w:themeColor="text1"/>
          <w:sz w:val="20"/>
        </w:rPr>
      </w:pPr>
    </w:p>
    <w:p w14:paraId="12D0E4FA" w14:textId="2A2C3414" w:rsidR="007953F0" w:rsidRPr="009A27ED" w:rsidRDefault="007953F0" w:rsidP="007953F0">
      <w:pPr>
        <w:pStyle w:val="Descripcin"/>
        <w:spacing w:line="360" w:lineRule="auto"/>
        <w:rPr>
          <w:color w:val="000000" w:themeColor="text1"/>
          <w:sz w:val="20"/>
        </w:rPr>
      </w:pPr>
      <w:bookmarkStart w:id="94" w:name="_Toc111887415"/>
      <w:r w:rsidRPr="009A27ED">
        <w:rPr>
          <w:rFonts w:ascii="Times New Roman" w:eastAsia="Times New Roman" w:hAnsi="Times New Roman"/>
          <w:sz w:val="24"/>
        </w:rPr>
        <w:t xml:space="preserve">Cuadro </w:t>
      </w:r>
      <w:r w:rsidR="00F43DB6" w:rsidRPr="009A27ED">
        <w:rPr>
          <w:rFonts w:ascii="Times New Roman" w:eastAsia="Times New Roman" w:hAnsi="Times New Roman"/>
          <w:sz w:val="24"/>
        </w:rPr>
        <w:fldChar w:fldCharType="begin"/>
      </w:r>
      <w:r w:rsidR="00F43DB6" w:rsidRPr="009A27ED">
        <w:rPr>
          <w:rFonts w:ascii="Times New Roman" w:eastAsia="Times New Roman" w:hAnsi="Times New Roman"/>
          <w:sz w:val="24"/>
        </w:rPr>
        <w:instrText xml:space="preserve"> SEQ Cuadro \* ARABIC </w:instrText>
      </w:r>
      <w:r w:rsidR="00F43DB6"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5</w:t>
      </w:r>
      <w:r w:rsidR="00F43DB6" w:rsidRPr="009A27ED">
        <w:rPr>
          <w:rFonts w:ascii="Times New Roman" w:eastAsia="Times New Roman" w:hAnsi="Times New Roman"/>
          <w:sz w:val="24"/>
        </w:rPr>
        <w:fldChar w:fldCharType="end"/>
      </w:r>
      <w:r w:rsidRPr="009A27ED">
        <w:rPr>
          <w:rFonts w:ascii="Times New Roman" w:eastAsia="Times New Roman" w:hAnsi="Times New Roman"/>
          <w:sz w:val="24"/>
        </w:rPr>
        <w:t xml:space="preserve"> </w:t>
      </w:r>
      <w:r w:rsidRPr="009A27ED">
        <w:rPr>
          <w:rFonts w:ascii="Times New Roman" w:eastAsia="Times New Roman" w:hAnsi="Times New Roman"/>
          <w:color w:val="000000" w:themeColor="text1"/>
          <w:sz w:val="24"/>
        </w:rPr>
        <w:t>. Opciones y acciones estratégicas: alcance y causal que aborda</w:t>
      </w:r>
      <w:bookmarkEnd w:id="94"/>
    </w:p>
    <w:tbl>
      <w:tblPr>
        <w:tblStyle w:val="Tablaconcuadrcula"/>
        <w:tblW w:w="12611" w:type="dxa"/>
        <w:tblLook w:val="04A0" w:firstRow="1" w:lastRow="0" w:firstColumn="1" w:lastColumn="0" w:noHBand="0" w:noVBand="1"/>
      </w:tblPr>
      <w:tblGrid>
        <w:gridCol w:w="2340"/>
        <w:gridCol w:w="2641"/>
        <w:gridCol w:w="2102"/>
        <w:gridCol w:w="5528"/>
      </w:tblGrid>
      <w:tr w:rsidR="0028451D" w:rsidRPr="009A27ED" w14:paraId="77CB63B0" w14:textId="34D7648C" w:rsidTr="008661EB">
        <w:trPr>
          <w:tblHeader/>
        </w:trPr>
        <w:tc>
          <w:tcPr>
            <w:tcW w:w="2340" w:type="dxa"/>
            <w:shd w:val="clear" w:color="auto" w:fill="2E74B5" w:themeFill="accent1" w:themeFillShade="BF"/>
          </w:tcPr>
          <w:p w14:paraId="0032C419" w14:textId="68092FD1" w:rsidR="0028451D" w:rsidRPr="009A27ED" w:rsidRDefault="0028451D" w:rsidP="005C2EAE">
            <w:pPr>
              <w:spacing w:after="0"/>
              <w:jc w:val="center"/>
              <w:rPr>
                <w:rFonts w:ascii="Calibri" w:eastAsia="Calibri" w:hAnsi="Calibri" w:cs="Calibri"/>
                <w:b/>
                <w:color w:val="FFFFFF"/>
                <w:sz w:val="20"/>
                <w:szCs w:val="20"/>
              </w:rPr>
            </w:pPr>
            <w:r w:rsidRPr="009A27ED">
              <w:rPr>
                <w:rFonts w:ascii="Calibri" w:eastAsia="Calibri" w:hAnsi="Calibri" w:cs="Calibri"/>
                <w:b/>
                <w:color w:val="FFFFFF"/>
                <w:sz w:val="20"/>
                <w:szCs w:val="20"/>
              </w:rPr>
              <w:t>O</w:t>
            </w:r>
            <w:r w:rsidR="0054061B" w:rsidRPr="009A27ED">
              <w:rPr>
                <w:rFonts w:ascii="Calibri" w:eastAsia="Calibri" w:hAnsi="Calibri" w:cs="Calibri"/>
                <w:b/>
                <w:color w:val="FFFFFF"/>
                <w:sz w:val="20"/>
                <w:szCs w:val="20"/>
              </w:rPr>
              <w:t>pciones estratégicas</w:t>
            </w:r>
          </w:p>
        </w:tc>
        <w:tc>
          <w:tcPr>
            <w:tcW w:w="2641" w:type="dxa"/>
            <w:shd w:val="clear" w:color="auto" w:fill="2E74B5" w:themeFill="accent1" w:themeFillShade="BF"/>
          </w:tcPr>
          <w:p w14:paraId="3699AF7A" w14:textId="518BFF93" w:rsidR="0028451D" w:rsidRPr="009A27ED" w:rsidRDefault="0028451D" w:rsidP="005C2EAE">
            <w:pPr>
              <w:spacing w:after="0"/>
              <w:jc w:val="center"/>
              <w:rPr>
                <w:rFonts w:ascii="Calibri" w:eastAsia="Calibri" w:hAnsi="Calibri" w:cs="Calibri"/>
                <w:b/>
                <w:color w:val="FFFFFF"/>
                <w:sz w:val="20"/>
                <w:szCs w:val="20"/>
              </w:rPr>
            </w:pPr>
            <w:r w:rsidRPr="009A27ED">
              <w:rPr>
                <w:rFonts w:ascii="Calibri" w:eastAsia="Calibri" w:hAnsi="Calibri" w:cs="Calibri"/>
                <w:b/>
                <w:color w:val="FFFFFF"/>
                <w:sz w:val="20"/>
                <w:szCs w:val="20"/>
              </w:rPr>
              <w:t>A</w:t>
            </w:r>
            <w:r w:rsidR="0054061B" w:rsidRPr="009A27ED">
              <w:rPr>
                <w:rFonts w:ascii="Calibri" w:eastAsia="Calibri" w:hAnsi="Calibri" w:cs="Calibri"/>
                <w:b/>
                <w:color w:val="FFFFFF"/>
                <w:sz w:val="20"/>
                <w:szCs w:val="20"/>
              </w:rPr>
              <w:t xml:space="preserve">cciones de </w:t>
            </w:r>
            <w:r w:rsidR="00434410" w:rsidRPr="009A27ED">
              <w:rPr>
                <w:rFonts w:ascii="Calibri" w:eastAsia="Calibri" w:hAnsi="Calibri" w:cs="Calibri"/>
                <w:b/>
                <w:color w:val="FFFFFF"/>
                <w:sz w:val="20"/>
                <w:szCs w:val="20"/>
              </w:rPr>
              <w:t>estrategia</w:t>
            </w:r>
            <w:r w:rsidR="0054061B" w:rsidRPr="009A27ED">
              <w:rPr>
                <w:rFonts w:ascii="Calibri" w:eastAsia="Calibri" w:hAnsi="Calibri" w:cs="Calibri"/>
                <w:b/>
                <w:color w:val="FFFFFF"/>
                <w:sz w:val="20"/>
                <w:szCs w:val="20"/>
              </w:rPr>
              <w:t xml:space="preserve"> </w:t>
            </w:r>
            <w:r w:rsidRPr="009A27ED">
              <w:rPr>
                <w:rFonts w:ascii="Calibri" w:eastAsia="Calibri" w:hAnsi="Calibri" w:cs="Calibri"/>
                <w:b/>
                <w:color w:val="FFFFFF"/>
                <w:sz w:val="20"/>
                <w:szCs w:val="20"/>
              </w:rPr>
              <w:t>REDD+</w:t>
            </w:r>
          </w:p>
        </w:tc>
        <w:tc>
          <w:tcPr>
            <w:tcW w:w="2102" w:type="dxa"/>
            <w:shd w:val="clear" w:color="auto" w:fill="2E74B5" w:themeFill="accent1" w:themeFillShade="BF"/>
          </w:tcPr>
          <w:p w14:paraId="5B267062" w14:textId="2DCCE3CF" w:rsidR="0028451D" w:rsidRPr="009A27ED" w:rsidRDefault="0028451D" w:rsidP="0028451D">
            <w:pPr>
              <w:spacing w:after="0"/>
              <w:jc w:val="center"/>
              <w:rPr>
                <w:rFonts w:ascii="Calibri" w:eastAsia="Calibri" w:hAnsi="Calibri" w:cs="Calibri"/>
                <w:b/>
                <w:color w:val="FFFFFF"/>
                <w:sz w:val="20"/>
                <w:szCs w:val="20"/>
              </w:rPr>
            </w:pPr>
            <w:r w:rsidRPr="009A27ED">
              <w:rPr>
                <w:rFonts w:ascii="Calibri" w:eastAsia="Calibri" w:hAnsi="Calibri" w:cs="Calibri"/>
                <w:b/>
                <w:color w:val="FFFFFF"/>
                <w:sz w:val="20"/>
                <w:szCs w:val="20"/>
              </w:rPr>
              <w:t>C</w:t>
            </w:r>
            <w:r w:rsidR="0054061B" w:rsidRPr="009A27ED">
              <w:rPr>
                <w:rFonts w:ascii="Calibri" w:eastAsia="Calibri" w:hAnsi="Calibri" w:cs="Calibri"/>
                <w:b/>
                <w:color w:val="FFFFFF"/>
                <w:sz w:val="20"/>
                <w:szCs w:val="20"/>
              </w:rPr>
              <w:t xml:space="preserve">ausal de </w:t>
            </w:r>
            <w:r w:rsidRPr="009A27ED">
              <w:rPr>
                <w:rFonts w:ascii="Calibri" w:eastAsia="Calibri" w:hAnsi="Calibri" w:cs="Calibri"/>
                <w:b/>
                <w:color w:val="FFFFFF"/>
                <w:sz w:val="20"/>
                <w:szCs w:val="20"/>
              </w:rPr>
              <w:t>DDB</w:t>
            </w:r>
          </w:p>
        </w:tc>
        <w:tc>
          <w:tcPr>
            <w:tcW w:w="5528" w:type="dxa"/>
            <w:shd w:val="clear" w:color="auto" w:fill="2E74B5" w:themeFill="accent1" w:themeFillShade="BF"/>
          </w:tcPr>
          <w:p w14:paraId="2EC3263D" w14:textId="77777777" w:rsidR="0028451D" w:rsidRPr="009A27ED" w:rsidRDefault="0028451D" w:rsidP="005C2EAE">
            <w:pPr>
              <w:spacing w:after="0"/>
              <w:jc w:val="center"/>
              <w:rPr>
                <w:rFonts w:ascii="Calibri" w:eastAsia="Calibri" w:hAnsi="Calibri" w:cs="Calibri"/>
                <w:b/>
                <w:color w:val="FFFFFF"/>
                <w:sz w:val="20"/>
                <w:szCs w:val="20"/>
              </w:rPr>
            </w:pPr>
            <w:r w:rsidRPr="009A27ED">
              <w:rPr>
                <w:rFonts w:ascii="Calibri" w:eastAsia="Calibri" w:hAnsi="Calibri" w:cs="Calibri"/>
                <w:b/>
                <w:color w:val="FFFFFF"/>
                <w:sz w:val="20"/>
                <w:szCs w:val="20"/>
              </w:rPr>
              <w:t>D</w:t>
            </w:r>
            <w:r w:rsidR="0054061B" w:rsidRPr="009A27ED">
              <w:rPr>
                <w:rFonts w:ascii="Calibri" w:eastAsia="Calibri" w:hAnsi="Calibri" w:cs="Calibri"/>
                <w:b/>
                <w:color w:val="FFFFFF"/>
                <w:sz w:val="20"/>
                <w:szCs w:val="20"/>
              </w:rPr>
              <w:t xml:space="preserve">escripción / alcance </w:t>
            </w:r>
          </w:p>
          <w:p w14:paraId="40ED9E3C" w14:textId="004694B2" w:rsidR="0054061B" w:rsidRPr="009A27ED" w:rsidRDefault="0054061B" w:rsidP="005C2EAE">
            <w:pPr>
              <w:spacing w:after="0"/>
              <w:jc w:val="center"/>
              <w:rPr>
                <w:rFonts w:ascii="Calibri" w:eastAsia="Calibri" w:hAnsi="Calibri" w:cs="Calibri"/>
                <w:b/>
                <w:color w:val="FFFFFF"/>
                <w:sz w:val="20"/>
                <w:szCs w:val="20"/>
              </w:rPr>
            </w:pPr>
          </w:p>
        </w:tc>
      </w:tr>
      <w:tr w:rsidR="0028451D" w:rsidRPr="009A27ED" w14:paraId="68F67E5A" w14:textId="184E7E8D" w:rsidTr="005C2EAE">
        <w:tc>
          <w:tcPr>
            <w:tcW w:w="2340" w:type="dxa"/>
            <w:vMerge w:val="restart"/>
          </w:tcPr>
          <w:p w14:paraId="50BC5A70" w14:textId="77777777" w:rsidR="0028451D" w:rsidRPr="009A27ED" w:rsidRDefault="0028451D" w:rsidP="005C2EAE">
            <w:pPr>
              <w:spacing w:after="0"/>
              <w:ind w:left="161" w:hanging="180"/>
              <w:jc w:val="left"/>
              <w:rPr>
                <w:rFonts w:ascii="Calibri" w:eastAsia="Times New Roman" w:hAnsi="Calibri" w:cs="Calibri"/>
                <w:sz w:val="20"/>
                <w:szCs w:val="20"/>
                <w:lang w:eastAsia="fr-FR"/>
              </w:rPr>
            </w:pPr>
            <w:r w:rsidRPr="009A27ED">
              <w:rPr>
                <w:rFonts w:ascii="Calibri" w:eastAsia="Times New Roman" w:hAnsi="Calibri" w:cs="Calibri"/>
                <w:bCs/>
                <w:color w:val="000000"/>
                <w:kern w:val="24"/>
                <w:sz w:val="20"/>
                <w:szCs w:val="20"/>
                <w:lang w:eastAsia="fr-FR"/>
              </w:rPr>
              <w:t>1. Fortalecer el marco legal e institucional para la conservación del patrimonio natural y el uso sostenible de los recursos naturales.</w:t>
            </w:r>
          </w:p>
          <w:p w14:paraId="64E64C22" w14:textId="77777777" w:rsidR="0028451D" w:rsidRPr="009A27ED" w:rsidRDefault="0028451D" w:rsidP="005C2EAE">
            <w:pPr>
              <w:spacing w:after="0"/>
              <w:rPr>
                <w:rFonts w:ascii="Calibri" w:eastAsia="Calibri" w:hAnsi="Calibri" w:cs="Calibri"/>
                <w:sz w:val="20"/>
                <w:szCs w:val="20"/>
              </w:rPr>
            </w:pPr>
          </w:p>
        </w:tc>
        <w:tc>
          <w:tcPr>
            <w:tcW w:w="2641" w:type="dxa"/>
          </w:tcPr>
          <w:p w14:paraId="72039F32" w14:textId="77777777" w:rsidR="0028451D" w:rsidRPr="009A27ED" w:rsidRDefault="0028451D" w:rsidP="0028451D">
            <w:pPr>
              <w:numPr>
                <w:ilvl w:val="1"/>
                <w:numId w:val="4"/>
              </w:numPr>
              <w:spacing w:after="0"/>
              <w:contextualSpacing/>
              <w:jc w:val="left"/>
              <w:rPr>
                <w:rFonts w:ascii="Calibri" w:eastAsia="Calibri" w:hAnsi="Calibri" w:cs="Calibri"/>
                <w:sz w:val="20"/>
                <w:szCs w:val="20"/>
              </w:rPr>
            </w:pPr>
            <w:r w:rsidRPr="009A27ED">
              <w:rPr>
                <w:rFonts w:ascii="Calibri" w:eastAsia="Calibri" w:hAnsi="Calibri" w:cs="Calibri"/>
                <w:sz w:val="20"/>
                <w:szCs w:val="20"/>
              </w:rPr>
              <w:t>Promover la aprobación, promulgación y aplicación de la Ley Forestal y la de Pagos por Servicios Ambientales.</w:t>
            </w:r>
          </w:p>
        </w:tc>
        <w:tc>
          <w:tcPr>
            <w:tcW w:w="2102" w:type="dxa"/>
          </w:tcPr>
          <w:p w14:paraId="10C7A262" w14:textId="60CEBC4D" w:rsidR="0028451D" w:rsidRPr="009A27ED" w:rsidRDefault="0028451D" w:rsidP="0028451D">
            <w:pPr>
              <w:spacing w:after="0"/>
              <w:ind w:right="58"/>
              <w:rPr>
                <w:rFonts w:ascii="Calibri" w:eastAsia="Calibri" w:hAnsi="Calibri" w:cs="Calibri"/>
                <w:b/>
                <w:sz w:val="20"/>
                <w:szCs w:val="20"/>
              </w:rPr>
            </w:pPr>
            <w:r w:rsidRPr="009A27ED">
              <w:rPr>
                <w:rFonts w:eastAsia="Calibri"/>
                <w:sz w:val="20"/>
                <w:szCs w:val="20"/>
                <w:lang w:val="es-MX" w:eastAsia="gl"/>
              </w:rPr>
              <w:t>Debilidad en legislación forestal y otras normativas asociadas a la gestión del sector forestal</w:t>
            </w:r>
          </w:p>
        </w:tc>
        <w:tc>
          <w:tcPr>
            <w:tcW w:w="5528" w:type="dxa"/>
          </w:tcPr>
          <w:p w14:paraId="0FFF421E" w14:textId="2F1FEBDF" w:rsidR="0028451D" w:rsidRPr="009A27ED" w:rsidRDefault="0028451D" w:rsidP="005C2EAE">
            <w:pPr>
              <w:spacing w:after="0"/>
              <w:ind w:right="58"/>
              <w:rPr>
                <w:rFonts w:ascii="Calibri" w:eastAsia="Calibri" w:hAnsi="Calibri" w:cs="Calibri"/>
                <w:sz w:val="20"/>
                <w:szCs w:val="20"/>
                <w:lang w:val="es-MX" w:eastAsia="gl"/>
              </w:rPr>
            </w:pPr>
            <w:r w:rsidRPr="009A27ED">
              <w:rPr>
                <w:rFonts w:ascii="Calibri" w:eastAsia="Calibri" w:hAnsi="Calibri" w:cs="Calibri"/>
                <w:b/>
                <w:sz w:val="20"/>
                <w:szCs w:val="20"/>
              </w:rPr>
              <w:t>Acción Facilitadora</w:t>
            </w:r>
            <w:r w:rsidRPr="009A27ED">
              <w:rPr>
                <w:rFonts w:ascii="Calibri" w:eastAsia="Calibri" w:hAnsi="Calibri" w:cs="Calibri"/>
                <w:sz w:val="20"/>
                <w:szCs w:val="20"/>
              </w:rPr>
              <w:t>:</w:t>
            </w:r>
            <w:r w:rsidRPr="009A27ED">
              <w:rPr>
                <w:rFonts w:ascii="Calibri" w:eastAsia="Calibri" w:hAnsi="Calibri" w:cs="Calibri"/>
                <w:sz w:val="20"/>
                <w:szCs w:val="20"/>
                <w:lang w:val="es-MX" w:eastAsia="gl"/>
              </w:rPr>
              <w:t xml:space="preserve"> propone desarrollar instrumentos normativos para el fomento de acciones que conservan los bosques remanentes y que restauran áreas degradadas. La ley forestal tiene como objeto </w:t>
            </w:r>
            <w:r w:rsidRPr="009A27ED">
              <w:rPr>
                <w:rFonts w:ascii="Calibri" w:eastAsia="Calibri" w:hAnsi="Calibri" w:cs="Calibri"/>
                <w:i/>
                <w:sz w:val="20"/>
                <w:szCs w:val="20"/>
                <w:lang w:val="es-MX" w:eastAsia="gl"/>
              </w:rPr>
              <w:t xml:space="preserve">regular y fomentar el manejo forestal sostenible de los bosques, procurando su conservación, aprovechamiento, producción, industrialización y comercialización, así como la protección de otros recursos </w:t>
            </w:r>
            <w:r w:rsidRPr="009A27ED">
              <w:rPr>
                <w:rFonts w:ascii="Calibri" w:eastAsia="Calibri" w:hAnsi="Calibri" w:cs="Calibri"/>
                <w:i/>
                <w:sz w:val="20"/>
                <w:szCs w:val="20"/>
                <w:lang w:val="es-MX" w:eastAsia="gl"/>
              </w:rPr>
              <w:lastRenderedPageBreak/>
              <w:t>naturales que formen parte de sus ecosistemas, manteniendo su biodiversidad y capacidad de regeneración</w:t>
            </w:r>
            <w:r w:rsidRPr="009A27ED">
              <w:rPr>
                <w:rFonts w:ascii="Calibri" w:eastAsia="Calibri" w:hAnsi="Calibri" w:cs="Calibri"/>
                <w:sz w:val="20"/>
                <w:szCs w:val="20"/>
                <w:lang w:val="es-MX" w:eastAsia="gl"/>
              </w:rPr>
              <w:t xml:space="preserve">. De igual manera, la ley de pago por servicios ambientales tiene como objetivo general </w:t>
            </w:r>
            <w:r w:rsidRPr="009A27ED">
              <w:rPr>
                <w:rFonts w:ascii="Calibri" w:eastAsia="Calibri" w:hAnsi="Calibri" w:cs="Calibri"/>
                <w:i/>
                <w:sz w:val="20"/>
                <w:szCs w:val="20"/>
                <w:lang w:val="es-MX" w:eastAsia="gl"/>
              </w:rPr>
              <w:t>conservar, preservar y restaurar el uso sostenible de los ecosistemas, a fin de garantizar los servicios ambientales o ecosistémicos que estos prestan, a través de un marco general para la compensación y retribución de los servicios ambientales</w:t>
            </w:r>
            <w:r w:rsidRPr="009A27ED">
              <w:rPr>
                <w:rFonts w:ascii="Calibri" w:eastAsia="Calibri" w:hAnsi="Calibri" w:cs="Calibri"/>
                <w:sz w:val="20"/>
                <w:szCs w:val="20"/>
                <w:lang w:val="es-MX" w:eastAsia="gl"/>
              </w:rPr>
              <w:t>.</w:t>
            </w:r>
          </w:p>
          <w:p w14:paraId="4E98439A" w14:textId="027CBA73" w:rsidR="0028451D" w:rsidRPr="009A27ED" w:rsidRDefault="0028451D" w:rsidP="008837CB">
            <w:pPr>
              <w:spacing w:after="0"/>
              <w:rPr>
                <w:rFonts w:ascii="Calibri" w:eastAsia="Calibri" w:hAnsi="Calibri" w:cs="Calibri"/>
                <w:sz w:val="20"/>
                <w:szCs w:val="20"/>
              </w:rPr>
            </w:pPr>
            <w:r w:rsidRPr="009A27ED">
              <w:rPr>
                <w:rFonts w:ascii="Calibri" w:eastAsia="Calibri" w:hAnsi="Calibri" w:cs="Calibri"/>
                <w:sz w:val="20"/>
                <w:szCs w:val="20"/>
                <w:lang w:val="es-MX" w:eastAsia="gl"/>
              </w:rPr>
              <w:t>Ambas leyes son de carácter general y requieren de instrumentos específicos de aplicación. A corto plazo se pretende</w:t>
            </w:r>
            <w:r w:rsidRPr="009A27ED">
              <w:rPr>
                <w:rFonts w:ascii="Calibri" w:eastAsia="Calibri" w:hAnsi="Calibri" w:cs="Calibri"/>
                <w:b/>
                <w:sz w:val="20"/>
                <w:szCs w:val="20"/>
                <w:lang w:val="es-MX" w:eastAsia="gl"/>
              </w:rPr>
              <w:t xml:space="preserve"> </w:t>
            </w:r>
            <w:r w:rsidRPr="009A27ED">
              <w:rPr>
                <w:rFonts w:ascii="Calibri" w:eastAsia="Calibri" w:hAnsi="Calibri" w:cs="Calibri"/>
                <w:sz w:val="20"/>
                <w:szCs w:val="20"/>
                <w:lang w:val="es-MX" w:eastAsia="gl"/>
              </w:rPr>
              <w:t>a</w:t>
            </w:r>
            <w:r w:rsidRPr="009A27ED">
              <w:rPr>
                <w:rFonts w:ascii="Calibri" w:eastAsia="Calibri" w:hAnsi="Calibri" w:cs="Calibri"/>
                <w:sz w:val="20"/>
                <w:szCs w:val="20"/>
              </w:rPr>
              <w:t>poyar la aprobación, promulgación y aplicación de los instrumentos operativos (reglamentos) de estas dos leyes.</w:t>
            </w:r>
            <w:r w:rsidR="008837CB" w:rsidRPr="009A27ED">
              <w:rPr>
                <w:rFonts w:ascii="Calibri" w:eastAsia="Calibri" w:hAnsi="Calibri" w:cs="Calibri"/>
                <w:sz w:val="20"/>
                <w:szCs w:val="20"/>
              </w:rPr>
              <w:t xml:space="preserve"> </w:t>
            </w:r>
          </w:p>
        </w:tc>
      </w:tr>
      <w:tr w:rsidR="0028451D" w:rsidRPr="009A27ED" w14:paraId="4F0DF220" w14:textId="057CA31E" w:rsidTr="005C2EAE">
        <w:tc>
          <w:tcPr>
            <w:tcW w:w="2340" w:type="dxa"/>
            <w:vMerge/>
          </w:tcPr>
          <w:p w14:paraId="535A3855" w14:textId="77777777" w:rsidR="0028451D" w:rsidRPr="009A27ED" w:rsidRDefault="0028451D" w:rsidP="0028451D">
            <w:pPr>
              <w:rPr>
                <w:rFonts w:ascii="Calibri" w:eastAsia="Calibri" w:hAnsi="Calibri" w:cs="Calibri"/>
                <w:sz w:val="20"/>
                <w:szCs w:val="20"/>
              </w:rPr>
            </w:pPr>
          </w:p>
        </w:tc>
        <w:tc>
          <w:tcPr>
            <w:tcW w:w="2641" w:type="dxa"/>
          </w:tcPr>
          <w:p w14:paraId="472FF576" w14:textId="77777777" w:rsidR="0028451D" w:rsidRPr="009A27ED" w:rsidRDefault="0028451D" w:rsidP="0028451D">
            <w:pPr>
              <w:numPr>
                <w:ilvl w:val="1"/>
                <w:numId w:val="4"/>
              </w:numPr>
              <w:contextualSpacing/>
              <w:jc w:val="left"/>
              <w:rPr>
                <w:rFonts w:ascii="Calibri" w:eastAsia="Calibri" w:hAnsi="Calibri" w:cs="Calibri"/>
                <w:sz w:val="20"/>
                <w:szCs w:val="20"/>
              </w:rPr>
            </w:pPr>
            <w:r w:rsidRPr="009A27ED">
              <w:rPr>
                <w:rFonts w:ascii="Calibri" w:eastAsia="Calibri" w:hAnsi="Calibri" w:cs="Calibri"/>
                <w:sz w:val="20"/>
                <w:szCs w:val="20"/>
              </w:rPr>
              <w:t xml:space="preserve">Revisar, elaborar y aplicar normativas relativas a la gestión forestal sostenible. </w:t>
            </w:r>
          </w:p>
        </w:tc>
        <w:tc>
          <w:tcPr>
            <w:tcW w:w="2102" w:type="dxa"/>
          </w:tcPr>
          <w:p w14:paraId="7406E32C" w14:textId="761ABD25" w:rsidR="0028451D" w:rsidRPr="009A27ED" w:rsidRDefault="0028451D" w:rsidP="0028451D">
            <w:pPr>
              <w:rPr>
                <w:rFonts w:ascii="Calibri" w:eastAsia="Calibri" w:hAnsi="Calibri" w:cs="Calibri"/>
                <w:b/>
                <w:sz w:val="20"/>
                <w:szCs w:val="20"/>
              </w:rPr>
            </w:pPr>
            <w:r w:rsidRPr="009A27ED">
              <w:rPr>
                <w:rFonts w:ascii="Calibri" w:eastAsia="Calibri" w:hAnsi="Calibri" w:cs="Calibri"/>
                <w:sz w:val="20"/>
                <w:szCs w:val="20"/>
                <w:lang w:val="es-MX"/>
              </w:rPr>
              <w:t>Debilidad en legislación forestal y otras normativas asociadas a la gestión del sector forestal</w:t>
            </w:r>
          </w:p>
        </w:tc>
        <w:tc>
          <w:tcPr>
            <w:tcW w:w="5528" w:type="dxa"/>
          </w:tcPr>
          <w:p w14:paraId="15E88EE1" w14:textId="370458B4" w:rsidR="0028451D" w:rsidRPr="009A27ED" w:rsidRDefault="0028451D" w:rsidP="0028451D">
            <w:pPr>
              <w:rPr>
                <w:rFonts w:ascii="Calibri" w:eastAsia="Calibri" w:hAnsi="Calibri" w:cs="Calibri"/>
                <w:sz w:val="20"/>
                <w:szCs w:val="20"/>
                <w:lang w:val="es-MX"/>
              </w:rPr>
            </w:pPr>
            <w:r w:rsidRPr="009A27ED">
              <w:rPr>
                <w:rFonts w:ascii="Calibri" w:eastAsia="Calibri" w:hAnsi="Calibri" w:cs="Calibri"/>
                <w:b/>
                <w:sz w:val="20"/>
                <w:szCs w:val="20"/>
              </w:rPr>
              <w:t>Acción Facilitadora</w:t>
            </w:r>
            <w:r w:rsidRPr="009A27ED">
              <w:rPr>
                <w:rFonts w:ascii="Calibri" w:eastAsia="Calibri" w:hAnsi="Calibri" w:cs="Calibri"/>
                <w:sz w:val="20"/>
                <w:szCs w:val="20"/>
              </w:rPr>
              <w:t xml:space="preserve">: Existe un </w:t>
            </w:r>
            <w:r w:rsidRPr="009A27ED">
              <w:rPr>
                <w:rFonts w:ascii="Calibri" w:eastAsia="Calibri" w:hAnsi="Calibri" w:cs="Calibri"/>
                <w:sz w:val="20"/>
                <w:szCs w:val="20"/>
                <w:lang w:val="es-MX"/>
              </w:rPr>
              <w:t xml:space="preserve"> reglamento forestal  cuyos objetivos son: a) establecer pautas o lineamientos para atender las necesidades de conservación, fomento y desarrollo de los recursos forestales; b) promover la protección y el uso sostenible de los recursos forestales, estableciendo reglas que permitan la necesaria incorporación de la sociedad civil, en la gestión para el desarrollo y conservación de estos recursos; c) asegurar el ordenamiento, conservación y desarrollo sostenible de los bosques existentes, tanto en su calidad como en su distribución geográfica, y la recuperación forestal de áreas actualmente desprovistas de vegetación para garantizar sus funciones ecológicas, sociales y económicas.</w:t>
            </w:r>
          </w:p>
          <w:p w14:paraId="15BE0D81" w14:textId="222F46E0" w:rsidR="0028451D" w:rsidRPr="009A27ED" w:rsidRDefault="0028451D" w:rsidP="0028451D">
            <w:pPr>
              <w:rPr>
                <w:rFonts w:ascii="Calibri" w:eastAsia="Calibri" w:hAnsi="Calibri" w:cs="Calibri"/>
                <w:sz w:val="20"/>
                <w:szCs w:val="20"/>
              </w:rPr>
            </w:pPr>
            <w:r w:rsidRPr="009A27ED">
              <w:rPr>
                <w:rFonts w:ascii="Calibri" w:eastAsia="Calibri" w:hAnsi="Calibri" w:cs="Calibri"/>
                <w:sz w:val="20"/>
                <w:szCs w:val="20"/>
                <w:lang w:val="es-MX"/>
              </w:rPr>
              <w:t>A corto plazo se procura una revisión, formulación y aplicación efectiva de normativas concernientes a la gestión forestal sostenible, incluyendo la difusión, participación y consulta con los actores involucrados.</w:t>
            </w:r>
          </w:p>
        </w:tc>
      </w:tr>
      <w:tr w:rsidR="0028451D" w:rsidRPr="009A27ED" w14:paraId="51A7F2A5" w14:textId="6FB405A1" w:rsidTr="005C2EAE">
        <w:tc>
          <w:tcPr>
            <w:tcW w:w="2340" w:type="dxa"/>
            <w:vMerge/>
          </w:tcPr>
          <w:p w14:paraId="650E9AED" w14:textId="77777777" w:rsidR="0028451D" w:rsidRPr="009A27ED" w:rsidRDefault="0028451D" w:rsidP="0028451D">
            <w:pPr>
              <w:rPr>
                <w:rFonts w:ascii="Calibri" w:eastAsia="Calibri" w:hAnsi="Calibri" w:cs="Calibri"/>
                <w:sz w:val="20"/>
                <w:szCs w:val="20"/>
              </w:rPr>
            </w:pPr>
          </w:p>
        </w:tc>
        <w:tc>
          <w:tcPr>
            <w:tcW w:w="2641" w:type="dxa"/>
          </w:tcPr>
          <w:p w14:paraId="7C5A661D" w14:textId="77777777" w:rsidR="0028451D" w:rsidRPr="009A27ED" w:rsidRDefault="0028451D" w:rsidP="005C2EAE">
            <w:pPr>
              <w:numPr>
                <w:ilvl w:val="1"/>
                <w:numId w:val="4"/>
              </w:numPr>
              <w:contextualSpacing/>
              <w:jc w:val="left"/>
              <w:rPr>
                <w:rFonts w:ascii="Calibri" w:eastAsia="Calibri" w:hAnsi="Calibri" w:cs="Calibri"/>
                <w:sz w:val="20"/>
                <w:szCs w:val="20"/>
              </w:rPr>
            </w:pPr>
            <w:r w:rsidRPr="009A27ED">
              <w:rPr>
                <w:rFonts w:ascii="Calibri" w:eastAsia="Calibri" w:hAnsi="Calibri" w:cs="Calibri"/>
                <w:sz w:val="20"/>
                <w:szCs w:val="20"/>
              </w:rPr>
              <w:t>Impulsar estructuras de gobernanza efectivas para la conservación del patrimonio natural en el ámbito de REDD+.</w:t>
            </w:r>
          </w:p>
        </w:tc>
        <w:tc>
          <w:tcPr>
            <w:tcW w:w="2102" w:type="dxa"/>
          </w:tcPr>
          <w:p w14:paraId="663A30C0" w14:textId="7E6B123C" w:rsidR="0028451D" w:rsidRPr="009A27ED" w:rsidRDefault="0028451D" w:rsidP="0028451D">
            <w:pPr>
              <w:rPr>
                <w:rFonts w:ascii="Calibri" w:eastAsia="Calibri" w:hAnsi="Calibri" w:cs="Calibri"/>
                <w:b/>
                <w:sz w:val="20"/>
                <w:szCs w:val="20"/>
              </w:rPr>
            </w:pPr>
            <w:r w:rsidRPr="009A27ED">
              <w:rPr>
                <w:rFonts w:ascii="Calibri" w:eastAsia="Calibri" w:hAnsi="Calibri" w:cs="Calibri"/>
                <w:sz w:val="20"/>
                <w:szCs w:val="20"/>
                <w:lang w:val="es-MX"/>
              </w:rPr>
              <w:t xml:space="preserve">Debilidad institucional para </w:t>
            </w:r>
            <w:r w:rsidR="00544808" w:rsidRPr="009A27ED">
              <w:rPr>
                <w:rFonts w:ascii="Calibri" w:eastAsia="Calibri" w:hAnsi="Calibri" w:cs="Calibri"/>
                <w:sz w:val="20"/>
                <w:szCs w:val="20"/>
                <w:lang w:val="es-MX"/>
              </w:rPr>
              <w:t>una gestión</w:t>
            </w:r>
            <w:r w:rsidRPr="009A27ED">
              <w:rPr>
                <w:rFonts w:ascii="Calibri" w:eastAsia="Calibri" w:hAnsi="Calibri" w:cs="Calibri"/>
                <w:sz w:val="20"/>
                <w:szCs w:val="20"/>
                <w:lang w:val="es-MX"/>
              </w:rPr>
              <w:t xml:space="preserve"> forestal sostenible</w:t>
            </w:r>
          </w:p>
        </w:tc>
        <w:tc>
          <w:tcPr>
            <w:tcW w:w="5528" w:type="dxa"/>
          </w:tcPr>
          <w:p w14:paraId="330C5594" w14:textId="47461255" w:rsidR="0028451D" w:rsidRPr="009A27ED" w:rsidRDefault="0028451D" w:rsidP="00F163C3">
            <w:pPr>
              <w:rPr>
                <w:rFonts w:eastAsia="Calibri"/>
                <w:sz w:val="20"/>
                <w:szCs w:val="20"/>
                <w:lang w:val="es-DO"/>
              </w:rPr>
            </w:pPr>
            <w:r w:rsidRPr="009A27ED">
              <w:rPr>
                <w:rFonts w:eastAsia="Calibri"/>
                <w:b/>
                <w:sz w:val="20"/>
                <w:szCs w:val="20"/>
              </w:rPr>
              <w:t>Acción Facilitadora</w:t>
            </w:r>
            <w:r w:rsidRPr="009A27ED">
              <w:rPr>
                <w:rFonts w:eastAsia="Calibri"/>
                <w:sz w:val="20"/>
                <w:szCs w:val="20"/>
              </w:rPr>
              <w:t>:</w:t>
            </w:r>
            <w:r w:rsidRPr="009A27ED">
              <w:rPr>
                <w:rFonts w:eastAsia="Calibri"/>
                <w:sz w:val="20"/>
                <w:szCs w:val="20"/>
                <w:lang w:val="es-DO"/>
              </w:rPr>
              <w:t xml:space="preserve"> La gobernanza para la conservación del patrimonio natural se refiere en este caso a los marcos jurídico-institucionales, estructuras, sistemas de conocimiento y valores culturales que determinan la manera en que las decisiones son tomadas. Asimismo, contempla los mecanismos de participación de los diferentes actores y las formas en que se ejerce la responsabilidad y el poder en las tomas de decisiones para la conservación del suelo, el agua, los bosques y la biodiversidad.</w:t>
            </w:r>
          </w:p>
          <w:p w14:paraId="17C77604" w14:textId="77777777" w:rsidR="0028451D" w:rsidRPr="009A27ED" w:rsidRDefault="0028451D">
            <w:pPr>
              <w:rPr>
                <w:rFonts w:eastAsia="Calibri"/>
                <w:b/>
                <w:sz w:val="20"/>
                <w:szCs w:val="20"/>
              </w:rPr>
            </w:pPr>
            <w:r w:rsidRPr="009A27ED">
              <w:rPr>
                <w:rFonts w:eastAsia="Calibri"/>
                <w:sz w:val="20"/>
                <w:szCs w:val="20"/>
                <w:lang w:val="es-DO"/>
              </w:rPr>
              <w:t xml:space="preserve">En el país existen diversos Ministerios y múltiples leyes y ordenanzas que inciden en la gobernanza para la conservación del suelo, el agua, los bosques y la biodiversidad. Esta acción procura mejorar y/o fortalecer las estructuras y mecanismos para la toma de decisiones sobre el uso de la tierra, de forma tal que se conserve el patrimonio natural del país. Esto conlleva esfuerzos de coordinación y armonización inter e intra ministerial, incluyendo la consolidación del Comité Directivo, Comité Técnico Asesor de REDD+ y Grupos de Trabajo a nivel central y Grupos de coordinación local. </w:t>
            </w:r>
            <w:r w:rsidRPr="009A27ED">
              <w:rPr>
                <w:rFonts w:eastAsia="Calibri"/>
                <w:sz w:val="20"/>
                <w:szCs w:val="20"/>
              </w:rPr>
              <w:t>Revisión y fortalecimiento de sus reglas de operación</w:t>
            </w:r>
            <w:r w:rsidRPr="009A27ED">
              <w:rPr>
                <w:rFonts w:eastAsia="Calibri"/>
                <w:b/>
                <w:sz w:val="20"/>
                <w:szCs w:val="20"/>
              </w:rPr>
              <w:t>.</w:t>
            </w:r>
          </w:p>
          <w:p w14:paraId="4576C70C" w14:textId="113E206B" w:rsidR="0038499B" w:rsidRPr="009A27ED" w:rsidRDefault="0038499B" w:rsidP="00C97A18">
            <w:pPr>
              <w:spacing w:before="120" w:after="100" w:afterAutospacing="1"/>
              <w:rPr>
                <w:rFonts w:eastAsia="Calibri"/>
                <w:sz w:val="20"/>
                <w:szCs w:val="20"/>
              </w:rPr>
            </w:pPr>
            <w:r w:rsidRPr="009A27ED">
              <w:rPr>
                <w:sz w:val="20"/>
                <w:szCs w:val="20"/>
              </w:rPr>
              <w:t xml:space="preserve">A fin de mejorar la gobernabilidad en los sectores de producción para limitar la expansión de las áreas de pastoreo en zonas boscosas </w:t>
            </w:r>
            <w:r w:rsidRPr="009A27ED">
              <w:rPr>
                <w:sz w:val="20"/>
                <w:szCs w:val="20"/>
                <w:lang w:val="es-GT"/>
              </w:rPr>
              <w:t xml:space="preserve">el Comité Directivo (Ministerio de Agricultura, Ministerio </w:t>
            </w:r>
            <w:r w:rsidRPr="009A27ED">
              <w:rPr>
                <w:sz w:val="20"/>
                <w:szCs w:val="20"/>
                <w:lang w:val="es-GT"/>
              </w:rPr>
              <w:lastRenderedPageBreak/>
              <w:t>de Medio Ambiente y Recursos Naturales, Ministerio de Economía, Planificación y Desarrollo) y el Comité Técnico Asesor, deberá velar por</w:t>
            </w:r>
            <w:r w:rsidRPr="009A27ED">
              <w:rPr>
                <w:sz w:val="20"/>
                <w:szCs w:val="20"/>
              </w:rPr>
              <w:t xml:space="preserve"> el fomento de un uso de la tierra que sea compatible con el desarrollo agropecuario y la conservación de los bosques. De igual manera, </w:t>
            </w:r>
            <w:r w:rsidR="007B0993" w:rsidRPr="009A27ED">
              <w:rPr>
                <w:sz w:val="20"/>
                <w:szCs w:val="20"/>
                <w:lang w:val="es-GT"/>
              </w:rPr>
              <w:t>una</w:t>
            </w:r>
            <w:r w:rsidRPr="009A27ED">
              <w:rPr>
                <w:sz w:val="20"/>
                <w:szCs w:val="20"/>
                <w:lang w:val="es-GT"/>
              </w:rPr>
              <w:t xml:space="preserve"> de las funciones del Comité Directivo y el Comité Técnico Asesor consiste en velar por</w:t>
            </w:r>
            <w:r w:rsidRPr="009A27ED">
              <w:rPr>
                <w:sz w:val="20"/>
                <w:szCs w:val="20"/>
              </w:rPr>
              <w:t xml:space="preserve"> el cumplimiento de las obligaciones contenidas en los acuerdos interinstitucionales para lograr la implementación efectiva de las políticas públicas de conservación, uso sostenible y restauración de los bosques. Otras medidas para limitar la expansión de la ganadería en zonas boscosas son las siguientes: a) revisar y adecuar la categorización de la actividad ganadera en el Reglamento del Proceso de Evaluación Ambiental, del Ministerio de Medio Ambiente y Recursos Naturales, b) incentivos a buenas prácticas ganaderas, c) capacitación y acompañamiento a productores, d) vigilancia a cargo de organizaciones y personas locales, e) quejas y denuncias a través de </w:t>
            </w:r>
            <w:r w:rsidR="001A652B" w:rsidRPr="009A27ED">
              <w:rPr>
                <w:sz w:val="20"/>
                <w:szCs w:val="20"/>
              </w:rPr>
              <w:t>S</w:t>
            </w:r>
            <w:r w:rsidR="002B0E6B" w:rsidRPr="009A27ED">
              <w:rPr>
                <w:sz w:val="20"/>
                <w:szCs w:val="20"/>
              </w:rPr>
              <w:t>Q</w:t>
            </w:r>
            <w:r w:rsidR="001A652B" w:rsidRPr="009A27ED">
              <w:rPr>
                <w:sz w:val="20"/>
                <w:szCs w:val="20"/>
              </w:rPr>
              <w:t>R</w:t>
            </w:r>
            <w:r w:rsidR="002B0E6B" w:rsidRPr="009A27ED">
              <w:rPr>
                <w:sz w:val="20"/>
                <w:szCs w:val="20"/>
              </w:rPr>
              <w:t>C</w:t>
            </w:r>
            <w:r w:rsidRPr="009A27ED">
              <w:rPr>
                <w:sz w:val="20"/>
                <w:szCs w:val="20"/>
              </w:rPr>
              <w:t>.</w:t>
            </w:r>
          </w:p>
        </w:tc>
      </w:tr>
      <w:tr w:rsidR="0028451D" w:rsidRPr="009A27ED" w14:paraId="25FDC3CD" w14:textId="4E3C89C7" w:rsidTr="005C2EAE">
        <w:tc>
          <w:tcPr>
            <w:tcW w:w="2340" w:type="dxa"/>
            <w:vMerge/>
          </w:tcPr>
          <w:p w14:paraId="33148713" w14:textId="77777777" w:rsidR="0028451D" w:rsidRPr="009A27ED" w:rsidRDefault="0028451D" w:rsidP="0028451D">
            <w:pPr>
              <w:rPr>
                <w:rFonts w:ascii="Calibri" w:eastAsia="Calibri" w:hAnsi="Calibri" w:cs="Calibri"/>
                <w:sz w:val="20"/>
                <w:szCs w:val="20"/>
              </w:rPr>
            </w:pPr>
          </w:p>
        </w:tc>
        <w:tc>
          <w:tcPr>
            <w:tcW w:w="2641" w:type="dxa"/>
          </w:tcPr>
          <w:p w14:paraId="358EA34B" w14:textId="77777777" w:rsidR="0028451D" w:rsidRPr="009A27ED" w:rsidRDefault="0028451D" w:rsidP="005C2EAE">
            <w:pPr>
              <w:numPr>
                <w:ilvl w:val="1"/>
                <w:numId w:val="4"/>
              </w:numPr>
              <w:contextualSpacing/>
              <w:jc w:val="left"/>
              <w:rPr>
                <w:rFonts w:ascii="Calibri" w:eastAsia="Calibri" w:hAnsi="Calibri" w:cs="Calibri"/>
                <w:sz w:val="20"/>
                <w:szCs w:val="20"/>
              </w:rPr>
            </w:pPr>
            <w:r w:rsidRPr="009A27ED">
              <w:rPr>
                <w:rFonts w:ascii="Calibri" w:eastAsia="Calibri" w:hAnsi="Calibri" w:cs="Calibri"/>
                <w:sz w:val="20"/>
                <w:szCs w:val="20"/>
              </w:rPr>
              <w:t xml:space="preserve">Definir y aplicar mecanismos legales relativos a tenencia de la tierra y pagos por servicios ambientales en el ámbito de REDD+. </w:t>
            </w:r>
          </w:p>
        </w:tc>
        <w:tc>
          <w:tcPr>
            <w:tcW w:w="2102" w:type="dxa"/>
          </w:tcPr>
          <w:p w14:paraId="2DBAC7BA" w14:textId="77777777" w:rsidR="0028451D" w:rsidRPr="009A27ED" w:rsidRDefault="0028451D" w:rsidP="005C2EAE">
            <w:pPr>
              <w:jc w:val="left"/>
              <w:rPr>
                <w:rFonts w:ascii="Calibri" w:eastAsia="Calibri" w:hAnsi="Calibri" w:cs="Calibri"/>
                <w:sz w:val="20"/>
                <w:szCs w:val="20"/>
                <w:lang w:val="es-MX"/>
              </w:rPr>
            </w:pPr>
            <w:r w:rsidRPr="009A27ED">
              <w:rPr>
                <w:rFonts w:ascii="Calibri" w:eastAsia="Calibri" w:hAnsi="Calibri" w:cs="Calibri"/>
                <w:sz w:val="20"/>
                <w:szCs w:val="20"/>
                <w:lang w:val="es-MX"/>
              </w:rPr>
              <w:t>Debilidad en régimen de tenencia de la tierra a nivel rural</w:t>
            </w:r>
          </w:p>
          <w:p w14:paraId="718CEED4" w14:textId="77777777" w:rsidR="0028451D" w:rsidRPr="009A27ED" w:rsidRDefault="0028451D" w:rsidP="005C2EAE">
            <w:pPr>
              <w:rPr>
                <w:rFonts w:ascii="Calibri" w:eastAsia="Calibri" w:hAnsi="Calibri" w:cs="Calibri"/>
                <w:sz w:val="20"/>
                <w:szCs w:val="20"/>
                <w:lang w:val="es-MX"/>
              </w:rPr>
            </w:pPr>
          </w:p>
          <w:p w14:paraId="33C499F2" w14:textId="46B32710" w:rsidR="0028451D" w:rsidRPr="009A27ED" w:rsidRDefault="0028451D" w:rsidP="0028451D">
            <w:pPr>
              <w:rPr>
                <w:rFonts w:ascii="Calibri" w:eastAsia="Calibri" w:hAnsi="Calibri" w:cs="Calibri"/>
                <w:b/>
                <w:sz w:val="20"/>
                <w:szCs w:val="20"/>
              </w:rPr>
            </w:pPr>
            <w:r w:rsidRPr="009A27ED">
              <w:rPr>
                <w:rFonts w:ascii="Calibri" w:eastAsia="Calibri" w:hAnsi="Calibri" w:cs="Calibri"/>
                <w:sz w:val="20"/>
                <w:szCs w:val="20"/>
                <w:lang w:val="es-MX"/>
              </w:rPr>
              <w:t>Baja valoración económica de los bosques</w:t>
            </w:r>
          </w:p>
        </w:tc>
        <w:tc>
          <w:tcPr>
            <w:tcW w:w="5528" w:type="dxa"/>
          </w:tcPr>
          <w:p w14:paraId="3C1B4159" w14:textId="67040636" w:rsidR="0028451D" w:rsidRPr="009A27ED" w:rsidRDefault="0028451D" w:rsidP="005C2EAE">
            <w:pPr>
              <w:rPr>
                <w:rFonts w:ascii="Calibri" w:eastAsia="Calibri" w:hAnsi="Calibri" w:cs="Calibri"/>
                <w:sz w:val="20"/>
                <w:szCs w:val="20"/>
              </w:rPr>
            </w:pPr>
            <w:r w:rsidRPr="009A27ED">
              <w:rPr>
                <w:rFonts w:ascii="Calibri" w:eastAsia="Calibri" w:hAnsi="Calibri" w:cs="Calibri"/>
                <w:b/>
                <w:sz w:val="20"/>
                <w:szCs w:val="20"/>
              </w:rPr>
              <w:t>Acción Facilitadora</w:t>
            </w:r>
            <w:r w:rsidRPr="009A27ED">
              <w:rPr>
                <w:rFonts w:ascii="Calibri" w:eastAsia="Calibri" w:hAnsi="Calibri" w:cs="Calibri"/>
                <w:sz w:val="20"/>
                <w:szCs w:val="20"/>
              </w:rPr>
              <w:t xml:space="preserve">: </w:t>
            </w:r>
            <w:r w:rsidRPr="009A27ED">
              <w:rPr>
                <w:rFonts w:ascii="Calibri" w:eastAsia="Calibri" w:hAnsi="Calibri" w:cs="Calibri"/>
                <w:sz w:val="20"/>
                <w:szCs w:val="20"/>
                <w:lang w:val="es-MX"/>
              </w:rPr>
              <w:t xml:space="preserve">Existe un alto porcentaje de informalidad en la tenencia de la tierra., lo </w:t>
            </w:r>
            <w:r w:rsidR="0095688F" w:rsidRPr="009A27ED">
              <w:rPr>
                <w:rFonts w:ascii="Calibri" w:eastAsia="Calibri" w:hAnsi="Calibri" w:cs="Calibri"/>
                <w:sz w:val="20"/>
                <w:szCs w:val="20"/>
                <w:lang w:val="es-MX"/>
              </w:rPr>
              <w:t>que tiene</w:t>
            </w:r>
            <w:r w:rsidRPr="009A27ED">
              <w:rPr>
                <w:rFonts w:ascii="Calibri" w:eastAsia="Calibri" w:hAnsi="Calibri" w:cs="Calibri"/>
                <w:sz w:val="20"/>
                <w:szCs w:val="20"/>
                <w:lang w:val="es-MX"/>
              </w:rPr>
              <w:t xml:space="preserve"> implicaciones negativas en el uso sostenible de la tierra, incluyendo la deforestación y degradación de los bosques y en los posibles arreglos para el pago por servicios ambientales en el ámbito de REDD+. En los últimos años se está implementando el Programa Gubernamental de Titulación de Tierras, lo cual ha permitido la entrega definitiva de cerca de 14,000 títulos de propiedad a </w:t>
            </w:r>
            <w:r w:rsidRPr="009A27ED">
              <w:rPr>
                <w:rFonts w:ascii="Calibri" w:eastAsia="Calibri" w:hAnsi="Calibri" w:cs="Calibri"/>
                <w:sz w:val="20"/>
                <w:szCs w:val="20"/>
                <w:lang w:val="es-DO"/>
              </w:rPr>
              <w:t>beneficiarios de la Reforma Agraria. A corto plazo, se</w:t>
            </w:r>
            <w:r w:rsidRPr="009A27ED">
              <w:rPr>
                <w:rFonts w:ascii="Calibri" w:eastAsia="Calibri" w:hAnsi="Calibri" w:cs="Calibri"/>
                <w:sz w:val="20"/>
                <w:szCs w:val="20"/>
                <w:lang w:val="es-MX"/>
              </w:rPr>
              <w:t xml:space="preserve"> propone apoyar a las personas que no cuenten con título de dominio de la propiedad y que estén incorporados a alguno de los programas o acciones REDD+: agroforestal, silvopastoril, manejo sostenible del bosque, reforestación y/o restauración de bosques, protección y manejo de áreas protegidas. Las prácticas consuetudinarias y requisitos establecidos para la legitimación de los tenedores informales de la </w:t>
            </w:r>
            <w:proofErr w:type="gramStart"/>
            <w:r w:rsidRPr="009A27ED">
              <w:rPr>
                <w:rFonts w:ascii="Calibri" w:eastAsia="Calibri" w:hAnsi="Calibri" w:cs="Calibri"/>
                <w:sz w:val="20"/>
                <w:szCs w:val="20"/>
                <w:lang w:val="es-MX"/>
              </w:rPr>
              <w:t>tierra,</w:t>
            </w:r>
            <w:proofErr w:type="gramEnd"/>
            <w:r w:rsidRPr="009A27ED">
              <w:rPr>
                <w:rFonts w:ascii="Calibri" w:eastAsia="Calibri" w:hAnsi="Calibri" w:cs="Calibri"/>
                <w:sz w:val="20"/>
                <w:szCs w:val="20"/>
                <w:lang w:val="es-MX"/>
              </w:rPr>
              <w:t xml:space="preserve"> permitirán un reconocimiento de derechos sobre el uso de la tierra, lo que les concede una participación igualitaria dentro de la distribución de </w:t>
            </w:r>
            <w:r w:rsidR="0095688F" w:rsidRPr="009A27ED">
              <w:rPr>
                <w:rFonts w:ascii="Calibri" w:eastAsia="Calibri" w:hAnsi="Calibri" w:cs="Calibri"/>
                <w:sz w:val="20"/>
                <w:szCs w:val="20"/>
                <w:lang w:val="es-MX"/>
              </w:rPr>
              <w:t>beneficios</w:t>
            </w:r>
            <w:r w:rsidR="0095688F" w:rsidRPr="009A27ED">
              <w:t>.</w:t>
            </w:r>
            <w:r w:rsidR="0095688F" w:rsidRPr="009A27ED">
              <w:rPr>
                <w:rFonts w:ascii="Calibri" w:eastAsia="Calibri" w:hAnsi="Calibri" w:cs="Calibri"/>
                <w:sz w:val="20"/>
                <w:szCs w:val="20"/>
                <w:lang w:val="es-MX"/>
              </w:rPr>
              <w:t xml:space="preserve"> El</w:t>
            </w:r>
            <w:r w:rsidRPr="009A27ED">
              <w:rPr>
                <w:rFonts w:ascii="Calibri" w:eastAsia="Calibri" w:hAnsi="Calibri" w:cs="Calibri"/>
                <w:sz w:val="20"/>
                <w:szCs w:val="20"/>
                <w:lang w:val="es-MX"/>
              </w:rPr>
              <w:t xml:space="preserve"> apoyo consistirá en facilitar la incorporación de dichas personas al Programa de Titulación de Tierras y/o a esquemas de pagos por servicios ambientales en el ámbito de REDD+. Por otro lado, se aprobará y difundirá el mecanismo de distribución de beneficios por reducción de emisiones.</w:t>
            </w:r>
            <w:r w:rsidR="00A006E6" w:rsidRPr="009A27ED">
              <w:rPr>
                <w:rFonts w:ascii="Calibri" w:eastAsia="Calibri" w:hAnsi="Calibri" w:cs="Calibri"/>
                <w:sz w:val="20"/>
                <w:szCs w:val="20"/>
                <w:lang w:val="es-MX"/>
              </w:rPr>
              <w:t xml:space="preserve"> </w:t>
            </w:r>
          </w:p>
        </w:tc>
      </w:tr>
      <w:tr w:rsidR="0028451D" w:rsidRPr="009A27ED" w14:paraId="3A617CE7" w14:textId="22ECAC5D" w:rsidTr="005C2EAE">
        <w:tc>
          <w:tcPr>
            <w:tcW w:w="2340" w:type="dxa"/>
            <w:vMerge/>
          </w:tcPr>
          <w:p w14:paraId="134D632C" w14:textId="77777777" w:rsidR="0028451D" w:rsidRPr="009A27ED" w:rsidRDefault="0028451D" w:rsidP="0028451D">
            <w:pPr>
              <w:rPr>
                <w:rFonts w:ascii="Calibri" w:eastAsia="Calibri" w:hAnsi="Calibri" w:cs="Calibri"/>
                <w:sz w:val="20"/>
                <w:szCs w:val="20"/>
              </w:rPr>
            </w:pPr>
          </w:p>
        </w:tc>
        <w:tc>
          <w:tcPr>
            <w:tcW w:w="2641" w:type="dxa"/>
          </w:tcPr>
          <w:p w14:paraId="1AE23E57" w14:textId="77777777" w:rsidR="0028451D" w:rsidRPr="009A27ED" w:rsidRDefault="0028451D" w:rsidP="00F163C3">
            <w:pPr>
              <w:numPr>
                <w:ilvl w:val="1"/>
                <w:numId w:val="4"/>
              </w:numPr>
              <w:contextualSpacing/>
              <w:jc w:val="left"/>
              <w:rPr>
                <w:rFonts w:ascii="Calibri" w:eastAsia="Calibri" w:hAnsi="Calibri" w:cs="Calibri"/>
                <w:sz w:val="20"/>
                <w:szCs w:val="20"/>
              </w:rPr>
            </w:pPr>
            <w:r w:rsidRPr="009A27ED">
              <w:rPr>
                <w:rFonts w:ascii="Calibri" w:eastAsia="Calibri" w:hAnsi="Calibri" w:cs="Calibri"/>
                <w:sz w:val="20"/>
                <w:szCs w:val="20"/>
              </w:rPr>
              <w:t>Fortalecer los mecanismos de control y fiscalización forestal incluyendo la determinación del origen legal, aprovechamiento y comercialización de los productos y subproductos forestales.</w:t>
            </w:r>
          </w:p>
        </w:tc>
        <w:tc>
          <w:tcPr>
            <w:tcW w:w="2102" w:type="dxa"/>
          </w:tcPr>
          <w:p w14:paraId="366715E2" w14:textId="61EE67F4" w:rsidR="0028451D" w:rsidRPr="009A27ED" w:rsidRDefault="0028451D" w:rsidP="0028451D">
            <w:pPr>
              <w:rPr>
                <w:rFonts w:ascii="Calibri" w:eastAsia="Calibri" w:hAnsi="Calibri" w:cs="Calibri"/>
                <w:b/>
                <w:sz w:val="20"/>
                <w:szCs w:val="20"/>
              </w:rPr>
            </w:pPr>
            <w:r w:rsidRPr="009A27ED">
              <w:rPr>
                <w:rFonts w:ascii="Calibri" w:eastAsia="Calibri" w:hAnsi="Calibri" w:cs="Calibri"/>
                <w:sz w:val="20"/>
                <w:szCs w:val="20"/>
                <w:lang w:val="es-MX"/>
              </w:rPr>
              <w:t>Debilidad institucional para una gestión forestal sostenible</w:t>
            </w:r>
          </w:p>
        </w:tc>
        <w:tc>
          <w:tcPr>
            <w:tcW w:w="5528" w:type="dxa"/>
          </w:tcPr>
          <w:p w14:paraId="747E61A6" w14:textId="65D0BDD4" w:rsidR="0028451D" w:rsidRPr="009A27ED" w:rsidRDefault="0028451D" w:rsidP="00AF1DE1">
            <w:pPr>
              <w:rPr>
                <w:rFonts w:ascii="Calibri" w:eastAsia="Calibri" w:hAnsi="Calibri" w:cs="Calibri"/>
                <w:sz w:val="20"/>
                <w:szCs w:val="20"/>
              </w:rPr>
            </w:pPr>
            <w:r w:rsidRPr="009A27ED">
              <w:rPr>
                <w:rFonts w:ascii="Calibri" w:eastAsia="Calibri" w:hAnsi="Calibri" w:cs="Calibri"/>
                <w:b/>
                <w:sz w:val="20"/>
                <w:szCs w:val="20"/>
              </w:rPr>
              <w:t>Acción Facilitadora</w:t>
            </w:r>
            <w:r w:rsidRPr="009A27ED">
              <w:rPr>
                <w:rFonts w:ascii="Calibri" w:eastAsia="Calibri" w:hAnsi="Calibri" w:cs="Calibri"/>
                <w:sz w:val="20"/>
                <w:szCs w:val="20"/>
              </w:rPr>
              <w:t xml:space="preserve">: </w:t>
            </w:r>
            <w:r w:rsidRPr="009A27ED">
              <w:rPr>
                <w:rFonts w:ascii="Calibri" w:eastAsia="Calibri" w:hAnsi="Calibri" w:cs="Calibri"/>
                <w:sz w:val="20"/>
                <w:szCs w:val="20"/>
                <w:lang w:val="es-MX"/>
              </w:rPr>
              <w:t xml:space="preserve">Esta medida considera fortalecer la capacidad de fiscalización del Ministerio de MARN, Viceministerio de Recursos Forestales, para asegurar la protección de los recursos del bosque, </w:t>
            </w:r>
            <w:r w:rsidR="001C2144" w:rsidRPr="009A27ED">
              <w:rPr>
                <w:rFonts w:ascii="Calibri" w:eastAsia="Calibri" w:hAnsi="Calibri" w:cs="Calibri"/>
                <w:sz w:val="20"/>
                <w:szCs w:val="20"/>
                <w:lang w:val="es-MX"/>
              </w:rPr>
              <w:t>E</w:t>
            </w:r>
            <w:r w:rsidRPr="009A27ED">
              <w:rPr>
                <w:rFonts w:ascii="Calibri" w:eastAsia="Calibri" w:hAnsi="Calibri" w:cs="Calibri"/>
                <w:sz w:val="20"/>
                <w:szCs w:val="20"/>
                <w:lang w:val="es-MX"/>
              </w:rPr>
              <w:t xml:space="preserve">n términos de capacitación y recursos humanos, y fomentar el involucramiento de la ciudadanía, y la sociedad civil para apoyar la fiscalización y monitoreo del </w:t>
            </w:r>
            <w:proofErr w:type="spellStart"/>
            <w:r w:rsidRPr="009A27ED">
              <w:rPr>
                <w:rFonts w:ascii="Calibri" w:eastAsia="Calibri" w:hAnsi="Calibri" w:cs="Calibri"/>
                <w:sz w:val="20"/>
                <w:szCs w:val="20"/>
                <w:lang w:val="gl"/>
              </w:rPr>
              <w:t>aprovechamiento</w:t>
            </w:r>
            <w:proofErr w:type="spellEnd"/>
            <w:r w:rsidRPr="009A27ED">
              <w:rPr>
                <w:rFonts w:ascii="Calibri" w:eastAsia="Calibri" w:hAnsi="Calibri" w:cs="Calibri"/>
                <w:sz w:val="20"/>
                <w:szCs w:val="20"/>
                <w:lang w:val="gl"/>
              </w:rPr>
              <w:t xml:space="preserve"> y comercialización de los </w:t>
            </w:r>
            <w:r w:rsidR="00644635" w:rsidRPr="009A27ED">
              <w:rPr>
                <w:rFonts w:ascii="Calibri" w:eastAsia="Calibri" w:hAnsi="Calibri" w:cs="Calibri"/>
                <w:sz w:val="20"/>
                <w:szCs w:val="20"/>
                <w:lang w:val="gl"/>
              </w:rPr>
              <w:t>produtos</w:t>
            </w:r>
            <w:r w:rsidRPr="009A27ED">
              <w:rPr>
                <w:rFonts w:ascii="Calibri" w:eastAsia="Calibri" w:hAnsi="Calibri" w:cs="Calibri"/>
                <w:sz w:val="20"/>
                <w:szCs w:val="20"/>
                <w:lang w:val="gl"/>
              </w:rPr>
              <w:t xml:space="preserve"> y </w:t>
            </w:r>
            <w:r w:rsidR="00644635" w:rsidRPr="009A27ED">
              <w:rPr>
                <w:rFonts w:ascii="Calibri" w:eastAsia="Calibri" w:hAnsi="Calibri" w:cs="Calibri"/>
                <w:sz w:val="20"/>
                <w:szCs w:val="20"/>
                <w:lang w:val="gl"/>
              </w:rPr>
              <w:t>subprodutos</w:t>
            </w:r>
            <w:r w:rsidRPr="009A27ED">
              <w:rPr>
                <w:rFonts w:ascii="Calibri" w:eastAsia="Calibri" w:hAnsi="Calibri" w:cs="Calibri"/>
                <w:sz w:val="20"/>
                <w:szCs w:val="20"/>
                <w:lang w:val="gl"/>
              </w:rPr>
              <w:t xml:space="preserve"> </w:t>
            </w:r>
            <w:proofErr w:type="spellStart"/>
            <w:r w:rsidRPr="009A27ED">
              <w:rPr>
                <w:rFonts w:ascii="Calibri" w:eastAsia="Calibri" w:hAnsi="Calibri" w:cs="Calibri"/>
                <w:sz w:val="20"/>
                <w:szCs w:val="20"/>
                <w:lang w:val="gl"/>
              </w:rPr>
              <w:t>forestales</w:t>
            </w:r>
            <w:proofErr w:type="spellEnd"/>
            <w:r w:rsidRPr="009A27ED">
              <w:rPr>
                <w:rFonts w:ascii="Calibri" w:eastAsia="Calibri" w:hAnsi="Calibri" w:cs="Calibri"/>
                <w:sz w:val="20"/>
                <w:szCs w:val="20"/>
                <w:lang w:val="gl"/>
              </w:rPr>
              <w:t xml:space="preserve">. </w:t>
            </w:r>
            <w:r w:rsidRPr="009A27ED">
              <w:rPr>
                <w:rFonts w:ascii="Calibri" w:eastAsia="Calibri" w:hAnsi="Calibri" w:cs="Calibri"/>
                <w:sz w:val="20"/>
                <w:szCs w:val="20"/>
                <w:lang w:val="es-MX"/>
              </w:rPr>
              <w:t xml:space="preserve">La Dirección de Bosques y Manejo Forestal tiene como objetivo velar por el fiel cumplimiento de las normativas que rigen las diferentes actividades forestales llevadas </w:t>
            </w:r>
            <w:r w:rsidRPr="009A27ED">
              <w:rPr>
                <w:rFonts w:ascii="Calibri" w:eastAsia="Calibri" w:hAnsi="Calibri" w:cs="Calibri"/>
                <w:sz w:val="20"/>
                <w:szCs w:val="20"/>
                <w:lang w:val="es-MX"/>
              </w:rPr>
              <w:lastRenderedPageBreak/>
              <w:t>a cabo en áreas boscosas bajo el régimen de Planes de Manejo. A corto plazo se pretende revisar</w:t>
            </w:r>
            <w:r w:rsidR="00AF1DE1" w:rsidRPr="009A27ED">
              <w:rPr>
                <w:rFonts w:ascii="Calibri" w:eastAsia="Calibri" w:hAnsi="Calibri" w:cs="Calibri"/>
                <w:sz w:val="20"/>
                <w:szCs w:val="20"/>
                <w:lang w:val="es-MX"/>
              </w:rPr>
              <w:t xml:space="preserve"> y</w:t>
            </w:r>
            <w:r w:rsidRPr="009A27ED">
              <w:rPr>
                <w:rFonts w:ascii="Calibri" w:eastAsia="Calibri" w:hAnsi="Calibri" w:cs="Calibri"/>
                <w:sz w:val="20"/>
                <w:szCs w:val="20"/>
                <w:lang w:val="es-MX"/>
              </w:rPr>
              <w:t xml:space="preserve"> actualizar los mecanismos existentes para dar trazabilidad de los productos forestales.</w:t>
            </w:r>
          </w:p>
        </w:tc>
      </w:tr>
      <w:tr w:rsidR="0028451D" w:rsidRPr="009A27ED" w14:paraId="61916A9A" w14:textId="66DE4FCE" w:rsidTr="005C2EAE">
        <w:tc>
          <w:tcPr>
            <w:tcW w:w="2340" w:type="dxa"/>
            <w:vMerge/>
          </w:tcPr>
          <w:p w14:paraId="4901857B" w14:textId="77777777" w:rsidR="0028451D" w:rsidRPr="009A27ED" w:rsidRDefault="0028451D" w:rsidP="0028451D">
            <w:pPr>
              <w:rPr>
                <w:rFonts w:ascii="Calibri" w:eastAsia="Calibri" w:hAnsi="Calibri" w:cs="Calibri"/>
                <w:sz w:val="20"/>
                <w:szCs w:val="20"/>
              </w:rPr>
            </w:pPr>
          </w:p>
        </w:tc>
        <w:tc>
          <w:tcPr>
            <w:tcW w:w="2641" w:type="dxa"/>
          </w:tcPr>
          <w:p w14:paraId="5A6A982C" w14:textId="77777777" w:rsidR="0028451D" w:rsidRPr="009A27ED" w:rsidRDefault="0028451D" w:rsidP="005C2EAE">
            <w:pPr>
              <w:numPr>
                <w:ilvl w:val="1"/>
                <w:numId w:val="4"/>
              </w:numPr>
              <w:contextualSpacing/>
              <w:jc w:val="left"/>
              <w:rPr>
                <w:rFonts w:ascii="Calibri" w:eastAsia="Calibri" w:hAnsi="Calibri" w:cs="Calibri"/>
                <w:sz w:val="20"/>
                <w:szCs w:val="20"/>
              </w:rPr>
            </w:pPr>
            <w:r w:rsidRPr="009A27ED">
              <w:rPr>
                <w:rFonts w:ascii="Calibri" w:eastAsia="Calibri" w:hAnsi="Calibri" w:cs="Calibri"/>
                <w:sz w:val="20"/>
                <w:szCs w:val="20"/>
              </w:rPr>
              <w:t>Fortalecer las capacidades institucionales de las entidades responsables de implementar las acciones REDD+.</w:t>
            </w:r>
          </w:p>
        </w:tc>
        <w:tc>
          <w:tcPr>
            <w:tcW w:w="2102" w:type="dxa"/>
          </w:tcPr>
          <w:p w14:paraId="65065B44" w14:textId="1216DF00" w:rsidR="0028451D" w:rsidRPr="009A27ED" w:rsidRDefault="0028451D" w:rsidP="0028451D">
            <w:pPr>
              <w:rPr>
                <w:rFonts w:ascii="Calibri" w:eastAsia="Calibri" w:hAnsi="Calibri" w:cs="Calibri"/>
                <w:b/>
                <w:sz w:val="20"/>
                <w:szCs w:val="20"/>
              </w:rPr>
            </w:pPr>
            <w:r w:rsidRPr="009A27ED">
              <w:rPr>
                <w:rFonts w:ascii="Calibri" w:eastAsia="Calibri" w:hAnsi="Calibri" w:cs="Calibri"/>
                <w:sz w:val="20"/>
                <w:szCs w:val="20"/>
                <w:lang w:val="es-MX"/>
              </w:rPr>
              <w:t>Debilidad institucional para una gestión forestal sostenible</w:t>
            </w:r>
          </w:p>
        </w:tc>
        <w:tc>
          <w:tcPr>
            <w:tcW w:w="5528" w:type="dxa"/>
          </w:tcPr>
          <w:p w14:paraId="6EE5930D" w14:textId="3727060F" w:rsidR="0028451D" w:rsidRPr="009A27ED" w:rsidRDefault="0028451D" w:rsidP="00AF1DE1">
            <w:pPr>
              <w:rPr>
                <w:rFonts w:ascii="Calibri" w:eastAsia="Calibri" w:hAnsi="Calibri" w:cs="Calibri"/>
                <w:sz w:val="20"/>
                <w:szCs w:val="20"/>
              </w:rPr>
            </w:pPr>
            <w:r w:rsidRPr="009A27ED">
              <w:rPr>
                <w:rFonts w:ascii="Calibri" w:eastAsia="Calibri" w:hAnsi="Calibri" w:cs="Calibri"/>
                <w:b/>
                <w:sz w:val="20"/>
                <w:szCs w:val="20"/>
              </w:rPr>
              <w:t>Acción Facilitadora</w:t>
            </w:r>
            <w:r w:rsidRPr="009A27ED">
              <w:rPr>
                <w:rFonts w:ascii="Calibri" w:eastAsia="Calibri" w:hAnsi="Calibri" w:cs="Calibri"/>
                <w:sz w:val="20"/>
                <w:szCs w:val="20"/>
              </w:rPr>
              <w:t>: Las entidades responsables en la implementación de las acciones REDD+ son diversas y cuentan con capacidades institucionales que difieren unas de otras. Se entiende como fortalecimiento institucional a la mejora de la eficiencia y la eficacia. Uno de los aspectos principales del fortalecimiento institucional consiste en la identificación de su misión y objetivos, lo cual constituye la base ideológica y conceptual de la organización. Asimismo, otro aspecto importante del fortalecimiento institucional es la organización, lo que trata de las relaciones internas del grupo, su estructura, las jerarquías, instancias de toma de decisiones y su funcionamiento tanto a lo interno como a lo externo o su entorno. Por último, el fortalecimiento institucional trata también de la base de recursos de la organización, es decir, los recursos humanos, materiales y financieros. Así, el fortalecimiento institucional consiste en una serie de acciones en pro de la mayor coherencia posible en cada uno de los tres aspectos mencionados. A corto y mediano plazo se propone revisar, establecer y asignar los recursos humanos y logísticos para la implementación de REDD+</w:t>
            </w:r>
            <w:r w:rsidR="00AF1DE1" w:rsidRPr="009A27ED">
              <w:rPr>
                <w:rFonts w:ascii="Calibri" w:eastAsia="Calibri" w:hAnsi="Calibri" w:cs="Calibri"/>
                <w:sz w:val="20"/>
                <w:szCs w:val="20"/>
              </w:rPr>
              <w:t>. Y continuar</w:t>
            </w:r>
            <w:r w:rsidRPr="009A27ED">
              <w:rPr>
                <w:rFonts w:ascii="Calibri" w:eastAsia="Calibri" w:hAnsi="Calibri" w:cs="Calibri"/>
                <w:sz w:val="20"/>
                <w:szCs w:val="20"/>
              </w:rPr>
              <w:t xml:space="preserve"> a nivel institucional </w:t>
            </w:r>
            <w:r w:rsidR="00AF1DE1" w:rsidRPr="009A27ED">
              <w:rPr>
                <w:rFonts w:ascii="Calibri" w:eastAsia="Calibri" w:hAnsi="Calibri" w:cs="Calibri"/>
                <w:sz w:val="20"/>
                <w:szCs w:val="20"/>
              </w:rPr>
              <w:t>con el</w:t>
            </w:r>
            <w:r w:rsidRPr="009A27ED">
              <w:rPr>
                <w:rFonts w:ascii="Calibri" w:eastAsia="Calibri" w:hAnsi="Calibri" w:cs="Calibri"/>
                <w:sz w:val="20"/>
                <w:szCs w:val="20"/>
              </w:rPr>
              <w:t xml:space="preserve"> programa de capacitación a nivel central y local en todas las estructuras de gobernanza de REDD+.</w:t>
            </w:r>
            <w:r w:rsidR="00AF1DE1" w:rsidRPr="009A27ED">
              <w:rPr>
                <w:rFonts w:ascii="Calibri" w:eastAsia="Calibri" w:hAnsi="Calibri" w:cs="Calibri"/>
                <w:sz w:val="20"/>
                <w:szCs w:val="20"/>
              </w:rPr>
              <w:t xml:space="preserve"> Usando los materiales y herramientas </w:t>
            </w:r>
            <w:r w:rsidR="00434410" w:rsidRPr="009A27ED">
              <w:rPr>
                <w:rFonts w:ascii="Calibri" w:eastAsia="Calibri" w:hAnsi="Calibri" w:cs="Calibri"/>
                <w:sz w:val="20"/>
                <w:szCs w:val="20"/>
              </w:rPr>
              <w:t>desarrollados</w:t>
            </w:r>
            <w:r w:rsidR="00AF1DE1" w:rsidRPr="009A27ED">
              <w:rPr>
                <w:rFonts w:ascii="Calibri" w:eastAsia="Calibri" w:hAnsi="Calibri" w:cs="Calibri"/>
                <w:sz w:val="20"/>
                <w:szCs w:val="20"/>
              </w:rPr>
              <w:t xml:space="preserve"> durante </w:t>
            </w:r>
            <w:r w:rsidR="00C504B4" w:rsidRPr="009A27ED">
              <w:rPr>
                <w:rFonts w:ascii="Calibri" w:eastAsia="Calibri" w:hAnsi="Calibri" w:cs="Calibri"/>
                <w:sz w:val="20"/>
                <w:szCs w:val="20"/>
              </w:rPr>
              <w:t>la preparación de</w:t>
            </w:r>
            <w:r w:rsidR="00AF1DE1" w:rsidRPr="009A27ED">
              <w:rPr>
                <w:rFonts w:ascii="Calibri" w:eastAsia="Calibri" w:hAnsi="Calibri" w:cs="Calibri"/>
                <w:sz w:val="20"/>
                <w:szCs w:val="20"/>
              </w:rPr>
              <w:t xml:space="preserve">l </w:t>
            </w:r>
            <w:r w:rsidR="00124B63" w:rsidRPr="009A27ED">
              <w:rPr>
                <w:rFonts w:ascii="Calibri" w:eastAsia="Calibri" w:hAnsi="Calibri" w:cs="Calibri"/>
                <w:sz w:val="20"/>
                <w:szCs w:val="20"/>
              </w:rPr>
              <w:t>Programa REDD+</w:t>
            </w:r>
            <w:r w:rsidR="00AF1DE1" w:rsidRPr="009A27ED">
              <w:rPr>
                <w:rFonts w:ascii="Calibri" w:eastAsia="Calibri" w:hAnsi="Calibri" w:cs="Calibri"/>
                <w:sz w:val="20"/>
                <w:szCs w:val="20"/>
              </w:rPr>
              <w:t>.</w:t>
            </w:r>
          </w:p>
        </w:tc>
      </w:tr>
      <w:tr w:rsidR="0028451D" w:rsidRPr="009A27ED" w14:paraId="04B7BD72" w14:textId="51B569CA" w:rsidTr="005C2EAE">
        <w:tc>
          <w:tcPr>
            <w:tcW w:w="2340" w:type="dxa"/>
            <w:vMerge w:val="restart"/>
          </w:tcPr>
          <w:p w14:paraId="22B38990" w14:textId="77777777" w:rsidR="0028451D" w:rsidRPr="009A27ED" w:rsidRDefault="0028451D" w:rsidP="005C2EAE">
            <w:pPr>
              <w:rPr>
                <w:rFonts w:ascii="Calibri" w:eastAsia="Calibri" w:hAnsi="Calibri" w:cs="Calibri"/>
                <w:sz w:val="20"/>
                <w:szCs w:val="20"/>
              </w:rPr>
            </w:pPr>
            <w:r w:rsidRPr="009A27ED">
              <w:rPr>
                <w:rFonts w:ascii="Calibri" w:eastAsia="Calibri" w:hAnsi="Calibri" w:cs="Calibri"/>
                <w:bCs/>
                <w:sz w:val="20"/>
                <w:szCs w:val="20"/>
              </w:rPr>
              <w:t xml:space="preserve">2. Establecer, fortalecer y aplicar políticas públicas para limitar y/o contener la expansión de la frontera agrícola, ganadera y de infraestructura en áreas boscosas </w:t>
            </w:r>
          </w:p>
          <w:p w14:paraId="5CB11734" w14:textId="77777777" w:rsidR="0028451D" w:rsidRPr="009A27ED" w:rsidRDefault="0028451D" w:rsidP="005C2EAE">
            <w:pPr>
              <w:rPr>
                <w:rFonts w:ascii="Calibri" w:eastAsia="Calibri" w:hAnsi="Calibri" w:cs="Calibri"/>
                <w:sz w:val="20"/>
                <w:szCs w:val="20"/>
              </w:rPr>
            </w:pPr>
          </w:p>
        </w:tc>
        <w:tc>
          <w:tcPr>
            <w:tcW w:w="2641" w:type="dxa"/>
          </w:tcPr>
          <w:p w14:paraId="10D40115" w14:textId="77777777" w:rsidR="0028451D" w:rsidRPr="009A27ED" w:rsidRDefault="0028451D" w:rsidP="005C2EAE">
            <w:pPr>
              <w:numPr>
                <w:ilvl w:val="1"/>
                <w:numId w:val="5"/>
              </w:numPr>
              <w:contextualSpacing/>
              <w:jc w:val="left"/>
              <w:rPr>
                <w:rFonts w:ascii="Calibri" w:eastAsia="Calibri" w:hAnsi="Calibri" w:cs="Calibri"/>
                <w:sz w:val="20"/>
                <w:szCs w:val="20"/>
              </w:rPr>
            </w:pPr>
            <w:r w:rsidRPr="009A27ED">
              <w:rPr>
                <w:rFonts w:ascii="Calibri" w:eastAsia="Calibri" w:hAnsi="Calibri" w:cs="Calibri"/>
                <w:sz w:val="20"/>
                <w:szCs w:val="20"/>
              </w:rPr>
              <w:t>Fortalecer mecanismos de coordinación interinstitucional efectivos para la coherencia de las políticas públicas de conservación, uso sostenible y restauración de los bosques.</w:t>
            </w:r>
          </w:p>
        </w:tc>
        <w:tc>
          <w:tcPr>
            <w:tcW w:w="2102" w:type="dxa"/>
          </w:tcPr>
          <w:p w14:paraId="49D4B0E1" w14:textId="1275B0EF" w:rsidR="0028451D" w:rsidRPr="009A27ED" w:rsidRDefault="0028451D" w:rsidP="0028451D">
            <w:pPr>
              <w:rPr>
                <w:rFonts w:ascii="Calibri" w:eastAsia="Calibri" w:hAnsi="Calibri" w:cs="Calibri"/>
                <w:b/>
                <w:sz w:val="20"/>
                <w:szCs w:val="20"/>
              </w:rPr>
            </w:pPr>
            <w:r w:rsidRPr="009A27ED">
              <w:rPr>
                <w:rFonts w:ascii="Calibri" w:eastAsia="Calibri" w:hAnsi="Calibri" w:cs="Calibri"/>
                <w:sz w:val="20"/>
                <w:szCs w:val="20"/>
                <w:lang w:val="es-MX"/>
              </w:rPr>
              <w:t>Debilidad institucional para una gestión forestal sostenible</w:t>
            </w:r>
          </w:p>
        </w:tc>
        <w:tc>
          <w:tcPr>
            <w:tcW w:w="5528" w:type="dxa"/>
          </w:tcPr>
          <w:p w14:paraId="303A3847" w14:textId="3FE8320B" w:rsidR="0028451D" w:rsidRPr="009A27ED" w:rsidRDefault="0028451D" w:rsidP="005C2EAE">
            <w:pPr>
              <w:rPr>
                <w:rFonts w:ascii="Calibri" w:eastAsia="Calibri" w:hAnsi="Calibri" w:cs="Calibri"/>
                <w:sz w:val="20"/>
                <w:szCs w:val="20"/>
                <w:lang w:val="es-MX"/>
              </w:rPr>
            </w:pPr>
            <w:r w:rsidRPr="009A27ED">
              <w:rPr>
                <w:rFonts w:ascii="Calibri" w:eastAsia="Calibri" w:hAnsi="Calibri" w:cs="Calibri"/>
                <w:b/>
                <w:sz w:val="20"/>
                <w:szCs w:val="20"/>
              </w:rPr>
              <w:t>Acción Facilitadora</w:t>
            </w:r>
            <w:r w:rsidRPr="009A27ED">
              <w:rPr>
                <w:rFonts w:ascii="Calibri" w:eastAsia="Calibri" w:hAnsi="Calibri" w:cs="Calibri"/>
                <w:sz w:val="20"/>
                <w:szCs w:val="20"/>
              </w:rPr>
              <w:t xml:space="preserve">: </w:t>
            </w:r>
            <w:r w:rsidRPr="009A27ED">
              <w:rPr>
                <w:rFonts w:ascii="Calibri" w:eastAsia="Calibri" w:hAnsi="Calibri" w:cs="Calibri"/>
                <w:sz w:val="20"/>
                <w:szCs w:val="20"/>
                <w:lang w:val="es-MX"/>
              </w:rPr>
              <w:t>Se promueve la armonización, a nivel interministerial, de los distintos reglamentos, con el objetivo de impulsar proyectos que aporten a la reducción de la DDB, aumento de los sumideros de carbono, y producción sostenible (agricultura, forestal y ganadería).</w:t>
            </w:r>
          </w:p>
          <w:p w14:paraId="1099F5E8" w14:textId="5E65DDBC" w:rsidR="0028451D" w:rsidRPr="009A27ED" w:rsidRDefault="0028451D" w:rsidP="001C2144">
            <w:pPr>
              <w:rPr>
                <w:rFonts w:ascii="Calibri" w:eastAsia="Calibri" w:hAnsi="Calibri" w:cs="Calibri"/>
                <w:sz w:val="20"/>
                <w:szCs w:val="20"/>
              </w:rPr>
            </w:pPr>
            <w:r w:rsidRPr="009A27ED">
              <w:rPr>
                <w:rFonts w:ascii="Calibri" w:eastAsia="Calibri" w:hAnsi="Calibri" w:cs="Calibri"/>
                <w:sz w:val="20"/>
                <w:szCs w:val="20"/>
                <w:lang w:val="es-MX"/>
              </w:rPr>
              <w:t xml:space="preserve">La principales entidades públicas que deben elaborar normativas e impulsar la gestión interministerial son: i) Ministerio de Medio Ambiente y Recursos Naturales, con la reglamentación de áreas de conservación y actividades forestales aplicables para incrementar los sumideros de carbono; </w:t>
            </w:r>
            <w:proofErr w:type="spellStart"/>
            <w:r w:rsidRPr="009A27ED">
              <w:rPr>
                <w:rFonts w:ascii="Calibri" w:eastAsia="Calibri" w:hAnsi="Calibri" w:cs="Calibri"/>
                <w:sz w:val="20"/>
                <w:szCs w:val="20"/>
                <w:lang w:val="es-MX"/>
              </w:rPr>
              <w:t>ii</w:t>
            </w:r>
            <w:proofErr w:type="spellEnd"/>
            <w:r w:rsidRPr="009A27ED">
              <w:rPr>
                <w:rFonts w:ascii="Calibri" w:eastAsia="Calibri" w:hAnsi="Calibri" w:cs="Calibri"/>
                <w:sz w:val="20"/>
                <w:szCs w:val="20"/>
                <w:lang w:val="es-MX"/>
              </w:rPr>
              <w:t>) Ministerio de Agricultura, a través de actividades agrícolas con componentes forestales (sistemas agroforestales) que puedan formar parte de las actividades forestales aplicables  y</w:t>
            </w:r>
            <w:r w:rsidR="001C2144" w:rsidRPr="009A27ED">
              <w:rPr>
                <w:rFonts w:ascii="Calibri" w:eastAsia="Calibri" w:hAnsi="Calibri" w:cs="Calibri"/>
                <w:sz w:val="20"/>
                <w:szCs w:val="20"/>
                <w:lang w:val="es-MX"/>
              </w:rPr>
              <w:t xml:space="preserve"> promover la </w:t>
            </w:r>
            <w:r w:rsidRPr="009A27ED">
              <w:rPr>
                <w:rFonts w:ascii="Calibri" w:eastAsia="Calibri" w:hAnsi="Calibri" w:cs="Calibri"/>
                <w:sz w:val="20"/>
                <w:szCs w:val="20"/>
                <w:lang w:val="es-MX"/>
              </w:rPr>
              <w:t xml:space="preserve">zonificación de la producción agrícola (incluyendo zonas de amortiguamiento de las Áreas Protegidas); </w:t>
            </w:r>
            <w:proofErr w:type="spellStart"/>
            <w:r w:rsidRPr="009A27ED">
              <w:rPr>
                <w:rFonts w:ascii="Calibri" w:eastAsia="Calibri" w:hAnsi="Calibri" w:cs="Calibri"/>
                <w:sz w:val="20"/>
                <w:szCs w:val="20"/>
                <w:lang w:val="es-MX"/>
              </w:rPr>
              <w:t>iii</w:t>
            </w:r>
            <w:proofErr w:type="spellEnd"/>
            <w:r w:rsidRPr="009A27ED">
              <w:rPr>
                <w:rFonts w:ascii="Calibri" w:eastAsia="Calibri" w:hAnsi="Calibri" w:cs="Calibri"/>
                <w:sz w:val="20"/>
                <w:szCs w:val="20"/>
                <w:lang w:val="es-MX"/>
              </w:rPr>
              <w:t xml:space="preserve">) DIGEGA, con limitación de la expansión de áreas de pastoreo, incentivos para la implementación de sistemas silvopastoriles, incentivos para conservación de remanentes de bosques o vegetación leñosa (en colaboración con el Ministerio de Ambiente); </w:t>
            </w:r>
            <w:proofErr w:type="spellStart"/>
            <w:r w:rsidRPr="009A27ED">
              <w:rPr>
                <w:rFonts w:ascii="Calibri" w:eastAsia="Calibri" w:hAnsi="Calibri" w:cs="Calibri"/>
                <w:sz w:val="20"/>
                <w:szCs w:val="20"/>
                <w:lang w:val="es-MX"/>
              </w:rPr>
              <w:t>iv</w:t>
            </w:r>
            <w:proofErr w:type="spellEnd"/>
            <w:r w:rsidRPr="009A27ED">
              <w:rPr>
                <w:rFonts w:ascii="Calibri" w:eastAsia="Calibri" w:hAnsi="Calibri" w:cs="Calibri"/>
                <w:sz w:val="20"/>
                <w:szCs w:val="20"/>
                <w:lang w:val="es-MX"/>
              </w:rPr>
              <w:t xml:space="preserve">) CNCCMDL, a través de reglamentación para la adaptación de las actividades forestales aplicables como aporte a la mitigación y adaptación al cambio climático. </w:t>
            </w:r>
          </w:p>
        </w:tc>
      </w:tr>
      <w:tr w:rsidR="0028451D" w:rsidRPr="009A27ED" w14:paraId="0C666C75" w14:textId="4D708ED4" w:rsidTr="005C2EAE">
        <w:tc>
          <w:tcPr>
            <w:tcW w:w="2340" w:type="dxa"/>
            <w:vMerge/>
          </w:tcPr>
          <w:p w14:paraId="17EB744A" w14:textId="77777777" w:rsidR="0028451D" w:rsidRPr="009A27ED" w:rsidRDefault="0028451D" w:rsidP="0028451D">
            <w:pPr>
              <w:rPr>
                <w:rFonts w:ascii="Calibri" w:eastAsia="Calibri" w:hAnsi="Calibri" w:cs="Calibri"/>
                <w:sz w:val="20"/>
                <w:szCs w:val="20"/>
              </w:rPr>
            </w:pPr>
          </w:p>
        </w:tc>
        <w:tc>
          <w:tcPr>
            <w:tcW w:w="2641" w:type="dxa"/>
          </w:tcPr>
          <w:p w14:paraId="3ED9055D" w14:textId="77777777" w:rsidR="0028451D" w:rsidRPr="009A27ED" w:rsidRDefault="0028451D" w:rsidP="008C6671">
            <w:pPr>
              <w:numPr>
                <w:ilvl w:val="1"/>
                <w:numId w:val="5"/>
              </w:numPr>
              <w:contextualSpacing/>
              <w:jc w:val="left"/>
              <w:rPr>
                <w:rFonts w:ascii="Calibri" w:eastAsia="Calibri" w:hAnsi="Calibri" w:cs="Calibri"/>
                <w:sz w:val="20"/>
                <w:szCs w:val="20"/>
              </w:rPr>
            </w:pPr>
            <w:r w:rsidRPr="009A27ED">
              <w:rPr>
                <w:rFonts w:ascii="Calibri" w:eastAsia="Calibri" w:hAnsi="Calibri" w:cs="Calibri"/>
                <w:sz w:val="20"/>
                <w:szCs w:val="20"/>
              </w:rPr>
              <w:t xml:space="preserve">Establecer nuevas áreas para el manejo forestal, reforestación, remediación, protección de cuencas hidrográficas, conservación de biodiversidad y para otros servicios ambientales derivados de los ecosistemas forestales. </w:t>
            </w:r>
          </w:p>
        </w:tc>
        <w:tc>
          <w:tcPr>
            <w:tcW w:w="2102" w:type="dxa"/>
          </w:tcPr>
          <w:p w14:paraId="48118190" w14:textId="77777777" w:rsidR="0028451D" w:rsidRPr="009A27ED" w:rsidRDefault="0028451D" w:rsidP="008C6671">
            <w:pPr>
              <w:jc w:val="left"/>
              <w:rPr>
                <w:rFonts w:ascii="Calibri" w:eastAsia="Calibri" w:hAnsi="Calibri" w:cs="Calibri"/>
                <w:sz w:val="20"/>
                <w:szCs w:val="20"/>
                <w:lang w:val="es-MX"/>
              </w:rPr>
            </w:pPr>
            <w:r w:rsidRPr="009A27ED">
              <w:rPr>
                <w:rFonts w:ascii="Calibri" w:eastAsia="Calibri" w:hAnsi="Calibri" w:cs="Calibri"/>
                <w:sz w:val="20"/>
                <w:szCs w:val="20"/>
                <w:lang w:val="es-MX"/>
              </w:rPr>
              <w:t>Alto nivel de pobreza y desempleo rural</w:t>
            </w:r>
          </w:p>
          <w:p w14:paraId="62A448C1" w14:textId="77777777" w:rsidR="0028451D" w:rsidRPr="009A27ED" w:rsidRDefault="0028451D" w:rsidP="008C6671">
            <w:pPr>
              <w:rPr>
                <w:rFonts w:ascii="Calibri" w:eastAsia="Calibri" w:hAnsi="Calibri" w:cs="Calibri"/>
                <w:sz w:val="20"/>
                <w:szCs w:val="20"/>
                <w:lang w:val="es-MX"/>
              </w:rPr>
            </w:pPr>
          </w:p>
          <w:p w14:paraId="31B5C59F" w14:textId="5387ECFA" w:rsidR="0028451D" w:rsidRPr="009A27ED" w:rsidRDefault="0028451D" w:rsidP="0028451D">
            <w:pPr>
              <w:rPr>
                <w:rFonts w:ascii="Calibri" w:eastAsia="Calibri" w:hAnsi="Calibri" w:cs="Calibri"/>
                <w:b/>
                <w:sz w:val="20"/>
                <w:szCs w:val="20"/>
              </w:rPr>
            </w:pPr>
            <w:r w:rsidRPr="009A27ED">
              <w:rPr>
                <w:rFonts w:ascii="Calibri" w:eastAsia="Calibri" w:hAnsi="Calibri" w:cs="Calibri"/>
                <w:sz w:val="20"/>
                <w:szCs w:val="20"/>
                <w:lang w:val="es-MX"/>
              </w:rPr>
              <w:t>Presión del crecimiento poblacional en el uso de los recursos naturales</w:t>
            </w:r>
          </w:p>
        </w:tc>
        <w:tc>
          <w:tcPr>
            <w:tcW w:w="5528" w:type="dxa"/>
          </w:tcPr>
          <w:p w14:paraId="26AF8964" w14:textId="28CC4035" w:rsidR="0028451D" w:rsidRPr="009A27ED" w:rsidRDefault="0028451D" w:rsidP="008C6671">
            <w:pPr>
              <w:rPr>
                <w:rFonts w:ascii="Calibri" w:eastAsia="Calibri" w:hAnsi="Calibri" w:cs="Calibri"/>
                <w:sz w:val="20"/>
                <w:szCs w:val="20"/>
              </w:rPr>
            </w:pPr>
            <w:r w:rsidRPr="009A27ED">
              <w:rPr>
                <w:rFonts w:ascii="Calibri" w:eastAsia="Calibri" w:hAnsi="Calibri" w:cs="Calibri"/>
                <w:b/>
                <w:sz w:val="20"/>
                <w:szCs w:val="20"/>
              </w:rPr>
              <w:t>Acción Facilitadora</w:t>
            </w:r>
            <w:r w:rsidRPr="009A27ED">
              <w:rPr>
                <w:rFonts w:ascii="Calibri" w:eastAsia="Calibri" w:hAnsi="Calibri" w:cs="Calibri"/>
                <w:sz w:val="20"/>
                <w:szCs w:val="20"/>
              </w:rPr>
              <w:t xml:space="preserve">: </w:t>
            </w:r>
            <w:r w:rsidRPr="009A27ED">
              <w:rPr>
                <w:rFonts w:ascii="Calibri" w:eastAsia="Calibri" w:hAnsi="Calibri" w:cs="Calibri"/>
                <w:sz w:val="20"/>
                <w:szCs w:val="20"/>
                <w:lang w:val="es-MX"/>
              </w:rPr>
              <w:t xml:space="preserve">Esta acción se desarrollará en terrenos públicos y privados priorizados en materia de cambio climático y desertificación, degradación de las tierras y sequías. Se considera que las actividades de reforestación y remediación de la cobertura boscosa pueden contemplar en primera instancia aquellas áreas con alta presión de deforestación y degradación de los bosques. La actividad formará parte de una gestión adaptativa de los recursos naturales al cambio climático, desertificación, degradación de las tierras y sequía. El Ministerio de Medio Ambiente y Recursos Naturales cuenta con la identificación de cuencas hidrográficas priorizadas para la protección y manejo sostenible de los recursos hídricos, entre las que figuran las cuencas de los Ríos </w:t>
            </w:r>
            <w:proofErr w:type="spellStart"/>
            <w:r w:rsidRPr="009A27ED">
              <w:rPr>
                <w:rFonts w:ascii="Calibri" w:eastAsia="Calibri" w:hAnsi="Calibri" w:cs="Calibri"/>
                <w:sz w:val="20"/>
                <w:szCs w:val="20"/>
                <w:lang w:val="es-MX"/>
              </w:rPr>
              <w:t>Yaque</w:t>
            </w:r>
            <w:proofErr w:type="spellEnd"/>
            <w:r w:rsidRPr="009A27ED">
              <w:rPr>
                <w:rFonts w:ascii="Calibri" w:eastAsia="Calibri" w:hAnsi="Calibri" w:cs="Calibri"/>
                <w:sz w:val="20"/>
                <w:szCs w:val="20"/>
                <w:lang w:val="es-MX"/>
              </w:rPr>
              <w:t xml:space="preserve"> del Norte, Yuna-Camú, </w:t>
            </w:r>
            <w:proofErr w:type="spellStart"/>
            <w:r w:rsidRPr="009A27ED">
              <w:rPr>
                <w:rFonts w:ascii="Calibri" w:eastAsia="Calibri" w:hAnsi="Calibri" w:cs="Calibri"/>
                <w:sz w:val="20"/>
                <w:szCs w:val="20"/>
                <w:lang w:val="es-MX"/>
              </w:rPr>
              <w:t>Yaque</w:t>
            </w:r>
            <w:proofErr w:type="spellEnd"/>
            <w:r w:rsidRPr="009A27ED">
              <w:rPr>
                <w:rFonts w:ascii="Calibri" w:eastAsia="Calibri" w:hAnsi="Calibri" w:cs="Calibri"/>
                <w:sz w:val="20"/>
                <w:szCs w:val="20"/>
                <w:lang w:val="es-MX"/>
              </w:rPr>
              <w:t xml:space="preserve"> del Sur, </w:t>
            </w:r>
            <w:proofErr w:type="spellStart"/>
            <w:r w:rsidRPr="009A27ED">
              <w:rPr>
                <w:rFonts w:ascii="Calibri" w:eastAsia="Calibri" w:hAnsi="Calibri" w:cs="Calibri"/>
                <w:sz w:val="20"/>
                <w:szCs w:val="20"/>
                <w:lang w:val="es-MX"/>
              </w:rPr>
              <w:t>Higüamo</w:t>
            </w:r>
            <w:proofErr w:type="spellEnd"/>
            <w:r w:rsidRPr="009A27ED">
              <w:rPr>
                <w:rFonts w:ascii="Calibri" w:eastAsia="Calibri" w:hAnsi="Calibri" w:cs="Calibri"/>
                <w:sz w:val="20"/>
                <w:szCs w:val="20"/>
                <w:lang w:val="es-MX"/>
              </w:rPr>
              <w:t xml:space="preserve">, Ozama-Isabela, </w:t>
            </w:r>
            <w:proofErr w:type="spellStart"/>
            <w:r w:rsidRPr="009A27ED">
              <w:rPr>
                <w:rFonts w:ascii="Calibri" w:eastAsia="Calibri" w:hAnsi="Calibri" w:cs="Calibri"/>
                <w:sz w:val="20"/>
                <w:szCs w:val="20"/>
                <w:lang w:val="es-MX"/>
              </w:rPr>
              <w:t>Macasías</w:t>
            </w:r>
            <w:proofErr w:type="spellEnd"/>
            <w:r w:rsidRPr="009A27ED">
              <w:rPr>
                <w:rFonts w:ascii="Calibri" w:eastAsia="Calibri" w:hAnsi="Calibri" w:cs="Calibri"/>
                <w:sz w:val="20"/>
                <w:szCs w:val="20"/>
                <w:lang w:val="es-MX"/>
              </w:rPr>
              <w:t xml:space="preserve">, Haina, </w:t>
            </w:r>
            <w:proofErr w:type="spellStart"/>
            <w:r w:rsidRPr="009A27ED">
              <w:rPr>
                <w:rFonts w:ascii="Calibri" w:eastAsia="Calibri" w:hAnsi="Calibri" w:cs="Calibri"/>
                <w:sz w:val="20"/>
                <w:szCs w:val="20"/>
                <w:lang w:val="es-MX"/>
              </w:rPr>
              <w:t>Nizao</w:t>
            </w:r>
            <w:proofErr w:type="spellEnd"/>
            <w:r w:rsidRPr="009A27ED">
              <w:rPr>
                <w:rFonts w:ascii="Calibri" w:eastAsia="Calibri" w:hAnsi="Calibri" w:cs="Calibri"/>
                <w:sz w:val="20"/>
                <w:szCs w:val="20"/>
                <w:lang w:val="es-MX"/>
              </w:rPr>
              <w:t xml:space="preserve">, </w:t>
            </w:r>
            <w:proofErr w:type="spellStart"/>
            <w:r w:rsidRPr="009A27ED">
              <w:rPr>
                <w:rFonts w:ascii="Calibri" w:eastAsia="Calibri" w:hAnsi="Calibri" w:cs="Calibri"/>
                <w:sz w:val="20"/>
                <w:szCs w:val="20"/>
                <w:lang w:val="es-MX"/>
              </w:rPr>
              <w:t>Ocoa</w:t>
            </w:r>
            <w:proofErr w:type="spellEnd"/>
            <w:r w:rsidRPr="009A27ED">
              <w:rPr>
                <w:rFonts w:ascii="Calibri" w:eastAsia="Calibri" w:hAnsi="Calibri" w:cs="Calibri"/>
                <w:sz w:val="20"/>
                <w:szCs w:val="20"/>
                <w:lang w:val="es-MX"/>
              </w:rPr>
              <w:t xml:space="preserve"> y Pedernales. </w:t>
            </w:r>
            <w:r w:rsidRPr="009A27ED">
              <w:rPr>
                <w:rFonts w:ascii="Calibri" w:eastAsia="Calibri" w:hAnsi="Calibri" w:cs="Calibri"/>
                <w:sz w:val="20"/>
                <w:szCs w:val="20"/>
                <w:lang w:val="es-DO"/>
              </w:rPr>
              <w:t xml:space="preserve">Como medida facilitadora para contrarrestar la deforestación y degradación de los </w:t>
            </w:r>
            <w:r w:rsidR="00644635" w:rsidRPr="009A27ED">
              <w:rPr>
                <w:rFonts w:ascii="Calibri" w:eastAsia="Calibri" w:hAnsi="Calibri" w:cs="Calibri"/>
                <w:sz w:val="20"/>
                <w:szCs w:val="20"/>
                <w:lang w:val="es-DO"/>
              </w:rPr>
              <w:t>bosques, a</w:t>
            </w:r>
            <w:r w:rsidRPr="009A27ED">
              <w:rPr>
                <w:rFonts w:ascii="Calibri" w:eastAsia="Calibri" w:hAnsi="Calibri" w:cs="Calibri"/>
                <w:sz w:val="20"/>
                <w:szCs w:val="20"/>
                <w:lang w:val="es-MX"/>
              </w:rPr>
              <w:t xml:space="preserve"> corto y mediano plazo se negociará con las EE la integración ampliación de</w:t>
            </w:r>
            <w:r w:rsidRPr="009A27ED">
              <w:rPr>
                <w:rFonts w:ascii="Calibri" w:eastAsia="Calibri" w:hAnsi="Calibri" w:cs="Calibri"/>
                <w:sz w:val="20"/>
                <w:szCs w:val="20"/>
                <w:lang w:val="es-DO"/>
              </w:rPr>
              <w:t xml:space="preserve"> nuevas áreas para el manejo forestal, reforestación, remediación, protección de cuencas hidrográficas, conservación de biodiversidad y para otros servicios ambientales derivados de los ecosistemas forestales, todos con un enfoque de REDD+.</w:t>
            </w:r>
          </w:p>
        </w:tc>
      </w:tr>
      <w:tr w:rsidR="0028451D" w:rsidRPr="009A27ED" w14:paraId="5B121F74" w14:textId="7051DB25" w:rsidTr="005C2EAE">
        <w:tc>
          <w:tcPr>
            <w:tcW w:w="2340" w:type="dxa"/>
            <w:vMerge/>
          </w:tcPr>
          <w:p w14:paraId="505B7EA6" w14:textId="77777777" w:rsidR="0028451D" w:rsidRPr="009A27ED" w:rsidRDefault="0028451D" w:rsidP="0028451D">
            <w:pPr>
              <w:rPr>
                <w:rFonts w:ascii="Calibri" w:eastAsia="Calibri" w:hAnsi="Calibri" w:cs="Calibri"/>
                <w:sz w:val="20"/>
                <w:szCs w:val="20"/>
              </w:rPr>
            </w:pPr>
          </w:p>
        </w:tc>
        <w:tc>
          <w:tcPr>
            <w:tcW w:w="2641" w:type="dxa"/>
          </w:tcPr>
          <w:p w14:paraId="61167E58" w14:textId="77777777" w:rsidR="0028451D" w:rsidRPr="009A27ED" w:rsidRDefault="0028451D" w:rsidP="0028451D">
            <w:pPr>
              <w:numPr>
                <w:ilvl w:val="1"/>
                <w:numId w:val="5"/>
              </w:numPr>
              <w:spacing w:after="0"/>
              <w:contextualSpacing/>
              <w:jc w:val="left"/>
              <w:rPr>
                <w:rFonts w:ascii="Calibri" w:eastAsia="Calibri" w:hAnsi="Calibri" w:cs="Calibri"/>
                <w:sz w:val="20"/>
                <w:szCs w:val="20"/>
              </w:rPr>
            </w:pPr>
            <w:r w:rsidRPr="009A27ED">
              <w:rPr>
                <w:rFonts w:ascii="Calibri" w:eastAsia="Calibri" w:hAnsi="Calibri" w:cs="Calibri"/>
                <w:sz w:val="20"/>
                <w:szCs w:val="20"/>
              </w:rPr>
              <w:t xml:space="preserve">Desarrollar programas de zonificación de cultivos, ganadería e infraestructura compatibles con la conservación de los bosques. </w:t>
            </w:r>
          </w:p>
        </w:tc>
        <w:tc>
          <w:tcPr>
            <w:tcW w:w="2102" w:type="dxa"/>
          </w:tcPr>
          <w:p w14:paraId="1C1A04F8" w14:textId="209B1CFF" w:rsidR="0028451D" w:rsidRPr="009A27ED" w:rsidRDefault="0028451D" w:rsidP="0028451D">
            <w:pPr>
              <w:rPr>
                <w:rFonts w:ascii="Calibri" w:eastAsia="Calibri" w:hAnsi="Calibri" w:cs="Calibri"/>
                <w:b/>
                <w:sz w:val="20"/>
                <w:szCs w:val="20"/>
              </w:rPr>
            </w:pPr>
            <w:r w:rsidRPr="009A27ED">
              <w:rPr>
                <w:rFonts w:ascii="Calibri" w:eastAsia="Calibri" w:hAnsi="Calibri" w:cs="Calibri"/>
                <w:sz w:val="20"/>
                <w:szCs w:val="20"/>
                <w:lang w:val="es-MX"/>
              </w:rPr>
              <w:t>Bajo nivel de armonización de políticas públicas de producción agropecuaria, desarrollo de infraestructuras y conservación de los bosques</w:t>
            </w:r>
          </w:p>
        </w:tc>
        <w:tc>
          <w:tcPr>
            <w:tcW w:w="5528" w:type="dxa"/>
          </w:tcPr>
          <w:p w14:paraId="36F9E038" w14:textId="318408C1" w:rsidR="0028451D" w:rsidRPr="009A27ED" w:rsidRDefault="0028451D" w:rsidP="00795D52">
            <w:pPr>
              <w:rPr>
                <w:rFonts w:ascii="Calibri" w:eastAsia="Calibri" w:hAnsi="Calibri" w:cs="Calibri"/>
                <w:sz w:val="20"/>
                <w:szCs w:val="20"/>
              </w:rPr>
            </w:pPr>
            <w:r w:rsidRPr="009A27ED">
              <w:rPr>
                <w:rFonts w:ascii="Calibri" w:eastAsia="Calibri" w:hAnsi="Calibri" w:cs="Calibri"/>
                <w:b/>
                <w:sz w:val="20"/>
                <w:szCs w:val="20"/>
              </w:rPr>
              <w:t>Acción Facilitadora</w:t>
            </w:r>
            <w:r w:rsidRPr="009A27ED">
              <w:rPr>
                <w:rFonts w:ascii="Calibri" w:eastAsia="Calibri" w:hAnsi="Calibri" w:cs="Calibri"/>
                <w:sz w:val="20"/>
                <w:szCs w:val="20"/>
              </w:rPr>
              <w:t xml:space="preserve">: </w:t>
            </w:r>
            <w:r w:rsidRPr="009A27ED">
              <w:rPr>
                <w:rFonts w:ascii="Calibri" w:eastAsia="Calibri" w:hAnsi="Calibri" w:cs="Calibri"/>
                <w:sz w:val="20"/>
                <w:szCs w:val="20"/>
                <w:lang w:val="es-MX"/>
              </w:rPr>
              <w:t>Esta medida pretende impulsar esfuerzos para ordenar la producción agropecuaria en congruencia con la conservación de los recursos forestales del país. La zonificación de cultivos consistir</w:t>
            </w:r>
            <w:r w:rsidR="008C6671" w:rsidRPr="009A27ED">
              <w:rPr>
                <w:rFonts w:ascii="Calibri" w:eastAsia="Calibri" w:hAnsi="Calibri" w:cs="Calibri"/>
                <w:sz w:val="20"/>
                <w:szCs w:val="20"/>
                <w:lang w:val="es-MX"/>
              </w:rPr>
              <w:t>á</w:t>
            </w:r>
            <w:r w:rsidRPr="009A27ED">
              <w:rPr>
                <w:rFonts w:ascii="Calibri" w:eastAsia="Calibri" w:hAnsi="Calibri" w:cs="Calibri"/>
                <w:sz w:val="20"/>
                <w:szCs w:val="20"/>
                <w:lang w:val="es-MX"/>
              </w:rPr>
              <w:t xml:space="preserve"> en organizar la distribución de los cultivos en espacios geográficos en función de los recursos clima, suelo y </w:t>
            </w:r>
            <w:r w:rsidR="003626F6" w:rsidRPr="009A27ED">
              <w:rPr>
                <w:rFonts w:ascii="Calibri" w:eastAsia="Calibri" w:hAnsi="Calibri" w:cs="Calibri"/>
                <w:sz w:val="20"/>
                <w:szCs w:val="20"/>
                <w:lang w:val="es-MX"/>
              </w:rPr>
              <w:t>aguas disponibles</w:t>
            </w:r>
            <w:r w:rsidRPr="009A27ED">
              <w:rPr>
                <w:rFonts w:ascii="Calibri" w:eastAsia="Calibri" w:hAnsi="Calibri" w:cs="Calibri"/>
                <w:sz w:val="20"/>
                <w:szCs w:val="20"/>
                <w:lang w:val="es-MX"/>
              </w:rPr>
              <w:t xml:space="preserve"> en esos espacios, con el fin de racionalizar su uso. Esta zonificación reducirá la presión sobre terrenos forestales que están siendo usados para la producción de cultivos y la ganadería. En ese sentido, se plantea </w:t>
            </w:r>
            <w:r w:rsidR="00795D52" w:rsidRPr="009A27ED">
              <w:rPr>
                <w:rFonts w:ascii="Calibri" w:eastAsia="Calibri" w:hAnsi="Calibri" w:cs="Calibri"/>
                <w:sz w:val="20"/>
                <w:szCs w:val="20"/>
                <w:lang w:val="es-MX"/>
              </w:rPr>
              <w:t xml:space="preserve">promover la </w:t>
            </w:r>
            <w:r w:rsidR="003626F6" w:rsidRPr="009A27ED">
              <w:rPr>
                <w:rFonts w:ascii="Calibri" w:eastAsia="Calibri" w:hAnsi="Calibri" w:cs="Calibri"/>
                <w:sz w:val="20"/>
                <w:szCs w:val="20"/>
                <w:lang w:val="es-MX"/>
              </w:rPr>
              <w:t>aprobación</w:t>
            </w:r>
            <w:r w:rsidRPr="009A27ED">
              <w:rPr>
                <w:rFonts w:ascii="Calibri" w:eastAsia="Calibri" w:hAnsi="Calibri" w:cs="Calibri"/>
                <w:sz w:val="20"/>
                <w:szCs w:val="20"/>
                <w:lang w:val="es-MX"/>
              </w:rPr>
              <w:t xml:space="preserve"> y </w:t>
            </w:r>
            <w:r w:rsidR="00795D52" w:rsidRPr="009A27ED">
              <w:rPr>
                <w:rFonts w:ascii="Calibri" w:eastAsia="Calibri" w:hAnsi="Calibri" w:cs="Calibri"/>
                <w:sz w:val="20"/>
                <w:szCs w:val="20"/>
                <w:lang w:val="es-MX"/>
              </w:rPr>
              <w:t>adopción de</w:t>
            </w:r>
            <w:r w:rsidRPr="009A27ED">
              <w:rPr>
                <w:rFonts w:ascii="Calibri" w:eastAsia="Calibri" w:hAnsi="Calibri" w:cs="Calibri"/>
                <w:sz w:val="20"/>
                <w:szCs w:val="20"/>
                <w:lang w:val="es-MX"/>
              </w:rPr>
              <w:t xml:space="preserve"> una normativa de ordenamiento territorial, que defina y especialice los posibles usos del suelo. La República Dominicana ha estado trabajando en el proceso de ordenamiento territorial y uso de suelo a través de la Oficina de Ordenamiento Territorial del MEPyD. A corto plazo se pretende apoyar en la definición, aprobación y/o aplicación de normativas tendientes a una mejor zonificación para cultivos, ganadería e infraestructuras de desarrollo, de manera tal que no afecte o aminore impactos negativos a la cobertura boscosa natural del país. Esto implica actualizar la zonificación productiva y de conservación del paisaje </w:t>
            </w:r>
            <w:r w:rsidR="00AF1DE1" w:rsidRPr="009A27ED">
              <w:rPr>
                <w:rFonts w:ascii="Calibri" w:eastAsia="Calibri" w:hAnsi="Calibri" w:cs="Calibri"/>
                <w:sz w:val="20"/>
                <w:szCs w:val="20"/>
                <w:lang w:val="es-MX"/>
              </w:rPr>
              <w:t xml:space="preserve">a través del Sistema de Registro de REDD+ </w:t>
            </w:r>
            <w:r w:rsidRPr="009A27ED">
              <w:rPr>
                <w:rFonts w:ascii="Calibri" w:eastAsia="Calibri" w:hAnsi="Calibri" w:cs="Calibri"/>
                <w:sz w:val="20"/>
                <w:szCs w:val="20"/>
                <w:lang w:val="es-MX"/>
              </w:rPr>
              <w:t>y plantearlo ante el Comité Directivo, a fin de que sea retomado como parte de los acuerdos de REDD+.</w:t>
            </w:r>
          </w:p>
        </w:tc>
      </w:tr>
      <w:tr w:rsidR="0028451D" w:rsidRPr="009A27ED" w14:paraId="1785B407" w14:textId="32C61CBA" w:rsidTr="005C2EAE">
        <w:tc>
          <w:tcPr>
            <w:tcW w:w="2340" w:type="dxa"/>
            <w:vMerge/>
          </w:tcPr>
          <w:p w14:paraId="614D9F0C" w14:textId="77777777" w:rsidR="0028451D" w:rsidRPr="009A27ED" w:rsidRDefault="0028451D" w:rsidP="0028451D">
            <w:pPr>
              <w:rPr>
                <w:rFonts w:ascii="Calibri" w:eastAsia="Calibri" w:hAnsi="Calibri" w:cs="Calibri"/>
                <w:sz w:val="20"/>
                <w:szCs w:val="20"/>
              </w:rPr>
            </w:pPr>
          </w:p>
        </w:tc>
        <w:tc>
          <w:tcPr>
            <w:tcW w:w="2641" w:type="dxa"/>
          </w:tcPr>
          <w:p w14:paraId="79DB7D80" w14:textId="77777777" w:rsidR="0028451D" w:rsidRPr="009A27ED" w:rsidRDefault="0028451D" w:rsidP="0028451D">
            <w:pPr>
              <w:numPr>
                <w:ilvl w:val="1"/>
                <w:numId w:val="5"/>
              </w:numPr>
              <w:spacing w:after="0"/>
              <w:contextualSpacing/>
              <w:jc w:val="left"/>
              <w:rPr>
                <w:rFonts w:ascii="Calibri" w:eastAsia="Calibri" w:hAnsi="Calibri" w:cs="Calibri"/>
                <w:sz w:val="20"/>
                <w:szCs w:val="20"/>
              </w:rPr>
            </w:pPr>
            <w:r w:rsidRPr="009A27ED">
              <w:rPr>
                <w:rFonts w:ascii="Calibri" w:eastAsia="Calibri" w:hAnsi="Calibri" w:cs="Calibri"/>
                <w:sz w:val="20"/>
                <w:szCs w:val="20"/>
              </w:rPr>
              <w:t>Fortalecer el enfoque de cuenca en los programas de manejo y restauración ecológica.</w:t>
            </w:r>
          </w:p>
        </w:tc>
        <w:tc>
          <w:tcPr>
            <w:tcW w:w="2102" w:type="dxa"/>
          </w:tcPr>
          <w:p w14:paraId="79B424DF" w14:textId="77777777" w:rsidR="0028451D" w:rsidRPr="009A27ED" w:rsidRDefault="0028451D" w:rsidP="008C6671">
            <w:pPr>
              <w:jc w:val="left"/>
              <w:rPr>
                <w:rFonts w:ascii="Calibri" w:eastAsia="Calibri" w:hAnsi="Calibri" w:cs="Calibri"/>
                <w:sz w:val="20"/>
                <w:szCs w:val="20"/>
                <w:lang w:val="es-MX"/>
              </w:rPr>
            </w:pPr>
            <w:r w:rsidRPr="009A27ED">
              <w:rPr>
                <w:rFonts w:ascii="Calibri" w:eastAsia="Calibri" w:hAnsi="Calibri" w:cs="Calibri"/>
                <w:sz w:val="20"/>
                <w:szCs w:val="20"/>
                <w:lang w:val="es-MX"/>
              </w:rPr>
              <w:t>Alto nivel de pobreza y desempleo rural</w:t>
            </w:r>
          </w:p>
          <w:p w14:paraId="0EF76EBC" w14:textId="77777777" w:rsidR="0028451D" w:rsidRPr="009A27ED" w:rsidRDefault="0028451D" w:rsidP="0028451D">
            <w:pPr>
              <w:rPr>
                <w:rFonts w:ascii="Calibri" w:eastAsia="Calibri" w:hAnsi="Calibri" w:cs="Calibri"/>
                <w:sz w:val="20"/>
                <w:szCs w:val="20"/>
                <w:lang w:val="es-MX"/>
              </w:rPr>
            </w:pPr>
          </w:p>
          <w:p w14:paraId="455FCF2E" w14:textId="77777777" w:rsidR="0028451D" w:rsidRPr="009A27ED" w:rsidRDefault="0028451D" w:rsidP="008C6671">
            <w:pPr>
              <w:rPr>
                <w:rFonts w:ascii="Calibri" w:eastAsia="Calibri" w:hAnsi="Calibri" w:cs="Calibri"/>
                <w:sz w:val="20"/>
                <w:szCs w:val="20"/>
                <w:lang w:val="es-MX"/>
              </w:rPr>
            </w:pPr>
            <w:r w:rsidRPr="009A27ED">
              <w:rPr>
                <w:rFonts w:ascii="Calibri" w:eastAsia="Calibri" w:hAnsi="Calibri" w:cs="Calibri"/>
                <w:sz w:val="20"/>
                <w:szCs w:val="20"/>
                <w:lang w:val="es-MX"/>
              </w:rPr>
              <w:t xml:space="preserve">Manejo y uso insostenible de las </w:t>
            </w:r>
            <w:r w:rsidRPr="009A27ED">
              <w:rPr>
                <w:rFonts w:ascii="Calibri" w:eastAsia="Calibri" w:hAnsi="Calibri" w:cs="Calibri"/>
                <w:sz w:val="20"/>
                <w:szCs w:val="20"/>
                <w:lang w:val="es-MX"/>
              </w:rPr>
              <w:lastRenderedPageBreak/>
              <w:t>tierras para producción agrícola</w:t>
            </w:r>
          </w:p>
          <w:p w14:paraId="24AE5CDE" w14:textId="079BE9FC" w:rsidR="0028451D" w:rsidRPr="009A27ED" w:rsidRDefault="0028451D" w:rsidP="0028451D">
            <w:pPr>
              <w:rPr>
                <w:rFonts w:ascii="Calibri" w:eastAsia="Calibri" w:hAnsi="Calibri" w:cs="Calibri"/>
                <w:b/>
                <w:sz w:val="20"/>
                <w:szCs w:val="20"/>
              </w:rPr>
            </w:pPr>
            <w:r w:rsidRPr="009A27ED">
              <w:rPr>
                <w:rFonts w:ascii="Calibri" w:eastAsia="Calibri" w:hAnsi="Calibri" w:cs="Calibri"/>
                <w:sz w:val="20"/>
                <w:szCs w:val="20"/>
                <w:lang w:val="es-MX"/>
              </w:rPr>
              <w:t>Manejo y uso insostenible de las tierras para producción ganadera</w:t>
            </w:r>
          </w:p>
        </w:tc>
        <w:tc>
          <w:tcPr>
            <w:tcW w:w="5528" w:type="dxa"/>
          </w:tcPr>
          <w:p w14:paraId="746A9826" w14:textId="50ABD42E" w:rsidR="0028451D" w:rsidRPr="009A27ED" w:rsidRDefault="0028451D" w:rsidP="0028451D">
            <w:pPr>
              <w:rPr>
                <w:rFonts w:ascii="Calibri" w:eastAsia="Calibri" w:hAnsi="Calibri" w:cs="Calibri"/>
                <w:sz w:val="20"/>
                <w:szCs w:val="20"/>
              </w:rPr>
            </w:pPr>
            <w:r w:rsidRPr="009A27ED">
              <w:rPr>
                <w:rFonts w:ascii="Calibri" w:eastAsia="Calibri" w:hAnsi="Calibri" w:cs="Calibri"/>
                <w:b/>
                <w:sz w:val="20"/>
                <w:szCs w:val="20"/>
              </w:rPr>
              <w:lastRenderedPageBreak/>
              <w:t>Acción Facilitadora</w:t>
            </w:r>
            <w:r w:rsidRPr="009A27ED">
              <w:rPr>
                <w:rFonts w:ascii="Calibri" w:eastAsia="Calibri" w:hAnsi="Calibri" w:cs="Calibri"/>
                <w:sz w:val="20"/>
                <w:szCs w:val="20"/>
              </w:rPr>
              <w:t xml:space="preserve"> </w:t>
            </w:r>
            <w:r w:rsidRPr="009A27ED">
              <w:rPr>
                <w:rFonts w:ascii="Calibri" w:eastAsia="Calibri" w:hAnsi="Calibri" w:cs="Calibri"/>
                <w:sz w:val="20"/>
                <w:szCs w:val="20"/>
                <w:lang w:val="es-DO"/>
              </w:rPr>
              <w:t xml:space="preserve">El país ha priorizado varias cuencas hidrográficas para lograr el manejo Integrado y uso sostenible de las mismas. Con esto se busca garantizar el agua como recurso estratégico para el bienestar de las presentes y futuras generaciones. Entre las cuencas prioritarias figuran los ríos Yuna- Camú, </w:t>
            </w:r>
            <w:proofErr w:type="spellStart"/>
            <w:r w:rsidRPr="009A27ED">
              <w:rPr>
                <w:rFonts w:ascii="Calibri" w:eastAsia="Calibri" w:hAnsi="Calibri" w:cs="Calibri"/>
                <w:sz w:val="20"/>
                <w:szCs w:val="20"/>
                <w:lang w:val="es-DO"/>
              </w:rPr>
              <w:t>Yaque</w:t>
            </w:r>
            <w:proofErr w:type="spellEnd"/>
            <w:r w:rsidRPr="009A27ED">
              <w:rPr>
                <w:rFonts w:ascii="Calibri" w:eastAsia="Calibri" w:hAnsi="Calibri" w:cs="Calibri"/>
                <w:sz w:val="20"/>
                <w:szCs w:val="20"/>
                <w:lang w:val="es-DO"/>
              </w:rPr>
              <w:t xml:space="preserve"> del Norte, Haina, </w:t>
            </w:r>
            <w:proofErr w:type="spellStart"/>
            <w:r w:rsidRPr="009A27ED">
              <w:rPr>
                <w:rFonts w:ascii="Calibri" w:eastAsia="Calibri" w:hAnsi="Calibri" w:cs="Calibri"/>
                <w:sz w:val="20"/>
                <w:szCs w:val="20"/>
                <w:lang w:val="es-DO"/>
              </w:rPr>
              <w:t>Nizao</w:t>
            </w:r>
            <w:proofErr w:type="spellEnd"/>
            <w:r w:rsidRPr="009A27ED">
              <w:rPr>
                <w:rFonts w:ascii="Calibri" w:eastAsia="Calibri" w:hAnsi="Calibri" w:cs="Calibri"/>
                <w:sz w:val="20"/>
                <w:szCs w:val="20"/>
                <w:lang w:val="es-DO"/>
              </w:rPr>
              <w:t xml:space="preserve">, Ozama e Isabela, </w:t>
            </w:r>
            <w:proofErr w:type="spellStart"/>
            <w:r w:rsidRPr="009A27ED">
              <w:rPr>
                <w:rFonts w:ascii="Calibri" w:eastAsia="Calibri" w:hAnsi="Calibri" w:cs="Calibri"/>
                <w:sz w:val="20"/>
                <w:szCs w:val="20"/>
                <w:lang w:val="es-DO"/>
              </w:rPr>
              <w:t>Macasias</w:t>
            </w:r>
            <w:proofErr w:type="spellEnd"/>
            <w:r w:rsidRPr="009A27ED">
              <w:rPr>
                <w:rFonts w:ascii="Calibri" w:eastAsia="Calibri" w:hAnsi="Calibri" w:cs="Calibri"/>
                <w:sz w:val="20"/>
                <w:szCs w:val="20"/>
                <w:lang w:val="es-DO"/>
              </w:rPr>
              <w:t xml:space="preserve">, </w:t>
            </w:r>
            <w:proofErr w:type="spellStart"/>
            <w:r w:rsidRPr="009A27ED">
              <w:rPr>
                <w:rFonts w:ascii="Calibri" w:eastAsia="Calibri" w:hAnsi="Calibri" w:cs="Calibri"/>
                <w:sz w:val="20"/>
                <w:szCs w:val="20"/>
                <w:lang w:val="es-DO"/>
              </w:rPr>
              <w:t>Ocoa</w:t>
            </w:r>
            <w:proofErr w:type="spellEnd"/>
            <w:r w:rsidRPr="009A27ED">
              <w:rPr>
                <w:rFonts w:ascii="Calibri" w:eastAsia="Calibri" w:hAnsi="Calibri" w:cs="Calibri"/>
                <w:sz w:val="20"/>
                <w:szCs w:val="20"/>
                <w:lang w:val="es-DO"/>
              </w:rPr>
              <w:t xml:space="preserve">, </w:t>
            </w:r>
            <w:proofErr w:type="spellStart"/>
            <w:r w:rsidRPr="009A27ED">
              <w:rPr>
                <w:rFonts w:ascii="Calibri" w:eastAsia="Calibri" w:hAnsi="Calibri" w:cs="Calibri"/>
                <w:sz w:val="20"/>
                <w:szCs w:val="20"/>
                <w:lang w:val="es-DO"/>
              </w:rPr>
              <w:t>Yaque</w:t>
            </w:r>
            <w:proofErr w:type="spellEnd"/>
            <w:r w:rsidRPr="009A27ED">
              <w:rPr>
                <w:rFonts w:ascii="Calibri" w:eastAsia="Calibri" w:hAnsi="Calibri" w:cs="Calibri"/>
                <w:sz w:val="20"/>
                <w:szCs w:val="20"/>
                <w:lang w:val="es-DO"/>
              </w:rPr>
              <w:t xml:space="preserve"> del Sur, </w:t>
            </w:r>
            <w:proofErr w:type="spellStart"/>
            <w:r w:rsidRPr="009A27ED">
              <w:rPr>
                <w:rFonts w:ascii="Calibri" w:eastAsia="Calibri" w:hAnsi="Calibri" w:cs="Calibri"/>
                <w:sz w:val="20"/>
                <w:szCs w:val="20"/>
                <w:lang w:val="es-DO"/>
              </w:rPr>
              <w:t>Higuamo</w:t>
            </w:r>
            <w:proofErr w:type="spellEnd"/>
            <w:r w:rsidRPr="009A27ED">
              <w:rPr>
                <w:rFonts w:ascii="Calibri" w:eastAsia="Calibri" w:hAnsi="Calibri" w:cs="Calibri"/>
                <w:sz w:val="20"/>
                <w:szCs w:val="20"/>
                <w:lang w:val="es-DO"/>
              </w:rPr>
              <w:t xml:space="preserve"> y Pedernales.</w:t>
            </w:r>
            <w:r w:rsidRPr="009A27ED">
              <w:rPr>
                <w:rFonts w:ascii="Calibri" w:eastAsia="Calibri" w:hAnsi="Calibri" w:cs="Calibri"/>
                <w:sz w:val="20"/>
                <w:szCs w:val="20"/>
                <w:lang w:val="gl"/>
              </w:rPr>
              <w:t xml:space="preserve"> </w:t>
            </w:r>
            <w:r w:rsidRPr="009A27ED">
              <w:rPr>
                <w:rFonts w:ascii="Calibri" w:eastAsia="Calibri" w:hAnsi="Calibri" w:cs="Calibri"/>
                <w:sz w:val="20"/>
                <w:szCs w:val="20"/>
                <w:lang w:val="es-DO"/>
              </w:rPr>
              <w:t xml:space="preserve">Esta acción busca </w:t>
            </w:r>
            <w:r w:rsidRPr="009A27ED">
              <w:rPr>
                <w:rFonts w:ascii="Calibri" w:eastAsia="Calibri" w:hAnsi="Calibri" w:cs="Calibri"/>
                <w:sz w:val="20"/>
                <w:szCs w:val="20"/>
                <w:lang w:val="es-DO"/>
              </w:rPr>
              <w:lastRenderedPageBreak/>
              <w:t xml:space="preserve">promover el enfoque de manejo de cuenca entre las entidades ejecutoras del Programa REDD+, impulsando </w:t>
            </w:r>
            <w:proofErr w:type="spellStart"/>
            <w:r w:rsidRPr="009A27ED">
              <w:rPr>
                <w:rFonts w:ascii="Calibri" w:eastAsia="Calibri" w:hAnsi="Calibri" w:cs="Calibri"/>
                <w:sz w:val="20"/>
                <w:szCs w:val="20"/>
                <w:lang w:val="gl"/>
              </w:rPr>
              <w:t>líneas</w:t>
            </w:r>
            <w:proofErr w:type="spellEnd"/>
            <w:r w:rsidRPr="009A27ED">
              <w:rPr>
                <w:rFonts w:ascii="Calibri" w:eastAsia="Calibri" w:hAnsi="Calibri" w:cs="Calibri"/>
                <w:sz w:val="20"/>
                <w:szCs w:val="20"/>
                <w:lang w:val="gl"/>
              </w:rPr>
              <w:t xml:space="preserve"> de </w:t>
            </w:r>
            <w:r w:rsidR="003626F6" w:rsidRPr="009A27ED">
              <w:rPr>
                <w:rFonts w:ascii="Calibri" w:eastAsia="Calibri" w:hAnsi="Calibri" w:cs="Calibri"/>
                <w:sz w:val="20"/>
                <w:szCs w:val="20"/>
                <w:lang w:val="gl"/>
              </w:rPr>
              <w:t>acciones orientadas</w:t>
            </w:r>
            <w:r w:rsidRPr="009A27ED">
              <w:rPr>
                <w:rFonts w:ascii="Calibri" w:eastAsia="Calibri" w:hAnsi="Calibri" w:cs="Calibri"/>
                <w:sz w:val="20"/>
                <w:szCs w:val="20"/>
                <w:lang w:val="gl"/>
              </w:rPr>
              <w:t xml:space="preserve"> a la </w:t>
            </w:r>
            <w:r w:rsidR="003626F6" w:rsidRPr="009A27ED">
              <w:rPr>
                <w:rFonts w:ascii="Calibri" w:eastAsia="Calibri" w:hAnsi="Calibri" w:cs="Calibri"/>
                <w:sz w:val="20"/>
                <w:szCs w:val="20"/>
                <w:lang w:val="gl"/>
              </w:rPr>
              <w:t>redución</w:t>
            </w:r>
            <w:r w:rsidRPr="009A27ED">
              <w:rPr>
                <w:rFonts w:ascii="Calibri" w:eastAsia="Calibri" w:hAnsi="Calibri" w:cs="Calibri"/>
                <w:sz w:val="20"/>
                <w:szCs w:val="20"/>
                <w:lang w:val="gl"/>
              </w:rPr>
              <w:t xml:space="preserve"> de deforestación y degradación de los </w:t>
            </w:r>
            <w:proofErr w:type="spellStart"/>
            <w:r w:rsidRPr="009A27ED">
              <w:rPr>
                <w:rFonts w:ascii="Calibri" w:eastAsia="Calibri" w:hAnsi="Calibri" w:cs="Calibri"/>
                <w:sz w:val="20"/>
                <w:szCs w:val="20"/>
                <w:lang w:val="gl"/>
              </w:rPr>
              <w:t>suelos</w:t>
            </w:r>
            <w:proofErr w:type="spellEnd"/>
            <w:r w:rsidRPr="009A27ED">
              <w:rPr>
                <w:rFonts w:ascii="Calibri" w:eastAsia="Calibri" w:hAnsi="Calibri" w:cs="Calibri"/>
                <w:sz w:val="20"/>
                <w:szCs w:val="20"/>
                <w:lang w:val="gl"/>
              </w:rPr>
              <w:t xml:space="preserve">, la </w:t>
            </w:r>
            <w:r w:rsidRPr="009A27ED">
              <w:rPr>
                <w:rFonts w:ascii="Calibri" w:eastAsia="Calibri" w:hAnsi="Calibri" w:cs="Calibri"/>
                <w:sz w:val="20"/>
                <w:szCs w:val="20"/>
                <w:lang w:val="es-DO"/>
              </w:rPr>
              <w:t xml:space="preserve">vigilancia y protección </w:t>
            </w:r>
            <w:proofErr w:type="spellStart"/>
            <w:r w:rsidRPr="009A27ED">
              <w:rPr>
                <w:rFonts w:ascii="Calibri" w:eastAsia="Calibri" w:hAnsi="Calibri" w:cs="Calibri"/>
                <w:sz w:val="20"/>
                <w:szCs w:val="20"/>
                <w:lang w:val="es-DO"/>
              </w:rPr>
              <w:t>in-situ</w:t>
            </w:r>
            <w:proofErr w:type="spellEnd"/>
            <w:r w:rsidRPr="009A27ED">
              <w:rPr>
                <w:rFonts w:ascii="Calibri" w:eastAsia="Calibri" w:hAnsi="Calibri" w:cs="Calibri"/>
                <w:sz w:val="20"/>
                <w:szCs w:val="20"/>
                <w:lang w:val="es-DO"/>
              </w:rPr>
              <w:t xml:space="preserve"> en áreas terrestres con alta diversidad biológica y valores de conservación, y </w:t>
            </w:r>
            <w:r w:rsidRPr="009A27ED">
              <w:rPr>
                <w:rFonts w:ascii="Calibri" w:eastAsia="Calibri" w:hAnsi="Calibri" w:cs="Calibri"/>
                <w:sz w:val="20"/>
                <w:szCs w:val="20"/>
                <w:lang w:val="gl"/>
              </w:rPr>
              <w:t>un </w:t>
            </w:r>
            <w:r w:rsidRPr="009A27ED">
              <w:rPr>
                <w:rFonts w:ascii="Calibri" w:eastAsia="Calibri" w:hAnsi="Calibri" w:cs="Calibri"/>
                <w:sz w:val="20"/>
                <w:szCs w:val="20"/>
                <w:lang w:val="es-DO"/>
              </w:rPr>
              <w:t xml:space="preserve">componente social orientado a la búsqueda de alternativas generadoras de ingresos a las comunidades. </w:t>
            </w:r>
          </w:p>
        </w:tc>
      </w:tr>
      <w:tr w:rsidR="0028451D" w:rsidRPr="009A27ED" w14:paraId="09F33D66" w14:textId="084DE20E" w:rsidTr="005C2EAE">
        <w:tc>
          <w:tcPr>
            <w:tcW w:w="2340" w:type="dxa"/>
            <w:vMerge w:val="restart"/>
          </w:tcPr>
          <w:p w14:paraId="7F583BD8" w14:textId="77777777" w:rsidR="0028451D" w:rsidRPr="009A27ED" w:rsidRDefault="0028451D" w:rsidP="008C6671">
            <w:pPr>
              <w:rPr>
                <w:rFonts w:ascii="Calibri" w:eastAsia="Calibri" w:hAnsi="Calibri" w:cs="Calibri"/>
                <w:sz w:val="20"/>
                <w:szCs w:val="20"/>
              </w:rPr>
            </w:pPr>
            <w:r w:rsidRPr="009A27ED">
              <w:rPr>
                <w:rFonts w:ascii="Calibri" w:eastAsia="Calibri" w:hAnsi="Calibri" w:cs="Calibri"/>
                <w:bCs/>
                <w:sz w:val="20"/>
                <w:szCs w:val="20"/>
              </w:rPr>
              <w:t xml:space="preserve">3. Promover modelos de gestión de recursos naturales que contribuyan a la conservación y uso sostenible de los bosques y el aumento de la cobertura boscosa. </w:t>
            </w:r>
          </w:p>
        </w:tc>
        <w:tc>
          <w:tcPr>
            <w:tcW w:w="2641" w:type="dxa"/>
          </w:tcPr>
          <w:p w14:paraId="76FCBC5C" w14:textId="12BFBF92" w:rsidR="0028451D" w:rsidRPr="009A27ED" w:rsidRDefault="00434410" w:rsidP="008C6671">
            <w:pPr>
              <w:numPr>
                <w:ilvl w:val="1"/>
                <w:numId w:val="2"/>
              </w:numPr>
              <w:contextualSpacing/>
              <w:jc w:val="left"/>
              <w:rPr>
                <w:rFonts w:ascii="Calibri" w:eastAsia="Calibri" w:hAnsi="Calibri" w:cs="Calibri"/>
                <w:sz w:val="20"/>
                <w:szCs w:val="20"/>
              </w:rPr>
            </w:pPr>
            <w:r w:rsidRPr="009A27ED">
              <w:rPr>
                <w:rFonts w:ascii="Calibri" w:eastAsia="Calibri" w:hAnsi="Calibri" w:cs="Calibri"/>
                <w:sz w:val="20"/>
                <w:szCs w:val="20"/>
              </w:rPr>
              <w:t>Fortalecer planes y programas de reforestación y agroforestería como el Programa Nacional de Reforestación (antes Plan Nacional Quisqueya Verde) y el Programa Agroforestal.</w:t>
            </w:r>
          </w:p>
        </w:tc>
        <w:tc>
          <w:tcPr>
            <w:tcW w:w="2102" w:type="dxa"/>
          </w:tcPr>
          <w:p w14:paraId="036C2CF6" w14:textId="77777777" w:rsidR="0028451D" w:rsidRPr="009A27ED" w:rsidRDefault="0028451D" w:rsidP="008C6671">
            <w:pPr>
              <w:jc w:val="left"/>
              <w:rPr>
                <w:rFonts w:ascii="Calibri" w:eastAsia="Calibri" w:hAnsi="Calibri" w:cs="Calibri"/>
                <w:sz w:val="20"/>
                <w:szCs w:val="20"/>
                <w:lang w:val="es-MX"/>
              </w:rPr>
            </w:pPr>
            <w:r w:rsidRPr="009A27ED">
              <w:rPr>
                <w:rFonts w:ascii="Calibri" w:eastAsia="Calibri" w:hAnsi="Calibri" w:cs="Calibri"/>
                <w:sz w:val="20"/>
                <w:szCs w:val="20"/>
                <w:lang w:val="es-MX"/>
              </w:rPr>
              <w:t>Alto nivel de pobreza y desempleo rural</w:t>
            </w:r>
          </w:p>
          <w:p w14:paraId="6805869F" w14:textId="77777777" w:rsidR="0028451D" w:rsidRPr="009A27ED" w:rsidRDefault="0028451D" w:rsidP="008C6671">
            <w:pPr>
              <w:jc w:val="left"/>
              <w:rPr>
                <w:rFonts w:ascii="Calibri" w:eastAsia="Calibri" w:hAnsi="Calibri" w:cs="Calibri"/>
                <w:sz w:val="20"/>
                <w:szCs w:val="20"/>
                <w:lang w:val="es-MX"/>
              </w:rPr>
            </w:pPr>
          </w:p>
          <w:p w14:paraId="370A76E0" w14:textId="77777777" w:rsidR="0028451D" w:rsidRPr="009A27ED" w:rsidRDefault="0028451D" w:rsidP="008C6671">
            <w:pPr>
              <w:jc w:val="left"/>
              <w:rPr>
                <w:rFonts w:ascii="Calibri" w:eastAsia="Calibri" w:hAnsi="Calibri" w:cs="Calibri"/>
                <w:sz w:val="20"/>
                <w:szCs w:val="20"/>
                <w:lang w:val="es-MX"/>
              </w:rPr>
            </w:pPr>
            <w:r w:rsidRPr="009A27ED">
              <w:rPr>
                <w:rFonts w:ascii="Calibri" w:eastAsia="Calibri" w:hAnsi="Calibri" w:cs="Calibri"/>
                <w:sz w:val="20"/>
                <w:szCs w:val="20"/>
                <w:lang w:val="es-MX"/>
              </w:rPr>
              <w:t>Manejo y uso insostenible de las tierras para producción agrícola</w:t>
            </w:r>
          </w:p>
          <w:p w14:paraId="277F458B" w14:textId="77777777" w:rsidR="0028451D" w:rsidRPr="009A27ED" w:rsidRDefault="0028451D" w:rsidP="008C6671">
            <w:pPr>
              <w:jc w:val="left"/>
              <w:rPr>
                <w:rFonts w:ascii="Calibri" w:eastAsia="Calibri" w:hAnsi="Calibri" w:cs="Calibri"/>
                <w:sz w:val="20"/>
                <w:szCs w:val="20"/>
                <w:lang w:val="es-MX"/>
              </w:rPr>
            </w:pPr>
          </w:p>
          <w:p w14:paraId="7BFEC7E9" w14:textId="589BBAFD" w:rsidR="0028451D" w:rsidRPr="009A27ED" w:rsidRDefault="0028451D" w:rsidP="0028451D">
            <w:pPr>
              <w:rPr>
                <w:rFonts w:ascii="Calibri" w:eastAsia="Calibri" w:hAnsi="Calibri" w:cs="Calibri"/>
                <w:b/>
                <w:sz w:val="20"/>
                <w:szCs w:val="20"/>
              </w:rPr>
            </w:pPr>
            <w:r w:rsidRPr="009A27ED">
              <w:rPr>
                <w:rFonts w:ascii="Calibri" w:eastAsia="Calibri" w:hAnsi="Calibri" w:cs="Calibri"/>
                <w:sz w:val="20"/>
                <w:szCs w:val="20"/>
                <w:lang w:val="es-MX"/>
              </w:rPr>
              <w:t>Manejo y uso insostenible de las tierras para producción ganadera</w:t>
            </w:r>
          </w:p>
        </w:tc>
        <w:tc>
          <w:tcPr>
            <w:tcW w:w="5528" w:type="dxa"/>
          </w:tcPr>
          <w:p w14:paraId="58D30F08" w14:textId="058F9FB2" w:rsidR="0028451D" w:rsidRPr="009A27ED" w:rsidRDefault="0028451D" w:rsidP="008C6671">
            <w:pPr>
              <w:rPr>
                <w:rFonts w:ascii="Calibri" w:eastAsia="Calibri" w:hAnsi="Calibri" w:cs="Calibri"/>
                <w:sz w:val="20"/>
                <w:szCs w:val="20"/>
                <w:lang w:val="es-DO"/>
              </w:rPr>
            </w:pPr>
            <w:r w:rsidRPr="009A27ED">
              <w:rPr>
                <w:rFonts w:ascii="Calibri" w:eastAsia="Calibri" w:hAnsi="Calibri" w:cs="Calibri"/>
                <w:b/>
                <w:sz w:val="20"/>
                <w:szCs w:val="20"/>
              </w:rPr>
              <w:t>Acción directa:</w:t>
            </w:r>
            <w:r w:rsidRPr="009A27ED">
              <w:rPr>
                <w:rFonts w:ascii="Calibri" w:eastAsia="Calibri" w:hAnsi="Calibri" w:cs="Calibri"/>
                <w:sz w:val="20"/>
                <w:szCs w:val="20"/>
              </w:rPr>
              <w:t xml:space="preserve"> </w:t>
            </w:r>
            <w:r w:rsidRPr="009A27ED">
              <w:rPr>
                <w:rFonts w:ascii="Calibri" w:eastAsia="Calibri" w:hAnsi="Calibri" w:cs="Calibri"/>
                <w:sz w:val="20"/>
                <w:szCs w:val="20"/>
                <w:lang w:val="es-DO"/>
              </w:rPr>
              <w:t xml:space="preserve">El </w:t>
            </w:r>
            <w:r w:rsidR="00CA69CA" w:rsidRPr="009A27ED">
              <w:rPr>
                <w:rFonts w:ascii="Calibri" w:eastAsia="Calibri" w:hAnsi="Calibri" w:cs="Calibri"/>
                <w:sz w:val="20"/>
                <w:szCs w:val="20"/>
                <w:lang w:val="es-DO"/>
              </w:rPr>
              <w:t xml:space="preserve">Programa </w:t>
            </w:r>
            <w:r w:rsidRPr="009A27ED">
              <w:rPr>
                <w:rFonts w:ascii="Calibri" w:eastAsia="Calibri" w:hAnsi="Calibri" w:cs="Calibri"/>
                <w:sz w:val="20"/>
                <w:szCs w:val="20"/>
                <w:lang w:val="es-DO"/>
              </w:rPr>
              <w:t xml:space="preserve">Nacional </w:t>
            </w:r>
            <w:r w:rsidR="00874FCA" w:rsidRPr="009A27ED">
              <w:rPr>
                <w:rFonts w:ascii="Calibri" w:eastAsia="Calibri" w:hAnsi="Calibri" w:cs="Calibri"/>
                <w:sz w:val="20"/>
                <w:szCs w:val="20"/>
                <w:lang w:val="es-DO"/>
              </w:rPr>
              <w:t>de Reforestación (PNR)</w:t>
            </w:r>
            <w:r w:rsidRPr="009A27ED">
              <w:rPr>
                <w:rFonts w:ascii="Calibri" w:eastAsia="Calibri" w:hAnsi="Calibri" w:cs="Calibri"/>
                <w:sz w:val="20"/>
                <w:szCs w:val="20"/>
                <w:lang w:val="es-DO"/>
              </w:rPr>
              <w:t xml:space="preserve"> </w:t>
            </w:r>
            <w:r w:rsidRPr="009A27ED">
              <w:rPr>
                <w:rFonts w:ascii="Calibri" w:eastAsia="Calibri" w:hAnsi="Calibri" w:cs="Calibri"/>
                <w:sz w:val="20"/>
                <w:szCs w:val="20"/>
                <w:lang w:val="es-MX"/>
              </w:rPr>
              <w:t>T</w:t>
            </w:r>
            <w:proofErr w:type="spellStart"/>
            <w:r w:rsidRPr="009A27ED">
              <w:rPr>
                <w:rFonts w:ascii="Calibri" w:eastAsia="Calibri" w:hAnsi="Calibri" w:cs="Calibri"/>
                <w:sz w:val="20"/>
                <w:szCs w:val="20"/>
                <w:lang w:val="es-DO"/>
              </w:rPr>
              <w:t>iene</w:t>
            </w:r>
            <w:proofErr w:type="spellEnd"/>
            <w:r w:rsidRPr="009A27ED">
              <w:rPr>
                <w:rFonts w:ascii="Calibri" w:eastAsia="Calibri" w:hAnsi="Calibri" w:cs="Calibri"/>
                <w:sz w:val="20"/>
                <w:szCs w:val="20"/>
                <w:lang w:val="es-DO"/>
              </w:rPr>
              <w:t xml:space="preserve"> como objetivo mejorar las condiciones de vida de la población en las zonas rurales, a través del fomento de los recursos naturales, la generación de empleos, la protección del medio ambiente y el fortalecimiento de la coordinación entre las instituciones del Estado y las organizaciones de la sociedad civil que trabajan en favor del desarrollo sostenible. Involucra a Organizaciones no Gubernamentales, Federaciones, Organizaciones Comunitarias de Base, Sector Privado, Universidades, Colegios, Escuelas, Instituciones públicas, Gobiernos locales, e Iglesias. El referido plan consiste en: i) identificación del área a intervenir, </w:t>
            </w:r>
            <w:proofErr w:type="spellStart"/>
            <w:r w:rsidRPr="009A27ED">
              <w:rPr>
                <w:rFonts w:ascii="Calibri" w:eastAsia="Calibri" w:hAnsi="Calibri" w:cs="Calibri"/>
                <w:sz w:val="20"/>
                <w:szCs w:val="20"/>
                <w:lang w:val="es-DO"/>
              </w:rPr>
              <w:t>ii</w:t>
            </w:r>
            <w:proofErr w:type="spellEnd"/>
            <w:r w:rsidRPr="009A27ED">
              <w:rPr>
                <w:rFonts w:ascii="Calibri" w:eastAsia="Calibri" w:hAnsi="Calibri" w:cs="Calibri"/>
                <w:sz w:val="20"/>
                <w:szCs w:val="20"/>
                <w:lang w:val="es-DO"/>
              </w:rPr>
              <w:t xml:space="preserve">) involucramiento de las comunidades y organizaciones, </w:t>
            </w:r>
            <w:proofErr w:type="spellStart"/>
            <w:r w:rsidRPr="009A27ED">
              <w:rPr>
                <w:rFonts w:ascii="Calibri" w:eastAsia="Calibri" w:hAnsi="Calibri" w:cs="Calibri"/>
                <w:sz w:val="20"/>
                <w:szCs w:val="20"/>
                <w:lang w:val="es-DO"/>
              </w:rPr>
              <w:t>iii</w:t>
            </w:r>
            <w:proofErr w:type="spellEnd"/>
            <w:r w:rsidRPr="009A27ED">
              <w:rPr>
                <w:rFonts w:ascii="Calibri" w:eastAsia="Calibri" w:hAnsi="Calibri" w:cs="Calibri"/>
                <w:sz w:val="20"/>
                <w:szCs w:val="20"/>
                <w:lang w:val="es-DO"/>
              </w:rPr>
              <w:t xml:space="preserve">) apertura y operación de brigadas de reforestación, </w:t>
            </w:r>
            <w:proofErr w:type="spellStart"/>
            <w:r w:rsidRPr="009A27ED">
              <w:rPr>
                <w:rFonts w:ascii="Calibri" w:eastAsia="Calibri" w:hAnsi="Calibri" w:cs="Calibri"/>
                <w:sz w:val="20"/>
                <w:szCs w:val="20"/>
                <w:lang w:val="es-DO"/>
              </w:rPr>
              <w:t>iv</w:t>
            </w:r>
            <w:proofErr w:type="spellEnd"/>
            <w:r w:rsidRPr="009A27ED">
              <w:rPr>
                <w:rFonts w:ascii="Calibri" w:eastAsia="Calibri" w:hAnsi="Calibri" w:cs="Calibri"/>
                <w:sz w:val="20"/>
                <w:szCs w:val="20"/>
                <w:lang w:val="es-DO"/>
              </w:rPr>
              <w:t xml:space="preserve">) producción de plantas, v) reparación y construcción de infraestructuras básicas, vi) cogestión en la reforestación, </w:t>
            </w:r>
            <w:proofErr w:type="spellStart"/>
            <w:r w:rsidRPr="009A27ED">
              <w:rPr>
                <w:rFonts w:ascii="Calibri" w:eastAsia="Calibri" w:hAnsi="Calibri" w:cs="Calibri"/>
                <w:sz w:val="20"/>
                <w:szCs w:val="20"/>
                <w:lang w:val="es-DO"/>
              </w:rPr>
              <w:t>vii</w:t>
            </w:r>
            <w:proofErr w:type="spellEnd"/>
            <w:r w:rsidRPr="009A27ED">
              <w:rPr>
                <w:rFonts w:ascii="Calibri" w:eastAsia="Calibri" w:hAnsi="Calibri" w:cs="Calibri"/>
                <w:sz w:val="20"/>
                <w:szCs w:val="20"/>
                <w:lang w:val="es-DO"/>
              </w:rPr>
              <w:t xml:space="preserve">) educación ambiental, </w:t>
            </w:r>
            <w:proofErr w:type="spellStart"/>
            <w:r w:rsidRPr="009A27ED">
              <w:rPr>
                <w:rFonts w:ascii="Calibri" w:eastAsia="Calibri" w:hAnsi="Calibri" w:cs="Calibri"/>
                <w:sz w:val="20"/>
                <w:szCs w:val="20"/>
                <w:lang w:val="es-DO"/>
              </w:rPr>
              <w:t>viii</w:t>
            </w:r>
            <w:proofErr w:type="spellEnd"/>
            <w:r w:rsidRPr="009A27ED">
              <w:rPr>
                <w:rFonts w:ascii="Calibri" w:eastAsia="Calibri" w:hAnsi="Calibri" w:cs="Calibri"/>
                <w:sz w:val="20"/>
                <w:szCs w:val="20"/>
                <w:lang w:val="es-DO"/>
              </w:rPr>
              <w:t>) seguimiento y monitoreo de la reforestación.</w:t>
            </w:r>
          </w:p>
          <w:p w14:paraId="33F47841" w14:textId="71EE1400" w:rsidR="0028451D" w:rsidRPr="009A27ED" w:rsidRDefault="0028451D" w:rsidP="008C6671">
            <w:pPr>
              <w:rPr>
                <w:rFonts w:ascii="Calibri" w:eastAsia="Calibri" w:hAnsi="Calibri" w:cs="Calibri"/>
                <w:i/>
                <w:sz w:val="20"/>
                <w:szCs w:val="20"/>
                <w:lang w:val="es-MX"/>
              </w:rPr>
            </w:pPr>
            <w:r w:rsidRPr="009A27ED">
              <w:rPr>
                <w:rFonts w:ascii="Calibri" w:eastAsia="Calibri" w:hAnsi="Calibri" w:cs="Calibri"/>
                <w:sz w:val="20"/>
                <w:szCs w:val="20"/>
                <w:lang w:val="es-MX"/>
              </w:rPr>
              <w:t xml:space="preserve">Los componentes del </w:t>
            </w:r>
            <w:r w:rsidR="00874FCA" w:rsidRPr="009A27ED">
              <w:rPr>
                <w:rFonts w:ascii="Calibri" w:eastAsia="Calibri" w:hAnsi="Calibri" w:cs="Calibri"/>
                <w:sz w:val="20"/>
                <w:szCs w:val="20"/>
                <w:lang w:val="es-MX"/>
              </w:rPr>
              <w:t xml:space="preserve">PNR </w:t>
            </w:r>
            <w:r w:rsidRPr="009A27ED">
              <w:rPr>
                <w:rFonts w:ascii="Calibri" w:eastAsia="Calibri" w:hAnsi="Calibri" w:cs="Calibri"/>
                <w:sz w:val="20"/>
                <w:szCs w:val="20"/>
                <w:lang w:val="es-MX"/>
              </w:rPr>
              <w:t xml:space="preserve">son: a) </w:t>
            </w:r>
            <w:r w:rsidRPr="009A27ED">
              <w:rPr>
                <w:rFonts w:ascii="Calibri" w:eastAsia="Calibri" w:hAnsi="Calibri" w:cs="Calibri"/>
                <w:i/>
                <w:sz w:val="20"/>
                <w:szCs w:val="20"/>
                <w:lang w:val="es-MX"/>
              </w:rPr>
              <w:t>forestería social</w:t>
            </w:r>
            <w:r w:rsidRPr="009A27ED">
              <w:rPr>
                <w:rFonts w:ascii="Calibri" w:eastAsia="Calibri" w:hAnsi="Calibri" w:cs="Calibri"/>
                <w:sz w:val="20"/>
                <w:szCs w:val="20"/>
                <w:lang w:val="es-MX"/>
              </w:rPr>
              <w:t xml:space="preserve"> (reforestación con participación comunitaria), b) </w:t>
            </w:r>
            <w:r w:rsidRPr="009A27ED">
              <w:rPr>
                <w:rFonts w:ascii="Calibri" w:eastAsia="Calibri" w:hAnsi="Calibri" w:cs="Calibri"/>
                <w:i/>
                <w:sz w:val="20"/>
                <w:szCs w:val="20"/>
                <w:lang w:val="es-MX"/>
              </w:rPr>
              <w:t xml:space="preserve">creación de bosques de uso múltiple, </w:t>
            </w:r>
            <w:r w:rsidRPr="009A27ED">
              <w:rPr>
                <w:rFonts w:ascii="Calibri" w:eastAsia="Calibri" w:hAnsi="Calibri" w:cs="Calibri"/>
                <w:sz w:val="20"/>
                <w:szCs w:val="20"/>
                <w:lang w:val="es-MX"/>
              </w:rPr>
              <w:t xml:space="preserve">c) </w:t>
            </w:r>
            <w:r w:rsidRPr="009A27ED">
              <w:rPr>
                <w:rFonts w:ascii="Calibri" w:eastAsia="Calibri" w:hAnsi="Calibri" w:cs="Calibri"/>
                <w:i/>
                <w:sz w:val="20"/>
                <w:szCs w:val="20"/>
                <w:lang w:val="es-MX"/>
              </w:rPr>
              <w:t xml:space="preserve">recuperación de áreas naturales, nacionales y municipales. </w:t>
            </w:r>
          </w:p>
          <w:p w14:paraId="525E9E0E" w14:textId="56415013" w:rsidR="0028451D" w:rsidRPr="009A27ED" w:rsidRDefault="0028451D" w:rsidP="008C6671">
            <w:pPr>
              <w:rPr>
                <w:rFonts w:ascii="Calibri" w:eastAsia="Calibri" w:hAnsi="Calibri" w:cs="Calibri"/>
                <w:sz w:val="20"/>
                <w:szCs w:val="20"/>
              </w:rPr>
            </w:pPr>
            <w:r w:rsidRPr="009A27ED">
              <w:rPr>
                <w:rFonts w:ascii="Calibri" w:eastAsia="Calibri" w:hAnsi="Calibri" w:cs="Calibri"/>
                <w:sz w:val="20"/>
                <w:szCs w:val="20"/>
                <w:lang w:val="es-MX"/>
              </w:rPr>
              <w:t>Por otro lado, el Programa de Desarrollo Agroforestal</w:t>
            </w:r>
            <w:r w:rsidR="00FE2107" w:rsidRPr="009A27ED">
              <w:rPr>
                <w:rFonts w:ascii="Calibri" w:eastAsia="Calibri" w:hAnsi="Calibri" w:cs="Calibri"/>
                <w:sz w:val="20"/>
                <w:szCs w:val="20"/>
                <w:lang w:val="es-MX"/>
              </w:rPr>
              <w:t xml:space="preserve"> Sostenible </w:t>
            </w:r>
            <w:r w:rsidRPr="009A27ED">
              <w:rPr>
                <w:rFonts w:ascii="Calibri" w:eastAsia="Calibri" w:hAnsi="Calibri" w:cs="Calibri"/>
                <w:sz w:val="20"/>
                <w:szCs w:val="20"/>
                <w:lang w:val="es-MX"/>
              </w:rPr>
              <w:t xml:space="preserve"> es una iniciativa gubernamental que tiene los siguientes objetivos: a) establecer plantaciones forestales e infraestructuras con fines de conservación y aprovechamiento, b) desarrollar la producción agrícola sostenible, adoptando tecnologías adecuadas a la zona, c) fortalecer las capacidades locales para promover el desarrollo socioeconómico y ambiental en las comunidades, d) contribuir con el saneamiento ambiental y la disminución de la contaminación de los recursos hídricos.</w:t>
            </w:r>
          </w:p>
        </w:tc>
      </w:tr>
      <w:tr w:rsidR="0028451D" w:rsidRPr="009A27ED" w14:paraId="1C08E1CA" w14:textId="42EDC974" w:rsidTr="005C2EAE">
        <w:trPr>
          <w:trHeight w:val="320"/>
        </w:trPr>
        <w:tc>
          <w:tcPr>
            <w:tcW w:w="2340" w:type="dxa"/>
            <w:vMerge/>
          </w:tcPr>
          <w:p w14:paraId="538738B6" w14:textId="77777777" w:rsidR="0028451D" w:rsidRPr="009A27ED" w:rsidRDefault="0028451D" w:rsidP="0028451D">
            <w:pPr>
              <w:rPr>
                <w:rFonts w:ascii="Calibri" w:eastAsia="Calibri" w:hAnsi="Calibri" w:cs="Calibri"/>
                <w:sz w:val="20"/>
                <w:szCs w:val="20"/>
              </w:rPr>
            </w:pPr>
          </w:p>
        </w:tc>
        <w:tc>
          <w:tcPr>
            <w:tcW w:w="2641" w:type="dxa"/>
          </w:tcPr>
          <w:p w14:paraId="059782F9" w14:textId="77777777" w:rsidR="0028451D" w:rsidRPr="009A27ED" w:rsidRDefault="0028451D" w:rsidP="008C6671">
            <w:pPr>
              <w:numPr>
                <w:ilvl w:val="1"/>
                <w:numId w:val="2"/>
              </w:numPr>
              <w:contextualSpacing/>
              <w:jc w:val="left"/>
              <w:rPr>
                <w:rFonts w:ascii="Calibri" w:eastAsia="Calibri" w:hAnsi="Calibri" w:cs="Calibri"/>
                <w:sz w:val="20"/>
                <w:szCs w:val="20"/>
              </w:rPr>
            </w:pPr>
            <w:r w:rsidRPr="009A27ED">
              <w:rPr>
                <w:rFonts w:ascii="Calibri" w:eastAsia="Calibri" w:hAnsi="Calibri" w:cs="Calibri"/>
                <w:sz w:val="20"/>
                <w:szCs w:val="20"/>
              </w:rPr>
              <w:t xml:space="preserve">Promover la incorporación de sistemas agroforestales para manejo de fincas agrícolas y ganaderas. </w:t>
            </w:r>
          </w:p>
        </w:tc>
        <w:tc>
          <w:tcPr>
            <w:tcW w:w="2102" w:type="dxa"/>
          </w:tcPr>
          <w:p w14:paraId="69615F6A" w14:textId="77777777" w:rsidR="0028451D" w:rsidRPr="009A27ED" w:rsidRDefault="0028451D" w:rsidP="008C6671">
            <w:pPr>
              <w:jc w:val="left"/>
              <w:rPr>
                <w:rFonts w:ascii="Calibri" w:eastAsia="Calibri" w:hAnsi="Calibri" w:cs="Calibri"/>
                <w:sz w:val="20"/>
                <w:szCs w:val="20"/>
                <w:lang w:val="es-MX"/>
              </w:rPr>
            </w:pPr>
            <w:r w:rsidRPr="009A27ED">
              <w:rPr>
                <w:rFonts w:ascii="Calibri" w:eastAsia="Calibri" w:hAnsi="Calibri" w:cs="Calibri"/>
                <w:sz w:val="20"/>
                <w:szCs w:val="20"/>
                <w:lang w:val="es-MX"/>
              </w:rPr>
              <w:t>Alto nivel de pobreza y desempleo rural</w:t>
            </w:r>
          </w:p>
          <w:p w14:paraId="579647BD" w14:textId="77777777" w:rsidR="0028451D" w:rsidRPr="009A27ED" w:rsidRDefault="0028451D" w:rsidP="008C6671">
            <w:pPr>
              <w:rPr>
                <w:rFonts w:ascii="Calibri" w:eastAsia="Calibri" w:hAnsi="Calibri" w:cs="Calibri"/>
                <w:sz w:val="20"/>
                <w:szCs w:val="20"/>
                <w:lang w:val="es-MX"/>
              </w:rPr>
            </w:pPr>
          </w:p>
          <w:p w14:paraId="3B4AFC85" w14:textId="77777777" w:rsidR="0028451D" w:rsidRPr="009A27ED" w:rsidRDefault="0028451D" w:rsidP="008C6671">
            <w:pPr>
              <w:rPr>
                <w:rFonts w:ascii="Calibri" w:eastAsia="Calibri" w:hAnsi="Calibri" w:cs="Calibri"/>
                <w:sz w:val="20"/>
                <w:szCs w:val="20"/>
                <w:lang w:val="es-MX"/>
              </w:rPr>
            </w:pPr>
            <w:r w:rsidRPr="009A27ED">
              <w:rPr>
                <w:rFonts w:ascii="Calibri" w:eastAsia="Calibri" w:hAnsi="Calibri" w:cs="Calibri"/>
                <w:sz w:val="20"/>
                <w:szCs w:val="20"/>
                <w:lang w:val="es-MX"/>
              </w:rPr>
              <w:t>Presión del crecimiento poblacional en el uso de los recursos naturales</w:t>
            </w:r>
          </w:p>
          <w:p w14:paraId="46C65282" w14:textId="77777777" w:rsidR="0028451D" w:rsidRPr="009A27ED" w:rsidRDefault="0028451D" w:rsidP="008C6671">
            <w:pPr>
              <w:rPr>
                <w:rFonts w:ascii="Calibri" w:eastAsia="Calibri" w:hAnsi="Calibri" w:cs="Calibri"/>
                <w:sz w:val="20"/>
                <w:szCs w:val="20"/>
                <w:lang w:val="es-MX"/>
              </w:rPr>
            </w:pPr>
          </w:p>
          <w:p w14:paraId="4158170C" w14:textId="77777777" w:rsidR="0028451D" w:rsidRPr="009A27ED" w:rsidRDefault="0028451D" w:rsidP="008C6671">
            <w:pPr>
              <w:rPr>
                <w:rFonts w:ascii="Calibri" w:eastAsia="Calibri" w:hAnsi="Calibri" w:cs="Calibri"/>
                <w:sz w:val="20"/>
                <w:szCs w:val="20"/>
                <w:lang w:val="es-MX"/>
              </w:rPr>
            </w:pPr>
            <w:r w:rsidRPr="009A27ED">
              <w:rPr>
                <w:rFonts w:ascii="Calibri" w:eastAsia="Calibri" w:hAnsi="Calibri" w:cs="Calibri"/>
                <w:sz w:val="20"/>
                <w:szCs w:val="20"/>
                <w:lang w:val="es-MX"/>
              </w:rPr>
              <w:lastRenderedPageBreak/>
              <w:t>Expansión de ganadería comercial</w:t>
            </w:r>
          </w:p>
          <w:p w14:paraId="030D7130" w14:textId="6CF6FBE8" w:rsidR="0028451D" w:rsidRPr="009A27ED" w:rsidRDefault="0028451D" w:rsidP="0028451D">
            <w:pPr>
              <w:rPr>
                <w:rFonts w:ascii="Calibri" w:eastAsia="Calibri" w:hAnsi="Calibri" w:cs="Calibri"/>
                <w:b/>
                <w:sz w:val="20"/>
                <w:szCs w:val="20"/>
              </w:rPr>
            </w:pPr>
            <w:r w:rsidRPr="009A27ED">
              <w:rPr>
                <w:rFonts w:ascii="Calibri" w:eastAsia="Calibri" w:hAnsi="Calibri" w:cs="Calibri"/>
                <w:sz w:val="20"/>
                <w:szCs w:val="20"/>
                <w:lang w:val="es-MX"/>
              </w:rPr>
              <w:t xml:space="preserve">Expansión del pastoreo en </w:t>
            </w:r>
            <w:r w:rsidR="003626F6" w:rsidRPr="009A27ED">
              <w:rPr>
                <w:rFonts w:ascii="Calibri" w:eastAsia="Calibri" w:hAnsi="Calibri" w:cs="Calibri"/>
                <w:sz w:val="20"/>
                <w:szCs w:val="20"/>
                <w:lang w:val="es-MX"/>
              </w:rPr>
              <w:t>los bosques</w:t>
            </w:r>
          </w:p>
        </w:tc>
        <w:tc>
          <w:tcPr>
            <w:tcW w:w="5528" w:type="dxa"/>
          </w:tcPr>
          <w:p w14:paraId="208850AB" w14:textId="27BCC259" w:rsidR="0028451D" w:rsidRPr="009A27ED" w:rsidRDefault="0028451D" w:rsidP="008C6671">
            <w:pPr>
              <w:rPr>
                <w:rFonts w:ascii="Calibri" w:eastAsia="Calibri" w:hAnsi="Calibri" w:cs="Calibri"/>
                <w:sz w:val="20"/>
                <w:szCs w:val="20"/>
              </w:rPr>
            </w:pPr>
            <w:r w:rsidRPr="009A27ED">
              <w:rPr>
                <w:rFonts w:ascii="Calibri" w:eastAsia="Calibri" w:hAnsi="Calibri" w:cs="Calibri"/>
                <w:b/>
                <w:sz w:val="20"/>
                <w:szCs w:val="20"/>
              </w:rPr>
              <w:lastRenderedPageBreak/>
              <w:t>Acción directa</w:t>
            </w:r>
            <w:r w:rsidRPr="009A27ED">
              <w:rPr>
                <w:rFonts w:ascii="Calibri" w:eastAsia="Calibri" w:hAnsi="Calibri" w:cs="Calibri"/>
                <w:sz w:val="20"/>
                <w:szCs w:val="20"/>
              </w:rPr>
              <w:t>: S</w:t>
            </w:r>
            <w:proofErr w:type="spellStart"/>
            <w:r w:rsidRPr="009A27ED">
              <w:rPr>
                <w:rFonts w:ascii="Calibri" w:eastAsia="Calibri" w:hAnsi="Calibri" w:cs="Calibri"/>
                <w:sz w:val="20"/>
                <w:szCs w:val="20"/>
                <w:lang w:val="es-MX"/>
              </w:rPr>
              <w:t>e</w:t>
            </w:r>
            <w:proofErr w:type="spellEnd"/>
            <w:r w:rsidRPr="009A27ED">
              <w:rPr>
                <w:rFonts w:ascii="Calibri" w:eastAsia="Calibri" w:hAnsi="Calibri" w:cs="Calibri"/>
                <w:sz w:val="20"/>
                <w:szCs w:val="20"/>
                <w:lang w:val="es-MX"/>
              </w:rPr>
              <w:t xml:space="preserve"> considera que la ganadería extensiva es el sistema de uso del suelo que ha sustituido de forma permanente la cobertura boscosa en la mayor parte del país. No obstante, parte del sector ganadero ha iniciado cambios en sus prácticas culturales, incorporando algún nivel de cobertura arbórea en sus pastizales. La Dirección General de Ganadería está promoviendo la incorporación de un componente arbóreo en las fincas ganaderas. El Ministerio de Agricultura, a través del Departamento de Cacao fomenta sistemas agroforestales con cacao bajo sombra.  A su vez, el INDOCAFE tiene a cargo el fomento de sistemas agroforestales con café bajo sombra. Con el </w:t>
            </w:r>
            <w:r w:rsidR="00124B63" w:rsidRPr="009A27ED">
              <w:rPr>
                <w:rFonts w:ascii="Calibri" w:eastAsia="Calibri" w:hAnsi="Calibri" w:cs="Calibri"/>
                <w:sz w:val="20"/>
                <w:szCs w:val="20"/>
                <w:lang w:val="es-MX"/>
              </w:rPr>
              <w:t xml:space="preserve">Programa </w:t>
            </w:r>
            <w:proofErr w:type="spellStart"/>
            <w:r w:rsidR="00124B63" w:rsidRPr="009A27ED">
              <w:rPr>
                <w:rFonts w:ascii="Calibri" w:eastAsia="Calibri" w:hAnsi="Calibri" w:cs="Calibri"/>
                <w:sz w:val="20"/>
                <w:szCs w:val="20"/>
                <w:lang w:val="es-MX"/>
              </w:rPr>
              <w:t>REDD+</w:t>
            </w:r>
            <w:r w:rsidRPr="009A27ED">
              <w:rPr>
                <w:rFonts w:ascii="Calibri" w:eastAsia="Calibri" w:hAnsi="Calibri" w:cs="Calibri"/>
                <w:sz w:val="20"/>
                <w:szCs w:val="20"/>
                <w:lang w:val="es-MX"/>
              </w:rPr>
              <w:t>a</w:t>
            </w:r>
            <w:proofErr w:type="spellEnd"/>
            <w:r w:rsidRPr="009A27ED">
              <w:rPr>
                <w:rFonts w:ascii="Calibri" w:eastAsia="Calibri" w:hAnsi="Calibri" w:cs="Calibri"/>
                <w:sz w:val="20"/>
                <w:szCs w:val="20"/>
                <w:lang w:val="es-MX"/>
              </w:rPr>
              <w:t xml:space="preserve"> corto y mediano plazo se busca promover la </w:t>
            </w:r>
            <w:r w:rsidRPr="009A27ED">
              <w:rPr>
                <w:rFonts w:ascii="Calibri" w:eastAsia="Calibri" w:hAnsi="Calibri" w:cs="Calibri"/>
                <w:sz w:val="20"/>
                <w:szCs w:val="20"/>
                <w:lang w:val="es-MX"/>
              </w:rPr>
              <w:lastRenderedPageBreak/>
              <w:t>Intensificación de la ganadería mediante sistemas silvopastoriles (Incorporación de árboles en fincas ganaderas) e intensificación de la agricultura sostenible a través de sistemas de agroforestales (SAF cacao-café).</w:t>
            </w:r>
          </w:p>
        </w:tc>
      </w:tr>
      <w:tr w:rsidR="0028451D" w:rsidRPr="009A27ED" w14:paraId="579758A8" w14:textId="01FF3AC2" w:rsidTr="005C2EAE">
        <w:tc>
          <w:tcPr>
            <w:tcW w:w="2340" w:type="dxa"/>
            <w:vMerge/>
          </w:tcPr>
          <w:p w14:paraId="1BCAC931" w14:textId="77777777" w:rsidR="0028451D" w:rsidRPr="009A27ED" w:rsidRDefault="0028451D" w:rsidP="0028451D">
            <w:pPr>
              <w:rPr>
                <w:rFonts w:ascii="Calibri" w:eastAsia="Calibri" w:hAnsi="Calibri" w:cs="Calibri"/>
                <w:sz w:val="20"/>
                <w:szCs w:val="20"/>
              </w:rPr>
            </w:pPr>
          </w:p>
        </w:tc>
        <w:tc>
          <w:tcPr>
            <w:tcW w:w="2641" w:type="dxa"/>
          </w:tcPr>
          <w:p w14:paraId="4D95293A" w14:textId="77777777" w:rsidR="0028451D" w:rsidRPr="009A27ED" w:rsidRDefault="0028451D" w:rsidP="008C6671">
            <w:pPr>
              <w:numPr>
                <w:ilvl w:val="1"/>
                <w:numId w:val="3"/>
              </w:numPr>
              <w:contextualSpacing/>
              <w:jc w:val="left"/>
              <w:rPr>
                <w:rFonts w:ascii="Calibri" w:eastAsia="Calibri" w:hAnsi="Calibri" w:cs="Calibri"/>
                <w:sz w:val="20"/>
                <w:szCs w:val="20"/>
              </w:rPr>
            </w:pPr>
            <w:r w:rsidRPr="009A27ED">
              <w:rPr>
                <w:rFonts w:ascii="Calibri" w:eastAsia="Calibri" w:hAnsi="Calibri" w:cs="Calibri"/>
                <w:sz w:val="20"/>
                <w:szCs w:val="20"/>
              </w:rPr>
              <w:t>Desarrollar programas de sensibilización y concienciación de actores claves en temas de gestión ambiental y manejo sostenible de los bosques.</w:t>
            </w:r>
          </w:p>
        </w:tc>
        <w:tc>
          <w:tcPr>
            <w:tcW w:w="2102" w:type="dxa"/>
          </w:tcPr>
          <w:p w14:paraId="08C61275" w14:textId="1E353BEC" w:rsidR="0028451D" w:rsidRPr="009A27ED" w:rsidRDefault="0028451D" w:rsidP="0028451D">
            <w:pPr>
              <w:rPr>
                <w:rFonts w:ascii="Calibri" w:eastAsia="Calibri" w:hAnsi="Calibri" w:cs="Calibri"/>
                <w:b/>
                <w:sz w:val="20"/>
                <w:szCs w:val="20"/>
              </w:rPr>
            </w:pPr>
            <w:r w:rsidRPr="009A27ED">
              <w:rPr>
                <w:rFonts w:ascii="Calibri" w:eastAsia="Calibri" w:hAnsi="Calibri" w:cs="Calibri"/>
                <w:sz w:val="20"/>
                <w:szCs w:val="20"/>
                <w:lang w:val="es-MX"/>
              </w:rPr>
              <w:t>Manejo y uso insostenible de las tierras forestales</w:t>
            </w:r>
          </w:p>
        </w:tc>
        <w:tc>
          <w:tcPr>
            <w:tcW w:w="5528" w:type="dxa"/>
          </w:tcPr>
          <w:p w14:paraId="6E5B7A66" w14:textId="3456188C" w:rsidR="0028451D" w:rsidRPr="009A27ED" w:rsidRDefault="0028451D" w:rsidP="008C6671">
            <w:pPr>
              <w:rPr>
                <w:rFonts w:ascii="Calibri" w:eastAsia="Calibri" w:hAnsi="Calibri" w:cs="Calibri"/>
                <w:sz w:val="20"/>
                <w:szCs w:val="20"/>
              </w:rPr>
            </w:pPr>
            <w:r w:rsidRPr="009A27ED">
              <w:rPr>
                <w:rFonts w:ascii="Calibri" w:eastAsia="Calibri" w:hAnsi="Calibri" w:cs="Calibri"/>
                <w:b/>
                <w:sz w:val="20"/>
                <w:szCs w:val="20"/>
              </w:rPr>
              <w:t xml:space="preserve">Acción Facilitadora: </w:t>
            </w:r>
            <w:r w:rsidRPr="009A27ED">
              <w:rPr>
                <w:rFonts w:ascii="Calibri" w:eastAsia="Calibri" w:hAnsi="Calibri" w:cs="Calibri"/>
                <w:sz w:val="20"/>
                <w:szCs w:val="20"/>
              </w:rPr>
              <w:t xml:space="preserve">Esta </w:t>
            </w:r>
            <w:r w:rsidRPr="009A27ED">
              <w:rPr>
                <w:rFonts w:ascii="Calibri" w:eastAsia="Calibri" w:hAnsi="Calibri" w:cs="Calibri"/>
                <w:sz w:val="20"/>
                <w:szCs w:val="20"/>
                <w:lang w:val="es-DO"/>
              </w:rPr>
              <w:t xml:space="preserve">acción consiste en campañas de sensibilización, difusión y educación ambiental para propiciar el manejo y conservación de recursos forestales. Estará dirigida a un público diverso, incluyendo servidores públicos y privados, y en especial a las comunidades rurales. Se propone informar y educar acerca del valor e importancia de los bosques y los servicios que éstos brindan. Asimismo, se propone informar y capacitar a la ciudadanía respecto de las ventajas y beneficios de las buenas prácticas de manejo de los recursos naturales. El programa contemplará actividades de educación, difusión y sensibilización, tales como talleres y charlas para usuarios/propietarios de la tierra, comunitarios y agrupaciones sociales, giras educativas y generación de material de difusión y comunicación, dirigido a los diversos sectores de la sociedad. </w:t>
            </w:r>
            <w:r w:rsidRPr="009A27ED">
              <w:rPr>
                <w:rFonts w:ascii="Calibri" w:eastAsia="Calibri" w:hAnsi="Calibri" w:cs="Calibri"/>
                <w:bCs/>
                <w:sz w:val="20"/>
                <w:szCs w:val="20"/>
              </w:rPr>
              <w:t xml:space="preserve">A corto y plazo se procura </w:t>
            </w:r>
            <w:r w:rsidRPr="009A27ED">
              <w:rPr>
                <w:rFonts w:ascii="Calibri" w:eastAsia="Calibri" w:hAnsi="Calibri" w:cs="Calibri"/>
                <w:sz w:val="20"/>
                <w:szCs w:val="20"/>
                <w:lang w:val="es-MX"/>
              </w:rPr>
              <w:t>establecer un programa de capacitación y sensibilización en temas de gestión ambiental y manejo sostenible de los bosques: cursos de capacitación, talleres, intercambios de experiencias, días de campo, y campañas de difusión.</w:t>
            </w:r>
          </w:p>
        </w:tc>
      </w:tr>
      <w:tr w:rsidR="0028451D" w:rsidRPr="009A27ED" w14:paraId="63F0E9F6" w14:textId="7114C5D9" w:rsidTr="005C2EAE">
        <w:tc>
          <w:tcPr>
            <w:tcW w:w="2340" w:type="dxa"/>
            <w:vMerge/>
          </w:tcPr>
          <w:p w14:paraId="64310F47" w14:textId="77777777" w:rsidR="0028451D" w:rsidRPr="009A27ED" w:rsidRDefault="0028451D" w:rsidP="0028451D">
            <w:pPr>
              <w:rPr>
                <w:rFonts w:ascii="Calibri" w:eastAsia="Calibri" w:hAnsi="Calibri" w:cs="Calibri"/>
                <w:sz w:val="20"/>
                <w:szCs w:val="20"/>
              </w:rPr>
            </w:pPr>
          </w:p>
        </w:tc>
        <w:tc>
          <w:tcPr>
            <w:tcW w:w="2641" w:type="dxa"/>
          </w:tcPr>
          <w:p w14:paraId="4924065C" w14:textId="77777777" w:rsidR="0028451D" w:rsidRPr="009A27ED" w:rsidRDefault="0028451D" w:rsidP="008C6671">
            <w:pPr>
              <w:numPr>
                <w:ilvl w:val="1"/>
                <w:numId w:val="3"/>
              </w:numPr>
              <w:contextualSpacing/>
              <w:jc w:val="left"/>
              <w:rPr>
                <w:rFonts w:ascii="Calibri" w:eastAsia="Calibri" w:hAnsi="Calibri" w:cs="Calibri"/>
                <w:sz w:val="20"/>
                <w:szCs w:val="20"/>
              </w:rPr>
            </w:pPr>
            <w:r w:rsidRPr="009A27ED">
              <w:rPr>
                <w:rFonts w:ascii="Calibri" w:eastAsia="Calibri" w:hAnsi="Calibri" w:cs="Calibri"/>
                <w:sz w:val="20"/>
                <w:szCs w:val="20"/>
              </w:rPr>
              <w:t>Disminuir y/o detener la deforestación y la degradación en áreas protegidas relevantes para la conservación de los recursos forestales</w:t>
            </w:r>
          </w:p>
        </w:tc>
        <w:tc>
          <w:tcPr>
            <w:tcW w:w="2102" w:type="dxa"/>
          </w:tcPr>
          <w:p w14:paraId="00870B4C" w14:textId="7B489962" w:rsidR="0028451D" w:rsidRPr="009A27ED" w:rsidRDefault="0028451D" w:rsidP="0028451D">
            <w:pPr>
              <w:rPr>
                <w:rFonts w:ascii="Calibri" w:eastAsia="Calibri" w:hAnsi="Calibri" w:cs="Calibri"/>
                <w:b/>
                <w:sz w:val="20"/>
                <w:szCs w:val="20"/>
              </w:rPr>
            </w:pPr>
            <w:r w:rsidRPr="009A27ED">
              <w:rPr>
                <w:rFonts w:ascii="Calibri" w:eastAsia="Calibri" w:hAnsi="Calibri" w:cs="Calibri"/>
                <w:sz w:val="20"/>
                <w:szCs w:val="20"/>
                <w:lang w:val="es-MX"/>
              </w:rPr>
              <w:t>Presión del crecimiento poblacional en el uso de los recursos naturales</w:t>
            </w:r>
          </w:p>
        </w:tc>
        <w:tc>
          <w:tcPr>
            <w:tcW w:w="5528" w:type="dxa"/>
          </w:tcPr>
          <w:p w14:paraId="6A560A5C" w14:textId="74417B06" w:rsidR="0028451D" w:rsidRPr="009A27ED" w:rsidRDefault="0028451D" w:rsidP="00D6036F">
            <w:pPr>
              <w:rPr>
                <w:rFonts w:ascii="Calibri" w:eastAsia="Calibri" w:hAnsi="Calibri" w:cs="Calibri"/>
                <w:sz w:val="20"/>
                <w:szCs w:val="20"/>
              </w:rPr>
            </w:pPr>
            <w:r w:rsidRPr="009A27ED">
              <w:rPr>
                <w:rFonts w:ascii="Calibri" w:eastAsia="Calibri" w:hAnsi="Calibri" w:cs="Calibri"/>
                <w:b/>
                <w:sz w:val="20"/>
                <w:szCs w:val="20"/>
              </w:rPr>
              <w:t>Acción directa:</w:t>
            </w:r>
            <w:r w:rsidRPr="009A27ED">
              <w:rPr>
                <w:rFonts w:ascii="Calibri" w:eastAsia="Calibri" w:hAnsi="Calibri" w:cs="Calibri"/>
                <w:sz w:val="20"/>
                <w:szCs w:val="20"/>
              </w:rPr>
              <w:t xml:space="preserve"> </w:t>
            </w:r>
            <w:r w:rsidRPr="009A27ED">
              <w:rPr>
                <w:rFonts w:ascii="Calibri" w:eastAsia="Calibri" w:hAnsi="Calibri" w:cs="Calibri"/>
                <w:sz w:val="20"/>
                <w:szCs w:val="20"/>
                <w:lang w:val="es-MX"/>
              </w:rPr>
              <w:t xml:space="preserve">Gran parte de las áreas protegidas del país están sometidas a fuerte presión social para el uso de sus recursos naturales, especialmente el uso de terrenos para fines agrícolas y ganaderos, y la extracción de madera, postes, leña y carbón vegetal. Se considera necesario llevar a cabo acciones que contrarresten tal situación. Para esto se prevé formular e implementar acciones de producción sostenible en las zonas de amortiguamiento de áreas protegidas, entre las que figure la producción de café y cacao bajo sombra. </w:t>
            </w:r>
            <w:proofErr w:type="gramStart"/>
            <w:r w:rsidRPr="009A27ED">
              <w:rPr>
                <w:rFonts w:ascii="Calibri" w:eastAsia="Calibri" w:hAnsi="Calibri" w:cs="Calibri"/>
                <w:sz w:val="20"/>
                <w:szCs w:val="20"/>
                <w:lang w:val="es-MX"/>
              </w:rPr>
              <w:t>Las acciones a implementar</w:t>
            </w:r>
            <w:proofErr w:type="gramEnd"/>
            <w:r w:rsidRPr="009A27ED">
              <w:rPr>
                <w:rFonts w:ascii="Calibri" w:eastAsia="Calibri" w:hAnsi="Calibri" w:cs="Calibri"/>
                <w:sz w:val="20"/>
                <w:szCs w:val="20"/>
                <w:lang w:val="es-MX"/>
              </w:rPr>
              <w:t xml:space="preserve"> proponen diversificar la generación de ingresos en los usuarios locales, a la vez que reduzcan la dependencia del uso de los recursos en el interior de las áreas protegidas. Así, con el </w:t>
            </w:r>
            <w:r w:rsidR="00124B63" w:rsidRPr="009A27ED">
              <w:rPr>
                <w:rFonts w:ascii="Calibri" w:eastAsia="Calibri" w:hAnsi="Calibri" w:cs="Calibri"/>
                <w:sz w:val="20"/>
                <w:szCs w:val="20"/>
                <w:lang w:val="es-MX"/>
              </w:rPr>
              <w:t>Programa REDD+</w:t>
            </w:r>
            <w:r w:rsidR="004211D3" w:rsidRPr="009A27ED">
              <w:rPr>
                <w:rFonts w:ascii="Calibri" w:eastAsia="Calibri" w:hAnsi="Calibri" w:cs="Calibri"/>
                <w:sz w:val="20"/>
                <w:szCs w:val="20"/>
                <w:lang w:val="es-MX"/>
              </w:rPr>
              <w:t xml:space="preserve"> </w:t>
            </w:r>
            <w:r w:rsidRPr="009A27ED">
              <w:rPr>
                <w:rFonts w:ascii="Calibri" w:eastAsia="Calibri" w:hAnsi="Calibri" w:cs="Calibri"/>
                <w:sz w:val="20"/>
                <w:szCs w:val="20"/>
                <w:lang w:val="es-MX"/>
              </w:rPr>
              <w:t xml:space="preserve">se pretende formular e implementar </w:t>
            </w:r>
            <w:r w:rsidR="00D6036F" w:rsidRPr="009A27ED">
              <w:rPr>
                <w:rFonts w:ascii="Calibri" w:eastAsia="Calibri" w:hAnsi="Calibri" w:cs="Calibri"/>
                <w:sz w:val="20"/>
                <w:szCs w:val="20"/>
                <w:lang w:val="es-MX"/>
              </w:rPr>
              <w:t xml:space="preserve">alternativas económicas viables para las comunidades con incidencia en las áreas protegidas y </w:t>
            </w:r>
            <w:r w:rsidRPr="009A27ED">
              <w:rPr>
                <w:rFonts w:ascii="Calibri" w:eastAsia="Calibri" w:hAnsi="Calibri" w:cs="Calibri"/>
                <w:sz w:val="20"/>
                <w:szCs w:val="20"/>
                <w:lang w:val="es-MX"/>
              </w:rPr>
              <w:t xml:space="preserve">acciones de producción sostenible en </w:t>
            </w:r>
            <w:r w:rsidR="00D6036F" w:rsidRPr="009A27ED">
              <w:rPr>
                <w:rFonts w:ascii="Calibri" w:eastAsia="Calibri" w:hAnsi="Calibri" w:cs="Calibri"/>
                <w:sz w:val="20"/>
                <w:szCs w:val="20"/>
                <w:lang w:val="es-MX"/>
              </w:rPr>
              <w:t xml:space="preserve">las </w:t>
            </w:r>
            <w:r w:rsidRPr="009A27ED">
              <w:rPr>
                <w:rFonts w:ascii="Calibri" w:eastAsia="Calibri" w:hAnsi="Calibri" w:cs="Calibri"/>
                <w:sz w:val="20"/>
                <w:szCs w:val="20"/>
                <w:lang w:val="es-MX"/>
              </w:rPr>
              <w:t>zonas de amortiguamiento</w:t>
            </w:r>
            <w:r w:rsidR="00D6036F" w:rsidRPr="009A27ED">
              <w:rPr>
                <w:rFonts w:ascii="Calibri" w:eastAsia="Calibri" w:hAnsi="Calibri" w:cs="Calibri"/>
                <w:sz w:val="20"/>
                <w:szCs w:val="20"/>
                <w:lang w:val="es-MX"/>
              </w:rPr>
              <w:t>,</w:t>
            </w:r>
            <w:r w:rsidRPr="009A27ED">
              <w:rPr>
                <w:rFonts w:ascii="Calibri" w:eastAsia="Calibri" w:hAnsi="Calibri" w:cs="Calibri"/>
                <w:sz w:val="20"/>
                <w:szCs w:val="20"/>
                <w:lang w:val="es-MX"/>
              </w:rPr>
              <w:t xml:space="preserve"> </w:t>
            </w:r>
            <w:r w:rsidR="00D6036F" w:rsidRPr="009A27ED">
              <w:rPr>
                <w:rFonts w:ascii="Calibri" w:eastAsia="Calibri" w:hAnsi="Calibri" w:cs="Calibri"/>
                <w:sz w:val="20"/>
                <w:szCs w:val="20"/>
                <w:lang w:val="es-MX"/>
              </w:rPr>
              <w:t>para</w:t>
            </w:r>
            <w:r w:rsidRPr="009A27ED">
              <w:rPr>
                <w:rFonts w:ascii="Calibri" w:eastAsia="Calibri" w:hAnsi="Calibri" w:cs="Calibri"/>
                <w:sz w:val="20"/>
                <w:szCs w:val="20"/>
                <w:lang w:val="es-MX"/>
              </w:rPr>
              <w:t xml:space="preserve"> así reducir </w:t>
            </w:r>
            <w:r w:rsidR="00D6036F" w:rsidRPr="009A27ED">
              <w:rPr>
                <w:rFonts w:ascii="Calibri" w:eastAsia="Calibri" w:hAnsi="Calibri" w:cs="Calibri"/>
                <w:sz w:val="20"/>
                <w:szCs w:val="20"/>
                <w:lang w:val="es-MX"/>
              </w:rPr>
              <w:t>los impactos negativos en</w:t>
            </w:r>
            <w:r w:rsidRPr="009A27ED">
              <w:rPr>
                <w:rFonts w:ascii="Calibri" w:eastAsia="Calibri" w:hAnsi="Calibri" w:cs="Calibri"/>
                <w:sz w:val="20"/>
                <w:szCs w:val="20"/>
                <w:lang w:val="es-MX"/>
              </w:rPr>
              <w:t xml:space="preserve"> las </w:t>
            </w:r>
            <w:proofErr w:type="spellStart"/>
            <w:r w:rsidRPr="009A27ED">
              <w:rPr>
                <w:rFonts w:ascii="Calibri" w:eastAsia="Calibri" w:hAnsi="Calibri" w:cs="Calibri"/>
                <w:sz w:val="20"/>
                <w:szCs w:val="20"/>
                <w:lang w:val="es-MX"/>
              </w:rPr>
              <w:t>A</w:t>
            </w:r>
            <w:r w:rsidR="00974B5C" w:rsidRPr="009A27ED">
              <w:rPr>
                <w:rFonts w:ascii="Calibri" w:eastAsia="Calibri" w:hAnsi="Calibri" w:cs="Calibri"/>
                <w:sz w:val="20"/>
                <w:szCs w:val="20"/>
                <w:lang w:val="es-MX"/>
              </w:rPr>
              <w:t>p</w:t>
            </w:r>
            <w:r w:rsidRPr="009A27ED">
              <w:rPr>
                <w:rFonts w:ascii="Calibri" w:eastAsia="Calibri" w:hAnsi="Calibri" w:cs="Calibri"/>
                <w:sz w:val="20"/>
                <w:szCs w:val="20"/>
                <w:lang w:val="es-MX"/>
              </w:rPr>
              <w:t>s</w:t>
            </w:r>
            <w:proofErr w:type="spellEnd"/>
            <w:r w:rsidR="00974B5C" w:rsidRPr="009A27ED">
              <w:rPr>
                <w:rFonts w:ascii="Calibri" w:eastAsia="Calibri" w:hAnsi="Calibri" w:cs="Calibri"/>
                <w:sz w:val="20"/>
                <w:szCs w:val="20"/>
                <w:lang w:val="es-MX"/>
              </w:rPr>
              <w:t xml:space="preserve"> y potenciar las oportunidades para los productos y servicios locales en un mercado emergente</w:t>
            </w:r>
            <w:r w:rsidRPr="009A27ED">
              <w:rPr>
                <w:rFonts w:ascii="Calibri" w:eastAsia="Calibri" w:hAnsi="Calibri" w:cs="Calibri"/>
                <w:bCs/>
                <w:sz w:val="20"/>
                <w:szCs w:val="20"/>
                <w:lang w:val="es-MX"/>
              </w:rPr>
              <w:t>.</w:t>
            </w:r>
            <w:r w:rsidR="00F750AB" w:rsidRPr="009A27ED">
              <w:rPr>
                <w:rFonts w:ascii="Calibri" w:eastAsia="Calibri" w:hAnsi="Calibri" w:cs="Calibri"/>
                <w:bCs/>
                <w:sz w:val="20"/>
                <w:szCs w:val="20"/>
                <w:lang w:val="es-MX"/>
              </w:rPr>
              <w:t xml:space="preserve">  Esto se hará siguiendo las alternativas económicas y </w:t>
            </w:r>
            <w:r w:rsidR="00870F3F" w:rsidRPr="009A27ED">
              <w:rPr>
                <w:rFonts w:ascii="Calibri" w:eastAsia="Calibri" w:hAnsi="Calibri" w:cs="Calibri"/>
                <w:bCs/>
                <w:sz w:val="20"/>
                <w:szCs w:val="20"/>
                <w:lang w:val="es-MX"/>
              </w:rPr>
              <w:t>sostenibles contenida</w:t>
            </w:r>
            <w:r w:rsidR="00AC074E" w:rsidRPr="009A27ED">
              <w:rPr>
                <w:rFonts w:ascii="Calibri" w:eastAsia="Calibri" w:hAnsi="Calibri" w:cs="Calibri"/>
                <w:bCs/>
                <w:sz w:val="20"/>
                <w:szCs w:val="20"/>
                <w:lang w:val="es-MX"/>
              </w:rPr>
              <w:t xml:space="preserve"> en la guía </w:t>
            </w:r>
            <w:r w:rsidR="00870F3F" w:rsidRPr="009A27ED">
              <w:rPr>
                <w:rFonts w:ascii="Calibri" w:eastAsia="Calibri" w:hAnsi="Calibri" w:cs="Calibri"/>
                <w:bCs/>
                <w:sz w:val="20"/>
                <w:szCs w:val="20"/>
                <w:lang w:val="es-MX"/>
              </w:rPr>
              <w:t>técnica específica</w:t>
            </w:r>
            <w:r w:rsidR="00AC074E" w:rsidRPr="009A27ED">
              <w:rPr>
                <w:rFonts w:ascii="Calibri" w:eastAsia="Calibri" w:hAnsi="Calibri" w:cs="Calibri"/>
                <w:bCs/>
                <w:sz w:val="20"/>
                <w:szCs w:val="20"/>
                <w:lang w:val="es-MX"/>
              </w:rPr>
              <w:t xml:space="preserve"> para áreas protegidas, así </w:t>
            </w:r>
            <w:r w:rsidR="00CF6669" w:rsidRPr="009A27ED">
              <w:rPr>
                <w:rFonts w:ascii="Calibri" w:eastAsia="Calibri" w:hAnsi="Calibri" w:cs="Calibri"/>
                <w:bCs/>
                <w:sz w:val="20"/>
                <w:szCs w:val="20"/>
                <w:lang w:val="es-MX"/>
              </w:rPr>
              <w:t>como los lineamientos</w:t>
            </w:r>
            <w:r w:rsidR="00AC074E" w:rsidRPr="009A27ED">
              <w:rPr>
                <w:rFonts w:ascii="Calibri" w:eastAsia="Calibri" w:hAnsi="Calibri" w:cs="Calibri"/>
                <w:bCs/>
                <w:sz w:val="20"/>
                <w:szCs w:val="20"/>
                <w:lang w:val="es-MX"/>
              </w:rPr>
              <w:t xml:space="preserve"> del cumplimiento de Las Salvaguardas</w:t>
            </w:r>
            <w:r w:rsidR="00CF6669" w:rsidRPr="009A27ED">
              <w:rPr>
                <w:rFonts w:ascii="Calibri" w:eastAsia="Calibri" w:hAnsi="Calibri" w:cs="Calibri"/>
                <w:bCs/>
                <w:sz w:val="20"/>
                <w:szCs w:val="20"/>
                <w:lang w:val="es-MX"/>
              </w:rPr>
              <w:t>.</w:t>
            </w:r>
          </w:p>
        </w:tc>
      </w:tr>
      <w:tr w:rsidR="0028451D" w:rsidRPr="009A27ED" w14:paraId="0307DD59" w14:textId="543ADE6E" w:rsidTr="005C2EAE">
        <w:tc>
          <w:tcPr>
            <w:tcW w:w="2340" w:type="dxa"/>
            <w:vMerge/>
          </w:tcPr>
          <w:p w14:paraId="2C4C7DDA" w14:textId="77777777" w:rsidR="0028451D" w:rsidRPr="009A27ED" w:rsidRDefault="0028451D" w:rsidP="0028451D">
            <w:pPr>
              <w:rPr>
                <w:rFonts w:ascii="Calibri" w:eastAsia="Calibri" w:hAnsi="Calibri" w:cs="Calibri"/>
                <w:sz w:val="20"/>
                <w:szCs w:val="20"/>
              </w:rPr>
            </w:pPr>
          </w:p>
        </w:tc>
        <w:tc>
          <w:tcPr>
            <w:tcW w:w="2641" w:type="dxa"/>
          </w:tcPr>
          <w:p w14:paraId="0D84EBDD" w14:textId="77777777" w:rsidR="0028451D" w:rsidRPr="009A27ED" w:rsidRDefault="0028451D" w:rsidP="008C6671">
            <w:pPr>
              <w:numPr>
                <w:ilvl w:val="1"/>
                <w:numId w:val="3"/>
              </w:numPr>
              <w:contextualSpacing/>
              <w:rPr>
                <w:rFonts w:ascii="Calibri" w:eastAsia="Calibri" w:hAnsi="Calibri" w:cs="Calibri"/>
                <w:sz w:val="20"/>
                <w:szCs w:val="20"/>
              </w:rPr>
            </w:pPr>
            <w:r w:rsidRPr="009A27ED">
              <w:rPr>
                <w:rFonts w:ascii="Calibri" w:eastAsia="Calibri" w:hAnsi="Calibri" w:cs="Calibri"/>
                <w:sz w:val="20"/>
                <w:szCs w:val="20"/>
              </w:rPr>
              <w:t xml:space="preserve">Fortalecer el programa de protección y vigilancia en áreas protegidas relevantes para la </w:t>
            </w:r>
            <w:r w:rsidRPr="009A27ED">
              <w:rPr>
                <w:rFonts w:ascii="Calibri" w:eastAsia="Calibri" w:hAnsi="Calibri" w:cs="Calibri"/>
                <w:sz w:val="20"/>
                <w:szCs w:val="20"/>
              </w:rPr>
              <w:lastRenderedPageBreak/>
              <w:t xml:space="preserve">conservación de los recursos forestales. </w:t>
            </w:r>
          </w:p>
        </w:tc>
        <w:tc>
          <w:tcPr>
            <w:tcW w:w="2102" w:type="dxa"/>
          </w:tcPr>
          <w:p w14:paraId="57DA01BE" w14:textId="2B313DD6" w:rsidR="0028451D" w:rsidRPr="009A27ED" w:rsidRDefault="0028451D" w:rsidP="0028451D">
            <w:pPr>
              <w:rPr>
                <w:rFonts w:ascii="Calibri" w:eastAsia="Calibri" w:hAnsi="Calibri" w:cs="Calibri"/>
                <w:b/>
                <w:sz w:val="20"/>
                <w:szCs w:val="20"/>
              </w:rPr>
            </w:pPr>
            <w:r w:rsidRPr="009A27ED">
              <w:rPr>
                <w:rFonts w:ascii="Calibri" w:eastAsia="Calibri" w:hAnsi="Calibri" w:cs="Calibri"/>
                <w:sz w:val="20"/>
                <w:szCs w:val="20"/>
                <w:lang w:val="es-MX"/>
              </w:rPr>
              <w:lastRenderedPageBreak/>
              <w:t>Presión del crecimiento poblacional en el uso de los recursos naturales</w:t>
            </w:r>
          </w:p>
        </w:tc>
        <w:tc>
          <w:tcPr>
            <w:tcW w:w="5528" w:type="dxa"/>
          </w:tcPr>
          <w:p w14:paraId="5EAD181C" w14:textId="0F3F97D9" w:rsidR="0028451D" w:rsidRPr="009A27ED" w:rsidRDefault="0028451D" w:rsidP="001C2144">
            <w:pPr>
              <w:rPr>
                <w:rFonts w:ascii="Calibri" w:eastAsia="Calibri" w:hAnsi="Calibri" w:cs="Calibri"/>
                <w:sz w:val="20"/>
                <w:szCs w:val="20"/>
              </w:rPr>
            </w:pPr>
            <w:r w:rsidRPr="009A27ED">
              <w:rPr>
                <w:rFonts w:ascii="Calibri" w:eastAsia="Calibri" w:hAnsi="Calibri" w:cs="Calibri"/>
                <w:b/>
                <w:sz w:val="20"/>
                <w:szCs w:val="20"/>
              </w:rPr>
              <w:t xml:space="preserve">Acción directa: </w:t>
            </w:r>
            <w:r w:rsidRPr="009A27ED">
              <w:rPr>
                <w:rFonts w:ascii="Calibri" w:eastAsia="Calibri" w:hAnsi="Calibri" w:cs="Calibri"/>
                <w:sz w:val="20"/>
                <w:szCs w:val="20"/>
              </w:rPr>
              <w:t xml:space="preserve"> E</w:t>
            </w:r>
            <w:r w:rsidRPr="009A27ED">
              <w:rPr>
                <w:rFonts w:ascii="Calibri" w:eastAsia="Calibri" w:hAnsi="Calibri" w:cs="Calibri"/>
                <w:sz w:val="20"/>
                <w:szCs w:val="20"/>
                <w:lang w:val="es-MX"/>
              </w:rPr>
              <w:t xml:space="preserve">l Viceministerio de Áreas Protegidas y biodiversidad tiene como misión contribuir a la conservación de la biodiversidad en todo el territorio nacional, </w:t>
            </w:r>
            <w:r w:rsidRPr="009A27ED">
              <w:rPr>
                <w:rFonts w:ascii="Calibri" w:eastAsia="Calibri" w:hAnsi="Calibri" w:cs="Calibri"/>
                <w:i/>
                <w:sz w:val="20"/>
                <w:szCs w:val="20"/>
                <w:lang w:val="es-MX"/>
              </w:rPr>
              <w:t>mediante la administración de un sistema nacional de áreas protegidas y la aplicación de normas y regulaciones vigentes</w:t>
            </w:r>
            <w:r w:rsidRPr="009A27ED">
              <w:rPr>
                <w:rFonts w:ascii="Calibri" w:eastAsia="Calibri" w:hAnsi="Calibri" w:cs="Calibri"/>
                <w:sz w:val="20"/>
                <w:szCs w:val="20"/>
                <w:lang w:val="es-MX"/>
              </w:rPr>
              <w:t xml:space="preserve">. El SINAP está conformado por 128 unidades de conservación, abarcando una </w:t>
            </w:r>
            <w:r w:rsidRPr="009A27ED">
              <w:rPr>
                <w:rFonts w:ascii="Calibri" w:eastAsia="Calibri" w:hAnsi="Calibri" w:cs="Calibri"/>
                <w:sz w:val="20"/>
                <w:szCs w:val="20"/>
                <w:lang w:val="es-MX"/>
              </w:rPr>
              <w:lastRenderedPageBreak/>
              <w:t xml:space="preserve">superficie terrestre de 12,442.08 km², equivalentes al </w:t>
            </w:r>
            <w:r w:rsidRPr="009A27ED">
              <w:rPr>
                <w:rFonts w:ascii="Calibri" w:eastAsia="Calibri" w:hAnsi="Calibri" w:cs="Calibri"/>
                <w:i/>
                <w:sz w:val="20"/>
                <w:szCs w:val="20"/>
                <w:lang w:val="es-MX"/>
              </w:rPr>
              <w:t xml:space="preserve">25.81% del territorio nacional. </w:t>
            </w:r>
            <w:r w:rsidRPr="009A27ED">
              <w:rPr>
                <w:rFonts w:ascii="Calibri" w:eastAsia="Calibri" w:hAnsi="Calibri" w:cs="Calibri"/>
                <w:sz w:val="20"/>
                <w:szCs w:val="20"/>
                <w:lang w:val="es-MX"/>
              </w:rPr>
              <w:t>Como</w:t>
            </w:r>
            <w:r w:rsidRPr="009A27ED">
              <w:rPr>
                <w:rFonts w:ascii="Calibri" w:eastAsia="Calibri" w:hAnsi="Calibri" w:cs="Calibri"/>
                <w:i/>
                <w:sz w:val="20"/>
                <w:szCs w:val="20"/>
                <w:lang w:val="es-MX"/>
              </w:rPr>
              <w:t xml:space="preserve"> </w:t>
            </w:r>
            <w:r w:rsidRPr="009A27ED">
              <w:rPr>
                <w:rFonts w:ascii="Calibri" w:eastAsia="Calibri" w:hAnsi="Calibri" w:cs="Calibri"/>
                <w:sz w:val="20"/>
                <w:szCs w:val="20"/>
                <w:lang w:val="es-MX"/>
              </w:rPr>
              <w:t xml:space="preserve">se mencionó en acción 3.4, gran parte de las áreas protegidas del país están sometidas a fuerte presión social para el uso de sus recursos naturales, especialmente el uso de terrenos para fines agrícolas y ganaderos, y la extracción de madera, postes, leña y carbón vegetal. Con el </w:t>
            </w:r>
            <w:r w:rsidR="00124B63" w:rsidRPr="009A27ED">
              <w:rPr>
                <w:rFonts w:ascii="Calibri" w:eastAsia="Calibri" w:hAnsi="Calibri" w:cs="Calibri"/>
                <w:sz w:val="20"/>
                <w:szCs w:val="20"/>
                <w:lang w:val="es-MX"/>
              </w:rPr>
              <w:t>Programa REDD+</w:t>
            </w:r>
            <w:r w:rsidR="00AA4A56" w:rsidRPr="009A27ED">
              <w:rPr>
                <w:rFonts w:ascii="Calibri" w:eastAsia="Calibri" w:hAnsi="Calibri" w:cs="Calibri"/>
                <w:sz w:val="20"/>
                <w:szCs w:val="20"/>
                <w:lang w:val="es-MX"/>
              </w:rPr>
              <w:t xml:space="preserve"> </w:t>
            </w:r>
            <w:r w:rsidRPr="009A27ED">
              <w:rPr>
                <w:rFonts w:ascii="Calibri" w:eastAsia="Calibri" w:hAnsi="Calibri" w:cs="Calibri"/>
                <w:sz w:val="20"/>
                <w:szCs w:val="20"/>
                <w:lang w:val="es-MX"/>
              </w:rPr>
              <w:t xml:space="preserve">se propone fortalecer el programa de protección y vigilancia en áreas protegidas relevantes para la conservación de los recursos forestales, para lo cual se trabajará en el desarrollo y ejecución de </w:t>
            </w:r>
            <w:r w:rsidR="001C2144" w:rsidRPr="009A27ED">
              <w:rPr>
                <w:rFonts w:ascii="Calibri" w:eastAsia="Calibri" w:hAnsi="Calibri" w:cs="Calibri"/>
                <w:sz w:val="20"/>
                <w:szCs w:val="20"/>
                <w:lang w:val="es-MX"/>
              </w:rPr>
              <w:t xml:space="preserve">acciones </w:t>
            </w:r>
            <w:r w:rsidRPr="009A27ED">
              <w:rPr>
                <w:rFonts w:ascii="Calibri" w:eastAsia="Calibri" w:hAnsi="Calibri" w:cs="Calibri"/>
                <w:sz w:val="20"/>
                <w:szCs w:val="20"/>
                <w:lang w:val="es-MX"/>
              </w:rPr>
              <w:t xml:space="preserve">con los actores involucrados y reforzamiento del </w:t>
            </w:r>
            <w:r w:rsidRPr="009A27ED">
              <w:rPr>
                <w:rFonts w:ascii="Calibri" w:eastAsia="Calibri" w:hAnsi="Calibri" w:cs="Calibri"/>
                <w:i/>
                <w:sz w:val="20"/>
                <w:szCs w:val="20"/>
                <w:lang w:val="es-MX"/>
              </w:rPr>
              <w:t>Cuerpo Nacional de Guardaparques</w:t>
            </w:r>
            <w:r w:rsidRPr="009A27ED">
              <w:rPr>
                <w:rFonts w:ascii="Calibri" w:eastAsia="Calibri" w:hAnsi="Calibri" w:cs="Calibri"/>
                <w:sz w:val="20"/>
                <w:szCs w:val="20"/>
                <w:lang w:val="es-MX"/>
              </w:rPr>
              <w:t>, a fin de prevenir la deforestación y degradación de los bosques contenidos en las áreas protegidas del país. Para esto se definirán acciones para armonizar, con los usuarios, modalidades y alternativas de uso que eviten la deforestación y la degradación de los bosques en el interior de las referidas áreas.</w:t>
            </w:r>
            <w:r w:rsidR="00F94FC7" w:rsidRPr="009A27ED">
              <w:rPr>
                <w:rFonts w:ascii="Calibri" w:eastAsia="Calibri" w:hAnsi="Calibri" w:cs="Calibri"/>
                <w:sz w:val="20"/>
                <w:szCs w:val="20"/>
                <w:lang w:val="es-MX"/>
              </w:rPr>
              <w:t xml:space="preserve"> Esto se hará siguiendo las alternativas económicas y sostenibles contenida en la guía técnica específica para áreas protegidas, así como los lineamientos del cumplimiento de Las Salvaguardas.</w:t>
            </w:r>
          </w:p>
        </w:tc>
      </w:tr>
      <w:tr w:rsidR="0028451D" w:rsidRPr="009A27ED" w14:paraId="76CC8F9F" w14:textId="09FFD41B" w:rsidTr="005C2EAE">
        <w:tc>
          <w:tcPr>
            <w:tcW w:w="2340" w:type="dxa"/>
            <w:vMerge/>
          </w:tcPr>
          <w:p w14:paraId="5FC35B0C" w14:textId="77777777" w:rsidR="0028451D" w:rsidRPr="009A27ED" w:rsidRDefault="0028451D" w:rsidP="0028451D">
            <w:pPr>
              <w:rPr>
                <w:rFonts w:ascii="Calibri" w:eastAsia="Calibri" w:hAnsi="Calibri" w:cs="Calibri"/>
                <w:sz w:val="20"/>
                <w:szCs w:val="20"/>
              </w:rPr>
            </w:pPr>
          </w:p>
        </w:tc>
        <w:tc>
          <w:tcPr>
            <w:tcW w:w="2641" w:type="dxa"/>
          </w:tcPr>
          <w:p w14:paraId="6488D2A5" w14:textId="77777777" w:rsidR="0028451D" w:rsidRPr="009A27ED" w:rsidRDefault="0028451D" w:rsidP="008C6671">
            <w:pPr>
              <w:numPr>
                <w:ilvl w:val="1"/>
                <w:numId w:val="3"/>
              </w:numPr>
              <w:contextualSpacing/>
              <w:jc w:val="left"/>
              <w:rPr>
                <w:rFonts w:ascii="Calibri" w:eastAsia="Calibri" w:hAnsi="Calibri" w:cs="Calibri"/>
                <w:sz w:val="20"/>
                <w:szCs w:val="20"/>
              </w:rPr>
            </w:pPr>
            <w:r w:rsidRPr="009A27ED">
              <w:rPr>
                <w:rFonts w:ascii="Calibri" w:eastAsia="Calibri" w:hAnsi="Calibri" w:cs="Calibri"/>
                <w:sz w:val="20"/>
                <w:szCs w:val="20"/>
              </w:rPr>
              <w:t>Rehabilitar ecosistemas forestales en zonas frágiles relevantes para facilitar la conectividad entre los fragmentos de bosques.</w:t>
            </w:r>
          </w:p>
        </w:tc>
        <w:tc>
          <w:tcPr>
            <w:tcW w:w="2102" w:type="dxa"/>
          </w:tcPr>
          <w:p w14:paraId="1B1E10B0" w14:textId="77777777" w:rsidR="0028451D" w:rsidRPr="009A27ED" w:rsidRDefault="0028451D" w:rsidP="008C6671">
            <w:pPr>
              <w:jc w:val="left"/>
              <w:rPr>
                <w:rFonts w:ascii="Calibri" w:eastAsia="Calibri" w:hAnsi="Calibri" w:cs="Calibri"/>
                <w:sz w:val="20"/>
                <w:szCs w:val="20"/>
                <w:lang w:val="es-MX"/>
              </w:rPr>
            </w:pPr>
            <w:r w:rsidRPr="009A27ED">
              <w:rPr>
                <w:rFonts w:ascii="Calibri" w:eastAsia="Calibri" w:hAnsi="Calibri" w:cs="Calibri"/>
                <w:sz w:val="20"/>
                <w:szCs w:val="20"/>
                <w:lang w:val="es-MX"/>
              </w:rPr>
              <w:t>Manejo y uso insostenible de las tierras para producción agrícola</w:t>
            </w:r>
          </w:p>
          <w:p w14:paraId="6B72F086" w14:textId="77777777" w:rsidR="0028451D" w:rsidRPr="009A27ED" w:rsidRDefault="0028451D" w:rsidP="008C6671">
            <w:pPr>
              <w:rPr>
                <w:rFonts w:ascii="Calibri" w:eastAsia="Calibri" w:hAnsi="Calibri" w:cs="Calibri"/>
                <w:sz w:val="20"/>
                <w:szCs w:val="20"/>
                <w:lang w:val="es-MX"/>
              </w:rPr>
            </w:pPr>
          </w:p>
          <w:p w14:paraId="4932ECB6" w14:textId="3382348C" w:rsidR="0028451D" w:rsidRPr="009A27ED" w:rsidRDefault="0028451D" w:rsidP="0028451D">
            <w:pPr>
              <w:ind w:left="3"/>
              <w:rPr>
                <w:rFonts w:ascii="Calibri" w:eastAsia="Calibri" w:hAnsi="Calibri" w:cs="Calibri"/>
                <w:b/>
                <w:sz w:val="20"/>
                <w:szCs w:val="20"/>
              </w:rPr>
            </w:pPr>
            <w:r w:rsidRPr="009A27ED">
              <w:rPr>
                <w:rFonts w:ascii="Calibri" w:eastAsia="Calibri" w:hAnsi="Calibri" w:cs="Calibri"/>
                <w:sz w:val="20"/>
                <w:szCs w:val="20"/>
                <w:lang w:val="es-MX"/>
              </w:rPr>
              <w:t>Manejo y uso insostenible de las tierras para producción ganadera</w:t>
            </w:r>
          </w:p>
        </w:tc>
        <w:tc>
          <w:tcPr>
            <w:tcW w:w="5528" w:type="dxa"/>
          </w:tcPr>
          <w:p w14:paraId="7005FB60" w14:textId="1EBA583F" w:rsidR="0028451D" w:rsidRPr="009A27ED" w:rsidRDefault="0028451D" w:rsidP="00874FCA">
            <w:pPr>
              <w:ind w:left="3"/>
              <w:rPr>
                <w:rFonts w:ascii="Calibri" w:eastAsia="Calibri" w:hAnsi="Calibri" w:cs="Calibri"/>
                <w:sz w:val="20"/>
                <w:szCs w:val="20"/>
              </w:rPr>
            </w:pPr>
            <w:r w:rsidRPr="009A27ED">
              <w:rPr>
                <w:rFonts w:ascii="Calibri" w:eastAsia="Calibri" w:hAnsi="Calibri" w:cs="Calibri"/>
                <w:b/>
                <w:sz w:val="20"/>
                <w:szCs w:val="20"/>
              </w:rPr>
              <w:t xml:space="preserve">Acción: </w:t>
            </w:r>
            <w:r w:rsidRPr="009A27ED">
              <w:rPr>
                <w:rFonts w:ascii="Calibri" w:eastAsia="Calibri" w:hAnsi="Calibri" w:cs="Calibri"/>
                <w:sz w:val="20"/>
                <w:szCs w:val="20"/>
              </w:rPr>
              <w:t>A nivel nacional</w:t>
            </w:r>
            <w:r w:rsidRPr="009A27ED">
              <w:rPr>
                <w:rFonts w:ascii="Calibri" w:eastAsia="Calibri" w:hAnsi="Calibri" w:cs="Calibri"/>
                <w:b/>
                <w:sz w:val="20"/>
                <w:szCs w:val="20"/>
              </w:rPr>
              <w:t xml:space="preserve">, </w:t>
            </w:r>
            <w:r w:rsidRPr="009A27ED">
              <w:rPr>
                <w:rFonts w:ascii="Calibri" w:eastAsia="Calibri" w:hAnsi="Calibri" w:cs="Calibri"/>
                <w:sz w:val="20"/>
                <w:szCs w:val="20"/>
              </w:rPr>
              <w:t xml:space="preserve">varios ecosistemas naturales están afectados por la fragmentación de sus hábitats. </w:t>
            </w:r>
            <w:r w:rsidRPr="009A27ED">
              <w:rPr>
                <w:rFonts w:ascii="Calibri" w:eastAsia="Calibri" w:hAnsi="Calibri" w:cs="Calibri"/>
                <w:sz w:val="20"/>
                <w:szCs w:val="20"/>
                <w:lang w:val="es-MX"/>
              </w:rPr>
              <w:t xml:space="preserve">Los componentes de reforestación social con participación comunitaria, la creación de bosques de uso múltiple y la recuperación de áreas naturales, nacionales y municipales, constituyen un gran potencial del </w:t>
            </w:r>
            <w:r w:rsidR="00874FCA" w:rsidRPr="009A27ED">
              <w:rPr>
                <w:rFonts w:ascii="Calibri" w:eastAsia="Calibri" w:hAnsi="Calibri" w:cs="Calibri"/>
                <w:sz w:val="20"/>
                <w:szCs w:val="20"/>
                <w:lang w:val="es-MX"/>
              </w:rPr>
              <w:t xml:space="preserve">PNR </w:t>
            </w:r>
            <w:r w:rsidRPr="009A27ED">
              <w:rPr>
                <w:rFonts w:ascii="Calibri" w:eastAsia="Calibri" w:hAnsi="Calibri" w:cs="Calibri"/>
                <w:sz w:val="20"/>
                <w:szCs w:val="20"/>
                <w:lang w:val="es-MX"/>
              </w:rPr>
              <w:t xml:space="preserve">para mejorar la conectividad del paisaje. La </w:t>
            </w:r>
            <w:r w:rsidRPr="009A27ED">
              <w:rPr>
                <w:rFonts w:ascii="Calibri" w:eastAsia="Calibri" w:hAnsi="Calibri" w:cs="Calibri"/>
                <w:sz w:val="20"/>
                <w:szCs w:val="20"/>
              </w:rPr>
              <w:t xml:space="preserve">rehabilitación de ecosistemas forestales en zonas frágiles se deberá llevar a cabo con involucramiento de usuarios/propietarios de tierra y organizaciones locales. El fomento de la regeneración natural será uno de los esfuerzos principales para el logro de esta acción. </w:t>
            </w:r>
            <w:r w:rsidRPr="009A27ED">
              <w:rPr>
                <w:rFonts w:ascii="Calibri" w:eastAsia="Calibri" w:hAnsi="Calibri" w:cs="Calibri"/>
                <w:sz w:val="20"/>
                <w:szCs w:val="20"/>
                <w:lang w:val="es-MX"/>
              </w:rPr>
              <w:t xml:space="preserve">Con el </w:t>
            </w:r>
            <w:r w:rsidR="00124B63" w:rsidRPr="009A27ED">
              <w:rPr>
                <w:rFonts w:ascii="Calibri" w:eastAsia="Calibri" w:hAnsi="Calibri" w:cs="Calibri"/>
                <w:sz w:val="20"/>
                <w:szCs w:val="20"/>
                <w:lang w:val="es-MX"/>
              </w:rPr>
              <w:t xml:space="preserve">Programa </w:t>
            </w:r>
            <w:proofErr w:type="spellStart"/>
            <w:r w:rsidR="00124B63" w:rsidRPr="009A27ED">
              <w:rPr>
                <w:rFonts w:ascii="Calibri" w:eastAsia="Calibri" w:hAnsi="Calibri" w:cs="Calibri"/>
                <w:sz w:val="20"/>
                <w:szCs w:val="20"/>
                <w:lang w:val="es-MX"/>
              </w:rPr>
              <w:t>REDD+</w:t>
            </w:r>
            <w:r w:rsidRPr="009A27ED">
              <w:rPr>
                <w:rFonts w:ascii="Calibri" w:eastAsia="Calibri" w:hAnsi="Calibri" w:cs="Calibri"/>
                <w:sz w:val="20"/>
                <w:szCs w:val="20"/>
                <w:lang w:val="es-MX"/>
              </w:rPr>
              <w:t>a</w:t>
            </w:r>
            <w:proofErr w:type="spellEnd"/>
            <w:r w:rsidRPr="009A27ED">
              <w:rPr>
                <w:rFonts w:ascii="Calibri" w:eastAsia="Calibri" w:hAnsi="Calibri" w:cs="Calibri"/>
                <w:sz w:val="20"/>
                <w:szCs w:val="20"/>
                <w:lang w:val="es-MX"/>
              </w:rPr>
              <w:t xml:space="preserve"> corto plazo se pretende repoblar zonas frágiles con especies arbóreas, promover la regeneración natural, y proteger la cobertura forestal.</w:t>
            </w:r>
          </w:p>
        </w:tc>
      </w:tr>
      <w:tr w:rsidR="0028451D" w:rsidRPr="009A27ED" w14:paraId="680F2C72" w14:textId="50C36662" w:rsidTr="005C2EAE">
        <w:tc>
          <w:tcPr>
            <w:tcW w:w="2340" w:type="dxa"/>
            <w:vMerge/>
          </w:tcPr>
          <w:p w14:paraId="20AEB369" w14:textId="77777777" w:rsidR="0028451D" w:rsidRPr="009A27ED" w:rsidRDefault="0028451D" w:rsidP="0028451D">
            <w:pPr>
              <w:rPr>
                <w:rFonts w:ascii="Calibri" w:eastAsia="Calibri" w:hAnsi="Calibri" w:cs="Calibri"/>
                <w:sz w:val="20"/>
                <w:szCs w:val="20"/>
              </w:rPr>
            </w:pPr>
          </w:p>
        </w:tc>
        <w:tc>
          <w:tcPr>
            <w:tcW w:w="2641" w:type="dxa"/>
          </w:tcPr>
          <w:p w14:paraId="6925854E" w14:textId="77777777" w:rsidR="0028451D" w:rsidRPr="009A27ED" w:rsidRDefault="0028451D" w:rsidP="0028451D">
            <w:pPr>
              <w:numPr>
                <w:ilvl w:val="1"/>
                <w:numId w:val="3"/>
              </w:numPr>
              <w:spacing w:after="0"/>
              <w:contextualSpacing/>
              <w:jc w:val="left"/>
              <w:rPr>
                <w:rFonts w:ascii="Calibri" w:eastAsia="Calibri" w:hAnsi="Calibri" w:cs="Calibri"/>
                <w:sz w:val="20"/>
                <w:szCs w:val="20"/>
              </w:rPr>
            </w:pPr>
            <w:r w:rsidRPr="009A27ED">
              <w:rPr>
                <w:rFonts w:ascii="Calibri" w:eastAsia="Calibri" w:hAnsi="Calibri" w:cs="Calibri"/>
                <w:sz w:val="20"/>
                <w:szCs w:val="20"/>
              </w:rPr>
              <w:t>Establecer un sistema de evaluación y monitoreo de la gestión forestal.</w:t>
            </w:r>
          </w:p>
        </w:tc>
        <w:tc>
          <w:tcPr>
            <w:tcW w:w="2102" w:type="dxa"/>
          </w:tcPr>
          <w:p w14:paraId="158735CC" w14:textId="2526C00B" w:rsidR="0028451D" w:rsidRPr="009A27ED" w:rsidRDefault="0028451D" w:rsidP="0028451D">
            <w:pPr>
              <w:rPr>
                <w:rFonts w:ascii="Calibri" w:eastAsia="Calibri" w:hAnsi="Calibri" w:cs="Calibri"/>
                <w:b/>
                <w:sz w:val="20"/>
                <w:szCs w:val="20"/>
              </w:rPr>
            </w:pPr>
            <w:r w:rsidRPr="009A27ED">
              <w:rPr>
                <w:rFonts w:ascii="Calibri" w:eastAsia="Calibri" w:hAnsi="Calibri" w:cs="Calibri"/>
                <w:sz w:val="20"/>
                <w:szCs w:val="20"/>
                <w:lang w:val="es-MX"/>
              </w:rPr>
              <w:t>Debilidad institucional para una gestión forestal sostenible</w:t>
            </w:r>
          </w:p>
        </w:tc>
        <w:tc>
          <w:tcPr>
            <w:tcW w:w="5528" w:type="dxa"/>
          </w:tcPr>
          <w:p w14:paraId="5F77EA16" w14:textId="3814641C" w:rsidR="0028451D" w:rsidRPr="009A27ED" w:rsidRDefault="0028451D" w:rsidP="004A4289">
            <w:pPr>
              <w:rPr>
                <w:rFonts w:ascii="Calibri" w:eastAsia="Calibri" w:hAnsi="Calibri" w:cs="Calibri"/>
                <w:sz w:val="20"/>
                <w:szCs w:val="20"/>
              </w:rPr>
            </w:pPr>
            <w:r w:rsidRPr="009A27ED">
              <w:rPr>
                <w:rFonts w:ascii="Calibri" w:eastAsia="Calibri" w:hAnsi="Calibri" w:cs="Calibri"/>
                <w:b/>
                <w:sz w:val="20"/>
                <w:szCs w:val="20"/>
              </w:rPr>
              <w:t>Acción Facilitadora</w:t>
            </w:r>
            <w:r w:rsidRPr="009A27ED">
              <w:rPr>
                <w:rFonts w:ascii="Calibri" w:eastAsia="Calibri" w:hAnsi="Calibri" w:cs="Calibri"/>
                <w:sz w:val="20"/>
                <w:szCs w:val="20"/>
              </w:rPr>
              <w:t xml:space="preserve">: </w:t>
            </w:r>
            <w:r w:rsidRPr="009A27ED">
              <w:rPr>
                <w:rFonts w:ascii="Calibri" w:eastAsia="Calibri" w:hAnsi="Calibri" w:cs="Calibri"/>
                <w:sz w:val="20"/>
                <w:szCs w:val="20"/>
                <w:lang w:val="es-MX"/>
              </w:rPr>
              <w:t>Esta acción considera la generación de capacidades técnicas para monitorear los recursos forestales y no-forestales integral, que incluyen monitoreo de uso de suelo y sus cambios, degradación de bosques y estimación de emisiones de GHG por los procesos de cambio de uso de suelos, incendios forestales y otros fenómenos naturales o antropogénicos. El sistema deberá generar estimaciones que permitan determinar, con la mayor exactitud posible, las emisiones de GHG generadas. El país cuenta con la estrategia Nacional de Manejo del Fuego 2016-2025, que deber ser fortalecida en su aplicación. A corto plazo se pretende estimar las emisiones de G</w:t>
            </w:r>
            <w:r w:rsidR="003962C9" w:rsidRPr="009A27ED">
              <w:rPr>
                <w:rFonts w:ascii="Calibri" w:eastAsia="Calibri" w:hAnsi="Calibri" w:cs="Calibri"/>
                <w:sz w:val="20"/>
                <w:szCs w:val="20"/>
                <w:lang w:val="es-MX"/>
              </w:rPr>
              <w:t>EI</w:t>
            </w:r>
            <w:r w:rsidRPr="009A27ED">
              <w:rPr>
                <w:rFonts w:ascii="Calibri" w:eastAsia="Calibri" w:hAnsi="Calibri" w:cs="Calibri"/>
                <w:sz w:val="20"/>
                <w:szCs w:val="20"/>
                <w:lang w:val="es-MX"/>
              </w:rPr>
              <w:t xml:space="preserve"> por incendios forestales, analizando entre 10%-50% de los incendios anuales. El sistema también deberá mejorar la trazabilidad de los procesos que tienen que ver con l</w:t>
            </w:r>
            <w:r w:rsidR="00B03A2E" w:rsidRPr="009A27ED">
              <w:rPr>
                <w:rFonts w:ascii="Calibri" w:eastAsia="Calibri" w:hAnsi="Calibri" w:cs="Calibri"/>
                <w:sz w:val="20"/>
                <w:szCs w:val="20"/>
                <w:lang w:val="es-MX"/>
              </w:rPr>
              <w:t>os</w:t>
            </w:r>
            <w:r w:rsidRPr="009A27ED">
              <w:rPr>
                <w:rFonts w:ascii="Calibri" w:eastAsia="Calibri" w:hAnsi="Calibri" w:cs="Calibri"/>
                <w:sz w:val="20"/>
                <w:szCs w:val="20"/>
                <w:lang w:val="es-MX"/>
              </w:rPr>
              <w:t xml:space="preserve"> permisos, autorizaciones y certificaciones de la gestión forestal. Esto incluye aspectos sociales, ambientales, legales, control de calidad, manejo y monitoreo. </w:t>
            </w:r>
            <w:r w:rsidRPr="009A27ED">
              <w:rPr>
                <w:rFonts w:ascii="Calibri" w:eastAsia="Calibri" w:hAnsi="Calibri" w:cs="Calibri"/>
                <w:sz w:val="20"/>
                <w:szCs w:val="20"/>
                <w:lang w:val="en-US"/>
              </w:rPr>
              <w:t xml:space="preserve">Los </w:t>
            </w:r>
            <w:proofErr w:type="spellStart"/>
            <w:r w:rsidRPr="009A27ED">
              <w:rPr>
                <w:rFonts w:ascii="Calibri" w:eastAsia="Calibri" w:hAnsi="Calibri" w:cs="Calibri"/>
                <w:sz w:val="20"/>
                <w:szCs w:val="20"/>
                <w:lang w:val="en-US"/>
              </w:rPr>
              <w:t>estándares</w:t>
            </w:r>
            <w:proofErr w:type="spellEnd"/>
            <w:r w:rsidRPr="009A27ED">
              <w:rPr>
                <w:rFonts w:ascii="Calibri" w:eastAsia="Calibri" w:hAnsi="Calibri" w:cs="Calibri"/>
                <w:sz w:val="20"/>
                <w:szCs w:val="20"/>
                <w:lang w:val="en-US"/>
              </w:rPr>
              <w:t xml:space="preserve"> que </w:t>
            </w:r>
            <w:proofErr w:type="spellStart"/>
            <w:r w:rsidRPr="009A27ED">
              <w:rPr>
                <w:rFonts w:ascii="Calibri" w:eastAsia="Calibri" w:hAnsi="Calibri" w:cs="Calibri"/>
                <w:sz w:val="20"/>
                <w:szCs w:val="20"/>
                <w:lang w:val="en-US"/>
              </w:rPr>
              <w:t>pueden</w:t>
            </w:r>
            <w:proofErr w:type="spellEnd"/>
            <w:r w:rsidRPr="009A27ED">
              <w:rPr>
                <w:rFonts w:ascii="Calibri" w:eastAsia="Calibri" w:hAnsi="Calibri" w:cs="Calibri"/>
                <w:sz w:val="20"/>
                <w:szCs w:val="20"/>
                <w:lang w:val="en-US"/>
              </w:rPr>
              <w:t xml:space="preserve"> </w:t>
            </w:r>
            <w:proofErr w:type="spellStart"/>
            <w:r w:rsidRPr="009A27ED">
              <w:rPr>
                <w:rFonts w:ascii="Calibri" w:eastAsia="Calibri" w:hAnsi="Calibri" w:cs="Calibri"/>
                <w:sz w:val="20"/>
                <w:szCs w:val="20"/>
                <w:lang w:val="en-US"/>
              </w:rPr>
              <w:t>servir</w:t>
            </w:r>
            <w:proofErr w:type="spellEnd"/>
            <w:r w:rsidRPr="009A27ED">
              <w:rPr>
                <w:rFonts w:ascii="Calibri" w:eastAsia="Calibri" w:hAnsi="Calibri" w:cs="Calibri"/>
                <w:sz w:val="20"/>
                <w:szCs w:val="20"/>
                <w:lang w:val="en-US"/>
              </w:rPr>
              <w:t xml:space="preserve"> </w:t>
            </w:r>
            <w:proofErr w:type="spellStart"/>
            <w:r w:rsidRPr="009A27ED">
              <w:rPr>
                <w:rFonts w:ascii="Calibri" w:eastAsia="Calibri" w:hAnsi="Calibri" w:cs="Calibri"/>
                <w:sz w:val="20"/>
                <w:szCs w:val="20"/>
                <w:lang w:val="en-US"/>
              </w:rPr>
              <w:t>como</w:t>
            </w:r>
            <w:proofErr w:type="spellEnd"/>
            <w:r w:rsidRPr="009A27ED">
              <w:rPr>
                <w:rFonts w:ascii="Calibri" w:eastAsia="Calibri" w:hAnsi="Calibri" w:cs="Calibri"/>
                <w:sz w:val="20"/>
                <w:szCs w:val="20"/>
                <w:lang w:val="en-US"/>
              </w:rPr>
              <w:t xml:space="preserve"> base </w:t>
            </w:r>
            <w:proofErr w:type="spellStart"/>
            <w:r w:rsidRPr="009A27ED">
              <w:rPr>
                <w:rFonts w:ascii="Calibri" w:eastAsia="Calibri" w:hAnsi="Calibri" w:cs="Calibri"/>
                <w:sz w:val="20"/>
                <w:szCs w:val="20"/>
                <w:lang w:val="en-US"/>
              </w:rPr>
              <w:t>inicial</w:t>
            </w:r>
            <w:proofErr w:type="spellEnd"/>
            <w:r w:rsidRPr="009A27ED">
              <w:rPr>
                <w:rFonts w:ascii="Calibri" w:eastAsia="Calibri" w:hAnsi="Calibri" w:cs="Calibri"/>
                <w:sz w:val="20"/>
                <w:szCs w:val="20"/>
                <w:lang w:val="en-US"/>
              </w:rPr>
              <w:t xml:space="preserve"> son </w:t>
            </w:r>
            <w:proofErr w:type="spellStart"/>
            <w:r w:rsidRPr="009A27ED">
              <w:rPr>
                <w:rFonts w:ascii="Calibri" w:eastAsia="Calibri" w:hAnsi="Calibri" w:cs="Calibri"/>
                <w:sz w:val="20"/>
                <w:szCs w:val="20"/>
                <w:lang w:val="en-US"/>
              </w:rPr>
              <w:t>el</w:t>
            </w:r>
            <w:proofErr w:type="spellEnd"/>
            <w:r w:rsidRPr="009A27ED">
              <w:rPr>
                <w:rFonts w:ascii="Calibri" w:eastAsia="Calibri" w:hAnsi="Calibri" w:cs="Calibri"/>
                <w:sz w:val="20"/>
                <w:szCs w:val="20"/>
                <w:lang w:val="en-US"/>
              </w:rPr>
              <w:t xml:space="preserve"> Forest Stewardship Council (FSC), </w:t>
            </w:r>
            <w:proofErr w:type="spellStart"/>
            <w:r w:rsidRPr="009A27ED">
              <w:rPr>
                <w:rFonts w:ascii="Calibri" w:eastAsia="Calibri" w:hAnsi="Calibri" w:cs="Calibri"/>
                <w:sz w:val="20"/>
                <w:szCs w:val="20"/>
                <w:lang w:val="en-US"/>
              </w:rPr>
              <w:t>Programme</w:t>
            </w:r>
            <w:proofErr w:type="spellEnd"/>
            <w:r w:rsidRPr="009A27ED">
              <w:rPr>
                <w:rFonts w:ascii="Calibri" w:eastAsia="Calibri" w:hAnsi="Calibri" w:cs="Calibri"/>
                <w:sz w:val="20"/>
                <w:szCs w:val="20"/>
                <w:lang w:val="en-US"/>
              </w:rPr>
              <w:t xml:space="preserve"> for the </w:t>
            </w:r>
            <w:r w:rsidRPr="009A27ED">
              <w:rPr>
                <w:rFonts w:ascii="Calibri" w:eastAsia="Calibri" w:hAnsi="Calibri" w:cs="Calibri"/>
                <w:sz w:val="20"/>
                <w:szCs w:val="20"/>
                <w:lang w:val="en-US"/>
              </w:rPr>
              <w:lastRenderedPageBreak/>
              <w:t xml:space="preserve">Endorsement of Forest Certification (PEFC), Sustainable Agricultura Network (SAN), UTZ, Gold Standard (GS), Verified Carbon Standard (VCS), Plan Vivo. </w:t>
            </w:r>
            <w:r w:rsidRPr="009A27ED">
              <w:rPr>
                <w:rFonts w:ascii="Calibri" w:eastAsia="Calibri" w:hAnsi="Calibri" w:cs="Calibri"/>
                <w:sz w:val="20"/>
                <w:szCs w:val="20"/>
                <w:lang w:val="es-GT"/>
              </w:rPr>
              <w:t xml:space="preserve">Con el </w:t>
            </w:r>
            <w:r w:rsidR="00124B63" w:rsidRPr="009A27ED">
              <w:rPr>
                <w:rFonts w:ascii="Calibri" w:eastAsia="Calibri" w:hAnsi="Calibri" w:cs="Calibri"/>
                <w:sz w:val="20"/>
                <w:szCs w:val="20"/>
                <w:lang w:val="es-GT"/>
              </w:rPr>
              <w:t>Programa REDD+</w:t>
            </w:r>
            <w:r w:rsidRPr="009A27ED">
              <w:rPr>
                <w:rFonts w:ascii="Calibri" w:eastAsia="Calibri" w:hAnsi="Calibri" w:cs="Calibri"/>
                <w:sz w:val="20"/>
                <w:szCs w:val="20"/>
                <w:lang w:val="es-GT"/>
              </w:rPr>
              <w:t xml:space="preserve">, </w:t>
            </w:r>
            <w:r w:rsidRPr="009A27ED">
              <w:rPr>
                <w:rFonts w:ascii="Calibri" w:eastAsia="Calibri" w:hAnsi="Calibri" w:cs="Calibri"/>
                <w:sz w:val="20"/>
                <w:szCs w:val="20"/>
                <w:lang w:val="es-MX"/>
              </w:rPr>
              <w:t xml:space="preserve">se pretende estimar las emisiones de GHG por incendios forestales, lo </w:t>
            </w:r>
            <w:r w:rsidR="003626F6" w:rsidRPr="009A27ED">
              <w:rPr>
                <w:rFonts w:ascii="Calibri" w:eastAsia="Calibri" w:hAnsi="Calibri" w:cs="Calibri"/>
                <w:sz w:val="20"/>
                <w:szCs w:val="20"/>
                <w:lang w:val="es-MX"/>
              </w:rPr>
              <w:t>que requiere</w:t>
            </w:r>
            <w:r w:rsidRPr="009A27ED">
              <w:rPr>
                <w:rFonts w:ascii="Calibri" w:eastAsia="Calibri" w:hAnsi="Calibri" w:cs="Calibri"/>
                <w:sz w:val="20"/>
                <w:szCs w:val="20"/>
                <w:lang w:val="es-MX"/>
              </w:rPr>
              <w:t xml:space="preserve"> el fortalecimiento de las capacidades (técnicas y operativas) nacionales para llevar a cabo la estimación de GHG procedente de incendios forestales</w:t>
            </w:r>
            <w:r w:rsidR="004A4289" w:rsidRPr="009A27ED">
              <w:rPr>
                <w:rFonts w:ascii="Calibri" w:eastAsia="Calibri" w:hAnsi="Calibri" w:cs="Calibri"/>
                <w:sz w:val="20"/>
                <w:szCs w:val="20"/>
                <w:lang w:val="es-MX"/>
              </w:rPr>
              <w:t>.</w:t>
            </w:r>
            <w:r w:rsidRPr="009A27ED">
              <w:rPr>
                <w:rFonts w:ascii="Calibri" w:eastAsia="Calibri" w:hAnsi="Calibri" w:cs="Calibri"/>
                <w:sz w:val="20"/>
                <w:szCs w:val="20"/>
                <w:lang w:val="es-MX"/>
              </w:rPr>
              <w:t xml:space="preserve"> </w:t>
            </w:r>
          </w:p>
        </w:tc>
      </w:tr>
      <w:tr w:rsidR="0028451D" w:rsidRPr="009A27ED" w14:paraId="2F35357F" w14:textId="4FDD1F58" w:rsidTr="005C2EAE">
        <w:tc>
          <w:tcPr>
            <w:tcW w:w="2340" w:type="dxa"/>
            <w:vMerge/>
          </w:tcPr>
          <w:p w14:paraId="292903D5" w14:textId="77777777" w:rsidR="0028451D" w:rsidRPr="009A27ED" w:rsidRDefault="0028451D" w:rsidP="0028451D">
            <w:pPr>
              <w:rPr>
                <w:rFonts w:ascii="Calibri" w:eastAsia="Calibri" w:hAnsi="Calibri" w:cs="Calibri"/>
                <w:sz w:val="20"/>
                <w:szCs w:val="20"/>
              </w:rPr>
            </w:pPr>
          </w:p>
        </w:tc>
        <w:tc>
          <w:tcPr>
            <w:tcW w:w="2641" w:type="dxa"/>
          </w:tcPr>
          <w:p w14:paraId="2584C3DE" w14:textId="77777777" w:rsidR="0028451D" w:rsidRPr="009A27ED" w:rsidRDefault="0028451D" w:rsidP="00F163C3">
            <w:pPr>
              <w:numPr>
                <w:ilvl w:val="1"/>
                <w:numId w:val="3"/>
              </w:numPr>
              <w:spacing w:after="0"/>
              <w:contextualSpacing/>
              <w:jc w:val="left"/>
              <w:rPr>
                <w:rFonts w:ascii="Calibri" w:eastAsia="Calibri" w:hAnsi="Calibri" w:cs="Calibri"/>
                <w:sz w:val="20"/>
                <w:szCs w:val="20"/>
              </w:rPr>
            </w:pPr>
            <w:r w:rsidRPr="009A27ED">
              <w:rPr>
                <w:rFonts w:ascii="Calibri" w:eastAsia="Calibri" w:hAnsi="Calibri" w:cs="Calibri"/>
                <w:sz w:val="20"/>
                <w:szCs w:val="20"/>
              </w:rPr>
              <w:t>Promover entre propietarios de fincas privadas y de organizaciones comunitarias, el manejo del bosque y la regeneración natural de especies arbóreas.</w:t>
            </w:r>
          </w:p>
        </w:tc>
        <w:tc>
          <w:tcPr>
            <w:tcW w:w="2102" w:type="dxa"/>
          </w:tcPr>
          <w:p w14:paraId="297D0483" w14:textId="5AA23006" w:rsidR="0028451D" w:rsidRPr="009A27ED" w:rsidRDefault="0028451D" w:rsidP="0028451D">
            <w:pPr>
              <w:rPr>
                <w:rFonts w:ascii="Calibri" w:eastAsia="Calibri" w:hAnsi="Calibri" w:cs="Calibri"/>
                <w:b/>
                <w:sz w:val="20"/>
                <w:szCs w:val="20"/>
              </w:rPr>
            </w:pPr>
            <w:r w:rsidRPr="009A27ED">
              <w:rPr>
                <w:rFonts w:ascii="Calibri" w:eastAsia="Calibri" w:hAnsi="Calibri" w:cs="Calibri"/>
                <w:sz w:val="20"/>
                <w:szCs w:val="20"/>
                <w:lang w:val="es-MX"/>
              </w:rPr>
              <w:t>Baja valoración económica de los bosques</w:t>
            </w:r>
          </w:p>
        </w:tc>
        <w:tc>
          <w:tcPr>
            <w:tcW w:w="5528" w:type="dxa"/>
          </w:tcPr>
          <w:p w14:paraId="715AEC0B" w14:textId="7F278096" w:rsidR="0028451D" w:rsidRPr="009A27ED" w:rsidRDefault="0028451D" w:rsidP="00F163C3">
            <w:pPr>
              <w:rPr>
                <w:rFonts w:ascii="Calibri" w:eastAsia="Calibri" w:hAnsi="Calibri" w:cs="Calibri"/>
                <w:sz w:val="20"/>
                <w:szCs w:val="20"/>
                <w:lang w:val="es-MX"/>
              </w:rPr>
            </w:pPr>
            <w:r w:rsidRPr="009A27ED">
              <w:rPr>
                <w:rFonts w:ascii="Calibri" w:eastAsia="Calibri" w:hAnsi="Calibri" w:cs="Calibri"/>
                <w:b/>
                <w:sz w:val="20"/>
                <w:szCs w:val="20"/>
              </w:rPr>
              <w:t>Acción directa:</w:t>
            </w:r>
            <w:r w:rsidRPr="009A27ED">
              <w:rPr>
                <w:rFonts w:eastAsia="Calibri"/>
                <w:color w:val="000000" w:themeColor="text1"/>
                <w:szCs w:val="20"/>
                <w:lang w:val="es-MX"/>
              </w:rPr>
              <w:t xml:space="preserve"> </w:t>
            </w:r>
            <w:r w:rsidRPr="009A27ED">
              <w:rPr>
                <w:rFonts w:ascii="Calibri" w:eastAsia="Calibri" w:hAnsi="Calibri" w:cs="Calibri"/>
                <w:sz w:val="20"/>
                <w:szCs w:val="20"/>
                <w:lang w:val="es-MX"/>
              </w:rPr>
              <w:t xml:space="preserve">En el país existen grandes extensiones de áreas naturales degradadas. Los bosques de República Dominicana, igual que otros bosques tropicales, exhiben un gran potencial para recuperarse y crecer de nuevo. Se puede definir </w:t>
            </w:r>
            <w:r w:rsidRPr="009A27ED">
              <w:rPr>
                <w:rFonts w:ascii="Calibri" w:eastAsia="Calibri" w:hAnsi="Calibri" w:cs="Calibri"/>
                <w:i/>
                <w:sz w:val="20"/>
                <w:szCs w:val="20"/>
                <w:lang w:val="es-MX"/>
              </w:rPr>
              <w:t>t</w:t>
            </w:r>
            <w:proofErr w:type="spellStart"/>
            <w:r w:rsidRPr="009A27ED">
              <w:rPr>
                <w:rFonts w:ascii="Calibri" w:eastAsia="Calibri" w:hAnsi="Calibri" w:cs="Calibri"/>
                <w:i/>
                <w:sz w:val="20"/>
                <w:szCs w:val="20"/>
                <w:lang w:val="gl-ES"/>
              </w:rPr>
              <w:t>ierra</w:t>
            </w:r>
            <w:proofErr w:type="spellEnd"/>
            <w:r w:rsidRPr="009A27ED">
              <w:rPr>
                <w:rFonts w:ascii="Calibri" w:eastAsia="Calibri" w:hAnsi="Calibri" w:cs="Calibri"/>
                <w:i/>
                <w:sz w:val="20"/>
                <w:szCs w:val="20"/>
                <w:lang w:val="gl-ES"/>
              </w:rPr>
              <w:t xml:space="preserve"> degradada</w:t>
            </w:r>
            <w:r w:rsidRPr="009A27ED">
              <w:rPr>
                <w:rFonts w:ascii="Calibri" w:eastAsia="Calibri" w:hAnsi="Calibri" w:cs="Calibri"/>
                <w:sz w:val="20"/>
                <w:szCs w:val="20"/>
                <w:lang w:val="gl-ES"/>
              </w:rPr>
              <w:t xml:space="preserve"> como </w:t>
            </w:r>
            <w:proofErr w:type="spellStart"/>
            <w:r w:rsidRPr="009A27ED">
              <w:rPr>
                <w:rFonts w:ascii="Calibri" w:eastAsia="Calibri" w:hAnsi="Calibri" w:cs="Calibri"/>
                <w:sz w:val="20"/>
                <w:szCs w:val="20"/>
                <w:lang w:val="gl-ES"/>
              </w:rPr>
              <w:t>espacios</w:t>
            </w:r>
            <w:proofErr w:type="spellEnd"/>
            <w:r w:rsidRPr="009A27ED">
              <w:rPr>
                <w:rFonts w:ascii="Calibri" w:eastAsia="Calibri" w:hAnsi="Calibri" w:cs="Calibri"/>
                <w:sz w:val="20"/>
                <w:szCs w:val="20"/>
                <w:lang w:val="gl-ES"/>
              </w:rPr>
              <w:t xml:space="preserve"> que han perdido toda o parte de </w:t>
            </w:r>
            <w:proofErr w:type="spellStart"/>
            <w:r w:rsidRPr="009A27ED">
              <w:rPr>
                <w:rFonts w:ascii="Calibri" w:eastAsia="Calibri" w:hAnsi="Calibri" w:cs="Calibri"/>
                <w:sz w:val="20"/>
                <w:szCs w:val="20"/>
                <w:lang w:val="gl-ES"/>
              </w:rPr>
              <w:t>su</w:t>
            </w:r>
            <w:proofErr w:type="spellEnd"/>
            <w:r w:rsidRPr="009A27ED">
              <w:rPr>
                <w:rFonts w:ascii="Calibri" w:eastAsia="Calibri" w:hAnsi="Calibri" w:cs="Calibri"/>
                <w:sz w:val="20"/>
                <w:szCs w:val="20"/>
                <w:lang w:val="gl-ES"/>
              </w:rPr>
              <w:t xml:space="preserve"> </w:t>
            </w:r>
            <w:proofErr w:type="spellStart"/>
            <w:r w:rsidRPr="009A27ED">
              <w:rPr>
                <w:rFonts w:ascii="Calibri" w:eastAsia="Calibri" w:hAnsi="Calibri" w:cs="Calibri"/>
                <w:sz w:val="20"/>
                <w:szCs w:val="20"/>
                <w:lang w:val="gl-ES"/>
              </w:rPr>
              <w:t>capacidad</w:t>
            </w:r>
            <w:proofErr w:type="spellEnd"/>
            <w:r w:rsidRPr="009A27ED">
              <w:rPr>
                <w:rFonts w:ascii="Calibri" w:eastAsia="Calibri" w:hAnsi="Calibri" w:cs="Calibri"/>
                <w:sz w:val="20"/>
                <w:szCs w:val="20"/>
                <w:lang w:val="gl-ES"/>
              </w:rPr>
              <w:t xml:space="preserve"> de producir </w:t>
            </w:r>
            <w:proofErr w:type="spellStart"/>
            <w:r w:rsidRPr="009A27ED">
              <w:rPr>
                <w:rFonts w:ascii="Calibri" w:eastAsia="Calibri" w:hAnsi="Calibri" w:cs="Calibri"/>
                <w:sz w:val="20"/>
                <w:szCs w:val="20"/>
                <w:lang w:val="gl-ES"/>
              </w:rPr>
              <w:t>bienes</w:t>
            </w:r>
            <w:proofErr w:type="spellEnd"/>
            <w:r w:rsidRPr="009A27ED">
              <w:rPr>
                <w:rFonts w:ascii="Calibri" w:eastAsia="Calibri" w:hAnsi="Calibri" w:cs="Calibri"/>
                <w:sz w:val="20"/>
                <w:szCs w:val="20"/>
                <w:lang w:val="gl-ES"/>
              </w:rPr>
              <w:t xml:space="preserve"> o de </w:t>
            </w:r>
            <w:proofErr w:type="spellStart"/>
            <w:r w:rsidRPr="009A27ED">
              <w:rPr>
                <w:rFonts w:ascii="Calibri" w:eastAsia="Calibri" w:hAnsi="Calibri" w:cs="Calibri"/>
                <w:sz w:val="20"/>
                <w:szCs w:val="20"/>
                <w:lang w:val="gl-ES"/>
              </w:rPr>
              <w:t>generar</w:t>
            </w:r>
            <w:proofErr w:type="spellEnd"/>
            <w:r w:rsidRPr="009A27ED">
              <w:rPr>
                <w:rFonts w:ascii="Calibri" w:eastAsia="Calibri" w:hAnsi="Calibri" w:cs="Calibri"/>
                <w:sz w:val="20"/>
                <w:szCs w:val="20"/>
                <w:lang w:val="gl-ES"/>
              </w:rPr>
              <w:t xml:space="preserve"> servicios </w:t>
            </w:r>
            <w:proofErr w:type="spellStart"/>
            <w:r w:rsidRPr="009A27ED">
              <w:rPr>
                <w:rFonts w:ascii="Calibri" w:eastAsia="Calibri" w:hAnsi="Calibri" w:cs="Calibri"/>
                <w:sz w:val="20"/>
                <w:szCs w:val="20"/>
                <w:lang w:val="gl-ES"/>
              </w:rPr>
              <w:t>ambientales</w:t>
            </w:r>
            <w:proofErr w:type="spellEnd"/>
            <w:r w:rsidRPr="009A27ED">
              <w:rPr>
                <w:rFonts w:ascii="Calibri" w:eastAsia="Calibri" w:hAnsi="Calibri" w:cs="Calibri"/>
                <w:sz w:val="20"/>
                <w:szCs w:val="20"/>
                <w:lang w:val="gl-ES"/>
              </w:rPr>
              <w:t xml:space="preserve">. </w:t>
            </w:r>
            <w:r w:rsidRPr="009A27ED">
              <w:rPr>
                <w:rFonts w:ascii="Calibri" w:eastAsia="Calibri" w:hAnsi="Calibri" w:cs="Calibri"/>
                <w:sz w:val="20"/>
                <w:szCs w:val="20"/>
                <w:lang w:val="es-MX"/>
              </w:rPr>
              <w:t xml:space="preserve">Dejar que la naturaleza siga su curso en el proceso de sucesión natural suele ser menos costo que la plantación en los programas de reforestación y además mejora la resiliencia frente a la variabilidad y el cambio climático. Con la regeneración natural se da también un mayor impulso a la diversidad biológica, en comparación a los monocultivos de especies forestales. </w:t>
            </w:r>
          </w:p>
          <w:p w14:paraId="481E5E60" w14:textId="17CA788E" w:rsidR="0028451D" w:rsidRPr="009A27ED" w:rsidRDefault="0028451D" w:rsidP="00F163C3">
            <w:pPr>
              <w:rPr>
                <w:rFonts w:ascii="Calibri" w:eastAsia="Calibri" w:hAnsi="Calibri" w:cs="Calibri"/>
                <w:sz w:val="20"/>
                <w:szCs w:val="20"/>
              </w:rPr>
            </w:pPr>
            <w:r w:rsidRPr="009A27ED">
              <w:rPr>
                <w:rFonts w:ascii="Calibri" w:eastAsia="Calibri" w:hAnsi="Calibri" w:cs="Calibri"/>
                <w:sz w:val="20"/>
                <w:szCs w:val="20"/>
                <w:lang w:val="es-MX"/>
              </w:rPr>
              <w:t xml:space="preserve">Con el </w:t>
            </w:r>
            <w:r w:rsidR="00124B63" w:rsidRPr="009A27ED">
              <w:rPr>
                <w:rFonts w:ascii="Calibri" w:eastAsia="Calibri" w:hAnsi="Calibri" w:cs="Calibri"/>
                <w:sz w:val="20"/>
                <w:szCs w:val="20"/>
                <w:lang w:val="es-MX"/>
              </w:rPr>
              <w:t>Programa REDD+</w:t>
            </w:r>
            <w:r w:rsidRPr="009A27ED">
              <w:rPr>
                <w:rFonts w:ascii="Calibri" w:eastAsia="Calibri" w:hAnsi="Calibri" w:cs="Calibri"/>
                <w:sz w:val="20"/>
                <w:szCs w:val="20"/>
                <w:lang w:val="es-MX"/>
              </w:rPr>
              <w:t xml:space="preserve">, se propone a corto plazo crear incentivos para la recuperación de tierras degradadas mediante regeneración natural y ampliación de la superficie bajo manejo forestal sostenible, involucrando a los usuarios y propietarios de la tierra.  </w:t>
            </w:r>
          </w:p>
        </w:tc>
      </w:tr>
      <w:tr w:rsidR="0028451D" w:rsidRPr="009A27ED" w14:paraId="1E365DD5" w14:textId="667772DE" w:rsidTr="005C2EAE">
        <w:tc>
          <w:tcPr>
            <w:tcW w:w="2340" w:type="dxa"/>
            <w:vMerge/>
          </w:tcPr>
          <w:p w14:paraId="27520442" w14:textId="77777777" w:rsidR="0028451D" w:rsidRPr="009A27ED" w:rsidRDefault="0028451D" w:rsidP="0028451D">
            <w:pPr>
              <w:rPr>
                <w:rFonts w:ascii="Calibri" w:eastAsia="Calibri" w:hAnsi="Calibri" w:cs="Calibri"/>
                <w:sz w:val="20"/>
                <w:szCs w:val="20"/>
              </w:rPr>
            </w:pPr>
          </w:p>
        </w:tc>
        <w:tc>
          <w:tcPr>
            <w:tcW w:w="2641" w:type="dxa"/>
          </w:tcPr>
          <w:p w14:paraId="107A1785" w14:textId="77777777" w:rsidR="0028451D" w:rsidRPr="009A27ED" w:rsidRDefault="0028451D" w:rsidP="00F163C3">
            <w:pPr>
              <w:numPr>
                <w:ilvl w:val="1"/>
                <w:numId w:val="3"/>
              </w:numPr>
              <w:contextualSpacing/>
              <w:jc w:val="left"/>
              <w:rPr>
                <w:rFonts w:ascii="Calibri" w:eastAsia="Calibri" w:hAnsi="Calibri" w:cs="Calibri"/>
                <w:sz w:val="20"/>
                <w:szCs w:val="20"/>
              </w:rPr>
            </w:pPr>
            <w:r w:rsidRPr="009A27ED">
              <w:rPr>
                <w:rFonts w:ascii="Calibri" w:eastAsia="Calibri" w:hAnsi="Calibri" w:cs="Calibri"/>
                <w:sz w:val="20"/>
                <w:szCs w:val="20"/>
              </w:rPr>
              <w:t>Definir y poner en práctica instrumentos y mecanismos financieros para desarrollar actividades productivas de conservación y restauración de ecosistemas forestales y agroforestales</w:t>
            </w:r>
          </w:p>
        </w:tc>
        <w:tc>
          <w:tcPr>
            <w:tcW w:w="2102" w:type="dxa"/>
          </w:tcPr>
          <w:p w14:paraId="1B1941B4" w14:textId="77777777" w:rsidR="0028451D" w:rsidRPr="009A27ED" w:rsidRDefault="0028451D" w:rsidP="00F163C3">
            <w:pPr>
              <w:ind w:left="37"/>
              <w:jc w:val="left"/>
              <w:rPr>
                <w:rFonts w:ascii="Calibri" w:eastAsia="Calibri" w:hAnsi="Calibri" w:cs="Calibri"/>
                <w:sz w:val="20"/>
                <w:szCs w:val="20"/>
                <w:lang w:val="es-MX"/>
              </w:rPr>
            </w:pPr>
            <w:r w:rsidRPr="009A27ED">
              <w:rPr>
                <w:rFonts w:ascii="Calibri" w:eastAsia="Calibri" w:hAnsi="Calibri" w:cs="Calibri"/>
                <w:sz w:val="20"/>
                <w:szCs w:val="20"/>
                <w:lang w:val="es-MX"/>
              </w:rPr>
              <w:t xml:space="preserve">Baja valoración económica de los bosques </w:t>
            </w:r>
          </w:p>
          <w:p w14:paraId="32FA62F8" w14:textId="77777777" w:rsidR="0028451D" w:rsidRPr="009A27ED" w:rsidRDefault="0028451D" w:rsidP="00F163C3">
            <w:pPr>
              <w:ind w:left="37"/>
              <w:rPr>
                <w:rFonts w:ascii="Calibri" w:eastAsia="Calibri" w:hAnsi="Calibri" w:cs="Calibri"/>
                <w:sz w:val="20"/>
                <w:szCs w:val="20"/>
                <w:lang w:val="es-MX"/>
              </w:rPr>
            </w:pPr>
          </w:p>
          <w:p w14:paraId="20E6BC0D" w14:textId="4AB38FFF" w:rsidR="0028451D" w:rsidRPr="009A27ED" w:rsidRDefault="0028451D" w:rsidP="0028451D">
            <w:pPr>
              <w:rPr>
                <w:rFonts w:ascii="Calibri" w:eastAsia="Calibri" w:hAnsi="Calibri" w:cs="Calibri"/>
                <w:b/>
                <w:sz w:val="20"/>
                <w:szCs w:val="20"/>
              </w:rPr>
            </w:pPr>
            <w:r w:rsidRPr="009A27ED">
              <w:rPr>
                <w:rFonts w:ascii="Calibri" w:eastAsia="Calibri" w:hAnsi="Calibri" w:cs="Calibri"/>
                <w:sz w:val="20"/>
                <w:szCs w:val="20"/>
                <w:lang w:val="es-MX"/>
              </w:rPr>
              <w:t xml:space="preserve">Manejo y uso insostenible de las tierras forestales       </w:t>
            </w:r>
          </w:p>
        </w:tc>
        <w:tc>
          <w:tcPr>
            <w:tcW w:w="5528" w:type="dxa"/>
          </w:tcPr>
          <w:p w14:paraId="36E4FDFE" w14:textId="3C22DF8B" w:rsidR="0028451D" w:rsidRPr="009A27ED" w:rsidRDefault="0028451D" w:rsidP="00F163C3">
            <w:pPr>
              <w:rPr>
                <w:rFonts w:ascii="Calibri" w:eastAsia="Calibri" w:hAnsi="Calibri" w:cs="Calibri"/>
                <w:sz w:val="20"/>
                <w:szCs w:val="20"/>
                <w:lang w:val="es-MX"/>
              </w:rPr>
            </w:pPr>
            <w:r w:rsidRPr="009A27ED">
              <w:rPr>
                <w:rFonts w:ascii="Calibri" w:eastAsia="Calibri" w:hAnsi="Calibri" w:cs="Calibri"/>
                <w:b/>
                <w:sz w:val="20"/>
                <w:szCs w:val="20"/>
              </w:rPr>
              <w:t>Acción directa</w:t>
            </w:r>
            <w:r w:rsidRPr="009A27ED">
              <w:rPr>
                <w:rFonts w:ascii="Calibri" w:eastAsia="Calibri" w:hAnsi="Calibri" w:cs="Calibri"/>
                <w:sz w:val="20"/>
                <w:szCs w:val="20"/>
              </w:rPr>
              <w:t xml:space="preserve">: </w:t>
            </w:r>
            <w:r w:rsidRPr="009A27ED">
              <w:rPr>
                <w:rFonts w:ascii="Calibri" w:eastAsia="Calibri" w:hAnsi="Calibri" w:cs="Calibri"/>
                <w:sz w:val="20"/>
                <w:szCs w:val="20"/>
                <w:lang w:val="es-MX"/>
              </w:rPr>
              <w:t xml:space="preserve">La reducción de emisiones provenientes de la deforestación y la degradación de los bosques requiere de la </w:t>
            </w:r>
            <w:r w:rsidRPr="009A27ED">
              <w:rPr>
                <w:rFonts w:ascii="Calibri" w:eastAsia="Calibri" w:hAnsi="Calibri" w:cs="Calibri"/>
                <w:sz w:val="20"/>
                <w:szCs w:val="20"/>
              </w:rPr>
              <w:t>puesta en práctica de instrumentos y mecanismos financieros para desarrollar actividades productivas, de conservación y restauración de ecosistemas forestales.</w:t>
            </w:r>
          </w:p>
          <w:p w14:paraId="09F0C75A" w14:textId="33BDAD07" w:rsidR="0028451D" w:rsidRPr="009A27ED" w:rsidRDefault="0028451D" w:rsidP="00F163C3">
            <w:pPr>
              <w:rPr>
                <w:rFonts w:ascii="Calibri" w:eastAsia="Calibri" w:hAnsi="Calibri" w:cs="Calibri"/>
                <w:sz w:val="20"/>
                <w:szCs w:val="20"/>
                <w:lang w:val="es-MX"/>
              </w:rPr>
            </w:pPr>
            <w:r w:rsidRPr="009A27ED">
              <w:rPr>
                <w:rFonts w:ascii="Calibri" w:eastAsia="Calibri" w:hAnsi="Calibri" w:cs="Calibri"/>
                <w:sz w:val="20"/>
                <w:szCs w:val="20"/>
                <w:lang w:val="es-MX"/>
              </w:rPr>
              <w:t xml:space="preserve">En el país existen experiencias de instrumentos y mecanismos financieros. Entre ellas cabe indicar; i) el sistema de Pago por Servicios Ambientales (PSA) en la Cuenca del </w:t>
            </w:r>
            <w:proofErr w:type="spellStart"/>
            <w:r w:rsidRPr="009A27ED">
              <w:rPr>
                <w:rFonts w:ascii="Calibri" w:eastAsia="Calibri" w:hAnsi="Calibri" w:cs="Calibri"/>
                <w:sz w:val="20"/>
                <w:szCs w:val="20"/>
                <w:lang w:val="es-MX"/>
              </w:rPr>
              <w:t>Yaque</w:t>
            </w:r>
            <w:proofErr w:type="spellEnd"/>
            <w:r w:rsidRPr="009A27ED">
              <w:rPr>
                <w:rFonts w:ascii="Calibri" w:eastAsia="Calibri" w:hAnsi="Calibri" w:cs="Calibri"/>
                <w:sz w:val="20"/>
                <w:szCs w:val="20"/>
                <w:lang w:val="es-MX"/>
              </w:rPr>
              <w:t xml:space="preserve"> del Norte, </w:t>
            </w:r>
            <w:proofErr w:type="spellStart"/>
            <w:r w:rsidRPr="009A27ED">
              <w:rPr>
                <w:rFonts w:ascii="Calibri" w:eastAsia="Calibri" w:hAnsi="Calibri" w:cs="Calibri"/>
                <w:sz w:val="20"/>
                <w:szCs w:val="20"/>
                <w:lang w:val="es-MX"/>
              </w:rPr>
              <w:t>ii</w:t>
            </w:r>
            <w:proofErr w:type="spellEnd"/>
            <w:r w:rsidRPr="009A27ED">
              <w:rPr>
                <w:rFonts w:ascii="Calibri" w:eastAsia="Calibri" w:hAnsi="Calibri" w:cs="Calibri"/>
                <w:sz w:val="20"/>
                <w:szCs w:val="20"/>
                <w:lang w:val="es-MX"/>
              </w:rPr>
              <w:t xml:space="preserve">) varios Fondos del Agua, </w:t>
            </w:r>
            <w:proofErr w:type="spellStart"/>
            <w:r w:rsidRPr="009A27ED">
              <w:rPr>
                <w:rFonts w:ascii="Calibri" w:eastAsia="Calibri" w:hAnsi="Calibri" w:cs="Calibri"/>
                <w:sz w:val="20"/>
                <w:szCs w:val="20"/>
                <w:lang w:val="es-MX"/>
              </w:rPr>
              <w:t>iii</w:t>
            </w:r>
            <w:proofErr w:type="spellEnd"/>
            <w:r w:rsidRPr="009A27ED">
              <w:rPr>
                <w:rFonts w:ascii="Calibri" w:eastAsia="Calibri" w:hAnsi="Calibri" w:cs="Calibri"/>
                <w:sz w:val="20"/>
                <w:szCs w:val="20"/>
                <w:lang w:val="es-MX"/>
              </w:rPr>
              <w:t xml:space="preserve">) Fondo MARENA, </w:t>
            </w:r>
            <w:proofErr w:type="spellStart"/>
            <w:r w:rsidRPr="009A27ED">
              <w:rPr>
                <w:rFonts w:ascii="Calibri" w:eastAsia="Calibri" w:hAnsi="Calibri" w:cs="Calibri"/>
                <w:sz w:val="20"/>
                <w:szCs w:val="20"/>
                <w:lang w:val="es-MX"/>
              </w:rPr>
              <w:t>iv</w:t>
            </w:r>
            <w:proofErr w:type="spellEnd"/>
            <w:r w:rsidRPr="009A27ED">
              <w:rPr>
                <w:rFonts w:ascii="Calibri" w:eastAsia="Calibri" w:hAnsi="Calibri" w:cs="Calibri"/>
                <w:sz w:val="20"/>
                <w:szCs w:val="20"/>
                <w:lang w:val="es-MX"/>
              </w:rPr>
              <w:t xml:space="preserve">) sistema de préstamos a bajas de interés en el Programa CONALECHE, v) esquema de compensación por reforestación en zona de influencia Reserva Privada El Zorzal. Estas y otras experiencias, nacionales o internacionales, que han sido analizadas para la elaboración del </w:t>
            </w:r>
            <w:r w:rsidR="00124B63" w:rsidRPr="009A27ED">
              <w:rPr>
                <w:rFonts w:ascii="Calibri" w:eastAsia="Calibri" w:hAnsi="Calibri" w:cs="Calibri"/>
                <w:sz w:val="20"/>
                <w:szCs w:val="20"/>
                <w:lang w:val="es-MX"/>
              </w:rPr>
              <w:t>Programa REDD+</w:t>
            </w:r>
            <w:r w:rsidR="00874FCA" w:rsidRPr="009A27ED">
              <w:rPr>
                <w:rFonts w:ascii="Calibri" w:eastAsia="Calibri" w:hAnsi="Calibri" w:cs="Calibri"/>
                <w:sz w:val="20"/>
                <w:szCs w:val="20"/>
                <w:lang w:val="es-MX"/>
              </w:rPr>
              <w:t xml:space="preserve"> </w:t>
            </w:r>
            <w:r w:rsidRPr="009A27ED">
              <w:rPr>
                <w:rFonts w:ascii="Calibri" w:eastAsia="Calibri" w:hAnsi="Calibri" w:cs="Calibri"/>
                <w:sz w:val="20"/>
                <w:szCs w:val="20"/>
                <w:lang w:val="es-MX"/>
              </w:rPr>
              <w:t xml:space="preserve">para definir, reforzar y/o poner en práctica instrumentos y mecanismos financieros a favor de la producción sostenible, de conservación y restauración de ecosistemas forestales.  </w:t>
            </w:r>
          </w:p>
          <w:p w14:paraId="623AC6CF" w14:textId="22786194" w:rsidR="0028451D" w:rsidRPr="009A27ED" w:rsidRDefault="0028451D" w:rsidP="00F163C3">
            <w:pPr>
              <w:rPr>
                <w:rFonts w:ascii="Calibri" w:eastAsia="Calibri" w:hAnsi="Calibri" w:cs="Calibri"/>
                <w:sz w:val="20"/>
                <w:szCs w:val="20"/>
                <w:lang w:val="es-MX"/>
              </w:rPr>
            </w:pPr>
          </w:p>
        </w:tc>
      </w:tr>
      <w:tr w:rsidR="0028451D" w:rsidRPr="009A27ED" w14:paraId="7E127A7D" w14:textId="09FB3363" w:rsidTr="005C2EAE">
        <w:tc>
          <w:tcPr>
            <w:tcW w:w="2340" w:type="dxa"/>
            <w:vMerge/>
          </w:tcPr>
          <w:p w14:paraId="26BA64DC" w14:textId="77777777" w:rsidR="0028451D" w:rsidRPr="009A27ED" w:rsidRDefault="0028451D" w:rsidP="0028451D">
            <w:pPr>
              <w:rPr>
                <w:rFonts w:ascii="Calibri" w:eastAsia="Calibri" w:hAnsi="Calibri" w:cs="Calibri"/>
                <w:sz w:val="20"/>
                <w:szCs w:val="20"/>
              </w:rPr>
            </w:pPr>
          </w:p>
        </w:tc>
        <w:tc>
          <w:tcPr>
            <w:tcW w:w="2641" w:type="dxa"/>
          </w:tcPr>
          <w:p w14:paraId="57BC1367" w14:textId="77777777" w:rsidR="0028451D" w:rsidRPr="009A27ED" w:rsidRDefault="0028451D" w:rsidP="008C6671">
            <w:pPr>
              <w:numPr>
                <w:ilvl w:val="1"/>
                <w:numId w:val="3"/>
              </w:numPr>
              <w:contextualSpacing/>
              <w:jc w:val="left"/>
              <w:rPr>
                <w:rFonts w:ascii="Calibri" w:eastAsia="Calibri" w:hAnsi="Calibri" w:cs="Calibri"/>
                <w:sz w:val="20"/>
                <w:szCs w:val="20"/>
              </w:rPr>
            </w:pPr>
            <w:r w:rsidRPr="009A27ED">
              <w:rPr>
                <w:rFonts w:ascii="Calibri" w:eastAsia="Calibri" w:hAnsi="Calibri" w:cs="Calibri"/>
                <w:sz w:val="20"/>
                <w:szCs w:val="20"/>
              </w:rPr>
              <w:t xml:space="preserve"> Actualizar y aplicar la Estrategia Nacional de Manejo del Fuego en la República Dominicana. </w:t>
            </w:r>
          </w:p>
        </w:tc>
        <w:tc>
          <w:tcPr>
            <w:tcW w:w="2102" w:type="dxa"/>
          </w:tcPr>
          <w:p w14:paraId="12616DC4" w14:textId="65A8038C" w:rsidR="0028451D" w:rsidRPr="009A27ED" w:rsidRDefault="0028451D" w:rsidP="0028451D">
            <w:pPr>
              <w:rPr>
                <w:rFonts w:ascii="Calibri" w:eastAsia="Calibri" w:hAnsi="Calibri" w:cs="Calibri"/>
                <w:b/>
                <w:sz w:val="20"/>
                <w:szCs w:val="20"/>
              </w:rPr>
            </w:pPr>
            <w:r w:rsidRPr="009A27ED">
              <w:rPr>
                <w:rFonts w:ascii="Calibri" w:eastAsia="Calibri" w:hAnsi="Calibri" w:cs="Calibri"/>
                <w:sz w:val="20"/>
                <w:szCs w:val="20"/>
                <w:lang w:val="es-MX"/>
              </w:rPr>
              <w:t>Manejo y uso insostenible de las tierras forestales</w:t>
            </w:r>
          </w:p>
        </w:tc>
        <w:tc>
          <w:tcPr>
            <w:tcW w:w="5528" w:type="dxa"/>
          </w:tcPr>
          <w:p w14:paraId="1288D2C5" w14:textId="7F44232F" w:rsidR="0028451D" w:rsidRPr="009A27ED" w:rsidRDefault="0028451D" w:rsidP="00874FCA">
            <w:pPr>
              <w:rPr>
                <w:rFonts w:ascii="Calibri" w:eastAsia="Calibri" w:hAnsi="Calibri" w:cs="Calibri"/>
                <w:sz w:val="20"/>
                <w:szCs w:val="20"/>
              </w:rPr>
            </w:pPr>
            <w:r w:rsidRPr="009A27ED">
              <w:rPr>
                <w:rFonts w:ascii="Calibri" w:eastAsia="Calibri" w:hAnsi="Calibri" w:cs="Calibri"/>
                <w:b/>
                <w:sz w:val="20"/>
                <w:szCs w:val="20"/>
              </w:rPr>
              <w:t>Acción directa</w:t>
            </w:r>
            <w:r w:rsidRPr="009A27ED">
              <w:rPr>
                <w:rFonts w:ascii="Calibri" w:eastAsia="Calibri" w:hAnsi="Calibri" w:cs="Calibri"/>
                <w:sz w:val="20"/>
                <w:szCs w:val="20"/>
              </w:rPr>
              <w:t xml:space="preserve">: </w:t>
            </w:r>
            <w:r w:rsidRPr="009A27ED">
              <w:rPr>
                <w:rFonts w:ascii="Calibri" w:eastAsia="Calibri" w:hAnsi="Calibri" w:cs="Calibri"/>
                <w:sz w:val="20"/>
                <w:szCs w:val="20"/>
                <w:lang w:val="es-MX"/>
              </w:rPr>
              <w:t>La República Dominicana cuenta con una Estrategia Nacional de Manejo del Fuego 2016-2025. La misma tiene como objetivo “</w:t>
            </w:r>
            <w:r w:rsidRPr="009A27ED">
              <w:rPr>
                <w:rFonts w:ascii="Calibri" w:eastAsia="Calibri" w:hAnsi="Calibri" w:cs="Calibri"/>
                <w:i/>
                <w:sz w:val="20"/>
                <w:szCs w:val="20"/>
                <w:lang w:val="es-MX"/>
              </w:rPr>
              <w:t xml:space="preserve">Establecer los lineamientos de manejo responsable del fuego que permita una amplia participación e integración de los esfuerzos de todos los sectores y actores del país, a fin de que se garantice la protección y conservación de la </w:t>
            </w:r>
            <w:r w:rsidRPr="009A27ED">
              <w:rPr>
                <w:rFonts w:ascii="Calibri" w:eastAsia="Calibri" w:hAnsi="Calibri" w:cs="Calibri"/>
                <w:i/>
                <w:sz w:val="20"/>
                <w:szCs w:val="20"/>
                <w:lang w:val="es-MX"/>
              </w:rPr>
              <w:lastRenderedPageBreak/>
              <w:t>biodiversidad, manejando los regímenes de fuego en los ecosistemas que lo requieran para sus funciones ecológicas y fortaleciendo, en consecuencia, la resiliencia social a los efectos del cambio climático”</w:t>
            </w:r>
            <w:r w:rsidRPr="009A27ED">
              <w:rPr>
                <w:rFonts w:ascii="Calibri" w:eastAsia="Calibri" w:hAnsi="Calibri" w:cs="Calibri"/>
                <w:sz w:val="20"/>
                <w:szCs w:val="20"/>
                <w:lang w:val="es-MX"/>
              </w:rPr>
              <w:t xml:space="preserve">.  Consta de cuatro estrategias: i) gestión nacional, </w:t>
            </w:r>
            <w:proofErr w:type="spellStart"/>
            <w:r w:rsidRPr="009A27ED">
              <w:rPr>
                <w:rFonts w:ascii="Calibri" w:eastAsia="Calibri" w:hAnsi="Calibri" w:cs="Calibri"/>
                <w:sz w:val="20"/>
                <w:szCs w:val="20"/>
                <w:lang w:val="es-MX"/>
              </w:rPr>
              <w:t>ii</w:t>
            </w:r>
            <w:proofErr w:type="spellEnd"/>
            <w:r w:rsidRPr="009A27ED">
              <w:rPr>
                <w:rFonts w:ascii="Calibri" w:eastAsia="Calibri" w:hAnsi="Calibri" w:cs="Calibri"/>
                <w:sz w:val="20"/>
                <w:szCs w:val="20"/>
                <w:lang w:val="es-MX"/>
              </w:rPr>
              <w:t xml:space="preserve">) gestión social, </w:t>
            </w:r>
            <w:proofErr w:type="spellStart"/>
            <w:r w:rsidRPr="009A27ED">
              <w:rPr>
                <w:rFonts w:ascii="Calibri" w:eastAsia="Calibri" w:hAnsi="Calibri" w:cs="Calibri"/>
                <w:sz w:val="20"/>
                <w:szCs w:val="20"/>
                <w:lang w:val="es-MX"/>
              </w:rPr>
              <w:t>iii</w:t>
            </w:r>
            <w:proofErr w:type="spellEnd"/>
            <w:r w:rsidRPr="009A27ED">
              <w:rPr>
                <w:rFonts w:ascii="Calibri" w:eastAsia="Calibri" w:hAnsi="Calibri" w:cs="Calibri"/>
                <w:sz w:val="20"/>
                <w:szCs w:val="20"/>
                <w:lang w:val="es-MX"/>
              </w:rPr>
              <w:t xml:space="preserve">) gestión del conocimiento, </w:t>
            </w:r>
            <w:proofErr w:type="spellStart"/>
            <w:r w:rsidRPr="009A27ED">
              <w:rPr>
                <w:rFonts w:ascii="Calibri" w:eastAsia="Calibri" w:hAnsi="Calibri" w:cs="Calibri"/>
                <w:sz w:val="20"/>
                <w:szCs w:val="20"/>
                <w:lang w:val="es-MX"/>
              </w:rPr>
              <w:t>iv</w:t>
            </w:r>
            <w:proofErr w:type="spellEnd"/>
            <w:r w:rsidRPr="009A27ED">
              <w:rPr>
                <w:rFonts w:ascii="Calibri" w:eastAsia="Calibri" w:hAnsi="Calibri" w:cs="Calibri"/>
                <w:sz w:val="20"/>
                <w:szCs w:val="20"/>
                <w:lang w:val="es-MX"/>
              </w:rPr>
              <w:t xml:space="preserve">) gestión del riesgo. Como aspecto central para la implementación de dicha estrategia figura el fortalecimiento de la Dirección de Manejo de Fuego, correspondiente al Viceministerio de Recursos Forestales. A corto plazo se pretende fortalecer las capacidades institucionales para la concertación y colaboración </w:t>
            </w:r>
            <w:r w:rsidR="004A4289" w:rsidRPr="009A27ED">
              <w:rPr>
                <w:rFonts w:ascii="Calibri" w:eastAsia="Calibri" w:hAnsi="Calibri" w:cs="Calibri"/>
                <w:sz w:val="20"/>
                <w:szCs w:val="20"/>
                <w:lang w:val="es-MX"/>
              </w:rPr>
              <w:t xml:space="preserve">de actores locales </w:t>
            </w:r>
            <w:r w:rsidRPr="009A27ED">
              <w:rPr>
                <w:rFonts w:ascii="Calibri" w:eastAsia="Calibri" w:hAnsi="Calibri" w:cs="Calibri"/>
                <w:sz w:val="20"/>
                <w:szCs w:val="20"/>
                <w:lang w:val="es-MX"/>
              </w:rPr>
              <w:t xml:space="preserve">con el fin de aplicar la Estrategia Nacional de Manejo del Fuego. Para ello se requiere </w:t>
            </w:r>
            <w:r w:rsidR="00874FCA" w:rsidRPr="009A27ED">
              <w:rPr>
                <w:rFonts w:ascii="Calibri" w:eastAsia="Calibri" w:hAnsi="Calibri" w:cs="Calibri"/>
                <w:sz w:val="20"/>
                <w:szCs w:val="20"/>
                <w:lang w:val="es-MX"/>
              </w:rPr>
              <w:t xml:space="preserve">actualizar y proyectar </w:t>
            </w:r>
            <w:r w:rsidRPr="009A27ED">
              <w:rPr>
                <w:rFonts w:ascii="Calibri" w:eastAsia="Calibri" w:hAnsi="Calibri" w:cs="Calibri"/>
                <w:sz w:val="20"/>
                <w:szCs w:val="20"/>
                <w:lang w:val="es-MX"/>
              </w:rPr>
              <w:t>las necesidades de recursos humanos y equipamiento</w:t>
            </w:r>
            <w:r w:rsidR="00874FCA" w:rsidRPr="009A27ED">
              <w:rPr>
                <w:rFonts w:ascii="Calibri" w:eastAsia="Calibri" w:hAnsi="Calibri" w:cs="Calibri"/>
                <w:sz w:val="20"/>
                <w:szCs w:val="20"/>
                <w:lang w:val="es-MX"/>
              </w:rPr>
              <w:t>, después de cada temporada de incendios</w:t>
            </w:r>
            <w:r w:rsidRPr="009A27ED">
              <w:rPr>
                <w:rFonts w:ascii="Calibri" w:eastAsia="Calibri" w:hAnsi="Calibri" w:cs="Calibri"/>
                <w:sz w:val="20"/>
                <w:szCs w:val="20"/>
                <w:lang w:val="es-MX"/>
              </w:rPr>
              <w:t>. Se requiere además protocolos de vigilancia, alertas tempranas, actualización y aplicación del sistema de reporte de incendios.</w:t>
            </w:r>
          </w:p>
        </w:tc>
      </w:tr>
      <w:tr w:rsidR="0028451D" w:rsidRPr="009A27ED" w14:paraId="49FB2C9E" w14:textId="64BDB50C" w:rsidTr="005C2EAE">
        <w:tc>
          <w:tcPr>
            <w:tcW w:w="2340" w:type="dxa"/>
            <w:vMerge/>
          </w:tcPr>
          <w:p w14:paraId="25F21675" w14:textId="77777777" w:rsidR="0028451D" w:rsidRPr="009A27ED" w:rsidRDefault="0028451D" w:rsidP="0028451D">
            <w:pPr>
              <w:rPr>
                <w:rFonts w:ascii="Calibri" w:eastAsia="Calibri" w:hAnsi="Calibri" w:cs="Calibri"/>
                <w:sz w:val="20"/>
                <w:szCs w:val="20"/>
              </w:rPr>
            </w:pPr>
          </w:p>
        </w:tc>
        <w:tc>
          <w:tcPr>
            <w:tcW w:w="2641" w:type="dxa"/>
          </w:tcPr>
          <w:p w14:paraId="53544285" w14:textId="77777777" w:rsidR="0028451D" w:rsidRPr="009A27ED" w:rsidRDefault="0028451D" w:rsidP="008C6671">
            <w:pPr>
              <w:numPr>
                <w:ilvl w:val="1"/>
                <w:numId w:val="3"/>
              </w:numPr>
              <w:contextualSpacing/>
              <w:jc w:val="left"/>
              <w:rPr>
                <w:rFonts w:ascii="Calibri" w:eastAsia="Calibri" w:hAnsi="Calibri" w:cs="Calibri"/>
                <w:sz w:val="20"/>
                <w:szCs w:val="20"/>
              </w:rPr>
            </w:pPr>
            <w:r w:rsidRPr="009A27ED">
              <w:rPr>
                <w:rFonts w:ascii="Calibri" w:eastAsia="Calibri" w:hAnsi="Calibri" w:cs="Calibri"/>
                <w:sz w:val="20"/>
                <w:szCs w:val="20"/>
              </w:rPr>
              <w:t xml:space="preserve"> Desarrollar programa de restauración de ecosistemas afectados post incendios.</w:t>
            </w:r>
          </w:p>
        </w:tc>
        <w:tc>
          <w:tcPr>
            <w:tcW w:w="2102" w:type="dxa"/>
          </w:tcPr>
          <w:p w14:paraId="679CFDAC" w14:textId="799D10DC" w:rsidR="0028451D" w:rsidRPr="009A27ED" w:rsidRDefault="0028451D" w:rsidP="0028451D">
            <w:pPr>
              <w:rPr>
                <w:rFonts w:ascii="Calibri" w:eastAsia="Calibri" w:hAnsi="Calibri" w:cs="Calibri"/>
                <w:b/>
                <w:sz w:val="20"/>
                <w:szCs w:val="20"/>
              </w:rPr>
            </w:pPr>
            <w:r w:rsidRPr="009A27ED">
              <w:rPr>
                <w:rFonts w:ascii="Calibri" w:eastAsia="Calibri" w:hAnsi="Calibri" w:cs="Calibri"/>
                <w:sz w:val="20"/>
                <w:szCs w:val="20"/>
                <w:lang w:val="es-MX"/>
              </w:rPr>
              <w:t xml:space="preserve">Manejo y uso insostenible de las tierras forestales  </w:t>
            </w:r>
          </w:p>
        </w:tc>
        <w:tc>
          <w:tcPr>
            <w:tcW w:w="5528" w:type="dxa"/>
          </w:tcPr>
          <w:p w14:paraId="6288D51C" w14:textId="410D5E56" w:rsidR="0028451D" w:rsidRPr="009A27ED" w:rsidRDefault="0028451D" w:rsidP="004A4289">
            <w:pPr>
              <w:rPr>
                <w:rFonts w:ascii="Calibri" w:eastAsia="Calibri" w:hAnsi="Calibri" w:cs="Calibri"/>
                <w:sz w:val="20"/>
                <w:szCs w:val="20"/>
              </w:rPr>
            </w:pPr>
            <w:r w:rsidRPr="009A27ED">
              <w:rPr>
                <w:rFonts w:ascii="Calibri" w:eastAsia="Calibri" w:hAnsi="Calibri" w:cs="Calibri"/>
                <w:b/>
                <w:sz w:val="20"/>
                <w:szCs w:val="20"/>
              </w:rPr>
              <w:t>Acción directa</w:t>
            </w:r>
            <w:r w:rsidRPr="009A27ED">
              <w:rPr>
                <w:rFonts w:ascii="Calibri" w:eastAsia="Calibri" w:hAnsi="Calibri" w:cs="Calibri"/>
                <w:sz w:val="20"/>
                <w:szCs w:val="20"/>
              </w:rPr>
              <w:t>: Este esfuerzo estará orientado a la i</w:t>
            </w:r>
            <w:r w:rsidRPr="009A27ED">
              <w:rPr>
                <w:rFonts w:ascii="Calibri" w:eastAsia="Calibri" w:hAnsi="Calibri" w:cs="Calibri"/>
                <w:sz w:val="20"/>
                <w:szCs w:val="20"/>
                <w:lang w:val="es-MX"/>
              </w:rPr>
              <w:t>implementación de proyectos de restauración ecológica en áreas públicas y privadas afectadas por incendios forestales a nivel nacional. Se contempla que abarque al Sistema Nacional de Áreas Protegidas (SINAP) y a las cuencas hidrográficas más representativas del país. Un mecanismo ya en funcionamiento que facilitará el desarrollo de esta medida, es el Programa Nacional de Restauración de Cuencas que está siendo implementado desde el año 2017 por el Ministerio de Medio Ambiente y Recursos Naturales. Dicho programa considera dentro de sus lineamientos la recuperación de áreas forestales afectadas por incendios.</w:t>
            </w:r>
            <w:r w:rsidRPr="009A27ED">
              <w:rPr>
                <w:rFonts w:ascii="Calibri" w:eastAsia="Calibri" w:hAnsi="Calibri" w:cs="Calibri"/>
                <w:sz w:val="20"/>
                <w:szCs w:val="20"/>
                <w:lang w:val="es-DO"/>
              </w:rPr>
              <w:t xml:space="preserve"> </w:t>
            </w:r>
            <w:r w:rsidRPr="009A27ED">
              <w:rPr>
                <w:rFonts w:ascii="Calibri" w:eastAsia="Calibri" w:hAnsi="Calibri" w:cs="Calibri"/>
                <w:sz w:val="20"/>
                <w:szCs w:val="20"/>
                <w:lang w:val="es-MX"/>
              </w:rPr>
              <w:t xml:space="preserve">Abarca el SINAP, manejo de cuencas y todos los programas nacionales que se incorporen a la Estrategia Nacional REDD+. Con el </w:t>
            </w:r>
            <w:r w:rsidR="00124B63" w:rsidRPr="009A27ED">
              <w:rPr>
                <w:rFonts w:ascii="Calibri" w:eastAsia="Calibri" w:hAnsi="Calibri" w:cs="Calibri"/>
                <w:sz w:val="20"/>
                <w:szCs w:val="20"/>
                <w:lang w:val="es-MX"/>
              </w:rPr>
              <w:t>Programa REDD+</w:t>
            </w:r>
            <w:r w:rsidR="00874FCA" w:rsidRPr="009A27ED">
              <w:rPr>
                <w:rFonts w:ascii="Calibri" w:eastAsia="Calibri" w:hAnsi="Calibri" w:cs="Calibri"/>
                <w:sz w:val="20"/>
                <w:szCs w:val="20"/>
                <w:lang w:val="es-MX"/>
              </w:rPr>
              <w:t xml:space="preserve"> </w:t>
            </w:r>
            <w:r w:rsidRPr="009A27ED">
              <w:rPr>
                <w:rFonts w:ascii="Calibri" w:eastAsia="Calibri" w:hAnsi="Calibri" w:cs="Calibri"/>
                <w:sz w:val="20"/>
                <w:szCs w:val="20"/>
                <w:lang w:val="es-MX"/>
              </w:rPr>
              <w:t xml:space="preserve">se pretende ejecutar </w:t>
            </w:r>
            <w:r w:rsidR="004A4289" w:rsidRPr="009A27ED">
              <w:rPr>
                <w:rFonts w:ascii="Calibri" w:eastAsia="Calibri" w:hAnsi="Calibri" w:cs="Calibri"/>
                <w:sz w:val="20"/>
                <w:szCs w:val="20"/>
                <w:lang w:val="es-MX"/>
              </w:rPr>
              <w:t>acciones</w:t>
            </w:r>
            <w:r w:rsidRPr="009A27ED">
              <w:rPr>
                <w:rFonts w:ascii="Calibri" w:eastAsia="Calibri" w:hAnsi="Calibri" w:cs="Calibri"/>
                <w:sz w:val="20"/>
                <w:szCs w:val="20"/>
                <w:lang w:val="es-MX"/>
              </w:rPr>
              <w:t xml:space="preserve"> de restauración post incendio</w:t>
            </w:r>
            <w:r w:rsidRPr="009A27ED">
              <w:rPr>
                <w:rFonts w:ascii="Calibri" w:eastAsia="Calibri" w:hAnsi="Calibri" w:cs="Calibri"/>
                <w:b/>
                <w:sz w:val="20"/>
                <w:szCs w:val="20"/>
                <w:lang w:val="es-MX"/>
              </w:rPr>
              <w:t>.</w:t>
            </w:r>
          </w:p>
        </w:tc>
      </w:tr>
      <w:tr w:rsidR="0028451D" w:rsidRPr="009A27ED" w14:paraId="4D90583B" w14:textId="4E9EE133" w:rsidTr="005C2EAE">
        <w:tc>
          <w:tcPr>
            <w:tcW w:w="2340" w:type="dxa"/>
            <w:vMerge/>
          </w:tcPr>
          <w:p w14:paraId="43EB89AE" w14:textId="77777777" w:rsidR="0028451D" w:rsidRPr="009A27ED" w:rsidRDefault="0028451D" w:rsidP="0028451D">
            <w:pPr>
              <w:rPr>
                <w:rFonts w:ascii="Calibri" w:eastAsia="Calibri" w:hAnsi="Calibri" w:cs="Calibri"/>
                <w:sz w:val="20"/>
                <w:szCs w:val="20"/>
              </w:rPr>
            </w:pPr>
          </w:p>
        </w:tc>
        <w:tc>
          <w:tcPr>
            <w:tcW w:w="2641" w:type="dxa"/>
          </w:tcPr>
          <w:p w14:paraId="3E0DC1B6" w14:textId="77777777" w:rsidR="0028451D" w:rsidRPr="009A27ED" w:rsidRDefault="0028451D" w:rsidP="008C6671">
            <w:pPr>
              <w:numPr>
                <w:ilvl w:val="1"/>
                <w:numId w:val="3"/>
              </w:numPr>
              <w:contextualSpacing/>
              <w:jc w:val="left"/>
              <w:rPr>
                <w:rFonts w:ascii="Calibri" w:eastAsia="Calibri" w:hAnsi="Calibri" w:cs="Calibri"/>
                <w:sz w:val="20"/>
                <w:szCs w:val="20"/>
              </w:rPr>
            </w:pPr>
            <w:r w:rsidRPr="009A27ED">
              <w:rPr>
                <w:rFonts w:ascii="Calibri" w:eastAsia="Calibri" w:hAnsi="Calibri" w:cs="Calibri"/>
                <w:sz w:val="20"/>
                <w:szCs w:val="20"/>
              </w:rPr>
              <w:t xml:space="preserve"> Desarrollar un plan de protección fitosanitaria en áreas boscosas prioritarias.</w:t>
            </w:r>
          </w:p>
        </w:tc>
        <w:tc>
          <w:tcPr>
            <w:tcW w:w="2102" w:type="dxa"/>
          </w:tcPr>
          <w:p w14:paraId="3CB58FBB" w14:textId="199CC38E" w:rsidR="0028451D" w:rsidRPr="009A27ED" w:rsidRDefault="0028451D" w:rsidP="0028451D">
            <w:pPr>
              <w:rPr>
                <w:rFonts w:ascii="Calibri" w:eastAsia="Calibri" w:hAnsi="Calibri" w:cs="Calibri"/>
                <w:b/>
                <w:sz w:val="20"/>
                <w:szCs w:val="20"/>
              </w:rPr>
            </w:pPr>
            <w:r w:rsidRPr="009A27ED">
              <w:rPr>
                <w:rFonts w:ascii="Calibri" w:eastAsia="Calibri" w:hAnsi="Calibri" w:cs="Calibri"/>
                <w:sz w:val="20"/>
                <w:szCs w:val="20"/>
              </w:rPr>
              <w:t>Manejo y uso insostenible de las tierras forestales</w:t>
            </w:r>
          </w:p>
        </w:tc>
        <w:tc>
          <w:tcPr>
            <w:tcW w:w="5528" w:type="dxa"/>
          </w:tcPr>
          <w:p w14:paraId="30CD335E" w14:textId="69209E9D" w:rsidR="0028451D" w:rsidRPr="009A27ED" w:rsidRDefault="0028451D" w:rsidP="00874FCA">
            <w:pPr>
              <w:rPr>
                <w:rFonts w:ascii="Calibri" w:eastAsia="Calibri" w:hAnsi="Calibri" w:cs="Calibri"/>
                <w:sz w:val="20"/>
                <w:szCs w:val="20"/>
              </w:rPr>
            </w:pPr>
            <w:r w:rsidRPr="009A27ED">
              <w:rPr>
                <w:rFonts w:ascii="Calibri" w:eastAsia="Calibri" w:hAnsi="Calibri" w:cs="Calibri"/>
                <w:b/>
                <w:sz w:val="20"/>
                <w:szCs w:val="20"/>
              </w:rPr>
              <w:t>Acción facilitadora</w:t>
            </w:r>
            <w:r w:rsidRPr="009A27ED">
              <w:rPr>
                <w:rFonts w:ascii="Calibri" w:eastAsia="Calibri" w:hAnsi="Calibri" w:cs="Calibri"/>
                <w:sz w:val="20"/>
                <w:szCs w:val="20"/>
              </w:rPr>
              <w:t xml:space="preserve">: </w:t>
            </w:r>
            <w:r w:rsidRPr="009A27ED">
              <w:rPr>
                <w:rFonts w:ascii="Calibri" w:eastAsia="Calibri" w:hAnsi="Calibri" w:cs="Calibri"/>
                <w:sz w:val="20"/>
                <w:szCs w:val="20"/>
                <w:lang w:val="es-MX"/>
              </w:rPr>
              <w:t xml:space="preserve">Se tiene conciencia del efecto de las plagas sobre las emisiones forestales y menores capturas de carbono de los bosques. Sin embargo, no existe ninguna metodología que permita medir cuantitativamente las cantidades, menos aún una herramienta metodológica, para determinar el umbral de daño aceptable, para la toma de decisiones de las acciones de control. Por lo tanto, </w:t>
            </w:r>
            <w:r w:rsidR="00874FCA" w:rsidRPr="009A27ED">
              <w:rPr>
                <w:rFonts w:ascii="Calibri" w:eastAsia="Calibri" w:hAnsi="Calibri" w:cs="Calibri"/>
                <w:sz w:val="20"/>
                <w:szCs w:val="20"/>
                <w:lang w:val="es-MX"/>
              </w:rPr>
              <w:t>a mediano plazo, se busca establecer</w:t>
            </w:r>
            <w:r w:rsidRPr="009A27ED">
              <w:rPr>
                <w:rFonts w:ascii="Calibri" w:eastAsia="Calibri" w:hAnsi="Calibri" w:cs="Calibri"/>
                <w:sz w:val="20"/>
                <w:szCs w:val="20"/>
                <w:lang w:val="es-MX"/>
              </w:rPr>
              <w:t xml:space="preserve"> un monitoreo fitosanitario permanente sobre los recursos forestales nativos. Para esto se hace necesario la capacitación de profesionales y técnicos en prospección, detección, control y prevención de plagas. Además, el Ministerio de </w:t>
            </w:r>
            <w:r w:rsidR="003962C9" w:rsidRPr="009A27ED">
              <w:rPr>
                <w:rFonts w:ascii="Calibri" w:eastAsia="Calibri" w:hAnsi="Calibri" w:cs="Calibri"/>
                <w:sz w:val="20"/>
                <w:szCs w:val="20"/>
                <w:lang w:val="es-MX"/>
              </w:rPr>
              <w:t>Agricultura plantea</w:t>
            </w:r>
            <w:r w:rsidRPr="009A27ED">
              <w:rPr>
                <w:rFonts w:ascii="Calibri" w:eastAsia="Calibri" w:hAnsi="Calibri" w:cs="Calibri"/>
                <w:sz w:val="20"/>
                <w:szCs w:val="20"/>
                <w:lang w:val="es-MX"/>
              </w:rPr>
              <w:t xml:space="preserve"> fortalecer las capacidades de los laboratorios nacionales de fitopatología, lo cual beneficiará la implementación del programa de protección para el control de agentes infecciosos. El país cuenta con el Comité Nacional para la aplicación de Medidas Sanitarias y Fitosanitarias (CNMSF), basado en el uso de controladores biológicos, incluyendo un laboratorio para la reproducción de agentes benéficos. A corto plazo se </w:t>
            </w:r>
            <w:r w:rsidR="003962C9" w:rsidRPr="009A27ED">
              <w:rPr>
                <w:rFonts w:ascii="Calibri" w:eastAsia="Calibri" w:hAnsi="Calibri" w:cs="Calibri"/>
                <w:sz w:val="20"/>
                <w:szCs w:val="20"/>
                <w:lang w:val="es-MX"/>
              </w:rPr>
              <w:t>desarrollarán</w:t>
            </w:r>
            <w:r w:rsidR="00286D9A" w:rsidRPr="009A27ED">
              <w:rPr>
                <w:rFonts w:ascii="Calibri" w:eastAsia="Calibri" w:hAnsi="Calibri" w:cs="Calibri"/>
                <w:sz w:val="20"/>
                <w:szCs w:val="20"/>
                <w:lang w:val="es-MX"/>
              </w:rPr>
              <w:t xml:space="preserve"> acciones </w:t>
            </w:r>
            <w:r w:rsidRPr="009A27ED">
              <w:rPr>
                <w:rFonts w:ascii="Calibri" w:eastAsia="Calibri" w:hAnsi="Calibri" w:cs="Calibri"/>
                <w:sz w:val="20"/>
                <w:szCs w:val="20"/>
                <w:lang w:val="es-MX"/>
              </w:rPr>
              <w:t xml:space="preserve">que incluya uso y manejo de pesticidas, manejo integrado de plagas, métodos de </w:t>
            </w:r>
            <w:r w:rsidRPr="009A27ED">
              <w:rPr>
                <w:rFonts w:ascii="Calibri" w:eastAsia="Calibri" w:hAnsi="Calibri" w:cs="Calibri"/>
                <w:sz w:val="20"/>
                <w:szCs w:val="20"/>
                <w:lang w:val="es-MX"/>
              </w:rPr>
              <w:lastRenderedPageBreak/>
              <w:t>prevención, control y monitoreo fitosanitario permanente de los recursos forestales nativos. Esto requiere capacitación de profesionales y personal técnico en prospección, detección, registro, prevención y control de plagas a nivel central y local (incluyendo aduanas</w:t>
            </w:r>
            <w:r w:rsidR="00874FCA" w:rsidRPr="009A27ED">
              <w:rPr>
                <w:rFonts w:ascii="Calibri" w:eastAsia="Calibri" w:hAnsi="Calibri" w:cs="Calibri"/>
                <w:sz w:val="20"/>
                <w:szCs w:val="20"/>
                <w:lang w:val="es-MX"/>
              </w:rPr>
              <w:t>)</w:t>
            </w:r>
            <w:r w:rsidRPr="009A27ED">
              <w:rPr>
                <w:rFonts w:ascii="Calibri" w:eastAsia="Calibri" w:hAnsi="Calibri" w:cs="Calibri"/>
                <w:sz w:val="20"/>
                <w:szCs w:val="20"/>
                <w:lang w:val="es-MX"/>
              </w:rPr>
              <w:t>.</w:t>
            </w:r>
          </w:p>
        </w:tc>
      </w:tr>
    </w:tbl>
    <w:p w14:paraId="74DD206D" w14:textId="7695B621" w:rsidR="00885D5E" w:rsidRPr="009A27ED" w:rsidRDefault="00885D5E" w:rsidP="005B6485">
      <w:pPr>
        <w:spacing w:before="120" w:after="100" w:afterAutospacing="1" w:line="360" w:lineRule="auto"/>
        <w:rPr>
          <w:szCs w:val="22"/>
        </w:rPr>
      </w:pPr>
    </w:p>
    <w:p w14:paraId="4537A120" w14:textId="1842FBC7" w:rsidR="00947670" w:rsidRPr="009A27ED" w:rsidRDefault="00C06613" w:rsidP="00A4612C">
      <w:pPr>
        <w:pStyle w:val="Ttulo2"/>
        <w:spacing w:line="360" w:lineRule="auto"/>
        <w:ind w:left="567"/>
        <w:jc w:val="both"/>
        <w:rPr>
          <w:sz w:val="24"/>
        </w:rPr>
      </w:pPr>
      <w:bookmarkStart w:id="95" w:name="_Toc529469986"/>
      <w:bookmarkStart w:id="96" w:name="_Toc532335849"/>
      <w:bookmarkStart w:id="97" w:name="_Toc111837920"/>
      <w:r w:rsidRPr="009A27ED">
        <w:rPr>
          <w:rFonts w:ascii="Times New Roman" w:eastAsia="Times New Roman" w:hAnsi="Times New Roman"/>
          <w:sz w:val="24"/>
        </w:rPr>
        <w:t xml:space="preserve">Planes, Sistemas, </w:t>
      </w:r>
      <w:r w:rsidR="00947670" w:rsidRPr="009A27ED">
        <w:rPr>
          <w:rFonts w:ascii="Times New Roman" w:eastAsia="Times New Roman" w:hAnsi="Times New Roman"/>
          <w:sz w:val="24"/>
        </w:rPr>
        <w:t xml:space="preserve">Programas, </w:t>
      </w:r>
      <w:r w:rsidR="002B2924" w:rsidRPr="009A27ED">
        <w:rPr>
          <w:rFonts w:ascii="Times New Roman" w:eastAsia="Times New Roman" w:hAnsi="Times New Roman"/>
          <w:sz w:val="24"/>
        </w:rPr>
        <w:t>P</w:t>
      </w:r>
      <w:r w:rsidR="00947670" w:rsidRPr="009A27ED">
        <w:rPr>
          <w:rFonts w:ascii="Times New Roman" w:eastAsia="Times New Roman" w:hAnsi="Times New Roman"/>
          <w:sz w:val="24"/>
        </w:rPr>
        <w:t>royectos y actividades REDD+</w:t>
      </w:r>
      <w:bookmarkEnd w:id="95"/>
      <w:bookmarkEnd w:id="96"/>
      <w:bookmarkEnd w:id="97"/>
    </w:p>
    <w:p w14:paraId="15D58055" w14:textId="166A3836" w:rsidR="00947670" w:rsidRPr="009A27ED" w:rsidRDefault="00947670" w:rsidP="005B6485">
      <w:pPr>
        <w:spacing w:before="120" w:after="0" w:line="360" w:lineRule="auto"/>
        <w:rPr>
          <w:color w:val="000000" w:themeColor="text1"/>
          <w:szCs w:val="22"/>
        </w:rPr>
      </w:pPr>
      <w:r w:rsidRPr="009A27ED">
        <w:rPr>
          <w:rFonts w:ascii="Times New Roman" w:eastAsia="Times New Roman" w:hAnsi="Times New Roman"/>
          <w:sz w:val="24"/>
          <w:szCs w:val="22"/>
        </w:rPr>
        <w:t>Todas las acciones estratégicas directas (</w:t>
      </w:r>
      <w:r w:rsidR="00874197" w:rsidRPr="009A27ED">
        <w:rPr>
          <w:rFonts w:ascii="Times New Roman" w:eastAsia="Times New Roman" w:hAnsi="Times New Roman"/>
          <w:sz w:val="24"/>
          <w:szCs w:val="22"/>
        </w:rPr>
        <w:t>“</w:t>
      </w:r>
      <w:r w:rsidRPr="009A27ED">
        <w:rPr>
          <w:rFonts w:ascii="Times New Roman" w:eastAsia="Times New Roman" w:hAnsi="Times New Roman"/>
          <w:sz w:val="24"/>
          <w:szCs w:val="22"/>
        </w:rPr>
        <w:t>Mejora Existencias de Carbono y Deforestación / Degradación</w:t>
      </w:r>
      <w:r w:rsidR="00874197" w:rsidRPr="009A27ED">
        <w:rPr>
          <w:rFonts w:ascii="Times New Roman" w:eastAsia="Times New Roman" w:hAnsi="Times New Roman"/>
          <w:sz w:val="24"/>
          <w:szCs w:val="22"/>
        </w:rPr>
        <w:t>”</w:t>
      </w:r>
      <w:r w:rsidRPr="009A27ED">
        <w:rPr>
          <w:rFonts w:ascii="Times New Roman" w:eastAsia="Times New Roman" w:hAnsi="Times New Roman"/>
          <w:sz w:val="24"/>
          <w:szCs w:val="22"/>
        </w:rPr>
        <w:t xml:space="preserve">) se implementarán a través de </w:t>
      </w:r>
      <w:r w:rsidR="00C06613" w:rsidRPr="009A27ED">
        <w:rPr>
          <w:rFonts w:ascii="Times New Roman" w:eastAsia="Times New Roman" w:hAnsi="Times New Roman"/>
          <w:sz w:val="24"/>
          <w:szCs w:val="22"/>
        </w:rPr>
        <w:t xml:space="preserve">planes, sistemas, </w:t>
      </w:r>
      <w:r w:rsidRPr="009A27ED">
        <w:rPr>
          <w:rFonts w:ascii="Times New Roman" w:eastAsia="Times New Roman" w:hAnsi="Times New Roman"/>
          <w:sz w:val="24"/>
          <w:szCs w:val="22"/>
        </w:rPr>
        <w:t xml:space="preserve">programas y proyectos nacionales o regionales que </w:t>
      </w:r>
      <w:r w:rsidR="003D3B1E" w:rsidRPr="009A27ED">
        <w:rPr>
          <w:rFonts w:ascii="Times New Roman" w:eastAsia="Times New Roman" w:hAnsi="Times New Roman"/>
          <w:sz w:val="24"/>
          <w:szCs w:val="22"/>
        </w:rPr>
        <w:t xml:space="preserve">actualmente </w:t>
      </w:r>
      <w:r w:rsidRPr="009A27ED">
        <w:rPr>
          <w:rFonts w:ascii="Times New Roman" w:eastAsia="Times New Roman" w:hAnsi="Times New Roman"/>
          <w:sz w:val="24"/>
          <w:szCs w:val="22"/>
        </w:rPr>
        <w:t xml:space="preserve">están en ejecución y que dada su trayectoria y resultados son considerados como exitosos. </w:t>
      </w:r>
      <w:r w:rsidRPr="009A27ED">
        <w:rPr>
          <w:rFonts w:ascii="Times New Roman" w:eastAsia="Times New Roman" w:hAnsi="Times New Roman"/>
          <w:color w:val="000000" w:themeColor="text1"/>
          <w:sz w:val="24"/>
          <w:szCs w:val="22"/>
        </w:rPr>
        <w:t xml:space="preserve">Estos fueron valorados por el </w:t>
      </w:r>
      <w:r w:rsidR="003D3B1E" w:rsidRPr="009A27ED">
        <w:rPr>
          <w:rFonts w:ascii="Times New Roman" w:eastAsia="Times New Roman" w:hAnsi="Times New Roman"/>
          <w:color w:val="000000" w:themeColor="text1"/>
          <w:sz w:val="24"/>
          <w:szCs w:val="22"/>
        </w:rPr>
        <w:t>Ministerio de Ambiente</w:t>
      </w:r>
      <w:r w:rsidRPr="009A27ED">
        <w:rPr>
          <w:rFonts w:ascii="Times New Roman" w:eastAsia="Times New Roman" w:hAnsi="Times New Roman"/>
          <w:color w:val="000000" w:themeColor="text1"/>
          <w:sz w:val="24"/>
          <w:szCs w:val="22"/>
        </w:rPr>
        <w:t xml:space="preserve">, </w:t>
      </w:r>
      <w:r w:rsidR="003D3B1E" w:rsidRPr="009A27ED">
        <w:rPr>
          <w:rFonts w:ascii="Times New Roman" w:eastAsia="Times New Roman" w:hAnsi="Times New Roman"/>
          <w:color w:val="000000" w:themeColor="text1"/>
          <w:sz w:val="24"/>
          <w:szCs w:val="22"/>
        </w:rPr>
        <w:t xml:space="preserve">tomando en consideración </w:t>
      </w:r>
      <w:r w:rsidRPr="009A27ED">
        <w:rPr>
          <w:rFonts w:ascii="Times New Roman" w:eastAsia="Times New Roman" w:hAnsi="Times New Roman"/>
          <w:color w:val="000000" w:themeColor="text1"/>
          <w:sz w:val="24"/>
          <w:szCs w:val="22"/>
        </w:rPr>
        <w:t>los objetivos de los programas y proyectos</w:t>
      </w:r>
      <w:r w:rsidR="003D3B1E" w:rsidRPr="009A27ED">
        <w:rPr>
          <w:rFonts w:ascii="Times New Roman" w:eastAsia="Times New Roman" w:hAnsi="Times New Roman"/>
          <w:color w:val="000000" w:themeColor="text1"/>
          <w:sz w:val="24"/>
          <w:szCs w:val="22"/>
        </w:rPr>
        <w:t xml:space="preserve">, las actividades que realizan y la </w:t>
      </w:r>
      <w:r w:rsidRPr="009A27ED">
        <w:rPr>
          <w:rFonts w:ascii="Times New Roman" w:eastAsia="Times New Roman" w:hAnsi="Times New Roman"/>
          <w:color w:val="000000" w:themeColor="text1"/>
          <w:sz w:val="24"/>
          <w:szCs w:val="22"/>
        </w:rPr>
        <w:t xml:space="preserve">vinculación con las metas que tiene el país para REDD+, estableciéndose que los mismos contribuyen en el corto y mediano plazo al alcance de las opciones </w:t>
      </w:r>
      <w:r w:rsidR="007E41FA" w:rsidRPr="009A27ED">
        <w:rPr>
          <w:rFonts w:ascii="Times New Roman" w:eastAsia="Times New Roman" w:hAnsi="Times New Roman"/>
          <w:color w:val="000000" w:themeColor="text1"/>
          <w:sz w:val="24"/>
          <w:szCs w:val="22"/>
        </w:rPr>
        <w:t xml:space="preserve">y acciones </w:t>
      </w:r>
      <w:r w:rsidRPr="009A27ED">
        <w:rPr>
          <w:rFonts w:ascii="Times New Roman" w:eastAsia="Times New Roman" w:hAnsi="Times New Roman"/>
          <w:color w:val="000000" w:themeColor="text1"/>
          <w:sz w:val="24"/>
          <w:szCs w:val="22"/>
        </w:rPr>
        <w:t>estratégicas REDD+.</w:t>
      </w:r>
    </w:p>
    <w:p w14:paraId="04471B5A" w14:textId="1A69261F" w:rsidR="00947670" w:rsidRPr="009A27ED" w:rsidRDefault="00947670" w:rsidP="00F03B95">
      <w:pPr>
        <w:spacing w:before="120" w:after="0" w:line="360" w:lineRule="auto"/>
        <w:rPr>
          <w:rFonts w:eastAsia="Calibri"/>
          <w:szCs w:val="22"/>
        </w:rPr>
      </w:pPr>
      <w:r w:rsidRPr="009A27ED">
        <w:rPr>
          <w:rFonts w:ascii="Times New Roman" w:eastAsia="Times New Roman" w:hAnsi="Times New Roman"/>
          <w:color w:val="000000" w:themeColor="text1"/>
          <w:sz w:val="24"/>
          <w:szCs w:val="22"/>
        </w:rPr>
        <w:t xml:space="preserve">En este contexto, el </w:t>
      </w:r>
      <w:r w:rsidR="00124B63" w:rsidRPr="009A27ED">
        <w:rPr>
          <w:rFonts w:ascii="Times New Roman" w:eastAsia="Times New Roman" w:hAnsi="Times New Roman"/>
          <w:color w:val="000000" w:themeColor="text1"/>
          <w:sz w:val="24"/>
          <w:szCs w:val="22"/>
        </w:rPr>
        <w:t>Programa REDD+</w:t>
      </w:r>
      <w:r w:rsidR="00434410" w:rsidRPr="009A27ED">
        <w:rPr>
          <w:rFonts w:ascii="Times New Roman" w:eastAsia="Times New Roman" w:hAnsi="Times New Roman"/>
          <w:color w:val="000000" w:themeColor="text1"/>
          <w:sz w:val="24"/>
          <w:szCs w:val="22"/>
        </w:rPr>
        <w:t xml:space="preserve"> es</w:t>
      </w:r>
      <w:r w:rsidRPr="009A27ED">
        <w:rPr>
          <w:rFonts w:ascii="Times New Roman" w:eastAsia="Times New Roman" w:hAnsi="Times New Roman"/>
          <w:color w:val="000000" w:themeColor="text1"/>
          <w:sz w:val="24"/>
          <w:szCs w:val="22"/>
        </w:rPr>
        <w:t xml:space="preserve"> considerado como base para la</w:t>
      </w:r>
      <w:r w:rsidR="003D3B1E" w:rsidRPr="009A27ED">
        <w:rPr>
          <w:rFonts w:ascii="Times New Roman" w:eastAsia="Times New Roman" w:hAnsi="Times New Roman"/>
          <w:color w:val="000000" w:themeColor="text1"/>
          <w:sz w:val="24"/>
          <w:szCs w:val="22"/>
        </w:rPr>
        <w:t xml:space="preserve"> implementación de la</w:t>
      </w:r>
      <w:r w:rsidRPr="009A27ED">
        <w:rPr>
          <w:rFonts w:ascii="Times New Roman" w:eastAsia="Times New Roman" w:hAnsi="Times New Roman"/>
          <w:color w:val="000000" w:themeColor="text1"/>
          <w:sz w:val="24"/>
          <w:szCs w:val="22"/>
        </w:rPr>
        <w:t xml:space="preserve"> Estrategia Nacional  REDD+, la cual se está formulando con la participación de los distintos actores </w:t>
      </w:r>
      <w:r w:rsidR="003D3B1E" w:rsidRPr="009A27ED">
        <w:rPr>
          <w:rFonts w:ascii="Times New Roman" w:eastAsia="Times New Roman" w:hAnsi="Times New Roman"/>
          <w:color w:val="000000" w:themeColor="text1"/>
          <w:sz w:val="24"/>
          <w:szCs w:val="22"/>
        </w:rPr>
        <w:t>involucrados</w:t>
      </w:r>
      <w:r w:rsidRPr="009A27ED">
        <w:rPr>
          <w:rFonts w:ascii="Times New Roman" w:eastAsia="Times New Roman" w:hAnsi="Times New Roman"/>
          <w:color w:val="000000" w:themeColor="text1"/>
          <w:sz w:val="24"/>
          <w:szCs w:val="22"/>
        </w:rPr>
        <w:t xml:space="preserve">. </w:t>
      </w:r>
    </w:p>
    <w:p w14:paraId="57EFBBD8" w14:textId="3429EDAD" w:rsidR="00947670" w:rsidRPr="009A27ED" w:rsidRDefault="00947670" w:rsidP="005B6485">
      <w:pPr>
        <w:spacing w:before="120" w:after="0" w:line="360" w:lineRule="auto"/>
        <w:rPr>
          <w:color w:val="000000" w:themeColor="text1"/>
          <w:szCs w:val="22"/>
        </w:rPr>
      </w:pPr>
      <w:r w:rsidRPr="009A27ED">
        <w:rPr>
          <w:rFonts w:ascii="Times New Roman" w:eastAsia="Times New Roman" w:hAnsi="Times New Roman"/>
          <w:sz w:val="24"/>
          <w:szCs w:val="22"/>
        </w:rPr>
        <w:t xml:space="preserve">La lista de </w:t>
      </w:r>
      <w:r w:rsidR="00F47656" w:rsidRPr="009A27ED">
        <w:rPr>
          <w:rFonts w:ascii="Times New Roman" w:eastAsia="Times New Roman" w:hAnsi="Times New Roman"/>
          <w:sz w:val="24"/>
          <w:szCs w:val="22"/>
        </w:rPr>
        <w:t xml:space="preserve">Planes, Sistemas, </w:t>
      </w:r>
      <w:r w:rsidRPr="009A27ED">
        <w:rPr>
          <w:rFonts w:ascii="Times New Roman" w:eastAsia="Times New Roman" w:hAnsi="Times New Roman"/>
          <w:sz w:val="24"/>
          <w:szCs w:val="22"/>
        </w:rPr>
        <w:t xml:space="preserve">Programas y Proyectos existentes identificados a </w:t>
      </w:r>
      <w:r w:rsidR="009119E2" w:rsidRPr="009A27ED">
        <w:rPr>
          <w:rFonts w:ascii="Times New Roman" w:eastAsia="Times New Roman" w:hAnsi="Times New Roman"/>
          <w:sz w:val="24"/>
          <w:szCs w:val="22"/>
        </w:rPr>
        <w:t>continuación</w:t>
      </w:r>
      <w:r w:rsidRPr="009A27ED">
        <w:rPr>
          <w:rFonts w:ascii="Times New Roman" w:eastAsia="Times New Roman" w:hAnsi="Times New Roman"/>
          <w:sz w:val="24"/>
          <w:szCs w:val="22"/>
        </w:rPr>
        <w:t xml:space="preserve"> fue validada a través de un equipo multidisciplinario del Ministerio de Medio Ambiente y posteriormente por el CTA ampliado.</w:t>
      </w:r>
      <w:r w:rsidRPr="009A27ED">
        <w:rPr>
          <w:rFonts w:ascii="Times New Roman" w:eastAsia="Times New Roman" w:hAnsi="Times New Roman"/>
          <w:color w:val="000000" w:themeColor="text1"/>
          <w:sz w:val="24"/>
          <w:szCs w:val="22"/>
        </w:rPr>
        <w:t xml:space="preserve"> </w:t>
      </w:r>
      <w:r w:rsidR="00852FE1" w:rsidRPr="009A27ED">
        <w:rPr>
          <w:rFonts w:ascii="Times New Roman" w:eastAsia="Times New Roman" w:hAnsi="Times New Roman"/>
          <w:color w:val="000000" w:themeColor="text1"/>
          <w:sz w:val="24"/>
          <w:szCs w:val="22"/>
        </w:rPr>
        <w:t>El</w:t>
      </w:r>
      <w:r w:rsidR="0049512C" w:rsidRPr="009A27ED">
        <w:rPr>
          <w:rFonts w:ascii="Times New Roman" w:eastAsia="Times New Roman" w:hAnsi="Times New Roman"/>
          <w:color w:val="000000" w:themeColor="text1"/>
          <w:sz w:val="24"/>
          <w:szCs w:val="22"/>
        </w:rPr>
        <w:t xml:space="preserve"> cuadro </w:t>
      </w:r>
      <w:r w:rsidR="005F667F" w:rsidRPr="009A27ED">
        <w:rPr>
          <w:rFonts w:ascii="Times New Roman" w:eastAsia="Times New Roman" w:hAnsi="Times New Roman"/>
          <w:color w:val="000000" w:themeColor="text1"/>
          <w:sz w:val="24"/>
          <w:szCs w:val="22"/>
        </w:rPr>
        <w:t>6</w:t>
      </w:r>
      <w:r w:rsidR="00C774F6" w:rsidRPr="009A27ED">
        <w:rPr>
          <w:rFonts w:ascii="Times New Roman" w:eastAsia="Times New Roman" w:hAnsi="Times New Roman"/>
          <w:sz w:val="24"/>
          <w:szCs w:val="22"/>
        </w:rPr>
        <w:t xml:space="preserve"> </w:t>
      </w:r>
      <w:r w:rsidR="00852FE1" w:rsidRPr="009A27ED">
        <w:rPr>
          <w:rFonts w:ascii="Times New Roman" w:eastAsia="Times New Roman" w:hAnsi="Times New Roman"/>
          <w:color w:val="000000" w:themeColor="text1"/>
          <w:sz w:val="24"/>
          <w:szCs w:val="22"/>
        </w:rPr>
        <w:t>presenta esta información:</w:t>
      </w:r>
    </w:p>
    <w:p w14:paraId="478FD5F2" w14:textId="77777777" w:rsidR="00211198" w:rsidRPr="009A27ED" w:rsidRDefault="00211198" w:rsidP="005B6485">
      <w:pPr>
        <w:spacing w:before="120" w:after="0" w:line="360" w:lineRule="auto"/>
        <w:rPr>
          <w:color w:val="000000" w:themeColor="text1"/>
          <w:szCs w:val="22"/>
        </w:rPr>
      </w:pPr>
    </w:p>
    <w:p w14:paraId="273EF752" w14:textId="77777777" w:rsidR="004E6BAE" w:rsidRPr="009A27ED" w:rsidRDefault="004E6BAE" w:rsidP="00E67CB0">
      <w:pPr>
        <w:pStyle w:val="Descripcin"/>
        <w:spacing w:line="360" w:lineRule="auto"/>
        <w:rPr>
          <w:color w:val="000000" w:themeColor="text1"/>
          <w:sz w:val="20"/>
        </w:rPr>
      </w:pPr>
    </w:p>
    <w:p w14:paraId="6B3E6484" w14:textId="77777777" w:rsidR="004E6BAE" w:rsidRPr="009A27ED" w:rsidRDefault="004E6BAE" w:rsidP="00E67CB0">
      <w:pPr>
        <w:pStyle w:val="Descripcin"/>
        <w:spacing w:line="360" w:lineRule="auto"/>
        <w:rPr>
          <w:color w:val="000000" w:themeColor="text1"/>
          <w:sz w:val="20"/>
        </w:rPr>
      </w:pPr>
    </w:p>
    <w:p w14:paraId="5C13B0AC" w14:textId="042573C4" w:rsidR="004E6BAE" w:rsidRPr="009A27ED" w:rsidRDefault="004E6BAE" w:rsidP="004E6BAE">
      <w:pPr>
        <w:pStyle w:val="Descripcin"/>
        <w:keepNext/>
        <w:spacing w:line="360" w:lineRule="auto"/>
      </w:pPr>
      <w:bookmarkStart w:id="98" w:name="_Toc111887416"/>
      <w:r w:rsidRPr="009A27ED">
        <w:rPr>
          <w:rFonts w:ascii="Times New Roman" w:eastAsia="Times New Roman" w:hAnsi="Times New Roman"/>
          <w:sz w:val="24"/>
        </w:rPr>
        <w:t xml:space="preserve">Cuadro </w:t>
      </w:r>
      <w:r w:rsidR="00F43DB6" w:rsidRPr="009A27ED">
        <w:rPr>
          <w:rFonts w:ascii="Times New Roman" w:eastAsia="Times New Roman" w:hAnsi="Times New Roman"/>
          <w:sz w:val="24"/>
        </w:rPr>
        <w:fldChar w:fldCharType="begin"/>
      </w:r>
      <w:r w:rsidR="00F43DB6" w:rsidRPr="009A27ED">
        <w:rPr>
          <w:rFonts w:ascii="Times New Roman" w:eastAsia="Times New Roman" w:hAnsi="Times New Roman"/>
          <w:sz w:val="24"/>
        </w:rPr>
        <w:instrText xml:space="preserve"> SEQ Cuadro \* ARABIC </w:instrText>
      </w:r>
      <w:r w:rsidR="00F43DB6"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6</w:t>
      </w:r>
      <w:r w:rsidR="00F43DB6" w:rsidRPr="009A27ED">
        <w:rPr>
          <w:rFonts w:ascii="Times New Roman" w:eastAsia="Times New Roman" w:hAnsi="Times New Roman"/>
          <w:sz w:val="24"/>
        </w:rPr>
        <w:fldChar w:fldCharType="end"/>
      </w:r>
      <w:proofErr w:type="gramStart"/>
      <w:r w:rsidRPr="009A27ED">
        <w:rPr>
          <w:rFonts w:ascii="Times New Roman" w:eastAsia="Times New Roman" w:hAnsi="Times New Roman"/>
          <w:sz w:val="24"/>
        </w:rPr>
        <w:t>. .</w:t>
      </w:r>
      <w:proofErr w:type="gramEnd"/>
      <w:r w:rsidRPr="009A27ED">
        <w:rPr>
          <w:rFonts w:ascii="Times New Roman" w:eastAsia="Times New Roman" w:hAnsi="Times New Roman"/>
          <w:sz w:val="24"/>
        </w:rPr>
        <w:t xml:space="preserve"> Lista de Planes, Sistemas, Programas y Proyectos seleccionados para la EN-REDD+ y acciones tipo que desarrollan.</w:t>
      </w:r>
      <w:bookmarkEnd w:id="98"/>
    </w:p>
    <w:tbl>
      <w:tblPr>
        <w:tblW w:w="10161" w:type="dxa"/>
        <w:tblInd w:w="-436" w:type="dxa"/>
        <w:tblCellMar>
          <w:left w:w="0" w:type="dxa"/>
          <w:right w:w="0" w:type="dxa"/>
        </w:tblCellMar>
        <w:tblLook w:val="04A0" w:firstRow="1" w:lastRow="0" w:firstColumn="1" w:lastColumn="0" w:noHBand="0" w:noVBand="1"/>
      </w:tblPr>
      <w:tblGrid>
        <w:gridCol w:w="509"/>
        <w:gridCol w:w="2344"/>
        <w:gridCol w:w="3678"/>
        <w:gridCol w:w="1277"/>
        <w:gridCol w:w="2353"/>
      </w:tblGrid>
      <w:tr w:rsidR="004574F2" w:rsidRPr="009A27ED" w14:paraId="62F95FFA" w14:textId="77777777" w:rsidTr="004574F2">
        <w:trPr>
          <w:trHeight w:val="656"/>
        </w:trPr>
        <w:tc>
          <w:tcPr>
            <w:tcW w:w="509" w:type="dxa"/>
            <w:tcBorders>
              <w:top w:val="single" w:sz="4" w:space="0" w:color="auto"/>
              <w:left w:val="single" w:sz="4" w:space="0" w:color="auto"/>
              <w:bottom w:val="single" w:sz="4" w:space="0" w:color="auto"/>
              <w:right w:val="single" w:sz="4" w:space="0" w:color="auto"/>
            </w:tcBorders>
            <w:shd w:val="clear" w:color="auto" w:fill="0070C0"/>
            <w:tcMar>
              <w:top w:w="0" w:type="dxa"/>
              <w:left w:w="108" w:type="dxa"/>
              <w:bottom w:w="0" w:type="dxa"/>
              <w:right w:w="108" w:type="dxa"/>
            </w:tcMar>
            <w:vAlign w:val="center"/>
          </w:tcPr>
          <w:p w14:paraId="4AD7CB68" w14:textId="77777777" w:rsidR="004574F2" w:rsidRPr="009A27ED" w:rsidRDefault="004574F2" w:rsidP="00C55CE7">
            <w:pPr>
              <w:spacing w:after="0"/>
              <w:jc w:val="center"/>
              <w:rPr>
                <w:rFonts w:eastAsia="Times New Roman"/>
                <w:color w:val="000000"/>
                <w:sz w:val="20"/>
                <w:szCs w:val="20"/>
                <w:lang w:val="en-US" w:eastAsia="es-DO"/>
              </w:rPr>
            </w:pPr>
            <w:r w:rsidRPr="009A27ED">
              <w:rPr>
                <w:rFonts w:eastAsia="Times New Roman"/>
                <w:color w:val="000000"/>
                <w:sz w:val="20"/>
                <w:szCs w:val="20"/>
                <w:lang w:val="en-US" w:eastAsia="es-DO"/>
              </w:rPr>
              <w:t>No.</w:t>
            </w:r>
          </w:p>
        </w:tc>
        <w:tc>
          <w:tcPr>
            <w:tcW w:w="2344" w:type="dxa"/>
            <w:tcBorders>
              <w:top w:val="single" w:sz="4" w:space="0" w:color="auto"/>
              <w:left w:val="single" w:sz="4" w:space="0" w:color="auto"/>
              <w:bottom w:val="single" w:sz="4" w:space="0" w:color="auto"/>
              <w:right w:val="single" w:sz="4" w:space="0" w:color="auto"/>
            </w:tcBorders>
            <w:shd w:val="clear" w:color="auto" w:fill="0070C0"/>
            <w:tcMar>
              <w:top w:w="0" w:type="dxa"/>
              <w:left w:w="108" w:type="dxa"/>
              <w:bottom w:w="0" w:type="dxa"/>
              <w:right w:w="108" w:type="dxa"/>
            </w:tcMar>
            <w:vAlign w:val="center"/>
          </w:tcPr>
          <w:p w14:paraId="53A33537" w14:textId="77777777" w:rsidR="004574F2" w:rsidRPr="009A27ED" w:rsidRDefault="004574F2" w:rsidP="00C55CE7">
            <w:pPr>
              <w:spacing w:after="0"/>
              <w:jc w:val="center"/>
              <w:rPr>
                <w:rFonts w:eastAsia="Times New Roman"/>
                <w:color w:val="000000"/>
                <w:sz w:val="20"/>
                <w:szCs w:val="20"/>
                <w:lang w:val="en-US" w:eastAsia="es-DO"/>
              </w:rPr>
            </w:pPr>
            <w:r w:rsidRPr="009A27ED">
              <w:rPr>
                <w:rFonts w:eastAsia="Times New Roman"/>
                <w:color w:val="000000"/>
                <w:sz w:val="20"/>
                <w:szCs w:val="20"/>
                <w:lang w:val="en-US" w:eastAsia="es-DO"/>
              </w:rPr>
              <w:t xml:space="preserve">Plan, Sistema, </w:t>
            </w:r>
            <w:proofErr w:type="spellStart"/>
            <w:r w:rsidRPr="009A27ED">
              <w:rPr>
                <w:rFonts w:eastAsia="Times New Roman"/>
                <w:color w:val="000000"/>
                <w:sz w:val="20"/>
                <w:szCs w:val="20"/>
                <w:lang w:val="en-US" w:eastAsia="es-DO"/>
              </w:rPr>
              <w:t>Programa</w:t>
            </w:r>
            <w:proofErr w:type="spellEnd"/>
            <w:r w:rsidRPr="009A27ED">
              <w:rPr>
                <w:rFonts w:eastAsia="Times New Roman"/>
                <w:color w:val="000000"/>
                <w:sz w:val="20"/>
                <w:szCs w:val="20"/>
                <w:lang w:val="en-US" w:eastAsia="es-DO"/>
              </w:rPr>
              <w:t>/ Proyecto</w:t>
            </w:r>
          </w:p>
        </w:tc>
        <w:tc>
          <w:tcPr>
            <w:tcW w:w="3678" w:type="dxa"/>
            <w:tcBorders>
              <w:top w:val="single" w:sz="4" w:space="0" w:color="auto"/>
              <w:left w:val="single" w:sz="4" w:space="0" w:color="auto"/>
              <w:bottom w:val="single" w:sz="4" w:space="0" w:color="auto"/>
              <w:right w:val="single" w:sz="4" w:space="0" w:color="auto"/>
            </w:tcBorders>
            <w:shd w:val="clear" w:color="auto" w:fill="0070C0"/>
            <w:tcMar>
              <w:top w:w="0" w:type="dxa"/>
              <w:left w:w="108" w:type="dxa"/>
              <w:bottom w:w="0" w:type="dxa"/>
              <w:right w:w="108" w:type="dxa"/>
            </w:tcMar>
            <w:vAlign w:val="center"/>
          </w:tcPr>
          <w:p w14:paraId="373D500E" w14:textId="77777777" w:rsidR="004574F2" w:rsidRPr="009A27ED" w:rsidRDefault="004574F2" w:rsidP="00C55CE7">
            <w:pPr>
              <w:spacing w:after="0"/>
              <w:jc w:val="center"/>
              <w:rPr>
                <w:rFonts w:eastAsia="Times New Roman"/>
                <w:color w:val="000000"/>
                <w:sz w:val="20"/>
                <w:szCs w:val="20"/>
                <w:lang w:val="es-GT" w:eastAsia="es-DO"/>
              </w:rPr>
            </w:pPr>
            <w:r w:rsidRPr="009A27ED">
              <w:rPr>
                <w:rFonts w:eastAsia="Times New Roman"/>
                <w:color w:val="000000"/>
                <w:sz w:val="20"/>
                <w:szCs w:val="20"/>
                <w:lang w:val="es-GT" w:eastAsia="es-DO"/>
              </w:rPr>
              <w:t>Entidad Ejecutora</w:t>
            </w:r>
          </w:p>
        </w:tc>
        <w:tc>
          <w:tcPr>
            <w:tcW w:w="1277" w:type="dxa"/>
            <w:tcBorders>
              <w:top w:val="single" w:sz="4" w:space="0" w:color="auto"/>
              <w:left w:val="single" w:sz="4" w:space="0" w:color="auto"/>
              <w:bottom w:val="single" w:sz="4" w:space="0" w:color="auto"/>
              <w:right w:val="single" w:sz="4" w:space="0" w:color="auto"/>
            </w:tcBorders>
            <w:shd w:val="clear" w:color="auto" w:fill="0070C0"/>
            <w:tcMar>
              <w:top w:w="0" w:type="dxa"/>
              <w:left w:w="108" w:type="dxa"/>
              <w:bottom w:w="0" w:type="dxa"/>
              <w:right w:w="108" w:type="dxa"/>
            </w:tcMar>
            <w:vAlign w:val="center"/>
          </w:tcPr>
          <w:p w14:paraId="4634F118" w14:textId="77777777" w:rsidR="004574F2" w:rsidRPr="009A27ED" w:rsidRDefault="004574F2" w:rsidP="00C55CE7">
            <w:pPr>
              <w:spacing w:after="0"/>
              <w:jc w:val="center"/>
              <w:rPr>
                <w:rFonts w:eastAsia="Times New Roman"/>
                <w:color w:val="000000"/>
                <w:sz w:val="20"/>
                <w:szCs w:val="20"/>
                <w:lang w:val="es-GT" w:eastAsia="es-DO"/>
              </w:rPr>
            </w:pPr>
            <w:r w:rsidRPr="009A27ED">
              <w:rPr>
                <w:rFonts w:eastAsia="Times New Roman"/>
                <w:color w:val="000000"/>
                <w:sz w:val="20"/>
                <w:szCs w:val="20"/>
                <w:lang w:val="es-GT" w:eastAsia="es-DO"/>
              </w:rPr>
              <w:t>Ámbito Geográfico</w:t>
            </w:r>
          </w:p>
        </w:tc>
        <w:tc>
          <w:tcPr>
            <w:tcW w:w="2353" w:type="dxa"/>
            <w:tcBorders>
              <w:top w:val="single" w:sz="4" w:space="0" w:color="auto"/>
              <w:left w:val="single" w:sz="4" w:space="0" w:color="auto"/>
              <w:bottom w:val="single" w:sz="4" w:space="0" w:color="auto"/>
              <w:right w:val="single" w:sz="4" w:space="0" w:color="auto"/>
            </w:tcBorders>
            <w:shd w:val="clear" w:color="auto" w:fill="0070C0"/>
          </w:tcPr>
          <w:p w14:paraId="7811EE8C" w14:textId="77777777" w:rsidR="004574F2" w:rsidRPr="009A27ED" w:rsidRDefault="004574F2" w:rsidP="00C55CE7">
            <w:pPr>
              <w:spacing w:after="0"/>
              <w:jc w:val="center"/>
              <w:rPr>
                <w:rFonts w:eastAsia="Times New Roman"/>
                <w:color w:val="000000"/>
                <w:sz w:val="20"/>
                <w:szCs w:val="20"/>
                <w:lang w:val="es-GT" w:eastAsia="es-DO"/>
              </w:rPr>
            </w:pPr>
            <w:r w:rsidRPr="009A27ED">
              <w:rPr>
                <w:rFonts w:eastAsia="Times New Roman"/>
                <w:color w:val="000000"/>
                <w:sz w:val="20"/>
                <w:szCs w:val="20"/>
                <w:lang w:val="es-GT" w:eastAsia="es-DO"/>
              </w:rPr>
              <w:t>Actividad tipo que implementan</w:t>
            </w:r>
          </w:p>
        </w:tc>
      </w:tr>
      <w:tr w:rsidR="004574F2" w:rsidRPr="009A27ED" w14:paraId="2B692168" w14:textId="77777777" w:rsidTr="004574F2">
        <w:trPr>
          <w:trHeight w:val="656"/>
        </w:trPr>
        <w:tc>
          <w:tcPr>
            <w:tcW w:w="5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3E3E20C" w14:textId="77777777" w:rsidR="004574F2" w:rsidRPr="009A27ED" w:rsidRDefault="004574F2" w:rsidP="00C55CE7">
            <w:pPr>
              <w:spacing w:after="0"/>
              <w:jc w:val="center"/>
              <w:rPr>
                <w:rFonts w:eastAsia="Times New Roman"/>
                <w:color w:val="000000"/>
                <w:sz w:val="20"/>
                <w:szCs w:val="20"/>
                <w:lang w:val="en-US" w:eastAsia="es-DO"/>
              </w:rPr>
            </w:pPr>
            <w:r w:rsidRPr="009A27ED">
              <w:rPr>
                <w:rFonts w:eastAsia="Times New Roman"/>
                <w:color w:val="000000"/>
                <w:sz w:val="20"/>
                <w:szCs w:val="20"/>
                <w:lang w:val="en-US" w:eastAsia="es-DO"/>
              </w:rPr>
              <w:lastRenderedPageBreak/>
              <w:t>1</w:t>
            </w:r>
          </w:p>
        </w:tc>
        <w:tc>
          <w:tcPr>
            <w:tcW w:w="234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863B33D" w14:textId="77777777" w:rsidR="004574F2" w:rsidRPr="009A27ED" w:rsidRDefault="004574F2" w:rsidP="004574F2">
            <w:pPr>
              <w:spacing w:after="0"/>
              <w:jc w:val="center"/>
              <w:rPr>
                <w:rFonts w:eastAsia="Times New Roman"/>
                <w:color w:val="000000"/>
                <w:sz w:val="20"/>
                <w:szCs w:val="20"/>
                <w:lang w:val="en-US" w:eastAsia="es-DO"/>
              </w:rPr>
            </w:pPr>
            <w:r w:rsidRPr="009A27ED">
              <w:rPr>
                <w:rFonts w:eastAsia="Times New Roman"/>
                <w:color w:val="000000"/>
                <w:sz w:val="20"/>
                <w:szCs w:val="20"/>
                <w:lang w:val="en-US" w:eastAsia="es-DO"/>
              </w:rPr>
              <w:t>Proyecto La Celestina</w:t>
            </w:r>
          </w:p>
        </w:tc>
        <w:tc>
          <w:tcPr>
            <w:tcW w:w="367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3DFEC93" w14:textId="77777777" w:rsidR="004574F2" w:rsidRPr="009A27ED" w:rsidRDefault="004574F2" w:rsidP="004574F2">
            <w:pPr>
              <w:spacing w:after="0"/>
              <w:jc w:val="center"/>
              <w:rPr>
                <w:rFonts w:eastAsia="Times New Roman"/>
                <w:color w:val="000000"/>
                <w:sz w:val="20"/>
                <w:szCs w:val="20"/>
                <w:lang w:val="es-GT" w:eastAsia="es-DO"/>
              </w:rPr>
            </w:pPr>
            <w:r w:rsidRPr="009A27ED">
              <w:rPr>
                <w:rFonts w:eastAsia="Times New Roman"/>
                <w:color w:val="000000"/>
                <w:sz w:val="20"/>
                <w:szCs w:val="20"/>
                <w:lang w:val="es-GT" w:eastAsia="es-DO"/>
              </w:rPr>
              <w:t>Asociación de Silvicultores San Ramón</w:t>
            </w:r>
          </w:p>
          <w:p w14:paraId="10838CD6" w14:textId="77777777" w:rsidR="004574F2" w:rsidRPr="009A27ED" w:rsidRDefault="004574F2" w:rsidP="004574F2">
            <w:pPr>
              <w:spacing w:after="0"/>
              <w:jc w:val="center"/>
              <w:rPr>
                <w:rFonts w:eastAsia="Times New Roman"/>
                <w:color w:val="000000"/>
                <w:sz w:val="20"/>
                <w:szCs w:val="20"/>
                <w:lang w:val="es-GT" w:eastAsia="es-DO"/>
              </w:rPr>
            </w:pPr>
            <w:r w:rsidRPr="009A27ED">
              <w:rPr>
                <w:rFonts w:eastAsia="Times New Roman"/>
                <w:color w:val="000000"/>
                <w:sz w:val="20"/>
                <w:szCs w:val="20"/>
                <w:lang w:val="es-GT" w:eastAsia="es-DO"/>
              </w:rPr>
              <w:t>Consejo Directivo del Proyecto</w:t>
            </w:r>
          </w:p>
        </w:tc>
        <w:tc>
          <w:tcPr>
            <w:tcW w:w="12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1BEA185" w14:textId="77777777" w:rsidR="004574F2" w:rsidRPr="009A27ED" w:rsidRDefault="004574F2" w:rsidP="00C55CE7">
            <w:pPr>
              <w:spacing w:after="0"/>
              <w:jc w:val="center"/>
              <w:rPr>
                <w:rFonts w:eastAsia="Times New Roman"/>
                <w:color w:val="000000"/>
                <w:sz w:val="20"/>
                <w:szCs w:val="20"/>
                <w:lang w:val="es-GT" w:eastAsia="es-DO"/>
              </w:rPr>
            </w:pPr>
            <w:r w:rsidRPr="009A27ED">
              <w:rPr>
                <w:rFonts w:eastAsia="Times New Roman"/>
                <w:color w:val="000000"/>
                <w:sz w:val="20"/>
                <w:szCs w:val="20"/>
                <w:lang w:val="es-GT" w:eastAsia="es-DO"/>
              </w:rPr>
              <w:t xml:space="preserve">Municipio de San José de las Matas </w:t>
            </w:r>
          </w:p>
        </w:tc>
        <w:tc>
          <w:tcPr>
            <w:tcW w:w="2353" w:type="dxa"/>
            <w:tcBorders>
              <w:top w:val="single" w:sz="4" w:space="0" w:color="auto"/>
              <w:left w:val="single" w:sz="4" w:space="0" w:color="auto"/>
              <w:bottom w:val="single" w:sz="4" w:space="0" w:color="auto"/>
              <w:right w:val="single" w:sz="4" w:space="0" w:color="auto"/>
            </w:tcBorders>
          </w:tcPr>
          <w:p w14:paraId="29473280" w14:textId="77777777" w:rsidR="004574F2" w:rsidRPr="009A27ED" w:rsidRDefault="004574F2" w:rsidP="004574F2">
            <w:pPr>
              <w:spacing w:after="0"/>
              <w:jc w:val="center"/>
              <w:rPr>
                <w:rFonts w:eastAsia="Times New Roman"/>
                <w:color w:val="000000"/>
                <w:sz w:val="20"/>
                <w:szCs w:val="20"/>
                <w:lang w:val="es-GT" w:eastAsia="es-DO"/>
              </w:rPr>
            </w:pPr>
            <w:r w:rsidRPr="009A27ED">
              <w:rPr>
                <w:rFonts w:eastAsia="Times New Roman"/>
                <w:color w:val="000000"/>
                <w:sz w:val="20"/>
                <w:szCs w:val="20"/>
                <w:lang w:val="es-GT" w:eastAsia="es-DO"/>
              </w:rPr>
              <w:t>Manejo Forestal Sostenible</w:t>
            </w:r>
          </w:p>
        </w:tc>
      </w:tr>
      <w:tr w:rsidR="004574F2" w:rsidRPr="009A27ED" w14:paraId="2673B9EE" w14:textId="77777777" w:rsidTr="004574F2">
        <w:trPr>
          <w:trHeight w:val="656"/>
        </w:trPr>
        <w:tc>
          <w:tcPr>
            <w:tcW w:w="5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B336280" w14:textId="77777777" w:rsidR="004574F2" w:rsidRPr="009A27ED" w:rsidRDefault="004574F2" w:rsidP="00C55CE7">
            <w:pPr>
              <w:spacing w:after="0"/>
              <w:jc w:val="center"/>
              <w:rPr>
                <w:rFonts w:eastAsia="Times New Roman"/>
                <w:color w:val="000000"/>
                <w:sz w:val="20"/>
                <w:szCs w:val="20"/>
                <w:lang w:val="en-US" w:eastAsia="es-DO"/>
              </w:rPr>
            </w:pPr>
            <w:r w:rsidRPr="009A27ED">
              <w:rPr>
                <w:rFonts w:eastAsia="Times New Roman"/>
                <w:color w:val="000000"/>
                <w:sz w:val="20"/>
                <w:szCs w:val="20"/>
                <w:lang w:val="en-US" w:eastAsia="es-DO"/>
              </w:rPr>
              <w:t>2</w:t>
            </w:r>
          </w:p>
        </w:tc>
        <w:tc>
          <w:tcPr>
            <w:tcW w:w="234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D56D2E4" w14:textId="77777777" w:rsidR="004574F2" w:rsidRPr="009A27ED" w:rsidRDefault="004574F2" w:rsidP="004574F2">
            <w:pPr>
              <w:spacing w:after="0"/>
              <w:jc w:val="center"/>
              <w:rPr>
                <w:rFonts w:eastAsia="Times New Roman"/>
                <w:color w:val="000000"/>
                <w:sz w:val="20"/>
                <w:szCs w:val="20"/>
                <w:lang w:val="en-US" w:eastAsia="es-DO"/>
              </w:rPr>
            </w:pPr>
            <w:r w:rsidRPr="009A27ED">
              <w:rPr>
                <w:rFonts w:eastAsia="Times New Roman"/>
                <w:color w:val="000000"/>
                <w:sz w:val="20"/>
                <w:szCs w:val="20"/>
                <w:lang w:val="en-US" w:eastAsia="es-DO"/>
              </w:rPr>
              <w:t xml:space="preserve">Plan de </w:t>
            </w:r>
            <w:proofErr w:type="spellStart"/>
            <w:r w:rsidRPr="009A27ED">
              <w:rPr>
                <w:rFonts w:eastAsia="Times New Roman"/>
                <w:color w:val="000000"/>
                <w:sz w:val="20"/>
                <w:szCs w:val="20"/>
                <w:lang w:val="en-US" w:eastAsia="es-DO"/>
              </w:rPr>
              <w:t>manejo</w:t>
            </w:r>
            <w:proofErr w:type="spellEnd"/>
            <w:r w:rsidRPr="009A27ED">
              <w:rPr>
                <w:rFonts w:eastAsia="Times New Roman"/>
                <w:color w:val="000000"/>
                <w:sz w:val="20"/>
                <w:szCs w:val="20"/>
                <w:lang w:val="en-US" w:eastAsia="es-DO"/>
              </w:rPr>
              <w:t xml:space="preserve"> </w:t>
            </w:r>
            <w:proofErr w:type="spellStart"/>
            <w:r w:rsidRPr="009A27ED">
              <w:rPr>
                <w:rFonts w:eastAsia="Times New Roman"/>
                <w:color w:val="000000"/>
                <w:sz w:val="20"/>
                <w:szCs w:val="20"/>
                <w:lang w:val="en-US" w:eastAsia="es-DO"/>
              </w:rPr>
              <w:t>forestal</w:t>
            </w:r>
            <w:proofErr w:type="spellEnd"/>
          </w:p>
        </w:tc>
        <w:tc>
          <w:tcPr>
            <w:tcW w:w="367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6E5618E" w14:textId="49A921C9" w:rsidR="004574F2" w:rsidRPr="009A27ED" w:rsidRDefault="002E558B" w:rsidP="004574F2">
            <w:pPr>
              <w:spacing w:after="0"/>
              <w:jc w:val="center"/>
              <w:rPr>
                <w:rFonts w:eastAsia="Times New Roman"/>
                <w:color w:val="000000"/>
                <w:sz w:val="20"/>
                <w:szCs w:val="20"/>
                <w:lang w:val="es-GT" w:eastAsia="es-DO"/>
              </w:rPr>
            </w:pPr>
            <w:r w:rsidRPr="009A27ED">
              <w:rPr>
                <w:rFonts w:eastAsia="Times New Roman"/>
                <w:color w:val="000000"/>
                <w:sz w:val="20"/>
                <w:szCs w:val="20"/>
                <w:lang w:val="es-GT" w:eastAsia="es-DO"/>
              </w:rPr>
              <w:t>Asociación para el Desarrollo Forestal Sostenible de Restauración, Inc. (ASODEFOREST),</w:t>
            </w:r>
          </w:p>
        </w:tc>
        <w:tc>
          <w:tcPr>
            <w:tcW w:w="12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8DC2748" w14:textId="77777777" w:rsidR="004574F2" w:rsidRPr="009A27ED" w:rsidRDefault="004574F2" w:rsidP="00C55CE7">
            <w:pPr>
              <w:spacing w:after="0"/>
              <w:jc w:val="center"/>
              <w:rPr>
                <w:rFonts w:eastAsia="Times New Roman"/>
                <w:color w:val="000000"/>
                <w:sz w:val="20"/>
                <w:szCs w:val="20"/>
                <w:lang w:val="es-GT" w:eastAsia="es-DO"/>
              </w:rPr>
            </w:pPr>
            <w:r w:rsidRPr="009A27ED">
              <w:rPr>
                <w:rFonts w:eastAsia="Times New Roman"/>
                <w:color w:val="000000"/>
                <w:sz w:val="20"/>
                <w:szCs w:val="20"/>
                <w:lang w:val="es-GT" w:eastAsia="es-DO"/>
              </w:rPr>
              <w:t xml:space="preserve">Municipio de Restauración </w:t>
            </w:r>
          </w:p>
        </w:tc>
        <w:tc>
          <w:tcPr>
            <w:tcW w:w="2353" w:type="dxa"/>
            <w:tcBorders>
              <w:top w:val="single" w:sz="4" w:space="0" w:color="auto"/>
              <w:left w:val="single" w:sz="4" w:space="0" w:color="auto"/>
              <w:bottom w:val="single" w:sz="4" w:space="0" w:color="auto"/>
              <w:right w:val="single" w:sz="4" w:space="0" w:color="auto"/>
            </w:tcBorders>
          </w:tcPr>
          <w:p w14:paraId="20DBAC75" w14:textId="77777777" w:rsidR="004574F2" w:rsidRPr="009A27ED" w:rsidRDefault="004574F2" w:rsidP="004574F2">
            <w:pPr>
              <w:spacing w:after="0"/>
              <w:jc w:val="center"/>
              <w:rPr>
                <w:rFonts w:eastAsia="Times New Roman"/>
                <w:color w:val="000000"/>
                <w:sz w:val="20"/>
                <w:szCs w:val="20"/>
                <w:lang w:val="es-GT" w:eastAsia="es-DO"/>
              </w:rPr>
            </w:pPr>
            <w:r w:rsidRPr="009A27ED">
              <w:rPr>
                <w:rFonts w:eastAsia="Times New Roman"/>
                <w:color w:val="000000"/>
                <w:sz w:val="20"/>
                <w:szCs w:val="20"/>
                <w:lang w:val="es-GT" w:eastAsia="es-DO"/>
              </w:rPr>
              <w:t>Manejo Forestal Sostenible</w:t>
            </w:r>
          </w:p>
        </w:tc>
      </w:tr>
      <w:tr w:rsidR="004574F2" w:rsidRPr="009A27ED" w14:paraId="0C1E73C7" w14:textId="77777777" w:rsidTr="004574F2">
        <w:trPr>
          <w:trHeight w:val="656"/>
        </w:trPr>
        <w:tc>
          <w:tcPr>
            <w:tcW w:w="5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0B0A67E" w14:textId="77777777" w:rsidR="004574F2" w:rsidRPr="009A27ED" w:rsidRDefault="004574F2" w:rsidP="00C55CE7">
            <w:pPr>
              <w:spacing w:after="0"/>
              <w:jc w:val="center"/>
              <w:rPr>
                <w:rFonts w:eastAsia="Times New Roman"/>
                <w:color w:val="000000"/>
                <w:sz w:val="20"/>
                <w:szCs w:val="20"/>
                <w:lang w:val="en-US" w:eastAsia="es-DO"/>
              </w:rPr>
            </w:pPr>
            <w:r w:rsidRPr="009A27ED">
              <w:rPr>
                <w:rFonts w:eastAsia="Times New Roman"/>
                <w:color w:val="000000"/>
                <w:sz w:val="20"/>
                <w:szCs w:val="20"/>
                <w:lang w:val="en-US" w:eastAsia="es-DO"/>
              </w:rPr>
              <w:t>3</w:t>
            </w:r>
          </w:p>
        </w:tc>
        <w:tc>
          <w:tcPr>
            <w:tcW w:w="234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3F0111B" w14:textId="77777777" w:rsidR="004574F2" w:rsidRPr="009A27ED" w:rsidRDefault="004574F2" w:rsidP="004574F2">
            <w:pPr>
              <w:spacing w:after="0"/>
              <w:jc w:val="center"/>
              <w:rPr>
                <w:rFonts w:eastAsia="Times New Roman"/>
                <w:color w:val="000000"/>
                <w:sz w:val="20"/>
                <w:szCs w:val="20"/>
                <w:lang w:val="en-US" w:eastAsia="es-DO"/>
              </w:rPr>
            </w:pPr>
            <w:proofErr w:type="spellStart"/>
            <w:r w:rsidRPr="009A27ED">
              <w:rPr>
                <w:rFonts w:eastAsia="Times New Roman"/>
                <w:color w:val="000000"/>
                <w:sz w:val="20"/>
                <w:szCs w:val="20"/>
                <w:lang w:val="en-US" w:eastAsia="es-DO"/>
              </w:rPr>
              <w:t>Programa</w:t>
            </w:r>
            <w:proofErr w:type="spellEnd"/>
            <w:r w:rsidRPr="009A27ED">
              <w:rPr>
                <w:rFonts w:eastAsia="Times New Roman"/>
                <w:color w:val="000000"/>
                <w:sz w:val="20"/>
                <w:szCs w:val="20"/>
                <w:lang w:val="en-US" w:eastAsia="es-DO"/>
              </w:rPr>
              <w:t xml:space="preserve"> Nacional de </w:t>
            </w:r>
            <w:proofErr w:type="spellStart"/>
            <w:r w:rsidRPr="009A27ED">
              <w:rPr>
                <w:rFonts w:eastAsia="Times New Roman"/>
                <w:color w:val="000000"/>
                <w:sz w:val="20"/>
                <w:szCs w:val="20"/>
                <w:lang w:val="en-US" w:eastAsia="es-DO"/>
              </w:rPr>
              <w:t>Reforestación</w:t>
            </w:r>
            <w:proofErr w:type="spellEnd"/>
          </w:p>
        </w:tc>
        <w:tc>
          <w:tcPr>
            <w:tcW w:w="367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BCD10C6" w14:textId="77777777" w:rsidR="004574F2" w:rsidRPr="009A27ED" w:rsidRDefault="004574F2" w:rsidP="004574F2">
            <w:pPr>
              <w:spacing w:after="0"/>
              <w:jc w:val="center"/>
              <w:rPr>
                <w:rFonts w:eastAsia="Times New Roman"/>
                <w:color w:val="000000"/>
                <w:sz w:val="20"/>
                <w:szCs w:val="20"/>
                <w:lang w:val="es-GT" w:eastAsia="es-DO"/>
              </w:rPr>
            </w:pPr>
            <w:r w:rsidRPr="009A27ED">
              <w:rPr>
                <w:rFonts w:eastAsia="Times New Roman"/>
                <w:color w:val="000000"/>
                <w:sz w:val="20"/>
                <w:szCs w:val="20"/>
                <w:lang w:val="es-GT" w:eastAsia="es-DO"/>
              </w:rPr>
              <w:t xml:space="preserve"> Ministerio de Ambiente – Viceministerio de Recursos Forestales</w:t>
            </w:r>
          </w:p>
        </w:tc>
        <w:tc>
          <w:tcPr>
            <w:tcW w:w="12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5095F36" w14:textId="77777777" w:rsidR="004574F2" w:rsidRPr="009A27ED" w:rsidRDefault="004574F2" w:rsidP="00C55CE7">
            <w:pPr>
              <w:spacing w:after="0"/>
              <w:jc w:val="center"/>
              <w:rPr>
                <w:rFonts w:eastAsia="Times New Roman"/>
                <w:color w:val="000000"/>
                <w:sz w:val="20"/>
                <w:szCs w:val="20"/>
                <w:lang w:val="es-GT" w:eastAsia="es-DO"/>
              </w:rPr>
            </w:pPr>
            <w:r w:rsidRPr="009A27ED">
              <w:rPr>
                <w:rFonts w:eastAsia="Times New Roman"/>
                <w:color w:val="000000"/>
                <w:sz w:val="20"/>
                <w:szCs w:val="20"/>
                <w:lang w:val="es-GT" w:eastAsia="es-DO"/>
              </w:rPr>
              <w:t>Nacional</w:t>
            </w:r>
          </w:p>
        </w:tc>
        <w:tc>
          <w:tcPr>
            <w:tcW w:w="2353" w:type="dxa"/>
            <w:tcBorders>
              <w:top w:val="single" w:sz="4" w:space="0" w:color="auto"/>
              <w:left w:val="single" w:sz="4" w:space="0" w:color="auto"/>
              <w:bottom w:val="single" w:sz="4" w:space="0" w:color="auto"/>
              <w:right w:val="single" w:sz="4" w:space="0" w:color="auto"/>
            </w:tcBorders>
          </w:tcPr>
          <w:p w14:paraId="139667F2" w14:textId="4EE836B2" w:rsidR="004574F2" w:rsidRPr="009A27ED" w:rsidRDefault="004574F2" w:rsidP="004574F2">
            <w:pPr>
              <w:spacing w:after="0"/>
              <w:jc w:val="center"/>
              <w:rPr>
                <w:rFonts w:eastAsia="Times New Roman"/>
                <w:color w:val="000000"/>
                <w:sz w:val="20"/>
                <w:szCs w:val="20"/>
                <w:lang w:val="es-GT" w:eastAsia="es-DO"/>
              </w:rPr>
            </w:pPr>
            <w:r w:rsidRPr="009A27ED">
              <w:rPr>
                <w:rFonts w:eastAsia="Times New Roman"/>
                <w:color w:val="000000"/>
                <w:sz w:val="20"/>
                <w:szCs w:val="20"/>
                <w:lang w:val="es-GT" w:eastAsia="es-DO"/>
              </w:rPr>
              <w:t xml:space="preserve">Reforestación </w:t>
            </w:r>
          </w:p>
        </w:tc>
      </w:tr>
      <w:tr w:rsidR="004574F2" w:rsidRPr="009A27ED" w14:paraId="637E07D8" w14:textId="77777777" w:rsidTr="004574F2">
        <w:trPr>
          <w:trHeight w:val="656"/>
        </w:trPr>
        <w:tc>
          <w:tcPr>
            <w:tcW w:w="5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74C4A00" w14:textId="77777777" w:rsidR="004574F2" w:rsidRPr="009A27ED" w:rsidRDefault="004574F2" w:rsidP="00C55CE7">
            <w:pPr>
              <w:spacing w:after="0"/>
              <w:jc w:val="center"/>
              <w:rPr>
                <w:rFonts w:eastAsia="Times New Roman"/>
                <w:color w:val="000000"/>
                <w:sz w:val="20"/>
                <w:szCs w:val="20"/>
                <w:lang w:val="en-US" w:eastAsia="es-DO"/>
              </w:rPr>
            </w:pPr>
            <w:r w:rsidRPr="009A27ED">
              <w:rPr>
                <w:rFonts w:eastAsia="Times New Roman"/>
                <w:color w:val="000000"/>
                <w:sz w:val="20"/>
                <w:szCs w:val="20"/>
                <w:lang w:val="en-US" w:eastAsia="es-DO"/>
              </w:rPr>
              <w:t>4</w:t>
            </w:r>
          </w:p>
        </w:tc>
        <w:tc>
          <w:tcPr>
            <w:tcW w:w="234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4BF9807" w14:textId="77777777" w:rsidR="004574F2" w:rsidRPr="009A27ED" w:rsidRDefault="004574F2" w:rsidP="004574F2">
            <w:pPr>
              <w:spacing w:after="0"/>
              <w:jc w:val="center"/>
              <w:rPr>
                <w:rFonts w:eastAsia="Times New Roman"/>
                <w:color w:val="000000"/>
                <w:sz w:val="20"/>
                <w:szCs w:val="20"/>
                <w:lang w:val="es-MX" w:eastAsia="es-DO"/>
              </w:rPr>
            </w:pPr>
            <w:r w:rsidRPr="009A27ED">
              <w:rPr>
                <w:rFonts w:eastAsia="Times New Roman"/>
                <w:color w:val="000000"/>
                <w:sz w:val="20"/>
                <w:szCs w:val="20"/>
                <w:lang w:val="es-MX" w:eastAsia="es-DO"/>
              </w:rPr>
              <w:t>Sistema Agroforestal con café bajo sombra (CAFÉ)</w:t>
            </w:r>
          </w:p>
        </w:tc>
        <w:tc>
          <w:tcPr>
            <w:tcW w:w="367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537F699" w14:textId="77777777" w:rsidR="004574F2" w:rsidRPr="009A27ED" w:rsidRDefault="004574F2" w:rsidP="004574F2">
            <w:pPr>
              <w:spacing w:after="0"/>
              <w:jc w:val="center"/>
              <w:rPr>
                <w:rFonts w:eastAsia="Times New Roman"/>
                <w:color w:val="000000"/>
                <w:sz w:val="20"/>
                <w:szCs w:val="20"/>
                <w:lang w:val="es-GT" w:eastAsia="es-DO"/>
              </w:rPr>
            </w:pPr>
            <w:r w:rsidRPr="009A27ED">
              <w:rPr>
                <w:rFonts w:eastAsia="Times New Roman"/>
                <w:color w:val="000000"/>
                <w:sz w:val="20"/>
                <w:szCs w:val="20"/>
                <w:lang w:val="es-GT" w:eastAsia="es-DO"/>
              </w:rPr>
              <w:t>Instituto Dominicano del Café (INDOCAFÉ)</w:t>
            </w:r>
          </w:p>
        </w:tc>
        <w:tc>
          <w:tcPr>
            <w:tcW w:w="12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EFC0BF3" w14:textId="77777777" w:rsidR="004574F2" w:rsidRPr="009A27ED" w:rsidRDefault="004574F2" w:rsidP="00C55CE7">
            <w:pPr>
              <w:spacing w:after="0"/>
              <w:jc w:val="center"/>
              <w:rPr>
                <w:rFonts w:eastAsia="Times New Roman"/>
                <w:color w:val="000000"/>
                <w:sz w:val="20"/>
                <w:szCs w:val="20"/>
                <w:lang w:val="es-GT" w:eastAsia="es-DO"/>
              </w:rPr>
            </w:pPr>
            <w:r w:rsidRPr="009A27ED">
              <w:rPr>
                <w:rFonts w:eastAsia="Times New Roman"/>
                <w:color w:val="000000"/>
                <w:sz w:val="20"/>
                <w:szCs w:val="20"/>
                <w:lang w:val="es-GT" w:eastAsia="es-DO"/>
              </w:rPr>
              <w:t>Nacional</w:t>
            </w:r>
          </w:p>
        </w:tc>
        <w:tc>
          <w:tcPr>
            <w:tcW w:w="2353" w:type="dxa"/>
            <w:tcBorders>
              <w:top w:val="single" w:sz="4" w:space="0" w:color="auto"/>
              <w:left w:val="single" w:sz="4" w:space="0" w:color="auto"/>
              <w:bottom w:val="single" w:sz="4" w:space="0" w:color="auto"/>
              <w:right w:val="single" w:sz="4" w:space="0" w:color="auto"/>
            </w:tcBorders>
          </w:tcPr>
          <w:p w14:paraId="46631DE0" w14:textId="77777777" w:rsidR="004574F2" w:rsidRPr="009A27ED" w:rsidRDefault="004574F2" w:rsidP="004574F2">
            <w:pPr>
              <w:spacing w:after="0"/>
              <w:jc w:val="center"/>
              <w:rPr>
                <w:rFonts w:eastAsia="Times New Roman"/>
                <w:color w:val="000000"/>
                <w:sz w:val="20"/>
                <w:szCs w:val="20"/>
                <w:lang w:val="es-GT" w:eastAsia="es-DO"/>
              </w:rPr>
            </w:pPr>
            <w:r w:rsidRPr="009A27ED">
              <w:rPr>
                <w:rFonts w:eastAsia="Times New Roman"/>
                <w:color w:val="000000"/>
                <w:sz w:val="20"/>
                <w:szCs w:val="20"/>
                <w:lang w:val="es-GT" w:eastAsia="es-DO"/>
              </w:rPr>
              <w:t>Sistemas Agroforestales (café)</w:t>
            </w:r>
          </w:p>
        </w:tc>
      </w:tr>
      <w:tr w:rsidR="004574F2" w:rsidRPr="009A27ED" w14:paraId="68AE4A07" w14:textId="77777777" w:rsidTr="004574F2">
        <w:trPr>
          <w:trHeight w:val="656"/>
        </w:trPr>
        <w:tc>
          <w:tcPr>
            <w:tcW w:w="5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4FFD1C4" w14:textId="77777777" w:rsidR="004574F2" w:rsidRPr="009A27ED" w:rsidRDefault="004574F2" w:rsidP="00C55CE7">
            <w:pPr>
              <w:spacing w:after="0"/>
              <w:jc w:val="center"/>
              <w:rPr>
                <w:rFonts w:eastAsia="Times New Roman"/>
                <w:color w:val="000000"/>
                <w:sz w:val="20"/>
                <w:szCs w:val="20"/>
                <w:lang w:val="en-US" w:eastAsia="es-DO"/>
              </w:rPr>
            </w:pPr>
            <w:r w:rsidRPr="009A27ED">
              <w:rPr>
                <w:rFonts w:eastAsia="Times New Roman"/>
                <w:color w:val="000000"/>
                <w:sz w:val="20"/>
                <w:szCs w:val="20"/>
                <w:lang w:val="en-US" w:eastAsia="es-DO"/>
              </w:rPr>
              <w:t>5</w:t>
            </w:r>
          </w:p>
        </w:tc>
        <w:tc>
          <w:tcPr>
            <w:tcW w:w="234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51F466A" w14:textId="77777777" w:rsidR="004574F2" w:rsidRPr="009A27ED" w:rsidRDefault="004574F2" w:rsidP="004574F2">
            <w:pPr>
              <w:spacing w:after="0"/>
              <w:jc w:val="center"/>
              <w:rPr>
                <w:rFonts w:eastAsia="Times New Roman"/>
                <w:color w:val="000000"/>
                <w:sz w:val="20"/>
                <w:szCs w:val="20"/>
                <w:lang w:val="es-MX" w:eastAsia="es-DO"/>
              </w:rPr>
            </w:pPr>
            <w:r w:rsidRPr="009A27ED">
              <w:rPr>
                <w:rFonts w:eastAsia="Times New Roman"/>
                <w:color w:val="000000"/>
                <w:sz w:val="20"/>
                <w:szCs w:val="20"/>
                <w:lang w:val="es-MX" w:eastAsia="es-DO"/>
              </w:rPr>
              <w:t>Sistema Agroforestal con cacao bajo sombra (CACAO)</w:t>
            </w:r>
          </w:p>
        </w:tc>
        <w:tc>
          <w:tcPr>
            <w:tcW w:w="367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BDD0DDF" w14:textId="77777777" w:rsidR="004574F2" w:rsidRPr="009A27ED" w:rsidRDefault="004574F2" w:rsidP="004574F2">
            <w:pPr>
              <w:spacing w:after="0"/>
              <w:jc w:val="center"/>
              <w:rPr>
                <w:rFonts w:eastAsia="Times New Roman"/>
                <w:color w:val="000000"/>
                <w:sz w:val="20"/>
                <w:szCs w:val="20"/>
                <w:lang w:val="es-GT" w:eastAsia="es-DO"/>
              </w:rPr>
            </w:pPr>
            <w:r w:rsidRPr="009A27ED">
              <w:rPr>
                <w:rFonts w:eastAsia="Times New Roman"/>
                <w:color w:val="000000"/>
                <w:sz w:val="20"/>
                <w:szCs w:val="20"/>
                <w:lang w:val="es-GT" w:eastAsia="es-DO"/>
              </w:rPr>
              <w:t>Ministerio de Agricultura – Departamento de Cacao - Oficinas provinciales y regionales y en la plataforma del Ministerio de Agricultura</w:t>
            </w:r>
          </w:p>
        </w:tc>
        <w:tc>
          <w:tcPr>
            <w:tcW w:w="12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A6A1B26" w14:textId="77777777" w:rsidR="004574F2" w:rsidRPr="009A27ED" w:rsidRDefault="004574F2" w:rsidP="00C55CE7">
            <w:pPr>
              <w:spacing w:after="0"/>
              <w:jc w:val="center"/>
              <w:rPr>
                <w:rFonts w:eastAsia="Times New Roman"/>
                <w:color w:val="000000"/>
                <w:sz w:val="20"/>
                <w:szCs w:val="20"/>
                <w:lang w:val="es-GT" w:eastAsia="es-DO"/>
              </w:rPr>
            </w:pPr>
            <w:r w:rsidRPr="009A27ED">
              <w:rPr>
                <w:rFonts w:eastAsia="Times New Roman"/>
                <w:color w:val="000000"/>
                <w:sz w:val="20"/>
                <w:szCs w:val="20"/>
                <w:lang w:val="es-GT" w:eastAsia="es-DO"/>
              </w:rPr>
              <w:t>Nacional</w:t>
            </w:r>
          </w:p>
        </w:tc>
        <w:tc>
          <w:tcPr>
            <w:tcW w:w="2353" w:type="dxa"/>
            <w:tcBorders>
              <w:top w:val="single" w:sz="4" w:space="0" w:color="auto"/>
              <w:left w:val="single" w:sz="4" w:space="0" w:color="auto"/>
              <w:bottom w:val="single" w:sz="4" w:space="0" w:color="auto"/>
              <w:right w:val="single" w:sz="4" w:space="0" w:color="auto"/>
            </w:tcBorders>
          </w:tcPr>
          <w:p w14:paraId="73A05373" w14:textId="77777777" w:rsidR="004574F2" w:rsidRPr="009A27ED" w:rsidRDefault="004574F2" w:rsidP="004574F2">
            <w:pPr>
              <w:spacing w:after="0"/>
              <w:jc w:val="center"/>
              <w:rPr>
                <w:rFonts w:eastAsia="Times New Roman"/>
                <w:color w:val="000000"/>
                <w:sz w:val="20"/>
                <w:szCs w:val="20"/>
                <w:lang w:val="es-GT" w:eastAsia="es-DO"/>
              </w:rPr>
            </w:pPr>
            <w:r w:rsidRPr="009A27ED">
              <w:rPr>
                <w:rFonts w:eastAsia="Times New Roman"/>
                <w:color w:val="000000"/>
                <w:sz w:val="20"/>
                <w:szCs w:val="20"/>
                <w:lang w:val="es-GT" w:eastAsia="es-DO"/>
              </w:rPr>
              <w:t>Sistemas Agroforestales (cacao)</w:t>
            </w:r>
          </w:p>
        </w:tc>
      </w:tr>
      <w:tr w:rsidR="004574F2" w:rsidRPr="009A27ED" w14:paraId="7E5168FF" w14:textId="77777777" w:rsidTr="004574F2">
        <w:trPr>
          <w:trHeight w:val="656"/>
        </w:trPr>
        <w:tc>
          <w:tcPr>
            <w:tcW w:w="5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15AD413" w14:textId="77777777" w:rsidR="004574F2" w:rsidRPr="009A27ED" w:rsidRDefault="004574F2" w:rsidP="00C55CE7">
            <w:pPr>
              <w:spacing w:after="0"/>
              <w:jc w:val="center"/>
              <w:rPr>
                <w:rFonts w:eastAsia="Times New Roman"/>
                <w:color w:val="000000"/>
                <w:sz w:val="20"/>
                <w:szCs w:val="20"/>
                <w:lang w:val="en-US" w:eastAsia="es-DO"/>
              </w:rPr>
            </w:pPr>
            <w:r w:rsidRPr="009A27ED">
              <w:rPr>
                <w:rFonts w:eastAsia="Times New Roman"/>
                <w:color w:val="000000"/>
                <w:sz w:val="20"/>
                <w:szCs w:val="20"/>
                <w:lang w:val="en-US" w:eastAsia="es-DO"/>
              </w:rPr>
              <w:t>6</w:t>
            </w:r>
          </w:p>
        </w:tc>
        <w:tc>
          <w:tcPr>
            <w:tcW w:w="234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486951A" w14:textId="0CB26025" w:rsidR="004574F2" w:rsidRPr="009A27ED" w:rsidRDefault="004574F2" w:rsidP="004574F2">
            <w:pPr>
              <w:spacing w:after="0"/>
              <w:jc w:val="center"/>
              <w:rPr>
                <w:rFonts w:eastAsia="Times New Roman"/>
                <w:color w:val="000000"/>
                <w:sz w:val="20"/>
                <w:szCs w:val="20"/>
                <w:lang w:val="es-MX" w:eastAsia="es-DO"/>
              </w:rPr>
            </w:pPr>
            <w:r w:rsidRPr="009A27ED">
              <w:rPr>
                <w:rFonts w:eastAsia="Times New Roman"/>
                <w:color w:val="000000"/>
                <w:sz w:val="20"/>
                <w:szCs w:val="20"/>
                <w:lang w:val="es-MX" w:eastAsia="es-DO"/>
              </w:rPr>
              <w:t xml:space="preserve">Proyecto de Desarrollo Agroforestal </w:t>
            </w:r>
          </w:p>
        </w:tc>
        <w:tc>
          <w:tcPr>
            <w:tcW w:w="367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074871B" w14:textId="77777777" w:rsidR="002528C3" w:rsidRPr="009A27ED" w:rsidRDefault="002528C3" w:rsidP="002528C3">
            <w:pPr>
              <w:spacing w:after="0"/>
              <w:jc w:val="center"/>
              <w:rPr>
                <w:rFonts w:eastAsia="Times New Roman"/>
                <w:color w:val="000000"/>
                <w:sz w:val="20"/>
                <w:szCs w:val="20"/>
                <w:lang w:val="es-GT" w:eastAsia="es-DO"/>
              </w:rPr>
            </w:pPr>
            <w:r w:rsidRPr="009A27ED">
              <w:rPr>
                <w:rFonts w:eastAsia="Times New Roman"/>
                <w:color w:val="000000"/>
                <w:sz w:val="20"/>
                <w:szCs w:val="20"/>
                <w:lang w:val="es-GT" w:eastAsia="es-DO"/>
              </w:rPr>
              <w:t>Unidad Técnica Ejecutora de Proyectos de Desarrollo Agroforestal (UTEPDA) del Viceministerio de Recursos Forestales del Ministerio de Medio Ambiente y Recursos Naturales</w:t>
            </w:r>
          </w:p>
          <w:p w14:paraId="0A12C2C4" w14:textId="3D8736C9" w:rsidR="004574F2" w:rsidRPr="009A27ED" w:rsidRDefault="004574F2" w:rsidP="004574F2">
            <w:pPr>
              <w:spacing w:after="0"/>
              <w:jc w:val="center"/>
              <w:rPr>
                <w:rFonts w:eastAsia="Times New Roman"/>
                <w:color w:val="000000"/>
                <w:sz w:val="20"/>
                <w:szCs w:val="20"/>
                <w:lang w:val="es-GT" w:eastAsia="es-DO"/>
              </w:rPr>
            </w:pPr>
          </w:p>
        </w:tc>
        <w:tc>
          <w:tcPr>
            <w:tcW w:w="12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CC6A0A7" w14:textId="77777777" w:rsidR="004574F2" w:rsidRPr="009A27ED" w:rsidRDefault="004574F2" w:rsidP="00C55CE7">
            <w:pPr>
              <w:spacing w:after="0"/>
              <w:jc w:val="center"/>
              <w:rPr>
                <w:rFonts w:eastAsia="Times New Roman"/>
                <w:color w:val="000000"/>
                <w:sz w:val="20"/>
                <w:szCs w:val="20"/>
                <w:lang w:val="es-GT" w:eastAsia="es-DO"/>
              </w:rPr>
            </w:pPr>
            <w:r w:rsidRPr="009A27ED">
              <w:rPr>
                <w:rFonts w:eastAsia="Times New Roman"/>
                <w:color w:val="000000"/>
                <w:sz w:val="20"/>
                <w:szCs w:val="20"/>
                <w:lang w:val="es-GT" w:eastAsia="es-DO"/>
              </w:rPr>
              <w:t>Nacional</w:t>
            </w:r>
          </w:p>
        </w:tc>
        <w:tc>
          <w:tcPr>
            <w:tcW w:w="2353" w:type="dxa"/>
            <w:tcBorders>
              <w:top w:val="single" w:sz="4" w:space="0" w:color="auto"/>
              <w:left w:val="single" w:sz="4" w:space="0" w:color="auto"/>
              <w:bottom w:val="single" w:sz="4" w:space="0" w:color="auto"/>
              <w:right w:val="single" w:sz="4" w:space="0" w:color="auto"/>
            </w:tcBorders>
          </w:tcPr>
          <w:p w14:paraId="3B0DCE6B" w14:textId="473F607B" w:rsidR="004574F2" w:rsidRPr="009A27ED" w:rsidRDefault="004574F2" w:rsidP="004574F2">
            <w:pPr>
              <w:spacing w:after="0"/>
              <w:jc w:val="center"/>
              <w:rPr>
                <w:rFonts w:eastAsia="Times New Roman"/>
                <w:color w:val="000000"/>
                <w:sz w:val="20"/>
                <w:szCs w:val="20"/>
                <w:lang w:val="es-GT" w:eastAsia="es-DO"/>
              </w:rPr>
            </w:pPr>
            <w:proofErr w:type="gramStart"/>
            <w:r w:rsidRPr="009A27ED">
              <w:rPr>
                <w:rFonts w:eastAsia="Times New Roman"/>
                <w:color w:val="000000"/>
                <w:sz w:val="20"/>
                <w:szCs w:val="20"/>
                <w:lang w:val="es-GT" w:eastAsia="es-DO"/>
              </w:rPr>
              <w:t xml:space="preserve">Reforestación </w:t>
            </w:r>
            <w:r w:rsidR="00007894" w:rsidRPr="009A27ED">
              <w:rPr>
                <w:rFonts w:eastAsia="Times New Roman"/>
                <w:color w:val="000000"/>
                <w:sz w:val="20"/>
                <w:szCs w:val="20"/>
                <w:lang w:val="es-GT" w:eastAsia="es-DO"/>
              </w:rPr>
              <w:t>,</w:t>
            </w:r>
            <w:proofErr w:type="gramEnd"/>
          </w:p>
          <w:p w14:paraId="1BB4B35B" w14:textId="77777777" w:rsidR="004574F2" w:rsidRPr="009A27ED" w:rsidRDefault="004574F2" w:rsidP="004574F2">
            <w:pPr>
              <w:spacing w:after="0"/>
              <w:jc w:val="center"/>
              <w:rPr>
                <w:rFonts w:eastAsia="Times New Roman"/>
                <w:color w:val="000000"/>
                <w:sz w:val="20"/>
                <w:szCs w:val="20"/>
                <w:lang w:val="es-GT" w:eastAsia="es-DO"/>
              </w:rPr>
            </w:pPr>
            <w:r w:rsidRPr="009A27ED">
              <w:rPr>
                <w:rFonts w:eastAsia="Times New Roman"/>
                <w:color w:val="000000"/>
                <w:sz w:val="20"/>
                <w:szCs w:val="20"/>
                <w:lang w:val="es-GT" w:eastAsia="es-DO"/>
              </w:rPr>
              <w:t>Sistemas Agroforestales (café y cacao)</w:t>
            </w:r>
          </w:p>
        </w:tc>
      </w:tr>
      <w:tr w:rsidR="004574F2" w:rsidRPr="009A27ED" w14:paraId="33575D31" w14:textId="77777777" w:rsidTr="004574F2">
        <w:trPr>
          <w:trHeight w:val="656"/>
        </w:trPr>
        <w:tc>
          <w:tcPr>
            <w:tcW w:w="5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435EEA8" w14:textId="77777777" w:rsidR="004574F2" w:rsidRPr="009A27ED" w:rsidRDefault="004574F2" w:rsidP="00C55CE7">
            <w:pPr>
              <w:spacing w:after="0"/>
              <w:jc w:val="center"/>
              <w:rPr>
                <w:rFonts w:eastAsia="Times New Roman"/>
                <w:color w:val="000000"/>
                <w:sz w:val="20"/>
                <w:szCs w:val="20"/>
                <w:lang w:val="en-US" w:eastAsia="es-DO"/>
              </w:rPr>
            </w:pPr>
            <w:r w:rsidRPr="009A27ED">
              <w:rPr>
                <w:rFonts w:eastAsia="Times New Roman"/>
                <w:color w:val="000000"/>
                <w:sz w:val="20"/>
                <w:szCs w:val="20"/>
                <w:lang w:val="en-US" w:eastAsia="es-DO"/>
              </w:rPr>
              <w:t>7</w:t>
            </w:r>
          </w:p>
        </w:tc>
        <w:tc>
          <w:tcPr>
            <w:tcW w:w="234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4116BC9" w14:textId="77777777" w:rsidR="004574F2" w:rsidRPr="009A27ED" w:rsidRDefault="004574F2" w:rsidP="004574F2">
            <w:pPr>
              <w:spacing w:after="0"/>
              <w:jc w:val="center"/>
              <w:rPr>
                <w:rFonts w:eastAsia="Times New Roman"/>
                <w:color w:val="000000"/>
                <w:sz w:val="20"/>
                <w:szCs w:val="20"/>
                <w:lang w:val="en-US" w:eastAsia="es-DO"/>
              </w:rPr>
            </w:pPr>
            <w:proofErr w:type="spellStart"/>
            <w:r w:rsidRPr="009A27ED">
              <w:rPr>
                <w:rFonts w:eastAsia="Times New Roman"/>
                <w:color w:val="000000"/>
                <w:sz w:val="20"/>
                <w:szCs w:val="20"/>
                <w:lang w:val="en-US" w:eastAsia="es-DO"/>
              </w:rPr>
              <w:t>Programa</w:t>
            </w:r>
            <w:proofErr w:type="spellEnd"/>
            <w:r w:rsidRPr="009A27ED">
              <w:rPr>
                <w:rFonts w:eastAsia="Times New Roman"/>
                <w:color w:val="000000"/>
                <w:sz w:val="20"/>
                <w:szCs w:val="20"/>
                <w:lang w:val="en-US" w:eastAsia="es-DO"/>
              </w:rPr>
              <w:t xml:space="preserve"> MEGALECHE </w:t>
            </w:r>
          </w:p>
        </w:tc>
        <w:tc>
          <w:tcPr>
            <w:tcW w:w="367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B60E62B" w14:textId="77777777" w:rsidR="004574F2" w:rsidRPr="009A27ED" w:rsidRDefault="004574F2" w:rsidP="004574F2">
            <w:pPr>
              <w:spacing w:after="0"/>
              <w:jc w:val="center"/>
              <w:rPr>
                <w:rFonts w:eastAsia="Times New Roman"/>
                <w:color w:val="000000"/>
                <w:sz w:val="20"/>
                <w:szCs w:val="20"/>
                <w:lang w:val="es-GT" w:eastAsia="es-DO"/>
              </w:rPr>
            </w:pPr>
            <w:r w:rsidRPr="009A27ED">
              <w:rPr>
                <w:rFonts w:eastAsia="Times New Roman"/>
                <w:color w:val="000000"/>
                <w:sz w:val="20"/>
                <w:szCs w:val="20"/>
                <w:lang w:val="es-GT" w:eastAsia="es-DO"/>
              </w:rPr>
              <w:t>Dirección General de Ganadería (DIGEGA)</w:t>
            </w:r>
          </w:p>
          <w:p w14:paraId="2F6AEC0B" w14:textId="65652B98" w:rsidR="004574F2" w:rsidRPr="009A27ED" w:rsidRDefault="004574F2" w:rsidP="004574F2">
            <w:pPr>
              <w:spacing w:after="0"/>
              <w:jc w:val="center"/>
              <w:rPr>
                <w:rFonts w:eastAsia="Times New Roman"/>
                <w:color w:val="000000"/>
                <w:sz w:val="20"/>
                <w:szCs w:val="20"/>
                <w:lang w:val="es-GT" w:eastAsia="es-DO"/>
              </w:rPr>
            </w:pPr>
            <w:r w:rsidRPr="009A27ED">
              <w:rPr>
                <w:rFonts w:eastAsia="Times New Roman"/>
                <w:color w:val="000000"/>
                <w:sz w:val="20"/>
                <w:szCs w:val="20"/>
                <w:lang w:val="es-GT" w:eastAsia="es-DO"/>
              </w:rPr>
              <w:t xml:space="preserve">Consejo Nacional para </w:t>
            </w:r>
            <w:r w:rsidR="00007894" w:rsidRPr="009A27ED">
              <w:rPr>
                <w:rFonts w:eastAsia="Times New Roman"/>
                <w:color w:val="000000"/>
                <w:sz w:val="20"/>
                <w:szCs w:val="20"/>
                <w:lang w:val="es-GT" w:eastAsia="es-DO"/>
              </w:rPr>
              <w:t xml:space="preserve">el Fomento y </w:t>
            </w:r>
            <w:r w:rsidRPr="009A27ED">
              <w:rPr>
                <w:rFonts w:eastAsia="Times New Roman"/>
                <w:color w:val="000000"/>
                <w:sz w:val="20"/>
                <w:szCs w:val="20"/>
                <w:lang w:val="es-GT" w:eastAsia="es-DO"/>
              </w:rPr>
              <w:t>la Reglamentación de la Industria Lechera – CONALECHE,</w:t>
            </w:r>
          </w:p>
        </w:tc>
        <w:tc>
          <w:tcPr>
            <w:tcW w:w="12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3EE3578" w14:textId="77777777" w:rsidR="004574F2" w:rsidRPr="009A27ED" w:rsidRDefault="004574F2" w:rsidP="00C55CE7">
            <w:pPr>
              <w:spacing w:after="0"/>
              <w:jc w:val="center"/>
              <w:rPr>
                <w:rFonts w:eastAsia="Times New Roman"/>
                <w:color w:val="000000"/>
                <w:sz w:val="20"/>
                <w:szCs w:val="20"/>
                <w:lang w:val="es-GT" w:eastAsia="es-DO"/>
              </w:rPr>
            </w:pPr>
            <w:r w:rsidRPr="009A27ED">
              <w:rPr>
                <w:rFonts w:eastAsia="Times New Roman"/>
                <w:color w:val="000000"/>
                <w:sz w:val="20"/>
                <w:szCs w:val="20"/>
                <w:lang w:val="es-GT" w:eastAsia="es-DO"/>
              </w:rPr>
              <w:t>Nacional</w:t>
            </w:r>
          </w:p>
        </w:tc>
        <w:tc>
          <w:tcPr>
            <w:tcW w:w="2353" w:type="dxa"/>
            <w:tcBorders>
              <w:top w:val="single" w:sz="4" w:space="0" w:color="auto"/>
              <w:left w:val="single" w:sz="4" w:space="0" w:color="auto"/>
              <w:bottom w:val="single" w:sz="4" w:space="0" w:color="auto"/>
              <w:right w:val="single" w:sz="4" w:space="0" w:color="auto"/>
            </w:tcBorders>
          </w:tcPr>
          <w:p w14:paraId="5485FD68" w14:textId="0E7A8EAF" w:rsidR="004574F2" w:rsidRPr="009A27ED" w:rsidRDefault="004574F2" w:rsidP="004574F2">
            <w:pPr>
              <w:spacing w:after="0"/>
              <w:jc w:val="center"/>
              <w:rPr>
                <w:rFonts w:eastAsia="Times New Roman"/>
                <w:color w:val="000000"/>
                <w:sz w:val="20"/>
                <w:szCs w:val="20"/>
                <w:lang w:val="es-GT" w:eastAsia="es-DO"/>
              </w:rPr>
            </w:pPr>
            <w:r w:rsidRPr="009A27ED">
              <w:rPr>
                <w:rFonts w:eastAsia="Times New Roman"/>
                <w:color w:val="000000"/>
                <w:sz w:val="20"/>
                <w:szCs w:val="20"/>
                <w:lang w:val="es-GT" w:eastAsia="es-DO"/>
              </w:rPr>
              <w:t>Sistemas silvopastoriles</w:t>
            </w:r>
            <w:r w:rsidR="00007894" w:rsidRPr="009A27ED">
              <w:rPr>
                <w:rFonts w:eastAsia="Times New Roman"/>
                <w:color w:val="000000"/>
                <w:sz w:val="20"/>
                <w:szCs w:val="20"/>
                <w:lang w:val="es-GT" w:eastAsia="es-DO"/>
              </w:rPr>
              <w:t xml:space="preserve"> (</w:t>
            </w:r>
            <w:r w:rsidR="00AF5CE2" w:rsidRPr="009A27ED">
              <w:rPr>
                <w:rFonts w:eastAsia="Times New Roman"/>
                <w:color w:val="000000"/>
                <w:sz w:val="20"/>
                <w:szCs w:val="20"/>
                <w:lang w:val="es-GT" w:eastAsia="es-DO"/>
              </w:rPr>
              <w:t>arborización en</w:t>
            </w:r>
            <w:r w:rsidRPr="009A27ED">
              <w:rPr>
                <w:rFonts w:eastAsia="Times New Roman"/>
                <w:color w:val="000000"/>
                <w:sz w:val="20"/>
                <w:szCs w:val="20"/>
                <w:lang w:val="es-GT" w:eastAsia="es-DO"/>
              </w:rPr>
              <w:t xml:space="preserve"> fincas ganaderas</w:t>
            </w:r>
            <w:r w:rsidR="00007894" w:rsidRPr="009A27ED">
              <w:rPr>
                <w:rFonts w:eastAsia="Times New Roman"/>
                <w:color w:val="000000"/>
                <w:sz w:val="20"/>
                <w:szCs w:val="20"/>
                <w:lang w:val="es-GT" w:eastAsia="es-DO"/>
              </w:rPr>
              <w:t>)</w:t>
            </w:r>
          </w:p>
        </w:tc>
      </w:tr>
      <w:tr w:rsidR="004574F2" w:rsidRPr="009A27ED" w14:paraId="39E8A932" w14:textId="77777777" w:rsidTr="004574F2">
        <w:trPr>
          <w:trHeight w:val="656"/>
        </w:trPr>
        <w:tc>
          <w:tcPr>
            <w:tcW w:w="5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99EF58C" w14:textId="77777777" w:rsidR="004574F2" w:rsidRPr="009A27ED" w:rsidRDefault="004574F2" w:rsidP="00C55CE7">
            <w:pPr>
              <w:spacing w:after="0"/>
              <w:jc w:val="center"/>
              <w:rPr>
                <w:rFonts w:eastAsia="Times New Roman"/>
                <w:color w:val="000000"/>
                <w:sz w:val="20"/>
                <w:szCs w:val="20"/>
                <w:lang w:val="en-US" w:eastAsia="es-DO"/>
              </w:rPr>
            </w:pPr>
            <w:r w:rsidRPr="009A27ED">
              <w:rPr>
                <w:rFonts w:eastAsia="Times New Roman"/>
                <w:color w:val="000000"/>
                <w:sz w:val="20"/>
                <w:szCs w:val="20"/>
                <w:lang w:val="en-US" w:eastAsia="es-DO"/>
              </w:rPr>
              <w:t>8</w:t>
            </w:r>
          </w:p>
        </w:tc>
        <w:tc>
          <w:tcPr>
            <w:tcW w:w="234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23EC00C" w14:textId="77777777" w:rsidR="004574F2" w:rsidRPr="009A27ED" w:rsidRDefault="004574F2" w:rsidP="004574F2">
            <w:pPr>
              <w:spacing w:after="0"/>
              <w:jc w:val="center"/>
              <w:rPr>
                <w:rFonts w:eastAsia="Times New Roman"/>
                <w:color w:val="000000"/>
                <w:sz w:val="20"/>
                <w:szCs w:val="20"/>
                <w:lang w:val="es-MX" w:eastAsia="es-DO"/>
              </w:rPr>
            </w:pPr>
            <w:r w:rsidRPr="009A27ED">
              <w:rPr>
                <w:rFonts w:eastAsia="Times New Roman"/>
                <w:color w:val="000000"/>
                <w:sz w:val="20"/>
                <w:szCs w:val="20"/>
                <w:lang w:val="es-MX" w:eastAsia="es-DO"/>
              </w:rPr>
              <w:t>Sistema Nacional de Áreas Protegidas (SINAP)</w:t>
            </w:r>
          </w:p>
        </w:tc>
        <w:tc>
          <w:tcPr>
            <w:tcW w:w="367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C5A4B13" w14:textId="77777777" w:rsidR="004574F2" w:rsidRPr="009A27ED" w:rsidRDefault="004574F2" w:rsidP="004574F2">
            <w:pPr>
              <w:spacing w:after="0"/>
              <w:jc w:val="center"/>
              <w:rPr>
                <w:rFonts w:eastAsia="Times New Roman"/>
                <w:color w:val="000000"/>
                <w:sz w:val="20"/>
                <w:szCs w:val="20"/>
                <w:lang w:val="es-GT" w:eastAsia="es-DO"/>
              </w:rPr>
            </w:pPr>
            <w:r w:rsidRPr="009A27ED">
              <w:rPr>
                <w:rFonts w:eastAsia="Times New Roman"/>
                <w:color w:val="000000"/>
                <w:sz w:val="20"/>
                <w:szCs w:val="20"/>
                <w:lang w:val="es-GT" w:eastAsia="es-DO"/>
              </w:rPr>
              <w:t>Ministerio de Ambiente  – Viceministerio de Áreas Protegidas y Biodiversidad</w:t>
            </w:r>
          </w:p>
        </w:tc>
        <w:tc>
          <w:tcPr>
            <w:tcW w:w="12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EFEF305" w14:textId="77777777" w:rsidR="004574F2" w:rsidRPr="009A27ED" w:rsidRDefault="004574F2" w:rsidP="00C55CE7">
            <w:pPr>
              <w:spacing w:after="0"/>
              <w:jc w:val="center"/>
              <w:rPr>
                <w:rFonts w:eastAsia="Times New Roman"/>
                <w:color w:val="000000"/>
                <w:sz w:val="20"/>
                <w:szCs w:val="20"/>
                <w:lang w:val="es-GT" w:eastAsia="es-DO"/>
              </w:rPr>
            </w:pPr>
            <w:r w:rsidRPr="009A27ED">
              <w:rPr>
                <w:rFonts w:eastAsia="Times New Roman"/>
                <w:color w:val="000000"/>
                <w:sz w:val="20"/>
                <w:szCs w:val="20"/>
                <w:lang w:val="es-GT" w:eastAsia="es-DO"/>
              </w:rPr>
              <w:t>Nacional</w:t>
            </w:r>
          </w:p>
        </w:tc>
        <w:tc>
          <w:tcPr>
            <w:tcW w:w="2353" w:type="dxa"/>
            <w:tcBorders>
              <w:top w:val="single" w:sz="4" w:space="0" w:color="auto"/>
              <w:left w:val="single" w:sz="4" w:space="0" w:color="auto"/>
              <w:bottom w:val="single" w:sz="4" w:space="0" w:color="auto"/>
              <w:right w:val="single" w:sz="4" w:space="0" w:color="auto"/>
            </w:tcBorders>
          </w:tcPr>
          <w:p w14:paraId="65BDB57F" w14:textId="0EC08BF8" w:rsidR="004574F2" w:rsidRPr="009A27ED" w:rsidRDefault="004574F2" w:rsidP="004574F2">
            <w:pPr>
              <w:spacing w:after="0"/>
              <w:jc w:val="center"/>
              <w:rPr>
                <w:rFonts w:eastAsia="Times New Roman"/>
                <w:color w:val="000000"/>
                <w:sz w:val="20"/>
                <w:szCs w:val="20"/>
                <w:lang w:val="es-GT" w:eastAsia="es-DO"/>
              </w:rPr>
            </w:pPr>
            <w:r w:rsidRPr="009A27ED">
              <w:rPr>
                <w:rFonts w:eastAsia="Times New Roman"/>
                <w:color w:val="000000"/>
                <w:sz w:val="20"/>
                <w:szCs w:val="20"/>
                <w:lang w:val="es-GT" w:eastAsia="es-DO"/>
              </w:rPr>
              <w:t xml:space="preserve">Conservación de bosques en áreas protegidas </w:t>
            </w:r>
            <w:r w:rsidR="00007894" w:rsidRPr="009A27ED">
              <w:rPr>
                <w:rFonts w:eastAsia="Times New Roman"/>
                <w:color w:val="000000"/>
                <w:sz w:val="20"/>
                <w:szCs w:val="20"/>
                <w:lang w:val="es-GT" w:eastAsia="es-DO"/>
              </w:rPr>
              <w:t>con participación comunitaria</w:t>
            </w:r>
          </w:p>
        </w:tc>
      </w:tr>
    </w:tbl>
    <w:p w14:paraId="3DD2859C" w14:textId="77777777" w:rsidR="00BF5D35" w:rsidRPr="009A27ED" w:rsidRDefault="00BF5D35" w:rsidP="001E165D">
      <w:pPr>
        <w:pStyle w:val="Ttulo3"/>
        <w:numPr>
          <w:ilvl w:val="0"/>
          <w:numId w:val="0"/>
        </w:numPr>
        <w:spacing w:line="360" w:lineRule="auto"/>
        <w:ind w:left="720"/>
        <w:jc w:val="both"/>
        <w:rPr>
          <w:rFonts w:asciiTheme="minorHAnsi" w:hAnsiTheme="minorHAnsi" w:cstheme="minorHAnsi"/>
          <w:i/>
          <w:iCs/>
          <w:szCs w:val="20"/>
        </w:rPr>
        <w:sectPr w:rsidR="00BF5D35" w:rsidRPr="009A27ED" w:rsidSect="00BC6D88">
          <w:pgSz w:w="17035" w:h="15840" w:code="1"/>
          <w:pgMar w:top="1417" w:right="6496" w:bottom="1417" w:left="1701" w:header="708" w:footer="708" w:gutter="0"/>
          <w:cols w:space="708"/>
          <w:docGrid w:linePitch="360"/>
        </w:sectPr>
      </w:pPr>
    </w:p>
    <w:p w14:paraId="6D4B3E8A" w14:textId="4D2FCCD9" w:rsidR="001E165D" w:rsidRPr="009A27ED" w:rsidRDefault="001E165D" w:rsidP="00C97A18">
      <w:pPr>
        <w:spacing w:line="360" w:lineRule="auto"/>
      </w:pPr>
    </w:p>
    <w:p w14:paraId="2D6D1A40" w14:textId="16B4FAB7" w:rsidR="00934C85" w:rsidRPr="009A27ED" w:rsidRDefault="00F03B95" w:rsidP="001E165D">
      <w:pPr>
        <w:pStyle w:val="Ttulo3"/>
        <w:spacing w:line="360" w:lineRule="auto"/>
        <w:jc w:val="both"/>
        <w:rPr>
          <w:rFonts w:asciiTheme="minorHAnsi" w:hAnsiTheme="minorHAnsi" w:cstheme="minorHAnsi"/>
          <w:i/>
          <w:iCs/>
          <w:szCs w:val="20"/>
        </w:rPr>
      </w:pPr>
      <w:bookmarkStart w:id="99" w:name="_Toc111837921"/>
      <w:r w:rsidRPr="009A27ED">
        <w:rPr>
          <w:rFonts w:asciiTheme="minorHAnsi" w:eastAsia="Times New Roman" w:hAnsiTheme="minorHAnsi" w:cstheme="minorHAnsi"/>
          <w:i/>
          <w:iCs/>
          <w:sz w:val="24"/>
          <w:szCs w:val="20"/>
        </w:rPr>
        <w:t>Planes</w:t>
      </w:r>
      <w:r w:rsidR="0049512C" w:rsidRPr="009A27ED">
        <w:rPr>
          <w:rFonts w:asciiTheme="minorHAnsi" w:eastAsia="Times New Roman" w:hAnsiTheme="minorHAnsi" w:cstheme="minorHAnsi"/>
          <w:i/>
          <w:iCs/>
          <w:sz w:val="24"/>
          <w:szCs w:val="20"/>
        </w:rPr>
        <w:t>, sistemas, programas y proyectos</w:t>
      </w:r>
      <w:r w:rsidRPr="009A27ED">
        <w:rPr>
          <w:rFonts w:asciiTheme="minorHAnsi" w:eastAsia="Times New Roman" w:hAnsiTheme="minorHAnsi" w:cstheme="minorHAnsi"/>
          <w:i/>
          <w:iCs/>
          <w:sz w:val="24"/>
          <w:szCs w:val="20"/>
        </w:rPr>
        <w:t xml:space="preserve"> nacionales</w:t>
      </w:r>
      <w:bookmarkEnd w:id="99"/>
    </w:p>
    <w:p w14:paraId="6D986715" w14:textId="77777777" w:rsidR="00BF5D35" w:rsidRPr="009A27ED" w:rsidRDefault="00BF5D35" w:rsidP="00BF5D35">
      <w:pPr>
        <w:spacing w:line="360" w:lineRule="auto"/>
        <w:rPr>
          <w:b/>
          <w:color w:val="000000" w:themeColor="text1"/>
          <w:szCs w:val="20"/>
        </w:rPr>
      </w:pPr>
    </w:p>
    <w:p w14:paraId="2478E04E" w14:textId="47717633" w:rsidR="00BF5D35" w:rsidRPr="009A27ED" w:rsidRDefault="00BF5D35" w:rsidP="00CB0613">
      <w:pPr>
        <w:spacing w:line="360" w:lineRule="auto"/>
        <w:rPr>
          <w:b/>
          <w:color w:val="000000" w:themeColor="text1"/>
          <w:szCs w:val="20"/>
        </w:rPr>
      </w:pPr>
      <w:r w:rsidRPr="009A27ED">
        <w:rPr>
          <w:rFonts w:ascii="Times New Roman" w:eastAsia="Times New Roman" w:hAnsi="Times New Roman"/>
          <w:b/>
          <w:color w:val="000000" w:themeColor="text1"/>
          <w:sz w:val="24"/>
          <w:szCs w:val="20"/>
        </w:rPr>
        <w:t xml:space="preserve">Matriz de información relativa a los Planes, Sistemas, Programas </w:t>
      </w:r>
      <w:r w:rsidR="003962C9" w:rsidRPr="009A27ED">
        <w:rPr>
          <w:rFonts w:ascii="Times New Roman" w:eastAsia="Times New Roman" w:hAnsi="Times New Roman"/>
          <w:b/>
          <w:color w:val="000000" w:themeColor="text1"/>
          <w:sz w:val="24"/>
          <w:szCs w:val="20"/>
        </w:rPr>
        <w:t>y Proyectos</w:t>
      </w:r>
      <w:r w:rsidRPr="009A27ED">
        <w:rPr>
          <w:rFonts w:ascii="Times New Roman" w:eastAsia="Times New Roman" w:hAnsi="Times New Roman"/>
          <w:b/>
          <w:color w:val="000000" w:themeColor="text1"/>
          <w:sz w:val="24"/>
          <w:szCs w:val="20"/>
        </w:rPr>
        <w:t xml:space="preserve"> sobre los cuales se consolidará la implementación del Mecanismo REDD+ en la República Dominican</w:t>
      </w:r>
      <w:r w:rsidR="00CB0613" w:rsidRPr="009A27ED">
        <w:rPr>
          <w:rFonts w:ascii="Times New Roman" w:eastAsia="Times New Roman" w:hAnsi="Times New Roman"/>
          <w:b/>
          <w:color w:val="000000" w:themeColor="text1"/>
          <w:sz w:val="24"/>
          <w:szCs w:val="20"/>
        </w:rPr>
        <w:t>a</w:t>
      </w:r>
    </w:p>
    <w:p w14:paraId="4C41D0A0" w14:textId="77777777" w:rsidR="00BF5D35" w:rsidRPr="009A27ED" w:rsidRDefault="00BF5D35" w:rsidP="00BF5D35">
      <w:pPr>
        <w:spacing w:after="0" w:line="360" w:lineRule="auto"/>
        <w:ind w:left="720"/>
        <w:contextualSpacing/>
        <w:rPr>
          <w:rFonts w:cstheme="minorBidi"/>
          <w:b/>
          <w:color w:val="ED7D31" w:themeColor="accent2"/>
          <w:sz w:val="20"/>
          <w:szCs w:val="20"/>
        </w:rPr>
      </w:pPr>
    </w:p>
    <w:tbl>
      <w:tblPr>
        <w:tblStyle w:val="Tablaconcuadrcula"/>
        <w:tblW w:w="0" w:type="auto"/>
        <w:tblLook w:val="04A0" w:firstRow="1" w:lastRow="0" w:firstColumn="1" w:lastColumn="0" w:noHBand="0" w:noVBand="1"/>
      </w:tblPr>
      <w:tblGrid>
        <w:gridCol w:w="4316"/>
        <w:gridCol w:w="4317"/>
        <w:gridCol w:w="4317"/>
      </w:tblGrid>
      <w:tr w:rsidR="001F3228" w:rsidRPr="009A27ED" w14:paraId="249B6C62" w14:textId="77777777" w:rsidTr="001F3228">
        <w:tc>
          <w:tcPr>
            <w:tcW w:w="12950" w:type="dxa"/>
            <w:gridSpan w:val="3"/>
            <w:shd w:val="clear" w:color="auto" w:fill="2F5496" w:themeFill="accent5" w:themeFillShade="BF"/>
          </w:tcPr>
          <w:p w14:paraId="7B5FC87D" w14:textId="562A4412" w:rsidR="001F3228" w:rsidRPr="009A27ED" w:rsidRDefault="001F3228" w:rsidP="00C97A18">
            <w:pPr>
              <w:pStyle w:val="Prrafodelista"/>
              <w:spacing w:line="240" w:lineRule="auto"/>
              <w:ind w:left="360"/>
              <w:rPr>
                <w:b/>
                <w:color w:val="2F5496" w:themeColor="accent5" w:themeShade="BF"/>
                <w:sz w:val="20"/>
                <w:szCs w:val="20"/>
              </w:rPr>
            </w:pPr>
            <w:r w:rsidRPr="009A27ED">
              <w:rPr>
                <w:b/>
                <w:color w:val="FFFFFF" w:themeColor="background1"/>
                <w:sz w:val="28"/>
                <w:szCs w:val="28"/>
              </w:rPr>
              <w:t>1</w:t>
            </w:r>
            <w:r w:rsidRPr="009A27ED">
              <w:rPr>
                <w:b/>
                <w:sz w:val="28"/>
                <w:szCs w:val="28"/>
              </w:rPr>
              <w:t>. Proyecto Manejo Forestal Sostenible (Asociación de Silvicultores San Ramón, INC. LA CELESTINA) – Municipio de San José de las Matas</w:t>
            </w:r>
            <w:r w:rsidR="00D37B74" w:rsidRPr="009A27ED">
              <w:rPr>
                <w:b/>
                <w:sz w:val="28"/>
                <w:szCs w:val="28"/>
              </w:rPr>
              <w:t xml:space="preserve"> y  </w:t>
            </w:r>
            <w:r w:rsidRPr="009A27ED">
              <w:rPr>
                <w:b/>
                <w:sz w:val="28"/>
                <w:szCs w:val="28"/>
              </w:rPr>
              <w:t>2. Plan de Manejo Forestal ASODOFOREST</w:t>
            </w:r>
          </w:p>
        </w:tc>
      </w:tr>
      <w:tr w:rsidR="001F3228" w:rsidRPr="009A27ED" w14:paraId="6E400EB9" w14:textId="77777777" w:rsidTr="001F3228">
        <w:tc>
          <w:tcPr>
            <w:tcW w:w="12950" w:type="dxa"/>
            <w:gridSpan w:val="3"/>
          </w:tcPr>
          <w:p w14:paraId="7999A093" w14:textId="77777777" w:rsidR="001F3228" w:rsidRPr="009A27ED" w:rsidRDefault="001F3228" w:rsidP="001F3228">
            <w:pPr>
              <w:rPr>
                <w:b/>
                <w:color w:val="000000" w:themeColor="text1"/>
                <w:sz w:val="20"/>
                <w:szCs w:val="20"/>
              </w:rPr>
            </w:pPr>
            <w:r w:rsidRPr="009A27ED">
              <w:rPr>
                <w:b/>
                <w:color w:val="000000" w:themeColor="text1"/>
                <w:sz w:val="20"/>
                <w:szCs w:val="20"/>
              </w:rPr>
              <w:t xml:space="preserve">Descripción del Proyecto </w:t>
            </w:r>
          </w:p>
          <w:p w14:paraId="15B2115B" w14:textId="77777777" w:rsidR="001F3228" w:rsidRPr="009A27ED" w:rsidRDefault="001F3228" w:rsidP="001F3228">
            <w:pPr>
              <w:rPr>
                <w:rFonts w:cs="Arial"/>
                <w:sz w:val="20"/>
                <w:szCs w:val="20"/>
              </w:rPr>
            </w:pPr>
            <w:r w:rsidRPr="009A27ED">
              <w:rPr>
                <w:rFonts w:cs="Arial"/>
                <w:sz w:val="20"/>
                <w:szCs w:val="20"/>
              </w:rPr>
              <w:t xml:space="preserve">El Proyecto Manejo Forestal La Celestina, es una iniciativa de manejo sostenible del bosque del pino endémico de la Isla </w:t>
            </w:r>
            <w:proofErr w:type="spellStart"/>
            <w:r w:rsidRPr="009A27ED">
              <w:rPr>
                <w:rFonts w:cs="Arial"/>
                <w:sz w:val="20"/>
                <w:szCs w:val="20"/>
              </w:rPr>
              <w:t>Hispaniola</w:t>
            </w:r>
            <w:proofErr w:type="spellEnd"/>
            <w:r w:rsidRPr="009A27ED">
              <w:rPr>
                <w:rFonts w:cs="Arial"/>
                <w:sz w:val="20"/>
                <w:szCs w:val="20"/>
              </w:rPr>
              <w:t xml:space="preserve"> (</w:t>
            </w:r>
            <w:proofErr w:type="spellStart"/>
            <w:r w:rsidRPr="009A27ED">
              <w:rPr>
                <w:rFonts w:cs="Arial"/>
                <w:sz w:val="20"/>
                <w:szCs w:val="20"/>
              </w:rPr>
              <w:t>Pinus</w:t>
            </w:r>
            <w:proofErr w:type="spellEnd"/>
            <w:r w:rsidRPr="009A27ED">
              <w:rPr>
                <w:rFonts w:cs="Arial"/>
                <w:sz w:val="20"/>
                <w:szCs w:val="20"/>
              </w:rPr>
              <w:t xml:space="preserve"> </w:t>
            </w:r>
            <w:proofErr w:type="spellStart"/>
            <w:r w:rsidRPr="009A27ED">
              <w:rPr>
                <w:rFonts w:cs="Arial"/>
                <w:sz w:val="20"/>
                <w:szCs w:val="20"/>
              </w:rPr>
              <w:t>occidentalis</w:t>
            </w:r>
            <w:proofErr w:type="spellEnd"/>
            <w:r w:rsidRPr="009A27ED">
              <w:rPr>
                <w:rFonts w:cs="Arial"/>
                <w:sz w:val="20"/>
                <w:szCs w:val="20"/>
              </w:rPr>
              <w:t xml:space="preserve">), el cual opera bajo convenio entre El Plan Sierra y la Asociación de Silvicultores San Ramón.  El proyecto funciona desde el año 1983 y a través de sus acciones ha tenido incidencia en el aumento de la cobertura forestal. Se estima que, en su área de influencia, el proyecto ha contribuido al aumento de 32% de la cobertura boscosa. El manejo está basado en entresacas de los árboles, la protección contra incendios forestales y en el control de los cortes ilegales. Junto a las acciones de ASODEFOREST y el Proyecto Sabana Clara, se considera que el proyecto La Celestina tiene potencial para entrar en la contabilidad de emisiones.    </w:t>
            </w:r>
          </w:p>
          <w:p w14:paraId="6B507D8A" w14:textId="77777777" w:rsidR="001F3228" w:rsidRPr="009A27ED" w:rsidRDefault="001F3228" w:rsidP="001F3228">
            <w:pPr>
              <w:pStyle w:val="Prrafodelista"/>
              <w:numPr>
                <w:ilvl w:val="0"/>
                <w:numId w:val="289"/>
              </w:numPr>
              <w:spacing w:after="0" w:line="240" w:lineRule="auto"/>
              <w:rPr>
                <w:rFonts w:cs="Arial"/>
                <w:sz w:val="20"/>
                <w:szCs w:val="20"/>
                <w:lang w:val="es-ES"/>
              </w:rPr>
            </w:pPr>
            <w:r w:rsidRPr="009A27ED">
              <w:rPr>
                <w:rFonts w:cs="Arial"/>
                <w:sz w:val="20"/>
                <w:szCs w:val="20"/>
                <w:lang w:val="es-ES"/>
              </w:rPr>
              <w:t>Planificar y llevar a cabo recolección de semillas forestales.</w:t>
            </w:r>
          </w:p>
          <w:p w14:paraId="09ECFACB" w14:textId="77777777" w:rsidR="001F3228" w:rsidRPr="009A27ED" w:rsidRDefault="001F3228" w:rsidP="001F3228">
            <w:pPr>
              <w:pStyle w:val="Prrafodelista"/>
              <w:numPr>
                <w:ilvl w:val="0"/>
                <w:numId w:val="289"/>
              </w:numPr>
              <w:spacing w:after="0" w:line="240" w:lineRule="auto"/>
              <w:rPr>
                <w:rFonts w:cs="Arial"/>
                <w:sz w:val="20"/>
                <w:szCs w:val="20"/>
                <w:lang w:val="es-ES"/>
              </w:rPr>
            </w:pPr>
            <w:r w:rsidRPr="009A27ED">
              <w:rPr>
                <w:rFonts w:cs="Arial"/>
                <w:sz w:val="20"/>
                <w:szCs w:val="20"/>
                <w:lang w:val="es-ES"/>
              </w:rPr>
              <w:t>Producir las plantas forestales requeridas por el proyecto.</w:t>
            </w:r>
          </w:p>
          <w:p w14:paraId="635DE156" w14:textId="77777777" w:rsidR="001F3228" w:rsidRPr="009A27ED" w:rsidRDefault="001F3228" w:rsidP="001F3228">
            <w:pPr>
              <w:pStyle w:val="Prrafodelista"/>
              <w:numPr>
                <w:ilvl w:val="0"/>
                <w:numId w:val="289"/>
              </w:numPr>
              <w:spacing w:after="0" w:line="240" w:lineRule="auto"/>
              <w:rPr>
                <w:rFonts w:cs="Arial"/>
                <w:sz w:val="20"/>
                <w:szCs w:val="20"/>
                <w:lang w:val="es-ES"/>
              </w:rPr>
            </w:pPr>
            <w:r w:rsidRPr="009A27ED">
              <w:rPr>
                <w:rFonts w:cs="Arial"/>
                <w:sz w:val="20"/>
                <w:szCs w:val="20"/>
                <w:lang w:val="es-ES"/>
              </w:rPr>
              <w:t>Programar y ejecutar las labores de reforestación.</w:t>
            </w:r>
          </w:p>
          <w:p w14:paraId="239A84CC" w14:textId="77777777" w:rsidR="001F3228" w:rsidRPr="009A27ED" w:rsidRDefault="001F3228" w:rsidP="001F3228">
            <w:pPr>
              <w:pStyle w:val="Prrafodelista"/>
              <w:numPr>
                <w:ilvl w:val="0"/>
                <w:numId w:val="289"/>
              </w:numPr>
              <w:spacing w:after="0" w:line="240" w:lineRule="auto"/>
              <w:rPr>
                <w:rFonts w:cs="Arial"/>
                <w:sz w:val="20"/>
                <w:szCs w:val="20"/>
                <w:lang w:val="es-ES"/>
              </w:rPr>
            </w:pPr>
            <w:r w:rsidRPr="009A27ED">
              <w:rPr>
                <w:rFonts w:cs="Arial"/>
                <w:sz w:val="20"/>
                <w:szCs w:val="20"/>
                <w:lang w:val="es-ES"/>
              </w:rPr>
              <w:t>Llevar a cabo labores de aprovechamiento forestal.</w:t>
            </w:r>
          </w:p>
          <w:p w14:paraId="79E556CE" w14:textId="77777777" w:rsidR="001F3228" w:rsidRPr="009A27ED" w:rsidRDefault="001F3228" w:rsidP="001F3228">
            <w:pPr>
              <w:pStyle w:val="Prrafodelista"/>
              <w:numPr>
                <w:ilvl w:val="0"/>
                <w:numId w:val="289"/>
              </w:numPr>
              <w:spacing w:after="0" w:line="240" w:lineRule="auto"/>
              <w:rPr>
                <w:rFonts w:cs="Arial"/>
                <w:sz w:val="20"/>
                <w:szCs w:val="20"/>
                <w:lang w:val="es-ES"/>
              </w:rPr>
            </w:pPr>
            <w:r w:rsidRPr="009A27ED">
              <w:rPr>
                <w:rFonts w:cs="Arial"/>
                <w:sz w:val="20"/>
                <w:szCs w:val="20"/>
                <w:lang w:val="es-ES"/>
              </w:rPr>
              <w:t>Operar y fomentar la industria de la madera a través del manejo de aserradero y talleres de ebanistería.</w:t>
            </w:r>
          </w:p>
        </w:tc>
      </w:tr>
      <w:tr w:rsidR="001F3228" w:rsidRPr="009A27ED" w14:paraId="056EA5F1" w14:textId="77777777" w:rsidTr="001F3228">
        <w:tc>
          <w:tcPr>
            <w:tcW w:w="12950" w:type="dxa"/>
            <w:gridSpan w:val="3"/>
          </w:tcPr>
          <w:p w14:paraId="2A81D302" w14:textId="77777777" w:rsidR="001F3228" w:rsidRPr="009A27ED" w:rsidRDefault="001F3228" w:rsidP="001F3228">
            <w:pPr>
              <w:rPr>
                <w:b/>
                <w:sz w:val="20"/>
                <w:szCs w:val="20"/>
              </w:rPr>
            </w:pPr>
            <w:r w:rsidRPr="009A27ED">
              <w:rPr>
                <w:b/>
                <w:sz w:val="20"/>
                <w:szCs w:val="20"/>
              </w:rPr>
              <w:t>Fundamento Legal</w:t>
            </w:r>
          </w:p>
          <w:p w14:paraId="5188BAAF" w14:textId="77777777" w:rsidR="001F3228" w:rsidRPr="009A27ED" w:rsidRDefault="001F3228" w:rsidP="001F3228">
            <w:pPr>
              <w:rPr>
                <w:color w:val="000000" w:themeColor="text1"/>
                <w:sz w:val="20"/>
                <w:szCs w:val="20"/>
              </w:rPr>
            </w:pPr>
            <w:r w:rsidRPr="009A27ED">
              <w:rPr>
                <w:color w:val="000000" w:themeColor="text1"/>
                <w:sz w:val="20"/>
                <w:szCs w:val="20"/>
              </w:rPr>
              <w:t xml:space="preserve">El proyecto surge según el convenio de traspaso de los títulos y la administración del Proyecto La Celestina entre Plan Sierra, INC. y La Asociación de Silvicultores San Ramón INC, el 25 de junio del 2004. Los registros de los títulos catastrales corresponden a las parcelas #1-E, #2 y #3 del Distrito Catastral #6; del municipio San José de las Matas, provincia de Santiago, con una superficie de 1,985.80; 554.60 y 1,303.69 ha respectivamente. Originalmente, estos títulos correspondían a la Compañía Industrial Maderera </w:t>
            </w:r>
            <w:proofErr w:type="spellStart"/>
            <w:r w:rsidRPr="009A27ED">
              <w:rPr>
                <w:color w:val="000000" w:themeColor="text1"/>
                <w:sz w:val="20"/>
                <w:szCs w:val="20"/>
              </w:rPr>
              <w:t>CxA</w:t>
            </w:r>
            <w:proofErr w:type="spellEnd"/>
            <w:r w:rsidRPr="009A27ED">
              <w:rPr>
                <w:color w:val="000000" w:themeColor="text1"/>
                <w:sz w:val="20"/>
                <w:szCs w:val="20"/>
              </w:rPr>
              <w:t>. Estas tierras fueron expropiadas por el gobierno a esta compañía el 09 de enero de 1980 mediante el decreto No. 1432</w:t>
            </w:r>
          </w:p>
        </w:tc>
      </w:tr>
      <w:tr w:rsidR="001F3228" w:rsidRPr="009A27ED" w14:paraId="40135831" w14:textId="77777777" w:rsidTr="001F3228">
        <w:tc>
          <w:tcPr>
            <w:tcW w:w="12950" w:type="dxa"/>
            <w:gridSpan w:val="3"/>
          </w:tcPr>
          <w:p w14:paraId="00E0C447" w14:textId="77777777" w:rsidR="001F3228" w:rsidRPr="009A27ED" w:rsidRDefault="001F3228" w:rsidP="001F3228">
            <w:pPr>
              <w:rPr>
                <w:b/>
                <w:sz w:val="20"/>
                <w:szCs w:val="20"/>
              </w:rPr>
            </w:pPr>
            <w:r w:rsidRPr="009A27ED">
              <w:rPr>
                <w:b/>
                <w:sz w:val="20"/>
                <w:szCs w:val="20"/>
              </w:rPr>
              <w:t>Objetivo</w:t>
            </w:r>
          </w:p>
          <w:p w14:paraId="49D69456" w14:textId="77777777" w:rsidR="001F3228" w:rsidRPr="009A27ED" w:rsidRDefault="001F3228" w:rsidP="001F3228">
            <w:pPr>
              <w:rPr>
                <w:sz w:val="20"/>
                <w:szCs w:val="20"/>
              </w:rPr>
            </w:pPr>
            <w:r w:rsidRPr="009A27ED">
              <w:rPr>
                <w:sz w:val="20"/>
                <w:szCs w:val="20"/>
              </w:rPr>
              <w:lastRenderedPageBreak/>
              <w:t>La protección, mejoramiento, conservación y restauración del bosque natural mediante entresacas y de las plantaciones establecidas mediante raleos y/o entresacas, para hacer un uso sostenible de los recursos forestales y del medio ambiente en sentido general y eliminar los patrones de extracción no sostenibles. De esta manera lograr producir madera bajo el principio de rendimiento sostenido.</w:t>
            </w:r>
          </w:p>
          <w:p w14:paraId="48057817" w14:textId="77777777" w:rsidR="001F3228" w:rsidRPr="009A27ED" w:rsidRDefault="001F3228" w:rsidP="001F3228">
            <w:pPr>
              <w:pStyle w:val="Prrafodelista"/>
              <w:numPr>
                <w:ilvl w:val="0"/>
                <w:numId w:val="290"/>
              </w:numPr>
              <w:spacing w:after="0" w:line="240" w:lineRule="auto"/>
              <w:rPr>
                <w:rFonts w:cs="Arial"/>
                <w:sz w:val="20"/>
                <w:szCs w:val="20"/>
                <w:lang w:val="es-ES"/>
              </w:rPr>
            </w:pPr>
            <w:r w:rsidRPr="009A27ED">
              <w:rPr>
                <w:rFonts w:cs="Arial"/>
                <w:sz w:val="20"/>
                <w:szCs w:val="20"/>
                <w:lang w:val="es-ES"/>
              </w:rPr>
              <w:t>Proteger, mejorar, conservar y restaurar el bosque natural mediante raleos y/o entresacas, para la producción de madera bajo el principio de rendimiento sostenido.</w:t>
            </w:r>
          </w:p>
          <w:p w14:paraId="14DCEF49" w14:textId="77777777" w:rsidR="001F3228" w:rsidRPr="009A27ED" w:rsidRDefault="001F3228" w:rsidP="001F3228">
            <w:pPr>
              <w:pStyle w:val="Prrafodelista"/>
              <w:numPr>
                <w:ilvl w:val="0"/>
                <w:numId w:val="290"/>
              </w:numPr>
              <w:spacing w:after="0" w:line="240" w:lineRule="auto"/>
              <w:rPr>
                <w:rFonts w:cs="Arial"/>
                <w:sz w:val="20"/>
                <w:szCs w:val="20"/>
                <w:lang w:val="es-ES"/>
              </w:rPr>
            </w:pPr>
            <w:r w:rsidRPr="009A27ED">
              <w:rPr>
                <w:rFonts w:cs="Arial"/>
                <w:sz w:val="20"/>
                <w:szCs w:val="20"/>
                <w:lang w:val="es-ES"/>
              </w:rPr>
              <w:t>Establecer un plan de trabajo para el desarrollo económico y social de la actividad forestal en el proyecto, que garantice la oferta de madera y la creación de empleos locales, mejorando así el nivel de vida de los habitantes.</w:t>
            </w:r>
          </w:p>
          <w:p w14:paraId="7AD490B1" w14:textId="77777777" w:rsidR="001F3228" w:rsidRPr="009A27ED" w:rsidRDefault="001F3228" w:rsidP="001F3228">
            <w:pPr>
              <w:pStyle w:val="Prrafodelista"/>
              <w:numPr>
                <w:ilvl w:val="0"/>
                <w:numId w:val="290"/>
              </w:numPr>
              <w:spacing w:after="0" w:line="240" w:lineRule="auto"/>
              <w:rPr>
                <w:rFonts w:cs="Arial"/>
                <w:sz w:val="20"/>
                <w:szCs w:val="20"/>
                <w:lang w:val="es-ES"/>
              </w:rPr>
            </w:pPr>
            <w:r w:rsidRPr="009A27ED">
              <w:rPr>
                <w:rFonts w:cs="Arial"/>
                <w:sz w:val="20"/>
                <w:szCs w:val="20"/>
                <w:lang w:val="es-ES"/>
              </w:rPr>
              <w:t>Lograr la correcta utilización del espacio físico a través del ordenamiento territorial, considerando el recurso bosque y la población que habita en el mismo.</w:t>
            </w:r>
          </w:p>
          <w:p w14:paraId="47BFD9F3" w14:textId="77777777" w:rsidR="001F3228" w:rsidRPr="009A27ED" w:rsidRDefault="001F3228" w:rsidP="001F3228">
            <w:pPr>
              <w:pStyle w:val="Prrafodelista"/>
              <w:numPr>
                <w:ilvl w:val="0"/>
                <w:numId w:val="290"/>
              </w:numPr>
              <w:spacing w:after="0" w:line="240" w:lineRule="auto"/>
              <w:rPr>
                <w:rFonts w:cs="Arial"/>
                <w:sz w:val="20"/>
                <w:szCs w:val="20"/>
                <w:lang w:val="es-ES"/>
              </w:rPr>
            </w:pPr>
            <w:r w:rsidRPr="009A27ED">
              <w:rPr>
                <w:rFonts w:cs="Arial"/>
                <w:sz w:val="20"/>
                <w:szCs w:val="20"/>
                <w:lang w:val="es-ES"/>
              </w:rPr>
              <w:t>Garantizar el manejo racional de los bosques y los sistemas hídricos dentro del proyecto, asegurando la sostenibilidad de éstos, procurando al mismo tiempo conservar el suelo, las aguas, el clima y la diversidad biológica.</w:t>
            </w:r>
          </w:p>
          <w:p w14:paraId="26191EAA" w14:textId="77777777" w:rsidR="001F3228" w:rsidRPr="009A27ED" w:rsidRDefault="001F3228" w:rsidP="001F3228">
            <w:pPr>
              <w:pStyle w:val="Prrafodelista"/>
              <w:numPr>
                <w:ilvl w:val="0"/>
                <w:numId w:val="290"/>
              </w:numPr>
              <w:spacing w:after="0" w:line="240" w:lineRule="auto"/>
              <w:rPr>
                <w:rFonts w:cs="Arial"/>
                <w:sz w:val="20"/>
                <w:szCs w:val="20"/>
                <w:lang w:val="es-ES"/>
              </w:rPr>
            </w:pPr>
            <w:r w:rsidRPr="009A27ED">
              <w:rPr>
                <w:rFonts w:cs="Arial"/>
                <w:sz w:val="20"/>
                <w:szCs w:val="20"/>
                <w:lang w:val="es-ES"/>
              </w:rPr>
              <w:t>Fomentar y estimular la educación e investigación forestal como medio para promover un manejo forestal en armonía con el medio ambiente y los habitantes locales.</w:t>
            </w:r>
          </w:p>
          <w:p w14:paraId="2CBA1C00" w14:textId="77777777" w:rsidR="001F3228" w:rsidRPr="009A27ED" w:rsidRDefault="001F3228" w:rsidP="001F3228">
            <w:pPr>
              <w:pStyle w:val="Prrafodelista"/>
              <w:numPr>
                <w:ilvl w:val="0"/>
                <w:numId w:val="290"/>
              </w:numPr>
              <w:spacing w:after="0" w:line="240" w:lineRule="auto"/>
              <w:rPr>
                <w:rFonts w:cs="Arial"/>
                <w:sz w:val="20"/>
                <w:szCs w:val="20"/>
                <w:lang w:val="es-ES"/>
              </w:rPr>
            </w:pPr>
            <w:r w:rsidRPr="009A27ED">
              <w:rPr>
                <w:rFonts w:cs="Arial"/>
                <w:sz w:val="20"/>
                <w:szCs w:val="20"/>
                <w:lang w:val="es-ES"/>
              </w:rPr>
              <w:t>Impulsar e incentivar acciones que tiendan al desarrollo y cumplimiento de la ley general de medio ambiente y recursos naturales (Ley 64-00) y de las normas técnicas forestales que rigen la actividad forestal en La República Dominicana.</w:t>
            </w:r>
          </w:p>
          <w:p w14:paraId="7AD10756" w14:textId="77777777" w:rsidR="001F3228" w:rsidRPr="009A27ED" w:rsidRDefault="001F3228" w:rsidP="001F3228">
            <w:pPr>
              <w:rPr>
                <w:b/>
                <w:color w:val="2F5496" w:themeColor="accent5" w:themeShade="BF"/>
                <w:sz w:val="20"/>
                <w:szCs w:val="20"/>
              </w:rPr>
            </w:pPr>
          </w:p>
        </w:tc>
      </w:tr>
      <w:tr w:rsidR="001F3228" w:rsidRPr="009A27ED" w14:paraId="0E4E84BE" w14:textId="77777777" w:rsidTr="001F3228">
        <w:tc>
          <w:tcPr>
            <w:tcW w:w="4316" w:type="dxa"/>
          </w:tcPr>
          <w:p w14:paraId="412B23A5" w14:textId="77777777" w:rsidR="001F3228" w:rsidRPr="009A27ED" w:rsidRDefault="001F3228" w:rsidP="001F3228">
            <w:pPr>
              <w:rPr>
                <w:b/>
                <w:sz w:val="20"/>
                <w:szCs w:val="20"/>
              </w:rPr>
            </w:pPr>
            <w:r w:rsidRPr="009A27ED">
              <w:rPr>
                <w:b/>
                <w:sz w:val="20"/>
                <w:szCs w:val="20"/>
              </w:rPr>
              <w:t>Funcionamiento</w:t>
            </w:r>
          </w:p>
          <w:p w14:paraId="2F035499" w14:textId="7548522D" w:rsidR="001F3228" w:rsidRPr="009A27ED" w:rsidRDefault="001F3228" w:rsidP="001F3228">
            <w:pPr>
              <w:rPr>
                <w:sz w:val="20"/>
                <w:szCs w:val="20"/>
              </w:rPr>
            </w:pPr>
            <w:r w:rsidRPr="009A27ED">
              <w:rPr>
                <w:sz w:val="20"/>
                <w:szCs w:val="20"/>
              </w:rPr>
              <w:t>La parte operativa del proyecto funciona con un encargado técnico administrativo, un encargado de facturación y caja, además de una secretaria. Para los registros financieros se paga</w:t>
            </w:r>
            <w:r w:rsidR="002079C0" w:rsidRPr="009A27ED">
              <w:rPr>
                <w:sz w:val="20"/>
                <w:szCs w:val="20"/>
              </w:rPr>
              <w:t xml:space="preserve">n los servicios de un profesional del área </w:t>
            </w:r>
            <w:r w:rsidR="00E921C2" w:rsidRPr="009A27ED">
              <w:rPr>
                <w:sz w:val="20"/>
                <w:szCs w:val="20"/>
              </w:rPr>
              <w:t>de contabilidad</w:t>
            </w:r>
            <w:r w:rsidRPr="009A27ED">
              <w:rPr>
                <w:sz w:val="20"/>
                <w:szCs w:val="20"/>
              </w:rPr>
              <w:t>.</w:t>
            </w:r>
          </w:p>
          <w:p w14:paraId="2DD13B63" w14:textId="77777777" w:rsidR="001F3228" w:rsidRPr="009A27ED" w:rsidRDefault="001F3228" w:rsidP="002079C0">
            <w:pPr>
              <w:rPr>
                <w:b/>
                <w:color w:val="000000" w:themeColor="text1"/>
                <w:sz w:val="20"/>
                <w:szCs w:val="20"/>
              </w:rPr>
            </w:pPr>
          </w:p>
        </w:tc>
        <w:tc>
          <w:tcPr>
            <w:tcW w:w="4317" w:type="dxa"/>
          </w:tcPr>
          <w:p w14:paraId="4EE01B95" w14:textId="77777777" w:rsidR="001F3228" w:rsidRPr="009A27ED" w:rsidRDefault="001F3228" w:rsidP="001F3228">
            <w:pPr>
              <w:rPr>
                <w:b/>
                <w:color w:val="000000" w:themeColor="text1"/>
                <w:sz w:val="20"/>
                <w:szCs w:val="20"/>
              </w:rPr>
            </w:pPr>
            <w:r w:rsidRPr="009A27ED">
              <w:rPr>
                <w:b/>
                <w:color w:val="000000" w:themeColor="text1"/>
                <w:sz w:val="20"/>
                <w:szCs w:val="20"/>
              </w:rPr>
              <w:t>Entidad Ejecutora</w:t>
            </w:r>
          </w:p>
          <w:p w14:paraId="068EFC13" w14:textId="77777777" w:rsidR="001F3228" w:rsidRPr="009A27ED" w:rsidRDefault="001F3228" w:rsidP="001F3228">
            <w:pPr>
              <w:pStyle w:val="Heading1Chapters"/>
              <w:numPr>
                <w:ilvl w:val="0"/>
                <w:numId w:val="291"/>
              </w:numPr>
              <w:jc w:val="both"/>
              <w:rPr>
                <w:rFonts w:asciiTheme="minorHAnsi" w:hAnsiTheme="minorHAnsi"/>
                <w:b/>
                <w:color w:val="000000" w:themeColor="text1"/>
                <w:sz w:val="20"/>
                <w:szCs w:val="20"/>
                <w:lang w:val="es-ES"/>
              </w:rPr>
            </w:pPr>
            <w:r w:rsidRPr="009A27ED">
              <w:rPr>
                <w:rFonts w:asciiTheme="minorHAnsi" w:hAnsiTheme="minorHAnsi"/>
                <w:color w:val="000000" w:themeColor="text1"/>
                <w:sz w:val="20"/>
                <w:szCs w:val="20"/>
                <w:lang w:val="es-ES"/>
              </w:rPr>
              <w:t>Cooperativa San Ramón. Proyecto La Celestina</w:t>
            </w:r>
          </w:p>
          <w:p w14:paraId="36690952" w14:textId="77777777" w:rsidR="001F3228" w:rsidRPr="009A27ED" w:rsidRDefault="001F3228" w:rsidP="001F3228">
            <w:pPr>
              <w:pStyle w:val="Prrafodelista"/>
              <w:numPr>
                <w:ilvl w:val="0"/>
                <w:numId w:val="291"/>
              </w:numPr>
              <w:spacing w:after="0" w:line="240" w:lineRule="auto"/>
              <w:rPr>
                <w:b/>
                <w:color w:val="000000" w:themeColor="text1"/>
                <w:sz w:val="20"/>
                <w:szCs w:val="20"/>
                <w:lang w:val="es-ES"/>
              </w:rPr>
            </w:pPr>
            <w:r w:rsidRPr="009A27ED">
              <w:rPr>
                <w:color w:val="000000" w:themeColor="text1"/>
                <w:sz w:val="20"/>
                <w:szCs w:val="20"/>
                <w:lang w:val="es-ES"/>
              </w:rPr>
              <w:t>Asociación Desarrollo Sostenible Forestal en Restauración (ASODEFOREST) Proyecto Restauración</w:t>
            </w:r>
          </w:p>
        </w:tc>
        <w:tc>
          <w:tcPr>
            <w:tcW w:w="4317" w:type="dxa"/>
          </w:tcPr>
          <w:p w14:paraId="76974CE7" w14:textId="77777777" w:rsidR="001F3228" w:rsidRPr="009A27ED" w:rsidRDefault="001F3228" w:rsidP="001F3228">
            <w:pPr>
              <w:rPr>
                <w:b/>
                <w:sz w:val="20"/>
                <w:szCs w:val="20"/>
              </w:rPr>
            </w:pPr>
            <w:r w:rsidRPr="009A27ED">
              <w:rPr>
                <w:b/>
                <w:sz w:val="20"/>
                <w:szCs w:val="20"/>
              </w:rPr>
              <w:t>Gobernanza</w:t>
            </w:r>
          </w:p>
          <w:p w14:paraId="256E2A03" w14:textId="77777777" w:rsidR="001F3228" w:rsidRPr="009A27ED" w:rsidRDefault="001F3228" w:rsidP="001F3228">
            <w:pPr>
              <w:pStyle w:val="Default"/>
              <w:jc w:val="both"/>
              <w:rPr>
                <w:rFonts w:asciiTheme="minorHAnsi" w:hAnsiTheme="minorHAnsi"/>
                <w:b/>
                <w:color w:val="000000" w:themeColor="text1"/>
                <w:sz w:val="20"/>
                <w:szCs w:val="20"/>
                <w:lang w:val="es-ES"/>
              </w:rPr>
            </w:pPr>
            <w:r w:rsidRPr="009A27ED">
              <w:rPr>
                <w:rFonts w:asciiTheme="minorHAnsi" w:hAnsiTheme="minorHAnsi"/>
                <w:color w:val="000000" w:themeColor="text1"/>
                <w:sz w:val="20"/>
                <w:szCs w:val="20"/>
                <w:lang w:val="es-ES"/>
              </w:rPr>
              <w:t>Propietario: Asociación de Silvicultores San Ramón, INC. (compuesta por 71 socios) Plan Sierra, INC (Regente Técnico permanente) Ministerio de Medio Ambiente y Recursos Naturales</w:t>
            </w:r>
          </w:p>
        </w:tc>
      </w:tr>
      <w:tr w:rsidR="001F3228" w:rsidRPr="009A27ED" w14:paraId="59002DD2" w14:textId="77777777" w:rsidTr="001F3228">
        <w:tc>
          <w:tcPr>
            <w:tcW w:w="4316" w:type="dxa"/>
          </w:tcPr>
          <w:p w14:paraId="754723B8" w14:textId="77777777" w:rsidR="001F3228" w:rsidRPr="009A27ED" w:rsidRDefault="001F3228" w:rsidP="001F3228">
            <w:pPr>
              <w:rPr>
                <w:b/>
                <w:sz w:val="20"/>
                <w:szCs w:val="20"/>
              </w:rPr>
            </w:pPr>
            <w:r w:rsidRPr="009A27ED">
              <w:rPr>
                <w:b/>
                <w:sz w:val="20"/>
                <w:szCs w:val="20"/>
              </w:rPr>
              <w:t>Fuente de recursos</w:t>
            </w:r>
          </w:p>
          <w:p w14:paraId="45323A9C" w14:textId="77777777" w:rsidR="001F3228" w:rsidRPr="009A27ED" w:rsidRDefault="001F3228" w:rsidP="001F3228">
            <w:pPr>
              <w:rPr>
                <w:sz w:val="20"/>
                <w:szCs w:val="20"/>
              </w:rPr>
            </w:pPr>
            <w:r w:rsidRPr="009A27ED">
              <w:rPr>
                <w:sz w:val="20"/>
                <w:szCs w:val="20"/>
              </w:rPr>
              <w:t>Fondos propios y asignación del Ministerio de Hacienda vía Ministerio de Agricultura.</w:t>
            </w:r>
          </w:p>
          <w:p w14:paraId="32FF5AC0" w14:textId="77777777" w:rsidR="001F3228" w:rsidRPr="009A27ED" w:rsidRDefault="001F3228" w:rsidP="001F3228">
            <w:pPr>
              <w:pStyle w:val="Default"/>
              <w:jc w:val="both"/>
              <w:rPr>
                <w:rFonts w:asciiTheme="minorHAnsi" w:hAnsiTheme="minorHAnsi"/>
                <w:b/>
                <w:color w:val="000000" w:themeColor="text1"/>
                <w:sz w:val="20"/>
                <w:szCs w:val="20"/>
                <w:lang w:val="es-ES"/>
              </w:rPr>
            </w:pPr>
          </w:p>
        </w:tc>
        <w:tc>
          <w:tcPr>
            <w:tcW w:w="4317" w:type="dxa"/>
          </w:tcPr>
          <w:p w14:paraId="094936B2" w14:textId="77777777" w:rsidR="001F3228" w:rsidRPr="009A27ED" w:rsidRDefault="001F3228" w:rsidP="001F3228">
            <w:pPr>
              <w:rPr>
                <w:b/>
                <w:sz w:val="20"/>
                <w:szCs w:val="20"/>
              </w:rPr>
            </w:pPr>
            <w:r w:rsidRPr="009A27ED">
              <w:rPr>
                <w:b/>
                <w:sz w:val="20"/>
                <w:szCs w:val="20"/>
              </w:rPr>
              <w:t>Actividades apoyadas</w:t>
            </w:r>
          </w:p>
          <w:p w14:paraId="58C3EDF4" w14:textId="77777777" w:rsidR="001F3228" w:rsidRPr="009A27ED" w:rsidRDefault="001F3228" w:rsidP="001F3228">
            <w:pPr>
              <w:pStyle w:val="Prrafodelista"/>
              <w:numPr>
                <w:ilvl w:val="0"/>
                <w:numId w:val="292"/>
              </w:numPr>
              <w:spacing w:after="0" w:line="240" w:lineRule="auto"/>
              <w:jc w:val="left"/>
              <w:rPr>
                <w:sz w:val="20"/>
                <w:szCs w:val="20"/>
                <w:lang w:val="es-ES"/>
              </w:rPr>
            </w:pPr>
            <w:r w:rsidRPr="009A27ED">
              <w:rPr>
                <w:sz w:val="20"/>
                <w:szCs w:val="20"/>
                <w:lang w:val="es-ES"/>
              </w:rPr>
              <w:t>Producción de plantas forestales,</w:t>
            </w:r>
          </w:p>
          <w:p w14:paraId="6F8C98AF" w14:textId="77777777" w:rsidR="001F3228" w:rsidRPr="009A27ED" w:rsidRDefault="001F3228" w:rsidP="001F3228">
            <w:pPr>
              <w:pStyle w:val="Prrafodelista"/>
              <w:numPr>
                <w:ilvl w:val="0"/>
                <w:numId w:val="292"/>
              </w:numPr>
              <w:spacing w:after="0" w:line="240" w:lineRule="auto"/>
              <w:jc w:val="left"/>
              <w:rPr>
                <w:sz w:val="20"/>
                <w:szCs w:val="20"/>
                <w:lang w:val="es-ES"/>
              </w:rPr>
            </w:pPr>
            <w:r w:rsidRPr="009A27ED">
              <w:rPr>
                <w:sz w:val="20"/>
                <w:szCs w:val="20"/>
                <w:lang w:val="es-ES"/>
              </w:rPr>
              <w:t>Aprovechamiento forestal,</w:t>
            </w:r>
          </w:p>
          <w:p w14:paraId="7FCA52C1" w14:textId="77777777" w:rsidR="001F3228" w:rsidRPr="009A27ED" w:rsidRDefault="001F3228" w:rsidP="001F3228">
            <w:pPr>
              <w:pStyle w:val="Prrafodelista"/>
              <w:numPr>
                <w:ilvl w:val="0"/>
                <w:numId w:val="292"/>
              </w:numPr>
              <w:spacing w:after="0" w:line="240" w:lineRule="auto"/>
              <w:jc w:val="left"/>
              <w:rPr>
                <w:sz w:val="20"/>
                <w:szCs w:val="20"/>
                <w:lang w:val="es-ES"/>
              </w:rPr>
            </w:pPr>
            <w:r w:rsidRPr="009A27ED">
              <w:rPr>
                <w:sz w:val="20"/>
                <w:szCs w:val="20"/>
                <w:lang w:val="es-ES"/>
              </w:rPr>
              <w:t>Industrias forestales,</w:t>
            </w:r>
          </w:p>
          <w:p w14:paraId="0FD5A695" w14:textId="77777777" w:rsidR="001F3228" w:rsidRPr="009A27ED" w:rsidRDefault="001F3228" w:rsidP="001F3228">
            <w:pPr>
              <w:pStyle w:val="Prrafodelista"/>
              <w:numPr>
                <w:ilvl w:val="0"/>
                <w:numId w:val="292"/>
              </w:numPr>
              <w:spacing w:after="0" w:line="240" w:lineRule="auto"/>
              <w:jc w:val="left"/>
              <w:rPr>
                <w:sz w:val="20"/>
                <w:szCs w:val="20"/>
                <w:lang w:val="es-ES"/>
              </w:rPr>
            </w:pPr>
            <w:r w:rsidRPr="009A27ED">
              <w:rPr>
                <w:sz w:val="20"/>
                <w:szCs w:val="20"/>
                <w:lang w:val="es-ES"/>
              </w:rPr>
              <w:t>Conservación,</w:t>
            </w:r>
          </w:p>
          <w:p w14:paraId="12646E56" w14:textId="77777777" w:rsidR="001F3228" w:rsidRPr="009A27ED" w:rsidRDefault="001F3228" w:rsidP="001F3228">
            <w:pPr>
              <w:pStyle w:val="Prrafodelista"/>
              <w:numPr>
                <w:ilvl w:val="0"/>
                <w:numId w:val="292"/>
              </w:numPr>
              <w:spacing w:after="0" w:line="240" w:lineRule="auto"/>
              <w:jc w:val="left"/>
              <w:rPr>
                <w:sz w:val="20"/>
                <w:szCs w:val="20"/>
                <w:lang w:val="es-ES"/>
              </w:rPr>
            </w:pPr>
            <w:r w:rsidRPr="009A27ED">
              <w:rPr>
                <w:sz w:val="20"/>
                <w:szCs w:val="20"/>
                <w:lang w:val="es-ES"/>
              </w:rPr>
              <w:t>Regulación de cuencas hidrográficas</w:t>
            </w:r>
          </w:p>
          <w:p w14:paraId="31E9824E" w14:textId="77777777" w:rsidR="001F3228" w:rsidRPr="009A27ED" w:rsidRDefault="001F3228" w:rsidP="001F3228">
            <w:pPr>
              <w:pStyle w:val="Prrafodelista"/>
              <w:numPr>
                <w:ilvl w:val="0"/>
                <w:numId w:val="292"/>
              </w:numPr>
              <w:spacing w:after="0" w:line="240" w:lineRule="auto"/>
              <w:jc w:val="left"/>
              <w:rPr>
                <w:sz w:val="20"/>
                <w:szCs w:val="20"/>
                <w:lang w:val="es-ES"/>
              </w:rPr>
            </w:pPr>
            <w:r w:rsidRPr="009A27ED">
              <w:rPr>
                <w:sz w:val="20"/>
                <w:szCs w:val="20"/>
                <w:lang w:val="es-ES"/>
              </w:rPr>
              <w:t>Ecoturismo,</w:t>
            </w:r>
          </w:p>
          <w:p w14:paraId="6638B27D" w14:textId="77777777" w:rsidR="001F3228" w:rsidRPr="009A27ED" w:rsidRDefault="001F3228" w:rsidP="001F3228">
            <w:pPr>
              <w:pStyle w:val="Prrafodelista"/>
              <w:numPr>
                <w:ilvl w:val="0"/>
                <w:numId w:val="292"/>
              </w:numPr>
              <w:spacing w:after="0" w:line="240" w:lineRule="auto"/>
              <w:jc w:val="left"/>
              <w:rPr>
                <w:sz w:val="20"/>
                <w:szCs w:val="20"/>
                <w:lang w:val="es-ES"/>
              </w:rPr>
            </w:pPr>
            <w:r w:rsidRPr="009A27ED">
              <w:rPr>
                <w:sz w:val="20"/>
                <w:szCs w:val="20"/>
                <w:lang w:val="es-ES"/>
              </w:rPr>
              <w:t>Senderismo.</w:t>
            </w:r>
          </w:p>
          <w:p w14:paraId="2824628B" w14:textId="77777777" w:rsidR="001F3228" w:rsidRPr="009A27ED" w:rsidRDefault="001F3228" w:rsidP="001F3228">
            <w:pPr>
              <w:rPr>
                <w:b/>
                <w:color w:val="000000" w:themeColor="text1"/>
                <w:sz w:val="20"/>
                <w:szCs w:val="20"/>
              </w:rPr>
            </w:pPr>
          </w:p>
        </w:tc>
        <w:tc>
          <w:tcPr>
            <w:tcW w:w="4317" w:type="dxa"/>
          </w:tcPr>
          <w:p w14:paraId="16E52F03" w14:textId="77777777" w:rsidR="001F3228" w:rsidRPr="009A27ED" w:rsidRDefault="001F3228" w:rsidP="001F3228">
            <w:pPr>
              <w:rPr>
                <w:b/>
                <w:sz w:val="20"/>
                <w:szCs w:val="20"/>
              </w:rPr>
            </w:pPr>
            <w:r w:rsidRPr="009A27ED">
              <w:rPr>
                <w:b/>
                <w:sz w:val="20"/>
                <w:szCs w:val="20"/>
              </w:rPr>
              <w:t xml:space="preserve">Principales resultados </w:t>
            </w:r>
          </w:p>
          <w:p w14:paraId="714948A0" w14:textId="77777777" w:rsidR="001F3228" w:rsidRPr="009A27ED" w:rsidRDefault="001F3228" w:rsidP="001F3228">
            <w:pPr>
              <w:pStyle w:val="Prrafodelista"/>
              <w:numPr>
                <w:ilvl w:val="0"/>
                <w:numId w:val="293"/>
              </w:numPr>
              <w:spacing w:after="0" w:line="240" w:lineRule="auto"/>
              <w:rPr>
                <w:sz w:val="20"/>
                <w:szCs w:val="20"/>
                <w:lang w:val="es-ES"/>
              </w:rPr>
            </w:pPr>
            <w:r w:rsidRPr="009A27ED">
              <w:rPr>
                <w:sz w:val="20"/>
                <w:szCs w:val="20"/>
                <w:lang w:val="es-ES"/>
              </w:rPr>
              <w:t>Aumento de cobertura del 32%</w:t>
            </w:r>
          </w:p>
          <w:p w14:paraId="2374075B" w14:textId="77777777" w:rsidR="001F3228" w:rsidRPr="009A27ED" w:rsidRDefault="001F3228" w:rsidP="001F3228">
            <w:pPr>
              <w:pStyle w:val="Prrafodelista"/>
              <w:numPr>
                <w:ilvl w:val="0"/>
                <w:numId w:val="293"/>
              </w:numPr>
              <w:spacing w:after="0" w:line="240" w:lineRule="auto"/>
              <w:rPr>
                <w:sz w:val="20"/>
                <w:szCs w:val="20"/>
                <w:lang w:val="es-ES"/>
              </w:rPr>
            </w:pPr>
            <w:r w:rsidRPr="009A27ED">
              <w:rPr>
                <w:sz w:val="20"/>
                <w:szCs w:val="20"/>
                <w:lang w:val="es-ES"/>
              </w:rPr>
              <w:t xml:space="preserve">Reforestación de 21,500 </w:t>
            </w:r>
            <w:proofErr w:type="spellStart"/>
            <w:r w:rsidRPr="009A27ED">
              <w:rPr>
                <w:sz w:val="20"/>
                <w:szCs w:val="20"/>
                <w:lang w:val="es-ES"/>
              </w:rPr>
              <w:t>ta</w:t>
            </w:r>
            <w:proofErr w:type="spellEnd"/>
            <w:r w:rsidRPr="009A27ED">
              <w:rPr>
                <w:sz w:val="20"/>
                <w:szCs w:val="20"/>
                <w:lang w:val="es-ES"/>
              </w:rPr>
              <w:t>.</w:t>
            </w:r>
          </w:p>
          <w:p w14:paraId="354AF0D2" w14:textId="77777777" w:rsidR="001F3228" w:rsidRPr="009A27ED" w:rsidRDefault="001F3228" w:rsidP="001F3228">
            <w:pPr>
              <w:pStyle w:val="Prrafodelista"/>
              <w:numPr>
                <w:ilvl w:val="0"/>
                <w:numId w:val="293"/>
              </w:numPr>
              <w:spacing w:after="0" w:line="240" w:lineRule="auto"/>
              <w:rPr>
                <w:sz w:val="20"/>
                <w:szCs w:val="20"/>
                <w:lang w:val="es-ES"/>
              </w:rPr>
            </w:pPr>
            <w:r w:rsidRPr="009A27ED">
              <w:rPr>
                <w:sz w:val="20"/>
                <w:szCs w:val="20"/>
                <w:lang w:val="es-ES"/>
              </w:rPr>
              <w:t>Apoderamiento de los socios con el lema armonía hombre –bosque</w:t>
            </w:r>
          </w:p>
          <w:p w14:paraId="17057C10" w14:textId="77777777" w:rsidR="001F3228" w:rsidRPr="009A27ED" w:rsidRDefault="001F3228" w:rsidP="001F3228">
            <w:pPr>
              <w:pStyle w:val="Prrafodelista"/>
              <w:numPr>
                <w:ilvl w:val="0"/>
                <w:numId w:val="293"/>
              </w:numPr>
              <w:spacing w:after="0" w:line="240" w:lineRule="auto"/>
              <w:rPr>
                <w:sz w:val="20"/>
                <w:szCs w:val="20"/>
                <w:lang w:val="es-ES"/>
              </w:rPr>
            </w:pPr>
            <w:r w:rsidRPr="009A27ED">
              <w:rPr>
                <w:sz w:val="20"/>
                <w:szCs w:val="20"/>
                <w:lang w:val="es-ES"/>
              </w:rPr>
              <w:t>Aumento de mejores condiciones de vida de los socios</w:t>
            </w:r>
          </w:p>
          <w:p w14:paraId="48752823" w14:textId="77777777" w:rsidR="001F3228" w:rsidRPr="009A27ED" w:rsidRDefault="001F3228" w:rsidP="001F3228">
            <w:pPr>
              <w:pStyle w:val="Prrafodelista"/>
              <w:numPr>
                <w:ilvl w:val="0"/>
                <w:numId w:val="293"/>
              </w:numPr>
              <w:spacing w:after="0" w:line="240" w:lineRule="auto"/>
              <w:rPr>
                <w:sz w:val="20"/>
                <w:szCs w:val="20"/>
                <w:lang w:val="es-ES"/>
              </w:rPr>
            </w:pPr>
            <w:r w:rsidRPr="009A27ED">
              <w:rPr>
                <w:sz w:val="20"/>
                <w:szCs w:val="20"/>
                <w:lang w:val="es-ES"/>
              </w:rPr>
              <w:t>Industrialización de la madera para la venta nacional</w:t>
            </w:r>
          </w:p>
          <w:p w14:paraId="519194A4" w14:textId="77777777" w:rsidR="001F3228" w:rsidRPr="009A27ED" w:rsidRDefault="001F3228" w:rsidP="001F3228">
            <w:pPr>
              <w:pStyle w:val="Prrafodelista"/>
              <w:numPr>
                <w:ilvl w:val="0"/>
                <w:numId w:val="293"/>
              </w:numPr>
              <w:spacing w:after="0" w:line="240" w:lineRule="auto"/>
              <w:rPr>
                <w:b/>
                <w:color w:val="000000" w:themeColor="text1"/>
                <w:sz w:val="20"/>
                <w:szCs w:val="20"/>
                <w:lang w:val="es-ES"/>
              </w:rPr>
            </w:pPr>
            <w:r w:rsidRPr="009A27ED">
              <w:rPr>
                <w:sz w:val="20"/>
                <w:szCs w:val="20"/>
                <w:lang w:val="es-ES"/>
              </w:rPr>
              <w:lastRenderedPageBreak/>
              <w:t>Capacitación de las familias que forma parte del proyecto</w:t>
            </w:r>
          </w:p>
        </w:tc>
      </w:tr>
    </w:tbl>
    <w:p w14:paraId="005499D4" w14:textId="4BFB832D" w:rsidR="001F3228" w:rsidRPr="009A27ED" w:rsidRDefault="001F3228" w:rsidP="00BF5D35">
      <w:pPr>
        <w:spacing w:after="0" w:line="360" w:lineRule="auto"/>
        <w:ind w:left="720"/>
        <w:contextualSpacing/>
        <w:rPr>
          <w:rFonts w:cstheme="minorBidi"/>
          <w:b/>
          <w:color w:val="ED7D31" w:themeColor="accent2"/>
          <w:sz w:val="20"/>
          <w:szCs w:val="20"/>
        </w:rPr>
      </w:pPr>
    </w:p>
    <w:p w14:paraId="0AE439FB" w14:textId="77777777" w:rsidR="00007894" w:rsidRPr="009A27ED" w:rsidRDefault="00007894" w:rsidP="00BF5D35">
      <w:pPr>
        <w:spacing w:after="0" w:line="360" w:lineRule="auto"/>
        <w:ind w:left="720"/>
        <w:contextualSpacing/>
        <w:rPr>
          <w:rFonts w:cstheme="minorBidi"/>
          <w:b/>
          <w:color w:val="ED7D31" w:themeColor="accent2"/>
          <w:sz w:val="20"/>
          <w:szCs w:val="20"/>
        </w:rPr>
      </w:pPr>
    </w:p>
    <w:tbl>
      <w:tblPr>
        <w:tblStyle w:val="Tablaconcuadrcula"/>
        <w:tblW w:w="0" w:type="auto"/>
        <w:tblLook w:val="04A0" w:firstRow="1" w:lastRow="0" w:firstColumn="1" w:lastColumn="0" w:noHBand="0" w:noVBand="1"/>
      </w:tblPr>
      <w:tblGrid>
        <w:gridCol w:w="4316"/>
        <w:gridCol w:w="3329"/>
        <w:gridCol w:w="5305"/>
      </w:tblGrid>
      <w:tr w:rsidR="00BF5D35" w:rsidRPr="009A27ED" w14:paraId="1440967E" w14:textId="77777777" w:rsidTr="006D2257">
        <w:tc>
          <w:tcPr>
            <w:tcW w:w="12950" w:type="dxa"/>
            <w:gridSpan w:val="3"/>
            <w:shd w:val="clear" w:color="auto" w:fill="2F5496" w:themeFill="accent5" w:themeFillShade="BF"/>
          </w:tcPr>
          <w:p w14:paraId="13ED5E1F" w14:textId="5818BE65" w:rsidR="00615080" w:rsidRPr="009A27ED" w:rsidRDefault="006C773F" w:rsidP="00C97A18">
            <w:bookmarkStart w:id="100" w:name="_Toc18505663"/>
            <w:r w:rsidRPr="009A27ED">
              <w:rPr>
                <w:rFonts w:eastAsiaTheme="majorEastAsia"/>
                <w:b/>
                <w:color w:val="FFFFFF" w:themeColor="background1"/>
                <w:sz w:val="28"/>
                <w:szCs w:val="28"/>
                <w:lang w:val="es-DO"/>
              </w:rPr>
              <w:t>3. P</w:t>
            </w:r>
            <w:r w:rsidR="003372D9" w:rsidRPr="009A27ED">
              <w:rPr>
                <w:rFonts w:eastAsiaTheme="majorEastAsia"/>
                <w:b/>
                <w:color w:val="FFFFFF" w:themeColor="background1"/>
                <w:sz w:val="28"/>
                <w:szCs w:val="28"/>
                <w:lang w:val="es-DO"/>
              </w:rPr>
              <w:t xml:space="preserve">rograma </w:t>
            </w:r>
            <w:r w:rsidR="00615080" w:rsidRPr="009A27ED">
              <w:rPr>
                <w:rFonts w:eastAsiaTheme="majorEastAsia"/>
                <w:b/>
                <w:color w:val="FFFFFF" w:themeColor="background1"/>
                <w:sz w:val="28"/>
                <w:szCs w:val="28"/>
                <w:lang w:val="es-DO"/>
              </w:rPr>
              <w:t xml:space="preserve">Nacional </w:t>
            </w:r>
            <w:bookmarkEnd w:id="100"/>
            <w:r w:rsidR="003372D9" w:rsidRPr="009A27ED">
              <w:rPr>
                <w:rFonts w:eastAsiaTheme="majorEastAsia"/>
                <w:b/>
                <w:color w:val="FFFFFF" w:themeColor="background1"/>
                <w:sz w:val="28"/>
                <w:szCs w:val="28"/>
                <w:lang w:val="es-DO"/>
              </w:rPr>
              <w:t>de Reforestación</w:t>
            </w:r>
            <w:r w:rsidR="00615080" w:rsidRPr="009A27ED">
              <w:rPr>
                <w:rFonts w:eastAsiaTheme="majorEastAsia"/>
                <w:b/>
                <w:color w:val="FFFFFF" w:themeColor="background1"/>
                <w:sz w:val="28"/>
                <w:szCs w:val="28"/>
                <w:lang w:val="es-DO"/>
              </w:rPr>
              <w:t xml:space="preserve"> Entidad Ejecutora MARN-Viceministerio de Recursos Forestales</w:t>
            </w:r>
          </w:p>
        </w:tc>
      </w:tr>
      <w:tr w:rsidR="00BF5D35" w:rsidRPr="009A27ED" w14:paraId="423AEF52" w14:textId="77777777" w:rsidTr="006D2257">
        <w:trPr>
          <w:trHeight w:val="1790"/>
        </w:trPr>
        <w:tc>
          <w:tcPr>
            <w:tcW w:w="12950" w:type="dxa"/>
            <w:gridSpan w:val="3"/>
          </w:tcPr>
          <w:p w14:paraId="05B9AD93" w14:textId="4CC03494" w:rsidR="00BF5D35" w:rsidRPr="009A27ED" w:rsidRDefault="00BF5D35" w:rsidP="00BF5D35">
            <w:pPr>
              <w:spacing w:after="0"/>
              <w:rPr>
                <w:b/>
                <w:color w:val="000000" w:themeColor="text1"/>
                <w:sz w:val="20"/>
                <w:szCs w:val="20"/>
              </w:rPr>
            </w:pPr>
            <w:r w:rsidRPr="009A27ED">
              <w:rPr>
                <w:b/>
                <w:color w:val="000000" w:themeColor="text1"/>
                <w:sz w:val="20"/>
                <w:szCs w:val="20"/>
              </w:rPr>
              <w:t>Descripción del P</w:t>
            </w:r>
            <w:r w:rsidR="006C773F" w:rsidRPr="009A27ED">
              <w:rPr>
                <w:b/>
                <w:color w:val="000000" w:themeColor="text1"/>
                <w:sz w:val="20"/>
                <w:szCs w:val="20"/>
              </w:rPr>
              <w:t>rograma</w:t>
            </w:r>
          </w:p>
          <w:p w14:paraId="3F4481F8" w14:textId="04ADF400" w:rsidR="00BF5D35" w:rsidRPr="009A27ED" w:rsidRDefault="001F3228" w:rsidP="001F3228">
            <w:pPr>
              <w:rPr>
                <w:b/>
                <w:color w:val="000000" w:themeColor="text1"/>
                <w:sz w:val="20"/>
                <w:szCs w:val="20"/>
              </w:rPr>
            </w:pPr>
            <w:r w:rsidRPr="009A27ED">
              <w:rPr>
                <w:rFonts w:eastAsia="Times New Roman"/>
                <w:color w:val="000000"/>
                <w:sz w:val="20"/>
                <w:szCs w:val="20"/>
              </w:rPr>
              <w:t>El P</w:t>
            </w:r>
            <w:r w:rsidR="00C55CE7" w:rsidRPr="009A27ED">
              <w:rPr>
                <w:rFonts w:eastAsia="Times New Roman"/>
                <w:color w:val="000000"/>
                <w:sz w:val="20"/>
                <w:szCs w:val="20"/>
              </w:rPr>
              <w:t xml:space="preserve">rograma Nacional de Reforestación, </w:t>
            </w:r>
            <w:r w:rsidRPr="009A27ED">
              <w:rPr>
                <w:rFonts w:eastAsia="Times New Roman"/>
                <w:color w:val="000000"/>
                <w:sz w:val="20"/>
                <w:szCs w:val="20"/>
              </w:rPr>
              <w:t>es la continuación del</w:t>
            </w:r>
            <w:r w:rsidR="00C55CE7" w:rsidRPr="009A27ED">
              <w:rPr>
                <w:rFonts w:eastAsia="Times New Roman"/>
                <w:color w:val="000000"/>
                <w:sz w:val="20"/>
                <w:szCs w:val="20"/>
              </w:rPr>
              <w:t xml:space="preserve"> Plan </w:t>
            </w:r>
            <w:r w:rsidR="00BF5D35" w:rsidRPr="009A27ED">
              <w:rPr>
                <w:rFonts w:eastAsia="Times New Roman"/>
                <w:color w:val="000000"/>
                <w:sz w:val="20"/>
                <w:szCs w:val="20"/>
              </w:rPr>
              <w:t xml:space="preserve">Quisqueya Verde, </w:t>
            </w:r>
            <w:r w:rsidRPr="009A27ED">
              <w:rPr>
                <w:rFonts w:eastAsia="Times New Roman"/>
                <w:color w:val="000000"/>
                <w:sz w:val="20"/>
                <w:szCs w:val="20"/>
              </w:rPr>
              <w:t xml:space="preserve">que fue </w:t>
            </w:r>
            <w:r w:rsidR="00BF5D35" w:rsidRPr="009A27ED">
              <w:rPr>
                <w:rFonts w:eastAsia="Times New Roman"/>
                <w:color w:val="000000"/>
                <w:sz w:val="20"/>
                <w:szCs w:val="20"/>
              </w:rPr>
              <w:t>el primer Plan Gubernamental de Reforestación masiva de alcance nacional, ejecutado a través de la Presidencia de la República. El mismo se formula a la luz del convencimiento de que el deterioro de los recursos naturales tiene sus raíces en los problemas socioeconómicos que afectan a las poblaciones que inciden directamente en los recursos naturales, acompañado por la falta de conocimiento sobre el manejo sostenible de los mismos. El Plan Nacional Quisqueya Verde se inició en 26 zonas de reforestación distribuidas en todo el territorio nacional, concentrándose mayormente en las principales cuencas hidrográficas de las Cordilleras Central y Septentrional. Las zonas de reforestación son unidades de gestión conformadas por una o varias brigadas dedicadas exclusivamente a la plantación de áreas degradadas y deforestadas.</w:t>
            </w:r>
            <w:r w:rsidR="00BF5D35" w:rsidRPr="009A27ED">
              <w:rPr>
                <w:b/>
                <w:color w:val="000000" w:themeColor="text1"/>
                <w:sz w:val="20"/>
                <w:szCs w:val="20"/>
              </w:rPr>
              <w:t xml:space="preserve"> </w:t>
            </w:r>
          </w:p>
        </w:tc>
      </w:tr>
      <w:tr w:rsidR="00BF5D35" w:rsidRPr="009A27ED" w14:paraId="33477F33" w14:textId="77777777" w:rsidTr="006D2257">
        <w:tc>
          <w:tcPr>
            <w:tcW w:w="12950" w:type="dxa"/>
            <w:gridSpan w:val="3"/>
          </w:tcPr>
          <w:p w14:paraId="69FBE9AA" w14:textId="77777777" w:rsidR="00BF5D35" w:rsidRPr="009A27ED" w:rsidRDefault="00BF5D35" w:rsidP="00BF5D35">
            <w:pPr>
              <w:spacing w:after="0"/>
              <w:rPr>
                <w:b/>
                <w:sz w:val="20"/>
                <w:szCs w:val="20"/>
              </w:rPr>
            </w:pPr>
            <w:r w:rsidRPr="009A27ED">
              <w:rPr>
                <w:b/>
                <w:sz w:val="20"/>
                <w:szCs w:val="20"/>
              </w:rPr>
              <w:t>Fundamento Legal</w:t>
            </w:r>
          </w:p>
          <w:p w14:paraId="0040068A" w14:textId="20765C80" w:rsidR="00BF5D35" w:rsidRPr="009A27ED" w:rsidRDefault="00BF5D35" w:rsidP="00BF5D35">
            <w:pPr>
              <w:autoSpaceDE w:val="0"/>
              <w:autoSpaceDN w:val="0"/>
              <w:adjustRightInd w:val="0"/>
              <w:spacing w:after="0"/>
              <w:rPr>
                <w:rFonts w:eastAsia="Times New Roman"/>
                <w:color w:val="000000"/>
                <w:sz w:val="20"/>
                <w:szCs w:val="20"/>
              </w:rPr>
            </w:pPr>
            <w:r w:rsidRPr="009A27ED">
              <w:rPr>
                <w:rFonts w:eastAsia="Times New Roman"/>
                <w:color w:val="000000"/>
                <w:sz w:val="20"/>
                <w:szCs w:val="20"/>
              </w:rPr>
              <w:t xml:space="preserve">El Plan Nacional Quisqueya Verde se estableció el 21 marzo 1997, mediante Decreto 138-97. Inició las operaciones el 1 de junio de 1997. Luego de la promulgación de la Ley 64-00 que creó la Secretaría de Estado de Medio Ambiente y Recursos Naturales, se emite el decreto 563-00 del 23 de agosto del 2000, que ordena la </w:t>
            </w:r>
            <w:r w:rsidRPr="009A27ED">
              <w:rPr>
                <w:rFonts w:eastAsia="Times New Roman"/>
                <w:b/>
                <w:bCs/>
                <w:color w:val="000000"/>
                <w:sz w:val="20"/>
                <w:szCs w:val="20"/>
              </w:rPr>
              <w:t>transferencia de las atribuciones</w:t>
            </w:r>
            <w:r w:rsidRPr="009A27ED">
              <w:rPr>
                <w:rFonts w:eastAsia="Times New Roman"/>
                <w:color w:val="000000"/>
                <w:sz w:val="20"/>
                <w:szCs w:val="20"/>
              </w:rPr>
              <w:t xml:space="preserve">, bienes, mobiliarios, equipos, materiales y los recursos físicos del Plan Nacional Quisqueya Verde a la Secretaría de Estado de Medio Ambiente y Recursos Naturales. En el 2007 se </w:t>
            </w:r>
            <w:proofErr w:type="spellStart"/>
            <w:r w:rsidRPr="009A27ED">
              <w:rPr>
                <w:rFonts w:eastAsia="Times New Roman"/>
                <w:color w:val="000000"/>
                <w:sz w:val="20"/>
                <w:szCs w:val="20"/>
              </w:rPr>
              <w:t>re-activa</w:t>
            </w:r>
            <w:proofErr w:type="spellEnd"/>
            <w:r w:rsidRPr="009A27ED">
              <w:rPr>
                <w:rFonts w:eastAsia="Times New Roman"/>
                <w:color w:val="000000"/>
                <w:sz w:val="20"/>
                <w:szCs w:val="20"/>
              </w:rPr>
              <w:t xml:space="preserve"> el Plan Nacional Quisqueya Verde, cuando mediante una resolución se crea la Oficina del Plan Nacional Quisqueya Verde, con un director a cargo, dependiente del despacho del ministro, pero teniendo como brazo ejecutor la Dirección de Reforestación y Manejo del Viceministerio de Recursos Forestales. En 2008, para respaldar el proceso se emite un Decreto nombrando el </w:t>
            </w:r>
            <w:proofErr w:type="gramStart"/>
            <w:r w:rsidRPr="009A27ED">
              <w:rPr>
                <w:rFonts w:eastAsia="Times New Roman"/>
                <w:color w:val="000000"/>
                <w:sz w:val="20"/>
                <w:szCs w:val="20"/>
              </w:rPr>
              <w:t>Director</w:t>
            </w:r>
            <w:proofErr w:type="gramEnd"/>
            <w:r w:rsidRPr="009A27ED">
              <w:rPr>
                <w:rFonts w:eastAsia="Times New Roman"/>
                <w:color w:val="000000"/>
                <w:sz w:val="20"/>
                <w:szCs w:val="20"/>
              </w:rPr>
              <w:t xml:space="preserve"> del Plan Nacional Quisqueya Verde y designándolo a la vez como </w:t>
            </w:r>
            <w:proofErr w:type="gramStart"/>
            <w:r w:rsidRPr="009A27ED">
              <w:rPr>
                <w:rFonts w:eastAsia="Times New Roman"/>
                <w:color w:val="000000"/>
                <w:sz w:val="20"/>
                <w:szCs w:val="20"/>
              </w:rPr>
              <w:t>Director</w:t>
            </w:r>
            <w:proofErr w:type="gramEnd"/>
            <w:r w:rsidRPr="009A27ED">
              <w:rPr>
                <w:rFonts w:eastAsia="Times New Roman"/>
                <w:color w:val="000000"/>
                <w:sz w:val="20"/>
                <w:szCs w:val="20"/>
              </w:rPr>
              <w:t xml:space="preserve"> de Reforestación y Manejo del </w:t>
            </w:r>
            <w:proofErr w:type="gramStart"/>
            <w:r w:rsidRPr="009A27ED">
              <w:rPr>
                <w:rFonts w:eastAsia="Times New Roman"/>
                <w:color w:val="000000"/>
                <w:sz w:val="20"/>
                <w:szCs w:val="20"/>
              </w:rPr>
              <w:t>Vice-Ministerio</w:t>
            </w:r>
            <w:proofErr w:type="gramEnd"/>
            <w:r w:rsidRPr="009A27ED">
              <w:rPr>
                <w:rFonts w:eastAsia="Times New Roman"/>
                <w:color w:val="000000"/>
                <w:sz w:val="20"/>
                <w:szCs w:val="20"/>
              </w:rPr>
              <w:t xml:space="preserve"> de Recursos Forestales.</w:t>
            </w:r>
          </w:p>
        </w:tc>
      </w:tr>
      <w:tr w:rsidR="00BF5D35" w:rsidRPr="009A27ED" w14:paraId="1C38346A" w14:textId="77777777" w:rsidTr="006D2257">
        <w:tc>
          <w:tcPr>
            <w:tcW w:w="12950" w:type="dxa"/>
            <w:gridSpan w:val="3"/>
          </w:tcPr>
          <w:p w14:paraId="58E7A1AB" w14:textId="77777777" w:rsidR="00BF5D35" w:rsidRPr="009A27ED" w:rsidRDefault="00BF5D35" w:rsidP="00BF5D35">
            <w:pPr>
              <w:spacing w:after="0"/>
              <w:rPr>
                <w:b/>
                <w:sz w:val="20"/>
                <w:szCs w:val="20"/>
              </w:rPr>
            </w:pPr>
            <w:r w:rsidRPr="009A27ED">
              <w:rPr>
                <w:b/>
                <w:sz w:val="20"/>
                <w:szCs w:val="20"/>
              </w:rPr>
              <w:t>Objetivo</w:t>
            </w:r>
          </w:p>
          <w:p w14:paraId="594A2477" w14:textId="77777777" w:rsidR="00BF5D35" w:rsidRPr="009A27ED" w:rsidRDefault="00BF5D35" w:rsidP="00BF5D35">
            <w:pPr>
              <w:autoSpaceDE w:val="0"/>
              <w:autoSpaceDN w:val="0"/>
              <w:adjustRightInd w:val="0"/>
              <w:spacing w:after="0"/>
              <w:rPr>
                <w:rFonts w:eastAsia="Times New Roman"/>
                <w:color w:val="000000"/>
                <w:sz w:val="20"/>
                <w:szCs w:val="20"/>
              </w:rPr>
            </w:pPr>
            <w:r w:rsidRPr="009A27ED">
              <w:rPr>
                <w:rFonts w:eastAsia="Times New Roman"/>
                <w:color w:val="000000"/>
                <w:sz w:val="20"/>
                <w:szCs w:val="20"/>
              </w:rPr>
              <w:t xml:space="preserve">Mejorar las condiciones de vida de la población en las zonas rurales, a través del fomento de los recursos naturales, la generación de empleos, la protección del medio ambiente y el fortalecimiento de la coordinación entre las instituciones del Estado y las organizaciones de la sociedad civil que trabajan en favor del desarrollo sostenible. </w:t>
            </w:r>
          </w:p>
          <w:p w14:paraId="4931F2B0" w14:textId="0F9EC722" w:rsidR="0054061B" w:rsidRPr="009A27ED" w:rsidRDefault="0054061B" w:rsidP="00BF5D35">
            <w:pPr>
              <w:autoSpaceDE w:val="0"/>
              <w:autoSpaceDN w:val="0"/>
              <w:adjustRightInd w:val="0"/>
              <w:spacing w:after="0"/>
              <w:rPr>
                <w:rFonts w:eastAsia="Times New Roman"/>
                <w:color w:val="000000"/>
                <w:sz w:val="20"/>
                <w:szCs w:val="20"/>
              </w:rPr>
            </w:pPr>
          </w:p>
        </w:tc>
      </w:tr>
      <w:tr w:rsidR="00BF5D35" w:rsidRPr="009A27ED" w14:paraId="3C2C8AFE" w14:textId="77777777" w:rsidTr="006D2257">
        <w:tc>
          <w:tcPr>
            <w:tcW w:w="4316" w:type="dxa"/>
          </w:tcPr>
          <w:p w14:paraId="333F7E41" w14:textId="77777777" w:rsidR="00BF5D35" w:rsidRPr="009A27ED" w:rsidRDefault="00BF5D35" w:rsidP="00BF5D35">
            <w:pPr>
              <w:spacing w:after="0"/>
              <w:rPr>
                <w:b/>
                <w:sz w:val="20"/>
                <w:szCs w:val="20"/>
              </w:rPr>
            </w:pPr>
            <w:r w:rsidRPr="009A27ED">
              <w:rPr>
                <w:b/>
                <w:sz w:val="20"/>
                <w:szCs w:val="20"/>
              </w:rPr>
              <w:t>Funcionamiento</w:t>
            </w:r>
          </w:p>
          <w:p w14:paraId="25DB62D9" w14:textId="77777777" w:rsidR="00BF5D35" w:rsidRPr="009A27ED" w:rsidRDefault="00BF5D35" w:rsidP="00BF5D35">
            <w:pPr>
              <w:autoSpaceDE w:val="0"/>
              <w:autoSpaceDN w:val="0"/>
              <w:adjustRightInd w:val="0"/>
              <w:spacing w:after="0"/>
              <w:rPr>
                <w:rFonts w:eastAsia="Times New Roman"/>
                <w:color w:val="000000"/>
                <w:sz w:val="20"/>
                <w:szCs w:val="20"/>
              </w:rPr>
            </w:pPr>
            <w:r w:rsidRPr="009A27ED">
              <w:rPr>
                <w:rFonts w:eastAsia="Times New Roman"/>
                <w:color w:val="000000"/>
                <w:sz w:val="20"/>
                <w:szCs w:val="20"/>
              </w:rPr>
              <w:t>Ministerio de Medio Ambiente y Recursos Naturales</w:t>
            </w:r>
          </w:p>
          <w:p w14:paraId="6C6BF380" w14:textId="77777777" w:rsidR="00BF5D35" w:rsidRPr="009A27ED" w:rsidRDefault="00BF5D35" w:rsidP="00BF5D35">
            <w:pPr>
              <w:autoSpaceDE w:val="0"/>
              <w:autoSpaceDN w:val="0"/>
              <w:adjustRightInd w:val="0"/>
              <w:spacing w:after="0"/>
              <w:rPr>
                <w:rFonts w:eastAsia="Times New Roman"/>
                <w:color w:val="000000"/>
                <w:sz w:val="20"/>
                <w:szCs w:val="20"/>
                <w:lang w:val="pt-BR"/>
              </w:rPr>
            </w:pPr>
            <w:r w:rsidRPr="009A27ED">
              <w:rPr>
                <w:rFonts w:eastAsia="Times New Roman"/>
                <w:color w:val="000000"/>
                <w:sz w:val="20"/>
                <w:szCs w:val="20"/>
                <w:lang w:val="pt-BR"/>
              </w:rPr>
              <w:t xml:space="preserve">Vice </w:t>
            </w:r>
            <w:proofErr w:type="spellStart"/>
            <w:r w:rsidRPr="009A27ED">
              <w:rPr>
                <w:rFonts w:eastAsia="Times New Roman"/>
                <w:color w:val="000000"/>
                <w:sz w:val="20"/>
                <w:szCs w:val="20"/>
                <w:lang w:val="pt-BR"/>
              </w:rPr>
              <w:t>Ministerio</w:t>
            </w:r>
            <w:proofErr w:type="spellEnd"/>
            <w:r w:rsidRPr="009A27ED">
              <w:rPr>
                <w:rFonts w:eastAsia="Times New Roman"/>
                <w:color w:val="000000"/>
                <w:sz w:val="20"/>
                <w:szCs w:val="20"/>
                <w:lang w:val="pt-BR"/>
              </w:rPr>
              <w:t xml:space="preserve"> de Recursos </w:t>
            </w:r>
            <w:proofErr w:type="spellStart"/>
            <w:r w:rsidRPr="009A27ED">
              <w:rPr>
                <w:rFonts w:eastAsia="Times New Roman"/>
                <w:color w:val="000000"/>
                <w:sz w:val="20"/>
                <w:szCs w:val="20"/>
                <w:lang w:val="pt-BR"/>
              </w:rPr>
              <w:t>Forestales</w:t>
            </w:r>
            <w:proofErr w:type="spellEnd"/>
            <w:r w:rsidRPr="009A27ED">
              <w:rPr>
                <w:rFonts w:eastAsia="Times New Roman"/>
                <w:color w:val="000000"/>
                <w:sz w:val="20"/>
                <w:szCs w:val="20"/>
                <w:lang w:val="pt-BR"/>
              </w:rPr>
              <w:t xml:space="preserve"> </w:t>
            </w:r>
          </w:p>
          <w:p w14:paraId="04695915" w14:textId="64F1E514" w:rsidR="00BF5D35" w:rsidRPr="009A27ED" w:rsidRDefault="00BF5D35" w:rsidP="00BF5D35">
            <w:pPr>
              <w:autoSpaceDE w:val="0"/>
              <w:autoSpaceDN w:val="0"/>
              <w:adjustRightInd w:val="0"/>
              <w:spacing w:after="0"/>
              <w:rPr>
                <w:rFonts w:eastAsia="Times New Roman"/>
                <w:color w:val="000000"/>
                <w:sz w:val="20"/>
                <w:szCs w:val="20"/>
                <w:lang w:val="pt-BR"/>
              </w:rPr>
            </w:pPr>
            <w:r w:rsidRPr="009A27ED">
              <w:rPr>
                <w:rFonts w:eastAsia="Times New Roman"/>
                <w:color w:val="000000"/>
                <w:sz w:val="20"/>
                <w:szCs w:val="20"/>
                <w:lang w:val="pt-BR"/>
              </w:rPr>
              <w:t xml:space="preserve">Manuel Serrano, </w:t>
            </w:r>
            <w:r w:rsidR="00E84BF9" w:rsidRPr="009A27ED">
              <w:rPr>
                <w:rFonts w:eastAsia="Times New Roman"/>
                <w:color w:val="000000"/>
                <w:sz w:val="20"/>
                <w:szCs w:val="20"/>
                <w:lang w:val="pt-BR"/>
              </w:rPr>
              <w:t>Vice-Ministro</w:t>
            </w:r>
            <w:r w:rsidRPr="009A27ED">
              <w:rPr>
                <w:rFonts w:eastAsia="Times New Roman"/>
                <w:color w:val="000000"/>
                <w:sz w:val="20"/>
                <w:szCs w:val="20"/>
                <w:lang w:val="pt-BR"/>
              </w:rPr>
              <w:t xml:space="preserve"> </w:t>
            </w:r>
          </w:p>
          <w:p w14:paraId="588B3D8A" w14:textId="77777777" w:rsidR="00BF5D35" w:rsidRPr="009A27ED" w:rsidRDefault="00BF5D35" w:rsidP="00BF5D35">
            <w:pPr>
              <w:autoSpaceDE w:val="0"/>
              <w:autoSpaceDN w:val="0"/>
              <w:adjustRightInd w:val="0"/>
              <w:spacing w:after="0"/>
              <w:rPr>
                <w:rFonts w:eastAsia="Times New Roman"/>
                <w:color w:val="000000"/>
                <w:sz w:val="20"/>
                <w:szCs w:val="20"/>
              </w:rPr>
            </w:pPr>
            <w:proofErr w:type="spellStart"/>
            <w:r w:rsidRPr="009A27ED">
              <w:rPr>
                <w:rFonts w:eastAsia="Times New Roman"/>
                <w:color w:val="000000"/>
                <w:sz w:val="20"/>
                <w:szCs w:val="20"/>
              </w:rPr>
              <w:t>Donata</w:t>
            </w:r>
            <w:proofErr w:type="spellEnd"/>
            <w:r w:rsidRPr="009A27ED">
              <w:rPr>
                <w:rFonts w:eastAsia="Times New Roman"/>
                <w:color w:val="000000"/>
                <w:sz w:val="20"/>
                <w:szCs w:val="20"/>
              </w:rPr>
              <w:t xml:space="preserve"> Gutiérrez, </w:t>
            </w:r>
            <w:proofErr w:type="gramStart"/>
            <w:r w:rsidRPr="009A27ED">
              <w:rPr>
                <w:rFonts w:eastAsia="Times New Roman"/>
                <w:color w:val="000000"/>
                <w:sz w:val="20"/>
                <w:szCs w:val="20"/>
              </w:rPr>
              <w:t>Directora</w:t>
            </w:r>
            <w:proofErr w:type="gramEnd"/>
            <w:r w:rsidRPr="009A27ED">
              <w:rPr>
                <w:rFonts w:eastAsia="Times New Roman"/>
                <w:color w:val="000000"/>
                <w:sz w:val="20"/>
                <w:szCs w:val="20"/>
              </w:rPr>
              <w:t xml:space="preserve"> del Plan Nacional Quisqueya Verde, Dirección de Reforestación  </w:t>
            </w:r>
          </w:p>
          <w:p w14:paraId="70C4B8D6" w14:textId="77777777" w:rsidR="00BF5D35" w:rsidRPr="009A27ED" w:rsidRDefault="00BF5D35" w:rsidP="00BF5D35">
            <w:pPr>
              <w:autoSpaceDE w:val="0"/>
              <w:autoSpaceDN w:val="0"/>
              <w:adjustRightInd w:val="0"/>
              <w:spacing w:after="0"/>
              <w:rPr>
                <w:rFonts w:eastAsia="Times New Roman"/>
                <w:color w:val="000000"/>
                <w:sz w:val="20"/>
                <w:szCs w:val="20"/>
              </w:rPr>
            </w:pPr>
          </w:p>
          <w:p w14:paraId="45F3E48D" w14:textId="77777777" w:rsidR="00BF5D35" w:rsidRPr="009A27ED" w:rsidRDefault="00BF5D35" w:rsidP="00BF5D35">
            <w:pPr>
              <w:autoSpaceDE w:val="0"/>
              <w:autoSpaceDN w:val="0"/>
              <w:adjustRightInd w:val="0"/>
              <w:spacing w:after="0"/>
              <w:rPr>
                <w:rFonts w:eastAsia="Times New Roman"/>
                <w:b/>
                <w:color w:val="000000"/>
                <w:sz w:val="20"/>
                <w:szCs w:val="20"/>
              </w:rPr>
            </w:pPr>
            <w:r w:rsidRPr="009A27ED">
              <w:rPr>
                <w:rFonts w:eastAsia="Times New Roman"/>
                <w:b/>
                <w:color w:val="000000"/>
                <w:sz w:val="20"/>
                <w:szCs w:val="20"/>
              </w:rPr>
              <w:lastRenderedPageBreak/>
              <w:t xml:space="preserve">Entidad Ejecutora </w:t>
            </w:r>
          </w:p>
          <w:p w14:paraId="3893C3F9" w14:textId="77777777" w:rsidR="00BF5D35" w:rsidRPr="009A27ED" w:rsidRDefault="00BF5D35" w:rsidP="00BF5D35">
            <w:pPr>
              <w:spacing w:after="0"/>
            </w:pPr>
            <w:r w:rsidRPr="009A27ED">
              <w:rPr>
                <w:sz w:val="20"/>
                <w:szCs w:val="20"/>
              </w:rPr>
              <w:t>Programa de Reforestación Quisqueya Verde perteneciente a la Dirección de Reforestación y Fomento Forestal, del Viceministerio de Recursos Forestales.</w:t>
            </w:r>
          </w:p>
        </w:tc>
        <w:tc>
          <w:tcPr>
            <w:tcW w:w="3329" w:type="dxa"/>
          </w:tcPr>
          <w:p w14:paraId="17D1FDA1" w14:textId="77777777" w:rsidR="00BF5D35" w:rsidRPr="009A27ED" w:rsidRDefault="00BF5D35" w:rsidP="00BF5D35">
            <w:pPr>
              <w:spacing w:after="0"/>
              <w:rPr>
                <w:b/>
                <w:sz w:val="20"/>
                <w:szCs w:val="20"/>
              </w:rPr>
            </w:pPr>
            <w:r w:rsidRPr="009A27ED">
              <w:rPr>
                <w:b/>
                <w:sz w:val="20"/>
                <w:szCs w:val="20"/>
              </w:rPr>
              <w:lastRenderedPageBreak/>
              <w:t>Gobernanza</w:t>
            </w:r>
          </w:p>
          <w:p w14:paraId="6DFBB89E" w14:textId="77777777" w:rsidR="00BF5D35" w:rsidRPr="009A27ED" w:rsidRDefault="00BF5D35" w:rsidP="00BF5D35">
            <w:pPr>
              <w:autoSpaceDE w:val="0"/>
              <w:autoSpaceDN w:val="0"/>
              <w:adjustRightInd w:val="0"/>
              <w:spacing w:after="0"/>
              <w:rPr>
                <w:rFonts w:eastAsia="Times New Roman"/>
                <w:color w:val="000000"/>
                <w:sz w:val="20"/>
                <w:szCs w:val="20"/>
              </w:rPr>
            </w:pPr>
            <w:r w:rsidRPr="009A27ED">
              <w:rPr>
                <w:rFonts w:eastAsia="Times New Roman"/>
                <w:color w:val="000000"/>
                <w:sz w:val="20"/>
                <w:szCs w:val="20"/>
              </w:rPr>
              <w:t xml:space="preserve">Organizaciones no Gubernamentales, Federaciones, Organizaciones Comunitarias de Base, Sector Privado, Universidades, Colegios, Escuelas, Instituciones públicas, Gobiernos locales, Iglesias. </w:t>
            </w:r>
          </w:p>
          <w:p w14:paraId="6CE668E7" w14:textId="77777777" w:rsidR="00BF5D35" w:rsidRPr="009A27ED" w:rsidRDefault="00BF5D35" w:rsidP="00BF5D35">
            <w:pPr>
              <w:spacing w:after="0"/>
              <w:rPr>
                <w:b/>
                <w:color w:val="000000" w:themeColor="text1"/>
                <w:sz w:val="20"/>
                <w:szCs w:val="20"/>
              </w:rPr>
            </w:pPr>
          </w:p>
        </w:tc>
        <w:tc>
          <w:tcPr>
            <w:tcW w:w="5305" w:type="dxa"/>
          </w:tcPr>
          <w:p w14:paraId="5E534826" w14:textId="77777777" w:rsidR="00BF5D35" w:rsidRPr="009A27ED" w:rsidRDefault="00BF5D35" w:rsidP="00BF5D35">
            <w:pPr>
              <w:spacing w:after="0"/>
              <w:rPr>
                <w:b/>
                <w:sz w:val="20"/>
                <w:szCs w:val="20"/>
              </w:rPr>
            </w:pPr>
            <w:r w:rsidRPr="009A27ED">
              <w:rPr>
                <w:b/>
                <w:sz w:val="20"/>
                <w:szCs w:val="20"/>
              </w:rPr>
              <w:t>Fuente de recursos</w:t>
            </w:r>
          </w:p>
          <w:p w14:paraId="3C03B8BD" w14:textId="0669641C" w:rsidR="00BF5D35" w:rsidRPr="009A27ED" w:rsidRDefault="00742028" w:rsidP="00BF5D35">
            <w:pPr>
              <w:autoSpaceDE w:val="0"/>
              <w:autoSpaceDN w:val="0"/>
              <w:adjustRightInd w:val="0"/>
              <w:spacing w:after="0"/>
              <w:rPr>
                <w:rFonts w:eastAsia="Times New Roman"/>
                <w:color w:val="000000"/>
                <w:sz w:val="20"/>
                <w:szCs w:val="20"/>
              </w:rPr>
            </w:pPr>
            <w:r w:rsidRPr="009A27ED">
              <w:rPr>
                <w:rFonts w:eastAsia="Times New Roman"/>
                <w:color w:val="000000"/>
                <w:sz w:val="20"/>
                <w:szCs w:val="20"/>
              </w:rPr>
              <w:t xml:space="preserve">Presupuesto </w:t>
            </w:r>
            <w:r w:rsidR="00E921C2" w:rsidRPr="009A27ED">
              <w:rPr>
                <w:rFonts w:eastAsia="Times New Roman"/>
                <w:color w:val="000000"/>
                <w:sz w:val="20"/>
                <w:szCs w:val="20"/>
              </w:rPr>
              <w:t>Nacional, Fondos</w:t>
            </w:r>
            <w:r w:rsidR="00BF5D35" w:rsidRPr="009A27ED">
              <w:rPr>
                <w:rFonts w:eastAsia="Times New Roman"/>
                <w:color w:val="000000"/>
                <w:sz w:val="20"/>
                <w:szCs w:val="20"/>
              </w:rPr>
              <w:t xml:space="preserve"> de la Presidencia de la República, y Fondo </w:t>
            </w:r>
            <w:r w:rsidR="00E921C2" w:rsidRPr="009A27ED">
              <w:rPr>
                <w:rFonts w:eastAsia="Times New Roman"/>
                <w:color w:val="000000"/>
                <w:sz w:val="20"/>
                <w:szCs w:val="20"/>
              </w:rPr>
              <w:t xml:space="preserve">del Programa Nacional de </w:t>
            </w:r>
            <w:proofErr w:type="spellStart"/>
            <w:r w:rsidR="00E921C2" w:rsidRPr="009A27ED">
              <w:rPr>
                <w:rFonts w:eastAsia="Times New Roman"/>
                <w:color w:val="000000"/>
                <w:sz w:val="20"/>
                <w:szCs w:val="20"/>
              </w:rPr>
              <w:t>Reforestación</w:t>
            </w:r>
            <w:r w:rsidR="00BF5D35" w:rsidRPr="009A27ED">
              <w:rPr>
                <w:rFonts w:eastAsia="Times New Roman"/>
                <w:color w:val="000000"/>
                <w:sz w:val="20"/>
                <w:szCs w:val="20"/>
              </w:rPr>
              <w:t>l</w:t>
            </w:r>
            <w:proofErr w:type="spellEnd"/>
            <w:r w:rsidR="00BF5D35" w:rsidRPr="009A27ED">
              <w:rPr>
                <w:rFonts w:eastAsia="Times New Roman"/>
                <w:color w:val="000000"/>
                <w:sz w:val="20"/>
                <w:szCs w:val="20"/>
              </w:rPr>
              <w:t xml:space="preserve"> Ministerio de Medio Ambiente y Recursos Naturales (principalmente). Aportes de la Cooperación Internacional, sector privado, ONG, Universidades. </w:t>
            </w:r>
          </w:p>
          <w:p w14:paraId="75D309D1" w14:textId="77777777" w:rsidR="00BF5D35" w:rsidRPr="009A27ED" w:rsidRDefault="00BF5D35" w:rsidP="00BF5D35">
            <w:pPr>
              <w:autoSpaceDE w:val="0"/>
              <w:autoSpaceDN w:val="0"/>
              <w:adjustRightInd w:val="0"/>
              <w:spacing w:after="0"/>
              <w:rPr>
                <w:rFonts w:eastAsia="Times New Roman"/>
                <w:b/>
                <w:color w:val="000000" w:themeColor="text1"/>
                <w:sz w:val="20"/>
                <w:szCs w:val="20"/>
              </w:rPr>
            </w:pPr>
          </w:p>
        </w:tc>
      </w:tr>
      <w:tr w:rsidR="00BF5D35" w:rsidRPr="009A27ED" w14:paraId="15DF8075" w14:textId="77777777" w:rsidTr="006D2257">
        <w:tc>
          <w:tcPr>
            <w:tcW w:w="4316" w:type="dxa"/>
          </w:tcPr>
          <w:p w14:paraId="13DCF3B0" w14:textId="77777777" w:rsidR="00BF5D35" w:rsidRPr="009A27ED" w:rsidRDefault="00BF5D35" w:rsidP="00BF5D35">
            <w:pPr>
              <w:spacing w:after="0"/>
              <w:rPr>
                <w:b/>
                <w:sz w:val="20"/>
                <w:szCs w:val="20"/>
              </w:rPr>
            </w:pPr>
            <w:r w:rsidRPr="009A27ED">
              <w:rPr>
                <w:b/>
                <w:sz w:val="20"/>
                <w:szCs w:val="20"/>
              </w:rPr>
              <w:t>Actividades apoyadas</w:t>
            </w:r>
          </w:p>
          <w:p w14:paraId="1E7D705F" w14:textId="77777777" w:rsidR="00BF5D35" w:rsidRPr="009A27ED" w:rsidRDefault="00BF5D35" w:rsidP="00BF5D35">
            <w:pPr>
              <w:spacing w:after="0"/>
              <w:rPr>
                <w:sz w:val="20"/>
                <w:szCs w:val="20"/>
              </w:rPr>
            </w:pPr>
            <w:r w:rsidRPr="009A27ED">
              <w:rPr>
                <w:sz w:val="20"/>
                <w:szCs w:val="20"/>
              </w:rPr>
              <w:t xml:space="preserve">Reforestación de cuencas hidrográficas </w:t>
            </w:r>
          </w:p>
          <w:p w14:paraId="4D4CA049" w14:textId="77777777" w:rsidR="00BF5D35" w:rsidRPr="009A27ED" w:rsidRDefault="00BF5D35" w:rsidP="00BF5D35">
            <w:pPr>
              <w:shd w:val="clear" w:color="auto" w:fill="FFFFFF"/>
              <w:spacing w:after="0"/>
              <w:textAlignment w:val="top"/>
              <w:rPr>
                <w:rFonts w:eastAsia="Times New Roman"/>
                <w:color w:val="000000"/>
                <w:sz w:val="20"/>
                <w:szCs w:val="20"/>
              </w:rPr>
            </w:pPr>
          </w:p>
          <w:p w14:paraId="0FADFE11" w14:textId="77777777" w:rsidR="00BF5D35" w:rsidRPr="009A27ED" w:rsidRDefault="00BF5D35" w:rsidP="00BF5D35">
            <w:pPr>
              <w:shd w:val="clear" w:color="auto" w:fill="FFFFFF"/>
              <w:spacing w:after="0"/>
              <w:textAlignment w:val="top"/>
              <w:rPr>
                <w:rFonts w:eastAsia="Times New Roman"/>
                <w:color w:val="000000"/>
                <w:sz w:val="20"/>
                <w:szCs w:val="20"/>
              </w:rPr>
            </w:pPr>
            <w:r w:rsidRPr="009A27ED">
              <w:rPr>
                <w:rFonts w:eastAsia="Times New Roman"/>
                <w:color w:val="000000"/>
                <w:sz w:val="20"/>
                <w:szCs w:val="20"/>
              </w:rPr>
              <w:t>Los componentes del Plan son los siguientes:</w:t>
            </w:r>
          </w:p>
          <w:p w14:paraId="20F89B15" w14:textId="77777777" w:rsidR="00BF5D35" w:rsidRPr="009A27ED" w:rsidRDefault="00BF5D35" w:rsidP="00E67CB0">
            <w:pPr>
              <w:numPr>
                <w:ilvl w:val="0"/>
                <w:numId w:val="91"/>
              </w:numPr>
              <w:spacing w:after="0"/>
              <w:contextualSpacing/>
              <w:textAlignment w:val="top"/>
              <w:rPr>
                <w:rFonts w:eastAsia="Times New Roman"/>
                <w:color w:val="000000"/>
                <w:sz w:val="20"/>
                <w:szCs w:val="20"/>
              </w:rPr>
            </w:pPr>
            <w:r w:rsidRPr="009A27ED">
              <w:rPr>
                <w:rFonts w:eastAsia="Times New Roman"/>
                <w:color w:val="000000"/>
                <w:sz w:val="20"/>
                <w:szCs w:val="20"/>
              </w:rPr>
              <w:t>Forestería Social (Reforestación con participación comunitaria).</w:t>
            </w:r>
          </w:p>
          <w:p w14:paraId="7C624459" w14:textId="77777777" w:rsidR="00BF5D35" w:rsidRPr="009A27ED" w:rsidRDefault="00BF5D35" w:rsidP="00E67CB0">
            <w:pPr>
              <w:numPr>
                <w:ilvl w:val="0"/>
                <w:numId w:val="91"/>
              </w:numPr>
              <w:spacing w:after="0"/>
              <w:contextualSpacing/>
              <w:textAlignment w:val="top"/>
              <w:rPr>
                <w:rFonts w:eastAsia="Times New Roman"/>
                <w:color w:val="000000"/>
                <w:sz w:val="20"/>
                <w:szCs w:val="20"/>
              </w:rPr>
            </w:pPr>
            <w:r w:rsidRPr="009A27ED">
              <w:rPr>
                <w:rFonts w:eastAsia="Times New Roman"/>
                <w:color w:val="000000"/>
                <w:sz w:val="20"/>
                <w:szCs w:val="20"/>
              </w:rPr>
              <w:t>Creación de bosques de uso múltiple.</w:t>
            </w:r>
          </w:p>
          <w:p w14:paraId="60E514B9" w14:textId="77777777" w:rsidR="00BF5D35" w:rsidRPr="009A27ED" w:rsidRDefault="00BF5D35" w:rsidP="00E67CB0">
            <w:pPr>
              <w:numPr>
                <w:ilvl w:val="0"/>
                <w:numId w:val="91"/>
              </w:numPr>
              <w:spacing w:after="0"/>
              <w:contextualSpacing/>
              <w:textAlignment w:val="top"/>
              <w:rPr>
                <w:rFonts w:eastAsia="Times New Roman"/>
                <w:color w:val="000000"/>
                <w:sz w:val="20"/>
                <w:szCs w:val="20"/>
              </w:rPr>
            </w:pPr>
            <w:r w:rsidRPr="009A27ED">
              <w:rPr>
                <w:rFonts w:eastAsia="Times New Roman"/>
                <w:color w:val="000000"/>
                <w:sz w:val="20"/>
                <w:szCs w:val="20"/>
              </w:rPr>
              <w:t>Recuperación de áreas naturales nacionales y municipales.</w:t>
            </w:r>
          </w:p>
          <w:p w14:paraId="4F58E9ED" w14:textId="77777777" w:rsidR="00BF5D35" w:rsidRPr="009A27ED" w:rsidRDefault="00BF5D35" w:rsidP="00E67CB0">
            <w:pPr>
              <w:numPr>
                <w:ilvl w:val="0"/>
                <w:numId w:val="91"/>
              </w:numPr>
              <w:spacing w:after="0"/>
              <w:contextualSpacing/>
              <w:textAlignment w:val="top"/>
              <w:rPr>
                <w:rFonts w:eastAsia="Times New Roman"/>
                <w:color w:val="000000"/>
                <w:sz w:val="20"/>
                <w:szCs w:val="20"/>
              </w:rPr>
            </w:pPr>
            <w:r w:rsidRPr="009A27ED">
              <w:rPr>
                <w:rFonts w:eastAsia="Times New Roman"/>
                <w:color w:val="000000"/>
                <w:sz w:val="20"/>
                <w:szCs w:val="20"/>
              </w:rPr>
              <w:t>Educación Ambiental (Jornadas, Familia Verde, Días de Campo).</w:t>
            </w:r>
          </w:p>
          <w:p w14:paraId="21131871" w14:textId="77777777" w:rsidR="00BF5D35" w:rsidRPr="009A27ED" w:rsidRDefault="00BF5D35" w:rsidP="00E67CB0">
            <w:pPr>
              <w:numPr>
                <w:ilvl w:val="0"/>
                <w:numId w:val="91"/>
              </w:numPr>
              <w:spacing w:after="0"/>
              <w:contextualSpacing/>
              <w:textAlignment w:val="top"/>
              <w:rPr>
                <w:rFonts w:eastAsia="Times New Roman"/>
                <w:color w:val="000000"/>
                <w:sz w:val="20"/>
                <w:szCs w:val="20"/>
              </w:rPr>
            </w:pPr>
            <w:r w:rsidRPr="009A27ED">
              <w:rPr>
                <w:rFonts w:eastAsia="Times New Roman"/>
                <w:color w:val="000000"/>
                <w:sz w:val="20"/>
                <w:szCs w:val="20"/>
              </w:rPr>
              <w:t>Mejoramiento de viviendas e infraestructuras de servicios comunitarios.</w:t>
            </w:r>
          </w:p>
          <w:p w14:paraId="749D7DBD" w14:textId="77777777" w:rsidR="00BF5D35" w:rsidRPr="009A27ED" w:rsidRDefault="00BF5D35" w:rsidP="00BF5D35">
            <w:pPr>
              <w:autoSpaceDE w:val="0"/>
              <w:autoSpaceDN w:val="0"/>
              <w:adjustRightInd w:val="0"/>
              <w:spacing w:after="0"/>
              <w:rPr>
                <w:rFonts w:eastAsia="Times New Roman"/>
                <w:b/>
                <w:color w:val="000000" w:themeColor="text1"/>
                <w:sz w:val="20"/>
                <w:szCs w:val="20"/>
              </w:rPr>
            </w:pPr>
          </w:p>
        </w:tc>
        <w:tc>
          <w:tcPr>
            <w:tcW w:w="3329" w:type="dxa"/>
          </w:tcPr>
          <w:p w14:paraId="58EDC1EE" w14:textId="77777777" w:rsidR="00BF5D35" w:rsidRPr="009A27ED" w:rsidRDefault="00BF5D35" w:rsidP="00BF5D35">
            <w:pPr>
              <w:spacing w:after="0"/>
              <w:rPr>
                <w:b/>
                <w:sz w:val="20"/>
                <w:szCs w:val="20"/>
              </w:rPr>
            </w:pPr>
            <w:r w:rsidRPr="009A27ED">
              <w:rPr>
                <w:b/>
                <w:sz w:val="20"/>
                <w:szCs w:val="20"/>
              </w:rPr>
              <w:t>Duración</w:t>
            </w:r>
          </w:p>
          <w:p w14:paraId="3435B47C" w14:textId="77777777" w:rsidR="00BF5D35" w:rsidRPr="009A27ED" w:rsidRDefault="00BF5D35" w:rsidP="00BF5D35">
            <w:pPr>
              <w:spacing w:after="0"/>
              <w:rPr>
                <w:b/>
                <w:color w:val="000000" w:themeColor="text1"/>
                <w:sz w:val="20"/>
                <w:szCs w:val="20"/>
              </w:rPr>
            </w:pPr>
            <w:r w:rsidRPr="009A27ED">
              <w:rPr>
                <w:sz w:val="20"/>
                <w:szCs w:val="20"/>
              </w:rPr>
              <w:t>Originalmente el plan se previó para un periodo de 20 años (hasta febrero 2017). Su implementación continua.</w:t>
            </w:r>
          </w:p>
        </w:tc>
        <w:tc>
          <w:tcPr>
            <w:tcW w:w="5305" w:type="dxa"/>
          </w:tcPr>
          <w:p w14:paraId="0B59B78A" w14:textId="77777777" w:rsidR="00BF5D35" w:rsidRPr="009A27ED" w:rsidRDefault="00BF5D35" w:rsidP="00BF5D35">
            <w:pPr>
              <w:spacing w:after="0"/>
              <w:rPr>
                <w:b/>
                <w:sz w:val="20"/>
                <w:szCs w:val="20"/>
              </w:rPr>
            </w:pPr>
            <w:r w:rsidRPr="009A27ED">
              <w:rPr>
                <w:b/>
                <w:sz w:val="20"/>
                <w:szCs w:val="20"/>
              </w:rPr>
              <w:t xml:space="preserve">Principales resultados </w:t>
            </w:r>
          </w:p>
          <w:p w14:paraId="0BE2EF58" w14:textId="77777777" w:rsidR="00BF5D35" w:rsidRPr="009A27ED" w:rsidRDefault="00BF5D35" w:rsidP="00BF5D35">
            <w:pPr>
              <w:numPr>
                <w:ilvl w:val="0"/>
                <w:numId w:val="39"/>
              </w:numPr>
              <w:spacing w:after="0"/>
              <w:contextualSpacing/>
              <w:rPr>
                <w:b/>
                <w:sz w:val="20"/>
                <w:szCs w:val="20"/>
                <w:lang w:val="es-GT"/>
              </w:rPr>
            </w:pPr>
            <w:r w:rsidRPr="009A27ED">
              <w:rPr>
                <w:sz w:val="20"/>
                <w:szCs w:val="20"/>
                <w:lang w:val="es-GT"/>
              </w:rPr>
              <w:t>Se implantó un plan masivo de reforestación a nivel nacional, en forma ininterrumpida. El Plan ha contribuido significativamente al incremento de la cobertura de bosque (39% al 2011) a nivel nacional.</w:t>
            </w:r>
          </w:p>
          <w:p w14:paraId="1C04BE04" w14:textId="77777777" w:rsidR="00BF5D35" w:rsidRPr="009A27ED" w:rsidRDefault="00BF5D35" w:rsidP="00BF5D35">
            <w:pPr>
              <w:numPr>
                <w:ilvl w:val="0"/>
                <w:numId w:val="39"/>
              </w:numPr>
              <w:spacing w:after="0"/>
              <w:contextualSpacing/>
              <w:rPr>
                <w:b/>
                <w:sz w:val="20"/>
                <w:szCs w:val="20"/>
                <w:lang w:val="es-GT"/>
              </w:rPr>
            </w:pPr>
            <w:r w:rsidRPr="009A27ED">
              <w:rPr>
                <w:sz w:val="20"/>
                <w:szCs w:val="20"/>
              </w:rPr>
              <w:t>Se han mejorado las áreas de influencia de las principales presas y cuencas a nivel nacional, se ha logrado interconectar (crear corredores naturales) diferentes áreas protegidas del Sistema Nacional de Áreas Protegidas, así como recuperar ecosistemas y áreas degradadas dentro de las mismas.</w:t>
            </w:r>
          </w:p>
          <w:p w14:paraId="7CFA5805" w14:textId="77777777" w:rsidR="00BF5D35" w:rsidRPr="009A27ED" w:rsidRDefault="00BF5D35" w:rsidP="00BF5D35">
            <w:pPr>
              <w:numPr>
                <w:ilvl w:val="0"/>
                <w:numId w:val="39"/>
              </w:numPr>
              <w:spacing w:after="0"/>
              <w:contextualSpacing/>
              <w:rPr>
                <w:b/>
                <w:sz w:val="20"/>
                <w:szCs w:val="20"/>
                <w:lang w:val="es-GT"/>
              </w:rPr>
            </w:pPr>
            <w:r w:rsidRPr="009A27ED">
              <w:rPr>
                <w:sz w:val="20"/>
                <w:szCs w:val="20"/>
              </w:rPr>
              <w:t>Ha generado fuentes de ingresos en las comunidades más pobres del país, ligadas directa o indirectamente a actividades de reforestación, a través del pago de jornales a las brigadas reconciliando la población con el bosque.</w:t>
            </w:r>
          </w:p>
          <w:p w14:paraId="2B0FBD57" w14:textId="77777777" w:rsidR="00BF5D35" w:rsidRPr="009A27ED" w:rsidRDefault="00BF5D35" w:rsidP="00BF5D35">
            <w:pPr>
              <w:numPr>
                <w:ilvl w:val="0"/>
                <w:numId w:val="39"/>
              </w:numPr>
              <w:spacing w:after="0"/>
              <w:contextualSpacing/>
              <w:rPr>
                <w:b/>
                <w:sz w:val="20"/>
                <w:szCs w:val="20"/>
                <w:lang w:val="es-GT"/>
              </w:rPr>
            </w:pPr>
            <w:r w:rsidRPr="009A27ED">
              <w:rPr>
                <w:sz w:val="20"/>
                <w:szCs w:val="20"/>
              </w:rPr>
              <w:t>El rol de la mujer ha sido mejor valorizado y visualizado, quedando de manifiesto sus capacidades innatas de liderazgo y organización, al asumir diferentes roles en este proceso, que van desde ser propietaria de terrenos reforestados, miembro de brigada, capataz o coordinadora de proyectos, entre otros.</w:t>
            </w:r>
          </w:p>
        </w:tc>
      </w:tr>
      <w:tr w:rsidR="00D37B74" w:rsidRPr="009A27ED" w14:paraId="637FD4A2" w14:textId="77777777" w:rsidTr="006D2257">
        <w:tc>
          <w:tcPr>
            <w:tcW w:w="4316" w:type="dxa"/>
          </w:tcPr>
          <w:p w14:paraId="0B41F076" w14:textId="77777777" w:rsidR="00D37B74" w:rsidRPr="009A27ED" w:rsidRDefault="00D37B74" w:rsidP="00BF5D35">
            <w:pPr>
              <w:spacing w:after="0"/>
              <w:rPr>
                <w:b/>
                <w:sz w:val="20"/>
                <w:szCs w:val="20"/>
              </w:rPr>
            </w:pPr>
          </w:p>
        </w:tc>
        <w:tc>
          <w:tcPr>
            <w:tcW w:w="3329" w:type="dxa"/>
          </w:tcPr>
          <w:p w14:paraId="7BB2A512" w14:textId="77777777" w:rsidR="00D37B74" w:rsidRPr="009A27ED" w:rsidRDefault="00D37B74" w:rsidP="00BF5D35">
            <w:pPr>
              <w:spacing w:after="0"/>
              <w:rPr>
                <w:b/>
                <w:sz w:val="20"/>
                <w:szCs w:val="20"/>
              </w:rPr>
            </w:pPr>
          </w:p>
        </w:tc>
        <w:tc>
          <w:tcPr>
            <w:tcW w:w="5305" w:type="dxa"/>
          </w:tcPr>
          <w:p w14:paraId="0F73AB50" w14:textId="77777777" w:rsidR="00D37B74" w:rsidRPr="009A27ED" w:rsidRDefault="00D37B74" w:rsidP="00BF5D35">
            <w:pPr>
              <w:spacing w:after="0"/>
              <w:rPr>
                <w:b/>
                <w:sz w:val="20"/>
                <w:szCs w:val="20"/>
              </w:rPr>
            </w:pPr>
          </w:p>
        </w:tc>
      </w:tr>
    </w:tbl>
    <w:p w14:paraId="7387E962" w14:textId="565069A4" w:rsidR="00BF5D35" w:rsidRPr="009A27ED" w:rsidRDefault="00BF5D35" w:rsidP="00615080">
      <w:pPr>
        <w:spacing w:after="0" w:line="360" w:lineRule="auto"/>
        <w:contextualSpacing/>
        <w:rPr>
          <w:rFonts w:cstheme="minorBidi"/>
          <w:b/>
          <w:color w:val="ED7D31" w:themeColor="accent2"/>
          <w:sz w:val="20"/>
          <w:szCs w:val="20"/>
        </w:rPr>
      </w:pPr>
    </w:p>
    <w:p w14:paraId="65F1AA18" w14:textId="65E95B0A" w:rsidR="00350122" w:rsidRPr="009A27ED" w:rsidRDefault="00350122" w:rsidP="00615080">
      <w:pPr>
        <w:spacing w:after="0" w:line="360" w:lineRule="auto"/>
        <w:contextualSpacing/>
        <w:rPr>
          <w:rFonts w:cstheme="minorBidi"/>
          <w:b/>
          <w:color w:val="ED7D31" w:themeColor="accent2"/>
          <w:sz w:val="20"/>
          <w:szCs w:val="20"/>
        </w:rPr>
      </w:pPr>
    </w:p>
    <w:p w14:paraId="4456756F" w14:textId="072CE338" w:rsidR="00350122" w:rsidRPr="009A27ED" w:rsidRDefault="00350122" w:rsidP="00615080">
      <w:pPr>
        <w:spacing w:after="0" w:line="360" w:lineRule="auto"/>
        <w:contextualSpacing/>
        <w:rPr>
          <w:rFonts w:cstheme="minorBidi"/>
          <w:b/>
          <w:color w:val="ED7D31" w:themeColor="accent2"/>
          <w:sz w:val="20"/>
          <w:szCs w:val="20"/>
        </w:rPr>
      </w:pPr>
    </w:p>
    <w:p w14:paraId="60159BB5" w14:textId="7FA522FB" w:rsidR="00350122" w:rsidRPr="009A27ED" w:rsidRDefault="00350122" w:rsidP="00615080">
      <w:pPr>
        <w:spacing w:after="0" w:line="360" w:lineRule="auto"/>
        <w:contextualSpacing/>
        <w:rPr>
          <w:rFonts w:cstheme="minorBidi"/>
          <w:b/>
          <w:color w:val="ED7D31" w:themeColor="accent2"/>
          <w:sz w:val="20"/>
          <w:szCs w:val="20"/>
        </w:rPr>
      </w:pPr>
    </w:p>
    <w:p w14:paraId="7D3C022C" w14:textId="5682D5BF" w:rsidR="00350122" w:rsidRPr="009A27ED" w:rsidRDefault="00350122" w:rsidP="00615080">
      <w:pPr>
        <w:spacing w:after="0" w:line="360" w:lineRule="auto"/>
        <w:contextualSpacing/>
        <w:rPr>
          <w:rFonts w:cstheme="minorBidi"/>
          <w:b/>
          <w:color w:val="ED7D31" w:themeColor="accent2"/>
          <w:sz w:val="20"/>
          <w:szCs w:val="20"/>
        </w:rPr>
      </w:pPr>
    </w:p>
    <w:p w14:paraId="744EF113" w14:textId="4A188489" w:rsidR="00350122" w:rsidRPr="009A27ED" w:rsidRDefault="00350122" w:rsidP="00615080">
      <w:pPr>
        <w:spacing w:after="0" w:line="360" w:lineRule="auto"/>
        <w:contextualSpacing/>
        <w:rPr>
          <w:rFonts w:cstheme="minorBidi"/>
          <w:b/>
          <w:color w:val="ED7D31" w:themeColor="accent2"/>
          <w:sz w:val="20"/>
          <w:szCs w:val="20"/>
        </w:rPr>
      </w:pPr>
    </w:p>
    <w:p w14:paraId="29A1584F" w14:textId="30139A46" w:rsidR="00350122" w:rsidRPr="009A27ED" w:rsidRDefault="00350122" w:rsidP="00615080">
      <w:pPr>
        <w:spacing w:after="0" w:line="360" w:lineRule="auto"/>
        <w:contextualSpacing/>
        <w:rPr>
          <w:rFonts w:cstheme="minorBidi"/>
          <w:b/>
          <w:color w:val="ED7D31" w:themeColor="accent2"/>
          <w:sz w:val="20"/>
          <w:szCs w:val="20"/>
        </w:rPr>
      </w:pPr>
    </w:p>
    <w:p w14:paraId="7B124E49" w14:textId="6577A064" w:rsidR="00350122" w:rsidRPr="009A27ED" w:rsidRDefault="00350122" w:rsidP="00615080">
      <w:pPr>
        <w:spacing w:after="0" w:line="360" w:lineRule="auto"/>
        <w:contextualSpacing/>
        <w:rPr>
          <w:rFonts w:cstheme="minorBidi"/>
          <w:b/>
          <w:color w:val="ED7D31" w:themeColor="accent2"/>
          <w:sz w:val="20"/>
          <w:szCs w:val="20"/>
        </w:rPr>
      </w:pPr>
    </w:p>
    <w:p w14:paraId="39510647" w14:textId="5C2F3532" w:rsidR="00350122" w:rsidRPr="009A27ED" w:rsidRDefault="00350122" w:rsidP="00615080">
      <w:pPr>
        <w:spacing w:after="0" w:line="360" w:lineRule="auto"/>
        <w:contextualSpacing/>
        <w:rPr>
          <w:rFonts w:cstheme="minorBidi"/>
          <w:b/>
          <w:color w:val="ED7D31" w:themeColor="accent2"/>
          <w:sz w:val="20"/>
          <w:szCs w:val="20"/>
        </w:rPr>
      </w:pPr>
    </w:p>
    <w:p w14:paraId="1A189FC0" w14:textId="2109B43D" w:rsidR="00350122" w:rsidRPr="009A27ED" w:rsidRDefault="00350122" w:rsidP="00615080">
      <w:pPr>
        <w:spacing w:after="0" w:line="360" w:lineRule="auto"/>
        <w:contextualSpacing/>
        <w:rPr>
          <w:rFonts w:cstheme="minorBidi"/>
          <w:b/>
          <w:color w:val="ED7D31" w:themeColor="accent2"/>
          <w:sz w:val="20"/>
          <w:szCs w:val="20"/>
        </w:rPr>
      </w:pPr>
    </w:p>
    <w:p w14:paraId="0C545B42" w14:textId="39D4C6D0" w:rsidR="00350122" w:rsidRPr="009A27ED" w:rsidRDefault="00350122" w:rsidP="00615080">
      <w:pPr>
        <w:spacing w:after="0" w:line="360" w:lineRule="auto"/>
        <w:contextualSpacing/>
        <w:rPr>
          <w:rFonts w:cstheme="minorBidi"/>
          <w:b/>
          <w:color w:val="ED7D31" w:themeColor="accent2"/>
          <w:sz w:val="20"/>
          <w:szCs w:val="20"/>
        </w:rPr>
      </w:pPr>
    </w:p>
    <w:p w14:paraId="32DBFE58" w14:textId="52D45B97" w:rsidR="00350122" w:rsidRPr="009A27ED" w:rsidRDefault="00350122" w:rsidP="00615080">
      <w:pPr>
        <w:spacing w:after="0" w:line="360" w:lineRule="auto"/>
        <w:contextualSpacing/>
        <w:rPr>
          <w:rFonts w:cstheme="minorBidi"/>
          <w:b/>
          <w:color w:val="ED7D31" w:themeColor="accent2"/>
          <w:sz w:val="20"/>
          <w:szCs w:val="20"/>
        </w:rPr>
      </w:pPr>
    </w:p>
    <w:p w14:paraId="37CAA246" w14:textId="342A562B" w:rsidR="00350122" w:rsidRPr="009A27ED" w:rsidRDefault="00350122" w:rsidP="00615080">
      <w:pPr>
        <w:spacing w:after="0" w:line="360" w:lineRule="auto"/>
        <w:contextualSpacing/>
        <w:rPr>
          <w:rFonts w:cstheme="minorBidi"/>
          <w:b/>
          <w:color w:val="ED7D31" w:themeColor="accent2"/>
          <w:sz w:val="20"/>
          <w:szCs w:val="20"/>
        </w:rPr>
      </w:pPr>
    </w:p>
    <w:p w14:paraId="573890F4" w14:textId="77777777" w:rsidR="00350122" w:rsidRPr="009A27ED" w:rsidRDefault="00350122" w:rsidP="00615080">
      <w:pPr>
        <w:spacing w:after="0" w:line="360" w:lineRule="auto"/>
        <w:contextualSpacing/>
        <w:rPr>
          <w:rFonts w:cstheme="minorBidi"/>
          <w:b/>
          <w:color w:val="ED7D31" w:themeColor="accent2"/>
          <w:sz w:val="20"/>
          <w:szCs w:val="20"/>
        </w:rPr>
      </w:pPr>
    </w:p>
    <w:tbl>
      <w:tblPr>
        <w:tblStyle w:val="Tablaconcuadrcula"/>
        <w:tblW w:w="0" w:type="auto"/>
        <w:tblLook w:val="04A0" w:firstRow="1" w:lastRow="0" w:firstColumn="1" w:lastColumn="0" w:noHBand="0" w:noVBand="1"/>
      </w:tblPr>
      <w:tblGrid>
        <w:gridCol w:w="4316"/>
        <w:gridCol w:w="4317"/>
        <w:gridCol w:w="4317"/>
      </w:tblGrid>
      <w:tr w:rsidR="006C773F" w:rsidRPr="009A27ED" w14:paraId="3117C03F" w14:textId="77777777" w:rsidTr="004D2848">
        <w:tc>
          <w:tcPr>
            <w:tcW w:w="12950" w:type="dxa"/>
            <w:gridSpan w:val="3"/>
            <w:shd w:val="clear" w:color="auto" w:fill="2F5496" w:themeFill="accent5" w:themeFillShade="BF"/>
          </w:tcPr>
          <w:p w14:paraId="76299BFE" w14:textId="77777777" w:rsidR="006C773F" w:rsidRPr="009A27ED" w:rsidRDefault="006C773F" w:rsidP="004D2848">
            <w:pPr>
              <w:spacing w:after="0"/>
              <w:jc w:val="left"/>
              <w:outlineLvl w:val="2"/>
              <w:rPr>
                <w:rFonts w:eastAsiaTheme="majorEastAsia"/>
                <w:b/>
                <w:color w:val="FFFFFF" w:themeColor="background1"/>
                <w:sz w:val="28"/>
                <w:szCs w:val="28"/>
                <w:lang w:val="es-DO"/>
              </w:rPr>
            </w:pPr>
            <w:bookmarkStart w:id="101" w:name="_Toc111837922"/>
            <w:r w:rsidRPr="009A27ED">
              <w:rPr>
                <w:rFonts w:eastAsiaTheme="majorEastAsia"/>
                <w:b/>
                <w:color w:val="FFFFFF" w:themeColor="background1"/>
                <w:sz w:val="28"/>
                <w:szCs w:val="28"/>
                <w:lang w:val="es-DO"/>
              </w:rPr>
              <w:t>4. Sistema Agroforestal con café bajo sombra (CAFÉ) – Instituto Dominicano del Café - INDOCAFÉ</w:t>
            </w:r>
            <w:bookmarkEnd w:id="101"/>
          </w:p>
          <w:p w14:paraId="35524B19" w14:textId="77777777" w:rsidR="006C773F" w:rsidRPr="009A27ED" w:rsidRDefault="006C773F" w:rsidP="004D2848">
            <w:pPr>
              <w:pStyle w:val="Prrafodelista"/>
              <w:spacing w:after="0" w:line="240" w:lineRule="auto"/>
              <w:ind w:left="360"/>
              <w:jc w:val="left"/>
              <w:outlineLvl w:val="2"/>
              <w:rPr>
                <w:rFonts w:eastAsiaTheme="majorEastAsia"/>
                <w:b/>
                <w:sz w:val="28"/>
                <w:szCs w:val="28"/>
                <w:lang w:val="es-DO"/>
              </w:rPr>
            </w:pPr>
          </w:p>
        </w:tc>
      </w:tr>
      <w:tr w:rsidR="006C773F" w:rsidRPr="009A27ED" w14:paraId="61A5D335" w14:textId="77777777" w:rsidTr="004D2848">
        <w:tc>
          <w:tcPr>
            <w:tcW w:w="12950" w:type="dxa"/>
            <w:gridSpan w:val="3"/>
          </w:tcPr>
          <w:p w14:paraId="7736F345" w14:textId="77777777" w:rsidR="006C773F" w:rsidRPr="009A27ED" w:rsidRDefault="006C773F" w:rsidP="004D2848">
            <w:pPr>
              <w:rPr>
                <w:b/>
                <w:color w:val="000000" w:themeColor="text1"/>
                <w:sz w:val="20"/>
                <w:szCs w:val="20"/>
              </w:rPr>
            </w:pPr>
            <w:r w:rsidRPr="009A27ED">
              <w:rPr>
                <w:b/>
                <w:color w:val="000000" w:themeColor="text1"/>
                <w:sz w:val="20"/>
                <w:szCs w:val="20"/>
              </w:rPr>
              <w:t>Descripción del Plan</w:t>
            </w:r>
          </w:p>
          <w:p w14:paraId="121F9BB9" w14:textId="77777777" w:rsidR="006C773F" w:rsidRPr="009A27ED" w:rsidRDefault="006C773F" w:rsidP="004D2848">
            <w:pPr>
              <w:rPr>
                <w:b/>
                <w:color w:val="2F5496" w:themeColor="accent5" w:themeShade="BF"/>
                <w:sz w:val="20"/>
                <w:szCs w:val="20"/>
              </w:rPr>
            </w:pPr>
            <w:r w:rsidRPr="009A27ED">
              <w:rPr>
                <w:sz w:val="20"/>
                <w:szCs w:val="20"/>
              </w:rPr>
              <w:t xml:space="preserve">El INDOCAFÉ es una institución pública, autónoma y descentralizada del Estado dominicano, responsable del diseño, la planificación y la ejecución de la política de desarrollo cafetero de la República Dominicana. Tienen como objetivo: i) fomentar la siembra de café de calidad, </w:t>
            </w:r>
            <w:proofErr w:type="gramStart"/>
            <w:r w:rsidRPr="009A27ED">
              <w:rPr>
                <w:sz w:val="20"/>
                <w:szCs w:val="20"/>
              </w:rPr>
              <w:t>de acuerdo a</w:t>
            </w:r>
            <w:proofErr w:type="gramEnd"/>
            <w:r w:rsidRPr="009A27ED">
              <w:rPr>
                <w:sz w:val="20"/>
                <w:szCs w:val="20"/>
              </w:rPr>
              <w:t xml:space="preserve"> las normas y exigencias contemporáneas de siembra, cuidado y cosecha, </w:t>
            </w:r>
            <w:proofErr w:type="spellStart"/>
            <w:r w:rsidRPr="009A27ED">
              <w:rPr>
                <w:sz w:val="20"/>
                <w:szCs w:val="20"/>
              </w:rPr>
              <w:t>ii</w:t>
            </w:r>
            <w:proofErr w:type="spellEnd"/>
            <w:r w:rsidRPr="009A27ED">
              <w:rPr>
                <w:sz w:val="20"/>
                <w:szCs w:val="20"/>
              </w:rPr>
              <w:t>) asesorar al productor cafetalero en materia de manejo del cultivo y seguimiento, a través de la capacitación constante, impulsado el cumplimiento de buenas prácticas en la aplicación de controles exigidos por organismos nacionales e internacionales. La mayor parte de la producción nacional de café proviene de sistemas agroforestales con árboles de sombra. Según datos recientes (2018), la estructura de los cafetales es bastante variable tanto en las características del cultivo principal como en las de los árboles de sombra. El promedio de densidad de plantas de café está cerca de 3000 plantas/ha; la gran mayoría tienen troncos de menos de 5 cm de diámetro (a 15cm del suelo) por lo que su área basal es baja. Los árboles de sombra (árboles maderables, frutales, palmas, arbustos) tienen una densidad promedio de 342 árboles/</w:t>
            </w:r>
            <w:proofErr w:type="spellStart"/>
            <w:r w:rsidRPr="009A27ED">
              <w:rPr>
                <w:sz w:val="20"/>
                <w:szCs w:val="20"/>
              </w:rPr>
              <w:t>ha</w:t>
            </w:r>
            <w:proofErr w:type="spellEnd"/>
            <w:r w:rsidRPr="009A27ED">
              <w:rPr>
                <w:sz w:val="20"/>
                <w:szCs w:val="20"/>
              </w:rPr>
              <w:t>, pero aproximadamente la mitad de ellos tienen diámetros de tronco menores de 10 cm, es decir, son árboles pequeños. Los árboles que más área basal ocupan son los de diámetro de tronco mayor a 35 cm, con densidades alrededor de 30 árboles/ha. El área basal total de estos sistemas agroforestales tiene un promedio de 17 m2/</w:t>
            </w:r>
            <w:proofErr w:type="spellStart"/>
            <w:r w:rsidRPr="009A27ED">
              <w:rPr>
                <w:sz w:val="20"/>
                <w:szCs w:val="20"/>
              </w:rPr>
              <w:t>ha</w:t>
            </w:r>
            <w:proofErr w:type="spellEnd"/>
            <w:r w:rsidRPr="009A27ED">
              <w:rPr>
                <w:sz w:val="20"/>
                <w:szCs w:val="20"/>
              </w:rPr>
              <w:t xml:space="preserve">, de los cuales 75% son ocupados por los árboles de sombra. Las plantas de café son altas, con un promedio mayor a los 2.5 m de altura total, 1.66 m de diámetro de copa, y 2.72 m2 de área de copa. Los árboles de sombra la altura total promedio es de 13 m, con 9 m de diámetro de copa y 71 m2 de área de copa, similar a los cacaotales. Las especies más abundantes de árboles de sombra en los cafetales son la guama (Inga </w:t>
            </w:r>
            <w:proofErr w:type="spellStart"/>
            <w:r w:rsidRPr="009A27ED">
              <w:rPr>
                <w:sz w:val="20"/>
                <w:szCs w:val="20"/>
              </w:rPr>
              <w:t>sp</w:t>
            </w:r>
            <w:proofErr w:type="spellEnd"/>
            <w:r w:rsidRPr="009A27ED">
              <w:rPr>
                <w:sz w:val="20"/>
                <w:szCs w:val="20"/>
              </w:rPr>
              <w:t>.) como la principal, también se puede mencionar al aguacate y juan primero (</w:t>
            </w:r>
            <w:proofErr w:type="spellStart"/>
            <w:r w:rsidRPr="009A27ED">
              <w:rPr>
                <w:i/>
                <w:sz w:val="20"/>
                <w:szCs w:val="20"/>
              </w:rPr>
              <w:t>Simarouba</w:t>
            </w:r>
            <w:proofErr w:type="spellEnd"/>
            <w:r w:rsidRPr="009A27ED">
              <w:rPr>
                <w:i/>
                <w:sz w:val="20"/>
                <w:szCs w:val="20"/>
              </w:rPr>
              <w:t xml:space="preserve"> glauca</w:t>
            </w:r>
            <w:r w:rsidRPr="009A27ED">
              <w:rPr>
                <w:sz w:val="20"/>
                <w:szCs w:val="20"/>
              </w:rPr>
              <w:t xml:space="preserve"> DC). Las plantaciones de café almacenan en promedio un total de 203 ton/ha de carbono entre todos sus componentes. Los componentes más importantes son el suelo (69% del total), y la biomasa aérea (23%). Le siguen las raíces, y finalmente la hojarasca y la madera muerta. La madera muerta es la que menos almacena, solo contiene el 1% del carbono total. El INDOCAFE tiene incidencia a nivel nacional y sus actividades se desarrollan en el ámbito de 8 regiones cafetaleras que está dividido el país. El cultivo de café ocupa territorio con condiciones orográficas por encima de los 500 metros sobre el nivel del mar. </w:t>
            </w:r>
          </w:p>
        </w:tc>
      </w:tr>
      <w:tr w:rsidR="006C773F" w:rsidRPr="009A27ED" w14:paraId="29E1FDB0" w14:textId="77777777" w:rsidTr="004D2848">
        <w:tc>
          <w:tcPr>
            <w:tcW w:w="12950" w:type="dxa"/>
            <w:gridSpan w:val="3"/>
          </w:tcPr>
          <w:p w14:paraId="31A491A4" w14:textId="77777777" w:rsidR="006C773F" w:rsidRPr="009A27ED" w:rsidRDefault="006C773F" w:rsidP="004D2848">
            <w:pPr>
              <w:rPr>
                <w:sz w:val="20"/>
                <w:szCs w:val="20"/>
              </w:rPr>
            </w:pPr>
            <w:r w:rsidRPr="009A27ED">
              <w:rPr>
                <w:b/>
                <w:sz w:val="20"/>
                <w:szCs w:val="20"/>
              </w:rPr>
              <w:lastRenderedPageBreak/>
              <w:t>Fundamento Legal</w:t>
            </w:r>
            <w:r w:rsidRPr="009A27ED">
              <w:rPr>
                <w:sz w:val="20"/>
                <w:szCs w:val="20"/>
              </w:rPr>
              <w:t xml:space="preserve"> </w:t>
            </w:r>
          </w:p>
          <w:p w14:paraId="1173FDF3" w14:textId="63BDFF4A" w:rsidR="006C773F" w:rsidRPr="009A27ED" w:rsidRDefault="006C773F" w:rsidP="004D2848">
            <w:pPr>
              <w:rPr>
                <w:b/>
                <w:color w:val="000000" w:themeColor="text1"/>
                <w:sz w:val="20"/>
                <w:szCs w:val="20"/>
              </w:rPr>
            </w:pPr>
            <w:r w:rsidRPr="009A27ED">
              <w:rPr>
                <w:sz w:val="20"/>
                <w:szCs w:val="20"/>
              </w:rPr>
              <w:t xml:space="preserve">El Consejo Dominicano del Café (CODOCAFE) fue creado el 3 de abril del año 2000, en virtud del Decreto No. 154-00, emitido por el </w:t>
            </w:r>
            <w:r w:rsidR="00E921C2" w:rsidRPr="009A27ED">
              <w:rPr>
                <w:sz w:val="20"/>
                <w:szCs w:val="20"/>
              </w:rPr>
              <w:t>presidente</w:t>
            </w:r>
            <w:r w:rsidRPr="009A27ED">
              <w:rPr>
                <w:sz w:val="20"/>
                <w:szCs w:val="20"/>
              </w:rPr>
              <w:t xml:space="preserve"> Constitucional de la República, Dr. Leonel Fernández Reyna. Posteriormente, este decreto fue ratificado por la Ley No. 79-00, de fecha 25 de septiembre del año 2000, la cual constituye actualmente la base legal fundamental del Consejo. Mediante la ley 246-17, de fecha 5 de diciembre 2017 el INDOCAFÉ pasó a ser el Instituto Dominicano del Café (INDOCAFÉ). El Consejo, en su 98 o período de sesiones en septiembre de 2007, aprobó la Resolución Número 431, por la cual se adopta el texto del Acuerdo Internacional del Café de 2007. En el presente documento figura el texto final del Acuerdo de 2007. </w:t>
            </w:r>
          </w:p>
        </w:tc>
      </w:tr>
      <w:tr w:rsidR="006C773F" w:rsidRPr="009A27ED" w14:paraId="712DAD9D" w14:textId="77777777" w:rsidTr="004D2848">
        <w:tc>
          <w:tcPr>
            <w:tcW w:w="12950" w:type="dxa"/>
            <w:gridSpan w:val="3"/>
          </w:tcPr>
          <w:p w14:paraId="5DCE1B6F" w14:textId="77777777" w:rsidR="006C773F" w:rsidRPr="009A27ED" w:rsidRDefault="006C773F" w:rsidP="004D2848">
            <w:pPr>
              <w:rPr>
                <w:b/>
                <w:sz w:val="20"/>
                <w:szCs w:val="20"/>
              </w:rPr>
            </w:pPr>
            <w:r w:rsidRPr="009A27ED">
              <w:rPr>
                <w:b/>
                <w:sz w:val="20"/>
                <w:szCs w:val="20"/>
              </w:rPr>
              <w:t>Objetivo</w:t>
            </w:r>
          </w:p>
          <w:p w14:paraId="46FF4AA3" w14:textId="77777777" w:rsidR="006C773F" w:rsidRPr="009A27ED" w:rsidRDefault="006C773F" w:rsidP="004D2848">
            <w:pPr>
              <w:numPr>
                <w:ilvl w:val="0"/>
                <w:numId w:val="85"/>
              </w:numPr>
              <w:contextualSpacing/>
              <w:rPr>
                <w:sz w:val="20"/>
                <w:szCs w:val="20"/>
              </w:rPr>
            </w:pPr>
            <w:r w:rsidRPr="009A27ED">
              <w:rPr>
                <w:sz w:val="20"/>
                <w:szCs w:val="20"/>
              </w:rPr>
              <w:t xml:space="preserve">Fomentar la siembra de café de calidad, </w:t>
            </w:r>
            <w:proofErr w:type="gramStart"/>
            <w:r w:rsidRPr="009A27ED">
              <w:rPr>
                <w:sz w:val="20"/>
                <w:szCs w:val="20"/>
              </w:rPr>
              <w:t>de acuerdo a</w:t>
            </w:r>
            <w:proofErr w:type="gramEnd"/>
            <w:r w:rsidRPr="009A27ED">
              <w:rPr>
                <w:sz w:val="20"/>
                <w:szCs w:val="20"/>
              </w:rPr>
              <w:t xml:space="preserve"> las normas y exigencias contemporáneas de siembra, cuidado y cosecha, </w:t>
            </w:r>
          </w:p>
          <w:p w14:paraId="4ADF3CD6" w14:textId="77777777" w:rsidR="006C773F" w:rsidRPr="009A27ED" w:rsidRDefault="006C773F" w:rsidP="004D2848">
            <w:pPr>
              <w:numPr>
                <w:ilvl w:val="0"/>
                <w:numId w:val="85"/>
              </w:numPr>
              <w:contextualSpacing/>
              <w:rPr>
                <w:sz w:val="20"/>
                <w:szCs w:val="20"/>
              </w:rPr>
            </w:pPr>
            <w:r w:rsidRPr="009A27ED">
              <w:rPr>
                <w:sz w:val="20"/>
                <w:szCs w:val="20"/>
              </w:rPr>
              <w:t>Asesorar al productor cafetalero en materia de manejo del cultivo y seguimiento, a través de la capacitación constante, impulsado el cumplimiento de buenas prácticas en la aplicación de controles exigidos por organismos nacionales e internacionales.</w:t>
            </w:r>
          </w:p>
        </w:tc>
      </w:tr>
      <w:tr w:rsidR="006C773F" w:rsidRPr="009A27ED" w14:paraId="1A66996B" w14:textId="77777777" w:rsidTr="004D2848">
        <w:tc>
          <w:tcPr>
            <w:tcW w:w="4316" w:type="dxa"/>
          </w:tcPr>
          <w:p w14:paraId="006A5201" w14:textId="77777777" w:rsidR="006C773F" w:rsidRPr="009A27ED" w:rsidRDefault="006C773F" w:rsidP="004D2848">
            <w:pPr>
              <w:rPr>
                <w:b/>
                <w:sz w:val="20"/>
                <w:szCs w:val="20"/>
              </w:rPr>
            </w:pPr>
            <w:r w:rsidRPr="009A27ED">
              <w:rPr>
                <w:b/>
                <w:sz w:val="20"/>
                <w:szCs w:val="20"/>
              </w:rPr>
              <w:t>Funcionamiento</w:t>
            </w:r>
          </w:p>
          <w:p w14:paraId="09D8AE7C" w14:textId="77777777" w:rsidR="006C773F" w:rsidRPr="009A27ED" w:rsidRDefault="006C773F" w:rsidP="004D2848">
            <w:pPr>
              <w:rPr>
                <w:sz w:val="20"/>
                <w:szCs w:val="20"/>
              </w:rPr>
            </w:pPr>
            <w:r w:rsidRPr="009A27ED">
              <w:rPr>
                <w:sz w:val="20"/>
                <w:szCs w:val="20"/>
              </w:rPr>
              <w:t>La parte operativa del INDOCAFÉ está dirigida por una Junta Directiva, dirección ejecutiva, asesores, encargados departamentales, divisiones regionales, divisiones provinciales verificadores de campo, inspectores de productos, investigación, tecnología entre otras.</w:t>
            </w:r>
          </w:p>
        </w:tc>
        <w:tc>
          <w:tcPr>
            <w:tcW w:w="4317" w:type="dxa"/>
          </w:tcPr>
          <w:p w14:paraId="58AA6E6A" w14:textId="77777777" w:rsidR="006C773F" w:rsidRPr="009A27ED" w:rsidRDefault="006C773F" w:rsidP="004D2848">
            <w:pPr>
              <w:rPr>
                <w:b/>
                <w:sz w:val="20"/>
                <w:szCs w:val="20"/>
              </w:rPr>
            </w:pPr>
            <w:r w:rsidRPr="009A27ED">
              <w:rPr>
                <w:b/>
                <w:sz w:val="20"/>
                <w:szCs w:val="20"/>
              </w:rPr>
              <w:t>Entidad Ejecutora</w:t>
            </w:r>
          </w:p>
          <w:p w14:paraId="1D5AB3A9" w14:textId="77777777" w:rsidR="006C773F" w:rsidRPr="009A27ED" w:rsidRDefault="006C773F" w:rsidP="004D2848">
            <w:pPr>
              <w:rPr>
                <w:b/>
                <w:color w:val="000000" w:themeColor="text1"/>
                <w:sz w:val="20"/>
                <w:szCs w:val="20"/>
              </w:rPr>
            </w:pPr>
            <w:r w:rsidRPr="009A27ED">
              <w:rPr>
                <w:sz w:val="20"/>
                <w:szCs w:val="20"/>
                <w:shd w:val="clear" w:color="auto" w:fill="FFFFFF"/>
                <w:lang w:eastAsia="es-ES"/>
              </w:rPr>
              <w:t>Instituto Dominicano del Café (</w:t>
            </w:r>
            <w:r w:rsidRPr="009A27ED">
              <w:rPr>
                <w:sz w:val="20"/>
                <w:szCs w:val="20"/>
              </w:rPr>
              <w:t>INDOCAFE), adscrito al Ministerio de Agricultura</w:t>
            </w:r>
          </w:p>
        </w:tc>
        <w:tc>
          <w:tcPr>
            <w:tcW w:w="4317" w:type="dxa"/>
          </w:tcPr>
          <w:p w14:paraId="3BAB1FC7" w14:textId="77777777" w:rsidR="006C773F" w:rsidRPr="009A27ED" w:rsidRDefault="006C773F" w:rsidP="004D2848">
            <w:pPr>
              <w:rPr>
                <w:b/>
                <w:sz w:val="20"/>
                <w:szCs w:val="20"/>
              </w:rPr>
            </w:pPr>
            <w:r w:rsidRPr="009A27ED">
              <w:rPr>
                <w:b/>
                <w:sz w:val="20"/>
                <w:szCs w:val="20"/>
              </w:rPr>
              <w:t>Gobernanza</w:t>
            </w:r>
          </w:p>
          <w:p w14:paraId="2EEEF6C7" w14:textId="57F925B9" w:rsidR="006C773F" w:rsidRPr="009A27ED" w:rsidRDefault="006C773F" w:rsidP="004D2848">
            <w:pPr>
              <w:rPr>
                <w:sz w:val="20"/>
                <w:szCs w:val="20"/>
              </w:rPr>
            </w:pPr>
            <w:r w:rsidRPr="009A27ED">
              <w:rPr>
                <w:sz w:val="20"/>
                <w:szCs w:val="20"/>
              </w:rPr>
              <w:t xml:space="preserve">Existe una Junta de </w:t>
            </w:r>
            <w:r w:rsidR="00E921C2" w:rsidRPr="009A27ED">
              <w:rPr>
                <w:sz w:val="20"/>
                <w:szCs w:val="20"/>
              </w:rPr>
              <w:t>directores</w:t>
            </w:r>
            <w:r w:rsidRPr="009A27ED">
              <w:rPr>
                <w:sz w:val="20"/>
                <w:szCs w:val="20"/>
              </w:rPr>
              <w:t xml:space="preserve"> formada por 18 miembros, 10 de los cuales pertenecen a organizaciones de productores, 4 instituciones del Estado y 4 del Sector Privado. </w:t>
            </w:r>
          </w:p>
          <w:p w14:paraId="207DEFD6" w14:textId="77777777" w:rsidR="006C773F" w:rsidRPr="009A27ED" w:rsidRDefault="006C773F" w:rsidP="004D2848">
            <w:pPr>
              <w:autoSpaceDE w:val="0"/>
              <w:autoSpaceDN w:val="0"/>
              <w:adjustRightInd w:val="0"/>
              <w:rPr>
                <w:rFonts w:eastAsia="Times New Roman"/>
                <w:b/>
                <w:color w:val="000000" w:themeColor="text1"/>
                <w:sz w:val="20"/>
                <w:szCs w:val="20"/>
              </w:rPr>
            </w:pPr>
          </w:p>
        </w:tc>
      </w:tr>
      <w:tr w:rsidR="006C773F" w:rsidRPr="009A27ED" w14:paraId="799C3534" w14:textId="77777777" w:rsidTr="004D2848">
        <w:tc>
          <w:tcPr>
            <w:tcW w:w="4316" w:type="dxa"/>
          </w:tcPr>
          <w:p w14:paraId="6D186BF2" w14:textId="77777777" w:rsidR="006C773F" w:rsidRPr="009A27ED" w:rsidRDefault="006C773F" w:rsidP="004D2848">
            <w:pPr>
              <w:rPr>
                <w:b/>
                <w:sz w:val="20"/>
                <w:szCs w:val="20"/>
              </w:rPr>
            </w:pPr>
            <w:r w:rsidRPr="009A27ED">
              <w:rPr>
                <w:b/>
                <w:sz w:val="20"/>
                <w:szCs w:val="20"/>
              </w:rPr>
              <w:t>Fuente de recursos</w:t>
            </w:r>
          </w:p>
          <w:p w14:paraId="5CF20717" w14:textId="77777777" w:rsidR="006C773F" w:rsidRPr="009A27ED" w:rsidRDefault="006C773F" w:rsidP="004D2848">
            <w:pPr>
              <w:rPr>
                <w:sz w:val="20"/>
                <w:szCs w:val="20"/>
              </w:rPr>
            </w:pPr>
            <w:r w:rsidRPr="009A27ED">
              <w:rPr>
                <w:sz w:val="20"/>
                <w:szCs w:val="20"/>
              </w:rPr>
              <w:t>Provienen del Estado Dominicano, mediante el Fondo Especiales para el Desarrollo Agropecuario y donaciones internaciones para la implementación de proyectos modelos.</w:t>
            </w:r>
          </w:p>
          <w:p w14:paraId="4C06F803" w14:textId="77777777" w:rsidR="006C773F" w:rsidRPr="009A27ED" w:rsidRDefault="006C773F" w:rsidP="004D2848">
            <w:pPr>
              <w:autoSpaceDE w:val="0"/>
              <w:autoSpaceDN w:val="0"/>
              <w:adjustRightInd w:val="0"/>
              <w:rPr>
                <w:rFonts w:eastAsia="Times New Roman"/>
                <w:b/>
                <w:color w:val="000000" w:themeColor="text1"/>
                <w:sz w:val="20"/>
                <w:szCs w:val="20"/>
              </w:rPr>
            </w:pPr>
          </w:p>
        </w:tc>
        <w:tc>
          <w:tcPr>
            <w:tcW w:w="4317" w:type="dxa"/>
          </w:tcPr>
          <w:p w14:paraId="42657231" w14:textId="77777777" w:rsidR="006C773F" w:rsidRPr="009A27ED" w:rsidRDefault="006C773F" w:rsidP="004D2848">
            <w:pPr>
              <w:rPr>
                <w:b/>
                <w:sz w:val="20"/>
                <w:szCs w:val="20"/>
              </w:rPr>
            </w:pPr>
            <w:r w:rsidRPr="009A27ED">
              <w:rPr>
                <w:b/>
                <w:sz w:val="20"/>
                <w:szCs w:val="20"/>
              </w:rPr>
              <w:t>Actividades apoyadas</w:t>
            </w:r>
          </w:p>
          <w:p w14:paraId="48DA993E" w14:textId="77777777" w:rsidR="006C773F" w:rsidRPr="009A27ED" w:rsidRDefault="006C773F" w:rsidP="004D2848">
            <w:pPr>
              <w:numPr>
                <w:ilvl w:val="0"/>
                <w:numId w:val="86"/>
              </w:numPr>
              <w:contextualSpacing/>
              <w:rPr>
                <w:sz w:val="20"/>
                <w:szCs w:val="20"/>
              </w:rPr>
            </w:pPr>
            <w:r w:rsidRPr="009A27ED">
              <w:rPr>
                <w:sz w:val="20"/>
                <w:szCs w:val="20"/>
              </w:rPr>
              <w:t>Manejo de plagas y enfermedades en el cultivo del café.</w:t>
            </w:r>
          </w:p>
          <w:p w14:paraId="0535B864" w14:textId="77777777" w:rsidR="006C773F" w:rsidRPr="009A27ED" w:rsidRDefault="006C773F" w:rsidP="004D2848">
            <w:pPr>
              <w:numPr>
                <w:ilvl w:val="0"/>
                <w:numId w:val="86"/>
              </w:numPr>
              <w:contextualSpacing/>
              <w:rPr>
                <w:sz w:val="20"/>
                <w:szCs w:val="20"/>
              </w:rPr>
            </w:pPr>
            <w:r w:rsidRPr="009A27ED">
              <w:rPr>
                <w:sz w:val="20"/>
                <w:szCs w:val="20"/>
              </w:rPr>
              <w:t>Investigaciones vinculadas a la producción, procesamiento y comercialización de café.</w:t>
            </w:r>
          </w:p>
          <w:p w14:paraId="78EF9823" w14:textId="77777777" w:rsidR="006C773F" w:rsidRPr="009A27ED" w:rsidRDefault="006C773F" w:rsidP="004D2848">
            <w:pPr>
              <w:numPr>
                <w:ilvl w:val="0"/>
                <w:numId w:val="86"/>
              </w:numPr>
              <w:contextualSpacing/>
              <w:rPr>
                <w:sz w:val="20"/>
                <w:szCs w:val="20"/>
              </w:rPr>
            </w:pPr>
            <w:r w:rsidRPr="009A27ED">
              <w:rPr>
                <w:sz w:val="20"/>
                <w:szCs w:val="20"/>
              </w:rPr>
              <w:t>Rehabilitación de caminos en zonas cafetaleras.</w:t>
            </w:r>
          </w:p>
          <w:p w14:paraId="1AAC5F51" w14:textId="77777777" w:rsidR="006C773F" w:rsidRPr="009A27ED" w:rsidRDefault="006C773F" w:rsidP="004D2848">
            <w:pPr>
              <w:numPr>
                <w:ilvl w:val="0"/>
                <w:numId w:val="86"/>
              </w:numPr>
              <w:contextualSpacing/>
              <w:rPr>
                <w:sz w:val="20"/>
                <w:szCs w:val="20"/>
              </w:rPr>
            </w:pPr>
            <w:r w:rsidRPr="009A27ED">
              <w:rPr>
                <w:sz w:val="20"/>
                <w:szCs w:val="20"/>
              </w:rPr>
              <w:t>Reforma, modernización y fortalecimiento interinstitucional.</w:t>
            </w:r>
          </w:p>
          <w:p w14:paraId="61D16FC7" w14:textId="77777777" w:rsidR="006C773F" w:rsidRPr="009A27ED" w:rsidRDefault="006C773F" w:rsidP="004D2848">
            <w:pPr>
              <w:numPr>
                <w:ilvl w:val="0"/>
                <w:numId w:val="86"/>
              </w:numPr>
              <w:contextualSpacing/>
              <w:rPr>
                <w:sz w:val="20"/>
                <w:szCs w:val="20"/>
              </w:rPr>
            </w:pPr>
            <w:r w:rsidRPr="009A27ED">
              <w:rPr>
                <w:sz w:val="20"/>
                <w:szCs w:val="20"/>
              </w:rPr>
              <w:t>Planificación y gestión de proyectos</w:t>
            </w:r>
          </w:p>
          <w:p w14:paraId="3ABA1ED4" w14:textId="77777777" w:rsidR="006C773F" w:rsidRPr="009A27ED" w:rsidRDefault="006C773F" w:rsidP="004D2848">
            <w:pPr>
              <w:numPr>
                <w:ilvl w:val="0"/>
                <w:numId w:val="86"/>
              </w:numPr>
              <w:contextualSpacing/>
              <w:rPr>
                <w:sz w:val="20"/>
                <w:szCs w:val="20"/>
              </w:rPr>
            </w:pPr>
            <w:r w:rsidRPr="009A27ED">
              <w:rPr>
                <w:sz w:val="20"/>
                <w:szCs w:val="20"/>
              </w:rPr>
              <w:t>Capacitación y extensión a los caficultores.</w:t>
            </w:r>
          </w:p>
          <w:p w14:paraId="113D7652" w14:textId="77777777" w:rsidR="006C773F" w:rsidRPr="009A27ED" w:rsidRDefault="006C773F" w:rsidP="004D2848">
            <w:pPr>
              <w:numPr>
                <w:ilvl w:val="0"/>
                <w:numId w:val="86"/>
              </w:numPr>
              <w:contextualSpacing/>
              <w:rPr>
                <w:sz w:val="20"/>
                <w:szCs w:val="20"/>
              </w:rPr>
            </w:pPr>
            <w:r w:rsidRPr="009A27ED">
              <w:rPr>
                <w:sz w:val="20"/>
                <w:szCs w:val="20"/>
              </w:rPr>
              <w:t xml:space="preserve">Certificación de productos (café diferenciado protegido bajo el sello de una Denominación). </w:t>
            </w:r>
          </w:p>
          <w:p w14:paraId="7DF0F051" w14:textId="77777777" w:rsidR="006C773F" w:rsidRPr="009A27ED" w:rsidRDefault="006C773F" w:rsidP="004D2848">
            <w:pPr>
              <w:numPr>
                <w:ilvl w:val="0"/>
                <w:numId w:val="86"/>
              </w:numPr>
              <w:contextualSpacing/>
              <w:rPr>
                <w:sz w:val="20"/>
                <w:szCs w:val="20"/>
              </w:rPr>
            </w:pPr>
            <w:r w:rsidRPr="009A27ED">
              <w:rPr>
                <w:sz w:val="20"/>
                <w:szCs w:val="20"/>
              </w:rPr>
              <w:t>Instalación de 32 estructuras apropiadas para la producción de plántulas.</w:t>
            </w:r>
          </w:p>
          <w:p w14:paraId="1F404D09" w14:textId="77777777" w:rsidR="006C773F" w:rsidRPr="009A27ED" w:rsidRDefault="006C773F" w:rsidP="004D2848">
            <w:pPr>
              <w:numPr>
                <w:ilvl w:val="0"/>
                <w:numId w:val="86"/>
              </w:numPr>
              <w:contextualSpacing/>
              <w:rPr>
                <w:sz w:val="20"/>
                <w:szCs w:val="20"/>
              </w:rPr>
            </w:pPr>
            <w:r w:rsidRPr="009A27ED">
              <w:rPr>
                <w:sz w:val="20"/>
                <w:szCs w:val="20"/>
              </w:rPr>
              <w:lastRenderedPageBreak/>
              <w:t>Intervención de 102,077 tareas de café con la aspersión de productos para el control de la Roya</w:t>
            </w:r>
          </w:p>
          <w:p w14:paraId="00D8249F" w14:textId="77777777" w:rsidR="006C773F" w:rsidRPr="009A27ED" w:rsidRDefault="006C773F" w:rsidP="004D2848">
            <w:pPr>
              <w:numPr>
                <w:ilvl w:val="0"/>
                <w:numId w:val="86"/>
              </w:numPr>
              <w:contextualSpacing/>
              <w:rPr>
                <w:b/>
                <w:sz w:val="20"/>
                <w:szCs w:val="20"/>
              </w:rPr>
            </w:pPr>
            <w:r w:rsidRPr="009A27ED">
              <w:rPr>
                <w:sz w:val="20"/>
                <w:szCs w:val="20"/>
              </w:rPr>
              <w:t>114,135 tareas con la instalación de trampas para el control de la Broca del Café</w:t>
            </w:r>
          </w:p>
          <w:p w14:paraId="7F018CC6" w14:textId="77777777" w:rsidR="006C773F" w:rsidRPr="009A27ED" w:rsidRDefault="006C773F" w:rsidP="004D2848">
            <w:pPr>
              <w:rPr>
                <w:b/>
                <w:color w:val="000000" w:themeColor="text1"/>
                <w:sz w:val="20"/>
                <w:szCs w:val="20"/>
              </w:rPr>
            </w:pPr>
          </w:p>
        </w:tc>
        <w:tc>
          <w:tcPr>
            <w:tcW w:w="4317" w:type="dxa"/>
          </w:tcPr>
          <w:p w14:paraId="79827DCA" w14:textId="77777777" w:rsidR="006C773F" w:rsidRPr="009A27ED" w:rsidRDefault="006C773F" w:rsidP="004D2848">
            <w:pPr>
              <w:rPr>
                <w:b/>
                <w:sz w:val="20"/>
                <w:szCs w:val="20"/>
              </w:rPr>
            </w:pPr>
            <w:r w:rsidRPr="009A27ED">
              <w:rPr>
                <w:b/>
                <w:sz w:val="20"/>
                <w:szCs w:val="20"/>
              </w:rPr>
              <w:lastRenderedPageBreak/>
              <w:t xml:space="preserve">Principales resultados </w:t>
            </w:r>
          </w:p>
          <w:p w14:paraId="1E20AF7D" w14:textId="77777777" w:rsidR="006C773F" w:rsidRPr="009A27ED" w:rsidRDefault="006C773F" w:rsidP="004D2848">
            <w:pPr>
              <w:numPr>
                <w:ilvl w:val="0"/>
                <w:numId w:val="92"/>
              </w:numPr>
              <w:autoSpaceDE w:val="0"/>
              <w:autoSpaceDN w:val="0"/>
              <w:adjustRightInd w:val="0"/>
              <w:rPr>
                <w:rFonts w:eastAsia="Times New Roman"/>
                <w:color w:val="000000" w:themeColor="text1"/>
                <w:sz w:val="20"/>
                <w:szCs w:val="20"/>
              </w:rPr>
            </w:pPr>
            <w:r w:rsidRPr="009A27ED">
              <w:rPr>
                <w:rFonts w:eastAsia="Times New Roman"/>
                <w:color w:val="000000" w:themeColor="text1"/>
                <w:sz w:val="20"/>
                <w:szCs w:val="20"/>
              </w:rPr>
              <w:t>Producción de plantas de café en el 2016 de 23,048,868 plántulas.</w:t>
            </w:r>
          </w:p>
          <w:p w14:paraId="66F900AF" w14:textId="77777777" w:rsidR="006C773F" w:rsidRPr="009A27ED" w:rsidRDefault="006C773F" w:rsidP="004D2848">
            <w:pPr>
              <w:numPr>
                <w:ilvl w:val="0"/>
                <w:numId w:val="92"/>
              </w:numPr>
              <w:autoSpaceDE w:val="0"/>
              <w:autoSpaceDN w:val="0"/>
              <w:adjustRightInd w:val="0"/>
              <w:rPr>
                <w:rFonts w:eastAsia="Times New Roman"/>
                <w:color w:val="000000" w:themeColor="text1"/>
                <w:sz w:val="20"/>
                <w:szCs w:val="20"/>
              </w:rPr>
            </w:pPr>
            <w:r w:rsidRPr="009A27ED">
              <w:rPr>
                <w:rFonts w:eastAsia="Times New Roman"/>
                <w:color w:val="000000" w:themeColor="text1"/>
                <w:sz w:val="20"/>
                <w:szCs w:val="20"/>
              </w:rPr>
              <w:t>Durante el año 2016, se han renovado 70,087 tareas y fomentado de 9,006 tareas, para un total de 79,093 tareas intervenidas, beneficiando a unos 4,045productores(as). Esto representa una inversión aproximada de RD$601.10 millones, a un costo estimado de RD$7,600 por tarea financiadas por el Fondo.</w:t>
            </w:r>
          </w:p>
        </w:tc>
      </w:tr>
    </w:tbl>
    <w:p w14:paraId="3F95F01F" w14:textId="77777777" w:rsidR="006C773F" w:rsidRPr="009A27ED" w:rsidRDefault="006C773F" w:rsidP="00615080">
      <w:pPr>
        <w:spacing w:after="0" w:line="360" w:lineRule="auto"/>
        <w:contextualSpacing/>
        <w:rPr>
          <w:rFonts w:cstheme="minorBidi"/>
          <w:b/>
          <w:color w:val="ED7D31" w:themeColor="accent2"/>
          <w:sz w:val="20"/>
          <w:szCs w:val="20"/>
        </w:rPr>
      </w:pPr>
    </w:p>
    <w:tbl>
      <w:tblPr>
        <w:tblStyle w:val="Tablaconcuadrcula"/>
        <w:tblW w:w="0" w:type="auto"/>
        <w:tblLook w:val="04A0" w:firstRow="1" w:lastRow="0" w:firstColumn="1" w:lastColumn="0" w:noHBand="0" w:noVBand="1"/>
      </w:tblPr>
      <w:tblGrid>
        <w:gridCol w:w="4316"/>
        <w:gridCol w:w="4317"/>
        <w:gridCol w:w="4317"/>
      </w:tblGrid>
      <w:tr w:rsidR="006C773F" w:rsidRPr="009A27ED" w14:paraId="332694A1" w14:textId="77777777" w:rsidTr="00C97A18">
        <w:tc>
          <w:tcPr>
            <w:tcW w:w="12950" w:type="dxa"/>
            <w:gridSpan w:val="3"/>
            <w:shd w:val="clear" w:color="auto" w:fill="auto"/>
          </w:tcPr>
          <w:p w14:paraId="574953F4" w14:textId="363BBA28" w:rsidR="006C773F" w:rsidRPr="009A27ED" w:rsidRDefault="006C773F" w:rsidP="004D2848">
            <w:pPr>
              <w:spacing w:after="0"/>
              <w:jc w:val="left"/>
              <w:outlineLvl w:val="2"/>
              <w:rPr>
                <w:rFonts w:eastAsiaTheme="majorEastAsia"/>
                <w:b/>
                <w:color w:val="FFFFFF" w:themeColor="background1"/>
                <w:sz w:val="28"/>
                <w:szCs w:val="28"/>
                <w:lang w:val="es-DO"/>
              </w:rPr>
            </w:pPr>
            <w:bookmarkStart w:id="102" w:name="_Toc111837923"/>
            <w:r w:rsidRPr="009A27ED">
              <w:rPr>
                <w:rFonts w:eastAsiaTheme="majorEastAsia"/>
                <w:b/>
                <w:color w:val="FFFFFF" w:themeColor="background1"/>
                <w:sz w:val="28"/>
                <w:szCs w:val="28"/>
                <w:lang w:val="es-DO"/>
              </w:rPr>
              <w:t>5. Sistema Agroforestal con cacao bajo sombra (CACAO) - Ministerio de Agricultura, Departamento de Cacao – Oficinas provinciales, regionales y en la plataforma del Ministerio de Agricultura -</w:t>
            </w:r>
            <w:bookmarkEnd w:id="102"/>
            <w:r w:rsidRPr="009A27ED">
              <w:rPr>
                <w:rFonts w:eastAsiaTheme="majorEastAsia"/>
                <w:b/>
                <w:color w:val="FFFFFF" w:themeColor="background1"/>
                <w:sz w:val="28"/>
                <w:szCs w:val="28"/>
                <w:lang w:val="es-DO"/>
              </w:rPr>
              <w:t xml:space="preserve"> </w:t>
            </w:r>
          </w:p>
        </w:tc>
      </w:tr>
      <w:tr w:rsidR="006C773F" w:rsidRPr="009A27ED" w14:paraId="084808F4" w14:textId="77777777" w:rsidTr="004D2848">
        <w:tc>
          <w:tcPr>
            <w:tcW w:w="12950" w:type="dxa"/>
            <w:gridSpan w:val="3"/>
          </w:tcPr>
          <w:p w14:paraId="2E7C5385" w14:textId="77777777" w:rsidR="006C773F" w:rsidRPr="009A27ED" w:rsidRDefault="006C773F" w:rsidP="004D2848">
            <w:pPr>
              <w:spacing w:after="0"/>
              <w:rPr>
                <w:b/>
                <w:color w:val="000000" w:themeColor="text1"/>
                <w:sz w:val="20"/>
                <w:szCs w:val="20"/>
              </w:rPr>
            </w:pPr>
            <w:r w:rsidRPr="009A27ED">
              <w:rPr>
                <w:b/>
                <w:color w:val="000000" w:themeColor="text1"/>
                <w:sz w:val="20"/>
                <w:szCs w:val="20"/>
              </w:rPr>
              <w:t>Descripción del Plan</w:t>
            </w:r>
          </w:p>
          <w:p w14:paraId="729CE69D" w14:textId="77777777" w:rsidR="006C773F" w:rsidRPr="009A27ED" w:rsidRDefault="006C773F" w:rsidP="004D2848">
            <w:pPr>
              <w:spacing w:after="0"/>
              <w:rPr>
                <w:b/>
                <w:color w:val="2F5496" w:themeColor="accent5" w:themeShade="BF"/>
                <w:sz w:val="20"/>
                <w:szCs w:val="20"/>
              </w:rPr>
            </w:pPr>
            <w:r w:rsidRPr="009A27ED">
              <w:rPr>
                <w:sz w:val="20"/>
                <w:szCs w:val="20"/>
              </w:rPr>
              <w:t>Similar al café bajo sombra, la estructura de los cacaotales dominicanos es bastante variable, tanto en la densidad como en el área basal del cultivo principal y de los árboles y otras leñosas en el dosel de sombra. El promedio de árboles de cacao es de 775 árboles/ha; la mayoría con diámetros de tronco de 5-10 cm y 10-15 cm. Los árboles de cacao que ocupan más espacio son aquellos con diámetros entre 15-20 cm (reflejado por su área basal). En el dosel, los árboles de sombra (árboles maderables, frutales, palmas, arbustos) tienen una densidad promedio de 172 árboles/ha. Los árboles que tienen diámetros de tronco mayores a 35 cm son aquellos que tienen más abundancia y ocupan la mayor parte del sistema. Los datos de área basal indican que los árboles de cacao y los árboles de sombra en total registran un promedio de 27.5 m2/</w:t>
            </w:r>
            <w:proofErr w:type="spellStart"/>
            <w:r w:rsidRPr="009A27ED">
              <w:rPr>
                <w:sz w:val="20"/>
                <w:szCs w:val="20"/>
              </w:rPr>
              <w:t>ha</w:t>
            </w:r>
            <w:proofErr w:type="spellEnd"/>
            <w:r w:rsidRPr="009A27ED">
              <w:rPr>
                <w:sz w:val="20"/>
                <w:szCs w:val="20"/>
              </w:rPr>
              <w:t>, un 60% aportada por árboles de cacao y el resto por árboles del dosel En la estructura vertical, los árboles de cacao en promedio tienen 5 m de altura total, 4 m de diámetro de copa, y 15.6 m2 de área de copa; mientras que en los árboles de sombra la altura total promedio es de 13 m, con 7 m de diámetro de copa y 50 m2 de área de copa. Las especies más abundantes de árboles de sombra en los cacaotales son la amapola (</w:t>
            </w:r>
            <w:proofErr w:type="spellStart"/>
            <w:r w:rsidRPr="009A27ED">
              <w:rPr>
                <w:i/>
                <w:sz w:val="20"/>
                <w:szCs w:val="20"/>
              </w:rPr>
              <w:t>Erythrina</w:t>
            </w:r>
            <w:proofErr w:type="spellEnd"/>
            <w:r w:rsidRPr="009A27ED">
              <w:rPr>
                <w:i/>
                <w:sz w:val="20"/>
                <w:szCs w:val="20"/>
              </w:rPr>
              <w:t xml:space="preserve"> </w:t>
            </w:r>
            <w:proofErr w:type="spellStart"/>
            <w:r w:rsidRPr="009A27ED">
              <w:rPr>
                <w:i/>
                <w:sz w:val="20"/>
                <w:szCs w:val="20"/>
              </w:rPr>
              <w:t>poeppigiana</w:t>
            </w:r>
            <w:proofErr w:type="spellEnd"/>
            <w:r w:rsidRPr="009A27ED">
              <w:rPr>
                <w:sz w:val="20"/>
                <w:szCs w:val="20"/>
              </w:rPr>
              <w:t>), piñón cubano (</w:t>
            </w:r>
            <w:proofErr w:type="spellStart"/>
            <w:r w:rsidRPr="009A27ED">
              <w:rPr>
                <w:i/>
                <w:sz w:val="20"/>
                <w:szCs w:val="20"/>
              </w:rPr>
              <w:t>Gliricidia</w:t>
            </w:r>
            <w:proofErr w:type="spellEnd"/>
            <w:r w:rsidRPr="009A27ED">
              <w:rPr>
                <w:i/>
                <w:sz w:val="20"/>
                <w:szCs w:val="20"/>
              </w:rPr>
              <w:t xml:space="preserve"> </w:t>
            </w:r>
            <w:proofErr w:type="spellStart"/>
            <w:r w:rsidRPr="009A27ED">
              <w:rPr>
                <w:i/>
                <w:sz w:val="20"/>
                <w:szCs w:val="20"/>
              </w:rPr>
              <w:t>sepium</w:t>
            </w:r>
            <w:proofErr w:type="spellEnd"/>
            <w:r w:rsidRPr="009A27ED">
              <w:rPr>
                <w:sz w:val="20"/>
                <w:szCs w:val="20"/>
              </w:rPr>
              <w:t>) y aguacate (</w:t>
            </w:r>
            <w:proofErr w:type="spellStart"/>
            <w:r w:rsidRPr="009A27ED">
              <w:rPr>
                <w:i/>
                <w:sz w:val="20"/>
                <w:szCs w:val="20"/>
              </w:rPr>
              <w:t>Persea</w:t>
            </w:r>
            <w:proofErr w:type="spellEnd"/>
            <w:r w:rsidRPr="009A27ED">
              <w:rPr>
                <w:i/>
                <w:sz w:val="20"/>
                <w:szCs w:val="20"/>
              </w:rPr>
              <w:t xml:space="preserve"> americana</w:t>
            </w:r>
            <w:r w:rsidRPr="009A27ED">
              <w:rPr>
                <w:sz w:val="20"/>
                <w:szCs w:val="20"/>
              </w:rPr>
              <w:t>). Las plantaciones de cacao almacenan en promedio un total de 195.74 ton/ha de carbono entre todos sus componentes. Los componentes más importantes son el suelo que almacena el 65% del total, y la biomasa aérea con el 27%. Luego, las raíces contienen un 6%, mientras que la hojarasca y la madera muerta solo contienen el 3% del carbono total.</w:t>
            </w:r>
            <w:r w:rsidRPr="009A27ED">
              <w:rPr>
                <w:b/>
                <w:color w:val="000000" w:themeColor="text1"/>
                <w:sz w:val="20"/>
                <w:szCs w:val="20"/>
              </w:rPr>
              <w:t xml:space="preserve"> </w:t>
            </w:r>
          </w:p>
        </w:tc>
      </w:tr>
      <w:tr w:rsidR="006C773F" w:rsidRPr="009A27ED" w14:paraId="261B8843" w14:textId="77777777" w:rsidTr="004D2848">
        <w:tc>
          <w:tcPr>
            <w:tcW w:w="12950" w:type="dxa"/>
            <w:gridSpan w:val="3"/>
          </w:tcPr>
          <w:p w14:paraId="4E8C2C1E" w14:textId="77777777" w:rsidR="006C773F" w:rsidRPr="009A27ED" w:rsidRDefault="006C773F" w:rsidP="004D2848">
            <w:pPr>
              <w:spacing w:after="0"/>
              <w:rPr>
                <w:b/>
                <w:sz w:val="20"/>
                <w:szCs w:val="20"/>
              </w:rPr>
            </w:pPr>
            <w:r w:rsidRPr="009A27ED">
              <w:rPr>
                <w:b/>
                <w:sz w:val="20"/>
                <w:szCs w:val="20"/>
              </w:rPr>
              <w:t>Fundamento Legal</w:t>
            </w:r>
          </w:p>
          <w:p w14:paraId="72854C91" w14:textId="77777777" w:rsidR="006C773F" w:rsidRPr="009A27ED" w:rsidRDefault="006C773F" w:rsidP="004D2848">
            <w:pPr>
              <w:spacing w:after="0"/>
              <w:rPr>
                <w:b/>
                <w:color w:val="2F5496" w:themeColor="accent5" w:themeShade="BF"/>
                <w:sz w:val="20"/>
                <w:szCs w:val="20"/>
              </w:rPr>
            </w:pPr>
            <w:r w:rsidRPr="009A27ED">
              <w:rPr>
                <w:sz w:val="20"/>
                <w:szCs w:val="20"/>
              </w:rPr>
              <w:t>El Ministerio de Agricultura fue creado por la Ley 8 de 1965 (creado en su inicio como una Secretaría y luego designado Ministerio por el Decreto presidencial 56-10 del 2011)</w:t>
            </w:r>
            <w:r w:rsidRPr="009A27ED">
              <w:rPr>
                <w:b/>
                <w:color w:val="2F5496" w:themeColor="accent5" w:themeShade="BF"/>
                <w:sz w:val="20"/>
                <w:szCs w:val="20"/>
              </w:rPr>
              <w:t xml:space="preserve"> </w:t>
            </w:r>
          </w:p>
          <w:p w14:paraId="7ED7566D" w14:textId="77777777" w:rsidR="006C773F" w:rsidRPr="009A27ED" w:rsidRDefault="006C773F" w:rsidP="004D2848">
            <w:pPr>
              <w:spacing w:after="0"/>
              <w:rPr>
                <w:b/>
                <w:color w:val="2F5496" w:themeColor="accent5" w:themeShade="BF"/>
                <w:sz w:val="20"/>
                <w:szCs w:val="20"/>
              </w:rPr>
            </w:pPr>
          </w:p>
        </w:tc>
      </w:tr>
      <w:tr w:rsidR="006C773F" w:rsidRPr="009A27ED" w14:paraId="0DB3D62D" w14:textId="77777777" w:rsidTr="004D2848">
        <w:tc>
          <w:tcPr>
            <w:tcW w:w="12950" w:type="dxa"/>
            <w:gridSpan w:val="3"/>
          </w:tcPr>
          <w:p w14:paraId="09474524" w14:textId="77777777" w:rsidR="006C773F" w:rsidRPr="009A27ED" w:rsidRDefault="006C773F" w:rsidP="004D2848">
            <w:pPr>
              <w:spacing w:after="0"/>
              <w:rPr>
                <w:b/>
                <w:sz w:val="20"/>
                <w:szCs w:val="20"/>
              </w:rPr>
            </w:pPr>
            <w:r w:rsidRPr="009A27ED">
              <w:rPr>
                <w:b/>
                <w:sz w:val="20"/>
                <w:szCs w:val="20"/>
              </w:rPr>
              <w:t>Objetivos</w:t>
            </w:r>
          </w:p>
          <w:p w14:paraId="0E341E8B" w14:textId="77777777" w:rsidR="006C773F" w:rsidRPr="009A27ED" w:rsidRDefault="006C773F" w:rsidP="004D2848">
            <w:pPr>
              <w:numPr>
                <w:ilvl w:val="0"/>
                <w:numId w:val="88"/>
              </w:numPr>
              <w:spacing w:after="0"/>
              <w:contextualSpacing/>
              <w:rPr>
                <w:sz w:val="20"/>
                <w:szCs w:val="20"/>
              </w:rPr>
            </w:pPr>
            <w:r w:rsidRPr="009A27ED">
              <w:rPr>
                <w:sz w:val="20"/>
                <w:szCs w:val="20"/>
              </w:rPr>
              <w:t>Fomentar la producción de cacao a nivel nacional.</w:t>
            </w:r>
          </w:p>
          <w:p w14:paraId="00847146" w14:textId="77777777" w:rsidR="006C773F" w:rsidRPr="009A27ED" w:rsidRDefault="006C773F" w:rsidP="004D2848">
            <w:pPr>
              <w:numPr>
                <w:ilvl w:val="0"/>
                <w:numId w:val="88"/>
              </w:numPr>
              <w:spacing w:after="0"/>
              <w:contextualSpacing/>
              <w:rPr>
                <w:sz w:val="20"/>
                <w:szCs w:val="20"/>
              </w:rPr>
            </w:pPr>
            <w:r w:rsidRPr="009A27ED">
              <w:rPr>
                <w:sz w:val="20"/>
                <w:szCs w:val="20"/>
              </w:rPr>
              <w:t>Obtener semillas híbridas con características promisorias de alto rendimiento, resistentes a plagas y enfermedades, entre otras.</w:t>
            </w:r>
          </w:p>
          <w:p w14:paraId="73FA3570" w14:textId="77777777" w:rsidR="006C773F" w:rsidRPr="009A27ED" w:rsidRDefault="006C773F" w:rsidP="004D2848">
            <w:pPr>
              <w:numPr>
                <w:ilvl w:val="0"/>
                <w:numId w:val="88"/>
              </w:numPr>
              <w:spacing w:after="0"/>
              <w:contextualSpacing/>
              <w:rPr>
                <w:sz w:val="20"/>
                <w:szCs w:val="20"/>
              </w:rPr>
            </w:pPr>
            <w:r w:rsidRPr="009A27ED">
              <w:rPr>
                <w:sz w:val="20"/>
                <w:szCs w:val="20"/>
              </w:rPr>
              <w:t xml:space="preserve">Producir plántulas de buena calidad genética para suministrar a los productores. </w:t>
            </w:r>
          </w:p>
          <w:p w14:paraId="60E0ED91" w14:textId="77777777" w:rsidR="006C773F" w:rsidRPr="009A27ED" w:rsidRDefault="006C773F" w:rsidP="004D2848">
            <w:pPr>
              <w:numPr>
                <w:ilvl w:val="0"/>
                <w:numId w:val="88"/>
              </w:numPr>
              <w:spacing w:after="0"/>
              <w:contextualSpacing/>
              <w:rPr>
                <w:sz w:val="20"/>
                <w:szCs w:val="20"/>
              </w:rPr>
            </w:pPr>
            <w:r w:rsidRPr="009A27ED">
              <w:rPr>
                <w:sz w:val="20"/>
                <w:szCs w:val="20"/>
              </w:rPr>
              <w:t>Fortalecer el “Proyecto Jardín Clonal” que busca fortalecer la producción de material de siembra.</w:t>
            </w:r>
          </w:p>
          <w:p w14:paraId="3006BE00" w14:textId="77777777" w:rsidR="006C773F" w:rsidRPr="009A27ED" w:rsidRDefault="006C773F" w:rsidP="004D2848">
            <w:pPr>
              <w:numPr>
                <w:ilvl w:val="0"/>
                <w:numId w:val="88"/>
              </w:numPr>
              <w:spacing w:after="0"/>
              <w:contextualSpacing/>
              <w:rPr>
                <w:sz w:val="20"/>
                <w:szCs w:val="20"/>
              </w:rPr>
            </w:pPr>
            <w:r w:rsidRPr="009A27ED">
              <w:rPr>
                <w:sz w:val="20"/>
                <w:szCs w:val="20"/>
              </w:rPr>
              <w:t>Prestar asistencia técnica y formular recomendaciones sobre política de cacao en la República Dominicana.</w:t>
            </w:r>
          </w:p>
        </w:tc>
      </w:tr>
      <w:tr w:rsidR="006C773F" w:rsidRPr="009A27ED" w14:paraId="25A88597" w14:textId="77777777" w:rsidTr="004D2848">
        <w:tc>
          <w:tcPr>
            <w:tcW w:w="4316" w:type="dxa"/>
          </w:tcPr>
          <w:p w14:paraId="472C3D76" w14:textId="77777777" w:rsidR="006C773F" w:rsidRPr="009A27ED" w:rsidRDefault="006C773F" w:rsidP="004D2848">
            <w:pPr>
              <w:spacing w:after="0"/>
              <w:rPr>
                <w:b/>
                <w:sz w:val="20"/>
                <w:szCs w:val="20"/>
              </w:rPr>
            </w:pPr>
            <w:r w:rsidRPr="009A27ED">
              <w:rPr>
                <w:b/>
                <w:sz w:val="20"/>
                <w:szCs w:val="20"/>
              </w:rPr>
              <w:t>Funcionamiento</w:t>
            </w:r>
          </w:p>
          <w:p w14:paraId="073EABCA" w14:textId="77777777" w:rsidR="006C773F" w:rsidRPr="009A27ED" w:rsidRDefault="006C773F" w:rsidP="004D2848">
            <w:pPr>
              <w:spacing w:after="0"/>
              <w:rPr>
                <w:sz w:val="20"/>
                <w:szCs w:val="20"/>
              </w:rPr>
            </w:pPr>
            <w:r w:rsidRPr="009A27ED">
              <w:rPr>
                <w:sz w:val="20"/>
                <w:szCs w:val="20"/>
              </w:rPr>
              <w:lastRenderedPageBreak/>
              <w:t>El Departamento de Cacao tiene incidencia a nivel nacional y se apoya en las Direcciones Regionales y Zonas/Subzonas agrícolas. Sus labores en el campo están a cargo del personal técnico en cada Regional, Zona/Subzona.</w:t>
            </w:r>
          </w:p>
          <w:p w14:paraId="0A5128A5" w14:textId="77777777" w:rsidR="006C773F" w:rsidRPr="009A27ED" w:rsidRDefault="006C773F" w:rsidP="004D2848">
            <w:pPr>
              <w:spacing w:after="0"/>
              <w:rPr>
                <w:b/>
                <w:color w:val="000000" w:themeColor="text1"/>
                <w:sz w:val="20"/>
                <w:szCs w:val="20"/>
              </w:rPr>
            </w:pPr>
          </w:p>
        </w:tc>
        <w:tc>
          <w:tcPr>
            <w:tcW w:w="4317" w:type="dxa"/>
          </w:tcPr>
          <w:p w14:paraId="6691079F" w14:textId="77777777" w:rsidR="006C773F" w:rsidRPr="009A27ED" w:rsidRDefault="006C773F" w:rsidP="004D2848">
            <w:pPr>
              <w:spacing w:after="0"/>
              <w:rPr>
                <w:b/>
                <w:sz w:val="20"/>
                <w:szCs w:val="20"/>
              </w:rPr>
            </w:pPr>
            <w:r w:rsidRPr="009A27ED">
              <w:rPr>
                <w:b/>
                <w:sz w:val="20"/>
                <w:szCs w:val="20"/>
              </w:rPr>
              <w:lastRenderedPageBreak/>
              <w:t>Entidad Ejecutora</w:t>
            </w:r>
          </w:p>
          <w:p w14:paraId="64DE5C1D" w14:textId="77777777" w:rsidR="006C773F" w:rsidRPr="009A27ED" w:rsidRDefault="006C773F" w:rsidP="004D2848">
            <w:pPr>
              <w:spacing w:after="0"/>
              <w:rPr>
                <w:sz w:val="20"/>
                <w:szCs w:val="20"/>
              </w:rPr>
            </w:pPr>
            <w:r w:rsidRPr="009A27ED">
              <w:rPr>
                <w:sz w:val="20"/>
                <w:szCs w:val="20"/>
              </w:rPr>
              <w:t>Ministerio de Agricultura, Departamento del Cacao</w:t>
            </w:r>
          </w:p>
          <w:p w14:paraId="4180C051" w14:textId="77777777" w:rsidR="006C773F" w:rsidRPr="009A27ED" w:rsidRDefault="006C773F" w:rsidP="004D2848">
            <w:pPr>
              <w:spacing w:after="0"/>
              <w:rPr>
                <w:b/>
                <w:sz w:val="20"/>
                <w:szCs w:val="20"/>
              </w:rPr>
            </w:pPr>
          </w:p>
          <w:p w14:paraId="035EBFF7" w14:textId="77777777" w:rsidR="006C773F" w:rsidRPr="009A27ED" w:rsidRDefault="006C773F" w:rsidP="004D2848">
            <w:pPr>
              <w:spacing w:after="0"/>
              <w:ind w:left="720" w:hanging="360"/>
              <w:rPr>
                <w:b/>
                <w:color w:val="000000" w:themeColor="text1"/>
                <w:sz w:val="20"/>
                <w:szCs w:val="20"/>
              </w:rPr>
            </w:pPr>
          </w:p>
        </w:tc>
        <w:tc>
          <w:tcPr>
            <w:tcW w:w="4317" w:type="dxa"/>
          </w:tcPr>
          <w:p w14:paraId="64F726B8" w14:textId="77777777" w:rsidR="006C773F" w:rsidRPr="009A27ED" w:rsidRDefault="006C773F" w:rsidP="004D2848">
            <w:pPr>
              <w:spacing w:after="0"/>
              <w:rPr>
                <w:b/>
                <w:sz w:val="20"/>
                <w:szCs w:val="20"/>
              </w:rPr>
            </w:pPr>
            <w:r w:rsidRPr="009A27ED">
              <w:rPr>
                <w:b/>
                <w:sz w:val="20"/>
                <w:szCs w:val="20"/>
              </w:rPr>
              <w:lastRenderedPageBreak/>
              <w:t>Gobernanza</w:t>
            </w:r>
          </w:p>
          <w:p w14:paraId="78953F53" w14:textId="77777777" w:rsidR="006C773F" w:rsidRPr="009A27ED" w:rsidRDefault="006C773F" w:rsidP="004D2848">
            <w:pPr>
              <w:numPr>
                <w:ilvl w:val="0"/>
                <w:numId w:val="97"/>
              </w:numPr>
              <w:spacing w:after="0"/>
              <w:contextualSpacing/>
              <w:rPr>
                <w:sz w:val="20"/>
                <w:szCs w:val="20"/>
                <w:lang w:val="es-GT"/>
              </w:rPr>
            </w:pPr>
            <w:r w:rsidRPr="009A27ED">
              <w:rPr>
                <w:sz w:val="20"/>
                <w:szCs w:val="20"/>
                <w:lang w:val="es-GT"/>
              </w:rPr>
              <w:t>Ministerio de Agricultura</w:t>
            </w:r>
          </w:p>
          <w:p w14:paraId="10AB553B" w14:textId="77777777" w:rsidR="006C773F" w:rsidRPr="009A27ED" w:rsidRDefault="006C773F" w:rsidP="004D2848">
            <w:pPr>
              <w:numPr>
                <w:ilvl w:val="0"/>
                <w:numId w:val="97"/>
              </w:numPr>
              <w:spacing w:after="0"/>
              <w:contextualSpacing/>
              <w:rPr>
                <w:sz w:val="20"/>
                <w:szCs w:val="20"/>
                <w:lang w:val="es-GT"/>
              </w:rPr>
            </w:pPr>
            <w:r w:rsidRPr="009A27ED">
              <w:rPr>
                <w:sz w:val="20"/>
                <w:szCs w:val="20"/>
                <w:lang w:val="es-GT"/>
              </w:rPr>
              <w:lastRenderedPageBreak/>
              <w:t>Departamento del Cacao</w:t>
            </w:r>
          </w:p>
          <w:p w14:paraId="17F17880" w14:textId="77777777" w:rsidR="006C773F" w:rsidRPr="009A27ED" w:rsidRDefault="006C773F" w:rsidP="004D2848">
            <w:pPr>
              <w:autoSpaceDE w:val="0"/>
              <w:autoSpaceDN w:val="0"/>
              <w:adjustRightInd w:val="0"/>
              <w:spacing w:after="0"/>
              <w:rPr>
                <w:rFonts w:eastAsia="Times New Roman"/>
                <w:b/>
                <w:color w:val="000000" w:themeColor="text1"/>
                <w:sz w:val="20"/>
                <w:szCs w:val="20"/>
              </w:rPr>
            </w:pPr>
          </w:p>
        </w:tc>
      </w:tr>
      <w:tr w:rsidR="006C773F" w:rsidRPr="009A27ED" w14:paraId="27A09BE3" w14:textId="77777777" w:rsidTr="004D2848">
        <w:tc>
          <w:tcPr>
            <w:tcW w:w="4316" w:type="dxa"/>
          </w:tcPr>
          <w:p w14:paraId="4D19C972" w14:textId="77777777" w:rsidR="006C773F" w:rsidRPr="009A27ED" w:rsidRDefault="006C773F" w:rsidP="004D2848">
            <w:pPr>
              <w:spacing w:after="0"/>
              <w:rPr>
                <w:b/>
                <w:sz w:val="20"/>
                <w:szCs w:val="20"/>
              </w:rPr>
            </w:pPr>
            <w:r w:rsidRPr="009A27ED">
              <w:rPr>
                <w:b/>
                <w:sz w:val="20"/>
                <w:szCs w:val="20"/>
              </w:rPr>
              <w:t>Fuente de recursos</w:t>
            </w:r>
          </w:p>
          <w:p w14:paraId="71520137" w14:textId="77777777" w:rsidR="006C773F" w:rsidRPr="009A27ED" w:rsidRDefault="006C773F" w:rsidP="004D2848">
            <w:pPr>
              <w:autoSpaceDE w:val="0"/>
              <w:autoSpaceDN w:val="0"/>
              <w:adjustRightInd w:val="0"/>
              <w:spacing w:after="0"/>
              <w:rPr>
                <w:rFonts w:eastAsia="Times New Roman"/>
                <w:b/>
                <w:color w:val="000000" w:themeColor="text1"/>
                <w:sz w:val="20"/>
                <w:szCs w:val="20"/>
              </w:rPr>
            </w:pPr>
            <w:r w:rsidRPr="009A27ED">
              <w:rPr>
                <w:rFonts w:eastAsia="Times New Roman"/>
                <w:color w:val="000000" w:themeColor="text1"/>
                <w:sz w:val="20"/>
                <w:szCs w:val="20"/>
              </w:rPr>
              <w:t>Los ingresos provienen del presupuesto nacional destinado al Ministerio Agricultura y cuentan con apoyo de algunas agencias internaciones, para el desarrollo de programas y proyectos.</w:t>
            </w:r>
          </w:p>
        </w:tc>
        <w:tc>
          <w:tcPr>
            <w:tcW w:w="4317" w:type="dxa"/>
          </w:tcPr>
          <w:p w14:paraId="72057CE9" w14:textId="77777777" w:rsidR="006C773F" w:rsidRPr="009A27ED" w:rsidRDefault="006C773F" w:rsidP="004D2848">
            <w:pPr>
              <w:spacing w:after="0"/>
              <w:rPr>
                <w:b/>
                <w:sz w:val="20"/>
                <w:szCs w:val="20"/>
              </w:rPr>
            </w:pPr>
            <w:r w:rsidRPr="009A27ED">
              <w:rPr>
                <w:b/>
                <w:sz w:val="20"/>
                <w:szCs w:val="20"/>
              </w:rPr>
              <w:t>Actividades apoyadas</w:t>
            </w:r>
          </w:p>
          <w:p w14:paraId="5795E011" w14:textId="77777777" w:rsidR="006C773F" w:rsidRPr="009A27ED" w:rsidRDefault="006C773F" w:rsidP="004D2848">
            <w:pPr>
              <w:numPr>
                <w:ilvl w:val="0"/>
                <w:numId w:val="89"/>
              </w:numPr>
              <w:spacing w:after="0"/>
              <w:contextualSpacing/>
              <w:rPr>
                <w:sz w:val="20"/>
                <w:szCs w:val="20"/>
              </w:rPr>
            </w:pPr>
            <w:r w:rsidRPr="009A27ED">
              <w:rPr>
                <w:sz w:val="20"/>
                <w:szCs w:val="20"/>
              </w:rPr>
              <w:t>Mantener un programa permanente de capacitación, a través del cual adiestra a los productores y se actualiza a los técnicos sobre los últimos avances científicos y tecnológicos del cultivo del cacao.</w:t>
            </w:r>
          </w:p>
          <w:p w14:paraId="2BC1DBE5" w14:textId="77777777" w:rsidR="006C773F" w:rsidRPr="009A27ED" w:rsidRDefault="006C773F" w:rsidP="004D2848">
            <w:pPr>
              <w:numPr>
                <w:ilvl w:val="0"/>
                <w:numId w:val="89"/>
              </w:numPr>
              <w:spacing w:after="0"/>
              <w:contextualSpacing/>
              <w:rPr>
                <w:sz w:val="20"/>
                <w:szCs w:val="20"/>
              </w:rPr>
            </w:pPr>
            <w:r w:rsidRPr="009A27ED">
              <w:rPr>
                <w:sz w:val="20"/>
                <w:szCs w:val="20"/>
              </w:rPr>
              <w:t>Capacitación para aumentar la productividad en las plantaciones y aumentar los ingresos de</w:t>
            </w:r>
          </w:p>
          <w:p w14:paraId="471DB35D" w14:textId="77777777" w:rsidR="006C773F" w:rsidRPr="009A27ED" w:rsidRDefault="006C773F" w:rsidP="004D2848">
            <w:pPr>
              <w:numPr>
                <w:ilvl w:val="0"/>
                <w:numId w:val="89"/>
              </w:numPr>
              <w:spacing w:after="0"/>
              <w:contextualSpacing/>
              <w:rPr>
                <w:sz w:val="20"/>
                <w:szCs w:val="20"/>
              </w:rPr>
            </w:pPr>
            <w:r w:rsidRPr="009A27ED">
              <w:rPr>
                <w:sz w:val="20"/>
                <w:szCs w:val="20"/>
              </w:rPr>
              <w:t>los productores.</w:t>
            </w:r>
          </w:p>
          <w:p w14:paraId="5976C216" w14:textId="77777777" w:rsidR="006C773F" w:rsidRPr="009A27ED" w:rsidRDefault="006C773F" w:rsidP="004D2848">
            <w:pPr>
              <w:numPr>
                <w:ilvl w:val="0"/>
                <w:numId w:val="89"/>
              </w:numPr>
              <w:spacing w:after="0"/>
              <w:contextualSpacing/>
              <w:rPr>
                <w:sz w:val="20"/>
                <w:szCs w:val="20"/>
              </w:rPr>
            </w:pPr>
            <w:r w:rsidRPr="009A27ED">
              <w:rPr>
                <w:sz w:val="20"/>
                <w:szCs w:val="20"/>
              </w:rPr>
              <w:t>Capacitar y sensibilizar a los hijos de los productores sobre la importancia del cacao en la economía familiar.</w:t>
            </w:r>
          </w:p>
        </w:tc>
        <w:tc>
          <w:tcPr>
            <w:tcW w:w="4317" w:type="dxa"/>
          </w:tcPr>
          <w:p w14:paraId="3C00B4E3" w14:textId="77777777" w:rsidR="006C773F" w:rsidRPr="009A27ED" w:rsidRDefault="006C773F" w:rsidP="004D2848">
            <w:pPr>
              <w:spacing w:after="0"/>
              <w:rPr>
                <w:b/>
                <w:sz w:val="20"/>
                <w:szCs w:val="20"/>
              </w:rPr>
            </w:pPr>
            <w:r w:rsidRPr="009A27ED">
              <w:rPr>
                <w:b/>
                <w:sz w:val="20"/>
                <w:szCs w:val="20"/>
              </w:rPr>
              <w:t xml:space="preserve">Principales resultados </w:t>
            </w:r>
          </w:p>
          <w:p w14:paraId="02283BB7" w14:textId="77777777" w:rsidR="006C773F" w:rsidRPr="009A27ED" w:rsidRDefault="006C773F" w:rsidP="004D2848">
            <w:pPr>
              <w:numPr>
                <w:ilvl w:val="0"/>
                <w:numId w:val="95"/>
              </w:numPr>
              <w:spacing w:after="0"/>
              <w:contextualSpacing/>
              <w:rPr>
                <w:sz w:val="20"/>
                <w:szCs w:val="20"/>
              </w:rPr>
            </w:pPr>
            <w:r w:rsidRPr="009A27ED">
              <w:rPr>
                <w:sz w:val="20"/>
                <w:szCs w:val="20"/>
              </w:rPr>
              <w:t>Aumento de 12% de exportación de cacao.</w:t>
            </w:r>
          </w:p>
          <w:p w14:paraId="5C878763" w14:textId="77777777" w:rsidR="006C773F" w:rsidRPr="009A27ED" w:rsidRDefault="006C773F" w:rsidP="004D2848">
            <w:pPr>
              <w:numPr>
                <w:ilvl w:val="0"/>
                <w:numId w:val="95"/>
              </w:numPr>
              <w:spacing w:after="0"/>
              <w:contextualSpacing/>
              <w:rPr>
                <w:sz w:val="20"/>
                <w:szCs w:val="20"/>
              </w:rPr>
            </w:pPr>
            <w:r w:rsidRPr="009A27ED">
              <w:rPr>
                <w:sz w:val="20"/>
                <w:szCs w:val="20"/>
              </w:rPr>
              <w:t>Incremento significativo en el área de producción del cacao.</w:t>
            </w:r>
          </w:p>
          <w:p w14:paraId="5661CBBD" w14:textId="77777777" w:rsidR="006C773F" w:rsidRPr="009A27ED" w:rsidRDefault="006C773F" w:rsidP="004D2848">
            <w:pPr>
              <w:numPr>
                <w:ilvl w:val="0"/>
                <w:numId w:val="95"/>
              </w:numPr>
              <w:spacing w:after="0"/>
              <w:contextualSpacing/>
              <w:rPr>
                <w:sz w:val="20"/>
                <w:szCs w:val="20"/>
              </w:rPr>
            </w:pPr>
            <w:r w:rsidRPr="009A27ED">
              <w:rPr>
                <w:sz w:val="20"/>
                <w:szCs w:val="20"/>
              </w:rPr>
              <w:t>Los cacaotales cubren un 13 por ciento de la cubierta boscosa.</w:t>
            </w:r>
          </w:p>
          <w:p w14:paraId="00D1FC4A" w14:textId="77777777" w:rsidR="006C773F" w:rsidRPr="009A27ED" w:rsidRDefault="006C773F" w:rsidP="004D2848">
            <w:pPr>
              <w:numPr>
                <w:ilvl w:val="0"/>
                <w:numId w:val="95"/>
              </w:numPr>
              <w:spacing w:after="0"/>
              <w:contextualSpacing/>
              <w:rPr>
                <w:sz w:val="20"/>
                <w:szCs w:val="20"/>
              </w:rPr>
            </w:pPr>
            <w:r w:rsidRPr="009A27ED">
              <w:rPr>
                <w:sz w:val="20"/>
                <w:szCs w:val="20"/>
              </w:rPr>
              <w:t>Aumento de infraestructuras de fermentación y secado del grano.</w:t>
            </w:r>
          </w:p>
          <w:p w14:paraId="12C84235" w14:textId="77777777" w:rsidR="006C773F" w:rsidRPr="009A27ED" w:rsidRDefault="006C773F" w:rsidP="004D2848">
            <w:pPr>
              <w:autoSpaceDE w:val="0"/>
              <w:autoSpaceDN w:val="0"/>
              <w:adjustRightInd w:val="0"/>
              <w:spacing w:after="0"/>
              <w:rPr>
                <w:rFonts w:eastAsia="Times New Roman"/>
                <w:b/>
                <w:color w:val="000000" w:themeColor="text1"/>
                <w:sz w:val="20"/>
                <w:szCs w:val="20"/>
              </w:rPr>
            </w:pPr>
          </w:p>
        </w:tc>
      </w:tr>
    </w:tbl>
    <w:p w14:paraId="4373570C" w14:textId="77777777" w:rsidR="00615080" w:rsidRPr="009A27ED" w:rsidRDefault="00615080" w:rsidP="00615080">
      <w:pPr>
        <w:spacing w:after="0" w:line="360" w:lineRule="auto"/>
        <w:contextualSpacing/>
        <w:rPr>
          <w:rFonts w:cstheme="minorBidi"/>
          <w:b/>
          <w:color w:val="ED7D31" w:themeColor="accent2"/>
          <w:sz w:val="20"/>
          <w:szCs w:val="20"/>
        </w:rPr>
      </w:pPr>
    </w:p>
    <w:tbl>
      <w:tblPr>
        <w:tblStyle w:val="Tablaconcuadrcula"/>
        <w:tblW w:w="0" w:type="auto"/>
        <w:tblLook w:val="04A0" w:firstRow="1" w:lastRow="0" w:firstColumn="1" w:lastColumn="0" w:noHBand="0" w:noVBand="1"/>
      </w:tblPr>
      <w:tblGrid>
        <w:gridCol w:w="4316"/>
        <w:gridCol w:w="4317"/>
        <w:gridCol w:w="4317"/>
      </w:tblGrid>
      <w:tr w:rsidR="006C773F" w:rsidRPr="009A27ED" w14:paraId="65D2A337" w14:textId="77777777" w:rsidTr="004D2848">
        <w:tc>
          <w:tcPr>
            <w:tcW w:w="12950" w:type="dxa"/>
            <w:gridSpan w:val="3"/>
            <w:shd w:val="clear" w:color="auto" w:fill="2F5496" w:themeFill="accent5" w:themeFillShade="BF"/>
          </w:tcPr>
          <w:p w14:paraId="66FBD2CB" w14:textId="77777777" w:rsidR="006C773F" w:rsidRPr="009A27ED" w:rsidRDefault="006C773F" w:rsidP="004D2848">
            <w:pPr>
              <w:spacing w:after="0"/>
              <w:outlineLvl w:val="2"/>
              <w:rPr>
                <w:rFonts w:eastAsiaTheme="majorEastAsia"/>
                <w:b/>
                <w:color w:val="FFFFFF" w:themeColor="background1"/>
                <w:sz w:val="28"/>
                <w:szCs w:val="28"/>
                <w:shd w:val="clear" w:color="auto" w:fill="2F5496" w:themeFill="accent5" w:themeFillShade="BF"/>
                <w:lang w:val="es-DO"/>
              </w:rPr>
            </w:pPr>
            <w:bookmarkStart w:id="103" w:name="_Toc18505670"/>
            <w:bookmarkStart w:id="104" w:name="_Toc111837924"/>
            <w:r w:rsidRPr="009A27ED">
              <w:rPr>
                <w:rFonts w:eastAsiaTheme="majorEastAsia"/>
                <w:b/>
                <w:color w:val="FFFFFF" w:themeColor="background1"/>
                <w:sz w:val="28"/>
                <w:szCs w:val="28"/>
                <w:lang w:val="es-DO"/>
              </w:rPr>
              <w:t xml:space="preserve">6. Proyecto de Desarrollo Agroforestal </w:t>
            </w:r>
            <w:bookmarkEnd w:id="103"/>
            <w:r w:rsidRPr="009A27ED">
              <w:rPr>
                <w:rFonts w:eastAsiaTheme="majorEastAsia"/>
                <w:b/>
                <w:color w:val="FFFFFF" w:themeColor="background1"/>
                <w:sz w:val="28"/>
                <w:szCs w:val="28"/>
                <w:lang w:val="es-DO"/>
              </w:rPr>
              <w:t>– UTEPDA</w:t>
            </w:r>
            <w:bookmarkEnd w:id="104"/>
            <w:r w:rsidRPr="009A27ED">
              <w:rPr>
                <w:rFonts w:eastAsiaTheme="majorEastAsia"/>
                <w:b/>
                <w:color w:val="FFFFFF" w:themeColor="background1"/>
                <w:sz w:val="28"/>
                <w:szCs w:val="28"/>
                <w:lang w:val="es-DO"/>
              </w:rPr>
              <w:t xml:space="preserve"> </w:t>
            </w:r>
          </w:p>
        </w:tc>
      </w:tr>
      <w:tr w:rsidR="006C773F" w:rsidRPr="009A27ED" w14:paraId="14334EA8" w14:textId="77777777" w:rsidTr="004D2848">
        <w:tc>
          <w:tcPr>
            <w:tcW w:w="12950" w:type="dxa"/>
            <w:gridSpan w:val="3"/>
          </w:tcPr>
          <w:p w14:paraId="5CCC5D47" w14:textId="77777777" w:rsidR="006C773F" w:rsidRPr="009A27ED" w:rsidRDefault="006C773F" w:rsidP="004D2848">
            <w:pPr>
              <w:spacing w:after="0"/>
              <w:rPr>
                <w:b/>
                <w:color w:val="000000" w:themeColor="text1"/>
                <w:sz w:val="20"/>
                <w:szCs w:val="20"/>
              </w:rPr>
            </w:pPr>
            <w:r w:rsidRPr="009A27ED">
              <w:rPr>
                <w:b/>
                <w:color w:val="000000" w:themeColor="text1"/>
                <w:sz w:val="20"/>
                <w:szCs w:val="20"/>
              </w:rPr>
              <w:t>Descripción del Programa</w:t>
            </w:r>
          </w:p>
          <w:p w14:paraId="27236701" w14:textId="77777777" w:rsidR="006C773F" w:rsidRPr="009A27ED" w:rsidRDefault="006C773F" w:rsidP="004D2848">
            <w:pPr>
              <w:spacing w:after="0"/>
              <w:rPr>
                <w:b/>
                <w:color w:val="2F5496" w:themeColor="accent5" w:themeShade="BF"/>
                <w:sz w:val="20"/>
                <w:szCs w:val="20"/>
              </w:rPr>
            </w:pPr>
            <w:r w:rsidRPr="009A27ED">
              <w:rPr>
                <w:sz w:val="20"/>
                <w:szCs w:val="20"/>
              </w:rPr>
              <w:t xml:space="preserve">Los Proyectos de Desarrollo Agroforestal (PDA) tienen como objetivo mejorar la sostenibilidad ambiental y adaptación al cambio climático de los pequeños productores a través de : i) reforestación y conservación de bosques en las partes altas de las cuencas, </w:t>
            </w:r>
            <w:proofErr w:type="spellStart"/>
            <w:r w:rsidRPr="009A27ED">
              <w:rPr>
                <w:sz w:val="20"/>
                <w:szCs w:val="20"/>
              </w:rPr>
              <w:t>ii</w:t>
            </w:r>
            <w:proofErr w:type="spellEnd"/>
            <w:r w:rsidRPr="009A27ED">
              <w:rPr>
                <w:sz w:val="20"/>
                <w:szCs w:val="20"/>
              </w:rPr>
              <w:t xml:space="preserve">) la adopción de tecnologías agroforestales, </w:t>
            </w:r>
            <w:proofErr w:type="spellStart"/>
            <w:r w:rsidRPr="009A27ED">
              <w:rPr>
                <w:sz w:val="20"/>
                <w:szCs w:val="20"/>
              </w:rPr>
              <w:t>iii</w:t>
            </w:r>
            <w:proofErr w:type="spellEnd"/>
            <w:r w:rsidRPr="009A27ED">
              <w:rPr>
                <w:sz w:val="20"/>
                <w:szCs w:val="20"/>
              </w:rPr>
              <w:t xml:space="preserve">) mejora de la conectividad de los mercados a través de la rehabilitación de más de 600 Km de caminos </w:t>
            </w:r>
            <w:proofErr w:type="spellStart"/>
            <w:r w:rsidRPr="009A27ED">
              <w:rPr>
                <w:sz w:val="20"/>
                <w:szCs w:val="20"/>
              </w:rPr>
              <w:t>interparcelarios</w:t>
            </w:r>
            <w:proofErr w:type="spellEnd"/>
            <w:r w:rsidRPr="009A27ED">
              <w:rPr>
                <w:sz w:val="20"/>
                <w:szCs w:val="20"/>
              </w:rPr>
              <w:t xml:space="preserve"> y vecinales, </w:t>
            </w:r>
            <w:proofErr w:type="spellStart"/>
            <w:r w:rsidRPr="009A27ED">
              <w:rPr>
                <w:sz w:val="20"/>
                <w:szCs w:val="20"/>
              </w:rPr>
              <w:t>iv</w:t>
            </w:r>
            <w:proofErr w:type="spellEnd"/>
            <w:r w:rsidRPr="009A27ED">
              <w:rPr>
                <w:sz w:val="20"/>
                <w:szCs w:val="20"/>
              </w:rPr>
              <w:t>) titulación de las propiedades en las áreas de intervención, v) formalización, fortalecimiento y elaboración de planes de negocios de las cooperativas de productores y vi) la construcción de infraestructuras para el mejor aprovechamiento de las producciones agroforestales, entre otros. Estos proyectos tienen una duración de cinco (4) años, alcanzando a intervenir unas 699,831 tareas y favoreciendo a unos 11,316 beneficiarios. Al 28 de septiembre del 2018, los proyectos de Desarrollo Agroforestal han establecido 24,794,507 plantas, para una cobertura de 17,278 ha intervenidas. En el componente forestal se han cubierto 11,035 ha, incorporando más de veinte (20) especies forestales. Asimismo, se han plantado 6,244 ha de los rubros café, aguacate, cacao y mango, beneficiando unos 6,062 pequeños productores. Adicionalmente se han establecido unas 131,010 plantas con fines de sombra fija y provisional en los sistemas agroforestales. El programa en cuestión exhibe un alto potencial de fijación de CO2, a través del componente arbóreo que se está fomentando en sus acciones.</w:t>
            </w:r>
            <w:r w:rsidRPr="009A27ED">
              <w:rPr>
                <w:b/>
                <w:color w:val="2F5496" w:themeColor="accent5" w:themeShade="BF"/>
                <w:sz w:val="20"/>
                <w:szCs w:val="20"/>
              </w:rPr>
              <w:t xml:space="preserve"> </w:t>
            </w:r>
          </w:p>
        </w:tc>
      </w:tr>
      <w:tr w:rsidR="006C773F" w:rsidRPr="009A27ED" w14:paraId="0959845D" w14:textId="77777777" w:rsidTr="004D2848">
        <w:tc>
          <w:tcPr>
            <w:tcW w:w="12950" w:type="dxa"/>
            <w:gridSpan w:val="3"/>
          </w:tcPr>
          <w:p w14:paraId="4AC8FEF3" w14:textId="77777777" w:rsidR="006C773F" w:rsidRPr="009A27ED" w:rsidRDefault="006C773F" w:rsidP="004D2848">
            <w:pPr>
              <w:spacing w:after="0"/>
              <w:rPr>
                <w:b/>
                <w:sz w:val="20"/>
                <w:szCs w:val="20"/>
              </w:rPr>
            </w:pPr>
            <w:r w:rsidRPr="009A27ED">
              <w:rPr>
                <w:b/>
                <w:sz w:val="20"/>
                <w:szCs w:val="20"/>
              </w:rPr>
              <w:t>Fundamento Legal</w:t>
            </w:r>
          </w:p>
          <w:p w14:paraId="0F5D4CD7" w14:textId="722186EB" w:rsidR="00E27902" w:rsidRPr="009A27ED" w:rsidRDefault="00E27902" w:rsidP="004D2848">
            <w:pPr>
              <w:spacing w:after="0"/>
              <w:rPr>
                <w:b/>
                <w:sz w:val="20"/>
                <w:szCs w:val="20"/>
              </w:rPr>
            </w:pPr>
            <w:r w:rsidRPr="009A27ED">
              <w:rPr>
                <w:b/>
                <w:sz w:val="20"/>
                <w:szCs w:val="20"/>
              </w:rPr>
              <w:t>Decreto núm. 10-17, la Unidad Coordinadora de Proyectos de Desarrollo Agroforestal de la Presidencia de la República y la Unidad Técnica Ejecutora de Proyectos de Desarrollo Agroforestal de la Presidencia de la República.</w:t>
            </w:r>
          </w:p>
        </w:tc>
      </w:tr>
      <w:tr w:rsidR="006C773F" w:rsidRPr="009A27ED" w14:paraId="24D6D0CB" w14:textId="77777777" w:rsidTr="004D2848">
        <w:tc>
          <w:tcPr>
            <w:tcW w:w="12950" w:type="dxa"/>
            <w:gridSpan w:val="3"/>
          </w:tcPr>
          <w:p w14:paraId="4A37965D" w14:textId="77777777" w:rsidR="006C773F" w:rsidRPr="009A27ED" w:rsidRDefault="006C773F" w:rsidP="004D2848">
            <w:pPr>
              <w:spacing w:after="0"/>
              <w:rPr>
                <w:b/>
                <w:sz w:val="20"/>
                <w:szCs w:val="20"/>
              </w:rPr>
            </w:pPr>
            <w:r w:rsidRPr="009A27ED">
              <w:rPr>
                <w:b/>
                <w:sz w:val="20"/>
                <w:szCs w:val="20"/>
              </w:rPr>
              <w:lastRenderedPageBreak/>
              <w:t>Objetivo</w:t>
            </w:r>
          </w:p>
          <w:p w14:paraId="51903890" w14:textId="77777777" w:rsidR="006C773F" w:rsidRPr="009A27ED" w:rsidRDefault="006C773F" w:rsidP="004D2848">
            <w:pPr>
              <w:spacing w:after="0"/>
              <w:rPr>
                <w:b/>
                <w:sz w:val="20"/>
                <w:szCs w:val="20"/>
              </w:rPr>
            </w:pPr>
            <w:r w:rsidRPr="009A27ED">
              <w:rPr>
                <w:sz w:val="20"/>
                <w:szCs w:val="20"/>
              </w:rPr>
              <w:t xml:space="preserve">Mejorar la sostenibilidad ambiental y adaptación al cambio climático de los pequeños productores a través de : i) reforestación y conservación de bosques en las partes altas de las cuencas, </w:t>
            </w:r>
            <w:proofErr w:type="spellStart"/>
            <w:r w:rsidRPr="009A27ED">
              <w:rPr>
                <w:sz w:val="20"/>
                <w:szCs w:val="20"/>
              </w:rPr>
              <w:t>ii</w:t>
            </w:r>
            <w:proofErr w:type="spellEnd"/>
            <w:r w:rsidRPr="009A27ED">
              <w:rPr>
                <w:sz w:val="20"/>
                <w:szCs w:val="20"/>
              </w:rPr>
              <w:t xml:space="preserve">) la adopción de tecnologías agroforestales, </w:t>
            </w:r>
            <w:proofErr w:type="spellStart"/>
            <w:r w:rsidRPr="009A27ED">
              <w:rPr>
                <w:sz w:val="20"/>
                <w:szCs w:val="20"/>
              </w:rPr>
              <w:t>iii</w:t>
            </w:r>
            <w:proofErr w:type="spellEnd"/>
            <w:r w:rsidRPr="009A27ED">
              <w:rPr>
                <w:sz w:val="20"/>
                <w:szCs w:val="20"/>
              </w:rPr>
              <w:t xml:space="preserve">) mejora de la conectividad de los mercados a través de la rehabilitación de más de 600 Km de caminos </w:t>
            </w:r>
            <w:proofErr w:type="spellStart"/>
            <w:r w:rsidRPr="009A27ED">
              <w:rPr>
                <w:sz w:val="20"/>
                <w:szCs w:val="20"/>
              </w:rPr>
              <w:t>interparcelarios</w:t>
            </w:r>
            <w:proofErr w:type="spellEnd"/>
            <w:r w:rsidRPr="009A27ED">
              <w:rPr>
                <w:sz w:val="20"/>
                <w:szCs w:val="20"/>
              </w:rPr>
              <w:t xml:space="preserve"> y vecinales, </w:t>
            </w:r>
            <w:proofErr w:type="spellStart"/>
            <w:r w:rsidRPr="009A27ED">
              <w:rPr>
                <w:sz w:val="20"/>
                <w:szCs w:val="20"/>
              </w:rPr>
              <w:t>iv</w:t>
            </w:r>
            <w:proofErr w:type="spellEnd"/>
            <w:r w:rsidRPr="009A27ED">
              <w:rPr>
                <w:sz w:val="20"/>
                <w:szCs w:val="20"/>
              </w:rPr>
              <w:t>) titulación de las propiedades en las áreas de intervención, v) formalización, fortalecimiento y elaboración de planes de negocios de las cooperativas de productores y vi) la construcción de infraestructuras para el mejor aprovechamiento de las producciones agroforestales, entre otros.</w:t>
            </w:r>
            <w:r w:rsidRPr="009A27ED">
              <w:rPr>
                <w:b/>
                <w:sz w:val="20"/>
                <w:szCs w:val="20"/>
              </w:rPr>
              <w:t xml:space="preserve"> </w:t>
            </w:r>
          </w:p>
        </w:tc>
      </w:tr>
      <w:tr w:rsidR="006C773F" w:rsidRPr="009A27ED" w14:paraId="43595C84" w14:textId="77777777" w:rsidTr="004D2848">
        <w:tc>
          <w:tcPr>
            <w:tcW w:w="4316" w:type="dxa"/>
          </w:tcPr>
          <w:p w14:paraId="6014C579" w14:textId="77777777" w:rsidR="006C773F" w:rsidRPr="009A27ED" w:rsidRDefault="006C773F" w:rsidP="004D2848">
            <w:pPr>
              <w:spacing w:after="0"/>
              <w:rPr>
                <w:b/>
                <w:color w:val="000000" w:themeColor="text1"/>
                <w:sz w:val="20"/>
                <w:szCs w:val="20"/>
              </w:rPr>
            </w:pPr>
            <w:r w:rsidRPr="009A27ED">
              <w:rPr>
                <w:b/>
                <w:color w:val="000000" w:themeColor="text1"/>
                <w:sz w:val="20"/>
                <w:szCs w:val="20"/>
              </w:rPr>
              <w:t>Entidad Ejecutora</w:t>
            </w:r>
          </w:p>
          <w:p w14:paraId="17E8A8F9" w14:textId="77777777" w:rsidR="006C773F" w:rsidRPr="009A27ED" w:rsidRDefault="006C773F" w:rsidP="004D2848">
            <w:pPr>
              <w:spacing w:after="0"/>
              <w:rPr>
                <w:rFonts w:eastAsia="Times New Roman"/>
                <w:b/>
                <w:color w:val="000000" w:themeColor="text1"/>
                <w:sz w:val="20"/>
                <w:szCs w:val="20"/>
              </w:rPr>
            </w:pPr>
            <w:r w:rsidRPr="009A27ED">
              <w:rPr>
                <w:sz w:val="20"/>
                <w:szCs w:val="20"/>
              </w:rPr>
              <w:t>Unidad Técnica Ejecutora, perteneciente en un principio al Viceministerio de Producción y Desarrollo Comunitario del Ministerio Administrativo de la Presidencia y a partir del 2021 al Viceministerio de Recursos Forestales del Ministerio de Medio Ambiente y Recursos Naturales</w:t>
            </w:r>
          </w:p>
        </w:tc>
        <w:tc>
          <w:tcPr>
            <w:tcW w:w="4317" w:type="dxa"/>
          </w:tcPr>
          <w:p w14:paraId="53A70F27" w14:textId="77777777" w:rsidR="006C773F" w:rsidRPr="009A27ED" w:rsidRDefault="006C773F" w:rsidP="004D2848">
            <w:pPr>
              <w:spacing w:after="0"/>
              <w:rPr>
                <w:b/>
                <w:sz w:val="20"/>
                <w:szCs w:val="20"/>
              </w:rPr>
            </w:pPr>
            <w:r w:rsidRPr="009A27ED">
              <w:rPr>
                <w:b/>
                <w:sz w:val="20"/>
                <w:szCs w:val="20"/>
              </w:rPr>
              <w:t>Funcionamiento</w:t>
            </w:r>
          </w:p>
          <w:p w14:paraId="4AFD3BEF" w14:textId="09BE4367" w:rsidR="006C773F" w:rsidRPr="009A27ED" w:rsidRDefault="006C773F" w:rsidP="004D2848">
            <w:pPr>
              <w:spacing w:after="0"/>
              <w:rPr>
                <w:sz w:val="20"/>
                <w:szCs w:val="20"/>
              </w:rPr>
            </w:pPr>
            <w:r w:rsidRPr="009A27ED">
              <w:rPr>
                <w:sz w:val="20"/>
                <w:szCs w:val="20"/>
              </w:rPr>
              <w:t xml:space="preserve">En sus </w:t>
            </w:r>
            <w:r w:rsidR="00434410" w:rsidRPr="009A27ED">
              <w:rPr>
                <w:sz w:val="20"/>
                <w:szCs w:val="20"/>
              </w:rPr>
              <w:t>inicios</w:t>
            </w:r>
            <w:r w:rsidRPr="009A27ED">
              <w:rPr>
                <w:sz w:val="20"/>
                <w:szCs w:val="20"/>
              </w:rPr>
              <w:t xml:space="preserve"> estos proyectos se concibieron para tener una duración de cinco (5) años, alcanzando a intervenir unas 699,831 tareas y favoreciendo a unos 11,316 beneficiarios. A partir del 2021, se decide darles continuidad bajo la gestión del Ministerio de Medio Ambiente.</w:t>
            </w:r>
          </w:p>
          <w:p w14:paraId="6FF127D2" w14:textId="77777777" w:rsidR="006C773F" w:rsidRPr="009A27ED" w:rsidRDefault="006C773F" w:rsidP="004D2848">
            <w:pPr>
              <w:spacing w:after="0"/>
              <w:rPr>
                <w:sz w:val="20"/>
                <w:szCs w:val="20"/>
              </w:rPr>
            </w:pPr>
            <w:r w:rsidRPr="009A27ED">
              <w:rPr>
                <w:sz w:val="20"/>
                <w:szCs w:val="20"/>
              </w:rPr>
              <w:t>Las actividades se desarrollan en:</w:t>
            </w:r>
          </w:p>
          <w:p w14:paraId="1191A7FD" w14:textId="77777777" w:rsidR="006C773F" w:rsidRPr="009A27ED" w:rsidRDefault="006C773F" w:rsidP="004D2848">
            <w:pPr>
              <w:numPr>
                <w:ilvl w:val="0"/>
                <w:numId w:val="84"/>
              </w:numPr>
              <w:spacing w:after="0"/>
              <w:contextualSpacing/>
              <w:rPr>
                <w:sz w:val="20"/>
                <w:szCs w:val="20"/>
              </w:rPr>
            </w:pPr>
            <w:r w:rsidRPr="009A27ED">
              <w:rPr>
                <w:sz w:val="20"/>
                <w:szCs w:val="20"/>
              </w:rPr>
              <w:t xml:space="preserve">Hondo Valle y Juan Santiago: Provincia Elías Piña; vertiente norte de la Sierra de Neiba. </w:t>
            </w:r>
          </w:p>
          <w:p w14:paraId="1BE662C3" w14:textId="77777777" w:rsidR="006C773F" w:rsidRPr="009A27ED" w:rsidRDefault="006C773F" w:rsidP="004D2848">
            <w:pPr>
              <w:numPr>
                <w:ilvl w:val="0"/>
                <w:numId w:val="84"/>
              </w:numPr>
              <w:spacing w:after="0"/>
              <w:contextualSpacing/>
              <w:rPr>
                <w:sz w:val="20"/>
                <w:szCs w:val="20"/>
              </w:rPr>
            </w:pPr>
            <w:r w:rsidRPr="009A27ED">
              <w:rPr>
                <w:sz w:val="20"/>
                <w:szCs w:val="20"/>
              </w:rPr>
              <w:t xml:space="preserve">Sabaneta: Provincia San Juan; vertiente sur de la Cordillera Central; área de influencia de la Presa Sabaneta. </w:t>
            </w:r>
          </w:p>
          <w:p w14:paraId="7067A21D" w14:textId="77777777" w:rsidR="006C773F" w:rsidRPr="009A27ED" w:rsidRDefault="006C773F" w:rsidP="004D2848">
            <w:pPr>
              <w:numPr>
                <w:ilvl w:val="0"/>
                <w:numId w:val="84"/>
              </w:numPr>
              <w:spacing w:after="0"/>
              <w:contextualSpacing/>
              <w:rPr>
                <w:sz w:val="20"/>
                <w:szCs w:val="20"/>
              </w:rPr>
            </w:pPr>
            <w:r w:rsidRPr="009A27ED">
              <w:rPr>
                <w:sz w:val="20"/>
                <w:szCs w:val="20"/>
              </w:rPr>
              <w:t xml:space="preserve">Las Cañitas: Provincia de Azua; vertiente sur de la Cordillera Central; área de influencia de la Presa Sabana Yegua. </w:t>
            </w:r>
          </w:p>
          <w:p w14:paraId="52C3131E" w14:textId="77777777" w:rsidR="006C773F" w:rsidRPr="009A27ED" w:rsidRDefault="006C773F" w:rsidP="004D2848">
            <w:pPr>
              <w:numPr>
                <w:ilvl w:val="0"/>
                <w:numId w:val="84"/>
              </w:numPr>
              <w:spacing w:after="0"/>
              <w:contextualSpacing/>
              <w:rPr>
                <w:sz w:val="20"/>
                <w:szCs w:val="20"/>
              </w:rPr>
            </w:pPr>
            <w:r w:rsidRPr="009A27ED">
              <w:rPr>
                <w:sz w:val="20"/>
                <w:szCs w:val="20"/>
              </w:rPr>
              <w:t xml:space="preserve">Proyecto Independencia: Provincia Independencia; vertiente sur de la Sierra de Neiba. </w:t>
            </w:r>
          </w:p>
          <w:p w14:paraId="20C144FC" w14:textId="77777777" w:rsidR="006C773F" w:rsidRPr="009A27ED" w:rsidRDefault="006C773F" w:rsidP="004D2848">
            <w:pPr>
              <w:numPr>
                <w:ilvl w:val="0"/>
                <w:numId w:val="84"/>
              </w:numPr>
              <w:spacing w:after="0"/>
              <w:contextualSpacing/>
              <w:rPr>
                <w:sz w:val="20"/>
                <w:szCs w:val="20"/>
              </w:rPr>
            </w:pPr>
            <w:r w:rsidRPr="009A27ED">
              <w:rPr>
                <w:sz w:val="20"/>
                <w:szCs w:val="20"/>
              </w:rPr>
              <w:t xml:space="preserve">Proyecto Bahoruco: Provincia Bahoruco; vertiente sur de la Sierra de Neiba. </w:t>
            </w:r>
          </w:p>
          <w:p w14:paraId="31803E48" w14:textId="77777777" w:rsidR="006C773F" w:rsidRPr="009A27ED" w:rsidRDefault="006C773F" w:rsidP="004D2848">
            <w:pPr>
              <w:numPr>
                <w:ilvl w:val="0"/>
                <w:numId w:val="84"/>
              </w:numPr>
              <w:spacing w:after="0"/>
              <w:contextualSpacing/>
              <w:rPr>
                <w:sz w:val="20"/>
                <w:szCs w:val="20"/>
              </w:rPr>
            </w:pPr>
            <w:r w:rsidRPr="009A27ED">
              <w:rPr>
                <w:sz w:val="20"/>
                <w:szCs w:val="20"/>
              </w:rPr>
              <w:t xml:space="preserve">Proyecto Los Fríos: Provincias de Azua y San Juan; vertiente sur de la Cordillera Central; área de influencia de la Presa Sabana Yegua. </w:t>
            </w:r>
          </w:p>
          <w:p w14:paraId="1FE2159E" w14:textId="77777777" w:rsidR="006C773F" w:rsidRPr="009A27ED" w:rsidRDefault="006C773F" w:rsidP="004D2848">
            <w:pPr>
              <w:numPr>
                <w:ilvl w:val="0"/>
                <w:numId w:val="84"/>
              </w:numPr>
              <w:spacing w:after="0"/>
              <w:contextualSpacing/>
              <w:rPr>
                <w:sz w:val="20"/>
                <w:szCs w:val="20"/>
              </w:rPr>
            </w:pPr>
            <w:r w:rsidRPr="009A27ED">
              <w:rPr>
                <w:sz w:val="20"/>
                <w:szCs w:val="20"/>
              </w:rPr>
              <w:t xml:space="preserve">Proyecto Barahona: Provincia Barahona; zona cafetalera y </w:t>
            </w:r>
            <w:proofErr w:type="spellStart"/>
            <w:r w:rsidRPr="009A27ED">
              <w:rPr>
                <w:sz w:val="20"/>
                <w:szCs w:val="20"/>
              </w:rPr>
              <w:t>Cacaotalera</w:t>
            </w:r>
            <w:proofErr w:type="spellEnd"/>
            <w:r w:rsidRPr="009A27ED">
              <w:rPr>
                <w:sz w:val="20"/>
                <w:szCs w:val="20"/>
              </w:rPr>
              <w:t xml:space="preserve"> de la Sierra de Bahoruco.</w:t>
            </w:r>
          </w:p>
        </w:tc>
        <w:tc>
          <w:tcPr>
            <w:tcW w:w="4317" w:type="dxa"/>
          </w:tcPr>
          <w:p w14:paraId="3F64107C" w14:textId="77777777" w:rsidR="006C773F" w:rsidRPr="009A27ED" w:rsidRDefault="006C773F" w:rsidP="004D2848">
            <w:pPr>
              <w:spacing w:after="0"/>
              <w:rPr>
                <w:b/>
                <w:sz w:val="20"/>
                <w:szCs w:val="20"/>
              </w:rPr>
            </w:pPr>
            <w:r w:rsidRPr="009A27ED">
              <w:rPr>
                <w:b/>
                <w:sz w:val="20"/>
                <w:szCs w:val="20"/>
              </w:rPr>
              <w:t>Gobernanza</w:t>
            </w:r>
          </w:p>
          <w:p w14:paraId="7CD946D3" w14:textId="77777777" w:rsidR="006C773F" w:rsidRPr="009A27ED" w:rsidRDefault="006C773F" w:rsidP="004D2848">
            <w:pPr>
              <w:spacing w:after="0"/>
              <w:rPr>
                <w:sz w:val="20"/>
                <w:szCs w:val="20"/>
              </w:rPr>
            </w:pPr>
            <w:r w:rsidRPr="009A27ED">
              <w:rPr>
                <w:sz w:val="20"/>
                <w:szCs w:val="20"/>
              </w:rPr>
              <w:t>Unidad Técnica de Gestión que dependía del Ministerio de la Presidencia y a partir del 2021 pasa al Ministerio de Medio Ambiente y Recursos Naturales</w:t>
            </w:r>
          </w:p>
          <w:p w14:paraId="367F0E6E" w14:textId="77777777" w:rsidR="006C773F" w:rsidRPr="009A27ED" w:rsidRDefault="006C773F" w:rsidP="004D2848">
            <w:pPr>
              <w:autoSpaceDE w:val="0"/>
              <w:autoSpaceDN w:val="0"/>
              <w:adjustRightInd w:val="0"/>
              <w:spacing w:after="0"/>
              <w:rPr>
                <w:rFonts w:eastAsia="Times New Roman"/>
                <w:b/>
                <w:color w:val="000000" w:themeColor="text1"/>
                <w:sz w:val="20"/>
                <w:szCs w:val="20"/>
              </w:rPr>
            </w:pPr>
          </w:p>
        </w:tc>
      </w:tr>
      <w:tr w:rsidR="006C773F" w:rsidRPr="009A27ED" w14:paraId="66BA8B4C" w14:textId="77777777" w:rsidTr="004D2848">
        <w:tc>
          <w:tcPr>
            <w:tcW w:w="4316" w:type="dxa"/>
          </w:tcPr>
          <w:p w14:paraId="563F0387" w14:textId="77777777" w:rsidR="006C773F" w:rsidRPr="009A27ED" w:rsidRDefault="006C773F" w:rsidP="004D2848">
            <w:pPr>
              <w:spacing w:after="0"/>
              <w:rPr>
                <w:b/>
                <w:sz w:val="20"/>
                <w:szCs w:val="20"/>
              </w:rPr>
            </w:pPr>
            <w:r w:rsidRPr="009A27ED">
              <w:rPr>
                <w:b/>
                <w:sz w:val="20"/>
                <w:szCs w:val="20"/>
              </w:rPr>
              <w:t>Fuente de recursos</w:t>
            </w:r>
          </w:p>
          <w:p w14:paraId="4A772823" w14:textId="77777777" w:rsidR="006C773F" w:rsidRPr="009A27ED" w:rsidRDefault="006C773F" w:rsidP="004D2848">
            <w:pPr>
              <w:autoSpaceDE w:val="0"/>
              <w:autoSpaceDN w:val="0"/>
              <w:adjustRightInd w:val="0"/>
              <w:spacing w:after="0"/>
              <w:rPr>
                <w:rFonts w:eastAsia="Times New Roman"/>
                <w:b/>
                <w:color w:val="000000" w:themeColor="text1"/>
                <w:sz w:val="20"/>
                <w:szCs w:val="20"/>
              </w:rPr>
            </w:pPr>
          </w:p>
        </w:tc>
        <w:tc>
          <w:tcPr>
            <w:tcW w:w="4317" w:type="dxa"/>
          </w:tcPr>
          <w:p w14:paraId="584B953D" w14:textId="77777777" w:rsidR="006C773F" w:rsidRPr="009A27ED" w:rsidRDefault="006C773F" w:rsidP="004D2848">
            <w:pPr>
              <w:spacing w:after="0"/>
              <w:rPr>
                <w:b/>
                <w:sz w:val="20"/>
                <w:szCs w:val="20"/>
              </w:rPr>
            </w:pPr>
            <w:r w:rsidRPr="009A27ED">
              <w:rPr>
                <w:b/>
                <w:sz w:val="20"/>
                <w:szCs w:val="20"/>
              </w:rPr>
              <w:t>Actividades apoyadas</w:t>
            </w:r>
          </w:p>
          <w:p w14:paraId="66A92CC9" w14:textId="77777777" w:rsidR="006C773F" w:rsidRPr="009A27ED" w:rsidRDefault="006C773F" w:rsidP="004D2848">
            <w:pPr>
              <w:spacing w:after="0"/>
              <w:rPr>
                <w:sz w:val="20"/>
                <w:szCs w:val="20"/>
              </w:rPr>
            </w:pPr>
            <w:r w:rsidRPr="009A27ED">
              <w:rPr>
                <w:sz w:val="20"/>
                <w:szCs w:val="20"/>
              </w:rPr>
              <w:t xml:space="preserve">En la actualidad se desarrollan unos 7 proyectos llevados a cabo por el Gobierno junto a los </w:t>
            </w:r>
            <w:r w:rsidRPr="009A27ED">
              <w:rPr>
                <w:sz w:val="20"/>
                <w:szCs w:val="20"/>
              </w:rPr>
              <w:lastRenderedPageBreak/>
              <w:t>comunitarios de las cuencas hidrográficas de la región sur del país y con ello se ha permitido contrarrestar la deforestación, al mismo tiempo que provee de fuentes de ingresos a los habitantes locales. De manera específica, estas actividades implican:</w:t>
            </w:r>
          </w:p>
          <w:p w14:paraId="0327FCE1" w14:textId="77777777" w:rsidR="006C773F" w:rsidRPr="009A27ED" w:rsidRDefault="006C773F" w:rsidP="004D2848">
            <w:pPr>
              <w:spacing w:after="0"/>
              <w:rPr>
                <w:b/>
                <w:sz w:val="20"/>
                <w:szCs w:val="20"/>
              </w:rPr>
            </w:pPr>
            <w:r w:rsidRPr="009A27ED">
              <w:rPr>
                <w:b/>
                <w:sz w:val="20"/>
                <w:szCs w:val="20"/>
              </w:rPr>
              <w:t>Actividades apoyadas:</w:t>
            </w:r>
          </w:p>
          <w:p w14:paraId="301CFFC2" w14:textId="77777777" w:rsidR="006C773F" w:rsidRPr="009A27ED" w:rsidRDefault="006C773F" w:rsidP="004D2848">
            <w:pPr>
              <w:numPr>
                <w:ilvl w:val="0"/>
                <w:numId w:val="83"/>
              </w:numPr>
              <w:spacing w:after="0"/>
              <w:contextualSpacing/>
              <w:rPr>
                <w:sz w:val="20"/>
                <w:szCs w:val="20"/>
              </w:rPr>
            </w:pPr>
            <w:r w:rsidRPr="009A27ED">
              <w:rPr>
                <w:sz w:val="20"/>
                <w:szCs w:val="20"/>
              </w:rPr>
              <w:t xml:space="preserve">Establecer plantaciones forestales con fines de conservación y aprovechamiento; </w:t>
            </w:r>
          </w:p>
          <w:p w14:paraId="638C7BE9" w14:textId="77777777" w:rsidR="006C773F" w:rsidRPr="009A27ED" w:rsidRDefault="006C773F" w:rsidP="004D2848">
            <w:pPr>
              <w:numPr>
                <w:ilvl w:val="0"/>
                <w:numId w:val="83"/>
              </w:numPr>
              <w:spacing w:after="0"/>
              <w:contextualSpacing/>
              <w:rPr>
                <w:sz w:val="20"/>
                <w:szCs w:val="20"/>
              </w:rPr>
            </w:pPr>
            <w:r w:rsidRPr="009A27ED">
              <w:rPr>
                <w:sz w:val="20"/>
                <w:szCs w:val="20"/>
              </w:rPr>
              <w:t xml:space="preserve">Fomentar la Producción Agrícola Sostenible a través del fomento y la renovación  </w:t>
            </w:r>
          </w:p>
          <w:p w14:paraId="1F7A8099" w14:textId="77777777" w:rsidR="006C773F" w:rsidRPr="009A27ED" w:rsidRDefault="006C773F" w:rsidP="004D2848">
            <w:pPr>
              <w:numPr>
                <w:ilvl w:val="0"/>
                <w:numId w:val="83"/>
              </w:numPr>
              <w:spacing w:after="0"/>
              <w:contextualSpacing/>
              <w:rPr>
                <w:sz w:val="20"/>
                <w:szCs w:val="20"/>
              </w:rPr>
            </w:pPr>
            <w:r w:rsidRPr="009A27ED">
              <w:rPr>
                <w:sz w:val="20"/>
                <w:szCs w:val="20"/>
              </w:rPr>
              <w:t xml:space="preserve">Fortalecer las capacidades locales para promover el desarrollo socioeconómico y ambiental en las comunidades; </w:t>
            </w:r>
          </w:p>
          <w:p w14:paraId="39A43716" w14:textId="77777777" w:rsidR="006C773F" w:rsidRPr="009A27ED" w:rsidRDefault="006C773F" w:rsidP="004D2848">
            <w:pPr>
              <w:numPr>
                <w:ilvl w:val="0"/>
                <w:numId w:val="83"/>
              </w:numPr>
              <w:spacing w:after="0"/>
              <w:contextualSpacing/>
              <w:rPr>
                <w:sz w:val="20"/>
                <w:szCs w:val="20"/>
              </w:rPr>
            </w:pPr>
            <w:r w:rsidRPr="009A27ED">
              <w:rPr>
                <w:sz w:val="20"/>
                <w:szCs w:val="20"/>
              </w:rPr>
              <w:t xml:space="preserve">Construcción y equipamiento de infraestructuras para mejorar la comercialización.  </w:t>
            </w:r>
          </w:p>
          <w:p w14:paraId="6BE22819" w14:textId="77777777" w:rsidR="006C773F" w:rsidRPr="009A27ED" w:rsidRDefault="006C773F" w:rsidP="004D2848">
            <w:pPr>
              <w:numPr>
                <w:ilvl w:val="0"/>
                <w:numId w:val="83"/>
              </w:numPr>
              <w:spacing w:after="0"/>
              <w:jc w:val="left"/>
              <w:rPr>
                <w:b/>
                <w:color w:val="000000" w:themeColor="text1"/>
                <w:sz w:val="20"/>
                <w:szCs w:val="20"/>
              </w:rPr>
            </w:pPr>
            <w:r w:rsidRPr="009A27ED">
              <w:rPr>
                <w:sz w:val="20"/>
                <w:szCs w:val="20"/>
              </w:rPr>
              <w:t xml:space="preserve">Mejorar el acceso a las zonas productivas, a través de la rehabilitación de caminos Vecinales e </w:t>
            </w:r>
            <w:proofErr w:type="spellStart"/>
            <w:r w:rsidRPr="009A27ED">
              <w:rPr>
                <w:sz w:val="20"/>
                <w:szCs w:val="20"/>
              </w:rPr>
              <w:t>Interparcelarios</w:t>
            </w:r>
            <w:proofErr w:type="spellEnd"/>
            <w:r w:rsidRPr="009A27ED">
              <w:rPr>
                <w:sz w:val="20"/>
                <w:szCs w:val="20"/>
              </w:rPr>
              <w:t xml:space="preserve">. </w:t>
            </w:r>
          </w:p>
        </w:tc>
        <w:tc>
          <w:tcPr>
            <w:tcW w:w="4317" w:type="dxa"/>
          </w:tcPr>
          <w:p w14:paraId="5E293081" w14:textId="77777777" w:rsidR="006C773F" w:rsidRPr="009A27ED" w:rsidRDefault="006C773F" w:rsidP="004D2848">
            <w:pPr>
              <w:spacing w:after="0"/>
              <w:rPr>
                <w:b/>
                <w:sz w:val="20"/>
                <w:szCs w:val="20"/>
              </w:rPr>
            </w:pPr>
            <w:r w:rsidRPr="009A27ED">
              <w:rPr>
                <w:b/>
                <w:sz w:val="20"/>
                <w:szCs w:val="20"/>
              </w:rPr>
              <w:lastRenderedPageBreak/>
              <w:t xml:space="preserve">Principales resultados </w:t>
            </w:r>
          </w:p>
          <w:p w14:paraId="6D36B494" w14:textId="77777777" w:rsidR="006C773F" w:rsidRPr="009A27ED" w:rsidRDefault="006C773F" w:rsidP="004D2848">
            <w:pPr>
              <w:autoSpaceDE w:val="0"/>
              <w:autoSpaceDN w:val="0"/>
              <w:adjustRightInd w:val="0"/>
              <w:spacing w:after="0"/>
              <w:rPr>
                <w:rFonts w:eastAsia="Times New Roman"/>
                <w:b/>
                <w:color w:val="000000" w:themeColor="text1"/>
                <w:sz w:val="20"/>
                <w:szCs w:val="20"/>
              </w:rPr>
            </w:pPr>
          </w:p>
        </w:tc>
      </w:tr>
    </w:tbl>
    <w:p w14:paraId="538603B7" w14:textId="77777777" w:rsidR="006C773F" w:rsidRPr="009A27ED" w:rsidRDefault="006C773F" w:rsidP="00615080">
      <w:pPr>
        <w:spacing w:after="0" w:line="360" w:lineRule="auto"/>
        <w:contextualSpacing/>
        <w:rPr>
          <w:rFonts w:cstheme="minorBidi"/>
          <w:b/>
          <w:color w:val="ED7D31" w:themeColor="accent2"/>
          <w:sz w:val="20"/>
          <w:szCs w:val="20"/>
        </w:rPr>
      </w:pPr>
    </w:p>
    <w:tbl>
      <w:tblPr>
        <w:tblStyle w:val="Tablaconcuadrcula"/>
        <w:tblW w:w="0" w:type="auto"/>
        <w:tblLook w:val="04A0" w:firstRow="1" w:lastRow="0" w:firstColumn="1" w:lastColumn="0" w:noHBand="0" w:noVBand="1"/>
      </w:tblPr>
      <w:tblGrid>
        <w:gridCol w:w="4316"/>
        <w:gridCol w:w="4317"/>
        <w:gridCol w:w="4317"/>
      </w:tblGrid>
      <w:tr w:rsidR="006C773F" w:rsidRPr="009A27ED" w14:paraId="363DDF22" w14:textId="77777777" w:rsidTr="004D2848">
        <w:tc>
          <w:tcPr>
            <w:tcW w:w="12950" w:type="dxa"/>
            <w:gridSpan w:val="3"/>
            <w:shd w:val="clear" w:color="auto" w:fill="2F5496" w:themeFill="accent5" w:themeFillShade="BF"/>
          </w:tcPr>
          <w:p w14:paraId="5D42F7AE" w14:textId="77777777" w:rsidR="006C773F" w:rsidRPr="009A27ED" w:rsidRDefault="006C773F" w:rsidP="004D2848">
            <w:pPr>
              <w:spacing w:after="0"/>
              <w:jc w:val="left"/>
              <w:outlineLvl w:val="2"/>
              <w:rPr>
                <w:rFonts w:eastAsiaTheme="majorEastAsia"/>
                <w:b/>
                <w:color w:val="FFFFFF" w:themeColor="background1"/>
                <w:sz w:val="28"/>
                <w:szCs w:val="28"/>
                <w:lang w:val="es-DO"/>
              </w:rPr>
            </w:pPr>
            <w:bookmarkStart w:id="105" w:name="_Toc18505667"/>
            <w:bookmarkStart w:id="106" w:name="_Toc111837925"/>
            <w:r w:rsidRPr="009A27ED">
              <w:rPr>
                <w:rFonts w:eastAsiaTheme="majorEastAsia"/>
                <w:b/>
                <w:color w:val="FFFFFF" w:themeColor="background1"/>
                <w:sz w:val="28"/>
                <w:szCs w:val="28"/>
                <w:lang w:val="es-DO"/>
              </w:rPr>
              <w:t>7. Sistemas Silvopastoriles y Conservación de bosque en fincas ganaderas – Dirección General de Ganadería (DIGEGA) y Consejo Nacional para la Reglamentación y Fomento de la Industria Lechera CONALECHE</w:t>
            </w:r>
            <w:bookmarkEnd w:id="105"/>
            <w:r w:rsidRPr="009A27ED">
              <w:rPr>
                <w:rFonts w:eastAsiaTheme="majorEastAsia"/>
                <w:b/>
                <w:color w:val="FFFFFF" w:themeColor="background1"/>
                <w:sz w:val="28"/>
                <w:szCs w:val="28"/>
                <w:lang w:val="es-DO"/>
              </w:rPr>
              <w:t xml:space="preserve"> -</w:t>
            </w:r>
            <w:bookmarkEnd w:id="106"/>
          </w:p>
          <w:p w14:paraId="6D24C246" w14:textId="77777777" w:rsidR="006C773F" w:rsidRPr="009A27ED" w:rsidRDefault="006C773F" w:rsidP="004D2848">
            <w:pPr>
              <w:spacing w:after="0"/>
              <w:jc w:val="left"/>
              <w:outlineLvl w:val="2"/>
              <w:rPr>
                <w:rFonts w:eastAsiaTheme="majorEastAsia"/>
                <w:b/>
                <w:color w:val="FFFFFF" w:themeColor="background1"/>
                <w:sz w:val="28"/>
                <w:szCs w:val="28"/>
                <w:lang w:val="es-DO"/>
              </w:rPr>
            </w:pPr>
            <w:bookmarkStart w:id="107" w:name="_Toc111837926"/>
            <w:r w:rsidRPr="009A27ED">
              <w:rPr>
                <w:rFonts w:eastAsiaTheme="majorEastAsia"/>
                <w:b/>
                <w:color w:val="FFFFFF" w:themeColor="background1"/>
                <w:sz w:val="28"/>
                <w:szCs w:val="28"/>
                <w:lang w:val="es-DO"/>
              </w:rPr>
              <w:t>Programa MEGALECHE</w:t>
            </w:r>
            <w:bookmarkEnd w:id="107"/>
            <w:r w:rsidRPr="009A27ED">
              <w:rPr>
                <w:rFonts w:eastAsiaTheme="majorEastAsia"/>
                <w:b/>
                <w:color w:val="FFFFFF" w:themeColor="background1"/>
                <w:sz w:val="28"/>
                <w:szCs w:val="28"/>
                <w:lang w:val="es-DO"/>
              </w:rPr>
              <w:t xml:space="preserve"> </w:t>
            </w:r>
          </w:p>
        </w:tc>
      </w:tr>
      <w:tr w:rsidR="006C773F" w:rsidRPr="009A27ED" w14:paraId="4AE52F9C" w14:textId="77777777" w:rsidTr="004D2848">
        <w:tc>
          <w:tcPr>
            <w:tcW w:w="12950" w:type="dxa"/>
            <w:gridSpan w:val="3"/>
          </w:tcPr>
          <w:p w14:paraId="7EA5DDCF" w14:textId="77777777" w:rsidR="006C773F" w:rsidRPr="009A27ED" w:rsidRDefault="006C773F" w:rsidP="004D2848">
            <w:pPr>
              <w:rPr>
                <w:b/>
                <w:color w:val="000000" w:themeColor="text1"/>
                <w:sz w:val="20"/>
                <w:szCs w:val="20"/>
              </w:rPr>
            </w:pPr>
            <w:r w:rsidRPr="009A27ED">
              <w:rPr>
                <w:b/>
                <w:color w:val="000000" w:themeColor="text1"/>
                <w:sz w:val="20"/>
                <w:szCs w:val="20"/>
              </w:rPr>
              <w:t>Descripción del Sistema</w:t>
            </w:r>
          </w:p>
          <w:p w14:paraId="3C3B52D3" w14:textId="77777777" w:rsidR="006C773F" w:rsidRPr="009A27ED" w:rsidRDefault="006C773F" w:rsidP="004D2848">
            <w:pPr>
              <w:rPr>
                <w:b/>
                <w:color w:val="2F5496" w:themeColor="accent5" w:themeShade="BF"/>
                <w:sz w:val="20"/>
                <w:szCs w:val="20"/>
              </w:rPr>
            </w:pPr>
            <w:r w:rsidRPr="009A27ED">
              <w:rPr>
                <w:sz w:val="20"/>
                <w:szCs w:val="20"/>
              </w:rPr>
              <w:t xml:space="preserve">La ganadería es considerada como la actividad de producción primaria que ocupa la mayor extensión del territorio nacional. No obstante, a través de acciones de restauración, regeneración natural y la conservación de rodales de bosques presenta un gran potencial para la reducción de emisiones por deforestación y degradación. La incorporación de un componente arbóreo en las fincas ganaderas, (sistemas silvopastoriles) es de singular importancia como contribución a la contabilidad de emisiones.  Las actividades se desarrollan a nivel nacional </w:t>
            </w:r>
          </w:p>
        </w:tc>
      </w:tr>
      <w:tr w:rsidR="006C773F" w:rsidRPr="009A27ED" w14:paraId="5F5504F6" w14:textId="77777777" w:rsidTr="004D2848">
        <w:tc>
          <w:tcPr>
            <w:tcW w:w="12950" w:type="dxa"/>
            <w:gridSpan w:val="3"/>
          </w:tcPr>
          <w:p w14:paraId="55604E09" w14:textId="77777777" w:rsidR="006C773F" w:rsidRPr="009A27ED" w:rsidRDefault="006C773F" w:rsidP="004D2848">
            <w:pPr>
              <w:rPr>
                <w:b/>
                <w:sz w:val="20"/>
                <w:szCs w:val="20"/>
              </w:rPr>
            </w:pPr>
            <w:r w:rsidRPr="009A27ED">
              <w:rPr>
                <w:b/>
                <w:sz w:val="20"/>
                <w:szCs w:val="20"/>
              </w:rPr>
              <w:t>Fundamento Legal</w:t>
            </w:r>
          </w:p>
          <w:p w14:paraId="49894ECE" w14:textId="77777777" w:rsidR="00E27902" w:rsidRPr="009A27ED" w:rsidRDefault="006C773F" w:rsidP="00E27902">
            <w:pPr>
              <w:spacing w:after="0"/>
              <w:rPr>
                <w:b/>
                <w:color w:val="2F5496" w:themeColor="accent5" w:themeShade="BF"/>
                <w:sz w:val="20"/>
                <w:szCs w:val="20"/>
              </w:rPr>
            </w:pPr>
            <w:r w:rsidRPr="009A27ED">
              <w:rPr>
                <w:sz w:val="20"/>
                <w:szCs w:val="20"/>
              </w:rPr>
              <w:t xml:space="preserve">El Consejo Nacional para la Reglamentación y Fomento de la Industria Lechera (CONALECHE), fue creado por la Ley 180-01, y es la institución oficial encargada de velar por el crecimiento y desarrollo del sector lechero de nuestro país. Se dedica a la elaboración y ejecución de una política lechera que promueva la </w:t>
            </w:r>
            <w:r w:rsidRPr="009A27ED">
              <w:rPr>
                <w:sz w:val="20"/>
                <w:szCs w:val="20"/>
              </w:rPr>
              <w:lastRenderedPageBreak/>
              <w:t>autosuficiencia y mejore los niveles de productividad y competitividad del sector.</w:t>
            </w:r>
            <w:r w:rsidRPr="009A27ED">
              <w:rPr>
                <w:b/>
                <w:color w:val="000000" w:themeColor="text1"/>
                <w:sz w:val="20"/>
                <w:szCs w:val="20"/>
              </w:rPr>
              <w:t xml:space="preserve"> </w:t>
            </w:r>
            <w:r w:rsidR="00E27902" w:rsidRPr="009A27ED">
              <w:rPr>
                <w:b/>
                <w:color w:val="000000" w:themeColor="text1"/>
                <w:sz w:val="20"/>
                <w:szCs w:val="20"/>
              </w:rPr>
              <w:t xml:space="preserve">Forma parte del ministerio </w:t>
            </w:r>
            <w:r w:rsidR="00E27902" w:rsidRPr="009A27ED">
              <w:rPr>
                <w:sz w:val="20"/>
                <w:szCs w:val="20"/>
              </w:rPr>
              <w:t>El Ministerio de Agricultura fue creado por la Ley 8 de 1965 (creado en su inicio como una Secretaría y luego designado Ministerio por el Decreto presidencial 56-10 del 2011)</w:t>
            </w:r>
            <w:r w:rsidR="00E27902" w:rsidRPr="009A27ED">
              <w:rPr>
                <w:b/>
                <w:color w:val="2F5496" w:themeColor="accent5" w:themeShade="BF"/>
                <w:sz w:val="20"/>
                <w:szCs w:val="20"/>
              </w:rPr>
              <w:t xml:space="preserve"> </w:t>
            </w:r>
          </w:p>
          <w:p w14:paraId="6A9E8B5B" w14:textId="33A1017D" w:rsidR="006C773F" w:rsidRPr="009A27ED" w:rsidRDefault="006C773F" w:rsidP="004D2848">
            <w:pPr>
              <w:rPr>
                <w:b/>
                <w:color w:val="000000" w:themeColor="text1"/>
                <w:sz w:val="20"/>
                <w:szCs w:val="20"/>
              </w:rPr>
            </w:pPr>
          </w:p>
        </w:tc>
      </w:tr>
      <w:tr w:rsidR="006C773F" w:rsidRPr="009A27ED" w14:paraId="5CB2907C" w14:textId="77777777" w:rsidTr="004D2848">
        <w:tc>
          <w:tcPr>
            <w:tcW w:w="12950" w:type="dxa"/>
            <w:gridSpan w:val="3"/>
          </w:tcPr>
          <w:p w14:paraId="5BAC4894" w14:textId="77777777" w:rsidR="006C773F" w:rsidRPr="009A27ED" w:rsidRDefault="006C773F" w:rsidP="004D2848">
            <w:pPr>
              <w:rPr>
                <w:b/>
                <w:sz w:val="20"/>
                <w:szCs w:val="20"/>
              </w:rPr>
            </w:pPr>
            <w:r w:rsidRPr="009A27ED">
              <w:rPr>
                <w:b/>
                <w:sz w:val="20"/>
                <w:szCs w:val="20"/>
              </w:rPr>
              <w:t>Objetivos</w:t>
            </w:r>
          </w:p>
          <w:p w14:paraId="7B692F3A" w14:textId="77777777" w:rsidR="006C773F" w:rsidRPr="009A27ED" w:rsidRDefault="006C773F" w:rsidP="004D2848">
            <w:pPr>
              <w:numPr>
                <w:ilvl w:val="0"/>
                <w:numId w:val="93"/>
              </w:numPr>
              <w:contextualSpacing/>
              <w:rPr>
                <w:sz w:val="20"/>
                <w:szCs w:val="20"/>
              </w:rPr>
            </w:pPr>
            <w:r w:rsidRPr="009A27ED">
              <w:rPr>
                <w:sz w:val="20"/>
                <w:szCs w:val="20"/>
              </w:rPr>
              <w:t>Elevar la productividad, competitividad y sostenibilidad ambiental y financiera de las cadenas Agro-productivas, a fin de contribuir a la seguridad alimentaria, aprovechar el potencial exportador y generar empleo e ingresos para la población rural.</w:t>
            </w:r>
          </w:p>
          <w:p w14:paraId="0D45BFA1" w14:textId="77777777" w:rsidR="006C773F" w:rsidRPr="009A27ED" w:rsidRDefault="006C773F" w:rsidP="004D2848">
            <w:pPr>
              <w:numPr>
                <w:ilvl w:val="0"/>
                <w:numId w:val="93"/>
              </w:numPr>
              <w:contextualSpacing/>
              <w:rPr>
                <w:sz w:val="20"/>
                <w:szCs w:val="20"/>
              </w:rPr>
            </w:pPr>
            <w:r w:rsidRPr="009A27ED">
              <w:rPr>
                <w:sz w:val="20"/>
                <w:szCs w:val="20"/>
              </w:rPr>
              <w:t>Desarrollar un sector manufacturero articulador del aparato productivo nacional, ambientalmente sostenible e integrado a los mercados globales con creciente escalamiento en las cadenas de valor.</w:t>
            </w:r>
          </w:p>
          <w:p w14:paraId="47D54B32" w14:textId="77777777" w:rsidR="006C773F" w:rsidRPr="009A27ED" w:rsidRDefault="006C773F" w:rsidP="004D2848">
            <w:pPr>
              <w:ind w:left="360"/>
              <w:contextualSpacing/>
              <w:rPr>
                <w:sz w:val="20"/>
                <w:szCs w:val="20"/>
              </w:rPr>
            </w:pPr>
          </w:p>
        </w:tc>
      </w:tr>
      <w:tr w:rsidR="006C773F" w:rsidRPr="009A27ED" w14:paraId="05E1F5C6" w14:textId="77777777" w:rsidTr="004D2848">
        <w:tc>
          <w:tcPr>
            <w:tcW w:w="4316" w:type="dxa"/>
          </w:tcPr>
          <w:p w14:paraId="495DBE49" w14:textId="77777777" w:rsidR="006C773F" w:rsidRPr="009A27ED" w:rsidRDefault="006C773F" w:rsidP="004D2848">
            <w:pPr>
              <w:autoSpaceDE w:val="0"/>
              <w:autoSpaceDN w:val="0"/>
              <w:adjustRightInd w:val="0"/>
              <w:spacing w:after="0"/>
              <w:rPr>
                <w:rFonts w:eastAsia="Times New Roman"/>
                <w:b/>
                <w:color w:val="000000"/>
                <w:sz w:val="20"/>
                <w:szCs w:val="20"/>
              </w:rPr>
            </w:pPr>
            <w:r w:rsidRPr="009A27ED">
              <w:rPr>
                <w:rFonts w:eastAsia="Times New Roman"/>
                <w:b/>
                <w:color w:val="000000"/>
                <w:sz w:val="20"/>
                <w:szCs w:val="20"/>
              </w:rPr>
              <w:t>Funcionamiento</w:t>
            </w:r>
          </w:p>
          <w:p w14:paraId="2C59DD2C" w14:textId="77777777" w:rsidR="006C773F" w:rsidRPr="009A27ED" w:rsidRDefault="006C773F" w:rsidP="004D2848">
            <w:pPr>
              <w:autoSpaceDE w:val="0"/>
              <w:autoSpaceDN w:val="0"/>
              <w:adjustRightInd w:val="0"/>
              <w:spacing w:after="0"/>
              <w:rPr>
                <w:rFonts w:eastAsia="Times New Roman"/>
                <w:color w:val="000000" w:themeColor="text1"/>
                <w:sz w:val="20"/>
                <w:szCs w:val="20"/>
              </w:rPr>
            </w:pPr>
            <w:r w:rsidRPr="009A27ED">
              <w:rPr>
                <w:rFonts w:eastAsia="Times New Roman"/>
                <w:color w:val="000000" w:themeColor="text1"/>
                <w:sz w:val="20"/>
                <w:szCs w:val="20"/>
              </w:rPr>
              <w:t>Es la Institución que reglamenta, fomenta y elabora política para el desarrollo de la cadena láctea a nivel nacional a través de la promoción, el consenso, la formación, el apoyo y el estímulo a los actores de la lechería en el país.</w:t>
            </w:r>
          </w:p>
          <w:p w14:paraId="0E86B4FB" w14:textId="77777777" w:rsidR="006C773F" w:rsidRPr="009A27ED" w:rsidRDefault="006C773F" w:rsidP="004D2848">
            <w:pPr>
              <w:autoSpaceDE w:val="0"/>
              <w:autoSpaceDN w:val="0"/>
              <w:adjustRightInd w:val="0"/>
              <w:spacing w:after="0"/>
              <w:rPr>
                <w:rFonts w:eastAsia="Times New Roman"/>
                <w:color w:val="000000" w:themeColor="text1"/>
                <w:sz w:val="20"/>
                <w:szCs w:val="20"/>
              </w:rPr>
            </w:pPr>
            <w:r w:rsidRPr="009A27ED">
              <w:rPr>
                <w:rFonts w:eastAsia="Times New Roman"/>
                <w:color w:val="000000" w:themeColor="text1"/>
                <w:sz w:val="20"/>
                <w:szCs w:val="20"/>
              </w:rPr>
              <w:t>La parte operativa de CONALECHE está dirigida por una asamblea general, un consejo</w:t>
            </w:r>
          </w:p>
          <w:p w14:paraId="60D9CC69" w14:textId="77777777" w:rsidR="006C773F" w:rsidRPr="009A27ED" w:rsidRDefault="006C773F" w:rsidP="004D2848">
            <w:pPr>
              <w:autoSpaceDE w:val="0"/>
              <w:autoSpaceDN w:val="0"/>
              <w:adjustRightInd w:val="0"/>
              <w:spacing w:after="0"/>
              <w:rPr>
                <w:rFonts w:eastAsia="Times New Roman"/>
                <w:color w:val="000000" w:themeColor="text1"/>
                <w:sz w:val="20"/>
                <w:szCs w:val="20"/>
              </w:rPr>
            </w:pPr>
            <w:r w:rsidRPr="009A27ED">
              <w:rPr>
                <w:rFonts w:eastAsia="Times New Roman"/>
                <w:color w:val="000000" w:themeColor="text1"/>
                <w:sz w:val="20"/>
                <w:szCs w:val="20"/>
              </w:rPr>
              <w:t>directivo, un director ejecutivo, subdirector técnico, tres departamentos y cinco (5)</w:t>
            </w:r>
          </w:p>
          <w:p w14:paraId="1E83C013" w14:textId="77777777" w:rsidR="006C773F" w:rsidRPr="009A27ED" w:rsidRDefault="006C773F" w:rsidP="004D2848">
            <w:pPr>
              <w:autoSpaceDE w:val="0"/>
              <w:autoSpaceDN w:val="0"/>
              <w:adjustRightInd w:val="0"/>
              <w:spacing w:after="0"/>
              <w:rPr>
                <w:rFonts w:eastAsia="Times New Roman"/>
                <w:b/>
                <w:color w:val="000000" w:themeColor="text1"/>
                <w:sz w:val="20"/>
                <w:szCs w:val="20"/>
              </w:rPr>
            </w:pPr>
            <w:r w:rsidRPr="009A27ED">
              <w:rPr>
                <w:rFonts w:eastAsia="Times New Roman"/>
                <w:color w:val="000000" w:themeColor="text1"/>
                <w:sz w:val="20"/>
                <w:szCs w:val="20"/>
              </w:rPr>
              <w:t>divisiones técnica y secciones de servicios.</w:t>
            </w:r>
          </w:p>
        </w:tc>
        <w:tc>
          <w:tcPr>
            <w:tcW w:w="4317" w:type="dxa"/>
          </w:tcPr>
          <w:p w14:paraId="3F6C49E8" w14:textId="77777777" w:rsidR="006C773F" w:rsidRPr="009A27ED" w:rsidRDefault="006C773F" w:rsidP="004D2848">
            <w:pPr>
              <w:rPr>
                <w:b/>
                <w:sz w:val="20"/>
                <w:szCs w:val="20"/>
              </w:rPr>
            </w:pPr>
            <w:r w:rsidRPr="009A27ED">
              <w:rPr>
                <w:b/>
                <w:sz w:val="20"/>
                <w:szCs w:val="20"/>
              </w:rPr>
              <w:t>Entidad Ejecutora</w:t>
            </w:r>
          </w:p>
          <w:p w14:paraId="385C1B2E" w14:textId="77777777" w:rsidR="006C773F" w:rsidRPr="009A27ED" w:rsidRDefault="006C773F" w:rsidP="004D2848">
            <w:pPr>
              <w:keepNext/>
              <w:numPr>
                <w:ilvl w:val="0"/>
                <w:numId w:val="90"/>
              </w:numPr>
              <w:spacing w:after="0"/>
              <w:rPr>
                <w:rFonts w:eastAsia="Calibri"/>
                <w:bCs/>
                <w:color w:val="000000" w:themeColor="text1"/>
                <w:kern w:val="28"/>
                <w:sz w:val="20"/>
                <w:szCs w:val="20"/>
                <w:bdr w:val="none" w:sz="0" w:space="0" w:color="auto" w:frame="1"/>
                <w:lang w:val="es-GT" w:eastAsia="nl-NL"/>
              </w:rPr>
            </w:pPr>
            <w:r w:rsidRPr="009A27ED">
              <w:rPr>
                <w:rFonts w:eastAsia="Calibri"/>
                <w:bCs/>
                <w:color w:val="000000" w:themeColor="text1"/>
                <w:kern w:val="28"/>
                <w:sz w:val="20"/>
                <w:szCs w:val="20"/>
                <w:bdr w:val="none" w:sz="0" w:space="0" w:color="auto" w:frame="1"/>
                <w:lang w:val="es-GT" w:eastAsia="nl-NL"/>
              </w:rPr>
              <w:t>Dirección General de Ganadería (DIGECA)</w:t>
            </w:r>
          </w:p>
          <w:p w14:paraId="408B7BA4" w14:textId="77777777" w:rsidR="006C773F" w:rsidRPr="009A27ED" w:rsidRDefault="006C773F" w:rsidP="004D2848">
            <w:pPr>
              <w:keepNext/>
              <w:numPr>
                <w:ilvl w:val="0"/>
                <w:numId w:val="90"/>
              </w:numPr>
              <w:spacing w:after="0"/>
              <w:rPr>
                <w:rFonts w:eastAsia="Calibri"/>
                <w:bCs/>
                <w:color w:val="000000" w:themeColor="text1"/>
                <w:kern w:val="28"/>
                <w:sz w:val="20"/>
                <w:szCs w:val="20"/>
                <w:bdr w:val="none" w:sz="0" w:space="0" w:color="auto" w:frame="1"/>
                <w:lang w:val="es-GT" w:eastAsia="nl-NL"/>
              </w:rPr>
            </w:pPr>
            <w:r w:rsidRPr="009A27ED">
              <w:rPr>
                <w:rFonts w:eastAsia="Calibri"/>
                <w:bCs/>
                <w:color w:val="000000" w:themeColor="text1"/>
                <w:kern w:val="28"/>
                <w:sz w:val="20"/>
                <w:szCs w:val="20"/>
                <w:bdr w:val="none" w:sz="0" w:space="0" w:color="auto" w:frame="1"/>
                <w:shd w:val="clear" w:color="auto" w:fill="FFFFFF"/>
                <w:lang w:val="es-GT" w:eastAsia="nl-NL"/>
              </w:rPr>
              <w:t>Consejo Nacional para la Reglamentación y Fomento de la Industria Lechera (</w:t>
            </w:r>
            <w:r w:rsidRPr="009A27ED">
              <w:rPr>
                <w:rFonts w:eastAsia="Calibri"/>
                <w:bCs/>
                <w:color w:val="000000" w:themeColor="text1"/>
                <w:kern w:val="28"/>
                <w:sz w:val="20"/>
                <w:szCs w:val="20"/>
                <w:bdr w:val="none" w:sz="0" w:space="0" w:color="auto" w:frame="1"/>
                <w:lang w:val="es-GT" w:eastAsia="nl-NL"/>
              </w:rPr>
              <w:t>CONALECHE) adscritas al Ministerio de Agricultura</w:t>
            </w:r>
          </w:p>
          <w:p w14:paraId="42132ACE" w14:textId="77777777" w:rsidR="006C773F" w:rsidRPr="009A27ED" w:rsidRDefault="006C773F" w:rsidP="004D2848">
            <w:pPr>
              <w:spacing w:after="200" w:line="276" w:lineRule="auto"/>
              <w:ind w:left="720"/>
              <w:contextualSpacing/>
              <w:rPr>
                <w:b/>
                <w:color w:val="000000" w:themeColor="text1"/>
                <w:sz w:val="20"/>
                <w:szCs w:val="20"/>
              </w:rPr>
            </w:pPr>
          </w:p>
        </w:tc>
        <w:tc>
          <w:tcPr>
            <w:tcW w:w="4317" w:type="dxa"/>
          </w:tcPr>
          <w:p w14:paraId="745DEDB6" w14:textId="77777777" w:rsidR="006C773F" w:rsidRPr="009A27ED" w:rsidRDefault="006C773F" w:rsidP="004D2848">
            <w:pPr>
              <w:jc w:val="left"/>
              <w:rPr>
                <w:b/>
                <w:sz w:val="20"/>
                <w:szCs w:val="20"/>
              </w:rPr>
            </w:pPr>
            <w:r w:rsidRPr="009A27ED">
              <w:rPr>
                <w:b/>
                <w:sz w:val="20"/>
                <w:szCs w:val="20"/>
              </w:rPr>
              <w:t>Gobernanza</w:t>
            </w:r>
          </w:p>
          <w:p w14:paraId="527546E4" w14:textId="77777777" w:rsidR="006C773F" w:rsidRPr="009A27ED" w:rsidRDefault="006C773F" w:rsidP="004D2848">
            <w:pPr>
              <w:autoSpaceDE w:val="0"/>
              <w:autoSpaceDN w:val="0"/>
              <w:adjustRightInd w:val="0"/>
              <w:spacing w:after="0"/>
              <w:jc w:val="left"/>
              <w:rPr>
                <w:rFonts w:eastAsia="Times New Roman"/>
                <w:color w:val="000000"/>
                <w:sz w:val="20"/>
                <w:szCs w:val="20"/>
              </w:rPr>
            </w:pPr>
            <w:r w:rsidRPr="009A27ED">
              <w:rPr>
                <w:rFonts w:eastAsia="Times New Roman"/>
                <w:color w:val="000000"/>
                <w:sz w:val="20"/>
                <w:szCs w:val="20"/>
              </w:rPr>
              <w:t>La Dirección General de Ganadería es una dependencia del Ministerio de Agricultura y tiene como misión promover el desarrollo de la pecuaria nacional mediante políticas, planes, programas y proyectos que impulsen la productividad y la competitividad de los productores/as pecuarios y resguarden la sanidad animal, a fin de alcanzar un mayor posicionamiento en el mercado local e internacional.</w:t>
            </w:r>
          </w:p>
          <w:p w14:paraId="782D88B1" w14:textId="77777777" w:rsidR="006C773F" w:rsidRPr="009A27ED" w:rsidRDefault="006C773F" w:rsidP="004D2848">
            <w:pPr>
              <w:jc w:val="left"/>
              <w:rPr>
                <w:sz w:val="20"/>
                <w:szCs w:val="20"/>
              </w:rPr>
            </w:pPr>
            <w:r w:rsidRPr="009A27ED">
              <w:rPr>
                <w:sz w:val="20"/>
                <w:szCs w:val="20"/>
              </w:rPr>
              <w:t>CONALECHE es un Consejo Nacional reglamentado por la Ley 180-01 dónde están representados los principales actores de la cadena láctea para establecer la política lechera nacional. Tiene como objetivos elevar la productividad, competitividad y sostenibilidad ambiental y financiera de la cadena láctea, a fin de contribuir a la seguridad alimentaria, aprovechar el potencial exportador y generar empleo e ingresos para la población rural. Asimismo, desarrollar un sector manufacturero articulado al aparato productivo nacional, bajo un sistema de producción ambientalmente sostenible.</w:t>
            </w:r>
          </w:p>
        </w:tc>
      </w:tr>
      <w:tr w:rsidR="006C773F" w:rsidRPr="009A27ED" w14:paraId="72832EDD" w14:textId="77777777" w:rsidTr="004D2848">
        <w:tc>
          <w:tcPr>
            <w:tcW w:w="4316" w:type="dxa"/>
          </w:tcPr>
          <w:p w14:paraId="489E6FFE" w14:textId="77777777" w:rsidR="006C773F" w:rsidRPr="009A27ED" w:rsidRDefault="006C773F" w:rsidP="004D2848">
            <w:pPr>
              <w:rPr>
                <w:b/>
                <w:sz w:val="20"/>
                <w:szCs w:val="20"/>
              </w:rPr>
            </w:pPr>
            <w:r w:rsidRPr="009A27ED">
              <w:rPr>
                <w:b/>
                <w:sz w:val="20"/>
                <w:szCs w:val="20"/>
              </w:rPr>
              <w:lastRenderedPageBreak/>
              <w:t>Fuente de recursos</w:t>
            </w:r>
          </w:p>
          <w:p w14:paraId="013B2C8F" w14:textId="77777777" w:rsidR="006C773F" w:rsidRPr="009A27ED" w:rsidRDefault="006C773F" w:rsidP="004D2848">
            <w:pPr>
              <w:numPr>
                <w:ilvl w:val="0"/>
                <w:numId w:val="96"/>
              </w:numPr>
              <w:contextualSpacing/>
              <w:rPr>
                <w:sz w:val="20"/>
                <w:szCs w:val="20"/>
                <w:lang w:val="es-GT"/>
              </w:rPr>
            </w:pPr>
            <w:r w:rsidRPr="009A27ED">
              <w:rPr>
                <w:sz w:val="20"/>
                <w:szCs w:val="20"/>
                <w:lang w:val="es-GT"/>
              </w:rPr>
              <w:t>Presupuesto General de la Nación</w:t>
            </w:r>
          </w:p>
          <w:p w14:paraId="56290FC9" w14:textId="77777777" w:rsidR="006C773F" w:rsidRPr="009A27ED" w:rsidRDefault="006C773F" w:rsidP="004D2848">
            <w:pPr>
              <w:numPr>
                <w:ilvl w:val="0"/>
                <w:numId w:val="96"/>
              </w:numPr>
              <w:contextualSpacing/>
              <w:rPr>
                <w:sz w:val="20"/>
                <w:szCs w:val="20"/>
                <w:lang w:val="es-GT"/>
              </w:rPr>
            </w:pPr>
            <w:r w:rsidRPr="009A27ED">
              <w:rPr>
                <w:sz w:val="20"/>
                <w:szCs w:val="20"/>
                <w:lang w:val="es-GT"/>
              </w:rPr>
              <w:t>CONALECHE, BANCO AGRÍCOLA</w:t>
            </w:r>
          </w:p>
          <w:p w14:paraId="004F87D0" w14:textId="77777777" w:rsidR="006C773F" w:rsidRPr="009A27ED" w:rsidRDefault="006C773F" w:rsidP="004D2848">
            <w:pPr>
              <w:rPr>
                <w:sz w:val="20"/>
                <w:szCs w:val="20"/>
              </w:rPr>
            </w:pPr>
          </w:p>
          <w:p w14:paraId="0619E3D3" w14:textId="77777777" w:rsidR="006C773F" w:rsidRPr="009A27ED" w:rsidRDefault="006C773F" w:rsidP="004D2848">
            <w:pPr>
              <w:rPr>
                <w:b/>
                <w:sz w:val="20"/>
                <w:szCs w:val="20"/>
              </w:rPr>
            </w:pPr>
          </w:p>
          <w:p w14:paraId="2A45BE0B" w14:textId="77777777" w:rsidR="006C773F" w:rsidRPr="009A27ED" w:rsidRDefault="006C773F" w:rsidP="004D2848">
            <w:pPr>
              <w:rPr>
                <w:b/>
                <w:sz w:val="20"/>
                <w:szCs w:val="20"/>
              </w:rPr>
            </w:pPr>
          </w:p>
          <w:p w14:paraId="50986A2C" w14:textId="77777777" w:rsidR="006C773F" w:rsidRPr="009A27ED" w:rsidRDefault="006C773F" w:rsidP="004D2848">
            <w:pPr>
              <w:autoSpaceDE w:val="0"/>
              <w:autoSpaceDN w:val="0"/>
              <w:adjustRightInd w:val="0"/>
              <w:rPr>
                <w:rFonts w:eastAsia="Times New Roman"/>
                <w:b/>
                <w:color w:val="000000" w:themeColor="text1"/>
                <w:sz w:val="20"/>
                <w:szCs w:val="20"/>
              </w:rPr>
            </w:pPr>
          </w:p>
        </w:tc>
        <w:tc>
          <w:tcPr>
            <w:tcW w:w="4317" w:type="dxa"/>
          </w:tcPr>
          <w:p w14:paraId="022DFA29" w14:textId="77777777" w:rsidR="006C773F" w:rsidRPr="009A27ED" w:rsidRDefault="006C773F" w:rsidP="004D2848">
            <w:pPr>
              <w:rPr>
                <w:b/>
                <w:sz w:val="20"/>
                <w:szCs w:val="20"/>
              </w:rPr>
            </w:pPr>
            <w:r w:rsidRPr="009A27ED">
              <w:rPr>
                <w:b/>
                <w:sz w:val="20"/>
                <w:szCs w:val="20"/>
              </w:rPr>
              <w:t>Actividades apoyadas</w:t>
            </w:r>
          </w:p>
          <w:p w14:paraId="38E29C5C" w14:textId="77777777" w:rsidR="006C773F" w:rsidRPr="009A27ED" w:rsidRDefault="006C773F" w:rsidP="004D2848">
            <w:pPr>
              <w:rPr>
                <w:sz w:val="20"/>
                <w:szCs w:val="20"/>
              </w:rPr>
            </w:pPr>
            <w:r w:rsidRPr="009A27ED">
              <w:rPr>
                <w:sz w:val="20"/>
                <w:szCs w:val="20"/>
              </w:rPr>
              <w:t>Las actividades que realiza CONALECHE, son las siguiente:</w:t>
            </w:r>
          </w:p>
          <w:p w14:paraId="6895485E" w14:textId="77777777" w:rsidR="006C773F" w:rsidRPr="009A27ED" w:rsidRDefault="006C773F" w:rsidP="004D2848">
            <w:pPr>
              <w:numPr>
                <w:ilvl w:val="0"/>
                <w:numId w:val="87"/>
              </w:numPr>
              <w:contextualSpacing/>
              <w:rPr>
                <w:sz w:val="20"/>
                <w:szCs w:val="20"/>
              </w:rPr>
            </w:pPr>
            <w:r w:rsidRPr="009A27ED">
              <w:rPr>
                <w:sz w:val="20"/>
                <w:szCs w:val="20"/>
              </w:rPr>
              <w:t>Fortalecer el liderazgo Institucional de las asociaciones de ganaderos.</w:t>
            </w:r>
          </w:p>
          <w:p w14:paraId="420631EA" w14:textId="77777777" w:rsidR="006C773F" w:rsidRPr="009A27ED" w:rsidRDefault="006C773F" w:rsidP="004D2848">
            <w:pPr>
              <w:numPr>
                <w:ilvl w:val="0"/>
                <w:numId w:val="87"/>
              </w:numPr>
              <w:contextualSpacing/>
              <w:rPr>
                <w:sz w:val="20"/>
                <w:szCs w:val="20"/>
              </w:rPr>
            </w:pPr>
            <w:r w:rsidRPr="009A27ED">
              <w:rPr>
                <w:sz w:val="20"/>
                <w:szCs w:val="20"/>
              </w:rPr>
              <w:t>Mejorar las condiciones de financiamiento e inversión del sector.</w:t>
            </w:r>
          </w:p>
          <w:p w14:paraId="02B5A9D7" w14:textId="77777777" w:rsidR="006C773F" w:rsidRPr="009A27ED" w:rsidRDefault="006C773F" w:rsidP="004D2848">
            <w:pPr>
              <w:numPr>
                <w:ilvl w:val="0"/>
                <w:numId w:val="87"/>
              </w:numPr>
              <w:contextualSpacing/>
              <w:rPr>
                <w:sz w:val="20"/>
                <w:szCs w:val="20"/>
              </w:rPr>
            </w:pPr>
            <w:r w:rsidRPr="009A27ED">
              <w:rPr>
                <w:sz w:val="20"/>
                <w:szCs w:val="20"/>
              </w:rPr>
              <w:t>Desarrollar el mercado.</w:t>
            </w:r>
          </w:p>
          <w:p w14:paraId="0E4149B1" w14:textId="77777777" w:rsidR="006C773F" w:rsidRPr="009A27ED" w:rsidRDefault="006C773F" w:rsidP="004D2848">
            <w:pPr>
              <w:numPr>
                <w:ilvl w:val="0"/>
                <w:numId w:val="87"/>
              </w:numPr>
              <w:contextualSpacing/>
              <w:rPr>
                <w:sz w:val="20"/>
                <w:szCs w:val="20"/>
              </w:rPr>
            </w:pPr>
            <w:r w:rsidRPr="009A27ED">
              <w:rPr>
                <w:sz w:val="20"/>
                <w:szCs w:val="20"/>
              </w:rPr>
              <w:t>Mejorar la calidad, rentabilidad y eficiencia de la cadena láctea.</w:t>
            </w:r>
          </w:p>
        </w:tc>
        <w:tc>
          <w:tcPr>
            <w:tcW w:w="4317" w:type="dxa"/>
          </w:tcPr>
          <w:p w14:paraId="79B4C1B3" w14:textId="77777777" w:rsidR="006C773F" w:rsidRPr="009A27ED" w:rsidRDefault="006C773F" w:rsidP="004D2848">
            <w:pPr>
              <w:rPr>
                <w:b/>
                <w:sz w:val="20"/>
                <w:szCs w:val="20"/>
              </w:rPr>
            </w:pPr>
            <w:r w:rsidRPr="009A27ED">
              <w:rPr>
                <w:b/>
                <w:sz w:val="20"/>
                <w:szCs w:val="20"/>
              </w:rPr>
              <w:t xml:space="preserve">Principales resultados </w:t>
            </w:r>
          </w:p>
          <w:p w14:paraId="2677DBED" w14:textId="77777777" w:rsidR="006C773F" w:rsidRPr="009A27ED" w:rsidRDefault="006C773F" w:rsidP="004D2848">
            <w:pPr>
              <w:numPr>
                <w:ilvl w:val="0"/>
                <w:numId w:val="94"/>
              </w:numPr>
              <w:autoSpaceDE w:val="0"/>
              <w:autoSpaceDN w:val="0"/>
              <w:adjustRightInd w:val="0"/>
              <w:rPr>
                <w:rFonts w:eastAsia="Times New Roman"/>
                <w:color w:val="000000" w:themeColor="text1"/>
                <w:sz w:val="20"/>
                <w:szCs w:val="20"/>
              </w:rPr>
            </w:pPr>
            <w:r w:rsidRPr="009A27ED">
              <w:rPr>
                <w:rFonts w:eastAsia="Times New Roman"/>
                <w:color w:val="000000" w:themeColor="text1"/>
                <w:sz w:val="20"/>
                <w:szCs w:val="20"/>
              </w:rPr>
              <w:t>2002-2018 se han colocado 4,625 préstamos por un monto de RD$ 2, 468, 965,697.00</w:t>
            </w:r>
          </w:p>
          <w:p w14:paraId="5F3CDC27" w14:textId="77777777" w:rsidR="006C773F" w:rsidRPr="009A27ED" w:rsidRDefault="006C773F" w:rsidP="004D2848">
            <w:pPr>
              <w:numPr>
                <w:ilvl w:val="0"/>
                <w:numId w:val="94"/>
              </w:numPr>
              <w:autoSpaceDE w:val="0"/>
              <w:autoSpaceDN w:val="0"/>
              <w:adjustRightInd w:val="0"/>
              <w:rPr>
                <w:rFonts w:eastAsia="Times New Roman"/>
                <w:color w:val="000000" w:themeColor="text1"/>
                <w:sz w:val="20"/>
                <w:szCs w:val="20"/>
              </w:rPr>
            </w:pPr>
            <w:r w:rsidRPr="009A27ED">
              <w:rPr>
                <w:rFonts w:eastAsia="Times New Roman"/>
                <w:color w:val="000000" w:themeColor="text1"/>
                <w:sz w:val="20"/>
                <w:szCs w:val="20"/>
              </w:rPr>
              <w:t>En lo que va del 2018 se han colocado 215 préstamos por un monto RD$ 204, 417,871.00</w:t>
            </w:r>
          </w:p>
          <w:p w14:paraId="3CD6A1D4" w14:textId="77777777" w:rsidR="006C773F" w:rsidRPr="009A27ED" w:rsidRDefault="006C773F" w:rsidP="004D2848">
            <w:pPr>
              <w:numPr>
                <w:ilvl w:val="0"/>
                <w:numId w:val="94"/>
              </w:numPr>
              <w:autoSpaceDE w:val="0"/>
              <w:autoSpaceDN w:val="0"/>
              <w:adjustRightInd w:val="0"/>
              <w:rPr>
                <w:rFonts w:eastAsia="Times New Roman"/>
                <w:color w:val="000000" w:themeColor="text1"/>
                <w:sz w:val="20"/>
                <w:szCs w:val="20"/>
              </w:rPr>
            </w:pPr>
            <w:r w:rsidRPr="009A27ED">
              <w:rPr>
                <w:rFonts w:eastAsia="Times New Roman"/>
                <w:color w:val="000000" w:themeColor="text1"/>
                <w:sz w:val="20"/>
                <w:szCs w:val="20"/>
              </w:rPr>
              <w:t>Ampliación del tipo de beneficiarios alcanzando a los procesadores representan el 15% del total de préstamos otorgados.</w:t>
            </w:r>
          </w:p>
          <w:p w14:paraId="110B1DCE" w14:textId="77777777" w:rsidR="006C773F" w:rsidRPr="009A27ED" w:rsidRDefault="006C773F" w:rsidP="004D2848">
            <w:pPr>
              <w:numPr>
                <w:ilvl w:val="0"/>
                <w:numId w:val="94"/>
              </w:numPr>
              <w:autoSpaceDE w:val="0"/>
              <w:autoSpaceDN w:val="0"/>
              <w:adjustRightInd w:val="0"/>
              <w:rPr>
                <w:rFonts w:eastAsia="Times New Roman"/>
                <w:b/>
                <w:color w:val="000000" w:themeColor="text1"/>
                <w:sz w:val="20"/>
                <w:szCs w:val="20"/>
              </w:rPr>
            </w:pPr>
            <w:r w:rsidRPr="009A27ED">
              <w:rPr>
                <w:rFonts w:eastAsia="Times New Roman"/>
                <w:color w:val="000000" w:themeColor="text1"/>
                <w:sz w:val="20"/>
                <w:szCs w:val="20"/>
              </w:rPr>
              <w:t>Reducción del índice de morosidad actualmente se encuentra en 14%</w:t>
            </w:r>
          </w:p>
        </w:tc>
      </w:tr>
    </w:tbl>
    <w:p w14:paraId="4F1CAE02" w14:textId="46B7FB23" w:rsidR="006C773F" w:rsidRPr="009A27ED" w:rsidRDefault="006C773F" w:rsidP="00615080">
      <w:pPr>
        <w:spacing w:after="0" w:line="360" w:lineRule="auto"/>
        <w:contextualSpacing/>
        <w:rPr>
          <w:rFonts w:cstheme="minorBidi"/>
          <w:b/>
          <w:color w:val="ED7D31" w:themeColor="accent2"/>
          <w:sz w:val="20"/>
          <w:szCs w:val="20"/>
        </w:rPr>
      </w:pPr>
    </w:p>
    <w:p w14:paraId="1B2A3DE4" w14:textId="77777777" w:rsidR="00350122" w:rsidRPr="009A27ED" w:rsidRDefault="00350122" w:rsidP="00615080">
      <w:pPr>
        <w:spacing w:after="0" w:line="360" w:lineRule="auto"/>
        <w:contextualSpacing/>
        <w:rPr>
          <w:rFonts w:cstheme="minorBidi"/>
          <w:b/>
          <w:color w:val="ED7D31" w:themeColor="accent2"/>
          <w:sz w:val="20"/>
          <w:szCs w:val="20"/>
        </w:rPr>
      </w:pPr>
    </w:p>
    <w:tbl>
      <w:tblPr>
        <w:tblStyle w:val="Tablaconcuadrcula"/>
        <w:tblW w:w="0" w:type="auto"/>
        <w:tblLook w:val="04A0" w:firstRow="1" w:lastRow="0" w:firstColumn="1" w:lastColumn="0" w:noHBand="0" w:noVBand="1"/>
      </w:tblPr>
      <w:tblGrid>
        <w:gridCol w:w="4316"/>
        <w:gridCol w:w="4317"/>
        <w:gridCol w:w="4317"/>
      </w:tblGrid>
      <w:tr w:rsidR="00BF5D35" w:rsidRPr="009A27ED" w14:paraId="7006E196" w14:textId="77777777" w:rsidTr="00615080">
        <w:tc>
          <w:tcPr>
            <w:tcW w:w="12950" w:type="dxa"/>
            <w:gridSpan w:val="3"/>
            <w:shd w:val="clear" w:color="auto" w:fill="2F5496" w:themeFill="accent5" w:themeFillShade="BF"/>
          </w:tcPr>
          <w:p w14:paraId="40113ABB" w14:textId="30F287E8" w:rsidR="00615080" w:rsidRPr="009A27ED" w:rsidRDefault="006C773F" w:rsidP="00C97A18">
            <w:pPr>
              <w:spacing w:after="0"/>
              <w:outlineLvl w:val="2"/>
              <w:rPr>
                <w:rFonts w:eastAsiaTheme="majorEastAsia"/>
                <w:b/>
                <w:sz w:val="28"/>
                <w:szCs w:val="28"/>
                <w:lang w:val="es-DO"/>
              </w:rPr>
            </w:pPr>
            <w:bookmarkStart w:id="108" w:name="_Toc18505665"/>
            <w:bookmarkStart w:id="109" w:name="_Toc111837927"/>
            <w:r w:rsidRPr="009A27ED">
              <w:rPr>
                <w:rFonts w:eastAsiaTheme="majorEastAsia"/>
                <w:b/>
                <w:color w:val="FFFFFF" w:themeColor="background1"/>
                <w:sz w:val="28"/>
                <w:szCs w:val="28"/>
                <w:lang w:val="es-DO"/>
              </w:rPr>
              <w:t xml:space="preserve">8. </w:t>
            </w:r>
            <w:r w:rsidR="00BF5D35" w:rsidRPr="009A27ED">
              <w:rPr>
                <w:rFonts w:eastAsiaTheme="majorEastAsia"/>
                <w:b/>
                <w:color w:val="FFFFFF" w:themeColor="background1"/>
                <w:sz w:val="28"/>
                <w:szCs w:val="28"/>
                <w:lang w:val="es-DO"/>
              </w:rPr>
              <w:t>Sistema Nacional de Áreas Protegidas</w:t>
            </w:r>
            <w:r w:rsidR="0054061B" w:rsidRPr="009A27ED">
              <w:rPr>
                <w:rFonts w:eastAsiaTheme="majorEastAsia"/>
                <w:b/>
                <w:color w:val="FFFFFF" w:themeColor="background1"/>
                <w:sz w:val="28"/>
                <w:szCs w:val="28"/>
                <w:lang w:val="es-DO"/>
              </w:rPr>
              <w:t xml:space="preserve"> (SINAP)</w:t>
            </w:r>
            <w:r w:rsidR="00BF5D35" w:rsidRPr="009A27ED">
              <w:rPr>
                <w:rFonts w:eastAsiaTheme="majorEastAsia"/>
                <w:b/>
                <w:color w:val="FFFFFF" w:themeColor="background1"/>
                <w:sz w:val="28"/>
                <w:szCs w:val="28"/>
                <w:lang w:val="es-DO"/>
              </w:rPr>
              <w:t xml:space="preserve"> </w:t>
            </w:r>
            <w:r w:rsidR="00615080" w:rsidRPr="009A27ED">
              <w:rPr>
                <w:rFonts w:eastAsiaTheme="majorEastAsia"/>
                <w:b/>
                <w:color w:val="FFFFFF" w:themeColor="background1"/>
                <w:sz w:val="28"/>
                <w:szCs w:val="28"/>
                <w:lang w:val="es-DO"/>
              </w:rPr>
              <w:t xml:space="preserve">– MARN - </w:t>
            </w:r>
            <w:r w:rsidR="00BF5D35" w:rsidRPr="009A27ED">
              <w:rPr>
                <w:rFonts w:eastAsiaTheme="majorEastAsia"/>
                <w:b/>
                <w:color w:val="FFFFFF" w:themeColor="background1"/>
                <w:sz w:val="28"/>
                <w:szCs w:val="28"/>
                <w:lang w:val="es-DO"/>
              </w:rPr>
              <w:t>Viceministerio de Áreas Protegidas y Biodiversidad</w:t>
            </w:r>
            <w:bookmarkEnd w:id="108"/>
            <w:bookmarkEnd w:id="109"/>
          </w:p>
        </w:tc>
      </w:tr>
      <w:tr w:rsidR="00BF5D35" w:rsidRPr="009A27ED" w14:paraId="383B5DED" w14:textId="77777777" w:rsidTr="006D2257">
        <w:tc>
          <w:tcPr>
            <w:tcW w:w="12950" w:type="dxa"/>
            <w:gridSpan w:val="3"/>
          </w:tcPr>
          <w:p w14:paraId="3906B869" w14:textId="77777777" w:rsidR="00BF5D35" w:rsidRPr="009A27ED" w:rsidRDefault="00BF5D35" w:rsidP="00BF5D35">
            <w:pPr>
              <w:rPr>
                <w:b/>
                <w:color w:val="000000" w:themeColor="text1"/>
                <w:sz w:val="20"/>
                <w:szCs w:val="20"/>
              </w:rPr>
            </w:pPr>
            <w:r w:rsidRPr="009A27ED">
              <w:rPr>
                <w:b/>
                <w:color w:val="000000" w:themeColor="text1"/>
                <w:sz w:val="20"/>
                <w:szCs w:val="20"/>
              </w:rPr>
              <w:t>Descripción del Sistema</w:t>
            </w:r>
          </w:p>
          <w:p w14:paraId="51DD776C" w14:textId="77777777" w:rsidR="00BF5D35" w:rsidRPr="009A27ED" w:rsidRDefault="00BF5D35" w:rsidP="00BF5D35">
            <w:pPr>
              <w:rPr>
                <w:b/>
                <w:color w:val="2F5496" w:themeColor="accent5" w:themeShade="BF"/>
                <w:sz w:val="20"/>
                <w:szCs w:val="20"/>
              </w:rPr>
            </w:pPr>
            <w:r w:rsidRPr="009A27ED">
              <w:rPr>
                <w:sz w:val="20"/>
                <w:szCs w:val="20"/>
              </w:rPr>
              <w:t xml:space="preserve">Es el conjunto armonizado de unidades naturales coordinadas dentro de sus propias categorías de manejo, las cuales poseen objetivos, características y tipos de manejo muy precisos y especializados, y diferentes entre ellas, y que, al considerarlas, administrarlas como conjunto, el Estado debe lograr que el sistema funcione como un solo ente. Las actividades se desarrollan en todo el territorio nacional, pues El Sistema Nacional de Áreas Protegidas abarca todo el país. Considerando que la República Dominicana posee un 25.82% de su territorio como área protegida, la protección y vigilancia de estos espacios naturales representan un gran potencial de emisiones evitadas. Pues, el Sistema Nacional de Áreas Protegidas alberga la mayor superficie de bosques del país. El 55% de la superficie de las áreas protegidas está representada por cobertura boscosa. También, la protección y vigilancia de estos espacios naturales contribuirá al aumento de las reservas de carbono forestal. </w:t>
            </w:r>
          </w:p>
        </w:tc>
      </w:tr>
      <w:tr w:rsidR="00BF5D35" w:rsidRPr="009A27ED" w14:paraId="2E057DED" w14:textId="77777777" w:rsidTr="006D2257">
        <w:tc>
          <w:tcPr>
            <w:tcW w:w="12950" w:type="dxa"/>
            <w:gridSpan w:val="3"/>
          </w:tcPr>
          <w:p w14:paraId="588F11F5" w14:textId="77777777" w:rsidR="00BF5D35" w:rsidRPr="009A27ED" w:rsidRDefault="00BF5D35" w:rsidP="00BF5D35">
            <w:pPr>
              <w:rPr>
                <w:b/>
                <w:sz w:val="20"/>
                <w:szCs w:val="20"/>
              </w:rPr>
            </w:pPr>
            <w:r w:rsidRPr="009A27ED">
              <w:rPr>
                <w:b/>
                <w:sz w:val="20"/>
                <w:szCs w:val="20"/>
              </w:rPr>
              <w:t>Fundamento Legal / criterios escogencia de las áreas protegidas</w:t>
            </w:r>
          </w:p>
          <w:p w14:paraId="03B0BB13" w14:textId="6354AD77" w:rsidR="00BF5D35" w:rsidRPr="009A27ED" w:rsidRDefault="00BF5D35" w:rsidP="00BF5D35">
            <w:pPr>
              <w:rPr>
                <w:b/>
                <w:color w:val="000000" w:themeColor="text1"/>
                <w:sz w:val="20"/>
                <w:szCs w:val="20"/>
              </w:rPr>
            </w:pPr>
            <w:r w:rsidRPr="009A27ED">
              <w:rPr>
                <w:sz w:val="20"/>
                <w:szCs w:val="20"/>
              </w:rPr>
              <w:t xml:space="preserve">Los instrumentos legales que definen el Sistema Nacional de Áreas Protegidas de la República Dominicana son, Ley Sectorial de Áreas Protegidas No. 202-04 del 30 de julio del 2004, Ley No. 121-04, Ley No. 174-09 del 3 de junio del 2009, Ley 313-14, Ley 519-14 del 14 de abril del 2014; los Decretos No. 571-09 del 7 de agosto del 2009, No. 249-11 del 25 de abril 2011, No. 371-11 del 13 de junio 2011, No. 654-11 del 25 de octubre 2011, No. 40-15, No. 90-16 del 29 de febrero 2016 y No. 266-16 del 3 de octubre 2016; bajo el marco de la Ley General de Medio Ambiente y Recursos Naturales No. 64-00 del 18 de agosto del año 2000. Las áreas protegidas se seleccionan siguiendo los siguientes criterios: Riqueza de especies, nivel de endemismos, presencia de especies de distribución restringida o bajo grado de amenaza, diversidad de ecosistemas presentes, presencia de ecosistemas singulares, presencia de fenómenos naturales importantes o frágiles, importancia de los servicios ambientales generados y viabilidad social para su preservación y manejo. Para el </w:t>
            </w:r>
            <w:r w:rsidR="00124B63" w:rsidRPr="009A27ED">
              <w:rPr>
                <w:sz w:val="20"/>
                <w:szCs w:val="20"/>
              </w:rPr>
              <w:t>Programa REDD+</w:t>
            </w:r>
            <w:r w:rsidRPr="009A27ED">
              <w:rPr>
                <w:sz w:val="20"/>
                <w:szCs w:val="20"/>
              </w:rPr>
              <w:t xml:space="preserve">, las áreas protegidas seleccionadas han sido aquellas que presentan alto potencial de emisiones evitadas provenientes de la deforestación y </w:t>
            </w:r>
            <w:r w:rsidRPr="009A27ED">
              <w:rPr>
                <w:sz w:val="20"/>
                <w:szCs w:val="20"/>
              </w:rPr>
              <w:lastRenderedPageBreak/>
              <w:t xml:space="preserve">degradación de los bosques. Dentro de las medidas de mitigación de impacto está la restauración ecológica de los ecosistemas degradados, vigilancia para evitar nuevas actividades de degradación y la inclusión de las comunidades en dicha actividad. Un ejemplo de estas actividades es la creación de viveros forestales manejados por personal de la comunidad. </w:t>
            </w:r>
          </w:p>
        </w:tc>
      </w:tr>
      <w:tr w:rsidR="00BF5D35" w:rsidRPr="009A27ED" w14:paraId="31C21364" w14:textId="77777777" w:rsidTr="006D2257">
        <w:trPr>
          <w:trHeight w:val="1187"/>
        </w:trPr>
        <w:tc>
          <w:tcPr>
            <w:tcW w:w="12950" w:type="dxa"/>
            <w:gridSpan w:val="3"/>
          </w:tcPr>
          <w:p w14:paraId="23BCC584" w14:textId="77777777" w:rsidR="00BF5D35" w:rsidRPr="009A27ED" w:rsidRDefault="00BF5D35" w:rsidP="00BF5D35">
            <w:pPr>
              <w:rPr>
                <w:b/>
                <w:sz w:val="20"/>
                <w:szCs w:val="20"/>
              </w:rPr>
            </w:pPr>
            <w:r w:rsidRPr="009A27ED">
              <w:rPr>
                <w:b/>
                <w:sz w:val="20"/>
                <w:szCs w:val="20"/>
              </w:rPr>
              <w:t>Objetivo</w:t>
            </w:r>
          </w:p>
          <w:p w14:paraId="1BF21952" w14:textId="77777777" w:rsidR="00BF5D35" w:rsidRPr="009A27ED" w:rsidRDefault="00BF5D35" w:rsidP="00BF5D35">
            <w:pPr>
              <w:rPr>
                <w:b/>
                <w:sz w:val="20"/>
                <w:szCs w:val="20"/>
              </w:rPr>
            </w:pPr>
            <w:r w:rsidRPr="009A27ED">
              <w:rPr>
                <w:sz w:val="20"/>
                <w:szCs w:val="20"/>
              </w:rPr>
              <w:t>El Sistema Nacional de Áreas Protegidas tiene como objetivo implementar los planes de manejo, así como definir e implementar las regulaciones y políticas sobre uso público, manejo sostenible, protección, vigilancia y aprovechamiento de los recursos de los espacios naturales protegidos. Abarca todo el territorio nacional, incluyendo muestras representativas de los distintos ecosistemas del país.</w:t>
            </w:r>
            <w:r w:rsidRPr="009A27ED">
              <w:rPr>
                <w:b/>
                <w:sz w:val="20"/>
                <w:szCs w:val="20"/>
              </w:rPr>
              <w:t xml:space="preserve"> </w:t>
            </w:r>
          </w:p>
        </w:tc>
      </w:tr>
      <w:tr w:rsidR="00BF5D35" w:rsidRPr="009A27ED" w14:paraId="25E40D39" w14:textId="77777777" w:rsidTr="006D2257">
        <w:tc>
          <w:tcPr>
            <w:tcW w:w="4316" w:type="dxa"/>
          </w:tcPr>
          <w:p w14:paraId="7D6EAA6F" w14:textId="77777777" w:rsidR="00BF5D35" w:rsidRPr="009A27ED" w:rsidRDefault="00BF5D35" w:rsidP="00BF5D35">
            <w:pPr>
              <w:rPr>
                <w:b/>
                <w:sz w:val="20"/>
                <w:szCs w:val="20"/>
              </w:rPr>
            </w:pPr>
            <w:r w:rsidRPr="009A27ED">
              <w:rPr>
                <w:b/>
                <w:sz w:val="20"/>
                <w:szCs w:val="20"/>
              </w:rPr>
              <w:t>Funcionamiento</w:t>
            </w:r>
          </w:p>
          <w:p w14:paraId="198D4CA1" w14:textId="77777777" w:rsidR="00BF5D35" w:rsidRPr="009A27ED" w:rsidRDefault="00BF5D35" w:rsidP="00BF5D35">
            <w:pPr>
              <w:rPr>
                <w:b/>
                <w:sz w:val="20"/>
                <w:szCs w:val="20"/>
              </w:rPr>
            </w:pPr>
            <w:r w:rsidRPr="009A27ED">
              <w:rPr>
                <w:sz w:val="20"/>
                <w:szCs w:val="20"/>
              </w:rPr>
              <w:t>El SINAP funciona dentro del</w:t>
            </w:r>
            <w:r w:rsidRPr="009A27ED">
              <w:rPr>
                <w:b/>
                <w:sz w:val="20"/>
                <w:szCs w:val="20"/>
              </w:rPr>
              <w:t xml:space="preserve"> </w:t>
            </w:r>
            <w:proofErr w:type="gramStart"/>
            <w:r w:rsidRPr="009A27ED">
              <w:rPr>
                <w:sz w:val="20"/>
                <w:szCs w:val="20"/>
              </w:rPr>
              <w:t>Vice Ministerio</w:t>
            </w:r>
            <w:proofErr w:type="gramEnd"/>
            <w:r w:rsidRPr="009A27ED">
              <w:rPr>
                <w:sz w:val="20"/>
                <w:szCs w:val="20"/>
              </w:rPr>
              <w:t xml:space="preserve"> de Áreas Protegidas y Biodiversidad del Ministerio de Medio Ambiente y Recursos Naturales, Dirección de Áreas Protegidas</w:t>
            </w:r>
          </w:p>
          <w:p w14:paraId="5CC169F8" w14:textId="77777777" w:rsidR="00BF5D35" w:rsidRPr="009A27ED" w:rsidRDefault="00BF5D35" w:rsidP="00BF5D35">
            <w:pPr>
              <w:autoSpaceDE w:val="0"/>
              <w:autoSpaceDN w:val="0"/>
              <w:adjustRightInd w:val="0"/>
              <w:spacing w:after="0"/>
              <w:rPr>
                <w:rFonts w:eastAsia="Times New Roman"/>
                <w:b/>
                <w:color w:val="000000" w:themeColor="text1"/>
                <w:sz w:val="20"/>
                <w:szCs w:val="20"/>
              </w:rPr>
            </w:pPr>
          </w:p>
        </w:tc>
        <w:tc>
          <w:tcPr>
            <w:tcW w:w="4317" w:type="dxa"/>
          </w:tcPr>
          <w:p w14:paraId="030B32C1" w14:textId="77777777" w:rsidR="00BF5D35" w:rsidRPr="009A27ED" w:rsidRDefault="00BF5D35" w:rsidP="00BF5D35">
            <w:pPr>
              <w:rPr>
                <w:b/>
                <w:sz w:val="20"/>
                <w:szCs w:val="20"/>
              </w:rPr>
            </w:pPr>
            <w:r w:rsidRPr="009A27ED">
              <w:rPr>
                <w:b/>
                <w:sz w:val="20"/>
                <w:szCs w:val="20"/>
              </w:rPr>
              <w:t>Gobernanza</w:t>
            </w:r>
          </w:p>
          <w:p w14:paraId="5FA6B98E" w14:textId="77777777" w:rsidR="00BF5D35" w:rsidRPr="009A27ED" w:rsidRDefault="00BF5D35" w:rsidP="00BF5D35">
            <w:pPr>
              <w:rPr>
                <w:sz w:val="20"/>
                <w:szCs w:val="20"/>
              </w:rPr>
            </w:pPr>
            <w:r w:rsidRPr="009A27ED">
              <w:rPr>
                <w:sz w:val="20"/>
                <w:szCs w:val="20"/>
              </w:rPr>
              <w:t>El SINAP funciona dentro del Ministerio de Medio Ambiente y Recursos Naturales, Viceministerio de Áreas Protegidas y Biodiversidad, Dirección de Áreas Protegidas.</w:t>
            </w:r>
          </w:p>
          <w:p w14:paraId="1A295335" w14:textId="77777777" w:rsidR="00BF5D35" w:rsidRPr="009A27ED" w:rsidRDefault="00BF5D35" w:rsidP="00BF5D35">
            <w:pPr>
              <w:rPr>
                <w:sz w:val="20"/>
                <w:szCs w:val="20"/>
              </w:rPr>
            </w:pPr>
            <w:r w:rsidRPr="009A27ED">
              <w:rPr>
                <w:sz w:val="20"/>
                <w:szCs w:val="20"/>
              </w:rPr>
              <w:t xml:space="preserve">El Ministerio de Medio Ambiente y Recursos Naturales es la responsable de la administración y manejo del Sistema Nacional de Áreas Protegidas, pudiendo administrar las mismas de forma directa o a través de acuerdos de </w:t>
            </w:r>
            <w:proofErr w:type="spellStart"/>
            <w:r w:rsidRPr="009A27ED">
              <w:rPr>
                <w:sz w:val="20"/>
                <w:szCs w:val="20"/>
              </w:rPr>
              <w:t>co-manejo</w:t>
            </w:r>
            <w:proofErr w:type="spellEnd"/>
            <w:r w:rsidRPr="009A27ED">
              <w:rPr>
                <w:sz w:val="20"/>
                <w:szCs w:val="20"/>
              </w:rPr>
              <w:t xml:space="preserve"> o convenios o contratos previstos en la legislación dominicana con personas jurídicas especializadas que demuestren capacidad para hacerlo.</w:t>
            </w:r>
          </w:p>
          <w:p w14:paraId="3E69E1D5" w14:textId="77777777" w:rsidR="00BF5D35" w:rsidRPr="009A27ED" w:rsidRDefault="00BF5D35" w:rsidP="00BF5D35">
            <w:pPr>
              <w:rPr>
                <w:b/>
                <w:color w:val="000000" w:themeColor="text1"/>
                <w:sz w:val="20"/>
                <w:szCs w:val="20"/>
              </w:rPr>
            </w:pPr>
          </w:p>
        </w:tc>
        <w:tc>
          <w:tcPr>
            <w:tcW w:w="4317" w:type="dxa"/>
          </w:tcPr>
          <w:p w14:paraId="7F099073" w14:textId="77777777" w:rsidR="00BF5D35" w:rsidRPr="009A27ED" w:rsidRDefault="00BF5D35" w:rsidP="00BF5D35">
            <w:pPr>
              <w:rPr>
                <w:b/>
                <w:sz w:val="20"/>
                <w:szCs w:val="20"/>
              </w:rPr>
            </w:pPr>
            <w:r w:rsidRPr="009A27ED">
              <w:rPr>
                <w:b/>
                <w:sz w:val="20"/>
                <w:szCs w:val="20"/>
              </w:rPr>
              <w:t>Fuente de recursos</w:t>
            </w:r>
          </w:p>
          <w:p w14:paraId="2CF79772" w14:textId="77777777" w:rsidR="00BF5D35" w:rsidRPr="009A27ED" w:rsidRDefault="00BF5D35" w:rsidP="00BF5D35">
            <w:pPr>
              <w:rPr>
                <w:color w:val="000000" w:themeColor="text1"/>
                <w:sz w:val="20"/>
                <w:szCs w:val="20"/>
              </w:rPr>
            </w:pPr>
            <w:r w:rsidRPr="009A27ED">
              <w:rPr>
                <w:color w:val="000000" w:themeColor="text1"/>
                <w:sz w:val="20"/>
                <w:szCs w:val="20"/>
              </w:rPr>
              <w:t>Los gastos generales y administrativos por el Ministerio de Medio Ambiente y Recursos Naturales y se apoya de Fondo Patrimonial para Áreas Protegidas, manejado por Fondo MARENA. Cuentan también con apoyo de agencias de cooperación internacional y entidades de la sociedad civil.</w:t>
            </w:r>
          </w:p>
          <w:p w14:paraId="3179BA12" w14:textId="77777777" w:rsidR="00BF5D35" w:rsidRPr="009A27ED" w:rsidRDefault="00BF5D35" w:rsidP="00BF5D35">
            <w:pPr>
              <w:rPr>
                <w:b/>
                <w:color w:val="000000" w:themeColor="text1"/>
                <w:sz w:val="20"/>
                <w:szCs w:val="20"/>
              </w:rPr>
            </w:pPr>
            <w:r w:rsidRPr="009A27ED">
              <w:rPr>
                <w:color w:val="000000" w:themeColor="text1"/>
                <w:sz w:val="20"/>
                <w:szCs w:val="20"/>
              </w:rPr>
              <w:t xml:space="preserve">En caso de un </w:t>
            </w:r>
            <w:proofErr w:type="spellStart"/>
            <w:r w:rsidRPr="009A27ED">
              <w:rPr>
                <w:color w:val="000000" w:themeColor="text1"/>
                <w:sz w:val="20"/>
                <w:szCs w:val="20"/>
              </w:rPr>
              <w:t>co-manejo</w:t>
            </w:r>
            <w:proofErr w:type="spellEnd"/>
            <w:r w:rsidRPr="009A27ED">
              <w:rPr>
                <w:color w:val="000000" w:themeColor="text1"/>
                <w:sz w:val="20"/>
                <w:szCs w:val="20"/>
              </w:rPr>
              <w:t xml:space="preserve"> es obligación del </w:t>
            </w:r>
            <w:proofErr w:type="spellStart"/>
            <w:r w:rsidRPr="009A27ED">
              <w:rPr>
                <w:color w:val="000000" w:themeColor="text1"/>
                <w:sz w:val="20"/>
                <w:szCs w:val="20"/>
              </w:rPr>
              <w:t>co-manejante</w:t>
            </w:r>
            <w:proofErr w:type="spellEnd"/>
            <w:r w:rsidRPr="009A27ED">
              <w:rPr>
                <w:color w:val="000000" w:themeColor="text1"/>
                <w:sz w:val="20"/>
                <w:szCs w:val="20"/>
              </w:rPr>
              <w:t xml:space="preserve"> financiar los gastos propios de sus operaciones en dicha área. En el acuerdo se contempla cual es el aporte financiero de cada una de las partes para el manejo efectivo del área protegida y el porcentaje de los ingresos obtenidos a ser reinvertidos en dicha área, El beneficio neto de las mismas será utilizado estrictamente para la conservación del Área Protegida.</w:t>
            </w:r>
          </w:p>
        </w:tc>
      </w:tr>
    </w:tbl>
    <w:p w14:paraId="34617763" w14:textId="7A8D0DEF" w:rsidR="00CB0374" w:rsidRPr="009A27ED" w:rsidRDefault="00CB0374" w:rsidP="00BF5D35">
      <w:pPr>
        <w:spacing w:after="200" w:line="360" w:lineRule="auto"/>
        <w:rPr>
          <w:i/>
          <w:iCs/>
          <w:color w:val="000000" w:themeColor="text1"/>
          <w:sz w:val="20"/>
          <w:szCs w:val="18"/>
        </w:rPr>
        <w:sectPr w:rsidR="00CB0374" w:rsidRPr="009A27ED" w:rsidSect="00BC6D88">
          <w:pgSz w:w="20635" w:h="12240" w:orient="landscape" w:code="1"/>
          <w:pgMar w:top="1701" w:right="6212" w:bottom="1701" w:left="1417" w:header="708" w:footer="708" w:gutter="0"/>
          <w:cols w:space="708"/>
          <w:docGrid w:linePitch="360"/>
        </w:sectPr>
      </w:pPr>
    </w:p>
    <w:p w14:paraId="7316E898" w14:textId="050DCAF4" w:rsidR="00303144" w:rsidRPr="009A27ED" w:rsidRDefault="00303144" w:rsidP="00303144">
      <w:pPr>
        <w:pStyle w:val="Ttulo3"/>
        <w:spacing w:line="360" w:lineRule="auto"/>
        <w:jc w:val="both"/>
        <w:rPr>
          <w:rFonts w:asciiTheme="minorHAnsi" w:hAnsiTheme="minorHAnsi" w:cstheme="minorHAnsi"/>
          <w:i/>
          <w:iCs/>
          <w:szCs w:val="20"/>
        </w:rPr>
      </w:pPr>
      <w:bookmarkStart w:id="110" w:name="_Toc111837928"/>
      <w:r w:rsidRPr="009A27ED">
        <w:rPr>
          <w:rFonts w:asciiTheme="minorHAnsi" w:eastAsia="Times New Roman" w:hAnsiTheme="minorHAnsi" w:cstheme="minorHAnsi"/>
          <w:i/>
          <w:iCs/>
          <w:sz w:val="24"/>
          <w:szCs w:val="20"/>
        </w:rPr>
        <w:lastRenderedPageBreak/>
        <w:t>Diagnóstico de capacidades de las entidades ejecutoras</w:t>
      </w:r>
      <w:bookmarkEnd w:id="110"/>
    </w:p>
    <w:p w14:paraId="2594DAA3" w14:textId="77777777" w:rsidR="00303144" w:rsidRPr="009A27ED" w:rsidRDefault="00303144" w:rsidP="00BF5D35">
      <w:pPr>
        <w:spacing w:line="360" w:lineRule="auto"/>
        <w:rPr>
          <w:b/>
          <w:bCs/>
          <w:lang w:eastAsia="es-ES_tradnl"/>
        </w:rPr>
      </w:pPr>
    </w:p>
    <w:p w14:paraId="101ABE9A" w14:textId="13B49D3C" w:rsidR="00BF5D35" w:rsidRPr="009A27ED" w:rsidRDefault="00BF5D35" w:rsidP="00BF5D35">
      <w:pPr>
        <w:spacing w:line="360" w:lineRule="auto"/>
        <w:rPr>
          <w:szCs w:val="22"/>
          <w:lang w:eastAsia="es-ES_tradnl"/>
        </w:rPr>
      </w:pPr>
      <w:r w:rsidRPr="009A27ED">
        <w:rPr>
          <w:rFonts w:ascii="Times New Roman" w:eastAsia="Times New Roman" w:hAnsi="Times New Roman"/>
          <w:sz w:val="24"/>
          <w:szCs w:val="22"/>
          <w:lang w:eastAsia="es-ES_tradnl"/>
        </w:rPr>
        <w:t xml:space="preserve">Con el propósito de conocer la ejecución actual de los planes, sistemas, programas, proyectos y actividades tipo REDD+ para determinar la capacidad de las entidades ejecutoras se llevó a cabo un Diagnóstico de Capacidades de las Entidades Ejecutoras cuyo resultado detallado se incluye en el Anexo </w:t>
      </w:r>
      <w:r w:rsidR="004162F5" w:rsidRPr="009A27ED">
        <w:rPr>
          <w:rFonts w:ascii="Times New Roman" w:eastAsia="Times New Roman" w:hAnsi="Times New Roman"/>
          <w:sz w:val="24"/>
          <w:szCs w:val="22"/>
          <w:lang w:eastAsia="es-ES_tradnl"/>
        </w:rPr>
        <w:t>7</w:t>
      </w:r>
      <w:r w:rsidRPr="009A27ED">
        <w:rPr>
          <w:rFonts w:ascii="Times New Roman" w:eastAsia="Times New Roman" w:hAnsi="Times New Roman"/>
          <w:sz w:val="24"/>
          <w:szCs w:val="22"/>
          <w:lang w:eastAsia="es-ES_tradnl"/>
        </w:rPr>
        <w:t xml:space="preserve">. </w:t>
      </w:r>
    </w:p>
    <w:p w14:paraId="6D0ED0A4" w14:textId="177EE93E" w:rsidR="00BF5D35" w:rsidRPr="009A27ED" w:rsidRDefault="00434410" w:rsidP="00BF5D35">
      <w:pPr>
        <w:spacing w:line="360" w:lineRule="auto"/>
        <w:rPr>
          <w:szCs w:val="22"/>
        </w:rPr>
      </w:pPr>
      <w:r w:rsidRPr="009A27ED">
        <w:rPr>
          <w:rFonts w:ascii="Times New Roman" w:eastAsia="Times New Roman" w:hAnsi="Times New Roman"/>
          <w:sz w:val="24"/>
          <w:szCs w:val="22"/>
          <w:lang w:eastAsia="es-ES_tradnl"/>
        </w:rPr>
        <w:t xml:space="preserve">En dicho diagnóstico se incluyeron aspectos de relevancia para la implementación del </w:t>
      </w:r>
      <w:r w:rsidR="00124B63" w:rsidRPr="009A27ED">
        <w:rPr>
          <w:rFonts w:ascii="Times New Roman" w:eastAsia="Times New Roman" w:hAnsi="Times New Roman"/>
          <w:sz w:val="24"/>
          <w:szCs w:val="22"/>
          <w:lang w:eastAsia="es-ES_tradnl"/>
        </w:rPr>
        <w:t>Programa REDD+</w:t>
      </w:r>
      <w:r w:rsidRPr="009A27ED">
        <w:rPr>
          <w:rFonts w:ascii="Times New Roman" w:eastAsia="Times New Roman" w:hAnsi="Times New Roman"/>
          <w:sz w:val="24"/>
          <w:szCs w:val="22"/>
          <w:lang w:eastAsia="es-ES_tradnl"/>
        </w:rPr>
        <w:t xml:space="preserve">+ tales como: sus objetivos, fundamento legal, funcionamiento, gobernanza, fuente de recursos, actividades  apoyadas, duración, principales resultados, beneficiarios, consideraciones de género culturales e intergeneracionales, capacidades institucionales para el monitoreo y seguimiento, sistemas de quejas y denuncias con que cuentan, tipos de </w:t>
      </w:r>
      <w:proofErr w:type="spellStart"/>
      <w:r w:rsidRPr="009A27ED">
        <w:rPr>
          <w:rFonts w:ascii="Times New Roman" w:eastAsia="Times New Roman" w:hAnsi="Times New Roman"/>
          <w:sz w:val="24"/>
          <w:szCs w:val="22"/>
          <w:lang w:eastAsia="es-ES_tradnl"/>
        </w:rPr>
        <w:t>auditoria</w:t>
      </w:r>
      <w:proofErr w:type="spellEnd"/>
      <w:r w:rsidRPr="009A27ED">
        <w:rPr>
          <w:rFonts w:ascii="Times New Roman" w:eastAsia="Times New Roman" w:hAnsi="Times New Roman"/>
          <w:sz w:val="24"/>
          <w:szCs w:val="22"/>
          <w:lang w:eastAsia="es-ES_tradnl"/>
        </w:rPr>
        <w:t xml:space="preserve"> que reciben, presupuesto para operación, tipo de indicadores que utilizan, recursos humanos, sistematización de experiencias, relación con otras entidades ejecutoras, seguimiento a nivel local, apoyo de cooperación internacional, áreas de implementación en concordancia con REDD+, necesidades de capacitación, infraestructura, equipamiento para el seguimiento de las actividades en campo, principales conflictos, alianzas estratégicas, así como las o</w:t>
      </w:r>
      <w:r w:rsidRPr="009A27ED">
        <w:rPr>
          <w:rFonts w:ascii="Times New Roman" w:eastAsia="Times New Roman" w:hAnsi="Times New Roman"/>
          <w:sz w:val="24"/>
          <w:szCs w:val="22"/>
        </w:rPr>
        <w:t>portunidades / necesidades de seguimiento asociado a las Políticas Operativas del Banco Mundial (salvaguardas sociales y ambientales) con relación a las Opciones Estratégicas REDD+ y las Salvaguardas REDD+ de la CMNUCC.</w:t>
      </w:r>
    </w:p>
    <w:p w14:paraId="705545DB" w14:textId="7AC69D87" w:rsidR="00947670" w:rsidRPr="009A27ED" w:rsidRDefault="00BF5D35" w:rsidP="00E51CD7">
      <w:pPr>
        <w:spacing w:after="200" w:line="360" w:lineRule="auto"/>
        <w:rPr>
          <w:rFonts w:eastAsia="Calibri"/>
          <w:szCs w:val="22"/>
        </w:rPr>
      </w:pPr>
      <w:r w:rsidRPr="009A27ED">
        <w:rPr>
          <w:rFonts w:ascii="Times New Roman" w:eastAsia="Times New Roman" w:hAnsi="Times New Roman"/>
          <w:sz w:val="24"/>
          <w:szCs w:val="22"/>
        </w:rPr>
        <w:t xml:space="preserve">Toda esta información dio paso para el establecimiento de un Programa de Fortalecimiento de Capacidades necesarias para la implementación del </w:t>
      </w:r>
      <w:r w:rsidR="00124B63" w:rsidRPr="009A27ED">
        <w:rPr>
          <w:rFonts w:ascii="Times New Roman" w:eastAsia="Times New Roman" w:hAnsi="Times New Roman"/>
          <w:sz w:val="24"/>
          <w:szCs w:val="22"/>
        </w:rPr>
        <w:t>Programa REDD+</w:t>
      </w:r>
      <w:r w:rsidRPr="009A27ED">
        <w:rPr>
          <w:rFonts w:ascii="Times New Roman" w:eastAsia="Times New Roman" w:hAnsi="Times New Roman"/>
          <w:sz w:val="24"/>
          <w:szCs w:val="22"/>
        </w:rPr>
        <w:t>, el cual se encuentra en el Anexo  6</w:t>
      </w:r>
      <w:r w:rsidR="00E51CD7" w:rsidRPr="009A27ED">
        <w:rPr>
          <w:rFonts w:ascii="Times New Roman" w:eastAsia="Times New Roman" w:hAnsi="Times New Roman"/>
          <w:sz w:val="24"/>
          <w:szCs w:val="22"/>
        </w:rPr>
        <w:t>.</w:t>
      </w:r>
    </w:p>
    <w:p w14:paraId="1D649B25" w14:textId="0F73A7B7" w:rsidR="00E87E84" w:rsidRPr="009A27ED" w:rsidRDefault="00E87E84" w:rsidP="00A4612C">
      <w:pPr>
        <w:pStyle w:val="Ttulo2"/>
        <w:spacing w:line="360" w:lineRule="auto"/>
        <w:ind w:left="567"/>
        <w:jc w:val="both"/>
        <w:rPr>
          <w:sz w:val="24"/>
        </w:rPr>
      </w:pPr>
      <w:bookmarkStart w:id="111" w:name="_Toc111837929"/>
      <w:r w:rsidRPr="009A27ED">
        <w:rPr>
          <w:rFonts w:ascii="Times New Roman" w:eastAsia="Times New Roman" w:hAnsi="Times New Roman"/>
          <w:sz w:val="24"/>
        </w:rPr>
        <w:t>Descripción de l</w:t>
      </w:r>
      <w:r w:rsidR="00627019" w:rsidRPr="009A27ED">
        <w:rPr>
          <w:rFonts w:ascii="Times New Roman" w:eastAsia="Times New Roman" w:hAnsi="Times New Roman"/>
          <w:sz w:val="24"/>
        </w:rPr>
        <w:t>a</w:t>
      </w:r>
      <w:r w:rsidRPr="009A27ED">
        <w:rPr>
          <w:rFonts w:ascii="Times New Roman" w:eastAsia="Times New Roman" w:hAnsi="Times New Roman"/>
          <w:sz w:val="24"/>
        </w:rPr>
        <w:t>s</w:t>
      </w:r>
      <w:r w:rsidR="00627019" w:rsidRPr="009A27ED">
        <w:rPr>
          <w:rFonts w:ascii="Times New Roman" w:eastAsia="Times New Roman" w:hAnsi="Times New Roman"/>
          <w:sz w:val="24"/>
        </w:rPr>
        <w:t xml:space="preserve"> actividades</w:t>
      </w:r>
      <w:r w:rsidRPr="009A27ED">
        <w:rPr>
          <w:rFonts w:ascii="Times New Roman" w:eastAsia="Times New Roman" w:hAnsi="Times New Roman"/>
          <w:sz w:val="24"/>
        </w:rPr>
        <w:t xml:space="preserve"> tipo </w:t>
      </w:r>
      <w:r w:rsidR="00E50973" w:rsidRPr="009A27ED">
        <w:rPr>
          <w:rFonts w:ascii="Times New Roman" w:eastAsia="Times New Roman" w:hAnsi="Times New Roman"/>
          <w:sz w:val="24"/>
        </w:rPr>
        <w:t>REDD+</w:t>
      </w:r>
      <w:bookmarkEnd w:id="111"/>
    </w:p>
    <w:p w14:paraId="7FBD494C" w14:textId="0D0D55EF" w:rsidR="00F25ED3" w:rsidRPr="009A27ED" w:rsidRDefault="00434410" w:rsidP="00F25ED3">
      <w:pPr>
        <w:spacing w:before="120" w:after="0" w:line="360" w:lineRule="auto"/>
        <w:rPr>
          <w:szCs w:val="22"/>
        </w:rPr>
      </w:pPr>
      <w:r w:rsidRPr="009A27ED">
        <w:rPr>
          <w:rFonts w:ascii="Times New Roman" w:eastAsia="Times New Roman" w:hAnsi="Times New Roman"/>
          <w:sz w:val="24"/>
          <w:szCs w:val="22"/>
        </w:rPr>
        <w:t xml:space="preserve">A partir del análisis realizado de los programas y proyectos nacionales o regionales que están en ejecución y que dada su trayectoria y resultados son considerados como exitosos, se seleccionaron dentro de ellos </w:t>
      </w:r>
      <w:r w:rsidRPr="009A27ED">
        <w:rPr>
          <w:rFonts w:ascii="Times New Roman" w:eastAsia="Times New Roman" w:hAnsi="Times New Roman"/>
          <w:i/>
          <w:sz w:val="24"/>
          <w:szCs w:val="22"/>
        </w:rPr>
        <w:t>las actividades tipo</w:t>
      </w:r>
      <w:r w:rsidRPr="009A27ED">
        <w:rPr>
          <w:rFonts w:ascii="Times New Roman" w:eastAsia="Times New Roman" w:hAnsi="Times New Roman"/>
          <w:sz w:val="24"/>
          <w:szCs w:val="22"/>
        </w:rPr>
        <w:t xml:space="preserve"> que serán consideradas para su implementación como parte del </w:t>
      </w:r>
      <w:r w:rsidR="00124B63" w:rsidRPr="009A27ED">
        <w:rPr>
          <w:rFonts w:ascii="Times New Roman" w:eastAsia="Times New Roman" w:hAnsi="Times New Roman"/>
          <w:sz w:val="24"/>
          <w:szCs w:val="22"/>
        </w:rPr>
        <w:t>Programa REDD+</w:t>
      </w:r>
      <w:r w:rsidRPr="009A27ED">
        <w:rPr>
          <w:rFonts w:ascii="Times New Roman" w:eastAsia="Times New Roman" w:hAnsi="Times New Roman"/>
          <w:sz w:val="24"/>
          <w:szCs w:val="22"/>
        </w:rPr>
        <w:t xml:space="preserve"> de la EN-REDD+. </w:t>
      </w:r>
      <w:r w:rsidR="00947670" w:rsidRPr="009A27ED">
        <w:rPr>
          <w:rFonts w:ascii="Times New Roman" w:eastAsia="Times New Roman" w:hAnsi="Times New Roman"/>
          <w:sz w:val="24"/>
          <w:szCs w:val="22"/>
        </w:rPr>
        <w:t xml:space="preserve">A continuación de manera sintética se describen </w:t>
      </w:r>
      <w:r w:rsidR="00F25ED3" w:rsidRPr="009A27ED">
        <w:rPr>
          <w:rFonts w:ascii="Times New Roman" w:eastAsia="Times New Roman" w:hAnsi="Times New Roman"/>
          <w:sz w:val="24"/>
          <w:szCs w:val="22"/>
        </w:rPr>
        <w:t xml:space="preserve">en el Cuadro 7, </w:t>
      </w:r>
      <w:r w:rsidR="00947670" w:rsidRPr="009A27ED">
        <w:rPr>
          <w:rFonts w:ascii="Times New Roman" w:eastAsia="Times New Roman" w:hAnsi="Times New Roman"/>
          <w:sz w:val="24"/>
          <w:szCs w:val="22"/>
        </w:rPr>
        <w:t xml:space="preserve">los mismos indicando a que acciones de </w:t>
      </w:r>
      <w:r w:rsidR="00947670" w:rsidRPr="009A27ED">
        <w:rPr>
          <w:rFonts w:ascii="Times New Roman" w:eastAsia="Times New Roman" w:hAnsi="Times New Roman"/>
          <w:sz w:val="24"/>
          <w:szCs w:val="22"/>
        </w:rPr>
        <w:lastRenderedPageBreak/>
        <w:t>estrategia REDD+ se encuentran asociados, la reglamentación que les aplica y los</w:t>
      </w:r>
      <w:r w:rsidR="002D14F1" w:rsidRPr="009A27ED">
        <w:rPr>
          <w:rFonts w:ascii="Times New Roman" w:eastAsia="Times New Roman" w:hAnsi="Times New Roman"/>
          <w:sz w:val="24"/>
          <w:szCs w:val="22"/>
        </w:rPr>
        <w:t xml:space="preserve"> procesos básicos que incluyen:</w:t>
      </w:r>
      <w:bookmarkStart w:id="112" w:name="_Toc14027"/>
    </w:p>
    <w:p w14:paraId="2CC4069B" w14:textId="77777777" w:rsidR="00F25ED3" w:rsidRPr="009A27ED" w:rsidRDefault="00F25ED3" w:rsidP="00F25ED3">
      <w:pPr>
        <w:spacing w:before="120" w:after="0" w:line="360" w:lineRule="auto"/>
        <w:rPr>
          <w:szCs w:val="22"/>
        </w:rPr>
      </w:pPr>
    </w:p>
    <w:p w14:paraId="0DE58DDA" w14:textId="04B75A45" w:rsidR="004E6BAE" w:rsidRPr="009A27ED" w:rsidRDefault="004E6BAE" w:rsidP="004E6BAE">
      <w:pPr>
        <w:pStyle w:val="Descripcin"/>
        <w:spacing w:line="360" w:lineRule="auto"/>
        <w:rPr>
          <w:color w:val="000000" w:themeColor="text1"/>
          <w:sz w:val="20"/>
        </w:rPr>
      </w:pPr>
      <w:bookmarkStart w:id="113" w:name="_Toc111887417"/>
      <w:bookmarkEnd w:id="112"/>
      <w:r w:rsidRPr="009A27ED">
        <w:rPr>
          <w:rFonts w:ascii="Times New Roman" w:eastAsia="Times New Roman" w:hAnsi="Times New Roman"/>
          <w:sz w:val="24"/>
        </w:rPr>
        <w:t xml:space="preserve">Cuadro </w:t>
      </w:r>
      <w:r w:rsidR="00F43DB6" w:rsidRPr="009A27ED">
        <w:rPr>
          <w:rFonts w:ascii="Times New Roman" w:eastAsia="Times New Roman" w:hAnsi="Times New Roman"/>
          <w:sz w:val="24"/>
        </w:rPr>
        <w:fldChar w:fldCharType="begin"/>
      </w:r>
      <w:r w:rsidR="00F43DB6" w:rsidRPr="009A27ED">
        <w:rPr>
          <w:rFonts w:ascii="Times New Roman" w:eastAsia="Times New Roman" w:hAnsi="Times New Roman"/>
          <w:sz w:val="24"/>
        </w:rPr>
        <w:instrText xml:space="preserve"> SEQ Cuadro \* ARABIC </w:instrText>
      </w:r>
      <w:r w:rsidR="00F43DB6"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7</w:t>
      </w:r>
      <w:r w:rsidR="00F43DB6" w:rsidRPr="009A27ED">
        <w:rPr>
          <w:rFonts w:ascii="Times New Roman" w:eastAsia="Times New Roman" w:hAnsi="Times New Roman"/>
          <w:sz w:val="24"/>
        </w:rPr>
        <w:fldChar w:fldCharType="end"/>
      </w:r>
      <w:proofErr w:type="gramStart"/>
      <w:r w:rsidRPr="009A27ED">
        <w:rPr>
          <w:rFonts w:ascii="Times New Roman" w:eastAsia="Times New Roman" w:hAnsi="Times New Roman"/>
          <w:sz w:val="24"/>
        </w:rPr>
        <w:t xml:space="preserve">. </w:t>
      </w:r>
      <w:r w:rsidRPr="009A27ED">
        <w:rPr>
          <w:rFonts w:ascii="Times New Roman" w:eastAsia="Times New Roman" w:hAnsi="Times New Roman"/>
          <w:color w:val="000000" w:themeColor="text1"/>
          <w:sz w:val="24"/>
        </w:rPr>
        <w:t>.</w:t>
      </w:r>
      <w:proofErr w:type="gramEnd"/>
      <w:r w:rsidRPr="009A27ED">
        <w:rPr>
          <w:rFonts w:ascii="Times New Roman" w:eastAsia="Times New Roman" w:hAnsi="Times New Roman"/>
          <w:color w:val="000000" w:themeColor="text1"/>
          <w:sz w:val="24"/>
        </w:rPr>
        <w:t xml:space="preserve"> Actividades tipo para REDD+</w:t>
      </w:r>
      <w:bookmarkEnd w:id="113"/>
    </w:p>
    <w:tbl>
      <w:tblPr>
        <w:tblStyle w:val="Tablaconcuadrcula"/>
        <w:tblW w:w="0" w:type="auto"/>
        <w:tblLook w:val="04A0" w:firstRow="1" w:lastRow="0" w:firstColumn="1" w:lastColumn="0" w:noHBand="0" w:noVBand="1"/>
      </w:tblPr>
      <w:tblGrid>
        <w:gridCol w:w="8828"/>
      </w:tblGrid>
      <w:tr w:rsidR="00F43550" w:rsidRPr="009A27ED" w14:paraId="075BDDBD" w14:textId="77777777" w:rsidTr="0049512C">
        <w:tc>
          <w:tcPr>
            <w:tcW w:w="8828" w:type="dxa"/>
            <w:shd w:val="clear" w:color="auto" w:fill="2E74B5" w:themeFill="accent1" w:themeFillShade="BF"/>
          </w:tcPr>
          <w:p w14:paraId="23D39730" w14:textId="21A56687" w:rsidR="00F43550" w:rsidRPr="009A27ED" w:rsidRDefault="00F43550" w:rsidP="008045DD">
            <w:pPr>
              <w:jc w:val="center"/>
              <w:rPr>
                <w:b/>
                <w:sz w:val="20"/>
                <w:szCs w:val="20"/>
              </w:rPr>
            </w:pPr>
            <w:bookmarkStart w:id="114" w:name="_Hlk529470919"/>
            <w:r w:rsidRPr="009A27ED">
              <w:rPr>
                <w:b/>
                <w:color w:val="FFFFFF" w:themeColor="background1"/>
                <w:sz w:val="20"/>
                <w:szCs w:val="20"/>
              </w:rPr>
              <w:t xml:space="preserve">ACTIVIDADES TIPO REDD+ </w:t>
            </w:r>
          </w:p>
        </w:tc>
      </w:tr>
      <w:tr w:rsidR="00F43550" w:rsidRPr="009A27ED" w14:paraId="6F697BDE" w14:textId="77777777" w:rsidTr="008045DD">
        <w:tc>
          <w:tcPr>
            <w:tcW w:w="8828" w:type="dxa"/>
          </w:tcPr>
          <w:p w14:paraId="6A565235" w14:textId="77777777" w:rsidR="00F43550" w:rsidRPr="009A27ED" w:rsidRDefault="00F43550" w:rsidP="008B5FBA">
            <w:pPr>
              <w:rPr>
                <w:sz w:val="20"/>
                <w:szCs w:val="20"/>
              </w:rPr>
            </w:pPr>
            <w:r w:rsidRPr="009A27ED">
              <w:rPr>
                <w:b/>
                <w:i/>
                <w:sz w:val="20"/>
                <w:szCs w:val="20"/>
                <w:u w:val="single"/>
              </w:rPr>
              <w:t>1.Manejo Forestal Sostenible (MFS</w:t>
            </w:r>
            <w:r w:rsidRPr="009A27ED">
              <w:rPr>
                <w:i/>
                <w:sz w:val="20"/>
                <w:szCs w:val="20"/>
                <w:u w:val="single"/>
              </w:rPr>
              <w:t>):</w:t>
            </w:r>
          </w:p>
          <w:p w14:paraId="0C9C9E16" w14:textId="77777777" w:rsidR="00F43550" w:rsidRPr="009A27ED" w:rsidRDefault="00F43550" w:rsidP="008B5FBA">
            <w:pPr>
              <w:rPr>
                <w:sz w:val="20"/>
                <w:szCs w:val="20"/>
              </w:rPr>
            </w:pPr>
            <w:r w:rsidRPr="009A27ED">
              <w:rPr>
                <w:sz w:val="20"/>
                <w:szCs w:val="20"/>
              </w:rPr>
              <w:t>Actividades desarrolladas con participación de actores involucrados, dirigidas a mantener los macizos forestales con el fin de reducir las emisiones derivadas de la deforestación y la degradación, sirven como instrumento para estabilizar la frontera agrícola y ganadera, a la vez que ofrecen alternativas productivas a los pobladores locales.  Incluyen operaciones silvícolas destinadas a aumentar la productividad de la biomasa forestal, tales como aprovechamiento forestal, aprovechamiento de no maderables, control de incendios, manejo integrado de plagas, entre otras.</w:t>
            </w:r>
          </w:p>
        </w:tc>
      </w:tr>
      <w:tr w:rsidR="00F43550" w:rsidRPr="009A27ED" w14:paraId="78447D79" w14:textId="77777777" w:rsidTr="008045DD">
        <w:tc>
          <w:tcPr>
            <w:tcW w:w="8828" w:type="dxa"/>
          </w:tcPr>
          <w:p w14:paraId="3CC1F799" w14:textId="60628991" w:rsidR="00F43550" w:rsidRPr="009A27ED" w:rsidRDefault="00F43550" w:rsidP="008045DD">
            <w:pPr>
              <w:rPr>
                <w:b/>
                <w:sz w:val="20"/>
                <w:szCs w:val="20"/>
              </w:rPr>
            </w:pPr>
            <w:bookmarkStart w:id="115" w:name="_Hlk528699389"/>
            <w:r w:rsidRPr="009A27ED">
              <w:rPr>
                <w:b/>
                <w:sz w:val="20"/>
                <w:szCs w:val="20"/>
              </w:rPr>
              <w:t>ACCIONES ESTRAT</w:t>
            </w:r>
            <w:r w:rsidR="008200E9" w:rsidRPr="009A27ED">
              <w:rPr>
                <w:b/>
                <w:sz w:val="20"/>
                <w:szCs w:val="20"/>
              </w:rPr>
              <w:t>ÉGICA</w:t>
            </w:r>
            <w:r w:rsidRPr="009A27ED">
              <w:rPr>
                <w:b/>
                <w:sz w:val="20"/>
                <w:szCs w:val="20"/>
              </w:rPr>
              <w:t xml:space="preserve">S REDD+: 3.1, 3.6, 3.8, </w:t>
            </w:r>
          </w:p>
        </w:tc>
      </w:tr>
      <w:bookmarkEnd w:id="115"/>
      <w:tr w:rsidR="00F43550" w:rsidRPr="009A27ED" w14:paraId="7AA884B0" w14:textId="77777777" w:rsidTr="008045DD">
        <w:tc>
          <w:tcPr>
            <w:tcW w:w="8828" w:type="dxa"/>
          </w:tcPr>
          <w:p w14:paraId="768E8370" w14:textId="77777777" w:rsidR="00F43550" w:rsidRPr="009A27ED" w:rsidRDefault="00F43550" w:rsidP="008B5FBA">
            <w:pPr>
              <w:rPr>
                <w:sz w:val="20"/>
                <w:szCs w:val="20"/>
                <w:u w:val="single"/>
              </w:rPr>
            </w:pPr>
            <w:r w:rsidRPr="009A27ED">
              <w:rPr>
                <w:sz w:val="20"/>
                <w:szCs w:val="20"/>
                <w:u w:val="single"/>
              </w:rPr>
              <w:t>Requerimientos legales:</w:t>
            </w:r>
          </w:p>
          <w:p w14:paraId="545562E3" w14:textId="77777777" w:rsidR="00F43550" w:rsidRPr="009A27ED" w:rsidRDefault="00F43550" w:rsidP="00D42802">
            <w:pPr>
              <w:pStyle w:val="Prrafodelista"/>
              <w:numPr>
                <w:ilvl w:val="1"/>
                <w:numId w:val="21"/>
              </w:numPr>
              <w:spacing w:after="0" w:line="240" w:lineRule="auto"/>
              <w:jc w:val="left"/>
              <w:rPr>
                <w:sz w:val="20"/>
                <w:szCs w:val="20"/>
              </w:rPr>
            </w:pPr>
            <w:r w:rsidRPr="009A27ED">
              <w:rPr>
                <w:sz w:val="20"/>
                <w:szCs w:val="20"/>
              </w:rPr>
              <w:t>Como prerrequisito estas operaciones deben cumplir con la normativa vigente nacional sobre planes de manejo forestal y regulaciones catastrales.</w:t>
            </w:r>
          </w:p>
          <w:p w14:paraId="5F9C01AF" w14:textId="77777777" w:rsidR="00296CA3" w:rsidRPr="009A27ED" w:rsidRDefault="00296CA3" w:rsidP="007723DC">
            <w:pPr>
              <w:pStyle w:val="Textocomentario"/>
              <w:rPr>
                <w:rFonts w:asciiTheme="minorHAnsi" w:hAnsiTheme="minorHAnsi" w:cstheme="minorHAnsi"/>
                <w:b/>
              </w:rPr>
            </w:pPr>
          </w:p>
          <w:p w14:paraId="6ABF7A66" w14:textId="7F9A5AD8" w:rsidR="00F43550" w:rsidRPr="009A27ED" w:rsidRDefault="00F43550" w:rsidP="007723DC">
            <w:pPr>
              <w:pStyle w:val="Textocomentario"/>
              <w:rPr>
                <w:rFonts w:asciiTheme="minorHAnsi" w:hAnsiTheme="minorHAnsi" w:cstheme="minorHAnsi"/>
              </w:rPr>
            </w:pPr>
            <w:r w:rsidRPr="009A27ED">
              <w:rPr>
                <w:rFonts w:asciiTheme="minorHAnsi" w:hAnsiTheme="minorHAnsi" w:cstheme="minorHAnsi"/>
                <w:b/>
              </w:rPr>
              <w:t>Permiso Ambiental</w:t>
            </w:r>
            <w:r w:rsidRPr="009A27ED">
              <w:rPr>
                <w:rFonts w:asciiTheme="minorHAnsi" w:hAnsiTheme="minorHAnsi" w:cstheme="minorHAnsi"/>
              </w:rPr>
              <w:t xml:space="preserve"> (Categoría B). Requiere la Elaboración de una Declaración de Impacto Ambiental cuando se realiza en superficie mayor a 200 hectáreas.</w:t>
            </w:r>
          </w:p>
          <w:p w14:paraId="4EC79663" w14:textId="77777777" w:rsidR="00F43550" w:rsidRPr="009A27ED" w:rsidRDefault="00F43550" w:rsidP="008045DD">
            <w:pPr>
              <w:pStyle w:val="Textocomentario"/>
              <w:rPr>
                <w:rFonts w:asciiTheme="minorHAnsi" w:hAnsiTheme="minorHAnsi" w:cstheme="minorHAnsi"/>
              </w:rPr>
            </w:pPr>
            <w:r w:rsidRPr="009A27ED">
              <w:rPr>
                <w:rFonts w:asciiTheme="minorHAnsi" w:hAnsiTheme="minorHAnsi" w:cstheme="minorHAnsi"/>
                <w:b/>
              </w:rPr>
              <w:t xml:space="preserve">Constancia Ambiental </w:t>
            </w:r>
            <w:r w:rsidRPr="009A27ED">
              <w:rPr>
                <w:rFonts w:asciiTheme="minorHAnsi" w:hAnsiTheme="minorHAnsi" w:cstheme="minorHAnsi"/>
              </w:rPr>
              <w:t>(Categoría C). Requiere solo el cumplimiento de la normativa ambiental vigente cuando se realiza en superficie de hasta 200 hectáreas.</w:t>
            </w:r>
          </w:p>
          <w:p w14:paraId="59E12D0E" w14:textId="77777777" w:rsidR="00F43550" w:rsidRPr="009A27ED" w:rsidRDefault="00F43550" w:rsidP="008045DD">
            <w:pPr>
              <w:pStyle w:val="Textocomentario"/>
              <w:rPr>
                <w:rFonts w:asciiTheme="minorHAnsi" w:hAnsiTheme="minorHAnsi" w:cstheme="minorHAnsi"/>
                <w:b/>
              </w:rPr>
            </w:pPr>
            <w:r w:rsidRPr="009A27ED">
              <w:rPr>
                <w:rFonts w:asciiTheme="minorHAnsi" w:hAnsiTheme="minorHAnsi" w:cstheme="minorHAnsi"/>
              </w:rPr>
              <w:t xml:space="preserve"> </w:t>
            </w:r>
            <w:r w:rsidRPr="009A27ED">
              <w:rPr>
                <w:rFonts w:asciiTheme="minorHAnsi" w:hAnsiTheme="minorHAnsi" w:cstheme="minorHAnsi"/>
                <w:b/>
              </w:rPr>
              <w:t>Ministerio de Medio Ambiente y Recursos Naturales:</w:t>
            </w:r>
          </w:p>
          <w:p w14:paraId="2E8A4ACD" w14:textId="77777777" w:rsidR="00F43550" w:rsidRPr="009A27ED" w:rsidRDefault="00F43550" w:rsidP="008B5FBA">
            <w:pPr>
              <w:pStyle w:val="Textocomentario"/>
              <w:spacing w:after="120"/>
              <w:rPr>
                <w:rFonts w:asciiTheme="minorHAnsi" w:hAnsiTheme="minorHAnsi" w:cstheme="minorHAnsi"/>
              </w:rPr>
            </w:pPr>
            <w:r w:rsidRPr="009A27ED">
              <w:rPr>
                <w:rFonts w:asciiTheme="minorHAnsi" w:hAnsiTheme="minorHAnsi" w:cstheme="minorHAnsi"/>
                <w:u w:val="single"/>
              </w:rPr>
              <w:t>Autorización</w:t>
            </w:r>
            <w:r w:rsidRPr="009A27ED">
              <w:rPr>
                <w:rFonts w:asciiTheme="minorHAnsi" w:hAnsiTheme="minorHAnsi" w:cstheme="minorHAnsi"/>
              </w:rPr>
              <w:t xml:space="preserve">:  Plan de Manejo Sostenible en Bosque </w:t>
            </w:r>
          </w:p>
          <w:p w14:paraId="4B2AEE98" w14:textId="77777777" w:rsidR="00F43550" w:rsidRPr="009A27ED" w:rsidRDefault="00F43550" w:rsidP="008045DD">
            <w:pPr>
              <w:pStyle w:val="Textocomentario"/>
              <w:rPr>
                <w:rFonts w:asciiTheme="minorHAnsi" w:hAnsiTheme="minorHAnsi" w:cstheme="minorHAnsi"/>
              </w:rPr>
            </w:pPr>
            <w:r w:rsidRPr="009A27ED">
              <w:rPr>
                <w:rFonts w:asciiTheme="minorHAnsi" w:hAnsiTheme="minorHAnsi" w:cstheme="minorHAnsi"/>
              </w:rPr>
              <w:t>Los Planes de Manejo deben definir lo siguiente:</w:t>
            </w:r>
          </w:p>
          <w:p w14:paraId="49102C30" w14:textId="77777777" w:rsidR="00F43550" w:rsidRPr="009A27ED" w:rsidRDefault="00F43550" w:rsidP="00D42802">
            <w:pPr>
              <w:pStyle w:val="Textocomentario"/>
              <w:numPr>
                <w:ilvl w:val="0"/>
                <w:numId w:val="31"/>
              </w:numPr>
              <w:jc w:val="left"/>
              <w:rPr>
                <w:rFonts w:asciiTheme="minorHAnsi" w:hAnsiTheme="minorHAnsi" w:cstheme="minorHAnsi"/>
              </w:rPr>
            </w:pPr>
            <w:r w:rsidRPr="009A27ED">
              <w:rPr>
                <w:rFonts w:asciiTheme="minorHAnsi" w:hAnsiTheme="minorHAnsi" w:cstheme="minorHAnsi"/>
              </w:rPr>
              <w:t xml:space="preserve"> </w:t>
            </w:r>
            <w:r w:rsidRPr="009A27ED">
              <w:rPr>
                <w:rFonts w:asciiTheme="minorHAnsi" w:hAnsiTheme="minorHAnsi" w:cstheme="minorHAnsi"/>
                <w:u w:val="single"/>
              </w:rPr>
              <w:t>Ubicación geográfica</w:t>
            </w:r>
            <w:r w:rsidRPr="009A27ED">
              <w:rPr>
                <w:rFonts w:asciiTheme="minorHAnsi" w:hAnsiTheme="minorHAnsi" w:cstheme="minorHAnsi"/>
              </w:rPr>
              <w:t xml:space="preserve"> (El área debe de estar identificada e individualizada en un mapa);</w:t>
            </w:r>
          </w:p>
          <w:p w14:paraId="0C7C07A8" w14:textId="77777777" w:rsidR="00F43550" w:rsidRPr="009A27ED" w:rsidRDefault="00F43550" w:rsidP="00D42802">
            <w:pPr>
              <w:pStyle w:val="Textocomentario"/>
              <w:numPr>
                <w:ilvl w:val="0"/>
                <w:numId w:val="31"/>
              </w:numPr>
              <w:jc w:val="left"/>
              <w:rPr>
                <w:rFonts w:asciiTheme="minorHAnsi" w:hAnsiTheme="minorHAnsi" w:cstheme="minorHAnsi"/>
              </w:rPr>
            </w:pPr>
            <w:r w:rsidRPr="009A27ED">
              <w:rPr>
                <w:rFonts w:asciiTheme="minorHAnsi" w:hAnsiTheme="minorHAnsi" w:cstheme="minorHAnsi"/>
                <w:u w:val="single"/>
              </w:rPr>
              <w:t xml:space="preserve"> Estatus legal</w:t>
            </w:r>
            <w:r w:rsidRPr="009A27ED">
              <w:rPr>
                <w:rFonts w:asciiTheme="minorHAnsi" w:hAnsiTheme="minorHAnsi" w:cstheme="minorHAnsi"/>
              </w:rPr>
              <w:t xml:space="preserve"> (Prueba fehaciente del derecho de propiedad o vinculación legal con el propietario, Declaración jurada de posesión, Título provisional del IAD);</w:t>
            </w:r>
          </w:p>
          <w:p w14:paraId="0D3E5FD2" w14:textId="77777777" w:rsidR="00F43550" w:rsidRPr="009A27ED" w:rsidRDefault="00F43550" w:rsidP="00D42802">
            <w:pPr>
              <w:pStyle w:val="Textocomentario"/>
              <w:numPr>
                <w:ilvl w:val="0"/>
                <w:numId w:val="31"/>
              </w:numPr>
              <w:jc w:val="left"/>
              <w:rPr>
                <w:rFonts w:asciiTheme="minorHAnsi" w:hAnsiTheme="minorHAnsi" w:cstheme="minorHAnsi"/>
              </w:rPr>
            </w:pPr>
            <w:proofErr w:type="gramStart"/>
            <w:r w:rsidRPr="009A27ED">
              <w:rPr>
                <w:rFonts w:asciiTheme="minorHAnsi" w:hAnsiTheme="minorHAnsi" w:cstheme="minorHAnsi"/>
                <w:u w:val="single"/>
              </w:rPr>
              <w:t>Beneficios a obtenerse</w:t>
            </w:r>
            <w:proofErr w:type="gramEnd"/>
            <w:r w:rsidRPr="009A27ED">
              <w:rPr>
                <w:rFonts w:asciiTheme="minorHAnsi" w:hAnsiTheme="minorHAnsi" w:cstheme="minorHAnsi"/>
              </w:rPr>
              <w:t>;</w:t>
            </w:r>
          </w:p>
          <w:p w14:paraId="2CEEC013" w14:textId="77777777" w:rsidR="00F43550" w:rsidRPr="009A27ED" w:rsidRDefault="00F43550" w:rsidP="00D42802">
            <w:pPr>
              <w:pStyle w:val="Textocomentario"/>
              <w:numPr>
                <w:ilvl w:val="0"/>
                <w:numId w:val="31"/>
              </w:numPr>
              <w:jc w:val="left"/>
              <w:rPr>
                <w:rFonts w:asciiTheme="minorHAnsi" w:hAnsiTheme="minorHAnsi" w:cstheme="minorHAnsi"/>
              </w:rPr>
            </w:pPr>
            <w:r w:rsidRPr="009A27ED">
              <w:rPr>
                <w:rFonts w:asciiTheme="minorHAnsi" w:hAnsiTheme="minorHAnsi" w:cstheme="minorHAnsi"/>
                <w:u w:val="single"/>
              </w:rPr>
              <w:t>Duración del Plan de Manejo</w:t>
            </w:r>
            <w:r w:rsidRPr="009A27ED">
              <w:rPr>
                <w:rFonts w:asciiTheme="minorHAnsi" w:hAnsiTheme="minorHAnsi" w:cstheme="minorHAnsi"/>
              </w:rPr>
              <w:t xml:space="preserve"> (hasta 10 años);</w:t>
            </w:r>
          </w:p>
          <w:p w14:paraId="5E4B6900" w14:textId="77777777" w:rsidR="00F43550" w:rsidRPr="009A27ED" w:rsidRDefault="00F43550" w:rsidP="00D42802">
            <w:pPr>
              <w:pStyle w:val="Textocomentario"/>
              <w:numPr>
                <w:ilvl w:val="0"/>
                <w:numId w:val="31"/>
              </w:numPr>
              <w:jc w:val="left"/>
              <w:rPr>
                <w:rFonts w:asciiTheme="minorHAnsi" w:hAnsiTheme="minorHAnsi" w:cstheme="minorHAnsi"/>
              </w:rPr>
            </w:pPr>
            <w:r w:rsidRPr="009A27ED">
              <w:rPr>
                <w:rFonts w:asciiTheme="minorHAnsi" w:hAnsiTheme="minorHAnsi" w:cstheme="minorHAnsi"/>
                <w:u w:val="single"/>
              </w:rPr>
              <w:t>Condiciones ecológicas</w:t>
            </w:r>
            <w:r w:rsidRPr="009A27ED">
              <w:rPr>
                <w:rFonts w:asciiTheme="minorHAnsi" w:hAnsiTheme="minorHAnsi" w:cstheme="minorHAnsi"/>
              </w:rPr>
              <w:t xml:space="preserve"> (tipo de bosques, zona de vida);</w:t>
            </w:r>
          </w:p>
          <w:p w14:paraId="0E080583" w14:textId="77777777" w:rsidR="00F43550" w:rsidRPr="009A27ED" w:rsidRDefault="00F43550" w:rsidP="00D42802">
            <w:pPr>
              <w:pStyle w:val="Textocomentario"/>
              <w:numPr>
                <w:ilvl w:val="0"/>
                <w:numId w:val="31"/>
              </w:numPr>
              <w:jc w:val="left"/>
              <w:rPr>
                <w:rFonts w:asciiTheme="minorHAnsi" w:hAnsiTheme="minorHAnsi" w:cstheme="minorHAnsi"/>
              </w:rPr>
            </w:pPr>
            <w:r w:rsidRPr="009A27ED">
              <w:rPr>
                <w:rFonts w:asciiTheme="minorHAnsi" w:hAnsiTheme="minorHAnsi" w:cstheme="minorHAnsi"/>
                <w:u w:val="single"/>
              </w:rPr>
              <w:t>Objetivo del manejo</w:t>
            </w:r>
            <w:r w:rsidRPr="009A27ED">
              <w:rPr>
                <w:rFonts w:asciiTheme="minorHAnsi" w:hAnsiTheme="minorHAnsi" w:cstheme="minorHAnsi"/>
              </w:rPr>
              <w:t>;</w:t>
            </w:r>
          </w:p>
          <w:p w14:paraId="64C82444" w14:textId="77777777" w:rsidR="00F43550" w:rsidRPr="009A27ED" w:rsidRDefault="00F43550" w:rsidP="00D42802">
            <w:pPr>
              <w:pStyle w:val="Textocomentario"/>
              <w:numPr>
                <w:ilvl w:val="0"/>
                <w:numId w:val="31"/>
              </w:numPr>
              <w:jc w:val="left"/>
              <w:rPr>
                <w:rFonts w:asciiTheme="minorHAnsi" w:hAnsiTheme="minorHAnsi" w:cstheme="minorHAnsi"/>
              </w:rPr>
            </w:pPr>
            <w:r w:rsidRPr="009A27ED">
              <w:rPr>
                <w:rFonts w:asciiTheme="minorHAnsi" w:hAnsiTheme="minorHAnsi" w:cstheme="minorHAnsi"/>
                <w:u w:val="single"/>
              </w:rPr>
              <w:t>Prácticas de Aprovechamiento</w:t>
            </w:r>
            <w:r w:rsidRPr="009A27ED">
              <w:rPr>
                <w:rFonts w:asciiTheme="minorHAnsi" w:hAnsiTheme="minorHAnsi" w:cstheme="minorHAnsi"/>
              </w:rPr>
              <w:t xml:space="preserve"> (maderable o no maderable), protección e intervenciones silviculturales compatibles con las condiciones ecológicas del sitio, que a la vez evalúe los posibles impactos ambientales y su propuesta de medidas de prevención y/o mitigación; </w:t>
            </w:r>
          </w:p>
          <w:p w14:paraId="6D242EF3" w14:textId="77777777" w:rsidR="00F43550" w:rsidRPr="009A27ED" w:rsidRDefault="00F43550" w:rsidP="00D42802">
            <w:pPr>
              <w:pStyle w:val="Textocomentario"/>
              <w:numPr>
                <w:ilvl w:val="0"/>
                <w:numId w:val="31"/>
              </w:numPr>
              <w:jc w:val="left"/>
              <w:rPr>
                <w:rFonts w:asciiTheme="minorHAnsi" w:hAnsiTheme="minorHAnsi" w:cstheme="minorHAnsi"/>
                <w:u w:val="single"/>
              </w:rPr>
            </w:pPr>
            <w:r w:rsidRPr="009A27ED">
              <w:rPr>
                <w:rFonts w:asciiTheme="minorHAnsi" w:hAnsiTheme="minorHAnsi" w:cstheme="minorHAnsi"/>
              </w:rPr>
              <w:t xml:space="preserve"> </w:t>
            </w:r>
            <w:r w:rsidRPr="009A27ED">
              <w:rPr>
                <w:rFonts w:asciiTheme="minorHAnsi" w:hAnsiTheme="minorHAnsi" w:cstheme="minorHAnsi"/>
                <w:u w:val="single"/>
              </w:rPr>
              <w:t>Vinculación Social con la comunidad</w:t>
            </w:r>
          </w:p>
          <w:p w14:paraId="202A0FD9" w14:textId="77777777" w:rsidR="00F43550" w:rsidRPr="009A27ED" w:rsidRDefault="00F43550" w:rsidP="008045DD">
            <w:pPr>
              <w:pStyle w:val="Textocomentario"/>
              <w:rPr>
                <w:rFonts w:asciiTheme="minorHAnsi" w:hAnsiTheme="minorHAnsi" w:cstheme="minorHAnsi"/>
              </w:rPr>
            </w:pPr>
          </w:p>
          <w:p w14:paraId="08AEBD25" w14:textId="77777777" w:rsidR="00F43550" w:rsidRPr="009A27ED" w:rsidRDefault="00F43550" w:rsidP="008045DD">
            <w:pPr>
              <w:pStyle w:val="Textocomentario"/>
              <w:rPr>
                <w:rFonts w:asciiTheme="minorHAnsi" w:hAnsiTheme="minorHAnsi" w:cstheme="minorHAnsi"/>
              </w:rPr>
            </w:pPr>
            <w:r w:rsidRPr="009A27ED">
              <w:rPr>
                <w:rFonts w:asciiTheme="minorHAnsi" w:hAnsiTheme="minorHAnsi" w:cstheme="minorHAnsi"/>
                <w:u w:val="single"/>
              </w:rPr>
              <w:t>Marco legal</w:t>
            </w:r>
            <w:r w:rsidRPr="009A27ED">
              <w:rPr>
                <w:rFonts w:asciiTheme="minorHAnsi" w:hAnsiTheme="minorHAnsi" w:cstheme="minorHAnsi"/>
              </w:rPr>
              <w:t xml:space="preserve">: </w:t>
            </w:r>
          </w:p>
          <w:p w14:paraId="329AE898" w14:textId="77777777" w:rsidR="00F43550" w:rsidRPr="009A27ED" w:rsidRDefault="00F43550" w:rsidP="00D42802">
            <w:pPr>
              <w:pStyle w:val="Textocomentario"/>
              <w:numPr>
                <w:ilvl w:val="0"/>
                <w:numId w:val="32"/>
              </w:numPr>
              <w:jc w:val="left"/>
              <w:rPr>
                <w:rFonts w:asciiTheme="minorHAnsi" w:hAnsiTheme="minorHAnsi" w:cstheme="minorHAnsi"/>
              </w:rPr>
            </w:pPr>
            <w:r w:rsidRPr="009A27ED">
              <w:rPr>
                <w:rFonts w:asciiTheme="minorHAnsi" w:hAnsiTheme="minorHAnsi" w:cstheme="minorHAnsi"/>
              </w:rPr>
              <w:t>Ley 64-00, Art.41</w:t>
            </w:r>
          </w:p>
          <w:p w14:paraId="7BD9D2E0" w14:textId="77777777" w:rsidR="00F43550" w:rsidRPr="009A27ED" w:rsidRDefault="00F43550" w:rsidP="00D42802">
            <w:pPr>
              <w:pStyle w:val="Textocomentario"/>
              <w:numPr>
                <w:ilvl w:val="0"/>
                <w:numId w:val="32"/>
              </w:numPr>
              <w:jc w:val="left"/>
              <w:rPr>
                <w:rFonts w:asciiTheme="minorHAnsi" w:hAnsiTheme="minorHAnsi" w:cstheme="minorHAnsi"/>
              </w:rPr>
            </w:pPr>
            <w:r w:rsidRPr="009A27ED">
              <w:rPr>
                <w:rFonts w:asciiTheme="minorHAnsi" w:hAnsiTheme="minorHAnsi" w:cstheme="minorHAnsi"/>
              </w:rPr>
              <w:t>Normas Técnicas Forestales, junio 2004</w:t>
            </w:r>
          </w:p>
          <w:p w14:paraId="6E7BDC66" w14:textId="77777777" w:rsidR="00F43550" w:rsidRPr="009A27ED" w:rsidRDefault="00F43550" w:rsidP="00D42802">
            <w:pPr>
              <w:pStyle w:val="Textocomentario"/>
              <w:numPr>
                <w:ilvl w:val="0"/>
                <w:numId w:val="32"/>
              </w:numPr>
              <w:jc w:val="left"/>
              <w:rPr>
                <w:rFonts w:asciiTheme="minorHAnsi" w:hAnsiTheme="minorHAnsi" w:cstheme="minorHAnsi"/>
              </w:rPr>
            </w:pPr>
            <w:r w:rsidRPr="009A27ED">
              <w:rPr>
                <w:rFonts w:asciiTheme="minorHAnsi" w:hAnsiTheme="minorHAnsi" w:cstheme="minorHAnsi"/>
              </w:rPr>
              <w:t>Reglamento Forestal, Resolución 11/2007</w:t>
            </w:r>
          </w:p>
          <w:p w14:paraId="20C32D2B" w14:textId="77777777" w:rsidR="00F43550" w:rsidRPr="009A27ED" w:rsidRDefault="00F43550" w:rsidP="008045DD">
            <w:pPr>
              <w:pStyle w:val="Prrafodelista"/>
              <w:ind w:left="360"/>
              <w:rPr>
                <w:sz w:val="20"/>
                <w:szCs w:val="20"/>
              </w:rPr>
            </w:pPr>
            <w:r w:rsidRPr="009A27ED">
              <w:rPr>
                <w:sz w:val="20"/>
                <w:szCs w:val="20"/>
              </w:rPr>
              <w:t xml:space="preserve">Compendio de Reglamentos y Procedimientos para Autorizaciones Ambientales, Resolución No. 13/2014. </w:t>
            </w:r>
          </w:p>
        </w:tc>
      </w:tr>
      <w:tr w:rsidR="00F43550" w:rsidRPr="009A27ED" w14:paraId="5B8EDD50" w14:textId="77777777" w:rsidTr="00C97A18">
        <w:tc>
          <w:tcPr>
            <w:tcW w:w="8828" w:type="dxa"/>
            <w:shd w:val="clear" w:color="auto" w:fill="DEEAF6" w:themeFill="accent1" w:themeFillTint="33"/>
          </w:tcPr>
          <w:p w14:paraId="1AD78BAD" w14:textId="7270215B" w:rsidR="00F43550" w:rsidRPr="009A27ED" w:rsidRDefault="00F43550" w:rsidP="008B5FBA">
            <w:pPr>
              <w:rPr>
                <w:b/>
                <w:i/>
                <w:sz w:val="20"/>
                <w:szCs w:val="20"/>
                <w:u w:val="single"/>
              </w:rPr>
            </w:pPr>
            <w:bookmarkStart w:id="116" w:name="_Hlk528659601"/>
            <w:r w:rsidRPr="009A27ED">
              <w:rPr>
                <w:b/>
                <w:i/>
                <w:sz w:val="20"/>
                <w:szCs w:val="20"/>
                <w:u w:val="single"/>
              </w:rPr>
              <w:t xml:space="preserve">2. Reforestación </w:t>
            </w:r>
          </w:p>
          <w:p w14:paraId="1FB0C554" w14:textId="26781C16" w:rsidR="00F43550" w:rsidRPr="009A27ED" w:rsidRDefault="00F43550" w:rsidP="008B5FBA">
            <w:pPr>
              <w:rPr>
                <w:sz w:val="20"/>
                <w:szCs w:val="20"/>
              </w:rPr>
            </w:pPr>
            <w:r w:rsidRPr="009A27ED">
              <w:rPr>
                <w:sz w:val="20"/>
                <w:szCs w:val="20"/>
              </w:rPr>
              <w:lastRenderedPageBreak/>
              <w:t>Establecimiento de plantación forestal en predios sin cobertura arbórea, utilizando especies endémicas y/o nativas, ya sea promoviendo la regeneración natural, con siembra directa de semillas, o plantación de árboles reproducidos en vivero.</w:t>
            </w:r>
          </w:p>
        </w:tc>
      </w:tr>
      <w:tr w:rsidR="00F43550" w:rsidRPr="009A27ED" w14:paraId="64B4D6EA" w14:textId="77777777" w:rsidTr="00C97A18">
        <w:tc>
          <w:tcPr>
            <w:tcW w:w="8828" w:type="dxa"/>
            <w:shd w:val="clear" w:color="auto" w:fill="DEEAF6" w:themeFill="accent1" w:themeFillTint="33"/>
          </w:tcPr>
          <w:p w14:paraId="12CD2FF0" w14:textId="58F0069C" w:rsidR="00F43550" w:rsidRPr="009A27ED" w:rsidRDefault="00F43550" w:rsidP="008045DD">
            <w:pPr>
              <w:rPr>
                <w:b/>
                <w:sz w:val="20"/>
                <w:szCs w:val="20"/>
              </w:rPr>
            </w:pPr>
            <w:r w:rsidRPr="009A27ED">
              <w:rPr>
                <w:b/>
                <w:sz w:val="20"/>
                <w:szCs w:val="20"/>
              </w:rPr>
              <w:t>ACCIONES ESTRAT</w:t>
            </w:r>
            <w:r w:rsidR="008200E9" w:rsidRPr="009A27ED">
              <w:rPr>
                <w:b/>
                <w:sz w:val="20"/>
                <w:szCs w:val="20"/>
              </w:rPr>
              <w:t>ÉGICAS</w:t>
            </w:r>
            <w:r w:rsidRPr="009A27ED">
              <w:rPr>
                <w:b/>
                <w:sz w:val="20"/>
                <w:szCs w:val="20"/>
              </w:rPr>
              <w:t xml:space="preserve"> REDD+: </w:t>
            </w:r>
            <w:r w:rsidRPr="009A27ED">
              <w:rPr>
                <w:sz w:val="20"/>
                <w:szCs w:val="20"/>
              </w:rPr>
              <w:t>3.1, 3.6, 3.8</w:t>
            </w:r>
          </w:p>
        </w:tc>
      </w:tr>
      <w:tr w:rsidR="00F43550" w:rsidRPr="009A27ED" w14:paraId="3BD8AE80" w14:textId="77777777" w:rsidTr="00C97A18">
        <w:tc>
          <w:tcPr>
            <w:tcW w:w="8828" w:type="dxa"/>
            <w:shd w:val="clear" w:color="auto" w:fill="DEEAF6" w:themeFill="accent1" w:themeFillTint="33"/>
          </w:tcPr>
          <w:p w14:paraId="08A5A8DA" w14:textId="77777777" w:rsidR="00F43550" w:rsidRPr="009A27ED" w:rsidRDefault="00F43550" w:rsidP="008045DD">
            <w:pPr>
              <w:pStyle w:val="Textocomentario"/>
              <w:rPr>
                <w:rFonts w:asciiTheme="minorHAnsi" w:hAnsiTheme="minorHAnsi" w:cstheme="minorHAnsi"/>
                <w:b/>
              </w:rPr>
            </w:pPr>
            <w:bookmarkStart w:id="117" w:name="_Hlk528698996"/>
            <w:r w:rsidRPr="009A27ED">
              <w:rPr>
                <w:rFonts w:asciiTheme="minorHAnsi" w:hAnsiTheme="minorHAnsi" w:cstheme="minorHAnsi"/>
              </w:rPr>
              <w:t xml:space="preserve">Requerimientos legales: </w:t>
            </w:r>
            <w:r w:rsidRPr="009A27ED">
              <w:rPr>
                <w:rFonts w:asciiTheme="minorHAnsi" w:hAnsiTheme="minorHAnsi" w:cstheme="minorHAnsi"/>
                <w:b/>
              </w:rPr>
              <w:t>Ministerio de Medio Ambiente y Recursos Naturales:</w:t>
            </w:r>
          </w:p>
          <w:p w14:paraId="564B5E81" w14:textId="2A069488" w:rsidR="00F43550" w:rsidRPr="009A27ED" w:rsidRDefault="00F43550" w:rsidP="008045DD">
            <w:pPr>
              <w:pStyle w:val="Textocomentario"/>
              <w:rPr>
                <w:rFonts w:asciiTheme="minorHAnsi" w:hAnsiTheme="minorHAnsi" w:cstheme="minorHAnsi"/>
                <w:color w:val="000000"/>
                <w:shd w:val="clear" w:color="auto" w:fill="FFFFFF"/>
              </w:rPr>
            </w:pPr>
            <w:r w:rsidRPr="009A27ED">
              <w:rPr>
                <w:rFonts w:asciiTheme="minorHAnsi" w:hAnsiTheme="minorHAnsi" w:cstheme="minorHAnsi"/>
              </w:rPr>
              <w:t xml:space="preserve">Coordinación con </w:t>
            </w:r>
            <w:r w:rsidRPr="009A27ED">
              <w:rPr>
                <w:rFonts w:asciiTheme="minorHAnsi" w:hAnsiTheme="minorHAnsi" w:cstheme="minorHAnsi"/>
                <w:color w:val="000000"/>
                <w:shd w:val="clear" w:color="auto" w:fill="FFFFFF"/>
              </w:rPr>
              <w:t>el </w:t>
            </w:r>
            <w:r w:rsidRPr="009A27ED">
              <w:rPr>
                <w:rStyle w:val="Textoennegrita"/>
                <w:rFonts w:asciiTheme="minorHAnsi" w:hAnsiTheme="minorHAnsi" w:cstheme="minorHAnsi"/>
                <w:color w:val="000000"/>
                <w:bdr w:val="none" w:sz="0" w:space="0" w:color="auto" w:frame="1"/>
                <w:shd w:val="clear" w:color="auto" w:fill="FFFFFF"/>
              </w:rPr>
              <w:t>P</w:t>
            </w:r>
            <w:r w:rsidR="00AD11B9" w:rsidRPr="009A27ED">
              <w:rPr>
                <w:rStyle w:val="Textoennegrita"/>
                <w:rFonts w:asciiTheme="minorHAnsi" w:hAnsiTheme="minorHAnsi" w:cstheme="minorHAnsi"/>
                <w:color w:val="000000"/>
                <w:bdr w:val="none" w:sz="0" w:space="0" w:color="auto" w:frame="1"/>
                <w:shd w:val="clear" w:color="auto" w:fill="FFFFFF"/>
              </w:rPr>
              <w:t xml:space="preserve">rograma </w:t>
            </w:r>
            <w:r w:rsidRPr="009A27ED">
              <w:rPr>
                <w:rStyle w:val="Textoennegrita"/>
                <w:rFonts w:asciiTheme="minorHAnsi" w:hAnsiTheme="minorHAnsi" w:cstheme="minorHAnsi"/>
                <w:color w:val="000000"/>
                <w:bdr w:val="none" w:sz="0" w:space="0" w:color="auto" w:frame="1"/>
                <w:shd w:val="clear" w:color="auto" w:fill="FFFFFF"/>
              </w:rPr>
              <w:t xml:space="preserve">Nacional </w:t>
            </w:r>
            <w:r w:rsidR="00AD11B9" w:rsidRPr="009A27ED">
              <w:rPr>
                <w:rStyle w:val="Textoennegrita"/>
                <w:rFonts w:asciiTheme="minorHAnsi" w:hAnsiTheme="minorHAnsi" w:cstheme="minorHAnsi"/>
                <w:color w:val="000000"/>
                <w:bdr w:val="none" w:sz="0" w:space="0" w:color="auto" w:frame="1"/>
                <w:shd w:val="clear" w:color="auto" w:fill="FFFFFF"/>
              </w:rPr>
              <w:t>de Reforestación</w:t>
            </w:r>
            <w:r w:rsidRPr="009A27ED">
              <w:rPr>
                <w:rFonts w:asciiTheme="minorHAnsi" w:hAnsiTheme="minorHAnsi" w:cstheme="minorHAnsi"/>
                <w:color w:val="000000"/>
                <w:shd w:val="clear" w:color="auto" w:fill="FFFFFF"/>
              </w:rPr>
              <w:t xml:space="preserve">, a través del Viceministerio de Recursos Forestales para la aprobación de acciones de reforestación y recuperación de áreas verdes naturales. </w:t>
            </w:r>
          </w:p>
          <w:p w14:paraId="24755441" w14:textId="77777777" w:rsidR="00F43550" w:rsidRPr="009A27ED" w:rsidRDefault="00F43550" w:rsidP="008045DD">
            <w:pPr>
              <w:pStyle w:val="Textocomentario"/>
              <w:rPr>
                <w:rFonts w:asciiTheme="minorHAnsi" w:hAnsiTheme="minorHAnsi" w:cstheme="minorHAnsi"/>
                <w:color w:val="000000"/>
                <w:shd w:val="clear" w:color="auto" w:fill="FFFFFF"/>
              </w:rPr>
            </w:pPr>
          </w:p>
          <w:p w14:paraId="442E0FD7" w14:textId="77777777" w:rsidR="00F43550" w:rsidRPr="009A27ED" w:rsidRDefault="00F43550" w:rsidP="008045DD">
            <w:pPr>
              <w:pStyle w:val="Textocomentario"/>
              <w:rPr>
                <w:rFonts w:asciiTheme="minorHAnsi" w:hAnsiTheme="minorHAnsi" w:cstheme="minorHAnsi"/>
                <w:color w:val="000000"/>
                <w:shd w:val="clear" w:color="auto" w:fill="FFFFFF"/>
              </w:rPr>
            </w:pPr>
            <w:r w:rsidRPr="009A27ED">
              <w:rPr>
                <w:rFonts w:asciiTheme="minorHAnsi" w:hAnsiTheme="minorHAnsi" w:cstheme="minorHAnsi"/>
                <w:color w:val="000000"/>
                <w:shd w:val="clear" w:color="auto" w:fill="FFFFFF"/>
              </w:rPr>
              <w:t xml:space="preserve">Las unidades o zonas de </w:t>
            </w:r>
            <w:proofErr w:type="gramStart"/>
            <w:r w:rsidRPr="009A27ED">
              <w:rPr>
                <w:rFonts w:asciiTheme="minorHAnsi" w:hAnsiTheme="minorHAnsi" w:cstheme="minorHAnsi"/>
                <w:color w:val="000000"/>
                <w:shd w:val="clear" w:color="auto" w:fill="FFFFFF"/>
              </w:rPr>
              <w:t>reforestación,</w:t>
            </w:r>
            <w:proofErr w:type="gramEnd"/>
            <w:r w:rsidRPr="009A27ED">
              <w:rPr>
                <w:rFonts w:asciiTheme="minorHAnsi" w:hAnsiTheme="minorHAnsi" w:cstheme="minorHAnsi"/>
                <w:color w:val="000000"/>
                <w:shd w:val="clear" w:color="auto" w:fill="FFFFFF"/>
              </w:rPr>
              <w:t xml:space="preserve"> operan bajo la administración y responsabilidad del Ministerio de Medio Ambiente y Recursos Naturales a través de las Direcciones Provinciales de Medio Ambiente y Recursos Naturales, responsables de los trabajos operativos. </w:t>
            </w:r>
          </w:p>
          <w:p w14:paraId="362276DC" w14:textId="77777777" w:rsidR="00F43550" w:rsidRPr="009A27ED" w:rsidRDefault="00F43550" w:rsidP="008045DD">
            <w:pPr>
              <w:pStyle w:val="Textocomentario"/>
              <w:rPr>
                <w:rFonts w:asciiTheme="minorHAnsi" w:hAnsiTheme="minorHAnsi" w:cstheme="minorHAnsi"/>
                <w:color w:val="000000"/>
                <w:shd w:val="clear" w:color="auto" w:fill="FFFFFF"/>
              </w:rPr>
            </w:pPr>
          </w:p>
          <w:p w14:paraId="6336A1E6" w14:textId="77777777" w:rsidR="00F43550" w:rsidRPr="009A27ED" w:rsidRDefault="00F43550" w:rsidP="008045DD">
            <w:pPr>
              <w:pStyle w:val="Textocomentario"/>
              <w:rPr>
                <w:rFonts w:asciiTheme="minorHAnsi" w:hAnsiTheme="minorHAnsi" w:cstheme="minorHAnsi"/>
                <w:color w:val="000000"/>
                <w:shd w:val="clear" w:color="auto" w:fill="FFFFFF"/>
              </w:rPr>
            </w:pPr>
            <w:r w:rsidRPr="009A27ED">
              <w:rPr>
                <w:rFonts w:asciiTheme="minorHAnsi" w:hAnsiTheme="minorHAnsi" w:cstheme="minorHAnsi"/>
                <w:color w:val="000000"/>
                <w:u w:val="single"/>
                <w:shd w:val="clear" w:color="auto" w:fill="FFFFFF"/>
              </w:rPr>
              <w:t>Marco Legal</w:t>
            </w:r>
            <w:r w:rsidRPr="009A27ED">
              <w:rPr>
                <w:rFonts w:asciiTheme="minorHAnsi" w:hAnsiTheme="minorHAnsi" w:cstheme="minorHAnsi"/>
                <w:color w:val="000000"/>
                <w:shd w:val="clear" w:color="auto" w:fill="FFFFFF"/>
              </w:rPr>
              <w:t>:</w:t>
            </w:r>
          </w:p>
          <w:p w14:paraId="41EDD570" w14:textId="77777777" w:rsidR="00F43550" w:rsidRPr="009A27ED" w:rsidRDefault="00F43550" w:rsidP="00C97A18">
            <w:pPr>
              <w:pStyle w:val="Textocomentario"/>
              <w:numPr>
                <w:ilvl w:val="0"/>
                <w:numId w:val="328"/>
              </w:numPr>
              <w:jc w:val="left"/>
              <w:rPr>
                <w:rFonts w:asciiTheme="minorHAnsi" w:hAnsiTheme="minorHAnsi" w:cstheme="minorHAnsi"/>
              </w:rPr>
            </w:pPr>
            <w:r w:rsidRPr="009A27ED">
              <w:rPr>
                <w:rFonts w:asciiTheme="minorHAnsi" w:hAnsiTheme="minorHAnsi" w:cstheme="minorHAnsi"/>
                <w:color w:val="000000"/>
                <w:shd w:val="clear" w:color="auto" w:fill="FFFFFF"/>
              </w:rPr>
              <w:t>Ley 64-00,</w:t>
            </w:r>
          </w:p>
          <w:p w14:paraId="5C21FE35" w14:textId="77777777" w:rsidR="00F43550" w:rsidRPr="009A27ED" w:rsidRDefault="00F43550" w:rsidP="00C97A18">
            <w:pPr>
              <w:pStyle w:val="Textocomentario"/>
              <w:numPr>
                <w:ilvl w:val="0"/>
                <w:numId w:val="328"/>
              </w:numPr>
              <w:jc w:val="left"/>
              <w:rPr>
                <w:rFonts w:asciiTheme="minorHAnsi" w:hAnsiTheme="minorHAnsi" w:cstheme="minorHAnsi"/>
              </w:rPr>
            </w:pPr>
            <w:r w:rsidRPr="009A27ED">
              <w:rPr>
                <w:rFonts w:asciiTheme="minorHAnsi" w:hAnsiTheme="minorHAnsi" w:cstheme="minorHAnsi"/>
                <w:color w:val="000000"/>
                <w:shd w:val="clear" w:color="auto" w:fill="FFFFFF"/>
              </w:rPr>
              <w:t xml:space="preserve">Decreto No. 138-97 </w:t>
            </w:r>
          </w:p>
          <w:p w14:paraId="0D48C5CB" w14:textId="451EEFB2" w:rsidR="00F43550" w:rsidRPr="009A27ED" w:rsidRDefault="00F43550" w:rsidP="00C97A18">
            <w:pPr>
              <w:pStyle w:val="Textocomentario"/>
              <w:numPr>
                <w:ilvl w:val="0"/>
                <w:numId w:val="328"/>
              </w:numPr>
              <w:jc w:val="left"/>
              <w:rPr>
                <w:rFonts w:asciiTheme="minorHAnsi" w:hAnsiTheme="minorHAnsi" w:cstheme="minorHAnsi"/>
              </w:rPr>
            </w:pPr>
            <w:r w:rsidRPr="009A27ED">
              <w:rPr>
                <w:rFonts w:asciiTheme="minorHAnsi" w:hAnsiTheme="minorHAnsi" w:cstheme="minorHAnsi"/>
                <w:color w:val="000000"/>
                <w:shd w:val="clear" w:color="auto" w:fill="FFFFFF"/>
              </w:rPr>
              <w:t>Decreto 226-07</w:t>
            </w:r>
          </w:p>
        </w:tc>
      </w:tr>
      <w:bookmarkEnd w:id="117"/>
      <w:tr w:rsidR="00F43550" w:rsidRPr="009A27ED" w14:paraId="346E7BCD" w14:textId="77777777" w:rsidTr="00C97A18">
        <w:tc>
          <w:tcPr>
            <w:tcW w:w="8828" w:type="dxa"/>
            <w:shd w:val="clear" w:color="auto" w:fill="DEEAF6" w:themeFill="accent1" w:themeFillTint="33"/>
          </w:tcPr>
          <w:p w14:paraId="02AB2F5C" w14:textId="77777777" w:rsidR="00F43550" w:rsidRPr="009A27ED" w:rsidRDefault="00F43550" w:rsidP="008B5FBA">
            <w:pPr>
              <w:rPr>
                <w:b/>
                <w:sz w:val="20"/>
                <w:szCs w:val="20"/>
              </w:rPr>
            </w:pPr>
            <w:r w:rsidRPr="009A27ED">
              <w:rPr>
                <w:b/>
                <w:sz w:val="20"/>
                <w:szCs w:val="20"/>
              </w:rPr>
              <w:t>Procedimientos</w:t>
            </w:r>
          </w:p>
          <w:p w14:paraId="7C447B24" w14:textId="77777777" w:rsidR="00F43550" w:rsidRPr="009A27ED" w:rsidRDefault="00F43550" w:rsidP="008B5FBA">
            <w:pPr>
              <w:rPr>
                <w:sz w:val="20"/>
                <w:szCs w:val="20"/>
              </w:rPr>
            </w:pPr>
            <w:r w:rsidRPr="009A27ED">
              <w:rPr>
                <w:i/>
                <w:sz w:val="20"/>
                <w:szCs w:val="20"/>
                <w:u w:val="single"/>
              </w:rPr>
              <w:t>Producción de plántulas</w:t>
            </w:r>
            <w:r w:rsidRPr="009A27ED">
              <w:rPr>
                <w:sz w:val="20"/>
                <w:szCs w:val="20"/>
              </w:rPr>
              <w:t>:</w:t>
            </w:r>
          </w:p>
          <w:p w14:paraId="6A35000D" w14:textId="77777777" w:rsidR="00F43550" w:rsidRPr="009A27ED" w:rsidRDefault="00F43550" w:rsidP="00E67CB0">
            <w:pPr>
              <w:pStyle w:val="Prrafodelista"/>
              <w:numPr>
                <w:ilvl w:val="0"/>
                <w:numId w:val="124"/>
              </w:numPr>
              <w:spacing w:after="0" w:line="240" w:lineRule="auto"/>
              <w:jc w:val="left"/>
              <w:rPr>
                <w:sz w:val="20"/>
                <w:szCs w:val="20"/>
              </w:rPr>
            </w:pPr>
            <w:r w:rsidRPr="009A27ED">
              <w:rPr>
                <w:sz w:val="20"/>
                <w:szCs w:val="20"/>
              </w:rPr>
              <w:t>Colección o Compra de semillas</w:t>
            </w:r>
          </w:p>
          <w:p w14:paraId="0E4FD9C1" w14:textId="77777777" w:rsidR="00F43550" w:rsidRPr="009A27ED" w:rsidRDefault="00F43550" w:rsidP="00E67CB0">
            <w:pPr>
              <w:pStyle w:val="Prrafodelista"/>
              <w:numPr>
                <w:ilvl w:val="0"/>
                <w:numId w:val="124"/>
              </w:numPr>
              <w:spacing w:after="0" w:line="240" w:lineRule="auto"/>
              <w:jc w:val="left"/>
              <w:rPr>
                <w:sz w:val="20"/>
                <w:szCs w:val="20"/>
              </w:rPr>
            </w:pPr>
            <w:r w:rsidRPr="009A27ED">
              <w:rPr>
                <w:sz w:val="20"/>
                <w:szCs w:val="20"/>
              </w:rPr>
              <w:t>Establecimiento de semilleros y almácigos</w:t>
            </w:r>
          </w:p>
          <w:p w14:paraId="28616B3A" w14:textId="77777777" w:rsidR="00F43550" w:rsidRPr="009A27ED" w:rsidRDefault="00F43550" w:rsidP="00E67CB0">
            <w:pPr>
              <w:pStyle w:val="Prrafodelista"/>
              <w:numPr>
                <w:ilvl w:val="0"/>
                <w:numId w:val="124"/>
              </w:numPr>
              <w:spacing w:after="0" w:line="240" w:lineRule="auto"/>
              <w:jc w:val="left"/>
              <w:rPr>
                <w:sz w:val="20"/>
                <w:szCs w:val="20"/>
              </w:rPr>
            </w:pPr>
            <w:r w:rsidRPr="009A27ED">
              <w:rPr>
                <w:sz w:val="20"/>
                <w:szCs w:val="20"/>
              </w:rPr>
              <w:t>Riegos, fertilización y manejo integrado de plagas a nivel de vivero</w:t>
            </w:r>
          </w:p>
          <w:p w14:paraId="3C5B46B2" w14:textId="77777777" w:rsidR="00F43550" w:rsidRPr="009A27ED" w:rsidRDefault="00F43550" w:rsidP="008045DD">
            <w:pPr>
              <w:rPr>
                <w:sz w:val="20"/>
                <w:szCs w:val="20"/>
                <w:u w:val="single"/>
              </w:rPr>
            </w:pPr>
            <w:r w:rsidRPr="009A27ED">
              <w:rPr>
                <w:sz w:val="20"/>
                <w:szCs w:val="20"/>
                <w:u w:val="single"/>
              </w:rPr>
              <w:t>Diseño de plantación</w:t>
            </w:r>
          </w:p>
          <w:p w14:paraId="14B3DE1A" w14:textId="77777777" w:rsidR="00F43550" w:rsidRPr="009A27ED" w:rsidRDefault="00F43550" w:rsidP="00D42802">
            <w:pPr>
              <w:pStyle w:val="Prrafodelista"/>
              <w:numPr>
                <w:ilvl w:val="0"/>
                <w:numId w:val="22"/>
              </w:numPr>
              <w:spacing w:after="0" w:line="240" w:lineRule="auto"/>
              <w:jc w:val="left"/>
              <w:rPr>
                <w:sz w:val="20"/>
                <w:szCs w:val="20"/>
              </w:rPr>
            </w:pPr>
            <w:r w:rsidRPr="009A27ED">
              <w:rPr>
                <w:sz w:val="20"/>
                <w:szCs w:val="20"/>
              </w:rPr>
              <w:t>Identificación de predios dispuestos a desarrollar la actividad.</w:t>
            </w:r>
          </w:p>
          <w:p w14:paraId="535C5134" w14:textId="77777777" w:rsidR="00F43550" w:rsidRPr="009A27ED" w:rsidRDefault="00F43550" w:rsidP="00D42802">
            <w:pPr>
              <w:pStyle w:val="Prrafodelista"/>
              <w:numPr>
                <w:ilvl w:val="0"/>
                <w:numId w:val="22"/>
              </w:numPr>
              <w:spacing w:after="0" w:line="240" w:lineRule="auto"/>
              <w:jc w:val="left"/>
              <w:rPr>
                <w:sz w:val="20"/>
                <w:szCs w:val="20"/>
              </w:rPr>
            </w:pPr>
            <w:r w:rsidRPr="009A27ED">
              <w:rPr>
                <w:sz w:val="20"/>
                <w:szCs w:val="20"/>
              </w:rPr>
              <w:t>Sensibilización y capacitación a la comunidad</w:t>
            </w:r>
          </w:p>
          <w:p w14:paraId="17A415DA" w14:textId="77777777" w:rsidR="00F43550" w:rsidRPr="009A27ED" w:rsidRDefault="00F43550" w:rsidP="00D42802">
            <w:pPr>
              <w:pStyle w:val="Prrafodelista"/>
              <w:numPr>
                <w:ilvl w:val="0"/>
                <w:numId w:val="22"/>
              </w:numPr>
              <w:spacing w:after="0" w:line="240" w:lineRule="auto"/>
              <w:jc w:val="left"/>
              <w:rPr>
                <w:sz w:val="20"/>
                <w:szCs w:val="20"/>
              </w:rPr>
            </w:pPr>
            <w:r w:rsidRPr="009A27ED">
              <w:rPr>
                <w:sz w:val="20"/>
                <w:szCs w:val="20"/>
              </w:rPr>
              <w:t>Conformación de Brigadas comunitarias</w:t>
            </w:r>
          </w:p>
          <w:p w14:paraId="0CE71D7F" w14:textId="77777777" w:rsidR="00F43550" w:rsidRPr="009A27ED" w:rsidRDefault="00F43550" w:rsidP="008045DD">
            <w:pPr>
              <w:rPr>
                <w:sz w:val="20"/>
                <w:szCs w:val="20"/>
              </w:rPr>
            </w:pPr>
            <w:r w:rsidRPr="009A27ED">
              <w:rPr>
                <w:i/>
                <w:sz w:val="20"/>
                <w:szCs w:val="20"/>
                <w:u w:val="single"/>
              </w:rPr>
              <w:t>Establecimiento</w:t>
            </w:r>
            <w:r w:rsidRPr="009A27ED">
              <w:rPr>
                <w:sz w:val="20"/>
                <w:szCs w:val="20"/>
              </w:rPr>
              <w:t xml:space="preserve"> </w:t>
            </w:r>
          </w:p>
          <w:p w14:paraId="196347B0" w14:textId="77777777" w:rsidR="00F43550" w:rsidRPr="009A27ED" w:rsidRDefault="00F43550" w:rsidP="00D42802">
            <w:pPr>
              <w:pStyle w:val="Prrafodelista"/>
              <w:numPr>
                <w:ilvl w:val="0"/>
                <w:numId w:val="23"/>
              </w:numPr>
              <w:spacing w:after="0" w:line="240" w:lineRule="auto"/>
              <w:jc w:val="left"/>
              <w:rPr>
                <w:sz w:val="20"/>
                <w:szCs w:val="20"/>
              </w:rPr>
            </w:pPr>
            <w:r w:rsidRPr="009A27ED">
              <w:rPr>
                <w:sz w:val="20"/>
                <w:szCs w:val="20"/>
              </w:rPr>
              <w:t>Preparación de terreno, incluyendo limpieza y otras prácticas necesarias en cada caso.</w:t>
            </w:r>
          </w:p>
          <w:p w14:paraId="10C1E768" w14:textId="77777777" w:rsidR="00F43550" w:rsidRPr="009A27ED" w:rsidRDefault="00F43550" w:rsidP="00D42802">
            <w:pPr>
              <w:pStyle w:val="Prrafodelista"/>
              <w:numPr>
                <w:ilvl w:val="0"/>
                <w:numId w:val="23"/>
              </w:numPr>
              <w:spacing w:after="0" w:line="240" w:lineRule="auto"/>
              <w:jc w:val="left"/>
              <w:rPr>
                <w:sz w:val="20"/>
                <w:szCs w:val="20"/>
              </w:rPr>
            </w:pPr>
            <w:r w:rsidRPr="009A27ED">
              <w:rPr>
                <w:sz w:val="20"/>
                <w:szCs w:val="20"/>
              </w:rPr>
              <w:t>Plantación</w:t>
            </w:r>
          </w:p>
          <w:p w14:paraId="79D74AA8" w14:textId="77777777" w:rsidR="00F43550" w:rsidRPr="009A27ED" w:rsidRDefault="00F43550" w:rsidP="008045DD">
            <w:pPr>
              <w:pStyle w:val="Prrafodelista"/>
              <w:ind w:left="360"/>
              <w:rPr>
                <w:sz w:val="20"/>
                <w:szCs w:val="20"/>
              </w:rPr>
            </w:pPr>
            <w:r w:rsidRPr="009A27ED">
              <w:rPr>
                <w:sz w:val="20"/>
                <w:szCs w:val="20"/>
              </w:rPr>
              <w:t>Reposición de plántula y limpieza durante los primeros años ((1-2)</w:t>
            </w:r>
          </w:p>
          <w:p w14:paraId="535812FB" w14:textId="77777777" w:rsidR="00F43550" w:rsidRPr="009A27ED" w:rsidRDefault="00F43550" w:rsidP="008045DD">
            <w:pPr>
              <w:rPr>
                <w:i/>
                <w:sz w:val="20"/>
                <w:szCs w:val="20"/>
                <w:u w:val="single"/>
              </w:rPr>
            </w:pPr>
            <w:r w:rsidRPr="009A27ED">
              <w:rPr>
                <w:i/>
                <w:sz w:val="20"/>
                <w:szCs w:val="20"/>
                <w:u w:val="single"/>
              </w:rPr>
              <w:t>Mantenimiento de la plantación</w:t>
            </w:r>
          </w:p>
          <w:p w14:paraId="5CBF5D63" w14:textId="4EDE63B1" w:rsidR="00F43550" w:rsidRPr="009A27ED" w:rsidRDefault="00F43550" w:rsidP="008045DD">
            <w:pPr>
              <w:rPr>
                <w:sz w:val="20"/>
                <w:szCs w:val="20"/>
              </w:rPr>
            </w:pPr>
            <w:r w:rsidRPr="009A27ED">
              <w:rPr>
                <w:sz w:val="20"/>
                <w:szCs w:val="20"/>
              </w:rPr>
              <w:t>raleos, limpieza, control de plagas.</w:t>
            </w:r>
          </w:p>
        </w:tc>
      </w:tr>
      <w:bookmarkEnd w:id="116"/>
      <w:tr w:rsidR="00F43550" w:rsidRPr="009A27ED" w14:paraId="425787F9" w14:textId="77777777" w:rsidTr="008045DD">
        <w:tc>
          <w:tcPr>
            <w:tcW w:w="8828" w:type="dxa"/>
          </w:tcPr>
          <w:p w14:paraId="686D0FBB" w14:textId="77777777" w:rsidR="00F43550" w:rsidRPr="009A27ED" w:rsidRDefault="00F43550" w:rsidP="008045DD">
            <w:pPr>
              <w:rPr>
                <w:b/>
                <w:i/>
                <w:sz w:val="20"/>
                <w:szCs w:val="20"/>
                <w:u w:val="single"/>
              </w:rPr>
            </w:pPr>
            <w:r w:rsidRPr="009A27ED">
              <w:rPr>
                <w:b/>
                <w:i/>
                <w:sz w:val="20"/>
                <w:szCs w:val="20"/>
                <w:u w:val="single"/>
              </w:rPr>
              <w:t>3. Sistemas agroforestales: (SAF Café, Cacao):</w:t>
            </w:r>
          </w:p>
          <w:p w14:paraId="3B0177A3" w14:textId="77777777" w:rsidR="00F43550" w:rsidRPr="009A27ED" w:rsidRDefault="00F43550" w:rsidP="008045DD">
            <w:pPr>
              <w:rPr>
                <w:b/>
                <w:sz w:val="20"/>
                <w:szCs w:val="20"/>
              </w:rPr>
            </w:pPr>
            <w:r w:rsidRPr="009A27ED">
              <w:rPr>
                <w:sz w:val="20"/>
                <w:szCs w:val="20"/>
              </w:rPr>
              <w:t xml:space="preserve">Actividades que fomentan la agroforestería, promoviendo el uso de especies nativas y endémicas para generar un incremento de beneficios económicos y sociales para los productores, manteniendo la cubierta forestal y otros servicios ecosistémicos, incluida la captura de Carbono (CO2). Actividades tales como la apicultura, producción de </w:t>
            </w:r>
            <w:r w:rsidRPr="009A27ED">
              <w:rPr>
                <w:b/>
                <w:sz w:val="20"/>
                <w:szCs w:val="20"/>
              </w:rPr>
              <w:t xml:space="preserve">café y cacao bajo sombra, </w:t>
            </w:r>
            <w:r w:rsidRPr="009A27ED">
              <w:rPr>
                <w:sz w:val="20"/>
                <w:szCs w:val="20"/>
              </w:rPr>
              <w:t>entre otros.</w:t>
            </w:r>
          </w:p>
        </w:tc>
      </w:tr>
      <w:tr w:rsidR="00F43550" w:rsidRPr="009A27ED" w14:paraId="5DBAAD3A" w14:textId="77777777" w:rsidTr="008045DD">
        <w:tc>
          <w:tcPr>
            <w:tcW w:w="8828" w:type="dxa"/>
          </w:tcPr>
          <w:p w14:paraId="33083A8B" w14:textId="7BEE1619" w:rsidR="00F43550" w:rsidRPr="009A27ED" w:rsidRDefault="00F43550" w:rsidP="008045DD">
            <w:pPr>
              <w:rPr>
                <w:b/>
                <w:sz w:val="20"/>
                <w:szCs w:val="20"/>
              </w:rPr>
            </w:pPr>
            <w:r w:rsidRPr="009A27ED">
              <w:rPr>
                <w:b/>
                <w:sz w:val="20"/>
                <w:szCs w:val="20"/>
              </w:rPr>
              <w:t>ACCIONES ESTRATEG</w:t>
            </w:r>
            <w:r w:rsidR="008200E9" w:rsidRPr="009A27ED">
              <w:rPr>
                <w:b/>
                <w:sz w:val="20"/>
                <w:szCs w:val="20"/>
              </w:rPr>
              <w:t>ICAS</w:t>
            </w:r>
            <w:r w:rsidRPr="009A27ED">
              <w:rPr>
                <w:b/>
                <w:sz w:val="20"/>
                <w:szCs w:val="20"/>
              </w:rPr>
              <w:t xml:space="preserve"> REDD+: </w:t>
            </w:r>
            <w:r w:rsidRPr="009A27ED">
              <w:rPr>
                <w:sz w:val="20"/>
                <w:szCs w:val="20"/>
              </w:rPr>
              <w:t xml:space="preserve">3.1, 3.2, 3.4, 3.6 </w:t>
            </w:r>
          </w:p>
        </w:tc>
      </w:tr>
      <w:tr w:rsidR="00F43550" w:rsidRPr="009A27ED" w14:paraId="0474539A" w14:textId="77777777" w:rsidTr="008045DD">
        <w:tc>
          <w:tcPr>
            <w:tcW w:w="8828" w:type="dxa"/>
          </w:tcPr>
          <w:p w14:paraId="5D9475E4" w14:textId="77777777" w:rsidR="00F43550" w:rsidRPr="009A27ED" w:rsidRDefault="00F43550" w:rsidP="008045DD">
            <w:pPr>
              <w:pStyle w:val="Textocomentario"/>
              <w:rPr>
                <w:rFonts w:asciiTheme="minorHAnsi" w:hAnsiTheme="minorHAnsi" w:cstheme="minorHAnsi"/>
                <w:b/>
              </w:rPr>
            </w:pPr>
            <w:bookmarkStart w:id="118" w:name="_Hlk528699330"/>
            <w:r w:rsidRPr="009A27ED">
              <w:rPr>
                <w:rFonts w:asciiTheme="minorHAnsi" w:hAnsiTheme="minorHAnsi" w:cstheme="minorHAnsi"/>
              </w:rPr>
              <w:t xml:space="preserve">Requerimientos legales: </w:t>
            </w:r>
            <w:r w:rsidRPr="009A27ED">
              <w:rPr>
                <w:rFonts w:asciiTheme="minorHAnsi" w:hAnsiTheme="minorHAnsi" w:cstheme="minorHAnsi"/>
                <w:b/>
              </w:rPr>
              <w:t>Ministerio de Medio Ambiente y Recursos Naturales:</w:t>
            </w:r>
          </w:p>
          <w:p w14:paraId="237B9448" w14:textId="77777777" w:rsidR="00F43550" w:rsidRPr="009A27ED" w:rsidRDefault="00F43550" w:rsidP="008045DD">
            <w:pPr>
              <w:pStyle w:val="Textocomentario"/>
              <w:rPr>
                <w:rFonts w:asciiTheme="minorHAnsi" w:hAnsiTheme="minorHAnsi" w:cstheme="minorHAnsi"/>
                <w:b/>
              </w:rPr>
            </w:pPr>
          </w:p>
          <w:p w14:paraId="56F44993" w14:textId="77777777" w:rsidR="00F43550" w:rsidRPr="009A27ED" w:rsidRDefault="00F43550" w:rsidP="008045DD">
            <w:pPr>
              <w:pStyle w:val="Textocomentario"/>
              <w:rPr>
                <w:rFonts w:asciiTheme="minorHAnsi" w:hAnsiTheme="minorHAnsi" w:cstheme="minorHAnsi"/>
              </w:rPr>
            </w:pPr>
            <w:r w:rsidRPr="009A27ED">
              <w:rPr>
                <w:rFonts w:asciiTheme="minorHAnsi" w:hAnsiTheme="minorHAnsi" w:cstheme="minorHAnsi"/>
                <w:u w:val="single"/>
              </w:rPr>
              <w:t>Autorización</w:t>
            </w:r>
            <w:r w:rsidRPr="009A27ED">
              <w:rPr>
                <w:rFonts w:asciiTheme="minorHAnsi" w:hAnsiTheme="minorHAnsi" w:cstheme="minorHAnsi"/>
              </w:rPr>
              <w:t xml:space="preserve">: </w:t>
            </w:r>
          </w:p>
          <w:p w14:paraId="74B767D0" w14:textId="77777777" w:rsidR="00F43550" w:rsidRPr="009A27ED" w:rsidRDefault="00F43550" w:rsidP="00C97A18">
            <w:pPr>
              <w:pStyle w:val="Textocomentario"/>
              <w:numPr>
                <w:ilvl w:val="0"/>
                <w:numId w:val="330"/>
              </w:numPr>
              <w:jc w:val="left"/>
              <w:rPr>
                <w:rFonts w:asciiTheme="minorHAnsi" w:hAnsiTheme="minorHAnsi" w:cstheme="minorHAnsi"/>
              </w:rPr>
            </w:pPr>
            <w:r w:rsidRPr="009A27ED">
              <w:rPr>
                <w:rFonts w:asciiTheme="minorHAnsi" w:hAnsiTheme="minorHAnsi" w:cstheme="minorHAnsi"/>
              </w:rPr>
              <w:t>Certificación de Plantación con Derecho a Corte (para los Proyectos Nuevos)</w:t>
            </w:r>
          </w:p>
          <w:p w14:paraId="3B16877B" w14:textId="77777777" w:rsidR="00F43550" w:rsidRPr="009A27ED" w:rsidRDefault="00F43550" w:rsidP="00C97A18">
            <w:pPr>
              <w:pStyle w:val="Textocomentario"/>
              <w:numPr>
                <w:ilvl w:val="0"/>
                <w:numId w:val="330"/>
              </w:numPr>
              <w:jc w:val="left"/>
              <w:rPr>
                <w:rFonts w:asciiTheme="minorHAnsi" w:hAnsiTheme="minorHAnsi" w:cstheme="minorHAnsi"/>
              </w:rPr>
            </w:pPr>
            <w:r w:rsidRPr="009A27ED">
              <w:rPr>
                <w:rFonts w:asciiTheme="minorHAnsi" w:hAnsiTheme="minorHAnsi" w:cstheme="minorHAnsi"/>
              </w:rPr>
              <w:t>Permiso para corte, Control de Sombra y Aprovechamiento de Arboles (para Proyectos Existentes).</w:t>
            </w:r>
          </w:p>
          <w:p w14:paraId="6A584955" w14:textId="77777777" w:rsidR="00F43550" w:rsidRPr="009A27ED" w:rsidRDefault="00F43550" w:rsidP="008045DD">
            <w:pPr>
              <w:pStyle w:val="Textocomentario"/>
              <w:rPr>
                <w:rFonts w:asciiTheme="minorHAnsi" w:hAnsiTheme="minorHAnsi" w:cstheme="minorHAnsi"/>
              </w:rPr>
            </w:pPr>
          </w:p>
          <w:p w14:paraId="6469CDF4" w14:textId="78117937" w:rsidR="00F43550" w:rsidRPr="009A27ED" w:rsidRDefault="00F43550" w:rsidP="00C97A18">
            <w:pPr>
              <w:pStyle w:val="Textocomentario"/>
              <w:numPr>
                <w:ilvl w:val="0"/>
                <w:numId w:val="330"/>
              </w:numPr>
              <w:jc w:val="left"/>
              <w:rPr>
                <w:rFonts w:asciiTheme="minorHAnsi" w:hAnsiTheme="minorHAnsi" w:cstheme="minorHAnsi"/>
              </w:rPr>
            </w:pPr>
            <w:r w:rsidRPr="009A27ED">
              <w:rPr>
                <w:rFonts w:asciiTheme="minorHAnsi" w:hAnsiTheme="minorHAnsi" w:cstheme="minorHAnsi"/>
              </w:rPr>
              <w:t xml:space="preserve">Corresponden a </w:t>
            </w:r>
            <w:r w:rsidRPr="009A27ED">
              <w:rPr>
                <w:rFonts w:asciiTheme="minorHAnsi" w:hAnsiTheme="minorHAnsi" w:cstheme="minorHAnsi"/>
                <w:b/>
              </w:rPr>
              <w:t>Constancias Ambientales</w:t>
            </w:r>
            <w:r w:rsidRPr="009A27ED">
              <w:rPr>
                <w:rFonts w:asciiTheme="minorHAnsi" w:hAnsiTheme="minorHAnsi" w:cstheme="minorHAnsi"/>
              </w:rPr>
              <w:t xml:space="preserve"> (Categoría C). Requiere solo el cumplimiento de la normativa de la normativa ambiental vigente.</w:t>
            </w:r>
          </w:p>
          <w:p w14:paraId="4A0EF1A4" w14:textId="77777777" w:rsidR="00F43550" w:rsidRPr="009A27ED" w:rsidRDefault="00F43550" w:rsidP="008045DD">
            <w:pPr>
              <w:pStyle w:val="Textocomentario"/>
              <w:rPr>
                <w:rFonts w:asciiTheme="minorHAnsi" w:hAnsiTheme="minorHAnsi" w:cstheme="minorHAnsi"/>
                <w:u w:val="single"/>
              </w:rPr>
            </w:pPr>
            <w:r w:rsidRPr="009A27ED">
              <w:rPr>
                <w:rFonts w:asciiTheme="minorHAnsi" w:hAnsiTheme="minorHAnsi" w:cstheme="minorHAnsi"/>
                <w:u w:val="single"/>
              </w:rPr>
              <w:lastRenderedPageBreak/>
              <w:t>Marco Lega</w:t>
            </w:r>
            <w:r w:rsidRPr="009A27ED">
              <w:rPr>
                <w:rFonts w:asciiTheme="minorHAnsi" w:hAnsiTheme="minorHAnsi" w:cstheme="minorHAnsi"/>
              </w:rPr>
              <w:t>l:</w:t>
            </w:r>
            <w:r w:rsidRPr="009A27ED">
              <w:rPr>
                <w:rFonts w:asciiTheme="minorHAnsi" w:hAnsiTheme="minorHAnsi" w:cstheme="minorHAnsi"/>
                <w:u w:val="single"/>
              </w:rPr>
              <w:t xml:space="preserve"> </w:t>
            </w:r>
          </w:p>
          <w:p w14:paraId="3A58FEEA" w14:textId="77777777" w:rsidR="00F43550" w:rsidRPr="009A27ED" w:rsidRDefault="00F43550" w:rsidP="00C97A18">
            <w:pPr>
              <w:pStyle w:val="Textocomentario"/>
              <w:numPr>
                <w:ilvl w:val="0"/>
                <w:numId w:val="332"/>
              </w:numPr>
              <w:jc w:val="left"/>
              <w:rPr>
                <w:rFonts w:asciiTheme="minorHAnsi" w:hAnsiTheme="minorHAnsi" w:cstheme="minorHAnsi"/>
              </w:rPr>
            </w:pPr>
            <w:r w:rsidRPr="009A27ED">
              <w:rPr>
                <w:rFonts w:asciiTheme="minorHAnsi" w:hAnsiTheme="minorHAnsi" w:cstheme="minorHAnsi"/>
              </w:rPr>
              <w:t>Ley 64-00, Art.41</w:t>
            </w:r>
          </w:p>
          <w:p w14:paraId="033824CA" w14:textId="77777777" w:rsidR="00F43550" w:rsidRPr="009A27ED" w:rsidRDefault="00F43550" w:rsidP="00C97A18">
            <w:pPr>
              <w:pStyle w:val="Textocomentario"/>
              <w:numPr>
                <w:ilvl w:val="0"/>
                <w:numId w:val="332"/>
              </w:numPr>
              <w:jc w:val="left"/>
              <w:rPr>
                <w:rFonts w:asciiTheme="minorHAnsi" w:hAnsiTheme="minorHAnsi" w:cstheme="minorHAnsi"/>
              </w:rPr>
            </w:pPr>
            <w:r w:rsidRPr="009A27ED">
              <w:rPr>
                <w:rFonts w:asciiTheme="minorHAnsi" w:hAnsiTheme="minorHAnsi" w:cstheme="minorHAnsi"/>
              </w:rPr>
              <w:t>Reglamento Forestal, Resolución 11/2007</w:t>
            </w:r>
          </w:p>
          <w:p w14:paraId="1BE7FB54" w14:textId="77777777" w:rsidR="00F43550" w:rsidRPr="009A27ED" w:rsidRDefault="00F43550" w:rsidP="00C97A18">
            <w:pPr>
              <w:pStyle w:val="Textocomentario"/>
              <w:numPr>
                <w:ilvl w:val="0"/>
                <w:numId w:val="332"/>
              </w:numPr>
              <w:jc w:val="left"/>
              <w:rPr>
                <w:rFonts w:asciiTheme="minorHAnsi" w:hAnsiTheme="minorHAnsi" w:cstheme="minorHAnsi"/>
              </w:rPr>
            </w:pPr>
            <w:r w:rsidRPr="009A27ED">
              <w:rPr>
                <w:rFonts w:asciiTheme="minorHAnsi" w:hAnsiTheme="minorHAnsi" w:cstheme="minorHAnsi"/>
              </w:rPr>
              <w:t>Compendio de Reglamentos y Procedimientos para Autorizaciones Ambientales, Resolución No. 13/2014</w:t>
            </w:r>
          </w:p>
          <w:p w14:paraId="2DA183DC" w14:textId="77777777" w:rsidR="00F43550" w:rsidRPr="009A27ED" w:rsidRDefault="00F43550" w:rsidP="008045DD">
            <w:pPr>
              <w:pStyle w:val="Textocomentario"/>
              <w:rPr>
                <w:rFonts w:asciiTheme="minorHAnsi" w:hAnsiTheme="minorHAnsi" w:cstheme="minorHAnsi"/>
                <w:u w:val="single"/>
              </w:rPr>
            </w:pPr>
          </w:p>
          <w:p w14:paraId="284C5E33" w14:textId="77777777" w:rsidR="00F43550" w:rsidRPr="009A27ED" w:rsidRDefault="00F43550" w:rsidP="008045DD">
            <w:pPr>
              <w:pStyle w:val="Textocomentario"/>
              <w:rPr>
                <w:rFonts w:asciiTheme="minorHAnsi" w:hAnsiTheme="minorHAnsi" w:cstheme="minorHAnsi"/>
                <w:b/>
              </w:rPr>
            </w:pPr>
            <w:r w:rsidRPr="009A27ED">
              <w:rPr>
                <w:rFonts w:asciiTheme="minorHAnsi" w:hAnsiTheme="minorHAnsi" w:cstheme="minorHAnsi"/>
                <w:b/>
              </w:rPr>
              <w:t>Ministerio de Agricultura:</w:t>
            </w:r>
          </w:p>
          <w:p w14:paraId="14C684C0" w14:textId="77777777" w:rsidR="00F43550" w:rsidRPr="009A27ED" w:rsidRDefault="00F43550" w:rsidP="008045DD">
            <w:pPr>
              <w:pStyle w:val="Textocomentario"/>
              <w:rPr>
                <w:rFonts w:asciiTheme="minorHAnsi" w:hAnsiTheme="minorHAnsi" w:cstheme="minorHAnsi"/>
                <w:b/>
              </w:rPr>
            </w:pPr>
          </w:p>
          <w:p w14:paraId="1EDF7266" w14:textId="77777777" w:rsidR="00F43550" w:rsidRPr="009A27ED" w:rsidRDefault="00F43550" w:rsidP="008045DD">
            <w:pPr>
              <w:pStyle w:val="Prrafodelista"/>
              <w:rPr>
                <w:sz w:val="20"/>
                <w:szCs w:val="20"/>
                <w:lang w:val="es-ES"/>
              </w:rPr>
            </w:pPr>
            <w:r w:rsidRPr="009A27ED">
              <w:rPr>
                <w:sz w:val="20"/>
                <w:szCs w:val="20"/>
              </w:rPr>
              <w:t>No se emite ningún tipo de autorización. Solo se exige el cumplimiento de las disposiciones legales referente a sanidad vegetal y se ejecutan políticas de promoción y fomento del sector agropecuario</w:t>
            </w:r>
          </w:p>
          <w:p w14:paraId="7D3472D1" w14:textId="77777777" w:rsidR="00F43550" w:rsidRPr="009A27ED" w:rsidRDefault="00F43550" w:rsidP="008045DD">
            <w:pPr>
              <w:pStyle w:val="Textocomentario"/>
              <w:rPr>
                <w:rFonts w:asciiTheme="minorHAnsi" w:hAnsiTheme="minorHAnsi" w:cstheme="minorHAnsi"/>
                <w:b/>
                <w:lang w:val="es-ES"/>
              </w:rPr>
            </w:pPr>
          </w:p>
          <w:p w14:paraId="6025ABDE" w14:textId="77777777" w:rsidR="00F43550" w:rsidRPr="009A27ED" w:rsidRDefault="00F43550" w:rsidP="008045DD">
            <w:pPr>
              <w:pStyle w:val="Textocomentario"/>
              <w:rPr>
                <w:rFonts w:asciiTheme="minorHAnsi" w:hAnsiTheme="minorHAnsi" w:cstheme="minorHAnsi"/>
                <w:b/>
              </w:rPr>
            </w:pPr>
            <w:r w:rsidRPr="009A27ED">
              <w:rPr>
                <w:rFonts w:asciiTheme="minorHAnsi" w:hAnsiTheme="minorHAnsi" w:cstheme="minorHAnsi"/>
                <w:u w:val="single"/>
              </w:rPr>
              <w:t>Marco Legal</w:t>
            </w:r>
            <w:r w:rsidRPr="009A27ED">
              <w:rPr>
                <w:rFonts w:asciiTheme="minorHAnsi" w:hAnsiTheme="minorHAnsi" w:cstheme="minorHAnsi"/>
                <w:b/>
              </w:rPr>
              <w:t>:</w:t>
            </w:r>
          </w:p>
          <w:p w14:paraId="203F4BE0" w14:textId="77777777" w:rsidR="00F43550" w:rsidRPr="009A27ED" w:rsidRDefault="00F43550" w:rsidP="00C97A18">
            <w:pPr>
              <w:pStyle w:val="Prrafodelista"/>
              <w:numPr>
                <w:ilvl w:val="0"/>
                <w:numId w:val="334"/>
              </w:numPr>
              <w:autoSpaceDE w:val="0"/>
              <w:autoSpaceDN w:val="0"/>
              <w:adjustRightInd w:val="0"/>
              <w:spacing w:after="0" w:line="240" w:lineRule="auto"/>
              <w:jc w:val="left"/>
              <w:rPr>
                <w:sz w:val="20"/>
                <w:szCs w:val="20"/>
                <w:lang w:val="es-ES"/>
              </w:rPr>
            </w:pPr>
            <w:r w:rsidRPr="009A27ED">
              <w:rPr>
                <w:bCs/>
                <w:sz w:val="20"/>
                <w:szCs w:val="20"/>
                <w:lang w:val="es-ES"/>
              </w:rPr>
              <w:t xml:space="preserve">Ley 532 modificada por la Ley 346 del 29 de mayo de 1972. </w:t>
            </w:r>
            <w:r w:rsidRPr="009A27ED">
              <w:rPr>
                <w:sz w:val="20"/>
                <w:szCs w:val="20"/>
                <w:lang w:val="es-ES"/>
              </w:rPr>
              <w:t>Promoción desarrollo del sector agrícola y ganadero.</w:t>
            </w:r>
          </w:p>
          <w:p w14:paraId="62B63DF9" w14:textId="16B10A33" w:rsidR="00F43550" w:rsidRPr="009A27ED" w:rsidRDefault="00F43550" w:rsidP="00C97A18">
            <w:pPr>
              <w:pStyle w:val="Prrafodelista"/>
              <w:numPr>
                <w:ilvl w:val="0"/>
                <w:numId w:val="334"/>
              </w:numPr>
              <w:autoSpaceDE w:val="0"/>
              <w:autoSpaceDN w:val="0"/>
              <w:adjustRightInd w:val="0"/>
              <w:spacing w:after="0" w:line="240" w:lineRule="auto"/>
              <w:jc w:val="left"/>
              <w:rPr>
                <w:sz w:val="20"/>
                <w:szCs w:val="20"/>
                <w:lang w:val="es-ES"/>
              </w:rPr>
            </w:pPr>
            <w:r w:rsidRPr="009A27ED">
              <w:rPr>
                <w:sz w:val="20"/>
                <w:szCs w:val="20"/>
                <w:lang w:val="es-ES"/>
              </w:rPr>
              <w:t>Ley 4990-58 Sobre Sanidad Vegetal</w:t>
            </w:r>
          </w:p>
        </w:tc>
      </w:tr>
      <w:bookmarkEnd w:id="118"/>
      <w:tr w:rsidR="00F43550" w:rsidRPr="009A27ED" w14:paraId="3D826C9D" w14:textId="77777777" w:rsidTr="008045DD">
        <w:tc>
          <w:tcPr>
            <w:tcW w:w="8828" w:type="dxa"/>
          </w:tcPr>
          <w:p w14:paraId="7DB7DBC3" w14:textId="77777777" w:rsidR="00F43550" w:rsidRPr="009A27ED" w:rsidRDefault="00F43550" w:rsidP="008045DD">
            <w:pPr>
              <w:rPr>
                <w:sz w:val="20"/>
                <w:szCs w:val="20"/>
              </w:rPr>
            </w:pPr>
            <w:r w:rsidRPr="009A27ED">
              <w:rPr>
                <w:b/>
                <w:sz w:val="20"/>
                <w:szCs w:val="20"/>
              </w:rPr>
              <w:t>Procedimientos</w:t>
            </w:r>
            <w:r w:rsidRPr="009A27ED">
              <w:rPr>
                <w:sz w:val="20"/>
                <w:szCs w:val="20"/>
              </w:rPr>
              <w:t>:</w:t>
            </w:r>
          </w:p>
          <w:p w14:paraId="1176B71D" w14:textId="77777777" w:rsidR="00F43550" w:rsidRPr="009A27ED" w:rsidRDefault="00F43550" w:rsidP="008045DD">
            <w:pPr>
              <w:rPr>
                <w:sz w:val="20"/>
                <w:szCs w:val="20"/>
              </w:rPr>
            </w:pPr>
            <w:r w:rsidRPr="009A27ED">
              <w:rPr>
                <w:i/>
                <w:sz w:val="20"/>
                <w:szCs w:val="20"/>
                <w:u w:val="single"/>
              </w:rPr>
              <w:t>Producción de plántulas</w:t>
            </w:r>
            <w:r w:rsidRPr="009A27ED">
              <w:rPr>
                <w:sz w:val="20"/>
                <w:szCs w:val="20"/>
              </w:rPr>
              <w:t>:</w:t>
            </w:r>
          </w:p>
          <w:p w14:paraId="125B7CF9" w14:textId="77777777" w:rsidR="00F43550" w:rsidRPr="009A27ED" w:rsidRDefault="00F43550" w:rsidP="00D42802">
            <w:pPr>
              <w:pStyle w:val="Prrafodelista"/>
              <w:numPr>
                <w:ilvl w:val="0"/>
                <w:numId w:val="24"/>
              </w:numPr>
              <w:spacing w:after="0" w:line="240" w:lineRule="auto"/>
              <w:jc w:val="left"/>
              <w:rPr>
                <w:sz w:val="20"/>
                <w:szCs w:val="20"/>
              </w:rPr>
            </w:pPr>
            <w:r w:rsidRPr="009A27ED">
              <w:rPr>
                <w:sz w:val="20"/>
                <w:szCs w:val="20"/>
              </w:rPr>
              <w:t>Adquisición de material de siembra o establecimiento de semilleros y almácigos</w:t>
            </w:r>
          </w:p>
          <w:p w14:paraId="5AD62117" w14:textId="77777777" w:rsidR="00F43550" w:rsidRPr="009A27ED" w:rsidRDefault="00F43550" w:rsidP="00D42802">
            <w:pPr>
              <w:pStyle w:val="Prrafodelista"/>
              <w:numPr>
                <w:ilvl w:val="0"/>
                <w:numId w:val="24"/>
              </w:numPr>
              <w:spacing w:after="0" w:line="240" w:lineRule="auto"/>
              <w:jc w:val="left"/>
              <w:rPr>
                <w:sz w:val="20"/>
                <w:szCs w:val="20"/>
              </w:rPr>
            </w:pPr>
            <w:r w:rsidRPr="009A27ED">
              <w:rPr>
                <w:sz w:val="20"/>
                <w:szCs w:val="20"/>
              </w:rPr>
              <w:t>Riegos, fertilización y manejo integrado de plagas a nivel de vivero</w:t>
            </w:r>
          </w:p>
          <w:p w14:paraId="63C057E1" w14:textId="77777777" w:rsidR="00F43550" w:rsidRPr="009A27ED" w:rsidRDefault="00F43550" w:rsidP="008045DD">
            <w:pPr>
              <w:rPr>
                <w:sz w:val="20"/>
                <w:szCs w:val="20"/>
                <w:u w:val="single"/>
              </w:rPr>
            </w:pPr>
            <w:r w:rsidRPr="009A27ED">
              <w:rPr>
                <w:sz w:val="20"/>
                <w:szCs w:val="20"/>
                <w:u w:val="single"/>
              </w:rPr>
              <w:t>Diseño de plantación</w:t>
            </w:r>
          </w:p>
          <w:p w14:paraId="64F83B7C" w14:textId="77777777" w:rsidR="00F43550" w:rsidRPr="009A27ED" w:rsidRDefault="00F43550" w:rsidP="00D42802">
            <w:pPr>
              <w:pStyle w:val="Prrafodelista"/>
              <w:numPr>
                <w:ilvl w:val="0"/>
                <w:numId w:val="25"/>
              </w:numPr>
              <w:spacing w:after="0" w:line="240" w:lineRule="auto"/>
              <w:jc w:val="left"/>
              <w:rPr>
                <w:sz w:val="20"/>
                <w:szCs w:val="20"/>
              </w:rPr>
            </w:pPr>
            <w:r w:rsidRPr="009A27ED">
              <w:rPr>
                <w:sz w:val="20"/>
                <w:szCs w:val="20"/>
              </w:rPr>
              <w:t>Identificación de predios dispuestos a desarrollar la actividad.</w:t>
            </w:r>
          </w:p>
          <w:p w14:paraId="220F01B4" w14:textId="77777777" w:rsidR="00F43550" w:rsidRPr="009A27ED" w:rsidRDefault="00F43550" w:rsidP="00D42802">
            <w:pPr>
              <w:pStyle w:val="Prrafodelista"/>
              <w:numPr>
                <w:ilvl w:val="0"/>
                <w:numId w:val="25"/>
              </w:numPr>
              <w:spacing w:after="0" w:line="240" w:lineRule="auto"/>
              <w:jc w:val="left"/>
              <w:rPr>
                <w:sz w:val="20"/>
                <w:szCs w:val="20"/>
              </w:rPr>
            </w:pPr>
            <w:r w:rsidRPr="009A27ED">
              <w:rPr>
                <w:sz w:val="20"/>
                <w:szCs w:val="20"/>
              </w:rPr>
              <w:t xml:space="preserve">Sensibilización y capacitación </w:t>
            </w:r>
            <w:proofErr w:type="spellStart"/>
            <w:r w:rsidRPr="009A27ED">
              <w:rPr>
                <w:sz w:val="20"/>
                <w:szCs w:val="20"/>
              </w:rPr>
              <w:t>aa</w:t>
            </w:r>
            <w:proofErr w:type="spellEnd"/>
            <w:r w:rsidRPr="009A27ED">
              <w:rPr>
                <w:sz w:val="20"/>
                <w:szCs w:val="20"/>
              </w:rPr>
              <w:t xml:space="preserve"> beneficiarios</w:t>
            </w:r>
          </w:p>
          <w:p w14:paraId="34C12152" w14:textId="77777777" w:rsidR="00F43550" w:rsidRPr="009A27ED" w:rsidRDefault="00F43550" w:rsidP="00D42802">
            <w:pPr>
              <w:pStyle w:val="Prrafodelista"/>
              <w:numPr>
                <w:ilvl w:val="0"/>
                <w:numId w:val="25"/>
              </w:numPr>
              <w:spacing w:after="0" w:line="240" w:lineRule="auto"/>
              <w:jc w:val="left"/>
              <w:rPr>
                <w:sz w:val="20"/>
                <w:szCs w:val="20"/>
              </w:rPr>
            </w:pPr>
            <w:r w:rsidRPr="009A27ED">
              <w:rPr>
                <w:sz w:val="20"/>
                <w:szCs w:val="20"/>
              </w:rPr>
              <w:t>Diseño de plantación</w:t>
            </w:r>
          </w:p>
          <w:p w14:paraId="702812D7" w14:textId="77777777" w:rsidR="00F43550" w:rsidRPr="009A27ED" w:rsidRDefault="00F43550" w:rsidP="008045DD">
            <w:pPr>
              <w:rPr>
                <w:sz w:val="20"/>
                <w:szCs w:val="20"/>
              </w:rPr>
            </w:pPr>
            <w:r w:rsidRPr="009A27ED">
              <w:rPr>
                <w:i/>
                <w:sz w:val="20"/>
                <w:szCs w:val="20"/>
                <w:u w:val="single"/>
              </w:rPr>
              <w:t>Establecimiento</w:t>
            </w:r>
            <w:r w:rsidRPr="009A27ED">
              <w:rPr>
                <w:sz w:val="20"/>
                <w:szCs w:val="20"/>
              </w:rPr>
              <w:t xml:space="preserve"> </w:t>
            </w:r>
          </w:p>
          <w:p w14:paraId="4C67A9F5" w14:textId="77777777" w:rsidR="00F43550" w:rsidRPr="009A27ED" w:rsidRDefault="00F43550" w:rsidP="00D42802">
            <w:pPr>
              <w:pStyle w:val="Prrafodelista"/>
              <w:numPr>
                <w:ilvl w:val="0"/>
                <w:numId w:val="26"/>
              </w:numPr>
              <w:spacing w:after="0" w:line="240" w:lineRule="auto"/>
              <w:jc w:val="left"/>
              <w:rPr>
                <w:sz w:val="20"/>
                <w:szCs w:val="20"/>
              </w:rPr>
            </w:pPr>
            <w:r w:rsidRPr="009A27ED">
              <w:rPr>
                <w:sz w:val="20"/>
                <w:szCs w:val="20"/>
              </w:rPr>
              <w:t xml:space="preserve">Preparación de terreno </w:t>
            </w:r>
          </w:p>
          <w:p w14:paraId="3FEFEC8D" w14:textId="77777777" w:rsidR="00F43550" w:rsidRPr="009A27ED" w:rsidRDefault="00F43550" w:rsidP="00D42802">
            <w:pPr>
              <w:pStyle w:val="Prrafodelista"/>
              <w:numPr>
                <w:ilvl w:val="0"/>
                <w:numId w:val="26"/>
              </w:numPr>
              <w:spacing w:after="0" w:line="240" w:lineRule="auto"/>
              <w:jc w:val="left"/>
              <w:rPr>
                <w:sz w:val="20"/>
                <w:szCs w:val="20"/>
              </w:rPr>
            </w:pPr>
            <w:r w:rsidRPr="009A27ED">
              <w:rPr>
                <w:sz w:val="20"/>
                <w:szCs w:val="20"/>
              </w:rPr>
              <w:t>Plantación</w:t>
            </w:r>
          </w:p>
          <w:p w14:paraId="7252C12D" w14:textId="77777777" w:rsidR="00F43550" w:rsidRPr="009A27ED" w:rsidRDefault="00F43550" w:rsidP="00D42802">
            <w:pPr>
              <w:pStyle w:val="Prrafodelista"/>
              <w:numPr>
                <w:ilvl w:val="0"/>
                <w:numId w:val="26"/>
              </w:numPr>
              <w:spacing w:after="0" w:line="240" w:lineRule="auto"/>
              <w:jc w:val="left"/>
              <w:rPr>
                <w:sz w:val="20"/>
                <w:szCs w:val="20"/>
              </w:rPr>
            </w:pPr>
            <w:r w:rsidRPr="009A27ED">
              <w:rPr>
                <w:sz w:val="20"/>
                <w:szCs w:val="20"/>
              </w:rPr>
              <w:t xml:space="preserve">Reposición de plántula y limpieza </w:t>
            </w:r>
          </w:p>
          <w:p w14:paraId="6BC9C106" w14:textId="77777777" w:rsidR="00F43550" w:rsidRPr="009A27ED" w:rsidRDefault="00F43550" w:rsidP="00D42802">
            <w:pPr>
              <w:pStyle w:val="Prrafodelista"/>
              <w:numPr>
                <w:ilvl w:val="0"/>
                <w:numId w:val="26"/>
              </w:numPr>
              <w:spacing w:after="0" w:line="240" w:lineRule="auto"/>
              <w:jc w:val="left"/>
              <w:rPr>
                <w:sz w:val="20"/>
                <w:szCs w:val="20"/>
              </w:rPr>
            </w:pPr>
            <w:r w:rsidRPr="009A27ED">
              <w:rPr>
                <w:sz w:val="20"/>
                <w:szCs w:val="20"/>
              </w:rPr>
              <w:t>Riegos y cuidado de las plántulas</w:t>
            </w:r>
          </w:p>
          <w:p w14:paraId="35FEEFC0" w14:textId="77777777" w:rsidR="00F43550" w:rsidRPr="009A27ED" w:rsidRDefault="00F43550" w:rsidP="008045DD">
            <w:pPr>
              <w:rPr>
                <w:sz w:val="20"/>
                <w:szCs w:val="20"/>
                <w:u w:val="single"/>
              </w:rPr>
            </w:pPr>
            <w:r w:rsidRPr="009A27ED">
              <w:rPr>
                <w:sz w:val="20"/>
                <w:szCs w:val="20"/>
                <w:u w:val="single"/>
              </w:rPr>
              <w:t xml:space="preserve">Mantenimiento: </w:t>
            </w:r>
          </w:p>
          <w:p w14:paraId="10407A3C" w14:textId="77777777" w:rsidR="00F43550" w:rsidRPr="009A27ED" w:rsidRDefault="00F43550" w:rsidP="00D42802">
            <w:pPr>
              <w:pStyle w:val="Prrafodelista"/>
              <w:numPr>
                <w:ilvl w:val="0"/>
                <w:numId w:val="27"/>
              </w:numPr>
              <w:spacing w:after="0" w:line="240" w:lineRule="auto"/>
              <w:jc w:val="left"/>
              <w:rPr>
                <w:sz w:val="20"/>
                <w:szCs w:val="20"/>
              </w:rPr>
            </w:pPr>
            <w:r w:rsidRPr="009A27ED">
              <w:rPr>
                <w:sz w:val="20"/>
                <w:szCs w:val="20"/>
              </w:rPr>
              <w:t>Deshierbes, podas y aclareos</w:t>
            </w:r>
          </w:p>
          <w:p w14:paraId="149E0F57" w14:textId="77777777" w:rsidR="00F43550" w:rsidRPr="009A27ED" w:rsidRDefault="00F43550" w:rsidP="00D42802">
            <w:pPr>
              <w:pStyle w:val="Prrafodelista"/>
              <w:numPr>
                <w:ilvl w:val="0"/>
                <w:numId w:val="27"/>
              </w:numPr>
              <w:spacing w:after="0" w:line="240" w:lineRule="auto"/>
              <w:jc w:val="left"/>
              <w:rPr>
                <w:sz w:val="20"/>
                <w:szCs w:val="20"/>
              </w:rPr>
            </w:pPr>
            <w:r w:rsidRPr="009A27ED">
              <w:rPr>
                <w:sz w:val="20"/>
                <w:szCs w:val="20"/>
              </w:rPr>
              <w:t>Fertilización y manejo integrado de plagas.</w:t>
            </w:r>
          </w:p>
          <w:p w14:paraId="57D2653B" w14:textId="09FFD982" w:rsidR="00F43550" w:rsidRPr="009A27ED" w:rsidRDefault="00F43550" w:rsidP="00D42802">
            <w:pPr>
              <w:pStyle w:val="Prrafodelista"/>
              <w:numPr>
                <w:ilvl w:val="0"/>
                <w:numId w:val="27"/>
              </w:numPr>
              <w:spacing w:after="0" w:line="240" w:lineRule="auto"/>
              <w:jc w:val="left"/>
              <w:rPr>
                <w:sz w:val="20"/>
                <w:szCs w:val="20"/>
              </w:rPr>
            </w:pPr>
            <w:r w:rsidRPr="009A27ED">
              <w:rPr>
                <w:sz w:val="20"/>
                <w:szCs w:val="20"/>
              </w:rPr>
              <w:t>Supervisión, monitoreo, reporte de la actividad</w:t>
            </w:r>
          </w:p>
        </w:tc>
      </w:tr>
      <w:tr w:rsidR="00F43550" w:rsidRPr="009A27ED" w14:paraId="4CF7F644" w14:textId="77777777" w:rsidTr="00C97A18">
        <w:tc>
          <w:tcPr>
            <w:tcW w:w="8828" w:type="dxa"/>
            <w:shd w:val="clear" w:color="auto" w:fill="DEEAF6" w:themeFill="accent1" w:themeFillTint="33"/>
          </w:tcPr>
          <w:p w14:paraId="755512F2" w14:textId="597CFFC5" w:rsidR="00F43550" w:rsidRPr="009A27ED" w:rsidRDefault="00F43550" w:rsidP="008B5FBA">
            <w:pPr>
              <w:rPr>
                <w:b/>
                <w:i/>
                <w:sz w:val="20"/>
                <w:szCs w:val="20"/>
                <w:u w:val="single"/>
              </w:rPr>
            </w:pPr>
            <w:r w:rsidRPr="009A27ED">
              <w:rPr>
                <w:b/>
                <w:i/>
                <w:sz w:val="20"/>
                <w:szCs w:val="20"/>
                <w:u w:val="single"/>
              </w:rPr>
              <w:t>4. Sistemas Silvopastoriles</w:t>
            </w:r>
            <w:r w:rsidR="00C56DA7" w:rsidRPr="009A27ED">
              <w:rPr>
                <w:b/>
                <w:i/>
                <w:sz w:val="20"/>
                <w:szCs w:val="20"/>
                <w:u w:val="single"/>
              </w:rPr>
              <w:t xml:space="preserve"> </w:t>
            </w:r>
            <w:r w:rsidR="00083964" w:rsidRPr="009A27ED">
              <w:rPr>
                <w:b/>
                <w:i/>
                <w:sz w:val="20"/>
                <w:szCs w:val="20"/>
                <w:u w:val="single"/>
              </w:rPr>
              <w:t>(arborización de fincas ganaderas)</w:t>
            </w:r>
            <w:r w:rsidRPr="009A27ED">
              <w:rPr>
                <w:b/>
                <w:i/>
                <w:sz w:val="20"/>
                <w:szCs w:val="20"/>
                <w:u w:val="single"/>
              </w:rPr>
              <w:t>:</w:t>
            </w:r>
          </w:p>
          <w:p w14:paraId="27F068FA" w14:textId="37480FC4" w:rsidR="00F43550" w:rsidRPr="009A27ED" w:rsidRDefault="00F43550" w:rsidP="008045DD">
            <w:pPr>
              <w:rPr>
                <w:sz w:val="20"/>
                <w:szCs w:val="20"/>
              </w:rPr>
            </w:pPr>
            <w:r w:rsidRPr="009A27ED">
              <w:rPr>
                <w:sz w:val="20"/>
                <w:szCs w:val="20"/>
              </w:rPr>
              <w:t>Actividades destinadas a la conversión de fincas ganaderas a crianza de animales asociados con árboles y arbustos, que proveen algún tipo de forraje preferentemente nativos y/o endémicos que sirven para sombra, alimentación y otros usos y a la vez a la captura de carbono (CO2).  El efecto positivo está dirigido a brindar alternativas productivas a los beneficiarios para mantener la frontera del bosque y evitar la expansión de la frontera agropecuaria.</w:t>
            </w:r>
          </w:p>
        </w:tc>
      </w:tr>
      <w:tr w:rsidR="00F43550" w:rsidRPr="009A27ED" w14:paraId="69ABD2C0" w14:textId="77777777" w:rsidTr="00C97A18">
        <w:tc>
          <w:tcPr>
            <w:tcW w:w="8828" w:type="dxa"/>
            <w:shd w:val="clear" w:color="auto" w:fill="DEEAF6" w:themeFill="accent1" w:themeFillTint="33"/>
          </w:tcPr>
          <w:p w14:paraId="5FAF786D" w14:textId="77777777" w:rsidR="00F43550" w:rsidRPr="009A27ED" w:rsidRDefault="00F43550" w:rsidP="008045DD">
            <w:pPr>
              <w:rPr>
                <w:b/>
                <w:sz w:val="20"/>
                <w:szCs w:val="20"/>
              </w:rPr>
            </w:pPr>
            <w:r w:rsidRPr="009A27ED">
              <w:rPr>
                <w:b/>
                <w:sz w:val="20"/>
                <w:szCs w:val="20"/>
              </w:rPr>
              <w:t>ACCIONES ESTRATEGIAS REDD+: 3.2, 3.4</w:t>
            </w:r>
          </w:p>
        </w:tc>
      </w:tr>
      <w:tr w:rsidR="00F43550" w:rsidRPr="009A27ED" w14:paraId="73977B91" w14:textId="77777777" w:rsidTr="00C97A18">
        <w:tc>
          <w:tcPr>
            <w:tcW w:w="8828" w:type="dxa"/>
            <w:shd w:val="clear" w:color="auto" w:fill="DEEAF6" w:themeFill="accent1" w:themeFillTint="33"/>
          </w:tcPr>
          <w:p w14:paraId="7FC0F1D4" w14:textId="77777777" w:rsidR="00F43550" w:rsidRPr="009A27ED" w:rsidRDefault="00F43550" w:rsidP="008045DD">
            <w:pPr>
              <w:rPr>
                <w:sz w:val="20"/>
                <w:szCs w:val="20"/>
              </w:rPr>
            </w:pPr>
            <w:r w:rsidRPr="009A27ED">
              <w:rPr>
                <w:sz w:val="20"/>
                <w:szCs w:val="20"/>
              </w:rPr>
              <w:t>Requerimientos legales:</w:t>
            </w:r>
          </w:p>
          <w:p w14:paraId="280A494E" w14:textId="77777777" w:rsidR="00F43550" w:rsidRPr="009A27ED" w:rsidRDefault="00F43550" w:rsidP="008045DD">
            <w:pPr>
              <w:pStyle w:val="Textocomentario"/>
              <w:rPr>
                <w:rFonts w:asciiTheme="minorHAnsi" w:hAnsiTheme="minorHAnsi" w:cstheme="minorHAnsi"/>
                <w:b/>
              </w:rPr>
            </w:pPr>
            <w:r w:rsidRPr="009A27ED">
              <w:rPr>
                <w:rFonts w:asciiTheme="minorHAnsi" w:hAnsiTheme="minorHAnsi" w:cstheme="minorHAnsi"/>
                <w:b/>
              </w:rPr>
              <w:t>Ministerio de Medio Ambiente y Recursos Naturales:</w:t>
            </w:r>
          </w:p>
          <w:p w14:paraId="2DAAEF68" w14:textId="77777777" w:rsidR="00F43550" w:rsidRPr="009A27ED" w:rsidRDefault="00F43550" w:rsidP="008045DD">
            <w:pPr>
              <w:pStyle w:val="Textocomentario"/>
              <w:rPr>
                <w:rFonts w:asciiTheme="minorHAnsi" w:hAnsiTheme="minorHAnsi" w:cstheme="minorHAnsi"/>
                <w:b/>
              </w:rPr>
            </w:pPr>
          </w:p>
          <w:p w14:paraId="11AF39DB" w14:textId="77777777" w:rsidR="00F43550" w:rsidRPr="009A27ED" w:rsidRDefault="00F43550" w:rsidP="008045DD">
            <w:pPr>
              <w:pStyle w:val="Textocomentario"/>
              <w:rPr>
                <w:rFonts w:asciiTheme="minorHAnsi" w:hAnsiTheme="minorHAnsi" w:cstheme="minorHAnsi"/>
              </w:rPr>
            </w:pPr>
            <w:r w:rsidRPr="009A27ED">
              <w:rPr>
                <w:rFonts w:asciiTheme="minorHAnsi" w:hAnsiTheme="minorHAnsi" w:cstheme="minorHAnsi"/>
                <w:u w:val="single"/>
              </w:rPr>
              <w:t>Autorización</w:t>
            </w:r>
            <w:r w:rsidRPr="009A27ED">
              <w:rPr>
                <w:rFonts w:asciiTheme="minorHAnsi" w:hAnsiTheme="minorHAnsi" w:cstheme="minorHAnsi"/>
              </w:rPr>
              <w:t xml:space="preserve">: </w:t>
            </w:r>
          </w:p>
          <w:p w14:paraId="0A4B4E91" w14:textId="77777777" w:rsidR="00F43550" w:rsidRPr="009A27ED" w:rsidRDefault="00F43550" w:rsidP="00C97A18">
            <w:pPr>
              <w:pStyle w:val="Textocomentario"/>
              <w:numPr>
                <w:ilvl w:val="0"/>
                <w:numId w:val="326"/>
              </w:numPr>
              <w:jc w:val="left"/>
              <w:rPr>
                <w:rFonts w:asciiTheme="minorHAnsi" w:hAnsiTheme="minorHAnsi" w:cstheme="minorHAnsi"/>
              </w:rPr>
            </w:pPr>
            <w:r w:rsidRPr="009A27ED">
              <w:rPr>
                <w:rFonts w:asciiTheme="minorHAnsi" w:hAnsiTheme="minorHAnsi" w:cstheme="minorHAnsi"/>
              </w:rPr>
              <w:t>Certificación de Plantación con Derecho a Corte (para los Proyectos Nuevos)</w:t>
            </w:r>
          </w:p>
          <w:p w14:paraId="0611D983" w14:textId="77777777" w:rsidR="00F43550" w:rsidRPr="009A27ED" w:rsidRDefault="00F43550" w:rsidP="00C97A18">
            <w:pPr>
              <w:pStyle w:val="Textocomentario"/>
              <w:numPr>
                <w:ilvl w:val="0"/>
                <w:numId w:val="326"/>
              </w:numPr>
              <w:jc w:val="left"/>
              <w:rPr>
                <w:rFonts w:asciiTheme="minorHAnsi" w:hAnsiTheme="minorHAnsi" w:cstheme="minorHAnsi"/>
              </w:rPr>
            </w:pPr>
            <w:r w:rsidRPr="009A27ED">
              <w:rPr>
                <w:rFonts w:asciiTheme="minorHAnsi" w:hAnsiTheme="minorHAnsi" w:cstheme="minorHAnsi"/>
              </w:rPr>
              <w:t>Permiso de Control de Sombra para Pasto (para Proyectos Existentes).</w:t>
            </w:r>
          </w:p>
          <w:p w14:paraId="75D218FB" w14:textId="77777777" w:rsidR="00F43550" w:rsidRPr="009A27ED" w:rsidRDefault="00F43550" w:rsidP="008045DD">
            <w:pPr>
              <w:pStyle w:val="Textocomentario"/>
              <w:rPr>
                <w:rFonts w:asciiTheme="minorHAnsi" w:hAnsiTheme="minorHAnsi" w:cstheme="minorHAnsi"/>
              </w:rPr>
            </w:pPr>
          </w:p>
          <w:p w14:paraId="18153D56" w14:textId="77777777" w:rsidR="00F43550" w:rsidRPr="009A27ED" w:rsidRDefault="00F43550" w:rsidP="00C97A18">
            <w:pPr>
              <w:pStyle w:val="Textocomentario"/>
              <w:numPr>
                <w:ilvl w:val="0"/>
                <w:numId w:val="326"/>
              </w:numPr>
              <w:jc w:val="left"/>
              <w:rPr>
                <w:rFonts w:asciiTheme="minorHAnsi" w:hAnsiTheme="minorHAnsi" w:cstheme="minorHAnsi"/>
              </w:rPr>
            </w:pPr>
            <w:r w:rsidRPr="009A27ED">
              <w:rPr>
                <w:rFonts w:asciiTheme="minorHAnsi" w:hAnsiTheme="minorHAnsi" w:cstheme="minorHAnsi"/>
              </w:rPr>
              <w:lastRenderedPageBreak/>
              <w:t xml:space="preserve">Corresponden a </w:t>
            </w:r>
            <w:r w:rsidRPr="009A27ED">
              <w:rPr>
                <w:rFonts w:asciiTheme="minorHAnsi" w:hAnsiTheme="minorHAnsi" w:cstheme="minorHAnsi"/>
                <w:b/>
              </w:rPr>
              <w:t>Constancias Ambientales</w:t>
            </w:r>
            <w:r w:rsidRPr="009A27ED">
              <w:rPr>
                <w:rFonts w:asciiTheme="minorHAnsi" w:hAnsiTheme="minorHAnsi" w:cstheme="minorHAnsi"/>
              </w:rPr>
              <w:t xml:space="preserve"> (Categoría C). Requiere solo  el cumplimiento de la normativa de la normativa ambiental vigente.</w:t>
            </w:r>
          </w:p>
          <w:p w14:paraId="01DED24E" w14:textId="77777777" w:rsidR="00F43550" w:rsidRPr="009A27ED" w:rsidRDefault="00F43550" w:rsidP="008045DD">
            <w:pPr>
              <w:pStyle w:val="Prrafodelista"/>
              <w:rPr>
                <w:sz w:val="20"/>
                <w:szCs w:val="20"/>
              </w:rPr>
            </w:pPr>
          </w:p>
          <w:p w14:paraId="5C36A771" w14:textId="77777777" w:rsidR="00F43550" w:rsidRPr="009A27ED" w:rsidRDefault="00F43550" w:rsidP="008045DD">
            <w:pPr>
              <w:pStyle w:val="Textocomentario"/>
              <w:rPr>
                <w:rFonts w:asciiTheme="minorHAnsi" w:hAnsiTheme="minorHAnsi" w:cstheme="minorHAnsi"/>
                <w:u w:val="single"/>
              </w:rPr>
            </w:pPr>
            <w:r w:rsidRPr="009A27ED">
              <w:rPr>
                <w:rFonts w:asciiTheme="minorHAnsi" w:hAnsiTheme="minorHAnsi" w:cstheme="minorHAnsi"/>
                <w:u w:val="single"/>
              </w:rPr>
              <w:t>Marco Lega</w:t>
            </w:r>
            <w:r w:rsidRPr="009A27ED">
              <w:rPr>
                <w:rFonts w:asciiTheme="minorHAnsi" w:hAnsiTheme="minorHAnsi" w:cstheme="minorHAnsi"/>
              </w:rPr>
              <w:t>l:</w:t>
            </w:r>
            <w:r w:rsidRPr="009A27ED">
              <w:rPr>
                <w:rFonts w:asciiTheme="minorHAnsi" w:hAnsiTheme="minorHAnsi" w:cstheme="minorHAnsi"/>
                <w:u w:val="single"/>
              </w:rPr>
              <w:t xml:space="preserve"> </w:t>
            </w:r>
          </w:p>
          <w:p w14:paraId="37C2813B" w14:textId="77777777" w:rsidR="00F43550" w:rsidRPr="009A27ED" w:rsidRDefault="00F43550" w:rsidP="00C97A18">
            <w:pPr>
              <w:pStyle w:val="Textocomentario"/>
              <w:numPr>
                <w:ilvl w:val="0"/>
                <w:numId w:val="336"/>
              </w:numPr>
              <w:jc w:val="left"/>
              <w:rPr>
                <w:rFonts w:asciiTheme="minorHAnsi" w:hAnsiTheme="minorHAnsi" w:cstheme="minorHAnsi"/>
              </w:rPr>
            </w:pPr>
            <w:r w:rsidRPr="009A27ED">
              <w:rPr>
                <w:rFonts w:asciiTheme="minorHAnsi" w:hAnsiTheme="minorHAnsi" w:cstheme="minorHAnsi"/>
              </w:rPr>
              <w:t>Ley 64-00, Art.41</w:t>
            </w:r>
          </w:p>
          <w:p w14:paraId="3BE4837C" w14:textId="77777777" w:rsidR="00F43550" w:rsidRPr="009A27ED" w:rsidRDefault="00F43550" w:rsidP="00C97A18">
            <w:pPr>
              <w:pStyle w:val="Textocomentario"/>
              <w:numPr>
                <w:ilvl w:val="0"/>
                <w:numId w:val="336"/>
              </w:numPr>
              <w:jc w:val="left"/>
              <w:rPr>
                <w:rFonts w:asciiTheme="minorHAnsi" w:hAnsiTheme="minorHAnsi" w:cstheme="minorHAnsi"/>
              </w:rPr>
            </w:pPr>
            <w:r w:rsidRPr="009A27ED">
              <w:rPr>
                <w:rFonts w:asciiTheme="minorHAnsi" w:hAnsiTheme="minorHAnsi" w:cstheme="minorHAnsi"/>
              </w:rPr>
              <w:t>Reglamento Forestal, Resolución 11/2007</w:t>
            </w:r>
          </w:p>
          <w:p w14:paraId="4894F7B9" w14:textId="77777777" w:rsidR="00F43550" w:rsidRPr="009A27ED" w:rsidRDefault="00F43550" w:rsidP="00C97A18">
            <w:pPr>
              <w:pStyle w:val="Textocomentario"/>
              <w:numPr>
                <w:ilvl w:val="0"/>
                <w:numId w:val="336"/>
              </w:numPr>
              <w:jc w:val="left"/>
              <w:rPr>
                <w:rFonts w:asciiTheme="minorHAnsi" w:hAnsiTheme="minorHAnsi" w:cstheme="minorHAnsi"/>
              </w:rPr>
            </w:pPr>
            <w:r w:rsidRPr="009A27ED">
              <w:rPr>
                <w:rFonts w:asciiTheme="minorHAnsi" w:hAnsiTheme="minorHAnsi" w:cstheme="minorHAnsi"/>
              </w:rPr>
              <w:t>Compendio de Reglamentos y Procedimientos para Autorizaciones Ambientales, Resolución No. 13/2014</w:t>
            </w:r>
          </w:p>
          <w:p w14:paraId="15F05F95" w14:textId="77777777" w:rsidR="00F43550" w:rsidRPr="009A27ED" w:rsidRDefault="00F43550" w:rsidP="008045DD">
            <w:pPr>
              <w:pStyle w:val="Textocomentario"/>
              <w:rPr>
                <w:rFonts w:asciiTheme="minorHAnsi" w:hAnsiTheme="minorHAnsi" w:cstheme="minorHAnsi"/>
                <w:b/>
              </w:rPr>
            </w:pPr>
          </w:p>
          <w:p w14:paraId="418F95C5" w14:textId="77777777" w:rsidR="00F43550" w:rsidRPr="009A27ED" w:rsidRDefault="00F43550" w:rsidP="008045DD">
            <w:pPr>
              <w:pStyle w:val="Textocomentario"/>
              <w:rPr>
                <w:rFonts w:asciiTheme="minorHAnsi" w:hAnsiTheme="minorHAnsi" w:cstheme="minorHAnsi"/>
                <w:b/>
              </w:rPr>
            </w:pPr>
            <w:r w:rsidRPr="009A27ED">
              <w:rPr>
                <w:rFonts w:asciiTheme="minorHAnsi" w:hAnsiTheme="minorHAnsi" w:cstheme="minorHAnsi"/>
                <w:b/>
              </w:rPr>
              <w:t>Dirección General de Ganadería:</w:t>
            </w:r>
          </w:p>
          <w:p w14:paraId="3C717AB6" w14:textId="77777777" w:rsidR="00F43550" w:rsidRPr="009A27ED" w:rsidRDefault="00F43550" w:rsidP="008045DD">
            <w:pPr>
              <w:pStyle w:val="Textocomentario"/>
              <w:rPr>
                <w:rFonts w:asciiTheme="minorHAnsi" w:hAnsiTheme="minorHAnsi" w:cstheme="minorHAnsi"/>
                <w:b/>
              </w:rPr>
            </w:pPr>
          </w:p>
          <w:p w14:paraId="687D7148" w14:textId="77777777" w:rsidR="00F43550" w:rsidRPr="009A27ED" w:rsidRDefault="00F43550" w:rsidP="008045DD">
            <w:pPr>
              <w:rPr>
                <w:color w:val="000000" w:themeColor="text1"/>
                <w:sz w:val="20"/>
                <w:szCs w:val="20"/>
              </w:rPr>
            </w:pPr>
            <w:r w:rsidRPr="009A27ED">
              <w:rPr>
                <w:color w:val="000000" w:themeColor="text1"/>
                <w:sz w:val="20"/>
                <w:szCs w:val="20"/>
                <w:shd w:val="clear" w:color="auto" w:fill="FFFFFF"/>
              </w:rPr>
              <w:t>Emisión de los Permisos de No Objeción para la Importación</w:t>
            </w:r>
            <w:r w:rsidRPr="009A27ED">
              <w:rPr>
                <w:sz w:val="20"/>
                <w:szCs w:val="20"/>
              </w:rPr>
              <w:t xml:space="preserve"> </w:t>
            </w:r>
            <w:hyperlink r:id="rId28" w:history="1">
              <w:r w:rsidRPr="009A27ED">
                <w:rPr>
                  <w:rStyle w:val="Hipervnculo"/>
                  <w:color w:val="000000" w:themeColor="text1"/>
                  <w:sz w:val="20"/>
                  <w:szCs w:val="20"/>
                </w:rPr>
                <w:t xml:space="preserve"> de animales y productos y subproductos de origen animal.</w:t>
              </w:r>
            </w:hyperlink>
          </w:p>
          <w:p w14:paraId="6BC62E38" w14:textId="6291AD3D" w:rsidR="00F43550" w:rsidRPr="009A27ED" w:rsidRDefault="00F43550" w:rsidP="008045DD">
            <w:pPr>
              <w:rPr>
                <w:color w:val="000000" w:themeColor="text1"/>
                <w:sz w:val="20"/>
                <w:szCs w:val="20"/>
                <w:shd w:val="clear" w:color="auto" w:fill="FFFFFF"/>
              </w:rPr>
            </w:pPr>
            <w:r w:rsidRPr="009A27ED">
              <w:rPr>
                <w:color w:val="000000" w:themeColor="text1"/>
                <w:sz w:val="20"/>
                <w:szCs w:val="20"/>
                <w:shd w:val="clear" w:color="auto" w:fill="FFFFFF"/>
              </w:rPr>
              <w:t xml:space="preserve">Se realiza una Evaluación del riesgo asociado a la importación de animales, productos y subproductos de origen animal. </w:t>
            </w:r>
          </w:p>
          <w:p w14:paraId="2CE80B90" w14:textId="77777777" w:rsidR="00F43550" w:rsidRPr="009A27ED" w:rsidRDefault="00F43550" w:rsidP="008045DD">
            <w:pPr>
              <w:rPr>
                <w:b/>
                <w:sz w:val="20"/>
                <w:szCs w:val="20"/>
              </w:rPr>
            </w:pPr>
            <w:r w:rsidRPr="009A27ED">
              <w:rPr>
                <w:sz w:val="20"/>
                <w:szCs w:val="20"/>
                <w:u w:val="single"/>
              </w:rPr>
              <w:t>Marco Legal</w:t>
            </w:r>
            <w:r w:rsidRPr="009A27ED">
              <w:rPr>
                <w:sz w:val="20"/>
                <w:szCs w:val="20"/>
              </w:rPr>
              <w:t>:</w:t>
            </w:r>
            <w:r w:rsidRPr="009A27ED">
              <w:rPr>
                <w:b/>
                <w:sz w:val="20"/>
                <w:szCs w:val="20"/>
              </w:rPr>
              <w:t xml:space="preserve"> </w:t>
            </w:r>
          </w:p>
          <w:p w14:paraId="5D105878" w14:textId="77777777" w:rsidR="00F43550" w:rsidRPr="009A27ED" w:rsidRDefault="00F43550" w:rsidP="00C97A18">
            <w:pPr>
              <w:pStyle w:val="Prrafodelista"/>
              <w:numPr>
                <w:ilvl w:val="0"/>
                <w:numId w:val="338"/>
              </w:numPr>
              <w:spacing w:after="0" w:line="240" w:lineRule="auto"/>
              <w:jc w:val="left"/>
              <w:rPr>
                <w:sz w:val="20"/>
                <w:szCs w:val="20"/>
                <w:lang w:val="es-ES"/>
              </w:rPr>
            </w:pPr>
            <w:r w:rsidRPr="009A27ED">
              <w:rPr>
                <w:sz w:val="20"/>
                <w:szCs w:val="20"/>
              </w:rPr>
              <w:t xml:space="preserve">Decreto No. 521-06 Sobre Sanidad Animal </w:t>
            </w:r>
          </w:p>
          <w:p w14:paraId="571EE688" w14:textId="77777777" w:rsidR="00F43550" w:rsidRPr="009A27ED" w:rsidRDefault="00F43550" w:rsidP="008045DD">
            <w:pPr>
              <w:pStyle w:val="Default"/>
              <w:rPr>
                <w:rFonts w:asciiTheme="minorHAnsi" w:hAnsiTheme="minorHAnsi" w:cstheme="minorHAnsi"/>
                <w:sz w:val="20"/>
                <w:szCs w:val="20"/>
              </w:rPr>
            </w:pPr>
            <w:r w:rsidRPr="009A27ED">
              <w:rPr>
                <w:rFonts w:asciiTheme="minorHAnsi" w:hAnsiTheme="minorHAnsi" w:cstheme="minorHAnsi"/>
                <w:noProof/>
                <w:sz w:val="20"/>
                <w:szCs w:val="20"/>
                <w:lang w:val="es-ES"/>
              </w:rPr>
              <w:t xml:space="preserve">        -        </w:t>
            </w:r>
            <w:r w:rsidRPr="009A27ED">
              <w:rPr>
                <w:rFonts w:asciiTheme="minorHAnsi" w:hAnsiTheme="minorHAnsi" w:cstheme="minorHAnsi"/>
                <w:sz w:val="20"/>
                <w:szCs w:val="20"/>
                <w:lang w:val="es-ES"/>
              </w:rPr>
              <w:t>Ley No.4030-55</w:t>
            </w:r>
            <w:r w:rsidRPr="009A27ED">
              <w:rPr>
                <w:rFonts w:asciiTheme="minorHAnsi" w:hAnsiTheme="minorHAnsi" w:cstheme="minorHAnsi"/>
                <w:noProof/>
                <w:sz w:val="20"/>
                <w:szCs w:val="20"/>
                <w:lang w:val="es-ES"/>
              </w:rPr>
              <w:t xml:space="preserve"> que </w:t>
            </w:r>
          </w:p>
          <w:tbl>
            <w:tblPr>
              <w:tblW w:w="0" w:type="auto"/>
              <w:tblBorders>
                <w:top w:val="nil"/>
                <w:left w:val="nil"/>
                <w:bottom w:val="nil"/>
                <w:right w:val="nil"/>
              </w:tblBorders>
              <w:tblLook w:val="0000" w:firstRow="0" w:lastRow="0" w:firstColumn="0" w:lastColumn="0" w:noHBand="0" w:noVBand="0"/>
            </w:tblPr>
            <w:tblGrid>
              <w:gridCol w:w="8612"/>
            </w:tblGrid>
            <w:tr w:rsidR="00F43550" w:rsidRPr="009A27ED" w14:paraId="39A45D66" w14:textId="77777777" w:rsidTr="008045DD">
              <w:trPr>
                <w:trHeight w:val="355"/>
              </w:trPr>
              <w:tc>
                <w:tcPr>
                  <w:tcW w:w="12240" w:type="dxa"/>
                </w:tcPr>
                <w:p w14:paraId="577EE1AC" w14:textId="77777777" w:rsidR="00F43550" w:rsidRPr="009A27ED" w:rsidRDefault="00F43550" w:rsidP="008045DD">
                  <w:pPr>
                    <w:pStyle w:val="Default"/>
                    <w:spacing w:before="100" w:after="100"/>
                    <w:jc w:val="both"/>
                    <w:rPr>
                      <w:rFonts w:asciiTheme="minorHAnsi" w:hAnsiTheme="minorHAnsi" w:cstheme="minorHAnsi"/>
                      <w:sz w:val="20"/>
                      <w:szCs w:val="20"/>
                    </w:rPr>
                  </w:pPr>
                  <w:r w:rsidRPr="009A27ED">
                    <w:rPr>
                      <w:rFonts w:asciiTheme="minorHAnsi" w:hAnsiTheme="minorHAnsi" w:cstheme="minorHAnsi"/>
                      <w:sz w:val="20"/>
                      <w:szCs w:val="20"/>
                    </w:rPr>
                    <w:t xml:space="preserve">Declara de interés público la defensa sanitaria de los ganados </w:t>
                  </w:r>
                </w:p>
              </w:tc>
            </w:tr>
          </w:tbl>
          <w:p w14:paraId="32013693" w14:textId="77777777" w:rsidR="00F43550" w:rsidRPr="009A27ED" w:rsidRDefault="00F43550" w:rsidP="008045DD">
            <w:pPr>
              <w:rPr>
                <w:sz w:val="20"/>
                <w:szCs w:val="20"/>
              </w:rPr>
            </w:pPr>
          </w:p>
        </w:tc>
      </w:tr>
      <w:tr w:rsidR="00F43550" w:rsidRPr="009A27ED" w14:paraId="45FF3EE7" w14:textId="77777777" w:rsidTr="00C97A18">
        <w:tc>
          <w:tcPr>
            <w:tcW w:w="8828" w:type="dxa"/>
            <w:shd w:val="clear" w:color="auto" w:fill="DEEAF6" w:themeFill="accent1" w:themeFillTint="33"/>
          </w:tcPr>
          <w:p w14:paraId="156C6589" w14:textId="77777777" w:rsidR="00F43550" w:rsidRPr="009A27ED" w:rsidRDefault="00F43550" w:rsidP="008045DD">
            <w:pPr>
              <w:rPr>
                <w:i/>
                <w:sz w:val="20"/>
                <w:szCs w:val="20"/>
                <w:u w:val="single"/>
              </w:rPr>
            </w:pPr>
            <w:r w:rsidRPr="009A27ED">
              <w:rPr>
                <w:i/>
                <w:sz w:val="20"/>
                <w:szCs w:val="20"/>
                <w:u w:val="single"/>
              </w:rPr>
              <w:t>Diseño</w:t>
            </w:r>
          </w:p>
          <w:p w14:paraId="7A7FF5FC" w14:textId="77777777" w:rsidR="00F43550" w:rsidRPr="009A27ED" w:rsidRDefault="00F43550" w:rsidP="00E67CB0">
            <w:pPr>
              <w:pStyle w:val="Prrafodelista"/>
              <w:numPr>
                <w:ilvl w:val="0"/>
                <w:numId w:val="125"/>
              </w:numPr>
              <w:spacing w:after="0" w:line="240" w:lineRule="auto"/>
              <w:jc w:val="left"/>
              <w:rPr>
                <w:sz w:val="20"/>
                <w:szCs w:val="20"/>
              </w:rPr>
            </w:pPr>
            <w:r w:rsidRPr="009A27ED">
              <w:rPr>
                <w:sz w:val="20"/>
                <w:szCs w:val="20"/>
              </w:rPr>
              <w:t>Identificación de las fincas ganaderas dispuestas a desarrollar la actividad.</w:t>
            </w:r>
          </w:p>
          <w:p w14:paraId="1A0CADC0" w14:textId="77777777" w:rsidR="00F43550" w:rsidRPr="009A27ED" w:rsidRDefault="00F43550" w:rsidP="00E67CB0">
            <w:pPr>
              <w:pStyle w:val="Prrafodelista"/>
              <w:numPr>
                <w:ilvl w:val="0"/>
                <w:numId w:val="125"/>
              </w:numPr>
              <w:spacing w:after="0" w:line="240" w:lineRule="auto"/>
              <w:jc w:val="left"/>
              <w:rPr>
                <w:sz w:val="20"/>
                <w:szCs w:val="20"/>
              </w:rPr>
            </w:pPr>
            <w:r w:rsidRPr="009A27ED">
              <w:rPr>
                <w:sz w:val="20"/>
                <w:szCs w:val="20"/>
              </w:rPr>
              <w:t>Sensibilización y capacitación al beneficiario</w:t>
            </w:r>
          </w:p>
          <w:p w14:paraId="7372531F" w14:textId="77777777" w:rsidR="00F43550" w:rsidRPr="009A27ED" w:rsidRDefault="00F43550" w:rsidP="00E67CB0">
            <w:pPr>
              <w:pStyle w:val="Prrafodelista"/>
              <w:numPr>
                <w:ilvl w:val="0"/>
                <w:numId w:val="125"/>
              </w:numPr>
              <w:spacing w:after="0" w:line="240" w:lineRule="auto"/>
              <w:jc w:val="left"/>
              <w:rPr>
                <w:sz w:val="20"/>
                <w:szCs w:val="20"/>
              </w:rPr>
            </w:pPr>
            <w:r w:rsidRPr="009A27ED">
              <w:rPr>
                <w:sz w:val="20"/>
                <w:szCs w:val="20"/>
              </w:rPr>
              <w:t>Diseño del arreglo silvopastoril</w:t>
            </w:r>
          </w:p>
          <w:p w14:paraId="03EBCB32" w14:textId="77777777" w:rsidR="00F43550" w:rsidRPr="009A27ED" w:rsidRDefault="00F43550" w:rsidP="00E67CB0">
            <w:pPr>
              <w:pStyle w:val="Prrafodelista"/>
              <w:numPr>
                <w:ilvl w:val="0"/>
                <w:numId w:val="125"/>
              </w:numPr>
              <w:spacing w:after="0" w:line="240" w:lineRule="auto"/>
              <w:jc w:val="left"/>
              <w:rPr>
                <w:sz w:val="20"/>
                <w:szCs w:val="20"/>
              </w:rPr>
            </w:pPr>
            <w:r w:rsidRPr="009A27ED">
              <w:rPr>
                <w:sz w:val="20"/>
                <w:szCs w:val="20"/>
              </w:rPr>
              <w:t>Producción de plántulas (Adquisición de material de siembra o establecimiento de semilleros y almácigos)</w:t>
            </w:r>
          </w:p>
          <w:p w14:paraId="07DEE541" w14:textId="77777777" w:rsidR="00F43550" w:rsidRPr="009A27ED" w:rsidRDefault="00F43550" w:rsidP="00E67CB0">
            <w:pPr>
              <w:pStyle w:val="Prrafodelista"/>
              <w:numPr>
                <w:ilvl w:val="0"/>
                <w:numId w:val="125"/>
              </w:numPr>
              <w:spacing w:after="0" w:line="240" w:lineRule="auto"/>
              <w:jc w:val="left"/>
              <w:rPr>
                <w:sz w:val="20"/>
                <w:szCs w:val="20"/>
              </w:rPr>
            </w:pPr>
            <w:r w:rsidRPr="009A27ED">
              <w:rPr>
                <w:sz w:val="20"/>
                <w:szCs w:val="20"/>
              </w:rPr>
              <w:t>Riegos, fertilización y manejo integrado de plagas en vivero</w:t>
            </w:r>
          </w:p>
          <w:p w14:paraId="0D0DA8E9" w14:textId="77777777" w:rsidR="00F43550" w:rsidRPr="009A27ED" w:rsidRDefault="00F43550" w:rsidP="008045DD">
            <w:pPr>
              <w:rPr>
                <w:sz w:val="20"/>
                <w:szCs w:val="20"/>
              </w:rPr>
            </w:pPr>
            <w:r w:rsidRPr="009A27ED">
              <w:rPr>
                <w:i/>
                <w:sz w:val="20"/>
                <w:szCs w:val="20"/>
                <w:u w:val="single"/>
              </w:rPr>
              <w:t>Establecimiento</w:t>
            </w:r>
            <w:r w:rsidRPr="009A27ED">
              <w:rPr>
                <w:sz w:val="20"/>
                <w:szCs w:val="20"/>
              </w:rPr>
              <w:t xml:space="preserve"> </w:t>
            </w:r>
          </w:p>
          <w:p w14:paraId="6015B242" w14:textId="77777777" w:rsidR="00F43550" w:rsidRPr="009A27ED" w:rsidRDefault="00F43550" w:rsidP="00D42802">
            <w:pPr>
              <w:pStyle w:val="Prrafodelista"/>
              <w:numPr>
                <w:ilvl w:val="0"/>
                <w:numId w:val="28"/>
              </w:numPr>
              <w:spacing w:after="0" w:line="240" w:lineRule="auto"/>
              <w:jc w:val="left"/>
              <w:rPr>
                <w:sz w:val="20"/>
                <w:szCs w:val="20"/>
              </w:rPr>
            </w:pPr>
            <w:r w:rsidRPr="009A27ED">
              <w:rPr>
                <w:sz w:val="20"/>
                <w:szCs w:val="20"/>
              </w:rPr>
              <w:t xml:space="preserve">Preparación de terreno </w:t>
            </w:r>
          </w:p>
          <w:p w14:paraId="3B646FFC" w14:textId="77777777" w:rsidR="00F43550" w:rsidRPr="009A27ED" w:rsidRDefault="00F43550" w:rsidP="00D42802">
            <w:pPr>
              <w:pStyle w:val="Prrafodelista"/>
              <w:numPr>
                <w:ilvl w:val="0"/>
                <w:numId w:val="28"/>
              </w:numPr>
              <w:spacing w:after="0" w:line="240" w:lineRule="auto"/>
              <w:jc w:val="left"/>
              <w:rPr>
                <w:sz w:val="20"/>
                <w:szCs w:val="20"/>
              </w:rPr>
            </w:pPr>
            <w:r w:rsidRPr="009A27ED">
              <w:rPr>
                <w:sz w:val="20"/>
                <w:szCs w:val="20"/>
              </w:rPr>
              <w:t>Plantación</w:t>
            </w:r>
          </w:p>
          <w:p w14:paraId="1728E081" w14:textId="77777777" w:rsidR="00F43550" w:rsidRPr="009A27ED" w:rsidRDefault="00F43550" w:rsidP="00D42802">
            <w:pPr>
              <w:pStyle w:val="Prrafodelista"/>
              <w:numPr>
                <w:ilvl w:val="0"/>
                <w:numId w:val="28"/>
              </w:numPr>
              <w:spacing w:after="0" w:line="240" w:lineRule="auto"/>
              <w:jc w:val="left"/>
              <w:rPr>
                <w:sz w:val="20"/>
                <w:szCs w:val="20"/>
              </w:rPr>
            </w:pPr>
            <w:r w:rsidRPr="009A27ED">
              <w:rPr>
                <w:sz w:val="20"/>
                <w:szCs w:val="20"/>
              </w:rPr>
              <w:t xml:space="preserve">Reposición de plántula y limpieza </w:t>
            </w:r>
          </w:p>
          <w:p w14:paraId="1639730F" w14:textId="77777777" w:rsidR="00F43550" w:rsidRPr="009A27ED" w:rsidRDefault="00F43550" w:rsidP="008045DD">
            <w:pPr>
              <w:rPr>
                <w:sz w:val="20"/>
                <w:szCs w:val="20"/>
                <w:u w:val="single"/>
              </w:rPr>
            </w:pPr>
            <w:r w:rsidRPr="009A27ED">
              <w:rPr>
                <w:sz w:val="20"/>
                <w:szCs w:val="20"/>
                <w:u w:val="single"/>
              </w:rPr>
              <w:t xml:space="preserve">Mantenimiento: </w:t>
            </w:r>
          </w:p>
          <w:p w14:paraId="34FFB0C9" w14:textId="77777777" w:rsidR="00F43550" w:rsidRPr="009A27ED" w:rsidRDefault="00F43550" w:rsidP="00D42802">
            <w:pPr>
              <w:pStyle w:val="Prrafodelista"/>
              <w:numPr>
                <w:ilvl w:val="0"/>
                <w:numId w:val="28"/>
              </w:numPr>
              <w:spacing w:after="0" w:line="240" w:lineRule="auto"/>
              <w:jc w:val="left"/>
              <w:rPr>
                <w:sz w:val="20"/>
                <w:szCs w:val="20"/>
              </w:rPr>
            </w:pPr>
            <w:r w:rsidRPr="009A27ED">
              <w:rPr>
                <w:sz w:val="20"/>
                <w:szCs w:val="20"/>
              </w:rPr>
              <w:t xml:space="preserve">Deshierbes y podas </w:t>
            </w:r>
          </w:p>
          <w:p w14:paraId="502DDA8C" w14:textId="77777777" w:rsidR="00F43550" w:rsidRPr="009A27ED" w:rsidRDefault="00F43550" w:rsidP="00D42802">
            <w:pPr>
              <w:pStyle w:val="Prrafodelista"/>
              <w:numPr>
                <w:ilvl w:val="0"/>
                <w:numId w:val="28"/>
              </w:numPr>
              <w:spacing w:after="0" w:line="240" w:lineRule="auto"/>
              <w:jc w:val="left"/>
              <w:rPr>
                <w:sz w:val="20"/>
                <w:szCs w:val="20"/>
              </w:rPr>
            </w:pPr>
            <w:r w:rsidRPr="009A27ED">
              <w:rPr>
                <w:sz w:val="20"/>
                <w:szCs w:val="20"/>
              </w:rPr>
              <w:t>Fertilización y manejo integrado de plagas.</w:t>
            </w:r>
          </w:p>
          <w:p w14:paraId="0C62D12C" w14:textId="7ED8C7CA" w:rsidR="00F43550" w:rsidRPr="009A27ED" w:rsidRDefault="00F43550" w:rsidP="00D42802">
            <w:pPr>
              <w:pStyle w:val="Prrafodelista"/>
              <w:numPr>
                <w:ilvl w:val="0"/>
                <w:numId w:val="28"/>
              </w:numPr>
              <w:spacing w:after="0" w:line="240" w:lineRule="auto"/>
              <w:jc w:val="left"/>
              <w:rPr>
                <w:sz w:val="20"/>
                <w:szCs w:val="20"/>
              </w:rPr>
            </w:pPr>
            <w:r w:rsidRPr="009A27ED">
              <w:rPr>
                <w:sz w:val="20"/>
                <w:szCs w:val="20"/>
              </w:rPr>
              <w:t>Supervisión, monitoreo, reporte de la actividad</w:t>
            </w:r>
          </w:p>
        </w:tc>
      </w:tr>
      <w:tr w:rsidR="00F43550" w:rsidRPr="009A27ED" w14:paraId="2EEEC618" w14:textId="77777777" w:rsidTr="00C97A18">
        <w:tc>
          <w:tcPr>
            <w:tcW w:w="8828" w:type="dxa"/>
            <w:shd w:val="clear" w:color="auto" w:fill="auto"/>
          </w:tcPr>
          <w:p w14:paraId="452A776B" w14:textId="77777777" w:rsidR="00F43550" w:rsidRPr="009A27ED" w:rsidRDefault="00F43550" w:rsidP="008045DD">
            <w:pPr>
              <w:rPr>
                <w:b/>
                <w:i/>
                <w:sz w:val="20"/>
                <w:szCs w:val="20"/>
                <w:u w:val="single"/>
              </w:rPr>
            </w:pPr>
            <w:r w:rsidRPr="009A27ED">
              <w:rPr>
                <w:b/>
                <w:i/>
                <w:sz w:val="20"/>
                <w:szCs w:val="20"/>
                <w:u w:val="single"/>
              </w:rPr>
              <w:t>5. Regeneración Natural de zonas degradadas:</w:t>
            </w:r>
          </w:p>
          <w:p w14:paraId="09341AA4" w14:textId="2B6D04A8" w:rsidR="00F43550" w:rsidRPr="009A27ED" w:rsidRDefault="00F43550" w:rsidP="008045DD">
            <w:pPr>
              <w:rPr>
                <w:sz w:val="20"/>
                <w:szCs w:val="20"/>
              </w:rPr>
            </w:pPr>
            <w:r w:rsidRPr="009A27ED">
              <w:rPr>
                <w:sz w:val="20"/>
                <w:szCs w:val="20"/>
              </w:rPr>
              <w:t xml:space="preserve">Preparación y cuidado de  terreno con escaza o ninguna cobertura arbórea, de manera que se fomente el crecimiento o desarrollo de la vegetación natural con el fin de </w:t>
            </w:r>
            <w:r w:rsidR="00434410" w:rsidRPr="009A27ED">
              <w:rPr>
                <w:sz w:val="20"/>
                <w:szCs w:val="20"/>
              </w:rPr>
              <w:t>restablecer</w:t>
            </w:r>
            <w:r w:rsidRPr="009A27ED">
              <w:rPr>
                <w:sz w:val="20"/>
                <w:szCs w:val="20"/>
              </w:rPr>
              <w:t xml:space="preserve"> los sistemas forestales, ya sea con fines de conservación o productivos.</w:t>
            </w:r>
          </w:p>
        </w:tc>
      </w:tr>
      <w:tr w:rsidR="00F43550" w:rsidRPr="009A27ED" w14:paraId="393127D8" w14:textId="77777777" w:rsidTr="00C97A18">
        <w:tc>
          <w:tcPr>
            <w:tcW w:w="8828" w:type="dxa"/>
            <w:shd w:val="clear" w:color="auto" w:fill="auto"/>
          </w:tcPr>
          <w:p w14:paraId="19324942" w14:textId="492A3936" w:rsidR="00F43550" w:rsidRPr="009A27ED" w:rsidRDefault="00F43550" w:rsidP="008045DD">
            <w:pPr>
              <w:rPr>
                <w:b/>
                <w:sz w:val="20"/>
                <w:szCs w:val="20"/>
              </w:rPr>
            </w:pPr>
            <w:r w:rsidRPr="009A27ED">
              <w:rPr>
                <w:b/>
                <w:sz w:val="20"/>
                <w:szCs w:val="20"/>
              </w:rPr>
              <w:t>ACCIONES ESTRATEGI</w:t>
            </w:r>
            <w:r w:rsidR="008200E9" w:rsidRPr="009A27ED">
              <w:rPr>
                <w:b/>
                <w:sz w:val="20"/>
                <w:szCs w:val="20"/>
              </w:rPr>
              <w:t>CAS</w:t>
            </w:r>
            <w:r w:rsidRPr="009A27ED">
              <w:rPr>
                <w:b/>
                <w:sz w:val="20"/>
                <w:szCs w:val="20"/>
              </w:rPr>
              <w:t xml:space="preserve"> REDD+: 3.6, 3.8, 3.11</w:t>
            </w:r>
          </w:p>
        </w:tc>
      </w:tr>
      <w:tr w:rsidR="00F43550" w:rsidRPr="009A27ED" w14:paraId="7B1F946A" w14:textId="77777777" w:rsidTr="00C97A18">
        <w:tc>
          <w:tcPr>
            <w:tcW w:w="8828" w:type="dxa"/>
            <w:shd w:val="clear" w:color="auto" w:fill="auto"/>
          </w:tcPr>
          <w:p w14:paraId="2DD24C28" w14:textId="77777777" w:rsidR="00F43550" w:rsidRPr="009A27ED" w:rsidRDefault="00F43550" w:rsidP="008045DD">
            <w:pPr>
              <w:rPr>
                <w:sz w:val="20"/>
                <w:szCs w:val="20"/>
              </w:rPr>
            </w:pPr>
            <w:r w:rsidRPr="009A27ED">
              <w:rPr>
                <w:sz w:val="20"/>
                <w:szCs w:val="20"/>
              </w:rPr>
              <w:t xml:space="preserve">Requerimientos legales: </w:t>
            </w:r>
          </w:p>
          <w:p w14:paraId="77C06754" w14:textId="77777777" w:rsidR="00F43550" w:rsidRPr="009A27ED" w:rsidRDefault="00F43550" w:rsidP="008045DD">
            <w:pPr>
              <w:pStyle w:val="Textocomentario"/>
              <w:rPr>
                <w:rFonts w:asciiTheme="minorHAnsi" w:hAnsiTheme="minorHAnsi" w:cstheme="minorHAnsi"/>
                <w:b/>
              </w:rPr>
            </w:pPr>
            <w:r w:rsidRPr="009A27ED">
              <w:rPr>
                <w:rFonts w:asciiTheme="minorHAnsi" w:hAnsiTheme="minorHAnsi" w:cstheme="minorHAnsi"/>
                <w:b/>
              </w:rPr>
              <w:t>Ministerio de Medio Ambiente y Recursos Naturales:</w:t>
            </w:r>
          </w:p>
          <w:p w14:paraId="2B4908B0" w14:textId="77777777" w:rsidR="00F43550" w:rsidRPr="009A27ED" w:rsidRDefault="00F43550" w:rsidP="008045DD">
            <w:pPr>
              <w:pStyle w:val="Textocomentario"/>
              <w:rPr>
                <w:rFonts w:asciiTheme="minorHAnsi" w:hAnsiTheme="minorHAnsi" w:cstheme="minorHAnsi"/>
                <w:b/>
              </w:rPr>
            </w:pPr>
          </w:p>
          <w:p w14:paraId="2BDF157D" w14:textId="290AA140" w:rsidR="00F43550" w:rsidRPr="009A27ED" w:rsidRDefault="00F43550" w:rsidP="008045DD">
            <w:pPr>
              <w:pStyle w:val="Textocomentario"/>
              <w:rPr>
                <w:rFonts w:asciiTheme="minorHAnsi" w:hAnsiTheme="minorHAnsi" w:cstheme="minorHAnsi"/>
                <w:color w:val="000000"/>
                <w:shd w:val="clear" w:color="auto" w:fill="FFFFFF"/>
              </w:rPr>
            </w:pPr>
            <w:r w:rsidRPr="009A27ED">
              <w:rPr>
                <w:rFonts w:asciiTheme="minorHAnsi" w:hAnsiTheme="minorHAnsi" w:cstheme="minorHAnsi"/>
              </w:rPr>
              <w:t xml:space="preserve">Coordinación con </w:t>
            </w:r>
            <w:r w:rsidRPr="009A27ED">
              <w:rPr>
                <w:rFonts w:asciiTheme="minorHAnsi" w:hAnsiTheme="minorHAnsi" w:cstheme="minorHAnsi"/>
                <w:color w:val="000000"/>
                <w:shd w:val="clear" w:color="auto" w:fill="FFFFFF"/>
              </w:rPr>
              <w:t>el </w:t>
            </w:r>
            <w:r w:rsidR="006A32AE" w:rsidRPr="009A27ED">
              <w:rPr>
                <w:rStyle w:val="Textoennegrita"/>
                <w:rFonts w:asciiTheme="minorHAnsi" w:hAnsiTheme="minorHAnsi" w:cstheme="minorHAnsi"/>
                <w:color w:val="000000"/>
                <w:bdr w:val="none" w:sz="0" w:space="0" w:color="auto" w:frame="1"/>
                <w:shd w:val="clear" w:color="auto" w:fill="FFFFFF"/>
              </w:rPr>
              <w:t xml:space="preserve">Programa </w:t>
            </w:r>
            <w:r w:rsidRPr="009A27ED">
              <w:rPr>
                <w:rStyle w:val="Textoennegrita"/>
                <w:rFonts w:asciiTheme="minorHAnsi" w:hAnsiTheme="minorHAnsi" w:cstheme="minorHAnsi"/>
                <w:color w:val="000000"/>
                <w:bdr w:val="none" w:sz="0" w:space="0" w:color="auto" w:frame="1"/>
                <w:shd w:val="clear" w:color="auto" w:fill="FFFFFF"/>
              </w:rPr>
              <w:t xml:space="preserve">Nacional </w:t>
            </w:r>
            <w:r w:rsidR="006A32AE" w:rsidRPr="009A27ED">
              <w:rPr>
                <w:rStyle w:val="Textoennegrita"/>
                <w:rFonts w:asciiTheme="minorHAnsi" w:hAnsiTheme="minorHAnsi" w:cstheme="minorHAnsi"/>
                <w:color w:val="000000"/>
                <w:bdr w:val="none" w:sz="0" w:space="0" w:color="auto" w:frame="1"/>
                <w:shd w:val="clear" w:color="auto" w:fill="FFFFFF"/>
              </w:rPr>
              <w:t>de Reforestación</w:t>
            </w:r>
            <w:r w:rsidRPr="009A27ED">
              <w:rPr>
                <w:rFonts w:asciiTheme="minorHAnsi" w:hAnsiTheme="minorHAnsi" w:cstheme="minorHAnsi"/>
                <w:color w:val="000000"/>
                <w:shd w:val="clear" w:color="auto" w:fill="FFFFFF"/>
              </w:rPr>
              <w:t xml:space="preserve">, a través del Viceministerio de Recursos Forestales para la aprobación de acciones de reforestación y recuperación de áreas verdes naturales. </w:t>
            </w:r>
          </w:p>
          <w:p w14:paraId="2848362D" w14:textId="77777777" w:rsidR="00F43550" w:rsidRPr="009A27ED" w:rsidRDefault="00F43550" w:rsidP="008045DD">
            <w:pPr>
              <w:pStyle w:val="Textocomentario"/>
              <w:rPr>
                <w:rFonts w:asciiTheme="minorHAnsi" w:hAnsiTheme="minorHAnsi" w:cstheme="minorHAnsi"/>
                <w:color w:val="000000"/>
                <w:shd w:val="clear" w:color="auto" w:fill="FFFFFF"/>
              </w:rPr>
            </w:pPr>
          </w:p>
          <w:p w14:paraId="7553270C" w14:textId="77777777" w:rsidR="00F43550" w:rsidRPr="009A27ED" w:rsidRDefault="00F43550" w:rsidP="008045DD">
            <w:pPr>
              <w:pStyle w:val="Textocomentario"/>
              <w:rPr>
                <w:rFonts w:asciiTheme="minorHAnsi" w:hAnsiTheme="minorHAnsi" w:cstheme="minorHAnsi"/>
                <w:color w:val="000000"/>
                <w:shd w:val="clear" w:color="auto" w:fill="FFFFFF"/>
              </w:rPr>
            </w:pPr>
            <w:r w:rsidRPr="009A27ED">
              <w:rPr>
                <w:rFonts w:asciiTheme="minorHAnsi" w:hAnsiTheme="minorHAnsi" w:cstheme="minorHAnsi"/>
                <w:color w:val="000000"/>
                <w:u w:val="single"/>
                <w:shd w:val="clear" w:color="auto" w:fill="FFFFFF"/>
              </w:rPr>
              <w:t>Marco Legal</w:t>
            </w:r>
            <w:r w:rsidRPr="009A27ED">
              <w:rPr>
                <w:rFonts w:asciiTheme="minorHAnsi" w:hAnsiTheme="minorHAnsi" w:cstheme="minorHAnsi"/>
                <w:color w:val="000000"/>
                <w:shd w:val="clear" w:color="auto" w:fill="FFFFFF"/>
              </w:rPr>
              <w:t>:</w:t>
            </w:r>
          </w:p>
          <w:p w14:paraId="120DFB3C" w14:textId="77777777" w:rsidR="00F43550" w:rsidRPr="009A27ED" w:rsidRDefault="00F43550" w:rsidP="00C97A18">
            <w:pPr>
              <w:pStyle w:val="Textocomentario"/>
              <w:numPr>
                <w:ilvl w:val="0"/>
                <w:numId w:val="340"/>
              </w:numPr>
              <w:jc w:val="left"/>
              <w:rPr>
                <w:rFonts w:asciiTheme="minorHAnsi" w:hAnsiTheme="minorHAnsi" w:cstheme="minorHAnsi"/>
              </w:rPr>
            </w:pPr>
            <w:r w:rsidRPr="009A27ED">
              <w:rPr>
                <w:rFonts w:asciiTheme="minorHAnsi" w:hAnsiTheme="minorHAnsi" w:cstheme="minorHAnsi"/>
                <w:color w:val="000000"/>
                <w:shd w:val="clear" w:color="auto" w:fill="FFFFFF"/>
              </w:rPr>
              <w:lastRenderedPageBreak/>
              <w:t>Ley 64-00</w:t>
            </w:r>
          </w:p>
          <w:p w14:paraId="3D6BFAA6" w14:textId="77777777" w:rsidR="00F43550" w:rsidRPr="009A27ED" w:rsidRDefault="00F43550" w:rsidP="00C97A18">
            <w:pPr>
              <w:pStyle w:val="Textocomentario"/>
              <w:numPr>
                <w:ilvl w:val="0"/>
                <w:numId w:val="340"/>
              </w:numPr>
              <w:jc w:val="left"/>
              <w:rPr>
                <w:rFonts w:asciiTheme="minorHAnsi" w:hAnsiTheme="minorHAnsi" w:cstheme="minorHAnsi"/>
              </w:rPr>
            </w:pPr>
            <w:r w:rsidRPr="009A27ED">
              <w:rPr>
                <w:rFonts w:asciiTheme="minorHAnsi" w:hAnsiTheme="minorHAnsi" w:cstheme="minorHAnsi"/>
                <w:color w:val="000000"/>
                <w:shd w:val="clear" w:color="auto" w:fill="FFFFFF"/>
              </w:rPr>
              <w:t xml:space="preserve">Decreto No. 138-97 </w:t>
            </w:r>
          </w:p>
          <w:p w14:paraId="0726EB5A" w14:textId="7F729C1B" w:rsidR="00F43550" w:rsidRPr="009A27ED" w:rsidRDefault="00F43550" w:rsidP="008045DD">
            <w:pPr>
              <w:rPr>
                <w:sz w:val="20"/>
                <w:szCs w:val="20"/>
              </w:rPr>
            </w:pPr>
            <w:r w:rsidRPr="009A27ED">
              <w:rPr>
                <w:color w:val="000000"/>
                <w:sz w:val="20"/>
                <w:szCs w:val="20"/>
                <w:shd w:val="clear" w:color="auto" w:fill="FFFFFF"/>
              </w:rPr>
              <w:t>Decreto 226-07</w:t>
            </w:r>
          </w:p>
        </w:tc>
      </w:tr>
      <w:tr w:rsidR="00F43550" w:rsidRPr="009A27ED" w14:paraId="2B8D062F" w14:textId="77777777" w:rsidTr="00C97A18">
        <w:tc>
          <w:tcPr>
            <w:tcW w:w="8828" w:type="dxa"/>
            <w:shd w:val="clear" w:color="auto" w:fill="auto"/>
          </w:tcPr>
          <w:p w14:paraId="058D939B" w14:textId="77777777" w:rsidR="00F43550" w:rsidRPr="009A27ED" w:rsidRDefault="00F43550" w:rsidP="008045DD">
            <w:pPr>
              <w:rPr>
                <w:i/>
                <w:sz w:val="20"/>
                <w:szCs w:val="20"/>
                <w:u w:val="single"/>
              </w:rPr>
            </w:pPr>
            <w:r w:rsidRPr="009A27ED">
              <w:rPr>
                <w:i/>
                <w:sz w:val="20"/>
                <w:szCs w:val="20"/>
                <w:u w:val="single"/>
              </w:rPr>
              <w:t>Establecimiento</w:t>
            </w:r>
          </w:p>
          <w:p w14:paraId="236466C5" w14:textId="77777777" w:rsidR="00F43550" w:rsidRPr="009A27ED" w:rsidRDefault="00F43550" w:rsidP="00D42802">
            <w:pPr>
              <w:pStyle w:val="Prrafodelista"/>
              <w:numPr>
                <w:ilvl w:val="0"/>
                <w:numId w:val="29"/>
              </w:numPr>
              <w:spacing w:after="0" w:line="240" w:lineRule="auto"/>
              <w:jc w:val="left"/>
              <w:rPr>
                <w:sz w:val="20"/>
                <w:szCs w:val="20"/>
              </w:rPr>
            </w:pPr>
            <w:r w:rsidRPr="009A27ED">
              <w:rPr>
                <w:sz w:val="20"/>
                <w:szCs w:val="20"/>
              </w:rPr>
              <w:t>Identificación y delimitación de predios degradados</w:t>
            </w:r>
          </w:p>
          <w:p w14:paraId="5DC755A7" w14:textId="77777777" w:rsidR="00F43550" w:rsidRPr="009A27ED" w:rsidRDefault="00F43550" w:rsidP="00D42802">
            <w:pPr>
              <w:pStyle w:val="Prrafodelista"/>
              <w:numPr>
                <w:ilvl w:val="0"/>
                <w:numId w:val="29"/>
              </w:numPr>
              <w:spacing w:after="0" w:line="240" w:lineRule="auto"/>
              <w:jc w:val="left"/>
              <w:rPr>
                <w:sz w:val="20"/>
                <w:szCs w:val="20"/>
              </w:rPr>
            </w:pPr>
            <w:r w:rsidRPr="009A27ED">
              <w:rPr>
                <w:sz w:val="20"/>
                <w:szCs w:val="20"/>
              </w:rPr>
              <w:t>Limitar el acceso al predio.</w:t>
            </w:r>
          </w:p>
          <w:p w14:paraId="432DC973" w14:textId="77777777" w:rsidR="00F43550" w:rsidRPr="009A27ED" w:rsidRDefault="00F43550" w:rsidP="00D42802">
            <w:pPr>
              <w:pStyle w:val="Prrafodelista"/>
              <w:numPr>
                <w:ilvl w:val="0"/>
                <w:numId w:val="29"/>
              </w:numPr>
              <w:spacing w:after="0" w:line="240" w:lineRule="auto"/>
              <w:jc w:val="left"/>
              <w:rPr>
                <w:sz w:val="20"/>
                <w:szCs w:val="20"/>
              </w:rPr>
            </w:pPr>
            <w:r w:rsidRPr="009A27ED">
              <w:rPr>
                <w:sz w:val="20"/>
                <w:szCs w:val="20"/>
              </w:rPr>
              <w:t>Preparación de terreno para facilitar la regeneración</w:t>
            </w:r>
          </w:p>
          <w:p w14:paraId="4E961C30" w14:textId="77777777" w:rsidR="00F43550" w:rsidRPr="009A27ED" w:rsidRDefault="00F43550" w:rsidP="008045DD">
            <w:pPr>
              <w:rPr>
                <w:i/>
                <w:sz w:val="20"/>
                <w:szCs w:val="20"/>
                <w:u w:val="single"/>
              </w:rPr>
            </w:pPr>
            <w:r w:rsidRPr="009A27ED">
              <w:rPr>
                <w:i/>
                <w:sz w:val="20"/>
                <w:szCs w:val="20"/>
                <w:u w:val="single"/>
              </w:rPr>
              <w:t>Manejo para fines de producción</w:t>
            </w:r>
          </w:p>
          <w:p w14:paraId="6FC44E5A" w14:textId="77777777" w:rsidR="00F43550" w:rsidRPr="009A27ED" w:rsidRDefault="00F43550" w:rsidP="00C97A18">
            <w:pPr>
              <w:pStyle w:val="Prrafodelista"/>
              <w:numPr>
                <w:ilvl w:val="0"/>
                <w:numId w:val="342"/>
              </w:numPr>
              <w:spacing w:after="0" w:line="240" w:lineRule="auto"/>
              <w:jc w:val="left"/>
              <w:rPr>
                <w:sz w:val="20"/>
                <w:szCs w:val="20"/>
              </w:rPr>
            </w:pPr>
            <w:r w:rsidRPr="009A27ED">
              <w:rPr>
                <w:sz w:val="20"/>
                <w:szCs w:val="20"/>
              </w:rPr>
              <w:t>Aclareos, limpiezas</w:t>
            </w:r>
          </w:p>
          <w:p w14:paraId="4163C518" w14:textId="41A17AA5" w:rsidR="00F43550" w:rsidRPr="009A27ED" w:rsidRDefault="00F43550" w:rsidP="00C97A18">
            <w:pPr>
              <w:pStyle w:val="Prrafodelista"/>
              <w:numPr>
                <w:ilvl w:val="0"/>
                <w:numId w:val="342"/>
              </w:numPr>
              <w:spacing w:after="0" w:line="240" w:lineRule="auto"/>
              <w:jc w:val="left"/>
              <w:rPr>
                <w:sz w:val="20"/>
                <w:szCs w:val="20"/>
              </w:rPr>
            </w:pPr>
            <w:r w:rsidRPr="009A27ED">
              <w:rPr>
                <w:sz w:val="20"/>
                <w:szCs w:val="20"/>
              </w:rPr>
              <w:t>Supervisión, monitoreo, reporte de la actividad</w:t>
            </w:r>
          </w:p>
        </w:tc>
      </w:tr>
      <w:tr w:rsidR="00F43550" w:rsidRPr="009A27ED" w14:paraId="636B95B2" w14:textId="77777777" w:rsidTr="00C97A18">
        <w:tc>
          <w:tcPr>
            <w:tcW w:w="8828" w:type="dxa"/>
            <w:shd w:val="clear" w:color="auto" w:fill="DEEAF6" w:themeFill="accent1" w:themeFillTint="33"/>
          </w:tcPr>
          <w:p w14:paraId="07CC0C8D" w14:textId="430C9FE0" w:rsidR="00F43550" w:rsidRPr="009A27ED" w:rsidRDefault="00743164" w:rsidP="008045DD">
            <w:pPr>
              <w:rPr>
                <w:b/>
                <w:i/>
                <w:sz w:val="20"/>
                <w:szCs w:val="20"/>
                <w:u w:val="single"/>
              </w:rPr>
            </w:pPr>
            <w:r w:rsidRPr="009A27ED">
              <w:rPr>
                <w:b/>
                <w:i/>
                <w:sz w:val="20"/>
                <w:szCs w:val="20"/>
                <w:u w:val="single"/>
              </w:rPr>
              <w:t>6</w:t>
            </w:r>
            <w:r w:rsidR="00F43550" w:rsidRPr="009A27ED">
              <w:rPr>
                <w:b/>
                <w:i/>
                <w:sz w:val="20"/>
                <w:szCs w:val="20"/>
                <w:u w:val="single"/>
              </w:rPr>
              <w:t>.</w:t>
            </w:r>
            <w:r w:rsidR="00BC12CF" w:rsidRPr="009A27ED">
              <w:rPr>
                <w:b/>
                <w:i/>
                <w:sz w:val="20"/>
                <w:szCs w:val="20"/>
                <w:u w:val="single"/>
              </w:rPr>
              <w:t xml:space="preserve"> </w:t>
            </w:r>
            <w:r w:rsidR="00F43550" w:rsidRPr="009A27ED">
              <w:rPr>
                <w:b/>
                <w:i/>
                <w:sz w:val="20"/>
                <w:szCs w:val="20"/>
                <w:u w:val="single"/>
              </w:rPr>
              <w:t xml:space="preserve">Conservar bosques en áreas protegidas prioritarias </w:t>
            </w:r>
            <w:r w:rsidR="00083964" w:rsidRPr="009A27ED">
              <w:rPr>
                <w:b/>
                <w:i/>
                <w:sz w:val="20"/>
                <w:szCs w:val="20"/>
                <w:u w:val="single"/>
              </w:rPr>
              <w:t xml:space="preserve">con participación </w:t>
            </w:r>
            <w:r w:rsidR="00807373" w:rsidRPr="009A27ED">
              <w:rPr>
                <w:b/>
                <w:i/>
                <w:sz w:val="20"/>
                <w:szCs w:val="20"/>
                <w:u w:val="single"/>
              </w:rPr>
              <w:t>comunitaria.</w:t>
            </w:r>
          </w:p>
          <w:p w14:paraId="4623B88B" w14:textId="432457D5" w:rsidR="00F43550" w:rsidRPr="009A27ED" w:rsidRDefault="00F43550" w:rsidP="006144EF">
            <w:pPr>
              <w:spacing w:before="120" w:line="256" w:lineRule="auto"/>
              <w:rPr>
                <w:sz w:val="20"/>
                <w:szCs w:val="20"/>
              </w:rPr>
            </w:pPr>
            <w:r w:rsidRPr="009A27ED">
              <w:rPr>
                <w:sz w:val="20"/>
                <w:szCs w:val="20"/>
              </w:rPr>
              <w:t>Actividades de usos de la tierra en áreas protegidas con participación de actores claves e involucrados que viven en su interior o en zonas de amortiguamiento, dirigidos a mantener las masas forestales, la biodiversidad y ecosistemas dentro las mismas y armonizar la conservación de los bosques y los medios de vida, conforme la ley y normativa sobre áreas protegidas y en cumplimiento de los principios legales relativos a los derechos de los usuarios con el fin de reducir las emisiones derivadas de la deforestación y la degradación dentro las Áreas Protegidas.</w:t>
            </w:r>
          </w:p>
        </w:tc>
      </w:tr>
      <w:tr w:rsidR="00F43550" w:rsidRPr="009A27ED" w14:paraId="2D3844D9" w14:textId="77777777" w:rsidTr="00C97A18">
        <w:tc>
          <w:tcPr>
            <w:tcW w:w="8828" w:type="dxa"/>
            <w:shd w:val="clear" w:color="auto" w:fill="DEEAF6" w:themeFill="accent1" w:themeFillTint="33"/>
          </w:tcPr>
          <w:p w14:paraId="7DFB4FFB" w14:textId="644A6EE7" w:rsidR="00F43550" w:rsidRPr="009A27ED" w:rsidRDefault="00F43550" w:rsidP="008045DD">
            <w:pPr>
              <w:rPr>
                <w:b/>
                <w:sz w:val="20"/>
                <w:szCs w:val="20"/>
              </w:rPr>
            </w:pPr>
            <w:r w:rsidRPr="009A27ED">
              <w:rPr>
                <w:b/>
                <w:sz w:val="20"/>
                <w:szCs w:val="20"/>
              </w:rPr>
              <w:t>ACCIONES ESTRATEGI</w:t>
            </w:r>
            <w:r w:rsidR="008200E9" w:rsidRPr="009A27ED">
              <w:rPr>
                <w:b/>
                <w:sz w:val="20"/>
                <w:szCs w:val="20"/>
              </w:rPr>
              <w:t>CAS</w:t>
            </w:r>
            <w:r w:rsidRPr="009A27ED">
              <w:rPr>
                <w:b/>
                <w:sz w:val="20"/>
                <w:szCs w:val="20"/>
              </w:rPr>
              <w:t xml:space="preserve"> REDD+: 3.4, 3.5, 3.6, 3.11</w:t>
            </w:r>
          </w:p>
        </w:tc>
      </w:tr>
      <w:tr w:rsidR="00F43550" w:rsidRPr="009A27ED" w14:paraId="1D64F579" w14:textId="77777777" w:rsidTr="00C97A18">
        <w:tc>
          <w:tcPr>
            <w:tcW w:w="8828" w:type="dxa"/>
            <w:shd w:val="clear" w:color="auto" w:fill="DEEAF6" w:themeFill="accent1" w:themeFillTint="33"/>
          </w:tcPr>
          <w:p w14:paraId="62B60BA0" w14:textId="77777777" w:rsidR="00F43550" w:rsidRPr="009A27ED" w:rsidRDefault="00F43550" w:rsidP="008045DD">
            <w:pPr>
              <w:rPr>
                <w:sz w:val="20"/>
                <w:szCs w:val="20"/>
              </w:rPr>
            </w:pPr>
            <w:r w:rsidRPr="009A27ED">
              <w:rPr>
                <w:sz w:val="20"/>
                <w:szCs w:val="20"/>
              </w:rPr>
              <w:t>Requerimientos legales:</w:t>
            </w:r>
          </w:p>
          <w:p w14:paraId="445146B8" w14:textId="1AE9E0B5" w:rsidR="00C4499A" w:rsidRPr="009A27ED" w:rsidRDefault="00F43550" w:rsidP="00C4499A">
            <w:pPr>
              <w:spacing w:after="0"/>
              <w:rPr>
                <w:sz w:val="20"/>
                <w:szCs w:val="20"/>
              </w:rPr>
            </w:pPr>
            <w:r w:rsidRPr="009A27ED">
              <w:rPr>
                <w:sz w:val="20"/>
                <w:szCs w:val="20"/>
              </w:rPr>
              <w:t>1.1</w:t>
            </w:r>
            <w:r w:rsidR="008C6265" w:rsidRPr="009A27ED">
              <w:rPr>
                <w:sz w:val="20"/>
                <w:szCs w:val="20"/>
              </w:rPr>
              <w:t xml:space="preserve"> </w:t>
            </w:r>
            <w:r w:rsidRPr="009A27ED">
              <w:rPr>
                <w:sz w:val="20"/>
                <w:szCs w:val="20"/>
              </w:rPr>
              <w:t>Como prerrequisito estas operaciones deben cumplir con la normativa vigente nacional sobre planes de manejo forestal y regulaciones catastrales.</w:t>
            </w:r>
          </w:p>
          <w:p w14:paraId="0F0B5034" w14:textId="4E19AD85" w:rsidR="00F43550" w:rsidRPr="009A27ED" w:rsidRDefault="00F43550" w:rsidP="00C4499A">
            <w:pPr>
              <w:spacing w:after="0"/>
              <w:rPr>
                <w:sz w:val="20"/>
                <w:szCs w:val="20"/>
              </w:rPr>
            </w:pPr>
            <w:r w:rsidRPr="009A27ED">
              <w:rPr>
                <w:sz w:val="20"/>
                <w:szCs w:val="20"/>
              </w:rPr>
              <w:t>1.2</w:t>
            </w:r>
            <w:r w:rsidR="008C6265" w:rsidRPr="009A27ED">
              <w:rPr>
                <w:sz w:val="20"/>
                <w:szCs w:val="20"/>
              </w:rPr>
              <w:t xml:space="preserve"> </w:t>
            </w:r>
            <w:r w:rsidRPr="009A27ED">
              <w:rPr>
                <w:sz w:val="20"/>
                <w:szCs w:val="20"/>
              </w:rPr>
              <w:t>Cumplir con los criterios y lineamientos de formulación y validación establecidos por la Guía Metodológica para la Elaboración y/o Actualización de Planes de Manejo de Áreas Protegidas de República Dominicana, promulgada en el año 2006.</w:t>
            </w:r>
          </w:p>
          <w:p w14:paraId="401085FA" w14:textId="4A229B03" w:rsidR="00F43550" w:rsidRPr="009A27ED" w:rsidRDefault="00F43550" w:rsidP="00C4499A">
            <w:pPr>
              <w:spacing w:after="0"/>
              <w:rPr>
                <w:sz w:val="20"/>
                <w:szCs w:val="20"/>
              </w:rPr>
            </w:pPr>
            <w:r w:rsidRPr="009A27ED">
              <w:rPr>
                <w:sz w:val="20"/>
                <w:szCs w:val="20"/>
              </w:rPr>
              <w:t xml:space="preserve">1.3 </w:t>
            </w:r>
            <w:r w:rsidR="008C6265" w:rsidRPr="009A27ED">
              <w:rPr>
                <w:sz w:val="20"/>
                <w:szCs w:val="20"/>
              </w:rPr>
              <w:t xml:space="preserve"> </w:t>
            </w:r>
            <w:r w:rsidRPr="009A27ED">
              <w:rPr>
                <w:sz w:val="20"/>
                <w:szCs w:val="20"/>
              </w:rPr>
              <w:t>Cumplir con los objetivos de conservación, manejo y usos permitidos en las categorías indicadas en los artículos 13 y 14 de la Ley 202-04, Sectorial de Áreas Protegidas.</w:t>
            </w:r>
          </w:p>
          <w:p w14:paraId="54F08C4E" w14:textId="77777777" w:rsidR="00F43550" w:rsidRPr="009A27ED" w:rsidRDefault="00F43550" w:rsidP="00C4499A">
            <w:pPr>
              <w:pStyle w:val="Ttulo4"/>
              <w:numPr>
                <w:ilvl w:val="0"/>
                <w:numId w:val="0"/>
              </w:numPr>
              <w:shd w:val="clear" w:color="auto" w:fill="FFFFFF"/>
              <w:spacing w:before="0"/>
              <w:textAlignment w:val="center"/>
              <w:rPr>
                <w:rFonts w:asciiTheme="minorHAnsi" w:hAnsiTheme="minorHAnsi" w:cstheme="minorHAnsi"/>
                <w:b/>
                <w:i w:val="0"/>
                <w:color w:val="000000" w:themeColor="text1"/>
                <w:sz w:val="20"/>
                <w:szCs w:val="20"/>
              </w:rPr>
            </w:pPr>
            <w:r w:rsidRPr="009A27ED">
              <w:rPr>
                <w:rFonts w:asciiTheme="minorHAnsi" w:hAnsiTheme="minorHAnsi" w:cstheme="minorHAnsi"/>
                <w:i w:val="0"/>
                <w:color w:val="000000" w:themeColor="text1"/>
                <w:sz w:val="20"/>
                <w:szCs w:val="20"/>
              </w:rPr>
              <w:t>1.4 Cumplir con los lineamientos de manejo responsable del fuego, establecidos en la Estrategia Nacional del Manejo del Fuego para la República Dominicana (2016-2025).</w:t>
            </w:r>
          </w:p>
          <w:p w14:paraId="2B4366ED" w14:textId="77777777" w:rsidR="00F43550" w:rsidRPr="009A27ED" w:rsidRDefault="00F43550" w:rsidP="00C4499A">
            <w:pPr>
              <w:pStyle w:val="Ttulo4"/>
              <w:numPr>
                <w:ilvl w:val="0"/>
                <w:numId w:val="0"/>
              </w:numPr>
              <w:shd w:val="clear" w:color="auto" w:fill="FFFFFF"/>
              <w:spacing w:before="0"/>
              <w:textAlignment w:val="center"/>
              <w:rPr>
                <w:rFonts w:asciiTheme="minorHAnsi" w:hAnsiTheme="minorHAnsi" w:cstheme="minorHAnsi"/>
                <w:b/>
                <w:i w:val="0"/>
                <w:color w:val="000000" w:themeColor="text1"/>
                <w:sz w:val="20"/>
                <w:szCs w:val="20"/>
              </w:rPr>
            </w:pPr>
            <w:r w:rsidRPr="009A27ED">
              <w:rPr>
                <w:rFonts w:asciiTheme="minorHAnsi" w:hAnsiTheme="minorHAnsi" w:cstheme="minorHAnsi"/>
                <w:i w:val="0"/>
                <w:color w:val="000000" w:themeColor="text1"/>
                <w:sz w:val="20"/>
                <w:szCs w:val="20"/>
              </w:rPr>
              <w:t>1.5 Cumplir con las disposiciones de la Resolución No. 0005-2017, que Establece los Parámetros para el Otorgamiento de Autorizaciones Ambientales para Infraestructuras en Zona de Montaña.</w:t>
            </w:r>
          </w:p>
          <w:p w14:paraId="53D05CBA" w14:textId="77777777" w:rsidR="00F43550" w:rsidRPr="009A27ED" w:rsidRDefault="00F43550" w:rsidP="00C4499A">
            <w:pPr>
              <w:pStyle w:val="Ttulo4"/>
              <w:numPr>
                <w:ilvl w:val="0"/>
                <w:numId w:val="0"/>
              </w:numPr>
              <w:shd w:val="clear" w:color="auto" w:fill="FFFFFF"/>
              <w:spacing w:before="0"/>
              <w:textAlignment w:val="center"/>
              <w:rPr>
                <w:rFonts w:asciiTheme="minorHAnsi" w:hAnsiTheme="minorHAnsi" w:cstheme="minorHAnsi"/>
                <w:b/>
                <w:i w:val="0"/>
                <w:color w:val="000000" w:themeColor="text1"/>
                <w:sz w:val="20"/>
                <w:szCs w:val="20"/>
              </w:rPr>
            </w:pPr>
            <w:r w:rsidRPr="009A27ED">
              <w:rPr>
                <w:rFonts w:asciiTheme="minorHAnsi" w:hAnsiTheme="minorHAnsi" w:cstheme="minorHAnsi"/>
                <w:i w:val="0"/>
                <w:color w:val="000000" w:themeColor="text1"/>
                <w:sz w:val="20"/>
                <w:szCs w:val="20"/>
              </w:rPr>
              <w:t>1.6 Cumplir con las disposiciones de la Resolución No. 0008/2018, que Dispone sobre los Objetivos de Manejo y Usos Permitidos de la Categoría IV: Área de Manejo de Hábitat/Especies</w:t>
            </w:r>
          </w:p>
          <w:p w14:paraId="7B82221C" w14:textId="5B7E464D" w:rsidR="00F43550" w:rsidRPr="009A27ED" w:rsidRDefault="00F43550" w:rsidP="00AD11B9">
            <w:pPr>
              <w:pStyle w:val="Ttulo4"/>
              <w:numPr>
                <w:ilvl w:val="0"/>
                <w:numId w:val="0"/>
              </w:numPr>
              <w:shd w:val="clear" w:color="auto" w:fill="FFFFFF"/>
              <w:spacing w:before="0"/>
              <w:jc w:val="left"/>
              <w:textAlignment w:val="center"/>
              <w:rPr>
                <w:rFonts w:asciiTheme="minorHAnsi" w:hAnsiTheme="minorHAnsi" w:cstheme="minorHAnsi"/>
                <w:b/>
                <w:i w:val="0"/>
                <w:color w:val="000000" w:themeColor="text1"/>
                <w:sz w:val="20"/>
                <w:szCs w:val="20"/>
              </w:rPr>
            </w:pPr>
            <w:r w:rsidRPr="009A27ED">
              <w:rPr>
                <w:rFonts w:asciiTheme="minorHAnsi" w:hAnsiTheme="minorHAnsi" w:cstheme="minorHAnsi"/>
                <w:i w:val="0"/>
                <w:color w:val="000000" w:themeColor="text1"/>
                <w:sz w:val="20"/>
                <w:szCs w:val="20"/>
              </w:rPr>
              <w:t>1.7</w:t>
            </w:r>
            <w:r w:rsidR="00AD11B9" w:rsidRPr="009A27ED">
              <w:rPr>
                <w:rFonts w:asciiTheme="minorHAnsi" w:hAnsiTheme="minorHAnsi" w:cstheme="minorHAnsi"/>
                <w:i w:val="0"/>
                <w:color w:val="000000" w:themeColor="text1"/>
                <w:sz w:val="20"/>
                <w:szCs w:val="20"/>
              </w:rPr>
              <w:t xml:space="preserve"> </w:t>
            </w:r>
            <w:r w:rsidRPr="009A27ED">
              <w:rPr>
                <w:rFonts w:asciiTheme="minorHAnsi" w:hAnsiTheme="minorHAnsi" w:cstheme="minorHAnsi"/>
                <w:i w:val="0"/>
                <w:color w:val="000000" w:themeColor="text1"/>
                <w:sz w:val="20"/>
                <w:szCs w:val="20"/>
              </w:rPr>
              <w:t>Cumplir con las disposiciones de la Resolución No. 0009/2018, que Dispone sobre los objetivos de manejo y usos permitidos de la Categoría VI: Paisajes Protegidos.</w:t>
            </w:r>
          </w:p>
          <w:p w14:paraId="4A638482" w14:textId="1A360A0F" w:rsidR="00F43550" w:rsidRPr="009A27ED" w:rsidRDefault="00F43550" w:rsidP="00C4499A">
            <w:pPr>
              <w:pStyle w:val="Ttulo4"/>
              <w:numPr>
                <w:ilvl w:val="0"/>
                <w:numId w:val="0"/>
              </w:numPr>
              <w:shd w:val="clear" w:color="auto" w:fill="FFFFFF"/>
              <w:spacing w:before="0"/>
              <w:textAlignment w:val="center"/>
              <w:rPr>
                <w:rFonts w:asciiTheme="minorHAnsi" w:hAnsiTheme="minorHAnsi" w:cstheme="minorHAnsi"/>
                <w:i w:val="0"/>
                <w:color w:val="000000" w:themeColor="text1"/>
                <w:sz w:val="20"/>
                <w:szCs w:val="20"/>
              </w:rPr>
            </w:pPr>
            <w:r w:rsidRPr="009A27ED">
              <w:rPr>
                <w:rFonts w:asciiTheme="minorHAnsi" w:hAnsiTheme="minorHAnsi" w:cstheme="minorHAnsi"/>
                <w:i w:val="0"/>
                <w:color w:val="000000" w:themeColor="text1"/>
                <w:sz w:val="20"/>
                <w:szCs w:val="20"/>
              </w:rPr>
              <w:t>1.8 Cumplir con las disposiciones de la Resolución No. 0010/2018, que Dispone la Normativa para el Manejo de las Zonas de Amortiguamiento de las Unidades de Conservación del Sistema Nacional de Áreas Protegidas (SINAP) de la República Dominicana.</w:t>
            </w:r>
          </w:p>
          <w:p w14:paraId="66DF3E46" w14:textId="25B7667B" w:rsidR="00F43550" w:rsidRPr="009A27ED" w:rsidRDefault="00220F46" w:rsidP="00C97A18">
            <w:pPr>
              <w:pStyle w:val="Ttulo4"/>
              <w:numPr>
                <w:ilvl w:val="0"/>
                <w:numId w:val="0"/>
              </w:numPr>
              <w:shd w:val="clear" w:color="auto" w:fill="FFFFFF"/>
              <w:spacing w:before="0"/>
              <w:ind w:firstLine="19"/>
              <w:textAlignment w:val="center"/>
              <w:rPr>
                <w:rFonts w:asciiTheme="minorHAnsi" w:hAnsiTheme="minorHAnsi" w:cstheme="minorHAnsi"/>
                <w:sz w:val="20"/>
                <w:szCs w:val="20"/>
              </w:rPr>
            </w:pPr>
            <w:r w:rsidRPr="009A27ED">
              <w:rPr>
                <w:rFonts w:asciiTheme="minorHAnsi" w:hAnsiTheme="minorHAnsi" w:cstheme="minorHAnsi"/>
                <w:i w:val="0"/>
                <w:color w:val="000000" w:themeColor="text1"/>
                <w:sz w:val="20"/>
                <w:szCs w:val="20"/>
              </w:rPr>
              <w:t>1.9. Cumplir con los dispuesto en las Normas de Procedimiento del Marco de Políticas de Reasentamiento Involuntario que hace parte del presenten MGAS.</w:t>
            </w:r>
          </w:p>
        </w:tc>
      </w:tr>
    </w:tbl>
    <w:p w14:paraId="6F06DB94" w14:textId="63F34E4B" w:rsidR="00947670" w:rsidRPr="009A27ED" w:rsidRDefault="00947670" w:rsidP="00A4612C">
      <w:pPr>
        <w:pStyle w:val="Ttulo2"/>
        <w:spacing w:line="360" w:lineRule="auto"/>
        <w:ind w:left="567"/>
        <w:jc w:val="both"/>
        <w:rPr>
          <w:sz w:val="24"/>
        </w:rPr>
      </w:pPr>
      <w:bookmarkStart w:id="119" w:name="_Toc529469988"/>
      <w:bookmarkStart w:id="120" w:name="_Toc532335851"/>
      <w:bookmarkStart w:id="121" w:name="_Toc111837930"/>
      <w:bookmarkEnd w:id="114"/>
      <w:r w:rsidRPr="009A27ED">
        <w:rPr>
          <w:rFonts w:ascii="Times New Roman" w:eastAsia="Times New Roman" w:hAnsi="Times New Roman"/>
          <w:sz w:val="24"/>
        </w:rPr>
        <w:t>Áreas geográficas priorizadas</w:t>
      </w:r>
      <w:bookmarkEnd w:id="119"/>
      <w:bookmarkEnd w:id="120"/>
      <w:r w:rsidR="0049512C" w:rsidRPr="009A27ED">
        <w:rPr>
          <w:rFonts w:ascii="Times New Roman" w:eastAsia="Times New Roman" w:hAnsi="Times New Roman"/>
          <w:sz w:val="24"/>
        </w:rPr>
        <w:t xml:space="preserve"> REDD+</w:t>
      </w:r>
      <w:bookmarkEnd w:id="121"/>
    </w:p>
    <w:p w14:paraId="6E999DC1" w14:textId="3FB131F1" w:rsidR="00D4535A" w:rsidRPr="009A27ED" w:rsidRDefault="00D4535A" w:rsidP="008B5FBA">
      <w:pPr>
        <w:spacing w:line="360" w:lineRule="auto"/>
        <w:rPr>
          <w:szCs w:val="22"/>
        </w:rPr>
      </w:pPr>
      <w:r w:rsidRPr="009A27ED">
        <w:rPr>
          <w:rFonts w:ascii="Times New Roman" w:eastAsia="Times New Roman" w:hAnsi="Times New Roman"/>
          <w:sz w:val="24"/>
          <w:szCs w:val="22"/>
        </w:rPr>
        <w:t xml:space="preserve">Para el </w:t>
      </w:r>
      <w:r w:rsidR="00124B63" w:rsidRPr="009A27ED">
        <w:rPr>
          <w:rFonts w:ascii="Times New Roman" w:eastAsia="Times New Roman" w:hAnsi="Times New Roman"/>
          <w:sz w:val="24"/>
          <w:szCs w:val="22"/>
        </w:rPr>
        <w:t>Programa REDD+</w:t>
      </w:r>
      <w:r w:rsidR="00434410" w:rsidRPr="009A27ED">
        <w:rPr>
          <w:rFonts w:ascii="Times New Roman" w:eastAsia="Times New Roman" w:hAnsi="Times New Roman"/>
          <w:sz w:val="24"/>
          <w:szCs w:val="22"/>
        </w:rPr>
        <w:t xml:space="preserve"> la</w:t>
      </w:r>
      <w:r w:rsidRPr="009A27ED">
        <w:rPr>
          <w:rFonts w:ascii="Times New Roman" w:eastAsia="Times New Roman" w:hAnsi="Times New Roman"/>
          <w:sz w:val="24"/>
          <w:szCs w:val="22"/>
        </w:rPr>
        <w:t xml:space="preserve"> contabilidad de carbono será a nivel nacional y por tanto sus acciones tendrán incidencia en todo el territorio del país.  No obstante, se priorizaron </w:t>
      </w:r>
      <w:r w:rsidRPr="009A27ED">
        <w:rPr>
          <w:rFonts w:ascii="Times New Roman" w:eastAsia="Times New Roman" w:hAnsi="Times New Roman"/>
          <w:i/>
          <w:sz w:val="24"/>
          <w:szCs w:val="22"/>
        </w:rPr>
        <w:t>5 Áreas Geográficas de Intervención</w:t>
      </w:r>
      <w:r w:rsidRPr="009A27ED">
        <w:rPr>
          <w:rFonts w:ascii="Times New Roman" w:eastAsia="Times New Roman" w:hAnsi="Times New Roman"/>
          <w:sz w:val="24"/>
          <w:szCs w:val="22"/>
        </w:rPr>
        <w:t xml:space="preserve"> (ver </w:t>
      </w:r>
      <w:r w:rsidR="00F25ED3" w:rsidRPr="009A27ED">
        <w:rPr>
          <w:rFonts w:ascii="Times New Roman" w:eastAsia="Times New Roman" w:hAnsi="Times New Roman"/>
          <w:sz w:val="24"/>
          <w:szCs w:val="22"/>
        </w:rPr>
        <w:t>M</w:t>
      </w:r>
      <w:r w:rsidRPr="009A27ED">
        <w:rPr>
          <w:rFonts w:ascii="Times New Roman" w:eastAsia="Times New Roman" w:hAnsi="Times New Roman"/>
          <w:sz w:val="24"/>
          <w:szCs w:val="22"/>
        </w:rPr>
        <w:t xml:space="preserve">apa </w:t>
      </w:r>
      <w:r w:rsidR="00F25ED3" w:rsidRPr="009A27ED">
        <w:rPr>
          <w:rFonts w:ascii="Times New Roman" w:eastAsia="Times New Roman" w:hAnsi="Times New Roman"/>
          <w:sz w:val="24"/>
          <w:szCs w:val="22"/>
        </w:rPr>
        <w:t>1</w:t>
      </w:r>
      <w:r w:rsidRPr="009A27ED">
        <w:rPr>
          <w:rFonts w:ascii="Times New Roman" w:eastAsia="Times New Roman" w:hAnsi="Times New Roman"/>
          <w:sz w:val="24"/>
          <w:szCs w:val="22"/>
        </w:rPr>
        <w:t xml:space="preserve">). Es decir, no todas las acciones estratégicas tienen que ser llevadas a cabo por igual en cada una de las 5 Áreas Geográficas Prioritarias, sino </w:t>
      </w:r>
      <w:r w:rsidRPr="009A27ED">
        <w:rPr>
          <w:rFonts w:ascii="Times New Roman" w:eastAsia="Times New Roman" w:hAnsi="Times New Roman"/>
          <w:sz w:val="24"/>
          <w:szCs w:val="22"/>
        </w:rPr>
        <w:lastRenderedPageBreak/>
        <w:t xml:space="preserve">que, dependiendo de sus características y potencialidades, el tipo de acción podrá variar según sea: a) la presencia o no de los programas y proyectos sobre los cuales se implementará REDD+, b) la pertinencia y potencial de éxito de la acción, atendiendo a las fortalezas de actores clave. La evaluación y seguimiento de las acciones, no únicamente en las  </w:t>
      </w:r>
      <w:r w:rsidRPr="009A27ED">
        <w:rPr>
          <w:rFonts w:ascii="Times New Roman" w:eastAsia="Times New Roman" w:hAnsi="Times New Roman"/>
          <w:i/>
          <w:sz w:val="24"/>
          <w:szCs w:val="22"/>
        </w:rPr>
        <w:t>5 Áreas Geográficas Prior</w:t>
      </w:r>
      <w:r w:rsidR="00CA14C8" w:rsidRPr="009A27ED">
        <w:rPr>
          <w:rFonts w:ascii="Times New Roman" w:eastAsia="Times New Roman" w:hAnsi="Times New Roman"/>
          <w:i/>
          <w:sz w:val="24"/>
          <w:szCs w:val="22"/>
        </w:rPr>
        <w:t>izadas</w:t>
      </w:r>
      <w:r w:rsidRPr="009A27ED">
        <w:rPr>
          <w:rFonts w:ascii="Times New Roman" w:eastAsia="Times New Roman" w:hAnsi="Times New Roman"/>
          <w:i/>
          <w:sz w:val="24"/>
          <w:szCs w:val="22"/>
        </w:rPr>
        <w:t>,</w:t>
      </w:r>
      <w:r w:rsidRPr="009A27ED">
        <w:rPr>
          <w:rFonts w:ascii="Times New Roman" w:eastAsia="Times New Roman" w:hAnsi="Times New Roman"/>
          <w:sz w:val="24"/>
          <w:szCs w:val="22"/>
        </w:rPr>
        <w:t xml:space="preserve"> estará a cargo tanto de las Entidades Ejecutoras, como de la Oficina de Coordinación para la implementación de REDD+.</w:t>
      </w:r>
    </w:p>
    <w:p w14:paraId="542563D6" w14:textId="7AC959A3" w:rsidR="00085F37" w:rsidRPr="009A27ED" w:rsidRDefault="00085F37" w:rsidP="00C4499A">
      <w:pPr>
        <w:spacing w:line="360" w:lineRule="auto"/>
        <w:rPr>
          <w:rFonts w:ascii="Calibri" w:eastAsia="Times New Roman" w:hAnsi="Calibri" w:cs="Calibri"/>
        </w:rPr>
      </w:pPr>
      <w:r w:rsidRPr="009A27ED">
        <w:rPr>
          <w:rFonts w:ascii="Times New Roman" w:eastAsia="Times New Roman" w:hAnsi="Times New Roman" w:cs="Calibri"/>
          <w:sz w:val="24"/>
          <w:szCs w:val="22"/>
        </w:rPr>
        <w:t>Dada la extensión territorial del país, así como las pocas diferencias de las condiciones ambientales y sociales y los rasgos culturales a nivel nacional, no existe una variedad muy marcada entre las características de las 5 Áreas Geográficas Priori</w:t>
      </w:r>
      <w:r w:rsidR="00CA14C8" w:rsidRPr="009A27ED">
        <w:rPr>
          <w:rFonts w:ascii="Times New Roman" w:eastAsia="Times New Roman" w:hAnsi="Times New Roman" w:cs="Calibri"/>
          <w:sz w:val="24"/>
          <w:szCs w:val="22"/>
        </w:rPr>
        <w:t>zadas</w:t>
      </w:r>
      <w:r w:rsidRPr="009A27ED">
        <w:rPr>
          <w:rFonts w:ascii="Times New Roman" w:eastAsia="Times New Roman" w:hAnsi="Times New Roman" w:cs="Calibri"/>
          <w:sz w:val="24"/>
          <w:szCs w:val="22"/>
        </w:rPr>
        <w:t>. Esto hace que los impactos y las medidas de mitigación de las acciones REDD+ no difieran grandemente de un área priori</w:t>
      </w:r>
      <w:r w:rsidR="00CA14C8" w:rsidRPr="009A27ED">
        <w:rPr>
          <w:rFonts w:ascii="Times New Roman" w:eastAsia="Times New Roman" w:hAnsi="Times New Roman" w:cs="Calibri"/>
          <w:sz w:val="24"/>
          <w:szCs w:val="22"/>
        </w:rPr>
        <w:t>zada</w:t>
      </w:r>
      <w:r w:rsidRPr="009A27ED">
        <w:rPr>
          <w:rFonts w:ascii="Times New Roman" w:eastAsia="Times New Roman" w:hAnsi="Times New Roman" w:cs="Calibri"/>
          <w:sz w:val="24"/>
          <w:szCs w:val="22"/>
        </w:rPr>
        <w:t xml:space="preserve"> a otra. No obstante, ligeras diferencias al respecto pueden presentarse en función de si la ganadería, la reforestación, el manejo forestal sostenible y los sistemas agroforestales se llevan a cabo en zonas secas, zonas húmedas, zonas altas o zonas bajas.</w:t>
      </w:r>
    </w:p>
    <w:p w14:paraId="3DC8563B" w14:textId="77777777" w:rsidR="000C5B5B" w:rsidRPr="009A27ED" w:rsidRDefault="00947670">
      <w:pPr>
        <w:spacing w:line="360" w:lineRule="auto"/>
        <w:rPr>
          <w:szCs w:val="22"/>
        </w:rPr>
      </w:pPr>
      <w:r w:rsidRPr="009A27ED">
        <w:rPr>
          <w:rFonts w:ascii="Times New Roman" w:eastAsia="Times New Roman" w:hAnsi="Times New Roman"/>
          <w:sz w:val="24"/>
          <w:szCs w:val="22"/>
        </w:rPr>
        <w:t>La Estrategia REDD+ tendrá una implementación de alcance nacional, pero focalizará los esfuerzos en las zonas de mayor potencial de aportes en la mitigación de CO</w:t>
      </w:r>
      <w:r w:rsidRPr="009A27ED">
        <w:rPr>
          <w:rFonts w:ascii="Times New Roman" w:eastAsia="Times New Roman" w:hAnsi="Times New Roman"/>
          <w:sz w:val="24"/>
          <w:szCs w:val="22"/>
          <w:vertAlign w:val="subscript"/>
        </w:rPr>
        <w:t>2</w:t>
      </w:r>
      <w:r w:rsidRPr="009A27ED">
        <w:rPr>
          <w:rFonts w:ascii="Times New Roman" w:eastAsia="Times New Roman" w:hAnsi="Times New Roman"/>
          <w:sz w:val="24"/>
          <w:szCs w:val="22"/>
        </w:rPr>
        <w:t xml:space="preserve"> y que presenten condiciones sociales y ambientales oportunas para la reducción de emisiones, así como para el desarrollo de los </w:t>
      </w:r>
      <w:proofErr w:type="spellStart"/>
      <w:r w:rsidRPr="009A27ED">
        <w:rPr>
          <w:rFonts w:ascii="Times New Roman" w:eastAsia="Times New Roman" w:hAnsi="Times New Roman"/>
          <w:sz w:val="24"/>
          <w:szCs w:val="22"/>
        </w:rPr>
        <w:t>co-beneficios</w:t>
      </w:r>
      <w:proofErr w:type="spellEnd"/>
      <w:r w:rsidRPr="009A27ED">
        <w:rPr>
          <w:rFonts w:ascii="Times New Roman" w:eastAsia="Times New Roman" w:hAnsi="Times New Roman"/>
          <w:sz w:val="24"/>
          <w:szCs w:val="22"/>
        </w:rPr>
        <w:t xml:space="preserve"> sociales y ambientales. </w:t>
      </w:r>
    </w:p>
    <w:p w14:paraId="7522A3A4" w14:textId="52486144" w:rsidR="00947670" w:rsidRPr="009A27ED" w:rsidRDefault="00947670" w:rsidP="00C4499A">
      <w:pPr>
        <w:spacing w:line="360" w:lineRule="auto"/>
        <w:rPr>
          <w:szCs w:val="22"/>
        </w:rPr>
      </w:pPr>
      <w:r w:rsidRPr="009A27ED">
        <w:rPr>
          <w:rFonts w:ascii="Times New Roman" w:eastAsia="Times New Roman" w:hAnsi="Times New Roman"/>
          <w:sz w:val="24"/>
          <w:szCs w:val="22"/>
        </w:rPr>
        <w:t>Se priorizaron 5 áreas geográficas definidas a partir de la división de planificación de la República Dominicana, donde se han analizado las características biofísicas y socioeconómicas para su priorización, también se ha realizado un análisis de las áreas protegidas y varios programas y proyectos exitosos o, con un alto potencial para el logro de los objetivos de REDD+, con la finalidad de replicarlos o ampliar su alcance.</w:t>
      </w:r>
    </w:p>
    <w:p w14:paraId="4CECB38D" w14:textId="64B33F14" w:rsidR="00947670" w:rsidRPr="009A27ED" w:rsidRDefault="00947670" w:rsidP="005B6485">
      <w:pPr>
        <w:spacing w:before="120" w:after="0" w:line="360" w:lineRule="auto"/>
        <w:rPr>
          <w:szCs w:val="22"/>
        </w:rPr>
      </w:pPr>
      <w:r w:rsidRPr="009A27ED">
        <w:rPr>
          <w:rFonts w:ascii="Times New Roman" w:eastAsia="Times New Roman" w:hAnsi="Times New Roman"/>
          <w:sz w:val="24"/>
          <w:szCs w:val="22"/>
        </w:rPr>
        <w:t>Los criterios utilizados en la priorización de las 5 áreas geográficas (</w:t>
      </w:r>
      <w:r w:rsidR="0025073C" w:rsidRPr="009A27ED">
        <w:rPr>
          <w:rFonts w:ascii="Times New Roman" w:eastAsia="Times New Roman" w:hAnsi="Times New Roman"/>
          <w:sz w:val="24"/>
          <w:szCs w:val="22"/>
        </w:rPr>
        <w:t>Mapa 1</w:t>
      </w:r>
      <w:r w:rsidRPr="009A27ED">
        <w:rPr>
          <w:rFonts w:ascii="Times New Roman" w:eastAsia="Times New Roman" w:hAnsi="Times New Roman"/>
          <w:sz w:val="24"/>
          <w:szCs w:val="22"/>
        </w:rPr>
        <w:t>), fueron los siguientes:</w:t>
      </w:r>
    </w:p>
    <w:p w14:paraId="2FB1147F" w14:textId="77777777" w:rsidR="00947670" w:rsidRPr="009A27ED" w:rsidRDefault="00947670" w:rsidP="00D42802">
      <w:pPr>
        <w:pStyle w:val="Apunteoticket"/>
        <w:numPr>
          <w:ilvl w:val="0"/>
          <w:numId w:val="47"/>
        </w:numPr>
        <w:spacing w:line="360" w:lineRule="auto"/>
        <w:ind w:left="461"/>
        <w:rPr>
          <w:szCs w:val="22"/>
        </w:rPr>
      </w:pPr>
      <w:r w:rsidRPr="009A27ED">
        <w:rPr>
          <w:rFonts w:ascii="Times New Roman" w:eastAsia="Times New Roman" w:hAnsi="Times New Roman"/>
          <w:sz w:val="24"/>
          <w:szCs w:val="22"/>
        </w:rPr>
        <w:t>Áreas que evidencien alta deforestación, degradación de los bosques y/o pérdida de suelos.</w:t>
      </w:r>
    </w:p>
    <w:p w14:paraId="376C11AC" w14:textId="77777777" w:rsidR="00947670" w:rsidRPr="009A27ED" w:rsidRDefault="00947670" w:rsidP="00D42802">
      <w:pPr>
        <w:pStyle w:val="Apunteoticket"/>
        <w:numPr>
          <w:ilvl w:val="0"/>
          <w:numId w:val="47"/>
        </w:numPr>
        <w:spacing w:line="360" w:lineRule="auto"/>
        <w:ind w:left="461"/>
        <w:rPr>
          <w:szCs w:val="22"/>
        </w:rPr>
      </w:pPr>
      <w:r w:rsidRPr="009A27ED">
        <w:rPr>
          <w:rFonts w:ascii="Times New Roman" w:eastAsia="Times New Roman" w:hAnsi="Times New Roman"/>
          <w:sz w:val="24"/>
          <w:szCs w:val="22"/>
        </w:rPr>
        <w:t xml:space="preserve">Cuencas hidrográficas de importancia estratégica en términos de: i) áreas protegidas/biodiversidad, </w:t>
      </w:r>
      <w:proofErr w:type="spellStart"/>
      <w:r w:rsidRPr="009A27ED">
        <w:rPr>
          <w:rFonts w:ascii="Times New Roman" w:eastAsia="Times New Roman" w:hAnsi="Times New Roman"/>
          <w:sz w:val="24"/>
          <w:szCs w:val="22"/>
        </w:rPr>
        <w:t>ii</w:t>
      </w:r>
      <w:proofErr w:type="spellEnd"/>
      <w:r w:rsidRPr="009A27ED">
        <w:rPr>
          <w:rFonts w:ascii="Times New Roman" w:eastAsia="Times New Roman" w:hAnsi="Times New Roman"/>
          <w:sz w:val="24"/>
          <w:szCs w:val="22"/>
        </w:rPr>
        <w:t>) provisión de agua y/o con infraestructuras tales como presas, hidroeléctricas, acueductos, canales para riego.</w:t>
      </w:r>
    </w:p>
    <w:p w14:paraId="47EEBC8A" w14:textId="77777777" w:rsidR="00947670" w:rsidRPr="009A27ED" w:rsidRDefault="00947670" w:rsidP="00D42802">
      <w:pPr>
        <w:pStyle w:val="Apunteoticket"/>
        <w:numPr>
          <w:ilvl w:val="0"/>
          <w:numId w:val="47"/>
        </w:numPr>
        <w:spacing w:line="360" w:lineRule="auto"/>
        <w:ind w:left="461"/>
        <w:rPr>
          <w:szCs w:val="22"/>
        </w:rPr>
      </w:pPr>
      <w:r w:rsidRPr="009A27ED">
        <w:rPr>
          <w:rFonts w:ascii="Times New Roman" w:eastAsia="Times New Roman" w:hAnsi="Times New Roman"/>
          <w:sz w:val="24"/>
          <w:szCs w:val="22"/>
        </w:rPr>
        <w:t>Población humana beneficiada por los servicios ecosistémicos de las referidas cuencas.</w:t>
      </w:r>
    </w:p>
    <w:p w14:paraId="2CC3D7CB" w14:textId="77777777" w:rsidR="00947670" w:rsidRPr="009A27ED" w:rsidRDefault="00947670" w:rsidP="00D42802">
      <w:pPr>
        <w:pStyle w:val="Apunteoticket"/>
        <w:numPr>
          <w:ilvl w:val="0"/>
          <w:numId w:val="47"/>
        </w:numPr>
        <w:spacing w:line="360" w:lineRule="auto"/>
        <w:ind w:left="461"/>
        <w:rPr>
          <w:szCs w:val="22"/>
        </w:rPr>
      </w:pPr>
      <w:r w:rsidRPr="009A27ED">
        <w:rPr>
          <w:rFonts w:ascii="Times New Roman" w:eastAsia="Times New Roman" w:hAnsi="Times New Roman"/>
          <w:sz w:val="24"/>
          <w:szCs w:val="22"/>
        </w:rPr>
        <w:lastRenderedPageBreak/>
        <w:t xml:space="preserve">Zonas con alto potencial para éxito en acciones REDD+: i) presencia de actores claves institucionales, </w:t>
      </w:r>
      <w:proofErr w:type="spellStart"/>
      <w:r w:rsidRPr="009A27ED">
        <w:rPr>
          <w:rFonts w:ascii="Times New Roman" w:eastAsia="Times New Roman" w:hAnsi="Times New Roman"/>
          <w:sz w:val="24"/>
          <w:szCs w:val="22"/>
        </w:rPr>
        <w:t>ii</w:t>
      </w:r>
      <w:proofErr w:type="spellEnd"/>
      <w:r w:rsidRPr="009A27ED">
        <w:rPr>
          <w:rFonts w:ascii="Times New Roman" w:eastAsia="Times New Roman" w:hAnsi="Times New Roman"/>
          <w:sz w:val="24"/>
          <w:szCs w:val="22"/>
        </w:rPr>
        <w:t>) lugares con experiencias exitosas de programas y proyectos sobre desarrollo humano/rural, medio ambiente y recursos naturales).</w:t>
      </w:r>
    </w:p>
    <w:p w14:paraId="70A6E9E0" w14:textId="77777777" w:rsidR="0078443F" w:rsidRPr="009A27ED" w:rsidRDefault="00947670" w:rsidP="0078443F">
      <w:pPr>
        <w:keepNext/>
        <w:spacing w:after="0" w:line="360" w:lineRule="auto"/>
      </w:pPr>
      <w:r w:rsidRPr="009A27ED">
        <w:rPr>
          <w:rFonts w:ascii="Times New Roman" w:eastAsia="Times New Roman" w:hAnsi="Times New Roman"/>
          <w:noProof/>
          <w:sz w:val="24"/>
          <w:szCs w:val="22"/>
          <w:lang w:val="en-US"/>
        </w:rPr>
        <w:drawing>
          <wp:inline distT="0" distB="0" distL="0" distR="0" wp14:anchorId="4CA34540" wp14:editId="4E85F456">
            <wp:extent cx="4530055" cy="3500630"/>
            <wp:effectExtent l="0" t="0" r="4445" b="5080"/>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pa Areas Geograficas Prioritaria.jpg"/>
                    <pic:cNvPicPr/>
                  </pic:nvPicPr>
                  <pic:blipFill>
                    <a:blip r:embed="rId29">
                      <a:extLst>
                        <a:ext uri="{28A0092B-C50C-407E-A947-70E740481C1C}">
                          <a14:useLocalDpi xmlns:a14="http://schemas.microsoft.com/office/drawing/2010/main" val="0"/>
                        </a:ext>
                      </a:extLst>
                    </a:blip>
                    <a:stretch>
                      <a:fillRect/>
                    </a:stretch>
                  </pic:blipFill>
                  <pic:spPr>
                    <a:xfrm>
                      <a:off x="0" y="0"/>
                      <a:ext cx="4539000" cy="3507542"/>
                    </a:xfrm>
                    <a:prstGeom prst="rect">
                      <a:avLst/>
                    </a:prstGeom>
                  </pic:spPr>
                </pic:pic>
              </a:graphicData>
            </a:graphic>
          </wp:inline>
        </w:drawing>
      </w:r>
    </w:p>
    <w:p w14:paraId="3A26D21B" w14:textId="3E816248" w:rsidR="00E84BF9" w:rsidRPr="009A27ED" w:rsidRDefault="0078443F" w:rsidP="0078443F">
      <w:pPr>
        <w:pStyle w:val="Descripcin"/>
        <w:spacing w:line="360" w:lineRule="auto"/>
      </w:pPr>
      <w:bookmarkStart w:id="122" w:name="_Toc111890679"/>
      <w:r w:rsidRPr="009A27ED">
        <w:rPr>
          <w:rFonts w:ascii="Times New Roman" w:eastAsia="Times New Roman" w:hAnsi="Times New Roman"/>
          <w:sz w:val="24"/>
        </w:rPr>
        <w:t xml:space="preserve">Mapa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Mapa \* ARABIC </w:instrText>
      </w:r>
      <w:r w:rsidRPr="009A27ED">
        <w:rPr>
          <w:rFonts w:ascii="Times New Roman" w:eastAsia="Times New Roman" w:hAnsi="Times New Roman"/>
          <w:sz w:val="24"/>
        </w:rPr>
        <w:fldChar w:fldCharType="separate"/>
      </w:r>
      <w:r w:rsidR="00363CF6" w:rsidRPr="009A27ED">
        <w:rPr>
          <w:rFonts w:ascii="Times New Roman" w:eastAsia="Times New Roman" w:hAnsi="Times New Roman"/>
          <w:noProof/>
          <w:sz w:val="24"/>
        </w:rPr>
        <w:t>1</w:t>
      </w:r>
      <w:r w:rsidRPr="009A27ED">
        <w:rPr>
          <w:rFonts w:ascii="Times New Roman" w:eastAsia="Times New Roman" w:hAnsi="Times New Roman"/>
          <w:sz w:val="24"/>
        </w:rPr>
        <w:fldChar w:fldCharType="end"/>
      </w:r>
      <w:r w:rsidRPr="009A27ED">
        <w:rPr>
          <w:rFonts w:ascii="Times New Roman" w:eastAsia="Times New Roman" w:hAnsi="Times New Roman"/>
          <w:sz w:val="24"/>
        </w:rPr>
        <w:t>. Mapa de las Áreas Geográficas Priorizadas.</w:t>
      </w:r>
      <w:bookmarkEnd w:id="122"/>
    </w:p>
    <w:p w14:paraId="0A27FC53" w14:textId="77777777" w:rsidR="00363CF6" w:rsidRPr="009A27ED" w:rsidRDefault="00363CF6" w:rsidP="0078443F">
      <w:pPr>
        <w:pStyle w:val="Descripcin"/>
        <w:spacing w:line="360" w:lineRule="auto"/>
      </w:pPr>
      <w:bookmarkStart w:id="123" w:name="_Toc111889451"/>
    </w:p>
    <w:p w14:paraId="1E380A53" w14:textId="317900FF" w:rsidR="00F25ED3" w:rsidRPr="009A27ED" w:rsidRDefault="00E84BF9" w:rsidP="0078443F">
      <w:pPr>
        <w:pStyle w:val="Descripcin"/>
        <w:spacing w:line="360" w:lineRule="auto"/>
        <w:rPr>
          <w:color w:val="000000" w:themeColor="text1"/>
          <w:szCs w:val="22"/>
        </w:rPr>
      </w:pPr>
      <w:r w:rsidRPr="009A27ED">
        <w:rPr>
          <w:rFonts w:ascii="Times New Roman" w:eastAsia="Times New Roman" w:hAnsi="Times New Roman"/>
          <w:sz w:val="24"/>
        </w:rPr>
        <w:t xml:space="preserve"> </w:t>
      </w:r>
      <w:bookmarkEnd w:id="123"/>
      <w:r w:rsidR="00947670" w:rsidRPr="009A27ED">
        <w:rPr>
          <w:rFonts w:ascii="Times New Roman" w:eastAsia="Times New Roman" w:hAnsi="Times New Roman"/>
          <w:color w:val="000000" w:themeColor="text1"/>
          <w:sz w:val="24"/>
          <w:szCs w:val="22"/>
        </w:rPr>
        <w:t xml:space="preserve">Los municipios que abarcan las áreas geográficas priorizadas se presentan en </w:t>
      </w:r>
      <w:r w:rsidR="0025073C" w:rsidRPr="009A27ED">
        <w:rPr>
          <w:rFonts w:ascii="Times New Roman" w:eastAsia="Times New Roman" w:hAnsi="Times New Roman"/>
          <w:color w:val="000000" w:themeColor="text1"/>
          <w:sz w:val="24"/>
          <w:szCs w:val="22"/>
        </w:rPr>
        <w:t>el Cuadro No.</w:t>
      </w:r>
      <w:r w:rsidR="00F25ED3" w:rsidRPr="009A27ED">
        <w:rPr>
          <w:rFonts w:ascii="Times New Roman" w:eastAsia="Times New Roman" w:hAnsi="Times New Roman"/>
          <w:color w:val="000000" w:themeColor="text1"/>
          <w:sz w:val="24"/>
          <w:szCs w:val="22"/>
        </w:rPr>
        <w:t>8</w:t>
      </w:r>
      <w:r w:rsidR="000C5B5B" w:rsidRPr="009A27ED">
        <w:rPr>
          <w:rFonts w:ascii="Times New Roman" w:eastAsia="Times New Roman" w:hAnsi="Times New Roman"/>
          <w:color w:val="000000" w:themeColor="text1"/>
          <w:sz w:val="24"/>
          <w:szCs w:val="22"/>
        </w:rPr>
        <w:t xml:space="preserve"> </w:t>
      </w:r>
      <w:r w:rsidR="00947670" w:rsidRPr="009A27ED">
        <w:rPr>
          <w:rFonts w:ascii="Times New Roman" w:eastAsia="Times New Roman" w:hAnsi="Times New Roman"/>
          <w:color w:val="000000" w:themeColor="text1"/>
          <w:sz w:val="24"/>
          <w:szCs w:val="22"/>
        </w:rPr>
        <w:t xml:space="preserve">a continuación. </w:t>
      </w:r>
      <w:r w:rsidR="00F31BD4" w:rsidRPr="009A27ED">
        <w:rPr>
          <w:rFonts w:ascii="Times New Roman" w:eastAsia="Times New Roman" w:hAnsi="Times New Roman"/>
          <w:color w:val="000000" w:themeColor="text1"/>
          <w:sz w:val="24"/>
          <w:szCs w:val="22"/>
        </w:rPr>
        <w:t xml:space="preserve"> </w:t>
      </w:r>
      <w:bookmarkStart w:id="124" w:name="_Toc14028"/>
    </w:p>
    <w:p w14:paraId="7F59C998" w14:textId="77777777" w:rsidR="000436E8" w:rsidRPr="009A27ED" w:rsidRDefault="000436E8" w:rsidP="00303144">
      <w:pPr>
        <w:spacing w:before="120" w:after="0" w:line="360" w:lineRule="auto"/>
        <w:rPr>
          <w:color w:val="000000" w:themeColor="text1"/>
          <w:szCs w:val="22"/>
        </w:rPr>
      </w:pPr>
    </w:p>
    <w:p w14:paraId="11C9A3BB" w14:textId="01A6DAAB" w:rsidR="004E6BAE" w:rsidRPr="009A27ED" w:rsidRDefault="004E6BAE" w:rsidP="004E6BAE">
      <w:pPr>
        <w:pStyle w:val="Descripcin"/>
        <w:spacing w:line="360" w:lineRule="auto"/>
        <w:rPr>
          <w:color w:val="000000" w:themeColor="text1"/>
          <w:sz w:val="20"/>
        </w:rPr>
      </w:pPr>
      <w:bookmarkStart w:id="125" w:name="_Toc111887418"/>
      <w:bookmarkEnd w:id="124"/>
      <w:r w:rsidRPr="009A27ED">
        <w:rPr>
          <w:rFonts w:ascii="Times New Roman" w:eastAsia="Times New Roman" w:hAnsi="Times New Roman"/>
          <w:sz w:val="24"/>
        </w:rPr>
        <w:t xml:space="preserve">Cuadro </w:t>
      </w:r>
      <w:r w:rsidR="00F43DB6" w:rsidRPr="009A27ED">
        <w:rPr>
          <w:rFonts w:ascii="Times New Roman" w:eastAsia="Times New Roman" w:hAnsi="Times New Roman"/>
          <w:sz w:val="24"/>
        </w:rPr>
        <w:fldChar w:fldCharType="begin"/>
      </w:r>
      <w:r w:rsidR="00F43DB6" w:rsidRPr="009A27ED">
        <w:rPr>
          <w:rFonts w:ascii="Times New Roman" w:eastAsia="Times New Roman" w:hAnsi="Times New Roman"/>
          <w:sz w:val="24"/>
        </w:rPr>
        <w:instrText xml:space="preserve"> SEQ Cuadro \* ARABIC </w:instrText>
      </w:r>
      <w:r w:rsidR="00F43DB6"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8</w:t>
      </w:r>
      <w:r w:rsidR="00F43DB6" w:rsidRPr="009A27ED">
        <w:rPr>
          <w:rFonts w:ascii="Times New Roman" w:eastAsia="Times New Roman" w:hAnsi="Times New Roman"/>
          <w:sz w:val="24"/>
        </w:rPr>
        <w:fldChar w:fldCharType="end"/>
      </w:r>
      <w:r w:rsidRPr="009A27ED">
        <w:rPr>
          <w:rFonts w:ascii="Times New Roman" w:eastAsia="Times New Roman" w:hAnsi="Times New Roman"/>
          <w:sz w:val="24"/>
        </w:rPr>
        <w:t xml:space="preserve">.  </w:t>
      </w:r>
      <w:r w:rsidRPr="009A27ED">
        <w:rPr>
          <w:rFonts w:ascii="Times New Roman" w:eastAsia="Times New Roman" w:hAnsi="Times New Roman"/>
          <w:color w:val="000000" w:themeColor="text1"/>
          <w:sz w:val="24"/>
        </w:rPr>
        <w:t>. Áreas geográficas priorizadas con sus municipios para implementar las acciones estratégicas REDD+</w:t>
      </w:r>
      <w:bookmarkEnd w:id="125"/>
    </w:p>
    <w:tbl>
      <w:tblPr>
        <w:tblStyle w:val="Tablaconcuadrcula"/>
        <w:tblW w:w="0" w:type="auto"/>
        <w:tblLook w:val="04A0" w:firstRow="1" w:lastRow="0" w:firstColumn="1" w:lastColumn="0" w:noHBand="0" w:noVBand="1"/>
      </w:tblPr>
      <w:tblGrid>
        <w:gridCol w:w="1674"/>
        <w:gridCol w:w="7154"/>
      </w:tblGrid>
      <w:tr w:rsidR="00D4690F" w:rsidRPr="009A27ED" w14:paraId="61485F9E" w14:textId="77777777" w:rsidTr="004E6BAE">
        <w:tc>
          <w:tcPr>
            <w:tcW w:w="1674" w:type="dxa"/>
            <w:tcBorders>
              <w:top w:val="single" w:sz="4" w:space="0" w:color="auto"/>
              <w:left w:val="single" w:sz="4" w:space="0" w:color="auto"/>
              <w:bottom w:val="single" w:sz="4" w:space="0" w:color="auto"/>
              <w:right w:val="single" w:sz="4" w:space="0" w:color="auto"/>
            </w:tcBorders>
            <w:shd w:val="clear" w:color="auto" w:fill="0070C0"/>
            <w:hideMark/>
          </w:tcPr>
          <w:p w14:paraId="045036E6" w14:textId="77777777" w:rsidR="0079363A" w:rsidRPr="009A27ED" w:rsidRDefault="0079363A" w:rsidP="00F31BD4">
            <w:pPr>
              <w:spacing w:after="0"/>
              <w:jc w:val="center"/>
              <w:rPr>
                <w:b/>
                <w:color w:val="FFFFFF" w:themeColor="background1"/>
                <w:sz w:val="20"/>
                <w:szCs w:val="20"/>
              </w:rPr>
            </w:pPr>
            <w:r w:rsidRPr="009A27ED">
              <w:rPr>
                <w:b/>
                <w:color w:val="FFFFFF" w:themeColor="background1"/>
                <w:sz w:val="20"/>
                <w:szCs w:val="20"/>
              </w:rPr>
              <w:t>Área geográfica priorizada</w:t>
            </w:r>
          </w:p>
        </w:tc>
        <w:tc>
          <w:tcPr>
            <w:tcW w:w="7154" w:type="dxa"/>
            <w:tcBorders>
              <w:top w:val="single" w:sz="4" w:space="0" w:color="auto"/>
              <w:left w:val="single" w:sz="4" w:space="0" w:color="auto"/>
              <w:bottom w:val="single" w:sz="4" w:space="0" w:color="auto"/>
              <w:right w:val="single" w:sz="4" w:space="0" w:color="auto"/>
            </w:tcBorders>
            <w:shd w:val="clear" w:color="auto" w:fill="0070C0"/>
            <w:vAlign w:val="center"/>
            <w:hideMark/>
          </w:tcPr>
          <w:p w14:paraId="1456CECE" w14:textId="77777777" w:rsidR="0079363A" w:rsidRPr="009A27ED" w:rsidRDefault="0079363A" w:rsidP="00F31BD4">
            <w:pPr>
              <w:spacing w:after="0"/>
              <w:jc w:val="center"/>
              <w:rPr>
                <w:b/>
                <w:color w:val="FFFFFF" w:themeColor="background1"/>
                <w:sz w:val="20"/>
                <w:szCs w:val="20"/>
              </w:rPr>
            </w:pPr>
            <w:r w:rsidRPr="009A27ED">
              <w:rPr>
                <w:b/>
                <w:color w:val="FFFFFF" w:themeColor="background1"/>
                <w:sz w:val="20"/>
                <w:szCs w:val="20"/>
              </w:rPr>
              <w:t>Municipios</w:t>
            </w:r>
          </w:p>
        </w:tc>
      </w:tr>
      <w:tr w:rsidR="0079363A" w:rsidRPr="009A27ED" w14:paraId="09716DA5" w14:textId="77777777" w:rsidTr="004E6BAE">
        <w:tc>
          <w:tcPr>
            <w:tcW w:w="1674" w:type="dxa"/>
            <w:tcBorders>
              <w:top w:val="single" w:sz="4" w:space="0" w:color="auto"/>
              <w:left w:val="single" w:sz="4" w:space="0" w:color="auto"/>
              <w:bottom w:val="single" w:sz="4" w:space="0" w:color="auto"/>
              <w:right w:val="single" w:sz="4" w:space="0" w:color="auto"/>
            </w:tcBorders>
            <w:vAlign w:val="center"/>
            <w:hideMark/>
          </w:tcPr>
          <w:p w14:paraId="308925BD" w14:textId="77777777" w:rsidR="0079363A" w:rsidRPr="009A27ED" w:rsidRDefault="0079363A" w:rsidP="00275ACA">
            <w:pPr>
              <w:spacing w:after="0"/>
              <w:rPr>
                <w:color w:val="000000" w:themeColor="text1"/>
                <w:sz w:val="20"/>
                <w:szCs w:val="20"/>
              </w:rPr>
            </w:pPr>
            <w:r w:rsidRPr="009A27ED">
              <w:rPr>
                <w:color w:val="000000" w:themeColor="text1"/>
                <w:sz w:val="20"/>
                <w:szCs w:val="20"/>
              </w:rPr>
              <w:t>I</w:t>
            </w:r>
          </w:p>
        </w:tc>
        <w:tc>
          <w:tcPr>
            <w:tcW w:w="7154" w:type="dxa"/>
            <w:tcBorders>
              <w:top w:val="single" w:sz="4" w:space="0" w:color="auto"/>
              <w:left w:val="single" w:sz="4" w:space="0" w:color="auto"/>
              <w:bottom w:val="single" w:sz="4" w:space="0" w:color="auto"/>
              <w:right w:val="single" w:sz="4" w:space="0" w:color="auto"/>
            </w:tcBorders>
            <w:hideMark/>
          </w:tcPr>
          <w:p w14:paraId="1879885F" w14:textId="77777777" w:rsidR="0079363A" w:rsidRPr="009A27ED" w:rsidRDefault="0079363A" w:rsidP="00275ACA">
            <w:pPr>
              <w:spacing w:after="0"/>
              <w:rPr>
                <w:color w:val="000000" w:themeColor="text1"/>
                <w:sz w:val="20"/>
                <w:szCs w:val="20"/>
              </w:rPr>
            </w:pPr>
            <w:r w:rsidRPr="009A27ED">
              <w:rPr>
                <w:color w:val="000000" w:themeColor="text1"/>
                <w:sz w:val="20"/>
                <w:szCs w:val="20"/>
              </w:rPr>
              <w:t>Loma de Cabrera, El Pino, San Ignacio de Sabaneta, Monción, San José de Las Matas, Restauración, Villa Los Almácigos</w:t>
            </w:r>
          </w:p>
        </w:tc>
      </w:tr>
      <w:tr w:rsidR="0079363A" w:rsidRPr="009A27ED" w14:paraId="2CCF2624" w14:textId="77777777" w:rsidTr="004E6BAE">
        <w:tc>
          <w:tcPr>
            <w:tcW w:w="1674" w:type="dxa"/>
            <w:tcBorders>
              <w:top w:val="single" w:sz="4" w:space="0" w:color="auto"/>
              <w:left w:val="single" w:sz="4" w:space="0" w:color="auto"/>
              <w:bottom w:val="single" w:sz="4" w:space="0" w:color="auto"/>
              <w:right w:val="single" w:sz="4" w:space="0" w:color="auto"/>
            </w:tcBorders>
            <w:vAlign w:val="center"/>
            <w:hideMark/>
          </w:tcPr>
          <w:p w14:paraId="5F881135" w14:textId="77777777" w:rsidR="0079363A" w:rsidRPr="009A27ED" w:rsidRDefault="0079363A" w:rsidP="00275ACA">
            <w:pPr>
              <w:spacing w:after="0"/>
              <w:rPr>
                <w:color w:val="000000" w:themeColor="text1"/>
                <w:sz w:val="20"/>
                <w:szCs w:val="20"/>
              </w:rPr>
            </w:pPr>
            <w:r w:rsidRPr="009A27ED">
              <w:rPr>
                <w:color w:val="000000" w:themeColor="text1"/>
                <w:sz w:val="20"/>
                <w:szCs w:val="20"/>
              </w:rPr>
              <w:t>II</w:t>
            </w:r>
          </w:p>
        </w:tc>
        <w:tc>
          <w:tcPr>
            <w:tcW w:w="7154" w:type="dxa"/>
            <w:tcBorders>
              <w:top w:val="single" w:sz="4" w:space="0" w:color="auto"/>
              <w:left w:val="single" w:sz="4" w:space="0" w:color="auto"/>
              <w:bottom w:val="single" w:sz="4" w:space="0" w:color="auto"/>
              <w:right w:val="single" w:sz="4" w:space="0" w:color="auto"/>
            </w:tcBorders>
            <w:hideMark/>
          </w:tcPr>
          <w:p w14:paraId="0208F5ED" w14:textId="77777777" w:rsidR="0079363A" w:rsidRPr="009A27ED" w:rsidRDefault="0079363A" w:rsidP="00275ACA">
            <w:pPr>
              <w:spacing w:after="0"/>
              <w:rPr>
                <w:color w:val="000000" w:themeColor="text1"/>
                <w:sz w:val="20"/>
                <w:szCs w:val="20"/>
              </w:rPr>
            </w:pPr>
            <w:r w:rsidRPr="009A27ED">
              <w:rPr>
                <w:color w:val="000000" w:themeColor="text1"/>
                <w:sz w:val="20"/>
                <w:szCs w:val="20"/>
              </w:rPr>
              <w:t xml:space="preserve">Pedro Santana, </w:t>
            </w:r>
            <w:proofErr w:type="spellStart"/>
            <w:r w:rsidRPr="009A27ED">
              <w:rPr>
                <w:color w:val="000000" w:themeColor="text1"/>
                <w:sz w:val="20"/>
                <w:szCs w:val="20"/>
              </w:rPr>
              <w:t>Bánica</w:t>
            </w:r>
            <w:proofErr w:type="spellEnd"/>
            <w:r w:rsidRPr="009A27ED">
              <w:rPr>
                <w:color w:val="000000" w:themeColor="text1"/>
                <w:sz w:val="20"/>
                <w:szCs w:val="20"/>
              </w:rPr>
              <w:t xml:space="preserve">, El Llano, Juan Santiago, Hondo Valle, La Descubierta, </w:t>
            </w:r>
            <w:proofErr w:type="spellStart"/>
            <w:r w:rsidRPr="009A27ED">
              <w:rPr>
                <w:color w:val="000000" w:themeColor="text1"/>
                <w:sz w:val="20"/>
                <w:szCs w:val="20"/>
              </w:rPr>
              <w:t>Jimaní</w:t>
            </w:r>
            <w:proofErr w:type="spellEnd"/>
            <w:r w:rsidRPr="009A27ED">
              <w:rPr>
                <w:color w:val="000000" w:themeColor="text1"/>
                <w:sz w:val="20"/>
                <w:szCs w:val="20"/>
              </w:rPr>
              <w:t>, Comendador</w:t>
            </w:r>
          </w:p>
        </w:tc>
      </w:tr>
      <w:tr w:rsidR="0079363A" w:rsidRPr="009A27ED" w14:paraId="77B294E2" w14:textId="77777777" w:rsidTr="004E6BAE">
        <w:tc>
          <w:tcPr>
            <w:tcW w:w="1674" w:type="dxa"/>
            <w:tcBorders>
              <w:top w:val="single" w:sz="4" w:space="0" w:color="auto"/>
              <w:left w:val="single" w:sz="4" w:space="0" w:color="auto"/>
              <w:bottom w:val="single" w:sz="4" w:space="0" w:color="auto"/>
              <w:right w:val="single" w:sz="4" w:space="0" w:color="auto"/>
            </w:tcBorders>
            <w:vAlign w:val="center"/>
            <w:hideMark/>
          </w:tcPr>
          <w:p w14:paraId="21F710E5" w14:textId="77777777" w:rsidR="0079363A" w:rsidRPr="009A27ED" w:rsidRDefault="0079363A" w:rsidP="00275ACA">
            <w:pPr>
              <w:spacing w:after="0"/>
              <w:rPr>
                <w:color w:val="000000" w:themeColor="text1"/>
                <w:sz w:val="20"/>
                <w:szCs w:val="20"/>
              </w:rPr>
            </w:pPr>
            <w:r w:rsidRPr="009A27ED">
              <w:rPr>
                <w:color w:val="000000" w:themeColor="text1"/>
                <w:sz w:val="20"/>
                <w:szCs w:val="20"/>
              </w:rPr>
              <w:t>III.</w:t>
            </w:r>
          </w:p>
        </w:tc>
        <w:tc>
          <w:tcPr>
            <w:tcW w:w="7154" w:type="dxa"/>
            <w:tcBorders>
              <w:top w:val="single" w:sz="4" w:space="0" w:color="auto"/>
              <w:left w:val="single" w:sz="4" w:space="0" w:color="auto"/>
              <w:bottom w:val="single" w:sz="4" w:space="0" w:color="auto"/>
              <w:right w:val="single" w:sz="4" w:space="0" w:color="auto"/>
            </w:tcBorders>
            <w:hideMark/>
          </w:tcPr>
          <w:p w14:paraId="1E4FD532" w14:textId="77777777" w:rsidR="0079363A" w:rsidRPr="009A27ED" w:rsidRDefault="0079363A" w:rsidP="00275ACA">
            <w:pPr>
              <w:spacing w:after="0"/>
              <w:rPr>
                <w:color w:val="000000" w:themeColor="text1"/>
                <w:sz w:val="20"/>
                <w:szCs w:val="20"/>
              </w:rPr>
            </w:pPr>
            <w:r w:rsidRPr="009A27ED">
              <w:rPr>
                <w:color w:val="000000" w:themeColor="text1"/>
                <w:sz w:val="20"/>
                <w:szCs w:val="20"/>
              </w:rPr>
              <w:t xml:space="preserve">San Cristóbal, Baní, </w:t>
            </w:r>
            <w:proofErr w:type="spellStart"/>
            <w:r w:rsidRPr="009A27ED">
              <w:rPr>
                <w:color w:val="000000" w:themeColor="text1"/>
                <w:sz w:val="20"/>
                <w:szCs w:val="20"/>
              </w:rPr>
              <w:t>Cambita</w:t>
            </w:r>
            <w:proofErr w:type="spellEnd"/>
            <w:r w:rsidRPr="009A27ED">
              <w:rPr>
                <w:color w:val="000000" w:themeColor="text1"/>
                <w:sz w:val="20"/>
                <w:szCs w:val="20"/>
              </w:rPr>
              <w:t xml:space="preserve"> Garabito, San José de </w:t>
            </w:r>
            <w:proofErr w:type="spellStart"/>
            <w:r w:rsidRPr="009A27ED">
              <w:rPr>
                <w:color w:val="000000" w:themeColor="text1"/>
                <w:sz w:val="20"/>
                <w:szCs w:val="20"/>
              </w:rPr>
              <w:t>Ocoa</w:t>
            </w:r>
            <w:proofErr w:type="spellEnd"/>
            <w:r w:rsidRPr="009A27ED">
              <w:rPr>
                <w:color w:val="000000" w:themeColor="text1"/>
                <w:sz w:val="20"/>
                <w:szCs w:val="20"/>
              </w:rPr>
              <w:t xml:space="preserve">, Los Cacaos, Sabana Larga, Rancho Arriba, Constanza, Padre Las Casas, </w:t>
            </w:r>
            <w:proofErr w:type="spellStart"/>
            <w:r w:rsidRPr="009A27ED">
              <w:rPr>
                <w:color w:val="000000" w:themeColor="text1"/>
                <w:sz w:val="20"/>
                <w:szCs w:val="20"/>
              </w:rPr>
              <w:t>Bohechío</w:t>
            </w:r>
            <w:proofErr w:type="spellEnd"/>
            <w:r w:rsidRPr="009A27ED">
              <w:rPr>
                <w:color w:val="000000" w:themeColor="text1"/>
                <w:sz w:val="20"/>
                <w:szCs w:val="20"/>
              </w:rPr>
              <w:t>, San Juan, Juan de Herrera, El Cercado, Vallejuelo</w:t>
            </w:r>
          </w:p>
        </w:tc>
      </w:tr>
      <w:tr w:rsidR="0079363A" w:rsidRPr="009A27ED" w14:paraId="1F579EE3" w14:textId="77777777" w:rsidTr="004E6BAE">
        <w:tc>
          <w:tcPr>
            <w:tcW w:w="1674" w:type="dxa"/>
            <w:tcBorders>
              <w:top w:val="single" w:sz="4" w:space="0" w:color="auto"/>
              <w:left w:val="single" w:sz="4" w:space="0" w:color="auto"/>
              <w:bottom w:val="single" w:sz="4" w:space="0" w:color="auto"/>
              <w:right w:val="single" w:sz="4" w:space="0" w:color="auto"/>
            </w:tcBorders>
            <w:vAlign w:val="center"/>
            <w:hideMark/>
          </w:tcPr>
          <w:p w14:paraId="1906AB5F" w14:textId="77777777" w:rsidR="0079363A" w:rsidRPr="009A27ED" w:rsidRDefault="0079363A" w:rsidP="00275ACA">
            <w:pPr>
              <w:spacing w:after="0"/>
              <w:rPr>
                <w:color w:val="000000" w:themeColor="text1"/>
                <w:sz w:val="20"/>
                <w:szCs w:val="20"/>
              </w:rPr>
            </w:pPr>
            <w:r w:rsidRPr="009A27ED">
              <w:rPr>
                <w:color w:val="000000" w:themeColor="text1"/>
                <w:sz w:val="20"/>
                <w:szCs w:val="20"/>
              </w:rPr>
              <w:t>IV</w:t>
            </w:r>
          </w:p>
        </w:tc>
        <w:tc>
          <w:tcPr>
            <w:tcW w:w="7154" w:type="dxa"/>
            <w:tcBorders>
              <w:top w:val="single" w:sz="4" w:space="0" w:color="auto"/>
              <w:left w:val="single" w:sz="4" w:space="0" w:color="auto"/>
              <w:bottom w:val="single" w:sz="4" w:space="0" w:color="auto"/>
              <w:right w:val="single" w:sz="4" w:space="0" w:color="auto"/>
            </w:tcBorders>
            <w:hideMark/>
          </w:tcPr>
          <w:p w14:paraId="2FE92C5C" w14:textId="77777777" w:rsidR="0079363A" w:rsidRPr="009A27ED" w:rsidRDefault="0079363A" w:rsidP="00275ACA">
            <w:pPr>
              <w:spacing w:after="0"/>
              <w:rPr>
                <w:color w:val="000000" w:themeColor="text1"/>
                <w:sz w:val="20"/>
                <w:szCs w:val="20"/>
              </w:rPr>
            </w:pPr>
            <w:r w:rsidRPr="009A27ED">
              <w:rPr>
                <w:color w:val="000000" w:themeColor="text1"/>
                <w:sz w:val="20"/>
                <w:szCs w:val="20"/>
              </w:rPr>
              <w:t>Nagua, San Francisco de Macorís, Tenares</w:t>
            </w:r>
          </w:p>
        </w:tc>
      </w:tr>
      <w:tr w:rsidR="0079363A" w:rsidRPr="009A27ED" w14:paraId="3F0B1EE5" w14:textId="77777777" w:rsidTr="004E6BAE">
        <w:tc>
          <w:tcPr>
            <w:tcW w:w="1674" w:type="dxa"/>
            <w:tcBorders>
              <w:top w:val="single" w:sz="4" w:space="0" w:color="auto"/>
              <w:left w:val="single" w:sz="4" w:space="0" w:color="auto"/>
              <w:bottom w:val="single" w:sz="4" w:space="0" w:color="auto"/>
              <w:right w:val="single" w:sz="4" w:space="0" w:color="auto"/>
            </w:tcBorders>
            <w:vAlign w:val="center"/>
            <w:hideMark/>
          </w:tcPr>
          <w:p w14:paraId="7F773FA8" w14:textId="77777777" w:rsidR="0079363A" w:rsidRPr="009A27ED" w:rsidRDefault="0079363A" w:rsidP="00275ACA">
            <w:pPr>
              <w:spacing w:after="0"/>
              <w:rPr>
                <w:color w:val="000000" w:themeColor="text1"/>
                <w:sz w:val="20"/>
                <w:szCs w:val="20"/>
              </w:rPr>
            </w:pPr>
            <w:r w:rsidRPr="009A27ED">
              <w:rPr>
                <w:color w:val="000000" w:themeColor="text1"/>
                <w:sz w:val="20"/>
                <w:szCs w:val="20"/>
              </w:rPr>
              <w:lastRenderedPageBreak/>
              <w:t>V</w:t>
            </w:r>
          </w:p>
        </w:tc>
        <w:tc>
          <w:tcPr>
            <w:tcW w:w="7154" w:type="dxa"/>
            <w:tcBorders>
              <w:top w:val="single" w:sz="4" w:space="0" w:color="auto"/>
              <w:left w:val="single" w:sz="4" w:space="0" w:color="auto"/>
              <w:bottom w:val="single" w:sz="4" w:space="0" w:color="auto"/>
              <w:right w:val="single" w:sz="4" w:space="0" w:color="auto"/>
            </w:tcBorders>
            <w:hideMark/>
          </w:tcPr>
          <w:p w14:paraId="1CD1FE07" w14:textId="7294D652" w:rsidR="0079363A" w:rsidRPr="009A27ED" w:rsidRDefault="0079363A" w:rsidP="00570736">
            <w:pPr>
              <w:keepNext/>
              <w:spacing w:after="0"/>
              <w:rPr>
                <w:color w:val="000000" w:themeColor="text1"/>
                <w:sz w:val="20"/>
                <w:szCs w:val="20"/>
              </w:rPr>
            </w:pPr>
            <w:r w:rsidRPr="009A27ED">
              <w:rPr>
                <w:color w:val="000000" w:themeColor="text1"/>
                <w:sz w:val="20"/>
                <w:szCs w:val="20"/>
              </w:rPr>
              <w:t xml:space="preserve">Cotuí, Cevicos, Sabana Grande de </w:t>
            </w:r>
            <w:r w:rsidR="00D4690F" w:rsidRPr="009A27ED">
              <w:rPr>
                <w:color w:val="000000" w:themeColor="text1"/>
                <w:sz w:val="20"/>
                <w:szCs w:val="20"/>
              </w:rPr>
              <w:t>Boya</w:t>
            </w:r>
            <w:r w:rsidRPr="009A27ED">
              <w:rPr>
                <w:color w:val="000000" w:themeColor="text1"/>
                <w:sz w:val="20"/>
                <w:szCs w:val="20"/>
              </w:rPr>
              <w:t xml:space="preserve">, </w:t>
            </w:r>
            <w:proofErr w:type="spellStart"/>
            <w:r w:rsidRPr="009A27ED">
              <w:rPr>
                <w:color w:val="000000" w:themeColor="text1"/>
                <w:sz w:val="20"/>
                <w:szCs w:val="20"/>
              </w:rPr>
              <w:t>Bayaguana</w:t>
            </w:r>
            <w:proofErr w:type="spellEnd"/>
          </w:p>
        </w:tc>
      </w:tr>
    </w:tbl>
    <w:p w14:paraId="7A7F1B48" w14:textId="02D7F3D6" w:rsidR="002B7736" w:rsidRPr="009A27ED" w:rsidRDefault="00303144" w:rsidP="00947670">
      <w:pPr>
        <w:spacing w:after="0" w:line="360" w:lineRule="auto"/>
        <w:rPr>
          <w:szCs w:val="22"/>
        </w:rPr>
      </w:pPr>
      <w:bookmarkStart w:id="126" w:name="_bookmark1"/>
      <w:bookmarkEnd w:id="126"/>
      <w:r w:rsidRPr="009A27ED">
        <w:rPr>
          <w:rFonts w:ascii="Times New Roman" w:eastAsia="Times New Roman" w:hAnsi="Times New Roman"/>
          <w:sz w:val="24"/>
          <w:szCs w:val="22"/>
        </w:rPr>
        <w:t>También</w:t>
      </w:r>
      <w:r w:rsidR="00635435" w:rsidRPr="009A27ED">
        <w:rPr>
          <w:rFonts w:ascii="Times New Roman" w:eastAsia="Times New Roman" w:hAnsi="Times New Roman"/>
          <w:sz w:val="24"/>
          <w:szCs w:val="22"/>
        </w:rPr>
        <w:t xml:space="preserve">, se han seleccionado 15 Áreas Protegidas para la implementación de las acciones </w:t>
      </w:r>
      <w:r w:rsidR="00B27E7A" w:rsidRPr="009A27ED">
        <w:rPr>
          <w:rFonts w:ascii="Times New Roman" w:eastAsia="Times New Roman" w:hAnsi="Times New Roman"/>
          <w:sz w:val="24"/>
          <w:szCs w:val="22"/>
        </w:rPr>
        <w:t xml:space="preserve">tipo </w:t>
      </w:r>
      <w:r w:rsidR="00635435" w:rsidRPr="009A27ED">
        <w:rPr>
          <w:rFonts w:ascii="Times New Roman" w:eastAsia="Times New Roman" w:hAnsi="Times New Roman"/>
          <w:sz w:val="24"/>
          <w:szCs w:val="22"/>
        </w:rPr>
        <w:t>REDD+:</w:t>
      </w:r>
    </w:p>
    <w:p w14:paraId="5E8AB1F9" w14:textId="77777777" w:rsidR="00635435" w:rsidRPr="009A27ED" w:rsidRDefault="00635435" w:rsidP="00947670">
      <w:pPr>
        <w:spacing w:after="0" w:line="360" w:lineRule="auto"/>
        <w:rPr>
          <w:szCs w:val="22"/>
        </w:rPr>
      </w:pPr>
    </w:p>
    <w:tbl>
      <w:tblPr>
        <w:tblStyle w:val="TableGrid1"/>
        <w:tblW w:w="0" w:type="auto"/>
        <w:jc w:val="center"/>
        <w:tblLook w:val="04A0" w:firstRow="1" w:lastRow="0" w:firstColumn="1" w:lastColumn="0" w:noHBand="0" w:noVBand="1"/>
      </w:tblPr>
      <w:tblGrid>
        <w:gridCol w:w="625"/>
        <w:gridCol w:w="5435"/>
        <w:gridCol w:w="1980"/>
      </w:tblGrid>
      <w:tr w:rsidR="00B27E7A" w:rsidRPr="009A27ED" w14:paraId="478BE2AB" w14:textId="77777777" w:rsidTr="00B27E7A">
        <w:trPr>
          <w:jc w:val="center"/>
        </w:trPr>
        <w:tc>
          <w:tcPr>
            <w:tcW w:w="625" w:type="dxa"/>
            <w:shd w:val="clear" w:color="auto" w:fill="2F5496" w:themeFill="accent5" w:themeFillShade="BF"/>
          </w:tcPr>
          <w:p w14:paraId="01C57824" w14:textId="77777777" w:rsidR="00635435" w:rsidRPr="009A27ED" w:rsidRDefault="00635435" w:rsidP="00B27E7A">
            <w:pPr>
              <w:spacing w:after="0"/>
              <w:jc w:val="center"/>
              <w:rPr>
                <w:b/>
                <w:color w:val="FFFFFF" w:themeColor="background1"/>
                <w:szCs w:val="20"/>
              </w:rPr>
            </w:pPr>
            <w:r w:rsidRPr="009A27ED">
              <w:rPr>
                <w:b/>
                <w:color w:val="FFFFFF" w:themeColor="background1"/>
                <w:szCs w:val="20"/>
              </w:rPr>
              <w:t>No.</w:t>
            </w:r>
          </w:p>
        </w:tc>
        <w:tc>
          <w:tcPr>
            <w:tcW w:w="5435" w:type="dxa"/>
            <w:shd w:val="clear" w:color="auto" w:fill="2F5496" w:themeFill="accent5" w:themeFillShade="BF"/>
          </w:tcPr>
          <w:p w14:paraId="739E4A2D" w14:textId="77777777" w:rsidR="00635435" w:rsidRPr="009A27ED" w:rsidRDefault="00635435" w:rsidP="00B27E7A">
            <w:pPr>
              <w:spacing w:after="0"/>
              <w:jc w:val="center"/>
              <w:rPr>
                <w:b/>
                <w:color w:val="FFFFFF" w:themeColor="background1"/>
                <w:szCs w:val="20"/>
              </w:rPr>
            </w:pPr>
            <w:r w:rsidRPr="009A27ED">
              <w:rPr>
                <w:b/>
                <w:color w:val="FFFFFF" w:themeColor="background1"/>
                <w:szCs w:val="20"/>
              </w:rPr>
              <w:t>Área Protegida</w:t>
            </w:r>
          </w:p>
          <w:p w14:paraId="0F9EB3C7" w14:textId="566ECC3E" w:rsidR="00B27E7A" w:rsidRPr="009A27ED" w:rsidRDefault="00B27E7A" w:rsidP="00B27E7A">
            <w:pPr>
              <w:spacing w:after="0"/>
              <w:jc w:val="center"/>
              <w:rPr>
                <w:b/>
                <w:color w:val="FFFFFF" w:themeColor="background1"/>
                <w:szCs w:val="20"/>
              </w:rPr>
            </w:pPr>
          </w:p>
        </w:tc>
        <w:tc>
          <w:tcPr>
            <w:tcW w:w="1980" w:type="dxa"/>
            <w:shd w:val="clear" w:color="auto" w:fill="2F5496" w:themeFill="accent5" w:themeFillShade="BF"/>
          </w:tcPr>
          <w:p w14:paraId="5663A3B3" w14:textId="77777777" w:rsidR="00635435" w:rsidRPr="009A27ED" w:rsidRDefault="00635435" w:rsidP="00B27E7A">
            <w:pPr>
              <w:spacing w:after="0"/>
              <w:jc w:val="center"/>
              <w:rPr>
                <w:b/>
                <w:color w:val="FFFFFF" w:themeColor="background1"/>
                <w:szCs w:val="20"/>
              </w:rPr>
            </w:pPr>
            <w:r w:rsidRPr="009A27ED">
              <w:rPr>
                <w:b/>
                <w:color w:val="FFFFFF" w:themeColor="background1"/>
                <w:szCs w:val="20"/>
              </w:rPr>
              <w:t>Superficie (Km2)</w:t>
            </w:r>
          </w:p>
        </w:tc>
      </w:tr>
      <w:tr w:rsidR="00635435" w:rsidRPr="009A27ED" w14:paraId="22EA330A" w14:textId="77777777" w:rsidTr="00B27E7A">
        <w:trPr>
          <w:jc w:val="center"/>
        </w:trPr>
        <w:tc>
          <w:tcPr>
            <w:tcW w:w="625" w:type="dxa"/>
            <w:shd w:val="clear" w:color="auto" w:fill="DEEAF6" w:themeFill="accent1" w:themeFillTint="33"/>
          </w:tcPr>
          <w:p w14:paraId="5C838F63" w14:textId="77777777" w:rsidR="00635435" w:rsidRPr="009A27ED" w:rsidRDefault="00635435" w:rsidP="00B27E7A">
            <w:pPr>
              <w:spacing w:after="0"/>
              <w:rPr>
                <w:color w:val="000000" w:themeColor="text1"/>
                <w:szCs w:val="20"/>
              </w:rPr>
            </w:pPr>
            <w:r w:rsidRPr="009A27ED">
              <w:rPr>
                <w:color w:val="000000" w:themeColor="text1"/>
                <w:szCs w:val="20"/>
              </w:rPr>
              <w:t>1</w:t>
            </w:r>
          </w:p>
        </w:tc>
        <w:tc>
          <w:tcPr>
            <w:tcW w:w="5435" w:type="dxa"/>
            <w:shd w:val="clear" w:color="auto" w:fill="FFFFFF" w:themeFill="background1"/>
          </w:tcPr>
          <w:p w14:paraId="3E20BDEE" w14:textId="77777777" w:rsidR="00635435" w:rsidRPr="009A27ED" w:rsidRDefault="00635435" w:rsidP="00B27E7A">
            <w:pPr>
              <w:spacing w:after="0"/>
              <w:rPr>
                <w:color w:val="000000" w:themeColor="text1"/>
                <w:szCs w:val="20"/>
              </w:rPr>
            </w:pPr>
            <w:r w:rsidRPr="009A27ED">
              <w:rPr>
                <w:color w:val="000000" w:themeColor="text1"/>
                <w:szCs w:val="20"/>
              </w:rPr>
              <w:t>PN Sierra de Bahoruco</w:t>
            </w:r>
          </w:p>
        </w:tc>
        <w:tc>
          <w:tcPr>
            <w:tcW w:w="1980" w:type="dxa"/>
            <w:shd w:val="clear" w:color="auto" w:fill="FFFFFF" w:themeFill="background1"/>
            <w:vAlign w:val="center"/>
          </w:tcPr>
          <w:p w14:paraId="09231BB2" w14:textId="77777777" w:rsidR="00635435" w:rsidRPr="009A27ED" w:rsidRDefault="00635435" w:rsidP="00B27E7A">
            <w:pPr>
              <w:spacing w:after="0"/>
              <w:jc w:val="right"/>
              <w:rPr>
                <w:color w:val="000000" w:themeColor="text1"/>
                <w:szCs w:val="20"/>
              </w:rPr>
            </w:pPr>
            <w:r w:rsidRPr="009A27ED">
              <w:rPr>
                <w:color w:val="000000" w:themeColor="text1"/>
                <w:szCs w:val="20"/>
              </w:rPr>
              <w:t>1,091.77</w:t>
            </w:r>
          </w:p>
        </w:tc>
      </w:tr>
      <w:tr w:rsidR="00635435" w:rsidRPr="009A27ED" w14:paraId="09A80648" w14:textId="77777777" w:rsidTr="00B27E7A">
        <w:trPr>
          <w:jc w:val="center"/>
        </w:trPr>
        <w:tc>
          <w:tcPr>
            <w:tcW w:w="625" w:type="dxa"/>
            <w:shd w:val="clear" w:color="auto" w:fill="DEEAF6" w:themeFill="accent1" w:themeFillTint="33"/>
          </w:tcPr>
          <w:p w14:paraId="0DB4C307" w14:textId="77777777" w:rsidR="00635435" w:rsidRPr="009A27ED" w:rsidRDefault="00635435" w:rsidP="00B27E7A">
            <w:pPr>
              <w:spacing w:after="0"/>
              <w:rPr>
                <w:color w:val="000000" w:themeColor="text1"/>
                <w:szCs w:val="20"/>
              </w:rPr>
            </w:pPr>
            <w:r w:rsidRPr="009A27ED">
              <w:rPr>
                <w:color w:val="000000" w:themeColor="text1"/>
                <w:szCs w:val="20"/>
              </w:rPr>
              <w:t>2</w:t>
            </w:r>
          </w:p>
        </w:tc>
        <w:tc>
          <w:tcPr>
            <w:tcW w:w="5435" w:type="dxa"/>
            <w:shd w:val="clear" w:color="auto" w:fill="FFFFFF" w:themeFill="background1"/>
          </w:tcPr>
          <w:p w14:paraId="6AAAA674" w14:textId="77777777" w:rsidR="00635435" w:rsidRPr="009A27ED" w:rsidRDefault="00635435" w:rsidP="00B27E7A">
            <w:pPr>
              <w:spacing w:after="0"/>
              <w:rPr>
                <w:color w:val="000000" w:themeColor="text1"/>
                <w:szCs w:val="20"/>
              </w:rPr>
            </w:pPr>
            <w:r w:rsidRPr="009A27ED">
              <w:rPr>
                <w:color w:val="000000" w:themeColor="text1"/>
                <w:szCs w:val="20"/>
              </w:rPr>
              <w:t>PN Nalga de Maco</w:t>
            </w:r>
          </w:p>
        </w:tc>
        <w:tc>
          <w:tcPr>
            <w:tcW w:w="1980" w:type="dxa"/>
            <w:shd w:val="clear" w:color="auto" w:fill="FFFFFF" w:themeFill="background1"/>
            <w:vAlign w:val="center"/>
          </w:tcPr>
          <w:p w14:paraId="2FC091D9" w14:textId="77777777" w:rsidR="00635435" w:rsidRPr="009A27ED" w:rsidRDefault="00635435" w:rsidP="00B27E7A">
            <w:pPr>
              <w:spacing w:after="0"/>
              <w:jc w:val="right"/>
              <w:rPr>
                <w:color w:val="000000" w:themeColor="text1"/>
                <w:szCs w:val="20"/>
              </w:rPr>
            </w:pPr>
            <w:r w:rsidRPr="009A27ED">
              <w:rPr>
                <w:color w:val="000000" w:themeColor="text1"/>
                <w:szCs w:val="20"/>
              </w:rPr>
              <w:t>165.82</w:t>
            </w:r>
          </w:p>
        </w:tc>
      </w:tr>
      <w:tr w:rsidR="00635435" w:rsidRPr="009A27ED" w14:paraId="2D7B778E" w14:textId="77777777" w:rsidTr="00B27E7A">
        <w:trPr>
          <w:jc w:val="center"/>
        </w:trPr>
        <w:tc>
          <w:tcPr>
            <w:tcW w:w="625" w:type="dxa"/>
            <w:shd w:val="clear" w:color="auto" w:fill="DEEAF6" w:themeFill="accent1" w:themeFillTint="33"/>
          </w:tcPr>
          <w:p w14:paraId="0E05A079" w14:textId="77777777" w:rsidR="00635435" w:rsidRPr="009A27ED" w:rsidRDefault="00635435" w:rsidP="00B27E7A">
            <w:pPr>
              <w:spacing w:after="0"/>
              <w:rPr>
                <w:color w:val="000000" w:themeColor="text1"/>
                <w:szCs w:val="20"/>
              </w:rPr>
            </w:pPr>
            <w:r w:rsidRPr="009A27ED">
              <w:rPr>
                <w:color w:val="000000" w:themeColor="text1"/>
                <w:szCs w:val="20"/>
              </w:rPr>
              <w:t>3</w:t>
            </w:r>
          </w:p>
        </w:tc>
        <w:tc>
          <w:tcPr>
            <w:tcW w:w="5435" w:type="dxa"/>
            <w:shd w:val="clear" w:color="auto" w:fill="FFFFFF" w:themeFill="background1"/>
          </w:tcPr>
          <w:p w14:paraId="08E9EACC" w14:textId="77777777" w:rsidR="00635435" w:rsidRPr="009A27ED" w:rsidRDefault="00635435" w:rsidP="00B27E7A">
            <w:pPr>
              <w:spacing w:after="0"/>
              <w:rPr>
                <w:color w:val="000000" w:themeColor="text1"/>
                <w:szCs w:val="20"/>
              </w:rPr>
            </w:pPr>
            <w:r w:rsidRPr="009A27ED">
              <w:rPr>
                <w:color w:val="000000" w:themeColor="text1"/>
                <w:szCs w:val="20"/>
              </w:rPr>
              <w:t>PN José del Carmen Ramírez</w:t>
            </w:r>
          </w:p>
        </w:tc>
        <w:tc>
          <w:tcPr>
            <w:tcW w:w="1980" w:type="dxa"/>
            <w:shd w:val="clear" w:color="auto" w:fill="FFFFFF" w:themeFill="background1"/>
            <w:vAlign w:val="center"/>
          </w:tcPr>
          <w:p w14:paraId="10E1475D" w14:textId="77777777" w:rsidR="00635435" w:rsidRPr="009A27ED" w:rsidRDefault="00635435" w:rsidP="00B27E7A">
            <w:pPr>
              <w:spacing w:after="0"/>
              <w:jc w:val="right"/>
              <w:rPr>
                <w:color w:val="000000" w:themeColor="text1"/>
                <w:szCs w:val="20"/>
              </w:rPr>
            </w:pPr>
            <w:r w:rsidRPr="009A27ED">
              <w:rPr>
                <w:color w:val="000000" w:themeColor="text1"/>
                <w:szCs w:val="20"/>
              </w:rPr>
              <w:t>749.72</w:t>
            </w:r>
          </w:p>
        </w:tc>
      </w:tr>
      <w:tr w:rsidR="00635435" w:rsidRPr="009A27ED" w14:paraId="53417A06" w14:textId="77777777" w:rsidTr="00B27E7A">
        <w:trPr>
          <w:jc w:val="center"/>
        </w:trPr>
        <w:tc>
          <w:tcPr>
            <w:tcW w:w="625" w:type="dxa"/>
            <w:shd w:val="clear" w:color="auto" w:fill="DEEAF6" w:themeFill="accent1" w:themeFillTint="33"/>
          </w:tcPr>
          <w:p w14:paraId="74A641F9" w14:textId="77777777" w:rsidR="00635435" w:rsidRPr="009A27ED" w:rsidRDefault="00635435" w:rsidP="00B27E7A">
            <w:pPr>
              <w:spacing w:after="0"/>
              <w:rPr>
                <w:color w:val="000000" w:themeColor="text1"/>
                <w:szCs w:val="20"/>
              </w:rPr>
            </w:pPr>
            <w:r w:rsidRPr="009A27ED">
              <w:rPr>
                <w:color w:val="000000" w:themeColor="text1"/>
                <w:szCs w:val="20"/>
              </w:rPr>
              <w:t>4</w:t>
            </w:r>
          </w:p>
        </w:tc>
        <w:tc>
          <w:tcPr>
            <w:tcW w:w="5435" w:type="dxa"/>
            <w:shd w:val="clear" w:color="auto" w:fill="FFFFFF" w:themeFill="background1"/>
          </w:tcPr>
          <w:p w14:paraId="293DE0EC" w14:textId="77777777" w:rsidR="00635435" w:rsidRPr="009A27ED" w:rsidRDefault="00635435" w:rsidP="00B27E7A">
            <w:pPr>
              <w:spacing w:after="0"/>
              <w:rPr>
                <w:color w:val="000000" w:themeColor="text1"/>
                <w:szCs w:val="20"/>
              </w:rPr>
            </w:pPr>
            <w:r w:rsidRPr="009A27ED">
              <w:rPr>
                <w:color w:val="000000" w:themeColor="text1"/>
                <w:szCs w:val="20"/>
              </w:rPr>
              <w:t>PN Armando Bermúdez</w:t>
            </w:r>
          </w:p>
        </w:tc>
        <w:tc>
          <w:tcPr>
            <w:tcW w:w="1980" w:type="dxa"/>
            <w:shd w:val="clear" w:color="auto" w:fill="FFFFFF" w:themeFill="background1"/>
            <w:vAlign w:val="center"/>
          </w:tcPr>
          <w:p w14:paraId="45EA9420" w14:textId="77777777" w:rsidR="00635435" w:rsidRPr="009A27ED" w:rsidRDefault="00635435" w:rsidP="00B27E7A">
            <w:pPr>
              <w:spacing w:after="0"/>
              <w:jc w:val="right"/>
              <w:rPr>
                <w:color w:val="000000" w:themeColor="text1"/>
                <w:szCs w:val="20"/>
              </w:rPr>
            </w:pPr>
            <w:r w:rsidRPr="009A27ED">
              <w:rPr>
                <w:color w:val="000000" w:themeColor="text1"/>
                <w:szCs w:val="20"/>
              </w:rPr>
              <w:t>802.55</w:t>
            </w:r>
          </w:p>
        </w:tc>
      </w:tr>
      <w:tr w:rsidR="00635435" w:rsidRPr="009A27ED" w14:paraId="35643666" w14:textId="77777777" w:rsidTr="00B27E7A">
        <w:trPr>
          <w:jc w:val="center"/>
        </w:trPr>
        <w:tc>
          <w:tcPr>
            <w:tcW w:w="625" w:type="dxa"/>
            <w:shd w:val="clear" w:color="auto" w:fill="DEEAF6" w:themeFill="accent1" w:themeFillTint="33"/>
          </w:tcPr>
          <w:p w14:paraId="11F30F53" w14:textId="77777777" w:rsidR="00635435" w:rsidRPr="009A27ED" w:rsidRDefault="00635435" w:rsidP="00B27E7A">
            <w:pPr>
              <w:spacing w:after="0"/>
              <w:rPr>
                <w:color w:val="000000" w:themeColor="text1"/>
                <w:szCs w:val="20"/>
              </w:rPr>
            </w:pPr>
            <w:r w:rsidRPr="009A27ED">
              <w:rPr>
                <w:color w:val="000000" w:themeColor="text1"/>
                <w:szCs w:val="20"/>
              </w:rPr>
              <w:t>5</w:t>
            </w:r>
          </w:p>
        </w:tc>
        <w:tc>
          <w:tcPr>
            <w:tcW w:w="5435" w:type="dxa"/>
            <w:shd w:val="clear" w:color="auto" w:fill="FFFFFF" w:themeFill="background1"/>
          </w:tcPr>
          <w:p w14:paraId="349FA025" w14:textId="77777777" w:rsidR="00635435" w:rsidRPr="009A27ED" w:rsidRDefault="00635435" w:rsidP="00B27E7A">
            <w:pPr>
              <w:spacing w:after="0"/>
              <w:rPr>
                <w:color w:val="000000" w:themeColor="text1"/>
                <w:szCs w:val="20"/>
              </w:rPr>
            </w:pPr>
            <w:r w:rsidRPr="009A27ED">
              <w:rPr>
                <w:color w:val="000000" w:themeColor="text1"/>
                <w:szCs w:val="20"/>
              </w:rPr>
              <w:t>PN Valle Nuevo</w:t>
            </w:r>
          </w:p>
        </w:tc>
        <w:tc>
          <w:tcPr>
            <w:tcW w:w="1980" w:type="dxa"/>
            <w:shd w:val="clear" w:color="auto" w:fill="FFFFFF" w:themeFill="background1"/>
            <w:vAlign w:val="center"/>
          </w:tcPr>
          <w:p w14:paraId="6ACF7FBC" w14:textId="77777777" w:rsidR="00635435" w:rsidRPr="009A27ED" w:rsidRDefault="00635435" w:rsidP="00B27E7A">
            <w:pPr>
              <w:spacing w:after="0"/>
              <w:jc w:val="right"/>
              <w:rPr>
                <w:color w:val="000000" w:themeColor="text1"/>
                <w:szCs w:val="20"/>
              </w:rPr>
            </w:pPr>
            <w:r w:rsidRPr="009A27ED">
              <w:rPr>
                <w:color w:val="000000" w:themeColor="text1"/>
                <w:szCs w:val="20"/>
              </w:rPr>
              <w:t>906.31</w:t>
            </w:r>
          </w:p>
        </w:tc>
      </w:tr>
      <w:tr w:rsidR="00635435" w:rsidRPr="009A27ED" w14:paraId="16BBE196" w14:textId="77777777" w:rsidTr="00B27E7A">
        <w:trPr>
          <w:jc w:val="center"/>
        </w:trPr>
        <w:tc>
          <w:tcPr>
            <w:tcW w:w="625" w:type="dxa"/>
            <w:shd w:val="clear" w:color="auto" w:fill="DEEAF6" w:themeFill="accent1" w:themeFillTint="33"/>
          </w:tcPr>
          <w:p w14:paraId="6087BE7F" w14:textId="77777777" w:rsidR="00635435" w:rsidRPr="009A27ED" w:rsidRDefault="00635435" w:rsidP="00B27E7A">
            <w:pPr>
              <w:spacing w:after="0"/>
              <w:rPr>
                <w:color w:val="000000" w:themeColor="text1"/>
                <w:szCs w:val="20"/>
              </w:rPr>
            </w:pPr>
            <w:r w:rsidRPr="009A27ED">
              <w:rPr>
                <w:color w:val="000000" w:themeColor="text1"/>
                <w:szCs w:val="20"/>
              </w:rPr>
              <w:t>6</w:t>
            </w:r>
          </w:p>
        </w:tc>
        <w:tc>
          <w:tcPr>
            <w:tcW w:w="5435" w:type="dxa"/>
            <w:shd w:val="clear" w:color="auto" w:fill="FFFFFF" w:themeFill="background1"/>
          </w:tcPr>
          <w:p w14:paraId="52A3E700" w14:textId="77777777" w:rsidR="00635435" w:rsidRPr="009A27ED" w:rsidRDefault="00635435" w:rsidP="00B27E7A">
            <w:pPr>
              <w:spacing w:after="0"/>
              <w:rPr>
                <w:color w:val="000000" w:themeColor="text1"/>
                <w:szCs w:val="20"/>
              </w:rPr>
            </w:pPr>
            <w:r w:rsidRPr="009A27ED">
              <w:rPr>
                <w:color w:val="000000" w:themeColor="text1"/>
                <w:szCs w:val="20"/>
              </w:rPr>
              <w:t xml:space="preserve">PN Loma La </w:t>
            </w:r>
            <w:proofErr w:type="spellStart"/>
            <w:r w:rsidRPr="009A27ED">
              <w:rPr>
                <w:color w:val="000000" w:themeColor="text1"/>
                <w:szCs w:val="20"/>
              </w:rPr>
              <w:t>Humeadora</w:t>
            </w:r>
            <w:proofErr w:type="spellEnd"/>
          </w:p>
        </w:tc>
        <w:tc>
          <w:tcPr>
            <w:tcW w:w="1980" w:type="dxa"/>
            <w:shd w:val="clear" w:color="auto" w:fill="FFFFFF" w:themeFill="background1"/>
            <w:vAlign w:val="center"/>
          </w:tcPr>
          <w:p w14:paraId="74E1D52C" w14:textId="77777777" w:rsidR="00635435" w:rsidRPr="009A27ED" w:rsidRDefault="00635435" w:rsidP="00B27E7A">
            <w:pPr>
              <w:spacing w:after="0"/>
              <w:jc w:val="right"/>
              <w:rPr>
                <w:color w:val="000000" w:themeColor="text1"/>
                <w:szCs w:val="20"/>
              </w:rPr>
            </w:pPr>
            <w:r w:rsidRPr="009A27ED">
              <w:rPr>
                <w:color w:val="000000" w:themeColor="text1"/>
                <w:szCs w:val="20"/>
              </w:rPr>
              <w:t>305.41</w:t>
            </w:r>
          </w:p>
        </w:tc>
      </w:tr>
      <w:tr w:rsidR="00635435" w:rsidRPr="009A27ED" w14:paraId="67240DA6" w14:textId="77777777" w:rsidTr="00B27E7A">
        <w:trPr>
          <w:jc w:val="center"/>
        </w:trPr>
        <w:tc>
          <w:tcPr>
            <w:tcW w:w="625" w:type="dxa"/>
            <w:shd w:val="clear" w:color="auto" w:fill="DEEAF6" w:themeFill="accent1" w:themeFillTint="33"/>
          </w:tcPr>
          <w:p w14:paraId="40CA00D9" w14:textId="77777777" w:rsidR="00635435" w:rsidRPr="009A27ED" w:rsidRDefault="00635435" w:rsidP="00B27E7A">
            <w:pPr>
              <w:spacing w:after="0"/>
              <w:rPr>
                <w:color w:val="000000" w:themeColor="text1"/>
                <w:szCs w:val="20"/>
              </w:rPr>
            </w:pPr>
            <w:r w:rsidRPr="009A27ED">
              <w:rPr>
                <w:color w:val="000000" w:themeColor="text1"/>
                <w:szCs w:val="20"/>
              </w:rPr>
              <w:t>7</w:t>
            </w:r>
          </w:p>
        </w:tc>
        <w:tc>
          <w:tcPr>
            <w:tcW w:w="5435" w:type="dxa"/>
            <w:shd w:val="clear" w:color="auto" w:fill="FFFFFF" w:themeFill="background1"/>
          </w:tcPr>
          <w:p w14:paraId="208F5801" w14:textId="77777777" w:rsidR="00635435" w:rsidRPr="009A27ED" w:rsidRDefault="00635435" w:rsidP="00B27E7A">
            <w:pPr>
              <w:spacing w:after="0"/>
              <w:rPr>
                <w:color w:val="000000" w:themeColor="text1"/>
                <w:szCs w:val="20"/>
              </w:rPr>
            </w:pPr>
            <w:r w:rsidRPr="009A27ED">
              <w:rPr>
                <w:color w:val="000000" w:themeColor="text1"/>
                <w:szCs w:val="20"/>
              </w:rPr>
              <w:t>PN Los Haitises</w:t>
            </w:r>
          </w:p>
        </w:tc>
        <w:tc>
          <w:tcPr>
            <w:tcW w:w="1980" w:type="dxa"/>
            <w:shd w:val="clear" w:color="auto" w:fill="FFFFFF" w:themeFill="background1"/>
            <w:vAlign w:val="center"/>
          </w:tcPr>
          <w:p w14:paraId="362FE9AB" w14:textId="77777777" w:rsidR="00635435" w:rsidRPr="009A27ED" w:rsidRDefault="00635435" w:rsidP="00B27E7A">
            <w:pPr>
              <w:spacing w:after="0"/>
              <w:jc w:val="right"/>
              <w:rPr>
                <w:color w:val="000000" w:themeColor="text1"/>
                <w:szCs w:val="20"/>
              </w:rPr>
            </w:pPr>
            <w:r w:rsidRPr="009A27ED">
              <w:rPr>
                <w:color w:val="000000" w:themeColor="text1"/>
                <w:szCs w:val="20"/>
              </w:rPr>
              <w:t>631.68</w:t>
            </w:r>
          </w:p>
        </w:tc>
      </w:tr>
      <w:tr w:rsidR="00635435" w:rsidRPr="009A27ED" w14:paraId="4BE9F909" w14:textId="77777777" w:rsidTr="00B27E7A">
        <w:trPr>
          <w:jc w:val="center"/>
        </w:trPr>
        <w:tc>
          <w:tcPr>
            <w:tcW w:w="625" w:type="dxa"/>
            <w:shd w:val="clear" w:color="auto" w:fill="DEEAF6" w:themeFill="accent1" w:themeFillTint="33"/>
          </w:tcPr>
          <w:p w14:paraId="6D2C92E9" w14:textId="77777777" w:rsidR="00635435" w:rsidRPr="009A27ED" w:rsidRDefault="00635435" w:rsidP="00B27E7A">
            <w:pPr>
              <w:spacing w:after="0"/>
              <w:rPr>
                <w:color w:val="000000" w:themeColor="text1"/>
                <w:szCs w:val="20"/>
              </w:rPr>
            </w:pPr>
            <w:r w:rsidRPr="009A27ED">
              <w:rPr>
                <w:color w:val="000000" w:themeColor="text1"/>
                <w:szCs w:val="20"/>
              </w:rPr>
              <w:t>8</w:t>
            </w:r>
          </w:p>
        </w:tc>
        <w:tc>
          <w:tcPr>
            <w:tcW w:w="5435" w:type="dxa"/>
            <w:shd w:val="clear" w:color="auto" w:fill="FFFFFF" w:themeFill="background1"/>
          </w:tcPr>
          <w:p w14:paraId="620CED47" w14:textId="77777777" w:rsidR="00635435" w:rsidRPr="009A27ED" w:rsidRDefault="00635435" w:rsidP="00B27E7A">
            <w:pPr>
              <w:spacing w:after="0"/>
              <w:rPr>
                <w:color w:val="000000" w:themeColor="text1"/>
                <w:szCs w:val="20"/>
              </w:rPr>
            </w:pPr>
            <w:r w:rsidRPr="009A27ED">
              <w:rPr>
                <w:color w:val="000000" w:themeColor="text1"/>
                <w:szCs w:val="20"/>
              </w:rPr>
              <w:t>PN Anacaona</w:t>
            </w:r>
          </w:p>
        </w:tc>
        <w:tc>
          <w:tcPr>
            <w:tcW w:w="1980" w:type="dxa"/>
            <w:shd w:val="clear" w:color="auto" w:fill="FFFFFF" w:themeFill="background1"/>
            <w:vAlign w:val="center"/>
          </w:tcPr>
          <w:p w14:paraId="24F7A7B8" w14:textId="77777777" w:rsidR="00635435" w:rsidRPr="009A27ED" w:rsidRDefault="00635435" w:rsidP="00B27E7A">
            <w:pPr>
              <w:spacing w:after="0"/>
              <w:jc w:val="right"/>
              <w:rPr>
                <w:color w:val="000000" w:themeColor="text1"/>
                <w:szCs w:val="20"/>
              </w:rPr>
            </w:pPr>
            <w:r w:rsidRPr="009A27ED">
              <w:rPr>
                <w:color w:val="000000" w:themeColor="text1"/>
                <w:szCs w:val="20"/>
              </w:rPr>
              <w:t>538.93</w:t>
            </w:r>
          </w:p>
        </w:tc>
      </w:tr>
      <w:tr w:rsidR="00635435" w:rsidRPr="009A27ED" w14:paraId="6860F7A6" w14:textId="77777777" w:rsidTr="00B27E7A">
        <w:trPr>
          <w:jc w:val="center"/>
        </w:trPr>
        <w:tc>
          <w:tcPr>
            <w:tcW w:w="625" w:type="dxa"/>
            <w:shd w:val="clear" w:color="auto" w:fill="DEEAF6" w:themeFill="accent1" w:themeFillTint="33"/>
          </w:tcPr>
          <w:p w14:paraId="6A03BB23" w14:textId="77777777" w:rsidR="00635435" w:rsidRPr="009A27ED" w:rsidRDefault="00635435" w:rsidP="00B27E7A">
            <w:pPr>
              <w:spacing w:after="0"/>
              <w:rPr>
                <w:color w:val="000000" w:themeColor="text1"/>
                <w:szCs w:val="20"/>
              </w:rPr>
            </w:pPr>
            <w:r w:rsidRPr="009A27ED">
              <w:rPr>
                <w:color w:val="000000" w:themeColor="text1"/>
                <w:szCs w:val="20"/>
              </w:rPr>
              <w:t>9</w:t>
            </w:r>
          </w:p>
        </w:tc>
        <w:tc>
          <w:tcPr>
            <w:tcW w:w="5435" w:type="dxa"/>
            <w:shd w:val="clear" w:color="auto" w:fill="FFFFFF" w:themeFill="background1"/>
          </w:tcPr>
          <w:p w14:paraId="2C2F2AFF" w14:textId="77777777" w:rsidR="00635435" w:rsidRPr="009A27ED" w:rsidRDefault="00635435" w:rsidP="00B27E7A">
            <w:pPr>
              <w:spacing w:after="0"/>
              <w:rPr>
                <w:color w:val="000000" w:themeColor="text1"/>
                <w:szCs w:val="20"/>
              </w:rPr>
            </w:pPr>
            <w:r w:rsidRPr="009A27ED">
              <w:rPr>
                <w:color w:val="000000" w:themeColor="text1"/>
                <w:szCs w:val="20"/>
              </w:rPr>
              <w:t>PN Sierra de Neiba</w:t>
            </w:r>
          </w:p>
        </w:tc>
        <w:tc>
          <w:tcPr>
            <w:tcW w:w="1980" w:type="dxa"/>
            <w:shd w:val="clear" w:color="auto" w:fill="FFFFFF" w:themeFill="background1"/>
            <w:vAlign w:val="center"/>
          </w:tcPr>
          <w:p w14:paraId="28914717" w14:textId="77777777" w:rsidR="00635435" w:rsidRPr="009A27ED" w:rsidRDefault="00635435" w:rsidP="00B27E7A">
            <w:pPr>
              <w:spacing w:after="0"/>
              <w:jc w:val="right"/>
              <w:rPr>
                <w:color w:val="000000" w:themeColor="text1"/>
                <w:szCs w:val="20"/>
              </w:rPr>
            </w:pPr>
            <w:r w:rsidRPr="009A27ED">
              <w:rPr>
                <w:color w:val="000000" w:themeColor="text1"/>
                <w:szCs w:val="20"/>
              </w:rPr>
              <w:t>183.00</w:t>
            </w:r>
          </w:p>
        </w:tc>
      </w:tr>
      <w:tr w:rsidR="00635435" w:rsidRPr="009A27ED" w14:paraId="30AB2E2C" w14:textId="77777777" w:rsidTr="00B27E7A">
        <w:trPr>
          <w:jc w:val="center"/>
        </w:trPr>
        <w:tc>
          <w:tcPr>
            <w:tcW w:w="625" w:type="dxa"/>
            <w:shd w:val="clear" w:color="auto" w:fill="DEEAF6" w:themeFill="accent1" w:themeFillTint="33"/>
          </w:tcPr>
          <w:p w14:paraId="6B098148" w14:textId="77777777" w:rsidR="00635435" w:rsidRPr="009A27ED" w:rsidRDefault="00635435" w:rsidP="00B27E7A">
            <w:pPr>
              <w:spacing w:after="0"/>
              <w:rPr>
                <w:color w:val="000000" w:themeColor="text1"/>
                <w:szCs w:val="20"/>
              </w:rPr>
            </w:pPr>
            <w:r w:rsidRPr="009A27ED">
              <w:rPr>
                <w:color w:val="000000" w:themeColor="text1"/>
                <w:szCs w:val="20"/>
              </w:rPr>
              <w:t>10</w:t>
            </w:r>
          </w:p>
        </w:tc>
        <w:tc>
          <w:tcPr>
            <w:tcW w:w="5435" w:type="dxa"/>
            <w:shd w:val="clear" w:color="auto" w:fill="FFFFFF" w:themeFill="background1"/>
          </w:tcPr>
          <w:p w14:paraId="66B18929" w14:textId="77777777" w:rsidR="00635435" w:rsidRPr="009A27ED" w:rsidRDefault="00635435" w:rsidP="00B27E7A">
            <w:pPr>
              <w:spacing w:after="0"/>
              <w:rPr>
                <w:color w:val="000000" w:themeColor="text1"/>
                <w:szCs w:val="20"/>
              </w:rPr>
            </w:pPr>
            <w:r w:rsidRPr="009A27ED">
              <w:rPr>
                <w:color w:val="000000" w:themeColor="text1"/>
                <w:szCs w:val="20"/>
              </w:rPr>
              <w:t>PN Sierra Martín García</w:t>
            </w:r>
          </w:p>
        </w:tc>
        <w:tc>
          <w:tcPr>
            <w:tcW w:w="1980" w:type="dxa"/>
            <w:shd w:val="clear" w:color="auto" w:fill="FFFFFF" w:themeFill="background1"/>
            <w:vAlign w:val="center"/>
          </w:tcPr>
          <w:p w14:paraId="43E7DA36" w14:textId="77777777" w:rsidR="00635435" w:rsidRPr="009A27ED" w:rsidRDefault="00635435" w:rsidP="00B27E7A">
            <w:pPr>
              <w:spacing w:after="0"/>
              <w:jc w:val="right"/>
              <w:rPr>
                <w:color w:val="000000" w:themeColor="text1"/>
                <w:szCs w:val="20"/>
              </w:rPr>
            </w:pPr>
            <w:r w:rsidRPr="009A27ED">
              <w:rPr>
                <w:color w:val="000000" w:themeColor="text1"/>
                <w:szCs w:val="20"/>
              </w:rPr>
              <w:t>245.01</w:t>
            </w:r>
          </w:p>
        </w:tc>
      </w:tr>
      <w:tr w:rsidR="00635435" w:rsidRPr="009A27ED" w14:paraId="0C48A1FD" w14:textId="77777777" w:rsidTr="00B27E7A">
        <w:trPr>
          <w:jc w:val="center"/>
        </w:trPr>
        <w:tc>
          <w:tcPr>
            <w:tcW w:w="625" w:type="dxa"/>
            <w:shd w:val="clear" w:color="auto" w:fill="DEEAF6" w:themeFill="accent1" w:themeFillTint="33"/>
          </w:tcPr>
          <w:p w14:paraId="32171EAF" w14:textId="77777777" w:rsidR="00635435" w:rsidRPr="009A27ED" w:rsidRDefault="00635435" w:rsidP="00B27E7A">
            <w:pPr>
              <w:spacing w:after="0"/>
              <w:rPr>
                <w:color w:val="000000" w:themeColor="text1"/>
                <w:szCs w:val="20"/>
              </w:rPr>
            </w:pPr>
            <w:r w:rsidRPr="009A27ED">
              <w:rPr>
                <w:color w:val="000000" w:themeColor="text1"/>
                <w:szCs w:val="20"/>
              </w:rPr>
              <w:t>11</w:t>
            </w:r>
          </w:p>
        </w:tc>
        <w:tc>
          <w:tcPr>
            <w:tcW w:w="5435" w:type="dxa"/>
            <w:shd w:val="clear" w:color="auto" w:fill="FFFFFF" w:themeFill="background1"/>
          </w:tcPr>
          <w:p w14:paraId="3C00EB1A" w14:textId="77777777" w:rsidR="00635435" w:rsidRPr="009A27ED" w:rsidRDefault="00635435" w:rsidP="00B27E7A">
            <w:pPr>
              <w:spacing w:after="0"/>
              <w:rPr>
                <w:color w:val="000000" w:themeColor="text1"/>
                <w:szCs w:val="20"/>
              </w:rPr>
            </w:pPr>
            <w:r w:rsidRPr="009A27ED">
              <w:rPr>
                <w:color w:val="000000" w:themeColor="text1"/>
                <w:szCs w:val="20"/>
              </w:rPr>
              <w:t>PN Francisco Alberto Caamaño Deñó</w:t>
            </w:r>
          </w:p>
        </w:tc>
        <w:tc>
          <w:tcPr>
            <w:tcW w:w="1980" w:type="dxa"/>
            <w:shd w:val="clear" w:color="auto" w:fill="FFFFFF" w:themeFill="background1"/>
            <w:vAlign w:val="center"/>
          </w:tcPr>
          <w:p w14:paraId="0A4821E2" w14:textId="77777777" w:rsidR="00635435" w:rsidRPr="009A27ED" w:rsidRDefault="00635435" w:rsidP="00B27E7A">
            <w:pPr>
              <w:spacing w:after="0"/>
              <w:jc w:val="right"/>
              <w:rPr>
                <w:color w:val="000000" w:themeColor="text1"/>
                <w:szCs w:val="20"/>
              </w:rPr>
            </w:pPr>
            <w:r w:rsidRPr="009A27ED">
              <w:rPr>
                <w:color w:val="000000" w:themeColor="text1"/>
                <w:szCs w:val="20"/>
              </w:rPr>
              <w:t>288.80</w:t>
            </w:r>
          </w:p>
        </w:tc>
      </w:tr>
      <w:tr w:rsidR="00635435" w:rsidRPr="009A27ED" w14:paraId="0A282619" w14:textId="77777777" w:rsidTr="00B27E7A">
        <w:trPr>
          <w:jc w:val="center"/>
        </w:trPr>
        <w:tc>
          <w:tcPr>
            <w:tcW w:w="625" w:type="dxa"/>
            <w:shd w:val="clear" w:color="auto" w:fill="DEEAF6" w:themeFill="accent1" w:themeFillTint="33"/>
          </w:tcPr>
          <w:p w14:paraId="597B13F1" w14:textId="77777777" w:rsidR="00635435" w:rsidRPr="009A27ED" w:rsidRDefault="00635435" w:rsidP="00B27E7A">
            <w:pPr>
              <w:spacing w:after="0"/>
              <w:rPr>
                <w:color w:val="000000" w:themeColor="text1"/>
                <w:szCs w:val="20"/>
              </w:rPr>
            </w:pPr>
            <w:r w:rsidRPr="009A27ED">
              <w:rPr>
                <w:color w:val="000000" w:themeColor="text1"/>
                <w:szCs w:val="20"/>
              </w:rPr>
              <w:t>12</w:t>
            </w:r>
          </w:p>
        </w:tc>
        <w:tc>
          <w:tcPr>
            <w:tcW w:w="5435" w:type="dxa"/>
            <w:shd w:val="clear" w:color="auto" w:fill="FFFFFF" w:themeFill="background1"/>
          </w:tcPr>
          <w:p w14:paraId="61B8E4C2" w14:textId="77777777" w:rsidR="00635435" w:rsidRPr="009A27ED" w:rsidRDefault="00635435" w:rsidP="00B27E7A">
            <w:pPr>
              <w:spacing w:after="0"/>
              <w:rPr>
                <w:color w:val="000000" w:themeColor="text1"/>
                <w:szCs w:val="20"/>
              </w:rPr>
            </w:pPr>
            <w:r w:rsidRPr="009A27ED">
              <w:rPr>
                <w:color w:val="000000" w:themeColor="text1"/>
                <w:szCs w:val="20"/>
              </w:rPr>
              <w:t>PN Luis Quin</w:t>
            </w:r>
          </w:p>
        </w:tc>
        <w:tc>
          <w:tcPr>
            <w:tcW w:w="1980" w:type="dxa"/>
            <w:shd w:val="clear" w:color="auto" w:fill="FFFFFF" w:themeFill="background1"/>
            <w:vAlign w:val="center"/>
          </w:tcPr>
          <w:p w14:paraId="0D2CC903" w14:textId="77777777" w:rsidR="00635435" w:rsidRPr="009A27ED" w:rsidRDefault="00635435" w:rsidP="00B27E7A">
            <w:pPr>
              <w:spacing w:after="0"/>
              <w:jc w:val="right"/>
              <w:rPr>
                <w:color w:val="000000" w:themeColor="text1"/>
                <w:szCs w:val="20"/>
              </w:rPr>
            </w:pPr>
            <w:r w:rsidRPr="009A27ED">
              <w:rPr>
                <w:color w:val="000000" w:themeColor="text1"/>
                <w:szCs w:val="20"/>
              </w:rPr>
              <w:t>197.29</w:t>
            </w:r>
          </w:p>
        </w:tc>
      </w:tr>
      <w:tr w:rsidR="00635435" w:rsidRPr="009A27ED" w14:paraId="0369CD25" w14:textId="77777777" w:rsidTr="00B27E7A">
        <w:trPr>
          <w:jc w:val="center"/>
        </w:trPr>
        <w:tc>
          <w:tcPr>
            <w:tcW w:w="625" w:type="dxa"/>
            <w:shd w:val="clear" w:color="auto" w:fill="DEEAF6" w:themeFill="accent1" w:themeFillTint="33"/>
          </w:tcPr>
          <w:p w14:paraId="414A54CA" w14:textId="77777777" w:rsidR="00635435" w:rsidRPr="009A27ED" w:rsidRDefault="00635435" w:rsidP="00B27E7A">
            <w:pPr>
              <w:spacing w:after="0"/>
              <w:rPr>
                <w:color w:val="000000" w:themeColor="text1"/>
                <w:szCs w:val="20"/>
              </w:rPr>
            </w:pPr>
            <w:r w:rsidRPr="009A27ED">
              <w:rPr>
                <w:color w:val="000000" w:themeColor="text1"/>
                <w:szCs w:val="20"/>
              </w:rPr>
              <w:t>13</w:t>
            </w:r>
          </w:p>
        </w:tc>
        <w:tc>
          <w:tcPr>
            <w:tcW w:w="5435" w:type="dxa"/>
            <w:shd w:val="clear" w:color="auto" w:fill="FFFFFF" w:themeFill="background1"/>
          </w:tcPr>
          <w:p w14:paraId="5BA39CB4" w14:textId="77777777" w:rsidR="00635435" w:rsidRPr="009A27ED" w:rsidRDefault="00635435" w:rsidP="00B27E7A">
            <w:pPr>
              <w:spacing w:after="0"/>
              <w:rPr>
                <w:color w:val="000000" w:themeColor="text1"/>
                <w:szCs w:val="20"/>
              </w:rPr>
            </w:pPr>
            <w:r w:rsidRPr="009A27ED">
              <w:rPr>
                <w:color w:val="000000" w:themeColor="text1"/>
                <w:szCs w:val="20"/>
              </w:rPr>
              <w:t>RF Cerro Chacuey</w:t>
            </w:r>
          </w:p>
        </w:tc>
        <w:tc>
          <w:tcPr>
            <w:tcW w:w="1980" w:type="dxa"/>
            <w:shd w:val="clear" w:color="auto" w:fill="FFFFFF" w:themeFill="background1"/>
            <w:vAlign w:val="center"/>
          </w:tcPr>
          <w:p w14:paraId="2EBF7EA2" w14:textId="77777777" w:rsidR="00635435" w:rsidRPr="009A27ED" w:rsidRDefault="00635435" w:rsidP="00B27E7A">
            <w:pPr>
              <w:spacing w:after="0"/>
              <w:jc w:val="right"/>
              <w:rPr>
                <w:color w:val="000000" w:themeColor="text1"/>
                <w:szCs w:val="20"/>
              </w:rPr>
            </w:pPr>
            <w:r w:rsidRPr="009A27ED">
              <w:rPr>
                <w:color w:val="000000" w:themeColor="text1"/>
                <w:szCs w:val="20"/>
              </w:rPr>
              <w:t>51.89</w:t>
            </w:r>
          </w:p>
        </w:tc>
      </w:tr>
      <w:tr w:rsidR="00635435" w:rsidRPr="009A27ED" w14:paraId="77FBFB5F" w14:textId="77777777" w:rsidTr="00B27E7A">
        <w:trPr>
          <w:jc w:val="center"/>
        </w:trPr>
        <w:tc>
          <w:tcPr>
            <w:tcW w:w="625" w:type="dxa"/>
            <w:shd w:val="clear" w:color="auto" w:fill="DEEAF6" w:themeFill="accent1" w:themeFillTint="33"/>
          </w:tcPr>
          <w:p w14:paraId="0CEFB214" w14:textId="77777777" w:rsidR="00635435" w:rsidRPr="009A27ED" w:rsidRDefault="00635435" w:rsidP="00B27E7A">
            <w:pPr>
              <w:spacing w:after="0"/>
              <w:rPr>
                <w:color w:val="000000" w:themeColor="text1"/>
                <w:szCs w:val="20"/>
              </w:rPr>
            </w:pPr>
            <w:r w:rsidRPr="009A27ED">
              <w:rPr>
                <w:color w:val="000000" w:themeColor="text1"/>
                <w:szCs w:val="20"/>
              </w:rPr>
              <w:t>14</w:t>
            </w:r>
          </w:p>
        </w:tc>
        <w:tc>
          <w:tcPr>
            <w:tcW w:w="5435" w:type="dxa"/>
            <w:shd w:val="clear" w:color="auto" w:fill="FFFFFF" w:themeFill="background1"/>
          </w:tcPr>
          <w:p w14:paraId="628F4E21" w14:textId="77777777" w:rsidR="00635435" w:rsidRPr="009A27ED" w:rsidRDefault="00635435" w:rsidP="00B27E7A">
            <w:pPr>
              <w:spacing w:after="0"/>
              <w:rPr>
                <w:color w:val="000000" w:themeColor="text1"/>
                <w:szCs w:val="20"/>
              </w:rPr>
            </w:pPr>
            <w:r w:rsidRPr="009A27ED">
              <w:rPr>
                <w:color w:val="000000" w:themeColor="text1"/>
                <w:szCs w:val="20"/>
              </w:rPr>
              <w:t>MN Miguel Domingo Fuerte (Bahoruco Oriental)</w:t>
            </w:r>
          </w:p>
        </w:tc>
        <w:tc>
          <w:tcPr>
            <w:tcW w:w="1980" w:type="dxa"/>
            <w:shd w:val="clear" w:color="auto" w:fill="FFFFFF" w:themeFill="background1"/>
            <w:vAlign w:val="center"/>
          </w:tcPr>
          <w:p w14:paraId="2EB52FEA" w14:textId="77777777" w:rsidR="00635435" w:rsidRPr="009A27ED" w:rsidRDefault="00635435" w:rsidP="00B27E7A">
            <w:pPr>
              <w:spacing w:after="0"/>
              <w:jc w:val="right"/>
              <w:rPr>
                <w:color w:val="000000" w:themeColor="text1"/>
                <w:szCs w:val="20"/>
              </w:rPr>
            </w:pPr>
            <w:r w:rsidRPr="009A27ED">
              <w:rPr>
                <w:color w:val="000000" w:themeColor="text1"/>
                <w:szCs w:val="20"/>
              </w:rPr>
              <w:t>33.53</w:t>
            </w:r>
          </w:p>
        </w:tc>
      </w:tr>
      <w:tr w:rsidR="00635435" w:rsidRPr="009A27ED" w14:paraId="0B5B8293" w14:textId="77777777" w:rsidTr="00B27E7A">
        <w:trPr>
          <w:trHeight w:val="143"/>
          <w:jc w:val="center"/>
        </w:trPr>
        <w:tc>
          <w:tcPr>
            <w:tcW w:w="625" w:type="dxa"/>
            <w:shd w:val="clear" w:color="auto" w:fill="DEEAF6" w:themeFill="accent1" w:themeFillTint="33"/>
          </w:tcPr>
          <w:p w14:paraId="18E763C6" w14:textId="77777777" w:rsidR="00635435" w:rsidRPr="009A27ED" w:rsidRDefault="00635435" w:rsidP="00B27E7A">
            <w:pPr>
              <w:spacing w:after="0"/>
              <w:rPr>
                <w:color w:val="000000" w:themeColor="text1"/>
                <w:szCs w:val="20"/>
              </w:rPr>
            </w:pPr>
            <w:r w:rsidRPr="009A27ED">
              <w:rPr>
                <w:color w:val="000000" w:themeColor="text1"/>
                <w:szCs w:val="20"/>
              </w:rPr>
              <w:t>15</w:t>
            </w:r>
          </w:p>
        </w:tc>
        <w:tc>
          <w:tcPr>
            <w:tcW w:w="5435" w:type="dxa"/>
            <w:shd w:val="clear" w:color="auto" w:fill="FFFFFF" w:themeFill="background1"/>
          </w:tcPr>
          <w:p w14:paraId="7FEB6AEF" w14:textId="77777777" w:rsidR="00635435" w:rsidRPr="009A27ED" w:rsidRDefault="00635435" w:rsidP="00B27E7A">
            <w:pPr>
              <w:spacing w:after="0"/>
              <w:rPr>
                <w:color w:val="000000" w:themeColor="text1"/>
                <w:szCs w:val="20"/>
              </w:rPr>
            </w:pPr>
            <w:r w:rsidRPr="009A27ED">
              <w:rPr>
                <w:color w:val="000000" w:themeColor="text1"/>
                <w:szCs w:val="20"/>
              </w:rPr>
              <w:t>MN Las Caobas</w:t>
            </w:r>
          </w:p>
        </w:tc>
        <w:tc>
          <w:tcPr>
            <w:tcW w:w="1980" w:type="dxa"/>
            <w:shd w:val="clear" w:color="auto" w:fill="FFFFFF" w:themeFill="background1"/>
            <w:vAlign w:val="center"/>
          </w:tcPr>
          <w:p w14:paraId="05724206" w14:textId="77777777" w:rsidR="00635435" w:rsidRPr="009A27ED" w:rsidRDefault="00635435" w:rsidP="00B27E7A">
            <w:pPr>
              <w:spacing w:after="0"/>
              <w:jc w:val="right"/>
              <w:rPr>
                <w:color w:val="000000" w:themeColor="text1"/>
                <w:szCs w:val="20"/>
              </w:rPr>
            </w:pPr>
            <w:r w:rsidRPr="009A27ED">
              <w:rPr>
                <w:color w:val="000000" w:themeColor="text1"/>
                <w:szCs w:val="20"/>
              </w:rPr>
              <w:t>105.47</w:t>
            </w:r>
          </w:p>
        </w:tc>
      </w:tr>
    </w:tbl>
    <w:p w14:paraId="50AD0330" w14:textId="77777777" w:rsidR="00635435" w:rsidRPr="009A27ED" w:rsidRDefault="00635435" w:rsidP="00B27E7A">
      <w:pPr>
        <w:spacing w:after="0" w:line="360" w:lineRule="auto"/>
        <w:rPr>
          <w:color w:val="000000" w:themeColor="text1"/>
          <w:sz w:val="20"/>
          <w:szCs w:val="20"/>
        </w:rPr>
      </w:pPr>
      <w:r w:rsidRPr="009A27ED">
        <w:rPr>
          <w:rFonts w:ascii="Times New Roman" w:eastAsia="Times New Roman" w:hAnsi="Times New Roman"/>
          <w:color w:val="000000" w:themeColor="text1"/>
          <w:sz w:val="24"/>
          <w:szCs w:val="20"/>
        </w:rPr>
        <w:t>PN = Parque Nacional, RF= Reserva Forestal, RF=Reserva Forestal, MN=Monumento Natural</w:t>
      </w:r>
    </w:p>
    <w:p w14:paraId="6125D5D3" w14:textId="0FF53F0E" w:rsidR="00635435" w:rsidRPr="009A27ED" w:rsidRDefault="00635435" w:rsidP="00947670">
      <w:pPr>
        <w:spacing w:after="0" w:line="360" w:lineRule="auto"/>
        <w:rPr>
          <w:szCs w:val="22"/>
          <w:lang w:val="es-MX"/>
        </w:rPr>
      </w:pPr>
    </w:p>
    <w:p w14:paraId="38328C20" w14:textId="682E1B7B" w:rsidR="009E7602" w:rsidRPr="009A27ED" w:rsidRDefault="009E7602" w:rsidP="00EE3F25">
      <w:pPr>
        <w:tabs>
          <w:tab w:val="left" w:pos="2595"/>
        </w:tabs>
        <w:spacing w:after="0" w:line="360" w:lineRule="auto"/>
        <w:rPr>
          <w:szCs w:val="22"/>
          <w:lang w:val="es-MX"/>
        </w:rPr>
      </w:pPr>
      <w:r w:rsidRPr="009A27ED">
        <w:rPr>
          <w:rFonts w:ascii="Times New Roman" w:eastAsia="Times New Roman" w:hAnsi="Times New Roman"/>
          <w:sz w:val="24"/>
          <w:szCs w:val="22"/>
          <w:lang w:val="es-MX"/>
        </w:rPr>
        <w:t xml:space="preserve">En cuanto a las actividades que se promueven a diferentes escalas, </w:t>
      </w:r>
      <w:r w:rsidR="00595933" w:rsidRPr="009A27ED">
        <w:rPr>
          <w:rFonts w:ascii="Times New Roman" w:eastAsia="Times New Roman" w:hAnsi="Times New Roman"/>
          <w:sz w:val="24"/>
          <w:szCs w:val="22"/>
          <w:lang w:val="es-MX"/>
        </w:rPr>
        <w:t xml:space="preserve">la siguiente figura ilustra </w:t>
      </w:r>
      <w:r w:rsidRPr="009A27ED">
        <w:rPr>
          <w:rFonts w:ascii="Times New Roman" w:eastAsia="Times New Roman" w:hAnsi="Times New Roman"/>
          <w:sz w:val="24"/>
          <w:szCs w:val="22"/>
          <w:lang w:val="es-MX"/>
        </w:rPr>
        <w:t xml:space="preserve">la </w:t>
      </w:r>
      <w:proofErr w:type="gramStart"/>
      <w:r w:rsidRPr="009A27ED">
        <w:rPr>
          <w:rFonts w:ascii="Times New Roman" w:eastAsia="Times New Roman" w:hAnsi="Times New Roman"/>
          <w:sz w:val="24"/>
          <w:szCs w:val="22"/>
          <w:lang w:val="es-MX"/>
        </w:rPr>
        <w:t>geo-localización</w:t>
      </w:r>
      <w:proofErr w:type="gramEnd"/>
      <w:r w:rsidRPr="009A27ED">
        <w:rPr>
          <w:rFonts w:ascii="Times New Roman" w:eastAsia="Times New Roman" w:hAnsi="Times New Roman"/>
          <w:sz w:val="24"/>
          <w:szCs w:val="22"/>
          <w:lang w:val="es-MX"/>
        </w:rPr>
        <w:t xml:space="preserve"> de las zonas productivas en conjunto con las áreas </w:t>
      </w:r>
      <w:r w:rsidR="000C5B5B" w:rsidRPr="009A27ED">
        <w:rPr>
          <w:rFonts w:ascii="Times New Roman" w:eastAsia="Times New Roman" w:hAnsi="Times New Roman"/>
          <w:sz w:val="24"/>
          <w:szCs w:val="22"/>
          <w:lang w:val="es-MX"/>
        </w:rPr>
        <w:t xml:space="preserve">priorizadas </w:t>
      </w:r>
      <w:r w:rsidRPr="009A27ED">
        <w:rPr>
          <w:rFonts w:ascii="Times New Roman" w:eastAsia="Times New Roman" w:hAnsi="Times New Roman"/>
          <w:sz w:val="24"/>
          <w:szCs w:val="22"/>
          <w:lang w:val="es-MX"/>
        </w:rPr>
        <w:t>(municipios y áreas naturales protegidas).</w:t>
      </w:r>
    </w:p>
    <w:p w14:paraId="4BE1217D" w14:textId="77777777" w:rsidR="00B90A11" w:rsidRPr="009A27ED" w:rsidRDefault="00B90A11" w:rsidP="00EE3F25">
      <w:pPr>
        <w:tabs>
          <w:tab w:val="left" w:pos="2595"/>
        </w:tabs>
        <w:spacing w:after="0" w:line="360" w:lineRule="auto"/>
        <w:rPr>
          <w:szCs w:val="22"/>
          <w:lang w:val="es-MX"/>
        </w:rPr>
      </w:pPr>
    </w:p>
    <w:p w14:paraId="44A386C6" w14:textId="77777777" w:rsidR="00363CF6" w:rsidRPr="009A27ED" w:rsidRDefault="009E7602" w:rsidP="00363CF6">
      <w:pPr>
        <w:keepNext/>
        <w:tabs>
          <w:tab w:val="left" w:pos="2595"/>
        </w:tabs>
        <w:spacing w:line="360" w:lineRule="auto"/>
      </w:pPr>
      <w:r w:rsidRPr="009A27ED">
        <w:rPr>
          <w:rFonts w:ascii="Times New Roman" w:eastAsia="Times New Roman" w:hAnsi="Times New Roman"/>
          <w:noProof/>
          <w:sz w:val="24"/>
          <w:szCs w:val="20"/>
          <w:lang w:val="en-US"/>
        </w:rPr>
        <w:lastRenderedPageBreak/>
        <w:drawing>
          <wp:inline distT="0" distB="0" distL="0" distR="0" wp14:anchorId="142D8F3E" wp14:editId="599F768C">
            <wp:extent cx="3999506" cy="3090699"/>
            <wp:effectExtent l="0" t="0" r="1270" b="0"/>
            <wp:docPr id="500" name="Imagen 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mapa general conjunto.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4017115" cy="3104307"/>
                    </a:xfrm>
                    <a:prstGeom prst="rect">
                      <a:avLst/>
                    </a:prstGeom>
                  </pic:spPr>
                </pic:pic>
              </a:graphicData>
            </a:graphic>
          </wp:inline>
        </w:drawing>
      </w:r>
    </w:p>
    <w:p w14:paraId="5FF124D6" w14:textId="2B43F75F" w:rsidR="00E84BF9" w:rsidRPr="009A27ED" w:rsidRDefault="00363CF6" w:rsidP="00363CF6">
      <w:pPr>
        <w:pStyle w:val="Descripcin"/>
        <w:spacing w:line="360" w:lineRule="auto"/>
      </w:pPr>
      <w:bookmarkStart w:id="127" w:name="_Toc111890680"/>
      <w:r w:rsidRPr="009A27ED">
        <w:rPr>
          <w:rFonts w:ascii="Times New Roman" w:eastAsia="Times New Roman" w:hAnsi="Times New Roman"/>
          <w:sz w:val="24"/>
        </w:rPr>
        <w:t xml:space="preserve">Mapa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Mapa \* ARABIC </w:instrText>
      </w:r>
      <w:r w:rsidRPr="009A27ED">
        <w:rPr>
          <w:rFonts w:ascii="Times New Roman" w:eastAsia="Times New Roman" w:hAnsi="Times New Roman"/>
          <w:sz w:val="24"/>
        </w:rPr>
        <w:fldChar w:fldCharType="separate"/>
      </w:r>
      <w:r w:rsidRPr="009A27ED">
        <w:rPr>
          <w:rFonts w:ascii="Times New Roman" w:eastAsia="Times New Roman" w:hAnsi="Times New Roman"/>
          <w:noProof/>
          <w:sz w:val="24"/>
        </w:rPr>
        <w:t>2</w:t>
      </w:r>
      <w:r w:rsidRPr="009A27ED">
        <w:rPr>
          <w:rFonts w:ascii="Times New Roman" w:eastAsia="Times New Roman" w:hAnsi="Times New Roman"/>
          <w:sz w:val="24"/>
        </w:rPr>
        <w:fldChar w:fldCharType="end"/>
      </w:r>
      <w:r w:rsidRPr="009A27ED">
        <w:rPr>
          <w:rFonts w:ascii="Times New Roman" w:eastAsia="Times New Roman" w:hAnsi="Times New Roman"/>
          <w:sz w:val="24"/>
        </w:rPr>
        <w:t xml:space="preserve"> Mapa que presenta las zonas productivas de cacao, café, sistemas silvopastoriles, pagos por servicios ambientales y de manejo forestal sustentable y su relación espacial con las áreas prioritarias. Fuente: Programa REDD+ </w:t>
      </w:r>
      <w:proofErr w:type="spellStart"/>
      <w:r w:rsidRPr="009A27ED">
        <w:rPr>
          <w:rFonts w:ascii="Times New Roman" w:eastAsia="Times New Roman" w:hAnsi="Times New Roman"/>
          <w:sz w:val="24"/>
        </w:rPr>
        <w:t>Advance</w:t>
      </w:r>
      <w:proofErr w:type="spellEnd"/>
      <w:r w:rsidRPr="009A27ED">
        <w:rPr>
          <w:rFonts w:ascii="Times New Roman" w:eastAsia="Times New Roman" w:hAnsi="Times New Roman"/>
          <w:sz w:val="24"/>
        </w:rPr>
        <w:t xml:space="preserve"> Draft.</w:t>
      </w:r>
      <w:bookmarkEnd w:id="127"/>
    </w:p>
    <w:p w14:paraId="6E84D6C2" w14:textId="3C20A6E3" w:rsidR="002B7736" w:rsidRPr="009A27ED" w:rsidRDefault="002B7736" w:rsidP="00E84BF9">
      <w:pPr>
        <w:spacing w:line="360" w:lineRule="auto"/>
        <w:rPr>
          <w:b/>
        </w:rPr>
      </w:pPr>
      <w:bookmarkStart w:id="128" w:name="_Toc111837931"/>
      <w:r w:rsidRPr="009A27ED">
        <w:rPr>
          <w:rFonts w:ascii="Times New Roman" w:eastAsia="Times New Roman" w:hAnsi="Times New Roman"/>
          <w:b/>
          <w:sz w:val="24"/>
        </w:rPr>
        <w:t>Características ambientales y sociales</w:t>
      </w:r>
      <w:bookmarkEnd w:id="128"/>
    </w:p>
    <w:p w14:paraId="05C92863" w14:textId="3AF93CEE" w:rsidR="0004071A" w:rsidRPr="009A27ED" w:rsidRDefault="0004071A" w:rsidP="005B6485">
      <w:pPr>
        <w:pStyle w:val="Default"/>
        <w:spacing w:before="120" w:line="360" w:lineRule="auto"/>
        <w:jc w:val="both"/>
        <w:rPr>
          <w:rFonts w:asciiTheme="minorHAnsi" w:hAnsiTheme="minorHAnsi" w:cstheme="minorHAnsi"/>
          <w:sz w:val="22"/>
          <w:szCs w:val="22"/>
          <w:lang w:val="es-DO"/>
        </w:rPr>
      </w:pPr>
      <w:r w:rsidRPr="009A27ED">
        <w:rPr>
          <w:rFonts w:asciiTheme="minorHAnsi" w:hAnsiTheme="minorHAnsi" w:cstheme="minorHAnsi"/>
          <w:szCs w:val="22"/>
          <w:lang w:val="es-DO"/>
        </w:rPr>
        <w:t xml:space="preserve">La República Dominicana ocupa dos terceras partes de la isla de la </w:t>
      </w:r>
      <w:proofErr w:type="spellStart"/>
      <w:r w:rsidRPr="009A27ED">
        <w:rPr>
          <w:rFonts w:asciiTheme="minorHAnsi" w:hAnsiTheme="minorHAnsi" w:cstheme="minorHAnsi"/>
          <w:szCs w:val="22"/>
          <w:lang w:val="es-DO"/>
        </w:rPr>
        <w:t>Hispaniola</w:t>
      </w:r>
      <w:proofErr w:type="spellEnd"/>
      <w:r w:rsidRPr="009A27ED">
        <w:rPr>
          <w:rFonts w:asciiTheme="minorHAnsi" w:hAnsiTheme="minorHAnsi" w:cstheme="minorHAnsi"/>
          <w:szCs w:val="22"/>
          <w:lang w:val="es-DO"/>
        </w:rPr>
        <w:t xml:space="preserve">, la cual comparte con la República de Haití. La línea fronteriza entre los dos países, al lado Oeste de la </w:t>
      </w:r>
      <w:r w:rsidR="00E87E84" w:rsidRPr="009A27ED">
        <w:rPr>
          <w:rFonts w:asciiTheme="minorHAnsi" w:hAnsiTheme="minorHAnsi" w:cstheme="minorHAnsi"/>
          <w:szCs w:val="22"/>
          <w:lang w:val="es-DO"/>
        </w:rPr>
        <w:t>República Dominicana</w:t>
      </w:r>
      <w:r w:rsidRPr="009A27ED">
        <w:rPr>
          <w:rFonts w:asciiTheme="minorHAnsi" w:hAnsiTheme="minorHAnsi" w:cstheme="minorHAnsi"/>
          <w:szCs w:val="22"/>
          <w:lang w:val="es-DO"/>
        </w:rPr>
        <w:t xml:space="preserve">, tiene una longitud de 388 km. En la costa norte está el Océano Atlántico, y en la costa Sur el Mar Caribe. Forma parte del archipiélago de las Antillas Mayores junto con Cuba, Jamaica y Puerto Rico. En el lado Este de la isla, el </w:t>
      </w:r>
      <w:r w:rsidR="000436E8" w:rsidRPr="009A27ED">
        <w:rPr>
          <w:rFonts w:asciiTheme="minorHAnsi" w:hAnsiTheme="minorHAnsi" w:cstheme="minorHAnsi"/>
          <w:szCs w:val="22"/>
          <w:lang w:val="es-DO"/>
        </w:rPr>
        <w:t>C</w:t>
      </w:r>
      <w:r w:rsidRPr="009A27ED">
        <w:rPr>
          <w:rFonts w:asciiTheme="minorHAnsi" w:hAnsiTheme="minorHAnsi" w:cstheme="minorHAnsi"/>
          <w:szCs w:val="22"/>
          <w:lang w:val="es-DO"/>
        </w:rPr>
        <w:t>anal de la Mona separa a República Dominicana de Puerto Rico. Al lado Oeste, la isla es separada de Jamaica por el canal de los vientos o de Jamaica. Ambos canales, al Este y al Oeste comunican al Mar Caribe con el Océano Atlántico.</w:t>
      </w:r>
    </w:p>
    <w:p w14:paraId="6750A6E9" w14:textId="10690E94" w:rsidR="0004071A" w:rsidRPr="009A27ED" w:rsidRDefault="0004071A" w:rsidP="005B6485">
      <w:pPr>
        <w:pStyle w:val="Default"/>
        <w:spacing w:before="120" w:line="360" w:lineRule="auto"/>
        <w:jc w:val="both"/>
        <w:rPr>
          <w:rFonts w:asciiTheme="minorHAnsi" w:hAnsiTheme="minorHAnsi" w:cstheme="minorHAnsi"/>
          <w:sz w:val="22"/>
          <w:szCs w:val="22"/>
          <w:lang w:val="es-DO"/>
        </w:rPr>
      </w:pPr>
      <w:r w:rsidRPr="009A27ED">
        <w:rPr>
          <w:rFonts w:asciiTheme="minorHAnsi" w:hAnsiTheme="minorHAnsi" w:cstheme="minorHAnsi"/>
          <w:szCs w:val="22"/>
          <w:lang w:val="es-DO"/>
        </w:rPr>
        <w:t>En términos de coordenadas el país queda localizado de la siguiente manera: al Sur y al Norte la latitud va desde 17º36' hasta 19° 58'; y al Oeste y Este tiene longitud de 68°19' hasta 72°01'. La extensión superficial de la isla es 77,914 km</w:t>
      </w:r>
      <w:r w:rsidRPr="009A27ED">
        <w:rPr>
          <w:rFonts w:asciiTheme="minorHAnsi" w:hAnsiTheme="minorHAnsi" w:cstheme="minorHAnsi"/>
          <w:szCs w:val="22"/>
          <w:vertAlign w:val="superscript"/>
          <w:lang w:val="es-DO"/>
        </w:rPr>
        <w:t>2</w:t>
      </w:r>
      <w:r w:rsidRPr="009A27ED">
        <w:rPr>
          <w:rFonts w:asciiTheme="minorHAnsi" w:hAnsiTheme="minorHAnsi" w:cstheme="minorHAnsi"/>
          <w:szCs w:val="22"/>
          <w:lang w:val="es-DO"/>
        </w:rPr>
        <w:t>, incluyendo a Haití, y de lado dominicano es 48,310.97 km</w:t>
      </w:r>
      <w:r w:rsidRPr="009A27ED">
        <w:rPr>
          <w:rFonts w:asciiTheme="minorHAnsi" w:hAnsiTheme="minorHAnsi" w:cstheme="minorHAnsi"/>
          <w:szCs w:val="22"/>
          <w:vertAlign w:val="superscript"/>
          <w:lang w:val="es-DO"/>
        </w:rPr>
        <w:t>2</w:t>
      </w:r>
      <w:r w:rsidRPr="009A27ED">
        <w:rPr>
          <w:rFonts w:asciiTheme="minorHAnsi" w:hAnsiTheme="minorHAnsi" w:cstheme="minorHAnsi"/>
          <w:szCs w:val="22"/>
          <w:lang w:val="es-DO"/>
        </w:rPr>
        <w:t>, siendo el segundo país más gran</w:t>
      </w:r>
      <w:r w:rsidR="00CE5C0B" w:rsidRPr="009A27ED">
        <w:rPr>
          <w:rFonts w:asciiTheme="minorHAnsi" w:hAnsiTheme="minorHAnsi" w:cstheme="minorHAnsi"/>
          <w:szCs w:val="22"/>
          <w:lang w:val="es-DO"/>
        </w:rPr>
        <w:t xml:space="preserve">de del Caribe después de Cuba. </w:t>
      </w:r>
    </w:p>
    <w:p w14:paraId="1C203268" w14:textId="77777777" w:rsidR="0004071A" w:rsidRPr="009A27ED" w:rsidRDefault="0004071A" w:rsidP="0004071A">
      <w:pPr>
        <w:pStyle w:val="Default"/>
        <w:spacing w:line="360" w:lineRule="auto"/>
        <w:jc w:val="both"/>
        <w:rPr>
          <w:sz w:val="20"/>
          <w:szCs w:val="20"/>
          <w:lang w:val="es-DO"/>
        </w:rPr>
      </w:pPr>
    </w:p>
    <w:p w14:paraId="58E3A373" w14:textId="77777777" w:rsidR="00363CF6" w:rsidRPr="009A27ED" w:rsidRDefault="00327B92" w:rsidP="00363CF6">
      <w:pPr>
        <w:pStyle w:val="Default"/>
        <w:keepNext/>
        <w:spacing w:line="360" w:lineRule="auto"/>
        <w:jc w:val="both"/>
      </w:pPr>
      <w:r w:rsidRPr="009A27ED">
        <w:rPr>
          <w:noProof/>
          <w:lang w:val="en-US"/>
        </w:rPr>
        <w:drawing>
          <wp:inline distT="0" distB="0" distL="0" distR="0" wp14:anchorId="4C63C264" wp14:editId="38F046A2">
            <wp:extent cx="4285753" cy="3028059"/>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553"/>
                    <a:stretch/>
                  </pic:blipFill>
                  <pic:spPr bwMode="auto">
                    <a:xfrm>
                      <a:off x="0" y="0"/>
                      <a:ext cx="4308624" cy="3044218"/>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pic:spPr>
                </pic:pic>
              </a:graphicData>
            </a:graphic>
          </wp:inline>
        </w:drawing>
      </w:r>
    </w:p>
    <w:p w14:paraId="356F666B" w14:textId="3134E319" w:rsidR="00E84BF9" w:rsidRPr="009A27ED" w:rsidRDefault="00363CF6" w:rsidP="00363CF6">
      <w:pPr>
        <w:pStyle w:val="Descripcin"/>
        <w:spacing w:line="360" w:lineRule="auto"/>
      </w:pPr>
      <w:bookmarkStart w:id="129" w:name="_Toc111890681"/>
      <w:r w:rsidRPr="009A27ED">
        <w:rPr>
          <w:rFonts w:ascii="Times New Roman" w:eastAsia="Times New Roman" w:hAnsi="Times New Roman"/>
          <w:sz w:val="24"/>
        </w:rPr>
        <w:t xml:space="preserve">Mapa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Mapa \* ARABIC </w:instrText>
      </w:r>
      <w:r w:rsidRPr="009A27ED">
        <w:rPr>
          <w:rFonts w:ascii="Times New Roman" w:eastAsia="Times New Roman" w:hAnsi="Times New Roman"/>
          <w:sz w:val="24"/>
        </w:rPr>
        <w:fldChar w:fldCharType="separate"/>
      </w:r>
      <w:r w:rsidRPr="009A27ED">
        <w:rPr>
          <w:rFonts w:ascii="Times New Roman" w:eastAsia="Times New Roman" w:hAnsi="Times New Roman"/>
          <w:noProof/>
          <w:sz w:val="24"/>
        </w:rPr>
        <w:t>3</w:t>
      </w:r>
      <w:r w:rsidRPr="009A27ED">
        <w:rPr>
          <w:rFonts w:ascii="Times New Roman" w:eastAsia="Times New Roman" w:hAnsi="Times New Roman"/>
          <w:sz w:val="24"/>
        </w:rPr>
        <w:fldChar w:fldCharType="end"/>
      </w:r>
      <w:proofErr w:type="gramStart"/>
      <w:r w:rsidRPr="009A27ED">
        <w:rPr>
          <w:rFonts w:ascii="Times New Roman" w:eastAsia="Times New Roman" w:hAnsi="Times New Roman"/>
          <w:sz w:val="24"/>
        </w:rPr>
        <w:t>. .</w:t>
      </w:r>
      <w:proofErr w:type="gramEnd"/>
      <w:r w:rsidRPr="009A27ED">
        <w:rPr>
          <w:rFonts w:ascii="Times New Roman" w:eastAsia="Times New Roman" w:hAnsi="Times New Roman"/>
          <w:sz w:val="24"/>
        </w:rPr>
        <w:t xml:space="preserve">  Regiones Territoriales de Planificación de República Dominicana</w:t>
      </w:r>
      <w:bookmarkEnd w:id="129"/>
    </w:p>
    <w:p w14:paraId="7B137804" w14:textId="10181462" w:rsidR="0004071A" w:rsidRPr="009A27ED" w:rsidRDefault="0004071A" w:rsidP="005B6485">
      <w:pPr>
        <w:spacing w:before="120" w:after="0" w:line="360" w:lineRule="auto"/>
        <w:rPr>
          <w:rStyle w:val="Hipervnculo"/>
          <w:szCs w:val="22"/>
        </w:rPr>
      </w:pPr>
      <w:r w:rsidRPr="009A27ED">
        <w:rPr>
          <w:rFonts w:ascii="Times New Roman" w:eastAsia="Times New Roman" w:hAnsi="Times New Roman"/>
          <w:color w:val="000000"/>
          <w:sz w:val="24"/>
          <w:szCs w:val="22"/>
        </w:rPr>
        <w:t>El territorio nacional tiene una superficie de 48,286.50 Km</w:t>
      </w:r>
      <w:r w:rsidRPr="009A27ED">
        <w:rPr>
          <w:rFonts w:ascii="Times New Roman" w:eastAsia="Times New Roman" w:hAnsi="Times New Roman"/>
          <w:color w:val="000000"/>
          <w:sz w:val="24"/>
          <w:szCs w:val="22"/>
          <w:vertAlign w:val="superscript"/>
        </w:rPr>
        <w:t>2</w:t>
      </w:r>
      <w:r w:rsidRPr="009A27ED">
        <w:rPr>
          <w:rFonts w:ascii="Times New Roman" w:eastAsia="Times New Roman" w:hAnsi="Times New Roman"/>
          <w:color w:val="000000"/>
          <w:sz w:val="24"/>
          <w:szCs w:val="22"/>
        </w:rPr>
        <w:t xml:space="preserve">, dividida en 10 regiones de planificación las cuales comparten </w:t>
      </w:r>
      <w:r w:rsidRPr="009A27ED">
        <w:rPr>
          <w:rFonts w:ascii="Times New Roman" w:eastAsia="Times New Roman" w:hAnsi="Times New Roman"/>
          <w:sz w:val="24"/>
          <w:szCs w:val="22"/>
        </w:rPr>
        <w:t xml:space="preserve">recursos distintivos propios, tales como riquezas naturales, económicas, diversidad e identidad cultural heterogénea, conciencia y sentido de pertenencia </w:t>
      </w:r>
      <w:proofErr w:type="gramStart"/>
      <w:r w:rsidRPr="009A27ED">
        <w:rPr>
          <w:rFonts w:ascii="Times New Roman" w:eastAsia="Times New Roman" w:hAnsi="Times New Roman"/>
          <w:sz w:val="24"/>
          <w:szCs w:val="22"/>
        </w:rPr>
        <w:t>en relación al</w:t>
      </w:r>
      <w:proofErr w:type="gramEnd"/>
      <w:r w:rsidRPr="009A27ED">
        <w:rPr>
          <w:rFonts w:ascii="Times New Roman" w:eastAsia="Times New Roman" w:hAnsi="Times New Roman"/>
          <w:sz w:val="24"/>
          <w:szCs w:val="22"/>
        </w:rPr>
        <w:t xml:space="preserve"> orden </w:t>
      </w:r>
      <w:proofErr w:type="gramStart"/>
      <w:r w:rsidRPr="009A27ED">
        <w:rPr>
          <w:rFonts w:ascii="Times New Roman" w:eastAsia="Times New Roman" w:hAnsi="Times New Roman"/>
          <w:sz w:val="24"/>
          <w:szCs w:val="22"/>
        </w:rPr>
        <w:t>espacio-temporal</w:t>
      </w:r>
      <w:proofErr w:type="gramEnd"/>
      <w:r w:rsidRPr="009A27ED">
        <w:rPr>
          <w:rFonts w:ascii="Times New Roman" w:eastAsia="Times New Roman" w:hAnsi="Times New Roman"/>
          <w:sz w:val="24"/>
          <w:szCs w:val="22"/>
        </w:rPr>
        <w:t xml:space="preserve">, grupos o comunidades con memoria colectiva reforzada sobre el territorio en que habitan y fuerzas políticas y sociales con espacios de participación democrática. Estas regiones están compuestas por provincias y </w:t>
      </w:r>
      <w:r w:rsidR="002B7736" w:rsidRPr="009A27ED">
        <w:rPr>
          <w:rFonts w:ascii="Times New Roman" w:eastAsia="Times New Roman" w:hAnsi="Times New Roman"/>
          <w:sz w:val="24"/>
          <w:szCs w:val="22"/>
        </w:rPr>
        <w:t>é</w:t>
      </w:r>
      <w:r w:rsidRPr="009A27ED">
        <w:rPr>
          <w:rFonts w:ascii="Times New Roman" w:eastAsia="Times New Roman" w:hAnsi="Times New Roman"/>
          <w:sz w:val="24"/>
          <w:szCs w:val="22"/>
        </w:rPr>
        <w:t xml:space="preserve">stas </w:t>
      </w:r>
      <w:r w:rsidR="002B7736" w:rsidRPr="009A27ED">
        <w:rPr>
          <w:rFonts w:ascii="Times New Roman" w:eastAsia="Times New Roman" w:hAnsi="Times New Roman"/>
          <w:sz w:val="24"/>
          <w:szCs w:val="22"/>
        </w:rPr>
        <w:t>por municipios</w:t>
      </w:r>
      <w:r w:rsidRPr="009A27ED">
        <w:rPr>
          <w:rFonts w:ascii="Times New Roman" w:eastAsia="Times New Roman" w:hAnsi="Times New Roman"/>
          <w:sz w:val="24"/>
          <w:szCs w:val="22"/>
        </w:rPr>
        <w:t xml:space="preserve">, distritos municipales, parajes y secciones. La división política del país </w:t>
      </w:r>
      <w:r w:rsidR="002B7736" w:rsidRPr="009A27ED">
        <w:rPr>
          <w:rFonts w:ascii="Times New Roman" w:eastAsia="Times New Roman" w:hAnsi="Times New Roman"/>
          <w:sz w:val="24"/>
          <w:szCs w:val="22"/>
        </w:rPr>
        <w:t>comprende un</w:t>
      </w:r>
      <w:r w:rsidRPr="009A27ED">
        <w:rPr>
          <w:rFonts w:ascii="Times New Roman" w:eastAsia="Times New Roman" w:hAnsi="Times New Roman"/>
          <w:sz w:val="24"/>
          <w:szCs w:val="22"/>
        </w:rPr>
        <w:t xml:space="preserve"> distrito nacional y 31 provincias, </w:t>
      </w:r>
      <w:r w:rsidR="003E5FA9" w:rsidRPr="009A27ED">
        <w:rPr>
          <w:rFonts w:ascii="Times New Roman" w:eastAsia="Times New Roman" w:hAnsi="Times New Roman"/>
          <w:sz w:val="24"/>
          <w:szCs w:val="22"/>
        </w:rPr>
        <w:t xml:space="preserve">157 </w:t>
      </w:r>
      <w:r w:rsidRPr="009A27ED">
        <w:rPr>
          <w:rFonts w:ascii="Times New Roman" w:eastAsia="Times New Roman" w:hAnsi="Times New Roman"/>
          <w:sz w:val="24"/>
          <w:szCs w:val="22"/>
        </w:rPr>
        <w:t xml:space="preserve">municipios y </w:t>
      </w:r>
      <w:r w:rsidR="003E5FA9" w:rsidRPr="009A27ED">
        <w:rPr>
          <w:rFonts w:ascii="Times New Roman" w:eastAsia="Times New Roman" w:hAnsi="Times New Roman"/>
          <w:sz w:val="24"/>
          <w:szCs w:val="22"/>
        </w:rPr>
        <w:t xml:space="preserve">235 </w:t>
      </w:r>
      <w:r w:rsidRPr="009A27ED">
        <w:rPr>
          <w:rFonts w:ascii="Times New Roman" w:eastAsia="Times New Roman" w:hAnsi="Times New Roman"/>
          <w:sz w:val="24"/>
          <w:szCs w:val="22"/>
        </w:rPr>
        <w:t>distritos municipales.</w:t>
      </w:r>
      <w:r w:rsidR="003E5FA9" w:rsidRPr="009A27ED">
        <w:rPr>
          <w:rFonts w:ascii="Times New Roman" w:eastAsia="Times New Roman" w:hAnsi="Times New Roman"/>
          <w:sz w:val="24"/>
          <w:szCs w:val="22"/>
        </w:rPr>
        <w:t xml:space="preserve"> </w:t>
      </w:r>
      <w:r w:rsidRPr="009A27ED">
        <w:rPr>
          <w:rFonts w:ascii="Times New Roman" w:eastAsia="Times New Roman" w:hAnsi="Times New Roman"/>
          <w:sz w:val="24"/>
          <w:szCs w:val="22"/>
        </w:rPr>
        <w:t xml:space="preserve"> </w:t>
      </w:r>
      <w:r w:rsidR="003E5FA9" w:rsidRPr="009A27ED">
        <w:rPr>
          <w:rFonts w:ascii="Times New Roman" w:eastAsia="Times New Roman" w:hAnsi="Times New Roman"/>
          <w:sz w:val="24"/>
          <w:szCs w:val="22"/>
        </w:rPr>
        <w:t xml:space="preserve">https://www.one.gob.do/media/s5gdl00n/divisi%C3%B3n-territorial-2020-t.pdf </w:t>
      </w:r>
      <w:r w:rsidRPr="009A27ED">
        <w:rPr>
          <w:rFonts w:ascii="Times New Roman" w:eastAsia="Times New Roman" w:hAnsi="Times New Roman"/>
          <w:sz w:val="24"/>
          <w:szCs w:val="22"/>
        </w:rPr>
        <w:t>(</w:t>
      </w:r>
      <w:hyperlink r:id="rId32" w:history="1">
        <w:r w:rsidRPr="009A27ED">
          <w:rPr>
            <w:rStyle w:val="Hipervnculo"/>
            <w:color w:val="auto"/>
            <w:szCs w:val="22"/>
          </w:rPr>
          <w:t>http://economia.gob.do/mepyd</w:t>
        </w:r>
      </w:hyperlink>
      <w:r w:rsidRPr="009A27ED">
        <w:rPr>
          <w:rStyle w:val="Hipervnculo"/>
          <w:rFonts w:ascii="Times New Roman" w:eastAsia="Times New Roman" w:hAnsi="Times New Roman"/>
          <w:color w:val="auto"/>
          <w:sz w:val="24"/>
          <w:szCs w:val="22"/>
        </w:rPr>
        <w:t>).</w:t>
      </w:r>
    </w:p>
    <w:p w14:paraId="7EA220B5" w14:textId="183FCD0F" w:rsidR="0004071A" w:rsidRPr="009A27ED" w:rsidRDefault="0004071A" w:rsidP="005B6485">
      <w:pPr>
        <w:spacing w:before="120" w:after="0" w:line="360" w:lineRule="auto"/>
        <w:rPr>
          <w:szCs w:val="22"/>
        </w:rPr>
      </w:pPr>
      <w:r w:rsidRPr="009A27ED">
        <w:rPr>
          <w:rFonts w:ascii="Times New Roman" w:eastAsia="Times New Roman" w:hAnsi="Times New Roman"/>
          <w:sz w:val="24"/>
          <w:szCs w:val="22"/>
        </w:rPr>
        <w:t xml:space="preserve">Para el </w:t>
      </w:r>
      <w:r w:rsidR="00124B63" w:rsidRPr="009A27ED">
        <w:rPr>
          <w:rFonts w:ascii="Times New Roman" w:eastAsia="Times New Roman" w:hAnsi="Times New Roman"/>
          <w:sz w:val="24"/>
          <w:szCs w:val="22"/>
        </w:rPr>
        <w:t>Programa REDD+</w:t>
      </w:r>
      <w:r w:rsidRPr="009A27ED">
        <w:rPr>
          <w:rFonts w:ascii="Times New Roman" w:eastAsia="Times New Roman" w:hAnsi="Times New Roman"/>
          <w:sz w:val="24"/>
          <w:szCs w:val="22"/>
        </w:rPr>
        <w:t xml:space="preserve">, el país definió que su área de contabilidad sea nacional, pero ha considerado 35 de los </w:t>
      </w:r>
      <w:r w:rsidR="002B7736" w:rsidRPr="009A27ED">
        <w:rPr>
          <w:rFonts w:ascii="Times New Roman" w:eastAsia="Times New Roman" w:hAnsi="Times New Roman"/>
          <w:sz w:val="24"/>
          <w:szCs w:val="22"/>
        </w:rPr>
        <w:t>155 municipios</w:t>
      </w:r>
      <w:r w:rsidRPr="009A27ED">
        <w:rPr>
          <w:rFonts w:ascii="Times New Roman" w:eastAsia="Times New Roman" w:hAnsi="Times New Roman"/>
          <w:sz w:val="24"/>
          <w:szCs w:val="22"/>
        </w:rPr>
        <w:t xml:space="preserve"> que tiene la nación dominicana para que sirvan de escenario piloto al desarrollo de las acciones tipo que permitirán cumplir el 7.5 millones de toneladas de CO</w:t>
      </w:r>
      <w:r w:rsidRPr="009A27ED">
        <w:rPr>
          <w:rFonts w:ascii="Times New Roman" w:eastAsia="Times New Roman" w:hAnsi="Times New Roman"/>
          <w:sz w:val="24"/>
          <w:szCs w:val="22"/>
          <w:vertAlign w:val="subscript"/>
        </w:rPr>
        <w:t>2</w:t>
      </w:r>
      <w:r w:rsidR="002B7736" w:rsidRPr="009A27ED">
        <w:rPr>
          <w:rFonts w:ascii="Times New Roman" w:eastAsia="Times New Roman" w:hAnsi="Times New Roman"/>
          <w:sz w:val="24"/>
          <w:szCs w:val="22"/>
        </w:rPr>
        <w:t xml:space="preserve"> </w:t>
      </w:r>
      <w:proofErr w:type="spellStart"/>
      <w:r w:rsidR="002B7736" w:rsidRPr="009A27ED">
        <w:rPr>
          <w:rFonts w:ascii="Times New Roman" w:eastAsia="Times New Roman" w:hAnsi="Times New Roman"/>
          <w:sz w:val="24"/>
          <w:szCs w:val="22"/>
        </w:rPr>
        <w:t>eq</w:t>
      </w:r>
      <w:proofErr w:type="spellEnd"/>
      <w:r w:rsidR="002B7736" w:rsidRPr="009A27ED">
        <w:rPr>
          <w:rFonts w:ascii="Times New Roman" w:eastAsia="Times New Roman" w:hAnsi="Times New Roman"/>
          <w:sz w:val="24"/>
          <w:szCs w:val="22"/>
        </w:rPr>
        <w:t xml:space="preserve"> al</w:t>
      </w:r>
      <w:r w:rsidRPr="009A27ED">
        <w:rPr>
          <w:rFonts w:ascii="Times New Roman" w:eastAsia="Times New Roman" w:hAnsi="Times New Roman"/>
          <w:sz w:val="24"/>
          <w:szCs w:val="22"/>
        </w:rPr>
        <w:t xml:space="preserve"> Fondo de Carbono en el marco </w:t>
      </w:r>
      <w:r w:rsidR="00CE5C0B" w:rsidRPr="009A27ED">
        <w:rPr>
          <w:rFonts w:ascii="Times New Roman" w:eastAsia="Times New Roman" w:hAnsi="Times New Roman"/>
          <w:sz w:val="24"/>
          <w:szCs w:val="22"/>
        </w:rPr>
        <w:t xml:space="preserve">del </w:t>
      </w:r>
      <w:r w:rsidR="00124B63" w:rsidRPr="009A27ED">
        <w:rPr>
          <w:rFonts w:ascii="Times New Roman" w:eastAsia="Times New Roman" w:hAnsi="Times New Roman"/>
          <w:sz w:val="24"/>
          <w:szCs w:val="22"/>
        </w:rPr>
        <w:t>Programa REDD+</w:t>
      </w:r>
      <w:r w:rsidR="00AF500E" w:rsidRPr="009A27ED">
        <w:rPr>
          <w:rFonts w:ascii="Times New Roman" w:eastAsia="Times New Roman" w:hAnsi="Times New Roman"/>
          <w:color w:val="000000"/>
          <w:sz w:val="24"/>
          <w:szCs w:val="22"/>
        </w:rPr>
        <w:t>.</w:t>
      </w:r>
    </w:p>
    <w:p w14:paraId="3C5F45B5" w14:textId="77777777" w:rsidR="00363CF6" w:rsidRPr="009A27ED" w:rsidRDefault="00DB38A6" w:rsidP="00363CF6">
      <w:pPr>
        <w:keepNext/>
        <w:spacing w:after="0" w:line="360" w:lineRule="auto"/>
      </w:pPr>
      <w:r w:rsidRPr="009A27ED">
        <w:rPr>
          <w:rFonts w:ascii="Times New Roman" w:eastAsia="Times New Roman" w:hAnsi="Times New Roman" w:cs="Calibri"/>
          <w:b/>
          <w:bCs/>
          <w:noProof/>
          <w:color w:val="000000"/>
          <w:sz w:val="24"/>
          <w:szCs w:val="28"/>
          <w:u w:val="double"/>
          <w:lang w:val="en-US"/>
        </w:rPr>
        <w:lastRenderedPageBreak/>
        <w:drawing>
          <wp:inline distT="0" distB="0" distL="0" distR="0" wp14:anchorId="70DC14BB" wp14:editId="2A68BB3B">
            <wp:extent cx="5422945" cy="3470857"/>
            <wp:effectExtent l="0" t="0" r="0" b="0"/>
            <wp:docPr id="16" name="Picture 13" descr="C:\Users\jsegura\Downloads\Areas Geografica Intervencion  RED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jsegura\Downloads\Areas Geografica Intervencion  REDD+.png"/>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l="1393" t="-612" r="-1393" b="6740"/>
                    <a:stretch/>
                  </pic:blipFill>
                  <pic:spPr bwMode="auto">
                    <a:xfrm>
                      <a:off x="0" y="0"/>
                      <a:ext cx="5454999" cy="3491372"/>
                    </a:xfrm>
                    <a:prstGeom prst="rect">
                      <a:avLst/>
                    </a:prstGeom>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pic:spPr>
                </pic:pic>
              </a:graphicData>
            </a:graphic>
          </wp:inline>
        </w:drawing>
      </w:r>
    </w:p>
    <w:p w14:paraId="59B01515" w14:textId="781A5FDA" w:rsidR="00363CF6" w:rsidRPr="009A27ED" w:rsidRDefault="00363CF6" w:rsidP="00363CF6">
      <w:pPr>
        <w:pStyle w:val="Descripcin"/>
        <w:spacing w:line="360" w:lineRule="auto"/>
      </w:pPr>
      <w:bookmarkStart w:id="130" w:name="_Toc111890682"/>
      <w:r w:rsidRPr="009A27ED">
        <w:rPr>
          <w:rFonts w:ascii="Times New Roman" w:eastAsia="Times New Roman" w:hAnsi="Times New Roman"/>
          <w:sz w:val="24"/>
        </w:rPr>
        <w:t xml:space="preserve">Mapa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Mapa \* ARABIC </w:instrText>
      </w:r>
      <w:r w:rsidRPr="009A27ED">
        <w:rPr>
          <w:rFonts w:ascii="Times New Roman" w:eastAsia="Times New Roman" w:hAnsi="Times New Roman"/>
          <w:sz w:val="24"/>
        </w:rPr>
        <w:fldChar w:fldCharType="separate"/>
      </w:r>
      <w:r w:rsidRPr="009A27ED">
        <w:rPr>
          <w:rFonts w:ascii="Times New Roman" w:eastAsia="Times New Roman" w:hAnsi="Times New Roman"/>
          <w:noProof/>
          <w:sz w:val="24"/>
        </w:rPr>
        <w:t>4</w:t>
      </w:r>
      <w:r w:rsidRPr="009A27ED">
        <w:rPr>
          <w:rFonts w:ascii="Times New Roman" w:eastAsia="Times New Roman" w:hAnsi="Times New Roman"/>
          <w:sz w:val="24"/>
        </w:rPr>
        <w:fldChar w:fldCharType="end"/>
      </w:r>
      <w:r w:rsidRPr="009A27ED">
        <w:rPr>
          <w:rFonts w:ascii="Times New Roman" w:eastAsia="Times New Roman" w:hAnsi="Times New Roman"/>
          <w:sz w:val="24"/>
        </w:rPr>
        <w:t>. Mapa Regiones prioritarias para REDD+</w:t>
      </w:r>
      <w:bookmarkEnd w:id="130"/>
    </w:p>
    <w:p w14:paraId="53488EA6" w14:textId="53259D3F" w:rsidR="00E84BF9" w:rsidRPr="009A27ED" w:rsidRDefault="00363CF6" w:rsidP="00363CF6">
      <w:pPr>
        <w:pStyle w:val="Descripcin"/>
        <w:spacing w:line="360" w:lineRule="auto"/>
      </w:pPr>
      <w:r w:rsidRPr="009A27ED">
        <w:rPr>
          <w:rFonts w:ascii="Times New Roman" w:eastAsia="Times New Roman" w:hAnsi="Times New Roman"/>
          <w:sz w:val="24"/>
        </w:rPr>
        <w:t>L</w:t>
      </w:r>
    </w:p>
    <w:p w14:paraId="475BBE64" w14:textId="0C82C6FA" w:rsidR="00C946E6" w:rsidRPr="009A27ED" w:rsidRDefault="0004071A" w:rsidP="005B6485">
      <w:pPr>
        <w:spacing w:before="120" w:after="0" w:line="360" w:lineRule="auto"/>
        <w:rPr>
          <w:szCs w:val="22"/>
        </w:rPr>
      </w:pPr>
      <w:r w:rsidRPr="009A27ED">
        <w:rPr>
          <w:rFonts w:ascii="Times New Roman" w:eastAsia="Times New Roman" w:hAnsi="Times New Roman"/>
          <w:sz w:val="24"/>
          <w:szCs w:val="22"/>
        </w:rPr>
        <w:t>as 5 áreas priorizadas para REDD</w:t>
      </w:r>
      <w:r w:rsidR="00C06E5F" w:rsidRPr="009A27ED">
        <w:rPr>
          <w:rFonts w:ascii="Times New Roman" w:eastAsia="Times New Roman" w:hAnsi="Times New Roman"/>
          <w:sz w:val="24"/>
          <w:szCs w:val="22"/>
        </w:rPr>
        <w:t>+</w:t>
      </w:r>
      <w:r w:rsidRPr="009A27ED">
        <w:rPr>
          <w:rFonts w:ascii="Times New Roman" w:eastAsia="Times New Roman" w:hAnsi="Times New Roman"/>
          <w:sz w:val="24"/>
          <w:szCs w:val="22"/>
        </w:rPr>
        <w:t xml:space="preserve"> impactan </w:t>
      </w:r>
      <w:r w:rsidR="002B7736" w:rsidRPr="009A27ED">
        <w:rPr>
          <w:rFonts w:ascii="Times New Roman" w:eastAsia="Times New Roman" w:hAnsi="Times New Roman"/>
          <w:sz w:val="24"/>
          <w:szCs w:val="22"/>
        </w:rPr>
        <w:t>en ocho</w:t>
      </w:r>
      <w:r w:rsidRPr="009A27ED">
        <w:rPr>
          <w:rFonts w:ascii="Times New Roman" w:eastAsia="Times New Roman" w:hAnsi="Times New Roman"/>
          <w:sz w:val="24"/>
          <w:szCs w:val="22"/>
        </w:rPr>
        <w:t xml:space="preserve"> de las diez regiones administrativas del país y los municipios seleccionados están concentrados en </w:t>
      </w:r>
      <w:r w:rsidR="002B7736" w:rsidRPr="009A27ED">
        <w:rPr>
          <w:rFonts w:ascii="Times New Roman" w:eastAsia="Times New Roman" w:hAnsi="Times New Roman"/>
          <w:sz w:val="24"/>
          <w:szCs w:val="22"/>
        </w:rPr>
        <w:t>16 de</w:t>
      </w:r>
      <w:r w:rsidRPr="009A27ED">
        <w:rPr>
          <w:rFonts w:ascii="Times New Roman" w:eastAsia="Times New Roman" w:hAnsi="Times New Roman"/>
          <w:sz w:val="24"/>
          <w:szCs w:val="22"/>
        </w:rPr>
        <w:t xml:space="preserve"> las </w:t>
      </w:r>
      <w:r w:rsidR="002B7736" w:rsidRPr="009A27ED">
        <w:rPr>
          <w:rFonts w:ascii="Times New Roman" w:eastAsia="Times New Roman" w:hAnsi="Times New Roman"/>
          <w:sz w:val="24"/>
          <w:szCs w:val="22"/>
        </w:rPr>
        <w:t>32 provincias</w:t>
      </w:r>
      <w:r w:rsidRPr="009A27ED">
        <w:rPr>
          <w:rFonts w:ascii="Times New Roman" w:eastAsia="Times New Roman" w:hAnsi="Times New Roman"/>
          <w:sz w:val="24"/>
          <w:szCs w:val="22"/>
        </w:rPr>
        <w:t xml:space="preserve">. Estas áreas van desde la </w:t>
      </w:r>
      <w:r w:rsidR="002B7736" w:rsidRPr="009A27ED">
        <w:rPr>
          <w:rFonts w:ascii="Times New Roman" w:eastAsia="Times New Roman" w:hAnsi="Times New Roman"/>
          <w:sz w:val="24"/>
          <w:szCs w:val="22"/>
        </w:rPr>
        <w:t>región del</w:t>
      </w:r>
      <w:r w:rsidRPr="009A27ED">
        <w:rPr>
          <w:rFonts w:ascii="Times New Roman" w:eastAsia="Times New Roman" w:hAnsi="Times New Roman"/>
          <w:sz w:val="24"/>
          <w:szCs w:val="22"/>
        </w:rPr>
        <w:t xml:space="preserve"> </w:t>
      </w:r>
      <w:proofErr w:type="spellStart"/>
      <w:r w:rsidRPr="009A27ED">
        <w:rPr>
          <w:rFonts w:ascii="Times New Roman" w:eastAsia="Times New Roman" w:hAnsi="Times New Roman"/>
          <w:sz w:val="24"/>
          <w:szCs w:val="22"/>
        </w:rPr>
        <w:t>Higüamo</w:t>
      </w:r>
      <w:proofErr w:type="spellEnd"/>
      <w:r w:rsidRPr="009A27ED">
        <w:rPr>
          <w:rFonts w:ascii="Times New Roman" w:eastAsia="Times New Roman" w:hAnsi="Times New Roman"/>
          <w:sz w:val="24"/>
          <w:szCs w:val="22"/>
        </w:rPr>
        <w:t xml:space="preserve">, donde se incluyen los Municipios de </w:t>
      </w:r>
      <w:proofErr w:type="spellStart"/>
      <w:r w:rsidRPr="009A27ED">
        <w:rPr>
          <w:rFonts w:ascii="Times New Roman" w:eastAsia="Times New Roman" w:hAnsi="Times New Roman"/>
          <w:sz w:val="24"/>
          <w:szCs w:val="22"/>
        </w:rPr>
        <w:t>Bayaguana</w:t>
      </w:r>
      <w:proofErr w:type="spellEnd"/>
      <w:r w:rsidRPr="009A27ED">
        <w:rPr>
          <w:rFonts w:ascii="Times New Roman" w:eastAsia="Times New Roman" w:hAnsi="Times New Roman"/>
          <w:sz w:val="24"/>
          <w:szCs w:val="22"/>
        </w:rPr>
        <w:t xml:space="preserve"> y Sabana Grande de Boya, en la Provincia de Monte </w:t>
      </w:r>
      <w:r w:rsidR="002B7736" w:rsidRPr="009A27ED">
        <w:rPr>
          <w:rFonts w:ascii="Times New Roman" w:eastAsia="Times New Roman" w:hAnsi="Times New Roman"/>
          <w:sz w:val="24"/>
          <w:szCs w:val="22"/>
        </w:rPr>
        <w:t>Plata, hasta</w:t>
      </w:r>
      <w:r w:rsidRPr="009A27ED">
        <w:rPr>
          <w:rFonts w:ascii="Times New Roman" w:eastAsia="Times New Roman" w:hAnsi="Times New Roman"/>
          <w:sz w:val="24"/>
          <w:szCs w:val="22"/>
        </w:rPr>
        <w:t xml:space="preserve"> la región Enriquillo, con los Municipios de La Descubierta y </w:t>
      </w:r>
      <w:proofErr w:type="spellStart"/>
      <w:r w:rsidRPr="009A27ED">
        <w:rPr>
          <w:rFonts w:ascii="Times New Roman" w:eastAsia="Times New Roman" w:hAnsi="Times New Roman"/>
          <w:sz w:val="24"/>
          <w:szCs w:val="22"/>
        </w:rPr>
        <w:t>Jimaní</w:t>
      </w:r>
      <w:proofErr w:type="spellEnd"/>
      <w:r w:rsidRPr="009A27ED">
        <w:rPr>
          <w:rFonts w:ascii="Times New Roman" w:eastAsia="Times New Roman" w:hAnsi="Times New Roman"/>
          <w:sz w:val="24"/>
          <w:szCs w:val="22"/>
        </w:rPr>
        <w:t xml:space="preserve"> en la </w:t>
      </w:r>
      <w:r w:rsidR="002B7736" w:rsidRPr="009A27ED">
        <w:rPr>
          <w:rFonts w:ascii="Times New Roman" w:eastAsia="Times New Roman" w:hAnsi="Times New Roman"/>
          <w:sz w:val="24"/>
          <w:szCs w:val="22"/>
        </w:rPr>
        <w:t>Provincia Independencia</w:t>
      </w:r>
      <w:r w:rsidRPr="009A27ED">
        <w:rPr>
          <w:rFonts w:ascii="Times New Roman" w:eastAsia="Times New Roman" w:hAnsi="Times New Roman"/>
          <w:sz w:val="24"/>
          <w:szCs w:val="22"/>
        </w:rPr>
        <w:t xml:space="preserve">, en </w:t>
      </w:r>
      <w:r w:rsidR="002B7736" w:rsidRPr="009A27ED">
        <w:rPr>
          <w:rFonts w:ascii="Times New Roman" w:eastAsia="Times New Roman" w:hAnsi="Times New Roman"/>
          <w:sz w:val="24"/>
          <w:szCs w:val="22"/>
        </w:rPr>
        <w:t>la frontera</w:t>
      </w:r>
      <w:r w:rsidRPr="009A27ED">
        <w:rPr>
          <w:rFonts w:ascii="Times New Roman" w:eastAsia="Times New Roman" w:hAnsi="Times New Roman"/>
          <w:sz w:val="24"/>
          <w:szCs w:val="22"/>
        </w:rPr>
        <w:t xml:space="preserve"> con la República de Haití, La superficie aproximada de las 5 áreas priorizadas es de   15,565.01 km</w:t>
      </w:r>
      <w:r w:rsidRPr="009A27ED">
        <w:rPr>
          <w:rFonts w:ascii="Times New Roman" w:eastAsia="Times New Roman" w:hAnsi="Times New Roman"/>
          <w:sz w:val="24"/>
          <w:szCs w:val="22"/>
          <w:vertAlign w:val="superscript"/>
        </w:rPr>
        <w:t>2</w:t>
      </w:r>
      <w:r w:rsidRPr="009A27ED">
        <w:rPr>
          <w:rFonts w:ascii="Times New Roman" w:eastAsia="Times New Roman" w:hAnsi="Times New Roman"/>
          <w:sz w:val="24"/>
          <w:szCs w:val="22"/>
        </w:rPr>
        <w:t xml:space="preserve">, que representan el 32% aproximado del territorio nacional. </w:t>
      </w:r>
    </w:p>
    <w:p w14:paraId="5B62446F" w14:textId="77777777" w:rsidR="006144EF" w:rsidRPr="009A27ED" w:rsidRDefault="006144EF" w:rsidP="005B6485">
      <w:pPr>
        <w:spacing w:before="120" w:after="0" w:line="360" w:lineRule="auto"/>
        <w:rPr>
          <w:szCs w:val="22"/>
        </w:rPr>
      </w:pPr>
    </w:p>
    <w:p w14:paraId="3A79818A" w14:textId="53E889F5" w:rsidR="002B7736" w:rsidRPr="009A27ED" w:rsidRDefault="002B7736" w:rsidP="00344498">
      <w:pPr>
        <w:pStyle w:val="Ttulo3"/>
        <w:spacing w:line="360" w:lineRule="auto"/>
        <w:jc w:val="both"/>
        <w:rPr>
          <w:color w:val="000000" w:themeColor="text1"/>
        </w:rPr>
      </w:pPr>
      <w:bookmarkStart w:id="131" w:name="_Toc111837932"/>
      <w:r w:rsidRPr="009A27ED">
        <w:rPr>
          <w:rFonts w:ascii="Times New Roman" w:eastAsia="Times New Roman" w:hAnsi="Times New Roman"/>
          <w:b w:val="0"/>
          <w:sz w:val="24"/>
        </w:rPr>
        <w:t>Caracterización ambiental de las áreas priorizadas</w:t>
      </w:r>
      <w:bookmarkEnd w:id="131"/>
    </w:p>
    <w:p w14:paraId="12E25885" w14:textId="2C97DAFF" w:rsidR="0004071A" w:rsidRPr="009A27ED" w:rsidRDefault="0004071A" w:rsidP="005B6485">
      <w:pPr>
        <w:spacing w:before="120" w:after="0" w:line="360" w:lineRule="auto"/>
        <w:rPr>
          <w:szCs w:val="22"/>
          <w:lang w:val="es-MX"/>
        </w:rPr>
      </w:pPr>
      <w:r w:rsidRPr="009A27ED">
        <w:rPr>
          <w:rFonts w:ascii="Times New Roman" w:eastAsia="Times New Roman" w:hAnsi="Times New Roman"/>
          <w:sz w:val="24"/>
          <w:szCs w:val="22"/>
        </w:rPr>
        <w:t xml:space="preserve">Para la caracterización ambiental de las áreas priorizadas los factores considerados fueron: las cuencas hidrográficas, las características de los suelos, usos de suelos, condiciones climáticas, incluidas precipitaciones y sequías, </w:t>
      </w:r>
      <w:r w:rsidR="00967E85" w:rsidRPr="009A27ED">
        <w:rPr>
          <w:rFonts w:ascii="Times New Roman" w:eastAsia="Times New Roman" w:hAnsi="Times New Roman"/>
          <w:sz w:val="24"/>
          <w:szCs w:val="22"/>
        </w:rPr>
        <w:t>á</w:t>
      </w:r>
      <w:r w:rsidRPr="009A27ED">
        <w:rPr>
          <w:rFonts w:ascii="Times New Roman" w:eastAsia="Times New Roman" w:hAnsi="Times New Roman"/>
          <w:sz w:val="24"/>
          <w:szCs w:val="22"/>
        </w:rPr>
        <w:t xml:space="preserve">reas </w:t>
      </w:r>
      <w:r w:rsidR="00967E85" w:rsidRPr="009A27ED">
        <w:rPr>
          <w:rFonts w:ascii="Times New Roman" w:eastAsia="Times New Roman" w:hAnsi="Times New Roman"/>
          <w:sz w:val="24"/>
          <w:szCs w:val="22"/>
        </w:rPr>
        <w:t>protegidas, flora</w:t>
      </w:r>
      <w:r w:rsidRPr="009A27ED">
        <w:rPr>
          <w:rFonts w:ascii="Times New Roman" w:eastAsia="Times New Roman" w:hAnsi="Times New Roman"/>
          <w:sz w:val="24"/>
          <w:szCs w:val="22"/>
        </w:rPr>
        <w:t xml:space="preserve"> y fauna. Las mismas </w:t>
      </w:r>
      <w:r w:rsidR="00967E85" w:rsidRPr="009A27ED">
        <w:rPr>
          <w:rFonts w:ascii="Times New Roman" w:eastAsia="Times New Roman" w:hAnsi="Times New Roman"/>
          <w:sz w:val="24"/>
          <w:szCs w:val="22"/>
        </w:rPr>
        <w:t>son</w:t>
      </w:r>
      <w:r w:rsidRPr="009A27ED">
        <w:rPr>
          <w:rFonts w:ascii="Times New Roman" w:eastAsia="Times New Roman" w:hAnsi="Times New Roman"/>
          <w:sz w:val="24"/>
          <w:szCs w:val="22"/>
        </w:rPr>
        <w:t xml:space="preserve"> </w:t>
      </w:r>
      <w:r w:rsidR="00690298" w:rsidRPr="009A27ED">
        <w:rPr>
          <w:rFonts w:ascii="Times New Roman" w:eastAsia="Times New Roman" w:hAnsi="Times New Roman"/>
          <w:sz w:val="24"/>
          <w:szCs w:val="22"/>
        </w:rPr>
        <w:t>descritas a</w:t>
      </w:r>
      <w:r w:rsidRPr="009A27ED">
        <w:rPr>
          <w:rFonts w:ascii="Times New Roman" w:eastAsia="Times New Roman" w:hAnsi="Times New Roman"/>
          <w:sz w:val="24"/>
          <w:szCs w:val="22"/>
        </w:rPr>
        <w:t xml:space="preserve"> continuación de manera general</w:t>
      </w:r>
      <w:r w:rsidR="00967E85" w:rsidRPr="009A27ED">
        <w:rPr>
          <w:rFonts w:ascii="Times New Roman" w:eastAsia="Times New Roman" w:hAnsi="Times New Roman"/>
          <w:sz w:val="24"/>
          <w:szCs w:val="22"/>
        </w:rPr>
        <w:t xml:space="preserve">, sin </w:t>
      </w:r>
      <w:r w:rsidR="00690298" w:rsidRPr="009A27ED">
        <w:rPr>
          <w:rFonts w:ascii="Times New Roman" w:eastAsia="Times New Roman" w:hAnsi="Times New Roman"/>
          <w:sz w:val="24"/>
          <w:szCs w:val="22"/>
        </w:rPr>
        <w:t>embargo,</w:t>
      </w:r>
      <w:r w:rsidR="00967E85" w:rsidRPr="009A27ED">
        <w:rPr>
          <w:rFonts w:ascii="Times New Roman" w:eastAsia="Times New Roman" w:hAnsi="Times New Roman"/>
          <w:sz w:val="24"/>
          <w:szCs w:val="22"/>
        </w:rPr>
        <w:t xml:space="preserve"> más adelante son descritas </w:t>
      </w:r>
      <w:r w:rsidRPr="009A27ED">
        <w:rPr>
          <w:rFonts w:ascii="Times New Roman" w:eastAsia="Times New Roman" w:hAnsi="Times New Roman"/>
          <w:sz w:val="24"/>
          <w:szCs w:val="22"/>
        </w:rPr>
        <w:t xml:space="preserve">de manera particular las características ambientales de cada área priorizada.  </w:t>
      </w:r>
    </w:p>
    <w:p w14:paraId="106A8F01" w14:textId="570B0F55" w:rsidR="0004071A" w:rsidRPr="009A27ED" w:rsidRDefault="0004071A" w:rsidP="00E67CB0">
      <w:pPr>
        <w:pStyle w:val="Prrafodelista"/>
        <w:numPr>
          <w:ilvl w:val="0"/>
          <w:numId w:val="295"/>
        </w:numPr>
        <w:spacing w:before="120" w:after="0" w:line="360" w:lineRule="auto"/>
        <w:rPr>
          <w:b/>
          <w:szCs w:val="22"/>
          <w:lang w:val="es-MX"/>
        </w:rPr>
      </w:pPr>
      <w:r w:rsidRPr="009A27ED">
        <w:rPr>
          <w:rFonts w:ascii="Times New Roman" w:eastAsia="Times New Roman" w:hAnsi="Times New Roman"/>
          <w:b/>
          <w:sz w:val="24"/>
          <w:szCs w:val="22"/>
          <w:lang w:val="es-MX"/>
        </w:rPr>
        <w:lastRenderedPageBreak/>
        <w:t>Cuencas hidrográficas</w:t>
      </w:r>
    </w:p>
    <w:p w14:paraId="62FCE50A" w14:textId="41F92382" w:rsidR="0004071A" w:rsidRPr="009A27ED" w:rsidRDefault="0004071A" w:rsidP="00A228CE">
      <w:pPr>
        <w:spacing w:before="120" w:after="0" w:line="360" w:lineRule="auto"/>
        <w:rPr>
          <w:szCs w:val="22"/>
          <w:lang w:val="es-MX"/>
        </w:rPr>
      </w:pPr>
      <w:r w:rsidRPr="009A27ED">
        <w:rPr>
          <w:rFonts w:ascii="Times New Roman" w:eastAsia="Times New Roman" w:hAnsi="Times New Roman"/>
          <w:sz w:val="24"/>
          <w:szCs w:val="22"/>
          <w:lang w:val="es-MX"/>
        </w:rPr>
        <w:t>Existen 21 cuerpos de agua presente</w:t>
      </w:r>
      <w:r w:rsidR="00967E85" w:rsidRPr="009A27ED">
        <w:rPr>
          <w:rFonts w:ascii="Times New Roman" w:eastAsia="Times New Roman" w:hAnsi="Times New Roman"/>
          <w:sz w:val="24"/>
          <w:szCs w:val="22"/>
          <w:lang w:val="es-MX"/>
        </w:rPr>
        <w:t>s</w:t>
      </w:r>
      <w:r w:rsidRPr="009A27ED">
        <w:rPr>
          <w:rFonts w:ascii="Times New Roman" w:eastAsia="Times New Roman" w:hAnsi="Times New Roman"/>
          <w:sz w:val="24"/>
          <w:szCs w:val="22"/>
          <w:lang w:val="es-MX"/>
        </w:rPr>
        <w:t xml:space="preserve"> en </w:t>
      </w:r>
      <w:r w:rsidR="00344498" w:rsidRPr="009A27ED">
        <w:rPr>
          <w:rFonts w:ascii="Times New Roman" w:eastAsia="Times New Roman" w:hAnsi="Times New Roman"/>
          <w:sz w:val="24"/>
          <w:szCs w:val="22"/>
          <w:lang w:val="es-MX"/>
        </w:rPr>
        <w:t>las áreas</w:t>
      </w:r>
      <w:r w:rsidRPr="009A27ED">
        <w:rPr>
          <w:rFonts w:ascii="Times New Roman" w:eastAsia="Times New Roman" w:hAnsi="Times New Roman"/>
          <w:sz w:val="24"/>
          <w:szCs w:val="22"/>
          <w:lang w:val="es-MX"/>
        </w:rPr>
        <w:t xml:space="preserve"> seleccionadas como prioritarias, estos alcanzan una longitud de 15,279.63 km</w:t>
      </w:r>
      <w:r w:rsidRPr="009A27ED">
        <w:rPr>
          <w:rFonts w:ascii="Times New Roman" w:eastAsia="Times New Roman" w:hAnsi="Times New Roman"/>
          <w:sz w:val="24"/>
          <w:szCs w:val="22"/>
          <w:vertAlign w:val="superscript"/>
          <w:lang w:val="es-MX"/>
        </w:rPr>
        <w:t>2</w:t>
      </w:r>
      <w:r w:rsidRPr="009A27ED">
        <w:rPr>
          <w:rFonts w:ascii="Times New Roman" w:eastAsia="Times New Roman" w:hAnsi="Times New Roman"/>
          <w:sz w:val="24"/>
          <w:szCs w:val="22"/>
          <w:lang w:val="es-MX"/>
        </w:rPr>
        <w:t xml:space="preserve">, para un 62% de la extensión total ocupada por </w:t>
      </w:r>
      <w:r w:rsidR="00344498" w:rsidRPr="009A27ED">
        <w:rPr>
          <w:rFonts w:ascii="Times New Roman" w:eastAsia="Times New Roman" w:hAnsi="Times New Roman"/>
          <w:sz w:val="24"/>
          <w:szCs w:val="22"/>
          <w:lang w:val="es-MX"/>
        </w:rPr>
        <w:t>estos a</w:t>
      </w:r>
      <w:r w:rsidRPr="009A27ED">
        <w:rPr>
          <w:rFonts w:ascii="Times New Roman" w:eastAsia="Times New Roman" w:hAnsi="Times New Roman"/>
          <w:sz w:val="24"/>
          <w:szCs w:val="22"/>
          <w:lang w:val="es-MX"/>
        </w:rPr>
        <w:t xml:space="preserve"> nivel nacional, que </w:t>
      </w:r>
      <w:r w:rsidR="00344498" w:rsidRPr="009A27ED">
        <w:rPr>
          <w:rFonts w:ascii="Times New Roman" w:eastAsia="Times New Roman" w:hAnsi="Times New Roman"/>
          <w:sz w:val="24"/>
          <w:szCs w:val="22"/>
          <w:lang w:val="es-MX"/>
        </w:rPr>
        <w:t>es de</w:t>
      </w:r>
      <w:r w:rsidR="00791271" w:rsidRPr="009A27ED">
        <w:rPr>
          <w:rFonts w:ascii="Times New Roman" w:eastAsia="Times New Roman" w:hAnsi="Times New Roman"/>
          <w:sz w:val="24"/>
          <w:szCs w:val="22"/>
          <w:lang w:val="es-MX"/>
        </w:rPr>
        <w:t xml:space="preserve"> 24,272 km</w:t>
      </w:r>
      <w:r w:rsidR="00791271" w:rsidRPr="009A27ED">
        <w:rPr>
          <w:rFonts w:ascii="Times New Roman" w:eastAsia="Times New Roman" w:hAnsi="Times New Roman"/>
          <w:sz w:val="24"/>
          <w:szCs w:val="22"/>
          <w:vertAlign w:val="superscript"/>
          <w:lang w:val="es-MX"/>
        </w:rPr>
        <w:t>2</w:t>
      </w:r>
      <w:r w:rsidR="00791271" w:rsidRPr="009A27ED">
        <w:rPr>
          <w:rFonts w:ascii="Times New Roman" w:eastAsia="Times New Roman" w:hAnsi="Times New Roman"/>
          <w:sz w:val="24"/>
          <w:szCs w:val="22"/>
          <w:lang w:val="es-MX"/>
        </w:rPr>
        <w:t xml:space="preserve">.  </w:t>
      </w:r>
      <w:r w:rsidRPr="009A27ED">
        <w:rPr>
          <w:rFonts w:ascii="Times New Roman" w:eastAsia="Times New Roman" w:hAnsi="Times New Roman"/>
          <w:sz w:val="24"/>
          <w:szCs w:val="22"/>
          <w:lang w:val="es-MX"/>
        </w:rPr>
        <w:t xml:space="preserve">Cabe destacar que dentro de </w:t>
      </w:r>
      <w:r w:rsidR="00344498" w:rsidRPr="009A27ED">
        <w:rPr>
          <w:rFonts w:ascii="Times New Roman" w:eastAsia="Times New Roman" w:hAnsi="Times New Roman"/>
          <w:sz w:val="24"/>
          <w:szCs w:val="22"/>
          <w:lang w:val="es-MX"/>
        </w:rPr>
        <w:t>estos cuerpos</w:t>
      </w:r>
      <w:r w:rsidRPr="009A27ED">
        <w:rPr>
          <w:rFonts w:ascii="Times New Roman" w:eastAsia="Times New Roman" w:hAnsi="Times New Roman"/>
          <w:sz w:val="24"/>
          <w:szCs w:val="22"/>
          <w:lang w:val="es-MX"/>
        </w:rPr>
        <w:t xml:space="preserve"> de agua se encuentran las fuentes acuíferas más importantes para el </w:t>
      </w:r>
      <w:r w:rsidR="00344498" w:rsidRPr="009A27ED">
        <w:rPr>
          <w:rFonts w:ascii="Times New Roman" w:eastAsia="Times New Roman" w:hAnsi="Times New Roman"/>
          <w:sz w:val="24"/>
          <w:szCs w:val="22"/>
          <w:lang w:val="es-MX"/>
        </w:rPr>
        <w:t>abastecimiento de</w:t>
      </w:r>
      <w:r w:rsidRPr="009A27ED">
        <w:rPr>
          <w:rFonts w:ascii="Times New Roman" w:eastAsia="Times New Roman" w:hAnsi="Times New Roman"/>
          <w:sz w:val="24"/>
          <w:szCs w:val="22"/>
          <w:lang w:val="es-MX"/>
        </w:rPr>
        <w:t xml:space="preserve"> agua tanto doméstica como riego, </w:t>
      </w:r>
      <w:r w:rsidR="00344498" w:rsidRPr="009A27ED">
        <w:rPr>
          <w:rFonts w:ascii="Times New Roman" w:eastAsia="Times New Roman" w:hAnsi="Times New Roman"/>
          <w:sz w:val="24"/>
          <w:szCs w:val="22"/>
          <w:lang w:val="es-MX"/>
        </w:rPr>
        <w:t>podemos citar</w:t>
      </w:r>
      <w:r w:rsidRPr="009A27ED">
        <w:rPr>
          <w:rFonts w:ascii="Times New Roman" w:eastAsia="Times New Roman" w:hAnsi="Times New Roman"/>
          <w:sz w:val="24"/>
          <w:szCs w:val="22"/>
          <w:lang w:val="es-MX"/>
        </w:rPr>
        <w:t xml:space="preserve"> el Rio </w:t>
      </w:r>
      <w:proofErr w:type="spellStart"/>
      <w:r w:rsidRPr="009A27ED">
        <w:rPr>
          <w:rFonts w:ascii="Times New Roman" w:eastAsia="Times New Roman" w:hAnsi="Times New Roman"/>
          <w:sz w:val="24"/>
          <w:szCs w:val="22"/>
          <w:lang w:val="es-MX"/>
        </w:rPr>
        <w:t>Yaque</w:t>
      </w:r>
      <w:proofErr w:type="spellEnd"/>
      <w:r w:rsidRPr="009A27ED">
        <w:rPr>
          <w:rFonts w:ascii="Times New Roman" w:eastAsia="Times New Roman" w:hAnsi="Times New Roman"/>
          <w:sz w:val="24"/>
          <w:szCs w:val="22"/>
          <w:lang w:val="es-MX"/>
        </w:rPr>
        <w:t xml:space="preserve"> del Norte, que es </w:t>
      </w:r>
      <w:r w:rsidR="00791271" w:rsidRPr="009A27ED">
        <w:rPr>
          <w:rFonts w:ascii="Times New Roman" w:eastAsia="Times New Roman" w:hAnsi="Times New Roman"/>
          <w:sz w:val="24"/>
          <w:szCs w:val="22"/>
          <w:lang w:val="es-MX"/>
        </w:rPr>
        <w:t>el de</w:t>
      </w:r>
      <w:r w:rsidRPr="009A27ED">
        <w:rPr>
          <w:rFonts w:ascii="Times New Roman" w:eastAsia="Times New Roman" w:hAnsi="Times New Roman"/>
          <w:sz w:val="24"/>
          <w:szCs w:val="22"/>
          <w:lang w:val="es-MX"/>
        </w:rPr>
        <w:t xml:space="preserve"> mayor longitud y el 41% de sus aguas bordean las áreas priorizadas, otro rio de importancia es el </w:t>
      </w:r>
      <w:proofErr w:type="spellStart"/>
      <w:r w:rsidRPr="009A27ED">
        <w:rPr>
          <w:rFonts w:ascii="Times New Roman" w:eastAsia="Times New Roman" w:hAnsi="Times New Roman"/>
          <w:sz w:val="24"/>
          <w:szCs w:val="22"/>
          <w:lang w:val="es-MX"/>
        </w:rPr>
        <w:t>Yaque</w:t>
      </w:r>
      <w:proofErr w:type="spellEnd"/>
      <w:r w:rsidRPr="009A27ED">
        <w:rPr>
          <w:rFonts w:ascii="Times New Roman" w:eastAsia="Times New Roman" w:hAnsi="Times New Roman"/>
          <w:sz w:val="24"/>
          <w:szCs w:val="22"/>
          <w:lang w:val="es-MX"/>
        </w:rPr>
        <w:t xml:space="preserve"> del Sur, con una longitud total de 4,972 km</w:t>
      </w:r>
      <w:r w:rsidRPr="009A27ED">
        <w:rPr>
          <w:rFonts w:ascii="Times New Roman" w:eastAsia="Times New Roman" w:hAnsi="Times New Roman"/>
          <w:sz w:val="24"/>
          <w:szCs w:val="22"/>
          <w:vertAlign w:val="superscript"/>
          <w:lang w:val="es-MX"/>
        </w:rPr>
        <w:t>2</w:t>
      </w:r>
      <w:r w:rsidRPr="009A27ED">
        <w:rPr>
          <w:rFonts w:ascii="Times New Roman" w:eastAsia="Times New Roman" w:hAnsi="Times New Roman"/>
          <w:sz w:val="24"/>
          <w:szCs w:val="22"/>
          <w:lang w:val="es-MX"/>
        </w:rPr>
        <w:t xml:space="preserve">, y el 69% impacta las áreas priorizadas </w:t>
      </w:r>
      <w:r w:rsidR="00791271" w:rsidRPr="009A27ED">
        <w:rPr>
          <w:rFonts w:ascii="Times New Roman" w:eastAsia="Times New Roman" w:hAnsi="Times New Roman"/>
          <w:sz w:val="24"/>
          <w:szCs w:val="22"/>
          <w:lang w:val="es-MX"/>
        </w:rPr>
        <w:t>(</w:t>
      </w:r>
      <w:r w:rsidR="00DA3E16" w:rsidRPr="009A27ED">
        <w:rPr>
          <w:rFonts w:ascii="Times New Roman" w:eastAsia="Times New Roman" w:hAnsi="Times New Roman"/>
          <w:sz w:val="24"/>
          <w:szCs w:val="22"/>
          <w:lang w:val="es-MX"/>
        </w:rPr>
        <w:t>Cuadro 9</w:t>
      </w:r>
      <w:r w:rsidR="00A228CE" w:rsidRPr="009A27ED">
        <w:rPr>
          <w:rFonts w:ascii="Times New Roman" w:eastAsia="Times New Roman" w:hAnsi="Times New Roman"/>
          <w:sz w:val="24"/>
          <w:szCs w:val="22"/>
          <w:lang w:val="es-MX"/>
        </w:rPr>
        <w:t>).</w:t>
      </w:r>
    </w:p>
    <w:p w14:paraId="78D1F056" w14:textId="62B45E7B" w:rsidR="0004071A" w:rsidRPr="009A27ED" w:rsidRDefault="0004071A" w:rsidP="005B6485">
      <w:pPr>
        <w:spacing w:before="120" w:after="0" w:line="360" w:lineRule="auto"/>
        <w:rPr>
          <w:szCs w:val="22"/>
          <w:lang w:val="es-MX"/>
        </w:rPr>
      </w:pPr>
      <w:r w:rsidRPr="009A27ED">
        <w:rPr>
          <w:rFonts w:ascii="Times New Roman" w:eastAsia="Times New Roman" w:hAnsi="Times New Roman"/>
          <w:sz w:val="24"/>
          <w:szCs w:val="22"/>
          <w:lang w:val="es-MX"/>
        </w:rPr>
        <w:t>Dentro de las áreas priorizadas las áreas 1 y 3 son las que presentan mayores cuerpos de agua en sus territorios, la 1 con 3274 km</w:t>
      </w:r>
      <w:r w:rsidRPr="009A27ED">
        <w:rPr>
          <w:rFonts w:ascii="Times New Roman" w:eastAsia="Times New Roman" w:hAnsi="Times New Roman"/>
          <w:sz w:val="24"/>
          <w:szCs w:val="22"/>
          <w:vertAlign w:val="superscript"/>
          <w:lang w:val="es-MX"/>
        </w:rPr>
        <w:t>2</w:t>
      </w:r>
      <w:r w:rsidRPr="009A27ED">
        <w:rPr>
          <w:rFonts w:ascii="Times New Roman" w:eastAsia="Times New Roman" w:hAnsi="Times New Roman"/>
          <w:sz w:val="24"/>
          <w:szCs w:val="22"/>
          <w:lang w:val="es-MX"/>
        </w:rPr>
        <w:t xml:space="preserve">, compuesto por 5 fuentes acuíferas, incluidas dos de las principales: </w:t>
      </w:r>
      <w:proofErr w:type="spellStart"/>
      <w:r w:rsidRPr="009A27ED">
        <w:rPr>
          <w:rFonts w:ascii="Times New Roman" w:eastAsia="Times New Roman" w:hAnsi="Times New Roman"/>
          <w:sz w:val="24"/>
          <w:szCs w:val="22"/>
          <w:lang w:val="es-MX"/>
        </w:rPr>
        <w:t>Yaque</w:t>
      </w:r>
      <w:proofErr w:type="spellEnd"/>
      <w:r w:rsidRPr="009A27ED">
        <w:rPr>
          <w:rFonts w:ascii="Times New Roman" w:eastAsia="Times New Roman" w:hAnsi="Times New Roman"/>
          <w:sz w:val="24"/>
          <w:szCs w:val="22"/>
          <w:lang w:val="es-MX"/>
        </w:rPr>
        <w:t xml:space="preserve"> del Norte y Artibonito. El área 3 presenta una extensión de fuentes acuíferas de 6,095.58 km</w:t>
      </w:r>
      <w:r w:rsidRPr="009A27ED">
        <w:rPr>
          <w:rFonts w:ascii="Times New Roman" w:eastAsia="Times New Roman" w:hAnsi="Times New Roman"/>
          <w:sz w:val="24"/>
          <w:szCs w:val="22"/>
          <w:vertAlign w:val="superscript"/>
          <w:lang w:val="es-MX"/>
        </w:rPr>
        <w:t>2</w:t>
      </w:r>
      <w:r w:rsidRPr="009A27ED">
        <w:rPr>
          <w:rFonts w:ascii="Times New Roman" w:eastAsia="Times New Roman" w:hAnsi="Times New Roman"/>
          <w:sz w:val="24"/>
          <w:szCs w:val="22"/>
          <w:lang w:val="es-MX"/>
        </w:rPr>
        <w:t xml:space="preserve">, incluye 10 fuentes acuíferas, siendo los más importantes el </w:t>
      </w:r>
      <w:proofErr w:type="spellStart"/>
      <w:r w:rsidRPr="009A27ED">
        <w:rPr>
          <w:rFonts w:ascii="Times New Roman" w:eastAsia="Times New Roman" w:hAnsi="Times New Roman"/>
          <w:sz w:val="24"/>
          <w:szCs w:val="22"/>
          <w:lang w:val="es-MX"/>
        </w:rPr>
        <w:t>Yaque</w:t>
      </w:r>
      <w:proofErr w:type="spellEnd"/>
      <w:r w:rsidRPr="009A27ED">
        <w:rPr>
          <w:rFonts w:ascii="Times New Roman" w:eastAsia="Times New Roman" w:hAnsi="Times New Roman"/>
          <w:sz w:val="24"/>
          <w:szCs w:val="22"/>
          <w:lang w:val="es-MX"/>
        </w:rPr>
        <w:t xml:space="preserve"> del Sur y Artibonito</w:t>
      </w:r>
      <w:r w:rsidR="00791271" w:rsidRPr="009A27ED">
        <w:rPr>
          <w:rFonts w:ascii="Times New Roman" w:eastAsia="Times New Roman" w:hAnsi="Times New Roman"/>
          <w:sz w:val="24"/>
          <w:szCs w:val="22"/>
          <w:lang w:val="es-MX"/>
        </w:rPr>
        <w:t>.</w:t>
      </w:r>
    </w:p>
    <w:p w14:paraId="38CA0386" w14:textId="77777777" w:rsidR="00B90A11" w:rsidRPr="009A27ED" w:rsidRDefault="00B90A11" w:rsidP="00B90A11">
      <w:pPr>
        <w:pStyle w:val="Descripcin"/>
        <w:spacing w:line="360" w:lineRule="auto"/>
        <w:rPr>
          <w:color w:val="000000" w:themeColor="text1"/>
          <w:sz w:val="20"/>
        </w:rPr>
      </w:pPr>
      <w:bookmarkStart w:id="132" w:name="_Ref3798798"/>
    </w:p>
    <w:p w14:paraId="47FC86B9" w14:textId="0B0AF1CC" w:rsidR="004E6BAE" w:rsidRPr="009A27ED" w:rsidRDefault="004E6BAE" w:rsidP="004E6BAE">
      <w:pPr>
        <w:pStyle w:val="Descripcin"/>
        <w:spacing w:line="360" w:lineRule="auto"/>
        <w:rPr>
          <w:color w:val="000000" w:themeColor="text1"/>
          <w:sz w:val="32"/>
        </w:rPr>
      </w:pPr>
      <w:bookmarkStart w:id="133" w:name="_Toc111887419"/>
      <w:bookmarkEnd w:id="132"/>
      <w:r w:rsidRPr="009A27ED">
        <w:rPr>
          <w:rFonts w:ascii="Times New Roman" w:eastAsia="Times New Roman" w:hAnsi="Times New Roman"/>
          <w:sz w:val="24"/>
        </w:rPr>
        <w:t xml:space="preserve">Cuadro </w:t>
      </w:r>
      <w:r w:rsidR="00F43DB6" w:rsidRPr="009A27ED">
        <w:rPr>
          <w:rFonts w:ascii="Times New Roman" w:eastAsia="Times New Roman" w:hAnsi="Times New Roman"/>
          <w:sz w:val="24"/>
        </w:rPr>
        <w:fldChar w:fldCharType="begin"/>
      </w:r>
      <w:r w:rsidR="00F43DB6" w:rsidRPr="009A27ED">
        <w:rPr>
          <w:rFonts w:ascii="Times New Roman" w:eastAsia="Times New Roman" w:hAnsi="Times New Roman"/>
          <w:sz w:val="24"/>
        </w:rPr>
        <w:instrText xml:space="preserve"> SEQ Cuadro \* ARABIC </w:instrText>
      </w:r>
      <w:r w:rsidR="00F43DB6"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9</w:t>
      </w:r>
      <w:r w:rsidR="00F43DB6" w:rsidRPr="009A27ED">
        <w:rPr>
          <w:rFonts w:ascii="Times New Roman" w:eastAsia="Times New Roman" w:hAnsi="Times New Roman"/>
          <w:sz w:val="24"/>
        </w:rPr>
        <w:fldChar w:fldCharType="end"/>
      </w:r>
      <w:r w:rsidRPr="009A27ED">
        <w:rPr>
          <w:rFonts w:ascii="Times New Roman" w:eastAsia="Times New Roman" w:hAnsi="Times New Roman"/>
          <w:sz w:val="24"/>
        </w:rPr>
        <w:t xml:space="preserve">. </w:t>
      </w:r>
      <w:r w:rsidRPr="009A27ED">
        <w:rPr>
          <w:rFonts w:ascii="Times New Roman" w:eastAsia="Times New Roman" w:hAnsi="Times New Roman"/>
          <w:color w:val="000000" w:themeColor="text1"/>
          <w:sz w:val="24"/>
        </w:rPr>
        <w:t>Cuencas hidrográficas presentes en las áreas priorizadas</w:t>
      </w:r>
      <w:bookmarkEnd w:id="133"/>
    </w:p>
    <w:p w14:paraId="386CAFB4" w14:textId="77777777" w:rsidR="00791271" w:rsidRPr="009A27ED" w:rsidRDefault="0004071A" w:rsidP="00791271">
      <w:pPr>
        <w:keepNext/>
        <w:spacing w:after="0" w:line="360" w:lineRule="auto"/>
      </w:pPr>
      <w:r w:rsidRPr="009A27ED">
        <w:rPr>
          <w:rFonts w:ascii="Times New Roman" w:eastAsia="Times New Roman" w:hAnsi="Times New Roman"/>
          <w:noProof/>
          <w:sz w:val="24"/>
          <w:szCs w:val="22"/>
          <w:lang w:val="en-US"/>
        </w:rPr>
        <w:lastRenderedPageBreak/>
        <w:drawing>
          <wp:inline distT="0" distB="0" distL="0" distR="0" wp14:anchorId="44659E7E" wp14:editId="097E1328">
            <wp:extent cx="5943600" cy="4929746"/>
            <wp:effectExtent l="0" t="0" r="0" b="4445"/>
            <wp:docPr id="2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943600" cy="4929746"/>
                    </a:xfrm>
                    <a:prstGeom prst="rect">
                      <a:avLst/>
                    </a:prstGeom>
                    <a:noFill/>
                    <a:ln>
                      <a:noFill/>
                    </a:ln>
                  </pic:spPr>
                </pic:pic>
              </a:graphicData>
            </a:graphic>
          </wp:inline>
        </w:drawing>
      </w:r>
    </w:p>
    <w:p w14:paraId="1872E2A3" w14:textId="0D01BCA7" w:rsidR="002F3F2C" w:rsidRPr="009A27ED" w:rsidRDefault="0004071A" w:rsidP="005B6485">
      <w:pPr>
        <w:pStyle w:val="Sinespaciado"/>
        <w:spacing w:before="120" w:line="360" w:lineRule="auto"/>
      </w:pPr>
      <w:r w:rsidRPr="009A27ED">
        <w:rPr>
          <w:rFonts w:ascii="Times New Roman" w:eastAsia="Times New Roman" w:hAnsi="Times New Roman"/>
          <w:sz w:val="24"/>
        </w:rPr>
        <w:t xml:space="preserve">Otro dato importante a </w:t>
      </w:r>
      <w:proofErr w:type="gramStart"/>
      <w:r w:rsidRPr="009A27ED">
        <w:rPr>
          <w:rFonts w:ascii="Times New Roman" w:eastAsia="Times New Roman" w:hAnsi="Times New Roman"/>
          <w:sz w:val="24"/>
        </w:rPr>
        <w:t>destacar,  asociado</w:t>
      </w:r>
      <w:proofErr w:type="gramEnd"/>
      <w:r w:rsidRPr="009A27ED">
        <w:rPr>
          <w:rFonts w:ascii="Times New Roman" w:eastAsia="Times New Roman" w:hAnsi="Times New Roman"/>
          <w:sz w:val="24"/>
        </w:rPr>
        <w:t xml:space="preserve"> a las cuencas hidrográficas es que las  zonas de los distritos de  riego más extensas están en las cuencas de los ríos </w:t>
      </w:r>
      <w:proofErr w:type="spellStart"/>
      <w:r w:rsidRPr="009A27ED">
        <w:rPr>
          <w:rFonts w:ascii="Times New Roman" w:eastAsia="Times New Roman" w:hAnsi="Times New Roman"/>
          <w:sz w:val="24"/>
        </w:rPr>
        <w:t>Yaque</w:t>
      </w:r>
      <w:proofErr w:type="spellEnd"/>
      <w:r w:rsidRPr="009A27ED">
        <w:rPr>
          <w:rFonts w:ascii="Times New Roman" w:eastAsia="Times New Roman" w:hAnsi="Times New Roman"/>
          <w:sz w:val="24"/>
        </w:rPr>
        <w:t xml:space="preserve"> del Norte, </w:t>
      </w:r>
      <w:proofErr w:type="spellStart"/>
      <w:r w:rsidRPr="009A27ED">
        <w:rPr>
          <w:rFonts w:ascii="Times New Roman" w:eastAsia="Times New Roman" w:hAnsi="Times New Roman"/>
          <w:sz w:val="24"/>
        </w:rPr>
        <w:t>Yaque</w:t>
      </w:r>
      <w:proofErr w:type="spellEnd"/>
      <w:r w:rsidRPr="009A27ED">
        <w:rPr>
          <w:rFonts w:ascii="Times New Roman" w:eastAsia="Times New Roman" w:hAnsi="Times New Roman"/>
          <w:sz w:val="24"/>
        </w:rPr>
        <w:t xml:space="preserve"> del Sur y Yuna (principales cuerpos de agua dentro de las áreas </w:t>
      </w:r>
      <w:proofErr w:type="gramStart"/>
      <w:r w:rsidRPr="009A27ED">
        <w:rPr>
          <w:rFonts w:ascii="Times New Roman" w:eastAsia="Times New Roman" w:hAnsi="Times New Roman"/>
          <w:sz w:val="24"/>
        </w:rPr>
        <w:t>priorizadas)  Las</w:t>
      </w:r>
      <w:proofErr w:type="gramEnd"/>
      <w:r w:rsidRPr="009A27ED">
        <w:rPr>
          <w:rFonts w:ascii="Times New Roman" w:eastAsia="Times New Roman" w:hAnsi="Times New Roman"/>
          <w:sz w:val="24"/>
        </w:rPr>
        <w:t xml:space="preserve"> primeras dos cuencas están bajo condición de estrés hídrico del 97% y el 86%, respectivamente, según datos del balance hídrico obtenidos en el Plan Hidrológico Nacional</w:t>
      </w:r>
      <w:sdt>
        <w:sdtPr>
          <w:id w:val="-364985938"/>
          <w:citation/>
        </w:sdtPr>
        <w:sdtContent>
          <w:r w:rsidRPr="009A27ED">
            <w:fldChar w:fldCharType="begin"/>
          </w:r>
          <w:r w:rsidRPr="009A27ED">
            <w:instrText xml:space="preserve"> CITATION IND09 \l 1033 </w:instrText>
          </w:r>
          <w:r w:rsidRPr="009A27ED">
            <w:fldChar w:fldCharType="separate"/>
          </w:r>
          <w:r w:rsidRPr="009A27ED">
            <w:rPr>
              <w:noProof/>
            </w:rPr>
            <w:t xml:space="preserve"> (INDRHI, 2009)</w:t>
          </w:r>
          <w:r w:rsidRPr="009A27ED">
            <w:fldChar w:fldCharType="end"/>
          </w:r>
        </w:sdtContent>
      </w:sdt>
      <w:r w:rsidRPr="009A27ED">
        <w:rPr>
          <w:rFonts w:ascii="Times New Roman" w:eastAsia="Times New Roman" w:hAnsi="Times New Roman"/>
          <w:sz w:val="24"/>
        </w:rPr>
        <w:t xml:space="preserve">. En el </w:t>
      </w:r>
      <w:proofErr w:type="spellStart"/>
      <w:r w:rsidRPr="009A27ED">
        <w:rPr>
          <w:rFonts w:ascii="Times New Roman" w:eastAsia="Times New Roman" w:hAnsi="Times New Roman"/>
          <w:sz w:val="24"/>
        </w:rPr>
        <w:t>Yaque</w:t>
      </w:r>
      <w:proofErr w:type="spellEnd"/>
      <w:r w:rsidRPr="009A27ED">
        <w:rPr>
          <w:rFonts w:ascii="Times New Roman" w:eastAsia="Times New Roman" w:hAnsi="Times New Roman"/>
          <w:sz w:val="24"/>
        </w:rPr>
        <w:t xml:space="preserve"> del Norte, la extensión de la zona de riego es igual al área de toda la cuenca del río </w:t>
      </w:r>
      <w:proofErr w:type="spellStart"/>
      <w:r w:rsidRPr="009A27ED">
        <w:rPr>
          <w:rFonts w:ascii="Times New Roman" w:eastAsia="Times New Roman" w:hAnsi="Times New Roman"/>
          <w:sz w:val="24"/>
        </w:rPr>
        <w:t>Nizao</w:t>
      </w:r>
      <w:proofErr w:type="spellEnd"/>
      <w:r w:rsidRPr="009A27ED">
        <w:rPr>
          <w:rFonts w:ascii="Times New Roman" w:eastAsia="Times New Roman" w:hAnsi="Times New Roman"/>
          <w:sz w:val="24"/>
        </w:rPr>
        <w:t>.  Las áreas bajo riego por municipios y por subcuencas se m</w:t>
      </w:r>
      <w:r w:rsidR="002F3F2C" w:rsidRPr="009A27ED">
        <w:rPr>
          <w:rFonts w:ascii="Times New Roman" w:eastAsia="Times New Roman" w:hAnsi="Times New Roman"/>
          <w:sz w:val="24"/>
        </w:rPr>
        <w:t xml:space="preserve">uestran en </w:t>
      </w:r>
      <w:r w:rsidR="00B90A11" w:rsidRPr="009A27ED">
        <w:rPr>
          <w:rFonts w:ascii="Times New Roman" w:eastAsia="Times New Roman" w:hAnsi="Times New Roman"/>
          <w:sz w:val="24"/>
        </w:rPr>
        <w:t xml:space="preserve">el </w:t>
      </w:r>
      <w:r w:rsidR="002F3F2C" w:rsidRPr="009A27ED">
        <w:rPr>
          <w:rFonts w:ascii="Times New Roman" w:eastAsia="Times New Roman" w:hAnsi="Times New Roman"/>
          <w:sz w:val="24"/>
        </w:rPr>
        <w:t xml:space="preserve">siguiente </w:t>
      </w:r>
      <w:r w:rsidR="00B90A11" w:rsidRPr="009A27ED">
        <w:rPr>
          <w:rFonts w:ascii="Times New Roman" w:eastAsia="Times New Roman" w:hAnsi="Times New Roman"/>
          <w:sz w:val="24"/>
        </w:rPr>
        <w:t>cuadro</w:t>
      </w:r>
      <w:r w:rsidR="002F3F2C" w:rsidRPr="009A27ED">
        <w:rPr>
          <w:rFonts w:ascii="Times New Roman" w:eastAsia="Times New Roman" w:hAnsi="Times New Roman"/>
          <w:sz w:val="24"/>
        </w:rPr>
        <w:t xml:space="preserve">. </w:t>
      </w:r>
    </w:p>
    <w:p w14:paraId="16AF04DF" w14:textId="2EE3F317" w:rsidR="001E165D" w:rsidRPr="009A27ED" w:rsidRDefault="001E165D" w:rsidP="005B6485">
      <w:pPr>
        <w:pStyle w:val="Sinespaciado"/>
        <w:spacing w:before="120" w:line="360" w:lineRule="auto"/>
      </w:pPr>
    </w:p>
    <w:p w14:paraId="79F19584" w14:textId="4401D2D4" w:rsidR="00B22469" w:rsidRPr="009A27ED" w:rsidRDefault="00B22469" w:rsidP="005B6485">
      <w:pPr>
        <w:pStyle w:val="Sinespaciado"/>
        <w:spacing w:before="120" w:line="360" w:lineRule="auto"/>
      </w:pPr>
    </w:p>
    <w:p w14:paraId="1501DBD2" w14:textId="77777777" w:rsidR="00B22469" w:rsidRPr="009A27ED" w:rsidRDefault="00B22469" w:rsidP="005B6485">
      <w:pPr>
        <w:pStyle w:val="Sinespaciado"/>
        <w:spacing w:before="120" w:line="360" w:lineRule="auto"/>
      </w:pPr>
    </w:p>
    <w:p w14:paraId="23C0D886" w14:textId="7E47972A" w:rsidR="004E6BAE" w:rsidRPr="009A27ED" w:rsidRDefault="004E6BAE" w:rsidP="004E6BAE">
      <w:pPr>
        <w:pStyle w:val="Descripcin"/>
        <w:spacing w:after="0" w:line="360" w:lineRule="auto"/>
        <w:rPr>
          <w:b/>
          <w:color w:val="000000" w:themeColor="text1"/>
          <w:sz w:val="22"/>
          <w:szCs w:val="20"/>
          <w:lang w:val="es-MX"/>
        </w:rPr>
      </w:pPr>
      <w:r w:rsidRPr="009A27ED">
        <w:rPr>
          <w:rFonts w:ascii="Times New Roman" w:eastAsia="Times New Roman" w:hAnsi="Times New Roman"/>
          <w:sz w:val="24"/>
        </w:rPr>
        <w:lastRenderedPageBreak/>
        <w:t xml:space="preserve">                    </w:t>
      </w:r>
      <w:bookmarkStart w:id="134" w:name="_Toc111887420"/>
      <w:r w:rsidRPr="009A27ED">
        <w:rPr>
          <w:rFonts w:ascii="Times New Roman" w:eastAsia="Times New Roman" w:hAnsi="Times New Roman"/>
          <w:sz w:val="24"/>
        </w:rPr>
        <w:t xml:space="preserve">Cuadro </w:t>
      </w:r>
      <w:r w:rsidR="00F43DB6" w:rsidRPr="009A27ED">
        <w:rPr>
          <w:rFonts w:ascii="Times New Roman" w:eastAsia="Times New Roman" w:hAnsi="Times New Roman"/>
          <w:sz w:val="24"/>
        </w:rPr>
        <w:fldChar w:fldCharType="begin"/>
      </w:r>
      <w:r w:rsidR="00F43DB6" w:rsidRPr="009A27ED">
        <w:rPr>
          <w:rFonts w:ascii="Times New Roman" w:eastAsia="Times New Roman" w:hAnsi="Times New Roman"/>
          <w:sz w:val="24"/>
        </w:rPr>
        <w:instrText xml:space="preserve"> SEQ Cuadro \* ARABIC </w:instrText>
      </w:r>
      <w:r w:rsidR="00F43DB6"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10</w:t>
      </w:r>
      <w:r w:rsidR="00F43DB6" w:rsidRPr="009A27ED">
        <w:rPr>
          <w:rFonts w:ascii="Times New Roman" w:eastAsia="Times New Roman" w:hAnsi="Times New Roman"/>
          <w:sz w:val="24"/>
        </w:rPr>
        <w:fldChar w:fldCharType="end"/>
      </w:r>
      <w:proofErr w:type="gramStart"/>
      <w:r w:rsidRPr="009A27ED">
        <w:rPr>
          <w:rFonts w:ascii="Times New Roman" w:eastAsia="Times New Roman" w:hAnsi="Times New Roman"/>
          <w:sz w:val="24"/>
        </w:rPr>
        <w:t>.</w:t>
      </w:r>
      <w:r w:rsidRPr="009A27ED">
        <w:rPr>
          <w:rFonts w:ascii="Times New Roman" w:eastAsia="Times New Roman" w:hAnsi="Times New Roman"/>
          <w:color w:val="000000" w:themeColor="text1"/>
          <w:sz w:val="24"/>
        </w:rPr>
        <w:t xml:space="preserve"> .</w:t>
      </w:r>
      <w:proofErr w:type="gramEnd"/>
      <w:r w:rsidRPr="009A27ED">
        <w:rPr>
          <w:rFonts w:ascii="Times New Roman" w:eastAsia="Times New Roman" w:hAnsi="Times New Roman"/>
          <w:color w:val="000000" w:themeColor="text1"/>
          <w:sz w:val="24"/>
        </w:rPr>
        <w:t xml:space="preserve"> Datos de los distritos de riego</w:t>
      </w:r>
      <w:bookmarkEnd w:id="134"/>
    </w:p>
    <w:tbl>
      <w:tblPr>
        <w:tblW w:w="7192" w:type="dxa"/>
        <w:jc w:val="center"/>
        <w:tblLook w:val="04A0" w:firstRow="1" w:lastRow="0" w:firstColumn="1" w:lastColumn="0" w:noHBand="0" w:noVBand="1"/>
      </w:tblPr>
      <w:tblGrid>
        <w:gridCol w:w="617"/>
        <w:gridCol w:w="2078"/>
        <w:gridCol w:w="1980"/>
        <w:gridCol w:w="1392"/>
        <w:gridCol w:w="1125"/>
      </w:tblGrid>
      <w:tr w:rsidR="00D4690F" w:rsidRPr="009A27ED" w14:paraId="3F7EED3A" w14:textId="77777777" w:rsidTr="00852881">
        <w:trPr>
          <w:trHeight w:val="260"/>
          <w:jc w:val="center"/>
        </w:trPr>
        <w:tc>
          <w:tcPr>
            <w:tcW w:w="617" w:type="dxa"/>
            <w:tcBorders>
              <w:top w:val="single" w:sz="4" w:space="0" w:color="auto"/>
              <w:left w:val="single" w:sz="4" w:space="0" w:color="auto"/>
              <w:bottom w:val="single" w:sz="4" w:space="0" w:color="auto"/>
              <w:right w:val="single" w:sz="4" w:space="0" w:color="auto"/>
            </w:tcBorders>
            <w:shd w:val="clear" w:color="auto" w:fill="0070C0"/>
            <w:noWrap/>
            <w:vAlign w:val="center"/>
            <w:hideMark/>
          </w:tcPr>
          <w:p w14:paraId="3B1DF453" w14:textId="77777777" w:rsidR="0004071A" w:rsidRPr="009A27ED" w:rsidRDefault="0004071A" w:rsidP="00E87E84">
            <w:pPr>
              <w:spacing w:after="0"/>
              <w:rPr>
                <w:rFonts w:eastAsia="Times New Roman"/>
                <w:b/>
                <w:color w:val="FFFFFF" w:themeColor="background1"/>
                <w:sz w:val="20"/>
                <w:szCs w:val="20"/>
              </w:rPr>
            </w:pPr>
            <w:r w:rsidRPr="009A27ED">
              <w:rPr>
                <w:rFonts w:eastAsia="Times New Roman"/>
                <w:b/>
                <w:color w:val="FFFFFF" w:themeColor="background1"/>
                <w:sz w:val="20"/>
                <w:szCs w:val="20"/>
              </w:rPr>
              <w:t>No.</w:t>
            </w:r>
          </w:p>
        </w:tc>
        <w:tc>
          <w:tcPr>
            <w:tcW w:w="2078" w:type="dxa"/>
            <w:tcBorders>
              <w:top w:val="single" w:sz="4" w:space="0" w:color="auto"/>
              <w:left w:val="nil"/>
              <w:bottom w:val="single" w:sz="4" w:space="0" w:color="auto"/>
              <w:right w:val="single" w:sz="4" w:space="0" w:color="auto"/>
            </w:tcBorders>
            <w:shd w:val="clear" w:color="auto" w:fill="0070C0"/>
            <w:noWrap/>
            <w:vAlign w:val="center"/>
            <w:hideMark/>
          </w:tcPr>
          <w:p w14:paraId="0732E754" w14:textId="77777777" w:rsidR="0004071A" w:rsidRPr="009A27ED" w:rsidRDefault="0004071A" w:rsidP="00E87E84">
            <w:pPr>
              <w:spacing w:after="0"/>
              <w:jc w:val="center"/>
              <w:rPr>
                <w:rFonts w:eastAsia="Times New Roman"/>
                <w:b/>
                <w:color w:val="FFFFFF" w:themeColor="background1"/>
                <w:sz w:val="20"/>
                <w:szCs w:val="20"/>
              </w:rPr>
            </w:pPr>
            <w:r w:rsidRPr="009A27ED">
              <w:rPr>
                <w:rFonts w:eastAsia="Times New Roman"/>
                <w:b/>
                <w:color w:val="FFFFFF" w:themeColor="background1"/>
                <w:sz w:val="20"/>
                <w:szCs w:val="20"/>
              </w:rPr>
              <w:t>Distritos de Riego</w:t>
            </w:r>
          </w:p>
        </w:tc>
        <w:tc>
          <w:tcPr>
            <w:tcW w:w="1980" w:type="dxa"/>
            <w:tcBorders>
              <w:top w:val="single" w:sz="4" w:space="0" w:color="auto"/>
              <w:left w:val="nil"/>
              <w:bottom w:val="single" w:sz="4" w:space="0" w:color="auto"/>
              <w:right w:val="single" w:sz="4" w:space="0" w:color="auto"/>
            </w:tcBorders>
            <w:shd w:val="clear" w:color="auto" w:fill="0070C0"/>
            <w:noWrap/>
            <w:vAlign w:val="bottom"/>
            <w:hideMark/>
          </w:tcPr>
          <w:p w14:paraId="46E12675" w14:textId="03BE34A2" w:rsidR="0004071A" w:rsidRPr="009A27ED" w:rsidRDefault="004630BE" w:rsidP="00E87E84">
            <w:pPr>
              <w:spacing w:after="0"/>
              <w:jc w:val="center"/>
              <w:rPr>
                <w:rFonts w:eastAsia="Times New Roman"/>
                <w:b/>
                <w:color w:val="FFFFFF" w:themeColor="background1"/>
                <w:sz w:val="20"/>
                <w:szCs w:val="20"/>
              </w:rPr>
            </w:pPr>
            <w:r w:rsidRPr="009A27ED">
              <w:rPr>
                <w:rFonts w:eastAsia="Times New Roman"/>
                <w:b/>
                <w:color w:val="FFFFFF" w:themeColor="background1"/>
                <w:sz w:val="20"/>
                <w:szCs w:val="20"/>
              </w:rPr>
              <w:t>Área</w:t>
            </w:r>
            <w:r w:rsidR="0004071A" w:rsidRPr="009A27ED">
              <w:rPr>
                <w:rFonts w:eastAsia="Times New Roman"/>
                <w:b/>
                <w:color w:val="FFFFFF" w:themeColor="background1"/>
                <w:sz w:val="20"/>
                <w:szCs w:val="20"/>
              </w:rPr>
              <w:t xml:space="preserve"> Bajo Riego (Ha)</w:t>
            </w:r>
          </w:p>
        </w:tc>
        <w:tc>
          <w:tcPr>
            <w:tcW w:w="1392" w:type="dxa"/>
            <w:tcBorders>
              <w:top w:val="single" w:sz="4" w:space="0" w:color="auto"/>
              <w:left w:val="nil"/>
              <w:bottom w:val="nil"/>
              <w:right w:val="single" w:sz="4" w:space="0" w:color="auto"/>
            </w:tcBorders>
            <w:shd w:val="clear" w:color="auto" w:fill="0070C0"/>
            <w:noWrap/>
            <w:vAlign w:val="center"/>
            <w:hideMark/>
          </w:tcPr>
          <w:p w14:paraId="468D1F09" w14:textId="77777777" w:rsidR="0004071A" w:rsidRPr="009A27ED" w:rsidRDefault="0004071A" w:rsidP="00E87E84">
            <w:pPr>
              <w:spacing w:after="0"/>
              <w:jc w:val="center"/>
              <w:rPr>
                <w:rFonts w:eastAsia="Times New Roman"/>
                <w:b/>
                <w:color w:val="FFFFFF" w:themeColor="background1"/>
                <w:sz w:val="20"/>
                <w:szCs w:val="20"/>
              </w:rPr>
            </w:pPr>
            <w:r w:rsidRPr="009A27ED">
              <w:rPr>
                <w:rFonts w:eastAsia="Times New Roman"/>
                <w:b/>
                <w:color w:val="FFFFFF" w:themeColor="background1"/>
                <w:sz w:val="20"/>
                <w:szCs w:val="20"/>
              </w:rPr>
              <w:t># Usuarios</w:t>
            </w:r>
          </w:p>
        </w:tc>
        <w:tc>
          <w:tcPr>
            <w:tcW w:w="1125" w:type="dxa"/>
            <w:tcBorders>
              <w:top w:val="single" w:sz="4" w:space="0" w:color="auto"/>
              <w:left w:val="nil"/>
              <w:bottom w:val="single" w:sz="4" w:space="0" w:color="auto"/>
              <w:right w:val="single" w:sz="4" w:space="0" w:color="auto"/>
            </w:tcBorders>
            <w:shd w:val="clear" w:color="auto" w:fill="0070C0"/>
            <w:noWrap/>
            <w:vAlign w:val="bottom"/>
            <w:hideMark/>
          </w:tcPr>
          <w:p w14:paraId="2EEC6F84" w14:textId="77777777" w:rsidR="0004071A" w:rsidRPr="009A27ED" w:rsidRDefault="0004071A" w:rsidP="00E87E84">
            <w:pPr>
              <w:spacing w:after="0"/>
              <w:jc w:val="center"/>
              <w:rPr>
                <w:rFonts w:eastAsia="Times New Roman"/>
                <w:b/>
                <w:color w:val="FFFFFF" w:themeColor="background1"/>
                <w:sz w:val="20"/>
                <w:szCs w:val="20"/>
              </w:rPr>
            </w:pPr>
            <w:r w:rsidRPr="009A27ED">
              <w:rPr>
                <w:rFonts w:eastAsia="Times New Roman"/>
                <w:b/>
                <w:color w:val="FFFFFF" w:themeColor="background1"/>
                <w:sz w:val="20"/>
                <w:szCs w:val="20"/>
              </w:rPr>
              <w:t>Long (km)</w:t>
            </w:r>
          </w:p>
        </w:tc>
      </w:tr>
      <w:tr w:rsidR="0004071A" w:rsidRPr="009A27ED" w14:paraId="6865108B" w14:textId="77777777" w:rsidTr="00852881">
        <w:trPr>
          <w:trHeight w:val="94"/>
          <w:jc w:val="center"/>
        </w:trPr>
        <w:tc>
          <w:tcPr>
            <w:tcW w:w="617" w:type="dxa"/>
            <w:tcBorders>
              <w:top w:val="nil"/>
              <w:left w:val="single" w:sz="4" w:space="0" w:color="auto"/>
              <w:bottom w:val="single" w:sz="4" w:space="0" w:color="auto"/>
              <w:right w:val="single" w:sz="4" w:space="0" w:color="auto"/>
            </w:tcBorders>
            <w:shd w:val="clear" w:color="auto" w:fill="auto"/>
            <w:noWrap/>
            <w:vAlign w:val="center"/>
            <w:hideMark/>
          </w:tcPr>
          <w:p w14:paraId="035F8E7C" w14:textId="77777777" w:rsidR="0004071A" w:rsidRPr="009A27ED" w:rsidRDefault="0004071A" w:rsidP="00E87E84">
            <w:pPr>
              <w:spacing w:after="0"/>
              <w:jc w:val="center"/>
              <w:rPr>
                <w:rFonts w:eastAsia="Times New Roman"/>
                <w:color w:val="000000"/>
                <w:sz w:val="20"/>
                <w:szCs w:val="20"/>
              </w:rPr>
            </w:pPr>
            <w:r w:rsidRPr="009A27ED">
              <w:rPr>
                <w:rFonts w:eastAsia="Times New Roman"/>
                <w:color w:val="000000"/>
                <w:sz w:val="20"/>
                <w:szCs w:val="20"/>
              </w:rPr>
              <w:t>1</w:t>
            </w:r>
          </w:p>
        </w:tc>
        <w:tc>
          <w:tcPr>
            <w:tcW w:w="2078" w:type="dxa"/>
            <w:tcBorders>
              <w:top w:val="nil"/>
              <w:left w:val="nil"/>
              <w:bottom w:val="single" w:sz="4" w:space="0" w:color="auto"/>
              <w:right w:val="single" w:sz="4" w:space="0" w:color="auto"/>
            </w:tcBorders>
            <w:shd w:val="clear" w:color="auto" w:fill="auto"/>
            <w:noWrap/>
            <w:vAlign w:val="center"/>
            <w:hideMark/>
          </w:tcPr>
          <w:p w14:paraId="03E9D84F" w14:textId="77777777" w:rsidR="0004071A" w:rsidRPr="009A27ED" w:rsidRDefault="0004071A" w:rsidP="00E87E84">
            <w:pPr>
              <w:spacing w:after="0"/>
              <w:rPr>
                <w:rFonts w:eastAsia="Times New Roman"/>
                <w:color w:val="000000"/>
                <w:sz w:val="20"/>
                <w:szCs w:val="20"/>
              </w:rPr>
            </w:pPr>
            <w:r w:rsidRPr="009A27ED">
              <w:rPr>
                <w:rFonts w:eastAsia="Times New Roman"/>
                <w:color w:val="000000"/>
                <w:sz w:val="20"/>
                <w:szCs w:val="20"/>
              </w:rPr>
              <w:t xml:space="preserve">Alto </w:t>
            </w:r>
            <w:proofErr w:type="spellStart"/>
            <w:r w:rsidRPr="009A27ED">
              <w:rPr>
                <w:rFonts w:eastAsia="Times New Roman"/>
                <w:color w:val="000000"/>
                <w:sz w:val="20"/>
                <w:szCs w:val="20"/>
              </w:rPr>
              <w:t>Yaque</w:t>
            </w:r>
            <w:proofErr w:type="spellEnd"/>
            <w:r w:rsidRPr="009A27ED">
              <w:rPr>
                <w:rFonts w:eastAsia="Times New Roman"/>
                <w:color w:val="000000"/>
                <w:sz w:val="20"/>
                <w:szCs w:val="20"/>
              </w:rPr>
              <w:t xml:space="preserve"> del Norte</w:t>
            </w:r>
          </w:p>
        </w:tc>
        <w:tc>
          <w:tcPr>
            <w:tcW w:w="1980" w:type="dxa"/>
            <w:tcBorders>
              <w:top w:val="nil"/>
              <w:left w:val="nil"/>
              <w:bottom w:val="single" w:sz="4" w:space="0" w:color="auto"/>
              <w:right w:val="single" w:sz="4" w:space="0" w:color="auto"/>
            </w:tcBorders>
            <w:shd w:val="clear" w:color="auto" w:fill="auto"/>
            <w:noWrap/>
            <w:vAlign w:val="center"/>
            <w:hideMark/>
          </w:tcPr>
          <w:p w14:paraId="3D1BF716" w14:textId="77777777" w:rsidR="0004071A" w:rsidRPr="009A27ED" w:rsidRDefault="0004071A" w:rsidP="00E87E84">
            <w:pPr>
              <w:spacing w:after="0"/>
              <w:jc w:val="right"/>
              <w:rPr>
                <w:rFonts w:eastAsia="Times New Roman"/>
                <w:color w:val="000000"/>
                <w:sz w:val="20"/>
                <w:szCs w:val="20"/>
              </w:rPr>
            </w:pPr>
            <w:r w:rsidRPr="009A27ED">
              <w:rPr>
                <w:rFonts w:eastAsia="Times New Roman"/>
                <w:color w:val="000000"/>
                <w:sz w:val="20"/>
                <w:szCs w:val="20"/>
              </w:rPr>
              <w:t xml:space="preserve">51,133 </w:t>
            </w:r>
          </w:p>
        </w:tc>
        <w:tc>
          <w:tcPr>
            <w:tcW w:w="1392" w:type="dxa"/>
            <w:tcBorders>
              <w:top w:val="single" w:sz="4" w:space="0" w:color="auto"/>
              <w:left w:val="nil"/>
              <w:bottom w:val="single" w:sz="4" w:space="0" w:color="auto"/>
              <w:right w:val="single" w:sz="4" w:space="0" w:color="auto"/>
            </w:tcBorders>
            <w:shd w:val="clear" w:color="auto" w:fill="auto"/>
            <w:noWrap/>
            <w:vAlign w:val="center"/>
            <w:hideMark/>
          </w:tcPr>
          <w:p w14:paraId="74E2DD28" w14:textId="77777777" w:rsidR="0004071A" w:rsidRPr="009A27ED" w:rsidRDefault="0004071A" w:rsidP="00E87E84">
            <w:pPr>
              <w:spacing w:after="0"/>
              <w:jc w:val="right"/>
              <w:rPr>
                <w:rFonts w:eastAsia="Times New Roman"/>
                <w:color w:val="000000"/>
                <w:sz w:val="20"/>
                <w:szCs w:val="20"/>
              </w:rPr>
            </w:pPr>
            <w:r w:rsidRPr="009A27ED">
              <w:rPr>
                <w:rFonts w:eastAsia="Times New Roman"/>
                <w:color w:val="000000"/>
                <w:sz w:val="20"/>
                <w:szCs w:val="20"/>
              </w:rPr>
              <w:t xml:space="preserve">10,754 </w:t>
            </w:r>
          </w:p>
        </w:tc>
        <w:tc>
          <w:tcPr>
            <w:tcW w:w="1125" w:type="dxa"/>
            <w:tcBorders>
              <w:top w:val="nil"/>
              <w:left w:val="nil"/>
              <w:bottom w:val="single" w:sz="4" w:space="0" w:color="auto"/>
              <w:right w:val="single" w:sz="4" w:space="0" w:color="auto"/>
            </w:tcBorders>
            <w:shd w:val="clear" w:color="auto" w:fill="auto"/>
            <w:noWrap/>
            <w:vAlign w:val="bottom"/>
            <w:hideMark/>
          </w:tcPr>
          <w:p w14:paraId="3E4B4363" w14:textId="77777777" w:rsidR="0004071A" w:rsidRPr="009A27ED" w:rsidRDefault="0004071A" w:rsidP="00E87E84">
            <w:pPr>
              <w:spacing w:after="0"/>
              <w:jc w:val="right"/>
              <w:rPr>
                <w:rFonts w:eastAsia="Times New Roman"/>
                <w:color w:val="000000"/>
                <w:sz w:val="20"/>
                <w:szCs w:val="20"/>
              </w:rPr>
            </w:pPr>
            <w:r w:rsidRPr="009A27ED">
              <w:rPr>
                <w:rFonts w:eastAsia="Times New Roman"/>
                <w:color w:val="000000"/>
                <w:sz w:val="20"/>
                <w:szCs w:val="20"/>
              </w:rPr>
              <w:t>202.6</w:t>
            </w:r>
          </w:p>
        </w:tc>
      </w:tr>
      <w:tr w:rsidR="0004071A" w:rsidRPr="009A27ED" w14:paraId="01547A61" w14:textId="77777777" w:rsidTr="00852881">
        <w:trPr>
          <w:trHeight w:val="211"/>
          <w:jc w:val="center"/>
        </w:trPr>
        <w:tc>
          <w:tcPr>
            <w:tcW w:w="617" w:type="dxa"/>
            <w:tcBorders>
              <w:top w:val="nil"/>
              <w:left w:val="single" w:sz="4" w:space="0" w:color="auto"/>
              <w:bottom w:val="single" w:sz="4" w:space="0" w:color="auto"/>
              <w:right w:val="single" w:sz="4" w:space="0" w:color="auto"/>
            </w:tcBorders>
            <w:shd w:val="clear" w:color="auto" w:fill="auto"/>
            <w:noWrap/>
            <w:vAlign w:val="center"/>
            <w:hideMark/>
          </w:tcPr>
          <w:p w14:paraId="08388DB3" w14:textId="77777777" w:rsidR="0004071A" w:rsidRPr="009A27ED" w:rsidRDefault="0004071A" w:rsidP="00E87E84">
            <w:pPr>
              <w:spacing w:after="0"/>
              <w:jc w:val="center"/>
              <w:rPr>
                <w:rFonts w:eastAsia="Times New Roman"/>
                <w:color w:val="000000"/>
                <w:sz w:val="20"/>
                <w:szCs w:val="20"/>
              </w:rPr>
            </w:pPr>
            <w:r w:rsidRPr="009A27ED">
              <w:rPr>
                <w:rFonts w:eastAsia="Times New Roman"/>
                <w:color w:val="000000"/>
                <w:sz w:val="20"/>
                <w:szCs w:val="20"/>
              </w:rPr>
              <w:t>2</w:t>
            </w:r>
          </w:p>
        </w:tc>
        <w:tc>
          <w:tcPr>
            <w:tcW w:w="2078" w:type="dxa"/>
            <w:tcBorders>
              <w:top w:val="nil"/>
              <w:left w:val="nil"/>
              <w:bottom w:val="single" w:sz="4" w:space="0" w:color="auto"/>
              <w:right w:val="single" w:sz="4" w:space="0" w:color="auto"/>
            </w:tcBorders>
            <w:shd w:val="clear" w:color="auto" w:fill="auto"/>
            <w:noWrap/>
            <w:vAlign w:val="center"/>
            <w:hideMark/>
          </w:tcPr>
          <w:p w14:paraId="7CA0C066" w14:textId="77777777" w:rsidR="0004071A" w:rsidRPr="009A27ED" w:rsidRDefault="0004071A" w:rsidP="00E87E84">
            <w:pPr>
              <w:spacing w:after="0"/>
              <w:rPr>
                <w:rFonts w:eastAsia="Times New Roman"/>
                <w:color w:val="000000"/>
                <w:sz w:val="20"/>
                <w:szCs w:val="20"/>
              </w:rPr>
            </w:pPr>
            <w:r w:rsidRPr="009A27ED">
              <w:rPr>
                <w:rFonts w:eastAsia="Times New Roman"/>
                <w:color w:val="000000"/>
                <w:sz w:val="20"/>
                <w:szCs w:val="20"/>
              </w:rPr>
              <w:t xml:space="preserve">Bajo </w:t>
            </w:r>
            <w:proofErr w:type="spellStart"/>
            <w:r w:rsidRPr="009A27ED">
              <w:rPr>
                <w:rFonts w:eastAsia="Times New Roman"/>
                <w:color w:val="000000"/>
                <w:sz w:val="20"/>
                <w:szCs w:val="20"/>
              </w:rPr>
              <w:t>Yaque</w:t>
            </w:r>
            <w:proofErr w:type="spellEnd"/>
            <w:r w:rsidRPr="009A27ED">
              <w:rPr>
                <w:rFonts w:eastAsia="Times New Roman"/>
                <w:color w:val="000000"/>
                <w:sz w:val="20"/>
                <w:szCs w:val="20"/>
              </w:rPr>
              <w:t xml:space="preserve"> del Norte</w:t>
            </w:r>
          </w:p>
        </w:tc>
        <w:tc>
          <w:tcPr>
            <w:tcW w:w="1980" w:type="dxa"/>
            <w:tcBorders>
              <w:top w:val="nil"/>
              <w:left w:val="nil"/>
              <w:bottom w:val="single" w:sz="4" w:space="0" w:color="auto"/>
              <w:right w:val="single" w:sz="4" w:space="0" w:color="auto"/>
            </w:tcBorders>
            <w:shd w:val="clear" w:color="auto" w:fill="auto"/>
            <w:noWrap/>
            <w:vAlign w:val="center"/>
            <w:hideMark/>
          </w:tcPr>
          <w:p w14:paraId="3E0207FC" w14:textId="77777777" w:rsidR="0004071A" w:rsidRPr="009A27ED" w:rsidRDefault="0004071A" w:rsidP="00E87E84">
            <w:pPr>
              <w:spacing w:after="0"/>
              <w:jc w:val="right"/>
              <w:rPr>
                <w:rFonts w:eastAsia="Times New Roman"/>
                <w:color w:val="000000"/>
                <w:sz w:val="20"/>
                <w:szCs w:val="20"/>
              </w:rPr>
            </w:pPr>
            <w:r w:rsidRPr="009A27ED">
              <w:rPr>
                <w:rFonts w:eastAsia="Times New Roman"/>
                <w:color w:val="000000"/>
                <w:sz w:val="20"/>
                <w:szCs w:val="20"/>
              </w:rPr>
              <w:t xml:space="preserve">46,257 </w:t>
            </w:r>
          </w:p>
        </w:tc>
        <w:tc>
          <w:tcPr>
            <w:tcW w:w="1392" w:type="dxa"/>
            <w:tcBorders>
              <w:top w:val="nil"/>
              <w:left w:val="nil"/>
              <w:bottom w:val="single" w:sz="4" w:space="0" w:color="auto"/>
              <w:right w:val="single" w:sz="4" w:space="0" w:color="auto"/>
            </w:tcBorders>
            <w:shd w:val="clear" w:color="auto" w:fill="auto"/>
            <w:noWrap/>
            <w:vAlign w:val="center"/>
            <w:hideMark/>
          </w:tcPr>
          <w:p w14:paraId="6EF91CFF" w14:textId="77777777" w:rsidR="0004071A" w:rsidRPr="009A27ED" w:rsidRDefault="0004071A" w:rsidP="00E87E84">
            <w:pPr>
              <w:spacing w:after="0"/>
              <w:jc w:val="right"/>
              <w:rPr>
                <w:rFonts w:eastAsia="Times New Roman"/>
                <w:color w:val="000000"/>
                <w:sz w:val="20"/>
                <w:szCs w:val="20"/>
              </w:rPr>
            </w:pPr>
            <w:r w:rsidRPr="009A27ED">
              <w:rPr>
                <w:rFonts w:eastAsia="Times New Roman"/>
                <w:color w:val="000000"/>
                <w:sz w:val="20"/>
                <w:szCs w:val="20"/>
              </w:rPr>
              <w:t xml:space="preserve">8,040 </w:t>
            </w:r>
          </w:p>
        </w:tc>
        <w:tc>
          <w:tcPr>
            <w:tcW w:w="1125" w:type="dxa"/>
            <w:tcBorders>
              <w:top w:val="nil"/>
              <w:left w:val="nil"/>
              <w:bottom w:val="single" w:sz="4" w:space="0" w:color="auto"/>
              <w:right w:val="single" w:sz="4" w:space="0" w:color="auto"/>
            </w:tcBorders>
            <w:shd w:val="clear" w:color="auto" w:fill="auto"/>
            <w:noWrap/>
            <w:vAlign w:val="bottom"/>
            <w:hideMark/>
          </w:tcPr>
          <w:p w14:paraId="65DA434B" w14:textId="77777777" w:rsidR="0004071A" w:rsidRPr="009A27ED" w:rsidRDefault="0004071A" w:rsidP="00E87E84">
            <w:pPr>
              <w:spacing w:after="0"/>
              <w:jc w:val="right"/>
              <w:rPr>
                <w:rFonts w:eastAsia="Times New Roman"/>
                <w:color w:val="000000"/>
                <w:sz w:val="20"/>
                <w:szCs w:val="20"/>
              </w:rPr>
            </w:pPr>
            <w:r w:rsidRPr="009A27ED">
              <w:rPr>
                <w:rFonts w:eastAsia="Times New Roman"/>
                <w:color w:val="000000"/>
                <w:sz w:val="20"/>
                <w:szCs w:val="20"/>
              </w:rPr>
              <w:t>171.4</w:t>
            </w:r>
          </w:p>
        </w:tc>
      </w:tr>
      <w:tr w:rsidR="0004071A" w:rsidRPr="009A27ED" w14:paraId="6AA20DCB" w14:textId="77777777" w:rsidTr="00852881">
        <w:trPr>
          <w:trHeight w:val="315"/>
          <w:jc w:val="center"/>
        </w:trPr>
        <w:tc>
          <w:tcPr>
            <w:tcW w:w="617" w:type="dxa"/>
            <w:tcBorders>
              <w:top w:val="nil"/>
              <w:left w:val="single" w:sz="4" w:space="0" w:color="auto"/>
              <w:bottom w:val="single" w:sz="4" w:space="0" w:color="auto"/>
              <w:right w:val="single" w:sz="4" w:space="0" w:color="auto"/>
            </w:tcBorders>
            <w:shd w:val="clear" w:color="auto" w:fill="auto"/>
            <w:noWrap/>
            <w:vAlign w:val="center"/>
            <w:hideMark/>
          </w:tcPr>
          <w:p w14:paraId="20E77E75" w14:textId="77777777" w:rsidR="0004071A" w:rsidRPr="009A27ED" w:rsidRDefault="0004071A" w:rsidP="00E87E84">
            <w:pPr>
              <w:spacing w:after="0"/>
              <w:jc w:val="center"/>
              <w:rPr>
                <w:rFonts w:eastAsia="Times New Roman"/>
                <w:color w:val="000000"/>
                <w:sz w:val="20"/>
                <w:szCs w:val="20"/>
              </w:rPr>
            </w:pPr>
            <w:r w:rsidRPr="009A27ED">
              <w:rPr>
                <w:rFonts w:eastAsia="Times New Roman"/>
                <w:color w:val="000000"/>
                <w:sz w:val="20"/>
                <w:szCs w:val="20"/>
              </w:rPr>
              <w:t>3</w:t>
            </w:r>
          </w:p>
        </w:tc>
        <w:tc>
          <w:tcPr>
            <w:tcW w:w="2078" w:type="dxa"/>
            <w:tcBorders>
              <w:top w:val="nil"/>
              <w:left w:val="nil"/>
              <w:bottom w:val="single" w:sz="4" w:space="0" w:color="auto"/>
              <w:right w:val="single" w:sz="4" w:space="0" w:color="auto"/>
            </w:tcBorders>
            <w:shd w:val="clear" w:color="auto" w:fill="auto"/>
            <w:noWrap/>
            <w:vAlign w:val="center"/>
            <w:hideMark/>
          </w:tcPr>
          <w:p w14:paraId="6BEB1037" w14:textId="77777777" w:rsidR="0004071A" w:rsidRPr="009A27ED" w:rsidRDefault="0004071A" w:rsidP="00E87E84">
            <w:pPr>
              <w:spacing w:after="0"/>
              <w:rPr>
                <w:rFonts w:eastAsia="Times New Roman"/>
                <w:color w:val="000000"/>
                <w:sz w:val="20"/>
                <w:szCs w:val="20"/>
              </w:rPr>
            </w:pPr>
            <w:r w:rsidRPr="009A27ED">
              <w:rPr>
                <w:rFonts w:eastAsia="Times New Roman"/>
                <w:color w:val="000000"/>
                <w:sz w:val="20"/>
                <w:szCs w:val="20"/>
              </w:rPr>
              <w:t xml:space="preserve">Yuna </w:t>
            </w:r>
            <w:proofErr w:type="spellStart"/>
            <w:r w:rsidRPr="009A27ED">
              <w:rPr>
                <w:rFonts w:eastAsia="Times New Roman"/>
                <w:color w:val="000000"/>
                <w:sz w:val="20"/>
                <w:szCs w:val="20"/>
              </w:rPr>
              <w:t>Camu</w:t>
            </w:r>
            <w:proofErr w:type="spellEnd"/>
          </w:p>
        </w:tc>
        <w:tc>
          <w:tcPr>
            <w:tcW w:w="1980" w:type="dxa"/>
            <w:tcBorders>
              <w:top w:val="nil"/>
              <w:left w:val="nil"/>
              <w:bottom w:val="single" w:sz="4" w:space="0" w:color="auto"/>
              <w:right w:val="single" w:sz="4" w:space="0" w:color="auto"/>
            </w:tcBorders>
            <w:shd w:val="clear" w:color="auto" w:fill="auto"/>
            <w:noWrap/>
            <w:vAlign w:val="center"/>
            <w:hideMark/>
          </w:tcPr>
          <w:p w14:paraId="33D9FEC9" w14:textId="77777777" w:rsidR="0004071A" w:rsidRPr="009A27ED" w:rsidRDefault="0004071A" w:rsidP="00E87E84">
            <w:pPr>
              <w:spacing w:after="0"/>
              <w:jc w:val="right"/>
              <w:rPr>
                <w:rFonts w:eastAsia="Times New Roman"/>
                <w:color w:val="000000"/>
                <w:sz w:val="20"/>
                <w:szCs w:val="20"/>
              </w:rPr>
            </w:pPr>
            <w:r w:rsidRPr="009A27ED">
              <w:rPr>
                <w:rFonts w:eastAsia="Times New Roman"/>
                <w:color w:val="000000"/>
                <w:sz w:val="20"/>
                <w:szCs w:val="20"/>
              </w:rPr>
              <w:t xml:space="preserve">33,951 </w:t>
            </w:r>
          </w:p>
        </w:tc>
        <w:tc>
          <w:tcPr>
            <w:tcW w:w="1392" w:type="dxa"/>
            <w:tcBorders>
              <w:top w:val="nil"/>
              <w:left w:val="nil"/>
              <w:bottom w:val="single" w:sz="4" w:space="0" w:color="auto"/>
              <w:right w:val="single" w:sz="4" w:space="0" w:color="auto"/>
            </w:tcBorders>
            <w:shd w:val="clear" w:color="auto" w:fill="auto"/>
            <w:noWrap/>
            <w:vAlign w:val="center"/>
            <w:hideMark/>
          </w:tcPr>
          <w:p w14:paraId="4D103D5C" w14:textId="77777777" w:rsidR="0004071A" w:rsidRPr="009A27ED" w:rsidRDefault="0004071A" w:rsidP="00E87E84">
            <w:pPr>
              <w:spacing w:after="0"/>
              <w:jc w:val="right"/>
              <w:rPr>
                <w:rFonts w:eastAsia="Times New Roman"/>
                <w:color w:val="000000"/>
                <w:sz w:val="20"/>
                <w:szCs w:val="20"/>
              </w:rPr>
            </w:pPr>
            <w:r w:rsidRPr="009A27ED">
              <w:rPr>
                <w:rFonts w:eastAsia="Times New Roman"/>
                <w:color w:val="000000"/>
                <w:sz w:val="20"/>
                <w:szCs w:val="20"/>
              </w:rPr>
              <w:t xml:space="preserve">9,552 </w:t>
            </w:r>
          </w:p>
        </w:tc>
        <w:tc>
          <w:tcPr>
            <w:tcW w:w="1125" w:type="dxa"/>
            <w:tcBorders>
              <w:top w:val="nil"/>
              <w:left w:val="nil"/>
              <w:bottom w:val="single" w:sz="4" w:space="0" w:color="auto"/>
              <w:right w:val="single" w:sz="4" w:space="0" w:color="auto"/>
            </w:tcBorders>
            <w:shd w:val="clear" w:color="auto" w:fill="auto"/>
            <w:noWrap/>
            <w:vAlign w:val="bottom"/>
            <w:hideMark/>
          </w:tcPr>
          <w:p w14:paraId="030ED22F" w14:textId="77777777" w:rsidR="0004071A" w:rsidRPr="009A27ED" w:rsidRDefault="0004071A" w:rsidP="00E87E84">
            <w:pPr>
              <w:spacing w:after="0"/>
              <w:jc w:val="right"/>
              <w:rPr>
                <w:rFonts w:eastAsia="Times New Roman"/>
                <w:color w:val="000000"/>
                <w:sz w:val="20"/>
                <w:szCs w:val="20"/>
              </w:rPr>
            </w:pPr>
            <w:r w:rsidRPr="009A27ED">
              <w:rPr>
                <w:rFonts w:eastAsia="Times New Roman"/>
                <w:color w:val="000000"/>
                <w:sz w:val="20"/>
                <w:szCs w:val="20"/>
              </w:rPr>
              <w:t>220.96</w:t>
            </w:r>
          </w:p>
        </w:tc>
      </w:tr>
      <w:tr w:rsidR="0004071A" w:rsidRPr="009A27ED" w14:paraId="12AEA901" w14:textId="77777777" w:rsidTr="00852881">
        <w:trPr>
          <w:trHeight w:val="283"/>
          <w:jc w:val="center"/>
        </w:trPr>
        <w:tc>
          <w:tcPr>
            <w:tcW w:w="617" w:type="dxa"/>
            <w:tcBorders>
              <w:top w:val="nil"/>
              <w:left w:val="single" w:sz="4" w:space="0" w:color="auto"/>
              <w:bottom w:val="single" w:sz="4" w:space="0" w:color="auto"/>
              <w:right w:val="single" w:sz="4" w:space="0" w:color="auto"/>
            </w:tcBorders>
            <w:shd w:val="clear" w:color="auto" w:fill="auto"/>
            <w:noWrap/>
            <w:vAlign w:val="center"/>
            <w:hideMark/>
          </w:tcPr>
          <w:p w14:paraId="65F811D8" w14:textId="77777777" w:rsidR="0004071A" w:rsidRPr="009A27ED" w:rsidRDefault="0004071A" w:rsidP="00E87E84">
            <w:pPr>
              <w:spacing w:after="0"/>
              <w:jc w:val="center"/>
              <w:rPr>
                <w:rFonts w:eastAsia="Times New Roman"/>
                <w:color w:val="000000"/>
                <w:sz w:val="20"/>
                <w:szCs w:val="20"/>
              </w:rPr>
            </w:pPr>
            <w:r w:rsidRPr="009A27ED">
              <w:rPr>
                <w:rFonts w:eastAsia="Times New Roman"/>
                <w:color w:val="000000"/>
                <w:sz w:val="20"/>
                <w:szCs w:val="20"/>
              </w:rPr>
              <w:t>4</w:t>
            </w:r>
          </w:p>
        </w:tc>
        <w:tc>
          <w:tcPr>
            <w:tcW w:w="2078" w:type="dxa"/>
            <w:tcBorders>
              <w:top w:val="nil"/>
              <w:left w:val="nil"/>
              <w:bottom w:val="single" w:sz="4" w:space="0" w:color="auto"/>
              <w:right w:val="single" w:sz="4" w:space="0" w:color="auto"/>
            </w:tcBorders>
            <w:shd w:val="clear" w:color="auto" w:fill="auto"/>
            <w:noWrap/>
            <w:vAlign w:val="center"/>
            <w:hideMark/>
          </w:tcPr>
          <w:p w14:paraId="78D167ED" w14:textId="77777777" w:rsidR="0004071A" w:rsidRPr="009A27ED" w:rsidRDefault="0004071A" w:rsidP="00E87E84">
            <w:pPr>
              <w:spacing w:after="0"/>
              <w:rPr>
                <w:rFonts w:eastAsia="Times New Roman"/>
                <w:color w:val="000000"/>
                <w:sz w:val="20"/>
                <w:szCs w:val="20"/>
              </w:rPr>
            </w:pPr>
            <w:r w:rsidRPr="009A27ED">
              <w:rPr>
                <w:rFonts w:eastAsia="Times New Roman"/>
                <w:color w:val="000000"/>
                <w:sz w:val="20"/>
                <w:szCs w:val="20"/>
              </w:rPr>
              <w:t>Bajo Yuna</w:t>
            </w:r>
          </w:p>
        </w:tc>
        <w:tc>
          <w:tcPr>
            <w:tcW w:w="1980" w:type="dxa"/>
            <w:tcBorders>
              <w:top w:val="nil"/>
              <w:left w:val="nil"/>
              <w:bottom w:val="single" w:sz="4" w:space="0" w:color="auto"/>
              <w:right w:val="single" w:sz="4" w:space="0" w:color="auto"/>
            </w:tcBorders>
            <w:shd w:val="clear" w:color="auto" w:fill="auto"/>
            <w:noWrap/>
            <w:vAlign w:val="center"/>
            <w:hideMark/>
          </w:tcPr>
          <w:p w14:paraId="148CF4D9" w14:textId="77777777" w:rsidR="0004071A" w:rsidRPr="009A27ED" w:rsidRDefault="0004071A" w:rsidP="00E87E84">
            <w:pPr>
              <w:spacing w:after="0"/>
              <w:jc w:val="right"/>
              <w:rPr>
                <w:rFonts w:eastAsia="Times New Roman"/>
                <w:color w:val="000000"/>
                <w:sz w:val="20"/>
                <w:szCs w:val="20"/>
              </w:rPr>
            </w:pPr>
            <w:r w:rsidRPr="009A27ED">
              <w:rPr>
                <w:rFonts w:eastAsia="Times New Roman"/>
                <w:color w:val="000000"/>
                <w:sz w:val="20"/>
                <w:szCs w:val="20"/>
              </w:rPr>
              <w:t xml:space="preserve">33,791 </w:t>
            </w:r>
          </w:p>
        </w:tc>
        <w:tc>
          <w:tcPr>
            <w:tcW w:w="1392" w:type="dxa"/>
            <w:tcBorders>
              <w:top w:val="nil"/>
              <w:left w:val="nil"/>
              <w:bottom w:val="single" w:sz="4" w:space="0" w:color="auto"/>
              <w:right w:val="single" w:sz="4" w:space="0" w:color="auto"/>
            </w:tcBorders>
            <w:shd w:val="clear" w:color="auto" w:fill="auto"/>
            <w:noWrap/>
            <w:vAlign w:val="center"/>
            <w:hideMark/>
          </w:tcPr>
          <w:p w14:paraId="7E99E525" w14:textId="77777777" w:rsidR="0004071A" w:rsidRPr="009A27ED" w:rsidRDefault="0004071A" w:rsidP="00E87E84">
            <w:pPr>
              <w:spacing w:after="0"/>
              <w:jc w:val="right"/>
              <w:rPr>
                <w:rFonts w:eastAsia="Times New Roman"/>
                <w:color w:val="000000"/>
                <w:sz w:val="20"/>
                <w:szCs w:val="20"/>
              </w:rPr>
            </w:pPr>
            <w:r w:rsidRPr="009A27ED">
              <w:rPr>
                <w:rFonts w:eastAsia="Times New Roman"/>
                <w:color w:val="000000"/>
                <w:sz w:val="20"/>
                <w:szCs w:val="20"/>
              </w:rPr>
              <w:t xml:space="preserve">8,529 </w:t>
            </w:r>
          </w:p>
        </w:tc>
        <w:tc>
          <w:tcPr>
            <w:tcW w:w="1125" w:type="dxa"/>
            <w:tcBorders>
              <w:top w:val="nil"/>
              <w:left w:val="nil"/>
              <w:bottom w:val="single" w:sz="4" w:space="0" w:color="auto"/>
              <w:right w:val="single" w:sz="4" w:space="0" w:color="auto"/>
            </w:tcBorders>
            <w:shd w:val="clear" w:color="auto" w:fill="auto"/>
            <w:noWrap/>
            <w:vAlign w:val="bottom"/>
            <w:hideMark/>
          </w:tcPr>
          <w:p w14:paraId="70F8C51C" w14:textId="77777777" w:rsidR="0004071A" w:rsidRPr="009A27ED" w:rsidRDefault="0004071A" w:rsidP="00E87E84">
            <w:pPr>
              <w:spacing w:after="0"/>
              <w:jc w:val="right"/>
              <w:rPr>
                <w:rFonts w:eastAsia="Times New Roman"/>
                <w:color w:val="000000"/>
                <w:sz w:val="20"/>
                <w:szCs w:val="20"/>
              </w:rPr>
            </w:pPr>
            <w:r w:rsidRPr="009A27ED">
              <w:rPr>
                <w:rFonts w:eastAsia="Times New Roman"/>
                <w:color w:val="000000"/>
                <w:sz w:val="20"/>
                <w:szCs w:val="20"/>
              </w:rPr>
              <w:t>301.79</w:t>
            </w:r>
          </w:p>
        </w:tc>
      </w:tr>
      <w:tr w:rsidR="0004071A" w:rsidRPr="009A27ED" w14:paraId="0A602929" w14:textId="77777777" w:rsidTr="00852881">
        <w:trPr>
          <w:trHeight w:val="238"/>
          <w:jc w:val="center"/>
        </w:trPr>
        <w:tc>
          <w:tcPr>
            <w:tcW w:w="617" w:type="dxa"/>
            <w:tcBorders>
              <w:top w:val="nil"/>
              <w:left w:val="single" w:sz="4" w:space="0" w:color="auto"/>
              <w:bottom w:val="single" w:sz="4" w:space="0" w:color="auto"/>
              <w:right w:val="single" w:sz="4" w:space="0" w:color="auto"/>
            </w:tcBorders>
            <w:shd w:val="clear" w:color="auto" w:fill="auto"/>
            <w:noWrap/>
            <w:vAlign w:val="center"/>
            <w:hideMark/>
          </w:tcPr>
          <w:p w14:paraId="51963925" w14:textId="77777777" w:rsidR="0004071A" w:rsidRPr="009A27ED" w:rsidRDefault="0004071A" w:rsidP="00E87E84">
            <w:pPr>
              <w:spacing w:after="0"/>
              <w:jc w:val="center"/>
              <w:rPr>
                <w:rFonts w:eastAsia="Times New Roman"/>
                <w:color w:val="000000"/>
                <w:sz w:val="20"/>
                <w:szCs w:val="20"/>
              </w:rPr>
            </w:pPr>
            <w:r w:rsidRPr="009A27ED">
              <w:rPr>
                <w:rFonts w:eastAsia="Times New Roman"/>
                <w:color w:val="000000"/>
                <w:sz w:val="20"/>
                <w:szCs w:val="20"/>
              </w:rPr>
              <w:t>5</w:t>
            </w:r>
          </w:p>
        </w:tc>
        <w:tc>
          <w:tcPr>
            <w:tcW w:w="2078" w:type="dxa"/>
            <w:tcBorders>
              <w:top w:val="nil"/>
              <w:left w:val="nil"/>
              <w:bottom w:val="single" w:sz="4" w:space="0" w:color="auto"/>
              <w:right w:val="single" w:sz="4" w:space="0" w:color="auto"/>
            </w:tcBorders>
            <w:shd w:val="clear" w:color="auto" w:fill="auto"/>
            <w:noWrap/>
            <w:vAlign w:val="center"/>
            <w:hideMark/>
          </w:tcPr>
          <w:p w14:paraId="0B1B199C" w14:textId="77777777" w:rsidR="0004071A" w:rsidRPr="009A27ED" w:rsidRDefault="0004071A" w:rsidP="00E87E84">
            <w:pPr>
              <w:spacing w:after="0"/>
              <w:rPr>
                <w:rFonts w:eastAsia="Times New Roman"/>
                <w:color w:val="000000"/>
                <w:sz w:val="20"/>
                <w:szCs w:val="20"/>
              </w:rPr>
            </w:pPr>
            <w:r w:rsidRPr="009A27ED">
              <w:rPr>
                <w:rFonts w:eastAsia="Times New Roman"/>
                <w:color w:val="000000"/>
                <w:sz w:val="20"/>
                <w:szCs w:val="20"/>
              </w:rPr>
              <w:t>Valle de Azua</w:t>
            </w:r>
          </w:p>
        </w:tc>
        <w:tc>
          <w:tcPr>
            <w:tcW w:w="1980" w:type="dxa"/>
            <w:tcBorders>
              <w:top w:val="nil"/>
              <w:left w:val="nil"/>
              <w:bottom w:val="single" w:sz="4" w:space="0" w:color="auto"/>
              <w:right w:val="single" w:sz="4" w:space="0" w:color="auto"/>
            </w:tcBorders>
            <w:shd w:val="clear" w:color="auto" w:fill="auto"/>
            <w:noWrap/>
            <w:vAlign w:val="center"/>
            <w:hideMark/>
          </w:tcPr>
          <w:p w14:paraId="29B22EFE" w14:textId="77777777" w:rsidR="0004071A" w:rsidRPr="009A27ED" w:rsidRDefault="0004071A" w:rsidP="00E87E84">
            <w:pPr>
              <w:spacing w:after="0"/>
              <w:jc w:val="right"/>
              <w:rPr>
                <w:rFonts w:eastAsia="Times New Roman"/>
                <w:color w:val="000000"/>
                <w:sz w:val="20"/>
                <w:szCs w:val="20"/>
              </w:rPr>
            </w:pPr>
            <w:r w:rsidRPr="009A27ED">
              <w:rPr>
                <w:rFonts w:eastAsia="Times New Roman"/>
                <w:color w:val="000000"/>
                <w:sz w:val="20"/>
                <w:szCs w:val="20"/>
              </w:rPr>
              <w:t xml:space="preserve">28,730 </w:t>
            </w:r>
          </w:p>
        </w:tc>
        <w:tc>
          <w:tcPr>
            <w:tcW w:w="1392" w:type="dxa"/>
            <w:tcBorders>
              <w:top w:val="nil"/>
              <w:left w:val="nil"/>
              <w:bottom w:val="single" w:sz="4" w:space="0" w:color="auto"/>
              <w:right w:val="single" w:sz="4" w:space="0" w:color="auto"/>
            </w:tcBorders>
            <w:shd w:val="clear" w:color="auto" w:fill="auto"/>
            <w:noWrap/>
            <w:vAlign w:val="center"/>
            <w:hideMark/>
          </w:tcPr>
          <w:p w14:paraId="33C19E64" w14:textId="77777777" w:rsidR="0004071A" w:rsidRPr="009A27ED" w:rsidRDefault="0004071A" w:rsidP="00E87E84">
            <w:pPr>
              <w:spacing w:after="0"/>
              <w:jc w:val="right"/>
              <w:rPr>
                <w:rFonts w:eastAsia="Times New Roman"/>
                <w:color w:val="000000"/>
                <w:sz w:val="20"/>
                <w:szCs w:val="20"/>
              </w:rPr>
            </w:pPr>
            <w:r w:rsidRPr="009A27ED">
              <w:rPr>
                <w:rFonts w:eastAsia="Times New Roman"/>
                <w:color w:val="000000"/>
                <w:sz w:val="20"/>
                <w:szCs w:val="20"/>
              </w:rPr>
              <w:t xml:space="preserve">12,437 </w:t>
            </w:r>
          </w:p>
        </w:tc>
        <w:tc>
          <w:tcPr>
            <w:tcW w:w="1125" w:type="dxa"/>
            <w:tcBorders>
              <w:top w:val="nil"/>
              <w:left w:val="nil"/>
              <w:bottom w:val="single" w:sz="4" w:space="0" w:color="auto"/>
              <w:right w:val="single" w:sz="4" w:space="0" w:color="auto"/>
            </w:tcBorders>
            <w:shd w:val="clear" w:color="auto" w:fill="auto"/>
            <w:noWrap/>
            <w:vAlign w:val="bottom"/>
            <w:hideMark/>
          </w:tcPr>
          <w:p w14:paraId="25E62D2F" w14:textId="77777777" w:rsidR="0004071A" w:rsidRPr="009A27ED" w:rsidRDefault="0004071A" w:rsidP="00E87E84">
            <w:pPr>
              <w:spacing w:after="0"/>
              <w:jc w:val="right"/>
              <w:rPr>
                <w:rFonts w:eastAsia="Times New Roman"/>
                <w:color w:val="000000"/>
                <w:sz w:val="20"/>
                <w:szCs w:val="20"/>
              </w:rPr>
            </w:pPr>
            <w:r w:rsidRPr="009A27ED">
              <w:rPr>
                <w:rFonts w:eastAsia="Times New Roman"/>
                <w:color w:val="000000"/>
                <w:sz w:val="20"/>
                <w:szCs w:val="20"/>
              </w:rPr>
              <w:t>233.49</w:t>
            </w:r>
          </w:p>
        </w:tc>
      </w:tr>
      <w:tr w:rsidR="0004071A" w:rsidRPr="009A27ED" w14:paraId="44EBB334" w14:textId="77777777" w:rsidTr="00852881">
        <w:trPr>
          <w:trHeight w:val="247"/>
          <w:jc w:val="center"/>
        </w:trPr>
        <w:tc>
          <w:tcPr>
            <w:tcW w:w="617" w:type="dxa"/>
            <w:tcBorders>
              <w:top w:val="nil"/>
              <w:left w:val="single" w:sz="4" w:space="0" w:color="auto"/>
              <w:bottom w:val="single" w:sz="4" w:space="0" w:color="auto"/>
              <w:right w:val="single" w:sz="4" w:space="0" w:color="auto"/>
            </w:tcBorders>
            <w:shd w:val="clear" w:color="auto" w:fill="auto"/>
            <w:noWrap/>
            <w:vAlign w:val="center"/>
            <w:hideMark/>
          </w:tcPr>
          <w:p w14:paraId="2617CF81" w14:textId="77777777" w:rsidR="0004071A" w:rsidRPr="009A27ED" w:rsidRDefault="0004071A" w:rsidP="00E87E84">
            <w:pPr>
              <w:spacing w:after="0"/>
              <w:jc w:val="center"/>
              <w:rPr>
                <w:rFonts w:eastAsia="Times New Roman"/>
                <w:color w:val="000000"/>
                <w:sz w:val="20"/>
                <w:szCs w:val="20"/>
              </w:rPr>
            </w:pPr>
            <w:r w:rsidRPr="009A27ED">
              <w:rPr>
                <w:rFonts w:eastAsia="Times New Roman"/>
                <w:color w:val="000000"/>
                <w:sz w:val="20"/>
                <w:szCs w:val="20"/>
              </w:rPr>
              <w:t>6</w:t>
            </w:r>
          </w:p>
        </w:tc>
        <w:tc>
          <w:tcPr>
            <w:tcW w:w="2078" w:type="dxa"/>
            <w:tcBorders>
              <w:top w:val="nil"/>
              <w:left w:val="nil"/>
              <w:bottom w:val="single" w:sz="4" w:space="0" w:color="auto"/>
              <w:right w:val="single" w:sz="4" w:space="0" w:color="auto"/>
            </w:tcBorders>
            <w:shd w:val="clear" w:color="auto" w:fill="auto"/>
            <w:noWrap/>
            <w:vAlign w:val="center"/>
            <w:hideMark/>
          </w:tcPr>
          <w:p w14:paraId="7A8057E2" w14:textId="77777777" w:rsidR="0004071A" w:rsidRPr="009A27ED" w:rsidRDefault="0004071A" w:rsidP="00E87E84">
            <w:pPr>
              <w:spacing w:after="0"/>
              <w:rPr>
                <w:rFonts w:eastAsia="Times New Roman"/>
                <w:color w:val="000000"/>
                <w:sz w:val="20"/>
                <w:szCs w:val="20"/>
              </w:rPr>
            </w:pPr>
            <w:r w:rsidRPr="009A27ED">
              <w:rPr>
                <w:rFonts w:eastAsia="Times New Roman"/>
                <w:color w:val="000000"/>
                <w:sz w:val="20"/>
                <w:szCs w:val="20"/>
              </w:rPr>
              <w:t xml:space="preserve">Ozama – </w:t>
            </w:r>
            <w:proofErr w:type="spellStart"/>
            <w:r w:rsidRPr="009A27ED">
              <w:rPr>
                <w:rFonts w:eastAsia="Times New Roman"/>
                <w:color w:val="000000"/>
                <w:sz w:val="20"/>
                <w:szCs w:val="20"/>
              </w:rPr>
              <w:t>Nizao</w:t>
            </w:r>
            <w:proofErr w:type="spellEnd"/>
          </w:p>
        </w:tc>
        <w:tc>
          <w:tcPr>
            <w:tcW w:w="1980" w:type="dxa"/>
            <w:tcBorders>
              <w:top w:val="nil"/>
              <w:left w:val="nil"/>
              <w:bottom w:val="single" w:sz="4" w:space="0" w:color="auto"/>
              <w:right w:val="single" w:sz="4" w:space="0" w:color="auto"/>
            </w:tcBorders>
            <w:shd w:val="clear" w:color="auto" w:fill="auto"/>
            <w:noWrap/>
            <w:vAlign w:val="center"/>
            <w:hideMark/>
          </w:tcPr>
          <w:p w14:paraId="28B87902" w14:textId="77777777" w:rsidR="0004071A" w:rsidRPr="009A27ED" w:rsidRDefault="0004071A" w:rsidP="00E87E84">
            <w:pPr>
              <w:spacing w:after="0"/>
              <w:jc w:val="right"/>
              <w:rPr>
                <w:rFonts w:eastAsia="Times New Roman"/>
                <w:color w:val="000000"/>
                <w:sz w:val="20"/>
                <w:szCs w:val="20"/>
              </w:rPr>
            </w:pPr>
            <w:r w:rsidRPr="009A27ED">
              <w:rPr>
                <w:rFonts w:eastAsia="Times New Roman"/>
                <w:color w:val="000000"/>
                <w:sz w:val="20"/>
                <w:szCs w:val="20"/>
              </w:rPr>
              <w:t xml:space="preserve">17,055 </w:t>
            </w:r>
          </w:p>
        </w:tc>
        <w:tc>
          <w:tcPr>
            <w:tcW w:w="1392" w:type="dxa"/>
            <w:tcBorders>
              <w:top w:val="nil"/>
              <w:left w:val="nil"/>
              <w:bottom w:val="single" w:sz="4" w:space="0" w:color="auto"/>
              <w:right w:val="single" w:sz="4" w:space="0" w:color="auto"/>
            </w:tcBorders>
            <w:shd w:val="clear" w:color="auto" w:fill="auto"/>
            <w:noWrap/>
            <w:vAlign w:val="center"/>
            <w:hideMark/>
          </w:tcPr>
          <w:p w14:paraId="4806F79A" w14:textId="77777777" w:rsidR="0004071A" w:rsidRPr="009A27ED" w:rsidRDefault="0004071A" w:rsidP="00E87E84">
            <w:pPr>
              <w:spacing w:after="0"/>
              <w:jc w:val="right"/>
              <w:rPr>
                <w:rFonts w:eastAsia="Times New Roman"/>
                <w:color w:val="000000"/>
                <w:sz w:val="20"/>
                <w:szCs w:val="20"/>
              </w:rPr>
            </w:pPr>
            <w:r w:rsidRPr="009A27ED">
              <w:rPr>
                <w:rFonts w:eastAsia="Times New Roman"/>
                <w:color w:val="000000"/>
                <w:sz w:val="20"/>
                <w:szCs w:val="20"/>
              </w:rPr>
              <w:t xml:space="preserve">5,360 </w:t>
            </w:r>
          </w:p>
        </w:tc>
        <w:tc>
          <w:tcPr>
            <w:tcW w:w="1125" w:type="dxa"/>
            <w:tcBorders>
              <w:top w:val="nil"/>
              <w:left w:val="nil"/>
              <w:bottom w:val="single" w:sz="4" w:space="0" w:color="auto"/>
              <w:right w:val="single" w:sz="4" w:space="0" w:color="auto"/>
            </w:tcBorders>
            <w:shd w:val="clear" w:color="auto" w:fill="auto"/>
            <w:noWrap/>
            <w:vAlign w:val="bottom"/>
            <w:hideMark/>
          </w:tcPr>
          <w:p w14:paraId="4E55996C" w14:textId="77777777" w:rsidR="0004071A" w:rsidRPr="009A27ED" w:rsidRDefault="0004071A" w:rsidP="00E87E84">
            <w:pPr>
              <w:spacing w:after="0"/>
              <w:jc w:val="right"/>
              <w:rPr>
                <w:rFonts w:eastAsia="Times New Roman"/>
                <w:color w:val="000000"/>
                <w:sz w:val="20"/>
                <w:szCs w:val="20"/>
              </w:rPr>
            </w:pPr>
            <w:r w:rsidRPr="009A27ED">
              <w:rPr>
                <w:rFonts w:eastAsia="Times New Roman"/>
                <w:color w:val="000000"/>
                <w:sz w:val="20"/>
                <w:szCs w:val="20"/>
              </w:rPr>
              <w:t>207.66</w:t>
            </w:r>
          </w:p>
        </w:tc>
      </w:tr>
      <w:tr w:rsidR="0004071A" w:rsidRPr="009A27ED" w14:paraId="2FFF93A9" w14:textId="77777777" w:rsidTr="00852881">
        <w:trPr>
          <w:trHeight w:val="229"/>
          <w:jc w:val="center"/>
        </w:trPr>
        <w:tc>
          <w:tcPr>
            <w:tcW w:w="617" w:type="dxa"/>
            <w:tcBorders>
              <w:top w:val="nil"/>
              <w:left w:val="single" w:sz="4" w:space="0" w:color="auto"/>
              <w:bottom w:val="single" w:sz="4" w:space="0" w:color="auto"/>
              <w:right w:val="single" w:sz="4" w:space="0" w:color="auto"/>
            </w:tcBorders>
            <w:shd w:val="clear" w:color="auto" w:fill="auto"/>
            <w:noWrap/>
            <w:vAlign w:val="center"/>
            <w:hideMark/>
          </w:tcPr>
          <w:p w14:paraId="2146AC1B" w14:textId="77777777" w:rsidR="0004071A" w:rsidRPr="009A27ED" w:rsidRDefault="0004071A" w:rsidP="00E87E84">
            <w:pPr>
              <w:spacing w:after="0"/>
              <w:jc w:val="center"/>
              <w:rPr>
                <w:rFonts w:eastAsia="Times New Roman"/>
                <w:color w:val="000000"/>
                <w:sz w:val="20"/>
                <w:szCs w:val="20"/>
              </w:rPr>
            </w:pPr>
            <w:r w:rsidRPr="009A27ED">
              <w:rPr>
                <w:rFonts w:eastAsia="Times New Roman"/>
                <w:color w:val="000000"/>
                <w:sz w:val="20"/>
                <w:szCs w:val="20"/>
              </w:rPr>
              <w:t>7</w:t>
            </w:r>
          </w:p>
        </w:tc>
        <w:tc>
          <w:tcPr>
            <w:tcW w:w="2078" w:type="dxa"/>
            <w:tcBorders>
              <w:top w:val="nil"/>
              <w:left w:val="nil"/>
              <w:bottom w:val="single" w:sz="4" w:space="0" w:color="auto"/>
              <w:right w:val="single" w:sz="4" w:space="0" w:color="auto"/>
            </w:tcBorders>
            <w:shd w:val="clear" w:color="auto" w:fill="auto"/>
            <w:noWrap/>
            <w:vAlign w:val="center"/>
            <w:hideMark/>
          </w:tcPr>
          <w:p w14:paraId="2F4555F6" w14:textId="77777777" w:rsidR="0004071A" w:rsidRPr="009A27ED" w:rsidRDefault="0004071A" w:rsidP="00E87E84">
            <w:pPr>
              <w:spacing w:after="0"/>
              <w:rPr>
                <w:rFonts w:eastAsia="Times New Roman"/>
                <w:color w:val="000000"/>
                <w:sz w:val="20"/>
                <w:szCs w:val="20"/>
              </w:rPr>
            </w:pPr>
            <w:r w:rsidRPr="009A27ED">
              <w:rPr>
                <w:rFonts w:eastAsia="Times New Roman"/>
                <w:color w:val="000000"/>
                <w:sz w:val="20"/>
                <w:szCs w:val="20"/>
              </w:rPr>
              <w:t>Valle de San Juan</w:t>
            </w:r>
          </w:p>
        </w:tc>
        <w:tc>
          <w:tcPr>
            <w:tcW w:w="1980" w:type="dxa"/>
            <w:tcBorders>
              <w:top w:val="nil"/>
              <w:left w:val="nil"/>
              <w:bottom w:val="single" w:sz="4" w:space="0" w:color="auto"/>
              <w:right w:val="single" w:sz="4" w:space="0" w:color="auto"/>
            </w:tcBorders>
            <w:shd w:val="clear" w:color="auto" w:fill="auto"/>
            <w:noWrap/>
            <w:vAlign w:val="center"/>
            <w:hideMark/>
          </w:tcPr>
          <w:p w14:paraId="11FF8328" w14:textId="77777777" w:rsidR="0004071A" w:rsidRPr="009A27ED" w:rsidRDefault="0004071A" w:rsidP="00E87E84">
            <w:pPr>
              <w:spacing w:after="0"/>
              <w:jc w:val="right"/>
              <w:rPr>
                <w:rFonts w:eastAsia="Times New Roman"/>
                <w:color w:val="000000"/>
                <w:sz w:val="20"/>
                <w:szCs w:val="20"/>
              </w:rPr>
            </w:pPr>
            <w:r w:rsidRPr="009A27ED">
              <w:rPr>
                <w:rFonts w:eastAsia="Times New Roman"/>
                <w:color w:val="000000"/>
                <w:sz w:val="20"/>
                <w:szCs w:val="20"/>
              </w:rPr>
              <w:t xml:space="preserve">37,295 </w:t>
            </w:r>
          </w:p>
        </w:tc>
        <w:tc>
          <w:tcPr>
            <w:tcW w:w="1392" w:type="dxa"/>
            <w:tcBorders>
              <w:top w:val="nil"/>
              <w:left w:val="nil"/>
              <w:bottom w:val="single" w:sz="4" w:space="0" w:color="auto"/>
              <w:right w:val="single" w:sz="4" w:space="0" w:color="auto"/>
            </w:tcBorders>
            <w:shd w:val="clear" w:color="auto" w:fill="auto"/>
            <w:noWrap/>
            <w:vAlign w:val="center"/>
            <w:hideMark/>
          </w:tcPr>
          <w:p w14:paraId="12573F45" w14:textId="77777777" w:rsidR="0004071A" w:rsidRPr="009A27ED" w:rsidRDefault="0004071A" w:rsidP="00E87E84">
            <w:pPr>
              <w:spacing w:after="0"/>
              <w:jc w:val="right"/>
              <w:rPr>
                <w:rFonts w:eastAsia="Times New Roman"/>
                <w:color w:val="000000"/>
                <w:sz w:val="20"/>
                <w:szCs w:val="20"/>
              </w:rPr>
            </w:pPr>
            <w:r w:rsidRPr="009A27ED">
              <w:rPr>
                <w:rFonts w:eastAsia="Times New Roman"/>
                <w:color w:val="000000"/>
                <w:sz w:val="20"/>
                <w:szCs w:val="20"/>
              </w:rPr>
              <w:t xml:space="preserve">14,935 </w:t>
            </w:r>
          </w:p>
        </w:tc>
        <w:tc>
          <w:tcPr>
            <w:tcW w:w="1125" w:type="dxa"/>
            <w:tcBorders>
              <w:top w:val="nil"/>
              <w:left w:val="nil"/>
              <w:bottom w:val="single" w:sz="4" w:space="0" w:color="auto"/>
              <w:right w:val="single" w:sz="4" w:space="0" w:color="auto"/>
            </w:tcBorders>
            <w:shd w:val="clear" w:color="auto" w:fill="auto"/>
            <w:noWrap/>
            <w:vAlign w:val="bottom"/>
            <w:hideMark/>
          </w:tcPr>
          <w:p w14:paraId="3822F436" w14:textId="77777777" w:rsidR="0004071A" w:rsidRPr="009A27ED" w:rsidRDefault="0004071A" w:rsidP="00E87E84">
            <w:pPr>
              <w:spacing w:after="0"/>
              <w:jc w:val="right"/>
              <w:rPr>
                <w:rFonts w:eastAsia="Times New Roman"/>
                <w:color w:val="000000"/>
                <w:sz w:val="20"/>
                <w:szCs w:val="20"/>
              </w:rPr>
            </w:pPr>
            <w:r w:rsidRPr="009A27ED">
              <w:rPr>
                <w:rFonts w:eastAsia="Times New Roman"/>
                <w:color w:val="000000"/>
                <w:sz w:val="20"/>
                <w:szCs w:val="20"/>
              </w:rPr>
              <w:t>676.32</w:t>
            </w:r>
          </w:p>
        </w:tc>
      </w:tr>
      <w:tr w:rsidR="0004071A" w:rsidRPr="009A27ED" w14:paraId="605AFD2A" w14:textId="77777777" w:rsidTr="00852881">
        <w:trPr>
          <w:trHeight w:val="184"/>
          <w:jc w:val="center"/>
        </w:trPr>
        <w:tc>
          <w:tcPr>
            <w:tcW w:w="617" w:type="dxa"/>
            <w:tcBorders>
              <w:top w:val="nil"/>
              <w:left w:val="single" w:sz="4" w:space="0" w:color="auto"/>
              <w:bottom w:val="single" w:sz="4" w:space="0" w:color="auto"/>
              <w:right w:val="single" w:sz="4" w:space="0" w:color="auto"/>
            </w:tcBorders>
            <w:shd w:val="clear" w:color="auto" w:fill="auto"/>
            <w:noWrap/>
            <w:vAlign w:val="center"/>
            <w:hideMark/>
          </w:tcPr>
          <w:p w14:paraId="7AD07E47" w14:textId="77777777" w:rsidR="0004071A" w:rsidRPr="009A27ED" w:rsidRDefault="0004071A" w:rsidP="00E87E84">
            <w:pPr>
              <w:spacing w:after="0"/>
              <w:jc w:val="center"/>
              <w:rPr>
                <w:rFonts w:eastAsia="Times New Roman"/>
                <w:color w:val="000000"/>
                <w:sz w:val="20"/>
                <w:szCs w:val="20"/>
              </w:rPr>
            </w:pPr>
            <w:r w:rsidRPr="009A27ED">
              <w:rPr>
                <w:rFonts w:eastAsia="Times New Roman"/>
                <w:color w:val="000000"/>
                <w:sz w:val="20"/>
                <w:szCs w:val="20"/>
              </w:rPr>
              <w:t>8</w:t>
            </w:r>
          </w:p>
        </w:tc>
        <w:tc>
          <w:tcPr>
            <w:tcW w:w="2078" w:type="dxa"/>
            <w:tcBorders>
              <w:top w:val="nil"/>
              <w:left w:val="nil"/>
              <w:bottom w:val="single" w:sz="4" w:space="0" w:color="auto"/>
              <w:right w:val="single" w:sz="4" w:space="0" w:color="auto"/>
            </w:tcBorders>
            <w:shd w:val="clear" w:color="auto" w:fill="auto"/>
            <w:noWrap/>
            <w:vAlign w:val="center"/>
            <w:hideMark/>
          </w:tcPr>
          <w:p w14:paraId="2B89595D" w14:textId="77777777" w:rsidR="0004071A" w:rsidRPr="009A27ED" w:rsidRDefault="0004071A" w:rsidP="00E87E84">
            <w:pPr>
              <w:spacing w:after="0"/>
              <w:rPr>
                <w:rFonts w:eastAsia="Times New Roman"/>
                <w:color w:val="000000"/>
                <w:sz w:val="20"/>
                <w:szCs w:val="20"/>
              </w:rPr>
            </w:pPr>
            <w:r w:rsidRPr="009A27ED">
              <w:rPr>
                <w:rFonts w:eastAsia="Times New Roman"/>
                <w:color w:val="000000"/>
                <w:sz w:val="20"/>
                <w:szCs w:val="20"/>
              </w:rPr>
              <w:t>Lago Enriquillo</w:t>
            </w:r>
          </w:p>
        </w:tc>
        <w:tc>
          <w:tcPr>
            <w:tcW w:w="1980" w:type="dxa"/>
            <w:tcBorders>
              <w:top w:val="nil"/>
              <w:left w:val="nil"/>
              <w:bottom w:val="single" w:sz="4" w:space="0" w:color="auto"/>
              <w:right w:val="single" w:sz="4" w:space="0" w:color="auto"/>
            </w:tcBorders>
            <w:shd w:val="clear" w:color="auto" w:fill="auto"/>
            <w:noWrap/>
            <w:vAlign w:val="center"/>
            <w:hideMark/>
          </w:tcPr>
          <w:p w14:paraId="4F360A18" w14:textId="77777777" w:rsidR="0004071A" w:rsidRPr="009A27ED" w:rsidRDefault="0004071A" w:rsidP="00E87E84">
            <w:pPr>
              <w:spacing w:after="0"/>
              <w:jc w:val="right"/>
              <w:rPr>
                <w:rFonts w:eastAsia="Times New Roman"/>
                <w:color w:val="000000"/>
                <w:sz w:val="20"/>
                <w:szCs w:val="20"/>
              </w:rPr>
            </w:pPr>
            <w:r w:rsidRPr="009A27ED">
              <w:rPr>
                <w:rFonts w:eastAsia="Times New Roman"/>
                <w:color w:val="000000"/>
                <w:sz w:val="20"/>
                <w:szCs w:val="20"/>
              </w:rPr>
              <w:t xml:space="preserve">31,761 </w:t>
            </w:r>
          </w:p>
        </w:tc>
        <w:tc>
          <w:tcPr>
            <w:tcW w:w="1392" w:type="dxa"/>
            <w:tcBorders>
              <w:top w:val="nil"/>
              <w:left w:val="nil"/>
              <w:bottom w:val="single" w:sz="4" w:space="0" w:color="auto"/>
              <w:right w:val="single" w:sz="4" w:space="0" w:color="auto"/>
            </w:tcBorders>
            <w:shd w:val="clear" w:color="auto" w:fill="auto"/>
            <w:noWrap/>
            <w:vAlign w:val="center"/>
            <w:hideMark/>
          </w:tcPr>
          <w:p w14:paraId="672E153B" w14:textId="77777777" w:rsidR="0004071A" w:rsidRPr="009A27ED" w:rsidRDefault="0004071A" w:rsidP="00E87E84">
            <w:pPr>
              <w:spacing w:after="0"/>
              <w:jc w:val="right"/>
              <w:rPr>
                <w:rFonts w:eastAsia="Times New Roman"/>
                <w:color w:val="000000"/>
                <w:sz w:val="20"/>
                <w:szCs w:val="20"/>
              </w:rPr>
            </w:pPr>
            <w:r w:rsidRPr="009A27ED">
              <w:rPr>
                <w:rFonts w:eastAsia="Times New Roman"/>
                <w:color w:val="000000"/>
                <w:sz w:val="20"/>
                <w:szCs w:val="20"/>
              </w:rPr>
              <w:t xml:space="preserve">7,096 </w:t>
            </w:r>
          </w:p>
        </w:tc>
        <w:tc>
          <w:tcPr>
            <w:tcW w:w="1125" w:type="dxa"/>
            <w:tcBorders>
              <w:top w:val="nil"/>
              <w:left w:val="nil"/>
              <w:bottom w:val="single" w:sz="4" w:space="0" w:color="auto"/>
              <w:right w:val="single" w:sz="4" w:space="0" w:color="auto"/>
            </w:tcBorders>
            <w:shd w:val="clear" w:color="auto" w:fill="auto"/>
            <w:noWrap/>
            <w:vAlign w:val="bottom"/>
            <w:hideMark/>
          </w:tcPr>
          <w:p w14:paraId="6DF16274" w14:textId="77777777" w:rsidR="0004071A" w:rsidRPr="009A27ED" w:rsidRDefault="0004071A" w:rsidP="00E87E84">
            <w:pPr>
              <w:spacing w:after="0"/>
              <w:jc w:val="right"/>
              <w:rPr>
                <w:rFonts w:eastAsia="Times New Roman"/>
                <w:color w:val="000000"/>
                <w:sz w:val="20"/>
                <w:szCs w:val="20"/>
              </w:rPr>
            </w:pPr>
            <w:r w:rsidRPr="009A27ED">
              <w:rPr>
                <w:rFonts w:eastAsia="Times New Roman"/>
                <w:color w:val="000000"/>
                <w:sz w:val="20"/>
                <w:szCs w:val="20"/>
              </w:rPr>
              <w:t>249</w:t>
            </w:r>
          </w:p>
        </w:tc>
      </w:tr>
      <w:tr w:rsidR="0004071A" w:rsidRPr="009A27ED" w14:paraId="1625F45B" w14:textId="77777777" w:rsidTr="00852881">
        <w:trPr>
          <w:trHeight w:val="247"/>
          <w:jc w:val="center"/>
        </w:trPr>
        <w:tc>
          <w:tcPr>
            <w:tcW w:w="617" w:type="dxa"/>
            <w:tcBorders>
              <w:top w:val="nil"/>
              <w:left w:val="single" w:sz="4" w:space="0" w:color="auto"/>
              <w:bottom w:val="single" w:sz="4" w:space="0" w:color="auto"/>
              <w:right w:val="single" w:sz="4" w:space="0" w:color="auto"/>
            </w:tcBorders>
            <w:shd w:val="clear" w:color="auto" w:fill="auto"/>
            <w:noWrap/>
            <w:vAlign w:val="center"/>
            <w:hideMark/>
          </w:tcPr>
          <w:p w14:paraId="1DAF2C5F" w14:textId="77777777" w:rsidR="0004071A" w:rsidRPr="009A27ED" w:rsidRDefault="0004071A" w:rsidP="00E87E84">
            <w:pPr>
              <w:spacing w:after="0"/>
              <w:jc w:val="center"/>
              <w:rPr>
                <w:rFonts w:eastAsia="Times New Roman"/>
                <w:color w:val="000000"/>
                <w:sz w:val="20"/>
                <w:szCs w:val="20"/>
              </w:rPr>
            </w:pPr>
            <w:r w:rsidRPr="009A27ED">
              <w:rPr>
                <w:rFonts w:eastAsia="Times New Roman"/>
                <w:color w:val="000000"/>
                <w:sz w:val="20"/>
                <w:szCs w:val="20"/>
              </w:rPr>
              <w:t>9</w:t>
            </w:r>
          </w:p>
        </w:tc>
        <w:tc>
          <w:tcPr>
            <w:tcW w:w="2078" w:type="dxa"/>
            <w:tcBorders>
              <w:top w:val="nil"/>
              <w:left w:val="nil"/>
              <w:bottom w:val="single" w:sz="4" w:space="0" w:color="auto"/>
              <w:right w:val="single" w:sz="4" w:space="0" w:color="auto"/>
            </w:tcBorders>
            <w:shd w:val="clear" w:color="auto" w:fill="auto"/>
            <w:noWrap/>
            <w:vAlign w:val="center"/>
            <w:hideMark/>
          </w:tcPr>
          <w:p w14:paraId="6445F281" w14:textId="77777777" w:rsidR="0004071A" w:rsidRPr="009A27ED" w:rsidRDefault="0004071A" w:rsidP="00E87E84">
            <w:pPr>
              <w:spacing w:after="0"/>
              <w:rPr>
                <w:rFonts w:eastAsia="Times New Roman"/>
                <w:color w:val="000000"/>
                <w:sz w:val="20"/>
                <w:szCs w:val="20"/>
              </w:rPr>
            </w:pPr>
            <w:proofErr w:type="spellStart"/>
            <w:r w:rsidRPr="009A27ED">
              <w:rPr>
                <w:rFonts w:eastAsia="Times New Roman"/>
                <w:color w:val="000000"/>
                <w:sz w:val="20"/>
                <w:szCs w:val="20"/>
              </w:rPr>
              <w:t>Yaque</w:t>
            </w:r>
            <w:proofErr w:type="spellEnd"/>
            <w:r w:rsidRPr="009A27ED">
              <w:rPr>
                <w:rFonts w:eastAsia="Times New Roman"/>
                <w:color w:val="000000"/>
                <w:sz w:val="20"/>
                <w:szCs w:val="20"/>
              </w:rPr>
              <w:t xml:space="preserve"> del Sur</w:t>
            </w:r>
          </w:p>
        </w:tc>
        <w:tc>
          <w:tcPr>
            <w:tcW w:w="1980" w:type="dxa"/>
            <w:tcBorders>
              <w:top w:val="nil"/>
              <w:left w:val="nil"/>
              <w:bottom w:val="single" w:sz="4" w:space="0" w:color="auto"/>
              <w:right w:val="single" w:sz="4" w:space="0" w:color="auto"/>
            </w:tcBorders>
            <w:shd w:val="clear" w:color="auto" w:fill="auto"/>
            <w:noWrap/>
            <w:vAlign w:val="center"/>
            <w:hideMark/>
          </w:tcPr>
          <w:p w14:paraId="6A752F54" w14:textId="77777777" w:rsidR="0004071A" w:rsidRPr="009A27ED" w:rsidRDefault="0004071A" w:rsidP="00E87E84">
            <w:pPr>
              <w:spacing w:after="0"/>
              <w:jc w:val="right"/>
              <w:rPr>
                <w:rFonts w:eastAsia="Times New Roman"/>
                <w:color w:val="000000"/>
                <w:sz w:val="20"/>
                <w:szCs w:val="20"/>
              </w:rPr>
            </w:pPr>
            <w:r w:rsidRPr="009A27ED">
              <w:rPr>
                <w:rFonts w:eastAsia="Times New Roman"/>
                <w:color w:val="000000"/>
                <w:sz w:val="20"/>
                <w:szCs w:val="20"/>
              </w:rPr>
              <w:t xml:space="preserve">14,050 </w:t>
            </w:r>
          </w:p>
        </w:tc>
        <w:tc>
          <w:tcPr>
            <w:tcW w:w="1392" w:type="dxa"/>
            <w:tcBorders>
              <w:top w:val="nil"/>
              <w:left w:val="nil"/>
              <w:bottom w:val="single" w:sz="4" w:space="0" w:color="auto"/>
              <w:right w:val="single" w:sz="4" w:space="0" w:color="auto"/>
            </w:tcBorders>
            <w:shd w:val="clear" w:color="auto" w:fill="auto"/>
            <w:noWrap/>
            <w:vAlign w:val="center"/>
            <w:hideMark/>
          </w:tcPr>
          <w:p w14:paraId="2CA59C02" w14:textId="77777777" w:rsidR="0004071A" w:rsidRPr="009A27ED" w:rsidRDefault="0004071A" w:rsidP="00E87E84">
            <w:pPr>
              <w:spacing w:after="0"/>
              <w:jc w:val="right"/>
              <w:rPr>
                <w:rFonts w:eastAsia="Times New Roman"/>
                <w:color w:val="000000"/>
                <w:sz w:val="20"/>
                <w:szCs w:val="20"/>
              </w:rPr>
            </w:pPr>
            <w:r w:rsidRPr="009A27ED">
              <w:rPr>
                <w:rFonts w:eastAsia="Times New Roman"/>
                <w:color w:val="000000"/>
                <w:sz w:val="20"/>
                <w:szCs w:val="20"/>
              </w:rPr>
              <w:t xml:space="preserve">4,626 </w:t>
            </w:r>
          </w:p>
        </w:tc>
        <w:tc>
          <w:tcPr>
            <w:tcW w:w="1125" w:type="dxa"/>
            <w:tcBorders>
              <w:top w:val="nil"/>
              <w:left w:val="nil"/>
              <w:bottom w:val="single" w:sz="4" w:space="0" w:color="auto"/>
              <w:right w:val="single" w:sz="4" w:space="0" w:color="auto"/>
            </w:tcBorders>
            <w:shd w:val="clear" w:color="auto" w:fill="auto"/>
            <w:noWrap/>
            <w:vAlign w:val="bottom"/>
            <w:hideMark/>
          </w:tcPr>
          <w:p w14:paraId="685EC12E" w14:textId="77777777" w:rsidR="0004071A" w:rsidRPr="009A27ED" w:rsidRDefault="0004071A" w:rsidP="00E87E84">
            <w:pPr>
              <w:spacing w:after="0"/>
              <w:jc w:val="right"/>
              <w:rPr>
                <w:rFonts w:eastAsia="Times New Roman"/>
                <w:color w:val="000000"/>
                <w:sz w:val="20"/>
                <w:szCs w:val="20"/>
              </w:rPr>
            </w:pPr>
            <w:r w:rsidRPr="009A27ED">
              <w:rPr>
                <w:rFonts w:eastAsia="Times New Roman"/>
                <w:color w:val="000000"/>
                <w:sz w:val="20"/>
                <w:szCs w:val="20"/>
              </w:rPr>
              <w:t>116.17</w:t>
            </w:r>
          </w:p>
        </w:tc>
      </w:tr>
      <w:tr w:rsidR="0004071A" w:rsidRPr="009A27ED" w14:paraId="27FD7C38" w14:textId="77777777" w:rsidTr="00852881">
        <w:trPr>
          <w:trHeight w:val="90"/>
          <w:jc w:val="center"/>
        </w:trPr>
        <w:tc>
          <w:tcPr>
            <w:tcW w:w="617" w:type="dxa"/>
            <w:tcBorders>
              <w:top w:val="nil"/>
              <w:left w:val="single" w:sz="4" w:space="0" w:color="auto"/>
              <w:bottom w:val="single" w:sz="4" w:space="0" w:color="auto"/>
              <w:right w:val="single" w:sz="4" w:space="0" w:color="auto"/>
            </w:tcBorders>
            <w:shd w:val="clear" w:color="auto" w:fill="auto"/>
            <w:noWrap/>
            <w:vAlign w:val="center"/>
            <w:hideMark/>
          </w:tcPr>
          <w:p w14:paraId="491BF716" w14:textId="77777777" w:rsidR="0004071A" w:rsidRPr="009A27ED" w:rsidRDefault="0004071A" w:rsidP="00E87E84">
            <w:pPr>
              <w:spacing w:after="0"/>
              <w:jc w:val="center"/>
              <w:rPr>
                <w:rFonts w:eastAsia="Times New Roman"/>
                <w:color w:val="000000"/>
                <w:sz w:val="20"/>
                <w:szCs w:val="20"/>
              </w:rPr>
            </w:pPr>
            <w:r w:rsidRPr="009A27ED">
              <w:rPr>
                <w:rFonts w:eastAsia="Times New Roman"/>
                <w:color w:val="000000"/>
                <w:sz w:val="20"/>
                <w:szCs w:val="20"/>
              </w:rPr>
              <w:t>10</w:t>
            </w:r>
          </w:p>
        </w:tc>
        <w:tc>
          <w:tcPr>
            <w:tcW w:w="2078" w:type="dxa"/>
            <w:tcBorders>
              <w:top w:val="nil"/>
              <w:left w:val="nil"/>
              <w:bottom w:val="single" w:sz="4" w:space="0" w:color="auto"/>
              <w:right w:val="single" w:sz="4" w:space="0" w:color="auto"/>
            </w:tcBorders>
            <w:shd w:val="clear" w:color="auto" w:fill="auto"/>
            <w:noWrap/>
            <w:vAlign w:val="center"/>
            <w:hideMark/>
          </w:tcPr>
          <w:p w14:paraId="50E2F164" w14:textId="77777777" w:rsidR="0004071A" w:rsidRPr="009A27ED" w:rsidRDefault="0004071A" w:rsidP="00E87E84">
            <w:pPr>
              <w:spacing w:after="0"/>
              <w:rPr>
                <w:rFonts w:eastAsia="Times New Roman"/>
                <w:color w:val="000000"/>
                <w:sz w:val="20"/>
                <w:szCs w:val="20"/>
              </w:rPr>
            </w:pPr>
            <w:r w:rsidRPr="009A27ED">
              <w:rPr>
                <w:rFonts w:eastAsia="Times New Roman"/>
                <w:color w:val="000000"/>
                <w:sz w:val="20"/>
                <w:szCs w:val="20"/>
              </w:rPr>
              <w:t>Este</w:t>
            </w:r>
          </w:p>
        </w:tc>
        <w:tc>
          <w:tcPr>
            <w:tcW w:w="1980" w:type="dxa"/>
            <w:tcBorders>
              <w:top w:val="nil"/>
              <w:left w:val="nil"/>
              <w:bottom w:val="single" w:sz="4" w:space="0" w:color="auto"/>
              <w:right w:val="single" w:sz="4" w:space="0" w:color="auto"/>
            </w:tcBorders>
            <w:shd w:val="clear" w:color="auto" w:fill="auto"/>
            <w:noWrap/>
            <w:vAlign w:val="center"/>
            <w:hideMark/>
          </w:tcPr>
          <w:p w14:paraId="2D536079" w14:textId="77777777" w:rsidR="0004071A" w:rsidRPr="009A27ED" w:rsidRDefault="0004071A" w:rsidP="00E87E84">
            <w:pPr>
              <w:spacing w:after="0"/>
              <w:jc w:val="right"/>
              <w:rPr>
                <w:rFonts w:eastAsia="Times New Roman"/>
                <w:color w:val="000000"/>
                <w:sz w:val="20"/>
                <w:szCs w:val="20"/>
              </w:rPr>
            </w:pPr>
            <w:r w:rsidRPr="009A27ED">
              <w:rPr>
                <w:rFonts w:eastAsia="Times New Roman"/>
                <w:color w:val="000000"/>
                <w:sz w:val="20"/>
                <w:szCs w:val="20"/>
              </w:rPr>
              <w:t xml:space="preserve">8,468 </w:t>
            </w:r>
          </w:p>
        </w:tc>
        <w:tc>
          <w:tcPr>
            <w:tcW w:w="1392" w:type="dxa"/>
            <w:tcBorders>
              <w:top w:val="nil"/>
              <w:left w:val="nil"/>
              <w:bottom w:val="single" w:sz="4" w:space="0" w:color="auto"/>
              <w:right w:val="single" w:sz="4" w:space="0" w:color="auto"/>
            </w:tcBorders>
            <w:shd w:val="clear" w:color="auto" w:fill="auto"/>
            <w:noWrap/>
            <w:vAlign w:val="center"/>
            <w:hideMark/>
          </w:tcPr>
          <w:p w14:paraId="72A8BEF2" w14:textId="77777777" w:rsidR="0004071A" w:rsidRPr="009A27ED" w:rsidRDefault="0004071A" w:rsidP="00E87E84">
            <w:pPr>
              <w:spacing w:after="0"/>
              <w:jc w:val="right"/>
              <w:rPr>
                <w:rFonts w:eastAsia="Times New Roman"/>
                <w:color w:val="000000"/>
                <w:sz w:val="20"/>
                <w:szCs w:val="20"/>
              </w:rPr>
            </w:pPr>
            <w:r w:rsidRPr="009A27ED">
              <w:rPr>
                <w:rFonts w:eastAsia="Times New Roman"/>
                <w:color w:val="000000"/>
                <w:sz w:val="20"/>
                <w:szCs w:val="20"/>
              </w:rPr>
              <w:t xml:space="preserve">1,866 </w:t>
            </w:r>
          </w:p>
        </w:tc>
        <w:tc>
          <w:tcPr>
            <w:tcW w:w="1125" w:type="dxa"/>
            <w:tcBorders>
              <w:top w:val="nil"/>
              <w:left w:val="nil"/>
              <w:bottom w:val="single" w:sz="4" w:space="0" w:color="auto"/>
              <w:right w:val="single" w:sz="4" w:space="0" w:color="auto"/>
            </w:tcBorders>
            <w:shd w:val="clear" w:color="auto" w:fill="auto"/>
            <w:noWrap/>
            <w:vAlign w:val="bottom"/>
            <w:hideMark/>
          </w:tcPr>
          <w:p w14:paraId="4EB24492" w14:textId="77777777" w:rsidR="0004071A" w:rsidRPr="009A27ED" w:rsidRDefault="0004071A" w:rsidP="00E87E84">
            <w:pPr>
              <w:spacing w:after="0"/>
              <w:jc w:val="right"/>
              <w:rPr>
                <w:rFonts w:eastAsia="Times New Roman"/>
                <w:color w:val="000000"/>
                <w:sz w:val="20"/>
                <w:szCs w:val="20"/>
              </w:rPr>
            </w:pPr>
            <w:r w:rsidRPr="009A27ED">
              <w:rPr>
                <w:rFonts w:eastAsia="Times New Roman"/>
                <w:color w:val="000000"/>
                <w:sz w:val="20"/>
                <w:szCs w:val="20"/>
              </w:rPr>
              <w:t>53.56</w:t>
            </w:r>
          </w:p>
        </w:tc>
      </w:tr>
      <w:tr w:rsidR="0004071A" w:rsidRPr="009A27ED" w14:paraId="78FC47B5" w14:textId="77777777" w:rsidTr="00852881">
        <w:trPr>
          <w:trHeight w:val="315"/>
          <w:jc w:val="center"/>
        </w:trPr>
        <w:tc>
          <w:tcPr>
            <w:tcW w:w="617" w:type="dxa"/>
            <w:tcBorders>
              <w:top w:val="nil"/>
              <w:left w:val="single" w:sz="4" w:space="0" w:color="auto"/>
              <w:bottom w:val="single" w:sz="4" w:space="0" w:color="auto"/>
              <w:right w:val="single" w:sz="4" w:space="0" w:color="auto"/>
            </w:tcBorders>
            <w:shd w:val="clear" w:color="auto" w:fill="auto"/>
            <w:noWrap/>
            <w:vAlign w:val="bottom"/>
            <w:hideMark/>
          </w:tcPr>
          <w:p w14:paraId="42932864" w14:textId="77777777" w:rsidR="0004071A" w:rsidRPr="009A27ED" w:rsidRDefault="0004071A" w:rsidP="00E87E84">
            <w:pPr>
              <w:spacing w:after="0"/>
              <w:jc w:val="center"/>
              <w:rPr>
                <w:rFonts w:eastAsia="Times New Roman"/>
                <w:color w:val="000000"/>
                <w:sz w:val="20"/>
                <w:szCs w:val="20"/>
              </w:rPr>
            </w:pPr>
            <w:r w:rsidRPr="009A27ED">
              <w:rPr>
                <w:rFonts w:eastAsia="Times New Roman"/>
                <w:color w:val="000000"/>
                <w:sz w:val="20"/>
                <w:szCs w:val="20"/>
              </w:rPr>
              <w:t> </w:t>
            </w:r>
          </w:p>
        </w:tc>
        <w:tc>
          <w:tcPr>
            <w:tcW w:w="2078" w:type="dxa"/>
            <w:tcBorders>
              <w:top w:val="nil"/>
              <w:left w:val="nil"/>
              <w:bottom w:val="single" w:sz="4" w:space="0" w:color="auto"/>
              <w:right w:val="single" w:sz="4" w:space="0" w:color="auto"/>
            </w:tcBorders>
            <w:shd w:val="clear" w:color="auto" w:fill="auto"/>
            <w:noWrap/>
            <w:hideMark/>
          </w:tcPr>
          <w:p w14:paraId="22815913" w14:textId="77777777" w:rsidR="0004071A" w:rsidRPr="009A27ED" w:rsidRDefault="0004071A" w:rsidP="00852881">
            <w:pPr>
              <w:spacing w:after="0"/>
              <w:jc w:val="center"/>
              <w:rPr>
                <w:rFonts w:eastAsia="Times New Roman"/>
                <w:b/>
                <w:color w:val="000000"/>
                <w:sz w:val="20"/>
                <w:szCs w:val="20"/>
              </w:rPr>
            </w:pPr>
            <w:r w:rsidRPr="009A27ED">
              <w:rPr>
                <w:rFonts w:eastAsia="Times New Roman"/>
                <w:b/>
                <w:color w:val="000000"/>
                <w:sz w:val="20"/>
                <w:szCs w:val="20"/>
              </w:rPr>
              <w:t>TOTALES</w:t>
            </w:r>
          </w:p>
        </w:tc>
        <w:tc>
          <w:tcPr>
            <w:tcW w:w="1980" w:type="dxa"/>
            <w:tcBorders>
              <w:top w:val="nil"/>
              <w:left w:val="nil"/>
              <w:bottom w:val="single" w:sz="4" w:space="0" w:color="auto"/>
              <w:right w:val="single" w:sz="4" w:space="0" w:color="auto"/>
            </w:tcBorders>
            <w:shd w:val="clear" w:color="auto" w:fill="auto"/>
            <w:noWrap/>
            <w:hideMark/>
          </w:tcPr>
          <w:p w14:paraId="5742F216" w14:textId="3714031D" w:rsidR="0004071A" w:rsidRPr="009A27ED" w:rsidRDefault="0004071A" w:rsidP="00852881">
            <w:pPr>
              <w:spacing w:after="0"/>
              <w:jc w:val="center"/>
              <w:rPr>
                <w:rFonts w:eastAsia="Times New Roman"/>
                <w:b/>
                <w:color w:val="000000"/>
                <w:sz w:val="20"/>
                <w:szCs w:val="20"/>
              </w:rPr>
            </w:pPr>
            <w:r w:rsidRPr="009A27ED">
              <w:rPr>
                <w:rFonts w:eastAsia="Times New Roman"/>
                <w:b/>
                <w:color w:val="000000"/>
                <w:sz w:val="20"/>
                <w:szCs w:val="20"/>
              </w:rPr>
              <w:t>302,491</w:t>
            </w:r>
          </w:p>
        </w:tc>
        <w:tc>
          <w:tcPr>
            <w:tcW w:w="1392" w:type="dxa"/>
            <w:tcBorders>
              <w:top w:val="nil"/>
              <w:left w:val="nil"/>
              <w:bottom w:val="single" w:sz="4" w:space="0" w:color="auto"/>
              <w:right w:val="single" w:sz="4" w:space="0" w:color="auto"/>
            </w:tcBorders>
            <w:shd w:val="clear" w:color="auto" w:fill="auto"/>
            <w:noWrap/>
            <w:hideMark/>
          </w:tcPr>
          <w:p w14:paraId="3E4E1B12" w14:textId="15C84F99" w:rsidR="0004071A" w:rsidRPr="009A27ED" w:rsidRDefault="0004071A" w:rsidP="00852881">
            <w:pPr>
              <w:spacing w:after="0"/>
              <w:jc w:val="center"/>
              <w:rPr>
                <w:rFonts w:eastAsia="Times New Roman"/>
                <w:b/>
                <w:color w:val="000000"/>
                <w:sz w:val="20"/>
                <w:szCs w:val="20"/>
              </w:rPr>
            </w:pPr>
            <w:r w:rsidRPr="009A27ED">
              <w:rPr>
                <w:rFonts w:eastAsia="Times New Roman"/>
                <w:b/>
                <w:color w:val="000000"/>
                <w:sz w:val="20"/>
                <w:szCs w:val="20"/>
              </w:rPr>
              <w:t>83,195</w:t>
            </w:r>
          </w:p>
        </w:tc>
        <w:tc>
          <w:tcPr>
            <w:tcW w:w="1125" w:type="dxa"/>
            <w:tcBorders>
              <w:top w:val="nil"/>
              <w:left w:val="nil"/>
              <w:bottom w:val="single" w:sz="4" w:space="0" w:color="auto"/>
              <w:right w:val="single" w:sz="4" w:space="0" w:color="auto"/>
            </w:tcBorders>
            <w:shd w:val="clear" w:color="auto" w:fill="auto"/>
            <w:noWrap/>
            <w:hideMark/>
          </w:tcPr>
          <w:p w14:paraId="55715CA7" w14:textId="40A24ED0" w:rsidR="0004071A" w:rsidRPr="009A27ED" w:rsidRDefault="0004071A" w:rsidP="003201DB">
            <w:pPr>
              <w:keepNext/>
              <w:spacing w:after="0"/>
              <w:jc w:val="center"/>
              <w:rPr>
                <w:rFonts w:eastAsia="Times New Roman"/>
                <w:b/>
                <w:color w:val="000000"/>
                <w:sz w:val="20"/>
                <w:szCs w:val="20"/>
              </w:rPr>
            </w:pPr>
            <w:r w:rsidRPr="009A27ED">
              <w:rPr>
                <w:rFonts w:eastAsia="Times New Roman"/>
                <w:b/>
                <w:color w:val="000000"/>
                <w:sz w:val="20"/>
                <w:szCs w:val="20"/>
              </w:rPr>
              <w:t>2,432.95</w:t>
            </w:r>
          </w:p>
        </w:tc>
      </w:tr>
    </w:tbl>
    <w:p w14:paraId="344EC9C7" w14:textId="2BE85009" w:rsidR="0004071A" w:rsidRPr="009A27ED" w:rsidRDefault="001E165D" w:rsidP="00000E1A">
      <w:pPr>
        <w:spacing w:after="0" w:line="360" w:lineRule="auto"/>
        <w:rPr>
          <w:sz w:val="20"/>
          <w:szCs w:val="20"/>
          <w:lang w:val="es-MX"/>
        </w:rPr>
      </w:pPr>
      <w:r w:rsidRPr="009A27ED">
        <w:rPr>
          <w:rFonts w:ascii="Times New Roman" w:eastAsia="Times New Roman" w:hAnsi="Times New Roman"/>
          <w:sz w:val="24"/>
          <w:szCs w:val="20"/>
          <w:lang w:val="es-MX"/>
        </w:rPr>
        <w:t xml:space="preserve">                 </w:t>
      </w:r>
      <w:r w:rsidR="0004071A" w:rsidRPr="009A27ED">
        <w:rPr>
          <w:rFonts w:ascii="Times New Roman" w:eastAsia="Times New Roman" w:hAnsi="Times New Roman"/>
          <w:sz w:val="24"/>
          <w:szCs w:val="20"/>
          <w:lang w:val="es-MX"/>
        </w:rPr>
        <w:t>Fuente: Plan hidrológico Nacional</w:t>
      </w:r>
    </w:p>
    <w:p w14:paraId="4D9FA01F" w14:textId="1B21244A" w:rsidR="0004071A" w:rsidRPr="009A27ED" w:rsidRDefault="0004071A" w:rsidP="00E67CB0">
      <w:pPr>
        <w:pStyle w:val="Prrafodelista"/>
        <w:numPr>
          <w:ilvl w:val="0"/>
          <w:numId w:val="295"/>
        </w:numPr>
        <w:spacing w:before="120" w:after="0" w:line="360" w:lineRule="auto"/>
        <w:rPr>
          <w:b/>
          <w:szCs w:val="22"/>
          <w:lang w:val="es-MX"/>
        </w:rPr>
      </w:pPr>
      <w:r w:rsidRPr="009A27ED">
        <w:rPr>
          <w:rFonts w:ascii="Times New Roman" w:eastAsia="Times New Roman" w:hAnsi="Times New Roman"/>
          <w:b/>
          <w:sz w:val="24"/>
          <w:szCs w:val="22"/>
          <w:lang w:val="es-MX"/>
        </w:rPr>
        <w:t>Características del Suelo</w:t>
      </w:r>
    </w:p>
    <w:p w14:paraId="5F2F3F92" w14:textId="1AB31BF2" w:rsidR="00B90A11" w:rsidRPr="009A27ED" w:rsidRDefault="0004071A" w:rsidP="00B22469">
      <w:pPr>
        <w:spacing w:before="120" w:after="0" w:line="360" w:lineRule="auto"/>
        <w:rPr>
          <w:bCs/>
          <w:iCs/>
          <w:szCs w:val="22"/>
        </w:rPr>
      </w:pPr>
      <w:r w:rsidRPr="009A27ED">
        <w:rPr>
          <w:rFonts w:ascii="Times New Roman" w:eastAsia="Times New Roman" w:hAnsi="Times New Roman"/>
          <w:bCs/>
          <w:iCs/>
          <w:sz w:val="24"/>
          <w:szCs w:val="22"/>
        </w:rPr>
        <w:t xml:space="preserve">Según la clasificación de los suelos realizada en 1967 por </w:t>
      </w:r>
      <w:r w:rsidR="004630BE" w:rsidRPr="009A27ED">
        <w:rPr>
          <w:rFonts w:ascii="Times New Roman" w:eastAsia="Times New Roman" w:hAnsi="Times New Roman"/>
          <w:bCs/>
          <w:iCs/>
          <w:sz w:val="24"/>
          <w:szCs w:val="22"/>
        </w:rPr>
        <w:t>la Organización</w:t>
      </w:r>
      <w:r w:rsidRPr="009A27ED">
        <w:rPr>
          <w:rFonts w:ascii="Times New Roman" w:eastAsia="Times New Roman" w:hAnsi="Times New Roman"/>
          <w:bCs/>
          <w:iCs/>
          <w:sz w:val="24"/>
          <w:szCs w:val="22"/>
        </w:rPr>
        <w:t xml:space="preserve"> de los Estados Americanos (OEA), por su capacidad productiva, la República Dominicana posee 8 tipos de suelo. De esta clasificación, todos se encuentran presente</w:t>
      </w:r>
      <w:r w:rsidR="004630BE" w:rsidRPr="009A27ED">
        <w:rPr>
          <w:rFonts w:ascii="Times New Roman" w:eastAsia="Times New Roman" w:hAnsi="Times New Roman"/>
          <w:bCs/>
          <w:iCs/>
          <w:sz w:val="24"/>
          <w:szCs w:val="22"/>
        </w:rPr>
        <w:t>s</w:t>
      </w:r>
      <w:r w:rsidRPr="009A27ED">
        <w:rPr>
          <w:rFonts w:ascii="Times New Roman" w:eastAsia="Times New Roman" w:hAnsi="Times New Roman"/>
          <w:bCs/>
          <w:iCs/>
          <w:sz w:val="24"/>
          <w:szCs w:val="22"/>
        </w:rPr>
        <w:t xml:space="preserve"> en las cinco áreas priorizadas para el </w:t>
      </w:r>
      <w:r w:rsidR="00124B63" w:rsidRPr="009A27ED">
        <w:rPr>
          <w:rFonts w:ascii="Times New Roman" w:eastAsia="Times New Roman" w:hAnsi="Times New Roman"/>
          <w:bCs/>
          <w:iCs/>
          <w:sz w:val="24"/>
          <w:szCs w:val="22"/>
        </w:rPr>
        <w:t>Programa REDD+</w:t>
      </w:r>
      <w:r w:rsidR="00434410" w:rsidRPr="009A27ED">
        <w:rPr>
          <w:rFonts w:ascii="Times New Roman" w:eastAsia="Times New Roman" w:hAnsi="Times New Roman"/>
          <w:bCs/>
          <w:iCs/>
          <w:sz w:val="24"/>
          <w:szCs w:val="22"/>
        </w:rPr>
        <w:t xml:space="preserve"> las</w:t>
      </w:r>
      <w:r w:rsidR="00A65F30" w:rsidRPr="009A27ED">
        <w:rPr>
          <w:rFonts w:ascii="Times New Roman" w:eastAsia="Times New Roman" w:hAnsi="Times New Roman"/>
          <w:bCs/>
          <w:iCs/>
          <w:sz w:val="24"/>
          <w:szCs w:val="22"/>
        </w:rPr>
        <w:t xml:space="preserve"> cuales se</w:t>
      </w:r>
      <w:r w:rsidR="002F3F2C" w:rsidRPr="009A27ED">
        <w:rPr>
          <w:rFonts w:ascii="Times New Roman" w:eastAsia="Times New Roman" w:hAnsi="Times New Roman"/>
          <w:bCs/>
          <w:iCs/>
          <w:sz w:val="24"/>
          <w:szCs w:val="22"/>
        </w:rPr>
        <w:t xml:space="preserve"> describen a continuación: </w:t>
      </w:r>
      <w:bookmarkStart w:id="135" w:name="_Toc13999"/>
    </w:p>
    <w:p w14:paraId="65BC85E7" w14:textId="3B355F63" w:rsidR="00C946E6" w:rsidRPr="009A27ED" w:rsidRDefault="001E165D" w:rsidP="00B90A11">
      <w:pPr>
        <w:pStyle w:val="Descripcin"/>
        <w:spacing w:line="360" w:lineRule="auto"/>
        <w:rPr>
          <w:color w:val="000000" w:themeColor="text1"/>
          <w:sz w:val="20"/>
        </w:rPr>
      </w:pPr>
      <w:r w:rsidRPr="009A27ED">
        <w:rPr>
          <w:rFonts w:ascii="Times New Roman" w:eastAsia="Times New Roman" w:hAnsi="Times New Roman"/>
          <w:color w:val="000000" w:themeColor="text1"/>
          <w:sz w:val="24"/>
        </w:rPr>
        <w:t xml:space="preserve">. </w:t>
      </w:r>
      <w:r w:rsidR="00B90A11" w:rsidRPr="009A27ED">
        <w:rPr>
          <w:rFonts w:ascii="Times New Roman" w:eastAsia="Times New Roman" w:hAnsi="Times New Roman"/>
          <w:color w:val="000000" w:themeColor="text1"/>
          <w:sz w:val="24"/>
        </w:rPr>
        <w:t xml:space="preserve"> </w:t>
      </w:r>
      <w:bookmarkEnd w:id="135"/>
    </w:p>
    <w:p w14:paraId="58281EEC" w14:textId="6219519F" w:rsidR="004E6BAE" w:rsidRPr="009A27ED" w:rsidRDefault="004E6BAE" w:rsidP="004E6BAE">
      <w:pPr>
        <w:pStyle w:val="Descripcin"/>
        <w:spacing w:line="360" w:lineRule="auto"/>
        <w:rPr>
          <w:color w:val="000000" w:themeColor="text1"/>
          <w:sz w:val="20"/>
        </w:rPr>
      </w:pPr>
      <w:bookmarkStart w:id="136" w:name="_Toc111887421"/>
      <w:r w:rsidRPr="009A27ED">
        <w:rPr>
          <w:rFonts w:ascii="Times New Roman" w:eastAsia="Times New Roman" w:hAnsi="Times New Roman"/>
          <w:sz w:val="24"/>
        </w:rPr>
        <w:t xml:space="preserve">Cuadro </w:t>
      </w:r>
      <w:r w:rsidR="00F43DB6" w:rsidRPr="009A27ED">
        <w:rPr>
          <w:rFonts w:ascii="Times New Roman" w:eastAsia="Times New Roman" w:hAnsi="Times New Roman"/>
          <w:sz w:val="24"/>
        </w:rPr>
        <w:fldChar w:fldCharType="begin"/>
      </w:r>
      <w:r w:rsidR="00F43DB6" w:rsidRPr="009A27ED">
        <w:rPr>
          <w:rFonts w:ascii="Times New Roman" w:eastAsia="Times New Roman" w:hAnsi="Times New Roman"/>
          <w:sz w:val="24"/>
        </w:rPr>
        <w:instrText xml:space="preserve"> SEQ Cuadro \* ARABIC </w:instrText>
      </w:r>
      <w:r w:rsidR="00F43DB6"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11</w:t>
      </w:r>
      <w:r w:rsidR="00F43DB6" w:rsidRPr="009A27ED">
        <w:rPr>
          <w:rFonts w:ascii="Times New Roman" w:eastAsia="Times New Roman" w:hAnsi="Times New Roman"/>
          <w:sz w:val="24"/>
        </w:rPr>
        <w:fldChar w:fldCharType="end"/>
      </w:r>
      <w:r w:rsidRPr="009A27ED">
        <w:rPr>
          <w:rFonts w:ascii="Times New Roman" w:eastAsia="Times New Roman" w:hAnsi="Times New Roman"/>
          <w:sz w:val="24"/>
        </w:rPr>
        <w:t>.</w:t>
      </w:r>
      <w:r w:rsidRPr="009A27ED">
        <w:rPr>
          <w:rFonts w:ascii="Times New Roman" w:eastAsia="Times New Roman" w:hAnsi="Times New Roman"/>
          <w:color w:val="000000" w:themeColor="text1"/>
          <w:sz w:val="24"/>
        </w:rPr>
        <w:t xml:space="preserve"> Características de suelos en las áreas priorizadas</w:t>
      </w:r>
      <w:bookmarkEnd w:id="136"/>
    </w:p>
    <w:tbl>
      <w:tblPr>
        <w:tblStyle w:val="Tablaconcuadrcula"/>
        <w:tblW w:w="0" w:type="auto"/>
        <w:jc w:val="center"/>
        <w:tblLook w:val="04A0" w:firstRow="1" w:lastRow="0" w:firstColumn="1" w:lastColumn="0" w:noHBand="0" w:noVBand="1"/>
      </w:tblPr>
      <w:tblGrid>
        <w:gridCol w:w="981"/>
        <w:gridCol w:w="1170"/>
        <w:gridCol w:w="1043"/>
        <w:gridCol w:w="5634"/>
      </w:tblGrid>
      <w:tr w:rsidR="00D4690F" w:rsidRPr="009A27ED" w14:paraId="010E8C65" w14:textId="77777777" w:rsidTr="004E6BAE">
        <w:trPr>
          <w:trHeight w:val="442"/>
          <w:tblHeader/>
          <w:jc w:val="center"/>
        </w:trPr>
        <w:tc>
          <w:tcPr>
            <w:tcW w:w="981" w:type="dxa"/>
            <w:shd w:val="clear" w:color="auto" w:fill="0070C0"/>
          </w:tcPr>
          <w:p w14:paraId="47092363" w14:textId="77777777" w:rsidR="0004071A" w:rsidRPr="009A27ED" w:rsidRDefault="0004071A" w:rsidP="005B6485">
            <w:pPr>
              <w:spacing w:before="120" w:after="0"/>
              <w:jc w:val="center"/>
              <w:rPr>
                <w:b/>
                <w:color w:val="FFFFFF" w:themeColor="background1"/>
                <w:sz w:val="20"/>
                <w:szCs w:val="20"/>
                <w:lang w:val="es-MX"/>
              </w:rPr>
            </w:pPr>
            <w:r w:rsidRPr="009A27ED">
              <w:rPr>
                <w:b/>
                <w:color w:val="FFFFFF" w:themeColor="background1"/>
                <w:sz w:val="20"/>
                <w:szCs w:val="20"/>
                <w:lang w:val="es-MX"/>
              </w:rPr>
              <w:t>Tipo de Suelo</w:t>
            </w:r>
          </w:p>
        </w:tc>
        <w:tc>
          <w:tcPr>
            <w:tcW w:w="1170" w:type="dxa"/>
            <w:shd w:val="clear" w:color="auto" w:fill="0070C0"/>
          </w:tcPr>
          <w:p w14:paraId="449F606F" w14:textId="77777777" w:rsidR="0004071A" w:rsidRPr="009A27ED" w:rsidRDefault="0004071A" w:rsidP="005B6485">
            <w:pPr>
              <w:spacing w:before="120" w:after="0"/>
              <w:jc w:val="center"/>
              <w:rPr>
                <w:b/>
                <w:color w:val="FFFFFF" w:themeColor="background1"/>
                <w:sz w:val="20"/>
                <w:szCs w:val="20"/>
                <w:lang w:val="es-MX"/>
              </w:rPr>
            </w:pPr>
            <w:r w:rsidRPr="009A27ED">
              <w:rPr>
                <w:b/>
                <w:color w:val="FFFFFF" w:themeColor="background1"/>
                <w:sz w:val="20"/>
                <w:szCs w:val="20"/>
                <w:lang w:val="es-MX"/>
              </w:rPr>
              <w:t>Áreas priorizadas</w:t>
            </w:r>
          </w:p>
        </w:tc>
        <w:tc>
          <w:tcPr>
            <w:tcW w:w="1043" w:type="dxa"/>
            <w:shd w:val="clear" w:color="auto" w:fill="0070C0"/>
          </w:tcPr>
          <w:p w14:paraId="31436980" w14:textId="77777777" w:rsidR="0004071A" w:rsidRPr="009A27ED" w:rsidRDefault="0004071A" w:rsidP="005B6485">
            <w:pPr>
              <w:spacing w:before="120" w:after="0"/>
              <w:jc w:val="center"/>
              <w:rPr>
                <w:b/>
                <w:color w:val="FFFFFF" w:themeColor="background1"/>
                <w:sz w:val="20"/>
                <w:szCs w:val="20"/>
                <w:lang w:val="es-MX"/>
              </w:rPr>
            </w:pPr>
            <w:r w:rsidRPr="009A27ED">
              <w:rPr>
                <w:b/>
                <w:color w:val="FFFFFF" w:themeColor="background1"/>
                <w:sz w:val="20"/>
                <w:szCs w:val="20"/>
                <w:lang w:val="es-MX"/>
              </w:rPr>
              <w:t>Superficie en km</w:t>
            </w:r>
            <w:r w:rsidRPr="009A27ED">
              <w:rPr>
                <w:b/>
                <w:color w:val="FFFFFF" w:themeColor="background1"/>
                <w:sz w:val="20"/>
                <w:szCs w:val="20"/>
                <w:vertAlign w:val="superscript"/>
                <w:lang w:val="es-MX"/>
              </w:rPr>
              <w:t>2</w:t>
            </w:r>
          </w:p>
        </w:tc>
        <w:tc>
          <w:tcPr>
            <w:tcW w:w="5634" w:type="dxa"/>
            <w:shd w:val="clear" w:color="auto" w:fill="0070C0"/>
          </w:tcPr>
          <w:p w14:paraId="023331EA" w14:textId="77777777" w:rsidR="0004071A" w:rsidRPr="009A27ED" w:rsidRDefault="0004071A" w:rsidP="005B6485">
            <w:pPr>
              <w:spacing w:before="120" w:after="0"/>
              <w:jc w:val="center"/>
              <w:rPr>
                <w:b/>
                <w:color w:val="FFFFFF" w:themeColor="background1"/>
                <w:sz w:val="20"/>
                <w:szCs w:val="20"/>
                <w:lang w:val="es-MX"/>
              </w:rPr>
            </w:pPr>
            <w:r w:rsidRPr="009A27ED">
              <w:rPr>
                <w:b/>
                <w:color w:val="FFFFFF" w:themeColor="background1"/>
                <w:sz w:val="20"/>
                <w:szCs w:val="20"/>
                <w:lang w:val="es-MX"/>
              </w:rPr>
              <w:t>Descripción</w:t>
            </w:r>
          </w:p>
        </w:tc>
      </w:tr>
      <w:tr w:rsidR="0004071A" w:rsidRPr="009A27ED" w14:paraId="1FF4C57A" w14:textId="77777777" w:rsidTr="004E6BAE">
        <w:trPr>
          <w:jc w:val="center"/>
        </w:trPr>
        <w:tc>
          <w:tcPr>
            <w:tcW w:w="981" w:type="dxa"/>
          </w:tcPr>
          <w:p w14:paraId="262C9C84" w14:textId="77777777" w:rsidR="0004071A" w:rsidRPr="009A27ED" w:rsidRDefault="0004071A" w:rsidP="005B6485">
            <w:pPr>
              <w:spacing w:before="120" w:after="0"/>
              <w:rPr>
                <w:sz w:val="20"/>
                <w:szCs w:val="20"/>
                <w:lang w:val="es-MX"/>
              </w:rPr>
            </w:pPr>
            <w:r w:rsidRPr="009A27ED">
              <w:rPr>
                <w:sz w:val="20"/>
                <w:szCs w:val="20"/>
                <w:lang w:val="es-MX"/>
              </w:rPr>
              <w:t>Clase I</w:t>
            </w:r>
          </w:p>
        </w:tc>
        <w:tc>
          <w:tcPr>
            <w:tcW w:w="1170" w:type="dxa"/>
          </w:tcPr>
          <w:p w14:paraId="187D49AB" w14:textId="77777777" w:rsidR="0004071A" w:rsidRPr="009A27ED" w:rsidRDefault="0004071A" w:rsidP="005B6485">
            <w:pPr>
              <w:spacing w:before="120" w:after="0"/>
              <w:rPr>
                <w:sz w:val="20"/>
                <w:szCs w:val="20"/>
                <w:lang w:val="es-MX"/>
              </w:rPr>
            </w:pPr>
            <w:r w:rsidRPr="009A27ED">
              <w:rPr>
                <w:sz w:val="20"/>
                <w:szCs w:val="20"/>
                <w:lang w:val="es-MX"/>
              </w:rPr>
              <w:t>2 y 4</w:t>
            </w:r>
          </w:p>
        </w:tc>
        <w:tc>
          <w:tcPr>
            <w:tcW w:w="1043" w:type="dxa"/>
          </w:tcPr>
          <w:p w14:paraId="197FE407" w14:textId="77777777" w:rsidR="0004071A" w:rsidRPr="009A27ED" w:rsidRDefault="0004071A" w:rsidP="005B6485">
            <w:pPr>
              <w:spacing w:before="120" w:after="0"/>
              <w:rPr>
                <w:sz w:val="20"/>
                <w:szCs w:val="20"/>
                <w:lang w:val="es-MX"/>
              </w:rPr>
            </w:pPr>
            <w:r w:rsidRPr="009A27ED">
              <w:rPr>
                <w:sz w:val="20"/>
                <w:szCs w:val="20"/>
                <w:lang w:val="es-MX"/>
              </w:rPr>
              <w:t>100.66</w:t>
            </w:r>
          </w:p>
        </w:tc>
        <w:tc>
          <w:tcPr>
            <w:tcW w:w="5634" w:type="dxa"/>
          </w:tcPr>
          <w:p w14:paraId="5A5B9388" w14:textId="77777777" w:rsidR="0004071A" w:rsidRPr="009A27ED" w:rsidRDefault="0004071A" w:rsidP="005B6485">
            <w:pPr>
              <w:pStyle w:val="Sinespaciado"/>
              <w:spacing w:before="120"/>
              <w:rPr>
                <w:sz w:val="20"/>
                <w:szCs w:val="20"/>
              </w:rPr>
            </w:pPr>
            <w:r w:rsidRPr="009A27ED">
              <w:rPr>
                <w:sz w:val="20"/>
                <w:szCs w:val="20"/>
              </w:rPr>
              <w:t>Terrenos cultivables, aptos para el riego, con topografía llana y sin factores limitantes de importancia. Productividad alta con buen nivel de manejo.</w:t>
            </w:r>
          </w:p>
          <w:p w14:paraId="0637A655" w14:textId="77777777" w:rsidR="0004071A" w:rsidRPr="009A27ED" w:rsidRDefault="0004071A" w:rsidP="005B6485">
            <w:pPr>
              <w:pStyle w:val="Sinespaciado"/>
              <w:spacing w:before="120"/>
              <w:rPr>
                <w:sz w:val="20"/>
                <w:szCs w:val="20"/>
                <w:lang w:val="es-ES"/>
              </w:rPr>
            </w:pPr>
            <w:r w:rsidRPr="009A27ED">
              <w:rPr>
                <w:sz w:val="20"/>
                <w:szCs w:val="20"/>
              </w:rPr>
              <w:t xml:space="preserve">Incluye suelos residuales, profundos, calcáreos, llanos, con buen drenaje interno; textura generalmente arcillosa y estructura granular; contenido de materia orgánica alto. El uso potencial es casi ilimitado para todos los cultivos que se desarrollan en la zona. </w:t>
            </w:r>
          </w:p>
        </w:tc>
      </w:tr>
      <w:tr w:rsidR="0004071A" w:rsidRPr="009A27ED" w14:paraId="3B5DDDCE" w14:textId="77777777" w:rsidTr="004E6BAE">
        <w:trPr>
          <w:jc w:val="center"/>
        </w:trPr>
        <w:tc>
          <w:tcPr>
            <w:tcW w:w="981" w:type="dxa"/>
          </w:tcPr>
          <w:p w14:paraId="0C488E73" w14:textId="77777777" w:rsidR="0004071A" w:rsidRPr="009A27ED" w:rsidRDefault="0004071A" w:rsidP="005B6485">
            <w:pPr>
              <w:spacing w:before="120" w:after="0"/>
              <w:rPr>
                <w:sz w:val="20"/>
                <w:szCs w:val="20"/>
                <w:lang w:val="es-MX"/>
              </w:rPr>
            </w:pPr>
            <w:r w:rsidRPr="009A27ED">
              <w:rPr>
                <w:sz w:val="20"/>
                <w:szCs w:val="20"/>
                <w:lang w:val="es-MX"/>
              </w:rPr>
              <w:t>Clase II</w:t>
            </w:r>
          </w:p>
        </w:tc>
        <w:tc>
          <w:tcPr>
            <w:tcW w:w="1170" w:type="dxa"/>
          </w:tcPr>
          <w:p w14:paraId="568D7CEF" w14:textId="77777777" w:rsidR="0004071A" w:rsidRPr="009A27ED" w:rsidRDefault="0004071A" w:rsidP="005B6485">
            <w:pPr>
              <w:spacing w:before="120" w:after="0"/>
              <w:rPr>
                <w:sz w:val="20"/>
                <w:szCs w:val="20"/>
                <w:lang w:val="es-MX"/>
              </w:rPr>
            </w:pPr>
            <w:r w:rsidRPr="009A27ED">
              <w:rPr>
                <w:sz w:val="20"/>
                <w:szCs w:val="20"/>
                <w:lang w:val="es-MX"/>
              </w:rPr>
              <w:t>1,2,3,4 y 5</w:t>
            </w:r>
          </w:p>
        </w:tc>
        <w:tc>
          <w:tcPr>
            <w:tcW w:w="1043" w:type="dxa"/>
          </w:tcPr>
          <w:p w14:paraId="0CFECEA5" w14:textId="77777777" w:rsidR="0004071A" w:rsidRPr="009A27ED" w:rsidRDefault="0004071A" w:rsidP="005B6485">
            <w:pPr>
              <w:spacing w:before="120" w:after="0"/>
              <w:rPr>
                <w:sz w:val="20"/>
                <w:szCs w:val="20"/>
                <w:lang w:val="es-MX"/>
              </w:rPr>
            </w:pPr>
            <w:r w:rsidRPr="009A27ED">
              <w:rPr>
                <w:sz w:val="20"/>
                <w:szCs w:val="20"/>
                <w:lang w:val="es-MX"/>
              </w:rPr>
              <w:t>644.45</w:t>
            </w:r>
          </w:p>
        </w:tc>
        <w:tc>
          <w:tcPr>
            <w:tcW w:w="5634" w:type="dxa"/>
          </w:tcPr>
          <w:p w14:paraId="264A400C" w14:textId="77777777" w:rsidR="0004071A" w:rsidRPr="009A27ED" w:rsidRDefault="0004071A" w:rsidP="005B6485">
            <w:pPr>
              <w:pStyle w:val="Sinespaciado"/>
              <w:spacing w:before="120"/>
              <w:rPr>
                <w:bCs/>
                <w:sz w:val="20"/>
                <w:szCs w:val="20"/>
              </w:rPr>
            </w:pPr>
            <w:r w:rsidRPr="009A27ED">
              <w:rPr>
                <w:sz w:val="20"/>
                <w:szCs w:val="20"/>
              </w:rPr>
              <w:t>Terrenos cultivables, aptos para el riego, con topografía llana, ondulada o suavemente alomada y factores limitantes no severos. P</w:t>
            </w:r>
            <w:r w:rsidRPr="009A27ED">
              <w:rPr>
                <w:bCs/>
                <w:sz w:val="20"/>
                <w:szCs w:val="20"/>
              </w:rPr>
              <w:t>roductividad alta con prácticas moderadamente intensivas de manejo.</w:t>
            </w:r>
          </w:p>
          <w:p w14:paraId="0987D75E" w14:textId="77777777" w:rsidR="0004071A" w:rsidRPr="009A27ED" w:rsidRDefault="0004071A" w:rsidP="005B6485">
            <w:pPr>
              <w:pStyle w:val="Sinespaciado"/>
              <w:spacing w:before="120"/>
              <w:rPr>
                <w:sz w:val="20"/>
                <w:szCs w:val="20"/>
                <w:lang w:val="es-MX"/>
              </w:rPr>
            </w:pPr>
            <w:r w:rsidRPr="009A27ED">
              <w:rPr>
                <w:sz w:val="20"/>
                <w:szCs w:val="20"/>
              </w:rPr>
              <w:t xml:space="preserve">Incluye suelos profundos, bien drenados, con textura mediana y buena estructura; alto contenido de materia orgánica y buena retención de la humedad; principalmente suelos aluviales recientes y residuales sobre caliza o materiales calcáreos de deposición. Los factores limitantes principales son el riesgo de inundación, en los </w:t>
            </w:r>
            <w:r w:rsidRPr="009A27ED">
              <w:rPr>
                <w:sz w:val="20"/>
                <w:szCs w:val="20"/>
              </w:rPr>
              <w:lastRenderedPageBreak/>
              <w:t>suelos aluviales; la rocosidad o pedregosidad, en los residuales y la profundidad en casos aislados.</w:t>
            </w:r>
          </w:p>
        </w:tc>
      </w:tr>
      <w:tr w:rsidR="0004071A" w:rsidRPr="009A27ED" w14:paraId="48800DD1" w14:textId="77777777" w:rsidTr="004E6BAE">
        <w:trPr>
          <w:jc w:val="center"/>
        </w:trPr>
        <w:tc>
          <w:tcPr>
            <w:tcW w:w="981" w:type="dxa"/>
          </w:tcPr>
          <w:p w14:paraId="1B130B91" w14:textId="77777777" w:rsidR="0004071A" w:rsidRPr="009A27ED" w:rsidRDefault="0004071A" w:rsidP="005B6485">
            <w:pPr>
              <w:spacing w:before="120" w:after="0"/>
              <w:rPr>
                <w:sz w:val="20"/>
                <w:szCs w:val="20"/>
                <w:lang w:val="es-MX"/>
              </w:rPr>
            </w:pPr>
            <w:r w:rsidRPr="009A27ED">
              <w:rPr>
                <w:sz w:val="20"/>
                <w:szCs w:val="20"/>
                <w:lang w:val="es-MX"/>
              </w:rPr>
              <w:t>Clase III</w:t>
            </w:r>
          </w:p>
        </w:tc>
        <w:tc>
          <w:tcPr>
            <w:tcW w:w="1170" w:type="dxa"/>
          </w:tcPr>
          <w:p w14:paraId="44AF8A73" w14:textId="77777777" w:rsidR="0004071A" w:rsidRPr="009A27ED" w:rsidRDefault="0004071A" w:rsidP="005B6485">
            <w:pPr>
              <w:spacing w:before="120" w:after="0"/>
              <w:rPr>
                <w:sz w:val="20"/>
                <w:szCs w:val="20"/>
                <w:lang w:val="es-MX"/>
              </w:rPr>
            </w:pPr>
            <w:r w:rsidRPr="009A27ED">
              <w:rPr>
                <w:sz w:val="20"/>
                <w:szCs w:val="20"/>
                <w:lang w:val="es-MX"/>
              </w:rPr>
              <w:t>2,3,4 y 5</w:t>
            </w:r>
          </w:p>
        </w:tc>
        <w:tc>
          <w:tcPr>
            <w:tcW w:w="1043" w:type="dxa"/>
          </w:tcPr>
          <w:p w14:paraId="1D5F3047" w14:textId="77777777" w:rsidR="0004071A" w:rsidRPr="009A27ED" w:rsidRDefault="0004071A" w:rsidP="005B6485">
            <w:pPr>
              <w:spacing w:before="120" w:after="0"/>
              <w:jc w:val="right"/>
              <w:rPr>
                <w:sz w:val="20"/>
                <w:szCs w:val="20"/>
                <w:lang w:val="es-MX"/>
              </w:rPr>
            </w:pPr>
            <w:r w:rsidRPr="009A27ED">
              <w:rPr>
                <w:sz w:val="20"/>
                <w:szCs w:val="20"/>
                <w:lang w:val="es-MX"/>
              </w:rPr>
              <w:t>927.57</w:t>
            </w:r>
          </w:p>
        </w:tc>
        <w:tc>
          <w:tcPr>
            <w:tcW w:w="5634" w:type="dxa"/>
          </w:tcPr>
          <w:p w14:paraId="67CBC6BE" w14:textId="77777777" w:rsidR="0004071A" w:rsidRPr="009A27ED" w:rsidRDefault="0004071A" w:rsidP="005B6485">
            <w:pPr>
              <w:pStyle w:val="Sinespaciado"/>
              <w:spacing w:before="120"/>
              <w:rPr>
                <w:sz w:val="20"/>
                <w:szCs w:val="20"/>
              </w:rPr>
            </w:pPr>
            <w:r w:rsidRPr="009A27ED">
              <w:rPr>
                <w:sz w:val="20"/>
                <w:szCs w:val="20"/>
              </w:rPr>
              <w:t>Terrenos cultivables, aptos para el riego, solamente con cultivos muy rentables; con topografía llana, ondulada o suavemente alomada, y con factores limitantes de alguna severidad. Productividad mediana con prácticas intensivas de manejo y con marcadas limitaciones en los cultivos posibles.</w:t>
            </w:r>
          </w:p>
          <w:p w14:paraId="0F9454A6" w14:textId="77777777" w:rsidR="0004071A" w:rsidRPr="009A27ED" w:rsidRDefault="0004071A" w:rsidP="005B6485">
            <w:pPr>
              <w:pStyle w:val="Sinespaciado"/>
              <w:spacing w:before="120"/>
              <w:rPr>
                <w:sz w:val="20"/>
                <w:szCs w:val="20"/>
                <w:lang w:val="es-MX"/>
              </w:rPr>
            </w:pPr>
            <w:r w:rsidRPr="009A27ED">
              <w:rPr>
                <w:sz w:val="20"/>
                <w:szCs w:val="20"/>
                <w:lang w:val="es-ES"/>
              </w:rPr>
              <w:t xml:space="preserve">Incluye suelos residuales, generalmente sobre calizas, algunos suelos aluviales de fertilidad relativamente baja y suelos coluviales, particularmente de los valles </w:t>
            </w:r>
            <w:proofErr w:type="spellStart"/>
            <w:r w:rsidRPr="009A27ED">
              <w:rPr>
                <w:sz w:val="20"/>
                <w:szCs w:val="20"/>
                <w:lang w:val="es-ES"/>
              </w:rPr>
              <w:t>intramontanos</w:t>
            </w:r>
            <w:proofErr w:type="spellEnd"/>
            <w:r w:rsidRPr="009A27ED">
              <w:rPr>
                <w:sz w:val="20"/>
                <w:szCs w:val="20"/>
                <w:lang w:val="es-ES"/>
              </w:rPr>
              <w:t>. Los principales factores limitantes son la fertilidad inherente, la pedregosidad, el drenaje excesivo y en menor grado la profundidad efectiva y la salinidad.</w:t>
            </w:r>
          </w:p>
        </w:tc>
      </w:tr>
      <w:tr w:rsidR="0004071A" w:rsidRPr="009A27ED" w14:paraId="40A4020A" w14:textId="77777777" w:rsidTr="004E6BAE">
        <w:trPr>
          <w:jc w:val="center"/>
        </w:trPr>
        <w:tc>
          <w:tcPr>
            <w:tcW w:w="981" w:type="dxa"/>
          </w:tcPr>
          <w:p w14:paraId="739ED687" w14:textId="77777777" w:rsidR="0004071A" w:rsidRPr="009A27ED" w:rsidRDefault="0004071A" w:rsidP="005B6485">
            <w:pPr>
              <w:spacing w:before="120" w:after="0"/>
              <w:rPr>
                <w:sz w:val="20"/>
                <w:szCs w:val="20"/>
                <w:lang w:val="es-MX"/>
              </w:rPr>
            </w:pPr>
            <w:r w:rsidRPr="009A27ED">
              <w:rPr>
                <w:sz w:val="20"/>
                <w:szCs w:val="20"/>
                <w:lang w:val="es-MX"/>
              </w:rPr>
              <w:t>Clase IV</w:t>
            </w:r>
          </w:p>
        </w:tc>
        <w:tc>
          <w:tcPr>
            <w:tcW w:w="1170" w:type="dxa"/>
          </w:tcPr>
          <w:p w14:paraId="2F98DD73" w14:textId="77777777" w:rsidR="0004071A" w:rsidRPr="009A27ED" w:rsidRDefault="0004071A" w:rsidP="005B6485">
            <w:pPr>
              <w:spacing w:before="120" w:after="0"/>
              <w:rPr>
                <w:sz w:val="20"/>
                <w:szCs w:val="20"/>
                <w:lang w:val="es-MX"/>
              </w:rPr>
            </w:pPr>
            <w:r w:rsidRPr="009A27ED">
              <w:rPr>
                <w:sz w:val="20"/>
                <w:szCs w:val="20"/>
                <w:lang w:val="es-MX"/>
              </w:rPr>
              <w:t>1,2,3,4 y 5</w:t>
            </w:r>
          </w:p>
        </w:tc>
        <w:tc>
          <w:tcPr>
            <w:tcW w:w="1043" w:type="dxa"/>
          </w:tcPr>
          <w:p w14:paraId="1674478B" w14:textId="77777777" w:rsidR="0004071A" w:rsidRPr="009A27ED" w:rsidRDefault="0004071A" w:rsidP="005B6485">
            <w:pPr>
              <w:spacing w:before="120" w:after="0"/>
              <w:jc w:val="right"/>
              <w:rPr>
                <w:sz w:val="20"/>
                <w:szCs w:val="20"/>
                <w:lang w:val="es-MX"/>
              </w:rPr>
            </w:pPr>
            <w:r w:rsidRPr="009A27ED">
              <w:rPr>
                <w:sz w:val="20"/>
                <w:szCs w:val="20"/>
                <w:lang w:val="es-MX"/>
              </w:rPr>
              <w:t>841.17</w:t>
            </w:r>
          </w:p>
        </w:tc>
        <w:tc>
          <w:tcPr>
            <w:tcW w:w="5634" w:type="dxa"/>
          </w:tcPr>
          <w:p w14:paraId="05E94CE8" w14:textId="77777777" w:rsidR="0004071A" w:rsidRPr="009A27ED" w:rsidRDefault="0004071A" w:rsidP="005B6485">
            <w:pPr>
              <w:pStyle w:val="Sinespaciado"/>
              <w:spacing w:before="120"/>
              <w:rPr>
                <w:sz w:val="20"/>
                <w:szCs w:val="20"/>
              </w:rPr>
            </w:pPr>
            <w:r w:rsidRPr="009A27ED">
              <w:rPr>
                <w:sz w:val="20"/>
                <w:szCs w:val="20"/>
              </w:rPr>
              <w:t>Terrenos limitadamente cultivables, no aptos el riego salvo en condiciones especiales y con cultivos muy rentables; aptos principalmente para cultivos perennes y pastos; con topografía llana y alomada y factores limitantes severos; productividad baja a mediana.</w:t>
            </w:r>
          </w:p>
          <w:p w14:paraId="1CC8063D" w14:textId="56F04AF8" w:rsidR="0004071A" w:rsidRPr="009A27ED" w:rsidRDefault="0004071A" w:rsidP="005B6485">
            <w:pPr>
              <w:pStyle w:val="Sinespaciado"/>
              <w:spacing w:before="120"/>
              <w:rPr>
                <w:sz w:val="20"/>
                <w:szCs w:val="20"/>
                <w:lang w:val="es-MX"/>
              </w:rPr>
            </w:pPr>
            <w:r w:rsidRPr="009A27ED">
              <w:rPr>
                <w:sz w:val="20"/>
                <w:szCs w:val="20"/>
                <w:lang w:val="es-ES"/>
              </w:rPr>
              <w:t xml:space="preserve">Incluye suelos residuales arcillosos sobre materiales no calcáreos de deposición, representados, en la parte central y nordeste del país, en la llanura costera sur; suelos aluviales muy mal drenados y coluviales muy pedregosos; algunos valles </w:t>
            </w:r>
            <w:proofErr w:type="spellStart"/>
            <w:r w:rsidRPr="009A27ED">
              <w:rPr>
                <w:sz w:val="20"/>
                <w:szCs w:val="20"/>
                <w:lang w:val="es-ES"/>
              </w:rPr>
              <w:t>intramontanos</w:t>
            </w:r>
            <w:proofErr w:type="spellEnd"/>
            <w:r w:rsidRPr="009A27ED">
              <w:rPr>
                <w:sz w:val="20"/>
                <w:szCs w:val="20"/>
                <w:lang w:val="es-ES"/>
              </w:rPr>
              <w:t xml:space="preserve"> y terrenos salinos del delta del río </w:t>
            </w:r>
            <w:proofErr w:type="spellStart"/>
            <w:r w:rsidRPr="009A27ED">
              <w:rPr>
                <w:sz w:val="20"/>
                <w:szCs w:val="20"/>
                <w:lang w:val="es-ES"/>
              </w:rPr>
              <w:t>Yaque</w:t>
            </w:r>
            <w:proofErr w:type="spellEnd"/>
            <w:r w:rsidRPr="009A27ED">
              <w:rPr>
                <w:sz w:val="20"/>
                <w:szCs w:val="20"/>
                <w:lang w:val="es-ES"/>
              </w:rPr>
              <w:t xml:space="preserve"> del Norte y de las proximidades del lago Enriquillo. El uso potencial de estos suelos es, en gran parte, una consideración económica, y su aplicación a cultivos es en buena medida una consecuencia de la rentabilidad de estos y de su capacidad para </w:t>
            </w:r>
            <w:r w:rsidR="00C946E6" w:rsidRPr="009A27ED">
              <w:rPr>
                <w:sz w:val="20"/>
                <w:szCs w:val="20"/>
                <w:lang w:val="es-ES"/>
              </w:rPr>
              <w:t>reembolsar las</w:t>
            </w:r>
            <w:r w:rsidRPr="009A27ED">
              <w:rPr>
                <w:sz w:val="20"/>
                <w:szCs w:val="20"/>
                <w:lang w:val="es-ES"/>
              </w:rPr>
              <w:t xml:space="preserve"> inversiones necesarias para sostener el alto nivel de manejo necesario para su explotación.</w:t>
            </w:r>
          </w:p>
        </w:tc>
      </w:tr>
      <w:tr w:rsidR="0004071A" w:rsidRPr="009A27ED" w14:paraId="01834E08" w14:textId="77777777" w:rsidTr="004E6BAE">
        <w:trPr>
          <w:jc w:val="center"/>
        </w:trPr>
        <w:tc>
          <w:tcPr>
            <w:tcW w:w="981" w:type="dxa"/>
          </w:tcPr>
          <w:p w14:paraId="6EEF1617" w14:textId="77777777" w:rsidR="0004071A" w:rsidRPr="009A27ED" w:rsidRDefault="0004071A" w:rsidP="005B6485">
            <w:pPr>
              <w:spacing w:before="120" w:after="0"/>
              <w:rPr>
                <w:sz w:val="20"/>
                <w:szCs w:val="20"/>
                <w:lang w:val="es-MX"/>
              </w:rPr>
            </w:pPr>
            <w:r w:rsidRPr="009A27ED">
              <w:rPr>
                <w:sz w:val="20"/>
                <w:szCs w:val="20"/>
                <w:lang w:val="es-MX"/>
              </w:rPr>
              <w:t>Clase V</w:t>
            </w:r>
          </w:p>
        </w:tc>
        <w:tc>
          <w:tcPr>
            <w:tcW w:w="1170" w:type="dxa"/>
          </w:tcPr>
          <w:p w14:paraId="652F761A" w14:textId="77777777" w:rsidR="0004071A" w:rsidRPr="009A27ED" w:rsidRDefault="0004071A" w:rsidP="005B6485">
            <w:pPr>
              <w:spacing w:before="120" w:after="0"/>
              <w:rPr>
                <w:sz w:val="20"/>
                <w:szCs w:val="20"/>
                <w:lang w:val="es-MX"/>
              </w:rPr>
            </w:pPr>
            <w:r w:rsidRPr="009A27ED">
              <w:rPr>
                <w:sz w:val="20"/>
                <w:szCs w:val="20"/>
                <w:lang w:val="es-MX"/>
              </w:rPr>
              <w:t>1,2,3,4 y 5</w:t>
            </w:r>
          </w:p>
        </w:tc>
        <w:tc>
          <w:tcPr>
            <w:tcW w:w="1043" w:type="dxa"/>
          </w:tcPr>
          <w:p w14:paraId="68D2A620" w14:textId="77777777" w:rsidR="0004071A" w:rsidRPr="009A27ED" w:rsidRDefault="0004071A" w:rsidP="005B6485">
            <w:pPr>
              <w:spacing w:before="120" w:after="0"/>
              <w:jc w:val="right"/>
              <w:rPr>
                <w:sz w:val="20"/>
                <w:szCs w:val="20"/>
                <w:lang w:val="es-MX"/>
              </w:rPr>
            </w:pPr>
            <w:r w:rsidRPr="009A27ED">
              <w:rPr>
                <w:sz w:val="20"/>
                <w:szCs w:val="20"/>
                <w:lang w:val="es-MX"/>
              </w:rPr>
              <w:t>1,503.40</w:t>
            </w:r>
          </w:p>
        </w:tc>
        <w:tc>
          <w:tcPr>
            <w:tcW w:w="5634" w:type="dxa"/>
          </w:tcPr>
          <w:p w14:paraId="743BFBEE" w14:textId="24F911EA" w:rsidR="0004071A" w:rsidRPr="009A27ED" w:rsidRDefault="003201DB" w:rsidP="005B6485">
            <w:pPr>
              <w:pStyle w:val="Sinespaciado"/>
              <w:spacing w:before="120"/>
              <w:rPr>
                <w:sz w:val="20"/>
                <w:szCs w:val="20"/>
              </w:rPr>
            </w:pPr>
            <w:r w:rsidRPr="009A27ED">
              <w:rPr>
                <w:sz w:val="20"/>
                <w:szCs w:val="20"/>
              </w:rPr>
              <w:t>Terreno no cultivable</w:t>
            </w:r>
            <w:r w:rsidR="0004071A" w:rsidRPr="009A27ED">
              <w:rPr>
                <w:sz w:val="20"/>
                <w:szCs w:val="20"/>
              </w:rPr>
              <w:t>, salvo para arroz en zonas limitadas; principalmente aptos para pastos, con factores limitantes muy severos para el cultivo; productividad mediana para pastos mejorados y arroz, con prácticas intensivas de manejo.</w:t>
            </w:r>
          </w:p>
          <w:p w14:paraId="3C3CBF4A" w14:textId="77777777" w:rsidR="0004071A" w:rsidRPr="009A27ED" w:rsidRDefault="0004071A" w:rsidP="005B6485">
            <w:pPr>
              <w:pStyle w:val="Sinespaciado"/>
              <w:spacing w:before="120"/>
              <w:rPr>
                <w:sz w:val="20"/>
                <w:szCs w:val="20"/>
                <w:lang w:val="es-MX"/>
              </w:rPr>
            </w:pPr>
            <w:r w:rsidRPr="009A27ED">
              <w:rPr>
                <w:sz w:val="20"/>
                <w:szCs w:val="20"/>
                <w:lang w:val="es-ES"/>
              </w:rPr>
              <w:t xml:space="preserve">Incluye suelos de textura generalmente ligera a mediana, casi siempre llanos y, por lo general, poco profundos y con drenaje interno y superficial deficientes. </w:t>
            </w:r>
            <w:r w:rsidRPr="009A27ED">
              <w:rPr>
                <w:sz w:val="20"/>
                <w:szCs w:val="20"/>
              </w:rPr>
              <w:t>La fertilidad inherente es generalmente baja y el desarrollo de pastos mejorados requiere manejo que incluya fertilización.</w:t>
            </w:r>
          </w:p>
        </w:tc>
      </w:tr>
      <w:tr w:rsidR="0004071A" w:rsidRPr="009A27ED" w14:paraId="69BF5BC0" w14:textId="77777777" w:rsidTr="004E6BAE">
        <w:trPr>
          <w:jc w:val="center"/>
        </w:trPr>
        <w:tc>
          <w:tcPr>
            <w:tcW w:w="981" w:type="dxa"/>
          </w:tcPr>
          <w:p w14:paraId="25553BB6" w14:textId="77777777" w:rsidR="0004071A" w:rsidRPr="009A27ED" w:rsidRDefault="0004071A" w:rsidP="005B6485">
            <w:pPr>
              <w:spacing w:before="120" w:after="0"/>
              <w:rPr>
                <w:sz w:val="20"/>
                <w:szCs w:val="20"/>
                <w:lang w:val="es-MX"/>
              </w:rPr>
            </w:pPr>
            <w:r w:rsidRPr="009A27ED">
              <w:rPr>
                <w:sz w:val="20"/>
                <w:szCs w:val="20"/>
                <w:lang w:val="es-MX"/>
              </w:rPr>
              <w:t>Clase VI</w:t>
            </w:r>
          </w:p>
        </w:tc>
        <w:tc>
          <w:tcPr>
            <w:tcW w:w="1170" w:type="dxa"/>
          </w:tcPr>
          <w:p w14:paraId="51E06E70" w14:textId="77777777" w:rsidR="0004071A" w:rsidRPr="009A27ED" w:rsidRDefault="0004071A" w:rsidP="005B6485">
            <w:pPr>
              <w:spacing w:before="120" w:after="0"/>
              <w:rPr>
                <w:sz w:val="20"/>
                <w:szCs w:val="20"/>
                <w:lang w:val="es-MX"/>
              </w:rPr>
            </w:pPr>
            <w:r w:rsidRPr="009A27ED">
              <w:rPr>
                <w:sz w:val="20"/>
                <w:szCs w:val="20"/>
                <w:lang w:val="es-MX"/>
              </w:rPr>
              <w:t>1,2,3,4 y 5</w:t>
            </w:r>
          </w:p>
        </w:tc>
        <w:tc>
          <w:tcPr>
            <w:tcW w:w="1043" w:type="dxa"/>
          </w:tcPr>
          <w:p w14:paraId="29F9A24E" w14:textId="77777777" w:rsidR="0004071A" w:rsidRPr="009A27ED" w:rsidRDefault="0004071A" w:rsidP="005B6485">
            <w:pPr>
              <w:spacing w:before="120" w:after="0"/>
              <w:jc w:val="right"/>
              <w:rPr>
                <w:sz w:val="20"/>
                <w:szCs w:val="20"/>
                <w:lang w:val="es-MX"/>
              </w:rPr>
            </w:pPr>
            <w:r w:rsidRPr="009A27ED">
              <w:rPr>
                <w:sz w:val="20"/>
                <w:szCs w:val="20"/>
                <w:lang w:val="es-MX"/>
              </w:rPr>
              <w:t>862.26</w:t>
            </w:r>
          </w:p>
        </w:tc>
        <w:tc>
          <w:tcPr>
            <w:tcW w:w="5634" w:type="dxa"/>
          </w:tcPr>
          <w:p w14:paraId="68D463CC" w14:textId="77777777" w:rsidR="0004071A" w:rsidRPr="009A27ED" w:rsidRDefault="0004071A" w:rsidP="005B6485">
            <w:pPr>
              <w:pStyle w:val="Sinespaciado"/>
              <w:spacing w:before="120"/>
              <w:rPr>
                <w:sz w:val="20"/>
                <w:szCs w:val="20"/>
              </w:rPr>
            </w:pPr>
            <w:r w:rsidRPr="009A27ED">
              <w:rPr>
                <w:sz w:val="20"/>
                <w:szCs w:val="20"/>
              </w:rPr>
              <w:t>Terrenos no cultivables, salvo para cultivos perennes y de montaña; principalmente aptos para fines forestales y para pastos, Con factores limitantes muy severos, particularmente de topografía, profundidad y rocosidad.</w:t>
            </w:r>
          </w:p>
          <w:p w14:paraId="370584AB" w14:textId="77777777" w:rsidR="0004071A" w:rsidRPr="009A27ED" w:rsidRDefault="0004071A" w:rsidP="005B6485">
            <w:pPr>
              <w:pStyle w:val="Sinespaciado"/>
              <w:spacing w:before="120"/>
              <w:rPr>
                <w:sz w:val="20"/>
                <w:szCs w:val="20"/>
                <w:lang w:val="es-MX"/>
              </w:rPr>
            </w:pPr>
            <w:r w:rsidRPr="009A27ED">
              <w:rPr>
                <w:sz w:val="20"/>
                <w:szCs w:val="20"/>
              </w:rPr>
              <w:t xml:space="preserve">Incluye suelos residuales, generalmente poco profundos, rocosos o muy erosionables; terrazas calizas; valles </w:t>
            </w:r>
            <w:proofErr w:type="spellStart"/>
            <w:r w:rsidRPr="009A27ED">
              <w:rPr>
                <w:sz w:val="20"/>
                <w:szCs w:val="20"/>
              </w:rPr>
              <w:t>intramontanos</w:t>
            </w:r>
            <w:proofErr w:type="spellEnd"/>
            <w:r w:rsidRPr="009A27ED">
              <w:rPr>
                <w:sz w:val="20"/>
                <w:szCs w:val="20"/>
              </w:rPr>
              <w:t xml:space="preserve"> muy pedregosos; terrenos coluviales muy pedregosos o erosionables; elevaciones aisladas y áreas con topografía llana y extensión </w:t>
            </w:r>
            <w:r w:rsidRPr="009A27ED">
              <w:rPr>
                <w:sz w:val="20"/>
                <w:szCs w:val="20"/>
              </w:rPr>
              <w:lastRenderedPageBreak/>
              <w:t xml:space="preserve">relativamente considerable en las crestas de las montañas. cuyas características de rocosidad y poca profundidad efectiva </w:t>
            </w:r>
            <w:r w:rsidRPr="009A27ED">
              <w:rPr>
                <w:sz w:val="20"/>
                <w:szCs w:val="20"/>
                <w:u w:val="single"/>
              </w:rPr>
              <w:t>limitan su uso a fines forestales</w:t>
            </w:r>
          </w:p>
        </w:tc>
      </w:tr>
      <w:tr w:rsidR="0004071A" w:rsidRPr="009A27ED" w14:paraId="6F077D84" w14:textId="77777777" w:rsidTr="004E6BAE">
        <w:trPr>
          <w:jc w:val="center"/>
        </w:trPr>
        <w:tc>
          <w:tcPr>
            <w:tcW w:w="981" w:type="dxa"/>
          </w:tcPr>
          <w:p w14:paraId="6D2FC776" w14:textId="77777777" w:rsidR="0004071A" w:rsidRPr="009A27ED" w:rsidRDefault="0004071A" w:rsidP="005B6485">
            <w:pPr>
              <w:spacing w:before="120" w:after="0"/>
              <w:rPr>
                <w:sz w:val="20"/>
                <w:szCs w:val="20"/>
                <w:lang w:val="es-MX"/>
              </w:rPr>
            </w:pPr>
            <w:r w:rsidRPr="009A27ED">
              <w:rPr>
                <w:sz w:val="20"/>
                <w:szCs w:val="20"/>
                <w:lang w:val="es-MX"/>
              </w:rPr>
              <w:t>Clase VII</w:t>
            </w:r>
          </w:p>
        </w:tc>
        <w:tc>
          <w:tcPr>
            <w:tcW w:w="1170" w:type="dxa"/>
          </w:tcPr>
          <w:p w14:paraId="5D03FD97" w14:textId="77777777" w:rsidR="0004071A" w:rsidRPr="009A27ED" w:rsidRDefault="0004071A" w:rsidP="005B6485">
            <w:pPr>
              <w:spacing w:before="120" w:after="0"/>
              <w:rPr>
                <w:sz w:val="20"/>
                <w:szCs w:val="20"/>
                <w:lang w:val="es-MX"/>
              </w:rPr>
            </w:pPr>
            <w:r w:rsidRPr="009A27ED">
              <w:rPr>
                <w:sz w:val="20"/>
                <w:szCs w:val="20"/>
                <w:lang w:val="es-MX"/>
              </w:rPr>
              <w:t>1,2,3,4 y 5</w:t>
            </w:r>
          </w:p>
        </w:tc>
        <w:tc>
          <w:tcPr>
            <w:tcW w:w="1043" w:type="dxa"/>
          </w:tcPr>
          <w:p w14:paraId="7D247047" w14:textId="77777777" w:rsidR="0004071A" w:rsidRPr="009A27ED" w:rsidRDefault="0004071A" w:rsidP="005B6485">
            <w:pPr>
              <w:spacing w:before="120" w:after="0"/>
              <w:jc w:val="right"/>
              <w:rPr>
                <w:sz w:val="20"/>
                <w:szCs w:val="20"/>
                <w:lang w:val="es-MX"/>
              </w:rPr>
            </w:pPr>
            <w:r w:rsidRPr="009A27ED">
              <w:rPr>
                <w:sz w:val="20"/>
                <w:szCs w:val="20"/>
                <w:lang w:val="es-MX"/>
              </w:rPr>
              <w:t>10,098.79</w:t>
            </w:r>
          </w:p>
        </w:tc>
        <w:tc>
          <w:tcPr>
            <w:tcW w:w="5634" w:type="dxa"/>
          </w:tcPr>
          <w:p w14:paraId="79F45F9B" w14:textId="77777777" w:rsidR="0004071A" w:rsidRPr="009A27ED" w:rsidRDefault="0004071A" w:rsidP="005B6485">
            <w:pPr>
              <w:pStyle w:val="Sinespaciado"/>
              <w:spacing w:before="120"/>
              <w:rPr>
                <w:bCs/>
                <w:sz w:val="20"/>
                <w:szCs w:val="20"/>
              </w:rPr>
            </w:pPr>
            <w:r w:rsidRPr="009A27ED">
              <w:rPr>
                <w:bCs/>
                <w:sz w:val="20"/>
                <w:szCs w:val="20"/>
              </w:rPr>
              <w:t>Terrenos no cultivables, aptos solamente para fines de explotación forestal.</w:t>
            </w:r>
          </w:p>
          <w:p w14:paraId="63969FF5" w14:textId="2D0E584E" w:rsidR="0004071A" w:rsidRPr="009A27ED" w:rsidRDefault="0004071A" w:rsidP="005B6485">
            <w:pPr>
              <w:pStyle w:val="Sinespaciado"/>
              <w:spacing w:before="120"/>
              <w:rPr>
                <w:sz w:val="20"/>
                <w:szCs w:val="20"/>
              </w:rPr>
            </w:pPr>
            <w:r w:rsidRPr="009A27ED">
              <w:rPr>
                <w:sz w:val="20"/>
                <w:szCs w:val="20"/>
                <w:lang w:val="es-ES"/>
              </w:rPr>
              <w:t xml:space="preserve">Se han incluido en esta clase, principalmente zonas de terreno escabroso de montaña, que, por razón de su topografía accidentada y en muchos casos de su pedregosidad efectiva, no resultan aptos para fines agrícolas. Se han incluido así mismo extensas zonas de suelos muy rocosos y poco profundos. </w:t>
            </w:r>
            <w:r w:rsidRPr="009A27ED">
              <w:rPr>
                <w:sz w:val="20"/>
                <w:szCs w:val="20"/>
              </w:rPr>
              <w:t xml:space="preserve">Requieren prácticas de conservación, métodos racionales de </w:t>
            </w:r>
            <w:r w:rsidR="003201DB" w:rsidRPr="009A27ED">
              <w:rPr>
                <w:sz w:val="20"/>
                <w:szCs w:val="20"/>
              </w:rPr>
              <w:t>explotación forestal</w:t>
            </w:r>
            <w:r w:rsidRPr="009A27ED">
              <w:rPr>
                <w:sz w:val="20"/>
                <w:szCs w:val="20"/>
              </w:rPr>
              <w:t>.</w:t>
            </w:r>
          </w:p>
          <w:p w14:paraId="5E39EB5F" w14:textId="77777777" w:rsidR="0004071A" w:rsidRPr="009A27ED" w:rsidRDefault="0004071A" w:rsidP="005B6485">
            <w:pPr>
              <w:pStyle w:val="Sinespaciado"/>
              <w:spacing w:before="120"/>
              <w:rPr>
                <w:sz w:val="20"/>
                <w:szCs w:val="20"/>
                <w:lang w:val="es-MX"/>
              </w:rPr>
            </w:pPr>
            <w:r w:rsidRPr="009A27ED">
              <w:rPr>
                <w:sz w:val="20"/>
                <w:szCs w:val="20"/>
                <w:lang w:val="es-ES"/>
              </w:rPr>
              <w:t xml:space="preserve">El uso potencial de una gran parte de estos </w:t>
            </w:r>
            <w:proofErr w:type="gramStart"/>
            <w:r w:rsidRPr="009A27ED">
              <w:rPr>
                <w:sz w:val="20"/>
                <w:szCs w:val="20"/>
                <w:lang w:val="es-ES"/>
              </w:rPr>
              <w:t>terrenos,</w:t>
            </w:r>
            <w:proofErr w:type="gramEnd"/>
            <w:r w:rsidRPr="009A27ED">
              <w:rPr>
                <w:sz w:val="20"/>
                <w:szCs w:val="20"/>
                <w:lang w:val="es-ES"/>
              </w:rPr>
              <w:t xml:space="preserve"> es forestal en términos generales, está limitado por condiciones ecológicas, principalmente de clima y de suelos, las cuales orientan dichas actividades hacia el desarrollo de una cobertura forestal de tipo latifoliado, de conífera o mixto. Es posible que razones de índole ecológica hagan recomendable el uso de algunas de las zonas de esta clase para cultivos de café, pero en este caso es necesario que los mismos se desarrollen y exploten atendiendo a las más estrictas prácticas conservacionistas.</w:t>
            </w:r>
          </w:p>
        </w:tc>
      </w:tr>
      <w:tr w:rsidR="0004071A" w:rsidRPr="009A27ED" w14:paraId="311F463E" w14:textId="77777777" w:rsidTr="004E6BAE">
        <w:trPr>
          <w:jc w:val="center"/>
        </w:trPr>
        <w:tc>
          <w:tcPr>
            <w:tcW w:w="981" w:type="dxa"/>
          </w:tcPr>
          <w:p w14:paraId="0D672146" w14:textId="77777777" w:rsidR="0004071A" w:rsidRPr="009A27ED" w:rsidRDefault="0004071A" w:rsidP="005B6485">
            <w:pPr>
              <w:spacing w:before="120" w:after="0"/>
              <w:rPr>
                <w:sz w:val="20"/>
                <w:szCs w:val="20"/>
                <w:lang w:val="es-MX"/>
              </w:rPr>
            </w:pPr>
            <w:r w:rsidRPr="009A27ED">
              <w:rPr>
                <w:sz w:val="20"/>
                <w:szCs w:val="20"/>
                <w:lang w:val="es-MX"/>
              </w:rPr>
              <w:t>Clase VIII</w:t>
            </w:r>
          </w:p>
        </w:tc>
        <w:tc>
          <w:tcPr>
            <w:tcW w:w="1170" w:type="dxa"/>
          </w:tcPr>
          <w:p w14:paraId="487438B2" w14:textId="77777777" w:rsidR="0004071A" w:rsidRPr="009A27ED" w:rsidRDefault="0004071A" w:rsidP="005B6485">
            <w:pPr>
              <w:spacing w:before="120" w:after="0"/>
              <w:rPr>
                <w:sz w:val="20"/>
                <w:szCs w:val="20"/>
                <w:lang w:val="es-MX"/>
              </w:rPr>
            </w:pPr>
            <w:r w:rsidRPr="009A27ED">
              <w:rPr>
                <w:sz w:val="20"/>
                <w:szCs w:val="20"/>
                <w:lang w:val="es-MX"/>
              </w:rPr>
              <w:t>1,2,3,4 y 5</w:t>
            </w:r>
          </w:p>
        </w:tc>
        <w:tc>
          <w:tcPr>
            <w:tcW w:w="1043" w:type="dxa"/>
          </w:tcPr>
          <w:p w14:paraId="2DAFDC55" w14:textId="77777777" w:rsidR="0004071A" w:rsidRPr="009A27ED" w:rsidRDefault="0004071A" w:rsidP="005B6485">
            <w:pPr>
              <w:spacing w:before="120" w:after="0"/>
              <w:jc w:val="right"/>
              <w:rPr>
                <w:sz w:val="20"/>
                <w:szCs w:val="20"/>
                <w:lang w:val="es-MX"/>
              </w:rPr>
            </w:pPr>
            <w:r w:rsidRPr="009A27ED">
              <w:rPr>
                <w:sz w:val="20"/>
                <w:szCs w:val="20"/>
                <w:lang w:val="es-MX"/>
              </w:rPr>
              <w:t>202.60</w:t>
            </w:r>
          </w:p>
        </w:tc>
        <w:tc>
          <w:tcPr>
            <w:tcW w:w="5634" w:type="dxa"/>
          </w:tcPr>
          <w:p w14:paraId="4EA47049" w14:textId="32315503" w:rsidR="0004071A" w:rsidRPr="009A27ED" w:rsidRDefault="0004071A" w:rsidP="005B6485">
            <w:pPr>
              <w:pStyle w:val="Sinespaciado"/>
              <w:spacing w:before="120"/>
              <w:rPr>
                <w:sz w:val="20"/>
                <w:szCs w:val="20"/>
                <w:lang w:val="es-ES"/>
              </w:rPr>
            </w:pPr>
            <w:r w:rsidRPr="009A27ED">
              <w:rPr>
                <w:sz w:val="20"/>
                <w:szCs w:val="20"/>
              </w:rPr>
              <w:t xml:space="preserve">Terrenos no aptos para el cultivo. Aptos solamente para parques nacionales, zonas de recreo y vida silvestre y para protección de </w:t>
            </w:r>
            <w:r w:rsidR="003201DB" w:rsidRPr="009A27ED">
              <w:rPr>
                <w:sz w:val="20"/>
                <w:szCs w:val="20"/>
              </w:rPr>
              <w:t>cuencas hidrográficas</w:t>
            </w:r>
            <w:r w:rsidRPr="009A27ED">
              <w:rPr>
                <w:sz w:val="20"/>
                <w:szCs w:val="20"/>
              </w:rPr>
              <w:t>.</w:t>
            </w:r>
          </w:p>
          <w:p w14:paraId="15747E55" w14:textId="77777777" w:rsidR="0004071A" w:rsidRPr="009A27ED" w:rsidRDefault="0004071A" w:rsidP="00F92AAD">
            <w:pPr>
              <w:pStyle w:val="Sinespaciado"/>
              <w:keepNext/>
              <w:spacing w:before="120"/>
              <w:rPr>
                <w:sz w:val="20"/>
                <w:szCs w:val="20"/>
                <w:lang w:val="es-MX"/>
              </w:rPr>
            </w:pPr>
            <w:r w:rsidRPr="009A27ED">
              <w:rPr>
                <w:sz w:val="20"/>
                <w:szCs w:val="20"/>
                <w:lang w:val="es-ES"/>
              </w:rPr>
              <w:t xml:space="preserve">Se han incluido en estas clases las ciénagas costeras e interiores, sin uso agrícola por razones de drenaje y salinidad; las zonas de terreno escabroso de montaña que, por razones de topografía muy accidentada y por su importancia en la protección de cuencas fluviales, deben ser mantenidas en forma de bosques, o reforestadas. </w:t>
            </w:r>
          </w:p>
        </w:tc>
      </w:tr>
    </w:tbl>
    <w:p w14:paraId="7A73CE5C" w14:textId="4DEEAC59" w:rsidR="0004071A" w:rsidRPr="009A27ED" w:rsidRDefault="0004071A" w:rsidP="005B6485">
      <w:pPr>
        <w:spacing w:before="120" w:after="0" w:line="360" w:lineRule="auto"/>
        <w:rPr>
          <w:szCs w:val="22"/>
          <w:lang w:val="es-MX"/>
        </w:rPr>
      </w:pPr>
      <w:r w:rsidRPr="009A27ED">
        <w:rPr>
          <w:rFonts w:ascii="Times New Roman" w:eastAsia="Times New Roman" w:hAnsi="Times New Roman"/>
          <w:sz w:val="24"/>
          <w:szCs w:val="22"/>
          <w:lang w:val="es-MX"/>
        </w:rPr>
        <w:t>Los suelos clase VII son los de mayor presencia en las áreas priorizadas con 10,098.79 km</w:t>
      </w:r>
      <w:r w:rsidRPr="009A27ED">
        <w:rPr>
          <w:rFonts w:ascii="Times New Roman" w:eastAsia="Times New Roman" w:hAnsi="Times New Roman"/>
          <w:sz w:val="24"/>
          <w:szCs w:val="22"/>
          <w:vertAlign w:val="superscript"/>
          <w:lang w:val="es-MX"/>
        </w:rPr>
        <w:t>2</w:t>
      </w:r>
      <w:r w:rsidRPr="009A27ED">
        <w:rPr>
          <w:rFonts w:ascii="Times New Roman" w:eastAsia="Times New Roman" w:hAnsi="Times New Roman"/>
          <w:sz w:val="24"/>
          <w:szCs w:val="22"/>
          <w:lang w:val="es-MX"/>
        </w:rPr>
        <w:t xml:space="preserve">, distribuidos en </w:t>
      </w:r>
      <w:r w:rsidR="003201DB" w:rsidRPr="009A27ED">
        <w:rPr>
          <w:rFonts w:ascii="Times New Roman" w:eastAsia="Times New Roman" w:hAnsi="Times New Roman"/>
          <w:sz w:val="24"/>
          <w:szCs w:val="22"/>
          <w:lang w:val="es-MX"/>
        </w:rPr>
        <w:t>las 5 áreas</w:t>
      </w:r>
      <w:r w:rsidRPr="009A27ED">
        <w:rPr>
          <w:rFonts w:ascii="Times New Roman" w:eastAsia="Times New Roman" w:hAnsi="Times New Roman"/>
          <w:sz w:val="24"/>
          <w:szCs w:val="22"/>
          <w:lang w:val="es-MX"/>
        </w:rPr>
        <w:t>, aunque con mayor intensidad en el área priorizada 3, con 4,320 km</w:t>
      </w:r>
      <w:r w:rsidRPr="009A27ED">
        <w:rPr>
          <w:rFonts w:ascii="Times New Roman" w:eastAsia="Times New Roman" w:hAnsi="Times New Roman"/>
          <w:sz w:val="24"/>
          <w:szCs w:val="22"/>
          <w:vertAlign w:val="superscript"/>
          <w:lang w:val="es-MX"/>
        </w:rPr>
        <w:t>2</w:t>
      </w:r>
      <w:r w:rsidRPr="009A27ED">
        <w:rPr>
          <w:rFonts w:ascii="Times New Roman" w:eastAsia="Times New Roman" w:hAnsi="Times New Roman"/>
          <w:sz w:val="24"/>
          <w:szCs w:val="22"/>
          <w:lang w:val="es-MX"/>
        </w:rPr>
        <w:t xml:space="preserve"> y menos en el área 4, con solo 505.95 km</w:t>
      </w:r>
      <w:r w:rsidRPr="009A27ED">
        <w:rPr>
          <w:rFonts w:ascii="Times New Roman" w:eastAsia="Times New Roman" w:hAnsi="Times New Roman"/>
          <w:sz w:val="24"/>
          <w:szCs w:val="22"/>
          <w:vertAlign w:val="superscript"/>
          <w:lang w:val="es-MX"/>
        </w:rPr>
        <w:t>2</w:t>
      </w:r>
      <w:r w:rsidRPr="009A27ED">
        <w:rPr>
          <w:rFonts w:ascii="Times New Roman" w:eastAsia="Times New Roman" w:hAnsi="Times New Roman"/>
          <w:sz w:val="24"/>
          <w:szCs w:val="22"/>
          <w:lang w:val="es-MX"/>
        </w:rPr>
        <w:t>. Los suelos clase I, son los de menor presencia, solo se observan en las áreas 2 y 4 y el total de esta clasificación de suelos es de 100.66 km</w:t>
      </w:r>
      <w:r w:rsidRPr="009A27ED">
        <w:rPr>
          <w:rFonts w:ascii="Times New Roman" w:eastAsia="Times New Roman" w:hAnsi="Times New Roman"/>
          <w:sz w:val="24"/>
          <w:szCs w:val="22"/>
          <w:vertAlign w:val="superscript"/>
          <w:lang w:val="es-MX"/>
        </w:rPr>
        <w:t>2</w:t>
      </w:r>
      <w:r w:rsidR="002F3F2C" w:rsidRPr="009A27ED">
        <w:rPr>
          <w:rFonts w:ascii="Times New Roman" w:eastAsia="Times New Roman" w:hAnsi="Times New Roman"/>
          <w:sz w:val="24"/>
          <w:szCs w:val="22"/>
          <w:lang w:val="es-MX"/>
        </w:rPr>
        <w:t>.</w:t>
      </w:r>
    </w:p>
    <w:p w14:paraId="270770CD" w14:textId="77777777" w:rsidR="00B90A11" w:rsidRPr="009A27ED" w:rsidRDefault="00B90A11" w:rsidP="00B90A11">
      <w:pPr>
        <w:pStyle w:val="Descripcin"/>
        <w:spacing w:line="360" w:lineRule="auto"/>
        <w:rPr>
          <w:color w:val="000000" w:themeColor="text1"/>
          <w:sz w:val="20"/>
        </w:rPr>
      </w:pPr>
      <w:bookmarkStart w:id="137" w:name="_Toc14000"/>
    </w:p>
    <w:p w14:paraId="10082C97" w14:textId="4C8856F5" w:rsidR="004E6BAE" w:rsidRPr="009A27ED" w:rsidRDefault="004E6BAE" w:rsidP="004E6BAE">
      <w:pPr>
        <w:pStyle w:val="Descripcin"/>
        <w:keepNext/>
        <w:spacing w:line="360" w:lineRule="auto"/>
      </w:pPr>
      <w:bookmarkStart w:id="138" w:name="_Toc111887422"/>
      <w:bookmarkEnd w:id="137"/>
      <w:r w:rsidRPr="009A27ED">
        <w:rPr>
          <w:rFonts w:ascii="Times New Roman" w:eastAsia="Times New Roman" w:hAnsi="Times New Roman"/>
          <w:sz w:val="24"/>
        </w:rPr>
        <w:t xml:space="preserve">Cuadro </w:t>
      </w:r>
      <w:r w:rsidR="00F43DB6" w:rsidRPr="009A27ED">
        <w:rPr>
          <w:rFonts w:ascii="Times New Roman" w:eastAsia="Times New Roman" w:hAnsi="Times New Roman"/>
          <w:sz w:val="24"/>
        </w:rPr>
        <w:fldChar w:fldCharType="begin"/>
      </w:r>
      <w:r w:rsidR="00F43DB6" w:rsidRPr="009A27ED">
        <w:rPr>
          <w:rFonts w:ascii="Times New Roman" w:eastAsia="Times New Roman" w:hAnsi="Times New Roman"/>
          <w:sz w:val="24"/>
        </w:rPr>
        <w:instrText xml:space="preserve"> SEQ Cuadro \* ARABIC </w:instrText>
      </w:r>
      <w:r w:rsidR="00F43DB6"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12</w:t>
      </w:r>
      <w:r w:rsidR="00F43DB6" w:rsidRPr="009A27ED">
        <w:rPr>
          <w:rFonts w:ascii="Times New Roman" w:eastAsia="Times New Roman" w:hAnsi="Times New Roman"/>
          <w:sz w:val="24"/>
        </w:rPr>
        <w:fldChar w:fldCharType="end"/>
      </w:r>
      <w:r w:rsidRPr="009A27ED">
        <w:rPr>
          <w:rFonts w:ascii="Times New Roman" w:eastAsia="Times New Roman" w:hAnsi="Times New Roman"/>
          <w:color w:val="000000" w:themeColor="text1"/>
          <w:sz w:val="24"/>
        </w:rPr>
        <w:t>.  Capacidad productiva de los suelos por áreas priorizadas</w:t>
      </w:r>
      <w:bookmarkEnd w:id="138"/>
    </w:p>
    <w:tbl>
      <w:tblPr>
        <w:tblW w:w="8722" w:type="dxa"/>
        <w:tblInd w:w="93" w:type="dxa"/>
        <w:tblLook w:val="04A0" w:firstRow="1" w:lastRow="0" w:firstColumn="1" w:lastColumn="0" w:noHBand="0" w:noVBand="1"/>
      </w:tblPr>
      <w:tblGrid>
        <w:gridCol w:w="1072"/>
        <w:gridCol w:w="777"/>
        <w:gridCol w:w="933"/>
        <w:gridCol w:w="810"/>
        <w:gridCol w:w="900"/>
        <w:gridCol w:w="1170"/>
        <w:gridCol w:w="990"/>
        <w:gridCol w:w="1170"/>
        <w:gridCol w:w="900"/>
      </w:tblGrid>
      <w:tr w:rsidR="004E0CA8" w:rsidRPr="009A27ED" w14:paraId="028247C0" w14:textId="77777777" w:rsidTr="00F92AAD">
        <w:trPr>
          <w:trHeight w:val="300"/>
        </w:trPr>
        <w:tc>
          <w:tcPr>
            <w:tcW w:w="1072" w:type="dxa"/>
            <w:vMerge w:val="restart"/>
            <w:tcBorders>
              <w:top w:val="single" w:sz="4" w:space="0" w:color="auto"/>
              <w:left w:val="single" w:sz="4" w:space="0" w:color="auto"/>
              <w:bottom w:val="single" w:sz="4" w:space="0" w:color="auto"/>
              <w:right w:val="single" w:sz="4" w:space="0" w:color="auto"/>
            </w:tcBorders>
            <w:shd w:val="clear" w:color="auto" w:fill="0070C0"/>
            <w:noWrap/>
            <w:vAlign w:val="center"/>
            <w:hideMark/>
          </w:tcPr>
          <w:p w14:paraId="47C0A638" w14:textId="77777777" w:rsidR="0004071A" w:rsidRPr="009A27ED" w:rsidRDefault="0004071A" w:rsidP="00AF66E5">
            <w:pPr>
              <w:spacing w:after="0"/>
              <w:jc w:val="center"/>
              <w:rPr>
                <w:rFonts w:eastAsia="Times New Roman"/>
                <w:b/>
                <w:bCs/>
                <w:color w:val="FFFFFF" w:themeColor="background1"/>
                <w:sz w:val="20"/>
                <w:szCs w:val="20"/>
                <w:lang w:val="en-US"/>
              </w:rPr>
            </w:pPr>
            <w:r w:rsidRPr="009A27ED">
              <w:rPr>
                <w:color w:val="FFFFFF" w:themeColor="background1"/>
                <w:sz w:val="20"/>
                <w:szCs w:val="20"/>
                <w:lang w:val="es-MX"/>
              </w:rPr>
              <w:t>Áreas</w:t>
            </w:r>
          </w:p>
        </w:tc>
        <w:tc>
          <w:tcPr>
            <w:tcW w:w="7650" w:type="dxa"/>
            <w:gridSpan w:val="8"/>
            <w:tcBorders>
              <w:top w:val="single" w:sz="4" w:space="0" w:color="auto"/>
              <w:left w:val="nil"/>
              <w:bottom w:val="single" w:sz="4" w:space="0" w:color="auto"/>
              <w:right w:val="single" w:sz="4" w:space="0" w:color="auto"/>
            </w:tcBorders>
            <w:shd w:val="clear" w:color="auto" w:fill="0070C0"/>
            <w:noWrap/>
            <w:vAlign w:val="bottom"/>
            <w:hideMark/>
          </w:tcPr>
          <w:p w14:paraId="44B5837E" w14:textId="563FA394" w:rsidR="0004071A" w:rsidRPr="009A27ED" w:rsidRDefault="0004071A" w:rsidP="00AF66E5">
            <w:pPr>
              <w:spacing w:after="0"/>
              <w:jc w:val="center"/>
              <w:rPr>
                <w:rFonts w:eastAsia="Times New Roman"/>
                <w:b/>
                <w:bCs/>
                <w:color w:val="FFFFFF" w:themeColor="background1"/>
                <w:sz w:val="20"/>
                <w:szCs w:val="20"/>
              </w:rPr>
            </w:pPr>
            <w:r w:rsidRPr="009A27ED">
              <w:rPr>
                <w:rFonts w:eastAsia="Times New Roman"/>
                <w:b/>
                <w:bCs/>
                <w:color w:val="FFFFFF" w:themeColor="background1"/>
                <w:sz w:val="20"/>
                <w:szCs w:val="20"/>
              </w:rPr>
              <w:t>CAPACIDAD PRO</w:t>
            </w:r>
            <w:r w:rsidR="004630BE" w:rsidRPr="009A27ED">
              <w:rPr>
                <w:rFonts w:eastAsia="Times New Roman"/>
                <w:b/>
                <w:bCs/>
                <w:color w:val="FFFFFF" w:themeColor="background1"/>
                <w:sz w:val="20"/>
                <w:szCs w:val="20"/>
              </w:rPr>
              <w:t>DUCTIVA</w:t>
            </w:r>
            <w:r w:rsidRPr="009A27ED">
              <w:rPr>
                <w:rFonts w:eastAsia="Times New Roman"/>
                <w:b/>
                <w:bCs/>
                <w:color w:val="FFFFFF" w:themeColor="background1"/>
                <w:sz w:val="20"/>
                <w:szCs w:val="20"/>
              </w:rPr>
              <w:t xml:space="preserve"> (CLASES DE SUELOS)</w:t>
            </w:r>
          </w:p>
        </w:tc>
      </w:tr>
      <w:tr w:rsidR="004E0CA8" w:rsidRPr="009A27ED" w14:paraId="307129BC" w14:textId="77777777" w:rsidTr="00F92AAD">
        <w:trPr>
          <w:trHeight w:val="300"/>
        </w:trPr>
        <w:tc>
          <w:tcPr>
            <w:tcW w:w="1072" w:type="dxa"/>
            <w:vMerge/>
            <w:tcBorders>
              <w:top w:val="single" w:sz="4" w:space="0" w:color="auto"/>
              <w:left w:val="single" w:sz="4" w:space="0" w:color="auto"/>
              <w:bottom w:val="single" w:sz="4" w:space="0" w:color="auto"/>
              <w:right w:val="single" w:sz="4" w:space="0" w:color="auto"/>
            </w:tcBorders>
            <w:shd w:val="clear" w:color="auto" w:fill="0070C0"/>
            <w:vAlign w:val="center"/>
            <w:hideMark/>
          </w:tcPr>
          <w:p w14:paraId="5B075575" w14:textId="77777777" w:rsidR="0004071A" w:rsidRPr="009A27ED" w:rsidRDefault="0004071A" w:rsidP="00AF66E5">
            <w:pPr>
              <w:spacing w:after="0"/>
              <w:rPr>
                <w:rFonts w:eastAsia="Times New Roman"/>
                <w:b/>
                <w:bCs/>
                <w:color w:val="FFFFFF" w:themeColor="background1"/>
                <w:sz w:val="20"/>
                <w:szCs w:val="20"/>
              </w:rPr>
            </w:pPr>
          </w:p>
        </w:tc>
        <w:tc>
          <w:tcPr>
            <w:tcW w:w="777" w:type="dxa"/>
            <w:tcBorders>
              <w:top w:val="nil"/>
              <w:left w:val="nil"/>
              <w:bottom w:val="single" w:sz="4" w:space="0" w:color="auto"/>
              <w:right w:val="single" w:sz="4" w:space="0" w:color="auto"/>
            </w:tcBorders>
            <w:shd w:val="clear" w:color="auto" w:fill="0070C0"/>
            <w:noWrap/>
            <w:vAlign w:val="bottom"/>
            <w:hideMark/>
          </w:tcPr>
          <w:p w14:paraId="43665900" w14:textId="77777777" w:rsidR="0004071A" w:rsidRPr="009A27ED" w:rsidRDefault="0004071A" w:rsidP="00AF66E5">
            <w:pPr>
              <w:spacing w:after="0"/>
              <w:rPr>
                <w:rFonts w:eastAsia="Times New Roman"/>
                <w:b/>
                <w:bCs/>
                <w:color w:val="FFFFFF" w:themeColor="background1"/>
                <w:sz w:val="20"/>
                <w:szCs w:val="20"/>
                <w:lang w:val="en-US"/>
              </w:rPr>
            </w:pPr>
            <w:r w:rsidRPr="009A27ED">
              <w:rPr>
                <w:rFonts w:eastAsia="Times New Roman"/>
                <w:b/>
                <w:bCs/>
                <w:color w:val="FFFFFF" w:themeColor="background1"/>
                <w:sz w:val="20"/>
                <w:szCs w:val="20"/>
              </w:rPr>
              <w:t xml:space="preserve"> </w:t>
            </w:r>
            <w:r w:rsidRPr="009A27ED">
              <w:rPr>
                <w:rFonts w:eastAsia="Times New Roman"/>
                <w:b/>
                <w:bCs/>
                <w:color w:val="FFFFFF" w:themeColor="background1"/>
                <w:sz w:val="20"/>
                <w:szCs w:val="20"/>
                <w:lang w:val="en-US"/>
              </w:rPr>
              <w:t>I</w:t>
            </w:r>
          </w:p>
        </w:tc>
        <w:tc>
          <w:tcPr>
            <w:tcW w:w="933" w:type="dxa"/>
            <w:tcBorders>
              <w:top w:val="nil"/>
              <w:left w:val="nil"/>
              <w:bottom w:val="single" w:sz="4" w:space="0" w:color="auto"/>
              <w:right w:val="single" w:sz="4" w:space="0" w:color="auto"/>
            </w:tcBorders>
            <w:shd w:val="clear" w:color="auto" w:fill="0070C0"/>
            <w:noWrap/>
            <w:vAlign w:val="bottom"/>
            <w:hideMark/>
          </w:tcPr>
          <w:p w14:paraId="48712A45" w14:textId="77777777" w:rsidR="0004071A" w:rsidRPr="009A27ED" w:rsidRDefault="0004071A" w:rsidP="00AF66E5">
            <w:pPr>
              <w:spacing w:after="0"/>
              <w:rPr>
                <w:rFonts w:eastAsia="Times New Roman"/>
                <w:b/>
                <w:bCs/>
                <w:color w:val="FFFFFF" w:themeColor="background1"/>
                <w:sz w:val="20"/>
                <w:szCs w:val="20"/>
                <w:lang w:val="en-US"/>
              </w:rPr>
            </w:pPr>
            <w:r w:rsidRPr="009A27ED">
              <w:rPr>
                <w:rFonts w:eastAsia="Times New Roman"/>
                <w:b/>
                <w:bCs/>
                <w:color w:val="FFFFFF" w:themeColor="background1"/>
                <w:sz w:val="20"/>
                <w:szCs w:val="20"/>
                <w:lang w:val="en-US"/>
              </w:rPr>
              <w:t xml:space="preserve"> II</w:t>
            </w:r>
          </w:p>
        </w:tc>
        <w:tc>
          <w:tcPr>
            <w:tcW w:w="810" w:type="dxa"/>
            <w:tcBorders>
              <w:top w:val="nil"/>
              <w:left w:val="nil"/>
              <w:bottom w:val="single" w:sz="4" w:space="0" w:color="auto"/>
              <w:right w:val="single" w:sz="4" w:space="0" w:color="auto"/>
            </w:tcBorders>
            <w:shd w:val="clear" w:color="auto" w:fill="0070C0"/>
            <w:noWrap/>
            <w:vAlign w:val="bottom"/>
            <w:hideMark/>
          </w:tcPr>
          <w:p w14:paraId="386F67AB" w14:textId="77777777" w:rsidR="0004071A" w:rsidRPr="009A27ED" w:rsidRDefault="0004071A" w:rsidP="00AF66E5">
            <w:pPr>
              <w:spacing w:after="0"/>
              <w:rPr>
                <w:rFonts w:eastAsia="Times New Roman"/>
                <w:b/>
                <w:bCs/>
                <w:color w:val="FFFFFF" w:themeColor="background1"/>
                <w:sz w:val="20"/>
                <w:szCs w:val="20"/>
                <w:lang w:val="en-US"/>
              </w:rPr>
            </w:pPr>
            <w:r w:rsidRPr="009A27ED">
              <w:rPr>
                <w:rFonts w:eastAsia="Times New Roman"/>
                <w:b/>
                <w:bCs/>
                <w:color w:val="FFFFFF" w:themeColor="background1"/>
                <w:sz w:val="20"/>
                <w:szCs w:val="20"/>
                <w:lang w:val="en-US"/>
              </w:rPr>
              <w:t xml:space="preserve"> III</w:t>
            </w:r>
          </w:p>
        </w:tc>
        <w:tc>
          <w:tcPr>
            <w:tcW w:w="900" w:type="dxa"/>
            <w:tcBorders>
              <w:top w:val="nil"/>
              <w:left w:val="nil"/>
              <w:bottom w:val="single" w:sz="4" w:space="0" w:color="auto"/>
              <w:right w:val="single" w:sz="4" w:space="0" w:color="auto"/>
            </w:tcBorders>
            <w:shd w:val="clear" w:color="auto" w:fill="0070C0"/>
            <w:noWrap/>
            <w:vAlign w:val="bottom"/>
            <w:hideMark/>
          </w:tcPr>
          <w:p w14:paraId="24E8D35B" w14:textId="77777777" w:rsidR="0004071A" w:rsidRPr="009A27ED" w:rsidRDefault="0004071A" w:rsidP="00AF66E5">
            <w:pPr>
              <w:spacing w:after="0"/>
              <w:rPr>
                <w:rFonts w:eastAsia="Times New Roman"/>
                <w:b/>
                <w:bCs/>
                <w:color w:val="FFFFFF" w:themeColor="background1"/>
                <w:sz w:val="20"/>
                <w:szCs w:val="20"/>
                <w:lang w:val="en-US"/>
              </w:rPr>
            </w:pPr>
            <w:r w:rsidRPr="009A27ED">
              <w:rPr>
                <w:rFonts w:eastAsia="Times New Roman"/>
                <w:b/>
                <w:bCs/>
                <w:color w:val="FFFFFF" w:themeColor="background1"/>
                <w:sz w:val="20"/>
                <w:szCs w:val="20"/>
                <w:lang w:val="en-US"/>
              </w:rPr>
              <w:t xml:space="preserve"> IV</w:t>
            </w:r>
          </w:p>
        </w:tc>
        <w:tc>
          <w:tcPr>
            <w:tcW w:w="1170" w:type="dxa"/>
            <w:tcBorders>
              <w:top w:val="nil"/>
              <w:left w:val="nil"/>
              <w:bottom w:val="single" w:sz="4" w:space="0" w:color="auto"/>
              <w:right w:val="single" w:sz="4" w:space="0" w:color="auto"/>
            </w:tcBorders>
            <w:shd w:val="clear" w:color="auto" w:fill="0070C0"/>
            <w:noWrap/>
            <w:vAlign w:val="bottom"/>
            <w:hideMark/>
          </w:tcPr>
          <w:p w14:paraId="1301016F" w14:textId="77777777" w:rsidR="0004071A" w:rsidRPr="009A27ED" w:rsidRDefault="0004071A" w:rsidP="00AF66E5">
            <w:pPr>
              <w:spacing w:after="0"/>
              <w:rPr>
                <w:rFonts w:eastAsia="Times New Roman"/>
                <w:b/>
                <w:bCs/>
                <w:color w:val="FFFFFF" w:themeColor="background1"/>
                <w:sz w:val="20"/>
                <w:szCs w:val="20"/>
                <w:lang w:val="en-US"/>
              </w:rPr>
            </w:pPr>
            <w:r w:rsidRPr="009A27ED">
              <w:rPr>
                <w:rFonts w:eastAsia="Times New Roman"/>
                <w:b/>
                <w:bCs/>
                <w:color w:val="FFFFFF" w:themeColor="background1"/>
                <w:sz w:val="20"/>
                <w:szCs w:val="20"/>
                <w:lang w:val="en-US"/>
              </w:rPr>
              <w:t xml:space="preserve"> V</w:t>
            </w:r>
          </w:p>
        </w:tc>
        <w:tc>
          <w:tcPr>
            <w:tcW w:w="990" w:type="dxa"/>
            <w:tcBorders>
              <w:top w:val="nil"/>
              <w:left w:val="nil"/>
              <w:bottom w:val="single" w:sz="4" w:space="0" w:color="auto"/>
              <w:right w:val="single" w:sz="4" w:space="0" w:color="auto"/>
            </w:tcBorders>
            <w:shd w:val="clear" w:color="auto" w:fill="0070C0"/>
            <w:noWrap/>
            <w:vAlign w:val="bottom"/>
            <w:hideMark/>
          </w:tcPr>
          <w:p w14:paraId="28A0BBB8" w14:textId="77777777" w:rsidR="0004071A" w:rsidRPr="009A27ED" w:rsidRDefault="0004071A" w:rsidP="00AF66E5">
            <w:pPr>
              <w:spacing w:after="0"/>
              <w:rPr>
                <w:rFonts w:eastAsia="Times New Roman"/>
                <w:b/>
                <w:bCs/>
                <w:color w:val="FFFFFF" w:themeColor="background1"/>
                <w:sz w:val="20"/>
                <w:szCs w:val="20"/>
                <w:lang w:val="en-US"/>
              </w:rPr>
            </w:pPr>
            <w:r w:rsidRPr="009A27ED">
              <w:rPr>
                <w:rFonts w:eastAsia="Times New Roman"/>
                <w:b/>
                <w:bCs/>
                <w:color w:val="FFFFFF" w:themeColor="background1"/>
                <w:sz w:val="20"/>
                <w:szCs w:val="20"/>
                <w:lang w:val="en-US"/>
              </w:rPr>
              <w:t xml:space="preserve"> VI</w:t>
            </w:r>
          </w:p>
        </w:tc>
        <w:tc>
          <w:tcPr>
            <w:tcW w:w="1170" w:type="dxa"/>
            <w:tcBorders>
              <w:top w:val="nil"/>
              <w:left w:val="nil"/>
              <w:bottom w:val="single" w:sz="4" w:space="0" w:color="auto"/>
              <w:right w:val="single" w:sz="4" w:space="0" w:color="auto"/>
            </w:tcBorders>
            <w:shd w:val="clear" w:color="auto" w:fill="0070C0"/>
            <w:noWrap/>
            <w:vAlign w:val="bottom"/>
            <w:hideMark/>
          </w:tcPr>
          <w:p w14:paraId="394E44C1" w14:textId="77777777" w:rsidR="0004071A" w:rsidRPr="009A27ED" w:rsidRDefault="0004071A" w:rsidP="00AF66E5">
            <w:pPr>
              <w:spacing w:after="0"/>
              <w:rPr>
                <w:rFonts w:eastAsia="Times New Roman"/>
                <w:b/>
                <w:bCs/>
                <w:color w:val="FFFFFF" w:themeColor="background1"/>
                <w:sz w:val="20"/>
                <w:szCs w:val="20"/>
                <w:lang w:val="en-US"/>
              </w:rPr>
            </w:pPr>
            <w:r w:rsidRPr="009A27ED">
              <w:rPr>
                <w:rFonts w:eastAsia="Times New Roman"/>
                <w:b/>
                <w:bCs/>
                <w:color w:val="FFFFFF" w:themeColor="background1"/>
                <w:sz w:val="20"/>
                <w:szCs w:val="20"/>
                <w:lang w:val="en-US"/>
              </w:rPr>
              <w:t xml:space="preserve"> VII</w:t>
            </w:r>
          </w:p>
        </w:tc>
        <w:tc>
          <w:tcPr>
            <w:tcW w:w="900" w:type="dxa"/>
            <w:tcBorders>
              <w:top w:val="nil"/>
              <w:left w:val="nil"/>
              <w:bottom w:val="single" w:sz="4" w:space="0" w:color="auto"/>
              <w:right w:val="single" w:sz="4" w:space="0" w:color="auto"/>
            </w:tcBorders>
            <w:shd w:val="clear" w:color="auto" w:fill="0070C0"/>
            <w:noWrap/>
            <w:vAlign w:val="bottom"/>
            <w:hideMark/>
          </w:tcPr>
          <w:p w14:paraId="0AB081D3" w14:textId="77777777" w:rsidR="0004071A" w:rsidRPr="009A27ED" w:rsidRDefault="0004071A" w:rsidP="00AF66E5">
            <w:pPr>
              <w:spacing w:after="0"/>
              <w:rPr>
                <w:rFonts w:eastAsia="Times New Roman"/>
                <w:b/>
                <w:bCs/>
                <w:color w:val="FFFFFF" w:themeColor="background1"/>
                <w:sz w:val="20"/>
                <w:szCs w:val="20"/>
                <w:lang w:val="en-US"/>
              </w:rPr>
            </w:pPr>
            <w:r w:rsidRPr="009A27ED">
              <w:rPr>
                <w:rFonts w:eastAsia="Times New Roman"/>
                <w:b/>
                <w:bCs/>
                <w:color w:val="FFFFFF" w:themeColor="background1"/>
                <w:sz w:val="20"/>
                <w:szCs w:val="20"/>
                <w:lang w:val="en-US"/>
              </w:rPr>
              <w:t xml:space="preserve"> VIII</w:t>
            </w:r>
          </w:p>
        </w:tc>
      </w:tr>
      <w:tr w:rsidR="0004071A" w:rsidRPr="009A27ED" w14:paraId="0685E776" w14:textId="77777777" w:rsidTr="00F92AAD">
        <w:trPr>
          <w:trHeight w:val="300"/>
        </w:trPr>
        <w:tc>
          <w:tcPr>
            <w:tcW w:w="1072" w:type="dxa"/>
            <w:tcBorders>
              <w:top w:val="nil"/>
              <w:left w:val="single" w:sz="4" w:space="0" w:color="auto"/>
              <w:bottom w:val="single" w:sz="4" w:space="0" w:color="auto"/>
              <w:right w:val="single" w:sz="4" w:space="0" w:color="auto"/>
            </w:tcBorders>
            <w:shd w:val="clear" w:color="auto" w:fill="auto"/>
            <w:noWrap/>
            <w:hideMark/>
          </w:tcPr>
          <w:p w14:paraId="005ADFFA" w14:textId="77777777" w:rsidR="0004071A" w:rsidRPr="009A27ED" w:rsidRDefault="0004071A" w:rsidP="00AF66E5">
            <w:pPr>
              <w:spacing w:after="0"/>
              <w:rPr>
                <w:rFonts w:eastAsia="Times New Roman"/>
                <w:b/>
                <w:bCs/>
                <w:color w:val="000000"/>
                <w:sz w:val="20"/>
                <w:szCs w:val="20"/>
                <w:lang w:val="en-US"/>
              </w:rPr>
            </w:pPr>
            <w:r w:rsidRPr="009A27ED">
              <w:rPr>
                <w:sz w:val="20"/>
                <w:szCs w:val="20"/>
                <w:lang w:val="es-MX"/>
              </w:rPr>
              <w:t>Área 1</w:t>
            </w:r>
          </w:p>
        </w:tc>
        <w:tc>
          <w:tcPr>
            <w:tcW w:w="777" w:type="dxa"/>
            <w:tcBorders>
              <w:top w:val="nil"/>
              <w:left w:val="nil"/>
              <w:bottom w:val="single" w:sz="4" w:space="0" w:color="auto"/>
              <w:right w:val="single" w:sz="4" w:space="0" w:color="auto"/>
            </w:tcBorders>
            <w:shd w:val="clear" w:color="auto" w:fill="auto"/>
            <w:noWrap/>
            <w:vAlign w:val="bottom"/>
            <w:hideMark/>
          </w:tcPr>
          <w:p w14:paraId="394F22A8"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0.00</w:t>
            </w:r>
          </w:p>
        </w:tc>
        <w:tc>
          <w:tcPr>
            <w:tcW w:w="933" w:type="dxa"/>
            <w:tcBorders>
              <w:top w:val="nil"/>
              <w:left w:val="nil"/>
              <w:bottom w:val="single" w:sz="4" w:space="0" w:color="auto"/>
              <w:right w:val="single" w:sz="4" w:space="0" w:color="auto"/>
            </w:tcBorders>
            <w:shd w:val="clear" w:color="auto" w:fill="auto"/>
            <w:noWrap/>
            <w:vAlign w:val="bottom"/>
            <w:hideMark/>
          </w:tcPr>
          <w:p w14:paraId="2BF160A6"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14.15</w:t>
            </w:r>
          </w:p>
        </w:tc>
        <w:tc>
          <w:tcPr>
            <w:tcW w:w="810" w:type="dxa"/>
            <w:tcBorders>
              <w:top w:val="nil"/>
              <w:left w:val="nil"/>
              <w:bottom w:val="single" w:sz="4" w:space="0" w:color="auto"/>
              <w:right w:val="single" w:sz="4" w:space="0" w:color="auto"/>
            </w:tcBorders>
            <w:shd w:val="clear" w:color="auto" w:fill="auto"/>
            <w:noWrap/>
            <w:vAlign w:val="bottom"/>
            <w:hideMark/>
          </w:tcPr>
          <w:p w14:paraId="66158B75" w14:textId="77777777" w:rsidR="0004071A" w:rsidRPr="009A27ED" w:rsidRDefault="0004071A" w:rsidP="00AF66E5">
            <w:pPr>
              <w:spacing w:after="0"/>
              <w:rPr>
                <w:rFonts w:eastAsia="Times New Roman"/>
                <w:color w:val="000000"/>
                <w:sz w:val="20"/>
                <w:szCs w:val="20"/>
                <w:lang w:val="en-US"/>
              </w:rPr>
            </w:pPr>
            <w:r w:rsidRPr="009A27ED">
              <w:rPr>
                <w:rFonts w:eastAsia="Times New Roman"/>
                <w:color w:val="000000"/>
                <w:sz w:val="20"/>
                <w:szCs w:val="20"/>
                <w:lang w:val="en-US"/>
              </w:rPr>
              <w:t> </w:t>
            </w:r>
          </w:p>
        </w:tc>
        <w:tc>
          <w:tcPr>
            <w:tcW w:w="900" w:type="dxa"/>
            <w:tcBorders>
              <w:top w:val="nil"/>
              <w:left w:val="nil"/>
              <w:bottom w:val="single" w:sz="4" w:space="0" w:color="auto"/>
              <w:right w:val="single" w:sz="4" w:space="0" w:color="auto"/>
            </w:tcBorders>
            <w:shd w:val="clear" w:color="auto" w:fill="auto"/>
            <w:noWrap/>
            <w:vAlign w:val="bottom"/>
            <w:hideMark/>
          </w:tcPr>
          <w:p w14:paraId="6393E876"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211.29</w:t>
            </w:r>
          </w:p>
        </w:tc>
        <w:tc>
          <w:tcPr>
            <w:tcW w:w="1170" w:type="dxa"/>
            <w:tcBorders>
              <w:top w:val="nil"/>
              <w:left w:val="nil"/>
              <w:bottom w:val="single" w:sz="4" w:space="0" w:color="auto"/>
              <w:right w:val="single" w:sz="4" w:space="0" w:color="auto"/>
            </w:tcBorders>
            <w:shd w:val="clear" w:color="auto" w:fill="auto"/>
            <w:noWrap/>
            <w:vAlign w:val="bottom"/>
            <w:hideMark/>
          </w:tcPr>
          <w:p w14:paraId="3C49D25B"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313.96</w:t>
            </w:r>
          </w:p>
        </w:tc>
        <w:tc>
          <w:tcPr>
            <w:tcW w:w="990" w:type="dxa"/>
            <w:tcBorders>
              <w:top w:val="nil"/>
              <w:left w:val="nil"/>
              <w:bottom w:val="single" w:sz="4" w:space="0" w:color="auto"/>
              <w:right w:val="single" w:sz="4" w:space="0" w:color="auto"/>
            </w:tcBorders>
            <w:shd w:val="clear" w:color="auto" w:fill="auto"/>
            <w:noWrap/>
            <w:vAlign w:val="bottom"/>
            <w:hideMark/>
          </w:tcPr>
          <w:p w14:paraId="7717BE94"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93.18</w:t>
            </w:r>
          </w:p>
        </w:tc>
        <w:tc>
          <w:tcPr>
            <w:tcW w:w="1170" w:type="dxa"/>
            <w:tcBorders>
              <w:top w:val="nil"/>
              <w:left w:val="nil"/>
              <w:bottom w:val="single" w:sz="4" w:space="0" w:color="auto"/>
              <w:right w:val="single" w:sz="4" w:space="0" w:color="auto"/>
            </w:tcBorders>
            <w:shd w:val="clear" w:color="auto" w:fill="auto"/>
            <w:noWrap/>
            <w:vAlign w:val="bottom"/>
            <w:hideMark/>
          </w:tcPr>
          <w:p w14:paraId="64F72594"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2,576.77</w:t>
            </w:r>
          </w:p>
        </w:tc>
        <w:tc>
          <w:tcPr>
            <w:tcW w:w="900" w:type="dxa"/>
            <w:tcBorders>
              <w:top w:val="nil"/>
              <w:left w:val="nil"/>
              <w:bottom w:val="single" w:sz="4" w:space="0" w:color="auto"/>
              <w:right w:val="single" w:sz="4" w:space="0" w:color="auto"/>
            </w:tcBorders>
            <w:shd w:val="clear" w:color="auto" w:fill="auto"/>
            <w:noWrap/>
            <w:vAlign w:val="bottom"/>
            <w:hideMark/>
          </w:tcPr>
          <w:p w14:paraId="78699BAB"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65.42</w:t>
            </w:r>
          </w:p>
        </w:tc>
      </w:tr>
      <w:tr w:rsidR="0004071A" w:rsidRPr="009A27ED" w14:paraId="464A4335" w14:textId="77777777" w:rsidTr="00F92AAD">
        <w:trPr>
          <w:trHeight w:val="300"/>
        </w:trPr>
        <w:tc>
          <w:tcPr>
            <w:tcW w:w="1072" w:type="dxa"/>
            <w:tcBorders>
              <w:top w:val="nil"/>
              <w:left w:val="single" w:sz="4" w:space="0" w:color="auto"/>
              <w:bottom w:val="single" w:sz="4" w:space="0" w:color="auto"/>
              <w:right w:val="single" w:sz="4" w:space="0" w:color="auto"/>
            </w:tcBorders>
            <w:shd w:val="clear" w:color="auto" w:fill="auto"/>
            <w:noWrap/>
            <w:hideMark/>
          </w:tcPr>
          <w:p w14:paraId="5A0D428D" w14:textId="77777777" w:rsidR="0004071A" w:rsidRPr="009A27ED" w:rsidRDefault="0004071A" w:rsidP="00AF66E5">
            <w:pPr>
              <w:spacing w:after="0"/>
              <w:rPr>
                <w:rFonts w:eastAsia="Times New Roman"/>
                <w:b/>
                <w:bCs/>
                <w:color w:val="000000"/>
                <w:sz w:val="20"/>
                <w:szCs w:val="20"/>
                <w:lang w:val="en-US"/>
              </w:rPr>
            </w:pPr>
            <w:r w:rsidRPr="009A27ED">
              <w:rPr>
                <w:sz w:val="20"/>
                <w:szCs w:val="20"/>
                <w:lang w:val="es-MX"/>
              </w:rPr>
              <w:t>Área 2</w:t>
            </w:r>
          </w:p>
        </w:tc>
        <w:tc>
          <w:tcPr>
            <w:tcW w:w="777" w:type="dxa"/>
            <w:tcBorders>
              <w:top w:val="nil"/>
              <w:left w:val="nil"/>
              <w:bottom w:val="single" w:sz="4" w:space="0" w:color="auto"/>
              <w:right w:val="single" w:sz="4" w:space="0" w:color="auto"/>
            </w:tcBorders>
            <w:shd w:val="clear" w:color="auto" w:fill="auto"/>
            <w:noWrap/>
            <w:vAlign w:val="bottom"/>
            <w:hideMark/>
          </w:tcPr>
          <w:p w14:paraId="49BF0D43"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4.21</w:t>
            </w:r>
          </w:p>
        </w:tc>
        <w:tc>
          <w:tcPr>
            <w:tcW w:w="933" w:type="dxa"/>
            <w:tcBorders>
              <w:top w:val="nil"/>
              <w:left w:val="nil"/>
              <w:bottom w:val="single" w:sz="4" w:space="0" w:color="auto"/>
              <w:right w:val="single" w:sz="4" w:space="0" w:color="auto"/>
            </w:tcBorders>
            <w:shd w:val="clear" w:color="auto" w:fill="auto"/>
            <w:noWrap/>
            <w:vAlign w:val="bottom"/>
            <w:hideMark/>
          </w:tcPr>
          <w:p w14:paraId="416CAEB6"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52.36</w:t>
            </w:r>
          </w:p>
        </w:tc>
        <w:tc>
          <w:tcPr>
            <w:tcW w:w="810" w:type="dxa"/>
            <w:tcBorders>
              <w:top w:val="nil"/>
              <w:left w:val="nil"/>
              <w:bottom w:val="single" w:sz="4" w:space="0" w:color="auto"/>
              <w:right w:val="single" w:sz="4" w:space="0" w:color="auto"/>
            </w:tcBorders>
            <w:shd w:val="clear" w:color="auto" w:fill="auto"/>
            <w:noWrap/>
            <w:vAlign w:val="bottom"/>
            <w:hideMark/>
          </w:tcPr>
          <w:p w14:paraId="01776120"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139.23</w:t>
            </w:r>
          </w:p>
        </w:tc>
        <w:tc>
          <w:tcPr>
            <w:tcW w:w="900" w:type="dxa"/>
            <w:tcBorders>
              <w:top w:val="nil"/>
              <w:left w:val="nil"/>
              <w:bottom w:val="single" w:sz="4" w:space="0" w:color="auto"/>
              <w:right w:val="single" w:sz="4" w:space="0" w:color="auto"/>
            </w:tcBorders>
            <w:shd w:val="clear" w:color="auto" w:fill="auto"/>
            <w:noWrap/>
            <w:vAlign w:val="bottom"/>
            <w:hideMark/>
          </w:tcPr>
          <w:p w14:paraId="5BD5B668"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152.96</w:t>
            </w:r>
          </w:p>
        </w:tc>
        <w:tc>
          <w:tcPr>
            <w:tcW w:w="1170" w:type="dxa"/>
            <w:tcBorders>
              <w:top w:val="nil"/>
              <w:left w:val="nil"/>
              <w:bottom w:val="single" w:sz="4" w:space="0" w:color="auto"/>
              <w:right w:val="single" w:sz="4" w:space="0" w:color="auto"/>
            </w:tcBorders>
            <w:shd w:val="clear" w:color="auto" w:fill="auto"/>
            <w:noWrap/>
            <w:vAlign w:val="bottom"/>
            <w:hideMark/>
          </w:tcPr>
          <w:p w14:paraId="30C38CF3"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86.17</w:t>
            </w:r>
          </w:p>
        </w:tc>
        <w:tc>
          <w:tcPr>
            <w:tcW w:w="990" w:type="dxa"/>
            <w:tcBorders>
              <w:top w:val="nil"/>
              <w:left w:val="nil"/>
              <w:bottom w:val="single" w:sz="4" w:space="0" w:color="auto"/>
              <w:right w:val="single" w:sz="4" w:space="0" w:color="auto"/>
            </w:tcBorders>
            <w:shd w:val="clear" w:color="auto" w:fill="auto"/>
            <w:noWrap/>
            <w:vAlign w:val="bottom"/>
            <w:hideMark/>
          </w:tcPr>
          <w:p w14:paraId="59030B0F"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144.40</w:t>
            </w:r>
          </w:p>
        </w:tc>
        <w:tc>
          <w:tcPr>
            <w:tcW w:w="1170" w:type="dxa"/>
            <w:tcBorders>
              <w:top w:val="nil"/>
              <w:left w:val="nil"/>
              <w:bottom w:val="single" w:sz="4" w:space="0" w:color="auto"/>
              <w:right w:val="single" w:sz="4" w:space="0" w:color="auto"/>
            </w:tcBorders>
            <w:shd w:val="clear" w:color="auto" w:fill="auto"/>
            <w:noWrap/>
            <w:vAlign w:val="bottom"/>
            <w:hideMark/>
          </w:tcPr>
          <w:p w14:paraId="64CC34E9"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1,422.23</w:t>
            </w:r>
          </w:p>
        </w:tc>
        <w:tc>
          <w:tcPr>
            <w:tcW w:w="900" w:type="dxa"/>
            <w:tcBorders>
              <w:top w:val="nil"/>
              <w:left w:val="nil"/>
              <w:bottom w:val="single" w:sz="4" w:space="0" w:color="auto"/>
              <w:right w:val="single" w:sz="4" w:space="0" w:color="auto"/>
            </w:tcBorders>
            <w:shd w:val="clear" w:color="auto" w:fill="auto"/>
            <w:noWrap/>
            <w:vAlign w:val="bottom"/>
            <w:hideMark/>
          </w:tcPr>
          <w:p w14:paraId="0916AF28"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35.65</w:t>
            </w:r>
          </w:p>
        </w:tc>
      </w:tr>
      <w:tr w:rsidR="0004071A" w:rsidRPr="009A27ED" w14:paraId="6AFA2682" w14:textId="77777777" w:rsidTr="00F92AAD">
        <w:trPr>
          <w:trHeight w:val="300"/>
        </w:trPr>
        <w:tc>
          <w:tcPr>
            <w:tcW w:w="1072" w:type="dxa"/>
            <w:tcBorders>
              <w:top w:val="nil"/>
              <w:left w:val="single" w:sz="4" w:space="0" w:color="auto"/>
              <w:bottom w:val="single" w:sz="4" w:space="0" w:color="auto"/>
              <w:right w:val="single" w:sz="4" w:space="0" w:color="auto"/>
            </w:tcBorders>
            <w:shd w:val="clear" w:color="auto" w:fill="auto"/>
            <w:noWrap/>
            <w:hideMark/>
          </w:tcPr>
          <w:p w14:paraId="2A013281" w14:textId="77777777" w:rsidR="0004071A" w:rsidRPr="009A27ED" w:rsidRDefault="0004071A" w:rsidP="00AF66E5">
            <w:pPr>
              <w:spacing w:after="0"/>
              <w:rPr>
                <w:rFonts w:eastAsia="Times New Roman"/>
                <w:b/>
                <w:bCs/>
                <w:color w:val="000000"/>
                <w:sz w:val="20"/>
                <w:szCs w:val="20"/>
                <w:lang w:val="en-US"/>
              </w:rPr>
            </w:pPr>
            <w:r w:rsidRPr="009A27ED">
              <w:rPr>
                <w:sz w:val="20"/>
                <w:szCs w:val="20"/>
                <w:lang w:val="es-MX"/>
              </w:rPr>
              <w:lastRenderedPageBreak/>
              <w:t>Área 3</w:t>
            </w:r>
          </w:p>
        </w:tc>
        <w:tc>
          <w:tcPr>
            <w:tcW w:w="777" w:type="dxa"/>
            <w:tcBorders>
              <w:top w:val="nil"/>
              <w:left w:val="nil"/>
              <w:bottom w:val="single" w:sz="4" w:space="0" w:color="auto"/>
              <w:right w:val="single" w:sz="4" w:space="0" w:color="auto"/>
            </w:tcBorders>
            <w:shd w:val="clear" w:color="auto" w:fill="auto"/>
            <w:noWrap/>
            <w:vAlign w:val="bottom"/>
            <w:hideMark/>
          </w:tcPr>
          <w:p w14:paraId="0AFB4812"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0.00</w:t>
            </w:r>
          </w:p>
        </w:tc>
        <w:tc>
          <w:tcPr>
            <w:tcW w:w="933" w:type="dxa"/>
            <w:tcBorders>
              <w:top w:val="nil"/>
              <w:left w:val="nil"/>
              <w:bottom w:val="single" w:sz="4" w:space="0" w:color="auto"/>
              <w:right w:val="single" w:sz="4" w:space="0" w:color="auto"/>
            </w:tcBorders>
            <w:shd w:val="clear" w:color="auto" w:fill="auto"/>
            <w:noWrap/>
            <w:vAlign w:val="bottom"/>
            <w:hideMark/>
          </w:tcPr>
          <w:p w14:paraId="65089FC5"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349.83</w:t>
            </w:r>
          </w:p>
        </w:tc>
        <w:tc>
          <w:tcPr>
            <w:tcW w:w="810" w:type="dxa"/>
            <w:tcBorders>
              <w:top w:val="nil"/>
              <w:left w:val="nil"/>
              <w:bottom w:val="single" w:sz="4" w:space="0" w:color="auto"/>
              <w:right w:val="single" w:sz="4" w:space="0" w:color="auto"/>
            </w:tcBorders>
            <w:shd w:val="clear" w:color="auto" w:fill="auto"/>
            <w:noWrap/>
            <w:vAlign w:val="bottom"/>
            <w:hideMark/>
          </w:tcPr>
          <w:p w14:paraId="16E6427A"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523.01</w:t>
            </w:r>
          </w:p>
        </w:tc>
        <w:tc>
          <w:tcPr>
            <w:tcW w:w="900" w:type="dxa"/>
            <w:tcBorders>
              <w:top w:val="nil"/>
              <w:left w:val="nil"/>
              <w:bottom w:val="single" w:sz="4" w:space="0" w:color="auto"/>
              <w:right w:val="single" w:sz="4" w:space="0" w:color="auto"/>
            </w:tcBorders>
            <w:shd w:val="clear" w:color="auto" w:fill="auto"/>
            <w:noWrap/>
            <w:vAlign w:val="bottom"/>
            <w:hideMark/>
          </w:tcPr>
          <w:p w14:paraId="1A910A1B"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344.55</w:t>
            </w:r>
          </w:p>
        </w:tc>
        <w:tc>
          <w:tcPr>
            <w:tcW w:w="1170" w:type="dxa"/>
            <w:tcBorders>
              <w:top w:val="nil"/>
              <w:left w:val="nil"/>
              <w:bottom w:val="single" w:sz="4" w:space="0" w:color="auto"/>
              <w:right w:val="single" w:sz="4" w:space="0" w:color="auto"/>
            </w:tcBorders>
            <w:shd w:val="clear" w:color="auto" w:fill="auto"/>
            <w:noWrap/>
            <w:vAlign w:val="bottom"/>
            <w:hideMark/>
          </w:tcPr>
          <w:p w14:paraId="493D61BC"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213.25</w:t>
            </w:r>
          </w:p>
        </w:tc>
        <w:tc>
          <w:tcPr>
            <w:tcW w:w="990" w:type="dxa"/>
            <w:tcBorders>
              <w:top w:val="nil"/>
              <w:left w:val="nil"/>
              <w:bottom w:val="single" w:sz="4" w:space="0" w:color="auto"/>
              <w:right w:val="single" w:sz="4" w:space="0" w:color="auto"/>
            </w:tcBorders>
            <w:shd w:val="clear" w:color="auto" w:fill="auto"/>
            <w:noWrap/>
            <w:vAlign w:val="bottom"/>
            <w:hideMark/>
          </w:tcPr>
          <w:p w14:paraId="52DB3E6A"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326.33</w:t>
            </w:r>
          </w:p>
        </w:tc>
        <w:tc>
          <w:tcPr>
            <w:tcW w:w="1170" w:type="dxa"/>
            <w:tcBorders>
              <w:top w:val="nil"/>
              <w:left w:val="nil"/>
              <w:bottom w:val="single" w:sz="4" w:space="0" w:color="auto"/>
              <w:right w:val="single" w:sz="4" w:space="0" w:color="auto"/>
            </w:tcBorders>
            <w:shd w:val="clear" w:color="auto" w:fill="auto"/>
            <w:noWrap/>
            <w:vAlign w:val="bottom"/>
            <w:hideMark/>
          </w:tcPr>
          <w:p w14:paraId="3FF64F89"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4,320.31</w:t>
            </w:r>
          </w:p>
        </w:tc>
        <w:tc>
          <w:tcPr>
            <w:tcW w:w="900" w:type="dxa"/>
            <w:tcBorders>
              <w:top w:val="nil"/>
              <w:left w:val="nil"/>
              <w:bottom w:val="single" w:sz="4" w:space="0" w:color="auto"/>
              <w:right w:val="single" w:sz="4" w:space="0" w:color="auto"/>
            </w:tcBorders>
            <w:shd w:val="clear" w:color="auto" w:fill="auto"/>
            <w:noWrap/>
            <w:vAlign w:val="bottom"/>
            <w:hideMark/>
          </w:tcPr>
          <w:p w14:paraId="67560B3E"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23.96</w:t>
            </w:r>
          </w:p>
        </w:tc>
      </w:tr>
      <w:tr w:rsidR="0004071A" w:rsidRPr="009A27ED" w14:paraId="09F5DB7E" w14:textId="77777777" w:rsidTr="00F92AAD">
        <w:trPr>
          <w:trHeight w:val="300"/>
        </w:trPr>
        <w:tc>
          <w:tcPr>
            <w:tcW w:w="1072" w:type="dxa"/>
            <w:tcBorders>
              <w:top w:val="nil"/>
              <w:left w:val="single" w:sz="4" w:space="0" w:color="auto"/>
              <w:bottom w:val="single" w:sz="4" w:space="0" w:color="auto"/>
              <w:right w:val="single" w:sz="4" w:space="0" w:color="auto"/>
            </w:tcBorders>
            <w:shd w:val="clear" w:color="auto" w:fill="auto"/>
            <w:noWrap/>
            <w:hideMark/>
          </w:tcPr>
          <w:p w14:paraId="19A43307" w14:textId="77777777" w:rsidR="0004071A" w:rsidRPr="009A27ED" w:rsidRDefault="0004071A" w:rsidP="00AF66E5">
            <w:pPr>
              <w:spacing w:after="0"/>
              <w:rPr>
                <w:rFonts w:eastAsia="Times New Roman"/>
                <w:b/>
                <w:bCs/>
                <w:color w:val="000000"/>
                <w:sz w:val="20"/>
                <w:szCs w:val="20"/>
                <w:lang w:val="en-US"/>
              </w:rPr>
            </w:pPr>
            <w:r w:rsidRPr="009A27ED">
              <w:rPr>
                <w:sz w:val="20"/>
                <w:szCs w:val="20"/>
                <w:lang w:val="es-MX"/>
              </w:rPr>
              <w:t>Área 4</w:t>
            </w:r>
          </w:p>
        </w:tc>
        <w:tc>
          <w:tcPr>
            <w:tcW w:w="777" w:type="dxa"/>
            <w:tcBorders>
              <w:top w:val="nil"/>
              <w:left w:val="nil"/>
              <w:bottom w:val="single" w:sz="4" w:space="0" w:color="auto"/>
              <w:right w:val="single" w:sz="4" w:space="0" w:color="auto"/>
            </w:tcBorders>
            <w:shd w:val="clear" w:color="auto" w:fill="auto"/>
            <w:noWrap/>
            <w:vAlign w:val="bottom"/>
            <w:hideMark/>
          </w:tcPr>
          <w:p w14:paraId="4B46594D"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96.45</w:t>
            </w:r>
          </w:p>
        </w:tc>
        <w:tc>
          <w:tcPr>
            <w:tcW w:w="933" w:type="dxa"/>
            <w:tcBorders>
              <w:top w:val="nil"/>
              <w:left w:val="nil"/>
              <w:bottom w:val="single" w:sz="4" w:space="0" w:color="auto"/>
              <w:right w:val="single" w:sz="4" w:space="0" w:color="auto"/>
            </w:tcBorders>
            <w:shd w:val="clear" w:color="auto" w:fill="auto"/>
            <w:noWrap/>
            <w:vAlign w:val="bottom"/>
            <w:hideMark/>
          </w:tcPr>
          <w:p w14:paraId="64DCBCEE"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114.27</w:t>
            </w:r>
          </w:p>
        </w:tc>
        <w:tc>
          <w:tcPr>
            <w:tcW w:w="810" w:type="dxa"/>
            <w:tcBorders>
              <w:top w:val="nil"/>
              <w:left w:val="nil"/>
              <w:bottom w:val="single" w:sz="4" w:space="0" w:color="auto"/>
              <w:right w:val="single" w:sz="4" w:space="0" w:color="auto"/>
            </w:tcBorders>
            <w:shd w:val="clear" w:color="auto" w:fill="auto"/>
            <w:noWrap/>
            <w:vAlign w:val="bottom"/>
            <w:hideMark/>
          </w:tcPr>
          <w:p w14:paraId="0348EE20"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103.28</w:t>
            </w:r>
          </w:p>
        </w:tc>
        <w:tc>
          <w:tcPr>
            <w:tcW w:w="900" w:type="dxa"/>
            <w:tcBorders>
              <w:top w:val="nil"/>
              <w:left w:val="nil"/>
              <w:bottom w:val="single" w:sz="4" w:space="0" w:color="auto"/>
              <w:right w:val="single" w:sz="4" w:space="0" w:color="auto"/>
            </w:tcBorders>
            <w:shd w:val="clear" w:color="auto" w:fill="auto"/>
            <w:noWrap/>
            <w:vAlign w:val="bottom"/>
            <w:hideMark/>
          </w:tcPr>
          <w:p w14:paraId="1FE3F82D"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81.58</w:t>
            </w:r>
          </w:p>
        </w:tc>
        <w:tc>
          <w:tcPr>
            <w:tcW w:w="1170" w:type="dxa"/>
            <w:tcBorders>
              <w:top w:val="nil"/>
              <w:left w:val="nil"/>
              <w:bottom w:val="single" w:sz="4" w:space="0" w:color="auto"/>
              <w:right w:val="single" w:sz="4" w:space="0" w:color="auto"/>
            </w:tcBorders>
            <w:shd w:val="clear" w:color="auto" w:fill="auto"/>
            <w:noWrap/>
            <w:vAlign w:val="bottom"/>
            <w:hideMark/>
          </w:tcPr>
          <w:p w14:paraId="07B492D2"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183.10</w:t>
            </w:r>
          </w:p>
        </w:tc>
        <w:tc>
          <w:tcPr>
            <w:tcW w:w="990" w:type="dxa"/>
            <w:tcBorders>
              <w:top w:val="nil"/>
              <w:left w:val="nil"/>
              <w:bottom w:val="single" w:sz="4" w:space="0" w:color="auto"/>
              <w:right w:val="single" w:sz="4" w:space="0" w:color="auto"/>
            </w:tcBorders>
            <w:shd w:val="clear" w:color="auto" w:fill="auto"/>
            <w:noWrap/>
            <w:vAlign w:val="bottom"/>
            <w:hideMark/>
          </w:tcPr>
          <w:p w14:paraId="35713CCF"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239.77</w:t>
            </w:r>
          </w:p>
        </w:tc>
        <w:tc>
          <w:tcPr>
            <w:tcW w:w="1170" w:type="dxa"/>
            <w:tcBorders>
              <w:top w:val="nil"/>
              <w:left w:val="nil"/>
              <w:bottom w:val="single" w:sz="4" w:space="0" w:color="auto"/>
              <w:right w:val="single" w:sz="4" w:space="0" w:color="auto"/>
            </w:tcBorders>
            <w:shd w:val="clear" w:color="auto" w:fill="auto"/>
            <w:noWrap/>
            <w:vAlign w:val="bottom"/>
            <w:hideMark/>
          </w:tcPr>
          <w:p w14:paraId="5436A5B8"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575.95</w:t>
            </w:r>
          </w:p>
        </w:tc>
        <w:tc>
          <w:tcPr>
            <w:tcW w:w="900" w:type="dxa"/>
            <w:tcBorders>
              <w:top w:val="nil"/>
              <w:left w:val="nil"/>
              <w:bottom w:val="single" w:sz="4" w:space="0" w:color="auto"/>
              <w:right w:val="single" w:sz="4" w:space="0" w:color="auto"/>
            </w:tcBorders>
            <w:shd w:val="clear" w:color="auto" w:fill="auto"/>
            <w:noWrap/>
            <w:vAlign w:val="bottom"/>
            <w:hideMark/>
          </w:tcPr>
          <w:p w14:paraId="4F80597C"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66.49</w:t>
            </w:r>
          </w:p>
        </w:tc>
      </w:tr>
      <w:tr w:rsidR="0004071A" w:rsidRPr="009A27ED" w14:paraId="758649FE" w14:textId="77777777" w:rsidTr="00F92AAD">
        <w:trPr>
          <w:trHeight w:val="300"/>
        </w:trPr>
        <w:tc>
          <w:tcPr>
            <w:tcW w:w="1072" w:type="dxa"/>
            <w:tcBorders>
              <w:top w:val="nil"/>
              <w:left w:val="single" w:sz="4" w:space="0" w:color="auto"/>
              <w:bottom w:val="single" w:sz="4" w:space="0" w:color="auto"/>
              <w:right w:val="single" w:sz="4" w:space="0" w:color="auto"/>
            </w:tcBorders>
            <w:shd w:val="clear" w:color="auto" w:fill="auto"/>
            <w:noWrap/>
            <w:hideMark/>
          </w:tcPr>
          <w:p w14:paraId="37F22466" w14:textId="77777777" w:rsidR="0004071A" w:rsidRPr="009A27ED" w:rsidRDefault="0004071A" w:rsidP="00AF66E5">
            <w:pPr>
              <w:spacing w:after="0"/>
              <w:rPr>
                <w:rFonts w:eastAsia="Times New Roman"/>
                <w:b/>
                <w:bCs/>
                <w:color w:val="000000"/>
                <w:sz w:val="20"/>
                <w:szCs w:val="20"/>
                <w:lang w:val="en-US"/>
              </w:rPr>
            </w:pPr>
            <w:r w:rsidRPr="009A27ED">
              <w:rPr>
                <w:sz w:val="20"/>
                <w:szCs w:val="20"/>
                <w:lang w:val="es-MX"/>
              </w:rPr>
              <w:t>Área 5</w:t>
            </w:r>
          </w:p>
        </w:tc>
        <w:tc>
          <w:tcPr>
            <w:tcW w:w="777" w:type="dxa"/>
            <w:tcBorders>
              <w:top w:val="nil"/>
              <w:left w:val="nil"/>
              <w:bottom w:val="single" w:sz="4" w:space="0" w:color="auto"/>
              <w:right w:val="single" w:sz="4" w:space="0" w:color="auto"/>
            </w:tcBorders>
            <w:shd w:val="clear" w:color="auto" w:fill="auto"/>
            <w:noWrap/>
            <w:vAlign w:val="bottom"/>
            <w:hideMark/>
          </w:tcPr>
          <w:p w14:paraId="5F6B3CA9"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0.00</w:t>
            </w:r>
          </w:p>
        </w:tc>
        <w:tc>
          <w:tcPr>
            <w:tcW w:w="933" w:type="dxa"/>
            <w:tcBorders>
              <w:top w:val="nil"/>
              <w:left w:val="nil"/>
              <w:bottom w:val="single" w:sz="4" w:space="0" w:color="auto"/>
              <w:right w:val="single" w:sz="4" w:space="0" w:color="auto"/>
            </w:tcBorders>
            <w:shd w:val="clear" w:color="auto" w:fill="auto"/>
            <w:noWrap/>
            <w:vAlign w:val="bottom"/>
            <w:hideMark/>
          </w:tcPr>
          <w:p w14:paraId="300316E8"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113.84</w:t>
            </w:r>
          </w:p>
        </w:tc>
        <w:tc>
          <w:tcPr>
            <w:tcW w:w="810" w:type="dxa"/>
            <w:tcBorders>
              <w:top w:val="nil"/>
              <w:left w:val="nil"/>
              <w:bottom w:val="single" w:sz="4" w:space="0" w:color="auto"/>
              <w:right w:val="single" w:sz="4" w:space="0" w:color="auto"/>
            </w:tcBorders>
            <w:shd w:val="clear" w:color="auto" w:fill="auto"/>
            <w:noWrap/>
            <w:vAlign w:val="bottom"/>
            <w:hideMark/>
          </w:tcPr>
          <w:p w14:paraId="01929143"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162.05</w:t>
            </w:r>
          </w:p>
        </w:tc>
        <w:tc>
          <w:tcPr>
            <w:tcW w:w="900" w:type="dxa"/>
            <w:tcBorders>
              <w:top w:val="nil"/>
              <w:left w:val="nil"/>
              <w:bottom w:val="single" w:sz="4" w:space="0" w:color="auto"/>
              <w:right w:val="single" w:sz="4" w:space="0" w:color="auto"/>
            </w:tcBorders>
            <w:shd w:val="clear" w:color="auto" w:fill="auto"/>
            <w:noWrap/>
            <w:vAlign w:val="bottom"/>
            <w:hideMark/>
          </w:tcPr>
          <w:p w14:paraId="6EDB55AF"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50.79</w:t>
            </w:r>
          </w:p>
        </w:tc>
        <w:tc>
          <w:tcPr>
            <w:tcW w:w="1170" w:type="dxa"/>
            <w:tcBorders>
              <w:top w:val="nil"/>
              <w:left w:val="nil"/>
              <w:bottom w:val="single" w:sz="4" w:space="0" w:color="auto"/>
              <w:right w:val="single" w:sz="4" w:space="0" w:color="auto"/>
            </w:tcBorders>
            <w:shd w:val="clear" w:color="auto" w:fill="auto"/>
            <w:noWrap/>
            <w:vAlign w:val="bottom"/>
            <w:hideMark/>
          </w:tcPr>
          <w:p w14:paraId="6F730A11"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706.92</w:t>
            </w:r>
          </w:p>
        </w:tc>
        <w:tc>
          <w:tcPr>
            <w:tcW w:w="990" w:type="dxa"/>
            <w:tcBorders>
              <w:top w:val="nil"/>
              <w:left w:val="nil"/>
              <w:bottom w:val="single" w:sz="4" w:space="0" w:color="auto"/>
              <w:right w:val="single" w:sz="4" w:space="0" w:color="auto"/>
            </w:tcBorders>
            <w:shd w:val="clear" w:color="auto" w:fill="auto"/>
            <w:noWrap/>
            <w:vAlign w:val="bottom"/>
            <w:hideMark/>
          </w:tcPr>
          <w:p w14:paraId="2B561E58"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58.58</w:t>
            </w:r>
          </w:p>
        </w:tc>
        <w:tc>
          <w:tcPr>
            <w:tcW w:w="1170" w:type="dxa"/>
            <w:tcBorders>
              <w:top w:val="nil"/>
              <w:left w:val="nil"/>
              <w:bottom w:val="single" w:sz="4" w:space="0" w:color="auto"/>
              <w:right w:val="single" w:sz="4" w:space="0" w:color="auto"/>
            </w:tcBorders>
            <w:shd w:val="clear" w:color="auto" w:fill="auto"/>
            <w:noWrap/>
            <w:vAlign w:val="bottom"/>
            <w:hideMark/>
          </w:tcPr>
          <w:p w14:paraId="21D6ECAA"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1,203.53</w:t>
            </w:r>
          </w:p>
        </w:tc>
        <w:tc>
          <w:tcPr>
            <w:tcW w:w="900" w:type="dxa"/>
            <w:tcBorders>
              <w:top w:val="nil"/>
              <w:left w:val="nil"/>
              <w:bottom w:val="single" w:sz="4" w:space="0" w:color="auto"/>
              <w:right w:val="single" w:sz="4" w:space="0" w:color="auto"/>
            </w:tcBorders>
            <w:shd w:val="clear" w:color="auto" w:fill="auto"/>
            <w:noWrap/>
            <w:vAlign w:val="bottom"/>
            <w:hideMark/>
          </w:tcPr>
          <w:p w14:paraId="4D41EF4D"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11.08</w:t>
            </w:r>
          </w:p>
        </w:tc>
      </w:tr>
      <w:tr w:rsidR="0004071A" w:rsidRPr="009A27ED" w14:paraId="0C7383A1" w14:textId="77777777" w:rsidTr="00F92AAD">
        <w:trPr>
          <w:trHeight w:val="300"/>
        </w:trPr>
        <w:tc>
          <w:tcPr>
            <w:tcW w:w="1072" w:type="dxa"/>
            <w:tcBorders>
              <w:top w:val="nil"/>
              <w:left w:val="single" w:sz="4" w:space="0" w:color="auto"/>
              <w:bottom w:val="single" w:sz="4" w:space="0" w:color="auto"/>
              <w:right w:val="single" w:sz="4" w:space="0" w:color="auto"/>
            </w:tcBorders>
            <w:shd w:val="clear" w:color="auto" w:fill="auto"/>
            <w:noWrap/>
            <w:vAlign w:val="bottom"/>
            <w:hideMark/>
          </w:tcPr>
          <w:p w14:paraId="3BD17A21" w14:textId="77777777" w:rsidR="0004071A" w:rsidRPr="009A27ED" w:rsidRDefault="0004071A" w:rsidP="00AF66E5">
            <w:pPr>
              <w:spacing w:after="0"/>
              <w:rPr>
                <w:rFonts w:eastAsia="Times New Roman"/>
                <w:b/>
                <w:bCs/>
                <w:color w:val="000000"/>
                <w:sz w:val="20"/>
                <w:szCs w:val="20"/>
                <w:lang w:val="en-US"/>
              </w:rPr>
            </w:pPr>
            <w:r w:rsidRPr="009A27ED">
              <w:rPr>
                <w:rFonts w:eastAsia="Times New Roman"/>
                <w:b/>
                <w:bCs/>
                <w:color w:val="000000"/>
                <w:sz w:val="20"/>
                <w:szCs w:val="20"/>
                <w:lang w:val="en-US"/>
              </w:rPr>
              <w:t>TOTALES</w:t>
            </w:r>
          </w:p>
        </w:tc>
        <w:tc>
          <w:tcPr>
            <w:tcW w:w="777" w:type="dxa"/>
            <w:tcBorders>
              <w:top w:val="nil"/>
              <w:left w:val="nil"/>
              <w:bottom w:val="single" w:sz="4" w:space="0" w:color="auto"/>
              <w:right w:val="single" w:sz="4" w:space="0" w:color="auto"/>
            </w:tcBorders>
            <w:shd w:val="clear" w:color="auto" w:fill="auto"/>
            <w:noWrap/>
            <w:vAlign w:val="bottom"/>
            <w:hideMark/>
          </w:tcPr>
          <w:p w14:paraId="6E470A58" w14:textId="77777777" w:rsidR="0004071A" w:rsidRPr="009A27ED" w:rsidRDefault="0004071A" w:rsidP="00AF66E5">
            <w:pPr>
              <w:spacing w:after="0"/>
              <w:jc w:val="right"/>
              <w:rPr>
                <w:rFonts w:eastAsia="Times New Roman"/>
                <w:b/>
                <w:bCs/>
                <w:color w:val="000000"/>
                <w:sz w:val="20"/>
                <w:szCs w:val="20"/>
                <w:lang w:val="en-US"/>
              </w:rPr>
            </w:pPr>
            <w:r w:rsidRPr="009A27ED">
              <w:rPr>
                <w:rFonts w:eastAsia="Times New Roman"/>
                <w:b/>
                <w:bCs/>
                <w:color w:val="000000"/>
                <w:sz w:val="20"/>
                <w:szCs w:val="20"/>
                <w:lang w:val="en-US"/>
              </w:rPr>
              <w:t>100.66</w:t>
            </w:r>
          </w:p>
        </w:tc>
        <w:tc>
          <w:tcPr>
            <w:tcW w:w="933" w:type="dxa"/>
            <w:tcBorders>
              <w:top w:val="nil"/>
              <w:left w:val="nil"/>
              <w:bottom w:val="single" w:sz="4" w:space="0" w:color="auto"/>
              <w:right w:val="single" w:sz="4" w:space="0" w:color="auto"/>
            </w:tcBorders>
            <w:shd w:val="clear" w:color="auto" w:fill="auto"/>
            <w:noWrap/>
            <w:vAlign w:val="bottom"/>
            <w:hideMark/>
          </w:tcPr>
          <w:p w14:paraId="3664C150" w14:textId="77777777" w:rsidR="0004071A" w:rsidRPr="009A27ED" w:rsidRDefault="0004071A" w:rsidP="00AF66E5">
            <w:pPr>
              <w:spacing w:after="0"/>
              <w:jc w:val="right"/>
              <w:rPr>
                <w:rFonts w:eastAsia="Times New Roman"/>
                <w:b/>
                <w:bCs/>
                <w:color w:val="000000"/>
                <w:sz w:val="20"/>
                <w:szCs w:val="20"/>
                <w:lang w:val="en-US"/>
              </w:rPr>
            </w:pPr>
            <w:r w:rsidRPr="009A27ED">
              <w:rPr>
                <w:rFonts w:eastAsia="Times New Roman"/>
                <w:b/>
                <w:bCs/>
                <w:color w:val="000000"/>
                <w:sz w:val="20"/>
                <w:szCs w:val="20"/>
                <w:lang w:val="en-US"/>
              </w:rPr>
              <w:t>644.45</w:t>
            </w:r>
          </w:p>
        </w:tc>
        <w:tc>
          <w:tcPr>
            <w:tcW w:w="810" w:type="dxa"/>
            <w:tcBorders>
              <w:top w:val="nil"/>
              <w:left w:val="nil"/>
              <w:bottom w:val="single" w:sz="4" w:space="0" w:color="auto"/>
              <w:right w:val="single" w:sz="4" w:space="0" w:color="auto"/>
            </w:tcBorders>
            <w:shd w:val="clear" w:color="auto" w:fill="auto"/>
            <w:noWrap/>
            <w:vAlign w:val="bottom"/>
            <w:hideMark/>
          </w:tcPr>
          <w:p w14:paraId="5258F0E7" w14:textId="77777777" w:rsidR="0004071A" w:rsidRPr="009A27ED" w:rsidRDefault="0004071A" w:rsidP="00AF66E5">
            <w:pPr>
              <w:spacing w:after="0"/>
              <w:jc w:val="right"/>
              <w:rPr>
                <w:rFonts w:eastAsia="Times New Roman"/>
                <w:b/>
                <w:bCs/>
                <w:color w:val="000000"/>
                <w:sz w:val="20"/>
                <w:szCs w:val="20"/>
                <w:lang w:val="en-US"/>
              </w:rPr>
            </w:pPr>
            <w:r w:rsidRPr="009A27ED">
              <w:rPr>
                <w:rFonts w:eastAsia="Times New Roman"/>
                <w:b/>
                <w:bCs/>
                <w:color w:val="000000"/>
                <w:sz w:val="20"/>
                <w:szCs w:val="20"/>
                <w:lang w:val="en-US"/>
              </w:rPr>
              <w:t>927.57</w:t>
            </w:r>
          </w:p>
        </w:tc>
        <w:tc>
          <w:tcPr>
            <w:tcW w:w="900" w:type="dxa"/>
            <w:tcBorders>
              <w:top w:val="nil"/>
              <w:left w:val="nil"/>
              <w:bottom w:val="single" w:sz="4" w:space="0" w:color="auto"/>
              <w:right w:val="single" w:sz="4" w:space="0" w:color="auto"/>
            </w:tcBorders>
            <w:shd w:val="clear" w:color="auto" w:fill="auto"/>
            <w:noWrap/>
            <w:vAlign w:val="bottom"/>
            <w:hideMark/>
          </w:tcPr>
          <w:p w14:paraId="391EBBC3" w14:textId="77777777" w:rsidR="0004071A" w:rsidRPr="009A27ED" w:rsidRDefault="0004071A" w:rsidP="00AF66E5">
            <w:pPr>
              <w:spacing w:after="0"/>
              <w:jc w:val="right"/>
              <w:rPr>
                <w:rFonts w:eastAsia="Times New Roman"/>
                <w:b/>
                <w:bCs/>
                <w:color w:val="000000"/>
                <w:sz w:val="20"/>
                <w:szCs w:val="20"/>
                <w:lang w:val="en-US"/>
              </w:rPr>
            </w:pPr>
            <w:r w:rsidRPr="009A27ED">
              <w:rPr>
                <w:rFonts w:eastAsia="Times New Roman"/>
                <w:b/>
                <w:bCs/>
                <w:color w:val="000000"/>
                <w:sz w:val="20"/>
                <w:szCs w:val="20"/>
                <w:lang w:val="en-US"/>
              </w:rPr>
              <w:t>841.17</w:t>
            </w:r>
          </w:p>
        </w:tc>
        <w:tc>
          <w:tcPr>
            <w:tcW w:w="1170" w:type="dxa"/>
            <w:tcBorders>
              <w:top w:val="nil"/>
              <w:left w:val="nil"/>
              <w:bottom w:val="single" w:sz="4" w:space="0" w:color="auto"/>
              <w:right w:val="single" w:sz="4" w:space="0" w:color="auto"/>
            </w:tcBorders>
            <w:shd w:val="clear" w:color="auto" w:fill="auto"/>
            <w:noWrap/>
            <w:vAlign w:val="bottom"/>
            <w:hideMark/>
          </w:tcPr>
          <w:p w14:paraId="6B160C9E" w14:textId="77777777" w:rsidR="0004071A" w:rsidRPr="009A27ED" w:rsidRDefault="0004071A" w:rsidP="00AF66E5">
            <w:pPr>
              <w:spacing w:after="0"/>
              <w:jc w:val="right"/>
              <w:rPr>
                <w:rFonts w:eastAsia="Times New Roman"/>
                <w:b/>
                <w:bCs/>
                <w:color w:val="000000"/>
                <w:sz w:val="20"/>
                <w:szCs w:val="20"/>
                <w:lang w:val="en-US"/>
              </w:rPr>
            </w:pPr>
            <w:r w:rsidRPr="009A27ED">
              <w:rPr>
                <w:rFonts w:eastAsia="Times New Roman"/>
                <w:b/>
                <w:bCs/>
                <w:color w:val="000000"/>
                <w:sz w:val="20"/>
                <w:szCs w:val="20"/>
                <w:lang w:val="en-US"/>
              </w:rPr>
              <w:t>1,503.40</w:t>
            </w:r>
          </w:p>
        </w:tc>
        <w:tc>
          <w:tcPr>
            <w:tcW w:w="990" w:type="dxa"/>
            <w:tcBorders>
              <w:top w:val="nil"/>
              <w:left w:val="nil"/>
              <w:bottom w:val="single" w:sz="4" w:space="0" w:color="auto"/>
              <w:right w:val="single" w:sz="4" w:space="0" w:color="auto"/>
            </w:tcBorders>
            <w:shd w:val="clear" w:color="auto" w:fill="auto"/>
            <w:noWrap/>
            <w:vAlign w:val="bottom"/>
            <w:hideMark/>
          </w:tcPr>
          <w:p w14:paraId="47EEEF00" w14:textId="77777777" w:rsidR="0004071A" w:rsidRPr="009A27ED" w:rsidRDefault="0004071A" w:rsidP="00AF66E5">
            <w:pPr>
              <w:spacing w:after="0"/>
              <w:jc w:val="right"/>
              <w:rPr>
                <w:rFonts w:eastAsia="Times New Roman"/>
                <w:b/>
                <w:bCs/>
                <w:color w:val="000000"/>
                <w:sz w:val="20"/>
                <w:szCs w:val="20"/>
                <w:lang w:val="en-US"/>
              </w:rPr>
            </w:pPr>
            <w:r w:rsidRPr="009A27ED">
              <w:rPr>
                <w:rFonts w:eastAsia="Times New Roman"/>
                <w:b/>
                <w:bCs/>
                <w:color w:val="000000"/>
                <w:sz w:val="20"/>
                <w:szCs w:val="20"/>
                <w:lang w:val="en-US"/>
              </w:rPr>
              <w:t>862.26</w:t>
            </w:r>
          </w:p>
        </w:tc>
        <w:tc>
          <w:tcPr>
            <w:tcW w:w="1170" w:type="dxa"/>
            <w:tcBorders>
              <w:top w:val="nil"/>
              <w:left w:val="nil"/>
              <w:bottom w:val="single" w:sz="4" w:space="0" w:color="auto"/>
              <w:right w:val="single" w:sz="4" w:space="0" w:color="auto"/>
            </w:tcBorders>
            <w:shd w:val="clear" w:color="auto" w:fill="auto"/>
            <w:noWrap/>
            <w:vAlign w:val="bottom"/>
            <w:hideMark/>
          </w:tcPr>
          <w:p w14:paraId="3453B887" w14:textId="77777777" w:rsidR="0004071A" w:rsidRPr="009A27ED" w:rsidRDefault="0004071A" w:rsidP="00AF66E5">
            <w:pPr>
              <w:spacing w:after="0"/>
              <w:jc w:val="right"/>
              <w:rPr>
                <w:rFonts w:eastAsia="Times New Roman"/>
                <w:b/>
                <w:bCs/>
                <w:color w:val="000000"/>
                <w:sz w:val="20"/>
                <w:szCs w:val="20"/>
                <w:lang w:val="en-US"/>
              </w:rPr>
            </w:pPr>
            <w:r w:rsidRPr="009A27ED">
              <w:rPr>
                <w:rFonts w:eastAsia="Times New Roman"/>
                <w:b/>
                <w:bCs/>
                <w:color w:val="000000"/>
                <w:sz w:val="20"/>
                <w:szCs w:val="20"/>
                <w:lang w:val="en-US"/>
              </w:rPr>
              <w:t>10,098.79</w:t>
            </w:r>
          </w:p>
        </w:tc>
        <w:tc>
          <w:tcPr>
            <w:tcW w:w="900" w:type="dxa"/>
            <w:tcBorders>
              <w:top w:val="nil"/>
              <w:left w:val="nil"/>
              <w:bottom w:val="single" w:sz="4" w:space="0" w:color="auto"/>
              <w:right w:val="single" w:sz="4" w:space="0" w:color="auto"/>
            </w:tcBorders>
            <w:shd w:val="clear" w:color="auto" w:fill="auto"/>
            <w:noWrap/>
            <w:vAlign w:val="bottom"/>
            <w:hideMark/>
          </w:tcPr>
          <w:p w14:paraId="0ADAF19B" w14:textId="77777777" w:rsidR="0004071A" w:rsidRPr="009A27ED" w:rsidRDefault="0004071A" w:rsidP="00F92AAD">
            <w:pPr>
              <w:keepNext/>
              <w:spacing w:after="0"/>
              <w:jc w:val="right"/>
              <w:rPr>
                <w:rFonts w:eastAsia="Times New Roman"/>
                <w:b/>
                <w:bCs/>
                <w:color w:val="000000"/>
                <w:sz w:val="20"/>
                <w:szCs w:val="20"/>
                <w:lang w:val="en-US"/>
              </w:rPr>
            </w:pPr>
            <w:r w:rsidRPr="009A27ED">
              <w:rPr>
                <w:rFonts w:eastAsia="Times New Roman"/>
                <w:b/>
                <w:bCs/>
                <w:color w:val="000000"/>
                <w:sz w:val="20"/>
                <w:szCs w:val="20"/>
                <w:lang w:val="en-US"/>
              </w:rPr>
              <w:t>202.60</w:t>
            </w:r>
          </w:p>
        </w:tc>
      </w:tr>
    </w:tbl>
    <w:p w14:paraId="3B9228CA" w14:textId="2B397EAD" w:rsidR="0004071A" w:rsidRPr="009A27ED" w:rsidRDefault="0004071A" w:rsidP="00E67CB0">
      <w:pPr>
        <w:pStyle w:val="Prrafodelista"/>
        <w:numPr>
          <w:ilvl w:val="0"/>
          <w:numId w:val="295"/>
        </w:numPr>
        <w:spacing w:before="120" w:after="0" w:line="360" w:lineRule="auto"/>
        <w:rPr>
          <w:b/>
          <w:szCs w:val="22"/>
          <w:lang w:val="es-MX"/>
        </w:rPr>
      </w:pPr>
      <w:r w:rsidRPr="009A27ED">
        <w:rPr>
          <w:rFonts w:ascii="Times New Roman" w:eastAsia="Times New Roman" w:hAnsi="Times New Roman"/>
          <w:b/>
          <w:sz w:val="24"/>
          <w:szCs w:val="22"/>
          <w:lang w:val="es-MX"/>
        </w:rPr>
        <w:t>Condiciones Climáticas</w:t>
      </w:r>
    </w:p>
    <w:p w14:paraId="6CC9EADA" w14:textId="2CD10E2E" w:rsidR="0049512C" w:rsidRPr="009A27ED" w:rsidRDefault="0004071A" w:rsidP="005B6485">
      <w:pPr>
        <w:spacing w:before="120" w:after="0" w:line="360" w:lineRule="auto"/>
        <w:rPr>
          <w:b/>
          <w:bCs/>
          <w:iCs/>
          <w:szCs w:val="22"/>
        </w:rPr>
      </w:pPr>
      <w:r w:rsidRPr="009A27ED">
        <w:rPr>
          <w:rFonts w:ascii="Times New Roman" w:eastAsia="Times New Roman" w:hAnsi="Times New Roman"/>
          <w:bCs/>
          <w:iCs/>
          <w:sz w:val="24"/>
          <w:szCs w:val="22"/>
        </w:rPr>
        <w:t xml:space="preserve">La temperatura media anual al nivel del mar es de 25°C, con pequeñas variaciones estacionales. La precipitación media anual varía en forma drástica de 455 mm en la Hoya de Enriquillo (Valle de </w:t>
      </w:r>
      <w:proofErr w:type="spellStart"/>
      <w:r w:rsidRPr="009A27ED">
        <w:rPr>
          <w:rFonts w:ascii="Times New Roman" w:eastAsia="Times New Roman" w:hAnsi="Times New Roman"/>
          <w:bCs/>
          <w:iCs/>
          <w:sz w:val="24"/>
          <w:szCs w:val="22"/>
        </w:rPr>
        <w:t>Neyba</w:t>
      </w:r>
      <w:proofErr w:type="spellEnd"/>
      <w:r w:rsidRPr="009A27ED">
        <w:rPr>
          <w:rFonts w:ascii="Times New Roman" w:eastAsia="Times New Roman" w:hAnsi="Times New Roman"/>
          <w:bCs/>
          <w:iCs/>
          <w:sz w:val="24"/>
          <w:szCs w:val="22"/>
        </w:rPr>
        <w:t>) a 2,743 mm a lo largo de la costa noreste. La distribución geográfica y estacional de las lluvias es errática. Existen dos estaciones de lluvias: la de abril a junio y la de septiembre a noviembre, generalmente el período de diciembre a marzo es el menos lluvioso.</w:t>
      </w:r>
      <w:r w:rsidR="004630BE" w:rsidRPr="009A27ED">
        <w:rPr>
          <w:rFonts w:ascii="Times New Roman" w:eastAsia="Times New Roman" w:hAnsi="Times New Roman"/>
          <w:bCs/>
          <w:iCs/>
          <w:sz w:val="24"/>
          <w:szCs w:val="22"/>
        </w:rPr>
        <w:t xml:space="preserve"> </w:t>
      </w:r>
      <w:r w:rsidRPr="009A27ED">
        <w:rPr>
          <w:rFonts w:ascii="Times New Roman" w:eastAsia="Times New Roman" w:hAnsi="Times New Roman"/>
          <w:bCs/>
          <w:iCs/>
          <w:sz w:val="24"/>
          <w:szCs w:val="22"/>
        </w:rPr>
        <w:t xml:space="preserve">La </w:t>
      </w:r>
      <w:r w:rsidR="00F92AAD" w:rsidRPr="009A27ED">
        <w:rPr>
          <w:rFonts w:ascii="Times New Roman" w:eastAsia="Times New Roman" w:hAnsi="Times New Roman"/>
          <w:bCs/>
          <w:iCs/>
          <w:sz w:val="24"/>
          <w:szCs w:val="22"/>
        </w:rPr>
        <w:t>República Dominicana</w:t>
      </w:r>
      <w:r w:rsidRPr="009A27ED">
        <w:rPr>
          <w:rFonts w:ascii="Times New Roman" w:eastAsia="Times New Roman" w:hAnsi="Times New Roman"/>
          <w:bCs/>
          <w:iCs/>
          <w:sz w:val="24"/>
          <w:szCs w:val="22"/>
        </w:rPr>
        <w:t xml:space="preserve"> se encuentra en una región caracterizada por tormentas tropicales y el paso de huracanes entre los meses de agosto y noviembre.</w:t>
      </w:r>
      <w:r w:rsidR="00BF5178" w:rsidRPr="009A27ED">
        <w:rPr>
          <w:rFonts w:ascii="Times New Roman" w:eastAsia="Times New Roman" w:hAnsi="Times New Roman"/>
          <w:bCs/>
          <w:iCs/>
          <w:sz w:val="24"/>
        </w:rPr>
        <w:t xml:space="preserve"> </w:t>
      </w:r>
    </w:p>
    <w:p w14:paraId="0F311420" w14:textId="6CAC2963" w:rsidR="0004071A" w:rsidRPr="009A27ED" w:rsidRDefault="0004071A" w:rsidP="00E67CB0">
      <w:pPr>
        <w:pStyle w:val="Prrafodelista"/>
        <w:numPr>
          <w:ilvl w:val="0"/>
          <w:numId w:val="295"/>
        </w:numPr>
        <w:spacing w:before="120" w:after="0" w:line="360" w:lineRule="auto"/>
        <w:rPr>
          <w:b/>
          <w:bCs/>
          <w:iCs/>
          <w:szCs w:val="22"/>
        </w:rPr>
      </w:pPr>
      <w:r w:rsidRPr="009A27ED">
        <w:rPr>
          <w:rFonts w:ascii="Times New Roman" w:eastAsia="Times New Roman" w:hAnsi="Times New Roman"/>
          <w:b/>
          <w:bCs/>
          <w:iCs/>
          <w:sz w:val="24"/>
          <w:szCs w:val="22"/>
        </w:rPr>
        <w:t xml:space="preserve">Precipitaciones </w:t>
      </w:r>
    </w:p>
    <w:p w14:paraId="7743D12E" w14:textId="5BB9C5B6" w:rsidR="0004071A" w:rsidRPr="009A27ED" w:rsidRDefault="0004071A" w:rsidP="005B6485">
      <w:pPr>
        <w:spacing w:before="120" w:after="0" w:line="360" w:lineRule="auto"/>
        <w:rPr>
          <w:bCs/>
          <w:iCs/>
          <w:szCs w:val="22"/>
        </w:rPr>
      </w:pPr>
      <w:r w:rsidRPr="009A27ED">
        <w:rPr>
          <w:rFonts w:ascii="Times New Roman" w:eastAsia="Times New Roman" w:hAnsi="Times New Roman"/>
          <w:bCs/>
          <w:iCs/>
          <w:sz w:val="24"/>
          <w:szCs w:val="22"/>
        </w:rPr>
        <w:t>Al Nordeste de la Cordillera Central y en las provincias María Trinidad Sánchez y Espaillat, se ubican las áreas con precipitación mayor o igual a 2,400 mm, llegando a superar los 3000 mm en la zona de Loma Quita Espuela. El rango de precipitación, que varía entre 1,200 mm y 2,400 mm, se ubica en la zona de Los Haitises, Bajo Yuna, en la región Este de la Cordillera Oriental, la Llanura Costera de Miches y Sabana de la Mar, así como en la región Suroeste en la Hoya de Enriquillo, la Sierra de Neiba, Hondo Valle en la provincia Elías Piña.</w:t>
      </w:r>
    </w:p>
    <w:p w14:paraId="7FBCB849" w14:textId="77777777" w:rsidR="0004071A" w:rsidRPr="009A27ED" w:rsidRDefault="0004071A" w:rsidP="005B6485">
      <w:pPr>
        <w:spacing w:before="120" w:after="0" w:line="360" w:lineRule="auto"/>
        <w:rPr>
          <w:bCs/>
          <w:iCs/>
          <w:szCs w:val="22"/>
        </w:rPr>
      </w:pPr>
      <w:r w:rsidRPr="009A27ED">
        <w:rPr>
          <w:rFonts w:ascii="Times New Roman" w:eastAsia="Times New Roman" w:hAnsi="Times New Roman"/>
          <w:bCs/>
          <w:iCs/>
          <w:sz w:val="24"/>
          <w:szCs w:val="22"/>
        </w:rPr>
        <w:t xml:space="preserve">Los valores de precipitación entre 800 mm y 1,200 mm se registran en la región Suroeste, específicamente en el Valle de San Juan de la Maguana, la Llanura de Azua y en la Hoya de Enriquillo. También se presentan en la región Noroeste, en el Valle del Cibao, en las provincias de Dajabón, Santiago Rodríguez y Santiago. </w:t>
      </w:r>
    </w:p>
    <w:p w14:paraId="05F6BBFD" w14:textId="77777777" w:rsidR="0004071A" w:rsidRPr="009A27ED" w:rsidRDefault="0004071A" w:rsidP="005B6485">
      <w:pPr>
        <w:spacing w:before="120" w:after="0" w:line="360" w:lineRule="auto"/>
        <w:rPr>
          <w:bCs/>
          <w:iCs/>
          <w:szCs w:val="22"/>
        </w:rPr>
      </w:pPr>
      <w:r w:rsidRPr="009A27ED">
        <w:rPr>
          <w:rFonts w:ascii="Times New Roman" w:eastAsia="Times New Roman" w:hAnsi="Times New Roman"/>
          <w:bCs/>
          <w:iCs/>
          <w:sz w:val="24"/>
          <w:szCs w:val="22"/>
        </w:rPr>
        <w:t xml:space="preserve">Los valores pluviométricos más bajos están en el rango igual o por debajo de los 800 mm en las regiones Suroeste y Noroeste del país. En el Suroeste, en la provincia de Pedernales, al sur de la Sierra de Bahoruco, en Cabo Rojo, Bahía de las Águilas y el Parque Nacional Jaragua.  En la región Noroeste, estas precipitaciones predominan en el Valle Occidental del Cibao, como es el caso de las provincias de Monte Cristi, Valverde, Santiago Rodríguez y Santiago. </w:t>
      </w:r>
    </w:p>
    <w:p w14:paraId="659688F0" w14:textId="77777777" w:rsidR="0004071A" w:rsidRPr="009A27ED" w:rsidRDefault="0004071A" w:rsidP="005B6485">
      <w:pPr>
        <w:spacing w:before="120" w:after="0" w:line="360" w:lineRule="auto"/>
        <w:rPr>
          <w:bCs/>
          <w:iCs/>
        </w:rPr>
      </w:pPr>
      <w:r w:rsidRPr="009A27ED">
        <w:rPr>
          <w:rFonts w:ascii="Times New Roman" w:eastAsia="Times New Roman" w:hAnsi="Times New Roman"/>
          <w:bCs/>
          <w:iCs/>
          <w:sz w:val="24"/>
          <w:szCs w:val="22"/>
        </w:rPr>
        <w:lastRenderedPageBreak/>
        <w:t>Las precipitaciones medias más bajas del país se registran en un rango de 400 mm a 600 mm en algunas áreas bajas, principalmente en Cabo Rojo, Pedernales, Duvergé, provincias Independencia y Azua, en Tamayo, provincia Bahoruco y en Palo Verde, provincia Monte Cristi.</w:t>
      </w:r>
    </w:p>
    <w:p w14:paraId="5B104996" w14:textId="27BA796E" w:rsidR="0004071A" w:rsidRPr="009A27ED" w:rsidRDefault="0004071A" w:rsidP="00E67CB0">
      <w:pPr>
        <w:pStyle w:val="Prrafodelista"/>
        <w:numPr>
          <w:ilvl w:val="0"/>
          <w:numId w:val="295"/>
        </w:numPr>
        <w:spacing w:before="120" w:after="0" w:line="360" w:lineRule="auto"/>
        <w:rPr>
          <w:b/>
          <w:bCs/>
          <w:iCs/>
          <w:szCs w:val="22"/>
        </w:rPr>
      </w:pPr>
      <w:r w:rsidRPr="009A27ED">
        <w:rPr>
          <w:rFonts w:ascii="Times New Roman" w:eastAsia="Times New Roman" w:hAnsi="Times New Roman"/>
          <w:b/>
          <w:bCs/>
          <w:iCs/>
          <w:sz w:val="24"/>
          <w:szCs w:val="22"/>
        </w:rPr>
        <w:t>Fenómenos climáticos extremos</w:t>
      </w:r>
    </w:p>
    <w:p w14:paraId="31ADE835" w14:textId="19439E57" w:rsidR="0004071A" w:rsidRPr="009A27ED" w:rsidRDefault="0004071A" w:rsidP="005B6485">
      <w:pPr>
        <w:spacing w:before="120" w:after="0" w:line="360" w:lineRule="auto"/>
        <w:rPr>
          <w:bCs/>
          <w:iCs/>
          <w:szCs w:val="22"/>
        </w:rPr>
      </w:pPr>
      <w:r w:rsidRPr="009A27ED">
        <w:rPr>
          <w:rFonts w:ascii="Times New Roman" w:eastAsia="Times New Roman" w:hAnsi="Times New Roman"/>
          <w:bCs/>
          <w:iCs/>
          <w:sz w:val="24"/>
          <w:szCs w:val="22"/>
        </w:rPr>
        <w:t>En los últimos 20 años la República Dominicana se ha visto impactada por más de 20 fenómenos atmosféricos extremos, entre tormentas tropicales, fuertes precipitaciones, huracanes y sequias, según se describe en</w:t>
      </w:r>
      <w:r w:rsidR="004B7076" w:rsidRPr="009A27ED">
        <w:rPr>
          <w:rFonts w:ascii="Times New Roman" w:eastAsia="Times New Roman" w:hAnsi="Times New Roman"/>
          <w:bCs/>
          <w:iCs/>
          <w:sz w:val="24"/>
          <w:szCs w:val="22"/>
        </w:rPr>
        <w:t xml:space="preserve"> </w:t>
      </w:r>
      <w:r w:rsidR="0029609D" w:rsidRPr="009A27ED">
        <w:rPr>
          <w:rFonts w:ascii="Times New Roman" w:eastAsia="Times New Roman" w:hAnsi="Times New Roman"/>
          <w:bCs/>
          <w:iCs/>
          <w:sz w:val="24"/>
          <w:szCs w:val="22"/>
        </w:rPr>
        <w:t>el siguiente cuadro</w:t>
      </w:r>
      <w:r w:rsidR="002F3F2C" w:rsidRPr="009A27ED">
        <w:rPr>
          <w:rFonts w:ascii="Times New Roman" w:eastAsia="Times New Roman" w:hAnsi="Times New Roman"/>
          <w:bCs/>
          <w:iCs/>
          <w:sz w:val="24"/>
          <w:szCs w:val="22"/>
        </w:rPr>
        <w:t>:</w:t>
      </w:r>
    </w:p>
    <w:p w14:paraId="16663E85" w14:textId="77777777" w:rsidR="00B90A11" w:rsidRPr="009A27ED" w:rsidRDefault="00B90A11" w:rsidP="00B90A11">
      <w:pPr>
        <w:pStyle w:val="Descripcin"/>
        <w:spacing w:line="360" w:lineRule="auto"/>
        <w:rPr>
          <w:color w:val="000000" w:themeColor="text1"/>
          <w:sz w:val="20"/>
        </w:rPr>
      </w:pPr>
    </w:p>
    <w:p w14:paraId="521E2DDF" w14:textId="16F829A4" w:rsidR="0049512C" w:rsidRPr="009A27ED" w:rsidRDefault="005A6E85" w:rsidP="00B90A11">
      <w:pPr>
        <w:pStyle w:val="Descripcin"/>
        <w:spacing w:line="360" w:lineRule="auto"/>
        <w:rPr>
          <w:color w:val="000000" w:themeColor="text1"/>
          <w:sz w:val="20"/>
          <w:lang w:val="pt-BR"/>
        </w:rPr>
      </w:pPr>
      <w:r w:rsidRPr="009A27ED">
        <w:rPr>
          <w:rFonts w:ascii="Times New Roman" w:eastAsia="Times New Roman" w:hAnsi="Times New Roman"/>
          <w:color w:val="000000" w:themeColor="text1"/>
          <w:sz w:val="24"/>
        </w:rPr>
        <w:t xml:space="preserve">                        </w:t>
      </w:r>
      <w:proofErr w:type="spellStart"/>
      <w:r w:rsidR="00B90A11" w:rsidRPr="009A27ED">
        <w:rPr>
          <w:rFonts w:ascii="Times New Roman" w:eastAsia="Times New Roman" w:hAnsi="Times New Roman"/>
          <w:color w:val="000000" w:themeColor="text1"/>
          <w:sz w:val="24"/>
          <w:lang w:val="pt-BR"/>
        </w:rPr>
        <w:t>Cuadro</w:t>
      </w:r>
      <w:proofErr w:type="spellEnd"/>
      <w:r w:rsidR="00B90A11" w:rsidRPr="009A27ED">
        <w:rPr>
          <w:rFonts w:ascii="Times New Roman" w:eastAsia="Times New Roman" w:hAnsi="Times New Roman"/>
          <w:color w:val="000000" w:themeColor="text1"/>
          <w:sz w:val="24"/>
          <w:lang w:val="pt-BR"/>
        </w:rPr>
        <w:t xml:space="preserve"> 13</w:t>
      </w:r>
      <w:r w:rsidR="001E165D" w:rsidRPr="009A27ED">
        <w:rPr>
          <w:rFonts w:ascii="Times New Roman" w:eastAsia="Times New Roman" w:hAnsi="Times New Roman"/>
          <w:color w:val="000000" w:themeColor="text1"/>
          <w:sz w:val="24"/>
          <w:lang w:val="pt-BR"/>
        </w:rPr>
        <w:t xml:space="preserve">. </w:t>
      </w:r>
      <w:r w:rsidR="00B90A11" w:rsidRPr="009A27ED">
        <w:rPr>
          <w:rFonts w:ascii="Times New Roman" w:eastAsia="Times New Roman" w:hAnsi="Times New Roman"/>
          <w:color w:val="000000" w:themeColor="text1"/>
          <w:sz w:val="24"/>
          <w:lang w:val="pt-BR"/>
        </w:rPr>
        <w:t xml:space="preserve"> </w:t>
      </w:r>
    </w:p>
    <w:p w14:paraId="560471F3" w14:textId="025212CD" w:rsidR="00170677" w:rsidRPr="009A27ED" w:rsidRDefault="00170677" w:rsidP="00170677">
      <w:pPr>
        <w:pStyle w:val="Descripcin"/>
        <w:keepNext/>
        <w:spacing w:line="360" w:lineRule="auto"/>
      </w:pPr>
      <w:r w:rsidRPr="009A27ED">
        <w:rPr>
          <w:rFonts w:ascii="Times New Roman" w:eastAsia="Times New Roman" w:hAnsi="Times New Roman"/>
          <w:sz w:val="24"/>
        </w:rPr>
        <w:t xml:space="preserve">                          </w:t>
      </w:r>
      <w:bookmarkStart w:id="139" w:name="_Toc111887423"/>
      <w:r w:rsidRPr="009A27ED">
        <w:rPr>
          <w:rFonts w:ascii="Times New Roman" w:eastAsia="Times New Roman" w:hAnsi="Times New Roman"/>
          <w:sz w:val="24"/>
        </w:rPr>
        <w:t xml:space="preserve">Cuadro </w:t>
      </w:r>
      <w:r w:rsidR="00F43DB6" w:rsidRPr="009A27ED">
        <w:rPr>
          <w:rFonts w:ascii="Times New Roman" w:eastAsia="Times New Roman" w:hAnsi="Times New Roman"/>
          <w:sz w:val="24"/>
        </w:rPr>
        <w:fldChar w:fldCharType="begin"/>
      </w:r>
      <w:r w:rsidR="00F43DB6" w:rsidRPr="009A27ED">
        <w:rPr>
          <w:rFonts w:ascii="Times New Roman" w:eastAsia="Times New Roman" w:hAnsi="Times New Roman"/>
          <w:sz w:val="24"/>
        </w:rPr>
        <w:instrText xml:space="preserve"> SEQ Cuadro \* ARABIC </w:instrText>
      </w:r>
      <w:r w:rsidR="00F43DB6"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13</w:t>
      </w:r>
      <w:r w:rsidR="00F43DB6" w:rsidRPr="009A27ED">
        <w:rPr>
          <w:rFonts w:ascii="Times New Roman" w:eastAsia="Times New Roman" w:hAnsi="Times New Roman"/>
          <w:sz w:val="24"/>
        </w:rPr>
        <w:fldChar w:fldCharType="end"/>
      </w:r>
      <w:r w:rsidRPr="009A27ED">
        <w:rPr>
          <w:rFonts w:ascii="Times New Roman" w:eastAsia="Times New Roman" w:hAnsi="Times New Roman"/>
          <w:sz w:val="24"/>
        </w:rPr>
        <w:t xml:space="preserve">. </w:t>
      </w:r>
      <w:proofErr w:type="spellStart"/>
      <w:r w:rsidRPr="009A27ED">
        <w:rPr>
          <w:rFonts w:ascii="Times New Roman" w:eastAsia="Times New Roman" w:hAnsi="Times New Roman"/>
          <w:color w:val="000000" w:themeColor="text1"/>
          <w:sz w:val="24"/>
          <w:lang w:val="pt-BR"/>
        </w:rPr>
        <w:t>Principales</w:t>
      </w:r>
      <w:proofErr w:type="spellEnd"/>
      <w:r w:rsidRPr="009A27ED">
        <w:rPr>
          <w:rFonts w:ascii="Times New Roman" w:eastAsia="Times New Roman" w:hAnsi="Times New Roman"/>
          <w:color w:val="000000" w:themeColor="text1"/>
          <w:sz w:val="24"/>
          <w:lang w:val="pt-BR"/>
        </w:rPr>
        <w:t xml:space="preserve"> eventos extremos período 1998-2018</w:t>
      </w:r>
      <w:bookmarkEnd w:id="139"/>
    </w:p>
    <w:tbl>
      <w:tblPr>
        <w:tblStyle w:val="Tablaconcuadrcula"/>
        <w:tblW w:w="0" w:type="auto"/>
        <w:jc w:val="center"/>
        <w:tblLook w:val="04A0" w:firstRow="1" w:lastRow="0" w:firstColumn="1" w:lastColumn="0" w:noHBand="0" w:noVBand="1"/>
      </w:tblPr>
      <w:tblGrid>
        <w:gridCol w:w="1202"/>
        <w:gridCol w:w="2596"/>
        <w:gridCol w:w="3001"/>
      </w:tblGrid>
      <w:tr w:rsidR="004E0CA8" w:rsidRPr="009A27ED" w14:paraId="344B2C11" w14:textId="77777777" w:rsidTr="00BF5178">
        <w:trPr>
          <w:trHeight w:val="526"/>
          <w:jc w:val="center"/>
        </w:trPr>
        <w:tc>
          <w:tcPr>
            <w:tcW w:w="1202" w:type="dxa"/>
            <w:shd w:val="clear" w:color="auto" w:fill="0070C0"/>
            <w:vAlign w:val="center"/>
          </w:tcPr>
          <w:p w14:paraId="77B20D8C" w14:textId="77777777" w:rsidR="0004071A" w:rsidRPr="009A27ED" w:rsidRDefault="0004071A" w:rsidP="00BF5178">
            <w:pPr>
              <w:spacing w:after="0"/>
              <w:jc w:val="center"/>
              <w:rPr>
                <w:b/>
                <w:bCs/>
                <w:iCs/>
                <w:color w:val="FFFFFF" w:themeColor="background1"/>
                <w:sz w:val="20"/>
                <w:szCs w:val="20"/>
              </w:rPr>
            </w:pPr>
            <w:r w:rsidRPr="009A27ED">
              <w:rPr>
                <w:b/>
                <w:bCs/>
                <w:iCs/>
                <w:color w:val="FFFFFF" w:themeColor="background1"/>
                <w:sz w:val="20"/>
                <w:szCs w:val="20"/>
              </w:rPr>
              <w:t>Año de afectación</w:t>
            </w:r>
          </w:p>
        </w:tc>
        <w:tc>
          <w:tcPr>
            <w:tcW w:w="2596" w:type="dxa"/>
            <w:shd w:val="clear" w:color="auto" w:fill="0070C0"/>
            <w:vAlign w:val="center"/>
          </w:tcPr>
          <w:p w14:paraId="04BE9AF7" w14:textId="77777777" w:rsidR="0004071A" w:rsidRPr="009A27ED" w:rsidRDefault="0004071A" w:rsidP="00BF5178">
            <w:pPr>
              <w:spacing w:after="0"/>
              <w:jc w:val="center"/>
              <w:rPr>
                <w:b/>
                <w:bCs/>
                <w:iCs/>
                <w:color w:val="FFFFFF" w:themeColor="background1"/>
                <w:sz w:val="20"/>
                <w:szCs w:val="20"/>
              </w:rPr>
            </w:pPr>
            <w:r w:rsidRPr="009A27ED">
              <w:rPr>
                <w:b/>
                <w:bCs/>
                <w:iCs/>
                <w:color w:val="FFFFFF" w:themeColor="background1"/>
                <w:sz w:val="20"/>
                <w:szCs w:val="20"/>
              </w:rPr>
              <w:t>Huracanes</w:t>
            </w:r>
          </w:p>
        </w:tc>
        <w:tc>
          <w:tcPr>
            <w:tcW w:w="3001" w:type="dxa"/>
            <w:shd w:val="clear" w:color="auto" w:fill="0070C0"/>
            <w:vAlign w:val="center"/>
          </w:tcPr>
          <w:p w14:paraId="1F4BA6D0" w14:textId="77777777" w:rsidR="0004071A" w:rsidRPr="009A27ED" w:rsidRDefault="0004071A" w:rsidP="00BF5178">
            <w:pPr>
              <w:spacing w:after="0"/>
              <w:jc w:val="center"/>
              <w:rPr>
                <w:b/>
                <w:bCs/>
                <w:iCs/>
                <w:color w:val="FFFFFF" w:themeColor="background1"/>
                <w:sz w:val="20"/>
                <w:szCs w:val="20"/>
              </w:rPr>
            </w:pPr>
            <w:r w:rsidRPr="009A27ED">
              <w:rPr>
                <w:b/>
                <w:bCs/>
                <w:iCs/>
                <w:color w:val="FFFFFF" w:themeColor="background1"/>
                <w:sz w:val="20"/>
                <w:szCs w:val="20"/>
              </w:rPr>
              <w:t>Tormentas</w:t>
            </w:r>
          </w:p>
        </w:tc>
      </w:tr>
      <w:tr w:rsidR="0004071A" w:rsidRPr="009A27ED" w14:paraId="50E82A10" w14:textId="77777777" w:rsidTr="004B7076">
        <w:trPr>
          <w:jc w:val="center"/>
        </w:trPr>
        <w:tc>
          <w:tcPr>
            <w:tcW w:w="1202" w:type="dxa"/>
          </w:tcPr>
          <w:p w14:paraId="42E64BFC" w14:textId="77777777" w:rsidR="0004071A" w:rsidRPr="009A27ED" w:rsidRDefault="0004071A" w:rsidP="00C06E5F">
            <w:pPr>
              <w:spacing w:after="0"/>
              <w:rPr>
                <w:bCs/>
                <w:iCs/>
                <w:sz w:val="20"/>
                <w:szCs w:val="20"/>
              </w:rPr>
            </w:pPr>
            <w:r w:rsidRPr="009A27ED">
              <w:rPr>
                <w:bCs/>
                <w:iCs/>
                <w:sz w:val="20"/>
                <w:szCs w:val="20"/>
              </w:rPr>
              <w:t>1998</w:t>
            </w:r>
          </w:p>
        </w:tc>
        <w:tc>
          <w:tcPr>
            <w:tcW w:w="2596" w:type="dxa"/>
          </w:tcPr>
          <w:p w14:paraId="17FDEB26" w14:textId="77777777" w:rsidR="0004071A" w:rsidRPr="009A27ED" w:rsidRDefault="0004071A" w:rsidP="00C06E5F">
            <w:pPr>
              <w:spacing w:after="0"/>
              <w:rPr>
                <w:bCs/>
                <w:iCs/>
                <w:sz w:val="20"/>
                <w:szCs w:val="20"/>
              </w:rPr>
            </w:pPr>
            <w:r w:rsidRPr="009A27ED">
              <w:rPr>
                <w:bCs/>
                <w:iCs/>
                <w:sz w:val="20"/>
                <w:szCs w:val="20"/>
              </w:rPr>
              <w:t>George</w:t>
            </w:r>
          </w:p>
        </w:tc>
        <w:tc>
          <w:tcPr>
            <w:tcW w:w="3001" w:type="dxa"/>
          </w:tcPr>
          <w:p w14:paraId="0332DA2A" w14:textId="77777777" w:rsidR="0004071A" w:rsidRPr="009A27ED" w:rsidRDefault="0004071A" w:rsidP="00C06E5F">
            <w:pPr>
              <w:spacing w:after="0"/>
              <w:rPr>
                <w:bCs/>
                <w:iCs/>
                <w:sz w:val="20"/>
                <w:szCs w:val="20"/>
              </w:rPr>
            </w:pPr>
          </w:p>
        </w:tc>
      </w:tr>
      <w:tr w:rsidR="0004071A" w:rsidRPr="009A27ED" w14:paraId="1F88B8B9" w14:textId="77777777" w:rsidTr="004B7076">
        <w:trPr>
          <w:jc w:val="center"/>
        </w:trPr>
        <w:tc>
          <w:tcPr>
            <w:tcW w:w="1202" w:type="dxa"/>
          </w:tcPr>
          <w:p w14:paraId="75A2997A" w14:textId="77777777" w:rsidR="0004071A" w:rsidRPr="009A27ED" w:rsidRDefault="0004071A" w:rsidP="00C06E5F">
            <w:pPr>
              <w:spacing w:after="0"/>
              <w:rPr>
                <w:bCs/>
                <w:iCs/>
                <w:sz w:val="20"/>
                <w:szCs w:val="20"/>
              </w:rPr>
            </w:pPr>
            <w:r w:rsidRPr="009A27ED">
              <w:rPr>
                <w:bCs/>
                <w:iCs/>
                <w:sz w:val="20"/>
                <w:szCs w:val="20"/>
              </w:rPr>
              <w:t>2000</w:t>
            </w:r>
          </w:p>
        </w:tc>
        <w:tc>
          <w:tcPr>
            <w:tcW w:w="2596" w:type="dxa"/>
          </w:tcPr>
          <w:p w14:paraId="79E6E337" w14:textId="77777777" w:rsidR="0004071A" w:rsidRPr="009A27ED" w:rsidRDefault="0004071A" w:rsidP="00C06E5F">
            <w:pPr>
              <w:spacing w:after="0"/>
              <w:rPr>
                <w:bCs/>
                <w:iCs/>
                <w:sz w:val="20"/>
                <w:szCs w:val="20"/>
              </w:rPr>
            </w:pPr>
          </w:p>
        </w:tc>
        <w:tc>
          <w:tcPr>
            <w:tcW w:w="3001" w:type="dxa"/>
          </w:tcPr>
          <w:p w14:paraId="29A7A599" w14:textId="77777777" w:rsidR="0004071A" w:rsidRPr="009A27ED" w:rsidRDefault="0004071A" w:rsidP="00C06E5F">
            <w:pPr>
              <w:spacing w:after="0"/>
              <w:rPr>
                <w:bCs/>
                <w:iCs/>
                <w:sz w:val="20"/>
                <w:szCs w:val="20"/>
              </w:rPr>
            </w:pPr>
            <w:r w:rsidRPr="009A27ED">
              <w:rPr>
                <w:bCs/>
                <w:iCs/>
                <w:sz w:val="20"/>
                <w:szCs w:val="20"/>
              </w:rPr>
              <w:t>Derby</w:t>
            </w:r>
          </w:p>
        </w:tc>
      </w:tr>
      <w:tr w:rsidR="0004071A" w:rsidRPr="009A27ED" w14:paraId="5F29B058" w14:textId="77777777" w:rsidTr="004B7076">
        <w:trPr>
          <w:jc w:val="center"/>
        </w:trPr>
        <w:tc>
          <w:tcPr>
            <w:tcW w:w="1202" w:type="dxa"/>
          </w:tcPr>
          <w:p w14:paraId="5B235863" w14:textId="77777777" w:rsidR="0004071A" w:rsidRPr="009A27ED" w:rsidRDefault="0004071A" w:rsidP="00C06E5F">
            <w:pPr>
              <w:spacing w:after="0"/>
              <w:rPr>
                <w:bCs/>
                <w:iCs/>
                <w:sz w:val="20"/>
                <w:szCs w:val="20"/>
              </w:rPr>
            </w:pPr>
            <w:r w:rsidRPr="009A27ED">
              <w:rPr>
                <w:bCs/>
                <w:iCs/>
                <w:sz w:val="20"/>
                <w:szCs w:val="20"/>
              </w:rPr>
              <w:t>2001</w:t>
            </w:r>
          </w:p>
        </w:tc>
        <w:tc>
          <w:tcPr>
            <w:tcW w:w="2596" w:type="dxa"/>
          </w:tcPr>
          <w:p w14:paraId="7602BD3B" w14:textId="77777777" w:rsidR="0004071A" w:rsidRPr="009A27ED" w:rsidRDefault="0004071A" w:rsidP="00C06E5F">
            <w:pPr>
              <w:spacing w:after="0"/>
              <w:rPr>
                <w:bCs/>
                <w:iCs/>
                <w:sz w:val="20"/>
                <w:szCs w:val="20"/>
              </w:rPr>
            </w:pPr>
          </w:p>
        </w:tc>
        <w:tc>
          <w:tcPr>
            <w:tcW w:w="3001" w:type="dxa"/>
          </w:tcPr>
          <w:p w14:paraId="62227685" w14:textId="77777777" w:rsidR="0004071A" w:rsidRPr="009A27ED" w:rsidRDefault="0004071A" w:rsidP="00C06E5F">
            <w:pPr>
              <w:spacing w:after="0"/>
              <w:rPr>
                <w:bCs/>
                <w:iCs/>
                <w:sz w:val="20"/>
                <w:szCs w:val="20"/>
              </w:rPr>
            </w:pPr>
            <w:r w:rsidRPr="009A27ED">
              <w:rPr>
                <w:bCs/>
                <w:iCs/>
                <w:sz w:val="20"/>
                <w:szCs w:val="20"/>
              </w:rPr>
              <w:t>Odette</w:t>
            </w:r>
          </w:p>
        </w:tc>
      </w:tr>
      <w:tr w:rsidR="0004071A" w:rsidRPr="009A27ED" w14:paraId="31A1778A" w14:textId="77777777" w:rsidTr="004B7076">
        <w:trPr>
          <w:jc w:val="center"/>
        </w:trPr>
        <w:tc>
          <w:tcPr>
            <w:tcW w:w="1202" w:type="dxa"/>
          </w:tcPr>
          <w:p w14:paraId="5D5F0C9D" w14:textId="77777777" w:rsidR="0004071A" w:rsidRPr="009A27ED" w:rsidRDefault="0004071A" w:rsidP="00C06E5F">
            <w:pPr>
              <w:spacing w:after="0"/>
              <w:rPr>
                <w:bCs/>
                <w:iCs/>
                <w:sz w:val="20"/>
                <w:szCs w:val="20"/>
              </w:rPr>
            </w:pPr>
            <w:r w:rsidRPr="009A27ED">
              <w:rPr>
                <w:bCs/>
                <w:iCs/>
                <w:sz w:val="20"/>
                <w:szCs w:val="20"/>
              </w:rPr>
              <w:t>2004</w:t>
            </w:r>
          </w:p>
        </w:tc>
        <w:tc>
          <w:tcPr>
            <w:tcW w:w="2596" w:type="dxa"/>
          </w:tcPr>
          <w:p w14:paraId="2273CB6A" w14:textId="77777777" w:rsidR="0004071A" w:rsidRPr="009A27ED" w:rsidRDefault="0004071A" w:rsidP="00C06E5F">
            <w:pPr>
              <w:spacing w:after="0"/>
              <w:rPr>
                <w:bCs/>
                <w:iCs/>
                <w:sz w:val="20"/>
                <w:szCs w:val="20"/>
              </w:rPr>
            </w:pPr>
            <w:r w:rsidRPr="009A27ED">
              <w:rPr>
                <w:bCs/>
                <w:iCs/>
                <w:sz w:val="20"/>
                <w:szCs w:val="20"/>
              </w:rPr>
              <w:t>Ivan y Jeanne</w:t>
            </w:r>
          </w:p>
        </w:tc>
        <w:tc>
          <w:tcPr>
            <w:tcW w:w="3001" w:type="dxa"/>
          </w:tcPr>
          <w:p w14:paraId="4F4F55F5" w14:textId="77777777" w:rsidR="0004071A" w:rsidRPr="009A27ED" w:rsidRDefault="0004071A" w:rsidP="00C06E5F">
            <w:pPr>
              <w:spacing w:after="0"/>
              <w:rPr>
                <w:bCs/>
                <w:iCs/>
                <w:sz w:val="20"/>
                <w:szCs w:val="20"/>
              </w:rPr>
            </w:pPr>
          </w:p>
        </w:tc>
      </w:tr>
      <w:tr w:rsidR="0004071A" w:rsidRPr="009A27ED" w14:paraId="78B01815" w14:textId="77777777" w:rsidTr="004B7076">
        <w:trPr>
          <w:jc w:val="center"/>
        </w:trPr>
        <w:tc>
          <w:tcPr>
            <w:tcW w:w="1202" w:type="dxa"/>
          </w:tcPr>
          <w:p w14:paraId="1A73B350" w14:textId="77777777" w:rsidR="0004071A" w:rsidRPr="009A27ED" w:rsidRDefault="0004071A" w:rsidP="00C06E5F">
            <w:pPr>
              <w:spacing w:after="0"/>
              <w:rPr>
                <w:bCs/>
                <w:iCs/>
                <w:sz w:val="20"/>
                <w:szCs w:val="20"/>
              </w:rPr>
            </w:pPr>
            <w:r w:rsidRPr="009A27ED">
              <w:rPr>
                <w:bCs/>
                <w:iCs/>
                <w:sz w:val="20"/>
                <w:szCs w:val="20"/>
              </w:rPr>
              <w:t>2005</w:t>
            </w:r>
          </w:p>
        </w:tc>
        <w:tc>
          <w:tcPr>
            <w:tcW w:w="2596" w:type="dxa"/>
          </w:tcPr>
          <w:p w14:paraId="63B2D728" w14:textId="77777777" w:rsidR="0004071A" w:rsidRPr="009A27ED" w:rsidRDefault="0004071A" w:rsidP="00C06E5F">
            <w:pPr>
              <w:spacing w:after="0"/>
              <w:rPr>
                <w:bCs/>
                <w:iCs/>
                <w:sz w:val="20"/>
                <w:szCs w:val="20"/>
              </w:rPr>
            </w:pPr>
            <w:r w:rsidRPr="009A27ED">
              <w:rPr>
                <w:bCs/>
                <w:iCs/>
                <w:sz w:val="20"/>
                <w:szCs w:val="20"/>
              </w:rPr>
              <w:t>Denis</w:t>
            </w:r>
          </w:p>
        </w:tc>
        <w:tc>
          <w:tcPr>
            <w:tcW w:w="3001" w:type="dxa"/>
          </w:tcPr>
          <w:p w14:paraId="5EF5043A" w14:textId="77777777" w:rsidR="0004071A" w:rsidRPr="009A27ED" w:rsidRDefault="0004071A" w:rsidP="00C06E5F">
            <w:pPr>
              <w:spacing w:after="0"/>
              <w:rPr>
                <w:bCs/>
                <w:iCs/>
                <w:sz w:val="20"/>
                <w:szCs w:val="20"/>
              </w:rPr>
            </w:pPr>
            <w:r w:rsidRPr="009A27ED">
              <w:rPr>
                <w:bCs/>
                <w:iCs/>
                <w:sz w:val="20"/>
                <w:szCs w:val="20"/>
              </w:rPr>
              <w:t>Alpha</w:t>
            </w:r>
          </w:p>
        </w:tc>
      </w:tr>
      <w:tr w:rsidR="0004071A" w:rsidRPr="009A27ED" w14:paraId="30DAA9B0" w14:textId="77777777" w:rsidTr="004B7076">
        <w:trPr>
          <w:jc w:val="center"/>
        </w:trPr>
        <w:tc>
          <w:tcPr>
            <w:tcW w:w="1202" w:type="dxa"/>
          </w:tcPr>
          <w:p w14:paraId="1698D6DE" w14:textId="77777777" w:rsidR="0004071A" w:rsidRPr="009A27ED" w:rsidRDefault="0004071A" w:rsidP="00C06E5F">
            <w:pPr>
              <w:spacing w:after="0"/>
              <w:rPr>
                <w:bCs/>
                <w:iCs/>
                <w:sz w:val="20"/>
                <w:szCs w:val="20"/>
              </w:rPr>
            </w:pPr>
            <w:r w:rsidRPr="009A27ED">
              <w:rPr>
                <w:bCs/>
                <w:iCs/>
                <w:sz w:val="20"/>
                <w:szCs w:val="20"/>
              </w:rPr>
              <w:t>2007</w:t>
            </w:r>
          </w:p>
        </w:tc>
        <w:tc>
          <w:tcPr>
            <w:tcW w:w="2596" w:type="dxa"/>
          </w:tcPr>
          <w:p w14:paraId="0077B23B" w14:textId="77777777" w:rsidR="0004071A" w:rsidRPr="009A27ED" w:rsidRDefault="0004071A" w:rsidP="00C06E5F">
            <w:pPr>
              <w:spacing w:after="0"/>
              <w:rPr>
                <w:bCs/>
                <w:iCs/>
                <w:sz w:val="20"/>
                <w:szCs w:val="20"/>
              </w:rPr>
            </w:pPr>
            <w:r w:rsidRPr="009A27ED">
              <w:rPr>
                <w:bCs/>
                <w:iCs/>
                <w:sz w:val="20"/>
                <w:szCs w:val="20"/>
              </w:rPr>
              <w:t>Dean</w:t>
            </w:r>
          </w:p>
        </w:tc>
        <w:tc>
          <w:tcPr>
            <w:tcW w:w="3001" w:type="dxa"/>
          </w:tcPr>
          <w:p w14:paraId="0AFD4206" w14:textId="77777777" w:rsidR="0004071A" w:rsidRPr="009A27ED" w:rsidRDefault="0004071A" w:rsidP="00C06E5F">
            <w:pPr>
              <w:spacing w:after="0"/>
              <w:rPr>
                <w:bCs/>
                <w:iCs/>
                <w:sz w:val="20"/>
                <w:szCs w:val="20"/>
              </w:rPr>
            </w:pPr>
            <w:r w:rsidRPr="009A27ED">
              <w:rPr>
                <w:bCs/>
                <w:iCs/>
                <w:sz w:val="20"/>
                <w:szCs w:val="20"/>
              </w:rPr>
              <w:t>Olga y Noel</w:t>
            </w:r>
          </w:p>
        </w:tc>
      </w:tr>
      <w:tr w:rsidR="0004071A" w:rsidRPr="009A27ED" w14:paraId="542A5066" w14:textId="77777777" w:rsidTr="004B7076">
        <w:trPr>
          <w:jc w:val="center"/>
        </w:trPr>
        <w:tc>
          <w:tcPr>
            <w:tcW w:w="1202" w:type="dxa"/>
          </w:tcPr>
          <w:p w14:paraId="4FAC8B2F" w14:textId="77777777" w:rsidR="0004071A" w:rsidRPr="009A27ED" w:rsidRDefault="0004071A" w:rsidP="00C06E5F">
            <w:pPr>
              <w:spacing w:after="0"/>
              <w:rPr>
                <w:bCs/>
                <w:iCs/>
                <w:sz w:val="20"/>
                <w:szCs w:val="20"/>
              </w:rPr>
            </w:pPr>
            <w:r w:rsidRPr="009A27ED">
              <w:rPr>
                <w:bCs/>
                <w:iCs/>
                <w:sz w:val="20"/>
                <w:szCs w:val="20"/>
              </w:rPr>
              <w:t>2008</w:t>
            </w:r>
          </w:p>
        </w:tc>
        <w:tc>
          <w:tcPr>
            <w:tcW w:w="2596" w:type="dxa"/>
          </w:tcPr>
          <w:p w14:paraId="29645BC9" w14:textId="77777777" w:rsidR="0004071A" w:rsidRPr="009A27ED" w:rsidRDefault="0004071A" w:rsidP="00C06E5F">
            <w:pPr>
              <w:spacing w:after="0"/>
              <w:rPr>
                <w:bCs/>
                <w:iCs/>
                <w:sz w:val="20"/>
                <w:szCs w:val="20"/>
              </w:rPr>
            </w:pPr>
            <w:r w:rsidRPr="009A27ED">
              <w:rPr>
                <w:bCs/>
                <w:iCs/>
                <w:sz w:val="20"/>
                <w:szCs w:val="20"/>
              </w:rPr>
              <w:t>Ike</w:t>
            </w:r>
          </w:p>
        </w:tc>
        <w:tc>
          <w:tcPr>
            <w:tcW w:w="3001" w:type="dxa"/>
          </w:tcPr>
          <w:p w14:paraId="0A21F7C1" w14:textId="77777777" w:rsidR="0004071A" w:rsidRPr="009A27ED" w:rsidRDefault="0004071A" w:rsidP="00C06E5F">
            <w:pPr>
              <w:spacing w:after="0"/>
              <w:rPr>
                <w:bCs/>
                <w:iCs/>
                <w:sz w:val="20"/>
                <w:szCs w:val="20"/>
              </w:rPr>
            </w:pPr>
            <w:proofErr w:type="spellStart"/>
            <w:r w:rsidRPr="009A27ED">
              <w:rPr>
                <w:bCs/>
                <w:iCs/>
                <w:sz w:val="20"/>
                <w:szCs w:val="20"/>
              </w:rPr>
              <w:t>Fav</w:t>
            </w:r>
            <w:proofErr w:type="spellEnd"/>
            <w:r w:rsidRPr="009A27ED">
              <w:rPr>
                <w:bCs/>
                <w:iCs/>
                <w:sz w:val="20"/>
                <w:szCs w:val="20"/>
              </w:rPr>
              <w:t xml:space="preserve"> y Gustav</w:t>
            </w:r>
          </w:p>
        </w:tc>
      </w:tr>
      <w:tr w:rsidR="0004071A" w:rsidRPr="009A27ED" w14:paraId="224B7AAA" w14:textId="77777777" w:rsidTr="004B7076">
        <w:trPr>
          <w:jc w:val="center"/>
        </w:trPr>
        <w:tc>
          <w:tcPr>
            <w:tcW w:w="1202" w:type="dxa"/>
          </w:tcPr>
          <w:p w14:paraId="765B361D" w14:textId="77777777" w:rsidR="0004071A" w:rsidRPr="009A27ED" w:rsidRDefault="0004071A" w:rsidP="00C06E5F">
            <w:pPr>
              <w:spacing w:after="0"/>
              <w:rPr>
                <w:bCs/>
                <w:iCs/>
                <w:sz w:val="20"/>
                <w:szCs w:val="20"/>
              </w:rPr>
            </w:pPr>
            <w:r w:rsidRPr="009A27ED">
              <w:rPr>
                <w:bCs/>
                <w:iCs/>
                <w:sz w:val="20"/>
                <w:szCs w:val="20"/>
              </w:rPr>
              <w:t>2010</w:t>
            </w:r>
          </w:p>
        </w:tc>
        <w:tc>
          <w:tcPr>
            <w:tcW w:w="2596" w:type="dxa"/>
          </w:tcPr>
          <w:p w14:paraId="2437E74E" w14:textId="77777777" w:rsidR="0004071A" w:rsidRPr="009A27ED" w:rsidRDefault="0004071A" w:rsidP="00C06E5F">
            <w:pPr>
              <w:spacing w:after="0"/>
              <w:rPr>
                <w:bCs/>
                <w:iCs/>
                <w:sz w:val="20"/>
                <w:szCs w:val="20"/>
              </w:rPr>
            </w:pPr>
            <w:r w:rsidRPr="009A27ED">
              <w:rPr>
                <w:bCs/>
                <w:iCs/>
                <w:sz w:val="20"/>
                <w:szCs w:val="20"/>
              </w:rPr>
              <w:t>Tomás</w:t>
            </w:r>
          </w:p>
        </w:tc>
        <w:tc>
          <w:tcPr>
            <w:tcW w:w="3001" w:type="dxa"/>
          </w:tcPr>
          <w:p w14:paraId="0FB15D0D" w14:textId="77777777" w:rsidR="0004071A" w:rsidRPr="009A27ED" w:rsidRDefault="0004071A" w:rsidP="00C06E5F">
            <w:pPr>
              <w:spacing w:after="0"/>
              <w:rPr>
                <w:bCs/>
                <w:iCs/>
                <w:sz w:val="20"/>
                <w:szCs w:val="20"/>
              </w:rPr>
            </w:pPr>
            <w:proofErr w:type="spellStart"/>
            <w:r w:rsidRPr="009A27ED">
              <w:rPr>
                <w:bCs/>
                <w:iCs/>
                <w:sz w:val="20"/>
                <w:szCs w:val="20"/>
              </w:rPr>
              <w:t>Emely</w:t>
            </w:r>
            <w:proofErr w:type="spellEnd"/>
          </w:p>
        </w:tc>
      </w:tr>
      <w:tr w:rsidR="0004071A" w:rsidRPr="009A27ED" w14:paraId="37A853CB" w14:textId="77777777" w:rsidTr="004B7076">
        <w:trPr>
          <w:jc w:val="center"/>
        </w:trPr>
        <w:tc>
          <w:tcPr>
            <w:tcW w:w="1202" w:type="dxa"/>
          </w:tcPr>
          <w:p w14:paraId="44AD956A" w14:textId="77777777" w:rsidR="0004071A" w:rsidRPr="009A27ED" w:rsidRDefault="0004071A" w:rsidP="00C06E5F">
            <w:pPr>
              <w:spacing w:after="0"/>
              <w:rPr>
                <w:bCs/>
                <w:iCs/>
                <w:sz w:val="20"/>
                <w:szCs w:val="20"/>
              </w:rPr>
            </w:pPr>
            <w:r w:rsidRPr="009A27ED">
              <w:rPr>
                <w:bCs/>
                <w:iCs/>
                <w:sz w:val="20"/>
                <w:szCs w:val="20"/>
              </w:rPr>
              <w:t>2011</w:t>
            </w:r>
          </w:p>
        </w:tc>
        <w:tc>
          <w:tcPr>
            <w:tcW w:w="2596" w:type="dxa"/>
          </w:tcPr>
          <w:p w14:paraId="5249CC30" w14:textId="77777777" w:rsidR="0004071A" w:rsidRPr="009A27ED" w:rsidRDefault="0004071A" w:rsidP="00C06E5F">
            <w:pPr>
              <w:spacing w:after="0"/>
              <w:rPr>
                <w:bCs/>
                <w:iCs/>
                <w:sz w:val="20"/>
                <w:szCs w:val="20"/>
              </w:rPr>
            </w:pPr>
            <w:r w:rsidRPr="009A27ED">
              <w:rPr>
                <w:bCs/>
                <w:iCs/>
                <w:sz w:val="20"/>
                <w:szCs w:val="20"/>
              </w:rPr>
              <w:t>Irene</w:t>
            </w:r>
          </w:p>
        </w:tc>
        <w:tc>
          <w:tcPr>
            <w:tcW w:w="3001" w:type="dxa"/>
          </w:tcPr>
          <w:p w14:paraId="742B2E9E" w14:textId="77777777" w:rsidR="0004071A" w:rsidRPr="009A27ED" w:rsidRDefault="0004071A" w:rsidP="00C06E5F">
            <w:pPr>
              <w:spacing w:after="0"/>
              <w:rPr>
                <w:bCs/>
                <w:iCs/>
                <w:sz w:val="20"/>
                <w:szCs w:val="20"/>
              </w:rPr>
            </w:pPr>
          </w:p>
        </w:tc>
      </w:tr>
      <w:tr w:rsidR="0004071A" w:rsidRPr="009A27ED" w14:paraId="0A8F1292" w14:textId="77777777" w:rsidTr="004B7076">
        <w:trPr>
          <w:jc w:val="center"/>
        </w:trPr>
        <w:tc>
          <w:tcPr>
            <w:tcW w:w="1202" w:type="dxa"/>
          </w:tcPr>
          <w:p w14:paraId="4FA357E7" w14:textId="77777777" w:rsidR="0004071A" w:rsidRPr="009A27ED" w:rsidRDefault="0004071A" w:rsidP="00C06E5F">
            <w:pPr>
              <w:spacing w:after="0"/>
              <w:rPr>
                <w:bCs/>
                <w:iCs/>
                <w:sz w:val="20"/>
                <w:szCs w:val="20"/>
              </w:rPr>
            </w:pPr>
            <w:r w:rsidRPr="009A27ED">
              <w:rPr>
                <w:bCs/>
                <w:iCs/>
                <w:sz w:val="20"/>
                <w:szCs w:val="20"/>
              </w:rPr>
              <w:t>2012</w:t>
            </w:r>
          </w:p>
        </w:tc>
        <w:tc>
          <w:tcPr>
            <w:tcW w:w="2596" w:type="dxa"/>
          </w:tcPr>
          <w:p w14:paraId="48702BDC" w14:textId="77777777" w:rsidR="0004071A" w:rsidRPr="009A27ED" w:rsidRDefault="0004071A" w:rsidP="00C06E5F">
            <w:pPr>
              <w:spacing w:after="0"/>
              <w:rPr>
                <w:bCs/>
                <w:iCs/>
                <w:sz w:val="20"/>
                <w:szCs w:val="20"/>
              </w:rPr>
            </w:pPr>
            <w:r w:rsidRPr="009A27ED">
              <w:rPr>
                <w:bCs/>
                <w:iCs/>
                <w:sz w:val="20"/>
                <w:szCs w:val="20"/>
              </w:rPr>
              <w:t>Isaac y Sandy</w:t>
            </w:r>
          </w:p>
        </w:tc>
        <w:tc>
          <w:tcPr>
            <w:tcW w:w="3001" w:type="dxa"/>
          </w:tcPr>
          <w:p w14:paraId="124F62D4" w14:textId="77777777" w:rsidR="0004071A" w:rsidRPr="009A27ED" w:rsidRDefault="0004071A" w:rsidP="00C06E5F">
            <w:pPr>
              <w:spacing w:after="0"/>
              <w:rPr>
                <w:bCs/>
                <w:iCs/>
                <w:sz w:val="20"/>
                <w:szCs w:val="20"/>
              </w:rPr>
            </w:pPr>
          </w:p>
        </w:tc>
      </w:tr>
      <w:tr w:rsidR="0004071A" w:rsidRPr="009A27ED" w14:paraId="34F3F103" w14:textId="77777777" w:rsidTr="004B7076">
        <w:trPr>
          <w:jc w:val="center"/>
        </w:trPr>
        <w:tc>
          <w:tcPr>
            <w:tcW w:w="1202" w:type="dxa"/>
          </w:tcPr>
          <w:p w14:paraId="2DC81D51" w14:textId="77777777" w:rsidR="0004071A" w:rsidRPr="009A27ED" w:rsidRDefault="0004071A" w:rsidP="00C06E5F">
            <w:pPr>
              <w:spacing w:after="0"/>
              <w:rPr>
                <w:bCs/>
                <w:iCs/>
                <w:sz w:val="20"/>
                <w:szCs w:val="20"/>
              </w:rPr>
            </w:pPr>
            <w:r w:rsidRPr="009A27ED">
              <w:rPr>
                <w:bCs/>
                <w:iCs/>
                <w:sz w:val="20"/>
                <w:szCs w:val="20"/>
              </w:rPr>
              <w:t>2015</w:t>
            </w:r>
          </w:p>
        </w:tc>
        <w:tc>
          <w:tcPr>
            <w:tcW w:w="2596" w:type="dxa"/>
          </w:tcPr>
          <w:p w14:paraId="711981B1" w14:textId="77777777" w:rsidR="0004071A" w:rsidRPr="009A27ED" w:rsidRDefault="0004071A" w:rsidP="00C06E5F">
            <w:pPr>
              <w:spacing w:after="0"/>
              <w:rPr>
                <w:bCs/>
                <w:iCs/>
                <w:sz w:val="20"/>
                <w:szCs w:val="20"/>
              </w:rPr>
            </w:pPr>
          </w:p>
        </w:tc>
        <w:tc>
          <w:tcPr>
            <w:tcW w:w="3001" w:type="dxa"/>
          </w:tcPr>
          <w:p w14:paraId="7A915843" w14:textId="77777777" w:rsidR="0004071A" w:rsidRPr="009A27ED" w:rsidRDefault="0004071A" w:rsidP="00C06E5F">
            <w:pPr>
              <w:spacing w:after="0"/>
              <w:rPr>
                <w:bCs/>
                <w:iCs/>
                <w:sz w:val="20"/>
                <w:szCs w:val="20"/>
              </w:rPr>
            </w:pPr>
            <w:r w:rsidRPr="009A27ED">
              <w:rPr>
                <w:bCs/>
                <w:iCs/>
                <w:sz w:val="20"/>
                <w:szCs w:val="20"/>
              </w:rPr>
              <w:t>Erika</w:t>
            </w:r>
          </w:p>
        </w:tc>
      </w:tr>
      <w:tr w:rsidR="002F3F2C" w:rsidRPr="009A27ED" w14:paraId="1BB7C30A" w14:textId="77777777" w:rsidTr="004B7076">
        <w:trPr>
          <w:jc w:val="center"/>
        </w:trPr>
        <w:tc>
          <w:tcPr>
            <w:tcW w:w="1202" w:type="dxa"/>
          </w:tcPr>
          <w:p w14:paraId="0D71BE82" w14:textId="77777777" w:rsidR="0004071A" w:rsidRPr="009A27ED" w:rsidRDefault="0004071A" w:rsidP="00C06E5F">
            <w:pPr>
              <w:spacing w:after="0"/>
              <w:rPr>
                <w:bCs/>
                <w:iCs/>
                <w:sz w:val="20"/>
                <w:szCs w:val="20"/>
              </w:rPr>
            </w:pPr>
            <w:r w:rsidRPr="009A27ED">
              <w:rPr>
                <w:bCs/>
                <w:iCs/>
                <w:sz w:val="20"/>
                <w:szCs w:val="20"/>
              </w:rPr>
              <w:t>2016</w:t>
            </w:r>
          </w:p>
        </w:tc>
        <w:tc>
          <w:tcPr>
            <w:tcW w:w="2596" w:type="dxa"/>
          </w:tcPr>
          <w:p w14:paraId="5FA64077" w14:textId="42505BA0" w:rsidR="0004071A" w:rsidRPr="009A27ED" w:rsidRDefault="0004071A" w:rsidP="00C06E5F">
            <w:pPr>
              <w:spacing w:after="0"/>
              <w:rPr>
                <w:bCs/>
                <w:iCs/>
                <w:sz w:val="20"/>
                <w:szCs w:val="20"/>
              </w:rPr>
            </w:pPr>
            <w:r w:rsidRPr="009A27ED">
              <w:rPr>
                <w:bCs/>
                <w:iCs/>
                <w:sz w:val="20"/>
                <w:szCs w:val="20"/>
              </w:rPr>
              <w:t>Mathew</w:t>
            </w:r>
          </w:p>
        </w:tc>
        <w:tc>
          <w:tcPr>
            <w:tcW w:w="3001" w:type="dxa"/>
          </w:tcPr>
          <w:p w14:paraId="0803FAC3" w14:textId="77777777" w:rsidR="0004071A" w:rsidRPr="009A27ED" w:rsidRDefault="0004071A" w:rsidP="00D560C6">
            <w:pPr>
              <w:keepNext/>
              <w:spacing w:after="0"/>
              <w:rPr>
                <w:bCs/>
                <w:iCs/>
                <w:sz w:val="20"/>
                <w:szCs w:val="20"/>
              </w:rPr>
            </w:pPr>
          </w:p>
        </w:tc>
      </w:tr>
    </w:tbl>
    <w:p w14:paraId="775DD695" w14:textId="1E322252" w:rsidR="0004071A" w:rsidRPr="009A27ED" w:rsidRDefault="0004071A" w:rsidP="005B6485">
      <w:pPr>
        <w:spacing w:before="120" w:after="0" w:line="360" w:lineRule="auto"/>
        <w:rPr>
          <w:bCs/>
          <w:iCs/>
          <w:szCs w:val="22"/>
        </w:rPr>
      </w:pPr>
      <w:r w:rsidRPr="009A27ED">
        <w:rPr>
          <w:rFonts w:ascii="Times New Roman" w:eastAsia="Times New Roman" w:hAnsi="Times New Roman"/>
          <w:bCs/>
          <w:iCs/>
          <w:sz w:val="24"/>
          <w:szCs w:val="22"/>
        </w:rPr>
        <w:t xml:space="preserve">Estos fenómenos afectaron el país en el período comprendido entre el 1998 y 2018, ocasionando pérdidas económicas registradas por más de RD$50,990.3 millones. Esta suma es estimativa, ya que gran parte no fue cuantificada, sobre todo los daños a la agricultura. Las muertes registradas por el paso de estos fenómenos fueron de 384, mientras que los desplazamientos de personas alcanzaron un total de 233,539, el número de casas afectadas fue de 18,054, mientras que 266 fueron destruidas. </w:t>
      </w:r>
      <w:r w:rsidR="004B7076" w:rsidRPr="009A27ED">
        <w:rPr>
          <w:rFonts w:ascii="Times New Roman" w:eastAsia="Times New Roman" w:hAnsi="Times New Roman"/>
          <w:bCs/>
          <w:iCs/>
          <w:sz w:val="24"/>
          <w:szCs w:val="22"/>
        </w:rPr>
        <w:t>Además de</w:t>
      </w:r>
      <w:r w:rsidRPr="009A27ED">
        <w:rPr>
          <w:rFonts w:ascii="Times New Roman" w:eastAsia="Times New Roman" w:hAnsi="Times New Roman"/>
          <w:bCs/>
          <w:iCs/>
          <w:sz w:val="24"/>
          <w:szCs w:val="22"/>
        </w:rPr>
        <w:t xml:space="preserve"> estos daños</w:t>
      </w:r>
      <w:r w:rsidR="004B7076" w:rsidRPr="009A27ED">
        <w:rPr>
          <w:rFonts w:ascii="Times New Roman" w:eastAsia="Times New Roman" w:hAnsi="Times New Roman"/>
          <w:bCs/>
          <w:iCs/>
          <w:sz w:val="24"/>
          <w:szCs w:val="22"/>
        </w:rPr>
        <w:t>,</w:t>
      </w:r>
      <w:r w:rsidRPr="009A27ED">
        <w:rPr>
          <w:rFonts w:ascii="Times New Roman" w:eastAsia="Times New Roman" w:hAnsi="Times New Roman"/>
          <w:bCs/>
          <w:iCs/>
          <w:sz w:val="24"/>
          <w:szCs w:val="22"/>
        </w:rPr>
        <w:t xml:space="preserve"> también fue afectada parte de la infraestructura pública y </w:t>
      </w:r>
      <w:r w:rsidR="00D560C6" w:rsidRPr="009A27ED">
        <w:rPr>
          <w:rFonts w:ascii="Times New Roman" w:eastAsia="Times New Roman" w:hAnsi="Times New Roman"/>
          <w:bCs/>
          <w:iCs/>
          <w:sz w:val="24"/>
          <w:szCs w:val="22"/>
        </w:rPr>
        <w:t>privada, entre</w:t>
      </w:r>
      <w:r w:rsidRPr="009A27ED">
        <w:rPr>
          <w:rFonts w:ascii="Times New Roman" w:eastAsia="Times New Roman" w:hAnsi="Times New Roman"/>
          <w:bCs/>
          <w:iCs/>
          <w:sz w:val="24"/>
          <w:szCs w:val="22"/>
        </w:rPr>
        <w:t xml:space="preserve"> las que destacan los puentes, carreteras, obras hidráulicas y edificaciones. Durante la ocurrencia de los huracanes y tormentas es común que las comunidades afectadas sean aisladas por vía terrestre.</w:t>
      </w:r>
    </w:p>
    <w:p w14:paraId="65FDF7F4" w14:textId="657DA6E4" w:rsidR="0004071A" w:rsidRPr="009A27ED" w:rsidRDefault="0004071A" w:rsidP="00E67CB0">
      <w:pPr>
        <w:pStyle w:val="Prrafodelista"/>
        <w:numPr>
          <w:ilvl w:val="0"/>
          <w:numId w:val="295"/>
        </w:numPr>
        <w:spacing w:before="120" w:after="0" w:line="360" w:lineRule="auto"/>
        <w:rPr>
          <w:b/>
          <w:bCs/>
          <w:iCs/>
          <w:szCs w:val="22"/>
        </w:rPr>
      </w:pPr>
      <w:r w:rsidRPr="009A27ED">
        <w:rPr>
          <w:rFonts w:ascii="Times New Roman" w:eastAsia="Times New Roman" w:hAnsi="Times New Roman"/>
          <w:b/>
          <w:bCs/>
          <w:iCs/>
          <w:sz w:val="24"/>
          <w:szCs w:val="22"/>
        </w:rPr>
        <w:lastRenderedPageBreak/>
        <w:t>Sequ</w:t>
      </w:r>
      <w:r w:rsidR="004B7076" w:rsidRPr="009A27ED">
        <w:rPr>
          <w:rFonts w:ascii="Times New Roman" w:eastAsia="Times New Roman" w:hAnsi="Times New Roman"/>
          <w:b/>
          <w:bCs/>
          <w:iCs/>
          <w:sz w:val="24"/>
          <w:szCs w:val="22"/>
        </w:rPr>
        <w:t>í</w:t>
      </w:r>
      <w:r w:rsidRPr="009A27ED">
        <w:rPr>
          <w:rFonts w:ascii="Times New Roman" w:eastAsia="Times New Roman" w:hAnsi="Times New Roman"/>
          <w:b/>
          <w:bCs/>
          <w:iCs/>
          <w:sz w:val="24"/>
          <w:szCs w:val="22"/>
        </w:rPr>
        <w:t>a</w:t>
      </w:r>
    </w:p>
    <w:p w14:paraId="5B1E4626" w14:textId="706721A3" w:rsidR="0004071A" w:rsidRPr="009A27ED" w:rsidRDefault="0004071A" w:rsidP="005B6485">
      <w:pPr>
        <w:spacing w:before="120" w:after="0" w:line="360" w:lineRule="auto"/>
        <w:rPr>
          <w:bCs/>
          <w:iCs/>
          <w:szCs w:val="22"/>
        </w:rPr>
      </w:pPr>
      <w:r w:rsidRPr="009A27ED">
        <w:rPr>
          <w:rFonts w:ascii="Times New Roman" w:eastAsia="Times New Roman" w:hAnsi="Times New Roman"/>
          <w:bCs/>
          <w:iCs/>
          <w:sz w:val="24"/>
          <w:szCs w:val="22"/>
        </w:rPr>
        <w:t xml:space="preserve">Entre 2013 y 2015 el país sufrió el impacto de una fuerte sequía cuya amplitud se debió al fenómeno de El Niño, afectando principalmente </w:t>
      </w:r>
      <w:r w:rsidR="004B7076" w:rsidRPr="009A27ED">
        <w:rPr>
          <w:rFonts w:ascii="Times New Roman" w:eastAsia="Times New Roman" w:hAnsi="Times New Roman"/>
          <w:bCs/>
          <w:iCs/>
          <w:sz w:val="24"/>
          <w:szCs w:val="22"/>
        </w:rPr>
        <w:t xml:space="preserve">a </w:t>
      </w:r>
      <w:r w:rsidRPr="009A27ED">
        <w:rPr>
          <w:rFonts w:ascii="Times New Roman" w:eastAsia="Times New Roman" w:hAnsi="Times New Roman"/>
          <w:bCs/>
          <w:iCs/>
          <w:sz w:val="24"/>
          <w:szCs w:val="22"/>
        </w:rPr>
        <w:t xml:space="preserve">las comunidades rurales y los productores agropecuarios. También hubo daños importantes en los bosques, sobre todo por la ocurrencia de incendios y la incidencia del </w:t>
      </w:r>
      <w:r w:rsidR="004B7076" w:rsidRPr="009A27ED">
        <w:rPr>
          <w:rFonts w:ascii="Times New Roman" w:eastAsia="Times New Roman" w:hAnsi="Times New Roman"/>
          <w:bCs/>
          <w:iCs/>
          <w:sz w:val="24"/>
          <w:szCs w:val="22"/>
        </w:rPr>
        <w:t xml:space="preserve">gusano </w:t>
      </w:r>
      <w:r w:rsidRPr="009A27ED">
        <w:rPr>
          <w:rFonts w:ascii="Times New Roman" w:eastAsia="Times New Roman" w:hAnsi="Times New Roman"/>
          <w:bCs/>
          <w:iCs/>
          <w:sz w:val="24"/>
          <w:szCs w:val="22"/>
        </w:rPr>
        <w:t>taladrador de corteza, que afectó una parte importante de la población de pino. Se estima que 1.6 millones de personas fueron severamente afectados por la escasez de agua. La producción pecuaria fue afectada, reportándose la muerte de ganado vacuno en las provincias de la región Noroeste, sobre todo en Santiago Rodríguez.</w:t>
      </w:r>
    </w:p>
    <w:p w14:paraId="1EFD2750" w14:textId="77777777" w:rsidR="004B7076" w:rsidRPr="009A27ED" w:rsidRDefault="0004071A" w:rsidP="005B6485">
      <w:pPr>
        <w:spacing w:before="120" w:after="0" w:line="360" w:lineRule="auto"/>
        <w:rPr>
          <w:bCs/>
          <w:iCs/>
          <w:szCs w:val="22"/>
        </w:rPr>
      </w:pPr>
      <w:r w:rsidRPr="009A27ED">
        <w:rPr>
          <w:rFonts w:ascii="Times New Roman" w:eastAsia="Times New Roman" w:hAnsi="Times New Roman"/>
          <w:bCs/>
          <w:iCs/>
          <w:sz w:val="24"/>
          <w:szCs w:val="22"/>
        </w:rPr>
        <w:t>Para evaluar el impacto causado por esta sequía, la organización internacional Oxfam realizó dos estudios de caso en las plantaciones de arroz de la Provincia Montecristi y en plantaciones de plátano de la Provincia Bahoruco, aportando los siguientes datos: decrecimiento de la producción de plátano entre 20 y 30% en el 2014 hasta alcanzar valores nulos en el 2015, en la Provincia de Bahoruco y en la Provincia de Montecristi, pérdida entre 95 y 100% de la cosecha para el 75 % de los productores de arroz.</w:t>
      </w:r>
    </w:p>
    <w:p w14:paraId="1AA30953" w14:textId="492F9A51" w:rsidR="002F3F2C" w:rsidRPr="009A27ED" w:rsidRDefault="0004071A" w:rsidP="00E67CB0">
      <w:pPr>
        <w:pStyle w:val="Prrafodelista"/>
        <w:numPr>
          <w:ilvl w:val="0"/>
          <w:numId w:val="295"/>
        </w:numPr>
        <w:spacing w:before="120" w:after="0" w:line="360" w:lineRule="auto"/>
        <w:rPr>
          <w:b/>
          <w:szCs w:val="22"/>
          <w:lang w:val="es-MX"/>
        </w:rPr>
      </w:pPr>
      <w:r w:rsidRPr="009A27ED">
        <w:rPr>
          <w:rFonts w:ascii="Times New Roman" w:eastAsia="Times New Roman" w:hAnsi="Times New Roman"/>
          <w:b/>
          <w:sz w:val="24"/>
          <w:szCs w:val="22"/>
          <w:lang w:val="es-MX"/>
        </w:rPr>
        <w:t>Áreas protegidas</w:t>
      </w:r>
    </w:p>
    <w:p w14:paraId="7165A768" w14:textId="3307A02A" w:rsidR="0004071A" w:rsidRPr="009A27ED" w:rsidRDefault="0004071A" w:rsidP="005B6485">
      <w:pPr>
        <w:spacing w:before="120" w:after="0" w:line="360" w:lineRule="auto"/>
        <w:rPr>
          <w:bCs/>
          <w:iCs/>
          <w:szCs w:val="22"/>
        </w:rPr>
      </w:pPr>
      <w:r w:rsidRPr="009A27ED">
        <w:rPr>
          <w:rFonts w:ascii="Times New Roman" w:eastAsia="Times New Roman" w:hAnsi="Times New Roman"/>
          <w:sz w:val="24"/>
          <w:szCs w:val="22"/>
          <w:lang w:val="es-MX"/>
        </w:rPr>
        <w:t xml:space="preserve">La República Dominicana cuenta con 128 unidades de conservación que </w:t>
      </w:r>
      <w:r w:rsidR="004B7076" w:rsidRPr="009A27ED">
        <w:rPr>
          <w:rFonts w:ascii="Times New Roman" w:eastAsia="Times New Roman" w:hAnsi="Times New Roman"/>
          <w:sz w:val="24"/>
          <w:szCs w:val="22"/>
          <w:lang w:val="es-MX"/>
        </w:rPr>
        <w:t>conforman el</w:t>
      </w:r>
      <w:r w:rsidRPr="009A27ED">
        <w:rPr>
          <w:rFonts w:ascii="Times New Roman" w:eastAsia="Times New Roman" w:hAnsi="Times New Roman"/>
          <w:sz w:val="24"/>
          <w:szCs w:val="22"/>
          <w:lang w:val="es-MX"/>
        </w:rPr>
        <w:t xml:space="preserve"> Sistema Nacional de Áreas Protegidas (SINAP) y forman parte fundamental de la política nacional de conservación de la biodiversidad. Estas áreas han sido clasificadas en seis categorías y trece subcategorías de manejo, </w:t>
      </w:r>
      <w:r w:rsidR="00D560C6" w:rsidRPr="009A27ED">
        <w:rPr>
          <w:rFonts w:ascii="Times New Roman" w:eastAsia="Times New Roman" w:hAnsi="Times New Roman"/>
          <w:sz w:val="24"/>
          <w:szCs w:val="22"/>
          <w:lang w:val="es-MX"/>
        </w:rPr>
        <w:t>que cubren</w:t>
      </w:r>
      <w:r w:rsidRPr="009A27ED">
        <w:rPr>
          <w:rFonts w:ascii="Times New Roman" w:eastAsia="Times New Roman" w:hAnsi="Times New Roman"/>
          <w:sz w:val="24"/>
          <w:szCs w:val="22"/>
          <w:lang w:val="es-MX"/>
        </w:rPr>
        <w:t xml:space="preserve"> una superficie terrestre de 12,442.08 km², equivalentes al 25.81% del territorio nacional. En estas unidades de conservación están protegidas muestras representativas de los principales ecosistemas, y más del 90% de las especies de flora y fauna endémicas reportadas en el país. El 55% del territorio que ocupan las áreas protegidas está cubierto por bosques. </w:t>
      </w:r>
      <w:hyperlink r:id="rId35" w:history="1">
        <w:r w:rsidRPr="009A27ED">
          <w:rPr>
            <w:color w:val="8496B0" w:themeColor="text2" w:themeTint="99"/>
            <w:szCs w:val="22"/>
            <w:u w:val="single"/>
            <w:lang w:val="es-MX"/>
          </w:rPr>
          <w:t>http://ambiente.gob.do/viceministerio-areas-protegidas-y-biodiversidad</w:t>
        </w:r>
      </w:hyperlink>
    </w:p>
    <w:p w14:paraId="2C79C479" w14:textId="77777777" w:rsidR="0004071A" w:rsidRPr="009A27ED" w:rsidRDefault="0004071A" w:rsidP="005B6485">
      <w:pPr>
        <w:spacing w:before="120" w:after="0" w:line="360" w:lineRule="auto"/>
        <w:rPr>
          <w:bCs/>
          <w:iCs/>
          <w:szCs w:val="22"/>
        </w:rPr>
      </w:pPr>
      <w:r w:rsidRPr="009A27ED">
        <w:rPr>
          <w:rFonts w:ascii="Times New Roman" w:eastAsia="Times New Roman" w:hAnsi="Times New Roman"/>
          <w:bCs/>
          <w:iCs/>
          <w:sz w:val="24"/>
          <w:szCs w:val="22"/>
        </w:rPr>
        <w:t xml:space="preserve">El SINAP comprende la mayor parte de la biodiversidad terrestre de la República Dominicana y algunos ecosistemas marinos. Los bosques de pino y los bosques húmedos de la República </w:t>
      </w:r>
      <w:proofErr w:type="gramStart"/>
      <w:r w:rsidRPr="009A27ED">
        <w:rPr>
          <w:rFonts w:ascii="Times New Roman" w:eastAsia="Times New Roman" w:hAnsi="Times New Roman"/>
          <w:bCs/>
          <w:iCs/>
          <w:sz w:val="24"/>
          <w:szCs w:val="22"/>
        </w:rPr>
        <w:t>Dominicana,</w:t>
      </w:r>
      <w:proofErr w:type="gramEnd"/>
      <w:r w:rsidRPr="009A27ED">
        <w:rPr>
          <w:rFonts w:ascii="Times New Roman" w:eastAsia="Times New Roman" w:hAnsi="Times New Roman"/>
          <w:bCs/>
          <w:iCs/>
          <w:sz w:val="24"/>
          <w:szCs w:val="22"/>
        </w:rPr>
        <w:t xml:space="preserve"> están casi en su totalidad en las áreas protegidas. El SINAP cumple la meta de protección para grandes ecosistemas terrestres – bosque seco, bosque húmedo y bosque de pino – asumida por la República Dominicana bajo la Convención sobre Diversidad Biológica (CDB) (</w:t>
      </w:r>
      <w:proofErr w:type="spellStart"/>
      <w:r w:rsidRPr="009A27ED">
        <w:rPr>
          <w:rFonts w:ascii="Times New Roman" w:eastAsia="Times New Roman" w:hAnsi="Times New Roman"/>
          <w:bCs/>
          <w:iCs/>
          <w:sz w:val="24"/>
          <w:szCs w:val="22"/>
        </w:rPr>
        <w:t>MMAyRN</w:t>
      </w:r>
      <w:proofErr w:type="spellEnd"/>
      <w:r w:rsidRPr="009A27ED">
        <w:rPr>
          <w:rFonts w:ascii="Times New Roman" w:eastAsia="Times New Roman" w:hAnsi="Times New Roman"/>
          <w:bCs/>
          <w:iCs/>
          <w:sz w:val="24"/>
          <w:szCs w:val="22"/>
        </w:rPr>
        <w:t>, 2009).</w:t>
      </w:r>
    </w:p>
    <w:p w14:paraId="4699C062" w14:textId="71777FB8" w:rsidR="0004071A" w:rsidRPr="009A27ED" w:rsidRDefault="0004071A" w:rsidP="005B6485">
      <w:pPr>
        <w:spacing w:before="120" w:after="0" w:line="360" w:lineRule="auto"/>
        <w:rPr>
          <w:bCs/>
          <w:iCs/>
          <w:szCs w:val="22"/>
        </w:rPr>
      </w:pPr>
      <w:r w:rsidRPr="009A27ED">
        <w:rPr>
          <w:rFonts w:ascii="Times New Roman" w:eastAsia="Times New Roman" w:hAnsi="Times New Roman"/>
          <w:bCs/>
          <w:iCs/>
          <w:sz w:val="24"/>
          <w:szCs w:val="22"/>
        </w:rPr>
        <w:lastRenderedPageBreak/>
        <w:t>Dentro de las áreas priorizadas existe una extensión de 4,998.46 km</w:t>
      </w:r>
      <w:r w:rsidRPr="009A27ED">
        <w:rPr>
          <w:rFonts w:ascii="Times New Roman" w:eastAsia="Times New Roman" w:hAnsi="Times New Roman"/>
          <w:bCs/>
          <w:iCs/>
          <w:sz w:val="24"/>
          <w:szCs w:val="22"/>
          <w:vertAlign w:val="superscript"/>
        </w:rPr>
        <w:t>2</w:t>
      </w:r>
      <w:r w:rsidRPr="009A27ED">
        <w:rPr>
          <w:rFonts w:ascii="Times New Roman" w:eastAsia="Times New Roman" w:hAnsi="Times New Roman"/>
          <w:bCs/>
          <w:iCs/>
          <w:sz w:val="24"/>
          <w:szCs w:val="22"/>
        </w:rPr>
        <w:t xml:space="preserve"> de áreas protegidas como y concentran 56 de las 126 unidades de Áreas Protegidas. El área 3 comprende el 41% del total de las áreas seleccionadas como priorizadas.</w:t>
      </w:r>
    </w:p>
    <w:p w14:paraId="7845EF31" w14:textId="77777777" w:rsidR="00654D6A" w:rsidRPr="009A27ED" w:rsidRDefault="0004071A" w:rsidP="00654D6A">
      <w:pPr>
        <w:pStyle w:val="Encabezado"/>
        <w:keepNext/>
        <w:spacing w:line="360" w:lineRule="auto"/>
        <w:contextualSpacing/>
        <w:jc w:val="both"/>
      </w:pPr>
      <w:r w:rsidRPr="009A27ED">
        <w:rPr>
          <w:rFonts w:asciiTheme="minorHAnsi" w:hAnsiTheme="minorHAnsi" w:cstheme="minorHAnsi"/>
          <w:noProof/>
          <w:sz w:val="24"/>
          <w:lang w:val="en-US" w:eastAsia="en-US"/>
        </w:rPr>
        <w:drawing>
          <wp:inline distT="0" distB="0" distL="0" distR="0" wp14:anchorId="44B18EAB" wp14:editId="44F19F07">
            <wp:extent cx="4832957" cy="3609893"/>
            <wp:effectExtent l="0" t="0" r="6350" b="10160"/>
            <wp:docPr id="22"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55EC4114" w14:textId="1EBE0845" w:rsidR="00A07D41" w:rsidRPr="009A27ED" w:rsidRDefault="00654D6A" w:rsidP="00654D6A">
      <w:pPr>
        <w:pStyle w:val="Descripcin"/>
        <w:spacing w:line="360" w:lineRule="auto"/>
      </w:pPr>
      <w:bookmarkStart w:id="140" w:name="_Toc111892203"/>
      <w:r w:rsidRPr="009A27ED">
        <w:rPr>
          <w:rFonts w:ascii="Times New Roman" w:eastAsia="Times New Roman" w:hAnsi="Times New Roman"/>
          <w:sz w:val="24"/>
        </w:rPr>
        <w:t xml:space="preserve">Grafica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Grafica_ \* ARABIC </w:instrText>
      </w:r>
      <w:r w:rsidRPr="009A27ED">
        <w:rPr>
          <w:rFonts w:ascii="Times New Roman" w:eastAsia="Times New Roman" w:hAnsi="Times New Roman"/>
          <w:sz w:val="24"/>
        </w:rPr>
        <w:fldChar w:fldCharType="separate"/>
      </w:r>
      <w:r w:rsidR="00750181" w:rsidRPr="009A27ED">
        <w:rPr>
          <w:rFonts w:ascii="Times New Roman" w:eastAsia="Times New Roman" w:hAnsi="Times New Roman"/>
          <w:noProof/>
          <w:sz w:val="24"/>
        </w:rPr>
        <w:t>1</w:t>
      </w:r>
      <w:r w:rsidRPr="009A27ED">
        <w:rPr>
          <w:rFonts w:ascii="Times New Roman" w:eastAsia="Times New Roman" w:hAnsi="Times New Roman"/>
          <w:sz w:val="24"/>
        </w:rPr>
        <w:fldChar w:fldCharType="end"/>
      </w:r>
      <w:r w:rsidRPr="009A27ED">
        <w:rPr>
          <w:rFonts w:ascii="Times New Roman" w:eastAsia="Times New Roman" w:hAnsi="Times New Roman"/>
          <w:sz w:val="24"/>
        </w:rPr>
        <w:t>. Áreas protegidas en áreas priorizadas</w:t>
      </w:r>
      <w:bookmarkEnd w:id="140"/>
    </w:p>
    <w:p w14:paraId="6C05FC60" w14:textId="588D0732" w:rsidR="003C223E" w:rsidRPr="009A27ED" w:rsidRDefault="003C223E" w:rsidP="002F3F2C">
      <w:pPr>
        <w:spacing w:line="360" w:lineRule="auto"/>
        <w:rPr>
          <w:i/>
          <w:sz w:val="20"/>
          <w:szCs w:val="20"/>
          <w:lang w:val="pt-BR"/>
        </w:rPr>
        <w:sectPr w:rsidR="003C223E" w:rsidRPr="009A27ED" w:rsidSect="00BC6D88">
          <w:pgSz w:w="17035" w:h="15840" w:code="1"/>
          <w:pgMar w:top="1417" w:right="6496" w:bottom="1417" w:left="1701" w:header="708" w:footer="708" w:gutter="0"/>
          <w:cols w:space="708"/>
          <w:docGrid w:linePitch="360"/>
        </w:sectPr>
      </w:pPr>
    </w:p>
    <w:p w14:paraId="2E623102" w14:textId="234C69F2" w:rsidR="00B90A11" w:rsidRPr="009A27ED" w:rsidRDefault="0004071A" w:rsidP="00B90A11">
      <w:pPr>
        <w:pStyle w:val="Prrafodelista"/>
        <w:numPr>
          <w:ilvl w:val="0"/>
          <w:numId w:val="295"/>
        </w:numPr>
        <w:spacing w:line="360" w:lineRule="auto"/>
        <w:rPr>
          <w:b/>
          <w:szCs w:val="22"/>
          <w:lang w:val="es-MX"/>
        </w:rPr>
      </w:pPr>
      <w:r w:rsidRPr="009A27ED">
        <w:rPr>
          <w:rFonts w:ascii="Times New Roman" w:eastAsia="Times New Roman" w:hAnsi="Times New Roman"/>
          <w:b/>
          <w:sz w:val="24"/>
          <w:szCs w:val="22"/>
          <w:lang w:val="es-MX"/>
        </w:rPr>
        <w:lastRenderedPageBreak/>
        <w:t>Flora y Fauna (característic</w:t>
      </w:r>
      <w:r w:rsidR="002F3F2C" w:rsidRPr="009A27ED">
        <w:rPr>
          <w:rFonts w:ascii="Times New Roman" w:eastAsia="Times New Roman" w:hAnsi="Times New Roman"/>
          <w:b/>
          <w:sz w:val="24"/>
          <w:szCs w:val="22"/>
          <w:lang w:val="es-MX"/>
        </w:rPr>
        <w:t>as de los bosques en cada área)</w:t>
      </w:r>
    </w:p>
    <w:p w14:paraId="5D4D2C25" w14:textId="3C5F8080" w:rsidR="00170677" w:rsidRPr="009A27ED" w:rsidRDefault="00170677" w:rsidP="00170677">
      <w:pPr>
        <w:pStyle w:val="Descripcin"/>
        <w:keepNext/>
        <w:spacing w:line="360" w:lineRule="auto"/>
      </w:pPr>
      <w:bookmarkStart w:id="141" w:name="_Toc111887424"/>
      <w:r w:rsidRPr="009A27ED">
        <w:rPr>
          <w:rFonts w:ascii="Times New Roman" w:eastAsia="Times New Roman" w:hAnsi="Times New Roman"/>
          <w:sz w:val="24"/>
        </w:rPr>
        <w:t xml:space="preserve">Cuadro </w:t>
      </w:r>
      <w:r w:rsidR="00F43DB6" w:rsidRPr="009A27ED">
        <w:rPr>
          <w:rFonts w:ascii="Times New Roman" w:eastAsia="Times New Roman" w:hAnsi="Times New Roman"/>
          <w:sz w:val="24"/>
        </w:rPr>
        <w:fldChar w:fldCharType="begin"/>
      </w:r>
      <w:r w:rsidR="00F43DB6" w:rsidRPr="009A27ED">
        <w:rPr>
          <w:rFonts w:ascii="Times New Roman" w:eastAsia="Times New Roman" w:hAnsi="Times New Roman"/>
          <w:sz w:val="24"/>
        </w:rPr>
        <w:instrText xml:space="preserve"> SEQ Cuadro \* ARABIC </w:instrText>
      </w:r>
      <w:r w:rsidR="00F43DB6"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14</w:t>
      </w:r>
      <w:r w:rsidR="00F43DB6" w:rsidRPr="009A27ED">
        <w:rPr>
          <w:rFonts w:ascii="Times New Roman" w:eastAsia="Times New Roman" w:hAnsi="Times New Roman"/>
          <w:sz w:val="24"/>
        </w:rPr>
        <w:fldChar w:fldCharType="end"/>
      </w:r>
      <w:r w:rsidRPr="009A27ED">
        <w:rPr>
          <w:rFonts w:ascii="Times New Roman" w:eastAsia="Times New Roman" w:hAnsi="Times New Roman"/>
          <w:color w:val="000000" w:themeColor="text1"/>
          <w:sz w:val="24"/>
          <w:lang w:val="pt-BR"/>
        </w:rPr>
        <w:t>. Cobertura de áreas protegidas por área priorizada</w:t>
      </w:r>
      <w:bookmarkEnd w:id="141"/>
    </w:p>
    <w:tbl>
      <w:tblPr>
        <w:tblW w:w="5000" w:type="pct"/>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70" w:type="dxa"/>
          <w:right w:w="70" w:type="dxa"/>
        </w:tblCellMar>
        <w:tblLook w:val="04A0" w:firstRow="1" w:lastRow="0" w:firstColumn="1" w:lastColumn="0" w:noHBand="0" w:noVBand="1"/>
      </w:tblPr>
      <w:tblGrid>
        <w:gridCol w:w="1159"/>
        <w:gridCol w:w="2189"/>
        <w:gridCol w:w="1710"/>
        <w:gridCol w:w="782"/>
        <w:gridCol w:w="938"/>
        <w:gridCol w:w="634"/>
        <w:gridCol w:w="964"/>
        <w:gridCol w:w="541"/>
        <w:gridCol w:w="964"/>
        <w:gridCol w:w="541"/>
        <w:gridCol w:w="1772"/>
        <w:gridCol w:w="800"/>
      </w:tblGrid>
      <w:tr w:rsidR="00B90A11" w:rsidRPr="009A27ED" w14:paraId="20510338" w14:textId="77777777" w:rsidTr="00170677">
        <w:trPr>
          <w:trHeight w:val="300"/>
        </w:trPr>
        <w:tc>
          <w:tcPr>
            <w:tcW w:w="446" w:type="pct"/>
            <w:vMerge w:val="restart"/>
            <w:shd w:val="clear" w:color="auto" w:fill="2E74B5" w:themeFill="accent1" w:themeFillShade="BF"/>
            <w:noWrap/>
            <w:vAlign w:val="center"/>
            <w:hideMark/>
          </w:tcPr>
          <w:p w14:paraId="7F65DD4B" w14:textId="77777777" w:rsidR="00042E46" w:rsidRPr="009A27ED" w:rsidRDefault="00042E46" w:rsidP="00042E46">
            <w:pPr>
              <w:spacing w:after="0"/>
              <w:jc w:val="center"/>
              <w:rPr>
                <w:rFonts w:ascii="Calibri" w:eastAsia="Times New Roman" w:hAnsi="Calibri" w:cs="Calibri"/>
                <w:b/>
                <w:bCs/>
                <w:color w:val="FFFFFF" w:themeColor="background1"/>
                <w:sz w:val="20"/>
                <w:szCs w:val="20"/>
                <w:lang w:val="es-GT" w:eastAsia="es-ES_tradnl"/>
              </w:rPr>
            </w:pPr>
            <w:r w:rsidRPr="009A27ED">
              <w:rPr>
                <w:rFonts w:ascii="Calibri" w:eastAsia="Times New Roman" w:hAnsi="Calibri" w:cs="Calibri"/>
                <w:b/>
                <w:bCs/>
                <w:color w:val="FFFFFF" w:themeColor="background1"/>
                <w:sz w:val="20"/>
                <w:szCs w:val="20"/>
                <w:lang w:val="es-GT" w:eastAsia="es-ES_tradnl"/>
              </w:rPr>
              <w:t>Código</w:t>
            </w:r>
          </w:p>
        </w:tc>
        <w:tc>
          <w:tcPr>
            <w:tcW w:w="842" w:type="pct"/>
            <w:vMerge w:val="restart"/>
            <w:shd w:val="clear" w:color="auto" w:fill="2E74B5" w:themeFill="accent1" w:themeFillShade="BF"/>
            <w:noWrap/>
            <w:vAlign w:val="center"/>
            <w:hideMark/>
          </w:tcPr>
          <w:p w14:paraId="01E79271" w14:textId="77777777" w:rsidR="00042E46" w:rsidRPr="009A27ED" w:rsidRDefault="00042E46" w:rsidP="00042E46">
            <w:pPr>
              <w:spacing w:after="0"/>
              <w:jc w:val="center"/>
              <w:rPr>
                <w:rFonts w:ascii="Calibri" w:eastAsia="Times New Roman" w:hAnsi="Calibri" w:cs="Calibri"/>
                <w:b/>
                <w:bCs/>
                <w:color w:val="FFFFFF" w:themeColor="background1"/>
                <w:sz w:val="20"/>
                <w:szCs w:val="20"/>
                <w:lang w:val="es-GT" w:eastAsia="es-ES_tradnl"/>
              </w:rPr>
            </w:pPr>
            <w:r w:rsidRPr="009A27ED">
              <w:rPr>
                <w:rFonts w:ascii="Calibri" w:eastAsia="Times New Roman" w:hAnsi="Calibri" w:cs="Calibri"/>
                <w:b/>
                <w:bCs/>
                <w:color w:val="FFFFFF" w:themeColor="background1"/>
                <w:sz w:val="20"/>
                <w:szCs w:val="20"/>
                <w:lang w:val="es-GT" w:eastAsia="es-ES_tradnl"/>
              </w:rPr>
              <w:t>CLASES</w:t>
            </w:r>
          </w:p>
        </w:tc>
        <w:tc>
          <w:tcPr>
            <w:tcW w:w="959" w:type="pct"/>
            <w:gridSpan w:val="2"/>
            <w:shd w:val="clear" w:color="auto" w:fill="2E74B5" w:themeFill="accent1" w:themeFillShade="BF"/>
            <w:noWrap/>
            <w:vAlign w:val="bottom"/>
            <w:hideMark/>
          </w:tcPr>
          <w:p w14:paraId="2BE9A6D5" w14:textId="6F3BCEB5" w:rsidR="00042E46" w:rsidRPr="009A27ED" w:rsidRDefault="00F65984" w:rsidP="00042E46">
            <w:pPr>
              <w:spacing w:after="0"/>
              <w:jc w:val="center"/>
              <w:rPr>
                <w:rFonts w:ascii="Calibri" w:eastAsia="Times New Roman" w:hAnsi="Calibri" w:cs="Calibri"/>
                <w:b/>
                <w:bCs/>
                <w:color w:val="FFFFFF" w:themeColor="background1"/>
                <w:sz w:val="20"/>
                <w:szCs w:val="20"/>
                <w:lang w:val="es-GT" w:eastAsia="es-ES_tradnl"/>
              </w:rPr>
            </w:pPr>
            <w:r w:rsidRPr="009A27ED">
              <w:rPr>
                <w:rFonts w:ascii="Calibri" w:eastAsia="Times New Roman" w:hAnsi="Calibri" w:cs="Calibri"/>
                <w:b/>
                <w:bCs/>
                <w:color w:val="FFFFFF" w:themeColor="background1"/>
                <w:sz w:val="20"/>
                <w:szCs w:val="20"/>
                <w:lang w:val="es-GT" w:eastAsia="es-ES_tradnl"/>
              </w:rPr>
              <w:t>Á</w:t>
            </w:r>
            <w:r w:rsidR="00042E46" w:rsidRPr="009A27ED">
              <w:rPr>
                <w:rFonts w:ascii="Calibri" w:eastAsia="Times New Roman" w:hAnsi="Calibri" w:cs="Calibri"/>
                <w:b/>
                <w:bCs/>
                <w:color w:val="FFFFFF" w:themeColor="background1"/>
                <w:sz w:val="20"/>
                <w:szCs w:val="20"/>
                <w:lang w:val="es-GT" w:eastAsia="es-ES_tradnl"/>
              </w:rPr>
              <w:t>REA 1</w:t>
            </w:r>
          </w:p>
        </w:tc>
        <w:tc>
          <w:tcPr>
            <w:tcW w:w="604" w:type="pct"/>
            <w:gridSpan w:val="2"/>
            <w:shd w:val="clear" w:color="auto" w:fill="2E74B5" w:themeFill="accent1" w:themeFillShade="BF"/>
            <w:noWrap/>
            <w:vAlign w:val="bottom"/>
            <w:hideMark/>
          </w:tcPr>
          <w:p w14:paraId="3DB2128C" w14:textId="6475ED1D" w:rsidR="00042E46" w:rsidRPr="009A27ED" w:rsidRDefault="00F65984" w:rsidP="00042E46">
            <w:pPr>
              <w:spacing w:after="0"/>
              <w:jc w:val="center"/>
              <w:rPr>
                <w:rFonts w:ascii="Calibri" w:eastAsia="Times New Roman" w:hAnsi="Calibri" w:cs="Calibri"/>
                <w:b/>
                <w:bCs/>
                <w:color w:val="FFFFFF" w:themeColor="background1"/>
                <w:sz w:val="20"/>
                <w:szCs w:val="20"/>
                <w:lang w:val="es-GT" w:eastAsia="es-ES_tradnl"/>
              </w:rPr>
            </w:pPr>
            <w:r w:rsidRPr="009A27ED">
              <w:rPr>
                <w:rFonts w:ascii="Calibri" w:eastAsia="Times New Roman" w:hAnsi="Calibri" w:cs="Calibri"/>
                <w:b/>
                <w:bCs/>
                <w:color w:val="FFFFFF" w:themeColor="background1"/>
                <w:sz w:val="20"/>
                <w:szCs w:val="20"/>
                <w:lang w:val="es-GT" w:eastAsia="es-ES_tradnl"/>
              </w:rPr>
              <w:t>Á</w:t>
            </w:r>
            <w:r w:rsidR="00042E46" w:rsidRPr="009A27ED">
              <w:rPr>
                <w:rFonts w:ascii="Calibri" w:eastAsia="Times New Roman" w:hAnsi="Calibri" w:cs="Calibri"/>
                <w:b/>
                <w:bCs/>
                <w:color w:val="FFFFFF" w:themeColor="background1"/>
                <w:sz w:val="20"/>
                <w:szCs w:val="20"/>
                <w:lang w:val="es-GT" w:eastAsia="es-ES_tradnl"/>
              </w:rPr>
              <w:t>REA 2</w:t>
            </w:r>
          </w:p>
        </w:tc>
        <w:tc>
          <w:tcPr>
            <w:tcW w:w="578" w:type="pct"/>
            <w:gridSpan w:val="2"/>
            <w:shd w:val="clear" w:color="auto" w:fill="2E74B5" w:themeFill="accent1" w:themeFillShade="BF"/>
            <w:noWrap/>
            <w:vAlign w:val="bottom"/>
            <w:hideMark/>
          </w:tcPr>
          <w:p w14:paraId="737E552E" w14:textId="1B165904" w:rsidR="00042E46" w:rsidRPr="009A27ED" w:rsidRDefault="00F65984" w:rsidP="00042E46">
            <w:pPr>
              <w:spacing w:after="0"/>
              <w:jc w:val="center"/>
              <w:rPr>
                <w:rFonts w:ascii="Calibri" w:eastAsia="Times New Roman" w:hAnsi="Calibri" w:cs="Calibri"/>
                <w:b/>
                <w:bCs/>
                <w:color w:val="FFFFFF" w:themeColor="background1"/>
                <w:sz w:val="20"/>
                <w:szCs w:val="20"/>
                <w:lang w:val="es-GT" w:eastAsia="es-ES_tradnl"/>
              </w:rPr>
            </w:pPr>
            <w:r w:rsidRPr="009A27ED">
              <w:rPr>
                <w:rFonts w:ascii="Calibri" w:eastAsia="Times New Roman" w:hAnsi="Calibri" w:cs="Calibri"/>
                <w:b/>
                <w:bCs/>
                <w:color w:val="FFFFFF" w:themeColor="background1"/>
                <w:sz w:val="20"/>
                <w:szCs w:val="20"/>
                <w:lang w:val="es-GT" w:eastAsia="es-ES_tradnl"/>
              </w:rPr>
              <w:t>Á</w:t>
            </w:r>
            <w:r w:rsidR="00042E46" w:rsidRPr="009A27ED">
              <w:rPr>
                <w:rFonts w:ascii="Calibri" w:eastAsia="Times New Roman" w:hAnsi="Calibri" w:cs="Calibri"/>
                <w:b/>
                <w:bCs/>
                <w:color w:val="FFFFFF" w:themeColor="background1"/>
                <w:sz w:val="20"/>
                <w:szCs w:val="20"/>
                <w:lang w:val="es-GT" w:eastAsia="es-ES_tradnl"/>
              </w:rPr>
              <w:t>REA 3</w:t>
            </w:r>
          </w:p>
        </w:tc>
        <w:tc>
          <w:tcPr>
            <w:tcW w:w="578" w:type="pct"/>
            <w:gridSpan w:val="2"/>
            <w:shd w:val="clear" w:color="auto" w:fill="2E74B5" w:themeFill="accent1" w:themeFillShade="BF"/>
            <w:noWrap/>
            <w:vAlign w:val="bottom"/>
            <w:hideMark/>
          </w:tcPr>
          <w:p w14:paraId="5096BB1F" w14:textId="43619C02" w:rsidR="00042E46" w:rsidRPr="009A27ED" w:rsidRDefault="00F65984" w:rsidP="00042E46">
            <w:pPr>
              <w:spacing w:after="0"/>
              <w:jc w:val="center"/>
              <w:rPr>
                <w:rFonts w:ascii="Calibri" w:eastAsia="Times New Roman" w:hAnsi="Calibri" w:cs="Calibri"/>
                <w:b/>
                <w:bCs/>
                <w:color w:val="FFFFFF" w:themeColor="background1"/>
                <w:sz w:val="20"/>
                <w:szCs w:val="20"/>
                <w:lang w:val="es-GT" w:eastAsia="es-ES_tradnl"/>
              </w:rPr>
            </w:pPr>
            <w:r w:rsidRPr="009A27ED">
              <w:rPr>
                <w:rFonts w:ascii="Calibri" w:eastAsia="Times New Roman" w:hAnsi="Calibri" w:cs="Calibri"/>
                <w:b/>
                <w:bCs/>
                <w:color w:val="FFFFFF" w:themeColor="background1"/>
                <w:sz w:val="20"/>
                <w:szCs w:val="20"/>
                <w:lang w:val="es-GT" w:eastAsia="es-ES_tradnl"/>
              </w:rPr>
              <w:t>Á</w:t>
            </w:r>
            <w:r w:rsidR="00042E46" w:rsidRPr="009A27ED">
              <w:rPr>
                <w:rFonts w:ascii="Calibri" w:eastAsia="Times New Roman" w:hAnsi="Calibri" w:cs="Calibri"/>
                <w:b/>
                <w:bCs/>
                <w:color w:val="FFFFFF" w:themeColor="background1"/>
                <w:sz w:val="20"/>
                <w:szCs w:val="20"/>
                <w:lang w:val="es-GT" w:eastAsia="es-ES_tradnl"/>
              </w:rPr>
              <w:t>REA 4</w:t>
            </w:r>
          </w:p>
        </w:tc>
        <w:tc>
          <w:tcPr>
            <w:tcW w:w="992" w:type="pct"/>
            <w:gridSpan w:val="2"/>
            <w:shd w:val="clear" w:color="auto" w:fill="2E74B5" w:themeFill="accent1" w:themeFillShade="BF"/>
            <w:noWrap/>
            <w:vAlign w:val="bottom"/>
            <w:hideMark/>
          </w:tcPr>
          <w:p w14:paraId="41958661" w14:textId="12AAE35A" w:rsidR="00042E46" w:rsidRPr="009A27ED" w:rsidRDefault="00F65984" w:rsidP="00042E46">
            <w:pPr>
              <w:spacing w:after="0"/>
              <w:jc w:val="center"/>
              <w:rPr>
                <w:rFonts w:ascii="Calibri" w:eastAsia="Times New Roman" w:hAnsi="Calibri" w:cs="Calibri"/>
                <w:b/>
                <w:bCs/>
                <w:color w:val="FFFFFF" w:themeColor="background1"/>
                <w:sz w:val="20"/>
                <w:szCs w:val="20"/>
                <w:lang w:val="es-GT" w:eastAsia="es-ES_tradnl"/>
              </w:rPr>
            </w:pPr>
            <w:r w:rsidRPr="009A27ED">
              <w:rPr>
                <w:rFonts w:ascii="Calibri" w:eastAsia="Times New Roman" w:hAnsi="Calibri" w:cs="Calibri"/>
                <w:b/>
                <w:bCs/>
                <w:color w:val="FFFFFF" w:themeColor="background1"/>
                <w:sz w:val="20"/>
                <w:szCs w:val="20"/>
                <w:lang w:val="es-GT" w:eastAsia="es-ES_tradnl"/>
              </w:rPr>
              <w:t>Á</w:t>
            </w:r>
            <w:r w:rsidR="00042E46" w:rsidRPr="009A27ED">
              <w:rPr>
                <w:rFonts w:ascii="Calibri" w:eastAsia="Times New Roman" w:hAnsi="Calibri" w:cs="Calibri"/>
                <w:b/>
                <w:bCs/>
                <w:color w:val="FFFFFF" w:themeColor="background1"/>
                <w:sz w:val="20"/>
                <w:szCs w:val="20"/>
                <w:lang w:val="es-GT" w:eastAsia="es-ES_tradnl"/>
              </w:rPr>
              <w:t>REA 5</w:t>
            </w:r>
          </w:p>
        </w:tc>
      </w:tr>
      <w:tr w:rsidR="00B90A11" w:rsidRPr="009A27ED" w14:paraId="614A6080" w14:textId="77777777" w:rsidTr="00170677">
        <w:trPr>
          <w:trHeight w:val="435"/>
        </w:trPr>
        <w:tc>
          <w:tcPr>
            <w:tcW w:w="446" w:type="pct"/>
            <w:vMerge/>
            <w:shd w:val="clear" w:color="auto" w:fill="2E74B5" w:themeFill="accent1" w:themeFillShade="BF"/>
            <w:vAlign w:val="center"/>
            <w:hideMark/>
          </w:tcPr>
          <w:p w14:paraId="5EF535DC" w14:textId="77777777" w:rsidR="00042E46" w:rsidRPr="009A27ED" w:rsidRDefault="00042E46" w:rsidP="00042E46">
            <w:pPr>
              <w:spacing w:after="0"/>
              <w:jc w:val="left"/>
              <w:rPr>
                <w:rFonts w:ascii="Calibri" w:eastAsia="Times New Roman" w:hAnsi="Calibri" w:cs="Calibri"/>
                <w:b/>
                <w:bCs/>
                <w:color w:val="FFFFFF" w:themeColor="background1"/>
                <w:sz w:val="20"/>
                <w:szCs w:val="20"/>
                <w:lang w:val="es-GT" w:eastAsia="es-ES_tradnl"/>
              </w:rPr>
            </w:pPr>
          </w:p>
        </w:tc>
        <w:tc>
          <w:tcPr>
            <w:tcW w:w="842" w:type="pct"/>
            <w:vMerge/>
            <w:shd w:val="clear" w:color="auto" w:fill="2E74B5" w:themeFill="accent1" w:themeFillShade="BF"/>
            <w:vAlign w:val="center"/>
            <w:hideMark/>
          </w:tcPr>
          <w:p w14:paraId="002033CF" w14:textId="77777777" w:rsidR="00042E46" w:rsidRPr="009A27ED" w:rsidRDefault="00042E46" w:rsidP="00042E46">
            <w:pPr>
              <w:spacing w:after="0"/>
              <w:jc w:val="left"/>
              <w:rPr>
                <w:rFonts w:ascii="Calibri" w:eastAsia="Times New Roman" w:hAnsi="Calibri" w:cs="Calibri"/>
                <w:b/>
                <w:bCs/>
                <w:color w:val="FFFFFF" w:themeColor="background1"/>
                <w:sz w:val="20"/>
                <w:szCs w:val="20"/>
                <w:lang w:val="es-GT" w:eastAsia="es-ES_tradnl"/>
              </w:rPr>
            </w:pPr>
          </w:p>
        </w:tc>
        <w:tc>
          <w:tcPr>
            <w:tcW w:w="658" w:type="pct"/>
            <w:shd w:val="clear" w:color="auto" w:fill="2E74B5" w:themeFill="accent1" w:themeFillShade="BF"/>
            <w:noWrap/>
            <w:vAlign w:val="center"/>
            <w:hideMark/>
          </w:tcPr>
          <w:p w14:paraId="6E703B7A" w14:textId="40E0B961" w:rsidR="00042E46" w:rsidRPr="009A27ED" w:rsidRDefault="00F65984" w:rsidP="00042E46">
            <w:pPr>
              <w:spacing w:after="0"/>
              <w:jc w:val="center"/>
              <w:rPr>
                <w:rFonts w:ascii="Calibri" w:eastAsia="Times New Roman" w:hAnsi="Calibri" w:cs="Calibri"/>
                <w:b/>
                <w:bCs/>
                <w:color w:val="FFFFFF" w:themeColor="background1"/>
                <w:sz w:val="20"/>
                <w:szCs w:val="20"/>
                <w:lang w:val="es-GT" w:eastAsia="es-ES_tradnl"/>
              </w:rPr>
            </w:pPr>
            <w:r w:rsidRPr="009A27ED">
              <w:rPr>
                <w:rFonts w:ascii="Calibri" w:eastAsia="Times New Roman" w:hAnsi="Calibri" w:cs="Calibri"/>
                <w:b/>
                <w:bCs/>
                <w:color w:val="FFFFFF" w:themeColor="background1"/>
                <w:sz w:val="20"/>
                <w:szCs w:val="20"/>
                <w:lang w:val="es-GT" w:eastAsia="es-ES_tradnl"/>
              </w:rPr>
              <w:t>Área</w:t>
            </w:r>
            <w:r w:rsidR="00042E46" w:rsidRPr="009A27ED">
              <w:rPr>
                <w:rFonts w:ascii="Calibri" w:eastAsia="Times New Roman" w:hAnsi="Calibri" w:cs="Calibri"/>
                <w:b/>
                <w:bCs/>
                <w:color w:val="FFFFFF" w:themeColor="background1"/>
                <w:sz w:val="20"/>
                <w:szCs w:val="20"/>
                <w:lang w:val="es-GT" w:eastAsia="es-ES_tradnl"/>
              </w:rPr>
              <w:t xml:space="preserve"> (Ha)</w:t>
            </w:r>
          </w:p>
        </w:tc>
        <w:tc>
          <w:tcPr>
            <w:tcW w:w="301" w:type="pct"/>
            <w:shd w:val="clear" w:color="auto" w:fill="2E74B5" w:themeFill="accent1" w:themeFillShade="BF"/>
            <w:noWrap/>
            <w:vAlign w:val="center"/>
            <w:hideMark/>
          </w:tcPr>
          <w:p w14:paraId="62A6A8C3" w14:textId="77777777" w:rsidR="00042E46" w:rsidRPr="009A27ED" w:rsidRDefault="00042E46" w:rsidP="00042E46">
            <w:pPr>
              <w:spacing w:after="0"/>
              <w:jc w:val="center"/>
              <w:rPr>
                <w:rFonts w:ascii="Calibri" w:eastAsia="Times New Roman" w:hAnsi="Calibri" w:cs="Calibri"/>
                <w:b/>
                <w:bCs/>
                <w:color w:val="FFFFFF" w:themeColor="background1"/>
                <w:sz w:val="20"/>
                <w:szCs w:val="20"/>
                <w:lang w:val="es-GT" w:eastAsia="es-ES_tradnl"/>
              </w:rPr>
            </w:pPr>
            <w:r w:rsidRPr="009A27ED">
              <w:rPr>
                <w:rFonts w:ascii="Calibri" w:eastAsia="Times New Roman" w:hAnsi="Calibri" w:cs="Calibri"/>
                <w:b/>
                <w:bCs/>
                <w:color w:val="FFFFFF" w:themeColor="background1"/>
                <w:sz w:val="20"/>
                <w:szCs w:val="20"/>
                <w:lang w:val="es-GT" w:eastAsia="es-ES_tradnl"/>
              </w:rPr>
              <w:t>%</w:t>
            </w:r>
          </w:p>
        </w:tc>
        <w:tc>
          <w:tcPr>
            <w:tcW w:w="361" w:type="pct"/>
            <w:shd w:val="clear" w:color="auto" w:fill="2E74B5" w:themeFill="accent1" w:themeFillShade="BF"/>
            <w:noWrap/>
            <w:vAlign w:val="center"/>
            <w:hideMark/>
          </w:tcPr>
          <w:p w14:paraId="2EA52937" w14:textId="0834953C" w:rsidR="00042E46" w:rsidRPr="009A27ED" w:rsidRDefault="00F65984" w:rsidP="00042E46">
            <w:pPr>
              <w:spacing w:after="0"/>
              <w:jc w:val="center"/>
              <w:rPr>
                <w:rFonts w:ascii="Calibri" w:eastAsia="Times New Roman" w:hAnsi="Calibri" w:cs="Calibri"/>
                <w:b/>
                <w:bCs/>
                <w:color w:val="FFFFFF" w:themeColor="background1"/>
                <w:sz w:val="20"/>
                <w:szCs w:val="20"/>
                <w:lang w:val="es-GT" w:eastAsia="es-ES_tradnl"/>
              </w:rPr>
            </w:pPr>
            <w:r w:rsidRPr="009A27ED">
              <w:rPr>
                <w:rFonts w:ascii="Calibri" w:eastAsia="Times New Roman" w:hAnsi="Calibri" w:cs="Calibri"/>
                <w:b/>
                <w:bCs/>
                <w:color w:val="FFFFFF" w:themeColor="background1"/>
                <w:sz w:val="20"/>
                <w:szCs w:val="20"/>
                <w:lang w:val="es-GT" w:eastAsia="es-ES_tradnl"/>
              </w:rPr>
              <w:t>Área</w:t>
            </w:r>
            <w:r w:rsidR="00042E46" w:rsidRPr="009A27ED">
              <w:rPr>
                <w:rFonts w:ascii="Calibri" w:eastAsia="Times New Roman" w:hAnsi="Calibri" w:cs="Calibri"/>
                <w:b/>
                <w:bCs/>
                <w:color w:val="FFFFFF" w:themeColor="background1"/>
                <w:sz w:val="20"/>
                <w:szCs w:val="20"/>
                <w:lang w:val="es-GT" w:eastAsia="es-ES_tradnl"/>
              </w:rPr>
              <w:t xml:space="preserve"> (Ha)</w:t>
            </w:r>
          </w:p>
        </w:tc>
        <w:tc>
          <w:tcPr>
            <w:tcW w:w="244" w:type="pct"/>
            <w:shd w:val="clear" w:color="auto" w:fill="2E74B5" w:themeFill="accent1" w:themeFillShade="BF"/>
            <w:noWrap/>
            <w:vAlign w:val="center"/>
            <w:hideMark/>
          </w:tcPr>
          <w:p w14:paraId="112AFDCC" w14:textId="77777777" w:rsidR="00042E46" w:rsidRPr="009A27ED" w:rsidRDefault="00042E46" w:rsidP="00042E46">
            <w:pPr>
              <w:spacing w:after="0"/>
              <w:jc w:val="center"/>
              <w:rPr>
                <w:rFonts w:ascii="Calibri" w:eastAsia="Times New Roman" w:hAnsi="Calibri" w:cs="Calibri"/>
                <w:b/>
                <w:bCs/>
                <w:color w:val="FFFFFF" w:themeColor="background1"/>
                <w:sz w:val="20"/>
                <w:szCs w:val="20"/>
                <w:lang w:val="es-GT" w:eastAsia="es-ES_tradnl"/>
              </w:rPr>
            </w:pPr>
            <w:r w:rsidRPr="009A27ED">
              <w:rPr>
                <w:rFonts w:ascii="Calibri" w:eastAsia="Times New Roman" w:hAnsi="Calibri" w:cs="Calibri"/>
                <w:b/>
                <w:bCs/>
                <w:color w:val="FFFFFF" w:themeColor="background1"/>
                <w:sz w:val="20"/>
                <w:szCs w:val="20"/>
                <w:lang w:val="es-GT" w:eastAsia="es-ES_tradnl"/>
              </w:rPr>
              <w:t>%</w:t>
            </w:r>
          </w:p>
        </w:tc>
        <w:tc>
          <w:tcPr>
            <w:tcW w:w="371" w:type="pct"/>
            <w:shd w:val="clear" w:color="auto" w:fill="2E74B5" w:themeFill="accent1" w:themeFillShade="BF"/>
            <w:noWrap/>
            <w:vAlign w:val="center"/>
            <w:hideMark/>
          </w:tcPr>
          <w:p w14:paraId="39573448" w14:textId="644DCDDA" w:rsidR="00042E46" w:rsidRPr="009A27ED" w:rsidRDefault="00F65984" w:rsidP="00042E46">
            <w:pPr>
              <w:spacing w:after="0"/>
              <w:jc w:val="center"/>
              <w:rPr>
                <w:rFonts w:ascii="Calibri" w:eastAsia="Times New Roman" w:hAnsi="Calibri" w:cs="Calibri"/>
                <w:b/>
                <w:bCs/>
                <w:color w:val="FFFFFF" w:themeColor="background1"/>
                <w:sz w:val="20"/>
                <w:szCs w:val="20"/>
                <w:lang w:val="es-GT" w:eastAsia="es-ES_tradnl"/>
              </w:rPr>
            </w:pPr>
            <w:r w:rsidRPr="009A27ED">
              <w:rPr>
                <w:rFonts w:ascii="Calibri" w:eastAsia="Times New Roman" w:hAnsi="Calibri" w:cs="Calibri"/>
                <w:b/>
                <w:bCs/>
                <w:color w:val="FFFFFF" w:themeColor="background1"/>
                <w:sz w:val="20"/>
                <w:szCs w:val="20"/>
                <w:lang w:val="es-GT" w:eastAsia="es-ES_tradnl"/>
              </w:rPr>
              <w:t>Área</w:t>
            </w:r>
            <w:r w:rsidR="00042E46" w:rsidRPr="009A27ED">
              <w:rPr>
                <w:rFonts w:ascii="Calibri" w:eastAsia="Times New Roman" w:hAnsi="Calibri" w:cs="Calibri"/>
                <w:b/>
                <w:bCs/>
                <w:color w:val="FFFFFF" w:themeColor="background1"/>
                <w:sz w:val="20"/>
                <w:szCs w:val="20"/>
                <w:lang w:val="es-GT" w:eastAsia="es-ES_tradnl"/>
              </w:rPr>
              <w:t xml:space="preserve"> (Ha)</w:t>
            </w:r>
          </w:p>
        </w:tc>
        <w:tc>
          <w:tcPr>
            <w:tcW w:w="208" w:type="pct"/>
            <w:shd w:val="clear" w:color="auto" w:fill="2E74B5" w:themeFill="accent1" w:themeFillShade="BF"/>
            <w:noWrap/>
            <w:vAlign w:val="center"/>
            <w:hideMark/>
          </w:tcPr>
          <w:p w14:paraId="617D7855" w14:textId="77777777" w:rsidR="00042E46" w:rsidRPr="009A27ED" w:rsidRDefault="00042E46" w:rsidP="00042E46">
            <w:pPr>
              <w:spacing w:after="0"/>
              <w:jc w:val="center"/>
              <w:rPr>
                <w:rFonts w:ascii="Calibri" w:eastAsia="Times New Roman" w:hAnsi="Calibri" w:cs="Calibri"/>
                <w:b/>
                <w:bCs/>
                <w:color w:val="FFFFFF" w:themeColor="background1"/>
                <w:sz w:val="20"/>
                <w:szCs w:val="20"/>
                <w:lang w:val="es-GT" w:eastAsia="es-ES_tradnl"/>
              </w:rPr>
            </w:pPr>
            <w:r w:rsidRPr="009A27ED">
              <w:rPr>
                <w:rFonts w:ascii="Calibri" w:eastAsia="Times New Roman" w:hAnsi="Calibri" w:cs="Calibri"/>
                <w:b/>
                <w:bCs/>
                <w:color w:val="FFFFFF" w:themeColor="background1"/>
                <w:sz w:val="20"/>
                <w:szCs w:val="20"/>
                <w:lang w:val="es-GT" w:eastAsia="es-ES_tradnl"/>
              </w:rPr>
              <w:t>%</w:t>
            </w:r>
          </w:p>
        </w:tc>
        <w:tc>
          <w:tcPr>
            <w:tcW w:w="371" w:type="pct"/>
            <w:shd w:val="clear" w:color="auto" w:fill="2E74B5" w:themeFill="accent1" w:themeFillShade="BF"/>
            <w:noWrap/>
            <w:vAlign w:val="center"/>
            <w:hideMark/>
          </w:tcPr>
          <w:p w14:paraId="257E4E57" w14:textId="17DF00BC" w:rsidR="00042E46" w:rsidRPr="009A27ED" w:rsidRDefault="00F65984" w:rsidP="00042E46">
            <w:pPr>
              <w:spacing w:after="0"/>
              <w:jc w:val="center"/>
              <w:rPr>
                <w:rFonts w:ascii="Calibri" w:eastAsia="Times New Roman" w:hAnsi="Calibri" w:cs="Calibri"/>
                <w:b/>
                <w:bCs/>
                <w:color w:val="FFFFFF" w:themeColor="background1"/>
                <w:sz w:val="20"/>
                <w:szCs w:val="20"/>
                <w:lang w:val="es-GT" w:eastAsia="es-ES_tradnl"/>
              </w:rPr>
            </w:pPr>
            <w:r w:rsidRPr="009A27ED">
              <w:rPr>
                <w:rFonts w:ascii="Calibri" w:eastAsia="Times New Roman" w:hAnsi="Calibri" w:cs="Calibri"/>
                <w:b/>
                <w:bCs/>
                <w:color w:val="FFFFFF" w:themeColor="background1"/>
                <w:sz w:val="20"/>
                <w:szCs w:val="20"/>
                <w:lang w:val="es-GT" w:eastAsia="es-ES_tradnl"/>
              </w:rPr>
              <w:t>Área</w:t>
            </w:r>
            <w:r w:rsidR="00042E46" w:rsidRPr="009A27ED">
              <w:rPr>
                <w:rFonts w:ascii="Calibri" w:eastAsia="Times New Roman" w:hAnsi="Calibri" w:cs="Calibri"/>
                <w:b/>
                <w:bCs/>
                <w:color w:val="FFFFFF" w:themeColor="background1"/>
                <w:sz w:val="20"/>
                <w:szCs w:val="20"/>
                <w:lang w:val="es-GT" w:eastAsia="es-ES_tradnl"/>
              </w:rPr>
              <w:t xml:space="preserve"> (Ha)</w:t>
            </w:r>
          </w:p>
        </w:tc>
        <w:tc>
          <w:tcPr>
            <w:tcW w:w="208" w:type="pct"/>
            <w:shd w:val="clear" w:color="auto" w:fill="2E74B5" w:themeFill="accent1" w:themeFillShade="BF"/>
            <w:noWrap/>
            <w:vAlign w:val="center"/>
            <w:hideMark/>
          </w:tcPr>
          <w:p w14:paraId="799023F0" w14:textId="77777777" w:rsidR="00042E46" w:rsidRPr="009A27ED" w:rsidRDefault="00042E46" w:rsidP="00042E46">
            <w:pPr>
              <w:spacing w:after="0"/>
              <w:jc w:val="center"/>
              <w:rPr>
                <w:rFonts w:ascii="Calibri" w:eastAsia="Times New Roman" w:hAnsi="Calibri" w:cs="Calibri"/>
                <w:b/>
                <w:bCs/>
                <w:color w:val="FFFFFF" w:themeColor="background1"/>
                <w:sz w:val="20"/>
                <w:szCs w:val="20"/>
                <w:lang w:val="es-GT" w:eastAsia="es-ES_tradnl"/>
              </w:rPr>
            </w:pPr>
            <w:r w:rsidRPr="009A27ED">
              <w:rPr>
                <w:rFonts w:ascii="Calibri" w:eastAsia="Times New Roman" w:hAnsi="Calibri" w:cs="Calibri"/>
                <w:b/>
                <w:bCs/>
                <w:color w:val="FFFFFF" w:themeColor="background1"/>
                <w:sz w:val="20"/>
                <w:szCs w:val="20"/>
                <w:lang w:val="es-GT" w:eastAsia="es-ES_tradnl"/>
              </w:rPr>
              <w:t>%</w:t>
            </w:r>
          </w:p>
        </w:tc>
        <w:tc>
          <w:tcPr>
            <w:tcW w:w="682" w:type="pct"/>
            <w:shd w:val="clear" w:color="auto" w:fill="2E74B5" w:themeFill="accent1" w:themeFillShade="BF"/>
            <w:noWrap/>
            <w:vAlign w:val="center"/>
            <w:hideMark/>
          </w:tcPr>
          <w:p w14:paraId="29BFA134" w14:textId="612BEC49" w:rsidR="00042E46" w:rsidRPr="009A27ED" w:rsidRDefault="00F65984" w:rsidP="00042E46">
            <w:pPr>
              <w:spacing w:after="0"/>
              <w:jc w:val="center"/>
              <w:rPr>
                <w:rFonts w:ascii="Calibri" w:eastAsia="Times New Roman" w:hAnsi="Calibri" w:cs="Calibri"/>
                <w:b/>
                <w:bCs/>
                <w:color w:val="FFFFFF" w:themeColor="background1"/>
                <w:sz w:val="20"/>
                <w:szCs w:val="20"/>
                <w:lang w:val="es-GT" w:eastAsia="es-ES_tradnl"/>
              </w:rPr>
            </w:pPr>
            <w:r w:rsidRPr="009A27ED">
              <w:rPr>
                <w:rFonts w:ascii="Calibri" w:eastAsia="Times New Roman" w:hAnsi="Calibri" w:cs="Calibri"/>
                <w:b/>
                <w:bCs/>
                <w:color w:val="FFFFFF" w:themeColor="background1"/>
                <w:sz w:val="20"/>
                <w:szCs w:val="20"/>
                <w:lang w:val="es-GT" w:eastAsia="es-ES_tradnl"/>
              </w:rPr>
              <w:t>Área</w:t>
            </w:r>
            <w:r w:rsidR="00042E46" w:rsidRPr="009A27ED">
              <w:rPr>
                <w:rFonts w:ascii="Calibri" w:eastAsia="Times New Roman" w:hAnsi="Calibri" w:cs="Calibri"/>
                <w:b/>
                <w:bCs/>
                <w:color w:val="FFFFFF" w:themeColor="background1"/>
                <w:sz w:val="20"/>
                <w:szCs w:val="20"/>
                <w:lang w:val="es-GT" w:eastAsia="es-ES_tradnl"/>
              </w:rPr>
              <w:t xml:space="preserve"> (Ha)</w:t>
            </w:r>
          </w:p>
        </w:tc>
        <w:tc>
          <w:tcPr>
            <w:tcW w:w="310" w:type="pct"/>
            <w:shd w:val="clear" w:color="auto" w:fill="2E74B5" w:themeFill="accent1" w:themeFillShade="BF"/>
            <w:noWrap/>
            <w:vAlign w:val="center"/>
            <w:hideMark/>
          </w:tcPr>
          <w:p w14:paraId="37981AD6" w14:textId="77777777" w:rsidR="00042E46" w:rsidRPr="009A27ED" w:rsidRDefault="00042E46" w:rsidP="00042E46">
            <w:pPr>
              <w:spacing w:after="0"/>
              <w:jc w:val="center"/>
              <w:rPr>
                <w:rFonts w:ascii="Calibri" w:eastAsia="Times New Roman" w:hAnsi="Calibri" w:cs="Calibri"/>
                <w:b/>
                <w:bCs/>
                <w:color w:val="FFFFFF" w:themeColor="background1"/>
                <w:sz w:val="20"/>
                <w:szCs w:val="20"/>
                <w:lang w:val="es-GT" w:eastAsia="es-ES_tradnl"/>
              </w:rPr>
            </w:pPr>
            <w:r w:rsidRPr="009A27ED">
              <w:rPr>
                <w:rFonts w:ascii="Calibri" w:eastAsia="Times New Roman" w:hAnsi="Calibri" w:cs="Calibri"/>
                <w:b/>
                <w:bCs/>
                <w:color w:val="FFFFFF" w:themeColor="background1"/>
                <w:sz w:val="20"/>
                <w:szCs w:val="20"/>
                <w:lang w:val="es-GT" w:eastAsia="es-ES_tradnl"/>
              </w:rPr>
              <w:t>%</w:t>
            </w:r>
          </w:p>
        </w:tc>
      </w:tr>
      <w:tr w:rsidR="00042E46" w:rsidRPr="009A27ED" w14:paraId="1A95A7A4" w14:textId="77777777" w:rsidTr="00170677">
        <w:trPr>
          <w:trHeight w:val="300"/>
        </w:trPr>
        <w:tc>
          <w:tcPr>
            <w:tcW w:w="446" w:type="pct"/>
            <w:shd w:val="clear" w:color="auto" w:fill="auto"/>
            <w:noWrap/>
            <w:vAlign w:val="bottom"/>
            <w:hideMark/>
          </w:tcPr>
          <w:p w14:paraId="7D6509C1"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w:t>
            </w:r>
          </w:p>
        </w:tc>
        <w:tc>
          <w:tcPr>
            <w:tcW w:w="842" w:type="pct"/>
            <w:shd w:val="clear" w:color="auto" w:fill="auto"/>
            <w:noWrap/>
            <w:vAlign w:val="bottom"/>
            <w:hideMark/>
          </w:tcPr>
          <w:p w14:paraId="2834299A" w14:textId="77777777" w:rsidR="00042E46" w:rsidRPr="009A27ED" w:rsidRDefault="00042E46" w:rsidP="00042E46">
            <w:pPr>
              <w:spacing w:after="0"/>
              <w:jc w:val="lef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B. Latifoliado Maduro</w:t>
            </w:r>
          </w:p>
        </w:tc>
        <w:tc>
          <w:tcPr>
            <w:tcW w:w="658" w:type="pct"/>
            <w:shd w:val="clear" w:color="auto" w:fill="auto"/>
            <w:noWrap/>
            <w:vAlign w:val="bottom"/>
            <w:hideMark/>
          </w:tcPr>
          <w:p w14:paraId="742CAF6A"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35,002.7</w:t>
            </w:r>
          </w:p>
        </w:tc>
        <w:tc>
          <w:tcPr>
            <w:tcW w:w="301" w:type="pct"/>
            <w:shd w:val="clear" w:color="auto" w:fill="auto"/>
            <w:noWrap/>
            <w:vAlign w:val="bottom"/>
            <w:hideMark/>
          </w:tcPr>
          <w:p w14:paraId="715277BB"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10.7</w:t>
            </w:r>
          </w:p>
        </w:tc>
        <w:tc>
          <w:tcPr>
            <w:tcW w:w="361" w:type="pct"/>
            <w:shd w:val="clear" w:color="auto" w:fill="auto"/>
            <w:noWrap/>
            <w:vAlign w:val="bottom"/>
            <w:hideMark/>
          </w:tcPr>
          <w:p w14:paraId="03C83573"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7,461.4</w:t>
            </w:r>
          </w:p>
        </w:tc>
        <w:tc>
          <w:tcPr>
            <w:tcW w:w="244" w:type="pct"/>
            <w:shd w:val="clear" w:color="auto" w:fill="auto"/>
            <w:noWrap/>
            <w:vAlign w:val="bottom"/>
            <w:hideMark/>
          </w:tcPr>
          <w:p w14:paraId="32B741A3"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3.7</w:t>
            </w:r>
          </w:p>
        </w:tc>
        <w:tc>
          <w:tcPr>
            <w:tcW w:w="371" w:type="pct"/>
            <w:shd w:val="clear" w:color="auto" w:fill="auto"/>
            <w:noWrap/>
            <w:vAlign w:val="bottom"/>
            <w:hideMark/>
          </w:tcPr>
          <w:p w14:paraId="3B5DE148"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22,321.4</w:t>
            </w:r>
          </w:p>
        </w:tc>
        <w:tc>
          <w:tcPr>
            <w:tcW w:w="208" w:type="pct"/>
            <w:shd w:val="clear" w:color="auto" w:fill="auto"/>
            <w:noWrap/>
            <w:vAlign w:val="bottom"/>
            <w:hideMark/>
          </w:tcPr>
          <w:p w14:paraId="1B98638C"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3.7</w:t>
            </w:r>
          </w:p>
        </w:tc>
        <w:tc>
          <w:tcPr>
            <w:tcW w:w="371" w:type="pct"/>
            <w:shd w:val="clear" w:color="auto" w:fill="auto"/>
            <w:noWrap/>
            <w:vAlign w:val="bottom"/>
            <w:hideMark/>
          </w:tcPr>
          <w:p w14:paraId="402FA3E9"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6,879.3</w:t>
            </w:r>
          </w:p>
        </w:tc>
        <w:tc>
          <w:tcPr>
            <w:tcW w:w="208" w:type="pct"/>
            <w:shd w:val="clear" w:color="auto" w:fill="auto"/>
            <w:noWrap/>
            <w:vAlign w:val="bottom"/>
            <w:hideMark/>
          </w:tcPr>
          <w:p w14:paraId="7EB0085E"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4.7</w:t>
            </w:r>
          </w:p>
        </w:tc>
        <w:tc>
          <w:tcPr>
            <w:tcW w:w="682" w:type="pct"/>
            <w:shd w:val="clear" w:color="auto" w:fill="auto"/>
            <w:noWrap/>
            <w:vAlign w:val="bottom"/>
            <w:hideMark/>
          </w:tcPr>
          <w:p w14:paraId="423DFF7A"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310" w:type="pct"/>
            <w:shd w:val="clear" w:color="auto" w:fill="auto"/>
            <w:noWrap/>
            <w:vAlign w:val="bottom"/>
            <w:hideMark/>
          </w:tcPr>
          <w:p w14:paraId="5F7EB293"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r>
      <w:tr w:rsidR="00042E46" w:rsidRPr="009A27ED" w14:paraId="2AD544F1" w14:textId="77777777" w:rsidTr="00170677">
        <w:trPr>
          <w:trHeight w:val="300"/>
        </w:trPr>
        <w:tc>
          <w:tcPr>
            <w:tcW w:w="446" w:type="pct"/>
            <w:shd w:val="clear" w:color="auto" w:fill="auto"/>
            <w:noWrap/>
            <w:vAlign w:val="bottom"/>
            <w:hideMark/>
          </w:tcPr>
          <w:p w14:paraId="7A4D0A2D"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2</w:t>
            </w:r>
          </w:p>
        </w:tc>
        <w:tc>
          <w:tcPr>
            <w:tcW w:w="842" w:type="pct"/>
            <w:shd w:val="clear" w:color="auto" w:fill="auto"/>
            <w:noWrap/>
            <w:vAlign w:val="bottom"/>
            <w:hideMark/>
          </w:tcPr>
          <w:p w14:paraId="788C6B1D" w14:textId="77777777" w:rsidR="00042E46" w:rsidRPr="009A27ED" w:rsidRDefault="00042E46" w:rsidP="00042E46">
            <w:pPr>
              <w:spacing w:after="0"/>
              <w:jc w:val="lef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B. Latifoliado Secundario</w:t>
            </w:r>
          </w:p>
        </w:tc>
        <w:tc>
          <w:tcPr>
            <w:tcW w:w="658" w:type="pct"/>
            <w:shd w:val="clear" w:color="auto" w:fill="auto"/>
            <w:noWrap/>
            <w:vAlign w:val="bottom"/>
            <w:hideMark/>
          </w:tcPr>
          <w:p w14:paraId="3DF620A9"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68,793.0</w:t>
            </w:r>
          </w:p>
        </w:tc>
        <w:tc>
          <w:tcPr>
            <w:tcW w:w="301" w:type="pct"/>
            <w:shd w:val="clear" w:color="auto" w:fill="auto"/>
            <w:noWrap/>
            <w:vAlign w:val="bottom"/>
            <w:hideMark/>
          </w:tcPr>
          <w:p w14:paraId="264FC73E"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21.0</w:t>
            </w:r>
          </w:p>
        </w:tc>
        <w:tc>
          <w:tcPr>
            <w:tcW w:w="361" w:type="pct"/>
            <w:shd w:val="clear" w:color="auto" w:fill="auto"/>
            <w:noWrap/>
            <w:vAlign w:val="bottom"/>
            <w:hideMark/>
          </w:tcPr>
          <w:p w14:paraId="5D9B52D0"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25,788.2</w:t>
            </w:r>
          </w:p>
        </w:tc>
        <w:tc>
          <w:tcPr>
            <w:tcW w:w="244" w:type="pct"/>
            <w:shd w:val="clear" w:color="auto" w:fill="auto"/>
            <w:noWrap/>
            <w:vAlign w:val="bottom"/>
            <w:hideMark/>
          </w:tcPr>
          <w:p w14:paraId="2AC4E5BB"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12.6</w:t>
            </w:r>
          </w:p>
        </w:tc>
        <w:tc>
          <w:tcPr>
            <w:tcW w:w="371" w:type="pct"/>
            <w:shd w:val="clear" w:color="auto" w:fill="auto"/>
            <w:noWrap/>
            <w:vAlign w:val="bottom"/>
            <w:hideMark/>
          </w:tcPr>
          <w:p w14:paraId="5EAE0D8D"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97,565.9</w:t>
            </w:r>
          </w:p>
        </w:tc>
        <w:tc>
          <w:tcPr>
            <w:tcW w:w="208" w:type="pct"/>
            <w:shd w:val="clear" w:color="auto" w:fill="auto"/>
            <w:noWrap/>
            <w:vAlign w:val="bottom"/>
            <w:hideMark/>
          </w:tcPr>
          <w:p w14:paraId="564AB329"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16.0</w:t>
            </w:r>
          </w:p>
        </w:tc>
        <w:tc>
          <w:tcPr>
            <w:tcW w:w="371" w:type="pct"/>
            <w:shd w:val="clear" w:color="auto" w:fill="auto"/>
            <w:noWrap/>
            <w:vAlign w:val="bottom"/>
            <w:hideMark/>
          </w:tcPr>
          <w:p w14:paraId="0AC81D0A"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19,469.0</w:t>
            </w:r>
          </w:p>
        </w:tc>
        <w:tc>
          <w:tcPr>
            <w:tcW w:w="208" w:type="pct"/>
            <w:shd w:val="clear" w:color="auto" w:fill="auto"/>
            <w:noWrap/>
            <w:vAlign w:val="bottom"/>
            <w:hideMark/>
          </w:tcPr>
          <w:p w14:paraId="3A0EC6C0"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13.3</w:t>
            </w:r>
          </w:p>
        </w:tc>
        <w:tc>
          <w:tcPr>
            <w:tcW w:w="682" w:type="pct"/>
            <w:shd w:val="clear" w:color="auto" w:fill="auto"/>
            <w:noWrap/>
            <w:vAlign w:val="bottom"/>
            <w:hideMark/>
          </w:tcPr>
          <w:p w14:paraId="63EB7D7A"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86,922.3</w:t>
            </w:r>
          </w:p>
        </w:tc>
        <w:tc>
          <w:tcPr>
            <w:tcW w:w="310" w:type="pct"/>
            <w:shd w:val="clear" w:color="auto" w:fill="auto"/>
            <w:noWrap/>
            <w:vAlign w:val="bottom"/>
            <w:hideMark/>
          </w:tcPr>
          <w:p w14:paraId="5C39A755"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37.7</w:t>
            </w:r>
          </w:p>
        </w:tc>
      </w:tr>
      <w:tr w:rsidR="00042E46" w:rsidRPr="009A27ED" w14:paraId="60F83BF6" w14:textId="77777777" w:rsidTr="00170677">
        <w:trPr>
          <w:trHeight w:val="300"/>
        </w:trPr>
        <w:tc>
          <w:tcPr>
            <w:tcW w:w="446" w:type="pct"/>
            <w:shd w:val="clear" w:color="auto" w:fill="auto"/>
            <w:noWrap/>
            <w:vAlign w:val="bottom"/>
            <w:hideMark/>
          </w:tcPr>
          <w:p w14:paraId="52C29BF4"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3</w:t>
            </w:r>
          </w:p>
        </w:tc>
        <w:tc>
          <w:tcPr>
            <w:tcW w:w="842" w:type="pct"/>
            <w:shd w:val="clear" w:color="auto" w:fill="auto"/>
            <w:noWrap/>
            <w:vAlign w:val="bottom"/>
            <w:hideMark/>
          </w:tcPr>
          <w:p w14:paraId="0EE5C7A5" w14:textId="77777777" w:rsidR="00042E46" w:rsidRPr="009A27ED" w:rsidRDefault="00042E46" w:rsidP="00042E46">
            <w:pPr>
              <w:spacing w:after="0"/>
              <w:jc w:val="lef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B. Pino Denso</w:t>
            </w:r>
          </w:p>
        </w:tc>
        <w:tc>
          <w:tcPr>
            <w:tcW w:w="658" w:type="pct"/>
            <w:shd w:val="clear" w:color="auto" w:fill="auto"/>
            <w:noWrap/>
            <w:vAlign w:val="bottom"/>
            <w:hideMark/>
          </w:tcPr>
          <w:p w14:paraId="2028BCEA"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65,836.5</w:t>
            </w:r>
          </w:p>
        </w:tc>
        <w:tc>
          <w:tcPr>
            <w:tcW w:w="301" w:type="pct"/>
            <w:shd w:val="clear" w:color="auto" w:fill="auto"/>
            <w:noWrap/>
            <w:vAlign w:val="bottom"/>
            <w:hideMark/>
          </w:tcPr>
          <w:p w14:paraId="55E42AC8"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20.1</w:t>
            </w:r>
          </w:p>
        </w:tc>
        <w:tc>
          <w:tcPr>
            <w:tcW w:w="361" w:type="pct"/>
            <w:shd w:val="clear" w:color="auto" w:fill="auto"/>
            <w:noWrap/>
            <w:vAlign w:val="bottom"/>
            <w:hideMark/>
          </w:tcPr>
          <w:p w14:paraId="2D4A2954"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1,624.4</w:t>
            </w:r>
          </w:p>
        </w:tc>
        <w:tc>
          <w:tcPr>
            <w:tcW w:w="244" w:type="pct"/>
            <w:shd w:val="clear" w:color="auto" w:fill="auto"/>
            <w:noWrap/>
            <w:vAlign w:val="bottom"/>
            <w:hideMark/>
          </w:tcPr>
          <w:p w14:paraId="112039DC"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0.8</w:t>
            </w:r>
          </w:p>
        </w:tc>
        <w:tc>
          <w:tcPr>
            <w:tcW w:w="371" w:type="pct"/>
            <w:shd w:val="clear" w:color="auto" w:fill="auto"/>
            <w:noWrap/>
            <w:vAlign w:val="bottom"/>
            <w:hideMark/>
          </w:tcPr>
          <w:p w14:paraId="1C586532"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74,511.3</w:t>
            </w:r>
          </w:p>
        </w:tc>
        <w:tc>
          <w:tcPr>
            <w:tcW w:w="208" w:type="pct"/>
            <w:shd w:val="clear" w:color="auto" w:fill="auto"/>
            <w:noWrap/>
            <w:vAlign w:val="bottom"/>
            <w:hideMark/>
          </w:tcPr>
          <w:p w14:paraId="062EF274"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12.2</w:t>
            </w:r>
          </w:p>
        </w:tc>
        <w:tc>
          <w:tcPr>
            <w:tcW w:w="371" w:type="pct"/>
            <w:shd w:val="clear" w:color="auto" w:fill="auto"/>
            <w:noWrap/>
            <w:vAlign w:val="bottom"/>
            <w:hideMark/>
          </w:tcPr>
          <w:p w14:paraId="521803F6"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208" w:type="pct"/>
            <w:shd w:val="clear" w:color="auto" w:fill="auto"/>
            <w:noWrap/>
            <w:vAlign w:val="bottom"/>
            <w:hideMark/>
          </w:tcPr>
          <w:p w14:paraId="7E5CDA91"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682" w:type="pct"/>
            <w:shd w:val="clear" w:color="auto" w:fill="auto"/>
            <w:noWrap/>
            <w:vAlign w:val="bottom"/>
            <w:hideMark/>
          </w:tcPr>
          <w:p w14:paraId="4B39E396"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80.4</w:t>
            </w:r>
          </w:p>
        </w:tc>
        <w:tc>
          <w:tcPr>
            <w:tcW w:w="310" w:type="pct"/>
            <w:shd w:val="clear" w:color="auto" w:fill="auto"/>
            <w:noWrap/>
            <w:vAlign w:val="bottom"/>
            <w:hideMark/>
          </w:tcPr>
          <w:p w14:paraId="06DCD586"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r>
      <w:tr w:rsidR="00042E46" w:rsidRPr="009A27ED" w14:paraId="20286828" w14:textId="77777777" w:rsidTr="00170677">
        <w:trPr>
          <w:trHeight w:val="300"/>
        </w:trPr>
        <w:tc>
          <w:tcPr>
            <w:tcW w:w="446" w:type="pct"/>
            <w:shd w:val="clear" w:color="auto" w:fill="auto"/>
            <w:noWrap/>
            <w:vAlign w:val="bottom"/>
            <w:hideMark/>
          </w:tcPr>
          <w:p w14:paraId="2E2134BE"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4</w:t>
            </w:r>
          </w:p>
        </w:tc>
        <w:tc>
          <w:tcPr>
            <w:tcW w:w="842" w:type="pct"/>
            <w:shd w:val="clear" w:color="auto" w:fill="auto"/>
            <w:noWrap/>
            <w:vAlign w:val="bottom"/>
            <w:hideMark/>
          </w:tcPr>
          <w:p w14:paraId="4AF137D6" w14:textId="77777777" w:rsidR="00042E46" w:rsidRPr="009A27ED" w:rsidRDefault="00042E46" w:rsidP="00042E46">
            <w:pPr>
              <w:spacing w:after="0"/>
              <w:jc w:val="lef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B. Pino Ralo</w:t>
            </w:r>
          </w:p>
        </w:tc>
        <w:tc>
          <w:tcPr>
            <w:tcW w:w="658" w:type="pct"/>
            <w:shd w:val="clear" w:color="auto" w:fill="auto"/>
            <w:noWrap/>
            <w:vAlign w:val="bottom"/>
            <w:hideMark/>
          </w:tcPr>
          <w:p w14:paraId="22F7EC47"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6,778.5</w:t>
            </w:r>
          </w:p>
        </w:tc>
        <w:tc>
          <w:tcPr>
            <w:tcW w:w="301" w:type="pct"/>
            <w:shd w:val="clear" w:color="auto" w:fill="auto"/>
            <w:noWrap/>
            <w:vAlign w:val="bottom"/>
            <w:hideMark/>
          </w:tcPr>
          <w:p w14:paraId="1C3029F9"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2.1</w:t>
            </w:r>
          </w:p>
        </w:tc>
        <w:tc>
          <w:tcPr>
            <w:tcW w:w="361" w:type="pct"/>
            <w:shd w:val="clear" w:color="auto" w:fill="auto"/>
            <w:noWrap/>
            <w:vAlign w:val="bottom"/>
            <w:hideMark/>
          </w:tcPr>
          <w:p w14:paraId="7EC7088D"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3,545.3</w:t>
            </w:r>
          </w:p>
        </w:tc>
        <w:tc>
          <w:tcPr>
            <w:tcW w:w="244" w:type="pct"/>
            <w:shd w:val="clear" w:color="auto" w:fill="auto"/>
            <w:noWrap/>
            <w:vAlign w:val="bottom"/>
            <w:hideMark/>
          </w:tcPr>
          <w:p w14:paraId="349FF3EC"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1.7</w:t>
            </w:r>
          </w:p>
        </w:tc>
        <w:tc>
          <w:tcPr>
            <w:tcW w:w="371" w:type="pct"/>
            <w:shd w:val="clear" w:color="auto" w:fill="auto"/>
            <w:noWrap/>
            <w:vAlign w:val="bottom"/>
            <w:hideMark/>
          </w:tcPr>
          <w:p w14:paraId="775D7162"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28,423.0</w:t>
            </w:r>
          </w:p>
        </w:tc>
        <w:tc>
          <w:tcPr>
            <w:tcW w:w="208" w:type="pct"/>
            <w:shd w:val="clear" w:color="auto" w:fill="auto"/>
            <w:noWrap/>
            <w:vAlign w:val="bottom"/>
            <w:hideMark/>
          </w:tcPr>
          <w:p w14:paraId="56D3B5D6"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4.7</w:t>
            </w:r>
          </w:p>
        </w:tc>
        <w:tc>
          <w:tcPr>
            <w:tcW w:w="371" w:type="pct"/>
            <w:shd w:val="clear" w:color="auto" w:fill="auto"/>
            <w:noWrap/>
            <w:vAlign w:val="bottom"/>
            <w:hideMark/>
          </w:tcPr>
          <w:p w14:paraId="12F3A8B0"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208" w:type="pct"/>
            <w:shd w:val="clear" w:color="auto" w:fill="auto"/>
            <w:noWrap/>
            <w:vAlign w:val="bottom"/>
            <w:hideMark/>
          </w:tcPr>
          <w:p w14:paraId="289B2887"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682" w:type="pct"/>
            <w:shd w:val="clear" w:color="auto" w:fill="auto"/>
            <w:noWrap/>
            <w:vAlign w:val="bottom"/>
            <w:hideMark/>
          </w:tcPr>
          <w:p w14:paraId="636E8C8C"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310" w:type="pct"/>
            <w:shd w:val="clear" w:color="auto" w:fill="auto"/>
            <w:noWrap/>
            <w:vAlign w:val="bottom"/>
            <w:hideMark/>
          </w:tcPr>
          <w:p w14:paraId="2312B7F8"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r>
      <w:tr w:rsidR="00042E46" w:rsidRPr="009A27ED" w14:paraId="2296841F" w14:textId="77777777" w:rsidTr="00170677">
        <w:trPr>
          <w:trHeight w:val="300"/>
        </w:trPr>
        <w:tc>
          <w:tcPr>
            <w:tcW w:w="446" w:type="pct"/>
            <w:shd w:val="clear" w:color="auto" w:fill="auto"/>
            <w:noWrap/>
            <w:vAlign w:val="bottom"/>
            <w:hideMark/>
          </w:tcPr>
          <w:p w14:paraId="49308FD0"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6</w:t>
            </w:r>
          </w:p>
        </w:tc>
        <w:tc>
          <w:tcPr>
            <w:tcW w:w="842" w:type="pct"/>
            <w:shd w:val="clear" w:color="auto" w:fill="auto"/>
            <w:noWrap/>
            <w:vAlign w:val="bottom"/>
            <w:hideMark/>
          </w:tcPr>
          <w:p w14:paraId="6709EAC3" w14:textId="77777777" w:rsidR="00042E46" w:rsidRPr="009A27ED" w:rsidRDefault="00042E46" w:rsidP="00042E46">
            <w:pPr>
              <w:spacing w:after="0"/>
              <w:jc w:val="lef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B. de Mangle</w:t>
            </w:r>
          </w:p>
        </w:tc>
        <w:tc>
          <w:tcPr>
            <w:tcW w:w="658" w:type="pct"/>
            <w:shd w:val="clear" w:color="auto" w:fill="auto"/>
            <w:noWrap/>
            <w:vAlign w:val="bottom"/>
            <w:hideMark/>
          </w:tcPr>
          <w:p w14:paraId="028030A2"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301" w:type="pct"/>
            <w:shd w:val="clear" w:color="auto" w:fill="auto"/>
            <w:noWrap/>
            <w:vAlign w:val="bottom"/>
            <w:hideMark/>
          </w:tcPr>
          <w:p w14:paraId="0AD658A6"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361" w:type="pct"/>
            <w:shd w:val="clear" w:color="auto" w:fill="auto"/>
            <w:noWrap/>
            <w:vAlign w:val="bottom"/>
            <w:hideMark/>
          </w:tcPr>
          <w:p w14:paraId="5C1388B6"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788.8</w:t>
            </w:r>
          </w:p>
        </w:tc>
        <w:tc>
          <w:tcPr>
            <w:tcW w:w="244" w:type="pct"/>
            <w:shd w:val="clear" w:color="auto" w:fill="auto"/>
            <w:noWrap/>
            <w:vAlign w:val="bottom"/>
            <w:hideMark/>
          </w:tcPr>
          <w:p w14:paraId="7470859F"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0.4</w:t>
            </w:r>
          </w:p>
        </w:tc>
        <w:tc>
          <w:tcPr>
            <w:tcW w:w="371" w:type="pct"/>
            <w:shd w:val="clear" w:color="auto" w:fill="auto"/>
            <w:noWrap/>
            <w:vAlign w:val="bottom"/>
            <w:hideMark/>
          </w:tcPr>
          <w:p w14:paraId="1BC31BAD"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19.8</w:t>
            </w:r>
          </w:p>
        </w:tc>
        <w:tc>
          <w:tcPr>
            <w:tcW w:w="208" w:type="pct"/>
            <w:shd w:val="clear" w:color="auto" w:fill="auto"/>
            <w:noWrap/>
            <w:vAlign w:val="bottom"/>
            <w:hideMark/>
          </w:tcPr>
          <w:p w14:paraId="27097984"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371" w:type="pct"/>
            <w:shd w:val="clear" w:color="auto" w:fill="auto"/>
            <w:noWrap/>
            <w:vAlign w:val="bottom"/>
            <w:hideMark/>
          </w:tcPr>
          <w:p w14:paraId="3187833D"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711.0</w:t>
            </w:r>
          </w:p>
        </w:tc>
        <w:tc>
          <w:tcPr>
            <w:tcW w:w="208" w:type="pct"/>
            <w:shd w:val="clear" w:color="auto" w:fill="auto"/>
            <w:noWrap/>
            <w:vAlign w:val="bottom"/>
            <w:hideMark/>
          </w:tcPr>
          <w:p w14:paraId="36C27D2C"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0.5</w:t>
            </w:r>
          </w:p>
        </w:tc>
        <w:tc>
          <w:tcPr>
            <w:tcW w:w="682" w:type="pct"/>
            <w:shd w:val="clear" w:color="auto" w:fill="auto"/>
            <w:noWrap/>
            <w:vAlign w:val="bottom"/>
            <w:hideMark/>
          </w:tcPr>
          <w:p w14:paraId="5E48DBCC"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310" w:type="pct"/>
            <w:shd w:val="clear" w:color="auto" w:fill="auto"/>
            <w:noWrap/>
            <w:vAlign w:val="bottom"/>
            <w:hideMark/>
          </w:tcPr>
          <w:p w14:paraId="2C2500A5"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r>
      <w:tr w:rsidR="00042E46" w:rsidRPr="009A27ED" w14:paraId="7BA9472D" w14:textId="77777777" w:rsidTr="00170677">
        <w:trPr>
          <w:trHeight w:val="300"/>
        </w:trPr>
        <w:tc>
          <w:tcPr>
            <w:tcW w:w="446" w:type="pct"/>
            <w:shd w:val="clear" w:color="auto" w:fill="auto"/>
            <w:noWrap/>
            <w:vAlign w:val="bottom"/>
            <w:hideMark/>
          </w:tcPr>
          <w:p w14:paraId="03576C5C"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19</w:t>
            </w:r>
          </w:p>
        </w:tc>
        <w:tc>
          <w:tcPr>
            <w:tcW w:w="842" w:type="pct"/>
            <w:shd w:val="clear" w:color="auto" w:fill="auto"/>
            <w:noWrap/>
            <w:vAlign w:val="bottom"/>
            <w:hideMark/>
          </w:tcPr>
          <w:p w14:paraId="4BE4C9C2" w14:textId="77777777" w:rsidR="00042E46" w:rsidRPr="009A27ED" w:rsidRDefault="00042E46" w:rsidP="00042E46">
            <w:pPr>
              <w:spacing w:after="0"/>
              <w:jc w:val="lef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B. Seco</w:t>
            </w:r>
          </w:p>
        </w:tc>
        <w:tc>
          <w:tcPr>
            <w:tcW w:w="658" w:type="pct"/>
            <w:shd w:val="clear" w:color="auto" w:fill="auto"/>
            <w:noWrap/>
            <w:vAlign w:val="bottom"/>
            <w:hideMark/>
          </w:tcPr>
          <w:p w14:paraId="231CE421"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14,145.8</w:t>
            </w:r>
          </w:p>
        </w:tc>
        <w:tc>
          <w:tcPr>
            <w:tcW w:w="301" w:type="pct"/>
            <w:shd w:val="clear" w:color="auto" w:fill="auto"/>
            <w:noWrap/>
            <w:vAlign w:val="bottom"/>
            <w:hideMark/>
          </w:tcPr>
          <w:p w14:paraId="266898DC"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4.3</w:t>
            </w:r>
          </w:p>
        </w:tc>
        <w:tc>
          <w:tcPr>
            <w:tcW w:w="361" w:type="pct"/>
            <w:shd w:val="clear" w:color="auto" w:fill="auto"/>
            <w:noWrap/>
            <w:vAlign w:val="bottom"/>
            <w:hideMark/>
          </w:tcPr>
          <w:p w14:paraId="15BD05B8"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38,940.4</w:t>
            </w:r>
          </w:p>
        </w:tc>
        <w:tc>
          <w:tcPr>
            <w:tcW w:w="244" w:type="pct"/>
            <w:shd w:val="clear" w:color="auto" w:fill="auto"/>
            <w:noWrap/>
            <w:vAlign w:val="bottom"/>
            <w:hideMark/>
          </w:tcPr>
          <w:p w14:paraId="0F911680"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19.1</w:t>
            </w:r>
          </w:p>
        </w:tc>
        <w:tc>
          <w:tcPr>
            <w:tcW w:w="371" w:type="pct"/>
            <w:shd w:val="clear" w:color="auto" w:fill="auto"/>
            <w:noWrap/>
            <w:vAlign w:val="bottom"/>
            <w:hideMark/>
          </w:tcPr>
          <w:p w14:paraId="4C18D7E2"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50,052.1</w:t>
            </w:r>
          </w:p>
        </w:tc>
        <w:tc>
          <w:tcPr>
            <w:tcW w:w="208" w:type="pct"/>
            <w:shd w:val="clear" w:color="auto" w:fill="auto"/>
            <w:noWrap/>
            <w:vAlign w:val="bottom"/>
            <w:hideMark/>
          </w:tcPr>
          <w:p w14:paraId="701ED975"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8.2</w:t>
            </w:r>
          </w:p>
        </w:tc>
        <w:tc>
          <w:tcPr>
            <w:tcW w:w="371" w:type="pct"/>
            <w:shd w:val="clear" w:color="auto" w:fill="auto"/>
            <w:noWrap/>
            <w:vAlign w:val="bottom"/>
            <w:hideMark/>
          </w:tcPr>
          <w:p w14:paraId="6A894DF8"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208" w:type="pct"/>
            <w:shd w:val="clear" w:color="auto" w:fill="auto"/>
            <w:noWrap/>
            <w:vAlign w:val="bottom"/>
            <w:hideMark/>
          </w:tcPr>
          <w:p w14:paraId="308115A9"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682" w:type="pct"/>
            <w:shd w:val="clear" w:color="auto" w:fill="auto"/>
            <w:noWrap/>
            <w:vAlign w:val="bottom"/>
            <w:hideMark/>
          </w:tcPr>
          <w:p w14:paraId="6328C3D1"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310" w:type="pct"/>
            <w:shd w:val="clear" w:color="auto" w:fill="auto"/>
            <w:noWrap/>
            <w:vAlign w:val="bottom"/>
            <w:hideMark/>
          </w:tcPr>
          <w:p w14:paraId="2DED1772"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r>
      <w:tr w:rsidR="00042E46" w:rsidRPr="009A27ED" w14:paraId="43524C9D" w14:textId="77777777" w:rsidTr="00170677">
        <w:trPr>
          <w:trHeight w:val="300"/>
        </w:trPr>
        <w:tc>
          <w:tcPr>
            <w:tcW w:w="446" w:type="pct"/>
            <w:shd w:val="clear" w:color="auto" w:fill="auto"/>
            <w:noWrap/>
            <w:vAlign w:val="bottom"/>
            <w:hideMark/>
          </w:tcPr>
          <w:p w14:paraId="281C9697"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p>
        </w:tc>
        <w:tc>
          <w:tcPr>
            <w:tcW w:w="842" w:type="pct"/>
            <w:shd w:val="clear" w:color="auto" w:fill="auto"/>
            <w:noWrap/>
            <w:vAlign w:val="bottom"/>
            <w:hideMark/>
          </w:tcPr>
          <w:p w14:paraId="6BC9E177" w14:textId="77777777" w:rsidR="00042E46" w:rsidRPr="009A27ED" w:rsidRDefault="00042E46" w:rsidP="00042E46">
            <w:pPr>
              <w:spacing w:after="0"/>
              <w:jc w:val="left"/>
              <w:rPr>
                <w:rFonts w:ascii="Calibri" w:eastAsia="Times New Roman" w:hAnsi="Calibri" w:cs="Calibri"/>
                <w:b/>
                <w:bCs/>
                <w:color w:val="000000"/>
                <w:sz w:val="20"/>
                <w:szCs w:val="20"/>
                <w:lang w:val="es-GT" w:eastAsia="es-ES_tradnl"/>
              </w:rPr>
            </w:pPr>
            <w:proofErr w:type="gramStart"/>
            <w:r w:rsidRPr="009A27ED">
              <w:rPr>
                <w:rFonts w:ascii="Calibri" w:eastAsia="Times New Roman" w:hAnsi="Calibri" w:cs="Calibri"/>
                <w:b/>
                <w:bCs/>
                <w:color w:val="000000"/>
                <w:sz w:val="20"/>
                <w:szCs w:val="20"/>
                <w:lang w:val="es-GT" w:eastAsia="es-ES_tradnl"/>
              </w:rPr>
              <w:t>TOTAL</w:t>
            </w:r>
            <w:proofErr w:type="gramEnd"/>
            <w:r w:rsidRPr="009A27ED">
              <w:rPr>
                <w:rFonts w:ascii="Calibri" w:eastAsia="Times New Roman" w:hAnsi="Calibri" w:cs="Calibri"/>
                <w:b/>
                <w:bCs/>
                <w:color w:val="000000"/>
                <w:sz w:val="20"/>
                <w:szCs w:val="20"/>
                <w:lang w:val="es-GT" w:eastAsia="es-ES_tradnl"/>
              </w:rPr>
              <w:t xml:space="preserve"> DE BOSQUE</w:t>
            </w:r>
          </w:p>
        </w:tc>
        <w:tc>
          <w:tcPr>
            <w:tcW w:w="658" w:type="pct"/>
            <w:shd w:val="clear" w:color="auto" w:fill="auto"/>
            <w:noWrap/>
            <w:vAlign w:val="bottom"/>
            <w:hideMark/>
          </w:tcPr>
          <w:p w14:paraId="3ADB7E6D" w14:textId="77777777" w:rsidR="00042E46" w:rsidRPr="009A27ED" w:rsidRDefault="00042E46" w:rsidP="00042E46">
            <w:pPr>
              <w:spacing w:after="0"/>
              <w:jc w:val="right"/>
              <w:rPr>
                <w:rFonts w:ascii="Calibri" w:eastAsia="Times New Roman" w:hAnsi="Calibri" w:cs="Calibri"/>
                <w:b/>
                <w:bCs/>
                <w:color w:val="000000"/>
                <w:sz w:val="20"/>
                <w:szCs w:val="20"/>
                <w:lang w:val="es-GT" w:eastAsia="es-ES_tradnl"/>
              </w:rPr>
            </w:pPr>
            <w:r w:rsidRPr="009A27ED">
              <w:rPr>
                <w:rFonts w:ascii="Calibri" w:eastAsia="Times New Roman" w:hAnsi="Calibri" w:cs="Calibri"/>
                <w:b/>
                <w:bCs/>
                <w:color w:val="000000"/>
                <w:sz w:val="20"/>
                <w:szCs w:val="20"/>
                <w:lang w:val="es-GT" w:eastAsia="es-ES_tradnl"/>
              </w:rPr>
              <w:t>190,556.6</w:t>
            </w:r>
          </w:p>
        </w:tc>
        <w:tc>
          <w:tcPr>
            <w:tcW w:w="301" w:type="pct"/>
            <w:shd w:val="clear" w:color="auto" w:fill="auto"/>
            <w:noWrap/>
            <w:vAlign w:val="bottom"/>
            <w:hideMark/>
          </w:tcPr>
          <w:p w14:paraId="118E0087" w14:textId="77777777" w:rsidR="00042E46" w:rsidRPr="009A27ED" w:rsidRDefault="00042E46" w:rsidP="00042E46">
            <w:pPr>
              <w:spacing w:after="0"/>
              <w:jc w:val="center"/>
              <w:rPr>
                <w:rFonts w:ascii="Calibri" w:eastAsia="Times New Roman" w:hAnsi="Calibri" w:cs="Calibri"/>
                <w:b/>
                <w:bCs/>
                <w:color w:val="000000"/>
                <w:sz w:val="20"/>
                <w:szCs w:val="20"/>
                <w:lang w:val="es-GT" w:eastAsia="es-ES_tradnl"/>
              </w:rPr>
            </w:pPr>
            <w:r w:rsidRPr="009A27ED">
              <w:rPr>
                <w:rFonts w:ascii="Calibri" w:eastAsia="Times New Roman" w:hAnsi="Calibri" w:cs="Calibri"/>
                <w:b/>
                <w:bCs/>
                <w:color w:val="000000"/>
                <w:sz w:val="20"/>
                <w:szCs w:val="20"/>
                <w:lang w:val="es-GT" w:eastAsia="es-ES_tradnl"/>
              </w:rPr>
              <w:t>58.2</w:t>
            </w:r>
          </w:p>
        </w:tc>
        <w:tc>
          <w:tcPr>
            <w:tcW w:w="361" w:type="pct"/>
            <w:shd w:val="clear" w:color="auto" w:fill="auto"/>
            <w:noWrap/>
            <w:vAlign w:val="bottom"/>
            <w:hideMark/>
          </w:tcPr>
          <w:p w14:paraId="0FB70839" w14:textId="77777777" w:rsidR="00042E46" w:rsidRPr="009A27ED" w:rsidRDefault="00042E46" w:rsidP="00042E46">
            <w:pPr>
              <w:spacing w:after="0"/>
              <w:jc w:val="right"/>
              <w:rPr>
                <w:rFonts w:ascii="Calibri" w:eastAsia="Times New Roman" w:hAnsi="Calibri" w:cs="Calibri"/>
                <w:b/>
                <w:bCs/>
                <w:color w:val="000000"/>
                <w:sz w:val="20"/>
                <w:szCs w:val="20"/>
                <w:lang w:val="es-GT" w:eastAsia="es-ES_tradnl"/>
              </w:rPr>
            </w:pPr>
            <w:r w:rsidRPr="009A27ED">
              <w:rPr>
                <w:rFonts w:ascii="Calibri" w:eastAsia="Times New Roman" w:hAnsi="Calibri" w:cs="Calibri"/>
                <w:b/>
                <w:bCs/>
                <w:color w:val="000000"/>
                <w:sz w:val="20"/>
                <w:szCs w:val="20"/>
                <w:lang w:val="es-GT" w:eastAsia="es-ES_tradnl"/>
              </w:rPr>
              <w:t>78,148.4</w:t>
            </w:r>
          </w:p>
        </w:tc>
        <w:tc>
          <w:tcPr>
            <w:tcW w:w="244" w:type="pct"/>
            <w:shd w:val="clear" w:color="auto" w:fill="auto"/>
            <w:noWrap/>
            <w:vAlign w:val="bottom"/>
            <w:hideMark/>
          </w:tcPr>
          <w:p w14:paraId="7BC329A0" w14:textId="77777777" w:rsidR="00042E46" w:rsidRPr="009A27ED" w:rsidRDefault="00042E46" w:rsidP="00042E46">
            <w:pPr>
              <w:spacing w:after="0"/>
              <w:jc w:val="center"/>
              <w:rPr>
                <w:rFonts w:ascii="Calibri" w:eastAsia="Times New Roman" w:hAnsi="Calibri" w:cs="Calibri"/>
                <w:b/>
                <w:bCs/>
                <w:color w:val="000000"/>
                <w:sz w:val="20"/>
                <w:szCs w:val="20"/>
                <w:lang w:val="es-GT" w:eastAsia="es-ES_tradnl"/>
              </w:rPr>
            </w:pPr>
            <w:r w:rsidRPr="009A27ED">
              <w:rPr>
                <w:rFonts w:ascii="Calibri" w:eastAsia="Times New Roman" w:hAnsi="Calibri" w:cs="Calibri"/>
                <w:b/>
                <w:bCs/>
                <w:color w:val="000000"/>
                <w:sz w:val="20"/>
                <w:szCs w:val="20"/>
                <w:lang w:val="es-GT" w:eastAsia="es-ES_tradnl"/>
              </w:rPr>
              <w:t>38.3</w:t>
            </w:r>
          </w:p>
        </w:tc>
        <w:tc>
          <w:tcPr>
            <w:tcW w:w="371" w:type="pct"/>
            <w:shd w:val="clear" w:color="auto" w:fill="auto"/>
            <w:noWrap/>
            <w:vAlign w:val="bottom"/>
            <w:hideMark/>
          </w:tcPr>
          <w:p w14:paraId="0920E4CD" w14:textId="77777777" w:rsidR="00042E46" w:rsidRPr="009A27ED" w:rsidRDefault="00042E46" w:rsidP="00042E46">
            <w:pPr>
              <w:spacing w:after="0"/>
              <w:jc w:val="right"/>
              <w:rPr>
                <w:rFonts w:ascii="Calibri" w:eastAsia="Times New Roman" w:hAnsi="Calibri" w:cs="Calibri"/>
                <w:b/>
                <w:bCs/>
                <w:color w:val="000000"/>
                <w:sz w:val="20"/>
                <w:szCs w:val="20"/>
                <w:lang w:val="es-GT" w:eastAsia="es-ES_tradnl"/>
              </w:rPr>
            </w:pPr>
            <w:r w:rsidRPr="009A27ED">
              <w:rPr>
                <w:rFonts w:ascii="Calibri" w:eastAsia="Times New Roman" w:hAnsi="Calibri" w:cs="Calibri"/>
                <w:b/>
                <w:bCs/>
                <w:color w:val="000000"/>
                <w:sz w:val="20"/>
                <w:szCs w:val="20"/>
                <w:lang w:val="es-GT" w:eastAsia="es-ES_tradnl"/>
              </w:rPr>
              <w:t>272,893.5</w:t>
            </w:r>
          </w:p>
        </w:tc>
        <w:tc>
          <w:tcPr>
            <w:tcW w:w="208" w:type="pct"/>
            <w:shd w:val="clear" w:color="auto" w:fill="auto"/>
            <w:noWrap/>
            <w:vAlign w:val="bottom"/>
            <w:hideMark/>
          </w:tcPr>
          <w:p w14:paraId="4DF641BF" w14:textId="77777777" w:rsidR="00042E46" w:rsidRPr="009A27ED" w:rsidRDefault="00042E46" w:rsidP="00042E46">
            <w:pPr>
              <w:spacing w:after="0"/>
              <w:jc w:val="center"/>
              <w:rPr>
                <w:rFonts w:ascii="Calibri" w:eastAsia="Times New Roman" w:hAnsi="Calibri" w:cs="Calibri"/>
                <w:b/>
                <w:bCs/>
                <w:color w:val="000000"/>
                <w:sz w:val="20"/>
                <w:szCs w:val="20"/>
                <w:lang w:val="es-GT" w:eastAsia="es-ES_tradnl"/>
              </w:rPr>
            </w:pPr>
            <w:r w:rsidRPr="009A27ED">
              <w:rPr>
                <w:rFonts w:ascii="Calibri" w:eastAsia="Times New Roman" w:hAnsi="Calibri" w:cs="Calibri"/>
                <w:b/>
                <w:bCs/>
                <w:color w:val="000000"/>
                <w:sz w:val="20"/>
                <w:szCs w:val="20"/>
                <w:lang w:val="es-GT" w:eastAsia="es-ES_tradnl"/>
              </w:rPr>
              <w:t>44.7</w:t>
            </w:r>
          </w:p>
        </w:tc>
        <w:tc>
          <w:tcPr>
            <w:tcW w:w="371" w:type="pct"/>
            <w:shd w:val="clear" w:color="auto" w:fill="auto"/>
            <w:noWrap/>
            <w:vAlign w:val="bottom"/>
            <w:hideMark/>
          </w:tcPr>
          <w:p w14:paraId="7B451BD8" w14:textId="77777777" w:rsidR="00042E46" w:rsidRPr="009A27ED" w:rsidRDefault="00042E46" w:rsidP="00042E46">
            <w:pPr>
              <w:spacing w:after="0"/>
              <w:jc w:val="right"/>
              <w:rPr>
                <w:rFonts w:ascii="Calibri" w:eastAsia="Times New Roman" w:hAnsi="Calibri" w:cs="Calibri"/>
                <w:b/>
                <w:bCs/>
                <w:color w:val="000000"/>
                <w:sz w:val="20"/>
                <w:szCs w:val="20"/>
                <w:lang w:val="es-GT" w:eastAsia="es-ES_tradnl"/>
              </w:rPr>
            </w:pPr>
            <w:r w:rsidRPr="009A27ED">
              <w:rPr>
                <w:rFonts w:ascii="Calibri" w:eastAsia="Times New Roman" w:hAnsi="Calibri" w:cs="Calibri"/>
                <w:b/>
                <w:bCs/>
                <w:color w:val="000000"/>
                <w:sz w:val="20"/>
                <w:szCs w:val="20"/>
                <w:lang w:val="es-GT" w:eastAsia="es-ES_tradnl"/>
              </w:rPr>
              <w:t>27,059.3</w:t>
            </w:r>
          </w:p>
        </w:tc>
        <w:tc>
          <w:tcPr>
            <w:tcW w:w="208" w:type="pct"/>
            <w:shd w:val="clear" w:color="auto" w:fill="auto"/>
            <w:noWrap/>
            <w:vAlign w:val="bottom"/>
            <w:hideMark/>
          </w:tcPr>
          <w:p w14:paraId="254A170B" w14:textId="77777777" w:rsidR="00042E46" w:rsidRPr="009A27ED" w:rsidRDefault="00042E46" w:rsidP="00042E46">
            <w:pPr>
              <w:spacing w:after="0"/>
              <w:jc w:val="center"/>
              <w:rPr>
                <w:rFonts w:ascii="Calibri" w:eastAsia="Times New Roman" w:hAnsi="Calibri" w:cs="Calibri"/>
                <w:b/>
                <w:bCs/>
                <w:color w:val="000000"/>
                <w:sz w:val="20"/>
                <w:szCs w:val="20"/>
                <w:lang w:val="es-GT" w:eastAsia="es-ES_tradnl"/>
              </w:rPr>
            </w:pPr>
            <w:r w:rsidRPr="009A27ED">
              <w:rPr>
                <w:rFonts w:ascii="Calibri" w:eastAsia="Times New Roman" w:hAnsi="Calibri" w:cs="Calibri"/>
                <w:b/>
                <w:bCs/>
                <w:color w:val="000000"/>
                <w:sz w:val="20"/>
                <w:szCs w:val="20"/>
                <w:lang w:val="es-GT" w:eastAsia="es-ES_tradnl"/>
              </w:rPr>
              <w:t>18.5</w:t>
            </w:r>
          </w:p>
        </w:tc>
        <w:tc>
          <w:tcPr>
            <w:tcW w:w="682" w:type="pct"/>
            <w:shd w:val="clear" w:color="auto" w:fill="auto"/>
            <w:noWrap/>
            <w:vAlign w:val="bottom"/>
            <w:hideMark/>
          </w:tcPr>
          <w:p w14:paraId="2662D84A" w14:textId="77777777" w:rsidR="00042E46" w:rsidRPr="009A27ED" w:rsidRDefault="00042E46" w:rsidP="00042E46">
            <w:pPr>
              <w:spacing w:after="0"/>
              <w:jc w:val="right"/>
              <w:rPr>
                <w:rFonts w:ascii="Calibri" w:eastAsia="Times New Roman" w:hAnsi="Calibri" w:cs="Calibri"/>
                <w:b/>
                <w:bCs/>
                <w:color w:val="000000"/>
                <w:sz w:val="20"/>
                <w:szCs w:val="20"/>
                <w:lang w:val="es-GT" w:eastAsia="es-ES_tradnl"/>
              </w:rPr>
            </w:pPr>
            <w:r w:rsidRPr="009A27ED">
              <w:rPr>
                <w:rFonts w:ascii="Calibri" w:eastAsia="Times New Roman" w:hAnsi="Calibri" w:cs="Calibri"/>
                <w:b/>
                <w:bCs/>
                <w:color w:val="000000"/>
                <w:sz w:val="20"/>
                <w:szCs w:val="20"/>
                <w:lang w:val="es-GT" w:eastAsia="es-ES_tradnl"/>
              </w:rPr>
              <w:t>87,002.6</w:t>
            </w:r>
          </w:p>
        </w:tc>
        <w:tc>
          <w:tcPr>
            <w:tcW w:w="310" w:type="pct"/>
            <w:shd w:val="clear" w:color="auto" w:fill="auto"/>
            <w:noWrap/>
            <w:vAlign w:val="bottom"/>
            <w:hideMark/>
          </w:tcPr>
          <w:p w14:paraId="391059D0" w14:textId="77777777" w:rsidR="00042E46" w:rsidRPr="009A27ED" w:rsidRDefault="00042E46" w:rsidP="00042E46">
            <w:pPr>
              <w:spacing w:after="0"/>
              <w:jc w:val="center"/>
              <w:rPr>
                <w:rFonts w:ascii="Calibri" w:eastAsia="Times New Roman" w:hAnsi="Calibri" w:cs="Calibri"/>
                <w:b/>
                <w:bCs/>
                <w:color w:val="000000"/>
                <w:sz w:val="20"/>
                <w:szCs w:val="20"/>
                <w:lang w:val="es-GT" w:eastAsia="es-ES_tradnl"/>
              </w:rPr>
            </w:pPr>
            <w:r w:rsidRPr="009A27ED">
              <w:rPr>
                <w:rFonts w:ascii="Calibri" w:eastAsia="Times New Roman" w:hAnsi="Calibri" w:cs="Calibri"/>
                <w:b/>
                <w:bCs/>
                <w:color w:val="000000"/>
                <w:sz w:val="20"/>
                <w:szCs w:val="20"/>
                <w:lang w:val="es-GT" w:eastAsia="es-ES_tradnl"/>
              </w:rPr>
              <w:t>37.7</w:t>
            </w:r>
          </w:p>
        </w:tc>
      </w:tr>
      <w:tr w:rsidR="00042E46" w:rsidRPr="009A27ED" w14:paraId="3CF1A872" w14:textId="77777777" w:rsidTr="00170677">
        <w:trPr>
          <w:trHeight w:val="300"/>
        </w:trPr>
        <w:tc>
          <w:tcPr>
            <w:tcW w:w="446" w:type="pct"/>
            <w:shd w:val="clear" w:color="auto" w:fill="auto"/>
            <w:noWrap/>
            <w:vAlign w:val="bottom"/>
            <w:hideMark/>
          </w:tcPr>
          <w:p w14:paraId="47520AE3"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7</w:t>
            </w:r>
          </w:p>
        </w:tc>
        <w:tc>
          <w:tcPr>
            <w:tcW w:w="842" w:type="pct"/>
            <w:shd w:val="clear" w:color="auto" w:fill="auto"/>
            <w:noWrap/>
            <w:vAlign w:val="bottom"/>
            <w:hideMark/>
          </w:tcPr>
          <w:p w14:paraId="317876DD" w14:textId="77777777" w:rsidR="00042E46" w:rsidRPr="009A27ED" w:rsidRDefault="00042E46" w:rsidP="00042E46">
            <w:pPr>
              <w:spacing w:after="0"/>
              <w:jc w:val="lef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Matorral Latifoliado</w:t>
            </w:r>
          </w:p>
        </w:tc>
        <w:tc>
          <w:tcPr>
            <w:tcW w:w="658" w:type="pct"/>
            <w:shd w:val="clear" w:color="auto" w:fill="auto"/>
            <w:noWrap/>
            <w:vAlign w:val="bottom"/>
            <w:hideMark/>
          </w:tcPr>
          <w:p w14:paraId="7574D24D"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4,310.2</w:t>
            </w:r>
          </w:p>
        </w:tc>
        <w:tc>
          <w:tcPr>
            <w:tcW w:w="301" w:type="pct"/>
            <w:shd w:val="clear" w:color="auto" w:fill="auto"/>
            <w:noWrap/>
            <w:vAlign w:val="bottom"/>
            <w:hideMark/>
          </w:tcPr>
          <w:p w14:paraId="1DB4C1E5"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1.3</w:t>
            </w:r>
          </w:p>
        </w:tc>
        <w:tc>
          <w:tcPr>
            <w:tcW w:w="361" w:type="pct"/>
            <w:shd w:val="clear" w:color="auto" w:fill="auto"/>
            <w:noWrap/>
            <w:vAlign w:val="bottom"/>
            <w:hideMark/>
          </w:tcPr>
          <w:p w14:paraId="3A7F33A7"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3,702.3</w:t>
            </w:r>
          </w:p>
        </w:tc>
        <w:tc>
          <w:tcPr>
            <w:tcW w:w="244" w:type="pct"/>
            <w:shd w:val="clear" w:color="auto" w:fill="auto"/>
            <w:noWrap/>
            <w:vAlign w:val="bottom"/>
            <w:hideMark/>
          </w:tcPr>
          <w:p w14:paraId="3CED4FC1"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1.8</w:t>
            </w:r>
          </w:p>
        </w:tc>
        <w:tc>
          <w:tcPr>
            <w:tcW w:w="371" w:type="pct"/>
            <w:shd w:val="clear" w:color="auto" w:fill="auto"/>
            <w:noWrap/>
            <w:vAlign w:val="bottom"/>
            <w:hideMark/>
          </w:tcPr>
          <w:p w14:paraId="771980E4"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21,646.3</w:t>
            </w:r>
          </w:p>
        </w:tc>
        <w:tc>
          <w:tcPr>
            <w:tcW w:w="208" w:type="pct"/>
            <w:shd w:val="clear" w:color="auto" w:fill="auto"/>
            <w:noWrap/>
            <w:vAlign w:val="bottom"/>
            <w:hideMark/>
          </w:tcPr>
          <w:p w14:paraId="2872AC9B"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3.5</w:t>
            </w:r>
          </w:p>
        </w:tc>
        <w:tc>
          <w:tcPr>
            <w:tcW w:w="371" w:type="pct"/>
            <w:shd w:val="clear" w:color="auto" w:fill="auto"/>
            <w:noWrap/>
            <w:vAlign w:val="bottom"/>
            <w:hideMark/>
          </w:tcPr>
          <w:p w14:paraId="525480DD"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4,291.2</w:t>
            </w:r>
          </w:p>
        </w:tc>
        <w:tc>
          <w:tcPr>
            <w:tcW w:w="208" w:type="pct"/>
            <w:shd w:val="clear" w:color="auto" w:fill="auto"/>
            <w:noWrap/>
            <w:vAlign w:val="bottom"/>
            <w:hideMark/>
          </w:tcPr>
          <w:p w14:paraId="0EE06DDD"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2.9</w:t>
            </w:r>
          </w:p>
        </w:tc>
        <w:tc>
          <w:tcPr>
            <w:tcW w:w="682" w:type="pct"/>
            <w:shd w:val="clear" w:color="auto" w:fill="auto"/>
            <w:noWrap/>
            <w:vAlign w:val="bottom"/>
            <w:hideMark/>
          </w:tcPr>
          <w:p w14:paraId="52E36703"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22,632.0</w:t>
            </w:r>
          </w:p>
        </w:tc>
        <w:tc>
          <w:tcPr>
            <w:tcW w:w="310" w:type="pct"/>
            <w:shd w:val="clear" w:color="auto" w:fill="auto"/>
            <w:noWrap/>
            <w:vAlign w:val="bottom"/>
            <w:hideMark/>
          </w:tcPr>
          <w:p w14:paraId="78F3D2FA"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9.8</w:t>
            </w:r>
          </w:p>
        </w:tc>
      </w:tr>
      <w:tr w:rsidR="00042E46" w:rsidRPr="009A27ED" w14:paraId="26A400F7" w14:textId="77777777" w:rsidTr="00170677">
        <w:trPr>
          <w:trHeight w:val="300"/>
        </w:trPr>
        <w:tc>
          <w:tcPr>
            <w:tcW w:w="446" w:type="pct"/>
            <w:shd w:val="clear" w:color="auto" w:fill="auto"/>
            <w:noWrap/>
            <w:vAlign w:val="bottom"/>
            <w:hideMark/>
          </w:tcPr>
          <w:p w14:paraId="1DD7FF59"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8</w:t>
            </w:r>
          </w:p>
        </w:tc>
        <w:tc>
          <w:tcPr>
            <w:tcW w:w="842" w:type="pct"/>
            <w:shd w:val="clear" w:color="auto" w:fill="auto"/>
            <w:noWrap/>
            <w:vAlign w:val="bottom"/>
            <w:hideMark/>
          </w:tcPr>
          <w:p w14:paraId="026BBC52" w14:textId="77777777" w:rsidR="00042E46" w:rsidRPr="009A27ED" w:rsidRDefault="00042E46" w:rsidP="00042E46">
            <w:pPr>
              <w:spacing w:after="0"/>
              <w:jc w:val="lef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Matorral Seco</w:t>
            </w:r>
          </w:p>
        </w:tc>
        <w:tc>
          <w:tcPr>
            <w:tcW w:w="658" w:type="pct"/>
            <w:shd w:val="clear" w:color="auto" w:fill="auto"/>
            <w:noWrap/>
            <w:vAlign w:val="bottom"/>
            <w:hideMark/>
          </w:tcPr>
          <w:p w14:paraId="7A245819"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1,275.8</w:t>
            </w:r>
          </w:p>
        </w:tc>
        <w:tc>
          <w:tcPr>
            <w:tcW w:w="301" w:type="pct"/>
            <w:shd w:val="clear" w:color="auto" w:fill="auto"/>
            <w:noWrap/>
            <w:vAlign w:val="bottom"/>
            <w:hideMark/>
          </w:tcPr>
          <w:p w14:paraId="5F54ADC5"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0.4</w:t>
            </w:r>
          </w:p>
        </w:tc>
        <w:tc>
          <w:tcPr>
            <w:tcW w:w="361" w:type="pct"/>
            <w:shd w:val="clear" w:color="auto" w:fill="auto"/>
            <w:noWrap/>
            <w:vAlign w:val="bottom"/>
            <w:hideMark/>
          </w:tcPr>
          <w:p w14:paraId="4E9B44B1"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15,050.7</w:t>
            </w:r>
          </w:p>
        </w:tc>
        <w:tc>
          <w:tcPr>
            <w:tcW w:w="244" w:type="pct"/>
            <w:shd w:val="clear" w:color="auto" w:fill="auto"/>
            <w:noWrap/>
            <w:vAlign w:val="bottom"/>
            <w:hideMark/>
          </w:tcPr>
          <w:p w14:paraId="35A72A3F"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7.4</w:t>
            </w:r>
          </w:p>
        </w:tc>
        <w:tc>
          <w:tcPr>
            <w:tcW w:w="371" w:type="pct"/>
            <w:shd w:val="clear" w:color="auto" w:fill="auto"/>
            <w:noWrap/>
            <w:vAlign w:val="bottom"/>
            <w:hideMark/>
          </w:tcPr>
          <w:p w14:paraId="690C7499"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12,840.8</w:t>
            </w:r>
          </w:p>
        </w:tc>
        <w:tc>
          <w:tcPr>
            <w:tcW w:w="208" w:type="pct"/>
            <w:shd w:val="clear" w:color="auto" w:fill="auto"/>
            <w:noWrap/>
            <w:vAlign w:val="bottom"/>
            <w:hideMark/>
          </w:tcPr>
          <w:p w14:paraId="1DE1F6E3"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2.1</w:t>
            </w:r>
          </w:p>
        </w:tc>
        <w:tc>
          <w:tcPr>
            <w:tcW w:w="371" w:type="pct"/>
            <w:shd w:val="clear" w:color="auto" w:fill="auto"/>
            <w:noWrap/>
            <w:vAlign w:val="bottom"/>
            <w:hideMark/>
          </w:tcPr>
          <w:p w14:paraId="00C92C20"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2.3</w:t>
            </w:r>
          </w:p>
        </w:tc>
        <w:tc>
          <w:tcPr>
            <w:tcW w:w="208" w:type="pct"/>
            <w:shd w:val="clear" w:color="auto" w:fill="auto"/>
            <w:noWrap/>
            <w:vAlign w:val="bottom"/>
            <w:hideMark/>
          </w:tcPr>
          <w:p w14:paraId="40AE69F1"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682" w:type="pct"/>
            <w:shd w:val="clear" w:color="auto" w:fill="auto"/>
            <w:noWrap/>
            <w:vAlign w:val="bottom"/>
            <w:hideMark/>
          </w:tcPr>
          <w:p w14:paraId="7E2323BB"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310" w:type="pct"/>
            <w:shd w:val="clear" w:color="auto" w:fill="auto"/>
            <w:noWrap/>
            <w:vAlign w:val="bottom"/>
            <w:hideMark/>
          </w:tcPr>
          <w:p w14:paraId="251EB8CB"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r>
      <w:tr w:rsidR="00042E46" w:rsidRPr="009A27ED" w14:paraId="3A4D476C" w14:textId="77777777" w:rsidTr="00170677">
        <w:trPr>
          <w:trHeight w:val="300"/>
        </w:trPr>
        <w:tc>
          <w:tcPr>
            <w:tcW w:w="446" w:type="pct"/>
            <w:shd w:val="clear" w:color="auto" w:fill="auto"/>
            <w:noWrap/>
            <w:vAlign w:val="bottom"/>
            <w:hideMark/>
          </w:tcPr>
          <w:p w14:paraId="7CC5C690"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9</w:t>
            </w:r>
          </w:p>
        </w:tc>
        <w:tc>
          <w:tcPr>
            <w:tcW w:w="842" w:type="pct"/>
            <w:shd w:val="clear" w:color="auto" w:fill="auto"/>
            <w:noWrap/>
            <w:vAlign w:val="bottom"/>
            <w:hideMark/>
          </w:tcPr>
          <w:p w14:paraId="4A5F836A" w14:textId="77777777" w:rsidR="00042E46" w:rsidRPr="009A27ED" w:rsidRDefault="00042E46" w:rsidP="00042E46">
            <w:pPr>
              <w:spacing w:after="0"/>
              <w:jc w:val="lef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Pasto</w:t>
            </w:r>
          </w:p>
        </w:tc>
        <w:tc>
          <w:tcPr>
            <w:tcW w:w="658" w:type="pct"/>
            <w:shd w:val="clear" w:color="auto" w:fill="auto"/>
            <w:noWrap/>
            <w:vAlign w:val="bottom"/>
            <w:hideMark/>
          </w:tcPr>
          <w:p w14:paraId="4D415226"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106,300.0</w:t>
            </w:r>
          </w:p>
        </w:tc>
        <w:tc>
          <w:tcPr>
            <w:tcW w:w="301" w:type="pct"/>
            <w:shd w:val="clear" w:color="auto" w:fill="auto"/>
            <w:noWrap/>
            <w:vAlign w:val="bottom"/>
            <w:hideMark/>
          </w:tcPr>
          <w:p w14:paraId="5DF95112"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32.5</w:t>
            </w:r>
          </w:p>
        </w:tc>
        <w:tc>
          <w:tcPr>
            <w:tcW w:w="361" w:type="pct"/>
            <w:shd w:val="clear" w:color="auto" w:fill="auto"/>
            <w:noWrap/>
            <w:vAlign w:val="bottom"/>
            <w:hideMark/>
          </w:tcPr>
          <w:p w14:paraId="40A81481"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93,270.2</w:t>
            </w:r>
          </w:p>
        </w:tc>
        <w:tc>
          <w:tcPr>
            <w:tcW w:w="244" w:type="pct"/>
            <w:shd w:val="clear" w:color="auto" w:fill="auto"/>
            <w:noWrap/>
            <w:vAlign w:val="bottom"/>
            <w:hideMark/>
          </w:tcPr>
          <w:p w14:paraId="0B276119"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45.7</w:t>
            </w:r>
          </w:p>
        </w:tc>
        <w:tc>
          <w:tcPr>
            <w:tcW w:w="371" w:type="pct"/>
            <w:shd w:val="clear" w:color="auto" w:fill="auto"/>
            <w:noWrap/>
            <w:vAlign w:val="bottom"/>
            <w:hideMark/>
          </w:tcPr>
          <w:p w14:paraId="00C4B375"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166,857.4</w:t>
            </w:r>
          </w:p>
        </w:tc>
        <w:tc>
          <w:tcPr>
            <w:tcW w:w="208" w:type="pct"/>
            <w:shd w:val="clear" w:color="auto" w:fill="auto"/>
            <w:noWrap/>
            <w:vAlign w:val="bottom"/>
            <w:hideMark/>
          </w:tcPr>
          <w:p w14:paraId="15254BE6"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27.3</w:t>
            </w:r>
          </w:p>
        </w:tc>
        <w:tc>
          <w:tcPr>
            <w:tcW w:w="371" w:type="pct"/>
            <w:shd w:val="clear" w:color="auto" w:fill="auto"/>
            <w:noWrap/>
            <w:vAlign w:val="bottom"/>
            <w:hideMark/>
          </w:tcPr>
          <w:p w14:paraId="52DD7977"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26,280.2</w:t>
            </w:r>
          </w:p>
        </w:tc>
        <w:tc>
          <w:tcPr>
            <w:tcW w:w="208" w:type="pct"/>
            <w:shd w:val="clear" w:color="auto" w:fill="auto"/>
            <w:noWrap/>
            <w:vAlign w:val="bottom"/>
            <w:hideMark/>
          </w:tcPr>
          <w:p w14:paraId="1589B771"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18.0</w:t>
            </w:r>
          </w:p>
        </w:tc>
        <w:tc>
          <w:tcPr>
            <w:tcW w:w="682" w:type="pct"/>
            <w:shd w:val="clear" w:color="auto" w:fill="auto"/>
            <w:noWrap/>
            <w:vAlign w:val="bottom"/>
            <w:hideMark/>
          </w:tcPr>
          <w:p w14:paraId="5F4F26BE"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76,907.4</w:t>
            </w:r>
          </w:p>
        </w:tc>
        <w:tc>
          <w:tcPr>
            <w:tcW w:w="310" w:type="pct"/>
            <w:shd w:val="clear" w:color="auto" w:fill="auto"/>
            <w:noWrap/>
            <w:vAlign w:val="bottom"/>
            <w:hideMark/>
          </w:tcPr>
          <w:p w14:paraId="7A8E25CE"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33.3</w:t>
            </w:r>
          </w:p>
        </w:tc>
      </w:tr>
      <w:tr w:rsidR="00042E46" w:rsidRPr="009A27ED" w14:paraId="11F9CBB8" w14:textId="77777777" w:rsidTr="00170677">
        <w:trPr>
          <w:trHeight w:val="300"/>
        </w:trPr>
        <w:tc>
          <w:tcPr>
            <w:tcW w:w="446" w:type="pct"/>
            <w:shd w:val="clear" w:color="auto" w:fill="auto"/>
            <w:noWrap/>
            <w:vAlign w:val="bottom"/>
            <w:hideMark/>
          </w:tcPr>
          <w:p w14:paraId="41B9D02D"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10</w:t>
            </w:r>
          </w:p>
        </w:tc>
        <w:tc>
          <w:tcPr>
            <w:tcW w:w="842" w:type="pct"/>
            <w:shd w:val="clear" w:color="auto" w:fill="auto"/>
            <w:noWrap/>
            <w:vAlign w:val="bottom"/>
            <w:hideMark/>
          </w:tcPr>
          <w:p w14:paraId="1074354D" w14:textId="77777777" w:rsidR="00042E46" w:rsidRPr="009A27ED" w:rsidRDefault="00042E46" w:rsidP="00042E46">
            <w:pPr>
              <w:spacing w:after="0"/>
              <w:jc w:val="lef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Cultivo</w:t>
            </w:r>
          </w:p>
        </w:tc>
        <w:tc>
          <w:tcPr>
            <w:tcW w:w="658" w:type="pct"/>
            <w:shd w:val="clear" w:color="auto" w:fill="auto"/>
            <w:noWrap/>
            <w:vAlign w:val="bottom"/>
            <w:hideMark/>
          </w:tcPr>
          <w:p w14:paraId="552D947A"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9,130.1</w:t>
            </w:r>
          </w:p>
        </w:tc>
        <w:tc>
          <w:tcPr>
            <w:tcW w:w="301" w:type="pct"/>
            <w:shd w:val="clear" w:color="auto" w:fill="auto"/>
            <w:noWrap/>
            <w:vAlign w:val="bottom"/>
            <w:hideMark/>
          </w:tcPr>
          <w:p w14:paraId="50A5ED6D"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2.8</w:t>
            </w:r>
          </w:p>
        </w:tc>
        <w:tc>
          <w:tcPr>
            <w:tcW w:w="361" w:type="pct"/>
            <w:shd w:val="clear" w:color="auto" w:fill="auto"/>
            <w:noWrap/>
            <w:vAlign w:val="bottom"/>
            <w:hideMark/>
          </w:tcPr>
          <w:p w14:paraId="08925807"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5,290.7</w:t>
            </w:r>
          </w:p>
        </w:tc>
        <w:tc>
          <w:tcPr>
            <w:tcW w:w="244" w:type="pct"/>
            <w:shd w:val="clear" w:color="auto" w:fill="auto"/>
            <w:noWrap/>
            <w:vAlign w:val="bottom"/>
            <w:hideMark/>
          </w:tcPr>
          <w:p w14:paraId="7147A775"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2.6</w:t>
            </w:r>
          </w:p>
        </w:tc>
        <w:tc>
          <w:tcPr>
            <w:tcW w:w="371" w:type="pct"/>
            <w:shd w:val="clear" w:color="auto" w:fill="auto"/>
            <w:noWrap/>
            <w:vAlign w:val="bottom"/>
            <w:hideMark/>
          </w:tcPr>
          <w:p w14:paraId="64F02611"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78,861.4</w:t>
            </w:r>
          </w:p>
        </w:tc>
        <w:tc>
          <w:tcPr>
            <w:tcW w:w="208" w:type="pct"/>
            <w:shd w:val="clear" w:color="auto" w:fill="auto"/>
            <w:noWrap/>
            <w:vAlign w:val="bottom"/>
            <w:hideMark/>
          </w:tcPr>
          <w:p w14:paraId="6BF15009"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12.9</w:t>
            </w:r>
          </w:p>
        </w:tc>
        <w:tc>
          <w:tcPr>
            <w:tcW w:w="371" w:type="pct"/>
            <w:shd w:val="clear" w:color="auto" w:fill="auto"/>
            <w:noWrap/>
            <w:vAlign w:val="bottom"/>
            <w:hideMark/>
          </w:tcPr>
          <w:p w14:paraId="23985EC2"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36,568.1</w:t>
            </w:r>
          </w:p>
        </w:tc>
        <w:tc>
          <w:tcPr>
            <w:tcW w:w="208" w:type="pct"/>
            <w:shd w:val="clear" w:color="auto" w:fill="auto"/>
            <w:noWrap/>
            <w:vAlign w:val="bottom"/>
            <w:hideMark/>
          </w:tcPr>
          <w:p w14:paraId="27780B20"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25.0</w:t>
            </w:r>
          </w:p>
        </w:tc>
        <w:tc>
          <w:tcPr>
            <w:tcW w:w="682" w:type="pct"/>
            <w:shd w:val="clear" w:color="auto" w:fill="auto"/>
            <w:noWrap/>
            <w:vAlign w:val="bottom"/>
            <w:hideMark/>
          </w:tcPr>
          <w:p w14:paraId="434F8B83"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25,009.6</w:t>
            </w:r>
          </w:p>
        </w:tc>
        <w:tc>
          <w:tcPr>
            <w:tcW w:w="310" w:type="pct"/>
            <w:shd w:val="clear" w:color="auto" w:fill="auto"/>
            <w:noWrap/>
            <w:vAlign w:val="bottom"/>
            <w:hideMark/>
          </w:tcPr>
          <w:p w14:paraId="5DA805F7"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10.8</w:t>
            </w:r>
          </w:p>
        </w:tc>
      </w:tr>
      <w:tr w:rsidR="00042E46" w:rsidRPr="009A27ED" w14:paraId="0B9E0FFF" w14:textId="77777777" w:rsidTr="00170677">
        <w:trPr>
          <w:trHeight w:val="300"/>
        </w:trPr>
        <w:tc>
          <w:tcPr>
            <w:tcW w:w="446" w:type="pct"/>
            <w:shd w:val="clear" w:color="auto" w:fill="auto"/>
            <w:noWrap/>
            <w:vAlign w:val="bottom"/>
            <w:hideMark/>
          </w:tcPr>
          <w:p w14:paraId="37091667"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11</w:t>
            </w:r>
          </w:p>
        </w:tc>
        <w:tc>
          <w:tcPr>
            <w:tcW w:w="842" w:type="pct"/>
            <w:shd w:val="clear" w:color="auto" w:fill="auto"/>
            <w:noWrap/>
            <w:vAlign w:val="bottom"/>
            <w:hideMark/>
          </w:tcPr>
          <w:p w14:paraId="72AD4EF9" w14:textId="77777777" w:rsidR="00042E46" w:rsidRPr="009A27ED" w:rsidRDefault="00042E46" w:rsidP="00042E46">
            <w:pPr>
              <w:spacing w:after="0"/>
              <w:jc w:val="lef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Suelo Sin Vegetación</w:t>
            </w:r>
          </w:p>
        </w:tc>
        <w:tc>
          <w:tcPr>
            <w:tcW w:w="658" w:type="pct"/>
            <w:shd w:val="clear" w:color="auto" w:fill="auto"/>
            <w:noWrap/>
            <w:vAlign w:val="bottom"/>
            <w:hideMark/>
          </w:tcPr>
          <w:p w14:paraId="7DBB9353"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66.3</w:t>
            </w:r>
          </w:p>
        </w:tc>
        <w:tc>
          <w:tcPr>
            <w:tcW w:w="301" w:type="pct"/>
            <w:shd w:val="clear" w:color="auto" w:fill="auto"/>
            <w:noWrap/>
            <w:vAlign w:val="bottom"/>
            <w:hideMark/>
          </w:tcPr>
          <w:p w14:paraId="200FD482"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361" w:type="pct"/>
            <w:shd w:val="clear" w:color="auto" w:fill="auto"/>
            <w:noWrap/>
            <w:vAlign w:val="bottom"/>
            <w:hideMark/>
          </w:tcPr>
          <w:p w14:paraId="1A5854B9"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614.9</w:t>
            </w:r>
          </w:p>
        </w:tc>
        <w:tc>
          <w:tcPr>
            <w:tcW w:w="244" w:type="pct"/>
            <w:shd w:val="clear" w:color="auto" w:fill="auto"/>
            <w:noWrap/>
            <w:vAlign w:val="bottom"/>
            <w:hideMark/>
          </w:tcPr>
          <w:p w14:paraId="49B6FA59"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0.3</w:t>
            </w:r>
          </w:p>
        </w:tc>
        <w:tc>
          <w:tcPr>
            <w:tcW w:w="371" w:type="pct"/>
            <w:shd w:val="clear" w:color="auto" w:fill="auto"/>
            <w:noWrap/>
            <w:vAlign w:val="bottom"/>
            <w:hideMark/>
          </w:tcPr>
          <w:p w14:paraId="0BAF0A91"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4,412.9</w:t>
            </w:r>
          </w:p>
        </w:tc>
        <w:tc>
          <w:tcPr>
            <w:tcW w:w="208" w:type="pct"/>
            <w:shd w:val="clear" w:color="auto" w:fill="auto"/>
            <w:noWrap/>
            <w:vAlign w:val="bottom"/>
            <w:hideMark/>
          </w:tcPr>
          <w:p w14:paraId="5535152C"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0.7</w:t>
            </w:r>
          </w:p>
        </w:tc>
        <w:tc>
          <w:tcPr>
            <w:tcW w:w="371" w:type="pct"/>
            <w:shd w:val="clear" w:color="auto" w:fill="auto"/>
            <w:noWrap/>
            <w:vAlign w:val="bottom"/>
            <w:hideMark/>
          </w:tcPr>
          <w:p w14:paraId="707A112C"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197.9</w:t>
            </w:r>
          </w:p>
        </w:tc>
        <w:tc>
          <w:tcPr>
            <w:tcW w:w="208" w:type="pct"/>
            <w:shd w:val="clear" w:color="auto" w:fill="auto"/>
            <w:noWrap/>
            <w:vAlign w:val="bottom"/>
            <w:hideMark/>
          </w:tcPr>
          <w:p w14:paraId="15F1BD2C"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0.1</w:t>
            </w:r>
          </w:p>
        </w:tc>
        <w:tc>
          <w:tcPr>
            <w:tcW w:w="682" w:type="pct"/>
            <w:shd w:val="clear" w:color="auto" w:fill="auto"/>
            <w:noWrap/>
            <w:vAlign w:val="bottom"/>
            <w:hideMark/>
          </w:tcPr>
          <w:p w14:paraId="75F301F2"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562.0</w:t>
            </w:r>
          </w:p>
        </w:tc>
        <w:tc>
          <w:tcPr>
            <w:tcW w:w="310" w:type="pct"/>
            <w:shd w:val="clear" w:color="auto" w:fill="auto"/>
            <w:noWrap/>
            <w:vAlign w:val="bottom"/>
            <w:hideMark/>
          </w:tcPr>
          <w:p w14:paraId="069E8D44"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0.2</w:t>
            </w:r>
          </w:p>
        </w:tc>
      </w:tr>
      <w:tr w:rsidR="00042E46" w:rsidRPr="009A27ED" w14:paraId="5AAC780E" w14:textId="77777777" w:rsidTr="00170677">
        <w:trPr>
          <w:trHeight w:val="300"/>
        </w:trPr>
        <w:tc>
          <w:tcPr>
            <w:tcW w:w="446" w:type="pct"/>
            <w:shd w:val="clear" w:color="auto" w:fill="auto"/>
            <w:noWrap/>
            <w:vAlign w:val="bottom"/>
            <w:hideMark/>
          </w:tcPr>
          <w:p w14:paraId="49D85625"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12</w:t>
            </w:r>
          </w:p>
        </w:tc>
        <w:tc>
          <w:tcPr>
            <w:tcW w:w="842" w:type="pct"/>
            <w:shd w:val="clear" w:color="auto" w:fill="auto"/>
            <w:noWrap/>
            <w:vAlign w:val="bottom"/>
            <w:hideMark/>
          </w:tcPr>
          <w:p w14:paraId="0B6D9F3D" w14:textId="77777777" w:rsidR="00042E46" w:rsidRPr="009A27ED" w:rsidRDefault="00042E46" w:rsidP="00042E46">
            <w:pPr>
              <w:spacing w:after="0"/>
              <w:jc w:val="lef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Cacao</w:t>
            </w:r>
          </w:p>
        </w:tc>
        <w:tc>
          <w:tcPr>
            <w:tcW w:w="658" w:type="pct"/>
            <w:shd w:val="clear" w:color="auto" w:fill="auto"/>
            <w:noWrap/>
            <w:vAlign w:val="bottom"/>
            <w:hideMark/>
          </w:tcPr>
          <w:p w14:paraId="078299D1"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301" w:type="pct"/>
            <w:shd w:val="clear" w:color="auto" w:fill="auto"/>
            <w:noWrap/>
            <w:vAlign w:val="bottom"/>
            <w:hideMark/>
          </w:tcPr>
          <w:p w14:paraId="3853924F"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361" w:type="pct"/>
            <w:shd w:val="clear" w:color="auto" w:fill="auto"/>
            <w:noWrap/>
            <w:vAlign w:val="bottom"/>
            <w:hideMark/>
          </w:tcPr>
          <w:p w14:paraId="7920C10E"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244" w:type="pct"/>
            <w:shd w:val="clear" w:color="auto" w:fill="auto"/>
            <w:noWrap/>
            <w:vAlign w:val="bottom"/>
            <w:hideMark/>
          </w:tcPr>
          <w:p w14:paraId="789B268D"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371" w:type="pct"/>
            <w:shd w:val="clear" w:color="auto" w:fill="auto"/>
            <w:noWrap/>
            <w:vAlign w:val="bottom"/>
            <w:hideMark/>
          </w:tcPr>
          <w:p w14:paraId="7322E1C9"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27.8</w:t>
            </w:r>
          </w:p>
        </w:tc>
        <w:tc>
          <w:tcPr>
            <w:tcW w:w="208" w:type="pct"/>
            <w:shd w:val="clear" w:color="auto" w:fill="auto"/>
            <w:noWrap/>
            <w:vAlign w:val="bottom"/>
            <w:hideMark/>
          </w:tcPr>
          <w:p w14:paraId="1C3CD1E2"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371" w:type="pct"/>
            <w:shd w:val="clear" w:color="auto" w:fill="auto"/>
            <w:noWrap/>
            <w:vAlign w:val="bottom"/>
            <w:hideMark/>
          </w:tcPr>
          <w:p w14:paraId="644C9A4D"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39,994.5</w:t>
            </w:r>
          </w:p>
        </w:tc>
        <w:tc>
          <w:tcPr>
            <w:tcW w:w="208" w:type="pct"/>
            <w:shd w:val="clear" w:color="auto" w:fill="auto"/>
            <w:noWrap/>
            <w:vAlign w:val="bottom"/>
            <w:hideMark/>
          </w:tcPr>
          <w:p w14:paraId="69C85596"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27.4</w:t>
            </w:r>
          </w:p>
        </w:tc>
        <w:tc>
          <w:tcPr>
            <w:tcW w:w="682" w:type="pct"/>
            <w:shd w:val="clear" w:color="auto" w:fill="auto"/>
            <w:noWrap/>
            <w:vAlign w:val="bottom"/>
            <w:hideMark/>
          </w:tcPr>
          <w:p w14:paraId="45883E9F"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10,215.2</w:t>
            </w:r>
          </w:p>
        </w:tc>
        <w:tc>
          <w:tcPr>
            <w:tcW w:w="310" w:type="pct"/>
            <w:shd w:val="clear" w:color="auto" w:fill="auto"/>
            <w:noWrap/>
            <w:vAlign w:val="bottom"/>
            <w:hideMark/>
          </w:tcPr>
          <w:p w14:paraId="16D73F84"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4.4</w:t>
            </w:r>
          </w:p>
        </w:tc>
      </w:tr>
      <w:tr w:rsidR="00042E46" w:rsidRPr="009A27ED" w14:paraId="09E96F81" w14:textId="77777777" w:rsidTr="00170677">
        <w:trPr>
          <w:trHeight w:val="300"/>
        </w:trPr>
        <w:tc>
          <w:tcPr>
            <w:tcW w:w="446" w:type="pct"/>
            <w:shd w:val="clear" w:color="auto" w:fill="auto"/>
            <w:noWrap/>
            <w:vAlign w:val="bottom"/>
            <w:hideMark/>
          </w:tcPr>
          <w:p w14:paraId="25868768"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13</w:t>
            </w:r>
          </w:p>
        </w:tc>
        <w:tc>
          <w:tcPr>
            <w:tcW w:w="842" w:type="pct"/>
            <w:shd w:val="clear" w:color="auto" w:fill="auto"/>
            <w:noWrap/>
            <w:vAlign w:val="bottom"/>
            <w:hideMark/>
          </w:tcPr>
          <w:p w14:paraId="35055DD9" w14:textId="77777777" w:rsidR="00042E46" w:rsidRPr="009A27ED" w:rsidRDefault="00042E46" w:rsidP="00042E46">
            <w:pPr>
              <w:spacing w:after="0"/>
              <w:jc w:val="lef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Cuerpo de Agua</w:t>
            </w:r>
          </w:p>
        </w:tc>
        <w:tc>
          <w:tcPr>
            <w:tcW w:w="658" w:type="pct"/>
            <w:shd w:val="clear" w:color="auto" w:fill="auto"/>
            <w:noWrap/>
            <w:vAlign w:val="bottom"/>
            <w:hideMark/>
          </w:tcPr>
          <w:p w14:paraId="29EE2919"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673.0</w:t>
            </w:r>
          </w:p>
        </w:tc>
        <w:tc>
          <w:tcPr>
            <w:tcW w:w="301" w:type="pct"/>
            <w:shd w:val="clear" w:color="auto" w:fill="auto"/>
            <w:noWrap/>
            <w:vAlign w:val="bottom"/>
            <w:hideMark/>
          </w:tcPr>
          <w:p w14:paraId="30AB60B3"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0.2</w:t>
            </w:r>
          </w:p>
        </w:tc>
        <w:tc>
          <w:tcPr>
            <w:tcW w:w="361" w:type="pct"/>
            <w:shd w:val="clear" w:color="auto" w:fill="auto"/>
            <w:noWrap/>
            <w:vAlign w:val="bottom"/>
            <w:hideMark/>
          </w:tcPr>
          <w:p w14:paraId="39A98AD8"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3,118.8</w:t>
            </w:r>
          </w:p>
        </w:tc>
        <w:tc>
          <w:tcPr>
            <w:tcW w:w="244" w:type="pct"/>
            <w:shd w:val="clear" w:color="auto" w:fill="auto"/>
            <w:noWrap/>
            <w:vAlign w:val="bottom"/>
            <w:hideMark/>
          </w:tcPr>
          <w:p w14:paraId="384055D0"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1.5</w:t>
            </w:r>
          </w:p>
        </w:tc>
        <w:tc>
          <w:tcPr>
            <w:tcW w:w="371" w:type="pct"/>
            <w:shd w:val="clear" w:color="auto" w:fill="auto"/>
            <w:noWrap/>
            <w:vAlign w:val="bottom"/>
            <w:hideMark/>
          </w:tcPr>
          <w:p w14:paraId="1728E222"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2,153.3</w:t>
            </w:r>
          </w:p>
        </w:tc>
        <w:tc>
          <w:tcPr>
            <w:tcW w:w="208" w:type="pct"/>
            <w:shd w:val="clear" w:color="auto" w:fill="auto"/>
            <w:noWrap/>
            <w:vAlign w:val="bottom"/>
            <w:hideMark/>
          </w:tcPr>
          <w:p w14:paraId="1677F677"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0.4</w:t>
            </w:r>
          </w:p>
        </w:tc>
        <w:tc>
          <w:tcPr>
            <w:tcW w:w="371" w:type="pct"/>
            <w:shd w:val="clear" w:color="auto" w:fill="auto"/>
            <w:noWrap/>
            <w:vAlign w:val="bottom"/>
            <w:hideMark/>
          </w:tcPr>
          <w:p w14:paraId="1336EAFB"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173.3</w:t>
            </w:r>
          </w:p>
        </w:tc>
        <w:tc>
          <w:tcPr>
            <w:tcW w:w="208" w:type="pct"/>
            <w:shd w:val="clear" w:color="auto" w:fill="auto"/>
            <w:noWrap/>
            <w:vAlign w:val="bottom"/>
            <w:hideMark/>
          </w:tcPr>
          <w:p w14:paraId="3CE1580E"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0.1</w:t>
            </w:r>
          </w:p>
        </w:tc>
        <w:tc>
          <w:tcPr>
            <w:tcW w:w="682" w:type="pct"/>
            <w:shd w:val="clear" w:color="auto" w:fill="auto"/>
            <w:noWrap/>
            <w:vAlign w:val="bottom"/>
            <w:hideMark/>
          </w:tcPr>
          <w:p w14:paraId="2BFBE5C2"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2,666.7</w:t>
            </w:r>
          </w:p>
        </w:tc>
        <w:tc>
          <w:tcPr>
            <w:tcW w:w="310" w:type="pct"/>
            <w:shd w:val="clear" w:color="auto" w:fill="auto"/>
            <w:noWrap/>
            <w:vAlign w:val="bottom"/>
            <w:hideMark/>
          </w:tcPr>
          <w:p w14:paraId="79AA00B1"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1.2</w:t>
            </w:r>
          </w:p>
        </w:tc>
      </w:tr>
      <w:tr w:rsidR="00042E46" w:rsidRPr="009A27ED" w14:paraId="5E29C1DD" w14:textId="77777777" w:rsidTr="00170677">
        <w:trPr>
          <w:trHeight w:val="300"/>
        </w:trPr>
        <w:tc>
          <w:tcPr>
            <w:tcW w:w="446" w:type="pct"/>
            <w:shd w:val="clear" w:color="auto" w:fill="auto"/>
            <w:noWrap/>
            <w:vAlign w:val="bottom"/>
            <w:hideMark/>
          </w:tcPr>
          <w:p w14:paraId="5B675C3D"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14</w:t>
            </w:r>
          </w:p>
        </w:tc>
        <w:tc>
          <w:tcPr>
            <w:tcW w:w="842" w:type="pct"/>
            <w:shd w:val="clear" w:color="auto" w:fill="auto"/>
            <w:noWrap/>
            <w:vAlign w:val="bottom"/>
            <w:hideMark/>
          </w:tcPr>
          <w:p w14:paraId="274A68BA" w14:textId="77777777" w:rsidR="00042E46" w:rsidRPr="009A27ED" w:rsidRDefault="00042E46" w:rsidP="00042E46">
            <w:pPr>
              <w:spacing w:after="0"/>
              <w:jc w:val="lef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Zona Urbana</w:t>
            </w:r>
          </w:p>
        </w:tc>
        <w:tc>
          <w:tcPr>
            <w:tcW w:w="658" w:type="pct"/>
            <w:shd w:val="clear" w:color="auto" w:fill="auto"/>
            <w:noWrap/>
            <w:vAlign w:val="bottom"/>
            <w:hideMark/>
          </w:tcPr>
          <w:p w14:paraId="6CA075DE"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1,429.8</w:t>
            </w:r>
          </w:p>
        </w:tc>
        <w:tc>
          <w:tcPr>
            <w:tcW w:w="301" w:type="pct"/>
            <w:shd w:val="clear" w:color="auto" w:fill="auto"/>
            <w:noWrap/>
            <w:vAlign w:val="bottom"/>
            <w:hideMark/>
          </w:tcPr>
          <w:p w14:paraId="62D6BEBB"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0.4</w:t>
            </w:r>
          </w:p>
        </w:tc>
        <w:tc>
          <w:tcPr>
            <w:tcW w:w="361" w:type="pct"/>
            <w:shd w:val="clear" w:color="auto" w:fill="auto"/>
            <w:noWrap/>
            <w:vAlign w:val="bottom"/>
            <w:hideMark/>
          </w:tcPr>
          <w:p w14:paraId="635FFA27"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1,062.0</w:t>
            </w:r>
          </w:p>
        </w:tc>
        <w:tc>
          <w:tcPr>
            <w:tcW w:w="244" w:type="pct"/>
            <w:shd w:val="clear" w:color="auto" w:fill="auto"/>
            <w:noWrap/>
            <w:vAlign w:val="bottom"/>
            <w:hideMark/>
          </w:tcPr>
          <w:p w14:paraId="740C8B6C"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0.5</w:t>
            </w:r>
          </w:p>
        </w:tc>
        <w:tc>
          <w:tcPr>
            <w:tcW w:w="371" w:type="pct"/>
            <w:shd w:val="clear" w:color="auto" w:fill="auto"/>
            <w:noWrap/>
            <w:vAlign w:val="bottom"/>
            <w:hideMark/>
          </w:tcPr>
          <w:p w14:paraId="204DA599"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4,633.9</w:t>
            </w:r>
          </w:p>
        </w:tc>
        <w:tc>
          <w:tcPr>
            <w:tcW w:w="208" w:type="pct"/>
            <w:shd w:val="clear" w:color="auto" w:fill="auto"/>
            <w:noWrap/>
            <w:vAlign w:val="bottom"/>
            <w:hideMark/>
          </w:tcPr>
          <w:p w14:paraId="5DD69FB1"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0.8</w:t>
            </w:r>
          </w:p>
        </w:tc>
        <w:tc>
          <w:tcPr>
            <w:tcW w:w="371" w:type="pct"/>
            <w:shd w:val="clear" w:color="auto" w:fill="auto"/>
            <w:noWrap/>
            <w:vAlign w:val="bottom"/>
            <w:hideMark/>
          </w:tcPr>
          <w:p w14:paraId="0DB94396"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3,147.0</w:t>
            </w:r>
          </w:p>
        </w:tc>
        <w:tc>
          <w:tcPr>
            <w:tcW w:w="208" w:type="pct"/>
            <w:shd w:val="clear" w:color="auto" w:fill="auto"/>
            <w:noWrap/>
            <w:vAlign w:val="bottom"/>
            <w:hideMark/>
          </w:tcPr>
          <w:p w14:paraId="176295C1"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2.2</w:t>
            </w:r>
          </w:p>
        </w:tc>
        <w:tc>
          <w:tcPr>
            <w:tcW w:w="682" w:type="pct"/>
            <w:shd w:val="clear" w:color="auto" w:fill="auto"/>
            <w:noWrap/>
            <w:vAlign w:val="bottom"/>
            <w:hideMark/>
          </w:tcPr>
          <w:p w14:paraId="3C17D2CC"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1,550.5</w:t>
            </w:r>
          </w:p>
        </w:tc>
        <w:tc>
          <w:tcPr>
            <w:tcW w:w="310" w:type="pct"/>
            <w:shd w:val="clear" w:color="auto" w:fill="auto"/>
            <w:noWrap/>
            <w:vAlign w:val="bottom"/>
            <w:hideMark/>
          </w:tcPr>
          <w:p w14:paraId="78FEB319"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0.7</w:t>
            </w:r>
          </w:p>
        </w:tc>
      </w:tr>
      <w:tr w:rsidR="00042E46" w:rsidRPr="009A27ED" w14:paraId="37791B58" w14:textId="77777777" w:rsidTr="00170677">
        <w:trPr>
          <w:trHeight w:val="300"/>
        </w:trPr>
        <w:tc>
          <w:tcPr>
            <w:tcW w:w="446" w:type="pct"/>
            <w:shd w:val="clear" w:color="auto" w:fill="auto"/>
            <w:noWrap/>
            <w:vAlign w:val="bottom"/>
            <w:hideMark/>
          </w:tcPr>
          <w:p w14:paraId="02FF17D3"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15</w:t>
            </w:r>
          </w:p>
        </w:tc>
        <w:tc>
          <w:tcPr>
            <w:tcW w:w="842" w:type="pct"/>
            <w:shd w:val="clear" w:color="auto" w:fill="auto"/>
            <w:noWrap/>
            <w:vAlign w:val="bottom"/>
            <w:hideMark/>
          </w:tcPr>
          <w:p w14:paraId="0F41B9A5" w14:textId="77777777" w:rsidR="00042E46" w:rsidRPr="009A27ED" w:rsidRDefault="00042E46" w:rsidP="00042E46">
            <w:pPr>
              <w:spacing w:after="0"/>
              <w:jc w:val="lef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Cultivo Leñoso</w:t>
            </w:r>
          </w:p>
        </w:tc>
        <w:tc>
          <w:tcPr>
            <w:tcW w:w="658" w:type="pct"/>
            <w:shd w:val="clear" w:color="auto" w:fill="auto"/>
            <w:noWrap/>
            <w:vAlign w:val="bottom"/>
            <w:hideMark/>
          </w:tcPr>
          <w:p w14:paraId="677BA710"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301" w:type="pct"/>
            <w:shd w:val="clear" w:color="auto" w:fill="auto"/>
            <w:noWrap/>
            <w:vAlign w:val="bottom"/>
            <w:hideMark/>
          </w:tcPr>
          <w:p w14:paraId="0DC50388"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361" w:type="pct"/>
            <w:shd w:val="clear" w:color="auto" w:fill="auto"/>
            <w:noWrap/>
            <w:vAlign w:val="bottom"/>
            <w:hideMark/>
          </w:tcPr>
          <w:p w14:paraId="5A252F67"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1,358.1</w:t>
            </w:r>
          </w:p>
        </w:tc>
        <w:tc>
          <w:tcPr>
            <w:tcW w:w="244" w:type="pct"/>
            <w:shd w:val="clear" w:color="auto" w:fill="auto"/>
            <w:noWrap/>
            <w:vAlign w:val="bottom"/>
            <w:hideMark/>
          </w:tcPr>
          <w:p w14:paraId="5F9868B2"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0.7</w:t>
            </w:r>
          </w:p>
        </w:tc>
        <w:tc>
          <w:tcPr>
            <w:tcW w:w="371" w:type="pct"/>
            <w:shd w:val="clear" w:color="auto" w:fill="auto"/>
            <w:noWrap/>
            <w:vAlign w:val="bottom"/>
            <w:hideMark/>
          </w:tcPr>
          <w:p w14:paraId="74F54C2D"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4,705.2</w:t>
            </w:r>
          </w:p>
        </w:tc>
        <w:tc>
          <w:tcPr>
            <w:tcW w:w="208" w:type="pct"/>
            <w:shd w:val="clear" w:color="auto" w:fill="auto"/>
            <w:noWrap/>
            <w:vAlign w:val="bottom"/>
            <w:hideMark/>
          </w:tcPr>
          <w:p w14:paraId="0178608C"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0.8</w:t>
            </w:r>
          </w:p>
        </w:tc>
        <w:tc>
          <w:tcPr>
            <w:tcW w:w="371" w:type="pct"/>
            <w:shd w:val="clear" w:color="auto" w:fill="auto"/>
            <w:noWrap/>
            <w:vAlign w:val="bottom"/>
            <w:hideMark/>
          </w:tcPr>
          <w:p w14:paraId="021C9AA1"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208" w:type="pct"/>
            <w:shd w:val="clear" w:color="auto" w:fill="auto"/>
            <w:noWrap/>
            <w:vAlign w:val="bottom"/>
            <w:hideMark/>
          </w:tcPr>
          <w:p w14:paraId="1E64B5B5"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682" w:type="pct"/>
            <w:shd w:val="clear" w:color="auto" w:fill="auto"/>
            <w:noWrap/>
            <w:vAlign w:val="bottom"/>
            <w:hideMark/>
          </w:tcPr>
          <w:p w14:paraId="189BADF8"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506.1</w:t>
            </w:r>
          </w:p>
        </w:tc>
        <w:tc>
          <w:tcPr>
            <w:tcW w:w="310" w:type="pct"/>
            <w:shd w:val="clear" w:color="auto" w:fill="auto"/>
            <w:noWrap/>
            <w:vAlign w:val="bottom"/>
            <w:hideMark/>
          </w:tcPr>
          <w:p w14:paraId="276DB9AE"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0.2</w:t>
            </w:r>
          </w:p>
        </w:tc>
      </w:tr>
      <w:tr w:rsidR="00042E46" w:rsidRPr="009A27ED" w14:paraId="1D1F26F3" w14:textId="77777777" w:rsidTr="00170677">
        <w:trPr>
          <w:trHeight w:val="300"/>
        </w:trPr>
        <w:tc>
          <w:tcPr>
            <w:tcW w:w="446" w:type="pct"/>
            <w:shd w:val="clear" w:color="auto" w:fill="auto"/>
            <w:noWrap/>
            <w:vAlign w:val="bottom"/>
            <w:hideMark/>
          </w:tcPr>
          <w:p w14:paraId="3C1AD9F8"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16</w:t>
            </w:r>
          </w:p>
        </w:tc>
        <w:tc>
          <w:tcPr>
            <w:tcW w:w="842" w:type="pct"/>
            <w:shd w:val="clear" w:color="auto" w:fill="auto"/>
            <w:noWrap/>
            <w:vAlign w:val="bottom"/>
            <w:hideMark/>
          </w:tcPr>
          <w:p w14:paraId="6D28DCE7" w14:textId="77777777" w:rsidR="00042E46" w:rsidRPr="009A27ED" w:rsidRDefault="00042E46" w:rsidP="00042E46">
            <w:pPr>
              <w:spacing w:after="0"/>
              <w:jc w:val="lef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Café Bajo Sombra</w:t>
            </w:r>
          </w:p>
        </w:tc>
        <w:tc>
          <w:tcPr>
            <w:tcW w:w="658" w:type="pct"/>
            <w:shd w:val="clear" w:color="auto" w:fill="auto"/>
            <w:noWrap/>
            <w:vAlign w:val="bottom"/>
            <w:hideMark/>
          </w:tcPr>
          <w:p w14:paraId="53AF73A4"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13,710.9</w:t>
            </w:r>
          </w:p>
        </w:tc>
        <w:tc>
          <w:tcPr>
            <w:tcW w:w="301" w:type="pct"/>
            <w:shd w:val="clear" w:color="auto" w:fill="auto"/>
            <w:noWrap/>
            <w:vAlign w:val="bottom"/>
            <w:hideMark/>
          </w:tcPr>
          <w:p w14:paraId="0CF43FCF"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4.2</w:t>
            </w:r>
          </w:p>
        </w:tc>
        <w:tc>
          <w:tcPr>
            <w:tcW w:w="361" w:type="pct"/>
            <w:shd w:val="clear" w:color="auto" w:fill="auto"/>
            <w:noWrap/>
            <w:vAlign w:val="bottom"/>
            <w:hideMark/>
          </w:tcPr>
          <w:p w14:paraId="1140AAE3"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2,652.5</w:t>
            </w:r>
          </w:p>
        </w:tc>
        <w:tc>
          <w:tcPr>
            <w:tcW w:w="244" w:type="pct"/>
            <w:shd w:val="clear" w:color="auto" w:fill="auto"/>
            <w:noWrap/>
            <w:vAlign w:val="bottom"/>
            <w:hideMark/>
          </w:tcPr>
          <w:p w14:paraId="78E89343"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1.3</w:t>
            </w:r>
          </w:p>
        </w:tc>
        <w:tc>
          <w:tcPr>
            <w:tcW w:w="371" w:type="pct"/>
            <w:shd w:val="clear" w:color="auto" w:fill="auto"/>
            <w:noWrap/>
            <w:vAlign w:val="bottom"/>
            <w:hideMark/>
          </w:tcPr>
          <w:p w14:paraId="0D667884"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41,186.8</w:t>
            </w:r>
          </w:p>
        </w:tc>
        <w:tc>
          <w:tcPr>
            <w:tcW w:w="208" w:type="pct"/>
            <w:shd w:val="clear" w:color="auto" w:fill="auto"/>
            <w:noWrap/>
            <w:vAlign w:val="bottom"/>
            <w:hideMark/>
          </w:tcPr>
          <w:p w14:paraId="2F2A0724"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6.7</w:t>
            </w:r>
          </w:p>
        </w:tc>
        <w:tc>
          <w:tcPr>
            <w:tcW w:w="371" w:type="pct"/>
            <w:shd w:val="clear" w:color="auto" w:fill="auto"/>
            <w:noWrap/>
            <w:vAlign w:val="bottom"/>
            <w:hideMark/>
          </w:tcPr>
          <w:p w14:paraId="7A60C9D7"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1.98</w:t>
            </w:r>
          </w:p>
        </w:tc>
        <w:tc>
          <w:tcPr>
            <w:tcW w:w="208" w:type="pct"/>
            <w:shd w:val="clear" w:color="auto" w:fill="auto"/>
            <w:noWrap/>
            <w:vAlign w:val="bottom"/>
            <w:hideMark/>
          </w:tcPr>
          <w:p w14:paraId="6E2C2E2B"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682" w:type="pct"/>
            <w:shd w:val="clear" w:color="auto" w:fill="auto"/>
            <w:noWrap/>
            <w:vAlign w:val="bottom"/>
            <w:hideMark/>
          </w:tcPr>
          <w:p w14:paraId="2FF42B92"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310" w:type="pct"/>
            <w:shd w:val="clear" w:color="auto" w:fill="auto"/>
            <w:noWrap/>
            <w:vAlign w:val="bottom"/>
            <w:hideMark/>
          </w:tcPr>
          <w:p w14:paraId="453854EF"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r>
      <w:tr w:rsidR="00042E46" w:rsidRPr="009A27ED" w14:paraId="496ADA47" w14:textId="77777777" w:rsidTr="00170677">
        <w:trPr>
          <w:trHeight w:val="300"/>
        </w:trPr>
        <w:tc>
          <w:tcPr>
            <w:tcW w:w="446" w:type="pct"/>
            <w:shd w:val="clear" w:color="auto" w:fill="auto"/>
            <w:noWrap/>
            <w:vAlign w:val="bottom"/>
            <w:hideMark/>
          </w:tcPr>
          <w:p w14:paraId="4F25EEC0"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20</w:t>
            </w:r>
          </w:p>
        </w:tc>
        <w:tc>
          <w:tcPr>
            <w:tcW w:w="842" w:type="pct"/>
            <w:shd w:val="clear" w:color="auto" w:fill="auto"/>
            <w:noWrap/>
            <w:vAlign w:val="bottom"/>
            <w:hideMark/>
          </w:tcPr>
          <w:p w14:paraId="7D45179C" w14:textId="77777777" w:rsidR="00042E46" w:rsidRPr="009A27ED" w:rsidRDefault="00042E46" w:rsidP="00042E46">
            <w:pPr>
              <w:spacing w:after="0"/>
              <w:jc w:val="lef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Coco</w:t>
            </w:r>
          </w:p>
        </w:tc>
        <w:tc>
          <w:tcPr>
            <w:tcW w:w="658" w:type="pct"/>
            <w:shd w:val="clear" w:color="auto" w:fill="auto"/>
            <w:noWrap/>
            <w:vAlign w:val="bottom"/>
            <w:hideMark/>
          </w:tcPr>
          <w:p w14:paraId="5EA7B009"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301" w:type="pct"/>
            <w:shd w:val="clear" w:color="auto" w:fill="auto"/>
            <w:noWrap/>
            <w:vAlign w:val="bottom"/>
            <w:hideMark/>
          </w:tcPr>
          <w:p w14:paraId="6219268E"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361" w:type="pct"/>
            <w:shd w:val="clear" w:color="auto" w:fill="auto"/>
            <w:noWrap/>
            <w:vAlign w:val="bottom"/>
            <w:hideMark/>
          </w:tcPr>
          <w:p w14:paraId="79E8F4E4"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244" w:type="pct"/>
            <w:shd w:val="clear" w:color="auto" w:fill="auto"/>
            <w:noWrap/>
            <w:vAlign w:val="bottom"/>
            <w:hideMark/>
          </w:tcPr>
          <w:p w14:paraId="7907D0D3"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371" w:type="pct"/>
            <w:shd w:val="clear" w:color="auto" w:fill="auto"/>
            <w:noWrap/>
            <w:vAlign w:val="bottom"/>
            <w:hideMark/>
          </w:tcPr>
          <w:p w14:paraId="3BE3348D"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208" w:type="pct"/>
            <w:shd w:val="clear" w:color="auto" w:fill="auto"/>
            <w:noWrap/>
            <w:vAlign w:val="bottom"/>
            <w:hideMark/>
          </w:tcPr>
          <w:p w14:paraId="1663CF7B"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371" w:type="pct"/>
            <w:shd w:val="clear" w:color="auto" w:fill="auto"/>
            <w:noWrap/>
            <w:vAlign w:val="bottom"/>
            <w:hideMark/>
          </w:tcPr>
          <w:p w14:paraId="0E1B5563"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8,284.2</w:t>
            </w:r>
          </w:p>
        </w:tc>
        <w:tc>
          <w:tcPr>
            <w:tcW w:w="208" w:type="pct"/>
            <w:shd w:val="clear" w:color="auto" w:fill="auto"/>
            <w:noWrap/>
            <w:vAlign w:val="bottom"/>
            <w:hideMark/>
          </w:tcPr>
          <w:p w14:paraId="49A7772E"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5.7</w:t>
            </w:r>
          </w:p>
        </w:tc>
        <w:tc>
          <w:tcPr>
            <w:tcW w:w="682" w:type="pct"/>
            <w:shd w:val="clear" w:color="auto" w:fill="auto"/>
            <w:noWrap/>
            <w:vAlign w:val="bottom"/>
            <w:hideMark/>
          </w:tcPr>
          <w:p w14:paraId="3893ECBD"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31.9</w:t>
            </w:r>
          </w:p>
        </w:tc>
        <w:tc>
          <w:tcPr>
            <w:tcW w:w="310" w:type="pct"/>
            <w:shd w:val="clear" w:color="auto" w:fill="auto"/>
            <w:noWrap/>
            <w:vAlign w:val="bottom"/>
            <w:hideMark/>
          </w:tcPr>
          <w:p w14:paraId="1DEDDE03"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r>
      <w:tr w:rsidR="00042E46" w:rsidRPr="009A27ED" w14:paraId="1208AA18" w14:textId="77777777" w:rsidTr="00170677">
        <w:trPr>
          <w:trHeight w:val="300"/>
        </w:trPr>
        <w:tc>
          <w:tcPr>
            <w:tcW w:w="446" w:type="pct"/>
            <w:shd w:val="clear" w:color="auto" w:fill="auto"/>
            <w:noWrap/>
            <w:vAlign w:val="bottom"/>
            <w:hideMark/>
          </w:tcPr>
          <w:p w14:paraId="2344B0AF"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21</w:t>
            </w:r>
          </w:p>
        </w:tc>
        <w:tc>
          <w:tcPr>
            <w:tcW w:w="842" w:type="pct"/>
            <w:shd w:val="clear" w:color="auto" w:fill="auto"/>
            <w:noWrap/>
            <w:vAlign w:val="bottom"/>
            <w:hideMark/>
          </w:tcPr>
          <w:p w14:paraId="1D3AE9B7" w14:textId="77777777" w:rsidR="00042E46" w:rsidRPr="009A27ED" w:rsidRDefault="00042E46" w:rsidP="00042E46">
            <w:pPr>
              <w:spacing w:after="0"/>
              <w:jc w:val="lef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Palma Natural y Plantada</w:t>
            </w:r>
          </w:p>
        </w:tc>
        <w:tc>
          <w:tcPr>
            <w:tcW w:w="658" w:type="pct"/>
            <w:shd w:val="clear" w:color="auto" w:fill="auto"/>
            <w:noWrap/>
            <w:vAlign w:val="bottom"/>
            <w:hideMark/>
          </w:tcPr>
          <w:p w14:paraId="7824D789"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301" w:type="pct"/>
            <w:shd w:val="clear" w:color="auto" w:fill="auto"/>
            <w:noWrap/>
            <w:vAlign w:val="bottom"/>
            <w:hideMark/>
          </w:tcPr>
          <w:p w14:paraId="386D9C9B"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361" w:type="pct"/>
            <w:shd w:val="clear" w:color="auto" w:fill="auto"/>
            <w:noWrap/>
            <w:vAlign w:val="bottom"/>
            <w:hideMark/>
          </w:tcPr>
          <w:p w14:paraId="601DA745"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244" w:type="pct"/>
            <w:shd w:val="clear" w:color="auto" w:fill="auto"/>
            <w:noWrap/>
            <w:vAlign w:val="bottom"/>
            <w:hideMark/>
          </w:tcPr>
          <w:p w14:paraId="6CA6EE69"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371" w:type="pct"/>
            <w:shd w:val="clear" w:color="auto" w:fill="auto"/>
            <w:noWrap/>
            <w:vAlign w:val="bottom"/>
            <w:hideMark/>
          </w:tcPr>
          <w:p w14:paraId="5B152502"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208" w:type="pct"/>
            <w:shd w:val="clear" w:color="auto" w:fill="auto"/>
            <w:noWrap/>
            <w:vAlign w:val="bottom"/>
            <w:hideMark/>
          </w:tcPr>
          <w:p w14:paraId="5539A919"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371" w:type="pct"/>
            <w:shd w:val="clear" w:color="auto" w:fill="auto"/>
            <w:noWrap/>
            <w:vAlign w:val="bottom"/>
            <w:hideMark/>
          </w:tcPr>
          <w:p w14:paraId="20190916"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208" w:type="pct"/>
            <w:shd w:val="clear" w:color="auto" w:fill="auto"/>
            <w:noWrap/>
            <w:vAlign w:val="bottom"/>
            <w:hideMark/>
          </w:tcPr>
          <w:p w14:paraId="7B7E6522"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0.0</w:t>
            </w:r>
          </w:p>
        </w:tc>
        <w:tc>
          <w:tcPr>
            <w:tcW w:w="682" w:type="pct"/>
            <w:shd w:val="clear" w:color="auto" w:fill="auto"/>
            <w:noWrap/>
            <w:vAlign w:val="bottom"/>
            <w:hideMark/>
          </w:tcPr>
          <w:p w14:paraId="3AFAC8E1" w14:textId="77777777" w:rsidR="00042E46" w:rsidRPr="009A27ED" w:rsidRDefault="00042E46" w:rsidP="00042E46">
            <w:pPr>
              <w:spacing w:after="0"/>
              <w:jc w:val="right"/>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3,583.7</w:t>
            </w:r>
          </w:p>
        </w:tc>
        <w:tc>
          <w:tcPr>
            <w:tcW w:w="310" w:type="pct"/>
            <w:shd w:val="clear" w:color="auto" w:fill="auto"/>
            <w:noWrap/>
            <w:vAlign w:val="bottom"/>
            <w:hideMark/>
          </w:tcPr>
          <w:p w14:paraId="41F93F92"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r w:rsidRPr="009A27ED">
              <w:rPr>
                <w:rFonts w:ascii="Calibri" w:eastAsia="Times New Roman" w:hAnsi="Calibri" w:cs="Calibri"/>
                <w:color w:val="000000"/>
                <w:sz w:val="20"/>
                <w:szCs w:val="20"/>
                <w:lang w:val="es-GT" w:eastAsia="es-ES_tradnl"/>
              </w:rPr>
              <w:t>1.6</w:t>
            </w:r>
          </w:p>
        </w:tc>
      </w:tr>
      <w:tr w:rsidR="00042E46" w:rsidRPr="009A27ED" w14:paraId="1B86E11B" w14:textId="77777777" w:rsidTr="00170677">
        <w:trPr>
          <w:trHeight w:val="300"/>
        </w:trPr>
        <w:tc>
          <w:tcPr>
            <w:tcW w:w="446" w:type="pct"/>
            <w:shd w:val="clear" w:color="auto" w:fill="auto"/>
            <w:noWrap/>
            <w:vAlign w:val="bottom"/>
            <w:hideMark/>
          </w:tcPr>
          <w:p w14:paraId="71721D54" w14:textId="77777777" w:rsidR="00042E46" w:rsidRPr="009A27ED" w:rsidRDefault="00042E46" w:rsidP="00042E46">
            <w:pPr>
              <w:spacing w:after="0"/>
              <w:jc w:val="center"/>
              <w:rPr>
                <w:rFonts w:ascii="Calibri" w:eastAsia="Times New Roman" w:hAnsi="Calibri" w:cs="Calibri"/>
                <w:color w:val="000000"/>
                <w:sz w:val="20"/>
                <w:szCs w:val="20"/>
                <w:lang w:val="es-GT" w:eastAsia="es-ES_tradnl"/>
              </w:rPr>
            </w:pPr>
          </w:p>
        </w:tc>
        <w:tc>
          <w:tcPr>
            <w:tcW w:w="842" w:type="pct"/>
            <w:shd w:val="clear" w:color="auto" w:fill="auto"/>
            <w:noWrap/>
            <w:vAlign w:val="bottom"/>
            <w:hideMark/>
          </w:tcPr>
          <w:p w14:paraId="41DC0BB6" w14:textId="77777777" w:rsidR="00042E46" w:rsidRPr="009A27ED" w:rsidRDefault="00042E46" w:rsidP="00042E46">
            <w:pPr>
              <w:spacing w:after="0"/>
              <w:jc w:val="center"/>
              <w:rPr>
                <w:rFonts w:ascii="Times New Roman" w:eastAsia="Times New Roman" w:hAnsi="Times New Roman" w:cs="Times New Roman"/>
                <w:sz w:val="20"/>
                <w:szCs w:val="20"/>
                <w:lang w:val="es-GT" w:eastAsia="es-ES_tradnl"/>
              </w:rPr>
            </w:pPr>
          </w:p>
        </w:tc>
        <w:tc>
          <w:tcPr>
            <w:tcW w:w="658" w:type="pct"/>
            <w:shd w:val="clear" w:color="auto" w:fill="auto"/>
            <w:noWrap/>
            <w:vAlign w:val="bottom"/>
            <w:hideMark/>
          </w:tcPr>
          <w:p w14:paraId="31BA2A0C" w14:textId="77777777" w:rsidR="00042E46" w:rsidRPr="009A27ED" w:rsidRDefault="00042E46" w:rsidP="00042E46">
            <w:pPr>
              <w:spacing w:after="0"/>
              <w:jc w:val="right"/>
              <w:rPr>
                <w:rFonts w:ascii="Calibri" w:eastAsia="Times New Roman" w:hAnsi="Calibri" w:cs="Calibri"/>
                <w:b/>
                <w:bCs/>
                <w:color w:val="000000"/>
                <w:sz w:val="20"/>
                <w:szCs w:val="20"/>
                <w:lang w:val="es-GT" w:eastAsia="es-ES_tradnl"/>
              </w:rPr>
            </w:pPr>
            <w:r w:rsidRPr="009A27ED">
              <w:rPr>
                <w:rFonts w:ascii="Calibri" w:eastAsia="Times New Roman" w:hAnsi="Calibri" w:cs="Calibri"/>
                <w:b/>
                <w:bCs/>
                <w:color w:val="000000"/>
                <w:sz w:val="20"/>
                <w:szCs w:val="20"/>
                <w:lang w:val="es-GT" w:eastAsia="es-ES_tradnl"/>
              </w:rPr>
              <w:t>327,453</w:t>
            </w:r>
          </w:p>
        </w:tc>
        <w:tc>
          <w:tcPr>
            <w:tcW w:w="301" w:type="pct"/>
            <w:shd w:val="clear" w:color="auto" w:fill="auto"/>
            <w:noWrap/>
            <w:vAlign w:val="bottom"/>
            <w:hideMark/>
          </w:tcPr>
          <w:p w14:paraId="4DEBDB89" w14:textId="77777777" w:rsidR="00042E46" w:rsidRPr="009A27ED" w:rsidRDefault="00042E46" w:rsidP="00042E46">
            <w:pPr>
              <w:spacing w:after="0"/>
              <w:jc w:val="right"/>
              <w:rPr>
                <w:rFonts w:ascii="Calibri" w:eastAsia="Times New Roman" w:hAnsi="Calibri" w:cs="Calibri"/>
                <w:b/>
                <w:bCs/>
                <w:color w:val="000000"/>
                <w:sz w:val="20"/>
                <w:szCs w:val="20"/>
                <w:lang w:val="es-GT" w:eastAsia="es-ES_tradnl"/>
              </w:rPr>
            </w:pPr>
          </w:p>
        </w:tc>
        <w:tc>
          <w:tcPr>
            <w:tcW w:w="361" w:type="pct"/>
            <w:shd w:val="clear" w:color="auto" w:fill="auto"/>
            <w:noWrap/>
            <w:vAlign w:val="bottom"/>
            <w:hideMark/>
          </w:tcPr>
          <w:p w14:paraId="6C51F40E" w14:textId="77777777" w:rsidR="00042E46" w:rsidRPr="009A27ED" w:rsidRDefault="00042E46" w:rsidP="00042E46">
            <w:pPr>
              <w:spacing w:after="0"/>
              <w:jc w:val="right"/>
              <w:rPr>
                <w:rFonts w:ascii="Calibri" w:eastAsia="Times New Roman" w:hAnsi="Calibri" w:cs="Calibri"/>
                <w:b/>
                <w:bCs/>
                <w:color w:val="000000"/>
                <w:sz w:val="20"/>
                <w:szCs w:val="20"/>
                <w:lang w:val="es-GT" w:eastAsia="es-ES_tradnl"/>
              </w:rPr>
            </w:pPr>
            <w:r w:rsidRPr="009A27ED">
              <w:rPr>
                <w:rFonts w:ascii="Calibri" w:eastAsia="Times New Roman" w:hAnsi="Calibri" w:cs="Calibri"/>
                <w:b/>
                <w:bCs/>
                <w:color w:val="000000"/>
                <w:sz w:val="20"/>
                <w:szCs w:val="20"/>
                <w:lang w:val="es-GT" w:eastAsia="es-ES_tradnl"/>
              </w:rPr>
              <w:t>204,269</w:t>
            </w:r>
          </w:p>
        </w:tc>
        <w:tc>
          <w:tcPr>
            <w:tcW w:w="244" w:type="pct"/>
            <w:shd w:val="clear" w:color="auto" w:fill="auto"/>
            <w:noWrap/>
            <w:vAlign w:val="bottom"/>
            <w:hideMark/>
          </w:tcPr>
          <w:p w14:paraId="1F0C9C66" w14:textId="77777777" w:rsidR="00042E46" w:rsidRPr="009A27ED" w:rsidRDefault="00042E46" w:rsidP="00042E46">
            <w:pPr>
              <w:spacing w:after="0"/>
              <w:jc w:val="center"/>
              <w:rPr>
                <w:rFonts w:ascii="Calibri" w:eastAsia="Times New Roman" w:hAnsi="Calibri" w:cs="Calibri"/>
                <w:b/>
                <w:bCs/>
                <w:color w:val="000000"/>
                <w:sz w:val="20"/>
                <w:szCs w:val="20"/>
                <w:lang w:val="es-GT" w:eastAsia="es-ES_tradnl"/>
              </w:rPr>
            </w:pPr>
            <w:r w:rsidRPr="009A27ED">
              <w:rPr>
                <w:rFonts w:ascii="Calibri" w:eastAsia="Times New Roman" w:hAnsi="Calibri" w:cs="Calibri"/>
                <w:b/>
                <w:bCs/>
                <w:color w:val="000000"/>
                <w:sz w:val="20"/>
                <w:szCs w:val="20"/>
                <w:lang w:val="es-GT" w:eastAsia="es-ES_tradnl"/>
              </w:rPr>
              <w:t>100.0</w:t>
            </w:r>
          </w:p>
        </w:tc>
        <w:tc>
          <w:tcPr>
            <w:tcW w:w="371" w:type="pct"/>
            <w:shd w:val="clear" w:color="auto" w:fill="auto"/>
            <w:noWrap/>
            <w:vAlign w:val="bottom"/>
            <w:hideMark/>
          </w:tcPr>
          <w:p w14:paraId="41D8AA54" w14:textId="77777777" w:rsidR="00042E46" w:rsidRPr="009A27ED" w:rsidRDefault="00042E46" w:rsidP="00042E46">
            <w:pPr>
              <w:spacing w:after="0"/>
              <w:jc w:val="right"/>
              <w:rPr>
                <w:rFonts w:ascii="Calibri" w:eastAsia="Times New Roman" w:hAnsi="Calibri" w:cs="Calibri"/>
                <w:b/>
                <w:bCs/>
                <w:color w:val="000000"/>
                <w:sz w:val="20"/>
                <w:szCs w:val="20"/>
                <w:lang w:val="es-GT" w:eastAsia="es-ES_tradnl"/>
              </w:rPr>
            </w:pPr>
            <w:r w:rsidRPr="009A27ED">
              <w:rPr>
                <w:rFonts w:ascii="Calibri" w:eastAsia="Times New Roman" w:hAnsi="Calibri" w:cs="Calibri"/>
                <w:b/>
                <w:bCs/>
                <w:color w:val="000000"/>
                <w:sz w:val="20"/>
                <w:szCs w:val="20"/>
                <w:lang w:val="es-GT" w:eastAsia="es-ES_tradnl"/>
              </w:rPr>
              <w:t>610,219.3</w:t>
            </w:r>
          </w:p>
        </w:tc>
        <w:tc>
          <w:tcPr>
            <w:tcW w:w="208" w:type="pct"/>
            <w:shd w:val="clear" w:color="auto" w:fill="auto"/>
            <w:noWrap/>
            <w:vAlign w:val="bottom"/>
            <w:hideMark/>
          </w:tcPr>
          <w:p w14:paraId="300B37FA" w14:textId="77777777" w:rsidR="00042E46" w:rsidRPr="009A27ED" w:rsidRDefault="00042E46" w:rsidP="00042E46">
            <w:pPr>
              <w:spacing w:after="0"/>
              <w:jc w:val="right"/>
              <w:rPr>
                <w:rFonts w:ascii="Calibri" w:eastAsia="Times New Roman" w:hAnsi="Calibri" w:cs="Calibri"/>
                <w:b/>
                <w:bCs/>
                <w:color w:val="000000"/>
                <w:sz w:val="20"/>
                <w:szCs w:val="20"/>
                <w:lang w:val="es-GT" w:eastAsia="es-ES_tradnl"/>
              </w:rPr>
            </w:pPr>
          </w:p>
        </w:tc>
        <w:tc>
          <w:tcPr>
            <w:tcW w:w="371" w:type="pct"/>
            <w:shd w:val="clear" w:color="auto" w:fill="auto"/>
            <w:noWrap/>
            <w:vAlign w:val="bottom"/>
            <w:hideMark/>
          </w:tcPr>
          <w:p w14:paraId="396F3508" w14:textId="77777777" w:rsidR="00042E46" w:rsidRPr="009A27ED" w:rsidRDefault="00042E46" w:rsidP="00042E46">
            <w:pPr>
              <w:spacing w:after="0"/>
              <w:jc w:val="right"/>
              <w:rPr>
                <w:rFonts w:ascii="Calibri" w:eastAsia="Times New Roman" w:hAnsi="Calibri" w:cs="Calibri"/>
                <w:b/>
                <w:bCs/>
                <w:color w:val="000000"/>
                <w:sz w:val="20"/>
                <w:szCs w:val="20"/>
                <w:lang w:val="es-GT" w:eastAsia="es-ES_tradnl"/>
              </w:rPr>
            </w:pPr>
            <w:r w:rsidRPr="009A27ED">
              <w:rPr>
                <w:rFonts w:ascii="Calibri" w:eastAsia="Times New Roman" w:hAnsi="Calibri" w:cs="Calibri"/>
                <w:b/>
                <w:bCs/>
                <w:color w:val="000000"/>
                <w:sz w:val="20"/>
                <w:szCs w:val="20"/>
                <w:lang w:val="es-GT" w:eastAsia="es-ES_tradnl"/>
              </w:rPr>
              <w:t>145,999.9</w:t>
            </w:r>
          </w:p>
        </w:tc>
        <w:tc>
          <w:tcPr>
            <w:tcW w:w="208" w:type="pct"/>
            <w:shd w:val="clear" w:color="auto" w:fill="auto"/>
            <w:noWrap/>
            <w:vAlign w:val="bottom"/>
            <w:hideMark/>
          </w:tcPr>
          <w:p w14:paraId="7A524B1F" w14:textId="77777777" w:rsidR="00042E46" w:rsidRPr="009A27ED" w:rsidRDefault="00042E46" w:rsidP="00042E46">
            <w:pPr>
              <w:spacing w:after="0"/>
              <w:jc w:val="right"/>
              <w:rPr>
                <w:rFonts w:ascii="Calibri" w:eastAsia="Times New Roman" w:hAnsi="Calibri" w:cs="Calibri"/>
                <w:b/>
                <w:bCs/>
                <w:color w:val="000000"/>
                <w:sz w:val="20"/>
                <w:szCs w:val="20"/>
                <w:lang w:val="es-GT" w:eastAsia="es-ES_tradnl"/>
              </w:rPr>
            </w:pPr>
          </w:p>
        </w:tc>
        <w:tc>
          <w:tcPr>
            <w:tcW w:w="682" w:type="pct"/>
            <w:shd w:val="clear" w:color="auto" w:fill="auto"/>
            <w:noWrap/>
            <w:vAlign w:val="bottom"/>
            <w:hideMark/>
          </w:tcPr>
          <w:p w14:paraId="4218CE96" w14:textId="77777777" w:rsidR="00042E46" w:rsidRPr="009A27ED" w:rsidRDefault="00042E46" w:rsidP="00042E46">
            <w:pPr>
              <w:spacing w:after="0"/>
              <w:jc w:val="right"/>
              <w:rPr>
                <w:rFonts w:ascii="Calibri" w:eastAsia="Times New Roman" w:hAnsi="Calibri" w:cs="Calibri"/>
                <w:b/>
                <w:bCs/>
                <w:color w:val="000000"/>
                <w:sz w:val="20"/>
                <w:szCs w:val="20"/>
                <w:lang w:val="es-GT" w:eastAsia="es-ES_tradnl"/>
              </w:rPr>
            </w:pPr>
            <w:r w:rsidRPr="009A27ED">
              <w:rPr>
                <w:rFonts w:ascii="Calibri" w:eastAsia="Times New Roman" w:hAnsi="Calibri" w:cs="Calibri"/>
                <w:b/>
                <w:bCs/>
                <w:color w:val="000000"/>
                <w:sz w:val="20"/>
                <w:szCs w:val="20"/>
                <w:lang w:val="es-GT" w:eastAsia="es-ES_tradnl"/>
              </w:rPr>
              <w:t>230,667.7</w:t>
            </w:r>
          </w:p>
        </w:tc>
        <w:tc>
          <w:tcPr>
            <w:tcW w:w="310" w:type="pct"/>
            <w:shd w:val="clear" w:color="auto" w:fill="auto"/>
            <w:noWrap/>
            <w:vAlign w:val="bottom"/>
            <w:hideMark/>
          </w:tcPr>
          <w:p w14:paraId="4CBA20BD" w14:textId="77777777" w:rsidR="00042E46" w:rsidRPr="009A27ED" w:rsidRDefault="00042E46" w:rsidP="00E20C15">
            <w:pPr>
              <w:keepNext/>
              <w:spacing w:after="0"/>
              <w:jc w:val="right"/>
              <w:rPr>
                <w:rFonts w:ascii="Calibri" w:eastAsia="Times New Roman" w:hAnsi="Calibri" w:cs="Calibri"/>
                <w:b/>
                <w:bCs/>
                <w:color w:val="000000"/>
                <w:sz w:val="20"/>
                <w:szCs w:val="20"/>
                <w:lang w:val="es-GT" w:eastAsia="es-ES_tradnl"/>
              </w:rPr>
            </w:pPr>
          </w:p>
        </w:tc>
      </w:tr>
    </w:tbl>
    <w:p w14:paraId="402E4EAD" w14:textId="74B63080" w:rsidR="00042E46" w:rsidRPr="009A27ED" w:rsidRDefault="00042E46" w:rsidP="002F3F2C">
      <w:pPr>
        <w:pStyle w:val="Descripcin"/>
        <w:spacing w:line="360" w:lineRule="auto"/>
        <w:rPr>
          <w:b/>
          <w:color w:val="auto"/>
          <w:sz w:val="24"/>
          <w:szCs w:val="22"/>
          <w:lang w:val="es-MX"/>
        </w:rPr>
      </w:pPr>
    </w:p>
    <w:p w14:paraId="51D8A747" w14:textId="77777777" w:rsidR="00042E46" w:rsidRPr="009A27ED" w:rsidRDefault="00042E46" w:rsidP="0004071A">
      <w:pPr>
        <w:spacing w:line="360" w:lineRule="auto"/>
        <w:rPr>
          <w:szCs w:val="22"/>
          <w:lang w:val="es-MX"/>
        </w:rPr>
      </w:pPr>
    </w:p>
    <w:p w14:paraId="5111A18C" w14:textId="77777777" w:rsidR="003C223E" w:rsidRPr="009A27ED" w:rsidRDefault="003C223E" w:rsidP="00077A21">
      <w:pPr>
        <w:keepNext/>
        <w:spacing w:line="360" w:lineRule="auto"/>
        <w:rPr>
          <w:sz w:val="28"/>
        </w:rPr>
        <w:sectPr w:rsidR="003C223E" w:rsidRPr="009A27ED" w:rsidSect="00BC6D88">
          <w:pgSz w:w="20635" w:h="12240" w:orient="landscape"/>
          <w:pgMar w:top="1701" w:right="6213" w:bottom="1701" w:left="1418" w:header="708" w:footer="708" w:gutter="0"/>
          <w:cols w:space="708"/>
          <w:docGrid w:linePitch="360"/>
        </w:sectPr>
      </w:pPr>
    </w:p>
    <w:p w14:paraId="246B60D9" w14:textId="77777777" w:rsidR="00363CF6" w:rsidRPr="009A27ED" w:rsidRDefault="00042E46" w:rsidP="00363CF6">
      <w:pPr>
        <w:keepNext/>
        <w:spacing w:line="360" w:lineRule="auto"/>
      </w:pPr>
      <w:r w:rsidRPr="009A27ED">
        <w:rPr>
          <w:rFonts w:ascii="Times New Roman" w:eastAsia="Times New Roman" w:hAnsi="Times New Roman"/>
          <w:noProof/>
          <w:sz w:val="24"/>
          <w:szCs w:val="22"/>
          <w:lang w:val="en-US"/>
        </w:rPr>
        <w:lastRenderedPageBreak/>
        <w:drawing>
          <wp:inline distT="0" distB="0" distL="0" distR="0" wp14:anchorId="1C2F323E" wp14:editId="60AC7BF8">
            <wp:extent cx="4120587" cy="3184210"/>
            <wp:effectExtent l="0" t="0" r="0" b="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mapa cobertura area 1.jp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4120587" cy="3184210"/>
                    </a:xfrm>
                    <a:prstGeom prst="rect">
                      <a:avLst/>
                    </a:prstGeom>
                  </pic:spPr>
                </pic:pic>
              </a:graphicData>
            </a:graphic>
          </wp:inline>
        </w:drawing>
      </w:r>
    </w:p>
    <w:p w14:paraId="04526F01" w14:textId="6421DFBD" w:rsidR="00077A21" w:rsidRPr="009A27ED" w:rsidRDefault="00363CF6" w:rsidP="00E20C15">
      <w:pPr>
        <w:pStyle w:val="Descripcin"/>
        <w:spacing w:line="360" w:lineRule="auto"/>
        <w:rPr>
          <w:color w:val="000000" w:themeColor="text1"/>
          <w:sz w:val="20"/>
        </w:rPr>
      </w:pPr>
      <w:bookmarkStart w:id="142" w:name="_Toc111890683"/>
      <w:r w:rsidRPr="009A27ED">
        <w:rPr>
          <w:rFonts w:ascii="Times New Roman" w:eastAsia="Times New Roman" w:hAnsi="Times New Roman"/>
          <w:sz w:val="24"/>
        </w:rPr>
        <w:t xml:space="preserve">Mapa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Mapa \* ARABIC </w:instrText>
      </w:r>
      <w:r w:rsidRPr="009A27ED">
        <w:rPr>
          <w:rFonts w:ascii="Times New Roman" w:eastAsia="Times New Roman" w:hAnsi="Times New Roman"/>
          <w:sz w:val="24"/>
        </w:rPr>
        <w:fldChar w:fldCharType="separate"/>
      </w:r>
      <w:r w:rsidRPr="009A27ED">
        <w:rPr>
          <w:rFonts w:ascii="Times New Roman" w:eastAsia="Times New Roman" w:hAnsi="Times New Roman"/>
          <w:noProof/>
          <w:sz w:val="24"/>
        </w:rPr>
        <w:t>5</w:t>
      </w:r>
      <w:r w:rsidRPr="009A27ED">
        <w:rPr>
          <w:rFonts w:ascii="Times New Roman" w:eastAsia="Times New Roman" w:hAnsi="Times New Roman"/>
          <w:sz w:val="24"/>
        </w:rPr>
        <w:fldChar w:fldCharType="end"/>
      </w:r>
      <w:proofErr w:type="gramStart"/>
      <w:r w:rsidRPr="009A27ED">
        <w:rPr>
          <w:rFonts w:ascii="Times New Roman" w:eastAsia="Times New Roman" w:hAnsi="Times New Roman"/>
          <w:sz w:val="24"/>
        </w:rPr>
        <w:t>. .</w:t>
      </w:r>
      <w:proofErr w:type="gramEnd"/>
      <w:r w:rsidRPr="009A27ED">
        <w:rPr>
          <w:rFonts w:ascii="Times New Roman" w:eastAsia="Times New Roman" w:hAnsi="Times New Roman"/>
          <w:sz w:val="24"/>
        </w:rPr>
        <w:t xml:space="preserve"> Cobertura área prioritaria 1</w:t>
      </w:r>
      <w:bookmarkEnd w:id="142"/>
    </w:p>
    <w:p w14:paraId="6AAD934F" w14:textId="77777777" w:rsidR="00363CF6" w:rsidRPr="009A27ED" w:rsidRDefault="00522067" w:rsidP="00363CF6">
      <w:pPr>
        <w:keepNext/>
        <w:spacing w:after="0" w:line="360" w:lineRule="auto"/>
      </w:pPr>
      <w:r w:rsidRPr="009A27ED">
        <w:rPr>
          <w:rFonts w:ascii="Times New Roman" w:eastAsia="Times New Roman" w:hAnsi="Times New Roman"/>
          <w:noProof/>
          <w:color w:val="000000" w:themeColor="text1"/>
          <w:sz w:val="24"/>
          <w:szCs w:val="20"/>
          <w:lang w:val="en-US"/>
        </w:rPr>
        <w:drawing>
          <wp:inline distT="0" distB="0" distL="0" distR="0" wp14:anchorId="444C7B31" wp14:editId="451EDA32">
            <wp:extent cx="4278086" cy="3305918"/>
            <wp:effectExtent l="0" t="0" r="1905" b="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mapa cobertura area 2.jp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4280320" cy="3307644"/>
                    </a:xfrm>
                    <a:prstGeom prst="rect">
                      <a:avLst/>
                    </a:prstGeom>
                  </pic:spPr>
                </pic:pic>
              </a:graphicData>
            </a:graphic>
          </wp:inline>
        </w:drawing>
      </w:r>
    </w:p>
    <w:p w14:paraId="0EFED9D5" w14:textId="7327B73C" w:rsidR="00E84BF9" w:rsidRPr="009A27ED" w:rsidRDefault="00363CF6" w:rsidP="00363CF6">
      <w:pPr>
        <w:pStyle w:val="Descripcin"/>
        <w:spacing w:line="360" w:lineRule="auto"/>
      </w:pPr>
      <w:bookmarkStart w:id="143" w:name="_Toc111890684"/>
      <w:r w:rsidRPr="009A27ED">
        <w:rPr>
          <w:rFonts w:ascii="Times New Roman" w:eastAsia="Times New Roman" w:hAnsi="Times New Roman"/>
          <w:sz w:val="24"/>
        </w:rPr>
        <w:t xml:space="preserve">Mapa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Mapa \* ARABIC </w:instrText>
      </w:r>
      <w:r w:rsidRPr="009A27ED">
        <w:rPr>
          <w:rFonts w:ascii="Times New Roman" w:eastAsia="Times New Roman" w:hAnsi="Times New Roman"/>
          <w:sz w:val="24"/>
        </w:rPr>
        <w:fldChar w:fldCharType="separate"/>
      </w:r>
      <w:r w:rsidRPr="009A27ED">
        <w:rPr>
          <w:rFonts w:ascii="Times New Roman" w:eastAsia="Times New Roman" w:hAnsi="Times New Roman"/>
          <w:noProof/>
          <w:sz w:val="24"/>
        </w:rPr>
        <w:t>6</w:t>
      </w:r>
      <w:r w:rsidRPr="009A27ED">
        <w:rPr>
          <w:rFonts w:ascii="Times New Roman" w:eastAsia="Times New Roman" w:hAnsi="Times New Roman"/>
          <w:sz w:val="24"/>
        </w:rPr>
        <w:fldChar w:fldCharType="end"/>
      </w:r>
      <w:r w:rsidRPr="009A27ED">
        <w:rPr>
          <w:rFonts w:ascii="Times New Roman" w:eastAsia="Times New Roman" w:hAnsi="Times New Roman"/>
          <w:sz w:val="24"/>
        </w:rPr>
        <w:t>. Cobertura área prioritaria 2</w:t>
      </w:r>
      <w:bookmarkEnd w:id="143"/>
    </w:p>
    <w:p w14:paraId="0F0EC29B" w14:textId="1DD9819E" w:rsidR="00522067" w:rsidRPr="009A27ED" w:rsidRDefault="00522067" w:rsidP="00522067">
      <w:pPr>
        <w:pStyle w:val="Descripcin"/>
        <w:spacing w:line="360" w:lineRule="auto"/>
        <w:rPr>
          <w:color w:val="000000" w:themeColor="text1"/>
          <w:sz w:val="22"/>
          <w:szCs w:val="20"/>
        </w:rPr>
      </w:pPr>
      <w:bookmarkStart w:id="144" w:name="_Toc111889456"/>
      <w:r w:rsidRPr="009A27ED">
        <w:rPr>
          <w:rFonts w:ascii="Times New Roman" w:eastAsia="Times New Roman" w:hAnsi="Times New Roman"/>
          <w:color w:val="000000" w:themeColor="text1"/>
          <w:sz w:val="24"/>
        </w:rPr>
        <w:t xml:space="preserve"> </w:t>
      </w:r>
      <w:bookmarkEnd w:id="144"/>
    </w:p>
    <w:p w14:paraId="31EDA220" w14:textId="77777777" w:rsidR="00522067" w:rsidRPr="009A27ED" w:rsidRDefault="00522067" w:rsidP="00522067">
      <w:pPr>
        <w:spacing w:line="360" w:lineRule="auto"/>
      </w:pPr>
    </w:p>
    <w:p w14:paraId="54A3EB4A" w14:textId="77777777" w:rsidR="00363CF6" w:rsidRPr="009A27ED" w:rsidRDefault="006A4EAB" w:rsidP="00363CF6">
      <w:pPr>
        <w:keepNext/>
        <w:spacing w:after="0" w:line="360" w:lineRule="auto"/>
      </w:pPr>
      <w:r w:rsidRPr="009A27ED">
        <w:rPr>
          <w:rFonts w:ascii="Times New Roman" w:eastAsia="Times New Roman" w:hAnsi="Times New Roman"/>
          <w:noProof/>
          <w:sz w:val="24"/>
          <w:lang w:val="en-US"/>
        </w:rPr>
        <w:lastRenderedPageBreak/>
        <w:drawing>
          <wp:inline distT="0" distB="0" distL="0" distR="0" wp14:anchorId="2BD7E0F4" wp14:editId="282685CC">
            <wp:extent cx="4429125" cy="3427095"/>
            <wp:effectExtent l="0" t="0" r="9525" b="190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extLst>
                        <a:ext uri="{BEBA8EAE-BF5A-486C-A8C5-ECC9F3942E4B}">
                          <a14:imgProps xmlns:a14="http://schemas.microsoft.com/office/drawing/2010/main">
                            <a14:imgLayer r:embed="rId40">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4429125" cy="3427095"/>
                    </a:xfrm>
                    <a:prstGeom prst="rect">
                      <a:avLst/>
                    </a:prstGeom>
                    <a:noFill/>
                    <a:ln>
                      <a:noFill/>
                    </a:ln>
                  </pic:spPr>
                </pic:pic>
              </a:graphicData>
            </a:graphic>
          </wp:inline>
        </w:drawing>
      </w:r>
    </w:p>
    <w:p w14:paraId="2CDC8EA8" w14:textId="157BA164" w:rsidR="00E84BF9" w:rsidRPr="009A27ED" w:rsidRDefault="00363CF6" w:rsidP="00363CF6">
      <w:pPr>
        <w:pStyle w:val="Descripcin"/>
        <w:spacing w:line="360" w:lineRule="auto"/>
      </w:pPr>
      <w:bookmarkStart w:id="145" w:name="_Toc111890685"/>
      <w:r w:rsidRPr="009A27ED">
        <w:rPr>
          <w:rFonts w:ascii="Times New Roman" w:eastAsia="Times New Roman" w:hAnsi="Times New Roman"/>
          <w:sz w:val="24"/>
        </w:rPr>
        <w:t xml:space="preserve">Mapa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Mapa \* ARABIC </w:instrText>
      </w:r>
      <w:r w:rsidRPr="009A27ED">
        <w:rPr>
          <w:rFonts w:ascii="Times New Roman" w:eastAsia="Times New Roman" w:hAnsi="Times New Roman"/>
          <w:sz w:val="24"/>
        </w:rPr>
        <w:fldChar w:fldCharType="separate"/>
      </w:r>
      <w:r w:rsidRPr="009A27ED">
        <w:rPr>
          <w:rFonts w:ascii="Times New Roman" w:eastAsia="Times New Roman" w:hAnsi="Times New Roman"/>
          <w:noProof/>
          <w:sz w:val="24"/>
        </w:rPr>
        <w:t>7</w:t>
      </w:r>
      <w:r w:rsidRPr="009A27ED">
        <w:rPr>
          <w:rFonts w:ascii="Times New Roman" w:eastAsia="Times New Roman" w:hAnsi="Times New Roman"/>
          <w:sz w:val="24"/>
        </w:rPr>
        <w:fldChar w:fldCharType="end"/>
      </w:r>
      <w:r w:rsidRPr="009A27ED">
        <w:rPr>
          <w:rFonts w:ascii="Times New Roman" w:eastAsia="Times New Roman" w:hAnsi="Times New Roman"/>
          <w:sz w:val="24"/>
        </w:rPr>
        <w:t xml:space="preserve"> Cobertura área prioritaria 3</w:t>
      </w:r>
      <w:bookmarkEnd w:id="145"/>
    </w:p>
    <w:p w14:paraId="07C70DCF" w14:textId="18D8573B" w:rsidR="00077A21" w:rsidRPr="009A27ED" w:rsidRDefault="00077A21" w:rsidP="006A4EAB">
      <w:pPr>
        <w:pStyle w:val="Descripcin"/>
        <w:spacing w:line="360" w:lineRule="auto"/>
        <w:rPr>
          <w:color w:val="000000" w:themeColor="text1"/>
          <w:sz w:val="20"/>
        </w:rPr>
      </w:pPr>
    </w:p>
    <w:p w14:paraId="507C10D5" w14:textId="77777777" w:rsidR="00077A21" w:rsidRPr="009A27ED" w:rsidRDefault="00077A21" w:rsidP="00077A21">
      <w:pPr>
        <w:spacing w:line="360" w:lineRule="auto"/>
      </w:pPr>
    </w:p>
    <w:p w14:paraId="54E42FFB" w14:textId="77777777" w:rsidR="00363CF6" w:rsidRPr="009A27ED" w:rsidRDefault="00042E46" w:rsidP="00363CF6">
      <w:pPr>
        <w:keepNext/>
        <w:spacing w:after="0" w:line="360" w:lineRule="auto"/>
      </w:pPr>
      <w:r w:rsidRPr="009A27ED">
        <w:rPr>
          <w:rFonts w:ascii="Times New Roman" w:eastAsia="Times New Roman" w:hAnsi="Times New Roman"/>
          <w:noProof/>
          <w:sz w:val="24"/>
          <w:szCs w:val="22"/>
          <w:lang w:val="en-US"/>
        </w:rPr>
        <w:lastRenderedPageBreak/>
        <w:drawing>
          <wp:inline distT="0" distB="0" distL="0" distR="0" wp14:anchorId="4808F4E2" wp14:editId="3606C92E">
            <wp:extent cx="4558937" cy="3522948"/>
            <wp:effectExtent l="0" t="0" r="635" b="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mapa cobertura area 4.jpg"/>
                    <pic:cNvPicPr/>
                  </pic:nvPicPr>
                  <pic:blipFill>
                    <a:blip r:embed="rId41">
                      <a:extLst>
                        <a:ext uri="{28A0092B-C50C-407E-A947-70E740481C1C}">
                          <a14:useLocalDpi xmlns:a14="http://schemas.microsoft.com/office/drawing/2010/main" val="0"/>
                        </a:ext>
                      </a:extLst>
                    </a:blip>
                    <a:stretch>
                      <a:fillRect/>
                    </a:stretch>
                  </pic:blipFill>
                  <pic:spPr>
                    <a:xfrm>
                      <a:off x="0" y="0"/>
                      <a:ext cx="4568926" cy="3530667"/>
                    </a:xfrm>
                    <a:prstGeom prst="rect">
                      <a:avLst/>
                    </a:prstGeom>
                  </pic:spPr>
                </pic:pic>
              </a:graphicData>
            </a:graphic>
          </wp:inline>
        </w:drawing>
      </w:r>
    </w:p>
    <w:p w14:paraId="7A7FACA9" w14:textId="5BCDC1E8" w:rsidR="00E84BF9" w:rsidRPr="009A27ED" w:rsidRDefault="00363CF6" w:rsidP="00363CF6">
      <w:pPr>
        <w:pStyle w:val="Descripcin"/>
        <w:spacing w:line="360" w:lineRule="auto"/>
      </w:pPr>
      <w:bookmarkStart w:id="146" w:name="_Toc111890686"/>
      <w:r w:rsidRPr="009A27ED">
        <w:rPr>
          <w:rFonts w:ascii="Times New Roman" w:eastAsia="Times New Roman" w:hAnsi="Times New Roman"/>
          <w:sz w:val="24"/>
        </w:rPr>
        <w:t xml:space="preserve">Mapa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Mapa \* ARABIC </w:instrText>
      </w:r>
      <w:r w:rsidRPr="009A27ED">
        <w:rPr>
          <w:rFonts w:ascii="Times New Roman" w:eastAsia="Times New Roman" w:hAnsi="Times New Roman"/>
          <w:sz w:val="24"/>
        </w:rPr>
        <w:fldChar w:fldCharType="separate"/>
      </w:r>
      <w:r w:rsidRPr="009A27ED">
        <w:rPr>
          <w:rFonts w:ascii="Times New Roman" w:eastAsia="Times New Roman" w:hAnsi="Times New Roman"/>
          <w:noProof/>
          <w:sz w:val="24"/>
        </w:rPr>
        <w:t>8</w:t>
      </w:r>
      <w:r w:rsidRPr="009A27ED">
        <w:rPr>
          <w:rFonts w:ascii="Times New Roman" w:eastAsia="Times New Roman" w:hAnsi="Times New Roman"/>
          <w:sz w:val="24"/>
        </w:rPr>
        <w:fldChar w:fldCharType="end"/>
      </w:r>
      <w:r w:rsidRPr="009A27ED">
        <w:rPr>
          <w:rFonts w:ascii="Times New Roman" w:eastAsia="Times New Roman" w:hAnsi="Times New Roman"/>
          <w:sz w:val="24"/>
        </w:rPr>
        <w:t>. Cobertura área prioritaria 4</w:t>
      </w:r>
      <w:bookmarkEnd w:id="146"/>
    </w:p>
    <w:p w14:paraId="5AF8B49C" w14:textId="3DBEE3A9" w:rsidR="00260482" w:rsidRPr="009A27ED" w:rsidRDefault="001E165D" w:rsidP="00E84BF9">
      <w:pPr>
        <w:pStyle w:val="Descripcin"/>
        <w:spacing w:line="360" w:lineRule="auto"/>
        <w:rPr>
          <w:color w:val="000000" w:themeColor="text1"/>
          <w:sz w:val="20"/>
        </w:rPr>
      </w:pPr>
      <w:r w:rsidRPr="009A27ED">
        <w:rPr>
          <w:rFonts w:ascii="Times New Roman" w:eastAsia="Times New Roman" w:hAnsi="Times New Roman"/>
          <w:color w:val="000000" w:themeColor="text1"/>
          <w:sz w:val="24"/>
        </w:rPr>
        <w:t>.</w:t>
      </w:r>
      <w:r w:rsidR="0025075B" w:rsidRPr="009A27ED">
        <w:rPr>
          <w:rFonts w:ascii="Times New Roman" w:eastAsia="Times New Roman" w:hAnsi="Times New Roman"/>
          <w:color w:val="000000" w:themeColor="text1"/>
          <w:sz w:val="24"/>
        </w:rPr>
        <w:t xml:space="preserve"> </w:t>
      </w:r>
    </w:p>
    <w:p w14:paraId="6CBC679B" w14:textId="77777777" w:rsidR="00363CF6" w:rsidRPr="009A27ED" w:rsidRDefault="00042E46" w:rsidP="00363CF6">
      <w:pPr>
        <w:keepNext/>
        <w:spacing w:after="0" w:line="360" w:lineRule="auto"/>
      </w:pPr>
      <w:r w:rsidRPr="009A27ED">
        <w:rPr>
          <w:rFonts w:ascii="Times New Roman" w:eastAsia="Times New Roman" w:hAnsi="Times New Roman"/>
          <w:noProof/>
          <w:sz w:val="24"/>
          <w:szCs w:val="22"/>
          <w:lang w:val="en-US"/>
        </w:rPr>
        <w:drawing>
          <wp:inline distT="0" distB="0" distL="0" distR="0" wp14:anchorId="5937A8C7" wp14:editId="221E2661">
            <wp:extent cx="4466848" cy="3451786"/>
            <wp:effectExtent l="0" t="0" r="3810" b="3175"/>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mapa cobertura area 5.jp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4485493" cy="3466194"/>
                    </a:xfrm>
                    <a:prstGeom prst="rect">
                      <a:avLst/>
                    </a:prstGeom>
                  </pic:spPr>
                </pic:pic>
              </a:graphicData>
            </a:graphic>
          </wp:inline>
        </w:drawing>
      </w:r>
    </w:p>
    <w:p w14:paraId="28F1C30F" w14:textId="34F8B57A" w:rsidR="00E84BF9" w:rsidRPr="009A27ED" w:rsidRDefault="00363CF6" w:rsidP="00363CF6">
      <w:pPr>
        <w:pStyle w:val="Descripcin"/>
        <w:spacing w:line="360" w:lineRule="auto"/>
      </w:pPr>
      <w:bookmarkStart w:id="147" w:name="_Toc111890687"/>
      <w:r w:rsidRPr="009A27ED">
        <w:rPr>
          <w:rFonts w:ascii="Times New Roman" w:eastAsia="Times New Roman" w:hAnsi="Times New Roman"/>
          <w:sz w:val="24"/>
        </w:rPr>
        <w:t xml:space="preserve">Mapa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Mapa \* ARABIC </w:instrText>
      </w:r>
      <w:r w:rsidRPr="009A27ED">
        <w:rPr>
          <w:rFonts w:ascii="Times New Roman" w:eastAsia="Times New Roman" w:hAnsi="Times New Roman"/>
          <w:sz w:val="24"/>
        </w:rPr>
        <w:fldChar w:fldCharType="separate"/>
      </w:r>
      <w:r w:rsidRPr="009A27ED">
        <w:rPr>
          <w:rFonts w:ascii="Times New Roman" w:eastAsia="Times New Roman" w:hAnsi="Times New Roman"/>
          <w:noProof/>
          <w:sz w:val="24"/>
        </w:rPr>
        <w:t>9</w:t>
      </w:r>
      <w:r w:rsidRPr="009A27ED">
        <w:rPr>
          <w:rFonts w:ascii="Times New Roman" w:eastAsia="Times New Roman" w:hAnsi="Times New Roman"/>
          <w:sz w:val="24"/>
        </w:rPr>
        <w:fldChar w:fldCharType="end"/>
      </w:r>
      <w:r w:rsidRPr="009A27ED">
        <w:rPr>
          <w:rFonts w:ascii="Times New Roman" w:eastAsia="Times New Roman" w:hAnsi="Times New Roman"/>
          <w:sz w:val="24"/>
        </w:rPr>
        <w:t>. Cobertura área prioritaria 5</w:t>
      </w:r>
      <w:bookmarkEnd w:id="147"/>
    </w:p>
    <w:p w14:paraId="2BD0D671" w14:textId="6141CC3A" w:rsidR="0004071A" w:rsidRPr="009A27ED" w:rsidRDefault="0004071A" w:rsidP="005B6485">
      <w:pPr>
        <w:spacing w:before="120" w:after="0" w:line="360" w:lineRule="auto"/>
        <w:rPr>
          <w:szCs w:val="22"/>
          <w:lang w:val="es-MX"/>
        </w:rPr>
      </w:pPr>
      <w:r w:rsidRPr="009A27ED">
        <w:rPr>
          <w:rFonts w:ascii="Times New Roman" w:eastAsia="Times New Roman" w:hAnsi="Times New Roman"/>
          <w:sz w:val="24"/>
          <w:szCs w:val="22"/>
          <w:lang w:val="es-MX"/>
        </w:rPr>
        <w:lastRenderedPageBreak/>
        <w:t xml:space="preserve">En la República Dominicana </w:t>
      </w:r>
      <w:r w:rsidR="00E87E84" w:rsidRPr="009A27ED">
        <w:rPr>
          <w:rFonts w:ascii="Times New Roman" w:eastAsia="Times New Roman" w:hAnsi="Times New Roman"/>
          <w:sz w:val="24"/>
          <w:szCs w:val="22"/>
          <w:lang w:val="es-MX"/>
        </w:rPr>
        <w:t>s</w:t>
      </w:r>
      <w:r w:rsidRPr="009A27ED">
        <w:rPr>
          <w:rFonts w:ascii="Times New Roman" w:eastAsia="Times New Roman" w:hAnsi="Times New Roman"/>
          <w:sz w:val="24"/>
          <w:szCs w:val="22"/>
          <w:lang w:val="es-MX"/>
        </w:rPr>
        <w:t xml:space="preserve">e distinguen 18 zonas de vida, que abarcan desde Bosque húmedo de transición a bosque muy húmedo Montano Bajo hasta Monte espinoso Subtropical. Las áreas con mayor diversidad de zonas de vida son Enriquillo, </w:t>
      </w:r>
      <w:proofErr w:type="spellStart"/>
      <w:r w:rsidRPr="009A27ED">
        <w:rPr>
          <w:rFonts w:ascii="Times New Roman" w:eastAsia="Times New Roman" w:hAnsi="Times New Roman"/>
          <w:sz w:val="24"/>
          <w:szCs w:val="22"/>
          <w:lang w:val="es-MX"/>
        </w:rPr>
        <w:t>Valdesia</w:t>
      </w:r>
      <w:proofErr w:type="spellEnd"/>
      <w:r w:rsidRPr="009A27ED">
        <w:rPr>
          <w:rFonts w:ascii="Times New Roman" w:eastAsia="Times New Roman" w:hAnsi="Times New Roman"/>
          <w:sz w:val="24"/>
          <w:szCs w:val="22"/>
          <w:lang w:val="es-MX"/>
        </w:rPr>
        <w:t xml:space="preserve"> y el Valle.</w:t>
      </w:r>
    </w:p>
    <w:p w14:paraId="05BF6972" w14:textId="2B173166" w:rsidR="0004071A" w:rsidRPr="009A27ED" w:rsidRDefault="0025465D" w:rsidP="005B6485">
      <w:pPr>
        <w:spacing w:before="120" w:after="0" w:line="360" w:lineRule="auto"/>
        <w:rPr>
          <w:szCs w:val="22"/>
          <w:lang w:val="es-MX"/>
        </w:rPr>
      </w:pPr>
      <w:r w:rsidRPr="009A27ED">
        <w:rPr>
          <w:rFonts w:ascii="Times New Roman" w:eastAsia="Times New Roman" w:hAnsi="Times New Roman"/>
          <w:sz w:val="24"/>
          <w:szCs w:val="22"/>
          <w:lang w:val="es-MX"/>
        </w:rPr>
        <w:t xml:space="preserve">En el Cuadro </w:t>
      </w:r>
      <w:r w:rsidR="00B22469" w:rsidRPr="009A27ED">
        <w:rPr>
          <w:rFonts w:ascii="Times New Roman" w:eastAsia="Times New Roman" w:hAnsi="Times New Roman"/>
          <w:sz w:val="24"/>
          <w:szCs w:val="22"/>
          <w:lang w:val="es-MX"/>
        </w:rPr>
        <w:t>1</w:t>
      </w:r>
      <w:r w:rsidRPr="009A27ED">
        <w:rPr>
          <w:rFonts w:ascii="Times New Roman" w:eastAsia="Times New Roman" w:hAnsi="Times New Roman"/>
          <w:sz w:val="24"/>
          <w:szCs w:val="22"/>
          <w:lang w:val="es-MX"/>
        </w:rPr>
        <w:t>5</w:t>
      </w:r>
      <w:r w:rsidR="0004071A" w:rsidRPr="009A27ED">
        <w:rPr>
          <w:rFonts w:ascii="Times New Roman" w:eastAsia="Times New Roman" w:hAnsi="Times New Roman"/>
          <w:sz w:val="24"/>
          <w:szCs w:val="22"/>
          <w:lang w:val="es-MX"/>
        </w:rPr>
        <w:t xml:space="preserve"> se observa que las Zonas de Vida predominantes son: i) el bosque húmedo tropical con 5,545.38 km</w:t>
      </w:r>
      <w:r w:rsidR="0004071A" w:rsidRPr="009A27ED">
        <w:rPr>
          <w:rFonts w:ascii="Times New Roman" w:eastAsia="Times New Roman" w:hAnsi="Times New Roman"/>
          <w:sz w:val="24"/>
          <w:szCs w:val="22"/>
          <w:vertAlign w:val="superscript"/>
          <w:lang w:val="es-MX"/>
        </w:rPr>
        <w:t>2</w:t>
      </w:r>
      <w:r w:rsidR="0004071A" w:rsidRPr="009A27ED">
        <w:rPr>
          <w:rFonts w:ascii="Times New Roman" w:eastAsia="Times New Roman" w:hAnsi="Times New Roman"/>
          <w:sz w:val="24"/>
          <w:szCs w:val="22"/>
          <w:lang w:val="es-MX"/>
        </w:rPr>
        <w:t>, presente en las 5 áreas, pero con mayor presencia en el área 1 (1,417.33 km</w:t>
      </w:r>
      <w:r w:rsidR="0004071A" w:rsidRPr="009A27ED">
        <w:rPr>
          <w:rFonts w:ascii="Times New Roman" w:eastAsia="Times New Roman" w:hAnsi="Times New Roman"/>
          <w:sz w:val="24"/>
          <w:szCs w:val="22"/>
          <w:vertAlign w:val="superscript"/>
          <w:lang w:val="es-MX"/>
        </w:rPr>
        <w:t>2</w:t>
      </w:r>
      <w:r w:rsidR="0004071A" w:rsidRPr="009A27ED">
        <w:rPr>
          <w:rFonts w:ascii="Times New Roman" w:eastAsia="Times New Roman" w:hAnsi="Times New Roman"/>
          <w:sz w:val="24"/>
          <w:szCs w:val="22"/>
          <w:lang w:val="es-MX"/>
        </w:rPr>
        <w:t>) y área 3 (1,322.99 km</w:t>
      </w:r>
      <w:r w:rsidR="0004071A" w:rsidRPr="009A27ED">
        <w:rPr>
          <w:rFonts w:ascii="Times New Roman" w:eastAsia="Times New Roman" w:hAnsi="Times New Roman"/>
          <w:sz w:val="24"/>
          <w:szCs w:val="22"/>
          <w:vertAlign w:val="superscript"/>
          <w:lang w:val="es-MX"/>
        </w:rPr>
        <w:t>2</w:t>
      </w:r>
      <w:r w:rsidR="005C100E" w:rsidRPr="009A27ED">
        <w:rPr>
          <w:rFonts w:ascii="Times New Roman" w:eastAsia="Times New Roman" w:hAnsi="Times New Roman"/>
          <w:sz w:val="24"/>
          <w:szCs w:val="22"/>
          <w:lang w:val="es-MX"/>
        </w:rPr>
        <w:t xml:space="preserve">); </w:t>
      </w:r>
      <w:proofErr w:type="spellStart"/>
      <w:r w:rsidR="005C100E" w:rsidRPr="009A27ED">
        <w:rPr>
          <w:rFonts w:ascii="Times New Roman" w:eastAsia="Times New Roman" w:hAnsi="Times New Roman"/>
          <w:sz w:val="24"/>
          <w:szCs w:val="22"/>
          <w:lang w:val="es-MX"/>
        </w:rPr>
        <w:t>ii</w:t>
      </w:r>
      <w:proofErr w:type="spellEnd"/>
      <w:r w:rsidR="0004071A" w:rsidRPr="009A27ED">
        <w:rPr>
          <w:rFonts w:ascii="Times New Roman" w:eastAsia="Times New Roman" w:hAnsi="Times New Roman"/>
          <w:sz w:val="24"/>
          <w:szCs w:val="22"/>
          <w:lang w:val="es-MX"/>
        </w:rPr>
        <w:t>) bosque muy húmedo subtropical con 2,578.22 km</w:t>
      </w:r>
      <w:r w:rsidR="0004071A" w:rsidRPr="009A27ED">
        <w:rPr>
          <w:rFonts w:ascii="Times New Roman" w:eastAsia="Times New Roman" w:hAnsi="Times New Roman"/>
          <w:sz w:val="24"/>
          <w:szCs w:val="22"/>
          <w:vertAlign w:val="superscript"/>
          <w:lang w:val="es-MX"/>
        </w:rPr>
        <w:t>2</w:t>
      </w:r>
      <w:r w:rsidR="0004071A" w:rsidRPr="009A27ED">
        <w:rPr>
          <w:rFonts w:ascii="Times New Roman" w:eastAsia="Times New Roman" w:hAnsi="Times New Roman"/>
          <w:sz w:val="24"/>
          <w:szCs w:val="22"/>
          <w:lang w:val="es-MX"/>
        </w:rPr>
        <w:t>, presente en todas las áreas. Esta zona de vida es dominante en el área 5 (1,030.31 km</w:t>
      </w:r>
      <w:r w:rsidR="0004071A" w:rsidRPr="009A27ED">
        <w:rPr>
          <w:rFonts w:ascii="Times New Roman" w:eastAsia="Times New Roman" w:hAnsi="Times New Roman"/>
          <w:sz w:val="24"/>
          <w:szCs w:val="22"/>
          <w:vertAlign w:val="superscript"/>
          <w:lang w:val="es-MX"/>
        </w:rPr>
        <w:t>2</w:t>
      </w:r>
      <w:r w:rsidR="0004071A" w:rsidRPr="009A27ED">
        <w:rPr>
          <w:rFonts w:ascii="Times New Roman" w:eastAsia="Times New Roman" w:hAnsi="Times New Roman"/>
          <w:sz w:val="24"/>
          <w:szCs w:val="22"/>
          <w:lang w:val="es-MX"/>
        </w:rPr>
        <w:t xml:space="preserve">). El Bosque húmedo de transición a bosque seco Montano Bajo es el de menor presencia en las </w:t>
      </w:r>
      <w:r w:rsidR="005C100E" w:rsidRPr="009A27ED">
        <w:rPr>
          <w:rFonts w:ascii="Times New Roman" w:eastAsia="Times New Roman" w:hAnsi="Times New Roman"/>
          <w:sz w:val="24"/>
          <w:szCs w:val="22"/>
          <w:lang w:val="es-MX"/>
        </w:rPr>
        <w:t>áreas</w:t>
      </w:r>
      <w:r w:rsidR="0004071A" w:rsidRPr="009A27ED">
        <w:rPr>
          <w:rFonts w:ascii="Times New Roman" w:eastAsia="Times New Roman" w:hAnsi="Times New Roman"/>
          <w:sz w:val="24"/>
          <w:szCs w:val="22"/>
          <w:lang w:val="es-MX"/>
        </w:rPr>
        <w:t xml:space="preserve"> priorizadas con una extensión de apenas 6.20</w:t>
      </w:r>
      <w:r w:rsidR="004B7076" w:rsidRPr="009A27ED">
        <w:rPr>
          <w:rFonts w:ascii="Times New Roman" w:eastAsia="Times New Roman" w:hAnsi="Times New Roman"/>
          <w:sz w:val="24"/>
          <w:szCs w:val="22"/>
          <w:lang w:val="es-MX"/>
        </w:rPr>
        <w:t xml:space="preserve">. </w:t>
      </w:r>
    </w:p>
    <w:p w14:paraId="1B3CFD54" w14:textId="1FA3A4E9" w:rsidR="0004071A" w:rsidRPr="009A27ED" w:rsidRDefault="0004071A" w:rsidP="005B6485">
      <w:pPr>
        <w:spacing w:before="120" w:after="0" w:line="360" w:lineRule="auto"/>
        <w:rPr>
          <w:szCs w:val="22"/>
          <w:lang w:val="es-MX"/>
        </w:rPr>
      </w:pPr>
      <w:r w:rsidRPr="009A27ED">
        <w:rPr>
          <w:rFonts w:ascii="Times New Roman" w:eastAsia="Times New Roman" w:hAnsi="Times New Roman"/>
          <w:sz w:val="24"/>
          <w:szCs w:val="22"/>
          <w:lang w:val="es-MX"/>
        </w:rPr>
        <w:t>El Bosque muy húmedo de transición a bosque pluvial Subtropicales el de menor presencia en el territorio nacional, con 9.62 Km</w:t>
      </w:r>
      <w:r w:rsidRPr="009A27ED">
        <w:rPr>
          <w:rFonts w:ascii="Times New Roman" w:eastAsia="Times New Roman" w:hAnsi="Times New Roman"/>
          <w:sz w:val="24"/>
          <w:szCs w:val="22"/>
          <w:vertAlign w:val="superscript"/>
          <w:lang w:val="es-MX"/>
        </w:rPr>
        <w:t>2</w:t>
      </w:r>
      <w:r w:rsidRPr="009A27ED">
        <w:rPr>
          <w:rFonts w:ascii="Times New Roman" w:eastAsia="Times New Roman" w:hAnsi="Times New Roman"/>
          <w:sz w:val="24"/>
          <w:szCs w:val="22"/>
          <w:lang w:val="es-MX"/>
        </w:rPr>
        <w:t xml:space="preserve"> y solo se encuentra en las regiones </w:t>
      </w:r>
      <w:proofErr w:type="spellStart"/>
      <w:r w:rsidRPr="009A27ED">
        <w:rPr>
          <w:rFonts w:ascii="Times New Roman" w:eastAsia="Times New Roman" w:hAnsi="Times New Roman"/>
          <w:sz w:val="24"/>
          <w:szCs w:val="22"/>
          <w:lang w:val="es-MX"/>
        </w:rPr>
        <w:t>Higuamo</w:t>
      </w:r>
      <w:proofErr w:type="spellEnd"/>
      <w:r w:rsidRPr="009A27ED">
        <w:rPr>
          <w:rFonts w:ascii="Times New Roman" w:eastAsia="Times New Roman" w:hAnsi="Times New Roman"/>
          <w:sz w:val="24"/>
          <w:szCs w:val="22"/>
          <w:lang w:val="es-MX"/>
        </w:rPr>
        <w:t xml:space="preserve">, Ozama y </w:t>
      </w:r>
      <w:proofErr w:type="spellStart"/>
      <w:r w:rsidRPr="009A27ED">
        <w:rPr>
          <w:rFonts w:ascii="Times New Roman" w:eastAsia="Times New Roman" w:hAnsi="Times New Roman"/>
          <w:sz w:val="24"/>
          <w:szCs w:val="22"/>
          <w:lang w:val="es-MX"/>
        </w:rPr>
        <w:t>Valdesia</w:t>
      </w:r>
      <w:proofErr w:type="spellEnd"/>
      <w:r w:rsidRPr="009A27ED">
        <w:rPr>
          <w:rFonts w:ascii="Times New Roman" w:eastAsia="Times New Roman" w:hAnsi="Times New Roman"/>
          <w:sz w:val="24"/>
          <w:szCs w:val="22"/>
          <w:lang w:val="es-MX"/>
        </w:rPr>
        <w:t xml:space="preserve">. El segundo con menor incidencia es el Bosque pluvial Montano Bajo, con una superficie de 33.38, presente solo en las regiones Cibao Sur y El Valle. </w:t>
      </w:r>
    </w:p>
    <w:p w14:paraId="3FF63345" w14:textId="38A782A3" w:rsidR="0004071A" w:rsidRPr="009A27ED" w:rsidRDefault="0004071A" w:rsidP="00170677">
      <w:pPr>
        <w:spacing w:before="120" w:after="0" w:line="360" w:lineRule="auto"/>
        <w:rPr>
          <w:szCs w:val="22"/>
          <w:vertAlign w:val="superscript"/>
          <w:lang w:val="es-MX"/>
        </w:rPr>
        <w:sectPr w:rsidR="0004071A" w:rsidRPr="009A27ED" w:rsidSect="00BC6D88">
          <w:pgSz w:w="17035" w:h="15840"/>
          <w:pgMar w:top="1418" w:right="6496" w:bottom="1418" w:left="1701" w:header="708" w:footer="708" w:gutter="0"/>
          <w:cols w:space="708"/>
          <w:docGrid w:linePitch="360"/>
        </w:sectPr>
      </w:pPr>
      <w:r w:rsidRPr="009A27ED">
        <w:rPr>
          <w:rFonts w:ascii="Times New Roman" w:eastAsia="Times New Roman" w:hAnsi="Times New Roman"/>
          <w:sz w:val="24"/>
          <w:szCs w:val="22"/>
          <w:lang w:val="es-MX"/>
        </w:rPr>
        <w:t xml:space="preserve">En sentido general, el bosque que prevalece en las </w:t>
      </w:r>
      <w:r w:rsidR="004B7076" w:rsidRPr="009A27ED">
        <w:rPr>
          <w:rFonts w:ascii="Times New Roman" w:eastAsia="Times New Roman" w:hAnsi="Times New Roman"/>
          <w:sz w:val="24"/>
          <w:szCs w:val="22"/>
          <w:lang w:val="es-MX"/>
        </w:rPr>
        <w:t>á</w:t>
      </w:r>
      <w:r w:rsidRPr="009A27ED">
        <w:rPr>
          <w:rFonts w:ascii="Times New Roman" w:eastAsia="Times New Roman" w:hAnsi="Times New Roman"/>
          <w:sz w:val="24"/>
          <w:szCs w:val="22"/>
          <w:lang w:val="es-MX"/>
        </w:rPr>
        <w:t xml:space="preserve">reas priorizada es el bosque húmedo </w:t>
      </w:r>
      <w:r w:rsidR="005C100E" w:rsidRPr="009A27ED">
        <w:rPr>
          <w:rFonts w:ascii="Times New Roman" w:eastAsia="Times New Roman" w:hAnsi="Times New Roman"/>
          <w:sz w:val="24"/>
          <w:szCs w:val="22"/>
          <w:lang w:val="es-MX"/>
        </w:rPr>
        <w:t>subtropical,</w:t>
      </w:r>
      <w:r w:rsidRPr="009A27ED">
        <w:rPr>
          <w:rFonts w:ascii="Times New Roman" w:eastAsia="Times New Roman" w:hAnsi="Times New Roman"/>
          <w:sz w:val="24"/>
          <w:szCs w:val="22"/>
          <w:lang w:val="es-MX"/>
        </w:rPr>
        <w:t xml:space="preserve"> </w:t>
      </w:r>
      <w:r w:rsidR="00170677" w:rsidRPr="009A27ED">
        <w:rPr>
          <w:rFonts w:ascii="Times New Roman" w:eastAsia="Times New Roman" w:hAnsi="Times New Roman"/>
          <w:sz w:val="24"/>
          <w:szCs w:val="22"/>
          <w:lang w:val="es-MX"/>
        </w:rPr>
        <w:t xml:space="preserve">con una extensión de 5,546.38 </w:t>
      </w:r>
    </w:p>
    <w:p w14:paraId="75780DD0" w14:textId="4D27D127" w:rsidR="00170677" w:rsidRPr="009A27ED" w:rsidRDefault="00170677" w:rsidP="00170677">
      <w:pPr>
        <w:pStyle w:val="Descripcin"/>
        <w:spacing w:line="360" w:lineRule="auto"/>
        <w:rPr>
          <w:b/>
          <w:color w:val="000000" w:themeColor="text1"/>
          <w:sz w:val="20"/>
          <w:lang w:val="es-MX"/>
        </w:rPr>
      </w:pPr>
      <w:bookmarkStart w:id="148" w:name="_Toc111887425"/>
      <w:r w:rsidRPr="009A27ED">
        <w:rPr>
          <w:rFonts w:ascii="Times New Roman" w:eastAsia="Times New Roman" w:hAnsi="Times New Roman"/>
          <w:sz w:val="24"/>
        </w:rPr>
        <w:lastRenderedPageBreak/>
        <w:t xml:space="preserve">Cuadro </w:t>
      </w:r>
      <w:r w:rsidR="00F43DB6" w:rsidRPr="009A27ED">
        <w:rPr>
          <w:rFonts w:ascii="Times New Roman" w:eastAsia="Times New Roman" w:hAnsi="Times New Roman"/>
          <w:sz w:val="24"/>
        </w:rPr>
        <w:fldChar w:fldCharType="begin"/>
      </w:r>
      <w:r w:rsidR="00F43DB6" w:rsidRPr="009A27ED">
        <w:rPr>
          <w:rFonts w:ascii="Times New Roman" w:eastAsia="Times New Roman" w:hAnsi="Times New Roman"/>
          <w:sz w:val="24"/>
        </w:rPr>
        <w:instrText xml:space="preserve"> SEQ Cuadro \* ARABIC </w:instrText>
      </w:r>
      <w:r w:rsidR="00F43DB6"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15</w:t>
      </w:r>
      <w:r w:rsidR="00F43DB6" w:rsidRPr="009A27ED">
        <w:rPr>
          <w:rFonts w:ascii="Times New Roman" w:eastAsia="Times New Roman" w:hAnsi="Times New Roman"/>
          <w:sz w:val="24"/>
        </w:rPr>
        <w:fldChar w:fldCharType="end"/>
      </w:r>
      <w:r w:rsidRPr="009A27ED">
        <w:rPr>
          <w:rFonts w:ascii="Times New Roman" w:eastAsia="Times New Roman" w:hAnsi="Times New Roman"/>
          <w:color w:val="000000" w:themeColor="text1"/>
          <w:sz w:val="24"/>
        </w:rPr>
        <w:t>.  Zonas de vida en las áreas priorizadas</w:t>
      </w:r>
      <w:bookmarkEnd w:id="148"/>
    </w:p>
    <w:tbl>
      <w:tblPr>
        <w:tblW w:w="13780" w:type="dxa"/>
        <w:jc w:val="center"/>
        <w:tblLook w:val="04A0" w:firstRow="1" w:lastRow="0" w:firstColumn="1" w:lastColumn="0" w:noHBand="0" w:noVBand="1"/>
      </w:tblPr>
      <w:tblGrid>
        <w:gridCol w:w="6860"/>
        <w:gridCol w:w="1280"/>
        <w:gridCol w:w="1120"/>
        <w:gridCol w:w="1020"/>
        <w:gridCol w:w="1160"/>
        <w:gridCol w:w="1160"/>
        <w:gridCol w:w="1180"/>
      </w:tblGrid>
      <w:tr w:rsidR="00D06968" w:rsidRPr="009A27ED" w14:paraId="2CA65AF1" w14:textId="77777777" w:rsidTr="00B90A11">
        <w:trPr>
          <w:trHeight w:val="224"/>
          <w:jc w:val="center"/>
        </w:trPr>
        <w:tc>
          <w:tcPr>
            <w:tcW w:w="6860" w:type="dxa"/>
            <w:tcBorders>
              <w:top w:val="single" w:sz="4" w:space="0" w:color="auto"/>
              <w:left w:val="single" w:sz="4" w:space="0" w:color="auto"/>
              <w:bottom w:val="single" w:sz="4" w:space="0" w:color="auto"/>
              <w:right w:val="single" w:sz="4" w:space="0" w:color="auto"/>
            </w:tcBorders>
            <w:shd w:val="clear" w:color="auto" w:fill="2E74B5" w:themeFill="accent1" w:themeFillShade="BF"/>
            <w:noWrap/>
            <w:vAlign w:val="bottom"/>
          </w:tcPr>
          <w:p w14:paraId="258899A7" w14:textId="77777777" w:rsidR="00D06968" w:rsidRPr="009A27ED" w:rsidRDefault="00D06968" w:rsidP="00D06968">
            <w:pPr>
              <w:spacing w:after="0"/>
              <w:jc w:val="center"/>
              <w:rPr>
                <w:rFonts w:eastAsia="Times New Roman"/>
                <w:b/>
                <w:color w:val="FFFFFF" w:themeColor="background1"/>
                <w:sz w:val="20"/>
                <w:szCs w:val="20"/>
              </w:rPr>
            </w:pPr>
            <w:r w:rsidRPr="009A27ED">
              <w:rPr>
                <w:rFonts w:eastAsia="Times New Roman"/>
                <w:b/>
                <w:color w:val="FFFFFF" w:themeColor="background1"/>
                <w:sz w:val="20"/>
                <w:szCs w:val="20"/>
              </w:rPr>
              <w:t>Zonas de Vida</w:t>
            </w:r>
          </w:p>
          <w:p w14:paraId="74A669CE" w14:textId="0D237D3F" w:rsidR="00B876A6" w:rsidRPr="009A27ED" w:rsidRDefault="00B876A6" w:rsidP="00D06968">
            <w:pPr>
              <w:spacing w:after="0"/>
              <w:jc w:val="center"/>
              <w:rPr>
                <w:rFonts w:eastAsia="Times New Roman"/>
                <w:b/>
                <w:color w:val="FFFFFF" w:themeColor="background1"/>
                <w:sz w:val="20"/>
                <w:szCs w:val="20"/>
              </w:rPr>
            </w:pPr>
          </w:p>
        </w:tc>
        <w:tc>
          <w:tcPr>
            <w:tcW w:w="1280" w:type="dxa"/>
            <w:tcBorders>
              <w:top w:val="single" w:sz="4" w:space="0" w:color="auto"/>
              <w:left w:val="single" w:sz="4" w:space="0" w:color="auto"/>
              <w:bottom w:val="single" w:sz="4" w:space="0" w:color="auto"/>
              <w:right w:val="single" w:sz="4" w:space="0" w:color="auto"/>
            </w:tcBorders>
            <w:shd w:val="clear" w:color="auto" w:fill="2E74B5" w:themeFill="accent1" w:themeFillShade="BF"/>
            <w:noWrap/>
            <w:vAlign w:val="bottom"/>
          </w:tcPr>
          <w:p w14:paraId="2F360949" w14:textId="1BE52C6B" w:rsidR="00D06968" w:rsidRPr="009A27ED" w:rsidRDefault="00D06968" w:rsidP="00D06968">
            <w:pPr>
              <w:spacing w:after="0"/>
              <w:jc w:val="center"/>
              <w:rPr>
                <w:rFonts w:eastAsia="Times New Roman"/>
                <w:b/>
                <w:color w:val="FFFFFF" w:themeColor="background1"/>
                <w:sz w:val="20"/>
                <w:szCs w:val="20"/>
              </w:rPr>
            </w:pPr>
            <w:r w:rsidRPr="009A27ED">
              <w:rPr>
                <w:rFonts w:eastAsia="Times New Roman"/>
                <w:b/>
                <w:color w:val="FFFFFF" w:themeColor="background1"/>
                <w:sz w:val="20"/>
                <w:szCs w:val="20"/>
              </w:rPr>
              <w:t>Área 1</w:t>
            </w:r>
          </w:p>
        </w:tc>
        <w:tc>
          <w:tcPr>
            <w:tcW w:w="1120" w:type="dxa"/>
            <w:tcBorders>
              <w:top w:val="single" w:sz="4" w:space="0" w:color="auto"/>
              <w:left w:val="single" w:sz="4" w:space="0" w:color="auto"/>
              <w:bottom w:val="single" w:sz="4" w:space="0" w:color="auto"/>
              <w:right w:val="single" w:sz="4" w:space="0" w:color="auto"/>
            </w:tcBorders>
            <w:shd w:val="clear" w:color="auto" w:fill="2E74B5" w:themeFill="accent1" w:themeFillShade="BF"/>
            <w:noWrap/>
            <w:vAlign w:val="bottom"/>
          </w:tcPr>
          <w:p w14:paraId="470EFC54" w14:textId="28B79370" w:rsidR="00D06968" w:rsidRPr="009A27ED" w:rsidRDefault="00D06968" w:rsidP="00D06968">
            <w:pPr>
              <w:spacing w:after="0"/>
              <w:jc w:val="center"/>
              <w:rPr>
                <w:rFonts w:eastAsia="Times New Roman"/>
                <w:b/>
                <w:color w:val="FFFFFF" w:themeColor="background1"/>
                <w:sz w:val="20"/>
                <w:szCs w:val="20"/>
              </w:rPr>
            </w:pPr>
            <w:r w:rsidRPr="009A27ED">
              <w:rPr>
                <w:rFonts w:eastAsia="Times New Roman"/>
                <w:b/>
                <w:color w:val="FFFFFF" w:themeColor="background1"/>
                <w:sz w:val="20"/>
                <w:szCs w:val="20"/>
              </w:rPr>
              <w:t>Área 2</w:t>
            </w:r>
          </w:p>
        </w:tc>
        <w:tc>
          <w:tcPr>
            <w:tcW w:w="1020" w:type="dxa"/>
            <w:tcBorders>
              <w:top w:val="single" w:sz="4" w:space="0" w:color="auto"/>
              <w:left w:val="single" w:sz="4" w:space="0" w:color="auto"/>
              <w:bottom w:val="single" w:sz="4" w:space="0" w:color="auto"/>
              <w:right w:val="single" w:sz="4" w:space="0" w:color="auto"/>
            </w:tcBorders>
            <w:shd w:val="clear" w:color="auto" w:fill="2E74B5" w:themeFill="accent1" w:themeFillShade="BF"/>
            <w:noWrap/>
            <w:vAlign w:val="bottom"/>
          </w:tcPr>
          <w:p w14:paraId="24F2EEF2" w14:textId="0392EEC0" w:rsidR="00D06968" w:rsidRPr="009A27ED" w:rsidRDefault="00D06968" w:rsidP="00D06968">
            <w:pPr>
              <w:spacing w:after="0"/>
              <w:jc w:val="center"/>
              <w:rPr>
                <w:rFonts w:eastAsia="Times New Roman"/>
                <w:b/>
                <w:color w:val="FFFFFF" w:themeColor="background1"/>
                <w:sz w:val="20"/>
                <w:szCs w:val="20"/>
              </w:rPr>
            </w:pPr>
            <w:r w:rsidRPr="009A27ED">
              <w:rPr>
                <w:rFonts w:eastAsia="Times New Roman"/>
                <w:b/>
                <w:color w:val="FFFFFF" w:themeColor="background1"/>
                <w:sz w:val="20"/>
                <w:szCs w:val="20"/>
              </w:rPr>
              <w:t>Área 3</w:t>
            </w:r>
          </w:p>
        </w:tc>
        <w:tc>
          <w:tcPr>
            <w:tcW w:w="1160" w:type="dxa"/>
            <w:tcBorders>
              <w:top w:val="single" w:sz="4" w:space="0" w:color="auto"/>
              <w:left w:val="single" w:sz="4" w:space="0" w:color="auto"/>
              <w:bottom w:val="single" w:sz="4" w:space="0" w:color="auto"/>
              <w:right w:val="single" w:sz="4" w:space="0" w:color="auto"/>
            </w:tcBorders>
            <w:shd w:val="clear" w:color="auto" w:fill="2E74B5" w:themeFill="accent1" w:themeFillShade="BF"/>
            <w:noWrap/>
            <w:vAlign w:val="bottom"/>
          </w:tcPr>
          <w:p w14:paraId="16C577E2" w14:textId="7EBD84D6" w:rsidR="00D06968" w:rsidRPr="009A27ED" w:rsidRDefault="00D06968" w:rsidP="00D06968">
            <w:pPr>
              <w:spacing w:after="0"/>
              <w:jc w:val="center"/>
              <w:rPr>
                <w:rFonts w:eastAsia="Times New Roman"/>
                <w:b/>
                <w:color w:val="FFFFFF" w:themeColor="background1"/>
                <w:sz w:val="20"/>
                <w:szCs w:val="20"/>
              </w:rPr>
            </w:pPr>
            <w:r w:rsidRPr="009A27ED">
              <w:rPr>
                <w:rFonts w:eastAsia="Times New Roman"/>
                <w:b/>
                <w:color w:val="FFFFFF" w:themeColor="background1"/>
                <w:sz w:val="20"/>
                <w:szCs w:val="20"/>
              </w:rPr>
              <w:t>Área 4</w:t>
            </w:r>
          </w:p>
        </w:tc>
        <w:tc>
          <w:tcPr>
            <w:tcW w:w="1160" w:type="dxa"/>
            <w:tcBorders>
              <w:top w:val="single" w:sz="4" w:space="0" w:color="auto"/>
              <w:left w:val="single" w:sz="4" w:space="0" w:color="auto"/>
              <w:bottom w:val="single" w:sz="4" w:space="0" w:color="auto"/>
              <w:right w:val="single" w:sz="4" w:space="0" w:color="auto"/>
            </w:tcBorders>
            <w:shd w:val="clear" w:color="auto" w:fill="2E74B5" w:themeFill="accent1" w:themeFillShade="BF"/>
            <w:noWrap/>
            <w:vAlign w:val="bottom"/>
          </w:tcPr>
          <w:p w14:paraId="3094D4E5" w14:textId="19AB2CC3" w:rsidR="00D06968" w:rsidRPr="009A27ED" w:rsidRDefault="00D06968" w:rsidP="00D06968">
            <w:pPr>
              <w:spacing w:after="0"/>
              <w:jc w:val="center"/>
              <w:rPr>
                <w:rFonts w:eastAsia="Times New Roman"/>
                <w:b/>
                <w:color w:val="FFFFFF" w:themeColor="background1"/>
                <w:sz w:val="20"/>
                <w:szCs w:val="20"/>
              </w:rPr>
            </w:pPr>
            <w:r w:rsidRPr="009A27ED">
              <w:rPr>
                <w:rFonts w:eastAsia="Times New Roman"/>
                <w:b/>
                <w:color w:val="FFFFFF" w:themeColor="background1"/>
                <w:sz w:val="20"/>
                <w:szCs w:val="20"/>
              </w:rPr>
              <w:t>Área 5</w:t>
            </w:r>
          </w:p>
        </w:tc>
        <w:tc>
          <w:tcPr>
            <w:tcW w:w="1180" w:type="dxa"/>
            <w:tcBorders>
              <w:top w:val="single" w:sz="4" w:space="0" w:color="auto"/>
              <w:left w:val="single" w:sz="4" w:space="0" w:color="auto"/>
              <w:bottom w:val="single" w:sz="4" w:space="0" w:color="auto"/>
              <w:right w:val="single" w:sz="4" w:space="0" w:color="auto"/>
            </w:tcBorders>
            <w:shd w:val="clear" w:color="auto" w:fill="2E74B5" w:themeFill="accent1" w:themeFillShade="BF"/>
            <w:noWrap/>
            <w:vAlign w:val="bottom"/>
          </w:tcPr>
          <w:p w14:paraId="58B82D15" w14:textId="7F92C9A5" w:rsidR="00D06968" w:rsidRPr="009A27ED" w:rsidRDefault="00D06968" w:rsidP="00D06968">
            <w:pPr>
              <w:spacing w:after="0"/>
              <w:jc w:val="center"/>
              <w:rPr>
                <w:rFonts w:eastAsia="Times New Roman"/>
                <w:b/>
                <w:color w:val="FFFFFF" w:themeColor="background1"/>
                <w:sz w:val="20"/>
                <w:szCs w:val="20"/>
              </w:rPr>
            </w:pPr>
            <w:r w:rsidRPr="009A27ED">
              <w:rPr>
                <w:rFonts w:eastAsia="Times New Roman"/>
                <w:b/>
                <w:color w:val="FFFFFF" w:themeColor="background1"/>
                <w:sz w:val="20"/>
                <w:szCs w:val="20"/>
              </w:rPr>
              <w:t>Total</w:t>
            </w:r>
          </w:p>
        </w:tc>
      </w:tr>
      <w:tr w:rsidR="0004071A" w:rsidRPr="009A27ED" w14:paraId="1C88366F" w14:textId="77777777" w:rsidTr="00D06968">
        <w:trPr>
          <w:trHeight w:val="224"/>
          <w:jc w:val="center"/>
        </w:trPr>
        <w:tc>
          <w:tcPr>
            <w:tcW w:w="6860" w:type="dxa"/>
            <w:tcBorders>
              <w:top w:val="single" w:sz="4" w:space="0" w:color="auto"/>
              <w:left w:val="single" w:sz="8" w:space="0" w:color="auto"/>
              <w:bottom w:val="single" w:sz="8" w:space="0" w:color="auto"/>
              <w:right w:val="single" w:sz="8" w:space="0" w:color="auto"/>
            </w:tcBorders>
            <w:shd w:val="clear" w:color="auto" w:fill="auto"/>
            <w:noWrap/>
            <w:vAlign w:val="center"/>
            <w:hideMark/>
          </w:tcPr>
          <w:p w14:paraId="376EE078"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Bosque húmedo de transición a bosque muy húmedo Montano Bajo</w:t>
            </w:r>
          </w:p>
        </w:tc>
        <w:tc>
          <w:tcPr>
            <w:tcW w:w="1280" w:type="dxa"/>
            <w:tcBorders>
              <w:top w:val="single" w:sz="4" w:space="0" w:color="auto"/>
              <w:left w:val="nil"/>
              <w:bottom w:val="single" w:sz="8" w:space="0" w:color="auto"/>
              <w:right w:val="nil"/>
            </w:tcBorders>
            <w:shd w:val="clear" w:color="auto" w:fill="auto"/>
            <w:noWrap/>
            <w:vAlign w:val="center"/>
            <w:hideMark/>
          </w:tcPr>
          <w:p w14:paraId="33A63938"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                      -   </w:t>
            </w:r>
          </w:p>
        </w:tc>
        <w:tc>
          <w:tcPr>
            <w:tcW w:w="1120" w:type="dxa"/>
            <w:tcBorders>
              <w:top w:val="single" w:sz="4" w:space="0" w:color="auto"/>
              <w:left w:val="single" w:sz="8" w:space="0" w:color="auto"/>
              <w:bottom w:val="single" w:sz="8" w:space="0" w:color="auto"/>
              <w:right w:val="single" w:sz="8" w:space="0" w:color="auto"/>
            </w:tcBorders>
            <w:shd w:val="clear" w:color="auto" w:fill="auto"/>
            <w:noWrap/>
            <w:vAlign w:val="center"/>
            <w:hideMark/>
          </w:tcPr>
          <w:p w14:paraId="0AEDDE6E" w14:textId="41A8F5C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3.71 </w:t>
            </w:r>
          </w:p>
        </w:tc>
        <w:tc>
          <w:tcPr>
            <w:tcW w:w="1020" w:type="dxa"/>
            <w:tcBorders>
              <w:top w:val="single" w:sz="4" w:space="0" w:color="auto"/>
              <w:left w:val="nil"/>
              <w:bottom w:val="single" w:sz="8" w:space="0" w:color="auto"/>
              <w:right w:val="single" w:sz="8" w:space="0" w:color="auto"/>
            </w:tcBorders>
            <w:shd w:val="clear" w:color="auto" w:fill="auto"/>
            <w:noWrap/>
            <w:vAlign w:val="center"/>
            <w:hideMark/>
          </w:tcPr>
          <w:p w14:paraId="627AE791" w14:textId="09E9A019"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5.43 </w:t>
            </w:r>
          </w:p>
        </w:tc>
        <w:tc>
          <w:tcPr>
            <w:tcW w:w="1160" w:type="dxa"/>
            <w:tcBorders>
              <w:top w:val="single" w:sz="4" w:space="0" w:color="auto"/>
              <w:left w:val="nil"/>
              <w:bottom w:val="single" w:sz="8" w:space="0" w:color="auto"/>
              <w:right w:val="single" w:sz="8" w:space="0" w:color="auto"/>
            </w:tcBorders>
            <w:shd w:val="clear" w:color="auto" w:fill="auto"/>
            <w:noWrap/>
            <w:vAlign w:val="center"/>
            <w:hideMark/>
          </w:tcPr>
          <w:p w14:paraId="20129C11" w14:textId="62AF9986" w:rsidR="0004071A" w:rsidRPr="009A27ED" w:rsidRDefault="0004071A" w:rsidP="00D06968">
            <w:pPr>
              <w:spacing w:after="0"/>
              <w:jc w:val="left"/>
              <w:rPr>
                <w:rFonts w:eastAsia="Times New Roman"/>
                <w:color w:val="000000"/>
                <w:sz w:val="20"/>
                <w:szCs w:val="20"/>
              </w:rPr>
            </w:pPr>
          </w:p>
        </w:tc>
        <w:tc>
          <w:tcPr>
            <w:tcW w:w="1160" w:type="dxa"/>
            <w:tcBorders>
              <w:top w:val="single" w:sz="4" w:space="0" w:color="auto"/>
              <w:left w:val="nil"/>
              <w:bottom w:val="single" w:sz="8" w:space="0" w:color="auto"/>
              <w:right w:val="single" w:sz="8" w:space="0" w:color="auto"/>
            </w:tcBorders>
            <w:shd w:val="clear" w:color="auto" w:fill="auto"/>
            <w:noWrap/>
            <w:vAlign w:val="center"/>
            <w:hideMark/>
          </w:tcPr>
          <w:p w14:paraId="04F9EB5B" w14:textId="62DFF5B0" w:rsidR="0004071A" w:rsidRPr="009A27ED" w:rsidRDefault="0004071A" w:rsidP="00AB0F66">
            <w:pPr>
              <w:spacing w:after="0"/>
              <w:jc w:val="left"/>
              <w:rPr>
                <w:rFonts w:eastAsia="Times New Roman"/>
                <w:color w:val="000000"/>
                <w:sz w:val="20"/>
                <w:szCs w:val="20"/>
              </w:rPr>
            </w:pPr>
            <w:r w:rsidRPr="009A27ED">
              <w:rPr>
                <w:rFonts w:eastAsia="Times New Roman"/>
                <w:color w:val="000000"/>
                <w:sz w:val="20"/>
                <w:szCs w:val="20"/>
              </w:rPr>
              <w:t xml:space="preserve"> </w:t>
            </w:r>
            <w:r w:rsidR="00AB0F66" w:rsidRPr="009A27ED">
              <w:rPr>
                <w:rFonts w:eastAsia="Times New Roman"/>
                <w:color w:val="000000"/>
                <w:sz w:val="20"/>
                <w:szCs w:val="20"/>
              </w:rPr>
              <w:t xml:space="preserve">- </w:t>
            </w:r>
          </w:p>
        </w:tc>
        <w:tc>
          <w:tcPr>
            <w:tcW w:w="1180" w:type="dxa"/>
            <w:tcBorders>
              <w:top w:val="single" w:sz="4" w:space="0" w:color="auto"/>
              <w:left w:val="nil"/>
              <w:bottom w:val="single" w:sz="8" w:space="0" w:color="auto"/>
              <w:right w:val="single" w:sz="8" w:space="0" w:color="auto"/>
            </w:tcBorders>
            <w:shd w:val="clear" w:color="auto" w:fill="auto"/>
            <w:noWrap/>
            <w:vAlign w:val="center"/>
            <w:hideMark/>
          </w:tcPr>
          <w:p w14:paraId="02C6B7DC" w14:textId="2427A9FC"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9.13 </w:t>
            </w:r>
          </w:p>
        </w:tc>
      </w:tr>
      <w:tr w:rsidR="0004071A" w:rsidRPr="009A27ED" w14:paraId="6B1182B9" w14:textId="77777777" w:rsidTr="00D06968">
        <w:trPr>
          <w:trHeight w:val="358"/>
          <w:jc w:val="center"/>
        </w:trPr>
        <w:tc>
          <w:tcPr>
            <w:tcW w:w="6860" w:type="dxa"/>
            <w:tcBorders>
              <w:top w:val="nil"/>
              <w:left w:val="single" w:sz="4" w:space="0" w:color="auto"/>
              <w:bottom w:val="single" w:sz="4" w:space="0" w:color="auto"/>
              <w:right w:val="single" w:sz="4" w:space="0" w:color="auto"/>
            </w:tcBorders>
            <w:shd w:val="clear" w:color="auto" w:fill="auto"/>
            <w:vAlign w:val="center"/>
            <w:hideMark/>
          </w:tcPr>
          <w:p w14:paraId="309D0D0E"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Bosque húmedo de transición a bosque muy húmedo Subtropical</w:t>
            </w:r>
          </w:p>
        </w:tc>
        <w:tc>
          <w:tcPr>
            <w:tcW w:w="1280" w:type="dxa"/>
            <w:tcBorders>
              <w:top w:val="nil"/>
              <w:left w:val="single" w:sz="8" w:space="0" w:color="auto"/>
              <w:bottom w:val="single" w:sz="8" w:space="0" w:color="auto"/>
              <w:right w:val="nil"/>
            </w:tcBorders>
            <w:shd w:val="clear" w:color="auto" w:fill="auto"/>
            <w:noWrap/>
            <w:vAlign w:val="center"/>
            <w:hideMark/>
          </w:tcPr>
          <w:p w14:paraId="140A9C91" w14:textId="44E15693" w:rsidR="0004071A" w:rsidRPr="009A27ED" w:rsidRDefault="0004071A" w:rsidP="00AB0F66">
            <w:pPr>
              <w:spacing w:after="0"/>
              <w:jc w:val="left"/>
              <w:rPr>
                <w:rFonts w:eastAsia="Times New Roman"/>
                <w:color w:val="000000"/>
                <w:sz w:val="20"/>
                <w:szCs w:val="20"/>
              </w:rPr>
            </w:pPr>
            <w:r w:rsidRPr="009A27ED">
              <w:rPr>
                <w:rFonts w:eastAsia="Times New Roman"/>
                <w:color w:val="000000"/>
                <w:sz w:val="20"/>
                <w:szCs w:val="20"/>
              </w:rPr>
              <w:t xml:space="preserve"> 16.73 </w:t>
            </w:r>
          </w:p>
        </w:tc>
        <w:tc>
          <w:tcPr>
            <w:tcW w:w="1120" w:type="dxa"/>
            <w:tcBorders>
              <w:top w:val="nil"/>
              <w:left w:val="single" w:sz="8" w:space="0" w:color="auto"/>
              <w:bottom w:val="single" w:sz="8" w:space="0" w:color="auto"/>
              <w:right w:val="single" w:sz="8" w:space="0" w:color="auto"/>
            </w:tcBorders>
            <w:shd w:val="clear" w:color="auto" w:fill="auto"/>
            <w:noWrap/>
            <w:vAlign w:val="center"/>
            <w:hideMark/>
          </w:tcPr>
          <w:p w14:paraId="76252F47"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                  -   </w:t>
            </w:r>
          </w:p>
        </w:tc>
        <w:tc>
          <w:tcPr>
            <w:tcW w:w="1020" w:type="dxa"/>
            <w:tcBorders>
              <w:top w:val="nil"/>
              <w:left w:val="nil"/>
              <w:bottom w:val="single" w:sz="8" w:space="0" w:color="auto"/>
              <w:right w:val="single" w:sz="8" w:space="0" w:color="auto"/>
            </w:tcBorders>
            <w:shd w:val="clear" w:color="auto" w:fill="auto"/>
            <w:noWrap/>
            <w:vAlign w:val="center"/>
            <w:hideMark/>
          </w:tcPr>
          <w:p w14:paraId="0B93B760" w14:textId="13C325FD"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14.37 </w:t>
            </w:r>
          </w:p>
        </w:tc>
        <w:tc>
          <w:tcPr>
            <w:tcW w:w="1160" w:type="dxa"/>
            <w:tcBorders>
              <w:top w:val="nil"/>
              <w:left w:val="nil"/>
              <w:bottom w:val="single" w:sz="8" w:space="0" w:color="auto"/>
              <w:right w:val="single" w:sz="8" w:space="0" w:color="auto"/>
            </w:tcBorders>
            <w:shd w:val="clear" w:color="auto" w:fill="auto"/>
            <w:noWrap/>
            <w:vAlign w:val="center"/>
            <w:hideMark/>
          </w:tcPr>
          <w:p w14:paraId="3CEE85AA" w14:textId="4095138E"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14.31 </w:t>
            </w:r>
          </w:p>
        </w:tc>
        <w:tc>
          <w:tcPr>
            <w:tcW w:w="1160" w:type="dxa"/>
            <w:tcBorders>
              <w:top w:val="nil"/>
              <w:left w:val="nil"/>
              <w:bottom w:val="single" w:sz="8" w:space="0" w:color="auto"/>
              <w:right w:val="single" w:sz="8" w:space="0" w:color="auto"/>
            </w:tcBorders>
            <w:shd w:val="clear" w:color="auto" w:fill="auto"/>
            <w:noWrap/>
            <w:vAlign w:val="center"/>
            <w:hideMark/>
          </w:tcPr>
          <w:p w14:paraId="258A8F8B" w14:textId="321C14B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6.55 </w:t>
            </w:r>
          </w:p>
        </w:tc>
        <w:tc>
          <w:tcPr>
            <w:tcW w:w="1180" w:type="dxa"/>
            <w:tcBorders>
              <w:top w:val="nil"/>
              <w:left w:val="nil"/>
              <w:bottom w:val="single" w:sz="8" w:space="0" w:color="auto"/>
              <w:right w:val="single" w:sz="8" w:space="0" w:color="auto"/>
            </w:tcBorders>
            <w:shd w:val="clear" w:color="auto" w:fill="auto"/>
            <w:noWrap/>
            <w:vAlign w:val="center"/>
            <w:hideMark/>
          </w:tcPr>
          <w:p w14:paraId="4FB19798" w14:textId="7A537A0F"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51.95 </w:t>
            </w:r>
          </w:p>
        </w:tc>
      </w:tr>
      <w:tr w:rsidR="0004071A" w:rsidRPr="009A27ED" w14:paraId="778FC4C1" w14:textId="77777777" w:rsidTr="00D06968">
        <w:trPr>
          <w:trHeight w:val="315"/>
          <w:jc w:val="center"/>
        </w:trPr>
        <w:tc>
          <w:tcPr>
            <w:tcW w:w="6860" w:type="dxa"/>
            <w:tcBorders>
              <w:top w:val="nil"/>
              <w:left w:val="single" w:sz="4" w:space="0" w:color="auto"/>
              <w:bottom w:val="single" w:sz="4" w:space="0" w:color="auto"/>
              <w:right w:val="single" w:sz="4" w:space="0" w:color="auto"/>
            </w:tcBorders>
            <w:shd w:val="clear" w:color="auto" w:fill="auto"/>
            <w:noWrap/>
            <w:vAlign w:val="center"/>
            <w:hideMark/>
          </w:tcPr>
          <w:p w14:paraId="19D0F19D"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Bosque húmedo de transición a bosque seco Montano Bajo</w:t>
            </w:r>
          </w:p>
        </w:tc>
        <w:tc>
          <w:tcPr>
            <w:tcW w:w="1280" w:type="dxa"/>
            <w:tcBorders>
              <w:top w:val="nil"/>
              <w:left w:val="single" w:sz="8" w:space="0" w:color="auto"/>
              <w:bottom w:val="single" w:sz="8" w:space="0" w:color="auto"/>
              <w:right w:val="nil"/>
            </w:tcBorders>
            <w:shd w:val="clear" w:color="auto" w:fill="auto"/>
            <w:noWrap/>
            <w:vAlign w:val="center"/>
            <w:hideMark/>
          </w:tcPr>
          <w:p w14:paraId="7FD1D7FE"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                      -   </w:t>
            </w:r>
          </w:p>
        </w:tc>
        <w:tc>
          <w:tcPr>
            <w:tcW w:w="1120" w:type="dxa"/>
            <w:tcBorders>
              <w:top w:val="nil"/>
              <w:left w:val="single" w:sz="8" w:space="0" w:color="auto"/>
              <w:bottom w:val="single" w:sz="8" w:space="0" w:color="auto"/>
              <w:right w:val="single" w:sz="8" w:space="0" w:color="auto"/>
            </w:tcBorders>
            <w:shd w:val="clear" w:color="auto" w:fill="auto"/>
            <w:noWrap/>
            <w:vAlign w:val="center"/>
            <w:hideMark/>
          </w:tcPr>
          <w:p w14:paraId="305821D0"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                  -   </w:t>
            </w:r>
          </w:p>
        </w:tc>
        <w:tc>
          <w:tcPr>
            <w:tcW w:w="1020" w:type="dxa"/>
            <w:tcBorders>
              <w:top w:val="nil"/>
              <w:left w:val="nil"/>
              <w:bottom w:val="single" w:sz="8" w:space="0" w:color="auto"/>
              <w:right w:val="single" w:sz="8" w:space="0" w:color="auto"/>
            </w:tcBorders>
            <w:shd w:val="clear" w:color="auto" w:fill="auto"/>
            <w:noWrap/>
            <w:vAlign w:val="center"/>
            <w:hideMark/>
          </w:tcPr>
          <w:p w14:paraId="4015E9D3" w14:textId="6208EF0E"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6.20 </w:t>
            </w:r>
          </w:p>
        </w:tc>
        <w:tc>
          <w:tcPr>
            <w:tcW w:w="1160" w:type="dxa"/>
            <w:tcBorders>
              <w:top w:val="nil"/>
              <w:left w:val="nil"/>
              <w:bottom w:val="single" w:sz="8" w:space="0" w:color="auto"/>
              <w:right w:val="single" w:sz="8" w:space="0" w:color="auto"/>
            </w:tcBorders>
            <w:shd w:val="clear" w:color="auto" w:fill="auto"/>
            <w:noWrap/>
            <w:vAlign w:val="center"/>
            <w:hideMark/>
          </w:tcPr>
          <w:p w14:paraId="23B82583"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                   -   </w:t>
            </w:r>
          </w:p>
        </w:tc>
        <w:tc>
          <w:tcPr>
            <w:tcW w:w="1160" w:type="dxa"/>
            <w:tcBorders>
              <w:top w:val="nil"/>
              <w:left w:val="nil"/>
              <w:bottom w:val="single" w:sz="8" w:space="0" w:color="auto"/>
              <w:right w:val="single" w:sz="8" w:space="0" w:color="auto"/>
            </w:tcBorders>
            <w:shd w:val="clear" w:color="auto" w:fill="auto"/>
            <w:noWrap/>
            <w:vAlign w:val="center"/>
            <w:hideMark/>
          </w:tcPr>
          <w:p w14:paraId="6A83CE9B"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                   -   </w:t>
            </w:r>
          </w:p>
        </w:tc>
        <w:tc>
          <w:tcPr>
            <w:tcW w:w="1180" w:type="dxa"/>
            <w:tcBorders>
              <w:top w:val="nil"/>
              <w:left w:val="nil"/>
              <w:bottom w:val="single" w:sz="8" w:space="0" w:color="auto"/>
              <w:right w:val="single" w:sz="8" w:space="0" w:color="auto"/>
            </w:tcBorders>
            <w:shd w:val="clear" w:color="auto" w:fill="auto"/>
            <w:noWrap/>
            <w:vAlign w:val="center"/>
            <w:hideMark/>
          </w:tcPr>
          <w:p w14:paraId="5D99FD1A" w14:textId="6F7E7986"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6.20 </w:t>
            </w:r>
          </w:p>
        </w:tc>
      </w:tr>
      <w:tr w:rsidR="0004071A" w:rsidRPr="009A27ED" w14:paraId="5E648C80" w14:textId="77777777" w:rsidTr="00D06968">
        <w:trPr>
          <w:trHeight w:val="315"/>
          <w:jc w:val="center"/>
        </w:trPr>
        <w:tc>
          <w:tcPr>
            <w:tcW w:w="6860" w:type="dxa"/>
            <w:tcBorders>
              <w:top w:val="nil"/>
              <w:left w:val="single" w:sz="4" w:space="0" w:color="auto"/>
              <w:bottom w:val="single" w:sz="4" w:space="0" w:color="auto"/>
              <w:right w:val="single" w:sz="4" w:space="0" w:color="auto"/>
            </w:tcBorders>
            <w:shd w:val="clear" w:color="auto" w:fill="auto"/>
            <w:noWrap/>
            <w:vAlign w:val="center"/>
            <w:hideMark/>
          </w:tcPr>
          <w:p w14:paraId="617C190C"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Bosque húmedo de transición a bosque seco Subtropical</w:t>
            </w:r>
          </w:p>
        </w:tc>
        <w:tc>
          <w:tcPr>
            <w:tcW w:w="1280" w:type="dxa"/>
            <w:tcBorders>
              <w:top w:val="nil"/>
              <w:left w:val="single" w:sz="8" w:space="0" w:color="auto"/>
              <w:bottom w:val="single" w:sz="8" w:space="0" w:color="auto"/>
              <w:right w:val="nil"/>
            </w:tcBorders>
            <w:shd w:val="clear" w:color="auto" w:fill="auto"/>
            <w:noWrap/>
            <w:vAlign w:val="center"/>
            <w:hideMark/>
          </w:tcPr>
          <w:p w14:paraId="70D9C1CA"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                      -   </w:t>
            </w:r>
          </w:p>
        </w:tc>
        <w:tc>
          <w:tcPr>
            <w:tcW w:w="1120" w:type="dxa"/>
            <w:tcBorders>
              <w:top w:val="nil"/>
              <w:left w:val="single" w:sz="8" w:space="0" w:color="auto"/>
              <w:bottom w:val="single" w:sz="8" w:space="0" w:color="auto"/>
              <w:right w:val="single" w:sz="8" w:space="0" w:color="auto"/>
            </w:tcBorders>
            <w:shd w:val="clear" w:color="auto" w:fill="auto"/>
            <w:noWrap/>
            <w:vAlign w:val="center"/>
            <w:hideMark/>
          </w:tcPr>
          <w:p w14:paraId="6CEC59D1" w14:textId="0E61F456"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55.40 </w:t>
            </w:r>
          </w:p>
        </w:tc>
        <w:tc>
          <w:tcPr>
            <w:tcW w:w="1020" w:type="dxa"/>
            <w:tcBorders>
              <w:top w:val="nil"/>
              <w:left w:val="nil"/>
              <w:bottom w:val="single" w:sz="8" w:space="0" w:color="auto"/>
              <w:right w:val="single" w:sz="8" w:space="0" w:color="auto"/>
            </w:tcBorders>
            <w:shd w:val="clear" w:color="auto" w:fill="auto"/>
            <w:noWrap/>
            <w:vAlign w:val="center"/>
            <w:hideMark/>
          </w:tcPr>
          <w:p w14:paraId="423E9572" w14:textId="0BC7E32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21.12 </w:t>
            </w:r>
          </w:p>
        </w:tc>
        <w:tc>
          <w:tcPr>
            <w:tcW w:w="1160" w:type="dxa"/>
            <w:tcBorders>
              <w:top w:val="nil"/>
              <w:left w:val="nil"/>
              <w:bottom w:val="single" w:sz="8" w:space="0" w:color="auto"/>
              <w:right w:val="single" w:sz="8" w:space="0" w:color="auto"/>
            </w:tcBorders>
            <w:shd w:val="clear" w:color="auto" w:fill="auto"/>
            <w:noWrap/>
            <w:vAlign w:val="center"/>
            <w:hideMark/>
          </w:tcPr>
          <w:p w14:paraId="75F80D41" w14:textId="5EE73E50"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15.03 </w:t>
            </w:r>
          </w:p>
        </w:tc>
        <w:tc>
          <w:tcPr>
            <w:tcW w:w="1160" w:type="dxa"/>
            <w:tcBorders>
              <w:top w:val="nil"/>
              <w:left w:val="nil"/>
              <w:bottom w:val="single" w:sz="8" w:space="0" w:color="auto"/>
              <w:right w:val="single" w:sz="8" w:space="0" w:color="auto"/>
            </w:tcBorders>
            <w:shd w:val="clear" w:color="auto" w:fill="auto"/>
            <w:noWrap/>
            <w:vAlign w:val="center"/>
            <w:hideMark/>
          </w:tcPr>
          <w:p w14:paraId="48216475"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                   -   </w:t>
            </w:r>
          </w:p>
        </w:tc>
        <w:tc>
          <w:tcPr>
            <w:tcW w:w="1180" w:type="dxa"/>
            <w:tcBorders>
              <w:top w:val="nil"/>
              <w:left w:val="nil"/>
              <w:bottom w:val="single" w:sz="8" w:space="0" w:color="auto"/>
              <w:right w:val="single" w:sz="8" w:space="0" w:color="auto"/>
            </w:tcBorders>
            <w:shd w:val="clear" w:color="auto" w:fill="auto"/>
            <w:noWrap/>
            <w:vAlign w:val="center"/>
            <w:hideMark/>
          </w:tcPr>
          <w:p w14:paraId="4417C16F" w14:textId="684E704E"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91.54 </w:t>
            </w:r>
          </w:p>
        </w:tc>
      </w:tr>
      <w:tr w:rsidR="0004071A" w:rsidRPr="009A27ED" w14:paraId="5B173DE5" w14:textId="77777777" w:rsidTr="00D06968">
        <w:trPr>
          <w:trHeight w:val="315"/>
          <w:jc w:val="center"/>
        </w:trPr>
        <w:tc>
          <w:tcPr>
            <w:tcW w:w="6860" w:type="dxa"/>
            <w:tcBorders>
              <w:top w:val="nil"/>
              <w:left w:val="single" w:sz="4" w:space="0" w:color="auto"/>
              <w:bottom w:val="single" w:sz="4" w:space="0" w:color="auto"/>
              <w:right w:val="single" w:sz="4" w:space="0" w:color="auto"/>
            </w:tcBorders>
            <w:shd w:val="clear" w:color="auto" w:fill="auto"/>
            <w:vAlign w:val="center"/>
            <w:hideMark/>
          </w:tcPr>
          <w:p w14:paraId="526EE7C9"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Bosque húmedo Montano Bajo</w:t>
            </w:r>
          </w:p>
        </w:tc>
        <w:tc>
          <w:tcPr>
            <w:tcW w:w="1280" w:type="dxa"/>
            <w:tcBorders>
              <w:top w:val="nil"/>
              <w:left w:val="single" w:sz="8" w:space="0" w:color="auto"/>
              <w:bottom w:val="single" w:sz="8" w:space="0" w:color="auto"/>
              <w:right w:val="nil"/>
            </w:tcBorders>
            <w:shd w:val="clear" w:color="auto" w:fill="auto"/>
            <w:noWrap/>
            <w:vAlign w:val="center"/>
            <w:hideMark/>
          </w:tcPr>
          <w:p w14:paraId="03BEE955" w14:textId="3CC8FCEF"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164.50 </w:t>
            </w:r>
          </w:p>
        </w:tc>
        <w:tc>
          <w:tcPr>
            <w:tcW w:w="1120" w:type="dxa"/>
            <w:tcBorders>
              <w:top w:val="nil"/>
              <w:left w:val="single" w:sz="8" w:space="0" w:color="auto"/>
              <w:bottom w:val="single" w:sz="8" w:space="0" w:color="auto"/>
              <w:right w:val="single" w:sz="8" w:space="0" w:color="auto"/>
            </w:tcBorders>
            <w:shd w:val="clear" w:color="auto" w:fill="auto"/>
            <w:noWrap/>
            <w:vAlign w:val="center"/>
            <w:hideMark/>
          </w:tcPr>
          <w:p w14:paraId="4E0A1727" w14:textId="54E3A8A1"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154.77 </w:t>
            </w:r>
          </w:p>
        </w:tc>
        <w:tc>
          <w:tcPr>
            <w:tcW w:w="1020" w:type="dxa"/>
            <w:tcBorders>
              <w:top w:val="nil"/>
              <w:left w:val="nil"/>
              <w:bottom w:val="single" w:sz="8" w:space="0" w:color="auto"/>
              <w:right w:val="single" w:sz="8" w:space="0" w:color="auto"/>
            </w:tcBorders>
            <w:shd w:val="clear" w:color="auto" w:fill="auto"/>
            <w:noWrap/>
            <w:vAlign w:val="center"/>
            <w:hideMark/>
          </w:tcPr>
          <w:p w14:paraId="742712A0" w14:textId="7A882AEC"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1,847.43 </w:t>
            </w:r>
          </w:p>
        </w:tc>
        <w:tc>
          <w:tcPr>
            <w:tcW w:w="1160" w:type="dxa"/>
            <w:tcBorders>
              <w:top w:val="nil"/>
              <w:left w:val="nil"/>
              <w:bottom w:val="single" w:sz="8" w:space="0" w:color="auto"/>
              <w:right w:val="single" w:sz="8" w:space="0" w:color="auto"/>
            </w:tcBorders>
            <w:shd w:val="clear" w:color="auto" w:fill="auto"/>
            <w:noWrap/>
            <w:vAlign w:val="center"/>
            <w:hideMark/>
          </w:tcPr>
          <w:p w14:paraId="1A026DB4"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                   -   </w:t>
            </w:r>
          </w:p>
        </w:tc>
        <w:tc>
          <w:tcPr>
            <w:tcW w:w="1160" w:type="dxa"/>
            <w:tcBorders>
              <w:top w:val="nil"/>
              <w:left w:val="nil"/>
              <w:bottom w:val="single" w:sz="8" w:space="0" w:color="auto"/>
              <w:right w:val="single" w:sz="8" w:space="0" w:color="auto"/>
            </w:tcBorders>
            <w:shd w:val="clear" w:color="auto" w:fill="auto"/>
            <w:noWrap/>
            <w:vAlign w:val="center"/>
            <w:hideMark/>
          </w:tcPr>
          <w:p w14:paraId="6A374351"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                   -   </w:t>
            </w:r>
          </w:p>
        </w:tc>
        <w:tc>
          <w:tcPr>
            <w:tcW w:w="1180" w:type="dxa"/>
            <w:tcBorders>
              <w:top w:val="nil"/>
              <w:left w:val="nil"/>
              <w:bottom w:val="single" w:sz="8" w:space="0" w:color="auto"/>
              <w:right w:val="single" w:sz="8" w:space="0" w:color="auto"/>
            </w:tcBorders>
            <w:shd w:val="clear" w:color="auto" w:fill="auto"/>
            <w:noWrap/>
            <w:vAlign w:val="center"/>
            <w:hideMark/>
          </w:tcPr>
          <w:p w14:paraId="651E6BB7" w14:textId="24375A19"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2,166.69 </w:t>
            </w:r>
          </w:p>
        </w:tc>
      </w:tr>
      <w:tr w:rsidR="0004071A" w:rsidRPr="009A27ED" w14:paraId="5D9EDAAE" w14:textId="77777777" w:rsidTr="00D06968">
        <w:trPr>
          <w:trHeight w:val="315"/>
          <w:jc w:val="center"/>
        </w:trPr>
        <w:tc>
          <w:tcPr>
            <w:tcW w:w="6860" w:type="dxa"/>
            <w:tcBorders>
              <w:top w:val="nil"/>
              <w:left w:val="single" w:sz="4" w:space="0" w:color="auto"/>
              <w:bottom w:val="single" w:sz="4" w:space="0" w:color="auto"/>
              <w:right w:val="single" w:sz="4" w:space="0" w:color="auto"/>
            </w:tcBorders>
            <w:shd w:val="clear" w:color="auto" w:fill="auto"/>
            <w:vAlign w:val="center"/>
            <w:hideMark/>
          </w:tcPr>
          <w:p w14:paraId="25AE620B"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Bosque húmedo Subtropical</w:t>
            </w:r>
          </w:p>
        </w:tc>
        <w:tc>
          <w:tcPr>
            <w:tcW w:w="1280" w:type="dxa"/>
            <w:tcBorders>
              <w:top w:val="nil"/>
              <w:left w:val="single" w:sz="8" w:space="0" w:color="auto"/>
              <w:bottom w:val="single" w:sz="8" w:space="0" w:color="auto"/>
              <w:right w:val="nil"/>
            </w:tcBorders>
            <w:shd w:val="clear" w:color="auto" w:fill="auto"/>
            <w:noWrap/>
            <w:vAlign w:val="center"/>
            <w:hideMark/>
          </w:tcPr>
          <w:p w14:paraId="2DF41065" w14:textId="75295732"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1,417.33 </w:t>
            </w:r>
          </w:p>
        </w:tc>
        <w:tc>
          <w:tcPr>
            <w:tcW w:w="1120" w:type="dxa"/>
            <w:tcBorders>
              <w:top w:val="nil"/>
              <w:left w:val="single" w:sz="8" w:space="0" w:color="auto"/>
              <w:bottom w:val="single" w:sz="8" w:space="0" w:color="auto"/>
              <w:right w:val="single" w:sz="8" w:space="0" w:color="auto"/>
            </w:tcBorders>
            <w:shd w:val="clear" w:color="auto" w:fill="auto"/>
            <w:noWrap/>
            <w:vAlign w:val="center"/>
            <w:hideMark/>
          </w:tcPr>
          <w:p w14:paraId="0725C8B6" w14:textId="4D7DFB95"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769.66 </w:t>
            </w:r>
          </w:p>
        </w:tc>
        <w:tc>
          <w:tcPr>
            <w:tcW w:w="1020" w:type="dxa"/>
            <w:tcBorders>
              <w:top w:val="nil"/>
              <w:left w:val="nil"/>
              <w:bottom w:val="single" w:sz="8" w:space="0" w:color="auto"/>
              <w:right w:val="single" w:sz="8" w:space="0" w:color="auto"/>
            </w:tcBorders>
            <w:shd w:val="clear" w:color="auto" w:fill="auto"/>
            <w:noWrap/>
            <w:vAlign w:val="center"/>
            <w:hideMark/>
          </w:tcPr>
          <w:p w14:paraId="4F91B5AC" w14:textId="17A26EB6"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1,322.88 </w:t>
            </w:r>
          </w:p>
        </w:tc>
        <w:tc>
          <w:tcPr>
            <w:tcW w:w="1160" w:type="dxa"/>
            <w:tcBorders>
              <w:top w:val="nil"/>
              <w:left w:val="nil"/>
              <w:bottom w:val="single" w:sz="8" w:space="0" w:color="auto"/>
              <w:right w:val="single" w:sz="8" w:space="0" w:color="auto"/>
            </w:tcBorders>
            <w:shd w:val="clear" w:color="auto" w:fill="auto"/>
            <w:noWrap/>
            <w:vAlign w:val="center"/>
            <w:hideMark/>
          </w:tcPr>
          <w:p w14:paraId="23F3733C" w14:textId="7DB158A3"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765.32 </w:t>
            </w:r>
          </w:p>
        </w:tc>
        <w:tc>
          <w:tcPr>
            <w:tcW w:w="1160" w:type="dxa"/>
            <w:tcBorders>
              <w:top w:val="nil"/>
              <w:left w:val="nil"/>
              <w:bottom w:val="single" w:sz="8" w:space="0" w:color="auto"/>
              <w:right w:val="single" w:sz="8" w:space="0" w:color="auto"/>
            </w:tcBorders>
            <w:shd w:val="clear" w:color="auto" w:fill="auto"/>
            <w:noWrap/>
            <w:vAlign w:val="center"/>
            <w:hideMark/>
          </w:tcPr>
          <w:p w14:paraId="4D987FEA" w14:textId="533D9CB3"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1,270.49 </w:t>
            </w:r>
          </w:p>
        </w:tc>
        <w:tc>
          <w:tcPr>
            <w:tcW w:w="1180" w:type="dxa"/>
            <w:tcBorders>
              <w:top w:val="nil"/>
              <w:left w:val="nil"/>
              <w:bottom w:val="single" w:sz="8" w:space="0" w:color="auto"/>
              <w:right w:val="single" w:sz="8" w:space="0" w:color="auto"/>
            </w:tcBorders>
            <w:shd w:val="clear" w:color="auto" w:fill="FFFFFF" w:themeFill="background1"/>
            <w:noWrap/>
            <w:vAlign w:val="center"/>
            <w:hideMark/>
          </w:tcPr>
          <w:p w14:paraId="6E7019E8" w14:textId="059C2B81"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5,545.68 </w:t>
            </w:r>
          </w:p>
        </w:tc>
      </w:tr>
      <w:tr w:rsidR="0004071A" w:rsidRPr="009A27ED" w14:paraId="35B29EFD" w14:textId="77777777" w:rsidTr="00D06968">
        <w:trPr>
          <w:trHeight w:val="315"/>
          <w:jc w:val="center"/>
        </w:trPr>
        <w:tc>
          <w:tcPr>
            <w:tcW w:w="6860" w:type="dxa"/>
            <w:tcBorders>
              <w:top w:val="nil"/>
              <w:left w:val="single" w:sz="4" w:space="0" w:color="auto"/>
              <w:bottom w:val="single" w:sz="4" w:space="0" w:color="auto"/>
              <w:right w:val="single" w:sz="4" w:space="0" w:color="auto"/>
            </w:tcBorders>
            <w:shd w:val="clear" w:color="auto" w:fill="auto"/>
            <w:vAlign w:val="center"/>
            <w:hideMark/>
          </w:tcPr>
          <w:p w14:paraId="323839BA"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Bosque muy húmedo de transición a bosque pluvial Montano Bajo</w:t>
            </w:r>
          </w:p>
        </w:tc>
        <w:tc>
          <w:tcPr>
            <w:tcW w:w="1280" w:type="dxa"/>
            <w:tcBorders>
              <w:top w:val="nil"/>
              <w:left w:val="single" w:sz="8" w:space="0" w:color="auto"/>
              <w:bottom w:val="single" w:sz="8" w:space="0" w:color="auto"/>
              <w:right w:val="nil"/>
            </w:tcBorders>
            <w:shd w:val="clear" w:color="auto" w:fill="auto"/>
            <w:noWrap/>
            <w:vAlign w:val="center"/>
            <w:hideMark/>
          </w:tcPr>
          <w:p w14:paraId="320B595B" w14:textId="36669FA5"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0.32 </w:t>
            </w:r>
          </w:p>
        </w:tc>
        <w:tc>
          <w:tcPr>
            <w:tcW w:w="1120" w:type="dxa"/>
            <w:tcBorders>
              <w:top w:val="nil"/>
              <w:left w:val="single" w:sz="8" w:space="0" w:color="auto"/>
              <w:bottom w:val="single" w:sz="8" w:space="0" w:color="auto"/>
              <w:right w:val="single" w:sz="8" w:space="0" w:color="auto"/>
            </w:tcBorders>
            <w:shd w:val="clear" w:color="auto" w:fill="auto"/>
            <w:noWrap/>
            <w:vAlign w:val="center"/>
            <w:hideMark/>
          </w:tcPr>
          <w:p w14:paraId="786FC827" w14:textId="33148CB4"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5.17 </w:t>
            </w:r>
          </w:p>
        </w:tc>
        <w:tc>
          <w:tcPr>
            <w:tcW w:w="1020" w:type="dxa"/>
            <w:tcBorders>
              <w:top w:val="nil"/>
              <w:left w:val="nil"/>
              <w:bottom w:val="single" w:sz="8" w:space="0" w:color="auto"/>
              <w:right w:val="single" w:sz="8" w:space="0" w:color="auto"/>
            </w:tcBorders>
            <w:shd w:val="clear" w:color="auto" w:fill="auto"/>
            <w:noWrap/>
            <w:vAlign w:val="center"/>
            <w:hideMark/>
          </w:tcPr>
          <w:p w14:paraId="735E8709" w14:textId="4E0311B9"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8.99 </w:t>
            </w:r>
          </w:p>
        </w:tc>
        <w:tc>
          <w:tcPr>
            <w:tcW w:w="1160" w:type="dxa"/>
            <w:tcBorders>
              <w:top w:val="nil"/>
              <w:left w:val="nil"/>
              <w:bottom w:val="single" w:sz="8" w:space="0" w:color="auto"/>
              <w:right w:val="single" w:sz="8" w:space="0" w:color="auto"/>
            </w:tcBorders>
            <w:shd w:val="clear" w:color="auto" w:fill="auto"/>
            <w:noWrap/>
            <w:vAlign w:val="center"/>
            <w:hideMark/>
          </w:tcPr>
          <w:p w14:paraId="0C6F62AD"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                   -   </w:t>
            </w:r>
          </w:p>
        </w:tc>
        <w:tc>
          <w:tcPr>
            <w:tcW w:w="1160" w:type="dxa"/>
            <w:tcBorders>
              <w:top w:val="nil"/>
              <w:left w:val="nil"/>
              <w:bottom w:val="single" w:sz="8" w:space="0" w:color="auto"/>
              <w:right w:val="single" w:sz="8" w:space="0" w:color="auto"/>
            </w:tcBorders>
            <w:shd w:val="clear" w:color="auto" w:fill="auto"/>
            <w:noWrap/>
            <w:vAlign w:val="center"/>
            <w:hideMark/>
          </w:tcPr>
          <w:p w14:paraId="28294ACF"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                   -   </w:t>
            </w:r>
          </w:p>
        </w:tc>
        <w:tc>
          <w:tcPr>
            <w:tcW w:w="1180" w:type="dxa"/>
            <w:tcBorders>
              <w:top w:val="nil"/>
              <w:left w:val="nil"/>
              <w:bottom w:val="single" w:sz="8" w:space="0" w:color="auto"/>
              <w:right w:val="single" w:sz="8" w:space="0" w:color="auto"/>
            </w:tcBorders>
            <w:shd w:val="clear" w:color="auto" w:fill="auto"/>
            <w:noWrap/>
            <w:vAlign w:val="center"/>
            <w:hideMark/>
          </w:tcPr>
          <w:p w14:paraId="5327B75F" w14:textId="66CBCA16"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14.48 </w:t>
            </w:r>
          </w:p>
        </w:tc>
      </w:tr>
      <w:tr w:rsidR="0004071A" w:rsidRPr="009A27ED" w14:paraId="2B932BF8" w14:textId="77777777" w:rsidTr="00D06968">
        <w:trPr>
          <w:trHeight w:val="315"/>
          <w:jc w:val="center"/>
        </w:trPr>
        <w:tc>
          <w:tcPr>
            <w:tcW w:w="6860" w:type="dxa"/>
            <w:tcBorders>
              <w:top w:val="nil"/>
              <w:left w:val="single" w:sz="4" w:space="0" w:color="auto"/>
              <w:bottom w:val="single" w:sz="4" w:space="0" w:color="auto"/>
              <w:right w:val="single" w:sz="4" w:space="0" w:color="auto"/>
            </w:tcBorders>
            <w:shd w:val="clear" w:color="auto" w:fill="auto"/>
            <w:vAlign w:val="center"/>
            <w:hideMark/>
          </w:tcPr>
          <w:p w14:paraId="208A23D5"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Bosque muy húmedo Montano</w:t>
            </w:r>
          </w:p>
        </w:tc>
        <w:tc>
          <w:tcPr>
            <w:tcW w:w="1280" w:type="dxa"/>
            <w:tcBorders>
              <w:top w:val="nil"/>
              <w:left w:val="single" w:sz="8" w:space="0" w:color="auto"/>
              <w:bottom w:val="single" w:sz="8" w:space="0" w:color="auto"/>
              <w:right w:val="nil"/>
            </w:tcBorders>
            <w:shd w:val="clear" w:color="auto" w:fill="auto"/>
            <w:noWrap/>
            <w:vAlign w:val="center"/>
            <w:hideMark/>
          </w:tcPr>
          <w:p w14:paraId="6E8D66A3" w14:textId="22B49594"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83.08 </w:t>
            </w:r>
          </w:p>
        </w:tc>
        <w:tc>
          <w:tcPr>
            <w:tcW w:w="1120" w:type="dxa"/>
            <w:tcBorders>
              <w:top w:val="nil"/>
              <w:left w:val="single" w:sz="8" w:space="0" w:color="auto"/>
              <w:bottom w:val="single" w:sz="8" w:space="0" w:color="auto"/>
              <w:right w:val="single" w:sz="8" w:space="0" w:color="auto"/>
            </w:tcBorders>
            <w:shd w:val="clear" w:color="auto" w:fill="auto"/>
            <w:noWrap/>
            <w:vAlign w:val="center"/>
            <w:hideMark/>
          </w:tcPr>
          <w:p w14:paraId="41A76743"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w:t>
            </w:r>
          </w:p>
        </w:tc>
        <w:tc>
          <w:tcPr>
            <w:tcW w:w="1020" w:type="dxa"/>
            <w:tcBorders>
              <w:top w:val="nil"/>
              <w:left w:val="nil"/>
              <w:bottom w:val="single" w:sz="8" w:space="0" w:color="auto"/>
              <w:right w:val="single" w:sz="8" w:space="0" w:color="auto"/>
            </w:tcBorders>
            <w:shd w:val="clear" w:color="auto" w:fill="auto"/>
            <w:noWrap/>
            <w:vAlign w:val="center"/>
            <w:hideMark/>
          </w:tcPr>
          <w:p w14:paraId="4E314C7B" w14:textId="26A1A7F1"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181.92 </w:t>
            </w:r>
          </w:p>
        </w:tc>
        <w:tc>
          <w:tcPr>
            <w:tcW w:w="1160" w:type="dxa"/>
            <w:tcBorders>
              <w:top w:val="nil"/>
              <w:left w:val="nil"/>
              <w:bottom w:val="single" w:sz="8" w:space="0" w:color="auto"/>
              <w:right w:val="single" w:sz="8" w:space="0" w:color="auto"/>
            </w:tcBorders>
            <w:shd w:val="clear" w:color="auto" w:fill="auto"/>
            <w:noWrap/>
            <w:vAlign w:val="center"/>
            <w:hideMark/>
          </w:tcPr>
          <w:p w14:paraId="544FEE0A"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                   -   </w:t>
            </w:r>
          </w:p>
        </w:tc>
        <w:tc>
          <w:tcPr>
            <w:tcW w:w="1160" w:type="dxa"/>
            <w:tcBorders>
              <w:top w:val="nil"/>
              <w:left w:val="nil"/>
              <w:bottom w:val="single" w:sz="8" w:space="0" w:color="auto"/>
              <w:right w:val="single" w:sz="8" w:space="0" w:color="auto"/>
            </w:tcBorders>
            <w:shd w:val="clear" w:color="auto" w:fill="auto"/>
            <w:noWrap/>
            <w:vAlign w:val="center"/>
            <w:hideMark/>
          </w:tcPr>
          <w:p w14:paraId="196BC9EE"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                   -   </w:t>
            </w:r>
          </w:p>
        </w:tc>
        <w:tc>
          <w:tcPr>
            <w:tcW w:w="1180" w:type="dxa"/>
            <w:tcBorders>
              <w:top w:val="nil"/>
              <w:left w:val="nil"/>
              <w:bottom w:val="single" w:sz="8" w:space="0" w:color="auto"/>
              <w:right w:val="single" w:sz="8" w:space="0" w:color="auto"/>
            </w:tcBorders>
            <w:shd w:val="clear" w:color="auto" w:fill="auto"/>
            <w:noWrap/>
            <w:vAlign w:val="center"/>
            <w:hideMark/>
          </w:tcPr>
          <w:p w14:paraId="572E7033" w14:textId="1A075702"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265.00 </w:t>
            </w:r>
          </w:p>
        </w:tc>
      </w:tr>
      <w:tr w:rsidR="0004071A" w:rsidRPr="009A27ED" w14:paraId="79CB8402" w14:textId="77777777" w:rsidTr="00D06968">
        <w:trPr>
          <w:trHeight w:val="315"/>
          <w:jc w:val="center"/>
        </w:trPr>
        <w:tc>
          <w:tcPr>
            <w:tcW w:w="6860" w:type="dxa"/>
            <w:tcBorders>
              <w:top w:val="nil"/>
              <w:left w:val="single" w:sz="4" w:space="0" w:color="auto"/>
              <w:bottom w:val="single" w:sz="4" w:space="0" w:color="auto"/>
              <w:right w:val="single" w:sz="4" w:space="0" w:color="auto"/>
            </w:tcBorders>
            <w:shd w:val="clear" w:color="auto" w:fill="auto"/>
            <w:vAlign w:val="center"/>
            <w:hideMark/>
          </w:tcPr>
          <w:p w14:paraId="480AA1F5"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Bosque muy húmedo Montano Bajo</w:t>
            </w:r>
          </w:p>
        </w:tc>
        <w:tc>
          <w:tcPr>
            <w:tcW w:w="1280" w:type="dxa"/>
            <w:tcBorders>
              <w:top w:val="nil"/>
              <w:left w:val="single" w:sz="8" w:space="0" w:color="auto"/>
              <w:bottom w:val="single" w:sz="8" w:space="0" w:color="auto"/>
              <w:right w:val="nil"/>
            </w:tcBorders>
            <w:shd w:val="clear" w:color="auto" w:fill="auto"/>
            <w:noWrap/>
            <w:vAlign w:val="center"/>
            <w:hideMark/>
          </w:tcPr>
          <w:p w14:paraId="5AF41E2D" w14:textId="387E4FD3" w:rsidR="0004071A" w:rsidRPr="009A27ED" w:rsidRDefault="0004071A" w:rsidP="00AB0F66">
            <w:pPr>
              <w:spacing w:after="0"/>
              <w:jc w:val="left"/>
              <w:rPr>
                <w:rFonts w:eastAsia="Times New Roman"/>
                <w:color w:val="000000"/>
                <w:sz w:val="20"/>
                <w:szCs w:val="20"/>
              </w:rPr>
            </w:pPr>
            <w:r w:rsidRPr="009A27ED">
              <w:rPr>
                <w:rFonts w:eastAsia="Times New Roman"/>
                <w:color w:val="000000"/>
                <w:sz w:val="20"/>
                <w:szCs w:val="20"/>
              </w:rPr>
              <w:t xml:space="preserve">699.41 </w:t>
            </w:r>
          </w:p>
        </w:tc>
        <w:tc>
          <w:tcPr>
            <w:tcW w:w="1120" w:type="dxa"/>
            <w:tcBorders>
              <w:top w:val="nil"/>
              <w:left w:val="single" w:sz="8" w:space="0" w:color="auto"/>
              <w:bottom w:val="single" w:sz="8" w:space="0" w:color="auto"/>
              <w:right w:val="single" w:sz="8" w:space="0" w:color="auto"/>
            </w:tcBorders>
            <w:shd w:val="clear" w:color="auto" w:fill="auto"/>
            <w:noWrap/>
            <w:vAlign w:val="center"/>
            <w:hideMark/>
          </w:tcPr>
          <w:p w14:paraId="62368CF2" w14:textId="651F2616"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450.93 </w:t>
            </w:r>
          </w:p>
        </w:tc>
        <w:tc>
          <w:tcPr>
            <w:tcW w:w="1020" w:type="dxa"/>
            <w:tcBorders>
              <w:top w:val="nil"/>
              <w:left w:val="nil"/>
              <w:bottom w:val="single" w:sz="8" w:space="0" w:color="auto"/>
              <w:right w:val="single" w:sz="8" w:space="0" w:color="auto"/>
            </w:tcBorders>
            <w:shd w:val="clear" w:color="auto" w:fill="auto"/>
            <w:noWrap/>
            <w:vAlign w:val="center"/>
            <w:hideMark/>
          </w:tcPr>
          <w:p w14:paraId="61CA0FA1" w14:textId="2A7FC99A"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1,147.48 </w:t>
            </w:r>
          </w:p>
        </w:tc>
        <w:tc>
          <w:tcPr>
            <w:tcW w:w="1160" w:type="dxa"/>
            <w:tcBorders>
              <w:top w:val="nil"/>
              <w:left w:val="nil"/>
              <w:bottom w:val="single" w:sz="8" w:space="0" w:color="auto"/>
              <w:right w:val="single" w:sz="8" w:space="0" w:color="auto"/>
            </w:tcBorders>
            <w:shd w:val="clear" w:color="auto" w:fill="auto"/>
            <w:noWrap/>
            <w:vAlign w:val="center"/>
            <w:hideMark/>
          </w:tcPr>
          <w:p w14:paraId="1FC68D06"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                   -   </w:t>
            </w:r>
          </w:p>
        </w:tc>
        <w:tc>
          <w:tcPr>
            <w:tcW w:w="1160" w:type="dxa"/>
            <w:tcBorders>
              <w:top w:val="nil"/>
              <w:left w:val="nil"/>
              <w:bottom w:val="single" w:sz="8" w:space="0" w:color="auto"/>
              <w:right w:val="single" w:sz="8" w:space="0" w:color="auto"/>
            </w:tcBorders>
            <w:shd w:val="clear" w:color="auto" w:fill="auto"/>
            <w:noWrap/>
            <w:vAlign w:val="center"/>
            <w:hideMark/>
          </w:tcPr>
          <w:p w14:paraId="1F1CEA7C"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                   -   </w:t>
            </w:r>
          </w:p>
        </w:tc>
        <w:tc>
          <w:tcPr>
            <w:tcW w:w="1180" w:type="dxa"/>
            <w:tcBorders>
              <w:top w:val="nil"/>
              <w:left w:val="nil"/>
              <w:bottom w:val="single" w:sz="8" w:space="0" w:color="auto"/>
              <w:right w:val="single" w:sz="8" w:space="0" w:color="auto"/>
            </w:tcBorders>
            <w:shd w:val="clear" w:color="auto" w:fill="auto"/>
            <w:noWrap/>
            <w:vAlign w:val="center"/>
            <w:hideMark/>
          </w:tcPr>
          <w:p w14:paraId="335C5F94" w14:textId="4832AA26"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2,297.83 </w:t>
            </w:r>
          </w:p>
        </w:tc>
      </w:tr>
      <w:tr w:rsidR="0004071A" w:rsidRPr="009A27ED" w14:paraId="4F1D3A01" w14:textId="77777777" w:rsidTr="00D06968">
        <w:trPr>
          <w:trHeight w:val="315"/>
          <w:jc w:val="center"/>
        </w:trPr>
        <w:tc>
          <w:tcPr>
            <w:tcW w:w="6860" w:type="dxa"/>
            <w:tcBorders>
              <w:top w:val="nil"/>
              <w:left w:val="single" w:sz="4" w:space="0" w:color="auto"/>
              <w:bottom w:val="single" w:sz="4" w:space="0" w:color="auto"/>
              <w:right w:val="single" w:sz="4" w:space="0" w:color="auto"/>
            </w:tcBorders>
            <w:shd w:val="clear" w:color="auto" w:fill="auto"/>
            <w:vAlign w:val="center"/>
            <w:hideMark/>
          </w:tcPr>
          <w:p w14:paraId="0F94395D"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Bosque muy húmedo Subtropical</w:t>
            </w:r>
          </w:p>
        </w:tc>
        <w:tc>
          <w:tcPr>
            <w:tcW w:w="1280" w:type="dxa"/>
            <w:tcBorders>
              <w:top w:val="nil"/>
              <w:left w:val="single" w:sz="8" w:space="0" w:color="auto"/>
              <w:bottom w:val="single" w:sz="8" w:space="0" w:color="auto"/>
              <w:right w:val="nil"/>
            </w:tcBorders>
            <w:shd w:val="clear" w:color="auto" w:fill="auto"/>
            <w:noWrap/>
            <w:vAlign w:val="center"/>
            <w:hideMark/>
          </w:tcPr>
          <w:p w14:paraId="44696958" w14:textId="4EE9C1C2"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615.15 </w:t>
            </w:r>
          </w:p>
        </w:tc>
        <w:tc>
          <w:tcPr>
            <w:tcW w:w="1120" w:type="dxa"/>
            <w:tcBorders>
              <w:top w:val="nil"/>
              <w:left w:val="single" w:sz="8" w:space="0" w:color="auto"/>
              <w:bottom w:val="single" w:sz="8" w:space="0" w:color="auto"/>
              <w:right w:val="single" w:sz="8" w:space="0" w:color="auto"/>
            </w:tcBorders>
            <w:shd w:val="clear" w:color="auto" w:fill="auto"/>
            <w:noWrap/>
            <w:vAlign w:val="center"/>
            <w:hideMark/>
          </w:tcPr>
          <w:p w14:paraId="1AFB3687" w14:textId="4C80A4CA"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165.38 </w:t>
            </w:r>
          </w:p>
        </w:tc>
        <w:tc>
          <w:tcPr>
            <w:tcW w:w="1020" w:type="dxa"/>
            <w:tcBorders>
              <w:top w:val="nil"/>
              <w:left w:val="nil"/>
              <w:bottom w:val="single" w:sz="8" w:space="0" w:color="auto"/>
              <w:right w:val="single" w:sz="8" w:space="0" w:color="auto"/>
            </w:tcBorders>
            <w:shd w:val="clear" w:color="auto" w:fill="auto"/>
            <w:noWrap/>
            <w:vAlign w:val="center"/>
            <w:hideMark/>
          </w:tcPr>
          <w:p w14:paraId="32679F8D" w14:textId="6929929C"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118.48 </w:t>
            </w:r>
          </w:p>
        </w:tc>
        <w:tc>
          <w:tcPr>
            <w:tcW w:w="1160" w:type="dxa"/>
            <w:tcBorders>
              <w:top w:val="nil"/>
              <w:left w:val="nil"/>
              <w:bottom w:val="single" w:sz="8" w:space="0" w:color="auto"/>
              <w:right w:val="single" w:sz="8" w:space="0" w:color="auto"/>
            </w:tcBorders>
            <w:shd w:val="clear" w:color="auto" w:fill="auto"/>
            <w:noWrap/>
            <w:vAlign w:val="center"/>
            <w:hideMark/>
          </w:tcPr>
          <w:p w14:paraId="4C60BB24" w14:textId="31D1EE48"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658.90 </w:t>
            </w:r>
          </w:p>
        </w:tc>
        <w:tc>
          <w:tcPr>
            <w:tcW w:w="1160" w:type="dxa"/>
            <w:tcBorders>
              <w:top w:val="nil"/>
              <w:left w:val="nil"/>
              <w:bottom w:val="single" w:sz="8" w:space="0" w:color="auto"/>
              <w:right w:val="single" w:sz="8" w:space="0" w:color="auto"/>
            </w:tcBorders>
            <w:shd w:val="clear" w:color="auto" w:fill="auto"/>
            <w:noWrap/>
            <w:vAlign w:val="center"/>
            <w:hideMark/>
          </w:tcPr>
          <w:p w14:paraId="35F82287" w14:textId="6F639121"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1,020.31 </w:t>
            </w:r>
          </w:p>
        </w:tc>
        <w:tc>
          <w:tcPr>
            <w:tcW w:w="1180" w:type="dxa"/>
            <w:tcBorders>
              <w:top w:val="nil"/>
              <w:left w:val="nil"/>
              <w:bottom w:val="single" w:sz="8" w:space="0" w:color="auto"/>
              <w:right w:val="single" w:sz="8" w:space="0" w:color="auto"/>
            </w:tcBorders>
            <w:shd w:val="clear" w:color="auto" w:fill="auto"/>
            <w:noWrap/>
            <w:vAlign w:val="center"/>
            <w:hideMark/>
          </w:tcPr>
          <w:p w14:paraId="0B5175B4" w14:textId="0149C990"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2,578.22 </w:t>
            </w:r>
          </w:p>
        </w:tc>
      </w:tr>
      <w:tr w:rsidR="0004071A" w:rsidRPr="009A27ED" w14:paraId="105BA87F" w14:textId="77777777" w:rsidTr="00D06968">
        <w:trPr>
          <w:trHeight w:val="315"/>
          <w:jc w:val="center"/>
        </w:trPr>
        <w:tc>
          <w:tcPr>
            <w:tcW w:w="6860" w:type="dxa"/>
            <w:tcBorders>
              <w:top w:val="nil"/>
              <w:left w:val="single" w:sz="4" w:space="0" w:color="auto"/>
              <w:bottom w:val="single" w:sz="4" w:space="0" w:color="auto"/>
              <w:right w:val="single" w:sz="4" w:space="0" w:color="auto"/>
            </w:tcBorders>
            <w:shd w:val="clear" w:color="auto" w:fill="auto"/>
            <w:noWrap/>
            <w:vAlign w:val="center"/>
            <w:hideMark/>
          </w:tcPr>
          <w:p w14:paraId="2F471A5F"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Bosque pluvial Subtropical</w:t>
            </w:r>
          </w:p>
        </w:tc>
        <w:tc>
          <w:tcPr>
            <w:tcW w:w="1280" w:type="dxa"/>
            <w:tcBorders>
              <w:top w:val="nil"/>
              <w:left w:val="single" w:sz="8" w:space="0" w:color="auto"/>
              <w:bottom w:val="single" w:sz="8" w:space="0" w:color="auto"/>
              <w:right w:val="nil"/>
            </w:tcBorders>
            <w:shd w:val="clear" w:color="auto" w:fill="auto"/>
            <w:noWrap/>
            <w:vAlign w:val="center"/>
            <w:hideMark/>
          </w:tcPr>
          <w:p w14:paraId="55CB7877"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                      -   </w:t>
            </w:r>
          </w:p>
        </w:tc>
        <w:tc>
          <w:tcPr>
            <w:tcW w:w="1120" w:type="dxa"/>
            <w:tcBorders>
              <w:top w:val="nil"/>
              <w:left w:val="single" w:sz="8" w:space="0" w:color="auto"/>
              <w:bottom w:val="single" w:sz="8" w:space="0" w:color="auto"/>
              <w:right w:val="single" w:sz="8" w:space="0" w:color="auto"/>
            </w:tcBorders>
            <w:shd w:val="clear" w:color="auto" w:fill="auto"/>
            <w:noWrap/>
            <w:vAlign w:val="center"/>
            <w:hideMark/>
          </w:tcPr>
          <w:p w14:paraId="79D951C8"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w:t>
            </w:r>
          </w:p>
        </w:tc>
        <w:tc>
          <w:tcPr>
            <w:tcW w:w="1020" w:type="dxa"/>
            <w:tcBorders>
              <w:top w:val="nil"/>
              <w:left w:val="nil"/>
              <w:bottom w:val="single" w:sz="8" w:space="0" w:color="auto"/>
              <w:right w:val="single" w:sz="8" w:space="0" w:color="auto"/>
            </w:tcBorders>
            <w:shd w:val="clear" w:color="auto" w:fill="auto"/>
            <w:noWrap/>
            <w:vAlign w:val="center"/>
            <w:hideMark/>
          </w:tcPr>
          <w:p w14:paraId="21235CB8"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                -   </w:t>
            </w:r>
          </w:p>
        </w:tc>
        <w:tc>
          <w:tcPr>
            <w:tcW w:w="1160" w:type="dxa"/>
            <w:tcBorders>
              <w:top w:val="nil"/>
              <w:left w:val="nil"/>
              <w:bottom w:val="single" w:sz="8" w:space="0" w:color="auto"/>
              <w:right w:val="single" w:sz="8" w:space="0" w:color="auto"/>
            </w:tcBorders>
            <w:shd w:val="clear" w:color="auto" w:fill="auto"/>
            <w:noWrap/>
            <w:vAlign w:val="center"/>
            <w:hideMark/>
          </w:tcPr>
          <w:p w14:paraId="64A8CA72" w14:textId="60C92CFD"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7.53 </w:t>
            </w:r>
          </w:p>
        </w:tc>
        <w:tc>
          <w:tcPr>
            <w:tcW w:w="1160" w:type="dxa"/>
            <w:tcBorders>
              <w:top w:val="nil"/>
              <w:left w:val="nil"/>
              <w:bottom w:val="single" w:sz="8" w:space="0" w:color="auto"/>
              <w:right w:val="single" w:sz="8" w:space="0" w:color="auto"/>
            </w:tcBorders>
            <w:shd w:val="clear" w:color="auto" w:fill="auto"/>
            <w:noWrap/>
            <w:vAlign w:val="center"/>
            <w:hideMark/>
          </w:tcPr>
          <w:p w14:paraId="3A6B5BD2"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w:t>
            </w:r>
          </w:p>
        </w:tc>
        <w:tc>
          <w:tcPr>
            <w:tcW w:w="1180" w:type="dxa"/>
            <w:tcBorders>
              <w:top w:val="nil"/>
              <w:left w:val="nil"/>
              <w:bottom w:val="single" w:sz="8" w:space="0" w:color="auto"/>
              <w:right w:val="single" w:sz="8" w:space="0" w:color="auto"/>
            </w:tcBorders>
            <w:shd w:val="clear" w:color="auto" w:fill="auto"/>
            <w:noWrap/>
            <w:vAlign w:val="center"/>
            <w:hideMark/>
          </w:tcPr>
          <w:p w14:paraId="43AE4A0D" w14:textId="66E5C91D" w:rsidR="0004071A" w:rsidRPr="009A27ED" w:rsidRDefault="0004071A" w:rsidP="00AB0F66">
            <w:pPr>
              <w:spacing w:after="0"/>
              <w:jc w:val="left"/>
              <w:rPr>
                <w:rFonts w:eastAsia="Times New Roman"/>
                <w:color w:val="000000"/>
                <w:sz w:val="20"/>
                <w:szCs w:val="20"/>
              </w:rPr>
            </w:pPr>
            <w:r w:rsidRPr="009A27ED">
              <w:rPr>
                <w:rFonts w:eastAsia="Times New Roman"/>
                <w:color w:val="000000"/>
                <w:sz w:val="20"/>
                <w:szCs w:val="20"/>
              </w:rPr>
              <w:t xml:space="preserve">7.53 </w:t>
            </w:r>
          </w:p>
        </w:tc>
      </w:tr>
      <w:tr w:rsidR="0004071A" w:rsidRPr="009A27ED" w14:paraId="7DA8575C" w14:textId="77777777" w:rsidTr="00D06968">
        <w:trPr>
          <w:trHeight w:val="315"/>
          <w:jc w:val="center"/>
        </w:trPr>
        <w:tc>
          <w:tcPr>
            <w:tcW w:w="6860" w:type="dxa"/>
            <w:tcBorders>
              <w:top w:val="nil"/>
              <w:left w:val="single" w:sz="4" w:space="0" w:color="auto"/>
              <w:bottom w:val="single" w:sz="4" w:space="0" w:color="auto"/>
              <w:right w:val="single" w:sz="4" w:space="0" w:color="auto"/>
            </w:tcBorders>
            <w:shd w:val="clear" w:color="auto" w:fill="auto"/>
            <w:noWrap/>
            <w:vAlign w:val="center"/>
            <w:hideMark/>
          </w:tcPr>
          <w:p w14:paraId="275BC676"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Bosque pluvial Montano Bajo</w:t>
            </w:r>
          </w:p>
        </w:tc>
        <w:tc>
          <w:tcPr>
            <w:tcW w:w="1280" w:type="dxa"/>
            <w:tcBorders>
              <w:top w:val="nil"/>
              <w:left w:val="single" w:sz="8" w:space="0" w:color="auto"/>
              <w:bottom w:val="single" w:sz="8" w:space="0" w:color="auto"/>
              <w:right w:val="nil"/>
            </w:tcBorders>
            <w:shd w:val="clear" w:color="auto" w:fill="auto"/>
            <w:noWrap/>
            <w:vAlign w:val="center"/>
            <w:hideMark/>
          </w:tcPr>
          <w:p w14:paraId="06D96ACC"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                      -   </w:t>
            </w:r>
          </w:p>
        </w:tc>
        <w:tc>
          <w:tcPr>
            <w:tcW w:w="1120" w:type="dxa"/>
            <w:tcBorders>
              <w:top w:val="nil"/>
              <w:left w:val="single" w:sz="8" w:space="0" w:color="auto"/>
              <w:bottom w:val="single" w:sz="8" w:space="0" w:color="auto"/>
              <w:right w:val="single" w:sz="8" w:space="0" w:color="auto"/>
            </w:tcBorders>
            <w:shd w:val="clear" w:color="auto" w:fill="auto"/>
            <w:noWrap/>
            <w:vAlign w:val="center"/>
            <w:hideMark/>
          </w:tcPr>
          <w:p w14:paraId="5DE2C3FD"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w:t>
            </w:r>
          </w:p>
        </w:tc>
        <w:tc>
          <w:tcPr>
            <w:tcW w:w="1020" w:type="dxa"/>
            <w:tcBorders>
              <w:top w:val="nil"/>
              <w:left w:val="nil"/>
              <w:bottom w:val="single" w:sz="8" w:space="0" w:color="auto"/>
              <w:right w:val="single" w:sz="8" w:space="0" w:color="auto"/>
            </w:tcBorders>
            <w:shd w:val="clear" w:color="auto" w:fill="auto"/>
            <w:noWrap/>
            <w:vAlign w:val="center"/>
            <w:hideMark/>
          </w:tcPr>
          <w:p w14:paraId="5F859D5F" w14:textId="3A415AB5" w:rsidR="0004071A" w:rsidRPr="009A27ED" w:rsidRDefault="0004071A" w:rsidP="00AB0F66">
            <w:pPr>
              <w:spacing w:after="0"/>
              <w:jc w:val="left"/>
              <w:rPr>
                <w:rFonts w:eastAsia="Times New Roman"/>
                <w:color w:val="000000"/>
                <w:sz w:val="20"/>
                <w:szCs w:val="20"/>
              </w:rPr>
            </w:pPr>
            <w:r w:rsidRPr="009A27ED">
              <w:rPr>
                <w:rFonts w:eastAsia="Times New Roman"/>
                <w:color w:val="000000"/>
                <w:sz w:val="20"/>
                <w:szCs w:val="20"/>
              </w:rPr>
              <w:t xml:space="preserve">27.38 </w:t>
            </w:r>
          </w:p>
        </w:tc>
        <w:tc>
          <w:tcPr>
            <w:tcW w:w="1160" w:type="dxa"/>
            <w:tcBorders>
              <w:top w:val="nil"/>
              <w:left w:val="nil"/>
              <w:bottom w:val="single" w:sz="8" w:space="0" w:color="auto"/>
              <w:right w:val="single" w:sz="8" w:space="0" w:color="auto"/>
            </w:tcBorders>
            <w:shd w:val="clear" w:color="auto" w:fill="auto"/>
            <w:noWrap/>
            <w:vAlign w:val="center"/>
            <w:hideMark/>
          </w:tcPr>
          <w:p w14:paraId="23F324E6"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                   -   </w:t>
            </w:r>
          </w:p>
        </w:tc>
        <w:tc>
          <w:tcPr>
            <w:tcW w:w="1160" w:type="dxa"/>
            <w:tcBorders>
              <w:top w:val="nil"/>
              <w:left w:val="nil"/>
              <w:bottom w:val="single" w:sz="8" w:space="0" w:color="auto"/>
              <w:right w:val="single" w:sz="8" w:space="0" w:color="auto"/>
            </w:tcBorders>
            <w:shd w:val="clear" w:color="auto" w:fill="auto"/>
            <w:noWrap/>
            <w:vAlign w:val="center"/>
            <w:hideMark/>
          </w:tcPr>
          <w:p w14:paraId="41DB47CC"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                   -   </w:t>
            </w:r>
          </w:p>
        </w:tc>
        <w:tc>
          <w:tcPr>
            <w:tcW w:w="1180" w:type="dxa"/>
            <w:tcBorders>
              <w:top w:val="nil"/>
              <w:left w:val="nil"/>
              <w:bottom w:val="single" w:sz="8" w:space="0" w:color="auto"/>
              <w:right w:val="single" w:sz="8" w:space="0" w:color="auto"/>
            </w:tcBorders>
            <w:shd w:val="clear" w:color="auto" w:fill="auto"/>
            <w:noWrap/>
            <w:vAlign w:val="center"/>
            <w:hideMark/>
          </w:tcPr>
          <w:p w14:paraId="145E3873" w14:textId="30E3AAA4" w:rsidR="0004071A" w:rsidRPr="009A27ED" w:rsidRDefault="0004071A" w:rsidP="00AB0F66">
            <w:pPr>
              <w:spacing w:after="0"/>
              <w:jc w:val="left"/>
              <w:rPr>
                <w:rFonts w:eastAsia="Times New Roman"/>
                <w:color w:val="000000"/>
                <w:sz w:val="20"/>
                <w:szCs w:val="20"/>
              </w:rPr>
            </w:pPr>
            <w:r w:rsidRPr="009A27ED">
              <w:rPr>
                <w:rFonts w:eastAsia="Times New Roman"/>
                <w:color w:val="000000"/>
                <w:sz w:val="20"/>
                <w:szCs w:val="20"/>
              </w:rPr>
              <w:t xml:space="preserve">27.38 </w:t>
            </w:r>
          </w:p>
        </w:tc>
      </w:tr>
      <w:tr w:rsidR="0004071A" w:rsidRPr="009A27ED" w14:paraId="06B12AFF" w14:textId="77777777" w:rsidTr="00D06968">
        <w:trPr>
          <w:trHeight w:val="315"/>
          <w:jc w:val="center"/>
        </w:trPr>
        <w:tc>
          <w:tcPr>
            <w:tcW w:w="6860" w:type="dxa"/>
            <w:tcBorders>
              <w:top w:val="nil"/>
              <w:left w:val="single" w:sz="4" w:space="0" w:color="auto"/>
              <w:bottom w:val="single" w:sz="4" w:space="0" w:color="auto"/>
              <w:right w:val="single" w:sz="4" w:space="0" w:color="auto"/>
            </w:tcBorders>
            <w:shd w:val="clear" w:color="auto" w:fill="auto"/>
            <w:noWrap/>
            <w:vAlign w:val="center"/>
            <w:hideMark/>
          </w:tcPr>
          <w:p w14:paraId="3E2C5E7B" w14:textId="6E559B9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Bosque seco de transici</w:t>
            </w:r>
            <w:r w:rsidR="004B7076" w:rsidRPr="009A27ED">
              <w:rPr>
                <w:rFonts w:eastAsia="Times New Roman"/>
                <w:color w:val="000000"/>
                <w:sz w:val="20"/>
                <w:szCs w:val="20"/>
              </w:rPr>
              <w:t>ó</w:t>
            </w:r>
            <w:r w:rsidRPr="009A27ED">
              <w:rPr>
                <w:rFonts w:eastAsia="Times New Roman"/>
                <w:color w:val="000000"/>
                <w:sz w:val="20"/>
                <w:szCs w:val="20"/>
              </w:rPr>
              <w:t>n a bosque húmedo Subtropical</w:t>
            </w:r>
          </w:p>
        </w:tc>
        <w:tc>
          <w:tcPr>
            <w:tcW w:w="1280" w:type="dxa"/>
            <w:tcBorders>
              <w:top w:val="nil"/>
              <w:left w:val="single" w:sz="8" w:space="0" w:color="auto"/>
              <w:bottom w:val="single" w:sz="8" w:space="0" w:color="auto"/>
              <w:right w:val="nil"/>
            </w:tcBorders>
            <w:shd w:val="clear" w:color="auto" w:fill="auto"/>
            <w:noWrap/>
            <w:vAlign w:val="center"/>
            <w:hideMark/>
          </w:tcPr>
          <w:p w14:paraId="47316A7A"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                      -   </w:t>
            </w:r>
          </w:p>
        </w:tc>
        <w:tc>
          <w:tcPr>
            <w:tcW w:w="1120" w:type="dxa"/>
            <w:tcBorders>
              <w:top w:val="nil"/>
              <w:left w:val="single" w:sz="8" w:space="0" w:color="auto"/>
              <w:bottom w:val="single" w:sz="8" w:space="0" w:color="auto"/>
              <w:right w:val="single" w:sz="8" w:space="0" w:color="auto"/>
            </w:tcBorders>
            <w:shd w:val="clear" w:color="auto" w:fill="auto"/>
            <w:noWrap/>
            <w:vAlign w:val="center"/>
            <w:hideMark/>
          </w:tcPr>
          <w:p w14:paraId="4DCEA356"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w:t>
            </w:r>
          </w:p>
        </w:tc>
        <w:tc>
          <w:tcPr>
            <w:tcW w:w="1020" w:type="dxa"/>
            <w:tcBorders>
              <w:top w:val="nil"/>
              <w:left w:val="nil"/>
              <w:bottom w:val="single" w:sz="8" w:space="0" w:color="auto"/>
              <w:right w:val="single" w:sz="8" w:space="0" w:color="auto"/>
            </w:tcBorders>
            <w:shd w:val="clear" w:color="auto" w:fill="auto"/>
            <w:noWrap/>
            <w:vAlign w:val="center"/>
            <w:hideMark/>
          </w:tcPr>
          <w:p w14:paraId="0B5CEBFE" w14:textId="7841AFA3"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11.02 </w:t>
            </w:r>
          </w:p>
        </w:tc>
        <w:tc>
          <w:tcPr>
            <w:tcW w:w="1160" w:type="dxa"/>
            <w:tcBorders>
              <w:top w:val="nil"/>
              <w:left w:val="nil"/>
              <w:bottom w:val="single" w:sz="8" w:space="0" w:color="auto"/>
              <w:right w:val="single" w:sz="8" w:space="0" w:color="auto"/>
            </w:tcBorders>
            <w:shd w:val="clear" w:color="auto" w:fill="auto"/>
            <w:noWrap/>
            <w:vAlign w:val="center"/>
            <w:hideMark/>
          </w:tcPr>
          <w:p w14:paraId="06D62946"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                   -   </w:t>
            </w:r>
          </w:p>
        </w:tc>
        <w:tc>
          <w:tcPr>
            <w:tcW w:w="1160" w:type="dxa"/>
            <w:tcBorders>
              <w:top w:val="nil"/>
              <w:left w:val="nil"/>
              <w:bottom w:val="single" w:sz="8" w:space="0" w:color="auto"/>
              <w:right w:val="single" w:sz="8" w:space="0" w:color="auto"/>
            </w:tcBorders>
            <w:shd w:val="clear" w:color="auto" w:fill="auto"/>
            <w:noWrap/>
            <w:vAlign w:val="center"/>
            <w:hideMark/>
          </w:tcPr>
          <w:p w14:paraId="60FA062B"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                   -   </w:t>
            </w:r>
          </w:p>
        </w:tc>
        <w:tc>
          <w:tcPr>
            <w:tcW w:w="1180" w:type="dxa"/>
            <w:tcBorders>
              <w:top w:val="nil"/>
              <w:left w:val="nil"/>
              <w:bottom w:val="single" w:sz="8" w:space="0" w:color="auto"/>
              <w:right w:val="single" w:sz="8" w:space="0" w:color="auto"/>
            </w:tcBorders>
            <w:shd w:val="clear" w:color="auto" w:fill="auto"/>
            <w:noWrap/>
            <w:vAlign w:val="center"/>
            <w:hideMark/>
          </w:tcPr>
          <w:p w14:paraId="72CB921C" w14:textId="0AFBF0E9"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11.02 </w:t>
            </w:r>
          </w:p>
        </w:tc>
      </w:tr>
      <w:tr w:rsidR="0004071A" w:rsidRPr="009A27ED" w14:paraId="09530000" w14:textId="77777777" w:rsidTr="00D06968">
        <w:trPr>
          <w:trHeight w:val="315"/>
          <w:jc w:val="center"/>
        </w:trPr>
        <w:tc>
          <w:tcPr>
            <w:tcW w:w="6860" w:type="dxa"/>
            <w:tcBorders>
              <w:top w:val="nil"/>
              <w:left w:val="single" w:sz="4" w:space="0" w:color="auto"/>
              <w:bottom w:val="single" w:sz="4" w:space="0" w:color="auto"/>
              <w:right w:val="single" w:sz="4" w:space="0" w:color="auto"/>
            </w:tcBorders>
            <w:shd w:val="clear" w:color="auto" w:fill="auto"/>
            <w:vAlign w:val="center"/>
            <w:hideMark/>
          </w:tcPr>
          <w:p w14:paraId="55CB1EA0"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Bosque seco Subtropical</w:t>
            </w:r>
          </w:p>
        </w:tc>
        <w:tc>
          <w:tcPr>
            <w:tcW w:w="1280" w:type="dxa"/>
            <w:tcBorders>
              <w:top w:val="nil"/>
              <w:left w:val="single" w:sz="8" w:space="0" w:color="auto"/>
              <w:bottom w:val="single" w:sz="8" w:space="0" w:color="auto"/>
              <w:right w:val="nil"/>
            </w:tcBorders>
            <w:shd w:val="clear" w:color="auto" w:fill="auto"/>
            <w:noWrap/>
            <w:vAlign w:val="center"/>
            <w:hideMark/>
          </w:tcPr>
          <w:p w14:paraId="6C62BD7C" w14:textId="6420EC0E"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246.52 </w:t>
            </w:r>
          </w:p>
        </w:tc>
        <w:tc>
          <w:tcPr>
            <w:tcW w:w="1120" w:type="dxa"/>
            <w:tcBorders>
              <w:top w:val="nil"/>
              <w:left w:val="single" w:sz="8" w:space="0" w:color="auto"/>
              <w:bottom w:val="single" w:sz="8" w:space="0" w:color="auto"/>
              <w:right w:val="single" w:sz="8" w:space="0" w:color="auto"/>
            </w:tcBorders>
            <w:shd w:val="clear" w:color="auto" w:fill="auto"/>
            <w:noWrap/>
            <w:vAlign w:val="center"/>
            <w:hideMark/>
          </w:tcPr>
          <w:p w14:paraId="230C2453" w14:textId="3888C020"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380.97 </w:t>
            </w:r>
          </w:p>
        </w:tc>
        <w:tc>
          <w:tcPr>
            <w:tcW w:w="1020" w:type="dxa"/>
            <w:tcBorders>
              <w:top w:val="nil"/>
              <w:left w:val="nil"/>
              <w:bottom w:val="single" w:sz="8" w:space="0" w:color="auto"/>
              <w:right w:val="single" w:sz="8" w:space="0" w:color="auto"/>
            </w:tcBorders>
            <w:shd w:val="clear" w:color="auto" w:fill="auto"/>
            <w:noWrap/>
            <w:vAlign w:val="center"/>
            <w:hideMark/>
          </w:tcPr>
          <w:p w14:paraId="23DA5BBF" w14:textId="38D4F6B6"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1,345.22 </w:t>
            </w:r>
          </w:p>
        </w:tc>
        <w:tc>
          <w:tcPr>
            <w:tcW w:w="1160" w:type="dxa"/>
            <w:tcBorders>
              <w:top w:val="nil"/>
              <w:left w:val="nil"/>
              <w:bottom w:val="single" w:sz="8" w:space="0" w:color="auto"/>
              <w:right w:val="single" w:sz="8" w:space="0" w:color="auto"/>
            </w:tcBorders>
            <w:shd w:val="clear" w:color="auto" w:fill="auto"/>
            <w:noWrap/>
            <w:vAlign w:val="center"/>
            <w:hideMark/>
          </w:tcPr>
          <w:p w14:paraId="0AFE6ED4"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                   -   </w:t>
            </w:r>
          </w:p>
        </w:tc>
        <w:tc>
          <w:tcPr>
            <w:tcW w:w="1160" w:type="dxa"/>
            <w:tcBorders>
              <w:top w:val="nil"/>
              <w:left w:val="nil"/>
              <w:bottom w:val="single" w:sz="8" w:space="0" w:color="auto"/>
              <w:right w:val="single" w:sz="8" w:space="0" w:color="auto"/>
            </w:tcBorders>
            <w:shd w:val="clear" w:color="auto" w:fill="auto"/>
            <w:noWrap/>
            <w:vAlign w:val="center"/>
            <w:hideMark/>
          </w:tcPr>
          <w:p w14:paraId="5DEE7695"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                   -   </w:t>
            </w:r>
          </w:p>
        </w:tc>
        <w:tc>
          <w:tcPr>
            <w:tcW w:w="1180" w:type="dxa"/>
            <w:tcBorders>
              <w:top w:val="nil"/>
              <w:left w:val="nil"/>
              <w:bottom w:val="single" w:sz="8" w:space="0" w:color="auto"/>
              <w:right w:val="single" w:sz="8" w:space="0" w:color="auto"/>
            </w:tcBorders>
            <w:shd w:val="clear" w:color="auto" w:fill="auto"/>
            <w:noWrap/>
            <w:vAlign w:val="center"/>
            <w:hideMark/>
          </w:tcPr>
          <w:p w14:paraId="20481B7B" w14:textId="1EE8FBDF" w:rsidR="0004071A" w:rsidRPr="009A27ED" w:rsidRDefault="0004071A" w:rsidP="00AB0F66">
            <w:pPr>
              <w:spacing w:after="0"/>
              <w:jc w:val="left"/>
              <w:rPr>
                <w:rFonts w:eastAsia="Times New Roman"/>
                <w:color w:val="000000"/>
                <w:sz w:val="20"/>
                <w:szCs w:val="20"/>
              </w:rPr>
            </w:pPr>
            <w:r w:rsidRPr="009A27ED">
              <w:rPr>
                <w:rFonts w:eastAsia="Times New Roman"/>
                <w:color w:val="000000"/>
                <w:sz w:val="20"/>
                <w:szCs w:val="20"/>
              </w:rPr>
              <w:t xml:space="preserve">1,972.71 </w:t>
            </w:r>
          </w:p>
        </w:tc>
      </w:tr>
      <w:tr w:rsidR="0004071A" w:rsidRPr="009A27ED" w14:paraId="6CC9C32D" w14:textId="77777777" w:rsidTr="00D06968">
        <w:trPr>
          <w:trHeight w:val="315"/>
          <w:jc w:val="center"/>
        </w:trPr>
        <w:tc>
          <w:tcPr>
            <w:tcW w:w="6860" w:type="dxa"/>
            <w:tcBorders>
              <w:top w:val="nil"/>
              <w:left w:val="single" w:sz="4" w:space="0" w:color="auto"/>
              <w:bottom w:val="single" w:sz="4" w:space="0" w:color="auto"/>
              <w:right w:val="single" w:sz="4" w:space="0" w:color="auto"/>
            </w:tcBorders>
            <w:shd w:val="clear" w:color="auto" w:fill="auto"/>
            <w:noWrap/>
            <w:vAlign w:val="center"/>
            <w:hideMark/>
          </w:tcPr>
          <w:p w14:paraId="5033A9F6"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Lago Enriquillo</w:t>
            </w:r>
          </w:p>
        </w:tc>
        <w:tc>
          <w:tcPr>
            <w:tcW w:w="1280" w:type="dxa"/>
            <w:tcBorders>
              <w:top w:val="nil"/>
              <w:left w:val="single" w:sz="8" w:space="0" w:color="auto"/>
              <w:bottom w:val="single" w:sz="8" w:space="0" w:color="auto"/>
              <w:right w:val="nil"/>
            </w:tcBorders>
            <w:shd w:val="clear" w:color="auto" w:fill="auto"/>
            <w:noWrap/>
            <w:vAlign w:val="center"/>
            <w:hideMark/>
          </w:tcPr>
          <w:p w14:paraId="690C116A"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                      -   </w:t>
            </w:r>
          </w:p>
        </w:tc>
        <w:tc>
          <w:tcPr>
            <w:tcW w:w="1120" w:type="dxa"/>
            <w:tcBorders>
              <w:top w:val="nil"/>
              <w:left w:val="single" w:sz="8" w:space="0" w:color="auto"/>
              <w:bottom w:val="single" w:sz="8" w:space="0" w:color="auto"/>
              <w:right w:val="single" w:sz="8" w:space="0" w:color="auto"/>
            </w:tcBorders>
            <w:shd w:val="clear" w:color="auto" w:fill="auto"/>
            <w:noWrap/>
            <w:vAlign w:val="center"/>
            <w:hideMark/>
          </w:tcPr>
          <w:p w14:paraId="0F05018D" w14:textId="49BFAE2C" w:rsidR="0004071A" w:rsidRPr="009A27ED" w:rsidRDefault="0004071A" w:rsidP="00AB0F66">
            <w:pPr>
              <w:spacing w:after="0"/>
              <w:jc w:val="left"/>
              <w:rPr>
                <w:rFonts w:eastAsia="Times New Roman"/>
                <w:color w:val="000000"/>
                <w:sz w:val="20"/>
                <w:szCs w:val="20"/>
              </w:rPr>
            </w:pPr>
            <w:r w:rsidRPr="009A27ED">
              <w:rPr>
                <w:rFonts w:eastAsia="Times New Roman"/>
                <w:color w:val="000000"/>
                <w:sz w:val="20"/>
                <w:szCs w:val="20"/>
              </w:rPr>
              <w:t xml:space="preserve">0.37 </w:t>
            </w:r>
          </w:p>
        </w:tc>
        <w:tc>
          <w:tcPr>
            <w:tcW w:w="1020" w:type="dxa"/>
            <w:tcBorders>
              <w:top w:val="nil"/>
              <w:left w:val="nil"/>
              <w:bottom w:val="single" w:sz="8" w:space="0" w:color="auto"/>
              <w:right w:val="single" w:sz="8" w:space="0" w:color="auto"/>
            </w:tcBorders>
            <w:shd w:val="clear" w:color="auto" w:fill="auto"/>
            <w:noWrap/>
            <w:vAlign w:val="center"/>
            <w:hideMark/>
          </w:tcPr>
          <w:p w14:paraId="4E19433B"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                -   </w:t>
            </w:r>
          </w:p>
        </w:tc>
        <w:tc>
          <w:tcPr>
            <w:tcW w:w="1160" w:type="dxa"/>
            <w:tcBorders>
              <w:top w:val="nil"/>
              <w:left w:val="nil"/>
              <w:bottom w:val="single" w:sz="8" w:space="0" w:color="auto"/>
              <w:right w:val="single" w:sz="8" w:space="0" w:color="auto"/>
            </w:tcBorders>
            <w:shd w:val="clear" w:color="auto" w:fill="auto"/>
            <w:noWrap/>
            <w:vAlign w:val="center"/>
            <w:hideMark/>
          </w:tcPr>
          <w:p w14:paraId="3A351370"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w:t>
            </w:r>
          </w:p>
        </w:tc>
        <w:tc>
          <w:tcPr>
            <w:tcW w:w="1160" w:type="dxa"/>
            <w:tcBorders>
              <w:top w:val="nil"/>
              <w:left w:val="nil"/>
              <w:bottom w:val="single" w:sz="8" w:space="0" w:color="auto"/>
              <w:right w:val="single" w:sz="8" w:space="0" w:color="auto"/>
            </w:tcBorders>
            <w:shd w:val="clear" w:color="auto" w:fill="auto"/>
            <w:noWrap/>
            <w:vAlign w:val="center"/>
            <w:hideMark/>
          </w:tcPr>
          <w:p w14:paraId="213783D6"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                   -   </w:t>
            </w:r>
          </w:p>
        </w:tc>
        <w:tc>
          <w:tcPr>
            <w:tcW w:w="1180" w:type="dxa"/>
            <w:tcBorders>
              <w:top w:val="nil"/>
              <w:left w:val="nil"/>
              <w:bottom w:val="single" w:sz="8" w:space="0" w:color="auto"/>
              <w:right w:val="single" w:sz="8" w:space="0" w:color="auto"/>
            </w:tcBorders>
            <w:shd w:val="clear" w:color="auto" w:fill="auto"/>
            <w:noWrap/>
            <w:vAlign w:val="center"/>
            <w:hideMark/>
          </w:tcPr>
          <w:p w14:paraId="69C95B8B" w14:textId="59899CE2"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0.37 </w:t>
            </w:r>
          </w:p>
        </w:tc>
      </w:tr>
      <w:tr w:rsidR="0004071A" w:rsidRPr="009A27ED" w14:paraId="39DF6BBE" w14:textId="77777777" w:rsidTr="00D06968">
        <w:trPr>
          <w:trHeight w:val="315"/>
          <w:jc w:val="center"/>
        </w:trPr>
        <w:tc>
          <w:tcPr>
            <w:tcW w:w="6860" w:type="dxa"/>
            <w:tcBorders>
              <w:top w:val="nil"/>
              <w:left w:val="single" w:sz="4" w:space="0" w:color="auto"/>
              <w:bottom w:val="single" w:sz="4" w:space="0" w:color="auto"/>
              <w:right w:val="single" w:sz="4" w:space="0" w:color="auto"/>
            </w:tcBorders>
            <w:shd w:val="clear" w:color="auto" w:fill="auto"/>
            <w:noWrap/>
            <w:vAlign w:val="center"/>
            <w:hideMark/>
          </w:tcPr>
          <w:p w14:paraId="135193D4"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Lagunas</w:t>
            </w:r>
          </w:p>
        </w:tc>
        <w:tc>
          <w:tcPr>
            <w:tcW w:w="1280" w:type="dxa"/>
            <w:tcBorders>
              <w:top w:val="nil"/>
              <w:left w:val="single" w:sz="8" w:space="0" w:color="auto"/>
              <w:bottom w:val="single" w:sz="8" w:space="0" w:color="auto"/>
              <w:right w:val="nil"/>
            </w:tcBorders>
            <w:shd w:val="clear" w:color="auto" w:fill="auto"/>
            <w:noWrap/>
            <w:vAlign w:val="center"/>
            <w:hideMark/>
          </w:tcPr>
          <w:p w14:paraId="3BA0F6DF"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                      -   </w:t>
            </w:r>
          </w:p>
        </w:tc>
        <w:tc>
          <w:tcPr>
            <w:tcW w:w="1120" w:type="dxa"/>
            <w:tcBorders>
              <w:top w:val="nil"/>
              <w:left w:val="single" w:sz="8" w:space="0" w:color="auto"/>
              <w:bottom w:val="single" w:sz="8" w:space="0" w:color="auto"/>
              <w:right w:val="single" w:sz="8" w:space="0" w:color="auto"/>
            </w:tcBorders>
            <w:shd w:val="clear" w:color="auto" w:fill="auto"/>
            <w:noWrap/>
            <w:vAlign w:val="center"/>
            <w:hideMark/>
          </w:tcPr>
          <w:p w14:paraId="292B8E19" w14:textId="00DAE839" w:rsidR="0004071A" w:rsidRPr="009A27ED" w:rsidRDefault="0004071A" w:rsidP="00AB0F66">
            <w:pPr>
              <w:spacing w:after="0"/>
              <w:jc w:val="left"/>
              <w:rPr>
                <w:rFonts w:eastAsia="Times New Roman"/>
                <w:color w:val="000000"/>
                <w:sz w:val="20"/>
                <w:szCs w:val="20"/>
              </w:rPr>
            </w:pPr>
            <w:r w:rsidRPr="009A27ED">
              <w:rPr>
                <w:rFonts w:eastAsia="Times New Roman"/>
                <w:color w:val="000000"/>
                <w:sz w:val="20"/>
                <w:szCs w:val="20"/>
              </w:rPr>
              <w:t xml:space="preserve">1.48 </w:t>
            </w:r>
          </w:p>
        </w:tc>
        <w:tc>
          <w:tcPr>
            <w:tcW w:w="1020" w:type="dxa"/>
            <w:tcBorders>
              <w:top w:val="nil"/>
              <w:left w:val="nil"/>
              <w:bottom w:val="single" w:sz="8" w:space="0" w:color="auto"/>
              <w:right w:val="single" w:sz="8" w:space="0" w:color="auto"/>
            </w:tcBorders>
            <w:shd w:val="clear" w:color="auto" w:fill="auto"/>
            <w:noWrap/>
            <w:vAlign w:val="center"/>
            <w:hideMark/>
          </w:tcPr>
          <w:p w14:paraId="06F71AB2"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                -   </w:t>
            </w:r>
          </w:p>
        </w:tc>
        <w:tc>
          <w:tcPr>
            <w:tcW w:w="1160" w:type="dxa"/>
            <w:tcBorders>
              <w:top w:val="nil"/>
              <w:left w:val="nil"/>
              <w:bottom w:val="single" w:sz="8" w:space="0" w:color="auto"/>
              <w:right w:val="single" w:sz="8" w:space="0" w:color="auto"/>
            </w:tcBorders>
            <w:shd w:val="clear" w:color="auto" w:fill="auto"/>
            <w:noWrap/>
            <w:vAlign w:val="center"/>
            <w:hideMark/>
          </w:tcPr>
          <w:p w14:paraId="50C7C853"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w:t>
            </w:r>
          </w:p>
        </w:tc>
        <w:tc>
          <w:tcPr>
            <w:tcW w:w="1160" w:type="dxa"/>
            <w:tcBorders>
              <w:top w:val="nil"/>
              <w:left w:val="nil"/>
              <w:bottom w:val="single" w:sz="8" w:space="0" w:color="auto"/>
              <w:right w:val="single" w:sz="8" w:space="0" w:color="auto"/>
            </w:tcBorders>
            <w:shd w:val="clear" w:color="auto" w:fill="auto"/>
            <w:noWrap/>
            <w:vAlign w:val="center"/>
            <w:hideMark/>
          </w:tcPr>
          <w:p w14:paraId="1B5CF1B2" w14:textId="77777777" w:rsidR="0004071A" w:rsidRPr="009A27ED" w:rsidRDefault="0004071A" w:rsidP="00D06968">
            <w:pPr>
              <w:spacing w:after="0"/>
              <w:jc w:val="left"/>
              <w:rPr>
                <w:rFonts w:eastAsia="Times New Roman"/>
                <w:color w:val="000000"/>
                <w:sz w:val="20"/>
                <w:szCs w:val="20"/>
              </w:rPr>
            </w:pPr>
            <w:r w:rsidRPr="009A27ED">
              <w:rPr>
                <w:rFonts w:eastAsia="Times New Roman"/>
                <w:color w:val="000000"/>
                <w:sz w:val="20"/>
                <w:szCs w:val="20"/>
              </w:rPr>
              <w:t xml:space="preserve">                   -   </w:t>
            </w:r>
          </w:p>
        </w:tc>
        <w:tc>
          <w:tcPr>
            <w:tcW w:w="1180" w:type="dxa"/>
            <w:tcBorders>
              <w:top w:val="nil"/>
              <w:left w:val="nil"/>
              <w:bottom w:val="single" w:sz="8" w:space="0" w:color="auto"/>
              <w:right w:val="single" w:sz="8" w:space="0" w:color="auto"/>
            </w:tcBorders>
            <w:shd w:val="clear" w:color="auto" w:fill="auto"/>
            <w:noWrap/>
            <w:vAlign w:val="center"/>
            <w:hideMark/>
          </w:tcPr>
          <w:p w14:paraId="57B0EF76" w14:textId="00616317" w:rsidR="0004071A" w:rsidRPr="009A27ED" w:rsidRDefault="0004071A" w:rsidP="00AB0F66">
            <w:pPr>
              <w:spacing w:after="0"/>
              <w:jc w:val="left"/>
              <w:rPr>
                <w:rFonts w:eastAsia="Times New Roman"/>
                <w:color w:val="000000"/>
                <w:sz w:val="20"/>
                <w:szCs w:val="20"/>
              </w:rPr>
            </w:pPr>
            <w:r w:rsidRPr="009A27ED">
              <w:rPr>
                <w:rFonts w:eastAsia="Times New Roman"/>
                <w:color w:val="000000"/>
                <w:sz w:val="20"/>
                <w:szCs w:val="20"/>
              </w:rPr>
              <w:t xml:space="preserve">1.48 </w:t>
            </w:r>
          </w:p>
        </w:tc>
      </w:tr>
      <w:tr w:rsidR="0004071A" w:rsidRPr="009A27ED" w14:paraId="737941FD" w14:textId="77777777" w:rsidTr="00D06968">
        <w:trPr>
          <w:trHeight w:val="315"/>
          <w:jc w:val="center"/>
        </w:trPr>
        <w:tc>
          <w:tcPr>
            <w:tcW w:w="6860" w:type="dxa"/>
            <w:tcBorders>
              <w:top w:val="nil"/>
              <w:left w:val="single" w:sz="4" w:space="0" w:color="auto"/>
              <w:bottom w:val="single" w:sz="4" w:space="0" w:color="auto"/>
              <w:right w:val="single" w:sz="4" w:space="0" w:color="auto"/>
            </w:tcBorders>
            <w:shd w:val="clear" w:color="auto" w:fill="auto"/>
            <w:noWrap/>
            <w:vAlign w:val="bottom"/>
            <w:hideMark/>
          </w:tcPr>
          <w:p w14:paraId="4B3524C0" w14:textId="77777777" w:rsidR="0004071A" w:rsidRPr="009A27ED" w:rsidRDefault="0004071A" w:rsidP="0025075B">
            <w:pPr>
              <w:spacing w:after="0"/>
              <w:rPr>
                <w:rFonts w:eastAsia="Times New Roman"/>
                <w:color w:val="000000"/>
                <w:sz w:val="20"/>
                <w:szCs w:val="20"/>
              </w:rPr>
            </w:pPr>
            <w:r w:rsidRPr="009A27ED">
              <w:rPr>
                <w:rFonts w:eastAsia="Times New Roman"/>
                <w:color w:val="000000"/>
                <w:sz w:val="20"/>
                <w:szCs w:val="20"/>
              </w:rPr>
              <w:t>Monte espinoso Subtropical</w:t>
            </w:r>
          </w:p>
        </w:tc>
        <w:tc>
          <w:tcPr>
            <w:tcW w:w="1280" w:type="dxa"/>
            <w:tcBorders>
              <w:top w:val="nil"/>
              <w:left w:val="single" w:sz="8" w:space="0" w:color="auto"/>
              <w:bottom w:val="single" w:sz="8" w:space="0" w:color="auto"/>
              <w:right w:val="nil"/>
            </w:tcBorders>
            <w:shd w:val="clear" w:color="auto" w:fill="auto"/>
            <w:noWrap/>
            <w:vAlign w:val="bottom"/>
            <w:hideMark/>
          </w:tcPr>
          <w:p w14:paraId="50CFB397" w14:textId="77777777" w:rsidR="0004071A" w:rsidRPr="009A27ED" w:rsidRDefault="0004071A" w:rsidP="0025075B">
            <w:pPr>
              <w:spacing w:after="0"/>
              <w:rPr>
                <w:rFonts w:eastAsia="Times New Roman"/>
                <w:color w:val="000000"/>
                <w:sz w:val="20"/>
                <w:szCs w:val="20"/>
              </w:rPr>
            </w:pPr>
            <w:r w:rsidRPr="009A27ED">
              <w:rPr>
                <w:rFonts w:eastAsia="Times New Roman"/>
                <w:color w:val="000000"/>
                <w:sz w:val="20"/>
                <w:szCs w:val="20"/>
              </w:rPr>
              <w:t xml:space="preserve">                      -   </w:t>
            </w:r>
          </w:p>
        </w:tc>
        <w:tc>
          <w:tcPr>
            <w:tcW w:w="1120" w:type="dxa"/>
            <w:tcBorders>
              <w:top w:val="nil"/>
              <w:left w:val="single" w:sz="8" w:space="0" w:color="auto"/>
              <w:bottom w:val="single" w:sz="8" w:space="0" w:color="auto"/>
              <w:right w:val="single" w:sz="8" w:space="0" w:color="auto"/>
            </w:tcBorders>
            <w:shd w:val="clear" w:color="auto" w:fill="auto"/>
            <w:noWrap/>
            <w:vAlign w:val="bottom"/>
            <w:hideMark/>
          </w:tcPr>
          <w:p w14:paraId="4B297987" w14:textId="690B8103" w:rsidR="0004071A" w:rsidRPr="009A27ED" w:rsidRDefault="0004071A" w:rsidP="0025075B">
            <w:pPr>
              <w:spacing w:after="0"/>
              <w:rPr>
                <w:rFonts w:eastAsia="Times New Roman"/>
                <w:color w:val="000000"/>
                <w:sz w:val="20"/>
                <w:szCs w:val="20"/>
              </w:rPr>
            </w:pPr>
            <w:r w:rsidRPr="009A27ED">
              <w:rPr>
                <w:rFonts w:eastAsia="Times New Roman"/>
                <w:color w:val="000000"/>
                <w:sz w:val="20"/>
                <w:szCs w:val="20"/>
              </w:rPr>
              <w:t xml:space="preserve">52.13 </w:t>
            </w:r>
          </w:p>
        </w:tc>
        <w:tc>
          <w:tcPr>
            <w:tcW w:w="1020" w:type="dxa"/>
            <w:tcBorders>
              <w:top w:val="nil"/>
              <w:left w:val="nil"/>
              <w:bottom w:val="single" w:sz="8" w:space="0" w:color="auto"/>
              <w:right w:val="single" w:sz="8" w:space="0" w:color="auto"/>
            </w:tcBorders>
            <w:shd w:val="clear" w:color="auto" w:fill="auto"/>
            <w:noWrap/>
            <w:vAlign w:val="bottom"/>
            <w:hideMark/>
          </w:tcPr>
          <w:p w14:paraId="11280970" w14:textId="4F1EC0D1" w:rsidR="0004071A" w:rsidRPr="009A27ED" w:rsidRDefault="0004071A" w:rsidP="00AB0F66">
            <w:pPr>
              <w:spacing w:after="0"/>
              <w:rPr>
                <w:rFonts w:eastAsia="Times New Roman"/>
                <w:color w:val="000000"/>
                <w:sz w:val="20"/>
                <w:szCs w:val="20"/>
              </w:rPr>
            </w:pPr>
            <w:r w:rsidRPr="009A27ED">
              <w:rPr>
                <w:rFonts w:eastAsia="Times New Roman"/>
                <w:color w:val="000000"/>
                <w:sz w:val="20"/>
                <w:szCs w:val="20"/>
              </w:rPr>
              <w:t xml:space="preserve">43.37 </w:t>
            </w:r>
          </w:p>
        </w:tc>
        <w:tc>
          <w:tcPr>
            <w:tcW w:w="1160" w:type="dxa"/>
            <w:tcBorders>
              <w:top w:val="nil"/>
              <w:left w:val="nil"/>
              <w:bottom w:val="single" w:sz="8" w:space="0" w:color="auto"/>
              <w:right w:val="single" w:sz="8" w:space="0" w:color="auto"/>
            </w:tcBorders>
            <w:shd w:val="clear" w:color="auto" w:fill="auto"/>
            <w:noWrap/>
            <w:vAlign w:val="bottom"/>
            <w:hideMark/>
          </w:tcPr>
          <w:p w14:paraId="47FEB58D" w14:textId="77777777" w:rsidR="0004071A" w:rsidRPr="009A27ED" w:rsidRDefault="0004071A" w:rsidP="0025075B">
            <w:pPr>
              <w:spacing w:after="0"/>
              <w:rPr>
                <w:rFonts w:eastAsia="Times New Roman"/>
                <w:color w:val="000000"/>
                <w:sz w:val="20"/>
                <w:szCs w:val="20"/>
              </w:rPr>
            </w:pPr>
            <w:r w:rsidRPr="009A27ED">
              <w:rPr>
                <w:rFonts w:eastAsia="Times New Roman"/>
                <w:color w:val="000000"/>
                <w:sz w:val="20"/>
                <w:szCs w:val="20"/>
              </w:rPr>
              <w:t xml:space="preserve">                   -   </w:t>
            </w:r>
          </w:p>
        </w:tc>
        <w:tc>
          <w:tcPr>
            <w:tcW w:w="1160" w:type="dxa"/>
            <w:tcBorders>
              <w:top w:val="nil"/>
              <w:left w:val="nil"/>
              <w:bottom w:val="single" w:sz="8" w:space="0" w:color="auto"/>
              <w:right w:val="single" w:sz="8" w:space="0" w:color="auto"/>
            </w:tcBorders>
            <w:shd w:val="clear" w:color="auto" w:fill="auto"/>
            <w:noWrap/>
            <w:vAlign w:val="bottom"/>
            <w:hideMark/>
          </w:tcPr>
          <w:p w14:paraId="1187ADFA" w14:textId="77777777" w:rsidR="0004071A" w:rsidRPr="009A27ED" w:rsidRDefault="0004071A" w:rsidP="0025075B">
            <w:pPr>
              <w:spacing w:after="0"/>
              <w:rPr>
                <w:rFonts w:eastAsia="Times New Roman"/>
                <w:color w:val="000000"/>
                <w:sz w:val="20"/>
                <w:szCs w:val="20"/>
              </w:rPr>
            </w:pPr>
            <w:r w:rsidRPr="009A27ED">
              <w:rPr>
                <w:rFonts w:eastAsia="Times New Roman"/>
                <w:color w:val="000000"/>
                <w:sz w:val="20"/>
                <w:szCs w:val="20"/>
              </w:rPr>
              <w:t xml:space="preserve">                   -   </w:t>
            </w:r>
          </w:p>
        </w:tc>
        <w:tc>
          <w:tcPr>
            <w:tcW w:w="1180" w:type="dxa"/>
            <w:tcBorders>
              <w:top w:val="nil"/>
              <w:left w:val="nil"/>
              <w:bottom w:val="single" w:sz="8" w:space="0" w:color="auto"/>
              <w:right w:val="single" w:sz="8" w:space="0" w:color="auto"/>
            </w:tcBorders>
            <w:shd w:val="clear" w:color="auto" w:fill="auto"/>
            <w:noWrap/>
            <w:vAlign w:val="bottom"/>
            <w:hideMark/>
          </w:tcPr>
          <w:p w14:paraId="1D2A1BCD" w14:textId="354FE89F" w:rsidR="0004071A" w:rsidRPr="009A27ED" w:rsidRDefault="0004071A" w:rsidP="00AB0F66">
            <w:pPr>
              <w:spacing w:after="0"/>
              <w:rPr>
                <w:rFonts w:eastAsia="Times New Roman"/>
                <w:color w:val="000000"/>
                <w:sz w:val="20"/>
                <w:szCs w:val="20"/>
              </w:rPr>
            </w:pPr>
            <w:r w:rsidRPr="009A27ED">
              <w:rPr>
                <w:rFonts w:eastAsia="Times New Roman"/>
                <w:color w:val="000000"/>
                <w:sz w:val="20"/>
                <w:szCs w:val="20"/>
              </w:rPr>
              <w:t xml:space="preserve">95.49 </w:t>
            </w:r>
          </w:p>
        </w:tc>
      </w:tr>
      <w:tr w:rsidR="0004071A" w:rsidRPr="009A27ED" w14:paraId="37E99073" w14:textId="77777777" w:rsidTr="00D06968">
        <w:trPr>
          <w:trHeight w:val="315"/>
          <w:jc w:val="center"/>
        </w:trPr>
        <w:tc>
          <w:tcPr>
            <w:tcW w:w="6860" w:type="dxa"/>
            <w:tcBorders>
              <w:top w:val="nil"/>
              <w:left w:val="single" w:sz="4" w:space="0" w:color="auto"/>
              <w:bottom w:val="single" w:sz="4" w:space="0" w:color="auto"/>
              <w:right w:val="single" w:sz="4" w:space="0" w:color="auto"/>
            </w:tcBorders>
            <w:shd w:val="clear" w:color="auto" w:fill="auto"/>
            <w:noWrap/>
            <w:hideMark/>
          </w:tcPr>
          <w:p w14:paraId="0DE581CC" w14:textId="63C3E791" w:rsidR="0004071A" w:rsidRPr="009A27ED" w:rsidRDefault="003E13BB" w:rsidP="00D06968">
            <w:pPr>
              <w:spacing w:after="0"/>
              <w:jc w:val="center"/>
              <w:rPr>
                <w:rFonts w:eastAsia="Times New Roman"/>
                <w:b/>
                <w:bCs/>
                <w:color w:val="000000"/>
                <w:sz w:val="20"/>
                <w:szCs w:val="20"/>
              </w:rPr>
            </w:pPr>
            <w:r w:rsidRPr="009A27ED">
              <w:rPr>
                <w:rFonts w:eastAsia="Times New Roman"/>
                <w:b/>
                <w:bCs/>
                <w:color w:val="000000"/>
                <w:sz w:val="20"/>
                <w:szCs w:val="20"/>
              </w:rPr>
              <w:t>TOTAL,</w:t>
            </w:r>
            <w:r w:rsidR="0004071A" w:rsidRPr="009A27ED">
              <w:rPr>
                <w:rFonts w:eastAsia="Times New Roman"/>
                <w:b/>
                <w:bCs/>
                <w:color w:val="000000"/>
                <w:sz w:val="20"/>
                <w:szCs w:val="20"/>
              </w:rPr>
              <w:t xml:space="preserve"> GENERAL EN KM²</w:t>
            </w:r>
          </w:p>
        </w:tc>
        <w:tc>
          <w:tcPr>
            <w:tcW w:w="1280" w:type="dxa"/>
            <w:tcBorders>
              <w:top w:val="nil"/>
              <w:left w:val="single" w:sz="8" w:space="0" w:color="auto"/>
              <w:bottom w:val="single" w:sz="8" w:space="0" w:color="auto"/>
              <w:right w:val="nil"/>
            </w:tcBorders>
            <w:shd w:val="clear" w:color="auto" w:fill="auto"/>
            <w:noWrap/>
            <w:hideMark/>
          </w:tcPr>
          <w:p w14:paraId="38B11E64" w14:textId="34897F61" w:rsidR="0004071A" w:rsidRPr="009A27ED" w:rsidRDefault="0004071A" w:rsidP="00D06968">
            <w:pPr>
              <w:spacing w:after="0"/>
              <w:jc w:val="center"/>
              <w:rPr>
                <w:rFonts w:eastAsia="Times New Roman"/>
                <w:b/>
                <w:color w:val="000000"/>
                <w:sz w:val="20"/>
                <w:szCs w:val="20"/>
              </w:rPr>
            </w:pPr>
            <w:r w:rsidRPr="009A27ED">
              <w:rPr>
                <w:rFonts w:eastAsia="Times New Roman"/>
                <w:b/>
                <w:color w:val="000000"/>
                <w:sz w:val="20"/>
                <w:szCs w:val="20"/>
              </w:rPr>
              <w:t>3,243.05</w:t>
            </w:r>
          </w:p>
        </w:tc>
        <w:tc>
          <w:tcPr>
            <w:tcW w:w="1120" w:type="dxa"/>
            <w:tcBorders>
              <w:top w:val="nil"/>
              <w:left w:val="single" w:sz="8" w:space="0" w:color="auto"/>
              <w:bottom w:val="single" w:sz="8" w:space="0" w:color="auto"/>
              <w:right w:val="single" w:sz="8" w:space="0" w:color="auto"/>
            </w:tcBorders>
            <w:shd w:val="clear" w:color="auto" w:fill="auto"/>
            <w:noWrap/>
            <w:hideMark/>
          </w:tcPr>
          <w:p w14:paraId="7DE7AD67" w14:textId="08A8DC3A" w:rsidR="0004071A" w:rsidRPr="009A27ED" w:rsidRDefault="0004071A" w:rsidP="00D06968">
            <w:pPr>
              <w:spacing w:after="0"/>
              <w:jc w:val="center"/>
              <w:rPr>
                <w:rFonts w:eastAsia="Times New Roman"/>
                <w:b/>
                <w:color w:val="000000"/>
                <w:sz w:val="20"/>
                <w:szCs w:val="20"/>
              </w:rPr>
            </w:pPr>
            <w:r w:rsidRPr="009A27ED">
              <w:rPr>
                <w:rFonts w:eastAsia="Times New Roman"/>
                <w:b/>
                <w:color w:val="000000"/>
                <w:sz w:val="20"/>
                <w:szCs w:val="20"/>
              </w:rPr>
              <w:t>2,036.26</w:t>
            </w:r>
          </w:p>
        </w:tc>
        <w:tc>
          <w:tcPr>
            <w:tcW w:w="1020" w:type="dxa"/>
            <w:tcBorders>
              <w:top w:val="nil"/>
              <w:left w:val="nil"/>
              <w:bottom w:val="single" w:sz="8" w:space="0" w:color="auto"/>
              <w:right w:val="single" w:sz="8" w:space="0" w:color="auto"/>
            </w:tcBorders>
            <w:shd w:val="clear" w:color="auto" w:fill="auto"/>
            <w:noWrap/>
            <w:hideMark/>
          </w:tcPr>
          <w:p w14:paraId="3BF448C5" w14:textId="38360E40" w:rsidR="0004071A" w:rsidRPr="009A27ED" w:rsidRDefault="0004071A" w:rsidP="00D06968">
            <w:pPr>
              <w:spacing w:after="0"/>
              <w:jc w:val="center"/>
              <w:rPr>
                <w:rFonts w:eastAsia="Times New Roman"/>
                <w:b/>
                <w:color w:val="000000"/>
                <w:sz w:val="20"/>
                <w:szCs w:val="20"/>
              </w:rPr>
            </w:pPr>
            <w:r w:rsidRPr="009A27ED">
              <w:rPr>
                <w:rFonts w:eastAsia="Times New Roman"/>
                <w:b/>
                <w:color w:val="000000"/>
                <w:sz w:val="20"/>
                <w:szCs w:val="20"/>
              </w:rPr>
              <w:t>6,095.83</w:t>
            </w:r>
          </w:p>
        </w:tc>
        <w:tc>
          <w:tcPr>
            <w:tcW w:w="1160" w:type="dxa"/>
            <w:tcBorders>
              <w:top w:val="nil"/>
              <w:left w:val="nil"/>
              <w:bottom w:val="single" w:sz="8" w:space="0" w:color="auto"/>
              <w:right w:val="single" w:sz="8" w:space="0" w:color="auto"/>
            </w:tcBorders>
            <w:shd w:val="clear" w:color="auto" w:fill="auto"/>
            <w:noWrap/>
            <w:hideMark/>
          </w:tcPr>
          <w:p w14:paraId="25988D40" w14:textId="4212428E" w:rsidR="0004071A" w:rsidRPr="009A27ED" w:rsidRDefault="0004071A" w:rsidP="00D06968">
            <w:pPr>
              <w:spacing w:after="0"/>
              <w:jc w:val="center"/>
              <w:rPr>
                <w:rFonts w:eastAsia="Times New Roman"/>
                <w:b/>
                <w:color w:val="000000"/>
                <w:sz w:val="20"/>
                <w:szCs w:val="20"/>
              </w:rPr>
            </w:pPr>
            <w:r w:rsidRPr="009A27ED">
              <w:rPr>
                <w:rFonts w:eastAsia="Times New Roman"/>
                <w:b/>
                <w:color w:val="000000"/>
                <w:sz w:val="20"/>
                <w:szCs w:val="20"/>
              </w:rPr>
              <w:t>1,461.09</w:t>
            </w:r>
          </w:p>
        </w:tc>
        <w:tc>
          <w:tcPr>
            <w:tcW w:w="1160" w:type="dxa"/>
            <w:tcBorders>
              <w:top w:val="nil"/>
              <w:left w:val="nil"/>
              <w:bottom w:val="single" w:sz="8" w:space="0" w:color="auto"/>
              <w:right w:val="single" w:sz="8" w:space="0" w:color="auto"/>
            </w:tcBorders>
            <w:shd w:val="clear" w:color="auto" w:fill="auto"/>
            <w:noWrap/>
            <w:hideMark/>
          </w:tcPr>
          <w:p w14:paraId="686FA85D" w14:textId="21AC886F" w:rsidR="0004071A" w:rsidRPr="009A27ED" w:rsidRDefault="0004071A" w:rsidP="00D06968">
            <w:pPr>
              <w:spacing w:after="0"/>
              <w:jc w:val="center"/>
              <w:rPr>
                <w:rFonts w:eastAsia="Times New Roman"/>
                <w:b/>
                <w:color w:val="000000"/>
                <w:sz w:val="20"/>
                <w:szCs w:val="20"/>
              </w:rPr>
            </w:pPr>
            <w:r w:rsidRPr="009A27ED">
              <w:rPr>
                <w:rFonts w:eastAsia="Times New Roman"/>
                <w:b/>
                <w:color w:val="000000"/>
                <w:sz w:val="20"/>
                <w:szCs w:val="20"/>
              </w:rPr>
              <w:t>2,297.35</w:t>
            </w:r>
          </w:p>
        </w:tc>
        <w:tc>
          <w:tcPr>
            <w:tcW w:w="1180" w:type="dxa"/>
            <w:tcBorders>
              <w:top w:val="nil"/>
              <w:left w:val="nil"/>
              <w:bottom w:val="single" w:sz="8" w:space="0" w:color="auto"/>
              <w:right w:val="single" w:sz="8" w:space="0" w:color="auto"/>
            </w:tcBorders>
            <w:shd w:val="clear" w:color="auto" w:fill="auto"/>
            <w:noWrap/>
            <w:hideMark/>
          </w:tcPr>
          <w:p w14:paraId="1E9AE901" w14:textId="1B27726D" w:rsidR="0004071A" w:rsidRPr="009A27ED" w:rsidRDefault="0004071A" w:rsidP="005D2DED">
            <w:pPr>
              <w:keepNext/>
              <w:spacing w:after="0"/>
              <w:jc w:val="center"/>
              <w:rPr>
                <w:rFonts w:eastAsia="Times New Roman"/>
                <w:b/>
                <w:color w:val="000000"/>
                <w:sz w:val="20"/>
                <w:szCs w:val="20"/>
              </w:rPr>
            </w:pPr>
            <w:r w:rsidRPr="009A27ED">
              <w:rPr>
                <w:rFonts w:eastAsia="Times New Roman"/>
                <w:b/>
                <w:color w:val="000000"/>
                <w:sz w:val="20"/>
                <w:szCs w:val="20"/>
              </w:rPr>
              <w:t>15,133.58</w:t>
            </w:r>
          </w:p>
        </w:tc>
      </w:tr>
    </w:tbl>
    <w:p w14:paraId="0A98E327" w14:textId="77777777" w:rsidR="0004071A" w:rsidRPr="009A27ED" w:rsidRDefault="0004071A" w:rsidP="004B7076">
      <w:pPr>
        <w:pStyle w:val="Prrafodelista"/>
        <w:spacing w:line="360" w:lineRule="auto"/>
        <w:ind w:left="720"/>
        <w:rPr>
          <w:b/>
          <w:lang w:val="es-MX"/>
        </w:rPr>
      </w:pPr>
    </w:p>
    <w:p w14:paraId="264EF4A2" w14:textId="77777777" w:rsidR="0004071A" w:rsidRPr="009A27ED" w:rsidRDefault="0004071A" w:rsidP="004B7076">
      <w:pPr>
        <w:pStyle w:val="Prrafodelista"/>
        <w:spacing w:line="360" w:lineRule="auto"/>
        <w:ind w:left="720"/>
        <w:rPr>
          <w:b/>
          <w:lang w:val="es-MX"/>
        </w:rPr>
        <w:sectPr w:rsidR="0004071A" w:rsidRPr="009A27ED" w:rsidSect="00BC6D88">
          <w:pgSz w:w="20635" w:h="12240" w:orient="landscape"/>
          <w:pgMar w:top="1701" w:right="6213" w:bottom="1701" w:left="1418" w:header="708" w:footer="708" w:gutter="0"/>
          <w:cols w:space="708"/>
          <w:docGrid w:linePitch="360"/>
        </w:sectPr>
      </w:pPr>
    </w:p>
    <w:p w14:paraId="637D17DE" w14:textId="4F4BEBDC" w:rsidR="0004071A" w:rsidRPr="009A27ED" w:rsidRDefault="0004071A" w:rsidP="00E67CB0">
      <w:pPr>
        <w:pStyle w:val="Prrafodelista"/>
        <w:numPr>
          <w:ilvl w:val="0"/>
          <w:numId w:val="295"/>
        </w:numPr>
        <w:spacing w:line="360" w:lineRule="auto"/>
        <w:rPr>
          <w:b/>
          <w:szCs w:val="22"/>
          <w:lang w:val="es-MX"/>
        </w:rPr>
      </w:pPr>
      <w:r w:rsidRPr="009A27ED">
        <w:rPr>
          <w:rFonts w:ascii="Times New Roman" w:eastAsia="Times New Roman" w:hAnsi="Times New Roman"/>
          <w:b/>
          <w:sz w:val="24"/>
          <w:szCs w:val="22"/>
          <w:lang w:val="es-MX"/>
        </w:rPr>
        <w:lastRenderedPageBreak/>
        <w:t xml:space="preserve">Especies en Categorías de Conservación presentes en las </w:t>
      </w:r>
      <w:r w:rsidR="004B663F" w:rsidRPr="009A27ED">
        <w:rPr>
          <w:rFonts w:ascii="Times New Roman" w:eastAsia="Times New Roman" w:hAnsi="Times New Roman"/>
          <w:b/>
          <w:sz w:val="24"/>
          <w:szCs w:val="22"/>
          <w:lang w:val="es-MX"/>
        </w:rPr>
        <w:t>á</w:t>
      </w:r>
      <w:r w:rsidRPr="009A27ED">
        <w:rPr>
          <w:rFonts w:ascii="Times New Roman" w:eastAsia="Times New Roman" w:hAnsi="Times New Roman"/>
          <w:b/>
          <w:sz w:val="24"/>
          <w:szCs w:val="22"/>
          <w:lang w:val="es-MX"/>
        </w:rPr>
        <w:t xml:space="preserve">reas </w:t>
      </w:r>
      <w:r w:rsidR="004B663F" w:rsidRPr="009A27ED">
        <w:rPr>
          <w:rFonts w:ascii="Times New Roman" w:eastAsia="Times New Roman" w:hAnsi="Times New Roman"/>
          <w:b/>
          <w:sz w:val="24"/>
          <w:szCs w:val="22"/>
          <w:lang w:val="es-MX"/>
        </w:rPr>
        <w:t>priorizadas</w:t>
      </w:r>
      <w:r w:rsidRPr="009A27ED">
        <w:rPr>
          <w:rFonts w:ascii="Times New Roman" w:eastAsia="Times New Roman" w:hAnsi="Times New Roman"/>
          <w:b/>
          <w:sz w:val="24"/>
          <w:szCs w:val="22"/>
          <w:lang w:val="es-MX"/>
        </w:rPr>
        <w:t xml:space="preserve"> </w:t>
      </w:r>
      <w:r w:rsidR="004B663F" w:rsidRPr="009A27ED">
        <w:rPr>
          <w:rFonts w:ascii="Times New Roman" w:eastAsia="Times New Roman" w:hAnsi="Times New Roman"/>
          <w:b/>
          <w:sz w:val="24"/>
          <w:szCs w:val="22"/>
          <w:lang w:val="es-MX"/>
        </w:rPr>
        <w:t xml:space="preserve">para </w:t>
      </w:r>
      <w:r w:rsidRPr="009A27ED">
        <w:rPr>
          <w:rFonts w:ascii="Times New Roman" w:eastAsia="Times New Roman" w:hAnsi="Times New Roman"/>
          <w:b/>
          <w:sz w:val="24"/>
          <w:szCs w:val="22"/>
          <w:lang w:val="es-MX"/>
        </w:rPr>
        <w:t xml:space="preserve">REDD+ </w:t>
      </w:r>
    </w:p>
    <w:p w14:paraId="51099AE8" w14:textId="349D158D" w:rsidR="0004071A" w:rsidRPr="009A27ED" w:rsidRDefault="0004071A" w:rsidP="005B6485">
      <w:pPr>
        <w:spacing w:before="120" w:after="100" w:afterAutospacing="1" w:line="360" w:lineRule="auto"/>
        <w:rPr>
          <w:bCs/>
          <w:iCs/>
          <w:szCs w:val="22"/>
        </w:rPr>
      </w:pPr>
      <w:r w:rsidRPr="009A27ED">
        <w:rPr>
          <w:rFonts w:ascii="Times New Roman" w:eastAsia="Times New Roman" w:hAnsi="Times New Roman"/>
          <w:bCs/>
          <w:iCs/>
          <w:sz w:val="24"/>
          <w:szCs w:val="22"/>
        </w:rPr>
        <w:t>La República Dominicana, tiene una alta diversidad florística,</w:t>
      </w:r>
      <w:r w:rsidR="00506A0D" w:rsidRPr="009A27ED">
        <w:rPr>
          <w:rFonts w:ascii="Times New Roman" w:eastAsia="Times New Roman" w:hAnsi="Times New Roman"/>
          <w:bCs/>
          <w:iCs/>
          <w:sz w:val="24"/>
          <w:szCs w:val="22"/>
        </w:rPr>
        <w:t xml:space="preserve"> </w:t>
      </w:r>
      <w:r w:rsidR="0069562F" w:rsidRPr="009A27ED">
        <w:rPr>
          <w:rFonts w:ascii="Times New Roman" w:eastAsia="Times New Roman" w:hAnsi="Times New Roman"/>
          <w:bCs/>
          <w:iCs/>
          <w:sz w:val="24"/>
          <w:szCs w:val="22"/>
        </w:rPr>
        <w:t>esto</w:t>
      </w:r>
      <w:r w:rsidRPr="009A27ED">
        <w:rPr>
          <w:rFonts w:ascii="Times New Roman" w:eastAsia="Times New Roman" w:hAnsi="Times New Roman"/>
          <w:bCs/>
          <w:iCs/>
          <w:sz w:val="24"/>
          <w:szCs w:val="22"/>
        </w:rPr>
        <w:t xml:space="preserve"> se debe a la gran diversidad de ambientes y diferencias altitudinales, que van desde la Isla Cabritos en la región Suroeste, a unos 44 </w:t>
      </w:r>
      <w:r w:rsidR="00434410" w:rsidRPr="009A27ED">
        <w:rPr>
          <w:rFonts w:ascii="Times New Roman" w:eastAsia="Times New Roman" w:hAnsi="Times New Roman"/>
          <w:bCs/>
          <w:iCs/>
          <w:sz w:val="24"/>
          <w:szCs w:val="22"/>
        </w:rPr>
        <w:t>msnm</w:t>
      </w:r>
      <w:r w:rsidRPr="009A27ED">
        <w:rPr>
          <w:rFonts w:ascii="Times New Roman" w:eastAsia="Times New Roman" w:hAnsi="Times New Roman"/>
          <w:bCs/>
          <w:iCs/>
          <w:sz w:val="24"/>
          <w:szCs w:val="22"/>
        </w:rPr>
        <w:t>, hasta el Pico Duarte, a 3,175</w:t>
      </w:r>
      <w:r w:rsidR="00A8748D" w:rsidRPr="009A27ED">
        <w:rPr>
          <w:rFonts w:ascii="Times New Roman" w:eastAsia="Times New Roman" w:hAnsi="Times New Roman"/>
          <w:bCs/>
          <w:iCs/>
          <w:sz w:val="24"/>
          <w:szCs w:val="22"/>
        </w:rPr>
        <w:t xml:space="preserve"> </w:t>
      </w:r>
      <w:r w:rsidRPr="009A27ED">
        <w:rPr>
          <w:rFonts w:ascii="Times New Roman" w:eastAsia="Times New Roman" w:hAnsi="Times New Roman"/>
          <w:bCs/>
          <w:iCs/>
          <w:sz w:val="24"/>
          <w:szCs w:val="22"/>
        </w:rPr>
        <w:t xml:space="preserve">msnm, el de mayor altitud de las Antillas. Según estudios realizados por técnicos del Jardín Botánico Nacional, durante los últimos 30 años, se ha incrementado el número de especies, con nuevos reportes y descripciones de nuevas especies para la ciencia, llegando a 6,000, de las cuales 2,050 son endémicas. Muchas de estas especies tienen distribución muy restringida y crecen en ambientes muy especiales. </w:t>
      </w:r>
    </w:p>
    <w:p w14:paraId="7B3F474A" w14:textId="3FFA5F0C" w:rsidR="00E26617" w:rsidRPr="009A27ED" w:rsidRDefault="0004071A" w:rsidP="00E87E84">
      <w:pPr>
        <w:spacing w:before="120" w:after="100" w:afterAutospacing="1" w:line="360" w:lineRule="auto"/>
        <w:rPr>
          <w:bCs/>
          <w:iCs/>
          <w:szCs w:val="22"/>
        </w:rPr>
      </w:pPr>
      <w:r w:rsidRPr="009A27ED">
        <w:rPr>
          <w:rFonts w:ascii="Times New Roman" w:eastAsia="Times New Roman" w:hAnsi="Times New Roman"/>
          <w:bCs/>
          <w:iCs/>
          <w:sz w:val="24"/>
          <w:szCs w:val="22"/>
        </w:rPr>
        <w:t>La mayor proporción de especies endémicas existe en la Sierra de Bahoruco probablemente debido al aislamiento a que estuvo sometida por el canal marino que durante un largo período geológico separaba esta parte del resto de la isla. La fauna de la Sierra de Bahoruco presenta el mayor número de especies en peligro de extinción. Otras zonas o regiones que albergan un alto número de especies endémicas son Barbacoa-</w:t>
      </w:r>
      <w:proofErr w:type="spellStart"/>
      <w:r w:rsidRPr="009A27ED">
        <w:rPr>
          <w:rFonts w:ascii="Times New Roman" w:eastAsia="Times New Roman" w:hAnsi="Times New Roman"/>
          <w:bCs/>
          <w:iCs/>
          <w:sz w:val="24"/>
          <w:szCs w:val="22"/>
        </w:rPr>
        <w:t>Casabito</w:t>
      </w:r>
      <w:proofErr w:type="spellEnd"/>
      <w:r w:rsidRPr="009A27ED">
        <w:rPr>
          <w:rFonts w:ascii="Times New Roman" w:eastAsia="Times New Roman" w:hAnsi="Times New Roman"/>
          <w:bCs/>
          <w:iCs/>
          <w:sz w:val="24"/>
          <w:szCs w:val="22"/>
        </w:rPr>
        <w:t xml:space="preserve">, Sierra de Neiba, Península de Samaná y la región de Los Haitises. </w:t>
      </w:r>
    </w:p>
    <w:p w14:paraId="28E5B442" w14:textId="59C87BB9" w:rsidR="0004071A" w:rsidRPr="009A27ED" w:rsidRDefault="0004071A" w:rsidP="005B6485">
      <w:pPr>
        <w:spacing w:before="120" w:after="100" w:afterAutospacing="1" w:line="360" w:lineRule="auto"/>
        <w:rPr>
          <w:bCs/>
          <w:iCs/>
          <w:szCs w:val="22"/>
        </w:rPr>
      </w:pPr>
      <w:r w:rsidRPr="009A27ED">
        <w:rPr>
          <w:rFonts w:ascii="Times New Roman" w:eastAsia="Times New Roman" w:hAnsi="Times New Roman"/>
          <w:bCs/>
          <w:iCs/>
          <w:sz w:val="24"/>
          <w:szCs w:val="22"/>
        </w:rPr>
        <w:t>La lista roja de plantas amenazadas de República Dominicana estima que entre el 10 y 15% de la flora vascular, confrontó problemas de conservación (</w:t>
      </w:r>
      <w:proofErr w:type="spellStart"/>
      <w:r w:rsidRPr="009A27ED">
        <w:rPr>
          <w:rFonts w:ascii="Times New Roman" w:eastAsia="Times New Roman" w:hAnsi="Times New Roman"/>
          <w:bCs/>
          <w:iCs/>
          <w:sz w:val="24"/>
          <w:szCs w:val="22"/>
        </w:rPr>
        <w:t>MMyRN</w:t>
      </w:r>
      <w:proofErr w:type="spellEnd"/>
      <w:r w:rsidRPr="009A27ED">
        <w:rPr>
          <w:rFonts w:ascii="Times New Roman" w:eastAsia="Times New Roman" w:hAnsi="Times New Roman"/>
          <w:bCs/>
          <w:iCs/>
          <w:sz w:val="24"/>
          <w:szCs w:val="22"/>
        </w:rPr>
        <w:t>, 2011). Las principales causas por las que estas especies figuran en la Lista Roja Nacional, se refieren a destrucción, alteración y fragmentación de hábitats, deforestación, agricultura migratoria</w:t>
      </w:r>
      <w:r w:rsidRPr="009A27ED">
        <w:rPr>
          <w:rStyle w:val="Refdenotaalfinal"/>
          <w:rFonts w:ascii="Times New Roman" w:eastAsia="Times New Roman" w:hAnsi="Times New Roman"/>
          <w:bCs/>
          <w:iCs/>
          <w:sz w:val="24"/>
          <w:szCs w:val="22"/>
        </w:rPr>
        <w:endnoteReference w:id="1"/>
      </w:r>
      <w:r w:rsidRPr="009A27ED">
        <w:rPr>
          <w:rFonts w:ascii="Times New Roman" w:eastAsia="Times New Roman" w:hAnsi="Times New Roman"/>
          <w:bCs/>
          <w:iCs/>
          <w:sz w:val="24"/>
          <w:szCs w:val="22"/>
        </w:rPr>
        <w:t>, tumba y quema de árboles para la fabricación de carbón vegetal, pastoreo, extracción de productos no maderables del bosque, contaminación de los ecosistemas o fuentes de agua, expansión demográfica, implementación del turismo no planificado, cambio climático, así como, la existencia o introducción de animales exóticos no nativos que degradan las áreas y desplazan y/o compiten con las especies nativas y endémicas.</w:t>
      </w:r>
    </w:p>
    <w:p w14:paraId="4B4BDF31" w14:textId="36125DD6" w:rsidR="0004071A" w:rsidRPr="009A27ED" w:rsidRDefault="0004071A" w:rsidP="005B6485">
      <w:pPr>
        <w:shd w:val="clear" w:color="auto" w:fill="FFFFFF"/>
        <w:spacing w:before="120" w:after="100" w:afterAutospacing="1" w:line="360" w:lineRule="auto"/>
        <w:textAlignment w:val="top"/>
        <w:rPr>
          <w:bCs/>
          <w:iCs/>
          <w:szCs w:val="22"/>
        </w:rPr>
      </w:pPr>
      <w:r w:rsidRPr="009A27ED">
        <w:rPr>
          <w:rFonts w:ascii="Times New Roman" w:eastAsia="Times New Roman" w:hAnsi="Times New Roman"/>
          <w:bCs/>
          <w:iCs/>
          <w:sz w:val="24"/>
          <w:szCs w:val="22"/>
        </w:rPr>
        <w:t xml:space="preserve">Las familias con mayor riesgo para sus especies son las </w:t>
      </w:r>
      <w:proofErr w:type="spellStart"/>
      <w:r w:rsidRPr="009A27ED">
        <w:rPr>
          <w:rFonts w:ascii="Times New Roman" w:eastAsia="Times New Roman" w:hAnsi="Times New Roman"/>
          <w:bCs/>
          <w:iCs/>
          <w:sz w:val="24"/>
          <w:szCs w:val="22"/>
        </w:rPr>
        <w:t>Orchidaceae</w:t>
      </w:r>
      <w:proofErr w:type="spellEnd"/>
      <w:r w:rsidRPr="009A27ED">
        <w:rPr>
          <w:rFonts w:ascii="Times New Roman" w:eastAsia="Times New Roman" w:hAnsi="Times New Roman"/>
          <w:bCs/>
          <w:iCs/>
          <w:sz w:val="24"/>
          <w:szCs w:val="22"/>
        </w:rPr>
        <w:t xml:space="preserve"> (orquídeas), </w:t>
      </w:r>
      <w:proofErr w:type="spellStart"/>
      <w:r w:rsidRPr="009A27ED">
        <w:rPr>
          <w:rFonts w:ascii="Times New Roman" w:eastAsia="Times New Roman" w:hAnsi="Times New Roman"/>
          <w:bCs/>
          <w:iCs/>
          <w:sz w:val="24"/>
          <w:szCs w:val="22"/>
        </w:rPr>
        <w:t>Arecaceae</w:t>
      </w:r>
      <w:proofErr w:type="spellEnd"/>
      <w:r w:rsidRPr="009A27ED">
        <w:rPr>
          <w:rFonts w:ascii="Times New Roman" w:eastAsia="Times New Roman" w:hAnsi="Times New Roman"/>
          <w:bCs/>
          <w:iCs/>
          <w:sz w:val="24"/>
          <w:szCs w:val="22"/>
        </w:rPr>
        <w:t xml:space="preserve"> (Palmas) y </w:t>
      </w:r>
      <w:proofErr w:type="spellStart"/>
      <w:r w:rsidRPr="009A27ED">
        <w:rPr>
          <w:rFonts w:ascii="Times New Roman" w:eastAsia="Times New Roman" w:hAnsi="Times New Roman"/>
          <w:bCs/>
          <w:iCs/>
          <w:sz w:val="24"/>
          <w:szCs w:val="22"/>
        </w:rPr>
        <w:t>Cactaceae</w:t>
      </w:r>
      <w:proofErr w:type="spellEnd"/>
      <w:r w:rsidRPr="009A27ED">
        <w:rPr>
          <w:rFonts w:ascii="Times New Roman" w:eastAsia="Times New Roman" w:hAnsi="Times New Roman"/>
          <w:bCs/>
          <w:iCs/>
          <w:sz w:val="24"/>
          <w:szCs w:val="22"/>
        </w:rPr>
        <w:t xml:space="preserve"> (Cactus). Todas las especies incluidas en la Lista Roja de la República Dominicana están protegidas por leyes nacionales y por Convenios Internacionales. </w:t>
      </w:r>
    </w:p>
    <w:p w14:paraId="38BE33E4" w14:textId="009805E9" w:rsidR="0004071A" w:rsidRPr="009A27ED" w:rsidRDefault="0004071A" w:rsidP="00E67CB0">
      <w:pPr>
        <w:pStyle w:val="Prrafodelista"/>
        <w:numPr>
          <w:ilvl w:val="0"/>
          <w:numId w:val="295"/>
        </w:numPr>
        <w:spacing w:before="120" w:after="100" w:afterAutospacing="1" w:line="360" w:lineRule="auto"/>
        <w:rPr>
          <w:b/>
          <w:szCs w:val="22"/>
          <w:lang w:val="es-MX"/>
        </w:rPr>
      </w:pPr>
      <w:r w:rsidRPr="009A27ED">
        <w:rPr>
          <w:rFonts w:ascii="Times New Roman" w:eastAsia="Times New Roman" w:hAnsi="Times New Roman"/>
          <w:b/>
          <w:sz w:val="24"/>
          <w:szCs w:val="22"/>
          <w:lang w:val="es-MX"/>
        </w:rPr>
        <w:t>Uso de Suelo</w:t>
      </w:r>
    </w:p>
    <w:p w14:paraId="7BA4D2BB" w14:textId="6499CEA2" w:rsidR="0004071A" w:rsidRPr="009A27ED" w:rsidRDefault="0004071A" w:rsidP="005B6485">
      <w:pPr>
        <w:spacing w:before="120" w:after="100" w:afterAutospacing="1" w:line="360" w:lineRule="auto"/>
        <w:rPr>
          <w:szCs w:val="22"/>
        </w:rPr>
      </w:pPr>
      <w:r w:rsidRPr="009A27ED">
        <w:rPr>
          <w:rFonts w:ascii="Times New Roman" w:eastAsia="Times New Roman" w:hAnsi="Times New Roman"/>
          <w:sz w:val="24"/>
          <w:szCs w:val="22"/>
        </w:rPr>
        <w:t xml:space="preserve">De la superficie total ocupada por las </w:t>
      </w:r>
      <w:r w:rsidR="00C774F6" w:rsidRPr="009A27ED">
        <w:rPr>
          <w:rFonts w:ascii="Times New Roman" w:eastAsia="Times New Roman" w:hAnsi="Times New Roman"/>
          <w:sz w:val="24"/>
          <w:szCs w:val="22"/>
        </w:rPr>
        <w:t xml:space="preserve">áreas priorizadas, 471,084.84 </w:t>
      </w:r>
      <w:r w:rsidR="002466D4" w:rsidRPr="009A27ED">
        <w:rPr>
          <w:rFonts w:ascii="Times New Roman" w:eastAsia="Times New Roman" w:hAnsi="Times New Roman"/>
          <w:sz w:val="24"/>
          <w:szCs w:val="22"/>
        </w:rPr>
        <w:t>ha, corresponde</w:t>
      </w:r>
      <w:r w:rsidRPr="009A27ED">
        <w:rPr>
          <w:rFonts w:ascii="Times New Roman" w:eastAsia="Times New Roman" w:hAnsi="Times New Roman"/>
          <w:sz w:val="24"/>
          <w:szCs w:val="22"/>
        </w:rPr>
        <w:t xml:space="preserve"> a bosques nativos; 219,048.59 ha a plantaciones forestales, 391,025.49 </w:t>
      </w:r>
      <w:r w:rsidR="002466D4" w:rsidRPr="009A27ED">
        <w:rPr>
          <w:rFonts w:ascii="Times New Roman" w:eastAsia="Times New Roman" w:hAnsi="Times New Roman"/>
          <w:sz w:val="24"/>
          <w:szCs w:val="22"/>
        </w:rPr>
        <w:t>ha, a</w:t>
      </w:r>
      <w:r w:rsidRPr="009A27ED">
        <w:rPr>
          <w:rFonts w:ascii="Times New Roman" w:eastAsia="Times New Roman" w:hAnsi="Times New Roman"/>
          <w:sz w:val="24"/>
          <w:szCs w:val="22"/>
        </w:rPr>
        <w:t xml:space="preserve"> terrenos de uso agrícola, 335,049.23 ha, a terrenos con </w:t>
      </w:r>
      <w:r w:rsidR="002466D4" w:rsidRPr="009A27ED">
        <w:rPr>
          <w:rFonts w:ascii="Times New Roman" w:eastAsia="Times New Roman" w:hAnsi="Times New Roman"/>
          <w:sz w:val="24"/>
          <w:szCs w:val="22"/>
        </w:rPr>
        <w:t>matorrales, 9,320.58</w:t>
      </w:r>
      <w:r w:rsidRPr="009A27ED">
        <w:rPr>
          <w:rFonts w:ascii="Times New Roman" w:eastAsia="Times New Roman" w:hAnsi="Times New Roman"/>
          <w:sz w:val="24"/>
          <w:szCs w:val="22"/>
        </w:rPr>
        <w:t xml:space="preserve"> ha a nieves, cuerpos de agua y humedales, 13,710.02 ha a uso urbano y 981</w:t>
      </w:r>
      <w:r w:rsidR="00577B58" w:rsidRPr="009A27ED">
        <w:rPr>
          <w:rFonts w:ascii="Times New Roman" w:eastAsia="Times New Roman" w:hAnsi="Times New Roman"/>
          <w:sz w:val="24"/>
          <w:szCs w:val="22"/>
        </w:rPr>
        <w:t>.929 ha, a otros usos y pastos.</w:t>
      </w:r>
    </w:p>
    <w:p w14:paraId="5567176A" w14:textId="2EDD0B15" w:rsidR="00170677" w:rsidRPr="009A27ED" w:rsidRDefault="00170677" w:rsidP="00170677">
      <w:pPr>
        <w:pStyle w:val="Descripcin"/>
        <w:keepNext/>
        <w:spacing w:line="360" w:lineRule="auto"/>
      </w:pPr>
      <w:bookmarkStart w:id="149" w:name="_Toc111887426"/>
      <w:r w:rsidRPr="009A27ED">
        <w:rPr>
          <w:rFonts w:ascii="Times New Roman" w:eastAsia="Times New Roman" w:hAnsi="Times New Roman"/>
          <w:sz w:val="24"/>
        </w:rPr>
        <w:t xml:space="preserve">Cuadro </w:t>
      </w:r>
      <w:r w:rsidR="00F43DB6" w:rsidRPr="009A27ED">
        <w:rPr>
          <w:rFonts w:ascii="Times New Roman" w:eastAsia="Times New Roman" w:hAnsi="Times New Roman"/>
          <w:sz w:val="24"/>
        </w:rPr>
        <w:fldChar w:fldCharType="begin"/>
      </w:r>
      <w:r w:rsidR="00F43DB6" w:rsidRPr="009A27ED">
        <w:rPr>
          <w:rFonts w:ascii="Times New Roman" w:eastAsia="Times New Roman" w:hAnsi="Times New Roman"/>
          <w:sz w:val="24"/>
        </w:rPr>
        <w:instrText xml:space="preserve"> SEQ Cuadro \* ARABIC </w:instrText>
      </w:r>
      <w:r w:rsidR="00F43DB6"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16</w:t>
      </w:r>
      <w:r w:rsidR="00F43DB6" w:rsidRPr="009A27ED">
        <w:rPr>
          <w:rFonts w:ascii="Times New Roman" w:eastAsia="Times New Roman" w:hAnsi="Times New Roman"/>
          <w:sz w:val="24"/>
        </w:rPr>
        <w:fldChar w:fldCharType="end"/>
      </w:r>
      <w:r w:rsidRPr="009A27ED">
        <w:rPr>
          <w:rFonts w:ascii="Times New Roman" w:eastAsia="Times New Roman" w:hAnsi="Times New Roman"/>
          <w:sz w:val="24"/>
        </w:rPr>
        <w:t xml:space="preserve"> </w:t>
      </w:r>
      <w:r w:rsidRPr="009A27ED">
        <w:rPr>
          <w:rFonts w:ascii="Times New Roman" w:eastAsia="Times New Roman" w:hAnsi="Times New Roman"/>
          <w:color w:val="000000" w:themeColor="text1"/>
          <w:sz w:val="24"/>
        </w:rPr>
        <w:t>.  Usos de suelo de las Áreas Priorizadas para REDD+ en República Dominicana</w:t>
      </w:r>
      <w:bookmarkEnd w:id="149"/>
    </w:p>
    <w:tbl>
      <w:tblPr>
        <w:tblStyle w:val="Tablaconcuadrcula"/>
        <w:tblW w:w="9450" w:type="dxa"/>
        <w:tblInd w:w="-365" w:type="dxa"/>
        <w:tblLayout w:type="fixed"/>
        <w:tblLook w:val="04A0" w:firstRow="1" w:lastRow="0" w:firstColumn="1" w:lastColumn="0" w:noHBand="0" w:noVBand="1"/>
      </w:tblPr>
      <w:tblGrid>
        <w:gridCol w:w="786"/>
        <w:gridCol w:w="1231"/>
        <w:gridCol w:w="1049"/>
        <w:gridCol w:w="1180"/>
        <w:gridCol w:w="1049"/>
        <w:gridCol w:w="1053"/>
        <w:gridCol w:w="1047"/>
        <w:gridCol w:w="975"/>
        <w:gridCol w:w="1080"/>
      </w:tblGrid>
      <w:tr w:rsidR="00C06E5F" w:rsidRPr="009A27ED" w14:paraId="20D8716B" w14:textId="77777777" w:rsidTr="00C27962">
        <w:trPr>
          <w:trHeight w:val="635"/>
        </w:trPr>
        <w:tc>
          <w:tcPr>
            <w:tcW w:w="786" w:type="dxa"/>
            <w:shd w:val="clear" w:color="auto" w:fill="2E74B5" w:themeFill="accent1" w:themeFillShade="BF"/>
            <w:vAlign w:val="center"/>
          </w:tcPr>
          <w:p w14:paraId="7D3540D9" w14:textId="77777777" w:rsidR="0004071A" w:rsidRPr="009A27ED" w:rsidRDefault="0004071A" w:rsidP="00591357">
            <w:pPr>
              <w:spacing w:after="0"/>
              <w:jc w:val="center"/>
              <w:rPr>
                <w:b/>
                <w:color w:val="FFFFFF" w:themeColor="background1"/>
                <w:sz w:val="18"/>
                <w:szCs w:val="18"/>
              </w:rPr>
            </w:pPr>
            <w:r w:rsidRPr="009A27ED">
              <w:rPr>
                <w:b/>
                <w:color w:val="FFFFFF" w:themeColor="background1"/>
                <w:sz w:val="18"/>
                <w:szCs w:val="18"/>
              </w:rPr>
              <w:t>Áreas Priorizadas</w:t>
            </w:r>
          </w:p>
        </w:tc>
        <w:tc>
          <w:tcPr>
            <w:tcW w:w="1231" w:type="dxa"/>
            <w:shd w:val="clear" w:color="auto" w:fill="2E74B5" w:themeFill="accent1" w:themeFillShade="BF"/>
            <w:vAlign w:val="center"/>
          </w:tcPr>
          <w:p w14:paraId="7F05BAD7" w14:textId="290C2432" w:rsidR="0004071A" w:rsidRPr="009A27ED" w:rsidRDefault="0004071A" w:rsidP="00591357">
            <w:pPr>
              <w:spacing w:after="0"/>
              <w:jc w:val="center"/>
              <w:rPr>
                <w:b/>
                <w:color w:val="FFFFFF" w:themeColor="background1"/>
                <w:sz w:val="18"/>
                <w:szCs w:val="18"/>
              </w:rPr>
            </w:pPr>
            <w:r w:rsidRPr="009A27ED">
              <w:rPr>
                <w:b/>
                <w:color w:val="FFFFFF" w:themeColor="background1"/>
                <w:sz w:val="18"/>
                <w:szCs w:val="18"/>
              </w:rPr>
              <w:t xml:space="preserve">Superficie en </w:t>
            </w:r>
            <w:r w:rsidR="00AA0C57" w:rsidRPr="009A27ED">
              <w:rPr>
                <w:b/>
                <w:color w:val="FFFFFF" w:themeColor="background1"/>
                <w:sz w:val="18"/>
                <w:szCs w:val="18"/>
              </w:rPr>
              <w:t>ha</w:t>
            </w:r>
          </w:p>
        </w:tc>
        <w:tc>
          <w:tcPr>
            <w:tcW w:w="1049" w:type="dxa"/>
            <w:shd w:val="clear" w:color="auto" w:fill="2E74B5" w:themeFill="accent1" w:themeFillShade="BF"/>
            <w:vAlign w:val="center"/>
          </w:tcPr>
          <w:p w14:paraId="19DDCD9B" w14:textId="77777777" w:rsidR="0004071A" w:rsidRPr="009A27ED" w:rsidRDefault="0004071A" w:rsidP="00591357">
            <w:pPr>
              <w:spacing w:after="0"/>
              <w:jc w:val="center"/>
              <w:rPr>
                <w:b/>
                <w:color w:val="FFFFFF" w:themeColor="background1"/>
                <w:sz w:val="18"/>
                <w:szCs w:val="18"/>
              </w:rPr>
            </w:pPr>
            <w:r w:rsidRPr="009A27ED">
              <w:rPr>
                <w:b/>
                <w:color w:val="FFFFFF" w:themeColor="background1"/>
                <w:sz w:val="18"/>
                <w:szCs w:val="18"/>
              </w:rPr>
              <w:t>Bosque Nativo</w:t>
            </w:r>
          </w:p>
          <w:p w14:paraId="6D2584C1" w14:textId="77777777" w:rsidR="0004071A" w:rsidRPr="009A27ED" w:rsidRDefault="0004071A" w:rsidP="00591357">
            <w:pPr>
              <w:spacing w:after="0"/>
              <w:jc w:val="center"/>
              <w:rPr>
                <w:b/>
                <w:color w:val="FFFFFF" w:themeColor="background1"/>
                <w:sz w:val="18"/>
                <w:szCs w:val="18"/>
              </w:rPr>
            </w:pPr>
            <w:r w:rsidRPr="009A27ED">
              <w:rPr>
                <w:b/>
                <w:color w:val="FFFFFF" w:themeColor="background1"/>
                <w:sz w:val="18"/>
                <w:szCs w:val="18"/>
              </w:rPr>
              <w:t>en ha</w:t>
            </w:r>
          </w:p>
        </w:tc>
        <w:tc>
          <w:tcPr>
            <w:tcW w:w="1180" w:type="dxa"/>
            <w:shd w:val="clear" w:color="auto" w:fill="2E74B5" w:themeFill="accent1" w:themeFillShade="BF"/>
            <w:vAlign w:val="center"/>
          </w:tcPr>
          <w:p w14:paraId="5362CAF6" w14:textId="77777777" w:rsidR="0004071A" w:rsidRPr="009A27ED" w:rsidRDefault="0004071A" w:rsidP="00591357">
            <w:pPr>
              <w:spacing w:after="0"/>
              <w:jc w:val="center"/>
              <w:rPr>
                <w:b/>
                <w:color w:val="FFFFFF" w:themeColor="background1"/>
                <w:sz w:val="18"/>
                <w:szCs w:val="18"/>
              </w:rPr>
            </w:pPr>
            <w:r w:rsidRPr="009A27ED">
              <w:rPr>
                <w:b/>
                <w:color w:val="FFFFFF" w:themeColor="background1"/>
                <w:sz w:val="18"/>
                <w:szCs w:val="18"/>
              </w:rPr>
              <w:t>Plantaciones forestales</w:t>
            </w:r>
          </w:p>
          <w:p w14:paraId="10111A1C" w14:textId="77777777" w:rsidR="0004071A" w:rsidRPr="009A27ED" w:rsidRDefault="0004071A" w:rsidP="00591357">
            <w:pPr>
              <w:spacing w:after="0"/>
              <w:jc w:val="center"/>
              <w:rPr>
                <w:b/>
                <w:color w:val="FFFFFF" w:themeColor="background1"/>
                <w:sz w:val="18"/>
                <w:szCs w:val="18"/>
              </w:rPr>
            </w:pPr>
            <w:r w:rsidRPr="009A27ED">
              <w:rPr>
                <w:b/>
                <w:color w:val="FFFFFF" w:themeColor="background1"/>
                <w:sz w:val="18"/>
                <w:szCs w:val="18"/>
              </w:rPr>
              <w:t>en ha</w:t>
            </w:r>
          </w:p>
        </w:tc>
        <w:tc>
          <w:tcPr>
            <w:tcW w:w="1049" w:type="dxa"/>
            <w:shd w:val="clear" w:color="auto" w:fill="2E74B5" w:themeFill="accent1" w:themeFillShade="BF"/>
            <w:vAlign w:val="center"/>
          </w:tcPr>
          <w:p w14:paraId="7B23565F" w14:textId="79A6B6AD" w:rsidR="0004071A" w:rsidRPr="009A27ED" w:rsidRDefault="0004071A" w:rsidP="00591357">
            <w:pPr>
              <w:spacing w:after="0"/>
              <w:jc w:val="center"/>
              <w:rPr>
                <w:b/>
                <w:color w:val="FFFFFF" w:themeColor="background1"/>
                <w:sz w:val="18"/>
                <w:szCs w:val="18"/>
              </w:rPr>
            </w:pPr>
            <w:r w:rsidRPr="009A27ED">
              <w:rPr>
                <w:b/>
                <w:color w:val="FFFFFF" w:themeColor="background1"/>
                <w:sz w:val="18"/>
                <w:szCs w:val="18"/>
              </w:rPr>
              <w:t>Uso</w:t>
            </w:r>
          </w:p>
          <w:p w14:paraId="15B56F2E" w14:textId="77777777" w:rsidR="0004071A" w:rsidRPr="009A27ED" w:rsidRDefault="0004071A" w:rsidP="00591357">
            <w:pPr>
              <w:spacing w:after="0"/>
              <w:jc w:val="center"/>
              <w:rPr>
                <w:b/>
                <w:color w:val="FFFFFF" w:themeColor="background1"/>
                <w:sz w:val="18"/>
                <w:szCs w:val="18"/>
              </w:rPr>
            </w:pPr>
            <w:r w:rsidRPr="009A27ED">
              <w:rPr>
                <w:b/>
                <w:color w:val="FFFFFF" w:themeColor="background1"/>
                <w:sz w:val="18"/>
                <w:szCs w:val="18"/>
              </w:rPr>
              <w:t>Agrícola</w:t>
            </w:r>
          </w:p>
          <w:p w14:paraId="6C76E424" w14:textId="77777777" w:rsidR="0004071A" w:rsidRPr="009A27ED" w:rsidRDefault="0004071A" w:rsidP="00591357">
            <w:pPr>
              <w:spacing w:after="0"/>
              <w:jc w:val="center"/>
              <w:rPr>
                <w:b/>
                <w:color w:val="FFFFFF" w:themeColor="background1"/>
                <w:sz w:val="18"/>
                <w:szCs w:val="18"/>
              </w:rPr>
            </w:pPr>
            <w:r w:rsidRPr="009A27ED">
              <w:rPr>
                <w:b/>
                <w:color w:val="FFFFFF" w:themeColor="background1"/>
                <w:sz w:val="18"/>
                <w:szCs w:val="18"/>
              </w:rPr>
              <w:t>en ha</w:t>
            </w:r>
          </w:p>
        </w:tc>
        <w:tc>
          <w:tcPr>
            <w:tcW w:w="1053" w:type="dxa"/>
            <w:shd w:val="clear" w:color="auto" w:fill="2E74B5" w:themeFill="accent1" w:themeFillShade="BF"/>
            <w:vAlign w:val="center"/>
          </w:tcPr>
          <w:p w14:paraId="281B2E45" w14:textId="77777777" w:rsidR="0004071A" w:rsidRPr="009A27ED" w:rsidRDefault="0004071A" w:rsidP="00591357">
            <w:pPr>
              <w:spacing w:after="0"/>
              <w:jc w:val="center"/>
              <w:rPr>
                <w:b/>
                <w:color w:val="FFFFFF" w:themeColor="background1"/>
                <w:sz w:val="18"/>
                <w:szCs w:val="18"/>
              </w:rPr>
            </w:pPr>
            <w:r w:rsidRPr="009A27ED">
              <w:rPr>
                <w:b/>
                <w:color w:val="FFFFFF" w:themeColor="background1"/>
                <w:sz w:val="18"/>
                <w:szCs w:val="18"/>
              </w:rPr>
              <w:t>Matorrales en ha</w:t>
            </w:r>
          </w:p>
        </w:tc>
        <w:tc>
          <w:tcPr>
            <w:tcW w:w="1047" w:type="dxa"/>
            <w:shd w:val="clear" w:color="auto" w:fill="2E74B5" w:themeFill="accent1" w:themeFillShade="BF"/>
            <w:vAlign w:val="center"/>
          </w:tcPr>
          <w:p w14:paraId="35CAC3D7" w14:textId="77777777" w:rsidR="0004071A" w:rsidRPr="009A27ED" w:rsidRDefault="0004071A" w:rsidP="00591357">
            <w:pPr>
              <w:spacing w:after="0"/>
              <w:jc w:val="center"/>
              <w:rPr>
                <w:b/>
                <w:color w:val="FFFFFF" w:themeColor="background1"/>
                <w:sz w:val="18"/>
                <w:szCs w:val="18"/>
              </w:rPr>
            </w:pPr>
            <w:r w:rsidRPr="009A27ED">
              <w:rPr>
                <w:b/>
                <w:color w:val="FFFFFF" w:themeColor="background1"/>
                <w:sz w:val="18"/>
                <w:szCs w:val="18"/>
              </w:rPr>
              <w:t>Cuerpos de Agua y humedales</w:t>
            </w:r>
          </w:p>
        </w:tc>
        <w:tc>
          <w:tcPr>
            <w:tcW w:w="975" w:type="dxa"/>
            <w:shd w:val="clear" w:color="auto" w:fill="2E74B5" w:themeFill="accent1" w:themeFillShade="BF"/>
            <w:vAlign w:val="center"/>
          </w:tcPr>
          <w:p w14:paraId="3EC7E07A" w14:textId="77777777" w:rsidR="0004071A" w:rsidRPr="009A27ED" w:rsidRDefault="0004071A" w:rsidP="00591357">
            <w:pPr>
              <w:spacing w:after="0"/>
              <w:jc w:val="center"/>
              <w:rPr>
                <w:b/>
                <w:color w:val="FFFFFF" w:themeColor="background1"/>
                <w:sz w:val="18"/>
                <w:szCs w:val="18"/>
              </w:rPr>
            </w:pPr>
            <w:r w:rsidRPr="009A27ED">
              <w:rPr>
                <w:b/>
                <w:color w:val="FFFFFF" w:themeColor="background1"/>
                <w:sz w:val="18"/>
                <w:szCs w:val="18"/>
              </w:rPr>
              <w:t>Uso urbano</w:t>
            </w:r>
          </w:p>
        </w:tc>
        <w:tc>
          <w:tcPr>
            <w:tcW w:w="1080" w:type="dxa"/>
            <w:shd w:val="clear" w:color="auto" w:fill="2E74B5" w:themeFill="accent1" w:themeFillShade="BF"/>
            <w:vAlign w:val="center"/>
          </w:tcPr>
          <w:p w14:paraId="14FB8C34" w14:textId="0BBB062F" w:rsidR="0004071A" w:rsidRPr="009A27ED" w:rsidRDefault="0004071A" w:rsidP="00591357">
            <w:pPr>
              <w:spacing w:after="0"/>
              <w:jc w:val="center"/>
              <w:rPr>
                <w:b/>
                <w:color w:val="FFFFFF" w:themeColor="background1"/>
                <w:sz w:val="18"/>
                <w:szCs w:val="18"/>
              </w:rPr>
            </w:pPr>
            <w:r w:rsidRPr="009A27ED">
              <w:rPr>
                <w:b/>
                <w:color w:val="FFFFFF" w:themeColor="background1"/>
                <w:sz w:val="18"/>
                <w:szCs w:val="18"/>
              </w:rPr>
              <w:t>Otros usos</w:t>
            </w:r>
          </w:p>
          <w:p w14:paraId="113E5F3D" w14:textId="77777777" w:rsidR="0004071A" w:rsidRPr="009A27ED" w:rsidRDefault="0004071A" w:rsidP="00591357">
            <w:pPr>
              <w:spacing w:after="0"/>
              <w:jc w:val="center"/>
              <w:rPr>
                <w:b/>
                <w:color w:val="FFFFFF" w:themeColor="background1"/>
                <w:sz w:val="18"/>
                <w:szCs w:val="18"/>
              </w:rPr>
            </w:pPr>
            <w:r w:rsidRPr="009A27ED">
              <w:rPr>
                <w:b/>
                <w:color w:val="FFFFFF" w:themeColor="background1"/>
                <w:sz w:val="18"/>
                <w:szCs w:val="18"/>
              </w:rPr>
              <w:t>pastos</w:t>
            </w:r>
          </w:p>
        </w:tc>
      </w:tr>
      <w:tr w:rsidR="0004071A" w:rsidRPr="009A27ED" w14:paraId="162AE290" w14:textId="77777777" w:rsidTr="00AA0C57">
        <w:trPr>
          <w:trHeight w:val="156"/>
        </w:trPr>
        <w:tc>
          <w:tcPr>
            <w:tcW w:w="786" w:type="dxa"/>
            <w:vAlign w:val="center"/>
          </w:tcPr>
          <w:p w14:paraId="2A83C993" w14:textId="77777777" w:rsidR="0004071A" w:rsidRPr="009A27ED" w:rsidRDefault="0004071A" w:rsidP="00591357">
            <w:pPr>
              <w:spacing w:after="0"/>
              <w:jc w:val="left"/>
              <w:rPr>
                <w:sz w:val="18"/>
                <w:szCs w:val="18"/>
              </w:rPr>
            </w:pPr>
            <w:r w:rsidRPr="009A27ED">
              <w:rPr>
                <w:sz w:val="18"/>
                <w:szCs w:val="18"/>
              </w:rPr>
              <w:t>Área 1</w:t>
            </w:r>
          </w:p>
        </w:tc>
        <w:tc>
          <w:tcPr>
            <w:tcW w:w="1231" w:type="dxa"/>
            <w:vAlign w:val="center"/>
          </w:tcPr>
          <w:p w14:paraId="1CD8CC9E" w14:textId="4698AEBC" w:rsidR="0004071A" w:rsidRPr="009A27ED" w:rsidRDefault="00AA0C57" w:rsidP="00591357">
            <w:pPr>
              <w:spacing w:after="0"/>
              <w:jc w:val="left"/>
              <w:rPr>
                <w:sz w:val="18"/>
                <w:szCs w:val="18"/>
              </w:rPr>
            </w:pPr>
            <w:r w:rsidRPr="009A27ED">
              <w:rPr>
                <w:sz w:val="18"/>
                <w:szCs w:val="18"/>
              </w:rPr>
              <w:t>327,662</w:t>
            </w:r>
            <w:r w:rsidR="0004071A" w:rsidRPr="009A27ED">
              <w:rPr>
                <w:sz w:val="18"/>
                <w:szCs w:val="18"/>
              </w:rPr>
              <w:t xml:space="preserve"> </w:t>
            </w:r>
          </w:p>
        </w:tc>
        <w:tc>
          <w:tcPr>
            <w:tcW w:w="1049" w:type="dxa"/>
            <w:vAlign w:val="center"/>
          </w:tcPr>
          <w:p w14:paraId="442E966D" w14:textId="2816E791" w:rsidR="0004071A" w:rsidRPr="009A27ED" w:rsidRDefault="0004071A" w:rsidP="00591357">
            <w:pPr>
              <w:spacing w:after="0"/>
              <w:jc w:val="left"/>
              <w:rPr>
                <w:sz w:val="18"/>
                <w:szCs w:val="18"/>
              </w:rPr>
            </w:pPr>
            <w:r w:rsidRPr="009A27ED">
              <w:rPr>
                <w:sz w:val="18"/>
                <w:szCs w:val="18"/>
              </w:rPr>
              <w:t xml:space="preserve">85,786.19 </w:t>
            </w:r>
          </w:p>
        </w:tc>
        <w:tc>
          <w:tcPr>
            <w:tcW w:w="1180" w:type="dxa"/>
            <w:vAlign w:val="center"/>
          </w:tcPr>
          <w:p w14:paraId="4A4DA2F2" w14:textId="48EF86E5" w:rsidR="0004071A" w:rsidRPr="009A27ED" w:rsidRDefault="0004071A" w:rsidP="00591357">
            <w:pPr>
              <w:spacing w:after="0"/>
              <w:jc w:val="left"/>
              <w:rPr>
                <w:sz w:val="18"/>
                <w:szCs w:val="18"/>
              </w:rPr>
            </w:pPr>
            <w:r w:rsidRPr="009A27ED">
              <w:rPr>
                <w:sz w:val="18"/>
                <w:szCs w:val="18"/>
              </w:rPr>
              <w:t xml:space="preserve">67,426.02 </w:t>
            </w:r>
          </w:p>
        </w:tc>
        <w:tc>
          <w:tcPr>
            <w:tcW w:w="1049" w:type="dxa"/>
            <w:vAlign w:val="center"/>
          </w:tcPr>
          <w:p w14:paraId="1F710578" w14:textId="229BC8E4" w:rsidR="0004071A" w:rsidRPr="009A27ED" w:rsidRDefault="0004071A" w:rsidP="00591357">
            <w:pPr>
              <w:spacing w:after="0"/>
              <w:jc w:val="left"/>
              <w:rPr>
                <w:sz w:val="18"/>
                <w:szCs w:val="18"/>
              </w:rPr>
            </w:pPr>
            <w:r w:rsidRPr="009A27ED">
              <w:rPr>
                <w:sz w:val="18"/>
                <w:szCs w:val="18"/>
              </w:rPr>
              <w:t xml:space="preserve">16,820.58 </w:t>
            </w:r>
          </w:p>
        </w:tc>
        <w:tc>
          <w:tcPr>
            <w:tcW w:w="1053" w:type="dxa"/>
            <w:vAlign w:val="center"/>
          </w:tcPr>
          <w:p w14:paraId="4DEB811E" w14:textId="14DF8529" w:rsidR="0004071A" w:rsidRPr="009A27ED" w:rsidRDefault="0004071A" w:rsidP="00591357">
            <w:pPr>
              <w:spacing w:after="0"/>
              <w:jc w:val="left"/>
              <w:rPr>
                <w:sz w:val="18"/>
                <w:szCs w:val="18"/>
              </w:rPr>
            </w:pPr>
            <w:r w:rsidRPr="009A27ED">
              <w:rPr>
                <w:sz w:val="18"/>
                <w:szCs w:val="18"/>
              </w:rPr>
              <w:t xml:space="preserve">8,871.61 </w:t>
            </w:r>
          </w:p>
        </w:tc>
        <w:tc>
          <w:tcPr>
            <w:tcW w:w="1047" w:type="dxa"/>
            <w:vAlign w:val="center"/>
          </w:tcPr>
          <w:p w14:paraId="5EC54266" w14:textId="11AE1B21" w:rsidR="0004071A" w:rsidRPr="009A27ED" w:rsidRDefault="0004071A" w:rsidP="00591357">
            <w:pPr>
              <w:spacing w:after="0"/>
              <w:jc w:val="left"/>
              <w:rPr>
                <w:sz w:val="18"/>
                <w:szCs w:val="18"/>
              </w:rPr>
            </w:pPr>
            <w:r w:rsidRPr="009A27ED">
              <w:rPr>
                <w:sz w:val="18"/>
                <w:szCs w:val="18"/>
              </w:rPr>
              <w:t xml:space="preserve">828.09 </w:t>
            </w:r>
          </w:p>
        </w:tc>
        <w:tc>
          <w:tcPr>
            <w:tcW w:w="975" w:type="dxa"/>
            <w:vAlign w:val="center"/>
          </w:tcPr>
          <w:p w14:paraId="50912F7A" w14:textId="5F53882B" w:rsidR="0004071A" w:rsidRPr="009A27ED" w:rsidRDefault="0004071A" w:rsidP="00591357">
            <w:pPr>
              <w:spacing w:after="0"/>
              <w:jc w:val="left"/>
              <w:rPr>
                <w:sz w:val="18"/>
                <w:szCs w:val="18"/>
              </w:rPr>
            </w:pPr>
            <w:r w:rsidRPr="009A27ED">
              <w:rPr>
                <w:sz w:val="18"/>
                <w:szCs w:val="18"/>
              </w:rPr>
              <w:t xml:space="preserve">700.18 </w:t>
            </w:r>
          </w:p>
        </w:tc>
        <w:tc>
          <w:tcPr>
            <w:tcW w:w="1080" w:type="dxa"/>
            <w:vAlign w:val="center"/>
          </w:tcPr>
          <w:p w14:paraId="6CD72ECA" w14:textId="77777777" w:rsidR="0004071A" w:rsidRPr="009A27ED" w:rsidRDefault="0004071A" w:rsidP="00591357">
            <w:pPr>
              <w:spacing w:after="0"/>
              <w:jc w:val="left"/>
              <w:rPr>
                <w:sz w:val="18"/>
                <w:szCs w:val="18"/>
              </w:rPr>
            </w:pPr>
            <w:r w:rsidRPr="009A27ED">
              <w:rPr>
                <w:sz w:val="18"/>
                <w:szCs w:val="18"/>
              </w:rPr>
              <w:t>23,283.45</w:t>
            </w:r>
          </w:p>
        </w:tc>
      </w:tr>
      <w:tr w:rsidR="0004071A" w:rsidRPr="009A27ED" w14:paraId="5B0189C8" w14:textId="77777777" w:rsidTr="00AA0C57">
        <w:trPr>
          <w:trHeight w:val="235"/>
        </w:trPr>
        <w:tc>
          <w:tcPr>
            <w:tcW w:w="786" w:type="dxa"/>
            <w:vAlign w:val="center"/>
          </w:tcPr>
          <w:p w14:paraId="06426670" w14:textId="77777777" w:rsidR="0004071A" w:rsidRPr="009A27ED" w:rsidRDefault="0004071A" w:rsidP="00591357">
            <w:pPr>
              <w:spacing w:after="0"/>
              <w:jc w:val="left"/>
              <w:rPr>
                <w:sz w:val="18"/>
                <w:szCs w:val="18"/>
              </w:rPr>
            </w:pPr>
            <w:r w:rsidRPr="009A27ED">
              <w:rPr>
                <w:sz w:val="18"/>
                <w:szCs w:val="18"/>
              </w:rPr>
              <w:t>Área 2</w:t>
            </w:r>
          </w:p>
        </w:tc>
        <w:tc>
          <w:tcPr>
            <w:tcW w:w="1231" w:type="dxa"/>
            <w:vAlign w:val="center"/>
          </w:tcPr>
          <w:p w14:paraId="3C608C09" w14:textId="1CC176FF" w:rsidR="0004071A" w:rsidRPr="009A27ED" w:rsidRDefault="00AA0C57" w:rsidP="00591357">
            <w:pPr>
              <w:spacing w:after="0"/>
              <w:jc w:val="left"/>
              <w:rPr>
                <w:sz w:val="18"/>
                <w:szCs w:val="18"/>
              </w:rPr>
            </w:pPr>
            <w:r w:rsidRPr="009A27ED">
              <w:rPr>
                <w:sz w:val="18"/>
                <w:szCs w:val="18"/>
              </w:rPr>
              <w:t>205,597</w:t>
            </w:r>
            <w:r w:rsidR="0004071A" w:rsidRPr="009A27ED">
              <w:rPr>
                <w:sz w:val="18"/>
                <w:szCs w:val="18"/>
              </w:rPr>
              <w:t xml:space="preserve"> </w:t>
            </w:r>
          </w:p>
        </w:tc>
        <w:tc>
          <w:tcPr>
            <w:tcW w:w="1049" w:type="dxa"/>
            <w:vAlign w:val="center"/>
          </w:tcPr>
          <w:p w14:paraId="5EE91BB2" w14:textId="399A8018" w:rsidR="0004071A" w:rsidRPr="009A27ED" w:rsidRDefault="0004071A" w:rsidP="00591357">
            <w:pPr>
              <w:spacing w:after="0"/>
              <w:jc w:val="left"/>
              <w:rPr>
                <w:sz w:val="18"/>
                <w:szCs w:val="18"/>
              </w:rPr>
            </w:pPr>
            <w:r w:rsidRPr="009A27ED">
              <w:rPr>
                <w:sz w:val="18"/>
                <w:szCs w:val="18"/>
              </w:rPr>
              <w:t xml:space="preserve">36,355.20 </w:t>
            </w:r>
          </w:p>
        </w:tc>
        <w:tc>
          <w:tcPr>
            <w:tcW w:w="1180" w:type="dxa"/>
            <w:vAlign w:val="center"/>
          </w:tcPr>
          <w:p w14:paraId="2FD8611E" w14:textId="7730EBD0" w:rsidR="0004071A" w:rsidRPr="009A27ED" w:rsidRDefault="0004071A" w:rsidP="00591357">
            <w:pPr>
              <w:spacing w:after="0"/>
              <w:jc w:val="left"/>
              <w:rPr>
                <w:sz w:val="18"/>
                <w:szCs w:val="18"/>
              </w:rPr>
            </w:pPr>
            <w:r w:rsidRPr="009A27ED">
              <w:rPr>
                <w:sz w:val="18"/>
                <w:szCs w:val="18"/>
              </w:rPr>
              <w:t xml:space="preserve">12,407.83 </w:t>
            </w:r>
          </w:p>
        </w:tc>
        <w:tc>
          <w:tcPr>
            <w:tcW w:w="1049" w:type="dxa"/>
            <w:vAlign w:val="center"/>
          </w:tcPr>
          <w:p w14:paraId="1B12937E" w14:textId="2AD37543" w:rsidR="0004071A" w:rsidRPr="009A27ED" w:rsidRDefault="0004071A" w:rsidP="00591357">
            <w:pPr>
              <w:spacing w:after="0"/>
              <w:jc w:val="left"/>
              <w:rPr>
                <w:sz w:val="18"/>
                <w:szCs w:val="18"/>
              </w:rPr>
            </w:pPr>
            <w:r w:rsidRPr="009A27ED">
              <w:rPr>
                <w:sz w:val="18"/>
                <w:szCs w:val="18"/>
              </w:rPr>
              <w:t xml:space="preserve">74,569.68 </w:t>
            </w:r>
          </w:p>
        </w:tc>
        <w:tc>
          <w:tcPr>
            <w:tcW w:w="1053" w:type="dxa"/>
            <w:vAlign w:val="center"/>
          </w:tcPr>
          <w:p w14:paraId="32B10937" w14:textId="0D4657FF" w:rsidR="0004071A" w:rsidRPr="009A27ED" w:rsidRDefault="0004071A" w:rsidP="00591357">
            <w:pPr>
              <w:spacing w:after="0"/>
              <w:jc w:val="left"/>
              <w:rPr>
                <w:sz w:val="18"/>
                <w:szCs w:val="18"/>
              </w:rPr>
            </w:pPr>
            <w:r w:rsidRPr="009A27ED">
              <w:rPr>
                <w:sz w:val="18"/>
                <w:szCs w:val="18"/>
              </w:rPr>
              <w:t xml:space="preserve">67,377.94 </w:t>
            </w:r>
          </w:p>
        </w:tc>
        <w:tc>
          <w:tcPr>
            <w:tcW w:w="1047" w:type="dxa"/>
            <w:vAlign w:val="center"/>
          </w:tcPr>
          <w:p w14:paraId="4CBB3E8C" w14:textId="600C01CF" w:rsidR="0004071A" w:rsidRPr="009A27ED" w:rsidRDefault="0004071A" w:rsidP="00591357">
            <w:pPr>
              <w:spacing w:after="0"/>
              <w:jc w:val="left"/>
              <w:rPr>
                <w:sz w:val="18"/>
                <w:szCs w:val="18"/>
              </w:rPr>
            </w:pPr>
            <w:r w:rsidRPr="009A27ED">
              <w:rPr>
                <w:sz w:val="18"/>
                <w:szCs w:val="18"/>
              </w:rPr>
              <w:t xml:space="preserve">2,594.52 </w:t>
            </w:r>
          </w:p>
        </w:tc>
        <w:tc>
          <w:tcPr>
            <w:tcW w:w="975" w:type="dxa"/>
            <w:vAlign w:val="center"/>
          </w:tcPr>
          <w:p w14:paraId="465B6A35" w14:textId="47AE5A4F" w:rsidR="0004071A" w:rsidRPr="009A27ED" w:rsidRDefault="0004071A" w:rsidP="00591357">
            <w:pPr>
              <w:spacing w:after="0"/>
              <w:jc w:val="left"/>
              <w:rPr>
                <w:sz w:val="18"/>
                <w:szCs w:val="18"/>
              </w:rPr>
            </w:pPr>
            <w:r w:rsidRPr="009A27ED">
              <w:rPr>
                <w:sz w:val="18"/>
                <w:szCs w:val="18"/>
              </w:rPr>
              <w:t xml:space="preserve">4,261.76 </w:t>
            </w:r>
          </w:p>
        </w:tc>
        <w:tc>
          <w:tcPr>
            <w:tcW w:w="1080" w:type="dxa"/>
            <w:vAlign w:val="center"/>
          </w:tcPr>
          <w:p w14:paraId="3C065BEE" w14:textId="06CB6910" w:rsidR="0004071A" w:rsidRPr="009A27ED" w:rsidRDefault="0004071A" w:rsidP="00591357">
            <w:pPr>
              <w:spacing w:after="0"/>
              <w:jc w:val="left"/>
              <w:rPr>
                <w:sz w:val="18"/>
                <w:szCs w:val="18"/>
              </w:rPr>
            </w:pPr>
            <w:r w:rsidRPr="009A27ED">
              <w:rPr>
                <w:sz w:val="18"/>
                <w:szCs w:val="18"/>
              </w:rPr>
              <w:t xml:space="preserve">11,320.14 </w:t>
            </w:r>
          </w:p>
        </w:tc>
      </w:tr>
      <w:tr w:rsidR="0004071A" w:rsidRPr="009A27ED" w14:paraId="3D59A4B7" w14:textId="77777777" w:rsidTr="00AA0C57">
        <w:trPr>
          <w:trHeight w:val="235"/>
        </w:trPr>
        <w:tc>
          <w:tcPr>
            <w:tcW w:w="786" w:type="dxa"/>
            <w:vAlign w:val="center"/>
          </w:tcPr>
          <w:p w14:paraId="650FB311" w14:textId="77777777" w:rsidR="0004071A" w:rsidRPr="009A27ED" w:rsidRDefault="0004071A" w:rsidP="00591357">
            <w:pPr>
              <w:spacing w:after="0"/>
              <w:jc w:val="left"/>
              <w:rPr>
                <w:sz w:val="18"/>
                <w:szCs w:val="18"/>
              </w:rPr>
            </w:pPr>
            <w:r w:rsidRPr="009A27ED">
              <w:rPr>
                <w:sz w:val="18"/>
                <w:szCs w:val="18"/>
              </w:rPr>
              <w:t>Área 3</w:t>
            </w:r>
          </w:p>
        </w:tc>
        <w:tc>
          <w:tcPr>
            <w:tcW w:w="1231" w:type="dxa"/>
            <w:vAlign w:val="center"/>
          </w:tcPr>
          <w:p w14:paraId="26558538" w14:textId="39FC2723" w:rsidR="0004071A" w:rsidRPr="009A27ED" w:rsidRDefault="00AA0C57" w:rsidP="00591357">
            <w:pPr>
              <w:spacing w:after="0"/>
              <w:jc w:val="left"/>
              <w:rPr>
                <w:sz w:val="18"/>
                <w:szCs w:val="18"/>
              </w:rPr>
            </w:pPr>
            <w:r w:rsidRPr="009A27ED">
              <w:rPr>
                <w:sz w:val="18"/>
                <w:szCs w:val="18"/>
              </w:rPr>
              <w:t>646,229</w:t>
            </w:r>
            <w:r w:rsidR="0004071A" w:rsidRPr="009A27ED">
              <w:rPr>
                <w:sz w:val="18"/>
                <w:szCs w:val="18"/>
              </w:rPr>
              <w:t xml:space="preserve"> </w:t>
            </w:r>
          </w:p>
        </w:tc>
        <w:tc>
          <w:tcPr>
            <w:tcW w:w="1049" w:type="dxa"/>
            <w:vAlign w:val="center"/>
          </w:tcPr>
          <w:p w14:paraId="39E47A5A" w14:textId="4F0FDF6B" w:rsidR="0004071A" w:rsidRPr="009A27ED" w:rsidRDefault="0004071A" w:rsidP="00591357">
            <w:pPr>
              <w:spacing w:after="0"/>
              <w:jc w:val="left"/>
              <w:rPr>
                <w:sz w:val="18"/>
                <w:szCs w:val="18"/>
              </w:rPr>
            </w:pPr>
            <w:r w:rsidRPr="009A27ED">
              <w:rPr>
                <w:sz w:val="18"/>
                <w:szCs w:val="18"/>
              </w:rPr>
              <w:t xml:space="preserve">210,311.06 </w:t>
            </w:r>
          </w:p>
        </w:tc>
        <w:tc>
          <w:tcPr>
            <w:tcW w:w="1180" w:type="dxa"/>
            <w:vAlign w:val="center"/>
          </w:tcPr>
          <w:p w14:paraId="0D36B3B4" w14:textId="0EA445A1" w:rsidR="0004071A" w:rsidRPr="009A27ED" w:rsidRDefault="0004071A" w:rsidP="00591357">
            <w:pPr>
              <w:spacing w:after="0"/>
              <w:jc w:val="left"/>
              <w:rPr>
                <w:sz w:val="18"/>
                <w:szCs w:val="18"/>
              </w:rPr>
            </w:pPr>
            <w:r w:rsidRPr="009A27ED">
              <w:rPr>
                <w:sz w:val="18"/>
                <w:szCs w:val="18"/>
              </w:rPr>
              <w:t xml:space="preserve">138,239.32 </w:t>
            </w:r>
          </w:p>
        </w:tc>
        <w:tc>
          <w:tcPr>
            <w:tcW w:w="1049" w:type="dxa"/>
            <w:vAlign w:val="center"/>
          </w:tcPr>
          <w:p w14:paraId="0698AE2D" w14:textId="0D5B9D0A" w:rsidR="0004071A" w:rsidRPr="009A27ED" w:rsidRDefault="0004071A" w:rsidP="00591357">
            <w:pPr>
              <w:spacing w:after="0"/>
              <w:jc w:val="left"/>
              <w:rPr>
                <w:sz w:val="18"/>
                <w:szCs w:val="18"/>
              </w:rPr>
            </w:pPr>
            <w:r w:rsidRPr="009A27ED">
              <w:rPr>
                <w:sz w:val="18"/>
                <w:szCs w:val="18"/>
              </w:rPr>
              <w:t xml:space="preserve">168,528.27 </w:t>
            </w:r>
          </w:p>
        </w:tc>
        <w:tc>
          <w:tcPr>
            <w:tcW w:w="1053" w:type="dxa"/>
            <w:vAlign w:val="center"/>
          </w:tcPr>
          <w:p w14:paraId="2A5EA727" w14:textId="137F152A" w:rsidR="0004071A" w:rsidRPr="009A27ED" w:rsidRDefault="0004071A" w:rsidP="00591357">
            <w:pPr>
              <w:spacing w:after="0"/>
              <w:jc w:val="left"/>
              <w:rPr>
                <w:sz w:val="18"/>
                <w:szCs w:val="18"/>
              </w:rPr>
            </w:pPr>
            <w:r w:rsidRPr="009A27ED">
              <w:rPr>
                <w:sz w:val="18"/>
                <w:szCs w:val="18"/>
              </w:rPr>
              <w:t xml:space="preserve">258,799.68 </w:t>
            </w:r>
          </w:p>
        </w:tc>
        <w:tc>
          <w:tcPr>
            <w:tcW w:w="1047" w:type="dxa"/>
            <w:vAlign w:val="center"/>
          </w:tcPr>
          <w:p w14:paraId="0C3F3C7E" w14:textId="229043A0" w:rsidR="0004071A" w:rsidRPr="009A27ED" w:rsidRDefault="0004071A" w:rsidP="00591357">
            <w:pPr>
              <w:spacing w:after="0"/>
              <w:jc w:val="left"/>
              <w:rPr>
                <w:sz w:val="18"/>
                <w:szCs w:val="18"/>
              </w:rPr>
            </w:pPr>
            <w:r w:rsidRPr="009A27ED">
              <w:rPr>
                <w:sz w:val="18"/>
                <w:szCs w:val="18"/>
              </w:rPr>
              <w:t xml:space="preserve">3,073.68 </w:t>
            </w:r>
          </w:p>
        </w:tc>
        <w:tc>
          <w:tcPr>
            <w:tcW w:w="975" w:type="dxa"/>
            <w:vAlign w:val="center"/>
          </w:tcPr>
          <w:p w14:paraId="71005F86" w14:textId="47EE7877" w:rsidR="0004071A" w:rsidRPr="009A27ED" w:rsidRDefault="0004071A" w:rsidP="00591357">
            <w:pPr>
              <w:spacing w:after="0"/>
              <w:jc w:val="left"/>
              <w:rPr>
                <w:sz w:val="18"/>
                <w:szCs w:val="18"/>
              </w:rPr>
            </w:pPr>
            <w:r w:rsidRPr="009A27ED">
              <w:rPr>
                <w:sz w:val="18"/>
                <w:szCs w:val="18"/>
              </w:rPr>
              <w:t xml:space="preserve">4,757.13 </w:t>
            </w:r>
          </w:p>
        </w:tc>
        <w:tc>
          <w:tcPr>
            <w:tcW w:w="1080" w:type="dxa"/>
            <w:vAlign w:val="center"/>
          </w:tcPr>
          <w:p w14:paraId="365D88E6" w14:textId="448A2E8E" w:rsidR="0004071A" w:rsidRPr="009A27ED" w:rsidRDefault="0004071A" w:rsidP="00591357">
            <w:pPr>
              <w:spacing w:after="0"/>
              <w:jc w:val="left"/>
              <w:rPr>
                <w:sz w:val="18"/>
                <w:szCs w:val="18"/>
              </w:rPr>
            </w:pPr>
            <w:r w:rsidRPr="009A27ED">
              <w:rPr>
                <w:sz w:val="18"/>
                <w:szCs w:val="18"/>
              </w:rPr>
              <w:t xml:space="preserve">24,013.79 </w:t>
            </w:r>
          </w:p>
        </w:tc>
      </w:tr>
      <w:tr w:rsidR="0004071A" w:rsidRPr="009A27ED" w14:paraId="298B6CD1" w14:textId="77777777" w:rsidTr="00AA0C57">
        <w:trPr>
          <w:trHeight w:val="235"/>
        </w:trPr>
        <w:tc>
          <w:tcPr>
            <w:tcW w:w="786" w:type="dxa"/>
            <w:vAlign w:val="center"/>
          </w:tcPr>
          <w:p w14:paraId="3310CD0F" w14:textId="77777777" w:rsidR="0004071A" w:rsidRPr="009A27ED" w:rsidRDefault="0004071A" w:rsidP="00591357">
            <w:pPr>
              <w:spacing w:after="0"/>
              <w:jc w:val="left"/>
              <w:rPr>
                <w:sz w:val="18"/>
                <w:szCs w:val="18"/>
              </w:rPr>
            </w:pPr>
            <w:r w:rsidRPr="009A27ED">
              <w:rPr>
                <w:sz w:val="18"/>
                <w:szCs w:val="18"/>
              </w:rPr>
              <w:t>Área 4</w:t>
            </w:r>
          </w:p>
        </w:tc>
        <w:tc>
          <w:tcPr>
            <w:tcW w:w="1231" w:type="dxa"/>
            <w:vAlign w:val="center"/>
          </w:tcPr>
          <w:p w14:paraId="2697845A" w14:textId="625EB04E" w:rsidR="0004071A" w:rsidRPr="009A27ED" w:rsidRDefault="00AA0C57" w:rsidP="00591357">
            <w:pPr>
              <w:spacing w:after="0"/>
              <w:jc w:val="left"/>
              <w:rPr>
                <w:sz w:val="18"/>
                <w:szCs w:val="18"/>
              </w:rPr>
            </w:pPr>
            <w:r w:rsidRPr="009A27ED">
              <w:rPr>
                <w:sz w:val="18"/>
                <w:szCs w:val="18"/>
              </w:rPr>
              <w:t>146,337</w:t>
            </w:r>
            <w:r w:rsidR="0004071A" w:rsidRPr="009A27ED">
              <w:rPr>
                <w:sz w:val="18"/>
                <w:szCs w:val="18"/>
              </w:rPr>
              <w:t xml:space="preserve"> </w:t>
            </w:r>
          </w:p>
        </w:tc>
        <w:tc>
          <w:tcPr>
            <w:tcW w:w="1049" w:type="dxa"/>
            <w:vAlign w:val="center"/>
          </w:tcPr>
          <w:p w14:paraId="1DBD4A9D" w14:textId="23E37D6C" w:rsidR="0004071A" w:rsidRPr="009A27ED" w:rsidRDefault="0004071A" w:rsidP="00591357">
            <w:pPr>
              <w:spacing w:after="0"/>
              <w:jc w:val="left"/>
              <w:rPr>
                <w:sz w:val="18"/>
                <w:szCs w:val="18"/>
              </w:rPr>
            </w:pPr>
            <w:r w:rsidRPr="009A27ED">
              <w:rPr>
                <w:sz w:val="18"/>
                <w:szCs w:val="18"/>
              </w:rPr>
              <w:t xml:space="preserve">49,027.14 </w:t>
            </w:r>
          </w:p>
        </w:tc>
        <w:tc>
          <w:tcPr>
            <w:tcW w:w="1180" w:type="dxa"/>
            <w:vAlign w:val="center"/>
          </w:tcPr>
          <w:p w14:paraId="01E41B51" w14:textId="694F5C31" w:rsidR="0004071A" w:rsidRPr="009A27ED" w:rsidRDefault="0004071A" w:rsidP="00591357">
            <w:pPr>
              <w:spacing w:after="0"/>
              <w:jc w:val="left"/>
              <w:rPr>
                <w:sz w:val="18"/>
                <w:szCs w:val="18"/>
              </w:rPr>
            </w:pPr>
          </w:p>
        </w:tc>
        <w:tc>
          <w:tcPr>
            <w:tcW w:w="1049" w:type="dxa"/>
            <w:vAlign w:val="center"/>
          </w:tcPr>
          <w:p w14:paraId="26F8A155" w14:textId="2490BA57" w:rsidR="0004071A" w:rsidRPr="009A27ED" w:rsidRDefault="0004071A" w:rsidP="00591357">
            <w:pPr>
              <w:spacing w:after="0"/>
              <w:jc w:val="left"/>
              <w:rPr>
                <w:sz w:val="18"/>
                <w:szCs w:val="18"/>
              </w:rPr>
            </w:pPr>
            <w:r w:rsidRPr="009A27ED">
              <w:rPr>
                <w:sz w:val="18"/>
                <w:szCs w:val="18"/>
              </w:rPr>
              <w:t xml:space="preserve">52,227.81 </w:t>
            </w:r>
          </w:p>
        </w:tc>
        <w:tc>
          <w:tcPr>
            <w:tcW w:w="1053" w:type="dxa"/>
            <w:vAlign w:val="center"/>
          </w:tcPr>
          <w:p w14:paraId="2B52087C" w14:textId="0304124A" w:rsidR="0004071A" w:rsidRPr="009A27ED" w:rsidRDefault="0004071A" w:rsidP="00591357">
            <w:pPr>
              <w:spacing w:after="0"/>
              <w:jc w:val="left"/>
              <w:rPr>
                <w:sz w:val="18"/>
                <w:szCs w:val="18"/>
              </w:rPr>
            </w:pPr>
          </w:p>
        </w:tc>
        <w:tc>
          <w:tcPr>
            <w:tcW w:w="1047" w:type="dxa"/>
            <w:vAlign w:val="center"/>
          </w:tcPr>
          <w:p w14:paraId="051C35EC" w14:textId="4E3E4B84" w:rsidR="0004071A" w:rsidRPr="009A27ED" w:rsidRDefault="0004071A" w:rsidP="00591357">
            <w:pPr>
              <w:spacing w:after="0"/>
              <w:jc w:val="left"/>
              <w:rPr>
                <w:sz w:val="18"/>
                <w:szCs w:val="18"/>
              </w:rPr>
            </w:pPr>
            <w:r w:rsidRPr="009A27ED">
              <w:rPr>
                <w:sz w:val="18"/>
                <w:szCs w:val="18"/>
              </w:rPr>
              <w:t xml:space="preserve">159.30 </w:t>
            </w:r>
          </w:p>
        </w:tc>
        <w:tc>
          <w:tcPr>
            <w:tcW w:w="975" w:type="dxa"/>
            <w:vAlign w:val="center"/>
          </w:tcPr>
          <w:p w14:paraId="264D4D0B" w14:textId="46E3EE5B" w:rsidR="0004071A" w:rsidRPr="009A27ED" w:rsidRDefault="0004071A" w:rsidP="00591357">
            <w:pPr>
              <w:spacing w:after="0"/>
              <w:jc w:val="left"/>
              <w:rPr>
                <w:sz w:val="18"/>
                <w:szCs w:val="18"/>
              </w:rPr>
            </w:pPr>
            <w:r w:rsidRPr="009A27ED">
              <w:rPr>
                <w:sz w:val="18"/>
                <w:szCs w:val="18"/>
              </w:rPr>
              <w:t xml:space="preserve">2,704.49 </w:t>
            </w:r>
          </w:p>
        </w:tc>
        <w:tc>
          <w:tcPr>
            <w:tcW w:w="1080" w:type="dxa"/>
            <w:vAlign w:val="center"/>
          </w:tcPr>
          <w:p w14:paraId="7E915C36" w14:textId="313BFD04" w:rsidR="0004071A" w:rsidRPr="009A27ED" w:rsidRDefault="0004071A" w:rsidP="00591357">
            <w:pPr>
              <w:spacing w:after="0"/>
              <w:jc w:val="left"/>
              <w:rPr>
                <w:sz w:val="18"/>
                <w:szCs w:val="18"/>
              </w:rPr>
            </w:pPr>
            <w:r w:rsidRPr="009A27ED">
              <w:rPr>
                <w:sz w:val="18"/>
                <w:szCs w:val="18"/>
              </w:rPr>
              <w:t xml:space="preserve">36,679.23 </w:t>
            </w:r>
          </w:p>
        </w:tc>
      </w:tr>
      <w:tr w:rsidR="0004071A" w:rsidRPr="009A27ED" w14:paraId="3518F516" w14:textId="77777777" w:rsidTr="00AA0C57">
        <w:trPr>
          <w:trHeight w:val="247"/>
        </w:trPr>
        <w:tc>
          <w:tcPr>
            <w:tcW w:w="786" w:type="dxa"/>
            <w:vAlign w:val="center"/>
          </w:tcPr>
          <w:p w14:paraId="64DA68A9" w14:textId="77777777" w:rsidR="0004071A" w:rsidRPr="009A27ED" w:rsidRDefault="0004071A" w:rsidP="00591357">
            <w:pPr>
              <w:spacing w:after="0"/>
              <w:jc w:val="left"/>
              <w:rPr>
                <w:sz w:val="18"/>
                <w:szCs w:val="18"/>
              </w:rPr>
            </w:pPr>
            <w:r w:rsidRPr="009A27ED">
              <w:rPr>
                <w:sz w:val="18"/>
                <w:szCs w:val="18"/>
              </w:rPr>
              <w:t>Área 5</w:t>
            </w:r>
          </w:p>
        </w:tc>
        <w:tc>
          <w:tcPr>
            <w:tcW w:w="1231" w:type="dxa"/>
            <w:vAlign w:val="center"/>
          </w:tcPr>
          <w:p w14:paraId="29EE1A53" w14:textId="4362E6F9" w:rsidR="0004071A" w:rsidRPr="009A27ED" w:rsidRDefault="00AA0C57" w:rsidP="00591357">
            <w:pPr>
              <w:spacing w:after="0"/>
              <w:jc w:val="left"/>
              <w:rPr>
                <w:sz w:val="18"/>
                <w:szCs w:val="18"/>
              </w:rPr>
            </w:pPr>
            <w:r w:rsidRPr="009A27ED">
              <w:rPr>
                <w:sz w:val="18"/>
                <w:szCs w:val="18"/>
              </w:rPr>
              <w:t>230,676</w:t>
            </w:r>
            <w:r w:rsidR="0004071A" w:rsidRPr="009A27ED">
              <w:rPr>
                <w:sz w:val="18"/>
                <w:szCs w:val="18"/>
              </w:rPr>
              <w:t xml:space="preserve"> </w:t>
            </w:r>
          </w:p>
        </w:tc>
        <w:tc>
          <w:tcPr>
            <w:tcW w:w="1049" w:type="dxa"/>
            <w:vAlign w:val="center"/>
          </w:tcPr>
          <w:p w14:paraId="2E74B074" w14:textId="38B6D248" w:rsidR="0004071A" w:rsidRPr="009A27ED" w:rsidRDefault="0004071A" w:rsidP="00591357">
            <w:pPr>
              <w:spacing w:after="0"/>
              <w:jc w:val="left"/>
              <w:rPr>
                <w:sz w:val="18"/>
                <w:szCs w:val="18"/>
              </w:rPr>
            </w:pPr>
            <w:r w:rsidRPr="009A27ED">
              <w:rPr>
                <w:sz w:val="18"/>
                <w:szCs w:val="18"/>
              </w:rPr>
              <w:t xml:space="preserve">89,605.25 </w:t>
            </w:r>
          </w:p>
        </w:tc>
        <w:tc>
          <w:tcPr>
            <w:tcW w:w="1180" w:type="dxa"/>
            <w:vAlign w:val="center"/>
          </w:tcPr>
          <w:p w14:paraId="4DA224DC" w14:textId="32B3D9C9" w:rsidR="0004071A" w:rsidRPr="009A27ED" w:rsidRDefault="0004071A" w:rsidP="00591357">
            <w:pPr>
              <w:spacing w:after="0"/>
              <w:jc w:val="left"/>
              <w:rPr>
                <w:sz w:val="18"/>
                <w:szCs w:val="18"/>
              </w:rPr>
            </w:pPr>
            <w:r w:rsidRPr="009A27ED">
              <w:rPr>
                <w:sz w:val="18"/>
                <w:szCs w:val="18"/>
              </w:rPr>
              <w:t xml:space="preserve">975.42 </w:t>
            </w:r>
          </w:p>
        </w:tc>
        <w:tc>
          <w:tcPr>
            <w:tcW w:w="1049" w:type="dxa"/>
            <w:vAlign w:val="center"/>
          </w:tcPr>
          <w:p w14:paraId="606CFA24" w14:textId="2F4DC603" w:rsidR="0004071A" w:rsidRPr="009A27ED" w:rsidRDefault="0004071A" w:rsidP="00591357">
            <w:pPr>
              <w:spacing w:after="0"/>
              <w:jc w:val="left"/>
              <w:rPr>
                <w:sz w:val="18"/>
                <w:szCs w:val="18"/>
              </w:rPr>
            </w:pPr>
            <w:r w:rsidRPr="009A27ED">
              <w:rPr>
                <w:sz w:val="18"/>
                <w:szCs w:val="18"/>
              </w:rPr>
              <w:t xml:space="preserve">78,879.15 </w:t>
            </w:r>
          </w:p>
        </w:tc>
        <w:tc>
          <w:tcPr>
            <w:tcW w:w="1053" w:type="dxa"/>
            <w:vAlign w:val="center"/>
          </w:tcPr>
          <w:p w14:paraId="4FC51856" w14:textId="4AFEF96E" w:rsidR="0004071A" w:rsidRPr="009A27ED" w:rsidRDefault="0004071A" w:rsidP="00591357">
            <w:pPr>
              <w:spacing w:after="0"/>
              <w:jc w:val="left"/>
              <w:rPr>
                <w:sz w:val="18"/>
                <w:szCs w:val="18"/>
              </w:rPr>
            </w:pPr>
          </w:p>
        </w:tc>
        <w:tc>
          <w:tcPr>
            <w:tcW w:w="1047" w:type="dxa"/>
            <w:vAlign w:val="center"/>
          </w:tcPr>
          <w:p w14:paraId="57436C3D" w14:textId="66A80803" w:rsidR="0004071A" w:rsidRPr="009A27ED" w:rsidRDefault="0004071A" w:rsidP="00591357">
            <w:pPr>
              <w:spacing w:after="0"/>
              <w:jc w:val="left"/>
              <w:rPr>
                <w:sz w:val="18"/>
                <w:szCs w:val="18"/>
              </w:rPr>
            </w:pPr>
            <w:r w:rsidRPr="009A27ED">
              <w:rPr>
                <w:sz w:val="18"/>
                <w:szCs w:val="18"/>
              </w:rPr>
              <w:t xml:space="preserve">2,664.99 </w:t>
            </w:r>
          </w:p>
        </w:tc>
        <w:tc>
          <w:tcPr>
            <w:tcW w:w="975" w:type="dxa"/>
            <w:vAlign w:val="center"/>
          </w:tcPr>
          <w:p w14:paraId="509C478F" w14:textId="55CDBD8B" w:rsidR="0004071A" w:rsidRPr="009A27ED" w:rsidRDefault="0004071A" w:rsidP="00591357">
            <w:pPr>
              <w:spacing w:after="0"/>
              <w:jc w:val="left"/>
              <w:rPr>
                <w:sz w:val="18"/>
                <w:szCs w:val="18"/>
              </w:rPr>
            </w:pPr>
            <w:r w:rsidRPr="009A27ED">
              <w:rPr>
                <w:sz w:val="18"/>
                <w:szCs w:val="18"/>
              </w:rPr>
              <w:t xml:space="preserve">1,286.46 </w:t>
            </w:r>
          </w:p>
        </w:tc>
        <w:tc>
          <w:tcPr>
            <w:tcW w:w="1080" w:type="dxa"/>
            <w:vAlign w:val="center"/>
          </w:tcPr>
          <w:p w14:paraId="16722C44" w14:textId="775D301A" w:rsidR="0004071A" w:rsidRPr="009A27ED" w:rsidRDefault="0004071A" w:rsidP="00591357">
            <w:pPr>
              <w:spacing w:after="0"/>
              <w:jc w:val="left"/>
              <w:rPr>
                <w:sz w:val="18"/>
                <w:szCs w:val="18"/>
              </w:rPr>
            </w:pPr>
            <w:r w:rsidRPr="009A27ED">
              <w:rPr>
                <w:sz w:val="18"/>
                <w:szCs w:val="18"/>
              </w:rPr>
              <w:t xml:space="preserve">43,014.42 </w:t>
            </w:r>
          </w:p>
        </w:tc>
      </w:tr>
      <w:tr w:rsidR="0004071A" w:rsidRPr="009A27ED" w14:paraId="76E8E86A" w14:textId="77777777" w:rsidTr="00AA0C57">
        <w:trPr>
          <w:trHeight w:val="255"/>
        </w:trPr>
        <w:tc>
          <w:tcPr>
            <w:tcW w:w="786" w:type="dxa"/>
            <w:vAlign w:val="center"/>
          </w:tcPr>
          <w:p w14:paraId="197F124E" w14:textId="77777777" w:rsidR="0004071A" w:rsidRPr="009A27ED" w:rsidRDefault="0004071A" w:rsidP="00591357">
            <w:pPr>
              <w:spacing w:after="0"/>
              <w:jc w:val="left"/>
              <w:rPr>
                <w:b/>
                <w:sz w:val="18"/>
                <w:szCs w:val="18"/>
              </w:rPr>
            </w:pPr>
            <w:r w:rsidRPr="009A27ED">
              <w:rPr>
                <w:b/>
                <w:sz w:val="18"/>
                <w:szCs w:val="18"/>
              </w:rPr>
              <w:lastRenderedPageBreak/>
              <w:t>Totales</w:t>
            </w:r>
          </w:p>
        </w:tc>
        <w:tc>
          <w:tcPr>
            <w:tcW w:w="1231" w:type="dxa"/>
            <w:vAlign w:val="center"/>
          </w:tcPr>
          <w:p w14:paraId="3AEDEE7D" w14:textId="602AD63A" w:rsidR="0004071A" w:rsidRPr="009A27ED" w:rsidRDefault="0004071A" w:rsidP="00591357">
            <w:pPr>
              <w:spacing w:after="0"/>
              <w:jc w:val="left"/>
              <w:rPr>
                <w:b/>
                <w:sz w:val="18"/>
                <w:szCs w:val="18"/>
              </w:rPr>
            </w:pPr>
            <w:r w:rsidRPr="009A27ED">
              <w:rPr>
                <w:b/>
                <w:sz w:val="18"/>
                <w:szCs w:val="18"/>
              </w:rPr>
              <w:t>1</w:t>
            </w:r>
            <w:r w:rsidR="00AA0C57" w:rsidRPr="009A27ED">
              <w:rPr>
                <w:b/>
                <w:sz w:val="18"/>
                <w:szCs w:val="18"/>
              </w:rPr>
              <w:t>,</w:t>
            </w:r>
            <w:r w:rsidRPr="009A27ED">
              <w:rPr>
                <w:b/>
                <w:sz w:val="18"/>
                <w:szCs w:val="18"/>
              </w:rPr>
              <w:t>556</w:t>
            </w:r>
            <w:r w:rsidR="00AA0C57" w:rsidRPr="009A27ED">
              <w:rPr>
                <w:b/>
                <w:sz w:val="18"/>
                <w:szCs w:val="18"/>
              </w:rPr>
              <w:t>,</w:t>
            </w:r>
            <w:r w:rsidRPr="009A27ED">
              <w:rPr>
                <w:b/>
                <w:sz w:val="18"/>
                <w:szCs w:val="18"/>
              </w:rPr>
              <w:t>5</w:t>
            </w:r>
            <w:r w:rsidR="00AA0C57" w:rsidRPr="009A27ED">
              <w:rPr>
                <w:b/>
                <w:sz w:val="18"/>
                <w:szCs w:val="18"/>
              </w:rPr>
              <w:t>01</w:t>
            </w:r>
            <w:r w:rsidRPr="009A27ED">
              <w:rPr>
                <w:b/>
                <w:sz w:val="18"/>
                <w:szCs w:val="18"/>
              </w:rPr>
              <w:t>.0</w:t>
            </w:r>
            <w:r w:rsidR="00AA0C57" w:rsidRPr="009A27ED">
              <w:rPr>
                <w:b/>
                <w:sz w:val="18"/>
                <w:szCs w:val="18"/>
              </w:rPr>
              <w:t>0</w:t>
            </w:r>
            <w:r w:rsidRPr="009A27ED">
              <w:rPr>
                <w:b/>
                <w:sz w:val="18"/>
                <w:szCs w:val="18"/>
              </w:rPr>
              <w:t xml:space="preserve"> </w:t>
            </w:r>
          </w:p>
        </w:tc>
        <w:tc>
          <w:tcPr>
            <w:tcW w:w="1049" w:type="dxa"/>
            <w:vAlign w:val="center"/>
          </w:tcPr>
          <w:p w14:paraId="54E2F512" w14:textId="017D9CDD" w:rsidR="0004071A" w:rsidRPr="009A27ED" w:rsidRDefault="0004071A" w:rsidP="00591357">
            <w:pPr>
              <w:spacing w:after="0"/>
              <w:jc w:val="left"/>
              <w:rPr>
                <w:b/>
                <w:sz w:val="18"/>
                <w:szCs w:val="18"/>
              </w:rPr>
            </w:pPr>
            <w:r w:rsidRPr="009A27ED">
              <w:rPr>
                <w:b/>
                <w:sz w:val="18"/>
                <w:szCs w:val="18"/>
              </w:rPr>
              <w:t xml:space="preserve">471,084.84 </w:t>
            </w:r>
          </w:p>
        </w:tc>
        <w:tc>
          <w:tcPr>
            <w:tcW w:w="1180" w:type="dxa"/>
            <w:vAlign w:val="center"/>
          </w:tcPr>
          <w:p w14:paraId="21E08E34" w14:textId="4AF78614" w:rsidR="0004071A" w:rsidRPr="009A27ED" w:rsidRDefault="0004071A" w:rsidP="00591357">
            <w:pPr>
              <w:spacing w:after="0"/>
              <w:jc w:val="left"/>
              <w:rPr>
                <w:b/>
                <w:sz w:val="18"/>
                <w:szCs w:val="18"/>
              </w:rPr>
            </w:pPr>
            <w:r w:rsidRPr="009A27ED">
              <w:rPr>
                <w:b/>
                <w:sz w:val="18"/>
                <w:szCs w:val="18"/>
              </w:rPr>
              <w:t xml:space="preserve">219,048.59 </w:t>
            </w:r>
          </w:p>
        </w:tc>
        <w:tc>
          <w:tcPr>
            <w:tcW w:w="1049" w:type="dxa"/>
            <w:vAlign w:val="center"/>
          </w:tcPr>
          <w:p w14:paraId="3EBC327D" w14:textId="13A88841" w:rsidR="0004071A" w:rsidRPr="009A27ED" w:rsidRDefault="0004071A" w:rsidP="00591357">
            <w:pPr>
              <w:spacing w:after="0"/>
              <w:jc w:val="left"/>
              <w:rPr>
                <w:b/>
                <w:sz w:val="18"/>
                <w:szCs w:val="18"/>
              </w:rPr>
            </w:pPr>
            <w:r w:rsidRPr="009A27ED">
              <w:rPr>
                <w:b/>
                <w:sz w:val="18"/>
                <w:szCs w:val="18"/>
              </w:rPr>
              <w:t xml:space="preserve">391,025.49 </w:t>
            </w:r>
          </w:p>
        </w:tc>
        <w:tc>
          <w:tcPr>
            <w:tcW w:w="1053" w:type="dxa"/>
            <w:vAlign w:val="center"/>
          </w:tcPr>
          <w:p w14:paraId="54E9B7D5" w14:textId="437FE753" w:rsidR="0004071A" w:rsidRPr="009A27ED" w:rsidRDefault="0004071A" w:rsidP="00591357">
            <w:pPr>
              <w:spacing w:after="0"/>
              <w:jc w:val="left"/>
              <w:rPr>
                <w:b/>
                <w:sz w:val="18"/>
                <w:szCs w:val="18"/>
              </w:rPr>
            </w:pPr>
            <w:r w:rsidRPr="009A27ED">
              <w:rPr>
                <w:b/>
                <w:sz w:val="18"/>
                <w:szCs w:val="18"/>
              </w:rPr>
              <w:t xml:space="preserve">335,049.23 </w:t>
            </w:r>
          </w:p>
        </w:tc>
        <w:tc>
          <w:tcPr>
            <w:tcW w:w="1047" w:type="dxa"/>
            <w:vAlign w:val="center"/>
          </w:tcPr>
          <w:p w14:paraId="253E38BA" w14:textId="1CDA4075" w:rsidR="0004071A" w:rsidRPr="009A27ED" w:rsidRDefault="0004071A" w:rsidP="00591357">
            <w:pPr>
              <w:spacing w:after="0"/>
              <w:jc w:val="left"/>
              <w:rPr>
                <w:b/>
                <w:sz w:val="18"/>
                <w:szCs w:val="18"/>
              </w:rPr>
            </w:pPr>
            <w:r w:rsidRPr="009A27ED">
              <w:rPr>
                <w:b/>
                <w:sz w:val="18"/>
                <w:szCs w:val="18"/>
              </w:rPr>
              <w:t xml:space="preserve">9,320.58 </w:t>
            </w:r>
          </w:p>
        </w:tc>
        <w:tc>
          <w:tcPr>
            <w:tcW w:w="975" w:type="dxa"/>
            <w:vAlign w:val="center"/>
          </w:tcPr>
          <w:p w14:paraId="5F1302F2" w14:textId="42B96571" w:rsidR="0004071A" w:rsidRPr="009A27ED" w:rsidRDefault="0004071A" w:rsidP="00591357">
            <w:pPr>
              <w:spacing w:after="0"/>
              <w:jc w:val="left"/>
              <w:rPr>
                <w:b/>
                <w:sz w:val="18"/>
                <w:szCs w:val="18"/>
              </w:rPr>
            </w:pPr>
            <w:r w:rsidRPr="009A27ED">
              <w:rPr>
                <w:b/>
                <w:sz w:val="18"/>
                <w:szCs w:val="18"/>
              </w:rPr>
              <w:t xml:space="preserve">13,710.02 </w:t>
            </w:r>
          </w:p>
        </w:tc>
        <w:tc>
          <w:tcPr>
            <w:tcW w:w="1080" w:type="dxa"/>
            <w:vAlign w:val="center"/>
          </w:tcPr>
          <w:p w14:paraId="7764F3C6" w14:textId="5C2AEB23" w:rsidR="0004071A" w:rsidRPr="009A27ED" w:rsidRDefault="0004071A" w:rsidP="00591357">
            <w:pPr>
              <w:keepNext/>
              <w:spacing w:after="0"/>
              <w:jc w:val="left"/>
              <w:rPr>
                <w:b/>
                <w:sz w:val="18"/>
                <w:szCs w:val="18"/>
              </w:rPr>
            </w:pPr>
            <w:r w:rsidRPr="009A27ED">
              <w:rPr>
                <w:b/>
                <w:sz w:val="18"/>
                <w:szCs w:val="18"/>
              </w:rPr>
              <w:t xml:space="preserve">138,311.03 </w:t>
            </w:r>
          </w:p>
        </w:tc>
      </w:tr>
    </w:tbl>
    <w:p w14:paraId="4DC2A5EA" w14:textId="77777777" w:rsidR="008A63EF" w:rsidRPr="009A27ED" w:rsidRDefault="008A63EF" w:rsidP="005B6485">
      <w:pPr>
        <w:spacing w:before="120" w:after="0" w:line="360" w:lineRule="auto"/>
        <w:rPr>
          <w:bCs/>
          <w:iCs/>
          <w:szCs w:val="22"/>
        </w:rPr>
      </w:pPr>
    </w:p>
    <w:p w14:paraId="25446648" w14:textId="57896A5F" w:rsidR="0004071A" w:rsidRPr="009A27ED" w:rsidRDefault="0004071A" w:rsidP="005B6485">
      <w:pPr>
        <w:spacing w:before="120" w:after="0" w:line="360" w:lineRule="auto"/>
        <w:rPr>
          <w:bCs/>
          <w:iCs/>
          <w:szCs w:val="22"/>
        </w:rPr>
      </w:pPr>
      <w:r w:rsidRPr="009A27ED">
        <w:rPr>
          <w:rFonts w:ascii="Times New Roman" w:eastAsia="Times New Roman" w:hAnsi="Times New Roman"/>
          <w:bCs/>
          <w:iCs/>
          <w:sz w:val="24"/>
          <w:szCs w:val="22"/>
        </w:rPr>
        <w:t xml:space="preserve">De estos usos de suelo, los que poseen actual y potencial reducción de emisiones forestales, y por tanto formarán parte del </w:t>
      </w:r>
      <w:r w:rsidR="00506A0D" w:rsidRPr="009A27ED">
        <w:rPr>
          <w:rFonts w:ascii="Times New Roman" w:eastAsia="Times New Roman" w:hAnsi="Times New Roman"/>
          <w:bCs/>
          <w:iCs/>
          <w:sz w:val="24"/>
          <w:szCs w:val="22"/>
        </w:rPr>
        <w:t>á</w:t>
      </w:r>
      <w:r w:rsidRPr="009A27ED">
        <w:rPr>
          <w:rFonts w:ascii="Times New Roman" w:eastAsia="Times New Roman" w:hAnsi="Times New Roman"/>
          <w:bCs/>
          <w:iCs/>
          <w:sz w:val="24"/>
          <w:szCs w:val="22"/>
        </w:rPr>
        <w:t>rea de contabilidad del Programa de RE son:</w:t>
      </w:r>
    </w:p>
    <w:p w14:paraId="4C149E24" w14:textId="6CDF0116" w:rsidR="0004071A" w:rsidRPr="009A27ED" w:rsidRDefault="0004071A" w:rsidP="00D42802">
      <w:pPr>
        <w:pStyle w:val="Prrafodelista"/>
        <w:numPr>
          <w:ilvl w:val="0"/>
          <w:numId w:val="48"/>
        </w:numPr>
        <w:spacing w:after="0" w:line="360" w:lineRule="auto"/>
        <w:rPr>
          <w:bCs/>
          <w:iCs/>
          <w:szCs w:val="22"/>
        </w:rPr>
      </w:pPr>
      <w:r w:rsidRPr="009A27ED">
        <w:rPr>
          <w:rFonts w:ascii="Times New Roman" w:eastAsia="Times New Roman" w:hAnsi="Times New Roman"/>
          <w:bCs/>
          <w:iCs/>
          <w:sz w:val="24"/>
          <w:szCs w:val="22"/>
        </w:rPr>
        <w:t>Bosques nativos:</w:t>
      </w:r>
      <w:r w:rsidR="00506A0D" w:rsidRPr="009A27ED">
        <w:rPr>
          <w:rFonts w:ascii="Times New Roman" w:eastAsia="Times New Roman" w:hAnsi="Times New Roman"/>
          <w:bCs/>
          <w:iCs/>
          <w:sz w:val="24"/>
          <w:szCs w:val="22"/>
        </w:rPr>
        <w:t xml:space="preserve"> </w:t>
      </w:r>
      <w:r w:rsidRPr="009A27ED">
        <w:rPr>
          <w:rFonts w:ascii="Times New Roman" w:eastAsia="Times New Roman" w:hAnsi="Times New Roman"/>
          <w:bCs/>
          <w:iCs/>
          <w:sz w:val="24"/>
          <w:szCs w:val="22"/>
        </w:rPr>
        <w:t xml:space="preserve">actualmente generan emisiones y capturas, y poseen potencial de nuevas capturas por restauración y conservación. </w:t>
      </w:r>
    </w:p>
    <w:p w14:paraId="4E039794" w14:textId="77777777" w:rsidR="0004071A" w:rsidRPr="009A27ED" w:rsidRDefault="0004071A" w:rsidP="00D42802">
      <w:pPr>
        <w:pStyle w:val="Prrafodelista"/>
        <w:numPr>
          <w:ilvl w:val="0"/>
          <w:numId w:val="48"/>
        </w:numPr>
        <w:spacing w:after="0" w:line="360" w:lineRule="auto"/>
        <w:rPr>
          <w:bCs/>
          <w:iCs/>
          <w:szCs w:val="22"/>
        </w:rPr>
      </w:pPr>
      <w:r w:rsidRPr="009A27ED">
        <w:rPr>
          <w:rFonts w:ascii="Times New Roman" w:eastAsia="Times New Roman" w:hAnsi="Times New Roman"/>
          <w:bCs/>
          <w:iCs/>
          <w:sz w:val="24"/>
          <w:szCs w:val="22"/>
        </w:rPr>
        <w:t>Plantaciones forestales: potenciales capturas por transformación de plantación a bosque nativo.</w:t>
      </w:r>
    </w:p>
    <w:p w14:paraId="7ADAF40F" w14:textId="77777777" w:rsidR="0004071A" w:rsidRPr="009A27ED" w:rsidRDefault="0004071A" w:rsidP="00D42802">
      <w:pPr>
        <w:pStyle w:val="Prrafodelista"/>
        <w:numPr>
          <w:ilvl w:val="0"/>
          <w:numId w:val="48"/>
        </w:numPr>
        <w:spacing w:after="0" w:line="360" w:lineRule="auto"/>
        <w:rPr>
          <w:bCs/>
          <w:iCs/>
          <w:szCs w:val="22"/>
        </w:rPr>
      </w:pPr>
      <w:r w:rsidRPr="009A27ED">
        <w:rPr>
          <w:rFonts w:ascii="Times New Roman" w:eastAsia="Times New Roman" w:hAnsi="Times New Roman"/>
          <w:bCs/>
          <w:iCs/>
          <w:sz w:val="24"/>
          <w:szCs w:val="22"/>
        </w:rPr>
        <w:t>Terrenos de uso agrícola: potenciales capturas por transformación de terreno agrícola a bosque nativo.</w:t>
      </w:r>
    </w:p>
    <w:p w14:paraId="3CD1E7D9" w14:textId="77777777" w:rsidR="0004071A" w:rsidRPr="009A27ED" w:rsidRDefault="0004071A" w:rsidP="00D42802">
      <w:pPr>
        <w:pStyle w:val="Prrafodelista"/>
        <w:numPr>
          <w:ilvl w:val="0"/>
          <w:numId w:val="48"/>
        </w:numPr>
        <w:spacing w:after="0" w:line="360" w:lineRule="auto"/>
        <w:rPr>
          <w:bCs/>
          <w:iCs/>
          <w:szCs w:val="22"/>
        </w:rPr>
      </w:pPr>
      <w:r w:rsidRPr="009A27ED">
        <w:rPr>
          <w:rFonts w:ascii="Times New Roman" w:eastAsia="Times New Roman" w:hAnsi="Times New Roman"/>
          <w:bCs/>
          <w:iCs/>
          <w:sz w:val="24"/>
          <w:szCs w:val="22"/>
        </w:rPr>
        <w:t>Matorrales y praderas: potenciales capturas por forestación.</w:t>
      </w:r>
    </w:p>
    <w:p w14:paraId="33FD3F1C" w14:textId="70DF6D41" w:rsidR="0004071A" w:rsidRPr="009A27ED" w:rsidRDefault="0004071A" w:rsidP="00273E43">
      <w:pPr>
        <w:spacing w:before="120" w:after="0" w:line="360" w:lineRule="auto"/>
        <w:rPr>
          <w:bCs/>
          <w:iCs/>
        </w:rPr>
      </w:pPr>
      <w:r w:rsidRPr="009A27ED">
        <w:rPr>
          <w:rFonts w:ascii="Times New Roman" w:eastAsia="Times New Roman" w:hAnsi="Times New Roman"/>
          <w:bCs/>
          <w:iCs/>
          <w:sz w:val="24"/>
          <w:szCs w:val="22"/>
        </w:rPr>
        <w:t xml:space="preserve">La superficie total de las áreas priorizadas es de </w:t>
      </w:r>
      <w:r w:rsidRPr="009A27ED">
        <w:rPr>
          <w:rFonts w:ascii="Times New Roman" w:eastAsia="Times New Roman" w:hAnsi="Times New Roman"/>
          <w:color w:val="000000"/>
          <w:sz w:val="24"/>
          <w:szCs w:val="22"/>
        </w:rPr>
        <w:t>15,565 km</w:t>
      </w:r>
      <w:r w:rsidRPr="009A27ED">
        <w:rPr>
          <w:rFonts w:ascii="Times New Roman" w:eastAsia="Times New Roman" w:hAnsi="Times New Roman"/>
          <w:color w:val="000000"/>
          <w:sz w:val="24"/>
          <w:szCs w:val="22"/>
          <w:vertAlign w:val="superscript"/>
        </w:rPr>
        <w:t>2</w:t>
      </w:r>
      <w:r w:rsidRPr="009A27ED">
        <w:rPr>
          <w:rFonts w:ascii="Times New Roman" w:eastAsia="Times New Roman" w:hAnsi="Times New Roman"/>
          <w:color w:val="000000"/>
          <w:sz w:val="24"/>
          <w:szCs w:val="22"/>
        </w:rPr>
        <w:t>, pero t</w:t>
      </w:r>
      <w:r w:rsidRPr="009A27ED">
        <w:rPr>
          <w:rFonts w:ascii="Times New Roman" w:eastAsia="Times New Roman" w:hAnsi="Times New Roman"/>
          <w:bCs/>
          <w:iCs/>
          <w:sz w:val="24"/>
          <w:szCs w:val="22"/>
        </w:rPr>
        <w:t>omando en cuenta que s</w:t>
      </w:r>
      <w:r w:rsidR="00506A0D" w:rsidRPr="009A27ED">
        <w:rPr>
          <w:rFonts w:ascii="Times New Roman" w:eastAsia="Times New Roman" w:hAnsi="Times New Roman"/>
          <w:bCs/>
          <w:iCs/>
          <w:sz w:val="24"/>
          <w:szCs w:val="22"/>
        </w:rPr>
        <w:t>ó</w:t>
      </w:r>
      <w:r w:rsidRPr="009A27ED">
        <w:rPr>
          <w:rFonts w:ascii="Times New Roman" w:eastAsia="Times New Roman" w:hAnsi="Times New Roman"/>
          <w:bCs/>
          <w:iCs/>
          <w:sz w:val="24"/>
          <w:szCs w:val="22"/>
        </w:rPr>
        <w:t>lo cuatro de los siete usos señalados</w:t>
      </w:r>
      <w:r w:rsidR="005A643B" w:rsidRPr="009A27ED">
        <w:rPr>
          <w:rFonts w:ascii="Times New Roman" w:eastAsia="Times New Roman" w:hAnsi="Times New Roman"/>
          <w:bCs/>
          <w:iCs/>
          <w:sz w:val="24"/>
          <w:szCs w:val="22"/>
        </w:rPr>
        <w:t>,</w:t>
      </w:r>
      <w:r w:rsidRPr="009A27ED">
        <w:rPr>
          <w:rFonts w:ascii="Times New Roman" w:eastAsia="Times New Roman" w:hAnsi="Times New Roman"/>
          <w:bCs/>
          <w:iCs/>
          <w:sz w:val="24"/>
          <w:szCs w:val="22"/>
        </w:rPr>
        <w:t xml:space="preserve"> representa </w:t>
      </w:r>
      <w:r w:rsidR="005D2DED" w:rsidRPr="009A27ED">
        <w:rPr>
          <w:rFonts w:ascii="Times New Roman" w:eastAsia="Times New Roman" w:hAnsi="Times New Roman"/>
          <w:bCs/>
          <w:iCs/>
          <w:sz w:val="24"/>
          <w:szCs w:val="22"/>
        </w:rPr>
        <w:t>una potencial captura</w:t>
      </w:r>
      <w:r w:rsidRPr="009A27ED">
        <w:rPr>
          <w:rFonts w:ascii="Times New Roman" w:eastAsia="Times New Roman" w:hAnsi="Times New Roman"/>
          <w:bCs/>
          <w:iCs/>
          <w:sz w:val="24"/>
          <w:szCs w:val="22"/>
        </w:rPr>
        <w:t xml:space="preserve"> de carbono y por </w:t>
      </w:r>
      <w:r w:rsidR="005D2DED" w:rsidRPr="009A27ED">
        <w:rPr>
          <w:rFonts w:ascii="Times New Roman" w:eastAsia="Times New Roman" w:hAnsi="Times New Roman"/>
          <w:bCs/>
          <w:iCs/>
          <w:sz w:val="24"/>
          <w:szCs w:val="22"/>
        </w:rPr>
        <w:t>ende para</w:t>
      </w:r>
      <w:r w:rsidRPr="009A27ED">
        <w:rPr>
          <w:rFonts w:ascii="Times New Roman" w:eastAsia="Times New Roman" w:hAnsi="Times New Roman"/>
          <w:bCs/>
          <w:iCs/>
          <w:sz w:val="24"/>
          <w:szCs w:val="22"/>
        </w:rPr>
        <w:t xml:space="preserve"> formar parte del </w:t>
      </w:r>
      <w:r w:rsidR="00124B63" w:rsidRPr="009A27ED">
        <w:rPr>
          <w:rFonts w:ascii="Times New Roman" w:eastAsia="Times New Roman" w:hAnsi="Times New Roman"/>
          <w:bCs/>
          <w:iCs/>
          <w:sz w:val="24"/>
          <w:szCs w:val="22"/>
        </w:rPr>
        <w:t>Programa REDD+</w:t>
      </w:r>
      <w:r w:rsidRPr="009A27ED">
        <w:rPr>
          <w:rFonts w:ascii="Times New Roman" w:eastAsia="Times New Roman" w:hAnsi="Times New Roman"/>
          <w:bCs/>
          <w:iCs/>
          <w:sz w:val="24"/>
          <w:szCs w:val="22"/>
        </w:rPr>
        <w:t>, la superficie a considerar dentro de las áreas priorizadas es de 14,162 Km</w:t>
      </w:r>
      <w:r w:rsidRPr="009A27ED">
        <w:rPr>
          <w:rFonts w:ascii="Times New Roman" w:eastAsia="Times New Roman" w:hAnsi="Times New Roman"/>
          <w:bCs/>
          <w:iCs/>
          <w:sz w:val="24"/>
          <w:szCs w:val="22"/>
          <w:vertAlign w:val="superscript"/>
        </w:rPr>
        <w:t>2</w:t>
      </w:r>
      <w:r w:rsidRPr="009A27ED">
        <w:rPr>
          <w:rFonts w:ascii="Times New Roman" w:eastAsia="Times New Roman" w:hAnsi="Times New Roman"/>
          <w:bCs/>
          <w:iCs/>
          <w:sz w:val="24"/>
          <w:szCs w:val="22"/>
        </w:rPr>
        <w:t>, como se obser</w:t>
      </w:r>
      <w:r w:rsidR="007C02A2" w:rsidRPr="009A27ED">
        <w:rPr>
          <w:rFonts w:ascii="Times New Roman" w:eastAsia="Times New Roman" w:hAnsi="Times New Roman"/>
          <w:bCs/>
          <w:iCs/>
          <w:sz w:val="24"/>
          <w:szCs w:val="22"/>
        </w:rPr>
        <w:t>va en la siguiente gráfica:</w:t>
      </w:r>
    </w:p>
    <w:p w14:paraId="4E403C06" w14:textId="77777777" w:rsidR="00273E43" w:rsidRPr="009A27ED" w:rsidRDefault="00273E43" w:rsidP="00273E43">
      <w:pPr>
        <w:spacing w:before="120" w:after="0" w:line="360" w:lineRule="auto"/>
        <w:rPr>
          <w:bCs/>
          <w:iCs/>
        </w:rPr>
      </w:pPr>
    </w:p>
    <w:p w14:paraId="3B25D9BF" w14:textId="77777777" w:rsidR="00654D6A" w:rsidRPr="009A27ED" w:rsidRDefault="0004071A" w:rsidP="00654D6A">
      <w:pPr>
        <w:pStyle w:val="Encabezado"/>
        <w:keepNext/>
        <w:keepLines w:val="0"/>
        <w:tabs>
          <w:tab w:val="clear" w:pos="4153"/>
          <w:tab w:val="clear" w:pos="8306"/>
        </w:tabs>
        <w:spacing w:line="360" w:lineRule="auto"/>
        <w:jc w:val="both"/>
      </w:pPr>
      <w:r w:rsidRPr="009A27ED">
        <w:rPr>
          <w:rFonts w:asciiTheme="minorHAnsi" w:eastAsiaTheme="minorHAnsi" w:hAnsiTheme="minorHAnsi" w:cstheme="minorHAnsi"/>
          <w:noProof/>
          <w:sz w:val="24"/>
          <w:szCs w:val="20"/>
          <w:lang w:val="en-US" w:eastAsia="en-US"/>
        </w:rPr>
        <w:drawing>
          <wp:inline distT="0" distB="0" distL="0" distR="0" wp14:anchorId="23C51489" wp14:editId="0F001B36">
            <wp:extent cx="4212771" cy="2543266"/>
            <wp:effectExtent l="0" t="0" r="16510" b="9525"/>
            <wp:docPr id="23"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14:paraId="1968580E" w14:textId="3BA4F10E" w:rsidR="00273E43" w:rsidRPr="009A27ED" w:rsidRDefault="00654D6A" w:rsidP="00654D6A">
      <w:pPr>
        <w:pStyle w:val="Descripcin"/>
        <w:spacing w:line="360" w:lineRule="auto"/>
      </w:pPr>
      <w:bookmarkStart w:id="150" w:name="_Toc111892204"/>
      <w:r w:rsidRPr="009A27ED">
        <w:rPr>
          <w:rFonts w:ascii="Times New Roman" w:eastAsia="Times New Roman" w:hAnsi="Times New Roman"/>
          <w:sz w:val="24"/>
        </w:rPr>
        <w:t xml:space="preserve">Grafica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Grafica_ \* ARABIC </w:instrText>
      </w:r>
      <w:r w:rsidRPr="009A27ED">
        <w:rPr>
          <w:rFonts w:ascii="Times New Roman" w:eastAsia="Times New Roman" w:hAnsi="Times New Roman"/>
          <w:sz w:val="24"/>
        </w:rPr>
        <w:fldChar w:fldCharType="separate"/>
      </w:r>
      <w:r w:rsidR="00750181" w:rsidRPr="009A27ED">
        <w:rPr>
          <w:rFonts w:ascii="Times New Roman" w:eastAsia="Times New Roman" w:hAnsi="Times New Roman"/>
          <w:noProof/>
          <w:sz w:val="24"/>
        </w:rPr>
        <w:t>2</w:t>
      </w:r>
      <w:r w:rsidRPr="009A27ED">
        <w:rPr>
          <w:rFonts w:ascii="Times New Roman" w:eastAsia="Times New Roman" w:hAnsi="Times New Roman"/>
          <w:sz w:val="24"/>
        </w:rPr>
        <w:fldChar w:fldCharType="end"/>
      </w:r>
      <w:r w:rsidRPr="009A27ED">
        <w:rPr>
          <w:rFonts w:ascii="Times New Roman" w:eastAsia="Times New Roman" w:hAnsi="Times New Roman"/>
          <w:sz w:val="24"/>
        </w:rPr>
        <w:t>.  Usos de suelo en las áreas priorizadas</w:t>
      </w:r>
      <w:bookmarkEnd w:id="150"/>
    </w:p>
    <w:p w14:paraId="1830C32E" w14:textId="77777777" w:rsidR="00654D6A" w:rsidRPr="009A27ED" w:rsidRDefault="0004071A" w:rsidP="00654D6A">
      <w:pPr>
        <w:keepNext/>
        <w:spacing w:after="0" w:line="360" w:lineRule="auto"/>
      </w:pPr>
      <w:r w:rsidRPr="009A27ED">
        <w:rPr>
          <w:rFonts w:ascii="Times New Roman" w:eastAsia="Times New Roman" w:hAnsi="Times New Roman"/>
          <w:noProof/>
          <w:sz w:val="24"/>
          <w:lang w:val="en-US"/>
        </w:rPr>
        <w:drawing>
          <wp:inline distT="0" distB="0" distL="0" distR="0" wp14:anchorId="686DEE68" wp14:editId="5C6002C4">
            <wp:extent cx="5943600" cy="2098040"/>
            <wp:effectExtent l="0" t="0" r="19050" b="16510"/>
            <wp:docPr id="24"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14:paraId="1BAAB792" w14:textId="1E00052F" w:rsidR="00273E43" w:rsidRPr="009A27ED" w:rsidRDefault="00654D6A" w:rsidP="00654D6A">
      <w:pPr>
        <w:pStyle w:val="Descripcin"/>
        <w:spacing w:line="360" w:lineRule="auto"/>
      </w:pPr>
      <w:bookmarkStart w:id="151" w:name="_Toc111892205"/>
      <w:r w:rsidRPr="009A27ED">
        <w:rPr>
          <w:rFonts w:ascii="Times New Roman" w:eastAsia="Times New Roman" w:hAnsi="Times New Roman"/>
          <w:sz w:val="24"/>
        </w:rPr>
        <w:t xml:space="preserve">Grafica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Grafica_ \* ARABIC </w:instrText>
      </w:r>
      <w:r w:rsidRPr="009A27ED">
        <w:rPr>
          <w:rFonts w:ascii="Times New Roman" w:eastAsia="Times New Roman" w:hAnsi="Times New Roman"/>
          <w:sz w:val="24"/>
        </w:rPr>
        <w:fldChar w:fldCharType="separate"/>
      </w:r>
      <w:r w:rsidR="00750181" w:rsidRPr="009A27ED">
        <w:rPr>
          <w:rFonts w:ascii="Times New Roman" w:eastAsia="Times New Roman" w:hAnsi="Times New Roman"/>
          <w:noProof/>
          <w:sz w:val="24"/>
        </w:rPr>
        <w:t>3</w:t>
      </w:r>
      <w:r w:rsidRPr="009A27ED">
        <w:rPr>
          <w:rFonts w:ascii="Times New Roman" w:eastAsia="Times New Roman" w:hAnsi="Times New Roman"/>
          <w:sz w:val="24"/>
        </w:rPr>
        <w:fldChar w:fldCharType="end"/>
      </w:r>
      <w:r w:rsidRPr="009A27ED">
        <w:rPr>
          <w:rFonts w:ascii="Times New Roman" w:eastAsia="Times New Roman" w:hAnsi="Times New Roman"/>
          <w:sz w:val="24"/>
        </w:rPr>
        <w:t xml:space="preserve"> Uso de Suelos</w:t>
      </w:r>
      <w:bookmarkEnd w:id="151"/>
    </w:p>
    <w:p w14:paraId="706A06B7" w14:textId="0D6CAE62" w:rsidR="0004071A" w:rsidRPr="009A27ED" w:rsidRDefault="0004071A" w:rsidP="0004071A">
      <w:pPr>
        <w:spacing w:line="360" w:lineRule="auto"/>
        <w:rPr>
          <w:b/>
          <w:szCs w:val="22"/>
          <w:lang w:val="es-MX"/>
        </w:rPr>
      </w:pPr>
    </w:p>
    <w:p w14:paraId="1D6AA585" w14:textId="77777777" w:rsidR="00B80189" w:rsidRPr="009A27ED" w:rsidRDefault="00B80189" w:rsidP="0004071A">
      <w:pPr>
        <w:spacing w:line="360" w:lineRule="auto"/>
        <w:rPr>
          <w:b/>
          <w:szCs w:val="22"/>
          <w:lang w:val="es-MX"/>
        </w:rPr>
      </w:pPr>
    </w:p>
    <w:p w14:paraId="739E84CD" w14:textId="3B4F35D3" w:rsidR="00170677" w:rsidRPr="009A27ED" w:rsidRDefault="00170677" w:rsidP="00170677">
      <w:pPr>
        <w:pStyle w:val="Descripcin"/>
        <w:keepNext/>
        <w:spacing w:line="360" w:lineRule="auto"/>
      </w:pPr>
      <w:r w:rsidRPr="009A27ED">
        <w:rPr>
          <w:rFonts w:ascii="Times New Roman" w:eastAsia="Times New Roman" w:hAnsi="Times New Roman"/>
          <w:sz w:val="24"/>
        </w:rPr>
        <w:t xml:space="preserve">  </w:t>
      </w:r>
      <w:bookmarkStart w:id="152" w:name="_Toc111887427"/>
      <w:r w:rsidRPr="009A27ED">
        <w:rPr>
          <w:rFonts w:ascii="Times New Roman" w:eastAsia="Times New Roman" w:hAnsi="Times New Roman"/>
          <w:sz w:val="24"/>
        </w:rPr>
        <w:t xml:space="preserve">Cuadro </w:t>
      </w:r>
      <w:r w:rsidR="00F43DB6" w:rsidRPr="009A27ED">
        <w:rPr>
          <w:rFonts w:ascii="Times New Roman" w:eastAsia="Times New Roman" w:hAnsi="Times New Roman"/>
          <w:sz w:val="24"/>
        </w:rPr>
        <w:fldChar w:fldCharType="begin"/>
      </w:r>
      <w:r w:rsidR="00F43DB6" w:rsidRPr="009A27ED">
        <w:rPr>
          <w:rFonts w:ascii="Times New Roman" w:eastAsia="Times New Roman" w:hAnsi="Times New Roman"/>
          <w:sz w:val="24"/>
        </w:rPr>
        <w:instrText xml:space="preserve"> SEQ Cuadro \* ARABIC </w:instrText>
      </w:r>
      <w:r w:rsidR="00F43DB6"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17</w:t>
      </w:r>
      <w:r w:rsidR="00F43DB6" w:rsidRPr="009A27ED">
        <w:rPr>
          <w:rFonts w:ascii="Times New Roman" w:eastAsia="Times New Roman" w:hAnsi="Times New Roman"/>
          <w:sz w:val="24"/>
        </w:rPr>
        <w:fldChar w:fldCharType="end"/>
      </w:r>
      <w:r w:rsidRPr="009A27ED">
        <w:rPr>
          <w:rFonts w:ascii="Times New Roman" w:eastAsia="Times New Roman" w:hAnsi="Times New Roman"/>
          <w:i w:val="0"/>
          <w:color w:val="000000" w:themeColor="text1"/>
          <w:sz w:val="24"/>
        </w:rPr>
        <w:t>. Pendiente en las áreas priorizadas</w:t>
      </w:r>
      <w:bookmarkEnd w:id="152"/>
    </w:p>
    <w:tbl>
      <w:tblPr>
        <w:tblW w:w="9645" w:type="dxa"/>
        <w:tblInd w:w="93" w:type="dxa"/>
        <w:tblLook w:val="04A0" w:firstRow="1" w:lastRow="0" w:firstColumn="1" w:lastColumn="0" w:noHBand="0" w:noVBand="1"/>
      </w:tblPr>
      <w:tblGrid>
        <w:gridCol w:w="1995"/>
        <w:gridCol w:w="1440"/>
        <w:gridCol w:w="1080"/>
        <w:gridCol w:w="1260"/>
        <w:gridCol w:w="1170"/>
        <w:gridCol w:w="1530"/>
        <w:gridCol w:w="1170"/>
      </w:tblGrid>
      <w:tr w:rsidR="00C27962" w:rsidRPr="009A27ED" w14:paraId="3279D3A0" w14:textId="77777777" w:rsidTr="00C27962">
        <w:trPr>
          <w:trHeight w:val="315"/>
        </w:trPr>
        <w:tc>
          <w:tcPr>
            <w:tcW w:w="1995" w:type="dxa"/>
            <w:tcBorders>
              <w:top w:val="single" w:sz="4" w:space="0" w:color="auto"/>
              <w:left w:val="single" w:sz="4" w:space="0" w:color="auto"/>
              <w:bottom w:val="single" w:sz="4" w:space="0" w:color="auto"/>
              <w:right w:val="single" w:sz="4" w:space="0" w:color="auto"/>
            </w:tcBorders>
            <w:shd w:val="clear" w:color="auto" w:fill="2E74B5" w:themeFill="accent1" w:themeFillShade="BF"/>
            <w:noWrap/>
            <w:vAlign w:val="bottom"/>
            <w:hideMark/>
          </w:tcPr>
          <w:p w14:paraId="2E90936B" w14:textId="77777777" w:rsidR="0004071A" w:rsidRPr="009A27ED" w:rsidRDefault="0004071A" w:rsidP="00AF66E5">
            <w:pPr>
              <w:spacing w:after="0"/>
              <w:rPr>
                <w:rFonts w:eastAsia="Times New Roman"/>
                <w:color w:val="FFFFFF" w:themeColor="background1"/>
                <w:sz w:val="20"/>
                <w:szCs w:val="20"/>
              </w:rPr>
            </w:pPr>
            <w:r w:rsidRPr="009A27ED">
              <w:rPr>
                <w:rFonts w:eastAsia="Times New Roman"/>
                <w:color w:val="FFFFFF" w:themeColor="background1"/>
                <w:sz w:val="20"/>
                <w:szCs w:val="20"/>
              </w:rPr>
              <w:t> </w:t>
            </w:r>
          </w:p>
        </w:tc>
        <w:tc>
          <w:tcPr>
            <w:tcW w:w="7650" w:type="dxa"/>
            <w:gridSpan w:val="6"/>
            <w:tcBorders>
              <w:top w:val="single" w:sz="4" w:space="0" w:color="auto"/>
              <w:left w:val="nil"/>
              <w:bottom w:val="single" w:sz="4" w:space="0" w:color="auto"/>
              <w:right w:val="single" w:sz="4" w:space="0" w:color="auto"/>
            </w:tcBorders>
            <w:shd w:val="clear" w:color="auto" w:fill="2E74B5" w:themeFill="accent1" w:themeFillShade="BF"/>
            <w:noWrap/>
            <w:vAlign w:val="bottom"/>
            <w:hideMark/>
          </w:tcPr>
          <w:p w14:paraId="7B7429F0" w14:textId="77777777" w:rsidR="0004071A" w:rsidRPr="009A27ED" w:rsidRDefault="0004071A" w:rsidP="00AF66E5">
            <w:pPr>
              <w:spacing w:after="0"/>
              <w:jc w:val="center"/>
              <w:rPr>
                <w:rFonts w:eastAsia="Times New Roman"/>
                <w:b/>
                <w:bCs/>
                <w:color w:val="FFFFFF" w:themeColor="background1"/>
                <w:sz w:val="20"/>
                <w:szCs w:val="20"/>
              </w:rPr>
            </w:pPr>
            <w:r w:rsidRPr="009A27ED">
              <w:rPr>
                <w:rFonts w:eastAsia="Times New Roman"/>
                <w:b/>
                <w:bCs/>
                <w:color w:val="FFFFFF" w:themeColor="background1"/>
                <w:sz w:val="20"/>
                <w:szCs w:val="20"/>
              </w:rPr>
              <w:t>RANGOS DE PENDIENTES EN KM²</w:t>
            </w:r>
          </w:p>
        </w:tc>
      </w:tr>
      <w:tr w:rsidR="00C27962" w:rsidRPr="009A27ED" w14:paraId="33B1EA2F" w14:textId="77777777" w:rsidTr="00C27962">
        <w:trPr>
          <w:trHeight w:val="315"/>
        </w:trPr>
        <w:tc>
          <w:tcPr>
            <w:tcW w:w="1995" w:type="dxa"/>
            <w:tcBorders>
              <w:top w:val="nil"/>
              <w:left w:val="single" w:sz="4" w:space="0" w:color="auto"/>
              <w:bottom w:val="single" w:sz="4" w:space="0" w:color="auto"/>
              <w:right w:val="single" w:sz="4" w:space="0" w:color="auto"/>
            </w:tcBorders>
            <w:shd w:val="clear" w:color="auto" w:fill="2E74B5" w:themeFill="accent1" w:themeFillShade="BF"/>
            <w:noWrap/>
            <w:vAlign w:val="bottom"/>
            <w:hideMark/>
          </w:tcPr>
          <w:p w14:paraId="06B86949" w14:textId="2241C2E6" w:rsidR="0004071A" w:rsidRPr="009A27ED" w:rsidRDefault="005A643B" w:rsidP="005A643B">
            <w:pPr>
              <w:spacing w:after="0"/>
              <w:jc w:val="center"/>
              <w:rPr>
                <w:rFonts w:eastAsia="Times New Roman"/>
                <w:b/>
                <w:bCs/>
                <w:color w:val="FFFFFF" w:themeColor="background1"/>
                <w:sz w:val="20"/>
                <w:szCs w:val="20"/>
              </w:rPr>
            </w:pPr>
            <w:r w:rsidRPr="009A27ED">
              <w:rPr>
                <w:rFonts w:eastAsia="Times New Roman"/>
                <w:b/>
                <w:bCs/>
                <w:color w:val="FFFFFF" w:themeColor="background1"/>
                <w:sz w:val="20"/>
                <w:szCs w:val="20"/>
              </w:rPr>
              <w:lastRenderedPageBreak/>
              <w:t>Áreas</w:t>
            </w:r>
            <w:r w:rsidR="0004071A" w:rsidRPr="009A27ED">
              <w:rPr>
                <w:rFonts w:eastAsia="Times New Roman"/>
                <w:b/>
                <w:bCs/>
                <w:color w:val="FFFFFF" w:themeColor="background1"/>
                <w:sz w:val="20"/>
                <w:szCs w:val="20"/>
              </w:rPr>
              <w:t xml:space="preserve"> </w:t>
            </w:r>
            <w:r w:rsidRPr="009A27ED">
              <w:rPr>
                <w:rFonts w:eastAsia="Times New Roman"/>
                <w:b/>
                <w:bCs/>
                <w:color w:val="FFFFFF" w:themeColor="background1"/>
                <w:sz w:val="20"/>
                <w:szCs w:val="20"/>
              </w:rPr>
              <w:t>p</w:t>
            </w:r>
            <w:r w:rsidR="0004071A" w:rsidRPr="009A27ED">
              <w:rPr>
                <w:rFonts w:eastAsia="Times New Roman"/>
                <w:b/>
                <w:bCs/>
                <w:color w:val="FFFFFF" w:themeColor="background1"/>
                <w:sz w:val="20"/>
                <w:szCs w:val="20"/>
              </w:rPr>
              <w:t>riorizadas para REDD</w:t>
            </w:r>
          </w:p>
        </w:tc>
        <w:tc>
          <w:tcPr>
            <w:tcW w:w="1440" w:type="dxa"/>
            <w:tcBorders>
              <w:top w:val="nil"/>
              <w:left w:val="nil"/>
              <w:bottom w:val="single" w:sz="4" w:space="0" w:color="auto"/>
              <w:right w:val="single" w:sz="4" w:space="0" w:color="auto"/>
            </w:tcBorders>
            <w:shd w:val="clear" w:color="auto" w:fill="2E74B5" w:themeFill="accent1" w:themeFillShade="BF"/>
            <w:noWrap/>
            <w:vAlign w:val="bottom"/>
            <w:hideMark/>
          </w:tcPr>
          <w:p w14:paraId="6BABC5EC" w14:textId="2296BB44" w:rsidR="0004071A" w:rsidRPr="009A27ED" w:rsidRDefault="0004071A" w:rsidP="005A643B">
            <w:pPr>
              <w:spacing w:after="0"/>
              <w:jc w:val="center"/>
              <w:rPr>
                <w:rFonts w:eastAsia="Times New Roman"/>
                <w:b/>
                <w:bCs/>
                <w:color w:val="FFFFFF" w:themeColor="background1"/>
                <w:sz w:val="20"/>
                <w:szCs w:val="20"/>
              </w:rPr>
            </w:pPr>
            <w:r w:rsidRPr="009A27ED">
              <w:rPr>
                <w:rFonts w:eastAsia="Times New Roman"/>
                <w:b/>
                <w:bCs/>
                <w:color w:val="FFFFFF" w:themeColor="background1"/>
                <w:sz w:val="20"/>
                <w:szCs w:val="20"/>
              </w:rPr>
              <w:t>0 a 4 %</w:t>
            </w:r>
          </w:p>
        </w:tc>
        <w:tc>
          <w:tcPr>
            <w:tcW w:w="1080" w:type="dxa"/>
            <w:tcBorders>
              <w:top w:val="nil"/>
              <w:left w:val="nil"/>
              <w:bottom w:val="single" w:sz="4" w:space="0" w:color="auto"/>
              <w:right w:val="single" w:sz="4" w:space="0" w:color="auto"/>
            </w:tcBorders>
            <w:shd w:val="clear" w:color="auto" w:fill="2E74B5" w:themeFill="accent1" w:themeFillShade="BF"/>
            <w:noWrap/>
            <w:vAlign w:val="bottom"/>
            <w:hideMark/>
          </w:tcPr>
          <w:p w14:paraId="37D4D59D" w14:textId="0B9ADF65" w:rsidR="0004071A" w:rsidRPr="009A27ED" w:rsidRDefault="0004071A" w:rsidP="005A643B">
            <w:pPr>
              <w:spacing w:after="0"/>
              <w:jc w:val="center"/>
              <w:rPr>
                <w:rFonts w:eastAsia="Times New Roman"/>
                <w:b/>
                <w:bCs/>
                <w:color w:val="FFFFFF" w:themeColor="background1"/>
                <w:sz w:val="20"/>
                <w:szCs w:val="20"/>
              </w:rPr>
            </w:pPr>
            <w:r w:rsidRPr="009A27ED">
              <w:rPr>
                <w:rFonts w:eastAsia="Times New Roman"/>
                <w:b/>
                <w:bCs/>
                <w:color w:val="FFFFFF" w:themeColor="background1"/>
                <w:sz w:val="20"/>
                <w:szCs w:val="20"/>
              </w:rPr>
              <w:t>4 a 8 %</w:t>
            </w:r>
          </w:p>
        </w:tc>
        <w:tc>
          <w:tcPr>
            <w:tcW w:w="1260" w:type="dxa"/>
            <w:tcBorders>
              <w:top w:val="nil"/>
              <w:left w:val="nil"/>
              <w:bottom w:val="single" w:sz="4" w:space="0" w:color="auto"/>
              <w:right w:val="single" w:sz="4" w:space="0" w:color="auto"/>
            </w:tcBorders>
            <w:shd w:val="clear" w:color="auto" w:fill="2E74B5" w:themeFill="accent1" w:themeFillShade="BF"/>
            <w:noWrap/>
            <w:vAlign w:val="bottom"/>
            <w:hideMark/>
          </w:tcPr>
          <w:p w14:paraId="7B13AAA5" w14:textId="4F78E84D" w:rsidR="0004071A" w:rsidRPr="009A27ED" w:rsidRDefault="0004071A" w:rsidP="005A643B">
            <w:pPr>
              <w:spacing w:after="0"/>
              <w:jc w:val="center"/>
              <w:rPr>
                <w:rFonts w:eastAsia="Times New Roman"/>
                <w:b/>
                <w:bCs/>
                <w:color w:val="FFFFFF" w:themeColor="background1"/>
                <w:sz w:val="20"/>
                <w:szCs w:val="20"/>
              </w:rPr>
            </w:pPr>
            <w:r w:rsidRPr="009A27ED">
              <w:rPr>
                <w:rFonts w:eastAsia="Times New Roman"/>
                <w:b/>
                <w:bCs/>
                <w:color w:val="FFFFFF" w:themeColor="background1"/>
                <w:sz w:val="20"/>
                <w:szCs w:val="20"/>
              </w:rPr>
              <w:t>8 a 16 %</w:t>
            </w:r>
          </w:p>
        </w:tc>
        <w:tc>
          <w:tcPr>
            <w:tcW w:w="1170" w:type="dxa"/>
            <w:tcBorders>
              <w:top w:val="nil"/>
              <w:left w:val="nil"/>
              <w:bottom w:val="single" w:sz="4" w:space="0" w:color="auto"/>
              <w:right w:val="single" w:sz="4" w:space="0" w:color="auto"/>
            </w:tcBorders>
            <w:shd w:val="clear" w:color="auto" w:fill="2E74B5" w:themeFill="accent1" w:themeFillShade="BF"/>
            <w:noWrap/>
            <w:vAlign w:val="bottom"/>
            <w:hideMark/>
          </w:tcPr>
          <w:p w14:paraId="3C866823" w14:textId="6C74BE2B" w:rsidR="0004071A" w:rsidRPr="009A27ED" w:rsidRDefault="0004071A" w:rsidP="005A643B">
            <w:pPr>
              <w:spacing w:after="0"/>
              <w:jc w:val="center"/>
              <w:rPr>
                <w:rFonts w:eastAsia="Times New Roman"/>
                <w:b/>
                <w:bCs/>
                <w:color w:val="FFFFFF" w:themeColor="background1"/>
                <w:sz w:val="20"/>
                <w:szCs w:val="20"/>
              </w:rPr>
            </w:pPr>
            <w:r w:rsidRPr="009A27ED">
              <w:rPr>
                <w:rFonts w:eastAsia="Times New Roman"/>
                <w:b/>
                <w:bCs/>
                <w:color w:val="FFFFFF" w:themeColor="background1"/>
                <w:sz w:val="20"/>
                <w:szCs w:val="20"/>
              </w:rPr>
              <w:t>16 a 32 %</w:t>
            </w:r>
          </w:p>
        </w:tc>
        <w:tc>
          <w:tcPr>
            <w:tcW w:w="1530" w:type="dxa"/>
            <w:tcBorders>
              <w:top w:val="nil"/>
              <w:left w:val="nil"/>
              <w:bottom w:val="single" w:sz="4" w:space="0" w:color="auto"/>
              <w:right w:val="single" w:sz="4" w:space="0" w:color="auto"/>
            </w:tcBorders>
            <w:shd w:val="clear" w:color="auto" w:fill="2E74B5" w:themeFill="accent1" w:themeFillShade="BF"/>
            <w:noWrap/>
            <w:vAlign w:val="bottom"/>
            <w:hideMark/>
          </w:tcPr>
          <w:p w14:paraId="0B55EBA6" w14:textId="77777777" w:rsidR="0004071A" w:rsidRPr="009A27ED" w:rsidRDefault="0004071A" w:rsidP="005A643B">
            <w:pPr>
              <w:spacing w:after="0"/>
              <w:jc w:val="center"/>
              <w:rPr>
                <w:rFonts w:eastAsia="Times New Roman"/>
                <w:b/>
                <w:bCs/>
                <w:color w:val="FFFFFF" w:themeColor="background1"/>
                <w:sz w:val="20"/>
                <w:szCs w:val="20"/>
              </w:rPr>
            </w:pPr>
            <w:r w:rsidRPr="009A27ED">
              <w:rPr>
                <w:rFonts w:eastAsia="Times New Roman"/>
                <w:b/>
                <w:bCs/>
                <w:color w:val="FFFFFF" w:themeColor="background1"/>
                <w:sz w:val="20"/>
                <w:szCs w:val="20"/>
              </w:rPr>
              <w:t>32 a 60 %</w:t>
            </w:r>
          </w:p>
        </w:tc>
        <w:tc>
          <w:tcPr>
            <w:tcW w:w="1170" w:type="dxa"/>
            <w:tcBorders>
              <w:top w:val="nil"/>
              <w:left w:val="nil"/>
              <w:bottom w:val="single" w:sz="4" w:space="0" w:color="auto"/>
              <w:right w:val="single" w:sz="4" w:space="0" w:color="auto"/>
            </w:tcBorders>
            <w:shd w:val="clear" w:color="auto" w:fill="2E74B5" w:themeFill="accent1" w:themeFillShade="BF"/>
            <w:vAlign w:val="bottom"/>
          </w:tcPr>
          <w:p w14:paraId="7A3DE61D" w14:textId="77777777" w:rsidR="0004071A" w:rsidRPr="009A27ED" w:rsidRDefault="0004071A" w:rsidP="005A643B">
            <w:pPr>
              <w:spacing w:after="0"/>
              <w:jc w:val="center"/>
              <w:rPr>
                <w:rFonts w:eastAsia="Times New Roman"/>
                <w:b/>
                <w:bCs/>
                <w:color w:val="FFFFFF" w:themeColor="background1"/>
                <w:sz w:val="20"/>
                <w:szCs w:val="20"/>
              </w:rPr>
            </w:pPr>
            <w:r w:rsidRPr="009A27ED">
              <w:rPr>
                <w:rFonts w:eastAsia="Times New Roman"/>
                <w:b/>
                <w:bCs/>
                <w:color w:val="FFFFFF" w:themeColor="background1"/>
                <w:sz w:val="20"/>
                <w:szCs w:val="20"/>
              </w:rPr>
              <w:t>&gt; 60 %</w:t>
            </w:r>
          </w:p>
        </w:tc>
      </w:tr>
      <w:tr w:rsidR="0004071A" w:rsidRPr="009A27ED" w14:paraId="58B32847" w14:textId="77777777" w:rsidTr="00AF66E5">
        <w:trPr>
          <w:trHeight w:val="315"/>
        </w:trPr>
        <w:tc>
          <w:tcPr>
            <w:tcW w:w="1995" w:type="dxa"/>
            <w:tcBorders>
              <w:top w:val="nil"/>
              <w:left w:val="single" w:sz="4" w:space="0" w:color="auto"/>
              <w:bottom w:val="single" w:sz="4" w:space="0" w:color="auto"/>
              <w:right w:val="single" w:sz="4" w:space="0" w:color="auto"/>
            </w:tcBorders>
            <w:shd w:val="clear" w:color="auto" w:fill="auto"/>
            <w:noWrap/>
            <w:vAlign w:val="bottom"/>
            <w:hideMark/>
          </w:tcPr>
          <w:p w14:paraId="4B71EC75" w14:textId="77777777" w:rsidR="0004071A" w:rsidRPr="009A27ED" w:rsidRDefault="0004071A" w:rsidP="00AF66E5">
            <w:pPr>
              <w:spacing w:after="0"/>
              <w:rPr>
                <w:rFonts w:eastAsia="Times New Roman"/>
                <w:b/>
                <w:bCs/>
                <w:color w:val="000000"/>
                <w:sz w:val="20"/>
                <w:szCs w:val="20"/>
                <w:lang w:val="en-US"/>
              </w:rPr>
            </w:pPr>
            <w:r w:rsidRPr="009A27ED">
              <w:rPr>
                <w:lang w:val="es-MX"/>
              </w:rPr>
              <w:t>Áreas</w:t>
            </w:r>
            <w:r w:rsidRPr="009A27ED">
              <w:rPr>
                <w:rFonts w:eastAsia="Times New Roman"/>
                <w:b/>
                <w:bCs/>
                <w:color w:val="000000"/>
                <w:sz w:val="20"/>
                <w:szCs w:val="20"/>
                <w:lang w:val="en-US"/>
              </w:rPr>
              <w:t xml:space="preserve"> 1</w:t>
            </w:r>
          </w:p>
        </w:tc>
        <w:tc>
          <w:tcPr>
            <w:tcW w:w="1440" w:type="dxa"/>
            <w:tcBorders>
              <w:top w:val="nil"/>
              <w:left w:val="nil"/>
              <w:bottom w:val="single" w:sz="4" w:space="0" w:color="auto"/>
              <w:right w:val="single" w:sz="4" w:space="0" w:color="auto"/>
            </w:tcBorders>
            <w:shd w:val="clear" w:color="auto" w:fill="auto"/>
            <w:noWrap/>
            <w:vAlign w:val="bottom"/>
            <w:hideMark/>
          </w:tcPr>
          <w:p w14:paraId="6C89271B" w14:textId="77777777" w:rsidR="0004071A" w:rsidRPr="009A27ED" w:rsidRDefault="0004071A" w:rsidP="00AF66E5">
            <w:pPr>
              <w:spacing w:after="0"/>
              <w:jc w:val="right"/>
              <w:rPr>
                <w:rFonts w:eastAsia="Times New Roman"/>
                <w:bCs/>
                <w:color w:val="000000"/>
                <w:sz w:val="20"/>
                <w:szCs w:val="20"/>
                <w:lang w:val="en-US"/>
              </w:rPr>
            </w:pPr>
            <w:r w:rsidRPr="009A27ED">
              <w:rPr>
                <w:rFonts w:eastAsia="Times New Roman"/>
                <w:bCs/>
                <w:color w:val="000000"/>
                <w:sz w:val="20"/>
                <w:szCs w:val="20"/>
                <w:lang w:val="en-US"/>
              </w:rPr>
              <w:t>233.43</w:t>
            </w:r>
          </w:p>
        </w:tc>
        <w:tc>
          <w:tcPr>
            <w:tcW w:w="1080" w:type="dxa"/>
            <w:tcBorders>
              <w:top w:val="nil"/>
              <w:left w:val="nil"/>
              <w:bottom w:val="single" w:sz="4" w:space="0" w:color="auto"/>
              <w:right w:val="single" w:sz="4" w:space="0" w:color="auto"/>
            </w:tcBorders>
            <w:shd w:val="clear" w:color="auto" w:fill="auto"/>
            <w:noWrap/>
            <w:vAlign w:val="bottom"/>
            <w:hideMark/>
          </w:tcPr>
          <w:p w14:paraId="64AE3882" w14:textId="77777777" w:rsidR="0004071A" w:rsidRPr="009A27ED" w:rsidRDefault="0004071A" w:rsidP="00AF66E5">
            <w:pPr>
              <w:spacing w:after="0"/>
              <w:jc w:val="right"/>
              <w:rPr>
                <w:rFonts w:eastAsia="Times New Roman"/>
                <w:bCs/>
                <w:color w:val="000000"/>
                <w:sz w:val="20"/>
                <w:szCs w:val="20"/>
                <w:lang w:val="en-US"/>
              </w:rPr>
            </w:pPr>
            <w:r w:rsidRPr="009A27ED">
              <w:rPr>
                <w:rFonts w:eastAsia="Times New Roman"/>
                <w:bCs/>
                <w:color w:val="000000"/>
                <w:sz w:val="20"/>
                <w:szCs w:val="20"/>
                <w:lang w:val="en-US"/>
              </w:rPr>
              <w:t>410.31</w:t>
            </w:r>
          </w:p>
        </w:tc>
        <w:tc>
          <w:tcPr>
            <w:tcW w:w="1260" w:type="dxa"/>
            <w:tcBorders>
              <w:top w:val="nil"/>
              <w:left w:val="nil"/>
              <w:bottom w:val="single" w:sz="4" w:space="0" w:color="auto"/>
              <w:right w:val="single" w:sz="4" w:space="0" w:color="auto"/>
            </w:tcBorders>
            <w:shd w:val="clear" w:color="auto" w:fill="auto"/>
            <w:noWrap/>
            <w:vAlign w:val="bottom"/>
            <w:hideMark/>
          </w:tcPr>
          <w:p w14:paraId="0ABABD41" w14:textId="77777777" w:rsidR="0004071A" w:rsidRPr="009A27ED" w:rsidRDefault="0004071A" w:rsidP="00AF66E5">
            <w:pPr>
              <w:spacing w:after="0"/>
              <w:jc w:val="right"/>
              <w:rPr>
                <w:rFonts w:eastAsia="Times New Roman"/>
                <w:bCs/>
                <w:color w:val="000000"/>
                <w:sz w:val="20"/>
                <w:szCs w:val="20"/>
                <w:lang w:val="en-US"/>
              </w:rPr>
            </w:pPr>
            <w:r w:rsidRPr="009A27ED">
              <w:rPr>
                <w:rFonts w:eastAsia="Times New Roman"/>
                <w:bCs/>
                <w:color w:val="000000"/>
                <w:sz w:val="20"/>
                <w:szCs w:val="20"/>
                <w:lang w:val="en-US"/>
              </w:rPr>
              <w:t>677.40</w:t>
            </w:r>
          </w:p>
        </w:tc>
        <w:tc>
          <w:tcPr>
            <w:tcW w:w="1170" w:type="dxa"/>
            <w:tcBorders>
              <w:top w:val="nil"/>
              <w:left w:val="nil"/>
              <w:bottom w:val="single" w:sz="4" w:space="0" w:color="auto"/>
              <w:right w:val="single" w:sz="4" w:space="0" w:color="auto"/>
            </w:tcBorders>
            <w:shd w:val="clear" w:color="auto" w:fill="auto"/>
            <w:noWrap/>
            <w:vAlign w:val="bottom"/>
            <w:hideMark/>
          </w:tcPr>
          <w:p w14:paraId="38FB1AEA" w14:textId="77777777" w:rsidR="0004071A" w:rsidRPr="009A27ED" w:rsidRDefault="0004071A" w:rsidP="00AF66E5">
            <w:pPr>
              <w:spacing w:after="0"/>
              <w:jc w:val="right"/>
              <w:rPr>
                <w:rFonts w:eastAsia="Times New Roman"/>
                <w:bCs/>
                <w:color w:val="000000"/>
                <w:sz w:val="20"/>
                <w:szCs w:val="20"/>
                <w:lang w:val="en-US"/>
              </w:rPr>
            </w:pPr>
            <w:r w:rsidRPr="009A27ED">
              <w:rPr>
                <w:rFonts w:eastAsia="Times New Roman"/>
                <w:bCs/>
                <w:color w:val="000000"/>
                <w:sz w:val="20"/>
                <w:szCs w:val="20"/>
                <w:lang w:val="en-US"/>
              </w:rPr>
              <w:t>934.39</w:t>
            </w:r>
          </w:p>
        </w:tc>
        <w:tc>
          <w:tcPr>
            <w:tcW w:w="1530" w:type="dxa"/>
            <w:tcBorders>
              <w:top w:val="nil"/>
              <w:left w:val="nil"/>
              <w:bottom w:val="single" w:sz="4" w:space="0" w:color="auto"/>
              <w:right w:val="single" w:sz="4" w:space="0" w:color="auto"/>
            </w:tcBorders>
            <w:shd w:val="clear" w:color="auto" w:fill="auto"/>
            <w:noWrap/>
            <w:vAlign w:val="bottom"/>
            <w:hideMark/>
          </w:tcPr>
          <w:p w14:paraId="1444549C" w14:textId="77777777" w:rsidR="0004071A" w:rsidRPr="009A27ED" w:rsidRDefault="0004071A" w:rsidP="00AF66E5">
            <w:pPr>
              <w:spacing w:after="0"/>
              <w:jc w:val="right"/>
              <w:rPr>
                <w:rFonts w:eastAsia="Times New Roman"/>
                <w:bCs/>
                <w:color w:val="000000"/>
                <w:sz w:val="20"/>
                <w:szCs w:val="20"/>
                <w:lang w:val="en-US"/>
              </w:rPr>
            </w:pPr>
            <w:r w:rsidRPr="009A27ED">
              <w:rPr>
                <w:rFonts w:eastAsia="Times New Roman"/>
                <w:bCs/>
                <w:color w:val="000000"/>
                <w:sz w:val="20"/>
                <w:szCs w:val="20"/>
                <w:lang w:val="en-US"/>
              </w:rPr>
              <w:t>850.18</w:t>
            </w:r>
          </w:p>
        </w:tc>
        <w:tc>
          <w:tcPr>
            <w:tcW w:w="1170" w:type="dxa"/>
            <w:tcBorders>
              <w:top w:val="nil"/>
              <w:left w:val="nil"/>
              <w:bottom w:val="single" w:sz="4" w:space="0" w:color="auto"/>
              <w:right w:val="single" w:sz="4" w:space="0" w:color="auto"/>
            </w:tcBorders>
            <w:shd w:val="clear" w:color="auto" w:fill="auto"/>
            <w:vAlign w:val="bottom"/>
          </w:tcPr>
          <w:p w14:paraId="1C6E90BB" w14:textId="77777777" w:rsidR="0004071A" w:rsidRPr="009A27ED" w:rsidRDefault="0004071A" w:rsidP="00AF66E5">
            <w:pPr>
              <w:spacing w:after="0"/>
              <w:jc w:val="right"/>
              <w:rPr>
                <w:rFonts w:eastAsia="Times New Roman"/>
                <w:bCs/>
                <w:color w:val="000000"/>
                <w:sz w:val="20"/>
                <w:szCs w:val="20"/>
                <w:lang w:val="en-US"/>
              </w:rPr>
            </w:pPr>
            <w:r w:rsidRPr="009A27ED">
              <w:rPr>
                <w:rFonts w:eastAsia="Times New Roman"/>
                <w:bCs/>
                <w:color w:val="000000"/>
                <w:sz w:val="20"/>
                <w:szCs w:val="20"/>
                <w:lang w:val="en-US"/>
              </w:rPr>
              <w:t>171.01</w:t>
            </w:r>
          </w:p>
        </w:tc>
      </w:tr>
      <w:tr w:rsidR="0004071A" w:rsidRPr="009A27ED" w14:paraId="2F46A8E9" w14:textId="77777777" w:rsidTr="00AF66E5">
        <w:trPr>
          <w:trHeight w:val="315"/>
        </w:trPr>
        <w:tc>
          <w:tcPr>
            <w:tcW w:w="1995" w:type="dxa"/>
            <w:tcBorders>
              <w:top w:val="nil"/>
              <w:left w:val="single" w:sz="4" w:space="0" w:color="auto"/>
              <w:bottom w:val="single" w:sz="4" w:space="0" w:color="auto"/>
              <w:right w:val="single" w:sz="4" w:space="0" w:color="auto"/>
            </w:tcBorders>
            <w:shd w:val="clear" w:color="auto" w:fill="auto"/>
            <w:noWrap/>
            <w:vAlign w:val="bottom"/>
            <w:hideMark/>
          </w:tcPr>
          <w:p w14:paraId="6C1D1D88" w14:textId="77777777" w:rsidR="0004071A" w:rsidRPr="009A27ED" w:rsidRDefault="0004071A" w:rsidP="00AF66E5">
            <w:pPr>
              <w:spacing w:after="0"/>
              <w:rPr>
                <w:rFonts w:eastAsia="Times New Roman"/>
                <w:b/>
                <w:bCs/>
                <w:color w:val="000000"/>
                <w:sz w:val="20"/>
                <w:szCs w:val="20"/>
                <w:lang w:val="en-US"/>
              </w:rPr>
            </w:pPr>
            <w:r w:rsidRPr="009A27ED">
              <w:rPr>
                <w:lang w:val="es-MX"/>
              </w:rPr>
              <w:t>Áreas</w:t>
            </w:r>
            <w:r w:rsidRPr="009A27ED">
              <w:rPr>
                <w:rFonts w:eastAsia="Times New Roman"/>
                <w:b/>
                <w:bCs/>
                <w:color w:val="000000"/>
                <w:sz w:val="20"/>
                <w:szCs w:val="20"/>
                <w:lang w:val="en-US"/>
              </w:rPr>
              <w:t xml:space="preserve"> 2</w:t>
            </w:r>
          </w:p>
        </w:tc>
        <w:tc>
          <w:tcPr>
            <w:tcW w:w="1440" w:type="dxa"/>
            <w:tcBorders>
              <w:top w:val="nil"/>
              <w:left w:val="nil"/>
              <w:bottom w:val="single" w:sz="4" w:space="0" w:color="auto"/>
              <w:right w:val="single" w:sz="4" w:space="0" w:color="auto"/>
            </w:tcBorders>
            <w:shd w:val="clear" w:color="auto" w:fill="auto"/>
            <w:noWrap/>
            <w:vAlign w:val="bottom"/>
            <w:hideMark/>
          </w:tcPr>
          <w:p w14:paraId="3402E045" w14:textId="77777777" w:rsidR="0004071A" w:rsidRPr="009A27ED" w:rsidRDefault="0004071A" w:rsidP="00AF66E5">
            <w:pPr>
              <w:spacing w:after="0"/>
              <w:jc w:val="right"/>
              <w:rPr>
                <w:rFonts w:eastAsia="Times New Roman"/>
                <w:bCs/>
                <w:color w:val="000000"/>
                <w:sz w:val="20"/>
                <w:szCs w:val="20"/>
                <w:lang w:val="en-US"/>
              </w:rPr>
            </w:pPr>
            <w:r w:rsidRPr="009A27ED">
              <w:rPr>
                <w:rFonts w:eastAsia="Times New Roman"/>
                <w:bCs/>
                <w:color w:val="000000"/>
                <w:sz w:val="20"/>
                <w:szCs w:val="20"/>
                <w:lang w:val="en-US"/>
              </w:rPr>
              <w:t>243.57</w:t>
            </w:r>
          </w:p>
        </w:tc>
        <w:tc>
          <w:tcPr>
            <w:tcW w:w="1080" w:type="dxa"/>
            <w:tcBorders>
              <w:top w:val="nil"/>
              <w:left w:val="nil"/>
              <w:bottom w:val="single" w:sz="4" w:space="0" w:color="auto"/>
              <w:right w:val="single" w:sz="4" w:space="0" w:color="auto"/>
            </w:tcBorders>
            <w:shd w:val="clear" w:color="auto" w:fill="auto"/>
            <w:noWrap/>
            <w:vAlign w:val="bottom"/>
            <w:hideMark/>
          </w:tcPr>
          <w:p w14:paraId="6D628643" w14:textId="77777777" w:rsidR="0004071A" w:rsidRPr="009A27ED" w:rsidRDefault="0004071A" w:rsidP="00AF66E5">
            <w:pPr>
              <w:spacing w:after="0"/>
              <w:jc w:val="right"/>
              <w:rPr>
                <w:rFonts w:eastAsia="Times New Roman"/>
                <w:bCs/>
                <w:color w:val="000000"/>
                <w:sz w:val="20"/>
                <w:szCs w:val="20"/>
                <w:lang w:val="en-US"/>
              </w:rPr>
            </w:pPr>
            <w:r w:rsidRPr="009A27ED">
              <w:rPr>
                <w:rFonts w:eastAsia="Times New Roman"/>
                <w:bCs/>
                <w:color w:val="000000"/>
                <w:sz w:val="20"/>
                <w:szCs w:val="20"/>
                <w:lang w:val="en-US"/>
              </w:rPr>
              <w:t>251.21</w:t>
            </w:r>
          </w:p>
        </w:tc>
        <w:tc>
          <w:tcPr>
            <w:tcW w:w="1260" w:type="dxa"/>
            <w:tcBorders>
              <w:top w:val="nil"/>
              <w:left w:val="nil"/>
              <w:bottom w:val="single" w:sz="4" w:space="0" w:color="auto"/>
              <w:right w:val="single" w:sz="4" w:space="0" w:color="auto"/>
            </w:tcBorders>
            <w:shd w:val="clear" w:color="auto" w:fill="auto"/>
            <w:noWrap/>
            <w:vAlign w:val="bottom"/>
            <w:hideMark/>
          </w:tcPr>
          <w:p w14:paraId="77C5B850" w14:textId="77777777" w:rsidR="0004071A" w:rsidRPr="009A27ED" w:rsidRDefault="0004071A" w:rsidP="00AF66E5">
            <w:pPr>
              <w:spacing w:after="0"/>
              <w:jc w:val="right"/>
              <w:rPr>
                <w:rFonts w:eastAsia="Times New Roman"/>
                <w:bCs/>
                <w:color w:val="000000"/>
                <w:sz w:val="20"/>
                <w:szCs w:val="20"/>
                <w:lang w:val="en-US"/>
              </w:rPr>
            </w:pPr>
            <w:r w:rsidRPr="009A27ED">
              <w:rPr>
                <w:rFonts w:eastAsia="Times New Roman"/>
                <w:bCs/>
                <w:color w:val="000000"/>
                <w:sz w:val="20"/>
                <w:szCs w:val="20"/>
                <w:lang w:val="en-US"/>
              </w:rPr>
              <w:t>365.35</w:t>
            </w:r>
          </w:p>
        </w:tc>
        <w:tc>
          <w:tcPr>
            <w:tcW w:w="1170" w:type="dxa"/>
            <w:tcBorders>
              <w:top w:val="nil"/>
              <w:left w:val="nil"/>
              <w:bottom w:val="single" w:sz="4" w:space="0" w:color="auto"/>
              <w:right w:val="single" w:sz="4" w:space="0" w:color="auto"/>
            </w:tcBorders>
            <w:shd w:val="clear" w:color="auto" w:fill="auto"/>
            <w:noWrap/>
            <w:vAlign w:val="bottom"/>
            <w:hideMark/>
          </w:tcPr>
          <w:p w14:paraId="773CDE8E" w14:textId="77777777" w:rsidR="0004071A" w:rsidRPr="009A27ED" w:rsidRDefault="0004071A" w:rsidP="00AF66E5">
            <w:pPr>
              <w:spacing w:after="0"/>
              <w:jc w:val="right"/>
              <w:rPr>
                <w:rFonts w:eastAsia="Times New Roman"/>
                <w:bCs/>
                <w:color w:val="000000"/>
                <w:sz w:val="20"/>
                <w:szCs w:val="20"/>
                <w:lang w:val="en-US"/>
              </w:rPr>
            </w:pPr>
            <w:r w:rsidRPr="009A27ED">
              <w:rPr>
                <w:rFonts w:eastAsia="Times New Roman"/>
                <w:bCs/>
                <w:color w:val="000000"/>
                <w:sz w:val="20"/>
                <w:szCs w:val="20"/>
                <w:lang w:val="en-US"/>
              </w:rPr>
              <w:t>479.68</w:t>
            </w:r>
          </w:p>
        </w:tc>
        <w:tc>
          <w:tcPr>
            <w:tcW w:w="1530" w:type="dxa"/>
            <w:tcBorders>
              <w:top w:val="nil"/>
              <w:left w:val="nil"/>
              <w:bottom w:val="single" w:sz="4" w:space="0" w:color="auto"/>
              <w:right w:val="single" w:sz="4" w:space="0" w:color="auto"/>
            </w:tcBorders>
            <w:shd w:val="clear" w:color="auto" w:fill="auto"/>
            <w:noWrap/>
            <w:vAlign w:val="bottom"/>
            <w:hideMark/>
          </w:tcPr>
          <w:p w14:paraId="7532D369" w14:textId="77777777" w:rsidR="0004071A" w:rsidRPr="009A27ED" w:rsidRDefault="0004071A" w:rsidP="00AF66E5">
            <w:pPr>
              <w:spacing w:after="0"/>
              <w:jc w:val="right"/>
              <w:rPr>
                <w:rFonts w:eastAsia="Times New Roman"/>
                <w:bCs/>
                <w:color w:val="000000"/>
                <w:sz w:val="20"/>
                <w:szCs w:val="20"/>
                <w:lang w:val="en-US"/>
              </w:rPr>
            </w:pPr>
            <w:r w:rsidRPr="009A27ED">
              <w:rPr>
                <w:rFonts w:eastAsia="Times New Roman"/>
                <w:bCs/>
                <w:color w:val="000000"/>
                <w:sz w:val="20"/>
                <w:szCs w:val="20"/>
                <w:lang w:val="en-US"/>
              </w:rPr>
              <w:t>529.99</w:t>
            </w:r>
          </w:p>
        </w:tc>
        <w:tc>
          <w:tcPr>
            <w:tcW w:w="1170" w:type="dxa"/>
            <w:tcBorders>
              <w:top w:val="nil"/>
              <w:left w:val="nil"/>
              <w:bottom w:val="single" w:sz="4" w:space="0" w:color="auto"/>
              <w:right w:val="single" w:sz="4" w:space="0" w:color="auto"/>
            </w:tcBorders>
            <w:shd w:val="clear" w:color="auto" w:fill="auto"/>
            <w:vAlign w:val="bottom"/>
          </w:tcPr>
          <w:p w14:paraId="39E55DA7" w14:textId="77777777" w:rsidR="0004071A" w:rsidRPr="009A27ED" w:rsidRDefault="0004071A" w:rsidP="00AF66E5">
            <w:pPr>
              <w:spacing w:after="0"/>
              <w:jc w:val="right"/>
              <w:rPr>
                <w:rFonts w:eastAsia="Times New Roman"/>
                <w:bCs/>
                <w:color w:val="000000"/>
                <w:sz w:val="20"/>
                <w:szCs w:val="20"/>
                <w:lang w:val="en-US"/>
              </w:rPr>
            </w:pPr>
            <w:r w:rsidRPr="009A27ED">
              <w:rPr>
                <w:rFonts w:eastAsia="Times New Roman"/>
                <w:bCs/>
                <w:color w:val="000000"/>
                <w:sz w:val="20"/>
                <w:szCs w:val="20"/>
                <w:lang w:val="en-US"/>
              </w:rPr>
              <w:t>186.14</w:t>
            </w:r>
          </w:p>
        </w:tc>
      </w:tr>
      <w:tr w:rsidR="0004071A" w:rsidRPr="009A27ED" w14:paraId="31CEC0AC" w14:textId="77777777" w:rsidTr="00AF66E5">
        <w:trPr>
          <w:trHeight w:val="315"/>
        </w:trPr>
        <w:tc>
          <w:tcPr>
            <w:tcW w:w="1995" w:type="dxa"/>
            <w:tcBorders>
              <w:top w:val="nil"/>
              <w:left w:val="single" w:sz="4" w:space="0" w:color="auto"/>
              <w:bottom w:val="single" w:sz="4" w:space="0" w:color="auto"/>
              <w:right w:val="single" w:sz="4" w:space="0" w:color="auto"/>
            </w:tcBorders>
            <w:shd w:val="clear" w:color="auto" w:fill="auto"/>
            <w:noWrap/>
            <w:vAlign w:val="bottom"/>
            <w:hideMark/>
          </w:tcPr>
          <w:p w14:paraId="44CAB2EF" w14:textId="77777777" w:rsidR="0004071A" w:rsidRPr="009A27ED" w:rsidRDefault="0004071A" w:rsidP="00AF66E5">
            <w:pPr>
              <w:spacing w:after="0"/>
              <w:rPr>
                <w:rFonts w:eastAsia="Times New Roman"/>
                <w:b/>
                <w:bCs/>
                <w:color w:val="000000"/>
                <w:sz w:val="20"/>
                <w:szCs w:val="20"/>
                <w:lang w:val="en-US"/>
              </w:rPr>
            </w:pPr>
            <w:r w:rsidRPr="009A27ED">
              <w:rPr>
                <w:lang w:val="es-MX"/>
              </w:rPr>
              <w:t>Áreas</w:t>
            </w:r>
            <w:r w:rsidRPr="009A27ED">
              <w:rPr>
                <w:rFonts w:eastAsia="Times New Roman"/>
                <w:b/>
                <w:bCs/>
                <w:color w:val="000000"/>
                <w:sz w:val="20"/>
                <w:szCs w:val="20"/>
                <w:lang w:val="en-US"/>
              </w:rPr>
              <w:t xml:space="preserve"> 3</w:t>
            </w:r>
          </w:p>
        </w:tc>
        <w:tc>
          <w:tcPr>
            <w:tcW w:w="1440" w:type="dxa"/>
            <w:tcBorders>
              <w:top w:val="nil"/>
              <w:left w:val="nil"/>
              <w:bottom w:val="single" w:sz="4" w:space="0" w:color="auto"/>
              <w:right w:val="single" w:sz="4" w:space="0" w:color="auto"/>
            </w:tcBorders>
            <w:shd w:val="clear" w:color="auto" w:fill="auto"/>
            <w:noWrap/>
            <w:vAlign w:val="bottom"/>
            <w:hideMark/>
          </w:tcPr>
          <w:p w14:paraId="2F3F4ED2" w14:textId="77777777" w:rsidR="0004071A" w:rsidRPr="009A27ED" w:rsidRDefault="0004071A" w:rsidP="00AF66E5">
            <w:pPr>
              <w:spacing w:after="0"/>
              <w:jc w:val="right"/>
              <w:rPr>
                <w:rFonts w:eastAsia="Times New Roman"/>
                <w:bCs/>
                <w:color w:val="000000"/>
                <w:sz w:val="20"/>
                <w:szCs w:val="20"/>
                <w:lang w:val="en-US"/>
              </w:rPr>
            </w:pPr>
            <w:r w:rsidRPr="009A27ED">
              <w:rPr>
                <w:rFonts w:eastAsia="Times New Roman"/>
                <w:bCs/>
                <w:color w:val="000000"/>
                <w:sz w:val="20"/>
                <w:szCs w:val="20"/>
                <w:lang w:val="en-US"/>
              </w:rPr>
              <w:t>607.23</w:t>
            </w:r>
          </w:p>
        </w:tc>
        <w:tc>
          <w:tcPr>
            <w:tcW w:w="1080" w:type="dxa"/>
            <w:tcBorders>
              <w:top w:val="nil"/>
              <w:left w:val="nil"/>
              <w:bottom w:val="single" w:sz="4" w:space="0" w:color="auto"/>
              <w:right w:val="single" w:sz="4" w:space="0" w:color="auto"/>
            </w:tcBorders>
            <w:shd w:val="clear" w:color="auto" w:fill="auto"/>
            <w:noWrap/>
            <w:vAlign w:val="bottom"/>
            <w:hideMark/>
          </w:tcPr>
          <w:p w14:paraId="2ABF9985" w14:textId="77777777" w:rsidR="0004071A" w:rsidRPr="009A27ED" w:rsidRDefault="0004071A" w:rsidP="00AF66E5">
            <w:pPr>
              <w:spacing w:after="0"/>
              <w:jc w:val="right"/>
              <w:rPr>
                <w:rFonts w:eastAsia="Times New Roman"/>
                <w:bCs/>
                <w:color w:val="000000"/>
                <w:sz w:val="20"/>
                <w:szCs w:val="20"/>
                <w:lang w:val="en-US"/>
              </w:rPr>
            </w:pPr>
            <w:r w:rsidRPr="009A27ED">
              <w:rPr>
                <w:rFonts w:eastAsia="Times New Roman"/>
                <w:bCs/>
                <w:color w:val="000000"/>
                <w:sz w:val="20"/>
                <w:szCs w:val="20"/>
                <w:lang w:val="en-US"/>
              </w:rPr>
              <w:t>503.99</w:t>
            </w:r>
          </w:p>
        </w:tc>
        <w:tc>
          <w:tcPr>
            <w:tcW w:w="1260" w:type="dxa"/>
            <w:tcBorders>
              <w:top w:val="nil"/>
              <w:left w:val="nil"/>
              <w:bottom w:val="single" w:sz="4" w:space="0" w:color="auto"/>
              <w:right w:val="single" w:sz="4" w:space="0" w:color="auto"/>
            </w:tcBorders>
            <w:shd w:val="clear" w:color="auto" w:fill="auto"/>
            <w:noWrap/>
            <w:vAlign w:val="bottom"/>
            <w:hideMark/>
          </w:tcPr>
          <w:p w14:paraId="137144E2" w14:textId="77777777" w:rsidR="0004071A" w:rsidRPr="009A27ED" w:rsidRDefault="0004071A" w:rsidP="00AF66E5">
            <w:pPr>
              <w:spacing w:after="0"/>
              <w:jc w:val="right"/>
              <w:rPr>
                <w:rFonts w:eastAsia="Times New Roman"/>
                <w:bCs/>
                <w:color w:val="000000"/>
                <w:sz w:val="20"/>
                <w:szCs w:val="20"/>
                <w:lang w:val="en-US"/>
              </w:rPr>
            </w:pPr>
            <w:r w:rsidRPr="009A27ED">
              <w:rPr>
                <w:rFonts w:eastAsia="Times New Roman"/>
                <w:bCs/>
                <w:color w:val="000000"/>
                <w:sz w:val="20"/>
                <w:szCs w:val="20"/>
                <w:lang w:val="en-US"/>
              </w:rPr>
              <w:t>700.18</w:t>
            </w:r>
          </w:p>
        </w:tc>
        <w:tc>
          <w:tcPr>
            <w:tcW w:w="1170" w:type="dxa"/>
            <w:tcBorders>
              <w:top w:val="nil"/>
              <w:left w:val="nil"/>
              <w:bottom w:val="single" w:sz="4" w:space="0" w:color="auto"/>
              <w:right w:val="single" w:sz="4" w:space="0" w:color="auto"/>
            </w:tcBorders>
            <w:shd w:val="clear" w:color="auto" w:fill="auto"/>
            <w:noWrap/>
            <w:vAlign w:val="bottom"/>
            <w:hideMark/>
          </w:tcPr>
          <w:p w14:paraId="7B6C431A" w14:textId="77777777" w:rsidR="0004071A" w:rsidRPr="009A27ED" w:rsidRDefault="0004071A" w:rsidP="00AF66E5">
            <w:pPr>
              <w:spacing w:after="0"/>
              <w:jc w:val="right"/>
              <w:rPr>
                <w:rFonts w:eastAsia="Times New Roman"/>
                <w:bCs/>
                <w:color w:val="000000"/>
                <w:sz w:val="20"/>
                <w:szCs w:val="20"/>
                <w:lang w:val="en-US"/>
              </w:rPr>
            </w:pPr>
            <w:r w:rsidRPr="009A27ED">
              <w:rPr>
                <w:rFonts w:eastAsia="Times New Roman"/>
                <w:bCs/>
                <w:color w:val="000000"/>
                <w:sz w:val="20"/>
                <w:szCs w:val="20"/>
                <w:lang w:val="en-US"/>
              </w:rPr>
              <w:t>1,540.85</w:t>
            </w:r>
          </w:p>
        </w:tc>
        <w:tc>
          <w:tcPr>
            <w:tcW w:w="1530" w:type="dxa"/>
            <w:tcBorders>
              <w:top w:val="nil"/>
              <w:left w:val="nil"/>
              <w:bottom w:val="single" w:sz="4" w:space="0" w:color="auto"/>
              <w:right w:val="single" w:sz="4" w:space="0" w:color="auto"/>
            </w:tcBorders>
            <w:shd w:val="clear" w:color="auto" w:fill="auto"/>
            <w:noWrap/>
            <w:vAlign w:val="bottom"/>
            <w:hideMark/>
          </w:tcPr>
          <w:p w14:paraId="035734B6" w14:textId="77777777" w:rsidR="0004071A" w:rsidRPr="009A27ED" w:rsidRDefault="0004071A" w:rsidP="00AF66E5">
            <w:pPr>
              <w:spacing w:after="0"/>
              <w:jc w:val="right"/>
              <w:rPr>
                <w:rFonts w:eastAsia="Times New Roman"/>
                <w:bCs/>
                <w:color w:val="000000"/>
                <w:sz w:val="20"/>
                <w:szCs w:val="20"/>
                <w:lang w:val="en-US"/>
              </w:rPr>
            </w:pPr>
            <w:r w:rsidRPr="009A27ED">
              <w:rPr>
                <w:rFonts w:eastAsia="Times New Roman"/>
                <w:bCs/>
                <w:color w:val="000000"/>
                <w:sz w:val="20"/>
                <w:szCs w:val="20"/>
                <w:lang w:val="en-US"/>
              </w:rPr>
              <w:t>2,035.08</w:t>
            </w:r>
          </w:p>
        </w:tc>
        <w:tc>
          <w:tcPr>
            <w:tcW w:w="1170" w:type="dxa"/>
            <w:tcBorders>
              <w:top w:val="nil"/>
              <w:left w:val="nil"/>
              <w:bottom w:val="single" w:sz="4" w:space="0" w:color="auto"/>
              <w:right w:val="single" w:sz="4" w:space="0" w:color="auto"/>
            </w:tcBorders>
            <w:shd w:val="clear" w:color="auto" w:fill="auto"/>
            <w:vAlign w:val="bottom"/>
          </w:tcPr>
          <w:p w14:paraId="438DCBC3" w14:textId="77777777" w:rsidR="0004071A" w:rsidRPr="009A27ED" w:rsidRDefault="0004071A" w:rsidP="00AF66E5">
            <w:pPr>
              <w:spacing w:after="0"/>
              <w:jc w:val="right"/>
              <w:rPr>
                <w:rFonts w:eastAsia="Times New Roman"/>
                <w:bCs/>
                <w:color w:val="000000"/>
                <w:sz w:val="20"/>
                <w:szCs w:val="20"/>
                <w:lang w:val="en-US"/>
              </w:rPr>
            </w:pPr>
            <w:r w:rsidRPr="009A27ED">
              <w:rPr>
                <w:rFonts w:eastAsia="Times New Roman"/>
                <w:bCs/>
                <w:color w:val="000000"/>
                <w:sz w:val="20"/>
                <w:szCs w:val="20"/>
                <w:lang w:val="en-US"/>
              </w:rPr>
              <w:t>710.53</w:t>
            </w:r>
          </w:p>
        </w:tc>
      </w:tr>
      <w:tr w:rsidR="0004071A" w:rsidRPr="009A27ED" w14:paraId="0D6C18A4" w14:textId="77777777" w:rsidTr="00AF66E5">
        <w:trPr>
          <w:trHeight w:val="315"/>
        </w:trPr>
        <w:tc>
          <w:tcPr>
            <w:tcW w:w="1995" w:type="dxa"/>
            <w:tcBorders>
              <w:top w:val="nil"/>
              <w:left w:val="single" w:sz="4" w:space="0" w:color="auto"/>
              <w:bottom w:val="single" w:sz="4" w:space="0" w:color="auto"/>
              <w:right w:val="single" w:sz="4" w:space="0" w:color="auto"/>
            </w:tcBorders>
            <w:shd w:val="clear" w:color="auto" w:fill="auto"/>
            <w:noWrap/>
            <w:vAlign w:val="bottom"/>
            <w:hideMark/>
          </w:tcPr>
          <w:p w14:paraId="63C24F3D" w14:textId="77777777" w:rsidR="0004071A" w:rsidRPr="009A27ED" w:rsidRDefault="0004071A" w:rsidP="00AF66E5">
            <w:pPr>
              <w:spacing w:after="0"/>
              <w:rPr>
                <w:rFonts w:eastAsia="Times New Roman"/>
                <w:b/>
                <w:bCs/>
                <w:color w:val="000000"/>
                <w:sz w:val="20"/>
                <w:szCs w:val="20"/>
                <w:lang w:val="en-US"/>
              </w:rPr>
            </w:pPr>
            <w:r w:rsidRPr="009A27ED">
              <w:rPr>
                <w:lang w:val="es-MX"/>
              </w:rPr>
              <w:t>Áreas</w:t>
            </w:r>
            <w:r w:rsidRPr="009A27ED">
              <w:rPr>
                <w:rFonts w:eastAsia="Times New Roman"/>
                <w:b/>
                <w:bCs/>
                <w:color w:val="000000"/>
                <w:sz w:val="20"/>
                <w:szCs w:val="20"/>
                <w:lang w:val="en-US"/>
              </w:rPr>
              <w:t xml:space="preserve"> 4</w:t>
            </w:r>
          </w:p>
        </w:tc>
        <w:tc>
          <w:tcPr>
            <w:tcW w:w="1440" w:type="dxa"/>
            <w:tcBorders>
              <w:top w:val="nil"/>
              <w:left w:val="nil"/>
              <w:bottom w:val="single" w:sz="4" w:space="0" w:color="auto"/>
              <w:right w:val="single" w:sz="4" w:space="0" w:color="auto"/>
            </w:tcBorders>
            <w:shd w:val="clear" w:color="auto" w:fill="auto"/>
            <w:noWrap/>
            <w:vAlign w:val="bottom"/>
            <w:hideMark/>
          </w:tcPr>
          <w:p w14:paraId="3066BF50" w14:textId="77777777" w:rsidR="0004071A" w:rsidRPr="009A27ED" w:rsidRDefault="0004071A" w:rsidP="00AF66E5">
            <w:pPr>
              <w:spacing w:after="0"/>
              <w:jc w:val="right"/>
              <w:rPr>
                <w:rFonts w:eastAsia="Times New Roman"/>
                <w:bCs/>
                <w:color w:val="000000"/>
                <w:sz w:val="20"/>
                <w:szCs w:val="20"/>
                <w:lang w:val="en-US"/>
              </w:rPr>
            </w:pPr>
            <w:r w:rsidRPr="009A27ED">
              <w:rPr>
                <w:rFonts w:eastAsia="Times New Roman"/>
                <w:bCs/>
                <w:color w:val="000000"/>
                <w:sz w:val="20"/>
                <w:szCs w:val="20"/>
                <w:lang w:val="en-US"/>
              </w:rPr>
              <w:t>393.10</w:t>
            </w:r>
          </w:p>
        </w:tc>
        <w:tc>
          <w:tcPr>
            <w:tcW w:w="1080" w:type="dxa"/>
            <w:tcBorders>
              <w:top w:val="nil"/>
              <w:left w:val="nil"/>
              <w:bottom w:val="single" w:sz="4" w:space="0" w:color="auto"/>
              <w:right w:val="single" w:sz="4" w:space="0" w:color="auto"/>
            </w:tcBorders>
            <w:shd w:val="clear" w:color="auto" w:fill="auto"/>
            <w:noWrap/>
            <w:vAlign w:val="bottom"/>
            <w:hideMark/>
          </w:tcPr>
          <w:p w14:paraId="70C625F8" w14:textId="77777777" w:rsidR="0004071A" w:rsidRPr="009A27ED" w:rsidRDefault="0004071A" w:rsidP="00AF66E5">
            <w:pPr>
              <w:spacing w:after="0"/>
              <w:jc w:val="right"/>
              <w:rPr>
                <w:rFonts w:eastAsia="Times New Roman"/>
                <w:bCs/>
                <w:color w:val="000000"/>
                <w:sz w:val="20"/>
                <w:szCs w:val="20"/>
                <w:lang w:val="en-US"/>
              </w:rPr>
            </w:pPr>
            <w:r w:rsidRPr="009A27ED">
              <w:rPr>
                <w:rFonts w:eastAsia="Times New Roman"/>
                <w:bCs/>
                <w:color w:val="000000"/>
                <w:sz w:val="20"/>
                <w:szCs w:val="20"/>
                <w:lang w:val="en-US"/>
              </w:rPr>
              <w:t>305.59</w:t>
            </w:r>
          </w:p>
        </w:tc>
        <w:tc>
          <w:tcPr>
            <w:tcW w:w="1260" w:type="dxa"/>
            <w:tcBorders>
              <w:top w:val="nil"/>
              <w:left w:val="nil"/>
              <w:bottom w:val="single" w:sz="4" w:space="0" w:color="auto"/>
              <w:right w:val="single" w:sz="4" w:space="0" w:color="auto"/>
            </w:tcBorders>
            <w:shd w:val="clear" w:color="auto" w:fill="auto"/>
            <w:noWrap/>
            <w:vAlign w:val="bottom"/>
            <w:hideMark/>
          </w:tcPr>
          <w:p w14:paraId="7CAB86FD" w14:textId="77777777" w:rsidR="0004071A" w:rsidRPr="009A27ED" w:rsidRDefault="0004071A" w:rsidP="00AF66E5">
            <w:pPr>
              <w:spacing w:after="0"/>
              <w:jc w:val="right"/>
              <w:rPr>
                <w:rFonts w:eastAsia="Times New Roman"/>
                <w:bCs/>
                <w:color w:val="000000"/>
                <w:sz w:val="20"/>
                <w:szCs w:val="20"/>
                <w:lang w:val="en-US"/>
              </w:rPr>
            </w:pPr>
            <w:r w:rsidRPr="009A27ED">
              <w:rPr>
                <w:rFonts w:eastAsia="Times New Roman"/>
                <w:bCs/>
                <w:color w:val="000000"/>
                <w:sz w:val="20"/>
                <w:szCs w:val="20"/>
                <w:lang w:val="en-US"/>
              </w:rPr>
              <w:t>283.33</w:t>
            </w:r>
          </w:p>
        </w:tc>
        <w:tc>
          <w:tcPr>
            <w:tcW w:w="1170" w:type="dxa"/>
            <w:tcBorders>
              <w:top w:val="nil"/>
              <w:left w:val="nil"/>
              <w:bottom w:val="single" w:sz="4" w:space="0" w:color="auto"/>
              <w:right w:val="single" w:sz="4" w:space="0" w:color="auto"/>
            </w:tcBorders>
            <w:shd w:val="clear" w:color="auto" w:fill="auto"/>
            <w:noWrap/>
            <w:vAlign w:val="bottom"/>
            <w:hideMark/>
          </w:tcPr>
          <w:p w14:paraId="5B668754" w14:textId="77777777" w:rsidR="0004071A" w:rsidRPr="009A27ED" w:rsidRDefault="0004071A" w:rsidP="00AF66E5">
            <w:pPr>
              <w:spacing w:after="0"/>
              <w:jc w:val="right"/>
              <w:rPr>
                <w:rFonts w:eastAsia="Times New Roman"/>
                <w:bCs/>
                <w:color w:val="000000"/>
                <w:sz w:val="20"/>
                <w:szCs w:val="20"/>
                <w:lang w:val="en-US"/>
              </w:rPr>
            </w:pPr>
            <w:r w:rsidRPr="009A27ED">
              <w:rPr>
                <w:rFonts w:eastAsia="Times New Roman"/>
                <w:bCs/>
                <w:color w:val="000000"/>
                <w:sz w:val="20"/>
                <w:szCs w:val="20"/>
                <w:lang w:val="en-US"/>
              </w:rPr>
              <w:t>351.91</w:t>
            </w:r>
          </w:p>
        </w:tc>
        <w:tc>
          <w:tcPr>
            <w:tcW w:w="1530" w:type="dxa"/>
            <w:tcBorders>
              <w:top w:val="nil"/>
              <w:left w:val="nil"/>
              <w:bottom w:val="single" w:sz="4" w:space="0" w:color="auto"/>
              <w:right w:val="single" w:sz="4" w:space="0" w:color="auto"/>
            </w:tcBorders>
            <w:shd w:val="clear" w:color="auto" w:fill="auto"/>
            <w:noWrap/>
            <w:vAlign w:val="bottom"/>
            <w:hideMark/>
          </w:tcPr>
          <w:p w14:paraId="07627F41" w14:textId="77777777" w:rsidR="0004071A" w:rsidRPr="009A27ED" w:rsidRDefault="0004071A" w:rsidP="00AF66E5">
            <w:pPr>
              <w:spacing w:after="0"/>
              <w:jc w:val="right"/>
              <w:rPr>
                <w:rFonts w:eastAsia="Times New Roman"/>
                <w:bCs/>
                <w:color w:val="000000"/>
                <w:sz w:val="20"/>
                <w:szCs w:val="20"/>
                <w:lang w:val="en-US"/>
              </w:rPr>
            </w:pPr>
            <w:r w:rsidRPr="009A27ED">
              <w:rPr>
                <w:rFonts w:eastAsia="Times New Roman"/>
                <w:bCs/>
                <w:color w:val="000000"/>
                <w:sz w:val="20"/>
                <w:szCs w:val="20"/>
                <w:lang w:val="en-US"/>
              </w:rPr>
              <w:t>124.04</w:t>
            </w:r>
          </w:p>
        </w:tc>
        <w:tc>
          <w:tcPr>
            <w:tcW w:w="1170" w:type="dxa"/>
            <w:tcBorders>
              <w:top w:val="nil"/>
              <w:left w:val="nil"/>
              <w:bottom w:val="single" w:sz="4" w:space="0" w:color="auto"/>
              <w:right w:val="single" w:sz="4" w:space="0" w:color="auto"/>
            </w:tcBorders>
            <w:shd w:val="clear" w:color="auto" w:fill="auto"/>
            <w:vAlign w:val="bottom"/>
          </w:tcPr>
          <w:p w14:paraId="68B89D01" w14:textId="77777777" w:rsidR="0004071A" w:rsidRPr="009A27ED" w:rsidRDefault="0004071A" w:rsidP="00AF66E5">
            <w:pPr>
              <w:spacing w:after="0"/>
              <w:jc w:val="right"/>
              <w:rPr>
                <w:rFonts w:eastAsia="Times New Roman"/>
                <w:bCs/>
                <w:color w:val="000000"/>
                <w:sz w:val="20"/>
                <w:szCs w:val="20"/>
                <w:lang w:val="en-US"/>
              </w:rPr>
            </w:pPr>
            <w:r w:rsidRPr="009A27ED">
              <w:rPr>
                <w:rFonts w:eastAsia="Times New Roman"/>
                <w:bCs/>
                <w:color w:val="000000"/>
                <w:sz w:val="20"/>
                <w:szCs w:val="20"/>
                <w:lang w:val="en-US"/>
              </w:rPr>
              <w:t>4.29</w:t>
            </w:r>
          </w:p>
        </w:tc>
      </w:tr>
      <w:tr w:rsidR="0004071A" w:rsidRPr="009A27ED" w14:paraId="2407D0C7" w14:textId="77777777" w:rsidTr="00AF66E5">
        <w:trPr>
          <w:trHeight w:val="315"/>
        </w:trPr>
        <w:tc>
          <w:tcPr>
            <w:tcW w:w="1995" w:type="dxa"/>
            <w:tcBorders>
              <w:top w:val="nil"/>
              <w:left w:val="single" w:sz="4" w:space="0" w:color="auto"/>
              <w:bottom w:val="single" w:sz="4" w:space="0" w:color="auto"/>
              <w:right w:val="single" w:sz="4" w:space="0" w:color="auto"/>
            </w:tcBorders>
            <w:shd w:val="clear" w:color="auto" w:fill="auto"/>
            <w:noWrap/>
            <w:vAlign w:val="bottom"/>
            <w:hideMark/>
          </w:tcPr>
          <w:p w14:paraId="06FA06ED" w14:textId="77777777" w:rsidR="0004071A" w:rsidRPr="009A27ED" w:rsidRDefault="0004071A" w:rsidP="00AF66E5">
            <w:pPr>
              <w:spacing w:after="0"/>
              <w:rPr>
                <w:rFonts w:eastAsia="Times New Roman"/>
                <w:b/>
                <w:bCs/>
                <w:color w:val="000000"/>
                <w:sz w:val="20"/>
                <w:szCs w:val="20"/>
                <w:lang w:val="en-US"/>
              </w:rPr>
            </w:pPr>
            <w:r w:rsidRPr="009A27ED">
              <w:rPr>
                <w:lang w:val="es-MX"/>
              </w:rPr>
              <w:t>Áreas</w:t>
            </w:r>
            <w:r w:rsidRPr="009A27ED">
              <w:rPr>
                <w:rFonts w:eastAsia="Times New Roman"/>
                <w:b/>
                <w:bCs/>
                <w:color w:val="000000"/>
                <w:sz w:val="20"/>
                <w:szCs w:val="20"/>
                <w:lang w:val="en-US"/>
              </w:rPr>
              <w:t xml:space="preserve"> 5</w:t>
            </w:r>
          </w:p>
        </w:tc>
        <w:tc>
          <w:tcPr>
            <w:tcW w:w="1440" w:type="dxa"/>
            <w:tcBorders>
              <w:top w:val="nil"/>
              <w:left w:val="nil"/>
              <w:bottom w:val="single" w:sz="4" w:space="0" w:color="auto"/>
              <w:right w:val="single" w:sz="4" w:space="0" w:color="auto"/>
            </w:tcBorders>
            <w:shd w:val="clear" w:color="auto" w:fill="auto"/>
            <w:noWrap/>
            <w:vAlign w:val="bottom"/>
            <w:hideMark/>
          </w:tcPr>
          <w:p w14:paraId="40E8602E" w14:textId="77777777" w:rsidR="0004071A" w:rsidRPr="009A27ED" w:rsidRDefault="0004071A" w:rsidP="00AF66E5">
            <w:pPr>
              <w:spacing w:after="0"/>
              <w:jc w:val="right"/>
              <w:rPr>
                <w:rFonts w:eastAsia="Times New Roman"/>
                <w:bCs/>
                <w:color w:val="000000"/>
                <w:sz w:val="20"/>
                <w:szCs w:val="20"/>
                <w:lang w:val="en-US"/>
              </w:rPr>
            </w:pPr>
            <w:r w:rsidRPr="009A27ED">
              <w:rPr>
                <w:rFonts w:eastAsia="Times New Roman"/>
                <w:bCs/>
                <w:color w:val="000000"/>
                <w:sz w:val="20"/>
                <w:szCs w:val="20"/>
                <w:lang w:val="en-US"/>
              </w:rPr>
              <w:t>515.97</w:t>
            </w:r>
          </w:p>
        </w:tc>
        <w:tc>
          <w:tcPr>
            <w:tcW w:w="1080" w:type="dxa"/>
            <w:tcBorders>
              <w:top w:val="nil"/>
              <w:left w:val="nil"/>
              <w:bottom w:val="single" w:sz="4" w:space="0" w:color="auto"/>
              <w:right w:val="single" w:sz="4" w:space="0" w:color="auto"/>
            </w:tcBorders>
            <w:shd w:val="clear" w:color="auto" w:fill="auto"/>
            <w:noWrap/>
            <w:vAlign w:val="bottom"/>
            <w:hideMark/>
          </w:tcPr>
          <w:p w14:paraId="2DBE9363" w14:textId="77777777" w:rsidR="0004071A" w:rsidRPr="009A27ED" w:rsidRDefault="0004071A" w:rsidP="00AF66E5">
            <w:pPr>
              <w:spacing w:after="0"/>
              <w:jc w:val="right"/>
              <w:rPr>
                <w:rFonts w:eastAsia="Times New Roman"/>
                <w:bCs/>
                <w:color w:val="000000"/>
                <w:sz w:val="20"/>
                <w:szCs w:val="20"/>
                <w:lang w:val="en-US"/>
              </w:rPr>
            </w:pPr>
            <w:r w:rsidRPr="009A27ED">
              <w:rPr>
                <w:rFonts w:eastAsia="Times New Roman"/>
                <w:bCs/>
                <w:color w:val="000000"/>
                <w:sz w:val="20"/>
                <w:szCs w:val="20"/>
                <w:lang w:val="en-US"/>
              </w:rPr>
              <w:t>485.47</w:t>
            </w:r>
          </w:p>
        </w:tc>
        <w:tc>
          <w:tcPr>
            <w:tcW w:w="1260" w:type="dxa"/>
            <w:tcBorders>
              <w:top w:val="nil"/>
              <w:left w:val="nil"/>
              <w:bottom w:val="single" w:sz="4" w:space="0" w:color="auto"/>
              <w:right w:val="single" w:sz="4" w:space="0" w:color="auto"/>
            </w:tcBorders>
            <w:shd w:val="clear" w:color="auto" w:fill="auto"/>
            <w:noWrap/>
            <w:vAlign w:val="bottom"/>
            <w:hideMark/>
          </w:tcPr>
          <w:p w14:paraId="03290C2B" w14:textId="77777777" w:rsidR="0004071A" w:rsidRPr="009A27ED" w:rsidRDefault="0004071A" w:rsidP="00AF66E5">
            <w:pPr>
              <w:spacing w:after="0"/>
              <w:jc w:val="right"/>
              <w:rPr>
                <w:rFonts w:eastAsia="Times New Roman"/>
                <w:bCs/>
                <w:color w:val="000000"/>
                <w:sz w:val="20"/>
                <w:szCs w:val="20"/>
                <w:lang w:val="en-US"/>
              </w:rPr>
            </w:pPr>
            <w:r w:rsidRPr="009A27ED">
              <w:rPr>
                <w:rFonts w:eastAsia="Times New Roman"/>
                <w:bCs/>
                <w:color w:val="000000"/>
                <w:sz w:val="20"/>
                <w:szCs w:val="20"/>
                <w:lang w:val="en-US"/>
              </w:rPr>
              <w:t>547.76</w:t>
            </w:r>
          </w:p>
        </w:tc>
        <w:tc>
          <w:tcPr>
            <w:tcW w:w="1170" w:type="dxa"/>
            <w:tcBorders>
              <w:top w:val="nil"/>
              <w:left w:val="nil"/>
              <w:bottom w:val="single" w:sz="4" w:space="0" w:color="auto"/>
              <w:right w:val="single" w:sz="4" w:space="0" w:color="auto"/>
            </w:tcBorders>
            <w:shd w:val="clear" w:color="auto" w:fill="auto"/>
            <w:noWrap/>
            <w:vAlign w:val="bottom"/>
            <w:hideMark/>
          </w:tcPr>
          <w:p w14:paraId="58C480DF" w14:textId="77777777" w:rsidR="0004071A" w:rsidRPr="009A27ED" w:rsidRDefault="0004071A" w:rsidP="00AF66E5">
            <w:pPr>
              <w:spacing w:after="0"/>
              <w:jc w:val="right"/>
              <w:rPr>
                <w:rFonts w:eastAsia="Times New Roman"/>
                <w:bCs/>
                <w:color w:val="000000"/>
                <w:sz w:val="20"/>
                <w:szCs w:val="20"/>
                <w:lang w:val="en-US"/>
              </w:rPr>
            </w:pPr>
            <w:r w:rsidRPr="009A27ED">
              <w:rPr>
                <w:rFonts w:eastAsia="Times New Roman"/>
                <w:bCs/>
                <w:color w:val="000000"/>
                <w:sz w:val="20"/>
                <w:szCs w:val="20"/>
                <w:lang w:val="en-US"/>
              </w:rPr>
              <w:t>567.06</w:t>
            </w:r>
          </w:p>
        </w:tc>
        <w:tc>
          <w:tcPr>
            <w:tcW w:w="1530" w:type="dxa"/>
            <w:tcBorders>
              <w:top w:val="nil"/>
              <w:left w:val="nil"/>
              <w:bottom w:val="single" w:sz="4" w:space="0" w:color="auto"/>
              <w:right w:val="single" w:sz="4" w:space="0" w:color="auto"/>
            </w:tcBorders>
            <w:shd w:val="clear" w:color="auto" w:fill="auto"/>
            <w:noWrap/>
            <w:vAlign w:val="bottom"/>
            <w:hideMark/>
          </w:tcPr>
          <w:p w14:paraId="0590CE26" w14:textId="77777777" w:rsidR="0004071A" w:rsidRPr="009A27ED" w:rsidRDefault="0004071A" w:rsidP="00AF66E5">
            <w:pPr>
              <w:spacing w:after="0"/>
              <w:jc w:val="right"/>
              <w:rPr>
                <w:rFonts w:eastAsia="Times New Roman"/>
                <w:bCs/>
                <w:color w:val="000000"/>
                <w:sz w:val="20"/>
                <w:szCs w:val="20"/>
                <w:lang w:val="en-US"/>
              </w:rPr>
            </w:pPr>
            <w:r w:rsidRPr="009A27ED">
              <w:rPr>
                <w:rFonts w:eastAsia="Times New Roman"/>
                <w:bCs/>
                <w:color w:val="000000"/>
                <w:sz w:val="20"/>
                <w:szCs w:val="20"/>
                <w:lang w:val="en-US"/>
              </w:rPr>
              <w:t>184.23</w:t>
            </w:r>
          </w:p>
        </w:tc>
        <w:tc>
          <w:tcPr>
            <w:tcW w:w="1170" w:type="dxa"/>
            <w:tcBorders>
              <w:top w:val="nil"/>
              <w:left w:val="nil"/>
              <w:bottom w:val="single" w:sz="4" w:space="0" w:color="auto"/>
              <w:right w:val="single" w:sz="4" w:space="0" w:color="auto"/>
            </w:tcBorders>
            <w:shd w:val="clear" w:color="auto" w:fill="auto"/>
            <w:vAlign w:val="bottom"/>
          </w:tcPr>
          <w:p w14:paraId="1F4137D6" w14:textId="77777777" w:rsidR="0004071A" w:rsidRPr="009A27ED" w:rsidRDefault="0004071A" w:rsidP="00AF66E5">
            <w:pPr>
              <w:spacing w:after="0"/>
              <w:jc w:val="right"/>
              <w:rPr>
                <w:rFonts w:eastAsia="Times New Roman"/>
                <w:bCs/>
                <w:color w:val="000000"/>
                <w:sz w:val="20"/>
                <w:szCs w:val="20"/>
                <w:lang w:val="en-US"/>
              </w:rPr>
            </w:pPr>
            <w:r w:rsidRPr="009A27ED">
              <w:rPr>
                <w:rFonts w:eastAsia="Times New Roman"/>
                <w:bCs/>
                <w:color w:val="000000"/>
                <w:sz w:val="20"/>
                <w:szCs w:val="20"/>
                <w:lang w:val="en-US"/>
              </w:rPr>
              <w:t>6.27</w:t>
            </w:r>
          </w:p>
        </w:tc>
      </w:tr>
      <w:tr w:rsidR="0004071A" w:rsidRPr="009A27ED" w14:paraId="44C448F7" w14:textId="77777777" w:rsidTr="00AF66E5">
        <w:trPr>
          <w:trHeight w:val="315"/>
        </w:trPr>
        <w:tc>
          <w:tcPr>
            <w:tcW w:w="1995" w:type="dxa"/>
            <w:tcBorders>
              <w:top w:val="nil"/>
              <w:left w:val="single" w:sz="4" w:space="0" w:color="auto"/>
              <w:bottom w:val="single" w:sz="4" w:space="0" w:color="auto"/>
              <w:right w:val="single" w:sz="4" w:space="0" w:color="auto"/>
            </w:tcBorders>
            <w:shd w:val="clear" w:color="auto" w:fill="auto"/>
            <w:noWrap/>
            <w:vAlign w:val="bottom"/>
            <w:hideMark/>
          </w:tcPr>
          <w:p w14:paraId="5AE1396F" w14:textId="77777777" w:rsidR="0004071A" w:rsidRPr="009A27ED" w:rsidRDefault="0004071A" w:rsidP="00AF66E5">
            <w:pPr>
              <w:spacing w:after="0"/>
              <w:rPr>
                <w:rFonts w:eastAsia="Times New Roman"/>
                <w:b/>
                <w:bCs/>
                <w:color w:val="000000"/>
                <w:sz w:val="20"/>
                <w:szCs w:val="20"/>
                <w:lang w:val="en-US"/>
              </w:rPr>
            </w:pPr>
            <w:r w:rsidRPr="009A27ED">
              <w:rPr>
                <w:rFonts w:eastAsia="Times New Roman"/>
                <w:b/>
                <w:bCs/>
                <w:color w:val="000000"/>
                <w:sz w:val="20"/>
                <w:szCs w:val="20"/>
                <w:lang w:val="en-US"/>
              </w:rPr>
              <w:t xml:space="preserve">TOTAL </w:t>
            </w:r>
          </w:p>
        </w:tc>
        <w:tc>
          <w:tcPr>
            <w:tcW w:w="1440" w:type="dxa"/>
            <w:tcBorders>
              <w:top w:val="nil"/>
              <w:left w:val="nil"/>
              <w:bottom w:val="single" w:sz="4" w:space="0" w:color="auto"/>
              <w:right w:val="single" w:sz="4" w:space="0" w:color="auto"/>
            </w:tcBorders>
            <w:shd w:val="clear" w:color="auto" w:fill="auto"/>
            <w:noWrap/>
            <w:vAlign w:val="bottom"/>
            <w:hideMark/>
          </w:tcPr>
          <w:p w14:paraId="0D653AAF" w14:textId="77777777" w:rsidR="0004071A" w:rsidRPr="009A27ED" w:rsidRDefault="0004071A" w:rsidP="00AF66E5">
            <w:pPr>
              <w:spacing w:after="0"/>
              <w:jc w:val="right"/>
              <w:rPr>
                <w:rFonts w:eastAsia="Times New Roman"/>
                <w:b/>
                <w:bCs/>
                <w:color w:val="000000"/>
                <w:sz w:val="20"/>
                <w:szCs w:val="20"/>
                <w:lang w:val="en-US"/>
              </w:rPr>
            </w:pPr>
            <w:r w:rsidRPr="009A27ED">
              <w:rPr>
                <w:rFonts w:eastAsia="Times New Roman"/>
                <w:b/>
                <w:bCs/>
                <w:color w:val="000000"/>
                <w:sz w:val="20"/>
                <w:szCs w:val="20"/>
                <w:lang w:val="en-US"/>
              </w:rPr>
              <w:t>1,993.30</w:t>
            </w:r>
          </w:p>
        </w:tc>
        <w:tc>
          <w:tcPr>
            <w:tcW w:w="1080" w:type="dxa"/>
            <w:tcBorders>
              <w:top w:val="nil"/>
              <w:left w:val="nil"/>
              <w:bottom w:val="single" w:sz="4" w:space="0" w:color="auto"/>
              <w:right w:val="single" w:sz="4" w:space="0" w:color="auto"/>
            </w:tcBorders>
            <w:shd w:val="clear" w:color="auto" w:fill="auto"/>
            <w:noWrap/>
            <w:vAlign w:val="bottom"/>
            <w:hideMark/>
          </w:tcPr>
          <w:p w14:paraId="7F88F980" w14:textId="77777777" w:rsidR="0004071A" w:rsidRPr="009A27ED" w:rsidRDefault="0004071A" w:rsidP="00AF66E5">
            <w:pPr>
              <w:spacing w:after="0"/>
              <w:jc w:val="right"/>
              <w:rPr>
                <w:rFonts w:eastAsia="Times New Roman"/>
                <w:b/>
                <w:bCs/>
                <w:color w:val="000000"/>
                <w:sz w:val="20"/>
                <w:szCs w:val="20"/>
                <w:lang w:val="en-US"/>
              </w:rPr>
            </w:pPr>
            <w:r w:rsidRPr="009A27ED">
              <w:rPr>
                <w:rFonts w:eastAsia="Times New Roman"/>
                <w:b/>
                <w:bCs/>
                <w:color w:val="000000"/>
                <w:sz w:val="20"/>
                <w:szCs w:val="20"/>
                <w:lang w:val="en-US"/>
              </w:rPr>
              <w:t>1,956.58</w:t>
            </w:r>
          </w:p>
        </w:tc>
        <w:tc>
          <w:tcPr>
            <w:tcW w:w="1260" w:type="dxa"/>
            <w:tcBorders>
              <w:top w:val="nil"/>
              <w:left w:val="nil"/>
              <w:bottom w:val="single" w:sz="4" w:space="0" w:color="auto"/>
              <w:right w:val="single" w:sz="4" w:space="0" w:color="auto"/>
            </w:tcBorders>
            <w:shd w:val="clear" w:color="auto" w:fill="auto"/>
            <w:noWrap/>
            <w:vAlign w:val="bottom"/>
            <w:hideMark/>
          </w:tcPr>
          <w:p w14:paraId="44D8B0F7" w14:textId="77777777" w:rsidR="0004071A" w:rsidRPr="009A27ED" w:rsidRDefault="0004071A" w:rsidP="00AF66E5">
            <w:pPr>
              <w:spacing w:after="0"/>
              <w:jc w:val="right"/>
              <w:rPr>
                <w:rFonts w:eastAsia="Times New Roman"/>
                <w:b/>
                <w:bCs/>
                <w:color w:val="000000"/>
                <w:sz w:val="20"/>
                <w:szCs w:val="20"/>
                <w:lang w:val="en-US"/>
              </w:rPr>
            </w:pPr>
            <w:r w:rsidRPr="009A27ED">
              <w:rPr>
                <w:rFonts w:eastAsia="Times New Roman"/>
                <w:b/>
                <w:bCs/>
                <w:color w:val="000000"/>
                <w:sz w:val="20"/>
                <w:szCs w:val="20"/>
                <w:lang w:val="en-US"/>
              </w:rPr>
              <w:t>2,574.02</w:t>
            </w:r>
          </w:p>
        </w:tc>
        <w:tc>
          <w:tcPr>
            <w:tcW w:w="1170" w:type="dxa"/>
            <w:tcBorders>
              <w:top w:val="nil"/>
              <w:left w:val="nil"/>
              <w:bottom w:val="single" w:sz="4" w:space="0" w:color="auto"/>
              <w:right w:val="single" w:sz="4" w:space="0" w:color="auto"/>
            </w:tcBorders>
            <w:shd w:val="clear" w:color="auto" w:fill="auto"/>
            <w:noWrap/>
            <w:vAlign w:val="bottom"/>
            <w:hideMark/>
          </w:tcPr>
          <w:p w14:paraId="4809CB2C" w14:textId="77777777" w:rsidR="0004071A" w:rsidRPr="009A27ED" w:rsidRDefault="0004071A" w:rsidP="00AF66E5">
            <w:pPr>
              <w:spacing w:after="0"/>
              <w:jc w:val="right"/>
              <w:rPr>
                <w:rFonts w:eastAsia="Times New Roman"/>
                <w:b/>
                <w:bCs/>
                <w:color w:val="000000"/>
                <w:sz w:val="20"/>
                <w:szCs w:val="20"/>
                <w:lang w:val="en-US"/>
              </w:rPr>
            </w:pPr>
            <w:r w:rsidRPr="009A27ED">
              <w:rPr>
                <w:rFonts w:eastAsia="Times New Roman"/>
                <w:b/>
                <w:bCs/>
                <w:color w:val="000000"/>
                <w:sz w:val="20"/>
                <w:szCs w:val="20"/>
                <w:lang w:val="en-US"/>
              </w:rPr>
              <w:t>3,873.88</w:t>
            </w:r>
          </w:p>
        </w:tc>
        <w:tc>
          <w:tcPr>
            <w:tcW w:w="1530" w:type="dxa"/>
            <w:tcBorders>
              <w:top w:val="nil"/>
              <w:left w:val="nil"/>
              <w:bottom w:val="single" w:sz="4" w:space="0" w:color="auto"/>
              <w:right w:val="single" w:sz="4" w:space="0" w:color="auto"/>
            </w:tcBorders>
            <w:shd w:val="clear" w:color="auto" w:fill="auto"/>
            <w:noWrap/>
            <w:vAlign w:val="bottom"/>
            <w:hideMark/>
          </w:tcPr>
          <w:p w14:paraId="3AC42FDA" w14:textId="77777777" w:rsidR="0004071A" w:rsidRPr="009A27ED" w:rsidRDefault="0004071A" w:rsidP="00AF66E5">
            <w:pPr>
              <w:spacing w:after="0"/>
              <w:jc w:val="right"/>
              <w:rPr>
                <w:rFonts w:eastAsia="Times New Roman"/>
                <w:b/>
                <w:bCs/>
                <w:color w:val="000000"/>
                <w:sz w:val="20"/>
                <w:szCs w:val="20"/>
                <w:lang w:val="en-US"/>
              </w:rPr>
            </w:pPr>
            <w:r w:rsidRPr="009A27ED">
              <w:rPr>
                <w:rFonts w:eastAsia="Times New Roman"/>
                <w:b/>
                <w:bCs/>
                <w:color w:val="000000"/>
                <w:sz w:val="20"/>
                <w:szCs w:val="20"/>
                <w:lang w:val="en-US"/>
              </w:rPr>
              <w:t>3,723.52</w:t>
            </w:r>
          </w:p>
        </w:tc>
        <w:tc>
          <w:tcPr>
            <w:tcW w:w="1170" w:type="dxa"/>
            <w:tcBorders>
              <w:top w:val="nil"/>
              <w:left w:val="nil"/>
              <w:bottom w:val="single" w:sz="4" w:space="0" w:color="auto"/>
              <w:right w:val="single" w:sz="4" w:space="0" w:color="auto"/>
            </w:tcBorders>
            <w:shd w:val="clear" w:color="auto" w:fill="auto"/>
            <w:vAlign w:val="bottom"/>
          </w:tcPr>
          <w:p w14:paraId="136C8202" w14:textId="77777777" w:rsidR="0004071A" w:rsidRPr="009A27ED" w:rsidRDefault="0004071A" w:rsidP="000310D3">
            <w:pPr>
              <w:keepNext/>
              <w:spacing w:after="0"/>
              <w:jc w:val="right"/>
              <w:rPr>
                <w:rFonts w:eastAsia="Times New Roman"/>
                <w:b/>
                <w:bCs/>
                <w:color w:val="000000"/>
                <w:sz w:val="20"/>
                <w:szCs w:val="20"/>
                <w:lang w:val="en-US"/>
              </w:rPr>
            </w:pPr>
            <w:r w:rsidRPr="009A27ED">
              <w:rPr>
                <w:rFonts w:eastAsia="Times New Roman"/>
                <w:b/>
                <w:bCs/>
                <w:color w:val="000000"/>
                <w:sz w:val="20"/>
                <w:szCs w:val="20"/>
                <w:lang w:val="en-US"/>
              </w:rPr>
              <w:t>1,078.24</w:t>
            </w:r>
          </w:p>
        </w:tc>
      </w:tr>
    </w:tbl>
    <w:p w14:paraId="66E513FF" w14:textId="19AE4FF4" w:rsidR="0004071A" w:rsidRPr="009A27ED" w:rsidRDefault="0004071A" w:rsidP="000310D3">
      <w:pPr>
        <w:pStyle w:val="Descripcin"/>
        <w:spacing w:line="360" w:lineRule="auto"/>
        <w:rPr>
          <w:color w:val="000000" w:themeColor="text1"/>
          <w:sz w:val="20"/>
        </w:rPr>
      </w:pPr>
    </w:p>
    <w:p w14:paraId="426FE4DD" w14:textId="77777777" w:rsidR="00654D6A" w:rsidRPr="009A27ED" w:rsidRDefault="0004071A" w:rsidP="00654D6A">
      <w:pPr>
        <w:keepNext/>
        <w:spacing w:after="0" w:line="360" w:lineRule="auto"/>
      </w:pPr>
      <w:r w:rsidRPr="009A27ED">
        <w:rPr>
          <w:rFonts w:ascii="Times New Roman" w:eastAsia="Times New Roman" w:hAnsi="Times New Roman"/>
          <w:noProof/>
          <w:sz w:val="24"/>
          <w:lang w:val="en-US"/>
        </w:rPr>
        <w:drawing>
          <wp:inline distT="0" distB="0" distL="0" distR="0" wp14:anchorId="6A570420" wp14:editId="667BAA0A">
            <wp:extent cx="6202018" cy="2984500"/>
            <wp:effectExtent l="0" t="0" r="8890" b="12700"/>
            <wp:docPr id="17"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14:paraId="0D411466" w14:textId="58F83361" w:rsidR="00654D6A" w:rsidRPr="009A27ED" w:rsidRDefault="00654D6A" w:rsidP="00654D6A">
      <w:pPr>
        <w:pStyle w:val="Descripcin"/>
        <w:spacing w:line="360" w:lineRule="auto"/>
        <w:rPr>
          <w:color w:val="auto"/>
          <w:sz w:val="22"/>
        </w:rPr>
      </w:pPr>
      <w:bookmarkStart w:id="153" w:name="_Toc111892206"/>
      <w:r w:rsidRPr="009A27ED">
        <w:rPr>
          <w:rFonts w:ascii="Times New Roman" w:eastAsia="Times New Roman" w:hAnsi="Times New Roman"/>
          <w:sz w:val="24"/>
        </w:rPr>
        <w:t xml:space="preserve">Grafica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Grafica_ \* ARABIC </w:instrText>
      </w:r>
      <w:r w:rsidRPr="009A27ED">
        <w:rPr>
          <w:rFonts w:ascii="Times New Roman" w:eastAsia="Times New Roman" w:hAnsi="Times New Roman"/>
          <w:sz w:val="24"/>
        </w:rPr>
        <w:fldChar w:fldCharType="separate"/>
      </w:r>
      <w:r w:rsidR="00750181" w:rsidRPr="009A27ED">
        <w:rPr>
          <w:rFonts w:ascii="Times New Roman" w:eastAsia="Times New Roman" w:hAnsi="Times New Roman"/>
          <w:noProof/>
          <w:sz w:val="24"/>
        </w:rPr>
        <w:t>4</w:t>
      </w:r>
      <w:r w:rsidRPr="009A27ED">
        <w:rPr>
          <w:rFonts w:ascii="Times New Roman" w:eastAsia="Times New Roman" w:hAnsi="Times New Roman"/>
          <w:sz w:val="24"/>
        </w:rPr>
        <w:fldChar w:fldCharType="end"/>
      </w:r>
      <w:r w:rsidRPr="009A27ED">
        <w:rPr>
          <w:rFonts w:ascii="Times New Roman" w:eastAsia="Times New Roman" w:hAnsi="Times New Roman"/>
          <w:sz w:val="24"/>
        </w:rPr>
        <w:t>. Rangos de pendiente de las áreas priorizadas</w:t>
      </w:r>
      <w:bookmarkEnd w:id="153"/>
    </w:p>
    <w:p w14:paraId="2D0F09C4" w14:textId="77777777" w:rsidR="00654D6A" w:rsidRPr="009A27ED" w:rsidRDefault="00654D6A" w:rsidP="00654D6A">
      <w:pPr>
        <w:pStyle w:val="Descripcin"/>
        <w:spacing w:line="360" w:lineRule="auto"/>
        <w:rPr>
          <w:b/>
          <w:szCs w:val="22"/>
          <w:lang w:val="es-MX"/>
        </w:rPr>
      </w:pPr>
    </w:p>
    <w:p w14:paraId="1F13D419" w14:textId="1ED10036" w:rsidR="007C02A2" w:rsidRPr="009A27ED" w:rsidRDefault="00654D6A" w:rsidP="00654D6A">
      <w:pPr>
        <w:pStyle w:val="Descripcin"/>
        <w:spacing w:line="360" w:lineRule="auto"/>
        <w:rPr>
          <w:b/>
          <w:szCs w:val="22"/>
          <w:lang w:val="es-MX"/>
        </w:rPr>
      </w:pPr>
      <w:proofErr w:type="spellStart"/>
      <w:r w:rsidRPr="009A27ED">
        <w:rPr>
          <w:rFonts w:ascii="Times New Roman" w:eastAsia="Times New Roman" w:hAnsi="Times New Roman"/>
          <w:b/>
          <w:sz w:val="24"/>
          <w:szCs w:val="22"/>
          <w:lang w:val="es-MX"/>
        </w:rPr>
        <w:t>p</w:t>
      </w:r>
      <w:r w:rsidR="0004071A" w:rsidRPr="009A27ED">
        <w:rPr>
          <w:rFonts w:ascii="Times New Roman" w:eastAsia="Times New Roman" w:hAnsi="Times New Roman"/>
          <w:b/>
          <w:sz w:val="24"/>
          <w:szCs w:val="22"/>
          <w:lang w:val="es-MX"/>
        </w:rPr>
        <w:t>Principales</w:t>
      </w:r>
      <w:proofErr w:type="spellEnd"/>
      <w:r w:rsidR="0004071A" w:rsidRPr="009A27ED">
        <w:rPr>
          <w:rFonts w:ascii="Times New Roman" w:eastAsia="Times New Roman" w:hAnsi="Times New Roman"/>
          <w:b/>
          <w:sz w:val="24"/>
          <w:szCs w:val="22"/>
          <w:lang w:val="es-MX"/>
        </w:rPr>
        <w:t xml:space="preserve"> factores de deforestación y degradación </w:t>
      </w:r>
    </w:p>
    <w:p w14:paraId="03DE63F8" w14:textId="2E57DA01" w:rsidR="0004071A" w:rsidRPr="009A27ED" w:rsidRDefault="0004071A" w:rsidP="005B6485">
      <w:pPr>
        <w:spacing w:before="120" w:after="0" w:line="360" w:lineRule="auto"/>
        <w:rPr>
          <w:szCs w:val="22"/>
        </w:rPr>
      </w:pPr>
      <w:r w:rsidRPr="009A27ED">
        <w:rPr>
          <w:rFonts w:ascii="Times New Roman" w:eastAsia="Times New Roman" w:hAnsi="Times New Roman"/>
          <w:sz w:val="24"/>
          <w:szCs w:val="22"/>
        </w:rPr>
        <w:t xml:space="preserve">En el Informe de Línea Base del Programa de NDT </w:t>
      </w:r>
      <w:sdt>
        <w:sdtPr>
          <w:rPr>
            <w:szCs w:val="22"/>
          </w:rPr>
          <w:id w:val="-209575810"/>
          <w:citation/>
        </w:sdtPr>
        <w:sdtContent>
          <w:r w:rsidRPr="009A27ED">
            <w:rPr>
              <w:szCs w:val="22"/>
            </w:rPr>
            <w:fldChar w:fldCharType="begin"/>
          </w:r>
          <w:r w:rsidRPr="009A27ED">
            <w:rPr>
              <w:szCs w:val="22"/>
            </w:rPr>
            <w:instrText xml:space="preserve"> CITATION Ova17 \l 1033 </w:instrText>
          </w:r>
          <w:r w:rsidRPr="009A27ED">
            <w:rPr>
              <w:szCs w:val="22"/>
            </w:rPr>
            <w:fldChar w:fldCharType="separate"/>
          </w:r>
          <w:r w:rsidRPr="009A27ED">
            <w:rPr>
              <w:noProof/>
              <w:szCs w:val="22"/>
            </w:rPr>
            <w:t>(Ovalles, 2017)</w:t>
          </w:r>
          <w:r w:rsidRPr="009A27ED">
            <w:rPr>
              <w:szCs w:val="22"/>
            </w:rPr>
            <w:fldChar w:fldCharType="end"/>
          </w:r>
        </w:sdtContent>
      </w:sdt>
      <w:r w:rsidRPr="009A27ED">
        <w:rPr>
          <w:rFonts w:ascii="Times New Roman" w:eastAsia="Times New Roman" w:hAnsi="Times New Roman"/>
          <w:sz w:val="24"/>
          <w:szCs w:val="22"/>
        </w:rPr>
        <w:t xml:space="preserve"> se identificaron las zonas </w:t>
      </w:r>
      <w:r w:rsidR="005A643B" w:rsidRPr="009A27ED">
        <w:rPr>
          <w:rFonts w:ascii="Times New Roman" w:eastAsia="Times New Roman" w:hAnsi="Times New Roman"/>
          <w:sz w:val="24"/>
          <w:szCs w:val="22"/>
        </w:rPr>
        <w:t xml:space="preserve">en </w:t>
      </w:r>
      <w:r w:rsidRPr="009A27ED">
        <w:rPr>
          <w:rFonts w:ascii="Times New Roman" w:eastAsia="Times New Roman" w:hAnsi="Times New Roman"/>
          <w:sz w:val="24"/>
          <w:szCs w:val="22"/>
        </w:rPr>
        <w:t xml:space="preserve">donde están ocurriendo los procesos críticos de degradación. </w:t>
      </w:r>
      <w:bookmarkStart w:id="154" w:name="_Hlk516494835"/>
      <w:r w:rsidRPr="009A27ED">
        <w:rPr>
          <w:rFonts w:ascii="Times New Roman" w:eastAsia="Times New Roman" w:hAnsi="Times New Roman"/>
          <w:sz w:val="24"/>
          <w:szCs w:val="22"/>
        </w:rPr>
        <w:t>Se estima que existen 496,000 hectáreas (equivalente al 10% del territorio dominicano) que están afectadas por procesos críticos de degradación del suelo.</w:t>
      </w:r>
      <w:bookmarkEnd w:id="154"/>
      <w:r w:rsidRPr="009A27ED">
        <w:rPr>
          <w:rFonts w:ascii="Times New Roman" w:eastAsia="Times New Roman" w:hAnsi="Times New Roman"/>
          <w:sz w:val="24"/>
          <w:szCs w:val="22"/>
        </w:rPr>
        <w:t xml:space="preserve"> Las regiones hídricas más afectadas por di</w:t>
      </w:r>
      <w:r w:rsidR="0025465D" w:rsidRPr="009A27ED">
        <w:rPr>
          <w:rFonts w:ascii="Times New Roman" w:eastAsia="Times New Roman" w:hAnsi="Times New Roman"/>
          <w:sz w:val="24"/>
          <w:szCs w:val="22"/>
        </w:rPr>
        <w:t>chos procesos se presentan en el Cuadro 28</w:t>
      </w:r>
      <w:r w:rsidRPr="009A27ED">
        <w:rPr>
          <w:rFonts w:ascii="Times New Roman" w:eastAsia="Times New Roman" w:hAnsi="Times New Roman"/>
          <w:sz w:val="24"/>
          <w:szCs w:val="22"/>
        </w:rPr>
        <w:t>, tomadas de dicho informe. Estos procesos críticos de degradación reflejan los cambios de uso de la tierra, las áreas afectadas y su ubicación, las tendencias observadas y la dinámica de prod</w:t>
      </w:r>
      <w:r w:rsidR="007C02A2" w:rsidRPr="009A27ED">
        <w:rPr>
          <w:rFonts w:ascii="Times New Roman" w:eastAsia="Times New Roman" w:hAnsi="Times New Roman"/>
          <w:sz w:val="24"/>
          <w:szCs w:val="22"/>
        </w:rPr>
        <w:t xml:space="preserve">uctividad de la tierra (LPD).  </w:t>
      </w:r>
    </w:p>
    <w:p w14:paraId="1A911981" w14:textId="77777777" w:rsidR="00C27962" w:rsidRPr="009A27ED" w:rsidRDefault="00C27962" w:rsidP="0004071A">
      <w:pPr>
        <w:tabs>
          <w:tab w:val="left" w:pos="2397"/>
        </w:tabs>
        <w:spacing w:after="0" w:line="360" w:lineRule="auto"/>
        <w:rPr>
          <w:color w:val="000000" w:themeColor="text1"/>
        </w:rPr>
      </w:pPr>
    </w:p>
    <w:p w14:paraId="5A2E9A30" w14:textId="77777777" w:rsidR="00C27962" w:rsidRPr="009A27ED" w:rsidRDefault="00C27962" w:rsidP="0004071A">
      <w:pPr>
        <w:tabs>
          <w:tab w:val="left" w:pos="2397"/>
        </w:tabs>
        <w:spacing w:after="0" w:line="360" w:lineRule="auto"/>
        <w:rPr>
          <w:color w:val="000000" w:themeColor="text1"/>
        </w:rPr>
      </w:pPr>
    </w:p>
    <w:p w14:paraId="66407256" w14:textId="77777777" w:rsidR="003B2BFB" w:rsidRPr="009A27ED" w:rsidRDefault="003B2BFB" w:rsidP="0004071A">
      <w:pPr>
        <w:tabs>
          <w:tab w:val="left" w:pos="2397"/>
        </w:tabs>
        <w:spacing w:after="0" w:line="360" w:lineRule="auto"/>
        <w:rPr>
          <w:color w:val="000000" w:themeColor="text1"/>
        </w:rPr>
      </w:pPr>
    </w:p>
    <w:p w14:paraId="48698270" w14:textId="122AFCE7" w:rsidR="005A643B" w:rsidRPr="009A27ED" w:rsidRDefault="005A643B" w:rsidP="0004071A">
      <w:pPr>
        <w:tabs>
          <w:tab w:val="left" w:pos="2397"/>
        </w:tabs>
        <w:spacing w:after="0" w:line="360" w:lineRule="auto"/>
        <w:rPr>
          <w:b/>
          <w:i/>
          <w:iCs/>
          <w:sz w:val="20"/>
          <w:szCs w:val="20"/>
        </w:rPr>
      </w:pPr>
    </w:p>
    <w:p w14:paraId="63C28C74" w14:textId="492AAB7C" w:rsidR="00170677" w:rsidRPr="009A27ED" w:rsidRDefault="00170677" w:rsidP="00170677">
      <w:pPr>
        <w:tabs>
          <w:tab w:val="left" w:pos="2397"/>
        </w:tabs>
        <w:spacing w:after="0" w:line="360" w:lineRule="auto"/>
      </w:pPr>
      <w:bookmarkStart w:id="155" w:name="_Toc111887428"/>
      <w:r w:rsidRPr="009A27ED">
        <w:rPr>
          <w:rFonts w:ascii="Times New Roman" w:eastAsia="Times New Roman" w:hAnsi="Times New Roman"/>
          <w:sz w:val="24"/>
        </w:rPr>
        <w:t xml:space="preserve">Cuadro </w:t>
      </w:r>
      <w:r w:rsidR="00F43DB6" w:rsidRPr="009A27ED">
        <w:rPr>
          <w:rFonts w:ascii="Times New Roman" w:eastAsia="Times New Roman" w:hAnsi="Times New Roman"/>
          <w:sz w:val="24"/>
        </w:rPr>
        <w:fldChar w:fldCharType="begin"/>
      </w:r>
      <w:r w:rsidR="00F43DB6" w:rsidRPr="009A27ED">
        <w:rPr>
          <w:rFonts w:ascii="Times New Roman" w:eastAsia="Times New Roman" w:hAnsi="Times New Roman"/>
          <w:sz w:val="24"/>
        </w:rPr>
        <w:instrText xml:space="preserve"> SEQ Cuadro \* ARABIC </w:instrText>
      </w:r>
      <w:r w:rsidR="00F43DB6"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18</w:t>
      </w:r>
      <w:r w:rsidR="00F43DB6" w:rsidRPr="009A27ED">
        <w:rPr>
          <w:rFonts w:ascii="Times New Roman" w:eastAsia="Times New Roman" w:hAnsi="Times New Roman"/>
          <w:sz w:val="24"/>
        </w:rPr>
        <w:fldChar w:fldCharType="end"/>
      </w:r>
      <w:r w:rsidRPr="009A27ED">
        <w:rPr>
          <w:rFonts w:ascii="Times New Roman" w:eastAsia="Times New Roman" w:hAnsi="Times New Roman"/>
          <w:i/>
          <w:color w:val="000000" w:themeColor="text1"/>
          <w:sz w:val="24"/>
          <w:szCs w:val="20"/>
        </w:rPr>
        <w:t>. Procesos críticos, áreas afectadas y causas</w:t>
      </w:r>
      <w:bookmarkEnd w:id="155"/>
    </w:p>
    <w:tbl>
      <w:tblPr>
        <w:tblStyle w:val="TableGridLight11"/>
        <w:tblW w:w="9265" w:type="dxa"/>
        <w:tblLook w:val="04A0" w:firstRow="1" w:lastRow="0" w:firstColumn="1" w:lastColumn="0" w:noHBand="0" w:noVBand="1"/>
      </w:tblPr>
      <w:tblGrid>
        <w:gridCol w:w="528"/>
        <w:gridCol w:w="2162"/>
        <w:gridCol w:w="1112"/>
        <w:gridCol w:w="1406"/>
        <w:gridCol w:w="2544"/>
        <w:gridCol w:w="1513"/>
      </w:tblGrid>
      <w:tr w:rsidR="0069562F" w:rsidRPr="009A27ED" w14:paraId="2B6B73E0" w14:textId="77777777" w:rsidTr="000310D3">
        <w:trPr>
          <w:trHeight w:val="820"/>
          <w:tblHeader/>
        </w:trPr>
        <w:tc>
          <w:tcPr>
            <w:tcW w:w="528" w:type="dxa"/>
            <w:shd w:val="clear" w:color="auto" w:fill="0070C0"/>
            <w:noWrap/>
            <w:vAlign w:val="center"/>
            <w:hideMark/>
          </w:tcPr>
          <w:p w14:paraId="05ADDF5D" w14:textId="77777777" w:rsidR="0004071A" w:rsidRPr="009A27ED" w:rsidRDefault="0004071A" w:rsidP="000310D3">
            <w:pPr>
              <w:spacing w:after="0"/>
              <w:jc w:val="center"/>
              <w:rPr>
                <w:b/>
                <w:color w:val="FFFFFF" w:themeColor="background1"/>
                <w:sz w:val="18"/>
                <w:szCs w:val="18"/>
              </w:rPr>
            </w:pPr>
            <w:bookmarkStart w:id="156" w:name="RANGE!A1:D18"/>
            <w:r w:rsidRPr="009A27ED">
              <w:rPr>
                <w:b/>
                <w:color w:val="FFFFFF" w:themeColor="background1"/>
                <w:sz w:val="18"/>
                <w:szCs w:val="18"/>
              </w:rPr>
              <w:t>No.</w:t>
            </w:r>
            <w:bookmarkEnd w:id="156"/>
          </w:p>
        </w:tc>
        <w:tc>
          <w:tcPr>
            <w:tcW w:w="2162" w:type="dxa"/>
            <w:shd w:val="clear" w:color="auto" w:fill="0070C0"/>
            <w:noWrap/>
            <w:vAlign w:val="center"/>
            <w:hideMark/>
          </w:tcPr>
          <w:p w14:paraId="7A5EA416" w14:textId="77777777" w:rsidR="0004071A" w:rsidRPr="009A27ED" w:rsidRDefault="0004071A" w:rsidP="000310D3">
            <w:pPr>
              <w:spacing w:after="0"/>
              <w:jc w:val="center"/>
              <w:rPr>
                <w:b/>
                <w:color w:val="FFFFFF" w:themeColor="background1"/>
                <w:sz w:val="18"/>
                <w:szCs w:val="18"/>
              </w:rPr>
            </w:pPr>
            <w:r w:rsidRPr="009A27ED">
              <w:rPr>
                <w:b/>
                <w:color w:val="FFFFFF" w:themeColor="background1"/>
                <w:sz w:val="18"/>
                <w:szCs w:val="18"/>
              </w:rPr>
              <w:t>PROCESOS CRÍTICOS</w:t>
            </w:r>
          </w:p>
        </w:tc>
        <w:tc>
          <w:tcPr>
            <w:tcW w:w="1112" w:type="dxa"/>
            <w:shd w:val="clear" w:color="auto" w:fill="0070C0"/>
            <w:noWrap/>
            <w:vAlign w:val="center"/>
            <w:hideMark/>
          </w:tcPr>
          <w:p w14:paraId="1BC9CDC4" w14:textId="77777777" w:rsidR="0004071A" w:rsidRPr="009A27ED" w:rsidRDefault="0004071A" w:rsidP="000310D3">
            <w:pPr>
              <w:spacing w:after="0"/>
              <w:jc w:val="center"/>
              <w:rPr>
                <w:b/>
                <w:color w:val="FFFFFF" w:themeColor="background1"/>
                <w:sz w:val="18"/>
                <w:szCs w:val="18"/>
              </w:rPr>
            </w:pPr>
            <w:r w:rsidRPr="009A27ED">
              <w:rPr>
                <w:b/>
                <w:color w:val="FFFFFF" w:themeColor="background1"/>
                <w:sz w:val="18"/>
                <w:szCs w:val="18"/>
              </w:rPr>
              <w:t>Área Afectada</w:t>
            </w:r>
          </w:p>
          <w:p w14:paraId="27E78FBA" w14:textId="77777777" w:rsidR="0004071A" w:rsidRPr="009A27ED" w:rsidRDefault="0004071A" w:rsidP="000310D3">
            <w:pPr>
              <w:spacing w:after="0"/>
              <w:jc w:val="center"/>
              <w:rPr>
                <w:b/>
                <w:color w:val="FFFFFF" w:themeColor="background1"/>
                <w:sz w:val="18"/>
                <w:szCs w:val="18"/>
              </w:rPr>
            </w:pPr>
            <w:r w:rsidRPr="009A27ED">
              <w:rPr>
                <w:b/>
                <w:color w:val="FFFFFF" w:themeColor="background1"/>
                <w:sz w:val="18"/>
                <w:szCs w:val="18"/>
              </w:rPr>
              <w:t>(Ha)</w:t>
            </w:r>
          </w:p>
        </w:tc>
        <w:tc>
          <w:tcPr>
            <w:tcW w:w="1406" w:type="dxa"/>
            <w:shd w:val="clear" w:color="auto" w:fill="0070C0"/>
            <w:vAlign w:val="center"/>
            <w:hideMark/>
          </w:tcPr>
          <w:p w14:paraId="79819CE5" w14:textId="77777777" w:rsidR="0004071A" w:rsidRPr="009A27ED" w:rsidRDefault="0004071A" w:rsidP="000310D3">
            <w:pPr>
              <w:spacing w:after="0"/>
              <w:jc w:val="center"/>
              <w:rPr>
                <w:b/>
                <w:color w:val="FFFFFF" w:themeColor="background1"/>
                <w:sz w:val="18"/>
                <w:szCs w:val="18"/>
              </w:rPr>
            </w:pPr>
            <w:r w:rsidRPr="009A27ED">
              <w:rPr>
                <w:b/>
                <w:color w:val="FFFFFF" w:themeColor="background1"/>
                <w:sz w:val="18"/>
                <w:szCs w:val="18"/>
              </w:rPr>
              <w:t>Tendencia en el período 2000-2010</w:t>
            </w:r>
          </w:p>
        </w:tc>
        <w:tc>
          <w:tcPr>
            <w:tcW w:w="2544" w:type="dxa"/>
            <w:shd w:val="clear" w:color="auto" w:fill="0070C0"/>
            <w:noWrap/>
            <w:vAlign w:val="center"/>
            <w:hideMark/>
          </w:tcPr>
          <w:p w14:paraId="7C6D0495" w14:textId="77777777" w:rsidR="0004071A" w:rsidRPr="009A27ED" w:rsidRDefault="0004071A" w:rsidP="000310D3">
            <w:pPr>
              <w:spacing w:after="0"/>
              <w:jc w:val="center"/>
              <w:rPr>
                <w:b/>
                <w:color w:val="FFFFFF" w:themeColor="background1"/>
                <w:sz w:val="18"/>
                <w:szCs w:val="18"/>
              </w:rPr>
            </w:pPr>
            <w:r w:rsidRPr="009A27ED">
              <w:rPr>
                <w:b/>
                <w:color w:val="FFFFFF" w:themeColor="background1"/>
                <w:sz w:val="18"/>
                <w:szCs w:val="18"/>
              </w:rPr>
              <w:t>Área Geográfica</w:t>
            </w:r>
          </w:p>
          <w:p w14:paraId="7D55D105" w14:textId="65F8EA9C" w:rsidR="0004071A" w:rsidRPr="009A27ED" w:rsidRDefault="0004071A" w:rsidP="000310D3">
            <w:pPr>
              <w:spacing w:after="0"/>
              <w:jc w:val="center"/>
              <w:rPr>
                <w:b/>
                <w:color w:val="FFFFFF" w:themeColor="background1"/>
                <w:sz w:val="18"/>
                <w:szCs w:val="18"/>
              </w:rPr>
            </w:pPr>
            <w:r w:rsidRPr="009A27ED">
              <w:rPr>
                <w:b/>
                <w:color w:val="FFFFFF" w:themeColor="background1"/>
                <w:sz w:val="18"/>
                <w:szCs w:val="18"/>
              </w:rPr>
              <w:t>(Cuencas</w:t>
            </w:r>
            <w:r w:rsidR="005A643B" w:rsidRPr="009A27ED">
              <w:rPr>
                <w:b/>
                <w:color w:val="FFFFFF" w:themeColor="background1"/>
                <w:sz w:val="18"/>
                <w:szCs w:val="18"/>
              </w:rPr>
              <w:t xml:space="preserve"> </w:t>
            </w:r>
            <w:r w:rsidRPr="009A27ED">
              <w:rPr>
                <w:b/>
                <w:color w:val="FFFFFF" w:themeColor="background1"/>
                <w:sz w:val="18"/>
                <w:szCs w:val="18"/>
              </w:rPr>
              <w:t>/</w:t>
            </w:r>
            <w:r w:rsidR="005A643B" w:rsidRPr="009A27ED">
              <w:rPr>
                <w:b/>
                <w:color w:val="FFFFFF" w:themeColor="background1"/>
                <w:sz w:val="18"/>
                <w:szCs w:val="18"/>
              </w:rPr>
              <w:t xml:space="preserve"> </w:t>
            </w:r>
            <w:proofErr w:type="gramStart"/>
            <w:r w:rsidRPr="009A27ED">
              <w:rPr>
                <w:b/>
                <w:color w:val="FFFFFF" w:themeColor="background1"/>
                <w:sz w:val="18"/>
                <w:szCs w:val="18"/>
              </w:rPr>
              <w:t>Sub</w:t>
            </w:r>
            <w:r w:rsidR="005A643B" w:rsidRPr="009A27ED">
              <w:rPr>
                <w:b/>
                <w:color w:val="FFFFFF" w:themeColor="background1"/>
                <w:sz w:val="18"/>
                <w:szCs w:val="18"/>
              </w:rPr>
              <w:t xml:space="preserve"> </w:t>
            </w:r>
            <w:r w:rsidRPr="009A27ED">
              <w:rPr>
                <w:b/>
                <w:color w:val="FFFFFF" w:themeColor="background1"/>
                <w:sz w:val="18"/>
                <w:szCs w:val="18"/>
              </w:rPr>
              <w:t>cuencas</w:t>
            </w:r>
            <w:proofErr w:type="gramEnd"/>
            <w:r w:rsidRPr="009A27ED">
              <w:rPr>
                <w:b/>
                <w:color w:val="FFFFFF" w:themeColor="background1"/>
                <w:sz w:val="18"/>
                <w:szCs w:val="18"/>
              </w:rPr>
              <w:t>)</w:t>
            </w:r>
          </w:p>
        </w:tc>
        <w:tc>
          <w:tcPr>
            <w:tcW w:w="1513" w:type="dxa"/>
            <w:shd w:val="clear" w:color="auto" w:fill="0070C0"/>
            <w:noWrap/>
            <w:vAlign w:val="center"/>
            <w:hideMark/>
          </w:tcPr>
          <w:p w14:paraId="6040A79F" w14:textId="77777777" w:rsidR="0004071A" w:rsidRPr="009A27ED" w:rsidRDefault="0004071A" w:rsidP="000310D3">
            <w:pPr>
              <w:spacing w:after="0"/>
              <w:jc w:val="center"/>
              <w:rPr>
                <w:b/>
                <w:color w:val="FFFFFF" w:themeColor="background1"/>
                <w:sz w:val="18"/>
                <w:szCs w:val="18"/>
              </w:rPr>
            </w:pPr>
            <w:r w:rsidRPr="009A27ED">
              <w:rPr>
                <w:b/>
                <w:color w:val="FFFFFF" w:themeColor="background1"/>
                <w:sz w:val="18"/>
                <w:szCs w:val="18"/>
              </w:rPr>
              <w:t>Causas</w:t>
            </w:r>
          </w:p>
        </w:tc>
      </w:tr>
      <w:tr w:rsidR="0004071A" w:rsidRPr="009A27ED" w14:paraId="29A64D71" w14:textId="77777777" w:rsidTr="000310D3">
        <w:trPr>
          <w:trHeight w:val="1080"/>
        </w:trPr>
        <w:tc>
          <w:tcPr>
            <w:tcW w:w="528" w:type="dxa"/>
            <w:noWrap/>
            <w:vAlign w:val="center"/>
            <w:hideMark/>
          </w:tcPr>
          <w:p w14:paraId="54492E8B" w14:textId="77777777" w:rsidR="0004071A" w:rsidRPr="009A27ED" w:rsidRDefault="0004071A" w:rsidP="000310D3">
            <w:pPr>
              <w:spacing w:after="0"/>
              <w:jc w:val="left"/>
              <w:rPr>
                <w:color w:val="FF0000"/>
                <w:sz w:val="18"/>
                <w:szCs w:val="18"/>
              </w:rPr>
            </w:pPr>
            <w:r w:rsidRPr="009A27ED">
              <w:rPr>
                <w:sz w:val="18"/>
                <w:szCs w:val="18"/>
              </w:rPr>
              <w:t>1</w:t>
            </w:r>
          </w:p>
        </w:tc>
        <w:tc>
          <w:tcPr>
            <w:tcW w:w="2162" w:type="dxa"/>
            <w:vAlign w:val="center"/>
            <w:hideMark/>
          </w:tcPr>
          <w:p w14:paraId="168B5FFE" w14:textId="77777777" w:rsidR="0004071A" w:rsidRPr="009A27ED" w:rsidRDefault="0004071A" w:rsidP="000310D3">
            <w:pPr>
              <w:spacing w:after="0"/>
              <w:jc w:val="left"/>
              <w:rPr>
                <w:color w:val="000000"/>
                <w:sz w:val="18"/>
                <w:szCs w:val="18"/>
                <w:lang w:val="es-DO"/>
              </w:rPr>
            </w:pPr>
            <w:r w:rsidRPr="009A27ED">
              <w:rPr>
                <w:color w:val="000000"/>
                <w:sz w:val="18"/>
                <w:szCs w:val="18"/>
                <w:lang w:val="es-DO"/>
              </w:rPr>
              <w:t>Bosque estable con productividad decreciente, signos tempranos, estable/estresado</w:t>
            </w:r>
          </w:p>
        </w:tc>
        <w:tc>
          <w:tcPr>
            <w:tcW w:w="1112" w:type="dxa"/>
            <w:noWrap/>
            <w:vAlign w:val="center"/>
            <w:hideMark/>
          </w:tcPr>
          <w:p w14:paraId="7BEE5069" w14:textId="77777777" w:rsidR="0004071A" w:rsidRPr="009A27ED" w:rsidRDefault="0004071A" w:rsidP="000310D3">
            <w:pPr>
              <w:spacing w:after="0"/>
              <w:jc w:val="left"/>
              <w:rPr>
                <w:color w:val="000000"/>
                <w:sz w:val="18"/>
                <w:szCs w:val="18"/>
              </w:rPr>
            </w:pPr>
            <w:r w:rsidRPr="009A27ED">
              <w:rPr>
                <w:color w:val="000000"/>
                <w:sz w:val="18"/>
                <w:szCs w:val="18"/>
              </w:rPr>
              <w:t>26,950.7</w:t>
            </w:r>
          </w:p>
        </w:tc>
        <w:tc>
          <w:tcPr>
            <w:tcW w:w="1406" w:type="dxa"/>
            <w:vAlign w:val="center"/>
            <w:hideMark/>
          </w:tcPr>
          <w:p w14:paraId="008FD4BE" w14:textId="77777777" w:rsidR="0004071A" w:rsidRPr="009A27ED" w:rsidRDefault="0004071A" w:rsidP="000310D3">
            <w:pPr>
              <w:spacing w:after="0"/>
              <w:jc w:val="left"/>
              <w:rPr>
                <w:color w:val="000000"/>
                <w:sz w:val="18"/>
                <w:szCs w:val="18"/>
              </w:rPr>
            </w:pPr>
            <w:r w:rsidRPr="009A27ED">
              <w:rPr>
                <w:color w:val="000000"/>
                <w:sz w:val="18"/>
                <w:szCs w:val="18"/>
              </w:rPr>
              <w:t>Declinación de la productividad</w:t>
            </w:r>
          </w:p>
        </w:tc>
        <w:tc>
          <w:tcPr>
            <w:tcW w:w="2544" w:type="dxa"/>
            <w:vAlign w:val="center"/>
            <w:hideMark/>
          </w:tcPr>
          <w:p w14:paraId="28E13599" w14:textId="77777777" w:rsidR="0004071A" w:rsidRPr="009A27ED" w:rsidRDefault="0004071A" w:rsidP="000310D3">
            <w:pPr>
              <w:spacing w:after="0"/>
              <w:jc w:val="left"/>
              <w:rPr>
                <w:color w:val="000000"/>
                <w:sz w:val="18"/>
                <w:szCs w:val="18"/>
                <w:lang w:val="es-DO"/>
              </w:rPr>
            </w:pPr>
            <w:proofErr w:type="spellStart"/>
            <w:r w:rsidRPr="009A27ED">
              <w:rPr>
                <w:color w:val="000000"/>
                <w:sz w:val="18"/>
                <w:szCs w:val="18"/>
                <w:lang w:val="es-DO"/>
              </w:rPr>
              <w:t>Yaque</w:t>
            </w:r>
            <w:proofErr w:type="spellEnd"/>
            <w:r w:rsidRPr="009A27ED">
              <w:rPr>
                <w:color w:val="000000"/>
                <w:sz w:val="18"/>
                <w:szCs w:val="18"/>
                <w:lang w:val="es-DO"/>
              </w:rPr>
              <w:t xml:space="preserve"> del Sur, </w:t>
            </w:r>
            <w:proofErr w:type="spellStart"/>
            <w:r w:rsidRPr="009A27ED">
              <w:rPr>
                <w:color w:val="000000"/>
                <w:sz w:val="18"/>
                <w:szCs w:val="18"/>
                <w:lang w:val="es-DO"/>
              </w:rPr>
              <w:t>Yaque</w:t>
            </w:r>
            <w:proofErr w:type="spellEnd"/>
            <w:r w:rsidRPr="009A27ED">
              <w:rPr>
                <w:color w:val="000000"/>
                <w:sz w:val="18"/>
                <w:szCs w:val="18"/>
                <w:lang w:val="es-DO"/>
              </w:rPr>
              <w:t xml:space="preserve"> del Norte, Artibonito, C. Costera del Atlántico, C. Costera del Caribe, C. Costera SD</w:t>
            </w:r>
          </w:p>
        </w:tc>
        <w:tc>
          <w:tcPr>
            <w:tcW w:w="1513" w:type="dxa"/>
            <w:vAlign w:val="center"/>
            <w:hideMark/>
          </w:tcPr>
          <w:p w14:paraId="62D1E761" w14:textId="77777777" w:rsidR="0004071A" w:rsidRPr="009A27ED" w:rsidRDefault="0004071A" w:rsidP="000310D3">
            <w:pPr>
              <w:spacing w:after="0"/>
              <w:jc w:val="left"/>
              <w:rPr>
                <w:color w:val="000000"/>
                <w:sz w:val="18"/>
                <w:szCs w:val="18"/>
                <w:lang w:val="es-DO"/>
              </w:rPr>
            </w:pPr>
            <w:r w:rsidRPr="009A27ED">
              <w:rPr>
                <w:color w:val="000000"/>
                <w:sz w:val="18"/>
                <w:szCs w:val="18"/>
                <w:lang w:val="es-DO"/>
              </w:rPr>
              <w:t>Degradación de bosque (incendios y extracción de madera)</w:t>
            </w:r>
          </w:p>
        </w:tc>
      </w:tr>
      <w:tr w:rsidR="0004071A" w:rsidRPr="009A27ED" w14:paraId="5AD2BAA5" w14:textId="77777777" w:rsidTr="000310D3">
        <w:trPr>
          <w:trHeight w:val="1275"/>
        </w:trPr>
        <w:tc>
          <w:tcPr>
            <w:tcW w:w="528" w:type="dxa"/>
            <w:noWrap/>
            <w:vAlign w:val="center"/>
            <w:hideMark/>
          </w:tcPr>
          <w:p w14:paraId="6BF5B812" w14:textId="77777777" w:rsidR="0004071A" w:rsidRPr="009A27ED" w:rsidRDefault="0004071A" w:rsidP="000310D3">
            <w:pPr>
              <w:spacing w:after="0"/>
              <w:jc w:val="left"/>
              <w:rPr>
                <w:color w:val="000000"/>
                <w:sz w:val="18"/>
                <w:szCs w:val="18"/>
              </w:rPr>
            </w:pPr>
            <w:r w:rsidRPr="009A27ED">
              <w:rPr>
                <w:color w:val="000000"/>
                <w:sz w:val="18"/>
                <w:szCs w:val="18"/>
              </w:rPr>
              <w:t>2</w:t>
            </w:r>
          </w:p>
        </w:tc>
        <w:tc>
          <w:tcPr>
            <w:tcW w:w="2162" w:type="dxa"/>
            <w:vAlign w:val="center"/>
            <w:hideMark/>
          </w:tcPr>
          <w:p w14:paraId="4CA38A71" w14:textId="57318185" w:rsidR="0004071A" w:rsidRPr="009A27ED" w:rsidRDefault="0004071A" w:rsidP="000310D3">
            <w:pPr>
              <w:spacing w:after="0"/>
              <w:jc w:val="left"/>
              <w:rPr>
                <w:color w:val="000000"/>
                <w:sz w:val="18"/>
                <w:szCs w:val="18"/>
                <w:lang w:val="es-DO"/>
              </w:rPr>
            </w:pPr>
            <w:r w:rsidRPr="009A27ED">
              <w:rPr>
                <w:color w:val="000000"/>
                <w:sz w:val="18"/>
                <w:szCs w:val="18"/>
                <w:lang w:val="es-DO"/>
              </w:rPr>
              <w:t xml:space="preserve">Matorrales/pastizales que pasaron a Bosque, productividad estable pero </w:t>
            </w:r>
            <w:r w:rsidR="0069562F" w:rsidRPr="009A27ED">
              <w:rPr>
                <w:color w:val="000000"/>
                <w:sz w:val="18"/>
                <w:szCs w:val="18"/>
                <w:lang w:val="es-DO"/>
              </w:rPr>
              <w:t>estresada</w:t>
            </w:r>
            <w:r w:rsidRPr="009A27ED">
              <w:rPr>
                <w:color w:val="000000"/>
                <w:sz w:val="18"/>
                <w:szCs w:val="18"/>
                <w:lang w:val="es-DO"/>
              </w:rPr>
              <w:t>.</w:t>
            </w:r>
          </w:p>
        </w:tc>
        <w:tc>
          <w:tcPr>
            <w:tcW w:w="1112" w:type="dxa"/>
            <w:noWrap/>
            <w:vAlign w:val="center"/>
            <w:hideMark/>
          </w:tcPr>
          <w:p w14:paraId="3902ED4A" w14:textId="77777777" w:rsidR="0004071A" w:rsidRPr="009A27ED" w:rsidRDefault="0004071A" w:rsidP="000310D3">
            <w:pPr>
              <w:spacing w:after="0"/>
              <w:jc w:val="left"/>
              <w:rPr>
                <w:color w:val="000000"/>
                <w:sz w:val="18"/>
                <w:szCs w:val="18"/>
              </w:rPr>
            </w:pPr>
            <w:r w:rsidRPr="009A27ED">
              <w:rPr>
                <w:color w:val="000000"/>
                <w:sz w:val="18"/>
                <w:szCs w:val="18"/>
              </w:rPr>
              <w:t>+13,033.0</w:t>
            </w:r>
          </w:p>
        </w:tc>
        <w:tc>
          <w:tcPr>
            <w:tcW w:w="1406" w:type="dxa"/>
            <w:vAlign w:val="center"/>
            <w:hideMark/>
          </w:tcPr>
          <w:p w14:paraId="4055FA5D" w14:textId="77777777" w:rsidR="0004071A" w:rsidRPr="009A27ED" w:rsidRDefault="0004071A" w:rsidP="000310D3">
            <w:pPr>
              <w:spacing w:after="0"/>
              <w:jc w:val="left"/>
              <w:rPr>
                <w:color w:val="000000"/>
                <w:sz w:val="18"/>
                <w:szCs w:val="18"/>
              </w:rPr>
            </w:pPr>
            <w:r w:rsidRPr="009A27ED">
              <w:rPr>
                <w:color w:val="000000"/>
                <w:sz w:val="18"/>
                <w:szCs w:val="18"/>
              </w:rPr>
              <w:t>Estable por estresado</w:t>
            </w:r>
          </w:p>
        </w:tc>
        <w:tc>
          <w:tcPr>
            <w:tcW w:w="2544" w:type="dxa"/>
            <w:vAlign w:val="center"/>
            <w:hideMark/>
          </w:tcPr>
          <w:p w14:paraId="3D728A64" w14:textId="77777777" w:rsidR="0004071A" w:rsidRPr="009A27ED" w:rsidRDefault="0004071A" w:rsidP="000310D3">
            <w:pPr>
              <w:spacing w:after="0"/>
              <w:jc w:val="left"/>
              <w:rPr>
                <w:color w:val="000000"/>
                <w:sz w:val="18"/>
                <w:szCs w:val="18"/>
                <w:lang w:val="es-DO"/>
              </w:rPr>
            </w:pPr>
            <w:proofErr w:type="spellStart"/>
            <w:r w:rsidRPr="009A27ED">
              <w:rPr>
                <w:color w:val="000000"/>
                <w:sz w:val="18"/>
                <w:szCs w:val="18"/>
                <w:lang w:val="es-DO"/>
              </w:rPr>
              <w:t>Yaque</w:t>
            </w:r>
            <w:proofErr w:type="spellEnd"/>
            <w:r w:rsidRPr="009A27ED">
              <w:rPr>
                <w:color w:val="000000"/>
                <w:sz w:val="18"/>
                <w:szCs w:val="18"/>
                <w:lang w:val="es-DO"/>
              </w:rPr>
              <w:t xml:space="preserve"> del Sur, </w:t>
            </w:r>
            <w:proofErr w:type="spellStart"/>
            <w:r w:rsidRPr="009A27ED">
              <w:rPr>
                <w:color w:val="000000"/>
                <w:sz w:val="18"/>
                <w:szCs w:val="18"/>
                <w:lang w:val="es-DO"/>
              </w:rPr>
              <w:t>Yaque</w:t>
            </w:r>
            <w:proofErr w:type="spellEnd"/>
            <w:r w:rsidRPr="009A27ED">
              <w:rPr>
                <w:color w:val="000000"/>
                <w:sz w:val="18"/>
                <w:szCs w:val="18"/>
                <w:lang w:val="es-DO"/>
              </w:rPr>
              <w:t xml:space="preserve"> del Norte, Artibonito, Cuenca Costera del Atlántico, C. Costera del Caribe, Cuenca Costera SD, C. Bani-Azua-San Cristóbal y C. Costera de Miche</w:t>
            </w:r>
          </w:p>
        </w:tc>
        <w:tc>
          <w:tcPr>
            <w:tcW w:w="1513" w:type="dxa"/>
            <w:vAlign w:val="center"/>
            <w:hideMark/>
          </w:tcPr>
          <w:p w14:paraId="6E33F88A" w14:textId="77777777" w:rsidR="0004071A" w:rsidRPr="009A27ED" w:rsidRDefault="0004071A" w:rsidP="000310D3">
            <w:pPr>
              <w:spacing w:after="0"/>
              <w:jc w:val="left"/>
              <w:rPr>
                <w:color w:val="000000"/>
                <w:sz w:val="18"/>
                <w:szCs w:val="18"/>
              </w:rPr>
            </w:pPr>
            <w:r w:rsidRPr="009A27ED">
              <w:rPr>
                <w:color w:val="000000"/>
                <w:sz w:val="18"/>
                <w:szCs w:val="18"/>
              </w:rPr>
              <w:t>Sobre pastoreo</w:t>
            </w:r>
          </w:p>
        </w:tc>
      </w:tr>
      <w:tr w:rsidR="0004071A" w:rsidRPr="009A27ED" w14:paraId="06F65C9D" w14:textId="77777777" w:rsidTr="000310D3">
        <w:trPr>
          <w:trHeight w:val="795"/>
        </w:trPr>
        <w:tc>
          <w:tcPr>
            <w:tcW w:w="528" w:type="dxa"/>
            <w:noWrap/>
            <w:vAlign w:val="center"/>
            <w:hideMark/>
          </w:tcPr>
          <w:p w14:paraId="614F3729" w14:textId="77777777" w:rsidR="0004071A" w:rsidRPr="009A27ED" w:rsidRDefault="0004071A" w:rsidP="000310D3">
            <w:pPr>
              <w:spacing w:after="0"/>
              <w:jc w:val="left"/>
              <w:rPr>
                <w:color w:val="000000"/>
                <w:sz w:val="18"/>
                <w:szCs w:val="18"/>
              </w:rPr>
            </w:pPr>
            <w:r w:rsidRPr="009A27ED">
              <w:rPr>
                <w:color w:val="000000"/>
                <w:sz w:val="18"/>
                <w:szCs w:val="18"/>
              </w:rPr>
              <w:lastRenderedPageBreak/>
              <w:t>3</w:t>
            </w:r>
          </w:p>
        </w:tc>
        <w:tc>
          <w:tcPr>
            <w:tcW w:w="2162" w:type="dxa"/>
            <w:vAlign w:val="center"/>
            <w:hideMark/>
          </w:tcPr>
          <w:p w14:paraId="37041D53" w14:textId="77777777" w:rsidR="0004071A" w:rsidRPr="009A27ED" w:rsidRDefault="0004071A" w:rsidP="000310D3">
            <w:pPr>
              <w:spacing w:after="0"/>
              <w:jc w:val="left"/>
              <w:rPr>
                <w:color w:val="000000"/>
                <w:sz w:val="18"/>
                <w:szCs w:val="18"/>
                <w:lang w:val="es-DO"/>
              </w:rPr>
            </w:pPr>
            <w:r w:rsidRPr="009A27ED">
              <w:rPr>
                <w:color w:val="000000"/>
                <w:sz w:val="18"/>
                <w:szCs w:val="18"/>
                <w:lang w:val="es-DO"/>
              </w:rPr>
              <w:t>Conversión de bosque a matorrales/pastizales</w:t>
            </w:r>
          </w:p>
        </w:tc>
        <w:tc>
          <w:tcPr>
            <w:tcW w:w="1112" w:type="dxa"/>
            <w:noWrap/>
            <w:vAlign w:val="center"/>
            <w:hideMark/>
          </w:tcPr>
          <w:p w14:paraId="33E5D58A" w14:textId="77777777" w:rsidR="0004071A" w:rsidRPr="009A27ED" w:rsidRDefault="0004071A" w:rsidP="000310D3">
            <w:pPr>
              <w:spacing w:after="0"/>
              <w:jc w:val="left"/>
              <w:rPr>
                <w:color w:val="000000"/>
                <w:sz w:val="18"/>
                <w:szCs w:val="18"/>
              </w:rPr>
            </w:pPr>
            <w:r w:rsidRPr="009A27ED">
              <w:rPr>
                <w:color w:val="000000"/>
                <w:sz w:val="18"/>
                <w:szCs w:val="18"/>
              </w:rPr>
              <w:t>-17,923.4</w:t>
            </w:r>
          </w:p>
        </w:tc>
        <w:tc>
          <w:tcPr>
            <w:tcW w:w="1406" w:type="dxa"/>
            <w:vAlign w:val="center"/>
            <w:hideMark/>
          </w:tcPr>
          <w:p w14:paraId="133DE78D" w14:textId="77777777" w:rsidR="0004071A" w:rsidRPr="009A27ED" w:rsidRDefault="0004071A" w:rsidP="000310D3">
            <w:pPr>
              <w:spacing w:after="0"/>
              <w:jc w:val="left"/>
              <w:rPr>
                <w:color w:val="000000"/>
                <w:sz w:val="18"/>
                <w:szCs w:val="18"/>
              </w:rPr>
            </w:pPr>
            <w:r w:rsidRPr="009A27ED">
              <w:rPr>
                <w:color w:val="000000"/>
                <w:sz w:val="18"/>
                <w:szCs w:val="18"/>
              </w:rPr>
              <w:t>Incremento de la productividad</w:t>
            </w:r>
          </w:p>
        </w:tc>
        <w:tc>
          <w:tcPr>
            <w:tcW w:w="2544" w:type="dxa"/>
            <w:vAlign w:val="center"/>
            <w:hideMark/>
          </w:tcPr>
          <w:p w14:paraId="48E8CC96" w14:textId="77777777" w:rsidR="0004071A" w:rsidRPr="009A27ED" w:rsidRDefault="0004071A" w:rsidP="000310D3">
            <w:pPr>
              <w:spacing w:after="0"/>
              <w:jc w:val="left"/>
              <w:rPr>
                <w:color w:val="000000"/>
                <w:sz w:val="18"/>
                <w:szCs w:val="18"/>
              </w:rPr>
            </w:pPr>
            <w:r w:rsidRPr="009A27ED">
              <w:rPr>
                <w:color w:val="000000"/>
                <w:sz w:val="18"/>
                <w:szCs w:val="18"/>
              </w:rPr>
              <w:t>Todas las Cuencas prioritarias</w:t>
            </w:r>
          </w:p>
        </w:tc>
        <w:tc>
          <w:tcPr>
            <w:tcW w:w="1513" w:type="dxa"/>
            <w:noWrap/>
            <w:vAlign w:val="center"/>
            <w:hideMark/>
          </w:tcPr>
          <w:p w14:paraId="25FD7175" w14:textId="77777777" w:rsidR="0004071A" w:rsidRPr="009A27ED" w:rsidRDefault="0004071A" w:rsidP="000310D3">
            <w:pPr>
              <w:spacing w:after="0"/>
              <w:jc w:val="left"/>
              <w:rPr>
                <w:color w:val="000000"/>
                <w:sz w:val="18"/>
                <w:szCs w:val="18"/>
              </w:rPr>
            </w:pPr>
            <w:r w:rsidRPr="009A27ED">
              <w:rPr>
                <w:color w:val="000000"/>
                <w:sz w:val="18"/>
                <w:szCs w:val="18"/>
              </w:rPr>
              <w:t>Deforestación</w:t>
            </w:r>
          </w:p>
        </w:tc>
      </w:tr>
      <w:tr w:rsidR="0004071A" w:rsidRPr="009A27ED" w14:paraId="6F3498D9" w14:textId="77777777" w:rsidTr="000310D3">
        <w:trPr>
          <w:trHeight w:val="810"/>
        </w:trPr>
        <w:tc>
          <w:tcPr>
            <w:tcW w:w="528" w:type="dxa"/>
            <w:noWrap/>
            <w:vAlign w:val="center"/>
            <w:hideMark/>
          </w:tcPr>
          <w:p w14:paraId="344BB4F9" w14:textId="77777777" w:rsidR="0004071A" w:rsidRPr="009A27ED" w:rsidRDefault="0004071A" w:rsidP="000310D3">
            <w:pPr>
              <w:spacing w:after="0"/>
              <w:jc w:val="left"/>
              <w:rPr>
                <w:color w:val="000000"/>
                <w:sz w:val="18"/>
                <w:szCs w:val="18"/>
              </w:rPr>
            </w:pPr>
            <w:r w:rsidRPr="009A27ED">
              <w:rPr>
                <w:color w:val="000000"/>
                <w:sz w:val="18"/>
                <w:szCs w:val="18"/>
              </w:rPr>
              <w:t>4</w:t>
            </w:r>
          </w:p>
        </w:tc>
        <w:tc>
          <w:tcPr>
            <w:tcW w:w="2162" w:type="dxa"/>
            <w:vAlign w:val="center"/>
            <w:hideMark/>
          </w:tcPr>
          <w:p w14:paraId="576A884D" w14:textId="77777777" w:rsidR="0004071A" w:rsidRPr="009A27ED" w:rsidRDefault="0004071A" w:rsidP="000310D3">
            <w:pPr>
              <w:spacing w:after="0"/>
              <w:jc w:val="left"/>
              <w:rPr>
                <w:color w:val="000000"/>
                <w:sz w:val="18"/>
                <w:szCs w:val="18"/>
                <w:lang w:val="es-DO"/>
              </w:rPr>
            </w:pPr>
            <w:r w:rsidRPr="009A27ED">
              <w:rPr>
                <w:color w:val="000000"/>
                <w:sz w:val="18"/>
                <w:szCs w:val="18"/>
                <w:lang w:val="es-DO"/>
              </w:rPr>
              <w:t xml:space="preserve">Conversión de bosque a matorrales/pastizales, con </w:t>
            </w:r>
            <w:proofErr w:type="spellStart"/>
            <w:r w:rsidRPr="009A27ED">
              <w:rPr>
                <w:color w:val="000000"/>
                <w:sz w:val="18"/>
                <w:szCs w:val="18"/>
                <w:lang w:val="es-DO"/>
              </w:rPr>
              <w:t>prod</w:t>
            </w:r>
            <w:proofErr w:type="spellEnd"/>
            <w:r w:rsidRPr="009A27ED">
              <w:rPr>
                <w:color w:val="000000"/>
                <w:sz w:val="18"/>
                <w:szCs w:val="18"/>
                <w:lang w:val="es-DO"/>
              </w:rPr>
              <w:t>. decreciente, signos tempranos de deterioro y estresado</w:t>
            </w:r>
          </w:p>
        </w:tc>
        <w:tc>
          <w:tcPr>
            <w:tcW w:w="1112" w:type="dxa"/>
            <w:noWrap/>
            <w:vAlign w:val="center"/>
            <w:hideMark/>
          </w:tcPr>
          <w:p w14:paraId="2CFBD5A1" w14:textId="77777777" w:rsidR="0004071A" w:rsidRPr="009A27ED" w:rsidRDefault="0004071A" w:rsidP="000310D3">
            <w:pPr>
              <w:spacing w:after="0"/>
              <w:jc w:val="left"/>
              <w:rPr>
                <w:color w:val="000000"/>
                <w:sz w:val="18"/>
                <w:szCs w:val="18"/>
              </w:rPr>
            </w:pPr>
            <w:r w:rsidRPr="009A27ED">
              <w:rPr>
                <w:color w:val="000000"/>
                <w:sz w:val="18"/>
                <w:szCs w:val="18"/>
              </w:rPr>
              <w:t>-20,689.2</w:t>
            </w:r>
          </w:p>
        </w:tc>
        <w:tc>
          <w:tcPr>
            <w:tcW w:w="1406" w:type="dxa"/>
            <w:vAlign w:val="center"/>
            <w:hideMark/>
          </w:tcPr>
          <w:p w14:paraId="543F4B4B" w14:textId="77777777" w:rsidR="0004071A" w:rsidRPr="009A27ED" w:rsidRDefault="0004071A" w:rsidP="000310D3">
            <w:pPr>
              <w:spacing w:after="0"/>
              <w:jc w:val="left"/>
              <w:rPr>
                <w:color w:val="000000"/>
                <w:sz w:val="18"/>
                <w:szCs w:val="18"/>
              </w:rPr>
            </w:pPr>
            <w:r w:rsidRPr="009A27ED">
              <w:rPr>
                <w:color w:val="000000"/>
                <w:sz w:val="18"/>
                <w:szCs w:val="18"/>
              </w:rPr>
              <w:t>Declinación de la productividad</w:t>
            </w:r>
          </w:p>
        </w:tc>
        <w:tc>
          <w:tcPr>
            <w:tcW w:w="2544" w:type="dxa"/>
            <w:vAlign w:val="center"/>
            <w:hideMark/>
          </w:tcPr>
          <w:p w14:paraId="1B3852DE" w14:textId="77777777" w:rsidR="0004071A" w:rsidRPr="009A27ED" w:rsidRDefault="0004071A" w:rsidP="000310D3">
            <w:pPr>
              <w:spacing w:after="0"/>
              <w:jc w:val="left"/>
              <w:rPr>
                <w:color w:val="000000"/>
                <w:sz w:val="18"/>
                <w:szCs w:val="18"/>
                <w:lang w:val="es-DO"/>
              </w:rPr>
            </w:pPr>
            <w:r w:rsidRPr="009A27ED">
              <w:rPr>
                <w:color w:val="000000"/>
                <w:sz w:val="18"/>
                <w:szCs w:val="18"/>
                <w:lang w:val="es-DO"/>
              </w:rPr>
              <w:t xml:space="preserve">C. Costera SPM, Nigua, Jura, </w:t>
            </w:r>
            <w:proofErr w:type="spellStart"/>
            <w:r w:rsidRPr="009A27ED">
              <w:rPr>
                <w:color w:val="000000"/>
                <w:sz w:val="18"/>
                <w:szCs w:val="18"/>
                <w:lang w:val="es-DO"/>
              </w:rPr>
              <w:t>Yabon</w:t>
            </w:r>
            <w:proofErr w:type="spellEnd"/>
            <w:r w:rsidRPr="009A27ED">
              <w:rPr>
                <w:color w:val="000000"/>
                <w:sz w:val="18"/>
                <w:szCs w:val="18"/>
                <w:lang w:val="es-DO"/>
              </w:rPr>
              <w:t xml:space="preserve">, </w:t>
            </w:r>
            <w:proofErr w:type="spellStart"/>
            <w:r w:rsidRPr="009A27ED">
              <w:rPr>
                <w:color w:val="000000"/>
                <w:sz w:val="18"/>
                <w:szCs w:val="18"/>
                <w:lang w:val="es-DO"/>
              </w:rPr>
              <w:t>Sabita</w:t>
            </w:r>
            <w:proofErr w:type="spellEnd"/>
            <w:r w:rsidRPr="009A27ED">
              <w:rPr>
                <w:color w:val="000000"/>
                <w:sz w:val="18"/>
                <w:szCs w:val="18"/>
                <w:lang w:val="es-DO"/>
              </w:rPr>
              <w:t xml:space="preserve">, Nagua, </w:t>
            </w:r>
            <w:proofErr w:type="spellStart"/>
            <w:r w:rsidRPr="009A27ED">
              <w:rPr>
                <w:color w:val="000000"/>
                <w:sz w:val="18"/>
                <w:szCs w:val="18"/>
                <w:lang w:val="es-DO"/>
              </w:rPr>
              <w:t>Bajabonico</w:t>
            </w:r>
            <w:proofErr w:type="spellEnd"/>
            <w:r w:rsidRPr="009A27ED">
              <w:rPr>
                <w:color w:val="000000"/>
                <w:sz w:val="18"/>
                <w:szCs w:val="18"/>
                <w:lang w:val="es-DO"/>
              </w:rPr>
              <w:t xml:space="preserve">, Isabela, </w:t>
            </w:r>
            <w:proofErr w:type="spellStart"/>
            <w:r w:rsidRPr="009A27ED">
              <w:rPr>
                <w:color w:val="000000"/>
                <w:sz w:val="18"/>
                <w:szCs w:val="18"/>
                <w:lang w:val="es-DO"/>
              </w:rPr>
              <w:t>Yaque</w:t>
            </w:r>
            <w:proofErr w:type="spellEnd"/>
            <w:r w:rsidRPr="009A27ED">
              <w:rPr>
                <w:color w:val="000000"/>
                <w:sz w:val="18"/>
                <w:szCs w:val="18"/>
                <w:lang w:val="es-DO"/>
              </w:rPr>
              <w:t xml:space="preserve"> del Sur, Artibonito y </w:t>
            </w:r>
            <w:proofErr w:type="spellStart"/>
            <w:r w:rsidRPr="009A27ED">
              <w:rPr>
                <w:color w:val="000000"/>
                <w:sz w:val="18"/>
                <w:szCs w:val="18"/>
                <w:lang w:val="es-DO"/>
              </w:rPr>
              <w:t>Yaque</w:t>
            </w:r>
            <w:proofErr w:type="spellEnd"/>
            <w:r w:rsidRPr="009A27ED">
              <w:rPr>
                <w:color w:val="000000"/>
                <w:sz w:val="18"/>
                <w:szCs w:val="18"/>
                <w:lang w:val="es-DO"/>
              </w:rPr>
              <w:t xml:space="preserve"> del Norte</w:t>
            </w:r>
          </w:p>
        </w:tc>
        <w:tc>
          <w:tcPr>
            <w:tcW w:w="1513" w:type="dxa"/>
            <w:noWrap/>
            <w:vAlign w:val="center"/>
            <w:hideMark/>
          </w:tcPr>
          <w:p w14:paraId="5ACFC139" w14:textId="77777777" w:rsidR="0004071A" w:rsidRPr="009A27ED" w:rsidRDefault="0004071A" w:rsidP="000310D3">
            <w:pPr>
              <w:spacing w:after="0"/>
              <w:jc w:val="left"/>
              <w:rPr>
                <w:color w:val="000000"/>
                <w:sz w:val="18"/>
                <w:szCs w:val="18"/>
              </w:rPr>
            </w:pPr>
            <w:r w:rsidRPr="009A27ED">
              <w:rPr>
                <w:color w:val="000000"/>
                <w:sz w:val="18"/>
                <w:szCs w:val="18"/>
              </w:rPr>
              <w:t>Deforestación</w:t>
            </w:r>
          </w:p>
        </w:tc>
      </w:tr>
      <w:tr w:rsidR="0004071A" w:rsidRPr="009A27ED" w14:paraId="57AA57F5" w14:textId="77777777" w:rsidTr="000310D3">
        <w:trPr>
          <w:trHeight w:val="915"/>
        </w:trPr>
        <w:tc>
          <w:tcPr>
            <w:tcW w:w="528" w:type="dxa"/>
            <w:noWrap/>
            <w:vAlign w:val="center"/>
            <w:hideMark/>
          </w:tcPr>
          <w:p w14:paraId="4FD8A14F" w14:textId="77777777" w:rsidR="0004071A" w:rsidRPr="009A27ED" w:rsidRDefault="0004071A" w:rsidP="000310D3">
            <w:pPr>
              <w:spacing w:after="0"/>
              <w:jc w:val="left"/>
              <w:rPr>
                <w:color w:val="000000"/>
                <w:sz w:val="18"/>
                <w:szCs w:val="18"/>
              </w:rPr>
            </w:pPr>
            <w:r w:rsidRPr="009A27ED">
              <w:rPr>
                <w:color w:val="000000"/>
                <w:sz w:val="18"/>
                <w:szCs w:val="18"/>
              </w:rPr>
              <w:t>5</w:t>
            </w:r>
          </w:p>
        </w:tc>
        <w:tc>
          <w:tcPr>
            <w:tcW w:w="2162" w:type="dxa"/>
            <w:vAlign w:val="center"/>
            <w:hideMark/>
          </w:tcPr>
          <w:p w14:paraId="44B143DE" w14:textId="77777777" w:rsidR="0004071A" w:rsidRPr="009A27ED" w:rsidRDefault="0004071A" w:rsidP="000310D3">
            <w:pPr>
              <w:spacing w:after="0"/>
              <w:jc w:val="left"/>
              <w:rPr>
                <w:color w:val="000000"/>
                <w:sz w:val="18"/>
                <w:szCs w:val="18"/>
                <w:lang w:val="es-DO"/>
              </w:rPr>
            </w:pPr>
            <w:r w:rsidRPr="009A27ED">
              <w:rPr>
                <w:color w:val="000000"/>
                <w:sz w:val="18"/>
                <w:szCs w:val="18"/>
                <w:lang w:val="es-DO"/>
              </w:rPr>
              <w:t xml:space="preserve">Conversión de bosque a tierras de cultivos, con </w:t>
            </w:r>
            <w:proofErr w:type="spellStart"/>
            <w:r w:rsidRPr="009A27ED">
              <w:rPr>
                <w:color w:val="000000"/>
                <w:sz w:val="18"/>
                <w:szCs w:val="18"/>
                <w:lang w:val="es-DO"/>
              </w:rPr>
              <w:t>prod</w:t>
            </w:r>
            <w:proofErr w:type="spellEnd"/>
            <w:r w:rsidRPr="009A27ED">
              <w:rPr>
                <w:color w:val="000000"/>
                <w:sz w:val="18"/>
                <w:szCs w:val="18"/>
                <w:lang w:val="es-DO"/>
              </w:rPr>
              <w:t>. decreciente, signos tempranos de deterioro y estresado</w:t>
            </w:r>
          </w:p>
        </w:tc>
        <w:tc>
          <w:tcPr>
            <w:tcW w:w="1112" w:type="dxa"/>
            <w:noWrap/>
            <w:vAlign w:val="center"/>
            <w:hideMark/>
          </w:tcPr>
          <w:p w14:paraId="5F857244" w14:textId="77777777" w:rsidR="0004071A" w:rsidRPr="009A27ED" w:rsidRDefault="0004071A" w:rsidP="000310D3">
            <w:pPr>
              <w:spacing w:after="0"/>
              <w:jc w:val="left"/>
              <w:rPr>
                <w:color w:val="000000"/>
                <w:sz w:val="18"/>
                <w:szCs w:val="18"/>
              </w:rPr>
            </w:pPr>
            <w:r w:rsidRPr="009A27ED">
              <w:rPr>
                <w:color w:val="000000"/>
                <w:sz w:val="18"/>
                <w:szCs w:val="18"/>
              </w:rPr>
              <w:t>-14,506.3</w:t>
            </w:r>
          </w:p>
        </w:tc>
        <w:tc>
          <w:tcPr>
            <w:tcW w:w="1406" w:type="dxa"/>
            <w:vAlign w:val="center"/>
            <w:hideMark/>
          </w:tcPr>
          <w:p w14:paraId="1D7D73A5" w14:textId="77777777" w:rsidR="0004071A" w:rsidRPr="009A27ED" w:rsidRDefault="0004071A" w:rsidP="000310D3">
            <w:pPr>
              <w:spacing w:after="0"/>
              <w:jc w:val="left"/>
              <w:rPr>
                <w:color w:val="000000"/>
                <w:sz w:val="18"/>
                <w:szCs w:val="18"/>
              </w:rPr>
            </w:pPr>
            <w:r w:rsidRPr="009A27ED">
              <w:rPr>
                <w:color w:val="000000"/>
                <w:sz w:val="18"/>
                <w:szCs w:val="18"/>
              </w:rPr>
              <w:t>Declinación de la productividad</w:t>
            </w:r>
          </w:p>
        </w:tc>
        <w:tc>
          <w:tcPr>
            <w:tcW w:w="2544" w:type="dxa"/>
            <w:vAlign w:val="center"/>
            <w:hideMark/>
          </w:tcPr>
          <w:p w14:paraId="70CA4BB8" w14:textId="77777777" w:rsidR="0004071A" w:rsidRPr="009A27ED" w:rsidRDefault="0004071A" w:rsidP="000310D3">
            <w:pPr>
              <w:spacing w:after="0"/>
              <w:jc w:val="left"/>
              <w:rPr>
                <w:color w:val="000000"/>
                <w:sz w:val="18"/>
                <w:szCs w:val="18"/>
                <w:lang w:val="es-DO"/>
              </w:rPr>
            </w:pPr>
            <w:r w:rsidRPr="009A27ED">
              <w:rPr>
                <w:color w:val="000000"/>
                <w:sz w:val="18"/>
                <w:szCs w:val="18"/>
                <w:lang w:val="es-DO"/>
              </w:rPr>
              <w:t xml:space="preserve">C. Costera SPM, Nigua, Jura, </w:t>
            </w:r>
            <w:proofErr w:type="spellStart"/>
            <w:r w:rsidRPr="009A27ED">
              <w:rPr>
                <w:color w:val="000000"/>
                <w:sz w:val="18"/>
                <w:szCs w:val="18"/>
                <w:lang w:val="es-DO"/>
              </w:rPr>
              <w:t>Yabón</w:t>
            </w:r>
            <w:proofErr w:type="spellEnd"/>
            <w:r w:rsidRPr="009A27ED">
              <w:rPr>
                <w:color w:val="000000"/>
                <w:sz w:val="18"/>
                <w:szCs w:val="18"/>
                <w:lang w:val="es-DO"/>
              </w:rPr>
              <w:t xml:space="preserve">, </w:t>
            </w:r>
            <w:proofErr w:type="spellStart"/>
            <w:r w:rsidRPr="009A27ED">
              <w:rPr>
                <w:color w:val="000000"/>
                <w:sz w:val="18"/>
                <w:szCs w:val="18"/>
                <w:lang w:val="es-DO"/>
              </w:rPr>
              <w:t>Bajabonico</w:t>
            </w:r>
            <w:proofErr w:type="spellEnd"/>
            <w:r w:rsidRPr="009A27ED">
              <w:rPr>
                <w:color w:val="000000"/>
                <w:sz w:val="18"/>
                <w:szCs w:val="18"/>
                <w:lang w:val="es-DO"/>
              </w:rPr>
              <w:t xml:space="preserve">, Isabela, </w:t>
            </w:r>
            <w:proofErr w:type="spellStart"/>
            <w:r w:rsidRPr="009A27ED">
              <w:rPr>
                <w:color w:val="000000"/>
                <w:sz w:val="18"/>
                <w:szCs w:val="18"/>
                <w:lang w:val="es-DO"/>
              </w:rPr>
              <w:t>Sabita</w:t>
            </w:r>
            <w:proofErr w:type="spellEnd"/>
            <w:r w:rsidRPr="009A27ED">
              <w:rPr>
                <w:color w:val="000000"/>
                <w:sz w:val="18"/>
                <w:szCs w:val="18"/>
                <w:lang w:val="es-DO"/>
              </w:rPr>
              <w:t xml:space="preserve">, </w:t>
            </w:r>
            <w:proofErr w:type="spellStart"/>
            <w:r w:rsidRPr="009A27ED">
              <w:rPr>
                <w:color w:val="000000"/>
                <w:sz w:val="18"/>
                <w:szCs w:val="18"/>
                <w:lang w:val="es-DO"/>
              </w:rPr>
              <w:t>Yaque</w:t>
            </w:r>
            <w:proofErr w:type="spellEnd"/>
            <w:r w:rsidRPr="009A27ED">
              <w:rPr>
                <w:color w:val="000000"/>
                <w:sz w:val="18"/>
                <w:szCs w:val="18"/>
                <w:lang w:val="es-DO"/>
              </w:rPr>
              <w:t xml:space="preserve"> del Sur y </w:t>
            </w:r>
            <w:proofErr w:type="spellStart"/>
            <w:r w:rsidRPr="009A27ED">
              <w:rPr>
                <w:color w:val="000000"/>
                <w:sz w:val="18"/>
                <w:szCs w:val="18"/>
                <w:lang w:val="es-DO"/>
              </w:rPr>
              <w:t>Yaque</w:t>
            </w:r>
            <w:proofErr w:type="spellEnd"/>
            <w:r w:rsidRPr="009A27ED">
              <w:rPr>
                <w:color w:val="000000"/>
                <w:sz w:val="18"/>
                <w:szCs w:val="18"/>
                <w:lang w:val="es-DO"/>
              </w:rPr>
              <w:t xml:space="preserve"> del Norte</w:t>
            </w:r>
          </w:p>
        </w:tc>
        <w:tc>
          <w:tcPr>
            <w:tcW w:w="1513" w:type="dxa"/>
            <w:noWrap/>
            <w:vAlign w:val="center"/>
            <w:hideMark/>
          </w:tcPr>
          <w:p w14:paraId="1BC7B653" w14:textId="77777777" w:rsidR="0004071A" w:rsidRPr="009A27ED" w:rsidRDefault="0004071A" w:rsidP="000310D3">
            <w:pPr>
              <w:spacing w:after="0"/>
              <w:jc w:val="left"/>
              <w:rPr>
                <w:color w:val="000000"/>
                <w:sz w:val="18"/>
                <w:szCs w:val="18"/>
              </w:rPr>
            </w:pPr>
            <w:r w:rsidRPr="009A27ED">
              <w:rPr>
                <w:color w:val="000000"/>
                <w:sz w:val="18"/>
                <w:szCs w:val="18"/>
              </w:rPr>
              <w:t>Deforestación</w:t>
            </w:r>
          </w:p>
        </w:tc>
      </w:tr>
      <w:tr w:rsidR="0004071A" w:rsidRPr="009A27ED" w14:paraId="0EE789B3" w14:textId="77777777" w:rsidTr="000310D3">
        <w:trPr>
          <w:trHeight w:val="645"/>
        </w:trPr>
        <w:tc>
          <w:tcPr>
            <w:tcW w:w="528" w:type="dxa"/>
            <w:noWrap/>
            <w:vAlign w:val="center"/>
            <w:hideMark/>
          </w:tcPr>
          <w:p w14:paraId="3CFD289F" w14:textId="77777777" w:rsidR="0004071A" w:rsidRPr="009A27ED" w:rsidRDefault="0004071A" w:rsidP="000310D3">
            <w:pPr>
              <w:spacing w:after="0"/>
              <w:jc w:val="left"/>
              <w:rPr>
                <w:color w:val="000000"/>
                <w:sz w:val="18"/>
                <w:szCs w:val="18"/>
              </w:rPr>
            </w:pPr>
            <w:r w:rsidRPr="009A27ED">
              <w:rPr>
                <w:color w:val="000000"/>
                <w:sz w:val="18"/>
                <w:szCs w:val="18"/>
              </w:rPr>
              <w:t>6</w:t>
            </w:r>
          </w:p>
        </w:tc>
        <w:tc>
          <w:tcPr>
            <w:tcW w:w="2162" w:type="dxa"/>
            <w:vAlign w:val="center"/>
            <w:hideMark/>
          </w:tcPr>
          <w:p w14:paraId="570C34B3" w14:textId="77777777" w:rsidR="0004071A" w:rsidRPr="009A27ED" w:rsidRDefault="0004071A" w:rsidP="000310D3">
            <w:pPr>
              <w:spacing w:after="0"/>
              <w:jc w:val="left"/>
              <w:rPr>
                <w:color w:val="000000"/>
                <w:sz w:val="18"/>
                <w:szCs w:val="18"/>
                <w:lang w:val="es-DO"/>
              </w:rPr>
            </w:pPr>
            <w:r w:rsidRPr="009A27ED">
              <w:rPr>
                <w:color w:val="000000"/>
                <w:sz w:val="18"/>
                <w:szCs w:val="18"/>
                <w:lang w:val="es-DO"/>
              </w:rPr>
              <w:t>Conversión de matorrales/pastizales a tierras de cultivos</w:t>
            </w:r>
          </w:p>
        </w:tc>
        <w:tc>
          <w:tcPr>
            <w:tcW w:w="1112" w:type="dxa"/>
            <w:noWrap/>
            <w:vAlign w:val="center"/>
            <w:hideMark/>
          </w:tcPr>
          <w:p w14:paraId="0A4EA82C" w14:textId="77777777" w:rsidR="0004071A" w:rsidRPr="009A27ED" w:rsidRDefault="0004071A" w:rsidP="000310D3">
            <w:pPr>
              <w:spacing w:after="0"/>
              <w:jc w:val="left"/>
              <w:rPr>
                <w:color w:val="000000"/>
                <w:sz w:val="18"/>
                <w:szCs w:val="18"/>
              </w:rPr>
            </w:pPr>
            <w:r w:rsidRPr="009A27ED">
              <w:rPr>
                <w:color w:val="000000"/>
                <w:sz w:val="18"/>
                <w:szCs w:val="18"/>
              </w:rPr>
              <w:t>-23,414.4</w:t>
            </w:r>
          </w:p>
        </w:tc>
        <w:tc>
          <w:tcPr>
            <w:tcW w:w="1406" w:type="dxa"/>
            <w:vAlign w:val="center"/>
            <w:hideMark/>
          </w:tcPr>
          <w:p w14:paraId="06965E1B" w14:textId="77777777" w:rsidR="0004071A" w:rsidRPr="009A27ED" w:rsidRDefault="0004071A" w:rsidP="000310D3">
            <w:pPr>
              <w:spacing w:after="0"/>
              <w:jc w:val="left"/>
              <w:rPr>
                <w:color w:val="000000"/>
                <w:sz w:val="18"/>
                <w:szCs w:val="18"/>
              </w:rPr>
            </w:pPr>
            <w:r w:rsidRPr="009A27ED">
              <w:rPr>
                <w:color w:val="000000"/>
                <w:sz w:val="18"/>
                <w:szCs w:val="18"/>
              </w:rPr>
              <w:t>Incremento de la productividad</w:t>
            </w:r>
          </w:p>
        </w:tc>
        <w:tc>
          <w:tcPr>
            <w:tcW w:w="2544" w:type="dxa"/>
            <w:vAlign w:val="center"/>
            <w:hideMark/>
          </w:tcPr>
          <w:p w14:paraId="51A4D52D" w14:textId="77777777" w:rsidR="0004071A" w:rsidRPr="009A27ED" w:rsidRDefault="0004071A" w:rsidP="000310D3">
            <w:pPr>
              <w:spacing w:after="0"/>
              <w:jc w:val="left"/>
              <w:rPr>
                <w:color w:val="000000"/>
                <w:sz w:val="18"/>
                <w:szCs w:val="18"/>
                <w:lang w:val="es-DO"/>
              </w:rPr>
            </w:pPr>
            <w:r w:rsidRPr="009A27ED">
              <w:rPr>
                <w:color w:val="000000"/>
                <w:sz w:val="18"/>
                <w:szCs w:val="18"/>
                <w:lang w:val="es-DO"/>
              </w:rPr>
              <w:t>En todas las cuencas prioritarias, excepto en las Alto YS y Tocino</w:t>
            </w:r>
          </w:p>
        </w:tc>
        <w:tc>
          <w:tcPr>
            <w:tcW w:w="1513" w:type="dxa"/>
            <w:vAlign w:val="center"/>
            <w:hideMark/>
          </w:tcPr>
          <w:p w14:paraId="3B92EEFF" w14:textId="77777777" w:rsidR="0004071A" w:rsidRPr="009A27ED" w:rsidRDefault="0004071A" w:rsidP="000310D3">
            <w:pPr>
              <w:spacing w:after="0"/>
              <w:jc w:val="left"/>
              <w:rPr>
                <w:color w:val="000000"/>
                <w:sz w:val="18"/>
                <w:szCs w:val="18"/>
                <w:lang w:val="es-DO"/>
              </w:rPr>
            </w:pPr>
            <w:r w:rsidRPr="009A27ED">
              <w:rPr>
                <w:color w:val="000000"/>
                <w:sz w:val="18"/>
                <w:szCs w:val="18"/>
                <w:lang w:val="es-DO"/>
              </w:rPr>
              <w:t>Ampliación de la frontera agrícola</w:t>
            </w:r>
          </w:p>
        </w:tc>
      </w:tr>
      <w:tr w:rsidR="0004071A" w:rsidRPr="009A27ED" w14:paraId="680FE71B" w14:textId="77777777" w:rsidTr="000310D3">
        <w:trPr>
          <w:trHeight w:val="840"/>
        </w:trPr>
        <w:tc>
          <w:tcPr>
            <w:tcW w:w="528" w:type="dxa"/>
            <w:noWrap/>
            <w:vAlign w:val="center"/>
            <w:hideMark/>
          </w:tcPr>
          <w:p w14:paraId="639A626E" w14:textId="77777777" w:rsidR="0004071A" w:rsidRPr="009A27ED" w:rsidRDefault="0004071A" w:rsidP="000310D3">
            <w:pPr>
              <w:spacing w:after="0"/>
              <w:jc w:val="left"/>
              <w:rPr>
                <w:sz w:val="18"/>
                <w:szCs w:val="18"/>
              </w:rPr>
            </w:pPr>
            <w:r w:rsidRPr="009A27ED">
              <w:rPr>
                <w:sz w:val="18"/>
                <w:szCs w:val="18"/>
              </w:rPr>
              <w:t>7</w:t>
            </w:r>
          </w:p>
        </w:tc>
        <w:tc>
          <w:tcPr>
            <w:tcW w:w="2162" w:type="dxa"/>
            <w:vAlign w:val="center"/>
            <w:hideMark/>
          </w:tcPr>
          <w:p w14:paraId="34BEFDF6" w14:textId="77777777" w:rsidR="0004071A" w:rsidRPr="009A27ED" w:rsidRDefault="0004071A" w:rsidP="000310D3">
            <w:pPr>
              <w:spacing w:after="0"/>
              <w:jc w:val="left"/>
              <w:rPr>
                <w:color w:val="000000"/>
                <w:sz w:val="18"/>
                <w:szCs w:val="18"/>
                <w:lang w:val="es-DO"/>
              </w:rPr>
            </w:pPr>
            <w:r w:rsidRPr="009A27ED">
              <w:rPr>
                <w:color w:val="000000"/>
                <w:sz w:val="18"/>
                <w:szCs w:val="18"/>
                <w:lang w:val="es-DO"/>
              </w:rPr>
              <w:t>Matorrales/pastizales estables, con LPD decreciente y Signos temprano de Deterioro y estable pero estresado</w:t>
            </w:r>
          </w:p>
        </w:tc>
        <w:tc>
          <w:tcPr>
            <w:tcW w:w="1112" w:type="dxa"/>
            <w:noWrap/>
            <w:vAlign w:val="center"/>
            <w:hideMark/>
          </w:tcPr>
          <w:p w14:paraId="1E21A4B4" w14:textId="77777777" w:rsidR="0004071A" w:rsidRPr="009A27ED" w:rsidRDefault="0004071A" w:rsidP="000310D3">
            <w:pPr>
              <w:spacing w:after="0"/>
              <w:jc w:val="left"/>
              <w:rPr>
                <w:color w:val="000000"/>
                <w:sz w:val="18"/>
                <w:szCs w:val="18"/>
              </w:rPr>
            </w:pPr>
            <w:r w:rsidRPr="009A27ED">
              <w:rPr>
                <w:color w:val="000000"/>
                <w:sz w:val="18"/>
                <w:szCs w:val="18"/>
              </w:rPr>
              <w:t>23,450.4</w:t>
            </w:r>
          </w:p>
        </w:tc>
        <w:tc>
          <w:tcPr>
            <w:tcW w:w="1406" w:type="dxa"/>
            <w:vAlign w:val="center"/>
            <w:hideMark/>
          </w:tcPr>
          <w:p w14:paraId="0BB85B2B" w14:textId="77777777" w:rsidR="0004071A" w:rsidRPr="009A27ED" w:rsidRDefault="0004071A" w:rsidP="000310D3">
            <w:pPr>
              <w:spacing w:after="0"/>
              <w:jc w:val="left"/>
              <w:rPr>
                <w:color w:val="000000"/>
                <w:sz w:val="18"/>
                <w:szCs w:val="18"/>
              </w:rPr>
            </w:pPr>
            <w:r w:rsidRPr="009A27ED">
              <w:rPr>
                <w:color w:val="000000"/>
                <w:sz w:val="18"/>
                <w:szCs w:val="18"/>
              </w:rPr>
              <w:t>Declinación de la productividad</w:t>
            </w:r>
          </w:p>
        </w:tc>
        <w:tc>
          <w:tcPr>
            <w:tcW w:w="2544" w:type="dxa"/>
            <w:vAlign w:val="center"/>
            <w:hideMark/>
          </w:tcPr>
          <w:p w14:paraId="3A8E48ED" w14:textId="77777777" w:rsidR="0004071A" w:rsidRPr="009A27ED" w:rsidRDefault="0004071A" w:rsidP="000310D3">
            <w:pPr>
              <w:spacing w:after="0"/>
              <w:jc w:val="left"/>
              <w:rPr>
                <w:color w:val="000000"/>
                <w:sz w:val="18"/>
                <w:szCs w:val="18"/>
              </w:rPr>
            </w:pPr>
            <w:r w:rsidRPr="009A27ED">
              <w:rPr>
                <w:color w:val="000000"/>
                <w:sz w:val="18"/>
                <w:szCs w:val="18"/>
              </w:rPr>
              <w:t>Todas las cuencas prioritarias</w:t>
            </w:r>
          </w:p>
        </w:tc>
        <w:tc>
          <w:tcPr>
            <w:tcW w:w="1513" w:type="dxa"/>
            <w:noWrap/>
            <w:vAlign w:val="center"/>
            <w:hideMark/>
          </w:tcPr>
          <w:p w14:paraId="7F9090CC" w14:textId="77777777" w:rsidR="0004071A" w:rsidRPr="009A27ED" w:rsidRDefault="0004071A" w:rsidP="000310D3">
            <w:pPr>
              <w:spacing w:after="0"/>
              <w:jc w:val="left"/>
              <w:rPr>
                <w:color w:val="000000"/>
                <w:sz w:val="18"/>
                <w:szCs w:val="18"/>
              </w:rPr>
            </w:pPr>
            <w:r w:rsidRPr="009A27ED">
              <w:rPr>
                <w:color w:val="000000"/>
                <w:sz w:val="18"/>
                <w:szCs w:val="18"/>
              </w:rPr>
              <w:t>Sobre pastoreo</w:t>
            </w:r>
          </w:p>
        </w:tc>
      </w:tr>
      <w:tr w:rsidR="0004071A" w:rsidRPr="009A27ED" w14:paraId="01146935" w14:textId="77777777" w:rsidTr="000310D3">
        <w:trPr>
          <w:trHeight w:val="274"/>
        </w:trPr>
        <w:tc>
          <w:tcPr>
            <w:tcW w:w="528" w:type="dxa"/>
            <w:noWrap/>
            <w:vAlign w:val="center"/>
            <w:hideMark/>
          </w:tcPr>
          <w:p w14:paraId="4521E088" w14:textId="77777777" w:rsidR="0004071A" w:rsidRPr="009A27ED" w:rsidRDefault="0004071A" w:rsidP="000310D3">
            <w:pPr>
              <w:spacing w:after="0"/>
              <w:jc w:val="left"/>
              <w:rPr>
                <w:sz w:val="18"/>
                <w:szCs w:val="18"/>
              </w:rPr>
            </w:pPr>
            <w:r w:rsidRPr="009A27ED">
              <w:rPr>
                <w:sz w:val="18"/>
                <w:szCs w:val="18"/>
              </w:rPr>
              <w:t>8</w:t>
            </w:r>
          </w:p>
        </w:tc>
        <w:tc>
          <w:tcPr>
            <w:tcW w:w="2162" w:type="dxa"/>
            <w:vAlign w:val="center"/>
            <w:hideMark/>
          </w:tcPr>
          <w:p w14:paraId="3FAFA68F" w14:textId="77777777" w:rsidR="0004071A" w:rsidRPr="009A27ED" w:rsidRDefault="0004071A" w:rsidP="000310D3">
            <w:pPr>
              <w:spacing w:after="0"/>
              <w:jc w:val="left"/>
              <w:rPr>
                <w:color w:val="000000"/>
                <w:sz w:val="18"/>
                <w:szCs w:val="18"/>
                <w:lang w:val="es-DO"/>
              </w:rPr>
            </w:pPr>
            <w:r w:rsidRPr="009A27ED">
              <w:rPr>
                <w:color w:val="000000"/>
                <w:sz w:val="18"/>
                <w:szCs w:val="18"/>
                <w:lang w:val="es-DO"/>
              </w:rPr>
              <w:t>Conversión de matorral/pastizal a tierras de cultivos, con productividad decreciente, signos tempranos de deterioro y estresado</w:t>
            </w:r>
          </w:p>
        </w:tc>
        <w:tc>
          <w:tcPr>
            <w:tcW w:w="1112" w:type="dxa"/>
            <w:noWrap/>
            <w:vAlign w:val="center"/>
            <w:hideMark/>
          </w:tcPr>
          <w:p w14:paraId="50959E08" w14:textId="77777777" w:rsidR="0004071A" w:rsidRPr="009A27ED" w:rsidRDefault="0004071A" w:rsidP="000310D3">
            <w:pPr>
              <w:spacing w:after="0"/>
              <w:jc w:val="left"/>
              <w:rPr>
                <w:color w:val="000000"/>
                <w:sz w:val="18"/>
                <w:szCs w:val="18"/>
              </w:rPr>
            </w:pPr>
            <w:r w:rsidRPr="009A27ED">
              <w:rPr>
                <w:color w:val="000000"/>
                <w:sz w:val="18"/>
                <w:szCs w:val="18"/>
              </w:rPr>
              <w:t>-4,358.1</w:t>
            </w:r>
          </w:p>
        </w:tc>
        <w:tc>
          <w:tcPr>
            <w:tcW w:w="1406" w:type="dxa"/>
            <w:vAlign w:val="center"/>
            <w:hideMark/>
          </w:tcPr>
          <w:p w14:paraId="16DC69D5" w14:textId="77777777" w:rsidR="0004071A" w:rsidRPr="009A27ED" w:rsidRDefault="0004071A" w:rsidP="000310D3">
            <w:pPr>
              <w:spacing w:after="0"/>
              <w:jc w:val="left"/>
              <w:rPr>
                <w:color w:val="000000"/>
                <w:sz w:val="18"/>
                <w:szCs w:val="18"/>
              </w:rPr>
            </w:pPr>
            <w:r w:rsidRPr="009A27ED">
              <w:rPr>
                <w:color w:val="000000"/>
                <w:sz w:val="18"/>
                <w:szCs w:val="18"/>
              </w:rPr>
              <w:t>Declinación de la productividad</w:t>
            </w:r>
          </w:p>
        </w:tc>
        <w:tc>
          <w:tcPr>
            <w:tcW w:w="2544" w:type="dxa"/>
            <w:vAlign w:val="center"/>
            <w:hideMark/>
          </w:tcPr>
          <w:p w14:paraId="20D4CA73" w14:textId="77777777" w:rsidR="0004071A" w:rsidRPr="009A27ED" w:rsidRDefault="0004071A" w:rsidP="000310D3">
            <w:pPr>
              <w:spacing w:after="0"/>
              <w:jc w:val="left"/>
              <w:rPr>
                <w:color w:val="000000"/>
                <w:sz w:val="18"/>
                <w:szCs w:val="18"/>
                <w:lang w:val="es-DO"/>
              </w:rPr>
            </w:pPr>
            <w:r w:rsidRPr="009A27ED">
              <w:rPr>
                <w:color w:val="000000"/>
                <w:sz w:val="18"/>
                <w:szCs w:val="18"/>
                <w:lang w:val="es-DO"/>
              </w:rPr>
              <w:t xml:space="preserve">C. Costera SPM, Nigua, Jura, </w:t>
            </w:r>
            <w:proofErr w:type="spellStart"/>
            <w:r w:rsidRPr="009A27ED">
              <w:rPr>
                <w:color w:val="000000"/>
                <w:sz w:val="18"/>
                <w:szCs w:val="18"/>
                <w:lang w:val="es-DO"/>
              </w:rPr>
              <w:t>Yabón</w:t>
            </w:r>
            <w:proofErr w:type="spellEnd"/>
            <w:r w:rsidRPr="009A27ED">
              <w:rPr>
                <w:color w:val="000000"/>
                <w:sz w:val="18"/>
                <w:szCs w:val="18"/>
                <w:lang w:val="es-DO"/>
              </w:rPr>
              <w:t xml:space="preserve">, C. Costera de Atlántico, Isabela, </w:t>
            </w:r>
            <w:proofErr w:type="spellStart"/>
            <w:r w:rsidRPr="009A27ED">
              <w:rPr>
                <w:color w:val="000000"/>
                <w:sz w:val="18"/>
                <w:szCs w:val="18"/>
                <w:lang w:val="es-DO"/>
              </w:rPr>
              <w:t>Yaque</w:t>
            </w:r>
            <w:proofErr w:type="spellEnd"/>
            <w:r w:rsidRPr="009A27ED">
              <w:rPr>
                <w:color w:val="000000"/>
                <w:sz w:val="18"/>
                <w:szCs w:val="18"/>
                <w:lang w:val="es-DO"/>
              </w:rPr>
              <w:t xml:space="preserve"> del Sur, Artibonito y </w:t>
            </w:r>
            <w:proofErr w:type="spellStart"/>
            <w:r w:rsidRPr="009A27ED">
              <w:rPr>
                <w:color w:val="000000"/>
                <w:sz w:val="18"/>
                <w:szCs w:val="18"/>
                <w:lang w:val="es-DO"/>
              </w:rPr>
              <w:t>Yaque</w:t>
            </w:r>
            <w:proofErr w:type="spellEnd"/>
            <w:r w:rsidRPr="009A27ED">
              <w:rPr>
                <w:color w:val="000000"/>
                <w:sz w:val="18"/>
                <w:szCs w:val="18"/>
                <w:lang w:val="es-DO"/>
              </w:rPr>
              <w:t xml:space="preserve"> del Norte</w:t>
            </w:r>
          </w:p>
        </w:tc>
        <w:tc>
          <w:tcPr>
            <w:tcW w:w="1513" w:type="dxa"/>
            <w:vAlign w:val="center"/>
            <w:hideMark/>
          </w:tcPr>
          <w:p w14:paraId="1E676EDA" w14:textId="77777777" w:rsidR="0004071A" w:rsidRPr="009A27ED" w:rsidRDefault="0004071A" w:rsidP="000310D3">
            <w:pPr>
              <w:spacing w:after="0"/>
              <w:jc w:val="left"/>
              <w:rPr>
                <w:color w:val="000000"/>
                <w:sz w:val="18"/>
                <w:szCs w:val="18"/>
                <w:lang w:val="es-DO"/>
              </w:rPr>
            </w:pPr>
            <w:r w:rsidRPr="009A27ED">
              <w:rPr>
                <w:color w:val="000000"/>
                <w:sz w:val="18"/>
                <w:szCs w:val="18"/>
                <w:lang w:val="es-DO"/>
              </w:rPr>
              <w:t>Ampliación de la frontera agrícola</w:t>
            </w:r>
          </w:p>
        </w:tc>
      </w:tr>
      <w:tr w:rsidR="0004071A" w:rsidRPr="009A27ED" w14:paraId="274E437D" w14:textId="77777777" w:rsidTr="000310D3">
        <w:trPr>
          <w:trHeight w:val="885"/>
        </w:trPr>
        <w:tc>
          <w:tcPr>
            <w:tcW w:w="528" w:type="dxa"/>
            <w:noWrap/>
            <w:vAlign w:val="center"/>
            <w:hideMark/>
          </w:tcPr>
          <w:p w14:paraId="0714B8BA" w14:textId="77777777" w:rsidR="0004071A" w:rsidRPr="009A27ED" w:rsidRDefault="0004071A" w:rsidP="000310D3">
            <w:pPr>
              <w:spacing w:after="0"/>
              <w:jc w:val="left"/>
              <w:rPr>
                <w:sz w:val="18"/>
                <w:szCs w:val="18"/>
              </w:rPr>
            </w:pPr>
            <w:r w:rsidRPr="009A27ED">
              <w:rPr>
                <w:sz w:val="18"/>
                <w:szCs w:val="18"/>
              </w:rPr>
              <w:t>9</w:t>
            </w:r>
          </w:p>
        </w:tc>
        <w:tc>
          <w:tcPr>
            <w:tcW w:w="2162" w:type="dxa"/>
            <w:vAlign w:val="center"/>
            <w:hideMark/>
          </w:tcPr>
          <w:p w14:paraId="40FF59F7" w14:textId="77777777" w:rsidR="0004071A" w:rsidRPr="009A27ED" w:rsidRDefault="0004071A" w:rsidP="000310D3">
            <w:pPr>
              <w:spacing w:after="0"/>
              <w:jc w:val="left"/>
              <w:rPr>
                <w:color w:val="000000"/>
                <w:sz w:val="18"/>
                <w:szCs w:val="18"/>
                <w:lang w:val="es-DO"/>
              </w:rPr>
            </w:pPr>
            <w:r w:rsidRPr="009A27ED">
              <w:rPr>
                <w:color w:val="000000"/>
                <w:sz w:val="18"/>
                <w:szCs w:val="18"/>
                <w:lang w:val="es-DO"/>
              </w:rPr>
              <w:t>Tierras de cultivos con productividad decreciente, signos tempranos de deterioro y estresado</w:t>
            </w:r>
          </w:p>
        </w:tc>
        <w:tc>
          <w:tcPr>
            <w:tcW w:w="1112" w:type="dxa"/>
            <w:noWrap/>
            <w:vAlign w:val="center"/>
            <w:hideMark/>
          </w:tcPr>
          <w:p w14:paraId="1F2B2605" w14:textId="77777777" w:rsidR="0004071A" w:rsidRPr="009A27ED" w:rsidRDefault="0004071A" w:rsidP="000310D3">
            <w:pPr>
              <w:spacing w:after="0"/>
              <w:jc w:val="left"/>
              <w:rPr>
                <w:color w:val="000000"/>
                <w:sz w:val="18"/>
                <w:szCs w:val="18"/>
              </w:rPr>
            </w:pPr>
            <w:r w:rsidRPr="009A27ED">
              <w:rPr>
                <w:color w:val="000000"/>
                <w:sz w:val="18"/>
                <w:szCs w:val="18"/>
              </w:rPr>
              <w:t>9,480.9</w:t>
            </w:r>
          </w:p>
        </w:tc>
        <w:tc>
          <w:tcPr>
            <w:tcW w:w="1406" w:type="dxa"/>
            <w:vAlign w:val="center"/>
            <w:hideMark/>
          </w:tcPr>
          <w:p w14:paraId="555E6256" w14:textId="77777777" w:rsidR="0004071A" w:rsidRPr="009A27ED" w:rsidRDefault="0004071A" w:rsidP="000310D3">
            <w:pPr>
              <w:spacing w:after="0"/>
              <w:jc w:val="left"/>
              <w:rPr>
                <w:color w:val="000000"/>
                <w:sz w:val="18"/>
                <w:szCs w:val="18"/>
              </w:rPr>
            </w:pPr>
            <w:r w:rsidRPr="009A27ED">
              <w:rPr>
                <w:color w:val="000000"/>
                <w:sz w:val="18"/>
                <w:szCs w:val="18"/>
              </w:rPr>
              <w:t>Declinación de la productividad</w:t>
            </w:r>
          </w:p>
        </w:tc>
        <w:tc>
          <w:tcPr>
            <w:tcW w:w="2544" w:type="dxa"/>
            <w:vAlign w:val="center"/>
            <w:hideMark/>
          </w:tcPr>
          <w:p w14:paraId="20EF52E3" w14:textId="77777777" w:rsidR="0004071A" w:rsidRPr="009A27ED" w:rsidRDefault="0004071A" w:rsidP="000310D3">
            <w:pPr>
              <w:spacing w:after="0"/>
              <w:jc w:val="left"/>
              <w:rPr>
                <w:color w:val="000000"/>
                <w:sz w:val="18"/>
                <w:szCs w:val="18"/>
                <w:lang w:val="es-DO"/>
              </w:rPr>
            </w:pPr>
            <w:r w:rsidRPr="009A27ED">
              <w:rPr>
                <w:color w:val="000000"/>
                <w:sz w:val="18"/>
                <w:szCs w:val="18"/>
                <w:lang w:val="es-DO"/>
              </w:rPr>
              <w:t xml:space="preserve">C. Costera SPM, C. Bani-Azua-SC, </w:t>
            </w:r>
            <w:proofErr w:type="spellStart"/>
            <w:r w:rsidRPr="009A27ED">
              <w:rPr>
                <w:color w:val="000000"/>
                <w:sz w:val="18"/>
                <w:szCs w:val="18"/>
                <w:lang w:val="es-DO"/>
              </w:rPr>
              <w:t>Yabón</w:t>
            </w:r>
            <w:proofErr w:type="spellEnd"/>
            <w:r w:rsidRPr="009A27ED">
              <w:rPr>
                <w:color w:val="000000"/>
                <w:sz w:val="18"/>
                <w:szCs w:val="18"/>
                <w:lang w:val="es-DO"/>
              </w:rPr>
              <w:t xml:space="preserve">, Nagua, Isabela, </w:t>
            </w:r>
            <w:proofErr w:type="spellStart"/>
            <w:r w:rsidRPr="009A27ED">
              <w:rPr>
                <w:color w:val="000000"/>
                <w:sz w:val="18"/>
                <w:szCs w:val="18"/>
                <w:lang w:val="es-DO"/>
              </w:rPr>
              <w:t>Sabita</w:t>
            </w:r>
            <w:proofErr w:type="spellEnd"/>
            <w:r w:rsidRPr="009A27ED">
              <w:rPr>
                <w:color w:val="000000"/>
                <w:sz w:val="18"/>
                <w:szCs w:val="18"/>
                <w:lang w:val="es-DO"/>
              </w:rPr>
              <w:t xml:space="preserve">, </w:t>
            </w:r>
            <w:proofErr w:type="spellStart"/>
            <w:r w:rsidRPr="009A27ED">
              <w:rPr>
                <w:color w:val="000000"/>
                <w:sz w:val="18"/>
                <w:szCs w:val="18"/>
                <w:lang w:val="es-DO"/>
              </w:rPr>
              <w:t>Yaque</w:t>
            </w:r>
            <w:proofErr w:type="spellEnd"/>
            <w:r w:rsidRPr="009A27ED">
              <w:rPr>
                <w:color w:val="000000"/>
                <w:sz w:val="18"/>
                <w:szCs w:val="18"/>
                <w:lang w:val="es-DO"/>
              </w:rPr>
              <w:t xml:space="preserve"> del Sur, Artibonito y </w:t>
            </w:r>
            <w:proofErr w:type="spellStart"/>
            <w:r w:rsidRPr="009A27ED">
              <w:rPr>
                <w:color w:val="000000"/>
                <w:sz w:val="18"/>
                <w:szCs w:val="18"/>
                <w:lang w:val="es-DO"/>
              </w:rPr>
              <w:t>Yaque</w:t>
            </w:r>
            <w:proofErr w:type="spellEnd"/>
            <w:r w:rsidRPr="009A27ED">
              <w:rPr>
                <w:color w:val="000000"/>
                <w:sz w:val="18"/>
                <w:szCs w:val="18"/>
                <w:lang w:val="es-DO"/>
              </w:rPr>
              <w:t xml:space="preserve"> del Norte</w:t>
            </w:r>
          </w:p>
        </w:tc>
        <w:tc>
          <w:tcPr>
            <w:tcW w:w="1513" w:type="dxa"/>
            <w:vAlign w:val="center"/>
            <w:hideMark/>
          </w:tcPr>
          <w:p w14:paraId="184B998C" w14:textId="77777777" w:rsidR="0004071A" w:rsidRPr="009A27ED" w:rsidRDefault="0004071A" w:rsidP="000310D3">
            <w:pPr>
              <w:spacing w:after="0"/>
              <w:jc w:val="left"/>
              <w:rPr>
                <w:color w:val="000000"/>
                <w:sz w:val="18"/>
                <w:szCs w:val="18"/>
                <w:lang w:val="es-DO"/>
              </w:rPr>
            </w:pPr>
            <w:r w:rsidRPr="009A27ED">
              <w:rPr>
                <w:color w:val="000000"/>
                <w:sz w:val="18"/>
                <w:szCs w:val="18"/>
                <w:lang w:val="es-DO"/>
              </w:rPr>
              <w:t>Uso inapropiado de suelo, erosión, compactación del suelo</w:t>
            </w:r>
          </w:p>
        </w:tc>
      </w:tr>
      <w:tr w:rsidR="0004071A" w:rsidRPr="009A27ED" w14:paraId="39DE8655" w14:textId="77777777" w:rsidTr="000310D3">
        <w:trPr>
          <w:trHeight w:val="810"/>
        </w:trPr>
        <w:tc>
          <w:tcPr>
            <w:tcW w:w="528" w:type="dxa"/>
            <w:noWrap/>
            <w:vAlign w:val="center"/>
            <w:hideMark/>
          </w:tcPr>
          <w:p w14:paraId="007FCBA9" w14:textId="77777777" w:rsidR="0004071A" w:rsidRPr="009A27ED" w:rsidRDefault="0004071A" w:rsidP="000310D3">
            <w:pPr>
              <w:spacing w:after="0"/>
              <w:jc w:val="left"/>
              <w:rPr>
                <w:color w:val="000000"/>
                <w:sz w:val="18"/>
                <w:szCs w:val="18"/>
              </w:rPr>
            </w:pPr>
            <w:r w:rsidRPr="009A27ED">
              <w:rPr>
                <w:color w:val="000000"/>
                <w:sz w:val="18"/>
                <w:szCs w:val="18"/>
              </w:rPr>
              <w:t>10</w:t>
            </w:r>
          </w:p>
        </w:tc>
        <w:tc>
          <w:tcPr>
            <w:tcW w:w="2162" w:type="dxa"/>
            <w:vAlign w:val="center"/>
            <w:hideMark/>
          </w:tcPr>
          <w:p w14:paraId="41B4BD2E" w14:textId="77777777" w:rsidR="0004071A" w:rsidRPr="009A27ED" w:rsidRDefault="0004071A" w:rsidP="000310D3">
            <w:pPr>
              <w:spacing w:after="0"/>
              <w:jc w:val="left"/>
              <w:rPr>
                <w:color w:val="000000"/>
                <w:sz w:val="18"/>
                <w:szCs w:val="18"/>
                <w:lang w:val="es-DO"/>
              </w:rPr>
            </w:pPr>
            <w:r w:rsidRPr="009A27ED">
              <w:rPr>
                <w:color w:val="000000"/>
                <w:sz w:val="18"/>
                <w:szCs w:val="18"/>
                <w:lang w:val="es-DO"/>
              </w:rPr>
              <w:t>Conversión de bosques a áreas urbanas</w:t>
            </w:r>
          </w:p>
        </w:tc>
        <w:tc>
          <w:tcPr>
            <w:tcW w:w="1112" w:type="dxa"/>
            <w:noWrap/>
            <w:vAlign w:val="center"/>
            <w:hideMark/>
          </w:tcPr>
          <w:p w14:paraId="4DCA5CB0" w14:textId="77777777" w:rsidR="0004071A" w:rsidRPr="009A27ED" w:rsidRDefault="0004071A" w:rsidP="000310D3">
            <w:pPr>
              <w:spacing w:after="0"/>
              <w:jc w:val="left"/>
              <w:rPr>
                <w:color w:val="000000"/>
                <w:sz w:val="18"/>
                <w:szCs w:val="18"/>
              </w:rPr>
            </w:pPr>
            <w:r w:rsidRPr="009A27ED">
              <w:rPr>
                <w:color w:val="000000"/>
                <w:sz w:val="18"/>
                <w:szCs w:val="18"/>
              </w:rPr>
              <w:t>-762.2</w:t>
            </w:r>
          </w:p>
        </w:tc>
        <w:tc>
          <w:tcPr>
            <w:tcW w:w="1406" w:type="dxa"/>
            <w:vAlign w:val="center"/>
            <w:hideMark/>
          </w:tcPr>
          <w:p w14:paraId="67529C1C" w14:textId="77777777" w:rsidR="0004071A" w:rsidRPr="009A27ED" w:rsidRDefault="0004071A" w:rsidP="000310D3">
            <w:pPr>
              <w:spacing w:after="0"/>
              <w:jc w:val="left"/>
              <w:rPr>
                <w:color w:val="000000"/>
                <w:sz w:val="18"/>
                <w:szCs w:val="18"/>
              </w:rPr>
            </w:pPr>
            <w:r w:rsidRPr="009A27ED">
              <w:rPr>
                <w:color w:val="000000"/>
                <w:sz w:val="18"/>
                <w:szCs w:val="18"/>
              </w:rPr>
              <w:t>Incremento de la productividad</w:t>
            </w:r>
          </w:p>
        </w:tc>
        <w:tc>
          <w:tcPr>
            <w:tcW w:w="2544" w:type="dxa"/>
            <w:vAlign w:val="center"/>
            <w:hideMark/>
          </w:tcPr>
          <w:p w14:paraId="673BC5A5" w14:textId="77777777" w:rsidR="0004071A" w:rsidRPr="009A27ED" w:rsidRDefault="0004071A" w:rsidP="000310D3">
            <w:pPr>
              <w:spacing w:after="0"/>
              <w:jc w:val="left"/>
              <w:rPr>
                <w:color w:val="000000"/>
                <w:sz w:val="18"/>
                <w:szCs w:val="18"/>
                <w:lang w:val="es-DO"/>
              </w:rPr>
            </w:pPr>
            <w:r w:rsidRPr="009A27ED">
              <w:rPr>
                <w:color w:val="000000"/>
                <w:sz w:val="18"/>
                <w:szCs w:val="18"/>
                <w:lang w:val="es-DO"/>
              </w:rPr>
              <w:t xml:space="preserve">Nigua, Jura, </w:t>
            </w:r>
            <w:proofErr w:type="spellStart"/>
            <w:r w:rsidRPr="009A27ED">
              <w:rPr>
                <w:color w:val="000000"/>
                <w:sz w:val="18"/>
                <w:szCs w:val="18"/>
                <w:lang w:val="es-DO"/>
              </w:rPr>
              <w:t>Yabón</w:t>
            </w:r>
            <w:proofErr w:type="spellEnd"/>
            <w:r w:rsidRPr="009A27ED">
              <w:rPr>
                <w:color w:val="000000"/>
                <w:sz w:val="18"/>
                <w:szCs w:val="18"/>
                <w:lang w:val="es-DO"/>
              </w:rPr>
              <w:t xml:space="preserve">, Nagua, Isabela, </w:t>
            </w:r>
            <w:proofErr w:type="spellStart"/>
            <w:r w:rsidRPr="009A27ED">
              <w:rPr>
                <w:color w:val="000000"/>
                <w:sz w:val="18"/>
                <w:szCs w:val="18"/>
                <w:lang w:val="es-DO"/>
              </w:rPr>
              <w:t>Sabita</w:t>
            </w:r>
            <w:proofErr w:type="spellEnd"/>
            <w:r w:rsidRPr="009A27ED">
              <w:rPr>
                <w:color w:val="000000"/>
                <w:sz w:val="18"/>
                <w:szCs w:val="18"/>
                <w:lang w:val="es-DO"/>
              </w:rPr>
              <w:t xml:space="preserve">, Alto </w:t>
            </w:r>
            <w:proofErr w:type="spellStart"/>
            <w:r w:rsidRPr="009A27ED">
              <w:rPr>
                <w:color w:val="000000"/>
                <w:sz w:val="18"/>
                <w:szCs w:val="18"/>
                <w:lang w:val="es-DO"/>
              </w:rPr>
              <w:t>Yaque</w:t>
            </w:r>
            <w:proofErr w:type="spellEnd"/>
            <w:r w:rsidRPr="009A27ED">
              <w:rPr>
                <w:color w:val="000000"/>
                <w:sz w:val="18"/>
                <w:szCs w:val="18"/>
                <w:lang w:val="es-DO"/>
              </w:rPr>
              <w:t xml:space="preserve"> del Sur y </w:t>
            </w:r>
            <w:proofErr w:type="spellStart"/>
            <w:r w:rsidRPr="009A27ED">
              <w:rPr>
                <w:color w:val="000000"/>
                <w:sz w:val="18"/>
                <w:szCs w:val="18"/>
                <w:lang w:val="es-DO"/>
              </w:rPr>
              <w:t>Yaque</w:t>
            </w:r>
            <w:proofErr w:type="spellEnd"/>
            <w:r w:rsidRPr="009A27ED">
              <w:rPr>
                <w:color w:val="000000"/>
                <w:sz w:val="18"/>
                <w:szCs w:val="18"/>
                <w:lang w:val="es-DO"/>
              </w:rPr>
              <w:t xml:space="preserve"> del Norte</w:t>
            </w:r>
          </w:p>
        </w:tc>
        <w:tc>
          <w:tcPr>
            <w:tcW w:w="1513" w:type="dxa"/>
            <w:noWrap/>
            <w:vAlign w:val="center"/>
            <w:hideMark/>
          </w:tcPr>
          <w:p w14:paraId="7B1A4539" w14:textId="77777777" w:rsidR="0004071A" w:rsidRPr="009A27ED" w:rsidRDefault="0004071A" w:rsidP="000310D3">
            <w:pPr>
              <w:spacing w:after="0"/>
              <w:jc w:val="left"/>
              <w:rPr>
                <w:color w:val="000000"/>
                <w:sz w:val="18"/>
                <w:szCs w:val="18"/>
              </w:rPr>
            </w:pPr>
            <w:r w:rsidRPr="009A27ED">
              <w:rPr>
                <w:color w:val="000000"/>
                <w:sz w:val="18"/>
                <w:szCs w:val="18"/>
              </w:rPr>
              <w:t>Deforestación</w:t>
            </w:r>
          </w:p>
        </w:tc>
      </w:tr>
      <w:tr w:rsidR="0004071A" w:rsidRPr="009A27ED" w14:paraId="1D8E6506" w14:textId="77777777" w:rsidTr="000310D3">
        <w:trPr>
          <w:trHeight w:val="855"/>
        </w:trPr>
        <w:tc>
          <w:tcPr>
            <w:tcW w:w="528" w:type="dxa"/>
            <w:noWrap/>
            <w:vAlign w:val="center"/>
            <w:hideMark/>
          </w:tcPr>
          <w:p w14:paraId="28D430A4" w14:textId="77777777" w:rsidR="0004071A" w:rsidRPr="009A27ED" w:rsidRDefault="0004071A" w:rsidP="000310D3">
            <w:pPr>
              <w:spacing w:after="0"/>
              <w:jc w:val="left"/>
              <w:rPr>
                <w:color w:val="000000"/>
                <w:sz w:val="18"/>
                <w:szCs w:val="18"/>
              </w:rPr>
            </w:pPr>
            <w:r w:rsidRPr="009A27ED">
              <w:rPr>
                <w:color w:val="000000"/>
                <w:sz w:val="18"/>
                <w:szCs w:val="18"/>
              </w:rPr>
              <w:t>11</w:t>
            </w:r>
          </w:p>
        </w:tc>
        <w:tc>
          <w:tcPr>
            <w:tcW w:w="2162" w:type="dxa"/>
            <w:vAlign w:val="center"/>
            <w:hideMark/>
          </w:tcPr>
          <w:p w14:paraId="6F5ABB2C" w14:textId="77777777" w:rsidR="0004071A" w:rsidRPr="009A27ED" w:rsidRDefault="0004071A" w:rsidP="000310D3">
            <w:pPr>
              <w:spacing w:after="0"/>
              <w:jc w:val="left"/>
              <w:rPr>
                <w:color w:val="000000"/>
                <w:sz w:val="18"/>
                <w:szCs w:val="18"/>
                <w:lang w:val="es-DO"/>
              </w:rPr>
            </w:pPr>
            <w:r w:rsidRPr="009A27ED">
              <w:rPr>
                <w:color w:val="000000"/>
                <w:sz w:val="18"/>
                <w:szCs w:val="18"/>
                <w:lang w:val="es-DO"/>
              </w:rPr>
              <w:t>Tierra de cultivo que pasaron a Suelos desnudos</w:t>
            </w:r>
          </w:p>
        </w:tc>
        <w:tc>
          <w:tcPr>
            <w:tcW w:w="1112" w:type="dxa"/>
            <w:noWrap/>
            <w:vAlign w:val="center"/>
            <w:hideMark/>
          </w:tcPr>
          <w:p w14:paraId="06CB7EA6" w14:textId="77777777" w:rsidR="0004071A" w:rsidRPr="009A27ED" w:rsidRDefault="0004071A" w:rsidP="000310D3">
            <w:pPr>
              <w:spacing w:after="0"/>
              <w:jc w:val="left"/>
              <w:rPr>
                <w:color w:val="000000"/>
                <w:sz w:val="18"/>
                <w:szCs w:val="18"/>
              </w:rPr>
            </w:pPr>
            <w:r w:rsidRPr="009A27ED">
              <w:rPr>
                <w:color w:val="000000"/>
                <w:sz w:val="18"/>
                <w:szCs w:val="18"/>
              </w:rPr>
              <w:t>-2,094.5</w:t>
            </w:r>
          </w:p>
        </w:tc>
        <w:tc>
          <w:tcPr>
            <w:tcW w:w="1406" w:type="dxa"/>
            <w:vAlign w:val="center"/>
            <w:hideMark/>
          </w:tcPr>
          <w:p w14:paraId="47C65CED" w14:textId="77777777" w:rsidR="0004071A" w:rsidRPr="009A27ED" w:rsidRDefault="0004071A" w:rsidP="000310D3">
            <w:pPr>
              <w:spacing w:after="0"/>
              <w:jc w:val="left"/>
              <w:rPr>
                <w:color w:val="000000"/>
                <w:sz w:val="18"/>
                <w:szCs w:val="18"/>
              </w:rPr>
            </w:pPr>
            <w:r w:rsidRPr="009A27ED">
              <w:rPr>
                <w:color w:val="000000"/>
                <w:sz w:val="18"/>
                <w:szCs w:val="18"/>
              </w:rPr>
              <w:t>Incremento de la productividad</w:t>
            </w:r>
          </w:p>
        </w:tc>
        <w:tc>
          <w:tcPr>
            <w:tcW w:w="2544" w:type="dxa"/>
            <w:vAlign w:val="center"/>
            <w:hideMark/>
          </w:tcPr>
          <w:p w14:paraId="1FE7D9E6" w14:textId="77777777" w:rsidR="0004071A" w:rsidRPr="009A27ED" w:rsidRDefault="0004071A" w:rsidP="000310D3">
            <w:pPr>
              <w:spacing w:after="0"/>
              <w:jc w:val="left"/>
              <w:rPr>
                <w:color w:val="000000"/>
                <w:sz w:val="18"/>
                <w:szCs w:val="18"/>
                <w:lang w:val="es-DO"/>
              </w:rPr>
            </w:pPr>
            <w:r w:rsidRPr="009A27ED">
              <w:rPr>
                <w:color w:val="000000"/>
                <w:sz w:val="18"/>
                <w:szCs w:val="18"/>
                <w:lang w:val="es-DO"/>
              </w:rPr>
              <w:t xml:space="preserve">C. Costera SPM, C. Bani-Azua-Sc, </w:t>
            </w:r>
            <w:proofErr w:type="spellStart"/>
            <w:r w:rsidRPr="009A27ED">
              <w:rPr>
                <w:color w:val="000000"/>
                <w:sz w:val="18"/>
                <w:szCs w:val="18"/>
                <w:lang w:val="es-DO"/>
              </w:rPr>
              <w:t>Yabon</w:t>
            </w:r>
            <w:proofErr w:type="spellEnd"/>
            <w:r w:rsidRPr="009A27ED">
              <w:rPr>
                <w:color w:val="000000"/>
                <w:sz w:val="18"/>
                <w:szCs w:val="18"/>
                <w:lang w:val="es-DO"/>
              </w:rPr>
              <w:t xml:space="preserve">, C. Costera del Atlántico, Isabela, Artibonito, </w:t>
            </w:r>
            <w:proofErr w:type="spellStart"/>
            <w:r w:rsidRPr="009A27ED">
              <w:rPr>
                <w:color w:val="000000"/>
                <w:sz w:val="18"/>
                <w:szCs w:val="18"/>
                <w:lang w:val="es-DO"/>
              </w:rPr>
              <w:t>Yaque</w:t>
            </w:r>
            <w:proofErr w:type="spellEnd"/>
            <w:r w:rsidRPr="009A27ED">
              <w:rPr>
                <w:color w:val="000000"/>
                <w:sz w:val="18"/>
                <w:szCs w:val="18"/>
                <w:lang w:val="es-DO"/>
              </w:rPr>
              <w:t xml:space="preserve"> del Norte</w:t>
            </w:r>
          </w:p>
        </w:tc>
        <w:tc>
          <w:tcPr>
            <w:tcW w:w="1513" w:type="dxa"/>
            <w:vAlign w:val="center"/>
            <w:hideMark/>
          </w:tcPr>
          <w:p w14:paraId="1C9F1251" w14:textId="77777777" w:rsidR="0004071A" w:rsidRPr="009A27ED" w:rsidRDefault="0004071A" w:rsidP="000310D3">
            <w:pPr>
              <w:spacing w:after="0"/>
              <w:jc w:val="left"/>
              <w:rPr>
                <w:color w:val="000000"/>
                <w:sz w:val="18"/>
                <w:szCs w:val="18"/>
                <w:lang w:val="es-DO"/>
              </w:rPr>
            </w:pPr>
            <w:r w:rsidRPr="009A27ED">
              <w:rPr>
                <w:color w:val="000000"/>
                <w:sz w:val="18"/>
                <w:szCs w:val="18"/>
                <w:lang w:val="es-DO"/>
              </w:rPr>
              <w:t>Erosión, abandono de las tierras de cultivo</w:t>
            </w:r>
          </w:p>
        </w:tc>
      </w:tr>
      <w:tr w:rsidR="0004071A" w:rsidRPr="009A27ED" w14:paraId="49639020" w14:textId="77777777" w:rsidTr="000310D3">
        <w:trPr>
          <w:trHeight w:val="795"/>
        </w:trPr>
        <w:tc>
          <w:tcPr>
            <w:tcW w:w="528" w:type="dxa"/>
            <w:noWrap/>
            <w:vAlign w:val="center"/>
            <w:hideMark/>
          </w:tcPr>
          <w:p w14:paraId="7AC66879" w14:textId="77777777" w:rsidR="0004071A" w:rsidRPr="009A27ED" w:rsidRDefault="0004071A" w:rsidP="000310D3">
            <w:pPr>
              <w:spacing w:after="0"/>
              <w:jc w:val="left"/>
              <w:rPr>
                <w:color w:val="FF0000"/>
                <w:sz w:val="18"/>
                <w:szCs w:val="18"/>
              </w:rPr>
            </w:pPr>
            <w:r w:rsidRPr="009A27ED">
              <w:rPr>
                <w:sz w:val="18"/>
                <w:szCs w:val="18"/>
              </w:rPr>
              <w:t>12</w:t>
            </w:r>
          </w:p>
        </w:tc>
        <w:tc>
          <w:tcPr>
            <w:tcW w:w="2162" w:type="dxa"/>
            <w:vAlign w:val="center"/>
            <w:hideMark/>
          </w:tcPr>
          <w:p w14:paraId="28A2ED3C" w14:textId="77777777" w:rsidR="0004071A" w:rsidRPr="009A27ED" w:rsidRDefault="0004071A" w:rsidP="000310D3">
            <w:pPr>
              <w:spacing w:after="0"/>
              <w:jc w:val="left"/>
              <w:rPr>
                <w:color w:val="000000"/>
                <w:sz w:val="18"/>
                <w:szCs w:val="18"/>
                <w:lang w:val="es-DO"/>
              </w:rPr>
            </w:pPr>
            <w:r w:rsidRPr="009A27ED">
              <w:rPr>
                <w:color w:val="000000"/>
                <w:sz w:val="18"/>
                <w:szCs w:val="18"/>
                <w:lang w:val="es-DO"/>
              </w:rPr>
              <w:t>Humedales estables, pero con productividad decreciente, signos tempranos de deterioro y estresado</w:t>
            </w:r>
          </w:p>
        </w:tc>
        <w:tc>
          <w:tcPr>
            <w:tcW w:w="1112" w:type="dxa"/>
            <w:noWrap/>
            <w:vAlign w:val="center"/>
            <w:hideMark/>
          </w:tcPr>
          <w:p w14:paraId="0D73D344" w14:textId="77777777" w:rsidR="0004071A" w:rsidRPr="009A27ED" w:rsidRDefault="0004071A" w:rsidP="000310D3">
            <w:pPr>
              <w:spacing w:after="0"/>
              <w:jc w:val="left"/>
              <w:rPr>
                <w:color w:val="000000"/>
                <w:sz w:val="18"/>
                <w:szCs w:val="18"/>
              </w:rPr>
            </w:pPr>
            <w:r w:rsidRPr="009A27ED">
              <w:rPr>
                <w:color w:val="000000"/>
                <w:sz w:val="18"/>
                <w:szCs w:val="18"/>
              </w:rPr>
              <w:t>813.0</w:t>
            </w:r>
          </w:p>
        </w:tc>
        <w:tc>
          <w:tcPr>
            <w:tcW w:w="1406" w:type="dxa"/>
            <w:vAlign w:val="center"/>
            <w:hideMark/>
          </w:tcPr>
          <w:p w14:paraId="2F7CA195" w14:textId="77777777" w:rsidR="0004071A" w:rsidRPr="009A27ED" w:rsidRDefault="0004071A" w:rsidP="000310D3">
            <w:pPr>
              <w:spacing w:after="0"/>
              <w:jc w:val="left"/>
              <w:rPr>
                <w:color w:val="000000"/>
                <w:sz w:val="18"/>
                <w:szCs w:val="18"/>
              </w:rPr>
            </w:pPr>
            <w:r w:rsidRPr="009A27ED">
              <w:rPr>
                <w:color w:val="000000"/>
                <w:sz w:val="18"/>
                <w:szCs w:val="18"/>
              </w:rPr>
              <w:t>Declinación de la productividad</w:t>
            </w:r>
          </w:p>
        </w:tc>
        <w:tc>
          <w:tcPr>
            <w:tcW w:w="2544" w:type="dxa"/>
            <w:vAlign w:val="center"/>
            <w:hideMark/>
          </w:tcPr>
          <w:p w14:paraId="5B4FAEB7" w14:textId="77777777" w:rsidR="0004071A" w:rsidRPr="009A27ED" w:rsidRDefault="0004071A" w:rsidP="000310D3">
            <w:pPr>
              <w:spacing w:after="0"/>
              <w:jc w:val="left"/>
              <w:rPr>
                <w:color w:val="000000"/>
                <w:sz w:val="18"/>
                <w:szCs w:val="18"/>
                <w:lang w:val="es-DO"/>
              </w:rPr>
            </w:pPr>
            <w:r w:rsidRPr="009A27ED">
              <w:rPr>
                <w:color w:val="000000"/>
                <w:sz w:val="18"/>
                <w:szCs w:val="18"/>
                <w:lang w:val="es-DO"/>
              </w:rPr>
              <w:t>Chacuey, C. Costera del Atlántico</w:t>
            </w:r>
          </w:p>
        </w:tc>
        <w:tc>
          <w:tcPr>
            <w:tcW w:w="1513" w:type="dxa"/>
            <w:noWrap/>
            <w:vAlign w:val="center"/>
            <w:hideMark/>
          </w:tcPr>
          <w:p w14:paraId="1AEE774D" w14:textId="77777777" w:rsidR="0004071A" w:rsidRPr="009A27ED" w:rsidRDefault="0004071A" w:rsidP="000310D3">
            <w:pPr>
              <w:spacing w:after="0"/>
              <w:jc w:val="left"/>
              <w:rPr>
                <w:color w:val="000000"/>
                <w:sz w:val="18"/>
                <w:szCs w:val="18"/>
              </w:rPr>
            </w:pPr>
            <w:r w:rsidRPr="009A27ED">
              <w:rPr>
                <w:color w:val="000000"/>
                <w:sz w:val="18"/>
                <w:szCs w:val="18"/>
              </w:rPr>
              <w:t>Extracción de madera</w:t>
            </w:r>
          </w:p>
        </w:tc>
      </w:tr>
      <w:tr w:rsidR="0004071A" w:rsidRPr="009A27ED" w14:paraId="5D1DFF8A" w14:textId="77777777" w:rsidTr="000310D3">
        <w:trPr>
          <w:trHeight w:val="1035"/>
        </w:trPr>
        <w:tc>
          <w:tcPr>
            <w:tcW w:w="528" w:type="dxa"/>
            <w:noWrap/>
            <w:vAlign w:val="center"/>
            <w:hideMark/>
          </w:tcPr>
          <w:p w14:paraId="0B9CFC96" w14:textId="77777777" w:rsidR="0004071A" w:rsidRPr="009A27ED" w:rsidRDefault="0004071A" w:rsidP="000310D3">
            <w:pPr>
              <w:spacing w:after="0"/>
              <w:jc w:val="left"/>
              <w:rPr>
                <w:color w:val="000000"/>
                <w:sz w:val="18"/>
                <w:szCs w:val="18"/>
              </w:rPr>
            </w:pPr>
            <w:r w:rsidRPr="009A27ED">
              <w:rPr>
                <w:color w:val="000000"/>
                <w:sz w:val="18"/>
                <w:szCs w:val="18"/>
              </w:rPr>
              <w:t>13</w:t>
            </w:r>
          </w:p>
        </w:tc>
        <w:tc>
          <w:tcPr>
            <w:tcW w:w="2162" w:type="dxa"/>
            <w:vAlign w:val="center"/>
            <w:hideMark/>
          </w:tcPr>
          <w:p w14:paraId="2092BB9E" w14:textId="77777777" w:rsidR="0004071A" w:rsidRPr="009A27ED" w:rsidRDefault="0004071A" w:rsidP="000310D3">
            <w:pPr>
              <w:spacing w:after="0"/>
              <w:jc w:val="left"/>
              <w:rPr>
                <w:color w:val="000000"/>
                <w:sz w:val="18"/>
                <w:szCs w:val="18"/>
                <w:lang w:val="es-DO"/>
              </w:rPr>
            </w:pPr>
            <w:r w:rsidRPr="009A27ED">
              <w:rPr>
                <w:color w:val="000000"/>
                <w:sz w:val="18"/>
                <w:szCs w:val="18"/>
                <w:lang w:val="es-DO"/>
              </w:rPr>
              <w:t>Tierras de cultivos que pasaron a Matorrales/pastizales con LPD decreciente, signos temprano de deterioro, y estable estresado</w:t>
            </w:r>
          </w:p>
        </w:tc>
        <w:tc>
          <w:tcPr>
            <w:tcW w:w="1112" w:type="dxa"/>
            <w:noWrap/>
            <w:vAlign w:val="center"/>
            <w:hideMark/>
          </w:tcPr>
          <w:p w14:paraId="38346DEC" w14:textId="77777777" w:rsidR="0004071A" w:rsidRPr="009A27ED" w:rsidRDefault="0004071A" w:rsidP="000310D3">
            <w:pPr>
              <w:spacing w:after="0"/>
              <w:jc w:val="left"/>
              <w:rPr>
                <w:color w:val="000000"/>
                <w:sz w:val="18"/>
                <w:szCs w:val="18"/>
              </w:rPr>
            </w:pPr>
            <w:r w:rsidRPr="009A27ED">
              <w:rPr>
                <w:color w:val="000000"/>
                <w:sz w:val="18"/>
                <w:szCs w:val="18"/>
              </w:rPr>
              <w:t>+18,299.7</w:t>
            </w:r>
          </w:p>
        </w:tc>
        <w:tc>
          <w:tcPr>
            <w:tcW w:w="1406" w:type="dxa"/>
            <w:vAlign w:val="center"/>
            <w:hideMark/>
          </w:tcPr>
          <w:p w14:paraId="4E69C230" w14:textId="77777777" w:rsidR="0004071A" w:rsidRPr="009A27ED" w:rsidRDefault="0004071A" w:rsidP="000310D3">
            <w:pPr>
              <w:spacing w:after="0"/>
              <w:jc w:val="left"/>
              <w:rPr>
                <w:color w:val="000000"/>
                <w:sz w:val="18"/>
                <w:szCs w:val="18"/>
              </w:rPr>
            </w:pPr>
            <w:r w:rsidRPr="009A27ED">
              <w:rPr>
                <w:color w:val="000000"/>
                <w:sz w:val="18"/>
                <w:szCs w:val="18"/>
              </w:rPr>
              <w:t>Declinación de la productividad</w:t>
            </w:r>
          </w:p>
        </w:tc>
        <w:tc>
          <w:tcPr>
            <w:tcW w:w="2544" w:type="dxa"/>
            <w:vAlign w:val="center"/>
            <w:hideMark/>
          </w:tcPr>
          <w:p w14:paraId="4A4B81E8" w14:textId="77777777" w:rsidR="0004071A" w:rsidRPr="009A27ED" w:rsidRDefault="0004071A" w:rsidP="000310D3">
            <w:pPr>
              <w:spacing w:after="0"/>
              <w:jc w:val="left"/>
              <w:rPr>
                <w:color w:val="000000"/>
                <w:sz w:val="18"/>
                <w:szCs w:val="18"/>
                <w:lang w:val="es-DO"/>
              </w:rPr>
            </w:pPr>
            <w:r w:rsidRPr="009A27ED">
              <w:rPr>
                <w:color w:val="000000"/>
                <w:sz w:val="18"/>
                <w:szCs w:val="18"/>
                <w:lang w:val="es-DO"/>
              </w:rPr>
              <w:t xml:space="preserve">C. Costera SPM, C. Bani-Azua-San C., </w:t>
            </w:r>
            <w:proofErr w:type="spellStart"/>
            <w:r w:rsidRPr="009A27ED">
              <w:rPr>
                <w:color w:val="000000"/>
                <w:sz w:val="18"/>
                <w:szCs w:val="18"/>
                <w:lang w:val="es-DO"/>
              </w:rPr>
              <w:t>Yabón</w:t>
            </w:r>
            <w:proofErr w:type="spellEnd"/>
            <w:r w:rsidRPr="009A27ED">
              <w:rPr>
                <w:color w:val="000000"/>
                <w:sz w:val="18"/>
                <w:szCs w:val="18"/>
                <w:lang w:val="es-DO"/>
              </w:rPr>
              <w:t xml:space="preserve">, Nagua, </w:t>
            </w:r>
            <w:proofErr w:type="spellStart"/>
            <w:r w:rsidRPr="009A27ED">
              <w:rPr>
                <w:color w:val="000000"/>
                <w:sz w:val="18"/>
                <w:szCs w:val="18"/>
                <w:lang w:val="es-DO"/>
              </w:rPr>
              <w:t>Bajabonico</w:t>
            </w:r>
            <w:proofErr w:type="spellEnd"/>
            <w:r w:rsidRPr="009A27ED">
              <w:rPr>
                <w:color w:val="000000"/>
                <w:sz w:val="18"/>
                <w:szCs w:val="18"/>
                <w:lang w:val="es-DO"/>
              </w:rPr>
              <w:t xml:space="preserve">, </w:t>
            </w:r>
            <w:proofErr w:type="spellStart"/>
            <w:r w:rsidRPr="009A27ED">
              <w:rPr>
                <w:color w:val="000000"/>
                <w:sz w:val="18"/>
                <w:szCs w:val="18"/>
                <w:lang w:val="es-DO"/>
              </w:rPr>
              <w:t>Yaque</w:t>
            </w:r>
            <w:proofErr w:type="spellEnd"/>
            <w:r w:rsidRPr="009A27ED">
              <w:rPr>
                <w:color w:val="000000"/>
                <w:sz w:val="18"/>
                <w:szCs w:val="18"/>
                <w:lang w:val="es-DO"/>
              </w:rPr>
              <w:t xml:space="preserve"> del Sur, Artibonito y Baja </w:t>
            </w:r>
            <w:proofErr w:type="spellStart"/>
            <w:r w:rsidRPr="009A27ED">
              <w:rPr>
                <w:color w:val="000000"/>
                <w:sz w:val="18"/>
                <w:szCs w:val="18"/>
                <w:lang w:val="es-DO"/>
              </w:rPr>
              <w:t>Yaque</w:t>
            </w:r>
            <w:proofErr w:type="spellEnd"/>
            <w:r w:rsidRPr="009A27ED">
              <w:rPr>
                <w:color w:val="000000"/>
                <w:sz w:val="18"/>
                <w:szCs w:val="18"/>
                <w:lang w:val="es-DO"/>
              </w:rPr>
              <w:t xml:space="preserve"> del Norte, C. Costera de SD</w:t>
            </w:r>
          </w:p>
        </w:tc>
        <w:tc>
          <w:tcPr>
            <w:tcW w:w="1513" w:type="dxa"/>
            <w:vAlign w:val="center"/>
            <w:hideMark/>
          </w:tcPr>
          <w:p w14:paraId="4DC36C49" w14:textId="77777777" w:rsidR="0004071A" w:rsidRPr="009A27ED" w:rsidRDefault="0004071A" w:rsidP="000310D3">
            <w:pPr>
              <w:spacing w:after="0"/>
              <w:jc w:val="left"/>
              <w:rPr>
                <w:color w:val="000000"/>
                <w:sz w:val="18"/>
                <w:szCs w:val="18"/>
                <w:lang w:val="es-DO"/>
              </w:rPr>
            </w:pPr>
            <w:r w:rsidRPr="009A27ED">
              <w:rPr>
                <w:color w:val="000000"/>
                <w:sz w:val="18"/>
                <w:szCs w:val="18"/>
                <w:lang w:val="es-DO"/>
              </w:rPr>
              <w:t>Sobre pastoreo, extracción de madera</w:t>
            </w:r>
          </w:p>
        </w:tc>
      </w:tr>
      <w:tr w:rsidR="0004071A" w:rsidRPr="009A27ED" w14:paraId="6E6038E9" w14:textId="77777777" w:rsidTr="000310D3">
        <w:trPr>
          <w:trHeight w:val="570"/>
        </w:trPr>
        <w:tc>
          <w:tcPr>
            <w:tcW w:w="528" w:type="dxa"/>
            <w:noWrap/>
            <w:vAlign w:val="center"/>
            <w:hideMark/>
          </w:tcPr>
          <w:p w14:paraId="62E134DC" w14:textId="77777777" w:rsidR="0004071A" w:rsidRPr="009A27ED" w:rsidRDefault="0004071A" w:rsidP="000310D3">
            <w:pPr>
              <w:spacing w:after="0"/>
              <w:jc w:val="left"/>
              <w:rPr>
                <w:color w:val="000000"/>
                <w:sz w:val="18"/>
                <w:szCs w:val="18"/>
              </w:rPr>
            </w:pPr>
            <w:r w:rsidRPr="009A27ED">
              <w:rPr>
                <w:color w:val="000000"/>
                <w:sz w:val="18"/>
                <w:szCs w:val="18"/>
              </w:rPr>
              <w:t>14</w:t>
            </w:r>
          </w:p>
        </w:tc>
        <w:tc>
          <w:tcPr>
            <w:tcW w:w="2162" w:type="dxa"/>
            <w:noWrap/>
            <w:vAlign w:val="center"/>
            <w:hideMark/>
          </w:tcPr>
          <w:p w14:paraId="74B5D30E" w14:textId="77777777" w:rsidR="0004071A" w:rsidRPr="009A27ED" w:rsidRDefault="0004071A" w:rsidP="000310D3">
            <w:pPr>
              <w:spacing w:after="0"/>
              <w:jc w:val="left"/>
              <w:rPr>
                <w:color w:val="000000"/>
                <w:sz w:val="18"/>
                <w:szCs w:val="18"/>
                <w:lang w:val="es-DO"/>
              </w:rPr>
            </w:pPr>
            <w:r w:rsidRPr="009A27ED">
              <w:rPr>
                <w:color w:val="000000"/>
                <w:sz w:val="18"/>
                <w:szCs w:val="18"/>
                <w:lang w:val="es-DO"/>
              </w:rPr>
              <w:t>Conversión de bosques a tierras de cultivos</w:t>
            </w:r>
          </w:p>
        </w:tc>
        <w:tc>
          <w:tcPr>
            <w:tcW w:w="1112" w:type="dxa"/>
            <w:noWrap/>
            <w:vAlign w:val="center"/>
            <w:hideMark/>
          </w:tcPr>
          <w:p w14:paraId="7E6EB8F1" w14:textId="77777777" w:rsidR="0004071A" w:rsidRPr="009A27ED" w:rsidRDefault="0004071A" w:rsidP="000310D3">
            <w:pPr>
              <w:spacing w:after="0"/>
              <w:jc w:val="left"/>
              <w:rPr>
                <w:color w:val="000000"/>
                <w:sz w:val="18"/>
                <w:szCs w:val="18"/>
              </w:rPr>
            </w:pPr>
            <w:r w:rsidRPr="009A27ED">
              <w:rPr>
                <w:color w:val="000000"/>
                <w:sz w:val="18"/>
                <w:szCs w:val="18"/>
              </w:rPr>
              <w:t>-12,308.4</w:t>
            </w:r>
          </w:p>
        </w:tc>
        <w:tc>
          <w:tcPr>
            <w:tcW w:w="1406" w:type="dxa"/>
            <w:vAlign w:val="center"/>
            <w:hideMark/>
          </w:tcPr>
          <w:p w14:paraId="78B9F54D" w14:textId="77777777" w:rsidR="0004071A" w:rsidRPr="009A27ED" w:rsidRDefault="0004071A" w:rsidP="000310D3">
            <w:pPr>
              <w:spacing w:after="0"/>
              <w:jc w:val="left"/>
              <w:rPr>
                <w:color w:val="000000"/>
                <w:sz w:val="18"/>
                <w:szCs w:val="18"/>
              </w:rPr>
            </w:pPr>
            <w:r w:rsidRPr="009A27ED">
              <w:rPr>
                <w:color w:val="000000"/>
                <w:sz w:val="18"/>
                <w:szCs w:val="18"/>
              </w:rPr>
              <w:t>Incremento de la productividad</w:t>
            </w:r>
          </w:p>
        </w:tc>
        <w:tc>
          <w:tcPr>
            <w:tcW w:w="2544" w:type="dxa"/>
            <w:vAlign w:val="center"/>
            <w:hideMark/>
          </w:tcPr>
          <w:p w14:paraId="11047FA4" w14:textId="77777777" w:rsidR="0004071A" w:rsidRPr="009A27ED" w:rsidRDefault="0004071A" w:rsidP="000310D3">
            <w:pPr>
              <w:spacing w:after="0"/>
              <w:jc w:val="left"/>
              <w:rPr>
                <w:color w:val="000000"/>
                <w:sz w:val="18"/>
                <w:szCs w:val="18"/>
                <w:lang w:val="es-DO"/>
              </w:rPr>
            </w:pPr>
            <w:r w:rsidRPr="009A27ED">
              <w:rPr>
                <w:color w:val="000000"/>
                <w:sz w:val="18"/>
                <w:szCs w:val="18"/>
                <w:lang w:val="es-DO"/>
              </w:rPr>
              <w:t>En todas las cuencas prioritarias, excepto C. Costera SPM</w:t>
            </w:r>
          </w:p>
        </w:tc>
        <w:tc>
          <w:tcPr>
            <w:tcW w:w="1513" w:type="dxa"/>
            <w:noWrap/>
            <w:vAlign w:val="center"/>
            <w:hideMark/>
          </w:tcPr>
          <w:p w14:paraId="74A16302" w14:textId="77777777" w:rsidR="0004071A" w:rsidRPr="009A27ED" w:rsidRDefault="0004071A" w:rsidP="000310D3">
            <w:pPr>
              <w:spacing w:after="0"/>
              <w:jc w:val="left"/>
              <w:rPr>
                <w:color w:val="000000"/>
                <w:sz w:val="18"/>
                <w:szCs w:val="18"/>
              </w:rPr>
            </w:pPr>
            <w:r w:rsidRPr="009A27ED">
              <w:rPr>
                <w:color w:val="000000"/>
                <w:sz w:val="18"/>
                <w:szCs w:val="18"/>
              </w:rPr>
              <w:t>Deforestación</w:t>
            </w:r>
          </w:p>
        </w:tc>
      </w:tr>
      <w:tr w:rsidR="0004071A" w:rsidRPr="009A27ED" w14:paraId="435FD44A" w14:textId="77777777" w:rsidTr="000310D3">
        <w:trPr>
          <w:trHeight w:val="570"/>
        </w:trPr>
        <w:tc>
          <w:tcPr>
            <w:tcW w:w="528" w:type="dxa"/>
            <w:noWrap/>
            <w:vAlign w:val="center"/>
            <w:hideMark/>
          </w:tcPr>
          <w:p w14:paraId="7C744624" w14:textId="77777777" w:rsidR="0004071A" w:rsidRPr="009A27ED" w:rsidRDefault="0004071A" w:rsidP="000310D3">
            <w:pPr>
              <w:spacing w:after="0"/>
              <w:jc w:val="left"/>
              <w:rPr>
                <w:color w:val="000000"/>
                <w:sz w:val="18"/>
                <w:szCs w:val="18"/>
              </w:rPr>
            </w:pPr>
            <w:r w:rsidRPr="009A27ED">
              <w:rPr>
                <w:color w:val="000000"/>
                <w:sz w:val="18"/>
                <w:szCs w:val="18"/>
              </w:rPr>
              <w:t>15</w:t>
            </w:r>
          </w:p>
        </w:tc>
        <w:tc>
          <w:tcPr>
            <w:tcW w:w="2162" w:type="dxa"/>
            <w:noWrap/>
            <w:vAlign w:val="center"/>
            <w:hideMark/>
          </w:tcPr>
          <w:p w14:paraId="13B3CAE4" w14:textId="77777777" w:rsidR="0004071A" w:rsidRPr="009A27ED" w:rsidRDefault="0004071A" w:rsidP="000310D3">
            <w:pPr>
              <w:spacing w:after="0"/>
              <w:jc w:val="left"/>
              <w:rPr>
                <w:color w:val="000000"/>
                <w:sz w:val="18"/>
                <w:szCs w:val="18"/>
              </w:rPr>
            </w:pPr>
            <w:r w:rsidRPr="009A27ED">
              <w:rPr>
                <w:color w:val="000000"/>
                <w:sz w:val="18"/>
                <w:szCs w:val="18"/>
              </w:rPr>
              <w:t>Humedales a suelos desnudos</w:t>
            </w:r>
          </w:p>
        </w:tc>
        <w:tc>
          <w:tcPr>
            <w:tcW w:w="1112" w:type="dxa"/>
            <w:noWrap/>
            <w:vAlign w:val="center"/>
            <w:hideMark/>
          </w:tcPr>
          <w:p w14:paraId="737B5162" w14:textId="77777777" w:rsidR="0004071A" w:rsidRPr="009A27ED" w:rsidRDefault="0004071A" w:rsidP="000310D3">
            <w:pPr>
              <w:spacing w:after="0"/>
              <w:jc w:val="left"/>
              <w:rPr>
                <w:color w:val="000000"/>
                <w:sz w:val="18"/>
                <w:szCs w:val="18"/>
              </w:rPr>
            </w:pPr>
            <w:r w:rsidRPr="009A27ED">
              <w:rPr>
                <w:color w:val="000000"/>
                <w:sz w:val="18"/>
                <w:szCs w:val="18"/>
              </w:rPr>
              <w:t>-540.7</w:t>
            </w:r>
          </w:p>
        </w:tc>
        <w:tc>
          <w:tcPr>
            <w:tcW w:w="1406" w:type="dxa"/>
            <w:vAlign w:val="center"/>
            <w:hideMark/>
          </w:tcPr>
          <w:p w14:paraId="5CEE2485" w14:textId="77777777" w:rsidR="0004071A" w:rsidRPr="009A27ED" w:rsidRDefault="0004071A" w:rsidP="000310D3">
            <w:pPr>
              <w:spacing w:after="0"/>
              <w:jc w:val="left"/>
              <w:rPr>
                <w:color w:val="000000"/>
                <w:sz w:val="18"/>
                <w:szCs w:val="18"/>
              </w:rPr>
            </w:pPr>
            <w:r w:rsidRPr="009A27ED">
              <w:rPr>
                <w:color w:val="000000"/>
                <w:sz w:val="18"/>
                <w:szCs w:val="18"/>
              </w:rPr>
              <w:t>Incremento de la productividad</w:t>
            </w:r>
          </w:p>
        </w:tc>
        <w:tc>
          <w:tcPr>
            <w:tcW w:w="2544" w:type="dxa"/>
            <w:vAlign w:val="center"/>
            <w:hideMark/>
          </w:tcPr>
          <w:p w14:paraId="36FBEF57" w14:textId="77777777" w:rsidR="0004071A" w:rsidRPr="009A27ED" w:rsidRDefault="0004071A" w:rsidP="000310D3">
            <w:pPr>
              <w:spacing w:after="0"/>
              <w:jc w:val="left"/>
              <w:rPr>
                <w:color w:val="000000"/>
                <w:sz w:val="18"/>
                <w:szCs w:val="18"/>
                <w:lang w:val="es-DO"/>
              </w:rPr>
            </w:pPr>
            <w:r w:rsidRPr="009A27ED">
              <w:rPr>
                <w:color w:val="000000"/>
                <w:sz w:val="18"/>
                <w:szCs w:val="18"/>
                <w:lang w:val="es-DO"/>
              </w:rPr>
              <w:t xml:space="preserve">Isabela, Puerto Plata y Baja </w:t>
            </w:r>
            <w:proofErr w:type="spellStart"/>
            <w:r w:rsidRPr="009A27ED">
              <w:rPr>
                <w:color w:val="000000"/>
                <w:sz w:val="18"/>
                <w:szCs w:val="18"/>
                <w:lang w:val="es-DO"/>
              </w:rPr>
              <w:t>Yaque</w:t>
            </w:r>
            <w:proofErr w:type="spellEnd"/>
            <w:r w:rsidRPr="009A27ED">
              <w:rPr>
                <w:color w:val="000000"/>
                <w:sz w:val="18"/>
                <w:szCs w:val="18"/>
                <w:lang w:val="es-DO"/>
              </w:rPr>
              <w:t xml:space="preserve"> del Norte</w:t>
            </w:r>
          </w:p>
        </w:tc>
        <w:tc>
          <w:tcPr>
            <w:tcW w:w="1513" w:type="dxa"/>
            <w:noWrap/>
            <w:vAlign w:val="center"/>
            <w:hideMark/>
          </w:tcPr>
          <w:p w14:paraId="7A199B18" w14:textId="77777777" w:rsidR="0004071A" w:rsidRPr="009A27ED" w:rsidRDefault="0004071A" w:rsidP="000310D3">
            <w:pPr>
              <w:spacing w:after="0"/>
              <w:jc w:val="left"/>
              <w:rPr>
                <w:color w:val="000000"/>
                <w:sz w:val="18"/>
                <w:szCs w:val="18"/>
              </w:rPr>
            </w:pPr>
            <w:r w:rsidRPr="009A27ED">
              <w:rPr>
                <w:color w:val="000000"/>
                <w:sz w:val="18"/>
                <w:szCs w:val="18"/>
              </w:rPr>
              <w:t>Deforestación</w:t>
            </w:r>
          </w:p>
        </w:tc>
      </w:tr>
      <w:tr w:rsidR="0004071A" w:rsidRPr="009A27ED" w14:paraId="6469CE11" w14:textId="77777777" w:rsidTr="000310D3">
        <w:trPr>
          <w:trHeight w:val="1095"/>
        </w:trPr>
        <w:tc>
          <w:tcPr>
            <w:tcW w:w="528" w:type="dxa"/>
            <w:noWrap/>
            <w:vAlign w:val="center"/>
            <w:hideMark/>
          </w:tcPr>
          <w:p w14:paraId="4E5FFC5D" w14:textId="77777777" w:rsidR="0004071A" w:rsidRPr="009A27ED" w:rsidRDefault="0004071A" w:rsidP="000310D3">
            <w:pPr>
              <w:spacing w:after="0"/>
              <w:jc w:val="left"/>
              <w:rPr>
                <w:color w:val="000000"/>
                <w:sz w:val="18"/>
                <w:szCs w:val="18"/>
              </w:rPr>
            </w:pPr>
            <w:r w:rsidRPr="009A27ED">
              <w:rPr>
                <w:color w:val="000000"/>
                <w:sz w:val="18"/>
                <w:szCs w:val="18"/>
              </w:rPr>
              <w:t>16</w:t>
            </w:r>
          </w:p>
        </w:tc>
        <w:tc>
          <w:tcPr>
            <w:tcW w:w="2162" w:type="dxa"/>
            <w:noWrap/>
            <w:vAlign w:val="center"/>
            <w:hideMark/>
          </w:tcPr>
          <w:p w14:paraId="536161B0" w14:textId="77777777" w:rsidR="0004071A" w:rsidRPr="009A27ED" w:rsidRDefault="0004071A" w:rsidP="000310D3">
            <w:pPr>
              <w:spacing w:after="0"/>
              <w:jc w:val="left"/>
              <w:rPr>
                <w:color w:val="000000"/>
                <w:sz w:val="18"/>
                <w:szCs w:val="18"/>
                <w:lang w:val="es-DO"/>
              </w:rPr>
            </w:pPr>
            <w:r w:rsidRPr="009A27ED">
              <w:rPr>
                <w:color w:val="000000"/>
                <w:sz w:val="18"/>
                <w:szCs w:val="18"/>
                <w:lang w:val="es-DO"/>
              </w:rPr>
              <w:t>Conversión de matorral/ pastizal en áreas urbanas e infraestructuras</w:t>
            </w:r>
          </w:p>
        </w:tc>
        <w:tc>
          <w:tcPr>
            <w:tcW w:w="1112" w:type="dxa"/>
            <w:noWrap/>
            <w:vAlign w:val="center"/>
            <w:hideMark/>
          </w:tcPr>
          <w:p w14:paraId="59ED77F9" w14:textId="77777777" w:rsidR="0004071A" w:rsidRPr="009A27ED" w:rsidRDefault="0004071A" w:rsidP="000310D3">
            <w:pPr>
              <w:spacing w:after="0"/>
              <w:jc w:val="left"/>
              <w:rPr>
                <w:color w:val="000000"/>
                <w:sz w:val="18"/>
                <w:szCs w:val="18"/>
              </w:rPr>
            </w:pPr>
            <w:r w:rsidRPr="009A27ED">
              <w:rPr>
                <w:color w:val="000000"/>
                <w:sz w:val="18"/>
                <w:szCs w:val="18"/>
              </w:rPr>
              <w:t>-1,952.8</w:t>
            </w:r>
          </w:p>
        </w:tc>
        <w:tc>
          <w:tcPr>
            <w:tcW w:w="1406" w:type="dxa"/>
            <w:vAlign w:val="center"/>
            <w:hideMark/>
          </w:tcPr>
          <w:p w14:paraId="06207FE6" w14:textId="77777777" w:rsidR="0004071A" w:rsidRPr="009A27ED" w:rsidRDefault="0004071A" w:rsidP="000310D3">
            <w:pPr>
              <w:spacing w:after="0"/>
              <w:jc w:val="left"/>
              <w:rPr>
                <w:color w:val="000000"/>
                <w:sz w:val="18"/>
                <w:szCs w:val="18"/>
              </w:rPr>
            </w:pPr>
            <w:r w:rsidRPr="009A27ED">
              <w:rPr>
                <w:color w:val="000000"/>
                <w:sz w:val="18"/>
                <w:szCs w:val="18"/>
              </w:rPr>
              <w:t>Declinación de la productividad</w:t>
            </w:r>
          </w:p>
        </w:tc>
        <w:tc>
          <w:tcPr>
            <w:tcW w:w="2544" w:type="dxa"/>
            <w:vAlign w:val="center"/>
            <w:hideMark/>
          </w:tcPr>
          <w:p w14:paraId="27D7585F" w14:textId="77777777" w:rsidR="0004071A" w:rsidRPr="009A27ED" w:rsidRDefault="0004071A" w:rsidP="000310D3">
            <w:pPr>
              <w:spacing w:after="0"/>
              <w:jc w:val="left"/>
              <w:rPr>
                <w:color w:val="000000"/>
                <w:sz w:val="18"/>
                <w:szCs w:val="18"/>
                <w:lang w:val="es-DO"/>
              </w:rPr>
            </w:pPr>
            <w:r w:rsidRPr="009A27ED">
              <w:rPr>
                <w:color w:val="000000"/>
                <w:sz w:val="18"/>
                <w:szCs w:val="18"/>
                <w:lang w:val="es-DO"/>
              </w:rPr>
              <w:t xml:space="preserve">C. Costera del atlántico, C. Costera SPM, Nigua, Jura, </w:t>
            </w:r>
            <w:proofErr w:type="spellStart"/>
            <w:r w:rsidRPr="009A27ED">
              <w:rPr>
                <w:color w:val="000000"/>
                <w:sz w:val="18"/>
                <w:szCs w:val="18"/>
                <w:lang w:val="es-DO"/>
              </w:rPr>
              <w:t>Yabón</w:t>
            </w:r>
            <w:proofErr w:type="spellEnd"/>
            <w:r w:rsidRPr="009A27ED">
              <w:rPr>
                <w:color w:val="000000"/>
                <w:sz w:val="18"/>
                <w:szCs w:val="18"/>
                <w:lang w:val="es-DO"/>
              </w:rPr>
              <w:t xml:space="preserve">, C. Costera de SD, </w:t>
            </w:r>
            <w:proofErr w:type="spellStart"/>
            <w:r w:rsidRPr="009A27ED">
              <w:rPr>
                <w:color w:val="000000"/>
                <w:sz w:val="18"/>
                <w:szCs w:val="18"/>
                <w:lang w:val="es-DO"/>
              </w:rPr>
              <w:t>Macasia</w:t>
            </w:r>
            <w:proofErr w:type="spellEnd"/>
            <w:r w:rsidRPr="009A27ED">
              <w:rPr>
                <w:color w:val="000000"/>
                <w:sz w:val="18"/>
                <w:szCs w:val="18"/>
                <w:lang w:val="es-DO"/>
              </w:rPr>
              <w:t xml:space="preserve">, Mijo y </w:t>
            </w:r>
            <w:proofErr w:type="spellStart"/>
            <w:r w:rsidRPr="009A27ED">
              <w:rPr>
                <w:color w:val="000000"/>
                <w:sz w:val="18"/>
                <w:szCs w:val="18"/>
                <w:lang w:val="es-DO"/>
              </w:rPr>
              <w:t>Yaque</w:t>
            </w:r>
            <w:proofErr w:type="spellEnd"/>
            <w:r w:rsidRPr="009A27ED">
              <w:rPr>
                <w:color w:val="000000"/>
                <w:sz w:val="18"/>
                <w:szCs w:val="18"/>
                <w:lang w:val="es-DO"/>
              </w:rPr>
              <w:t xml:space="preserve"> del Norte</w:t>
            </w:r>
          </w:p>
        </w:tc>
        <w:tc>
          <w:tcPr>
            <w:tcW w:w="1513" w:type="dxa"/>
            <w:noWrap/>
            <w:vAlign w:val="center"/>
            <w:hideMark/>
          </w:tcPr>
          <w:p w14:paraId="0B6608BC" w14:textId="77777777" w:rsidR="0004071A" w:rsidRPr="009A27ED" w:rsidRDefault="0004071A" w:rsidP="000310D3">
            <w:pPr>
              <w:keepNext/>
              <w:spacing w:after="0"/>
              <w:jc w:val="left"/>
              <w:rPr>
                <w:color w:val="000000"/>
                <w:sz w:val="18"/>
                <w:szCs w:val="18"/>
              </w:rPr>
            </w:pPr>
            <w:r w:rsidRPr="009A27ED">
              <w:rPr>
                <w:color w:val="000000"/>
                <w:sz w:val="18"/>
                <w:szCs w:val="18"/>
              </w:rPr>
              <w:t>Urbanismo</w:t>
            </w:r>
          </w:p>
        </w:tc>
      </w:tr>
    </w:tbl>
    <w:p w14:paraId="4A133DBD" w14:textId="15B6170C" w:rsidR="0004071A" w:rsidRPr="009A27ED" w:rsidRDefault="0004071A" w:rsidP="0004071A">
      <w:pPr>
        <w:spacing w:after="0" w:line="360" w:lineRule="auto"/>
      </w:pPr>
      <w:r w:rsidRPr="009A27ED">
        <w:rPr>
          <w:rFonts w:ascii="Times New Roman" w:eastAsia="Times New Roman" w:hAnsi="Times New Roman"/>
          <w:sz w:val="24"/>
          <w:szCs w:val="20"/>
        </w:rPr>
        <w:t xml:space="preserve">Fuente: </w:t>
      </w:r>
      <w:r w:rsidRPr="009A27ED">
        <w:rPr>
          <w:rFonts w:ascii="Times New Roman" w:eastAsia="Times New Roman" w:hAnsi="Times New Roman"/>
          <w:iCs/>
          <w:sz w:val="24"/>
          <w:szCs w:val="20"/>
        </w:rPr>
        <w:t>Informe Línea Base, Programa NDT República Dominicana, 2017, Ministerio de Medio Ambiente y Recursos Naturales</w:t>
      </w:r>
      <w:r w:rsidRPr="009A27ED">
        <w:rPr>
          <w:rFonts w:ascii="Times New Roman" w:eastAsia="Times New Roman" w:hAnsi="Times New Roman"/>
          <w:iCs/>
          <w:color w:val="44546A" w:themeColor="text2"/>
          <w:sz w:val="24"/>
        </w:rPr>
        <w:t>.</w:t>
      </w:r>
    </w:p>
    <w:p w14:paraId="0E87B4A8" w14:textId="3E77F8A5" w:rsidR="003F458D" w:rsidRPr="009A27ED" w:rsidRDefault="0004071A" w:rsidP="005B6485">
      <w:pPr>
        <w:spacing w:before="120" w:after="0" w:line="360" w:lineRule="auto"/>
        <w:rPr>
          <w:szCs w:val="22"/>
        </w:rPr>
      </w:pPr>
      <w:r w:rsidRPr="009A27ED">
        <w:rPr>
          <w:rFonts w:ascii="Times New Roman" w:eastAsia="Times New Roman" w:hAnsi="Times New Roman"/>
          <w:sz w:val="24"/>
          <w:szCs w:val="22"/>
        </w:rPr>
        <w:t>En el mismo informe de línea base para NDT, se presenta la extensión superficial de las zonas afectadas por tipo de actividad o proceso y las tendencias (declinando, estable, estable pero estresada) de los últimos 10 años, esto con la finalidad de logar un conocimiento de los procesos críticos y los controladores claves (</w:t>
      </w:r>
      <w:proofErr w:type="spellStart"/>
      <w:r w:rsidRPr="009A27ED">
        <w:rPr>
          <w:rFonts w:ascii="Times New Roman" w:eastAsia="Times New Roman" w:hAnsi="Times New Roman"/>
          <w:i/>
          <w:sz w:val="24"/>
          <w:szCs w:val="22"/>
        </w:rPr>
        <w:t>key</w:t>
      </w:r>
      <w:proofErr w:type="spellEnd"/>
      <w:r w:rsidRPr="009A27ED">
        <w:rPr>
          <w:rFonts w:ascii="Times New Roman" w:eastAsia="Times New Roman" w:hAnsi="Times New Roman"/>
          <w:i/>
          <w:sz w:val="24"/>
          <w:szCs w:val="22"/>
        </w:rPr>
        <w:t xml:space="preserve"> drivers</w:t>
      </w:r>
      <w:r w:rsidRPr="009A27ED">
        <w:rPr>
          <w:rFonts w:ascii="Times New Roman" w:eastAsia="Times New Roman" w:hAnsi="Times New Roman"/>
          <w:sz w:val="24"/>
          <w:szCs w:val="22"/>
        </w:rPr>
        <w:t xml:space="preserve">) vinculados a las actividades de desarrollo humano, junto con los efectos naturales en clima, suelo y vegetación que contribuyen a la degradación y/o desertificación de la tierra. Las causas principales de la degradación de la tierra y los efectos en los suelos, la tierra y </w:t>
      </w:r>
      <w:r w:rsidR="007C02A2" w:rsidRPr="009A27ED">
        <w:rPr>
          <w:rFonts w:ascii="Times New Roman" w:eastAsia="Times New Roman" w:hAnsi="Times New Roman"/>
          <w:sz w:val="24"/>
          <w:szCs w:val="22"/>
        </w:rPr>
        <w:t xml:space="preserve">el ambiente se presentan </w:t>
      </w:r>
      <w:r w:rsidR="00C27962" w:rsidRPr="009A27ED">
        <w:rPr>
          <w:rFonts w:ascii="Times New Roman" w:eastAsia="Times New Roman" w:hAnsi="Times New Roman"/>
          <w:sz w:val="24"/>
          <w:szCs w:val="22"/>
        </w:rPr>
        <w:t>en el cuadro 19</w:t>
      </w:r>
      <w:r w:rsidR="007C02A2" w:rsidRPr="009A27ED">
        <w:rPr>
          <w:rFonts w:ascii="Times New Roman" w:eastAsia="Times New Roman" w:hAnsi="Times New Roman"/>
          <w:sz w:val="24"/>
          <w:szCs w:val="22"/>
        </w:rPr>
        <w:t xml:space="preserve">. </w:t>
      </w:r>
    </w:p>
    <w:p w14:paraId="7E3C7691" w14:textId="77777777" w:rsidR="00C27962" w:rsidRPr="009A27ED" w:rsidRDefault="00C27962" w:rsidP="005B6485">
      <w:pPr>
        <w:spacing w:before="120" w:after="0" w:line="360" w:lineRule="auto"/>
        <w:rPr>
          <w:szCs w:val="22"/>
        </w:rPr>
      </w:pPr>
    </w:p>
    <w:p w14:paraId="453844AD" w14:textId="0C8F4DB8" w:rsidR="00170677" w:rsidRPr="009A27ED" w:rsidRDefault="00170677" w:rsidP="00170677">
      <w:pPr>
        <w:pStyle w:val="Descripcin"/>
        <w:spacing w:line="360" w:lineRule="auto"/>
        <w:rPr>
          <w:color w:val="000000" w:themeColor="text1"/>
          <w:sz w:val="20"/>
        </w:rPr>
      </w:pPr>
      <w:r w:rsidRPr="009A27ED">
        <w:rPr>
          <w:rFonts w:ascii="Times New Roman" w:eastAsia="Times New Roman" w:hAnsi="Times New Roman"/>
          <w:sz w:val="24"/>
        </w:rPr>
        <w:t xml:space="preserve">   </w:t>
      </w:r>
      <w:bookmarkStart w:id="157" w:name="_Toc111887429"/>
      <w:r w:rsidRPr="009A27ED">
        <w:rPr>
          <w:rFonts w:ascii="Times New Roman" w:eastAsia="Times New Roman" w:hAnsi="Times New Roman"/>
          <w:sz w:val="24"/>
        </w:rPr>
        <w:t xml:space="preserve">Cuadro </w:t>
      </w:r>
      <w:r w:rsidR="00F43DB6" w:rsidRPr="009A27ED">
        <w:rPr>
          <w:rFonts w:ascii="Times New Roman" w:eastAsia="Times New Roman" w:hAnsi="Times New Roman"/>
          <w:sz w:val="24"/>
        </w:rPr>
        <w:fldChar w:fldCharType="begin"/>
      </w:r>
      <w:r w:rsidR="00F43DB6" w:rsidRPr="009A27ED">
        <w:rPr>
          <w:rFonts w:ascii="Times New Roman" w:eastAsia="Times New Roman" w:hAnsi="Times New Roman"/>
          <w:sz w:val="24"/>
        </w:rPr>
        <w:instrText xml:space="preserve"> SEQ Cuadro \* ARABIC </w:instrText>
      </w:r>
      <w:r w:rsidR="00F43DB6"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19</w:t>
      </w:r>
      <w:r w:rsidR="00F43DB6" w:rsidRPr="009A27ED">
        <w:rPr>
          <w:rFonts w:ascii="Times New Roman" w:eastAsia="Times New Roman" w:hAnsi="Times New Roman"/>
          <w:sz w:val="24"/>
        </w:rPr>
        <w:fldChar w:fldCharType="end"/>
      </w:r>
      <w:r w:rsidRPr="009A27ED">
        <w:rPr>
          <w:rFonts w:ascii="Times New Roman" w:eastAsia="Times New Roman" w:hAnsi="Times New Roman"/>
          <w:color w:val="000000" w:themeColor="text1"/>
          <w:sz w:val="24"/>
        </w:rPr>
        <w:t>. Procesos Críticos y Factores Controlantes Claves</w:t>
      </w:r>
      <w:bookmarkEnd w:id="157"/>
    </w:p>
    <w:tbl>
      <w:tblPr>
        <w:tblStyle w:val="Tablaconcuadrcula"/>
        <w:tblW w:w="8820" w:type="dxa"/>
        <w:jc w:val="center"/>
        <w:tblLook w:val="04A0" w:firstRow="1" w:lastRow="0" w:firstColumn="1" w:lastColumn="0" w:noHBand="0" w:noVBand="1"/>
      </w:tblPr>
      <w:tblGrid>
        <w:gridCol w:w="4228"/>
        <w:gridCol w:w="4592"/>
      </w:tblGrid>
      <w:tr w:rsidR="0069562F" w:rsidRPr="009A27ED" w14:paraId="32B6C8A9" w14:textId="77777777" w:rsidTr="002B692F">
        <w:trPr>
          <w:tblHeader/>
          <w:jc w:val="center"/>
        </w:trPr>
        <w:tc>
          <w:tcPr>
            <w:tcW w:w="4228" w:type="dxa"/>
            <w:shd w:val="clear" w:color="auto" w:fill="0070C0"/>
            <w:vAlign w:val="center"/>
          </w:tcPr>
          <w:p w14:paraId="35CAA807" w14:textId="4653F067" w:rsidR="00C06E5F" w:rsidRPr="009A27ED" w:rsidRDefault="0004071A" w:rsidP="002B692F">
            <w:pPr>
              <w:pStyle w:val="Sinespaciado"/>
              <w:jc w:val="center"/>
              <w:rPr>
                <w:b/>
                <w:color w:val="FFFFFF" w:themeColor="background1"/>
                <w:sz w:val="20"/>
                <w:szCs w:val="20"/>
              </w:rPr>
            </w:pPr>
            <w:r w:rsidRPr="009A27ED">
              <w:rPr>
                <w:b/>
                <w:color w:val="FFFFFF" w:themeColor="background1"/>
                <w:sz w:val="20"/>
                <w:szCs w:val="20"/>
              </w:rPr>
              <w:t>Actividades de desarrollo humano (Key Drivers)</w:t>
            </w:r>
          </w:p>
        </w:tc>
        <w:tc>
          <w:tcPr>
            <w:tcW w:w="4592" w:type="dxa"/>
            <w:shd w:val="clear" w:color="auto" w:fill="0070C0"/>
            <w:vAlign w:val="center"/>
          </w:tcPr>
          <w:p w14:paraId="3A9CF6D9" w14:textId="77777777" w:rsidR="0004071A" w:rsidRPr="009A27ED" w:rsidRDefault="0004071A" w:rsidP="002B692F">
            <w:pPr>
              <w:pStyle w:val="Sinespaciado"/>
              <w:jc w:val="center"/>
              <w:rPr>
                <w:b/>
                <w:color w:val="FFFFFF" w:themeColor="background1"/>
                <w:sz w:val="20"/>
                <w:szCs w:val="20"/>
              </w:rPr>
            </w:pPr>
            <w:r w:rsidRPr="009A27ED">
              <w:rPr>
                <w:b/>
                <w:color w:val="FFFFFF" w:themeColor="background1"/>
                <w:sz w:val="20"/>
                <w:szCs w:val="20"/>
              </w:rPr>
              <w:t>Efectos degradantes sobre tierra y suelos</w:t>
            </w:r>
          </w:p>
        </w:tc>
      </w:tr>
      <w:tr w:rsidR="0004071A" w:rsidRPr="009A27ED" w14:paraId="2FD3574F" w14:textId="77777777" w:rsidTr="00C97A18">
        <w:trPr>
          <w:trHeight w:val="4464"/>
          <w:jc w:val="center"/>
        </w:trPr>
        <w:tc>
          <w:tcPr>
            <w:tcW w:w="4228" w:type="dxa"/>
          </w:tcPr>
          <w:p w14:paraId="293CCF77" w14:textId="77777777" w:rsidR="0004071A" w:rsidRPr="009A27ED" w:rsidRDefault="0004071A" w:rsidP="00D42802">
            <w:pPr>
              <w:pStyle w:val="Sinespaciado"/>
              <w:numPr>
                <w:ilvl w:val="0"/>
                <w:numId w:val="49"/>
              </w:numPr>
              <w:jc w:val="left"/>
              <w:rPr>
                <w:sz w:val="20"/>
                <w:szCs w:val="20"/>
              </w:rPr>
            </w:pPr>
            <w:r w:rsidRPr="009A27ED">
              <w:rPr>
                <w:sz w:val="20"/>
                <w:szCs w:val="20"/>
              </w:rPr>
              <w:t xml:space="preserve">Actividad agropecuaria </w:t>
            </w:r>
          </w:p>
          <w:p w14:paraId="1CEFDA6E" w14:textId="77777777" w:rsidR="0004071A" w:rsidRPr="009A27ED" w:rsidRDefault="0004071A" w:rsidP="00D42802">
            <w:pPr>
              <w:pStyle w:val="Sinespaciado"/>
              <w:numPr>
                <w:ilvl w:val="0"/>
                <w:numId w:val="49"/>
              </w:numPr>
              <w:jc w:val="left"/>
              <w:rPr>
                <w:sz w:val="20"/>
                <w:szCs w:val="20"/>
              </w:rPr>
            </w:pPr>
            <w:r w:rsidRPr="009A27ED">
              <w:rPr>
                <w:sz w:val="20"/>
                <w:szCs w:val="20"/>
              </w:rPr>
              <w:t>Siembra en laderas y alta montana</w:t>
            </w:r>
          </w:p>
          <w:p w14:paraId="389B6B67" w14:textId="77777777" w:rsidR="0004071A" w:rsidRPr="009A27ED" w:rsidRDefault="0004071A" w:rsidP="00D42802">
            <w:pPr>
              <w:pStyle w:val="Sinespaciado"/>
              <w:numPr>
                <w:ilvl w:val="0"/>
                <w:numId w:val="49"/>
              </w:numPr>
              <w:jc w:val="left"/>
              <w:rPr>
                <w:sz w:val="20"/>
                <w:szCs w:val="20"/>
              </w:rPr>
            </w:pPr>
            <w:r w:rsidRPr="009A27ED">
              <w:rPr>
                <w:sz w:val="20"/>
                <w:szCs w:val="20"/>
              </w:rPr>
              <w:t>Sobrepastoreo</w:t>
            </w:r>
          </w:p>
          <w:p w14:paraId="3D742629" w14:textId="77777777" w:rsidR="0004071A" w:rsidRPr="009A27ED" w:rsidRDefault="0004071A" w:rsidP="00D42802">
            <w:pPr>
              <w:pStyle w:val="Sinespaciado"/>
              <w:numPr>
                <w:ilvl w:val="0"/>
                <w:numId w:val="49"/>
              </w:numPr>
              <w:jc w:val="left"/>
              <w:rPr>
                <w:sz w:val="20"/>
                <w:szCs w:val="20"/>
              </w:rPr>
            </w:pPr>
            <w:r w:rsidRPr="009A27ED">
              <w:rPr>
                <w:sz w:val="20"/>
                <w:szCs w:val="20"/>
              </w:rPr>
              <w:t>Riego intensivo</w:t>
            </w:r>
          </w:p>
          <w:p w14:paraId="2BE8C145" w14:textId="77777777" w:rsidR="0004071A" w:rsidRPr="009A27ED" w:rsidRDefault="0004071A" w:rsidP="00D42802">
            <w:pPr>
              <w:pStyle w:val="Sinespaciado"/>
              <w:numPr>
                <w:ilvl w:val="0"/>
                <w:numId w:val="49"/>
              </w:numPr>
              <w:jc w:val="left"/>
              <w:rPr>
                <w:sz w:val="20"/>
                <w:szCs w:val="20"/>
              </w:rPr>
            </w:pPr>
            <w:r w:rsidRPr="009A27ED">
              <w:rPr>
                <w:sz w:val="20"/>
                <w:szCs w:val="20"/>
              </w:rPr>
              <w:t>Monocultivo</w:t>
            </w:r>
          </w:p>
          <w:p w14:paraId="1B4B4DC2" w14:textId="77777777" w:rsidR="0004071A" w:rsidRPr="009A27ED" w:rsidRDefault="0004071A" w:rsidP="00D42802">
            <w:pPr>
              <w:pStyle w:val="Sinespaciado"/>
              <w:numPr>
                <w:ilvl w:val="0"/>
                <w:numId w:val="49"/>
              </w:numPr>
              <w:jc w:val="left"/>
              <w:rPr>
                <w:sz w:val="20"/>
                <w:szCs w:val="20"/>
              </w:rPr>
            </w:pPr>
            <w:r w:rsidRPr="009A27ED">
              <w:rPr>
                <w:sz w:val="20"/>
                <w:szCs w:val="20"/>
              </w:rPr>
              <w:t>Uso de agroquímicos</w:t>
            </w:r>
          </w:p>
          <w:p w14:paraId="32F2CF36" w14:textId="77777777" w:rsidR="0004071A" w:rsidRPr="009A27ED" w:rsidRDefault="0004071A" w:rsidP="00D42802">
            <w:pPr>
              <w:pStyle w:val="Sinespaciado"/>
              <w:numPr>
                <w:ilvl w:val="0"/>
                <w:numId w:val="49"/>
              </w:numPr>
              <w:jc w:val="left"/>
              <w:rPr>
                <w:sz w:val="20"/>
                <w:szCs w:val="20"/>
              </w:rPr>
            </w:pPr>
            <w:r w:rsidRPr="009A27ED">
              <w:rPr>
                <w:sz w:val="20"/>
                <w:szCs w:val="20"/>
              </w:rPr>
              <w:t>Deforestación</w:t>
            </w:r>
          </w:p>
          <w:p w14:paraId="28042C40" w14:textId="77777777" w:rsidR="0004071A" w:rsidRPr="009A27ED" w:rsidRDefault="0004071A" w:rsidP="00D42802">
            <w:pPr>
              <w:pStyle w:val="Sinespaciado"/>
              <w:numPr>
                <w:ilvl w:val="0"/>
                <w:numId w:val="49"/>
              </w:numPr>
              <w:jc w:val="left"/>
              <w:rPr>
                <w:sz w:val="20"/>
                <w:szCs w:val="20"/>
              </w:rPr>
            </w:pPr>
            <w:r w:rsidRPr="009A27ED">
              <w:rPr>
                <w:sz w:val="20"/>
                <w:szCs w:val="20"/>
              </w:rPr>
              <w:t>Corte para la producción de madera</w:t>
            </w:r>
          </w:p>
          <w:p w14:paraId="432260BA" w14:textId="77777777" w:rsidR="0004071A" w:rsidRPr="009A27ED" w:rsidRDefault="0004071A" w:rsidP="00D42802">
            <w:pPr>
              <w:pStyle w:val="Sinespaciado"/>
              <w:numPr>
                <w:ilvl w:val="0"/>
                <w:numId w:val="49"/>
              </w:numPr>
              <w:jc w:val="left"/>
              <w:rPr>
                <w:sz w:val="20"/>
                <w:szCs w:val="20"/>
              </w:rPr>
            </w:pPr>
            <w:r w:rsidRPr="009A27ED">
              <w:rPr>
                <w:sz w:val="20"/>
                <w:szCs w:val="20"/>
              </w:rPr>
              <w:t>Incendios forestales naturales</w:t>
            </w:r>
          </w:p>
          <w:p w14:paraId="18E5925E" w14:textId="77777777" w:rsidR="0004071A" w:rsidRPr="009A27ED" w:rsidRDefault="0004071A" w:rsidP="00D42802">
            <w:pPr>
              <w:pStyle w:val="Sinespaciado"/>
              <w:numPr>
                <w:ilvl w:val="0"/>
                <w:numId w:val="49"/>
              </w:numPr>
              <w:jc w:val="left"/>
              <w:rPr>
                <w:sz w:val="20"/>
                <w:szCs w:val="20"/>
              </w:rPr>
            </w:pPr>
            <w:r w:rsidRPr="009A27ED">
              <w:rPr>
                <w:sz w:val="20"/>
                <w:szCs w:val="20"/>
              </w:rPr>
              <w:t>Incendios provocados por el hombre</w:t>
            </w:r>
          </w:p>
          <w:p w14:paraId="3A2CEEF9" w14:textId="77777777" w:rsidR="0004071A" w:rsidRPr="009A27ED" w:rsidRDefault="0004071A" w:rsidP="00D42802">
            <w:pPr>
              <w:pStyle w:val="Sinespaciado"/>
              <w:numPr>
                <w:ilvl w:val="0"/>
                <w:numId w:val="49"/>
              </w:numPr>
              <w:jc w:val="left"/>
              <w:rPr>
                <w:sz w:val="20"/>
                <w:szCs w:val="20"/>
              </w:rPr>
            </w:pPr>
            <w:r w:rsidRPr="009A27ED">
              <w:rPr>
                <w:color w:val="222222"/>
                <w:sz w:val="20"/>
                <w:szCs w:val="20"/>
                <w:lang w:val="es-ES"/>
              </w:rPr>
              <w:t>Desarrollo Urbano, Vial e Industrial</w:t>
            </w:r>
          </w:p>
          <w:p w14:paraId="68D8A397" w14:textId="77777777" w:rsidR="0004071A" w:rsidRPr="009A27ED" w:rsidRDefault="0004071A" w:rsidP="00D42802">
            <w:pPr>
              <w:pStyle w:val="Sinespaciado"/>
              <w:numPr>
                <w:ilvl w:val="0"/>
                <w:numId w:val="49"/>
              </w:numPr>
              <w:jc w:val="left"/>
              <w:rPr>
                <w:sz w:val="20"/>
                <w:szCs w:val="20"/>
              </w:rPr>
            </w:pPr>
            <w:r w:rsidRPr="009A27ED">
              <w:rPr>
                <w:sz w:val="20"/>
                <w:szCs w:val="20"/>
              </w:rPr>
              <w:t>Asentamientos urbanos y semi urbanos</w:t>
            </w:r>
          </w:p>
          <w:p w14:paraId="5A08CF97" w14:textId="77777777" w:rsidR="0004071A" w:rsidRPr="009A27ED" w:rsidRDefault="0004071A" w:rsidP="00D42802">
            <w:pPr>
              <w:pStyle w:val="Sinespaciado"/>
              <w:numPr>
                <w:ilvl w:val="0"/>
                <w:numId w:val="49"/>
              </w:numPr>
              <w:jc w:val="left"/>
              <w:rPr>
                <w:sz w:val="20"/>
                <w:szCs w:val="20"/>
              </w:rPr>
            </w:pPr>
            <w:r w:rsidRPr="009A27ED">
              <w:rPr>
                <w:sz w:val="20"/>
                <w:szCs w:val="20"/>
              </w:rPr>
              <w:t>Zonas Industriales</w:t>
            </w:r>
          </w:p>
          <w:p w14:paraId="1F10B7BD" w14:textId="77777777" w:rsidR="0004071A" w:rsidRPr="009A27ED" w:rsidRDefault="0004071A" w:rsidP="00D42802">
            <w:pPr>
              <w:pStyle w:val="Sinespaciado"/>
              <w:numPr>
                <w:ilvl w:val="0"/>
                <w:numId w:val="49"/>
              </w:numPr>
              <w:jc w:val="left"/>
              <w:rPr>
                <w:sz w:val="20"/>
                <w:szCs w:val="20"/>
              </w:rPr>
            </w:pPr>
            <w:r w:rsidRPr="009A27ED">
              <w:rPr>
                <w:sz w:val="20"/>
                <w:szCs w:val="20"/>
              </w:rPr>
              <w:t>Construcción de carreteras</w:t>
            </w:r>
          </w:p>
          <w:p w14:paraId="54D2C4FB" w14:textId="5F29030E" w:rsidR="0004071A" w:rsidRPr="009A27ED" w:rsidRDefault="0004071A" w:rsidP="00D42802">
            <w:pPr>
              <w:pStyle w:val="Sinespaciado"/>
              <w:numPr>
                <w:ilvl w:val="0"/>
                <w:numId w:val="49"/>
              </w:numPr>
              <w:jc w:val="left"/>
              <w:rPr>
                <w:sz w:val="20"/>
                <w:szCs w:val="20"/>
              </w:rPr>
            </w:pPr>
            <w:r w:rsidRPr="009A27ED">
              <w:rPr>
                <w:sz w:val="20"/>
                <w:szCs w:val="20"/>
              </w:rPr>
              <w:t>Minería</w:t>
            </w:r>
            <w:r w:rsidR="003F458D" w:rsidRPr="009A27ED">
              <w:rPr>
                <w:sz w:val="20"/>
                <w:szCs w:val="20"/>
              </w:rPr>
              <w:t xml:space="preserve"> a</w:t>
            </w:r>
            <w:r w:rsidRPr="009A27ED">
              <w:rPr>
                <w:sz w:val="20"/>
                <w:szCs w:val="20"/>
              </w:rPr>
              <w:t xml:space="preserve"> cielo abierto (metales)</w:t>
            </w:r>
          </w:p>
          <w:p w14:paraId="34DBAB40" w14:textId="77777777" w:rsidR="0004071A" w:rsidRPr="009A27ED" w:rsidRDefault="0004071A" w:rsidP="00D42802">
            <w:pPr>
              <w:pStyle w:val="Sinespaciado"/>
              <w:numPr>
                <w:ilvl w:val="0"/>
                <w:numId w:val="49"/>
              </w:numPr>
              <w:jc w:val="left"/>
              <w:rPr>
                <w:sz w:val="20"/>
                <w:szCs w:val="20"/>
              </w:rPr>
            </w:pPr>
            <w:r w:rsidRPr="009A27ED">
              <w:rPr>
                <w:sz w:val="20"/>
                <w:szCs w:val="20"/>
              </w:rPr>
              <w:t>Explotación de canteras</w:t>
            </w:r>
          </w:p>
          <w:p w14:paraId="6A457676" w14:textId="77777777" w:rsidR="0004071A" w:rsidRPr="009A27ED" w:rsidRDefault="0004071A" w:rsidP="00D42802">
            <w:pPr>
              <w:pStyle w:val="Sinespaciado"/>
              <w:numPr>
                <w:ilvl w:val="0"/>
                <w:numId w:val="49"/>
              </w:numPr>
              <w:jc w:val="left"/>
              <w:rPr>
                <w:sz w:val="20"/>
                <w:szCs w:val="20"/>
              </w:rPr>
            </w:pPr>
            <w:r w:rsidRPr="009A27ED">
              <w:rPr>
                <w:sz w:val="20"/>
                <w:szCs w:val="20"/>
              </w:rPr>
              <w:t>Extracción de Materiales, Cursos Fluviales</w:t>
            </w:r>
          </w:p>
        </w:tc>
        <w:tc>
          <w:tcPr>
            <w:tcW w:w="4592" w:type="dxa"/>
          </w:tcPr>
          <w:p w14:paraId="05DE8043" w14:textId="77777777" w:rsidR="0004071A" w:rsidRPr="009A27ED" w:rsidRDefault="0004071A" w:rsidP="00D42802">
            <w:pPr>
              <w:pStyle w:val="Sinespaciado"/>
              <w:numPr>
                <w:ilvl w:val="0"/>
                <w:numId w:val="50"/>
              </w:numPr>
              <w:jc w:val="left"/>
              <w:rPr>
                <w:sz w:val="20"/>
                <w:szCs w:val="20"/>
              </w:rPr>
            </w:pPr>
            <w:bookmarkStart w:id="158" w:name="_Hlk490373933"/>
            <w:r w:rsidRPr="009A27ED">
              <w:rPr>
                <w:sz w:val="20"/>
                <w:szCs w:val="20"/>
              </w:rPr>
              <w:t>Erosión por el agua</w:t>
            </w:r>
          </w:p>
          <w:p w14:paraId="43EB3353" w14:textId="77777777" w:rsidR="0004071A" w:rsidRPr="009A27ED" w:rsidRDefault="0004071A" w:rsidP="00D42802">
            <w:pPr>
              <w:pStyle w:val="Sinespaciado"/>
              <w:numPr>
                <w:ilvl w:val="0"/>
                <w:numId w:val="50"/>
              </w:numPr>
              <w:jc w:val="left"/>
              <w:rPr>
                <w:sz w:val="20"/>
                <w:szCs w:val="20"/>
              </w:rPr>
            </w:pPr>
            <w:r w:rsidRPr="009A27ED">
              <w:rPr>
                <w:sz w:val="20"/>
                <w:szCs w:val="20"/>
              </w:rPr>
              <w:t>Erosión eólica</w:t>
            </w:r>
          </w:p>
          <w:p w14:paraId="311CDEB4" w14:textId="77777777" w:rsidR="0004071A" w:rsidRPr="009A27ED" w:rsidRDefault="0004071A" w:rsidP="00D42802">
            <w:pPr>
              <w:pStyle w:val="Sinespaciado"/>
              <w:numPr>
                <w:ilvl w:val="0"/>
                <w:numId w:val="50"/>
              </w:numPr>
              <w:jc w:val="left"/>
              <w:rPr>
                <w:sz w:val="20"/>
                <w:szCs w:val="20"/>
              </w:rPr>
            </w:pPr>
            <w:r w:rsidRPr="009A27ED">
              <w:rPr>
                <w:color w:val="222222"/>
                <w:sz w:val="20"/>
                <w:szCs w:val="20"/>
                <w:lang w:val="es-ES"/>
              </w:rPr>
              <w:t>Alcalinización</w:t>
            </w:r>
          </w:p>
          <w:p w14:paraId="3B987A47" w14:textId="77777777" w:rsidR="0004071A" w:rsidRPr="009A27ED" w:rsidRDefault="0004071A" w:rsidP="00D42802">
            <w:pPr>
              <w:pStyle w:val="Sinespaciado"/>
              <w:numPr>
                <w:ilvl w:val="0"/>
                <w:numId w:val="50"/>
              </w:numPr>
              <w:jc w:val="left"/>
              <w:rPr>
                <w:sz w:val="20"/>
                <w:szCs w:val="20"/>
              </w:rPr>
            </w:pPr>
            <w:r w:rsidRPr="009A27ED">
              <w:rPr>
                <w:color w:val="222222"/>
                <w:sz w:val="20"/>
                <w:szCs w:val="20"/>
                <w:lang w:val="es-ES"/>
              </w:rPr>
              <w:t>Deshumidificación</w:t>
            </w:r>
          </w:p>
          <w:p w14:paraId="6397DC4B" w14:textId="77777777" w:rsidR="0004071A" w:rsidRPr="009A27ED" w:rsidRDefault="0004071A" w:rsidP="00D42802">
            <w:pPr>
              <w:pStyle w:val="Sinespaciado"/>
              <w:numPr>
                <w:ilvl w:val="0"/>
                <w:numId w:val="50"/>
              </w:numPr>
              <w:jc w:val="left"/>
              <w:rPr>
                <w:sz w:val="20"/>
                <w:szCs w:val="20"/>
              </w:rPr>
            </w:pPr>
            <w:r w:rsidRPr="009A27ED">
              <w:rPr>
                <w:color w:val="222222"/>
                <w:sz w:val="20"/>
                <w:szCs w:val="20"/>
                <w:lang w:val="es-ES"/>
              </w:rPr>
              <w:t>Compactación</w:t>
            </w:r>
          </w:p>
          <w:p w14:paraId="53EB15AB" w14:textId="77777777" w:rsidR="0004071A" w:rsidRPr="009A27ED" w:rsidRDefault="0004071A" w:rsidP="00D42802">
            <w:pPr>
              <w:pStyle w:val="Sinespaciado"/>
              <w:numPr>
                <w:ilvl w:val="0"/>
                <w:numId w:val="50"/>
              </w:numPr>
              <w:jc w:val="left"/>
              <w:rPr>
                <w:sz w:val="20"/>
                <w:szCs w:val="20"/>
              </w:rPr>
            </w:pPr>
            <w:r w:rsidRPr="009A27ED">
              <w:rPr>
                <w:color w:val="222222"/>
                <w:sz w:val="20"/>
                <w:szCs w:val="20"/>
                <w:lang w:val="es-ES"/>
              </w:rPr>
              <w:t>Salinización local del suelo</w:t>
            </w:r>
          </w:p>
          <w:p w14:paraId="7CAB1496" w14:textId="77777777" w:rsidR="0004071A" w:rsidRPr="009A27ED" w:rsidRDefault="0004071A" w:rsidP="00D42802">
            <w:pPr>
              <w:pStyle w:val="Sinespaciado"/>
              <w:numPr>
                <w:ilvl w:val="0"/>
                <w:numId w:val="50"/>
              </w:numPr>
              <w:jc w:val="left"/>
              <w:rPr>
                <w:color w:val="222222"/>
                <w:sz w:val="20"/>
                <w:szCs w:val="20"/>
                <w:lang w:val="es-ES"/>
              </w:rPr>
            </w:pPr>
            <w:r w:rsidRPr="009A27ED">
              <w:rPr>
                <w:color w:val="222222"/>
                <w:sz w:val="20"/>
                <w:szCs w:val="20"/>
                <w:lang w:val="es-ES"/>
              </w:rPr>
              <w:t>Formación de turberas resultantes de actividades económicas irracionales</w:t>
            </w:r>
          </w:p>
          <w:p w14:paraId="4A41CC08" w14:textId="77777777" w:rsidR="0004071A" w:rsidRPr="009A27ED" w:rsidRDefault="0004071A" w:rsidP="00D42802">
            <w:pPr>
              <w:pStyle w:val="Sinespaciado"/>
              <w:numPr>
                <w:ilvl w:val="0"/>
                <w:numId w:val="50"/>
              </w:numPr>
              <w:jc w:val="left"/>
              <w:rPr>
                <w:color w:val="222222"/>
                <w:sz w:val="20"/>
                <w:szCs w:val="20"/>
                <w:lang w:val="es-ES"/>
              </w:rPr>
            </w:pPr>
            <w:r w:rsidRPr="009A27ED">
              <w:rPr>
                <w:color w:val="222222"/>
                <w:sz w:val="20"/>
                <w:szCs w:val="20"/>
                <w:lang w:val="es-ES"/>
              </w:rPr>
              <w:t>Degradación de turba/materia orgánica</w:t>
            </w:r>
          </w:p>
          <w:p w14:paraId="593D2D64" w14:textId="77777777" w:rsidR="0004071A" w:rsidRPr="009A27ED" w:rsidRDefault="0004071A" w:rsidP="00D42802">
            <w:pPr>
              <w:pStyle w:val="Sinespaciado"/>
              <w:numPr>
                <w:ilvl w:val="0"/>
                <w:numId w:val="50"/>
              </w:numPr>
              <w:jc w:val="left"/>
              <w:rPr>
                <w:sz w:val="20"/>
                <w:szCs w:val="20"/>
              </w:rPr>
            </w:pPr>
            <w:r w:rsidRPr="009A27ED">
              <w:rPr>
                <w:sz w:val="20"/>
                <w:szCs w:val="20"/>
              </w:rPr>
              <w:t>Contaminación de Aguas Superficiales y Subterráneas</w:t>
            </w:r>
          </w:p>
          <w:p w14:paraId="1B03310B" w14:textId="77777777" w:rsidR="0004071A" w:rsidRPr="009A27ED" w:rsidRDefault="0004071A" w:rsidP="00D42802">
            <w:pPr>
              <w:pStyle w:val="Sinespaciado"/>
              <w:numPr>
                <w:ilvl w:val="0"/>
                <w:numId w:val="50"/>
              </w:numPr>
              <w:jc w:val="left"/>
              <w:rPr>
                <w:sz w:val="20"/>
                <w:szCs w:val="20"/>
              </w:rPr>
            </w:pPr>
            <w:r w:rsidRPr="009A27ED">
              <w:rPr>
                <w:sz w:val="20"/>
                <w:szCs w:val="20"/>
              </w:rPr>
              <w:t>Acidificación de los Suelos</w:t>
            </w:r>
          </w:p>
          <w:p w14:paraId="647D330F" w14:textId="77777777" w:rsidR="0004071A" w:rsidRPr="009A27ED" w:rsidRDefault="0004071A" w:rsidP="00D42802">
            <w:pPr>
              <w:pStyle w:val="Sinespaciado"/>
              <w:numPr>
                <w:ilvl w:val="0"/>
                <w:numId w:val="50"/>
              </w:numPr>
              <w:jc w:val="left"/>
              <w:rPr>
                <w:sz w:val="20"/>
                <w:szCs w:val="20"/>
              </w:rPr>
            </w:pPr>
            <w:r w:rsidRPr="009A27ED">
              <w:rPr>
                <w:sz w:val="20"/>
                <w:szCs w:val="20"/>
              </w:rPr>
              <w:t>Artificialización de la Tierra</w:t>
            </w:r>
          </w:p>
          <w:bookmarkEnd w:id="158"/>
          <w:p w14:paraId="321CABE7" w14:textId="77777777" w:rsidR="0004071A" w:rsidRPr="009A27ED" w:rsidRDefault="0004071A" w:rsidP="00D42802">
            <w:pPr>
              <w:pStyle w:val="Sinespaciado"/>
              <w:numPr>
                <w:ilvl w:val="0"/>
                <w:numId w:val="50"/>
              </w:numPr>
              <w:jc w:val="left"/>
              <w:rPr>
                <w:sz w:val="20"/>
                <w:szCs w:val="20"/>
              </w:rPr>
            </w:pPr>
            <w:r w:rsidRPr="009A27ED">
              <w:rPr>
                <w:color w:val="222222"/>
                <w:sz w:val="20"/>
                <w:szCs w:val="20"/>
                <w:lang w:val="es-ES"/>
              </w:rPr>
              <w:t>Humedales modificados y afectados</w:t>
            </w:r>
          </w:p>
          <w:p w14:paraId="10FB9483" w14:textId="77777777" w:rsidR="0004071A" w:rsidRPr="009A27ED" w:rsidRDefault="0004071A" w:rsidP="00D42802">
            <w:pPr>
              <w:pStyle w:val="Sinespaciado"/>
              <w:numPr>
                <w:ilvl w:val="0"/>
                <w:numId w:val="50"/>
              </w:numPr>
              <w:jc w:val="left"/>
              <w:rPr>
                <w:color w:val="222222"/>
                <w:sz w:val="20"/>
                <w:szCs w:val="20"/>
                <w:lang w:val="es-ES"/>
              </w:rPr>
            </w:pPr>
            <w:r w:rsidRPr="009A27ED">
              <w:rPr>
                <w:color w:val="222222"/>
                <w:sz w:val="20"/>
                <w:szCs w:val="20"/>
                <w:lang w:val="es-ES"/>
              </w:rPr>
              <w:t>Contaminación industrial de las tierras, entre otras cosas, con núcleos radioeléctricos</w:t>
            </w:r>
          </w:p>
          <w:p w14:paraId="4228BC79" w14:textId="2FF856AD" w:rsidR="0004071A" w:rsidRPr="009A27ED" w:rsidRDefault="0004071A" w:rsidP="00D42802">
            <w:pPr>
              <w:pStyle w:val="Sinespaciado"/>
              <w:keepNext/>
              <w:numPr>
                <w:ilvl w:val="0"/>
                <w:numId w:val="50"/>
              </w:numPr>
              <w:jc w:val="left"/>
              <w:rPr>
                <w:sz w:val="20"/>
                <w:szCs w:val="20"/>
              </w:rPr>
            </w:pPr>
            <w:r w:rsidRPr="009A27ED">
              <w:rPr>
                <w:color w:val="222222"/>
                <w:sz w:val="20"/>
                <w:szCs w:val="20"/>
                <w:lang w:val="es-ES"/>
              </w:rPr>
              <w:t>Perturbación del suelo por extracción de minerales y construcción</w:t>
            </w:r>
          </w:p>
        </w:tc>
      </w:tr>
    </w:tbl>
    <w:p w14:paraId="59C93402" w14:textId="4E09469D" w:rsidR="0004071A" w:rsidRPr="009A27ED" w:rsidRDefault="0004071A" w:rsidP="00B160DC">
      <w:pPr>
        <w:pStyle w:val="Sinespaciado"/>
        <w:spacing w:line="360" w:lineRule="auto"/>
        <w:rPr>
          <w:sz w:val="20"/>
          <w:szCs w:val="20"/>
        </w:rPr>
      </w:pPr>
      <w:r w:rsidRPr="009A27ED">
        <w:rPr>
          <w:rFonts w:ascii="Times New Roman" w:eastAsia="Times New Roman" w:hAnsi="Times New Roman"/>
          <w:iCs/>
          <w:sz w:val="24"/>
          <w:szCs w:val="20"/>
        </w:rPr>
        <w:t>Fuente: Informe línea base NDT República Dominicana, 2017, Ministerio de Medio Ambiente y Recursos Naturales</w:t>
      </w:r>
    </w:p>
    <w:p w14:paraId="3D3DDC8F" w14:textId="0AE94C69" w:rsidR="0004071A" w:rsidRPr="009A27ED" w:rsidRDefault="0004071A" w:rsidP="00E67CB0">
      <w:pPr>
        <w:pStyle w:val="Sinespaciado"/>
        <w:numPr>
          <w:ilvl w:val="0"/>
          <w:numId w:val="295"/>
        </w:numPr>
        <w:spacing w:before="120" w:line="360" w:lineRule="auto"/>
        <w:rPr>
          <w:b/>
        </w:rPr>
      </w:pPr>
      <w:r w:rsidRPr="009A27ED">
        <w:rPr>
          <w:rFonts w:ascii="Times New Roman" w:eastAsia="Times New Roman" w:hAnsi="Times New Roman"/>
          <w:b/>
          <w:sz w:val="24"/>
        </w:rPr>
        <w:t>Cambios de Uso y Cobertura Boscosa Per</w:t>
      </w:r>
      <w:r w:rsidR="003F458D" w:rsidRPr="009A27ED">
        <w:rPr>
          <w:rFonts w:ascii="Times New Roman" w:eastAsia="Times New Roman" w:hAnsi="Times New Roman"/>
          <w:b/>
          <w:sz w:val="24"/>
        </w:rPr>
        <w:t>í</w:t>
      </w:r>
      <w:r w:rsidRPr="009A27ED">
        <w:rPr>
          <w:rFonts w:ascii="Times New Roman" w:eastAsia="Times New Roman" w:hAnsi="Times New Roman"/>
          <w:b/>
          <w:sz w:val="24"/>
        </w:rPr>
        <w:t>odo 1996-2012</w:t>
      </w:r>
    </w:p>
    <w:p w14:paraId="7007567F" w14:textId="05C6D80F" w:rsidR="0004071A" w:rsidRPr="009A27ED" w:rsidRDefault="0004071A" w:rsidP="005B6485">
      <w:pPr>
        <w:pStyle w:val="Sinespaciado"/>
        <w:spacing w:before="120" w:line="360" w:lineRule="auto"/>
      </w:pPr>
      <w:bookmarkStart w:id="159" w:name="_Hlk528778244"/>
      <w:r w:rsidRPr="009A27ED">
        <w:rPr>
          <w:rFonts w:ascii="Times New Roman" w:eastAsia="Times New Roman" w:hAnsi="Times New Roman"/>
          <w:sz w:val="24"/>
        </w:rPr>
        <w:t xml:space="preserve">En este análisis de cambios de uso de suelos para el periodo de 1996 al 2012, a partir de los Mapas de Cobertura Forestal y Uso 1996 y 2012, del Ministerio de Medio Ambiente </w:t>
      </w:r>
      <w:sdt>
        <w:sdtPr>
          <w:id w:val="1077171814"/>
          <w:citation/>
        </w:sdtPr>
        <w:sdtContent>
          <w:r w:rsidRPr="009A27ED">
            <w:fldChar w:fldCharType="begin"/>
          </w:r>
          <w:r w:rsidRPr="009A27ED">
            <w:instrText xml:space="preserve"> CITATION Riv17 \l 1033 </w:instrText>
          </w:r>
          <w:r w:rsidRPr="009A27ED">
            <w:fldChar w:fldCharType="separate"/>
          </w:r>
          <w:r w:rsidRPr="009A27ED">
            <w:rPr>
              <w:noProof/>
            </w:rPr>
            <w:t>(Rivera, 2017)</w:t>
          </w:r>
          <w:r w:rsidRPr="009A27ED">
            <w:fldChar w:fldCharType="end"/>
          </w:r>
        </w:sdtContent>
      </w:sdt>
      <w:r w:rsidRPr="009A27ED">
        <w:rPr>
          <w:rFonts w:ascii="Times New Roman" w:eastAsia="Times New Roman" w:hAnsi="Times New Roman"/>
          <w:sz w:val="24"/>
        </w:rPr>
        <w:t xml:space="preserve">. La cobertura de bosques en el 1996, que incluye bosques de confieras, latifoliadas, secos y humedales, era de </w:t>
      </w:r>
      <w:r w:rsidRPr="009A27ED">
        <w:rPr>
          <w:rFonts w:ascii="Times New Roman" w:eastAsia="Times New Roman" w:hAnsi="Times New Roman"/>
          <w:bCs/>
          <w:sz w:val="24"/>
        </w:rPr>
        <w:t>1</w:t>
      </w:r>
      <w:r w:rsidR="0069562F" w:rsidRPr="009A27ED">
        <w:rPr>
          <w:rFonts w:ascii="Times New Roman" w:eastAsia="Times New Roman" w:hAnsi="Times New Roman"/>
          <w:bCs/>
          <w:sz w:val="24"/>
        </w:rPr>
        <w:t>, 331,027</w:t>
      </w:r>
      <w:r w:rsidRPr="009A27ED">
        <w:rPr>
          <w:rFonts w:ascii="Times New Roman" w:eastAsia="Times New Roman" w:hAnsi="Times New Roman"/>
          <w:bCs/>
          <w:sz w:val="24"/>
        </w:rPr>
        <w:t xml:space="preserve"> ha en el 1996. Para el 2012, la cobertura boscosa era de 1</w:t>
      </w:r>
      <w:r w:rsidR="0069562F" w:rsidRPr="009A27ED">
        <w:rPr>
          <w:rFonts w:ascii="Times New Roman" w:eastAsia="Times New Roman" w:hAnsi="Times New Roman"/>
          <w:bCs/>
          <w:sz w:val="24"/>
        </w:rPr>
        <w:t>, 891,135</w:t>
      </w:r>
      <w:r w:rsidRPr="009A27ED">
        <w:rPr>
          <w:rFonts w:ascii="Times New Roman" w:eastAsia="Times New Roman" w:hAnsi="Times New Roman"/>
          <w:bCs/>
          <w:sz w:val="24"/>
        </w:rPr>
        <w:t xml:space="preserve"> ha. </w:t>
      </w:r>
      <w:proofErr w:type="gramStart"/>
      <w:r w:rsidRPr="009A27ED">
        <w:rPr>
          <w:rFonts w:ascii="Times New Roman" w:eastAsia="Times New Roman" w:hAnsi="Times New Roman"/>
          <w:sz w:val="24"/>
        </w:rPr>
        <w:t>De acuerdo a</w:t>
      </w:r>
      <w:proofErr w:type="gramEnd"/>
      <w:r w:rsidRPr="009A27ED">
        <w:rPr>
          <w:rFonts w:ascii="Times New Roman" w:eastAsia="Times New Roman" w:hAnsi="Times New Roman"/>
          <w:sz w:val="24"/>
        </w:rPr>
        <w:t xml:space="preserve"> estos se concluye que se ha producido un cambio neto de 560,108 Ha, en ese periodo de 17 años. Poniendo estas cifras </w:t>
      </w:r>
      <w:proofErr w:type="gramStart"/>
      <w:r w:rsidRPr="009A27ED">
        <w:rPr>
          <w:rFonts w:ascii="Times New Roman" w:eastAsia="Times New Roman" w:hAnsi="Times New Roman"/>
          <w:sz w:val="24"/>
        </w:rPr>
        <w:t>en relación al</w:t>
      </w:r>
      <w:proofErr w:type="gramEnd"/>
      <w:r w:rsidRPr="009A27ED">
        <w:rPr>
          <w:rFonts w:ascii="Times New Roman" w:eastAsia="Times New Roman" w:hAnsi="Times New Roman"/>
          <w:sz w:val="24"/>
        </w:rPr>
        <w:t xml:space="preserve"> área total del país, se ha pasado de 27.60% a 39.21% de área de bosque.</w:t>
      </w:r>
    </w:p>
    <w:p w14:paraId="3F1D9322" w14:textId="77777777" w:rsidR="00C27962" w:rsidRPr="009A27ED" w:rsidRDefault="00C27962" w:rsidP="00C27962">
      <w:pPr>
        <w:pStyle w:val="Descripcin"/>
        <w:spacing w:after="0" w:line="360" w:lineRule="auto"/>
        <w:rPr>
          <w:szCs w:val="24"/>
        </w:rPr>
      </w:pPr>
    </w:p>
    <w:p w14:paraId="74E1EE2E" w14:textId="388E3BD2" w:rsidR="0004071A" w:rsidRPr="009A27ED" w:rsidRDefault="0004071A" w:rsidP="00D12F9D">
      <w:pPr>
        <w:pStyle w:val="Descripcin"/>
        <w:spacing w:after="0" w:line="360" w:lineRule="auto"/>
        <w:rPr>
          <w:b/>
          <w:iCs w:val="0"/>
          <w:szCs w:val="24"/>
        </w:rPr>
      </w:pPr>
      <w:r w:rsidRPr="009A27ED">
        <w:rPr>
          <w:rFonts w:ascii="Times New Roman" w:eastAsia="Times New Roman" w:hAnsi="Times New Roman"/>
          <w:sz w:val="24"/>
          <w:szCs w:val="24"/>
        </w:rPr>
        <w:t xml:space="preserve"> </w:t>
      </w:r>
    </w:p>
    <w:p w14:paraId="6C231AD7" w14:textId="7298C42E" w:rsidR="00170677" w:rsidRPr="009A27ED" w:rsidRDefault="00D12F9D" w:rsidP="00D12F9D">
      <w:pPr>
        <w:pStyle w:val="Descripcin"/>
        <w:spacing w:after="0" w:line="360" w:lineRule="auto"/>
      </w:pPr>
      <w:r w:rsidRPr="009A27ED">
        <w:rPr>
          <w:rFonts w:ascii="Times New Roman" w:eastAsia="Times New Roman" w:hAnsi="Times New Roman"/>
          <w:sz w:val="24"/>
        </w:rPr>
        <w:t xml:space="preserve">              </w:t>
      </w:r>
      <w:bookmarkStart w:id="160" w:name="_Toc111887430"/>
      <w:r w:rsidR="00170677" w:rsidRPr="009A27ED">
        <w:rPr>
          <w:rFonts w:ascii="Times New Roman" w:eastAsia="Times New Roman" w:hAnsi="Times New Roman"/>
          <w:sz w:val="24"/>
        </w:rPr>
        <w:t xml:space="preserve">Cuadro </w:t>
      </w:r>
      <w:r w:rsidR="00F43DB6" w:rsidRPr="009A27ED">
        <w:rPr>
          <w:rFonts w:ascii="Times New Roman" w:eastAsia="Times New Roman" w:hAnsi="Times New Roman"/>
          <w:sz w:val="24"/>
        </w:rPr>
        <w:fldChar w:fldCharType="begin"/>
      </w:r>
      <w:r w:rsidR="00F43DB6" w:rsidRPr="009A27ED">
        <w:rPr>
          <w:rFonts w:ascii="Times New Roman" w:eastAsia="Times New Roman" w:hAnsi="Times New Roman"/>
          <w:sz w:val="24"/>
        </w:rPr>
        <w:instrText xml:space="preserve"> SEQ Cuadro \* ARABIC </w:instrText>
      </w:r>
      <w:r w:rsidR="00F43DB6"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20</w:t>
      </w:r>
      <w:r w:rsidR="00F43DB6" w:rsidRPr="009A27ED">
        <w:rPr>
          <w:rFonts w:ascii="Times New Roman" w:eastAsia="Times New Roman" w:hAnsi="Times New Roman"/>
          <w:sz w:val="24"/>
        </w:rPr>
        <w:fldChar w:fldCharType="end"/>
      </w:r>
      <w:r w:rsidRPr="009A27ED">
        <w:rPr>
          <w:rFonts w:ascii="Times New Roman" w:eastAsia="Times New Roman" w:hAnsi="Times New Roman"/>
          <w:sz w:val="24"/>
        </w:rPr>
        <w:t>.</w:t>
      </w:r>
      <w:r w:rsidRPr="009A27ED">
        <w:rPr>
          <w:rFonts w:ascii="Times New Roman" w:eastAsia="Times New Roman" w:hAnsi="Times New Roman"/>
          <w:color w:val="000000" w:themeColor="text1"/>
          <w:sz w:val="24"/>
        </w:rPr>
        <w:t xml:space="preserve"> Cambio en Cobertura Boscosa en el Período 1996-2012</w:t>
      </w:r>
      <w:bookmarkEnd w:id="160"/>
    </w:p>
    <w:tbl>
      <w:tblPr>
        <w:tblStyle w:val="Tablaconcuadrcula"/>
        <w:tblW w:w="7803" w:type="dxa"/>
        <w:jc w:val="center"/>
        <w:tblLook w:val="04A0" w:firstRow="1" w:lastRow="0" w:firstColumn="1" w:lastColumn="0" w:noHBand="0" w:noVBand="1"/>
      </w:tblPr>
      <w:tblGrid>
        <w:gridCol w:w="2055"/>
        <w:gridCol w:w="1176"/>
        <w:gridCol w:w="1230"/>
        <w:gridCol w:w="1176"/>
        <w:gridCol w:w="1170"/>
        <w:gridCol w:w="996"/>
      </w:tblGrid>
      <w:tr w:rsidR="0004071A" w:rsidRPr="009A27ED" w14:paraId="320B6D3C" w14:textId="77777777" w:rsidTr="0069562F">
        <w:trPr>
          <w:trHeight w:val="481"/>
          <w:jc w:val="center"/>
        </w:trPr>
        <w:tc>
          <w:tcPr>
            <w:tcW w:w="2055" w:type="dxa"/>
            <w:shd w:val="clear" w:color="auto" w:fill="0070C0"/>
            <w:noWrap/>
            <w:hideMark/>
          </w:tcPr>
          <w:p w14:paraId="1A7B44F6" w14:textId="53096249" w:rsidR="0004071A" w:rsidRPr="009A27ED" w:rsidRDefault="00690298" w:rsidP="00690298">
            <w:pPr>
              <w:pStyle w:val="Sinespaciado"/>
              <w:jc w:val="center"/>
              <w:rPr>
                <w:rFonts w:eastAsia="Times New Roman"/>
                <w:b/>
                <w:color w:val="FFFFFF" w:themeColor="background1"/>
                <w:sz w:val="20"/>
                <w:szCs w:val="20"/>
              </w:rPr>
            </w:pPr>
            <w:r w:rsidRPr="009A27ED">
              <w:rPr>
                <w:rFonts w:eastAsia="Times New Roman"/>
                <w:b/>
                <w:color w:val="FFFFFF" w:themeColor="background1"/>
                <w:sz w:val="20"/>
                <w:szCs w:val="20"/>
              </w:rPr>
              <w:t>Tipo de bosque</w:t>
            </w:r>
          </w:p>
        </w:tc>
        <w:tc>
          <w:tcPr>
            <w:tcW w:w="1176" w:type="dxa"/>
            <w:shd w:val="clear" w:color="auto" w:fill="0070C0"/>
            <w:noWrap/>
            <w:hideMark/>
          </w:tcPr>
          <w:p w14:paraId="06115ABA" w14:textId="28376427" w:rsidR="0004071A" w:rsidRPr="009A27ED" w:rsidRDefault="0004071A" w:rsidP="00690298">
            <w:pPr>
              <w:pStyle w:val="Sinespaciado"/>
              <w:jc w:val="center"/>
              <w:rPr>
                <w:rFonts w:eastAsia="Times New Roman"/>
                <w:b/>
                <w:color w:val="FFFFFF" w:themeColor="background1"/>
                <w:sz w:val="20"/>
                <w:szCs w:val="20"/>
              </w:rPr>
            </w:pPr>
            <w:r w:rsidRPr="009A27ED">
              <w:rPr>
                <w:rFonts w:eastAsia="Times New Roman"/>
                <w:b/>
                <w:color w:val="FFFFFF" w:themeColor="background1"/>
                <w:sz w:val="20"/>
                <w:szCs w:val="20"/>
              </w:rPr>
              <w:t>Cobertura 1996</w:t>
            </w:r>
          </w:p>
          <w:p w14:paraId="62D23E60" w14:textId="77777777" w:rsidR="0004071A" w:rsidRPr="009A27ED" w:rsidRDefault="0004071A" w:rsidP="00690298">
            <w:pPr>
              <w:pStyle w:val="Sinespaciado"/>
              <w:jc w:val="center"/>
              <w:rPr>
                <w:rFonts w:eastAsia="Times New Roman"/>
                <w:b/>
                <w:color w:val="FFFFFF" w:themeColor="background1"/>
                <w:sz w:val="20"/>
                <w:szCs w:val="20"/>
              </w:rPr>
            </w:pPr>
            <w:r w:rsidRPr="009A27ED">
              <w:rPr>
                <w:rFonts w:eastAsia="Times New Roman"/>
                <w:b/>
                <w:color w:val="FFFFFF" w:themeColor="background1"/>
                <w:sz w:val="20"/>
                <w:szCs w:val="20"/>
              </w:rPr>
              <w:t>(Ha)</w:t>
            </w:r>
          </w:p>
        </w:tc>
        <w:tc>
          <w:tcPr>
            <w:tcW w:w="1230" w:type="dxa"/>
            <w:shd w:val="clear" w:color="auto" w:fill="0070C0"/>
            <w:noWrap/>
            <w:hideMark/>
          </w:tcPr>
          <w:p w14:paraId="36AFDA8B" w14:textId="77777777" w:rsidR="0004071A" w:rsidRPr="009A27ED" w:rsidRDefault="0004071A" w:rsidP="00690298">
            <w:pPr>
              <w:pStyle w:val="Sinespaciado"/>
              <w:jc w:val="center"/>
              <w:rPr>
                <w:rFonts w:eastAsia="Times New Roman"/>
                <w:b/>
                <w:color w:val="FFFFFF" w:themeColor="background1"/>
                <w:sz w:val="20"/>
                <w:szCs w:val="20"/>
              </w:rPr>
            </w:pPr>
            <w:r w:rsidRPr="009A27ED">
              <w:rPr>
                <w:rFonts w:eastAsia="Times New Roman"/>
                <w:b/>
                <w:color w:val="FFFFFF" w:themeColor="background1"/>
                <w:sz w:val="20"/>
                <w:szCs w:val="20"/>
              </w:rPr>
              <w:t>% del total del País 1996</w:t>
            </w:r>
          </w:p>
        </w:tc>
        <w:tc>
          <w:tcPr>
            <w:tcW w:w="1176" w:type="dxa"/>
            <w:shd w:val="clear" w:color="auto" w:fill="0070C0"/>
            <w:noWrap/>
            <w:hideMark/>
          </w:tcPr>
          <w:p w14:paraId="135FCF08" w14:textId="7009F36C" w:rsidR="0004071A" w:rsidRPr="009A27ED" w:rsidRDefault="0004071A" w:rsidP="00690298">
            <w:pPr>
              <w:pStyle w:val="Sinespaciado"/>
              <w:jc w:val="center"/>
              <w:rPr>
                <w:rFonts w:eastAsia="Times New Roman"/>
                <w:b/>
                <w:color w:val="FFFFFF" w:themeColor="background1"/>
                <w:sz w:val="20"/>
                <w:szCs w:val="20"/>
              </w:rPr>
            </w:pPr>
            <w:r w:rsidRPr="009A27ED">
              <w:rPr>
                <w:rFonts w:eastAsia="Times New Roman"/>
                <w:b/>
                <w:color w:val="FFFFFF" w:themeColor="background1"/>
                <w:sz w:val="20"/>
                <w:szCs w:val="20"/>
              </w:rPr>
              <w:t>Cobertura 2012</w:t>
            </w:r>
          </w:p>
          <w:p w14:paraId="5D9612C9" w14:textId="77777777" w:rsidR="0004071A" w:rsidRPr="009A27ED" w:rsidRDefault="0004071A" w:rsidP="00690298">
            <w:pPr>
              <w:pStyle w:val="Sinespaciado"/>
              <w:jc w:val="center"/>
              <w:rPr>
                <w:rFonts w:eastAsia="Times New Roman"/>
                <w:b/>
                <w:color w:val="FFFFFF" w:themeColor="background1"/>
                <w:sz w:val="20"/>
                <w:szCs w:val="20"/>
              </w:rPr>
            </w:pPr>
            <w:r w:rsidRPr="009A27ED">
              <w:rPr>
                <w:rFonts w:eastAsia="Times New Roman"/>
                <w:b/>
                <w:color w:val="FFFFFF" w:themeColor="background1"/>
                <w:sz w:val="20"/>
                <w:szCs w:val="20"/>
              </w:rPr>
              <w:t>(Ha)</w:t>
            </w:r>
          </w:p>
        </w:tc>
        <w:tc>
          <w:tcPr>
            <w:tcW w:w="1170" w:type="dxa"/>
            <w:shd w:val="clear" w:color="auto" w:fill="0070C0"/>
            <w:noWrap/>
            <w:hideMark/>
          </w:tcPr>
          <w:p w14:paraId="615BA1A7" w14:textId="77777777" w:rsidR="0004071A" w:rsidRPr="009A27ED" w:rsidRDefault="0004071A" w:rsidP="00690298">
            <w:pPr>
              <w:pStyle w:val="Sinespaciado"/>
              <w:jc w:val="center"/>
              <w:rPr>
                <w:rFonts w:eastAsia="Times New Roman"/>
                <w:b/>
                <w:color w:val="FFFFFF" w:themeColor="background1"/>
                <w:sz w:val="20"/>
                <w:szCs w:val="20"/>
              </w:rPr>
            </w:pPr>
            <w:r w:rsidRPr="009A27ED">
              <w:rPr>
                <w:rFonts w:eastAsia="Times New Roman"/>
                <w:b/>
                <w:color w:val="FFFFFF" w:themeColor="background1"/>
                <w:sz w:val="20"/>
                <w:szCs w:val="20"/>
              </w:rPr>
              <w:t>% del total del País</w:t>
            </w:r>
          </w:p>
          <w:p w14:paraId="13556E72" w14:textId="77777777" w:rsidR="0004071A" w:rsidRPr="009A27ED" w:rsidRDefault="0004071A" w:rsidP="00690298">
            <w:pPr>
              <w:pStyle w:val="Sinespaciado"/>
              <w:jc w:val="center"/>
              <w:rPr>
                <w:rFonts w:eastAsia="Times New Roman"/>
                <w:b/>
                <w:color w:val="FFFFFF" w:themeColor="background1"/>
                <w:sz w:val="20"/>
                <w:szCs w:val="20"/>
              </w:rPr>
            </w:pPr>
            <w:r w:rsidRPr="009A27ED">
              <w:rPr>
                <w:rFonts w:eastAsia="Times New Roman"/>
                <w:b/>
                <w:color w:val="FFFFFF" w:themeColor="background1"/>
                <w:sz w:val="20"/>
                <w:szCs w:val="20"/>
              </w:rPr>
              <w:t>2012</w:t>
            </w:r>
          </w:p>
        </w:tc>
        <w:tc>
          <w:tcPr>
            <w:tcW w:w="996" w:type="dxa"/>
            <w:shd w:val="clear" w:color="auto" w:fill="0070C0"/>
            <w:noWrap/>
            <w:hideMark/>
          </w:tcPr>
          <w:p w14:paraId="4F7AB8AC" w14:textId="77777777" w:rsidR="0004071A" w:rsidRPr="009A27ED" w:rsidRDefault="0004071A" w:rsidP="00690298">
            <w:pPr>
              <w:pStyle w:val="Sinespaciado"/>
              <w:jc w:val="center"/>
              <w:rPr>
                <w:rFonts w:eastAsia="Times New Roman"/>
                <w:b/>
                <w:color w:val="FFFFFF" w:themeColor="background1"/>
                <w:sz w:val="20"/>
                <w:szCs w:val="20"/>
              </w:rPr>
            </w:pPr>
            <w:r w:rsidRPr="009A27ED">
              <w:rPr>
                <w:rFonts w:eastAsia="Times New Roman"/>
                <w:b/>
                <w:color w:val="FFFFFF" w:themeColor="background1"/>
                <w:sz w:val="20"/>
                <w:szCs w:val="20"/>
              </w:rPr>
              <w:t>Cambio Neto</w:t>
            </w:r>
          </w:p>
        </w:tc>
      </w:tr>
      <w:tr w:rsidR="0004071A" w:rsidRPr="009A27ED" w14:paraId="151387F8" w14:textId="77777777" w:rsidTr="00690298">
        <w:trPr>
          <w:trHeight w:val="300"/>
          <w:jc w:val="center"/>
        </w:trPr>
        <w:tc>
          <w:tcPr>
            <w:tcW w:w="2055" w:type="dxa"/>
            <w:noWrap/>
            <w:hideMark/>
          </w:tcPr>
          <w:p w14:paraId="7B6A6CF6" w14:textId="77777777" w:rsidR="0004071A" w:rsidRPr="009A27ED" w:rsidRDefault="0004071A" w:rsidP="00AF66E5">
            <w:pPr>
              <w:pStyle w:val="Sinespaciado"/>
              <w:rPr>
                <w:rFonts w:eastAsia="Times New Roman"/>
                <w:color w:val="000000"/>
                <w:sz w:val="20"/>
                <w:szCs w:val="20"/>
              </w:rPr>
            </w:pPr>
            <w:r w:rsidRPr="009A27ED">
              <w:rPr>
                <w:rFonts w:eastAsia="Times New Roman"/>
                <w:color w:val="000000"/>
                <w:sz w:val="20"/>
                <w:szCs w:val="20"/>
              </w:rPr>
              <w:t>Bosque de Coníferas</w:t>
            </w:r>
          </w:p>
        </w:tc>
        <w:tc>
          <w:tcPr>
            <w:tcW w:w="1176" w:type="dxa"/>
            <w:noWrap/>
            <w:hideMark/>
          </w:tcPr>
          <w:p w14:paraId="3CE31539" w14:textId="77777777" w:rsidR="0004071A" w:rsidRPr="009A27ED" w:rsidRDefault="0004071A" w:rsidP="00AF66E5">
            <w:pPr>
              <w:pStyle w:val="Sinespaciado"/>
              <w:rPr>
                <w:rFonts w:eastAsia="Times New Roman"/>
                <w:color w:val="000000"/>
                <w:sz w:val="20"/>
                <w:szCs w:val="20"/>
              </w:rPr>
            </w:pPr>
            <w:r w:rsidRPr="009A27ED">
              <w:rPr>
                <w:rFonts w:eastAsia="Times New Roman"/>
                <w:color w:val="000000"/>
                <w:sz w:val="20"/>
                <w:szCs w:val="20"/>
              </w:rPr>
              <w:t>300,247</w:t>
            </w:r>
          </w:p>
        </w:tc>
        <w:tc>
          <w:tcPr>
            <w:tcW w:w="1230" w:type="dxa"/>
            <w:noWrap/>
            <w:hideMark/>
          </w:tcPr>
          <w:p w14:paraId="6EB20F49" w14:textId="77777777" w:rsidR="0004071A" w:rsidRPr="009A27ED" w:rsidRDefault="0004071A" w:rsidP="00AF66E5">
            <w:pPr>
              <w:pStyle w:val="Sinespaciado"/>
              <w:rPr>
                <w:rFonts w:eastAsia="Times New Roman"/>
                <w:color w:val="000000"/>
                <w:sz w:val="20"/>
                <w:szCs w:val="20"/>
              </w:rPr>
            </w:pPr>
            <w:r w:rsidRPr="009A27ED">
              <w:rPr>
                <w:rFonts w:eastAsia="Times New Roman"/>
                <w:color w:val="000000"/>
                <w:sz w:val="20"/>
                <w:szCs w:val="20"/>
              </w:rPr>
              <w:t>6.23%</w:t>
            </w:r>
          </w:p>
        </w:tc>
        <w:tc>
          <w:tcPr>
            <w:tcW w:w="1176" w:type="dxa"/>
            <w:noWrap/>
            <w:hideMark/>
          </w:tcPr>
          <w:p w14:paraId="40014CB8" w14:textId="77777777" w:rsidR="0004071A" w:rsidRPr="009A27ED" w:rsidRDefault="0004071A" w:rsidP="00AF66E5">
            <w:pPr>
              <w:pStyle w:val="Sinespaciado"/>
              <w:rPr>
                <w:rFonts w:eastAsia="Times New Roman"/>
                <w:color w:val="000000"/>
                <w:sz w:val="20"/>
                <w:szCs w:val="20"/>
              </w:rPr>
            </w:pPr>
            <w:r w:rsidRPr="009A27ED">
              <w:rPr>
                <w:rFonts w:eastAsia="Times New Roman"/>
                <w:color w:val="000000"/>
                <w:sz w:val="20"/>
                <w:szCs w:val="20"/>
              </w:rPr>
              <w:t>331,287</w:t>
            </w:r>
          </w:p>
        </w:tc>
        <w:tc>
          <w:tcPr>
            <w:tcW w:w="1170" w:type="dxa"/>
            <w:noWrap/>
            <w:hideMark/>
          </w:tcPr>
          <w:p w14:paraId="0CE90996" w14:textId="77777777" w:rsidR="0004071A" w:rsidRPr="009A27ED" w:rsidRDefault="0004071A" w:rsidP="00AF66E5">
            <w:pPr>
              <w:pStyle w:val="Sinespaciado"/>
              <w:rPr>
                <w:rFonts w:eastAsia="Times New Roman"/>
                <w:color w:val="000000"/>
                <w:sz w:val="20"/>
                <w:szCs w:val="20"/>
              </w:rPr>
            </w:pPr>
            <w:r w:rsidRPr="009A27ED">
              <w:rPr>
                <w:rFonts w:eastAsia="Times New Roman"/>
                <w:color w:val="000000"/>
                <w:sz w:val="20"/>
                <w:szCs w:val="20"/>
              </w:rPr>
              <w:t>6.87%</w:t>
            </w:r>
          </w:p>
        </w:tc>
        <w:tc>
          <w:tcPr>
            <w:tcW w:w="996" w:type="dxa"/>
            <w:noWrap/>
            <w:hideMark/>
          </w:tcPr>
          <w:p w14:paraId="632171B1" w14:textId="77777777" w:rsidR="0004071A" w:rsidRPr="009A27ED" w:rsidRDefault="0004071A" w:rsidP="00AF66E5">
            <w:pPr>
              <w:pStyle w:val="Sinespaciado"/>
              <w:rPr>
                <w:rFonts w:eastAsia="Times New Roman"/>
                <w:color w:val="000000"/>
                <w:sz w:val="20"/>
                <w:szCs w:val="20"/>
              </w:rPr>
            </w:pPr>
            <w:r w:rsidRPr="009A27ED">
              <w:rPr>
                <w:rFonts w:eastAsia="Times New Roman"/>
                <w:color w:val="000000"/>
                <w:sz w:val="20"/>
                <w:szCs w:val="20"/>
              </w:rPr>
              <w:t>31,040</w:t>
            </w:r>
          </w:p>
        </w:tc>
      </w:tr>
      <w:tr w:rsidR="0004071A" w:rsidRPr="009A27ED" w14:paraId="61221B4B" w14:textId="77777777" w:rsidTr="00690298">
        <w:trPr>
          <w:trHeight w:val="300"/>
          <w:jc w:val="center"/>
        </w:trPr>
        <w:tc>
          <w:tcPr>
            <w:tcW w:w="2055" w:type="dxa"/>
            <w:noWrap/>
            <w:hideMark/>
          </w:tcPr>
          <w:p w14:paraId="2953E174" w14:textId="77777777" w:rsidR="0004071A" w:rsidRPr="009A27ED" w:rsidRDefault="0004071A" w:rsidP="00AF66E5">
            <w:pPr>
              <w:pStyle w:val="Sinespaciado"/>
              <w:rPr>
                <w:rFonts w:eastAsia="Times New Roman"/>
                <w:color w:val="000000"/>
                <w:sz w:val="20"/>
                <w:szCs w:val="20"/>
              </w:rPr>
            </w:pPr>
            <w:r w:rsidRPr="009A27ED">
              <w:rPr>
                <w:rFonts w:eastAsia="Times New Roman"/>
                <w:color w:val="000000"/>
                <w:sz w:val="20"/>
                <w:szCs w:val="20"/>
              </w:rPr>
              <w:t>Bosque de Latifoliadas</w:t>
            </w:r>
          </w:p>
        </w:tc>
        <w:tc>
          <w:tcPr>
            <w:tcW w:w="1176" w:type="dxa"/>
            <w:noWrap/>
            <w:hideMark/>
          </w:tcPr>
          <w:p w14:paraId="11FCE700" w14:textId="77777777" w:rsidR="0004071A" w:rsidRPr="009A27ED" w:rsidRDefault="0004071A" w:rsidP="00AF66E5">
            <w:pPr>
              <w:pStyle w:val="Sinespaciado"/>
              <w:rPr>
                <w:rFonts w:eastAsia="Times New Roman"/>
                <w:color w:val="000000"/>
                <w:sz w:val="20"/>
                <w:szCs w:val="20"/>
              </w:rPr>
            </w:pPr>
            <w:r w:rsidRPr="009A27ED">
              <w:rPr>
                <w:rFonts w:eastAsia="Times New Roman"/>
                <w:color w:val="000000"/>
                <w:sz w:val="20"/>
                <w:szCs w:val="20"/>
              </w:rPr>
              <w:t>635,793</w:t>
            </w:r>
          </w:p>
        </w:tc>
        <w:tc>
          <w:tcPr>
            <w:tcW w:w="1230" w:type="dxa"/>
            <w:noWrap/>
            <w:hideMark/>
          </w:tcPr>
          <w:p w14:paraId="2E36A5E5" w14:textId="77777777" w:rsidR="0004071A" w:rsidRPr="009A27ED" w:rsidRDefault="0004071A" w:rsidP="00AF66E5">
            <w:pPr>
              <w:pStyle w:val="Sinespaciado"/>
              <w:rPr>
                <w:rFonts w:eastAsia="Times New Roman"/>
                <w:color w:val="000000"/>
                <w:sz w:val="20"/>
                <w:szCs w:val="20"/>
              </w:rPr>
            </w:pPr>
            <w:r w:rsidRPr="009A27ED">
              <w:rPr>
                <w:rFonts w:eastAsia="Times New Roman"/>
                <w:color w:val="000000"/>
                <w:sz w:val="20"/>
                <w:szCs w:val="20"/>
              </w:rPr>
              <w:t>13.18%</w:t>
            </w:r>
          </w:p>
        </w:tc>
        <w:tc>
          <w:tcPr>
            <w:tcW w:w="1176" w:type="dxa"/>
            <w:noWrap/>
            <w:hideMark/>
          </w:tcPr>
          <w:p w14:paraId="01871331" w14:textId="77777777" w:rsidR="0004071A" w:rsidRPr="009A27ED" w:rsidRDefault="0004071A" w:rsidP="00AF66E5">
            <w:pPr>
              <w:pStyle w:val="Sinespaciado"/>
              <w:rPr>
                <w:rFonts w:eastAsia="Times New Roman"/>
                <w:color w:val="000000"/>
                <w:sz w:val="20"/>
                <w:szCs w:val="20"/>
              </w:rPr>
            </w:pPr>
            <w:r w:rsidRPr="009A27ED">
              <w:rPr>
                <w:rFonts w:eastAsia="Times New Roman"/>
                <w:color w:val="000000"/>
                <w:sz w:val="20"/>
                <w:szCs w:val="20"/>
              </w:rPr>
              <w:t>104,5130</w:t>
            </w:r>
          </w:p>
        </w:tc>
        <w:tc>
          <w:tcPr>
            <w:tcW w:w="1170" w:type="dxa"/>
            <w:noWrap/>
            <w:hideMark/>
          </w:tcPr>
          <w:p w14:paraId="35F7FFD7" w14:textId="77777777" w:rsidR="0004071A" w:rsidRPr="009A27ED" w:rsidRDefault="0004071A" w:rsidP="00AF66E5">
            <w:pPr>
              <w:pStyle w:val="Sinespaciado"/>
              <w:rPr>
                <w:rFonts w:eastAsia="Times New Roman"/>
                <w:color w:val="000000"/>
                <w:sz w:val="20"/>
                <w:szCs w:val="20"/>
              </w:rPr>
            </w:pPr>
            <w:r w:rsidRPr="009A27ED">
              <w:rPr>
                <w:rFonts w:eastAsia="Times New Roman"/>
                <w:color w:val="000000"/>
                <w:sz w:val="20"/>
                <w:szCs w:val="20"/>
              </w:rPr>
              <w:t>21.67%</w:t>
            </w:r>
          </w:p>
        </w:tc>
        <w:tc>
          <w:tcPr>
            <w:tcW w:w="996" w:type="dxa"/>
            <w:noWrap/>
            <w:hideMark/>
          </w:tcPr>
          <w:p w14:paraId="061EA810" w14:textId="77777777" w:rsidR="0004071A" w:rsidRPr="009A27ED" w:rsidRDefault="0004071A" w:rsidP="00AF66E5">
            <w:pPr>
              <w:pStyle w:val="Sinespaciado"/>
              <w:rPr>
                <w:rFonts w:eastAsia="Times New Roman"/>
                <w:color w:val="000000"/>
                <w:sz w:val="20"/>
                <w:szCs w:val="20"/>
              </w:rPr>
            </w:pPr>
            <w:r w:rsidRPr="009A27ED">
              <w:rPr>
                <w:rFonts w:eastAsia="Times New Roman"/>
                <w:color w:val="000000"/>
                <w:sz w:val="20"/>
                <w:szCs w:val="20"/>
              </w:rPr>
              <w:t>409,337</w:t>
            </w:r>
          </w:p>
        </w:tc>
      </w:tr>
      <w:tr w:rsidR="0004071A" w:rsidRPr="009A27ED" w14:paraId="6ABD8BFF" w14:textId="77777777" w:rsidTr="00690298">
        <w:trPr>
          <w:trHeight w:val="300"/>
          <w:jc w:val="center"/>
        </w:trPr>
        <w:tc>
          <w:tcPr>
            <w:tcW w:w="2055" w:type="dxa"/>
            <w:noWrap/>
            <w:hideMark/>
          </w:tcPr>
          <w:p w14:paraId="747DEFE6" w14:textId="77777777" w:rsidR="0004071A" w:rsidRPr="009A27ED" w:rsidRDefault="0004071A" w:rsidP="00AF66E5">
            <w:pPr>
              <w:pStyle w:val="Sinespaciado"/>
              <w:rPr>
                <w:rFonts w:eastAsia="Times New Roman"/>
                <w:color w:val="000000"/>
                <w:sz w:val="20"/>
                <w:szCs w:val="20"/>
              </w:rPr>
            </w:pPr>
            <w:r w:rsidRPr="009A27ED">
              <w:rPr>
                <w:rFonts w:eastAsia="Times New Roman"/>
                <w:color w:val="000000"/>
                <w:sz w:val="20"/>
                <w:szCs w:val="20"/>
              </w:rPr>
              <w:t>Bosque Seco</w:t>
            </w:r>
          </w:p>
        </w:tc>
        <w:tc>
          <w:tcPr>
            <w:tcW w:w="1176" w:type="dxa"/>
            <w:noWrap/>
            <w:hideMark/>
          </w:tcPr>
          <w:p w14:paraId="1E693ABA" w14:textId="77777777" w:rsidR="0004071A" w:rsidRPr="009A27ED" w:rsidRDefault="0004071A" w:rsidP="00AF66E5">
            <w:pPr>
              <w:pStyle w:val="Sinespaciado"/>
              <w:rPr>
                <w:rFonts w:eastAsia="Times New Roman"/>
                <w:color w:val="000000"/>
                <w:sz w:val="20"/>
                <w:szCs w:val="20"/>
              </w:rPr>
            </w:pPr>
            <w:r w:rsidRPr="009A27ED">
              <w:rPr>
                <w:rFonts w:eastAsia="Times New Roman"/>
                <w:color w:val="000000"/>
                <w:sz w:val="20"/>
                <w:szCs w:val="20"/>
              </w:rPr>
              <w:t>367,307</w:t>
            </w:r>
          </w:p>
        </w:tc>
        <w:tc>
          <w:tcPr>
            <w:tcW w:w="1230" w:type="dxa"/>
            <w:noWrap/>
            <w:hideMark/>
          </w:tcPr>
          <w:p w14:paraId="45FEA1E6" w14:textId="77777777" w:rsidR="0004071A" w:rsidRPr="009A27ED" w:rsidRDefault="0004071A" w:rsidP="00AF66E5">
            <w:pPr>
              <w:pStyle w:val="Sinespaciado"/>
              <w:rPr>
                <w:rFonts w:eastAsia="Times New Roman"/>
                <w:color w:val="000000"/>
                <w:sz w:val="20"/>
                <w:szCs w:val="20"/>
              </w:rPr>
            </w:pPr>
            <w:r w:rsidRPr="009A27ED">
              <w:rPr>
                <w:rFonts w:eastAsia="Times New Roman"/>
                <w:color w:val="000000"/>
                <w:sz w:val="20"/>
                <w:szCs w:val="20"/>
              </w:rPr>
              <w:t>7.62%</w:t>
            </w:r>
          </w:p>
        </w:tc>
        <w:tc>
          <w:tcPr>
            <w:tcW w:w="1176" w:type="dxa"/>
            <w:noWrap/>
            <w:hideMark/>
          </w:tcPr>
          <w:p w14:paraId="5495D476" w14:textId="77777777" w:rsidR="0004071A" w:rsidRPr="009A27ED" w:rsidRDefault="0004071A" w:rsidP="00AF66E5">
            <w:pPr>
              <w:pStyle w:val="Sinespaciado"/>
              <w:rPr>
                <w:rFonts w:eastAsia="Times New Roman"/>
                <w:color w:val="000000"/>
                <w:sz w:val="20"/>
                <w:szCs w:val="20"/>
              </w:rPr>
            </w:pPr>
            <w:r w:rsidRPr="009A27ED">
              <w:rPr>
                <w:rFonts w:eastAsia="Times New Roman"/>
                <w:color w:val="000000"/>
                <w:sz w:val="20"/>
                <w:szCs w:val="20"/>
              </w:rPr>
              <w:t>483,606</w:t>
            </w:r>
          </w:p>
        </w:tc>
        <w:tc>
          <w:tcPr>
            <w:tcW w:w="1170" w:type="dxa"/>
            <w:noWrap/>
            <w:hideMark/>
          </w:tcPr>
          <w:p w14:paraId="13049FE4" w14:textId="77777777" w:rsidR="0004071A" w:rsidRPr="009A27ED" w:rsidRDefault="0004071A" w:rsidP="00AF66E5">
            <w:pPr>
              <w:pStyle w:val="Sinespaciado"/>
              <w:rPr>
                <w:rFonts w:eastAsia="Times New Roman"/>
                <w:color w:val="000000"/>
                <w:sz w:val="20"/>
                <w:szCs w:val="20"/>
              </w:rPr>
            </w:pPr>
            <w:r w:rsidRPr="009A27ED">
              <w:rPr>
                <w:rFonts w:eastAsia="Times New Roman"/>
                <w:color w:val="000000"/>
                <w:sz w:val="20"/>
                <w:szCs w:val="20"/>
              </w:rPr>
              <w:t>10.03%</w:t>
            </w:r>
          </w:p>
        </w:tc>
        <w:tc>
          <w:tcPr>
            <w:tcW w:w="996" w:type="dxa"/>
            <w:noWrap/>
            <w:hideMark/>
          </w:tcPr>
          <w:p w14:paraId="3376AC52" w14:textId="77777777" w:rsidR="0004071A" w:rsidRPr="009A27ED" w:rsidRDefault="0004071A" w:rsidP="00AF66E5">
            <w:pPr>
              <w:pStyle w:val="Sinespaciado"/>
              <w:rPr>
                <w:rFonts w:eastAsia="Times New Roman"/>
                <w:color w:val="000000"/>
                <w:sz w:val="20"/>
                <w:szCs w:val="20"/>
              </w:rPr>
            </w:pPr>
            <w:r w:rsidRPr="009A27ED">
              <w:rPr>
                <w:rFonts w:eastAsia="Times New Roman"/>
                <w:color w:val="000000"/>
                <w:sz w:val="20"/>
                <w:szCs w:val="20"/>
              </w:rPr>
              <w:t>116,299</w:t>
            </w:r>
          </w:p>
        </w:tc>
      </w:tr>
      <w:tr w:rsidR="0004071A" w:rsidRPr="009A27ED" w14:paraId="6735FAC2" w14:textId="77777777" w:rsidTr="00690298">
        <w:trPr>
          <w:trHeight w:val="300"/>
          <w:jc w:val="center"/>
        </w:trPr>
        <w:tc>
          <w:tcPr>
            <w:tcW w:w="2055" w:type="dxa"/>
            <w:noWrap/>
            <w:hideMark/>
          </w:tcPr>
          <w:p w14:paraId="04B0970C" w14:textId="77777777" w:rsidR="0004071A" w:rsidRPr="009A27ED" w:rsidRDefault="0004071A" w:rsidP="00AF66E5">
            <w:pPr>
              <w:pStyle w:val="Sinespaciado"/>
              <w:rPr>
                <w:rFonts w:eastAsia="Times New Roman"/>
                <w:color w:val="000000"/>
                <w:sz w:val="20"/>
                <w:szCs w:val="20"/>
              </w:rPr>
            </w:pPr>
            <w:r w:rsidRPr="009A27ED">
              <w:rPr>
                <w:rFonts w:eastAsia="Times New Roman"/>
                <w:color w:val="000000"/>
                <w:sz w:val="20"/>
                <w:szCs w:val="20"/>
              </w:rPr>
              <w:t>Bosque de Humedales</w:t>
            </w:r>
          </w:p>
        </w:tc>
        <w:tc>
          <w:tcPr>
            <w:tcW w:w="1176" w:type="dxa"/>
            <w:noWrap/>
            <w:hideMark/>
          </w:tcPr>
          <w:p w14:paraId="059F5FEF" w14:textId="77777777" w:rsidR="0004071A" w:rsidRPr="009A27ED" w:rsidRDefault="0004071A" w:rsidP="00AF66E5">
            <w:pPr>
              <w:pStyle w:val="Sinespaciado"/>
              <w:rPr>
                <w:rFonts w:eastAsia="Times New Roman"/>
                <w:color w:val="000000"/>
                <w:sz w:val="20"/>
                <w:szCs w:val="20"/>
              </w:rPr>
            </w:pPr>
            <w:r w:rsidRPr="009A27ED">
              <w:rPr>
                <w:rFonts w:eastAsia="Times New Roman"/>
                <w:color w:val="000000"/>
                <w:sz w:val="20"/>
                <w:szCs w:val="20"/>
              </w:rPr>
              <w:t>27,680</w:t>
            </w:r>
          </w:p>
        </w:tc>
        <w:tc>
          <w:tcPr>
            <w:tcW w:w="1230" w:type="dxa"/>
            <w:noWrap/>
            <w:hideMark/>
          </w:tcPr>
          <w:p w14:paraId="4E300C9F" w14:textId="77777777" w:rsidR="0004071A" w:rsidRPr="009A27ED" w:rsidRDefault="0004071A" w:rsidP="00AF66E5">
            <w:pPr>
              <w:pStyle w:val="Sinespaciado"/>
              <w:rPr>
                <w:rFonts w:eastAsia="Times New Roman"/>
                <w:color w:val="000000"/>
                <w:sz w:val="20"/>
                <w:szCs w:val="20"/>
              </w:rPr>
            </w:pPr>
            <w:r w:rsidRPr="009A27ED">
              <w:rPr>
                <w:rFonts w:eastAsia="Times New Roman"/>
                <w:color w:val="000000"/>
                <w:sz w:val="20"/>
                <w:szCs w:val="20"/>
              </w:rPr>
              <w:t>0.57%</w:t>
            </w:r>
          </w:p>
        </w:tc>
        <w:tc>
          <w:tcPr>
            <w:tcW w:w="1176" w:type="dxa"/>
            <w:noWrap/>
            <w:hideMark/>
          </w:tcPr>
          <w:p w14:paraId="2460FD77" w14:textId="77777777" w:rsidR="0004071A" w:rsidRPr="009A27ED" w:rsidRDefault="0004071A" w:rsidP="00AF66E5">
            <w:pPr>
              <w:pStyle w:val="Sinespaciado"/>
              <w:rPr>
                <w:rFonts w:eastAsia="Times New Roman"/>
                <w:color w:val="000000"/>
                <w:sz w:val="20"/>
                <w:szCs w:val="20"/>
              </w:rPr>
            </w:pPr>
            <w:r w:rsidRPr="009A27ED">
              <w:rPr>
                <w:rFonts w:eastAsia="Times New Roman"/>
                <w:color w:val="000000"/>
                <w:sz w:val="20"/>
                <w:szCs w:val="20"/>
              </w:rPr>
              <w:t>31,112</w:t>
            </w:r>
          </w:p>
        </w:tc>
        <w:tc>
          <w:tcPr>
            <w:tcW w:w="1170" w:type="dxa"/>
            <w:noWrap/>
            <w:hideMark/>
          </w:tcPr>
          <w:p w14:paraId="37E87F92" w14:textId="77777777" w:rsidR="0004071A" w:rsidRPr="009A27ED" w:rsidRDefault="0004071A" w:rsidP="00AF66E5">
            <w:pPr>
              <w:pStyle w:val="Sinespaciado"/>
              <w:rPr>
                <w:rFonts w:eastAsia="Times New Roman"/>
                <w:color w:val="000000"/>
                <w:sz w:val="20"/>
                <w:szCs w:val="20"/>
              </w:rPr>
            </w:pPr>
            <w:r w:rsidRPr="009A27ED">
              <w:rPr>
                <w:rFonts w:eastAsia="Times New Roman"/>
                <w:color w:val="000000"/>
                <w:sz w:val="20"/>
                <w:szCs w:val="20"/>
              </w:rPr>
              <w:t>0.65%</w:t>
            </w:r>
          </w:p>
        </w:tc>
        <w:tc>
          <w:tcPr>
            <w:tcW w:w="996" w:type="dxa"/>
            <w:noWrap/>
            <w:hideMark/>
          </w:tcPr>
          <w:p w14:paraId="6D72C67F" w14:textId="77777777" w:rsidR="0004071A" w:rsidRPr="009A27ED" w:rsidRDefault="0004071A" w:rsidP="00AF66E5">
            <w:pPr>
              <w:pStyle w:val="Sinespaciado"/>
              <w:rPr>
                <w:rFonts w:eastAsia="Times New Roman"/>
                <w:color w:val="000000"/>
                <w:sz w:val="20"/>
                <w:szCs w:val="20"/>
              </w:rPr>
            </w:pPr>
            <w:r w:rsidRPr="009A27ED">
              <w:rPr>
                <w:rFonts w:eastAsia="Times New Roman"/>
                <w:color w:val="000000"/>
                <w:sz w:val="20"/>
                <w:szCs w:val="20"/>
              </w:rPr>
              <w:t>3,432</w:t>
            </w:r>
          </w:p>
        </w:tc>
      </w:tr>
      <w:tr w:rsidR="007C02A2" w:rsidRPr="009A27ED" w14:paraId="55A89650" w14:textId="77777777" w:rsidTr="00690298">
        <w:trPr>
          <w:trHeight w:val="300"/>
          <w:jc w:val="center"/>
        </w:trPr>
        <w:tc>
          <w:tcPr>
            <w:tcW w:w="2055" w:type="dxa"/>
            <w:noWrap/>
            <w:hideMark/>
          </w:tcPr>
          <w:p w14:paraId="1CE1D1CD" w14:textId="77777777" w:rsidR="0004071A" w:rsidRPr="009A27ED" w:rsidRDefault="0004071A" w:rsidP="00AF66E5">
            <w:pPr>
              <w:pStyle w:val="Sinespaciado"/>
              <w:rPr>
                <w:rFonts w:eastAsia="Times New Roman"/>
                <w:sz w:val="20"/>
                <w:szCs w:val="20"/>
              </w:rPr>
            </w:pPr>
          </w:p>
        </w:tc>
        <w:tc>
          <w:tcPr>
            <w:tcW w:w="1176" w:type="dxa"/>
            <w:noWrap/>
            <w:hideMark/>
          </w:tcPr>
          <w:p w14:paraId="1E3A597A" w14:textId="77777777" w:rsidR="0004071A" w:rsidRPr="009A27ED" w:rsidRDefault="0004071A" w:rsidP="00AF66E5">
            <w:pPr>
              <w:pStyle w:val="Sinespaciado"/>
              <w:rPr>
                <w:rFonts w:eastAsia="Times New Roman"/>
                <w:b/>
                <w:bCs/>
                <w:sz w:val="20"/>
                <w:szCs w:val="20"/>
              </w:rPr>
            </w:pPr>
            <w:r w:rsidRPr="009A27ED">
              <w:rPr>
                <w:rFonts w:eastAsia="Times New Roman"/>
                <w:b/>
                <w:bCs/>
                <w:sz w:val="20"/>
                <w:szCs w:val="20"/>
              </w:rPr>
              <w:t>1,331,027</w:t>
            </w:r>
          </w:p>
        </w:tc>
        <w:tc>
          <w:tcPr>
            <w:tcW w:w="1230" w:type="dxa"/>
            <w:noWrap/>
            <w:hideMark/>
          </w:tcPr>
          <w:p w14:paraId="3F87530B" w14:textId="77777777" w:rsidR="0004071A" w:rsidRPr="009A27ED" w:rsidRDefault="0004071A" w:rsidP="00AF66E5">
            <w:pPr>
              <w:pStyle w:val="Sinespaciado"/>
              <w:rPr>
                <w:rFonts w:eastAsia="Times New Roman"/>
                <w:b/>
                <w:bCs/>
                <w:sz w:val="20"/>
                <w:szCs w:val="20"/>
              </w:rPr>
            </w:pPr>
            <w:r w:rsidRPr="009A27ED">
              <w:rPr>
                <w:rFonts w:eastAsia="Times New Roman"/>
                <w:b/>
                <w:bCs/>
                <w:sz w:val="20"/>
                <w:szCs w:val="20"/>
              </w:rPr>
              <w:t>27.60%</w:t>
            </w:r>
          </w:p>
        </w:tc>
        <w:tc>
          <w:tcPr>
            <w:tcW w:w="1176" w:type="dxa"/>
            <w:noWrap/>
            <w:hideMark/>
          </w:tcPr>
          <w:p w14:paraId="4589AFE7" w14:textId="77777777" w:rsidR="0004071A" w:rsidRPr="009A27ED" w:rsidRDefault="0004071A" w:rsidP="00AF66E5">
            <w:pPr>
              <w:pStyle w:val="Sinespaciado"/>
              <w:rPr>
                <w:rFonts w:eastAsia="Times New Roman"/>
                <w:b/>
                <w:bCs/>
                <w:sz w:val="20"/>
                <w:szCs w:val="20"/>
              </w:rPr>
            </w:pPr>
            <w:r w:rsidRPr="009A27ED">
              <w:rPr>
                <w:rFonts w:eastAsia="Times New Roman"/>
                <w:b/>
                <w:bCs/>
                <w:sz w:val="20"/>
                <w:szCs w:val="20"/>
              </w:rPr>
              <w:t>1,891,135</w:t>
            </w:r>
          </w:p>
        </w:tc>
        <w:tc>
          <w:tcPr>
            <w:tcW w:w="1170" w:type="dxa"/>
            <w:noWrap/>
            <w:hideMark/>
          </w:tcPr>
          <w:p w14:paraId="4E2E01C4" w14:textId="77777777" w:rsidR="0004071A" w:rsidRPr="009A27ED" w:rsidRDefault="0004071A" w:rsidP="00AF66E5">
            <w:pPr>
              <w:pStyle w:val="Sinespaciado"/>
              <w:rPr>
                <w:rFonts w:eastAsia="Times New Roman"/>
                <w:b/>
                <w:bCs/>
                <w:sz w:val="20"/>
                <w:szCs w:val="20"/>
              </w:rPr>
            </w:pPr>
            <w:r w:rsidRPr="009A27ED">
              <w:rPr>
                <w:rFonts w:eastAsia="Times New Roman"/>
                <w:b/>
                <w:bCs/>
                <w:sz w:val="20"/>
                <w:szCs w:val="20"/>
              </w:rPr>
              <w:t>39.21%</w:t>
            </w:r>
          </w:p>
        </w:tc>
        <w:tc>
          <w:tcPr>
            <w:tcW w:w="996" w:type="dxa"/>
            <w:noWrap/>
            <w:hideMark/>
          </w:tcPr>
          <w:p w14:paraId="560695AB" w14:textId="77777777" w:rsidR="0004071A" w:rsidRPr="009A27ED" w:rsidRDefault="0004071A" w:rsidP="00B160DC">
            <w:pPr>
              <w:pStyle w:val="Sinespaciado"/>
              <w:keepNext/>
              <w:rPr>
                <w:rFonts w:eastAsia="Times New Roman"/>
                <w:b/>
                <w:bCs/>
                <w:sz w:val="20"/>
                <w:szCs w:val="20"/>
              </w:rPr>
            </w:pPr>
            <w:r w:rsidRPr="009A27ED">
              <w:rPr>
                <w:rFonts w:eastAsia="Times New Roman"/>
                <w:b/>
                <w:bCs/>
                <w:sz w:val="20"/>
                <w:szCs w:val="20"/>
              </w:rPr>
              <w:t>560,108</w:t>
            </w:r>
          </w:p>
        </w:tc>
      </w:tr>
    </w:tbl>
    <w:p w14:paraId="481A30CD" w14:textId="5533A93C" w:rsidR="0004071A" w:rsidRPr="009A27ED" w:rsidRDefault="0004071A" w:rsidP="00C27962">
      <w:pPr>
        <w:pStyle w:val="Sinespaciado"/>
        <w:spacing w:line="360" w:lineRule="auto"/>
        <w:rPr>
          <w:color w:val="000000" w:themeColor="text1"/>
          <w:sz w:val="20"/>
        </w:rPr>
      </w:pPr>
      <w:r w:rsidRPr="009A27ED">
        <w:rPr>
          <w:rFonts w:ascii="Times New Roman" w:eastAsia="Times New Roman" w:hAnsi="Times New Roman"/>
          <w:color w:val="000000" w:themeColor="text1"/>
          <w:sz w:val="24"/>
        </w:rPr>
        <w:t>Fuente: Ministerio de Medio Ambiente</w:t>
      </w:r>
      <w:bookmarkEnd w:id="159"/>
    </w:p>
    <w:p w14:paraId="39F03751" w14:textId="77777777" w:rsidR="00D12F9D" w:rsidRPr="009A27ED" w:rsidRDefault="00D12F9D" w:rsidP="00C27962">
      <w:pPr>
        <w:pStyle w:val="Sinespaciado"/>
        <w:spacing w:line="360" w:lineRule="auto"/>
        <w:rPr>
          <w:color w:val="000000" w:themeColor="text1"/>
          <w:sz w:val="20"/>
        </w:rPr>
      </w:pPr>
    </w:p>
    <w:p w14:paraId="2FCF05D6" w14:textId="4308679E" w:rsidR="0004071A" w:rsidRPr="009A27ED" w:rsidRDefault="0004071A" w:rsidP="00E67CB0">
      <w:pPr>
        <w:pStyle w:val="Textoindependiente2"/>
        <w:numPr>
          <w:ilvl w:val="0"/>
          <w:numId w:val="295"/>
        </w:numPr>
        <w:spacing w:before="120" w:after="0" w:line="360" w:lineRule="auto"/>
        <w:rPr>
          <w:rFonts w:asciiTheme="minorHAnsi" w:hAnsiTheme="minorHAnsi" w:cstheme="minorHAnsi"/>
          <w:b/>
          <w:szCs w:val="22"/>
          <w:lang w:val="es-GT"/>
        </w:rPr>
      </w:pPr>
      <w:r w:rsidRPr="009A27ED">
        <w:rPr>
          <w:rFonts w:asciiTheme="minorHAnsi" w:hAnsiTheme="minorHAnsi" w:cstheme="minorHAnsi"/>
          <w:b/>
          <w:sz w:val="24"/>
          <w:szCs w:val="22"/>
          <w:lang w:val="es-GT"/>
        </w:rPr>
        <w:t>Incendios Forestales</w:t>
      </w:r>
    </w:p>
    <w:p w14:paraId="341FA2A8" w14:textId="5D3E3CC1" w:rsidR="0004071A" w:rsidRPr="009A27ED" w:rsidRDefault="0004071A" w:rsidP="005B6485">
      <w:pPr>
        <w:pStyle w:val="Sinespaciado"/>
        <w:spacing w:before="120" w:line="360" w:lineRule="auto"/>
      </w:pPr>
      <w:r w:rsidRPr="009A27ED">
        <w:rPr>
          <w:rFonts w:ascii="Times New Roman" w:eastAsia="Times New Roman" w:hAnsi="Times New Roman"/>
          <w:sz w:val="24"/>
        </w:rPr>
        <w:t xml:space="preserve">Los incendios forestales representan una causa significativa de pérdida de cobertura boscosa y, en consecuencia, de degradación de la tierra está representada por </w:t>
      </w:r>
      <w:r w:rsidR="00B160DC" w:rsidRPr="009A27ED">
        <w:rPr>
          <w:rFonts w:ascii="Times New Roman" w:eastAsia="Times New Roman" w:hAnsi="Times New Roman"/>
          <w:sz w:val="24"/>
        </w:rPr>
        <w:t>la ocurrencia</w:t>
      </w:r>
      <w:r w:rsidRPr="009A27ED">
        <w:rPr>
          <w:rFonts w:ascii="Times New Roman" w:eastAsia="Times New Roman" w:hAnsi="Times New Roman"/>
          <w:sz w:val="24"/>
        </w:rPr>
        <w:t xml:space="preserve"> de incendios forestales que cuando se presentan pueden cubrir extensas áreas. Los incendios suelen producirse de forma natural por altas temperaturas en zonas de bosques, pero también por la acción del hombre. </w:t>
      </w:r>
    </w:p>
    <w:p w14:paraId="41F980B1" w14:textId="6ACCA03E" w:rsidR="0004071A" w:rsidRPr="009A27ED" w:rsidRDefault="0004071A" w:rsidP="005B6485">
      <w:pPr>
        <w:pStyle w:val="Sinespaciado"/>
        <w:spacing w:before="120" w:line="360" w:lineRule="auto"/>
      </w:pPr>
      <w:r w:rsidRPr="009A27ED">
        <w:rPr>
          <w:rFonts w:ascii="Times New Roman" w:eastAsia="Times New Roman" w:hAnsi="Times New Roman"/>
          <w:sz w:val="24"/>
        </w:rPr>
        <w:lastRenderedPageBreak/>
        <w:t>Una manera de inferir la posible ocurrencia de estos incendios es a través de mapas de puntos de calor. A nivel municipal, los lugares</w:t>
      </w:r>
      <w:r w:rsidR="00690298" w:rsidRPr="009A27ED">
        <w:rPr>
          <w:rFonts w:ascii="Times New Roman" w:eastAsia="Times New Roman" w:hAnsi="Times New Roman"/>
          <w:sz w:val="24"/>
        </w:rPr>
        <w:t xml:space="preserve"> con puntos de calor </w:t>
      </w:r>
      <w:r w:rsidRPr="009A27ED">
        <w:rPr>
          <w:rFonts w:ascii="Times New Roman" w:eastAsia="Times New Roman" w:hAnsi="Times New Roman"/>
          <w:sz w:val="24"/>
        </w:rPr>
        <w:t xml:space="preserve">más altos son San Juan y Oviedo. </w:t>
      </w:r>
    </w:p>
    <w:p w14:paraId="52DA21AB" w14:textId="13986F67" w:rsidR="0004071A" w:rsidRPr="009A27ED" w:rsidRDefault="0004071A" w:rsidP="00E67CB0">
      <w:pPr>
        <w:pStyle w:val="Sinespaciado"/>
        <w:numPr>
          <w:ilvl w:val="0"/>
          <w:numId w:val="295"/>
        </w:numPr>
        <w:spacing w:before="120" w:line="360" w:lineRule="auto"/>
      </w:pPr>
      <w:r w:rsidRPr="009A27ED">
        <w:rPr>
          <w:rFonts w:ascii="Times New Roman" w:eastAsia="Times New Roman" w:hAnsi="Times New Roman"/>
          <w:b/>
          <w:sz w:val="24"/>
        </w:rPr>
        <w:t>Agricultura Intensiva</w:t>
      </w:r>
    </w:p>
    <w:p w14:paraId="154A8952" w14:textId="0026C43C" w:rsidR="0004071A" w:rsidRPr="009A27ED" w:rsidRDefault="0004071A" w:rsidP="005B6485">
      <w:pPr>
        <w:pStyle w:val="Sinespaciado"/>
        <w:spacing w:before="120" w:line="360" w:lineRule="auto"/>
      </w:pPr>
      <w:r w:rsidRPr="009A27ED">
        <w:rPr>
          <w:rFonts w:ascii="Times New Roman" w:eastAsia="Times New Roman" w:hAnsi="Times New Roman"/>
          <w:sz w:val="24"/>
        </w:rPr>
        <w:t>Otro factor que contribuye a la degradación de los bosques es la agricultura intensiva, evidenciada en la práctica de monocultivos y las áreas bajo riego. La agricultura usa gran cantidad de tierra y consume mucha agua para la producción de alimentos y sus prácticas intensivas pueden degradar la tierra en las próximas décadas posiblemente de manera irreversible (</w:t>
      </w:r>
      <w:proofErr w:type="spellStart"/>
      <w:r w:rsidRPr="009A27ED">
        <w:rPr>
          <w:rFonts w:ascii="Times New Roman" w:eastAsia="Times New Roman" w:hAnsi="Times New Roman"/>
          <w:sz w:val="24"/>
        </w:rPr>
        <w:t>Tilman</w:t>
      </w:r>
      <w:proofErr w:type="spellEnd"/>
      <w:r w:rsidRPr="009A27ED">
        <w:rPr>
          <w:rFonts w:ascii="Times New Roman" w:eastAsia="Times New Roman" w:hAnsi="Times New Roman"/>
          <w:sz w:val="24"/>
        </w:rPr>
        <w:t xml:space="preserve"> </w:t>
      </w:r>
      <w:r w:rsidRPr="009A27ED">
        <w:rPr>
          <w:rFonts w:ascii="Times New Roman" w:eastAsia="Times New Roman" w:hAnsi="Times New Roman"/>
          <w:i/>
          <w:sz w:val="24"/>
        </w:rPr>
        <w:t>et al</w:t>
      </w:r>
      <w:r w:rsidRPr="009A27ED">
        <w:rPr>
          <w:rFonts w:ascii="Times New Roman" w:eastAsia="Times New Roman" w:hAnsi="Times New Roman"/>
          <w:sz w:val="24"/>
        </w:rPr>
        <w:t xml:space="preserve">., 2002). El contenido de carbón orgánico se preservaría mejor con la rotación de cultivos, mientras que en los sistemas de monocultivo continuo existe una menor probabilidad de aumentar o mantener la cantidad y calidad de la materia orgánica del suelo y de mejorar las propiedades químicas y físicas del mismo (Liu </w:t>
      </w:r>
      <w:r w:rsidRPr="009A27ED">
        <w:rPr>
          <w:rFonts w:ascii="Times New Roman" w:eastAsia="Times New Roman" w:hAnsi="Times New Roman"/>
          <w:i/>
          <w:sz w:val="24"/>
        </w:rPr>
        <w:t>et al</w:t>
      </w:r>
      <w:r w:rsidRPr="009A27ED">
        <w:rPr>
          <w:rFonts w:ascii="Times New Roman" w:eastAsia="Times New Roman" w:hAnsi="Times New Roman"/>
          <w:sz w:val="24"/>
        </w:rPr>
        <w:t>., 2006).</w:t>
      </w:r>
    </w:p>
    <w:p w14:paraId="200CE93D" w14:textId="53EDAE60" w:rsidR="0004071A" w:rsidRPr="009A27ED" w:rsidRDefault="0004071A" w:rsidP="005B6485">
      <w:pPr>
        <w:pStyle w:val="Sinespaciado"/>
        <w:spacing w:before="120" w:line="360" w:lineRule="auto"/>
      </w:pPr>
      <w:r w:rsidRPr="009A27ED">
        <w:rPr>
          <w:rFonts w:ascii="Times New Roman" w:eastAsia="Times New Roman" w:hAnsi="Times New Roman"/>
          <w:sz w:val="24"/>
        </w:rPr>
        <w:t xml:space="preserve">De acuerdo con el mapa de Cobertura y Uso de Suelo del año 2012, elaborado por el Ministerio de Medio Ambiente y Recursos Naturales, las tierras bajo de monocultivos, como el arroz, las musáceas, el tabaco, la piña, la caña de azúcar, entre otros, ocupa unas 465,321.6 hectáreas y corresponde a casi al 10% del territorio nacional. </w:t>
      </w:r>
    </w:p>
    <w:p w14:paraId="60476EF7" w14:textId="2F78EE9F" w:rsidR="00690298" w:rsidRPr="009A27ED" w:rsidRDefault="00690298" w:rsidP="00690298">
      <w:pPr>
        <w:pStyle w:val="Sinespaciado"/>
        <w:spacing w:line="360" w:lineRule="auto"/>
      </w:pPr>
    </w:p>
    <w:p w14:paraId="051EC70A" w14:textId="7FB6F3A9" w:rsidR="00690298" w:rsidRPr="009A27ED" w:rsidRDefault="00690298" w:rsidP="00344498">
      <w:pPr>
        <w:pStyle w:val="Ttulo3"/>
        <w:spacing w:line="360" w:lineRule="auto"/>
        <w:jc w:val="both"/>
        <w:rPr>
          <w:b w:val="0"/>
        </w:rPr>
      </w:pPr>
      <w:bookmarkStart w:id="161" w:name="_Toc111837933"/>
      <w:r w:rsidRPr="009A27ED">
        <w:rPr>
          <w:rFonts w:ascii="Times New Roman" w:eastAsia="Times New Roman" w:hAnsi="Times New Roman"/>
          <w:b w:val="0"/>
          <w:sz w:val="24"/>
        </w:rPr>
        <w:t>Caracterización social de las áreas priorizadas</w:t>
      </w:r>
      <w:bookmarkEnd w:id="161"/>
    </w:p>
    <w:p w14:paraId="39AA84F0" w14:textId="26070BC6" w:rsidR="0004071A" w:rsidRPr="009A27ED" w:rsidRDefault="0004071A" w:rsidP="005B6485">
      <w:pPr>
        <w:spacing w:before="120" w:after="0" w:line="360" w:lineRule="auto"/>
        <w:rPr>
          <w:szCs w:val="22"/>
        </w:rPr>
      </w:pPr>
      <w:r w:rsidRPr="009A27ED">
        <w:rPr>
          <w:rFonts w:ascii="Times New Roman" w:eastAsia="Times New Roman" w:hAnsi="Times New Roman"/>
          <w:sz w:val="24"/>
          <w:szCs w:val="22"/>
          <w:lang w:eastAsia="es-DO"/>
        </w:rPr>
        <w:t>Este apartado presenta información de la condición socioeconómica de las áreas priorizadas para REDD</w:t>
      </w:r>
      <w:r w:rsidR="00690298" w:rsidRPr="009A27ED">
        <w:rPr>
          <w:rFonts w:ascii="Times New Roman" w:eastAsia="Times New Roman" w:hAnsi="Times New Roman"/>
          <w:sz w:val="24"/>
          <w:szCs w:val="22"/>
          <w:lang w:eastAsia="es-DO"/>
        </w:rPr>
        <w:t>+</w:t>
      </w:r>
      <w:r w:rsidRPr="009A27ED">
        <w:rPr>
          <w:rFonts w:ascii="Times New Roman" w:eastAsia="Times New Roman" w:hAnsi="Times New Roman"/>
          <w:sz w:val="24"/>
          <w:szCs w:val="22"/>
          <w:lang w:eastAsia="es-DO"/>
        </w:rPr>
        <w:t xml:space="preserve"> en la República Dominicana, </w:t>
      </w:r>
      <w:r w:rsidR="00690298" w:rsidRPr="009A27ED">
        <w:rPr>
          <w:rFonts w:ascii="Times New Roman" w:eastAsia="Times New Roman" w:hAnsi="Times New Roman"/>
          <w:sz w:val="24"/>
          <w:szCs w:val="22"/>
          <w:lang w:eastAsia="es-DO"/>
        </w:rPr>
        <w:t>se enfoca</w:t>
      </w:r>
      <w:r w:rsidRPr="009A27ED">
        <w:rPr>
          <w:rFonts w:ascii="Times New Roman" w:eastAsia="Times New Roman" w:hAnsi="Times New Roman"/>
          <w:sz w:val="24"/>
          <w:szCs w:val="22"/>
          <w:lang w:eastAsia="es-DO"/>
        </w:rPr>
        <w:t xml:space="preserve"> en los niveles de pobreza, ingresos per cápita y relación entre la migración y la pobreza, señalando aquellas áreas priorizadas en las que se encuentra más concentrada. Luego se analizan las actividades económicas en las cinco áreas priorizadas. </w:t>
      </w:r>
      <w:r w:rsidRPr="009A27ED">
        <w:rPr>
          <w:rFonts w:ascii="Times New Roman" w:eastAsia="Times New Roman" w:hAnsi="Times New Roman"/>
          <w:bCs/>
          <w:sz w:val="24"/>
          <w:szCs w:val="22"/>
        </w:rPr>
        <w:t xml:space="preserve">En esta </w:t>
      </w:r>
      <w:r w:rsidR="00690298" w:rsidRPr="009A27ED">
        <w:rPr>
          <w:rFonts w:ascii="Times New Roman" w:eastAsia="Times New Roman" w:hAnsi="Times New Roman"/>
          <w:bCs/>
          <w:sz w:val="24"/>
          <w:szCs w:val="22"/>
        </w:rPr>
        <w:t>sección se</w:t>
      </w:r>
      <w:r w:rsidRPr="009A27ED">
        <w:rPr>
          <w:rFonts w:ascii="Times New Roman" w:eastAsia="Times New Roman" w:hAnsi="Times New Roman"/>
          <w:bCs/>
          <w:sz w:val="24"/>
          <w:szCs w:val="22"/>
        </w:rPr>
        <w:t xml:space="preserve"> describen otros indicadores relacionados a la calidad de vida, tales como: la tasa</w:t>
      </w:r>
      <w:r w:rsidRPr="009A27ED">
        <w:rPr>
          <w:rFonts w:ascii="Times New Roman" w:eastAsia="Times New Roman" w:hAnsi="Times New Roman"/>
          <w:sz w:val="24"/>
          <w:szCs w:val="22"/>
        </w:rPr>
        <w:t xml:space="preserve"> de alfabetización e índice de educación, tasa de mortalidad infantil e índice de salud, abastecimiento de agua, transporte, infraestructura, comunicación y energía.</w:t>
      </w:r>
    </w:p>
    <w:p w14:paraId="5DBAC6D3" w14:textId="19D4DF7A" w:rsidR="0004071A" w:rsidRPr="009A27ED" w:rsidRDefault="0004071A" w:rsidP="00E67CB0">
      <w:pPr>
        <w:pStyle w:val="Prrafodelista"/>
        <w:numPr>
          <w:ilvl w:val="0"/>
          <w:numId w:val="296"/>
        </w:numPr>
        <w:spacing w:before="120" w:after="0" w:line="360" w:lineRule="auto"/>
        <w:rPr>
          <w:b/>
          <w:szCs w:val="22"/>
          <w:lang w:eastAsia="es-DO"/>
        </w:rPr>
      </w:pPr>
      <w:r w:rsidRPr="009A27ED">
        <w:rPr>
          <w:rFonts w:ascii="Times New Roman" w:eastAsia="Times New Roman" w:hAnsi="Times New Roman"/>
          <w:b/>
          <w:sz w:val="24"/>
          <w:szCs w:val="22"/>
          <w:lang w:eastAsia="es-DO"/>
        </w:rPr>
        <w:t>Pobreza en las áreas priorizadas</w:t>
      </w:r>
    </w:p>
    <w:p w14:paraId="4AC257BF" w14:textId="212C7F8C" w:rsidR="0004071A" w:rsidRPr="009A27ED" w:rsidRDefault="0004071A" w:rsidP="005B6485">
      <w:pPr>
        <w:spacing w:before="120" w:after="0" w:line="360" w:lineRule="auto"/>
        <w:rPr>
          <w:szCs w:val="22"/>
          <w:lang w:eastAsia="es-DO"/>
        </w:rPr>
      </w:pPr>
      <w:r w:rsidRPr="009A27ED">
        <w:rPr>
          <w:rFonts w:ascii="Times New Roman" w:eastAsia="Times New Roman" w:hAnsi="Times New Roman"/>
          <w:sz w:val="24"/>
          <w:szCs w:val="22"/>
          <w:lang w:eastAsia="es-DO"/>
        </w:rPr>
        <w:t xml:space="preserve">El Ministerio de Planificación Economía y Desarrollo (MEPyD) ha elaborado el Atlas de Pobreza el cual presenta indicadores en mapas temáticos nacionales que cubren todos los niveles de la división territorial del país: regiones de desarrollo, provincias, municipios y distritos municipales, áreas urbanas y secciones, barrios y parajes. El Atlas de Pobreza publicado por el MEPyD ha sido elaborado y publicado en el año 2014. Para la medición de la pobreza, o niveles de pobreza, el informe presenta cuatro metodologías distintas: el Índice de Calidad de Vida (ICV), las Necesidades Básicas Insatisfechas (NBI), el Índice de Pobreza Multidimensional (IPM), y la Línea de Pobreza (LP). Los valores presentados en el Mapa de pobreza 2014 son </w:t>
      </w:r>
      <w:r w:rsidR="0069562F" w:rsidRPr="009A27ED">
        <w:rPr>
          <w:rFonts w:ascii="Times New Roman" w:eastAsia="Times New Roman" w:hAnsi="Times New Roman"/>
          <w:sz w:val="24"/>
          <w:szCs w:val="22"/>
          <w:lang w:eastAsia="es-DO"/>
        </w:rPr>
        <w:t>el siguiente</w:t>
      </w:r>
      <w:r w:rsidRPr="009A27ED">
        <w:rPr>
          <w:rFonts w:ascii="Times New Roman" w:eastAsia="Times New Roman" w:hAnsi="Times New Roman"/>
          <w:sz w:val="24"/>
          <w:szCs w:val="22"/>
          <w:lang w:eastAsia="es-DO"/>
        </w:rPr>
        <w:t>:</w:t>
      </w:r>
    </w:p>
    <w:p w14:paraId="1CAD119B" w14:textId="77777777" w:rsidR="0004071A" w:rsidRPr="009A27ED" w:rsidRDefault="0004071A" w:rsidP="00D42802">
      <w:pPr>
        <w:pStyle w:val="Prrafodelista"/>
        <w:numPr>
          <w:ilvl w:val="0"/>
          <w:numId w:val="51"/>
        </w:numPr>
        <w:spacing w:before="120" w:after="0" w:line="360" w:lineRule="auto"/>
        <w:rPr>
          <w:szCs w:val="22"/>
          <w:lang w:eastAsia="es-DO"/>
        </w:rPr>
      </w:pPr>
      <w:r w:rsidRPr="009A27ED">
        <w:rPr>
          <w:rFonts w:ascii="Times New Roman" w:eastAsia="Times New Roman" w:hAnsi="Times New Roman"/>
          <w:sz w:val="24"/>
          <w:szCs w:val="22"/>
          <w:lang w:eastAsia="es-DO"/>
        </w:rPr>
        <w:t>Índice de Calidad de Vida (ICV)</w:t>
      </w:r>
    </w:p>
    <w:p w14:paraId="36892B45" w14:textId="77777777" w:rsidR="0004071A" w:rsidRPr="009A27ED" w:rsidRDefault="0004071A" w:rsidP="00D42802">
      <w:pPr>
        <w:pStyle w:val="Prrafodelista"/>
        <w:numPr>
          <w:ilvl w:val="0"/>
          <w:numId w:val="51"/>
        </w:numPr>
        <w:spacing w:before="120" w:after="0" w:line="360" w:lineRule="auto"/>
        <w:rPr>
          <w:szCs w:val="22"/>
          <w:lang w:eastAsia="es-DO"/>
        </w:rPr>
      </w:pPr>
      <w:r w:rsidRPr="009A27ED">
        <w:rPr>
          <w:rFonts w:ascii="Times New Roman" w:eastAsia="Times New Roman" w:hAnsi="Times New Roman"/>
          <w:sz w:val="24"/>
          <w:szCs w:val="22"/>
          <w:lang w:eastAsia="es-DO"/>
        </w:rPr>
        <w:t>Porcentaje de Hogares Pobres</w:t>
      </w:r>
    </w:p>
    <w:p w14:paraId="474DC63D" w14:textId="77777777" w:rsidR="0004071A" w:rsidRPr="009A27ED" w:rsidRDefault="0004071A" w:rsidP="00D42802">
      <w:pPr>
        <w:pStyle w:val="Prrafodelista"/>
        <w:numPr>
          <w:ilvl w:val="0"/>
          <w:numId w:val="51"/>
        </w:numPr>
        <w:spacing w:before="120" w:after="0" w:line="360" w:lineRule="auto"/>
        <w:rPr>
          <w:szCs w:val="22"/>
          <w:lang w:eastAsia="es-DO"/>
        </w:rPr>
      </w:pPr>
      <w:r w:rsidRPr="009A27ED">
        <w:rPr>
          <w:rFonts w:ascii="Times New Roman" w:eastAsia="Times New Roman" w:hAnsi="Times New Roman"/>
          <w:sz w:val="24"/>
          <w:szCs w:val="22"/>
          <w:lang w:eastAsia="es-DO"/>
        </w:rPr>
        <w:t>Porcentaje de Hogares en Pobreza Extrema</w:t>
      </w:r>
    </w:p>
    <w:p w14:paraId="0DBAF9A4" w14:textId="77777777" w:rsidR="0004071A" w:rsidRPr="009A27ED" w:rsidRDefault="0004071A" w:rsidP="00D42802">
      <w:pPr>
        <w:pStyle w:val="Prrafodelista"/>
        <w:numPr>
          <w:ilvl w:val="0"/>
          <w:numId w:val="51"/>
        </w:numPr>
        <w:spacing w:before="120" w:after="0" w:line="360" w:lineRule="auto"/>
        <w:rPr>
          <w:szCs w:val="22"/>
          <w:lang w:eastAsia="es-DO"/>
        </w:rPr>
      </w:pPr>
      <w:r w:rsidRPr="009A27ED">
        <w:rPr>
          <w:rFonts w:ascii="Times New Roman" w:eastAsia="Times New Roman" w:hAnsi="Times New Roman"/>
          <w:sz w:val="24"/>
          <w:szCs w:val="22"/>
          <w:lang w:eastAsia="es-DO"/>
        </w:rPr>
        <w:t>Número de Hogares Pobres</w:t>
      </w:r>
    </w:p>
    <w:p w14:paraId="5907B622" w14:textId="77777777" w:rsidR="0004071A" w:rsidRPr="009A27ED" w:rsidRDefault="0004071A" w:rsidP="00D42802">
      <w:pPr>
        <w:pStyle w:val="Prrafodelista"/>
        <w:numPr>
          <w:ilvl w:val="0"/>
          <w:numId w:val="51"/>
        </w:numPr>
        <w:spacing w:before="120" w:after="0" w:line="360" w:lineRule="auto"/>
        <w:rPr>
          <w:szCs w:val="22"/>
          <w:lang w:eastAsia="es-DO"/>
        </w:rPr>
      </w:pPr>
      <w:r w:rsidRPr="009A27ED">
        <w:rPr>
          <w:rFonts w:ascii="Times New Roman" w:eastAsia="Times New Roman" w:hAnsi="Times New Roman"/>
          <w:sz w:val="24"/>
          <w:szCs w:val="22"/>
          <w:lang w:eastAsia="es-DO"/>
        </w:rPr>
        <w:t>Índice de Necesidades Básicas Insatisfechas</w:t>
      </w:r>
    </w:p>
    <w:p w14:paraId="722E6239" w14:textId="77777777" w:rsidR="00C27962" w:rsidRPr="009A27ED" w:rsidRDefault="00C27962" w:rsidP="00C27962">
      <w:pPr>
        <w:pStyle w:val="Descripcin"/>
        <w:spacing w:line="360" w:lineRule="auto"/>
        <w:rPr>
          <w:color w:val="FF0000"/>
        </w:rPr>
      </w:pPr>
    </w:p>
    <w:p w14:paraId="6174FD2C" w14:textId="45C24E69" w:rsidR="00D12F9D" w:rsidRPr="009A27ED" w:rsidRDefault="007C02A2" w:rsidP="00D12F9D">
      <w:pPr>
        <w:pStyle w:val="Descripcin"/>
        <w:spacing w:line="360" w:lineRule="auto"/>
      </w:pPr>
      <w:r w:rsidRPr="009A27ED">
        <w:rPr>
          <w:rFonts w:ascii="Times New Roman" w:eastAsia="Times New Roman" w:hAnsi="Times New Roman"/>
          <w:color w:val="FF0000"/>
          <w:sz w:val="24"/>
        </w:rPr>
        <w:t xml:space="preserve"> </w:t>
      </w:r>
      <w:bookmarkStart w:id="162" w:name="_Toc111887431"/>
      <w:r w:rsidR="00D12F9D" w:rsidRPr="009A27ED">
        <w:rPr>
          <w:rFonts w:ascii="Times New Roman" w:eastAsia="Times New Roman" w:hAnsi="Times New Roman"/>
          <w:sz w:val="24"/>
        </w:rPr>
        <w:t xml:space="preserve">Cuadro </w:t>
      </w:r>
      <w:r w:rsidR="00F43DB6" w:rsidRPr="009A27ED">
        <w:rPr>
          <w:rFonts w:ascii="Times New Roman" w:eastAsia="Times New Roman" w:hAnsi="Times New Roman"/>
          <w:sz w:val="24"/>
        </w:rPr>
        <w:fldChar w:fldCharType="begin"/>
      </w:r>
      <w:r w:rsidR="00F43DB6" w:rsidRPr="009A27ED">
        <w:rPr>
          <w:rFonts w:ascii="Times New Roman" w:eastAsia="Times New Roman" w:hAnsi="Times New Roman"/>
          <w:sz w:val="24"/>
        </w:rPr>
        <w:instrText xml:space="preserve"> SEQ Cuadro \* ARABIC </w:instrText>
      </w:r>
      <w:r w:rsidR="00F43DB6"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21</w:t>
      </w:r>
      <w:r w:rsidR="00F43DB6" w:rsidRPr="009A27ED">
        <w:rPr>
          <w:rFonts w:ascii="Times New Roman" w:eastAsia="Times New Roman" w:hAnsi="Times New Roman"/>
          <w:sz w:val="24"/>
        </w:rPr>
        <w:fldChar w:fldCharType="end"/>
      </w:r>
      <w:r w:rsidR="00D12F9D" w:rsidRPr="009A27ED">
        <w:rPr>
          <w:rFonts w:ascii="Times New Roman" w:eastAsia="Times New Roman" w:hAnsi="Times New Roman"/>
          <w:sz w:val="24"/>
        </w:rPr>
        <w:t>.</w:t>
      </w:r>
      <w:r w:rsidR="00D12F9D" w:rsidRPr="009A27ED">
        <w:rPr>
          <w:rFonts w:ascii="Times New Roman" w:eastAsia="Times New Roman" w:hAnsi="Times New Roman"/>
          <w:color w:val="000000" w:themeColor="text1"/>
          <w:sz w:val="24"/>
        </w:rPr>
        <w:t xml:space="preserve"> Modelo metropolitano</w:t>
      </w:r>
      <w:bookmarkEnd w:id="16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0"/>
        <w:gridCol w:w="2373"/>
        <w:gridCol w:w="2268"/>
        <w:gridCol w:w="2110"/>
      </w:tblGrid>
      <w:tr w:rsidR="0004071A" w:rsidRPr="009A27ED" w14:paraId="7484E34C" w14:textId="77777777" w:rsidTr="00D12F9D">
        <w:trPr>
          <w:trHeight w:val="435"/>
        </w:trPr>
        <w:tc>
          <w:tcPr>
            <w:tcW w:w="2300" w:type="dxa"/>
            <w:shd w:val="clear" w:color="auto" w:fill="0070C0"/>
            <w:noWrap/>
            <w:vAlign w:val="center"/>
            <w:hideMark/>
          </w:tcPr>
          <w:p w14:paraId="7F74DC80" w14:textId="77777777" w:rsidR="0004071A" w:rsidRPr="009A27ED" w:rsidRDefault="0004071A" w:rsidP="00103037">
            <w:pPr>
              <w:spacing w:before="120" w:after="0"/>
              <w:jc w:val="left"/>
              <w:rPr>
                <w:rFonts w:eastAsia="Times New Roman"/>
                <w:b/>
                <w:color w:val="FFFFFF" w:themeColor="background1"/>
                <w:sz w:val="20"/>
                <w:szCs w:val="20"/>
              </w:rPr>
            </w:pPr>
          </w:p>
        </w:tc>
        <w:tc>
          <w:tcPr>
            <w:tcW w:w="2373" w:type="dxa"/>
            <w:shd w:val="clear" w:color="auto" w:fill="0070C0"/>
            <w:vAlign w:val="center"/>
            <w:hideMark/>
          </w:tcPr>
          <w:p w14:paraId="413C17DB" w14:textId="77777777" w:rsidR="0004071A" w:rsidRPr="009A27ED" w:rsidRDefault="0004071A" w:rsidP="00103037">
            <w:pPr>
              <w:spacing w:before="120" w:after="0"/>
              <w:jc w:val="left"/>
              <w:rPr>
                <w:rFonts w:eastAsia="Times New Roman"/>
                <w:b/>
                <w:color w:val="FFFFFF" w:themeColor="background1"/>
                <w:sz w:val="20"/>
                <w:szCs w:val="20"/>
              </w:rPr>
            </w:pPr>
            <w:r w:rsidRPr="009A27ED">
              <w:rPr>
                <w:rFonts w:eastAsia="Times New Roman"/>
                <w:b/>
                <w:color w:val="FFFFFF" w:themeColor="background1"/>
                <w:sz w:val="20"/>
                <w:szCs w:val="20"/>
              </w:rPr>
              <w:t>Modelo Metropolitano (14 variables)</w:t>
            </w:r>
          </w:p>
        </w:tc>
        <w:tc>
          <w:tcPr>
            <w:tcW w:w="2268" w:type="dxa"/>
            <w:shd w:val="clear" w:color="auto" w:fill="0070C0"/>
            <w:vAlign w:val="center"/>
            <w:hideMark/>
          </w:tcPr>
          <w:p w14:paraId="396C020D" w14:textId="77777777" w:rsidR="0004071A" w:rsidRPr="009A27ED" w:rsidRDefault="0004071A" w:rsidP="00103037">
            <w:pPr>
              <w:spacing w:before="120" w:after="0"/>
              <w:jc w:val="left"/>
              <w:rPr>
                <w:rFonts w:eastAsia="Times New Roman"/>
                <w:b/>
                <w:color w:val="FFFFFF" w:themeColor="background1"/>
                <w:sz w:val="20"/>
                <w:szCs w:val="20"/>
              </w:rPr>
            </w:pPr>
            <w:r w:rsidRPr="009A27ED">
              <w:rPr>
                <w:rFonts w:eastAsia="Times New Roman"/>
                <w:b/>
                <w:color w:val="FFFFFF" w:themeColor="background1"/>
                <w:sz w:val="20"/>
                <w:szCs w:val="20"/>
              </w:rPr>
              <w:t>Modelo Resto Urbano (15 variables)</w:t>
            </w:r>
          </w:p>
        </w:tc>
        <w:tc>
          <w:tcPr>
            <w:tcW w:w="2110" w:type="dxa"/>
            <w:shd w:val="clear" w:color="auto" w:fill="0070C0"/>
            <w:vAlign w:val="center"/>
            <w:hideMark/>
          </w:tcPr>
          <w:p w14:paraId="7F979039" w14:textId="77777777" w:rsidR="0004071A" w:rsidRPr="009A27ED" w:rsidRDefault="0004071A" w:rsidP="00103037">
            <w:pPr>
              <w:spacing w:before="120" w:after="0"/>
              <w:jc w:val="left"/>
              <w:rPr>
                <w:rFonts w:eastAsia="Times New Roman"/>
                <w:b/>
                <w:color w:val="FFFFFF" w:themeColor="background1"/>
                <w:sz w:val="20"/>
                <w:szCs w:val="20"/>
              </w:rPr>
            </w:pPr>
            <w:r w:rsidRPr="009A27ED">
              <w:rPr>
                <w:rFonts w:eastAsia="Times New Roman"/>
                <w:b/>
                <w:color w:val="FFFFFF" w:themeColor="background1"/>
                <w:sz w:val="20"/>
                <w:szCs w:val="20"/>
              </w:rPr>
              <w:t>Modelo Rural (15 variables)</w:t>
            </w:r>
          </w:p>
        </w:tc>
      </w:tr>
      <w:tr w:rsidR="0004071A" w:rsidRPr="009A27ED" w14:paraId="483AB40B" w14:textId="77777777" w:rsidTr="00D12F9D">
        <w:trPr>
          <w:trHeight w:val="1095"/>
        </w:trPr>
        <w:tc>
          <w:tcPr>
            <w:tcW w:w="2300" w:type="dxa"/>
            <w:shd w:val="clear" w:color="auto" w:fill="auto"/>
            <w:noWrap/>
            <w:vAlign w:val="center"/>
            <w:hideMark/>
          </w:tcPr>
          <w:p w14:paraId="2910DFE9" w14:textId="6768CBDD" w:rsidR="0004071A" w:rsidRPr="009A27ED" w:rsidRDefault="00690298" w:rsidP="00103037">
            <w:pPr>
              <w:spacing w:before="120" w:after="0"/>
              <w:jc w:val="left"/>
              <w:rPr>
                <w:rFonts w:eastAsia="Times New Roman"/>
                <w:sz w:val="20"/>
                <w:szCs w:val="20"/>
              </w:rPr>
            </w:pPr>
            <w:r w:rsidRPr="009A27ED">
              <w:rPr>
                <w:rFonts w:eastAsia="Times New Roman"/>
                <w:sz w:val="20"/>
                <w:szCs w:val="20"/>
              </w:rPr>
              <w:t>Dimensión</w:t>
            </w:r>
            <w:r w:rsidR="0004071A" w:rsidRPr="009A27ED">
              <w:rPr>
                <w:rFonts w:eastAsia="Times New Roman"/>
                <w:sz w:val="20"/>
                <w:szCs w:val="20"/>
              </w:rPr>
              <w:t xml:space="preserve"> 1 (ICV-I): VIVIENDAM AGUA,</w:t>
            </w:r>
          </w:p>
          <w:p w14:paraId="076AA685" w14:textId="77777777" w:rsidR="0004071A" w:rsidRPr="009A27ED" w:rsidRDefault="0004071A" w:rsidP="00103037">
            <w:pPr>
              <w:spacing w:before="120" w:after="0"/>
              <w:jc w:val="left"/>
              <w:rPr>
                <w:rFonts w:eastAsia="Times New Roman"/>
                <w:sz w:val="20"/>
                <w:szCs w:val="20"/>
              </w:rPr>
            </w:pPr>
            <w:r w:rsidRPr="009A27ED">
              <w:rPr>
                <w:rFonts w:eastAsia="Times New Roman"/>
                <w:sz w:val="20"/>
                <w:szCs w:val="20"/>
              </w:rPr>
              <w:t xml:space="preserve"> EQUIP. BASICO</w:t>
            </w:r>
          </w:p>
          <w:p w14:paraId="2182EAA0" w14:textId="77777777" w:rsidR="0004071A" w:rsidRPr="009A27ED" w:rsidRDefault="0004071A" w:rsidP="00103037">
            <w:pPr>
              <w:spacing w:before="120" w:after="0"/>
              <w:jc w:val="left"/>
              <w:rPr>
                <w:rFonts w:eastAsia="Times New Roman"/>
                <w:sz w:val="20"/>
                <w:szCs w:val="20"/>
              </w:rPr>
            </w:pPr>
          </w:p>
        </w:tc>
        <w:tc>
          <w:tcPr>
            <w:tcW w:w="2373" w:type="dxa"/>
            <w:shd w:val="clear" w:color="auto" w:fill="auto"/>
            <w:vAlign w:val="center"/>
            <w:hideMark/>
          </w:tcPr>
          <w:p w14:paraId="366FB958" w14:textId="77777777" w:rsidR="0004071A" w:rsidRPr="009A27ED" w:rsidRDefault="0004071A" w:rsidP="00103037">
            <w:pPr>
              <w:spacing w:before="120" w:after="0"/>
              <w:jc w:val="left"/>
              <w:rPr>
                <w:rFonts w:eastAsia="Times New Roman"/>
                <w:sz w:val="20"/>
                <w:szCs w:val="20"/>
              </w:rPr>
            </w:pPr>
            <w:r w:rsidRPr="009A27ED">
              <w:rPr>
                <w:rFonts w:eastAsia="Times New Roman"/>
                <w:sz w:val="20"/>
                <w:szCs w:val="20"/>
              </w:rPr>
              <w:t>piso, techo, pared, equipos del hogar, fuente de agua</w:t>
            </w:r>
          </w:p>
        </w:tc>
        <w:tc>
          <w:tcPr>
            <w:tcW w:w="2268" w:type="dxa"/>
            <w:shd w:val="clear" w:color="auto" w:fill="auto"/>
            <w:vAlign w:val="center"/>
            <w:hideMark/>
          </w:tcPr>
          <w:p w14:paraId="772627CD" w14:textId="77777777" w:rsidR="0004071A" w:rsidRPr="009A27ED" w:rsidRDefault="0004071A" w:rsidP="00103037">
            <w:pPr>
              <w:spacing w:before="120" w:after="0"/>
              <w:jc w:val="left"/>
              <w:rPr>
                <w:rFonts w:eastAsia="Times New Roman"/>
                <w:sz w:val="20"/>
                <w:szCs w:val="20"/>
              </w:rPr>
            </w:pPr>
            <w:r w:rsidRPr="009A27ED">
              <w:rPr>
                <w:rFonts w:eastAsia="Times New Roman"/>
                <w:sz w:val="20"/>
                <w:szCs w:val="20"/>
              </w:rPr>
              <w:t>Piso, Techo, Pared, Servicio sanitario, Equipos del hogar, Fuente de Agua, Provincia</w:t>
            </w:r>
          </w:p>
        </w:tc>
        <w:tc>
          <w:tcPr>
            <w:tcW w:w="2110" w:type="dxa"/>
            <w:shd w:val="clear" w:color="auto" w:fill="auto"/>
            <w:vAlign w:val="center"/>
            <w:hideMark/>
          </w:tcPr>
          <w:p w14:paraId="0DD1E494" w14:textId="77777777" w:rsidR="0004071A" w:rsidRPr="009A27ED" w:rsidRDefault="0004071A" w:rsidP="00103037">
            <w:pPr>
              <w:spacing w:before="120" w:after="0"/>
              <w:jc w:val="left"/>
              <w:rPr>
                <w:rFonts w:eastAsia="Times New Roman"/>
                <w:sz w:val="20"/>
                <w:szCs w:val="20"/>
              </w:rPr>
            </w:pPr>
            <w:r w:rsidRPr="009A27ED">
              <w:rPr>
                <w:rFonts w:eastAsia="Times New Roman"/>
                <w:sz w:val="20"/>
                <w:szCs w:val="20"/>
              </w:rPr>
              <w:t>Piso, Techo, Pared, Servicio sanitario, Equipos del hogar, Fuente de Agua, Provincia</w:t>
            </w:r>
          </w:p>
        </w:tc>
      </w:tr>
      <w:tr w:rsidR="0004071A" w:rsidRPr="009A27ED" w14:paraId="408F18E6" w14:textId="77777777" w:rsidTr="00D12F9D">
        <w:trPr>
          <w:trHeight w:val="900"/>
        </w:trPr>
        <w:tc>
          <w:tcPr>
            <w:tcW w:w="2300" w:type="dxa"/>
            <w:shd w:val="clear" w:color="auto" w:fill="auto"/>
            <w:noWrap/>
            <w:vAlign w:val="center"/>
            <w:hideMark/>
          </w:tcPr>
          <w:p w14:paraId="0F19DF45" w14:textId="571EDA38" w:rsidR="0004071A" w:rsidRPr="009A27ED" w:rsidRDefault="00690298" w:rsidP="00103037">
            <w:pPr>
              <w:spacing w:before="120" w:after="0"/>
              <w:jc w:val="left"/>
              <w:rPr>
                <w:rFonts w:eastAsia="Times New Roman"/>
                <w:sz w:val="20"/>
                <w:szCs w:val="20"/>
              </w:rPr>
            </w:pPr>
            <w:r w:rsidRPr="009A27ED">
              <w:rPr>
                <w:rFonts w:eastAsia="Times New Roman"/>
                <w:sz w:val="20"/>
                <w:szCs w:val="20"/>
              </w:rPr>
              <w:t>Dimensión</w:t>
            </w:r>
            <w:r w:rsidR="0004071A" w:rsidRPr="009A27ED">
              <w:rPr>
                <w:rFonts w:eastAsia="Times New Roman"/>
                <w:sz w:val="20"/>
                <w:szCs w:val="20"/>
              </w:rPr>
              <w:t xml:space="preserve"> 2 (ICV-II): CAPITAL HUMANO</w:t>
            </w:r>
          </w:p>
        </w:tc>
        <w:tc>
          <w:tcPr>
            <w:tcW w:w="2373" w:type="dxa"/>
            <w:shd w:val="clear" w:color="auto" w:fill="auto"/>
            <w:vAlign w:val="center"/>
            <w:hideMark/>
          </w:tcPr>
          <w:p w14:paraId="6E97024D" w14:textId="0BEB2654" w:rsidR="0004071A" w:rsidRPr="009A27ED" w:rsidRDefault="00690298" w:rsidP="00103037">
            <w:pPr>
              <w:spacing w:before="120" w:after="0"/>
              <w:jc w:val="left"/>
              <w:rPr>
                <w:rFonts w:eastAsia="Times New Roman"/>
                <w:sz w:val="20"/>
                <w:szCs w:val="20"/>
              </w:rPr>
            </w:pPr>
            <w:proofErr w:type="gramStart"/>
            <w:r w:rsidRPr="009A27ED">
              <w:rPr>
                <w:rFonts w:eastAsia="Times New Roman"/>
                <w:sz w:val="20"/>
                <w:szCs w:val="20"/>
              </w:rPr>
              <w:t>Escolaridad jefe</w:t>
            </w:r>
            <w:proofErr w:type="gramEnd"/>
            <w:r w:rsidRPr="009A27ED">
              <w:rPr>
                <w:rFonts w:eastAsia="Times New Roman"/>
                <w:sz w:val="20"/>
                <w:szCs w:val="20"/>
              </w:rPr>
              <w:t xml:space="preserve"> </w:t>
            </w:r>
            <w:r w:rsidR="0004071A" w:rsidRPr="009A27ED">
              <w:rPr>
                <w:rFonts w:eastAsia="Times New Roman"/>
                <w:sz w:val="20"/>
                <w:szCs w:val="20"/>
              </w:rPr>
              <w:t>(a) del hogar, Escolaridad media hogar, alfabetismo hogar</w:t>
            </w:r>
          </w:p>
        </w:tc>
        <w:tc>
          <w:tcPr>
            <w:tcW w:w="2268" w:type="dxa"/>
            <w:shd w:val="clear" w:color="auto" w:fill="auto"/>
            <w:vAlign w:val="center"/>
            <w:hideMark/>
          </w:tcPr>
          <w:p w14:paraId="32403291" w14:textId="6902703F" w:rsidR="0004071A" w:rsidRPr="009A27ED" w:rsidRDefault="00690298" w:rsidP="00103037">
            <w:pPr>
              <w:spacing w:before="120" w:after="0"/>
              <w:jc w:val="left"/>
              <w:rPr>
                <w:rFonts w:eastAsia="Times New Roman"/>
                <w:sz w:val="20"/>
                <w:szCs w:val="20"/>
              </w:rPr>
            </w:pPr>
            <w:proofErr w:type="gramStart"/>
            <w:r w:rsidRPr="009A27ED">
              <w:rPr>
                <w:rFonts w:eastAsia="Times New Roman"/>
                <w:sz w:val="20"/>
                <w:szCs w:val="20"/>
              </w:rPr>
              <w:t>Escolaridad jefe</w:t>
            </w:r>
            <w:proofErr w:type="gramEnd"/>
            <w:r w:rsidRPr="009A27ED">
              <w:rPr>
                <w:rFonts w:eastAsia="Times New Roman"/>
                <w:sz w:val="20"/>
                <w:szCs w:val="20"/>
              </w:rPr>
              <w:t xml:space="preserve"> </w:t>
            </w:r>
            <w:r w:rsidR="0004071A" w:rsidRPr="009A27ED">
              <w:rPr>
                <w:rFonts w:eastAsia="Times New Roman"/>
                <w:sz w:val="20"/>
                <w:szCs w:val="20"/>
              </w:rPr>
              <w:t>(a) del hogar, Escolaridad media hogar, alfabetismo hogar</w:t>
            </w:r>
          </w:p>
        </w:tc>
        <w:tc>
          <w:tcPr>
            <w:tcW w:w="2110" w:type="dxa"/>
            <w:shd w:val="clear" w:color="auto" w:fill="auto"/>
            <w:vAlign w:val="center"/>
            <w:hideMark/>
          </w:tcPr>
          <w:p w14:paraId="63E0C269" w14:textId="63E7788E" w:rsidR="0004071A" w:rsidRPr="009A27ED" w:rsidRDefault="00690298" w:rsidP="00103037">
            <w:pPr>
              <w:spacing w:before="120" w:after="0"/>
              <w:jc w:val="left"/>
              <w:rPr>
                <w:rFonts w:eastAsia="Times New Roman"/>
                <w:sz w:val="20"/>
                <w:szCs w:val="20"/>
              </w:rPr>
            </w:pPr>
            <w:proofErr w:type="gramStart"/>
            <w:r w:rsidRPr="009A27ED">
              <w:rPr>
                <w:rFonts w:eastAsia="Times New Roman"/>
                <w:sz w:val="20"/>
                <w:szCs w:val="20"/>
              </w:rPr>
              <w:t>Escolaridad jefe</w:t>
            </w:r>
            <w:proofErr w:type="gramEnd"/>
            <w:r w:rsidRPr="009A27ED">
              <w:rPr>
                <w:rFonts w:eastAsia="Times New Roman"/>
                <w:sz w:val="20"/>
                <w:szCs w:val="20"/>
              </w:rPr>
              <w:t xml:space="preserve"> </w:t>
            </w:r>
            <w:r w:rsidR="0004071A" w:rsidRPr="009A27ED">
              <w:rPr>
                <w:rFonts w:eastAsia="Times New Roman"/>
                <w:sz w:val="20"/>
                <w:szCs w:val="20"/>
              </w:rPr>
              <w:t>(a) del hogar, Escolaridad media hogar, alfabetismo hogar</w:t>
            </w:r>
          </w:p>
        </w:tc>
      </w:tr>
      <w:tr w:rsidR="0004071A" w:rsidRPr="009A27ED" w14:paraId="325BEB2B" w14:textId="77777777" w:rsidTr="00D12F9D">
        <w:trPr>
          <w:trHeight w:val="900"/>
        </w:trPr>
        <w:tc>
          <w:tcPr>
            <w:tcW w:w="2300" w:type="dxa"/>
            <w:shd w:val="clear" w:color="auto" w:fill="auto"/>
            <w:noWrap/>
            <w:vAlign w:val="center"/>
            <w:hideMark/>
          </w:tcPr>
          <w:p w14:paraId="4CBB18D4" w14:textId="77777777" w:rsidR="0004071A" w:rsidRPr="009A27ED" w:rsidRDefault="0004071A" w:rsidP="00103037">
            <w:pPr>
              <w:spacing w:before="120" w:after="0"/>
              <w:jc w:val="left"/>
              <w:rPr>
                <w:rFonts w:eastAsia="Times New Roman"/>
                <w:sz w:val="20"/>
                <w:szCs w:val="20"/>
              </w:rPr>
            </w:pPr>
            <w:r w:rsidRPr="009A27ED">
              <w:rPr>
                <w:rFonts w:eastAsia="Times New Roman"/>
                <w:sz w:val="20"/>
                <w:szCs w:val="20"/>
              </w:rPr>
              <w:t xml:space="preserve">Dimensión 3 (ICV-III)”: </w:t>
            </w:r>
          </w:p>
        </w:tc>
        <w:tc>
          <w:tcPr>
            <w:tcW w:w="2373" w:type="dxa"/>
            <w:shd w:val="clear" w:color="auto" w:fill="auto"/>
            <w:vAlign w:val="center"/>
            <w:hideMark/>
          </w:tcPr>
          <w:p w14:paraId="40B45EB9" w14:textId="77777777" w:rsidR="0004071A" w:rsidRPr="009A27ED" w:rsidRDefault="0004071A" w:rsidP="00103037">
            <w:pPr>
              <w:spacing w:before="120" w:after="0"/>
              <w:jc w:val="left"/>
              <w:rPr>
                <w:rFonts w:eastAsia="Times New Roman"/>
                <w:sz w:val="20"/>
                <w:szCs w:val="20"/>
              </w:rPr>
            </w:pPr>
            <w:r w:rsidRPr="009A27ED">
              <w:rPr>
                <w:rFonts w:eastAsia="Times New Roman"/>
                <w:sz w:val="20"/>
                <w:szCs w:val="20"/>
              </w:rPr>
              <w:t xml:space="preserve">Combustible para cocinar, iluminación del hogar, Servicio Sanitario, </w:t>
            </w:r>
          </w:p>
        </w:tc>
        <w:tc>
          <w:tcPr>
            <w:tcW w:w="2268" w:type="dxa"/>
            <w:shd w:val="clear" w:color="auto" w:fill="auto"/>
            <w:vAlign w:val="center"/>
            <w:hideMark/>
          </w:tcPr>
          <w:p w14:paraId="62A2B3A6" w14:textId="77777777" w:rsidR="0004071A" w:rsidRPr="009A27ED" w:rsidRDefault="0004071A" w:rsidP="00103037">
            <w:pPr>
              <w:spacing w:before="120" w:after="0"/>
              <w:jc w:val="left"/>
              <w:rPr>
                <w:rFonts w:eastAsia="Times New Roman"/>
                <w:sz w:val="20"/>
                <w:szCs w:val="20"/>
              </w:rPr>
            </w:pPr>
            <w:r w:rsidRPr="009A27ED">
              <w:rPr>
                <w:rFonts w:eastAsia="Times New Roman"/>
                <w:sz w:val="20"/>
                <w:szCs w:val="20"/>
              </w:rPr>
              <w:t xml:space="preserve">Combustible para cocinar, iluminación del hogar, Servicio Sanitario, </w:t>
            </w:r>
          </w:p>
        </w:tc>
        <w:tc>
          <w:tcPr>
            <w:tcW w:w="2110" w:type="dxa"/>
            <w:shd w:val="clear" w:color="auto" w:fill="auto"/>
            <w:vAlign w:val="center"/>
            <w:hideMark/>
          </w:tcPr>
          <w:p w14:paraId="16D2DC58" w14:textId="77777777" w:rsidR="0004071A" w:rsidRPr="009A27ED" w:rsidRDefault="0004071A" w:rsidP="00103037">
            <w:pPr>
              <w:spacing w:before="120" w:after="0"/>
              <w:jc w:val="left"/>
              <w:rPr>
                <w:rFonts w:eastAsia="Times New Roman"/>
                <w:sz w:val="20"/>
                <w:szCs w:val="20"/>
              </w:rPr>
            </w:pPr>
            <w:r w:rsidRPr="009A27ED">
              <w:rPr>
                <w:rFonts w:eastAsia="Times New Roman"/>
                <w:sz w:val="20"/>
                <w:szCs w:val="20"/>
              </w:rPr>
              <w:t xml:space="preserve">Piso, Techo, Pared, Servicios Sanitarios, </w:t>
            </w:r>
          </w:p>
        </w:tc>
      </w:tr>
      <w:tr w:rsidR="0004071A" w:rsidRPr="009A27ED" w14:paraId="318EA387" w14:textId="77777777" w:rsidTr="00D12F9D">
        <w:trPr>
          <w:trHeight w:val="1200"/>
        </w:trPr>
        <w:tc>
          <w:tcPr>
            <w:tcW w:w="2300" w:type="dxa"/>
            <w:shd w:val="clear" w:color="auto" w:fill="auto"/>
            <w:noWrap/>
            <w:vAlign w:val="center"/>
            <w:hideMark/>
          </w:tcPr>
          <w:p w14:paraId="0B59AA3D" w14:textId="77777777" w:rsidR="0004071A" w:rsidRPr="009A27ED" w:rsidRDefault="0004071A" w:rsidP="00103037">
            <w:pPr>
              <w:spacing w:before="120" w:after="0"/>
              <w:jc w:val="left"/>
              <w:rPr>
                <w:rFonts w:eastAsia="Times New Roman"/>
                <w:sz w:val="20"/>
                <w:szCs w:val="20"/>
              </w:rPr>
            </w:pPr>
            <w:r w:rsidRPr="009A27ED">
              <w:rPr>
                <w:rFonts w:eastAsia="Times New Roman"/>
                <w:sz w:val="20"/>
                <w:szCs w:val="20"/>
              </w:rPr>
              <w:t>Dimensión 4 (ICV-IV: VULNERABILIDAD SOCIAL)</w:t>
            </w:r>
          </w:p>
          <w:p w14:paraId="09E4A2EE" w14:textId="77777777" w:rsidR="0004071A" w:rsidRPr="009A27ED" w:rsidRDefault="0004071A" w:rsidP="00103037">
            <w:pPr>
              <w:spacing w:before="120" w:after="0"/>
              <w:jc w:val="left"/>
              <w:rPr>
                <w:rFonts w:eastAsia="Times New Roman"/>
                <w:sz w:val="20"/>
                <w:szCs w:val="20"/>
              </w:rPr>
            </w:pPr>
          </w:p>
        </w:tc>
        <w:tc>
          <w:tcPr>
            <w:tcW w:w="2373" w:type="dxa"/>
            <w:shd w:val="clear" w:color="auto" w:fill="auto"/>
            <w:vAlign w:val="center"/>
            <w:hideMark/>
          </w:tcPr>
          <w:p w14:paraId="234B43DA" w14:textId="77777777" w:rsidR="0004071A" w:rsidRPr="009A27ED" w:rsidRDefault="0004071A" w:rsidP="00103037">
            <w:pPr>
              <w:spacing w:before="120" w:after="0"/>
              <w:jc w:val="left"/>
              <w:rPr>
                <w:rFonts w:eastAsia="Times New Roman"/>
                <w:sz w:val="20"/>
                <w:szCs w:val="20"/>
              </w:rPr>
            </w:pPr>
            <w:r w:rsidRPr="009A27ED">
              <w:rPr>
                <w:rFonts w:eastAsia="Times New Roman"/>
                <w:sz w:val="20"/>
                <w:szCs w:val="20"/>
              </w:rPr>
              <w:t>Iluminación del hogar, servicio sanitario, % Menores 5 años, Asistencia Escolar, Hacinamiento</w:t>
            </w:r>
          </w:p>
        </w:tc>
        <w:tc>
          <w:tcPr>
            <w:tcW w:w="2268" w:type="dxa"/>
            <w:shd w:val="clear" w:color="auto" w:fill="auto"/>
            <w:vAlign w:val="center"/>
            <w:hideMark/>
          </w:tcPr>
          <w:p w14:paraId="1976CF4D" w14:textId="77777777" w:rsidR="0004071A" w:rsidRPr="009A27ED" w:rsidRDefault="0004071A" w:rsidP="00103037">
            <w:pPr>
              <w:spacing w:before="120" w:after="0"/>
              <w:jc w:val="left"/>
              <w:rPr>
                <w:rFonts w:eastAsia="Times New Roman"/>
                <w:sz w:val="20"/>
                <w:szCs w:val="20"/>
              </w:rPr>
            </w:pPr>
            <w:r w:rsidRPr="009A27ED">
              <w:rPr>
                <w:rFonts w:eastAsia="Times New Roman"/>
                <w:sz w:val="20"/>
                <w:szCs w:val="20"/>
              </w:rPr>
              <w:t>Tipo de Vivienda, Hacinamiento</w:t>
            </w:r>
          </w:p>
        </w:tc>
        <w:tc>
          <w:tcPr>
            <w:tcW w:w="2110" w:type="dxa"/>
            <w:shd w:val="clear" w:color="auto" w:fill="auto"/>
            <w:vAlign w:val="center"/>
            <w:hideMark/>
          </w:tcPr>
          <w:p w14:paraId="7DFB6CEC" w14:textId="77777777" w:rsidR="0004071A" w:rsidRPr="009A27ED" w:rsidRDefault="0004071A" w:rsidP="00103037">
            <w:pPr>
              <w:keepNext/>
              <w:spacing w:before="120" w:after="0"/>
              <w:jc w:val="left"/>
              <w:rPr>
                <w:rFonts w:eastAsia="Times New Roman"/>
                <w:sz w:val="20"/>
                <w:szCs w:val="20"/>
              </w:rPr>
            </w:pPr>
            <w:r w:rsidRPr="009A27ED">
              <w:rPr>
                <w:rFonts w:eastAsia="Times New Roman"/>
                <w:sz w:val="20"/>
                <w:szCs w:val="20"/>
              </w:rPr>
              <w:t>Tipo de Vivienda, Hacinamiento</w:t>
            </w:r>
          </w:p>
        </w:tc>
      </w:tr>
    </w:tbl>
    <w:p w14:paraId="33B96C30" w14:textId="195F35DC" w:rsidR="0004071A" w:rsidRPr="009A27ED" w:rsidRDefault="0004071A" w:rsidP="0004071A">
      <w:pPr>
        <w:spacing w:after="0" w:line="360" w:lineRule="auto"/>
      </w:pPr>
      <w:r w:rsidRPr="009A27ED">
        <w:rPr>
          <w:rFonts w:ascii="Times New Roman" w:eastAsia="Times New Roman" w:hAnsi="Times New Roman"/>
          <w:sz w:val="24"/>
        </w:rPr>
        <w:t xml:space="preserve">      </w:t>
      </w:r>
    </w:p>
    <w:p w14:paraId="4197F14B" w14:textId="74A40623" w:rsidR="00D12F9D" w:rsidRPr="009A27ED" w:rsidRDefault="00D12F9D" w:rsidP="00D12F9D">
      <w:pPr>
        <w:pStyle w:val="Descripcin"/>
        <w:spacing w:line="360" w:lineRule="auto"/>
      </w:pPr>
      <w:r w:rsidRPr="009A27ED">
        <w:rPr>
          <w:rFonts w:ascii="Times New Roman" w:eastAsia="Times New Roman" w:hAnsi="Times New Roman"/>
          <w:color w:val="000000" w:themeColor="text1"/>
          <w:sz w:val="24"/>
        </w:rPr>
        <w:t xml:space="preserve">  </w:t>
      </w:r>
      <w:bookmarkStart w:id="163" w:name="_Toc111887432"/>
      <w:r w:rsidRPr="009A27ED">
        <w:rPr>
          <w:rFonts w:ascii="Times New Roman" w:eastAsia="Times New Roman" w:hAnsi="Times New Roman"/>
          <w:sz w:val="24"/>
        </w:rPr>
        <w:t xml:space="preserve">Cuadro </w:t>
      </w:r>
      <w:r w:rsidR="00F43DB6" w:rsidRPr="009A27ED">
        <w:rPr>
          <w:rFonts w:ascii="Times New Roman" w:eastAsia="Times New Roman" w:hAnsi="Times New Roman"/>
          <w:sz w:val="24"/>
        </w:rPr>
        <w:fldChar w:fldCharType="begin"/>
      </w:r>
      <w:r w:rsidR="00F43DB6" w:rsidRPr="009A27ED">
        <w:rPr>
          <w:rFonts w:ascii="Times New Roman" w:eastAsia="Times New Roman" w:hAnsi="Times New Roman"/>
          <w:sz w:val="24"/>
        </w:rPr>
        <w:instrText xml:space="preserve"> SEQ Cuadro \* ARABIC </w:instrText>
      </w:r>
      <w:r w:rsidR="00F43DB6"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22</w:t>
      </w:r>
      <w:r w:rsidR="00F43DB6" w:rsidRPr="009A27ED">
        <w:rPr>
          <w:rFonts w:ascii="Times New Roman" w:eastAsia="Times New Roman" w:hAnsi="Times New Roman"/>
          <w:sz w:val="24"/>
        </w:rPr>
        <w:fldChar w:fldCharType="end"/>
      </w:r>
      <w:r w:rsidRPr="009A27ED">
        <w:rPr>
          <w:rFonts w:ascii="Times New Roman" w:eastAsia="Times New Roman" w:hAnsi="Times New Roman"/>
          <w:color w:val="000000" w:themeColor="text1"/>
          <w:sz w:val="24"/>
        </w:rPr>
        <w:t>. Variable metropolitana</w:t>
      </w:r>
      <w:bookmarkEnd w:id="163"/>
    </w:p>
    <w:tbl>
      <w:tblPr>
        <w:tblStyle w:val="Tablaconcuadrcula"/>
        <w:tblW w:w="0" w:type="auto"/>
        <w:jc w:val="center"/>
        <w:tblLayout w:type="fixed"/>
        <w:tblLook w:val="0000" w:firstRow="0" w:lastRow="0" w:firstColumn="0" w:lastColumn="0" w:noHBand="0" w:noVBand="0"/>
      </w:tblPr>
      <w:tblGrid>
        <w:gridCol w:w="535"/>
        <w:gridCol w:w="4590"/>
        <w:gridCol w:w="1620"/>
        <w:gridCol w:w="1260"/>
        <w:gridCol w:w="810"/>
      </w:tblGrid>
      <w:tr w:rsidR="0069562F" w:rsidRPr="009A27ED" w14:paraId="66D51172" w14:textId="77777777" w:rsidTr="00103037">
        <w:trPr>
          <w:trHeight w:val="237"/>
          <w:jc w:val="center"/>
        </w:trPr>
        <w:tc>
          <w:tcPr>
            <w:tcW w:w="535" w:type="dxa"/>
            <w:shd w:val="clear" w:color="auto" w:fill="0070C0"/>
          </w:tcPr>
          <w:p w14:paraId="6B784121" w14:textId="77777777" w:rsidR="0004071A" w:rsidRPr="009A27ED" w:rsidRDefault="0004071A" w:rsidP="00103037">
            <w:pPr>
              <w:autoSpaceDE w:val="0"/>
              <w:autoSpaceDN w:val="0"/>
              <w:adjustRightInd w:val="0"/>
              <w:spacing w:after="0"/>
              <w:jc w:val="center"/>
              <w:rPr>
                <w:color w:val="FFFFFF" w:themeColor="background1"/>
                <w:sz w:val="20"/>
                <w:szCs w:val="20"/>
              </w:rPr>
            </w:pPr>
          </w:p>
        </w:tc>
        <w:tc>
          <w:tcPr>
            <w:tcW w:w="4590" w:type="dxa"/>
            <w:shd w:val="clear" w:color="auto" w:fill="0070C0"/>
            <w:vAlign w:val="center"/>
          </w:tcPr>
          <w:p w14:paraId="7F678B11" w14:textId="77777777" w:rsidR="0004071A" w:rsidRPr="009A27ED" w:rsidRDefault="0004071A" w:rsidP="00103037">
            <w:pPr>
              <w:autoSpaceDE w:val="0"/>
              <w:autoSpaceDN w:val="0"/>
              <w:adjustRightInd w:val="0"/>
              <w:spacing w:after="0"/>
              <w:jc w:val="center"/>
              <w:rPr>
                <w:b/>
                <w:color w:val="FFFFFF" w:themeColor="background1"/>
                <w:sz w:val="20"/>
                <w:szCs w:val="20"/>
              </w:rPr>
            </w:pPr>
            <w:r w:rsidRPr="009A27ED">
              <w:rPr>
                <w:b/>
                <w:color w:val="FFFFFF" w:themeColor="background1"/>
                <w:sz w:val="20"/>
                <w:szCs w:val="20"/>
              </w:rPr>
              <w:t>Variable</w:t>
            </w:r>
          </w:p>
        </w:tc>
        <w:tc>
          <w:tcPr>
            <w:tcW w:w="1620" w:type="dxa"/>
            <w:shd w:val="clear" w:color="auto" w:fill="0070C0"/>
            <w:vAlign w:val="center"/>
          </w:tcPr>
          <w:p w14:paraId="424F0396" w14:textId="77777777" w:rsidR="0004071A" w:rsidRPr="009A27ED" w:rsidRDefault="0004071A" w:rsidP="00103037">
            <w:pPr>
              <w:autoSpaceDE w:val="0"/>
              <w:autoSpaceDN w:val="0"/>
              <w:adjustRightInd w:val="0"/>
              <w:spacing w:after="0"/>
              <w:jc w:val="center"/>
              <w:rPr>
                <w:b/>
                <w:color w:val="FFFFFF" w:themeColor="background1"/>
                <w:sz w:val="20"/>
                <w:szCs w:val="20"/>
              </w:rPr>
            </w:pPr>
            <w:r w:rsidRPr="009A27ED">
              <w:rPr>
                <w:b/>
                <w:color w:val="FFFFFF" w:themeColor="background1"/>
                <w:sz w:val="20"/>
                <w:szCs w:val="20"/>
              </w:rPr>
              <w:t>Metropolitana</w:t>
            </w:r>
          </w:p>
        </w:tc>
        <w:tc>
          <w:tcPr>
            <w:tcW w:w="1260" w:type="dxa"/>
            <w:shd w:val="clear" w:color="auto" w:fill="0070C0"/>
            <w:vAlign w:val="center"/>
          </w:tcPr>
          <w:p w14:paraId="6C49676F" w14:textId="77777777" w:rsidR="0004071A" w:rsidRPr="009A27ED" w:rsidRDefault="0004071A" w:rsidP="00103037">
            <w:pPr>
              <w:autoSpaceDE w:val="0"/>
              <w:autoSpaceDN w:val="0"/>
              <w:adjustRightInd w:val="0"/>
              <w:spacing w:after="0"/>
              <w:jc w:val="center"/>
              <w:rPr>
                <w:b/>
                <w:color w:val="FFFFFF" w:themeColor="background1"/>
                <w:sz w:val="20"/>
                <w:szCs w:val="20"/>
              </w:rPr>
            </w:pPr>
            <w:r w:rsidRPr="009A27ED">
              <w:rPr>
                <w:b/>
                <w:color w:val="FFFFFF" w:themeColor="background1"/>
                <w:sz w:val="20"/>
                <w:szCs w:val="20"/>
              </w:rPr>
              <w:t>Resto urbano</w:t>
            </w:r>
          </w:p>
        </w:tc>
        <w:tc>
          <w:tcPr>
            <w:tcW w:w="810" w:type="dxa"/>
            <w:shd w:val="clear" w:color="auto" w:fill="0070C0"/>
            <w:vAlign w:val="center"/>
          </w:tcPr>
          <w:p w14:paraId="5711F446" w14:textId="77777777" w:rsidR="0004071A" w:rsidRPr="009A27ED" w:rsidRDefault="0004071A" w:rsidP="00103037">
            <w:pPr>
              <w:autoSpaceDE w:val="0"/>
              <w:autoSpaceDN w:val="0"/>
              <w:adjustRightInd w:val="0"/>
              <w:spacing w:after="0"/>
              <w:jc w:val="center"/>
              <w:rPr>
                <w:b/>
                <w:color w:val="FFFFFF" w:themeColor="background1"/>
                <w:sz w:val="20"/>
                <w:szCs w:val="20"/>
              </w:rPr>
            </w:pPr>
            <w:r w:rsidRPr="009A27ED">
              <w:rPr>
                <w:b/>
                <w:color w:val="FFFFFF" w:themeColor="background1"/>
                <w:sz w:val="20"/>
                <w:szCs w:val="20"/>
              </w:rPr>
              <w:t>Rural</w:t>
            </w:r>
          </w:p>
        </w:tc>
      </w:tr>
      <w:tr w:rsidR="0004071A" w:rsidRPr="009A27ED" w14:paraId="199ECFDB" w14:textId="77777777" w:rsidTr="00AF66E5">
        <w:trPr>
          <w:trHeight w:val="90"/>
          <w:jc w:val="center"/>
        </w:trPr>
        <w:tc>
          <w:tcPr>
            <w:tcW w:w="535" w:type="dxa"/>
          </w:tcPr>
          <w:p w14:paraId="170B3176" w14:textId="77777777" w:rsidR="0004071A" w:rsidRPr="009A27ED" w:rsidRDefault="0004071A" w:rsidP="00C06E5F">
            <w:pPr>
              <w:autoSpaceDE w:val="0"/>
              <w:autoSpaceDN w:val="0"/>
              <w:adjustRightInd w:val="0"/>
              <w:spacing w:after="0"/>
              <w:rPr>
                <w:sz w:val="20"/>
                <w:szCs w:val="20"/>
              </w:rPr>
            </w:pPr>
            <w:r w:rsidRPr="009A27ED">
              <w:rPr>
                <w:sz w:val="20"/>
                <w:szCs w:val="20"/>
              </w:rPr>
              <w:t xml:space="preserve">1 </w:t>
            </w:r>
          </w:p>
        </w:tc>
        <w:tc>
          <w:tcPr>
            <w:tcW w:w="4590" w:type="dxa"/>
          </w:tcPr>
          <w:p w14:paraId="237536B0" w14:textId="77777777" w:rsidR="0004071A" w:rsidRPr="009A27ED" w:rsidRDefault="0004071A" w:rsidP="00C06E5F">
            <w:pPr>
              <w:autoSpaceDE w:val="0"/>
              <w:autoSpaceDN w:val="0"/>
              <w:adjustRightInd w:val="0"/>
              <w:spacing w:after="0"/>
              <w:rPr>
                <w:sz w:val="20"/>
                <w:szCs w:val="20"/>
              </w:rPr>
            </w:pPr>
            <w:r w:rsidRPr="009A27ED">
              <w:rPr>
                <w:sz w:val="20"/>
                <w:szCs w:val="20"/>
              </w:rPr>
              <w:t xml:space="preserve">Material principal piso de la vivienda </w:t>
            </w:r>
          </w:p>
        </w:tc>
        <w:tc>
          <w:tcPr>
            <w:tcW w:w="1620" w:type="dxa"/>
          </w:tcPr>
          <w:p w14:paraId="62BFC7F7"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c>
          <w:tcPr>
            <w:tcW w:w="1260" w:type="dxa"/>
          </w:tcPr>
          <w:p w14:paraId="72673A40"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c>
          <w:tcPr>
            <w:tcW w:w="810" w:type="dxa"/>
          </w:tcPr>
          <w:p w14:paraId="7D329C30"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r>
      <w:tr w:rsidR="0004071A" w:rsidRPr="009A27ED" w14:paraId="6EB4B427" w14:textId="77777777" w:rsidTr="00AF66E5">
        <w:trPr>
          <w:trHeight w:val="90"/>
          <w:jc w:val="center"/>
        </w:trPr>
        <w:tc>
          <w:tcPr>
            <w:tcW w:w="535" w:type="dxa"/>
          </w:tcPr>
          <w:p w14:paraId="7C98C61E" w14:textId="77777777" w:rsidR="0004071A" w:rsidRPr="009A27ED" w:rsidRDefault="0004071A" w:rsidP="00C06E5F">
            <w:pPr>
              <w:autoSpaceDE w:val="0"/>
              <w:autoSpaceDN w:val="0"/>
              <w:adjustRightInd w:val="0"/>
              <w:spacing w:after="0"/>
              <w:rPr>
                <w:sz w:val="20"/>
                <w:szCs w:val="20"/>
              </w:rPr>
            </w:pPr>
            <w:r w:rsidRPr="009A27ED">
              <w:rPr>
                <w:sz w:val="20"/>
                <w:szCs w:val="20"/>
              </w:rPr>
              <w:t xml:space="preserve">2 </w:t>
            </w:r>
          </w:p>
        </w:tc>
        <w:tc>
          <w:tcPr>
            <w:tcW w:w="4590" w:type="dxa"/>
          </w:tcPr>
          <w:p w14:paraId="0BF56AA2" w14:textId="77777777" w:rsidR="0004071A" w:rsidRPr="009A27ED" w:rsidRDefault="0004071A" w:rsidP="00C06E5F">
            <w:pPr>
              <w:autoSpaceDE w:val="0"/>
              <w:autoSpaceDN w:val="0"/>
              <w:adjustRightInd w:val="0"/>
              <w:spacing w:after="0"/>
              <w:rPr>
                <w:sz w:val="20"/>
                <w:szCs w:val="20"/>
              </w:rPr>
            </w:pPr>
            <w:r w:rsidRPr="009A27ED">
              <w:rPr>
                <w:sz w:val="20"/>
                <w:szCs w:val="20"/>
              </w:rPr>
              <w:t xml:space="preserve">Material principal paredes de la vivienda </w:t>
            </w:r>
          </w:p>
        </w:tc>
        <w:tc>
          <w:tcPr>
            <w:tcW w:w="1620" w:type="dxa"/>
          </w:tcPr>
          <w:p w14:paraId="61087488"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c>
          <w:tcPr>
            <w:tcW w:w="1260" w:type="dxa"/>
          </w:tcPr>
          <w:p w14:paraId="1C6B81A4"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c>
          <w:tcPr>
            <w:tcW w:w="810" w:type="dxa"/>
          </w:tcPr>
          <w:p w14:paraId="63592A32"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r>
      <w:tr w:rsidR="0004071A" w:rsidRPr="009A27ED" w14:paraId="5906AF9E" w14:textId="77777777" w:rsidTr="00AF66E5">
        <w:trPr>
          <w:trHeight w:val="90"/>
          <w:jc w:val="center"/>
        </w:trPr>
        <w:tc>
          <w:tcPr>
            <w:tcW w:w="535" w:type="dxa"/>
          </w:tcPr>
          <w:p w14:paraId="25701CE7" w14:textId="77777777" w:rsidR="0004071A" w:rsidRPr="009A27ED" w:rsidRDefault="0004071A" w:rsidP="00C06E5F">
            <w:pPr>
              <w:autoSpaceDE w:val="0"/>
              <w:autoSpaceDN w:val="0"/>
              <w:adjustRightInd w:val="0"/>
              <w:spacing w:after="0"/>
              <w:rPr>
                <w:sz w:val="20"/>
                <w:szCs w:val="20"/>
              </w:rPr>
            </w:pPr>
            <w:r w:rsidRPr="009A27ED">
              <w:rPr>
                <w:sz w:val="20"/>
                <w:szCs w:val="20"/>
              </w:rPr>
              <w:t xml:space="preserve">3 </w:t>
            </w:r>
          </w:p>
        </w:tc>
        <w:tc>
          <w:tcPr>
            <w:tcW w:w="4590" w:type="dxa"/>
          </w:tcPr>
          <w:p w14:paraId="59119093" w14:textId="77777777" w:rsidR="0004071A" w:rsidRPr="009A27ED" w:rsidRDefault="0004071A" w:rsidP="00C06E5F">
            <w:pPr>
              <w:autoSpaceDE w:val="0"/>
              <w:autoSpaceDN w:val="0"/>
              <w:adjustRightInd w:val="0"/>
              <w:spacing w:after="0"/>
              <w:rPr>
                <w:sz w:val="20"/>
                <w:szCs w:val="20"/>
              </w:rPr>
            </w:pPr>
            <w:r w:rsidRPr="009A27ED">
              <w:rPr>
                <w:sz w:val="20"/>
                <w:szCs w:val="20"/>
              </w:rPr>
              <w:t xml:space="preserve">Material principal techo de la vivienda </w:t>
            </w:r>
          </w:p>
        </w:tc>
        <w:tc>
          <w:tcPr>
            <w:tcW w:w="1620" w:type="dxa"/>
          </w:tcPr>
          <w:p w14:paraId="11E43C42"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c>
          <w:tcPr>
            <w:tcW w:w="1260" w:type="dxa"/>
          </w:tcPr>
          <w:p w14:paraId="7BE8762E"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c>
          <w:tcPr>
            <w:tcW w:w="810" w:type="dxa"/>
          </w:tcPr>
          <w:p w14:paraId="200ACA7C"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r>
      <w:tr w:rsidR="0004071A" w:rsidRPr="009A27ED" w14:paraId="5C73EA09" w14:textId="77777777" w:rsidTr="00AF66E5">
        <w:trPr>
          <w:trHeight w:val="90"/>
          <w:jc w:val="center"/>
        </w:trPr>
        <w:tc>
          <w:tcPr>
            <w:tcW w:w="535" w:type="dxa"/>
          </w:tcPr>
          <w:p w14:paraId="708C1F8E" w14:textId="77777777" w:rsidR="0004071A" w:rsidRPr="009A27ED" w:rsidRDefault="0004071A" w:rsidP="00C06E5F">
            <w:pPr>
              <w:autoSpaceDE w:val="0"/>
              <w:autoSpaceDN w:val="0"/>
              <w:adjustRightInd w:val="0"/>
              <w:spacing w:after="0"/>
              <w:rPr>
                <w:sz w:val="20"/>
                <w:szCs w:val="20"/>
              </w:rPr>
            </w:pPr>
            <w:r w:rsidRPr="009A27ED">
              <w:rPr>
                <w:sz w:val="20"/>
                <w:szCs w:val="20"/>
              </w:rPr>
              <w:t xml:space="preserve">4 </w:t>
            </w:r>
          </w:p>
        </w:tc>
        <w:tc>
          <w:tcPr>
            <w:tcW w:w="4590" w:type="dxa"/>
          </w:tcPr>
          <w:p w14:paraId="4AA37EA6" w14:textId="77777777" w:rsidR="0004071A" w:rsidRPr="009A27ED" w:rsidRDefault="0004071A" w:rsidP="00C06E5F">
            <w:pPr>
              <w:autoSpaceDE w:val="0"/>
              <w:autoSpaceDN w:val="0"/>
              <w:adjustRightInd w:val="0"/>
              <w:spacing w:after="0"/>
              <w:rPr>
                <w:sz w:val="20"/>
                <w:szCs w:val="20"/>
              </w:rPr>
            </w:pPr>
            <w:r w:rsidRPr="009A27ED">
              <w:rPr>
                <w:sz w:val="20"/>
                <w:szCs w:val="20"/>
              </w:rPr>
              <w:t xml:space="preserve">Agua por tubería de red pública </w:t>
            </w:r>
          </w:p>
        </w:tc>
        <w:tc>
          <w:tcPr>
            <w:tcW w:w="1620" w:type="dxa"/>
          </w:tcPr>
          <w:p w14:paraId="7D3E8E14"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c>
          <w:tcPr>
            <w:tcW w:w="1260" w:type="dxa"/>
          </w:tcPr>
          <w:p w14:paraId="63DD850F"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c>
          <w:tcPr>
            <w:tcW w:w="810" w:type="dxa"/>
          </w:tcPr>
          <w:p w14:paraId="44466A97"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r>
      <w:tr w:rsidR="0004071A" w:rsidRPr="009A27ED" w14:paraId="59C26F3E" w14:textId="77777777" w:rsidTr="00AF66E5">
        <w:trPr>
          <w:trHeight w:val="90"/>
          <w:jc w:val="center"/>
        </w:trPr>
        <w:tc>
          <w:tcPr>
            <w:tcW w:w="535" w:type="dxa"/>
          </w:tcPr>
          <w:p w14:paraId="65E64A89" w14:textId="77777777" w:rsidR="0004071A" w:rsidRPr="009A27ED" w:rsidRDefault="0004071A" w:rsidP="00C06E5F">
            <w:pPr>
              <w:autoSpaceDE w:val="0"/>
              <w:autoSpaceDN w:val="0"/>
              <w:adjustRightInd w:val="0"/>
              <w:spacing w:after="0"/>
              <w:rPr>
                <w:sz w:val="20"/>
                <w:szCs w:val="20"/>
              </w:rPr>
            </w:pPr>
            <w:r w:rsidRPr="009A27ED">
              <w:rPr>
                <w:sz w:val="20"/>
                <w:szCs w:val="20"/>
              </w:rPr>
              <w:t xml:space="preserve">5 </w:t>
            </w:r>
          </w:p>
        </w:tc>
        <w:tc>
          <w:tcPr>
            <w:tcW w:w="4590" w:type="dxa"/>
          </w:tcPr>
          <w:p w14:paraId="4EC65FDB" w14:textId="77777777" w:rsidR="0004071A" w:rsidRPr="009A27ED" w:rsidRDefault="0004071A" w:rsidP="00C06E5F">
            <w:pPr>
              <w:autoSpaceDE w:val="0"/>
              <w:autoSpaceDN w:val="0"/>
              <w:adjustRightInd w:val="0"/>
              <w:spacing w:after="0"/>
              <w:rPr>
                <w:sz w:val="20"/>
                <w:szCs w:val="20"/>
              </w:rPr>
            </w:pPr>
            <w:r w:rsidRPr="009A27ED">
              <w:rPr>
                <w:sz w:val="20"/>
                <w:szCs w:val="20"/>
              </w:rPr>
              <w:t xml:space="preserve">Sistema de eliminación de excretas </w:t>
            </w:r>
          </w:p>
        </w:tc>
        <w:tc>
          <w:tcPr>
            <w:tcW w:w="1620" w:type="dxa"/>
          </w:tcPr>
          <w:p w14:paraId="2B583897"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c>
          <w:tcPr>
            <w:tcW w:w="1260" w:type="dxa"/>
          </w:tcPr>
          <w:p w14:paraId="727FBF23"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c>
          <w:tcPr>
            <w:tcW w:w="810" w:type="dxa"/>
          </w:tcPr>
          <w:p w14:paraId="29D48A17"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r>
      <w:tr w:rsidR="0004071A" w:rsidRPr="009A27ED" w14:paraId="3C74ED4B" w14:textId="77777777" w:rsidTr="00AF66E5">
        <w:trPr>
          <w:trHeight w:val="90"/>
          <w:jc w:val="center"/>
        </w:trPr>
        <w:tc>
          <w:tcPr>
            <w:tcW w:w="535" w:type="dxa"/>
          </w:tcPr>
          <w:p w14:paraId="13328407" w14:textId="77777777" w:rsidR="0004071A" w:rsidRPr="009A27ED" w:rsidRDefault="0004071A" w:rsidP="00C06E5F">
            <w:pPr>
              <w:autoSpaceDE w:val="0"/>
              <w:autoSpaceDN w:val="0"/>
              <w:adjustRightInd w:val="0"/>
              <w:spacing w:after="0"/>
              <w:rPr>
                <w:sz w:val="20"/>
                <w:szCs w:val="20"/>
              </w:rPr>
            </w:pPr>
            <w:r w:rsidRPr="009A27ED">
              <w:rPr>
                <w:sz w:val="20"/>
                <w:szCs w:val="20"/>
              </w:rPr>
              <w:t xml:space="preserve">6 </w:t>
            </w:r>
          </w:p>
        </w:tc>
        <w:tc>
          <w:tcPr>
            <w:tcW w:w="4590" w:type="dxa"/>
          </w:tcPr>
          <w:p w14:paraId="13FFC69B" w14:textId="77777777" w:rsidR="0004071A" w:rsidRPr="009A27ED" w:rsidRDefault="0004071A" w:rsidP="00C06E5F">
            <w:pPr>
              <w:autoSpaceDE w:val="0"/>
              <w:autoSpaceDN w:val="0"/>
              <w:adjustRightInd w:val="0"/>
              <w:spacing w:after="0"/>
              <w:rPr>
                <w:sz w:val="20"/>
                <w:szCs w:val="20"/>
              </w:rPr>
            </w:pPr>
            <w:r w:rsidRPr="009A27ED">
              <w:rPr>
                <w:sz w:val="20"/>
                <w:szCs w:val="20"/>
              </w:rPr>
              <w:t xml:space="preserve">Sistema de iluminación de la vivienda </w:t>
            </w:r>
          </w:p>
        </w:tc>
        <w:tc>
          <w:tcPr>
            <w:tcW w:w="1620" w:type="dxa"/>
          </w:tcPr>
          <w:p w14:paraId="5672D56A"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c>
          <w:tcPr>
            <w:tcW w:w="1260" w:type="dxa"/>
          </w:tcPr>
          <w:p w14:paraId="0E722AB0"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c>
          <w:tcPr>
            <w:tcW w:w="810" w:type="dxa"/>
          </w:tcPr>
          <w:p w14:paraId="4CDC59FC"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r>
      <w:tr w:rsidR="0004071A" w:rsidRPr="009A27ED" w14:paraId="3B67699D" w14:textId="77777777" w:rsidTr="00AF66E5">
        <w:trPr>
          <w:trHeight w:val="90"/>
          <w:jc w:val="center"/>
        </w:trPr>
        <w:tc>
          <w:tcPr>
            <w:tcW w:w="535" w:type="dxa"/>
          </w:tcPr>
          <w:p w14:paraId="6CC01A6E" w14:textId="77777777" w:rsidR="0004071A" w:rsidRPr="009A27ED" w:rsidRDefault="0004071A" w:rsidP="00C06E5F">
            <w:pPr>
              <w:autoSpaceDE w:val="0"/>
              <w:autoSpaceDN w:val="0"/>
              <w:adjustRightInd w:val="0"/>
              <w:spacing w:after="0"/>
              <w:rPr>
                <w:sz w:val="20"/>
                <w:szCs w:val="20"/>
              </w:rPr>
            </w:pPr>
            <w:r w:rsidRPr="009A27ED">
              <w:rPr>
                <w:sz w:val="20"/>
                <w:szCs w:val="20"/>
              </w:rPr>
              <w:t xml:space="preserve">7 </w:t>
            </w:r>
          </w:p>
        </w:tc>
        <w:tc>
          <w:tcPr>
            <w:tcW w:w="4590" w:type="dxa"/>
          </w:tcPr>
          <w:p w14:paraId="20C2D30B" w14:textId="77777777" w:rsidR="0004071A" w:rsidRPr="009A27ED" w:rsidRDefault="0004071A" w:rsidP="00C06E5F">
            <w:pPr>
              <w:autoSpaceDE w:val="0"/>
              <w:autoSpaceDN w:val="0"/>
              <w:adjustRightInd w:val="0"/>
              <w:spacing w:after="0"/>
              <w:rPr>
                <w:sz w:val="20"/>
                <w:szCs w:val="20"/>
              </w:rPr>
            </w:pPr>
            <w:r w:rsidRPr="009A27ED">
              <w:rPr>
                <w:sz w:val="20"/>
                <w:szCs w:val="20"/>
              </w:rPr>
              <w:t xml:space="preserve">Sistema de eliminación de basura </w:t>
            </w:r>
          </w:p>
        </w:tc>
        <w:tc>
          <w:tcPr>
            <w:tcW w:w="1620" w:type="dxa"/>
          </w:tcPr>
          <w:p w14:paraId="6D2701D1" w14:textId="77777777" w:rsidR="0004071A" w:rsidRPr="009A27ED" w:rsidRDefault="0004071A" w:rsidP="00C06E5F">
            <w:pPr>
              <w:autoSpaceDE w:val="0"/>
              <w:autoSpaceDN w:val="0"/>
              <w:adjustRightInd w:val="0"/>
              <w:spacing w:after="0"/>
              <w:jc w:val="center"/>
              <w:rPr>
                <w:sz w:val="20"/>
                <w:szCs w:val="20"/>
              </w:rPr>
            </w:pPr>
          </w:p>
        </w:tc>
        <w:tc>
          <w:tcPr>
            <w:tcW w:w="1260" w:type="dxa"/>
          </w:tcPr>
          <w:p w14:paraId="0C7DB14E"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c>
          <w:tcPr>
            <w:tcW w:w="810" w:type="dxa"/>
          </w:tcPr>
          <w:p w14:paraId="4D07B2E9"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r>
      <w:tr w:rsidR="0004071A" w:rsidRPr="009A27ED" w14:paraId="78D8C850" w14:textId="77777777" w:rsidTr="00AF66E5">
        <w:trPr>
          <w:trHeight w:val="90"/>
          <w:jc w:val="center"/>
        </w:trPr>
        <w:tc>
          <w:tcPr>
            <w:tcW w:w="535" w:type="dxa"/>
          </w:tcPr>
          <w:p w14:paraId="094B8521" w14:textId="77777777" w:rsidR="0004071A" w:rsidRPr="009A27ED" w:rsidRDefault="0004071A" w:rsidP="00C06E5F">
            <w:pPr>
              <w:autoSpaceDE w:val="0"/>
              <w:autoSpaceDN w:val="0"/>
              <w:adjustRightInd w:val="0"/>
              <w:spacing w:after="0"/>
              <w:rPr>
                <w:sz w:val="20"/>
                <w:szCs w:val="20"/>
              </w:rPr>
            </w:pPr>
            <w:r w:rsidRPr="009A27ED">
              <w:rPr>
                <w:sz w:val="20"/>
                <w:szCs w:val="20"/>
              </w:rPr>
              <w:t xml:space="preserve">8 </w:t>
            </w:r>
          </w:p>
        </w:tc>
        <w:tc>
          <w:tcPr>
            <w:tcW w:w="4590" w:type="dxa"/>
          </w:tcPr>
          <w:p w14:paraId="313EF557" w14:textId="77777777" w:rsidR="0004071A" w:rsidRPr="009A27ED" w:rsidRDefault="0004071A" w:rsidP="00C06E5F">
            <w:pPr>
              <w:autoSpaceDE w:val="0"/>
              <w:autoSpaceDN w:val="0"/>
              <w:adjustRightInd w:val="0"/>
              <w:spacing w:after="0"/>
              <w:rPr>
                <w:sz w:val="20"/>
                <w:szCs w:val="20"/>
              </w:rPr>
            </w:pPr>
            <w:r w:rsidRPr="009A27ED">
              <w:rPr>
                <w:sz w:val="20"/>
                <w:szCs w:val="20"/>
              </w:rPr>
              <w:t xml:space="preserve">Combustible usado para cocinar </w:t>
            </w:r>
          </w:p>
        </w:tc>
        <w:tc>
          <w:tcPr>
            <w:tcW w:w="1620" w:type="dxa"/>
          </w:tcPr>
          <w:p w14:paraId="5756E6D7"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c>
          <w:tcPr>
            <w:tcW w:w="1260" w:type="dxa"/>
          </w:tcPr>
          <w:p w14:paraId="3BE2B6F3"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c>
          <w:tcPr>
            <w:tcW w:w="810" w:type="dxa"/>
          </w:tcPr>
          <w:p w14:paraId="039150E3"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r>
      <w:tr w:rsidR="0004071A" w:rsidRPr="009A27ED" w14:paraId="75AFF6EB" w14:textId="77777777" w:rsidTr="00AF66E5">
        <w:trPr>
          <w:trHeight w:val="90"/>
          <w:jc w:val="center"/>
        </w:trPr>
        <w:tc>
          <w:tcPr>
            <w:tcW w:w="535" w:type="dxa"/>
          </w:tcPr>
          <w:p w14:paraId="2F899994" w14:textId="77777777" w:rsidR="0004071A" w:rsidRPr="009A27ED" w:rsidRDefault="0004071A" w:rsidP="00C06E5F">
            <w:pPr>
              <w:autoSpaceDE w:val="0"/>
              <w:autoSpaceDN w:val="0"/>
              <w:adjustRightInd w:val="0"/>
              <w:spacing w:after="0"/>
              <w:rPr>
                <w:sz w:val="20"/>
                <w:szCs w:val="20"/>
              </w:rPr>
            </w:pPr>
            <w:r w:rsidRPr="009A27ED">
              <w:rPr>
                <w:sz w:val="20"/>
                <w:szCs w:val="20"/>
              </w:rPr>
              <w:t xml:space="preserve">9 </w:t>
            </w:r>
          </w:p>
        </w:tc>
        <w:tc>
          <w:tcPr>
            <w:tcW w:w="4590" w:type="dxa"/>
          </w:tcPr>
          <w:p w14:paraId="4CD587A0" w14:textId="77777777" w:rsidR="0004071A" w:rsidRPr="009A27ED" w:rsidRDefault="0004071A" w:rsidP="00C06E5F">
            <w:pPr>
              <w:autoSpaceDE w:val="0"/>
              <w:autoSpaceDN w:val="0"/>
              <w:adjustRightInd w:val="0"/>
              <w:spacing w:after="0"/>
              <w:rPr>
                <w:sz w:val="20"/>
                <w:szCs w:val="20"/>
              </w:rPr>
            </w:pPr>
            <w:r w:rsidRPr="009A27ED">
              <w:rPr>
                <w:sz w:val="20"/>
                <w:szCs w:val="20"/>
              </w:rPr>
              <w:t xml:space="preserve">Tipo de vivienda </w:t>
            </w:r>
          </w:p>
        </w:tc>
        <w:tc>
          <w:tcPr>
            <w:tcW w:w="1620" w:type="dxa"/>
          </w:tcPr>
          <w:p w14:paraId="36C0DC31" w14:textId="77777777" w:rsidR="0004071A" w:rsidRPr="009A27ED" w:rsidRDefault="0004071A" w:rsidP="00C06E5F">
            <w:pPr>
              <w:autoSpaceDE w:val="0"/>
              <w:autoSpaceDN w:val="0"/>
              <w:adjustRightInd w:val="0"/>
              <w:spacing w:after="0"/>
              <w:jc w:val="center"/>
              <w:rPr>
                <w:sz w:val="20"/>
                <w:szCs w:val="20"/>
              </w:rPr>
            </w:pPr>
          </w:p>
        </w:tc>
        <w:tc>
          <w:tcPr>
            <w:tcW w:w="1260" w:type="dxa"/>
          </w:tcPr>
          <w:p w14:paraId="1FCC2031"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c>
          <w:tcPr>
            <w:tcW w:w="810" w:type="dxa"/>
          </w:tcPr>
          <w:p w14:paraId="74FBA9DA"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r>
      <w:tr w:rsidR="0004071A" w:rsidRPr="009A27ED" w14:paraId="4D602236" w14:textId="77777777" w:rsidTr="00AF66E5">
        <w:trPr>
          <w:trHeight w:val="90"/>
          <w:jc w:val="center"/>
        </w:trPr>
        <w:tc>
          <w:tcPr>
            <w:tcW w:w="535" w:type="dxa"/>
          </w:tcPr>
          <w:p w14:paraId="7AA096C5" w14:textId="77777777" w:rsidR="0004071A" w:rsidRPr="009A27ED" w:rsidRDefault="0004071A" w:rsidP="00C06E5F">
            <w:pPr>
              <w:autoSpaceDE w:val="0"/>
              <w:autoSpaceDN w:val="0"/>
              <w:adjustRightInd w:val="0"/>
              <w:spacing w:after="0"/>
              <w:rPr>
                <w:sz w:val="20"/>
                <w:szCs w:val="20"/>
              </w:rPr>
            </w:pPr>
            <w:r w:rsidRPr="009A27ED">
              <w:rPr>
                <w:sz w:val="20"/>
                <w:szCs w:val="20"/>
              </w:rPr>
              <w:t xml:space="preserve">10 </w:t>
            </w:r>
          </w:p>
        </w:tc>
        <w:tc>
          <w:tcPr>
            <w:tcW w:w="4590" w:type="dxa"/>
          </w:tcPr>
          <w:p w14:paraId="7DC4F814" w14:textId="77777777" w:rsidR="0004071A" w:rsidRPr="009A27ED" w:rsidRDefault="0004071A" w:rsidP="00C06E5F">
            <w:pPr>
              <w:autoSpaceDE w:val="0"/>
              <w:autoSpaceDN w:val="0"/>
              <w:adjustRightInd w:val="0"/>
              <w:spacing w:after="0"/>
              <w:rPr>
                <w:sz w:val="20"/>
                <w:szCs w:val="20"/>
              </w:rPr>
            </w:pPr>
            <w:r w:rsidRPr="009A27ED">
              <w:rPr>
                <w:sz w:val="20"/>
                <w:szCs w:val="20"/>
              </w:rPr>
              <w:t xml:space="preserve">Equipamiento familiar </w:t>
            </w:r>
          </w:p>
        </w:tc>
        <w:tc>
          <w:tcPr>
            <w:tcW w:w="1620" w:type="dxa"/>
          </w:tcPr>
          <w:p w14:paraId="086E027E"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c>
          <w:tcPr>
            <w:tcW w:w="1260" w:type="dxa"/>
          </w:tcPr>
          <w:p w14:paraId="7F624C8C"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c>
          <w:tcPr>
            <w:tcW w:w="810" w:type="dxa"/>
          </w:tcPr>
          <w:p w14:paraId="791FA093"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r>
      <w:tr w:rsidR="0004071A" w:rsidRPr="009A27ED" w14:paraId="2314AE93" w14:textId="77777777" w:rsidTr="00AF66E5">
        <w:trPr>
          <w:trHeight w:val="90"/>
          <w:jc w:val="center"/>
        </w:trPr>
        <w:tc>
          <w:tcPr>
            <w:tcW w:w="535" w:type="dxa"/>
          </w:tcPr>
          <w:p w14:paraId="7C0D405D" w14:textId="77777777" w:rsidR="0004071A" w:rsidRPr="009A27ED" w:rsidRDefault="0004071A" w:rsidP="00C06E5F">
            <w:pPr>
              <w:autoSpaceDE w:val="0"/>
              <w:autoSpaceDN w:val="0"/>
              <w:adjustRightInd w:val="0"/>
              <w:spacing w:after="0"/>
              <w:rPr>
                <w:sz w:val="20"/>
                <w:szCs w:val="20"/>
              </w:rPr>
            </w:pPr>
            <w:r w:rsidRPr="009A27ED">
              <w:rPr>
                <w:sz w:val="20"/>
                <w:szCs w:val="20"/>
              </w:rPr>
              <w:t xml:space="preserve">11 </w:t>
            </w:r>
          </w:p>
        </w:tc>
        <w:tc>
          <w:tcPr>
            <w:tcW w:w="4590" w:type="dxa"/>
          </w:tcPr>
          <w:p w14:paraId="236B2C51" w14:textId="77777777" w:rsidR="0004071A" w:rsidRPr="009A27ED" w:rsidRDefault="0004071A" w:rsidP="00C06E5F">
            <w:pPr>
              <w:autoSpaceDE w:val="0"/>
              <w:autoSpaceDN w:val="0"/>
              <w:adjustRightInd w:val="0"/>
              <w:spacing w:after="0"/>
              <w:rPr>
                <w:sz w:val="20"/>
                <w:szCs w:val="20"/>
              </w:rPr>
            </w:pPr>
            <w:r w:rsidRPr="009A27ED">
              <w:rPr>
                <w:sz w:val="20"/>
                <w:szCs w:val="20"/>
              </w:rPr>
              <w:t xml:space="preserve">Hacinamiento: personas/dormitorio </w:t>
            </w:r>
          </w:p>
        </w:tc>
        <w:tc>
          <w:tcPr>
            <w:tcW w:w="1620" w:type="dxa"/>
          </w:tcPr>
          <w:p w14:paraId="618FF511"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c>
          <w:tcPr>
            <w:tcW w:w="1260" w:type="dxa"/>
          </w:tcPr>
          <w:p w14:paraId="6AB97E9D"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c>
          <w:tcPr>
            <w:tcW w:w="810" w:type="dxa"/>
          </w:tcPr>
          <w:p w14:paraId="693B4D63"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r>
      <w:tr w:rsidR="0004071A" w:rsidRPr="009A27ED" w14:paraId="48E11067" w14:textId="77777777" w:rsidTr="00AF66E5">
        <w:trPr>
          <w:trHeight w:val="90"/>
          <w:jc w:val="center"/>
        </w:trPr>
        <w:tc>
          <w:tcPr>
            <w:tcW w:w="535" w:type="dxa"/>
          </w:tcPr>
          <w:p w14:paraId="6B7A0E8C" w14:textId="77777777" w:rsidR="0004071A" w:rsidRPr="009A27ED" w:rsidRDefault="0004071A" w:rsidP="00C06E5F">
            <w:pPr>
              <w:autoSpaceDE w:val="0"/>
              <w:autoSpaceDN w:val="0"/>
              <w:adjustRightInd w:val="0"/>
              <w:spacing w:after="0"/>
              <w:rPr>
                <w:sz w:val="20"/>
                <w:szCs w:val="20"/>
              </w:rPr>
            </w:pPr>
            <w:r w:rsidRPr="009A27ED">
              <w:rPr>
                <w:sz w:val="20"/>
                <w:szCs w:val="20"/>
              </w:rPr>
              <w:t xml:space="preserve">12 </w:t>
            </w:r>
          </w:p>
        </w:tc>
        <w:tc>
          <w:tcPr>
            <w:tcW w:w="4590" w:type="dxa"/>
          </w:tcPr>
          <w:p w14:paraId="448D0632" w14:textId="77777777" w:rsidR="0004071A" w:rsidRPr="009A27ED" w:rsidRDefault="0004071A" w:rsidP="00C06E5F">
            <w:pPr>
              <w:autoSpaceDE w:val="0"/>
              <w:autoSpaceDN w:val="0"/>
              <w:adjustRightInd w:val="0"/>
              <w:spacing w:after="0"/>
              <w:rPr>
                <w:sz w:val="20"/>
                <w:szCs w:val="20"/>
              </w:rPr>
            </w:pPr>
            <w:r w:rsidRPr="009A27ED">
              <w:rPr>
                <w:sz w:val="20"/>
                <w:szCs w:val="20"/>
              </w:rPr>
              <w:t xml:space="preserve">Años de educación del jefe/a de hogar </w:t>
            </w:r>
          </w:p>
        </w:tc>
        <w:tc>
          <w:tcPr>
            <w:tcW w:w="1620" w:type="dxa"/>
          </w:tcPr>
          <w:p w14:paraId="71339762"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c>
          <w:tcPr>
            <w:tcW w:w="1260" w:type="dxa"/>
          </w:tcPr>
          <w:p w14:paraId="63438808"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c>
          <w:tcPr>
            <w:tcW w:w="810" w:type="dxa"/>
          </w:tcPr>
          <w:p w14:paraId="30C67772"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r>
      <w:tr w:rsidR="0004071A" w:rsidRPr="009A27ED" w14:paraId="0B396D33" w14:textId="77777777" w:rsidTr="00AF66E5">
        <w:trPr>
          <w:trHeight w:val="90"/>
          <w:jc w:val="center"/>
        </w:trPr>
        <w:tc>
          <w:tcPr>
            <w:tcW w:w="535" w:type="dxa"/>
          </w:tcPr>
          <w:p w14:paraId="7D3F1DE6" w14:textId="77777777" w:rsidR="0004071A" w:rsidRPr="009A27ED" w:rsidRDefault="0004071A" w:rsidP="00C06E5F">
            <w:pPr>
              <w:autoSpaceDE w:val="0"/>
              <w:autoSpaceDN w:val="0"/>
              <w:adjustRightInd w:val="0"/>
              <w:spacing w:after="0"/>
              <w:rPr>
                <w:sz w:val="20"/>
                <w:szCs w:val="20"/>
              </w:rPr>
            </w:pPr>
            <w:r w:rsidRPr="009A27ED">
              <w:rPr>
                <w:sz w:val="20"/>
                <w:szCs w:val="20"/>
              </w:rPr>
              <w:t xml:space="preserve">13 </w:t>
            </w:r>
          </w:p>
        </w:tc>
        <w:tc>
          <w:tcPr>
            <w:tcW w:w="4590" w:type="dxa"/>
          </w:tcPr>
          <w:p w14:paraId="796B02A1" w14:textId="77777777" w:rsidR="0004071A" w:rsidRPr="009A27ED" w:rsidRDefault="0004071A" w:rsidP="00C06E5F">
            <w:pPr>
              <w:autoSpaceDE w:val="0"/>
              <w:autoSpaceDN w:val="0"/>
              <w:adjustRightInd w:val="0"/>
              <w:spacing w:after="0"/>
              <w:rPr>
                <w:sz w:val="20"/>
                <w:szCs w:val="20"/>
              </w:rPr>
            </w:pPr>
            <w:r w:rsidRPr="009A27ED">
              <w:rPr>
                <w:sz w:val="20"/>
                <w:szCs w:val="20"/>
              </w:rPr>
              <w:t xml:space="preserve">Años de educación promedio hogar (&gt; 15 años) </w:t>
            </w:r>
          </w:p>
        </w:tc>
        <w:tc>
          <w:tcPr>
            <w:tcW w:w="1620" w:type="dxa"/>
          </w:tcPr>
          <w:p w14:paraId="1950C0EB"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c>
          <w:tcPr>
            <w:tcW w:w="1260" w:type="dxa"/>
          </w:tcPr>
          <w:p w14:paraId="4A05B689"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c>
          <w:tcPr>
            <w:tcW w:w="810" w:type="dxa"/>
          </w:tcPr>
          <w:p w14:paraId="58388454"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r>
      <w:tr w:rsidR="0004071A" w:rsidRPr="009A27ED" w14:paraId="4AF73E87" w14:textId="77777777" w:rsidTr="00AF66E5">
        <w:trPr>
          <w:trHeight w:val="90"/>
          <w:jc w:val="center"/>
        </w:trPr>
        <w:tc>
          <w:tcPr>
            <w:tcW w:w="535" w:type="dxa"/>
          </w:tcPr>
          <w:p w14:paraId="351EF979" w14:textId="77777777" w:rsidR="0004071A" w:rsidRPr="009A27ED" w:rsidRDefault="0004071A" w:rsidP="00C06E5F">
            <w:pPr>
              <w:autoSpaceDE w:val="0"/>
              <w:autoSpaceDN w:val="0"/>
              <w:adjustRightInd w:val="0"/>
              <w:spacing w:after="0"/>
              <w:rPr>
                <w:sz w:val="20"/>
                <w:szCs w:val="20"/>
              </w:rPr>
            </w:pPr>
            <w:r w:rsidRPr="009A27ED">
              <w:rPr>
                <w:sz w:val="20"/>
                <w:szCs w:val="20"/>
              </w:rPr>
              <w:t xml:space="preserve">14 </w:t>
            </w:r>
          </w:p>
        </w:tc>
        <w:tc>
          <w:tcPr>
            <w:tcW w:w="4590" w:type="dxa"/>
          </w:tcPr>
          <w:p w14:paraId="0055566D" w14:textId="77777777" w:rsidR="0004071A" w:rsidRPr="009A27ED" w:rsidRDefault="0004071A" w:rsidP="00C06E5F">
            <w:pPr>
              <w:autoSpaceDE w:val="0"/>
              <w:autoSpaceDN w:val="0"/>
              <w:adjustRightInd w:val="0"/>
              <w:spacing w:after="0"/>
              <w:rPr>
                <w:sz w:val="20"/>
                <w:szCs w:val="20"/>
              </w:rPr>
            </w:pPr>
            <w:r w:rsidRPr="009A27ED">
              <w:rPr>
                <w:sz w:val="20"/>
                <w:szCs w:val="20"/>
              </w:rPr>
              <w:t xml:space="preserve">Porcentaje de alfabetos en el hogar (&gt;=15 años) </w:t>
            </w:r>
          </w:p>
        </w:tc>
        <w:tc>
          <w:tcPr>
            <w:tcW w:w="1620" w:type="dxa"/>
          </w:tcPr>
          <w:p w14:paraId="64E1414D"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c>
          <w:tcPr>
            <w:tcW w:w="1260" w:type="dxa"/>
          </w:tcPr>
          <w:p w14:paraId="30931F89"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c>
          <w:tcPr>
            <w:tcW w:w="810" w:type="dxa"/>
          </w:tcPr>
          <w:p w14:paraId="172D969A"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r>
      <w:tr w:rsidR="0004071A" w:rsidRPr="009A27ED" w14:paraId="4C0781BB" w14:textId="77777777" w:rsidTr="00AF66E5">
        <w:trPr>
          <w:trHeight w:val="90"/>
          <w:jc w:val="center"/>
        </w:trPr>
        <w:tc>
          <w:tcPr>
            <w:tcW w:w="535" w:type="dxa"/>
          </w:tcPr>
          <w:p w14:paraId="0A269DCF" w14:textId="77777777" w:rsidR="0004071A" w:rsidRPr="009A27ED" w:rsidRDefault="0004071A" w:rsidP="00C06E5F">
            <w:pPr>
              <w:autoSpaceDE w:val="0"/>
              <w:autoSpaceDN w:val="0"/>
              <w:adjustRightInd w:val="0"/>
              <w:spacing w:after="0"/>
              <w:rPr>
                <w:sz w:val="20"/>
                <w:szCs w:val="20"/>
              </w:rPr>
            </w:pPr>
            <w:r w:rsidRPr="009A27ED">
              <w:rPr>
                <w:sz w:val="20"/>
                <w:szCs w:val="20"/>
              </w:rPr>
              <w:t xml:space="preserve">15 </w:t>
            </w:r>
          </w:p>
        </w:tc>
        <w:tc>
          <w:tcPr>
            <w:tcW w:w="4590" w:type="dxa"/>
          </w:tcPr>
          <w:p w14:paraId="0680BCBC" w14:textId="77777777" w:rsidR="0004071A" w:rsidRPr="009A27ED" w:rsidRDefault="0004071A" w:rsidP="00C06E5F">
            <w:pPr>
              <w:autoSpaceDE w:val="0"/>
              <w:autoSpaceDN w:val="0"/>
              <w:adjustRightInd w:val="0"/>
              <w:spacing w:after="0"/>
              <w:rPr>
                <w:sz w:val="20"/>
                <w:szCs w:val="20"/>
              </w:rPr>
            </w:pPr>
            <w:r w:rsidRPr="009A27ED">
              <w:rPr>
                <w:sz w:val="20"/>
                <w:szCs w:val="20"/>
              </w:rPr>
              <w:t xml:space="preserve">Porcentaje de menores de 5 años </w:t>
            </w:r>
          </w:p>
        </w:tc>
        <w:tc>
          <w:tcPr>
            <w:tcW w:w="1620" w:type="dxa"/>
          </w:tcPr>
          <w:p w14:paraId="13D5240F"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c>
          <w:tcPr>
            <w:tcW w:w="1260" w:type="dxa"/>
          </w:tcPr>
          <w:p w14:paraId="72D509EB" w14:textId="77777777" w:rsidR="0004071A" w:rsidRPr="009A27ED" w:rsidRDefault="0004071A" w:rsidP="00C06E5F">
            <w:pPr>
              <w:autoSpaceDE w:val="0"/>
              <w:autoSpaceDN w:val="0"/>
              <w:adjustRightInd w:val="0"/>
              <w:spacing w:after="0"/>
              <w:jc w:val="center"/>
              <w:rPr>
                <w:sz w:val="20"/>
                <w:szCs w:val="20"/>
              </w:rPr>
            </w:pPr>
          </w:p>
        </w:tc>
        <w:tc>
          <w:tcPr>
            <w:tcW w:w="810" w:type="dxa"/>
          </w:tcPr>
          <w:p w14:paraId="71EA7E98" w14:textId="77777777" w:rsidR="0004071A" w:rsidRPr="009A27ED" w:rsidRDefault="0004071A" w:rsidP="00C06E5F">
            <w:pPr>
              <w:autoSpaceDE w:val="0"/>
              <w:autoSpaceDN w:val="0"/>
              <w:adjustRightInd w:val="0"/>
              <w:spacing w:after="0"/>
              <w:jc w:val="center"/>
              <w:rPr>
                <w:sz w:val="20"/>
                <w:szCs w:val="20"/>
              </w:rPr>
            </w:pPr>
          </w:p>
        </w:tc>
      </w:tr>
      <w:tr w:rsidR="0004071A" w:rsidRPr="009A27ED" w14:paraId="0C54C29B" w14:textId="77777777" w:rsidTr="00AF66E5">
        <w:trPr>
          <w:trHeight w:val="90"/>
          <w:jc w:val="center"/>
        </w:trPr>
        <w:tc>
          <w:tcPr>
            <w:tcW w:w="535" w:type="dxa"/>
          </w:tcPr>
          <w:p w14:paraId="5708CE28" w14:textId="77777777" w:rsidR="0004071A" w:rsidRPr="009A27ED" w:rsidRDefault="0004071A" w:rsidP="00C06E5F">
            <w:pPr>
              <w:autoSpaceDE w:val="0"/>
              <w:autoSpaceDN w:val="0"/>
              <w:adjustRightInd w:val="0"/>
              <w:spacing w:after="0"/>
              <w:rPr>
                <w:sz w:val="20"/>
                <w:szCs w:val="20"/>
              </w:rPr>
            </w:pPr>
            <w:r w:rsidRPr="009A27ED">
              <w:rPr>
                <w:sz w:val="20"/>
                <w:szCs w:val="20"/>
              </w:rPr>
              <w:t xml:space="preserve">16 </w:t>
            </w:r>
          </w:p>
        </w:tc>
        <w:tc>
          <w:tcPr>
            <w:tcW w:w="4590" w:type="dxa"/>
          </w:tcPr>
          <w:p w14:paraId="07D9AB9A" w14:textId="77777777" w:rsidR="0004071A" w:rsidRPr="009A27ED" w:rsidRDefault="0004071A" w:rsidP="00C06E5F">
            <w:pPr>
              <w:autoSpaceDE w:val="0"/>
              <w:autoSpaceDN w:val="0"/>
              <w:adjustRightInd w:val="0"/>
              <w:spacing w:after="0"/>
              <w:rPr>
                <w:sz w:val="20"/>
                <w:szCs w:val="20"/>
              </w:rPr>
            </w:pPr>
            <w:r w:rsidRPr="009A27ED">
              <w:rPr>
                <w:sz w:val="20"/>
                <w:szCs w:val="20"/>
              </w:rPr>
              <w:t xml:space="preserve">Asistencia escolar de 6-14 años </w:t>
            </w:r>
          </w:p>
        </w:tc>
        <w:tc>
          <w:tcPr>
            <w:tcW w:w="1620" w:type="dxa"/>
          </w:tcPr>
          <w:p w14:paraId="4498E8F8"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c>
          <w:tcPr>
            <w:tcW w:w="1260" w:type="dxa"/>
          </w:tcPr>
          <w:p w14:paraId="392E4A83" w14:textId="77777777" w:rsidR="0004071A" w:rsidRPr="009A27ED" w:rsidRDefault="0004071A" w:rsidP="00C06E5F">
            <w:pPr>
              <w:autoSpaceDE w:val="0"/>
              <w:autoSpaceDN w:val="0"/>
              <w:adjustRightInd w:val="0"/>
              <w:spacing w:after="0"/>
              <w:jc w:val="center"/>
              <w:rPr>
                <w:sz w:val="20"/>
                <w:szCs w:val="20"/>
              </w:rPr>
            </w:pPr>
          </w:p>
        </w:tc>
        <w:tc>
          <w:tcPr>
            <w:tcW w:w="810" w:type="dxa"/>
          </w:tcPr>
          <w:p w14:paraId="3FED43F4" w14:textId="77777777" w:rsidR="0004071A" w:rsidRPr="009A27ED" w:rsidRDefault="0004071A" w:rsidP="00C06E5F">
            <w:pPr>
              <w:autoSpaceDE w:val="0"/>
              <w:autoSpaceDN w:val="0"/>
              <w:adjustRightInd w:val="0"/>
              <w:spacing w:after="0"/>
              <w:jc w:val="center"/>
              <w:rPr>
                <w:sz w:val="20"/>
                <w:szCs w:val="20"/>
              </w:rPr>
            </w:pPr>
          </w:p>
        </w:tc>
      </w:tr>
      <w:tr w:rsidR="0004071A" w:rsidRPr="009A27ED" w14:paraId="7C6C1F92" w14:textId="77777777" w:rsidTr="00AF66E5">
        <w:trPr>
          <w:trHeight w:val="90"/>
          <w:jc w:val="center"/>
        </w:trPr>
        <w:tc>
          <w:tcPr>
            <w:tcW w:w="535" w:type="dxa"/>
          </w:tcPr>
          <w:p w14:paraId="2ABA7B6B" w14:textId="77777777" w:rsidR="0004071A" w:rsidRPr="009A27ED" w:rsidRDefault="0004071A" w:rsidP="00C06E5F">
            <w:pPr>
              <w:autoSpaceDE w:val="0"/>
              <w:autoSpaceDN w:val="0"/>
              <w:adjustRightInd w:val="0"/>
              <w:spacing w:after="0"/>
              <w:rPr>
                <w:sz w:val="20"/>
                <w:szCs w:val="20"/>
              </w:rPr>
            </w:pPr>
            <w:r w:rsidRPr="009A27ED">
              <w:rPr>
                <w:sz w:val="20"/>
                <w:szCs w:val="20"/>
              </w:rPr>
              <w:t xml:space="preserve">17 </w:t>
            </w:r>
          </w:p>
        </w:tc>
        <w:tc>
          <w:tcPr>
            <w:tcW w:w="4590" w:type="dxa"/>
          </w:tcPr>
          <w:p w14:paraId="4F1D79CF" w14:textId="77777777" w:rsidR="0004071A" w:rsidRPr="009A27ED" w:rsidRDefault="0004071A" w:rsidP="00C06E5F">
            <w:pPr>
              <w:autoSpaceDE w:val="0"/>
              <w:autoSpaceDN w:val="0"/>
              <w:adjustRightInd w:val="0"/>
              <w:spacing w:after="0"/>
              <w:rPr>
                <w:sz w:val="20"/>
                <w:szCs w:val="20"/>
              </w:rPr>
            </w:pPr>
            <w:r w:rsidRPr="009A27ED">
              <w:rPr>
                <w:sz w:val="20"/>
                <w:szCs w:val="20"/>
              </w:rPr>
              <w:t xml:space="preserve">Provincia </w:t>
            </w:r>
          </w:p>
        </w:tc>
        <w:tc>
          <w:tcPr>
            <w:tcW w:w="1620" w:type="dxa"/>
          </w:tcPr>
          <w:p w14:paraId="38D6CE0B" w14:textId="77777777" w:rsidR="0004071A" w:rsidRPr="009A27ED" w:rsidRDefault="0004071A" w:rsidP="00C06E5F">
            <w:pPr>
              <w:autoSpaceDE w:val="0"/>
              <w:autoSpaceDN w:val="0"/>
              <w:adjustRightInd w:val="0"/>
              <w:spacing w:after="0"/>
              <w:jc w:val="center"/>
              <w:rPr>
                <w:sz w:val="20"/>
                <w:szCs w:val="20"/>
              </w:rPr>
            </w:pPr>
          </w:p>
        </w:tc>
        <w:tc>
          <w:tcPr>
            <w:tcW w:w="1260" w:type="dxa"/>
          </w:tcPr>
          <w:p w14:paraId="23AB5FA7" w14:textId="77777777" w:rsidR="0004071A" w:rsidRPr="009A27ED" w:rsidRDefault="0004071A" w:rsidP="00C06E5F">
            <w:pPr>
              <w:autoSpaceDE w:val="0"/>
              <w:autoSpaceDN w:val="0"/>
              <w:adjustRightInd w:val="0"/>
              <w:spacing w:after="0"/>
              <w:jc w:val="center"/>
              <w:rPr>
                <w:sz w:val="20"/>
                <w:szCs w:val="20"/>
              </w:rPr>
            </w:pPr>
            <w:r w:rsidRPr="009A27ED">
              <w:rPr>
                <w:sz w:val="20"/>
                <w:szCs w:val="20"/>
              </w:rPr>
              <w:t>X</w:t>
            </w:r>
          </w:p>
        </w:tc>
        <w:tc>
          <w:tcPr>
            <w:tcW w:w="810" w:type="dxa"/>
          </w:tcPr>
          <w:p w14:paraId="0081537A" w14:textId="77777777" w:rsidR="0004071A" w:rsidRPr="009A27ED" w:rsidRDefault="0004071A" w:rsidP="00103037">
            <w:pPr>
              <w:keepNext/>
              <w:autoSpaceDE w:val="0"/>
              <w:autoSpaceDN w:val="0"/>
              <w:adjustRightInd w:val="0"/>
              <w:spacing w:after="0"/>
              <w:jc w:val="center"/>
              <w:rPr>
                <w:sz w:val="20"/>
                <w:szCs w:val="20"/>
              </w:rPr>
            </w:pPr>
            <w:r w:rsidRPr="009A27ED">
              <w:rPr>
                <w:sz w:val="20"/>
                <w:szCs w:val="20"/>
              </w:rPr>
              <w:t>X</w:t>
            </w:r>
          </w:p>
        </w:tc>
      </w:tr>
    </w:tbl>
    <w:p w14:paraId="74B97593" w14:textId="13FC0945" w:rsidR="005A6E85" w:rsidRPr="009A27ED" w:rsidRDefault="0004071A" w:rsidP="005B6485">
      <w:pPr>
        <w:spacing w:before="120" w:after="0" w:line="360" w:lineRule="auto"/>
        <w:rPr>
          <w:szCs w:val="22"/>
          <w:lang w:val="es-MX"/>
        </w:rPr>
      </w:pPr>
      <w:r w:rsidRPr="009A27ED">
        <w:rPr>
          <w:rFonts w:ascii="Times New Roman" w:eastAsia="Times New Roman" w:hAnsi="Times New Roman"/>
          <w:sz w:val="24"/>
          <w:szCs w:val="22"/>
          <w:lang w:val="es-MX"/>
        </w:rPr>
        <w:t xml:space="preserve">Para el análisis de pobreza de las áreas priorizadas se tomó como base el número de hogares pobres, por ser el dato incluido a nivel de Municipio en el Atlas de pobreza de la República Dominicana. Bajo esa premisa, se infiere </w:t>
      </w:r>
      <w:r w:rsidR="00103037" w:rsidRPr="009A27ED">
        <w:rPr>
          <w:rFonts w:ascii="Times New Roman" w:eastAsia="Times New Roman" w:hAnsi="Times New Roman"/>
          <w:sz w:val="24"/>
          <w:szCs w:val="22"/>
          <w:lang w:val="es-MX"/>
        </w:rPr>
        <w:t>que,</w:t>
      </w:r>
      <w:r w:rsidRPr="009A27ED">
        <w:rPr>
          <w:rFonts w:ascii="Times New Roman" w:eastAsia="Times New Roman" w:hAnsi="Times New Roman"/>
          <w:sz w:val="24"/>
          <w:szCs w:val="22"/>
          <w:lang w:val="es-MX"/>
        </w:rPr>
        <w:t xml:space="preserve"> de las áreas, la más pobre la </w:t>
      </w:r>
      <w:r w:rsidR="00103037" w:rsidRPr="009A27ED">
        <w:rPr>
          <w:rFonts w:ascii="Times New Roman" w:eastAsia="Times New Roman" w:hAnsi="Times New Roman"/>
          <w:sz w:val="24"/>
          <w:szCs w:val="22"/>
          <w:lang w:val="es-MX"/>
        </w:rPr>
        <w:t>identificada como</w:t>
      </w:r>
      <w:r w:rsidRPr="009A27ED">
        <w:rPr>
          <w:rFonts w:ascii="Times New Roman" w:eastAsia="Times New Roman" w:hAnsi="Times New Roman"/>
          <w:sz w:val="24"/>
          <w:szCs w:val="22"/>
          <w:lang w:val="es-MX"/>
        </w:rPr>
        <w:t xml:space="preserve"> </w:t>
      </w:r>
      <w:r w:rsidR="0069562F" w:rsidRPr="009A27ED">
        <w:rPr>
          <w:rFonts w:ascii="Times New Roman" w:eastAsia="Times New Roman" w:hAnsi="Times New Roman"/>
          <w:sz w:val="24"/>
          <w:szCs w:val="22"/>
          <w:lang w:val="es-MX"/>
        </w:rPr>
        <w:t>área</w:t>
      </w:r>
      <w:r w:rsidRPr="009A27ED">
        <w:rPr>
          <w:rFonts w:ascii="Times New Roman" w:eastAsia="Times New Roman" w:hAnsi="Times New Roman"/>
          <w:sz w:val="24"/>
          <w:szCs w:val="22"/>
          <w:lang w:val="es-MX"/>
        </w:rPr>
        <w:t xml:space="preserve"> 2, la cual </w:t>
      </w:r>
      <w:r w:rsidR="00103037" w:rsidRPr="009A27ED">
        <w:rPr>
          <w:rFonts w:ascii="Times New Roman" w:eastAsia="Times New Roman" w:hAnsi="Times New Roman"/>
          <w:sz w:val="24"/>
          <w:szCs w:val="22"/>
          <w:lang w:val="es-MX"/>
        </w:rPr>
        <w:t>presenta un</w:t>
      </w:r>
      <w:r w:rsidRPr="009A27ED">
        <w:rPr>
          <w:rFonts w:ascii="Times New Roman" w:eastAsia="Times New Roman" w:hAnsi="Times New Roman"/>
          <w:sz w:val="24"/>
          <w:szCs w:val="22"/>
          <w:lang w:val="es-MX"/>
        </w:rPr>
        <w:t xml:space="preserve"> 79.5</w:t>
      </w:r>
      <w:r w:rsidR="00103037" w:rsidRPr="009A27ED">
        <w:rPr>
          <w:rFonts w:ascii="Times New Roman" w:eastAsia="Times New Roman" w:hAnsi="Times New Roman"/>
          <w:sz w:val="24"/>
          <w:szCs w:val="22"/>
          <w:lang w:val="es-MX"/>
        </w:rPr>
        <w:t>% hogares</w:t>
      </w:r>
      <w:r w:rsidRPr="009A27ED">
        <w:rPr>
          <w:rFonts w:ascii="Times New Roman" w:eastAsia="Times New Roman" w:hAnsi="Times New Roman"/>
          <w:sz w:val="24"/>
          <w:szCs w:val="22"/>
          <w:lang w:val="es-MX"/>
        </w:rPr>
        <w:t xml:space="preserve"> pobres, mientras que el área 4 es la de menor porcentaje de hogares pobres por Municipio con un 32.1%.  </w:t>
      </w:r>
    </w:p>
    <w:p w14:paraId="627C899D" w14:textId="77777777" w:rsidR="00750181" w:rsidRPr="009A27ED" w:rsidRDefault="0004071A" w:rsidP="00750181">
      <w:pPr>
        <w:keepNext/>
        <w:spacing w:after="0" w:line="360" w:lineRule="auto"/>
      </w:pPr>
      <w:r w:rsidRPr="009A27ED">
        <w:rPr>
          <w:rFonts w:ascii="Times New Roman" w:eastAsia="Times New Roman" w:hAnsi="Times New Roman"/>
          <w:b/>
          <w:sz w:val="24"/>
        </w:rPr>
        <w:lastRenderedPageBreak/>
        <w:tab/>
      </w:r>
      <w:r w:rsidRPr="009A27ED">
        <w:rPr>
          <w:rFonts w:ascii="Times New Roman" w:eastAsia="Times New Roman" w:hAnsi="Times New Roman"/>
          <w:noProof/>
          <w:sz w:val="24"/>
          <w:lang w:val="en-US"/>
        </w:rPr>
        <w:drawing>
          <wp:inline distT="0" distB="0" distL="0" distR="0" wp14:anchorId="4873CE95" wp14:editId="35CD2CE2">
            <wp:extent cx="4572000" cy="2743200"/>
            <wp:effectExtent l="0" t="0" r="12700" b="12700"/>
            <wp:docPr id="18" name="Chart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14:paraId="38495E1F" w14:textId="14A1AACE" w:rsidR="005C2480" w:rsidRPr="009A27ED" w:rsidRDefault="00750181" w:rsidP="00750181">
      <w:pPr>
        <w:pStyle w:val="Descripcin"/>
        <w:spacing w:line="360" w:lineRule="auto"/>
      </w:pPr>
      <w:bookmarkStart w:id="164" w:name="_Toc111892207"/>
      <w:r w:rsidRPr="009A27ED">
        <w:rPr>
          <w:rFonts w:ascii="Times New Roman" w:eastAsia="Times New Roman" w:hAnsi="Times New Roman"/>
          <w:sz w:val="24"/>
        </w:rPr>
        <w:t xml:space="preserve">Grafica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Grafica_ \* ARABIC </w:instrText>
      </w:r>
      <w:r w:rsidRPr="009A27ED">
        <w:rPr>
          <w:rFonts w:ascii="Times New Roman" w:eastAsia="Times New Roman" w:hAnsi="Times New Roman"/>
          <w:sz w:val="24"/>
        </w:rPr>
        <w:fldChar w:fldCharType="separate"/>
      </w:r>
      <w:r w:rsidRPr="009A27ED">
        <w:rPr>
          <w:rFonts w:ascii="Times New Roman" w:eastAsia="Times New Roman" w:hAnsi="Times New Roman"/>
          <w:noProof/>
          <w:sz w:val="24"/>
        </w:rPr>
        <w:t>5</w:t>
      </w:r>
      <w:r w:rsidRPr="009A27ED">
        <w:rPr>
          <w:rFonts w:ascii="Times New Roman" w:eastAsia="Times New Roman" w:hAnsi="Times New Roman"/>
          <w:sz w:val="24"/>
        </w:rPr>
        <w:fldChar w:fldCharType="end"/>
      </w:r>
      <w:r w:rsidRPr="009A27ED">
        <w:rPr>
          <w:rFonts w:ascii="Times New Roman" w:eastAsia="Times New Roman" w:hAnsi="Times New Roman"/>
          <w:sz w:val="24"/>
        </w:rPr>
        <w:t>. Porcentajes de Hogares en las áreas priorizadas</w:t>
      </w:r>
      <w:bookmarkEnd w:id="164"/>
      <w:r w:rsidRPr="009A27ED">
        <w:rPr>
          <w:rFonts w:ascii="Times New Roman" w:eastAsia="Times New Roman" w:hAnsi="Times New Roman"/>
          <w:sz w:val="24"/>
        </w:rPr>
        <w:t xml:space="preserve"> </w:t>
      </w:r>
    </w:p>
    <w:p w14:paraId="7DA7C7E5" w14:textId="1FC4261E" w:rsidR="00DD44E4" w:rsidRPr="009A27ED" w:rsidRDefault="00DD44E4" w:rsidP="005C2480">
      <w:pPr>
        <w:pStyle w:val="Descripcin"/>
        <w:spacing w:line="360" w:lineRule="auto"/>
        <w:rPr>
          <w:color w:val="000000" w:themeColor="text1"/>
          <w:sz w:val="32"/>
        </w:rPr>
      </w:pPr>
    </w:p>
    <w:p w14:paraId="298D2D98" w14:textId="29E2DAD0" w:rsidR="0004071A" w:rsidRPr="009A27ED" w:rsidRDefault="00BF33AA" w:rsidP="00E67CB0">
      <w:pPr>
        <w:pStyle w:val="Prrafodelista"/>
        <w:numPr>
          <w:ilvl w:val="0"/>
          <w:numId w:val="296"/>
        </w:numPr>
        <w:spacing w:before="120" w:after="0" w:line="360" w:lineRule="auto"/>
        <w:rPr>
          <w:b/>
          <w:szCs w:val="22"/>
          <w:lang w:val="es-MX"/>
        </w:rPr>
      </w:pPr>
      <w:r w:rsidRPr="009A27ED">
        <w:rPr>
          <w:rFonts w:ascii="Times New Roman" w:eastAsia="Times New Roman" w:hAnsi="Times New Roman"/>
          <w:b/>
          <w:sz w:val="24"/>
          <w:szCs w:val="22"/>
          <w:lang w:val="es-MX"/>
        </w:rPr>
        <w:t>Situación d</w:t>
      </w:r>
      <w:r w:rsidR="0004071A" w:rsidRPr="009A27ED">
        <w:rPr>
          <w:rFonts w:ascii="Times New Roman" w:eastAsia="Times New Roman" w:hAnsi="Times New Roman"/>
          <w:b/>
          <w:sz w:val="24"/>
          <w:szCs w:val="22"/>
          <w:lang w:val="es-MX"/>
        </w:rPr>
        <w:t>emográfica</w:t>
      </w:r>
    </w:p>
    <w:p w14:paraId="2996D58F" w14:textId="44DA7C30" w:rsidR="0004071A" w:rsidRPr="009A27ED" w:rsidRDefault="0004071A" w:rsidP="005B6485">
      <w:pPr>
        <w:spacing w:before="120" w:after="0" w:line="360" w:lineRule="auto"/>
        <w:rPr>
          <w:bCs/>
          <w:iCs/>
          <w:szCs w:val="22"/>
        </w:rPr>
      </w:pPr>
      <w:r w:rsidRPr="009A27ED">
        <w:rPr>
          <w:rFonts w:ascii="Times New Roman" w:eastAsia="Times New Roman" w:hAnsi="Times New Roman"/>
          <w:bCs/>
          <w:iCs/>
          <w:sz w:val="24"/>
          <w:szCs w:val="22"/>
        </w:rPr>
        <w:t>Las mediciones de los censos de población y vivienda realizados en República Dominicana indican que existió una disminución en la tasa de crecimiento poblacional durante el período 1970-2010, respecto a los decenios anteriores. Esto quiere decir que la población dominicana sigue creciendo, pero a una tasa cada vez menor.  A partir de 1970 la población dominicana empezó a exhibir un ritmo de expansión en forma decreciente. La tasa de crecimiento medio anual pasó de 2.98% entre 1960 y 1970 a 2.76% en el período entre 1970 y 19. Ese descenso continuó en los períodos siguientes, de modo que en el lapso transcurrido entre los censos de 1993 y el 2002 se había reducido a 1.79%. El descenso observado en los censos anteriores se acentuó en el período 2002-2010, cuando la tasa de crecim</w:t>
      </w:r>
      <w:r w:rsidR="00DD44E4" w:rsidRPr="009A27ED">
        <w:rPr>
          <w:rFonts w:ascii="Times New Roman" w:eastAsia="Times New Roman" w:hAnsi="Times New Roman"/>
          <w:bCs/>
          <w:iCs/>
          <w:sz w:val="24"/>
          <w:szCs w:val="22"/>
        </w:rPr>
        <w:t>iento medio anual fue de 1.21%.</w:t>
      </w:r>
    </w:p>
    <w:p w14:paraId="0CDB0C31" w14:textId="49DF9E69" w:rsidR="00D12F9D" w:rsidRPr="009A27ED" w:rsidRDefault="00D12F9D" w:rsidP="005B6485">
      <w:pPr>
        <w:spacing w:before="120" w:after="0" w:line="360" w:lineRule="auto"/>
        <w:rPr>
          <w:bCs/>
          <w:iCs/>
          <w:szCs w:val="22"/>
        </w:rPr>
      </w:pPr>
    </w:p>
    <w:p w14:paraId="22CD0607" w14:textId="58FB4527" w:rsidR="00D12F9D" w:rsidRPr="009A27ED" w:rsidRDefault="00D12F9D" w:rsidP="005B6485">
      <w:pPr>
        <w:spacing w:before="120" w:after="0" w:line="360" w:lineRule="auto"/>
        <w:rPr>
          <w:bCs/>
          <w:iCs/>
          <w:szCs w:val="22"/>
        </w:rPr>
      </w:pPr>
    </w:p>
    <w:p w14:paraId="3A98DDE8" w14:textId="3F5C32B8" w:rsidR="00D12F9D" w:rsidRPr="009A27ED" w:rsidRDefault="00D12F9D" w:rsidP="005B6485">
      <w:pPr>
        <w:spacing w:before="120" w:after="0" w:line="360" w:lineRule="auto"/>
        <w:rPr>
          <w:bCs/>
          <w:iCs/>
          <w:szCs w:val="22"/>
        </w:rPr>
      </w:pPr>
    </w:p>
    <w:p w14:paraId="4F129363" w14:textId="77777777" w:rsidR="00D12F9D" w:rsidRPr="009A27ED" w:rsidRDefault="00D12F9D" w:rsidP="005B6485">
      <w:pPr>
        <w:spacing w:before="120" w:after="0" w:line="360" w:lineRule="auto"/>
        <w:rPr>
          <w:bCs/>
          <w:iCs/>
          <w:szCs w:val="22"/>
        </w:rPr>
      </w:pPr>
    </w:p>
    <w:p w14:paraId="02A8A323" w14:textId="77777777" w:rsidR="00C27962" w:rsidRPr="009A27ED" w:rsidRDefault="00C27962" w:rsidP="00C27962">
      <w:pPr>
        <w:pStyle w:val="Descripcin"/>
        <w:spacing w:after="0" w:line="360" w:lineRule="auto"/>
        <w:rPr>
          <w:color w:val="000000" w:themeColor="text1"/>
          <w:sz w:val="20"/>
        </w:rPr>
      </w:pPr>
      <w:bookmarkStart w:id="165" w:name="_Toc14011"/>
    </w:p>
    <w:p w14:paraId="7D159238" w14:textId="5160203F" w:rsidR="00D12F9D" w:rsidRPr="009A27ED" w:rsidRDefault="00D12F9D" w:rsidP="00D12F9D">
      <w:pPr>
        <w:pStyle w:val="Descripcin"/>
        <w:keepNext/>
        <w:spacing w:line="360" w:lineRule="auto"/>
      </w:pPr>
      <w:bookmarkStart w:id="166" w:name="_Toc111887433"/>
      <w:bookmarkEnd w:id="165"/>
      <w:r w:rsidRPr="009A27ED">
        <w:rPr>
          <w:rFonts w:ascii="Times New Roman" w:eastAsia="Times New Roman" w:hAnsi="Times New Roman"/>
          <w:sz w:val="24"/>
        </w:rPr>
        <w:t xml:space="preserve">Cuadro </w:t>
      </w:r>
      <w:r w:rsidR="00F43DB6" w:rsidRPr="009A27ED">
        <w:rPr>
          <w:rFonts w:ascii="Times New Roman" w:eastAsia="Times New Roman" w:hAnsi="Times New Roman"/>
          <w:sz w:val="24"/>
        </w:rPr>
        <w:fldChar w:fldCharType="begin"/>
      </w:r>
      <w:r w:rsidR="00F43DB6" w:rsidRPr="009A27ED">
        <w:rPr>
          <w:rFonts w:ascii="Times New Roman" w:eastAsia="Times New Roman" w:hAnsi="Times New Roman"/>
          <w:sz w:val="24"/>
        </w:rPr>
        <w:instrText xml:space="preserve"> SEQ Cuadro \* ARABIC </w:instrText>
      </w:r>
      <w:r w:rsidR="00F43DB6"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23</w:t>
      </w:r>
      <w:r w:rsidR="00F43DB6" w:rsidRPr="009A27ED">
        <w:rPr>
          <w:rFonts w:ascii="Times New Roman" w:eastAsia="Times New Roman" w:hAnsi="Times New Roman"/>
          <w:sz w:val="24"/>
        </w:rPr>
        <w:fldChar w:fldCharType="end"/>
      </w:r>
      <w:proofErr w:type="gramStart"/>
      <w:r w:rsidRPr="009A27ED">
        <w:rPr>
          <w:rFonts w:ascii="Times New Roman" w:eastAsia="Times New Roman" w:hAnsi="Times New Roman"/>
          <w:sz w:val="24"/>
        </w:rPr>
        <w:t>.</w:t>
      </w:r>
      <w:r w:rsidRPr="009A27ED">
        <w:rPr>
          <w:rFonts w:ascii="Times New Roman" w:eastAsia="Times New Roman" w:hAnsi="Times New Roman"/>
          <w:color w:val="000000" w:themeColor="text1"/>
          <w:sz w:val="24"/>
        </w:rPr>
        <w:t xml:space="preserve"> .</w:t>
      </w:r>
      <w:proofErr w:type="gramEnd"/>
      <w:r w:rsidRPr="009A27ED">
        <w:rPr>
          <w:rFonts w:ascii="Times New Roman" w:eastAsia="Times New Roman" w:hAnsi="Times New Roman"/>
          <w:color w:val="000000" w:themeColor="text1"/>
          <w:sz w:val="24"/>
        </w:rPr>
        <w:t xml:space="preserve">  Población censada y tasa de crecimiento media anual, por cada censo para el período 1970-2010</w:t>
      </w:r>
      <w:bookmarkEnd w:id="166"/>
    </w:p>
    <w:tbl>
      <w:tblPr>
        <w:tblStyle w:val="Tablaconcuadrcula"/>
        <w:tblW w:w="7650" w:type="dxa"/>
        <w:jc w:val="center"/>
        <w:tblLook w:val="04A0" w:firstRow="1" w:lastRow="0" w:firstColumn="1" w:lastColumn="0" w:noHBand="0" w:noVBand="1"/>
      </w:tblPr>
      <w:tblGrid>
        <w:gridCol w:w="2108"/>
        <w:gridCol w:w="1620"/>
        <w:gridCol w:w="3922"/>
      </w:tblGrid>
      <w:tr w:rsidR="0004071A" w:rsidRPr="009A27ED" w14:paraId="57E5F3FC" w14:textId="77777777" w:rsidTr="005C2480">
        <w:trPr>
          <w:jc w:val="center"/>
        </w:trPr>
        <w:tc>
          <w:tcPr>
            <w:tcW w:w="2108" w:type="dxa"/>
            <w:shd w:val="clear" w:color="auto" w:fill="0099FF"/>
            <w:vAlign w:val="center"/>
          </w:tcPr>
          <w:p w14:paraId="10B2B4A7" w14:textId="525CEF9F" w:rsidR="0004071A" w:rsidRPr="009A27ED" w:rsidRDefault="00C06E5F" w:rsidP="005C2480">
            <w:pPr>
              <w:spacing w:after="0"/>
              <w:jc w:val="center"/>
              <w:rPr>
                <w:b/>
                <w:color w:val="FFFFFF" w:themeColor="background1"/>
                <w:sz w:val="20"/>
                <w:szCs w:val="20"/>
              </w:rPr>
            </w:pPr>
            <w:r w:rsidRPr="009A27ED">
              <w:rPr>
                <w:b/>
                <w:color w:val="FFFFFF" w:themeColor="background1"/>
                <w:sz w:val="20"/>
                <w:szCs w:val="20"/>
              </w:rPr>
              <w:t>Año de Censo</w:t>
            </w:r>
          </w:p>
        </w:tc>
        <w:tc>
          <w:tcPr>
            <w:tcW w:w="1620" w:type="dxa"/>
            <w:shd w:val="clear" w:color="auto" w:fill="0099FF"/>
            <w:vAlign w:val="center"/>
          </w:tcPr>
          <w:p w14:paraId="32C91C0C" w14:textId="75E89BAF" w:rsidR="0004071A" w:rsidRPr="009A27ED" w:rsidRDefault="00C06E5F" w:rsidP="005C2480">
            <w:pPr>
              <w:spacing w:after="0"/>
              <w:jc w:val="center"/>
              <w:rPr>
                <w:b/>
                <w:color w:val="FFFFFF" w:themeColor="background1"/>
                <w:sz w:val="20"/>
                <w:szCs w:val="20"/>
              </w:rPr>
            </w:pPr>
            <w:r w:rsidRPr="009A27ED">
              <w:rPr>
                <w:b/>
                <w:color w:val="FFFFFF" w:themeColor="background1"/>
                <w:sz w:val="20"/>
                <w:szCs w:val="20"/>
              </w:rPr>
              <w:t>Población</w:t>
            </w:r>
          </w:p>
        </w:tc>
        <w:tc>
          <w:tcPr>
            <w:tcW w:w="3922" w:type="dxa"/>
            <w:shd w:val="clear" w:color="auto" w:fill="0099FF"/>
            <w:vAlign w:val="center"/>
          </w:tcPr>
          <w:p w14:paraId="6845C6BB" w14:textId="3752442A" w:rsidR="00B85BEE" w:rsidRPr="009A27ED" w:rsidRDefault="00C06E5F" w:rsidP="005C2480">
            <w:pPr>
              <w:spacing w:after="0"/>
              <w:jc w:val="center"/>
              <w:rPr>
                <w:b/>
                <w:color w:val="FFFFFF" w:themeColor="background1"/>
                <w:sz w:val="20"/>
                <w:szCs w:val="20"/>
              </w:rPr>
            </w:pPr>
            <w:r w:rsidRPr="009A27ED">
              <w:rPr>
                <w:b/>
                <w:color w:val="FFFFFF" w:themeColor="background1"/>
                <w:sz w:val="20"/>
                <w:szCs w:val="20"/>
              </w:rPr>
              <w:t>Tasa de crecimiento media anual 1970-2010 (por 100)</w:t>
            </w:r>
          </w:p>
        </w:tc>
      </w:tr>
      <w:tr w:rsidR="00C06E5F" w:rsidRPr="009A27ED" w14:paraId="7699E822" w14:textId="77777777" w:rsidTr="00D20665">
        <w:trPr>
          <w:jc w:val="center"/>
        </w:trPr>
        <w:tc>
          <w:tcPr>
            <w:tcW w:w="2108" w:type="dxa"/>
          </w:tcPr>
          <w:p w14:paraId="652F1032" w14:textId="4558C0DA" w:rsidR="00C06E5F" w:rsidRPr="009A27ED" w:rsidRDefault="00C06E5F" w:rsidP="00C06E5F">
            <w:pPr>
              <w:spacing w:after="0"/>
              <w:rPr>
                <w:sz w:val="20"/>
                <w:szCs w:val="20"/>
              </w:rPr>
            </w:pPr>
            <w:r w:rsidRPr="009A27ED">
              <w:rPr>
                <w:sz w:val="20"/>
                <w:szCs w:val="20"/>
              </w:rPr>
              <w:t xml:space="preserve">1970 </w:t>
            </w:r>
          </w:p>
        </w:tc>
        <w:tc>
          <w:tcPr>
            <w:tcW w:w="1620" w:type="dxa"/>
          </w:tcPr>
          <w:p w14:paraId="598D3770" w14:textId="78EB42DC" w:rsidR="00C06E5F" w:rsidRPr="009A27ED" w:rsidRDefault="00C06E5F" w:rsidP="00C06E5F">
            <w:pPr>
              <w:spacing w:after="0"/>
              <w:rPr>
                <w:sz w:val="20"/>
                <w:szCs w:val="20"/>
              </w:rPr>
            </w:pPr>
            <w:r w:rsidRPr="009A27ED">
              <w:rPr>
                <w:sz w:val="20"/>
                <w:szCs w:val="20"/>
              </w:rPr>
              <w:t xml:space="preserve">4,009,458 </w:t>
            </w:r>
          </w:p>
        </w:tc>
        <w:tc>
          <w:tcPr>
            <w:tcW w:w="3922" w:type="dxa"/>
          </w:tcPr>
          <w:p w14:paraId="1994A566" w14:textId="7470EB27" w:rsidR="00C06E5F" w:rsidRPr="009A27ED" w:rsidRDefault="00C06E5F" w:rsidP="00C06E5F">
            <w:pPr>
              <w:spacing w:after="0"/>
              <w:rPr>
                <w:sz w:val="20"/>
                <w:szCs w:val="20"/>
              </w:rPr>
            </w:pPr>
            <w:r w:rsidRPr="009A27ED">
              <w:rPr>
                <w:sz w:val="20"/>
                <w:szCs w:val="20"/>
              </w:rPr>
              <w:t>2.98</w:t>
            </w:r>
          </w:p>
        </w:tc>
      </w:tr>
      <w:tr w:rsidR="00C06E5F" w:rsidRPr="009A27ED" w14:paraId="38E90589" w14:textId="77777777" w:rsidTr="00D20665">
        <w:trPr>
          <w:jc w:val="center"/>
        </w:trPr>
        <w:tc>
          <w:tcPr>
            <w:tcW w:w="2108" w:type="dxa"/>
          </w:tcPr>
          <w:p w14:paraId="2BCDF4A6" w14:textId="77777777" w:rsidR="00C06E5F" w:rsidRPr="009A27ED" w:rsidRDefault="00C06E5F" w:rsidP="00C06E5F">
            <w:pPr>
              <w:spacing w:after="0"/>
              <w:rPr>
                <w:sz w:val="20"/>
                <w:szCs w:val="20"/>
              </w:rPr>
            </w:pPr>
            <w:r w:rsidRPr="009A27ED">
              <w:rPr>
                <w:sz w:val="20"/>
                <w:szCs w:val="20"/>
              </w:rPr>
              <w:t>1981</w:t>
            </w:r>
          </w:p>
        </w:tc>
        <w:tc>
          <w:tcPr>
            <w:tcW w:w="1620" w:type="dxa"/>
          </w:tcPr>
          <w:p w14:paraId="172F3F93" w14:textId="77777777" w:rsidR="00C06E5F" w:rsidRPr="009A27ED" w:rsidRDefault="00C06E5F" w:rsidP="00C06E5F">
            <w:pPr>
              <w:spacing w:after="0"/>
              <w:rPr>
                <w:sz w:val="20"/>
                <w:szCs w:val="20"/>
              </w:rPr>
            </w:pPr>
            <w:r w:rsidRPr="009A27ED">
              <w:rPr>
                <w:sz w:val="20"/>
                <w:szCs w:val="20"/>
              </w:rPr>
              <w:t>5,545,741</w:t>
            </w:r>
          </w:p>
        </w:tc>
        <w:tc>
          <w:tcPr>
            <w:tcW w:w="3922" w:type="dxa"/>
          </w:tcPr>
          <w:p w14:paraId="0AA6B7E2" w14:textId="77777777" w:rsidR="00C06E5F" w:rsidRPr="009A27ED" w:rsidRDefault="00C06E5F" w:rsidP="00C06E5F">
            <w:pPr>
              <w:spacing w:after="0"/>
              <w:rPr>
                <w:sz w:val="20"/>
                <w:szCs w:val="20"/>
              </w:rPr>
            </w:pPr>
            <w:r w:rsidRPr="009A27ED">
              <w:rPr>
                <w:sz w:val="20"/>
                <w:szCs w:val="20"/>
              </w:rPr>
              <w:t>2.76</w:t>
            </w:r>
          </w:p>
        </w:tc>
      </w:tr>
      <w:tr w:rsidR="00C06E5F" w:rsidRPr="009A27ED" w14:paraId="28180AD8" w14:textId="77777777" w:rsidTr="00D20665">
        <w:trPr>
          <w:jc w:val="center"/>
        </w:trPr>
        <w:tc>
          <w:tcPr>
            <w:tcW w:w="2108" w:type="dxa"/>
          </w:tcPr>
          <w:p w14:paraId="5E862798" w14:textId="77777777" w:rsidR="00C06E5F" w:rsidRPr="009A27ED" w:rsidRDefault="00C06E5F" w:rsidP="00C06E5F">
            <w:pPr>
              <w:spacing w:after="0"/>
              <w:rPr>
                <w:sz w:val="20"/>
                <w:szCs w:val="20"/>
              </w:rPr>
            </w:pPr>
            <w:r w:rsidRPr="009A27ED">
              <w:rPr>
                <w:sz w:val="20"/>
                <w:szCs w:val="20"/>
              </w:rPr>
              <w:t>1993</w:t>
            </w:r>
          </w:p>
        </w:tc>
        <w:tc>
          <w:tcPr>
            <w:tcW w:w="1620" w:type="dxa"/>
          </w:tcPr>
          <w:p w14:paraId="5BA9CF5A" w14:textId="77777777" w:rsidR="00C06E5F" w:rsidRPr="009A27ED" w:rsidRDefault="00C06E5F" w:rsidP="00C06E5F">
            <w:pPr>
              <w:spacing w:after="0"/>
              <w:rPr>
                <w:sz w:val="20"/>
                <w:szCs w:val="20"/>
              </w:rPr>
            </w:pPr>
            <w:r w:rsidRPr="009A27ED">
              <w:rPr>
                <w:sz w:val="20"/>
                <w:szCs w:val="20"/>
              </w:rPr>
              <w:t>7,293,390</w:t>
            </w:r>
          </w:p>
        </w:tc>
        <w:tc>
          <w:tcPr>
            <w:tcW w:w="3922" w:type="dxa"/>
          </w:tcPr>
          <w:p w14:paraId="1C84A76F" w14:textId="77777777" w:rsidR="00C06E5F" w:rsidRPr="009A27ED" w:rsidRDefault="00C06E5F" w:rsidP="00C06E5F">
            <w:pPr>
              <w:spacing w:after="0"/>
              <w:rPr>
                <w:sz w:val="20"/>
                <w:szCs w:val="20"/>
              </w:rPr>
            </w:pPr>
            <w:r w:rsidRPr="009A27ED">
              <w:rPr>
                <w:sz w:val="20"/>
                <w:szCs w:val="20"/>
              </w:rPr>
              <w:t>2.35</w:t>
            </w:r>
          </w:p>
        </w:tc>
      </w:tr>
      <w:tr w:rsidR="00C06E5F" w:rsidRPr="009A27ED" w14:paraId="34902C82" w14:textId="77777777" w:rsidTr="00D20665">
        <w:trPr>
          <w:jc w:val="center"/>
        </w:trPr>
        <w:tc>
          <w:tcPr>
            <w:tcW w:w="2108" w:type="dxa"/>
          </w:tcPr>
          <w:p w14:paraId="3D64B8D1" w14:textId="77777777" w:rsidR="00C06E5F" w:rsidRPr="009A27ED" w:rsidRDefault="00C06E5F" w:rsidP="00C06E5F">
            <w:pPr>
              <w:spacing w:after="0"/>
              <w:rPr>
                <w:sz w:val="20"/>
                <w:szCs w:val="20"/>
              </w:rPr>
            </w:pPr>
            <w:r w:rsidRPr="009A27ED">
              <w:rPr>
                <w:sz w:val="20"/>
                <w:szCs w:val="20"/>
              </w:rPr>
              <w:t>2002</w:t>
            </w:r>
          </w:p>
        </w:tc>
        <w:tc>
          <w:tcPr>
            <w:tcW w:w="1620" w:type="dxa"/>
          </w:tcPr>
          <w:p w14:paraId="5C12F42E" w14:textId="77777777" w:rsidR="00C06E5F" w:rsidRPr="009A27ED" w:rsidRDefault="00C06E5F" w:rsidP="00C06E5F">
            <w:pPr>
              <w:spacing w:after="0"/>
              <w:rPr>
                <w:sz w:val="20"/>
                <w:szCs w:val="20"/>
              </w:rPr>
            </w:pPr>
            <w:r w:rsidRPr="009A27ED">
              <w:rPr>
                <w:sz w:val="20"/>
                <w:szCs w:val="20"/>
              </w:rPr>
              <w:t xml:space="preserve">8,562,541 </w:t>
            </w:r>
          </w:p>
        </w:tc>
        <w:tc>
          <w:tcPr>
            <w:tcW w:w="3922" w:type="dxa"/>
          </w:tcPr>
          <w:p w14:paraId="5E2E62C6" w14:textId="77777777" w:rsidR="00C06E5F" w:rsidRPr="009A27ED" w:rsidRDefault="00C06E5F" w:rsidP="00C06E5F">
            <w:pPr>
              <w:spacing w:after="0"/>
              <w:rPr>
                <w:sz w:val="20"/>
                <w:szCs w:val="20"/>
              </w:rPr>
            </w:pPr>
            <w:r w:rsidRPr="009A27ED">
              <w:rPr>
                <w:sz w:val="20"/>
                <w:szCs w:val="20"/>
              </w:rPr>
              <w:t>1.79</w:t>
            </w:r>
          </w:p>
        </w:tc>
      </w:tr>
      <w:tr w:rsidR="00C06E5F" w:rsidRPr="009A27ED" w14:paraId="40B58642" w14:textId="77777777" w:rsidTr="00D20665">
        <w:trPr>
          <w:jc w:val="center"/>
        </w:trPr>
        <w:tc>
          <w:tcPr>
            <w:tcW w:w="2108" w:type="dxa"/>
          </w:tcPr>
          <w:p w14:paraId="1A084441" w14:textId="77777777" w:rsidR="00C06E5F" w:rsidRPr="009A27ED" w:rsidRDefault="00C06E5F" w:rsidP="00C06E5F">
            <w:pPr>
              <w:spacing w:after="0"/>
              <w:rPr>
                <w:sz w:val="20"/>
                <w:szCs w:val="20"/>
              </w:rPr>
            </w:pPr>
            <w:r w:rsidRPr="009A27ED">
              <w:rPr>
                <w:sz w:val="20"/>
                <w:szCs w:val="20"/>
              </w:rPr>
              <w:t>2010</w:t>
            </w:r>
          </w:p>
        </w:tc>
        <w:tc>
          <w:tcPr>
            <w:tcW w:w="1620" w:type="dxa"/>
          </w:tcPr>
          <w:p w14:paraId="4A2F40F6" w14:textId="77777777" w:rsidR="00C06E5F" w:rsidRPr="009A27ED" w:rsidRDefault="00C06E5F" w:rsidP="00C06E5F">
            <w:pPr>
              <w:spacing w:after="0"/>
              <w:rPr>
                <w:sz w:val="20"/>
                <w:szCs w:val="20"/>
              </w:rPr>
            </w:pPr>
            <w:r w:rsidRPr="009A27ED">
              <w:rPr>
                <w:sz w:val="20"/>
                <w:szCs w:val="20"/>
              </w:rPr>
              <w:t>9,445,281</w:t>
            </w:r>
          </w:p>
        </w:tc>
        <w:tc>
          <w:tcPr>
            <w:tcW w:w="3922" w:type="dxa"/>
          </w:tcPr>
          <w:p w14:paraId="11DC04EC" w14:textId="77777777" w:rsidR="00C06E5F" w:rsidRPr="009A27ED" w:rsidRDefault="00C06E5F" w:rsidP="005C2480">
            <w:pPr>
              <w:keepNext/>
              <w:spacing w:after="0"/>
              <w:rPr>
                <w:sz w:val="20"/>
                <w:szCs w:val="20"/>
              </w:rPr>
            </w:pPr>
            <w:r w:rsidRPr="009A27ED">
              <w:rPr>
                <w:sz w:val="20"/>
                <w:szCs w:val="20"/>
              </w:rPr>
              <w:t>1.21</w:t>
            </w:r>
          </w:p>
        </w:tc>
      </w:tr>
    </w:tbl>
    <w:p w14:paraId="0EEC787B" w14:textId="77777777" w:rsidR="0004071A" w:rsidRPr="009A27ED" w:rsidRDefault="0004071A" w:rsidP="00C27962">
      <w:pPr>
        <w:pStyle w:val="Sinespaciado"/>
        <w:spacing w:line="360" w:lineRule="auto"/>
        <w:rPr>
          <w:bCs/>
          <w:iCs/>
          <w:sz w:val="20"/>
          <w:szCs w:val="20"/>
        </w:rPr>
      </w:pPr>
      <w:r w:rsidRPr="009A27ED">
        <w:rPr>
          <w:rFonts w:ascii="Times New Roman" w:eastAsia="Times New Roman" w:hAnsi="Times New Roman"/>
          <w:bCs/>
          <w:iCs/>
          <w:sz w:val="24"/>
          <w:szCs w:val="20"/>
        </w:rPr>
        <w:t xml:space="preserve">Fuente: </w:t>
      </w:r>
      <w:hyperlink r:id="rId47" w:history="1">
        <w:r w:rsidRPr="009A27ED">
          <w:rPr>
            <w:rStyle w:val="Hipervnculo"/>
            <w:bCs/>
            <w:iCs/>
            <w:color w:val="000000" w:themeColor="text1"/>
            <w:sz w:val="20"/>
            <w:szCs w:val="20"/>
          </w:rPr>
          <w:t>http://censo2010.one.gob.do/volumenes_censo_2010/vol1.pdf</w:t>
        </w:r>
      </w:hyperlink>
      <w:r w:rsidRPr="009A27ED">
        <w:rPr>
          <w:rFonts w:ascii="Times New Roman" w:eastAsia="Times New Roman" w:hAnsi="Times New Roman"/>
          <w:bCs/>
          <w:iCs/>
          <w:color w:val="000000" w:themeColor="text1"/>
          <w:sz w:val="24"/>
          <w:szCs w:val="20"/>
        </w:rPr>
        <w:t>)</w:t>
      </w:r>
    </w:p>
    <w:p w14:paraId="1A049B62" w14:textId="36CE2D0E" w:rsidR="00DD7DFB" w:rsidRPr="009A27ED" w:rsidRDefault="0004071A" w:rsidP="005B6485">
      <w:pPr>
        <w:spacing w:before="120" w:after="0" w:line="360" w:lineRule="auto"/>
        <w:rPr>
          <w:bCs/>
          <w:iCs/>
          <w:szCs w:val="22"/>
        </w:rPr>
      </w:pPr>
      <w:r w:rsidRPr="009A27ED">
        <w:rPr>
          <w:rFonts w:ascii="Times New Roman" w:eastAsia="Times New Roman" w:hAnsi="Times New Roman"/>
          <w:bCs/>
          <w:iCs/>
          <w:sz w:val="24"/>
          <w:szCs w:val="22"/>
        </w:rPr>
        <w:t xml:space="preserve">Datos de </w:t>
      </w:r>
      <w:r w:rsidR="00A3693B" w:rsidRPr="009A27ED">
        <w:rPr>
          <w:rFonts w:ascii="Times New Roman" w:eastAsia="Times New Roman" w:hAnsi="Times New Roman"/>
          <w:bCs/>
          <w:iCs/>
          <w:sz w:val="24"/>
          <w:szCs w:val="22"/>
        </w:rPr>
        <w:t>la Oficina</w:t>
      </w:r>
      <w:r w:rsidRPr="009A27ED">
        <w:rPr>
          <w:rFonts w:ascii="Times New Roman" w:eastAsia="Times New Roman" w:hAnsi="Times New Roman"/>
          <w:bCs/>
          <w:iCs/>
          <w:sz w:val="24"/>
          <w:szCs w:val="22"/>
        </w:rPr>
        <w:t xml:space="preserve"> Nacional de Estadística (ONE), a través del Censo de Población y vivienda 2010, </w:t>
      </w:r>
      <w:r w:rsidR="00101944" w:rsidRPr="009A27ED">
        <w:rPr>
          <w:rFonts w:ascii="Times New Roman" w:eastAsia="Times New Roman" w:hAnsi="Times New Roman"/>
          <w:bCs/>
          <w:iCs/>
          <w:sz w:val="24"/>
          <w:szCs w:val="22"/>
        </w:rPr>
        <w:t>indican una</w:t>
      </w:r>
      <w:r w:rsidRPr="009A27ED">
        <w:rPr>
          <w:rFonts w:ascii="Times New Roman" w:eastAsia="Times New Roman" w:hAnsi="Times New Roman"/>
          <w:bCs/>
          <w:iCs/>
          <w:sz w:val="24"/>
          <w:szCs w:val="22"/>
        </w:rPr>
        <w:t xml:space="preserve"> población </w:t>
      </w:r>
      <w:r w:rsidR="00101944" w:rsidRPr="009A27ED">
        <w:rPr>
          <w:rFonts w:ascii="Times New Roman" w:eastAsia="Times New Roman" w:hAnsi="Times New Roman"/>
          <w:bCs/>
          <w:iCs/>
          <w:sz w:val="24"/>
          <w:szCs w:val="22"/>
        </w:rPr>
        <w:t>promedio en</w:t>
      </w:r>
      <w:r w:rsidRPr="009A27ED">
        <w:rPr>
          <w:rFonts w:ascii="Times New Roman" w:eastAsia="Times New Roman" w:hAnsi="Times New Roman"/>
          <w:bCs/>
          <w:iCs/>
          <w:sz w:val="24"/>
          <w:szCs w:val="22"/>
        </w:rPr>
        <w:t xml:space="preserve"> las áreas priorizadas de</w:t>
      </w:r>
      <w:r w:rsidR="00101944" w:rsidRPr="009A27ED">
        <w:rPr>
          <w:rFonts w:ascii="Times New Roman" w:eastAsia="Times New Roman" w:hAnsi="Times New Roman"/>
          <w:bCs/>
          <w:iCs/>
          <w:sz w:val="24"/>
          <w:szCs w:val="22"/>
        </w:rPr>
        <w:t xml:space="preserve"> </w:t>
      </w:r>
      <w:r w:rsidRPr="009A27ED">
        <w:rPr>
          <w:rFonts w:ascii="Times New Roman" w:eastAsia="Times New Roman" w:hAnsi="Times New Roman"/>
          <w:bCs/>
          <w:iCs/>
          <w:sz w:val="24"/>
          <w:szCs w:val="22"/>
        </w:rPr>
        <w:t>1,413,783.00 de habitantes, para una densidad poblacional de estimada de 91habitantes por km</w:t>
      </w:r>
      <w:r w:rsidRPr="009A27ED">
        <w:rPr>
          <w:rFonts w:ascii="Times New Roman" w:eastAsia="Times New Roman" w:hAnsi="Times New Roman"/>
          <w:bCs/>
          <w:iCs/>
          <w:sz w:val="24"/>
          <w:szCs w:val="22"/>
          <w:vertAlign w:val="superscript"/>
        </w:rPr>
        <w:t>2</w:t>
      </w:r>
      <w:r w:rsidRPr="009A27ED">
        <w:rPr>
          <w:rFonts w:ascii="Times New Roman" w:eastAsia="Times New Roman" w:hAnsi="Times New Roman"/>
          <w:bCs/>
          <w:iCs/>
          <w:sz w:val="24"/>
          <w:szCs w:val="22"/>
        </w:rPr>
        <w:t xml:space="preserve">. El 61% de esta población reside en la zona urbana, mientras que el restante 39% en la zona rural. El área priorizada 3 es </w:t>
      </w:r>
      <w:r w:rsidRPr="009A27ED">
        <w:rPr>
          <w:rFonts w:ascii="Times New Roman" w:eastAsia="Times New Roman" w:hAnsi="Times New Roman"/>
          <w:bCs/>
          <w:iCs/>
          <w:sz w:val="24"/>
          <w:szCs w:val="22"/>
        </w:rPr>
        <w:lastRenderedPageBreak/>
        <w:t>la que concentra mayor número de habitantes con 757,489, para una densidad poblacional de 117 habitantes por km2</w:t>
      </w:r>
      <w:r w:rsidR="00101944" w:rsidRPr="009A27ED">
        <w:rPr>
          <w:rFonts w:ascii="Times New Roman" w:eastAsia="Times New Roman" w:hAnsi="Times New Roman"/>
          <w:bCs/>
          <w:iCs/>
          <w:sz w:val="24"/>
          <w:szCs w:val="22"/>
        </w:rPr>
        <w:t>.</w:t>
      </w:r>
    </w:p>
    <w:p w14:paraId="4F6D4DD0" w14:textId="317CD9A5" w:rsidR="005C2480" w:rsidRPr="009A27ED" w:rsidRDefault="00C27962" w:rsidP="00C27962">
      <w:pPr>
        <w:pStyle w:val="Descripcin"/>
        <w:spacing w:after="0" w:line="360" w:lineRule="auto"/>
        <w:rPr>
          <w:color w:val="000000" w:themeColor="text1"/>
          <w:sz w:val="20"/>
        </w:rPr>
      </w:pPr>
      <w:r w:rsidRPr="009A27ED">
        <w:rPr>
          <w:rFonts w:ascii="Times New Roman" w:eastAsia="Times New Roman" w:hAnsi="Times New Roman"/>
          <w:color w:val="000000" w:themeColor="text1"/>
          <w:sz w:val="24"/>
        </w:rPr>
        <w:t>Cuadro 24</w:t>
      </w:r>
      <w:r w:rsidR="001E165D" w:rsidRPr="009A27ED">
        <w:rPr>
          <w:rFonts w:ascii="Times New Roman" w:eastAsia="Times New Roman" w:hAnsi="Times New Roman"/>
          <w:color w:val="000000" w:themeColor="text1"/>
          <w:sz w:val="24"/>
        </w:rPr>
        <w:t>.</w:t>
      </w:r>
      <w:r w:rsidRPr="009A27ED">
        <w:rPr>
          <w:rFonts w:ascii="Times New Roman" w:eastAsia="Times New Roman" w:hAnsi="Times New Roman"/>
          <w:color w:val="000000" w:themeColor="text1"/>
          <w:sz w:val="24"/>
        </w:rPr>
        <w:t xml:space="preserve"> Variable metropolitana</w:t>
      </w:r>
    </w:p>
    <w:p w14:paraId="1DB66244" w14:textId="77777777" w:rsidR="00D12F9D" w:rsidRPr="009A27ED" w:rsidRDefault="00D12F9D" w:rsidP="00D12F9D">
      <w:pPr>
        <w:spacing w:line="360" w:lineRule="auto"/>
      </w:pPr>
    </w:p>
    <w:p w14:paraId="6AC84F32" w14:textId="4A93F9EF" w:rsidR="00D12F9D" w:rsidRPr="009A27ED" w:rsidRDefault="00D12F9D" w:rsidP="00D12F9D">
      <w:pPr>
        <w:pStyle w:val="Descripcin"/>
        <w:keepNext/>
        <w:spacing w:line="360" w:lineRule="auto"/>
      </w:pPr>
      <w:bookmarkStart w:id="167" w:name="_Toc111887434"/>
      <w:r w:rsidRPr="009A27ED">
        <w:rPr>
          <w:rFonts w:ascii="Times New Roman" w:eastAsia="Times New Roman" w:hAnsi="Times New Roman"/>
          <w:sz w:val="24"/>
        </w:rPr>
        <w:t xml:space="preserve">Cuadro </w:t>
      </w:r>
      <w:r w:rsidR="00F43DB6" w:rsidRPr="009A27ED">
        <w:rPr>
          <w:rFonts w:ascii="Times New Roman" w:eastAsia="Times New Roman" w:hAnsi="Times New Roman"/>
          <w:sz w:val="24"/>
        </w:rPr>
        <w:fldChar w:fldCharType="begin"/>
      </w:r>
      <w:r w:rsidR="00F43DB6" w:rsidRPr="009A27ED">
        <w:rPr>
          <w:rFonts w:ascii="Times New Roman" w:eastAsia="Times New Roman" w:hAnsi="Times New Roman"/>
          <w:sz w:val="24"/>
        </w:rPr>
        <w:instrText xml:space="preserve"> SEQ Cuadro \* ARABIC </w:instrText>
      </w:r>
      <w:r w:rsidR="00F43DB6"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24</w:t>
      </w:r>
      <w:r w:rsidR="00F43DB6" w:rsidRPr="009A27ED">
        <w:rPr>
          <w:rFonts w:ascii="Times New Roman" w:eastAsia="Times New Roman" w:hAnsi="Times New Roman"/>
          <w:sz w:val="24"/>
        </w:rPr>
        <w:fldChar w:fldCharType="end"/>
      </w:r>
      <w:r w:rsidRPr="009A27ED">
        <w:rPr>
          <w:rFonts w:ascii="Times New Roman" w:eastAsia="Times New Roman" w:hAnsi="Times New Roman"/>
          <w:sz w:val="24"/>
        </w:rPr>
        <w:t>. Variables metropolitanas</w:t>
      </w:r>
      <w:bookmarkEnd w:id="167"/>
    </w:p>
    <w:tbl>
      <w:tblPr>
        <w:tblStyle w:val="Tablaconcuadrcula"/>
        <w:tblW w:w="0" w:type="auto"/>
        <w:jc w:val="center"/>
        <w:tblLook w:val="04A0" w:firstRow="1" w:lastRow="0" w:firstColumn="1" w:lastColumn="0" w:noHBand="0" w:noVBand="1"/>
      </w:tblPr>
      <w:tblGrid>
        <w:gridCol w:w="1435"/>
        <w:gridCol w:w="1800"/>
        <w:gridCol w:w="1710"/>
        <w:gridCol w:w="1643"/>
      </w:tblGrid>
      <w:tr w:rsidR="0004071A" w:rsidRPr="009A27ED" w14:paraId="32535604" w14:textId="77777777" w:rsidTr="008A63EF">
        <w:trPr>
          <w:jc w:val="center"/>
        </w:trPr>
        <w:tc>
          <w:tcPr>
            <w:tcW w:w="1435" w:type="dxa"/>
            <w:shd w:val="clear" w:color="auto" w:fill="2E74B5" w:themeFill="accent1" w:themeFillShade="BF"/>
            <w:vAlign w:val="center"/>
          </w:tcPr>
          <w:p w14:paraId="498798C3" w14:textId="77777777" w:rsidR="0004071A" w:rsidRPr="009A27ED" w:rsidRDefault="0004071A" w:rsidP="005C2480">
            <w:pPr>
              <w:spacing w:after="0"/>
              <w:jc w:val="center"/>
              <w:rPr>
                <w:b/>
                <w:bCs/>
                <w:iCs/>
                <w:color w:val="FFFFFF" w:themeColor="background1"/>
                <w:sz w:val="20"/>
                <w:szCs w:val="20"/>
              </w:rPr>
            </w:pPr>
            <w:r w:rsidRPr="009A27ED">
              <w:rPr>
                <w:b/>
                <w:bCs/>
                <w:iCs/>
                <w:color w:val="FFFFFF" w:themeColor="background1"/>
                <w:sz w:val="20"/>
                <w:szCs w:val="20"/>
              </w:rPr>
              <w:t>Áreas</w:t>
            </w:r>
          </w:p>
        </w:tc>
        <w:tc>
          <w:tcPr>
            <w:tcW w:w="1800" w:type="dxa"/>
            <w:shd w:val="clear" w:color="auto" w:fill="2E74B5" w:themeFill="accent1" w:themeFillShade="BF"/>
            <w:vAlign w:val="center"/>
          </w:tcPr>
          <w:p w14:paraId="71FC4C8D" w14:textId="177D9EE5" w:rsidR="0004071A" w:rsidRPr="009A27ED" w:rsidRDefault="0004071A" w:rsidP="005C2480">
            <w:pPr>
              <w:spacing w:after="0"/>
              <w:jc w:val="center"/>
              <w:rPr>
                <w:b/>
                <w:bCs/>
                <w:iCs/>
                <w:color w:val="FFFFFF" w:themeColor="background1"/>
                <w:sz w:val="20"/>
                <w:szCs w:val="20"/>
              </w:rPr>
            </w:pPr>
            <w:r w:rsidRPr="009A27ED">
              <w:rPr>
                <w:b/>
                <w:bCs/>
                <w:iCs/>
                <w:color w:val="FFFFFF" w:themeColor="background1"/>
                <w:sz w:val="20"/>
                <w:szCs w:val="20"/>
              </w:rPr>
              <w:t>Población total</w:t>
            </w:r>
          </w:p>
        </w:tc>
        <w:tc>
          <w:tcPr>
            <w:tcW w:w="1710" w:type="dxa"/>
            <w:shd w:val="clear" w:color="auto" w:fill="2E74B5" w:themeFill="accent1" w:themeFillShade="BF"/>
            <w:vAlign w:val="center"/>
          </w:tcPr>
          <w:p w14:paraId="7711A3A6" w14:textId="49456652" w:rsidR="0004071A" w:rsidRPr="009A27ED" w:rsidRDefault="0004071A" w:rsidP="005C2480">
            <w:pPr>
              <w:spacing w:after="0"/>
              <w:jc w:val="center"/>
              <w:rPr>
                <w:b/>
                <w:bCs/>
                <w:iCs/>
                <w:color w:val="FFFFFF" w:themeColor="background1"/>
                <w:sz w:val="20"/>
                <w:szCs w:val="20"/>
              </w:rPr>
            </w:pPr>
            <w:r w:rsidRPr="009A27ED">
              <w:rPr>
                <w:b/>
                <w:bCs/>
                <w:iCs/>
                <w:color w:val="FFFFFF" w:themeColor="background1"/>
                <w:sz w:val="20"/>
                <w:szCs w:val="20"/>
              </w:rPr>
              <w:t>Superficie</w:t>
            </w:r>
          </w:p>
        </w:tc>
        <w:tc>
          <w:tcPr>
            <w:tcW w:w="1643" w:type="dxa"/>
            <w:shd w:val="clear" w:color="auto" w:fill="2E74B5" w:themeFill="accent1" w:themeFillShade="BF"/>
            <w:vAlign w:val="center"/>
          </w:tcPr>
          <w:p w14:paraId="0CE809F7" w14:textId="77777777" w:rsidR="00B85BEE" w:rsidRPr="009A27ED" w:rsidRDefault="0004071A" w:rsidP="005C2480">
            <w:pPr>
              <w:spacing w:after="0"/>
              <w:jc w:val="center"/>
              <w:rPr>
                <w:b/>
                <w:bCs/>
                <w:iCs/>
                <w:color w:val="FFFFFF" w:themeColor="background1"/>
                <w:sz w:val="20"/>
                <w:szCs w:val="20"/>
              </w:rPr>
            </w:pPr>
            <w:r w:rsidRPr="009A27ED">
              <w:rPr>
                <w:b/>
                <w:bCs/>
                <w:iCs/>
                <w:color w:val="FFFFFF" w:themeColor="background1"/>
                <w:sz w:val="20"/>
                <w:szCs w:val="20"/>
              </w:rPr>
              <w:t>Densidad</w:t>
            </w:r>
          </w:p>
          <w:p w14:paraId="7ABFFCD4" w14:textId="047B6540" w:rsidR="00B876A6" w:rsidRPr="009A27ED" w:rsidRDefault="00B876A6" w:rsidP="005C2480">
            <w:pPr>
              <w:spacing w:after="0"/>
              <w:jc w:val="center"/>
              <w:rPr>
                <w:b/>
                <w:bCs/>
                <w:iCs/>
                <w:color w:val="FFFFFF" w:themeColor="background1"/>
                <w:sz w:val="20"/>
                <w:szCs w:val="20"/>
              </w:rPr>
            </w:pPr>
          </w:p>
        </w:tc>
      </w:tr>
      <w:tr w:rsidR="0004071A" w:rsidRPr="009A27ED" w14:paraId="3064D73B" w14:textId="77777777" w:rsidTr="006A4C77">
        <w:trPr>
          <w:jc w:val="center"/>
        </w:trPr>
        <w:tc>
          <w:tcPr>
            <w:tcW w:w="1435" w:type="dxa"/>
          </w:tcPr>
          <w:p w14:paraId="42179AD0" w14:textId="77777777" w:rsidR="0004071A" w:rsidRPr="009A27ED" w:rsidRDefault="0004071A" w:rsidP="00B85BEE">
            <w:pPr>
              <w:spacing w:after="0"/>
              <w:rPr>
                <w:bCs/>
                <w:iCs/>
                <w:sz w:val="20"/>
                <w:szCs w:val="20"/>
              </w:rPr>
            </w:pPr>
            <w:r w:rsidRPr="009A27ED">
              <w:rPr>
                <w:bCs/>
                <w:iCs/>
                <w:sz w:val="20"/>
                <w:szCs w:val="20"/>
              </w:rPr>
              <w:t>Área 1</w:t>
            </w:r>
          </w:p>
        </w:tc>
        <w:tc>
          <w:tcPr>
            <w:tcW w:w="1800" w:type="dxa"/>
          </w:tcPr>
          <w:p w14:paraId="1E9B02B8" w14:textId="77777777" w:rsidR="0004071A" w:rsidRPr="009A27ED" w:rsidRDefault="0004071A" w:rsidP="00B85BEE">
            <w:pPr>
              <w:spacing w:after="0"/>
              <w:jc w:val="right"/>
              <w:rPr>
                <w:bCs/>
                <w:iCs/>
                <w:sz w:val="20"/>
                <w:szCs w:val="20"/>
              </w:rPr>
            </w:pPr>
            <w:r w:rsidRPr="009A27ED">
              <w:rPr>
                <w:bCs/>
                <w:iCs/>
                <w:sz w:val="20"/>
                <w:szCs w:val="20"/>
              </w:rPr>
              <w:t>122,271.00</w:t>
            </w:r>
          </w:p>
        </w:tc>
        <w:tc>
          <w:tcPr>
            <w:tcW w:w="1710" w:type="dxa"/>
            <w:vAlign w:val="bottom"/>
          </w:tcPr>
          <w:p w14:paraId="3BC40890" w14:textId="77777777" w:rsidR="0004071A" w:rsidRPr="009A27ED" w:rsidRDefault="0004071A" w:rsidP="00B85BEE">
            <w:pPr>
              <w:spacing w:after="0"/>
              <w:jc w:val="right"/>
              <w:rPr>
                <w:bCs/>
                <w:iCs/>
                <w:sz w:val="20"/>
                <w:szCs w:val="20"/>
              </w:rPr>
            </w:pPr>
            <w:r w:rsidRPr="009A27ED">
              <w:rPr>
                <w:bCs/>
                <w:iCs/>
                <w:sz w:val="20"/>
                <w:szCs w:val="20"/>
              </w:rPr>
              <w:t xml:space="preserve">            3,276.62 </w:t>
            </w:r>
          </w:p>
        </w:tc>
        <w:tc>
          <w:tcPr>
            <w:tcW w:w="1643" w:type="dxa"/>
            <w:vAlign w:val="bottom"/>
          </w:tcPr>
          <w:p w14:paraId="6A894D3C" w14:textId="77777777" w:rsidR="0004071A" w:rsidRPr="009A27ED" w:rsidRDefault="0004071A" w:rsidP="00B85BEE">
            <w:pPr>
              <w:spacing w:after="0"/>
              <w:jc w:val="right"/>
              <w:rPr>
                <w:bCs/>
                <w:iCs/>
                <w:sz w:val="20"/>
                <w:szCs w:val="20"/>
              </w:rPr>
            </w:pPr>
            <w:r w:rsidRPr="009A27ED">
              <w:rPr>
                <w:bCs/>
                <w:iCs/>
                <w:sz w:val="20"/>
                <w:szCs w:val="20"/>
              </w:rPr>
              <w:t xml:space="preserve">                  37.32 </w:t>
            </w:r>
          </w:p>
        </w:tc>
      </w:tr>
      <w:tr w:rsidR="0004071A" w:rsidRPr="009A27ED" w14:paraId="48D9CFAC" w14:textId="77777777" w:rsidTr="006A4C77">
        <w:trPr>
          <w:jc w:val="center"/>
        </w:trPr>
        <w:tc>
          <w:tcPr>
            <w:tcW w:w="1435" w:type="dxa"/>
          </w:tcPr>
          <w:p w14:paraId="27A1C382" w14:textId="77777777" w:rsidR="0004071A" w:rsidRPr="009A27ED" w:rsidRDefault="0004071A" w:rsidP="00B85BEE">
            <w:pPr>
              <w:spacing w:after="0"/>
              <w:rPr>
                <w:bCs/>
                <w:iCs/>
                <w:sz w:val="20"/>
                <w:szCs w:val="20"/>
              </w:rPr>
            </w:pPr>
            <w:r w:rsidRPr="009A27ED">
              <w:rPr>
                <w:bCs/>
                <w:iCs/>
                <w:sz w:val="20"/>
                <w:szCs w:val="20"/>
              </w:rPr>
              <w:t>Área 2</w:t>
            </w:r>
          </w:p>
        </w:tc>
        <w:tc>
          <w:tcPr>
            <w:tcW w:w="1800" w:type="dxa"/>
            <w:vAlign w:val="bottom"/>
          </w:tcPr>
          <w:p w14:paraId="03D61A3D" w14:textId="77777777" w:rsidR="0004071A" w:rsidRPr="009A27ED" w:rsidRDefault="0004071A" w:rsidP="00B85BEE">
            <w:pPr>
              <w:spacing w:after="0"/>
              <w:jc w:val="right"/>
              <w:rPr>
                <w:bCs/>
                <w:iCs/>
                <w:sz w:val="20"/>
                <w:szCs w:val="20"/>
              </w:rPr>
            </w:pPr>
            <w:r w:rsidRPr="009A27ED">
              <w:rPr>
                <w:bCs/>
                <w:iCs/>
                <w:sz w:val="20"/>
                <w:szCs w:val="20"/>
              </w:rPr>
              <w:t xml:space="preserve">87,849.00 </w:t>
            </w:r>
          </w:p>
        </w:tc>
        <w:tc>
          <w:tcPr>
            <w:tcW w:w="1710" w:type="dxa"/>
            <w:vAlign w:val="bottom"/>
          </w:tcPr>
          <w:p w14:paraId="47B938A1" w14:textId="77777777" w:rsidR="0004071A" w:rsidRPr="009A27ED" w:rsidRDefault="0004071A" w:rsidP="00B85BEE">
            <w:pPr>
              <w:spacing w:after="0"/>
              <w:jc w:val="right"/>
              <w:rPr>
                <w:bCs/>
                <w:iCs/>
                <w:sz w:val="20"/>
                <w:szCs w:val="20"/>
              </w:rPr>
            </w:pPr>
            <w:r w:rsidRPr="009A27ED">
              <w:rPr>
                <w:bCs/>
                <w:iCs/>
                <w:sz w:val="20"/>
                <w:szCs w:val="20"/>
              </w:rPr>
              <w:t xml:space="preserve">2,055.97 </w:t>
            </w:r>
          </w:p>
        </w:tc>
        <w:tc>
          <w:tcPr>
            <w:tcW w:w="1643" w:type="dxa"/>
            <w:vAlign w:val="bottom"/>
          </w:tcPr>
          <w:p w14:paraId="27BE413F" w14:textId="77777777" w:rsidR="0004071A" w:rsidRPr="009A27ED" w:rsidRDefault="0004071A" w:rsidP="00B85BEE">
            <w:pPr>
              <w:spacing w:after="0"/>
              <w:jc w:val="right"/>
              <w:rPr>
                <w:bCs/>
                <w:iCs/>
                <w:sz w:val="20"/>
                <w:szCs w:val="20"/>
              </w:rPr>
            </w:pPr>
            <w:r w:rsidRPr="009A27ED">
              <w:rPr>
                <w:bCs/>
                <w:iCs/>
                <w:sz w:val="20"/>
                <w:szCs w:val="20"/>
              </w:rPr>
              <w:t xml:space="preserve">42.73 </w:t>
            </w:r>
          </w:p>
        </w:tc>
      </w:tr>
      <w:tr w:rsidR="0004071A" w:rsidRPr="009A27ED" w14:paraId="47762F3B" w14:textId="77777777" w:rsidTr="006A4C77">
        <w:trPr>
          <w:jc w:val="center"/>
        </w:trPr>
        <w:tc>
          <w:tcPr>
            <w:tcW w:w="1435" w:type="dxa"/>
          </w:tcPr>
          <w:p w14:paraId="6700E5C1" w14:textId="77777777" w:rsidR="0004071A" w:rsidRPr="009A27ED" w:rsidRDefault="0004071A" w:rsidP="00B85BEE">
            <w:pPr>
              <w:spacing w:after="0"/>
              <w:rPr>
                <w:bCs/>
                <w:iCs/>
                <w:sz w:val="20"/>
                <w:szCs w:val="20"/>
              </w:rPr>
            </w:pPr>
            <w:r w:rsidRPr="009A27ED">
              <w:rPr>
                <w:bCs/>
                <w:iCs/>
                <w:sz w:val="20"/>
                <w:szCs w:val="20"/>
              </w:rPr>
              <w:t>Área 3</w:t>
            </w:r>
          </w:p>
        </w:tc>
        <w:tc>
          <w:tcPr>
            <w:tcW w:w="1800" w:type="dxa"/>
            <w:vAlign w:val="bottom"/>
          </w:tcPr>
          <w:p w14:paraId="287B0903" w14:textId="77777777" w:rsidR="0004071A" w:rsidRPr="009A27ED" w:rsidRDefault="0004071A" w:rsidP="00B85BEE">
            <w:pPr>
              <w:spacing w:after="0"/>
              <w:jc w:val="right"/>
              <w:rPr>
                <w:bCs/>
                <w:iCs/>
                <w:sz w:val="20"/>
                <w:szCs w:val="20"/>
              </w:rPr>
            </w:pPr>
            <w:r w:rsidRPr="009A27ED">
              <w:rPr>
                <w:bCs/>
                <w:iCs/>
                <w:sz w:val="20"/>
                <w:szCs w:val="20"/>
              </w:rPr>
              <w:t xml:space="preserve">757,489.00 </w:t>
            </w:r>
          </w:p>
        </w:tc>
        <w:tc>
          <w:tcPr>
            <w:tcW w:w="1710" w:type="dxa"/>
            <w:vAlign w:val="bottom"/>
          </w:tcPr>
          <w:p w14:paraId="13158126" w14:textId="77777777" w:rsidR="0004071A" w:rsidRPr="009A27ED" w:rsidRDefault="0004071A" w:rsidP="00B85BEE">
            <w:pPr>
              <w:spacing w:after="0"/>
              <w:jc w:val="right"/>
              <w:rPr>
                <w:bCs/>
                <w:iCs/>
                <w:sz w:val="20"/>
                <w:szCs w:val="20"/>
              </w:rPr>
            </w:pPr>
            <w:r w:rsidRPr="009A27ED">
              <w:rPr>
                <w:bCs/>
                <w:iCs/>
                <w:sz w:val="20"/>
                <w:szCs w:val="20"/>
              </w:rPr>
              <w:t xml:space="preserve">6,462.29 </w:t>
            </w:r>
          </w:p>
        </w:tc>
        <w:tc>
          <w:tcPr>
            <w:tcW w:w="1643" w:type="dxa"/>
            <w:vAlign w:val="bottom"/>
          </w:tcPr>
          <w:p w14:paraId="3B08461A" w14:textId="77777777" w:rsidR="0004071A" w:rsidRPr="009A27ED" w:rsidRDefault="0004071A" w:rsidP="00B85BEE">
            <w:pPr>
              <w:spacing w:after="0"/>
              <w:jc w:val="right"/>
              <w:rPr>
                <w:bCs/>
                <w:iCs/>
                <w:sz w:val="20"/>
                <w:szCs w:val="20"/>
              </w:rPr>
            </w:pPr>
            <w:r w:rsidRPr="009A27ED">
              <w:rPr>
                <w:bCs/>
                <w:iCs/>
                <w:sz w:val="20"/>
                <w:szCs w:val="20"/>
              </w:rPr>
              <w:t xml:space="preserve">117.22 </w:t>
            </w:r>
          </w:p>
        </w:tc>
      </w:tr>
      <w:tr w:rsidR="0004071A" w:rsidRPr="009A27ED" w14:paraId="7A064927" w14:textId="77777777" w:rsidTr="006A4C77">
        <w:trPr>
          <w:jc w:val="center"/>
        </w:trPr>
        <w:tc>
          <w:tcPr>
            <w:tcW w:w="1435" w:type="dxa"/>
          </w:tcPr>
          <w:p w14:paraId="1BFED7D5" w14:textId="77777777" w:rsidR="0004071A" w:rsidRPr="009A27ED" w:rsidRDefault="0004071A" w:rsidP="00B85BEE">
            <w:pPr>
              <w:spacing w:after="0"/>
              <w:rPr>
                <w:bCs/>
                <w:iCs/>
                <w:sz w:val="20"/>
                <w:szCs w:val="20"/>
              </w:rPr>
            </w:pPr>
            <w:r w:rsidRPr="009A27ED">
              <w:rPr>
                <w:bCs/>
                <w:iCs/>
                <w:sz w:val="20"/>
                <w:szCs w:val="20"/>
              </w:rPr>
              <w:t>Área 4</w:t>
            </w:r>
          </w:p>
        </w:tc>
        <w:tc>
          <w:tcPr>
            <w:tcW w:w="1800" w:type="dxa"/>
            <w:vAlign w:val="bottom"/>
          </w:tcPr>
          <w:p w14:paraId="1AAAC15A" w14:textId="77777777" w:rsidR="0004071A" w:rsidRPr="009A27ED" w:rsidRDefault="0004071A" w:rsidP="00B85BEE">
            <w:pPr>
              <w:spacing w:after="0"/>
              <w:jc w:val="right"/>
              <w:rPr>
                <w:bCs/>
                <w:iCs/>
                <w:sz w:val="20"/>
                <w:szCs w:val="20"/>
              </w:rPr>
            </w:pPr>
            <w:r w:rsidRPr="009A27ED">
              <w:rPr>
                <w:bCs/>
                <w:iCs/>
                <w:sz w:val="20"/>
                <w:szCs w:val="20"/>
              </w:rPr>
              <w:t xml:space="preserve">292,876.00 </w:t>
            </w:r>
          </w:p>
        </w:tc>
        <w:tc>
          <w:tcPr>
            <w:tcW w:w="1710" w:type="dxa"/>
            <w:vAlign w:val="bottom"/>
          </w:tcPr>
          <w:p w14:paraId="23C84B4D" w14:textId="77777777" w:rsidR="0004071A" w:rsidRPr="009A27ED" w:rsidRDefault="0004071A" w:rsidP="00B85BEE">
            <w:pPr>
              <w:spacing w:after="0"/>
              <w:jc w:val="right"/>
              <w:rPr>
                <w:bCs/>
                <w:iCs/>
                <w:sz w:val="20"/>
                <w:szCs w:val="20"/>
              </w:rPr>
            </w:pPr>
            <w:r w:rsidRPr="009A27ED">
              <w:rPr>
                <w:bCs/>
                <w:iCs/>
                <w:sz w:val="20"/>
                <w:szCs w:val="20"/>
              </w:rPr>
              <w:t xml:space="preserve">1,463.37 </w:t>
            </w:r>
          </w:p>
        </w:tc>
        <w:tc>
          <w:tcPr>
            <w:tcW w:w="1643" w:type="dxa"/>
            <w:vAlign w:val="bottom"/>
          </w:tcPr>
          <w:p w14:paraId="55FD85E3" w14:textId="77777777" w:rsidR="0004071A" w:rsidRPr="009A27ED" w:rsidRDefault="0004071A" w:rsidP="00B85BEE">
            <w:pPr>
              <w:spacing w:after="0"/>
              <w:jc w:val="right"/>
              <w:rPr>
                <w:bCs/>
                <w:iCs/>
                <w:sz w:val="20"/>
                <w:szCs w:val="20"/>
              </w:rPr>
            </w:pPr>
            <w:r w:rsidRPr="009A27ED">
              <w:rPr>
                <w:bCs/>
                <w:iCs/>
                <w:sz w:val="20"/>
                <w:szCs w:val="20"/>
              </w:rPr>
              <w:t xml:space="preserve">200.14 </w:t>
            </w:r>
          </w:p>
        </w:tc>
      </w:tr>
      <w:tr w:rsidR="0004071A" w:rsidRPr="009A27ED" w14:paraId="69F38323" w14:textId="77777777" w:rsidTr="006A4C77">
        <w:trPr>
          <w:trHeight w:val="323"/>
          <w:jc w:val="center"/>
        </w:trPr>
        <w:tc>
          <w:tcPr>
            <w:tcW w:w="1435" w:type="dxa"/>
          </w:tcPr>
          <w:p w14:paraId="5E314864" w14:textId="77777777" w:rsidR="0004071A" w:rsidRPr="009A27ED" w:rsidRDefault="0004071A" w:rsidP="00B85BEE">
            <w:pPr>
              <w:spacing w:after="0"/>
              <w:rPr>
                <w:bCs/>
                <w:iCs/>
                <w:sz w:val="20"/>
                <w:szCs w:val="20"/>
              </w:rPr>
            </w:pPr>
            <w:r w:rsidRPr="009A27ED">
              <w:rPr>
                <w:bCs/>
                <w:iCs/>
                <w:sz w:val="20"/>
                <w:szCs w:val="20"/>
              </w:rPr>
              <w:t>Área 4</w:t>
            </w:r>
          </w:p>
        </w:tc>
        <w:tc>
          <w:tcPr>
            <w:tcW w:w="1800" w:type="dxa"/>
            <w:vAlign w:val="bottom"/>
          </w:tcPr>
          <w:p w14:paraId="23B2FB79" w14:textId="77777777" w:rsidR="0004071A" w:rsidRPr="009A27ED" w:rsidRDefault="0004071A" w:rsidP="00B85BEE">
            <w:pPr>
              <w:spacing w:after="0"/>
              <w:jc w:val="right"/>
              <w:rPr>
                <w:bCs/>
                <w:iCs/>
                <w:sz w:val="20"/>
                <w:szCs w:val="20"/>
              </w:rPr>
            </w:pPr>
            <w:r w:rsidRPr="009A27ED">
              <w:rPr>
                <w:bCs/>
                <w:iCs/>
                <w:sz w:val="20"/>
                <w:szCs w:val="20"/>
              </w:rPr>
              <w:t xml:space="preserve">153,298.00 </w:t>
            </w:r>
          </w:p>
        </w:tc>
        <w:tc>
          <w:tcPr>
            <w:tcW w:w="1710" w:type="dxa"/>
            <w:vAlign w:val="bottom"/>
          </w:tcPr>
          <w:p w14:paraId="24660DF3" w14:textId="77777777" w:rsidR="0004071A" w:rsidRPr="009A27ED" w:rsidRDefault="0004071A" w:rsidP="00B85BEE">
            <w:pPr>
              <w:spacing w:after="0"/>
              <w:jc w:val="right"/>
              <w:rPr>
                <w:bCs/>
                <w:iCs/>
                <w:sz w:val="20"/>
                <w:szCs w:val="20"/>
              </w:rPr>
            </w:pPr>
            <w:r w:rsidRPr="009A27ED">
              <w:rPr>
                <w:bCs/>
                <w:iCs/>
                <w:sz w:val="20"/>
                <w:szCs w:val="20"/>
              </w:rPr>
              <w:t xml:space="preserve">2,306.76 </w:t>
            </w:r>
          </w:p>
        </w:tc>
        <w:tc>
          <w:tcPr>
            <w:tcW w:w="1643" w:type="dxa"/>
            <w:vAlign w:val="bottom"/>
          </w:tcPr>
          <w:p w14:paraId="7A31F792" w14:textId="77777777" w:rsidR="0004071A" w:rsidRPr="009A27ED" w:rsidRDefault="0004071A" w:rsidP="00B85BEE">
            <w:pPr>
              <w:spacing w:after="0"/>
              <w:jc w:val="right"/>
              <w:rPr>
                <w:bCs/>
                <w:iCs/>
                <w:sz w:val="20"/>
                <w:szCs w:val="20"/>
              </w:rPr>
            </w:pPr>
            <w:r w:rsidRPr="009A27ED">
              <w:rPr>
                <w:bCs/>
                <w:iCs/>
                <w:sz w:val="20"/>
                <w:szCs w:val="20"/>
              </w:rPr>
              <w:t xml:space="preserve">66.46 </w:t>
            </w:r>
          </w:p>
        </w:tc>
      </w:tr>
      <w:tr w:rsidR="0004071A" w:rsidRPr="009A27ED" w14:paraId="0CF394C0" w14:textId="77777777" w:rsidTr="006A4C77">
        <w:trPr>
          <w:jc w:val="center"/>
        </w:trPr>
        <w:tc>
          <w:tcPr>
            <w:tcW w:w="1435" w:type="dxa"/>
          </w:tcPr>
          <w:p w14:paraId="3DFAD385" w14:textId="77777777" w:rsidR="0004071A" w:rsidRPr="009A27ED" w:rsidRDefault="0004071A" w:rsidP="00B85BEE">
            <w:pPr>
              <w:spacing w:after="0"/>
              <w:rPr>
                <w:b/>
                <w:bCs/>
                <w:iCs/>
                <w:sz w:val="20"/>
                <w:szCs w:val="20"/>
              </w:rPr>
            </w:pPr>
            <w:r w:rsidRPr="009A27ED">
              <w:rPr>
                <w:b/>
                <w:bCs/>
                <w:iCs/>
                <w:sz w:val="20"/>
                <w:szCs w:val="20"/>
              </w:rPr>
              <w:t>Total</w:t>
            </w:r>
          </w:p>
        </w:tc>
        <w:tc>
          <w:tcPr>
            <w:tcW w:w="1800" w:type="dxa"/>
            <w:vAlign w:val="bottom"/>
          </w:tcPr>
          <w:p w14:paraId="5A916E2E" w14:textId="77777777" w:rsidR="0004071A" w:rsidRPr="009A27ED" w:rsidRDefault="0004071A" w:rsidP="00B85BEE">
            <w:pPr>
              <w:spacing w:after="0"/>
              <w:jc w:val="right"/>
              <w:rPr>
                <w:b/>
                <w:bCs/>
                <w:iCs/>
                <w:sz w:val="20"/>
                <w:szCs w:val="20"/>
              </w:rPr>
            </w:pPr>
            <w:r w:rsidRPr="009A27ED">
              <w:rPr>
                <w:b/>
                <w:bCs/>
                <w:iCs/>
                <w:sz w:val="20"/>
                <w:szCs w:val="20"/>
              </w:rPr>
              <w:t xml:space="preserve">1,413,783.00 </w:t>
            </w:r>
          </w:p>
        </w:tc>
        <w:tc>
          <w:tcPr>
            <w:tcW w:w="1710" w:type="dxa"/>
            <w:vAlign w:val="bottom"/>
          </w:tcPr>
          <w:p w14:paraId="183CC4E3" w14:textId="77777777" w:rsidR="0004071A" w:rsidRPr="009A27ED" w:rsidRDefault="0004071A" w:rsidP="00B85BEE">
            <w:pPr>
              <w:spacing w:after="0"/>
              <w:jc w:val="right"/>
              <w:rPr>
                <w:b/>
                <w:bCs/>
                <w:iCs/>
                <w:sz w:val="20"/>
                <w:szCs w:val="20"/>
              </w:rPr>
            </w:pPr>
            <w:r w:rsidRPr="009A27ED">
              <w:rPr>
                <w:b/>
                <w:bCs/>
                <w:iCs/>
                <w:sz w:val="20"/>
                <w:szCs w:val="20"/>
              </w:rPr>
              <w:t xml:space="preserve">15,565.01 </w:t>
            </w:r>
          </w:p>
        </w:tc>
        <w:tc>
          <w:tcPr>
            <w:tcW w:w="1643" w:type="dxa"/>
            <w:vAlign w:val="bottom"/>
          </w:tcPr>
          <w:p w14:paraId="6E59FAB3" w14:textId="77777777" w:rsidR="0004071A" w:rsidRPr="009A27ED" w:rsidRDefault="0004071A" w:rsidP="006A4C77">
            <w:pPr>
              <w:keepNext/>
              <w:spacing w:after="0"/>
              <w:jc w:val="right"/>
              <w:rPr>
                <w:b/>
                <w:bCs/>
                <w:iCs/>
                <w:sz w:val="20"/>
                <w:szCs w:val="20"/>
              </w:rPr>
            </w:pPr>
            <w:r w:rsidRPr="009A27ED">
              <w:rPr>
                <w:b/>
                <w:bCs/>
                <w:iCs/>
                <w:sz w:val="20"/>
                <w:szCs w:val="20"/>
              </w:rPr>
              <w:t xml:space="preserve">90.83 </w:t>
            </w:r>
          </w:p>
        </w:tc>
      </w:tr>
    </w:tbl>
    <w:p w14:paraId="76BD6546" w14:textId="572AB8E4" w:rsidR="006A4C77" w:rsidRPr="009A27ED" w:rsidRDefault="0004071A" w:rsidP="00C27962">
      <w:pPr>
        <w:pStyle w:val="Descripcin"/>
        <w:spacing w:after="0" w:line="360" w:lineRule="auto"/>
        <w:rPr>
          <w:bCs/>
          <w:i w:val="0"/>
          <w:iCs w:val="0"/>
          <w:color w:val="000000" w:themeColor="text1"/>
          <w:sz w:val="20"/>
          <w:szCs w:val="22"/>
        </w:rPr>
      </w:pPr>
      <w:r w:rsidRPr="009A27ED">
        <w:rPr>
          <w:rFonts w:ascii="Times New Roman" w:eastAsia="Times New Roman" w:hAnsi="Times New Roman"/>
          <w:bCs/>
          <w:i w:val="0"/>
          <w:iCs w:val="0"/>
          <w:color w:val="000000" w:themeColor="text1"/>
          <w:sz w:val="24"/>
          <w:szCs w:val="22"/>
        </w:rPr>
        <w:t xml:space="preserve">Fuente: </w:t>
      </w:r>
      <w:hyperlink r:id="rId48" w:history="1">
        <w:r w:rsidR="006A4C77" w:rsidRPr="009A27ED">
          <w:rPr>
            <w:rStyle w:val="Hipervnculo"/>
            <w:bCs/>
            <w:i w:val="0"/>
            <w:iCs w:val="0"/>
            <w:sz w:val="20"/>
            <w:szCs w:val="22"/>
          </w:rPr>
          <w:t>www.one.gob.do</w:t>
        </w:r>
      </w:hyperlink>
    </w:p>
    <w:p w14:paraId="58B1EBA1" w14:textId="381B28ED" w:rsidR="0004071A" w:rsidRPr="009A27ED" w:rsidRDefault="0004071A" w:rsidP="005B6485">
      <w:pPr>
        <w:spacing w:before="120" w:after="0" w:line="360" w:lineRule="auto"/>
        <w:rPr>
          <w:bCs/>
          <w:iCs/>
          <w:szCs w:val="22"/>
        </w:rPr>
      </w:pPr>
      <w:r w:rsidRPr="009A27ED">
        <w:rPr>
          <w:rFonts w:ascii="Times New Roman" w:eastAsia="Times New Roman" w:hAnsi="Times New Roman"/>
          <w:bCs/>
          <w:iCs/>
          <w:sz w:val="24"/>
          <w:szCs w:val="22"/>
        </w:rPr>
        <w:t>La distribución por tipo de población muestr</w:t>
      </w:r>
      <w:r w:rsidR="006A4C77" w:rsidRPr="009A27ED">
        <w:rPr>
          <w:rFonts w:ascii="Times New Roman" w:eastAsia="Times New Roman" w:hAnsi="Times New Roman"/>
          <w:bCs/>
          <w:iCs/>
          <w:sz w:val="24"/>
          <w:szCs w:val="22"/>
        </w:rPr>
        <w:t xml:space="preserve">a que en las áreas priorizadas </w:t>
      </w:r>
      <w:r w:rsidRPr="009A27ED">
        <w:rPr>
          <w:rFonts w:ascii="Times New Roman" w:eastAsia="Times New Roman" w:hAnsi="Times New Roman"/>
          <w:bCs/>
          <w:iCs/>
          <w:sz w:val="24"/>
          <w:szCs w:val="22"/>
        </w:rPr>
        <w:t xml:space="preserve">la población es principalmente urbana (61%). Los porcentajes de población urbana en todas las áreas se </w:t>
      </w:r>
      <w:r w:rsidR="0069562F" w:rsidRPr="009A27ED">
        <w:rPr>
          <w:rFonts w:ascii="Times New Roman" w:eastAsia="Times New Roman" w:hAnsi="Times New Roman"/>
          <w:bCs/>
          <w:iCs/>
          <w:sz w:val="24"/>
          <w:szCs w:val="22"/>
        </w:rPr>
        <w:t>mantienen</w:t>
      </w:r>
      <w:r w:rsidRPr="009A27ED">
        <w:rPr>
          <w:rFonts w:ascii="Times New Roman" w:eastAsia="Times New Roman" w:hAnsi="Times New Roman"/>
          <w:bCs/>
          <w:iCs/>
          <w:sz w:val="24"/>
          <w:szCs w:val="22"/>
        </w:rPr>
        <w:t xml:space="preserve"> balanceado promediando el 60%, exceptuando el área 1, cuya población urbana es la menor con un 43%. </w:t>
      </w:r>
    </w:p>
    <w:p w14:paraId="04FDEEDB" w14:textId="77777777" w:rsidR="00D12F9D" w:rsidRPr="009A27ED" w:rsidRDefault="00D12F9D" w:rsidP="005B6485">
      <w:pPr>
        <w:spacing w:before="120" w:after="0" w:line="360" w:lineRule="auto"/>
        <w:rPr>
          <w:bCs/>
          <w:iCs/>
          <w:szCs w:val="22"/>
        </w:rPr>
      </w:pPr>
    </w:p>
    <w:p w14:paraId="32F4C1AE" w14:textId="419DB47C" w:rsidR="00D12F9D" w:rsidRPr="009A27ED" w:rsidRDefault="00D12F9D" w:rsidP="00D12F9D">
      <w:pPr>
        <w:pStyle w:val="Descripcin"/>
        <w:keepNext/>
        <w:spacing w:line="360" w:lineRule="auto"/>
      </w:pPr>
      <w:bookmarkStart w:id="168" w:name="_Toc111887435"/>
      <w:r w:rsidRPr="009A27ED">
        <w:rPr>
          <w:rFonts w:ascii="Times New Roman" w:eastAsia="Times New Roman" w:hAnsi="Times New Roman"/>
          <w:sz w:val="24"/>
        </w:rPr>
        <w:t xml:space="preserve">Cuadro </w:t>
      </w:r>
      <w:r w:rsidR="00F43DB6" w:rsidRPr="009A27ED">
        <w:rPr>
          <w:rFonts w:ascii="Times New Roman" w:eastAsia="Times New Roman" w:hAnsi="Times New Roman"/>
          <w:sz w:val="24"/>
        </w:rPr>
        <w:fldChar w:fldCharType="begin"/>
      </w:r>
      <w:r w:rsidR="00F43DB6" w:rsidRPr="009A27ED">
        <w:rPr>
          <w:rFonts w:ascii="Times New Roman" w:eastAsia="Times New Roman" w:hAnsi="Times New Roman"/>
          <w:sz w:val="24"/>
        </w:rPr>
        <w:instrText xml:space="preserve"> SEQ Cuadro \* ARABIC </w:instrText>
      </w:r>
      <w:r w:rsidR="00F43DB6"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25</w:t>
      </w:r>
      <w:r w:rsidR="00F43DB6" w:rsidRPr="009A27ED">
        <w:rPr>
          <w:rFonts w:ascii="Times New Roman" w:eastAsia="Times New Roman" w:hAnsi="Times New Roman"/>
          <w:sz w:val="24"/>
        </w:rPr>
        <w:fldChar w:fldCharType="end"/>
      </w:r>
      <w:r w:rsidRPr="009A27ED">
        <w:rPr>
          <w:rFonts w:ascii="Times New Roman" w:eastAsia="Times New Roman" w:hAnsi="Times New Roman"/>
          <w:sz w:val="24"/>
        </w:rPr>
        <w:t xml:space="preserve">. </w:t>
      </w:r>
      <w:r w:rsidRPr="009A27ED">
        <w:rPr>
          <w:rFonts w:ascii="Times New Roman" w:eastAsia="Times New Roman" w:hAnsi="Times New Roman"/>
          <w:color w:val="000000" w:themeColor="text1"/>
          <w:sz w:val="24"/>
          <w:szCs w:val="20"/>
        </w:rPr>
        <w:t>Distribución de la población en Áreas Priorizadas por tipo</w:t>
      </w:r>
      <w:bookmarkEnd w:id="168"/>
    </w:p>
    <w:tbl>
      <w:tblPr>
        <w:tblW w:w="7480" w:type="dxa"/>
        <w:jc w:val="center"/>
        <w:tblLook w:val="04A0" w:firstRow="1" w:lastRow="0" w:firstColumn="1" w:lastColumn="0" w:noHBand="0" w:noVBand="1"/>
      </w:tblPr>
      <w:tblGrid>
        <w:gridCol w:w="1420"/>
        <w:gridCol w:w="1420"/>
        <w:gridCol w:w="1420"/>
        <w:gridCol w:w="900"/>
        <w:gridCol w:w="1380"/>
        <w:gridCol w:w="940"/>
      </w:tblGrid>
      <w:tr w:rsidR="0069562F" w:rsidRPr="009A27ED" w14:paraId="0DD497D7" w14:textId="77777777" w:rsidTr="00352156">
        <w:trPr>
          <w:trHeight w:val="315"/>
          <w:jc w:val="center"/>
        </w:trPr>
        <w:tc>
          <w:tcPr>
            <w:tcW w:w="1420" w:type="dxa"/>
            <w:tcBorders>
              <w:top w:val="single" w:sz="8" w:space="0" w:color="auto"/>
              <w:left w:val="single" w:sz="8" w:space="0" w:color="auto"/>
              <w:bottom w:val="single" w:sz="8" w:space="0" w:color="auto"/>
              <w:right w:val="single" w:sz="8" w:space="0" w:color="auto"/>
            </w:tcBorders>
            <w:shd w:val="clear" w:color="auto" w:fill="2E74B5" w:themeFill="accent1" w:themeFillShade="BF"/>
            <w:noWrap/>
            <w:vAlign w:val="center"/>
            <w:hideMark/>
          </w:tcPr>
          <w:p w14:paraId="3CA96C82" w14:textId="77777777" w:rsidR="0004071A" w:rsidRPr="009A27ED" w:rsidRDefault="0004071A" w:rsidP="00AF66E5">
            <w:pPr>
              <w:spacing w:after="0"/>
              <w:rPr>
                <w:rFonts w:eastAsia="Times New Roman"/>
                <w:color w:val="FFFFFF" w:themeColor="background1"/>
                <w:sz w:val="20"/>
                <w:szCs w:val="20"/>
              </w:rPr>
            </w:pPr>
            <w:r w:rsidRPr="009A27ED">
              <w:rPr>
                <w:rFonts w:eastAsia="Times New Roman"/>
                <w:color w:val="FFFFFF" w:themeColor="background1"/>
                <w:sz w:val="20"/>
                <w:szCs w:val="20"/>
              </w:rPr>
              <w:t> </w:t>
            </w:r>
          </w:p>
        </w:tc>
        <w:tc>
          <w:tcPr>
            <w:tcW w:w="6060" w:type="dxa"/>
            <w:gridSpan w:val="5"/>
            <w:tcBorders>
              <w:top w:val="single" w:sz="8" w:space="0" w:color="auto"/>
              <w:left w:val="nil"/>
              <w:bottom w:val="single" w:sz="8" w:space="0" w:color="auto"/>
              <w:right w:val="single" w:sz="8" w:space="0" w:color="000000"/>
            </w:tcBorders>
            <w:shd w:val="clear" w:color="auto" w:fill="2E74B5" w:themeFill="accent1" w:themeFillShade="BF"/>
            <w:vAlign w:val="center"/>
            <w:hideMark/>
          </w:tcPr>
          <w:p w14:paraId="4AB49C14" w14:textId="39D168B3" w:rsidR="00B85BEE" w:rsidRPr="009A27ED" w:rsidRDefault="0004071A" w:rsidP="006A4C77">
            <w:pPr>
              <w:spacing w:after="0"/>
              <w:jc w:val="center"/>
              <w:rPr>
                <w:rFonts w:eastAsia="Times New Roman"/>
                <w:b/>
                <w:bCs/>
                <w:color w:val="FFFFFF" w:themeColor="background1"/>
                <w:sz w:val="20"/>
                <w:szCs w:val="20"/>
              </w:rPr>
            </w:pPr>
            <w:r w:rsidRPr="009A27ED">
              <w:rPr>
                <w:rFonts w:eastAsia="Times New Roman"/>
                <w:b/>
                <w:bCs/>
                <w:color w:val="FFFFFF" w:themeColor="background1"/>
                <w:sz w:val="20"/>
                <w:szCs w:val="20"/>
              </w:rPr>
              <w:t>Población total por tipo al 2010</w:t>
            </w:r>
          </w:p>
        </w:tc>
      </w:tr>
      <w:tr w:rsidR="0004071A" w:rsidRPr="009A27ED" w14:paraId="3F414C66" w14:textId="77777777" w:rsidTr="00101944">
        <w:trPr>
          <w:trHeight w:val="315"/>
          <w:jc w:val="center"/>
        </w:trPr>
        <w:tc>
          <w:tcPr>
            <w:tcW w:w="1420" w:type="dxa"/>
            <w:tcBorders>
              <w:top w:val="nil"/>
              <w:left w:val="single" w:sz="8" w:space="0" w:color="auto"/>
              <w:bottom w:val="single" w:sz="8" w:space="0" w:color="auto"/>
              <w:right w:val="single" w:sz="8" w:space="0" w:color="auto"/>
            </w:tcBorders>
            <w:shd w:val="clear" w:color="auto" w:fill="auto"/>
            <w:vAlign w:val="center"/>
            <w:hideMark/>
          </w:tcPr>
          <w:p w14:paraId="2FD1CE26" w14:textId="0DB68E7B" w:rsidR="0004071A" w:rsidRPr="009A27ED" w:rsidRDefault="00101944" w:rsidP="00AF66E5">
            <w:pPr>
              <w:spacing w:after="0"/>
              <w:jc w:val="center"/>
              <w:rPr>
                <w:rFonts w:eastAsia="Times New Roman"/>
                <w:b/>
                <w:bCs/>
                <w:color w:val="000000"/>
                <w:sz w:val="20"/>
                <w:szCs w:val="20"/>
                <w:lang w:val="en-US"/>
              </w:rPr>
            </w:pPr>
            <w:r w:rsidRPr="009A27ED">
              <w:rPr>
                <w:rFonts w:eastAsia="Times New Roman"/>
                <w:b/>
                <w:bCs/>
                <w:color w:val="000000"/>
                <w:sz w:val="20"/>
                <w:szCs w:val="20"/>
              </w:rPr>
              <w:t>Área</w:t>
            </w:r>
          </w:p>
        </w:tc>
        <w:tc>
          <w:tcPr>
            <w:tcW w:w="1420" w:type="dxa"/>
            <w:tcBorders>
              <w:top w:val="nil"/>
              <w:left w:val="nil"/>
              <w:bottom w:val="single" w:sz="8" w:space="0" w:color="auto"/>
              <w:right w:val="single" w:sz="8" w:space="0" w:color="auto"/>
            </w:tcBorders>
            <w:shd w:val="clear" w:color="auto" w:fill="auto"/>
            <w:vAlign w:val="center"/>
            <w:hideMark/>
          </w:tcPr>
          <w:p w14:paraId="1EDE66BE" w14:textId="77777777" w:rsidR="0004071A" w:rsidRPr="009A27ED" w:rsidRDefault="0004071A" w:rsidP="00AF66E5">
            <w:pPr>
              <w:spacing w:after="0"/>
              <w:jc w:val="center"/>
              <w:rPr>
                <w:rFonts w:eastAsia="Times New Roman"/>
                <w:b/>
                <w:bCs/>
                <w:color w:val="000000"/>
                <w:sz w:val="20"/>
                <w:szCs w:val="20"/>
                <w:lang w:val="en-US"/>
              </w:rPr>
            </w:pPr>
            <w:r w:rsidRPr="009A27ED">
              <w:rPr>
                <w:rFonts w:eastAsia="Times New Roman"/>
                <w:b/>
                <w:bCs/>
                <w:color w:val="000000"/>
                <w:sz w:val="20"/>
                <w:szCs w:val="20"/>
              </w:rPr>
              <w:t>Habitantes</w:t>
            </w:r>
          </w:p>
        </w:tc>
        <w:tc>
          <w:tcPr>
            <w:tcW w:w="1420" w:type="dxa"/>
            <w:tcBorders>
              <w:top w:val="nil"/>
              <w:left w:val="nil"/>
              <w:bottom w:val="single" w:sz="8" w:space="0" w:color="auto"/>
              <w:right w:val="single" w:sz="8" w:space="0" w:color="auto"/>
            </w:tcBorders>
            <w:shd w:val="clear" w:color="auto" w:fill="auto"/>
            <w:vAlign w:val="center"/>
            <w:hideMark/>
          </w:tcPr>
          <w:p w14:paraId="55183FD1" w14:textId="77777777" w:rsidR="0004071A" w:rsidRPr="009A27ED" w:rsidRDefault="0004071A" w:rsidP="00AF66E5">
            <w:pPr>
              <w:spacing w:after="0"/>
              <w:jc w:val="center"/>
              <w:rPr>
                <w:rFonts w:eastAsia="Times New Roman"/>
                <w:b/>
                <w:bCs/>
                <w:color w:val="000000"/>
                <w:sz w:val="20"/>
                <w:szCs w:val="20"/>
                <w:lang w:val="en-US"/>
              </w:rPr>
            </w:pPr>
            <w:r w:rsidRPr="009A27ED">
              <w:rPr>
                <w:rFonts w:eastAsia="Times New Roman"/>
                <w:b/>
                <w:bCs/>
                <w:color w:val="000000"/>
                <w:sz w:val="20"/>
                <w:szCs w:val="20"/>
              </w:rPr>
              <w:t>Urbano</w:t>
            </w:r>
          </w:p>
        </w:tc>
        <w:tc>
          <w:tcPr>
            <w:tcW w:w="900" w:type="dxa"/>
            <w:tcBorders>
              <w:top w:val="nil"/>
              <w:left w:val="nil"/>
              <w:bottom w:val="single" w:sz="8" w:space="0" w:color="auto"/>
              <w:right w:val="single" w:sz="8" w:space="0" w:color="auto"/>
            </w:tcBorders>
            <w:shd w:val="clear" w:color="auto" w:fill="auto"/>
            <w:vAlign w:val="center"/>
            <w:hideMark/>
          </w:tcPr>
          <w:p w14:paraId="1E5528FE" w14:textId="77777777" w:rsidR="0004071A" w:rsidRPr="009A27ED" w:rsidRDefault="0004071A" w:rsidP="00AF66E5">
            <w:pPr>
              <w:spacing w:after="0"/>
              <w:jc w:val="center"/>
              <w:rPr>
                <w:rFonts w:eastAsia="Times New Roman"/>
                <w:b/>
                <w:bCs/>
                <w:color w:val="000000"/>
                <w:sz w:val="20"/>
                <w:szCs w:val="20"/>
                <w:lang w:val="en-US"/>
              </w:rPr>
            </w:pPr>
            <w:r w:rsidRPr="009A27ED">
              <w:rPr>
                <w:rFonts w:eastAsia="Times New Roman"/>
                <w:b/>
                <w:bCs/>
                <w:color w:val="000000"/>
                <w:sz w:val="20"/>
                <w:szCs w:val="20"/>
              </w:rPr>
              <w:t>%</w:t>
            </w:r>
          </w:p>
        </w:tc>
        <w:tc>
          <w:tcPr>
            <w:tcW w:w="1380" w:type="dxa"/>
            <w:tcBorders>
              <w:top w:val="nil"/>
              <w:left w:val="nil"/>
              <w:bottom w:val="single" w:sz="8" w:space="0" w:color="auto"/>
              <w:right w:val="single" w:sz="8" w:space="0" w:color="auto"/>
            </w:tcBorders>
            <w:shd w:val="clear" w:color="auto" w:fill="auto"/>
            <w:vAlign w:val="center"/>
            <w:hideMark/>
          </w:tcPr>
          <w:p w14:paraId="4412599C" w14:textId="77777777" w:rsidR="0004071A" w:rsidRPr="009A27ED" w:rsidRDefault="0004071A" w:rsidP="00AF66E5">
            <w:pPr>
              <w:spacing w:after="0"/>
              <w:jc w:val="center"/>
              <w:rPr>
                <w:rFonts w:eastAsia="Times New Roman"/>
                <w:b/>
                <w:bCs/>
                <w:color w:val="000000"/>
                <w:sz w:val="20"/>
                <w:szCs w:val="20"/>
                <w:lang w:val="en-US"/>
              </w:rPr>
            </w:pPr>
            <w:r w:rsidRPr="009A27ED">
              <w:rPr>
                <w:rFonts w:eastAsia="Times New Roman"/>
                <w:b/>
                <w:bCs/>
                <w:color w:val="000000"/>
                <w:sz w:val="20"/>
                <w:szCs w:val="20"/>
              </w:rPr>
              <w:t>Rural</w:t>
            </w:r>
          </w:p>
        </w:tc>
        <w:tc>
          <w:tcPr>
            <w:tcW w:w="940" w:type="dxa"/>
            <w:tcBorders>
              <w:top w:val="nil"/>
              <w:left w:val="nil"/>
              <w:bottom w:val="single" w:sz="8" w:space="0" w:color="auto"/>
              <w:right w:val="single" w:sz="8" w:space="0" w:color="auto"/>
            </w:tcBorders>
            <w:shd w:val="clear" w:color="auto" w:fill="auto"/>
            <w:vAlign w:val="center"/>
            <w:hideMark/>
          </w:tcPr>
          <w:p w14:paraId="0F049E80" w14:textId="77777777" w:rsidR="0004071A" w:rsidRPr="009A27ED" w:rsidRDefault="0004071A" w:rsidP="00AF66E5">
            <w:pPr>
              <w:spacing w:after="0"/>
              <w:jc w:val="center"/>
              <w:rPr>
                <w:rFonts w:eastAsia="Times New Roman"/>
                <w:b/>
                <w:bCs/>
                <w:color w:val="000000"/>
                <w:sz w:val="20"/>
                <w:szCs w:val="20"/>
                <w:lang w:val="en-US"/>
              </w:rPr>
            </w:pPr>
            <w:r w:rsidRPr="009A27ED">
              <w:rPr>
                <w:rFonts w:eastAsia="Times New Roman"/>
                <w:b/>
                <w:bCs/>
                <w:color w:val="000000"/>
                <w:sz w:val="20"/>
                <w:szCs w:val="20"/>
              </w:rPr>
              <w:t>%</w:t>
            </w:r>
          </w:p>
        </w:tc>
      </w:tr>
      <w:tr w:rsidR="0004071A" w:rsidRPr="009A27ED" w14:paraId="0320F554" w14:textId="77777777" w:rsidTr="00101944">
        <w:trPr>
          <w:trHeight w:val="315"/>
          <w:jc w:val="center"/>
        </w:trPr>
        <w:tc>
          <w:tcPr>
            <w:tcW w:w="1420" w:type="dxa"/>
            <w:tcBorders>
              <w:top w:val="nil"/>
              <w:left w:val="single" w:sz="8" w:space="0" w:color="auto"/>
              <w:bottom w:val="single" w:sz="8" w:space="0" w:color="auto"/>
              <w:right w:val="single" w:sz="8" w:space="0" w:color="auto"/>
            </w:tcBorders>
            <w:shd w:val="clear" w:color="auto" w:fill="auto"/>
            <w:noWrap/>
            <w:vAlign w:val="center"/>
            <w:hideMark/>
          </w:tcPr>
          <w:p w14:paraId="471CABDD" w14:textId="125A65E8" w:rsidR="0004071A" w:rsidRPr="009A27ED" w:rsidRDefault="00101944" w:rsidP="00AF66E5">
            <w:pPr>
              <w:spacing w:after="0"/>
              <w:rPr>
                <w:bCs/>
                <w:iCs/>
                <w:sz w:val="20"/>
                <w:szCs w:val="20"/>
              </w:rPr>
            </w:pPr>
            <w:r w:rsidRPr="009A27ED">
              <w:rPr>
                <w:bCs/>
                <w:iCs/>
                <w:sz w:val="20"/>
                <w:szCs w:val="20"/>
              </w:rPr>
              <w:t>Área</w:t>
            </w:r>
            <w:r w:rsidR="0004071A" w:rsidRPr="009A27ED">
              <w:rPr>
                <w:bCs/>
                <w:iCs/>
                <w:sz w:val="20"/>
                <w:szCs w:val="20"/>
              </w:rPr>
              <w:t xml:space="preserve"> 1</w:t>
            </w:r>
          </w:p>
        </w:tc>
        <w:tc>
          <w:tcPr>
            <w:tcW w:w="1420" w:type="dxa"/>
            <w:tcBorders>
              <w:top w:val="nil"/>
              <w:left w:val="nil"/>
              <w:bottom w:val="single" w:sz="8" w:space="0" w:color="auto"/>
              <w:right w:val="single" w:sz="8" w:space="0" w:color="auto"/>
            </w:tcBorders>
            <w:shd w:val="clear" w:color="auto" w:fill="auto"/>
            <w:noWrap/>
            <w:vAlign w:val="center"/>
            <w:hideMark/>
          </w:tcPr>
          <w:p w14:paraId="31FA09B7" w14:textId="77777777" w:rsidR="0004071A" w:rsidRPr="009A27ED" w:rsidRDefault="0004071A" w:rsidP="00AF66E5">
            <w:pPr>
              <w:spacing w:after="0"/>
              <w:rPr>
                <w:bCs/>
                <w:iCs/>
                <w:sz w:val="20"/>
                <w:szCs w:val="20"/>
              </w:rPr>
            </w:pPr>
            <w:r w:rsidRPr="009A27ED">
              <w:rPr>
                <w:bCs/>
                <w:iCs/>
                <w:sz w:val="20"/>
                <w:szCs w:val="20"/>
              </w:rPr>
              <w:t>122,271.00</w:t>
            </w:r>
          </w:p>
        </w:tc>
        <w:tc>
          <w:tcPr>
            <w:tcW w:w="1420" w:type="dxa"/>
            <w:tcBorders>
              <w:top w:val="nil"/>
              <w:left w:val="nil"/>
              <w:bottom w:val="single" w:sz="8" w:space="0" w:color="auto"/>
              <w:right w:val="single" w:sz="8" w:space="0" w:color="auto"/>
            </w:tcBorders>
            <w:shd w:val="clear" w:color="auto" w:fill="auto"/>
            <w:noWrap/>
            <w:vAlign w:val="center"/>
            <w:hideMark/>
          </w:tcPr>
          <w:p w14:paraId="60536F72" w14:textId="77777777" w:rsidR="0004071A" w:rsidRPr="009A27ED" w:rsidRDefault="0004071A" w:rsidP="00AF66E5">
            <w:pPr>
              <w:spacing w:after="0"/>
              <w:rPr>
                <w:bCs/>
                <w:iCs/>
                <w:sz w:val="20"/>
                <w:szCs w:val="20"/>
              </w:rPr>
            </w:pPr>
            <w:r w:rsidRPr="009A27ED">
              <w:rPr>
                <w:bCs/>
                <w:iCs/>
                <w:sz w:val="20"/>
                <w:szCs w:val="20"/>
              </w:rPr>
              <w:t>52,436.00</w:t>
            </w:r>
          </w:p>
        </w:tc>
        <w:tc>
          <w:tcPr>
            <w:tcW w:w="900" w:type="dxa"/>
            <w:tcBorders>
              <w:top w:val="nil"/>
              <w:left w:val="nil"/>
              <w:bottom w:val="single" w:sz="8" w:space="0" w:color="auto"/>
              <w:right w:val="single" w:sz="8" w:space="0" w:color="auto"/>
            </w:tcBorders>
            <w:shd w:val="clear" w:color="auto" w:fill="auto"/>
            <w:noWrap/>
            <w:vAlign w:val="center"/>
            <w:hideMark/>
          </w:tcPr>
          <w:p w14:paraId="7BE74A91" w14:textId="77777777" w:rsidR="0004071A" w:rsidRPr="009A27ED" w:rsidRDefault="0004071A" w:rsidP="00AF66E5">
            <w:pPr>
              <w:spacing w:after="0"/>
              <w:rPr>
                <w:bCs/>
                <w:iCs/>
                <w:sz w:val="20"/>
                <w:szCs w:val="20"/>
              </w:rPr>
            </w:pPr>
            <w:r w:rsidRPr="009A27ED">
              <w:rPr>
                <w:bCs/>
                <w:iCs/>
                <w:sz w:val="20"/>
                <w:szCs w:val="20"/>
              </w:rPr>
              <w:t>42.89</w:t>
            </w:r>
          </w:p>
        </w:tc>
        <w:tc>
          <w:tcPr>
            <w:tcW w:w="1380" w:type="dxa"/>
            <w:tcBorders>
              <w:top w:val="nil"/>
              <w:left w:val="nil"/>
              <w:bottom w:val="single" w:sz="8" w:space="0" w:color="auto"/>
              <w:right w:val="single" w:sz="8" w:space="0" w:color="auto"/>
            </w:tcBorders>
            <w:shd w:val="clear" w:color="auto" w:fill="auto"/>
            <w:noWrap/>
            <w:vAlign w:val="center"/>
            <w:hideMark/>
          </w:tcPr>
          <w:p w14:paraId="73249AED" w14:textId="77777777" w:rsidR="0004071A" w:rsidRPr="009A27ED" w:rsidRDefault="0004071A" w:rsidP="00AF66E5">
            <w:pPr>
              <w:spacing w:after="0"/>
              <w:rPr>
                <w:bCs/>
                <w:iCs/>
                <w:sz w:val="20"/>
                <w:szCs w:val="20"/>
              </w:rPr>
            </w:pPr>
            <w:r w:rsidRPr="009A27ED">
              <w:rPr>
                <w:bCs/>
                <w:iCs/>
                <w:sz w:val="20"/>
                <w:szCs w:val="20"/>
              </w:rPr>
              <w:t>69,835.00</w:t>
            </w:r>
          </w:p>
        </w:tc>
        <w:tc>
          <w:tcPr>
            <w:tcW w:w="940" w:type="dxa"/>
            <w:tcBorders>
              <w:top w:val="nil"/>
              <w:left w:val="nil"/>
              <w:bottom w:val="single" w:sz="8" w:space="0" w:color="auto"/>
              <w:right w:val="single" w:sz="8" w:space="0" w:color="auto"/>
            </w:tcBorders>
            <w:shd w:val="clear" w:color="auto" w:fill="auto"/>
            <w:noWrap/>
            <w:vAlign w:val="center"/>
            <w:hideMark/>
          </w:tcPr>
          <w:p w14:paraId="5E5878D9" w14:textId="77777777" w:rsidR="0004071A" w:rsidRPr="009A27ED" w:rsidRDefault="0004071A" w:rsidP="00AF66E5">
            <w:pPr>
              <w:spacing w:after="0"/>
              <w:rPr>
                <w:bCs/>
                <w:iCs/>
                <w:sz w:val="20"/>
                <w:szCs w:val="20"/>
              </w:rPr>
            </w:pPr>
            <w:r w:rsidRPr="009A27ED">
              <w:rPr>
                <w:bCs/>
                <w:iCs/>
                <w:sz w:val="20"/>
                <w:szCs w:val="20"/>
              </w:rPr>
              <w:t>57.11</w:t>
            </w:r>
          </w:p>
        </w:tc>
      </w:tr>
      <w:tr w:rsidR="0004071A" w:rsidRPr="009A27ED" w14:paraId="558B9B54" w14:textId="77777777" w:rsidTr="00101944">
        <w:trPr>
          <w:trHeight w:val="315"/>
          <w:jc w:val="center"/>
        </w:trPr>
        <w:tc>
          <w:tcPr>
            <w:tcW w:w="1420" w:type="dxa"/>
            <w:tcBorders>
              <w:top w:val="nil"/>
              <w:left w:val="single" w:sz="8" w:space="0" w:color="auto"/>
              <w:bottom w:val="single" w:sz="8" w:space="0" w:color="auto"/>
              <w:right w:val="single" w:sz="8" w:space="0" w:color="auto"/>
            </w:tcBorders>
            <w:shd w:val="clear" w:color="auto" w:fill="auto"/>
            <w:noWrap/>
            <w:vAlign w:val="center"/>
            <w:hideMark/>
          </w:tcPr>
          <w:p w14:paraId="2270387C" w14:textId="35259EAD" w:rsidR="0004071A" w:rsidRPr="009A27ED" w:rsidRDefault="00101944" w:rsidP="00AF66E5">
            <w:pPr>
              <w:spacing w:after="0"/>
              <w:rPr>
                <w:bCs/>
                <w:iCs/>
                <w:sz w:val="20"/>
                <w:szCs w:val="20"/>
              </w:rPr>
            </w:pPr>
            <w:r w:rsidRPr="009A27ED">
              <w:rPr>
                <w:bCs/>
                <w:iCs/>
                <w:sz w:val="20"/>
                <w:szCs w:val="20"/>
              </w:rPr>
              <w:t>Á</w:t>
            </w:r>
            <w:r w:rsidR="0004071A" w:rsidRPr="009A27ED">
              <w:rPr>
                <w:bCs/>
                <w:iCs/>
                <w:sz w:val="20"/>
                <w:szCs w:val="20"/>
              </w:rPr>
              <w:t>r</w:t>
            </w:r>
            <w:r w:rsidRPr="009A27ED">
              <w:rPr>
                <w:bCs/>
                <w:iCs/>
                <w:sz w:val="20"/>
                <w:szCs w:val="20"/>
              </w:rPr>
              <w:t>e</w:t>
            </w:r>
            <w:r w:rsidR="0004071A" w:rsidRPr="009A27ED">
              <w:rPr>
                <w:bCs/>
                <w:iCs/>
                <w:sz w:val="20"/>
                <w:szCs w:val="20"/>
              </w:rPr>
              <w:t>a 2</w:t>
            </w:r>
          </w:p>
        </w:tc>
        <w:tc>
          <w:tcPr>
            <w:tcW w:w="1420" w:type="dxa"/>
            <w:tcBorders>
              <w:top w:val="nil"/>
              <w:left w:val="nil"/>
              <w:bottom w:val="single" w:sz="8" w:space="0" w:color="auto"/>
              <w:right w:val="single" w:sz="8" w:space="0" w:color="auto"/>
            </w:tcBorders>
            <w:shd w:val="clear" w:color="auto" w:fill="auto"/>
            <w:noWrap/>
            <w:vAlign w:val="center"/>
            <w:hideMark/>
          </w:tcPr>
          <w:p w14:paraId="4633C3E4" w14:textId="77777777" w:rsidR="0004071A" w:rsidRPr="009A27ED" w:rsidRDefault="0004071A" w:rsidP="00AF66E5">
            <w:pPr>
              <w:spacing w:after="0"/>
              <w:rPr>
                <w:bCs/>
                <w:iCs/>
                <w:sz w:val="20"/>
                <w:szCs w:val="20"/>
              </w:rPr>
            </w:pPr>
            <w:r w:rsidRPr="009A27ED">
              <w:rPr>
                <w:bCs/>
                <w:iCs/>
                <w:sz w:val="20"/>
                <w:szCs w:val="20"/>
              </w:rPr>
              <w:t>87,849.00</w:t>
            </w:r>
          </w:p>
        </w:tc>
        <w:tc>
          <w:tcPr>
            <w:tcW w:w="1420" w:type="dxa"/>
            <w:tcBorders>
              <w:top w:val="nil"/>
              <w:left w:val="nil"/>
              <w:bottom w:val="single" w:sz="8" w:space="0" w:color="auto"/>
              <w:right w:val="single" w:sz="8" w:space="0" w:color="auto"/>
            </w:tcBorders>
            <w:shd w:val="clear" w:color="auto" w:fill="auto"/>
            <w:noWrap/>
            <w:vAlign w:val="center"/>
            <w:hideMark/>
          </w:tcPr>
          <w:p w14:paraId="4AEEE050" w14:textId="77777777" w:rsidR="0004071A" w:rsidRPr="009A27ED" w:rsidRDefault="0004071A" w:rsidP="00AF66E5">
            <w:pPr>
              <w:spacing w:after="0"/>
              <w:rPr>
                <w:bCs/>
                <w:iCs/>
                <w:sz w:val="20"/>
                <w:szCs w:val="20"/>
              </w:rPr>
            </w:pPr>
            <w:r w:rsidRPr="009A27ED">
              <w:rPr>
                <w:bCs/>
                <w:iCs/>
                <w:sz w:val="20"/>
                <w:szCs w:val="20"/>
              </w:rPr>
              <w:t>51,048.00</w:t>
            </w:r>
          </w:p>
        </w:tc>
        <w:tc>
          <w:tcPr>
            <w:tcW w:w="900" w:type="dxa"/>
            <w:tcBorders>
              <w:top w:val="nil"/>
              <w:left w:val="nil"/>
              <w:bottom w:val="single" w:sz="8" w:space="0" w:color="auto"/>
              <w:right w:val="single" w:sz="8" w:space="0" w:color="auto"/>
            </w:tcBorders>
            <w:shd w:val="clear" w:color="auto" w:fill="auto"/>
            <w:noWrap/>
            <w:vAlign w:val="center"/>
            <w:hideMark/>
          </w:tcPr>
          <w:p w14:paraId="492038C6" w14:textId="77777777" w:rsidR="0004071A" w:rsidRPr="009A27ED" w:rsidRDefault="0004071A" w:rsidP="00AF66E5">
            <w:pPr>
              <w:spacing w:after="0"/>
              <w:rPr>
                <w:bCs/>
                <w:iCs/>
                <w:sz w:val="20"/>
                <w:szCs w:val="20"/>
              </w:rPr>
            </w:pPr>
            <w:r w:rsidRPr="009A27ED">
              <w:rPr>
                <w:bCs/>
                <w:iCs/>
                <w:sz w:val="20"/>
                <w:szCs w:val="20"/>
              </w:rPr>
              <w:t>58.11</w:t>
            </w:r>
          </w:p>
        </w:tc>
        <w:tc>
          <w:tcPr>
            <w:tcW w:w="1380" w:type="dxa"/>
            <w:tcBorders>
              <w:top w:val="nil"/>
              <w:left w:val="nil"/>
              <w:bottom w:val="single" w:sz="8" w:space="0" w:color="auto"/>
              <w:right w:val="single" w:sz="8" w:space="0" w:color="auto"/>
            </w:tcBorders>
            <w:shd w:val="clear" w:color="auto" w:fill="auto"/>
            <w:noWrap/>
            <w:vAlign w:val="center"/>
            <w:hideMark/>
          </w:tcPr>
          <w:p w14:paraId="742EEA5B" w14:textId="77777777" w:rsidR="0004071A" w:rsidRPr="009A27ED" w:rsidRDefault="0004071A" w:rsidP="00AF66E5">
            <w:pPr>
              <w:spacing w:after="0"/>
              <w:rPr>
                <w:bCs/>
                <w:iCs/>
                <w:sz w:val="20"/>
                <w:szCs w:val="20"/>
              </w:rPr>
            </w:pPr>
            <w:r w:rsidRPr="009A27ED">
              <w:rPr>
                <w:bCs/>
                <w:iCs/>
                <w:sz w:val="20"/>
                <w:szCs w:val="20"/>
              </w:rPr>
              <w:t>36,801.00</w:t>
            </w:r>
          </w:p>
        </w:tc>
        <w:tc>
          <w:tcPr>
            <w:tcW w:w="940" w:type="dxa"/>
            <w:tcBorders>
              <w:top w:val="nil"/>
              <w:left w:val="nil"/>
              <w:bottom w:val="single" w:sz="8" w:space="0" w:color="auto"/>
              <w:right w:val="single" w:sz="8" w:space="0" w:color="auto"/>
            </w:tcBorders>
            <w:shd w:val="clear" w:color="auto" w:fill="auto"/>
            <w:noWrap/>
            <w:vAlign w:val="center"/>
            <w:hideMark/>
          </w:tcPr>
          <w:p w14:paraId="46E18A83" w14:textId="77777777" w:rsidR="0004071A" w:rsidRPr="009A27ED" w:rsidRDefault="0004071A" w:rsidP="00AF66E5">
            <w:pPr>
              <w:spacing w:after="0"/>
              <w:rPr>
                <w:bCs/>
                <w:iCs/>
                <w:sz w:val="20"/>
                <w:szCs w:val="20"/>
              </w:rPr>
            </w:pPr>
            <w:r w:rsidRPr="009A27ED">
              <w:rPr>
                <w:bCs/>
                <w:iCs/>
                <w:sz w:val="20"/>
                <w:szCs w:val="20"/>
              </w:rPr>
              <w:t>41.89</w:t>
            </w:r>
          </w:p>
        </w:tc>
      </w:tr>
      <w:tr w:rsidR="0004071A" w:rsidRPr="009A27ED" w14:paraId="13421F96" w14:textId="77777777" w:rsidTr="00101944">
        <w:trPr>
          <w:trHeight w:val="315"/>
          <w:jc w:val="center"/>
        </w:trPr>
        <w:tc>
          <w:tcPr>
            <w:tcW w:w="1420" w:type="dxa"/>
            <w:tcBorders>
              <w:top w:val="nil"/>
              <w:left w:val="single" w:sz="8" w:space="0" w:color="auto"/>
              <w:bottom w:val="single" w:sz="8" w:space="0" w:color="auto"/>
              <w:right w:val="single" w:sz="8" w:space="0" w:color="auto"/>
            </w:tcBorders>
            <w:shd w:val="clear" w:color="auto" w:fill="auto"/>
            <w:noWrap/>
            <w:vAlign w:val="center"/>
            <w:hideMark/>
          </w:tcPr>
          <w:p w14:paraId="67D2DA40" w14:textId="17BCBC8F" w:rsidR="0004071A" w:rsidRPr="009A27ED" w:rsidRDefault="00101944" w:rsidP="00AF66E5">
            <w:pPr>
              <w:spacing w:after="0"/>
              <w:rPr>
                <w:bCs/>
                <w:iCs/>
                <w:sz w:val="20"/>
                <w:szCs w:val="20"/>
              </w:rPr>
            </w:pPr>
            <w:r w:rsidRPr="009A27ED">
              <w:rPr>
                <w:bCs/>
                <w:iCs/>
                <w:sz w:val="20"/>
                <w:szCs w:val="20"/>
              </w:rPr>
              <w:t>Área</w:t>
            </w:r>
            <w:r w:rsidR="0004071A" w:rsidRPr="009A27ED">
              <w:rPr>
                <w:bCs/>
                <w:iCs/>
                <w:sz w:val="20"/>
                <w:szCs w:val="20"/>
              </w:rPr>
              <w:t xml:space="preserve"> 3</w:t>
            </w:r>
          </w:p>
        </w:tc>
        <w:tc>
          <w:tcPr>
            <w:tcW w:w="1420" w:type="dxa"/>
            <w:tcBorders>
              <w:top w:val="nil"/>
              <w:left w:val="nil"/>
              <w:bottom w:val="single" w:sz="8" w:space="0" w:color="auto"/>
              <w:right w:val="single" w:sz="8" w:space="0" w:color="auto"/>
            </w:tcBorders>
            <w:shd w:val="clear" w:color="auto" w:fill="auto"/>
            <w:noWrap/>
            <w:vAlign w:val="center"/>
            <w:hideMark/>
          </w:tcPr>
          <w:p w14:paraId="1F0BC94E" w14:textId="77777777" w:rsidR="0004071A" w:rsidRPr="009A27ED" w:rsidRDefault="0004071A" w:rsidP="00AF66E5">
            <w:pPr>
              <w:spacing w:after="0"/>
              <w:rPr>
                <w:bCs/>
                <w:iCs/>
                <w:sz w:val="20"/>
                <w:szCs w:val="20"/>
              </w:rPr>
            </w:pPr>
            <w:r w:rsidRPr="009A27ED">
              <w:rPr>
                <w:bCs/>
                <w:iCs/>
                <w:sz w:val="20"/>
                <w:szCs w:val="20"/>
              </w:rPr>
              <w:t>757,489.00</w:t>
            </w:r>
          </w:p>
        </w:tc>
        <w:tc>
          <w:tcPr>
            <w:tcW w:w="1420" w:type="dxa"/>
            <w:tcBorders>
              <w:top w:val="nil"/>
              <w:left w:val="nil"/>
              <w:bottom w:val="single" w:sz="8" w:space="0" w:color="auto"/>
              <w:right w:val="single" w:sz="8" w:space="0" w:color="auto"/>
            </w:tcBorders>
            <w:shd w:val="clear" w:color="auto" w:fill="auto"/>
            <w:noWrap/>
            <w:vAlign w:val="center"/>
            <w:hideMark/>
          </w:tcPr>
          <w:p w14:paraId="22367913" w14:textId="77777777" w:rsidR="0004071A" w:rsidRPr="009A27ED" w:rsidRDefault="0004071A" w:rsidP="00AF66E5">
            <w:pPr>
              <w:spacing w:after="0"/>
              <w:rPr>
                <w:bCs/>
                <w:iCs/>
                <w:sz w:val="20"/>
                <w:szCs w:val="20"/>
              </w:rPr>
            </w:pPr>
            <w:r w:rsidRPr="009A27ED">
              <w:rPr>
                <w:bCs/>
                <w:iCs/>
                <w:sz w:val="20"/>
                <w:szCs w:val="20"/>
              </w:rPr>
              <w:t>459,934.00</w:t>
            </w:r>
          </w:p>
        </w:tc>
        <w:tc>
          <w:tcPr>
            <w:tcW w:w="900" w:type="dxa"/>
            <w:tcBorders>
              <w:top w:val="nil"/>
              <w:left w:val="nil"/>
              <w:bottom w:val="single" w:sz="8" w:space="0" w:color="auto"/>
              <w:right w:val="single" w:sz="8" w:space="0" w:color="auto"/>
            </w:tcBorders>
            <w:shd w:val="clear" w:color="auto" w:fill="auto"/>
            <w:noWrap/>
            <w:vAlign w:val="center"/>
            <w:hideMark/>
          </w:tcPr>
          <w:p w14:paraId="1ECF892C" w14:textId="77777777" w:rsidR="0004071A" w:rsidRPr="009A27ED" w:rsidRDefault="0004071A" w:rsidP="00AF66E5">
            <w:pPr>
              <w:spacing w:after="0"/>
              <w:rPr>
                <w:bCs/>
                <w:iCs/>
                <w:sz w:val="20"/>
                <w:szCs w:val="20"/>
              </w:rPr>
            </w:pPr>
            <w:r w:rsidRPr="009A27ED">
              <w:rPr>
                <w:bCs/>
                <w:iCs/>
                <w:sz w:val="20"/>
                <w:szCs w:val="20"/>
              </w:rPr>
              <w:t>60.72</w:t>
            </w:r>
          </w:p>
        </w:tc>
        <w:tc>
          <w:tcPr>
            <w:tcW w:w="1380" w:type="dxa"/>
            <w:tcBorders>
              <w:top w:val="nil"/>
              <w:left w:val="nil"/>
              <w:bottom w:val="single" w:sz="8" w:space="0" w:color="auto"/>
              <w:right w:val="single" w:sz="8" w:space="0" w:color="auto"/>
            </w:tcBorders>
            <w:shd w:val="clear" w:color="auto" w:fill="auto"/>
            <w:noWrap/>
            <w:vAlign w:val="center"/>
            <w:hideMark/>
          </w:tcPr>
          <w:p w14:paraId="1ACE2A76" w14:textId="77777777" w:rsidR="0004071A" w:rsidRPr="009A27ED" w:rsidRDefault="0004071A" w:rsidP="00AF66E5">
            <w:pPr>
              <w:spacing w:after="0"/>
              <w:rPr>
                <w:bCs/>
                <w:iCs/>
                <w:sz w:val="20"/>
                <w:szCs w:val="20"/>
              </w:rPr>
            </w:pPr>
            <w:r w:rsidRPr="009A27ED">
              <w:rPr>
                <w:bCs/>
                <w:iCs/>
                <w:sz w:val="20"/>
                <w:szCs w:val="20"/>
              </w:rPr>
              <w:t>295,198.00</w:t>
            </w:r>
          </w:p>
        </w:tc>
        <w:tc>
          <w:tcPr>
            <w:tcW w:w="940" w:type="dxa"/>
            <w:tcBorders>
              <w:top w:val="nil"/>
              <w:left w:val="nil"/>
              <w:bottom w:val="single" w:sz="8" w:space="0" w:color="auto"/>
              <w:right w:val="single" w:sz="8" w:space="0" w:color="auto"/>
            </w:tcBorders>
            <w:shd w:val="clear" w:color="auto" w:fill="auto"/>
            <w:noWrap/>
            <w:vAlign w:val="center"/>
            <w:hideMark/>
          </w:tcPr>
          <w:p w14:paraId="723FC3A9" w14:textId="77777777" w:rsidR="0004071A" w:rsidRPr="009A27ED" w:rsidRDefault="0004071A" w:rsidP="00AF66E5">
            <w:pPr>
              <w:spacing w:after="0"/>
              <w:rPr>
                <w:bCs/>
                <w:iCs/>
                <w:sz w:val="20"/>
                <w:szCs w:val="20"/>
              </w:rPr>
            </w:pPr>
            <w:r w:rsidRPr="009A27ED">
              <w:rPr>
                <w:bCs/>
                <w:iCs/>
                <w:sz w:val="20"/>
                <w:szCs w:val="20"/>
              </w:rPr>
              <w:t>38.97</w:t>
            </w:r>
          </w:p>
        </w:tc>
      </w:tr>
      <w:tr w:rsidR="0004071A" w:rsidRPr="009A27ED" w14:paraId="0D029744" w14:textId="77777777" w:rsidTr="00101944">
        <w:trPr>
          <w:trHeight w:val="315"/>
          <w:jc w:val="center"/>
        </w:trPr>
        <w:tc>
          <w:tcPr>
            <w:tcW w:w="1420" w:type="dxa"/>
            <w:tcBorders>
              <w:top w:val="nil"/>
              <w:left w:val="single" w:sz="8" w:space="0" w:color="auto"/>
              <w:bottom w:val="single" w:sz="8" w:space="0" w:color="auto"/>
              <w:right w:val="single" w:sz="8" w:space="0" w:color="auto"/>
            </w:tcBorders>
            <w:shd w:val="clear" w:color="auto" w:fill="auto"/>
            <w:noWrap/>
            <w:vAlign w:val="center"/>
            <w:hideMark/>
          </w:tcPr>
          <w:p w14:paraId="6AC27443" w14:textId="454DC14E" w:rsidR="0004071A" w:rsidRPr="009A27ED" w:rsidRDefault="00101944" w:rsidP="00AF66E5">
            <w:pPr>
              <w:spacing w:after="0"/>
              <w:rPr>
                <w:bCs/>
                <w:iCs/>
                <w:sz w:val="20"/>
                <w:szCs w:val="20"/>
              </w:rPr>
            </w:pPr>
            <w:r w:rsidRPr="009A27ED">
              <w:rPr>
                <w:bCs/>
                <w:iCs/>
                <w:sz w:val="20"/>
                <w:szCs w:val="20"/>
              </w:rPr>
              <w:t>Área</w:t>
            </w:r>
            <w:r w:rsidR="0004071A" w:rsidRPr="009A27ED">
              <w:rPr>
                <w:bCs/>
                <w:iCs/>
                <w:sz w:val="20"/>
                <w:szCs w:val="20"/>
              </w:rPr>
              <w:t xml:space="preserve"> 4</w:t>
            </w:r>
          </w:p>
        </w:tc>
        <w:tc>
          <w:tcPr>
            <w:tcW w:w="1420" w:type="dxa"/>
            <w:tcBorders>
              <w:top w:val="nil"/>
              <w:left w:val="nil"/>
              <w:bottom w:val="single" w:sz="8" w:space="0" w:color="auto"/>
              <w:right w:val="single" w:sz="8" w:space="0" w:color="auto"/>
            </w:tcBorders>
            <w:shd w:val="clear" w:color="auto" w:fill="auto"/>
            <w:noWrap/>
            <w:vAlign w:val="center"/>
            <w:hideMark/>
          </w:tcPr>
          <w:p w14:paraId="40F32613" w14:textId="77777777" w:rsidR="0004071A" w:rsidRPr="009A27ED" w:rsidRDefault="0004071A" w:rsidP="00AF66E5">
            <w:pPr>
              <w:spacing w:after="0"/>
              <w:rPr>
                <w:bCs/>
                <w:iCs/>
                <w:sz w:val="20"/>
                <w:szCs w:val="20"/>
              </w:rPr>
            </w:pPr>
            <w:r w:rsidRPr="009A27ED">
              <w:rPr>
                <w:bCs/>
                <w:iCs/>
                <w:sz w:val="20"/>
                <w:szCs w:val="20"/>
              </w:rPr>
              <w:t>292,876.00</w:t>
            </w:r>
          </w:p>
        </w:tc>
        <w:tc>
          <w:tcPr>
            <w:tcW w:w="1420" w:type="dxa"/>
            <w:tcBorders>
              <w:top w:val="nil"/>
              <w:left w:val="nil"/>
              <w:bottom w:val="single" w:sz="8" w:space="0" w:color="auto"/>
              <w:right w:val="single" w:sz="8" w:space="0" w:color="auto"/>
            </w:tcBorders>
            <w:shd w:val="clear" w:color="auto" w:fill="auto"/>
            <w:noWrap/>
            <w:vAlign w:val="center"/>
            <w:hideMark/>
          </w:tcPr>
          <w:p w14:paraId="4B088AC8" w14:textId="77777777" w:rsidR="0004071A" w:rsidRPr="009A27ED" w:rsidRDefault="0004071A" w:rsidP="00AF66E5">
            <w:pPr>
              <w:spacing w:after="0"/>
              <w:rPr>
                <w:bCs/>
                <w:iCs/>
                <w:sz w:val="20"/>
                <w:szCs w:val="20"/>
              </w:rPr>
            </w:pPr>
            <w:r w:rsidRPr="009A27ED">
              <w:rPr>
                <w:bCs/>
                <w:iCs/>
                <w:sz w:val="20"/>
                <w:szCs w:val="20"/>
              </w:rPr>
              <w:t>193,413.00</w:t>
            </w:r>
          </w:p>
        </w:tc>
        <w:tc>
          <w:tcPr>
            <w:tcW w:w="900" w:type="dxa"/>
            <w:tcBorders>
              <w:top w:val="nil"/>
              <w:left w:val="nil"/>
              <w:bottom w:val="single" w:sz="8" w:space="0" w:color="auto"/>
              <w:right w:val="single" w:sz="8" w:space="0" w:color="auto"/>
            </w:tcBorders>
            <w:shd w:val="clear" w:color="auto" w:fill="auto"/>
            <w:noWrap/>
            <w:vAlign w:val="center"/>
            <w:hideMark/>
          </w:tcPr>
          <w:p w14:paraId="21C0F95E" w14:textId="77777777" w:rsidR="0004071A" w:rsidRPr="009A27ED" w:rsidRDefault="0004071A" w:rsidP="00AF66E5">
            <w:pPr>
              <w:spacing w:after="0"/>
              <w:rPr>
                <w:bCs/>
                <w:iCs/>
                <w:sz w:val="20"/>
                <w:szCs w:val="20"/>
              </w:rPr>
            </w:pPr>
            <w:r w:rsidRPr="009A27ED">
              <w:rPr>
                <w:bCs/>
                <w:iCs/>
                <w:sz w:val="20"/>
                <w:szCs w:val="20"/>
              </w:rPr>
              <w:t>66.04</w:t>
            </w:r>
          </w:p>
        </w:tc>
        <w:tc>
          <w:tcPr>
            <w:tcW w:w="1380" w:type="dxa"/>
            <w:tcBorders>
              <w:top w:val="nil"/>
              <w:left w:val="nil"/>
              <w:bottom w:val="single" w:sz="8" w:space="0" w:color="auto"/>
              <w:right w:val="single" w:sz="8" w:space="0" w:color="auto"/>
            </w:tcBorders>
            <w:shd w:val="clear" w:color="auto" w:fill="auto"/>
            <w:noWrap/>
            <w:vAlign w:val="center"/>
            <w:hideMark/>
          </w:tcPr>
          <w:p w14:paraId="032B5568" w14:textId="77777777" w:rsidR="0004071A" w:rsidRPr="009A27ED" w:rsidRDefault="0004071A" w:rsidP="00AF66E5">
            <w:pPr>
              <w:spacing w:after="0"/>
              <w:rPr>
                <w:bCs/>
                <w:iCs/>
                <w:sz w:val="20"/>
                <w:szCs w:val="20"/>
              </w:rPr>
            </w:pPr>
            <w:r w:rsidRPr="009A27ED">
              <w:rPr>
                <w:bCs/>
                <w:iCs/>
                <w:sz w:val="20"/>
                <w:szCs w:val="20"/>
              </w:rPr>
              <w:t>99,503.00</w:t>
            </w:r>
          </w:p>
        </w:tc>
        <w:tc>
          <w:tcPr>
            <w:tcW w:w="940" w:type="dxa"/>
            <w:tcBorders>
              <w:top w:val="nil"/>
              <w:left w:val="nil"/>
              <w:bottom w:val="single" w:sz="8" w:space="0" w:color="auto"/>
              <w:right w:val="single" w:sz="8" w:space="0" w:color="auto"/>
            </w:tcBorders>
            <w:shd w:val="clear" w:color="auto" w:fill="auto"/>
            <w:noWrap/>
            <w:vAlign w:val="center"/>
            <w:hideMark/>
          </w:tcPr>
          <w:p w14:paraId="30782A7C" w14:textId="77777777" w:rsidR="0004071A" w:rsidRPr="009A27ED" w:rsidRDefault="0004071A" w:rsidP="00AF66E5">
            <w:pPr>
              <w:spacing w:after="0"/>
              <w:rPr>
                <w:bCs/>
                <w:iCs/>
                <w:sz w:val="20"/>
                <w:szCs w:val="20"/>
              </w:rPr>
            </w:pPr>
            <w:r w:rsidRPr="009A27ED">
              <w:rPr>
                <w:bCs/>
                <w:iCs/>
                <w:sz w:val="20"/>
                <w:szCs w:val="20"/>
              </w:rPr>
              <w:t>33.97</w:t>
            </w:r>
          </w:p>
        </w:tc>
      </w:tr>
      <w:tr w:rsidR="0004071A" w:rsidRPr="009A27ED" w14:paraId="5F3028E4" w14:textId="77777777" w:rsidTr="00101944">
        <w:trPr>
          <w:trHeight w:val="315"/>
          <w:jc w:val="center"/>
        </w:trPr>
        <w:tc>
          <w:tcPr>
            <w:tcW w:w="1420" w:type="dxa"/>
            <w:tcBorders>
              <w:top w:val="nil"/>
              <w:left w:val="single" w:sz="8" w:space="0" w:color="auto"/>
              <w:bottom w:val="single" w:sz="8" w:space="0" w:color="auto"/>
              <w:right w:val="single" w:sz="8" w:space="0" w:color="auto"/>
            </w:tcBorders>
            <w:shd w:val="clear" w:color="auto" w:fill="auto"/>
            <w:noWrap/>
            <w:vAlign w:val="center"/>
            <w:hideMark/>
          </w:tcPr>
          <w:p w14:paraId="3771C95F" w14:textId="6723051B" w:rsidR="0004071A" w:rsidRPr="009A27ED" w:rsidRDefault="00101944" w:rsidP="00AF66E5">
            <w:pPr>
              <w:spacing w:after="0"/>
              <w:rPr>
                <w:bCs/>
                <w:iCs/>
                <w:sz w:val="20"/>
                <w:szCs w:val="20"/>
              </w:rPr>
            </w:pPr>
            <w:r w:rsidRPr="009A27ED">
              <w:rPr>
                <w:bCs/>
                <w:iCs/>
                <w:sz w:val="20"/>
                <w:szCs w:val="20"/>
              </w:rPr>
              <w:t>Área</w:t>
            </w:r>
            <w:r w:rsidR="0004071A" w:rsidRPr="009A27ED">
              <w:rPr>
                <w:bCs/>
                <w:iCs/>
                <w:sz w:val="20"/>
                <w:szCs w:val="20"/>
              </w:rPr>
              <w:t xml:space="preserve"> 5</w:t>
            </w:r>
          </w:p>
        </w:tc>
        <w:tc>
          <w:tcPr>
            <w:tcW w:w="1420" w:type="dxa"/>
            <w:tcBorders>
              <w:top w:val="nil"/>
              <w:left w:val="nil"/>
              <w:bottom w:val="single" w:sz="8" w:space="0" w:color="auto"/>
              <w:right w:val="single" w:sz="8" w:space="0" w:color="auto"/>
            </w:tcBorders>
            <w:shd w:val="clear" w:color="auto" w:fill="auto"/>
            <w:noWrap/>
            <w:vAlign w:val="center"/>
            <w:hideMark/>
          </w:tcPr>
          <w:p w14:paraId="234707CC" w14:textId="77777777" w:rsidR="0004071A" w:rsidRPr="009A27ED" w:rsidRDefault="0004071A" w:rsidP="00AF66E5">
            <w:pPr>
              <w:spacing w:after="0"/>
              <w:rPr>
                <w:bCs/>
                <w:iCs/>
                <w:sz w:val="20"/>
                <w:szCs w:val="20"/>
              </w:rPr>
            </w:pPr>
            <w:r w:rsidRPr="009A27ED">
              <w:rPr>
                <w:bCs/>
                <w:iCs/>
                <w:sz w:val="20"/>
                <w:szCs w:val="20"/>
              </w:rPr>
              <w:t>153,298.00</w:t>
            </w:r>
          </w:p>
        </w:tc>
        <w:tc>
          <w:tcPr>
            <w:tcW w:w="1420" w:type="dxa"/>
            <w:tcBorders>
              <w:top w:val="nil"/>
              <w:left w:val="nil"/>
              <w:bottom w:val="single" w:sz="8" w:space="0" w:color="auto"/>
              <w:right w:val="single" w:sz="8" w:space="0" w:color="auto"/>
            </w:tcBorders>
            <w:shd w:val="clear" w:color="auto" w:fill="auto"/>
            <w:noWrap/>
            <w:vAlign w:val="center"/>
            <w:hideMark/>
          </w:tcPr>
          <w:p w14:paraId="7702DF1E" w14:textId="77777777" w:rsidR="0004071A" w:rsidRPr="009A27ED" w:rsidRDefault="0004071A" w:rsidP="00AF66E5">
            <w:pPr>
              <w:spacing w:after="0"/>
              <w:rPr>
                <w:bCs/>
                <w:iCs/>
                <w:sz w:val="20"/>
                <w:szCs w:val="20"/>
              </w:rPr>
            </w:pPr>
            <w:r w:rsidRPr="009A27ED">
              <w:rPr>
                <w:bCs/>
                <w:iCs/>
                <w:sz w:val="20"/>
                <w:szCs w:val="20"/>
              </w:rPr>
              <w:t>98,931.00</w:t>
            </w:r>
          </w:p>
        </w:tc>
        <w:tc>
          <w:tcPr>
            <w:tcW w:w="900" w:type="dxa"/>
            <w:tcBorders>
              <w:top w:val="nil"/>
              <w:left w:val="nil"/>
              <w:bottom w:val="single" w:sz="8" w:space="0" w:color="auto"/>
              <w:right w:val="single" w:sz="8" w:space="0" w:color="auto"/>
            </w:tcBorders>
            <w:shd w:val="clear" w:color="auto" w:fill="auto"/>
            <w:noWrap/>
            <w:vAlign w:val="center"/>
            <w:hideMark/>
          </w:tcPr>
          <w:p w14:paraId="44368313" w14:textId="77777777" w:rsidR="0004071A" w:rsidRPr="009A27ED" w:rsidRDefault="0004071A" w:rsidP="00AF66E5">
            <w:pPr>
              <w:spacing w:after="0"/>
              <w:rPr>
                <w:bCs/>
                <w:iCs/>
                <w:sz w:val="20"/>
                <w:szCs w:val="20"/>
              </w:rPr>
            </w:pPr>
            <w:r w:rsidRPr="009A27ED">
              <w:rPr>
                <w:bCs/>
                <w:iCs/>
                <w:sz w:val="20"/>
                <w:szCs w:val="20"/>
              </w:rPr>
              <w:t>64.54</w:t>
            </w:r>
          </w:p>
        </w:tc>
        <w:tc>
          <w:tcPr>
            <w:tcW w:w="1380" w:type="dxa"/>
            <w:tcBorders>
              <w:top w:val="nil"/>
              <w:left w:val="nil"/>
              <w:bottom w:val="single" w:sz="8" w:space="0" w:color="auto"/>
              <w:right w:val="single" w:sz="8" w:space="0" w:color="auto"/>
            </w:tcBorders>
            <w:shd w:val="clear" w:color="auto" w:fill="auto"/>
            <w:noWrap/>
            <w:vAlign w:val="center"/>
            <w:hideMark/>
          </w:tcPr>
          <w:p w14:paraId="7A4F4F6F" w14:textId="77777777" w:rsidR="0004071A" w:rsidRPr="009A27ED" w:rsidRDefault="0004071A" w:rsidP="00AF66E5">
            <w:pPr>
              <w:spacing w:after="0"/>
              <w:rPr>
                <w:bCs/>
                <w:iCs/>
                <w:sz w:val="20"/>
                <w:szCs w:val="20"/>
              </w:rPr>
            </w:pPr>
            <w:r w:rsidRPr="009A27ED">
              <w:rPr>
                <w:bCs/>
                <w:iCs/>
                <w:sz w:val="20"/>
                <w:szCs w:val="20"/>
              </w:rPr>
              <w:t>54,367.00</w:t>
            </w:r>
          </w:p>
        </w:tc>
        <w:tc>
          <w:tcPr>
            <w:tcW w:w="940" w:type="dxa"/>
            <w:tcBorders>
              <w:top w:val="nil"/>
              <w:left w:val="nil"/>
              <w:bottom w:val="single" w:sz="8" w:space="0" w:color="auto"/>
              <w:right w:val="single" w:sz="8" w:space="0" w:color="auto"/>
            </w:tcBorders>
            <w:shd w:val="clear" w:color="auto" w:fill="auto"/>
            <w:noWrap/>
            <w:vAlign w:val="center"/>
            <w:hideMark/>
          </w:tcPr>
          <w:p w14:paraId="4FA745DE" w14:textId="77777777" w:rsidR="0004071A" w:rsidRPr="009A27ED" w:rsidRDefault="0004071A" w:rsidP="00AF66E5">
            <w:pPr>
              <w:spacing w:after="0"/>
              <w:rPr>
                <w:bCs/>
                <w:iCs/>
                <w:sz w:val="20"/>
                <w:szCs w:val="20"/>
              </w:rPr>
            </w:pPr>
            <w:r w:rsidRPr="009A27ED">
              <w:rPr>
                <w:bCs/>
                <w:iCs/>
                <w:sz w:val="20"/>
                <w:szCs w:val="20"/>
              </w:rPr>
              <w:t>35.46</w:t>
            </w:r>
          </w:p>
        </w:tc>
      </w:tr>
      <w:tr w:rsidR="0004071A" w:rsidRPr="009A27ED" w14:paraId="7DA8346D" w14:textId="77777777" w:rsidTr="00101944">
        <w:trPr>
          <w:trHeight w:val="315"/>
          <w:jc w:val="center"/>
        </w:trPr>
        <w:tc>
          <w:tcPr>
            <w:tcW w:w="1420" w:type="dxa"/>
            <w:tcBorders>
              <w:top w:val="nil"/>
              <w:left w:val="single" w:sz="8" w:space="0" w:color="auto"/>
              <w:bottom w:val="single" w:sz="8" w:space="0" w:color="auto"/>
              <w:right w:val="single" w:sz="8" w:space="0" w:color="auto"/>
            </w:tcBorders>
            <w:shd w:val="clear" w:color="auto" w:fill="auto"/>
            <w:noWrap/>
            <w:vAlign w:val="center"/>
            <w:hideMark/>
          </w:tcPr>
          <w:p w14:paraId="559DAB76" w14:textId="77777777" w:rsidR="0004071A" w:rsidRPr="009A27ED" w:rsidRDefault="0004071A" w:rsidP="00AF66E5">
            <w:pPr>
              <w:spacing w:after="0"/>
              <w:rPr>
                <w:bCs/>
                <w:iCs/>
                <w:sz w:val="20"/>
                <w:szCs w:val="20"/>
              </w:rPr>
            </w:pPr>
            <w:r w:rsidRPr="009A27ED">
              <w:rPr>
                <w:bCs/>
                <w:iCs/>
                <w:sz w:val="20"/>
                <w:szCs w:val="20"/>
              </w:rPr>
              <w:t>Total</w:t>
            </w:r>
          </w:p>
        </w:tc>
        <w:tc>
          <w:tcPr>
            <w:tcW w:w="1420" w:type="dxa"/>
            <w:tcBorders>
              <w:top w:val="nil"/>
              <w:left w:val="nil"/>
              <w:bottom w:val="single" w:sz="8" w:space="0" w:color="auto"/>
              <w:right w:val="single" w:sz="8" w:space="0" w:color="auto"/>
            </w:tcBorders>
            <w:shd w:val="clear" w:color="auto" w:fill="auto"/>
            <w:noWrap/>
            <w:vAlign w:val="center"/>
            <w:hideMark/>
          </w:tcPr>
          <w:p w14:paraId="1CC7B8A4" w14:textId="77777777" w:rsidR="0004071A" w:rsidRPr="009A27ED" w:rsidRDefault="0004071A" w:rsidP="00AF66E5">
            <w:pPr>
              <w:spacing w:after="0"/>
              <w:rPr>
                <w:bCs/>
                <w:iCs/>
                <w:sz w:val="20"/>
                <w:szCs w:val="20"/>
              </w:rPr>
            </w:pPr>
            <w:r w:rsidRPr="009A27ED">
              <w:rPr>
                <w:bCs/>
                <w:iCs/>
                <w:sz w:val="20"/>
                <w:szCs w:val="20"/>
              </w:rPr>
              <w:t>1,413,783.00</w:t>
            </w:r>
          </w:p>
        </w:tc>
        <w:tc>
          <w:tcPr>
            <w:tcW w:w="1420" w:type="dxa"/>
            <w:tcBorders>
              <w:top w:val="nil"/>
              <w:left w:val="nil"/>
              <w:bottom w:val="single" w:sz="8" w:space="0" w:color="auto"/>
              <w:right w:val="single" w:sz="8" w:space="0" w:color="auto"/>
            </w:tcBorders>
            <w:shd w:val="clear" w:color="auto" w:fill="auto"/>
            <w:noWrap/>
            <w:vAlign w:val="center"/>
            <w:hideMark/>
          </w:tcPr>
          <w:p w14:paraId="35033F33" w14:textId="77777777" w:rsidR="0004071A" w:rsidRPr="009A27ED" w:rsidRDefault="0004071A" w:rsidP="00AF66E5">
            <w:pPr>
              <w:spacing w:after="0"/>
              <w:rPr>
                <w:bCs/>
                <w:iCs/>
                <w:sz w:val="20"/>
                <w:szCs w:val="20"/>
              </w:rPr>
            </w:pPr>
            <w:r w:rsidRPr="009A27ED">
              <w:rPr>
                <w:bCs/>
                <w:iCs/>
                <w:sz w:val="20"/>
                <w:szCs w:val="20"/>
              </w:rPr>
              <w:t>855,762.00</w:t>
            </w:r>
          </w:p>
        </w:tc>
        <w:tc>
          <w:tcPr>
            <w:tcW w:w="900" w:type="dxa"/>
            <w:tcBorders>
              <w:top w:val="nil"/>
              <w:left w:val="nil"/>
              <w:bottom w:val="single" w:sz="8" w:space="0" w:color="auto"/>
              <w:right w:val="single" w:sz="8" w:space="0" w:color="auto"/>
            </w:tcBorders>
            <w:shd w:val="clear" w:color="auto" w:fill="auto"/>
            <w:noWrap/>
            <w:vAlign w:val="center"/>
            <w:hideMark/>
          </w:tcPr>
          <w:p w14:paraId="589C5647" w14:textId="77777777" w:rsidR="0004071A" w:rsidRPr="009A27ED" w:rsidRDefault="0004071A" w:rsidP="00AF66E5">
            <w:pPr>
              <w:spacing w:after="0"/>
              <w:rPr>
                <w:bCs/>
                <w:iCs/>
                <w:sz w:val="20"/>
                <w:szCs w:val="20"/>
              </w:rPr>
            </w:pPr>
            <w:r w:rsidRPr="009A27ED">
              <w:rPr>
                <w:bCs/>
                <w:iCs/>
                <w:sz w:val="20"/>
                <w:szCs w:val="20"/>
              </w:rPr>
              <w:t>60.53</w:t>
            </w:r>
          </w:p>
        </w:tc>
        <w:tc>
          <w:tcPr>
            <w:tcW w:w="1380" w:type="dxa"/>
            <w:tcBorders>
              <w:top w:val="nil"/>
              <w:left w:val="nil"/>
              <w:bottom w:val="single" w:sz="8" w:space="0" w:color="auto"/>
              <w:right w:val="single" w:sz="8" w:space="0" w:color="auto"/>
            </w:tcBorders>
            <w:shd w:val="clear" w:color="auto" w:fill="auto"/>
            <w:noWrap/>
            <w:vAlign w:val="center"/>
            <w:hideMark/>
          </w:tcPr>
          <w:p w14:paraId="00A6B7F7" w14:textId="77777777" w:rsidR="0004071A" w:rsidRPr="009A27ED" w:rsidRDefault="0004071A" w:rsidP="00AF66E5">
            <w:pPr>
              <w:spacing w:after="0"/>
              <w:rPr>
                <w:bCs/>
                <w:iCs/>
                <w:sz w:val="20"/>
                <w:szCs w:val="20"/>
              </w:rPr>
            </w:pPr>
            <w:r w:rsidRPr="009A27ED">
              <w:rPr>
                <w:bCs/>
                <w:iCs/>
                <w:sz w:val="20"/>
                <w:szCs w:val="20"/>
              </w:rPr>
              <w:t>555,704.00</w:t>
            </w:r>
          </w:p>
        </w:tc>
        <w:tc>
          <w:tcPr>
            <w:tcW w:w="940" w:type="dxa"/>
            <w:tcBorders>
              <w:top w:val="nil"/>
              <w:left w:val="nil"/>
              <w:bottom w:val="single" w:sz="8" w:space="0" w:color="auto"/>
              <w:right w:val="single" w:sz="8" w:space="0" w:color="auto"/>
            </w:tcBorders>
            <w:shd w:val="clear" w:color="auto" w:fill="auto"/>
            <w:noWrap/>
            <w:vAlign w:val="center"/>
            <w:hideMark/>
          </w:tcPr>
          <w:p w14:paraId="16EC2DDD" w14:textId="77777777" w:rsidR="0004071A" w:rsidRPr="009A27ED" w:rsidRDefault="0004071A" w:rsidP="006A4C77">
            <w:pPr>
              <w:keepNext/>
              <w:spacing w:after="0"/>
              <w:rPr>
                <w:bCs/>
                <w:iCs/>
                <w:sz w:val="20"/>
                <w:szCs w:val="20"/>
              </w:rPr>
            </w:pPr>
            <w:r w:rsidRPr="009A27ED">
              <w:rPr>
                <w:bCs/>
                <w:iCs/>
                <w:sz w:val="20"/>
                <w:szCs w:val="20"/>
              </w:rPr>
              <w:t>39.31</w:t>
            </w:r>
          </w:p>
        </w:tc>
      </w:tr>
    </w:tbl>
    <w:p w14:paraId="58F3F333" w14:textId="30ED0CF1" w:rsidR="006A4C77" w:rsidRPr="009A27ED" w:rsidRDefault="0004071A" w:rsidP="008A63EF">
      <w:pPr>
        <w:pStyle w:val="Descripcin"/>
        <w:spacing w:after="0" w:line="360" w:lineRule="auto"/>
        <w:rPr>
          <w:bCs/>
          <w:iCs w:val="0"/>
          <w:color w:val="000000" w:themeColor="text1"/>
          <w:sz w:val="20"/>
          <w:szCs w:val="20"/>
        </w:rPr>
      </w:pPr>
      <w:r w:rsidRPr="009A27ED">
        <w:rPr>
          <w:rFonts w:ascii="Times New Roman" w:eastAsia="Times New Roman" w:hAnsi="Times New Roman"/>
          <w:bCs/>
          <w:iCs w:val="0"/>
          <w:color w:val="000000" w:themeColor="text1"/>
          <w:sz w:val="24"/>
          <w:szCs w:val="20"/>
        </w:rPr>
        <w:t>Fuente: one.gob.do</w:t>
      </w:r>
    </w:p>
    <w:p w14:paraId="56FE5060" w14:textId="111653D8" w:rsidR="00352156" w:rsidRPr="009A27ED" w:rsidRDefault="00101944" w:rsidP="008A63E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360" w:lineRule="auto"/>
        <w:rPr>
          <w:bCs/>
          <w:iCs/>
          <w:szCs w:val="22"/>
        </w:rPr>
      </w:pPr>
      <w:r w:rsidRPr="009A27ED">
        <w:rPr>
          <w:rFonts w:ascii="Times New Roman" w:eastAsia="Times New Roman" w:hAnsi="Times New Roman"/>
          <w:bCs/>
          <w:iCs/>
          <w:sz w:val="24"/>
          <w:szCs w:val="22"/>
        </w:rPr>
        <w:t>La composición</w:t>
      </w:r>
      <w:r w:rsidR="0004071A" w:rsidRPr="009A27ED">
        <w:rPr>
          <w:rFonts w:ascii="Times New Roman" w:eastAsia="Times New Roman" w:hAnsi="Times New Roman"/>
          <w:bCs/>
          <w:iCs/>
          <w:sz w:val="24"/>
          <w:szCs w:val="22"/>
        </w:rPr>
        <w:t xml:space="preserve"> por sexo de la población en las áreas </w:t>
      </w:r>
      <w:r w:rsidRPr="009A27ED">
        <w:rPr>
          <w:rFonts w:ascii="Times New Roman" w:eastAsia="Times New Roman" w:hAnsi="Times New Roman"/>
          <w:bCs/>
          <w:iCs/>
          <w:sz w:val="24"/>
          <w:szCs w:val="22"/>
        </w:rPr>
        <w:t>priorizadas se</w:t>
      </w:r>
      <w:r w:rsidR="0004071A" w:rsidRPr="009A27ED">
        <w:rPr>
          <w:rFonts w:ascii="Times New Roman" w:eastAsia="Times New Roman" w:hAnsi="Times New Roman"/>
          <w:bCs/>
          <w:iCs/>
          <w:sz w:val="24"/>
          <w:szCs w:val="22"/>
        </w:rPr>
        <w:t xml:space="preserve"> distribuye técnicamente igualitaria, el 50.60% estaba constituida por hombres, mientras que las mujeres repr</w:t>
      </w:r>
      <w:r w:rsidR="00EF781D" w:rsidRPr="009A27ED">
        <w:rPr>
          <w:rFonts w:ascii="Times New Roman" w:eastAsia="Times New Roman" w:hAnsi="Times New Roman"/>
          <w:bCs/>
          <w:iCs/>
          <w:sz w:val="24"/>
          <w:szCs w:val="22"/>
        </w:rPr>
        <w:t xml:space="preserve">esentaban el 49.40% restante.  </w:t>
      </w:r>
    </w:p>
    <w:p w14:paraId="22805E04" w14:textId="77777777" w:rsidR="00D12F9D" w:rsidRPr="009A27ED" w:rsidRDefault="00D12F9D" w:rsidP="00D12F9D">
      <w:pPr>
        <w:pStyle w:val="Descripcin"/>
        <w:spacing w:line="360" w:lineRule="auto"/>
      </w:pPr>
    </w:p>
    <w:p w14:paraId="0B65A63C" w14:textId="6712097A" w:rsidR="00D12F9D" w:rsidRPr="009A27ED" w:rsidRDefault="00D12F9D" w:rsidP="00D12F9D">
      <w:pPr>
        <w:pStyle w:val="Descripcin"/>
        <w:spacing w:line="360" w:lineRule="auto"/>
      </w:pPr>
      <w:bookmarkStart w:id="169" w:name="_Toc111887436"/>
      <w:r w:rsidRPr="009A27ED">
        <w:rPr>
          <w:rFonts w:ascii="Times New Roman" w:eastAsia="Times New Roman" w:hAnsi="Times New Roman"/>
          <w:sz w:val="24"/>
        </w:rPr>
        <w:t xml:space="preserve">Cuadro </w:t>
      </w:r>
      <w:r w:rsidR="00F43DB6" w:rsidRPr="009A27ED">
        <w:rPr>
          <w:rFonts w:ascii="Times New Roman" w:eastAsia="Times New Roman" w:hAnsi="Times New Roman"/>
          <w:sz w:val="24"/>
        </w:rPr>
        <w:fldChar w:fldCharType="begin"/>
      </w:r>
      <w:r w:rsidR="00F43DB6" w:rsidRPr="009A27ED">
        <w:rPr>
          <w:rFonts w:ascii="Times New Roman" w:eastAsia="Times New Roman" w:hAnsi="Times New Roman"/>
          <w:sz w:val="24"/>
        </w:rPr>
        <w:instrText xml:space="preserve"> SEQ Cuadro \* ARABIC </w:instrText>
      </w:r>
      <w:r w:rsidR="00F43DB6"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26</w:t>
      </w:r>
      <w:r w:rsidR="00F43DB6" w:rsidRPr="009A27ED">
        <w:rPr>
          <w:rFonts w:ascii="Times New Roman" w:eastAsia="Times New Roman" w:hAnsi="Times New Roman"/>
          <w:sz w:val="24"/>
        </w:rPr>
        <w:fldChar w:fldCharType="end"/>
      </w:r>
      <w:r w:rsidRPr="009A27ED">
        <w:rPr>
          <w:rFonts w:ascii="Times New Roman" w:eastAsia="Times New Roman" w:hAnsi="Times New Roman"/>
          <w:color w:val="000000" w:themeColor="text1"/>
          <w:sz w:val="24"/>
        </w:rPr>
        <w:t>. Distribución de la población en Áreas Priorizadas según sexo</w:t>
      </w:r>
      <w:bookmarkEnd w:id="169"/>
    </w:p>
    <w:tbl>
      <w:tblPr>
        <w:tblW w:w="7960" w:type="dxa"/>
        <w:jc w:val="center"/>
        <w:tblLook w:val="04A0" w:firstRow="1" w:lastRow="0" w:firstColumn="1" w:lastColumn="0" w:noHBand="0" w:noVBand="1"/>
      </w:tblPr>
      <w:tblGrid>
        <w:gridCol w:w="1420"/>
        <w:gridCol w:w="1420"/>
        <w:gridCol w:w="1420"/>
        <w:gridCol w:w="900"/>
        <w:gridCol w:w="1380"/>
        <w:gridCol w:w="1420"/>
      </w:tblGrid>
      <w:tr w:rsidR="0069562F" w:rsidRPr="009A27ED" w14:paraId="0490AE31" w14:textId="77777777" w:rsidTr="00352156">
        <w:trPr>
          <w:trHeight w:val="315"/>
          <w:jc w:val="center"/>
        </w:trPr>
        <w:tc>
          <w:tcPr>
            <w:tcW w:w="1420" w:type="dxa"/>
            <w:tcBorders>
              <w:top w:val="single" w:sz="8" w:space="0" w:color="auto"/>
              <w:left w:val="single" w:sz="8" w:space="0" w:color="auto"/>
              <w:bottom w:val="single" w:sz="8" w:space="0" w:color="auto"/>
              <w:right w:val="single" w:sz="8" w:space="0" w:color="auto"/>
            </w:tcBorders>
            <w:shd w:val="clear" w:color="auto" w:fill="2E74B5" w:themeFill="accent1" w:themeFillShade="BF"/>
            <w:noWrap/>
            <w:vAlign w:val="center"/>
            <w:hideMark/>
          </w:tcPr>
          <w:p w14:paraId="186BE99C" w14:textId="77777777" w:rsidR="0004071A" w:rsidRPr="009A27ED" w:rsidRDefault="0004071A" w:rsidP="00AF66E5">
            <w:pPr>
              <w:spacing w:after="0"/>
              <w:rPr>
                <w:rFonts w:eastAsia="Times New Roman"/>
                <w:color w:val="000000" w:themeColor="text1"/>
                <w:sz w:val="20"/>
                <w:szCs w:val="20"/>
              </w:rPr>
            </w:pPr>
            <w:r w:rsidRPr="009A27ED">
              <w:rPr>
                <w:rFonts w:eastAsia="Times New Roman"/>
                <w:color w:val="000000" w:themeColor="text1"/>
                <w:sz w:val="20"/>
                <w:szCs w:val="20"/>
              </w:rPr>
              <w:t> </w:t>
            </w:r>
          </w:p>
        </w:tc>
        <w:tc>
          <w:tcPr>
            <w:tcW w:w="6540" w:type="dxa"/>
            <w:gridSpan w:val="5"/>
            <w:tcBorders>
              <w:top w:val="single" w:sz="8" w:space="0" w:color="auto"/>
              <w:left w:val="nil"/>
              <w:bottom w:val="single" w:sz="8" w:space="0" w:color="auto"/>
              <w:right w:val="single" w:sz="8" w:space="0" w:color="000000"/>
            </w:tcBorders>
            <w:shd w:val="clear" w:color="auto" w:fill="2E74B5" w:themeFill="accent1" w:themeFillShade="BF"/>
            <w:vAlign w:val="center"/>
            <w:hideMark/>
          </w:tcPr>
          <w:p w14:paraId="7EEDD1A5" w14:textId="32BDE8B5" w:rsidR="00B85BEE" w:rsidRPr="009A27ED" w:rsidRDefault="0004071A" w:rsidP="006A4C77">
            <w:pPr>
              <w:spacing w:after="0"/>
              <w:jc w:val="center"/>
              <w:rPr>
                <w:rFonts w:eastAsia="Times New Roman"/>
                <w:b/>
                <w:bCs/>
                <w:color w:val="000000" w:themeColor="text1"/>
                <w:sz w:val="20"/>
                <w:szCs w:val="20"/>
              </w:rPr>
            </w:pPr>
            <w:r w:rsidRPr="009A27ED">
              <w:rPr>
                <w:rFonts w:eastAsia="Times New Roman"/>
                <w:b/>
                <w:bCs/>
                <w:color w:val="FFFFFF" w:themeColor="background1"/>
                <w:sz w:val="20"/>
                <w:szCs w:val="20"/>
              </w:rPr>
              <w:t>Población total por sexo al 2010</w:t>
            </w:r>
          </w:p>
        </w:tc>
      </w:tr>
      <w:tr w:rsidR="0004071A" w:rsidRPr="009A27ED" w14:paraId="67BB6D50" w14:textId="77777777" w:rsidTr="00101944">
        <w:trPr>
          <w:trHeight w:val="315"/>
          <w:jc w:val="center"/>
        </w:trPr>
        <w:tc>
          <w:tcPr>
            <w:tcW w:w="1420" w:type="dxa"/>
            <w:tcBorders>
              <w:top w:val="nil"/>
              <w:left w:val="single" w:sz="8" w:space="0" w:color="auto"/>
              <w:bottom w:val="single" w:sz="8" w:space="0" w:color="auto"/>
              <w:right w:val="single" w:sz="8" w:space="0" w:color="auto"/>
            </w:tcBorders>
            <w:shd w:val="clear" w:color="auto" w:fill="auto"/>
            <w:vAlign w:val="center"/>
            <w:hideMark/>
          </w:tcPr>
          <w:p w14:paraId="3D773C08" w14:textId="5C0F172B" w:rsidR="0004071A" w:rsidRPr="009A27ED" w:rsidRDefault="00101944" w:rsidP="00AF66E5">
            <w:pPr>
              <w:spacing w:after="0"/>
              <w:jc w:val="center"/>
              <w:rPr>
                <w:rFonts w:eastAsia="Times New Roman"/>
                <w:b/>
                <w:bCs/>
                <w:color w:val="000000"/>
                <w:sz w:val="20"/>
                <w:szCs w:val="20"/>
                <w:lang w:val="en-US"/>
              </w:rPr>
            </w:pPr>
            <w:r w:rsidRPr="009A27ED">
              <w:rPr>
                <w:rFonts w:eastAsia="Times New Roman"/>
                <w:b/>
                <w:bCs/>
                <w:color w:val="000000"/>
                <w:sz w:val="20"/>
                <w:szCs w:val="20"/>
              </w:rPr>
              <w:t>Área</w:t>
            </w:r>
          </w:p>
        </w:tc>
        <w:tc>
          <w:tcPr>
            <w:tcW w:w="1420" w:type="dxa"/>
            <w:tcBorders>
              <w:top w:val="nil"/>
              <w:left w:val="nil"/>
              <w:bottom w:val="single" w:sz="8" w:space="0" w:color="auto"/>
              <w:right w:val="single" w:sz="8" w:space="0" w:color="auto"/>
            </w:tcBorders>
            <w:shd w:val="clear" w:color="auto" w:fill="auto"/>
            <w:vAlign w:val="center"/>
            <w:hideMark/>
          </w:tcPr>
          <w:p w14:paraId="2246DB85" w14:textId="77777777" w:rsidR="0004071A" w:rsidRPr="009A27ED" w:rsidRDefault="0004071A" w:rsidP="00AF66E5">
            <w:pPr>
              <w:spacing w:after="0"/>
              <w:jc w:val="center"/>
              <w:rPr>
                <w:rFonts w:eastAsia="Times New Roman"/>
                <w:b/>
                <w:bCs/>
                <w:color w:val="000000"/>
                <w:sz w:val="20"/>
                <w:szCs w:val="20"/>
                <w:lang w:val="en-US"/>
              </w:rPr>
            </w:pPr>
            <w:r w:rsidRPr="009A27ED">
              <w:rPr>
                <w:rFonts w:eastAsia="Times New Roman"/>
                <w:b/>
                <w:bCs/>
                <w:color w:val="000000"/>
                <w:sz w:val="20"/>
                <w:szCs w:val="20"/>
              </w:rPr>
              <w:t>Habitantes</w:t>
            </w:r>
          </w:p>
        </w:tc>
        <w:tc>
          <w:tcPr>
            <w:tcW w:w="1420" w:type="dxa"/>
            <w:tcBorders>
              <w:top w:val="nil"/>
              <w:left w:val="nil"/>
              <w:bottom w:val="single" w:sz="8" w:space="0" w:color="auto"/>
              <w:right w:val="single" w:sz="8" w:space="0" w:color="auto"/>
            </w:tcBorders>
            <w:shd w:val="clear" w:color="auto" w:fill="auto"/>
            <w:vAlign w:val="center"/>
            <w:hideMark/>
          </w:tcPr>
          <w:p w14:paraId="13604447" w14:textId="77777777" w:rsidR="0004071A" w:rsidRPr="009A27ED" w:rsidRDefault="0004071A" w:rsidP="00AF66E5">
            <w:pPr>
              <w:spacing w:after="0"/>
              <w:jc w:val="center"/>
              <w:rPr>
                <w:rFonts w:eastAsia="Times New Roman"/>
                <w:b/>
                <w:bCs/>
                <w:color w:val="000000"/>
                <w:sz w:val="20"/>
                <w:szCs w:val="20"/>
                <w:lang w:val="en-US"/>
              </w:rPr>
            </w:pPr>
            <w:r w:rsidRPr="009A27ED">
              <w:rPr>
                <w:rFonts w:eastAsia="Times New Roman"/>
                <w:b/>
                <w:bCs/>
                <w:color w:val="000000"/>
                <w:sz w:val="20"/>
                <w:szCs w:val="20"/>
              </w:rPr>
              <w:t>Hombre</w:t>
            </w:r>
          </w:p>
        </w:tc>
        <w:tc>
          <w:tcPr>
            <w:tcW w:w="900" w:type="dxa"/>
            <w:tcBorders>
              <w:top w:val="nil"/>
              <w:left w:val="nil"/>
              <w:bottom w:val="single" w:sz="8" w:space="0" w:color="auto"/>
              <w:right w:val="single" w:sz="8" w:space="0" w:color="auto"/>
            </w:tcBorders>
            <w:shd w:val="clear" w:color="auto" w:fill="auto"/>
            <w:vAlign w:val="center"/>
            <w:hideMark/>
          </w:tcPr>
          <w:p w14:paraId="6F280BCA" w14:textId="77777777" w:rsidR="0004071A" w:rsidRPr="009A27ED" w:rsidRDefault="0004071A" w:rsidP="00AF66E5">
            <w:pPr>
              <w:spacing w:after="0"/>
              <w:jc w:val="center"/>
              <w:rPr>
                <w:rFonts w:eastAsia="Times New Roman"/>
                <w:b/>
                <w:bCs/>
                <w:color w:val="000000"/>
                <w:sz w:val="20"/>
                <w:szCs w:val="20"/>
                <w:lang w:val="en-US"/>
              </w:rPr>
            </w:pPr>
            <w:r w:rsidRPr="009A27ED">
              <w:rPr>
                <w:rFonts w:eastAsia="Times New Roman"/>
                <w:b/>
                <w:bCs/>
                <w:color w:val="000000"/>
                <w:sz w:val="20"/>
                <w:szCs w:val="20"/>
              </w:rPr>
              <w:t>%</w:t>
            </w:r>
          </w:p>
        </w:tc>
        <w:tc>
          <w:tcPr>
            <w:tcW w:w="1380" w:type="dxa"/>
            <w:tcBorders>
              <w:top w:val="nil"/>
              <w:left w:val="nil"/>
              <w:bottom w:val="single" w:sz="8" w:space="0" w:color="auto"/>
              <w:right w:val="single" w:sz="8" w:space="0" w:color="auto"/>
            </w:tcBorders>
            <w:shd w:val="clear" w:color="auto" w:fill="auto"/>
            <w:vAlign w:val="center"/>
            <w:hideMark/>
          </w:tcPr>
          <w:p w14:paraId="6E5946D5" w14:textId="77777777" w:rsidR="0004071A" w:rsidRPr="009A27ED" w:rsidRDefault="0004071A" w:rsidP="00AF66E5">
            <w:pPr>
              <w:spacing w:after="0"/>
              <w:jc w:val="center"/>
              <w:rPr>
                <w:rFonts w:eastAsia="Times New Roman"/>
                <w:b/>
                <w:bCs/>
                <w:color w:val="000000"/>
                <w:sz w:val="20"/>
                <w:szCs w:val="20"/>
                <w:lang w:val="en-US"/>
              </w:rPr>
            </w:pPr>
            <w:r w:rsidRPr="009A27ED">
              <w:rPr>
                <w:rFonts w:eastAsia="Times New Roman"/>
                <w:b/>
                <w:bCs/>
                <w:color w:val="000000"/>
                <w:sz w:val="20"/>
                <w:szCs w:val="20"/>
              </w:rPr>
              <w:t>Mujer</w:t>
            </w:r>
          </w:p>
        </w:tc>
        <w:tc>
          <w:tcPr>
            <w:tcW w:w="1420" w:type="dxa"/>
            <w:tcBorders>
              <w:top w:val="nil"/>
              <w:left w:val="nil"/>
              <w:bottom w:val="single" w:sz="8" w:space="0" w:color="auto"/>
              <w:right w:val="single" w:sz="8" w:space="0" w:color="auto"/>
            </w:tcBorders>
            <w:shd w:val="clear" w:color="auto" w:fill="auto"/>
            <w:vAlign w:val="center"/>
            <w:hideMark/>
          </w:tcPr>
          <w:p w14:paraId="71FF3C5B" w14:textId="77777777" w:rsidR="0004071A" w:rsidRPr="009A27ED" w:rsidRDefault="0004071A" w:rsidP="00AF66E5">
            <w:pPr>
              <w:spacing w:after="0"/>
              <w:jc w:val="center"/>
              <w:rPr>
                <w:rFonts w:eastAsia="Times New Roman"/>
                <w:b/>
                <w:bCs/>
                <w:color w:val="000000"/>
                <w:sz w:val="20"/>
                <w:szCs w:val="20"/>
                <w:lang w:val="en-US"/>
              </w:rPr>
            </w:pPr>
            <w:r w:rsidRPr="009A27ED">
              <w:rPr>
                <w:rFonts w:eastAsia="Times New Roman"/>
                <w:b/>
                <w:bCs/>
                <w:color w:val="000000"/>
                <w:sz w:val="20"/>
                <w:szCs w:val="20"/>
              </w:rPr>
              <w:t>%</w:t>
            </w:r>
          </w:p>
        </w:tc>
      </w:tr>
      <w:tr w:rsidR="0004071A" w:rsidRPr="009A27ED" w14:paraId="6BA32B0E" w14:textId="77777777" w:rsidTr="00101944">
        <w:trPr>
          <w:trHeight w:val="315"/>
          <w:jc w:val="center"/>
        </w:trPr>
        <w:tc>
          <w:tcPr>
            <w:tcW w:w="1420" w:type="dxa"/>
            <w:tcBorders>
              <w:top w:val="nil"/>
              <w:left w:val="single" w:sz="8" w:space="0" w:color="auto"/>
              <w:bottom w:val="single" w:sz="8" w:space="0" w:color="auto"/>
              <w:right w:val="single" w:sz="8" w:space="0" w:color="auto"/>
            </w:tcBorders>
            <w:shd w:val="clear" w:color="auto" w:fill="auto"/>
            <w:noWrap/>
            <w:vAlign w:val="center"/>
            <w:hideMark/>
          </w:tcPr>
          <w:p w14:paraId="1C5D7274" w14:textId="22A79407" w:rsidR="0004071A" w:rsidRPr="009A27ED" w:rsidRDefault="00101944" w:rsidP="00AF66E5">
            <w:pPr>
              <w:spacing w:after="0"/>
              <w:rPr>
                <w:rFonts w:eastAsia="Times New Roman"/>
                <w:color w:val="000000"/>
                <w:sz w:val="20"/>
                <w:szCs w:val="20"/>
                <w:lang w:val="en-US"/>
              </w:rPr>
            </w:pPr>
            <w:r w:rsidRPr="009A27ED">
              <w:rPr>
                <w:rFonts w:eastAsia="Times New Roman"/>
                <w:color w:val="000000"/>
                <w:sz w:val="20"/>
                <w:szCs w:val="20"/>
              </w:rPr>
              <w:t>Área</w:t>
            </w:r>
            <w:r w:rsidR="0004071A" w:rsidRPr="009A27ED">
              <w:rPr>
                <w:rFonts w:eastAsia="Times New Roman"/>
                <w:color w:val="000000"/>
                <w:sz w:val="20"/>
                <w:szCs w:val="20"/>
              </w:rPr>
              <w:t xml:space="preserve"> 1</w:t>
            </w:r>
          </w:p>
        </w:tc>
        <w:tc>
          <w:tcPr>
            <w:tcW w:w="1420" w:type="dxa"/>
            <w:tcBorders>
              <w:top w:val="nil"/>
              <w:left w:val="nil"/>
              <w:bottom w:val="single" w:sz="8" w:space="0" w:color="auto"/>
              <w:right w:val="single" w:sz="8" w:space="0" w:color="auto"/>
            </w:tcBorders>
            <w:shd w:val="clear" w:color="auto" w:fill="auto"/>
            <w:noWrap/>
            <w:vAlign w:val="center"/>
            <w:hideMark/>
          </w:tcPr>
          <w:p w14:paraId="47FC7E31"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122,271.00</w:t>
            </w:r>
          </w:p>
        </w:tc>
        <w:tc>
          <w:tcPr>
            <w:tcW w:w="1420" w:type="dxa"/>
            <w:tcBorders>
              <w:top w:val="nil"/>
              <w:left w:val="nil"/>
              <w:bottom w:val="single" w:sz="8" w:space="0" w:color="auto"/>
              <w:right w:val="single" w:sz="8" w:space="0" w:color="auto"/>
            </w:tcBorders>
            <w:shd w:val="clear" w:color="auto" w:fill="auto"/>
            <w:noWrap/>
            <w:vAlign w:val="center"/>
            <w:hideMark/>
          </w:tcPr>
          <w:p w14:paraId="3C820487"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64,770.00</w:t>
            </w:r>
          </w:p>
        </w:tc>
        <w:tc>
          <w:tcPr>
            <w:tcW w:w="900" w:type="dxa"/>
            <w:tcBorders>
              <w:top w:val="nil"/>
              <w:left w:val="nil"/>
              <w:bottom w:val="single" w:sz="8" w:space="0" w:color="auto"/>
              <w:right w:val="single" w:sz="8" w:space="0" w:color="auto"/>
            </w:tcBorders>
            <w:shd w:val="clear" w:color="auto" w:fill="auto"/>
            <w:noWrap/>
            <w:vAlign w:val="center"/>
            <w:hideMark/>
          </w:tcPr>
          <w:p w14:paraId="62F48A01"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rPr>
              <w:t>52.97</w:t>
            </w:r>
          </w:p>
        </w:tc>
        <w:tc>
          <w:tcPr>
            <w:tcW w:w="1380" w:type="dxa"/>
            <w:tcBorders>
              <w:top w:val="nil"/>
              <w:left w:val="nil"/>
              <w:bottom w:val="single" w:sz="8" w:space="0" w:color="auto"/>
              <w:right w:val="single" w:sz="8" w:space="0" w:color="auto"/>
            </w:tcBorders>
            <w:shd w:val="clear" w:color="auto" w:fill="auto"/>
            <w:noWrap/>
            <w:vAlign w:val="center"/>
            <w:hideMark/>
          </w:tcPr>
          <w:p w14:paraId="5A5F35D5"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57,501.00</w:t>
            </w:r>
          </w:p>
        </w:tc>
        <w:tc>
          <w:tcPr>
            <w:tcW w:w="1420" w:type="dxa"/>
            <w:tcBorders>
              <w:top w:val="nil"/>
              <w:left w:val="nil"/>
              <w:bottom w:val="single" w:sz="8" w:space="0" w:color="auto"/>
              <w:right w:val="single" w:sz="8" w:space="0" w:color="auto"/>
            </w:tcBorders>
            <w:shd w:val="clear" w:color="auto" w:fill="auto"/>
            <w:noWrap/>
            <w:vAlign w:val="center"/>
            <w:hideMark/>
          </w:tcPr>
          <w:p w14:paraId="11A114AF"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rPr>
              <w:t>47.03</w:t>
            </w:r>
          </w:p>
        </w:tc>
      </w:tr>
      <w:tr w:rsidR="0004071A" w:rsidRPr="009A27ED" w14:paraId="250A5D97" w14:textId="77777777" w:rsidTr="00101944">
        <w:trPr>
          <w:trHeight w:val="315"/>
          <w:jc w:val="center"/>
        </w:trPr>
        <w:tc>
          <w:tcPr>
            <w:tcW w:w="1420" w:type="dxa"/>
            <w:tcBorders>
              <w:top w:val="nil"/>
              <w:left w:val="single" w:sz="8" w:space="0" w:color="auto"/>
              <w:bottom w:val="single" w:sz="8" w:space="0" w:color="auto"/>
              <w:right w:val="single" w:sz="8" w:space="0" w:color="auto"/>
            </w:tcBorders>
            <w:shd w:val="clear" w:color="auto" w:fill="auto"/>
            <w:noWrap/>
            <w:vAlign w:val="center"/>
            <w:hideMark/>
          </w:tcPr>
          <w:p w14:paraId="6DB79BBD" w14:textId="63E193AC" w:rsidR="0004071A" w:rsidRPr="009A27ED" w:rsidRDefault="00101944" w:rsidP="00AF66E5">
            <w:pPr>
              <w:spacing w:after="0"/>
              <w:rPr>
                <w:rFonts w:eastAsia="Times New Roman"/>
                <w:color w:val="000000"/>
                <w:sz w:val="20"/>
                <w:szCs w:val="20"/>
                <w:lang w:val="en-US"/>
              </w:rPr>
            </w:pPr>
            <w:r w:rsidRPr="009A27ED">
              <w:rPr>
                <w:rFonts w:eastAsia="Times New Roman"/>
                <w:color w:val="000000"/>
                <w:sz w:val="20"/>
                <w:szCs w:val="20"/>
              </w:rPr>
              <w:t>Á</w:t>
            </w:r>
            <w:r w:rsidR="0004071A" w:rsidRPr="009A27ED">
              <w:rPr>
                <w:rFonts w:eastAsia="Times New Roman"/>
                <w:color w:val="000000"/>
                <w:sz w:val="20"/>
                <w:szCs w:val="20"/>
              </w:rPr>
              <w:t>r</w:t>
            </w:r>
            <w:r w:rsidRPr="009A27ED">
              <w:rPr>
                <w:rFonts w:eastAsia="Times New Roman"/>
                <w:color w:val="000000"/>
                <w:sz w:val="20"/>
                <w:szCs w:val="20"/>
              </w:rPr>
              <w:t>e</w:t>
            </w:r>
            <w:r w:rsidR="0004071A" w:rsidRPr="009A27ED">
              <w:rPr>
                <w:rFonts w:eastAsia="Times New Roman"/>
                <w:color w:val="000000"/>
                <w:sz w:val="20"/>
                <w:szCs w:val="20"/>
              </w:rPr>
              <w:t>a 2</w:t>
            </w:r>
          </w:p>
        </w:tc>
        <w:tc>
          <w:tcPr>
            <w:tcW w:w="1420" w:type="dxa"/>
            <w:tcBorders>
              <w:top w:val="nil"/>
              <w:left w:val="nil"/>
              <w:bottom w:val="single" w:sz="8" w:space="0" w:color="auto"/>
              <w:right w:val="single" w:sz="8" w:space="0" w:color="auto"/>
            </w:tcBorders>
            <w:shd w:val="clear" w:color="auto" w:fill="auto"/>
            <w:noWrap/>
            <w:vAlign w:val="center"/>
            <w:hideMark/>
          </w:tcPr>
          <w:p w14:paraId="37DE91FA"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87,849.00</w:t>
            </w:r>
          </w:p>
        </w:tc>
        <w:tc>
          <w:tcPr>
            <w:tcW w:w="1420" w:type="dxa"/>
            <w:tcBorders>
              <w:top w:val="nil"/>
              <w:left w:val="nil"/>
              <w:bottom w:val="single" w:sz="8" w:space="0" w:color="auto"/>
              <w:right w:val="single" w:sz="8" w:space="0" w:color="auto"/>
            </w:tcBorders>
            <w:shd w:val="clear" w:color="auto" w:fill="auto"/>
            <w:noWrap/>
            <w:vAlign w:val="center"/>
            <w:hideMark/>
          </w:tcPr>
          <w:p w14:paraId="70930872"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45,447.00</w:t>
            </w:r>
          </w:p>
        </w:tc>
        <w:tc>
          <w:tcPr>
            <w:tcW w:w="900" w:type="dxa"/>
            <w:tcBorders>
              <w:top w:val="nil"/>
              <w:left w:val="nil"/>
              <w:bottom w:val="single" w:sz="8" w:space="0" w:color="auto"/>
              <w:right w:val="single" w:sz="8" w:space="0" w:color="auto"/>
            </w:tcBorders>
            <w:shd w:val="clear" w:color="auto" w:fill="auto"/>
            <w:noWrap/>
            <w:vAlign w:val="center"/>
            <w:hideMark/>
          </w:tcPr>
          <w:p w14:paraId="53B7FB71"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rPr>
              <w:t>51.73</w:t>
            </w:r>
          </w:p>
        </w:tc>
        <w:tc>
          <w:tcPr>
            <w:tcW w:w="1380" w:type="dxa"/>
            <w:tcBorders>
              <w:top w:val="nil"/>
              <w:left w:val="nil"/>
              <w:bottom w:val="single" w:sz="8" w:space="0" w:color="auto"/>
              <w:right w:val="single" w:sz="8" w:space="0" w:color="auto"/>
            </w:tcBorders>
            <w:shd w:val="clear" w:color="auto" w:fill="auto"/>
            <w:noWrap/>
            <w:vAlign w:val="center"/>
            <w:hideMark/>
          </w:tcPr>
          <w:p w14:paraId="54360BF8"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42,402.00</w:t>
            </w:r>
          </w:p>
        </w:tc>
        <w:tc>
          <w:tcPr>
            <w:tcW w:w="1420" w:type="dxa"/>
            <w:tcBorders>
              <w:top w:val="nil"/>
              <w:left w:val="nil"/>
              <w:bottom w:val="single" w:sz="8" w:space="0" w:color="auto"/>
              <w:right w:val="single" w:sz="8" w:space="0" w:color="auto"/>
            </w:tcBorders>
            <w:shd w:val="clear" w:color="auto" w:fill="auto"/>
            <w:noWrap/>
            <w:vAlign w:val="center"/>
            <w:hideMark/>
          </w:tcPr>
          <w:p w14:paraId="387614D7"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rPr>
              <w:t>48.27</w:t>
            </w:r>
          </w:p>
        </w:tc>
      </w:tr>
      <w:tr w:rsidR="0004071A" w:rsidRPr="009A27ED" w14:paraId="378DCE7D" w14:textId="77777777" w:rsidTr="00101944">
        <w:trPr>
          <w:trHeight w:val="315"/>
          <w:jc w:val="center"/>
        </w:trPr>
        <w:tc>
          <w:tcPr>
            <w:tcW w:w="1420" w:type="dxa"/>
            <w:tcBorders>
              <w:top w:val="nil"/>
              <w:left w:val="single" w:sz="8" w:space="0" w:color="auto"/>
              <w:bottom w:val="single" w:sz="8" w:space="0" w:color="auto"/>
              <w:right w:val="single" w:sz="8" w:space="0" w:color="auto"/>
            </w:tcBorders>
            <w:shd w:val="clear" w:color="auto" w:fill="auto"/>
            <w:noWrap/>
            <w:vAlign w:val="center"/>
            <w:hideMark/>
          </w:tcPr>
          <w:p w14:paraId="19B52966" w14:textId="57F4BC45" w:rsidR="0004071A" w:rsidRPr="009A27ED" w:rsidRDefault="00101944" w:rsidP="00AF66E5">
            <w:pPr>
              <w:spacing w:after="0"/>
              <w:rPr>
                <w:rFonts w:eastAsia="Times New Roman"/>
                <w:color w:val="000000"/>
                <w:sz w:val="20"/>
                <w:szCs w:val="20"/>
                <w:lang w:val="en-US"/>
              </w:rPr>
            </w:pPr>
            <w:r w:rsidRPr="009A27ED">
              <w:rPr>
                <w:rFonts w:eastAsia="Times New Roman"/>
                <w:color w:val="000000"/>
                <w:sz w:val="20"/>
                <w:szCs w:val="20"/>
              </w:rPr>
              <w:t>Área</w:t>
            </w:r>
            <w:r w:rsidR="0004071A" w:rsidRPr="009A27ED">
              <w:rPr>
                <w:rFonts w:eastAsia="Times New Roman"/>
                <w:color w:val="000000"/>
                <w:sz w:val="20"/>
                <w:szCs w:val="20"/>
              </w:rPr>
              <w:t xml:space="preserve"> 3</w:t>
            </w:r>
          </w:p>
        </w:tc>
        <w:tc>
          <w:tcPr>
            <w:tcW w:w="1420" w:type="dxa"/>
            <w:tcBorders>
              <w:top w:val="nil"/>
              <w:left w:val="nil"/>
              <w:bottom w:val="single" w:sz="8" w:space="0" w:color="auto"/>
              <w:right w:val="single" w:sz="8" w:space="0" w:color="auto"/>
            </w:tcBorders>
            <w:shd w:val="clear" w:color="auto" w:fill="auto"/>
            <w:noWrap/>
            <w:vAlign w:val="center"/>
            <w:hideMark/>
          </w:tcPr>
          <w:p w14:paraId="5601E2BA"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757,489.00</w:t>
            </w:r>
          </w:p>
        </w:tc>
        <w:tc>
          <w:tcPr>
            <w:tcW w:w="1420" w:type="dxa"/>
            <w:tcBorders>
              <w:top w:val="nil"/>
              <w:left w:val="nil"/>
              <w:bottom w:val="single" w:sz="8" w:space="0" w:color="auto"/>
              <w:right w:val="single" w:sz="8" w:space="0" w:color="auto"/>
            </w:tcBorders>
            <w:shd w:val="clear" w:color="auto" w:fill="auto"/>
            <w:noWrap/>
            <w:vAlign w:val="center"/>
            <w:hideMark/>
          </w:tcPr>
          <w:p w14:paraId="2163EE03"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378,069.00</w:t>
            </w:r>
          </w:p>
        </w:tc>
        <w:tc>
          <w:tcPr>
            <w:tcW w:w="900" w:type="dxa"/>
            <w:tcBorders>
              <w:top w:val="nil"/>
              <w:left w:val="nil"/>
              <w:bottom w:val="single" w:sz="8" w:space="0" w:color="auto"/>
              <w:right w:val="single" w:sz="8" w:space="0" w:color="auto"/>
            </w:tcBorders>
            <w:shd w:val="clear" w:color="auto" w:fill="auto"/>
            <w:noWrap/>
            <w:vAlign w:val="center"/>
            <w:hideMark/>
          </w:tcPr>
          <w:p w14:paraId="11AEA6E9"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49.91</w:t>
            </w:r>
          </w:p>
        </w:tc>
        <w:tc>
          <w:tcPr>
            <w:tcW w:w="1380" w:type="dxa"/>
            <w:tcBorders>
              <w:top w:val="nil"/>
              <w:left w:val="nil"/>
              <w:bottom w:val="single" w:sz="8" w:space="0" w:color="auto"/>
              <w:right w:val="single" w:sz="8" w:space="0" w:color="auto"/>
            </w:tcBorders>
            <w:shd w:val="clear" w:color="auto" w:fill="auto"/>
            <w:noWrap/>
            <w:vAlign w:val="center"/>
            <w:hideMark/>
          </w:tcPr>
          <w:p w14:paraId="7445E67F"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379,420.00</w:t>
            </w:r>
          </w:p>
        </w:tc>
        <w:tc>
          <w:tcPr>
            <w:tcW w:w="1420" w:type="dxa"/>
            <w:tcBorders>
              <w:top w:val="nil"/>
              <w:left w:val="nil"/>
              <w:bottom w:val="single" w:sz="8" w:space="0" w:color="auto"/>
              <w:right w:val="single" w:sz="8" w:space="0" w:color="auto"/>
            </w:tcBorders>
            <w:shd w:val="clear" w:color="auto" w:fill="auto"/>
            <w:noWrap/>
            <w:vAlign w:val="center"/>
            <w:hideMark/>
          </w:tcPr>
          <w:p w14:paraId="38A89CA2"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50.09</w:t>
            </w:r>
          </w:p>
        </w:tc>
      </w:tr>
      <w:tr w:rsidR="0004071A" w:rsidRPr="009A27ED" w14:paraId="65B4CD14" w14:textId="77777777" w:rsidTr="00101944">
        <w:trPr>
          <w:trHeight w:val="315"/>
          <w:jc w:val="center"/>
        </w:trPr>
        <w:tc>
          <w:tcPr>
            <w:tcW w:w="1420" w:type="dxa"/>
            <w:tcBorders>
              <w:top w:val="nil"/>
              <w:left w:val="single" w:sz="8" w:space="0" w:color="auto"/>
              <w:bottom w:val="single" w:sz="8" w:space="0" w:color="auto"/>
              <w:right w:val="single" w:sz="8" w:space="0" w:color="auto"/>
            </w:tcBorders>
            <w:shd w:val="clear" w:color="auto" w:fill="auto"/>
            <w:noWrap/>
            <w:vAlign w:val="center"/>
            <w:hideMark/>
          </w:tcPr>
          <w:p w14:paraId="563770DE" w14:textId="670E522C" w:rsidR="0004071A" w:rsidRPr="009A27ED" w:rsidRDefault="00101944" w:rsidP="00AF66E5">
            <w:pPr>
              <w:spacing w:after="0"/>
              <w:rPr>
                <w:rFonts w:eastAsia="Times New Roman"/>
                <w:color w:val="000000"/>
                <w:sz w:val="20"/>
                <w:szCs w:val="20"/>
                <w:lang w:val="en-US"/>
              </w:rPr>
            </w:pPr>
            <w:r w:rsidRPr="009A27ED">
              <w:rPr>
                <w:rFonts w:eastAsia="Times New Roman"/>
                <w:color w:val="000000"/>
                <w:sz w:val="20"/>
                <w:szCs w:val="20"/>
              </w:rPr>
              <w:t>Área</w:t>
            </w:r>
            <w:r w:rsidR="0004071A" w:rsidRPr="009A27ED">
              <w:rPr>
                <w:rFonts w:eastAsia="Times New Roman"/>
                <w:color w:val="000000"/>
                <w:sz w:val="20"/>
                <w:szCs w:val="20"/>
              </w:rPr>
              <w:t xml:space="preserve"> 4</w:t>
            </w:r>
          </w:p>
        </w:tc>
        <w:tc>
          <w:tcPr>
            <w:tcW w:w="1420" w:type="dxa"/>
            <w:tcBorders>
              <w:top w:val="nil"/>
              <w:left w:val="nil"/>
              <w:bottom w:val="single" w:sz="8" w:space="0" w:color="auto"/>
              <w:right w:val="single" w:sz="8" w:space="0" w:color="auto"/>
            </w:tcBorders>
            <w:shd w:val="clear" w:color="auto" w:fill="auto"/>
            <w:noWrap/>
            <w:vAlign w:val="center"/>
            <w:hideMark/>
          </w:tcPr>
          <w:p w14:paraId="27F1DE39"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292,876.00</w:t>
            </w:r>
          </w:p>
        </w:tc>
        <w:tc>
          <w:tcPr>
            <w:tcW w:w="1420" w:type="dxa"/>
            <w:tcBorders>
              <w:top w:val="nil"/>
              <w:left w:val="nil"/>
              <w:bottom w:val="single" w:sz="8" w:space="0" w:color="auto"/>
              <w:right w:val="single" w:sz="8" w:space="0" w:color="auto"/>
            </w:tcBorders>
            <w:shd w:val="clear" w:color="auto" w:fill="auto"/>
            <w:noWrap/>
            <w:vAlign w:val="center"/>
            <w:hideMark/>
          </w:tcPr>
          <w:p w14:paraId="04E707ED"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147,492.00</w:t>
            </w:r>
          </w:p>
        </w:tc>
        <w:tc>
          <w:tcPr>
            <w:tcW w:w="900" w:type="dxa"/>
            <w:tcBorders>
              <w:top w:val="nil"/>
              <w:left w:val="nil"/>
              <w:bottom w:val="single" w:sz="8" w:space="0" w:color="auto"/>
              <w:right w:val="single" w:sz="8" w:space="0" w:color="auto"/>
            </w:tcBorders>
            <w:shd w:val="clear" w:color="auto" w:fill="auto"/>
            <w:noWrap/>
            <w:vAlign w:val="center"/>
            <w:hideMark/>
          </w:tcPr>
          <w:p w14:paraId="2E27D30F"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50.36</w:t>
            </w:r>
          </w:p>
        </w:tc>
        <w:tc>
          <w:tcPr>
            <w:tcW w:w="1380" w:type="dxa"/>
            <w:tcBorders>
              <w:top w:val="nil"/>
              <w:left w:val="nil"/>
              <w:bottom w:val="single" w:sz="8" w:space="0" w:color="auto"/>
              <w:right w:val="single" w:sz="8" w:space="0" w:color="auto"/>
            </w:tcBorders>
            <w:shd w:val="clear" w:color="auto" w:fill="auto"/>
            <w:noWrap/>
            <w:vAlign w:val="center"/>
            <w:hideMark/>
          </w:tcPr>
          <w:p w14:paraId="48D8B69F"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145,384.00</w:t>
            </w:r>
          </w:p>
        </w:tc>
        <w:tc>
          <w:tcPr>
            <w:tcW w:w="1420" w:type="dxa"/>
            <w:tcBorders>
              <w:top w:val="nil"/>
              <w:left w:val="nil"/>
              <w:bottom w:val="single" w:sz="8" w:space="0" w:color="auto"/>
              <w:right w:val="single" w:sz="8" w:space="0" w:color="auto"/>
            </w:tcBorders>
            <w:shd w:val="clear" w:color="auto" w:fill="auto"/>
            <w:noWrap/>
            <w:vAlign w:val="center"/>
            <w:hideMark/>
          </w:tcPr>
          <w:p w14:paraId="3CE2D93D"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49.64</w:t>
            </w:r>
          </w:p>
        </w:tc>
      </w:tr>
      <w:tr w:rsidR="0004071A" w:rsidRPr="009A27ED" w14:paraId="550C1F7B" w14:textId="77777777" w:rsidTr="00101944">
        <w:trPr>
          <w:trHeight w:val="315"/>
          <w:jc w:val="center"/>
        </w:trPr>
        <w:tc>
          <w:tcPr>
            <w:tcW w:w="1420" w:type="dxa"/>
            <w:tcBorders>
              <w:top w:val="nil"/>
              <w:left w:val="single" w:sz="8" w:space="0" w:color="auto"/>
              <w:bottom w:val="single" w:sz="8" w:space="0" w:color="auto"/>
              <w:right w:val="single" w:sz="8" w:space="0" w:color="auto"/>
            </w:tcBorders>
            <w:shd w:val="clear" w:color="auto" w:fill="auto"/>
            <w:noWrap/>
            <w:vAlign w:val="center"/>
            <w:hideMark/>
          </w:tcPr>
          <w:p w14:paraId="642C62E3" w14:textId="03DE24DF" w:rsidR="0004071A" w:rsidRPr="009A27ED" w:rsidRDefault="00101944" w:rsidP="00AF66E5">
            <w:pPr>
              <w:spacing w:after="0"/>
              <w:rPr>
                <w:rFonts w:eastAsia="Times New Roman"/>
                <w:color w:val="000000"/>
                <w:sz w:val="20"/>
                <w:szCs w:val="20"/>
                <w:lang w:val="en-US"/>
              </w:rPr>
            </w:pPr>
            <w:r w:rsidRPr="009A27ED">
              <w:rPr>
                <w:rFonts w:eastAsia="Times New Roman"/>
                <w:color w:val="000000"/>
                <w:sz w:val="20"/>
                <w:szCs w:val="20"/>
              </w:rPr>
              <w:t>Área</w:t>
            </w:r>
            <w:r w:rsidR="0004071A" w:rsidRPr="009A27ED">
              <w:rPr>
                <w:rFonts w:eastAsia="Times New Roman"/>
                <w:color w:val="000000"/>
                <w:sz w:val="20"/>
                <w:szCs w:val="20"/>
              </w:rPr>
              <w:t xml:space="preserve"> 5</w:t>
            </w:r>
          </w:p>
        </w:tc>
        <w:tc>
          <w:tcPr>
            <w:tcW w:w="1420" w:type="dxa"/>
            <w:tcBorders>
              <w:top w:val="nil"/>
              <w:left w:val="nil"/>
              <w:bottom w:val="single" w:sz="8" w:space="0" w:color="auto"/>
              <w:right w:val="single" w:sz="8" w:space="0" w:color="auto"/>
            </w:tcBorders>
            <w:shd w:val="clear" w:color="auto" w:fill="auto"/>
            <w:noWrap/>
            <w:vAlign w:val="center"/>
            <w:hideMark/>
          </w:tcPr>
          <w:p w14:paraId="15DA8A84"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153,298.00</w:t>
            </w:r>
          </w:p>
        </w:tc>
        <w:tc>
          <w:tcPr>
            <w:tcW w:w="1420" w:type="dxa"/>
            <w:tcBorders>
              <w:top w:val="nil"/>
              <w:left w:val="nil"/>
              <w:bottom w:val="single" w:sz="8" w:space="0" w:color="auto"/>
              <w:right w:val="single" w:sz="8" w:space="0" w:color="auto"/>
            </w:tcBorders>
            <w:shd w:val="clear" w:color="auto" w:fill="auto"/>
            <w:noWrap/>
            <w:vAlign w:val="center"/>
            <w:hideMark/>
          </w:tcPr>
          <w:p w14:paraId="7C009A94"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79,646.00</w:t>
            </w:r>
          </w:p>
        </w:tc>
        <w:tc>
          <w:tcPr>
            <w:tcW w:w="900" w:type="dxa"/>
            <w:tcBorders>
              <w:top w:val="nil"/>
              <w:left w:val="nil"/>
              <w:bottom w:val="single" w:sz="8" w:space="0" w:color="auto"/>
              <w:right w:val="single" w:sz="8" w:space="0" w:color="auto"/>
            </w:tcBorders>
            <w:shd w:val="clear" w:color="auto" w:fill="auto"/>
            <w:noWrap/>
            <w:vAlign w:val="center"/>
            <w:hideMark/>
          </w:tcPr>
          <w:p w14:paraId="3E371B8C"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51.96</w:t>
            </w:r>
          </w:p>
        </w:tc>
        <w:tc>
          <w:tcPr>
            <w:tcW w:w="1380" w:type="dxa"/>
            <w:tcBorders>
              <w:top w:val="nil"/>
              <w:left w:val="nil"/>
              <w:bottom w:val="single" w:sz="8" w:space="0" w:color="auto"/>
              <w:right w:val="single" w:sz="8" w:space="0" w:color="auto"/>
            </w:tcBorders>
            <w:shd w:val="clear" w:color="auto" w:fill="auto"/>
            <w:noWrap/>
            <w:vAlign w:val="center"/>
            <w:hideMark/>
          </w:tcPr>
          <w:p w14:paraId="6328A665"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73,652.00</w:t>
            </w:r>
          </w:p>
        </w:tc>
        <w:tc>
          <w:tcPr>
            <w:tcW w:w="1420" w:type="dxa"/>
            <w:tcBorders>
              <w:top w:val="nil"/>
              <w:left w:val="nil"/>
              <w:bottom w:val="single" w:sz="8" w:space="0" w:color="auto"/>
              <w:right w:val="single" w:sz="8" w:space="0" w:color="auto"/>
            </w:tcBorders>
            <w:shd w:val="clear" w:color="auto" w:fill="auto"/>
            <w:noWrap/>
            <w:vAlign w:val="center"/>
            <w:hideMark/>
          </w:tcPr>
          <w:p w14:paraId="2984570C"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48.04</w:t>
            </w:r>
          </w:p>
        </w:tc>
      </w:tr>
      <w:tr w:rsidR="0004071A" w:rsidRPr="009A27ED" w14:paraId="759AEC98" w14:textId="77777777" w:rsidTr="00101944">
        <w:trPr>
          <w:trHeight w:val="315"/>
          <w:jc w:val="center"/>
        </w:trPr>
        <w:tc>
          <w:tcPr>
            <w:tcW w:w="1420" w:type="dxa"/>
            <w:tcBorders>
              <w:top w:val="nil"/>
              <w:left w:val="single" w:sz="8" w:space="0" w:color="auto"/>
              <w:bottom w:val="single" w:sz="8" w:space="0" w:color="auto"/>
              <w:right w:val="single" w:sz="8" w:space="0" w:color="auto"/>
            </w:tcBorders>
            <w:shd w:val="clear" w:color="auto" w:fill="auto"/>
            <w:noWrap/>
            <w:vAlign w:val="center"/>
            <w:hideMark/>
          </w:tcPr>
          <w:p w14:paraId="4D208D65" w14:textId="77777777" w:rsidR="0004071A" w:rsidRPr="009A27ED" w:rsidRDefault="0004071A" w:rsidP="00AF66E5">
            <w:pPr>
              <w:spacing w:after="0"/>
              <w:rPr>
                <w:rFonts w:eastAsia="Times New Roman"/>
                <w:b/>
                <w:bCs/>
                <w:i/>
                <w:iCs/>
                <w:color w:val="000000"/>
                <w:sz w:val="20"/>
                <w:szCs w:val="20"/>
                <w:lang w:val="en-US"/>
              </w:rPr>
            </w:pPr>
            <w:r w:rsidRPr="009A27ED">
              <w:rPr>
                <w:rFonts w:eastAsia="Times New Roman"/>
                <w:b/>
                <w:bCs/>
                <w:i/>
                <w:iCs/>
                <w:color w:val="000000"/>
                <w:sz w:val="20"/>
                <w:szCs w:val="20"/>
              </w:rPr>
              <w:t>Total</w:t>
            </w:r>
          </w:p>
        </w:tc>
        <w:tc>
          <w:tcPr>
            <w:tcW w:w="1420" w:type="dxa"/>
            <w:tcBorders>
              <w:top w:val="nil"/>
              <w:left w:val="nil"/>
              <w:bottom w:val="single" w:sz="8" w:space="0" w:color="auto"/>
              <w:right w:val="single" w:sz="8" w:space="0" w:color="auto"/>
            </w:tcBorders>
            <w:shd w:val="clear" w:color="auto" w:fill="auto"/>
            <w:noWrap/>
            <w:vAlign w:val="center"/>
            <w:hideMark/>
          </w:tcPr>
          <w:p w14:paraId="74DD421E" w14:textId="77777777" w:rsidR="0004071A" w:rsidRPr="009A27ED" w:rsidRDefault="0004071A" w:rsidP="00AF66E5">
            <w:pPr>
              <w:spacing w:after="0"/>
              <w:jc w:val="right"/>
              <w:rPr>
                <w:rFonts w:eastAsia="Times New Roman"/>
                <w:b/>
                <w:bCs/>
                <w:color w:val="000000"/>
                <w:sz w:val="20"/>
                <w:szCs w:val="20"/>
                <w:lang w:val="en-US"/>
              </w:rPr>
            </w:pPr>
            <w:r w:rsidRPr="009A27ED">
              <w:rPr>
                <w:rFonts w:eastAsia="Times New Roman"/>
                <w:b/>
                <w:bCs/>
                <w:color w:val="000000"/>
                <w:sz w:val="20"/>
                <w:szCs w:val="20"/>
                <w:lang w:val="en-US"/>
              </w:rPr>
              <w:t>1,413,783.00</w:t>
            </w:r>
          </w:p>
        </w:tc>
        <w:tc>
          <w:tcPr>
            <w:tcW w:w="1420" w:type="dxa"/>
            <w:tcBorders>
              <w:top w:val="nil"/>
              <w:left w:val="nil"/>
              <w:bottom w:val="single" w:sz="8" w:space="0" w:color="auto"/>
              <w:right w:val="single" w:sz="8" w:space="0" w:color="auto"/>
            </w:tcBorders>
            <w:shd w:val="clear" w:color="auto" w:fill="auto"/>
            <w:noWrap/>
            <w:vAlign w:val="center"/>
            <w:hideMark/>
          </w:tcPr>
          <w:p w14:paraId="673E5E59" w14:textId="77777777" w:rsidR="0004071A" w:rsidRPr="009A27ED" w:rsidRDefault="0004071A" w:rsidP="00AF66E5">
            <w:pPr>
              <w:spacing w:after="0"/>
              <w:jc w:val="right"/>
              <w:rPr>
                <w:rFonts w:eastAsia="Times New Roman"/>
                <w:b/>
                <w:bCs/>
                <w:color w:val="000000"/>
                <w:sz w:val="20"/>
                <w:szCs w:val="20"/>
                <w:lang w:val="en-US"/>
              </w:rPr>
            </w:pPr>
            <w:r w:rsidRPr="009A27ED">
              <w:rPr>
                <w:rFonts w:eastAsia="Times New Roman"/>
                <w:b/>
                <w:bCs/>
                <w:color w:val="000000"/>
                <w:sz w:val="20"/>
                <w:szCs w:val="20"/>
                <w:lang w:val="en-US"/>
              </w:rPr>
              <w:t>715,424.00</w:t>
            </w:r>
          </w:p>
        </w:tc>
        <w:tc>
          <w:tcPr>
            <w:tcW w:w="900" w:type="dxa"/>
            <w:tcBorders>
              <w:top w:val="nil"/>
              <w:left w:val="nil"/>
              <w:bottom w:val="single" w:sz="8" w:space="0" w:color="auto"/>
              <w:right w:val="single" w:sz="8" w:space="0" w:color="auto"/>
            </w:tcBorders>
            <w:shd w:val="clear" w:color="auto" w:fill="auto"/>
            <w:noWrap/>
            <w:vAlign w:val="center"/>
            <w:hideMark/>
          </w:tcPr>
          <w:p w14:paraId="5EB67A6F" w14:textId="77777777" w:rsidR="0004071A" w:rsidRPr="009A27ED" w:rsidRDefault="0004071A" w:rsidP="00AF66E5">
            <w:pPr>
              <w:spacing w:after="0"/>
              <w:jc w:val="right"/>
              <w:rPr>
                <w:rFonts w:eastAsia="Times New Roman"/>
                <w:b/>
                <w:bCs/>
                <w:color w:val="000000"/>
                <w:sz w:val="20"/>
                <w:szCs w:val="20"/>
                <w:lang w:val="en-US"/>
              </w:rPr>
            </w:pPr>
            <w:r w:rsidRPr="009A27ED">
              <w:rPr>
                <w:rFonts w:eastAsia="Times New Roman"/>
                <w:b/>
                <w:bCs/>
                <w:color w:val="000000"/>
                <w:sz w:val="20"/>
                <w:szCs w:val="20"/>
                <w:lang w:val="en-US"/>
              </w:rPr>
              <w:t>50.60</w:t>
            </w:r>
          </w:p>
        </w:tc>
        <w:tc>
          <w:tcPr>
            <w:tcW w:w="1380" w:type="dxa"/>
            <w:tcBorders>
              <w:top w:val="nil"/>
              <w:left w:val="nil"/>
              <w:bottom w:val="single" w:sz="8" w:space="0" w:color="auto"/>
              <w:right w:val="single" w:sz="8" w:space="0" w:color="auto"/>
            </w:tcBorders>
            <w:shd w:val="clear" w:color="auto" w:fill="auto"/>
            <w:noWrap/>
            <w:vAlign w:val="center"/>
            <w:hideMark/>
          </w:tcPr>
          <w:p w14:paraId="1983E911" w14:textId="77777777" w:rsidR="0004071A" w:rsidRPr="009A27ED" w:rsidRDefault="0004071A" w:rsidP="00AF66E5">
            <w:pPr>
              <w:spacing w:after="0"/>
              <w:jc w:val="right"/>
              <w:rPr>
                <w:rFonts w:eastAsia="Times New Roman"/>
                <w:b/>
                <w:bCs/>
                <w:color w:val="000000"/>
                <w:sz w:val="20"/>
                <w:szCs w:val="20"/>
                <w:lang w:val="en-US"/>
              </w:rPr>
            </w:pPr>
            <w:r w:rsidRPr="009A27ED">
              <w:rPr>
                <w:rFonts w:eastAsia="Times New Roman"/>
                <w:b/>
                <w:bCs/>
                <w:color w:val="000000"/>
                <w:sz w:val="20"/>
                <w:szCs w:val="20"/>
                <w:lang w:val="en-US"/>
              </w:rPr>
              <w:t>698,359.00</w:t>
            </w:r>
          </w:p>
        </w:tc>
        <w:tc>
          <w:tcPr>
            <w:tcW w:w="1420" w:type="dxa"/>
            <w:tcBorders>
              <w:top w:val="nil"/>
              <w:left w:val="nil"/>
              <w:bottom w:val="single" w:sz="8" w:space="0" w:color="auto"/>
              <w:right w:val="single" w:sz="8" w:space="0" w:color="auto"/>
            </w:tcBorders>
            <w:shd w:val="clear" w:color="auto" w:fill="auto"/>
            <w:noWrap/>
            <w:vAlign w:val="center"/>
            <w:hideMark/>
          </w:tcPr>
          <w:p w14:paraId="7490E480" w14:textId="77777777" w:rsidR="0004071A" w:rsidRPr="009A27ED" w:rsidRDefault="0004071A" w:rsidP="006A4C77">
            <w:pPr>
              <w:keepNext/>
              <w:spacing w:after="0"/>
              <w:jc w:val="right"/>
              <w:rPr>
                <w:rFonts w:eastAsia="Times New Roman"/>
                <w:b/>
                <w:bCs/>
                <w:color w:val="000000"/>
                <w:sz w:val="20"/>
                <w:szCs w:val="20"/>
                <w:lang w:val="en-US"/>
              </w:rPr>
            </w:pPr>
            <w:r w:rsidRPr="009A27ED">
              <w:rPr>
                <w:rFonts w:eastAsia="Times New Roman"/>
                <w:b/>
                <w:bCs/>
                <w:color w:val="000000"/>
                <w:sz w:val="20"/>
                <w:szCs w:val="20"/>
                <w:lang w:val="en-US"/>
              </w:rPr>
              <w:t>49.40</w:t>
            </w:r>
          </w:p>
        </w:tc>
      </w:tr>
    </w:tbl>
    <w:p w14:paraId="12B08A89" w14:textId="3560ABB4" w:rsidR="0004071A" w:rsidRPr="009A27ED" w:rsidRDefault="0004071A" w:rsidP="00E67CB0">
      <w:pPr>
        <w:pStyle w:val="Prrafodelista"/>
        <w:numPr>
          <w:ilvl w:val="0"/>
          <w:numId w:val="296"/>
        </w:numPr>
        <w:spacing w:before="120" w:after="0" w:line="360" w:lineRule="auto"/>
        <w:rPr>
          <w:b/>
          <w:szCs w:val="22"/>
          <w:lang w:val="es-MX"/>
        </w:rPr>
      </w:pPr>
      <w:r w:rsidRPr="009A27ED">
        <w:rPr>
          <w:rFonts w:ascii="Times New Roman" w:eastAsia="Times New Roman" w:hAnsi="Times New Roman"/>
          <w:b/>
          <w:sz w:val="24"/>
          <w:szCs w:val="22"/>
          <w:lang w:val="es-MX"/>
        </w:rPr>
        <w:t>Acceso a Servicios básicos de la Población áreas priorizadas (Educación, vivienda, agua y salud)</w:t>
      </w:r>
    </w:p>
    <w:p w14:paraId="19BF5D2C" w14:textId="6AEBC0D3" w:rsidR="0004071A" w:rsidRPr="009A27ED" w:rsidRDefault="0004071A" w:rsidP="005B6485">
      <w:pPr>
        <w:spacing w:before="120" w:after="0" w:line="360" w:lineRule="auto"/>
        <w:rPr>
          <w:szCs w:val="22"/>
          <w:lang w:val="es-MX"/>
        </w:rPr>
      </w:pPr>
      <w:r w:rsidRPr="009A27ED">
        <w:rPr>
          <w:rFonts w:ascii="Times New Roman" w:eastAsia="Times New Roman" w:hAnsi="Times New Roman"/>
          <w:sz w:val="24"/>
          <w:szCs w:val="22"/>
          <w:lang w:val="es-MX"/>
        </w:rPr>
        <w:lastRenderedPageBreak/>
        <w:t xml:space="preserve">El acceso a los servicios básicos como agua, salud, vivienda y educación definen en </w:t>
      </w:r>
      <w:r w:rsidR="006A4C77" w:rsidRPr="009A27ED">
        <w:rPr>
          <w:rFonts w:ascii="Times New Roman" w:eastAsia="Times New Roman" w:hAnsi="Times New Roman"/>
          <w:sz w:val="24"/>
          <w:szCs w:val="22"/>
          <w:lang w:val="es-MX"/>
        </w:rPr>
        <w:t>gran</w:t>
      </w:r>
      <w:r w:rsidRPr="009A27ED">
        <w:rPr>
          <w:rFonts w:ascii="Times New Roman" w:eastAsia="Times New Roman" w:hAnsi="Times New Roman"/>
          <w:sz w:val="24"/>
          <w:szCs w:val="22"/>
          <w:lang w:val="es-MX"/>
        </w:rPr>
        <w:t xml:space="preserve"> medida el nivel de pobreza de una población, En esta sección serán analizados esos indicadores en consonancia con las áreas priorizadas para las acciones REDD.</w:t>
      </w:r>
    </w:p>
    <w:p w14:paraId="5D662BB0" w14:textId="7E8D745F" w:rsidR="0004071A" w:rsidRPr="009A27ED" w:rsidRDefault="0004071A" w:rsidP="00E67CB0">
      <w:pPr>
        <w:pStyle w:val="Prrafodelista"/>
        <w:numPr>
          <w:ilvl w:val="0"/>
          <w:numId w:val="296"/>
        </w:numPr>
        <w:spacing w:before="120" w:after="0" w:line="360" w:lineRule="auto"/>
        <w:rPr>
          <w:b/>
          <w:szCs w:val="22"/>
          <w:lang w:val="es-MX"/>
        </w:rPr>
      </w:pPr>
      <w:r w:rsidRPr="009A27ED">
        <w:rPr>
          <w:rFonts w:ascii="Times New Roman" w:eastAsia="Times New Roman" w:hAnsi="Times New Roman"/>
          <w:b/>
          <w:sz w:val="24"/>
          <w:szCs w:val="22"/>
          <w:lang w:val="es-MX"/>
        </w:rPr>
        <w:t>Educación</w:t>
      </w:r>
    </w:p>
    <w:p w14:paraId="6FD997A6" w14:textId="36DE04D3" w:rsidR="0004071A" w:rsidRPr="009A27ED" w:rsidRDefault="0004071A" w:rsidP="005B6485">
      <w:pPr>
        <w:spacing w:before="120" w:after="0" w:line="360" w:lineRule="auto"/>
        <w:rPr>
          <w:szCs w:val="22"/>
          <w:lang w:val="es-MX"/>
        </w:rPr>
      </w:pPr>
      <w:r w:rsidRPr="009A27ED">
        <w:rPr>
          <w:rFonts w:ascii="Times New Roman" w:eastAsia="Times New Roman" w:hAnsi="Times New Roman"/>
          <w:sz w:val="24"/>
          <w:szCs w:val="22"/>
          <w:lang w:val="es-MX"/>
        </w:rPr>
        <w:t>Los índices de educación indican que en la medida en que aumenta la edad disminuye el nivel de analfabetismo, solo en el área, ya que los que tienen hasta 15 años tienen un 17% de analfabetismo y los que tiene más alcanzan un 5.7%, esto podría estar sustentado en el programa de alfabetización de adultos. El área tres es la que registra la mayor cantidad de centros educativos públicos y privados con un total de 563 públicos y 154 privados, aunque esta es la más grande de todas</w:t>
      </w:r>
      <w:r w:rsidR="0095454C" w:rsidRPr="009A27ED">
        <w:rPr>
          <w:rFonts w:ascii="Times New Roman" w:eastAsia="Times New Roman" w:hAnsi="Times New Roman"/>
          <w:sz w:val="24"/>
          <w:szCs w:val="22"/>
          <w:lang w:val="es-MX"/>
        </w:rPr>
        <w:t>. E</w:t>
      </w:r>
      <w:r w:rsidRPr="009A27ED">
        <w:rPr>
          <w:rFonts w:ascii="Times New Roman" w:eastAsia="Times New Roman" w:hAnsi="Times New Roman"/>
          <w:sz w:val="24"/>
          <w:szCs w:val="22"/>
          <w:lang w:val="es-MX"/>
        </w:rPr>
        <w:t xml:space="preserve">l área dos tiene la menor cantidad con solo 7 centros públicos y no existen centros privados, esta área está considerada como la que tiene los mayores índices de pobreza en la República Dominicana. </w:t>
      </w:r>
    </w:p>
    <w:p w14:paraId="456CD281" w14:textId="77777777" w:rsidR="00A25B98" w:rsidRPr="009A27ED" w:rsidRDefault="00A25B98" w:rsidP="00A25B98">
      <w:pPr>
        <w:pStyle w:val="Descripcin"/>
        <w:spacing w:line="360" w:lineRule="auto"/>
        <w:rPr>
          <w:color w:val="000000" w:themeColor="text1"/>
          <w:sz w:val="20"/>
        </w:rPr>
      </w:pPr>
      <w:bookmarkStart w:id="170" w:name="_Toc14014"/>
    </w:p>
    <w:p w14:paraId="32FD36BD" w14:textId="570B6E68" w:rsidR="00D12F9D" w:rsidRPr="009A27ED" w:rsidRDefault="00D12F9D" w:rsidP="00D12F9D">
      <w:pPr>
        <w:pStyle w:val="Descripcin"/>
        <w:keepNext/>
        <w:spacing w:line="360" w:lineRule="auto"/>
      </w:pPr>
      <w:bookmarkStart w:id="171" w:name="_Toc111887437"/>
      <w:bookmarkEnd w:id="170"/>
      <w:r w:rsidRPr="009A27ED">
        <w:rPr>
          <w:rFonts w:ascii="Times New Roman" w:eastAsia="Times New Roman" w:hAnsi="Times New Roman"/>
          <w:sz w:val="24"/>
        </w:rPr>
        <w:t xml:space="preserve">Cuadro </w:t>
      </w:r>
      <w:r w:rsidR="00F43DB6" w:rsidRPr="009A27ED">
        <w:rPr>
          <w:rFonts w:ascii="Times New Roman" w:eastAsia="Times New Roman" w:hAnsi="Times New Roman"/>
          <w:sz w:val="24"/>
        </w:rPr>
        <w:fldChar w:fldCharType="begin"/>
      </w:r>
      <w:r w:rsidR="00F43DB6" w:rsidRPr="009A27ED">
        <w:rPr>
          <w:rFonts w:ascii="Times New Roman" w:eastAsia="Times New Roman" w:hAnsi="Times New Roman"/>
          <w:sz w:val="24"/>
        </w:rPr>
        <w:instrText xml:space="preserve"> SEQ Cuadro \* ARABIC </w:instrText>
      </w:r>
      <w:r w:rsidR="00F43DB6"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27</w:t>
      </w:r>
      <w:r w:rsidR="00F43DB6" w:rsidRPr="009A27ED">
        <w:rPr>
          <w:rFonts w:ascii="Times New Roman" w:eastAsia="Times New Roman" w:hAnsi="Times New Roman"/>
          <w:sz w:val="24"/>
        </w:rPr>
        <w:fldChar w:fldCharType="end"/>
      </w:r>
      <w:r w:rsidRPr="009A27ED">
        <w:rPr>
          <w:rFonts w:ascii="Times New Roman" w:eastAsia="Times New Roman" w:hAnsi="Times New Roman"/>
          <w:color w:val="000000" w:themeColor="text1"/>
          <w:sz w:val="24"/>
        </w:rPr>
        <w:t>.  Niveles de educación en las áreas priorizadas</w:t>
      </w:r>
      <w:bookmarkEnd w:id="171"/>
    </w:p>
    <w:tbl>
      <w:tblPr>
        <w:tblW w:w="8126" w:type="dxa"/>
        <w:jc w:val="center"/>
        <w:tblLook w:val="04A0" w:firstRow="1" w:lastRow="0" w:firstColumn="1" w:lastColumn="0" w:noHBand="0" w:noVBand="1"/>
      </w:tblPr>
      <w:tblGrid>
        <w:gridCol w:w="898"/>
        <w:gridCol w:w="1999"/>
        <w:gridCol w:w="2181"/>
        <w:gridCol w:w="1758"/>
        <w:gridCol w:w="1290"/>
      </w:tblGrid>
      <w:tr w:rsidR="0004071A" w:rsidRPr="009A27ED" w14:paraId="50DDBD69" w14:textId="77777777" w:rsidTr="006A37E7">
        <w:trPr>
          <w:trHeight w:val="333"/>
          <w:jc w:val="center"/>
        </w:trPr>
        <w:tc>
          <w:tcPr>
            <w:tcW w:w="898" w:type="dxa"/>
            <w:tcBorders>
              <w:top w:val="single" w:sz="8" w:space="0" w:color="auto"/>
              <w:left w:val="single" w:sz="8" w:space="0" w:color="auto"/>
              <w:bottom w:val="single" w:sz="8" w:space="0" w:color="auto"/>
              <w:right w:val="single" w:sz="8" w:space="0" w:color="auto"/>
            </w:tcBorders>
            <w:shd w:val="clear" w:color="auto" w:fill="0070C0"/>
            <w:noWrap/>
            <w:vAlign w:val="center"/>
            <w:hideMark/>
          </w:tcPr>
          <w:p w14:paraId="099BAB40" w14:textId="77777777" w:rsidR="0004071A" w:rsidRPr="009A27ED" w:rsidRDefault="0004071A" w:rsidP="00AF66E5">
            <w:pPr>
              <w:spacing w:after="0"/>
              <w:rPr>
                <w:rFonts w:eastAsia="Times New Roman"/>
                <w:color w:val="FFFFFF" w:themeColor="background1"/>
                <w:sz w:val="20"/>
                <w:szCs w:val="20"/>
              </w:rPr>
            </w:pPr>
            <w:r w:rsidRPr="009A27ED">
              <w:rPr>
                <w:rFonts w:eastAsia="Times New Roman"/>
                <w:color w:val="FFFFFF" w:themeColor="background1"/>
                <w:sz w:val="20"/>
                <w:szCs w:val="20"/>
              </w:rPr>
              <w:t> </w:t>
            </w:r>
          </w:p>
        </w:tc>
        <w:tc>
          <w:tcPr>
            <w:tcW w:w="7228" w:type="dxa"/>
            <w:gridSpan w:val="4"/>
            <w:tcBorders>
              <w:top w:val="single" w:sz="8" w:space="0" w:color="auto"/>
              <w:left w:val="nil"/>
              <w:bottom w:val="single" w:sz="8" w:space="0" w:color="auto"/>
              <w:right w:val="single" w:sz="8" w:space="0" w:color="000000"/>
            </w:tcBorders>
            <w:shd w:val="clear" w:color="auto" w:fill="0070C0"/>
            <w:vAlign w:val="center"/>
            <w:hideMark/>
          </w:tcPr>
          <w:p w14:paraId="3405781D" w14:textId="77777777" w:rsidR="0004071A" w:rsidRPr="009A27ED" w:rsidRDefault="0004071A" w:rsidP="00AF66E5">
            <w:pPr>
              <w:spacing w:after="0"/>
              <w:jc w:val="center"/>
              <w:rPr>
                <w:rFonts w:eastAsia="Times New Roman"/>
                <w:b/>
                <w:bCs/>
                <w:color w:val="FFFFFF" w:themeColor="background1"/>
                <w:sz w:val="20"/>
                <w:szCs w:val="20"/>
              </w:rPr>
            </w:pPr>
            <w:r w:rsidRPr="009A27ED">
              <w:rPr>
                <w:rFonts w:eastAsia="Times New Roman"/>
                <w:b/>
                <w:bCs/>
                <w:color w:val="FFFFFF" w:themeColor="background1"/>
                <w:sz w:val="20"/>
                <w:szCs w:val="20"/>
              </w:rPr>
              <w:t xml:space="preserve">Educación </w:t>
            </w:r>
          </w:p>
        </w:tc>
      </w:tr>
      <w:tr w:rsidR="0004071A" w:rsidRPr="009A27ED" w14:paraId="3CC3F0E6" w14:textId="77777777" w:rsidTr="00D12F9D">
        <w:trPr>
          <w:trHeight w:val="333"/>
          <w:jc w:val="center"/>
        </w:trPr>
        <w:tc>
          <w:tcPr>
            <w:tcW w:w="898" w:type="dxa"/>
            <w:tcBorders>
              <w:top w:val="nil"/>
              <w:left w:val="single" w:sz="8" w:space="0" w:color="auto"/>
              <w:bottom w:val="single" w:sz="8" w:space="0" w:color="auto"/>
              <w:right w:val="single" w:sz="8" w:space="0" w:color="auto"/>
            </w:tcBorders>
            <w:vAlign w:val="center"/>
            <w:hideMark/>
          </w:tcPr>
          <w:p w14:paraId="65B84CEB" w14:textId="77777777" w:rsidR="0004071A" w:rsidRPr="009A27ED" w:rsidRDefault="0004071A" w:rsidP="00AF66E5">
            <w:pPr>
              <w:spacing w:after="0"/>
              <w:jc w:val="center"/>
              <w:rPr>
                <w:rFonts w:eastAsia="Times New Roman"/>
                <w:b/>
                <w:bCs/>
                <w:color w:val="000000"/>
                <w:sz w:val="20"/>
                <w:szCs w:val="20"/>
                <w:lang w:val="en-US"/>
              </w:rPr>
            </w:pPr>
            <w:r w:rsidRPr="009A27ED">
              <w:rPr>
                <w:rFonts w:eastAsia="Times New Roman"/>
                <w:b/>
                <w:bCs/>
                <w:color w:val="000000"/>
                <w:sz w:val="20"/>
                <w:szCs w:val="20"/>
              </w:rPr>
              <w:t>Área</w:t>
            </w:r>
          </w:p>
        </w:tc>
        <w:tc>
          <w:tcPr>
            <w:tcW w:w="1999" w:type="dxa"/>
            <w:tcBorders>
              <w:top w:val="nil"/>
              <w:left w:val="nil"/>
              <w:bottom w:val="single" w:sz="8" w:space="0" w:color="auto"/>
              <w:right w:val="single" w:sz="8" w:space="0" w:color="auto"/>
            </w:tcBorders>
            <w:vAlign w:val="center"/>
            <w:hideMark/>
          </w:tcPr>
          <w:p w14:paraId="6A6BC329" w14:textId="77777777" w:rsidR="0004071A" w:rsidRPr="009A27ED" w:rsidRDefault="0004071A" w:rsidP="00AF66E5">
            <w:pPr>
              <w:spacing w:after="0"/>
              <w:jc w:val="center"/>
              <w:rPr>
                <w:rFonts w:eastAsia="Times New Roman"/>
                <w:b/>
                <w:bCs/>
                <w:color w:val="000000"/>
                <w:sz w:val="20"/>
                <w:szCs w:val="20"/>
                <w:lang w:val="en-US"/>
              </w:rPr>
            </w:pPr>
            <w:proofErr w:type="spellStart"/>
            <w:r w:rsidRPr="009A27ED">
              <w:rPr>
                <w:rFonts w:eastAsia="Times New Roman"/>
                <w:b/>
                <w:bCs/>
                <w:color w:val="000000"/>
                <w:sz w:val="20"/>
                <w:szCs w:val="20"/>
                <w:lang w:val="en-US"/>
              </w:rPr>
              <w:t>Analfabetismo</w:t>
            </w:r>
            <w:proofErr w:type="spellEnd"/>
            <w:r w:rsidRPr="009A27ED">
              <w:rPr>
                <w:rFonts w:eastAsia="Times New Roman"/>
                <w:b/>
                <w:bCs/>
                <w:color w:val="000000"/>
                <w:sz w:val="20"/>
                <w:szCs w:val="20"/>
                <w:lang w:val="en-US"/>
              </w:rPr>
              <w:t xml:space="preserve"> población +15</w:t>
            </w:r>
          </w:p>
        </w:tc>
        <w:tc>
          <w:tcPr>
            <w:tcW w:w="2181" w:type="dxa"/>
            <w:tcBorders>
              <w:top w:val="nil"/>
              <w:left w:val="nil"/>
              <w:bottom w:val="single" w:sz="8" w:space="0" w:color="auto"/>
              <w:right w:val="single" w:sz="8" w:space="0" w:color="auto"/>
            </w:tcBorders>
            <w:vAlign w:val="center"/>
            <w:hideMark/>
          </w:tcPr>
          <w:p w14:paraId="432AFC66" w14:textId="77777777" w:rsidR="0004071A" w:rsidRPr="009A27ED" w:rsidRDefault="0004071A" w:rsidP="00AF66E5">
            <w:pPr>
              <w:spacing w:after="0"/>
              <w:jc w:val="center"/>
              <w:rPr>
                <w:rFonts w:eastAsia="Times New Roman"/>
                <w:b/>
                <w:bCs/>
                <w:color w:val="000000"/>
                <w:sz w:val="20"/>
                <w:szCs w:val="20"/>
              </w:rPr>
            </w:pPr>
            <w:r w:rsidRPr="009A27ED">
              <w:rPr>
                <w:rFonts w:eastAsia="Times New Roman"/>
                <w:b/>
                <w:bCs/>
                <w:color w:val="000000"/>
                <w:sz w:val="20"/>
                <w:szCs w:val="20"/>
              </w:rPr>
              <w:t>Analfabetismo población entre 15 y 24 años</w:t>
            </w:r>
          </w:p>
        </w:tc>
        <w:tc>
          <w:tcPr>
            <w:tcW w:w="1758" w:type="dxa"/>
            <w:tcBorders>
              <w:top w:val="nil"/>
              <w:left w:val="nil"/>
              <w:bottom w:val="single" w:sz="8" w:space="0" w:color="auto"/>
              <w:right w:val="single" w:sz="8" w:space="0" w:color="auto"/>
            </w:tcBorders>
            <w:vAlign w:val="center"/>
            <w:hideMark/>
          </w:tcPr>
          <w:p w14:paraId="63219C3C" w14:textId="77777777" w:rsidR="0004071A" w:rsidRPr="009A27ED" w:rsidRDefault="0004071A" w:rsidP="00AF66E5">
            <w:pPr>
              <w:spacing w:after="0"/>
              <w:jc w:val="center"/>
              <w:rPr>
                <w:rFonts w:eastAsia="Times New Roman"/>
                <w:b/>
                <w:bCs/>
                <w:color w:val="000000"/>
                <w:sz w:val="20"/>
                <w:szCs w:val="20"/>
              </w:rPr>
            </w:pPr>
            <w:r w:rsidRPr="009A27ED">
              <w:rPr>
                <w:rFonts w:eastAsia="Times New Roman"/>
                <w:b/>
                <w:bCs/>
                <w:color w:val="000000"/>
                <w:sz w:val="20"/>
                <w:szCs w:val="20"/>
              </w:rPr>
              <w:t>Centros escolares públicos</w:t>
            </w:r>
          </w:p>
        </w:tc>
        <w:tc>
          <w:tcPr>
            <w:tcW w:w="1290" w:type="dxa"/>
            <w:tcBorders>
              <w:top w:val="nil"/>
              <w:left w:val="nil"/>
              <w:bottom w:val="single" w:sz="8" w:space="0" w:color="auto"/>
              <w:right w:val="single" w:sz="8" w:space="0" w:color="auto"/>
            </w:tcBorders>
            <w:vAlign w:val="center"/>
            <w:hideMark/>
          </w:tcPr>
          <w:p w14:paraId="1B739911" w14:textId="77777777" w:rsidR="0004071A" w:rsidRPr="009A27ED" w:rsidRDefault="0004071A" w:rsidP="00AF66E5">
            <w:pPr>
              <w:spacing w:after="0"/>
              <w:jc w:val="center"/>
              <w:rPr>
                <w:rFonts w:eastAsia="Times New Roman"/>
                <w:b/>
                <w:bCs/>
                <w:color w:val="000000"/>
                <w:sz w:val="20"/>
                <w:szCs w:val="20"/>
              </w:rPr>
            </w:pPr>
            <w:r w:rsidRPr="009A27ED">
              <w:rPr>
                <w:rFonts w:eastAsia="Times New Roman"/>
                <w:b/>
                <w:bCs/>
                <w:color w:val="000000"/>
                <w:sz w:val="20"/>
                <w:szCs w:val="20"/>
              </w:rPr>
              <w:t>Centros escolares privados</w:t>
            </w:r>
          </w:p>
        </w:tc>
      </w:tr>
      <w:tr w:rsidR="0004071A" w:rsidRPr="009A27ED" w14:paraId="7655C08B" w14:textId="77777777" w:rsidTr="00D12F9D">
        <w:trPr>
          <w:trHeight w:val="333"/>
          <w:jc w:val="center"/>
        </w:trPr>
        <w:tc>
          <w:tcPr>
            <w:tcW w:w="898" w:type="dxa"/>
            <w:tcBorders>
              <w:top w:val="nil"/>
              <w:left w:val="single" w:sz="8" w:space="0" w:color="auto"/>
              <w:bottom w:val="single" w:sz="8" w:space="0" w:color="auto"/>
              <w:right w:val="single" w:sz="8" w:space="0" w:color="auto"/>
            </w:tcBorders>
            <w:noWrap/>
            <w:vAlign w:val="center"/>
            <w:hideMark/>
          </w:tcPr>
          <w:p w14:paraId="43FD8B96" w14:textId="77777777" w:rsidR="0004071A" w:rsidRPr="009A27ED" w:rsidRDefault="0004071A" w:rsidP="00AF66E5">
            <w:pPr>
              <w:spacing w:after="0"/>
              <w:rPr>
                <w:rFonts w:eastAsia="Times New Roman"/>
                <w:color w:val="000000"/>
                <w:sz w:val="20"/>
                <w:szCs w:val="20"/>
                <w:lang w:val="en-US"/>
              </w:rPr>
            </w:pPr>
            <w:r w:rsidRPr="009A27ED">
              <w:rPr>
                <w:rFonts w:eastAsia="Times New Roman"/>
                <w:color w:val="000000"/>
                <w:sz w:val="20"/>
                <w:szCs w:val="20"/>
              </w:rPr>
              <w:t>Área 1</w:t>
            </w:r>
          </w:p>
        </w:tc>
        <w:tc>
          <w:tcPr>
            <w:tcW w:w="1999" w:type="dxa"/>
            <w:tcBorders>
              <w:top w:val="nil"/>
              <w:left w:val="nil"/>
              <w:bottom w:val="single" w:sz="8" w:space="0" w:color="auto"/>
              <w:right w:val="single" w:sz="8" w:space="0" w:color="auto"/>
            </w:tcBorders>
            <w:noWrap/>
            <w:vAlign w:val="center"/>
            <w:hideMark/>
          </w:tcPr>
          <w:p w14:paraId="70E0BFC6"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28.6</w:t>
            </w:r>
          </w:p>
        </w:tc>
        <w:tc>
          <w:tcPr>
            <w:tcW w:w="2181" w:type="dxa"/>
            <w:tcBorders>
              <w:top w:val="nil"/>
              <w:left w:val="nil"/>
              <w:bottom w:val="single" w:sz="8" w:space="0" w:color="auto"/>
              <w:right w:val="single" w:sz="8" w:space="0" w:color="auto"/>
            </w:tcBorders>
            <w:noWrap/>
            <w:vAlign w:val="center"/>
            <w:hideMark/>
          </w:tcPr>
          <w:p w14:paraId="7929F74D"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9.71</w:t>
            </w:r>
          </w:p>
        </w:tc>
        <w:tc>
          <w:tcPr>
            <w:tcW w:w="1758" w:type="dxa"/>
            <w:tcBorders>
              <w:top w:val="nil"/>
              <w:left w:val="nil"/>
              <w:bottom w:val="single" w:sz="8" w:space="0" w:color="auto"/>
              <w:right w:val="single" w:sz="8" w:space="0" w:color="auto"/>
            </w:tcBorders>
            <w:noWrap/>
            <w:vAlign w:val="center"/>
            <w:hideMark/>
          </w:tcPr>
          <w:p w14:paraId="5A014639"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35</w:t>
            </w:r>
          </w:p>
        </w:tc>
        <w:tc>
          <w:tcPr>
            <w:tcW w:w="1290" w:type="dxa"/>
            <w:tcBorders>
              <w:top w:val="nil"/>
              <w:left w:val="nil"/>
              <w:bottom w:val="single" w:sz="8" w:space="0" w:color="auto"/>
              <w:right w:val="single" w:sz="8" w:space="0" w:color="auto"/>
            </w:tcBorders>
            <w:noWrap/>
            <w:vAlign w:val="center"/>
            <w:hideMark/>
          </w:tcPr>
          <w:p w14:paraId="7DEFDF48" w14:textId="77777777" w:rsidR="0004071A" w:rsidRPr="009A27ED" w:rsidRDefault="0004071A" w:rsidP="00AF66E5">
            <w:pPr>
              <w:spacing w:after="0"/>
              <w:jc w:val="right"/>
              <w:rPr>
                <w:rFonts w:eastAsia="Times New Roman"/>
                <w:b/>
                <w:sz w:val="20"/>
                <w:szCs w:val="20"/>
                <w:lang w:val="en-US"/>
              </w:rPr>
            </w:pPr>
            <w:r w:rsidRPr="009A27ED">
              <w:rPr>
                <w:rFonts w:eastAsia="Times New Roman"/>
                <w:b/>
                <w:sz w:val="20"/>
                <w:szCs w:val="20"/>
                <w:lang w:val="en-US"/>
              </w:rPr>
              <w:t>8</w:t>
            </w:r>
          </w:p>
        </w:tc>
      </w:tr>
      <w:tr w:rsidR="0004071A" w:rsidRPr="009A27ED" w14:paraId="1E2C26F8" w14:textId="77777777" w:rsidTr="00D12F9D">
        <w:trPr>
          <w:trHeight w:val="333"/>
          <w:jc w:val="center"/>
        </w:trPr>
        <w:tc>
          <w:tcPr>
            <w:tcW w:w="898" w:type="dxa"/>
            <w:tcBorders>
              <w:top w:val="nil"/>
              <w:left w:val="single" w:sz="8" w:space="0" w:color="auto"/>
              <w:bottom w:val="single" w:sz="8" w:space="0" w:color="auto"/>
              <w:right w:val="single" w:sz="8" w:space="0" w:color="auto"/>
            </w:tcBorders>
            <w:noWrap/>
            <w:vAlign w:val="center"/>
            <w:hideMark/>
          </w:tcPr>
          <w:p w14:paraId="52C88A35" w14:textId="77777777" w:rsidR="0004071A" w:rsidRPr="009A27ED" w:rsidRDefault="0004071A" w:rsidP="00AF66E5">
            <w:pPr>
              <w:spacing w:after="0"/>
              <w:rPr>
                <w:rFonts w:eastAsia="Times New Roman"/>
                <w:color w:val="000000"/>
                <w:sz w:val="20"/>
                <w:szCs w:val="20"/>
                <w:lang w:val="en-US"/>
              </w:rPr>
            </w:pPr>
            <w:r w:rsidRPr="009A27ED">
              <w:rPr>
                <w:rFonts w:eastAsia="Times New Roman"/>
                <w:color w:val="000000"/>
                <w:sz w:val="20"/>
                <w:szCs w:val="20"/>
              </w:rPr>
              <w:t>Área 2</w:t>
            </w:r>
          </w:p>
        </w:tc>
        <w:tc>
          <w:tcPr>
            <w:tcW w:w="1999" w:type="dxa"/>
            <w:tcBorders>
              <w:top w:val="nil"/>
              <w:left w:val="nil"/>
              <w:bottom w:val="single" w:sz="8" w:space="0" w:color="auto"/>
              <w:right w:val="single" w:sz="8" w:space="0" w:color="auto"/>
            </w:tcBorders>
            <w:noWrap/>
            <w:vAlign w:val="center"/>
            <w:hideMark/>
          </w:tcPr>
          <w:p w14:paraId="726AFAE1"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41.1</w:t>
            </w:r>
          </w:p>
        </w:tc>
        <w:tc>
          <w:tcPr>
            <w:tcW w:w="2181" w:type="dxa"/>
            <w:tcBorders>
              <w:top w:val="nil"/>
              <w:left w:val="nil"/>
              <w:bottom w:val="single" w:sz="8" w:space="0" w:color="auto"/>
              <w:right w:val="single" w:sz="8" w:space="0" w:color="auto"/>
            </w:tcBorders>
            <w:noWrap/>
            <w:vAlign w:val="center"/>
            <w:hideMark/>
          </w:tcPr>
          <w:p w14:paraId="0D276B99"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33.8</w:t>
            </w:r>
          </w:p>
        </w:tc>
        <w:tc>
          <w:tcPr>
            <w:tcW w:w="1758" w:type="dxa"/>
            <w:tcBorders>
              <w:top w:val="nil"/>
              <w:left w:val="nil"/>
              <w:bottom w:val="single" w:sz="8" w:space="0" w:color="auto"/>
              <w:right w:val="single" w:sz="8" w:space="0" w:color="auto"/>
            </w:tcBorders>
            <w:noWrap/>
            <w:vAlign w:val="center"/>
            <w:hideMark/>
          </w:tcPr>
          <w:p w14:paraId="3C5788C0"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7</w:t>
            </w:r>
          </w:p>
        </w:tc>
        <w:tc>
          <w:tcPr>
            <w:tcW w:w="1290" w:type="dxa"/>
            <w:tcBorders>
              <w:top w:val="nil"/>
              <w:left w:val="nil"/>
              <w:bottom w:val="single" w:sz="8" w:space="0" w:color="auto"/>
              <w:right w:val="single" w:sz="8" w:space="0" w:color="auto"/>
            </w:tcBorders>
            <w:noWrap/>
            <w:vAlign w:val="center"/>
            <w:hideMark/>
          </w:tcPr>
          <w:p w14:paraId="05260220"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0</w:t>
            </w:r>
          </w:p>
        </w:tc>
      </w:tr>
      <w:tr w:rsidR="0004071A" w:rsidRPr="009A27ED" w14:paraId="156E1669" w14:textId="77777777" w:rsidTr="00D12F9D">
        <w:trPr>
          <w:trHeight w:val="333"/>
          <w:jc w:val="center"/>
        </w:trPr>
        <w:tc>
          <w:tcPr>
            <w:tcW w:w="898" w:type="dxa"/>
            <w:tcBorders>
              <w:top w:val="single" w:sz="8" w:space="0" w:color="auto"/>
              <w:left w:val="single" w:sz="8" w:space="0" w:color="auto"/>
              <w:bottom w:val="single" w:sz="8" w:space="0" w:color="auto"/>
              <w:right w:val="single" w:sz="8" w:space="0" w:color="auto"/>
            </w:tcBorders>
            <w:noWrap/>
            <w:vAlign w:val="center"/>
            <w:hideMark/>
          </w:tcPr>
          <w:p w14:paraId="1EDFCB6B" w14:textId="77777777" w:rsidR="0004071A" w:rsidRPr="009A27ED" w:rsidRDefault="0004071A" w:rsidP="00AF66E5">
            <w:pPr>
              <w:spacing w:after="0"/>
              <w:rPr>
                <w:rFonts w:eastAsia="Times New Roman"/>
                <w:color w:val="000000"/>
                <w:sz w:val="20"/>
                <w:szCs w:val="20"/>
                <w:lang w:val="en-US"/>
              </w:rPr>
            </w:pPr>
            <w:r w:rsidRPr="009A27ED">
              <w:rPr>
                <w:rFonts w:eastAsia="Times New Roman"/>
                <w:color w:val="000000"/>
                <w:sz w:val="20"/>
                <w:szCs w:val="20"/>
              </w:rPr>
              <w:t>Área 3</w:t>
            </w:r>
          </w:p>
        </w:tc>
        <w:tc>
          <w:tcPr>
            <w:tcW w:w="1999" w:type="dxa"/>
            <w:tcBorders>
              <w:top w:val="single" w:sz="8" w:space="0" w:color="auto"/>
              <w:left w:val="nil"/>
              <w:bottom w:val="single" w:sz="8" w:space="0" w:color="auto"/>
              <w:right w:val="single" w:sz="8" w:space="0" w:color="auto"/>
            </w:tcBorders>
            <w:noWrap/>
            <w:vAlign w:val="center"/>
            <w:hideMark/>
          </w:tcPr>
          <w:p w14:paraId="0A8B7AC0"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23.2</w:t>
            </w:r>
          </w:p>
        </w:tc>
        <w:tc>
          <w:tcPr>
            <w:tcW w:w="2181" w:type="dxa"/>
            <w:tcBorders>
              <w:top w:val="single" w:sz="8" w:space="0" w:color="auto"/>
              <w:left w:val="nil"/>
              <w:bottom w:val="single" w:sz="8" w:space="0" w:color="auto"/>
              <w:right w:val="single" w:sz="8" w:space="0" w:color="auto"/>
            </w:tcBorders>
            <w:noWrap/>
            <w:vAlign w:val="center"/>
            <w:hideMark/>
          </w:tcPr>
          <w:p w14:paraId="23F0D80A"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6.1</w:t>
            </w:r>
          </w:p>
        </w:tc>
        <w:tc>
          <w:tcPr>
            <w:tcW w:w="1758" w:type="dxa"/>
            <w:tcBorders>
              <w:top w:val="single" w:sz="8" w:space="0" w:color="auto"/>
              <w:left w:val="nil"/>
              <w:bottom w:val="single" w:sz="8" w:space="0" w:color="auto"/>
              <w:right w:val="single" w:sz="8" w:space="0" w:color="auto"/>
            </w:tcBorders>
            <w:noWrap/>
            <w:vAlign w:val="center"/>
            <w:hideMark/>
          </w:tcPr>
          <w:p w14:paraId="699CCBA0"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563</w:t>
            </w:r>
          </w:p>
        </w:tc>
        <w:tc>
          <w:tcPr>
            <w:tcW w:w="1290" w:type="dxa"/>
            <w:tcBorders>
              <w:top w:val="single" w:sz="8" w:space="0" w:color="auto"/>
              <w:left w:val="nil"/>
              <w:bottom w:val="single" w:sz="8" w:space="0" w:color="auto"/>
              <w:right w:val="single" w:sz="8" w:space="0" w:color="auto"/>
            </w:tcBorders>
            <w:noWrap/>
            <w:vAlign w:val="center"/>
            <w:hideMark/>
          </w:tcPr>
          <w:p w14:paraId="3F3CAAB7"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154</w:t>
            </w:r>
          </w:p>
        </w:tc>
      </w:tr>
      <w:tr w:rsidR="0004071A" w:rsidRPr="009A27ED" w14:paraId="382B954B" w14:textId="77777777" w:rsidTr="00D12F9D">
        <w:trPr>
          <w:trHeight w:val="333"/>
          <w:jc w:val="center"/>
        </w:trPr>
        <w:tc>
          <w:tcPr>
            <w:tcW w:w="898" w:type="dxa"/>
            <w:tcBorders>
              <w:top w:val="nil"/>
              <w:left w:val="single" w:sz="8" w:space="0" w:color="auto"/>
              <w:bottom w:val="single" w:sz="8" w:space="0" w:color="auto"/>
              <w:right w:val="single" w:sz="8" w:space="0" w:color="auto"/>
            </w:tcBorders>
            <w:noWrap/>
            <w:vAlign w:val="center"/>
            <w:hideMark/>
          </w:tcPr>
          <w:p w14:paraId="3B5E6B26" w14:textId="77777777" w:rsidR="0004071A" w:rsidRPr="009A27ED" w:rsidRDefault="0004071A" w:rsidP="00AF66E5">
            <w:pPr>
              <w:spacing w:after="0"/>
              <w:rPr>
                <w:rFonts w:eastAsia="Times New Roman"/>
                <w:color w:val="000000"/>
                <w:sz w:val="20"/>
                <w:szCs w:val="20"/>
                <w:lang w:val="en-US"/>
              </w:rPr>
            </w:pPr>
            <w:r w:rsidRPr="009A27ED">
              <w:rPr>
                <w:rFonts w:eastAsia="Times New Roman"/>
                <w:color w:val="000000"/>
                <w:sz w:val="20"/>
                <w:szCs w:val="20"/>
              </w:rPr>
              <w:t>Área 4</w:t>
            </w:r>
          </w:p>
        </w:tc>
        <w:tc>
          <w:tcPr>
            <w:tcW w:w="1999" w:type="dxa"/>
            <w:tcBorders>
              <w:top w:val="nil"/>
              <w:left w:val="nil"/>
              <w:bottom w:val="single" w:sz="8" w:space="0" w:color="auto"/>
              <w:right w:val="single" w:sz="8" w:space="0" w:color="auto"/>
            </w:tcBorders>
            <w:noWrap/>
            <w:vAlign w:val="center"/>
            <w:hideMark/>
          </w:tcPr>
          <w:p w14:paraId="304162B4"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13.36</w:t>
            </w:r>
          </w:p>
        </w:tc>
        <w:tc>
          <w:tcPr>
            <w:tcW w:w="2181" w:type="dxa"/>
            <w:tcBorders>
              <w:top w:val="nil"/>
              <w:left w:val="nil"/>
              <w:bottom w:val="single" w:sz="8" w:space="0" w:color="auto"/>
              <w:right w:val="single" w:sz="8" w:space="0" w:color="auto"/>
            </w:tcBorders>
            <w:noWrap/>
            <w:vAlign w:val="center"/>
            <w:hideMark/>
          </w:tcPr>
          <w:p w14:paraId="57745B52"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4.56</w:t>
            </w:r>
          </w:p>
        </w:tc>
        <w:tc>
          <w:tcPr>
            <w:tcW w:w="1758" w:type="dxa"/>
            <w:tcBorders>
              <w:top w:val="nil"/>
              <w:left w:val="nil"/>
              <w:bottom w:val="single" w:sz="8" w:space="0" w:color="auto"/>
              <w:right w:val="single" w:sz="8" w:space="0" w:color="auto"/>
            </w:tcBorders>
            <w:noWrap/>
            <w:vAlign w:val="center"/>
            <w:hideMark/>
          </w:tcPr>
          <w:p w14:paraId="25E04104"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292</w:t>
            </w:r>
          </w:p>
        </w:tc>
        <w:tc>
          <w:tcPr>
            <w:tcW w:w="1290" w:type="dxa"/>
            <w:tcBorders>
              <w:top w:val="nil"/>
              <w:left w:val="nil"/>
              <w:bottom w:val="single" w:sz="8" w:space="0" w:color="auto"/>
              <w:right w:val="single" w:sz="8" w:space="0" w:color="auto"/>
            </w:tcBorders>
            <w:noWrap/>
            <w:vAlign w:val="center"/>
            <w:hideMark/>
          </w:tcPr>
          <w:p w14:paraId="272B0355"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49</w:t>
            </w:r>
          </w:p>
        </w:tc>
      </w:tr>
      <w:tr w:rsidR="0004071A" w:rsidRPr="009A27ED" w14:paraId="3AFA871B" w14:textId="77777777" w:rsidTr="00D12F9D">
        <w:trPr>
          <w:trHeight w:val="333"/>
          <w:jc w:val="center"/>
        </w:trPr>
        <w:tc>
          <w:tcPr>
            <w:tcW w:w="898" w:type="dxa"/>
            <w:tcBorders>
              <w:top w:val="nil"/>
              <w:left w:val="single" w:sz="8" w:space="0" w:color="auto"/>
              <w:bottom w:val="single" w:sz="8" w:space="0" w:color="auto"/>
              <w:right w:val="single" w:sz="8" w:space="0" w:color="auto"/>
            </w:tcBorders>
            <w:noWrap/>
            <w:vAlign w:val="center"/>
            <w:hideMark/>
          </w:tcPr>
          <w:p w14:paraId="7B0B27AC" w14:textId="77777777" w:rsidR="0004071A" w:rsidRPr="009A27ED" w:rsidRDefault="0004071A" w:rsidP="00AF66E5">
            <w:pPr>
              <w:spacing w:after="0"/>
              <w:rPr>
                <w:rFonts w:eastAsia="Times New Roman"/>
                <w:color w:val="000000"/>
                <w:sz w:val="20"/>
                <w:szCs w:val="20"/>
                <w:lang w:val="en-US"/>
              </w:rPr>
            </w:pPr>
            <w:r w:rsidRPr="009A27ED">
              <w:rPr>
                <w:rFonts w:eastAsia="Times New Roman"/>
                <w:color w:val="000000"/>
                <w:sz w:val="20"/>
                <w:szCs w:val="20"/>
              </w:rPr>
              <w:t>Área 5</w:t>
            </w:r>
          </w:p>
        </w:tc>
        <w:tc>
          <w:tcPr>
            <w:tcW w:w="1999" w:type="dxa"/>
            <w:tcBorders>
              <w:top w:val="nil"/>
              <w:left w:val="nil"/>
              <w:bottom w:val="single" w:sz="8" w:space="0" w:color="auto"/>
              <w:right w:val="single" w:sz="8" w:space="0" w:color="auto"/>
            </w:tcBorders>
            <w:noWrap/>
            <w:vAlign w:val="center"/>
            <w:hideMark/>
          </w:tcPr>
          <w:p w14:paraId="75FDF1FC"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17.22</w:t>
            </w:r>
          </w:p>
        </w:tc>
        <w:tc>
          <w:tcPr>
            <w:tcW w:w="2181" w:type="dxa"/>
            <w:tcBorders>
              <w:top w:val="nil"/>
              <w:left w:val="nil"/>
              <w:bottom w:val="single" w:sz="8" w:space="0" w:color="auto"/>
              <w:right w:val="single" w:sz="8" w:space="0" w:color="auto"/>
            </w:tcBorders>
            <w:noWrap/>
            <w:vAlign w:val="center"/>
            <w:hideMark/>
          </w:tcPr>
          <w:p w14:paraId="2A393E2B"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5.7</w:t>
            </w:r>
          </w:p>
        </w:tc>
        <w:tc>
          <w:tcPr>
            <w:tcW w:w="1758" w:type="dxa"/>
            <w:tcBorders>
              <w:top w:val="nil"/>
              <w:left w:val="nil"/>
              <w:bottom w:val="single" w:sz="8" w:space="0" w:color="auto"/>
              <w:right w:val="single" w:sz="8" w:space="0" w:color="auto"/>
            </w:tcBorders>
            <w:noWrap/>
            <w:vAlign w:val="center"/>
            <w:hideMark/>
          </w:tcPr>
          <w:p w14:paraId="7112C791"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168</w:t>
            </w:r>
          </w:p>
        </w:tc>
        <w:tc>
          <w:tcPr>
            <w:tcW w:w="1290" w:type="dxa"/>
            <w:tcBorders>
              <w:top w:val="nil"/>
              <w:left w:val="nil"/>
              <w:bottom w:val="single" w:sz="8" w:space="0" w:color="auto"/>
              <w:right w:val="single" w:sz="8" w:space="0" w:color="auto"/>
            </w:tcBorders>
            <w:noWrap/>
            <w:vAlign w:val="center"/>
            <w:hideMark/>
          </w:tcPr>
          <w:p w14:paraId="787EFE9B"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9</w:t>
            </w:r>
          </w:p>
        </w:tc>
      </w:tr>
      <w:tr w:rsidR="0004071A" w:rsidRPr="009A27ED" w14:paraId="2491BF6E" w14:textId="77777777" w:rsidTr="00D12F9D">
        <w:trPr>
          <w:trHeight w:val="333"/>
          <w:jc w:val="center"/>
        </w:trPr>
        <w:tc>
          <w:tcPr>
            <w:tcW w:w="898" w:type="dxa"/>
            <w:tcBorders>
              <w:top w:val="nil"/>
              <w:left w:val="single" w:sz="8" w:space="0" w:color="auto"/>
              <w:bottom w:val="single" w:sz="8" w:space="0" w:color="auto"/>
              <w:right w:val="single" w:sz="8" w:space="0" w:color="auto"/>
            </w:tcBorders>
            <w:noWrap/>
            <w:vAlign w:val="center"/>
            <w:hideMark/>
          </w:tcPr>
          <w:p w14:paraId="381DE7F5" w14:textId="77777777" w:rsidR="0004071A" w:rsidRPr="009A27ED" w:rsidRDefault="0004071A" w:rsidP="00AF66E5">
            <w:pPr>
              <w:spacing w:after="0"/>
              <w:rPr>
                <w:rFonts w:eastAsia="Times New Roman"/>
                <w:b/>
                <w:bCs/>
                <w:i/>
                <w:iCs/>
                <w:color w:val="000000"/>
                <w:sz w:val="20"/>
                <w:szCs w:val="20"/>
                <w:lang w:val="en-US"/>
              </w:rPr>
            </w:pPr>
            <w:r w:rsidRPr="009A27ED">
              <w:rPr>
                <w:rFonts w:eastAsia="Times New Roman"/>
                <w:b/>
                <w:bCs/>
                <w:i/>
                <w:iCs/>
                <w:color w:val="000000"/>
                <w:sz w:val="20"/>
                <w:szCs w:val="20"/>
              </w:rPr>
              <w:t>Total</w:t>
            </w:r>
          </w:p>
        </w:tc>
        <w:tc>
          <w:tcPr>
            <w:tcW w:w="1999" w:type="dxa"/>
            <w:tcBorders>
              <w:top w:val="nil"/>
              <w:left w:val="nil"/>
              <w:bottom w:val="single" w:sz="8" w:space="0" w:color="auto"/>
              <w:right w:val="single" w:sz="8" w:space="0" w:color="auto"/>
            </w:tcBorders>
            <w:noWrap/>
            <w:vAlign w:val="center"/>
            <w:hideMark/>
          </w:tcPr>
          <w:p w14:paraId="6E5870FA" w14:textId="77777777" w:rsidR="0004071A" w:rsidRPr="009A27ED" w:rsidRDefault="0004071A" w:rsidP="00AF66E5">
            <w:pPr>
              <w:spacing w:after="0"/>
              <w:jc w:val="right"/>
              <w:rPr>
                <w:rFonts w:eastAsia="Times New Roman"/>
                <w:b/>
                <w:bCs/>
                <w:i/>
                <w:color w:val="000000"/>
                <w:sz w:val="20"/>
                <w:szCs w:val="20"/>
                <w:lang w:val="en-US"/>
              </w:rPr>
            </w:pPr>
            <w:r w:rsidRPr="009A27ED">
              <w:rPr>
                <w:rFonts w:eastAsia="Times New Roman"/>
                <w:b/>
                <w:bCs/>
                <w:i/>
                <w:color w:val="000000"/>
                <w:sz w:val="20"/>
                <w:szCs w:val="20"/>
                <w:lang w:val="en-US"/>
              </w:rPr>
              <w:t>24.69</w:t>
            </w:r>
          </w:p>
        </w:tc>
        <w:tc>
          <w:tcPr>
            <w:tcW w:w="2181" w:type="dxa"/>
            <w:tcBorders>
              <w:top w:val="nil"/>
              <w:left w:val="nil"/>
              <w:bottom w:val="single" w:sz="8" w:space="0" w:color="auto"/>
              <w:right w:val="single" w:sz="8" w:space="0" w:color="auto"/>
            </w:tcBorders>
            <w:noWrap/>
            <w:vAlign w:val="center"/>
            <w:hideMark/>
          </w:tcPr>
          <w:p w14:paraId="51F311E4" w14:textId="77777777" w:rsidR="0004071A" w:rsidRPr="009A27ED" w:rsidRDefault="0004071A" w:rsidP="00AF66E5">
            <w:pPr>
              <w:spacing w:after="0"/>
              <w:jc w:val="right"/>
              <w:rPr>
                <w:rFonts w:eastAsia="Times New Roman"/>
                <w:b/>
                <w:bCs/>
                <w:i/>
                <w:color w:val="000000"/>
                <w:sz w:val="20"/>
                <w:szCs w:val="20"/>
                <w:lang w:val="en-US"/>
              </w:rPr>
            </w:pPr>
            <w:r w:rsidRPr="009A27ED">
              <w:rPr>
                <w:rFonts w:eastAsia="Times New Roman"/>
                <w:b/>
                <w:bCs/>
                <w:i/>
                <w:color w:val="000000"/>
                <w:sz w:val="20"/>
                <w:szCs w:val="20"/>
                <w:lang w:val="en-US"/>
              </w:rPr>
              <w:t>11.97</w:t>
            </w:r>
          </w:p>
        </w:tc>
        <w:tc>
          <w:tcPr>
            <w:tcW w:w="1758" w:type="dxa"/>
            <w:tcBorders>
              <w:top w:val="nil"/>
              <w:left w:val="nil"/>
              <w:bottom w:val="single" w:sz="8" w:space="0" w:color="auto"/>
              <w:right w:val="single" w:sz="8" w:space="0" w:color="auto"/>
            </w:tcBorders>
            <w:noWrap/>
            <w:vAlign w:val="center"/>
            <w:hideMark/>
          </w:tcPr>
          <w:p w14:paraId="75024765" w14:textId="77777777" w:rsidR="0004071A" w:rsidRPr="009A27ED" w:rsidRDefault="0004071A" w:rsidP="00AF66E5">
            <w:pPr>
              <w:spacing w:after="0"/>
              <w:jc w:val="right"/>
              <w:rPr>
                <w:rFonts w:eastAsia="Times New Roman"/>
                <w:b/>
                <w:bCs/>
                <w:i/>
                <w:color w:val="000000"/>
                <w:sz w:val="20"/>
                <w:szCs w:val="20"/>
                <w:lang w:val="en-US"/>
              </w:rPr>
            </w:pPr>
            <w:r w:rsidRPr="009A27ED">
              <w:rPr>
                <w:rFonts w:eastAsia="Times New Roman"/>
                <w:b/>
                <w:bCs/>
                <w:i/>
                <w:color w:val="000000"/>
                <w:sz w:val="20"/>
                <w:szCs w:val="20"/>
                <w:lang w:val="en-US"/>
              </w:rPr>
              <w:t>1065</w:t>
            </w:r>
          </w:p>
        </w:tc>
        <w:tc>
          <w:tcPr>
            <w:tcW w:w="1290" w:type="dxa"/>
            <w:tcBorders>
              <w:top w:val="nil"/>
              <w:left w:val="nil"/>
              <w:bottom w:val="single" w:sz="8" w:space="0" w:color="auto"/>
              <w:right w:val="single" w:sz="8" w:space="0" w:color="auto"/>
            </w:tcBorders>
            <w:noWrap/>
            <w:vAlign w:val="center"/>
            <w:hideMark/>
          </w:tcPr>
          <w:p w14:paraId="7379D949" w14:textId="77777777" w:rsidR="0004071A" w:rsidRPr="009A27ED" w:rsidRDefault="0004071A" w:rsidP="002A67F7">
            <w:pPr>
              <w:keepNext/>
              <w:spacing w:after="0"/>
              <w:jc w:val="right"/>
              <w:rPr>
                <w:rFonts w:eastAsia="Times New Roman"/>
                <w:b/>
                <w:bCs/>
                <w:i/>
                <w:color w:val="000000"/>
                <w:sz w:val="20"/>
                <w:szCs w:val="20"/>
                <w:lang w:val="en-US"/>
              </w:rPr>
            </w:pPr>
            <w:r w:rsidRPr="009A27ED">
              <w:rPr>
                <w:rFonts w:eastAsia="Times New Roman"/>
                <w:b/>
                <w:bCs/>
                <w:i/>
                <w:color w:val="000000"/>
                <w:sz w:val="20"/>
                <w:szCs w:val="20"/>
                <w:lang w:val="en-US"/>
              </w:rPr>
              <w:t>220</w:t>
            </w:r>
          </w:p>
        </w:tc>
      </w:tr>
    </w:tbl>
    <w:p w14:paraId="1E31812F" w14:textId="56D163F2" w:rsidR="00B80189" w:rsidRPr="009A27ED" w:rsidRDefault="0004071A" w:rsidP="00B80189">
      <w:pPr>
        <w:pStyle w:val="Prrafodelista"/>
        <w:numPr>
          <w:ilvl w:val="0"/>
          <w:numId w:val="296"/>
        </w:numPr>
        <w:spacing w:before="120" w:after="0" w:line="360" w:lineRule="auto"/>
        <w:rPr>
          <w:b/>
          <w:szCs w:val="22"/>
          <w:lang w:val="es-MX"/>
        </w:rPr>
      </w:pPr>
      <w:r w:rsidRPr="009A27ED">
        <w:rPr>
          <w:rFonts w:ascii="Times New Roman" w:eastAsia="Times New Roman" w:hAnsi="Times New Roman"/>
          <w:b/>
          <w:sz w:val="24"/>
          <w:szCs w:val="22"/>
          <w:lang w:val="es-MX"/>
        </w:rPr>
        <w:t>Vivienda</w:t>
      </w:r>
    </w:p>
    <w:p w14:paraId="4EEC359B" w14:textId="0CF280DC" w:rsidR="0004071A" w:rsidRPr="009A27ED" w:rsidRDefault="0004071A" w:rsidP="00B80189">
      <w:pPr>
        <w:spacing w:after="160" w:line="360" w:lineRule="auto"/>
        <w:rPr>
          <w:b/>
          <w:szCs w:val="22"/>
          <w:lang w:val="es-MX"/>
        </w:rPr>
      </w:pPr>
    </w:p>
    <w:p w14:paraId="435E31DE" w14:textId="67578560" w:rsidR="00C558B2" w:rsidRPr="009A27ED" w:rsidRDefault="0004071A" w:rsidP="005B6485">
      <w:pPr>
        <w:spacing w:before="120" w:after="0" w:line="360" w:lineRule="auto"/>
        <w:rPr>
          <w:szCs w:val="22"/>
          <w:lang w:val="es-MX"/>
        </w:rPr>
      </w:pPr>
      <w:r w:rsidRPr="009A27ED">
        <w:rPr>
          <w:rFonts w:ascii="Times New Roman" w:eastAsia="Times New Roman" w:hAnsi="Times New Roman"/>
          <w:sz w:val="24"/>
          <w:szCs w:val="22"/>
          <w:lang w:val="es-MX"/>
        </w:rPr>
        <w:t xml:space="preserve">Las </w:t>
      </w:r>
      <w:r w:rsidR="00E26617" w:rsidRPr="009A27ED">
        <w:rPr>
          <w:rFonts w:ascii="Times New Roman" w:eastAsia="Times New Roman" w:hAnsi="Times New Roman"/>
          <w:sz w:val="24"/>
          <w:szCs w:val="22"/>
          <w:lang w:val="es-MX"/>
        </w:rPr>
        <w:t>estadísticas de</w:t>
      </w:r>
      <w:r w:rsidRPr="009A27ED">
        <w:rPr>
          <w:rFonts w:ascii="Times New Roman" w:eastAsia="Times New Roman" w:hAnsi="Times New Roman"/>
          <w:sz w:val="24"/>
          <w:szCs w:val="22"/>
          <w:lang w:val="es-MX"/>
        </w:rPr>
        <w:t xml:space="preserve"> las condiciones de las viviendas reflejan que la mayoría tiene acceso a energía con un 84.14%, </w:t>
      </w:r>
      <w:r w:rsidR="002A67F7" w:rsidRPr="009A27ED">
        <w:rPr>
          <w:rFonts w:ascii="Times New Roman" w:eastAsia="Times New Roman" w:hAnsi="Times New Roman"/>
          <w:sz w:val="24"/>
          <w:szCs w:val="22"/>
          <w:lang w:val="es-MX"/>
        </w:rPr>
        <w:t>las demás características</w:t>
      </w:r>
      <w:r w:rsidRPr="009A27ED">
        <w:rPr>
          <w:rFonts w:ascii="Times New Roman" w:eastAsia="Times New Roman" w:hAnsi="Times New Roman"/>
          <w:sz w:val="24"/>
          <w:szCs w:val="22"/>
          <w:lang w:val="es-MX"/>
        </w:rPr>
        <w:t xml:space="preserve"> reflejan valores muy bajos como son viviendas con techo un 3.73%, viviendas con pisos un 10.34%, con Paredes de tablas y otras un 12.31%, reflejando la mala calidad de las viviendas en esta área y hogares con carros privados solo el 15.48%</w:t>
      </w:r>
    </w:p>
    <w:p w14:paraId="6E645E38" w14:textId="77777777" w:rsidR="00F43DB6" w:rsidRPr="009A27ED" w:rsidRDefault="00F43DB6" w:rsidP="00F43DB6">
      <w:pPr>
        <w:pStyle w:val="Descripcin"/>
        <w:keepNext/>
        <w:spacing w:line="360" w:lineRule="auto"/>
      </w:pPr>
    </w:p>
    <w:p w14:paraId="1C6B4702" w14:textId="72992F72" w:rsidR="00F43DB6" w:rsidRPr="009A27ED" w:rsidRDefault="00F43DB6" w:rsidP="00F43DB6">
      <w:pPr>
        <w:pStyle w:val="Descripcin"/>
        <w:keepNext/>
        <w:spacing w:line="360" w:lineRule="auto"/>
      </w:pPr>
      <w:r w:rsidRPr="009A27ED">
        <w:rPr>
          <w:rFonts w:ascii="Times New Roman" w:eastAsia="Times New Roman" w:hAnsi="Times New Roman"/>
          <w:sz w:val="24"/>
        </w:rPr>
        <w:t xml:space="preserve">           </w:t>
      </w:r>
      <w:bookmarkStart w:id="172" w:name="_Toc111887438"/>
      <w:r w:rsidRPr="009A27ED">
        <w:rPr>
          <w:rFonts w:ascii="Times New Roman" w:eastAsia="Times New Roman" w:hAnsi="Times New Roman"/>
          <w:sz w:val="24"/>
        </w:rPr>
        <w:t xml:space="preserve">Cuadro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Cuadro \* ARABIC </w:instrText>
      </w:r>
      <w:r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28</w:t>
      </w:r>
      <w:r w:rsidRPr="009A27ED">
        <w:rPr>
          <w:rFonts w:ascii="Times New Roman" w:eastAsia="Times New Roman" w:hAnsi="Times New Roman"/>
          <w:sz w:val="24"/>
        </w:rPr>
        <w:fldChar w:fldCharType="end"/>
      </w:r>
      <w:r w:rsidRPr="009A27ED">
        <w:rPr>
          <w:rFonts w:ascii="Times New Roman" w:eastAsia="Times New Roman" w:hAnsi="Times New Roman"/>
          <w:sz w:val="24"/>
        </w:rPr>
        <w:t>. Características de las viviendas</w:t>
      </w:r>
      <w:bookmarkEnd w:id="172"/>
      <w:r w:rsidRPr="009A27ED">
        <w:rPr>
          <w:rFonts w:ascii="Times New Roman" w:eastAsia="Times New Roman" w:hAnsi="Times New Roman"/>
          <w:sz w:val="24"/>
        </w:rPr>
        <w:t xml:space="preserve"> </w:t>
      </w:r>
    </w:p>
    <w:tbl>
      <w:tblPr>
        <w:tblW w:w="8472" w:type="dxa"/>
        <w:tblInd w:w="440" w:type="dxa"/>
        <w:tblLook w:val="04A0" w:firstRow="1" w:lastRow="0" w:firstColumn="1" w:lastColumn="0" w:noHBand="0" w:noVBand="1"/>
      </w:tblPr>
      <w:tblGrid>
        <w:gridCol w:w="839"/>
        <w:gridCol w:w="1744"/>
        <w:gridCol w:w="1472"/>
        <w:gridCol w:w="1477"/>
        <w:gridCol w:w="1322"/>
        <w:gridCol w:w="1618"/>
      </w:tblGrid>
      <w:tr w:rsidR="0004071A" w:rsidRPr="009A27ED" w14:paraId="2D597F32" w14:textId="77777777" w:rsidTr="006A37E7">
        <w:trPr>
          <w:trHeight w:val="323"/>
        </w:trPr>
        <w:tc>
          <w:tcPr>
            <w:tcW w:w="839" w:type="dxa"/>
            <w:tcBorders>
              <w:top w:val="single" w:sz="8" w:space="0" w:color="auto"/>
              <w:left w:val="single" w:sz="8" w:space="0" w:color="auto"/>
              <w:bottom w:val="single" w:sz="8" w:space="0" w:color="auto"/>
              <w:right w:val="single" w:sz="8" w:space="0" w:color="auto"/>
            </w:tcBorders>
            <w:shd w:val="clear" w:color="auto" w:fill="0070C0"/>
            <w:noWrap/>
            <w:vAlign w:val="center"/>
            <w:hideMark/>
          </w:tcPr>
          <w:p w14:paraId="6754C080" w14:textId="77777777" w:rsidR="0004071A" w:rsidRPr="009A27ED" w:rsidRDefault="0004071A" w:rsidP="00AF66E5">
            <w:pPr>
              <w:spacing w:after="0"/>
              <w:rPr>
                <w:rFonts w:eastAsia="Times New Roman"/>
                <w:color w:val="FFFFFF" w:themeColor="background1"/>
                <w:sz w:val="20"/>
                <w:szCs w:val="20"/>
              </w:rPr>
            </w:pPr>
            <w:r w:rsidRPr="009A27ED">
              <w:rPr>
                <w:rFonts w:eastAsia="Times New Roman"/>
                <w:color w:val="FFFFFF" w:themeColor="background1"/>
                <w:sz w:val="20"/>
                <w:szCs w:val="20"/>
              </w:rPr>
              <w:t> </w:t>
            </w:r>
          </w:p>
        </w:tc>
        <w:tc>
          <w:tcPr>
            <w:tcW w:w="7633" w:type="dxa"/>
            <w:gridSpan w:val="5"/>
            <w:tcBorders>
              <w:top w:val="single" w:sz="8" w:space="0" w:color="auto"/>
              <w:left w:val="nil"/>
              <w:bottom w:val="single" w:sz="8" w:space="0" w:color="auto"/>
              <w:right w:val="single" w:sz="8" w:space="0" w:color="000000"/>
            </w:tcBorders>
            <w:shd w:val="clear" w:color="auto" w:fill="0070C0"/>
            <w:vAlign w:val="center"/>
            <w:hideMark/>
          </w:tcPr>
          <w:p w14:paraId="3969DD3F" w14:textId="31BC1F6A" w:rsidR="0004071A" w:rsidRPr="009A27ED" w:rsidRDefault="0004071A" w:rsidP="00AF66E5">
            <w:pPr>
              <w:spacing w:after="0"/>
              <w:jc w:val="center"/>
              <w:rPr>
                <w:rFonts w:eastAsia="Times New Roman"/>
                <w:b/>
                <w:bCs/>
                <w:color w:val="FFFFFF" w:themeColor="background1"/>
                <w:sz w:val="20"/>
                <w:szCs w:val="20"/>
              </w:rPr>
            </w:pPr>
            <w:r w:rsidRPr="009A27ED">
              <w:rPr>
                <w:rFonts w:eastAsia="Times New Roman"/>
                <w:b/>
                <w:bCs/>
                <w:color w:val="FFFFFF" w:themeColor="background1"/>
                <w:sz w:val="20"/>
                <w:szCs w:val="20"/>
              </w:rPr>
              <w:t xml:space="preserve">Población con tipo de vivienda </w:t>
            </w:r>
          </w:p>
        </w:tc>
      </w:tr>
      <w:tr w:rsidR="0004071A" w:rsidRPr="009A27ED" w14:paraId="07189CBD" w14:textId="77777777" w:rsidTr="00F43DB6">
        <w:trPr>
          <w:trHeight w:val="592"/>
        </w:trPr>
        <w:tc>
          <w:tcPr>
            <w:tcW w:w="839" w:type="dxa"/>
            <w:tcBorders>
              <w:top w:val="nil"/>
              <w:left w:val="single" w:sz="8" w:space="0" w:color="auto"/>
              <w:bottom w:val="single" w:sz="8" w:space="0" w:color="auto"/>
              <w:right w:val="single" w:sz="8" w:space="0" w:color="auto"/>
            </w:tcBorders>
            <w:vAlign w:val="center"/>
            <w:hideMark/>
          </w:tcPr>
          <w:p w14:paraId="5D717BAD" w14:textId="77777777" w:rsidR="0004071A" w:rsidRPr="009A27ED" w:rsidRDefault="0004071A" w:rsidP="00AF66E5">
            <w:pPr>
              <w:spacing w:after="0"/>
              <w:jc w:val="center"/>
              <w:rPr>
                <w:rFonts w:eastAsia="Times New Roman"/>
                <w:b/>
                <w:bCs/>
                <w:color w:val="000000"/>
                <w:sz w:val="20"/>
                <w:szCs w:val="20"/>
                <w:lang w:val="en-US"/>
              </w:rPr>
            </w:pPr>
            <w:r w:rsidRPr="009A27ED">
              <w:rPr>
                <w:rFonts w:eastAsia="Times New Roman"/>
                <w:b/>
                <w:bCs/>
                <w:color w:val="000000"/>
                <w:sz w:val="20"/>
                <w:szCs w:val="20"/>
              </w:rPr>
              <w:t>Área</w:t>
            </w:r>
          </w:p>
        </w:tc>
        <w:tc>
          <w:tcPr>
            <w:tcW w:w="1744" w:type="dxa"/>
            <w:tcBorders>
              <w:top w:val="nil"/>
              <w:left w:val="nil"/>
              <w:bottom w:val="single" w:sz="8" w:space="0" w:color="auto"/>
              <w:right w:val="single" w:sz="8" w:space="0" w:color="auto"/>
            </w:tcBorders>
            <w:vAlign w:val="center"/>
            <w:hideMark/>
          </w:tcPr>
          <w:p w14:paraId="65A285DF" w14:textId="77777777" w:rsidR="0004071A" w:rsidRPr="009A27ED" w:rsidRDefault="0004071A" w:rsidP="00AF66E5">
            <w:pPr>
              <w:spacing w:after="0"/>
              <w:jc w:val="center"/>
              <w:rPr>
                <w:rFonts w:eastAsia="Times New Roman"/>
                <w:b/>
                <w:bCs/>
                <w:color w:val="000000"/>
                <w:sz w:val="20"/>
                <w:szCs w:val="20"/>
                <w:lang w:val="en-US"/>
              </w:rPr>
            </w:pPr>
            <w:r w:rsidRPr="009A27ED">
              <w:rPr>
                <w:rFonts w:eastAsia="Times New Roman"/>
                <w:b/>
                <w:bCs/>
                <w:color w:val="000000"/>
                <w:sz w:val="20"/>
                <w:szCs w:val="20"/>
                <w:lang w:val="en-US"/>
              </w:rPr>
              <w:t xml:space="preserve">% </w:t>
            </w:r>
            <w:proofErr w:type="spellStart"/>
            <w:r w:rsidRPr="009A27ED">
              <w:rPr>
                <w:rFonts w:eastAsia="Times New Roman"/>
                <w:b/>
                <w:bCs/>
                <w:color w:val="000000"/>
                <w:sz w:val="20"/>
                <w:szCs w:val="20"/>
                <w:lang w:val="en-US"/>
              </w:rPr>
              <w:t>viviendas</w:t>
            </w:r>
            <w:proofErr w:type="spellEnd"/>
            <w:r w:rsidRPr="009A27ED">
              <w:rPr>
                <w:rFonts w:eastAsia="Times New Roman"/>
                <w:b/>
                <w:bCs/>
                <w:color w:val="000000"/>
                <w:sz w:val="20"/>
                <w:szCs w:val="20"/>
                <w:lang w:val="en-US"/>
              </w:rPr>
              <w:t xml:space="preserve"> con </w:t>
            </w:r>
            <w:proofErr w:type="spellStart"/>
            <w:r w:rsidRPr="009A27ED">
              <w:rPr>
                <w:rFonts w:eastAsia="Times New Roman"/>
                <w:b/>
                <w:bCs/>
                <w:color w:val="000000"/>
                <w:sz w:val="20"/>
                <w:szCs w:val="20"/>
                <w:lang w:val="en-US"/>
              </w:rPr>
              <w:t>techo</w:t>
            </w:r>
            <w:proofErr w:type="spellEnd"/>
          </w:p>
        </w:tc>
        <w:tc>
          <w:tcPr>
            <w:tcW w:w="1472" w:type="dxa"/>
            <w:tcBorders>
              <w:top w:val="nil"/>
              <w:left w:val="nil"/>
              <w:bottom w:val="single" w:sz="8" w:space="0" w:color="auto"/>
              <w:right w:val="single" w:sz="8" w:space="0" w:color="auto"/>
            </w:tcBorders>
            <w:vAlign w:val="center"/>
            <w:hideMark/>
          </w:tcPr>
          <w:p w14:paraId="26F696AD" w14:textId="77777777" w:rsidR="0004071A" w:rsidRPr="009A27ED" w:rsidRDefault="0004071A" w:rsidP="00AF66E5">
            <w:pPr>
              <w:spacing w:after="0"/>
              <w:jc w:val="center"/>
              <w:rPr>
                <w:rFonts w:eastAsia="Times New Roman"/>
                <w:b/>
                <w:bCs/>
                <w:color w:val="000000"/>
                <w:sz w:val="20"/>
                <w:szCs w:val="20"/>
                <w:lang w:val="en-US"/>
              </w:rPr>
            </w:pPr>
            <w:r w:rsidRPr="009A27ED">
              <w:rPr>
                <w:rFonts w:eastAsia="Times New Roman"/>
                <w:b/>
                <w:bCs/>
                <w:color w:val="000000"/>
                <w:sz w:val="20"/>
                <w:szCs w:val="20"/>
                <w:lang w:val="en-US"/>
              </w:rPr>
              <w:t xml:space="preserve">% </w:t>
            </w:r>
            <w:proofErr w:type="spellStart"/>
            <w:r w:rsidRPr="009A27ED">
              <w:rPr>
                <w:rFonts w:eastAsia="Times New Roman"/>
                <w:b/>
                <w:bCs/>
                <w:color w:val="000000"/>
                <w:sz w:val="20"/>
                <w:szCs w:val="20"/>
                <w:lang w:val="en-US"/>
              </w:rPr>
              <w:t>viviendas</w:t>
            </w:r>
            <w:proofErr w:type="spellEnd"/>
            <w:r w:rsidRPr="009A27ED">
              <w:rPr>
                <w:rFonts w:eastAsia="Times New Roman"/>
                <w:b/>
                <w:bCs/>
                <w:color w:val="000000"/>
                <w:sz w:val="20"/>
                <w:szCs w:val="20"/>
                <w:lang w:val="en-US"/>
              </w:rPr>
              <w:t xml:space="preserve"> con </w:t>
            </w:r>
            <w:proofErr w:type="spellStart"/>
            <w:r w:rsidRPr="009A27ED">
              <w:rPr>
                <w:rFonts w:eastAsia="Times New Roman"/>
                <w:b/>
                <w:bCs/>
                <w:color w:val="000000"/>
                <w:sz w:val="20"/>
                <w:szCs w:val="20"/>
                <w:lang w:val="en-US"/>
              </w:rPr>
              <w:t>piso</w:t>
            </w:r>
            <w:proofErr w:type="spellEnd"/>
          </w:p>
        </w:tc>
        <w:tc>
          <w:tcPr>
            <w:tcW w:w="1477" w:type="dxa"/>
            <w:tcBorders>
              <w:top w:val="nil"/>
              <w:left w:val="nil"/>
              <w:bottom w:val="single" w:sz="8" w:space="0" w:color="auto"/>
              <w:right w:val="single" w:sz="8" w:space="0" w:color="auto"/>
            </w:tcBorders>
            <w:vAlign w:val="center"/>
            <w:hideMark/>
          </w:tcPr>
          <w:p w14:paraId="5CFF3C71" w14:textId="77777777" w:rsidR="0004071A" w:rsidRPr="009A27ED" w:rsidRDefault="0004071A" w:rsidP="00AF66E5">
            <w:pPr>
              <w:spacing w:after="0"/>
              <w:jc w:val="center"/>
              <w:rPr>
                <w:rFonts w:eastAsia="Times New Roman"/>
                <w:b/>
                <w:bCs/>
                <w:color w:val="000000"/>
                <w:sz w:val="20"/>
                <w:szCs w:val="20"/>
              </w:rPr>
            </w:pPr>
            <w:r w:rsidRPr="009A27ED">
              <w:rPr>
                <w:rFonts w:eastAsia="Times New Roman"/>
                <w:b/>
                <w:bCs/>
                <w:color w:val="000000"/>
                <w:sz w:val="20"/>
                <w:szCs w:val="20"/>
              </w:rPr>
              <w:t>% hogares con paredes tablas, otro</w:t>
            </w:r>
          </w:p>
        </w:tc>
        <w:tc>
          <w:tcPr>
            <w:tcW w:w="1322" w:type="dxa"/>
            <w:tcBorders>
              <w:top w:val="nil"/>
              <w:left w:val="nil"/>
              <w:bottom w:val="single" w:sz="8" w:space="0" w:color="auto"/>
              <w:right w:val="single" w:sz="8" w:space="0" w:color="auto"/>
            </w:tcBorders>
            <w:vAlign w:val="center"/>
            <w:hideMark/>
          </w:tcPr>
          <w:p w14:paraId="46BEB3D6" w14:textId="77777777" w:rsidR="0004071A" w:rsidRPr="009A27ED" w:rsidRDefault="0004071A" w:rsidP="00AF66E5">
            <w:pPr>
              <w:spacing w:after="0"/>
              <w:jc w:val="center"/>
              <w:rPr>
                <w:rFonts w:eastAsia="Times New Roman"/>
                <w:b/>
                <w:bCs/>
                <w:color w:val="000000"/>
                <w:sz w:val="20"/>
                <w:szCs w:val="20"/>
              </w:rPr>
            </w:pPr>
            <w:r w:rsidRPr="009A27ED">
              <w:rPr>
                <w:rFonts w:eastAsia="Times New Roman"/>
                <w:b/>
                <w:bCs/>
                <w:color w:val="000000"/>
                <w:sz w:val="20"/>
                <w:szCs w:val="20"/>
              </w:rPr>
              <w:t>% hogares con carro privado</w:t>
            </w:r>
          </w:p>
        </w:tc>
        <w:tc>
          <w:tcPr>
            <w:tcW w:w="1618" w:type="dxa"/>
            <w:tcBorders>
              <w:top w:val="nil"/>
              <w:left w:val="nil"/>
              <w:bottom w:val="single" w:sz="8" w:space="0" w:color="auto"/>
              <w:right w:val="single" w:sz="8" w:space="0" w:color="auto"/>
            </w:tcBorders>
            <w:vAlign w:val="center"/>
            <w:hideMark/>
          </w:tcPr>
          <w:p w14:paraId="1D05EB17" w14:textId="77777777" w:rsidR="0004071A" w:rsidRPr="009A27ED" w:rsidRDefault="0004071A" w:rsidP="00AF66E5">
            <w:pPr>
              <w:spacing w:after="0"/>
              <w:jc w:val="center"/>
              <w:rPr>
                <w:rFonts w:eastAsia="Times New Roman"/>
                <w:b/>
                <w:bCs/>
                <w:color w:val="000000"/>
                <w:sz w:val="20"/>
                <w:szCs w:val="20"/>
              </w:rPr>
            </w:pPr>
            <w:r w:rsidRPr="009A27ED">
              <w:rPr>
                <w:rFonts w:eastAsia="Times New Roman"/>
                <w:b/>
                <w:bCs/>
                <w:color w:val="000000"/>
                <w:sz w:val="20"/>
                <w:szCs w:val="20"/>
              </w:rPr>
              <w:t>% hogares con provisión energía</w:t>
            </w:r>
          </w:p>
        </w:tc>
      </w:tr>
      <w:tr w:rsidR="0004071A" w:rsidRPr="009A27ED" w14:paraId="0FF9485A" w14:textId="77777777" w:rsidTr="00F43DB6">
        <w:trPr>
          <w:trHeight w:val="323"/>
        </w:trPr>
        <w:tc>
          <w:tcPr>
            <w:tcW w:w="839" w:type="dxa"/>
            <w:tcBorders>
              <w:top w:val="nil"/>
              <w:left w:val="single" w:sz="8" w:space="0" w:color="auto"/>
              <w:bottom w:val="single" w:sz="8" w:space="0" w:color="auto"/>
              <w:right w:val="single" w:sz="8" w:space="0" w:color="auto"/>
            </w:tcBorders>
            <w:noWrap/>
            <w:vAlign w:val="center"/>
            <w:hideMark/>
          </w:tcPr>
          <w:p w14:paraId="5641A7CB" w14:textId="77777777" w:rsidR="0004071A" w:rsidRPr="009A27ED" w:rsidRDefault="0004071A" w:rsidP="00AF66E5">
            <w:pPr>
              <w:spacing w:after="0"/>
              <w:rPr>
                <w:rFonts w:eastAsia="Times New Roman"/>
                <w:color w:val="000000"/>
                <w:sz w:val="20"/>
                <w:szCs w:val="20"/>
                <w:lang w:val="en-US"/>
              </w:rPr>
            </w:pPr>
            <w:r w:rsidRPr="009A27ED">
              <w:rPr>
                <w:rFonts w:eastAsia="Times New Roman"/>
                <w:color w:val="000000"/>
                <w:sz w:val="20"/>
                <w:szCs w:val="20"/>
              </w:rPr>
              <w:t>Área 1</w:t>
            </w:r>
          </w:p>
        </w:tc>
        <w:tc>
          <w:tcPr>
            <w:tcW w:w="1744" w:type="dxa"/>
            <w:tcBorders>
              <w:top w:val="nil"/>
              <w:left w:val="nil"/>
              <w:bottom w:val="single" w:sz="8" w:space="0" w:color="auto"/>
              <w:right w:val="single" w:sz="8" w:space="0" w:color="auto"/>
            </w:tcBorders>
            <w:noWrap/>
            <w:vAlign w:val="center"/>
            <w:hideMark/>
          </w:tcPr>
          <w:p w14:paraId="2FCF0C3C"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4.8</w:t>
            </w:r>
          </w:p>
        </w:tc>
        <w:tc>
          <w:tcPr>
            <w:tcW w:w="1472" w:type="dxa"/>
            <w:tcBorders>
              <w:top w:val="nil"/>
              <w:left w:val="nil"/>
              <w:bottom w:val="single" w:sz="8" w:space="0" w:color="auto"/>
              <w:right w:val="single" w:sz="8" w:space="0" w:color="auto"/>
            </w:tcBorders>
            <w:noWrap/>
            <w:vAlign w:val="center"/>
            <w:hideMark/>
          </w:tcPr>
          <w:p w14:paraId="35152C72"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3.5</w:t>
            </w:r>
          </w:p>
        </w:tc>
        <w:tc>
          <w:tcPr>
            <w:tcW w:w="1477" w:type="dxa"/>
            <w:tcBorders>
              <w:top w:val="nil"/>
              <w:left w:val="nil"/>
              <w:bottom w:val="single" w:sz="8" w:space="0" w:color="auto"/>
              <w:right w:val="single" w:sz="8" w:space="0" w:color="auto"/>
            </w:tcBorders>
            <w:noWrap/>
            <w:vAlign w:val="center"/>
            <w:hideMark/>
          </w:tcPr>
          <w:p w14:paraId="0856D24E"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5.9</w:t>
            </w:r>
          </w:p>
        </w:tc>
        <w:tc>
          <w:tcPr>
            <w:tcW w:w="1322" w:type="dxa"/>
            <w:tcBorders>
              <w:top w:val="nil"/>
              <w:left w:val="nil"/>
              <w:bottom w:val="single" w:sz="8" w:space="0" w:color="auto"/>
              <w:right w:val="single" w:sz="8" w:space="0" w:color="auto"/>
            </w:tcBorders>
            <w:noWrap/>
            <w:vAlign w:val="center"/>
            <w:hideMark/>
          </w:tcPr>
          <w:p w14:paraId="05CEB95B"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15.9</w:t>
            </w:r>
          </w:p>
        </w:tc>
        <w:tc>
          <w:tcPr>
            <w:tcW w:w="1618" w:type="dxa"/>
            <w:tcBorders>
              <w:top w:val="nil"/>
              <w:left w:val="nil"/>
              <w:bottom w:val="single" w:sz="8" w:space="0" w:color="auto"/>
              <w:right w:val="single" w:sz="8" w:space="0" w:color="auto"/>
            </w:tcBorders>
            <w:noWrap/>
            <w:vAlign w:val="center"/>
            <w:hideMark/>
          </w:tcPr>
          <w:p w14:paraId="66A98251"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78.8</w:t>
            </w:r>
          </w:p>
        </w:tc>
      </w:tr>
      <w:tr w:rsidR="0004071A" w:rsidRPr="009A27ED" w14:paraId="7165B486" w14:textId="77777777" w:rsidTr="00F43DB6">
        <w:trPr>
          <w:trHeight w:val="323"/>
        </w:trPr>
        <w:tc>
          <w:tcPr>
            <w:tcW w:w="839" w:type="dxa"/>
            <w:tcBorders>
              <w:top w:val="nil"/>
              <w:left w:val="single" w:sz="8" w:space="0" w:color="auto"/>
              <w:bottom w:val="single" w:sz="8" w:space="0" w:color="auto"/>
              <w:right w:val="single" w:sz="8" w:space="0" w:color="auto"/>
            </w:tcBorders>
            <w:noWrap/>
            <w:vAlign w:val="center"/>
            <w:hideMark/>
          </w:tcPr>
          <w:p w14:paraId="69595FE3" w14:textId="4F5EE524" w:rsidR="0004071A" w:rsidRPr="009A27ED" w:rsidRDefault="00101944" w:rsidP="00AF66E5">
            <w:pPr>
              <w:spacing w:after="0"/>
              <w:rPr>
                <w:rFonts w:eastAsia="Times New Roman"/>
                <w:color w:val="000000"/>
                <w:sz w:val="20"/>
                <w:szCs w:val="20"/>
                <w:lang w:val="en-US"/>
              </w:rPr>
            </w:pPr>
            <w:r w:rsidRPr="009A27ED">
              <w:rPr>
                <w:rFonts w:eastAsia="Times New Roman"/>
                <w:color w:val="000000"/>
                <w:sz w:val="20"/>
                <w:szCs w:val="20"/>
              </w:rPr>
              <w:t>Á</w:t>
            </w:r>
            <w:r w:rsidR="0004071A" w:rsidRPr="009A27ED">
              <w:rPr>
                <w:rFonts w:eastAsia="Times New Roman"/>
                <w:color w:val="000000"/>
                <w:sz w:val="20"/>
                <w:szCs w:val="20"/>
              </w:rPr>
              <w:t>r</w:t>
            </w:r>
            <w:r w:rsidRPr="009A27ED">
              <w:rPr>
                <w:rFonts w:eastAsia="Times New Roman"/>
                <w:color w:val="000000"/>
                <w:sz w:val="20"/>
                <w:szCs w:val="20"/>
              </w:rPr>
              <w:t>e</w:t>
            </w:r>
            <w:r w:rsidR="0004071A" w:rsidRPr="009A27ED">
              <w:rPr>
                <w:rFonts w:eastAsia="Times New Roman"/>
                <w:color w:val="000000"/>
                <w:sz w:val="20"/>
                <w:szCs w:val="20"/>
              </w:rPr>
              <w:t>a 2</w:t>
            </w:r>
          </w:p>
        </w:tc>
        <w:tc>
          <w:tcPr>
            <w:tcW w:w="1744" w:type="dxa"/>
            <w:tcBorders>
              <w:top w:val="nil"/>
              <w:left w:val="nil"/>
              <w:bottom w:val="single" w:sz="8" w:space="0" w:color="auto"/>
              <w:right w:val="single" w:sz="8" w:space="0" w:color="auto"/>
            </w:tcBorders>
            <w:noWrap/>
            <w:vAlign w:val="center"/>
            <w:hideMark/>
          </w:tcPr>
          <w:p w14:paraId="24C07456"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7.65</w:t>
            </w:r>
          </w:p>
        </w:tc>
        <w:tc>
          <w:tcPr>
            <w:tcW w:w="1472" w:type="dxa"/>
            <w:tcBorders>
              <w:top w:val="nil"/>
              <w:left w:val="nil"/>
              <w:bottom w:val="single" w:sz="8" w:space="0" w:color="auto"/>
              <w:right w:val="single" w:sz="8" w:space="0" w:color="auto"/>
            </w:tcBorders>
            <w:noWrap/>
            <w:vAlign w:val="center"/>
            <w:hideMark/>
          </w:tcPr>
          <w:p w14:paraId="063BDE2A"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28.26</w:t>
            </w:r>
          </w:p>
        </w:tc>
        <w:tc>
          <w:tcPr>
            <w:tcW w:w="1477" w:type="dxa"/>
            <w:tcBorders>
              <w:top w:val="nil"/>
              <w:left w:val="nil"/>
              <w:bottom w:val="single" w:sz="8" w:space="0" w:color="auto"/>
              <w:right w:val="single" w:sz="8" w:space="0" w:color="auto"/>
            </w:tcBorders>
            <w:noWrap/>
            <w:vAlign w:val="center"/>
            <w:hideMark/>
          </w:tcPr>
          <w:p w14:paraId="41C69958"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16.3</w:t>
            </w:r>
          </w:p>
        </w:tc>
        <w:tc>
          <w:tcPr>
            <w:tcW w:w="1322" w:type="dxa"/>
            <w:tcBorders>
              <w:top w:val="nil"/>
              <w:left w:val="nil"/>
              <w:bottom w:val="single" w:sz="8" w:space="0" w:color="auto"/>
              <w:right w:val="single" w:sz="8" w:space="0" w:color="auto"/>
            </w:tcBorders>
            <w:noWrap/>
            <w:vAlign w:val="center"/>
            <w:hideMark/>
          </w:tcPr>
          <w:p w14:paraId="7AF5A59F"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4.9</w:t>
            </w:r>
          </w:p>
        </w:tc>
        <w:tc>
          <w:tcPr>
            <w:tcW w:w="1618" w:type="dxa"/>
            <w:tcBorders>
              <w:top w:val="nil"/>
              <w:left w:val="nil"/>
              <w:bottom w:val="single" w:sz="8" w:space="0" w:color="auto"/>
              <w:right w:val="single" w:sz="8" w:space="0" w:color="auto"/>
            </w:tcBorders>
            <w:noWrap/>
            <w:vAlign w:val="center"/>
            <w:hideMark/>
          </w:tcPr>
          <w:p w14:paraId="3CDFD11A"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68.3</w:t>
            </w:r>
          </w:p>
        </w:tc>
      </w:tr>
      <w:tr w:rsidR="0004071A" w:rsidRPr="009A27ED" w14:paraId="1DAE23F0" w14:textId="77777777" w:rsidTr="00F43DB6">
        <w:trPr>
          <w:trHeight w:val="323"/>
        </w:trPr>
        <w:tc>
          <w:tcPr>
            <w:tcW w:w="839" w:type="dxa"/>
            <w:tcBorders>
              <w:top w:val="nil"/>
              <w:left w:val="single" w:sz="8" w:space="0" w:color="auto"/>
              <w:bottom w:val="single" w:sz="8" w:space="0" w:color="auto"/>
              <w:right w:val="single" w:sz="8" w:space="0" w:color="auto"/>
            </w:tcBorders>
            <w:noWrap/>
            <w:vAlign w:val="center"/>
            <w:hideMark/>
          </w:tcPr>
          <w:p w14:paraId="65CB6FF7" w14:textId="77777777" w:rsidR="0004071A" w:rsidRPr="009A27ED" w:rsidRDefault="0004071A" w:rsidP="00AF66E5">
            <w:pPr>
              <w:spacing w:after="0"/>
              <w:rPr>
                <w:rFonts w:eastAsia="Times New Roman"/>
                <w:color w:val="000000"/>
                <w:sz w:val="20"/>
                <w:szCs w:val="20"/>
                <w:lang w:val="en-US"/>
              </w:rPr>
            </w:pPr>
            <w:r w:rsidRPr="009A27ED">
              <w:rPr>
                <w:rFonts w:eastAsia="Times New Roman"/>
                <w:color w:val="000000"/>
                <w:sz w:val="20"/>
                <w:szCs w:val="20"/>
              </w:rPr>
              <w:t>Área 3</w:t>
            </w:r>
          </w:p>
        </w:tc>
        <w:tc>
          <w:tcPr>
            <w:tcW w:w="1744" w:type="dxa"/>
            <w:tcBorders>
              <w:top w:val="nil"/>
              <w:left w:val="nil"/>
              <w:bottom w:val="single" w:sz="8" w:space="0" w:color="auto"/>
              <w:right w:val="single" w:sz="8" w:space="0" w:color="auto"/>
            </w:tcBorders>
            <w:noWrap/>
            <w:vAlign w:val="center"/>
            <w:hideMark/>
          </w:tcPr>
          <w:p w14:paraId="4893372A"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3.31</w:t>
            </w:r>
          </w:p>
        </w:tc>
        <w:tc>
          <w:tcPr>
            <w:tcW w:w="1472" w:type="dxa"/>
            <w:tcBorders>
              <w:top w:val="nil"/>
              <w:left w:val="nil"/>
              <w:bottom w:val="single" w:sz="8" w:space="0" w:color="auto"/>
              <w:right w:val="single" w:sz="8" w:space="0" w:color="auto"/>
            </w:tcBorders>
            <w:noWrap/>
            <w:vAlign w:val="center"/>
            <w:hideMark/>
          </w:tcPr>
          <w:p w14:paraId="52B81754"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12.84</w:t>
            </w:r>
          </w:p>
        </w:tc>
        <w:tc>
          <w:tcPr>
            <w:tcW w:w="1477" w:type="dxa"/>
            <w:tcBorders>
              <w:top w:val="nil"/>
              <w:left w:val="nil"/>
              <w:bottom w:val="single" w:sz="8" w:space="0" w:color="auto"/>
              <w:right w:val="single" w:sz="8" w:space="0" w:color="auto"/>
            </w:tcBorders>
            <w:noWrap/>
            <w:vAlign w:val="center"/>
            <w:hideMark/>
          </w:tcPr>
          <w:p w14:paraId="7B63DFE2"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13.32</w:t>
            </w:r>
          </w:p>
        </w:tc>
        <w:tc>
          <w:tcPr>
            <w:tcW w:w="1322" w:type="dxa"/>
            <w:tcBorders>
              <w:top w:val="nil"/>
              <w:left w:val="nil"/>
              <w:bottom w:val="single" w:sz="8" w:space="0" w:color="auto"/>
              <w:right w:val="single" w:sz="8" w:space="0" w:color="auto"/>
            </w:tcBorders>
            <w:noWrap/>
            <w:vAlign w:val="center"/>
            <w:hideMark/>
          </w:tcPr>
          <w:p w14:paraId="4190D04C"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8</w:t>
            </w:r>
          </w:p>
        </w:tc>
        <w:tc>
          <w:tcPr>
            <w:tcW w:w="1618" w:type="dxa"/>
            <w:tcBorders>
              <w:top w:val="nil"/>
              <w:left w:val="nil"/>
              <w:bottom w:val="single" w:sz="8" w:space="0" w:color="auto"/>
              <w:right w:val="single" w:sz="8" w:space="0" w:color="auto"/>
            </w:tcBorders>
            <w:noWrap/>
            <w:vAlign w:val="center"/>
            <w:hideMark/>
          </w:tcPr>
          <w:p w14:paraId="6B93BC5D"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87</w:t>
            </w:r>
          </w:p>
        </w:tc>
      </w:tr>
      <w:tr w:rsidR="0004071A" w:rsidRPr="009A27ED" w14:paraId="68BFD826" w14:textId="77777777" w:rsidTr="00F43DB6">
        <w:trPr>
          <w:trHeight w:val="323"/>
        </w:trPr>
        <w:tc>
          <w:tcPr>
            <w:tcW w:w="839" w:type="dxa"/>
            <w:tcBorders>
              <w:top w:val="nil"/>
              <w:left w:val="single" w:sz="8" w:space="0" w:color="auto"/>
              <w:bottom w:val="single" w:sz="8" w:space="0" w:color="auto"/>
              <w:right w:val="single" w:sz="8" w:space="0" w:color="auto"/>
            </w:tcBorders>
            <w:noWrap/>
            <w:vAlign w:val="center"/>
            <w:hideMark/>
          </w:tcPr>
          <w:p w14:paraId="3CA5743F" w14:textId="77777777" w:rsidR="0004071A" w:rsidRPr="009A27ED" w:rsidRDefault="0004071A" w:rsidP="00AF66E5">
            <w:pPr>
              <w:spacing w:after="0"/>
              <w:rPr>
                <w:rFonts w:eastAsia="Times New Roman"/>
                <w:color w:val="000000"/>
                <w:sz w:val="20"/>
                <w:szCs w:val="20"/>
                <w:lang w:val="en-US"/>
              </w:rPr>
            </w:pPr>
            <w:r w:rsidRPr="009A27ED">
              <w:rPr>
                <w:rFonts w:eastAsia="Times New Roman"/>
                <w:color w:val="000000"/>
                <w:sz w:val="20"/>
                <w:szCs w:val="20"/>
              </w:rPr>
              <w:t>Área 4</w:t>
            </w:r>
          </w:p>
        </w:tc>
        <w:tc>
          <w:tcPr>
            <w:tcW w:w="1744" w:type="dxa"/>
            <w:tcBorders>
              <w:top w:val="nil"/>
              <w:left w:val="nil"/>
              <w:bottom w:val="single" w:sz="8" w:space="0" w:color="auto"/>
              <w:right w:val="single" w:sz="8" w:space="0" w:color="auto"/>
            </w:tcBorders>
            <w:noWrap/>
            <w:vAlign w:val="center"/>
            <w:hideMark/>
          </w:tcPr>
          <w:p w14:paraId="3269685C"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1.33</w:t>
            </w:r>
          </w:p>
        </w:tc>
        <w:tc>
          <w:tcPr>
            <w:tcW w:w="1472" w:type="dxa"/>
            <w:tcBorders>
              <w:top w:val="nil"/>
              <w:left w:val="nil"/>
              <w:bottom w:val="single" w:sz="8" w:space="0" w:color="auto"/>
              <w:right w:val="single" w:sz="8" w:space="0" w:color="auto"/>
            </w:tcBorders>
            <w:noWrap/>
            <w:vAlign w:val="center"/>
            <w:hideMark/>
          </w:tcPr>
          <w:p w14:paraId="10D5523D"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2.2</w:t>
            </w:r>
          </w:p>
        </w:tc>
        <w:tc>
          <w:tcPr>
            <w:tcW w:w="1477" w:type="dxa"/>
            <w:tcBorders>
              <w:top w:val="nil"/>
              <w:left w:val="nil"/>
              <w:bottom w:val="single" w:sz="8" w:space="0" w:color="auto"/>
              <w:right w:val="single" w:sz="8" w:space="0" w:color="auto"/>
            </w:tcBorders>
            <w:noWrap/>
            <w:vAlign w:val="center"/>
            <w:hideMark/>
          </w:tcPr>
          <w:p w14:paraId="62C0A634"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7.4</w:t>
            </w:r>
          </w:p>
        </w:tc>
        <w:tc>
          <w:tcPr>
            <w:tcW w:w="1322" w:type="dxa"/>
            <w:tcBorders>
              <w:top w:val="nil"/>
              <w:left w:val="nil"/>
              <w:bottom w:val="single" w:sz="8" w:space="0" w:color="auto"/>
              <w:right w:val="single" w:sz="8" w:space="0" w:color="auto"/>
            </w:tcBorders>
            <w:noWrap/>
            <w:vAlign w:val="center"/>
            <w:hideMark/>
          </w:tcPr>
          <w:p w14:paraId="13B51400"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14.9</w:t>
            </w:r>
          </w:p>
        </w:tc>
        <w:tc>
          <w:tcPr>
            <w:tcW w:w="1618" w:type="dxa"/>
            <w:tcBorders>
              <w:top w:val="nil"/>
              <w:left w:val="nil"/>
              <w:bottom w:val="single" w:sz="8" w:space="0" w:color="auto"/>
              <w:right w:val="single" w:sz="8" w:space="0" w:color="auto"/>
            </w:tcBorders>
            <w:noWrap/>
            <w:vAlign w:val="center"/>
            <w:hideMark/>
          </w:tcPr>
          <w:p w14:paraId="24CD0830"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95.83</w:t>
            </w:r>
          </w:p>
        </w:tc>
      </w:tr>
      <w:tr w:rsidR="0004071A" w:rsidRPr="009A27ED" w14:paraId="0C178512" w14:textId="77777777" w:rsidTr="00F43DB6">
        <w:trPr>
          <w:trHeight w:val="323"/>
        </w:trPr>
        <w:tc>
          <w:tcPr>
            <w:tcW w:w="839" w:type="dxa"/>
            <w:tcBorders>
              <w:top w:val="nil"/>
              <w:left w:val="single" w:sz="8" w:space="0" w:color="auto"/>
              <w:bottom w:val="single" w:sz="8" w:space="0" w:color="auto"/>
              <w:right w:val="single" w:sz="8" w:space="0" w:color="auto"/>
            </w:tcBorders>
            <w:noWrap/>
            <w:vAlign w:val="center"/>
            <w:hideMark/>
          </w:tcPr>
          <w:p w14:paraId="22D42B48" w14:textId="77777777" w:rsidR="0004071A" w:rsidRPr="009A27ED" w:rsidRDefault="0004071A" w:rsidP="00AF66E5">
            <w:pPr>
              <w:spacing w:after="0"/>
              <w:rPr>
                <w:rFonts w:eastAsia="Times New Roman"/>
                <w:color w:val="000000"/>
                <w:sz w:val="20"/>
                <w:szCs w:val="20"/>
                <w:lang w:val="en-US"/>
              </w:rPr>
            </w:pPr>
            <w:r w:rsidRPr="009A27ED">
              <w:rPr>
                <w:rFonts w:eastAsia="Times New Roman"/>
                <w:color w:val="000000"/>
                <w:sz w:val="20"/>
                <w:szCs w:val="20"/>
              </w:rPr>
              <w:t>Área 5</w:t>
            </w:r>
          </w:p>
        </w:tc>
        <w:tc>
          <w:tcPr>
            <w:tcW w:w="1744" w:type="dxa"/>
            <w:tcBorders>
              <w:top w:val="nil"/>
              <w:left w:val="nil"/>
              <w:bottom w:val="single" w:sz="8" w:space="0" w:color="auto"/>
              <w:right w:val="single" w:sz="8" w:space="0" w:color="auto"/>
            </w:tcBorders>
            <w:noWrap/>
            <w:vAlign w:val="center"/>
            <w:hideMark/>
          </w:tcPr>
          <w:p w14:paraId="408D3E33"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1.6</w:t>
            </w:r>
          </w:p>
        </w:tc>
        <w:tc>
          <w:tcPr>
            <w:tcW w:w="1472" w:type="dxa"/>
            <w:tcBorders>
              <w:top w:val="nil"/>
              <w:left w:val="nil"/>
              <w:bottom w:val="single" w:sz="8" w:space="0" w:color="auto"/>
              <w:right w:val="single" w:sz="8" w:space="0" w:color="auto"/>
            </w:tcBorders>
            <w:noWrap/>
            <w:vAlign w:val="center"/>
            <w:hideMark/>
          </w:tcPr>
          <w:p w14:paraId="05980A97"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5.37</w:t>
            </w:r>
          </w:p>
        </w:tc>
        <w:tc>
          <w:tcPr>
            <w:tcW w:w="1477" w:type="dxa"/>
            <w:tcBorders>
              <w:top w:val="nil"/>
              <w:left w:val="nil"/>
              <w:bottom w:val="single" w:sz="8" w:space="0" w:color="auto"/>
              <w:right w:val="single" w:sz="8" w:space="0" w:color="auto"/>
            </w:tcBorders>
            <w:noWrap/>
            <w:vAlign w:val="center"/>
            <w:hideMark/>
          </w:tcPr>
          <w:p w14:paraId="34DAF116"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18.65</w:t>
            </w:r>
          </w:p>
        </w:tc>
        <w:tc>
          <w:tcPr>
            <w:tcW w:w="1322" w:type="dxa"/>
            <w:tcBorders>
              <w:top w:val="nil"/>
              <w:left w:val="nil"/>
              <w:bottom w:val="single" w:sz="8" w:space="0" w:color="auto"/>
              <w:right w:val="single" w:sz="8" w:space="0" w:color="auto"/>
            </w:tcBorders>
            <w:noWrap/>
            <w:vAlign w:val="center"/>
            <w:hideMark/>
          </w:tcPr>
          <w:p w14:paraId="4E5FB59A"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33.7</w:t>
            </w:r>
          </w:p>
        </w:tc>
        <w:tc>
          <w:tcPr>
            <w:tcW w:w="1618" w:type="dxa"/>
            <w:tcBorders>
              <w:top w:val="nil"/>
              <w:left w:val="nil"/>
              <w:bottom w:val="single" w:sz="8" w:space="0" w:color="auto"/>
              <w:right w:val="single" w:sz="8" w:space="0" w:color="auto"/>
            </w:tcBorders>
            <w:noWrap/>
            <w:vAlign w:val="center"/>
            <w:hideMark/>
          </w:tcPr>
          <w:p w14:paraId="48C6C244" w14:textId="77777777" w:rsidR="0004071A" w:rsidRPr="009A27ED" w:rsidRDefault="0004071A" w:rsidP="00AF66E5">
            <w:pPr>
              <w:spacing w:after="0"/>
              <w:jc w:val="right"/>
              <w:rPr>
                <w:rFonts w:eastAsia="Times New Roman"/>
                <w:color w:val="000000"/>
                <w:sz w:val="20"/>
                <w:szCs w:val="20"/>
                <w:lang w:val="en-US"/>
              </w:rPr>
            </w:pPr>
            <w:r w:rsidRPr="009A27ED">
              <w:rPr>
                <w:rFonts w:eastAsia="Times New Roman"/>
                <w:color w:val="000000"/>
                <w:sz w:val="20"/>
                <w:szCs w:val="20"/>
                <w:lang w:val="en-US"/>
              </w:rPr>
              <w:t>90.77</w:t>
            </w:r>
          </w:p>
        </w:tc>
      </w:tr>
      <w:tr w:rsidR="0004071A" w:rsidRPr="009A27ED" w14:paraId="2FB2C346" w14:textId="77777777" w:rsidTr="00F43DB6">
        <w:trPr>
          <w:trHeight w:val="132"/>
        </w:trPr>
        <w:tc>
          <w:tcPr>
            <w:tcW w:w="839" w:type="dxa"/>
            <w:tcBorders>
              <w:top w:val="nil"/>
              <w:left w:val="single" w:sz="8" w:space="0" w:color="auto"/>
              <w:bottom w:val="single" w:sz="8" w:space="0" w:color="auto"/>
              <w:right w:val="single" w:sz="8" w:space="0" w:color="auto"/>
            </w:tcBorders>
            <w:noWrap/>
            <w:vAlign w:val="center"/>
            <w:hideMark/>
          </w:tcPr>
          <w:p w14:paraId="7D58B942" w14:textId="77777777" w:rsidR="0004071A" w:rsidRPr="009A27ED" w:rsidRDefault="0004071A" w:rsidP="00AF66E5">
            <w:pPr>
              <w:spacing w:after="0"/>
              <w:rPr>
                <w:rFonts w:eastAsia="Times New Roman"/>
                <w:b/>
                <w:bCs/>
                <w:i/>
                <w:iCs/>
                <w:color w:val="000000"/>
                <w:sz w:val="20"/>
                <w:szCs w:val="20"/>
                <w:lang w:val="en-US"/>
              </w:rPr>
            </w:pPr>
            <w:r w:rsidRPr="009A27ED">
              <w:rPr>
                <w:rFonts w:eastAsia="Times New Roman"/>
                <w:b/>
                <w:bCs/>
                <w:i/>
                <w:iCs/>
                <w:color w:val="000000"/>
                <w:sz w:val="20"/>
                <w:szCs w:val="20"/>
              </w:rPr>
              <w:t>Total</w:t>
            </w:r>
          </w:p>
        </w:tc>
        <w:tc>
          <w:tcPr>
            <w:tcW w:w="1744" w:type="dxa"/>
            <w:tcBorders>
              <w:top w:val="nil"/>
              <w:left w:val="nil"/>
              <w:bottom w:val="single" w:sz="8" w:space="0" w:color="auto"/>
              <w:right w:val="single" w:sz="8" w:space="0" w:color="auto"/>
            </w:tcBorders>
            <w:noWrap/>
            <w:vAlign w:val="center"/>
            <w:hideMark/>
          </w:tcPr>
          <w:p w14:paraId="4FC8223F" w14:textId="77777777" w:rsidR="0004071A" w:rsidRPr="009A27ED" w:rsidRDefault="0004071A" w:rsidP="00AF66E5">
            <w:pPr>
              <w:spacing w:after="0"/>
              <w:jc w:val="right"/>
              <w:rPr>
                <w:rFonts w:eastAsia="Times New Roman"/>
                <w:b/>
                <w:bCs/>
                <w:i/>
                <w:color w:val="000000"/>
                <w:sz w:val="20"/>
                <w:szCs w:val="20"/>
                <w:lang w:val="en-US"/>
              </w:rPr>
            </w:pPr>
            <w:r w:rsidRPr="009A27ED">
              <w:rPr>
                <w:rFonts w:eastAsia="Times New Roman"/>
                <w:b/>
                <w:bCs/>
                <w:i/>
                <w:color w:val="000000"/>
                <w:sz w:val="20"/>
                <w:szCs w:val="20"/>
                <w:lang w:val="en-US"/>
              </w:rPr>
              <w:t>3.73</w:t>
            </w:r>
          </w:p>
        </w:tc>
        <w:tc>
          <w:tcPr>
            <w:tcW w:w="1472" w:type="dxa"/>
            <w:tcBorders>
              <w:top w:val="nil"/>
              <w:left w:val="nil"/>
              <w:bottom w:val="single" w:sz="8" w:space="0" w:color="auto"/>
              <w:right w:val="single" w:sz="8" w:space="0" w:color="auto"/>
            </w:tcBorders>
            <w:noWrap/>
            <w:vAlign w:val="center"/>
            <w:hideMark/>
          </w:tcPr>
          <w:p w14:paraId="4BD69BBC" w14:textId="77777777" w:rsidR="0004071A" w:rsidRPr="009A27ED" w:rsidRDefault="0004071A" w:rsidP="00AF66E5">
            <w:pPr>
              <w:spacing w:after="0"/>
              <w:jc w:val="right"/>
              <w:rPr>
                <w:rFonts w:eastAsia="Times New Roman"/>
                <w:b/>
                <w:bCs/>
                <w:i/>
                <w:color w:val="000000"/>
                <w:sz w:val="20"/>
                <w:szCs w:val="20"/>
                <w:lang w:val="en-US"/>
              </w:rPr>
            </w:pPr>
            <w:r w:rsidRPr="009A27ED">
              <w:rPr>
                <w:rFonts w:eastAsia="Times New Roman"/>
                <w:b/>
                <w:bCs/>
                <w:i/>
                <w:color w:val="000000"/>
                <w:sz w:val="20"/>
                <w:szCs w:val="20"/>
                <w:lang w:val="en-US"/>
              </w:rPr>
              <w:t>10.34</w:t>
            </w:r>
          </w:p>
        </w:tc>
        <w:tc>
          <w:tcPr>
            <w:tcW w:w="1477" w:type="dxa"/>
            <w:tcBorders>
              <w:top w:val="nil"/>
              <w:left w:val="nil"/>
              <w:bottom w:val="single" w:sz="8" w:space="0" w:color="auto"/>
              <w:right w:val="single" w:sz="8" w:space="0" w:color="auto"/>
            </w:tcBorders>
            <w:noWrap/>
            <w:vAlign w:val="center"/>
            <w:hideMark/>
          </w:tcPr>
          <w:p w14:paraId="032154C4" w14:textId="77777777" w:rsidR="0004071A" w:rsidRPr="009A27ED" w:rsidRDefault="0004071A" w:rsidP="00AF66E5">
            <w:pPr>
              <w:spacing w:after="0"/>
              <w:jc w:val="right"/>
              <w:rPr>
                <w:rFonts w:eastAsia="Times New Roman"/>
                <w:b/>
                <w:bCs/>
                <w:i/>
                <w:color w:val="000000"/>
                <w:sz w:val="20"/>
                <w:szCs w:val="20"/>
                <w:lang w:val="en-US"/>
              </w:rPr>
            </w:pPr>
            <w:r w:rsidRPr="009A27ED">
              <w:rPr>
                <w:rFonts w:eastAsia="Times New Roman"/>
                <w:b/>
                <w:bCs/>
                <w:i/>
                <w:color w:val="000000"/>
                <w:sz w:val="20"/>
                <w:szCs w:val="20"/>
                <w:lang w:val="en-US"/>
              </w:rPr>
              <w:t>12.31</w:t>
            </w:r>
          </w:p>
        </w:tc>
        <w:tc>
          <w:tcPr>
            <w:tcW w:w="1322" w:type="dxa"/>
            <w:tcBorders>
              <w:top w:val="nil"/>
              <w:left w:val="nil"/>
              <w:bottom w:val="single" w:sz="8" w:space="0" w:color="auto"/>
              <w:right w:val="single" w:sz="8" w:space="0" w:color="auto"/>
            </w:tcBorders>
            <w:noWrap/>
            <w:vAlign w:val="center"/>
            <w:hideMark/>
          </w:tcPr>
          <w:p w14:paraId="30BD9209" w14:textId="77777777" w:rsidR="0004071A" w:rsidRPr="009A27ED" w:rsidRDefault="0004071A" w:rsidP="00AF66E5">
            <w:pPr>
              <w:spacing w:after="0"/>
              <w:jc w:val="right"/>
              <w:rPr>
                <w:rFonts w:eastAsia="Times New Roman"/>
                <w:b/>
                <w:bCs/>
                <w:i/>
                <w:color w:val="000000"/>
                <w:sz w:val="20"/>
                <w:szCs w:val="20"/>
                <w:lang w:val="en-US"/>
              </w:rPr>
            </w:pPr>
            <w:r w:rsidRPr="009A27ED">
              <w:rPr>
                <w:rFonts w:eastAsia="Times New Roman"/>
                <w:b/>
                <w:bCs/>
                <w:i/>
                <w:color w:val="000000"/>
                <w:sz w:val="20"/>
                <w:szCs w:val="20"/>
                <w:lang w:val="en-US"/>
              </w:rPr>
              <w:t>15.48</w:t>
            </w:r>
          </w:p>
        </w:tc>
        <w:tc>
          <w:tcPr>
            <w:tcW w:w="1618" w:type="dxa"/>
            <w:tcBorders>
              <w:top w:val="nil"/>
              <w:left w:val="nil"/>
              <w:bottom w:val="single" w:sz="8" w:space="0" w:color="auto"/>
              <w:right w:val="single" w:sz="8" w:space="0" w:color="auto"/>
            </w:tcBorders>
            <w:noWrap/>
            <w:vAlign w:val="center"/>
            <w:hideMark/>
          </w:tcPr>
          <w:p w14:paraId="73982AE7" w14:textId="77777777" w:rsidR="0004071A" w:rsidRPr="009A27ED" w:rsidRDefault="0004071A" w:rsidP="002A67F7">
            <w:pPr>
              <w:keepNext/>
              <w:spacing w:after="0"/>
              <w:jc w:val="right"/>
              <w:rPr>
                <w:rFonts w:eastAsia="Times New Roman"/>
                <w:b/>
                <w:bCs/>
                <w:i/>
                <w:color w:val="000000"/>
                <w:sz w:val="20"/>
                <w:szCs w:val="20"/>
                <w:lang w:val="en-US"/>
              </w:rPr>
            </w:pPr>
            <w:r w:rsidRPr="009A27ED">
              <w:rPr>
                <w:rFonts w:eastAsia="Times New Roman"/>
                <w:b/>
                <w:bCs/>
                <w:i/>
                <w:color w:val="000000"/>
                <w:sz w:val="20"/>
                <w:szCs w:val="20"/>
                <w:lang w:val="en-US"/>
              </w:rPr>
              <w:t>84.14</w:t>
            </w:r>
          </w:p>
        </w:tc>
      </w:tr>
    </w:tbl>
    <w:p w14:paraId="28D1C584" w14:textId="19A8298B" w:rsidR="002A67F7" w:rsidRPr="009A27ED" w:rsidRDefault="002A67F7">
      <w:pPr>
        <w:pStyle w:val="Descripcin"/>
        <w:spacing w:line="360" w:lineRule="auto"/>
        <w:rPr>
          <w:color w:val="000000" w:themeColor="text1"/>
          <w:sz w:val="20"/>
        </w:rPr>
      </w:pPr>
    </w:p>
    <w:p w14:paraId="1EA2193F" w14:textId="6B68461C" w:rsidR="0004071A" w:rsidRPr="009A27ED" w:rsidRDefault="0004071A" w:rsidP="00E67CB0">
      <w:pPr>
        <w:pStyle w:val="Prrafodelista"/>
        <w:numPr>
          <w:ilvl w:val="0"/>
          <w:numId w:val="296"/>
        </w:numPr>
        <w:spacing w:before="120" w:after="0" w:line="360" w:lineRule="auto"/>
        <w:rPr>
          <w:b/>
          <w:szCs w:val="22"/>
          <w:lang w:val="es-MX"/>
        </w:rPr>
      </w:pPr>
      <w:r w:rsidRPr="009A27ED">
        <w:rPr>
          <w:rFonts w:ascii="Times New Roman" w:eastAsia="Times New Roman" w:hAnsi="Times New Roman"/>
          <w:b/>
          <w:sz w:val="24"/>
          <w:szCs w:val="22"/>
          <w:lang w:val="es-MX"/>
        </w:rPr>
        <w:lastRenderedPageBreak/>
        <w:t>Salud</w:t>
      </w:r>
    </w:p>
    <w:p w14:paraId="4BAF4606" w14:textId="43636B58" w:rsidR="0004071A" w:rsidRPr="009A27ED" w:rsidRDefault="0004071A" w:rsidP="005B6485">
      <w:pPr>
        <w:pStyle w:val="Sinespaciado"/>
        <w:spacing w:before="120" w:line="360" w:lineRule="auto"/>
        <w:rPr>
          <w:lang w:val="es-ES"/>
        </w:rPr>
      </w:pPr>
      <w:r w:rsidRPr="009A27ED">
        <w:rPr>
          <w:rFonts w:ascii="Times New Roman" w:eastAsia="Times New Roman" w:hAnsi="Times New Roman"/>
          <w:sz w:val="24"/>
          <w:lang w:val="es-ES"/>
        </w:rPr>
        <w:t xml:space="preserve">La situación de salud en las áreas </w:t>
      </w:r>
      <w:r w:rsidR="00101944" w:rsidRPr="009A27ED">
        <w:rPr>
          <w:rFonts w:ascii="Times New Roman" w:eastAsia="Times New Roman" w:hAnsi="Times New Roman"/>
          <w:sz w:val="24"/>
          <w:lang w:val="es-ES"/>
        </w:rPr>
        <w:t>priorizadas está</w:t>
      </w:r>
      <w:r w:rsidRPr="009A27ED">
        <w:rPr>
          <w:rFonts w:ascii="Times New Roman" w:eastAsia="Times New Roman" w:hAnsi="Times New Roman"/>
          <w:sz w:val="24"/>
          <w:lang w:val="es-ES"/>
        </w:rPr>
        <w:t xml:space="preserve"> condicionada por distintos factores sociales vinculados a la pobreza y las necesidades básicas insatisfechas junto con inequidad en la distribución de los recursos </w:t>
      </w:r>
      <w:r w:rsidR="00101944" w:rsidRPr="009A27ED">
        <w:rPr>
          <w:rFonts w:ascii="Times New Roman" w:eastAsia="Times New Roman" w:hAnsi="Times New Roman"/>
          <w:sz w:val="24"/>
          <w:lang w:val="es-ES"/>
        </w:rPr>
        <w:t>que evidencian</w:t>
      </w:r>
      <w:r w:rsidRPr="009A27ED">
        <w:rPr>
          <w:rFonts w:ascii="Times New Roman" w:eastAsia="Times New Roman" w:hAnsi="Times New Roman"/>
          <w:sz w:val="24"/>
          <w:lang w:val="es-ES"/>
        </w:rPr>
        <w:t xml:space="preserve"> una falta de oportunidades para alcanzar el desarrollo de las personas que viven en estas áreas.</w:t>
      </w:r>
    </w:p>
    <w:p w14:paraId="09A1276B" w14:textId="7145204E" w:rsidR="0004071A" w:rsidRPr="009A27ED" w:rsidRDefault="0004071A" w:rsidP="005B6485">
      <w:pPr>
        <w:pStyle w:val="Sinespaciado"/>
        <w:spacing w:before="120" w:line="360" w:lineRule="auto"/>
      </w:pPr>
      <w:r w:rsidRPr="009A27ED">
        <w:rPr>
          <w:rFonts w:ascii="Times New Roman" w:eastAsia="Times New Roman" w:hAnsi="Times New Roman"/>
          <w:sz w:val="24"/>
        </w:rPr>
        <w:t xml:space="preserve">Los indicadores de </w:t>
      </w:r>
      <w:r w:rsidR="00E26617" w:rsidRPr="009A27ED">
        <w:rPr>
          <w:rFonts w:ascii="Times New Roman" w:eastAsia="Times New Roman" w:hAnsi="Times New Roman"/>
          <w:sz w:val="24"/>
        </w:rPr>
        <w:t>salud muestran</w:t>
      </w:r>
      <w:r w:rsidRPr="009A27ED">
        <w:rPr>
          <w:rFonts w:ascii="Times New Roman" w:eastAsia="Times New Roman" w:hAnsi="Times New Roman"/>
          <w:sz w:val="24"/>
        </w:rPr>
        <w:t xml:space="preserve"> </w:t>
      </w:r>
      <w:r w:rsidR="00E26617" w:rsidRPr="009A27ED">
        <w:rPr>
          <w:rFonts w:ascii="Times New Roman" w:eastAsia="Times New Roman" w:hAnsi="Times New Roman"/>
          <w:sz w:val="24"/>
        </w:rPr>
        <w:t>una debilidad</w:t>
      </w:r>
      <w:r w:rsidRPr="009A27ED">
        <w:rPr>
          <w:rFonts w:ascii="Times New Roman" w:eastAsia="Times New Roman" w:hAnsi="Times New Roman"/>
          <w:sz w:val="24"/>
        </w:rPr>
        <w:t xml:space="preserve"> del sistema. Solo un 12.21% de Centros Sanitarios públicos, un 12.42% de centros de atención primaria, apenas un 1.02% de centros regionales de referencia lo cual indica una gran concentración de pacientes en los </w:t>
      </w:r>
      <w:r w:rsidR="00E26617" w:rsidRPr="009A27ED">
        <w:rPr>
          <w:rFonts w:ascii="Times New Roman" w:eastAsia="Times New Roman" w:hAnsi="Times New Roman"/>
          <w:sz w:val="24"/>
        </w:rPr>
        <w:t>mismos, mientras</w:t>
      </w:r>
      <w:r w:rsidRPr="009A27ED">
        <w:rPr>
          <w:rFonts w:ascii="Times New Roman" w:eastAsia="Times New Roman" w:hAnsi="Times New Roman"/>
          <w:sz w:val="24"/>
        </w:rPr>
        <w:t xml:space="preserve"> que los centros sanitarios privados alcanzan un 11.72%. Por otro </w:t>
      </w:r>
      <w:r w:rsidR="00E26617" w:rsidRPr="009A27ED">
        <w:rPr>
          <w:rFonts w:ascii="Times New Roman" w:eastAsia="Times New Roman" w:hAnsi="Times New Roman"/>
          <w:sz w:val="24"/>
        </w:rPr>
        <w:t>lado, los</w:t>
      </w:r>
      <w:r w:rsidRPr="009A27ED">
        <w:rPr>
          <w:rFonts w:ascii="Times New Roman" w:eastAsia="Times New Roman" w:hAnsi="Times New Roman"/>
          <w:sz w:val="24"/>
        </w:rPr>
        <w:t xml:space="preserve"> nacidos vivos en los centros de salud llegan 208.53, frente a un 8.73% nacidos </w:t>
      </w:r>
      <w:r w:rsidR="00E26617" w:rsidRPr="009A27ED">
        <w:rPr>
          <w:rFonts w:ascii="Times New Roman" w:eastAsia="Times New Roman" w:hAnsi="Times New Roman"/>
          <w:sz w:val="24"/>
        </w:rPr>
        <w:t>muertos, la</w:t>
      </w:r>
      <w:r w:rsidRPr="009A27ED">
        <w:rPr>
          <w:rFonts w:ascii="Times New Roman" w:eastAsia="Times New Roman" w:hAnsi="Times New Roman"/>
          <w:sz w:val="24"/>
        </w:rPr>
        <w:t xml:space="preserve"> baja presencia de camas en los centros de salud es otro indicador de debilidad en los centros de salud de las áreas priorizadas, se observa con apenas 62.69%.  </w:t>
      </w:r>
      <w:r w:rsidR="0069562F" w:rsidRPr="009A27ED">
        <w:rPr>
          <w:rFonts w:ascii="Times New Roman" w:eastAsia="Times New Roman" w:hAnsi="Times New Roman"/>
          <w:sz w:val="24"/>
        </w:rPr>
        <w:t>Sin</w:t>
      </w:r>
      <w:r w:rsidRPr="009A27ED">
        <w:rPr>
          <w:rFonts w:ascii="Times New Roman" w:eastAsia="Times New Roman" w:hAnsi="Times New Roman"/>
          <w:sz w:val="24"/>
        </w:rPr>
        <w:t xml:space="preserve"> </w:t>
      </w:r>
      <w:r w:rsidR="006D6516" w:rsidRPr="009A27ED">
        <w:rPr>
          <w:rFonts w:ascii="Times New Roman" w:eastAsia="Times New Roman" w:hAnsi="Times New Roman"/>
          <w:sz w:val="24"/>
        </w:rPr>
        <w:t>embargo,</w:t>
      </w:r>
      <w:r w:rsidRPr="009A27ED">
        <w:rPr>
          <w:rFonts w:ascii="Times New Roman" w:eastAsia="Times New Roman" w:hAnsi="Times New Roman"/>
          <w:sz w:val="24"/>
        </w:rPr>
        <w:t xml:space="preserve"> los nacimientos con cesaras alanzan los 27.06% considerada esta cifra como alta, y finalmente el 16.7% declaran tener dificultad o </w:t>
      </w:r>
      <w:r w:rsidR="00E26617" w:rsidRPr="009A27ED">
        <w:rPr>
          <w:rFonts w:ascii="Times New Roman" w:eastAsia="Times New Roman" w:hAnsi="Times New Roman"/>
          <w:sz w:val="24"/>
        </w:rPr>
        <w:t>limitación permanente</w:t>
      </w:r>
      <w:r w:rsidRPr="009A27ED">
        <w:rPr>
          <w:rFonts w:ascii="Times New Roman" w:eastAsia="Times New Roman" w:hAnsi="Times New Roman"/>
          <w:sz w:val="24"/>
        </w:rPr>
        <w:t>.</w:t>
      </w:r>
    </w:p>
    <w:p w14:paraId="097D50DA" w14:textId="77777777" w:rsidR="001E165D" w:rsidRPr="009A27ED" w:rsidRDefault="001E165D" w:rsidP="001E165D">
      <w:pPr>
        <w:spacing w:line="360" w:lineRule="auto"/>
      </w:pPr>
    </w:p>
    <w:p w14:paraId="02AC0576" w14:textId="77777777" w:rsidR="00FB054F" w:rsidRPr="009A27ED" w:rsidRDefault="00FB054F" w:rsidP="00A25B98">
      <w:pPr>
        <w:pStyle w:val="Descripcin"/>
        <w:spacing w:line="360" w:lineRule="auto"/>
        <w:rPr>
          <w:color w:val="000000" w:themeColor="text1"/>
          <w:sz w:val="20"/>
        </w:rPr>
      </w:pPr>
    </w:p>
    <w:p w14:paraId="5037904C" w14:textId="404D6406" w:rsidR="00F43DB6" w:rsidRPr="009A27ED" w:rsidRDefault="00F43DB6" w:rsidP="00F43DB6">
      <w:pPr>
        <w:pStyle w:val="Descripcin"/>
        <w:spacing w:line="360" w:lineRule="auto"/>
        <w:rPr>
          <w:b/>
          <w:color w:val="000000" w:themeColor="text1"/>
          <w:sz w:val="24"/>
          <w:szCs w:val="22"/>
          <w:lang w:val="es-MX"/>
        </w:rPr>
      </w:pPr>
      <w:bookmarkStart w:id="173" w:name="_Toc111887439"/>
      <w:r w:rsidRPr="009A27ED">
        <w:rPr>
          <w:rFonts w:ascii="Times New Roman" w:eastAsia="Times New Roman" w:hAnsi="Times New Roman"/>
          <w:sz w:val="24"/>
        </w:rPr>
        <w:t xml:space="preserve">Cuadro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Cuadro \* ARABIC </w:instrText>
      </w:r>
      <w:r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29</w:t>
      </w:r>
      <w:r w:rsidRPr="009A27ED">
        <w:rPr>
          <w:rFonts w:ascii="Times New Roman" w:eastAsia="Times New Roman" w:hAnsi="Times New Roman"/>
          <w:sz w:val="24"/>
        </w:rPr>
        <w:fldChar w:fldCharType="end"/>
      </w:r>
      <w:r w:rsidRPr="009A27ED">
        <w:rPr>
          <w:rFonts w:ascii="Times New Roman" w:eastAsia="Times New Roman" w:hAnsi="Times New Roman"/>
          <w:color w:val="000000" w:themeColor="text1"/>
          <w:sz w:val="24"/>
        </w:rPr>
        <w:t>. Situación de salud en las áreas prioritarias</w:t>
      </w:r>
      <w:bookmarkEnd w:id="173"/>
    </w:p>
    <w:p w14:paraId="1CBBAF52" w14:textId="6E049C0B" w:rsidR="00F43DB6" w:rsidRPr="009A27ED" w:rsidRDefault="00F43DB6" w:rsidP="00F43DB6">
      <w:pPr>
        <w:pStyle w:val="Descripcin"/>
        <w:keepNext/>
        <w:spacing w:line="360" w:lineRule="auto"/>
      </w:pPr>
    </w:p>
    <w:tbl>
      <w:tblPr>
        <w:tblW w:w="10595" w:type="dxa"/>
        <w:tblInd w:w="-885" w:type="dxa"/>
        <w:tblLayout w:type="fixed"/>
        <w:tblLook w:val="04A0" w:firstRow="1" w:lastRow="0" w:firstColumn="1" w:lastColumn="0" w:noHBand="0" w:noVBand="1"/>
      </w:tblPr>
      <w:tblGrid>
        <w:gridCol w:w="851"/>
        <w:gridCol w:w="1014"/>
        <w:gridCol w:w="990"/>
        <w:gridCol w:w="990"/>
        <w:gridCol w:w="990"/>
        <w:gridCol w:w="900"/>
        <w:gridCol w:w="1080"/>
        <w:gridCol w:w="1080"/>
        <w:gridCol w:w="1350"/>
        <w:gridCol w:w="1350"/>
      </w:tblGrid>
      <w:tr w:rsidR="00E02BF6" w:rsidRPr="009A27ED" w14:paraId="5B522BCA" w14:textId="77777777" w:rsidTr="00C97A18">
        <w:trPr>
          <w:trHeight w:val="1243"/>
          <w:tblHeader/>
        </w:trPr>
        <w:tc>
          <w:tcPr>
            <w:tcW w:w="851" w:type="dxa"/>
            <w:tcBorders>
              <w:top w:val="single" w:sz="4" w:space="0" w:color="auto"/>
              <w:left w:val="single" w:sz="8" w:space="0" w:color="auto"/>
              <w:bottom w:val="single" w:sz="8" w:space="0" w:color="auto"/>
              <w:right w:val="single" w:sz="8" w:space="0" w:color="auto"/>
            </w:tcBorders>
            <w:shd w:val="clear" w:color="auto" w:fill="2E74B5" w:themeFill="accent1" w:themeFillShade="BF"/>
            <w:vAlign w:val="center"/>
            <w:hideMark/>
          </w:tcPr>
          <w:p w14:paraId="42DCBD0B" w14:textId="77777777" w:rsidR="0004071A" w:rsidRPr="009A27ED" w:rsidRDefault="0004071A" w:rsidP="002A67F7">
            <w:pPr>
              <w:spacing w:after="0"/>
              <w:jc w:val="left"/>
              <w:rPr>
                <w:rFonts w:eastAsia="Times New Roman"/>
                <w:b/>
                <w:bCs/>
                <w:color w:val="FFFFFF" w:themeColor="background1"/>
                <w:sz w:val="18"/>
                <w:szCs w:val="18"/>
              </w:rPr>
            </w:pPr>
            <w:r w:rsidRPr="009A27ED">
              <w:rPr>
                <w:rFonts w:eastAsia="Times New Roman"/>
                <w:b/>
                <w:bCs/>
                <w:color w:val="FFFFFF" w:themeColor="background1"/>
                <w:sz w:val="18"/>
                <w:szCs w:val="18"/>
              </w:rPr>
              <w:t>Área</w:t>
            </w:r>
          </w:p>
        </w:tc>
        <w:tc>
          <w:tcPr>
            <w:tcW w:w="1014" w:type="dxa"/>
            <w:tcBorders>
              <w:top w:val="single" w:sz="4" w:space="0" w:color="auto"/>
              <w:left w:val="nil"/>
              <w:bottom w:val="single" w:sz="8" w:space="0" w:color="auto"/>
              <w:right w:val="single" w:sz="8" w:space="0" w:color="auto"/>
            </w:tcBorders>
            <w:shd w:val="clear" w:color="auto" w:fill="2E74B5" w:themeFill="accent1" w:themeFillShade="BF"/>
            <w:vAlign w:val="center"/>
            <w:hideMark/>
          </w:tcPr>
          <w:p w14:paraId="294D1AC0" w14:textId="77777777" w:rsidR="0004071A" w:rsidRPr="009A27ED" w:rsidRDefault="0004071A" w:rsidP="002A67F7">
            <w:pPr>
              <w:spacing w:after="0"/>
              <w:jc w:val="left"/>
              <w:rPr>
                <w:rFonts w:eastAsia="Times New Roman"/>
                <w:b/>
                <w:bCs/>
                <w:color w:val="FFFFFF" w:themeColor="background1"/>
                <w:sz w:val="18"/>
                <w:szCs w:val="18"/>
              </w:rPr>
            </w:pPr>
            <w:r w:rsidRPr="009A27ED">
              <w:rPr>
                <w:rFonts w:eastAsia="Times New Roman"/>
                <w:b/>
                <w:bCs/>
                <w:color w:val="FFFFFF" w:themeColor="background1"/>
                <w:sz w:val="18"/>
                <w:szCs w:val="18"/>
              </w:rPr>
              <w:t>Centros sanitarios públicos</w:t>
            </w:r>
          </w:p>
        </w:tc>
        <w:tc>
          <w:tcPr>
            <w:tcW w:w="990" w:type="dxa"/>
            <w:tcBorders>
              <w:top w:val="single" w:sz="4" w:space="0" w:color="auto"/>
              <w:left w:val="nil"/>
              <w:bottom w:val="single" w:sz="8" w:space="0" w:color="auto"/>
              <w:right w:val="single" w:sz="8" w:space="0" w:color="auto"/>
            </w:tcBorders>
            <w:shd w:val="clear" w:color="auto" w:fill="2E74B5" w:themeFill="accent1" w:themeFillShade="BF"/>
            <w:vAlign w:val="center"/>
            <w:hideMark/>
          </w:tcPr>
          <w:p w14:paraId="0E0803BB" w14:textId="77777777" w:rsidR="0004071A" w:rsidRPr="009A27ED" w:rsidRDefault="0004071A" w:rsidP="002A67F7">
            <w:pPr>
              <w:spacing w:after="0"/>
              <w:jc w:val="left"/>
              <w:rPr>
                <w:rFonts w:eastAsia="Times New Roman"/>
                <w:b/>
                <w:bCs/>
                <w:color w:val="FFFFFF" w:themeColor="background1"/>
                <w:sz w:val="18"/>
                <w:szCs w:val="18"/>
              </w:rPr>
            </w:pPr>
            <w:r w:rsidRPr="009A27ED">
              <w:rPr>
                <w:rFonts w:eastAsia="Times New Roman"/>
                <w:b/>
                <w:bCs/>
                <w:color w:val="FFFFFF" w:themeColor="background1"/>
                <w:sz w:val="18"/>
                <w:szCs w:val="18"/>
              </w:rPr>
              <w:t>Centro de atención primaria</w:t>
            </w:r>
          </w:p>
        </w:tc>
        <w:tc>
          <w:tcPr>
            <w:tcW w:w="990" w:type="dxa"/>
            <w:tcBorders>
              <w:top w:val="single" w:sz="4" w:space="0" w:color="auto"/>
              <w:left w:val="nil"/>
              <w:bottom w:val="single" w:sz="8" w:space="0" w:color="auto"/>
              <w:right w:val="single" w:sz="8" w:space="0" w:color="auto"/>
            </w:tcBorders>
            <w:shd w:val="clear" w:color="auto" w:fill="2E74B5" w:themeFill="accent1" w:themeFillShade="BF"/>
            <w:vAlign w:val="center"/>
            <w:hideMark/>
          </w:tcPr>
          <w:p w14:paraId="6483D773" w14:textId="77777777" w:rsidR="0004071A" w:rsidRPr="009A27ED" w:rsidRDefault="0004071A" w:rsidP="002A67F7">
            <w:pPr>
              <w:spacing w:after="0"/>
              <w:jc w:val="left"/>
              <w:rPr>
                <w:rFonts w:eastAsia="Times New Roman"/>
                <w:b/>
                <w:bCs/>
                <w:color w:val="FFFFFF" w:themeColor="background1"/>
                <w:sz w:val="18"/>
                <w:szCs w:val="18"/>
              </w:rPr>
            </w:pPr>
            <w:r w:rsidRPr="009A27ED">
              <w:rPr>
                <w:rFonts w:eastAsia="Times New Roman"/>
                <w:b/>
                <w:bCs/>
                <w:color w:val="FFFFFF" w:themeColor="background1"/>
                <w:sz w:val="18"/>
                <w:szCs w:val="18"/>
              </w:rPr>
              <w:t>Hospitales públicos y centros de referencia regional y nacional</w:t>
            </w:r>
          </w:p>
        </w:tc>
        <w:tc>
          <w:tcPr>
            <w:tcW w:w="990" w:type="dxa"/>
            <w:tcBorders>
              <w:top w:val="single" w:sz="4" w:space="0" w:color="auto"/>
              <w:left w:val="nil"/>
              <w:bottom w:val="single" w:sz="8" w:space="0" w:color="auto"/>
              <w:right w:val="single" w:sz="8" w:space="0" w:color="auto"/>
            </w:tcBorders>
            <w:shd w:val="clear" w:color="auto" w:fill="2E74B5" w:themeFill="accent1" w:themeFillShade="BF"/>
            <w:vAlign w:val="center"/>
            <w:hideMark/>
          </w:tcPr>
          <w:p w14:paraId="30ED51A9" w14:textId="77777777" w:rsidR="0004071A" w:rsidRPr="009A27ED" w:rsidRDefault="0004071A" w:rsidP="002A67F7">
            <w:pPr>
              <w:spacing w:after="0"/>
              <w:jc w:val="left"/>
              <w:rPr>
                <w:rFonts w:eastAsia="Times New Roman"/>
                <w:b/>
                <w:bCs/>
                <w:color w:val="FFFFFF" w:themeColor="background1"/>
                <w:sz w:val="18"/>
                <w:szCs w:val="18"/>
              </w:rPr>
            </w:pPr>
            <w:r w:rsidRPr="009A27ED">
              <w:rPr>
                <w:rFonts w:eastAsia="Times New Roman"/>
                <w:b/>
                <w:bCs/>
                <w:color w:val="FFFFFF" w:themeColor="background1"/>
                <w:sz w:val="18"/>
                <w:szCs w:val="18"/>
              </w:rPr>
              <w:t>Centros sanitarios privados</w:t>
            </w:r>
          </w:p>
        </w:tc>
        <w:tc>
          <w:tcPr>
            <w:tcW w:w="900" w:type="dxa"/>
            <w:tcBorders>
              <w:top w:val="single" w:sz="4" w:space="0" w:color="auto"/>
              <w:left w:val="nil"/>
              <w:bottom w:val="single" w:sz="8" w:space="0" w:color="auto"/>
              <w:right w:val="single" w:sz="8" w:space="0" w:color="auto"/>
            </w:tcBorders>
            <w:shd w:val="clear" w:color="auto" w:fill="2E74B5" w:themeFill="accent1" w:themeFillShade="BF"/>
            <w:vAlign w:val="center"/>
            <w:hideMark/>
          </w:tcPr>
          <w:p w14:paraId="1B62960A" w14:textId="77777777" w:rsidR="0004071A" w:rsidRPr="009A27ED" w:rsidRDefault="0004071A" w:rsidP="002A67F7">
            <w:pPr>
              <w:spacing w:after="0"/>
              <w:jc w:val="left"/>
              <w:rPr>
                <w:rFonts w:eastAsia="Times New Roman"/>
                <w:b/>
                <w:bCs/>
                <w:color w:val="FFFFFF" w:themeColor="background1"/>
                <w:sz w:val="18"/>
                <w:szCs w:val="18"/>
              </w:rPr>
            </w:pPr>
            <w:r w:rsidRPr="009A27ED">
              <w:rPr>
                <w:rFonts w:eastAsia="Times New Roman"/>
                <w:b/>
                <w:bCs/>
                <w:color w:val="FFFFFF" w:themeColor="background1"/>
                <w:sz w:val="18"/>
                <w:szCs w:val="18"/>
              </w:rPr>
              <w:t>Nacidos vivos en hospitales del MSP</w:t>
            </w:r>
          </w:p>
        </w:tc>
        <w:tc>
          <w:tcPr>
            <w:tcW w:w="1080" w:type="dxa"/>
            <w:tcBorders>
              <w:top w:val="single" w:sz="4" w:space="0" w:color="auto"/>
              <w:left w:val="nil"/>
              <w:bottom w:val="single" w:sz="8" w:space="0" w:color="auto"/>
              <w:right w:val="single" w:sz="8" w:space="0" w:color="auto"/>
            </w:tcBorders>
            <w:shd w:val="clear" w:color="auto" w:fill="2E74B5" w:themeFill="accent1" w:themeFillShade="BF"/>
            <w:vAlign w:val="center"/>
            <w:hideMark/>
          </w:tcPr>
          <w:p w14:paraId="3022C8B6" w14:textId="77777777" w:rsidR="0004071A" w:rsidRPr="009A27ED" w:rsidRDefault="0004071A" w:rsidP="002A67F7">
            <w:pPr>
              <w:spacing w:after="0"/>
              <w:jc w:val="left"/>
              <w:rPr>
                <w:rFonts w:eastAsia="Times New Roman"/>
                <w:b/>
                <w:bCs/>
                <w:color w:val="FFFFFF" w:themeColor="background1"/>
                <w:sz w:val="18"/>
                <w:szCs w:val="18"/>
              </w:rPr>
            </w:pPr>
            <w:r w:rsidRPr="009A27ED">
              <w:rPr>
                <w:rFonts w:eastAsia="Times New Roman"/>
                <w:b/>
                <w:bCs/>
                <w:color w:val="FFFFFF" w:themeColor="background1"/>
                <w:sz w:val="18"/>
                <w:szCs w:val="18"/>
              </w:rPr>
              <w:t>Nacidos muertos en hospitales del MSP</w:t>
            </w:r>
          </w:p>
        </w:tc>
        <w:tc>
          <w:tcPr>
            <w:tcW w:w="1080" w:type="dxa"/>
            <w:tcBorders>
              <w:top w:val="single" w:sz="4" w:space="0" w:color="auto"/>
              <w:left w:val="nil"/>
              <w:bottom w:val="single" w:sz="8" w:space="0" w:color="auto"/>
              <w:right w:val="single" w:sz="8" w:space="0" w:color="auto"/>
            </w:tcBorders>
            <w:shd w:val="clear" w:color="auto" w:fill="2E74B5" w:themeFill="accent1" w:themeFillShade="BF"/>
            <w:vAlign w:val="center"/>
            <w:hideMark/>
          </w:tcPr>
          <w:p w14:paraId="417AC81B" w14:textId="77777777" w:rsidR="0004071A" w:rsidRPr="009A27ED" w:rsidRDefault="0004071A" w:rsidP="002A67F7">
            <w:pPr>
              <w:spacing w:after="0"/>
              <w:jc w:val="left"/>
              <w:rPr>
                <w:rFonts w:eastAsia="Times New Roman"/>
                <w:b/>
                <w:bCs/>
                <w:color w:val="FFFFFF" w:themeColor="background1"/>
                <w:sz w:val="18"/>
                <w:szCs w:val="18"/>
              </w:rPr>
            </w:pPr>
            <w:r w:rsidRPr="009A27ED">
              <w:rPr>
                <w:rFonts w:eastAsia="Times New Roman"/>
                <w:b/>
                <w:bCs/>
                <w:color w:val="FFFFFF" w:themeColor="background1"/>
                <w:sz w:val="18"/>
                <w:szCs w:val="18"/>
              </w:rPr>
              <w:t>Camas en hospitales del MSP</w:t>
            </w:r>
          </w:p>
        </w:tc>
        <w:tc>
          <w:tcPr>
            <w:tcW w:w="1350" w:type="dxa"/>
            <w:tcBorders>
              <w:top w:val="single" w:sz="4" w:space="0" w:color="auto"/>
              <w:left w:val="nil"/>
              <w:bottom w:val="single" w:sz="8" w:space="0" w:color="auto"/>
              <w:right w:val="single" w:sz="8" w:space="0" w:color="auto"/>
            </w:tcBorders>
            <w:shd w:val="clear" w:color="auto" w:fill="2E74B5" w:themeFill="accent1" w:themeFillShade="BF"/>
            <w:vAlign w:val="center"/>
            <w:hideMark/>
          </w:tcPr>
          <w:p w14:paraId="1E5B936B" w14:textId="77777777" w:rsidR="0004071A" w:rsidRPr="009A27ED" w:rsidRDefault="0004071A" w:rsidP="002A67F7">
            <w:pPr>
              <w:spacing w:after="0"/>
              <w:jc w:val="left"/>
              <w:rPr>
                <w:rFonts w:eastAsia="Times New Roman"/>
                <w:b/>
                <w:bCs/>
                <w:color w:val="FFFFFF" w:themeColor="background1"/>
                <w:sz w:val="18"/>
                <w:szCs w:val="18"/>
              </w:rPr>
            </w:pPr>
            <w:r w:rsidRPr="009A27ED">
              <w:rPr>
                <w:rFonts w:eastAsia="Times New Roman"/>
                <w:b/>
                <w:bCs/>
                <w:color w:val="FFFFFF" w:themeColor="background1"/>
                <w:sz w:val="18"/>
                <w:szCs w:val="18"/>
              </w:rPr>
              <w:t>% nacimientos cesárea en hospitales del MSP</w:t>
            </w:r>
          </w:p>
        </w:tc>
        <w:tc>
          <w:tcPr>
            <w:tcW w:w="1350" w:type="dxa"/>
            <w:tcBorders>
              <w:top w:val="single" w:sz="4" w:space="0" w:color="auto"/>
              <w:left w:val="nil"/>
              <w:bottom w:val="single" w:sz="8" w:space="0" w:color="auto"/>
              <w:right w:val="single" w:sz="4" w:space="0" w:color="auto"/>
            </w:tcBorders>
            <w:shd w:val="clear" w:color="auto" w:fill="2E74B5" w:themeFill="accent1" w:themeFillShade="BF"/>
            <w:vAlign w:val="center"/>
            <w:hideMark/>
          </w:tcPr>
          <w:p w14:paraId="3A334105" w14:textId="77777777" w:rsidR="0004071A" w:rsidRPr="009A27ED" w:rsidRDefault="0004071A" w:rsidP="002A67F7">
            <w:pPr>
              <w:spacing w:after="0"/>
              <w:jc w:val="left"/>
              <w:rPr>
                <w:rFonts w:eastAsia="Times New Roman"/>
                <w:b/>
                <w:bCs/>
                <w:color w:val="FFFFFF" w:themeColor="background1"/>
                <w:sz w:val="18"/>
                <w:szCs w:val="18"/>
              </w:rPr>
            </w:pPr>
            <w:r w:rsidRPr="009A27ED">
              <w:rPr>
                <w:rFonts w:eastAsia="Times New Roman"/>
                <w:b/>
                <w:bCs/>
                <w:color w:val="FFFFFF" w:themeColor="background1"/>
                <w:sz w:val="18"/>
                <w:szCs w:val="18"/>
              </w:rPr>
              <w:t>% personas declaran tener dificultad o limitación  permanente</w:t>
            </w:r>
          </w:p>
        </w:tc>
      </w:tr>
      <w:tr w:rsidR="00E02BF6" w:rsidRPr="009A27ED" w14:paraId="71E41CB8" w14:textId="77777777" w:rsidTr="002A67F7">
        <w:trPr>
          <w:trHeight w:val="315"/>
        </w:trPr>
        <w:tc>
          <w:tcPr>
            <w:tcW w:w="851" w:type="dxa"/>
            <w:tcBorders>
              <w:top w:val="nil"/>
              <w:left w:val="single" w:sz="8" w:space="0" w:color="auto"/>
              <w:bottom w:val="single" w:sz="8" w:space="0" w:color="auto"/>
              <w:right w:val="single" w:sz="8" w:space="0" w:color="auto"/>
            </w:tcBorders>
            <w:noWrap/>
            <w:vAlign w:val="center"/>
            <w:hideMark/>
          </w:tcPr>
          <w:p w14:paraId="7A66CF74"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rPr>
              <w:t>Área 1</w:t>
            </w:r>
          </w:p>
        </w:tc>
        <w:tc>
          <w:tcPr>
            <w:tcW w:w="1014" w:type="dxa"/>
            <w:tcBorders>
              <w:top w:val="nil"/>
              <w:left w:val="nil"/>
              <w:bottom w:val="single" w:sz="8" w:space="0" w:color="auto"/>
              <w:right w:val="single" w:sz="8" w:space="0" w:color="auto"/>
            </w:tcBorders>
            <w:noWrap/>
            <w:vAlign w:val="center"/>
            <w:hideMark/>
          </w:tcPr>
          <w:p w14:paraId="553184A2"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7</w:t>
            </w:r>
          </w:p>
        </w:tc>
        <w:tc>
          <w:tcPr>
            <w:tcW w:w="990" w:type="dxa"/>
            <w:tcBorders>
              <w:top w:val="nil"/>
              <w:left w:val="nil"/>
              <w:bottom w:val="single" w:sz="8" w:space="0" w:color="auto"/>
              <w:right w:val="single" w:sz="8" w:space="0" w:color="auto"/>
            </w:tcBorders>
            <w:noWrap/>
            <w:vAlign w:val="center"/>
            <w:hideMark/>
          </w:tcPr>
          <w:p w14:paraId="67BA1F7A"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6.57</w:t>
            </w:r>
          </w:p>
        </w:tc>
        <w:tc>
          <w:tcPr>
            <w:tcW w:w="990" w:type="dxa"/>
            <w:tcBorders>
              <w:top w:val="nil"/>
              <w:left w:val="nil"/>
              <w:bottom w:val="single" w:sz="8" w:space="0" w:color="auto"/>
              <w:right w:val="single" w:sz="8" w:space="0" w:color="auto"/>
            </w:tcBorders>
            <w:noWrap/>
            <w:vAlign w:val="center"/>
            <w:hideMark/>
          </w:tcPr>
          <w:p w14:paraId="6A568959"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0.86</w:t>
            </w:r>
          </w:p>
        </w:tc>
        <w:tc>
          <w:tcPr>
            <w:tcW w:w="990" w:type="dxa"/>
            <w:tcBorders>
              <w:top w:val="nil"/>
              <w:left w:val="nil"/>
              <w:bottom w:val="single" w:sz="8" w:space="0" w:color="auto"/>
              <w:right w:val="single" w:sz="8" w:space="0" w:color="auto"/>
            </w:tcBorders>
            <w:noWrap/>
            <w:vAlign w:val="center"/>
            <w:hideMark/>
          </w:tcPr>
          <w:p w14:paraId="14E0091B" w14:textId="77777777" w:rsidR="0004071A" w:rsidRPr="009A27ED" w:rsidRDefault="0004071A" w:rsidP="002A67F7">
            <w:pPr>
              <w:spacing w:after="0"/>
              <w:jc w:val="left"/>
              <w:rPr>
                <w:rFonts w:eastAsia="Times New Roman"/>
                <w:sz w:val="20"/>
                <w:szCs w:val="20"/>
                <w:lang w:val="en-US"/>
              </w:rPr>
            </w:pPr>
            <w:r w:rsidRPr="009A27ED">
              <w:rPr>
                <w:rFonts w:eastAsia="Times New Roman"/>
                <w:sz w:val="20"/>
                <w:szCs w:val="20"/>
                <w:lang w:val="en-US"/>
              </w:rPr>
              <w:t>1.71</w:t>
            </w:r>
          </w:p>
        </w:tc>
        <w:tc>
          <w:tcPr>
            <w:tcW w:w="900" w:type="dxa"/>
            <w:tcBorders>
              <w:top w:val="nil"/>
              <w:left w:val="nil"/>
              <w:bottom w:val="single" w:sz="8" w:space="0" w:color="auto"/>
              <w:right w:val="single" w:sz="8" w:space="0" w:color="auto"/>
            </w:tcBorders>
            <w:vAlign w:val="center"/>
            <w:hideMark/>
          </w:tcPr>
          <w:p w14:paraId="71CA0841" w14:textId="77777777" w:rsidR="0004071A" w:rsidRPr="009A27ED" w:rsidRDefault="0004071A" w:rsidP="002A67F7">
            <w:pPr>
              <w:spacing w:after="0"/>
              <w:jc w:val="left"/>
              <w:rPr>
                <w:rFonts w:eastAsia="Times New Roman"/>
                <w:sz w:val="20"/>
                <w:szCs w:val="20"/>
                <w:lang w:val="en-US"/>
              </w:rPr>
            </w:pPr>
            <w:r w:rsidRPr="009A27ED">
              <w:rPr>
                <w:rFonts w:eastAsia="Times New Roman"/>
                <w:sz w:val="20"/>
                <w:szCs w:val="20"/>
                <w:lang w:val="en-US"/>
              </w:rPr>
              <w:t>420.5</w:t>
            </w:r>
          </w:p>
        </w:tc>
        <w:tc>
          <w:tcPr>
            <w:tcW w:w="1080" w:type="dxa"/>
            <w:tcBorders>
              <w:top w:val="nil"/>
              <w:left w:val="nil"/>
              <w:bottom w:val="single" w:sz="8" w:space="0" w:color="auto"/>
              <w:right w:val="single" w:sz="8" w:space="0" w:color="auto"/>
            </w:tcBorders>
            <w:vAlign w:val="center"/>
            <w:hideMark/>
          </w:tcPr>
          <w:p w14:paraId="6EAB8F56" w14:textId="77777777" w:rsidR="0004071A" w:rsidRPr="009A27ED" w:rsidRDefault="0004071A" w:rsidP="002A67F7">
            <w:pPr>
              <w:spacing w:after="0"/>
              <w:jc w:val="left"/>
              <w:rPr>
                <w:rFonts w:eastAsia="Times New Roman"/>
                <w:sz w:val="20"/>
                <w:szCs w:val="20"/>
                <w:lang w:val="en-US"/>
              </w:rPr>
            </w:pPr>
            <w:r w:rsidRPr="009A27ED">
              <w:rPr>
                <w:rFonts w:eastAsia="Times New Roman"/>
                <w:sz w:val="20"/>
                <w:szCs w:val="20"/>
                <w:lang w:val="en-US"/>
              </w:rPr>
              <w:t>3.71</w:t>
            </w:r>
          </w:p>
        </w:tc>
        <w:tc>
          <w:tcPr>
            <w:tcW w:w="1080" w:type="dxa"/>
            <w:tcBorders>
              <w:top w:val="nil"/>
              <w:left w:val="nil"/>
              <w:bottom w:val="single" w:sz="8" w:space="0" w:color="auto"/>
              <w:right w:val="single" w:sz="8" w:space="0" w:color="auto"/>
            </w:tcBorders>
            <w:vAlign w:val="center"/>
            <w:hideMark/>
          </w:tcPr>
          <w:p w14:paraId="46A6BB78" w14:textId="77777777" w:rsidR="0004071A" w:rsidRPr="009A27ED" w:rsidRDefault="0004071A" w:rsidP="002A67F7">
            <w:pPr>
              <w:spacing w:after="0"/>
              <w:jc w:val="left"/>
              <w:rPr>
                <w:rFonts w:eastAsia="Times New Roman"/>
                <w:sz w:val="20"/>
                <w:szCs w:val="20"/>
                <w:lang w:val="en-US"/>
              </w:rPr>
            </w:pPr>
            <w:r w:rsidRPr="009A27ED">
              <w:rPr>
                <w:rFonts w:eastAsia="Times New Roman"/>
                <w:sz w:val="20"/>
                <w:szCs w:val="20"/>
                <w:lang w:val="en-US"/>
              </w:rPr>
              <w:t>36.14</w:t>
            </w:r>
          </w:p>
        </w:tc>
        <w:tc>
          <w:tcPr>
            <w:tcW w:w="1350" w:type="dxa"/>
            <w:tcBorders>
              <w:top w:val="nil"/>
              <w:left w:val="nil"/>
              <w:bottom w:val="single" w:sz="8" w:space="0" w:color="auto"/>
              <w:right w:val="single" w:sz="8" w:space="0" w:color="auto"/>
            </w:tcBorders>
            <w:vAlign w:val="center"/>
            <w:hideMark/>
          </w:tcPr>
          <w:p w14:paraId="0572D3B9" w14:textId="77777777" w:rsidR="0004071A" w:rsidRPr="009A27ED" w:rsidRDefault="0004071A" w:rsidP="002A67F7">
            <w:pPr>
              <w:spacing w:after="0"/>
              <w:jc w:val="left"/>
              <w:rPr>
                <w:rFonts w:eastAsia="Times New Roman"/>
                <w:sz w:val="20"/>
                <w:szCs w:val="20"/>
                <w:lang w:val="en-US"/>
              </w:rPr>
            </w:pPr>
            <w:r w:rsidRPr="009A27ED">
              <w:rPr>
                <w:rFonts w:eastAsia="Times New Roman"/>
                <w:sz w:val="20"/>
                <w:szCs w:val="20"/>
                <w:lang w:val="en-US"/>
              </w:rPr>
              <w:t>28.73</w:t>
            </w:r>
          </w:p>
        </w:tc>
        <w:tc>
          <w:tcPr>
            <w:tcW w:w="1350" w:type="dxa"/>
            <w:tcBorders>
              <w:top w:val="nil"/>
              <w:left w:val="nil"/>
              <w:bottom w:val="single" w:sz="8" w:space="0" w:color="auto"/>
              <w:right w:val="single" w:sz="4" w:space="0" w:color="auto"/>
            </w:tcBorders>
            <w:vAlign w:val="center"/>
            <w:hideMark/>
          </w:tcPr>
          <w:p w14:paraId="21310D9E" w14:textId="77777777" w:rsidR="0004071A" w:rsidRPr="009A27ED" w:rsidRDefault="0004071A" w:rsidP="002A67F7">
            <w:pPr>
              <w:spacing w:after="0"/>
              <w:jc w:val="left"/>
              <w:rPr>
                <w:rFonts w:eastAsia="Times New Roman"/>
                <w:sz w:val="20"/>
                <w:szCs w:val="20"/>
                <w:lang w:val="en-US"/>
              </w:rPr>
            </w:pPr>
            <w:r w:rsidRPr="009A27ED">
              <w:rPr>
                <w:rFonts w:eastAsia="Times New Roman"/>
                <w:sz w:val="20"/>
                <w:szCs w:val="20"/>
                <w:lang w:val="en-US"/>
              </w:rPr>
              <w:t>16.17</w:t>
            </w:r>
          </w:p>
        </w:tc>
      </w:tr>
      <w:tr w:rsidR="00E02BF6" w:rsidRPr="009A27ED" w14:paraId="2863C2DC" w14:textId="77777777" w:rsidTr="002A67F7">
        <w:trPr>
          <w:trHeight w:val="315"/>
        </w:trPr>
        <w:tc>
          <w:tcPr>
            <w:tcW w:w="851" w:type="dxa"/>
            <w:tcBorders>
              <w:top w:val="nil"/>
              <w:left w:val="single" w:sz="8" w:space="0" w:color="auto"/>
              <w:bottom w:val="single" w:sz="8" w:space="0" w:color="auto"/>
              <w:right w:val="single" w:sz="8" w:space="0" w:color="auto"/>
            </w:tcBorders>
            <w:noWrap/>
            <w:vAlign w:val="center"/>
            <w:hideMark/>
          </w:tcPr>
          <w:p w14:paraId="572EB322"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rPr>
              <w:t>Área 2</w:t>
            </w:r>
          </w:p>
        </w:tc>
        <w:tc>
          <w:tcPr>
            <w:tcW w:w="1014" w:type="dxa"/>
            <w:tcBorders>
              <w:top w:val="nil"/>
              <w:left w:val="nil"/>
              <w:bottom w:val="single" w:sz="8" w:space="0" w:color="auto"/>
              <w:right w:val="single" w:sz="8" w:space="0" w:color="auto"/>
            </w:tcBorders>
            <w:noWrap/>
            <w:vAlign w:val="center"/>
            <w:hideMark/>
          </w:tcPr>
          <w:p w14:paraId="359AF598"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4.02</w:t>
            </w:r>
          </w:p>
        </w:tc>
        <w:tc>
          <w:tcPr>
            <w:tcW w:w="990" w:type="dxa"/>
            <w:tcBorders>
              <w:top w:val="nil"/>
              <w:left w:val="nil"/>
              <w:bottom w:val="single" w:sz="8" w:space="0" w:color="auto"/>
              <w:right w:val="single" w:sz="8" w:space="0" w:color="auto"/>
            </w:tcBorders>
            <w:noWrap/>
            <w:vAlign w:val="center"/>
            <w:hideMark/>
          </w:tcPr>
          <w:p w14:paraId="14CCA4AF"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3.25</w:t>
            </w:r>
          </w:p>
        </w:tc>
        <w:tc>
          <w:tcPr>
            <w:tcW w:w="990" w:type="dxa"/>
            <w:tcBorders>
              <w:top w:val="nil"/>
              <w:left w:val="nil"/>
              <w:bottom w:val="single" w:sz="8" w:space="0" w:color="auto"/>
              <w:right w:val="single" w:sz="8" w:space="0" w:color="auto"/>
            </w:tcBorders>
            <w:noWrap/>
            <w:vAlign w:val="center"/>
            <w:hideMark/>
          </w:tcPr>
          <w:p w14:paraId="09D68699"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0.62</w:t>
            </w:r>
          </w:p>
        </w:tc>
        <w:tc>
          <w:tcPr>
            <w:tcW w:w="990" w:type="dxa"/>
            <w:tcBorders>
              <w:top w:val="nil"/>
              <w:left w:val="nil"/>
              <w:bottom w:val="single" w:sz="8" w:space="0" w:color="auto"/>
              <w:right w:val="single" w:sz="8" w:space="0" w:color="auto"/>
            </w:tcBorders>
            <w:noWrap/>
            <w:vAlign w:val="center"/>
            <w:hideMark/>
          </w:tcPr>
          <w:p w14:paraId="05F657D4"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0</w:t>
            </w:r>
          </w:p>
        </w:tc>
        <w:tc>
          <w:tcPr>
            <w:tcW w:w="900" w:type="dxa"/>
            <w:tcBorders>
              <w:top w:val="nil"/>
              <w:left w:val="nil"/>
              <w:bottom w:val="single" w:sz="8" w:space="0" w:color="auto"/>
              <w:right w:val="single" w:sz="8" w:space="0" w:color="auto"/>
            </w:tcBorders>
            <w:vAlign w:val="center"/>
            <w:hideMark/>
          </w:tcPr>
          <w:p w14:paraId="569414FD"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208.5</w:t>
            </w:r>
          </w:p>
        </w:tc>
        <w:tc>
          <w:tcPr>
            <w:tcW w:w="1080" w:type="dxa"/>
            <w:tcBorders>
              <w:top w:val="nil"/>
              <w:left w:val="nil"/>
              <w:bottom w:val="single" w:sz="8" w:space="0" w:color="auto"/>
              <w:right w:val="single" w:sz="8" w:space="0" w:color="auto"/>
            </w:tcBorders>
            <w:vAlign w:val="center"/>
            <w:hideMark/>
          </w:tcPr>
          <w:p w14:paraId="09F617DD"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1</w:t>
            </w:r>
          </w:p>
        </w:tc>
        <w:tc>
          <w:tcPr>
            <w:tcW w:w="1080" w:type="dxa"/>
            <w:tcBorders>
              <w:top w:val="nil"/>
              <w:left w:val="nil"/>
              <w:bottom w:val="single" w:sz="8" w:space="0" w:color="auto"/>
              <w:right w:val="single" w:sz="8" w:space="0" w:color="auto"/>
            </w:tcBorders>
            <w:vAlign w:val="center"/>
            <w:hideMark/>
          </w:tcPr>
          <w:p w14:paraId="40FE269E"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28.75</w:t>
            </w:r>
          </w:p>
        </w:tc>
        <w:tc>
          <w:tcPr>
            <w:tcW w:w="1350" w:type="dxa"/>
            <w:tcBorders>
              <w:top w:val="nil"/>
              <w:left w:val="nil"/>
              <w:bottom w:val="single" w:sz="8" w:space="0" w:color="auto"/>
              <w:right w:val="single" w:sz="8" w:space="0" w:color="auto"/>
            </w:tcBorders>
            <w:vAlign w:val="center"/>
            <w:hideMark/>
          </w:tcPr>
          <w:p w14:paraId="711C511D"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10.9</w:t>
            </w:r>
          </w:p>
        </w:tc>
        <w:tc>
          <w:tcPr>
            <w:tcW w:w="1350" w:type="dxa"/>
            <w:tcBorders>
              <w:top w:val="nil"/>
              <w:left w:val="nil"/>
              <w:bottom w:val="single" w:sz="8" w:space="0" w:color="auto"/>
              <w:right w:val="single" w:sz="4" w:space="0" w:color="auto"/>
            </w:tcBorders>
            <w:vAlign w:val="center"/>
            <w:hideMark/>
          </w:tcPr>
          <w:p w14:paraId="6660BDF1"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8.96</w:t>
            </w:r>
          </w:p>
        </w:tc>
      </w:tr>
      <w:tr w:rsidR="00E02BF6" w:rsidRPr="009A27ED" w14:paraId="430C231E" w14:textId="77777777" w:rsidTr="002A67F7">
        <w:trPr>
          <w:trHeight w:val="315"/>
        </w:trPr>
        <w:tc>
          <w:tcPr>
            <w:tcW w:w="851" w:type="dxa"/>
            <w:tcBorders>
              <w:top w:val="nil"/>
              <w:left w:val="single" w:sz="8" w:space="0" w:color="auto"/>
              <w:bottom w:val="single" w:sz="8" w:space="0" w:color="auto"/>
              <w:right w:val="single" w:sz="8" w:space="0" w:color="auto"/>
            </w:tcBorders>
            <w:noWrap/>
            <w:vAlign w:val="center"/>
            <w:hideMark/>
          </w:tcPr>
          <w:p w14:paraId="16373283"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rPr>
              <w:t>Área 3</w:t>
            </w:r>
          </w:p>
        </w:tc>
        <w:tc>
          <w:tcPr>
            <w:tcW w:w="1014" w:type="dxa"/>
            <w:tcBorders>
              <w:top w:val="nil"/>
              <w:left w:val="nil"/>
              <w:bottom w:val="single" w:sz="8" w:space="0" w:color="auto"/>
              <w:right w:val="single" w:sz="8" w:space="0" w:color="auto"/>
            </w:tcBorders>
            <w:noWrap/>
            <w:vAlign w:val="center"/>
            <w:hideMark/>
          </w:tcPr>
          <w:p w14:paraId="5E999518"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13.07</w:t>
            </w:r>
          </w:p>
        </w:tc>
        <w:tc>
          <w:tcPr>
            <w:tcW w:w="990" w:type="dxa"/>
            <w:tcBorders>
              <w:top w:val="nil"/>
              <w:left w:val="nil"/>
              <w:bottom w:val="single" w:sz="8" w:space="0" w:color="auto"/>
              <w:right w:val="single" w:sz="8" w:space="0" w:color="auto"/>
            </w:tcBorders>
            <w:noWrap/>
            <w:vAlign w:val="center"/>
            <w:hideMark/>
          </w:tcPr>
          <w:p w14:paraId="44F99AD3"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12.60</w:t>
            </w:r>
          </w:p>
        </w:tc>
        <w:tc>
          <w:tcPr>
            <w:tcW w:w="990" w:type="dxa"/>
            <w:tcBorders>
              <w:top w:val="nil"/>
              <w:left w:val="nil"/>
              <w:bottom w:val="single" w:sz="8" w:space="0" w:color="auto"/>
              <w:right w:val="single" w:sz="8" w:space="0" w:color="auto"/>
            </w:tcBorders>
            <w:noWrap/>
            <w:vAlign w:val="center"/>
            <w:hideMark/>
          </w:tcPr>
          <w:p w14:paraId="36B57A14"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1</w:t>
            </w:r>
          </w:p>
        </w:tc>
        <w:tc>
          <w:tcPr>
            <w:tcW w:w="990" w:type="dxa"/>
            <w:tcBorders>
              <w:top w:val="nil"/>
              <w:left w:val="nil"/>
              <w:bottom w:val="single" w:sz="8" w:space="0" w:color="auto"/>
              <w:right w:val="single" w:sz="8" w:space="0" w:color="auto"/>
            </w:tcBorders>
            <w:noWrap/>
            <w:vAlign w:val="center"/>
            <w:hideMark/>
          </w:tcPr>
          <w:p w14:paraId="6B191A8B"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8.07</w:t>
            </w:r>
          </w:p>
        </w:tc>
        <w:tc>
          <w:tcPr>
            <w:tcW w:w="900" w:type="dxa"/>
            <w:tcBorders>
              <w:top w:val="nil"/>
              <w:left w:val="nil"/>
              <w:bottom w:val="single" w:sz="8" w:space="0" w:color="auto"/>
              <w:right w:val="single" w:sz="8" w:space="0" w:color="auto"/>
            </w:tcBorders>
            <w:vAlign w:val="center"/>
            <w:hideMark/>
          </w:tcPr>
          <w:p w14:paraId="3D1C3910"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172.91</w:t>
            </w:r>
          </w:p>
        </w:tc>
        <w:tc>
          <w:tcPr>
            <w:tcW w:w="1080" w:type="dxa"/>
            <w:tcBorders>
              <w:top w:val="nil"/>
              <w:left w:val="nil"/>
              <w:bottom w:val="single" w:sz="8" w:space="0" w:color="auto"/>
              <w:right w:val="single" w:sz="8" w:space="0" w:color="auto"/>
            </w:tcBorders>
            <w:vAlign w:val="center"/>
            <w:hideMark/>
          </w:tcPr>
          <w:p w14:paraId="7EC5EA4F"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15.61</w:t>
            </w:r>
          </w:p>
        </w:tc>
        <w:tc>
          <w:tcPr>
            <w:tcW w:w="1080" w:type="dxa"/>
            <w:tcBorders>
              <w:top w:val="nil"/>
              <w:left w:val="nil"/>
              <w:bottom w:val="single" w:sz="8" w:space="0" w:color="auto"/>
              <w:right w:val="single" w:sz="8" w:space="0" w:color="auto"/>
            </w:tcBorders>
            <w:vAlign w:val="center"/>
            <w:hideMark/>
          </w:tcPr>
          <w:p w14:paraId="09BACE31"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76.69</w:t>
            </w:r>
          </w:p>
        </w:tc>
        <w:tc>
          <w:tcPr>
            <w:tcW w:w="1350" w:type="dxa"/>
            <w:tcBorders>
              <w:top w:val="nil"/>
              <w:left w:val="nil"/>
              <w:bottom w:val="single" w:sz="8" w:space="0" w:color="auto"/>
              <w:right w:val="single" w:sz="8" w:space="0" w:color="auto"/>
            </w:tcBorders>
            <w:vAlign w:val="center"/>
            <w:hideMark/>
          </w:tcPr>
          <w:p w14:paraId="5E84DA15"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21.79</w:t>
            </w:r>
          </w:p>
        </w:tc>
        <w:tc>
          <w:tcPr>
            <w:tcW w:w="1350" w:type="dxa"/>
            <w:tcBorders>
              <w:top w:val="nil"/>
              <w:left w:val="nil"/>
              <w:bottom w:val="single" w:sz="8" w:space="0" w:color="auto"/>
              <w:right w:val="single" w:sz="4" w:space="0" w:color="auto"/>
            </w:tcBorders>
            <w:vAlign w:val="center"/>
            <w:hideMark/>
          </w:tcPr>
          <w:p w14:paraId="29AF3EE2"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11.97</w:t>
            </w:r>
          </w:p>
        </w:tc>
      </w:tr>
      <w:tr w:rsidR="00E02BF6" w:rsidRPr="009A27ED" w14:paraId="09C722C2" w14:textId="77777777" w:rsidTr="002A67F7">
        <w:trPr>
          <w:trHeight w:val="315"/>
        </w:trPr>
        <w:tc>
          <w:tcPr>
            <w:tcW w:w="851" w:type="dxa"/>
            <w:tcBorders>
              <w:top w:val="nil"/>
              <w:left w:val="single" w:sz="8" w:space="0" w:color="auto"/>
              <w:bottom w:val="single" w:sz="8" w:space="0" w:color="auto"/>
              <w:right w:val="single" w:sz="8" w:space="0" w:color="auto"/>
            </w:tcBorders>
            <w:noWrap/>
            <w:vAlign w:val="center"/>
            <w:hideMark/>
          </w:tcPr>
          <w:p w14:paraId="43AC0685"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rPr>
              <w:t>Área 4</w:t>
            </w:r>
          </w:p>
        </w:tc>
        <w:tc>
          <w:tcPr>
            <w:tcW w:w="1014" w:type="dxa"/>
            <w:tcBorders>
              <w:top w:val="nil"/>
              <w:left w:val="nil"/>
              <w:bottom w:val="single" w:sz="8" w:space="0" w:color="auto"/>
              <w:right w:val="single" w:sz="8" w:space="0" w:color="auto"/>
            </w:tcBorders>
            <w:noWrap/>
            <w:vAlign w:val="center"/>
            <w:hideMark/>
          </w:tcPr>
          <w:p w14:paraId="3983073D"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27</w:t>
            </w:r>
          </w:p>
        </w:tc>
        <w:tc>
          <w:tcPr>
            <w:tcW w:w="990" w:type="dxa"/>
            <w:tcBorders>
              <w:top w:val="nil"/>
              <w:left w:val="nil"/>
              <w:bottom w:val="single" w:sz="8" w:space="0" w:color="auto"/>
              <w:right w:val="single" w:sz="8" w:space="0" w:color="auto"/>
            </w:tcBorders>
            <w:noWrap/>
            <w:vAlign w:val="center"/>
            <w:hideMark/>
          </w:tcPr>
          <w:p w14:paraId="72B990B7"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25.33</w:t>
            </w:r>
          </w:p>
        </w:tc>
        <w:tc>
          <w:tcPr>
            <w:tcW w:w="990" w:type="dxa"/>
            <w:tcBorders>
              <w:top w:val="nil"/>
              <w:left w:val="nil"/>
              <w:bottom w:val="single" w:sz="8" w:space="0" w:color="auto"/>
              <w:right w:val="single" w:sz="8" w:space="0" w:color="auto"/>
            </w:tcBorders>
            <w:noWrap/>
            <w:vAlign w:val="center"/>
            <w:hideMark/>
          </w:tcPr>
          <w:p w14:paraId="53F1A95A"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1.66</w:t>
            </w:r>
          </w:p>
        </w:tc>
        <w:tc>
          <w:tcPr>
            <w:tcW w:w="990" w:type="dxa"/>
            <w:tcBorders>
              <w:top w:val="nil"/>
              <w:left w:val="nil"/>
              <w:bottom w:val="single" w:sz="8" w:space="0" w:color="auto"/>
              <w:right w:val="single" w:sz="8" w:space="0" w:color="auto"/>
            </w:tcBorders>
            <w:noWrap/>
            <w:vAlign w:val="center"/>
            <w:hideMark/>
          </w:tcPr>
          <w:p w14:paraId="78FAB8AF"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48.33</w:t>
            </w:r>
          </w:p>
        </w:tc>
        <w:tc>
          <w:tcPr>
            <w:tcW w:w="900" w:type="dxa"/>
            <w:tcBorders>
              <w:top w:val="nil"/>
              <w:left w:val="nil"/>
              <w:bottom w:val="single" w:sz="8" w:space="0" w:color="auto"/>
              <w:right w:val="single" w:sz="8" w:space="0" w:color="auto"/>
            </w:tcBorders>
            <w:vAlign w:val="center"/>
            <w:hideMark/>
          </w:tcPr>
          <w:p w14:paraId="458C0D5B"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48.46</w:t>
            </w:r>
          </w:p>
        </w:tc>
        <w:tc>
          <w:tcPr>
            <w:tcW w:w="1080" w:type="dxa"/>
            <w:tcBorders>
              <w:top w:val="nil"/>
              <w:left w:val="nil"/>
              <w:bottom w:val="single" w:sz="8" w:space="0" w:color="auto"/>
              <w:right w:val="single" w:sz="8" w:space="0" w:color="auto"/>
            </w:tcBorders>
            <w:vAlign w:val="center"/>
            <w:hideMark/>
          </w:tcPr>
          <w:p w14:paraId="28E93899"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18.11</w:t>
            </w:r>
          </w:p>
        </w:tc>
        <w:tc>
          <w:tcPr>
            <w:tcW w:w="1080" w:type="dxa"/>
            <w:tcBorders>
              <w:top w:val="nil"/>
              <w:left w:val="nil"/>
              <w:bottom w:val="single" w:sz="8" w:space="0" w:color="auto"/>
              <w:right w:val="single" w:sz="8" w:space="0" w:color="auto"/>
            </w:tcBorders>
            <w:vAlign w:val="center"/>
            <w:hideMark/>
          </w:tcPr>
          <w:p w14:paraId="162D0593"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140.66</w:t>
            </w:r>
          </w:p>
        </w:tc>
        <w:tc>
          <w:tcPr>
            <w:tcW w:w="1350" w:type="dxa"/>
            <w:tcBorders>
              <w:top w:val="nil"/>
              <w:left w:val="nil"/>
              <w:bottom w:val="single" w:sz="8" w:space="0" w:color="auto"/>
              <w:right w:val="single" w:sz="8" w:space="0" w:color="auto"/>
            </w:tcBorders>
            <w:vAlign w:val="center"/>
            <w:hideMark/>
          </w:tcPr>
          <w:p w14:paraId="583B9086"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38.46</w:t>
            </w:r>
          </w:p>
        </w:tc>
        <w:tc>
          <w:tcPr>
            <w:tcW w:w="1350" w:type="dxa"/>
            <w:tcBorders>
              <w:top w:val="nil"/>
              <w:left w:val="nil"/>
              <w:bottom w:val="single" w:sz="8" w:space="0" w:color="auto"/>
              <w:right w:val="single" w:sz="4" w:space="0" w:color="auto"/>
            </w:tcBorders>
            <w:vAlign w:val="center"/>
            <w:hideMark/>
          </w:tcPr>
          <w:p w14:paraId="00244065"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14.0</w:t>
            </w:r>
          </w:p>
        </w:tc>
      </w:tr>
      <w:tr w:rsidR="00E02BF6" w:rsidRPr="009A27ED" w14:paraId="4311B127" w14:textId="77777777" w:rsidTr="002A67F7">
        <w:trPr>
          <w:trHeight w:val="315"/>
        </w:trPr>
        <w:tc>
          <w:tcPr>
            <w:tcW w:w="851" w:type="dxa"/>
            <w:tcBorders>
              <w:top w:val="nil"/>
              <w:left w:val="single" w:sz="8" w:space="0" w:color="auto"/>
              <w:bottom w:val="single" w:sz="8" w:space="0" w:color="auto"/>
              <w:right w:val="single" w:sz="8" w:space="0" w:color="auto"/>
            </w:tcBorders>
            <w:noWrap/>
            <w:vAlign w:val="center"/>
            <w:hideMark/>
          </w:tcPr>
          <w:p w14:paraId="378D2B92"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rPr>
              <w:t>Área 5</w:t>
            </w:r>
          </w:p>
        </w:tc>
        <w:tc>
          <w:tcPr>
            <w:tcW w:w="1014" w:type="dxa"/>
            <w:tcBorders>
              <w:top w:val="nil"/>
              <w:left w:val="nil"/>
              <w:bottom w:val="single" w:sz="8" w:space="0" w:color="auto"/>
              <w:right w:val="single" w:sz="8" w:space="0" w:color="auto"/>
            </w:tcBorders>
            <w:noWrap/>
            <w:vAlign w:val="center"/>
            <w:hideMark/>
          </w:tcPr>
          <w:p w14:paraId="3DCD3FA5"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10</w:t>
            </w:r>
          </w:p>
        </w:tc>
        <w:tc>
          <w:tcPr>
            <w:tcW w:w="990" w:type="dxa"/>
            <w:tcBorders>
              <w:top w:val="nil"/>
              <w:left w:val="nil"/>
              <w:bottom w:val="single" w:sz="8" w:space="0" w:color="auto"/>
              <w:right w:val="single" w:sz="8" w:space="0" w:color="auto"/>
            </w:tcBorders>
            <w:noWrap/>
            <w:vAlign w:val="center"/>
            <w:hideMark/>
          </w:tcPr>
          <w:p w14:paraId="060F6FAB"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9.5</w:t>
            </w:r>
          </w:p>
        </w:tc>
        <w:tc>
          <w:tcPr>
            <w:tcW w:w="990" w:type="dxa"/>
            <w:tcBorders>
              <w:top w:val="nil"/>
              <w:left w:val="nil"/>
              <w:bottom w:val="single" w:sz="8" w:space="0" w:color="auto"/>
              <w:right w:val="single" w:sz="8" w:space="0" w:color="auto"/>
            </w:tcBorders>
            <w:noWrap/>
            <w:vAlign w:val="center"/>
            <w:hideMark/>
          </w:tcPr>
          <w:p w14:paraId="193B949E"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1</w:t>
            </w:r>
          </w:p>
        </w:tc>
        <w:tc>
          <w:tcPr>
            <w:tcW w:w="990" w:type="dxa"/>
            <w:tcBorders>
              <w:top w:val="nil"/>
              <w:left w:val="nil"/>
              <w:bottom w:val="single" w:sz="8" w:space="0" w:color="auto"/>
              <w:right w:val="single" w:sz="8" w:space="0" w:color="auto"/>
            </w:tcBorders>
            <w:noWrap/>
            <w:vAlign w:val="center"/>
            <w:hideMark/>
          </w:tcPr>
          <w:p w14:paraId="1DC12C4B"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0.5</w:t>
            </w:r>
          </w:p>
        </w:tc>
        <w:tc>
          <w:tcPr>
            <w:tcW w:w="900" w:type="dxa"/>
            <w:tcBorders>
              <w:top w:val="nil"/>
              <w:left w:val="nil"/>
              <w:bottom w:val="single" w:sz="8" w:space="0" w:color="auto"/>
              <w:right w:val="single" w:sz="8" w:space="0" w:color="auto"/>
            </w:tcBorders>
            <w:vAlign w:val="center"/>
            <w:hideMark/>
          </w:tcPr>
          <w:p w14:paraId="16CD0A3F"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192.30</w:t>
            </w:r>
          </w:p>
        </w:tc>
        <w:tc>
          <w:tcPr>
            <w:tcW w:w="1080" w:type="dxa"/>
            <w:tcBorders>
              <w:top w:val="nil"/>
              <w:left w:val="nil"/>
              <w:bottom w:val="single" w:sz="8" w:space="0" w:color="auto"/>
              <w:right w:val="single" w:sz="8" w:space="0" w:color="auto"/>
            </w:tcBorders>
            <w:vAlign w:val="center"/>
            <w:hideMark/>
          </w:tcPr>
          <w:p w14:paraId="530ED3EC"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5.25</w:t>
            </w:r>
          </w:p>
        </w:tc>
        <w:tc>
          <w:tcPr>
            <w:tcW w:w="1080" w:type="dxa"/>
            <w:tcBorders>
              <w:top w:val="nil"/>
              <w:left w:val="nil"/>
              <w:bottom w:val="single" w:sz="8" w:space="0" w:color="auto"/>
              <w:right w:val="single" w:sz="8" w:space="0" w:color="auto"/>
            </w:tcBorders>
            <w:vAlign w:val="center"/>
            <w:hideMark/>
          </w:tcPr>
          <w:p w14:paraId="7AE4F80C"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31.25</w:t>
            </w:r>
          </w:p>
        </w:tc>
        <w:tc>
          <w:tcPr>
            <w:tcW w:w="1350" w:type="dxa"/>
            <w:tcBorders>
              <w:top w:val="nil"/>
              <w:left w:val="nil"/>
              <w:bottom w:val="single" w:sz="8" w:space="0" w:color="auto"/>
              <w:right w:val="single" w:sz="8" w:space="0" w:color="auto"/>
            </w:tcBorders>
            <w:vAlign w:val="center"/>
            <w:hideMark/>
          </w:tcPr>
          <w:p w14:paraId="3D0CD31B"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35.42</w:t>
            </w:r>
          </w:p>
        </w:tc>
        <w:tc>
          <w:tcPr>
            <w:tcW w:w="1350" w:type="dxa"/>
            <w:tcBorders>
              <w:top w:val="nil"/>
              <w:left w:val="nil"/>
              <w:bottom w:val="single" w:sz="8" w:space="0" w:color="auto"/>
              <w:right w:val="single" w:sz="4" w:space="0" w:color="auto"/>
            </w:tcBorders>
            <w:vAlign w:val="center"/>
            <w:hideMark/>
          </w:tcPr>
          <w:p w14:paraId="300B7845" w14:textId="77777777" w:rsidR="0004071A" w:rsidRPr="009A27ED" w:rsidRDefault="0004071A" w:rsidP="002A67F7">
            <w:pPr>
              <w:spacing w:after="0"/>
              <w:jc w:val="left"/>
              <w:rPr>
                <w:rFonts w:eastAsia="Times New Roman"/>
                <w:color w:val="000000"/>
                <w:sz w:val="20"/>
                <w:szCs w:val="20"/>
                <w:lang w:val="en-US"/>
              </w:rPr>
            </w:pPr>
            <w:r w:rsidRPr="009A27ED">
              <w:rPr>
                <w:rFonts w:eastAsia="Times New Roman"/>
                <w:color w:val="000000"/>
                <w:sz w:val="20"/>
                <w:szCs w:val="20"/>
                <w:lang w:val="en-US"/>
              </w:rPr>
              <w:t>33.6</w:t>
            </w:r>
          </w:p>
        </w:tc>
      </w:tr>
      <w:tr w:rsidR="00E02BF6" w:rsidRPr="009A27ED" w14:paraId="766E4009" w14:textId="77777777" w:rsidTr="002A67F7">
        <w:trPr>
          <w:trHeight w:val="152"/>
        </w:trPr>
        <w:tc>
          <w:tcPr>
            <w:tcW w:w="851" w:type="dxa"/>
            <w:tcBorders>
              <w:top w:val="nil"/>
              <w:left w:val="single" w:sz="8" w:space="0" w:color="auto"/>
              <w:bottom w:val="single" w:sz="8" w:space="0" w:color="auto"/>
              <w:right w:val="single" w:sz="8" w:space="0" w:color="auto"/>
            </w:tcBorders>
            <w:noWrap/>
            <w:vAlign w:val="center"/>
            <w:hideMark/>
          </w:tcPr>
          <w:p w14:paraId="18C606F4" w14:textId="77777777" w:rsidR="0004071A" w:rsidRPr="009A27ED" w:rsidRDefault="0004071A" w:rsidP="002A67F7">
            <w:pPr>
              <w:spacing w:after="0"/>
              <w:jc w:val="left"/>
              <w:rPr>
                <w:rFonts w:eastAsia="Times New Roman"/>
                <w:b/>
                <w:bCs/>
                <w:i/>
                <w:iCs/>
                <w:color w:val="000000"/>
                <w:sz w:val="20"/>
                <w:szCs w:val="20"/>
                <w:lang w:val="en-US"/>
              </w:rPr>
            </w:pPr>
            <w:r w:rsidRPr="009A27ED">
              <w:rPr>
                <w:rFonts w:eastAsia="Times New Roman"/>
                <w:b/>
                <w:bCs/>
                <w:i/>
                <w:iCs/>
                <w:color w:val="000000"/>
                <w:sz w:val="20"/>
                <w:szCs w:val="20"/>
              </w:rPr>
              <w:t>Total</w:t>
            </w:r>
          </w:p>
        </w:tc>
        <w:tc>
          <w:tcPr>
            <w:tcW w:w="1014" w:type="dxa"/>
            <w:tcBorders>
              <w:top w:val="nil"/>
              <w:left w:val="nil"/>
              <w:bottom w:val="single" w:sz="8" w:space="0" w:color="auto"/>
              <w:right w:val="single" w:sz="8" w:space="0" w:color="auto"/>
            </w:tcBorders>
            <w:noWrap/>
            <w:vAlign w:val="center"/>
            <w:hideMark/>
          </w:tcPr>
          <w:p w14:paraId="000573B2" w14:textId="77777777" w:rsidR="0004071A" w:rsidRPr="009A27ED" w:rsidRDefault="0004071A" w:rsidP="002A67F7">
            <w:pPr>
              <w:spacing w:after="0"/>
              <w:jc w:val="left"/>
              <w:rPr>
                <w:rFonts w:eastAsia="Times New Roman"/>
                <w:b/>
                <w:bCs/>
                <w:i/>
                <w:color w:val="000000"/>
                <w:sz w:val="20"/>
                <w:szCs w:val="20"/>
                <w:lang w:val="en-US"/>
              </w:rPr>
            </w:pPr>
            <w:r w:rsidRPr="009A27ED">
              <w:rPr>
                <w:rFonts w:eastAsia="Times New Roman"/>
                <w:b/>
                <w:bCs/>
                <w:i/>
                <w:color w:val="000000"/>
                <w:sz w:val="20"/>
                <w:szCs w:val="20"/>
                <w:lang w:val="en-US"/>
              </w:rPr>
              <w:t>12.21</w:t>
            </w:r>
          </w:p>
        </w:tc>
        <w:tc>
          <w:tcPr>
            <w:tcW w:w="990" w:type="dxa"/>
            <w:tcBorders>
              <w:top w:val="nil"/>
              <w:left w:val="nil"/>
              <w:bottom w:val="single" w:sz="8" w:space="0" w:color="auto"/>
              <w:right w:val="single" w:sz="8" w:space="0" w:color="auto"/>
            </w:tcBorders>
            <w:noWrap/>
            <w:vAlign w:val="center"/>
            <w:hideMark/>
          </w:tcPr>
          <w:p w14:paraId="6C3417DA" w14:textId="77777777" w:rsidR="0004071A" w:rsidRPr="009A27ED" w:rsidRDefault="0004071A" w:rsidP="002A67F7">
            <w:pPr>
              <w:spacing w:after="0"/>
              <w:jc w:val="left"/>
              <w:rPr>
                <w:rFonts w:eastAsia="Times New Roman"/>
                <w:b/>
                <w:bCs/>
                <w:i/>
                <w:color w:val="000000"/>
                <w:sz w:val="20"/>
                <w:szCs w:val="20"/>
                <w:lang w:val="en-US"/>
              </w:rPr>
            </w:pPr>
            <w:r w:rsidRPr="009A27ED">
              <w:rPr>
                <w:rFonts w:eastAsia="Times New Roman"/>
                <w:b/>
                <w:bCs/>
                <w:i/>
                <w:color w:val="000000"/>
                <w:sz w:val="20"/>
                <w:szCs w:val="20"/>
                <w:lang w:val="en-US"/>
              </w:rPr>
              <w:t>12.42</w:t>
            </w:r>
          </w:p>
        </w:tc>
        <w:tc>
          <w:tcPr>
            <w:tcW w:w="990" w:type="dxa"/>
            <w:tcBorders>
              <w:top w:val="nil"/>
              <w:left w:val="nil"/>
              <w:bottom w:val="single" w:sz="8" w:space="0" w:color="auto"/>
              <w:right w:val="single" w:sz="8" w:space="0" w:color="auto"/>
            </w:tcBorders>
            <w:noWrap/>
            <w:vAlign w:val="center"/>
            <w:hideMark/>
          </w:tcPr>
          <w:p w14:paraId="2583FC23" w14:textId="77777777" w:rsidR="0004071A" w:rsidRPr="009A27ED" w:rsidRDefault="0004071A" w:rsidP="002A67F7">
            <w:pPr>
              <w:spacing w:after="0"/>
              <w:jc w:val="left"/>
              <w:rPr>
                <w:rFonts w:eastAsia="Times New Roman"/>
                <w:b/>
                <w:bCs/>
                <w:i/>
                <w:color w:val="000000"/>
                <w:sz w:val="20"/>
                <w:szCs w:val="20"/>
                <w:lang w:val="en-US"/>
              </w:rPr>
            </w:pPr>
            <w:r w:rsidRPr="009A27ED">
              <w:rPr>
                <w:rFonts w:eastAsia="Times New Roman"/>
                <w:b/>
                <w:bCs/>
                <w:i/>
                <w:color w:val="000000"/>
                <w:sz w:val="20"/>
                <w:szCs w:val="20"/>
                <w:lang w:val="en-US"/>
              </w:rPr>
              <w:t>1.02</w:t>
            </w:r>
          </w:p>
        </w:tc>
        <w:tc>
          <w:tcPr>
            <w:tcW w:w="990" w:type="dxa"/>
            <w:tcBorders>
              <w:top w:val="nil"/>
              <w:left w:val="nil"/>
              <w:bottom w:val="single" w:sz="8" w:space="0" w:color="auto"/>
              <w:right w:val="single" w:sz="8" w:space="0" w:color="auto"/>
            </w:tcBorders>
            <w:noWrap/>
            <w:vAlign w:val="center"/>
            <w:hideMark/>
          </w:tcPr>
          <w:p w14:paraId="536C8861" w14:textId="77777777" w:rsidR="0004071A" w:rsidRPr="009A27ED" w:rsidRDefault="0004071A" w:rsidP="002A67F7">
            <w:pPr>
              <w:spacing w:after="0"/>
              <w:jc w:val="left"/>
              <w:rPr>
                <w:rFonts w:eastAsia="Times New Roman"/>
                <w:b/>
                <w:bCs/>
                <w:i/>
                <w:color w:val="000000"/>
                <w:sz w:val="20"/>
                <w:szCs w:val="20"/>
                <w:lang w:val="en-US"/>
              </w:rPr>
            </w:pPr>
            <w:r w:rsidRPr="009A27ED">
              <w:rPr>
                <w:rFonts w:eastAsia="Times New Roman"/>
                <w:b/>
                <w:bCs/>
                <w:i/>
                <w:color w:val="000000"/>
                <w:sz w:val="20"/>
                <w:szCs w:val="20"/>
                <w:lang w:val="en-US"/>
              </w:rPr>
              <w:t>11.72</w:t>
            </w:r>
          </w:p>
        </w:tc>
        <w:tc>
          <w:tcPr>
            <w:tcW w:w="900" w:type="dxa"/>
            <w:tcBorders>
              <w:top w:val="nil"/>
              <w:left w:val="nil"/>
              <w:bottom w:val="single" w:sz="8" w:space="0" w:color="auto"/>
              <w:right w:val="single" w:sz="8" w:space="0" w:color="auto"/>
            </w:tcBorders>
            <w:vAlign w:val="center"/>
            <w:hideMark/>
          </w:tcPr>
          <w:p w14:paraId="05B8DDE3" w14:textId="77777777" w:rsidR="0004071A" w:rsidRPr="009A27ED" w:rsidRDefault="0004071A" w:rsidP="002A67F7">
            <w:pPr>
              <w:spacing w:after="0"/>
              <w:jc w:val="left"/>
              <w:rPr>
                <w:rFonts w:eastAsia="Times New Roman"/>
                <w:b/>
                <w:bCs/>
                <w:i/>
                <w:color w:val="000000"/>
                <w:sz w:val="20"/>
                <w:szCs w:val="20"/>
                <w:lang w:val="en-US"/>
              </w:rPr>
            </w:pPr>
            <w:r w:rsidRPr="009A27ED">
              <w:rPr>
                <w:rFonts w:eastAsia="Times New Roman"/>
                <w:b/>
                <w:bCs/>
                <w:i/>
                <w:color w:val="000000"/>
                <w:sz w:val="20"/>
                <w:szCs w:val="20"/>
                <w:lang w:val="en-US"/>
              </w:rPr>
              <w:t>208.53</w:t>
            </w:r>
          </w:p>
        </w:tc>
        <w:tc>
          <w:tcPr>
            <w:tcW w:w="1080" w:type="dxa"/>
            <w:tcBorders>
              <w:top w:val="nil"/>
              <w:left w:val="nil"/>
              <w:bottom w:val="single" w:sz="8" w:space="0" w:color="auto"/>
              <w:right w:val="single" w:sz="8" w:space="0" w:color="auto"/>
            </w:tcBorders>
            <w:vAlign w:val="center"/>
            <w:hideMark/>
          </w:tcPr>
          <w:p w14:paraId="20250F7B" w14:textId="77777777" w:rsidR="0004071A" w:rsidRPr="009A27ED" w:rsidRDefault="0004071A" w:rsidP="002A67F7">
            <w:pPr>
              <w:spacing w:after="0"/>
              <w:jc w:val="left"/>
              <w:rPr>
                <w:rFonts w:eastAsia="Times New Roman"/>
                <w:b/>
                <w:bCs/>
                <w:i/>
                <w:color w:val="000000"/>
                <w:sz w:val="20"/>
                <w:szCs w:val="20"/>
                <w:lang w:val="en-US"/>
              </w:rPr>
            </w:pPr>
            <w:r w:rsidRPr="009A27ED">
              <w:rPr>
                <w:rFonts w:eastAsia="Times New Roman"/>
                <w:b/>
                <w:bCs/>
                <w:i/>
                <w:color w:val="000000"/>
                <w:sz w:val="20"/>
                <w:szCs w:val="20"/>
                <w:lang w:val="en-US"/>
              </w:rPr>
              <w:t>8.73</w:t>
            </w:r>
          </w:p>
        </w:tc>
        <w:tc>
          <w:tcPr>
            <w:tcW w:w="1080" w:type="dxa"/>
            <w:tcBorders>
              <w:top w:val="nil"/>
              <w:left w:val="nil"/>
              <w:bottom w:val="single" w:sz="8" w:space="0" w:color="auto"/>
              <w:right w:val="single" w:sz="8" w:space="0" w:color="auto"/>
            </w:tcBorders>
            <w:vAlign w:val="center"/>
            <w:hideMark/>
          </w:tcPr>
          <w:p w14:paraId="48CF9622" w14:textId="77777777" w:rsidR="0004071A" w:rsidRPr="009A27ED" w:rsidRDefault="0004071A" w:rsidP="002A67F7">
            <w:pPr>
              <w:spacing w:after="0"/>
              <w:jc w:val="left"/>
              <w:rPr>
                <w:rFonts w:eastAsia="Times New Roman"/>
                <w:b/>
                <w:bCs/>
                <w:i/>
                <w:color w:val="000000"/>
                <w:sz w:val="20"/>
                <w:szCs w:val="20"/>
                <w:lang w:val="en-US"/>
              </w:rPr>
            </w:pPr>
            <w:r w:rsidRPr="009A27ED">
              <w:rPr>
                <w:rFonts w:eastAsia="Times New Roman"/>
                <w:b/>
                <w:bCs/>
                <w:i/>
                <w:color w:val="000000"/>
                <w:sz w:val="20"/>
                <w:szCs w:val="20"/>
                <w:lang w:val="en-US"/>
              </w:rPr>
              <w:t>62.69</w:t>
            </w:r>
          </w:p>
        </w:tc>
        <w:tc>
          <w:tcPr>
            <w:tcW w:w="1350" w:type="dxa"/>
            <w:tcBorders>
              <w:top w:val="nil"/>
              <w:left w:val="nil"/>
              <w:bottom w:val="single" w:sz="8" w:space="0" w:color="auto"/>
              <w:right w:val="single" w:sz="8" w:space="0" w:color="auto"/>
            </w:tcBorders>
            <w:vAlign w:val="center"/>
            <w:hideMark/>
          </w:tcPr>
          <w:p w14:paraId="5EBF75E2" w14:textId="77777777" w:rsidR="0004071A" w:rsidRPr="009A27ED" w:rsidRDefault="0004071A" w:rsidP="002A67F7">
            <w:pPr>
              <w:spacing w:after="0"/>
              <w:jc w:val="left"/>
              <w:rPr>
                <w:rFonts w:eastAsia="Times New Roman"/>
                <w:b/>
                <w:bCs/>
                <w:i/>
                <w:color w:val="000000"/>
                <w:sz w:val="20"/>
                <w:szCs w:val="20"/>
                <w:lang w:val="en-US"/>
              </w:rPr>
            </w:pPr>
            <w:r w:rsidRPr="009A27ED">
              <w:rPr>
                <w:rFonts w:eastAsia="Times New Roman"/>
                <w:b/>
                <w:bCs/>
                <w:i/>
                <w:color w:val="000000"/>
                <w:sz w:val="20"/>
                <w:szCs w:val="20"/>
                <w:lang w:val="en-US"/>
              </w:rPr>
              <w:t>27.06</w:t>
            </w:r>
          </w:p>
        </w:tc>
        <w:tc>
          <w:tcPr>
            <w:tcW w:w="1350" w:type="dxa"/>
            <w:tcBorders>
              <w:top w:val="nil"/>
              <w:left w:val="nil"/>
              <w:bottom w:val="single" w:sz="8" w:space="0" w:color="auto"/>
              <w:right w:val="single" w:sz="4" w:space="0" w:color="auto"/>
            </w:tcBorders>
            <w:vAlign w:val="center"/>
            <w:hideMark/>
          </w:tcPr>
          <w:p w14:paraId="721A4FA4" w14:textId="77777777" w:rsidR="0004071A" w:rsidRPr="009A27ED" w:rsidRDefault="0004071A" w:rsidP="00841FBE">
            <w:pPr>
              <w:keepNext/>
              <w:spacing w:after="0"/>
              <w:jc w:val="left"/>
              <w:rPr>
                <w:rFonts w:eastAsia="Times New Roman"/>
                <w:b/>
                <w:bCs/>
                <w:i/>
                <w:color w:val="000000"/>
                <w:sz w:val="20"/>
                <w:szCs w:val="20"/>
                <w:lang w:val="en-US"/>
              </w:rPr>
            </w:pPr>
            <w:r w:rsidRPr="009A27ED">
              <w:rPr>
                <w:rFonts w:eastAsia="Times New Roman"/>
                <w:b/>
                <w:bCs/>
                <w:i/>
                <w:color w:val="000000"/>
                <w:sz w:val="20"/>
                <w:szCs w:val="20"/>
                <w:lang w:val="en-US"/>
              </w:rPr>
              <w:t>16.94</w:t>
            </w:r>
          </w:p>
        </w:tc>
      </w:tr>
    </w:tbl>
    <w:p w14:paraId="2F256DB1" w14:textId="12C349DF" w:rsidR="0004071A" w:rsidRPr="009A27ED" w:rsidRDefault="0004071A" w:rsidP="00E67CB0">
      <w:pPr>
        <w:pStyle w:val="Prrafodelista"/>
        <w:numPr>
          <w:ilvl w:val="0"/>
          <w:numId w:val="296"/>
        </w:numPr>
        <w:spacing w:before="120" w:after="0" w:line="360" w:lineRule="auto"/>
        <w:rPr>
          <w:b/>
          <w:szCs w:val="22"/>
          <w:lang w:val="es-MX"/>
        </w:rPr>
      </w:pPr>
      <w:r w:rsidRPr="009A27ED">
        <w:rPr>
          <w:rFonts w:ascii="Times New Roman" w:eastAsia="Times New Roman" w:hAnsi="Times New Roman"/>
          <w:b/>
          <w:sz w:val="24"/>
          <w:szCs w:val="22"/>
          <w:lang w:val="es-MX"/>
        </w:rPr>
        <w:t xml:space="preserve">Ingresos y actividades económicas de la población </w:t>
      </w:r>
      <w:r w:rsidR="00841FBE" w:rsidRPr="009A27ED">
        <w:rPr>
          <w:rFonts w:ascii="Times New Roman" w:eastAsia="Times New Roman" w:hAnsi="Times New Roman"/>
          <w:b/>
          <w:sz w:val="24"/>
          <w:szCs w:val="22"/>
          <w:lang w:val="es-MX"/>
        </w:rPr>
        <w:t>en las</w:t>
      </w:r>
      <w:r w:rsidRPr="009A27ED">
        <w:rPr>
          <w:rFonts w:ascii="Times New Roman" w:eastAsia="Times New Roman" w:hAnsi="Times New Roman"/>
          <w:b/>
          <w:sz w:val="24"/>
          <w:szCs w:val="22"/>
          <w:lang w:val="es-MX"/>
        </w:rPr>
        <w:t xml:space="preserve"> áreas priorizadas</w:t>
      </w:r>
    </w:p>
    <w:p w14:paraId="49EDF518" w14:textId="074169F0" w:rsidR="0004071A" w:rsidRPr="009A27ED" w:rsidRDefault="0004071A" w:rsidP="005B6485">
      <w:pPr>
        <w:autoSpaceDE w:val="0"/>
        <w:autoSpaceDN w:val="0"/>
        <w:adjustRightInd w:val="0"/>
        <w:spacing w:before="120" w:after="0" w:line="360" w:lineRule="auto"/>
        <w:rPr>
          <w:bCs/>
          <w:iCs/>
          <w:szCs w:val="22"/>
        </w:rPr>
      </w:pPr>
      <w:r w:rsidRPr="009A27ED">
        <w:rPr>
          <w:rFonts w:ascii="Times New Roman" w:eastAsia="Times New Roman" w:hAnsi="Times New Roman"/>
          <w:bCs/>
          <w:iCs/>
          <w:sz w:val="24"/>
          <w:szCs w:val="22"/>
        </w:rPr>
        <w:t xml:space="preserve">La República Dominicana depende primordialmente de los recursos naturales, aunque el sector servicios recientemente ha mostrado un crecimiento por encima del sector agrícola como el principal empleador en el país (debido principalmente al crecimiento del turismo). Sin </w:t>
      </w:r>
      <w:r w:rsidR="00E02BF6" w:rsidRPr="009A27ED">
        <w:rPr>
          <w:rFonts w:ascii="Times New Roman" w:eastAsia="Times New Roman" w:hAnsi="Times New Roman"/>
          <w:bCs/>
          <w:iCs/>
          <w:sz w:val="24"/>
          <w:szCs w:val="22"/>
        </w:rPr>
        <w:t>embargo, la</w:t>
      </w:r>
      <w:r w:rsidRPr="009A27ED">
        <w:rPr>
          <w:rFonts w:ascii="Times New Roman" w:eastAsia="Times New Roman" w:hAnsi="Times New Roman"/>
          <w:bCs/>
          <w:iCs/>
          <w:sz w:val="24"/>
          <w:szCs w:val="22"/>
        </w:rPr>
        <w:t xml:space="preserve"> agricultura sigue siendo el sector más importante en términos de consumo doméstico y ocupa el segundo lugar, después de minería, en términos de ingresos por exportación. La participación de la agricultura aporta al Producto Interno Bruto (PIB) un 5.6%, según los datos del Banco Central del 2017. Los principales cultivos se producen en el Noreste y en la planicie costera del sur. Los principales productos de exportación del país son los recursos naturales (ferroníquel, oro y plata), productos agrícolas (cacao, banano, mango, aguacate, hortalizas y tabaco). La fuerte dependencia de la economía nacional en la exportación de materia prima y productos agrícolas tiene un impacto negativo en el medio ambiente, especialmente a causa de la minería y la contaminación por pesticidas y residuos agrícolas. </w:t>
      </w:r>
    </w:p>
    <w:p w14:paraId="6399F671" w14:textId="7F61DDE3" w:rsidR="00A25B98" w:rsidRPr="009A27ED" w:rsidRDefault="0004071A" w:rsidP="001E165D">
      <w:pPr>
        <w:spacing w:before="120" w:after="0" w:line="360" w:lineRule="auto"/>
        <w:rPr>
          <w:bCs/>
          <w:iCs/>
        </w:rPr>
      </w:pPr>
      <w:r w:rsidRPr="009A27ED">
        <w:rPr>
          <w:rFonts w:ascii="Times New Roman" w:eastAsia="Times New Roman" w:hAnsi="Times New Roman"/>
          <w:bCs/>
          <w:iCs/>
          <w:sz w:val="24"/>
          <w:szCs w:val="22"/>
        </w:rPr>
        <w:lastRenderedPageBreak/>
        <w:t>La principal actividad económica en las comunidades cercanas a las zonas forestales de la Re</w:t>
      </w:r>
      <w:r w:rsidR="00841FBE" w:rsidRPr="009A27ED">
        <w:rPr>
          <w:rFonts w:ascii="Times New Roman" w:eastAsia="Times New Roman" w:hAnsi="Times New Roman"/>
          <w:bCs/>
          <w:iCs/>
          <w:sz w:val="24"/>
          <w:szCs w:val="22"/>
        </w:rPr>
        <w:t>pú</w:t>
      </w:r>
      <w:r w:rsidRPr="009A27ED">
        <w:rPr>
          <w:rFonts w:ascii="Times New Roman" w:eastAsia="Times New Roman" w:hAnsi="Times New Roman"/>
          <w:bCs/>
          <w:iCs/>
          <w:sz w:val="24"/>
          <w:szCs w:val="22"/>
        </w:rPr>
        <w:t xml:space="preserve">blica Dominicana está vinculada a la actividad agropecuaria, en algunos casos agricultura de subsistencia y la ganadería. Los suelos de vocación forestal (suelos clase VII) son los que predominan en la mayoría de los municipios que conforman las áreas priorizadas.  En el territorio destinado a las </w:t>
      </w:r>
      <w:r w:rsidR="0069562F" w:rsidRPr="009A27ED">
        <w:rPr>
          <w:rFonts w:ascii="Times New Roman" w:eastAsia="Times New Roman" w:hAnsi="Times New Roman"/>
          <w:bCs/>
          <w:iCs/>
          <w:sz w:val="24"/>
          <w:szCs w:val="22"/>
        </w:rPr>
        <w:t>áreas</w:t>
      </w:r>
      <w:r w:rsidRPr="009A27ED">
        <w:rPr>
          <w:rFonts w:ascii="Times New Roman" w:eastAsia="Times New Roman" w:hAnsi="Times New Roman"/>
          <w:bCs/>
          <w:iCs/>
          <w:sz w:val="24"/>
          <w:szCs w:val="22"/>
        </w:rPr>
        <w:t xml:space="preserve"> priorizadas existen 14, 327 parceleros asentados</w:t>
      </w:r>
      <w:r w:rsidR="00101944" w:rsidRPr="009A27ED">
        <w:rPr>
          <w:rFonts w:ascii="Times New Roman" w:eastAsia="Times New Roman" w:hAnsi="Times New Roman"/>
          <w:bCs/>
          <w:iCs/>
          <w:sz w:val="24"/>
          <w:szCs w:val="22"/>
        </w:rPr>
        <w:t>.</w:t>
      </w:r>
    </w:p>
    <w:p w14:paraId="636DEC8F" w14:textId="77777777" w:rsidR="00F43DB6" w:rsidRPr="009A27ED" w:rsidRDefault="00F43DB6" w:rsidP="00F43DB6">
      <w:pPr>
        <w:pStyle w:val="Descripcin"/>
        <w:keepNext/>
        <w:spacing w:line="360" w:lineRule="auto"/>
      </w:pPr>
    </w:p>
    <w:p w14:paraId="56606416" w14:textId="0553BC17" w:rsidR="00F43DB6" w:rsidRPr="009A27ED" w:rsidRDefault="00F43DB6" w:rsidP="00F43DB6">
      <w:pPr>
        <w:pStyle w:val="Descripcin"/>
        <w:keepNext/>
        <w:spacing w:line="360" w:lineRule="auto"/>
      </w:pPr>
      <w:r w:rsidRPr="009A27ED">
        <w:rPr>
          <w:rFonts w:ascii="Times New Roman" w:eastAsia="Times New Roman" w:hAnsi="Times New Roman"/>
          <w:sz w:val="24"/>
        </w:rPr>
        <w:t xml:space="preserve">  </w:t>
      </w:r>
      <w:bookmarkStart w:id="174" w:name="_Toc111887440"/>
      <w:r w:rsidRPr="009A27ED">
        <w:rPr>
          <w:rFonts w:ascii="Times New Roman" w:eastAsia="Times New Roman" w:hAnsi="Times New Roman"/>
          <w:sz w:val="24"/>
        </w:rPr>
        <w:t xml:space="preserve">Cuadro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Cuadro \* ARABIC </w:instrText>
      </w:r>
      <w:r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30</w:t>
      </w:r>
      <w:r w:rsidRPr="009A27ED">
        <w:rPr>
          <w:rFonts w:ascii="Times New Roman" w:eastAsia="Times New Roman" w:hAnsi="Times New Roman"/>
          <w:sz w:val="24"/>
        </w:rPr>
        <w:fldChar w:fldCharType="end"/>
      </w:r>
      <w:r w:rsidRPr="009A27ED">
        <w:rPr>
          <w:rFonts w:ascii="Times New Roman" w:eastAsia="Times New Roman" w:hAnsi="Times New Roman"/>
          <w:sz w:val="24"/>
        </w:rPr>
        <w:t>. Ocupación y Economía</w:t>
      </w:r>
      <w:bookmarkEnd w:id="174"/>
      <w:r w:rsidRPr="009A27ED">
        <w:rPr>
          <w:rFonts w:ascii="Times New Roman" w:eastAsia="Times New Roman" w:hAnsi="Times New Roman"/>
          <w:sz w:val="24"/>
        </w:rPr>
        <w:t xml:space="preserve"> </w:t>
      </w:r>
    </w:p>
    <w:tbl>
      <w:tblPr>
        <w:tblW w:w="9375" w:type="dxa"/>
        <w:tblInd w:w="93" w:type="dxa"/>
        <w:tblLayout w:type="fixed"/>
        <w:tblLook w:val="04A0" w:firstRow="1" w:lastRow="0" w:firstColumn="1" w:lastColumn="0" w:noHBand="0" w:noVBand="1"/>
      </w:tblPr>
      <w:tblGrid>
        <w:gridCol w:w="1275"/>
        <w:gridCol w:w="1170"/>
        <w:gridCol w:w="1260"/>
        <w:gridCol w:w="1170"/>
        <w:gridCol w:w="900"/>
        <w:gridCol w:w="1440"/>
        <w:gridCol w:w="1170"/>
        <w:gridCol w:w="990"/>
      </w:tblGrid>
      <w:tr w:rsidR="0069562F" w:rsidRPr="009A27ED" w14:paraId="5BBAB622" w14:textId="77777777" w:rsidTr="00841FBE">
        <w:trPr>
          <w:trHeight w:val="915"/>
        </w:trPr>
        <w:tc>
          <w:tcPr>
            <w:tcW w:w="1275" w:type="dxa"/>
            <w:tcBorders>
              <w:top w:val="single" w:sz="8" w:space="0" w:color="auto"/>
              <w:left w:val="single" w:sz="8" w:space="0" w:color="auto"/>
              <w:bottom w:val="single" w:sz="8" w:space="0" w:color="auto"/>
              <w:right w:val="nil"/>
            </w:tcBorders>
            <w:shd w:val="clear" w:color="auto" w:fill="0070C0"/>
            <w:noWrap/>
            <w:vAlign w:val="center"/>
            <w:hideMark/>
          </w:tcPr>
          <w:p w14:paraId="5B093F83" w14:textId="2EFD8D71" w:rsidR="0004071A" w:rsidRPr="009A27ED" w:rsidRDefault="00B85BEE" w:rsidP="00E20DC2">
            <w:pPr>
              <w:spacing w:after="0"/>
              <w:jc w:val="center"/>
              <w:rPr>
                <w:rFonts w:eastAsia="Times New Roman"/>
                <w:b/>
                <w:bCs/>
                <w:color w:val="FFFFFF" w:themeColor="background1"/>
                <w:sz w:val="20"/>
                <w:szCs w:val="20"/>
                <w:lang w:val="en-US"/>
              </w:rPr>
            </w:pPr>
            <w:proofErr w:type="spellStart"/>
            <w:r w:rsidRPr="009A27ED">
              <w:rPr>
                <w:rFonts w:eastAsia="Times New Roman"/>
                <w:b/>
                <w:bCs/>
                <w:color w:val="FFFFFF" w:themeColor="background1"/>
                <w:sz w:val="20"/>
                <w:szCs w:val="20"/>
                <w:lang w:val="en-US"/>
              </w:rPr>
              <w:t>Á</w:t>
            </w:r>
            <w:r w:rsidR="0069562F" w:rsidRPr="009A27ED">
              <w:rPr>
                <w:rFonts w:eastAsia="Times New Roman"/>
                <w:b/>
                <w:bCs/>
                <w:color w:val="FFFFFF" w:themeColor="background1"/>
                <w:sz w:val="20"/>
                <w:szCs w:val="20"/>
                <w:lang w:val="en-US"/>
              </w:rPr>
              <w:t>reas</w:t>
            </w:r>
            <w:proofErr w:type="spellEnd"/>
            <w:r w:rsidR="0004071A" w:rsidRPr="009A27ED">
              <w:rPr>
                <w:rFonts w:eastAsia="Times New Roman"/>
                <w:b/>
                <w:bCs/>
                <w:color w:val="FFFFFF" w:themeColor="background1"/>
                <w:sz w:val="20"/>
                <w:szCs w:val="20"/>
                <w:lang w:val="en-US"/>
              </w:rPr>
              <w:t xml:space="preserve"> </w:t>
            </w:r>
            <w:proofErr w:type="spellStart"/>
            <w:r w:rsidR="0004071A" w:rsidRPr="009A27ED">
              <w:rPr>
                <w:rFonts w:eastAsia="Times New Roman"/>
                <w:b/>
                <w:bCs/>
                <w:color w:val="FFFFFF" w:themeColor="background1"/>
                <w:sz w:val="20"/>
                <w:szCs w:val="20"/>
                <w:lang w:val="en-US"/>
              </w:rPr>
              <w:t>Priorizadas</w:t>
            </w:r>
            <w:proofErr w:type="spellEnd"/>
          </w:p>
        </w:tc>
        <w:tc>
          <w:tcPr>
            <w:tcW w:w="1170" w:type="dxa"/>
            <w:tcBorders>
              <w:top w:val="single" w:sz="8" w:space="0" w:color="auto"/>
              <w:left w:val="single" w:sz="8" w:space="0" w:color="auto"/>
              <w:bottom w:val="single" w:sz="8" w:space="0" w:color="auto"/>
              <w:right w:val="single" w:sz="8" w:space="0" w:color="auto"/>
            </w:tcBorders>
            <w:shd w:val="clear" w:color="auto" w:fill="0070C0"/>
            <w:vAlign w:val="center"/>
            <w:hideMark/>
          </w:tcPr>
          <w:p w14:paraId="0CD65AFC" w14:textId="77777777" w:rsidR="0004071A" w:rsidRPr="009A27ED" w:rsidRDefault="0004071A" w:rsidP="00E20DC2">
            <w:pPr>
              <w:spacing w:after="0"/>
              <w:jc w:val="center"/>
              <w:rPr>
                <w:rFonts w:eastAsia="Times New Roman"/>
                <w:color w:val="FFFFFF" w:themeColor="background1"/>
                <w:sz w:val="20"/>
                <w:szCs w:val="20"/>
                <w:lang w:val="en-US"/>
              </w:rPr>
            </w:pPr>
            <w:r w:rsidRPr="009A27ED">
              <w:rPr>
                <w:rFonts w:eastAsia="Times New Roman"/>
                <w:color w:val="FFFFFF" w:themeColor="background1"/>
                <w:sz w:val="20"/>
                <w:szCs w:val="20"/>
                <w:lang w:val="en-US"/>
              </w:rPr>
              <w:t xml:space="preserve"># </w:t>
            </w:r>
            <w:proofErr w:type="spellStart"/>
            <w:r w:rsidRPr="009A27ED">
              <w:rPr>
                <w:rFonts w:eastAsia="Times New Roman"/>
                <w:color w:val="FFFFFF" w:themeColor="background1"/>
                <w:sz w:val="20"/>
                <w:szCs w:val="20"/>
                <w:lang w:val="en-US"/>
              </w:rPr>
              <w:t>parceleros</w:t>
            </w:r>
            <w:proofErr w:type="spellEnd"/>
            <w:r w:rsidRPr="009A27ED">
              <w:rPr>
                <w:rFonts w:eastAsia="Times New Roman"/>
                <w:color w:val="FFFFFF" w:themeColor="background1"/>
                <w:sz w:val="20"/>
                <w:szCs w:val="20"/>
                <w:lang w:val="en-US"/>
              </w:rPr>
              <w:t xml:space="preserve"> </w:t>
            </w:r>
            <w:proofErr w:type="spellStart"/>
            <w:r w:rsidRPr="009A27ED">
              <w:rPr>
                <w:rFonts w:eastAsia="Times New Roman"/>
                <w:color w:val="FFFFFF" w:themeColor="background1"/>
                <w:sz w:val="20"/>
                <w:szCs w:val="20"/>
                <w:lang w:val="en-US"/>
              </w:rPr>
              <w:t>asentados</w:t>
            </w:r>
            <w:proofErr w:type="spellEnd"/>
          </w:p>
        </w:tc>
        <w:tc>
          <w:tcPr>
            <w:tcW w:w="1260" w:type="dxa"/>
            <w:tcBorders>
              <w:top w:val="single" w:sz="8" w:space="0" w:color="auto"/>
              <w:left w:val="nil"/>
              <w:bottom w:val="single" w:sz="8" w:space="0" w:color="auto"/>
              <w:right w:val="single" w:sz="8" w:space="0" w:color="auto"/>
            </w:tcBorders>
            <w:shd w:val="clear" w:color="auto" w:fill="0070C0"/>
            <w:vAlign w:val="center"/>
            <w:hideMark/>
          </w:tcPr>
          <w:p w14:paraId="166D3996" w14:textId="77777777" w:rsidR="0004071A" w:rsidRPr="009A27ED" w:rsidRDefault="0004071A" w:rsidP="00E20DC2">
            <w:pPr>
              <w:spacing w:after="0"/>
              <w:jc w:val="center"/>
              <w:rPr>
                <w:rFonts w:eastAsia="Times New Roman"/>
                <w:color w:val="FFFFFF" w:themeColor="background1"/>
                <w:sz w:val="20"/>
                <w:szCs w:val="20"/>
                <w:lang w:val="en-US"/>
              </w:rPr>
            </w:pPr>
            <w:proofErr w:type="spellStart"/>
            <w:r w:rsidRPr="009A27ED">
              <w:rPr>
                <w:rFonts w:eastAsia="Times New Roman"/>
                <w:color w:val="FFFFFF" w:themeColor="background1"/>
                <w:sz w:val="20"/>
                <w:szCs w:val="20"/>
                <w:lang w:val="en-US"/>
              </w:rPr>
              <w:t>Concesiones</w:t>
            </w:r>
            <w:proofErr w:type="spellEnd"/>
            <w:r w:rsidRPr="009A27ED">
              <w:rPr>
                <w:rFonts w:eastAsia="Times New Roman"/>
                <w:color w:val="FFFFFF" w:themeColor="background1"/>
                <w:sz w:val="20"/>
                <w:szCs w:val="20"/>
                <w:lang w:val="en-US"/>
              </w:rPr>
              <w:t xml:space="preserve"> </w:t>
            </w:r>
            <w:proofErr w:type="spellStart"/>
            <w:r w:rsidRPr="009A27ED">
              <w:rPr>
                <w:rFonts w:eastAsia="Times New Roman"/>
                <w:color w:val="FFFFFF" w:themeColor="background1"/>
                <w:sz w:val="20"/>
                <w:szCs w:val="20"/>
                <w:lang w:val="en-US"/>
              </w:rPr>
              <w:t>mineras</w:t>
            </w:r>
            <w:proofErr w:type="spellEnd"/>
          </w:p>
        </w:tc>
        <w:tc>
          <w:tcPr>
            <w:tcW w:w="1170" w:type="dxa"/>
            <w:tcBorders>
              <w:top w:val="single" w:sz="8" w:space="0" w:color="auto"/>
              <w:left w:val="nil"/>
              <w:bottom w:val="single" w:sz="8" w:space="0" w:color="auto"/>
              <w:right w:val="single" w:sz="8" w:space="0" w:color="auto"/>
            </w:tcBorders>
            <w:shd w:val="clear" w:color="auto" w:fill="0070C0"/>
            <w:vAlign w:val="center"/>
            <w:hideMark/>
          </w:tcPr>
          <w:p w14:paraId="7746E044" w14:textId="49D7CBE4" w:rsidR="0004071A" w:rsidRPr="009A27ED" w:rsidRDefault="00B85BEE" w:rsidP="00E20DC2">
            <w:pPr>
              <w:spacing w:after="0"/>
              <w:jc w:val="center"/>
              <w:rPr>
                <w:rFonts w:eastAsia="Times New Roman"/>
                <w:color w:val="FFFFFF" w:themeColor="background1"/>
                <w:sz w:val="20"/>
                <w:szCs w:val="20"/>
                <w:lang w:val="en-US"/>
              </w:rPr>
            </w:pPr>
            <w:proofErr w:type="spellStart"/>
            <w:r w:rsidRPr="009A27ED">
              <w:rPr>
                <w:rFonts w:eastAsia="Times New Roman"/>
                <w:color w:val="FFFFFF" w:themeColor="background1"/>
                <w:sz w:val="20"/>
                <w:szCs w:val="20"/>
                <w:lang w:val="en-US"/>
              </w:rPr>
              <w:t>E</w:t>
            </w:r>
            <w:r w:rsidR="0004071A" w:rsidRPr="009A27ED">
              <w:rPr>
                <w:rFonts w:eastAsia="Times New Roman"/>
                <w:color w:val="FFFFFF" w:themeColor="background1"/>
                <w:sz w:val="20"/>
                <w:szCs w:val="20"/>
                <w:lang w:val="en-US"/>
              </w:rPr>
              <w:t>mpleados</w:t>
            </w:r>
            <w:proofErr w:type="spellEnd"/>
            <w:r w:rsidR="0004071A" w:rsidRPr="009A27ED">
              <w:rPr>
                <w:rFonts w:eastAsia="Times New Roman"/>
                <w:color w:val="FFFFFF" w:themeColor="background1"/>
                <w:sz w:val="20"/>
                <w:szCs w:val="20"/>
                <w:lang w:val="en-US"/>
              </w:rPr>
              <w:t xml:space="preserve"> zonas </w:t>
            </w:r>
            <w:proofErr w:type="spellStart"/>
            <w:r w:rsidR="0004071A" w:rsidRPr="009A27ED">
              <w:rPr>
                <w:rFonts w:eastAsia="Times New Roman"/>
                <w:color w:val="FFFFFF" w:themeColor="background1"/>
                <w:sz w:val="20"/>
                <w:szCs w:val="20"/>
                <w:lang w:val="en-US"/>
              </w:rPr>
              <w:t>francas</w:t>
            </w:r>
            <w:proofErr w:type="spellEnd"/>
          </w:p>
        </w:tc>
        <w:tc>
          <w:tcPr>
            <w:tcW w:w="900" w:type="dxa"/>
            <w:tcBorders>
              <w:top w:val="single" w:sz="8" w:space="0" w:color="auto"/>
              <w:left w:val="nil"/>
              <w:bottom w:val="single" w:sz="8" w:space="0" w:color="auto"/>
              <w:right w:val="nil"/>
            </w:tcBorders>
            <w:shd w:val="clear" w:color="auto" w:fill="0070C0"/>
            <w:vAlign w:val="center"/>
            <w:hideMark/>
          </w:tcPr>
          <w:p w14:paraId="75169A6B" w14:textId="77777777" w:rsidR="0004071A" w:rsidRPr="009A27ED" w:rsidRDefault="0004071A" w:rsidP="00E20DC2">
            <w:pPr>
              <w:spacing w:after="0"/>
              <w:jc w:val="center"/>
              <w:rPr>
                <w:rFonts w:eastAsia="Times New Roman"/>
                <w:color w:val="FFFFFF" w:themeColor="background1"/>
                <w:sz w:val="20"/>
                <w:szCs w:val="20"/>
                <w:lang w:val="en-US"/>
              </w:rPr>
            </w:pPr>
            <w:r w:rsidRPr="009A27ED">
              <w:rPr>
                <w:rFonts w:eastAsia="Times New Roman"/>
                <w:color w:val="FFFFFF" w:themeColor="background1"/>
                <w:sz w:val="20"/>
                <w:szCs w:val="20"/>
                <w:lang w:val="en-US"/>
              </w:rPr>
              <w:t xml:space="preserve"># </w:t>
            </w:r>
            <w:proofErr w:type="gramStart"/>
            <w:r w:rsidRPr="009A27ED">
              <w:rPr>
                <w:rFonts w:eastAsia="Times New Roman"/>
                <w:color w:val="FFFFFF" w:themeColor="background1"/>
                <w:sz w:val="20"/>
                <w:szCs w:val="20"/>
                <w:lang w:val="en-US"/>
              </w:rPr>
              <w:t>de</w:t>
            </w:r>
            <w:proofErr w:type="gramEnd"/>
            <w:r w:rsidRPr="009A27ED">
              <w:rPr>
                <w:rFonts w:eastAsia="Times New Roman"/>
                <w:color w:val="FFFFFF" w:themeColor="background1"/>
                <w:sz w:val="20"/>
                <w:szCs w:val="20"/>
                <w:lang w:val="en-US"/>
              </w:rPr>
              <w:t xml:space="preserve"> </w:t>
            </w:r>
            <w:proofErr w:type="spellStart"/>
            <w:r w:rsidRPr="009A27ED">
              <w:rPr>
                <w:rFonts w:eastAsia="Times New Roman"/>
                <w:color w:val="FFFFFF" w:themeColor="background1"/>
                <w:sz w:val="20"/>
                <w:szCs w:val="20"/>
                <w:lang w:val="en-US"/>
              </w:rPr>
              <w:t>hoteles</w:t>
            </w:r>
            <w:proofErr w:type="spellEnd"/>
          </w:p>
        </w:tc>
        <w:tc>
          <w:tcPr>
            <w:tcW w:w="1440" w:type="dxa"/>
            <w:tcBorders>
              <w:top w:val="single" w:sz="8" w:space="0" w:color="auto"/>
              <w:left w:val="single" w:sz="8" w:space="0" w:color="auto"/>
              <w:bottom w:val="single" w:sz="8" w:space="0" w:color="auto"/>
              <w:right w:val="single" w:sz="8" w:space="0" w:color="auto"/>
            </w:tcBorders>
            <w:shd w:val="clear" w:color="auto" w:fill="0070C0"/>
            <w:vAlign w:val="center"/>
            <w:hideMark/>
          </w:tcPr>
          <w:p w14:paraId="7F2EF5AD" w14:textId="396F0F8B" w:rsidR="0004071A" w:rsidRPr="009A27ED" w:rsidRDefault="007A4B2D" w:rsidP="00E20DC2">
            <w:pPr>
              <w:spacing w:after="0"/>
              <w:jc w:val="center"/>
              <w:rPr>
                <w:rFonts w:eastAsia="Times New Roman"/>
                <w:color w:val="FFFFFF" w:themeColor="background1"/>
                <w:sz w:val="20"/>
                <w:szCs w:val="20"/>
                <w:lang w:val="en-US"/>
              </w:rPr>
            </w:pPr>
            <w:r w:rsidRPr="009A27ED">
              <w:rPr>
                <w:rFonts w:eastAsia="Times New Roman"/>
                <w:color w:val="FFFFFF" w:themeColor="background1"/>
                <w:sz w:val="20"/>
                <w:szCs w:val="20"/>
                <w:lang w:val="en-US"/>
              </w:rPr>
              <w:t xml:space="preserve"># </w:t>
            </w:r>
            <w:proofErr w:type="gramStart"/>
            <w:r w:rsidRPr="009A27ED">
              <w:rPr>
                <w:rFonts w:eastAsia="Times New Roman"/>
                <w:color w:val="FFFFFF" w:themeColor="background1"/>
                <w:sz w:val="20"/>
                <w:szCs w:val="20"/>
                <w:lang w:val="en-US"/>
              </w:rPr>
              <w:t>de</w:t>
            </w:r>
            <w:proofErr w:type="gramEnd"/>
            <w:r w:rsidRPr="009A27ED">
              <w:rPr>
                <w:rFonts w:eastAsia="Times New Roman"/>
                <w:color w:val="FFFFFF" w:themeColor="background1"/>
                <w:sz w:val="20"/>
                <w:szCs w:val="20"/>
                <w:lang w:val="en-US"/>
              </w:rPr>
              <w:t xml:space="preserve"> </w:t>
            </w:r>
            <w:proofErr w:type="spellStart"/>
            <w:r w:rsidRPr="009A27ED">
              <w:rPr>
                <w:rFonts w:eastAsia="Times New Roman"/>
                <w:color w:val="FFFFFF" w:themeColor="background1"/>
                <w:sz w:val="20"/>
                <w:szCs w:val="20"/>
                <w:lang w:val="en-US"/>
              </w:rPr>
              <w:t>colmados</w:t>
            </w:r>
            <w:proofErr w:type="spellEnd"/>
          </w:p>
        </w:tc>
        <w:tc>
          <w:tcPr>
            <w:tcW w:w="1170" w:type="dxa"/>
            <w:tcBorders>
              <w:top w:val="single" w:sz="8" w:space="0" w:color="auto"/>
              <w:left w:val="nil"/>
              <w:bottom w:val="single" w:sz="8" w:space="0" w:color="auto"/>
              <w:right w:val="nil"/>
            </w:tcBorders>
            <w:shd w:val="clear" w:color="auto" w:fill="0070C0"/>
            <w:vAlign w:val="center"/>
            <w:hideMark/>
          </w:tcPr>
          <w:p w14:paraId="4793E2F6" w14:textId="2795D3C1" w:rsidR="0004071A" w:rsidRPr="009A27ED" w:rsidRDefault="00B85BEE" w:rsidP="00E20DC2">
            <w:pPr>
              <w:spacing w:after="0"/>
              <w:jc w:val="center"/>
              <w:rPr>
                <w:rFonts w:eastAsia="Times New Roman"/>
                <w:color w:val="FFFFFF" w:themeColor="background1"/>
                <w:sz w:val="20"/>
                <w:szCs w:val="20"/>
                <w:lang w:val="en-US"/>
              </w:rPr>
            </w:pPr>
            <w:r w:rsidRPr="009A27ED">
              <w:rPr>
                <w:rFonts w:eastAsia="Times New Roman"/>
                <w:color w:val="FFFFFF" w:themeColor="background1"/>
                <w:sz w:val="20"/>
                <w:szCs w:val="20"/>
                <w:lang w:val="en-US"/>
              </w:rPr>
              <w:t>T</w:t>
            </w:r>
            <w:r w:rsidR="0004071A" w:rsidRPr="009A27ED">
              <w:rPr>
                <w:rFonts w:eastAsia="Times New Roman"/>
                <w:color w:val="FFFFFF" w:themeColor="background1"/>
                <w:sz w:val="20"/>
                <w:szCs w:val="20"/>
                <w:lang w:val="en-US"/>
              </w:rPr>
              <w:t xml:space="preserve">asa de </w:t>
            </w:r>
            <w:proofErr w:type="spellStart"/>
            <w:r w:rsidR="0004071A" w:rsidRPr="009A27ED">
              <w:rPr>
                <w:rFonts w:eastAsia="Times New Roman"/>
                <w:color w:val="FFFFFF" w:themeColor="background1"/>
                <w:sz w:val="20"/>
                <w:szCs w:val="20"/>
                <w:lang w:val="en-US"/>
              </w:rPr>
              <w:t>ocupación</w:t>
            </w:r>
            <w:proofErr w:type="spellEnd"/>
          </w:p>
        </w:tc>
        <w:tc>
          <w:tcPr>
            <w:tcW w:w="990" w:type="dxa"/>
            <w:tcBorders>
              <w:top w:val="single" w:sz="8" w:space="0" w:color="auto"/>
              <w:left w:val="single" w:sz="8" w:space="0" w:color="auto"/>
              <w:bottom w:val="single" w:sz="8" w:space="0" w:color="auto"/>
              <w:right w:val="single" w:sz="8" w:space="0" w:color="auto"/>
            </w:tcBorders>
            <w:shd w:val="clear" w:color="auto" w:fill="0070C0"/>
            <w:vAlign w:val="center"/>
            <w:hideMark/>
          </w:tcPr>
          <w:p w14:paraId="0F76CD9D" w14:textId="62FD3279" w:rsidR="0004071A" w:rsidRPr="009A27ED" w:rsidRDefault="0069562F" w:rsidP="00E20DC2">
            <w:pPr>
              <w:spacing w:after="0"/>
              <w:jc w:val="center"/>
              <w:rPr>
                <w:rFonts w:eastAsia="Times New Roman"/>
                <w:color w:val="FFFFFF" w:themeColor="background1"/>
                <w:sz w:val="20"/>
                <w:szCs w:val="20"/>
                <w:lang w:val="en-US"/>
              </w:rPr>
            </w:pPr>
            <w:r w:rsidRPr="009A27ED">
              <w:rPr>
                <w:rFonts w:eastAsia="Times New Roman"/>
                <w:color w:val="FFFFFF" w:themeColor="background1"/>
                <w:sz w:val="20"/>
                <w:szCs w:val="20"/>
                <w:lang w:val="en-US"/>
              </w:rPr>
              <w:t>Tasa</w:t>
            </w:r>
            <w:r w:rsidR="0004071A" w:rsidRPr="009A27ED">
              <w:rPr>
                <w:rFonts w:eastAsia="Times New Roman"/>
                <w:color w:val="FFFFFF" w:themeColor="background1"/>
                <w:sz w:val="20"/>
                <w:szCs w:val="20"/>
                <w:lang w:val="en-US"/>
              </w:rPr>
              <w:t xml:space="preserve"> de </w:t>
            </w:r>
            <w:proofErr w:type="spellStart"/>
            <w:r w:rsidR="0004071A" w:rsidRPr="009A27ED">
              <w:rPr>
                <w:rFonts w:eastAsia="Times New Roman"/>
                <w:color w:val="FFFFFF" w:themeColor="background1"/>
                <w:sz w:val="20"/>
                <w:szCs w:val="20"/>
                <w:lang w:val="en-US"/>
              </w:rPr>
              <w:t>desemp</w:t>
            </w:r>
            <w:proofErr w:type="spellEnd"/>
            <w:r w:rsidR="0004071A" w:rsidRPr="009A27ED">
              <w:rPr>
                <w:rFonts w:eastAsia="Times New Roman"/>
                <w:color w:val="FFFFFF" w:themeColor="background1"/>
                <w:sz w:val="20"/>
                <w:szCs w:val="20"/>
                <w:lang w:val="en-US"/>
              </w:rPr>
              <w:t>.</w:t>
            </w:r>
          </w:p>
        </w:tc>
      </w:tr>
      <w:tr w:rsidR="0004071A" w:rsidRPr="009A27ED" w14:paraId="3DCBB86E" w14:textId="77777777" w:rsidTr="00841FBE">
        <w:trPr>
          <w:trHeight w:val="330"/>
        </w:trPr>
        <w:tc>
          <w:tcPr>
            <w:tcW w:w="1275" w:type="dxa"/>
            <w:tcBorders>
              <w:top w:val="nil"/>
              <w:left w:val="single" w:sz="8" w:space="0" w:color="auto"/>
              <w:bottom w:val="single" w:sz="8" w:space="0" w:color="auto"/>
              <w:right w:val="nil"/>
            </w:tcBorders>
            <w:shd w:val="clear" w:color="000000" w:fill="FFFFFF"/>
            <w:noWrap/>
            <w:vAlign w:val="center"/>
            <w:hideMark/>
          </w:tcPr>
          <w:p w14:paraId="24EA15BD" w14:textId="77777777" w:rsidR="0004071A" w:rsidRPr="009A27ED" w:rsidRDefault="0004071A" w:rsidP="00841FBE">
            <w:pPr>
              <w:spacing w:after="0"/>
              <w:jc w:val="left"/>
              <w:rPr>
                <w:rFonts w:eastAsia="Times New Roman"/>
                <w:bCs/>
                <w:color w:val="000000"/>
                <w:sz w:val="20"/>
                <w:szCs w:val="20"/>
                <w:lang w:val="en-US"/>
              </w:rPr>
            </w:pPr>
            <w:r w:rsidRPr="009A27ED">
              <w:rPr>
                <w:rFonts w:eastAsia="Times New Roman"/>
                <w:color w:val="000000"/>
                <w:sz w:val="20"/>
                <w:szCs w:val="20"/>
              </w:rPr>
              <w:t>Área 1</w:t>
            </w:r>
          </w:p>
        </w:tc>
        <w:tc>
          <w:tcPr>
            <w:tcW w:w="1170" w:type="dxa"/>
            <w:tcBorders>
              <w:top w:val="nil"/>
              <w:left w:val="single" w:sz="8" w:space="0" w:color="auto"/>
              <w:bottom w:val="nil"/>
              <w:right w:val="single" w:sz="8" w:space="0" w:color="auto"/>
            </w:tcBorders>
            <w:shd w:val="clear" w:color="000000" w:fill="FFFFFF"/>
            <w:noWrap/>
            <w:vAlign w:val="center"/>
            <w:hideMark/>
          </w:tcPr>
          <w:p w14:paraId="4350AFE7" w14:textId="4394616B" w:rsidR="0004071A" w:rsidRPr="009A27ED" w:rsidRDefault="0004071A" w:rsidP="00841FBE">
            <w:pPr>
              <w:spacing w:after="0"/>
              <w:jc w:val="left"/>
              <w:rPr>
                <w:rFonts w:eastAsia="Times New Roman"/>
                <w:color w:val="000000"/>
                <w:sz w:val="20"/>
                <w:szCs w:val="20"/>
                <w:lang w:val="en-US"/>
              </w:rPr>
            </w:pPr>
            <w:r w:rsidRPr="009A27ED">
              <w:rPr>
                <w:rFonts w:eastAsia="Times New Roman"/>
                <w:color w:val="000000"/>
                <w:sz w:val="20"/>
                <w:szCs w:val="20"/>
                <w:lang w:val="en-US"/>
              </w:rPr>
              <w:t xml:space="preserve">2,189.00 </w:t>
            </w:r>
          </w:p>
        </w:tc>
        <w:tc>
          <w:tcPr>
            <w:tcW w:w="1260" w:type="dxa"/>
            <w:tcBorders>
              <w:top w:val="nil"/>
              <w:left w:val="nil"/>
              <w:bottom w:val="nil"/>
              <w:right w:val="single" w:sz="8" w:space="0" w:color="auto"/>
            </w:tcBorders>
            <w:shd w:val="clear" w:color="000000" w:fill="FFFFFF"/>
            <w:noWrap/>
            <w:vAlign w:val="center"/>
            <w:hideMark/>
          </w:tcPr>
          <w:p w14:paraId="09790C42" w14:textId="2E6A2867" w:rsidR="0004071A" w:rsidRPr="009A27ED" w:rsidRDefault="0004071A" w:rsidP="00841FBE">
            <w:pPr>
              <w:spacing w:after="0"/>
              <w:jc w:val="left"/>
              <w:rPr>
                <w:rFonts w:eastAsia="Times New Roman"/>
                <w:color w:val="000000"/>
                <w:sz w:val="20"/>
                <w:szCs w:val="20"/>
                <w:lang w:val="en-US"/>
              </w:rPr>
            </w:pPr>
            <w:r w:rsidRPr="009A27ED">
              <w:rPr>
                <w:rFonts w:eastAsia="Times New Roman"/>
                <w:color w:val="000000"/>
                <w:sz w:val="20"/>
                <w:szCs w:val="20"/>
                <w:lang w:val="en-US"/>
              </w:rPr>
              <w:t xml:space="preserve">4.00 </w:t>
            </w:r>
          </w:p>
        </w:tc>
        <w:tc>
          <w:tcPr>
            <w:tcW w:w="1170" w:type="dxa"/>
            <w:tcBorders>
              <w:top w:val="nil"/>
              <w:left w:val="nil"/>
              <w:bottom w:val="nil"/>
              <w:right w:val="single" w:sz="8" w:space="0" w:color="auto"/>
            </w:tcBorders>
            <w:shd w:val="clear" w:color="000000" w:fill="FFFFFF"/>
            <w:noWrap/>
            <w:vAlign w:val="center"/>
            <w:hideMark/>
          </w:tcPr>
          <w:p w14:paraId="03D80391" w14:textId="4F42CC17" w:rsidR="0004071A" w:rsidRPr="009A27ED" w:rsidRDefault="0004071A" w:rsidP="00841FBE">
            <w:pPr>
              <w:spacing w:after="0"/>
              <w:jc w:val="left"/>
              <w:rPr>
                <w:rFonts w:eastAsia="Times New Roman"/>
                <w:color w:val="000000"/>
                <w:sz w:val="20"/>
                <w:szCs w:val="20"/>
                <w:lang w:val="en-US"/>
              </w:rPr>
            </w:pPr>
          </w:p>
        </w:tc>
        <w:tc>
          <w:tcPr>
            <w:tcW w:w="900" w:type="dxa"/>
            <w:tcBorders>
              <w:top w:val="nil"/>
              <w:left w:val="nil"/>
              <w:bottom w:val="nil"/>
              <w:right w:val="single" w:sz="8" w:space="0" w:color="auto"/>
            </w:tcBorders>
            <w:shd w:val="clear" w:color="000000" w:fill="FFFFFF"/>
            <w:noWrap/>
            <w:vAlign w:val="center"/>
            <w:hideMark/>
          </w:tcPr>
          <w:p w14:paraId="110D7F03" w14:textId="509C61AD" w:rsidR="0004071A" w:rsidRPr="009A27ED" w:rsidRDefault="0004071A" w:rsidP="00841FBE">
            <w:pPr>
              <w:spacing w:after="0"/>
              <w:jc w:val="left"/>
              <w:rPr>
                <w:rFonts w:eastAsia="Times New Roman"/>
                <w:color w:val="000000"/>
                <w:sz w:val="20"/>
                <w:szCs w:val="20"/>
                <w:lang w:val="en-US"/>
              </w:rPr>
            </w:pPr>
            <w:r w:rsidRPr="009A27ED">
              <w:rPr>
                <w:rFonts w:eastAsia="Times New Roman"/>
                <w:color w:val="000000"/>
                <w:sz w:val="20"/>
                <w:szCs w:val="20"/>
                <w:lang w:val="en-US"/>
              </w:rPr>
              <w:t xml:space="preserve">15 </w:t>
            </w:r>
          </w:p>
        </w:tc>
        <w:tc>
          <w:tcPr>
            <w:tcW w:w="1440" w:type="dxa"/>
            <w:tcBorders>
              <w:top w:val="nil"/>
              <w:left w:val="nil"/>
              <w:bottom w:val="nil"/>
              <w:right w:val="single" w:sz="8" w:space="0" w:color="auto"/>
            </w:tcBorders>
            <w:shd w:val="clear" w:color="000000" w:fill="FFFFFF"/>
            <w:noWrap/>
            <w:vAlign w:val="center"/>
            <w:hideMark/>
          </w:tcPr>
          <w:p w14:paraId="4DCE4572" w14:textId="50CED67F" w:rsidR="0004071A" w:rsidRPr="009A27ED" w:rsidRDefault="0004071A" w:rsidP="00841FBE">
            <w:pPr>
              <w:spacing w:after="0"/>
              <w:jc w:val="left"/>
              <w:rPr>
                <w:rFonts w:eastAsia="Times New Roman"/>
                <w:color w:val="000000"/>
                <w:sz w:val="20"/>
                <w:szCs w:val="20"/>
                <w:lang w:val="en-US"/>
              </w:rPr>
            </w:pPr>
            <w:r w:rsidRPr="009A27ED">
              <w:rPr>
                <w:rFonts w:eastAsia="Times New Roman"/>
                <w:color w:val="000000"/>
                <w:sz w:val="20"/>
                <w:szCs w:val="20"/>
                <w:lang w:val="en-US"/>
              </w:rPr>
              <w:t>477</w:t>
            </w:r>
          </w:p>
        </w:tc>
        <w:tc>
          <w:tcPr>
            <w:tcW w:w="1170" w:type="dxa"/>
            <w:tcBorders>
              <w:top w:val="nil"/>
              <w:left w:val="nil"/>
              <w:bottom w:val="nil"/>
              <w:right w:val="single" w:sz="8" w:space="0" w:color="auto"/>
            </w:tcBorders>
            <w:shd w:val="clear" w:color="000000" w:fill="FFFFFF"/>
            <w:noWrap/>
            <w:vAlign w:val="center"/>
            <w:hideMark/>
          </w:tcPr>
          <w:p w14:paraId="7D4AF875" w14:textId="497EBD4A" w:rsidR="0004071A" w:rsidRPr="009A27ED" w:rsidRDefault="0004071A" w:rsidP="00841FBE">
            <w:pPr>
              <w:spacing w:after="0"/>
              <w:jc w:val="left"/>
              <w:rPr>
                <w:rFonts w:eastAsia="Times New Roman"/>
                <w:color w:val="000000"/>
                <w:sz w:val="20"/>
                <w:szCs w:val="20"/>
                <w:lang w:val="en-US"/>
              </w:rPr>
            </w:pPr>
            <w:r w:rsidRPr="009A27ED">
              <w:rPr>
                <w:rFonts w:eastAsia="Times New Roman"/>
                <w:color w:val="000000"/>
                <w:sz w:val="20"/>
                <w:szCs w:val="20"/>
                <w:lang w:val="en-US"/>
              </w:rPr>
              <w:t xml:space="preserve">32.90 </w:t>
            </w:r>
          </w:p>
        </w:tc>
        <w:tc>
          <w:tcPr>
            <w:tcW w:w="990" w:type="dxa"/>
            <w:tcBorders>
              <w:top w:val="nil"/>
              <w:left w:val="nil"/>
              <w:bottom w:val="nil"/>
              <w:right w:val="single" w:sz="8" w:space="0" w:color="auto"/>
            </w:tcBorders>
            <w:shd w:val="clear" w:color="000000" w:fill="FFFFFF"/>
            <w:noWrap/>
            <w:vAlign w:val="center"/>
            <w:hideMark/>
          </w:tcPr>
          <w:p w14:paraId="402A9CBC" w14:textId="44FC2B00" w:rsidR="0004071A" w:rsidRPr="009A27ED" w:rsidRDefault="0004071A" w:rsidP="00841FBE">
            <w:pPr>
              <w:spacing w:after="0"/>
              <w:jc w:val="left"/>
              <w:rPr>
                <w:rFonts w:eastAsia="Times New Roman"/>
                <w:color w:val="000000"/>
                <w:sz w:val="20"/>
                <w:szCs w:val="20"/>
                <w:lang w:val="en-US"/>
              </w:rPr>
            </w:pPr>
            <w:r w:rsidRPr="009A27ED">
              <w:rPr>
                <w:rFonts w:eastAsia="Times New Roman"/>
                <w:color w:val="000000"/>
                <w:sz w:val="20"/>
                <w:szCs w:val="20"/>
                <w:lang w:val="en-US"/>
              </w:rPr>
              <w:t xml:space="preserve">11.11 </w:t>
            </w:r>
          </w:p>
        </w:tc>
      </w:tr>
      <w:tr w:rsidR="0004071A" w:rsidRPr="009A27ED" w14:paraId="1D392FB4" w14:textId="77777777" w:rsidTr="00841FBE">
        <w:trPr>
          <w:trHeight w:val="330"/>
        </w:trPr>
        <w:tc>
          <w:tcPr>
            <w:tcW w:w="1275" w:type="dxa"/>
            <w:tcBorders>
              <w:top w:val="nil"/>
              <w:left w:val="single" w:sz="8" w:space="0" w:color="auto"/>
              <w:bottom w:val="single" w:sz="8" w:space="0" w:color="auto"/>
              <w:right w:val="nil"/>
            </w:tcBorders>
            <w:shd w:val="clear" w:color="000000" w:fill="FFFFFF"/>
            <w:noWrap/>
            <w:vAlign w:val="center"/>
            <w:hideMark/>
          </w:tcPr>
          <w:p w14:paraId="4B6F2F86" w14:textId="77777777" w:rsidR="0004071A" w:rsidRPr="009A27ED" w:rsidRDefault="0004071A" w:rsidP="00841FBE">
            <w:pPr>
              <w:spacing w:after="0"/>
              <w:jc w:val="left"/>
              <w:rPr>
                <w:rFonts w:eastAsia="Times New Roman"/>
                <w:bCs/>
                <w:color w:val="000000"/>
                <w:sz w:val="20"/>
                <w:szCs w:val="20"/>
                <w:lang w:val="en-US"/>
              </w:rPr>
            </w:pPr>
            <w:r w:rsidRPr="009A27ED">
              <w:rPr>
                <w:rFonts w:eastAsia="Times New Roman"/>
                <w:color w:val="000000"/>
                <w:sz w:val="20"/>
                <w:szCs w:val="20"/>
              </w:rPr>
              <w:t>Área 2</w:t>
            </w:r>
          </w:p>
        </w:tc>
        <w:tc>
          <w:tcPr>
            <w:tcW w:w="1170" w:type="dxa"/>
            <w:tcBorders>
              <w:top w:val="single" w:sz="4" w:space="0" w:color="auto"/>
              <w:left w:val="single" w:sz="8" w:space="0" w:color="auto"/>
              <w:bottom w:val="nil"/>
              <w:right w:val="single" w:sz="8" w:space="0" w:color="auto"/>
            </w:tcBorders>
            <w:shd w:val="clear" w:color="000000" w:fill="FFFFFF"/>
            <w:noWrap/>
            <w:vAlign w:val="center"/>
            <w:hideMark/>
          </w:tcPr>
          <w:p w14:paraId="037F002D" w14:textId="4228391C" w:rsidR="0004071A" w:rsidRPr="009A27ED" w:rsidRDefault="0004071A" w:rsidP="00841FBE">
            <w:pPr>
              <w:spacing w:after="0"/>
              <w:jc w:val="left"/>
              <w:rPr>
                <w:rFonts w:eastAsia="Times New Roman"/>
                <w:color w:val="000000"/>
                <w:sz w:val="20"/>
                <w:szCs w:val="20"/>
                <w:lang w:val="en-US"/>
              </w:rPr>
            </w:pPr>
            <w:r w:rsidRPr="009A27ED">
              <w:rPr>
                <w:rFonts w:eastAsia="Times New Roman"/>
                <w:color w:val="000000"/>
                <w:sz w:val="20"/>
                <w:szCs w:val="20"/>
                <w:lang w:val="en-US"/>
              </w:rPr>
              <w:t xml:space="preserve">2,049.26 </w:t>
            </w:r>
          </w:p>
        </w:tc>
        <w:tc>
          <w:tcPr>
            <w:tcW w:w="1260" w:type="dxa"/>
            <w:tcBorders>
              <w:top w:val="single" w:sz="4" w:space="0" w:color="auto"/>
              <w:left w:val="nil"/>
              <w:bottom w:val="nil"/>
              <w:right w:val="single" w:sz="8" w:space="0" w:color="auto"/>
            </w:tcBorders>
            <w:shd w:val="clear" w:color="000000" w:fill="FFFFFF"/>
            <w:noWrap/>
            <w:vAlign w:val="center"/>
            <w:hideMark/>
          </w:tcPr>
          <w:p w14:paraId="3A365F51" w14:textId="77777777" w:rsidR="0004071A" w:rsidRPr="009A27ED" w:rsidRDefault="0004071A" w:rsidP="00841FBE">
            <w:pPr>
              <w:spacing w:after="0"/>
              <w:jc w:val="left"/>
              <w:rPr>
                <w:rFonts w:eastAsia="Times New Roman"/>
                <w:color w:val="000000"/>
                <w:sz w:val="20"/>
                <w:szCs w:val="20"/>
                <w:lang w:val="en-US"/>
              </w:rPr>
            </w:pPr>
            <w:r w:rsidRPr="009A27ED">
              <w:rPr>
                <w:rFonts w:eastAsia="Times New Roman"/>
                <w:color w:val="000000"/>
                <w:sz w:val="20"/>
                <w:szCs w:val="20"/>
                <w:lang w:val="en-US"/>
              </w:rPr>
              <w:t>4</w:t>
            </w:r>
          </w:p>
        </w:tc>
        <w:tc>
          <w:tcPr>
            <w:tcW w:w="1170" w:type="dxa"/>
            <w:tcBorders>
              <w:top w:val="single" w:sz="4" w:space="0" w:color="auto"/>
              <w:left w:val="nil"/>
              <w:bottom w:val="nil"/>
              <w:right w:val="single" w:sz="8" w:space="0" w:color="auto"/>
            </w:tcBorders>
            <w:shd w:val="clear" w:color="000000" w:fill="FFFFFF"/>
            <w:noWrap/>
            <w:vAlign w:val="center"/>
            <w:hideMark/>
          </w:tcPr>
          <w:p w14:paraId="52F37D44" w14:textId="0BDE1FF8" w:rsidR="0004071A" w:rsidRPr="009A27ED" w:rsidRDefault="0004071A" w:rsidP="00841FBE">
            <w:pPr>
              <w:spacing w:after="0"/>
              <w:jc w:val="left"/>
              <w:rPr>
                <w:rFonts w:eastAsia="Times New Roman"/>
                <w:color w:val="000000"/>
                <w:sz w:val="20"/>
                <w:szCs w:val="20"/>
                <w:lang w:val="en-US"/>
              </w:rPr>
            </w:pPr>
            <w:r w:rsidRPr="009A27ED">
              <w:rPr>
                <w:rFonts w:eastAsia="Times New Roman"/>
                <w:color w:val="000000"/>
                <w:sz w:val="20"/>
                <w:szCs w:val="20"/>
                <w:lang w:val="en-US"/>
              </w:rPr>
              <w:t xml:space="preserve">-   </w:t>
            </w:r>
          </w:p>
        </w:tc>
        <w:tc>
          <w:tcPr>
            <w:tcW w:w="900" w:type="dxa"/>
            <w:tcBorders>
              <w:top w:val="single" w:sz="4" w:space="0" w:color="auto"/>
              <w:left w:val="nil"/>
              <w:bottom w:val="nil"/>
              <w:right w:val="single" w:sz="8" w:space="0" w:color="auto"/>
            </w:tcBorders>
            <w:shd w:val="clear" w:color="000000" w:fill="FFFFFF"/>
            <w:noWrap/>
            <w:vAlign w:val="center"/>
            <w:hideMark/>
          </w:tcPr>
          <w:p w14:paraId="6219878C" w14:textId="77777777" w:rsidR="0004071A" w:rsidRPr="009A27ED" w:rsidRDefault="0004071A" w:rsidP="00841FBE">
            <w:pPr>
              <w:spacing w:after="0"/>
              <w:jc w:val="left"/>
              <w:rPr>
                <w:rFonts w:eastAsia="Times New Roman"/>
                <w:color w:val="000000"/>
                <w:sz w:val="20"/>
                <w:szCs w:val="20"/>
                <w:lang w:val="en-US"/>
              </w:rPr>
            </w:pPr>
            <w:r w:rsidRPr="009A27ED">
              <w:rPr>
                <w:rFonts w:eastAsia="Times New Roman"/>
                <w:color w:val="000000"/>
                <w:sz w:val="20"/>
                <w:szCs w:val="20"/>
                <w:lang w:val="en-US"/>
              </w:rPr>
              <w:t>1</w:t>
            </w:r>
          </w:p>
        </w:tc>
        <w:tc>
          <w:tcPr>
            <w:tcW w:w="1440" w:type="dxa"/>
            <w:tcBorders>
              <w:top w:val="single" w:sz="4" w:space="0" w:color="auto"/>
              <w:left w:val="nil"/>
              <w:bottom w:val="nil"/>
              <w:right w:val="single" w:sz="8" w:space="0" w:color="auto"/>
            </w:tcBorders>
            <w:shd w:val="clear" w:color="000000" w:fill="FFFFFF"/>
            <w:noWrap/>
            <w:vAlign w:val="center"/>
            <w:hideMark/>
          </w:tcPr>
          <w:p w14:paraId="0871EAA4" w14:textId="637D182D" w:rsidR="0004071A" w:rsidRPr="009A27ED" w:rsidRDefault="0004071A" w:rsidP="00841FBE">
            <w:pPr>
              <w:spacing w:after="0"/>
              <w:jc w:val="left"/>
              <w:rPr>
                <w:rFonts w:eastAsia="Times New Roman"/>
                <w:color w:val="000000"/>
                <w:sz w:val="20"/>
                <w:szCs w:val="20"/>
                <w:lang w:val="en-US"/>
              </w:rPr>
            </w:pPr>
            <w:r w:rsidRPr="009A27ED">
              <w:rPr>
                <w:rFonts w:eastAsia="Times New Roman"/>
                <w:color w:val="000000"/>
                <w:sz w:val="20"/>
                <w:szCs w:val="20"/>
                <w:lang w:val="en-US"/>
              </w:rPr>
              <w:t>324</w:t>
            </w:r>
          </w:p>
        </w:tc>
        <w:tc>
          <w:tcPr>
            <w:tcW w:w="1170" w:type="dxa"/>
            <w:tcBorders>
              <w:top w:val="single" w:sz="4" w:space="0" w:color="auto"/>
              <w:left w:val="nil"/>
              <w:bottom w:val="nil"/>
              <w:right w:val="single" w:sz="8" w:space="0" w:color="auto"/>
            </w:tcBorders>
            <w:shd w:val="clear" w:color="000000" w:fill="FFFFFF"/>
            <w:noWrap/>
            <w:vAlign w:val="center"/>
            <w:hideMark/>
          </w:tcPr>
          <w:p w14:paraId="154354D2" w14:textId="77777777" w:rsidR="0004071A" w:rsidRPr="009A27ED" w:rsidRDefault="0004071A" w:rsidP="00841FBE">
            <w:pPr>
              <w:spacing w:after="0"/>
              <w:jc w:val="left"/>
              <w:rPr>
                <w:rFonts w:eastAsia="Times New Roman"/>
                <w:color w:val="000000"/>
                <w:sz w:val="20"/>
                <w:szCs w:val="20"/>
                <w:lang w:val="en-US"/>
              </w:rPr>
            </w:pPr>
            <w:r w:rsidRPr="009A27ED">
              <w:rPr>
                <w:rFonts w:eastAsia="Times New Roman"/>
                <w:color w:val="000000"/>
                <w:sz w:val="20"/>
                <w:szCs w:val="20"/>
                <w:lang w:val="en-US"/>
              </w:rPr>
              <w:t>26</w:t>
            </w:r>
          </w:p>
        </w:tc>
        <w:tc>
          <w:tcPr>
            <w:tcW w:w="990" w:type="dxa"/>
            <w:tcBorders>
              <w:top w:val="single" w:sz="4" w:space="0" w:color="auto"/>
              <w:left w:val="nil"/>
              <w:bottom w:val="nil"/>
              <w:right w:val="single" w:sz="8" w:space="0" w:color="auto"/>
            </w:tcBorders>
            <w:shd w:val="clear" w:color="000000" w:fill="FFFFFF"/>
            <w:noWrap/>
            <w:vAlign w:val="center"/>
            <w:hideMark/>
          </w:tcPr>
          <w:p w14:paraId="5319BB74" w14:textId="77777777" w:rsidR="0004071A" w:rsidRPr="009A27ED" w:rsidRDefault="0004071A" w:rsidP="00841FBE">
            <w:pPr>
              <w:spacing w:after="0"/>
              <w:jc w:val="left"/>
              <w:rPr>
                <w:rFonts w:eastAsia="Times New Roman"/>
                <w:color w:val="000000"/>
                <w:sz w:val="20"/>
                <w:szCs w:val="20"/>
                <w:lang w:val="en-US"/>
              </w:rPr>
            </w:pPr>
            <w:r w:rsidRPr="009A27ED">
              <w:rPr>
                <w:rFonts w:eastAsia="Times New Roman"/>
                <w:color w:val="000000"/>
                <w:sz w:val="20"/>
                <w:szCs w:val="20"/>
                <w:lang w:val="en-US"/>
              </w:rPr>
              <w:t>12.675</w:t>
            </w:r>
          </w:p>
        </w:tc>
      </w:tr>
      <w:tr w:rsidR="0004071A" w:rsidRPr="009A27ED" w14:paraId="6E1EA79E" w14:textId="77777777" w:rsidTr="00841FBE">
        <w:trPr>
          <w:trHeight w:val="330"/>
        </w:trPr>
        <w:tc>
          <w:tcPr>
            <w:tcW w:w="1275" w:type="dxa"/>
            <w:tcBorders>
              <w:top w:val="nil"/>
              <w:left w:val="single" w:sz="8" w:space="0" w:color="auto"/>
              <w:bottom w:val="single" w:sz="8" w:space="0" w:color="auto"/>
              <w:right w:val="nil"/>
            </w:tcBorders>
            <w:shd w:val="clear" w:color="000000" w:fill="FFFFFF"/>
            <w:noWrap/>
            <w:vAlign w:val="center"/>
            <w:hideMark/>
          </w:tcPr>
          <w:p w14:paraId="35E7C8B5" w14:textId="77777777" w:rsidR="0004071A" w:rsidRPr="009A27ED" w:rsidRDefault="0004071A" w:rsidP="00841FBE">
            <w:pPr>
              <w:spacing w:after="0"/>
              <w:jc w:val="left"/>
              <w:rPr>
                <w:rFonts w:eastAsia="Times New Roman" w:cs="Calibri (Cuerpo)"/>
                <w:bCs/>
                <w:color w:val="000000"/>
                <w:sz w:val="20"/>
                <w:szCs w:val="20"/>
                <w:lang w:val="en-US"/>
              </w:rPr>
            </w:pPr>
            <w:r w:rsidRPr="009A27ED">
              <w:rPr>
                <w:rFonts w:eastAsia="Times New Roman" w:cs="Calibri (Cuerpo)"/>
                <w:color w:val="000000"/>
                <w:sz w:val="20"/>
                <w:szCs w:val="20"/>
              </w:rPr>
              <w:t>Área 3</w:t>
            </w:r>
          </w:p>
        </w:tc>
        <w:tc>
          <w:tcPr>
            <w:tcW w:w="1170" w:type="dxa"/>
            <w:tcBorders>
              <w:top w:val="single" w:sz="4" w:space="0" w:color="auto"/>
              <w:left w:val="single" w:sz="8" w:space="0" w:color="auto"/>
              <w:bottom w:val="nil"/>
              <w:right w:val="single" w:sz="8" w:space="0" w:color="auto"/>
            </w:tcBorders>
            <w:shd w:val="clear" w:color="000000" w:fill="FFFFFF"/>
            <w:noWrap/>
            <w:vAlign w:val="center"/>
            <w:hideMark/>
          </w:tcPr>
          <w:p w14:paraId="180BAA10" w14:textId="332A76CC" w:rsidR="0004071A" w:rsidRPr="009A27ED" w:rsidRDefault="0004071A" w:rsidP="00841FBE">
            <w:pPr>
              <w:spacing w:after="0"/>
              <w:jc w:val="left"/>
              <w:rPr>
                <w:rFonts w:eastAsia="Times New Roman" w:cs="Calibri (Cuerpo)"/>
                <w:color w:val="000000"/>
                <w:sz w:val="20"/>
                <w:szCs w:val="20"/>
                <w:lang w:val="en-US"/>
              </w:rPr>
            </w:pPr>
            <w:r w:rsidRPr="009A27ED">
              <w:rPr>
                <w:rFonts w:eastAsia="Times New Roman" w:cs="Calibri (Cuerpo)"/>
                <w:color w:val="000000"/>
                <w:sz w:val="20"/>
                <w:szCs w:val="20"/>
                <w:lang w:val="en-US"/>
              </w:rPr>
              <w:t xml:space="preserve">9,873.00 </w:t>
            </w:r>
          </w:p>
        </w:tc>
        <w:tc>
          <w:tcPr>
            <w:tcW w:w="1260" w:type="dxa"/>
            <w:tcBorders>
              <w:top w:val="single" w:sz="4" w:space="0" w:color="auto"/>
              <w:left w:val="nil"/>
              <w:bottom w:val="nil"/>
              <w:right w:val="single" w:sz="8" w:space="0" w:color="auto"/>
            </w:tcBorders>
            <w:shd w:val="clear" w:color="000000" w:fill="FFFFFF"/>
            <w:noWrap/>
            <w:vAlign w:val="center"/>
            <w:hideMark/>
          </w:tcPr>
          <w:p w14:paraId="1287E748" w14:textId="77777777" w:rsidR="0004071A" w:rsidRPr="009A27ED" w:rsidRDefault="0004071A" w:rsidP="00841FBE">
            <w:pPr>
              <w:spacing w:after="0"/>
              <w:jc w:val="left"/>
              <w:rPr>
                <w:rFonts w:eastAsia="Times New Roman" w:cs="Calibri (Cuerpo)"/>
                <w:color w:val="000000"/>
                <w:sz w:val="20"/>
                <w:szCs w:val="20"/>
                <w:lang w:val="en-US"/>
              </w:rPr>
            </w:pPr>
            <w:r w:rsidRPr="009A27ED">
              <w:rPr>
                <w:rFonts w:eastAsia="Times New Roman" w:cs="Calibri (Cuerpo)"/>
                <w:color w:val="000000"/>
                <w:sz w:val="20"/>
                <w:szCs w:val="20"/>
                <w:lang w:val="en-US"/>
              </w:rPr>
              <w:t>38.00</w:t>
            </w:r>
          </w:p>
        </w:tc>
        <w:tc>
          <w:tcPr>
            <w:tcW w:w="1170" w:type="dxa"/>
            <w:tcBorders>
              <w:top w:val="single" w:sz="4" w:space="0" w:color="auto"/>
              <w:left w:val="nil"/>
              <w:bottom w:val="nil"/>
              <w:right w:val="single" w:sz="8" w:space="0" w:color="auto"/>
            </w:tcBorders>
            <w:shd w:val="clear" w:color="000000" w:fill="FFFFFF"/>
            <w:noWrap/>
            <w:vAlign w:val="center"/>
            <w:hideMark/>
          </w:tcPr>
          <w:p w14:paraId="02C062DE" w14:textId="3A02EFE4" w:rsidR="0004071A" w:rsidRPr="009A27ED" w:rsidRDefault="0004071A" w:rsidP="00841FBE">
            <w:pPr>
              <w:spacing w:after="0"/>
              <w:jc w:val="left"/>
              <w:rPr>
                <w:rFonts w:eastAsia="Times New Roman" w:cs="Calibri (Cuerpo)"/>
                <w:color w:val="000000"/>
                <w:sz w:val="20"/>
                <w:szCs w:val="20"/>
                <w:lang w:val="en-US"/>
              </w:rPr>
            </w:pPr>
            <w:r w:rsidRPr="009A27ED">
              <w:rPr>
                <w:rFonts w:eastAsia="Times New Roman" w:cs="Calibri (Cuerpo)"/>
                <w:color w:val="000000"/>
                <w:sz w:val="20"/>
                <w:szCs w:val="20"/>
                <w:lang w:val="en-US"/>
              </w:rPr>
              <w:t xml:space="preserve">4,583.00 </w:t>
            </w:r>
          </w:p>
        </w:tc>
        <w:tc>
          <w:tcPr>
            <w:tcW w:w="900" w:type="dxa"/>
            <w:tcBorders>
              <w:top w:val="single" w:sz="4" w:space="0" w:color="auto"/>
              <w:left w:val="nil"/>
              <w:bottom w:val="nil"/>
              <w:right w:val="single" w:sz="8" w:space="0" w:color="auto"/>
            </w:tcBorders>
            <w:shd w:val="clear" w:color="000000" w:fill="FFFFFF"/>
            <w:noWrap/>
            <w:vAlign w:val="center"/>
            <w:hideMark/>
          </w:tcPr>
          <w:p w14:paraId="299D8A7C" w14:textId="77777777" w:rsidR="0004071A" w:rsidRPr="009A27ED" w:rsidRDefault="0004071A" w:rsidP="00841FBE">
            <w:pPr>
              <w:spacing w:after="0"/>
              <w:jc w:val="left"/>
              <w:rPr>
                <w:rFonts w:eastAsia="Times New Roman" w:cs="Calibri (Cuerpo)"/>
                <w:color w:val="000000"/>
                <w:sz w:val="20"/>
                <w:szCs w:val="20"/>
                <w:lang w:val="en-US"/>
              </w:rPr>
            </w:pPr>
            <w:r w:rsidRPr="009A27ED">
              <w:rPr>
                <w:rFonts w:eastAsia="Times New Roman" w:cs="Calibri (Cuerpo)"/>
                <w:color w:val="000000"/>
                <w:sz w:val="20"/>
                <w:szCs w:val="20"/>
                <w:lang w:val="en-US"/>
              </w:rPr>
              <w:t>48</w:t>
            </w:r>
          </w:p>
        </w:tc>
        <w:tc>
          <w:tcPr>
            <w:tcW w:w="1440" w:type="dxa"/>
            <w:tcBorders>
              <w:top w:val="single" w:sz="4" w:space="0" w:color="auto"/>
              <w:left w:val="nil"/>
              <w:bottom w:val="nil"/>
              <w:right w:val="single" w:sz="8" w:space="0" w:color="auto"/>
            </w:tcBorders>
            <w:shd w:val="clear" w:color="000000" w:fill="FFFFFF"/>
            <w:noWrap/>
            <w:vAlign w:val="center"/>
            <w:hideMark/>
          </w:tcPr>
          <w:p w14:paraId="1BD6747E" w14:textId="1DB9D50C" w:rsidR="0004071A" w:rsidRPr="009A27ED" w:rsidRDefault="0004071A" w:rsidP="00841FBE">
            <w:pPr>
              <w:spacing w:after="0"/>
              <w:jc w:val="left"/>
              <w:rPr>
                <w:rFonts w:eastAsia="Times New Roman" w:cs="Calibri (Cuerpo)"/>
                <w:color w:val="000000"/>
                <w:sz w:val="20"/>
                <w:szCs w:val="20"/>
                <w:lang w:val="en-US"/>
              </w:rPr>
            </w:pPr>
            <w:r w:rsidRPr="009A27ED">
              <w:rPr>
                <w:rFonts w:eastAsia="Times New Roman" w:cs="Calibri (Cuerpo)"/>
                <w:color w:val="000000"/>
                <w:sz w:val="20"/>
                <w:szCs w:val="20"/>
                <w:lang w:val="en-US"/>
              </w:rPr>
              <w:t>3,956</w:t>
            </w:r>
          </w:p>
        </w:tc>
        <w:tc>
          <w:tcPr>
            <w:tcW w:w="1170" w:type="dxa"/>
            <w:tcBorders>
              <w:top w:val="single" w:sz="4" w:space="0" w:color="auto"/>
              <w:left w:val="nil"/>
              <w:bottom w:val="nil"/>
              <w:right w:val="single" w:sz="8" w:space="0" w:color="auto"/>
            </w:tcBorders>
            <w:shd w:val="clear" w:color="000000" w:fill="FFFFFF"/>
            <w:noWrap/>
            <w:vAlign w:val="center"/>
            <w:hideMark/>
          </w:tcPr>
          <w:p w14:paraId="0D3FCE28" w14:textId="77777777" w:rsidR="0004071A" w:rsidRPr="009A27ED" w:rsidRDefault="0004071A" w:rsidP="00841FBE">
            <w:pPr>
              <w:spacing w:after="0"/>
              <w:jc w:val="left"/>
              <w:rPr>
                <w:rFonts w:eastAsia="Times New Roman" w:cs="Calibri (Cuerpo)"/>
                <w:color w:val="000000"/>
                <w:sz w:val="20"/>
                <w:szCs w:val="20"/>
                <w:lang w:val="en-US"/>
              </w:rPr>
            </w:pPr>
            <w:r w:rsidRPr="009A27ED">
              <w:rPr>
                <w:rFonts w:eastAsia="Times New Roman" w:cs="Calibri (Cuerpo)"/>
                <w:color w:val="000000"/>
                <w:sz w:val="20"/>
                <w:szCs w:val="20"/>
                <w:lang w:val="en-US"/>
              </w:rPr>
              <w:t>34.99</w:t>
            </w:r>
          </w:p>
        </w:tc>
        <w:tc>
          <w:tcPr>
            <w:tcW w:w="990" w:type="dxa"/>
            <w:tcBorders>
              <w:top w:val="single" w:sz="4" w:space="0" w:color="auto"/>
              <w:left w:val="nil"/>
              <w:bottom w:val="nil"/>
              <w:right w:val="single" w:sz="8" w:space="0" w:color="auto"/>
            </w:tcBorders>
            <w:shd w:val="clear" w:color="000000" w:fill="FFFFFF"/>
            <w:noWrap/>
            <w:vAlign w:val="center"/>
            <w:hideMark/>
          </w:tcPr>
          <w:p w14:paraId="63D499D7" w14:textId="77777777" w:rsidR="0004071A" w:rsidRPr="009A27ED" w:rsidRDefault="0004071A" w:rsidP="00841FBE">
            <w:pPr>
              <w:spacing w:after="0"/>
              <w:jc w:val="left"/>
              <w:rPr>
                <w:rFonts w:eastAsia="Times New Roman" w:cs="Calibri (Cuerpo)"/>
                <w:color w:val="000000"/>
                <w:sz w:val="20"/>
                <w:szCs w:val="20"/>
                <w:lang w:val="en-US"/>
              </w:rPr>
            </w:pPr>
            <w:r w:rsidRPr="009A27ED">
              <w:rPr>
                <w:rFonts w:eastAsia="Times New Roman" w:cs="Calibri (Cuerpo)"/>
                <w:color w:val="000000"/>
                <w:sz w:val="20"/>
                <w:szCs w:val="20"/>
                <w:lang w:val="en-US"/>
              </w:rPr>
              <w:t>13.64</w:t>
            </w:r>
          </w:p>
        </w:tc>
      </w:tr>
      <w:tr w:rsidR="0004071A" w:rsidRPr="009A27ED" w14:paraId="7E863D8F" w14:textId="77777777" w:rsidTr="00841FBE">
        <w:trPr>
          <w:trHeight w:val="330"/>
        </w:trPr>
        <w:tc>
          <w:tcPr>
            <w:tcW w:w="1275" w:type="dxa"/>
            <w:tcBorders>
              <w:top w:val="nil"/>
              <w:left w:val="single" w:sz="8" w:space="0" w:color="auto"/>
              <w:bottom w:val="single" w:sz="8" w:space="0" w:color="auto"/>
              <w:right w:val="nil"/>
            </w:tcBorders>
            <w:shd w:val="clear" w:color="000000" w:fill="FFFFFF"/>
            <w:noWrap/>
            <w:vAlign w:val="center"/>
            <w:hideMark/>
          </w:tcPr>
          <w:p w14:paraId="2911426C" w14:textId="77777777" w:rsidR="0004071A" w:rsidRPr="009A27ED" w:rsidRDefault="0004071A" w:rsidP="00841FBE">
            <w:pPr>
              <w:spacing w:after="0"/>
              <w:jc w:val="left"/>
              <w:rPr>
                <w:rFonts w:eastAsia="Times New Roman"/>
                <w:bCs/>
                <w:color w:val="000000"/>
                <w:sz w:val="20"/>
                <w:szCs w:val="20"/>
                <w:lang w:val="en-US"/>
              </w:rPr>
            </w:pPr>
            <w:r w:rsidRPr="009A27ED">
              <w:rPr>
                <w:rFonts w:eastAsia="Times New Roman"/>
                <w:color w:val="000000"/>
                <w:sz w:val="20"/>
                <w:szCs w:val="20"/>
              </w:rPr>
              <w:t>Área 4</w:t>
            </w:r>
          </w:p>
        </w:tc>
        <w:tc>
          <w:tcPr>
            <w:tcW w:w="1170" w:type="dxa"/>
            <w:tcBorders>
              <w:top w:val="single" w:sz="4" w:space="0" w:color="auto"/>
              <w:left w:val="single" w:sz="8" w:space="0" w:color="auto"/>
              <w:bottom w:val="nil"/>
              <w:right w:val="single" w:sz="8" w:space="0" w:color="auto"/>
            </w:tcBorders>
            <w:shd w:val="clear" w:color="000000" w:fill="FFFFFF"/>
            <w:noWrap/>
            <w:vAlign w:val="center"/>
            <w:hideMark/>
          </w:tcPr>
          <w:p w14:paraId="162E03FA" w14:textId="3DE16595" w:rsidR="0004071A" w:rsidRPr="009A27ED" w:rsidRDefault="0004071A" w:rsidP="00841FBE">
            <w:pPr>
              <w:spacing w:after="0"/>
              <w:jc w:val="left"/>
              <w:rPr>
                <w:rFonts w:eastAsia="Times New Roman"/>
                <w:color w:val="000000"/>
                <w:sz w:val="20"/>
                <w:szCs w:val="20"/>
                <w:lang w:val="en-US"/>
              </w:rPr>
            </w:pPr>
            <w:r w:rsidRPr="009A27ED">
              <w:rPr>
                <w:rFonts w:eastAsia="Times New Roman"/>
                <w:color w:val="000000"/>
                <w:sz w:val="20"/>
                <w:szCs w:val="20"/>
                <w:lang w:val="en-US"/>
              </w:rPr>
              <w:t xml:space="preserve">2,337.62 </w:t>
            </w:r>
          </w:p>
        </w:tc>
        <w:tc>
          <w:tcPr>
            <w:tcW w:w="1260" w:type="dxa"/>
            <w:tcBorders>
              <w:top w:val="single" w:sz="4" w:space="0" w:color="auto"/>
              <w:left w:val="nil"/>
              <w:bottom w:val="nil"/>
              <w:right w:val="single" w:sz="8" w:space="0" w:color="auto"/>
            </w:tcBorders>
            <w:shd w:val="clear" w:color="000000" w:fill="FFFFFF"/>
            <w:noWrap/>
            <w:vAlign w:val="center"/>
            <w:hideMark/>
          </w:tcPr>
          <w:p w14:paraId="7E5B4005" w14:textId="77777777" w:rsidR="0004071A" w:rsidRPr="009A27ED" w:rsidRDefault="0004071A" w:rsidP="00841FBE">
            <w:pPr>
              <w:spacing w:after="0"/>
              <w:jc w:val="left"/>
              <w:rPr>
                <w:rFonts w:eastAsia="Times New Roman"/>
                <w:color w:val="000000"/>
                <w:sz w:val="20"/>
                <w:szCs w:val="20"/>
                <w:lang w:val="en-US"/>
              </w:rPr>
            </w:pPr>
            <w:r w:rsidRPr="009A27ED">
              <w:rPr>
                <w:rFonts w:eastAsia="Times New Roman"/>
                <w:color w:val="000000"/>
                <w:sz w:val="20"/>
                <w:szCs w:val="20"/>
                <w:lang w:val="en-US"/>
              </w:rPr>
              <w:t>4.00</w:t>
            </w:r>
          </w:p>
        </w:tc>
        <w:tc>
          <w:tcPr>
            <w:tcW w:w="1170" w:type="dxa"/>
            <w:tcBorders>
              <w:top w:val="single" w:sz="4" w:space="0" w:color="auto"/>
              <w:left w:val="nil"/>
              <w:bottom w:val="nil"/>
              <w:right w:val="single" w:sz="8" w:space="0" w:color="auto"/>
            </w:tcBorders>
            <w:shd w:val="clear" w:color="000000" w:fill="FFFFFF"/>
            <w:noWrap/>
            <w:vAlign w:val="center"/>
            <w:hideMark/>
          </w:tcPr>
          <w:p w14:paraId="0DB3F47C" w14:textId="14D322B0" w:rsidR="0004071A" w:rsidRPr="009A27ED" w:rsidRDefault="0004071A" w:rsidP="00841FBE">
            <w:pPr>
              <w:spacing w:after="0"/>
              <w:jc w:val="left"/>
              <w:rPr>
                <w:rFonts w:eastAsia="Times New Roman"/>
                <w:color w:val="000000"/>
                <w:sz w:val="20"/>
                <w:szCs w:val="20"/>
                <w:lang w:val="en-US"/>
              </w:rPr>
            </w:pPr>
            <w:r w:rsidRPr="009A27ED">
              <w:rPr>
                <w:rFonts w:eastAsia="Times New Roman"/>
                <w:color w:val="000000"/>
                <w:sz w:val="20"/>
                <w:szCs w:val="20"/>
                <w:lang w:val="en-US"/>
              </w:rPr>
              <w:t xml:space="preserve">762.00 </w:t>
            </w:r>
          </w:p>
        </w:tc>
        <w:tc>
          <w:tcPr>
            <w:tcW w:w="900" w:type="dxa"/>
            <w:tcBorders>
              <w:top w:val="single" w:sz="4" w:space="0" w:color="auto"/>
              <w:left w:val="nil"/>
              <w:bottom w:val="nil"/>
              <w:right w:val="single" w:sz="8" w:space="0" w:color="auto"/>
            </w:tcBorders>
            <w:shd w:val="clear" w:color="000000" w:fill="FFFFFF"/>
            <w:noWrap/>
            <w:vAlign w:val="center"/>
            <w:hideMark/>
          </w:tcPr>
          <w:p w14:paraId="4BB6E57B" w14:textId="77777777" w:rsidR="0004071A" w:rsidRPr="009A27ED" w:rsidRDefault="0004071A" w:rsidP="00841FBE">
            <w:pPr>
              <w:spacing w:after="0"/>
              <w:jc w:val="left"/>
              <w:rPr>
                <w:rFonts w:eastAsia="Times New Roman"/>
                <w:color w:val="000000"/>
                <w:sz w:val="20"/>
                <w:szCs w:val="20"/>
                <w:lang w:val="en-US"/>
              </w:rPr>
            </w:pPr>
            <w:r w:rsidRPr="009A27ED">
              <w:rPr>
                <w:rFonts w:eastAsia="Times New Roman"/>
                <w:color w:val="000000"/>
                <w:sz w:val="20"/>
                <w:szCs w:val="20"/>
                <w:lang w:val="en-US"/>
              </w:rPr>
              <w:t>40</w:t>
            </w:r>
          </w:p>
        </w:tc>
        <w:tc>
          <w:tcPr>
            <w:tcW w:w="1440" w:type="dxa"/>
            <w:tcBorders>
              <w:top w:val="single" w:sz="4" w:space="0" w:color="auto"/>
              <w:left w:val="nil"/>
              <w:bottom w:val="nil"/>
              <w:right w:val="single" w:sz="8" w:space="0" w:color="auto"/>
            </w:tcBorders>
            <w:shd w:val="clear" w:color="000000" w:fill="FFFFFF"/>
            <w:noWrap/>
            <w:vAlign w:val="center"/>
            <w:hideMark/>
          </w:tcPr>
          <w:p w14:paraId="428E6E82" w14:textId="6DCE12FE" w:rsidR="0004071A" w:rsidRPr="009A27ED" w:rsidRDefault="0004071A" w:rsidP="00841FBE">
            <w:pPr>
              <w:spacing w:after="0"/>
              <w:jc w:val="left"/>
              <w:rPr>
                <w:rFonts w:eastAsia="Times New Roman"/>
                <w:color w:val="000000"/>
                <w:sz w:val="20"/>
                <w:szCs w:val="20"/>
                <w:lang w:val="en-US"/>
              </w:rPr>
            </w:pPr>
            <w:r w:rsidRPr="009A27ED">
              <w:rPr>
                <w:rFonts w:eastAsia="Times New Roman"/>
                <w:color w:val="000000"/>
                <w:sz w:val="20"/>
                <w:szCs w:val="20"/>
                <w:lang w:val="en-US"/>
              </w:rPr>
              <w:t>1,483</w:t>
            </w:r>
          </w:p>
        </w:tc>
        <w:tc>
          <w:tcPr>
            <w:tcW w:w="1170" w:type="dxa"/>
            <w:tcBorders>
              <w:top w:val="single" w:sz="4" w:space="0" w:color="auto"/>
              <w:left w:val="nil"/>
              <w:bottom w:val="nil"/>
              <w:right w:val="single" w:sz="8" w:space="0" w:color="auto"/>
            </w:tcBorders>
            <w:shd w:val="clear" w:color="000000" w:fill="FFFFFF"/>
            <w:noWrap/>
            <w:vAlign w:val="center"/>
            <w:hideMark/>
          </w:tcPr>
          <w:p w14:paraId="6D324E5C" w14:textId="77777777" w:rsidR="0004071A" w:rsidRPr="009A27ED" w:rsidRDefault="0004071A" w:rsidP="00841FBE">
            <w:pPr>
              <w:spacing w:after="0"/>
              <w:jc w:val="left"/>
              <w:rPr>
                <w:rFonts w:eastAsia="Times New Roman"/>
                <w:color w:val="000000"/>
                <w:sz w:val="20"/>
                <w:szCs w:val="20"/>
                <w:lang w:val="en-US"/>
              </w:rPr>
            </w:pPr>
            <w:r w:rsidRPr="009A27ED">
              <w:rPr>
                <w:rFonts w:eastAsia="Times New Roman"/>
                <w:color w:val="000000"/>
                <w:sz w:val="20"/>
                <w:szCs w:val="20"/>
                <w:lang w:val="en-US"/>
              </w:rPr>
              <w:t>38.23</w:t>
            </w:r>
          </w:p>
        </w:tc>
        <w:tc>
          <w:tcPr>
            <w:tcW w:w="990" w:type="dxa"/>
            <w:tcBorders>
              <w:top w:val="single" w:sz="4" w:space="0" w:color="auto"/>
              <w:left w:val="nil"/>
              <w:bottom w:val="nil"/>
              <w:right w:val="single" w:sz="8" w:space="0" w:color="auto"/>
            </w:tcBorders>
            <w:shd w:val="clear" w:color="000000" w:fill="FFFFFF"/>
            <w:noWrap/>
            <w:vAlign w:val="center"/>
            <w:hideMark/>
          </w:tcPr>
          <w:p w14:paraId="3DF51728" w14:textId="77777777" w:rsidR="0004071A" w:rsidRPr="009A27ED" w:rsidRDefault="0004071A" w:rsidP="00841FBE">
            <w:pPr>
              <w:spacing w:after="0"/>
              <w:jc w:val="left"/>
              <w:rPr>
                <w:rFonts w:eastAsia="Times New Roman"/>
                <w:color w:val="000000"/>
                <w:sz w:val="20"/>
                <w:szCs w:val="20"/>
                <w:lang w:val="en-US"/>
              </w:rPr>
            </w:pPr>
            <w:r w:rsidRPr="009A27ED">
              <w:rPr>
                <w:rFonts w:eastAsia="Times New Roman"/>
                <w:color w:val="000000"/>
                <w:sz w:val="20"/>
                <w:szCs w:val="20"/>
                <w:lang w:val="en-US"/>
              </w:rPr>
              <w:t>6.90</w:t>
            </w:r>
          </w:p>
        </w:tc>
      </w:tr>
      <w:tr w:rsidR="0004071A" w:rsidRPr="009A27ED" w14:paraId="28E60505" w14:textId="77777777" w:rsidTr="00841FBE">
        <w:trPr>
          <w:trHeight w:val="330"/>
        </w:trPr>
        <w:tc>
          <w:tcPr>
            <w:tcW w:w="1275" w:type="dxa"/>
            <w:tcBorders>
              <w:top w:val="nil"/>
              <w:left w:val="single" w:sz="8" w:space="0" w:color="auto"/>
              <w:bottom w:val="single" w:sz="8" w:space="0" w:color="auto"/>
              <w:right w:val="nil"/>
            </w:tcBorders>
            <w:shd w:val="clear" w:color="000000" w:fill="FFFFFF"/>
            <w:noWrap/>
            <w:vAlign w:val="center"/>
            <w:hideMark/>
          </w:tcPr>
          <w:p w14:paraId="7EF48397" w14:textId="77777777" w:rsidR="0004071A" w:rsidRPr="009A27ED" w:rsidRDefault="0004071A" w:rsidP="00841FBE">
            <w:pPr>
              <w:spacing w:after="0"/>
              <w:jc w:val="left"/>
              <w:rPr>
                <w:rFonts w:eastAsia="Times New Roman"/>
                <w:bCs/>
                <w:color w:val="000000"/>
                <w:sz w:val="20"/>
                <w:szCs w:val="20"/>
                <w:lang w:val="en-US"/>
              </w:rPr>
            </w:pPr>
            <w:r w:rsidRPr="009A27ED">
              <w:rPr>
                <w:rFonts w:eastAsia="Times New Roman"/>
                <w:color w:val="000000"/>
                <w:sz w:val="20"/>
                <w:szCs w:val="20"/>
              </w:rPr>
              <w:t>Área 5</w:t>
            </w:r>
          </w:p>
        </w:tc>
        <w:tc>
          <w:tcPr>
            <w:tcW w:w="1170" w:type="dxa"/>
            <w:tcBorders>
              <w:top w:val="single" w:sz="4" w:space="0" w:color="auto"/>
              <w:left w:val="single" w:sz="8" w:space="0" w:color="auto"/>
              <w:bottom w:val="nil"/>
              <w:right w:val="single" w:sz="8" w:space="0" w:color="auto"/>
            </w:tcBorders>
            <w:shd w:val="clear" w:color="000000" w:fill="FFFFFF"/>
            <w:noWrap/>
            <w:vAlign w:val="center"/>
            <w:hideMark/>
          </w:tcPr>
          <w:p w14:paraId="056946BF" w14:textId="0B02DC6D" w:rsidR="0004071A" w:rsidRPr="009A27ED" w:rsidRDefault="0004071A" w:rsidP="00841FBE">
            <w:pPr>
              <w:spacing w:after="0"/>
              <w:jc w:val="left"/>
              <w:rPr>
                <w:rFonts w:eastAsia="Times New Roman"/>
                <w:color w:val="000000"/>
                <w:sz w:val="20"/>
                <w:szCs w:val="20"/>
                <w:lang w:val="en-US"/>
              </w:rPr>
            </w:pPr>
            <w:r w:rsidRPr="009A27ED">
              <w:rPr>
                <w:rFonts w:eastAsia="Times New Roman"/>
                <w:color w:val="000000"/>
                <w:sz w:val="20"/>
                <w:szCs w:val="20"/>
                <w:lang w:val="en-US"/>
              </w:rPr>
              <w:t xml:space="preserve">7,300.00 </w:t>
            </w:r>
          </w:p>
        </w:tc>
        <w:tc>
          <w:tcPr>
            <w:tcW w:w="1260" w:type="dxa"/>
            <w:tcBorders>
              <w:top w:val="single" w:sz="4" w:space="0" w:color="auto"/>
              <w:left w:val="nil"/>
              <w:bottom w:val="nil"/>
              <w:right w:val="single" w:sz="8" w:space="0" w:color="auto"/>
            </w:tcBorders>
            <w:shd w:val="clear" w:color="000000" w:fill="FFFFFF"/>
            <w:noWrap/>
            <w:vAlign w:val="center"/>
            <w:hideMark/>
          </w:tcPr>
          <w:p w14:paraId="32CBCFD9" w14:textId="77777777" w:rsidR="0004071A" w:rsidRPr="009A27ED" w:rsidRDefault="0004071A" w:rsidP="00841FBE">
            <w:pPr>
              <w:spacing w:after="0"/>
              <w:jc w:val="left"/>
              <w:rPr>
                <w:rFonts w:eastAsia="Times New Roman"/>
                <w:color w:val="000000"/>
                <w:sz w:val="20"/>
                <w:szCs w:val="20"/>
                <w:lang w:val="en-US"/>
              </w:rPr>
            </w:pPr>
            <w:r w:rsidRPr="009A27ED">
              <w:rPr>
                <w:rFonts w:eastAsia="Times New Roman"/>
                <w:color w:val="000000"/>
                <w:sz w:val="20"/>
                <w:szCs w:val="20"/>
                <w:lang w:val="en-US"/>
              </w:rPr>
              <w:t>8.00</w:t>
            </w:r>
          </w:p>
        </w:tc>
        <w:tc>
          <w:tcPr>
            <w:tcW w:w="1170" w:type="dxa"/>
            <w:tcBorders>
              <w:top w:val="single" w:sz="4" w:space="0" w:color="auto"/>
              <w:left w:val="nil"/>
              <w:bottom w:val="nil"/>
              <w:right w:val="single" w:sz="8" w:space="0" w:color="auto"/>
            </w:tcBorders>
            <w:shd w:val="clear" w:color="000000" w:fill="FFFFFF"/>
            <w:noWrap/>
            <w:vAlign w:val="center"/>
            <w:hideMark/>
          </w:tcPr>
          <w:p w14:paraId="4FF19617" w14:textId="07CEE62B" w:rsidR="0004071A" w:rsidRPr="009A27ED" w:rsidRDefault="0004071A" w:rsidP="00841FBE">
            <w:pPr>
              <w:spacing w:after="0"/>
              <w:jc w:val="left"/>
              <w:rPr>
                <w:rFonts w:eastAsia="Times New Roman"/>
                <w:color w:val="000000"/>
                <w:sz w:val="20"/>
                <w:szCs w:val="20"/>
                <w:lang w:val="en-US"/>
              </w:rPr>
            </w:pPr>
            <w:r w:rsidRPr="009A27ED">
              <w:rPr>
                <w:rFonts w:eastAsia="Times New Roman"/>
                <w:color w:val="000000"/>
                <w:sz w:val="20"/>
                <w:szCs w:val="20"/>
                <w:lang w:val="en-US"/>
              </w:rPr>
              <w:t xml:space="preserve">24.00 </w:t>
            </w:r>
          </w:p>
        </w:tc>
        <w:tc>
          <w:tcPr>
            <w:tcW w:w="900" w:type="dxa"/>
            <w:tcBorders>
              <w:top w:val="single" w:sz="4" w:space="0" w:color="auto"/>
              <w:left w:val="nil"/>
              <w:bottom w:val="nil"/>
              <w:right w:val="single" w:sz="8" w:space="0" w:color="auto"/>
            </w:tcBorders>
            <w:shd w:val="clear" w:color="000000" w:fill="FFFFFF"/>
            <w:noWrap/>
            <w:vAlign w:val="center"/>
            <w:hideMark/>
          </w:tcPr>
          <w:p w14:paraId="0217DD88" w14:textId="77777777" w:rsidR="0004071A" w:rsidRPr="009A27ED" w:rsidRDefault="0004071A" w:rsidP="00841FBE">
            <w:pPr>
              <w:spacing w:after="0"/>
              <w:jc w:val="left"/>
              <w:rPr>
                <w:rFonts w:eastAsia="Times New Roman"/>
                <w:color w:val="000000"/>
                <w:sz w:val="20"/>
                <w:szCs w:val="20"/>
                <w:lang w:val="en-US"/>
              </w:rPr>
            </w:pPr>
            <w:r w:rsidRPr="009A27ED">
              <w:rPr>
                <w:rFonts w:eastAsia="Times New Roman"/>
                <w:color w:val="000000"/>
                <w:sz w:val="20"/>
                <w:szCs w:val="20"/>
                <w:lang w:val="en-US"/>
              </w:rPr>
              <w:t>5</w:t>
            </w:r>
          </w:p>
        </w:tc>
        <w:tc>
          <w:tcPr>
            <w:tcW w:w="1440" w:type="dxa"/>
            <w:tcBorders>
              <w:top w:val="single" w:sz="4" w:space="0" w:color="auto"/>
              <w:left w:val="nil"/>
              <w:bottom w:val="nil"/>
              <w:right w:val="single" w:sz="8" w:space="0" w:color="auto"/>
            </w:tcBorders>
            <w:shd w:val="clear" w:color="000000" w:fill="FFFFFF"/>
            <w:noWrap/>
            <w:vAlign w:val="center"/>
            <w:hideMark/>
          </w:tcPr>
          <w:p w14:paraId="689A5078" w14:textId="11BD9DC8" w:rsidR="0004071A" w:rsidRPr="009A27ED" w:rsidRDefault="0004071A" w:rsidP="00841FBE">
            <w:pPr>
              <w:spacing w:after="0"/>
              <w:jc w:val="left"/>
              <w:rPr>
                <w:rFonts w:eastAsia="Times New Roman"/>
                <w:color w:val="000000"/>
                <w:sz w:val="20"/>
                <w:szCs w:val="20"/>
                <w:lang w:val="en-US"/>
              </w:rPr>
            </w:pPr>
            <w:r w:rsidRPr="009A27ED">
              <w:rPr>
                <w:rFonts w:eastAsia="Times New Roman"/>
                <w:color w:val="000000"/>
                <w:sz w:val="20"/>
                <w:szCs w:val="20"/>
                <w:lang w:val="en-US"/>
              </w:rPr>
              <w:t>765</w:t>
            </w:r>
          </w:p>
        </w:tc>
        <w:tc>
          <w:tcPr>
            <w:tcW w:w="1170" w:type="dxa"/>
            <w:tcBorders>
              <w:top w:val="single" w:sz="4" w:space="0" w:color="auto"/>
              <w:left w:val="nil"/>
              <w:bottom w:val="nil"/>
              <w:right w:val="single" w:sz="8" w:space="0" w:color="auto"/>
            </w:tcBorders>
            <w:shd w:val="clear" w:color="000000" w:fill="FFFFFF"/>
            <w:noWrap/>
            <w:vAlign w:val="center"/>
            <w:hideMark/>
          </w:tcPr>
          <w:p w14:paraId="030DEFEE" w14:textId="77777777" w:rsidR="0004071A" w:rsidRPr="009A27ED" w:rsidRDefault="0004071A" w:rsidP="00841FBE">
            <w:pPr>
              <w:spacing w:after="0"/>
              <w:jc w:val="left"/>
              <w:rPr>
                <w:rFonts w:eastAsia="Times New Roman"/>
                <w:color w:val="000000"/>
                <w:sz w:val="20"/>
                <w:szCs w:val="20"/>
                <w:lang w:val="en-US"/>
              </w:rPr>
            </w:pPr>
            <w:r w:rsidRPr="009A27ED">
              <w:rPr>
                <w:rFonts w:eastAsia="Times New Roman"/>
                <w:color w:val="000000"/>
                <w:sz w:val="20"/>
                <w:szCs w:val="20"/>
                <w:lang w:val="en-US"/>
              </w:rPr>
              <w:t>35.08</w:t>
            </w:r>
          </w:p>
        </w:tc>
        <w:tc>
          <w:tcPr>
            <w:tcW w:w="990" w:type="dxa"/>
            <w:tcBorders>
              <w:top w:val="single" w:sz="4" w:space="0" w:color="auto"/>
              <w:left w:val="nil"/>
              <w:bottom w:val="nil"/>
              <w:right w:val="single" w:sz="8" w:space="0" w:color="auto"/>
            </w:tcBorders>
            <w:shd w:val="clear" w:color="000000" w:fill="FFFFFF"/>
            <w:noWrap/>
            <w:vAlign w:val="center"/>
            <w:hideMark/>
          </w:tcPr>
          <w:p w14:paraId="48BA29E5" w14:textId="77777777" w:rsidR="0004071A" w:rsidRPr="009A27ED" w:rsidRDefault="0004071A" w:rsidP="00841FBE">
            <w:pPr>
              <w:spacing w:after="0"/>
              <w:jc w:val="left"/>
              <w:rPr>
                <w:rFonts w:eastAsia="Times New Roman"/>
                <w:color w:val="000000"/>
                <w:sz w:val="20"/>
                <w:szCs w:val="20"/>
                <w:lang w:val="en-US"/>
              </w:rPr>
            </w:pPr>
            <w:r w:rsidRPr="009A27ED">
              <w:rPr>
                <w:rFonts w:eastAsia="Times New Roman"/>
                <w:color w:val="000000"/>
                <w:sz w:val="20"/>
                <w:szCs w:val="20"/>
                <w:lang w:val="en-US"/>
              </w:rPr>
              <w:t>9.80</w:t>
            </w:r>
          </w:p>
        </w:tc>
      </w:tr>
      <w:tr w:rsidR="0004071A" w:rsidRPr="009A27ED" w14:paraId="5363FCDF" w14:textId="77777777" w:rsidTr="006A37E7">
        <w:trPr>
          <w:trHeight w:val="301"/>
        </w:trPr>
        <w:tc>
          <w:tcPr>
            <w:tcW w:w="1275" w:type="dxa"/>
            <w:tcBorders>
              <w:top w:val="nil"/>
              <w:left w:val="single" w:sz="8" w:space="0" w:color="auto"/>
              <w:bottom w:val="single" w:sz="8" w:space="0" w:color="auto"/>
              <w:right w:val="nil"/>
            </w:tcBorders>
            <w:shd w:val="clear" w:color="000000" w:fill="FFFFFF"/>
            <w:noWrap/>
            <w:vAlign w:val="center"/>
            <w:hideMark/>
          </w:tcPr>
          <w:p w14:paraId="1B5B5E98" w14:textId="77777777" w:rsidR="0004071A" w:rsidRPr="009A27ED" w:rsidRDefault="0004071A" w:rsidP="00841FBE">
            <w:pPr>
              <w:spacing w:after="0"/>
              <w:jc w:val="left"/>
              <w:rPr>
                <w:rFonts w:eastAsia="Times New Roman"/>
                <w:b/>
                <w:bCs/>
                <w:color w:val="000000"/>
                <w:sz w:val="20"/>
                <w:szCs w:val="20"/>
                <w:lang w:val="en-US"/>
              </w:rPr>
            </w:pPr>
            <w:r w:rsidRPr="009A27ED">
              <w:rPr>
                <w:rFonts w:eastAsia="Times New Roman"/>
                <w:b/>
                <w:bCs/>
                <w:i/>
                <w:iCs/>
                <w:color w:val="000000"/>
                <w:sz w:val="20"/>
                <w:szCs w:val="20"/>
              </w:rPr>
              <w:t>Total</w:t>
            </w:r>
          </w:p>
        </w:tc>
        <w:tc>
          <w:tcPr>
            <w:tcW w:w="1170"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1B48B587" w14:textId="0C4E884C" w:rsidR="0004071A" w:rsidRPr="009A27ED" w:rsidRDefault="0004071A" w:rsidP="00841FBE">
            <w:pPr>
              <w:spacing w:after="0"/>
              <w:jc w:val="left"/>
              <w:rPr>
                <w:rFonts w:eastAsia="Times New Roman"/>
                <w:b/>
                <w:color w:val="000000"/>
                <w:sz w:val="20"/>
                <w:szCs w:val="20"/>
                <w:lang w:val="en-US"/>
              </w:rPr>
            </w:pPr>
            <w:r w:rsidRPr="009A27ED">
              <w:rPr>
                <w:rFonts w:eastAsia="Times New Roman"/>
                <w:b/>
                <w:color w:val="000000"/>
                <w:sz w:val="20"/>
                <w:szCs w:val="20"/>
                <w:lang w:val="en-US"/>
              </w:rPr>
              <w:t xml:space="preserve">23,748.88 </w:t>
            </w:r>
          </w:p>
        </w:tc>
        <w:tc>
          <w:tcPr>
            <w:tcW w:w="1260" w:type="dxa"/>
            <w:tcBorders>
              <w:top w:val="single" w:sz="8" w:space="0" w:color="auto"/>
              <w:left w:val="nil"/>
              <w:bottom w:val="single" w:sz="8" w:space="0" w:color="auto"/>
              <w:right w:val="single" w:sz="8" w:space="0" w:color="auto"/>
            </w:tcBorders>
            <w:shd w:val="clear" w:color="000000" w:fill="FFFFFF"/>
            <w:noWrap/>
            <w:vAlign w:val="center"/>
            <w:hideMark/>
          </w:tcPr>
          <w:p w14:paraId="4F68BA62" w14:textId="77777777" w:rsidR="0004071A" w:rsidRPr="009A27ED" w:rsidRDefault="0004071A" w:rsidP="00841FBE">
            <w:pPr>
              <w:spacing w:after="0"/>
              <w:jc w:val="left"/>
              <w:rPr>
                <w:rFonts w:eastAsia="Times New Roman"/>
                <w:b/>
                <w:color w:val="000000"/>
                <w:sz w:val="20"/>
                <w:szCs w:val="20"/>
                <w:lang w:val="en-US"/>
              </w:rPr>
            </w:pPr>
            <w:r w:rsidRPr="009A27ED">
              <w:rPr>
                <w:rFonts w:eastAsia="Times New Roman"/>
                <w:b/>
                <w:color w:val="000000"/>
                <w:sz w:val="20"/>
                <w:szCs w:val="20"/>
                <w:lang w:val="en-US"/>
              </w:rPr>
              <w:t>58.00</w:t>
            </w:r>
          </w:p>
        </w:tc>
        <w:tc>
          <w:tcPr>
            <w:tcW w:w="1170" w:type="dxa"/>
            <w:tcBorders>
              <w:top w:val="single" w:sz="8" w:space="0" w:color="auto"/>
              <w:left w:val="nil"/>
              <w:bottom w:val="single" w:sz="8" w:space="0" w:color="auto"/>
              <w:right w:val="single" w:sz="8" w:space="0" w:color="auto"/>
            </w:tcBorders>
            <w:shd w:val="clear" w:color="000000" w:fill="FFFFFF"/>
            <w:noWrap/>
            <w:vAlign w:val="center"/>
            <w:hideMark/>
          </w:tcPr>
          <w:p w14:paraId="7FC3203C" w14:textId="10E4545A" w:rsidR="0004071A" w:rsidRPr="009A27ED" w:rsidRDefault="0004071A" w:rsidP="00841FBE">
            <w:pPr>
              <w:spacing w:after="0"/>
              <w:jc w:val="left"/>
              <w:rPr>
                <w:rFonts w:eastAsia="Times New Roman"/>
                <w:b/>
                <w:color w:val="000000"/>
                <w:sz w:val="20"/>
                <w:szCs w:val="20"/>
                <w:lang w:val="en-US"/>
              </w:rPr>
            </w:pPr>
            <w:r w:rsidRPr="009A27ED">
              <w:rPr>
                <w:rFonts w:eastAsia="Times New Roman"/>
                <w:b/>
                <w:color w:val="000000"/>
                <w:sz w:val="20"/>
                <w:szCs w:val="20"/>
                <w:lang w:val="en-US"/>
              </w:rPr>
              <w:t xml:space="preserve">5,369.00 </w:t>
            </w:r>
          </w:p>
        </w:tc>
        <w:tc>
          <w:tcPr>
            <w:tcW w:w="900" w:type="dxa"/>
            <w:tcBorders>
              <w:top w:val="single" w:sz="8" w:space="0" w:color="auto"/>
              <w:left w:val="nil"/>
              <w:bottom w:val="single" w:sz="8" w:space="0" w:color="auto"/>
              <w:right w:val="single" w:sz="8" w:space="0" w:color="auto"/>
            </w:tcBorders>
            <w:shd w:val="clear" w:color="000000" w:fill="FFFFFF"/>
            <w:noWrap/>
            <w:vAlign w:val="center"/>
            <w:hideMark/>
          </w:tcPr>
          <w:p w14:paraId="7BB88771" w14:textId="77777777" w:rsidR="0004071A" w:rsidRPr="009A27ED" w:rsidRDefault="0004071A" w:rsidP="00841FBE">
            <w:pPr>
              <w:spacing w:after="0"/>
              <w:jc w:val="left"/>
              <w:rPr>
                <w:rFonts w:eastAsia="Times New Roman"/>
                <w:b/>
                <w:color w:val="000000"/>
                <w:sz w:val="20"/>
                <w:szCs w:val="20"/>
                <w:lang w:val="en-US"/>
              </w:rPr>
            </w:pPr>
            <w:r w:rsidRPr="009A27ED">
              <w:rPr>
                <w:rFonts w:eastAsia="Times New Roman"/>
                <w:b/>
                <w:color w:val="000000"/>
                <w:sz w:val="20"/>
                <w:szCs w:val="20"/>
                <w:lang w:val="en-US"/>
              </w:rPr>
              <w:t>109</w:t>
            </w:r>
          </w:p>
        </w:tc>
        <w:tc>
          <w:tcPr>
            <w:tcW w:w="1440" w:type="dxa"/>
            <w:tcBorders>
              <w:top w:val="single" w:sz="8" w:space="0" w:color="auto"/>
              <w:left w:val="nil"/>
              <w:bottom w:val="single" w:sz="8" w:space="0" w:color="auto"/>
              <w:right w:val="single" w:sz="8" w:space="0" w:color="auto"/>
            </w:tcBorders>
            <w:shd w:val="clear" w:color="000000" w:fill="FFFFFF"/>
            <w:noWrap/>
            <w:vAlign w:val="center"/>
            <w:hideMark/>
          </w:tcPr>
          <w:p w14:paraId="7130FEBF" w14:textId="325AC937" w:rsidR="0004071A" w:rsidRPr="009A27ED" w:rsidRDefault="0004071A" w:rsidP="00841FBE">
            <w:pPr>
              <w:spacing w:after="0"/>
              <w:jc w:val="left"/>
              <w:rPr>
                <w:rFonts w:eastAsia="Times New Roman"/>
                <w:b/>
                <w:color w:val="000000"/>
                <w:sz w:val="20"/>
                <w:szCs w:val="20"/>
                <w:lang w:val="en-US"/>
              </w:rPr>
            </w:pPr>
            <w:r w:rsidRPr="009A27ED">
              <w:rPr>
                <w:rFonts w:eastAsia="Times New Roman"/>
                <w:b/>
                <w:color w:val="000000"/>
                <w:sz w:val="20"/>
                <w:szCs w:val="20"/>
                <w:lang w:val="en-US"/>
              </w:rPr>
              <w:t>7,005</w:t>
            </w:r>
          </w:p>
        </w:tc>
        <w:tc>
          <w:tcPr>
            <w:tcW w:w="1170" w:type="dxa"/>
            <w:tcBorders>
              <w:top w:val="single" w:sz="8" w:space="0" w:color="auto"/>
              <w:left w:val="nil"/>
              <w:bottom w:val="single" w:sz="8" w:space="0" w:color="auto"/>
              <w:right w:val="single" w:sz="8" w:space="0" w:color="auto"/>
            </w:tcBorders>
            <w:shd w:val="clear" w:color="000000" w:fill="FFFFFF"/>
            <w:noWrap/>
            <w:vAlign w:val="center"/>
            <w:hideMark/>
          </w:tcPr>
          <w:p w14:paraId="7FA9D999" w14:textId="77777777" w:rsidR="0004071A" w:rsidRPr="009A27ED" w:rsidRDefault="0004071A" w:rsidP="00841FBE">
            <w:pPr>
              <w:spacing w:after="0"/>
              <w:jc w:val="left"/>
              <w:rPr>
                <w:rFonts w:eastAsia="Times New Roman"/>
                <w:b/>
                <w:color w:val="000000"/>
                <w:sz w:val="20"/>
                <w:szCs w:val="20"/>
                <w:lang w:val="en-US"/>
              </w:rPr>
            </w:pPr>
            <w:r w:rsidRPr="009A27ED">
              <w:rPr>
                <w:rFonts w:eastAsia="Times New Roman"/>
                <w:b/>
                <w:color w:val="000000"/>
                <w:sz w:val="20"/>
                <w:szCs w:val="20"/>
                <w:lang w:val="en-US"/>
              </w:rPr>
              <w:t>33.44</w:t>
            </w:r>
          </w:p>
        </w:tc>
        <w:tc>
          <w:tcPr>
            <w:tcW w:w="990" w:type="dxa"/>
            <w:tcBorders>
              <w:top w:val="single" w:sz="8" w:space="0" w:color="auto"/>
              <w:left w:val="nil"/>
              <w:bottom w:val="single" w:sz="8" w:space="0" w:color="auto"/>
              <w:right w:val="single" w:sz="8" w:space="0" w:color="auto"/>
            </w:tcBorders>
            <w:shd w:val="clear" w:color="000000" w:fill="FFFFFF"/>
            <w:noWrap/>
            <w:vAlign w:val="center"/>
            <w:hideMark/>
          </w:tcPr>
          <w:p w14:paraId="320DB84C" w14:textId="77777777" w:rsidR="0004071A" w:rsidRPr="009A27ED" w:rsidRDefault="0004071A" w:rsidP="007A4B2D">
            <w:pPr>
              <w:keepNext/>
              <w:spacing w:after="0"/>
              <w:jc w:val="left"/>
              <w:rPr>
                <w:rFonts w:eastAsia="Times New Roman"/>
                <w:b/>
                <w:color w:val="000000"/>
                <w:sz w:val="20"/>
                <w:szCs w:val="20"/>
                <w:lang w:val="en-US"/>
              </w:rPr>
            </w:pPr>
            <w:r w:rsidRPr="009A27ED">
              <w:rPr>
                <w:rFonts w:eastAsia="Times New Roman"/>
                <w:b/>
                <w:color w:val="000000"/>
                <w:sz w:val="20"/>
                <w:szCs w:val="20"/>
                <w:lang w:val="en-US"/>
              </w:rPr>
              <w:t>10.82</w:t>
            </w:r>
          </w:p>
        </w:tc>
      </w:tr>
    </w:tbl>
    <w:p w14:paraId="28D49F08" w14:textId="52267096" w:rsidR="0004071A" w:rsidRPr="009A27ED" w:rsidRDefault="0004071A" w:rsidP="005B6485">
      <w:pPr>
        <w:spacing w:before="120" w:after="0" w:line="360" w:lineRule="auto"/>
        <w:rPr>
          <w:color w:val="222222"/>
          <w:szCs w:val="22"/>
        </w:rPr>
      </w:pPr>
      <w:r w:rsidRPr="009A27ED">
        <w:rPr>
          <w:rFonts w:ascii="Times New Roman" w:eastAsia="Times New Roman" w:hAnsi="Times New Roman"/>
          <w:color w:val="222222"/>
          <w:sz w:val="24"/>
          <w:szCs w:val="22"/>
        </w:rPr>
        <w:t>El índice de ingreso, según el informe de Desarrollo Humano,</w:t>
      </w:r>
      <w:r w:rsidR="00B85BEE" w:rsidRPr="009A27ED">
        <w:rPr>
          <w:rFonts w:ascii="Times New Roman" w:eastAsia="Times New Roman" w:hAnsi="Times New Roman"/>
          <w:color w:val="222222"/>
          <w:sz w:val="24"/>
          <w:szCs w:val="22"/>
        </w:rPr>
        <w:t xml:space="preserve"> </w:t>
      </w:r>
      <w:r w:rsidRPr="009A27ED">
        <w:rPr>
          <w:rFonts w:ascii="Times New Roman" w:eastAsia="Times New Roman" w:hAnsi="Times New Roman"/>
          <w:color w:val="222222"/>
          <w:sz w:val="24"/>
          <w:szCs w:val="22"/>
        </w:rPr>
        <w:t>PNUD 2017 presenta un rango comprendido entre 0.30 y 0.54, que representa valores bajos y medio altos medio alto. El área 2 es la que representa los niveles de ingresos más bajos con 0.31, que representa un comportamiento esperado ya que los Municipios que integran esta área, forman parte de dos de las provincias con mayor nivel de pobreza. Luego, en rango medio bajo se encuentra el área tres y las restantes (1,4 y 5) pertenecen a la clasificación de ingresos medio alto.</w:t>
      </w:r>
    </w:p>
    <w:p w14:paraId="7A7547F3" w14:textId="77777777" w:rsidR="0004071A" w:rsidRPr="009A27ED" w:rsidRDefault="0004071A" w:rsidP="005B6485">
      <w:pPr>
        <w:spacing w:before="120" w:after="0" w:line="360" w:lineRule="auto"/>
        <w:rPr>
          <w:color w:val="222222"/>
        </w:rPr>
      </w:pPr>
    </w:p>
    <w:p w14:paraId="37F0A3B2" w14:textId="77777777" w:rsidR="00750181" w:rsidRPr="009A27ED" w:rsidRDefault="0004071A" w:rsidP="00750181">
      <w:pPr>
        <w:keepNext/>
        <w:spacing w:after="0" w:line="360" w:lineRule="auto"/>
      </w:pPr>
      <w:r w:rsidRPr="009A27ED">
        <w:rPr>
          <w:rFonts w:ascii="Times New Roman" w:eastAsia="Times New Roman" w:hAnsi="Times New Roman"/>
          <w:noProof/>
          <w:sz w:val="24"/>
          <w:lang w:val="en-US"/>
        </w:rPr>
        <w:drawing>
          <wp:inline distT="0" distB="0" distL="0" distR="0" wp14:anchorId="4339F7CF" wp14:editId="53400FA5">
            <wp:extent cx="5257800" cy="2743200"/>
            <wp:effectExtent l="0" t="0" r="12700" b="12700"/>
            <wp:docPr id="25" name="Chart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inline>
        </w:drawing>
      </w:r>
    </w:p>
    <w:p w14:paraId="4E1D9414" w14:textId="5D5D8B64" w:rsidR="007A4B2D" w:rsidRPr="009A27ED" w:rsidRDefault="00750181" w:rsidP="00750181">
      <w:pPr>
        <w:pStyle w:val="Descripcin"/>
        <w:spacing w:line="360" w:lineRule="auto"/>
      </w:pPr>
      <w:bookmarkStart w:id="175" w:name="_Toc111892208"/>
      <w:r w:rsidRPr="009A27ED">
        <w:rPr>
          <w:rFonts w:ascii="Times New Roman" w:eastAsia="Times New Roman" w:hAnsi="Times New Roman"/>
          <w:sz w:val="24"/>
        </w:rPr>
        <w:t xml:space="preserve">Grafica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Grafica_ \* ARABIC </w:instrText>
      </w:r>
      <w:r w:rsidRPr="009A27ED">
        <w:rPr>
          <w:rFonts w:ascii="Times New Roman" w:eastAsia="Times New Roman" w:hAnsi="Times New Roman"/>
          <w:sz w:val="24"/>
        </w:rPr>
        <w:fldChar w:fldCharType="separate"/>
      </w:r>
      <w:r w:rsidRPr="009A27ED">
        <w:rPr>
          <w:rFonts w:ascii="Times New Roman" w:eastAsia="Times New Roman" w:hAnsi="Times New Roman"/>
          <w:noProof/>
          <w:sz w:val="24"/>
        </w:rPr>
        <w:t>6</w:t>
      </w:r>
      <w:r w:rsidRPr="009A27ED">
        <w:rPr>
          <w:rFonts w:ascii="Times New Roman" w:eastAsia="Times New Roman" w:hAnsi="Times New Roman"/>
          <w:sz w:val="24"/>
        </w:rPr>
        <w:fldChar w:fldCharType="end"/>
      </w:r>
      <w:r w:rsidRPr="009A27ED">
        <w:rPr>
          <w:rFonts w:ascii="Times New Roman" w:eastAsia="Times New Roman" w:hAnsi="Times New Roman"/>
          <w:sz w:val="24"/>
        </w:rPr>
        <w:t>. Índice de Ingresos en las áreas priorizadas</w:t>
      </w:r>
      <w:bookmarkEnd w:id="175"/>
    </w:p>
    <w:p w14:paraId="745AE46E" w14:textId="261EB146" w:rsidR="0004071A" w:rsidRPr="009A27ED" w:rsidRDefault="0004071A" w:rsidP="00E67CB0">
      <w:pPr>
        <w:pStyle w:val="Prrafodelista"/>
        <w:numPr>
          <w:ilvl w:val="0"/>
          <w:numId w:val="296"/>
        </w:numPr>
        <w:spacing w:before="120" w:after="0" w:line="360" w:lineRule="auto"/>
        <w:rPr>
          <w:b/>
          <w:szCs w:val="22"/>
          <w:lang w:val="es-MX"/>
        </w:rPr>
      </w:pPr>
      <w:r w:rsidRPr="009A27ED">
        <w:rPr>
          <w:rFonts w:ascii="Times New Roman" w:eastAsia="Times New Roman" w:hAnsi="Times New Roman"/>
          <w:b/>
          <w:sz w:val="24"/>
          <w:szCs w:val="22"/>
          <w:lang w:val="es-MX"/>
        </w:rPr>
        <w:t>Organizaciones presentes en el territorio</w:t>
      </w:r>
    </w:p>
    <w:p w14:paraId="70B72108" w14:textId="48735BB3" w:rsidR="0004071A" w:rsidRPr="009A27ED" w:rsidRDefault="0004071A" w:rsidP="005B6485">
      <w:pPr>
        <w:spacing w:before="120" w:after="0" w:line="360" w:lineRule="auto"/>
        <w:rPr>
          <w:bCs/>
          <w:iCs/>
          <w:szCs w:val="22"/>
        </w:rPr>
      </w:pPr>
      <w:r w:rsidRPr="009A27ED">
        <w:rPr>
          <w:rFonts w:ascii="Times New Roman" w:eastAsia="Times New Roman" w:hAnsi="Times New Roman"/>
          <w:sz w:val="24"/>
          <w:szCs w:val="22"/>
          <w:lang w:val="es-MX"/>
        </w:rPr>
        <w:t xml:space="preserve">Con la finalidad de identificar las organizaciones presentes en el territorio que conforman las áreas priorizadas, se procedió a realizar una clasificación por tipo o grupo focal, para luego identificar las capacidades de las existentes en cada área. Estos grupos focales </w:t>
      </w:r>
      <w:r w:rsidRPr="009A27ED">
        <w:rPr>
          <w:rFonts w:ascii="Times New Roman" w:eastAsia="Times New Roman" w:hAnsi="Times New Roman"/>
          <w:bCs/>
          <w:iCs/>
          <w:sz w:val="24"/>
          <w:szCs w:val="22"/>
        </w:rPr>
        <w:t xml:space="preserve">representan </w:t>
      </w:r>
      <w:r w:rsidR="007A4B2D" w:rsidRPr="009A27ED">
        <w:rPr>
          <w:rFonts w:ascii="Times New Roman" w:eastAsia="Times New Roman" w:hAnsi="Times New Roman"/>
          <w:bCs/>
          <w:iCs/>
          <w:sz w:val="24"/>
          <w:szCs w:val="22"/>
        </w:rPr>
        <w:t>sectores determinados de</w:t>
      </w:r>
      <w:r w:rsidRPr="009A27ED">
        <w:rPr>
          <w:rFonts w:ascii="Times New Roman" w:eastAsia="Times New Roman" w:hAnsi="Times New Roman"/>
          <w:bCs/>
          <w:iCs/>
          <w:sz w:val="24"/>
          <w:szCs w:val="22"/>
        </w:rPr>
        <w:t xml:space="preserve"> la sociedad con intereses, visiones y/o derechos similares. Con esta lógica se </w:t>
      </w:r>
      <w:r w:rsidR="00101944" w:rsidRPr="009A27ED">
        <w:rPr>
          <w:rFonts w:ascii="Times New Roman" w:eastAsia="Times New Roman" w:hAnsi="Times New Roman"/>
          <w:bCs/>
          <w:iCs/>
          <w:sz w:val="24"/>
          <w:szCs w:val="22"/>
        </w:rPr>
        <w:t>buscará generar</w:t>
      </w:r>
      <w:r w:rsidRPr="009A27ED">
        <w:rPr>
          <w:rFonts w:ascii="Times New Roman" w:eastAsia="Times New Roman" w:hAnsi="Times New Roman"/>
          <w:bCs/>
          <w:iCs/>
          <w:sz w:val="24"/>
          <w:szCs w:val="22"/>
        </w:rPr>
        <w:t xml:space="preserve"> una participación analítica que permita obtener la opinión colectiva de quienes directa o indirectamente participarán y se verán afectados con la implementación del </w:t>
      </w:r>
      <w:r w:rsidR="00124B63" w:rsidRPr="009A27ED">
        <w:rPr>
          <w:rFonts w:ascii="Times New Roman" w:eastAsia="Times New Roman" w:hAnsi="Times New Roman"/>
          <w:bCs/>
          <w:iCs/>
          <w:sz w:val="24"/>
          <w:szCs w:val="22"/>
        </w:rPr>
        <w:t>Programa REDD+</w:t>
      </w:r>
      <w:r w:rsidR="00A65F30" w:rsidRPr="009A27ED">
        <w:rPr>
          <w:rFonts w:ascii="Times New Roman" w:eastAsia="Times New Roman" w:hAnsi="Times New Roman"/>
          <w:bCs/>
          <w:iCs/>
          <w:sz w:val="24"/>
          <w:szCs w:val="22"/>
        </w:rPr>
        <w:t>.</w:t>
      </w:r>
    </w:p>
    <w:p w14:paraId="45AED43B" w14:textId="77777777" w:rsidR="00A25B98" w:rsidRPr="009A27ED" w:rsidRDefault="00A25B98" w:rsidP="00A25B98">
      <w:pPr>
        <w:pStyle w:val="Descripcin"/>
        <w:spacing w:after="0" w:line="360" w:lineRule="auto"/>
        <w:rPr>
          <w:color w:val="000000" w:themeColor="text1"/>
          <w:sz w:val="20"/>
        </w:rPr>
      </w:pPr>
      <w:bookmarkStart w:id="176" w:name="_Ref3803022"/>
    </w:p>
    <w:p w14:paraId="278B8EE4" w14:textId="463D0EEF" w:rsidR="00F43DB6" w:rsidRPr="009A27ED" w:rsidRDefault="00F43DB6" w:rsidP="00F43DB6">
      <w:pPr>
        <w:pStyle w:val="Descripcin"/>
        <w:keepNext/>
        <w:spacing w:line="360" w:lineRule="auto"/>
      </w:pPr>
      <w:bookmarkStart w:id="177" w:name="_Toc111887441"/>
      <w:bookmarkEnd w:id="176"/>
      <w:r w:rsidRPr="009A27ED">
        <w:rPr>
          <w:rFonts w:ascii="Times New Roman" w:eastAsia="Times New Roman" w:hAnsi="Times New Roman"/>
          <w:sz w:val="24"/>
        </w:rPr>
        <w:t xml:space="preserve">Cuadro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Cuadro \* ARABIC </w:instrText>
      </w:r>
      <w:r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31</w:t>
      </w:r>
      <w:r w:rsidRPr="009A27ED">
        <w:rPr>
          <w:rFonts w:ascii="Times New Roman" w:eastAsia="Times New Roman" w:hAnsi="Times New Roman"/>
          <w:sz w:val="24"/>
        </w:rPr>
        <w:fldChar w:fldCharType="end"/>
      </w:r>
      <w:r w:rsidRPr="009A27ED">
        <w:rPr>
          <w:rFonts w:ascii="Times New Roman" w:eastAsia="Times New Roman" w:hAnsi="Times New Roman"/>
          <w:color w:val="000000" w:themeColor="text1"/>
          <w:sz w:val="24"/>
        </w:rPr>
        <w:t>.  Grupos Focales identificados en las áreas priorizadas</w:t>
      </w:r>
      <w:bookmarkEnd w:id="177"/>
    </w:p>
    <w:tbl>
      <w:tblPr>
        <w:tblStyle w:val="Tablaconcuadrcula"/>
        <w:tblW w:w="0" w:type="auto"/>
        <w:tblLook w:val="04A0" w:firstRow="1" w:lastRow="0" w:firstColumn="1" w:lastColumn="0" w:noHBand="0" w:noVBand="1"/>
      </w:tblPr>
      <w:tblGrid>
        <w:gridCol w:w="2303"/>
        <w:gridCol w:w="3237"/>
        <w:gridCol w:w="3511"/>
      </w:tblGrid>
      <w:tr w:rsidR="0069562F" w:rsidRPr="009A27ED" w14:paraId="7A998303" w14:textId="77777777" w:rsidTr="00F43DB6">
        <w:tc>
          <w:tcPr>
            <w:tcW w:w="2303" w:type="dxa"/>
            <w:shd w:val="clear" w:color="auto" w:fill="0070C0"/>
          </w:tcPr>
          <w:p w14:paraId="3C7B34E8" w14:textId="77777777" w:rsidR="0004071A" w:rsidRPr="009A27ED" w:rsidRDefault="0004071A" w:rsidP="005B6485">
            <w:pPr>
              <w:spacing w:before="120" w:after="0"/>
              <w:jc w:val="center"/>
              <w:rPr>
                <w:b/>
                <w:color w:val="FFFFFF" w:themeColor="background1"/>
                <w:sz w:val="20"/>
                <w:szCs w:val="20"/>
              </w:rPr>
            </w:pPr>
            <w:r w:rsidRPr="009A27ED">
              <w:rPr>
                <w:b/>
                <w:color w:val="FFFFFF" w:themeColor="background1"/>
                <w:sz w:val="20"/>
                <w:szCs w:val="20"/>
              </w:rPr>
              <w:t>Grupo Focal</w:t>
            </w:r>
          </w:p>
        </w:tc>
        <w:tc>
          <w:tcPr>
            <w:tcW w:w="3237" w:type="dxa"/>
            <w:shd w:val="clear" w:color="auto" w:fill="0070C0"/>
          </w:tcPr>
          <w:p w14:paraId="5DA96BA4" w14:textId="77777777" w:rsidR="0004071A" w:rsidRPr="009A27ED" w:rsidRDefault="0004071A" w:rsidP="005B6485">
            <w:pPr>
              <w:spacing w:before="120" w:after="0"/>
              <w:jc w:val="center"/>
              <w:rPr>
                <w:b/>
                <w:color w:val="FFFFFF" w:themeColor="background1"/>
                <w:sz w:val="20"/>
                <w:szCs w:val="20"/>
              </w:rPr>
            </w:pPr>
            <w:r w:rsidRPr="009A27ED">
              <w:rPr>
                <w:b/>
                <w:color w:val="FFFFFF" w:themeColor="background1"/>
                <w:sz w:val="20"/>
                <w:szCs w:val="20"/>
              </w:rPr>
              <w:t>Descripción</w:t>
            </w:r>
          </w:p>
        </w:tc>
        <w:tc>
          <w:tcPr>
            <w:tcW w:w="3511" w:type="dxa"/>
            <w:shd w:val="clear" w:color="auto" w:fill="0070C0"/>
          </w:tcPr>
          <w:p w14:paraId="479357BB" w14:textId="0C91BE31" w:rsidR="0004071A" w:rsidRPr="009A27ED" w:rsidRDefault="0004071A" w:rsidP="005B6485">
            <w:pPr>
              <w:spacing w:before="120" w:after="0"/>
              <w:jc w:val="center"/>
              <w:rPr>
                <w:b/>
                <w:color w:val="FFFFFF" w:themeColor="background1"/>
                <w:sz w:val="20"/>
                <w:szCs w:val="20"/>
              </w:rPr>
            </w:pPr>
            <w:r w:rsidRPr="009A27ED">
              <w:rPr>
                <w:b/>
                <w:color w:val="FFFFFF" w:themeColor="background1"/>
                <w:sz w:val="20"/>
                <w:szCs w:val="20"/>
              </w:rPr>
              <w:t xml:space="preserve">Principal rol directo o indirecto en la implementación del </w:t>
            </w:r>
            <w:r w:rsidR="00124B63" w:rsidRPr="009A27ED">
              <w:rPr>
                <w:b/>
                <w:color w:val="FFFFFF" w:themeColor="background1"/>
                <w:sz w:val="20"/>
                <w:szCs w:val="20"/>
              </w:rPr>
              <w:t>Programa REDD+</w:t>
            </w:r>
          </w:p>
        </w:tc>
      </w:tr>
      <w:tr w:rsidR="0004071A" w:rsidRPr="009A27ED" w14:paraId="1CE69ECF" w14:textId="77777777" w:rsidTr="00F43DB6">
        <w:tc>
          <w:tcPr>
            <w:tcW w:w="2303" w:type="dxa"/>
          </w:tcPr>
          <w:p w14:paraId="6E440160" w14:textId="77777777" w:rsidR="0004071A" w:rsidRPr="009A27ED" w:rsidRDefault="0004071A" w:rsidP="005B6485">
            <w:pPr>
              <w:spacing w:before="120" w:after="0"/>
              <w:rPr>
                <w:b/>
                <w:color w:val="000000"/>
                <w:sz w:val="20"/>
                <w:szCs w:val="20"/>
              </w:rPr>
            </w:pPr>
            <w:r w:rsidRPr="009A27ED">
              <w:rPr>
                <w:b/>
                <w:color w:val="000000"/>
                <w:sz w:val="20"/>
                <w:szCs w:val="20"/>
              </w:rPr>
              <w:t>Sector Público</w:t>
            </w:r>
          </w:p>
        </w:tc>
        <w:tc>
          <w:tcPr>
            <w:tcW w:w="3237" w:type="dxa"/>
          </w:tcPr>
          <w:p w14:paraId="41F5A04F" w14:textId="77777777" w:rsidR="0004071A" w:rsidRPr="009A27ED" w:rsidRDefault="0004071A" w:rsidP="005B6485">
            <w:pPr>
              <w:spacing w:before="120" w:after="0"/>
              <w:rPr>
                <w:color w:val="000000"/>
                <w:sz w:val="20"/>
                <w:szCs w:val="20"/>
              </w:rPr>
            </w:pPr>
            <w:r w:rsidRPr="009A27ED">
              <w:rPr>
                <w:color w:val="000000"/>
                <w:sz w:val="20"/>
                <w:szCs w:val="20"/>
              </w:rPr>
              <w:t>Representantes de servicios públicos relacionados directa o indirectamente con los recursos naturales y en particular los forestales</w:t>
            </w:r>
          </w:p>
        </w:tc>
        <w:tc>
          <w:tcPr>
            <w:tcW w:w="3511" w:type="dxa"/>
          </w:tcPr>
          <w:p w14:paraId="0713C7DA" w14:textId="4E3A2150" w:rsidR="0004071A" w:rsidRPr="009A27ED" w:rsidRDefault="0004071A" w:rsidP="005B6485">
            <w:pPr>
              <w:spacing w:before="120" w:after="0"/>
              <w:rPr>
                <w:color w:val="000000"/>
                <w:sz w:val="20"/>
                <w:szCs w:val="20"/>
              </w:rPr>
            </w:pPr>
            <w:r w:rsidRPr="009A27ED">
              <w:rPr>
                <w:color w:val="000000"/>
                <w:sz w:val="20"/>
                <w:szCs w:val="20"/>
              </w:rPr>
              <w:t xml:space="preserve">Articulación, fomento y cooperación en las actividades de implementación temprana y en la implementación del </w:t>
            </w:r>
            <w:r w:rsidR="00124B63" w:rsidRPr="009A27ED">
              <w:rPr>
                <w:color w:val="000000"/>
                <w:sz w:val="20"/>
                <w:szCs w:val="20"/>
              </w:rPr>
              <w:t>Programa REDD+</w:t>
            </w:r>
            <w:r w:rsidRPr="009A27ED">
              <w:rPr>
                <w:color w:val="000000"/>
                <w:sz w:val="20"/>
                <w:szCs w:val="20"/>
              </w:rPr>
              <w:t>.</w:t>
            </w:r>
          </w:p>
        </w:tc>
      </w:tr>
      <w:tr w:rsidR="0004071A" w:rsidRPr="009A27ED" w14:paraId="714F0B9D" w14:textId="77777777" w:rsidTr="00F43DB6">
        <w:tc>
          <w:tcPr>
            <w:tcW w:w="2303" w:type="dxa"/>
          </w:tcPr>
          <w:p w14:paraId="56672FE8" w14:textId="77777777" w:rsidR="0004071A" w:rsidRPr="009A27ED" w:rsidRDefault="0004071A" w:rsidP="005B6485">
            <w:pPr>
              <w:spacing w:before="120" w:after="0"/>
              <w:rPr>
                <w:b/>
                <w:color w:val="000000"/>
                <w:sz w:val="20"/>
                <w:szCs w:val="20"/>
              </w:rPr>
            </w:pPr>
            <w:r w:rsidRPr="009A27ED">
              <w:rPr>
                <w:b/>
                <w:color w:val="000000"/>
                <w:sz w:val="20"/>
                <w:szCs w:val="20"/>
              </w:rPr>
              <w:t>Sector Privado</w:t>
            </w:r>
          </w:p>
        </w:tc>
        <w:tc>
          <w:tcPr>
            <w:tcW w:w="3237" w:type="dxa"/>
          </w:tcPr>
          <w:p w14:paraId="4FA5C6C6" w14:textId="77777777" w:rsidR="0004071A" w:rsidRPr="009A27ED" w:rsidRDefault="0004071A" w:rsidP="005B6485">
            <w:pPr>
              <w:spacing w:before="120" w:after="0"/>
              <w:rPr>
                <w:color w:val="000000"/>
                <w:sz w:val="20"/>
                <w:szCs w:val="20"/>
              </w:rPr>
            </w:pPr>
            <w:r w:rsidRPr="009A27ED">
              <w:rPr>
                <w:color w:val="000000"/>
                <w:sz w:val="20"/>
                <w:szCs w:val="20"/>
              </w:rPr>
              <w:t>Representantes de empresas y propietarios de bosques y tierras rurales.</w:t>
            </w:r>
          </w:p>
        </w:tc>
        <w:tc>
          <w:tcPr>
            <w:tcW w:w="3511" w:type="dxa"/>
          </w:tcPr>
          <w:p w14:paraId="25C77E8F" w14:textId="271CC6CA" w:rsidR="0004071A" w:rsidRPr="009A27ED" w:rsidRDefault="0004071A" w:rsidP="005B6485">
            <w:pPr>
              <w:spacing w:before="120" w:after="0"/>
              <w:rPr>
                <w:color w:val="000000"/>
                <w:sz w:val="20"/>
                <w:szCs w:val="20"/>
              </w:rPr>
            </w:pPr>
            <w:r w:rsidRPr="009A27ED">
              <w:rPr>
                <w:color w:val="000000"/>
                <w:sz w:val="20"/>
                <w:szCs w:val="20"/>
              </w:rPr>
              <w:t xml:space="preserve">Implementar medidas de acción directas en los bosques, destinadas a reducir emisiones bajo el marco del </w:t>
            </w:r>
            <w:r w:rsidR="00124B63" w:rsidRPr="009A27ED">
              <w:rPr>
                <w:color w:val="000000"/>
                <w:sz w:val="20"/>
                <w:szCs w:val="20"/>
              </w:rPr>
              <w:t>Programa REDD+</w:t>
            </w:r>
            <w:r w:rsidRPr="009A27ED">
              <w:rPr>
                <w:color w:val="000000"/>
                <w:sz w:val="20"/>
                <w:szCs w:val="20"/>
              </w:rPr>
              <w:t>, y aportar recursos para facilitar su implementación</w:t>
            </w:r>
          </w:p>
        </w:tc>
      </w:tr>
      <w:tr w:rsidR="0004071A" w:rsidRPr="009A27ED" w14:paraId="2CB8E644" w14:textId="77777777" w:rsidTr="00F43DB6">
        <w:tc>
          <w:tcPr>
            <w:tcW w:w="2303" w:type="dxa"/>
          </w:tcPr>
          <w:p w14:paraId="007D73CF" w14:textId="77777777" w:rsidR="0004071A" w:rsidRPr="009A27ED" w:rsidRDefault="0004071A" w:rsidP="005B6485">
            <w:pPr>
              <w:spacing w:before="120" w:after="0"/>
              <w:rPr>
                <w:b/>
                <w:color w:val="000000"/>
                <w:sz w:val="20"/>
                <w:szCs w:val="20"/>
              </w:rPr>
            </w:pPr>
            <w:r w:rsidRPr="009A27ED">
              <w:rPr>
                <w:b/>
                <w:color w:val="000000"/>
                <w:sz w:val="20"/>
                <w:szCs w:val="20"/>
              </w:rPr>
              <w:t>Sociedad Civil/</w:t>
            </w:r>
            <w:proofErr w:type="spellStart"/>
            <w:r w:rsidRPr="009A27ED">
              <w:rPr>
                <w:b/>
                <w:color w:val="000000"/>
                <w:sz w:val="20"/>
                <w:szCs w:val="20"/>
              </w:rPr>
              <w:t>ONGs</w:t>
            </w:r>
            <w:proofErr w:type="spellEnd"/>
          </w:p>
        </w:tc>
        <w:tc>
          <w:tcPr>
            <w:tcW w:w="3237" w:type="dxa"/>
          </w:tcPr>
          <w:p w14:paraId="67D083B8" w14:textId="77777777" w:rsidR="0004071A" w:rsidRPr="009A27ED" w:rsidRDefault="0004071A" w:rsidP="005B6485">
            <w:pPr>
              <w:spacing w:before="120" w:after="0"/>
              <w:rPr>
                <w:color w:val="000000"/>
                <w:sz w:val="20"/>
                <w:szCs w:val="20"/>
              </w:rPr>
            </w:pPr>
            <w:r w:rsidRPr="009A27ED">
              <w:rPr>
                <w:color w:val="000000"/>
                <w:sz w:val="20"/>
                <w:szCs w:val="20"/>
              </w:rPr>
              <w:t>Representantes de organizaciones no gubernamentales cuyos objetivos y funciones estén relacionados directa o indirectamente con los recursos forestales</w:t>
            </w:r>
          </w:p>
        </w:tc>
        <w:tc>
          <w:tcPr>
            <w:tcW w:w="3511" w:type="dxa"/>
          </w:tcPr>
          <w:p w14:paraId="455A1A89" w14:textId="0E1F1562" w:rsidR="0004071A" w:rsidRPr="009A27ED" w:rsidRDefault="0004071A" w:rsidP="005B6485">
            <w:pPr>
              <w:spacing w:before="120" w:after="0"/>
              <w:rPr>
                <w:color w:val="000000"/>
                <w:sz w:val="20"/>
                <w:szCs w:val="20"/>
              </w:rPr>
            </w:pPr>
            <w:r w:rsidRPr="009A27ED">
              <w:rPr>
                <w:color w:val="000000"/>
                <w:sz w:val="20"/>
                <w:szCs w:val="20"/>
              </w:rPr>
              <w:t xml:space="preserve">Apoyar la implementación del </w:t>
            </w:r>
            <w:r w:rsidR="00124B63" w:rsidRPr="009A27ED">
              <w:rPr>
                <w:color w:val="000000"/>
                <w:sz w:val="20"/>
                <w:szCs w:val="20"/>
              </w:rPr>
              <w:t>Programa REDD+</w:t>
            </w:r>
            <w:r w:rsidR="00434410" w:rsidRPr="009A27ED">
              <w:rPr>
                <w:color w:val="000000"/>
                <w:sz w:val="20"/>
                <w:szCs w:val="20"/>
              </w:rPr>
              <w:t xml:space="preserve"> en</w:t>
            </w:r>
            <w:r w:rsidRPr="009A27ED">
              <w:rPr>
                <w:color w:val="000000"/>
                <w:sz w:val="20"/>
                <w:szCs w:val="20"/>
              </w:rPr>
              <w:t xml:space="preserve"> el ámbito de la difusión y sensibilización social, y en el ámbito del cuidado del medioambiente y los recursos naturales.</w:t>
            </w:r>
          </w:p>
        </w:tc>
      </w:tr>
      <w:tr w:rsidR="0004071A" w:rsidRPr="009A27ED" w14:paraId="2D0958F1" w14:textId="77777777" w:rsidTr="00F43DB6">
        <w:tc>
          <w:tcPr>
            <w:tcW w:w="2303" w:type="dxa"/>
          </w:tcPr>
          <w:p w14:paraId="4C669924" w14:textId="77777777" w:rsidR="0004071A" w:rsidRPr="009A27ED" w:rsidRDefault="0004071A" w:rsidP="005B6485">
            <w:pPr>
              <w:pStyle w:val="textbox"/>
              <w:shd w:val="clear" w:color="auto" w:fill="FFFFFF"/>
              <w:spacing w:before="120" w:beforeAutospacing="0" w:after="0" w:afterAutospacing="0"/>
              <w:rPr>
                <w:rFonts w:cstheme="minorHAnsi"/>
                <w:b/>
                <w:color w:val="000000"/>
                <w:sz w:val="20"/>
                <w:szCs w:val="20"/>
                <w:lang w:val="es-CL" w:eastAsia="es-CL"/>
              </w:rPr>
            </w:pPr>
            <w:r w:rsidRPr="009A27ED">
              <w:rPr>
                <w:rFonts w:cstheme="minorHAnsi"/>
                <w:b/>
                <w:color w:val="000000"/>
                <w:sz w:val="20"/>
                <w:szCs w:val="20"/>
                <w:lang w:val="es-CL" w:eastAsia="es-CL"/>
              </w:rPr>
              <w:t>Academia y Centro</w:t>
            </w:r>
          </w:p>
          <w:p w14:paraId="170DDD23" w14:textId="77777777" w:rsidR="0004071A" w:rsidRPr="009A27ED" w:rsidRDefault="0004071A" w:rsidP="005B6485">
            <w:pPr>
              <w:pStyle w:val="textbox"/>
              <w:shd w:val="clear" w:color="auto" w:fill="FFFFFF"/>
              <w:spacing w:before="120" w:beforeAutospacing="0" w:after="0" w:afterAutospacing="0"/>
              <w:rPr>
                <w:rFonts w:cstheme="minorHAnsi"/>
                <w:b/>
                <w:color w:val="000000"/>
                <w:sz w:val="20"/>
                <w:szCs w:val="20"/>
                <w:lang w:val="es-CL" w:eastAsia="es-CL"/>
              </w:rPr>
            </w:pPr>
            <w:r w:rsidRPr="009A27ED">
              <w:rPr>
                <w:rFonts w:cstheme="minorHAnsi"/>
                <w:b/>
                <w:color w:val="000000"/>
                <w:sz w:val="20"/>
                <w:szCs w:val="20"/>
                <w:lang w:val="es-CL" w:eastAsia="es-CL"/>
              </w:rPr>
              <w:t>de Investigación</w:t>
            </w:r>
          </w:p>
          <w:p w14:paraId="09E94024" w14:textId="77777777" w:rsidR="0004071A" w:rsidRPr="009A27ED" w:rsidRDefault="0004071A" w:rsidP="005B6485">
            <w:pPr>
              <w:spacing w:before="120" w:after="0"/>
              <w:rPr>
                <w:b/>
                <w:color w:val="000000"/>
                <w:sz w:val="20"/>
                <w:szCs w:val="20"/>
              </w:rPr>
            </w:pPr>
          </w:p>
        </w:tc>
        <w:tc>
          <w:tcPr>
            <w:tcW w:w="3237" w:type="dxa"/>
          </w:tcPr>
          <w:p w14:paraId="544E4FF0" w14:textId="77777777" w:rsidR="0004071A" w:rsidRPr="009A27ED" w:rsidRDefault="0004071A" w:rsidP="005B6485">
            <w:pPr>
              <w:spacing w:before="120" w:after="0"/>
              <w:rPr>
                <w:color w:val="000000"/>
                <w:sz w:val="20"/>
                <w:szCs w:val="20"/>
              </w:rPr>
            </w:pPr>
            <w:r w:rsidRPr="009A27ED">
              <w:rPr>
                <w:color w:val="000000"/>
                <w:sz w:val="20"/>
                <w:szCs w:val="20"/>
              </w:rPr>
              <w:t>Representantes de Universidades y centros de investigación</w:t>
            </w:r>
          </w:p>
        </w:tc>
        <w:tc>
          <w:tcPr>
            <w:tcW w:w="3511" w:type="dxa"/>
          </w:tcPr>
          <w:p w14:paraId="5B5D8021" w14:textId="77777777" w:rsidR="0004071A" w:rsidRPr="009A27ED" w:rsidRDefault="0004071A" w:rsidP="005B6485">
            <w:pPr>
              <w:spacing w:before="120" w:after="0"/>
              <w:rPr>
                <w:color w:val="000000"/>
                <w:sz w:val="20"/>
                <w:szCs w:val="20"/>
              </w:rPr>
            </w:pPr>
            <w:r w:rsidRPr="009A27ED">
              <w:rPr>
                <w:color w:val="000000"/>
                <w:sz w:val="20"/>
                <w:szCs w:val="20"/>
              </w:rPr>
              <w:t>Participación en los equipos técnicos de trabajo asociados a contabilidad de carbono, formulación de medidas de acción, entre otros.</w:t>
            </w:r>
          </w:p>
        </w:tc>
      </w:tr>
      <w:tr w:rsidR="00EF781D" w:rsidRPr="009A27ED" w14:paraId="6EE0BC59" w14:textId="77777777" w:rsidTr="00F43DB6">
        <w:tc>
          <w:tcPr>
            <w:tcW w:w="2303" w:type="dxa"/>
          </w:tcPr>
          <w:p w14:paraId="5AA5DF0E" w14:textId="77777777" w:rsidR="0004071A" w:rsidRPr="009A27ED" w:rsidRDefault="0004071A" w:rsidP="005B6485">
            <w:pPr>
              <w:pStyle w:val="textbox"/>
              <w:shd w:val="clear" w:color="auto" w:fill="FFFFFF"/>
              <w:spacing w:before="120" w:beforeAutospacing="0" w:after="0" w:afterAutospacing="0"/>
              <w:rPr>
                <w:rFonts w:cstheme="minorHAnsi"/>
                <w:b/>
                <w:sz w:val="20"/>
                <w:szCs w:val="20"/>
                <w:lang w:val="es-CL" w:eastAsia="es-CL"/>
              </w:rPr>
            </w:pPr>
            <w:r w:rsidRPr="009A27ED">
              <w:rPr>
                <w:rFonts w:cstheme="minorHAnsi"/>
                <w:b/>
                <w:sz w:val="20"/>
                <w:szCs w:val="20"/>
                <w:lang w:val="es-CL" w:eastAsia="es-CL"/>
              </w:rPr>
              <w:t>Asociaciones de productores</w:t>
            </w:r>
          </w:p>
        </w:tc>
        <w:tc>
          <w:tcPr>
            <w:tcW w:w="3237" w:type="dxa"/>
          </w:tcPr>
          <w:p w14:paraId="286AFD32" w14:textId="77777777" w:rsidR="0004071A" w:rsidRPr="009A27ED" w:rsidRDefault="0004071A" w:rsidP="005B6485">
            <w:pPr>
              <w:spacing w:before="120" w:after="0"/>
              <w:rPr>
                <w:sz w:val="20"/>
                <w:szCs w:val="20"/>
              </w:rPr>
            </w:pPr>
            <w:r w:rsidRPr="009A27ED">
              <w:rPr>
                <w:sz w:val="20"/>
                <w:szCs w:val="20"/>
              </w:rPr>
              <w:t>Representantes de asociaciones de productores relacionados a la actividad agropecuaria y forestal y otras con impacto en los recursos forestales.</w:t>
            </w:r>
          </w:p>
        </w:tc>
        <w:tc>
          <w:tcPr>
            <w:tcW w:w="3511" w:type="dxa"/>
          </w:tcPr>
          <w:p w14:paraId="2B802A3A" w14:textId="388C05B7" w:rsidR="0004071A" w:rsidRPr="009A27ED" w:rsidRDefault="0004071A" w:rsidP="007A4B2D">
            <w:pPr>
              <w:pStyle w:val="Piedepgina"/>
              <w:keepNext/>
              <w:tabs>
                <w:tab w:val="clear" w:pos="8505"/>
              </w:tabs>
              <w:spacing w:before="120"/>
              <w:rPr>
                <w:rFonts w:asciiTheme="minorHAnsi" w:eastAsiaTheme="minorHAnsi" w:hAnsiTheme="minorHAnsi" w:cstheme="minorHAnsi"/>
                <w:szCs w:val="20"/>
                <w:lang w:val="es-ES" w:eastAsia="en-US"/>
              </w:rPr>
            </w:pPr>
            <w:r w:rsidRPr="009A27ED">
              <w:rPr>
                <w:rFonts w:asciiTheme="minorHAnsi" w:eastAsiaTheme="minorHAnsi" w:hAnsiTheme="minorHAnsi" w:cstheme="minorHAnsi"/>
                <w:szCs w:val="20"/>
                <w:lang w:val="es-ES" w:eastAsia="en-US"/>
              </w:rPr>
              <w:t xml:space="preserve">Difusión e impulso del </w:t>
            </w:r>
            <w:r w:rsidR="00124B63" w:rsidRPr="009A27ED">
              <w:rPr>
                <w:rFonts w:asciiTheme="minorHAnsi" w:eastAsiaTheme="minorHAnsi" w:hAnsiTheme="minorHAnsi" w:cstheme="minorHAnsi"/>
                <w:szCs w:val="20"/>
                <w:lang w:val="es-ES" w:eastAsia="en-US"/>
              </w:rPr>
              <w:t>Programa REDD+</w:t>
            </w:r>
            <w:r w:rsidR="00434410" w:rsidRPr="009A27ED">
              <w:rPr>
                <w:rFonts w:asciiTheme="minorHAnsi" w:eastAsiaTheme="minorHAnsi" w:hAnsiTheme="minorHAnsi" w:cstheme="minorHAnsi"/>
                <w:szCs w:val="20"/>
                <w:lang w:val="es-ES" w:eastAsia="en-US"/>
              </w:rPr>
              <w:t xml:space="preserve"> entre</w:t>
            </w:r>
            <w:r w:rsidRPr="009A27ED">
              <w:rPr>
                <w:rFonts w:asciiTheme="minorHAnsi" w:eastAsiaTheme="minorHAnsi" w:hAnsiTheme="minorHAnsi" w:cstheme="minorHAnsi"/>
                <w:szCs w:val="20"/>
                <w:lang w:val="es-ES" w:eastAsia="en-US"/>
              </w:rPr>
              <w:t xml:space="preserve"> los diferentes sectores productivos</w:t>
            </w:r>
          </w:p>
        </w:tc>
      </w:tr>
    </w:tbl>
    <w:p w14:paraId="3EA694E6" w14:textId="4946224F" w:rsidR="0004071A" w:rsidRPr="009A27ED" w:rsidRDefault="0004071A" w:rsidP="007A4B2D">
      <w:pPr>
        <w:pStyle w:val="textbox"/>
        <w:shd w:val="clear" w:color="auto" w:fill="FFFFFF"/>
        <w:spacing w:before="0" w:beforeAutospacing="0" w:after="0" w:afterAutospacing="0" w:line="360" w:lineRule="auto"/>
        <w:rPr>
          <w:rFonts w:cstheme="minorHAnsi"/>
          <w:bCs/>
          <w:iCs/>
          <w:sz w:val="20"/>
          <w:szCs w:val="20"/>
          <w:lang w:val="es-DO"/>
        </w:rPr>
      </w:pPr>
      <w:r w:rsidRPr="009A27ED">
        <w:rPr>
          <w:rFonts w:ascii="Times New Roman" w:hAnsi="Times New Roman" w:cstheme="minorHAnsi"/>
          <w:bCs/>
          <w:iCs/>
          <w:sz w:val="24"/>
          <w:szCs w:val="20"/>
          <w:lang w:val="es-DO"/>
        </w:rPr>
        <w:t xml:space="preserve">Fuente: Elaboración propia a partir del Informe Sistematización de los Resultados de los Talleres </w:t>
      </w:r>
      <w:r w:rsidR="00E21872" w:rsidRPr="009A27ED">
        <w:rPr>
          <w:rFonts w:ascii="Times New Roman" w:hAnsi="Times New Roman" w:cstheme="minorHAnsi"/>
          <w:bCs/>
          <w:iCs/>
          <w:sz w:val="24"/>
          <w:szCs w:val="20"/>
          <w:lang w:val="es-DO"/>
        </w:rPr>
        <w:t>regionales SESA</w:t>
      </w:r>
      <w:r w:rsidRPr="009A27ED">
        <w:rPr>
          <w:rFonts w:ascii="Times New Roman" w:hAnsi="Times New Roman" w:cstheme="minorHAnsi"/>
          <w:bCs/>
          <w:iCs/>
          <w:sz w:val="24"/>
          <w:szCs w:val="20"/>
          <w:lang w:val="es-DO"/>
        </w:rPr>
        <w:t xml:space="preserve"> 2018/</w:t>
      </w:r>
      <w:proofErr w:type="spellStart"/>
      <w:r w:rsidRPr="009A27ED">
        <w:rPr>
          <w:rFonts w:ascii="Times New Roman" w:hAnsi="Times New Roman" w:cstheme="minorHAnsi"/>
          <w:bCs/>
          <w:iCs/>
          <w:sz w:val="24"/>
          <w:szCs w:val="20"/>
          <w:lang w:val="es-DO"/>
        </w:rPr>
        <w:t>Climate</w:t>
      </w:r>
      <w:proofErr w:type="spellEnd"/>
      <w:r w:rsidRPr="009A27ED">
        <w:rPr>
          <w:rFonts w:ascii="Times New Roman" w:hAnsi="Times New Roman" w:cstheme="minorHAnsi"/>
          <w:bCs/>
          <w:iCs/>
          <w:sz w:val="24"/>
          <w:szCs w:val="20"/>
          <w:lang w:val="es-DO"/>
        </w:rPr>
        <w:t xml:space="preserve"> </w:t>
      </w:r>
      <w:proofErr w:type="spellStart"/>
      <w:r w:rsidRPr="009A27ED">
        <w:rPr>
          <w:rFonts w:ascii="Times New Roman" w:hAnsi="Times New Roman" w:cstheme="minorHAnsi"/>
          <w:bCs/>
          <w:iCs/>
          <w:sz w:val="24"/>
          <w:szCs w:val="20"/>
          <w:lang w:val="es-DO"/>
        </w:rPr>
        <w:t>Law</w:t>
      </w:r>
      <w:proofErr w:type="spellEnd"/>
      <w:r w:rsidRPr="009A27ED">
        <w:rPr>
          <w:rFonts w:ascii="Times New Roman" w:hAnsi="Times New Roman" w:cstheme="minorHAnsi"/>
          <w:bCs/>
          <w:iCs/>
          <w:sz w:val="24"/>
          <w:szCs w:val="20"/>
          <w:lang w:val="es-DO"/>
        </w:rPr>
        <w:t xml:space="preserve"> &amp;Police/PRONATURA/</w:t>
      </w:r>
      <w:proofErr w:type="spellStart"/>
      <w:r w:rsidRPr="009A27ED">
        <w:rPr>
          <w:rFonts w:ascii="Times New Roman" w:hAnsi="Times New Roman" w:cstheme="minorHAnsi"/>
          <w:bCs/>
          <w:iCs/>
          <w:sz w:val="24"/>
          <w:szCs w:val="20"/>
          <w:lang w:val="es-DO"/>
        </w:rPr>
        <w:t>Winrock</w:t>
      </w:r>
      <w:proofErr w:type="spellEnd"/>
    </w:p>
    <w:p w14:paraId="589359A4" w14:textId="77777777" w:rsidR="00434410" w:rsidRPr="009A27ED" w:rsidRDefault="0004071A" w:rsidP="00C97A18">
      <w:pPr>
        <w:pStyle w:val="textbox"/>
        <w:shd w:val="clear" w:color="auto" w:fill="FFFFFF"/>
        <w:spacing w:before="120" w:line="360" w:lineRule="auto"/>
        <w:rPr>
          <w:color w:val="000000" w:themeColor="text1"/>
          <w:sz w:val="20"/>
          <w:lang w:val="es-GT"/>
        </w:rPr>
      </w:pPr>
      <w:r w:rsidRPr="009A27ED">
        <w:rPr>
          <w:rFonts w:ascii="Times New Roman" w:hAnsi="Times New Roman" w:cstheme="minorHAnsi"/>
          <w:bCs/>
          <w:iCs/>
          <w:sz w:val="24"/>
          <w:szCs w:val="22"/>
          <w:lang w:val="es-DO"/>
        </w:rPr>
        <w:t>Dentro de los grupos focales citados</w:t>
      </w:r>
      <w:r w:rsidR="00444BB0" w:rsidRPr="009A27ED">
        <w:rPr>
          <w:rFonts w:ascii="Times New Roman" w:hAnsi="Times New Roman" w:cstheme="minorHAnsi"/>
          <w:bCs/>
          <w:iCs/>
          <w:sz w:val="24"/>
          <w:szCs w:val="22"/>
          <w:lang w:val="es-DO"/>
        </w:rPr>
        <w:t xml:space="preserve"> en el </w:t>
      </w:r>
      <w:r w:rsidR="00444BB0" w:rsidRPr="009A27ED">
        <w:rPr>
          <w:rFonts w:ascii="Times New Roman" w:hAnsi="Times New Roman" w:cstheme="minorHAnsi"/>
          <w:bCs/>
          <w:iCs/>
          <w:sz w:val="24"/>
          <w:szCs w:val="22"/>
          <w:lang w:val="es-DO"/>
        </w:rPr>
        <w:fldChar w:fldCharType="begin"/>
      </w:r>
      <w:r w:rsidR="00444BB0" w:rsidRPr="009A27ED">
        <w:rPr>
          <w:rFonts w:ascii="Times New Roman" w:hAnsi="Times New Roman" w:cstheme="minorHAnsi"/>
          <w:bCs/>
          <w:iCs/>
          <w:sz w:val="24"/>
          <w:szCs w:val="22"/>
          <w:lang w:val="es-DO"/>
        </w:rPr>
        <w:instrText xml:space="preserve"> REF _Ref3803022 \h </w:instrText>
      </w:r>
      <w:r w:rsidR="00D32CB0" w:rsidRPr="009A27ED">
        <w:rPr>
          <w:rFonts w:ascii="Times New Roman" w:hAnsi="Times New Roman" w:cstheme="minorHAnsi"/>
          <w:bCs/>
          <w:iCs/>
          <w:sz w:val="24"/>
          <w:szCs w:val="22"/>
          <w:lang w:val="es-DO"/>
        </w:rPr>
        <w:instrText xml:space="preserve"> \* MERGEFORMAT </w:instrText>
      </w:r>
      <w:r w:rsidR="00444BB0" w:rsidRPr="009A27ED">
        <w:rPr>
          <w:rFonts w:ascii="Times New Roman" w:hAnsi="Times New Roman" w:cstheme="minorHAnsi"/>
          <w:bCs/>
          <w:iCs/>
          <w:sz w:val="24"/>
          <w:szCs w:val="22"/>
          <w:lang w:val="es-DO"/>
        </w:rPr>
      </w:r>
      <w:r w:rsidR="00444BB0" w:rsidRPr="009A27ED">
        <w:rPr>
          <w:rFonts w:ascii="Times New Roman" w:hAnsi="Times New Roman" w:cstheme="minorHAnsi"/>
          <w:bCs/>
          <w:iCs/>
          <w:sz w:val="24"/>
          <w:szCs w:val="22"/>
          <w:lang w:val="es-DO"/>
        </w:rPr>
        <w:fldChar w:fldCharType="separate"/>
      </w:r>
    </w:p>
    <w:p w14:paraId="17D3E737" w14:textId="177AA2F7" w:rsidR="0004071A" w:rsidRPr="009A27ED" w:rsidRDefault="00434410" w:rsidP="005B6485">
      <w:pPr>
        <w:pStyle w:val="textbox"/>
        <w:shd w:val="clear" w:color="auto" w:fill="FFFFFF"/>
        <w:spacing w:before="120" w:beforeAutospacing="0" w:after="0" w:afterAutospacing="0" w:line="360" w:lineRule="auto"/>
        <w:rPr>
          <w:rFonts w:cstheme="minorHAnsi"/>
          <w:bCs/>
          <w:iCs/>
          <w:szCs w:val="22"/>
          <w:lang w:val="es-DO"/>
        </w:rPr>
      </w:pPr>
      <w:r w:rsidRPr="009A27ED">
        <w:rPr>
          <w:rFonts w:ascii="Times New Roman" w:hAnsi="Times New Roman"/>
          <w:color w:val="000000" w:themeColor="text1"/>
          <w:sz w:val="24"/>
          <w:lang w:val="es-GT"/>
        </w:rPr>
        <w:t>Cuadro</w:t>
      </w:r>
      <w:r w:rsidRPr="009A27ED">
        <w:rPr>
          <w:rFonts w:ascii="Times New Roman" w:hAnsi="Times New Roman"/>
          <w:noProof/>
          <w:color w:val="000000" w:themeColor="text1"/>
          <w:sz w:val="24"/>
          <w:lang w:val="es-GT"/>
        </w:rPr>
        <w:t xml:space="preserve"> </w:t>
      </w:r>
      <w:r w:rsidR="00444BB0" w:rsidRPr="009A27ED">
        <w:rPr>
          <w:rFonts w:ascii="Times New Roman" w:hAnsi="Times New Roman" w:cstheme="minorHAnsi"/>
          <w:bCs/>
          <w:iCs/>
          <w:sz w:val="24"/>
          <w:szCs w:val="22"/>
          <w:lang w:val="es-DO"/>
        </w:rPr>
        <w:fldChar w:fldCharType="end"/>
      </w:r>
      <w:r w:rsidR="00DA3E16" w:rsidRPr="009A27ED">
        <w:rPr>
          <w:rFonts w:ascii="Times New Roman" w:hAnsi="Times New Roman" w:cstheme="minorHAnsi"/>
          <w:bCs/>
          <w:iCs/>
          <w:sz w:val="24"/>
          <w:szCs w:val="22"/>
          <w:lang w:val="es-DO"/>
        </w:rPr>
        <w:t>31</w:t>
      </w:r>
      <w:r w:rsidR="0004071A" w:rsidRPr="009A27ED">
        <w:rPr>
          <w:rFonts w:ascii="Times New Roman" w:hAnsi="Times New Roman" w:cstheme="minorHAnsi"/>
          <w:bCs/>
          <w:iCs/>
          <w:sz w:val="24"/>
          <w:szCs w:val="22"/>
          <w:lang w:val="es-DO"/>
        </w:rPr>
        <w:t xml:space="preserve">, existen instituciones claves con presencia y trayectoria de trabajo que constituyen un referente para la implementación de REDD en los diferentes puntos de la geografía nacional, algunos con presencia nacional, como el caso de los Ministerios (Agricultura, Medio Ambiente, Educación), otros con presencia e influencia a nivel de las regiones administrativas o de provincia y otros a nivel locales. Instituciones del sector público con presencia en todas las áreas priorizadas son los Ministerios de Agricultura y Ministerio de Medio Ambiente Recursos Naturales, representadas a través de las Direcciones Regionales, y las Direcciones Provinciales. Otras instituciones públicas </w:t>
      </w:r>
      <w:r w:rsidR="00444BB0" w:rsidRPr="009A27ED">
        <w:rPr>
          <w:rFonts w:ascii="Times New Roman" w:hAnsi="Times New Roman" w:cstheme="minorHAnsi"/>
          <w:bCs/>
          <w:iCs/>
          <w:sz w:val="24"/>
          <w:szCs w:val="22"/>
          <w:lang w:val="es-DO"/>
        </w:rPr>
        <w:t>son el</w:t>
      </w:r>
      <w:r w:rsidR="0004071A" w:rsidRPr="009A27ED">
        <w:rPr>
          <w:rFonts w:ascii="Times New Roman" w:hAnsi="Times New Roman" w:cstheme="minorHAnsi"/>
          <w:bCs/>
          <w:iCs/>
          <w:sz w:val="24"/>
          <w:szCs w:val="22"/>
          <w:lang w:val="es-DO"/>
        </w:rPr>
        <w:t xml:space="preserve"> Ministerio de Educación, a través de los Distritos Escolares, la Dirección General de Desarrollo Fronterizo, en las provincias de la línea fronteriza Elías Piña, Independencia y </w:t>
      </w:r>
      <w:r w:rsidR="00444BB0" w:rsidRPr="009A27ED">
        <w:rPr>
          <w:rFonts w:ascii="Times New Roman" w:hAnsi="Times New Roman" w:cstheme="minorHAnsi"/>
          <w:bCs/>
          <w:iCs/>
          <w:sz w:val="24"/>
          <w:szCs w:val="22"/>
          <w:lang w:val="es-DO"/>
        </w:rPr>
        <w:t xml:space="preserve">Dajabón) </w:t>
      </w:r>
      <w:r w:rsidR="0004071A" w:rsidRPr="009A27ED">
        <w:rPr>
          <w:rFonts w:ascii="Times New Roman" w:hAnsi="Times New Roman" w:cstheme="minorHAnsi"/>
          <w:bCs/>
          <w:iCs/>
          <w:sz w:val="24"/>
          <w:szCs w:val="22"/>
          <w:lang w:val="es-DO"/>
        </w:rPr>
        <w:t>y la Defensa Civil, presente en todo el territorio.</w:t>
      </w:r>
    </w:p>
    <w:p w14:paraId="0C575298" w14:textId="2772D3C8" w:rsidR="0004071A" w:rsidRPr="009A27ED" w:rsidRDefault="0004071A" w:rsidP="005B6485">
      <w:pPr>
        <w:pStyle w:val="textbox"/>
        <w:shd w:val="clear" w:color="auto" w:fill="FFFFFF"/>
        <w:spacing w:before="120" w:beforeAutospacing="0" w:after="0" w:afterAutospacing="0" w:line="360" w:lineRule="auto"/>
        <w:rPr>
          <w:rFonts w:cstheme="minorHAnsi"/>
          <w:bCs/>
          <w:iCs/>
          <w:szCs w:val="22"/>
          <w:lang w:val="es-DO"/>
        </w:rPr>
      </w:pPr>
      <w:r w:rsidRPr="009A27ED">
        <w:rPr>
          <w:rFonts w:ascii="Times New Roman" w:hAnsi="Times New Roman" w:cstheme="minorHAnsi"/>
          <w:bCs/>
          <w:iCs/>
          <w:sz w:val="24"/>
          <w:szCs w:val="22"/>
          <w:lang w:val="es-DO"/>
        </w:rPr>
        <w:t xml:space="preserve">A nivel del </w:t>
      </w:r>
      <w:r w:rsidRPr="009A27ED">
        <w:rPr>
          <w:rFonts w:ascii="Times New Roman" w:hAnsi="Times New Roman" w:cstheme="minorHAnsi"/>
          <w:b/>
          <w:bCs/>
          <w:iCs/>
          <w:sz w:val="24"/>
          <w:szCs w:val="22"/>
          <w:lang w:val="es-DO"/>
        </w:rPr>
        <w:t>sector privado,</w:t>
      </w:r>
      <w:r w:rsidRPr="009A27ED">
        <w:rPr>
          <w:rFonts w:ascii="Times New Roman" w:hAnsi="Times New Roman" w:cstheme="minorHAnsi"/>
          <w:bCs/>
          <w:iCs/>
          <w:sz w:val="24"/>
          <w:szCs w:val="22"/>
          <w:lang w:val="es-DO"/>
        </w:rPr>
        <w:t xml:space="preserve"> la presencia de instituciones la representatividad es escasa y se vincula a las Asociaciones de productores, entre ellas la Corporación para el Manejo y Conservación de los Recursos Naturales de la Cuenca Del Rio </w:t>
      </w:r>
      <w:proofErr w:type="spellStart"/>
      <w:r w:rsidRPr="009A27ED">
        <w:rPr>
          <w:rFonts w:ascii="Times New Roman" w:hAnsi="Times New Roman" w:cstheme="minorHAnsi"/>
          <w:bCs/>
          <w:iCs/>
          <w:sz w:val="24"/>
          <w:szCs w:val="22"/>
          <w:lang w:val="es-DO"/>
        </w:rPr>
        <w:t>Bao</w:t>
      </w:r>
      <w:proofErr w:type="spellEnd"/>
      <w:r w:rsidRPr="009A27ED">
        <w:rPr>
          <w:rFonts w:ascii="Times New Roman" w:hAnsi="Times New Roman" w:cstheme="minorHAnsi"/>
          <w:bCs/>
          <w:iCs/>
          <w:sz w:val="24"/>
          <w:szCs w:val="22"/>
          <w:lang w:val="es-DO"/>
        </w:rPr>
        <w:t xml:space="preserve"> (CORPOBAO), Clúster de Casabe, Confederación Nacional de </w:t>
      </w:r>
      <w:proofErr w:type="spellStart"/>
      <w:r w:rsidR="00444BB0" w:rsidRPr="009A27ED">
        <w:rPr>
          <w:rFonts w:ascii="Times New Roman" w:hAnsi="Times New Roman" w:cstheme="minorHAnsi"/>
          <w:bCs/>
          <w:iCs/>
          <w:sz w:val="24"/>
          <w:szCs w:val="22"/>
          <w:lang w:val="es-DO"/>
        </w:rPr>
        <w:t>Cacao</w:t>
      </w:r>
      <w:r w:rsidR="00C13A82" w:rsidRPr="009A27ED">
        <w:rPr>
          <w:rFonts w:ascii="Times New Roman" w:hAnsi="Times New Roman" w:cstheme="minorHAnsi"/>
          <w:bCs/>
          <w:iCs/>
          <w:sz w:val="24"/>
          <w:szCs w:val="22"/>
          <w:lang w:val="es-DO"/>
        </w:rPr>
        <w:t>cultores</w:t>
      </w:r>
      <w:proofErr w:type="spellEnd"/>
      <w:r w:rsidRPr="009A27ED">
        <w:rPr>
          <w:rFonts w:ascii="Times New Roman" w:hAnsi="Times New Roman" w:cstheme="minorHAnsi"/>
          <w:bCs/>
          <w:iCs/>
          <w:sz w:val="24"/>
          <w:szCs w:val="22"/>
          <w:lang w:val="es-DO"/>
        </w:rPr>
        <w:t xml:space="preserve"> </w:t>
      </w:r>
      <w:proofErr w:type="gramStart"/>
      <w:r w:rsidR="00444BB0" w:rsidRPr="009A27ED">
        <w:rPr>
          <w:rFonts w:ascii="Times New Roman" w:hAnsi="Times New Roman" w:cstheme="minorHAnsi"/>
          <w:bCs/>
          <w:iCs/>
          <w:sz w:val="24"/>
          <w:szCs w:val="22"/>
          <w:lang w:val="es-DO"/>
        </w:rPr>
        <w:t>Dominicanos</w:t>
      </w:r>
      <w:proofErr w:type="gramEnd"/>
      <w:r w:rsidRPr="009A27ED">
        <w:rPr>
          <w:rFonts w:ascii="Times New Roman" w:hAnsi="Times New Roman" w:cstheme="minorHAnsi"/>
          <w:bCs/>
          <w:iCs/>
          <w:sz w:val="24"/>
          <w:szCs w:val="22"/>
          <w:lang w:val="es-DO"/>
        </w:rPr>
        <w:t xml:space="preserve"> (CONACADO), Asociaciones de Caficultores y la Cámara Forestal dominicana. </w:t>
      </w:r>
    </w:p>
    <w:p w14:paraId="12FADE6C" w14:textId="61433CF9" w:rsidR="0004071A" w:rsidRPr="009A27ED" w:rsidRDefault="0004071A" w:rsidP="005B6485">
      <w:pPr>
        <w:pStyle w:val="textbox"/>
        <w:shd w:val="clear" w:color="auto" w:fill="FFFFFF"/>
        <w:spacing w:before="120" w:beforeAutospacing="0" w:after="0" w:afterAutospacing="0" w:line="360" w:lineRule="auto"/>
        <w:rPr>
          <w:rFonts w:cstheme="minorHAnsi"/>
          <w:bCs/>
          <w:iCs/>
          <w:szCs w:val="22"/>
          <w:lang w:val="es-DO"/>
        </w:rPr>
      </w:pPr>
      <w:r w:rsidRPr="009A27ED">
        <w:rPr>
          <w:rFonts w:ascii="Times New Roman" w:hAnsi="Times New Roman" w:cstheme="minorHAnsi"/>
          <w:bCs/>
          <w:iCs/>
          <w:sz w:val="24"/>
          <w:szCs w:val="22"/>
          <w:lang w:val="es-DO"/>
        </w:rPr>
        <w:t xml:space="preserve">Existe presencia de </w:t>
      </w:r>
      <w:r w:rsidRPr="009A27ED">
        <w:rPr>
          <w:rFonts w:ascii="Times New Roman" w:hAnsi="Times New Roman" w:cstheme="minorHAnsi"/>
          <w:b/>
          <w:bCs/>
          <w:iCs/>
          <w:sz w:val="24"/>
          <w:szCs w:val="22"/>
          <w:lang w:val="es-DO"/>
        </w:rPr>
        <w:t>Organismos de la Sociedad Civil</w:t>
      </w:r>
      <w:r w:rsidRPr="009A27ED">
        <w:rPr>
          <w:rFonts w:ascii="Times New Roman" w:hAnsi="Times New Roman" w:cstheme="minorHAnsi"/>
          <w:bCs/>
          <w:iCs/>
          <w:sz w:val="24"/>
          <w:szCs w:val="22"/>
          <w:lang w:val="es-DO"/>
        </w:rPr>
        <w:t xml:space="preserve"> con influencia en los procesos locales, como son los Comité de Cuencas, constituidos por alianzas público-privado, estos son una plataforma de participación que actúa en las cuencas hidrográficas y tienen potencial para </w:t>
      </w:r>
      <w:r w:rsidRPr="009A27ED">
        <w:rPr>
          <w:rFonts w:ascii="Times New Roman" w:hAnsi="Times New Roman" w:cstheme="minorHAnsi"/>
          <w:bCs/>
          <w:iCs/>
          <w:sz w:val="24"/>
          <w:szCs w:val="22"/>
          <w:lang w:val="es-DO"/>
        </w:rPr>
        <w:lastRenderedPageBreak/>
        <w:t xml:space="preserve">apoyar los procesos REDD. Dentro de las Instituciones no gubernamentales legalmente reconocidas que llevan a cabo actividades relacionadas con la protección del medioambiente y los recursos naturales, se encuentran la Sociedad Ecológica de Barahona (SOEBA), Sociedad Ecológica del Cibao (SOECI), el Grupo Jaragua, Centro para el Desarrollo Agropecuario y Forestal, (CEDAF), a Agencia de Desarrollo Económico Valverde (ADELVA) y Plan Sierra, entre otros. </w:t>
      </w:r>
      <w:r w:rsidR="00E21872" w:rsidRPr="009A27ED">
        <w:rPr>
          <w:rFonts w:ascii="Times New Roman" w:hAnsi="Times New Roman" w:cstheme="minorHAnsi"/>
          <w:bCs/>
          <w:iCs/>
          <w:sz w:val="24"/>
          <w:szCs w:val="22"/>
          <w:lang w:val="es-DO"/>
        </w:rPr>
        <w:t xml:space="preserve"> </w:t>
      </w:r>
    </w:p>
    <w:p w14:paraId="7F9FE24D" w14:textId="10D7449B" w:rsidR="0004071A" w:rsidRPr="009A27ED" w:rsidRDefault="0004071A" w:rsidP="005B6485">
      <w:pPr>
        <w:pStyle w:val="textbox"/>
        <w:shd w:val="clear" w:color="auto" w:fill="FFFFFF"/>
        <w:spacing w:before="120" w:beforeAutospacing="0" w:after="0" w:afterAutospacing="0" w:line="360" w:lineRule="auto"/>
        <w:rPr>
          <w:rFonts w:cstheme="minorHAnsi"/>
          <w:bCs/>
          <w:iCs/>
          <w:szCs w:val="22"/>
          <w:lang w:val="es-DO"/>
        </w:rPr>
      </w:pPr>
      <w:r w:rsidRPr="009A27ED">
        <w:rPr>
          <w:rFonts w:ascii="Times New Roman" w:hAnsi="Times New Roman" w:cstheme="minorHAnsi"/>
          <w:bCs/>
          <w:iCs/>
          <w:sz w:val="24"/>
          <w:szCs w:val="22"/>
          <w:lang w:val="es-DO"/>
        </w:rPr>
        <w:t>Mediante consultas directas con las instituciones que representan los grupos focales serán identificadas y evaluadas las capacidades de las organizaciones presente en el territorio.</w:t>
      </w:r>
    </w:p>
    <w:p w14:paraId="4986C12C" w14:textId="27D8F13F" w:rsidR="00A25B98" w:rsidRPr="009A27ED" w:rsidRDefault="00A25B98" w:rsidP="00A25B98">
      <w:pPr>
        <w:spacing w:after="200" w:line="360" w:lineRule="auto"/>
        <w:rPr>
          <w:i/>
          <w:iCs/>
          <w:color w:val="000000" w:themeColor="text1"/>
          <w:sz w:val="20"/>
          <w:szCs w:val="18"/>
        </w:rPr>
      </w:pPr>
    </w:p>
    <w:p w14:paraId="2D6FA994" w14:textId="62AEC2C1" w:rsidR="00A25B98" w:rsidRPr="009A27ED" w:rsidRDefault="00060737" w:rsidP="00F43DB6">
      <w:pPr>
        <w:spacing w:after="160" w:line="360" w:lineRule="auto"/>
        <w:rPr>
          <w:i/>
          <w:iCs/>
          <w:color w:val="000000" w:themeColor="text1"/>
          <w:sz w:val="20"/>
          <w:szCs w:val="18"/>
        </w:rPr>
      </w:pPr>
      <w:r w:rsidRPr="009A27ED">
        <w:rPr>
          <w:rFonts w:ascii="Times New Roman" w:eastAsia="Times New Roman" w:hAnsi="Times New Roman"/>
          <w:i/>
          <w:iCs/>
          <w:color w:val="000000" w:themeColor="text1"/>
          <w:sz w:val="24"/>
          <w:szCs w:val="18"/>
        </w:rPr>
        <w:br w:type="page"/>
      </w:r>
      <w:r w:rsidR="00A25B98" w:rsidRPr="009A27ED">
        <w:rPr>
          <w:rFonts w:ascii="Times New Roman" w:eastAsia="Times New Roman" w:hAnsi="Times New Roman"/>
          <w:i/>
          <w:iCs/>
          <w:color w:val="000000" w:themeColor="text1"/>
          <w:sz w:val="24"/>
          <w:szCs w:val="18"/>
        </w:rPr>
        <w:lastRenderedPageBreak/>
        <w:t>Cuadro 32</w:t>
      </w:r>
    </w:p>
    <w:p w14:paraId="0FAFC657" w14:textId="2DE29642" w:rsidR="00F43DB6" w:rsidRPr="009A27ED" w:rsidRDefault="00F43DB6" w:rsidP="00F43DB6">
      <w:pPr>
        <w:pStyle w:val="Descripcin"/>
        <w:keepNext/>
        <w:spacing w:line="360" w:lineRule="auto"/>
      </w:pPr>
      <w:bookmarkStart w:id="178" w:name="_Toc111887442"/>
      <w:r w:rsidRPr="009A27ED">
        <w:rPr>
          <w:rFonts w:ascii="Times New Roman" w:eastAsia="Times New Roman" w:hAnsi="Times New Roman"/>
          <w:sz w:val="24"/>
        </w:rPr>
        <w:t xml:space="preserve">Cuadro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Cuadro \* ARABIC </w:instrText>
      </w:r>
      <w:r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32</w:t>
      </w:r>
      <w:r w:rsidRPr="009A27ED">
        <w:rPr>
          <w:rFonts w:ascii="Times New Roman" w:eastAsia="Times New Roman" w:hAnsi="Times New Roman"/>
          <w:sz w:val="24"/>
        </w:rPr>
        <w:fldChar w:fldCharType="end"/>
      </w:r>
      <w:r w:rsidRPr="009A27ED">
        <w:rPr>
          <w:rFonts w:ascii="Times New Roman" w:eastAsia="Times New Roman" w:hAnsi="Times New Roman"/>
          <w:color w:val="000000" w:themeColor="text1"/>
          <w:sz w:val="24"/>
        </w:rPr>
        <w:t>.  Identificación de actores clave por áreas prioritarias</w:t>
      </w:r>
      <w:bookmarkEnd w:id="178"/>
    </w:p>
    <w:tbl>
      <w:tblPr>
        <w:tblStyle w:val="Tablaconcuadrcula"/>
        <w:tblpPr w:leftFromText="180" w:rightFromText="180" w:vertAnchor="text" w:horzAnchor="margin" w:tblpY="20"/>
        <w:tblW w:w="10705" w:type="dxa"/>
        <w:tblLayout w:type="fixed"/>
        <w:tblLook w:val="04A0" w:firstRow="1" w:lastRow="0" w:firstColumn="1" w:lastColumn="0" w:noHBand="0" w:noVBand="1"/>
      </w:tblPr>
      <w:tblGrid>
        <w:gridCol w:w="1255"/>
        <w:gridCol w:w="1800"/>
        <w:gridCol w:w="1800"/>
        <w:gridCol w:w="1440"/>
        <w:gridCol w:w="1530"/>
        <w:gridCol w:w="2880"/>
      </w:tblGrid>
      <w:tr w:rsidR="00E21872" w:rsidRPr="009A27ED" w14:paraId="0CFCB19B" w14:textId="77777777" w:rsidTr="00C97D96">
        <w:trPr>
          <w:tblHeader/>
        </w:trPr>
        <w:tc>
          <w:tcPr>
            <w:tcW w:w="1255" w:type="dxa"/>
            <w:shd w:val="clear" w:color="auto" w:fill="2E74B5" w:themeFill="accent1" w:themeFillShade="BF"/>
            <w:vAlign w:val="center"/>
          </w:tcPr>
          <w:p w14:paraId="412CEE37" w14:textId="77777777" w:rsidR="00E21872" w:rsidRPr="009A27ED" w:rsidRDefault="00E21872" w:rsidP="00C56004">
            <w:pPr>
              <w:spacing w:after="0"/>
              <w:jc w:val="center"/>
              <w:rPr>
                <w:b/>
                <w:bCs/>
                <w:iCs/>
                <w:color w:val="FFFFFF" w:themeColor="background1"/>
                <w:sz w:val="20"/>
                <w:szCs w:val="20"/>
              </w:rPr>
            </w:pPr>
            <w:r w:rsidRPr="009A27ED">
              <w:rPr>
                <w:b/>
                <w:bCs/>
                <w:iCs/>
                <w:color w:val="FFFFFF" w:themeColor="background1"/>
                <w:sz w:val="20"/>
                <w:szCs w:val="20"/>
              </w:rPr>
              <w:t>Región</w:t>
            </w:r>
          </w:p>
        </w:tc>
        <w:tc>
          <w:tcPr>
            <w:tcW w:w="1800" w:type="dxa"/>
            <w:shd w:val="clear" w:color="auto" w:fill="2E74B5" w:themeFill="accent1" w:themeFillShade="BF"/>
            <w:vAlign w:val="center"/>
          </w:tcPr>
          <w:p w14:paraId="73BB886C" w14:textId="77777777" w:rsidR="00E21872" w:rsidRPr="009A27ED" w:rsidRDefault="00E21872" w:rsidP="00C56004">
            <w:pPr>
              <w:spacing w:after="0"/>
              <w:jc w:val="center"/>
              <w:rPr>
                <w:b/>
                <w:bCs/>
                <w:iCs/>
                <w:color w:val="FFFFFF" w:themeColor="background1"/>
                <w:sz w:val="20"/>
                <w:szCs w:val="20"/>
              </w:rPr>
            </w:pPr>
            <w:r w:rsidRPr="009A27ED">
              <w:rPr>
                <w:b/>
                <w:color w:val="FFFFFF" w:themeColor="background1"/>
                <w:sz w:val="20"/>
                <w:szCs w:val="20"/>
              </w:rPr>
              <w:t>Sector Público</w:t>
            </w:r>
          </w:p>
        </w:tc>
        <w:tc>
          <w:tcPr>
            <w:tcW w:w="1800" w:type="dxa"/>
            <w:shd w:val="clear" w:color="auto" w:fill="2E74B5" w:themeFill="accent1" w:themeFillShade="BF"/>
            <w:vAlign w:val="center"/>
          </w:tcPr>
          <w:p w14:paraId="7C6D8C45" w14:textId="77777777" w:rsidR="00E21872" w:rsidRPr="009A27ED" w:rsidRDefault="00E21872" w:rsidP="00C56004">
            <w:pPr>
              <w:spacing w:after="0"/>
              <w:jc w:val="center"/>
              <w:rPr>
                <w:b/>
                <w:bCs/>
                <w:iCs/>
                <w:color w:val="FFFFFF" w:themeColor="background1"/>
                <w:sz w:val="20"/>
                <w:szCs w:val="20"/>
              </w:rPr>
            </w:pPr>
            <w:r w:rsidRPr="009A27ED">
              <w:rPr>
                <w:b/>
                <w:color w:val="FFFFFF" w:themeColor="background1"/>
                <w:sz w:val="20"/>
                <w:szCs w:val="20"/>
              </w:rPr>
              <w:t>Sector Privado</w:t>
            </w:r>
          </w:p>
        </w:tc>
        <w:tc>
          <w:tcPr>
            <w:tcW w:w="1440" w:type="dxa"/>
            <w:shd w:val="clear" w:color="auto" w:fill="2E74B5" w:themeFill="accent1" w:themeFillShade="BF"/>
            <w:vAlign w:val="center"/>
          </w:tcPr>
          <w:p w14:paraId="11AB28C8" w14:textId="77777777" w:rsidR="00E21872" w:rsidRPr="009A27ED" w:rsidRDefault="00E21872" w:rsidP="00C56004">
            <w:pPr>
              <w:spacing w:after="0"/>
              <w:jc w:val="center"/>
              <w:rPr>
                <w:b/>
                <w:bCs/>
                <w:iCs/>
                <w:color w:val="FFFFFF" w:themeColor="background1"/>
                <w:sz w:val="20"/>
                <w:szCs w:val="20"/>
              </w:rPr>
            </w:pPr>
            <w:r w:rsidRPr="009A27ED">
              <w:rPr>
                <w:b/>
                <w:color w:val="FFFFFF" w:themeColor="background1"/>
                <w:sz w:val="20"/>
                <w:szCs w:val="20"/>
              </w:rPr>
              <w:t>Sociedad  Civil/</w:t>
            </w:r>
            <w:proofErr w:type="spellStart"/>
            <w:r w:rsidRPr="009A27ED">
              <w:rPr>
                <w:b/>
                <w:color w:val="FFFFFF" w:themeColor="background1"/>
                <w:sz w:val="20"/>
                <w:szCs w:val="20"/>
              </w:rPr>
              <w:t>ONGs</w:t>
            </w:r>
            <w:proofErr w:type="spellEnd"/>
          </w:p>
        </w:tc>
        <w:tc>
          <w:tcPr>
            <w:tcW w:w="1530" w:type="dxa"/>
            <w:shd w:val="clear" w:color="auto" w:fill="2E74B5" w:themeFill="accent1" w:themeFillShade="BF"/>
            <w:vAlign w:val="center"/>
          </w:tcPr>
          <w:p w14:paraId="6E4841EB" w14:textId="77777777" w:rsidR="00E21872" w:rsidRPr="009A27ED" w:rsidRDefault="00E21872" w:rsidP="00C56004">
            <w:pPr>
              <w:spacing w:after="0"/>
              <w:jc w:val="center"/>
              <w:rPr>
                <w:b/>
                <w:color w:val="FFFFFF" w:themeColor="background1"/>
                <w:sz w:val="20"/>
                <w:szCs w:val="20"/>
              </w:rPr>
            </w:pPr>
            <w:r w:rsidRPr="009A27ED">
              <w:rPr>
                <w:b/>
                <w:color w:val="FFFFFF" w:themeColor="background1"/>
                <w:sz w:val="20"/>
                <w:szCs w:val="20"/>
              </w:rPr>
              <w:t>Academia y Centro de Investigación</w:t>
            </w:r>
          </w:p>
        </w:tc>
        <w:tc>
          <w:tcPr>
            <w:tcW w:w="2880" w:type="dxa"/>
            <w:shd w:val="clear" w:color="auto" w:fill="2E74B5" w:themeFill="accent1" w:themeFillShade="BF"/>
          </w:tcPr>
          <w:p w14:paraId="6515B63A" w14:textId="77777777" w:rsidR="00E21872" w:rsidRPr="009A27ED" w:rsidRDefault="00E21872" w:rsidP="00C56004">
            <w:pPr>
              <w:spacing w:after="0"/>
              <w:jc w:val="center"/>
              <w:rPr>
                <w:b/>
                <w:bCs/>
                <w:iCs/>
                <w:color w:val="FFFFFF" w:themeColor="background1"/>
                <w:sz w:val="20"/>
                <w:szCs w:val="20"/>
              </w:rPr>
            </w:pPr>
            <w:r w:rsidRPr="009A27ED">
              <w:rPr>
                <w:b/>
                <w:color w:val="FFFFFF" w:themeColor="background1"/>
                <w:sz w:val="20"/>
                <w:szCs w:val="20"/>
              </w:rPr>
              <w:t>Asociaciones de productores</w:t>
            </w:r>
          </w:p>
        </w:tc>
      </w:tr>
      <w:tr w:rsidR="00E21872" w:rsidRPr="009A27ED" w14:paraId="2136121E" w14:textId="77777777" w:rsidTr="00C97D96">
        <w:trPr>
          <w:trHeight w:val="2305"/>
        </w:trPr>
        <w:tc>
          <w:tcPr>
            <w:tcW w:w="1255" w:type="dxa"/>
            <w:vAlign w:val="center"/>
          </w:tcPr>
          <w:p w14:paraId="55363550" w14:textId="77777777" w:rsidR="00E21872" w:rsidRPr="009A27ED" w:rsidRDefault="00E21872" w:rsidP="00C56004">
            <w:pPr>
              <w:spacing w:after="0"/>
              <w:jc w:val="left"/>
              <w:rPr>
                <w:bCs/>
                <w:iCs/>
                <w:sz w:val="20"/>
                <w:szCs w:val="20"/>
              </w:rPr>
            </w:pPr>
            <w:r w:rsidRPr="009A27ED">
              <w:rPr>
                <w:b/>
                <w:bCs/>
                <w:color w:val="000000"/>
                <w:sz w:val="20"/>
                <w:szCs w:val="20"/>
              </w:rPr>
              <w:t xml:space="preserve">CIBAO NORDESTE </w:t>
            </w:r>
          </w:p>
        </w:tc>
        <w:tc>
          <w:tcPr>
            <w:tcW w:w="1800" w:type="dxa"/>
            <w:vAlign w:val="center"/>
          </w:tcPr>
          <w:p w14:paraId="377C4883" w14:textId="77777777" w:rsidR="00E21872" w:rsidRPr="009A27ED" w:rsidRDefault="00E21872"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Ministerio de Energía y Minas, Ministerio de Medio Ambiente, Consejo Dominicano de Pesca y Acuicultura (CODOPESCA) y el Instituto Agrario Dominicano (IAD)</w:t>
            </w:r>
          </w:p>
          <w:p w14:paraId="1BA82C22" w14:textId="28548888" w:rsidR="00111817" w:rsidRPr="009A27ED" w:rsidRDefault="00111817"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Ministerio de Agricultura</w:t>
            </w:r>
          </w:p>
        </w:tc>
        <w:tc>
          <w:tcPr>
            <w:tcW w:w="1800" w:type="dxa"/>
            <w:vAlign w:val="center"/>
          </w:tcPr>
          <w:p w14:paraId="1DB1E7AD" w14:textId="77777777" w:rsidR="00E21872" w:rsidRPr="009A27ED" w:rsidRDefault="00E21872"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 xml:space="preserve">Junta </w:t>
            </w:r>
            <w:proofErr w:type="gramStart"/>
            <w:r w:rsidRPr="009A27ED">
              <w:rPr>
                <w:rFonts w:cstheme="minorHAnsi"/>
                <w:sz w:val="20"/>
                <w:szCs w:val="20"/>
                <w:lang w:val="es-US"/>
              </w:rPr>
              <w:t>Agro empresarial</w:t>
            </w:r>
            <w:proofErr w:type="gramEnd"/>
            <w:r w:rsidRPr="009A27ED">
              <w:rPr>
                <w:rFonts w:cstheme="minorHAnsi"/>
                <w:sz w:val="20"/>
                <w:szCs w:val="20"/>
                <w:lang w:val="es-US"/>
              </w:rPr>
              <w:t xml:space="preserve"> Dominicana (JAD), Cámara Forestal Dominicana,</w:t>
            </w:r>
          </w:p>
          <w:p w14:paraId="0D6F0B7B" w14:textId="77777777" w:rsidR="00E21872" w:rsidRPr="009A27ED" w:rsidRDefault="00E21872" w:rsidP="00C56004">
            <w:pPr>
              <w:spacing w:after="0"/>
              <w:jc w:val="left"/>
              <w:rPr>
                <w:sz w:val="20"/>
                <w:szCs w:val="20"/>
                <w:lang w:val="es-US"/>
              </w:rPr>
            </w:pPr>
            <w:r w:rsidRPr="009A27ED">
              <w:rPr>
                <w:sz w:val="20"/>
                <w:szCs w:val="20"/>
                <w:lang w:val="es-US"/>
              </w:rPr>
              <w:t xml:space="preserve">Cámara Forestal Dominicana, </w:t>
            </w:r>
          </w:p>
          <w:p w14:paraId="4D118AB9" w14:textId="538E1957" w:rsidR="008D77B0" w:rsidRPr="009A27ED" w:rsidRDefault="008D77B0" w:rsidP="00C56004">
            <w:pPr>
              <w:spacing w:after="0"/>
              <w:jc w:val="left"/>
              <w:rPr>
                <w:sz w:val="20"/>
                <w:szCs w:val="20"/>
                <w:lang w:val="es-US"/>
              </w:rPr>
            </w:pPr>
          </w:p>
        </w:tc>
        <w:tc>
          <w:tcPr>
            <w:tcW w:w="1440" w:type="dxa"/>
            <w:vAlign w:val="center"/>
          </w:tcPr>
          <w:p w14:paraId="3503C1DC" w14:textId="0CE8D823" w:rsidR="00E21872" w:rsidRPr="009A27ED" w:rsidRDefault="008D77B0" w:rsidP="00C56004">
            <w:pPr>
              <w:spacing w:after="0"/>
              <w:jc w:val="left"/>
              <w:rPr>
                <w:sz w:val="20"/>
                <w:szCs w:val="20"/>
                <w:lang w:val="es-US"/>
              </w:rPr>
            </w:pPr>
            <w:r w:rsidRPr="009A27ED">
              <w:rPr>
                <w:sz w:val="20"/>
                <w:szCs w:val="20"/>
                <w:lang w:val="es-US"/>
              </w:rPr>
              <w:t>ENDA CARIBE</w:t>
            </w:r>
          </w:p>
          <w:p w14:paraId="6C30E8EA" w14:textId="77777777" w:rsidR="00E21872" w:rsidRPr="009A27ED" w:rsidRDefault="00E21872" w:rsidP="00C56004">
            <w:pPr>
              <w:spacing w:after="0"/>
              <w:jc w:val="left"/>
              <w:rPr>
                <w:sz w:val="20"/>
                <w:szCs w:val="20"/>
                <w:lang w:val="es-US"/>
              </w:rPr>
            </w:pPr>
          </w:p>
        </w:tc>
        <w:tc>
          <w:tcPr>
            <w:tcW w:w="1530" w:type="dxa"/>
            <w:vAlign w:val="center"/>
          </w:tcPr>
          <w:p w14:paraId="2B644A9A" w14:textId="75D71E32" w:rsidR="00E21872" w:rsidRPr="009A27ED" w:rsidRDefault="00E21872"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Universidad Abierta Para Adultos (UAPA)</w:t>
            </w:r>
          </w:p>
          <w:p w14:paraId="58AE6603" w14:textId="1F591710" w:rsidR="009C5BB0" w:rsidRPr="009A27ED" w:rsidRDefault="009C5BB0"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UASD</w:t>
            </w:r>
          </w:p>
          <w:p w14:paraId="37D69209" w14:textId="272DB75F" w:rsidR="008D77B0" w:rsidRPr="009A27ED" w:rsidRDefault="008D77B0"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UTECO</w:t>
            </w:r>
          </w:p>
          <w:p w14:paraId="418EB782" w14:textId="77777777" w:rsidR="00E21872" w:rsidRPr="009A27ED" w:rsidRDefault="00E21872" w:rsidP="00C56004">
            <w:pPr>
              <w:pStyle w:val="textbox"/>
              <w:shd w:val="clear" w:color="auto" w:fill="FFFFFF"/>
              <w:spacing w:before="0" w:beforeAutospacing="0" w:after="0" w:afterAutospacing="0"/>
              <w:jc w:val="left"/>
              <w:rPr>
                <w:rFonts w:cstheme="minorHAnsi"/>
                <w:sz w:val="20"/>
                <w:szCs w:val="20"/>
                <w:lang w:val="es-US"/>
              </w:rPr>
            </w:pPr>
          </w:p>
        </w:tc>
        <w:tc>
          <w:tcPr>
            <w:tcW w:w="2880" w:type="dxa"/>
          </w:tcPr>
          <w:p w14:paraId="108C59A2" w14:textId="7A74E326" w:rsidR="00E21872" w:rsidRPr="009A27ED" w:rsidRDefault="00E21872" w:rsidP="00C56004">
            <w:pPr>
              <w:spacing w:after="0"/>
              <w:jc w:val="left"/>
              <w:rPr>
                <w:sz w:val="20"/>
                <w:szCs w:val="20"/>
                <w:lang w:val="es-US"/>
              </w:rPr>
            </w:pPr>
            <w:r w:rsidRPr="009A27ED">
              <w:rPr>
                <w:sz w:val="20"/>
                <w:szCs w:val="20"/>
                <w:lang w:val="es-US"/>
              </w:rPr>
              <w:t>Co</w:t>
            </w:r>
            <w:r w:rsidR="00622F57" w:rsidRPr="009A27ED">
              <w:rPr>
                <w:sz w:val="20"/>
                <w:szCs w:val="20"/>
                <w:lang w:val="es-US"/>
              </w:rPr>
              <w:t xml:space="preserve">nsorcio </w:t>
            </w:r>
            <w:r w:rsidRPr="009A27ED">
              <w:rPr>
                <w:sz w:val="20"/>
                <w:szCs w:val="20"/>
                <w:lang w:val="es-US"/>
              </w:rPr>
              <w:t xml:space="preserve">Nacional de </w:t>
            </w:r>
            <w:proofErr w:type="spellStart"/>
            <w:r w:rsidRPr="009A27ED">
              <w:rPr>
                <w:sz w:val="20"/>
                <w:szCs w:val="20"/>
                <w:lang w:val="es-US"/>
              </w:rPr>
              <w:t>Cacaocultores</w:t>
            </w:r>
            <w:proofErr w:type="spellEnd"/>
            <w:r w:rsidRPr="009A27ED">
              <w:rPr>
                <w:sz w:val="20"/>
                <w:szCs w:val="20"/>
                <w:lang w:val="es-US"/>
              </w:rPr>
              <w:t xml:space="preserve"> </w:t>
            </w:r>
            <w:proofErr w:type="gramStart"/>
            <w:r w:rsidRPr="009A27ED">
              <w:rPr>
                <w:sz w:val="20"/>
                <w:szCs w:val="20"/>
                <w:lang w:val="es-US"/>
              </w:rPr>
              <w:t>Dominicanos</w:t>
            </w:r>
            <w:proofErr w:type="gramEnd"/>
            <w:r w:rsidRPr="009A27ED">
              <w:rPr>
                <w:sz w:val="20"/>
                <w:szCs w:val="20"/>
                <w:lang w:val="es-US"/>
              </w:rPr>
              <w:t xml:space="preserve"> (CONACADO) </w:t>
            </w:r>
          </w:p>
          <w:p w14:paraId="1B22CD98" w14:textId="537BE85D" w:rsidR="008D77B0" w:rsidRPr="009A27ED" w:rsidRDefault="008D77B0" w:rsidP="00C56004">
            <w:pPr>
              <w:spacing w:after="0"/>
              <w:jc w:val="left"/>
              <w:rPr>
                <w:sz w:val="20"/>
                <w:szCs w:val="20"/>
                <w:lang w:val="es-US"/>
              </w:rPr>
            </w:pPr>
            <w:r w:rsidRPr="009A27ED">
              <w:rPr>
                <w:sz w:val="20"/>
                <w:szCs w:val="20"/>
                <w:lang w:val="es-US"/>
              </w:rPr>
              <w:t>Asociaciones de ganaderos</w:t>
            </w:r>
          </w:p>
        </w:tc>
      </w:tr>
      <w:tr w:rsidR="00E21872" w:rsidRPr="009A27ED" w14:paraId="3A36788C" w14:textId="77777777" w:rsidTr="00C97D96">
        <w:trPr>
          <w:trHeight w:val="1783"/>
        </w:trPr>
        <w:tc>
          <w:tcPr>
            <w:tcW w:w="1255" w:type="dxa"/>
            <w:vAlign w:val="center"/>
          </w:tcPr>
          <w:p w14:paraId="3261D0D5" w14:textId="77777777" w:rsidR="00E21872" w:rsidRPr="009A27ED" w:rsidRDefault="00E21872" w:rsidP="00C56004">
            <w:pPr>
              <w:spacing w:after="0"/>
              <w:jc w:val="left"/>
              <w:rPr>
                <w:b/>
                <w:bCs/>
                <w:iCs/>
                <w:sz w:val="20"/>
                <w:szCs w:val="20"/>
              </w:rPr>
            </w:pPr>
            <w:r w:rsidRPr="009A27ED">
              <w:rPr>
                <w:b/>
                <w:bCs/>
                <w:color w:val="000000"/>
                <w:sz w:val="20"/>
                <w:szCs w:val="20"/>
              </w:rPr>
              <w:t>CIBAO NOROESTE</w:t>
            </w:r>
          </w:p>
        </w:tc>
        <w:tc>
          <w:tcPr>
            <w:tcW w:w="1800" w:type="dxa"/>
            <w:vAlign w:val="center"/>
          </w:tcPr>
          <w:p w14:paraId="6D953D3D" w14:textId="77777777" w:rsidR="00E21872" w:rsidRPr="009A27ED" w:rsidRDefault="00E21872"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 xml:space="preserve">Ministerio de Medio Ambiente </w:t>
            </w:r>
          </w:p>
          <w:p w14:paraId="115B4067" w14:textId="77777777" w:rsidR="00E21872" w:rsidRPr="009A27ED" w:rsidRDefault="00E21872"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 xml:space="preserve">Ministerio Agricultura  </w:t>
            </w:r>
          </w:p>
          <w:p w14:paraId="11B9C9E0" w14:textId="77777777" w:rsidR="00E21872" w:rsidRPr="009A27ED" w:rsidRDefault="00E21872"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Dirección General de Desarrollo Fronterizo (DGDF), Defensa Civil</w:t>
            </w:r>
          </w:p>
          <w:p w14:paraId="74C270FA" w14:textId="5E826392" w:rsidR="00A660DC" w:rsidRPr="009A27ED" w:rsidRDefault="00A660DC"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INDOCAFE</w:t>
            </w:r>
          </w:p>
        </w:tc>
        <w:tc>
          <w:tcPr>
            <w:tcW w:w="1800" w:type="dxa"/>
            <w:vAlign w:val="center"/>
          </w:tcPr>
          <w:p w14:paraId="6275248C" w14:textId="77777777" w:rsidR="00E21872" w:rsidRPr="009A27ED" w:rsidRDefault="00E21872"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JAD Cámara Forestal Dominicana, JAD, Asociaciones de Ganaderos</w:t>
            </w:r>
          </w:p>
          <w:p w14:paraId="43080745" w14:textId="77777777" w:rsidR="00E21872" w:rsidRPr="009A27ED" w:rsidRDefault="00E21872" w:rsidP="00C56004">
            <w:pPr>
              <w:spacing w:after="0"/>
              <w:jc w:val="left"/>
              <w:rPr>
                <w:sz w:val="20"/>
                <w:szCs w:val="20"/>
                <w:lang w:val="es-US"/>
              </w:rPr>
            </w:pPr>
          </w:p>
        </w:tc>
        <w:tc>
          <w:tcPr>
            <w:tcW w:w="1440" w:type="dxa"/>
            <w:vAlign w:val="center"/>
          </w:tcPr>
          <w:p w14:paraId="260BB7F0" w14:textId="77777777" w:rsidR="00E21872" w:rsidRPr="009A27ED" w:rsidRDefault="00E21872"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Sociedad Ecológica de Dajabón,</w:t>
            </w:r>
          </w:p>
          <w:p w14:paraId="2A9C2BCF" w14:textId="77777777" w:rsidR="00E21872" w:rsidRPr="009A27ED" w:rsidRDefault="00E21872" w:rsidP="00C56004">
            <w:pPr>
              <w:pStyle w:val="textbox"/>
              <w:shd w:val="clear" w:color="auto" w:fill="FFFFFF"/>
              <w:spacing w:before="0" w:beforeAutospacing="0" w:after="0" w:afterAutospacing="0"/>
              <w:jc w:val="left"/>
              <w:rPr>
                <w:rFonts w:cstheme="minorHAnsi"/>
                <w:sz w:val="20"/>
                <w:szCs w:val="20"/>
                <w:lang w:val="es-ES"/>
              </w:rPr>
            </w:pPr>
            <w:r w:rsidRPr="009A27ED">
              <w:rPr>
                <w:rFonts w:cstheme="minorHAnsi"/>
                <w:sz w:val="20"/>
                <w:szCs w:val="20"/>
                <w:lang w:val="es-US"/>
              </w:rPr>
              <w:t xml:space="preserve"> Asociación de Desarrollo Económico Territorial de Dajabón (ADETDA)</w:t>
            </w:r>
          </w:p>
        </w:tc>
        <w:tc>
          <w:tcPr>
            <w:tcW w:w="1530" w:type="dxa"/>
            <w:vAlign w:val="center"/>
          </w:tcPr>
          <w:p w14:paraId="0F2F2203" w14:textId="77777777" w:rsidR="00E21872" w:rsidRPr="009A27ED" w:rsidRDefault="00E21872" w:rsidP="00C56004">
            <w:pPr>
              <w:spacing w:after="0"/>
              <w:jc w:val="left"/>
              <w:rPr>
                <w:sz w:val="20"/>
                <w:szCs w:val="20"/>
                <w:lang w:val="es-US"/>
              </w:rPr>
            </w:pPr>
            <w:r w:rsidRPr="009A27ED">
              <w:rPr>
                <w:sz w:val="20"/>
                <w:szCs w:val="20"/>
                <w:lang w:val="es-US"/>
              </w:rPr>
              <w:t>Loyola</w:t>
            </w:r>
          </w:p>
          <w:p w14:paraId="444971D3" w14:textId="64EE26F3" w:rsidR="008D77B0" w:rsidRPr="009A27ED" w:rsidRDefault="008D77B0" w:rsidP="00C56004">
            <w:pPr>
              <w:spacing w:after="0"/>
              <w:jc w:val="left"/>
              <w:rPr>
                <w:sz w:val="20"/>
                <w:szCs w:val="20"/>
                <w:lang w:val="es-US"/>
              </w:rPr>
            </w:pPr>
            <w:r w:rsidRPr="009A27ED">
              <w:rPr>
                <w:sz w:val="20"/>
                <w:szCs w:val="20"/>
                <w:lang w:val="es-US"/>
              </w:rPr>
              <w:t>UASD</w:t>
            </w:r>
          </w:p>
        </w:tc>
        <w:tc>
          <w:tcPr>
            <w:tcW w:w="2880" w:type="dxa"/>
          </w:tcPr>
          <w:p w14:paraId="72DBF689" w14:textId="5E2FBBEF" w:rsidR="00A660DC" w:rsidRPr="009A27ED" w:rsidRDefault="00E21872"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 xml:space="preserve">Asociaciones de </w:t>
            </w:r>
            <w:r w:rsidR="0079337A" w:rsidRPr="009A27ED">
              <w:rPr>
                <w:rFonts w:cstheme="minorHAnsi"/>
                <w:sz w:val="20"/>
                <w:szCs w:val="20"/>
                <w:lang w:val="es-US"/>
              </w:rPr>
              <w:t>Apicultores, Asociación</w:t>
            </w:r>
            <w:r w:rsidR="006C21A7" w:rsidRPr="009A27ED">
              <w:rPr>
                <w:rFonts w:cstheme="minorHAnsi"/>
                <w:sz w:val="20"/>
                <w:szCs w:val="20"/>
                <w:lang w:val="es-US"/>
              </w:rPr>
              <w:t xml:space="preserve"> para el Desarrollo Forestal Sostenible de Restauración, Inc. (ASODEFOREST)</w:t>
            </w:r>
          </w:p>
          <w:p w14:paraId="08C31302" w14:textId="6B1BFF27" w:rsidR="00A660DC" w:rsidRPr="009A27ED" w:rsidRDefault="00A660DC"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Federación de Ganaderos del Noroeste (FEDEGANO)</w:t>
            </w:r>
          </w:p>
          <w:p w14:paraId="2C1864F8" w14:textId="02731413" w:rsidR="00A660DC" w:rsidRPr="009A27ED" w:rsidRDefault="00A660DC"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 xml:space="preserve">Varias asociaciones de caficultores de Sabaneta, Villa Los </w:t>
            </w:r>
            <w:proofErr w:type="spellStart"/>
            <w:r w:rsidRPr="009A27ED">
              <w:rPr>
                <w:rFonts w:cstheme="minorHAnsi"/>
                <w:sz w:val="20"/>
                <w:szCs w:val="20"/>
                <w:lang w:val="es-US"/>
              </w:rPr>
              <w:t>Almacigos</w:t>
            </w:r>
            <w:proofErr w:type="spellEnd"/>
            <w:r w:rsidRPr="009A27ED">
              <w:rPr>
                <w:rFonts w:cstheme="minorHAnsi"/>
                <w:sz w:val="20"/>
                <w:szCs w:val="20"/>
                <w:lang w:val="es-US"/>
              </w:rPr>
              <w:t xml:space="preserve">, Loma de Cabrera </w:t>
            </w:r>
            <w:proofErr w:type="spellStart"/>
            <w:r w:rsidRPr="009A27ED">
              <w:rPr>
                <w:rFonts w:cstheme="minorHAnsi"/>
                <w:sz w:val="20"/>
                <w:szCs w:val="20"/>
                <w:lang w:val="es-US"/>
              </w:rPr>
              <w:t>etc</w:t>
            </w:r>
            <w:proofErr w:type="spellEnd"/>
          </w:p>
          <w:p w14:paraId="50A08C62" w14:textId="3A347040" w:rsidR="00E21872" w:rsidRPr="009A27ED" w:rsidRDefault="006C21A7"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w:t>
            </w:r>
          </w:p>
        </w:tc>
      </w:tr>
      <w:tr w:rsidR="00E21872" w:rsidRPr="009A27ED" w14:paraId="70F08C3F" w14:textId="77777777" w:rsidTr="00C97D96">
        <w:tc>
          <w:tcPr>
            <w:tcW w:w="1255" w:type="dxa"/>
            <w:vAlign w:val="center"/>
          </w:tcPr>
          <w:p w14:paraId="56BB70BE" w14:textId="77777777" w:rsidR="00E21872" w:rsidRPr="009A27ED" w:rsidRDefault="00E21872" w:rsidP="00C56004">
            <w:pPr>
              <w:spacing w:after="0"/>
              <w:jc w:val="left"/>
              <w:rPr>
                <w:b/>
                <w:bCs/>
                <w:iCs/>
                <w:sz w:val="20"/>
                <w:szCs w:val="20"/>
              </w:rPr>
            </w:pPr>
            <w:r w:rsidRPr="009A27ED">
              <w:rPr>
                <w:b/>
                <w:bCs/>
                <w:color w:val="000000"/>
                <w:sz w:val="20"/>
                <w:szCs w:val="20"/>
              </w:rPr>
              <w:t>CIBAO NORTE</w:t>
            </w:r>
          </w:p>
        </w:tc>
        <w:tc>
          <w:tcPr>
            <w:tcW w:w="1800" w:type="dxa"/>
            <w:vAlign w:val="center"/>
          </w:tcPr>
          <w:p w14:paraId="6FE119B7" w14:textId="77777777" w:rsidR="00E21872" w:rsidRPr="009A27ED" w:rsidRDefault="00E21872" w:rsidP="00C56004">
            <w:pPr>
              <w:spacing w:after="0"/>
              <w:jc w:val="left"/>
              <w:rPr>
                <w:sz w:val="20"/>
                <w:szCs w:val="20"/>
                <w:lang w:val="es-US"/>
              </w:rPr>
            </w:pPr>
            <w:r w:rsidRPr="009A27ED">
              <w:rPr>
                <w:sz w:val="20"/>
                <w:szCs w:val="20"/>
                <w:lang w:val="es-US"/>
              </w:rPr>
              <w:t>Ministerio de Medio Ambiente, Ministerio de Agricultura, Indo café</w:t>
            </w:r>
          </w:p>
        </w:tc>
        <w:tc>
          <w:tcPr>
            <w:tcW w:w="1800" w:type="dxa"/>
            <w:vAlign w:val="center"/>
          </w:tcPr>
          <w:p w14:paraId="29A46284" w14:textId="77777777" w:rsidR="00E21872" w:rsidRPr="009A27ED" w:rsidRDefault="00E21872"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 xml:space="preserve">Cámara Forestal </w:t>
            </w:r>
          </w:p>
          <w:p w14:paraId="22641E1F" w14:textId="77777777" w:rsidR="00E21872" w:rsidRPr="009A27ED" w:rsidRDefault="00E21872"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 xml:space="preserve">Dominicana, Asociación para el Desarrollo de la Presa </w:t>
            </w:r>
            <w:proofErr w:type="spellStart"/>
            <w:r w:rsidRPr="009A27ED">
              <w:rPr>
                <w:rFonts w:cstheme="minorHAnsi"/>
                <w:sz w:val="20"/>
                <w:szCs w:val="20"/>
                <w:lang w:val="es-US"/>
              </w:rPr>
              <w:t>Bao</w:t>
            </w:r>
            <w:proofErr w:type="spellEnd"/>
            <w:r w:rsidRPr="009A27ED">
              <w:rPr>
                <w:rFonts w:cstheme="minorHAnsi"/>
                <w:sz w:val="20"/>
                <w:szCs w:val="20"/>
                <w:lang w:val="es-US"/>
              </w:rPr>
              <w:t xml:space="preserve"> (JASPADEBAO)</w:t>
            </w:r>
          </w:p>
          <w:p w14:paraId="75E45FA1" w14:textId="77777777" w:rsidR="00E21872" w:rsidRPr="009A27ED" w:rsidRDefault="00E21872"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 xml:space="preserve">JAD, </w:t>
            </w:r>
          </w:p>
        </w:tc>
        <w:tc>
          <w:tcPr>
            <w:tcW w:w="1440" w:type="dxa"/>
            <w:vAlign w:val="center"/>
          </w:tcPr>
          <w:p w14:paraId="5535918F" w14:textId="77777777" w:rsidR="00E21872" w:rsidRPr="009A27ED" w:rsidRDefault="00E21872"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 xml:space="preserve">Corporación para el Manejo y Conservación de los Recursos Naturales de la Cuenca Del Rio </w:t>
            </w:r>
            <w:proofErr w:type="spellStart"/>
            <w:r w:rsidRPr="009A27ED">
              <w:rPr>
                <w:rFonts w:cstheme="minorHAnsi"/>
                <w:sz w:val="20"/>
                <w:szCs w:val="20"/>
                <w:lang w:val="es-US"/>
              </w:rPr>
              <w:t>Bao</w:t>
            </w:r>
            <w:proofErr w:type="spellEnd"/>
            <w:r w:rsidRPr="009A27ED">
              <w:rPr>
                <w:rFonts w:cstheme="minorHAnsi"/>
                <w:sz w:val="20"/>
                <w:szCs w:val="20"/>
                <w:lang w:val="es-US"/>
              </w:rPr>
              <w:t xml:space="preserve"> (CORPO</w:t>
            </w:r>
          </w:p>
          <w:p w14:paraId="031DEE59" w14:textId="77777777" w:rsidR="00E21872" w:rsidRPr="009A27ED" w:rsidRDefault="00E21872" w:rsidP="00C56004">
            <w:pPr>
              <w:spacing w:after="0"/>
              <w:jc w:val="left"/>
              <w:rPr>
                <w:sz w:val="20"/>
                <w:szCs w:val="20"/>
                <w:lang w:val="es-US"/>
              </w:rPr>
            </w:pPr>
            <w:r w:rsidRPr="009A27ED">
              <w:rPr>
                <w:sz w:val="20"/>
                <w:szCs w:val="20"/>
                <w:lang w:val="es-US"/>
              </w:rPr>
              <w:t>BAO), Plan Sierra</w:t>
            </w:r>
          </w:p>
        </w:tc>
        <w:tc>
          <w:tcPr>
            <w:tcW w:w="1530" w:type="dxa"/>
            <w:vAlign w:val="center"/>
          </w:tcPr>
          <w:p w14:paraId="5E45ACCD" w14:textId="77777777" w:rsidR="00E21872" w:rsidRPr="009A27ED" w:rsidRDefault="004E0B73" w:rsidP="00C56004">
            <w:pPr>
              <w:spacing w:after="0"/>
              <w:jc w:val="left"/>
              <w:rPr>
                <w:sz w:val="20"/>
                <w:szCs w:val="20"/>
                <w:lang w:val="es-US"/>
              </w:rPr>
            </w:pPr>
            <w:r w:rsidRPr="009A27ED">
              <w:rPr>
                <w:sz w:val="20"/>
                <w:szCs w:val="20"/>
                <w:lang w:val="es-US"/>
              </w:rPr>
              <w:t>UASD</w:t>
            </w:r>
          </w:p>
          <w:p w14:paraId="062B53DF" w14:textId="77777777" w:rsidR="004E0B73" w:rsidRPr="009A27ED" w:rsidRDefault="004E0B73" w:rsidP="00C56004">
            <w:pPr>
              <w:spacing w:after="0"/>
              <w:jc w:val="left"/>
              <w:rPr>
                <w:sz w:val="20"/>
                <w:szCs w:val="20"/>
                <w:lang w:val="es-US"/>
              </w:rPr>
            </w:pPr>
            <w:r w:rsidRPr="009A27ED">
              <w:rPr>
                <w:sz w:val="20"/>
                <w:szCs w:val="20"/>
                <w:lang w:val="es-US"/>
              </w:rPr>
              <w:t>EL ISA</w:t>
            </w:r>
          </w:p>
          <w:p w14:paraId="054964CA" w14:textId="068CBDF8" w:rsidR="004E0B73" w:rsidRPr="009A27ED" w:rsidRDefault="004E0B73" w:rsidP="00C56004">
            <w:pPr>
              <w:spacing w:after="0"/>
              <w:jc w:val="left"/>
              <w:rPr>
                <w:sz w:val="20"/>
                <w:szCs w:val="20"/>
                <w:lang w:val="es-US"/>
              </w:rPr>
            </w:pPr>
            <w:r w:rsidRPr="009A27ED">
              <w:rPr>
                <w:sz w:val="20"/>
                <w:szCs w:val="20"/>
                <w:lang w:val="es-US"/>
              </w:rPr>
              <w:t xml:space="preserve">Universidad Nacional </w:t>
            </w:r>
            <w:r w:rsidR="0079337A" w:rsidRPr="009A27ED">
              <w:rPr>
                <w:sz w:val="20"/>
                <w:szCs w:val="20"/>
                <w:lang w:val="es-US"/>
              </w:rPr>
              <w:t>Evangélica</w:t>
            </w:r>
          </w:p>
          <w:p w14:paraId="2E4D862E" w14:textId="63DADD86" w:rsidR="004E0B73" w:rsidRPr="009A27ED" w:rsidRDefault="004E0B73" w:rsidP="00C56004">
            <w:pPr>
              <w:spacing w:after="0"/>
              <w:jc w:val="left"/>
              <w:rPr>
                <w:sz w:val="20"/>
                <w:szCs w:val="20"/>
                <w:lang w:val="es-US"/>
              </w:rPr>
            </w:pPr>
            <w:r w:rsidRPr="009A27ED">
              <w:rPr>
                <w:sz w:val="20"/>
                <w:szCs w:val="20"/>
                <w:lang w:val="es-US"/>
              </w:rPr>
              <w:t>PUCAMAIMA</w:t>
            </w:r>
          </w:p>
        </w:tc>
        <w:tc>
          <w:tcPr>
            <w:tcW w:w="2880" w:type="dxa"/>
          </w:tcPr>
          <w:p w14:paraId="6F214EE1" w14:textId="471CFD61" w:rsidR="00E21872" w:rsidRPr="009A27ED" w:rsidRDefault="00E21872"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Clúster de Casabe, Asociación de Caficultores.</w:t>
            </w:r>
          </w:p>
          <w:p w14:paraId="3E315359" w14:textId="67942BEC" w:rsidR="004E0B73" w:rsidRPr="009A27ED" w:rsidRDefault="004E0B73"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FEDEGANORTE</w:t>
            </w:r>
          </w:p>
          <w:p w14:paraId="3A65F166" w14:textId="486B3BD8" w:rsidR="004E0B73" w:rsidRPr="009A27ED" w:rsidRDefault="004E0B73"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Asociación de Caficultores de Villa Trina</w:t>
            </w:r>
          </w:p>
          <w:p w14:paraId="6BDBF91C" w14:textId="77777777" w:rsidR="00E21872" w:rsidRPr="009A27ED" w:rsidRDefault="00E21872" w:rsidP="00C56004">
            <w:pPr>
              <w:spacing w:after="0"/>
              <w:rPr>
                <w:sz w:val="20"/>
                <w:szCs w:val="20"/>
                <w:lang w:val="es-US"/>
              </w:rPr>
            </w:pPr>
          </w:p>
        </w:tc>
      </w:tr>
      <w:tr w:rsidR="00E21872" w:rsidRPr="009A27ED" w14:paraId="6D07C6EF" w14:textId="77777777" w:rsidTr="00C97D96">
        <w:tc>
          <w:tcPr>
            <w:tcW w:w="1255" w:type="dxa"/>
            <w:vAlign w:val="center"/>
          </w:tcPr>
          <w:p w14:paraId="57414E70" w14:textId="77777777" w:rsidR="00E21872" w:rsidRPr="009A27ED" w:rsidRDefault="00E21872" w:rsidP="00C56004">
            <w:pPr>
              <w:spacing w:after="0"/>
              <w:jc w:val="left"/>
              <w:rPr>
                <w:b/>
                <w:sz w:val="20"/>
                <w:szCs w:val="20"/>
                <w:lang w:val="es-US"/>
              </w:rPr>
            </w:pPr>
            <w:r w:rsidRPr="009A27ED">
              <w:rPr>
                <w:b/>
                <w:sz w:val="20"/>
                <w:szCs w:val="20"/>
                <w:lang w:val="es-US"/>
              </w:rPr>
              <w:t>CIBAO SUR</w:t>
            </w:r>
          </w:p>
        </w:tc>
        <w:tc>
          <w:tcPr>
            <w:tcW w:w="1800" w:type="dxa"/>
            <w:vAlign w:val="center"/>
          </w:tcPr>
          <w:p w14:paraId="7F6AFAC5" w14:textId="10C4A378" w:rsidR="00E21872" w:rsidRPr="009A27ED" w:rsidRDefault="00E21872"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Ministerio de Medio Ambiente, Ministerio de Agricultura</w:t>
            </w:r>
            <w:r w:rsidR="008D77B0" w:rsidRPr="009A27ED">
              <w:rPr>
                <w:rFonts w:cstheme="minorHAnsi"/>
                <w:sz w:val="20"/>
                <w:szCs w:val="20"/>
                <w:lang w:val="es-US"/>
              </w:rPr>
              <w:t>, INDOCAFE</w:t>
            </w:r>
            <w:r w:rsidRPr="009A27ED">
              <w:rPr>
                <w:rFonts w:cstheme="minorHAnsi"/>
                <w:sz w:val="20"/>
                <w:szCs w:val="20"/>
                <w:lang w:val="es-US"/>
              </w:rPr>
              <w:t>, Instituto Nacional de Agua Potable y Alcantarillado (INAPA)</w:t>
            </w:r>
          </w:p>
        </w:tc>
        <w:tc>
          <w:tcPr>
            <w:tcW w:w="1800" w:type="dxa"/>
            <w:vAlign w:val="center"/>
          </w:tcPr>
          <w:p w14:paraId="462360D6" w14:textId="77777777" w:rsidR="00E21872" w:rsidRPr="009A27ED" w:rsidRDefault="00E21872" w:rsidP="00C56004">
            <w:pPr>
              <w:pStyle w:val="textbox"/>
              <w:shd w:val="clear" w:color="auto" w:fill="FFFFFF"/>
              <w:spacing w:before="0" w:beforeAutospacing="0" w:after="0" w:afterAutospacing="0"/>
              <w:jc w:val="left"/>
              <w:rPr>
                <w:rFonts w:cstheme="minorHAnsi"/>
                <w:sz w:val="20"/>
                <w:szCs w:val="20"/>
                <w:lang w:val="es-US"/>
              </w:rPr>
            </w:pPr>
          </w:p>
        </w:tc>
        <w:tc>
          <w:tcPr>
            <w:tcW w:w="1440" w:type="dxa"/>
            <w:vAlign w:val="center"/>
          </w:tcPr>
          <w:p w14:paraId="5646C297" w14:textId="77777777" w:rsidR="00E21872" w:rsidRPr="009A27ED" w:rsidRDefault="00E21872"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Sociedad Ecológica de Salcedo (SOESA), Fundación Campos y Fundación Río Jaya</w:t>
            </w:r>
          </w:p>
          <w:p w14:paraId="73A3F451" w14:textId="10BAB6AA" w:rsidR="00E21872" w:rsidRPr="009A27ED" w:rsidRDefault="000E7488"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Plan Cordillera</w:t>
            </w:r>
          </w:p>
        </w:tc>
        <w:tc>
          <w:tcPr>
            <w:tcW w:w="1530" w:type="dxa"/>
            <w:vAlign w:val="center"/>
          </w:tcPr>
          <w:p w14:paraId="532193AC" w14:textId="77777777" w:rsidR="00E21872" w:rsidRPr="009A27ED" w:rsidRDefault="00792306"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UTECO</w:t>
            </w:r>
          </w:p>
          <w:p w14:paraId="73E0C2FB" w14:textId="1968CCA2" w:rsidR="00792306" w:rsidRPr="009A27ED" w:rsidRDefault="00792306"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UASD</w:t>
            </w:r>
          </w:p>
        </w:tc>
        <w:tc>
          <w:tcPr>
            <w:tcW w:w="2880" w:type="dxa"/>
          </w:tcPr>
          <w:p w14:paraId="10A50542" w14:textId="647F1906" w:rsidR="00E21872" w:rsidRPr="009A27ED" w:rsidRDefault="00E21872"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 xml:space="preserve">Asociaciones de Guías </w:t>
            </w:r>
            <w:proofErr w:type="gramStart"/>
            <w:r w:rsidRPr="009A27ED">
              <w:rPr>
                <w:rFonts w:cstheme="minorHAnsi"/>
                <w:sz w:val="20"/>
                <w:szCs w:val="20"/>
                <w:lang w:val="es-US"/>
              </w:rPr>
              <w:t>Eco turísticos</w:t>
            </w:r>
            <w:proofErr w:type="gramEnd"/>
          </w:p>
          <w:p w14:paraId="7AEFE187" w14:textId="7178B2E8" w:rsidR="00792306" w:rsidRPr="009A27ED" w:rsidRDefault="00792306"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Federación d</w:t>
            </w:r>
            <w:r w:rsidR="004416EF" w:rsidRPr="009A27ED">
              <w:rPr>
                <w:rFonts w:cstheme="minorHAnsi"/>
                <w:sz w:val="20"/>
                <w:szCs w:val="20"/>
                <w:lang w:val="es-US"/>
              </w:rPr>
              <w:t xml:space="preserve">e ganadero del Cibao </w:t>
            </w:r>
          </w:p>
          <w:p w14:paraId="3E7465A4" w14:textId="17F28CED" w:rsidR="004416EF" w:rsidRPr="009A27ED" w:rsidRDefault="004416EF"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CONACADO</w:t>
            </w:r>
          </w:p>
          <w:p w14:paraId="4F151585" w14:textId="4395701F" w:rsidR="004416EF" w:rsidRPr="009A27ED" w:rsidRDefault="004416EF"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 xml:space="preserve">INDOCAFE </w:t>
            </w:r>
          </w:p>
          <w:p w14:paraId="56FB3518" w14:textId="681D5ABC" w:rsidR="000E7488" w:rsidRPr="009A27ED" w:rsidRDefault="000E7488" w:rsidP="00C56004">
            <w:pPr>
              <w:pStyle w:val="textbox"/>
              <w:shd w:val="clear" w:color="auto" w:fill="FFFFFF"/>
              <w:spacing w:before="0" w:beforeAutospacing="0" w:after="0" w:afterAutospacing="0"/>
              <w:jc w:val="left"/>
              <w:rPr>
                <w:rFonts w:cstheme="minorHAnsi"/>
                <w:sz w:val="20"/>
                <w:szCs w:val="20"/>
                <w:lang w:val="es-US"/>
              </w:rPr>
            </w:pPr>
            <w:proofErr w:type="spellStart"/>
            <w:proofErr w:type="gramStart"/>
            <w:r w:rsidRPr="009A27ED">
              <w:rPr>
                <w:rFonts w:cstheme="minorHAnsi"/>
                <w:sz w:val="20"/>
                <w:szCs w:val="20"/>
                <w:lang w:val="es-US"/>
              </w:rPr>
              <w:t>Cluster</w:t>
            </w:r>
            <w:proofErr w:type="spellEnd"/>
            <w:proofErr w:type="gramEnd"/>
            <w:r w:rsidRPr="009A27ED">
              <w:rPr>
                <w:rFonts w:cstheme="minorHAnsi"/>
                <w:sz w:val="20"/>
                <w:szCs w:val="20"/>
                <w:lang w:val="es-US"/>
              </w:rPr>
              <w:t xml:space="preserve"> de Café de Jarabacoa</w:t>
            </w:r>
          </w:p>
          <w:p w14:paraId="37ABB777" w14:textId="77777777" w:rsidR="00792306" w:rsidRPr="009A27ED" w:rsidRDefault="00792306" w:rsidP="00C56004">
            <w:pPr>
              <w:pStyle w:val="textbox"/>
              <w:shd w:val="clear" w:color="auto" w:fill="FFFFFF"/>
              <w:spacing w:before="0" w:beforeAutospacing="0" w:after="0" w:afterAutospacing="0"/>
              <w:jc w:val="left"/>
              <w:rPr>
                <w:rFonts w:cstheme="minorHAnsi"/>
                <w:sz w:val="20"/>
                <w:szCs w:val="20"/>
                <w:lang w:val="es-US"/>
              </w:rPr>
            </w:pPr>
          </w:p>
          <w:p w14:paraId="25C76203" w14:textId="77777777" w:rsidR="00E21872" w:rsidRPr="009A27ED" w:rsidRDefault="00E21872" w:rsidP="00C56004">
            <w:pPr>
              <w:pStyle w:val="textbox"/>
              <w:shd w:val="clear" w:color="auto" w:fill="FFFFFF"/>
              <w:spacing w:before="0" w:beforeAutospacing="0" w:after="0" w:afterAutospacing="0"/>
              <w:rPr>
                <w:rFonts w:cstheme="minorHAnsi"/>
                <w:sz w:val="20"/>
                <w:szCs w:val="20"/>
                <w:lang w:val="es-US"/>
              </w:rPr>
            </w:pPr>
          </w:p>
        </w:tc>
      </w:tr>
      <w:tr w:rsidR="00E21872" w:rsidRPr="009A27ED" w14:paraId="661A65AB" w14:textId="77777777" w:rsidTr="00C97D96">
        <w:tc>
          <w:tcPr>
            <w:tcW w:w="1255" w:type="dxa"/>
            <w:vAlign w:val="center"/>
          </w:tcPr>
          <w:p w14:paraId="5E67A15A" w14:textId="77777777" w:rsidR="00E21872" w:rsidRPr="009A27ED" w:rsidRDefault="00E21872" w:rsidP="00C56004">
            <w:pPr>
              <w:spacing w:after="0"/>
              <w:jc w:val="left"/>
              <w:rPr>
                <w:b/>
                <w:sz w:val="20"/>
                <w:szCs w:val="20"/>
                <w:lang w:val="es-US"/>
              </w:rPr>
            </w:pPr>
            <w:r w:rsidRPr="009A27ED">
              <w:rPr>
                <w:b/>
                <w:sz w:val="20"/>
                <w:szCs w:val="20"/>
                <w:lang w:val="es-US"/>
              </w:rPr>
              <w:t>EL VALLE</w:t>
            </w:r>
          </w:p>
        </w:tc>
        <w:tc>
          <w:tcPr>
            <w:tcW w:w="1800" w:type="dxa"/>
            <w:vAlign w:val="center"/>
          </w:tcPr>
          <w:p w14:paraId="48A5F481" w14:textId="77777777" w:rsidR="00E21872" w:rsidRPr="009A27ED" w:rsidRDefault="00E21872" w:rsidP="00C56004">
            <w:pPr>
              <w:spacing w:after="0"/>
              <w:jc w:val="left"/>
              <w:rPr>
                <w:sz w:val="20"/>
                <w:szCs w:val="20"/>
                <w:lang w:val="es-US"/>
              </w:rPr>
            </w:pPr>
            <w:r w:rsidRPr="009A27ED">
              <w:rPr>
                <w:sz w:val="20"/>
                <w:szCs w:val="20"/>
                <w:lang w:val="es-US"/>
              </w:rPr>
              <w:t>Ministerio de Medio Ambiente y Recursos Naturales, Ministerio de Agricultura, Indo café, Dirección General de Desarrollo Fronterizo, Instituto Nacional de Recursos Hidráulicos (INDRHI)</w:t>
            </w:r>
          </w:p>
        </w:tc>
        <w:tc>
          <w:tcPr>
            <w:tcW w:w="1800" w:type="dxa"/>
            <w:vAlign w:val="center"/>
          </w:tcPr>
          <w:p w14:paraId="21A1C78A" w14:textId="4001078B" w:rsidR="00E21872" w:rsidRPr="009A27ED" w:rsidRDefault="003432A6"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 xml:space="preserve">Fundación </w:t>
            </w:r>
            <w:r w:rsidR="00A60CD8" w:rsidRPr="009A27ED">
              <w:rPr>
                <w:rFonts w:cstheme="minorHAnsi"/>
                <w:sz w:val="20"/>
                <w:szCs w:val="20"/>
                <w:lang w:val="es-US"/>
              </w:rPr>
              <w:t>Sur Futuro</w:t>
            </w:r>
          </w:p>
        </w:tc>
        <w:tc>
          <w:tcPr>
            <w:tcW w:w="1440" w:type="dxa"/>
            <w:vAlign w:val="center"/>
          </w:tcPr>
          <w:p w14:paraId="5670C855" w14:textId="77777777" w:rsidR="00E21872" w:rsidRPr="009A27ED" w:rsidRDefault="00E21872" w:rsidP="00C56004">
            <w:pPr>
              <w:pStyle w:val="textbox"/>
              <w:shd w:val="clear" w:color="auto" w:fill="FFFFFF"/>
              <w:spacing w:before="0" w:beforeAutospacing="0" w:after="0" w:afterAutospacing="0"/>
              <w:jc w:val="left"/>
              <w:rPr>
                <w:rFonts w:cstheme="minorHAnsi"/>
                <w:sz w:val="20"/>
                <w:szCs w:val="20"/>
                <w:lang w:val="es-US"/>
              </w:rPr>
            </w:pPr>
          </w:p>
        </w:tc>
        <w:tc>
          <w:tcPr>
            <w:tcW w:w="1530" w:type="dxa"/>
            <w:vAlign w:val="center"/>
          </w:tcPr>
          <w:p w14:paraId="1D4F066F" w14:textId="77777777" w:rsidR="00E21872" w:rsidRPr="009A27ED" w:rsidRDefault="000E7488"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UASD</w:t>
            </w:r>
          </w:p>
          <w:p w14:paraId="3FC23E7E" w14:textId="6C47E5FD" w:rsidR="000E7488" w:rsidRPr="009A27ED" w:rsidRDefault="000E7488" w:rsidP="00C56004">
            <w:pPr>
              <w:pStyle w:val="textbox"/>
              <w:shd w:val="clear" w:color="auto" w:fill="FFFFFF"/>
              <w:spacing w:before="0" w:beforeAutospacing="0" w:after="0" w:afterAutospacing="0"/>
              <w:jc w:val="left"/>
              <w:rPr>
                <w:rFonts w:cstheme="minorHAnsi"/>
                <w:sz w:val="20"/>
                <w:szCs w:val="20"/>
                <w:lang w:val="es-US"/>
              </w:rPr>
            </w:pPr>
          </w:p>
        </w:tc>
        <w:tc>
          <w:tcPr>
            <w:tcW w:w="2880" w:type="dxa"/>
          </w:tcPr>
          <w:p w14:paraId="2E2881A3" w14:textId="3080B0A1" w:rsidR="000E7488" w:rsidRPr="009A27ED" w:rsidRDefault="00E21872"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 xml:space="preserve">Federación de Caficultores y Agricultores para el Desarrollo de San Juan (FECADESJ), </w:t>
            </w:r>
          </w:p>
          <w:p w14:paraId="27B0F5B1" w14:textId="622742C0" w:rsidR="00E21872" w:rsidRPr="009A27ED" w:rsidRDefault="000E7488"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FEDERACIÓN DE GANADEROS DEL SUR</w:t>
            </w:r>
            <w:r w:rsidR="00E21872" w:rsidRPr="009A27ED">
              <w:rPr>
                <w:rFonts w:cstheme="minorHAnsi"/>
                <w:sz w:val="20"/>
                <w:szCs w:val="20"/>
                <w:lang w:val="es-US"/>
              </w:rPr>
              <w:t xml:space="preserve"> </w:t>
            </w:r>
            <w:r w:rsidR="003D344E" w:rsidRPr="009A27ED">
              <w:rPr>
                <w:rFonts w:cstheme="minorHAnsi"/>
                <w:sz w:val="20"/>
                <w:szCs w:val="20"/>
                <w:lang w:val="es-US"/>
              </w:rPr>
              <w:t>(FEDEGASUR)</w:t>
            </w:r>
          </w:p>
          <w:p w14:paraId="19E44AE8" w14:textId="57BD2F65" w:rsidR="000E7488" w:rsidRPr="009A27ED" w:rsidRDefault="000E7488"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Federación de Mujeres de</w:t>
            </w:r>
            <w:r w:rsidR="003432A6" w:rsidRPr="009A27ED">
              <w:rPr>
                <w:rFonts w:cstheme="minorHAnsi"/>
                <w:sz w:val="20"/>
                <w:szCs w:val="20"/>
                <w:lang w:val="es-US"/>
              </w:rPr>
              <w:t xml:space="preserve">l Llano </w:t>
            </w:r>
          </w:p>
        </w:tc>
      </w:tr>
      <w:tr w:rsidR="00E21872" w:rsidRPr="009A27ED" w14:paraId="6D8BAF09" w14:textId="77777777" w:rsidTr="00C97D96">
        <w:trPr>
          <w:trHeight w:val="1305"/>
        </w:trPr>
        <w:tc>
          <w:tcPr>
            <w:tcW w:w="1255" w:type="dxa"/>
            <w:vAlign w:val="center"/>
          </w:tcPr>
          <w:p w14:paraId="1DBB4497" w14:textId="77777777" w:rsidR="00E21872" w:rsidRPr="009A27ED" w:rsidRDefault="00E21872" w:rsidP="00C56004">
            <w:pPr>
              <w:spacing w:after="0"/>
              <w:jc w:val="left"/>
              <w:rPr>
                <w:b/>
                <w:sz w:val="20"/>
                <w:szCs w:val="20"/>
                <w:lang w:val="es-US"/>
              </w:rPr>
            </w:pPr>
            <w:r w:rsidRPr="009A27ED">
              <w:rPr>
                <w:b/>
                <w:sz w:val="20"/>
                <w:szCs w:val="20"/>
                <w:lang w:val="es-US"/>
              </w:rPr>
              <w:t>ENRIQUILLO</w:t>
            </w:r>
          </w:p>
        </w:tc>
        <w:tc>
          <w:tcPr>
            <w:tcW w:w="1800" w:type="dxa"/>
            <w:vAlign w:val="center"/>
          </w:tcPr>
          <w:p w14:paraId="344304D0" w14:textId="77777777" w:rsidR="00E21872" w:rsidRPr="009A27ED" w:rsidRDefault="00E21872" w:rsidP="00C56004">
            <w:pPr>
              <w:spacing w:after="0"/>
              <w:jc w:val="left"/>
              <w:rPr>
                <w:sz w:val="20"/>
                <w:szCs w:val="20"/>
                <w:lang w:val="es-US"/>
              </w:rPr>
            </w:pPr>
            <w:r w:rsidRPr="009A27ED">
              <w:rPr>
                <w:sz w:val="20"/>
                <w:szCs w:val="20"/>
                <w:lang w:val="es-US"/>
              </w:rPr>
              <w:t xml:space="preserve">Ministerio de Medio Ambiente, Ministerio de Agricultura, Indo café, Dirección General de </w:t>
            </w:r>
            <w:r w:rsidRPr="009A27ED">
              <w:rPr>
                <w:sz w:val="20"/>
                <w:szCs w:val="20"/>
                <w:lang w:val="es-US"/>
              </w:rPr>
              <w:lastRenderedPageBreak/>
              <w:t>Desarrollo Fronterizo</w:t>
            </w:r>
          </w:p>
        </w:tc>
        <w:tc>
          <w:tcPr>
            <w:tcW w:w="1800" w:type="dxa"/>
            <w:vAlign w:val="center"/>
          </w:tcPr>
          <w:p w14:paraId="0A1C5CA2" w14:textId="77777777" w:rsidR="00E21872" w:rsidRPr="009A27ED" w:rsidRDefault="00E21872"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lastRenderedPageBreak/>
              <w:t>Centro de Promoción Campesina LEMBA</w:t>
            </w:r>
          </w:p>
        </w:tc>
        <w:tc>
          <w:tcPr>
            <w:tcW w:w="1440" w:type="dxa"/>
            <w:vAlign w:val="center"/>
          </w:tcPr>
          <w:p w14:paraId="7D1A67BF" w14:textId="77777777" w:rsidR="00E21872" w:rsidRPr="009A27ED" w:rsidRDefault="00E21872"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Sociedad Ecológica de Pedernales y Barahona</w:t>
            </w:r>
          </w:p>
        </w:tc>
        <w:tc>
          <w:tcPr>
            <w:tcW w:w="1530" w:type="dxa"/>
            <w:vAlign w:val="center"/>
          </w:tcPr>
          <w:p w14:paraId="790B13BA" w14:textId="77777777" w:rsidR="00E21872" w:rsidRPr="009A27ED" w:rsidRDefault="00E21872" w:rsidP="00C56004">
            <w:pPr>
              <w:pStyle w:val="textbox"/>
              <w:shd w:val="clear" w:color="auto" w:fill="FFFFFF"/>
              <w:spacing w:before="0" w:beforeAutospacing="0" w:after="0" w:afterAutospacing="0"/>
              <w:jc w:val="left"/>
              <w:rPr>
                <w:rFonts w:cstheme="minorHAnsi"/>
                <w:sz w:val="20"/>
                <w:szCs w:val="20"/>
                <w:lang w:val="es-US"/>
              </w:rPr>
            </w:pPr>
          </w:p>
        </w:tc>
        <w:tc>
          <w:tcPr>
            <w:tcW w:w="2880" w:type="dxa"/>
          </w:tcPr>
          <w:p w14:paraId="53C05C43" w14:textId="77777777" w:rsidR="00E21872" w:rsidRPr="009A27ED" w:rsidRDefault="00E21872"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Federación de Productores de Bosque Seco (FEPROBOSUR)</w:t>
            </w:r>
          </w:p>
          <w:p w14:paraId="3900C4D3" w14:textId="149E46F9" w:rsidR="00A60CD8" w:rsidRPr="009A27ED" w:rsidRDefault="00A60CD8"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 xml:space="preserve">Asociaciones de Caficultores, Polo, </w:t>
            </w:r>
            <w:proofErr w:type="spellStart"/>
            <w:r w:rsidRPr="009A27ED">
              <w:rPr>
                <w:rFonts w:cstheme="minorHAnsi"/>
                <w:sz w:val="20"/>
                <w:szCs w:val="20"/>
                <w:lang w:val="es-US"/>
              </w:rPr>
              <w:t>Paraiso</w:t>
            </w:r>
            <w:proofErr w:type="spellEnd"/>
            <w:r w:rsidRPr="009A27ED">
              <w:rPr>
                <w:rFonts w:cstheme="minorHAnsi"/>
                <w:sz w:val="20"/>
                <w:szCs w:val="20"/>
                <w:lang w:val="es-US"/>
              </w:rPr>
              <w:t>, Pedernales, Hondo Valle</w:t>
            </w:r>
          </w:p>
        </w:tc>
      </w:tr>
      <w:tr w:rsidR="00E21872" w:rsidRPr="009A27ED" w14:paraId="229114CB" w14:textId="77777777" w:rsidTr="00C97D96">
        <w:trPr>
          <w:trHeight w:val="2115"/>
        </w:trPr>
        <w:tc>
          <w:tcPr>
            <w:tcW w:w="1255" w:type="dxa"/>
            <w:vAlign w:val="center"/>
          </w:tcPr>
          <w:p w14:paraId="22C6EB0D" w14:textId="77777777" w:rsidR="00E21872" w:rsidRPr="009A27ED" w:rsidRDefault="00E21872" w:rsidP="00C56004">
            <w:pPr>
              <w:spacing w:after="0"/>
              <w:jc w:val="left"/>
              <w:rPr>
                <w:b/>
                <w:sz w:val="20"/>
                <w:szCs w:val="20"/>
                <w:lang w:val="es-US"/>
              </w:rPr>
            </w:pPr>
            <w:r w:rsidRPr="009A27ED">
              <w:rPr>
                <w:b/>
                <w:sz w:val="20"/>
                <w:szCs w:val="20"/>
                <w:lang w:val="es-US"/>
              </w:rPr>
              <w:t>HIGUAMO</w:t>
            </w:r>
          </w:p>
        </w:tc>
        <w:tc>
          <w:tcPr>
            <w:tcW w:w="1800" w:type="dxa"/>
            <w:vAlign w:val="center"/>
          </w:tcPr>
          <w:p w14:paraId="184B6AA8" w14:textId="77777777" w:rsidR="00E21872" w:rsidRPr="009A27ED" w:rsidRDefault="00E21872" w:rsidP="00C56004">
            <w:pPr>
              <w:spacing w:after="0"/>
              <w:jc w:val="left"/>
              <w:rPr>
                <w:sz w:val="20"/>
                <w:szCs w:val="20"/>
                <w:lang w:val="es-US"/>
              </w:rPr>
            </w:pPr>
            <w:r w:rsidRPr="009A27ED">
              <w:rPr>
                <w:sz w:val="20"/>
                <w:szCs w:val="20"/>
                <w:lang w:val="es-US"/>
              </w:rPr>
              <w:t>Ministerio de Medio Ambiente, Ministerio de Agricultura, Ministerio de la Mujer</w:t>
            </w:r>
          </w:p>
          <w:p w14:paraId="44341216" w14:textId="01D32B32" w:rsidR="00060F48" w:rsidRPr="009A27ED" w:rsidRDefault="00060F48" w:rsidP="00C56004">
            <w:pPr>
              <w:spacing w:after="0"/>
              <w:jc w:val="left"/>
              <w:rPr>
                <w:sz w:val="20"/>
                <w:szCs w:val="20"/>
                <w:lang w:val="es-US"/>
              </w:rPr>
            </w:pPr>
            <w:r w:rsidRPr="009A27ED">
              <w:rPr>
                <w:sz w:val="20"/>
                <w:szCs w:val="20"/>
                <w:lang w:val="es-US"/>
              </w:rPr>
              <w:t>DIGEGA</w:t>
            </w:r>
          </w:p>
        </w:tc>
        <w:tc>
          <w:tcPr>
            <w:tcW w:w="1800" w:type="dxa"/>
            <w:vAlign w:val="center"/>
          </w:tcPr>
          <w:p w14:paraId="1CA6B0F5" w14:textId="77777777" w:rsidR="00E21872" w:rsidRPr="009A27ED" w:rsidRDefault="00E21872" w:rsidP="00C56004">
            <w:pPr>
              <w:spacing w:after="0"/>
              <w:jc w:val="left"/>
              <w:rPr>
                <w:sz w:val="20"/>
                <w:szCs w:val="20"/>
                <w:lang w:val="es-US"/>
              </w:rPr>
            </w:pPr>
          </w:p>
        </w:tc>
        <w:tc>
          <w:tcPr>
            <w:tcW w:w="1440" w:type="dxa"/>
            <w:vAlign w:val="center"/>
          </w:tcPr>
          <w:p w14:paraId="41DF6E1C" w14:textId="77777777" w:rsidR="00E21872" w:rsidRPr="009A27ED" w:rsidRDefault="00E21872" w:rsidP="00C56004">
            <w:pPr>
              <w:spacing w:after="0"/>
              <w:jc w:val="left"/>
              <w:rPr>
                <w:sz w:val="20"/>
                <w:szCs w:val="20"/>
                <w:lang w:val="es-US"/>
              </w:rPr>
            </w:pPr>
            <w:r w:rsidRPr="009A27ED">
              <w:rPr>
                <w:sz w:val="20"/>
                <w:szCs w:val="20"/>
                <w:lang w:val="es-US"/>
              </w:rPr>
              <w:t>Macorís Verde</w:t>
            </w:r>
          </w:p>
        </w:tc>
        <w:tc>
          <w:tcPr>
            <w:tcW w:w="1530" w:type="dxa"/>
            <w:vAlign w:val="center"/>
          </w:tcPr>
          <w:p w14:paraId="33901079" w14:textId="77777777" w:rsidR="00E21872" w:rsidRPr="009A27ED" w:rsidRDefault="00E21872" w:rsidP="00C56004">
            <w:pPr>
              <w:spacing w:after="0"/>
              <w:jc w:val="left"/>
              <w:rPr>
                <w:sz w:val="20"/>
                <w:szCs w:val="20"/>
                <w:lang w:val="es-US"/>
              </w:rPr>
            </w:pPr>
          </w:p>
        </w:tc>
        <w:tc>
          <w:tcPr>
            <w:tcW w:w="2880" w:type="dxa"/>
          </w:tcPr>
          <w:p w14:paraId="38D4C5CD" w14:textId="77777777" w:rsidR="00E21872" w:rsidRPr="009A27ED" w:rsidRDefault="00E21872" w:rsidP="00C56004">
            <w:pPr>
              <w:pStyle w:val="textbox"/>
              <w:shd w:val="clear" w:color="auto" w:fill="FFFFFF"/>
              <w:spacing w:before="0" w:beforeAutospacing="0" w:after="0" w:afterAutospacing="0"/>
              <w:rPr>
                <w:rFonts w:cstheme="minorHAnsi"/>
                <w:sz w:val="20"/>
                <w:szCs w:val="20"/>
                <w:lang w:val="es-US"/>
              </w:rPr>
            </w:pPr>
            <w:r w:rsidRPr="009A27ED">
              <w:rPr>
                <w:rFonts w:cstheme="minorHAnsi"/>
                <w:sz w:val="20"/>
                <w:szCs w:val="20"/>
                <w:lang w:val="es-US"/>
              </w:rPr>
              <w:t xml:space="preserve">Cooperativa de Productores e Invernaderos y Servicios Múltiples de la Provincia La Altagracia </w:t>
            </w:r>
          </w:p>
          <w:p w14:paraId="0313B08F" w14:textId="77777777" w:rsidR="00FD5B20" w:rsidRPr="009A27ED" w:rsidRDefault="00E21872" w:rsidP="00C56004">
            <w:pPr>
              <w:spacing w:after="0"/>
              <w:rPr>
                <w:sz w:val="20"/>
                <w:szCs w:val="20"/>
                <w:lang w:val="es-US"/>
              </w:rPr>
            </w:pPr>
            <w:r w:rsidRPr="009A27ED">
              <w:rPr>
                <w:sz w:val="20"/>
                <w:szCs w:val="20"/>
                <w:lang w:val="es-US"/>
              </w:rPr>
              <w:t xml:space="preserve">(COOPISERLA). </w:t>
            </w:r>
          </w:p>
          <w:p w14:paraId="3CAE68B1" w14:textId="77777777" w:rsidR="00FD5B20" w:rsidRPr="009A27ED" w:rsidRDefault="00FD5B20" w:rsidP="00C56004">
            <w:pPr>
              <w:spacing w:after="0"/>
              <w:rPr>
                <w:sz w:val="20"/>
                <w:szCs w:val="20"/>
                <w:lang w:val="es-US"/>
              </w:rPr>
            </w:pPr>
            <w:r w:rsidRPr="009A27ED">
              <w:rPr>
                <w:sz w:val="20"/>
                <w:szCs w:val="20"/>
                <w:lang w:val="es-US"/>
              </w:rPr>
              <w:t>CONACADO</w:t>
            </w:r>
          </w:p>
          <w:p w14:paraId="55B52D20" w14:textId="2B1FF538" w:rsidR="00E21872" w:rsidRPr="009A27ED" w:rsidRDefault="00FD5B20" w:rsidP="00C56004">
            <w:pPr>
              <w:spacing w:after="0"/>
              <w:rPr>
                <w:sz w:val="20"/>
                <w:szCs w:val="20"/>
                <w:lang w:val="es-US"/>
              </w:rPr>
            </w:pPr>
            <w:r w:rsidRPr="009A27ED">
              <w:rPr>
                <w:sz w:val="20"/>
                <w:szCs w:val="20"/>
                <w:lang w:val="es-US"/>
              </w:rPr>
              <w:t>Asociación de Ganaderos del Este</w:t>
            </w:r>
            <w:r w:rsidR="00E21872" w:rsidRPr="009A27ED">
              <w:rPr>
                <w:sz w:val="20"/>
                <w:szCs w:val="20"/>
                <w:lang w:val="es-US"/>
              </w:rPr>
              <w:t xml:space="preserve"> </w:t>
            </w:r>
          </w:p>
        </w:tc>
      </w:tr>
      <w:tr w:rsidR="00E21872" w:rsidRPr="009A27ED" w14:paraId="41BE0538" w14:textId="77777777" w:rsidTr="00C97D96">
        <w:tc>
          <w:tcPr>
            <w:tcW w:w="1255" w:type="dxa"/>
            <w:vAlign w:val="center"/>
          </w:tcPr>
          <w:p w14:paraId="32D7865D" w14:textId="77777777" w:rsidR="00E21872" w:rsidRPr="009A27ED" w:rsidRDefault="00E21872" w:rsidP="00C56004">
            <w:pPr>
              <w:spacing w:after="0"/>
              <w:jc w:val="left"/>
              <w:rPr>
                <w:b/>
                <w:sz w:val="20"/>
                <w:szCs w:val="20"/>
                <w:lang w:val="es-US"/>
              </w:rPr>
            </w:pPr>
            <w:r w:rsidRPr="009A27ED">
              <w:rPr>
                <w:b/>
                <w:sz w:val="20"/>
                <w:szCs w:val="20"/>
                <w:lang w:val="es-US"/>
              </w:rPr>
              <w:t>OZAMA O METROPOLITANA</w:t>
            </w:r>
          </w:p>
        </w:tc>
        <w:tc>
          <w:tcPr>
            <w:tcW w:w="1800" w:type="dxa"/>
            <w:vAlign w:val="center"/>
          </w:tcPr>
          <w:p w14:paraId="114A76BA" w14:textId="77777777" w:rsidR="00E21872" w:rsidRPr="009A27ED" w:rsidRDefault="00E21872"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Ministerio de Medio Ambiente, Ministerio de Agricultura, Instituto Nacional de Agua Potable y Alcantarillados (INAPA)</w:t>
            </w:r>
          </w:p>
          <w:p w14:paraId="70B98859" w14:textId="77777777" w:rsidR="00E21872" w:rsidRPr="009A27ED" w:rsidRDefault="00E21872" w:rsidP="00C56004">
            <w:pPr>
              <w:spacing w:after="0"/>
              <w:jc w:val="left"/>
              <w:rPr>
                <w:sz w:val="20"/>
                <w:szCs w:val="20"/>
                <w:lang w:val="es-US"/>
              </w:rPr>
            </w:pPr>
          </w:p>
        </w:tc>
        <w:tc>
          <w:tcPr>
            <w:tcW w:w="1800" w:type="dxa"/>
            <w:vAlign w:val="center"/>
          </w:tcPr>
          <w:p w14:paraId="18B0A2D0" w14:textId="77777777" w:rsidR="00E21872" w:rsidRPr="009A27ED" w:rsidRDefault="00E21872"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 xml:space="preserve">Loma Grande, SRL   </w:t>
            </w:r>
          </w:p>
        </w:tc>
        <w:tc>
          <w:tcPr>
            <w:tcW w:w="1440" w:type="dxa"/>
            <w:vAlign w:val="center"/>
          </w:tcPr>
          <w:p w14:paraId="4B62CF5E" w14:textId="77777777" w:rsidR="00E21872" w:rsidRPr="009A27ED" w:rsidRDefault="00E21872" w:rsidP="00C56004">
            <w:pPr>
              <w:spacing w:after="0"/>
              <w:jc w:val="left"/>
              <w:rPr>
                <w:sz w:val="20"/>
                <w:szCs w:val="20"/>
                <w:lang w:val="en-ZA"/>
              </w:rPr>
            </w:pPr>
            <w:r w:rsidRPr="009A27ED">
              <w:rPr>
                <w:sz w:val="20"/>
                <w:szCs w:val="20"/>
                <w:lang w:val="en-ZA"/>
              </w:rPr>
              <w:t>Fundación REDDOM, The Nature Conservancy (TNC), CEDAF</w:t>
            </w:r>
          </w:p>
        </w:tc>
        <w:tc>
          <w:tcPr>
            <w:tcW w:w="1530" w:type="dxa"/>
            <w:vAlign w:val="center"/>
          </w:tcPr>
          <w:p w14:paraId="28BA1FC4" w14:textId="77777777" w:rsidR="00E21872" w:rsidRPr="009A27ED" w:rsidRDefault="00E21872" w:rsidP="00C56004">
            <w:pPr>
              <w:spacing w:after="0"/>
              <w:jc w:val="left"/>
              <w:rPr>
                <w:sz w:val="20"/>
                <w:szCs w:val="20"/>
                <w:lang w:val="es-US"/>
              </w:rPr>
            </w:pPr>
            <w:r w:rsidRPr="009A27ED">
              <w:rPr>
                <w:sz w:val="20"/>
                <w:szCs w:val="20"/>
                <w:lang w:val="es-US"/>
              </w:rPr>
              <w:t xml:space="preserve">Universidad Autónoma de Santo Domingo (UASD) y el Instituto Nacional de Desarrollo Agropecuario y Forestal (IDAF).  </w:t>
            </w:r>
          </w:p>
        </w:tc>
        <w:tc>
          <w:tcPr>
            <w:tcW w:w="2880" w:type="dxa"/>
          </w:tcPr>
          <w:p w14:paraId="5C5A9104" w14:textId="60D1A559" w:rsidR="00E21872" w:rsidRPr="009A27ED" w:rsidRDefault="00E21872"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 xml:space="preserve">Asociación de </w:t>
            </w:r>
            <w:r w:rsidR="00C97D96" w:rsidRPr="009A27ED">
              <w:rPr>
                <w:rFonts w:cstheme="minorHAnsi"/>
                <w:sz w:val="20"/>
                <w:szCs w:val="20"/>
                <w:lang w:val="es-US"/>
              </w:rPr>
              <w:t>Productores Orgánicos</w:t>
            </w:r>
            <w:r w:rsidRPr="009A27ED">
              <w:rPr>
                <w:rFonts w:cstheme="minorHAnsi"/>
                <w:sz w:val="20"/>
                <w:szCs w:val="20"/>
                <w:lang w:val="es-US"/>
              </w:rPr>
              <w:t xml:space="preserve"> Los Botados (APROGLOBO)</w:t>
            </w:r>
          </w:p>
          <w:p w14:paraId="07617B26" w14:textId="6AD523C4" w:rsidR="00060F48" w:rsidRPr="009A27ED" w:rsidRDefault="00060F48"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Movimiento de Comunidades Unidas (MCCU)</w:t>
            </w:r>
          </w:p>
        </w:tc>
      </w:tr>
      <w:tr w:rsidR="00E21872" w:rsidRPr="009A27ED" w14:paraId="3A10423C" w14:textId="77777777" w:rsidTr="00C97D96">
        <w:tc>
          <w:tcPr>
            <w:tcW w:w="1255" w:type="dxa"/>
            <w:vAlign w:val="center"/>
          </w:tcPr>
          <w:p w14:paraId="31DB19D3" w14:textId="77777777" w:rsidR="00E21872" w:rsidRPr="009A27ED" w:rsidRDefault="00E21872" w:rsidP="00C56004">
            <w:pPr>
              <w:spacing w:after="0"/>
              <w:jc w:val="left"/>
              <w:rPr>
                <w:b/>
                <w:sz w:val="20"/>
                <w:szCs w:val="20"/>
                <w:lang w:val="es-US"/>
              </w:rPr>
            </w:pPr>
            <w:r w:rsidRPr="009A27ED">
              <w:rPr>
                <w:b/>
                <w:sz w:val="20"/>
                <w:szCs w:val="20"/>
                <w:lang w:val="es-US"/>
              </w:rPr>
              <w:t>VALDESIA</w:t>
            </w:r>
          </w:p>
        </w:tc>
        <w:tc>
          <w:tcPr>
            <w:tcW w:w="1800" w:type="dxa"/>
            <w:vAlign w:val="center"/>
          </w:tcPr>
          <w:p w14:paraId="3D7A7D62" w14:textId="77777777" w:rsidR="00E21872" w:rsidRPr="009A27ED" w:rsidRDefault="00E21872" w:rsidP="00C56004">
            <w:pPr>
              <w:spacing w:after="0"/>
              <w:jc w:val="left"/>
              <w:rPr>
                <w:sz w:val="20"/>
                <w:szCs w:val="20"/>
                <w:lang w:val="es-US"/>
              </w:rPr>
            </w:pPr>
            <w:r w:rsidRPr="009A27ED">
              <w:rPr>
                <w:sz w:val="20"/>
                <w:szCs w:val="20"/>
                <w:lang w:val="es-US"/>
              </w:rPr>
              <w:t>Ministerio de Medio Ambiente, Ministerio de Agricultura, Indo café, INDHRI</w:t>
            </w:r>
          </w:p>
        </w:tc>
        <w:tc>
          <w:tcPr>
            <w:tcW w:w="1800" w:type="dxa"/>
            <w:vAlign w:val="center"/>
          </w:tcPr>
          <w:p w14:paraId="1F28E841" w14:textId="77777777" w:rsidR="00E21872" w:rsidRPr="009A27ED" w:rsidRDefault="00E21872" w:rsidP="00C56004">
            <w:pPr>
              <w:spacing w:after="0"/>
              <w:jc w:val="left"/>
              <w:rPr>
                <w:sz w:val="20"/>
                <w:szCs w:val="20"/>
                <w:lang w:val="es-US"/>
              </w:rPr>
            </w:pPr>
            <w:r w:rsidRPr="009A27ED">
              <w:rPr>
                <w:sz w:val="20"/>
                <w:szCs w:val="20"/>
                <w:lang w:val="es-US"/>
              </w:rPr>
              <w:t xml:space="preserve">Fundación de Desarrollo de Azua.  </w:t>
            </w:r>
          </w:p>
        </w:tc>
        <w:tc>
          <w:tcPr>
            <w:tcW w:w="1440" w:type="dxa"/>
            <w:vAlign w:val="center"/>
          </w:tcPr>
          <w:p w14:paraId="7F62BC4F" w14:textId="77777777" w:rsidR="00E21872" w:rsidRPr="009A27ED" w:rsidRDefault="00E21872" w:rsidP="00C56004">
            <w:pPr>
              <w:pStyle w:val="textbox"/>
              <w:shd w:val="clear" w:color="auto" w:fill="FFFFFF"/>
              <w:spacing w:before="0" w:beforeAutospacing="0" w:after="0" w:afterAutospacing="0"/>
              <w:jc w:val="left"/>
              <w:rPr>
                <w:rFonts w:cstheme="minorHAnsi"/>
                <w:sz w:val="20"/>
                <w:szCs w:val="20"/>
                <w:lang w:val="es-US"/>
              </w:rPr>
            </w:pPr>
            <w:r w:rsidRPr="009A27ED">
              <w:rPr>
                <w:rFonts w:cstheme="minorHAnsi"/>
                <w:sz w:val="20"/>
                <w:szCs w:val="20"/>
                <w:lang w:val="es-US"/>
              </w:rPr>
              <w:t xml:space="preserve">Sur Futuro.  </w:t>
            </w:r>
          </w:p>
          <w:p w14:paraId="09DF1378" w14:textId="77777777" w:rsidR="00E21872" w:rsidRPr="009A27ED" w:rsidRDefault="00E21872" w:rsidP="00C56004">
            <w:pPr>
              <w:spacing w:after="0"/>
              <w:jc w:val="left"/>
              <w:rPr>
                <w:sz w:val="20"/>
                <w:szCs w:val="20"/>
                <w:lang w:val="es-US"/>
              </w:rPr>
            </w:pPr>
          </w:p>
        </w:tc>
        <w:tc>
          <w:tcPr>
            <w:tcW w:w="1530" w:type="dxa"/>
            <w:vAlign w:val="center"/>
          </w:tcPr>
          <w:p w14:paraId="4DFAA44E" w14:textId="767A5A46" w:rsidR="00E21872" w:rsidRPr="009A27ED" w:rsidRDefault="00060F48" w:rsidP="00C56004">
            <w:pPr>
              <w:spacing w:after="0"/>
              <w:jc w:val="left"/>
              <w:rPr>
                <w:sz w:val="20"/>
                <w:szCs w:val="20"/>
                <w:lang w:val="es-US"/>
              </w:rPr>
            </w:pPr>
            <w:r w:rsidRPr="009A27ED">
              <w:rPr>
                <w:sz w:val="20"/>
                <w:szCs w:val="20"/>
                <w:lang w:val="es-US"/>
              </w:rPr>
              <w:t>UASD</w:t>
            </w:r>
          </w:p>
        </w:tc>
        <w:tc>
          <w:tcPr>
            <w:tcW w:w="2880" w:type="dxa"/>
          </w:tcPr>
          <w:p w14:paraId="3241A0DF" w14:textId="77777777" w:rsidR="00E21872" w:rsidRPr="009A27ED" w:rsidRDefault="00060F48" w:rsidP="00C56004">
            <w:pPr>
              <w:pStyle w:val="textbox"/>
              <w:shd w:val="clear" w:color="auto" w:fill="FFFFFF"/>
              <w:spacing w:before="0" w:beforeAutospacing="0" w:after="0" w:afterAutospacing="0"/>
              <w:rPr>
                <w:rFonts w:cstheme="minorHAnsi"/>
                <w:sz w:val="20"/>
                <w:szCs w:val="20"/>
                <w:lang w:val="es-US"/>
              </w:rPr>
            </w:pPr>
            <w:r w:rsidRPr="009A27ED">
              <w:rPr>
                <w:rFonts w:cstheme="minorHAnsi"/>
                <w:sz w:val="20"/>
                <w:szCs w:val="20"/>
                <w:lang w:val="es-US"/>
              </w:rPr>
              <w:t>Federación de Caficultores de la Región Sur (FEDECARES)</w:t>
            </w:r>
          </w:p>
          <w:p w14:paraId="447F1675" w14:textId="77777777" w:rsidR="00E679D5" w:rsidRPr="009A27ED" w:rsidRDefault="00E679D5" w:rsidP="00C56004">
            <w:pPr>
              <w:pStyle w:val="textbox"/>
              <w:shd w:val="clear" w:color="auto" w:fill="FFFFFF"/>
              <w:spacing w:before="0" w:beforeAutospacing="0" w:after="0" w:afterAutospacing="0"/>
              <w:rPr>
                <w:rFonts w:cstheme="minorHAnsi"/>
                <w:sz w:val="20"/>
                <w:szCs w:val="20"/>
                <w:lang w:val="es-US"/>
              </w:rPr>
            </w:pPr>
            <w:r w:rsidRPr="009A27ED">
              <w:rPr>
                <w:rFonts w:cstheme="minorHAnsi"/>
                <w:sz w:val="20"/>
                <w:szCs w:val="20"/>
                <w:lang w:val="es-US"/>
              </w:rPr>
              <w:t xml:space="preserve">Asociación de Mujeres del Café </w:t>
            </w:r>
          </w:p>
          <w:p w14:paraId="07FCF1C8" w14:textId="77777777" w:rsidR="00E679D5" w:rsidRPr="009A27ED" w:rsidRDefault="0079337A" w:rsidP="00C56004">
            <w:pPr>
              <w:pStyle w:val="textbox"/>
              <w:shd w:val="clear" w:color="auto" w:fill="FFFFFF"/>
              <w:spacing w:before="0" w:beforeAutospacing="0" w:after="0" w:afterAutospacing="0"/>
              <w:rPr>
                <w:rFonts w:cstheme="minorHAnsi"/>
                <w:sz w:val="20"/>
                <w:szCs w:val="20"/>
                <w:lang w:val="es-US"/>
              </w:rPr>
            </w:pPr>
            <w:r w:rsidRPr="009A27ED">
              <w:rPr>
                <w:rFonts w:cstheme="minorHAnsi"/>
                <w:sz w:val="20"/>
                <w:szCs w:val="20"/>
                <w:lang w:val="es-US"/>
              </w:rPr>
              <w:t>Confederación</w:t>
            </w:r>
            <w:r w:rsidR="00E679D5" w:rsidRPr="009A27ED">
              <w:rPr>
                <w:rFonts w:cstheme="minorHAnsi"/>
                <w:sz w:val="20"/>
                <w:szCs w:val="20"/>
                <w:lang w:val="es-US"/>
              </w:rPr>
              <w:t xml:space="preserve"> de Mujeres del Campo (CONAMUCA)</w:t>
            </w:r>
          </w:p>
          <w:p w14:paraId="19798632" w14:textId="1E2814EA" w:rsidR="00286796" w:rsidRPr="009A27ED" w:rsidRDefault="00286796" w:rsidP="00C56004">
            <w:pPr>
              <w:pStyle w:val="textbox"/>
              <w:shd w:val="clear" w:color="auto" w:fill="FFFFFF"/>
              <w:spacing w:before="0" w:beforeAutospacing="0" w:after="0" w:afterAutospacing="0"/>
              <w:rPr>
                <w:rFonts w:cstheme="minorHAnsi"/>
                <w:sz w:val="20"/>
                <w:szCs w:val="20"/>
                <w:lang w:val="es-DO"/>
              </w:rPr>
            </w:pPr>
            <w:r w:rsidRPr="009A27ED">
              <w:rPr>
                <w:rFonts w:cstheme="minorHAnsi"/>
                <w:sz w:val="20"/>
                <w:szCs w:val="20"/>
                <w:lang w:val="es-US"/>
              </w:rPr>
              <w:t>Asociación</w:t>
            </w:r>
            <w:r w:rsidRPr="009A27ED">
              <w:rPr>
                <w:rFonts w:cstheme="minorHAnsi"/>
                <w:sz w:val="20"/>
                <w:szCs w:val="20"/>
                <w:lang w:val="es-DO"/>
              </w:rPr>
              <w:t xml:space="preserve"> de Caficultores y Agricultores de Los Cacao (ASOCAES)</w:t>
            </w:r>
          </w:p>
          <w:p w14:paraId="35502215" w14:textId="77777777" w:rsidR="00286796" w:rsidRPr="009A27ED" w:rsidRDefault="00286796" w:rsidP="00C56004">
            <w:pPr>
              <w:pStyle w:val="textbox"/>
              <w:shd w:val="clear" w:color="auto" w:fill="FFFFFF"/>
              <w:spacing w:before="0" w:beforeAutospacing="0" w:after="0" w:afterAutospacing="0"/>
              <w:rPr>
                <w:rFonts w:cstheme="minorHAnsi"/>
                <w:sz w:val="20"/>
                <w:szCs w:val="20"/>
                <w:lang w:val="es-DO"/>
              </w:rPr>
            </w:pPr>
            <w:r w:rsidRPr="009A27ED">
              <w:rPr>
                <w:rFonts w:cstheme="minorHAnsi"/>
                <w:sz w:val="20"/>
                <w:szCs w:val="20"/>
                <w:lang w:val="es-DO"/>
              </w:rPr>
              <w:t>Núcleo de Caficultores y Agricultores de San Cristóbal (NACAS)</w:t>
            </w:r>
          </w:p>
          <w:p w14:paraId="33F549C2" w14:textId="1A23A565" w:rsidR="00C97D96" w:rsidRPr="009A27ED" w:rsidRDefault="00C97D96" w:rsidP="00C56004">
            <w:pPr>
              <w:pStyle w:val="textbox"/>
              <w:shd w:val="clear" w:color="auto" w:fill="FFFFFF"/>
              <w:spacing w:before="0" w:beforeAutospacing="0" w:after="0" w:afterAutospacing="0"/>
              <w:rPr>
                <w:rFonts w:cstheme="minorHAnsi"/>
                <w:sz w:val="20"/>
                <w:szCs w:val="20"/>
                <w:lang w:val="es-DO"/>
              </w:rPr>
            </w:pPr>
            <w:r w:rsidRPr="009A27ED">
              <w:rPr>
                <w:rFonts w:cstheme="minorHAnsi"/>
                <w:sz w:val="20"/>
                <w:szCs w:val="20"/>
                <w:lang w:val="es-DO"/>
              </w:rPr>
              <w:t xml:space="preserve">Núcleo de Caficultores de </w:t>
            </w:r>
            <w:proofErr w:type="spellStart"/>
            <w:r w:rsidRPr="009A27ED">
              <w:rPr>
                <w:rFonts w:cstheme="minorHAnsi"/>
                <w:sz w:val="20"/>
                <w:szCs w:val="20"/>
                <w:lang w:val="es-DO"/>
              </w:rPr>
              <w:t>de</w:t>
            </w:r>
            <w:proofErr w:type="spellEnd"/>
            <w:r w:rsidRPr="009A27ED">
              <w:rPr>
                <w:rFonts w:cstheme="minorHAnsi"/>
                <w:sz w:val="20"/>
                <w:szCs w:val="20"/>
                <w:lang w:val="es-DO"/>
              </w:rPr>
              <w:t xml:space="preserve"> </w:t>
            </w:r>
            <w:proofErr w:type="spellStart"/>
            <w:r w:rsidRPr="009A27ED">
              <w:rPr>
                <w:rFonts w:cstheme="minorHAnsi"/>
                <w:sz w:val="20"/>
                <w:szCs w:val="20"/>
                <w:lang w:val="es-DO"/>
              </w:rPr>
              <w:t>Ocoa</w:t>
            </w:r>
            <w:proofErr w:type="spellEnd"/>
            <w:r w:rsidRPr="009A27ED">
              <w:rPr>
                <w:rFonts w:cstheme="minorHAnsi"/>
                <w:sz w:val="20"/>
                <w:szCs w:val="20"/>
                <w:lang w:val="es-DO"/>
              </w:rPr>
              <w:t xml:space="preserve"> </w:t>
            </w:r>
          </w:p>
          <w:p w14:paraId="648CE044" w14:textId="77777777" w:rsidR="00C97D96" w:rsidRPr="009A27ED" w:rsidRDefault="00C97D96" w:rsidP="00C56004">
            <w:pPr>
              <w:pStyle w:val="textbox"/>
              <w:shd w:val="clear" w:color="auto" w:fill="FFFFFF"/>
              <w:spacing w:before="0" w:beforeAutospacing="0" w:after="0" w:afterAutospacing="0"/>
              <w:rPr>
                <w:rFonts w:cstheme="minorHAnsi"/>
                <w:sz w:val="20"/>
                <w:szCs w:val="20"/>
                <w:lang w:val="es-DO"/>
              </w:rPr>
            </w:pPr>
          </w:p>
          <w:p w14:paraId="237E29A4" w14:textId="6649B017" w:rsidR="00C97D96" w:rsidRPr="009A27ED" w:rsidRDefault="00C97D96" w:rsidP="00C56004">
            <w:pPr>
              <w:pStyle w:val="textbox"/>
              <w:shd w:val="clear" w:color="auto" w:fill="FFFFFF"/>
              <w:spacing w:before="0" w:beforeAutospacing="0" w:after="0" w:afterAutospacing="0"/>
              <w:rPr>
                <w:rFonts w:cstheme="minorHAnsi"/>
                <w:sz w:val="20"/>
                <w:szCs w:val="20"/>
                <w:lang w:val="es-DO"/>
              </w:rPr>
            </w:pPr>
          </w:p>
        </w:tc>
      </w:tr>
      <w:tr w:rsidR="00E21872" w:rsidRPr="009A27ED" w14:paraId="686D0A39" w14:textId="77777777" w:rsidTr="00C97D96">
        <w:tc>
          <w:tcPr>
            <w:tcW w:w="1255" w:type="dxa"/>
            <w:vAlign w:val="center"/>
          </w:tcPr>
          <w:p w14:paraId="1CC9C07B" w14:textId="77777777" w:rsidR="00E21872" w:rsidRPr="009A27ED" w:rsidRDefault="00E21872" w:rsidP="00C56004">
            <w:pPr>
              <w:spacing w:after="0"/>
              <w:jc w:val="left"/>
              <w:rPr>
                <w:b/>
                <w:sz w:val="20"/>
                <w:szCs w:val="20"/>
                <w:lang w:val="es-US"/>
              </w:rPr>
            </w:pPr>
            <w:r w:rsidRPr="009A27ED">
              <w:rPr>
                <w:b/>
                <w:sz w:val="20"/>
                <w:szCs w:val="20"/>
                <w:lang w:val="es-US"/>
              </w:rPr>
              <w:t xml:space="preserve">YUMA </w:t>
            </w:r>
          </w:p>
        </w:tc>
        <w:tc>
          <w:tcPr>
            <w:tcW w:w="1800" w:type="dxa"/>
            <w:vAlign w:val="center"/>
          </w:tcPr>
          <w:p w14:paraId="02E9E982" w14:textId="77777777" w:rsidR="00E21872" w:rsidRPr="009A27ED" w:rsidRDefault="00E21872" w:rsidP="00C56004">
            <w:pPr>
              <w:spacing w:after="0"/>
              <w:jc w:val="left"/>
              <w:rPr>
                <w:sz w:val="20"/>
                <w:szCs w:val="20"/>
                <w:lang w:val="es-US"/>
              </w:rPr>
            </w:pPr>
            <w:r w:rsidRPr="009A27ED">
              <w:rPr>
                <w:sz w:val="20"/>
                <w:szCs w:val="20"/>
                <w:lang w:val="es-US"/>
              </w:rPr>
              <w:t>Ministerio de Medio Ambiente, Ministerio de Agricultura</w:t>
            </w:r>
          </w:p>
        </w:tc>
        <w:tc>
          <w:tcPr>
            <w:tcW w:w="1800" w:type="dxa"/>
            <w:vAlign w:val="center"/>
          </w:tcPr>
          <w:p w14:paraId="62AFC3E4" w14:textId="77777777" w:rsidR="00E21872" w:rsidRPr="009A27ED" w:rsidRDefault="00E21872" w:rsidP="00C56004">
            <w:pPr>
              <w:spacing w:after="0"/>
              <w:jc w:val="left"/>
              <w:rPr>
                <w:sz w:val="20"/>
                <w:szCs w:val="20"/>
                <w:lang w:val="es-US"/>
              </w:rPr>
            </w:pPr>
          </w:p>
        </w:tc>
        <w:tc>
          <w:tcPr>
            <w:tcW w:w="1440" w:type="dxa"/>
            <w:vAlign w:val="center"/>
          </w:tcPr>
          <w:p w14:paraId="0BFAED5B" w14:textId="77777777" w:rsidR="00E21872" w:rsidRPr="009A27ED" w:rsidRDefault="00E21872" w:rsidP="00C56004">
            <w:pPr>
              <w:spacing w:after="0"/>
              <w:jc w:val="left"/>
              <w:rPr>
                <w:sz w:val="20"/>
                <w:szCs w:val="20"/>
                <w:lang w:val="es-US"/>
              </w:rPr>
            </w:pPr>
          </w:p>
        </w:tc>
        <w:tc>
          <w:tcPr>
            <w:tcW w:w="1530" w:type="dxa"/>
            <w:vAlign w:val="center"/>
          </w:tcPr>
          <w:p w14:paraId="34707947" w14:textId="5D9A93A7" w:rsidR="00E21872" w:rsidRPr="009A27ED" w:rsidRDefault="00060F48" w:rsidP="00C56004">
            <w:pPr>
              <w:spacing w:after="0"/>
              <w:jc w:val="left"/>
              <w:rPr>
                <w:sz w:val="20"/>
                <w:szCs w:val="20"/>
                <w:lang w:val="es-US"/>
              </w:rPr>
            </w:pPr>
            <w:r w:rsidRPr="009A27ED">
              <w:rPr>
                <w:sz w:val="20"/>
                <w:szCs w:val="20"/>
                <w:lang w:val="es-US"/>
              </w:rPr>
              <w:t>UASD</w:t>
            </w:r>
          </w:p>
        </w:tc>
        <w:tc>
          <w:tcPr>
            <w:tcW w:w="2880" w:type="dxa"/>
          </w:tcPr>
          <w:p w14:paraId="16920AEB" w14:textId="77777777" w:rsidR="00E21872" w:rsidRPr="009A27ED" w:rsidRDefault="00060F48" w:rsidP="00E21872">
            <w:pPr>
              <w:keepNext/>
              <w:spacing w:after="0"/>
              <w:rPr>
                <w:sz w:val="20"/>
                <w:szCs w:val="20"/>
                <w:lang w:val="es-US"/>
              </w:rPr>
            </w:pPr>
            <w:r w:rsidRPr="009A27ED">
              <w:rPr>
                <w:sz w:val="20"/>
                <w:szCs w:val="20"/>
                <w:lang w:val="es-US"/>
              </w:rPr>
              <w:t>CONACADO</w:t>
            </w:r>
          </w:p>
          <w:p w14:paraId="59E95BA1" w14:textId="62A15A71" w:rsidR="00E679D5" w:rsidRPr="009A27ED" w:rsidRDefault="00C97D96" w:rsidP="00E21872">
            <w:pPr>
              <w:keepNext/>
              <w:spacing w:after="0"/>
              <w:rPr>
                <w:sz w:val="20"/>
                <w:szCs w:val="20"/>
                <w:lang w:val="es-US"/>
              </w:rPr>
            </w:pPr>
            <w:r w:rsidRPr="009A27ED">
              <w:rPr>
                <w:sz w:val="20"/>
                <w:szCs w:val="20"/>
                <w:lang w:val="es-US"/>
              </w:rPr>
              <w:t>Asociación</w:t>
            </w:r>
            <w:r w:rsidR="0079337A" w:rsidRPr="009A27ED">
              <w:rPr>
                <w:sz w:val="20"/>
                <w:szCs w:val="20"/>
                <w:lang w:val="es-US"/>
              </w:rPr>
              <w:t xml:space="preserve"> Cacao</w:t>
            </w:r>
            <w:r w:rsidR="00E679D5" w:rsidRPr="009A27ED">
              <w:rPr>
                <w:sz w:val="20"/>
                <w:szCs w:val="20"/>
                <w:lang w:val="es-US"/>
              </w:rPr>
              <w:t xml:space="preserve"> de Miches</w:t>
            </w:r>
          </w:p>
        </w:tc>
      </w:tr>
    </w:tbl>
    <w:p w14:paraId="1ABB8A61" w14:textId="69B1C753" w:rsidR="00060737" w:rsidRPr="009A27ED" w:rsidRDefault="00060737">
      <w:pPr>
        <w:spacing w:after="160" w:line="360" w:lineRule="auto"/>
        <w:rPr>
          <w:rFonts w:asciiTheme="majorHAnsi" w:eastAsiaTheme="majorEastAsia" w:hAnsiTheme="majorHAnsi" w:cstheme="majorBidi"/>
          <w:b/>
          <w:sz w:val="28"/>
          <w:szCs w:val="32"/>
          <w:bdr w:val="none" w:sz="0" w:space="0" w:color="auto" w:frame="1"/>
        </w:rPr>
      </w:pPr>
      <w:bookmarkStart w:id="179" w:name="_Toc529469989"/>
      <w:bookmarkStart w:id="180" w:name="_Toc532335852"/>
    </w:p>
    <w:p w14:paraId="7ED76D9F" w14:textId="2FEC63C0" w:rsidR="0029609D" w:rsidRPr="009A27ED" w:rsidRDefault="0049512C" w:rsidP="007A60B0">
      <w:pPr>
        <w:pStyle w:val="Ttulo1"/>
        <w:numPr>
          <w:ilvl w:val="0"/>
          <w:numId w:val="0"/>
        </w:numPr>
        <w:spacing w:line="360" w:lineRule="auto"/>
        <w:jc w:val="both"/>
        <w:rPr>
          <w:color w:val="2E74B5" w:themeColor="accent1" w:themeShade="BF"/>
          <w:sz w:val="22"/>
          <w:szCs w:val="22"/>
        </w:rPr>
      </w:pPr>
      <w:bookmarkStart w:id="181" w:name="_Toc111837934"/>
      <w:r w:rsidRPr="009A27ED">
        <w:rPr>
          <w:rFonts w:ascii="Times New Roman" w:eastAsia="Times New Roman" w:hAnsi="Times New Roman"/>
          <w:sz w:val="24"/>
        </w:rPr>
        <w:t>3</w:t>
      </w:r>
      <w:r w:rsidR="007A60B0" w:rsidRPr="009A27ED">
        <w:rPr>
          <w:rFonts w:ascii="Times New Roman" w:eastAsia="Times New Roman" w:hAnsi="Times New Roman"/>
          <w:sz w:val="24"/>
        </w:rPr>
        <w:t xml:space="preserve">. </w:t>
      </w:r>
      <w:r w:rsidR="00947670" w:rsidRPr="009A27ED">
        <w:rPr>
          <w:rFonts w:ascii="Times New Roman" w:eastAsia="Times New Roman" w:hAnsi="Times New Roman"/>
          <w:sz w:val="24"/>
        </w:rPr>
        <w:t xml:space="preserve">Marco Legal e Institucional nacional e internacional y </w:t>
      </w:r>
      <w:r w:rsidR="00F579CC" w:rsidRPr="009A27ED">
        <w:rPr>
          <w:rFonts w:ascii="Times New Roman" w:eastAsia="Times New Roman" w:hAnsi="Times New Roman"/>
          <w:sz w:val="24"/>
        </w:rPr>
        <w:t>a</w:t>
      </w:r>
      <w:r w:rsidR="00947670" w:rsidRPr="009A27ED">
        <w:rPr>
          <w:rFonts w:ascii="Times New Roman" w:eastAsia="Times New Roman" w:hAnsi="Times New Roman"/>
          <w:sz w:val="24"/>
        </w:rPr>
        <w:t xml:space="preserve">nálisis de </w:t>
      </w:r>
      <w:r w:rsidR="00F579CC" w:rsidRPr="009A27ED">
        <w:rPr>
          <w:rFonts w:ascii="Times New Roman" w:eastAsia="Times New Roman" w:hAnsi="Times New Roman"/>
          <w:sz w:val="24"/>
        </w:rPr>
        <w:t>b</w:t>
      </w:r>
      <w:r w:rsidR="00947670" w:rsidRPr="009A27ED">
        <w:rPr>
          <w:rFonts w:ascii="Times New Roman" w:eastAsia="Times New Roman" w:hAnsi="Times New Roman"/>
          <w:sz w:val="24"/>
        </w:rPr>
        <w:t>rechas</w:t>
      </w:r>
      <w:bookmarkStart w:id="182" w:name="_Toc529469990"/>
      <w:bookmarkStart w:id="183" w:name="_Toc532335853"/>
      <w:bookmarkEnd w:id="179"/>
      <w:bookmarkEnd w:id="180"/>
      <w:bookmarkEnd w:id="181"/>
    </w:p>
    <w:p w14:paraId="6226EBBD" w14:textId="77777777" w:rsidR="0049512C" w:rsidRPr="009A27ED" w:rsidRDefault="0049512C" w:rsidP="009A46A8">
      <w:pPr>
        <w:spacing w:after="0" w:line="360" w:lineRule="auto"/>
      </w:pPr>
    </w:p>
    <w:p w14:paraId="3515A6B3" w14:textId="41CF0208" w:rsidR="00EB217D" w:rsidRPr="009A27ED" w:rsidRDefault="007A60B0" w:rsidP="009A46A8">
      <w:pPr>
        <w:spacing w:after="0" w:line="360" w:lineRule="auto"/>
      </w:pPr>
      <w:r w:rsidRPr="009A27ED">
        <w:rPr>
          <w:rFonts w:ascii="Times New Roman" w:eastAsia="Times New Roman" w:hAnsi="Times New Roman"/>
          <w:color w:val="000000" w:themeColor="text1"/>
          <w:sz w:val="24"/>
          <w:szCs w:val="22"/>
        </w:rPr>
        <w:t>En e</w:t>
      </w:r>
      <w:r w:rsidR="009A46A8" w:rsidRPr="009A27ED">
        <w:rPr>
          <w:rFonts w:ascii="Times New Roman" w:eastAsia="Times New Roman" w:hAnsi="Times New Roman"/>
          <w:color w:val="000000" w:themeColor="text1"/>
          <w:sz w:val="24"/>
          <w:szCs w:val="22"/>
        </w:rPr>
        <w:t xml:space="preserve">ste </w:t>
      </w:r>
      <w:r w:rsidR="0079337A" w:rsidRPr="009A27ED">
        <w:rPr>
          <w:rFonts w:ascii="Times New Roman" w:eastAsia="Times New Roman" w:hAnsi="Times New Roman"/>
          <w:color w:val="000000" w:themeColor="text1"/>
          <w:sz w:val="24"/>
          <w:szCs w:val="22"/>
        </w:rPr>
        <w:t>capítulo</w:t>
      </w:r>
      <w:r w:rsidRPr="009A27ED">
        <w:rPr>
          <w:rFonts w:ascii="Times New Roman" w:eastAsia="Times New Roman" w:hAnsi="Times New Roman"/>
          <w:color w:val="000000" w:themeColor="text1"/>
          <w:sz w:val="24"/>
          <w:szCs w:val="22"/>
        </w:rPr>
        <w:t xml:space="preserve"> </w:t>
      </w:r>
      <w:r w:rsidRPr="009A27ED">
        <w:rPr>
          <w:rFonts w:ascii="Times New Roman" w:eastAsia="Times New Roman" w:hAnsi="Times New Roman"/>
          <w:sz w:val="24"/>
          <w:szCs w:val="22"/>
        </w:rPr>
        <w:t>se presenta el resumen de los principales aspectos del régimen legislativo e institucional a través del cual el país promoverá el cumplimiento de las salvaguardas REDD+</w:t>
      </w:r>
      <w:r w:rsidR="00B030CA" w:rsidRPr="009A27ED">
        <w:rPr>
          <w:rFonts w:ascii="Times New Roman" w:eastAsia="Times New Roman" w:hAnsi="Times New Roman"/>
          <w:sz w:val="24"/>
          <w:szCs w:val="22"/>
        </w:rPr>
        <w:t xml:space="preserve">, incluidas las </w:t>
      </w:r>
      <w:r w:rsidR="000C5B5B" w:rsidRPr="009A27ED">
        <w:rPr>
          <w:rFonts w:ascii="Times New Roman" w:eastAsia="Times New Roman" w:hAnsi="Times New Roman"/>
          <w:sz w:val="24"/>
          <w:szCs w:val="22"/>
        </w:rPr>
        <w:t>Políticas</w:t>
      </w:r>
      <w:r w:rsidR="00B030CA" w:rsidRPr="009A27ED">
        <w:rPr>
          <w:rFonts w:ascii="Times New Roman" w:eastAsia="Times New Roman" w:hAnsi="Times New Roman"/>
          <w:sz w:val="24"/>
          <w:szCs w:val="22"/>
        </w:rPr>
        <w:t xml:space="preserve"> Operativas del Banco Mundial</w:t>
      </w:r>
      <w:r w:rsidRPr="009A27ED">
        <w:rPr>
          <w:rFonts w:ascii="Times New Roman" w:eastAsia="Times New Roman" w:hAnsi="Times New Roman"/>
          <w:sz w:val="24"/>
          <w:szCs w:val="22"/>
        </w:rPr>
        <w:t xml:space="preserve"> durante la implementación de la EN-REDD+.</w:t>
      </w:r>
      <w:r w:rsidR="00B030CA" w:rsidRPr="009A27ED">
        <w:rPr>
          <w:rFonts w:ascii="Times New Roman" w:eastAsia="Times New Roman" w:hAnsi="Times New Roman"/>
          <w:sz w:val="24"/>
          <w:szCs w:val="22"/>
        </w:rPr>
        <w:t xml:space="preserve"> Adicionalmente se presenta el análisis de brechas o </w:t>
      </w:r>
      <w:r w:rsidR="000C5B5B" w:rsidRPr="009A27ED">
        <w:rPr>
          <w:rFonts w:ascii="Times New Roman" w:eastAsia="Times New Roman" w:hAnsi="Times New Roman"/>
          <w:sz w:val="24"/>
          <w:szCs w:val="22"/>
        </w:rPr>
        <w:t>vacíos</w:t>
      </w:r>
      <w:r w:rsidR="00B030CA" w:rsidRPr="009A27ED">
        <w:rPr>
          <w:rFonts w:ascii="Times New Roman" w:eastAsia="Times New Roman" w:hAnsi="Times New Roman"/>
          <w:sz w:val="24"/>
          <w:szCs w:val="22"/>
        </w:rPr>
        <w:t xml:space="preserve"> relevantes con las mencionadas políticas operativas y la forma en que estos serán abordados. El detalle del </w:t>
      </w:r>
      <w:r w:rsidR="000C5B5B" w:rsidRPr="009A27ED">
        <w:rPr>
          <w:rFonts w:ascii="Times New Roman" w:eastAsia="Times New Roman" w:hAnsi="Times New Roman"/>
          <w:sz w:val="24"/>
          <w:szCs w:val="22"/>
        </w:rPr>
        <w:t>análisis</w:t>
      </w:r>
      <w:r w:rsidR="00B030CA" w:rsidRPr="009A27ED">
        <w:rPr>
          <w:rFonts w:ascii="Times New Roman" w:eastAsia="Times New Roman" w:hAnsi="Times New Roman"/>
          <w:sz w:val="24"/>
          <w:szCs w:val="22"/>
        </w:rPr>
        <w:t xml:space="preserve"> se encuentra disponible en el Anexo 1 del presente MGAS. </w:t>
      </w:r>
      <w:r w:rsidRPr="009A27ED">
        <w:rPr>
          <w:rFonts w:ascii="Times New Roman" w:eastAsia="Times New Roman" w:hAnsi="Times New Roman"/>
          <w:sz w:val="24"/>
          <w:szCs w:val="22"/>
        </w:rPr>
        <w:t xml:space="preserve"> </w:t>
      </w:r>
    </w:p>
    <w:p w14:paraId="0E9CCD97" w14:textId="6AA86AD9" w:rsidR="00CB4BC3" w:rsidRPr="009A27ED" w:rsidRDefault="0049512C" w:rsidP="00BB108C">
      <w:pPr>
        <w:pStyle w:val="Ttulo2"/>
        <w:numPr>
          <w:ilvl w:val="0"/>
          <w:numId w:val="0"/>
        </w:numPr>
        <w:spacing w:line="360" w:lineRule="auto"/>
        <w:ind w:left="142"/>
        <w:jc w:val="both"/>
        <w:rPr>
          <w:color w:val="FF0000"/>
          <w:sz w:val="22"/>
          <w:szCs w:val="22"/>
        </w:rPr>
      </w:pPr>
      <w:bookmarkStart w:id="184" w:name="_Toc111837935"/>
      <w:r w:rsidRPr="009A27ED">
        <w:rPr>
          <w:rFonts w:ascii="Times New Roman" w:eastAsia="Times New Roman" w:hAnsi="Times New Roman"/>
          <w:sz w:val="24"/>
        </w:rPr>
        <w:t>3</w:t>
      </w:r>
      <w:r w:rsidR="007D3A34" w:rsidRPr="009A27ED">
        <w:rPr>
          <w:rFonts w:ascii="Times New Roman" w:eastAsia="Times New Roman" w:hAnsi="Times New Roman"/>
          <w:sz w:val="24"/>
        </w:rPr>
        <w:t xml:space="preserve">.1. </w:t>
      </w:r>
      <w:r w:rsidR="00947670" w:rsidRPr="009A27ED">
        <w:rPr>
          <w:rFonts w:ascii="Times New Roman" w:eastAsia="Times New Roman" w:hAnsi="Times New Roman"/>
          <w:sz w:val="24"/>
        </w:rPr>
        <w:t>Legislación nacional aplicable a la Estrategia Nacional REDD+ en República Dominicana vinculada a las políticas operativas del Banco Mundial</w:t>
      </w:r>
      <w:bookmarkEnd w:id="182"/>
      <w:bookmarkEnd w:id="183"/>
      <w:r w:rsidR="00C112C9" w:rsidRPr="009A27ED">
        <w:rPr>
          <w:rFonts w:ascii="Times New Roman" w:eastAsia="Times New Roman" w:hAnsi="Times New Roman"/>
          <w:sz w:val="24"/>
        </w:rPr>
        <w:t>, análisis de brechas y recomendaciones</w:t>
      </w:r>
      <w:bookmarkEnd w:id="184"/>
    </w:p>
    <w:p w14:paraId="6B504AA1" w14:textId="77777777" w:rsidR="001D1EE3" w:rsidRPr="009A27ED" w:rsidRDefault="001D1EE3" w:rsidP="001D1EE3">
      <w:pPr>
        <w:tabs>
          <w:tab w:val="left" w:pos="8080"/>
          <w:tab w:val="left" w:pos="8647"/>
        </w:tabs>
        <w:spacing w:after="0" w:line="360" w:lineRule="auto"/>
        <w:ind w:right="669"/>
        <w:rPr>
          <w:color w:val="000000" w:themeColor="text1"/>
          <w:szCs w:val="22"/>
        </w:rPr>
      </w:pPr>
    </w:p>
    <w:p w14:paraId="296FF906" w14:textId="181D16A5" w:rsidR="00407322" w:rsidRPr="009A27ED" w:rsidRDefault="00407322" w:rsidP="001D1EE3">
      <w:pPr>
        <w:tabs>
          <w:tab w:val="left" w:pos="8080"/>
          <w:tab w:val="left" w:pos="8647"/>
        </w:tabs>
        <w:spacing w:after="0" w:line="360" w:lineRule="auto"/>
        <w:rPr>
          <w:color w:val="000000" w:themeColor="text1"/>
          <w:szCs w:val="22"/>
        </w:rPr>
      </w:pPr>
      <w:r w:rsidRPr="009A27ED">
        <w:rPr>
          <w:rFonts w:ascii="Times New Roman" w:eastAsia="Times New Roman" w:hAnsi="Times New Roman"/>
          <w:color w:val="000000" w:themeColor="text1"/>
          <w:sz w:val="24"/>
          <w:szCs w:val="22"/>
        </w:rPr>
        <w:t xml:space="preserve">El análisis </w:t>
      </w:r>
      <w:r w:rsidR="00B030CA" w:rsidRPr="009A27ED">
        <w:rPr>
          <w:rFonts w:ascii="Times New Roman" w:eastAsia="Times New Roman" w:hAnsi="Times New Roman"/>
          <w:color w:val="000000" w:themeColor="text1"/>
          <w:sz w:val="24"/>
          <w:szCs w:val="22"/>
        </w:rPr>
        <w:t>de</w:t>
      </w:r>
      <w:r w:rsidRPr="009A27ED">
        <w:rPr>
          <w:rFonts w:ascii="Times New Roman" w:eastAsia="Times New Roman" w:hAnsi="Times New Roman"/>
          <w:color w:val="000000" w:themeColor="text1"/>
          <w:sz w:val="24"/>
          <w:szCs w:val="22"/>
        </w:rPr>
        <w:t xml:space="preserve">l marco legal e institucional de la República Dominicana con respecto a las </w:t>
      </w:r>
      <w:r w:rsidR="0049512C" w:rsidRPr="009A27ED">
        <w:rPr>
          <w:rFonts w:ascii="Times New Roman" w:eastAsia="Times New Roman" w:hAnsi="Times New Roman"/>
          <w:color w:val="000000" w:themeColor="text1"/>
          <w:sz w:val="24"/>
          <w:szCs w:val="22"/>
        </w:rPr>
        <w:t>s</w:t>
      </w:r>
      <w:r w:rsidRPr="009A27ED">
        <w:rPr>
          <w:rFonts w:ascii="Times New Roman" w:eastAsia="Times New Roman" w:hAnsi="Times New Roman"/>
          <w:color w:val="000000" w:themeColor="text1"/>
          <w:sz w:val="24"/>
          <w:szCs w:val="22"/>
        </w:rPr>
        <w:t xml:space="preserve">alvaguardas de REDD+ de la CMNUCC y las </w:t>
      </w:r>
      <w:r w:rsidR="000C5B5B" w:rsidRPr="009A27ED">
        <w:rPr>
          <w:rFonts w:ascii="Times New Roman" w:eastAsia="Times New Roman" w:hAnsi="Times New Roman"/>
          <w:color w:val="000000" w:themeColor="text1"/>
          <w:sz w:val="24"/>
          <w:szCs w:val="22"/>
        </w:rPr>
        <w:t>P</w:t>
      </w:r>
      <w:r w:rsidRPr="009A27ED">
        <w:rPr>
          <w:rFonts w:ascii="Times New Roman" w:eastAsia="Times New Roman" w:hAnsi="Times New Roman"/>
          <w:color w:val="000000" w:themeColor="text1"/>
          <w:sz w:val="24"/>
          <w:szCs w:val="22"/>
        </w:rPr>
        <w:t xml:space="preserve">olíticas </w:t>
      </w:r>
      <w:r w:rsidR="000C5B5B" w:rsidRPr="009A27ED">
        <w:rPr>
          <w:rFonts w:ascii="Times New Roman" w:eastAsia="Times New Roman" w:hAnsi="Times New Roman"/>
          <w:color w:val="000000" w:themeColor="text1"/>
          <w:sz w:val="24"/>
          <w:szCs w:val="22"/>
        </w:rPr>
        <w:t>O</w:t>
      </w:r>
      <w:r w:rsidRPr="009A27ED">
        <w:rPr>
          <w:rFonts w:ascii="Times New Roman" w:eastAsia="Times New Roman" w:hAnsi="Times New Roman"/>
          <w:color w:val="000000" w:themeColor="text1"/>
          <w:sz w:val="24"/>
          <w:szCs w:val="22"/>
        </w:rPr>
        <w:t xml:space="preserve">perativas del Banco Mundial, se </w:t>
      </w:r>
      <w:r w:rsidRPr="009A27ED">
        <w:rPr>
          <w:rFonts w:ascii="Times New Roman" w:eastAsia="Times New Roman" w:hAnsi="Times New Roman"/>
          <w:color w:val="000000" w:themeColor="text1"/>
          <w:sz w:val="24"/>
          <w:szCs w:val="22"/>
        </w:rPr>
        <w:lastRenderedPageBreak/>
        <w:t>presenta bajo el formato de cuadros que analizan la legislación nacional relevante a la EN-REDD+ y donde se aborda los principales aspectos del régimen legislativo e institucional nacional. Se evalu</w:t>
      </w:r>
      <w:r w:rsidR="00B030CA" w:rsidRPr="009A27ED">
        <w:rPr>
          <w:rFonts w:ascii="Times New Roman" w:eastAsia="Times New Roman" w:hAnsi="Times New Roman"/>
          <w:color w:val="000000" w:themeColor="text1"/>
          <w:sz w:val="24"/>
          <w:szCs w:val="22"/>
        </w:rPr>
        <w:t>aron</w:t>
      </w:r>
      <w:r w:rsidRPr="009A27ED">
        <w:rPr>
          <w:rFonts w:ascii="Times New Roman" w:eastAsia="Times New Roman" w:hAnsi="Times New Roman"/>
          <w:color w:val="000000" w:themeColor="text1"/>
          <w:sz w:val="24"/>
          <w:szCs w:val="22"/>
        </w:rPr>
        <w:t xml:space="preserve"> 56 instrumentos legales nacionales más 28 tratados y acuerdos internacionales vinculados a las referidas salvaguardas y políticas operativas. </w:t>
      </w:r>
    </w:p>
    <w:p w14:paraId="2EFA6580" w14:textId="77777777" w:rsidR="001D1EE3" w:rsidRPr="009A27ED" w:rsidRDefault="001D1EE3" w:rsidP="001D1EE3">
      <w:pPr>
        <w:tabs>
          <w:tab w:val="left" w:pos="8080"/>
          <w:tab w:val="left" w:pos="8647"/>
        </w:tabs>
        <w:spacing w:after="0" w:line="360" w:lineRule="auto"/>
        <w:rPr>
          <w:color w:val="000000" w:themeColor="text1"/>
          <w:szCs w:val="22"/>
        </w:rPr>
      </w:pPr>
    </w:p>
    <w:p w14:paraId="735D3D38" w14:textId="6DA12CAB" w:rsidR="00407322" w:rsidRPr="009A27ED" w:rsidRDefault="00407322" w:rsidP="001D1EE3">
      <w:pPr>
        <w:pStyle w:val="NormalWeb"/>
        <w:tabs>
          <w:tab w:val="left" w:pos="8080"/>
          <w:tab w:val="left" w:pos="8647"/>
        </w:tabs>
        <w:spacing w:before="0" w:beforeAutospacing="0" w:after="0" w:afterAutospacing="0" w:line="360" w:lineRule="auto"/>
        <w:jc w:val="both"/>
        <w:rPr>
          <w:rFonts w:asciiTheme="minorHAnsi" w:hAnsiTheme="minorHAnsi" w:cstheme="minorHAnsi"/>
          <w:color w:val="000000" w:themeColor="text1"/>
          <w:szCs w:val="22"/>
          <w:lang w:val="es-ES"/>
        </w:rPr>
      </w:pPr>
      <w:r w:rsidRPr="009A27ED">
        <w:rPr>
          <w:rFonts w:asciiTheme="minorHAnsi" w:hAnsiTheme="minorHAnsi" w:cstheme="minorHAnsi"/>
          <w:color w:val="000000" w:themeColor="text1"/>
          <w:sz w:val="24"/>
          <w:szCs w:val="22"/>
          <w:lang w:val="es-ES"/>
        </w:rPr>
        <w:t>El enfoque metodológico utilizado se basa en el marco de interpretación legal presentado en el documento “Guía para Comprender e Implementar las Salvaguardas REDD+ de la CMNUCC”. Partiendo de la base de dichos principios y elementos esenciales se llevó a cabo la identificación del marco jurídico nacional y de los instrumentos internacionales relevantes y aplicables a República Dominicana de acuerdo con su relevancia y semejanza temática.</w:t>
      </w:r>
    </w:p>
    <w:p w14:paraId="5B3B97E7" w14:textId="77777777" w:rsidR="001D1EE3" w:rsidRPr="009A27ED" w:rsidRDefault="001D1EE3" w:rsidP="001D1EE3">
      <w:pPr>
        <w:pStyle w:val="NormalWeb"/>
        <w:tabs>
          <w:tab w:val="left" w:pos="8080"/>
          <w:tab w:val="left" w:pos="8647"/>
        </w:tabs>
        <w:spacing w:before="0" w:beforeAutospacing="0" w:after="0" w:afterAutospacing="0" w:line="360" w:lineRule="auto"/>
        <w:jc w:val="both"/>
        <w:rPr>
          <w:rFonts w:asciiTheme="minorHAnsi" w:hAnsiTheme="minorHAnsi" w:cstheme="minorHAnsi"/>
          <w:color w:val="000000" w:themeColor="text1"/>
          <w:szCs w:val="22"/>
          <w:lang w:val="es-ES"/>
        </w:rPr>
      </w:pPr>
    </w:p>
    <w:p w14:paraId="0B702C06" w14:textId="183F5575" w:rsidR="00407322" w:rsidRPr="009A27ED" w:rsidRDefault="00407322" w:rsidP="001D1EE3">
      <w:pPr>
        <w:pStyle w:val="NormalWeb"/>
        <w:spacing w:before="0" w:beforeAutospacing="0" w:after="0" w:afterAutospacing="0" w:line="360" w:lineRule="auto"/>
        <w:jc w:val="both"/>
        <w:rPr>
          <w:rFonts w:asciiTheme="minorHAnsi" w:hAnsiTheme="minorHAnsi" w:cstheme="minorHAnsi"/>
          <w:color w:val="000000" w:themeColor="text1"/>
          <w:szCs w:val="22"/>
          <w:lang w:val="es-ES"/>
        </w:rPr>
      </w:pPr>
      <w:r w:rsidRPr="009A27ED">
        <w:rPr>
          <w:rFonts w:asciiTheme="minorHAnsi" w:hAnsiTheme="minorHAnsi" w:cstheme="minorHAnsi"/>
          <w:color w:val="000000" w:themeColor="text1"/>
          <w:sz w:val="24"/>
          <w:szCs w:val="22"/>
          <w:lang w:val="es-ES"/>
        </w:rPr>
        <w:t xml:space="preserve">Con base en reportes existentes y una identificación de escritorio, así como la realización entrevistas iniciales, se elaboró un listado preliminar de normas legales (leyes, reglamentos y otras normas individualizadas), así como de políticas, estrategias y programas que pudieran tener relación con cada uno de los criterios y </w:t>
      </w:r>
      <w:proofErr w:type="spellStart"/>
      <w:r w:rsidRPr="009A27ED">
        <w:rPr>
          <w:rFonts w:asciiTheme="minorHAnsi" w:hAnsiTheme="minorHAnsi" w:cstheme="minorHAnsi"/>
          <w:color w:val="000000" w:themeColor="text1"/>
          <w:sz w:val="24"/>
          <w:szCs w:val="22"/>
          <w:lang w:val="es-ES"/>
        </w:rPr>
        <w:t>sub-criterios</w:t>
      </w:r>
      <w:proofErr w:type="spellEnd"/>
      <w:r w:rsidRPr="009A27ED">
        <w:rPr>
          <w:rFonts w:asciiTheme="minorHAnsi" w:hAnsiTheme="minorHAnsi" w:cstheme="minorHAnsi"/>
          <w:color w:val="000000" w:themeColor="text1"/>
          <w:sz w:val="24"/>
          <w:szCs w:val="22"/>
          <w:lang w:val="es-ES"/>
        </w:rPr>
        <w:t xml:space="preserve"> de las Salvaguardas REDD+ de la CMNUCC y las políticas operativas del Banco Mundial.</w:t>
      </w:r>
    </w:p>
    <w:p w14:paraId="50BE297E" w14:textId="77777777" w:rsidR="001D1EE3" w:rsidRPr="009A27ED" w:rsidRDefault="001D1EE3" w:rsidP="001D1EE3">
      <w:pPr>
        <w:pStyle w:val="NormalWeb"/>
        <w:spacing w:before="0" w:beforeAutospacing="0" w:after="0" w:afterAutospacing="0" w:line="360" w:lineRule="auto"/>
        <w:jc w:val="both"/>
        <w:rPr>
          <w:rFonts w:asciiTheme="minorHAnsi" w:hAnsiTheme="minorHAnsi" w:cstheme="minorHAnsi"/>
          <w:color w:val="000000" w:themeColor="text1"/>
          <w:szCs w:val="22"/>
          <w:lang w:val="es-ES"/>
        </w:rPr>
      </w:pPr>
    </w:p>
    <w:p w14:paraId="1124D92F" w14:textId="2A4AA542" w:rsidR="00407322" w:rsidRPr="009A27ED" w:rsidRDefault="00407322" w:rsidP="001D1EE3">
      <w:pPr>
        <w:tabs>
          <w:tab w:val="left" w:pos="8080"/>
          <w:tab w:val="left" w:pos="8647"/>
        </w:tabs>
        <w:spacing w:after="0" w:line="360" w:lineRule="auto"/>
        <w:rPr>
          <w:rFonts w:ascii="Calibri" w:hAnsi="Calibri" w:cs="Calibri"/>
          <w:color w:val="000000" w:themeColor="text1"/>
          <w:szCs w:val="22"/>
        </w:rPr>
      </w:pPr>
      <w:r w:rsidRPr="009A27ED">
        <w:rPr>
          <w:rFonts w:ascii="Times New Roman" w:eastAsia="Times New Roman" w:hAnsi="Times New Roman"/>
          <w:color w:val="000000" w:themeColor="text1"/>
          <w:sz w:val="24"/>
          <w:szCs w:val="22"/>
        </w:rPr>
        <w:t xml:space="preserve">Ante los vacíos y brechas identificados en el marco legal, se plantean sugerencias para el abordaje de estos, al mismo tiempo que se recomienda </w:t>
      </w:r>
      <w:r w:rsidRPr="009A27ED">
        <w:rPr>
          <w:rFonts w:ascii="Times New Roman" w:eastAsia="Times New Roman" w:hAnsi="Times New Roman" w:cs="Calibri"/>
          <w:color w:val="000000" w:themeColor="text1"/>
          <w:sz w:val="24"/>
          <w:szCs w:val="22"/>
        </w:rPr>
        <w:t>abordarlos a través de instrumentos legales que complementarán al marco legal existente. En lo que respecta a las recomendaciones, estas consideran acciones a corto, mediano y largo plazo de carácter ejecutivo, modificaciones a instrumentos legales existentes, creación de nuevas leyes o normas y promulgación de proyectos de ley existentes. Asimismo, se resalta que el alcance y naturaleza jurídica de cada uno de los instrumentos sugeridos dependerá del contexto, viabilidad y decisiones políticas.</w:t>
      </w:r>
    </w:p>
    <w:p w14:paraId="0CB2B0B1" w14:textId="77777777" w:rsidR="001D1EE3" w:rsidRPr="009A27ED" w:rsidRDefault="001D1EE3" w:rsidP="001D1EE3">
      <w:pPr>
        <w:tabs>
          <w:tab w:val="left" w:pos="8080"/>
          <w:tab w:val="left" w:pos="8647"/>
        </w:tabs>
        <w:spacing w:after="0" w:line="360" w:lineRule="auto"/>
        <w:rPr>
          <w:rFonts w:ascii="Calibri" w:hAnsi="Calibri" w:cs="Calibri"/>
          <w:color w:val="000000" w:themeColor="text1"/>
          <w:szCs w:val="22"/>
        </w:rPr>
      </w:pPr>
    </w:p>
    <w:p w14:paraId="78827801" w14:textId="77777777" w:rsidR="00CB4BC3" w:rsidRPr="009A27ED" w:rsidRDefault="00407322" w:rsidP="001D1EE3">
      <w:pPr>
        <w:tabs>
          <w:tab w:val="left" w:pos="8080"/>
          <w:tab w:val="left" w:pos="8647"/>
        </w:tabs>
        <w:spacing w:after="0" w:line="360" w:lineRule="auto"/>
        <w:rPr>
          <w:rFonts w:ascii="Calibri" w:hAnsi="Calibri" w:cs="Calibri"/>
          <w:color w:val="000000" w:themeColor="text1"/>
          <w:szCs w:val="22"/>
        </w:rPr>
      </w:pPr>
      <w:r w:rsidRPr="009A27ED">
        <w:rPr>
          <w:rFonts w:ascii="Times New Roman" w:eastAsia="Times New Roman" w:hAnsi="Times New Roman" w:cs="Calibri"/>
          <w:color w:val="000000" w:themeColor="text1"/>
          <w:sz w:val="24"/>
          <w:szCs w:val="22"/>
        </w:rPr>
        <w:t>En cuanto al marco institucional, se destaca que los ajustes y recomendaciones no implican modificaciones o enmiendas a las disposiciones o mandatos existentes, por considerar que la normativa vigente resulta adecuada y suficiente. En este sentido se presentan las recomendaciones por institución, conforme a la identificación realizada en el marco de la revisión de sus leyes orgánicas</w:t>
      </w:r>
      <w:r w:rsidR="00CB4BC3" w:rsidRPr="009A27ED">
        <w:rPr>
          <w:rFonts w:ascii="Times New Roman" w:eastAsia="Times New Roman" w:hAnsi="Times New Roman" w:cs="Calibri"/>
          <w:color w:val="000000" w:themeColor="text1"/>
          <w:sz w:val="24"/>
          <w:szCs w:val="22"/>
        </w:rPr>
        <w:t>.</w:t>
      </w:r>
    </w:p>
    <w:p w14:paraId="6B4B4C42" w14:textId="77777777" w:rsidR="001E7280" w:rsidRPr="009A27ED" w:rsidRDefault="001E7280" w:rsidP="001D1EE3">
      <w:pPr>
        <w:tabs>
          <w:tab w:val="left" w:pos="8080"/>
          <w:tab w:val="left" w:pos="8647"/>
        </w:tabs>
        <w:spacing w:after="0" w:line="360" w:lineRule="auto"/>
        <w:rPr>
          <w:rFonts w:ascii="Calibri" w:hAnsi="Calibri" w:cs="Calibri"/>
          <w:color w:val="000000" w:themeColor="text1"/>
          <w:szCs w:val="22"/>
        </w:rPr>
      </w:pPr>
    </w:p>
    <w:p w14:paraId="714A266E" w14:textId="2B28D68B" w:rsidR="00FF79A0" w:rsidRPr="009A27ED" w:rsidRDefault="00FF79A0" w:rsidP="001D1EE3">
      <w:pPr>
        <w:tabs>
          <w:tab w:val="left" w:pos="8080"/>
          <w:tab w:val="left" w:pos="8647"/>
        </w:tabs>
        <w:spacing w:after="0" w:line="360" w:lineRule="auto"/>
        <w:rPr>
          <w:rFonts w:ascii="Calibri" w:hAnsi="Calibri" w:cs="Calibri"/>
          <w:color w:val="000000" w:themeColor="text1"/>
          <w:szCs w:val="22"/>
        </w:rPr>
      </w:pPr>
      <w:r w:rsidRPr="009A27ED">
        <w:rPr>
          <w:rFonts w:ascii="Times New Roman" w:eastAsia="Times New Roman" w:hAnsi="Times New Roman"/>
          <w:sz w:val="24"/>
          <w:szCs w:val="22"/>
        </w:rPr>
        <w:t>En el Anexo 01 se presenta un cuadro que analiza la legislación nacional relevante a la EN-REDD+ vinculada a las políticas operativas del Banco Mundial. Se considera que el marco jurídico del país será un componente clave para evitar, mitigar, y minimizar impactos adversos sociales y ambientales, y, por tanto, será utilizado para dar respuesta a las políticas operativas aplicables.</w:t>
      </w:r>
      <w:r w:rsidR="00CB4BC3" w:rsidRPr="009A27ED">
        <w:rPr>
          <w:rFonts w:ascii="Times New Roman" w:eastAsia="Times New Roman" w:hAnsi="Times New Roman" w:cs="Calibri"/>
          <w:color w:val="000000" w:themeColor="text1"/>
          <w:sz w:val="24"/>
          <w:szCs w:val="22"/>
        </w:rPr>
        <w:t xml:space="preserve"> </w:t>
      </w:r>
      <w:r w:rsidRPr="009A27ED">
        <w:rPr>
          <w:rFonts w:ascii="Times New Roman" w:eastAsia="Times New Roman" w:hAnsi="Times New Roman"/>
          <w:sz w:val="24"/>
          <w:szCs w:val="22"/>
        </w:rPr>
        <w:t xml:space="preserve">Estos resultados servirán como base </w:t>
      </w:r>
      <w:r w:rsidR="003C5828" w:rsidRPr="009A27ED">
        <w:rPr>
          <w:rFonts w:ascii="Times New Roman" w:eastAsia="Times New Roman" w:hAnsi="Times New Roman"/>
          <w:sz w:val="24"/>
          <w:szCs w:val="22"/>
        </w:rPr>
        <w:t>legal d</w:t>
      </w:r>
      <w:r w:rsidRPr="009A27ED">
        <w:rPr>
          <w:rFonts w:ascii="Times New Roman" w:eastAsia="Times New Roman" w:hAnsi="Times New Roman"/>
          <w:sz w:val="24"/>
          <w:szCs w:val="22"/>
        </w:rPr>
        <w:t xml:space="preserve">el Marco de Gestión Ambiental y Social (MGAS) para REDD+ del país, dado que es en esa herramienta/reporte que se definirá cómo el país asegurará el cumplimiento y reporte de las salvaguardas REDD+ y PO. Haber identificado el marco legal relevante, vacíos y recomendaciones, permitirá </w:t>
      </w:r>
      <w:r w:rsidR="003C5828" w:rsidRPr="009A27ED">
        <w:rPr>
          <w:rFonts w:ascii="Times New Roman" w:eastAsia="Times New Roman" w:hAnsi="Times New Roman"/>
          <w:sz w:val="24"/>
          <w:szCs w:val="22"/>
        </w:rPr>
        <w:t>a</w:t>
      </w:r>
      <w:r w:rsidRPr="009A27ED">
        <w:rPr>
          <w:rFonts w:ascii="Times New Roman" w:eastAsia="Times New Roman" w:hAnsi="Times New Roman"/>
          <w:sz w:val="24"/>
          <w:szCs w:val="22"/>
        </w:rPr>
        <w:t xml:space="preserve">l MGAS </w:t>
      </w:r>
      <w:r w:rsidRPr="009A27ED">
        <w:rPr>
          <w:rFonts w:ascii="Times New Roman" w:eastAsia="Times New Roman" w:hAnsi="Times New Roman" w:cs="Calibri"/>
          <w:sz w:val="24"/>
          <w:szCs w:val="22"/>
        </w:rPr>
        <w:t xml:space="preserve">a través del marco jurídico e institucional </w:t>
      </w:r>
      <w:r w:rsidRPr="009A27ED">
        <w:rPr>
          <w:rFonts w:ascii="Times New Roman" w:eastAsia="Times New Roman" w:hAnsi="Times New Roman"/>
          <w:color w:val="000000" w:themeColor="text1"/>
          <w:sz w:val="24"/>
          <w:szCs w:val="22"/>
        </w:rPr>
        <w:t xml:space="preserve">evitar, mitigar, y minimizar impactos adversos sociales y ambientales, y, por tanto, dar respuesta a las PO del BM. </w:t>
      </w:r>
    </w:p>
    <w:p w14:paraId="18329071" w14:textId="095CD16A" w:rsidR="005D0285" w:rsidRPr="009A27ED" w:rsidRDefault="005D0285" w:rsidP="00C60F88">
      <w:pPr>
        <w:pStyle w:val="Ttulo2"/>
        <w:numPr>
          <w:ilvl w:val="0"/>
          <w:numId w:val="0"/>
        </w:numPr>
        <w:spacing w:line="360" w:lineRule="auto"/>
        <w:ind w:left="576"/>
        <w:jc w:val="both"/>
        <w:rPr>
          <w:sz w:val="24"/>
          <w:szCs w:val="24"/>
        </w:rPr>
      </w:pPr>
      <w:bookmarkStart w:id="185" w:name="_Toc272062259"/>
      <w:bookmarkStart w:id="186" w:name="_Toc514849957"/>
      <w:bookmarkStart w:id="187" w:name="_Toc526521603"/>
      <w:bookmarkStart w:id="188" w:name="_Toc526522758"/>
      <w:bookmarkStart w:id="189" w:name="_Toc526522840"/>
      <w:bookmarkStart w:id="190" w:name="_Toc529469991"/>
      <w:bookmarkStart w:id="191" w:name="_Toc532335854"/>
      <w:bookmarkStart w:id="192" w:name="_Toc111837936"/>
      <w:r w:rsidRPr="009A27ED">
        <w:rPr>
          <w:rFonts w:ascii="Times New Roman" w:eastAsia="Times New Roman" w:hAnsi="Times New Roman"/>
          <w:sz w:val="24"/>
          <w:szCs w:val="24"/>
        </w:rPr>
        <w:lastRenderedPageBreak/>
        <w:t>3</w:t>
      </w:r>
      <w:r w:rsidR="007D3A34" w:rsidRPr="009A27ED">
        <w:rPr>
          <w:rFonts w:ascii="Times New Roman" w:eastAsia="Times New Roman" w:hAnsi="Times New Roman"/>
          <w:sz w:val="24"/>
          <w:szCs w:val="24"/>
        </w:rPr>
        <w:t xml:space="preserve">.2. </w:t>
      </w:r>
      <w:r w:rsidR="00947670" w:rsidRPr="009A27ED">
        <w:rPr>
          <w:rFonts w:ascii="Times New Roman" w:eastAsia="Times New Roman" w:hAnsi="Times New Roman"/>
          <w:sz w:val="24"/>
          <w:szCs w:val="24"/>
        </w:rPr>
        <w:t xml:space="preserve">Instrumentos internacionales ratificados/firmados por República Dominicana relevantes a las </w:t>
      </w:r>
      <w:bookmarkEnd w:id="185"/>
      <w:bookmarkEnd w:id="186"/>
      <w:r w:rsidR="00947670" w:rsidRPr="009A27ED">
        <w:rPr>
          <w:rFonts w:ascii="Times New Roman" w:eastAsia="Times New Roman" w:hAnsi="Times New Roman"/>
          <w:sz w:val="24"/>
          <w:szCs w:val="24"/>
        </w:rPr>
        <w:t>PO del BM aplicables</w:t>
      </w:r>
      <w:bookmarkEnd w:id="187"/>
      <w:bookmarkEnd w:id="188"/>
      <w:bookmarkEnd w:id="189"/>
      <w:bookmarkEnd w:id="190"/>
      <w:bookmarkEnd w:id="191"/>
      <w:bookmarkEnd w:id="192"/>
    </w:p>
    <w:p w14:paraId="0B38F2B7" w14:textId="017853E1" w:rsidR="005D0285" w:rsidRPr="009A27ED" w:rsidRDefault="005D0285" w:rsidP="005D0285">
      <w:pPr>
        <w:spacing w:line="360" w:lineRule="auto"/>
        <w:rPr>
          <w:szCs w:val="22"/>
        </w:rPr>
      </w:pPr>
      <w:r w:rsidRPr="009A27ED">
        <w:rPr>
          <w:rFonts w:ascii="Times New Roman" w:eastAsia="Times New Roman" w:hAnsi="Times New Roman"/>
          <w:sz w:val="24"/>
          <w:szCs w:val="22"/>
        </w:rPr>
        <w:t>El siguiente cuadro muestra los instrumentos internacionales ratificados/firmados por República Dominicana relevantes a las Políticas Operativas del BM aplicables:</w:t>
      </w:r>
    </w:p>
    <w:p w14:paraId="7187B927" w14:textId="1F481CD7" w:rsidR="00F43DB6" w:rsidRPr="009A27ED" w:rsidRDefault="00F43DB6" w:rsidP="00F43DB6">
      <w:pPr>
        <w:pStyle w:val="Descripcin"/>
        <w:keepNext/>
        <w:spacing w:line="360" w:lineRule="auto"/>
      </w:pPr>
      <w:bookmarkStart w:id="193" w:name="_Toc111887443"/>
      <w:r w:rsidRPr="009A27ED">
        <w:rPr>
          <w:rFonts w:ascii="Times New Roman" w:eastAsia="Times New Roman" w:hAnsi="Times New Roman"/>
          <w:sz w:val="24"/>
        </w:rPr>
        <w:t xml:space="preserve">Cuadro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Cuadro \* ARABIC </w:instrText>
      </w:r>
      <w:r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33</w:t>
      </w:r>
      <w:r w:rsidRPr="009A27ED">
        <w:rPr>
          <w:rFonts w:ascii="Times New Roman" w:eastAsia="Times New Roman" w:hAnsi="Times New Roman"/>
          <w:sz w:val="24"/>
        </w:rPr>
        <w:fldChar w:fldCharType="end"/>
      </w:r>
      <w:r w:rsidRPr="009A27ED">
        <w:rPr>
          <w:rFonts w:ascii="Times New Roman" w:eastAsia="Times New Roman" w:hAnsi="Times New Roman"/>
          <w:color w:val="auto"/>
          <w:sz w:val="24"/>
        </w:rPr>
        <w:t xml:space="preserve">. Instrumentos internacionales ratificados/firmados por República Dominicana </w:t>
      </w:r>
      <w:r w:rsidR="00827E46" w:rsidRPr="009A27ED">
        <w:rPr>
          <w:rFonts w:ascii="Times New Roman" w:eastAsia="Times New Roman" w:hAnsi="Times New Roman"/>
          <w:color w:val="auto"/>
          <w:sz w:val="24"/>
        </w:rPr>
        <w:t xml:space="preserve">relevantes y  aplicables </w:t>
      </w:r>
      <w:r w:rsidRPr="009A27ED">
        <w:rPr>
          <w:rFonts w:ascii="Times New Roman" w:eastAsia="Times New Roman" w:hAnsi="Times New Roman"/>
          <w:color w:val="auto"/>
          <w:sz w:val="24"/>
        </w:rPr>
        <w:t xml:space="preserve"> a las PO del BM</w:t>
      </w:r>
      <w:bookmarkEnd w:id="193"/>
    </w:p>
    <w:tbl>
      <w:tblPr>
        <w:tblStyle w:val="GridTable1Light-Accent12"/>
        <w:tblW w:w="9067" w:type="dxa"/>
        <w:tblLook w:val="04A0" w:firstRow="1" w:lastRow="0" w:firstColumn="1" w:lastColumn="0" w:noHBand="0" w:noVBand="1"/>
      </w:tblPr>
      <w:tblGrid>
        <w:gridCol w:w="3998"/>
        <w:gridCol w:w="5069"/>
      </w:tblGrid>
      <w:tr w:rsidR="00C13A82" w:rsidRPr="009A27ED" w14:paraId="5B7A877F" w14:textId="77777777" w:rsidTr="00C13A82">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998" w:type="dxa"/>
            <w:shd w:val="clear" w:color="auto" w:fill="0070C0"/>
          </w:tcPr>
          <w:p w14:paraId="2868658B" w14:textId="77777777" w:rsidR="00947670" w:rsidRPr="009A27ED" w:rsidRDefault="00947670" w:rsidP="004F0168">
            <w:pPr>
              <w:spacing w:after="0"/>
              <w:jc w:val="center"/>
              <w:rPr>
                <w:b w:val="0"/>
                <w:bCs w:val="0"/>
                <w:color w:val="FFFFFF" w:themeColor="background1"/>
                <w:sz w:val="20"/>
                <w:szCs w:val="20"/>
              </w:rPr>
            </w:pPr>
            <w:r w:rsidRPr="009A27ED">
              <w:rPr>
                <w:color w:val="FFFFFF" w:themeColor="background1"/>
                <w:sz w:val="20"/>
                <w:szCs w:val="20"/>
              </w:rPr>
              <w:t>A</w:t>
            </w:r>
            <w:r w:rsidR="002E71CC" w:rsidRPr="009A27ED">
              <w:rPr>
                <w:color w:val="FFFFFF" w:themeColor="background1"/>
                <w:sz w:val="20"/>
                <w:szCs w:val="20"/>
              </w:rPr>
              <w:t>cuerdo Internacional</w:t>
            </w:r>
          </w:p>
          <w:p w14:paraId="4BE99E02" w14:textId="187DAD27" w:rsidR="00E20DC2" w:rsidRPr="009A27ED" w:rsidRDefault="00E20DC2" w:rsidP="004F0168">
            <w:pPr>
              <w:spacing w:after="0"/>
              <w:jc w:val="center"/>
              <w:rPr>
                <w:color w:val="FFFFFF" w:themeColor="background1"/>
                <w:sz w:val="20"/>
                <w:szCs w:val="20"/>
              </w:rPr>
            </w:pPr>
          </w:p>
        </w:tc>
        <w:tc>
          <w:tcPr>
            <w:tcW w:w="5069" w:type="dxa"/>
            <w:shd w:val="clear" w:color="auto" w:fill="0070C0"/>
          </w:tcPr>
          <w:p w14:paraId="5C5F9F99" w14:textId="28AD34DA" w:rsidR="002E71CC" w:rsidRPr="009A27ED" w:rsidRDefault="00947670" w:rsidP="009222C9">
            <w:pPr>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20"/>
                <w:szCs w:val="20"/>
              </w:rPr>
            </w:pPr>
            <w:r w:rsidRPr="009A27ED">
              <w:rPr>
                <w:color w:val="FFFFFF" w:themeColor="background1"/>
                <w:sz w:val="20"/>
                <w:szCs w:val="20"/>
              </w:rPr>
              <w:t>E</w:t>
            </w:r>
            <w:r w:rsidR="002E71CC" w:rsidRPr="009A27ED">
              <w:rPr>
                <w:color w:val="FFFFFF" w:themeColor="background1"/>
                <w:sz w:val="20"/>
                <w:szCs w:val="20"/>
              </w:rPr>
              <w:t>status en República Dominicana</w:t>
            </w:r>
          </w:p>
        </w:tc>
      </w:tr>
      <w:tr w:rsidR="00F43DB6" w:rsidRPr="009A27ED" w14:paraId="1F9C9DA0" w14:textId="77777777" w:rsidTr="00C13A82">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998" w:type="dxa"/>
            <w:shd w:val="clear" w:color="auto" w:fill="0070C0"/>
          </w:tcPr>
          <w:p w14:paraId="6A658318" w14:textId="77777777" w:rsidR="00F43DB6" w:rsidRPr="009A27ED" w:rsidRDefault="00F43DB6" w:rsidP="004F0168">
            <w:pPr>
              <w:spacing w:after="0"/>
              <w:jc w:val="center"/>
              <w:rPr>
                <w:color w:val="FFFFFF" w:themeColor="background1"/>
                <w:sz w:val="20"/>
                <w:szCs w:val="20"/>
              </w:rPr>
            </w:pPr>
          </w:p>
        </w:tc>
        <w:tc>
          <w:tcPr>
            <w:tcW w:w="5069" w:type="dxa"/>
            <w:shd w:val="clear" w:color="auto" w:fill="0070C0"/>
          </w:tcPr>
          <w:p w14:paraId="536332B1" w14:textId="77777777" w:rsidR="00F43DB6" w:rsidRPr="009A27ED" w:rsidRDefault="00F43DB6" w:rsidP="009222C9">
            <w:pPr>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20"/>
                <w:szCs w:val="20"/>
              </w:rPr>
            </w:pPr>
          </w:p>
        </w:tc>
      </w:tr>
      <w:tr w:rsidR="00947670" w:rsidRPr="009A27ED" w14:paraId="021A17CE" w14:textId="77777777" w:rsidTr="004216B9">
        <w:tc>
          <w:tcPr>
            <w:cnfStyle w:val="001000000000" w:firstRow="0" w:lastRow="0" w:firstColumn="1" w:lastColumn="0" w:oddVBand="0" w:evenVBand="0" w:oddHBand="0" w:evenHBand="0" w:firstRowFirstColumn="0" w:firstRowLastColumn="0" w:lastRowFirstColumn="0" w:lastRowLastColumn="0"/>
            <w:tcW w:w="3998" w:type="dxa"/>
          </w:tcPr>
          <w:p w14:paraId="06AD07F4" w14:textId="77777777" w:rsidR="00947670" w:rsidRPr="009A27ED" w:rsidRDefault="00947670" w:rsidP="00D42802">
            <w:pPr>
              <w:numPr>
                <w:ilvl w:val="0"/>
                <w:numId w:val="52"/>
              </w:numPr>
              <w:spacing w:after="0"/>
              <w:rPr>
                <w:b w:val="0"/>
                <w:sz w:val="20"/>
                <w:szCs w:val="20"/>
              </w:rPr>
            </w:pPr>
            <w:r w:rsidRPr="009A27ED">
              <w:rPr>
                <w:sz w:val="20"/>
                <w:szCs w:val="20"/>
              </w:rPr>
              <w:t>Convención Americana sobre Derechos Humanos (“Pacto San José de Costa Rica”) (1969).</w:t>
            </w:r>
            <w:r w:rsidRPr="009A27ED">
              <w:rPr>
                <w:rStyle w:val="Refdenotaalpie"/>
                <w:rFonts w:asciiTheme="minorHAnsi" w:hAnsiTheme="minorHAnsi"/>
                <w:sz w:val="20"/>
                <w:szCs w:val="20"/>
              </w:rPr>
              <w:t xml:space="preserve"> </w:t>
            </w:r>
          </w:p>
        </w:tc>
        <w:tc>
          <w:tcPr>
            <w:tcW w:w="5069" w:type="dxa"/>
          </w:tcPr>
          <w:p w14:paraId="3716D5F0" w14:textId="77777777" w:rsidR="00947670" w:rsidRPr="009A27ED" w:rsidRDefault="00947670" w:rsidP="004F0168">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Ratificado mediante resolución No. 739 el 25 de diciembre de 1977</w:t>
            </w:r>
            <w:r w:rsidRPr="009A27ED">
              <w:rPr>
                <w:rStyle w:val="Refdenotaalpie"/>
                <w:rFonts w:asciiTheme="minorHAnsi" w:hAnsiTheme="minorHAnsi"/>
                <w:sz w:val="20"/>
                <w:szCs w:val="20"/>
              </w:rPr>
              <w:footnoteReference w:id="38"/>
            </w:r>
            <w:r w:rsidRPr="009A27ED">
              <w:rPr>
                <w:sz w:val="20"/>
                <w:szCs w:val="20"/>
              </w:rPr>
              <w:t>.</w:t>
            </w:r>
          </w:p>
        </w:tc>
      </w:tr>
      <w:tr w:rsidR="00947670" w:rsidRPr="009A27ED" w14:paraId="65351DC5" w14:textId="77777777" w:rsidTr="004216B9">
        <w:trPr>
          <w:trHeight w:val="1164"/>
        </w:trPr>
        <w:tc>
          <w:tcPr>
            <w:cnfStyle w:val="001000000000" w:firstRow="0" w:lastRow="0" w:firstColumn="1" w:lastColumn="0" w:oddVBand="0" w:evenVBand="0" w:oddHBand="0" w:evenHBand="0" w:firstRowFirstColumn="0" w:firstRowLastColumn="0" w:lastRowFirstColumn="0" w:lastRowLastColumn="0"/>
            <w:tcW w:w="3998" w:type="dxa"/>
          </w:tcPr>
          <w:p w14:paraId="3E0FF57B" w14:textId="77777777" w:rsidR="00947670" w:rsidRPr="009A27ED" w:rsidRDefault="00947670" w:rsidP="00D42802">
            <w:pPr>
              <w:numPr>
                <w:ilvl w:val="0"/>
                <w:numId w:val="52"/>
              </w:numPr>
              <w:spacing w:after="0"/>
              <w:rPr>
                <w:b w:val="0"/>
                <w:sz w:val="20"/>
                <w:szCs w:val="20"/>
              </w:rPr>
            </w:pPr>
            <w:r w:rsidRPr="009A27ED">
              <w:rPr>
                <w:sz w:val="20"/>
                <w:szCs w:val="20"/>
              </w:rPr>
              <w:t>Convención para la Protección de la Flora, de la Fauna y de las Bellezas Escénicas Naturales de los Países de América (Washington) (1940).</w:t>
            </w:r>
          </w:p>
        </w:tc>
        <w:tc>
          <w:tcPr>
            <w:tcW w:w="5069" w:type="dxa"/>
          </w:tcPr>
          <w:p w14:paraId="054939A5" w14:textId="77777777" w:rsidR="00947670" w:rsidRPr="009A27ED" w:rsidRDefault="00947670" w:rsidP="004F0168">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Fue firmada el 12 de octubre de 1940, entró en vigor el 5 de mayo de 1942 y ratificada el 3 de marzo de 1942 con efectividad el 3 de junio de 1942</w:t>
            </w:r>
            <w:r w:rsidRPr="009A27ED">
              <w:rPr>
                <w:rStyle w:val="Refdenotaalpie"/>
                <w:rFonts w:asciiTheme="minorHAnsi" w:hAnsiTheme="minorHAnsi"/>
                <w:sz w:val="20"/>
                <w:szCs w:val="20"/>
              </w:rPr>
              <w:footnoteReference w:id="39"/>
            </w:r>
            <w:r w:rsidRPr="009A27ED">
              <w:rPr>
                <w:sz w:val="20"/>
                <w:szCs w:val="20"/>
              </w:rPr>
              <w:t>. Fue aprobada mediante resolución no. 654 del 5 de enero de 1942</w:t>
            </w:r>
            <w:r w:rsidRPr="009A27ED">
              <w:rPr>
                <w:rStyle w:val="Refdenotaalpie"/>
                <w:rFonts w:asciiTheme="minorHAnsi" w:hAnsiTheme="minorHAnsi"/>
                <w:sz w:val="20"/>
                <w:szCs w:val="20"/>
              </w:rPr>
              <w:footnoteReference w:id="40"/>
            </w:r>
          </w:p>
        </w:tc>
      </w:tr>
      <w:tr w:rsidR="00947670" w:rsidRPr="009A27ED" w14:paraId="68D0131E" w14:textId="77777777" w:rsidTr="004216B9">
        <w:tc>
          <w:tcPr>
            <w:cnfStyle w:val="001000000000" w:firstRow="0" w:lastRow="0" w:firstColumn="1" w:lastColumn="0" w:oddVBand="0" w:evenVBand="0" w:oddHBand="0" w:evenHBand="0" w:firstRowFirstColumn="0" w:firstRowLastColumn="0" w:lastRowFirstColumn="0" w:lastRowLastColumn="0"/>
            <w:tcW w:w="3998" w:type="dxa"/>
          </w:tcPr>
          <w:p w14:paraId="41C3FC90" w14:textId="77777777" w:rsidR="00947670" w:rsidRPr="009A27ED" w:rsidRDefault="00947670" w:rsidP="00D42802">
            <w:pPr>
              <w:numPr>
                <w:ilvl w:val="0"/>
                <w:numId w:val="52"/>
              </w:numPr>
              <w:spacing w:after="0"/>
              <w:rPr>
                <w:b w:val="0"/>
                <w:sz w:val="20"/>
                <w:szCs w:val="20"/>
              </w:rPr>
            </w:pPr>
            <w:r w:rsidRPr="009A27ED">
              <w:rPr>
                <w:sz w:val="20"/>
                <w:szCs w:val="20"/>
              </w:rPr>
              <w:t xml:space="preserve">Convenio para la Protección y el Desarrollo del Medio Marino de la Región del Gran Caribe (Convenio de Cartagena) (1983). </w:t>
            </w:r>
          </w:p>
        </w:tc>
        <w:tc>
          <w:tcPr>
            <w:tcW w:w="5069" w:type="dxa"/>
          </w:tcPr>
          <w:p w14:paraId="16BCECAB" w14:textId="77777777" w:rsidR="00947670" w:rsidRPr="009A27ED" w:rsidRDefault="00947670" w:rsidP="004F0168">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Fue ratificada el 24 de noviembre de 1998 y entro en vigor el 11 de octubre de 1986</w:t>
            </w:r>
            <w:r w:rsidRPr="009A27ED">
              <w:rPr>
                <w:rStyle w:val="Refdenotaalpie"/>
                <w:rFonts w:asciiTheme="minorHAnsi" w:hAnsiTheme="minorHAnsi"/>
                <w:sz w:val="20"/>
                <w:szCs w:val="20"/>
              </w:rPr>
              <w:footnoteReference w:id="41"/>
            </w:r>
            <w:r w:rsidRPr="009A27ED">
              <w:rPr>
                <w:sz w:val="20"/>
                <w:szCs w:val="20"/>
              </w:rPr>
              <w:t>. Aprobada mediante resolución no. 359 de 1998 (Gaceta Oficial No. 9997 del 18 de agosto de 1998).</w:t>
            </w:r>
            <w:r w:rsidRPr="009A27ED">
              <w:rPr>
                <w:rStyle w:val="Refdenotaalpie"/>
                <w:rFonts w:asciiTheme="minorHAnsi" w:hAnsiTheme="minorHAnsi"/>
                <w:sz w:val="20"/>
                <w:szCs w:val="20"/>
              </w:rPr>
              <w:footnoteReference w:id="42"/>
            </w:r>
          </w:p>
        </w:tc>
      </w:tr>
      <w:tr w:rsidR="00947670" w:rsidRPr="009A27ED" w14:paraId="108ACB1F" w14:textId="77777777" w:rsidTr="004216B9">
        <w:tc>
          <w:tcPr>
            <w:cnfStyle w:val="001000000000" w:firstRow="0" w:lastRow="0" w:firstColumn="1" w:lastColumn="0" w:oddVBand="0" w:evenVBand="0" w:oddHBand="0" w:evenHBand="0" w:firstRowFirstColumn="0" w:firstRowLastColumn="0" w:lastRowFirstColumn="0" w:lastRowLastColumn="0"/>
            <w:tcW w:w="3998" w:type="dxa"/>
          </w:tcPr>
          <w:p w14:paraId="117A4C2E" w14:textId="77777777" w:rsidR="00947670" w:rsidRPr="009A27ED" w:rsidRDefault="00947670" w:rsidP="00D42802">
            <w:pPr>
              <w:numPr>
                <w:ilvl w:val="0"/>
                <w:numId w:val="52"/>
              </w:numPr>
              <w:spacing w:after="0"/>
              <w:rPr>
                <w:b w:val="0"/>
                <w:sz w:val="20"/>
                <w:szCs w:val="20"/>
              </w:rPr>
            </w:pPr>
            <w:r w:rsidRPr="009A27ED">
              <w:rPr>
                <w:sz w:val="20"/>
                <w:szCs w:val="20"/>
              </w:rPr>
              <w:t>Convención de las Naciones Unidas para Combatir la Desertificación (CNULD) (1994).</w:t>
            </w:r>
          </w:p>
        </w:tc>
        <w:tc>
          <w:tcPr>
            <w:tcW w:w="5069" w:type="dxa"/>
          </w:tcPr>
          <w:p w14:paraId="1BC931DE" w14:textId="77777777" w:rsidR="00947670" w:rsidRPr="009A27ED" w:rsidRDefault="00947670" w:rsidP="004F0168">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Aprobada por resolución no. 99 del 11 de marzo de 1997 (Gaceta Oficial No. 9956 de 1997)</w:t>
            </w:r>
            <w:r w:rsidRPr="009A27ED">
              <w:rPr>
                <w:rStyle w:val="Refdenotaalpie"/>
                <w:rFonts w:asciiTheme="minorHAnsi" w:hAnsiTheme="minorHAnsi"/>
                <w:sz w:val="20"/>
                <w:szCs w:val="20"/>
              </w:rPr>
              <w:footnoteReference w:id="43"/>
            </w:r>
            <w:r w:rsidRPr="009A27ED">
              <w:rPr>
                <w:sz w:val="20"/>
                <w:szCs w:val="20"/>
              </w:rPr>
              <w:t>.</w:t>
            </w:r>
          </w:p>
        </w:tc>
      </w:tr>
      <w:tr w:rsidR="00947670" w:rsidRPr="009A27ED" w14:paraId="141D2573" w14:textId="77777777" w:rsidTr="004216B9">
        <w:tc>
          <w:tcPr>
            <w:cnfStyle w:val="001000000000" w:firstRow="0" w:lastRow="0" w:firstColumn="1" w:lastColumn="0" w:oddVBand="0" w:evenVBand="0" w:oddHBand="0" w:evenHBand="0" w:firstRowFirstColumn="0" w:firstRowLastColumn="0" w:lastRowFirstColumn="0" w:lastRowLastColumn="0"/>
            <w:tcW w:w="3998" w:type="dxa"/>
          </w:tcPr>
          <w:p w14:paraId="379F23F4" w14:textId="79B1488C" w:rsidR="00947670" w:rsidRPr="009A27ED" w:rsidRDefault="00947670" w:rsidP="00C97A18">
            <w:pPr>
              <w:numPr>
                <w:ilvl w:val="0"/>
                <w:numId w:val="52"/>
              </w:numPr>
              <w:spacing w:after="0"/>
              <w:rPr>
                <w:b w:val="0"/>
                <w:sz w:val="20"/>
                <w:szCs w:val="20"/>
              </w:rPr>
            </w:pPr>
            <w:r w:rsidRPr="009A27ED">
              <w:rPr>
                <w:sz w:val="20"/>
                <w:szCs w:val="20"/>
              </w:rPr>
              <w:t>Convención de la UNESCO sobre la protección del patrimonio mundial, cultura y natural (1972).</w:t>
            </w:r>
          </w:p>
        </w:tc>
        <w:tc>
          <w:tcPr>
            <w:tcW w:w="5069" w:type="dxa"/>
          </w:tcPr>
          <w:p w14:paraId="6F330A40" w14:textId="77777777" w:rsidR="00947670" w:rsidRPr="009A27ED" w:rsidRDefault="00947670" w:rsidP="004F0168">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Adoptada mediante resolución 233, del 13 de octubre de 1984. Gaceta Oficial No. 9647, del 16 de octubre de 1984</w:t>
            </w:r>
            <w:r w:rsidRPr="009A27ED">
              <w:rPr>
                <w:rStyle w:val="Refdenotaalpie"/>
                <w:rFonts w:asciiTheme="minorHAnsi" w:hAnsiTheme="minorHAnsi"/>
                <w:sz w:val="20"/>
                <w:szCs w:val="20"/>
              </w:rPr>
              <w:footnoteReference w:id="44"/>
            </w:r>
            <w:r w:rsidRPr="009A27ED">
              <w:rPr>
                <w:sz w:val="20"/>
                <w:szCs w:val="20"/>
              </w:rPr>
              <w:t>.</w:t>
            </w:r>
          </w:p>
        </w:tc>
      </w:tr>
      <w:tr w:rsidR="00947670" w:rsidRPr="009A27ED" w14:paraId="69A654BA" w14:textId="77777777" w:rsidTr="004216B9">
        <w:tc>
          <w:tcPr>
            <w:cnfStyle w:val="001000000000" w:firstRow="0" w:lastRow="0" w:firstColumn="1" w:lastColumn="0" w:oddVBand="0" w:evenVBand="0" w:oddHBand="0" w:evenHBand="0" w:firstRowFirstColumn="0" w:firstRowLastColumn="0" w:lastRowFirstColumn="0" w:lastRowLastColumn="0"/>
            <w:tcW w:w="3998" w:type="dxa"/>
          </w:tcPr>
          <w:p w14:paraId="3D326B58" w14:textId="77777777" w:rsidR="00947670" w:rsidRPr="009A27ED" w:rsidRDefault="00947670" w:rsidP="00D42802">
            <w:pPr>
              <w:numPr>
                <w:ilvl w:val="0"/>
                <w:numId w:val="52"/>
              </w:numPr>
              <w:spacing w:after="0"/>
              <w:rPr>
                <w:b w:val="0"/>
                <w:sz w:val="20"/>
                <w:szCs w:val="20"/>
              </w:rPr>
            </w:pPr>
            <w:r w:rsidRPr="009A27ED">
              <w:rPr>
                <w:sz w:val="20"/>
                <w:szCs w:val="20"/>
              </w:rPr>
              <w:t>Convención Interamericana para Prevenir, Sancionar y Erradicar la Violencia contra la Mujer (“Convención de Belem do Para) (1995)</w:t>
            </w:r>
          </w:p>
        </w:tc>
        <w:tc>
          <w:tcPr>
            <w:tcW w:w="5069" w:type="dxa"/>
          </w:tcPr>
          <w:p w14:paraId="524CDC25" w14:textId="77777777" w:rsidR="00947670" w:rsidRPr="009A27ED" w:rsidRDefault="00947670" w:rsidP="00947670">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Ratificada mediante resolución no. 9915 del 30 de noviembre de 1995</w:t>
            </w:r>
            <w:r w:rsidRPr="009A27ED">
              <w:rPr>
                <w:rStyle w:val="Refdenotaalpie"/>
                <w:rFonts w:asciiTheme="minorHAnsi" w:hAnsiTheme="minorHAnsi"/>
                <w:sz w:val="20"/>
                <w:szCs w:val="20"/>
              </w:rPr>
              <w:footnoteReference w:id="45"/>
            </w:r>
            <w:r w:rsidRPr="009A27ED">
              <w:rPr>
                <w:sz w:val="20"/>
                <w:szCs w:val="20"/>
              </w:rPr>
              <w:t>.</w:t>
            </w:r>
          </w:p>
        </w:tc>
      </w:tr>
      <w:tr w:rsidR="00947670" w:rsidRPr="009A27ED" w14:paraId="4BFB7B55" w14:textId="77777777" w:rsidTr="004216B9">
        <w:tc>
          <w:tcPr>
            <w:cnfStyle w:val="001000000000" w:firstRow="0" w:lastRow="0" w:firstColumn="1" w:lastColumn="0" w:oddVBand="0" w:evenVBand="0" w:oddHBand="0" w:evenHBand="0" w:firstRowFirstColumn="0" w:firstRowLastColumn="0" w:lastRowFirstColumn="0" w:lastRowLastColumn="0"/>
            <w:tcW w:w="3998" w:type="dxa"/>
          </w:tcPr>
          <w:p w14:paraId="2D0D42E1" w14:textId="77777777" w:rsidR="00947670" w:rsidRPr="009A27ED" w:rsidRDefault="00947670" w:rsidP="00D42802">
            <w:pPr>
              <w:numPr>
                <w:ilvl w:val="0"/>
                <w:numId w:val="52"/>
              </w:numPr>
              <w:spacing w:after="0"/>
              <w:rPr>
                <w:b w:val="0"/>
                <w:sz w:val="20"/>
                <w:szCs w:val="20"/>
              </w:rPr>
            </w:pPr>
            <w:r w:rsidRPr="009A27ED">
              <w:rPr>
                <w:sz w:val="20"/>
                <w:szCs w:val="20"/>
              </w:rPr>
              <w:t>Convención Marco de las Naciones Unidas sobre el Cambio Climático (CMNUCC) (1992)</w:t>
            </w:r>
          </w:p>
        </w:tc>
        <w:tc>
          <w:tcPr>
            <w:tcW w:w="5069" w:type="dxa"/>
          </w:tcPr>
          <w:p w14:paraId="70CB8D5F" w14:textId="77777777" w:rsidR="00947670" w:rsidRPr="009A27ED" w:rsidRDefault="00947670" w:rsidP="00947670">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Aprobada mediante resolución no. 182-98, de fecha 18 de junio del 1998</w:t>
            </w:r>
            <w:r w:rsidRPr="009A27ED">
              <w:rPr>
                <w:rStyle w:val="Refdenotaalpie"/>
                <w:rFonts w:asciiTheme="minorHAnsi" w:hAnsiTheme="minorHAnsi"/>
                <w:sz w:val="20"/>
                <w:szCs w:val="20"/>
              </w:rPr>
              <w:footnoteReference w:id="46"/>
            </w:r>
            <w:r w:rsidRPr="009A27ED">
              <w:rPr>
                <w:sz w:val="20"/>
                <w:szCs w:val="20"/>
              </w:rPr>
              <w:t>.</w:t>
            </w:r>
          </w:p>
        </w:tc>
      </w:tr>
      <w:tr w:rsidR="00947670" w:rsidRPr="009A27ED" w14:paraId="33CAD32A" w14:textId="77777777" w:rsidTr="004216B9">
        <w:tc>
          <w:tcPr>
            <w:cnfStyle w:val="001000000000" w:firstRow="0" w:lastRow="0" w:firstColumn="1" w:lastColumn="0" w:oddVBand="0" w:evenVBand="0" w:oddHBand="0" w:evenHBand="0" w:firstRowFirstColumn="0" w:firstRowLastColumn="0" w:lastRowFirstColumn="0" w:lastRowLastColumn="0"/>
            <w:tcW w:w="3998" w:type="dxa"/>
          </w:tcPr>
          <w:p w14:paraId="09B7559B" w14:textId="77777777" w:rsidR="00947670" w:rsidRPr="009A27ED" w:rsidRDefault="00947670" w:rsidP="00D42802">
            <w:pPr>
              <w:numPr>
                <w:ilvl w:val="0"/>
                <w:numId w:val="52"/>
              </w:numPr>
              <w:spacing w:after="0"/>
              <w:rPr>
                <w:b w:val="0"/>
                <w:sz w:val="20"/>
                <w:szCs w:val="20"/>
              </w:rPr>
            </w:pPr>
            <w:r w:rsidRPr="009A27ED">
              <w:rPr>
                <w:sz w:val="20"/>
                <w:szCs w:val="20"/>
              </w:rPr>
              <w:t>Convención para la Salvaguardia del Patrimonio Cultural Inmaterial (2003)</w:t>
            </w:r>
          </w:p>
        </w:tc>
        <w:tc>
          <w:tcPr>
            <w:tcW w:w="5069" w:type="dxa"/>
          </w:tcPr>
          <w:p w14:paraId="595BDA19" w14:textId="77777777" w:rsidR="00947670" w:rsidRPr="009A27ED" w:rsidRDefault="00947670" w:rsidP="00947670">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Ratificada el 2 de octubre del 2006</w:t>
            </w:r>
            <w:r w:rsidRPr="009A27ED">
              <w:rPr>
                <w:rStyle w:val="Refdenotaalpie"/>
                <w:rFonts w:asciiTheme="minorHAnsi" w:hAnsiTheme="minorHAnsi"/>
                <w:sz w:val="20"/>
                <w:szCs w:val="20"/>
              </w:rPr>
              <w:footnoteReference w:id="47"/>
            </w:r>
            <w:r w:rsidRPr="009A27ED">
              <w:rPr>
                <w:sz w:val="20"/>
                <w:szCs w:val="20"/>
              </w:rPr>
              <w:t xml:space="preserve"> Aprobada mediante resolución no. 309-06 el 17 de julio del 2006</w:t>
            </w:r>
            <w:r w:rsidRPr="009A27ED">
              <w:rPr>
                <w:rStyle w:val="Refdenotaalpie"/>
                <w:rFonts w:asciiTheme="minorHAnsi" w:hAnsiTheme="minorHAnsi"/>
                <w:sz w:val="20"/>
                <w:szCs w:val="20"/>
              </w:rPr>
              <w:footnoteReference w:id="48"/>
            </w:r>
            <w:r w:rsidRPr="009A27ED">
              <w:rPr>
                <w:sz w:val="20"/>
                <w:szCs w:val="20"/>
              </w:rPr>
              <w:t>.</w:t>
            </w:r>
          </w:p>
        </w:tc>
      </w:tr>
      <w:tr w:rsidR="00947670" w:rsidRPr="009A27ED" w14:paraId="02FA0885" w14:textId="77777777" w:rsidTr="004216B9">
        <w:tc>
          <w:tcPr>
            <w:cnfStyle w:val="001000000000" w:firstRow="0" w:lastRow="0" w:firstColumn="1" w:lastColumn="0" w:oddVBand="0" w:evenVBand="0" w:oddHBand="0" w:evenHBand="0" w:firstRowFirstColumn="0" w:firstRowLastColumn="0" w:lastRowFirstColumn="0" w:lastRowLastColumn="0"/>
            <w:tcW w:w="3998" w:type="dxa"/>
          </w:tcPr>
          <w:p w14:paraId="0713C32F" w14:textId="77777777" w:rsidR="00947670" w:rsidRPr="009A27ED" w:rsidRDefault="00947670" w:rsidP="00D42802">
            <w:pPr>
              <w:numPr>
                <w:ilvl w:val="0"/>
                <w:numId w:val="52"/>
              </w:numPr>
              <w:spacing w:after="0"/>
              <w:rPr>
                <w:b w:val="0"/>
                <w:sz w:val="20"/>
                <w:szCs w:val="20"/>
              </w:rPr>
            </w:pPr>
            <w:r w:rsidRPr="009A27ED">
              <w:rPr>
                <w:sz w:val="20"/>
                <w:szCs w:val="20"/>
              </w:rPr>
              <w:t>Convención sobre la Eliminación de todas las Formas de Discriminación contra la mujer (1979).</w:t>
            </w:r>
          </w:p>
        </w:tc>
        <w:tc>
          <w:tcPr>
            <w:tcW w:w="5069" w:type="dxa"/>
          </w:tcPr>
          <w:p w14:paraId="1C339C25" w14:textId="77777777" w:rsidR="00947670" w:rsidRPr="009A27ED" w:rsidRDefault="00947670" w:rsidP="00947670">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Ratificado mediante resolución no. 582, del 25 de junio de 1982</w:t>
            </w:r>
            <w:r w:rsidRPr="009A27ED">
              <w:rPr>
                <w:rStyle w:val="Refdenotaalpie"/>
                <w:rFonts w:asciiTheme="minorHAnsi" w:hAnsiTheme="minorHAnsi"/>
                <w:sz w:val="20"/>
                <w:szCs w:val="20"/>
              </w:rPr>
              <w:footnoteReference w:id="49"/>
            </w:r>
            <w:r w:rsidRPr="009A27ED">
              <w:rPr>
                <w:sz w:val="20"/>
                <w:szCs w:val="20"/>
              </w:rPr>
              <w:t>.</w:t>
            </w:r>
          </w:p>
        </w:tc>
      </w:tr>
      <w:tr w:rsidR="00947670" w:rsidRPr="009A27ED" w14:paraId="5F074149" w14:textId="77777777" w:rsidTr="004216B9">
        <w:tc>
          <w:tcPr>
            <w:cnfStyle w:val="001000000000" w:firstRow="0" w:lastRow="0" w:firstColumn="1" w:lastColumn="0" w:oddVBand="0" w:evenVBand="0" w:oddHBand="0" w:evenHBand="0" w:firstRowFirstColumn="0" w:firstRowLastColumn="0" w:lastRowFirstColumn="0" w:lastRowLastColumn="0"/>
            <w:tcW w:w="3998" w:type="dxa"/>
          </w:tcPr>
          <w:p w14:paraId="4D2577F5" w14:textId="77777777" w:rsidR="00947670" w:rsidRPr="009A27ED" w:rsidRDefault="00947670" w:rsidP="00D42802">
            <w:pPr>
              <w:numPr>
                <w:ilvl w:val="0"/>
                <w:numId w:val="52"/>
              </w:numPr>
              <w:spacing w:after="0"/>
              <w:rPr>
                <w:b w:val="0"/>
                <w:sz w:val="20"/>
                <w:szCs w:val="20"/>
              </w:rPr>
            </w:pPr>
            <w:r w:rsidRPr="009A27ED">
              <w:rPr>
                <w:sz w:val="20"/>
                <w:szCs w:val="20"/>
              </w:rPr>
              <w:t xml:space="preserve">Convención sobre el Comercio Internacional de Especies Amenazadas de Fauna y Floras Silvestres (CITES) (1973). </w:t>
            </w:r>
          </w:p>
        </w:tc>
        <w:tc>
          <w:tcPr>
            <w:tcW w:w="5069" w:type="dxa"/>
          </w:tcPr>
          <w:p w14:paraId="3177E133" w14:textId="77777777" w:rsidR="00947670" w:rsidRPr="009A27ED" w:rsidRDefault="00947670" w:rsidP="00947670">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Fue ratificada el 16 de diciembre de 1986, con efectividad el 17 de marzo de 1987</w:t>
            </w:r>
            <w:r w:rsidRPr="009A27ED">
              <w:rPr>
                <w:rStyle w:val="Refdenotaalpie"/>
                <w:rFonts w:asciiTheme="minorHAnsi" w:hAnsiTheme="minorHAnsi"/>
                <w:sz w:val="20"/>
                <w:szCs w:val="20"/>
              </w:rPr>
              <w:footnoteReference w:id="50"/>
            </w:r>
            <w:r w:rsidRPr="009A27ED">
              <w:rPr>
                <w:sz w:val="20"/>
                <w:szCs w:val="20"/>
              </w:rPr>
              <w:t>. Aprobada mediante resolución no. 550 del 17 de junio de 1982. G. O. No. 9587 del 30 de junio de 1982</w:t>
            </w:r>
            <w:r w:rsidRPr="009A27ED">
              <w:rPr>
                <w:rStyle w:val="Refdenotaalpie"/>
                <w:rFonts w:asciiTheme="minorHAnsi" w:hAnsiTheme="minorHAnsi"/>
                <w:sz w:val="20"/>
                <w:szCs w:val="20"/>
              </w:rPr>
              <w:footnoteReference w:id="51"/>
            </w:r>
            <w:r w:rsidRPr="009A27ED">
              <w:rPr>
                <w:sz w:val="20"/>
                <w:szCs w:val="20"/>
              </w:rPr>
              <w:t>.</w:t>
            </w:r>
          </w:p>
        </w:tc>
      </w:tr>
      <w:tr w:rsidR="00947670" w:rsidRPr="009A27ED" w14:paraId="32B99475" w14:textId="77777777" w:rsidTr="004216B9">
        <w:tc>
          <w:tcPr>
            <w:cnfStyle w:val="001000000000" w:firstRow="0" w:lastRow="0" w:firstColumn="1" w:lastColumn="0" w:oddVBand="0" w:evenVBand="0" w:oddHBand="0" w:evenHBand="0" w:firstRowFirstColumn="0" w:firstRowLastColumn="0" w:lastRowFirstColumn="0" w:lastRowLastColumn="0"/>
            <w:tcW w:w="3998" w:type="dxa"/>
          </w:tcPr>
          <w:p w14:paraId="34606C9B" w14:textId="77777777" w:rsidR="00947670" w:rsidRPr="009A27ED" w:rsidRDefault="00947670" w:rsidP="00D42802">
            <w:pPr>
              <w:numPr>
                <w:ilvl w:val="0"/>
                <w:numId w:val="52"/>
              </w:numPr>
              <w:spacing w:after="0"/>
              <w:rPr>
                <w:b w:val="0"/>
                <w:sz w:val="20"/>
                <w:szCs w:val="20"/>
              </w:rPr>
            </w:pPr>
            <w:r w:rsidRPr="009A27ED">
              <w:rPr>
                <w:sz w:val="20"/>
                <w:szCs w:val="20"/>
              </w:rPr>
              <w:lastRenderedPageBreak/>
              <w:t>Convención sobre la Protección y Promoción de la Diversidad de las Expresiones Culturales (2005).</w:t>
            </w:r>
          </w:p>
        </w:tc>
        <w:tc>
          <w:tcPr>
            <w:tcW w:w="5069" w:type="dxa"/>
          </w:tcPr>
          <w:p w14:paraId="72333D0A" w14:textId="77777777" w:rsidR="00947670" w:rsidRPr="009A27ED" w:rsidRDefault="00947670" w:rsidP="00947670">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Aprobada mediante resolución 484-08 del 11 de diciembre del 2008</w:t>
            </w:r>
            <w:r w:rsidRPr="009A27ED">
              <w:rPr>
                <w:rStyle w:val="Refdenotaalpie"/>
                <w:rFonts w:asciiTheme="minorHAnsi" w:hAnsiTheme="minorHAnsi"/>
                <w:sz w:val="20"/>
                <w:szCs w:val="20"/>
              </w:rPr>
              <w:footnoteReference w:id="52"/>
            </w:r>
          </w:p>
        </w:tc>
      </w:tr>
      <w:tr w:rsidR="00947670" w:rsidRPr="009A27ED" w14:paraId="7D47EA84" w14:textId="77777777" w:rsidTr="004216B9">
        <w:tc>
          <w:tcPr>
            <w:cnfStyle w:val="001000000000" w:firstRow="0" w:lastRow="0" w:firstColumn="1" w:lastColumn="0" w:oddVBand="0" w:evenVBand="0" w:oddHBand="0" w:evenHBand="0" w:firstRowFirstColumn="0" w:firstRowLastColumn="0" w:lastRowFirstColumn="0" w:lastRowLastColumn="0"/>
            <w:tcW w:w="3998" w:type="dxa"/>
          </w:tcPr>
          <w:p w14:paraId="14810EAB" w14:textId="77777777" w:rsidR="00947670" w:rsidRPr="009A27ED" w:rsidRDefault="00947670" w:rsidP="00D42802">
            <w:pPr>
              <w:numPr>
                <w:ilvl w:val="0"/>
                <w:numId w:val="52"/>
              </w:numPr>
              <w:spacing w:after="0"/>
              <w:rPr>
                <w:b w:val="0"/>
                <w:sz w:val="20"/>
                <w:szCs w:val="20"/>
              </w:rPr>
            </w:pPr>
            <w:r w:rsidRPr="009A27ED">
              <w:rPr>
                <w:sz w:val="20"/>
                <w:szCs w:val="20"/>
              </w:rPr>
              <w:t>Convención sobre los Humedales de Importancia Internacional Especialmente como Hábitat de Aves Acuáticas (1971) (Convenio de Ramsar)</w:t>
            </w:r>
          </w:p>
        </w:tc>
        <w:tc>
          <w:tcPr>
            <w:tcW w:w="5069" w:type="dxa"/>
          </w:tcPr>
          <w:p w14:paraId="361C7882" w14:textId="77777777" w:rsidR="00947670" w:rsidRPr="009A27ED" w:rsidRDefault="00947670" w:rsidP="00947670">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Adoptada mediante resolución 177-01, de fecha 8 de noviembre del 2001</w:t>
            </w:r>
            <w:r w:rsidRPr="009A27ED">
              <w:rPr>
                <w:rStyle w:val="Refdenotaalpie"/>
                <w:rFonts w:asciiTheme="minorHAnsi" w:hAnsiTheme="minorHAnsi"/>
                <w:sz w:val="20"/>
                <w:szCs w:val="20"/>
              </w:rPr>
              <w:footnoteReference w:id="53"/>
            </w:r>
            <w:r w:rsidRPr="009A27ED">
              <w:rPr>
                <w:sz w:val="20"/>
                <w:szCs w:val="20"/>
              </w:rPr>
              <w:t xml:space="preserve">. </w:t>
            </w:r>
          </w:p>
        </w:tc>
      </w:tr>
      <w:tr w:rsidR="00947670" w:rsidRPr="009A27ED" w14:paraId="3AAA7E0A" w14:textId="77777777" w:rsidTr="004216B9">
        <w:tc>
          <w:tcPr>
            <w:cnfStyle w:val="001000000000" w:firstRow="0" w:lastRow="0" w:firstColumn="1" w:lastColumn="0" w:oddVBand="0" w:evenVBand="0" w:oddHBand="0" w:evenHBand="0" w:firstRowFirstColumn="0" w:firstRowLastColumn="0" w:lastRowFirstColumn="0" w:lastRowLastColumn="0"/>
            <w:tcW w:w="3998" w:type="dxa"/>
          </w:tcPr>
          <w:p w14:paraId="4AFCBB3F" w14:textId="77777777" w:rsidR="00947670" w:rsidRPr="009A27ED" w:rsidRDefault="00947670" w:rsidP="00D42802">
            <w:pPr>
              <w:numPr>
                <w:ilvl w:val="0"/>
                <w:numId w:val="52"/>
              </w:numPr>
              <w:spacing w:after="0"/>
              <w:rPr>
                <w:b w:val="0"/>
                <w:sz w:val="20"/>
                <w:szCs w:val="20"/>
              </w:rPr>
            </w:pPr>
            <w:r w:rsidRPr="009A27ED">
              <w:rPr>
                <w:sz w:val="20"/>
                <w:szCs w:val="20"/>
              </w:rPr>
              <w:t>Convenio sobre la Diversidad Biológica (CDB) (1992)</w:t>
            </w:r>
          </w:p>
        </w:tc>
        <w:tc>
          <w:tcPr>
            <w:tcW w:w="5069" w:type="dxa"/>
          </w:tcPr>
          <w:p w14:paraId="5CA82BF0" w14:textId="77777777" w:rsidR="00947670" w:rsidRPr="009A27ED" w:rsidRDefault="00947670" w:rsidP="00947670">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Entro en vigor el 29 de diciembre de 1993 y ratificada mediante resolución No. 25-96, del 2 de octubre de 1996 del Congreso Nacional.</w:t>
            </w:r>
            <w:r w:rsidRPr="009A27ED">
              <w:rPr>
                <w:rStyle w:val="Refdenotaalpie"/>
                <w:rFonts w:asciiTheme="minorHAnsi" w:hAnsiTheme="minorHAnsi"/>
                <w:sz w:val="20"/>
                <w:szCs w:val="20"/>
              </w:rPr>
              <w:footnoteReference w:id="54"/>
            </w:r>
          </w:p>
        </w:tc>
      </w:tr>
      <w:tr w:rsidR="00947670" w:rsidRPr="009A27ED" w14:paraId="358A79A8" w14:textId="77777777" w:rsidTr="004216B9">
        <w:tc>
          <w:tcPr>
            <w:cnfStyle w:val="001000000000" w:firstRow="0" w:lastRow="0" w:firstColumn="1" w:lastColumn="0" w:oddVBand="0" w:evenVBand="0" w:oddHBand="0" w:evenHBand="0" w:firstRowFirstColumn="0" w:firstRowLastColumn="0" w:lastRowFirstColumn="0" w:lastRowLastColumn="0"/>
            <w:tcW w:w="3998" w:type="dxa"/>
          </w:tcPr>
          <w:p w14:paraId="39B21608" w14:textId="77777777" w:rsidR="00947670" w:rsidRPr="009A27ED" w:rsidRDefault="00947670" w:rsidP="00D42802">
            <w:pPr>
              <w:numPr>
                <w:ilvl w:val="0"/>
                <w:numId w:val="52"/>
              </w:numPr>
              <w:spacing w:after="0"/>
              <w:rPr>
                <w:b w:val="0"/>
                <w:sz w:val="20"/>
                <w:szCs w:val="20"/>
              </w:rPr>
            </w:pPr>
            <w:r w:rsidRPr="009A27ED">
              <w:rPr>
                <w:sz w:val="20"/>
                <w:szCs w:val="20"/>
              </w:rPr>
              <w:t>Declaración</w:t>
            </w:r>
            <w:r w:rsidRPr="009A27ED">
              <w:rPr>
                <w:rStyle w:val="Refdenotaalpie"/>
                <w:rFonts w:asciiTheme="minorHAnsi" w:hAnsiTheme="minorHAnsi"/>
                <w:sz w:val="20"/>
                <w:szCs w:val="20"/>
              </w:rPr>
              <w:footnoteReference w:id="55"/>
            </w:r>
            <w:r w:rsidRPr="009A27ED">
              <w:rPr>
                <w:sz w:val="20"/>
                <w:szCs w:val="20"/>
              </w:rPr>
              <w:t xml:space="preserve"> Universal de los Derechos Humanos (1948)</w:t>
            </w:r>
          </w:p>
        </w:tc>
        <w:tc>
          <w:tcPr>
            <w:tcW w:w="5069" w:type="dxa"/>
          </w:tcPr>
          <w:p w14:paraId="000406EE" w14:textId="77777777" w:rsidR="00947670" w:rsidRPr="009A27ED" w:rsidRDefault="00947670" w:rsidP="00947670">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Adoptada y Proclamada </w:t>
            </w:r>
            <w:r w:rsidRPr="009A27ED">
              <w:rPr>
                <w:color w:val="000000"/>
                <w:sz w:val="20"/>
                <w:szCs w:val="20"/>
              </w:rPr>
              <w:t>por la Resolución de la Asamblea General 217 A del 10 de diciembre de 1948</w:t>
            </w:r>
            <w:r w:rsidRPr="009A27ED">
              <w:rPr>
                <w:rStyle w:val="Refdenotaalpie"/>
                <w:rFonts w:asciiTheme="minorHAnsi" w:hAnsiTheme="minorHAnsi"/>
                <w:color w:val="000000"/>
                <w:sz w:val="20"/>
                <w:szCs w:val="20"/>
              </w:rPr>
              <w:footnoteReference w:id="56"/>
            </w:r>
            <w:r w:rsidRPr="009A27ED">
              <w:rPr>
                <w:color w:val="000000"/>
                <w:sz w:val="20"/>
                <w:szCs w:val="20"/>
              </w:rPr>
              <w:t>.</w:t>
            </w:r>
          </w:p>
        </w:tc>
      </w:tr>
      <w:tr w:rsidR="00947670" w:rsidRPr="009A27ED" w14:paraId="135CCDE4" w14:textId="77777777" w:rsidTr="004216B9">
        <w:tc>
          <w:tcPr>
            <w:cnfStyle w:val="001000000000" w:firstRow="0" w:lastRow="0" w:firstColumn="1" w:lastColumn="0" w:oddVBand="0" w:evenVBand="0" w:oddHBand="0" w:evenHBand="0" w:firstRowFirstColumn="0" w:firstRowLastColumn="0" w:lastRowFirstColumn="0" w:lastRowLastColumn="0"/>
            <w:tcW w:w="3998" w:type="dxa"/>
          </w:tcPr>
          <w:p w14:paraId="1C69E76B" w14:textId="77777777" w:rsidR="00947670" w:rsidRPr="009A27ED" w:rsidRDefault="00947670" w:rsidP="00D42802">
            <w:pPr>
              <w:numPr>
                <w:ilvl w:val="0"/>
                <w:numId w:val="52"/>
              </w:numPr>
              <w:spacing w:after="0"/>
              <w:rPr>
                <w:b w:val="0"/>
                <w:sz w:val="20"/>
                <w:szCs w:val="20"/>
              </w:rPr>
            </w:pPr>
            <w:r w:rsidRPr="009A27ED">
              <w:rPr>
                <w:sz w:val="20"/>
                <w:szCs w:val="20"/>
              </w:rPr>
              <w:t>Declaración</w:t>
            </w:r>
            <w:r w:rsidRPr="009A27ED">
              <w:rPr>
                <w:rStyle w:val="Refdenotaalpie"/>
                <w:rFonts w:asciiTheme="minorHAnsi" w:hAnsiTheme="minorHAnsi"/>
                <w:sz w:val="20"/>
                <w:szCs w:val="20"/>
              </w:rPr>
              <w:footnoteReference w:id="57"/>
            </w:r>
            <w:r w:rsidRPr="009A27ED">
              <w:rPr>
                <w:sz w:val="20"/>
                <w:szCs w:val="20"/>
              </w:rPr>
              <w:t xml:space="preserve"> de las Naciones Unidas sobre los Derechos de los Pueblos Indígenas (UNDRIP) (2007)</w:t>
            </w:r>
          </w:p>
        </w:tc>
        <w:tc>
          <w:tcPr>
            <w:tcW w:w="5069" w:type="dxa"/>
          </w:tcPr>
          <w:p w14:paraId="25DFBCDA" w14:textId="77777777" w:rsidR="00947670" w:rsidRPr="009A27ED" w:rsidRDefault="00947670" w:rsidP="00947670">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 Adoptada y Proclamada </w:t>
            </w:r>
            <w:r w:rsidRPr="009A27ED">
              <w:rPr>
                <w:color w:val="000000"/>
                <w:sz w:val="20"/>
                <w:szCs w:val="20"/>
              </w:rPr>
              <w:t>por la Resolución de la Asamblea General 61/295 17 A del 13 de septiembre 2007</w:t>
            </w:r>
          </w:p>
        </w:tc>
      </w:tr>
      <w:tr w:rsidR="00947670" w:rsidRPr="009A27ED" w14:paraId="66323042" w14:textId="77777777" w:rsidTr="004216B9">
        <w:tc>
          <w:tcPr>
            <w:cnfStyle w:val="001000000000" w:firstRow="0" w:lastRow="0" w:firstColumn="1" w:lastColumn="0" w:oddVBand="0" w:evenVBand="0" w:oddHBand="0" w:evenHBand="0" w:firstRowFirstColumn="0" w:firstRowLastColumn="0" w:lastRowFirstColumn="0" w:lastRowLastColumn="0"/>
            <w:tcW w:w="3998" w:type="dxa"/>
          </w:tcPr>
          <w:p w14:paraId="6A535D5F" w14:textId="77777777" w:rsidR="00947670" w:rsidRPr="009A27ED" w:rsidRDefault="00947670" w:rsidP="00D42802">
            <w:pPr>
              <w:numPr>
                <w:ilvl w:val="0"/>
                <w:numId w:val="52"/>
              </w:numPr>
              <w:spacing w:after="0"/>
              <w:rPr>
                <w:b w:val="0"/>
                <w:sz w:val="20"/>
                <w:szCs w:val="20"/>
              </w:rPr>
            </w:pPr>
            <w:r w:rsidRPr="009A27ED">
              <w:rPr>
                <w:sz w:val="20"/>
                <w:szCs w:val="20"/>
              </w:rPr>
              <w:t>Pacto Internacional de Derechos Económicos, Sociales y Culturales (ICESCR) (1966).</w:t>
            </w:r>
          </w:p>
        </w:tc>
        <w:tc>
          <w:tcPr>
            <w:tcW w:w="5069" w:type="dxa"/>
          </w:tcPr>
          <w:p w14:paraId="1B31F289" w14:textId="77777777" w:rsidR="00947670" w:rsidRPr="009A27ED" w:rsidRDefault="00947670" w:rsidP="00947670">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Aprobada mediante resolución no. 3701, 14 de noviembre de 1977, Gaceta Oficial No. 9455, del 17 de diciembre de 1977</w:t>
            </w:r>
            <w:r w:rsidRPr="009A27ED">
              <w:rPr>
                <w:rStyle w:val="Refdenotaalpie"/>
                <w:rFonts w:asciiTheme="minorHAnsi" w:hAnsiTheme="minorHAnsi"/>
                <w:sz w:val="20"/>
                <w:szCs w:val="20"/>
              </w:rPr>
              <w:footnoteReference w:id="58"/>
            </w:r>
            <w:r w:rsidRPr="009A27ED">
              <w:rPr>
                <w:sz w:val="20"/>
                <w:szCs w:val="20"/>
              </w:rPr>
              <w:t>.</w:t>
            </w:r>
          </w:p>
        </w:tc>
      </w:tr>
      <w:tr w:rsidR="00947670" w:rsidRPr="009A27ED" w14:paraId="0E003BA4" w14:textId="77777777" w:rsidTr="004216B9">
        <w:tc>
          <w:tcPr>
            <w:cnfStyle w:val="001000000000" w:firstRow="0" w:lastRow="0" w:firstColumn="1" w:lastColumn="0" w:oddVBand="0" w:evenVBand="0" w:oddHBand="0" w:evenHBand="0" w:firstRowFirstColumn="0" w:firstRowLastColumn="0" w:lastRowFirstColumn="0" w:lastRowLastColumn="0"/>
            <w:tcW w:w="3998" w:type="dxa"/>
          </w:tcPr>
          <w:p w14:paraId="2E72408D" w14:textId="77777777" w:rsidR="00947670" w:rsidRPr="009A27ED" w:rsidRDefault="00947670" w:rsidP="00D42802">
            <w:pPr>
              <w:numPr>
                <w:ilvl w:val="0"/>
                <w:numId w:val="52"/>
              </w:numPr>
              <w:spacing w:after="0"/>
              <w:rPr>
                <w:b w:val="0"/>
                <w:sz w:val="20"/>
                <w:szCs w:val="20"/>
              </w:rPr>
            </w:pPr>
            <w:r w:rsidRPr="009A27ED">
              <w:rPr>
                <w:sz w:val="20"/>
                <w:szCs w:val="20"/>
              </w:rPr>
              <w:t>Protocolo Adicional a la Convención Americana sobre Derechos Humanos en Materia de Derechos Económicos, Sociales y Culturales “Protocolo de San Salvador” (1988)</w:t>
            </w:r>
          </w:p>
        </w:tc>
        <w:tc>
          <w:tcPr>
            <w:tcW w:w="5069" w:type="dxa"/>
          </w:tcPr>
          <w:p w14:paraId="70231C43" w14:textId="77777777" w:rsidR="00947670" w:rsidRPr="009A27ED" w:rsidRDefault="00947670" w:rsidP="00947670">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17 de noviembre de 1988 firmó el Protocolo, pero aún no lo ha ratificado</w:t>
            </w:r>
            <w:r w:rsidRPr="009A27ED">
              <w:rPr>
                <w:rStyle w:val="Refdenotaalpie"/>
                <w:rFonts w:asciiTheme="minorHAnsi" w:hAnsiTheme="minorHAnsi"/>
                <w:sz w:val="20"/>
                <w:szCs w:val="20"/>
              </w:rPr>
              <w:footnoteReference w:id="59"/>
            </w:r>
            <w:r w:rsidRPr="009A27ED">
              <w:rPr>
                <w:sz w:val="20"/>
                <w:szCs w:val="20"/>
              </w:rPr>
              <w:t xml:space="preserve">. </w:t>
            </w:r>
          </w:p>
        </w:tc>
      </w:tr>
      <w:tr w:rsidR="00947670" w:rsidRPr="009A27ED" w14:paraId="0DE79BFF" w14:textId="77777777" w:rsidTr="004216B9">
        <w:tc>
          <w:tcPr>
            <w:cnfStyle w:val="001000000000" w:firstRow="0" w:lastRow="0" w:firstColumn="1" w:lastColumn="0" w:oddVBand="0" w:evenVBand="0" w:oddHBand="0" w:evenHBand="0" w:firstRowFirstColumn="0" w:firstRowLastColumn="0" w:lastRowFirstColumn="0" w:lastRowLastColumn="0"/>
            <w:tcW w:w="3998" w:type="dxa"/>
          </w:tcPr>
          <w:p w14:paraId="39FCBB73" w14:textId="77777777" w:rsidR="00947670" w:rsidRPr="009A27ED" w:rsidRDefault="00947670" w:rsidP="00D42802">
            <w:pPr>
              <w:numPr>
                <w:ilvl w:val="0"/>
                <w:numId w:val="52"/>
              </w:numPr>
              <w:spacing w:after="0"/>
              <w:rPr>
                <w:b w:val="0"/>
                <w:sz w:val="20"/>
                <w:szCs w:val="20"/>
              </w:rPr>
            </w:pPr>
            <w:r w:rsidRPr="009A27ED">
              <w:rPr>
                <w:sz w:val="20"/>
                <w:szCs w:val="20"/>
              </w:rPr>
              <w:t xml:space="preserve">Protocolo de Cartagena sobre Seguridad de la Biotecnología del Convenio sobre la Diversidad Biológica (2000). </w:t>
            </w:r>
          </w:p>
        </w:tc>
        <w:tc>
          <w:tcPr>
            <w:tcW w:w="5069" w:type="dxa"/>
          </w:tcPr>
          <w:p w14:paraId="2FAFFF73" w14:textId="77777777" w:rsidR="00947670" w:rsidRPr="009A27ED" w:rsidRDefault="00947670" w:rsidP="00947670">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Ratificado 20 de junio de 2006, entro en vigor el 18 de septiembre del 2006</w:t>
            </w:r>
            <w:r w:rsidRPr="009A27ED">
              <w:rPr>
                <w:rStyle w:val="Refdenotaalpie"/>
                <w:rFonts w:asciiTheme="minorHAnsi" w:hAnsiTheme="minorHAnsi"/>
                <w:sz w:val="20"/>
                <w:szCs w:val="20"/>
              </w:rPr>
              <w:footnoteReference w:id="60"/>
            </w:r>
            <w:r w:rsidRPr="009A27ED">
              <w:rPr>
                <w:sz w:val="20"/>
                <w:szCs w:val="20"/>
              </w:rPr>
              <w:t>. Aprobada mediante resolución no. 10-06 del 3 de febrero del 2006</w:t>
            </w:r>
            <w:r w:rsidRPr="009A27ED">
              <w:rPr>
                <w:rStyle w:val="Refdenotaalpie"/>
                <w:rFonts w:asciiTheme="minorHAnsi" w:hAnsiTheme="minorHAnsi"/>
                <w:sz w:val="20"/>
                <w:szCs w:val="20"/>
              </w:rPr>
              <w:footnoteReference w:id="61"/>
            </w:r>
            <w:r w:rsidRPr="009A27ED">
              <w:rPr>
                <w:sz w:val="20"/>
                <w:szCs w:val="20"/>
              </w:rPr>
              <w:t>.</w:t>
            </w:r>
          </w:p>
        </w:tc>
      </w:tr>
      <w:tr w:rsidR="00947670" w:rsidRPr="009A27ED" w14:paraId="4A49993B" w14:textId="77777777" w:rsidTr="004216B9">
        <w:tc>
          <w:tcPr>
            <w:cnfStyle w:val="001000000000" w:firstRow="0" w:lastRow="0" w:firstColumn="1" w:lastColumn="0" w:oddVBand="0" w:evenVBand="0" w:oddHBand="0" w:evenHBand="0" w:firstRowFirstColumn="0" w:firstRowLastColumn="0" w:lastRowFirstColumn="0" w:lastRowLastColumn="0"/>
            <w:tcW w:w="3998" w:type="dxa"/>
          </w:tcPr>
          <w:p w14:paraId="0958487A" w14:textId="77777777" w:rsidR="00947670" w:rsidRPr="009A27ED" w:rsidRDefault="00947670" w:rsidP="00D42802">
            <w:pPr>
              <w:numPr>
                <w:ilvl w:val="0"/>
                <w:numId w:val="52"/>
              </w:numPr>
              <w:spacing w:after="0"/>
              <w:rPr>
                <w:b w:val="0"/>
                <w:sz w:val="20"/>
                <w:szCs w:val="20"/>
              </w:rPr>
            </w:pPr>
            <w:r w:rsidRPr="009A27ED">
              <w:rPr>
                <w:sz w:val="20"/>
                <w:szCs w:val="20"/>
              </w:rPr>
              <w:t>Protocolo de Nagoya sobre acceso a los Recursos Genéticos y Participación Justa y Equitativa de los Beneficios derivados de su utilización al Convenio sobre la Diversidad Biológica (2010).</w:t>
            </w:r>
          </w:p>
        </w:tc>
        <w:tc>
          <w:tcPr>
            <w:tcW w:w="5069" w:type="dxa"/>
          </w:tcPr>
          <w:p w14:paraId="1AE124B3" w14:textId="77777777" w:rsidR="00947670" w:rsidRPr="009A27ED" w:rsidRDefault="00947670" w:rsidP="00947670">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Esta firmado, pendiente de ratificación. </w:t>
            </w:r>
          </w:p>
        </w:tc>
      </w:tr>
      <w:tr w:rsidR="00947670" w:rsidRPr="009A27ED" w14:paraId="7693B4AB" w14:textId="77777777" w:rsidTr="004216B9">
        <w:tc>
          <w:tcPr>
            <w:cnfStyle w:val="001000000000" w:firstRow="0" w:lastRow="0" w:firstColumn="1" w:lastColumn="0" w:oddVBand="0" w:evenVBand="0" w:oddHBand="0" w:evenHBand="0" w:firstRowFirstColumn="0" w:firstRowLastColumn="0" w:lastRowFirstColumn="0" w:lastRowLastColumn="0"/>
            <w:tcW w:w="3998" w:type="dxa"/>
          </w:tcPr>
          <w:p w14:paraId="04883ABD" w14:textId="77777777" w:rsidR="00947670" w:rsidRPr="009A27ED" w:rsidRDefault="00947670" w:rsidP="00D42802">
            <w:pPr>
              <w:numPr>
                <w:ilvl w:val="0"/>
                <w:numId w:val="52"/>
              </w:numPr>
              <w:spacing w:after="0"/>
              <w:rPr>
                <w:b w:val="0"/>
                <w:sz w:val="20"/>
                <w:szCs w:val="20"/>
              </w:rPr>
            </w:pPr>
            <w:r w:rsidRPr="009A27ED">
              <w:rPr>
                <w:sz w:val="20"/>
                <w:szCs w:val="20"/>
              </w:rPr>
              <w:t>Protocolo de Kioto de la CMNUCC (1997)</w:t>
            </w:r>
          </w:p>
        </w:tc>
        <w:tc>
          <w:tcPr>
            <w:tcW w:w="5069" w:type="dxa"/>
          </w:tcPr>
          <w:p w14:paraId="79421104" w14:textId="77777777" w:rsidR="00947670" w:rsidRPr="009A27ED" w:rsidRDefault="00947670" w:rsidP="00947670">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Ratificado en el 2001 mediante resolución no. 141-01, Gaceta Oficial No. 10099</w:t>
            </w:r>
            <w:r w:rsidRPr="009A27ED">
              <w:rPr>
                <w:rStyle w:val="Refdenotaalpie"/>
                <w:rFonts w:asciiTheme="minorHAnsi" w:hAnsiTheme="minorHAnsi"/>
                <w:sz w:val="20"/>
                <w:szCs w:val="20"/>
              </w:rPr>
              <w:footnoteReference w:id="62"/>
            </w:r>
          </w:p>
        </w:tc>
      </w:tr>
      <w:tr w:rsidR="00947670" w:rsidRPr="009A27ED" w14:paraId="0D7975FB" w14:textId="77777777" w:rsidTr="004216B9">
        <w:tc>
          <w:tcPr>
            <w:cnfStyle w:val="001000000000" w:firstRow="0" w:lastRow="0" w:firstColumn="1" w:lastColumn="0" w:oddVBand="0" w:evenVBand="0" w:oddHBand="0" w:evenHBand="0" w:firstRowFirstColumn="0" w:firstRowLastColumn="0" w:lastRowFirstColumn="0" w:lastRowLastColumn="0"/>
            <w:tcW w:w="3998" w:type="dxa"/>
          </w:tcPr>
          <w:p w14:paraId="1B870BD2" w14:textId="77777777" w:rsidR="00947670" w:rsidRPr="009A27ED" w:rsidRDefault="00947670" w:rsidP="00D42802">
            <w:pPr>
              <w:numPr>
                <w:ilvl w:val="0"/>
                <w:numId w:val="52"/>
              </w:numPr>
              <w:spacing w:after="0"/>
              <w:rPr>
                <w:b w:val="0"/>
                <w:sz w:val="20"/>
                <w:szCs w:val="20"/>
              </w:rPr>
            </w:pPr>
            <w:r w:rsidRPr="009A27ED">
              <w:rPr>
                <w:sz w:val="20"/>
                <w:szCs w:val="20"/>
              </w:rPr>
              <w:t>Protocolo Facultativo de la Convención sobre la Eliminación de todas las Formas de Discriminación contra la Mujer (1999).</w:t>
            </w:r>
          </w:p>
        </w:tc>
        <w:tc>
          <w:tcPr>
            <w:tcW w:w="5069" w:type="dxa"/>
          </w:tcPr>
          <w:p w14:paraId="26DD28F8" w14:textId="77777777" w:rsidR="00947670" w:rsidRPr="009A27ED" w:rsidRDefault="00947670" w:rsidP="00947670">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Firmado el 14 marzo 2000 y Ratificado el 10 agosto 2001. </w:t>
            </w:r>
          </w:p>
        </w:tc>
      </w:tr>
      <w:tr w:rsidR="00947670" w:rsidRPr="009A27ED" w14:paraId="5284E3DB" w14:textId="77777777" w:rsidTr="004216B9">
        <w:tc>
          <w:tcPr>
            <w:cnfStyle w:val="001000000000" w:firstRow="0" w:lastRow="0" w:firstColumn="1" w:lastColumn="0" w:oddVBand="0" w:evenVBand="0" w:oddHBand="0" w:evenHBand="0" w:firstRowFirstColumn="0" w:firstRowLastColumn="0" w:lastRowFirstColumn="0" w:lastRowLastColumn="0"/>
            <w:tcW w:w="3998" w:type="dxa"/>
          </w:tcPr>
          <w:p w14:paraId="07AFE764" w14:textId="77777777" w:rsidR="00947670" w:rsidRPr="009A27ED" w:rsidRDefault="00947670" w:rsidP="00D42802">
            <w:pPr>
              <w:numPr>
                <w:ilvl w:val="0"/>
                <w:numId w:val="52"/>
              </w:numPr>
              <w:spacing w:after="0"/>
              <w:rPr>
                <w:b w:val="0"/>
                <w:sz w:val="20"/>
                <w:szCs w:val="20"/>
              </w:rPr>
            </w:pPr>
            <w:r w:rsidRPr="009A27ED">
              <w:rPr>
                <w:sz w:val="20"/>
                <w:szCs w:val="20"/>
              </w:rPr>
              <w:t>Protocolo relativo a las áreas y flora y faunas silvestres especialmente protegidas (Protocolo de SPAW) (1990)</w:t>
            </w:r>
          </w:p>
        </w:tc>
        <w:tc>
          <w:tcPr>
            <w:tcW w:w="5069" w:type="dxa"/>
          </w:tcPr>
          <w:p w14:paraId="024CAC91" w14:textId="77777777" w:rsidR="00947670" w:rsidRPr="009A27ED" w:rsidRDefault="00947670" w:rsidP="00947670">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Aprobada mediante resolución no. 359 de 1998, Gaceta Oficial No. 9997 del 18 de agosto de 1998</w:t>
            </w:r>
            <w:r w:rsidRPr="009A27ED">
              <w:rPr>
                <w:rStyle w:val="Refdenotaalpie"/>
                <w:rFonts w:asciiTheme="minorHAnsi" w:hAnsiTheme="minorHAnsi"/>
                <w:sz w:val="20"/>
                <w:szCs w:val="20"/>
              </w:rPr>
              <w:footnoteReference w:id="63"/>
            </w:r>
            <w:r w:rsidRPr="009A27ED">
              <w:rPr>
                <w:sz w:val="20"/>
                <w:szCs w:val="20"/>
              </w:rPr>
              <w:t>.</w:t>
            </w:r>
          </w:p>
        </w:tc>
      </w:tr>
      <w:tr w:rsidR="00947670" w:rsidRPr="009A27ED" w14:paraId="0A416DA1" w14:textId="77777777" w:rsidTr="004216B9">
        <w:tc>
          <w:tcPr>
            <w:cnfStyle w:val="001000000000" w:firstRow="0" w:lastRow="0" w:firstColumn="1" w:lastColumn="0" w:oddVBand="0" w:evenVBand="0" w:oddHBand="0" w:evenHBand="0" w:firstRowFirstColumn="0" w:firstRowLastColumn="0" w:lastRowFirstColumn="0" w:lastRowLastColumn="0"/>
            <w:tcW w:w="3998" w:type="dxa"/>
          </w:tcPr>
          <w:p w14:paraId="4F2636B4" w14:textId="6F49291F" w:rsidR="00947670" w:rsidRPr="009A27ED" w:rsidRDefault="00947670" w:rsidP="00D42802">
            <w:pPr>
              <w:numPr>
                <w:ilvl w:val="0"/>
                <w:numId w:val="52"/>
              </w:numPr>
              <w:spacing w:after="0"/>
              <w:rPr>
                <w:b w:val="0"/>
                <w:sz w:val="20"/>
                <w:szCs w:val="20"/>
              </w:rPr>
            </w:pPr>
            <w:r w:rsidRPr="009A27ED">
              <w:rPr>
                <w:sz w:val="20"/>
                <w:szCs w:val="20"/>
              </w:rPr>
              <w:t xml:space="preserve">Tratado Internacional sobre los recursos </w:t>
            </w:r>
            <w:r w:rsidR="00052BA3" w:rsidRPr="009A27ED">
              <w:rPr>
                <w:sz w:val="20"/>
                <w:szCs w:val="20"/>
              </w:rPr>
              <w:t>filogenéticos</w:t>
            </w:r>
            <w:r w:rsidRPr="009A27ED">
              <w:rPr>
                <w:sz w:val="20"/>
                <w:szCs w:val="20"/>
              </w:rPr>
              <w:t xml:space="preserve"> para la alimentación y la agricultura (2001)</w:t>
            </w:r>
          </w:p>
        </w:tc>
        <w:tc>
          <w:tcPr>
            <w:tcW w:w="5069" w:type="dxa"/>
          </w:tcPr>
          <w:p w14:paraId="080D88B0" w14:textId="77777777" w:rsidR="00947670" w:rsidRPr="009A27ED" w:rsidRDefault="00947670" w:rsidP="00EF781D">
            <w:pPr>
              <w:keepNext/>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Firmado el 11 de junio del 2002 y aún pendiente de ratificación</w:t>
            </w:r>
            <w:r w:rsidRPr="009A27ED">
              <w:rPr>
                <w:rStyle w:val="Refdenotaalpie"/>
                <w:rFonts w:asciiTheme="minorHAnsi" w:hAnsiTheme="minorHAnsi"/>
                <w:sz w:val="20"/>
                <w:szCs w:val="20"/>
              </w:rPr>
              <w:footnoteReference w:id="64"/>
            </w:r>
          </w:p>
        </w:tc>
      </w:tr>
    </w:tbl>
    <w:p w14:paraId="291A7FED" w14:textId="6AA50F0E" w:rsidR="00947670" w:rsidRPr="009A27ED" w:rsidRDefault="005D0285" w:rsidP="00B80189">
      <w:pPr>
        <w:pStyle w:val="Ttulo2"/>
        <w:numPr>
          <w:ilvl w:val="0"/>
          <w:numId w:val="0"/>
        </w:numPr>
        <w:spacing w:line="360" w:lineRule="auto"/>
        <w:ind w:left="426"/>
        <w:jc w:val="both"/>
      </w:pPr>
      <w:bookmarkStart w:id="194" w:name="_Toc529469993"/>
      <w:bookmarkStart w:id="195" w:name="_Toc532335856"/>
      <w:bookmarkStart w:id="196" w:name="_Toc111837937"/>
      <w:r w:rsidRPr="009A27ED">
        <w:rPr>
          <w:rFonts w:ascii="Times New Roman" w:eastAsia="Times New Roman" w:hAnsi="Times New Roman"/>
          <w:sz w:val="24"/>
        </w:rPr>
        <w:lastRenderedPageBreak/>
        <w:t>3</w:t>
      </w:r>
      <w:r w:rsidR="007D3A34" w:rsidRPr="009A27ED">
        <w:rPr>
          <w:rFonts w:ascii="Times New Roman" w:eastAsia="Times New Roman" w:hAnsi="Times New Roman"/>
          <w:sz w:val="24"/>
        </w:rPr>
        <w:t xml:space="preserve">.3. </w:t>
      </w:r>
      <w:r w:rsidR="00947670" w:rsidRPr="009A27ED">
        <w:rPr>
          <w:rFonts w:ascii="Times New Roman" w:eastAsia="Times New Roman" w:hAnsi="Times New Roman"/>
          <w:sz w:val="24"/>
        </w:rPr>
        <w:t>Marco para la implementación de las salvaguardas REDD+ de la CMNUCC</w:t>
      </w:r>
      <w:bookmarkEnd w:id="194"/>
      <w:bookmarkEnd w:id="195"/>
      <w:bookmarkEnd w:id="196"/>
    </w:p>
    <w:p w14:paraId="6FB2E1AF" w14:textId="2C977D43" w:rsidR="00877E27" w:rsidRPr="009A27ED" w:rsidRDefault="00947670" w:rsidP="005B6485">
      <w:pPr>
        <w:spacing w:before="120" w:after="100" w:afterAutospacing="1" w:line="360" w:lineRule="auto"/>
        <w:rPr>
          <w:szCs w:val="22"/>
        </w:rPr>
      </w:pPr>
      <w:r w:rsidRPr="009A27ED">
        <w:rPr>
          <w:rFonts w:ascii="Times New Roman" w:eastAsia="Times New Roman" w:hAnsi="Times New Roman"/>
          <w:sz w:val="24"/>
          <w:szCs w:val="22"/>
        </w:rPr>
        <w:t>Con base a</w:t>
      </w:r>
      <w:r w:rsidR="00E72143" w:rsidRPr="009A27ED">
        <w:rPr>
          <w:rFonts w:ascii="Times New Roman" w:eastAsia="Times New Roman" w:hAnsi="Times New Roman"/>
          <w:sz w:val="24"/>
          <w:szCs w:val="22"/>
        </w:rPr>
        <w:t xml:space="preserve">l </w:t>
      </w:r>
      <w:r w:rsidRPr="009A27ED">
        <w:rPr>
          <w:rFonts w:ascii="Times New Roman" w:eastAsia="Times New Roman" w:hAnsi="Times New Roman"/>
          <w:sz w:val="24"/>
          <w:szCs w:val="22"/>
        </w:rPr>
        <w:t xml:space="preserve">análisis al marco legal e institucional de la República Dominicana con respecto a las </w:t>
      </w:r>
      <w:r w:rsidR="00CC045D" w:rsidRPr="009A27ED">
        <w:rPr>
          <w:rFonts w:ascii="Times New Roman" w:eastAsia="Times New Roman" w:hAnsi="Times New Roman"/>
          <w:sz w:val="24"/>
          <w:szCs w:val="22"/>
        </w:rPr>
        <w:t>s</w:t>
      </w:r>
      <w:r w:rsidRPr="009A27ED">
        <w:rPr>
          <w:rFonts w:ascii="Times New Roman" w:eastAsia="Times New Roman" w:hAnsi="Times New Roman"/>
          <w:sz w:val="24"/>
          <w:szCs w:val="22"/>
        </w:rPr>
        <w:t>alvaguardas de REDD+, se presenta un resumen de los principales aspectos del régimen legislativo e institucional a través del cual el país promoverá el cumplimiento de las salvaguardas REDD+ en vinculación y durante la implementación de los proyectos o programas REDD+. Ante los vacíos y debilidades identificados, se plantean medidas para el abordaje</w:t>
      </w:r>
      <w:r w:rsidR="00D83FE7" w:rsidRPr="009A27ED">
        <w:rPr>
          <w:rFonts w:ascii="Times New Roman" w:eastAsia="Times New Roman" w:hAnsi="Times New Roman"/>
          <w:sz w:val="24"/>
          <w:szCs w:val="22"/>
        </w:rPr>
        <w:t xml:space="preserve">. </w:t>
      </w:r>
      <w:r w:rsidRPr="009A27ED">
        <w:rPr>
          <w:rFonts w:ascii="Times New Roman" w:eastAsia="Times New Roman" w:hAnsi="Times New Roman"/>
          <w:sz w:val="24"/>
          <w:szCs w:val="22"/>
        </w:rPr>
        <w:t>El análisis evaluó 56 instrumentos legales nacionales más 28 tratados y acuerdos internacionales vinculado</w:t>
      </w:r>
      <w:r w:rsidR="006E3ABB" w:rsidRPr="009A27ED">
        <w:rPr>
          <w:rFonts w:ascii="Times New Roman" w:eastAsia="Times New Roman" w:hAnsi="Times New Roman"/>
          <w:sz w:val="24"/>
          <w:szCs w:val="22"/>
        </w:rPr>
        <w:t>s al tema forestal y REDD+.</w:t>
      </w:r>
    </w:p>
    <w:p w14:paraId="4AAD502D" w14:textId="7DDBCB23" w:rsidR="00F43DB6" w:rsidRPr="009A27ED" w:rsidRDefault="00F43DB6" w:rsidP="005B6485">
      <w:pPr>
        <w:spacing w:before="120" w:after="100" w:afterAutospacing="1" w:line="360" w:lineRule="auto"/>
        <w:rPr>
          <w:szCs w:val="22"/>
        </w:rPr>
      </w:pPr>
    </w:p>
    <w:p w14:paraId="740CE9C2" w14:textId="6244D315" w:rsidR="00F43DB6" w:rsidRPr="009A27ED" w:rsidRDefault="00F43DB6" w:rsidP="005B6485">
      <w:pPr>
        <w:spacing w:before="120" w:after="100" w:afterAutospacing="1" w:line="360" w:lineRule="auto"/>
        <w:rPr>
          <w:szCs w:val="22"/>
        </w:rPr>
      </w:pPr>
    </w:p>
    <w:p w14:paraId="0562AA12" w14:textId="754A12CF" w:rsidR="00F43DB6" w:rsidRPr="009A27ED" w:rsidRDefault="00F43DB6" w:rsidP="005B6485">
      <w:pPr>
        <w:spacing w:before="120" w:after="100" w:afterAutospacing="1" w:line="360" w:lineRule="auto"/>
        <w:rPr>
          <w:szCs w:val="22"/>
        </w:rPr>
      </w:pPr>
    </w:p>
    <w:p w14:paraId="35C096D2" w14:textId="6FB3687F" w:rsidR="00F43DB6" w:rsidRPr="009A27ED" w:rsidRDefault="00F43DB6" w:rsidP="005B6485">
      <w:pPr>
        <w:spacing w:before="120" w:after="100" w:afterAutospacing="1" w:line="360" w:lineRule="auto"/>
        <w:rPr>
          <w:szCs w:val="22"/>
        </w:rPr>
      </w:pPr>
    </w:p>
    <w:p w14:paraId="50BCBC1C" w14:textId="4C925C98" w:rsidR="00F43DB6" w:rsidRPr="009A27ED" w:rsidRDefault="00F43DB6" w:rsidP="005B6485">
      <w:pPr>
        <w:spacing w:before="120" w:after="100" w:afterAutospacing="1" w:line="360" w:lineRule="auto"/>
        <w:rPr>
          <w:szCs w:val="22"/>
        </w:rPr>
      </w:pPr>
    </w:p>
    <w:p w14:paraId="25F711B5" w14:textId="08028FA4" w:rsidR="00F43DB6" w:rsidRPr="009A27ED" w:rsidRDefault="00F43DB6" w:rsidP="005B6485">
      <w:pPr>
        <w:spacing w:before="120" w:after="100" w:afterAutospacing="1" w:line="360" w:lineRule="auto"/>
        <w:rPr>
          <w:szCs w:val="22"/>
        </w:rPr>
      </w:pPr>
    </w:p>
    <w:p w14:paraId="654D3448" w14:textId="193EDC2C" w:rsidR="00F43DB6" w:rsidRPr="009A27ED" w:rsidRDefault="00F43DB6" w:rsidP="005B6485">
      <w:pPr>
        <w:spacing w:before="120" w:after="100" w:afterAutospacing="1" w:line="360" w:lineRule="auto"/>
        <w:rPr>
          <w:szCs w:val="22"/>
        </w:rPr>
      </w:pPr>
    </w:p>
    <w:p w14:paraId="1B9147B9" w14:textId="07DC3F06" w:rsidR="00F43DB6" w:rsidRPr="009A27ED" w:rsidRDefault="00F43DB6" w:rsidP="005B6485">
      <w:pPr>
        <w:spacing w:before="120" w:after="100" w:afterAutospacing="1" w:line="360" w:lineRule="auto"/>
        <w:rPr>
          <w:szCs w:val="22"/>
        </w:rPr>
      </w:pPr>
    </w:p>
    <w:p w14:paraId="276A875F" w14:textId="76DB2F20" w:rsidR="00F43DB6" w:rsidRPr="009A27ED" w:rsidRDefault="00F43DB6" w:rsidP="005B6485">
      <w:pPr>
        <w:spacing w:before="120" w:after="100" w:afterAutospacing="1" w:line="360" w:lineRule="auto"/>
        <w:rPr>
          <w:szCs w:val="22"/>
        </w:rPr>
      </w:pPr>
    </w:p>
    <w:p w14:paraId="51ABC3DA" w14:textId="5E2B8E21" w:rsidR="00F43DB6" w:rsidRPr="009A27ED" w:rsidRDefault="00F43DB6" w:rsidP="005B6485">
      <w:pPr>
        <w:spacing w:before="120" w:after="100" w:afterAutospacing="1" w:line="360" w:lineRule="auto"/>
        <w:rPr>
          <w:szCs w:val="22"/>
        </w:rPr>
      </w:pPr>
    </w:p>
    <w:p w14:paraId="47F862A7" w14:textId="00E64A11" w:rsidR="00F43DB6" w:rsidRPr="009A27ED" w:rsidRDefault="00F43DB6" w:rsidP="005B6485">
      <w:pPr>
        <w:spacing w:before="120" w:after="100" w:afterAutospacing="1" w:line="360" w:lineRule="auto"/>
        <w:rPr>
          <w:szCs w:val="22"/>
        </w:rPr>
      </w:pPr>
    </w:p>
    <w:p w14:paraId="1DB418D0" w14:textId="42B0E25B" w:rsidR="00F43DB6" w:rsidRPr="009A27ED" w:rsidRDefault="00F43DB6" w:rsidP="005B6485">
      <w:pPr>
        <w:spacing w:before="120" w:after="100" w:afterAutospacing="1" w:line="360" w:lineRule="auto"/>
        <w:rPr>
          <w:szCs w:val="22"/>
        </w:rPr>
      </w:pPr>
    </w:p>
    <w:p w14:paraId="16E891F5" w14:textId="772BCAB7" w:rsidR="00F43DB6" w:rsidRPr="009A27ED" w:rsidRDefault="00F43DB6" w:rsidP="005B6485">
      <w:pPr>
        <w:spacing w:before="120" w:after="100" w:afterAutospacing="1" w:line="360" w:lineRule="auto"/>
        <w:rPr>
          <w:szCs w:val="22"/>
        </w:rPr>
      </w:pPr>
    </w:p>
    <w:p w14:paraId="660CBF52" w14:textId="65E129D5" w:rsidR="00F43DB6" w:rsidRPr="009A27ED" w:rsidRDefault="00F43DB6" w:rsidP="005B6485">
      <w:pPr>
        <w:spacing w:before="120" w:after="100" w:afterAutospacing="1" w:line="360" w:lineRule="auto"/>
        <w:rPr>
          <w:szCs w:val="22"/>
        </w:rPr>
      </w:pPr>
    </w:p>
    <w:p w14:paraId="0A0EBDC7" w14:textId="079A569F" w:rsidR="00F43DB6" w:rsidRPr="009A27ED" w:rsidRDefault="00F43DB6" w:rsidP="005B6485">
      <w:pPr>
        <w:spacing w:before="120" w:after="100" w:afterAutospacing="1" w:line="360" w:lineRule="auto"/>
        <w:rPr>
          <w:szCs w:val="22"/>
        </w:rPr>
      </w:pPr>
    </w:p>
    <w:p w14:paraId="46F9CA2F" w14:textId="77777777" w:rsidR="00F43DB6" w:rsidRPr="009A27ED" w:rsidRDefault="00F43DB6" w:rsidP="005B6485">
      <w:pPr>
        <w:spacing w:before="120" w:after="100" w:afterAutospacing="1" w:line="360" w:lineRule="auto"/>
        <w:rPr>
          <w:szCs w:val="22"/>
        </w:rPr>
      </w:pPr>
    </w:p>
    <w:p w14:paraId="48E053D4" w14:textId="240AD4EC" w:rsidR="00575693" w:rsidRPr="009A27ED" w:rsidRDefault="00575693" w:rsidP="00B80189">
      <w:pPr>
        <w:pStyle w:val="Ttulo3"/>
        <w:numPr>
          <w:ilvl w:val="0"/>
          <w:numId w:val="0"/>
        </w:numPr>
        <w:spacing w:line="360" w:lineRule="auto"/>
        <w:ind w:left="720"/>
        <w:jc w:val="both"/>
      </w:pPr>
      <w:bookmarkStart w:id="197" w:name="_Toc529469994"/>
      <w:bookmarkStart w:id="198" w:name="_Toc532335857"/>
      <w:bookmarkStart w:id="199" w:name="_Toc111837938"/>
      <w:r w:rsidRPr="009A27ED">
        <w:rPr>
          <w:rFonts w:ascii="Times New Roman" w:eastAsia="Times New Roman" w:hAnsi="Times New Roman"/>
          <w:sz w:val="24"/>
        </w:rPr>
        <w:t xml:space="preserve">3.3.1. Salvaguarda A </w:t>
      </w:r>
      <w:bookmarkEnd w:id="197"/>
      <w:bookmarkEnd w:id="198"/>
      <w:bookmarkEnd w:id="199"/>
    </w:p>
    <w:p w14:paraId="60FCC375" w14:textId="77777777" w:rsidR="00575693" w:rsidRPr="009A27ED" w:rsidRDefault="00575693" w:rsidP="00575693">
      <w:pPr>
        <w:pStyle w:val="Descripcin"/>
        <w:spacing w:line="360" w:lineRule="auto"/>
        <w:rPr>
          <w:color w:val="000000" w:themeColor="text1"/>
          <w:sz w:val="20"/>
        </w:rPr>
      </w:pPr>
    </w:p>
    <w:p w14:paraId="124BC6E5" w14:textId="5B8E2351" w:rsidR="00F43DB6" w:rsidRPr="009A27ED" w:rsidRDefault="00F43DB6" w:rsidP="00F43DB6">
      <w:pPr>
        <w:pStyle w:val="Descripcin"/>
        <w:keepNext/>
        <w:spacing w:line="360" w:lineRule="auto"/>
      </w:pPr>
      <w:bookmarkStart w:id="200" w:name="_Toc111887444"/>
      <w:r w:rsidRPr="009A27ED">
        <w:rPr>
          <w:rFonts w:ascii="Times New Roman" w:eastAsia="Times New Roman" w:hAnsi="Times New Roman"/>
          <w:sz w:val="24"/>
        </w:rPr>
        <w:lastRenderedPageBreak/>
        <w:t xml:space="preserve">Cuadro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Cuadro \* ARABIC </w:instrText>
      </w:r>
      <w:r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34</w:t>
      </w:r>
      <w:r w:rsidRPr="009A27ED">
        <w:rPr>
          <w:rFonts w:ascii="Times New Roman" w:eastAsia="Times New Roman" w:hAnsi="Times New Roman"/>
          <w:sz w:val="24"/>
        </w:rPr>
        <w:fldChar w:fldCharType="end"/>
      </w:r>
      <w:r w:rsidRPr="009A27ED">
        <w:rPr>
          <w:rFonts w:ascii="Times New Roman" w:eastAsia="Times New Roman" w:hAnsi="Times New Roman"/>
          <w:sz w:val="24"/>
        </w:rPr>
        <w:t>. Marco legal relevante para asegurar cumplimiento con la salvaguarda A</w:t>
      </w:r>
      <w:bookmarkEnd w:id="200"/>
    </w:p>
    <w:tbl>
      <w:tblPr>
        <w:tblStyle w:val="TableGrid1"/>
        <w:tblpPr w:leftFromText="180" w:rightFromText="180" w:vertAnchor="text" w:horzAnchor="margin" w:tblpY="167"/>
        <w:tblW w:w="9445" w:type="dxa"/>
        <w:shd w:val="clear" w:color="auto" w:fill="C2D69B"/>
        <w:tblLook w:val="04A0" w:firstRow="1" w:lastRow="0" w:firstColumn="1" w:lastColumn="0" w:noHBand="0" w:noVBand="1"/>
      </w:tblPr>
      <w:tblGrid>
        <w:gridCol w:w="4495"/>
        <w:gridCol w:w="4950"/>
      </w:tblGrid>
      <w:tr w:rsidR="00575693" w:rsidRPr="009A27ED" w14:paraId="6EFB20E7" w14:textId="77777777" w:rsidTr="00877E27">
        <w:trPr>
          <w:tblHeader/>
        </w:trPr>
        <w:tc>
          <w:tcPr>
            <w:tcW w:w="9445" w:type="dxa"/>
            <w:gridSpan w:val="2"/>
            <w:shd w:val="clear" w:color="auto" w:fill="auto"/>
          </w:tcPr>
          <w:p w14:paraId="78D24F2D" w14:textId="77777777" w:rsidR="00350122" w:rsidRPr="009A27ED" w:rsidRDefault="00350122" w:rsidP="001926C2">
            <w:pPr>
              <w:rPr>
                <w:b/>
                <w:szCs w:val="20"/>
              </w:rPr>
            </w:pPr>
          </w:p>
          <w:p w14:paraId="36F65853" w14:textId="4B2F8370" w:rsidR="00575693" w:rsidRPr="009A27ED" w:rsidRDefault="00575693" w:rsidP="001926C2">
            <w:pPr>
              <w:rPr>
                <w:szCs w:val="20"/>
              </w:rPr>
            </w:pPr>
            <w:r w:rsidRPr="009A27ED">
              <w:rPr>
                <w:b/>
                <w:szCs w:val="20"/>
              </w:rPr>
              <w:t>Descripción de la Salvaguarda:</w:t>
            </w:r>
            <w:r w:rsidRPr="009A27ED">
              <w:rPr>
                <w:szCs w:val="20"/>
              </w:rPr>
              <w:t xml:space="preserve"> “La complementariedad o compatibilidad de las medidas con los objetivos de los programas forestales nacionales y de las convenciones y los acuerdos internacionales sobre la materia.”</w:t>
            </w:r>
          </w:p>
          <w:p w14:paraId="23A72A64" w14:textId="77777777" w:rsidR="00575693" w:rsidRPr="009A27ED" w:rsidRDefault="00575693" w:rsidP="001926C2">
            <w:pPr>
              <w:rPr>
                <w:szCs w:val="20"/>
              </w:rPr>
            </w:pPr>
            <w:r w:rsidRPr="009A27ED">
              <w:rPr>
                <w:b/>
                <w:szCs w:val="20"/>
              </w:rPr>
              <w:t>Interpretación de la Salvaguarda (a) de la CMNUCCC en República Dominicana:</w:t>
            </w:r>
            <w:r w:rsidRPr="009A27ED">
              <w:rPr>
                <w:szCs w:val="20"/>
              </w:rPr>
              <w:t xml:space="preserve"> La Estrategia Nacional REDD+ se encuentra alineada y es compatible con la política nacional forestal, así como con los objetivos de los convenios y acuerdos internacionales relevantes que ha suscrito la República Dominicana. </w:t>
            </w:r>
          </w:p>
          <w:p w14:paraId="5F1207AE" w14:textId="77777777" w:rsidR="00575693" w:rsidRPr="009A27ED" w:rsidRDefault="00575693" w:rsidP="001926C2">
            <w:pPr>
              <w:pStyle w:val="Textosubrayado"/>
              <w:rPr>
                <w:b/>
                <w:szCs w:val="20"/>
                <w:u w:val="none"/>
              </w:rPr>
            </w:pPr>
            <w:r w:rsidRPr="009A27ED">
              <w:rPr>
                <w:b/>
                <w:szCs w:val="20"/>
                <w:u w:val="none"/>
              </w:rPr>
              <w:t xml:space="preserve">Instrumentos legales vigentes y relevantes para la salvaguarda a) REDD+ de la CMNUCC identificados: </w:t>
            </w:r>
          </w:p>
          <w:p w14:paraId="51BD97BE" w14:textId="77777777" w:rsidR="00575693" w:rsidRPr="009A27ED" w:rsidRDefault="00575693" w:rsidP="001926C2">
            <w:pPr>
              <w:pStyle w:val="Aparrafopunteo"/>
              <w:numPr>
                <w:ilvl w:val="0"/>
                <w:numId w:val="57"/>
              </w:numPr>
              <w:rPr>
                <w:rFonts w:cstheme="minorHAnsi"/>
                <w:szCs w:val="20"/>
              </w:rPr>
            </w:pPr>
            <w:r w:rsidRPr="009A27ED">
              <w:rPr>
                <w:rFonts w:cstheme="minorHAnsi"/>
                <w:szCs w:val="20"/>
              </w:rPr>
              <w:t>Constitución Política de la República Dominicana (CPD).</w:t>
            </w:r>
          </w:p>
          <w:p w14:paraId="717345B0" w14:textId="77777777" w:rsidR="00575693" w:rsidRPr="009A27ED" w:rsidRDefault="00575693" w:rsidP="001926C2">
            <w:pPr>
              <w:pStyle w:val="Aparrafopunteo"/>
              <w:numPr>
                <w:ilvl w:val="0"/>
                <w:numId w:val="57"/>
              </w:numPr>
              <w:rPr>
                <w:rFonts w:cstheme="minorHAnsi"/>
                <w:szCs w:val="20"/>
              </w:rPr>
            </w:pPr>
            <w:r w:rsidRPr="009A27ED">
              <w:rPr>
                <w:rFonts w:cstheme="minorHAnsi"/>
                <w:szCs w:val="20"/>
              </w:rPr>
              <w:t>Ley General de Medio Ambiente y Recursos Naturales (Ley 64-00).</w:t>
            </w:r>
          </w:p>
          <w:p w14:paraId="6E455FD4" w14:textId="77777777" w:rsidR="00575693" w:rsidRPr="009A27ED" w:rsidRDefault="00575693" w:rsidP="001926C2">
            <w:pPr>
              <w:pStyle w:val="Aparrafopunteo"/>
              <w:numPr>
                <w:ilvl w:val="0"/>
                <w:numId w:val="57"/>
              </w:numPr>
              <w:rPr>
                <w:rFonts w:cstheme="minorHAnsi"/>
                <w:szCs w:val="20"/>
              </w:rPr>
            </w:pPr>
            <w:r w:rsidRPr="009A27ED">
              <w:rPr>
                <w:rFonts w:cstheme="minorHAnsi"/>
                <w:szCs w:val="20"/>
              </w:rPr>
              <w:t xml:space="preserve">Ley de la Estrategia Nacional de Desarrollo 20-30 (END, Ley 1-12). </w:t>
            </w:r>
          </w:p>
          <w:p w14:paraId="767A419F" w14:textId="77777777" w:rsidR="00575693" w:rsidRPr="009A27ED" w:rsidRDefault="00575693" w:rsidP="001926C2">
            <w:pPr>
              <w:pStyle w:val="Aparrafopunteo"/>
              <w:numPr>
                <w:ilvl w:val="0"/>
                <w:numId w:val="57"/>
              </w:numPr>
              <w:rPr>
                <w:rFonts w:cstheme="minorHAnsi"/>
                <w:szCs w:val="20"/>
              </w:rPr>
            </w:pPr>
            <w:r w:rsidRPr="009A27ED">
              <w:rPr>
                <w:rFonts w:cstheme="minorHAnsi"/>
                <w:szCs w:val="20"/>
              </w:rPr>
              <w:t>Ley de Planificación e Inversión Pública (LPIP, Ley 498-06).</w:t>
            </w:r>
          </w:p>
          <w:p w14:paraId="4B346979" w14:textId="77777777" w:rsidR="00575693" w:rsidRPr="009A27ED" w:rsidRDefault="00575693" w:rsidP="001926C2">
            <w:pPr>
              <w:pStyle w:val="Aparrafopunteo"/>
              <w:numPr>
                <w:ilvl w:val="0"/>
                <w:numId w:val="57"/>
              </w:numPr>
              <w:rPr>
                <w:rFonts w:cstheme="minorHAnsi"/>
                <w:szCs w:val="20"/>
              </w:rPr>
            </w:pPr>
            <w:r w:rsidRPr="009A27ED">
              <w:rPr>
                <w:rFonts w:cstheme="minorHAnsi"/>
                <w:szCs w:val="20"/>
              </w:rPr>
              <w:t>Código Procesal Penal de la República Dominicana (CPPRD).</w:t>
            </w:r>
          </w:p>
          <w:p w14:paraId="34BF1269" w14:textId="77777777" w:rsidR="00575693" w:rsidRPr="009A27ED" w:rsidRDefault="00575693" w:rsidP="001926C2">
            <w:pPr>
              <w:pStyle w:val="Aparrafopunteo"/>
              <w:numPr>
                <w:ilvl w:val="0"/>
                <w:numId w:val="57"/>
              </w:numPr>
              <w:rPr>
                <w:rFonts w:cstheme="minorHAnsi"/>
                <w:szCs w:val="20"/>
              </w:rPr>
            </w:pPr>
            <w:r w:rsidRPr="009A27ED">
              <w:rPr>
                <w:rFonts w:cstheme="minorHAnsi"/>
                <w:szCs w:val="20"/>
              </w:rPr>
              <w:t>Decreto No. 138-97, Crea y Aprueba el Plan Nacional Quisqueya Verde.</w:t>
            </w:r>
          </w:p>
          <w:p w14:paraId="21321C9D" w14:textId="77777777" w:rsidR="00575693" w:rsidRPr="009A27ED" w:rsidRDefault="00575693" w:rsidP="001926C2">
            <w:pPr>
              <w:pStyle w:val="Aparrafopunteo"/>
              <w:numPr>
                <w:ilvl w:val="0"/>
                <w:numId w:val="57"/>
              </w:numPr>
              <w:rPr>
                <w:rFonts w:cstheme="minorHAnsi"/>
                <w:szCs w:val="20"/>
              </w:rPr>
            </w:pPr>
            <w:r w:rsidRPr="009A27ED">
              <w:rPr>
                <w:rFonts w:cstheme="minorHAnsi"/>
                <w:szCs w:val="20"/>
              </w:rPr>
              <w:t>Decreto No. 10-17, Crea la Unidad Coordinadora de Proyectos Agroforestales de la Presidencia de la República Dominicana.</w:t>
            </w:r>
          </w:p>
          <w:p w14:paraId="1A807E0A" w14:textId="77777777" w:rsidR="00575693" w:rsidRPr="009A27ED" w:rsidRDefault="00575693" w:rsidP="001926C2">
            <w:pPr>
              <w:pStyle w:val="Aparrafopunteo"/>
              <w:numPr>
                <w:ilvl w:val="0"/>
                <w:numId w:val="57"/>
              </w:numPr>
              <w:rPr>
                <w:rFonts w:cstheme="minorHAnsi"/>
                <w:szCs w:val="20"/>
              </w:rPr>
            </w:pPr>
            <w:r w:rsidRPr="009A27ED">
              <w:rPr>
                <w:rFonts w:cstheme="minorHAnsi"/>
                <w:szCs w:val="20"/>
              </w:rPr>
              <w:t xml:space="preserve">Decreto 57-18, Crea la comisión presidencial para ordenamiento y manejo de la cuenca del Río </w:t>
            </w:r>
            <w:proofErr w:type="spellStart"/>
            <w:r w:rsidRPr="009A27ED">
              <w:rPr>
                <w:rFonts w:cstheme="minorHAnsi"/>
                <w:szCs w:val="20"/>
              </w:rPr>
              <w:t>Yaque</w:t>
            </w:r>
            <w:proofErr w:type="spellEnd"/>
            <w:r w:rsidRPr="009A27ED">
              <w:rPr>
                <w:rFonts w:cstheme="minorHAnsi"/>
                <w:szCs w:val="20"/>
              </w:rPr>
              <w:t xml:space="preserve"> del Norte</w:t>
            </w:r>
          </w:p>
          <w:p w14:paraId="4E7018A7" w14:textId="77777777" w:rsidR="00575693" w:rsidRPr="009A27ED" w:rsidRDefault="00575693" w:rsidP="001926C2">
            <w:pPr>
              <w:pStyle w:val="Aparrafopunteo"/>
              <w:numPr>
                <w:ilvl w:val="0"/>
                <w:numId w:val="57"/>
              </w:numPr>
              <w:rPr>
                <w:rFonts w:cstheme="minorHAnsi"/>
                <w:szCs w:val="20"/>
              </w:rPr>
            </w:pPr>
            <w:r w:rsidRPr="009A27ED">
              <w:rPr>
                <w:rFonts w:cstheme="minorHAnsi"/>
                <w:szCs w:val="20"/>
              </w:rPr>
              <w:t xml:space="preserve">Reglamento Forestal (RF) </w:t>
            </w:r>
          </w:p>
          <w:p w14:paraId="3D6EA266" w14:textId="77777777" w:rsidR="00575693" w:rsidRPr="009A27ED" w:rsidRDefault="00575693" w:rsidP="001926C2">
            <w:pPr>
              <w:pStyle w:val="Aparrafopunteo"/>
              <w:numPr>
                <w:ilvl w:val="0"/>
                <w:numId w:val="57"/>
              </w:numPr>
              <w:rPr>
                <w:rFonts w:cstheme="minorHAnsi"/>
                <w:szCs w:val="20"/>
              </w:rPr>
            </w:pPr>
            <w:r w:rsidRPr="009A27ED">
              <w:rPr>
                <w:rFonts w:cstheme="minorHAnsi"/>
                <w:szCs w:val="20"/>
              </w:rPr>
              <w:t xml:space="preserve">Normas Técnicas para Planes de Manejo Forestal (NTMF) </w:t>
            </w:r>
          </w:p>
          <w:p w14:paraId="5858F3D4" w14:textId="77777777" w:rsidR="00575693" w:rsidRPr="009A27ED" w:rsidRDefault="00575693" w:rsidP="001926C2">
            <w:pPr>
              <w:pStyle w:val="Aparrafopunteo"/>
              <w:numPr>
                <w:ilvl w:val="0"/>
                <w:numId w:val="57"/>
              </w:numPr>
              <w:rPr>
                <w:rFonts w:cstheme="minorHAnsi"/>
                <w:szCs w:val="20"/>
              </w:rPr>
            </w:pPr>
            <w:r w:rsidRPr="009A27ED">
              <w:rPr>
                <w:rFonts w:cstheme="minorHAnsi"/>
                <w:szCs w:val="20"/>
              </w:rPr>
              <w:t>Convenios, Tratados y Acuerdos internacionales.</w:t>
            </w:r>
          </w:p>
          <w:p w14:paraId="678EDE82" w14:textId="77777777" w:rsidR="00575693" w:rsidRPr="009A27ED" w:rsidRDefault="00575693" w:rsidP="001926C2">
            <w:pPr>
              <w:autoSpaceDE w:val="0"/>
              <w:autoSpaceDN w:val="0"/>
              <w:adjustRightInd w:val="0"/>
              <w:spacing w:after="0"/>
              <w:rPr>
                <w:rFonts w:eastAsia="Calibri"/>
                <w:b/>
                <w:color w:val="FFFFFF" w:themeColor="background1"/>
                <w:szCs w:val="20"/>
              </w:rPr>
            </w:pPr>
          </w:p>
        </w:tc>
      </w:tr>
      <w:tr w:rsidR="00575693" w:rsidRPr="009A27ED" w14:paraId="51C98133" w14:textId="77777777" w:rsidTr="00877E27">
        <w:trPr>
          <w:tblHeader/>
        </w:trPr>
        <w:tc>
          <w:tcPr>
            <w:tcW w:w="4495" w:type="dxa"/>
            <w:shd w:val="clear" w:color="auto" w:fill="0070C0"/>
          </w:tcPr>
          <w:p w14:paraId="332A2B8A" w14:textId="77777777" w:rsidR="00575693" w:rsidRPr="009A27ED" w:rsidRDefault="00575693" w:rsidP="001926C2">
            <w:pPr>
              <w:autoSpaceDE w:val="0"/>
              <w:autoSpaceDN w:val="0"/>
              <w:adjustRightInd w:val="0"/>
              <w:spacing w:after="0"/>
              <w:jc w:val="center"/>
              <w:rPr>
                <w:rFonts w:eastAsia="Calibri"/>
                <w:b/>
                <w:color w:val="FFFFFF" w:themeColor="background1"/>
                <w:szCs w:val="20"/>
              </w:rPr>
            </w:pPr>
            <w:r w:rsidRPr="009A27ED">
              <w:rPr>
                <w:rFonts w:eastAsia="Calibri"/>
                <w:b/>
                <w:color w:val="FFFFFF" w:themeColor="background1"/>
                <w:szCs w:val="20"/>
              </w:rPr>
              <w:t>Marco legal relevante para asegurar cumplimiento con la salvaguarda</w:t>
            </w:r>
          </w:p>
        </w:tc>
        <w:tc>
          <w:tcPr>
            <w:tcW w:w="4950" w:type="dxa"/>
            <w:shd w:val="clear" w:color="auto" w:fill="0070C0"/>
          </w:tcPr>
          <w:p w14:paraId="73D51D14" w14:textId="77777777" w:rsidR="00575693" w:rsidRPr="009A27ED" w:rsidRDefault="00575693" w:rsidP="001926C2">
            <w:pPr>
              <w:autoSpaceDE w:val="0"/>
              <w:autoSpaceDN w:val="0"/>
              <w:adjustRightInd w:val="0"/>
              <w:spacing w:after="0"/>
              <w:jc w:val="center"/>
              <w:rPr>
                <w:rFonts w:eastAsia="Calibri"/>
                <w:b/>
                <w:color w:val="FFFFFF" w:themeColor="background1"/>
                <w:szCs w:val="20"/>
              </w:rPr>
            </w:pPr>
            <w:r w:rsidRPr="009A27ED">
              <w:rPr>
                <w:rFonts w:eastAsia="Calibri"/>
                <w:b/>
                <w:color w:val="FFFFFF" w:themeColor="background1"/>
                <w:szCs w:val="20"/>
              </w:rPr>
              <w:t>Medidas adicionales/recomendaciones</w:t>
            </w:r>
          </w:p>
        </w:tc>
      </w:tr>
      <w:tr w:rsidR="00575693" w:rsidRPr="009A27ED" w14:paraId="6D39C0E9" w14:textId="77777777" w:rsidTr="00877E27">
        <w:trPr>
          <w:tblHeader/>
        </w:trPr>
        <w:tc>
          <w:tcPr>
            <w:tcW w:w="4495" w:type="dxa"/>
            <w:shd w:val="clear" w:color="auto" w:fill="FFFFFF" w:themeFill="background1"/>
          </w:tcPr>
          <w:p w14:paraId="3A6E61F6" w14:textId="77777777" w:rsidR="00575693" w:rsidRPr="009A27ED" w:rsidRDefault="00575693" w:rsidP="001926C2">
            <w:pPr>
              <w:rPr>
                <w:szCs w:val="20"/>
              </w:rPr>
            </w:pPr>
            <w:r w:rsidRPr="009A27ED">
              <w:rPr>
                <w:szCs w:val="20"/>
              </w:rPr>
              <w:t>Se determinó que el marco legal prevé la existencia de un programa forestal a nivel estatal, amparado en la CPD</w:t>
            </w:r>
            <w:r w:rsidRPr="009A27ED">
              <w:rPr>
                <w:szCs w:val="20"/>
                <w:vertAlign w:val="superscript"/>
              </w:rPr>
              <w:endnoteReference w:id="2"/>
            </w:r>
            <w:r w:rsidRPr="009A27ED">
              <w:rPr>
                <w:szCs w:val="20"/>
              </w:rPr>
              <w:t>, la Ley 64-00</w:t>
            </w:r>
            <w:r w:rsidRPr="009A27ED">
              <w:rPr>
                <w:szCs w:val="20"/>
                <w:vertAlign w:val="superscript"/>
              </w:rPr>
              <w:endnoteReference w:id="3"/>
            </w:r>
            <w:r w:rsidRPr="009A27ED">
              <w:rPr>
                <w:szCs w:val="20"/>
              </w:rPr>
              <w:t>, la END</w:t>
            </w:r>
            <w:r w:rsidRPr="009A27ED">
              <w:rPr>
                <w:szCs w:val="20"/>
                <w:vertAlign w:val="superscript"/>
              </w:rPr>
              <w:endnoteReference w:id="4"/>
            </w:r>
            <w:r w:rsidRPr="009A27ED">
              <w:rPr>
                <w:szCs w:val="20"/>
              </w:rPr>
              <w:t>, el Decreto No. 138-97</w:t>
            </w:r>
            <w:r w:rsidRPr="009A27ED">
              <w:rPr>
                <w:szCs w:val="20"/>
                <w:vertAlign w:val="superscript"/>
              </w:rPr>
              <w:endnoteReference w:id="5"/>
            </w:r>
            <w:r w:rsidRPr="009A27ED">
              <w:rPr>
                <w:szCs w:val="20"/>
              </w:rPr>
              <w:t>,  el Decreto No. 10-17</w:t>
            </w:r>
            <w:r w:rsidRPr="009A27ED">
              <w:rPr>
                <w:szCs w:val="20"/>
                <w:vertAlign w:val="superscript"/>
              </w:rPr>
              <w:endnoteReference w:id="6"/>
            </w:r>
            <w:r w:rsidRPr="009A27ED">
              <w:rPr>
                <w:szCs w:val="20"/>
              </w:rPr>
              <w:t xml:space="preserve"> y el Decreto 57-18</w:t>
            </w:r>
            <w:r w:rsidRPr="009A27ED">
              <w:rPr>
                <w:rStyle w:val="Refdenotaalfinal"/>
                <w:szCs w:val="20"/>
              </w:rPr>
              <w:endnoteReference w:id="7"/>
            </w:r>
            <w:r w:rsidRPr="009A27ED">
              <w:rPr>
                <w:szCs w:val="20"/>
              </w:rPr>
              <w:t>.</w:t>
            </w:r>
          </w:p>
          <w:p w14:paraId="37B0EB71" w14:textId="77777777" w:rsidR="00575693" w:rsidRPr="009A27ED" w:rsidRDefault="00575693" w:rsidP="001926C2">
            <w:pPr>
              <w:rPr>
                <w:szCs w:val="20"/>
              </w:rPr>
            </w:pPr>
            <w:r w:rsidRPr="009A27ED">
              <w:rPr>
                <w:szCs w:val="20"/>
              </w:rPr>
              <w:t>Los objetivos generales del país en materia forestal se encuentran definidos en la CPD</w:t>
            </w:r>
            <w:r w:rsidRPr="009A27ED">
              <w:rPr>
                <w:szCs w:val="20"/>
                <w:vertAlign w:val="superscript"/>
              </w:rPr>
              <w:endnoteReference w:id="8"/>
            </w:r>
            <w:r w:rsidRPr="009A27ED">
              <w:rPr>
                <w:szCs w:val="20"/>
              </w:rPr>
              <w:t>, La END</w:t>
            </w:r>
            <w:r w:rsidRPr="009A27ED">
              <w:rPr>
                <w:szCs w:val="20"/>
                <w:vertAlign w:val="superscript"/>
              </w:rPr>
              <w:endnoteReference w:id="9"/>
            </w:r>
            <w:r w:rsidRPr="009A27ED">
              <w:rPr>
                <w:szCs w:val="20"/>
              </w:rPr>
              <w:t>, la ley NO. 64-00</w:t>
            </w:r>
            <w:r w:rsidRPr="009A27ED">
              <w:rPr>
                <w:szCs w:val="20"/>
                <w:vertAlign w:val="superscript"/>
              </w:rPr>
              <w:endnoteReference w:id="10"/>
            </w:r>
            <w:r w:rsidRPr="009A27ED">
              <w:rPr>
                <w:szCs w:val="20"/>
              </w:rPr>
              <w:t xml:space="preserve">  y el Reglamento Forestal.</w:t>
            </w:r>
            <w:r w:rsidRPr="009A27ED">
              <w:rPr>
                <w:szCs w:val="20"/>
                <w:vertAlign w:val="superscript"/>
              </w:rPr>
              <w:endnoteReference w:id="11"/>
            </w:r>
            <w:r w:rsidRPr="009A27ED">
              <w:rPr>
                <w:szCs w:val="20"/>
              </w:rPr>
              <w:t xml:space="preserve"> Asimismo, la Estrategia Nacional de Desarrollo detalla las principales líneas de acción en el ámbito forestal.</w:t>
            </w:r>
          </w:p>
          <w:p w14:paraId="1945160F" w14:textId="77777777" w:rsidR="00575693" w:rsidRPr="009A27ED" w:rsidRDefault="00575693" w:rsidP="001926C2">
            <w:pPr>
              <w:rPr>
                <w:b/>
                <w:szCs w:val="20"/>
              </w:rPr>
            </w:pPr>
            <w:r w:rsidRPr="009A27ED">
              <w:rPr>
                <w:szCs w:val="20"/>
              </w:rPr>
              <w:t>En este aspecto también, en cuanto al manejo forestal, el marco legal indica que las Normas técnicas de manejo forestal</w:t>
            </w:r>
            <w:r w:rsidRPr="009A27ED">
              <w:rPr>
                <w:szCs w:val="20"/>
                <w:vertAlign w:val="superscript"/>
              </w:rPr>
              <w:endnoteReference w:id="12"/>
            </w:r>
            <w:r w:rsidRPr="009A27ED">
              <w:rPr>
                <w:szCs w:val="20"/>
                <w:vertAlign w:val="superscript"/>
              </w:rPr>
              <w:t xml:space="preserve"> </w:t>
            </w:r>
            <w:r w:rsidRPr="009A27ED">
              <w:rPr>
                <w:szCs w:val="20"/>
              </w:rPr>
              <w:t>deberán ser cumplidas de acuerdo con los principios, criterios y normas aprobados por el Ministerio de Medio Ambiente y Recursos Naturales y La Ley que Establece la Estrategia Nacional de Desarrollo 2030.</w:t>
            </w:r>
            <w:r w:rsidRPr="009A27ED">
              <w:rPr>
                <w:szCs w:val="20"/>
                <w:vertAlign w:val="superscript"/>
              </w:rPr>
              <w:endnoteReference w:id="13"/>
            </w:r>
          </w:p>
        </w:tc>
        <w:tc>
          <w:tcPr>
            <w:tcW w:w="4950" w:type="dxa"/>
            <w:shd w:val="clear" w:color="auto" w:fill="FFFFFF" w:themeFill="background1"/>
          </w:tcPr>
          <w:p w14:paraId="0A6C0648" w14:textId="4BC2B6EF" w:rsidR="00575693" w:rsidRPr="009A27ED" w:rsidRDefault="00575693" w:rsidP="001926C2">
            <w:pPr>
              <w:rPr>
                <w:szCs w:val="20"/>
              </w:rPr>
            </w:pPr>
            <w:r w:rsidRPr="009A27ED">
              <w:rPr>
                <w:szCs w:val="20"/>
              </w:rPr>
              <w:t xml:space="preserve">La Estrategia REDD+ para República Dominicana, y el </w:t>
            </w:r>
            <w:r w:rsidR="001920C0" w:rsidRPr="009A27ED">
              <w:rPr>
                <w:szCs w:val="20"/>
              </w:rPr>
              <w:t>P</w:t>
            </w:r>
            <w:r w:rsidR="00F706F2" w:rsidRPr="009A27ED">
              <w:rPr>
                <w:szCs w:val="20"/>
              </w:rPr>
              <w:t xml:space="preserve">rograma </w:t>
            </w:r>
            <w:r w:rsidR="001920C0" w:rsidRPr="009A27ED">
              <w:rPr>
                <w:szCs w:val="20"/>
              </w:rPr>
              <w:t>REDD+</w:t>
            </w:r>
            <w:r w:rsidR="00321BD8" w:rsidRPr="009A27ED">
              <w:rPr>
                <w:szCs w:val="20"/>
              </w:rPr>
              <w:t xml:space="preserve"> </w:t>
            </w:r>
            <w:r w:rsidRPr="009A27ED">
              <w:rPr>
                <w:szCs w:val="20"/>
              </w:rPr>
              <w:t>son complementari</w:t>
            </w:r>
            <w:r w:rsidR="00F706F2" w:rsidRPr="009A27ED">
              <w:rPr>
                <w:szCs w:val="20"/>
              </w:rPr>
              <w:t>o</w:t>
            </w:r>
            <w:r w:rsidRPr="009A27ED">
              <w:rPr>
                <w:szCs w:val="20"/>
              </w:rPr>
              <w:t>s y/o compatibles con los objetivos y leyes del país. Por ejemplo, de la Ley que Establece la Estrategia Nacional de Desarrollo 2030. También son compatibles con las obligaciones derivadas de los convenios y tratados que el país ha firmado o ratificado y de los que el país es parte.</w:t>
            </w:r>
          </w:p>
        </w:tc>
      </w:tr>
    </w:tbl>
    <w:p w14:paraId="2FF77FD5" w14:textId="07F0DC60" w:rsidR="00877E27" w:rsidRPr="009A27ED" w:rsidRDefault="00877E27">
      <w:pPr>
        <w:spacing w:line="360" w:lineRule="auto"/>
      </w:pPr>
    </w:p>
    <w:tbl>
      <w:tblPr>
        <w:tblStyle w:val="TableGrid1"/>
        <w:tblpPr w:leftFromText="180" w:rightFromText="180" w:vertAnchor="text" w:horzAnchor="margin" w:tblpY="167"/>
        <w:tblW w:w="9445" w:type="dxa"/>
        <w:shd w:val="clear" w:color="auto" w:fill="C2D69B"/>
        <w:tblLook w:val="04A0" w:firstRow="1" w:lastRow="0" w:firstColumn="1" w:lastColumn="0" w:noHBand="0" w:noVBand="1"/>
      </w:tblPr>
      <w:tblGrid>
        <w:gridCol w:w="4495"/>
        <w:gridCol w:w="4950"/>
      </w:tblGrid>
      <w:tr w:rsidR="00575693" w:rsidRPr="009A27ED" w14:paraId="3D98DF17" w14:textId="77777777" w:rsidTr="00877E27">
        <w:trPr>
          <w:trHeight w:val="629"/>
          <w:tblHeader/>
        </w:trPr>
        <w:tc>
          <w:tcPr>
            <w:tcW w:w="4495" w:type="dxa"/>
            <w:shd w:val="clear" w:color="auto" w:fill="FFFFFF" w:themeFill="background1"/>
          </w:tcPr>
          <w:p w14:paraId="5BAA92CB" w14:textId="39709B02" w:rsidR="00575693" w:rsidRPr="009A27ED" w:rsidRDefault="00575693" w:rsidP="001926C2">
            <w:pPr>
              <w:rPr>
                <w:color w:val="000000"/>
                <w:szCs w:val="20"/>
                <w:lang w:eastAsia="en-GB"/>
              </w:rPr>
            </w:pPr>
            <w:r w:rsidRPr="009A27ED">
              <w:rPr>
                <w:color w:val="000000"/>
                <w:szCs w:val="20"/>
                <w:lang w:eastAsia="en-GB"/>
              </w:rPr>
              <w:t>La República Dominicana es parte, o ha declarado a favor, de un total de 44 Acuerdos, Protocolos, Tratados y Convenios relevantes para las Salvaguardas REDD+</w:t>
            </w:r>
            <w:r w:rsidRPr="009A27ED">
              <w:rPr>
                <w:color w:val="000000"/>
                <w:szCs w:val="20"/>
                <w:vertAlign w:val="superscript"/>
                <w:lang w:eastAsia="en-GB"/>
              </w:rPr>
              <w:endnoteReference w:id="14"/>
            </w:r>
            <w:r w:rsidRPr="009A27ED">
              <w:rPr>
                <w:color w:val="000000"/>
                <w:szCs w:val="20"/>
                <w:lang w:eastAsia="en-GB"/>
              </w:rPr>
              <w:t xml:space="preserve"> y el marco jurídico nacional incorpora el derecho internacional; en la República Dominicana la Constitución Política y los tratados/instrumentos internacionales firmados por el país tienen la principalía en el rango de la jerarquía normativa. La CPD</w:t>
            </w:r>
            <w:r w:rsidRPr="009A27ED">
              <w:rPr>
                <w:color w:val="000000"/>
                <w:szCs w:val="20"/>
                <w:vertAlign w:val="superscript"/>
                <w:lang w:eastAsia="en-GB"/>
              </w:rPr>
              <w:endnoteReference w:id="15"/>
            </w:r>
            <w:r w:rsidRPr="009A27ED">
              <w:rPr>
                <w:color w:val="000000"/>
                <w:szCs w:val="20"/>
                <w:lang w:eastAsia="en-GB"/>
              </w:rPr>
              <w:t xml:space="preserve"> incorpora el derecho internacional, también lo hace la END</w:t>
            </w:r>
            <w:r w:rsidRPr="009A27ED">
              <w:rPr>
                <w:color w:val="000000"/>
                <w:szCs w:val="20"/>
                <w:vertAlign w:val="superscript"/>
                <w:lang w:eastAsia="en-GB"/>
              </w:rPr>
              <w:endnoteReference w:id="16"/>
            </w:r>
            <w:r w:rsidRPr="009A27ED">
              <w:rPr>
                <w:color w:val="000000"/>
                <w:szCs w:val="20"/>
                <w:lang w:eastAsia="en-GB"/>
              </w:rPr>
              <w:t>. Específicamente, la Ley 64-00</w:t>
            </w:r>
            <w:r w:rsidRPr="009A27ED">
              <w:rPr>
                <w:color w:val="000000"/>
                <w:szCs w:val="20"/>
                <w:vertAlign w:val="superscript"/>
                <w:lang w:eastAsia="en-GB"/>
              </w:rPr>
              <w:endnoteReference w:id="17"/>
            </w:r>
            <w:r w:rsidRPr="009A27ED">
              <w:rPr>
                <w:color w:val="000000"/>
                <w:szCs w:val="20"/>
                <w:vertAlign w:val="superscript"/>
                <w:lang w:eastAsia="en-GB"/>
              </w:rPr>
              <w:t>;</w:t>
            </w:r>
            <w:r w:rsidRPr="009A27ED">
              <w:rPr>
                <w:color w:val="000000"/>
                <w:szCs w:val="20"/>
                <w:lang w:eastAsia="en-GB"/>
              </w:rPr>
              <w:t xml:space="preserve"> y las NTPMF</w:t>
            </w:r>
            <w:r w:rsidRPr="009A27ED">
              <w:rPr>
                <w:color w:val="000000"/>
                <w:szCs w:val="20"/>
                <w:vertAlign w:val="superscript"/>
                <w:lang w:eastAsia="en-GB"/>
              </w:rPr>
              <w:endnoteReference w:id="18"/>
            </w:r>
            <w:r w:rsidRPr="009A27ED">
              <w:rPr>
                <w:color w:val="000000"/>
                <w:szCs w:val="20"/>
                <w:lang w:eastAsia="en-GB"/>
              </w:rPr>
              <w:t xml:space="preserve"> precisan que el manejo forestal deberá ajustarse a los tratados y los acuerdos internacionales ratificados por el país que regulen la actividad forestal.</w:t>
            </w:r>
          </w:p>
        </w:tc>
        <w:tc>
          <w:tcPr>
            <w:tcW w:w="4950" w:type="dxa"/>
            <w:shd w:val="clear" w:color="auto" w:fill="FFFFFF" w:themeFill="background1"/>
          </w:tcPr>
          <w:p w14:paraId="39CE622B" w14:textId="77777777" w:rsidR="00575693" w:rsidRPr="009A27ED" w:rsidRDefault="00575693" w:rsidP="001926C2">
            <w:pPr>
              <w:keepNext/>
              <w:rPr>
                <w:szCs w:val="20"/>
              </w:rPr>
            </w:pPr>
            <w:r w:rsidRPr="009A27ED">
              <w:rPr>
                <w:szCs w:val="20"/>
              </w:rPr>
              <w:t>Se fortalecerán los mecanismos de reporte y monitoreo de estos que potencialmente podrían servir como fuentes del Sistema de Información de Salvaguardas del país.</w:t>
            </w:r>
          </w:p>
        </w:tc>
      </w:tr>
    </w:tbl>
    <w:p w14:paraId="690FCBBC" w14:textId="27D31F02" w:rsidR="007D7538" w:rsidRPr="009A27ED" w:rsidRDefault="007D7538">
      <w:pPr>
        <w:spacing w:line="360" w:lineRule="auto"/>
      </w:pPr>
    </w:p>
    <w:p w14:paraId="1013E854" w14:textId="1E07C9DC" w:rsidR="00575693" w:rsidRPr="009A27ED" w:rsidRDefault="00575693" w:rsidP="00B80189">
      <w:pPr>
        <w:pStyle w:val="Ttulo3"/>
        <w:numPr>
          <w:ilvl w:val="0"/>
          <w:numId w:val="0"/>
        </w:numPr>
        <w:spacing w:line="360" w:lineRule="auto"/>
        <w:ind w:left="720"/>
        <w:jc w:val="both"/>
      </w:pPr>
      <w:bookmarkStart w:id="201" w:name="_Toc111837939"/>
      <w:r w:rsidRPr="009A27ED">
        <w:rPr>
          <w:rFonts w:ascii="Times New Roman" w:eastAsia="Times New Roman" w:hAnsi="Times New Roman"/>
          <w:sz w:val="24"/>
        </w:rPr>
        <w:t>3.3.2 Salvaguarda B</w:t>
      </w:r>
      <w:bookmarkEnd w:id="201"/>
    </w:p>
    <w:p w14:paraId="785BE2A0" w14:textId="0DEA3B78" w:rsidR="00877E27" w:rsidRPr="009A27ED" w:rsidRDefault="00877E27">
      <w:pPr>
        <w:spacing w:line="360" w:lineRule="auto"/>
      </w:pPr>
    </w:p>
    <w:tbl>
      <w:tblPr>
        <w:tblStyle w:val="TableGrid1"/>
        <w:tblpPr w:leftFromText="180" w:rightFromText="180" w:vertAnchor="text" w:horzAnchor="page" w:tblpX="1715" w:tblpY="144"/>
        <w:tblW w:w="8820" w:type="dxa"/>
        <w:shd w:val="clear" w:color="auto" w:fill="C2D69B"/>
        <w:tblLook w:val="04A0" w:firstRow="1" w:lastRow="0" w:firstColumn="1" w:lastColumn="0" w:noHBand="0" w:noVBand="1"/>
      </w:tblPr>
      <w:tblGrid>
        <w:gridCol w:w="8820"/>
      </w:tblGrid>
      <w:tr w:rsidR="00302CD1" w:rsidRPr="009A27ED" w14:paraId="7ABF2D03" w14:textId="77777777" w:rsidTr="007D5516">
        <w:tc>
          <w:tcPr>
            <w:tcW w:w="8820" w:type="dxa"/>
            <w:shd w:val="clear" w:color="auto" w:fill="auto"/>
          </w:tcPr>
          <w:p w14:paraId="031C2DC2" w14:textId="1035BB37" w:rsidR="00302CD1" w:rsidRPr="009A27ED" w:rsidRDefault="00302CD1" w:rsidP="005C7914">
            <w:pPr>
              <w:rPr>
                <w:szCs w:val="20"/>
              </w:rPr>
            </w:pPr>
            <w:r w:rsidRPr="009A27ED">
              <w:rPr>
                <w:b/>
                <w:szCs w:val="20"/>
              </w:rPr>
              <w:t>Descripción de la Salvaguarda:</w:t>
            </w:r>
            <w:r w:rsidRPr="009A27ED">
              <w:rPr>
                <w:szCs w:val="20"/>
              </w:rPr>
              <w:t xml:space="preserve"> “La transparencia y eficacia de las estructuras de gobernanza forestal nacional, teniendo en cuenta la legislación y la soberanía nacionales;”</w:t>
            </w:r>
          </w:p>
          <w:p w14:paraId="6B141D87" w14:textId="77777777" w:rsidR="00302CD1" w:rsidRPr="009A27ED" w:rsidRDefault="00302CD1" w:rsidP="005C7914">
            <w:pPr>
              <w:rPr>
                <w:szCs w:val="20"/>
              </w:rPr>
            </w:pPr>
            <w:r w:rsidRPr="009A27ED">
              <w:rPr>
                <w:b/>
                <w:szCs w:val="20"/>
              </w:rPr>
              <w:t>Interpretación de la salvaguarda (b) de la CMNUCC en República Dominicana</w:t>
            </w:r>
            <w:r w:rsidRPr="009A27ED">
              <w:rPr>
                <w:szCs w:val="20"/>
              </w:rPr>
              <w:t xml:space="preserve">: La transparencia, comprendida por el derecho al acceso a la información, la promoción de la sensibilización al público, la rendición de cuentas y las medidas anticorrupción, es garantizada en el ámbito de aplicación de la Estrategia Nacional REDD+. Asimismo, se garantiza una gobernanza forestal efectiva, comprendida por el </w:t>
            </w:r>
            <w:r w:rsidRPr="009A27ED">
              <w:rPr>
                <w:szCs w:val="20"/>
              </w:rPr>
              <w:lastRenderedPageBreak/>
              <w:t>reconocimiento y protección de los derechos sobre la tenencia de la tierra, la distribución justa de los beneficios, el reconocimiento y promoción de la equidad de género, el derecho de acceso a la justicia a través los mecanismos de resolución de conflictos y la coordinación intersectorial en la aplicación de la Estrategia Nacional REDD+.</w:t>
            </w:r>
          </w:p>
          <w:p w14:paraId="7DBDAAC5" w14:textId="77777777" w:rsidR="00302CD1" w:rsidRPr="009A27ED" w:rsidRDefault="00302CD1" w:rsidP="005C7914">
            <w:pPr>
              <w:pStyle w:val="Textosubrayado"/>
              <w:rPr>
                <w:b/>
                <w:szCs w:val="20"/>
                <w:u w:val="none"/>
              </w:rPr>
            </w:pPr>
            <w:r w:rsidRPr="009A27ED">
              <w:rPr>
                <w:b/>
                <w:szCs w:val="20"/>
                <w:u w:val="none"/>
              </w:rPr>
              <w:t xml:space="preserve">Instrumentos legales vigentes y relevantes para la salvaguarda b) REDD+ de la CMNUCC identificados </w:t>
            </w:r>
          </w:p>
          <w:p w14:paraId="704D3988" w14:textId="77777777" w:rsidR="00302CD1" w:rsidRPr="009A27ED" w:rsidRDefault="00302CD1" w:rsidP="005C7914">
            <w:pPr>
              <w:pStyle w:val="Aparrafopunteo"/>
              <w:numPr>
                <w:ilvl w:val="0"/>
                <w:numId w:val="58"/>
              </w:numPr>
              <w:rPr>
                <w:rFonts w:cstheme="minorHAnsi"/>
                <w:szCs w:val="20"/>
              </w:rPr>
            </w:pPr>
            <w:r w:rsidRPr="009A27ED">
              <w:rPr>
                <w:rFonts w:cstheme="minorHAnsi"/>
                <w:szCs w:val="20"/>
              </w:rPr>
              <w:t xml:space="preserve">Constitución Política Dominicana (CPD) </w:t>
            </w:r>
          </w:p>
          <w:p w14:paraId="5DA4FAE2" w14:textId="77777777" w:rsidR="00302CD1" w:rsidRPr="009A27ED" w:rsidRDefault="00302CD1" w:rsidP="005C7914">
            <w:pPr>
              <w:pStyle w:val="Aparrafopunteo"/>
              <w:numPr>
                <w:ilvl w:val="0"/>
                <w:numId w:val="58"/>
              </w:numPr>
              <w:rPr>
                <w:rFonts w:cstheme="minorHAnsi"/>
                <w:szCs w:val="20"/>
              </w:rPr>
            </w:pPr>
            <w:r w:rsidRPr="009A27ED">
              <w:rPr>
                <w:rFonts w:cstheme="minorHAnsi"/>
                <w:szCs w:val="20"/>
              </w:rPr>
              <w:t>Ley General de Medio Ambiente y Recursos Naturales (LGMARENA, ley No. 64-00)</w:t>
            </w:r>
          </w:p>
          <w:p w14:paraId="1D39A046" w14:textId="77777777" w:rsidR="00302CD1" w:rsidRPr="009A27ED" w:rsidRDefault="00302CD1" w:rsidP="005C7914">
            <w:pPr>
              <w:pStyle w:val="Aparrafopunteo"/>
              <w:numPr>
                <w:ilvl w:val="0"/>
                <w:numId w:val="58"/>
              </w:numPr>
              <w:rPr>
                <w:rFonts w:cstheme="minorHAnsi"/>
                <w:szCs w:val="20"/>
              </w:rPr>
            </w:pPr>
            <w:r w:rsidRPr="009A27ED">
              <w:rPr>
                <w:rFonts w:cstheme="minorHAnsi"/>
                <w:szCs w:val="20"/>
              </w:rPr>
              <w:t xml:space="preserve">Ley General de Libre Acceso a la Información Pública (LGLAIP) y su Reglamento  </w:t>
            </w:r>
          </w:p>
          <w:p w14:paraId="46C64DAF" w14:textId="77777777" w:rsidR="00302CD1" w:rsidRPr="009A27ED" w:rsidRDefault="00302CD1" w:rsidP="005C7914">
            <w:pPr>
              <w:pStyle w:val="Aparrafopunteo"/>
              <w:numPr>
                <w:ilvl w:val="0"/>
                <w:numId w:val="58"/>
              </w:numPr>
              <w:rPr>
                <w:rFonts w:cstheme="minorHAnsi"/>
                <w:szCs w:val="20"/>
              </w:rPr>
            </w:pPr>
            <w:r w:rsidRPr="009A27ED">
              <w:rPr>
                <w:rFonts w:cstheme="minorHAnsi"/>
                <w:szCs w:val="20"/>
              </w:rPr>
              <w:t>Ley Orgánica de Administración Pública (LOAP, Ley No. 247-12)</w:t>
            </w:r>
          </w:p>
          <w:p w14:paraId="409F0B84" w14:textId="77777777" w:rsidR="00302CD1" w:rsidRPr="009A27ED" w:rsidRDefault="00302CD1" w:rsidP="005C7914">
            <w:pPr>
              <w:pStyle w:val="Aparrafopunteo"/>
              <w:numPr>
                <w:ilvl w:val="0"/>
                <w:numId w:val="58"/>
              </w:numPr>
              <w:rPr>
                <w:rFonts w:cstheme="minorHAnsi"/>
                <w:szCs w:val="20"/>
              </w:rPr>
            </w:pPr>
            <w:r w:rsidRPr="009A27ED">
              <w:rPr>
                <w:rFonts w:cstheme="minorHAnsi"/>
                <w:szCs w:val="20"/>
              </w:rPr>
              <w:t xml:space="preserve">Ley Orgánica Estrategia Nacional de Desarrollo 2030 (LEND, Ley No. 1-12) </w:t>
            </w:r>
          </w:p>
          <w:p w14:paraId="308991BC" w14:textId="77777777" w:rsidR="00302CD1" w:rsidRPr="009A27ED" w:rsidRDefault="00302CD1" w:rsidP="005C7914">
            <w:pPr>
              <w:pStyle w:val="Aparrafopunteo"/>
              <w:numPr>
                <w:ilvl w:val="0"/>
                <w:numId w:val="58"/>
              </w:numPr>
              <w:rPr>
                <w:rFonts w:cstheme="minorHAnsi"/>
                <w:szCs w:val="20"/>
              </w:rPr>
            </w:pPr>
            <w:r w:rsidRPr="009A27ED">
              <w:rPr>
                <w:rFonts w:cstheme="minorHAnsi"/>
                <w:szCs w:val="20"/>
              </w:rPr>
              <w:t xml:space="preserve">Ley Orgánica de Presupuesto para el Sector Público (LOPSP, Ley No. 423-06) </w:t>
            </w:r>
          </w:p>
          <w:p w14:paraId="28A8976A" w14:textId="77777777" w:rsidR="00302CD1" w:rsidRPr="009A27ED" w:rsidRDefault="00302CD1" w:rsidP="005C7914">
            <w:pPr>
              <w:pStyle w:val="Aparrafopunteo"/>
              <w:numPr>
                <w:ilvl w:val="0"/>
                <w:numId w:val="58"/>
              </w:numPr>
              <w:rPr>
                <w:rFonts w:cstheme="minorHAnsi"/>
                <w:szCs w:val="20"/>
              </w:rPr>
            </w:pPr>
            <w:r w:rsidRPr="009A27ED">
              <w:rPr>
                <w:rFonts w:cstheme="minorHAnsi"/>
                <w:szCs w:val="20"/>
              </w:rPr>
              <w:t>Ley de la Cámara de Cuentas (LCC, Ley No. 10-04)</w:t>
            </w:r>
          </w:p>
          <w:p w14:paraId="66C5873C" w14:textId="77777777" w:rsidR="00302CD1" w:rsidRPr="009A27ED" w:rsidRDefault="00302CD1" w:rsidP="005C7914">
            <w:pPr>
              <w:pStyle w:val="Aparrafopunteo"/>
              <w:numPr>
                <w:ilvl w:val="0"/>
                <w:numId w:val="58"/>
              </w:numPr>
              <w:rPr>
                <w:rFonts w:cstheme="minorHAnsi"/>
                <w:szCs w:val="20"/>
              </w:rPr>
            </w:pPr>
            <w:r w:rsidRPr="009A27ED">
              <w:rPr>
                <w:rFonts w:cstheme="minorHAnsi"/>
                <w:szCs w:val="20"/>
              </w:rPr>
              <w:t>Ley sobre Registro Inmobiliario (LSRI, Ley No. 108-05)</w:t>
            </w:r>
          </w:p>
          <w:p w14:paraId="42E1FECF" w14:textId="77777777" w:rsidR="00302CD1" w:rsidRPr="009A27ED" w:rsidRDefault="00302CD1" w:rsidP="005C7914">
            <w:pPr>
              <w:pStyle w:val="Aparrafopunteo"/>
              <w:numPr>
                <w:ilvl w:val="0"/>
                <w:numId w:val="58"/>
              </w:numPr>
              <w:rPr>
                <w:rFonts w:cstheme="minorHAnsi"/>
                <w:szCs w:val="20"/>
              </w:rPr>
            </w:pPr>
            <w:r w:rsidRPr="009A27ED">
              <w:rPr>
                <w:rFonts w:cstheme="minorHAnsi"/>
                <w:szCs w:val="20"/>
              </w:rPr>
              <w:t>Ley de Organización de la Secretaría de Estado de Hacienda (LOSEH, No. 494-06)</w:t>
            </w:r>
          </w:p>
          <w:p w14:paraId="72F92842" w14:textId="77777777" w:rsidR="00302CD1" w:rsidRPr="009A27ED" w:rsidRDefault="00302CD1" w:rsidP="005C7914">
            <w:pPr>
              <w:pStyle w:val="Aparrafopunteo"/>
              <w:numPr>
                <w:ilvl w:val="0"/>
                <w:numId w:val="58"/>
              </w:numPr>
              <w:rPr>
                <w:rFonts w:cstheme="minorHAnsi"/>
                <w:szCs w:val="20"/>
              </w:rPr>
            </w:pPr>
            <w:r w:rsidRPr="009A27ED">
              <w:rPr>
                <w:rFonts w:cstheme="minorHAnsi"/>
                <w:szCs w:val="20"/>
              </w:rPr>
              <w:t>Ley que crea la Secretaría de Estado de Economía, Planificación y Desarrollo (SEEPYD, Ley No. 496-06)</w:t>
            </w:r>
          </w:p>
          <w:p w14:paraId="5B8A5CBE" w14:textId="77777777" w:rsidR="00302CD1" w:rsidRPr="009A27ED" w:rsidRDefault="00302CD1" w:rsidP="005C7914">
            <w:pPr>
              <w:pStyle w:val="Aparrafopunteo"/>
              <w:numPr>
                <w:ilvl w:val="0"/>
                <w:numId w:val="58"/>
              </w:numPr>
              <w:rPr>
                <w:rFonts w:cstheme="minorHAnsi"/>
                <w:szCs w:val="20"/>
              </w:rPr>
            </w:pPr>
            <w:r w:rsidRPr="009A27ED">
              <w:rPr>
                <w:rFonts w:cstheme="minorHAnsi"/>
                <w:szCs w:val="20"/>
              </w:rPr>
              <w:t>Ley Orgánica del Ministerio Público (LOMP, Ley No. 133-11)</w:t>
            </w:r>
          </w:p>
          <w:p w14:paraId="6614CD19" w14:textId="77777777" w:rsidR="00302CD1" w:rsidRPr="009A27ED" w:rsidRDefault="00302CD1" w:rsidP="005C7914">
            <w:pPr>
              <w:pStyle w:val="Aparrafopunteo"/>
              <w:numPr>
                <w:ilvl w:val="0"/>
                <w:numId w:val="58"/>
              </w:numPr>
              <w:rPr>
                <w:rFonts w:cstheme="minorHAnsi"/>
                <w:szCs w:val="20"/>
              </w:rPr>
            </w:pPr>
            <w:r w:rsidRPr="009A27ED">
              <w:rPr>
                <w:rFonts w:cstheme="minorHAnsi"/>
                <w:szCs w:val="20"/>
              </w:rPr>
              <w:t>Ley de los Derechos y Deberes de las Personas en Relación con Administración Pública (LDDPRAP, Ley No. 107-13)</w:t>
            </w:r>
          </w:p>
          <w:p w14:paraId="470D1D63" w14:textId="77777777" w:rsidR="00302CD1" w:rsidRPr="009A27ED" w:rsidRDefault="00302CD1" w:rsidP="005C7914">
            <w:pPr>
              <w:pStyle w:val="Aparrafopunteo"/>
              <w:numPr>
                <w:ilvl w:val="0"/>
                <w:numId w:val="58"/>
              </w:numPr>
              <w:rPr>
                <w:rFonts w:cstheme="minorHAnsi"/>
                <w:szCs w:val="20"/>
              </w:rPr>
            </w:pPr>
            <w:r w:rsidRPr="009A27ED">
              <w:rPr>
                <w:rFonts w:cstheme="minorHAnsi"/>
                <w:szCs w:val="20"/>
              </w:rPr>
              <w:t>Ley General de Educación (LGE, Ley No. 66-97)</w:t>
            </w:r>
          </w:p>
          <w:p w14:paraId="5D2D289E" w14:textId="77777777" w:rsidR="00302CD1" w:rsidRPr="009A27ED" w:rsidRDefault="00302CD1" w:rsidP="005C7914">
            <w:pPr>
              <w:pStyle w:val="Aparrafopunteo"/>
              <w:numPr>
                <w:ilvl w:val="0"/>
                <w:numId w:val="58"/>
              </w:numPr>
              <w:rPr>
                <w:rFonts w:cstheme="minorHAnsi"/>
                <w:szCs w:val="20"/>
              </w:rPr>
            </w:pPr>
            <w:r w:rsidRPr="009A27ED">
              <w:rPr>
                <w:rFonts w:cstheme="minorHAnsi"/>
                <w:szCs w:val="20"/>
              </w:rPr>
              <w:t>Ley Sectorial de Biodiversidad (LSB, Ley 333-15)</w:t>
            </w:r>
          </w:p>
          <w:p w14:paraId="287C2472" w14:textId="77777777" w:rsidR="00302CD1" w:rsidRPr="009A27ED" w:rsidRDefault="00302CD1" w:rsidP="005C7914">
            <w:pPr>
              <w:pStyle w:val="Aparrafopunteo"/>
              <w:numPr>
                <w:ilvl w:val="0"/>
                <w:numId w:val="58"/>
              </w:numPr>
              <w:rPr>
                <w:rFonts w:cstheme="minorHAnsi"/>
                <w:szCs w:val="20"/>
              </w:rPr>
            </w:pPr>
            <w:r w:rsidRPr="009A27ED">
              <w:rPr>
                <w:rFonts w:cstheme="minorHAnsi"/>
                <w:szCs w:val="20"/>
              </w:rPr>
              <w:t>Ley Sectorial de Áreas Protegidas (LSAP, Ley 202-04)</w:t>
            </w:r>
          </w:p>
          <w:p w14:paraId="3D8EE43C" w14:textId="77777777" w:rsidR="00302CD1" w:rsidRPr="009A27ED" w:rsidRDefault="00302CD1" w:rsidP="005C7914">
            <w:pPr>
              <w:pStyle w:val="Aparrafopunteo"/>
              <w:numPr>
                <w:ilvl w:val="0"/>
                <w:numId w:val="58"/>
              </w:numPr>
              <w:rPr>
                <w:rFonts w:cstheme="minorHAnsi"/>
                <w:szCs w:val="20"/>
              </w:rPr>
            </w:pPr>
            <w:r w:rsidRPr="009A27ED">
              <w:rPr>
                <w:rFonts w:cstheme="minorHAnsi"/>
                <w:szCs w:val="20"/>
              </w:rPr>
              <w:t xml:space="preserve">Ley de Creación de la Secretaría de Estado de la Mujer (LCSEM, Ley No. 86-99)  </w:t>
            </w:r>
          </w:p>
          <w:p w14:paraId="2DD69BD4" w14:textId="77777777" w:rsidR="00302CD1" w:rsidRPr="009A27ED" w:rsidRDefault="00302CD1" w:rsidP="005C7914">
            <w:pPr>
              <w:pStyle w:val="Aparrafopunteo"/>
              <w:numPr>
                <w:ilvl w:val="0"/>
                <w:numId w:val="58"/>
              </w:numPr>
              <w:rPr>
                <w:rFonts w:cstheme="minorHAnsi"/>
                <w:szCs w:val="20"/>
              </w:rPr>
            </w:pPr>
            <w:r w:rsidRPr="009A27ED">
              <w:rPr>
                <w:rFonts w:cstheme="minorHAnsi"/>
                <w:szCs w:val="20"/>
              </w:rPr>
              <w:t>Ley que instituye el Sistema Nacional de control interno y de Contraloría (LISNCICG, Ley 10-07)</w:t>
            </w:r>
          </w:p>
          <w:p w14:paraId="1D24D92D" w14:textId="77777777" w:rsidR="00302CD1" w:rsidRPr="009A27ED" w:rsidRDefault="00302CD1" w:rsidP="005C7914">
            <w:pPr>
              <w:pStyle w:val="Aparrafopunteo"/>
              <w:numPr>
                <w:ilvl w:val="0"/>
                <w:numId w:val="58"/>
              </w:numPr>
              <w:rPr>
                <w:rFonts w:cstheme="minorHAnsi"/>
                <w:szCs w:val="20"/>
              </w:rPr>
            </w:pPr>
            <w:r w:rsidRPr="009A27ED">
              <w:rPr>
                <w:rFonts w:cstheme="minorHAnsi"/>
                <w:szCs w:val="20"/>
              </w:rPr>
              <w:t>Ley sobre Obras, Compras y Contrataciones de Bienes y Servicios (LOCCBS, Ley 340-06)</w:t>
            </w:r>
          </w:p>
          <w:p w14:paraId="29AC5FED" w14:textId="77777777" w:rsidR="00302CD1" w:rsidRPr="009A27ED" w:rsidRDefault="00302CD1" w:rsidP="005C7914">
            <w:pPr>
              <w:pStyle w:val="Aparrafopunteo"/>
              <w:numPr>
                <w:ilvl w:val="0"/>
                <w:numId w:val="58"/>
              </w:numPr>
              <w:rPr>
                <w:rFonts w:cstheme="minorHAnsi"/>
                <w:szCs w:val="20"/>
              </w:rPr>
            </w:pPr>
            <w:r w:rsidRPr="009A27ED">
              <w:rPr>
                <w:rFonts w:cstheme="minorHAnsi"/>
                <w:szCs w:val="20"/>
              </w:rPr>
              <w:t>Ley de Procedimiento Especial para Expropiaciones Intentadas por el Estado (LPEEIE, Ley 344)</w:t>
            </w:r>
          </w:p>
          <w:p w14:paraId="54E8D300" w14:textId="77777777" w:rsidR="00302CD1" w:rsidRPr="009A27ED" w:rsidRDefault="00302CD1" w:rsidP="005C7914">
            <w:pPr>
              <w:pStyle w:val="Aparrafopunteo"/>
              <w:numPr>
                <w:ilvl w:val="0"/>
                <w:numId w:val="58"/>
              </w:numPr>
              <w:rPr>
                <w:rFonts w:cstheme="minorHAnsi"/>
                <w:szCs w:val="20"/>
              </w:rPr>
            </w:pPr>
            <w:r w:rsidRPr="009A27ED">
              <w:rPr>
                <w:rFonts w:cstheme="minorHAnsi"/>
                <w:szCs w:val="20"/>
              </w:rPr>
              <w:t>Decreto No. 486-12 Crea la Dirección General de Ética Integridad Gubernamental</w:t>
            </w:r>
          </w:p>
          <w:p w14:paraId="02F380EB" w14:textId="77777777" w:rsidR="00302CD1" w:rsidRPr="009A27ED" w:rsidRDefault="00302CD1" w:rsidP="005C7914">
            <w:pPr>
              <w:pStyle w:val="Aparrafopunteo"/>
              <w:numPr>
                <w:ilvl w:val="0"/>
                <w:numId w:val="58"/>
              </w:numPr>
              <w:rPr>
                <w:rFonts w:cstheme="minorHAnsi"/>
                <w:szCs w:val="20"/>
              </w:rPr>
            </w:pPr>
            <w:r w:rsidRPr="009A27ED">
              <w:rPr>
                <w:rFonts w:cstheme="minorHAnsi"/>
                <w:szCs w:val="20"/>
              </w:rPr>
              <w:t>Decreto No. 310-05 que establece el Reglamento Operativo de la Comisión de Ética y Combate a la Corrupción.</w:t>
            </w:r>
          </w:p>
          <w:p w14:paraId="52A569A6" w14:textId="77777777" w:rsidR="00302CD1" w:rsidRPr="009A27ED" w:rsidRDefault="00302CD1" w:rsidP="005C7914">
            <w:pPr>
              <w:pStyle w:val="Aparrafopunteo"/>
              <w:numPr>
                <w:ilvl w:val="0"/>
                <w:numId w:val="58"/>
              </w:numPr>
              <w:rPr>
                <w:rFonts w:cstheme="minorHAnsi"/>
                <w:szCs w:val="20"/>
              </w:rPr>
            </w:pPr>
            <w:r w:rsidRPr="009A27ED">
              <w:rPr>
                <w:rFonts w:cstheme="minorHAnsi"/>
                <w:szCs w:val="20"/>
              </w:rPr>
              <w:t>Decreto No. 324-07, que crea la Dirección de Persecución de la Corrupción Administrativa.</w:t>
            </w:r>
          </w:p>
          <w:p w14:paraId="2ED2DA94" w14:textId="77777777" w:rsidR="00302CD1" w:rsidRPr="009A27ED" w:rsidRDefault="00302CD1" w:rsidP="005C7914">
            <w:pPr>
              <w:pStyle w:val="Aparrafopunteo"/>
              <w:numPr>
                <w:ilvl w:val="0"/>
                <w:numId w:val="58"/>
              </w:numPr>
              <w:rPr>
                <w:rFonts w:cstheme="minorHAnsi"/>
                <w:szCs w:val="20"/>
              </w:rPr>
            </w:pPr>
            <w:r w:rsidRPr="009A27ED">
              <w:rPr>
                <w:rFonts w:cstheme="minorHAnsi"/>
                <w:szCs w:val="20"/>
              </w:rPr>
              <w:t>Código de Ética del Servidor Público (CESP)</w:t>
            </w:r>
          </w:p>
          <w:p w14:paraId="6A181F01" w14:textId="77777777" w:rsidR="00302CD1" w:rsidRPr="009A27ED" w:rsidRDefault="00302CD1" w:rsidP="005C7914">
            <w:pPr>
              <w:pStyle w:val="Aparrafopunteo"/>
              <w:numPr>
                <w:ilvl w:val="0"/>
                <w:numId w:val="58"/>
              </w:numPr>
              <w:rPr>
                <w:rFonts w:cstheme="minorHAnsi"/>
                <w:szCs w:val="20"/>
              </w:rPr>
            </w:pPr>
            <w:r w:rsidRPr="009A27ED">
              <w:rPr>
                <w:rFonts w:cstheme="minorHAnsi"/>
                <w:szCs w:val="20"/>
              </w:rPr>
              <w:t>Código Penal Dominicano</w:t>
            </w:r>
          </w:p>
          <w:p w14:paraId="3A6A4EE4" w14:textId="77777777" w:rsidR="00302CD1" w:rsidRPr="009A27ED" w:rsidRDefault="00302CD1" w:rsidP="005C7914">
            <w:pPr>
              <w:pStyle w:val="Aparrafopunteo"/>
              <w:numPr>
                <w:ilvl w:val="0"/>
                <w:numId w:val="58"/>
              </w:numPr>
              <w:rPr>
                <w:rFonts w:cstheme="minorHAnsi"/>
                <w:szCs w:val="20"/>
              </w:rPr>
            </w:pPr>
            <w:r w:rsidRPr="009A27ED">
              <w:rPr>
                <w:rFonts w:cstheme="minorHAnsi"/>
                <w:szCs w:val="20"/>
              </w:rPr>
              <w:t>Código Civil Dominicano</w:t>
            </w:r>
          </w:p>
          <w:p w14:paraId="1B615F64" w14:textId="77777777" w:rsidR="00302CD1" w:rsidRPr="009A27ED" w:rsidRDefault="00302CD1" w:rsidP="005C7914">
            <w:pPr>
              <w:pStyle w:val="Aparrafopunteo"/>
              <w:numPr>
                <w:ilvl w:val="0"/>
                <w:numId w:val="58"/>
              </w:numPr>
              <w:rPr>
                <w:rFonts w:cstheme="minorHAnsi"/>
                <w:szCs w:val="20"/>
              </w:rPr>
            </w:pPr>
            <w:r w:rsidRPr="009A27ED">
              <w:rPr>
                <w:rFonts w:cstheme="minorHAnsi"/>
                <w:szCs w:val="20"/>
              </w:rPr>
              <w:t>Reglamento Forestal (RF)</w:t>
            </w:r>
          </w:p>
          <w:p w14:paraId="01953BA6" w14:textId="77777777" w:rsidR="00302CD1" w:rsidRPr="009A27ED" w:rsidRDefault="00302CD1" w:rsidP="005C7914">
            <w:pPr>
              <w:pStyle w:val="Aparrafopunteo"/>
              <w:numPr>
                <w:ilvl w:val="0"/>
                <w:numId w:val="58"/>
              </w:numPr>
              <w:rPr>
                <w:rFonts w:cstheme="minorHAnsi"/>
                <w:szCs w:val="20"/>
              </w:rPr>
            </w:pPr>
            <w:r w:rsidRPr="009A27ED">
              <w:rPr>
                <w:rFonts w:cstheme="minorHAnsi"/>
                <w:szCs w:val="20"/>
              </w:rPr>
              <w:t>Normas Técnicas de Manejo Forestal</w:t>
            </w:r>
          </w:p>
          <w:p w14:paraId="551E0B3F" w14:textId="77777777" w:rsidR="00302CD1" w:rsidRPr="009A27ED" w:rsidRDefault="00302CD1" w:rsidP="005C7914">
            <w:pPr>
              <w:pStyle w:val="Aparrafopunteo"/>
              <w:numPr>
                <w:ilvl w:val="0"/>
                <w:numId w:val="58"/>
              </w:numPr>
              <w:rPr>
                <w:rFonts w:cstheme="minorHAnsi"/>
                <w:szCs w:val="20"/>
              </w:rPr>
            </w:pPr>
            <w:r w:rsidRPr="009A27ED">
              <w:rPr>
                <w:rFonts w:cstheme="minorHAnsi"/>
                <w:szCs w:val="20"/>
              </w:rPr>
              <w:t>Estrategia Nacional de Conservación y uso Sostenible de la Biodiversidad (ENCSB).</w:t>
            </w:r>
          </w:p>
          <w:p w14:paraId="7CA255B6" w14:textId="77777777" w:rsidR="00302CD1" w:rsidRPr="009A27ED" w:rsidRDefault="00302CD1" w:rsidP="005C7914">
            <w:pPr>
              <w:autoSpaceDE w:val="0"/>
              <w:autoSpaceDN w:val="0"/>
              <w:adjustRightInd w:val="0"/>
              <w:spacing w:after="0"/>
              <w:rPr>
                <w:rFonts w:eastAsia="Calibri"/>
                <w:b/>
                <w:color w:val="FFFFFF" w:themeColor="background1"/>
                <w:szCs w:val="20"/>
              </w:rPr>
            </w:pPr>
          </w:p>
        </w:tc>
      </w:tr>
    </w:tbl>
    <w:p w14:paraId="40C993BE" w14:textId="4B681BB5" w:rsidR="00877E27" w:rsidRPr="009A27ED" w:rsidRDefault="00877E27">
      <w:pPr>
        <w:spacing w:line="360" w:lineRule="auto"/>
      </w:pPr>
    </w:p>
    <w:tbl>
      <w:tblPr>
        <w:tblStyle w:val="TableGrid1"/>
        <w:tblpPr w:leftFromText="180" w:rightFromText="180" w:vertAnchor="text" w:horzAnchor="page" w:tblpX="1715" w:tblpY="144"/>
        <w:tblW w:w="8820" w:type="dxa"/>
        <w:shd w:val="clear" w:color="auto" w:fill="C2D69B"/>
        <w:tblLook w:val="04A0" w:firstRow="1" w:lastRow="0" w:firstColumn="1" w:lastColumn="0" w:noHBand="0" w:noVBand="1"/>
      </w:tblPr>
      <w:tblGrid>
        <w:gridCol w:w="4405"/>
        <w:gridCol w:w="4415"/>
      </w:tblGrid>
      <w:tr w:rsidR="00302CD1" w:rsidRPr="009A27ED" w14:paraId="6BC810C8" w14:textId="77777777" w:rsidTr="007D5516">
        <w:tc>
          <w:tcPr>
            <w:tcW w:w="4405" w:type="dxa"/>
            <w:shd w:val="clear" w:color="auto" w:fill="0070C0"/>
          </w:tcPr>
          <w:p w14:paraId="132EBCB6" w14:textId="44EFDBA1" w:rsidR="00302CD1" w:rsidRPr="009A27ED" w:rsidRDefault="00302CD1" w:rsidP="005C7914">
            <w:pPr>
              <w:autoSpaceDE w:val="0"/>
              <w:autoSpaceDN w:val="0"/>
              <w:adjustRightInd w:val="0"/>
              <w:spacing w:after="0"/>
              <w:jc w:val="center"/>
              <w:rPr>
                <w:rFonts w:eastAsia="Calibri"/>
                <w:b/>
                <w:color w:val="FFFFFF" w:themeColor="background1"/>
                <w:szCs w:val="20"/>
              </w:rPr>
            </w:pPr>
            <w:r w:rsidRPr="009A27ED">
              <w:rPr>
                <w:rFonts w:eastAsia="Calibri"/>
                <w:b/>
                <w:color w:val="FFFFFF" w:themeColor="background1"/>
                <w:szCs w:val="20"/>
              </w:rPr>
              <w:t>Marco legal relevante para asegurar cumplimiento con la salvaguarda</w:t>
            </w:r>
          </w:p>
        </w:tc>
        <w:tc>
          <w:tcPr>
            <w:tcW w:w="4415" w:type="dxa"/>
            <w:shd w:val="clear" w:color="auto" w:fill="0070C0"/>
          </w:tcPr>
          <w:p w14:paraId="030A45E6" w14:textId="77777777" w:rsidR="00302CD1" w:rsidRPr="009A27ED" w:rsidRDefault="00302CD1" w:rsidP="005C7914">
            <w:pPr>
              <w:autoSpaceDE w:val="0"/>
              <w:autoSpaceDN w:val="0"/>
              <w:adjustRightInd w:val="0"/>
              <w:spacing w:after="0"/>
              <w:jc w:val="center"/>
              <w:rPr>
                <w:rFonts w:eastAsia="Calibri"/>
                <w:b/>
                <w:color w:val="FFFFFF" w:themeColor="background1"/>
                <w:szCs w:val="20"/>
              </w:rPr>
            </w:pPr>
            <w:r w:rsidRPr="009A27ED">
              <w:rPr>
                <w:rFonts w:eastAsia="Calibri"/>
                <w:b/>
                <w:color w:val="FFFFFF" w:themeColor="background1"/>
                <w:szCs w:val="20"/>
              </w:rPr>
              <w:t>Medidas adicionales/recomendaciones</w:t>
            </w:r>
          </w:p>
          <w:p w14:paraId="3C282960" w14:textId="77777777" w:rsidR="00302CD1" w:rsidRPr="009A27ED" w:rsidRDefault="00302CD1" w:rsidP="005C7914">
            <w:pPr>
              <w:autoSpaceDE w:val="0"/>
              <w:autoSpaceDN w:val="0"/>
              <w:adjustRightInd w:val="0"/>
              <w:spacing w:after="0"/>
              <w:jc w:val="center"/>
              <w:rPr>
                <w:rFonts w:eastAsia="Calibri"/>
                <w:b/>
                <w:color w:val="FFFFFF" w:themeColor="background1"/>
                <w:szCs w:val="20"/>
              </w:rPr>
            </w:pPr>
          </w:p>
        </w:tc>
      </w:tr>
      <w:tr w:rsidR="00302CD1" w:rsidRPr="009A27ED" w14:paraId="3F752F66" w14:textId="77777777" w:rsidTr="007D5516">
        <w:tc>
          <w:tcPr>
            <w:tcW w:w="4405" w:type="dxa"/>
            <w:shd w:val="clear" w:color="auto" w:fill="FFFFFF" w:themeFill="background1"/>
          </w:tcPr>
          <w:p w14:paraId="7538AF61" w14:textId="77777777" w:rsidR="00302CD1" w:rsidRPr="009A27ED" w:rsidRDefault="00302CD1" w:rsidP="005C7914">
            <w:pPr>
              <w:tabs>
                <w:tab w:val="left" w:pos="324"/>
              </w:tabs>
              <w:contextualSpacing/>
              <w:rPr>
                <w:b/>
                <w:szCs w:val="20"/>
              </w:rPr>
            </w:pPr>
            <w:r w:rsidRPr="009A27ED">
              <w:rPr>
                <w:b/>
                <w:szCs w:val="20"/>
              </w:rPr>
              <w:t>Acceso a la Información</w:t>
            </w:r>
          </w:p>
          <w:p w14:paraId="1AAD1DA4" w14:textId="77777777" w:rsidR="00302CD1" w:rsidRPr="009A27ED" w:rsidRDefault="00302CD1" w:rsidP="005C7914">
            <w:pPr>
              <w:tabs>
                <w:tab w:val="left" w:pos="324"/>
              </w:tabs>
              <w:contextualSpacing/>
              <w:rPr>
                <w:szCs w:val="20"/>
              </w:rPr>
            </w:pPr>
            <w:r w:rsidRPr="009A27ED">
              <w:rPr>
                <w:szCs w:val="20"/>
              </w:rPr>
              <w:t>La CPD reconoce el derecho a buscar, investigar, recibir y difundir información de todo tipo, de carácter público.</w:t>
            </w:r>
            <w:r w:rsidRPr="009A27ED">
              <w:rPr>
                <w:szCs w:val="20"/>
                <w:vertAlign w:val="superscript"/>
              </w:rPr>
              <w:t xml:space="preserve"> </w:t>
            </w:r>
            <w:r w:rsidRPr="009A27ED">
              <w:rPr>
                <w:szCs w:val="20"/>
                <w:vertAlign w:val="superscript"/>
              </w:rPr>
              <w:endnoteReference w:id="19"/>
            </w:r>
            <w:r w:rsidRPr="009A27ED">
              <w:rPr>
                <w:szCs w:val="20"/>
                <w:vertAlign w:val="superscript"/>
              </w:rPr>
              <w:t xml:space="preserve"> </w:t>
            </w:r>
            <w:r w:rsidRPr="009A27ED">
              <w:rPr>
                <w:szCs w:val="20"/>
              </w:rPr>
              <w:t xml:space="preserve"> Específicamente la LGLAIP y su reglamento reconocen el derecho a acceder a información completa, veraz, adecuada y oportuna, de cualquier órgano del Estado Dominicano; así como al derecho de estar informado, y de buscar, solicitar, </w:t>
            </w:r>
            <w:r w:rsidRPr="009A27ED">
              <w:rPr>
                <w:rStyle w:val="Refdenotaalfinal"/>
                <w:szCs w:val="20"/>
              </w:rPr>
              <w:endnoteReference w:id="20"/>
            </w:r>
            <w:r w:rsidRPr="009A27ED">
              <w:rPr>
                <w:rStyle w:val="Refdenotaalfinal"/>
                <w:szCs w:val="20"/>
              </w:rPr>
              <w:t xml:space="preserve"> </w:t>
            </w:r>
            <w:r w:rsidRPr="009A27ED">
              <w:rPr>
                <w:szCs w:val="20"/>
              </w:rPr>
              <w:t xml:space="preserve"> recibir y difundir información.</w:t>
            </w:r>
            <w:r w:rsidRPr="009A27ED">
              <w:rPr>
                <w:szCs w:val="20"/>
                <w:vertAlign w:val="superscript"/>
              </w:rPr>
              <w:endnoteReference w:id="21"/>
            </w:r>
            <w:r w:rsidRPr="009A27ED">
              <w:rPr>
                <w:szCs w:val="20"/>
              </w:rPr>
              <w:t xml:space="preserve"> </w:t>
            </w:r>
          </w:p>
          <w:p w14:paraId="7E56EABA" w14:textId="77777777" w:rsidR="00302CD1" w:rsidRPr="009A27ED" w:rsidRDefault="00302CD1" w:rsidP="005C7914">
            <w:pPr>
              <w:tabs>
                <w:tab w:val="left" w:pos="324"/>
              </w:tabs>
              <w:contextualSpacing/>
              <w:rPr>
                <w:szCs w:val="20"/>
              </w:rPr>
            </w:pPr>
          </w:p>
          <w:p w14:paraId="6777CCB7" w14:textId="77777777" w:rsidR="00302CD1" w:rsidRPr="009A27ED" w:rsidRDefault="00302CD1" w:rsidP="005C7914">
            <w:pPr>
              <w:contextualSpacing/>
              <w:rPr>
                <w:szCs w:val="20"/>
              </w:rPr>
            </w:pPr>
            <w:r w:rsidRPr="009A27ED">
              <w:rPr>
                <w:szCs w:val="20"/>
              </w:rPr>
              <w:t xml:space="preserve">En materia ambiental, la Ley 64-00 garantiza a los ciudadanos el acceso y uso de los recursos naturales y a información veraz y oportuna sobre la situación y estado de </w:t>
            </w:r>
            <w:proofErr w:type="gramStart"/>
            <w:r w:rsidRPr="009A27ED">
              <w:rPr>
                <w:szCs w:val="20"/>
              </w:rPr>
              <w:t>los mismos</w:t>
            </w:r>
            <w:proofErr w:type="gramEnd"/>
            <w:r w:rsidRPr="009A27ED">
              <w:rPr>
                <w:szCs w:val="20"/>
              </w:rPr>
              <w:t>.</w:t>
            </w:r>
            <w:r w:rsidRPr="009A27ED">
              <w:rPr>
                <w:szCs w:val="20"/>
                <w:vertAlign w:val="superscript"/>
              </w:rPr>
              <w:t xml:space="preserve"> </w:t>
            </w:r>
            <w:r w:rsidRPr="009A27ED">
              <w:rPr>
                <w:szCs w:val="20"/>
                <w:vertAlign w:val="superscript"/>
              </w:rPr>
              <w:endnoteReference w:id="22"/>
            </w:r>
            <w:r w:rsidRPr="009A27ED">
              <w:rPr>
                <w:szCs w:val="20"/>
                <w:vertAlign w:val="superscript"/>
              </w:rPr>
              <w:t xml:space="preserve"> </w:t>
            </w:r>
            <w:r w:rsidRPr="009A27ED">
              <w:rPr>
                <w:szCs w:val="20"/>
              </w:rPr>
              <w:t xml:space="preserve"> </w:t>
            </w:r>
          </w:p>
          <w:p w14:paraId="79F57F17" w14:textId="77777777" w:rsidR="00302CD1" w:rsidRPr="009A27ED" w:rsidRDefault="00302CD1" w:rsidP="005C7914">
            <w:pPr>
              <w:contextualSpacing/>
              <w:rPr>
                <w:szCs w:val="20"/>
              </w:rPr>
            </w:pPr>
            <w:r w:rsidRPr="009A27ED">
              <w:rPr>
                <w:szCs w:val="20"/>
              </w:rPr>
              <w:t>El Marco Legal que exige a las instituciones públicas proporcionar información que explique las leyes, regulaciones y procedimientos relacionados con la gestión de los bosques.</w:t>
            </w:r>
            <w:r w:rsidRPr="009A27ED">
              <w:rPr>
                <w:rStyle w:val="Refdenotaalfinal"/>
                <w:szCs w:val="20"/>
              </w:rPr>
              <w:endnoteReference w:id="23"/>
            </w:r>
          </w:p>
          <w:p w14:paraId="5A1983CC" w14:textId="77777777" w:rsidR="00302CD1" w:rsidRPr="009A27ED" w:rsidRDefault="00302CD1" w:rsidP="005C7914">
            <w:pPr>
              <w:contextualSpacing/>
              <w:rPr>
                <w:szCs w:val="20"/>
              </w:rPr>
            </w:pPr>
            <w:r w:rsidRPr="009A27ED">
              <w:rPr>
                <w:szCs w:val="20"/>
              </w:rPr>
              <w:t>El Reglamento de la LAIP</w:t>
            </w:r>
            <w:r w:rsidRPr="009A27ED">
              <w:rPr>
                <w:szCs w:val="20"/>
                <w:vertAlign w:val="superscript"/>
              </w:rPr>
              <w:endnoteReference w:id="24"/>
            </w:r>
            <w:r w:rsidRPr="009A27ED">
              <w:rPr>
                <w:szCs w:val="20"/>
              </w:rPr>
              <w:t xml:space="preserve"> prevé la concienciación y capacitación de los servidores públicos en la importancia de la transparencia y el derecho de acceso a la información, así como la integración de estos temas en los programas de estudio de todos los niveles educativos.</w:t>
            </w:r>
          </w:p>
          <w:p w14:paraId="1FE21F6C" w14:textId="77777777" w:rsidR="00302CD1" w:rsidRPr="009A27ED" w:rsidRDefault="00302CD1" w:rsidP="005C7914">
            <w:pPr>
              <w:contextualSpacing/>
              <w:rPr>
                <w:szCs w:val="20"/>
              </w:rPr>
            </w:pPr>
          </w:p>
        </w:tc>
        <w:tc>
          <w:tcPr>
            <w:tcW w:w="4415" w:type="dxa"/>
            <w:shd w:val="clear" w:color="auto" w:fill="FFFFFF" w:themeFill="background1"/>
          </w:tcPr>
          <w:p w14:paraId="40DC44CE" w14:textId="41273D63" w:rsidR="00302CD1" w:rsidRPr="009A27ED" w:rsidRDefault="00302CD1" w:rsidP="005C7914">
            <w:pPr>
              <w:autoSpaceDE w:val="0"/>
              <w:autoSpaceDN w:val="0"/>
              <w:adjustRightInd w:val="0"/>
              <w:rPr>
                <w:rFonts w:eastAsia="Calibri"/>
                <w:b/>
                <w:szCs w:val="20"/>
              </w:rPr>
            </w:pPr>
            <w:r w:rsidRPr="009A27ED">
              <w:rPr>
                <w:rFonts w:eastAsia="Calibri"/>
                <w:b/>
                <w:szCs w:val="20"/>
              </w:rPr>
              <w:t>Se sugiere adopción de un Protocolo o lineamientos para la Transparencia de las Actividades REDD+.</w:t>
            </w:r>
            <w:r w:rsidRPr="009A27ED">
              <w:rPr>
                <w:rFonts w:eastAsia="Calibri"/>
                <w:szCs w:val="20"/>
              </w:rPr>
              <w:t xml:space="preserve"> </w:t>
            </w:r>
            <w:r w:rsidR="00375947" w:rsidRPr="009A27ED">
              <w:rPr>
                <w:rFonts w:eastAsia="Calibri"/>
                <w:szCs w:val="20"/>
              </w:rPr>
              <w:t>Que e</w:t>
            </w:r>
            <w:r w:rsidRPr="009A27ED">
              <w:rPr>
                <w:rFonts w:eastAsia="Calibri"/>
                <w:szCs w:val="20"/>
              </w:rPr>
              <w:t>ste cuente con una sección que aborde cómo se deberá garantizar la sensibilización pública sobre el derecho de acceso a la información. Para la redacción de este manual se pueden utilizar como insumos las mejores prácticas de, por ejemplo, la Dirección de participación Social del Ministerio de Medio Ambiente y Recursos Naturales. El ámbito de aplicación de dicho manual o protocolo</w:t>
            </w:r>
            <w:r w:rsidRPr="009A27ED">
              <w:rPr>
                <w:rFonts w:eastAsia="Calibri"/>
                <w:b/>
                <w:szCs w:val="20"/>
              </w:rPr>
              <w:t xml:space="preserve"> </w:t>
            </w:r>
            <w:r w:rsidRPr="009A27ED">
              <w:rPr>
                <w:rFonts w:eastAsia="Calibri"/>
                <w:szCs w:val="20"/>
              </w:rPr>
              <w:t>podrá cubrir desde nivel nacional, sectorial o limitarlo a las actividades REDD+, según las condiciones sociopolíticas.</w:t>
            </w:r>
          </w:p>
          <w:p w14:paraId="49DBA4D0" w14:textId="77777777" w:rsidR="00302CD1" w:rsidRPr="009A27ED" w:rsidRDefault="00302CD1" w:rsidP="005C7914">
            <w:pPr>
              <w:autoSpaceDE w:val="0"/>
              <w:autoSpaceDN w:val="0"/>
              <w:adjustRightInd w:val="0"/>
              <w:rPr>
                <w:rFonts w:eastAsia="Calibri"/>
                <w:szCs w:val="20"/>
              </w:rPr>
            </w:pPr>
            <w:r w:rsidRPr="009A27ED">
              <w:rPr>
                <w:rFonts w:eastAsia="Calibri"/>
                <w:szCs w:val="20"/>
              </w:rPr>
              <w:t xml:space="preserve">Se hace énfasis en el tema de la Promoción de la sensibilización al público sobre el acceso a la información y al respecto </w:t>
            </w:r>
            <w:r w:rsidRPr="009A27ED">
              <w:rPr>
                <w:rFonts w:eastAsia="Calibri"/>
                <w:b/>
                <w:szCs w:val="20"/>
              </w:rPr>
              <w:t>se sugiere considerar la opción de llevar a cabo a nivel institucional campañas o capacitaciones sobre la sensibilización del derecho al acceso a la información</w:t>
            </w:r>
            <w:r w:rsidRPr="009A27ED">
              <w:rPr>
                <w:rFonts w:eastAsia="Calibri"/>
                <w:szCs w:val="20"/>
              </w:rPr>
              <w:t xml:space="preserve"> entre los mismos funcionarios, al uso de la plataforma y su existencia a fin de garantizar la apertura y adecuada distribución de </w:t>
            </w:r>
            <w:proofErr w:type="gramStart"/>
            <w:r w:rsidRPr="009A27ED">
              <w:rPr>
                <w:rFonts w:eastAsia="Calibri"/>
                <w:szCs w:val="20"/>
              </w:rPr>
              <w:t>la misma</w:t>
            </w:r>
            <w:proofErr w:type="gramEnd"/>
            <w:r w:rsidRPr="009A27ED">
              <w:rPr>
                <w:rFonts w:eastAsia="Calibri"/>
                <w:szCs w:val="20"/>
              </w:rPr>
              <w:t xml:space="preserve"> a las partes relevantes. Además, </w:t>
            </w:r>
            <w:r w:rsidRPr="009A27ED">
              <w:rPr>
                <w:rFonts w:eastAsia="Calibri"/>
                <w:b/>
                <w:szCs w:val="20"/>
              </w:rPr>
              <w:t>se sugiere evaluar la posibilidad de diseñar campañas de sensibilización al público en general, y en especial para los grupos vulnerables,</w:t>
            </w:r>
            <w:r w:rsidRPr="009A27ED">
              <w:rPr>
                <w:rFonts w:eastAsia="Calibri"/>
                <w:szCs w:val="20"/>
              </w:rPr>
              <w:t xml:space="preserve"> para ejercer el derecho al acceso a la información y se recomienda que en la ejecución de dichas campañas informativas sean empleadas las oficinas provinciales del Ministerio de Ambiente a fin de poder alcanzar a la mayor cantidad de ciudadanos, en las diferentes áreas del país. </w:t>
            </w:r>
          </w:p>
          <w:p w14:paraId="5D48731E" w14:textId="6D43059F" w:rsidR="00DF09A8" w:rsidRPr="009A27ED" w:rsidRDefault="00DF09A8" w:rsidP="005C7914">
            <w:pPr>
              <w:autoSpaceDE w:val="0"/>
              <w:autoSpaceDN w:val="0"/>
              <w:adjustRightInd w:val="0"/>
              <w:rPr>
                <w:rFonts w:eastAsia="Calibri"/>
                <w:szCs w:val="20"/>
              </w:rPr>
            </w:pPr>
            <w:r w:rsidRPr="009A27ED">
              <w:rPr>
                <w:rFonts w:eastAsia="Calibri"/>
                <w:szCs w:val="20"/>
              </w:rPr>
              <w:lastRenderedPageBreak/>
              <w:t>Por parte del Programa REDD+ se establecerá una Estrategia de Comunicación que abarque todos los medios de difusión para el Programa</w:t>
            </w:r>
          </w:p>
        </w:tc>
      </w:tr>
      <w:tr w:rsidR="00302CD1" w:rsidRPr="009A27ED" w14:paraId="1D2E91FD" w14:textId="77777777" w:rsidTr="007D5516">
        <w:tc>
          <w:tcPr>
            <w:tcW w:w="4405" w:type="dxa"/>
            <w:shd w:val="clear" w:color="auto" w:fill="FFFFFF" w:themeFill="background1"/>
          </w:tcPr>
          <w:p w14:paraId="0DA82C4E" w14:textId="77777777" w:rsidR="00302CD1" w:rsidRPr="009A27ED" w:rsidRDefault="00302CD1" w:rsidP="005C7914">
            <w:pPr>
              <w:contextualSpacing/>
              <w:rPr>
                <w:b/>
                <w:szCs w:val="20"/>
              </w:rPr>
            </w:pPr>
            <w:r w:rsidRPr="009A27ED">
              <w:rPr>
                <w:b/>
                <w:szCs w:val="20"/>
              </w:rPr>
              <w:t>Rendición de cuentas y Combate a la corrupción</w:t>
            </w:r>
          </w:p>
          <w:p w14:paraId="07B8746C" w14:textId="77777777" w:rsidR="00302CD1" w:rsidRPr="009A27ED" w:rsidRDefault="00302CD1" w:rsidP="005C7914">
            <w:pPr>
              <w:contextualSpacing/>
              <w:rPr>
                <w:szCs w:val="20"/>
              </w:rPr>
            </w:pPr>
            <w:r w:rsidRPr="009A27ED">
              <w:rPr>
                <w:szCs w:val="20"/>
              </w:rPr>
              <w:t>El marco legal crea instituciones encargadas de promover la transparencia en forma general, la CPD</w:t>
            </w:r>
            <w:r w:rsidRPr="009A27ED">
              <w:rPr>
                <w:rStyle w:val="Refdenotaalfinal"/>
                <w:szCs w:val="20"/>
              </w:rPr>
              <w:endnoteReference w:id="25"/>
            </w:r>
            <w:r w:rsidRPr="009A27ED">
              <w:rPr>
                <w:szCs w:val="20"/>
              </w:rPr>
              <w:t>, la LOAP</w:t>
            </w:r>
            <w:r w:rsidRPr="009A27ED">
              <w:rPr>
                <w:rStyle w:val="Refdenotaalfinal"/>
                <w:szCs w:val="20"/>
              </w:rPr>
              <w:endnoteReference w:id="26"/>
            </w:r>
            <w:r w:rsidRPr="009A27ED">
              <w:rPr>
                <w:szCs w:val="20"/>
              </w:rPr>
              <w:t>, la LEDN</w:t>
            </w:r>
            <w:r w:rsidRPr="009A27ED">
              <w:rPr>
                <w:rStyle w:val="Refdenotaalfinal"/>
                <w:szCs w:val="20"/>
              </w:rPr>
              <w:endnoteReference w:id="27"/>
            </w:r>
            <w:r w:rsidRPr="009A27ED">
              <w:rPr>
                <w:szCs w:val="20"/>
              </w:rPr>
              <w:t>, promueven la transparencia en la administración pública, y el marco legal prevé instituciones y sistemas encargados de promover la transparencia y la rendición de cuentas.</w:t>
            </w:r>
            <w:r w:rsidRPr="009A27ED">
              <w:rPr>
                <w:rStyle w:val="Refdenotaalfinal"/>
                <w:szCs w:val="20"/>
              </w:rPr>
              <w:endnoteReference w:id="28"/>
            </w:r>
          </w:p>
          <w:p w14:paraId="4A56FCAB" w14:textId="77777777" w:rsidR="00302CD1" w:rsidRPr="009A27ED" w:rsidRDefault="00302CD1" w:rsidP="005C7914">
            <w:pPr>
              <w:contextualSpacing/>
              <w:rPr>
                <w:szCs w:val="20"/>
              </w:rPr>
            </w:pPr>
          </w:p>
          <w:p w14:paraId="0628171F" w14:textId="77777777" w:rsidR="00302CD1" w:rsidRPr="009A27ED" w:rsidRDefault="00302CD1" w:rsidP="005C7914">
            <w:pPr>
              <w:contextualSpacing/>
              <w:rPr>
                <w:b/>
                <w:szCs w:val="20"/>
              </w:rPr>
            </w:pPr>
            <w:r w:rsidRPr="009A27ED">
              <w:rPr>
                <w:szCs w:val="20"/>
              </w:rPr>
              <w:t>La CPD</w:t>
            </w:r>
            <w:r w:rsidRPr="009A27ED">
              <w:rPr>
                <w:rStyle w:val="Refdenotaalfinal"/>
                <w:szCs w:val="20"/>
              </w:rPr>
              <w:endnoteReference w:id="29"/>
            </w:r>
            <w:r w:rsidRPr="009A27ED">
              <w:rPr>
                <w:szCs w:val="20"/>
              </w:rPr>
              <w:t xml:space="preserve"> requiere el control y la fiscalización de fondos públicos. Existe una estructura estatal definida por la CPD</w:t>
            </w:r>
            <w:r w:rsidRPr="009A27ED">
              <w:rPr>
                <w:szCs w:val="20"/>
                <w:vertAlign w:val="superscript"/>
              </w:rPr>
              <w:endnoteReference w:id="30"/>
            </w:r>
            <w:r w:rsidRPr="009A27ED">
              <w:rPr>
                <w:szCs w:val="20"/>
              </w:rPr>
              <w:t xml:space="preserve"> y la LOPSP</w:t>
            </w:r>
            <w:r w:rsidRPr="009A27ED">
              <w:rPr>
                <w:szCs w:val="20"/>
                <w:vertAlign w:val="superscript"/>
              </w:rPr>
              <w:endnoteReference w:id="31"/>
            </w:r>
            <w:r w:rsidRPr="009A27ED">
              <w:rPr>
                <w:szCs w:val="20"/>
              </w:rPr>
              <w:t>, encargada de hacer los trámites establecidos para llevar toda la información del presupuesto al poder legislativo.</w:t>
            </w:r>
          </w:p>
        </w:tc>
        <w:tc>
          <w:tcPr>
            <w:tcW w:w="4415" w:type="dxa"/>
            <w:shd w:val="clear" w:color="auto" w:fill="FFFFFF" w:themeFill="background1"/>
          </w:tcPr>
          <w:p w14:paraId="7EF52FD4" w14:textId="71E78E71" w:rsidR="00302CD1" w:rsidRPr="009A27ED" w:rsidRDefault="00302CD1" w:rsidP="00C77685">
            <w:pPr>
              <w:autoSpaceDE w:val="0"/>
              <w:autoSpaceDN w:val="0"/>
              <w:adjustRightInd w:val="0"/>
              <w:rPr>
                <w:rFonts w:eastAsia="Calibri"/>
                <w:b/>
                <w:szCs w:val="20"/>
              </w:rPr>
            </w:pPr>
            <w:r w:rsidRPr="009A27ED">
              <w:rPr>
                <w:rFonts w:eastAsia="Calibri"/>
                <w:szCs w:val="20"/>
              </w:rPr>
              <w:t xml:space="preserve">Las actividades y Pagos por Servicios Ambientales </w:t>
            </w:r>
            <w:r w:rsidRPr="009A27ED">
              <w:rPr>
                <w:rFonts w:eastAsia="Calibri"/>
                <w:b/>
                <w:szCs w:val="20"/>
              </w:rPr>
              <w:t xml:space="preserve">derivados de actividades REDD+ son de acceso al público. </w:t>
            </w:r>
            <w:r w:rsidR="00375947" w:rsidRPr="009A27ED">
              <w:rPr>
                <w:rFonts w:eastAsia="Calibri"/>
                <w:b/>
                <w:szCs w:val="20"/>
              </w:rPr>
              <w:t>Además,</w:t>
            </w:r>
            <w:r w:rsidRPr="009A27ED">
              <w:rPr>
                <w:rFonts w:eastAsia="Calibri"/>
                <w:b/>
                <w:szCs w:val="20"/>
              </w:rPr>
              <w:t xml:space="preserve"> se </w:t>
            </w:r>
            <w:r w:rsidR="004D2848" w:rsidRPr="009A27ED">
              <w:rPr>
                <w:rFonts w:eastAsia="Calibri"/>
                <w:b/>
                <w:szCs w:val="20"/>
              </w:rPr>
              <w:t xml:space="preserve">ha creado </w:t>
            </w:r>
            <w:r w:rsidRPr="009A27ED">
              <w:rPr>
                <w:rFonts w:eastAsia="Calibri"/>
                <w:b/>
                <w:szCs w:val="20"/>
              </w:rPr>
              <w:t>un órgano de gobernanza mixto para el tema de pago de beneficios</w:t>
            </w:r>
            <w:r w:rsidR="00C77685" w:rsidRPr="009A27ED">
              <w:rPr>
                <w:rFonts w:eastAsia="Calibri"/>
                <w:b/>
                <w:szCs w:val="20"/>
              </w:rPr>
              <w:t>, que se denomina Comité Nacional de Distribución de Beneficios</w:t>
            </w:r>
            <w:r w:rsidR="00B11B0C" w:rsidRPr="009A27ED">
              <w:rPr>
                <w:rFonts w:eastAsia="Calibri"/>
                <w:b/>
                <w:szCs w:val="20"/>
              </w:rPr>
              <w:t xml:space="preserve"> </w:t>
            </w:r>
            <w:r w:rsidR="00577765" w:rsidRPr="009A27ED">
              <w:rPr>
                <w:rFonts w:eastAsia="Calibri"/>
                <w:b/>
                <w:szCs w:val="20"/>
              </w:rPr>
              <w:t>(</w:t>
            </w:r>
            <w:r w:rsidR="00B11B0C" w:rsidRPr="009A27ED">
              <w:rPr>
                <w:rFonts w:eastAsia="Calibri"/>
                <w:b/>
                <w:szCs w:val="20"/>
              </w:rPr>
              <w:t>CNDB)</w:t>
            </w:r>
            <w:r w:rsidRPr="009A27ED">
              <w:rPr>
                <w:rFonts w:eastAsia="Calibri"/>
                <w:b/>
                <w:szCs w:val="20"/>
              </w:rPr>
              <w:t xml:space="preserve"> y </w:t>
            </w:r>
            <w:r w:rsidR="00C77685" w:rsidRPr="009A27ED">
              <w:rPr>
                <w:rFonts w:eastAsia="Calibri"/>
                <w:b/>
                <w:szCs w:val="20"/>
              </w:rPr>
              <w:t>cuenta</w:t>
            </w:r>
            <w:r w:rsidRPr="009A27ED">
              <w:rPr>
                <w:rFonts w:eastAsia="Calibri"/>
                <w:b/>
                <w:szCs w:val="20"/>
              </w:rPr>
              <w:t xml:space="preserve"> con</w:t>
            </w:r>
            <w:r w:rsidR="00C77685" w:rsidRPr="009A27ED">
              <w:rPr>
                <w:rFonts w:eastAsia="Calibri"/>
                <w:b/>
                <w:szCs w:val="20"/>
              </w:rPr>
              <w:t xml:space="preserve"> su</w:t>
            </w:r>
            <w:r w:rsidRPr="009A27ED">
              <w:rPr>
                <w:rFonts w:eastAsia="Calibri"/>
                <w:b/>
                <w:szCs w:val="20"/>
              </w:rPr>
              <w:t xml:space="preserve"> reglamento</w:t>
            </w:r>
            <w:r w:rsidR="00DF09A8" w:rsidRPr="009A27ED">
              <w:rPr>
                <w:rFonts w:eastAsia="Calibri"/>
                <w:b/>
                <w:szCs w:val="20"/>
              </w:rPr>
              <w:t>.</w:t>
            </w:r>
          </w:p>
          <w:p w14:paraId="4B0BC26C" w14:textId="372CBFEB" w:rsidR="00DF09A8" w:rsidRPr="009A27ED" w:rsidRDefault="00DF09A8" w:rsidP="00C77685">
            <w:pPr>
              <w:autoSpaceDE w:val="0"/>
              <w:autoSpaceDN w:val="0"/>
              <w:adjustRightInd w:val="0"/>
              <w:rPr>
                <w:rFonts w:eastAsia="Calibri"/>
                <w:szCs w:val="20"/>
              </w:rPr>
            </w:pPr>
            <w:r w:rsidRPr="009A27ED">
              <w:rPr>
                <w:rFonts w:eastAsia="Calibri"/>
                <w:b/>
                <w:szCs w:val="20"/>
              </w:rPr>
              <w:t>Toda la información será publicada en la Web del Ministerio.</w:t>
            </w:r>
          </w:p>
        </w:tc>
      </w:tr>
      <w:tr w:rsidR="00302CD1" w:rsidRPr="009A27ED" w14:paraId="57690701" w14:textId="77777777" w:rsidTr="007D5516">
        <w:tc>
          <w:tcPr>
            <w:tcW w:w="4405" w:type="dxa"/>
            <w:shd w:val="clear" w:color="auto" w:fill="FFFFFF" w:themeFill="background1"/>
          </w:tcPr>
          <w:p w14:paraId="1EA347D7" w14:textId="77777777" w:rsidR="00302CD1" w:rsidRPr="009A27ED" w:rsidRDefault="00302CD1" w:rsidP="005C7914">
            <w:pPr>
              <w:spacing w:after="0"/>
              <w:contextualSpacing/>
              <w:rPr>
                <w:b/>
                <w:szCs w:val="20"/>
              </w:rPr>
            </w:pPr>
            <w:r w:rsidRPr="009A27ED">
              <w:rPr>
                <w:b/>
                <w:szCs w:val="20"/>
              </w:rPr>
              <w:t>Derecho sobre la tenencia de la tierra claros</w:t>
            </w:r>
          </w:p>
          <w:p w14:paraId="7907CE08" w14:textId="77777777" w:rsidR="00302CD1" w:rsidRPr="009A27ED" w:rsidRDefault="00302CD1" w:rsidP="005C7914">
            <w:pPr>
              <w:spacing w:after="0"/>
              <w:contextualSpacing/>
              <w:rPr>
                <w:szCs w:val="20"/>
              </w:rPr>
            </w:pPr>
            <w:r w:rsidRPr="009A27ED">
              <w:rPr>
                <w:szCs w:val="20"/>
              </w:rPr>
              <w:t>La tenencia de la tierra en República Dominicana está regulada por las normativas legales, la CPD</w:t>
            </w:r>
            <w:r w:rsidRPr="009A27ED">
              <w:rPr>
                <w:rStyle w:val="Refdenotaalfinal"/>
                <w:szCs w:val="20"/>
              </w:rPr>
              <w:endnoteReference w:id="32"/>
            </w:r>
            <w:r w:rsidRPr="009A27ED">
              <w:rPr>
                <w:szCs w:val="20"/>
              </w:rPr>
              <w:t xml:space="preserve"> que es el principal instrumento legal del país se refiere a ese tópico y reconoce plenamente el derecho a la propiedad donde toda persona tiene derecho al goce, disfrute y disposición de sus bienes. Las tierras en República Dominicana son propiedad de particulares (personas naturales o jurídicas de carácter privado) o del Estado, existe la LRIRD, para la normalización de la propiedad de la tierra</w:t>
            </w:r>
            <w:r w:rsidRPr="009A27ED">
              <w:rPr>
                <w:rStyle w:val="Refdenotaalfinal"/>
                <w:szCs w:val="20"/>
              </w:rPr>
              <w:endnoteReference w:id="33"/>
            </w:r>
            <w:r w:rsidRPr="009A27ED">
              <w:rPr>
                <w:szCs w:val="20"/>
              </w:rPr>
              <w:t xml:space="preserve"> .</w:t>
            </w:r>
          </w:p>
          <w:p w14:paraId="3B77FB53" w14:textId="77777777" w:rsidR="00302CD1" w:rsidRPr="009A27ED" w:rsidRDefault="00302CD1" w:rsidP="005C7914">
            <w:pPr>
              <w:spacing w:after="0"/>
              <w:rPr>
                <w:szCs w:val="20"/>
              </w:rPr>
            </w:pPr>
            <w:r w:rsidRPr="009A27ED">
              <w:rPr>
                <w:szCs w:val="20"/>
              </w:rPr>
              <w:t>La Ley de Registro Inmobiliario</w:t>
            </w:r>
            <w:r w:rsidRPr="009A27ED">
              <w:rPr>
                <w:rStyle w:val="Refdenotaalfinal"/>
                <w:szCs w:val="20"/>
              </w:rPr>
              <w:endnoteReference w:id="34"/>
            </w:r>
            <w:r w:rsidRPr="009A27ED">
              <w:rPr>
                <w:szCs w:val="20"/>
              </w:rPr>
              <w:t xml:space="preserve"> establece como principio que el Estado Dominicano es el propietario originario de todos los terrenos que conforman el territorio de la República Dominicana, exigiendo el registro a su favor sobre los terrenos en los que nadie pueda probar derecho de propiedad alguno.</w:t>
            </w:r>
          </w:p>
          <w:p w14:paraId="04F160B8" w14:textId="77777777" w:rsidR="00302CD1" w:rsidRPr="009A27ED" w:rsidRDefault="00302CD1" w:rsidP="005C7914">
            <w:pPr>
              <w:spacing w:after="0"/>
              <w:contextualSpacing/>
              <w:rPr>
                <w:szCs w:val="20"/>
              </w:rPr>
            </w:pPr>
            <w:r w:rsidRPr="009A27ED">
              <w:rPr>
                <w:szCs w:val="20"/>
              </w:rPr>
              <w:t>Por su parte el Código Civil Dominicano</w:t>
            </w:r>
            <w:r w:rsidRPr="009A27ED">
              <w:rPr>
                <w:b/>
                <w:szCs w:val="20"/>
              </w:rPr>
              <w:t xml:space="preserve"> </w:t>
            </w:r>
            <w:r w:rsidRPr="009A27ED">
              <w:rPr>
                <w:szCs w:val="20"/>
              </w:rPr>
              <w:t xml:space="preserve">reconoce otros derechos como la propiedad de frutos naturales e industriales de la tierra por derecho de accesión, también reconoce el derecho de posesión, usufructo. </w:t>
            </w:r>
            <w:r w:rsidRPr="009A27ED">
              <w:rPr>
                <w:rStyle w:val="Refdenotaalfinal"/>
                <w:szCs w:val="20"/>
              </w:rPr>
              <w:endnoteReference w:id="35"/>
            </w:r>
          </w:p>
          <w:p w14:paraId="3B1823D9" w14:textId="77777777" w:rsidR="00302CD1" w:rsidRPr="009A27ED" w:rsidRDefault="00302CD1" w:rsidP="005C7914">
            <w:pPr>
              <w:spacing w:after="0"/>
              <w:rPr>
                <w:szCs w:val="20"/>
              </w:rPr>
            </w:pPr>
            <w:r w:rsidRPr="009A27ED">
              <w:rPr>
                <w:szCs w:val="20"/>
              </w:rPr>
              <w:t>La CDP</w:t>
            </w:r>
            <w:r w:rsidRPr="009A27ED">
              <w:rPr>
                <w:szCs w:val="20"/>
                <w:vertAlign w:val="superscript"/>
              </w:rPr>
              <w:endnoteReference w:id="36"/>
            </w:r>
            <w:r w:rsidRPr="009A27ED">
              <w:rPr>
                <w:szCs w:val="20"/>
              </w:rPr>
              <w:t xml:space="preserve"> dispone que ninguna persona puede ser privada de su propiedad, sino por causa justificada de utilidad pública o de interés social, previo pago de su justo valor, determinado por acuerdo entre las partes o sentencia de tribunal competente, de conformidad con lo establecido en las leyes.</w:t>
            </w:r>
          </w:p>
          <w:p w14:paraId="28240DBB" w14:textId="77777777" w:rsidR="00302CD1" w:rsidRPr="009A27ED" w:rsidRDefault="00302CD1" w:rsidP="005C7914">
            <w:pPr>
              <w:spacing w:after="0"/>
              <w:contextualSpacing/>
              <w:rPr>
                <w:szCs w:val="20"/>
              </w:rPr>
            </w:pPr>
            <w:r w:rsidRPr="009A27ED">
              <w:rPr>
                <w:szCs w:val="20"/>
              </w:rPr>
              <w:t>El Reglamento Forestal</w:t>
            </w:r>
            <w:r w:rsidRPr="009A27ED">
              <w:rPr>
                <w:szCs w:val="20"/>
                <w:vertAlign w:val="superscript"/>
              </w:rPr>
              <w:endnoteReference w:id="37"/>
            </w:r>
            <w:r w:rsidRPr="009A27ED">
              <w:rPr>
                <w:szCs w:val="20"/>
              </w:rPr>
              <w:t xml:space="preserve"> define y reconoce la propiedad colectiva o comunal.  </w:t>
            </w:r>
          </w:p>
          <w:p w14:paraId="0A2F86DE" w14:textId="77777777" w:rsidR="00302CD1" w:rsidRPr="009A27ED" w:rsidRDefault="00302CD1" w:rsidP="005C7914">
            <w:pPr>
              <w:spacing w:after="0"/>
              <w:contextualSpacing/>
              <w:rPr>
                <w:szCs w:val="20"/>
              </w:rPr>
            </w:pPr>
            <w:r w:rsidRPr="009A27ED">
              <w:rPr>
                <w:szCs w:val="20"/>
              </w:rPr>
              <w:t>La ley 64-00, se refiere a “Terreno de aptitud forestal de propiedad comunal o colectiva”</w:t>
            </w:r>
            <w:r w:rsidRPr="009A27ED">
              <w:rPr>
                <w:rStyle w:val="Refdenotaalfinal"/>
                <w:szCs w:val="20"/>
              </w:rPr>
              <w:endnoteReference w:id="38"/>
            </w:r>
            <w:r w:rsidRPr="009A27ED">
              <w:rPr>
                <w:szCs w:val="20"/>
              </w:rPr>
              <w:t xml:space="preserve"> y define el aprovechamiento forestal, el patrimonio forestal privado, el producto forestal, los recursos forestales y los terrenos de aptitud forestal. </w:t>
            </w:r>
          </w:p>
          <w:p w14:paraId="5C55B482" w14:textId="77777777" w:rsidR="00302CD1" w:rsidRPr="009A27ED" w:rsidRDefault="00302CD1" w:rsidP="005C7914">
            <w:pPr>
              <w:spacing w:after="0"/>
              <w:contextualSpacing/>
              <w:rPr>
                <w:szCs w:val="20"/>
              </w:rPr>
            </w:pPr>
            <w:r w:rsidRPr="009A27ED">
              <w:rPr>
                <w:szCs w:val="20"/>
              </w:rPr>
              <w:t>El Marco Legal no establece procedimientos justos que regulen específicamente la expropiación de las tierras forestales del Estado, lo hace de manera general, toda vez que no existen definiciones claras de los términos “causa justificada de utilidad pública o de interés social”, “justo valor” quedando al arbitrio de la autoridad o bajo la decisión de un juez.</w:t>
            </w:r>
          </w:p>
        </w:tc>
        <w:tc>
          <w:tcPr>
            <w:tcW w:w="4415" w:type="dxa"/>
            <w:shd w:val="clear" w:color="auto" w:fill="FFFFFF" w:themeFill="background1"/>
          </w:tcPr>
          <w:p w14:paraId="5EFAD277" w14:textId="0576D7F7" w:rsidR="00302CD1" w:rsidRPr="009A27ED" w:rsidRDefault="00302CD1" w:rsidP="00F01D53">
            <w:pPr>
              <w:autoSpaceDE w:val="0"/>
              <w:autoSpaceDN w:val="0"/>
              <w:adjustRightInd w:val="0"/>
              <w:spacing w:after="0"/>
              <w:rPr>
                <w:rFonts w:eastAsia="Calibri"/>
                <w:b/>
                <w:szCs w:val="20"/>
              </w:rPr>
            </w:pPr>
            <w:r w:rsidRPr="009A27ED">
              <w:rPr>
                <w:b/>
                <w:szCs w:val="20"/>
              </w:rPr>
              <w:t>Se facilita orientación e información sobre titulación de las tierras</w:t>
            </w:r>
            <w:r w:rsidRPr="009A27ED">
              <w:rPr>
                <w:szCs w:val="20"/>
              </w:rPr>
              <w:t xml:space="preserve">, </w:t>
            </w:r>
            <w:proofErr w:type="gramStart"/>
            <w:r w:rsidRPr="009A27ED">
              <w:rPr>
                <w:szCs w:val="20"/>
              </w:rPr>
              <w:t>especialmente</w:t>
            </w:r>
            <w:proofErr w:type="gramEnd"/>
            <w:r w:rsidRPr="009A27ED">
              <w:rPr>
                <w:szCs w:val="20"/>
              </w:rPr>
              <w:t xml:space="preserve"> a aquellos que </w:t>
            </w:r>
            <w:proofErr w:type="gramStart"/>
            <w:r w:rsidRPr="009A27ED">
              <w:rPr>
                <w:szCs w:val="20"/>
              </w:rPr>
              <w:t>actualmente</w:t>
            </w:r>
            <w:proofErr w:type="gramEnd"/>
            <w:r w:rsidRPr="009A27ED">
              <w:rPr>
                <w:szCs w:val="20"/>
              </w:rPr>
              <w:t xml:space="preserve"> ostentan una certificación de posesión, a fin de brindarles mayor seguridad jurídica. </w:t>
            </w:r>
            <w:r w:rsidR="00B11B0C" w:rsidRPr="009A27ED">
              <w:rPr>
                <w:szCs w:val="20"/>
              </w:rPr>
              <w:t>Además,</w:t>
            </w:r>
            <w:r w:rsidRPr="009A27ED">
              <w:rPr>
                <w:szCs w:val="20"/>
              </w:rPr>
              <w:t xml:space="preserve"> que el reconocimiento del derecho de posesión que implementaran los diferentes programas es otra manera de generar legitimidad institucional a situaciones consuetudinarias.</w:t>
            </w:r>
          </w:p>
        </w:tc>
      </w:tr>
      <w:tr w:rsidR="00302CD1" w:rsidRPr="009A27ED" w14:paraId="622BE148" w14:textId="77777777" w:rsidTr="007D5516">
        <w:tc>
          <w:tcPr>
            <w:tcW w:w="4405" w:type="dxa"/>
            <w:shd w:val="clear" w:color="auto" w:fill="FFFFFF" w:themeFill="background1"/>
          </w:tcPr>
          <w:p w14:paraId="733EA127" w14:textId="77777777" w:rsidR="00302CD1" w:rsidRPr="009A27ED" w:rsidRDefault="00302CD1" w:rsidP="005C7914">
            <w:pPr>
              <w:spacing w:after="0"/>
              <w:contextualSpacing/>
              <w:rPr>
                <w:b/>
                <w:szCs w:val="20"/>
              </w:rPr>
            </w:pPr>
            <w:r w:rsidRPr="009A27ED">
              <w:rPr>
                <w:b/>
                <w:szCs w:val="20"/>
              </w:rPr>
              <w:t>Distribución de beneficios</w:t>
            </w:r>
          </w:p>
          <w:p w14:paraId="44B955AC" w14:textId="77777777" w:rsidR="00302CD1" w:rsidRPr="009A27ED" w:rsidRDefault="00302CD1" w:rsidP="005C7914">
            <w:pPr>
              <w:contextualSpacing/>
              <w:rPr>
                <w:szCs w:val="20"/>
              </w:rPr>
            </w:pPr>
            <w:r w:rsidRPr="009A27ED">
              <w:rPr>
                <w:szCs w:val="20"/>
              </w:rPr>
              <w:t>La ley No. 64-00</w:t>
            </w:r>
            <w:r w:rsidRPr="009A27ED">
              <w:rPr>
                <w:szCs w:val="20"/>
                <w:vertAlign w:val="superscript"/>
              </w:rPr>
              <w:endnoteReference w:id="39"/>
            </w:r>
            <w:r w:rsidRPr="009A27ED">
              <w:rPr>
                <w:szCs w:val="20"/>
              </w:rPr>
              <w:t xml:space="preserve"> dispone que el Estado reconoce los servicios ambientales que ofrecen los distintos recursos naturales y establecerá un procedimiento para incluir en las cuentas nacionales los valores establecidos. En caso de recursos naturales propiedad de la nación, el valor de los servicios ambientales que éstos ofrecen será destinado a asegurar su calidad y cantidad por medio de medidas de conservación y uso sostenible; también prevé crear mecanismos para reconocer servicios ambientales y la redistribución de sus beneficios cuando procedan de recursos patrimonio de la nación.</w:t>
            </w:r>
          </w:p>
          <w:p w14:paraId="15186EBE" w14:textId="77777777" w:rsidR="00302CD1" w:rsidRPr="009A27ED" w:rsidRDefault="00302CD1" w:rsidP="005C7914">
            <w:pPr>
              <w:contextualSpacing/>
              <w:rPr>
                <w:szCs w:val="20"/>
              </w:rPr>
            </w:pPr>
            <w:r w:rsidRPr="009A27ED">
              <w:rPr>
                <w:szCs w:val="20"/>
              </w:rPr>
              <w:t xml:space="preserve">El Marco Legal regula la distribución justa y equitativa de los beneficios derivados de los recursos </w:t>
            </w:r>
            <w:r w:rsidRPr="009A27ED">
              <w:rPr>
                <w:szCs w:val="20"/>
              </w:rPr>
              <w:lastRenderedPageBreak/>
              <w:t>biológicos, la LSSB (Ley 333-15)</w:t>
            </w:r>
            <w:r w:rsidRPr="009A27ED">
              <w:rPr>
                <w:rStyle w:val="Refdenotaalfinal"/>
                <w:szCs w:val="20"/>
              </w:rPr>
              <w:endnoteReference w:id="40"/>
            </w:r>
            <w:r w:rsidRPr="009A27ED">
              <w:rPr>
                <w:szCs w:val="20"/>
              </w:rPr>
              <w:t xml:space="preserve"> Se refiere a los beneficios en el Artículo 1.</w:t>
            </w:r>
          </w:p>
          <w:p w14:paraId="655D3EE5" w14:textId="77777777" w:rsidR="00302CD1" w:rsidRPr="009A27ED" w:rsidRDefault="00302CD1" w:rsidP="005C7914">
            <w:pPr>
              <w:contextualSpacing/>
              <w:rPr>
                <w:szCs w:val="20"/>
              </w:rPr>
            </w:pPr>
            <w:r w:rsidRPr="009A27ED">
              <w:rPr>
                <w:szCs w:val="20"/>
              </w:rPr>
              <w:t>La Ley 64-00</w:t>
            </w:r>
            <w:r w:rsidRPr="009A27ED">
              <w:rPr>
                <w:rStyle w:val="Refdenotaalfinal"/>
                <w:szCs w:val="20"/>
              </w:rPr>
              <w:endnoteReference w:id="41"/>
            </w:r>
            <w:r w:rsidRPr="009A27ED">
              <w:rPr>
                <w:szCs w:val="20"/>
              </w:rPr>
              <w:t xml:space="preserve"> requiere la</w:t>
            </w:r>
            <w:r w:rsidRPr="009A27ED">
              <w:rPr>
                <w:b/>
                <w:szCs w:val="20"/>
              </w:rPr>
              <w:t xml:space="preserve"> </w:t>
            </w:r>
            <w:r w:rsidRPr="009A27ED">
              <w:rPr>
                <w:szCs w:val="20"/>
              </w:rPr>
              <w:t>consecución de la participación comunitaria en la conservación y la utilización racional de los recursos genéticos, así como asegurar una justa y equitativa distribución de los beneficios que se deriven de su adecuado manejo y utilización.</w:t>
            </w:r>
          </w:p>
          <w:p w14:paraId="4542C928" w14:textId="77777777" w:rsidR="00302CD1" w:rsidRPr="009A27ED" w:rsidRDefault="00302CD1" w:rsidP="005C7914">
            <w:pPr>
              <w:autoSpaceDE w:val="0"/>
              <w:autoSpaceDN w:val="0"/>
              <w:adjustRightInd w:val="0"/>
              <w:rPr>
                <w:rFonts w:eastAsia="Calibri"/>
                <w:b/>
                <w:szCs w:val="20"/>
              </w:rPr>
            </w:pPr>
            <w:r w:rsidRPr="009A27ED">
              <w:rPr>
                <w:szCs w:val="20"/>
              </w:rPr>
              <w:t>El Reglamento Forestal</w:t>
            </w:r>
            <w:r w:rsidRPr="009A27ED">
              <w:rPr>
                <w:szCs w:val="20"/>
                <w:vertAlign w:val="superscript"/>
              </w:rPr>
              <w:endnoteReference w:id="42"/>
            </w:r>
            <w:r w:rsidRPr="009A27ED">
              <w:rPr>
                <w:szCs w:val="20"/>
              </w:rPr>
              <w:t xml:space="preserve"> señala que la Secretaría de Estado (hoy Ministerio) de Medio Ambiente y Recursos Naturales es el ente responsable de captar recursos de diferentes fuentes, organizaciones públicas o privadas nacionales o internacionales, para pagar los servicios ambientales; por lo que le corresponde velar para que mediante la firma de contratos respectivos y el cumplimiento de los procedimientos establecidos, los propietarios o poseedores de bosques y plantaciones forestales reciban o paguen por los servicios ambientales prestados.</w:t>
            </w:r>
          </w:p>
        </w:tc>
        <w:tc>
          <w:tcPr>
            <w:tcW w:w="4415" w:type="dxa"/>
            <w:shd w:val="clear" w:color="auto" w:fill="FFFFFF" w:themeFill="background1"/>
          </w:tcPr>
          <w:p w14:paraId="656DA4F2" w14:textId="4FD48520" w:rsidR="00302CD1" w:rsidRPr="009A27ED" w:rsidRDefault="008D26D2" w:rsidP="00467E7B">
            <w:pPr>
              <w:autoSpaceDE w:val="0"/>
              <w:autoSpaceDN w:val="0"/>
              <w:adjustRightInd w:val="0"/>
              <w:spacing w:after="0"/>
              <w:rPr>
                <w:rFonts w:eastAsia="Calibri"/>
                <w:b/>
                <w:szCs w:val="20"/>
              </w:rPr>
            </w:pPr>
            <w:r w:rsidRPr="009A27ED">
              <w:rPr>
                <w:rFonts w:eastAsia="Calibri"/>
                <w:b/>
                <w:szCs w:val="20"/>
              </w:rPr>
              <w:lastRenderedPageBreak/>
              <w:t xml:space="preserve">Para esto se cuenta con el Plan de Distribución de Beneficios </w:t>
            </w:r>
            <w:r w:rsidR="00467E7B" w:rsidRPr="009A27ED">
              <w:rPr>
                <w:rFonts w:eastAsia="Calibri"/>
                <w:b/>
                <w:szCs w:val="20"/>
              </w:rPr>
              <w:t>que describe</w:t>
            </w:r>
            <w:r w:rsidR="00302CD1" w:rsidRPr="009A27ED">
              <w:rPr>
                <w:rFonts w:eastAsia="Calibri"/>
                <w:b/>
                <w:szCs w:val="20"/>
              </w:rPr>
              <w:t xml:space="preserve"> los arreglos institucionales</w:t>
            </w:r>
            <w:r w:rsidR="00467E7B" w:rsidRPr="009A27ED">
              <w:rPr>
                <w:rFonts w:eastAsia="Calibri"/>
                <w:b/>
                <w:szCs w:val="20"/>
              </w:rPr>
              <w:t xml:space="preserve"> necesarios</w:t>
            </w:r>
            <w:r w:rsidR="00302CD1" w:rsidRPr="009A27ED">
              <w:rPr>
                <w:rFonts w:eastAsia="Calibri"/>
                <w:b/>
                <w:szCs w:val="20"/>
              </w:rPr>
              <w:t xml:space="preserve">. </w:t>
            </w:r>
            <w:r w:rsidR="00B11B0C" w:rsidRPr="009A27ED">
              <w:rPr>
                <w:rFonts w:eastAsia="Calibri"/>
                <w:b/>
                <w:szCs w:val="20"/>
              </w:rPr>
              <w:t>Además,</w:t>
            </w:r>
            <w:r w:rsidR="00302CD1" w:rsidRPr="009A27ED">
              <w:rPr>
                <w:rFonts w:eastAsia="Calibri"/>
                <w:b/>
                <w:szCs w:val="20"/>
              </w:rPr>
              <w:t xml:space="preserve"> existirá una gobernanza y reglamentos claros.</w:t>
            </w:r>
            <w:r w:rsidR="00DF09A8" w:rsidRPr="009A27ED">
              <w:rPr>
                <w:rFonts w:eastAsia="Calibri"/>
                <w:b/>
                <w:szCs w:val="20"/>
              </w:rPr>
              <w:t xml:space="preserve"> Toda la información será publica en la web del Ministerio.</w:t>
            </w:r>
          </w:p>
          <w:p w14:paraId="3A5DD20C" w14:textId="77777777" w:rsidR="00302CD1" w:rsidRPr="009A27ED" w:rsidRDefault="00302CD1" w:rsidP="005C7914">
            <w:pPr>
              <w:autoSpaceDE w:val="0"/>
              <w:autoSpaceDN w:val="0"/>
              <w:adjustRightInd w:val="0"/>
              <w:spacing w:after="0"/>
              <w:rPr>
                <w:rFonts w:eastAsia="Calibri"/>
                <w:b/>
                <w:szCs w:val="20"/>
              </w:rPr>
            </w:pPr>
          </w:p>
          <w:p w14:paraId="3C4FF30C" w14:textId="77777777" w:rsidR="00302CD1" w:rsidRPr="009A27ED" w:rsidRDefault="00302CD1" w:rsidP="005C7914">
            <w:pPr>
              <w:autoSpaceDE w:val="0"/>
              <w:autoSpaceDN w:val="0"/>
              <w:adjustRightInd w:val="0"/>
              <w:spacing w:after="0"/>
              <w:rPr>
                <w:rFonts w:eastAsia="Calibri"/>
                <w:szCs w:val="20"/>
              </w:rPr>
            </w:pPr>
          </w:p>
        </w:tc>
      </w:tr>
      <w:tr w:rsidR="00302CD1" w:rsidRPr="009A27ED" w14:paraId="607249AA" w14:textId="77777777" w:rsidTr="007D5516">
        <w:tc>
          <w:tcPr>
            <w:tcW w:w="4405" w:type="dxa"/>
            <w:shd w:val="clear" w:color="auto" w:fill="FFFFFF" w:themeFill="background1"/>
          </w:tcPr>
          <w:p w14:paraId="486E83C3" w14:textId="77777777" w:rsidR="00302CD1" w:rsidRPr="009A27ED" w:rsidRDefault="00302CD1" w:rsidP="005C7914">
            <w:pPr>
              <w:pStyle w:val="NormalWeb"/>
              <w:spacing w:before="0" w:beforeAutospacing="0" w:after="0" w:afterAutospacing="0"/>
              <w:jc w:val="both"/>
              <w:rPr>
                <w:rFonts w:asciiTheme="minorHAnsi" w:hAnsiTheme="minorHAnsi" w:cstheme="minorHAnsi"/>
                <w:b/>
                <w:szCs w:val="20"/>
                <w:lang w:val="es-ES"/>
              </w:rPr>
            </w:pPr>
            <w:r w:rsidRPr="009A27ED">
              <w:rPr>
                <w:rFonts w:asciiTheme="minorHAnsi" w:hAnsiTheme="minorHAnsi" w:cstheme="minorHAnsi"/>
                <w:b/>
                <w:szCs w:val="20"/>
                <w:lang w:val="es-ES"/>
              </w:rPr>
              <w:t>Equidad de Género</w:t>
            </w:r>
          </w:p>
          <w:p w14:paraId="52C1AC4D" w14:textId="77777777" w:rsidR="00302CD1" w:rsidRPr="009A27ED" w:rsidRDefault="00302CD1" w:rsidP="005C7914">
            <w:pPr>
              <w:pStyle w:val="NormalWeb"/>
              <w:spacing w:before="0" w:beforeAutospacing="0" w:after="0" w:afterAutospacing="0"/>
              <w:jc w:val="both"/>
              <w:rPr>
                <w:rFonts w:asciiTheme="minorHAnsi" w:eastAsiaTheme="minorEastAsia" w:hAnsiTheme="minorHAnsi" w:cstheme="minorHAnsi"/>
                <w:szCs w:val="20"/>
                <w:lang w:val="es-ES" w:eastAsia="en-US"/>
              </w:rPr>
            </w:pPr>
            <w:r w:rsidRPr="009A27ED">
              <w:rPr>
                <w:rFonts w:asciiTheme="minorHAnsi" w:hAnsiTheme="minorHAnsi" w:cstheme="minorHAnsi"/>
                <w:szCs w:val="20"/>
                <w:lang w:val="es-ES"/>
              </w:rPr>
              <w:t>La equidad de género está prevista en l</w:t>
            </w:r>
            <w:r w:rsidRPr="009A27ED">
              <w:rPr>
                <w:rFonts w:asciiTheme="minorHAnsi" w:eastAsiaTheme="minorEastAsia" w:hAnsiTheme="minorHAnsi" w:cstheme="minorHAnsi"/>
                <w:szCs w:val="20"/>
                <w:lang w:val="es-ES" w:eastAsia="en-US"/>
              </w:rPr>
              <w:t>a CPD</w:t>
            </w:r>
            <w:r w:rsidRPr="009A27ED">
              <w:rPr>
                <w:rStyle w:val="Refdenotaalfinal"/>
                <w:rFonts w:asciiTheme="minorHAnsi" w:eastAsiaTheme="minorEastAsia" w:hAnsiTheme="minorHAnsi" w:cstheme="minorHAnsi"/>
                <w:szCs w:val="20"/>
                <w:lang w:val="es-ES" w:eastAsia="en-US"/>
              </w:rPr>
              <w:endnoteReference w:id="43"/>
            </w:r>
            <w:r w:rsidRPr="009A27ED">
              <w:rPr>
                <w:rFonts w:asciiTheme="minorHAnsi" w:eastAsiaTheme="minorEastAsia" w:hAnsiTheme="minorHAnsi" w:cstheme="minorHAnsi"/>
                <w:szCs w:val="20"/>
                <w:lang w:val="es-ES" w:eastAsia="en-US"/>
              </w:rPr>
              <w:t>, la END</w:t>
            </w:r>
            <w:r w:rsidRPr="009A27ED">
              <w:rPr>
                <w:rStyle w:val="Refdenotaalfinal"/>
                <w:rFonts w:asciiTheme="minorHAnsi" w:eastAsiaTheme="minorEastAsia" w:hAnsiTheme="minorHAnsi" w:cstheme="minorHAnsi"/>
                <w:szCs w:val="20"/>
                <w:lang w:val="es-ES" w:eastAsia="en-US"/>
              </w:rPr>
              <w:endnoteReference w:id="44"/>
            </w:r>
            <w:r w:rsidRPr="009A27ED">
              <w:rPr>
                <w:rFonts w:asciiTheme="minorHAnsi" w:eastAsiaTheme="minorEastAsia" w:hAnsiTheme="minorHAnsi" w:cstheme="minorHAnsi"/>
                <w:szCs w:val="20"/>
                <w:lang w:val="es-ES" w:eastAsia="en-US"/>
              </w:rPr>
              <w:t xml:space="preserve"> y en la Ley 86-99 (LMM)</w:t>
            </w:r>
            <w:r w:rsidRPr="009A27ED">
              <w:rPr>
                <w:rStyle w:val="Refdenotaalfinal"/>
                <w:rFonts w:asciiTheme="minorHAnsi" w:eastAsiaTheme="minorEastAsia" w:hAnsiTheme="minorHAnsi" w:cstheme="minorHAnsi"/>
                <w:szCs w:val="20"/>
                <w:lang w:val="es-ES" w:eastAsia="en-US"/>
              </w:rPr>
              <w:endnoteReference w:id="45"/>
            </w:r>
          </w:p>
          <w:p w14:paraId="6AFBE55B" w14:textId="77777777" w:rsidR="00302CD1" w:rsidRPr="009A27ED" w:rsidRDefault="00302CD1" w:rsidP="005C7914">
            <w:pPr>
              <w:widowControl w:val="0"/>
              <w:spacing w:after="0"/>
              <w:contextualSpacing/>
              <w:rPr>
                <w:szCs w:val="20"/>
              </w:rPr>
            </w:pPr>
            <w:r w:rsidRPr="009A27ED">
              <w:rPr>
                <w:szCs w:val="20"/>
              </w:rPr>
              <w:t>La Ley 86-99 (LMM)</w:t>
            </w:r>
            <w:r w:rsidRPr="009A27ED">
              <w:rPr>
                <w:rStyle w:val="Refdenotaalfinal"/>
                <w:szCs w:val="20"/>
              </w:rPr>
              <w:endnoteReference w:id="46"/>
            </w:r>
            <w:r w:rsidRPr="009A27ED">
              <w:rPr>
                <w:szCs w:val="20"/>
              </w:rPr>
              <w:t xml:space="preserve"> crea la Secretaría de Estado (hoy Ministerio) de la Mujer, como organismo responsable de establecer las normas y coordinar la ejecución de políticas, planes y programas a nivel sectorial interministerial y con la sociedad civil, dirigidos a lograr la equidad de género y el pleno ejercicio de la ciudadanía por parte de las mujeres</w:t>
            </w:r>
          </w:p>
          <w:p w14:paraId="5C9AB6AA" w14:textId="77777777" w:rsidR="00302CD1" w:rsidRPr="009A27ED" w:rsidRDefault="00302CD1" w:rsidP="005C7914">
            <w:pPr>
              <w:spacing w:after="0"/>
              <w:rPr>
                <w:szCs w:val="20"/>
              </w:rPr>
            </w:pPr>
            <w:r w:rsidRPr="009A27ED">
              <w:rPr>
                <w:szCs w:val="20"/>
              </w:rPr>
              <w:t>El Marco Legal requiere a las instituciones públicas que lleven a cabo la sensibilización pública en materia de igualdad de género, atribución que es conferida en el Artículo 1 de la Ley 86-99, al Ministerio de la Mujer</w:t>
            </w:r>
            <w:r w:rsidRPr="009A27ED">
              <w:rPr>
                <w:rStyle w:val="Refdenotaalfinal"/>
                <w:szCs w:val="20"/>
              </w:rPr>
              <w:endnoteReference w:id="47"/>
            </w:r>
            <w:r w:rsidRPr="009A27ED">
              <w:rPr>
                <w:szCs w:val="20"/>
              </w:rPr>
              <w:t xml:space="preserve">  </w:t>
            </w:r>
          </w:p>
        </w:tc>
        <w:tc>
          <w:tcPr>
            <w:tcW w:w="4415" w:type="dxa"/>
            <w:shd w:val="clear" w:color="auto" w:fill="FFFFFF" w:themeFill="background1"/>
          </w:tcPr>
          <w:p w14:paraId="365E7319" w14:textId="70242D20" w:rsidR="00302CD1" w:rsidRPr="009A27ED" w:rsidRDefault="00302CD1" w:rsidP="00467E7B">
            <w:pPr>
              <w:autoSpaceDE w:val="0"/>
              <w:autoSpaceDN w:val="0"/>
              <w:adjustRightInd w:val="0"/>
              <w:spacing w:after="0"/>
              <w:rPr>
                <w:rFonts w:eastAsia="Calibri"/>
                <w:szCs w:val="20"/>
              </w:rPr>
            </w:pPr>
            <w:r w:rsidRPr="009A27ED">
              <w:rPr>
                <w:rFonts w:eastAsia="Calibri"/>
                <w:szCs w:val="20"/>
              </w:rPr>
              <w:t xml:space="preserve">Se </w:t>
            </w:r>
            <w:r w:rsidR="00467E7B" w:rsidRPr="009A27ED">
              <w:rPr>
                <w:rFonts w:eastAsia="Calibri"/>
                <w:szCs w:val="20"/>
              </w:rPr>
              <w:t>elaboró</w:t>
            </w:r>
            <w:r w:rsidR="00BD1B4E" w:rsidRPr="009A27ED">
              <w:rPr>
                <w:rFonts w:eastAsia="Calibri"/>
                <w:szCs w:val="20"/>
              </w:rPr>
              <w:t xml:space="preserve"> el Plan de Acción de Género para el </w:t>
            </w:r>
            <w:r w:rsidR="00124B63" w:rsidRPr="009A27ED">
              <w:rPr>
                <w:rFonts w:eastAsia="Calibri"/>
                <w:szCs w:val="20"/>
              </w:rPr>
              <w:t>Programa REDD+</w:t>
            </w:r>
            <w:r w:rsidR="00DF09A8" w:rsidRPr="009A27ED">
              <w:rPr>
                <w:rFonts w:eastAsia="Calibri"/>
                <w:szCs w:val="20"/>
              </w:rPr>
              <w:t xml:space="preserve"> </w:t>
            </w:r>
            <w:r w:rsidR="00BD1B4E" w:rsidRPr="009A27ED">
              <w:rPr>
                <w:rFonts w:eastAsia="Calibri"/>
                <w:szCs w:val="20"/>
              </w:rPr>
              <w:t xml:space="preserve">y </w:t>
            </w:r>
            <w:r w:rsidRPr="009A27ED">
              <w:rPr>
                <w:rFonts w:eastAsia="Calibri"/>
                <w:szCs w:val="20"/>
              </w:rPr>
              <w:t xml:space="preserve">la EN REDD+ </w:t>
            </w:r>
            <w:r w:rsidR="00BD1B4E" w:rsidRPr="009A27ED">
              <w:rPr>
                <w:rFonts w:eastAsia="Calibri"/>
                <w:szCs w:val="20"/>
              </w:rPr>
              <w:t>que cuenta con</w:t>
            </w:r>
            <w:r w:rsidRPr="009A27ED">
              <w:rPr>
                <w:rFonts w:eastAsia="Calibri"/>
                <w:szCs w:val="20"/>
              </w:rPr>
              <w:t xml:space="preserve"> indicadores y medidas específicas para integrarlos</w:t>
            </w:r>
            <w:r w:rsidR="00B11B0C" w:rsidRPr="009A27ED">
              <w:rPr>
                <w:rFonts w:eastAsia="Calibri"/>
                <w:szCs w:val="20"/>
              </w:rPr>
              <w:t xml:space="preserve">, en la medida de lo </w:t>
            </w:r>
            <w:r w:rsidR="00A449BE" w:rsidRPr="009A27ED">
              <w:rPr>
                <w:rFonts w:eastAsia="Calibri"/>
                <w:szCs w:val="20"/>
              </w:rPr>
              <w:t>posible, en</w:t>
            </w:r>
            <w:r w:rsidRPr="009A27ED">
              <w:rPr>
                <w:rFonts w:eastAsia="Calibri"/>
                <w:szCs w:val="20"/>
              </w:rPr>
              <w:t xml:space="preserve"> los programas y proyectos REDD+.</w:t>
            </w:r>
          </w:p>
        </w:tc>
      </w:tr>
      <w:tr w:rsidR="00302CD1" w:rsidRPr="009A27ED" w14:paraId="310F11B7" w14:textId="77777777" w:rsidTr="007D5516">
        <w:tc>
          <w:tcPr>
            <w:tcW w:w="4405" w:type="dxa"/>
            <w:shd w:val="clear" w:color="auto" w:fill="FFFFFF" w:themeFill="background1"/>
          </w:tcPr>
          <w:p w14:paraId="1B80F8D2" w14:textId="77777777" w:rsidR="00302CD1" w:rsidRPr="009A27ED" w:rsidRDefault="00302CD1" w:rsidP="005C7914">
            <w:pPr>
              <w:rPr>
                <w:b/>
                <w:szCs w:val="20"/>
              </w:rPr>
            </w:pPr>
            <w:r w:rsidRPr="009A27ED">
              <w:rPr>
                <w:b/>
                <w:szCs w:val="20"/>
              </w:rPr>
              <w:t xml:space="preserve"> Acceso a la Justicia</w:t>
            </w:r>
          </w:p>
          <w:p w14:paraId="3DD63FA5" w14:textId="77777777" w:rsidR="00302CD1" w:rsidRPr="009A27ED" w:rsidRDefault="00302CD1" w:rsidP="005C7914">
            <w:pPr>
              <w:rPr>
                <w:szCs w:val="20"/>
              </w:rPr>
            </w:pPr>
            <w:r w:rsidRPr="009A27ED">
              <w:rPr>
                <w:szCs w:val="20"/>
              </w:rPr>
              <w:t>El Marco Legal reconoce el derecho de acceso a la justicia, este es un derecho establecido en la Constitución Política Dominicana</w:t>
            </w:r>
            <w:r w:rsidRPr="009A27ED">
              <w:rPr>
                <w:rStyle w:val="Refdenotaalfinal"/>
                <w:szCs w:val="20"/>
              </w:rPr>
              <w:endnoteReference w:id="48"/>
            </w:r>
            <w:r w:rsidRPr="009A27ED">
              <w:rPr>
                <w:szCs w:val="20"/>
              </w:rPr>
              <w:t xml:space="preserve"> y de ella emanan todos los demás instrumentos que aplicamos en justicia. En la CPD también se prevé y garantiza el acceso a los recursos legales,</w:t>
            </w:r>
            <w:r w:rsidRPr="009A27ED">
              <w:rPr>
                <w:rStyle w:val="Refdenotaalfinal"/>
                <w:szCs w:val="20"/>
              </w:rPr>
              <w:endnoteReference w:id="49"/>
            </w:r>
            <w:r w:rsidRPr="009A27ED">
              <w:rPr>
                <w:szCs w:val="20"/>
              </w:rPr>
              <w:t xml:space="preserve"> y al acceso a las reparaciones/indemnizaciones.</w:t>
            </w:r>
            <w:r w:rsidRPr="009A27ED">
              <w:rPr>
                <w:rStyle w:val="Refdenotaalfinal"/>
                <w:szCs w:val="20"/>
              </w:rPr>
              <w:endnoteReference w:id="50"/>
            </w:r>
          </w:p>
          <w:p w14:paraId="5F546EFC" w14:textId="77777777" w:rsidR="00302CD1" w:rsidRPr="009A27ED" w:rsidRDefault="00302CD1" w:rsidP="005C7914">
            <w:pPr>
              <w:rPr>
                <w:szCs w:val="20"/>
              </w:rPr>
            </w:pPr>
            <w:r w:rsidRPr="009A27ED">
              <w:rPr>
                <w:szCs w:val="20"/>
              </w:rPr>
              <w:t>El Marco Legal provee mecanismos de resolución de conflictos en el contexto de la gestión forestal, porque estos están enmarcados en el contexto de la solución general de conflictos</w:t>
            </w:r>
            <w:r w:rsidRPr="009A27ED">
              <w:rPr>
                <w:rStyle w:val="Refdenotaalfinal"/>
                <w:szCs w:val="20"/>
              </w:rPr>
              <w:endnoteReference w:id="51"/>
            </w:r>
            <w:r w:rsidRPr="009A27ED">
              <w:rPr>
                <w:szCs w:val="20"/>
              </w:rPr>
              <w:t xml:space="preserve"> y en los instrumentos como la Ley General de Medio Ambiente y Recursos Naturales y la Norma Técnica de Manejo Forestal.</w:t>
            </w:r>
          </w:p>
          <w:p w14:paraId="4532B5C7" w14:textId="77777777" w:rsidR="00302CD1" w:rsidRPr="009A27ED" w:rsidRDefault="00302CD1" w:rsidP="005C7914">
            <w:pPr>
              <w:rPr>
                <w:szCs w:val="20"/>
              </w:rPr>
            </w:pPr>
            <w:r w:rsidRPr="009A27ED">
              <w:rPr>
                <w:szCs w:val="20"/>
              </w:rPr>
              <w:t>Marco Legal prevé que mecanismos para resolver los conflictos no representan un costo prohibitivo por eso la CPD así lo Dispone y el sistema Judicial cuenta con defensoría Publica</w:t>
            </w:r>
            <w:r w:rsidRPr="009A27ED">
              <w:rPr>
                <w:rStyle w:val="Refdenotaalfinal"/>
                <w:szCs w:val="20"/>
              </w:rPr>
              <w:endnoteReference w:id="52"/>
            </w:r>
          </w:p>
          <w:p w14:paraId="45747347" w14:textId="77777777" w:rsidR="00302CD1" w:rsidRPr="009A27ED" w:rsidRDefault="00302CD1" w:rsidP="005C7914">
            <w:pPr>
              <w:rPr>
                <w:rFonts w:eastAsia="Calibri"/>
                <w:b/>
                <w:szCs w:val="20"/>
              </w:rPr>
            </w:pPr>
            <w:r w:rsidRPr="009A27ED">
              <w:rPr>
                <w:szCs w:val="20"/>
              </w:rPr>
              <w:t>El Marco Legal proporciona atención especial a los grupos vulnerables para garantizar el derecho de acceso a la justicia, en ese sentido se promueve una justicia equitativa e igualitaria para todos, para garantizar los derechos</w:t>
            </w:r>
            <w:r w:rsidRPr="009A27ED">
              <w:rPr>
                <w:rStyle w:val="Refdenotaalfinal"/>
                <w:szCs w:val="20"/>
              </w:rPr>
              <w:endnoteReference w:id="53"/>
            </w:r>
          </w:p>
        </w:tc>
        <w:tc>
          <w:tcPr>
            <w:tcW w:w="4415" w:type="dxa"/>
            <w:shd w:val="clear" w:color="auto" w:fill="FFFFFF" w:themeFill="background1"/>
          </w:tcPr>
          <w:p w14:paraId="1F77386C" w14:textId="3829BBA7" w:rsidR="00302CD1" w:rsidRPr="009A27ED" w:rsidRDefault="00302CD1" w:rsidP="005C7914">
            <w:pPr>
              <w:autoSpaceDE w:val="0"/>
              <w:autoSpaceDN w:val="0"/>
              <w:adjustRightInd w:val="0"/>
              <w:rPr>
                <w:rFonts w:eastAsia="Calibri"/>
                <w:szCs w:val="20"/>
              </w:rPr>
            </w:pPr>
            <w:r w:rsidRPr="009A27ED">
              <w:rPr>
                <w:rFonts w:eastAsia="Calibri"/>
                <w:b/>
                <w:szCs w:val="20"/>
              </w:rPr>
              <w:t xml:space="preserve">La Estrategia Nacional REDD+ establece el compromiso de </w:t>
            </w:r>
            <w:r w:rsidR="00F01D53" w:rsidRPr="009A27ED">
              <w:rPr>
                <w:rFonts w:eastAsia="Calibri"/>
                <w:b/>
                <w:szCs w:val="20"/>
              </w:rPr>
              <w:t xml:space="preserve">facilitar </w:t>
            </w:r>
            <w:r w:rsidRPr="009A27ED">
              <w:rPr>
                <w:rFonts w:eastAsia="Calibri"/>
                <w:b/>
                <w:szCs w:val="20"/>
              </w:rPr>
              <w:t>el acceso a la justicia a los actores relevantes a REDD</w:t>
            </w:r>
            <w:r w:rsidRPr="009A27ED">
              <w:rPr>
                <w:rFonts w:eastAsia="Calibri"/>
                <w:szCs w:val="20"/>
              </w:rPr>
              <w:t>+ y brindar especial atención a los grupos vulnerables en la implementación de las actividades REDD+ en el marco del marco nacional vigente.</w:t>
            </w:r>
          </w:p>
          <w:p w14:paraId="402D9DE4" w14:textId="743F8C5D" w:rsidR="00302CD1" w:rsidRPr="009A27ED" w:rsidRDefault="00302CD1" w:rsidP="00C97A18">
            <w:pPr>
              <w:autoSpaceDE w:val="0"/>
              <w:autoSpaceDN w:val="0"/>
              <w:adjustRightInd w:val="0"/>
              <w:rPr>
                <w:rFonts w:eastAsia="Calibri"/>
                <w:szCs w:val="20"/>
              </w:rPr>
            </w:pPr>
            <w:r w:rsidRPr="009A27ED">
              <w:rPr>
                <w:rFonts w:eastAsia="Calibri"/>
                <w:szCs w:val="20"/>
              </w:rPr>
              <w:t xml:space="preserve">Bajo el </w:t>
            </w:r>
            <w:r w:rsidR="00156D99" w:rsidRPr="009A27ED">
              <w:rPr>
                <w:rFonts w:eastAsia="Calibri"/>
                <w:szCs w:val="20"/>
              </w:rPr>
              <w:t xml:space="preserve">Sistema de Quejas, Reclamos y </w:t>
            </w:r>
            <w:r w:rsidR="001203E3" w:rsidRPr="009A27ED">
              <w:rPr>
                <w:rFonts w:eastAsia="Calibri"/>
                <w:szCs w:val="20"/>
              </w:rPr>
              <w:t>M</w:t>
            </w:r>
            <w:r w:rsidR="00156D99" w:rsidRPr="009A27ED">
              <w:rPr>
                <w:rFonts w:eastAsia="Calibri"/>
                <w:szCs w:val="20"/>
              </w:rPr>
              <w:t>anejo de Conflictos (SQRC)</w:t>
            </w:r>
            <w:r w:rsidRPr="009A27ED">
              <w:rPr>
                <w:rFonts w:eastAsia="Calibri"/>
                <w:szCs w:val="20"/>
              </w:rPr>
              <w:t xml:space="preserve"> para REDD+, se podrá acceder a la posibilidad de denunciar los ilícitos, recibir respuestas a sus inquietudes y obtener soluciones a los conflictos ocurridos en el contexto de la gestión forestal.</w:t>
            </w:r>
          </w:p>
        </w:tc>
      </w:tr>
      <w:tr w:rsidR="00302CD1" w:rsidRPr="009A27ED" w14:paraId="059DD64A" w14:textId="77777777" w:rsidTr="007D5516">
        <w:tc>
          <w:tcPr>
            <w:tcW w:w="4405" w:type="dxa"/>
            <w:shd w:val="clear" w:color="auto" w:fill="FFFFFF" w:themeFill="background1"/>
          </w:tcPr>
          <w:p w14:paraId="2A2763D0" w14:textId="77777777" w:rsidR="00302CD1" w:rsidRPr="009A27ED" w:rsidRDefault="00302CD1" w:rsidP="005C7914">
            <w:pPr>
              <w:contextualSpacing/>
              <w:rPr>
                <w:b/>
                <w:szCs w:val="20"/>
              </w:rPr>
            </w:pPr>
            <w:r w:rsidRPr="009A27ED">
              <w:rPr>
                <w:b/>
                <w:szCs w:val="20"/>
              </w:rPr>
              <w:t>Coordinación intersectorial</w:t>
            </w:r>
          </w:p>
          <w:p w14:paraId="442CDD3B" w14:textId="77777777" w:rsidR="00302CD1" w:rsidRPr="009A27ED" w:rsidRDefault="00302CD1" w:rsidP="005C7914">
            <w:pPr>
              <w:contextualSpacing/>
              <w:rPr>
                <w:szCs w:val="20"/>
              </w:rPr>
            </w:pPr>
            <w:r w:rsidRPr="009A27ED">
              <w:rPr>
                <w:szCs w:val="20"/>
              </w:rPr>
              <w:t>El Marco Legal define mecanismos concretos para apoyar y fomentar la coordinación intersectorial por ello la CPD</w:t>
            </w:r>
            <w:r w:rsidRPr="009A27ED">
              <w:rPr>
                <w:rStyle w:val="Refdenotaalfinal"/>
                <w:szCs w:val="20"/>
              </w:rPr>
              <w:endnoteReference w:id="54"/>
            </w:r>
            <w:r w:rsidRPr="009A27ED">
              <w:rPr>
                <w:szCs w:val="20"/>
              </w:rPr>
              <w:t>, La END</w:t>
            </w:r>
            <w:r w:rsidRPr="009A27ED">
              <w:rPr>
                <w:rStyle w:val="Refdenotaalfinal"/>
                <w:szCs w:val="20"/>
              </w:rPr>
              <w:endnoteReference w:id="55"/>
            </w:r>
            <w:r w:rsidRPr="009A27ED">
              <w:rPr>
                <w:szCs w:val="20"/>
              </w:rPr>
              <w:t xml:space="preserve"> y la Ley 64-00</w:t>
            </w:r>
            <w:r w:rsidRPr="009A27ED">
              <w:rPr>
                <w:rStyle w:val="Refdenotaalfinal"/>
                <w:szCs w:val="20"/>
              </w:rPr>
              <w:endnoteReference w:id="56"/>
            </w:r>
            <w:r w:rsidRPr="009A27ED">
              <w:rPr>
                <w:szCs w:val="20"/>
              </w:rPr>
              <w:t>, proponen mecanismos concretos para apoyar y fomentar la coordinación intersectorial.</w:t>
            </w:r>
          </w:p>
          <w:p w14:paraId="083002E5" w14:textId="77777777" w:rsidR="00302CD1" w:rsidRPr="009A27ED" w:rsidRDefault="00302CD1" w:rsidP="005C7914">
            <w:pPr>
              <w:contextualSpacing/>
              <w:rPr>
                <w:szCs w:val="20"/>
              </w:rPr>
            </w:pPr>
            <w:r w:rsidRPr="009A27ED">
              <w:rPr>
                <w:szCs w:val="20"/>
              </w:rPr>
              <w:t>El Marco Legal define funciones y responsabilidades claras y no contradictorias en las diferentes instituciones a cargo de la gestión forestal</w:t>
            </w:r>
            <w:r w:rsidRPr="009A27ED">
              <w:rPr>
                <w:bCs/>
                <w:szCs w:val="20"/>
              </w:rPr>
              <w:t xml:space="preserve"> y no existe </w:t>
            </w:r>
            <w:r w:rsidRPr="009A27ED">
              <w:rPr>
                <w:szCs w:val="20"/>
              </w:rPr>
              <w:t>funciones y responsabilidades contradictorias, porque las actividades de las diferentes instituciones se sujetan a las directrices del Ministerio de Medio Ambiente y Recursos Naturales, en lo relativo a la Gestión Forestal</w:t>
            </w:r>
            <w:r w:rsidRPr="009A27ED">
              <w:rPr>
                <w:rStyle w:val="Refdenotaalfinal"/>
                <w:szCs w:val="20"/>
              </w:rPr>
              <w:endnoteReference w:id="57"/>
            </w:r>
          </w:p>
          <w:p w14:paraId="34EBB23B" w14:textId="77777777" w:rsidR="00302CD1" w:rsidRPr="009A27ED" w:rsidRDefault="00302CD1" w:rsidP="005C7914">
            <w:pPr>
              <w:autoSpaceDE w:val="0"/>
              <w:autoSpaceDN w:val="0"/>
              <w:adjustRightInd w:val="0"/>
              <w:rPr>
                <w:rFonts w:eastAsia="Calibri"/>
                <w:b/>
                <w:szCs w:val="20"/>
              </w:rPr>
            </w:pPr>
            <w:r w:rsidRPr="009A27ED">
              <w:rPr>
                <w:szCs w:val="20"/>
              </w:rPr>
              <w:t xml:space="preserve">El Marco Legal define líneas claras de comunicación entre las diferentes instituciones a cargo de la gestión </w:t>
            </w:r>
            <w:r w:rsidRPr="009A27ED">
              <w:rPr>
                <w:szCs w:val="20"/>
              </w:rPr>
              <w:lastRenderedPageBreak/>
              <w:t>forestal y estas están definidas de forma jerárquica desde el mandato Constitucional, en las interacciones de los Ministerios de Medio Ambiente y Recursos Naturales y el Ministerio de Economía, Planificación y Desarrollo, con los órganos de gestión internas que esas instituciones administran</w:t>
            </w:r>
            <w:r w:rsidRPr="009A27ED">
              <w:rPr>
                <w:rStyle w:val="Refdenotaalfinal"/>
                <w:szCs w:val="20"/>
              </w:rPr>
              <w:endnoteReference w:id="58"/>
            </w:r>
            <w:r w:rsidRPr="009A27ED">
              <w:rPr>
                <w:szCs w:val="20"/>
              </w:rPr>
              <w:t xml:space="preserve">  º</w:t>
            </w:r>
          </w:p>
        </w:tc>
        <w:tc>
          <w:tcPr>
            <w:tcW w:w="4415" w:type="dxa"/>
            <w:shd w:val="clear" w:color="auto" w:fill="FFFFFF" w:themeFill="background1"/>
          </w:tcPr>
          <w:p w14:paraId="51214D43" w14:textId="77777777" w:rsidR="00302CD1" w:rsidRPr="009A27ED" w:rsidRDefault="00302CD1" w:rsidP="005C7914">
            <w:pPr>
              <w:keepNext/>
              <w:autoSpaceDE w:val="0"/>
              <w:autoSpaceDN w:val="0"/>
              <w:adjustRightInd w:val="0"/>
              <w:spacing w:after="0"/>
              <w:rPr>
                <w:rFonts w:eastAsia="Calibri"/>
                <w:szCs w:val="20"/>
              </w:rPr>
            </w:pPr>
            <w:r w:rsidRPr="009A27ED">
              <w:rPr>
                <w:rFonts w:eastAsia="Calibri"/>
                <w:b/>
                <w:szCs w:val="20"/>
              </w:rPr>
              <w:lastRenderedPageBreak/>
              <w:t xml:space="preserve">La Estrategia REDD+ define la gobernanza y los mecanismos de trabajo interinstitucional encargada de dar seguimiento a las actividades REDD+ </w:t>
            </w:r>
            <w:r w:rsidRPr="009A27ED">
              <w:rPr>
                <w:rFonts w:eastAsia="Calibri"/>
                <w:szCs w:val="20"/>
              </w:rPr>
              <w:t>y potencialmente las sinergias con otras comisiones o plataformas existentes y relevantes.</w:t>
            </w:r>
          </w:p>
        </w:tc>
      </w:tr>
    </w:tbl>
    <w:p w14:paraId="4D8504F6" w14:textId="1147A1AA" w:rsidR="00877E27" w:rsidRPr="009A27ED" w:rsidRDefault="00877E27" w:rsidP="00302CD1">
      <w:pPr>
        <w:spacing w:line="360" w:lineRule="auto"/>
      </w:pPr>
    </w:p>
    <w:p w14:paraId="64725584" w14:textId="77777777" w:rsidR="00302CD1" w:rsidRPr="009A27ED" w:rsidRDefault="00302CD1" w:rsidP="00302CD1">
      <w:pPr>
        <w:spacing w:line="360" w:lineRule="auto"/>
      </w:pPr>
    </w:p>
    <w:p w14:paraId="320B4DA6" w14:textId="3C687ACF" w:rsidR="00947670" w:rsidRPr="009A27ED" w:rsidRDefault="005D0285" w:rsidP="00B80189">
      <w:pPr>
        <w:pStyle w:val="Ttulo3"/>
        <w:numPr>
          <w:ilvl w:val="0"/>
          <w:numId w:val="0"/>
        </w:numPr>
        <w:spacing w:line="360" w:lineRule="auto"/>
        <w:ind w:left="720"/>
        <w:jc w:val="both"/>
      </w:pPr>
      <w:bookmarkStart w:id="202" w:name="_Toc111837940"/>
      <w:bookmarkStart w:id="203" w:name="_Toc529469996"/>
      <w:bookmarkStart w:id="204" w:name="_Toc532335859"/>
      <w:r w:rsidRPr="009A27ED">
        <w:rPr>
          <w:rFonts w:ascii="Times New Roman" w:eastAsia="Times New Roman" w:hAnsi="Times New Roman"/>
          <w:sz w:val="24"/>
        </w:rPr>
        <w:t xml:space="preserve">3.3.3 </w:t>
      </w:r>
      <w:r w:rsidR="00947670" w:rsidRPr="009A27ED">
        <w:rPr>
          <w:rFonts w:ascii="Times New Roman" w:eastAsia="Times New Roman" w:hAnsi="Times New Roman"/>
          <w:sz w:val="24"/>
        </w:rPr>
        <w:t>Salvaguarda C</w:t>
      </w:r>
      <w:bookmarkEnd w:id="202"/>
      <w:r w:rsidR="00947670" w:rsidRPr="009A27ED">
        <w:rPr>
          <w:rFonts w:ascii="Times New Roman" w:eastAsia="Times New Roman" w:hAnsi="Times New Roman"/>
          <w:sz w:val="24"/>
        </w:rPr>
        <w:t xml:space="preserve"> </w:t>
      </w:r>
      <w:bookmarkEnd w:id="203"/>
      <w:bookmarkEnd w:id="204"/>
    </w:p>
    <w:p w14:paraId="0F3C37DC" w14:textId="77777777" w:rsidR="00F43DB6" w:rsidRPr="009A27ED" w:rsidRDefault="00F43DB6" w:rsidP="00F43DB6">
      <w:pPr>
        <w:spacing w:line="360" w:lineRule="auto"/>
        <w:rPr>
          <w:lang w:val="es-DO"/>
        </w:rPr>
      </w:pPr>
    </w:p>
    <w:p w14:paraId="1263F621" w14:textId="131BB762" w:rsidR="00F43DB6" w:rsidRPr="009A27ED" w:rsidRDefault="00F43DB6" w:rsidP="00F43DB6">
      <w:pPr>
        <w:pStyle w:val="Descripcin"/>
        <w:keepNext/>
        <w:spacing w:line="360" w:lineRule="auto"/>
      </w:pPr>
      <w:bookmarkStart w:id="205" w:name="_Toc111887445"/>
      <w:r w:rsidRPr="009A27ED">
        <w:rPr>
          <w:rFonts w:ascii="Times New Roman" w:eastAsia="Times New Roman" w:hAnsi="Times New Roman"/>
          <w:sz w:val="24"/>
        </w:rPr>
        <w:t xml:space="preserve">Cuadro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Cuadro \* ARABIC </w:instrText>
      </w:r>
      <w:r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35</w:t>
      </w:r>
      <w:r w:rsidRPr="009A27ED">
        <w:rPr>
          <w:rFonts w:ascii="Times New Roman" w:eastAsia="Times New Roman" w:hAnsi="Times New Roman"/>
          <w:sz w:val="24"/>
        </w:rPr>
        <w:fldChar w:fldCharType="end"/>
      </w:r>
      <w:r w:rsidRPr="009A27ED">
        <w:rPr>
          <w:rFonts w:ascii="Times New Roman" w:eastAsia="Times New Roman" w:hAnsi="Times New Roman"/>
          <w:sz w:val="24"/>
        </w:rPr>
        <w:t>. Marco legal relevante para asegurar el cumplimiento de la salvaguarda b</w:t>
      </w:r>
      <w:bookmarkEnd w:id="205"/>
    </w:p>
    <w:tbl>
      <w:tblPr>
        <w:tblStyle w:val="TableGrid1"/>
        <w:tblpPr w:leftFromText="180" w:rightFromText="180" w:vertAnchor="text" w:horzAnchor="page" w:tblpX="1360" w:tblpY="144"/>
        <w:tblW w:w="9265" w:type="dxa"/>
        <w:shd w:val="clear" w:color="auto" w:fill="C2D69B"/>
        <w:tblLook w:val="04A0" w:firstRow="1" w:lastRow="0" w:firstColumn="1" w:lastColumn="0" w:noHBand="0" w:noVBand="1"/>
      </w:tblPr>
      <w:tblGrid>
        <w:gridCol w:w="9265"/>
      </w:tblGrid>
      <w:tr w:rsidR="00E3636E" w:rsidRPr="009A27ED" w14:paraId="26A2E3FE" w14:textId="77777777" w:rsidTr="00D42EDE">
        <w:trPr>
          <w:trHeight w:val="5636"/>
        </w:trPr>
        <w:tc>
          <w:tcPr>
            <w:tcW w:w="9265" w:type="dxa"/>
            <w:shd w:val="clear" w:color="auto" w:fill="auto"/>
          </w:tcPr>
          <w:p w14:paraId="162C3A35" w14:textId="77777777" w:rsidR="00E3636E" w:rsidRPr="009A27ED" w:rsidRDefault="00E3636E" w:rsidP="00D42EDE">
            <w:pPr>
              <w:rPr>
                <w:szCs w:val="20"/>
              </w:rPr>
            </w:pPr>
            <w:r w:rsidRPr="009A27ED">
              <w:rPr>
                <w:b/>
                <w:szCs w:val="20"/>
              </w:rPr>
              <w:t>Descripción de la salvaguarda:</w:t>
            </w:r>
            <w:r w:rsidRPr="009A27ED">
              <w:rPr>
                <w:szCs w:val="20"/>
              </w:rPr>
              <w:t xml:space="preserve"> “El respeto de los conocimientos y los derechos de los pueblos indígenas y los miembros de las comunidades locales, tomando en consideración las obligaciones internacionales pertinentes y las circunstancias y la legislación nacionales, y teniendo presente que la Asamblea General de las Naciones Unidas ha aprobado la Declaración de las Nación es Unidas sobre los derechos de los pueblos indígenas;”</w:t>
            </w:r>
          </w:p>
          <w:p w14:paraId="39C1C843" w14:textId="77777777" w:rsidR="00E3636E" w:rsidRPr="009A27ED" w:rsidRDefault="00E3636E" w:rsidP="00D42EDE">
            <w:pPr>
              <w:rPr>
                <w:szCs w:val="20"/>
              </w:rPr>
            </w:pPr>
            <w:r w:rsidRPr="009A27ED">
              <w:rPr>
                <w:b/>
                <w:szCs w:val="20"/>
              </w:rPr>
              <w:t>Interpretación de la salvaguarda (c) de la CMNUCCC en República Dominicana:</w:t>
            </w:r>
            <w:r w:rsidRPr="009A27ED">
              <w:rPr>
                <w:szCs w:val="20"/>
              </w:rPr>
              <w:t xml:space="preserve"> El reconocimiento y respeto de los derechos de las comunidades, así como el de los conocimientos tradicionales son garantizados en el contexto de aplicación de la Estrategia Nacional REDD+.</w:t>
            </w:r>
            <w:r w:rsidRPr="009A27ED">
              <w:rPr>
                <w:rStyle w:val="Refdenotaalfinal"/>
                <w:szCs w:val="20"/>
              </w:rPr>
              <w:endnoteReference w:id="59"/>
            </w:r>
            <w:r w:rsidRPr="009A27ED">
              <w:rPr>
                <w:szCs w:val="20"/>
              </w:rPr>
              <w:t xml:space="preserve"> </w:t>
            </w:r>
            <w:r w:rsidRPr="009A27ED">
              <w:rPr>
                <w:color w:val="000000"/>
                <w:szCs w:val="20"/>
                <w:lang w:val="es-ES_tradnl"/>
              </w:rPr>
              <w:t xml:space="preserve"> </w:t>
            </w:r>
          </w:p>
          <w:p w14:paraId="5A2C9758" w14:textId="77777777" w:rsidR="00E3636E" w:rsidRPr="009A27ED" w:rsidRDefault="00E3636E" w:rsidP="00D42EDE">
            <w:pPr>
              <w:pStyle w:val="Textosubrayado"/>
              <w:rPr>
                <w:b/>
                <w:szCs w:val="20"/>
                <w:u w:val="none"/>
              </w:rPr>
            </w:pPr>
            <w:r w:rsidRPr="009A27ED">
              <w:rPr>
                <w:b/>
                <w:szCs w:val="20"/>
                <w:u w:val="none"/>
              </w:rPr>
              <w:t xml:space="preserve">Instrumentos legales vigentes y relevantes para la salvaguarda c) REDD+ de la CMNUCC identificados: </w:t>
            </w:r>
          </w:p>
          <w:p w14:paraId="7BB6DF1C" w14:textId="77777777" w:rsidR="00E3636E" w:rsidRPr="009A27ED" w:rsidRDefault="00E3636E" w:rsidP="00D42802">
            <w:pPr>
              <w:pStyle w:val="Apunteoticket"/>
              <w:numPr>
                <w:ilvl w:val="1"/>
                <w:numId w:val="59"/>
              </w:numPr>
              <w:rPr>
                <w:rFonts w:cstheme="minorHAnsi"/>
                <w:szCs w:val="20"/>
              </w:rPr>
            </w:pPr>
            <w:r w:rsidRPr="009A27ED">
              <w:rPr>
                <w:rFonts w:cstheme="minorHAnsi"/>
                <w:szCs w:val="20"/>
              </w:rPr>
              <w:t>Constitución Política Dominicana (CPD)</w:t>
            </w:r>
          </w:p>
          <w:p w14:paraId="319A34B3" w14:textId="77777777" w:rsidR="00E3636E" w:rsidRPr="009A27ED" w:rsidRDefault="00E3636E" w:rsidP="00D42802">
            <w:pPr>
              <w:pStyle w:val="Apunteoticket"/>
              <w:numPr>
                <w:ilvl w:val="1"/>
                <w:numId w:val="59"/>
              </w:numPr>
              <w:rPr>
                <w:rFonts w:cstheme="minorHAnsi"/>
                <w:szCs w:val="20"/>
              </w:rPr>
            </w:pPr>
            <w:r w:rsidRPr="009A27ED">
              <w:rPr>
                <w:rFonts w:cstheme="minorHAnsi"/>
                <w:szCs w:val="20"/>
              </w:rPr>
              <w:t xml:space="preserve">Ley General sobre Medio Ambiente y Recursos Naturales (Ley No. 64-00) </w:t>
            </w:r>
          </w:p>
          <w:p w14:paraId="03E496DD" w14:textId="77777777" w:rsidR="00E3636E" w:rsidRPr="009A27ED" w:rsidRDefault="00E3636E" w:rsidP="00D42802">
            <w:pPr>
              <w:pStyle w:val="Apunteoticket"/>
              <w:numPr>
                <w:ilvl w:val="1"/>
                <w:numId w:val="59"/>
              </w:numPr>
              <w:rPr>
                <w:rFonts w:cstheme="minorHAnsi"/>
                <w:szCs w:val="20"/>
              </w:rPr>
            </w:pPr>
            <w:r w:rsidRPr="009A27ED">
              <w:rPr>
                <w:rFonts w:cstheme="minorHAnsi"/>
                <w:szCs w:val="20"/>
              </w:rPr>
              <w:t xml:space="preserve">Ley Sectorial de Áreas Protegidas (LSAP, Ley 202-04) </w:t>
            </w:r>
          </w:p>
          <w:p w14:paraId="737C5BF9" w14:textId="77777777" w:rsidR="00E3636E" w:rsidRPr="009A27ED" w:rsidRDefault="00E3636E" w:rsidP="00D42802">
            <w:pPr>
              <w:pStyle w:val="Apunteoticket"/>
              <w:numPr>
                <w:ilvl w:val="1"/>
                <w:numId w:val="59"/>
              </w:numPr>
              <w:rPr>
                <w:rFonts w:cstheme="minorHAnsi"/>
                <w:szCs w:val="20"/>
              </w:rPr>
            </w:pPr>
            <w:r w:rsidRPr="009A27ED">
              <w:rPr>
                <w:rFonts w:cstheme="minorHAnsi"/>
                <w:szCs w:val="20"/>
              </w:rPr>
              <w:t>Ley que crea la Secretaría de Estado de Economía, Planificación y Desarrollo (SEEPYD, Ley No. 496-06</w:t>
            </w:r>
          </w:p>
          <w:p w14:paraId="04E1486F" w14:textId="77777777" w:rsidR="00E3636E" w:rsidRPr="009A27ED" w:rsidRDefault="00E3636E" w:rsidP="00D42802">
            <w:pPr>
              <w:pStyle w:val="Apunteoticket"/>
              <w:numPr>
                <w:ilvl w:val="1"/>
                <w:numId w:val="59"/>
              </w:numPr>
              <w:rPr>
                <w:rFonts w:cstheme="minorHAnsi"/>
                <w:szCs w:val="20"/>
              </w:rPr>
            </w:pPr>
            <w:r w:rsidRPr="009A27ED">
              <w:rPr>
                <w:rFonts w:cstheme="minorHAnsi"/>
                <w:szCs w:val="20"/>
              </w:rPr>
              <w:t xml:space="preserve">Ley del Distrito Nacional y los Municipios (LDNM, Ley 176-07) </w:t>
            </w:r>
          </w:p>
          <w:p w14:paraId="51A4903B" w14:textId="77777777" w:rsidR="00E3636E" w:rsidRPr="009A27ED" w:rsidRDefault="00E3636E" w:rsidP="00D42802">
            <w:pPr>
              <w:pStyle w:val="Apunteoticket"/>
              <w:numPr>
                <w:ilvl w:val="1"/>
                <w:numId w:val="59"/>
              </w:numPr>
              <w:rPr>
                <w:rFonts w:cstheme="minorHAnsi"/>
                <w:szCs w:val="20"/>
              </w:rPr>
            </w:pPr>
            <w:r w:rsidRPr="009A27ED">
              <w:rPr>
                <w:rFonts w:cstheme="minorHAnsi"/>
                <w:szCs w:val="20"/>
              </w:rPr>
              <w:t>Ley de la Estrategia Nacional de Desarrollo de la República Dominicana 2030 (END, Ley No. 1-12)</w:t>
            </w:r>
          </w:p>
          <w:p w14:paraId="313E1355" w14:textId="77777777" w:rsidR="00E3636E" w:rsidRPr="009A27ED" w:rsidRDefault="00E3636E" w:rsidP="00D42802">
            <w:pPr>
              <w:pStyle w:val="Apunteoticket"/>
              <w:numPr>
                <w:ilvl w:val="1"/>
                <w:numId w:val="59"/>
              </w:numPr>
              <w:rPr>
                <w:rFonts w:cstheme="minorHAnsi"/>
                <w:szCs w:val="20"/>
              </w:rPr>
            </w:pPr>
            <w:r w:rsidRPr="009A27ED">
              <w:rPr>
                <w:rFonts w:cstheme="minorHAnsi"/>
                <w:szCs w:val="20"/>
              </w:rPr>
              <w:t>Ley Sectorial sobre Biodiversidad (LSSB, Ley No. 333-15)</w:t>
            </w:r>
          </w:p>
          <w:p w14:paraId="35786CEF" w14:textId="08BD3C3A" w:rsidR="00E3636E" w:rsidRPr="009A27ED" w:rsidRDefault="00E3636E" w:rsidP="00D42802">
            <w:pPr>
              <w:pStyle w:val="Apunteoticket"/>
              <w:numPr>
                <w:ilvl w:val="1"/>
                <w:numId w:val="59"/>
              </w:numPr>
              <w:rPr>
                <w:rFonts w:cstheme="minorHAnsi"/>
                <w:szCs w:val="20"/>
              </w:rPr>
            </w:pPr>
            <w:r w:rsidRPr="009A27ED">
              <w:rPr>
                <w:rFonts w:cstheme="minorHAnsi"/>
                <w:szCs w:val="20"/>
              </w:rPr>
              <w:t xml:space="preserve">Ley que crea la </w:t>
            </w:r>
            <w:r w:rsidR="000E23DD" w:rsidRPr="009A27ED">
              <w:rPr>
                <w:rFonts w:cstheme="minorHAnsi"/>
                <w:szCs w:val="20"/>
              </w:rPr>
              <w:t>secretaria</w:t>
            </w:r>
            <w:r w:rsidRPr="009A27ED">
              <w:rPr>
                <w:rFonts w:cstheme="minorHAnsi"/>
                <w:szCs w:val="20"/>
              </w:rPr>
              <w:t xml:space="preserve"> de Estado de Cultura (LSEC, Ley No. 41-00) </w:t>
            </w:r>
          </w:p>
          <w:p w14:paraId="67F7EA7C" w14:textId="77777777" w:rsidR="00E3636E" w:rsidRPr="009A27ED" w:rsidRDefault="00E3636E" w:rsidP="00D42802">
            <w:pPr>
              <w:pStyle w:val="Apunteoticket"/>
              <w:numPr>
                <w:ilvl w:val="1"/>
                <w:numId w:val="59"/>
              </w:numPr>
              <w:rPr>
                <w:rFonts w:cstheme="minorHAnsi"/>
                <w:szCs w:val="20"/>
              </w:rPr>
            </w:pPr>
            <w:r w:rsidRPr="009A27ED">
              <w:rPr>
                <w:rFonts w:cstheme="minorHAnsi"/>
                <w:szCs w:val="20"/>
              </w:rPr>
              <w:t>Ley para la Regulación y Fomento de las Asociaciones sin Fines de Lucro. en República Dominicana (LRFAFL, Ley 122-05)</w:t>
            </w:r>
          </w:p>
          <w:p w14:paraId="2CEB72D6" w14:textId="77777777" w:rsidR="00E3636E" w:rsidRPr="009A27ED" w:rsidRDefault="00E3636E" w:rsidP="00D42802">
            <w:pPr>
              <w:pStyle w:val="Apunteoticket"/>
              <w:numPr>
                <w:ilvl w:val="1"/>
                <w:numId w:val="59"/>
              </w:numPr>
              <w:rPr>
                <w:rFonts w:cstheme="minorHAnsi"/>
                <w:szCs w:val="20"/>
              </w:rPr>
            </w:pPr>
            <w:r w:rsidRPr="009A27ED">
              <w:rPr>
                <w:rFonts w:cstheme="minorHAnsi"/>
                <w:szCs w:val="20"/>
              </w:rPr>
              <w:t xml:space="preserve">Reglamento Forestal (RF) </w:t>
            </w:r>
          </w:p>
          <w:p w14:paraId="5FA142C6" w14:textId="77777777" w:rsidR="00E3636E" w:rsidRPr="009A27ED" w:rsidRDefault="00E3636E" w:rsidP="00D42802">
            <w:pPr>
              <w:pStyle w:val="Apunteoticket"/>
              <w:numPr>
                <w:ilvl w:val="1"/>
                <w:numId w:val="59"/>
              </w:numPr>
              <w:rPr>
                <w:rFonts w:cstheme="minorHAnsi"/>
                <w:szCs w:val="20"/>
              </w:rPr>
            </w:pPr>
            <w:r w:rsidRPr="009A27ED">
              <w:rPr>
                <w:rFonts w:cstheme="minorHAnsi"/>
                <w:szCs w:val="20"/>
              </w:rPr>
              <w:t xml:space="preserve">Normas Técnicas para Planes de Manejo Forestal (NTMF) </w:t>
            </w:r>
          </w:p>
          <w:p w14:paraId="488B8743" w14:textId="77777777" w:rsidR="00E3636E" w:rsidRPr="009A27ED" w:rsidRDefault="00E3636E" w:rsidP="00D42802">
            <w:pPr>
              <w:pStyle w:val="Apunteoticket"/>
              <w:numPr>
                <w:ilvl w:val="1"/>
                <w:numId w:val="59"/>
              </w:numPr>
              <w:rPr>
                <w:rFonts w:cstheme="minorHAnsi"/>
                <w:szCs w:val="20"/>
              </w:rPr>
            </w:pPr>
            <w:r w:rsidRPr="009A27ED">
              <w:rPr>
                <w:rFonts w:cstheme="minorHAnsi"/>
                <w:szCs w:val="20"/>
              </w:rPr>
              <w:t xml:space="preserve">Reglamento para el </w:t>
            </w:r>
            <w:proofErr w:type="spellStart"/>
            <w:r w:rsidRPr="009A27ED">
              <w:rPr>
                <w:rFonts w:cstheme="minorHAnsi"/>
                <w:szCs w:val="20"/>
              </w:rPr>
              <w:t>co-manejo</w:t>
            </w:r>
            <w:proofErr w:type="spellEnd"/>
            <w:r w:rsidRPr="009A27ED">
              <w:rPr>
                <w:rFonts w:cstheme="minorHAnsi"/>
                <w:szCs w:val="20"/>
              </w:rPr>
              <w:t xml:space="preserve"> de las Áreas Protegidas de la República Dominicana (RCMAP). </w:t>
            </w:r>
          </w:p>
          <w:p w14:paraId="2BD0ED4F" w14:textId="77777777" w:rsidR="00E3636E" w:rsidRPr="009A27ED" w:rsidRDefault="00E3636E" w:rsidP="00D42802">
            <w:pPr>
              <w:pStyle w:val="Apunteoticket"/>
              <w:numPr>
                <w:ilvl w:val="1"/>
                <w:numId w:val="59"/>
              </w:numPr>
              <w:rPr>
                <w:rFonts w:cstheme="minorHAnsi"/>
                <w:szCs w:val="20"/>
              </w:rPr>
            </w:pPr>
            <w:r w:rsidRPr="009A27ED">
              <w:rPr>
                <w:rFonts w:cstheme="minorHAnsi"/>
                <w:szCs w:val="20"/>
              </w:rPr>
              <w:t>Código Penal Dominicano.</w:t>
            </w:r>
          </w:p>
          <w:p w14:paraId="57AD18F2" w14:textId="543C9DB0" w:rsidR="00E3636E" w:rsidRPr="009A27ED" w:rsidRDefault="00E3636E" w:rsidP="00E3636E">
            <w:pPr>
              <w:autoSpaceDE w:val="0"/>
              <w:autoSpaceDN w:val="0"/>
              <w:adjustRightInd w:val="0"/>
              <w:spacing w:after="0"/>
              <w:rPr>
                <w:rFonts w:eastAsia="Calibri"/>
                <w:b/>
                <w:color w:val="FFFFFF" w:themeColor="background1"/>
                <w:szCs w:val="20"/>
              </w:rPr>
            </w:pPr>
          </w:p>
        </w:tc>
      </w:tr>
    </w:tbl>
    <w:p w14:paraId="6F3FA484" w14:textId="77777777" w:rsidR="00877E27" w:rsidRPr="009A27ED" w:rsidRDefault="00877E27">
      <w:pPr>
        <w:spacing w:line="360" w:lineRule="auto"/>
      </w:pPr>
      <w:r w:rsidRPr="009A27ED">
        <w:rPr>
          <w:rFonts w:ascii="Times New Roman" w:eastAsia="Times New Roman" w:hAnsi="Times New Roman"/>
          <w:sz w:val="24"/>
        </w:rPr>
        <w:br w:type="page"/>
      </w:r>
    </w:p>
    <w:tbl>
      <w:tblPr>
        <w:tblStyle w:val="TableGrid1"/>
        <w:tblpPr w:leftFromText="180" w:rightFromText="180" w:vertAnchor="text" w:horzAnchor="page" w:tblpX="1360" w:tblpY="144"/>
        <w:tblW w:w="9265" w:type="dxa"/>
        <w:shd w:val="clear" w:color="auto" w:fill="C2D69B"/>
        <w:tblLook w:val="04A0" w:firstRow="1" w:lastRow="0" w:firstColumn="1" w:lastColumn="0" w:noHBand="0" w:noVBand="1"/>
      </w:tblPr>
      <w:tblGrid>
        <w:gridCol w:w="4376"/>
        <w:gridCol w:w="4889"/>
      </w:tblGrid>
      <w:tr w:rsidR="00D83FE7" w:rsidRPr="009A27ED" w14:paraId="4B87DB34" w14:textId="77777777" w:rsidTr="00D42EDE">
        <w:trPr>
          <w:trHeight w:val="416"/>
        </w:trPr>
        <w:tc>
          <w:tcPr>
            <w:tcW w:w="4376" w:type="dxa"/>
            <w:shd w:val="clear" w:color="auto" w:fill="0070C0"/>
          </w:tcPr>
          <w:p w14:paraId="1D7CFA87" w14:textId="77861E27" w:rsidR="00D83FE7" w:rsidRPr="009A27ED" w:rsidRDefault="00E3636E" w:rsidP="00C56004">
            <w:pPr>
              <w:autoSpaceDE w:val="0"/>
              <w:autoSpaceDN w:val="0"/>
              <w:adjustRightInd w:val="0"/>
              <w:spacing w:after="0"/>
              <w:jc w:val="center"/>
              <w:rPr>
                <w:rFonts w:eastAsia="Calibri"/>
                <w:b/>
                <w:color w:val="FFFFFF" w:themeColor="background1"/>
                <w:szCs w:val="20"/>
              </w:rPr>
            </w:pPr>
            <w:r w:rsidRPr="009A27ED">
              <w:rPr>
                <w:rFonts w:eastAsia="Calibri"/>
                <w:b/>
                <w:color w:val="FFFFFF" w:themeColor="background1"/>
                <w:szCs w:val="20"/>
              </w:rPr>
              <w:lastRenderedPageBreak/>
              <w:t>Marco legal relevante para asegurar cumplimiento con la salvaguarda c</w:t>
            </w:r>
          </w:p>
        </w:tc>
        <w:tc>
          <w:tcPr>
            <w:tcW w:w="4889" w:type="dxa"/>
            <w:shd w:val="clear" w:color="auto" w:fill="0070C0"/>
          </w:tcPr>
          <w:p w14:paraId="5EA3C34A" w14:textId="347A53A3" w:rsidR="00D83FE7" w:rsidRPr="009A27ED" w:rsidRDefault="00E3636E" w:rsidP="00537573">
            <w:pPr>
              <w:autoSpaceDE w:val="0"/>
              <w:autoSpaceDN w:val="0"/>
              <w:adjustRightInd w:val="0"/>
              <w:spacing w:after="0"/>
              <w:jc w:val="center"/>
              <w:rPr>
                <w:rFonts w:eastAsia="Calibri"/>
                <w:b/>
                <w:color w:val="FFFFFF" w:themeColor="background1"/>
                <w:szCs w:val="20"/>
              </w:rPr>
            </w:pPr>
            <w:r w:rsidRPr="009A27ED">
              <w:rPr>
                <w:rFonts w:eastAsia="Calibri"/>
                <w:b/>
                <w:color w:val="FFFFFF" w:themeColor="background1"/>
                <w:szCs w:val="20"/>
              </w:rPr>
              <w:t>Medidas adicionales/recomendaciones</w:t>
            </w:r>
          </w:p>
        </w:tc>
      </w:tr>
      <w:tr w:rsidR="00947670" w:rsidRPr="009A27ED" w14:paraId="68256B6C" w14:textId="77777777" w:rsidTr="00D42EDE">
        <w:trPr>
          <w:trHeight w:val="6972"/>
        </w:trPr>
        <w:tc>
          <w:tcPr>
            <w:tcW w:w="4376" w:type="dxa"/>
            <w:shd w:val="clear" w:color="auto" w:fill="FFFFFF" w:themeFill="background1"/>
          </w:tcPr>
          <w:p w14:paraId="52114636" w14:textId="77777777" w:rsidR="00947670" w:rsidRPr="009A27ED" w:rsidRDefault="00947670" w:rsidP="00B14321">
            <w:pPr>
              <w:spacing w:after="0"/>
              <w:rPr>
                <w:b/>
                <w:szCs w:val="20"/>
              </w:rPr>
            </w:pPr>
            <w:r w:rsidRPr="009A27ED">
              <w:rPr>
                <w:b/>
                <w:szCs w:val="20"/>
              </w:rPr>
              <w:t>Reconocimiento de comunidades</w:t>
            </w:r>
          </w:p>
          <w:p w14:paraId="7BBF75A2" w14:textId="77777777" w:rsidR="00947670" w:rsidRPr="009A27ED" w:rsidRDefault="00947670" w:rsidP="00B14321">
            <w:pPr>
              <w:spacing w:after="0"/>
              <w:rPr>
                <w:szCs w:val="20"/>
              </w:rPr>
            </w:pPr>
            <w:r w:rsidRPr="009A27ED">
              <w:rPr>
                <w:szCs w:val="20"/>
              </w:rPr>
              <w:t xml:space="preserve">El marco legal prevé el término </w:t>
            </w:r>
            <w:r w:rsidRPr="009A27ED">
              <w:rPr>
                <w:b/>
                <w:szCs w:val="20"/>
              </w:rPr>
              <w:t>comunidades</w:t>
            </w:r>
            <w:r w:rsidRPr="009A27ED">
              <w:rPr>
                <w:szCs w:val="20"/>
              </w:rPr>
              <w:t xml:space="preserve"> en varias de las normativas como son la Ley 64-00</w:t>
            </w:r>
            <w:r w:rsidRPr="009A27ED">
              <w:rPr>
                <w:rStyle w:val="Refdenotaalfinal"/>
                <w:szCs w:val="20"/>
              </w:rPr>
              <w:endnoteReference w:id="60"/>
            </w:r>
            <w:r w:rsidRPr="009A27ED">
              <w:rPr>
                <w:szCs w:val="20"/>
              </w:rPr>
              <w:t>, la Ley 176-07</w:t>
            </w:r>
            <w:r w:rsidRPr="009A27ED">
              <w:rPr>
                <w:rStyle w:val="Refdenotaalfinal"/>
                <w:szCs w:val="20"/>
              </w:rPr>
              <w:endnoteReference w:id="61"/>
            </w:r>
            <w:r w:rsidRPr="009A27ED">
              <w:rPr>
                <w:szCs w:val="20"/>
              </w:rPr>
              <w:t xml:space="preserve"> y la END.</w:t>
            </w:r>
            <w:r w:rsidRPr="009A27ED">
              <w:rPr>
                <w:rStyle w:val="Refdenotaalfinal"/>
                <w:szCs w:val="20"/>
              </w:rPr>
              <w:endnoteReference w:id="62"/>
            </w:r>
            <w:r w:rsidRPr="009A27ED">
              <w:rPr>
                <w:szCs w:val="20"/>
              </w:rPr>
              <w:t xml:space="preserve"> Estos instrumentos se refieren a la libertad de los ciudadanos a utilizar los recursos naturales, a las comunidades y a la participación efectiva de las comunidades en el manejo de los asuntos públicos locales y en lo relativo a la cohesión territorial, al Manejo Sostenible del Medio Ambiente y al desarrollo de un eficaz sistema nacional de gestión integral de riesgos.</w:t>
            </w:r>
          </w:p>
          <w:p w14:paraId="7B10B6E4" w14:textId="0B395595" w:rsidR="00947670" w:rsidRPr="009A27ED" w:rsidRDefault="00947670" w:rsidP="00B14321">
            <w:pPr>
              <w:spacing w:after="0"/>
              <w:rPr>
                <w:szCs w:val="20"/>
              </w:rPr>
            </w:pPr>
            <w:r w:rsidRPr="009A27ED">
              <w:rPr>
                <w:szCs w:val="20"/>
              </w:rPr>
              <w:t>La Ley 64-00, Articulo 6,</w:t>
            </w:r>
            <w:r w:rsidRPr="009A27ED">
              <w:rPr>
                <w:rStyle w:val="Refdenotaalfinal"/>
                <w:szCs w:val="20"/>
              </w:rPr>
              <w:endnoteReference w:id="63"/>
            </w:r>
            <w:r w:rsidRPr="009A27ED">
              <w:rPr>
                <w:szCs w:val="20"/>
              </w:rPr>
              <w:t xml:space="preserve"> el Reglamento Forestal, Articulo 55 y el Reglamento para el </w:t>
            </w:r>
            <w:proofErr w:type="spellStart"/>
            <w:r w:rsidRPr="009A27ED">
              <w:rPr>
                <w:szCs w:val="20"/>
              </w:rPr>
              <w:t>co-manejo</w:t>
            </w:r>
            <w:proofErr w:type="spellEnd"/>
            <w:r w:rsidRPr="009A27ED">
              <w:rPr>
                <w:szCs w:val="20"/>
              </w:rPr>
              <w:t xml:space="preserve"> de las áreas protegidas en la República Dominicana, Articulo 13,</w:t>
            </w:r>
            <w:r w:rsidRPr="009A27ED">
              <w:rPr>
                <w:rStyle w:val="Refdenotaalfinal"/>
                <w:szCs w:val="20"/>
              </w:rPr>
              <w:endnoteReference w:id="64"/>
            </w:r>
            <w:r w:rsidRPr="009A27ED">
              <w:rPr>
                <w:szCs w:val="20"/>
              </w:rPr>
              <w:t xml:space="preserve"> hacen referencia a organizaciones comunitarias, lo que señala claramente la existencia de otros términos que se refieren a </w:t>
            </w:r>
            <w:r w:rsidR="00C101C7" w:rsidRPr="009A27ED">
              <w:rPr>
                <w:szCs w:val="20"/>
              </w:rPr>
              <w:t>los actores involucradas</w:t>
            </w:r>
            <w:r w:rsidRPr="009A27ED">
              <w:rPr>
                <w:szCs w:val="20"/>
              </w:rPr>
              <w:t xml:space="preserve"> que pueden también ser consideradas comunidades. </w:t>
            </w:r>
          </w:p>
          <w:p w14:paraId="1BC33511" w14:textId="77777777" w:rsidR="00877E27" w:rsidRPr="009A27ED" w:rsidRDefault="00877E27" w:rsidP="00877E27">
            <w:pPr>
              <w:spacing w:after="0"/>
              <w:rPr>
                <w:szCs w:val="20"/>
              </w:rPr>
            </w:pPr>
            <w:r w:rsidRPr="009A27ED">
              <w:rPr>
                <w:szCs w:val="20"/>
              </w:rPr>
              <w:t>En este caso sí existe una definición de organización comunitaria prevista en La ley 122-05 de Asociaciones sin Fines de Lucro</w:t>
            </w:r>
            <w:r w:rsidRPr="009A27ED">
              <w:rPr>
                <w:rStyle w:val="Refdenotaalfinal"/>
                <w:szCs w:val="20"/>
              </w:rPr>
              <w:endnoteReference w:id="65"/>
            </w:r>
            <w:r w:rsidRPr="009A27ED">
              <w:rPr>
                <w:szCs w:val="20"/>
              </w:rPr>
              <w:t xml:space="preserve"> hace referencia a las organizaciones comunitarias que se considerarán dentro de las Asociaciones de Beneficio Público o de Servicio a Terceras Personas y podrán ser, según su origen: a. Territoriales, b. Funcionales y c. Campesinas.</w:t>
            </w:r>
          </w:p>
          <w:p w14:paraId="2AD787A0" w14:textId="77777777" w:rsidR="00877E27" w:rsidRPr="009A27ED" w:rsidRDefault="00877E27" w:rsidP="00877E27">
            <w:pPr>
              <w:spacing w:after="0"/>
              <w:rPr>
                <w:szCs w:val="20"/>
              </w:rPr>
            </w:pPr>
            <w:r w:rsidRPr="009A27ED">
              <w:rPr>
                <w:szCs w:val="20"/>
              </w:rPr>
              <w:t>Existen figuras como comunidades campesinas u organizaciones de base.  Sin embargo, se prevé la figura de comunidades para referirse a un grupo de personas en particular, como un ejemplo de esto actualmente está en marcha el proyecto Bosque Seco, el cual prevé el manejo forestal comunitario en la zona sur del país, el mismo involucra a 19 comunidades locales de la zona franja fronteriza.</w:t>
            </w:r>
          </w:p>
          <w:p w14:paraId="4EA20917" w14:textId="77777777" w:rsidR="00947670" w:rsidRPr="009A27ED" w:rsidRDefault="00947670" w:rsidP="00877E27">
            <w:pPr>
              <w:spacing w:after="0"/>
              <w:rPr>
                <w:rFonts w:eastAsia="Calibri"/>
                <w:b/>
                <w:szCs w:val="20"/>
              </w:rPr>
            </w:pPr>
          </w:p>
        </w:tc>
        <w:tc>
          <w:tcPr>
            <w:tcW w:w="4889" w:type="dxa"/>
            <w:shd w:val="clear" w:color="auto" w:fill="FFFFFF" w:themeFill="background1"/>
          </w:tcPr>
          <w:p w14:paraId="73679754" w14:textId="44F8D37B" w:rsidR="00947670" w:rsidRPr="009A27ED" w:rsidRDefault="00947670" w:rsidP="00B14321">
            <w:pPr>
              <w:autoSpaceDE w:val="0"/>
              <w:autoSpaceDN w:val="0"/>
              <w:adjustRightInd w:val="0"/>
              <w:spacing w:after="0"/>
              <w:rPr>
                <w:rFonts w:eastAsia="Calibri"/>
                <w:b/>
                <w:szCs w:val="20"/>
              </w:rPr>
            </w:pPr>
            <w:r w:rsidRPr="009A27ED">
              <w:rPr>
                <w:rFonts w:eastAsia="Calibri"/>
                <w:szCs w:val="20"/>
              </w:rPr>
              <w:t xml:space="preserve">Se recomienda definir claramente quiénes estarán comprendidos dentro del término comunidades locales (previsto en el marco legal dominicano). </w:t>
            </w:r>
            <w:r w:rsidRPr="009A27ED">
              <w:rPr>
                <w:rFonts w:eastAsia="Calibri"/>
                <w:b/>
                <w:szCs w:val="20"/>
              </w:rPr>
              <w:t>Se sugiere, de acuerdo con el contexto de República Dominicana, incluir dentro de tal rubro a los grupos vulnerables a las actividades REDD+ como poblaciones locales</w:t>
            </w:r>
            <w:r w:rsidRPr="009A27ED">
              <w:rPr>
                <w:rFonts w:eastAsia="Calibri"/>
                <w:szCs w:val="20"/>
              </w:rPr>
              <w:t>, dependientes de los bosques, campesinos y pequeños productores y que dentro de la Estrategia Nacional de REDD+ se reconozca y garantice la protección de los conocimientos tradicionales de las poblaciones locales en RD, de conformidad con el marco legal.</w:t>
            </w:r>
          </w:p>
        </w:tc>
      </w:tr>
    </w:tbl>
    <w:p w14:paraId="562ACC64" w14:textId="77777777" w:rsidR="00877E27" w:rsidRPr="009A27ED" w:rsidRDefault="00877E27">
      <w:pPr>
        <w:spacing w:line="360" w:lineRule="auto"/>
      </w:pPr>
      <w:r w:rsidRPr="009A27ED">
        <w:rPr>
          <w:rFonts w:ascii="Times New Roman" w:eastAsia="Times New Roman" w:hAnsi="Times New Roman"/>
          <w:sz w:val="24"/>
        </w:rPr>
        <w:br w:type="page"/>
      </w:r>
    </w:p>
    <w:tbl>
      <w:tblPr>
        <w:tblStyle w:val="TableGrid1"/>
        <w:tblpPr w:leftFromText="180" w:rightFromText="180" w:vertAnchor="text" w:horzAnchor="page" w:tblpX="1360" w:tblpY="144"/>
        <w:tblW w:w="9265" w:type="dxa"/>
        <w:shd w:val="clear" w:color="auto" w:fill="C2D69B"/>
        <w:tblLook w:val="04A0" w:firstRow="1" w:lastRow="0" w:firstColumn="1" w:lastColumn="0" w:noHBand="0" w:noVBand="1"/>
      </w:tblPr>
      <w:tblGrid>
        <w:gridCol w:w="4376"/>
        <w:gridCol w:w="4889"/>
      </w:tblGrid>
      <w:tr w:rsidR="00947670" w:rsidRPr="009A27ED" w14:paraId="666045C3" w14:textId="77777777" w:rsidTr="00D42EDE">
        <w:trPr>
          <w:trHeight w:val="624"/>
        </w:trPr>
        <w:tc>
          <w:tcPr>
            <w:tcW w:w="4376" w:type="dxa"/>
            <w:shd w:val="clear" w:color="auto" w:fill="FFFFFF" w:themeFill="background1"/>
          </w:tcPr>
          <w:p w14:paraId="37CBDA24" w14:textId="73105F74" w:rsidR="00B14321" w:rsidRPr="009A27ED" w:rsidRDefault="00947670" w:rsidP="00B14321">
            <w:pPr>
              <w:autoSpaceDE w:val="0"/>
              <w:autoSpaceDN w:val="0"/>
              <w:adjustRightInd w:val="0"/>
              <w:spacing w:after="0"/>
              <w:rPr>
                <w:rFonts w:eastAsia="Calibri"/>
                <w:b/>
                <w:szCs w:val="20"/>
              </w:rPr>
            </w:pPr>
            <w:r w:rsidRPr="009A27ED">
              <w:rPr>
                <w:rFonts w:eastAsia="Calibri"/>
                <w:b/>
                <w:szCs w:val="20"/>
              </w:rPr>
              <w:lastRenderedPageBreak/>
              <w:t>Conocimientos tradicionales</w:t>
            </w:r>
          </w:p>
          <w:p w14:paraId="015FCF67" w14:textId="227C6A1A" w:rsidR="00947670" w:rsidRPr="009A27ED" w:rsidRDefault="00947670" w:rsidP="00B14321">
            <w:pPr>
              <w:autoSpaceDE w:val="0"/>
              <w:autoSpaceDN w:val="0"/>
              <w:adjustRightInd w:val="0"/>
              <w:spacing w:after="0"/>
              <w:rPr>
                <w:rFonts w:eastAsia="Calibri"/>
                <w:b/>
                <w:szCs w:val="20"/>
              </w:rPr>
            </w:pPr>
            <w:r w:rsidRPr="009A27ED">
              <w:rPr>
                <w:rFonts w:eastAsia="Calibri"/>
                <w:szCs w:val="20"/>
              </w:rPr>
              <w:t>La CPD</w:t>
            </w:r>
            <w:r w:rsidRPr="009A27ED">
              <w:rPr>
                <w:rFonts w:eastAsia="Calibri"/>
                <w:szCs w:val="20"/>
                <w:vertAlign w:val="superscript"/>
              </w:rPr>
              <w:endnoteReference w:id="66"/>
            </w:r>
            <w:r w:rsidRPr="009A27ED">
              <w:rPr>
                <w:rFonts w:eastAsia="Calibri"/>
                <w:szCs w:val="20"/>
              </w:rPr>
              <w:t xml:space="preserve"> reconoce el derecho a la propiedad intelectual lo cual incluye “obras científicas, literarias, artísticas, invenciones e innovaciones, denominaciones, marcas, signos distintivos y demás producciones del intelecto humano”. Respecto al término conocimientos tradicionales, La Ley Sectorial de Áreas Protegidas</w:t>
            </w:r>
            <w:r w:rsidRPr="009A27ED">
              <w:rPr>
                <w:rFonts w:eastAsia="Calibri"/>
                <w:szCs w:val="20"/>
                <w:vertAlign w:val="superscript"/>
              </w:rPr>
              <w:endnoteReference w:id="67"/>
            </w:r>
            <w:r w:rsidRPr="009A27ED">
              <w:rPr>
                <w:rFonts w:eastAsia="Calibri"/>
                <w:szCs w:val="20"/>
              </w:rPr>
              <w:t xml:space="preserve"> tiene como uno de sus objetivos proteger y regular los conocimientos tradicionales de las comunidades locales</w:t>
            </w:r>
            <w:r w:rsidRPr="009A27ED">
              <w:rPr>
                <w:rFonts w:eastAsia="Calibri"/>
                <w:szCs w:val="20"/>
                <w:vertAlign w:val="superscript"/>
              </w:rPr>
              <w:endnoteReference w:id="68"/>
            </w:r>
            <w:r w:rsidRPr="009A27ED">
              <w:rPr>
                <w:rFonts w:eastAsia="Calibri"/>
                <w:szCs w:val="20"/>
              </w:rPr>
              <w:t>.</w:t>
            </w:r>
          </w:p>
          <w:p w14:paraId="53A44D33" w14:textId="77777777" w:rsidR="00947670" w:rsidRPr="009A27ED" w:rsidRDefault="00947670" w:rsidP="00B14321">
            <w:pPr>
              <w:autoSpaceDE w:val="0"/>
              <w:autoSpaceDN w:val="0"/>
              <w:adjustRightInd w:val="0"/>
              <w:spacing w:after="0"/>
              <w:rPr>
                <w:rFonts w:eastAsia="Calibri"/>
                <w:szCs w:val="20"/>
              </w:rPr>
            </w:pPr>
            <w:r w:rsidRPr="009A27ED">
              <w:rPr>
                <w:rFonts w:eastAsia="Calibri"/>
                <w:szCs w:val="20"/>
              </w:rPr>
              <w:t>De conformidad con la Ley 64-00 corresponde al Ministerio de Medio Ambiente y Recursos Naturales proponer las políticas de acceso sobre los recursos genéticos y sus derivados, participación justa y equitativa de los beneficios que se deriven de su utilización de la biodiversidad, actuar como órgano de consulta obligatoria en los procedimientos de solicitud de protección de los derechos intelectuales sobre la biodiversidad, y los conocimientos tradicionales asociados a los recursos genéticos</w:t>
            </w:r>
            <w:r w:rsidRPr="009A27ED">
              <w:rPr>
                <w:rFonts w:eastAsia="Calibri"/>
                <w:szCs w:val="20"/>
                <w:vertAlign w:val="superscript"/>
              </w:rPr>
              <w:endnoteReference w:id="69"/>
            </w:r>
            <w:r w:rsidRPr="009A27ED">
              <w:rPr>
                <w:rFonts w:eastAsia="Calibri"/>
                <w:szCs w:val="20"/>
              </w:rPr>
              <w:t>. En la práctica algunos de los conocimientos tradicionales se encuentran protegidos bajo la figura de protección de los servicios culturales dentro servicios ecosistémicos, se identificó un vacío al respecto porque el marco legal no define a los conocimientos tradicionales de comunidades locales</w:t>
            </w:r>
            <w:r w:rsidRPr="009A27ED">
              <w:rPr>
                <w:rFonts w:eastAsia="Calibri"/>
                <w:szCs w:val="20"/>
                <w:vertAlign w:val="superscript"/>
              </w:rPr>
              <w:endnoteReference w:id="70"/>
            </w:r>
            <w:r w:rsidRPr="009A27ED">
              <w:rPr>
                <w:rFonts w:eastAsia="Calibri"/>
                <w:szCs w:val="20"/>
              </w:rPr>
              <w:t>.</w:t>
            </w:r>
          </w:p>
        </w:tc>
        <w:tc>
          <w:tcPr>
            <w:tcW w:w="4889" w:type="dxa"/>
            <w:shd w:val="clear" w:color="auto" w:fill="FFFFFF" w:themeFill="background1"/>
          </w:tcPr>
          <w:p w14:paraId="613292DD" w14:textId="46A7A66E" w:rsidR="00947670" w:rsidRPr="009A27ED" w:rsidRDefault="0007180C" w:rsidP="00B14321">
            <w:pPr>
              <w:autoSpaceDE w:val="0"/>
              <w:autoSpaceDN w:val="0"/>
              <w:adjustRightInd w:val="0"/>
              <w:spacing w:after="0"/>
              <w:rPr>
                <w:rFonts w:eastAsia="Calibri"/>
                <w:szCs w:val="20"/>
              </w:rPr>
            </w:pPr>
            <w:r w:rsidRPr="009A27ED">
              <w:rPr>
                <w:rFonts w:eastAsia="Calibri"/>
                <w:szCs w:val="20"/>
              </w:rPr>
              <w:t xml:space="preserve">Se </w:t>
            </w:r>
            <w:r w:rsidR="00C56004" w:rsidRPr="009A27ED">
              <w:rPr>
                <w:rFonts w:eastAsia="Calibri"/>
                <w:szCs w:val="20"/>
              </w:rPr>
              <w:t>considerarán</w:t>
            </w:r>
            <w:r w:rsidRPr="009A27ED">
              <w:rPr>
                <w:rFonts w:eastAsia="Calibri"/>
                <w:szCs w:val="20"/>
              </w:rPr>
              <w:t xml:space="preserve"> y </w:t>
            </w:r>
            <w:r w:rsidR="00C56004" w:rsidRPr="009A27ED">
              <w:rPr>
                <w:rFonts w:eastAsia="Calibri"/>
                <w:szCs w:val="20"/>
              </w:rPr>
              <w:t>respetarán</w:t>
            </w:r>
            <w:r w:rsidRPr="009A27ED">
              <w:rPr>
                <w:rFonts w:eastAsia="Calibri"/>
                <w:szCs w:val="20"/>
              </w:rPr>
              <w:t xml:space="preserve"> los conocimientos tradicionales en el marco de las intervenciones REDD+. Los programas y proyectos obtendrán </w:t>
            </w:r>
            <w:proofErr w:type="gramStart"/>
            <w:r w:rsidR="00947670" w:rsidRPr="009A27ED">
              <w:rPr>
                <w:rFonts w:eastAsia="Calibri"/>
                <w:szCs w:val="20"/>
              </w:rPr>
              <w:t>mayor información</w:t>
            </w:r>
            <w:proofErr w:type="gramEnd"/>
            <w:r w:rsidR="00947670" w:rsidRPr="009A27ED">
              <w:rPr>
                <w:rFonts w:eastAsia="Calibri"/>
                <w:szCs w:val="20"/>
              </w:rPr>
              <w:t xml:space="preserve"> sobre su contexto, circunstancias, contexto y grado de dependencia con el bosque, para poder tomar medidas en consecuencia y aclarar el alcance del término comunidades locales y se sugiere operacionalizar lo relativo a la protección de los conocimientos tradicionales promoviendo el usos y prácticas tradicionales de las poblaciones locales. </w:t>
            </w:r>
          </w:p>
          <w:p w14:paraId="6C391ED2" w14:textId="77777777" w:rsidR="00947670" w:rsidRPr="009A27ED" w:rsidRDefault="00947670" w:rsidP="00B14321">
            <w:pPr>
              <w:autoSpaceDE w:val="0"/>
              <w:autoSpaceDN w:val="0"/>
              <w:adjustRightInd w:val="0"/>
              <w:spacing w:after="0"/>
              <w:rPr>
                <w:rFonts w:eastAsia="Calibri"/>
                <w:b/>
                <w:szCs w:val="20"/>
              </w:rPr>
            </w:pPr>
          </w:p>
        </w:tc>
      </w:tr>
      <w:tr w:rsidR="00947670" w:rsidRPr="009A27ED" w14:paraId="22E0A746" w14:textId="77777777" w:rsidTr="00D42EDE">
        <w:trPr>
          <w:trHeight w:val="3550"/>
        </w:trPr>
        <w:tc>
          <w:tcPr>
            <w:tcW w:w="4376" w:type="dxa"/>
            <w:shd w:val="clear" w:color="auto" w:fill="FFFFFF" w:themeFill="background1"/>
          </w:tcPr>
          <w:p w14:paraId="16614433" w14:textId="77777777" w:rsidR="00947670" w:rsidRPr="009A27ED" w:rsidRDefault="00947670" w:rsidP="00B14321">
            <w:pPr>
              <w:autoSpaceDE w:val="0"/>
              <w:autoSpaceDN w:val="0"/>
              <w:adjustRightInd w:val="0"/>
              <w:spacing w:after="0"/>
              <w:rPr>
                <w:rFonts w:eastAsia="Calibri"/>
                <w:b/>
                <w:szCs w:val="20"/>
              </w:rPr>
            </w:pPr>
            <w:r w:rsidRPr="009A27ED">
              <w:rPr>
                <w:rFonts w:eastAsia="Calibri"/>
                <w:b/>
                <w:szCs w:val="20"/>
              </w:rPr>
              <w:t>Reconocimiento e Implementación de los derechos de las comunidades locales</w:t>
            </w:r>
          </w:p>
          <w:p w14:paraId="17A28B0B" w14:textId="77777777" w:rsidR="00947670" w:rsidRPr="009A27ED" w:rsidRDefault="00947670" w:rsidP="00B14321">
            <w:pPr>
              <w:autoSpaceDE w:val="0"/>
              <w:autoSpaceDN w:val="0"/>
              <w:adjustRightInd w:val="0"/>
              <w:spacing w:after="0"/>
              <w:rPr>
                <w:rFonts w:eastAsia="Calibri"/>
                <w:szCs w:val="20"/>
              </w:rPr>
            </w:pPr>
            <w:r w:rsidRPr="009A27ED">
              <w:rPr>
                <w:rFonts w:eastAsia="Calibri"/>
                <w:szCs w:val="20"/>
              </w:rPr>
              <w:t>El marco legal reconoce la aplicación tanto de los derechos humanos, como de los derechos de las comunidades , se protege a las comunidades locales sin discriminación, porque la CPD reconoce y protege el derecho a la igualdad y la no discriminación para todos los dominicanos , pero solo a nivel de política, es decir no coercitivo, la Ley que establece la Estrategia Nacional de Desarrollo  indica que todos los planes, programas, proyectos y políticas públicas deberán incorporar el enfoque de derechos humanos en sus respectivos ámbitos de actuación, a fin de identificar situaciones de vulneración de derechos, de discriminación o exclusión de grupos vulnerables de la población y adoptar acciones que contribuyan a la equidad y cohesión social.</w:t>
            </w:r>
          </w:p>
          <w:p w14:paraId="51BCD600" w14:textId="77777777" w:rsidR="00947670" w:rsidRPr="009A27ED" w:rsidRDefault="00947670" w:rsidP="00B14321">
            <w:pPr>
              <w:autoSpaceDE w:val="0"/>
              <w:autoSpaceDN w:val="0"/>
              <w:adjustRightInd w:val="0"/>
              <w:spacing w:after="0"/>
              <w:rPr>
                <w:rFonts w:eastAsia="Calibri"/>
                <w:b/>
                <w:szCs w:val="20"/>
              </w:rPr>
            </w:pPr>
            <w:r w:rsidRPr="009A27ED">
              <w:rPr>
                <w:rFonts w:eastAsia="Calibri"/>
                <w:szCs w:val="20"/>
              </w:rPr>
              <w:t>En cuanto a los derechos de las comunidades locales, las NTMF requieren el respeto de sus derechos en el manejo del bosque de acuerdo con las leyes del país y convenciones internacionales, pero, aunque el término comunidades es exactamente el empleado en RD y aunque, el Marco Legal no proporciona una definición clara se debe promover la atención y el reconocimiento y protección especial de los grupos vulnerables dependientes de los bosques.</w:t>
            </w:r>
          </w:p>
        </w:tc>
        <w:tc>
          <w:tcPr>
            <w:tcW w:w="4889" w:type="dxa"/>
            <w:shd w:val="clear" w:color="auto" w:fill="FFFFFF" w:themeFill="background1"/>
          </w:tcPr>
          <w:p w14:paraId="171F327D" w14:textId="269B4AB5" w:rsidR="00421F40" w:rsidRPr="009A27ED" w:rsidRDefault="00421F40" w:rsidP="00C97A18">
            <w:pPr>
              <w:autoSpaceDE w:val="0"/>
              <w:autoSpaceDN w:val="0"/>
              <w:adjustRightInd w:val="0"/>
              <w:spacing w:after="0"/>
              <w:rPr>
                <w:rFonts w:eastAsia="Calibri"/>
                <w:bCs/>
                <w:szCs w:val="20"/>
              </w:rPr>
            </w:pPr>
            <w:r w:rsidRPr="009A27ED">
              <w:rPr>
                <w:rFonts w:eastAsia="Calibri"/>
                <w:bCs/>
                <w:szCs w:val="20"/>
              </w:rPr>
              <w:t>Aplicar los instrumentos de quejas, reclamos y manejo de conflictos, como medio para que las personas puedan presentar cualquier demanda sobre vulneración de derechos</w:t>
            </w:r>
            <w:r w:rsidR="00240A17" w:rsidRPr="009A27ED">
              <w:rPr>
                <w:rFonts w:eastAsia="Calibri"/>
                <w:bCs/>
                <w:szCs w:val="20"/>
              </w:rPr>
              <w:t xml:space="preserve">, de discriminación o exclusión. Para esto se hará público en la página de ministerio de medio ambiente el Sistema de Quejas, Reclamos y Manejo de Conflictos (SQRC). </w:t>
            </w:r>
          </w:p>
        </w:tc>
      </w:tr>
    </w:tbl>
    <w:p w14:paraId="512A56B5" w14:textId="68C2C8F0" w:rsidR="00877E27" w:rsidRPr="009A27ED" w:rsidRDefault="00877E27" w:rsidP="00B76DE6">
      <w:pPr>
        <w:pStyle w:val="Aparrafopunteo"/>
        <w:numPr>
          <w:ilvl w:val="0"/>
          <w:numId w:val="0"/>
        </w:numPr>
        <w:spacing w:line="360" w:lineRule="auto"/>
        <w:ind w:left="425" w:hanging="360"/>
      </w:pPr>
      <w:bookmarkStart w:id="206" w:name="_Toc529469997"/>
      <w:bookmarkStart w:id="207" w:name="_Toc532335860"/>
    </w:p>
    <w:p w14:paraId="673501DB" w14:textId="77777777" w:rsidR="005936A7" w:rsidRPr="009A27ED" w:rsidRDefault="005936A7">
      <w:pPr>
        <w:spacing w:after="160" w:line="360" w:lineRule="auto"/>
        <w:rPr>
          <w:rFonts w:asciiTheme="majorHAnsi" w:eastAsiaTheme="majorEastAsia" w:hAnsiTheme="majorHAnsi" w:cstheme="majorBidi"/>
          <w:b/>
          <w:lang w:val="es-DO"/>
        </w:rPr>
      </w:pPr>
      <w:r w:rsidRPr="009A27ED">
        <w:rPr>
          <w:rFonts w:ascii="Times New Roman" w:eastAsia="Times New Roman" w:hAnsi="Times New Roman"/>
          <w:sz w:val="24"/>
        </w:rPr>
        <w:br w:type="page"/>
      </w:r>
    </w:p>
    <w:p w14:paraId="1F7DF54F" w14:textId="14CCDB7D" w:rsidR="00947670" w:rsidRPr="009A27ED" w:rsidRDefault="005D0285" w:rsidP="00B80189">
      <w:pPr>
        <w:pStyle w:val="Ttulo3"/>
        <w:numPr>
          <w:ilvl w:val="0"/>
          <w:numId w:val="0"/>
        </w:numPr>
        <w:spacing w:line="360" w:lineRule="auto"/>
        <w:ind w:left="720"/>
        <w:jc w:val="both"/>
      </w:pPr>
      <w:bookmarkStart w:id="208" w:name="_Toc111837941"/>
      <w:r w:rsidRPr="009A27ED">
        <w:rPr>
          <w:rFonts w:ascii="Times New Roman" w:eastAsia="Times New Roman" w:hAnsi="Times New Roman"/>
          <w:sz w:val="24"/>
        </w:rPr>
        <w:lastRenderedPageBreak/>
        <w:t xml:space="preserve">.3.4 </w:t>
      </w:r>
      <w:r w:rsidR="006763DC" w:rsidRPr="009A27ED">
        <w:rPr>
          <w:rFonts w:ascii="Times New Roman" w:eastAsia="Times New Roman" w:hAnsi="Times New Roman"/>
          <w:sz w:val="24"/>
        </w:rPr>
        <w:t>S</w:t>
      </w:r>
      <w:r w:rsidR="00947670" w:rsidRPr="009A27ED">
        <w:rPr>
          <w:rFonts w:ascii="Times New Roman" w:eastAsia="Times New Roman" w:hAnsi="Times New Roman"/>
          <w:sz w:val="24"/>
        </w:rPr>
        <w:t>alvaguarda D</w:t>
      </w:r>
      <w:bookmarkEnd w:id="208"/>
      <w:r w:rsidR="00947670" w:rsidRPr="009A27ED">
        <w:rPr>
          <w:rFonts w:ascii="Times New Roman" w:eastAsia="Times New Roman" w:hAnsi="Times New Roman"/>
          <w:sz w:val="24"/>
        </w:rPr>
        <w:t xml:space="preserve"> </w:t>
      </w:r>
      <w:bookmarkEnd w:id="206"/>
      <w:bookmarkEnd w:id="207"/>
    </w:p>
    <w:p w14:paraId="120D0229" w14:textId="77777777" w:rsidR="00F43DB6" w:rsidRPr="009A27ED" w:rsidRDefault="00F43DB6" w:rsidP="00F43DB6">
      <w:pPr>
        <w:spacing w:line="360" w:lineRule="auto"/>
        <w:rPr>
          <w:lang w:val="es-DO"/>
        </w:rPr>
      </w:pPr>
    </w:p>
    <w:p w14:paraId="7220FBC1" w14:textId="63B9202F" w:rsidR="00F43DB6" w:rsidRPr="009A27ED" w:rsidRDefault="00F43DB6" w:rsidP="00F43DB6">
      <w:pPr>
        <w:pStyle w:val="Descripcin"/>
        <w:keepNext/>
        <w:spacing w:line="360" w:lineRule="auto"/>
      </w:pPr>
      <w:bookmarkStart w:id="209" w:name="_Toc111887446"/>
      <w:r w:rsidRPr="009A27ED">
        <w:rPr>
          <w:rFonts w:ascii="Times New Roman" w:eastAsia="Times New Roman" w:hAnsi="Times New Roman"/>
          <w:sz w:val="24"/>
        </w:rPr>
        <w:t xml:space="preserve">Cuadro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Cuadro \* ARABIC </w:instrText>
      </w:r>
      <w:r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36</w:t>
      </w:r>
      <w:r w:rsidRPr="009A27ED">
        <w:rPr>
          <w:rFonts w:ascii="Times New Roman" w:eastAsia="Times New Roman" w:hAnsi="Times New Roman"/>
          <w:sz w:val="24"/>
        </w:rPr>
        <w:fldChar w:fldCharType="end"/>
      </w:r>
      <w:r w:rsidRPr="009A27ED">
        <w:rPr>
          <w:rFonts w:ascii="Times New Roman" w:eastAsia="Times New Roman" w:hAnsi="Times New Roman"/>
          <w:sz w:val="24"/>
        </w:rPr>
        <w:t>. Marco legal relevante para asegurar el cumplimiento de la salvaguarda c</w:t>
      </w:r>
      <w:bookmarkEnd w:id="209"/>
    </w:p>
    <w:tbl>
      <w:tblPr>
        <w:tblStyle w:val="Tablaconcuadrcula"/>
        <w:tblW w:w="0" w:type="auto"/>
        <w:tblLook w:val="04A0" w:firstRow="1" w:lastRow="0" w:firstColumn="1" w:lastColumn="0" w:noHBand="0" w:noVBand="1"/>
      </w:tblPr>
      <w:tblGrid>
        <w:gridCol w:w="4525"/>
        <w:gridCol w:w="4525"/>
      </w:tblGrid>
      <w:tr w:rsidR="00877E27" w:rsidRPr="009A27ED" w14:paraId="785946FD" w14:textId="77777777" w:rsidTr="0088302F">
        <w:tc>
          <w:tcPr>
            <w:tcW w:w="9050" w:type="dxa"/>
            <w:gridSpan w:val="2"/>
            <w:shd w:val="clear" w:color="auto" w:fill="auto"/>
          </w:tcPr>
          <w:p w14:paraId="47694B0E" w14:textId="77777777" w:rsidR="00877E27" w:rsidRPr="009A27ED" w:rsidRDefault="00877E27" w:rsidP="00877E27">
            <w:pPr>
              <w:rPr>
                <w:sz w:val="20"/>
                <w:szCs w:val="20"/>
              </w:rPr>
            </w:pPr>
            <w:r w:rsidRPr="009A27ED">
              <w:rPr>
                <w:b/>
                <w:sz w:val="20"/>
                <w:szCs w:val="20"/>
              </w:rPr>
              <w:t>Descripción de la salvaguarda:</w:t>
            </w:r>
            <w:r w:rsidRPr="009A27ED">
              <w:rPr>
                <w:sz w:val="20"/>
                <w:szCs w:val="20"/>
              </w:rPr>
              <w:t xml:space="preserve">  La participación plena y efectiva de las múltiples partes interesadas (actores involucrados), en particular, la de los pueblos indígenas y las comunidades locales, en las acciones mencionadas en los párrafos 70 y 72 de la presente decisión.</w:t>
            </w:r>
          </w:p>
          <w:p w14:paraId="2D713F6A" w14:textId="77777777" w:rsidR="00877E27" w:rsidRPr="009A27ED" w:rsidRDefault="00877E27" w:rsidP="00877E27">
            <w:pPr>
              <w:rPr>
                <w:sz w:val="20"/>
                <w:szCs w:val="20"/>
              </w:rPr>
            </w:pPr>
            <w:r w:rsidRPr="009A27ED">
              <w:rPr>
                <w:b/>
                <w:sz w:val="20"/>
                <w:szCs w:val="20"/>
              </w:rPr>
              <w:t>Interpretación de la salvaguarda (d) de la CMNUCCC en República Dominicana:</w:t>
            </w:r>
            <w:r w:rsidRPr="009A27ED">
              <w:rPr>
                <w:sz w:val="20"/>
                <w:szCs w:val="20"/>
              </w:rPr>
              <w:t xml:space="preserve"> Se reconoce el derecho a participar y se garantiza la participación plena y efectiva, con equidad de género, de los actores involucrados, en particular de las comunidades a través de mecanismos y procedimientos adecuados y culturalmente apropiados en contexto de aplicación de la Estrategia Nacional REDD+.</w:t>
            </w:r>
          </w:p>
          <w:p w14:paraId="6C9A8B7D" w14:textId="77777777" w:rsidR="00877E27" w:rsidRPr="009A27ED" w:rsidRDefault="00877E27" w:rsidP="00877E27">
            <w:pPr>
              <w:pStyle w:val="Textosubrayado"/>
              <w:rPr>
                <w:b/>
                <w:sz w:val="20"/>
                <w:szCs w:val="20"/>
                <w:u w:val="none"/>
              </w:rPr>
            </w:pPr>
            <w:r w:rsidRPr="009A27ED">
              <w:rPr>
                <w:b/>
                <w:sz w:val="20"/>
                <w:szCs w:val="20"/>
                <w:u w:val="none"/>
              </w:rPr>
              <w:t xml:space="preserve">Instrumentos legales vigentes y relevantes para la salvaguarda d) REDD+ de la CMNUCC identificados: </w:t>
            </w:r>
          </w:p>
          <w:p w14:paraId="7FE62D46" w14:textId="77777777" w:rsidR="00877E27" w:rsidRPr="009A27ED" w:rsidRDefault="00877E27" w:rsidP="00877E27">
            <w:pPr>
              <w:pStyle w:val="Apunteoticket"/>
              <w:numPr>
                <w:ilvl w:val="1"/>
                <w:numId w:val="60"/>
              </w:numPr>
              <w:rPr>
                <w:rFonts w:cstheme="minorHAnsi"/>
                <w:sz w:val="20"/>
                <w:szCs w:val="20"/>
              </w:rPr>
            </w:pPr>
            <w:r w:rsidRPr="009A27ED">
              <w:rPr>
                <w:rFonts w:cstheme="minorHAnsi"/>
                <w:sz w:val="20"/>
                <w:szCs w:val="20"/>
              </w:rPr>
              <w:t xml:space="preserve">Constitución Política Dominicana (CPD) </w:t>
            </w:r>
          </w:p>
          <w:p w14:paraId="3C63C1CD" w14:textId="77777777" w:rsidR="00877E27" w:rsidRPr="009A27ED" w:rsidRDefault="00877E27" w:rsidP="00877E27">
            <w:pPr>
              <w:pStyle w:val="Apunteoticket"/>
              <w:numPr>
                <w:ilvl w:val="1"/>
                <w:numId w:val="60"/>
              </w:numPr>
              <w:rPr>
                <w:rFonts w:cstheme="minorHAnsi"/>
                <w:sz w:val="20"/>
                <w:szCs w:val="20"/>
              </w:rPr>
            </w:pPr>
            <w:r w:rsidRPr="009A27ED">
              <w:rPr>
                <w:rFonts w:cstheme="minorHAnsi"/>
                <w:sz w:val="20"/>
                <w:szCs w:val="20"/>
              </w:rPr>
              <w:t xml:space="preserve">Ley de Planificación e Inversión Pública (LPIP, Ley 498-06) </w:t>
            </w:r>
          </w:p>
          <w:p w14:paraId="5A0EBA8D" w14:textId="77777777" w:rsidR="00877E27" w:rsidRPr="009A27ED" w:rsidRDefault="00877E27" w:rsidP="00877E27">
            <w:pPr>
              <w:pStyle w:val="Apunteoticket"/>
              <w:numPr>
                <w:ilvl w:val="1"/>
                <w:numId w:val="60"/>
              </w:numPr>
              <w:rPr>
                <w:rFonts w:cstheme="minorHAnsi"/>
                <w:sz w:val="20"/>
                <w:szCs w:val="20"/>
              </w:rPr>
            </w:pPr>
            <w:r w:rsidRPr="009A27ED">
              <w:rPr>
                <w:rFonts w:cstheme="minorHAnsi"/>
                <w:sz w:val="20"/>
                <w:szCs w:val="20"/>
              </w:rPr>
              <w:t xml:space="preserve">Ley Orgánica de Administración Pública (LOAP, Ley 247-12) </w:t>
            </w:r>
          </w:p>
          <w:p w14:paraId="02178E57" w14:textId="77777777" w:rsidR="00877E27" w:rsidRPr="009A27ED" w:rsidRDefault="00877E27" w:rsidP="00877E27">
            <w:pPr>
              <w:pStyle w:val="Apunteoticket"/>
              <w:numPr>
                <w:ilvl w:val="1"/>
                <w:numId w:val="60"/>
              </w:numPr>
              <w:rPr>
                <w:rFonts w:cstheme="minorHAnsi"/>
                <w:sz w:val="20"/>
                <w:szCs w:val="20"/>
              </w:rPr>
            </w:pPr>
            <w:r w:rsidRPr="009A27ED">
              <w:rPr>
                <w:rFonts w:cstheme="minorHAnsi"/>
                <w:sz w:val="20"/>
                <w:szCs w:val="20"/>
              </w:rPr>
              <w:t xml:space="preserve">Ley sobre los Derechos de las Personas en sus Relaciones con la Administración y de Procedimiento Administrativo. (LDPRAPA, Ley 107-13) </w:t>
            </w:r>
          </w:p>
          <w:p w14:paraId="5CBC4E49" w14:textId="77777777" w:rsidR="00877E27" w:rsidRPr="009A27ED" w:rsidRDefault="00877E27" w:rsidP="00877E27">
            <w:pPr>
              <w:pStyle w:val="Apunteoticket"/>
              <w:numPr>
                <w:ilvl w:val="1"/>
                <w:numId w:val="60"/>
              </w:numPr>
              <w:rPr>
                <w:rFonts w:cstheme="minorHAnsi"/>
                <w:sz w:val="20"/>
                <w:szCs w:val="20"/>
              </w:rPr>
            </w:pPr>
            <w:r w:rsidRPr="009A27ED">
              <w:rPr>
                <w:rFonts w:cstheme="minorHAnsi"/>
                <w:sz w:val="20"/>
                <w:szCs w:val="20"/>
              </w:rPr>
              <w:t xml:space="preserve">Ley General de Medio Ambiente y Recursos Naturales (LGMARENA, Ley No. 64-00) </w:t>
            </w:r>
          </w:p>
          <w:p w14:paraId="3F142695" w14:textId="77777777" w:rsidR="00877E27" w:rsidRPr="009A27ED" w:rsidRDefault="00877E27" w:rsidP="00877E27">
            <w:pPr>
              <w:pStyle w:val="Apunteoticket"/>
              <w:numPr>
                <w:ilvl w:val="1"/>
                <w:numId w:val="60"/>
              </w:numPr>
              <w:rPr>
                <w:rFonts w:cstheme="minorHAnsi"/>
                <w:sz w:val="20"/>
                <w:szCs w:val="20"/>
              </w:rPr>
            </w:pPr>
            <w:r w:rsidRPr="009A27ED">
              <w:rPr>
                <w:rFonts w:cstheme="minorHAnsi"/>
                <w:sz w:val="20"/>
                <w:szCs w:val="20"/>
              </w:rPr>
              <w:t xml:space="preserve">Ley de Función Pública (LFP, Ley 41-08) que Crea la </w:t>
            </w:r>
            <w:proofErr w:type="gramStart"/>
            <w:r w:rsidRPr="009A27ED">
              <w:rPr>
                <w:rFonts w:cstheme="minorHAnsi"/>
                <w:sz w:val="20"/>
                <w:szCs w:val="20"/>
              </w:rPr>
              <w:t>Secretaria</w:t>
            </w:r>
            <w:proofErr w:type="gramEnd"/>
            <w:r w:rsidRPr="009A27ED">
              <w:rPr>
                <w:rFonts w:cstheme="minorHAnsi"/>
                <w:sz w:val="20"/>
                <w:szCs w:val="20"/>
              </w:rPr>
              <w:t xml:space="preserve"> de Estado de Administración Pública.</w:t>
            </w:r>
          </w:p>
          <w:p w14:paraId="0318E75E" w14:textId="77777777" w:rsidR="00877E27" w:rsidRPr="009A27ED" w:rsidRDefault="00877E27" w:rsidP="00877E27">
            <w:pPr>
              <w:pStyle w:val="Apunteoticket"/>
              <w:numPr>
                <w:ilvl w:val="1"/>
                <w:numId w:val="60"/>
              </w:numPr>
              <w:rPr>
                <w:rFonts w:cstheme="minorHAnsi"/>
                <w:sz w:val="20"/>
                <w:szCs w:val="20"/>
              </w:rPr>
            </w:pPr>
            <w:r w:rsidRPr="009A27ED">
              <w:rPr>
                <w:rFonts w:cstheme="minorHAnsi"/>
                <w:sz w:val="20"/>
                <w:szCs w:val="20"/>
              </w:rPr>
              <w:t>Ley Sectorial Sobre Biodiversidad (LSSB, Ley 333-15)</w:t>
            </w:r>
          </w:p>
          <w:p w14:paraId="6D70AE54" w14:textId="77777777" w:rsidR="00877E27" w:rsidRPr="009A27ED" w:rsidRDefault="00877E27" w:rsidP="00877E27">
            <w:pPr>
              <w:pStyle w:val="Apunteoticket"/>
              <w:numPr>
                <w:ilvl w:val="1"/>
                <w:numId w:val="60"/>
              </w:numPr>
              <w:rPr>
                <w:rFonts w:cstheme="minorHAnsi"/>
                <w:sz w:val="20"/>
                <w:szCs w:val="20"/>
              </w:rPr>
            </w:pPr>
            <w:r w:rsidRPr="009A27ED">
              <w:rPr>
                <w:rFonts w:cstheme="minorHAnsi"/>
                <w:sz w:val="20"/>
                <w:szCs w:val="20"/>
              </w:rPr>
              <w:t>Ley de la Estrategia Nacional de Desarrollo (LOEND, Ley 12-01)</w:t>
            </w:r>
          </w:p>
          <w:p w14:paraId="16DCBAAA" w14:textId="77777777" w:rsidR="00877E27" w:rsidRPr="009A27ED" w:rsidRDefault="00877E27" w:rsidP="00877E27">
            <w:pPr>
              <w:pStyle w:val="Apunteoticket"/>
              <w:numPr>
                <w:ilvl w:val="1"/>
                <w:numId w:val="60"/>
              </w:numPr>
              <w:rPr>
                <w:rFonts w:cstheme="minorHAnsi"/>
                <w:sz w:val="20"/>
                <w:szCs w:val="20"/>
              </w:rPr>
            </w:pPr>
            <w:r w:rsidRPr="009A27ED">
              <w:rPr>
                <w:rFonts w:cstheme="minorHAnsi"/>
                <w:sz w:val="20"/>
                <w:szCs w:val="20"/>
              </w:rPr>
              <w:t>Ley Sectorial de Áreas Protegidas (LSAP, Ley 202-04)</w:t>
            </w:r>
          </w:p>
          <w:p w14:paraId="2CF1D6C3" w14:textId="77777777" w:rsidR="00877E27" w:rsidRPr="009A27ED" w:rsidRDefault="00877E27" w:rsidP="00877E27">
            <w:pPr>
              <w:pStyle w:val="Apunteoticket"/>
              <w:numPr>
                <w:ilvl w:val="1"/>
                <w:numId w:val="60"/>
              </w:numPr>
              <w:rPr>
                <w:rFonts w:cstheme="minorHAnsi"/>
                <w:sz w:val="20"/>
                <w:szCs w:val="20"/>
              </w:rPr>
            </w:pPr>
            <w:r w:rsidRPr="009A27ED">
              <w:rPr>
                <w:rFonts w:cstheme="minorHAnsi"/>
                <w:sz w:val="20"/>
                <w:szCs w:val="20"/>
              </w:rPr>
              <w:t xml:space="preserve">Ley General de Libre Acceso a la Información Pública (LGLAIP, Ley 200-04) </w:t>
            </w:r>
          </w:p>
          <w:p w14:paraId="54C8C9DC" w14:textId="77777777" w:rsidR="00877E27" w:rsidRPr="009A27ED" w:rsidRDefault="00877E27" w:rsidP="00877E27">
            <w:pPr>
              <w:pStyle w:val="Apunteoticket"/>
              <w:numPr>
                <w:ilvl w:val="1"/>
                <w:numId w:val="60"/>
              </w:numPr>
              <w:rPr>
                <w:rFonts w:cstheme="minorHAnsi"/>
                <w:sz w:val="20"/>
                <w:szCs w:val="20"/>
              </w:rPr>
            </w:pPr>
            <w:r w:rsidRPr="009A27ED">
              <w:rPr>
                <w:rFonts w:cstheme="minorHAnsi"/>
                <w:sz w:val="20"/>
                <w:szCs w:val="20"/>
              </w:rPr>
              <w:t>Decreto 489-97, que Crea la Comisión Organizadora del Dialogo Nacional</w:t>
            </w:r>
          </w:p>
          <w:p w14:paraId="35F4E0A7" w14:textId="77777777" w:rsidR="00877E27" w:rsidRPr="009A27ED" w:rsidRDefault="00877E27" w:rsidP="00877E27">
            <w:pPr>
              <w:pStyle w:val="Apunteoticket"/>
              <w:numPr>
                <w:ilvl w:val="1"/>
                <w:numId w:val="60"/>
              </w:numPr>
              <w:rPr>
                <w:rFonts w:cstheme="minorHAnsi"/>
                <w:sz w:val="20"/>
                <w:szCs w:val="20"/>
              </w:rPr>
            </w:pPr>
            <w:r w:rsidRPr="009A27ED">
              <w:rPr>
                <w:rFonts w:cstheme="minorHAnsi"/>
                <w:sz w:val="20"/>
                <w:szCs w:val="20"/>
              </w:rPr>
              <w:t xml:space="preserve">Reglamento del Sistema de Autorizaciones Ambientales (RSAA) </w:t>
            </w:r>
          </w:p>
          <w:p w14:paraId="0E5B3772" w14:textId="77777777" w:rsidR="00877E27" w:rsidRPr="009A27ED" w:rsidRDefault="00877E27" w:rsidP="00877E27">
            <w:pPr>
              <w:pStyle w:val="Apunteoticket"/>
              <w:numPr>
                <w:ilvl w:val="1"/>
                <w:numId w:val="60"/>
              </w:numPr>
              <w:rPr>
                <w:rFonts w:cstheme="minorHAnsi"/>
                <w:sz w:val="20"/>
                <w:szCs w:val="20"/>
              </w:rPr>
            </w:pPr>
            <w:r w:rsidRPr="009A27ED">
              <w:rPr>
                <w:rFonts w:cstheme="minorHAnsi"/>
                <w:sz w:val="20"/>
                <w:szCs w:val="20"/>
              </w:rPr>
              <w:t>Reglamento Forestal (RF)</w:t>
            </w:r>
          </w:p>
          <w:p w14:paraId="5C6ABC8C" w14:textId="77777777" w:rsidR="00877E27" w:rsidRPr="009A27ED" w:rsidRDefault="00877E27" w:rsidP="00877E27">
            <w:pPr>
              <w:pStyle w:val="Apunteoticket"/>
              <w:numPr>
                <w:ilvl w:val="1"/>
                <w:numId w:val="60"/>
              </w:numPr>
              <w:rPr>
                <w:rFonts w:cstheme="minorHAnsi"/>
                <w:sz w:val="20"/>
                <w:szCs w:val="20"/>
              </w:rPr>
            </w:pPr>
            <w:r w:rsidRPr="009A27ED">
              <w:rPr>
                <w:rFonts w:cstheme="minorHAnsi"/>
                <w:sz w:val="20"/>
                <w:szCs w:val="20"/>
              </w:rPr>
              <w:t>Resolución 11-2008 que crea las Direcciones Provinciales de Medio Ambiente y Recursos Naturales.</w:t>
            </w:r>
          </w:p>
          <w:p w14:paraId="05D0202E" w14:textId="77777777" w:rsidR="00877E27" w:rsidRPr="009A27ED" w:rsidRDefault="00877E27" w:rsidP="00877E27">
            <w:pPr>
              <w:pStyle w:val="Apunteoticket"/>
              <w:numPr>
                <w:ilvl w:val="1"/>
                <w:numId w:val="60"/>
              </w:numPr>
              <w:rPr>
                <w:rFonts w:cstheme="minorHAnsi"/>
                <w:sz w:val="20"/>
                <w:szCs w:val="20"/>
              </w:rPr>
            </w:pPr>
            <w:r w:rsidRPr="009A27ED">
              <w:rPr>
                <w:rFonts w:cstheme="minorHAnsi"/>
                <w:sz w:val="20"/>
                <w:szCs w:val="20"/>
              </w:rPr>
              <w:t>Manual de Participación Pública para el Desarrollo Sostenible.</w:t>
            </w:r>
          </w:p>
          <w:p w14:paraId="47ED5EC3" w14:textId="77777777" w:rsidR="00877E27" w:rsidRPr="009A27ED" w:rsidRDefault="00877E27" w:rsidP="00877E27">
            <w:pPr>
              <w:rPr>
                <w:lang w:val="es-SV"/>
              </w:rPr>
            </w:pPr>
          </w:p>
        </w:tc>
      </w:tr>
      <w:tr w:rsidR="005936A7" w:rsidRPr="009A27ED" w14:paraId="7330AF79" w14:textId="77777777" w:rsidTr="00562F95">
        <w:tc>
          <w:tcPr>
            <w:tcW w:w="4525" w:type="dxa"/>
            <w:shd w:val="clear" w:color="auto" w:fill="auto"/>
          </w:tcPr>
          <w:p w14:paraId="2A18A044" w14:textId="4F2BCEE2" w:rsidR="005936A7" w:rsidRPr="009A27ED" w:rsidRDefault="005936A7" w:rsidP="005936A7">
            <w:pPr>
              <w:rPr>
                <w:b/>
                <w:sz w:val="20"/>
                <w:szCs w:val="20"/>
              </w:rPr>
            </w:pPr>
            <w:r w:rsidRPr="009A27ED">
              <w:rPr>
                <w:rFonts w:eastAsia="Calibri"/>
                <w:b/>
                <w:szCs w:val="20"/>
              </w:rPr>
              <w:t>Marco legal relevante para asegurar cumplimiento con la salvaguarda</w:t>
            </w:r>
          </w:p>
        </w:tc>
        <w:tc>
          <w:tcPr>
            <w:tcW w:w="4525" w:type="dxa"/>
            <w:shd w:val="clear" w:color="auto" w:fill="auto"/>
          </w:tcPr>
          <w:p w14:paraId="062C7928" w14:textId="4AF191F3" w:rsidR="005936A7" w:rsidRPr="009A27ED" w:rsidRDefault="005936A7" w:rsidP="005936A7">
            <w:pPr>
              <w:rPr>
                <w:b/>
                <w:sz w:val="20"/>
                <w:szCs w:val="20"/>
              </w:rPr>
            </w:pPr>
            <w:r w:rsidRPr="009A27ED">
              <w:rPr>
                <w:rFonts w:eastAsia="Calibri"/>
                <w:b/>
                <w:szCs w:val="20"/>
              </w:rPr>
              <w:t>Medidas adicionales/recomendaciones</w:t>
            </w:r>
          </w:p>
        </w:tc>
      </w:tr>
      <w:tr w:rsidR="005936A7" w:rsidRPr="009A27ED" w14:paraId="1F392FDB" w14:textId="77777777" w:rsidTr="00562F95">
        <w:tc>
          <w:tcPr>
            <w:tcW w:w="4525" w:type="dxa"/>
            <w:shd w:val="clear" w:color="auto" w:fill="auto"/>
          </w:tcPr>
          <w:p w14:paraId="73020597" w14:textId="77777777" w:rsidR="00FD4CB4" w:rsidRPr="009A27ED" w:rsidRDefault="00FD4CB4" w:rsidP="00FD4CB4">
            <w:pPr>
              <w:autoSpaceDE w:val="0"/>
              <w:autoSpaceDN w:val="0"/>
              <w:adjustRightInd w:val="0"/>
              <w:spacing w:after="0"/>
              <w:rPr>
                <w:rFonts w:eastAsia="Calibri"/>
                <w:b/>
                <w:szCs w:val="20"/>
              </w:rPr>
            </w:pPr>
            <w:r w:rsidRPr="009A27ED">
              <w:rPr>
                <w:rFonts w:eastAsia="Calibri"/>
                <w:b/>
                <w:szCs w:val="20"/>
              </w:rPr>
              <w:t>Definición y regulación de la participación plena y efectiva</w:t>
            </w:r>
          </w:p>
          <w:p w14:paraId="2F9D6DCA" w14:textId="77777777" w:rsidR="00FD4CB4" w:rsidRPr="009A27ED" w:rsidRDefault="00FD4CB4" w:rsidP="00FD4CB4">
            <w:pPr>
              <w:autoSpaceDE w:val="0"/>
              <w:autoSpaceDN w:val="0"/>
              <w:adjustRightInd w:val="0"/>
              <w:spacing w:after="0"/>
              <w:rPr>
                <w:rFonts w:eastAsia="Calibri"/>
                <w:szCs w:val="20"/>
              </w:rPr>
            </w:pPr>
            <w:r w:rsidRPr="009A27ED">
              <w:rPr>
                <w:rFonts w:eastAsia="Calibri"/>
                <w:szCs w:val="20"/>
              </w:rPr>
              <w:t>La CPD</w:t>
            </w:r>
            <w:r w:rsidRPr="009A27ED">
              <w:rPr>
                <w:rFonts w:eastAsia="Calibri"/>
                <w:szCs w:val="20"/>
                <w:vertAlign w:val="superscript"/>
              </w:rPr>
              <w:endnoteReference w:id="71"/>
            </w:r>
            <w:r w:rsidRPr="009A27ED">
              <w:rPr>
                <w:rFonts w:eastAsia="Calibri"/>
                <w:szCs w:val="20"/>
              </w:rPr>
              <w:t xml:space="preserve">  prevé la iniciativa legislativa popular por la que un número de </w:t>
            </w:r>
            <w:proofErr w:type="gramStart"/>
            <w:r w:rsidRPr="009A27ED">
              <w:rPr>
                <w:rFonts w:eastAsia="Calibri"/>
                <w:szCs w:val="20"/>
              </w:rPr>
              <w:t>ciudadanos y ciudadanas</w:t>
            </w:r>
            <w:proofErr w:type="gramEnd"/>
            <w:r w:rsidRPr="009A27ED">
              <w:rPr>
                <w:rFonts w:eastAsia="Calibri"/>
                <w:szCs w:val="20"/>
              </w:rPr>
              <w:t xml:space="preserve"> puede presentar proyectos de ley ante el Congreso Nacional. También establece el referendo, plebiscitos e iniciativa normativa municipal con el fin de fortalecer el desarrollo de la democracia y la gestión local. Por su parte la LOAP</w:t>
            </w:r>
            <w:r w:rsidRPr="009A27ED">
              <w:rPr>
                <w:rFonts w:eastAsia="Calibri"/>
                <w:szCs w:val="20"/>
                <w:vertAlign w:val="superscript"/>
              </w:rPr>
              <w:endnoteReference w:id="72"/>
            </w:r>
            <w:r w:rsidRPr="009A27ED">
              <w:rPr>
                <w:rFonts w:eastAsia="Calibri"/>
                <w:szCs w:val="20"/>
              </w:rPr>
              <w:t xml:space="preserve"> reconoce el principio de participación en las políticas públicas, este también está previsto en la Ley de Planificación e Inversión Pública</w:t>
            </w:r>
            <w:r w:rsidRPr="009A27ED">
              <w:rPr>
                <w:rFonts w:eastAsia="Calibri"/>
                <w:szCs w:val="20"/>
                <w:vertAlign w:val="superscript"/>
              </w:rPr>
              <w:endnoteReference w:id="73"/>
            </w:r>
            <w:r w:rsidRPr="009A27ED">
              <w:rPr>
                <w:rFonts w:eastAsia="Calibri"/>
                <w:szCs w:val="20"/>
              </w:rPr>
              <w:t>. Mientras que la Ley del derecho de las personas en relación con la administración pública reconoce el derecho a participar en la elaboración de reglamentos, planes o programas</w:t>
            </w:r>
            <w:r w:rsidRPr="009A27ED">
              <w:rPr>
                <w:rFonts w:eastAsia="Calibri"/>
                <w:szCs w:val="20"/>
                <w:vertAlign w:val="superscript"/>
              </w:rPr>
              <w:endnoteReference w:id="74"/>
            </w:r>
            <w:r w:rsidRPr="009A27ED">
              <w:rPr>
                <w:rFonts w:eastAsia="Calibri"/>
                <w:szCs w:val="20"/>
              </w:rPr>
              <w:t>.</w:t>
            </w:r>
          </w:p>
          <w:p w14:paraId="20CE9C8A" w14:textId="45B5B691" w:rsidR="005936A7" w:rsidRPr="009A27ED" w:rsidRDefault="00FD4CB4" w:rsidP="00FD4CB4">
            <w:pPr>
              <w:rPr>
                <w:b/>
                <w:sz w:val="20"/>
                <w:szCs w:val="20"/>
              </w:rPr>
            </w:pPr>
            <w:r w:rsidRPr="009A27ED">
              <w:rPr>
                <w:rFonts w:eastAsia="Calibri"/>
                <w:szCs w:val="20"/>
              </w:rPr>
              <w:t>El derecho a participar en los procesos de la toma de decisiones relacionados con los bosques, en la planificación y las acciones relativas al uso y manejo del bosque, se puede encontrar en la Ley General de Medio Ambiente y Recursos Naturales</w:t>
            </w:r>
            <w:r w:rsidRPr="009A27ED">
              <w:rPr>
                <w:rFonts w:eastAsia="Calibri"/>
                <w:szCs w:val="20"/>
                <w:vertAlign w:val="superscript"/>
              </w:rPr>
              <w:endnoteReference w:id="75"/>
            </w:r>
            <w:r w:rsidRPr="009A27ED">
              <w:rPr>
                <w:rFonts w:eastAsia="Calibri"/>
                <w:szCs w:val="20"/>
              </w:rPr>
              <w:t>, también la Ley Orgánica de la Administración Pública</w:t>
            </w:r>
            <w:r w:rsidRPr="009A27ED">
              <w:rPr>
                <w:rFonts w:eastAsia="Calibri"/>
                <w:szCs w:val="20"/>
                <w:vertAlign w:val="superscript"/>
              </w:rPr>
              <w:endnoteReference w:id="76"/>
            </w:r>
            <w:r w:rsidRPr="009A27ED">
              <w:rPr>
                <w:rFonts w:eastAsia="Calibri"/>
                <w:szCs w:val="20"/>
              </w:rPr>
              <w:t>.</w:t>
            </w:r>
          </w:p>
        </w:tc>
        <w:tc>
          <w:tcPr>
            <w:tcW w:w="4525" w:type="dxa"/>
            <w:shd w:val="clear" w:color="auto" w:fill="auto"/>
          </w:tcPr>
          <w:p w14:paraId="31583014" w14:textId="768294C8" w:rsidR="005936A7" w:rsidRPr="009A27ED" w:rsidRDefault="00FD4CB4" w:rsidP="005936A7">
            <w:pPr>
              <w:rPr>
                <w:b/>
                <w:sz w:val="20"/>
                <w:szCs w:val="20"/>
              </w:rPr>
            </w:pPr>
            <w:r w:rsidRPr="009A27ED">
              <w:rPr>
                <w:rFonts w:eastAsia="Calibri"/>
                <w:b/>
                <w:szCs w:val="20"/>
              </w:rPr>
              <w:t>Existen mecanismos de gobernanza para garantizar la participación plena y efectiva de las partes involucradas en las actividades REDD</w:t>
            </w:r>
            <w:r w:rsidR="00EF4BC5" w:rsidRPr="009A27ED">
              <w:rPr>
                <w:rFonts w:eastAsia="Calibri"/>
                <w:b/>
                <w:szCs w:val="20"/>
              </w:rPr>
              <w:t>+</w:t>
            </w:r>
          </w:p>
        </w:tc>
      </w:tr>
      <w:tr w:rsidR="005936A7" w:rsidRPr="009A27ED" w14:paraId="71B9E787" w14:textId="77777777" w:rsidTr="00562F95">
        <w:tc>
          <w:tcPr>
            <w:tcW w:w="4525" w:type="dxa"/>
            <w:shd w:val="clear" w:color="auto" w:fill="auto"/>
          </w:tcPr>
          <w:p w14:paraId="0BBE853E" w14:textId="77777777" w:rsidR="00FD4CB4" w:rsidRPr="009A27ED" w:rsidRDefault="00FD4CB4" w:rsidP="00FD4CB4">
            <w:pPr>
              <w:autoSpaceDE w:val="0"/>
              <w:autoSpaceDN w:val="0"/>
              <w:adjustRightInd w:val="0"/>
              <w:spacing w:after="0"/>
              <w:rPr>
                <w:rFonts w:eastAsia="Calibri"/>
                <w:b/>
                <w:szCs w:val="20"/>
              </w:rPr>
            </w:pPr>
            <w:r w:rsidRPr="009A27ED">
              <w:rPr>
                <w:rFonts w:eastAsia="Calibri"/>
                <w:b/>
                <w:szCs w:val="20"/>
              </w:rPr>
              <w:t xml:space="preserve">Acceso a la información </w:t>
            </w:r>
          </w:p>
          <w:p w14:paraId="270A55D2" w14:textId="77777777" w:rsidR="00FD4CB4" w:rsidRPr="009A27ED" w:rsidRDefault="00FD4CB4" w:rsidP="00FD4CB4">
            <w:pPr>
              <w:autoSpaceDE w:val="0"/>
              <w:autoSpaceDN w:val="0"/>
              <w:adjustRightInd w:val="0"/>
              <w:spacing w:after="0"/>
              <w:rPr>
                <w:rFonts w:eastAsia="Calibri"/>
                <w:szCs w:val="20"/>
              </w:rPr>
            </w:pPr>
            <w:r w:rsidRPr="009A27ED">
              <w:rPr>
                <w:rFonts w:eastAsia="Calibri"/>
                <w:szCs w:val="20"/>
              </w:rPr>
              <w:t xml:space="preserve">La LGMARENA, establece de una manera precisa el periodo de tiempo en que se elaborará y publicará información relevante, esta misma ley 64-00, en los Artículos 49 y 50, establece la creación del sistema nacional de información de </w:t>
            </w:r>
            <w:r w:rsidRPr="009A27ED">
              <w:rPr>
                <w:rFonts w:eastAsia="Calibri"/>
                <w:szCs w:val="20"/>
              </w:rPr>
              <w:lastRenderedPageBreak/>
              <w:t>medio ambiente y recursos naturales y la libertad de acceso a esa información.</w:t>
            </w:r>
          </w:p>
          <w:p w14:paraId="528B18E7" w14:textId="334B463B" w:rsidR="00FD4CB4" w:rsidRPr="009A27ED" w:rsidRDefault="00FD4CB4" w:rsidP="00FD4CB4">
            <w:pPr>
              <w:autoSpaceDE w:val="0"/>
              <w:autoSpaceDN w:val="0"/>
              <w:adjustRightInd w:val="0"/>
              <w:spacing w:after="0"/>
              <w:rPr>
                <w:rFonts w:eastAsia="Calibri"/>
                <w:szCs w:val="20"/>
              </w:rPr>
            </w:pPr>
            <w:r w:rsidRPr="009A27ED">
              <w:rPr>
                <w:rFonts w:eastAsia="Calibri"/>
                <w:szCs w:val="20"/>
              </w:rPr>
              <w:t xml:space="preserve">En este sentido la rendición de cuentas está regulada en la </w:t>
            </w:r>
            <w:r w:rsidR="00017257" w:rsidRPr="009A27ED">
              <w:rPr>
                <w:rFonts w:eastAsia="Calibri"/>
                <w:szCs w:val="20"/>
              </w:rPr>
              <w:t>LGLAIP,</w:t>
            </w:r>
            <w:r w:rsidRPr="009A27ED">
              <w:rPr>
                <w:rFonts w:eastAsia="Calibri"/>
                <w:szCs w:val="20"/>
              </w:rPr>
              <w:t xml:space="preserve"> estableciéndole un carácter de obligatoriedad y su violación se considera una falta grave.</w:t>
            </w:r>
          </w:p>
          <w:p w14:paraId="3D4737ED" w14:textId="77777777" w:rsidR="00FD4CB4" w:rsidRPr="009A27ED" w:rsidRDefault="00FD4CB4" w:rsidP="00FD4CB4">
            <w:pPr>
              <w:autoSpaceDE w:val="0"/>
              <w:autoSpaceDN w:val="0"/>
              <w:adjustRightInd w:val="0"/>
              <w:spacing w:after="0"/>
              <w:rPr>
                <w:rFonts w:eastAsia="Calibri"/>
                <w:szCs w:val="20"/>
              </w:rPr>
            </w:pPr>
            <w:r w:rsidRPr="009A27ED">
              <w:rPr>
                <w:rFonts w:eastAsia="Calibri"/>
                <w:szCs w:val="20"/>
              </w:rPr>
              <w:t>El MMARENA cuenta con un portal en internet que presenta el Sistema de Información Ambiental (SIA) el cual proporciona al usuario informaciones sobre la diversidad biológica, localización, distribución y estado de los recursos naturales, pero este portal no cuenta con todo lo necesario para el Acceso adecuado a la información en los procesos de toma de decisión en materia ambiental. El marco legal no define la manera de distribuir información relevante, ya que no se establece plazo para el servicio permanente y actualizado de información y no garantiza completamente la rendición de cuentas respecto a las negativas de acceso a la información.</w:t>
            </w:r>
          </w:p>
          <w:p w14:paraId="2D527F69" w14:textId="7039490D" w:rsidR="005936A7" w:rsidRPr="009A27ED" w:rsidRDefault="00FD4CB4" w:rsidP="00FD4CB4">
            <w:pPr>
              <w:rPr>
                <w:b/>
                <w:sz w:val="20"/>
                <w:szCs w:val="20"/>
              </w:rPr>
            </w:pPr>
            <w:r w:rsidRPr="009A27ED">
              <w:rPr>
                <w:rFonts w:eastAsia="Calibri"/>
                <w:szCs w:val="20"/>
              </w:rPr>
              <w:t>Además, los mecanismos existentes son electrónicos, lo cual representa un problema para algunas categorías de la población para acceder a la información que necesitan para participar de manera plena y efectiva</w:t>
            </w:r>
          </w:p>
        </w:tc>
        <w:tc>
          <w:tcPr>
            <w:tcW w:w="4525" w:type="dxa"/>
            <w:shd w:val="clear" w:color="auto" w:fill="auto"/>
          </w:tcPr>
          <w:p w14:paraId="39F5D568" w14:textId="6F418FD6" w:rsidR="00017257" w:rsidRPr="009A27ED" w:rsidRDefault="00017257" w:rsidP="00FD4CB4">
            <w:pPr>
              <w:autoSpaceDE w:val="0"/>
              <w:autoSpaceDN w:val="0"/>
              <w:adjustRightInd w:val="0"/>
              <w:spacing w:after="0"/>
              <w:rPr>
                <w:rFonts w:eastAsia="Calibri"/>
                <w:szCs w:val="20"/>
              </w:rPr>
            </w:pPr>
            <w:r w:rsidRPr="009A27ED">
              <w:rPr>
                <w:rFonts w:eastAsia="Calibri"/>
                <w:szCs w:val="20"/>
              </w:rPr>
              <w:lastRenderedPageBreak/>
              <w:t xml:space="preserve">Se </w:t>
            </w:r>
            <w:r w:rsidR="00EB5309" w:rsidRPr="009A27ED">
              <w:rPr>
                <w:rFonts w:eastAsia="Calibri"/>
                <w:szCs w:val="20"/>
              </w:rPr>
              <w:t>elaborarán</w:t>
            </w:r>
            <w:r w:rsidRPr="009A27ED">
              <w:rPr>
                <w:rFonts w:eastAsia="Calibri"/>
                <w:szCs w:val="20"/>
              </w:rPr>
              <w:t xml:space="preserve"> materiales de difusión y de convocatorias para </w:t>
            </w:r>
            <w:r w:rsidR="00EB5309" w:rsidRPr="009A27ED">
              <w:rPr>
                <w:rFonts w:eastAsia="Calibri"/>
                <w:szCs w:val="20"/>
              </w:rPr>
              <w:t>el involucramiento</w:t>
            </w:r>
            <w:r w:rsidRPr="009A27ED">
              <w:rPr>
                <w:rFonts w:eastAsia="Calibri"/>
                <w:szCs w:val="20"/>
              </w:rPr>
              <w:t xml:space="preserve"> de los interesados en las acciones REDD+. El Plan de Comunicación REDD+ deberá facilitar y apoyar </w:t>
            </w:r>
            <w:r w:rsidR="00EB5309" w:rsidRPr="009A27ED">
              <w:rPr>
                <w:rFonts w:eastAsia="Calibri"/>
                <w:szCs w:val="20"/>
              </w:rPr>
              <w:t>para la participación plena y efectiva de los interesados</w:t>
            </w:r>
          </w:p>
          <w:p w14:paraId="62F0DD55" w14:textId="77777777" w:rsidR="00FD4CB4" w:rsidRPr="009A27ED" w:rsidRDefault="00FD4CB4" w:rsidP="00FD4CB4">
            <w:pPr>
              <w:autoSpaceDE w:val="0"/>
              <w:autoSpaceDN w:val="0"/>
              <w:adjustRightInd w:val="0"/>
              <w:spacing w:after="0"/>
              <w:rPr>
                <w:rFonts w:eastAsia="Calibri"/>
                <w:szCs w:val="20"/>
              </w:rPr>
            </w:pPr>
          </w:p>
          <w:p w14:paraId="4D67E3B0" w14:textId="77777777" w:rsidR="00FD4CB4" w:rsidRPr="009A27ED" w:rsidRDefault="00FD4CB4" w:rsidP="00FD4CB4">
            <w:pPr>
              <w:autoSpaceDE w:val="0"/>
              <w:autoSpaceDN w:val="0"/>
              <w:adjustRightInd w:val="0"/>
              <w:spacing w:after="0"/>
              <w:rPr>
                <w:rFonts w:eastAsia="Calibri"/>
                <w:szCs w:val="20"/>
              </w:rPr>
            </w:pPr>
            <w:r w:rsidRPr="009A27ED">
              <w:rPr>
                <w:rFonts w:eastAsia="Calibri"/>
                <w:b/>
                <w:szCs w:val="20"/>
              </w:rPr>
              <w:lastRenderedPageBreak/>
              <w:t>Se recomienda llevar a cabo un ejercicio de definición de los medios de comunicación adicionales a los existentes que sean adecuados al contexto de República Dominicana como asambleas informativas, reuniones periódicas, anuncios comunitarios, comunicaciones escritas a los grupos religiosos comunitarios, para ser leídos en los servicios religiosos</w:t>
            </w:r>
            <w:r w:rsidRPr="009A27ED">
              <w:rPr>
                <w:rFonts w:eastAsia="Calibri"/>
                <w:szCs w:val="20"/>
              </w:rPr>
              <w:t>, etc.</w:t>
            </w:r>
          </w:p>
          <w:p w14:paraId="50EEBC48" w14:textId="2596C0AA" w:rsidR="005936A7" w:rsidRPr="009A27ED" w:rsidRDefault="00FD4CB4" w:rsidP="00FD4CB4">
            <w:pPr>
              <w:rPr>
                <w:b/>
                <w:sz w:val="20"/>
                <w:szCs w:val="20"/>
              </w:rPr>
            </w:pPr>
            <w:r w:rsidRPr="009A27ED">
              <w:rPr>
                <w:rFonts w:eastAsia="Calibri"/>
                <w:b/>
                <w:szCs w:val="20"/>
              </w:rPr>
              <w:t>Se recomienda difundir la existencia de las plataformas o medios de difusión existentes</w:t>
            </w:r>
            <w:r w:rsidRPr="009A27ED">
              <w:rPr>
                <w:rFonts w:eastAsia="Calibri"/>
                <w:szCs w:val="20"/>
              </w:rPr>
              <w:t>, empleando un lenguaje simple para efectos de su mejor entendimiento</w:t>
            </w:r>
          </w:p>
        </w:tc>
      </w:tr>
      <w:tr w:rsidR="005936A7" w:rsidRPr="009A27ED" w14:paraId="1CA9E0D7" w14:textId="77777777" w:rsidTr="00562F95">
        <w:tc>
          <w:tcPr>
            <w:tcW w:w="4525" w:type="dxa"/>
            <w:shd w:val="clear" w:color="auto" w:fill="auto"/>
          </w:tcPr>
          <w:p w14:paraId="5DBD3AAA" w14:textId="77777777" w:rsidR="00FD4CB4" w:rsidRPr="009A27ED" w:rsidRDefault="00FD4CB4" w:rsidP="00FD4CB4">
            <w:pPr>
              <w:autoSpaceDE w:val="0"/>
              <w:autoSpaceDN w:val="0"/>
              <w:adjustRightInd w:val="0"/>
              <w:spacing w:after="0"/>
              <w:rPr>
                <w:rFonts w:eastAsia="Calibri"/>
                <w:b/>
                <w:szCs w:val="20"/>
              </w:rPr>
            </w:pPr>
            <w:r w:rsidRPr="009A27ED">
              <w:rPr>
                <w:rFonts w:eastAsia="Calibri"/>
                <w:b/>
                <w:szCs w:val="20"/>
              </w:rPr>
              <w:t>Regulación de la participación</w:t>
            </w:r>
          </w:p>
          <w:p w14:paraId="3F807841" w14:textId="77777777" w:rsidR="00FD4CB4" w:rsidRPr="009A27ED" w:rsidRDefault="00FD4CB4" w:rsidP="00FD4CB4">
            <w:pPr>
              <w:autoSpaceDE w:val="0"/>
              <w:autoSpaceDN w:val="0"/>
              <w:adjustRightInd w:val="0"/>
              <w:spacing w:after="0"/>
              <w:rPr>
                <w:rFonts w:eastAsia="Calibri"/>
                <w:szCs w:val="20"/>
              </w:rPr>
            </w:pPr>
            <w:r w:rsidRPr="009A27ED">
              <w:rPr>
                <w:rFonts w:eastAsia="Calibri"/>
                <w:szCs w:val="20"/>
              </w:rPr>
              <w:t>Para la Definición y regulación de la participación plena y efectiva, el Marco Legal prevé en varios instrumentos los principios para la participación ciudadana como sustento de la buena gobernanza democrática.</w:t>
            </w:r>
            <w:r w:rsidRPr="009A27ED">
              <w:rPr>
                <w:rFonts w:eastAsia="Calibri"/>
                <w:szCs w:val="20"/>
                <w:vertAlign w:val="superscript"/>
              </w:rPr>
              <w:endnoteReference w:id="77"/>
            </w:r>
            <w:r w:rsidRPr="009A27ED">
              <w:rPr>
                <w:rFonts w:eastAsia="Calibri"/>
                <w:szCs w:val="20"/>
              </w:rPr>
              <w:t xml:space="preserve"> En materia ambiental y forestal lo regula en la Ley 333-15 y 64-00.</w:t>
            </w:r>
            <w:r w:rsidRPr="009A27ED">
              <w:rPr>
                <w:rFonts w:eastAsia="Calibri"/>
                <w:szCs w:val="20"/>
                <w:vertAlign w:val="superscript"/>
              </w:rPr>
              <w:endnoteReference w:id="78"/>
            </w:r>
            <w:r w:rsidRPr="009A27ED">
              <w:rPr>
                <w:rFonts w:eastAsia="Calibri"/>
                <w:szCs w:val="20"/>
              </w:rPr>
              <w:t xml:space="preserve">  Al respecto prevé la existencia de mecanismos y procedimientos con el propósito de garantizar la participación de las comunidades y los habitantes en la conservación, gestión y uso sostenible de los recursos naturales y el medio ambiente, también el RF</w:t>
            </w:r>
            <w:r w:rsidRPr="009A27ED">
              <w:rPr>
                <w:rFonts w:eastAsia="Calibri"/>
                <w:szCs w:val="20"/>
                <w:vertAlign w:val="superscript"/>
              </w:rPr>
              <w:endnoteReference w:id="79"/>
            </w:r>
            <w:r w:rsidRPr="009A27ED">
              <w:rPr>
                <w:rFonts w:eastAsia="Calibri"/>
                <w:szCs w:val="20"/>
              </w:rPr>
              <w:t>, la Estrategia Nacional de Desarrollo</w:t>
            </w:r>
            <w:r w:rsidRPr="009A27ED">
              <w:rPr>
                <w:rFonts w:eastAsia="Calibri"/>
                <w:szCs w:val="20"/>
                <w:vertAlign w:val="superscript"/>
              </w:rPr>
              <w:endnoteReference w:id="80"/>
            </w:r>
            <w:r w:rsidRPr="009A27ED">
              <w:rPr>
                <w:rFonts w:eastAsia="Calibri"/>
                <w:szCs w:val="20"/>
              </w:rPr>
              <w:t>, La Ley Sectorial de Áreas Protegidas</w:t>
            </w:r>
            <w:r w:rsidRPr="009A27ED">
              <w:rPr>
                <w:rFonts w:eastAsia="Calibri"/>
                <w:szCs w:val="20"/>
                <w:vertAlign w:val="superscript"/>
              </w:rPr>
              <w:endnoteReference w:id="81"/>
            </w:r>
            <w:r w:rsidRPr="009A27ED">
              <w:rPr>
                <w:rFonts w:eastAsia="Calibri"/>
                <w:szCs w:val="20"/>
              </w:rPr>
              <w:t xml:space="preserve"> y el Reglamento del Sistema de Autorizaciones Ambientales</w:t>
            </w:r>
            <w:r w:rsidRPr="009A27ED">
              <w:rPr>
                <w:rFonts w:eastAsia="Calibri"/>
                <w:szCs w:val="20"/>
                <w:vertAlign w:val="superscript"/>
              </w:rPr>
              <w:endnoteReference w:id="82"/>
            </w:r>
            <w:r w:rsidRPr="009A27ED">
              <w:rPr>
                <w:rFonts w:eastAsia="Calibri"/>
                <w:szCs w:val="20"/>
              </w:rPr>
              <w:t>, son todos instrumentos que se refieren a este aspecto.</w:t>
            </w:r>
          </w:p>
          <w:p w14:paraId="062851EA" w14:textId="3E92300D" w:rsidR="005936A7" w:rsidRPr="009A27ED" w:rsidRDefault="00FD4CB4" w:rsidP="00FD4CB4">
            <w:pPr>
              <w:rPr>
                <w:b/>
                <w:sz w:val="20"/>
                <w:szCs w:val="20"/>
              </w:rPr>
            </w:pPr>
            <w:r w:rsidRPr="009A27ED">
              <w:rPr>
                <w:rFonts w:eastAsia="Calibri"/>
                <w:szCs w:val="20"/>
              </w:rPr>
              <w:t>La Ley sobre los Derechos de las Personas en sus Relaciones con la Administración y de Procedimiento Administrativo</w:t>
            </w:r>
            <w:r w:rsidRPr="009A27ED">
              <w:rPr>
                <w:rFonts w:eastAsia="Calibri"/>
                <w:szCs w:val="20"/>
                <w:vertAlign w:val="superscript"/>
              </w:rPr>
              <w:endnoteReference w:id="83"/>
            </w:r>
            <w:r w:rsidRPr="009A27ED">
              <w:rPr>
                <w:rFonts w:eastAsia="Calibri"/>
                <w:szCs w:val="20"/>
              </w:rPr>
              <w:t xml:space="preserve"> prevé la audiencia de los ciudadanos afectados en sus derechos y participación del público como principio aplicable a la elaboración de reglamentos, planes o programas. Reconociendo la participación del público en general, con independencia de que se vea o no afectado directamente, los principales mecanismos de participación identificados son: 1) Consejos Ambientales Provinciales;</w:t>
            </w:r>
            <w:r w:rsidRPr="009A27ED">
              <w:rPr>
                <w:rFonts w:eastAsia="Calibri"/>
                <w:szCs w:val="20"/>
                <w:vertAlign w:val="superscript"/>
              </w:rPr>
              <w:endnoteReference w:id="84"/>
            </w:r>
            <w:r w:rsidRPr="009A27ED">
              <w:rPr>
                <w:rFonts w:eastAsia="Calibri"/>
                <w:szCs w:val="20"/>
              </w:rPr>
              <w:t xml:space="preserve"> 2) Las Comisiones Forestales Regionales;</w:t>
            </w:r>
            <w:r w:rsidRPr="009A27ED">
              <w:rPr>
                <w:rFonts w:eastAsia="Calibri"/>
                <w:szCs w:val="20"/>
                <w:vertAlign w:val="superscript"/>
              </w:rPr>
              <w:endnoteReference w:id="85"/>
            </w:r>
            <w:r w:rsidRPr="009A27ED">
              <w:rPr>
                <w:rFonts w:eastAsia="Calibri"/>
                <w:szCs w:val="20"/>
              </w:rPr>
              <w:t xml:space="preserve"> y 3) Consulta pública en los procesos de autorizaciones ambientales; y 4) Audiencias públicas en los procesos de autorizaciones ambientales y Participación en la gestión y manejo de áreas protegidas.</w:t>
            </w:r>
          </w:p>
        </w:tc>
        <w:tc>
          <w:tcPr>
            <w:tcW w:w="4525" w:type="dxa"/>
            <w:shd w:val="clear" w:color="auto" w:fill="auto"/>
          </w:tcPr>
          <w:p w14:paraId="74E70A5E" w14:textId="638A7B4B" w:rsidR="000C7570" w:rsidRPr="009A27ED" w:rsidRDefault="000C7570" w:rsidP="00FD4CB4">
            <w:pPr>
              <w:autoSpaceDE w:val="0"/>
              <w:autoSpaceDN w:val="0"/>
              <w:adjustRightInd w:val="0"/>
              <w:spacing w:after="0"/>
              <w:rPr>
                <w:rFonts w:eastAsia="Calibri"/>
                <w:szCs w:val="20"/>
              </w:rPr>
            </w:pPr>
          </w:p>
          <w:p w14:paraId="33F73F9F" w14:textId="621BD97C" w:rsidR="00276570" w:rsidRPr="009A27ED" w:rsidRDefault="00276570" w:rsidP="00FD4CB4">
            <w:pPr>
              <w:rPr>
                <w:b/>
                <w:sz w:val="20"/>
                <w:szCs w:val="20"/>
              </w:rPr>
            </w:pPr>
            <w:r w:rsidRPr="009A27ED">
              <w:rPr>
                <w:b/>
                <w:sz w:val="20"/>
                <w:szCs w:val="20"/>
              </w:rPr>
              <w:t xml:space="preserve">Promover el conocimiento entre los interesados acerca del </w:t>
            </w:r>
            <w:r w:rsidR="00431EE5" w:rsidRPr="009A27ED">
              <w:rPr>
                <w:b/>
                <w:sz w:val="20"/>
                <w:szCs w:val="20"/>
              </w:rPr>
              <w:t>marco legal</w:t>
            </w:r>
            <w:r w:rsidRPr="009A27ED">
              <w:rPr>
                <w:b/>
                <w:sz w:val="20"/>
                <w:szCs w:val="20"/>
              </w:rPr>
              <w:t xml:space="preserve"> y regulatorio en el país para la participación ciudadana en las acciones REDD+</w:t>
            </w:r>
          </w:p>
          <w:p w14:paraId="53DB3C6C" w14:textId="45EFA7D8" w:rsidR="005936A7" w:rsidRPr="009A27ED" w:rsidRDefault="00276570" w:rsidP="00FD4CB4">
            <w:pPr>
              <w:rPr>
                <w:b/>
                <w:sz w:val="20"/>
                <w:szCs w:val="20"/>
              </w:rPr>
            </w:pPr>
            <w:r w:rsidRPr="009A27ED">
              <w:rPr>
                <w:b/>
                <w:sz w:val="20"/>
                <w:szCs w:val="20"/>
              </w:rPr>
              <w:t>En cada convocatoria se</w:t>
            </w:r>
            <w:r w:rsidR="00431EE5" w:rsidRPr="009A27ED">
              <w:rPr>
                <w:b/>
                <w:sz w:val="20"/>
                <w:szCs w:val="20"/>
              </w:rPr>
              <w:t xml:space="preserve"> deberán aplicar </w:t>
            </w:r>
            <w:r w:rsidRPr="009A27ED">
              <w:rPr>
                <w:b/>
                <w:sz w:val="20"/>
                <w:szCs w:val="20"/>
              </w:rPr>
              <w:t xml:space="preserve">los reglamentos ya establecidos en los sistemas y mecanismos de gobernanza del programa REDD+ que permitirán la participación plena y efectiva </w:t>
            </w:r>
          </w:p>
        </w:tc>
      </w:tr>
    </w:tbl>
    <w:p w14:paraId="411B365A" w14:textId="77777777" w:rsidR="00FD4CB4" w:rsidRPr="009A27ED" w:rsidRDefault="00FD4CB4">
      <w:pPr>
        <w:spacing w:line="360" w:lineRule="auto"/>
      </w:pPr>
      <w:r w:rsidRPr="009A27ED">
        <w:rPr>
          <w:rFonts w:ascii="Times New Roman" w:eastAsia="Times New Roman" w:hAnsi="Times New Roman"/>
          <w:sz w:val="24"/>
        </w:rPr>
        <w:br w:type="page"/>
      </w:r>
    </w:p>
    <w:tbl>
      <w:tblPr>
        <w:tblStyle w:val="Tablaconcuadrcula"/>
        <w:tblW w:w="0" w:type="auto"/>
        <w:tblLook w:val="04A0" w:firstRow="1" w:lastRow="0" w:firstColumn="1" w:lastColumn="0" w:noHBand="0" w:noVBand="1"/>
      </w:tblPr>
      <w:tblGrid>
        <w:gridCol w:w="4525"/>
        <w:gridCol w:w="4525"/>
      </w:tblGrid>
      <w:tr w:rsidR="005936A7" w:rsidRPr="009A27ED" w14:paraId="05F51FC3" w14:textId="77777777" w:rsidTr="00562F95">
        <w:tc>
          <w:tcPr>
            <w:tcW w:w="4525" w:type="dxa"/>
            <w:shd w:val="clear" w:color="auto" w:fill="auto"/>
          </w:tcPr>
          <w:p w14:paraId="17990C5A" w14:textId="6CA2EAEB" w:rsidR="00FD4CB4" w:rsidRPr="009A27ED" w:rsidRDefault="00FD4CB4" w:rsidP="00FD4CB4">
            <w:pPr>
              <w:autoSpaceDE w:val="0"/>
              <w:autoSpaceDN w:val="0"/>
              <w:adjustRightInd w:val="0"/>
              <w:spacing w:after="0"/>
              <w:rPr>
                <w:rFonts w:eastAsia="Calibri"/>
                <w:b/>
                <w:szCs w:val="20"/>
              </w:rPr>
            </w:pPr>
            <w:r w:rsidRPr="009A27ED">
              <w:rPr>
                <w:rFonts w:eastAsia="Calibri"/>
                <w:b/>
                <w:szCs w:val="20"/>
              </w:rPr>
              <w:lastRenderedPageBreak/>
              <w:t>Acceso a la Justicia en la toma de decisiones</w:t>
            </w:r>
          </w:p>
          <w:p w14:paraId="5B5D931E" w14:textId="657B911D" w:rsidR="005936A7" w:rsidRPr="009A27ED" w:rsidRDefault="00FD4CB4" w:rsidP="00FD4CB4">
            <w:pPr>
              <w:rPr>
                <w:b/>
                <w:sz w:val="20"/>
                <w:szCs w:val="20"/>
              </w:rPr>
            </w:pPr>
            <w:r w:rsidRPr="009A27ED">
              <w:rPr>
                <w:rFonts w:eastAsia="Calibri"/>
                <w:szCs w:val="20"/>
              </w:rPr>
              <w:t>La implementación de Mecanismos de acceso a la justicia/resolución conflicto relativo a la toma de decisiones ambientales, la ley No. 64-00</w:t>
            </w:r>
            <w:r w:rsidRPr="009A27ED">
              <w:rPr>
                <w:rFonts w:eastAsia="Calibri"/>
                <w:szCs w:val="20"/>
                <w:vertAlign w:val="superscript"/>
              </w:rPr>
              <w:endnoteReference w:id="86"/>
            </w:r>
            <w:r w:rsidRPr="009A27ED">
              <w:rPr>
                <w:rFonts w:eastAsia="Calibri"/>
                <w:szCs w:val="20"/>
              </w:rPr>
              <w:t xml:space="preserve"> contempla el derecho para denunciar y querellarse por todo hecho, acción, factor, proceso, o la omisión u obstaculización de ellos, que haya causado, esté causando o pueda causar daño, degradación, menoscabo, contaminación y/o deterioro del medio ambiente y los recursos naturales, así como exigir al Ministerio de Medio Ambiente y Recursos Naturales y cualquier otra autoridad competente, o ante la Procuraduría del Medio Ambiente y Recursos Naturales, el cumplimiento de las obligaciones establecidas en la normatividad ambiental</w:t>
            </w:r>
          </w:p>
        </w:tc>
        <w:tc>
          <w:tcPr>
            <w:tcW w:w="4525" w:type="dxa"/>
            <w:shd w:val="clear" w:color="auto" w:fill="auto"/>
          </w:tcPr>
          <w:p w14:paraId="75483304" w14:textId="77777777" w:rsidR="009E54A7" w:rsidRPr="009A27ED" w:rsidRDefault="009E54A7" w:rsidP="00FD4CB4">
            <w:pPr>
              <w:rPr>
                <w:rFonts w:eastAsia="Calibri"/>
                <w:szCs w:val="20"/>
              </w:rPr>
            </w:pPr>
            <w:r w:rsidRPr="009A27ED">
              <w:rPr>
                <w:rFonts w:eastAsia="Calibri"/>
                <w:szCs w:val="20"/>
              </w:rPr>
              <w:t xml:space="preserve">Aplicar los instrumentos de quejas, reclamos y manejo de conflictos, como medio para que las personas puedan presentar cualquier demanda sobre vulneración de derechos, de discriminación o exclusión. Para esto se hará público en la página de ministerio de medio ambiente el Sistema de Quejas, Reclamos y Manejo de Conflictos (SQRC). </w:t>
            </w:r>
          </w:p>
          <w:p w14:paraId="2FE1D6AB" w14:textId="500BF1CD" w:rsidR="005936A7" w:rsidRPr="009A27ED" w:rsidRDefault="00FD4CB4" w:rsidP="00FD4CB4">
            <w:pPr>
              <w:rPr>
                <w:b/>
                <w:sz w:val="20"/>
                <w:szCs w:val="20"/>
              </w:rPr>
            </w:pPr>
            <w:r w:rsidRPr="009A27ED">
              <w:rPr>
                <w:rFonts w:eastAsia="Calibri"/>
                <w:szCs w:val="20"/>
              </w:rPr>
              <w:t xml:space="preserve">Se resalta la necesidad de </w:t>
            </w:r>
            <w:r w:rsidRPr="009A27ED">
              <w:rPr>
                <w:rFonts w:eastAsia="Calibri"/>
                <w:b/>
                <w:szCs w:val="20"/>
              </w:rPr>
              <w:t>identificar cuáles son los mecanismos judiciales y administrativos que podrán tener competencias, y jurisdicción en las actividades REDD+ de República Dominicana</w:t>
            </w:r>
          </w:p>
        </w:tc>
      </w:tr>
    </w:tbl>
    <w:p w14:paraId="069FF29D" w14:textId="412B2602" w:rsidR="007D5516" w:rsidRPr="009A27ED" w:rsidRDefault="007D5516">
      <w:pPr>
        <w:spacing w:after="160" w:line="360" w:lineRule="auto"/>
        <w:rPr>
          <w:lang w:val="es-SV"/>
        </w:rPr>
      </w:pPr>
    </w:p>
    <w:tbl>
      <w:tblPr>
        <w:tblStyle w:val="TableGrid1"/>
        <w:tblpPr w:leftFromText="180" w:rightFromText="180" w:vertAnchor="text" w:horzAnchor="margin" w:tblpY="-1700"/>
        <w:tblW w:w="9067" w:type="dxa"/>
        <w:shd w:val="clear" w:color="auto" w:fill="C2D69B"/>
        <w:tblLook w:val="04A0" w:firstRow="1" w:lastRow="0" w:firstColumn="1" w:lastColumn="0" w:noHBand="0" w:noVBand="1"/>
      </w:tblPr>
      <w:tblGrid>
        <w:gridCol w:w="4531"/>
        <w:gridCol w:w="4536"/>
      </w:tblGrid>
      <w:tr w:rsidR="0085128C" w:rsidRPr="009A27ED" w14:paraId="585873BD" w14:textId="77777777" w:rsidTr="00FD4CB4">
        <w:tc>
          <w:tcPr>
            <w:tcW w:w="4531" w:type="dxa"/>
            <w:shd w:val="clear" w:color="auto" w:fill="FFFFFF" w:themeFill="background1"/>
          </w:tcPr>
          <w:p w14:paraId="086E068C" w14:textId="77777777" w:rsidR="0085128C" w:rsidRPr="009A27ED" w:rsidRDefault="0085128C" w:rsidP="0085128C">
            <w:pPr>
              <w:autoSpaceDE w:val="0"/>
              <w:autoSpaceDN w:val="0"/>
              <w:adjustRightInd w:val="0"/>
              <w:spacing w:after="0"/>
              <w:rPr>
                <w:rFonts w:eastAsia="Calibri"/>
                <w:b/>
                <w:szCs w:val="20"/>
              </w:rPr>
            </w:pPr>
            <w:r w:rsidRPr="009A27ED">
              <w:rPr>
                <w:rFonts w:eastAsia="Calibri"/>
                <w:b/>
                <w:szCs w:val="20"/>
              </w:rPr>
              <w:t>Participación efectiva de las Comunidades Locales</w:t>
            </w:r>
          </w:p>
          <w:p w14:paraId="7FFDCD59" w14:textId="77777777" w:rsidR="0085128C" w:rsidRPr="009A27ED" w:rsidRDefault="0085128C" w:rsidP="0085128C">
            <w:pPr>
              <w:autoSpaceDE w:val="0"/>
              <w:autoSpaceDN w:val="0"/>
              <w:adjustRightInd w:val="0"/>
              <w:spacing w:after="0"/>
              <w:rPr>
                <w:rFonts w:eastAsia="Calibri"/>
                <w:szCs w:val="20"/>
              </w:rPr>
            </w:pPr>
            <w:r w:rsidRPr="009A27ED">
              <w:rPr>
                <w:rFonts w:eastAsia="Calibri"/>
                <w:szCs w:val="20"/>
              </w:rPr>
              <w:t>El marco legal establece la incorporación de la cultura, las estructuras tradicionales y comunitarias en la toma de decisiones. La LSAP</w:t>
            </w:r>
            <w:r w:rsidRPr="009A27ED">
              <w:rPr>
                <w:rFonts w:eastAsia="Calibri"/>
                <w:szCs w:val="20"/>
                <w:vertAlign w:val="superscript"/>
              </w:rPr>
              <w:endnoteReference w:id="87"/>
            </w:r>
            <w:r w:rsidRPr="009A27ED">
              <w:rPr>
                <w:rFonts w:eastAsia="Calibri"/>
                <w:szCs w:val="20"/>
              </w:rPr>
              <w:t xml:space="preserve"> prevé como uno de los objetivos del Sistema Nacional de Áreas Protegidas proteger los atributos culturales específicos y los conocimientos tradicionales de las poblaciones locales, así como las prácticas de las comunidades locales. Se reconoce la existencia de usos comunitarios o culturales de especies endémicas y la necesidad de tomar en cuenta las prácticas culturales existentes para asegurar la conservación a largo plazo de las especies.</w:t>
            </w:r>
          </w:p>
          <w:p w14:paraId="46BBBAC7" w14:textId="77777777" w:rsidR="0085128C" w:rsidRPr="009A27ED" w:rsidRDefault="0085128C" w:rsidP="0085128C">
            <w:pPr>
              <w:autoSpaceDE w:val="0"/>
              <w:autoSpaceDN w:val="0"/>
              <w:adjustRightInd w:val="0"/>
              <w:spacing w:after="0"/>
              <w:rPr>
                <w:rFonts w:eastAsia="Calibri"/>
                <w:b/>
                <w:szCs w:val="20"/>
              </w:rPr>
            </w:pPr>
          </w:p>
        </w:tc>
        <w:tc>
          <w:tcPr>
            <w:tcW w:w="4536" w:type="dxa"/>
            <w:shd w:val="clear" w:color="auto" w:fill="FFFFFF" w:themeFill="background1"/>
          </w:tcPr>
          <w:p w14:paraId="36E05CE4" w14:textId="431D0C57" w:rsidR="0085128C" w:rsidRPr="009A27ED" w:rsidRDefault="00431EE5" w:rsidP="00431EE5">
            <w:pPr>
              <w:autoSpaceDE w:val="0"/>
              <w:autoSpaceDN w:val="0"/>
              <w:adjustRightInd w:val="0"/>
              <w:spacing w:after="0"/>
              <w:rPr>
                <w:rFonts w:eastAsia="Calibri"/>
                <w:szCs w:val="20"/>
              </w:rPr>
            </w:pPr>
            <w:r w:rsidRPr="009A27ED">
              <w:rPr>
                <w:rFonts w:eastAsia="Calibri"/>
                <w:szCs w:val="20"/>
              </w:rPr>
              <w:t>Promover el conocimiento entre los interesados acerca del marco legal y regulatorio en el país para la participación ciudadana en las acciones REDD+</w:t>
            </w:r>
          </w:p>
        </w:tc>
      </w:tr>
    </w:tbl>
    <w:p w14:paraId="7AE3EE93" w14:textId="491DEA13" w:rsidR="0085128C" w:rsidRPr="009A27ED" w:rsidRDefault="0085128C" w:rsidP="00D451BA">
      <w:pPr>
        <w:pStyle w:val="PARRMARN"/>
        <w:spacing w:line="360" w:lineRule="auto"/>
        <w:contextualSpacing/>
        <w:rPr>
          <w:rFonts w:asciiTheme="minorHAnsi" w:hAnsiTheme="minorHAnsi" w:cstheme="minorHAnsi"/>
          <w:i/>
        </w:rPr>
      </w:pPr>
    </w:p>
    <w:p w14:paraId="795A0231" w14:textId="26D982AE" w:rsidR="00214684" w:rsidRPr="009A27ED" w:rsidRDefault="005D0285" w:rsidP="00B80189">
      <w:pPr>
        <w:pStyle w:val="Ttulo3"/>
        <w:numPr>
          <w:ilvl w:val="0"/>
          <w:numId w:val="0"/>
        </w:numPr>
        <w:spacing w:line="360" w:lineRule="auto"/>
        <w:ind w:left="720"/>
        <w:jc w:val="both"/>
      </w:pPr>
      <w:bookmarkStart w:id="210" w:name="_Toc111837942"/>
      <w:bookmarkStart w:id="211" w:name="_Toc529469998"/>
      <w:bookmarkStart w:id="212" w:name="_Toc532335861"/>
      <w:r w:rsidRPr="009A27ED">
        <w:rPr>
          <w:rFonts w:ascii="Times New Roman" w:eastAsia="Times New Roman" w:hAnsi="Times New Roman"/>
          <w:sz w:val="24"/>
        </w:rPr>
        <w:t xml:space="preserve">3.3.5 </w:t>
      </w:r>
      <w:r w:rsidR="00947670" w:rsidRPr="009A27ED">
        <w:rPr>
          <w:rFonts w:ascii="Times New Roman" w:eastAsia="Times New Roman" w:hAnsi="Times New Roman"/>
          <w:sz w:val="24"/>
        </w:rPr>
        <w:t>Salvaguarda E</w:t>
      </w:r>
      <w:bookmarkEnd w:id="210"/>
      <w:r w:rsidR="00947670" w:rsidRPr="009A27ED">
        <w:rPr>
          <w:rFonts w:ascii="Times New Roman" w:eastAsia="Times New Roman" w:hAnsi="Times New Roman"/>
          <w:sz w:val="24"/>
        </w:rPr>
        <w:t xml:space="preserve"> </w:t>
      </w:r>
      <w:bookmarkEnd w:id="211"/>
      <w:bookmarkEnd w:id="212"/>
    </w:p>
    <w:p w14:paraId="2EF7B7BF" w14:textId="77777777" w:rsidR="00F43DB6" w:rsidRPr="009A27ED" w:rsidRDefault="00F43DB6" w:rsidP="00F43DB6">
      <w:pPr>
        <w:pStyle w:val="Descripcin"/>
        <w:keepNext/>
        <w:spacing w:line="360" w:lineRule="auto"/>
      </w:pPr>
    </w:p>
    <w:p w14:paraId="787EB5BF" w14:textId="50E1D9AA" w:rsidR="00F43DB6" w:rsidRPr="009A27ED" w:rsidRDefault="00F43DB6" w:rsidP="00F43DB6">
      <w:pPr>
        <w:pStyle w:val="Descripcin"/>
        <w:keepNext/>
        <w:spacing w:line="360" w:lineRule="auto"/>
      </w:pPr>
      <w:bookmarkStart w:id="213" w:name="_Toc111887447"/>
      <w:r w:rsidRPr="009A27ED">
        <w:rPr>
          <w:rFonts w:ascii="Times New Roman" w:eastAsia="Times New Roman" w:hAnsi="Times New Roman"/>
          <w:sz w:val="24"/>
        </w:rPr>
        <w:t xml:space="preserve">Cuadro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Cuadro \* ARABIC </w:instrText>
      </w:r>
      <w:r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37</w:t>
      </w:r>
      <w:r w:rsidRPr="009A27ED">
        <w:rPr>
          <w:rFonts w:ascii="Times New Roman" w:eastAsia="Times New Roman" w:hAnsi="Times New Roman"/>
          <w:sz w:val="24"/>
        </w:rPr>
        <w:fldChar w:fldCharType="end"/>
      </w:r>
      <w:r w:rsidRPr="009A27ED">
        <w:rPr>
          <w:rFonts w:ascii="Times New Roman" w:eastAsia="Times New Roman" w:hAnsi="Times New Roman"/>
          <w:sz w:val="24"/>
        </w:rPr>
        <w:t>.  Marco legal relevante para asegurar el cumplimiento de la salvaguarda e</w:t>
      </w:r>
      <w:bookmarkEnd w:id="213"/>
    </w:p>
    <w:tbl>
      <w:tblPr>
        <w:tblStyle w:val="TableGrid1"/>
        <w:tblpPr w:leftFromText="180" w:rightFromText="180" w:vertAnchor="text" w:horzAnchor="page" w:tblpX="1615" w:tblpY="144"/>
        <w:tblW w:w="8920" w:type="dxa"/>
        <w:shd w:val="clear" w:color="auto" w:fill="C2D69B"/>
        <w:tblLook w:val="04A0" w:firstRow="1" w:lastRow="0" w:firstColumn="1" w:lastColumn="0" w:noHBand="0" w:noVBand="1"/>
      </w:tblPr>
      <w:tblGrid>
        <w:gridCol w:w="4330"/>
        <w:gridCol w:w="4590"/>
      </w:tblGrid>
      <w:tr w:rsidR="00E3636E" w:rsidRPr="009A27ED" w14:paraId="59FB0CC2" w14:textId="77777777" w:rsidTr="00D42EDE">
        <w:tc>
          <w:tcPr>
            <w:tcW w:w="8920" w:type="dxa"/>
            <w:gridSpan w:val="2"/>
            <w:shd w:val="clear" w:color="auto" w:fill="auto"/>
          </w:tcPr>
          <w:p w14:paraId="34E3DE09" w14:textId="77777777" w:rsidR="00E3636E" w:rsidRPr="009A27ED" w:rsidRDefault="00E3636E" w:rsidP="00D42EDE">
            <w:pPr>
              <w:rPr>
                <w:szCs w:val="20"/>
              </w:rPr>
            </w:pPr>
            <w:r w:rsidRPr="009A27ED">
              <w:rPr>
                <w:b/>
                <w:szCs w:val="20"/>
              </w:rPr>
              <w:t>Descripción de la salvaguarda:</w:t>
            </w:r>
            <w:r w:rsidRPr="009A27ED">
              <w:rPr>
                <w:szCs w:val="20"/>
              </w:rPr>
              <w:t xml:space="preserve"> “La compatibilidad de las medidas con la conservación de los bosques naturales y la diversidad biológica, velando por que las que se indican en el párrafo 70 de la presente decisión no se utilicen para la conversión de bosques naturales, sino que sirvan, en cambio, para incentivar la protección y la conservación de esos bosques y los servicios derivados de sus ecosistemas y para potenciar otros beneficios sociales y ambientales;”</w:t>
            </w:r>
          </w:p>
          <w:p w14:paraId="24C9D25E" w14:textId="77777777" w:rsidR="00E3636E" w:rsidRPr="009A27ED" w:rsidRDefault="00E3636E" w:rsidP="00D42EDE">
            <w:pPr>
              <w:rPr>
                <w:szCs w:val="20"/>
              </w:rPr>
            </w:pPr>
            <w:r w:rsidRPr="009A27ED">
              <w:rPr>
                <w:b/>
                <w:szCs w:val="20"/>
              </w:rPr>
              <w:t>Interpretación de la salvaguarda (e) de la CMNUCC en República Dominicana:</w:t>
            </w:r>
            <w:r w:rsidRPr="009A27ED">
              <w:rPr>
                <w:szCs w:val="20"/>
              </w:rPr>
              <w:t xml:space="preserve"> La Estrategia Nacional REDD+ se encuentra alineada con las medidas nacionales para la protección de los bosques y biodiversidad, garantizando la no conversión de los bosques naturales, y la promoción de beneficios ambientales y sociales.</w:t>
            </w:r>
          </w:p>
          <w:p w14:paraId="6D98247B" w14:textId="77777777" w:rsidR="00E3636E" w:rsidRPr="009A27ED" w:rsidRDefault="00E3636E" w:rsidP="00D42EDE">
            <w:pPr>
              <w:pStyle w:val="Textosubrayado"/>
              <w:rPr>
                <w:rFonts w:eastAsiaTheme="minorEastAsia"/>
                <w:color w:val="000000"/>
                <w:szCs w:val="20"/>
                <w:u w:val="none"/>
              </w:rPr>
            </w:pPr>
            <w:r w:rsidRPr="009A27ED">
              <w:rPr>
                <w:b/>
                <w:szCs w:val="20"/>
                <w:u w:val="none"/>
              </w:rPr>
              <w:t>Instrumentos legales vigentes y relevantes para la salvaguarda d) REDD+ de la CMNUCC identificados</w:t>
            </w:r>
            <w:r w:rsidRPr="009A27ED">
              <w:rPr>
                <w:rFonts w:eastAsiaTheme="minorEastAsia"/>
                <w:color w:val="000000"/>
                <w:szCs w:val="20"/>
                <w:u w:val="none"/>
              </w:rPr>
              <w:t xml:space="preserve">: </w:t>
            </w:r>
          </w:p>
          <w:p w14:paraId="00BC75B4" w14:textId="77777777" w:rsidR="00E3636E" w:rsidRPr="009A27ED" w:rsidRDefault="00E3636E" w:rsidP="00D42802">
            <w:pPr>
              <w:pStyle w:val="Apunteoticket"/>
              <w:numPr>
                <w:ilvl w:val="1"/>
                <w:numId w:val="61"/>
              </w:numPr>
              <w:rPr>
                <w:rFonts w:cstheme="minorHAnsi"/>
                <w:szCs w:val="20"/>
              </w:rPr>
            </w:pPr>
            <w:r w:rsidRPr="009A27ED">
              <w:rPr>
                <w:rFonts w:cstheme="minorHAnsi"/>
                <w:szCs w:val="20"/>
              </w:rPr>
              <w:t>Constitución Política Dominicana (CPD)</w:t>
            </w:r>
          </w:p>
          <w:p w14:paraId="58FC26F9" w14:textId="77777777" w:rsidR="00E3636E" w:rsidRPr="009A27ED" w:rsidRDefault="00E3636E" w:rsidP="00D42802">
            <w:pPr>
              <w:pStyle w:val="Apunteoticket"/>
              <w:numPr>
                <w:ilvl w:val="1"/>
                <w:numId w:val="61"/>
              </w:numPr>
              <w:rPr>
                <w:rFonts w:cstheme="minorHAnsi"/>
                <w:szCs w:val="20"/>
              </w:rPr>
            </w:pPr>
            <w:r w:rsidRPr="009A27ED">
              <w:rPr>
                <w:rFonts w:cstheme="minorHAnsi"/>
                <w:szCs w:val="20"/>
              </w:rPr>
              <w:t xml:space="preserve">Ley General sobre Medio Ambiente y Recursos Naturales (LGMARENA, Ley No. 64-00) </w:t>
            </w:r>
          </w:p>
          <w:p w14:paraId="5C6FFB38" w14:textId="77777777" w:rsidR="00E3636E" w:rsidRPr="009A27ED" w:rsidRDefault="00E3636E" w:rsidP="00D42802">
            <w:pPr>
              <w:pStyle w:val="Apunteoticket"/>
              <w:numPr>
                <w:ilvl w:val="1"/>
                <w:numId w:val="61"/>
              </w:numPr>
              <w:rPr>
                <w:rFonts w:cstheme="minorHAnsi"/>
                <w:szCs w:val="20"/>
              </w:rPr>
            </w:pPr>
            <w:r w:rsidRPr="009A27ED">
              <w:rPr>
                <w:rFonts w:cstheme="minorHAnsi"/>
                <w:szCs w:val="20"/>
              </w:rPr>
              <w:t xml:space="preserve">Ley Orgánica de la Estrategia Nacional de Desarrollo de la República Dominicana 2030 (LEND, Ley 1-12)  </w:t>
            </w:r>
          </w:p>
          <w:p w14:paraId="4F0573B3" w14:textId="77777777" w:rsidR="00E3636E" w:rsidRPr="009A27ED" w:rsidRDefault="00E3636E" w:rsidP="00D42802">
            <w:pPr>
              <w:pStyle w:val="Apunteoticket"/>
              <w:numPr>
                <w:ilvl w:val="1"/>
                <w:numId w:val="61"/>
              </w:numPr>
              <w:rPr>
                <w:rFonts w:cstheme="minorHAnsi"/>
                <w:szCs w:val="20"/>
              </w:rPr>
            </w:pPr>
            <w:r w:rsidRPr="009A27ED">
              <w:rPr>
                <w:rFonts w:cstheme="minorHAnsi"/>
                <w:szCs w:val="20"/>
              </w:rPr>
              <w:lastRenderedPageBreak/>
              <w:t>Ley Orgánica de la Administración Pública (LOAP, Ley No. 247-12)</w:t>
            </w:r>
          </w:p>
          <w:p w14:paraId="1F348A7F" w14:textId="77777777" w:rsidR="00E3636E" w:rsidRPr="009A27ED" w:rsidRDefault="00E3636E" w:rsidP="00D42802">
            <w:pPr>
              <w:pStyle w:val="Apunteoticket"/>
              <w:numPr>
                <w:ilvl w:val="1"/>
                <w:numId w:val="61"/>
              </w:numPr>
              <w:rPr>
                <w:rFonts w:cstheme="minorHAnsi"/>
                <w:szCs w:val="20"/>
              </w:rPr>
            </w:pPr>
            <w:r w:rsidRPr="009A27ED">
              <w:rPr>
                <w:rFonts w:cstheme="minorHAnsi"/>
                <w:szCs w:val="20"/>
              </w:rPr>
              <w:t>Ley Sectorial de Áreas Protegidas y Biodiversidad (LSAP, Ley No. 202-04)</w:t>
            </w:r>
          </w:p>
          <w:p w14:paraId="3DB1F644" w14:textId="77777777" w:rsidR="00E3636E" w:rsidRPr="009A27ED" w:rsidRDefault="00E3636E" w:rsidP="00D42802">
            <w:pPr>
              <w:pStyle w:val="Apunteoticket"/>
              <w:numPr>
                <w:ilvl w:val="1"/>
                <w:numId w:val="61"/>
              </w:numPr>
              <w:rPr>
                <w:rFonts w:cstheme="minorHAnsi"/>
                <w:szCs w:val="20"/>
              </w:rPr>
            </w:pPr>
            <w:r w:rsidRPr="009A27ED">
              <w:rPr>
                <w:rFonts w:cstheme="minorHAnsi"/>
                <w:szCs w:val="20"/>
              </w:rPr>
              <w:t>Ley Sectorial sobre Biodiversidad (LSSB, 333-15)</w:t>
            </w:r>
          </w:p>
          <w:p w14:paraId="6F415728" w14:textId="77777777" w:rsidR="00E3636E" w:rsidRPr="009A27ED" w:rsidRDefault="00E3636E" w:rsidP="00D42802">
            <w:pPr>
              <w:pStyle w:val="Apunteoticket"/>
              <w:numPr>
                <w:ilvl w:val="1"/>
                <w:numId w:val="61"/>
              </w:numPr>
              <w:rPr>
                <w:rFonts w:cstheme="minorHAnsi"/>
                <w:szCs w:val="20"/>
              </w:rPr>
            </w:pPr>
            <w:r w:rsidRPr="009A27ED">
              <w:rPr>
                <w:rFonts w:cstheme="minorHAnsi"/>
                <w:szCs w:val="20"/>
              </w:rPr>
              <w:t>Ley sobre Incentivos al Desarrollo Forestal (LSIDF, Ley 290-85)</w:t>
            </w:r>
          </w:p>
          <w:p w14:paraId="38B98C2C" w14:textId="77777777" w:rsidR="00E3636E" w:rsidRPr="009A27ED" w:rsidRDefault="00E3636E" w:rsidP="00D42802">
            <w:pPr>
              <w:pStyle w:val="Apunteoticket"/>
              <w:numPr>
                <w:ilvl w:val="1"/>
                <w:numId w:val="61"/>
              </w:numPr>
              <w:rPr>
                <w:rFonts w:cstheme="minorHAnsi"/>
                <w:szCs w:val="20"/>
              </w:rPr>
            </w:pPr>
            <w:r w:rsidRPr="009A27ED">
              <w:rPr>
                <w:rFonts w:cstheme="minorHAnsi"/>
                <w:szCs w:val="20"/>
              </w:rPr>
              <w:t>Ley Orgánica de Educación de República Dominicana (LOERD, Ley 66-97)</w:t>
            </w:r>
          </w:p>
          <w:p w14:paraId="41434A87" w14:textId="77777777" w:rsidR="00E3636E" w:rsidRPr="009A27ED" w:rsidRDefault="00E3636E" w:rsidP="00D42802">
            <w:pPr>
              <w:pStyle w:val="Apunteoticket"/>
              <w:numPr>
                <w:ilvl w:val="1"/>
                <w:numId w:val="61"/>
              </w:numPr>
              <w:rPr>
                <w:rFonts w:cstheme="minorHAnsi"/>
                <w:szCs w:val="20"/>
              </w:rPr>
            </w:pPr>
            <w:r w:rsidRPr="009A27ED">
              <w:rPr>
                <w:rFonts w:cstheme="minorHAnsi"/>
                <w:szCs w:val="20"/>
              </w:rPr>
              <w:t>Ley Sobre Conservación Forestal y Árboles Frutales (LCFAF, Ley 5856-62)</w:t>
            </w:r>
          </w:p>
          <w:p w14:paraId="4D8EEF04" w14:textId="77777777" w:rsidR="00E3636E" w:rsidRPr="009A27ED" w:rsidRDefault="00E3636E" w:rsidP="00D42802">
            <w:pPr>
              <w:pStyle w:val="Apunteoticket"/>
              <w:numPr>
                <w:ilvl w:val="1"/>
                <w:numId w:val="61"/>
              </w:numPr>
              <w:rPr>
                <w:rFonts w:cstheme="minorHAnsi"/>
                <w:szCs w:val="20"/>
              </w:rPr>
            </w:pPr>
            <w:r w:rsidRPr="009A27ED">
              <w:rPr>
                <w:rFonts w:cstheme="minorHAnsi"/>
                <w:szCs w:val="20"/>
              </w:rPr>
              <w:t>Anteproyecto de Ley Sectorial Forestal (PLSF)</w:t>
            </w:r>
          </w:p>
          <w:p w14:paraId="7F743B59" w14:textId="77777777" w:rsidR="00E3636E" w:rsidRPr="009A27ED" w:rsidRDefault="00E3636E" w:rsidP="00D42802">
            <w:pPr>
              <w:pStyle w:val="Apunteoticket"/>
              <w:numPr>
                <w:ilvl w:val="1"/>
                <w:numId w:val="61"/>
              </w:numPr>
              <w:rPr>
                <w:rFonts w:cstheme="minorHAnsi"/>
                <w:szCs w:val="20"/>
              </w:rPr>
            </w:pPr>
            <w:r w:rsidRPr="009A27ED">
              <w:rPr>
                <w:rFonts w:cstheme="minorHAnsi"/>
                <w:szCs w:val="20"/>
              </w:rPr>
              <w:t xml:space="preserve">Reglamento Forestal (RF) </w:t>
            </w:r>
          </w:p>
          <w:p w14:paraId="2915CFCD" w14:textId="77777777" w:rsidR="00E3636E" w:rsidRPr="009A27ED" w:rsidRDefault="00E3636E" w:rsidP="00D42802">
            <w:pPr>
              <w:pStyle w:val="Apunteoticket"/>
              <w:numPr>
                <w:ilvl w:val="1"/>
                <w:numId w:val="61"/>
              </w:numPr>
              <w:rPr>
                <w:rFonts w:cstheme="minorHAnsi"/>
                <w:szCs w:val="20"/>
              </w:rPr>
            </w:pPr>
            <w:r w:rsidRPr="009A27ED">
              <w:rPr>
                <w:rFonts w:cstheme="minorHAnsi"/>
                <w:szCs w:val="20"/>
              </w:rPr>
              <w:t>Reglamento del Sistema de Autorizaciones Ambientales (RSAA)</w:t>
            </w:r>
          </w:p>
          <w:p w14:paraId="44D1B8B9" w14:textId="77777777" w:rsidR="00E3636E" w:rsidRPr="009A27ED" w:rsidRDefault="00E3636E" w:rsidP="00D42802">
            <w:pPr>
              <w:pStyle w:val="Apunteoticket"/>
              <w:numPr>
                <w:ilvl w:val="1"/>
                <w:numId w:val="61"/>
              </w:numPr>
              <w:rPr>
                <w:rFonts w:cstheme="minorHAnsi"/>
              </w:rPr>
            </w:pPr>
            <w:r w:rsidRPr="009A27ED">
              <w:rPr>
                <w:rFonts w:cstheme="minorHAnsi"/>
                <w:szCs w:val="20"/>
              </w:rPr>
              <w:t>Normas Técnicas para Planes de Manejo Forestal (NTMF).</w:t>
            </w:r>
          </w:p>
          <w:p w14:paraId="1907C41B" w14:textId="7C225928" w:rsidR="00E3636E" w:rsidRPr="009A27ED" w:rsidRDefault="00E3636E" w:rsidP="00B030CA">
            <w:pPr>
              <w:autoSpaceDE w:val="0"/>
              <w:autoSpaceDN w:val="0"/>
              <w:adjustRightInd w:val="0"/>
              <w:spacing w:after="0"/>
              <w:rPr>
                <w:rFonts w:eastAsia="Calibri"/>
                <w:b/>
                <w:color w:val="FFFFFF" w:themeColor="background1"/>
                <w:szCs w:val="20"/>
              </w:rPr>
            </w:pPr>
          </w:p>
        </w:tc>
      </w:tr>
      <w:tr w:rsidR="00E3636E" w:rsidRPr="009A27ED" w14:paraId="2FB41186" w14:textId="77777777" w:rsidTr="00D42EDE">
        <w:tc>
          <w:tcPr>
            <w:tcW w:w="4330" w:type="dxa"/>
            <w:shd w:val="clear" w:color="auto" w:fill="0070C0"/>
          </w:tcPr>
          <w:p w14:paraId="1CA09AF1" w14:textId="36B9B1B3" w:rsidR="00E3636E" w:rsidRPr="009A27ED" w:rsidRDefault="00E3636E" w:rsidP="00B030CA">
            <w:pPr>
              <w:autoSpaceDE w:val="0"/>
              <w:autoSpaceDN w:val="0"/>
              <w:adjustRightInd w:val="0"/>
              <w:spacing w:after="0"/>
              <w:jc w:val="center"/>
              <w:rPr>
                <w:rFonts w:eastAsia="Calibri"/>
                <w:b/>
                <w:color w:val="FFFFFF" w:themeColor="background1"/>
                <w:szCs w:val="20"/>
              </w:rPr>
            </w:pPr>
            <w:r w:rsidRPr="009A27ED">
              <w:rPr>
                <w:rFonts w:eastAsia="Calibri"/>
                <w:b/>
                <w:color w:val="FFFFFF" w:themeColor="background1"/>
                <w:szCs w:val="20"/>
              </w:rPr>
              <w:t>Marco legal relevante para asegurar cumplimiento con la salvaguarda</w:t>
            </w:r>
          </w:p>
        </w:tc>
        <w:tc>
          <w:tcPr>
            <w:tcW w:w="4590" w:type="dxa"/>
            <w:shd w:val="clear" w:color="auto" w:fill="0070C0"/>
          </w:tcPr>
          <w:p w14:paraId="073B9AA1" w14:textId="77777777" w:rsidR="00E3636E" w:rsidRPr="009A27ED" w:rsidRDefault="00E3636E" w:rsidP="00B030CA">
            <w:pPr>
              <w:autoSpaceDE w:val="0"/>
              <w:autoSpaceDN w:val="0"/>
              <w:adjustRightInd w:val="0"/>
              <w:spacing w:after="0"/>
              <w:jc w:val="center"/>
              <w:rPr>
                <w:rFonts w:eastAsia="Calibri"/>
                <w:b/>
                <w:color w:val="FFFFFF" w:themeColor="background1"/>
                <w:szCs w:val="20"/>
              </w:rPr>
            </w:pPr>
            <w:r w:rsidRPr="009A27ED">
              <w:rPr>
                <w:rFonts w:eastAsia="Calibri"/>
                <w:b/>
                <w:color w:val="FFFFFF" w:themeColor="background1"/>
                <w:szCs w:val="20"/>
              </w:rPr>
              <w:t>Medidas adicionales/recomendaciones</w:t>
            </w:r>
          </w:p>
          <w:p w14:paraId="5864D7B5" w14:textId="77777777" w:rsidR="00E3636E" w:rsidRPr="009A27ED" w:rsidRDefault="00E3636E" w:rsidP="00B030CA">
            <w:pPr>
              <w:autoSpaceDE w:val="0"/>
              <w:autoSpaceDN w:val="0"/>
              <w:adjustRightInd w:val="0"/>
              <w:spacing w:after="0"/>
              <w:jc w:val="center"/>
              <w:rPr>
                <w:rFonts w:eastAsia="Calibri"/>
                <w:b/>
                <w:color w:val="FFFFFF" w:themeColor="background1"/>
                <w:szCs w:val="20"/>
              </w:rPr>
            </w:pPr>
          </w:p>
        </w:tc>
      </w:tr>
      <w:tr w:rsidR="00947670" w:rsidRPr="009A27ED" w14:paraId="7639C640" w14:textId="77777777" w:rsidTr="00D42EDE">
        <w:tc>
          <w:tcPr>
            <w:tcW w:w="4330" w:type="dxa"/>
            <w:shd w:val="clear" w:color="auto" w:fill="FFFFFF" w:themeFill="background1"/>
          </w:tcPr>
          <w:p w14:paraId="0F255D39" w14:textId="77777777" w:rsidR="00947670" w:rsidRPr="009A27ED" w:rsidRDefault="00947670" w:rsidP="00B030CA">
            <w:pPr>
              <w:autoSpaceDE w:val="0"/>
              <w:autoSpaceDN w:val="0"/>
              <w:adjustRightInd w:val="0"/>
              <w:spacing w:after="0"/>
              <w:rPr>
                <w:rFonts w:eastAsia="Calibri"/>
                <w:b/>
                <w:szCs w:val="20"/>
              </w:rPr>
            </w:pPr>
            <w:r w:rsidRPr="009A27ED">
              <w:rPr>
                <w:rFonts w:eastAsia="Calibri"/>
                <w:b/>
                <w:szCs w:val="20"/>
              </w:rPr>
              <w:t>La No conversión de los bosques naturales</w:t>
            </w:r>
          </w:p>
          <w:p w14:paraId="27761904" w14:textId="526E29C9" w:rsidR="00947670" w:rsidRPr="009A27ED" w:rsidRDefault="00EA73D1" w:rsidP="00B030CA">
            <w:pPr>
              <w:autoSpaceDE w:val="0"/>
              <w:autoSpaceDN w:val="0"/>
              <w:adjustRightInd w:val="0"/>
              <w:spacing w:after="0"/>
              <w:rPr>
                <w:rFonts w:eastAsia="Calibri"/>
                <w:szCs w:val="20"/>
              </w:rPr>
            </w:pPr>
            <w:r w:rsidRPr="009A27ED">
              <w:rPr>
                <w:rFonts w:eastAsia="Calibri"/>
                <w:szCs w:val="20"/>
              </w:rPr>
              <w:t>La</w:t>
            </w:r>
            <w:r w:rsidR="00947670" w:rsidRPr="009A27ED">
              <w:rPr>
                <w:rFonts w:eastAsia="Calibri"/>
                <w:szCs w:val="20"/>
              </w:rPr>
              <w:t xml:space="preserve"> Ley 64-00</w:t>
            </w:r>
            <w:r w:rsidR="00947670" w:rsidRPr="009A27ED">
              <w:rPr>
                <w:rFonts w:eastAsia="Calibri"/>
                <w:szCs w:val="20"/>
                <w:vertAlign w:val="superscript"/>
              </w:rPr>
              <w:endnoteReference w:id="88"/>
            </w:r>
            <w:r w:rsidR="00947670" w:rsidRPr="009A27ED">
              <w:rPr>
                <w:rFonts w:eastAsia="Calibri"/>
                <w:szCs w:val="20"/>
              </w:rPr>
              <w:t xml:space="preserve"> y el Reglamento Forestal</w:t>
            </w:r>
            <w:r w:rsidR="00947670" w:rsidRPr="009A27ED">
              <w:rPr>
                <w:rFonts w:eastAsia="Calibri"/>
                <w:szCs w:val="20"/>
                <w:vertAlign w:val="superscript"/>
              </w:rPr>
              <w:endnoteReference w:id="89"/>
            </w:r>
            <w:r w:rsidR="00947670" w:rsidRPr="009A27ED">
              <w:rPr>
                <w:rFonts w:eastAsia="Calibri"/>
                <w:szCs w:val="20"/>
              </w:rPr>
              <w:t xml:space="preserve"> definen al bosque como el área cubierta de árboles como vegetación predominante, con una cobertura de copa mayor a 50%. Mientras que al bosque natural lo definen como un sistema ecológico en el cual predominan los árboles, los cuales han crecido espontáneamente dando paso a los diferentes procesos y relaciones ecológicas que sirven de refugio a la vida silvestre y producen madera y/o productos forestales no madereros y a los Bosques Nacionales como todos los terrenos propiedad del Estado, donde existen bosques de protección, producción o ambos a la vez. </w:t>
            </w:r>
          </w:p>
          <w:p w14:paraId="78AA88F7" w14:textId="77777777" w:rsidR="00947670" w:rsidRPr="009A27ED" w:rsidRDefault="00947670" w:rsidP="00B030CA">
            <w:pPr>
              <w:autoSpaceDE w:val="0"/>
              <w:autoSpaceDN w:val="0"/>
              <w:adjustRightInd w:val="0"/>
              <w:spacing w:after="0"/>
              <w:rPr>
                <w:rFonts w:eastAsia="Calibri"/>
                <w:szCs w:val="20"/>
              </w:rPr>
            </w:pPr>
            <w:r w:rsidRPr="009A27ED">
              <w:rPr>
                <w:rFonts w:eastAsia="Calibri"/>
                <w:szCs w:val="20"/>
              </w:rPr>
              <w:t>La ley 64-00</w:t>
            </w:r>
            <w:r w:rsidRPr="009A27ED">
              <w:rPr>
                <w:rFonts w:eastAsia="Calibri"/>
                <w:szCs w:val="20"/>
                <w:vertAlign w:val="superscript"/>
              </w:rPr>
              <w:endnoteReference w:id="90"/>
            </w:r>
            <w:r w:rsidRPr="009A27ED">
              <w:rPr>
                <w:rFonts w:eastAsia="Calibri"/>
                <w:szCs w:val="20"/>
              </w:rPr>
              <w:t xml:space="preserve"> proporciona definiciones claras que distinguen a las plantaciones y los bosques y como se puede evidenciar también en el reglamento forestal se le define dejando implícito la diferencia</w:t>
            </w:r>
            <w:r w:rsidRPr="009A27ED">
              <w:rPr>
                <w:rFonts w:eastAsia="Calibri"/>
                <w:szCs w:val="20"/>
                <w:vertAlign w:val="superscript"/>
              </w:rPr>
              <w:endnoteReference w:id="91"/>
            </w:r>
            <w:r w:rsidRPr="009A27ED">
              <w:rPr>
                <w:rFonts w:eastAsia="Calibri"/>
                <w:szCs w:val="20"/>
              </w:rPr>
              <w:t xml:space="preserve"> y el proyecto de Ley forestal es más explícito en esa diferenciación</w:t>
            </w:r>
            <w:r w:rsidRPr="009A27ED">
              <w:rPr>
                <w:rFonts w:eastAsia="Calibri"/>
                <w:szCs w:val="20"/>
                <w:vertAlign w:val="superscript"/>
              </w:rPr>
              <w:endnoteReference w:id="92"/>
            </w:r>
            <w:r w:rsidRPr="009A27ED">
              <w:rPr>
                <w:rFonts w:eastAsia="Calibri"/>
                <w:szCs w:val="20"/>
              </w:rPr>
              <w:t>.</w:t>
            </w:r>
          </w:p>
          <w:p w14:paraId="415555C1" w14:textId="77777777" w:rsidR="00947670" w:rsidRPr="009A27ED" w:rsidRDefault="00947670" w:rsidP="00B030CA">
            <w:pPr>
              <w:autoSpaceDE w:val="0"/>
              <w:autoSpaceDN w:val="0"/>
              <w:adjustRightInd w:val="0"/>
              <w:spacing w:after="0"/>
              <w:rPr>
                <w:rFonts w:eastAsia="Calibri"/>
                <w:szCs w:val="20"/>
              </w:rPr>
            </w:pPr>
            <w:r w:rsidRPr="009A27ED">
              <w:rPr>
                <w:rFonts w:eastAsia="Calibri"/>
                <w:szCs w:val="20"/>
              </w:rPr>
              <w:t>El Marco Legal proporciona una definición clara de los servicios de los ecosistemas, aunque aparecen definidos como servicios ambientales en el reglamento forestal</w:t>
            </w:r>
            <w:r w:rsidRPr="009A27ED">
              <w:rPr>
                <w:rFonts w:eastAsia="Calibri"/>
                <w:szCs w:val="20"/>
                <w:vertAlign w:val="superscript"/>
              </w:rPr>
              <w:endnoteReference w:id="93"/>
            </w:r>
            <w:r w:rsidRPr="009A27ED">
              <w:rPr>
                <w:rFonts w:eastAsia="Calibri"/>
                <w:szCs w:val="20"/>
              </w:rPr>
              <w:t>, en la Ley 64-00</w:t>
            </w:r>
            <w:r w:rsidRPr="009A27ED">
              <w:rPr>
                <w:rFonts w:eastAsia="Calibri"/>
                <w:szCs w:val="20"/>
                <w:vertAlign w:val="superscript"/>
              </w:rPr>
              <w:endnoteReference w:id="94"/>
            </w:r>
            <w:r w:rsidRPr="009A27ED">
              <w:rPr>
                <w:rFonts w:eastAsia="Calibri"/>
                <w:szCs w:val="20"/>
              </w:rPr>
              <w:t>, la LSAP</w:t>
            </w:r>
            <w:r w:rsidRPr="009A27ED">
              <w:rPr>
                <w:rFonts w:eastAsia="Calibri"/>
                <w:szCs w:val="20"/>
                <w:vertAlign w:val="superscript"/>
              </w:rPr>
              <w:endnoteReference w:id="95"/>
            </w:r>
            <w:r w:rsidRPr="009A27ED">
              <w:rPr>
                <w:rFonts w:eastAsia="Calibri"/>
                <w:szCs w:val="20"/>
              </w:rPr>
              <w:t xml:space="preserve"> y en el anteproyecto de Ley forestal</w:t>
            </w:r>
            <w:r w:rsidRPr="009A27ED">
              <w:rPr>
                <w:rFonts w:eastAsia="Calibri"/>
                <w:szCs w:val="20"/>
                <w:vertAlign w:val="superscript"/>
              </w:rPr>
              <w:endnoteReference w:id="96"/>
            </w:r>
            <w:r w:rsidRPr="009A27ED">
              <w:rPr>
                <w:rFonts w:eastAsia="Calibri"/>
                <w:szCs w:val="20"/>
              </w:rPr>
              <w:t xml:space="preserve"> donde aparece como servicios de los ecosistemas forestales.</w:t>
            </w:r>
          </w:p>
          <w:p w14:paraId="01C7A7DB" w14:textId="77777777" w:rsidR="00947670" w:rsidRPr="009A27ED" w:rsidRDefault="00947670" w:rsidP="00B030CA">
            <w:pPr>
              <w:autoSpaceDE w:val="0"/>
              <w:autoSpaceDN w:val="0"/>
              <w:adjustRightInd w:val="0"/>
              <w:spacing w:after="0"/>
              <w:rPr>
                <w:rFonts w:eastAsia="Calibri"/>
                <w:szCs w:val="20"/>
              </w:rPr>
            </w:pPr>
            <w:r w:rsidRPr="009A27ED">
              <w:rPr>
                <w:rFonts w:eastAsia="Calibri"/>
                <w:szCs w:val="20"/>
              </w:rPr>
              <w:t>El anteproyecto de Ley Forestal</w:t>
            </w:r>
            <w:r w:rsidRPr="009A27ED">
              <w:rPr>
                <w:rFonts w:eastAsia="Calibri"/>
                <w:szCs w:val="20"/>
                <w:vertAlign w:val="superscript"/>
              </w:rPr>
              <w:endnoteReference w:id="97"/>
            </w:r>
            <w:r w:rsidRPr="009A27ED">
              <w:rPr>
                <w:rFonts w:eastAsia="Calibri"/>
                <w:szCs w:val="20"/>
              </w:rPr>
              <w:t>, hace una definición de estos, pero ni la Ley 64-00, ni el Reglamento Forestal hacen una definición clara que diferencien al bosque natural y al nativo, más bien lo señalan como sinónimos.</w:t>
            </w:r>
          </w:p>
          <w:p w14:paraId="637F2EC2" w14:textId="77777777" w:rsidR="00947670" w:rsidRPr="009A27ED" w:rsidRDefault="00947670" w:rsidP="00B030CA">
            <w:pPr>
              <w:autoSpaceDE w:val="0"/>
              <w:autoSpaceDN w:val="0"/>
              <w:adjustRightInd w:val="0"/>
              <w:spacing w:after="0"/>
              <w:rPr>
                <w:rFonts w:eastAsia="Calibri"/>
                <w:szCs w:val="20"/>
              </w:rPr>
            </w:pPr>
            <w:r w:rsidRPr="009A27ED">
              <w:rPr>
                <w:rFonts w:eastAsia="Calibri"/>
                <w:szCs w:val="20"/>
              </w:rPr>
              <w:t>El Marco Legal prohíbe la conversión de bosques naturales o nativos, como se puede interpretar del mandato de la CPD</w:t>
            </w:r>
            <w:r w:rsidRPr="009A27ED">
              <w:rPr>
                <w:rFonts w:eastAsia="Calibri"/>
                <w:szCs w:val="20"/>
                <w:vertAlign w:val="superscript"/>
              </w:rPr>
              <w:endnoteReference w:id="98"/>
            </w:r>
            <w:r w:rsidRPr="009A27ED">
              <w:rPr>
                <w:rFonts w:eastAsia="Calibri"/>
                <w:szCs w:val="20"/>
              </w:rPr>
              <w:t xml:space="preserve"> y de Ley 64-00 en el artículo 157 párrafo I</w:t>
            </w:r>
            <w:r w:rsidRPr="009A27ED">
              <w:rPr>
                <w:rFonts w:eastAsia="Calibri"/>
                <w:szCs w:val="20"/>
                <w:vertAlign w:val="superscript"/>
              </w:rPr>
              <w:endnoteReference w:id="99"/>
            </w:r>
            <w:r w:rsidRPr="009A27ED">
              <w:rPr>
                <w:rFonts w:eastAsia="Calibri"/>
                <w:szCs w:val="20"/>
              </w:rPr>
              <w:t>.</w:t>
            </w:r>
          </w:p>
          <w:p w14:paraId="2131BD25" w14:textId="77777777" w:rsidR="00947670" w:rsidRPr="009A27ED" w:rsidRDefault="00947670" w:rsidP="00B030CA">
            <w:pPr>
              <w:autoSpaceDE w:val="0"/>
              <w:autoSpaceDN w:val="0"/>
              <w:adjustRightInd w:val="0"/>
              <w:spacing w:after="0"/>
              <w:rPr>
                <w:rFonts w:eastAsia="Calibri"/>
                <w:szCs w:val="20"/>
              </w:rPr>
            </w:pPr>
            <w:r w:rsidRPr="009A27ED">
              <w:rPr>
                <w:rFonts w:eastAsia="Calibri"/>
                <w:szCs w:val="20"/>
              </w:rPr>
              <w:t>Pero República Dominicana no cuenta con una ley de ordenación territorial ni forestal, la cual es esencial para poder llevar un control de conversiones de tierra.</w:t>
            </w:r>
          </w:p>
        </w:tc>
        <w:tc>
          <w:tcPr>
            <w:tcW w:w="4590" w:type="dxa"/>
            <w:shd w:val="clear" w:color="auto" w:fill="FFFFFF" w:themeFill="background1"/>
          </w:tcPr>
          <w:p w14:paraId="237C1A53" w14:textId="59751A90" w:rsidR="00125A45" w:rsidRPr="009A27ED" w:rsidRDefault="00125A45" w:rsidP="00B030CA">
            <w:pPr>
              <w:autoSpaceDE w:val="0"/>
              <w:autoSpaceDN w:val="0"/>
              <w:adjustRightInd w:val="0"/>
              <w:spacing w:after="0"/>
              <w:rPr>
                <w:rFonts w:eastAsia="Calibri"/>
                <w:szCs w:val="20"/>
              </w:rPr>
            </w:pPr>
            <w:r w:rsidRPr="009A27ED">
              <w:rPr>
                <w:rFonts w:eastAsia="Calibri"/>
                <w:szCs w:val="20"/>
              </w:rPr>
              <w:t xml:space="preserve">La Estrategia Nacional REDD+ contemplará los términos suficientes y necesarios para las acciones de reducción de emisiones </w:t>
            </w:r>
            <w:r w:rsidR="00646A94" w:rsidRPr="009A27ED">
              <w:rPr>
                <w:rFonts w:eastAsia="Calibri"/>
                <w:szCs w:val="20"/>
              </w:rPr>
              <w:t>no pongan en riesgo el mantenimiento y conservación de bosques nativo y su biodiversidad asociada</w:t>
            </w:r>
          </w:p>
          <w:p w14:paraId="73FC589F" w14:textId="77777777" w:rsidR="00947670" w:rsidRPr="009A27ED" w:rsidRDefault="00947670" w:rsidP="00B030CA">
            <w:pPr>
              <w:autoSpaceDE w:val="0"/>
              <w:autoSpaceDN w:val="0"/>
              <w:adjustRightInd w:val="0"/>
              <w:spacing w:after="0"/>
              <w:rPr>
                <w:rFonts w:eastAsia="Calibri"/>
                <w:szCs w:val="20"/>
              </w:rPr>
            </w:pPr>
          </w:p>
          <w:p w14:paraId="32E0D435" w14:textId="77777777" w:rsidR="00947670" w:rsidRPr="009A27ED" w:rsidRDefault="00947670" w:rsidP="00B030CA">
            <w:pPr>
              <w:autoSpaceDE w:val="0"/>
              <w:autoSpaceDN w:val="0"/>
              <w:adjustRightInd w:val="0"/>
              <w:spacing w:after="0"/>
              <w:rPr>
                <w:rFonts w:eastAsia="Calibri"/>
                <w:b/>
                <w:szCs w:val="20"/>
              </w:rPr>
            </w:pPr>
          </w:p>
        </w:tc>
      </w:tr>
      <w:tr w:rsidR="00947670" w:rsidRPr="009A27ED" w14:paraId="19E92B5F" w14:textId="77777777" w:rsidTr="00D42EDE">
        <w:tc>
          <w:tcPr>
            <w:tcW w:w="4330" w:type="dxa"/>
            <w:shd w:val="clear" w:color="auto" w:fill="FFFFFF" w:themeFill="background1"/>
          </w:tcPr>
          <w:p w14:paraId="21776CA7" w14:textId="77777777" w:rsidR="00947670" w:rsidRPr="009A27ED" w:rsidRDefault="00947670" w:rsidP="00B030CA">
            <w:pPr>
              <w:autoSpaceDE w:val="0"/>
              <w:autoSpaceDN w:val="0"/>
              <w:adjustRightInd w:val="0"/>
              <w:spacing w:after="0"/>
              <w:rPr>
                <w:rFonts w:eastAsia="Calibri"/>
                <w:b/>
                <w:bCs/>
                <w:szCs w:val="20"/>
              </w:rPr>
            </w:pPr>
            <w:r w:rsidRPr="009A27ED">
              <w:rPr>
                <w:rFonts w:eastAsia="Calibri"/>
                <w:b/>
                <w:bCs/>
                <w:szCs w:val="20"/>
              </w:rPr>
              <w:t>Protección y Conservación de Bosques Naturales y Biodiversidad</w:t>
            </w:r>
          </w:p>
          <w:p w14:paraId="1AB40F25" w14:textId="77777777" w:rsidR="00947670" w:rsidRPr="009A27ED" w:rsidRDefault="00947670" w:rsidP="00B030CA">
            <w:pPr>
              <w:autoSpaceDE w:val="0"/>
              <w:autoSpaceDN w:val="0"/>
              <w:adjustRightInd w:val="0"/>
              <w:spacing w:after="0"/>
              <w:rPr>
                <w:rFonts w:eastAsia="Calibri"/>
                <w:szCs w:val="20"/>
              </w:rPr>
            </w:pPr>
            <w:r w:rsidRPr="009A27ED">
              <w:rPr>
                <w:rFonts w:eastAsia="Calibri"/>
                <w:szCs w:val="20"/>
              </w:rPr>
              <w:t>El Marco Legal requiere el mapeo de los bosques naturales, como aparece en la CPD</w:t>
            </w:r>
            <w:r w:rsidRPr="009A27ED">
              <w:rPr>
                <w:rFonts w:eastAsia="Calibri"/>
                <w:szCs w:val="20"/>
                <w:vertAlign w:val="superscript"/>
              </w:rPr>
              <w:endnoteReference w:id="100"/>
            </w:r>
            <w:r w:rsidRPr="009A27ED">
              <w:rPr>
                <w:rFonts w:eastAsia="Calibri"/>
                <w:szCs w:val="20"/>
              </w:rPr>
              <w:t>, establece como prioridad del Estado la formulación y ejecución, mediante ley, de un plan de ordenamiento territorial que asegure el uso eficiente y sostenible de los recursos naturales de la Nación, acorde con la necesidad de adaptación al cambio climático.</w:t>
            </w:r>
          </w:p>
          <w:p w14:paraId="08B5C3E7" w14:textId="77777777" w:rsidR="00947670" w:rsidRPr="009A27ED" w:rsidRDefault="00947670" w:rsidP="00B030CA">
            <w:pPr>
              <w:autoSpaceDE w:val="0"/>
              <w:autoSpaceDN w:val="0"/>
              <w:adjustRightInd w:val="0"/>
              <w:spacing w:after="0"/>
              <w:rPr>
                <w:rFonts w:eastAsia="Calibri"/>
                <w:szCs w:val="20"/>
              </w:rPr>
            </w:pPr>
            <w:r w:rsidRPr="009A27ED">
              <w:rPr>
                <w:rFonts w:eastAsia="Calibri"/>
                <w:szCs w:val="20"/>
              </w:rPr>
              <w:t>La Ley 64-00</w:t>
            </w:r>
            <w:r w:rsidRPr="009A27ED">
              <w:rPr>
                <w:rFonts w:eastAsia="Calibri"/>
                <w:szCs w:val="20"/>
                <w:vertAlign w:val="superscript"/>
              </w:rPr>
              <w:endnoteReference w:id="101"/>
            </w:r>
            <w:r w:rsidRPr="009A27ED">
              <w:rPr>
                <w:rFonts w:eastAsia="Calibri"/>
                <w:szCs w:val="20"/>
              </w:rPr>
              <w:t>, señala que las normativas forestales estarán regidas por la ley sectorial, y se refiere al inventario forestal nacional del bosque nativo, estableciendo un plazo máximo de un año para que la Secretaría de Estado de Medio Ambiente y Recursos Naturales planifique y ejecute un inventario nacional y clasifique los bosques de acuerdo con su finalidad, considerando los aspectos de conservación, protección y producción. Siendo el mapeo de los bosques naturales una consecuencia del inventario referido.</w:t>
            </w:r>
          </w:p>
          <w:p w14:paraId="40293701" w14:textId="77777777" w:rsidR="00947670" w:rsidRPr="009A27ED" w:rsidRDefault="00947670" w:rsidP="00B030CA">
            <w:pPr>
              <w:autoSpaceDE w:val="0"/>
              <w:autoSpaceDN w:val="0"/>
              <w:adjustRightInd w:val="0"/>
              <w:spacing w:after="0"/>
              <w:rPr>
                <w:rFonts w:eastAsia="Calibri"/>
                <w:szCs w:val="20"/>
              </w:rPr>
            </w:pPr>
            <w:r w:rsidRPr="009A27ED">
              <w:rPr>
                <w:rFonts w:eastAsia="Calibri"/>
                <w:szCs w:val="20"/>
              </w:rPr>
              <w:t>El Reglamento forestal</w:t>
            </w:r>
            <w:r w:rsidRPr="009A27ED">
              <w:rPr>
                <w:rFonts w:eastAsia="Calibri"/>
                <w:szCs w:val="20"/>
                <w:vertAlign w:val="superscript"/>
              </w:rPr>
              <w:endnoteReference w:id="102"/>
            </w:r>
            <w:r w:rsidRPr="009A27ED">
              <w:rPr>
                <w:rFonts w:eastAsia="Calibri"/>
                <w:szCs w:val="20"/>
              </w:rPr>
              <w:t xml:space="preserve"> también se refiere a un inventario de los terrenos de aptitud forestal y de los recursos forestales y La Norma Técnica de Manejo Forestal</w:t>
            </w:r>
            <w:r w:rsidRPr="009A27ED">
              <w:rPr>
                <w:rFonts w:eastAsia="Calibri"/>
                <w:szCs w:val="20"/>
                <w:vertAlign w:val="superscript"/>
              </w:rPr>
              <w:endnoteReference w:id="103"/>
            </w:r>
            <w:r w:rsidRPr="009A27ED">
              <w:rPr>
                <w:rFonts w:eastAsia="Calibri"/>
                <w:szCs w:val="20"/>
              </w:rPr>
              <w:t xml:space="preserve"> define al Inventario Forestal.</w:t>
            </w:r>
          </w:p>
          <w:p w14:paraId="08300326" w14:textId="77777777" w:rsidR="00947670" w:rsidRPr="009A27ED" w:rsidRDefault="00947670" w:rsidP="00B030CA">
            <w:pPr>
              <w:autoSpaceDE w:val="0"/>
              <w:autoSpaceDN w:val="0"/>
              <w:adjustRightInd w:val="0"/>
              <w:spacing w:after="0"/>
              <w:rPr>
                <w:rFonts w:eastAsia="Calibri"/>
                <w:szCs w:val="20"/>
              </w:rPr>
            </w:pPr>
            <w:r w:rsidRPr="009A27ED">
              <w:rPr>
                <w:rFonts w:eastAsia="Calibri"/>
                <w:szCs w:val="20"/>
              </w:rPr>
              <w:lastRenderedPageBreak/>
              <w:t>El Marco Legal requiere el desarrollo y la actualización de los inventarios de bosques naturales y le señala al Ministerio de Medio Ambiente realizar esa actualización</w:t>
            </w:r>
            <w:r w:rsidRPr="009A27ED">
              <w:rPr>
                <w:rFonts w:eastAsia="Calibri"/>
                <w:szCs w:val="20"/>
                <w:vertAlign w:val="superscript"/>
              </w:rPr>
              <w:endnoteReference w:id="104"/>
            </w:r>
            <w:r w:rsidRPr="009A27ED">
              <w:rPr>
                <w:rFonts w:eastAsia="Calibri"/>
                <w:szCs w:val="20"/>
              </w:rPr>
              <w:t>.</w:t>
            </w:r>
          </w:p>
          <w:p w14:paraId="34F57DDB" w14:textId="77777777" w:rsidR="00947670" w:rsidRPr="009A27ED" w:rsidRDefault="00947670" w:rsidP="00B030CA">
            <w:pPr>
              <w:autoSpaceDE w:val="0"/>
              <w:autoSpaceDN w:val="0"/>
              <w:adjustRightInd w:val="0"/>
              <w:spacing w:after="0"/>
              <w:rPr>
                <w:rFonts w:eastAsia="Calibri"/>
                <w:szCs w:val="20"/>
              </w:rPr>
            </w:pPr>
            <w:r w:rsidRPr="009A27ED">
              <w:rPr>
                <w:rFonts w:eastAsia="Calibri"/>
                <w:szCs w:val="20"/>
              </w:rPr>
              <w:t>La ley No. 64-00</w:t>
            </w:r>
            <w:r w:rsidRPr="009A27ED">
              <w:rPr>
                <w:rFonts w:eastAsia="Calibri"/>
                <w:szCs w:val="20"/>
                <w:vertAlign w:val="superscript"/>
              </w:rPr>
              <w:endnoteReference w:id="105"/>
            </w:r>
            <w:r w:rsidRPr="009A27ED">
              <w:rPr>
                <w:rFonts w:eastAsia="Calibri"/>
                <w:szCs w:val="20"/>
              </w:rPr>
              <w:t xml:space="preserve">, señala como deber del Estado y de todos sus habitantes velar por la conservación y aprovechamiento sostenible  de la diversidad biológica y del patrimonio genético nacional; ordena que el manejo y uso de los bosques y suelos  forestales deba ser sostenible, dejando en reserva para una ley especial  el manejo forestal integral y el uso sostenible de los recursos del bosque para los fines de su conservación, explotación, producción, industrialización y comercialización, así como la preservación de otros recursos naturales que forman parte de su ecosistema y del medio ambiente en general; además dispone la prohibición de la destrucción  de los bosques nativos. </w:t>
            </w:r>
          </w:p>
          <w:p w14:paraId="48EA051D" w14:textId="77777777" w:rsidR="00947670" w:rsidRPr="009A27ED" w:rsidRDefault="00947670" w:rsidP="00B030CA">
            <w:pPr>
              <w:autoSpaceDE w:val="0"/>
              <w:autoSpaceDN w:val="0"/>
              <w:adjustRightInd w:val="0"/>
              <w:spacing w:after="0"/>
              <w:rPr>
                <w:rFonts w:eastAsia="Calibri"/>
                <w:szCs w:val="20"/>
              </w:rPr>
            </w:pPr>
            <w:r w:rsidRPr="009A27ED">
              <w:rPr>
                <w:rFonts w:eastAsia="Calibri"/>
                <w:szCs w:val="20"/>
              </w:rPr>
              <w:t>El Marco Legal establece medidas de protección que atienden las verdaderas amenazas para la flora y fauna según la CPD</w:t>
            </w:r>
            <w:r w:rsidRPr="009A27ED">
              <w:rPr>
                <w:rFonts w:eastAsia="Calibri"/>
                <w:szCs w:val="20"/>
                <w:vertAlign w:val="superscript"/>
              </w:rPr>
              <w:endnoteReference w:id="106"/>
            </w:r>
            <w:r w:rsidRPr="009A27ED">
              <w:rPr>
                <w:rFonts w:eastAsia="Calibri"/>
                <w:szCs w:val="20"/>
              </w:rPr>
              <w:t>, La Ley 64-00</w:t>
            </w:r>
            <w:r w:rsidRPr="009A27ED">
              <w:rPr>
                <w:rFonts w:eastAsia="Calibri"/>
                <w:szCs w:val="20"/>
                <w:vertAlign w:val="superscript"/>
              </w:rPr>
              <w:endnoteReference w:id="107"/>
            </w:r>
            <w:r w:rsidRPr="009A27ED">
              <w:rPr>
                <w:rFonts w:eastAsia="Calibri"/>
                <w:szCs w:val="20"/>
              </w:rPr>
              <w:t xml:space="preserve"> declara de alto interés nacional la conservación de las especies de flora y fauna nativas y endémicas, el fomento de su reproducción y multiplicación, así como la preservación de los ecosistemas naturales que sirven de hábitat a aquellas especies de flora y fauna nativas y endémicas cuya supervivencia dependa de los mismos. La Ley Sectorial sobre Biodiversidad</w:t>
            </w:r>
            <w:r w:rsidRPr="009A27ED">
              <w:rPr>
                <w:rFonts w:eastAsia="Calibri"/>
                <w:szCs w:val="20"/>
                <w:vertAlign w:val="superscript"/>
              </w:rPr>
              <w:endnoteReference w:id="108"/>
            </w:r>
            <w:r w:rsidRPr="009A27ED">
              <w:rPr>
                <w:rFonts w:eastAsia="Calibri"/>
                <w:szCs w:val="20"/>
              </w:rPr>
              <w:t xml:space="preserve">, establece el interés en la protección de la flora y la fauna endémica, nativa y migratoria, presentes en la República Dominicana y señala el sistema de clasificación de las especies por categoría de uso y conservación que se aplica. </w:t>
            </w:r>
          </w:p>
          <w:p w14:paraId="54D2F91C" w14:textId="77777777" w:rsidR="00947670" w:rsidRPr="009A27ED" w:rsidRDefault="00947670" w:rsidP="00B030CA">
            <w:pPr>
              <w:autoSpaceDE w:val="0"/>
              <w:autoSpaceDN w:val="0"/>
              <w:adjustRightInd w:val="0"/>
              <w:spacing w:after="0"/>
              <w:rPr>
                <w:rFonts w:eastAsia="Calibri"/>
                <w:szCs w:val="20"/>
              </w:rPr>
            </w:pPr>
            <w:r w:rsidRPr="009A27ED">
              <w:rPr>
                <w:rFonts w:eastAsia="Calibri"/>
                <w:szCs w:val="20"/>
              </w:rPr>
              <w:t>El Marco Legal define sanciones claras en caso de incumplimiento de las medidas anteriores, la ley 64-00</w:t>
            </w:r>
            <w:r w:rsidRPr="009A27ED">
              <w:rPr>
                <w:rFonts w:eastAsia="Calibri"/>
                <w:szCs w:val="20"/>
                <w:vertAlign w:val="superscript"/>
              </w:rPr>
              <w:endnoteReference w:id="109"/>
            </w:r>
            <w:r w:rsidRPr="009A27ED">
              <w:rPr>
                <w:rFonts w:eastAsia="Calibri"/>
                <w:szCs w:val="20"/>
              </w:rPr>
              <w:t>.</w:t>
            </w:r>
          </w:p>
          <w:p w14:paraId="3CAB7D44" w14:textId="77777777" w:rsidR="00947670" w:rsidRPr="009A27ED" w:rsidRDefault="00947670" w:rsidP="00B030CA">
            <w:pPr>
              <w:autoSpaceDE w:val="0"/>
              <w:autoSpaceDN w:val="0"/>
              <w:adjustRightInd w:val="0"/>
              <w:spacing w:after="0"/>
              <w:rPr>
                <w:rFonts w:eastAsia="Calibri"/>
                <w:szCs w:val="20"/>
              </w:rPr>
            </w:pPr>
            <w:r w:rsidRPr="009A27ED">
              <w:rPr>
                <w:rFonts w:eastAsia="Calibri"/>
                <w:szCs w:val="20"/>
              </w:rPr>
              <w:t>Sobre la gestión racional del medio ambiente, la CPD</w:t>
            </w:r>
            <w:r w:rsidRPr="009A27ED">
              <w:rPr>
                <w:rFonts w:eastAsia="Calibri"/>
                <w:szCs w:val="20"/>
                <w:vertAlign w:val="superscript"/>
              </w:rPr>
              <w:endnoteReference w:id="110"/>
            </w:r>
            <w:r w:rsidRPr="009A27ED">
              <w:rPr>
                <w:rFonts w:eastAsia="Calibri"/>
                <w:szCs w:val="20"/>
              </w:rPr>
              <w:t xml:space="preserve"> y el RF</w:t>
            </w:r>
            <w:r w:rsidRPr="009A27ED">
              <w:rPr>
                <w:rFonts w:eastAsia="Calibri"/>
                <w:szCs w:val="20"/>
                <w:vertAlign w:val="superscript"/>
              </w:rPr>
              <w:endnoteReference w:id="111"/>
            </w:r>
            <w:r w:rsidRPr="009A27ED">
              <w:rPr>
                <w:rFonts w:eastAsia="Calibri"/>
                <w:szCs w:val="20"/>
              </w:rPr>
              <w:t xml:space="preserve"> dispone lo relativo a que los recursos Naturales no renovables, solo pueden ser explorados y explotados por particulares, bajo criterios ambientales sostenibles. Por su parte la Ley sobre Incentivo al Desarrollo Forestal</w:t>
            </w:r>
            <w:r w:rsidRPr="009A27ED">
              <w:rPr>
                <w:rFonts w:eastAsia="Calibri"/>
                <w:szCs w:val="20"/>
                <w:vertAlign w:val="superscript"/>
              </w:rPr>
              <w:endnoteReference w:id="112"/>
            </w:r>
            <w:r w:rsidRPr="009A27ED">
              <w:rPr>
                <w:rFonts w:eastAsia="Calibri"/>
                <w:szCs w:val="20"/>
              </w:rPr>
              <w:t xml:space="preserve"> y la Ley sobre Conservación Forestal y Árboles Frutales</w:t>
            </w:r>
            <w:r w:rsidRPr="009A27ED">
              <w:rPr>
                <w:rFonts w:eastAsia="Calibri"/>
                <w:szCs w:val="20"/>
                <w:vertAlign w:val="superscript"/>
              </w:rPr>
              <w:endnoteReference w:id="113"/>
            </w:r>
            <w:r w:rsidRPr="009A27ED">
              <w:rPr>
                <w:rFonts w:eastAsia="Calibri"/>
                <w:szCs w:val="20"/>
              </w:rPr>
              <w:t xml:space="preserve"> prevén lineamientos sobre el aprovechamiento forestal.</w:t>
            </w:r>
          </w:p>
          <w:p w14:paraId="19F1683B" w14:textId="77777777" w:rsidR="00947670" w:rsidRPr="009A27ED" w:rsidRDefault="00947670" w:rsidP="00B030CA">
            <w:pPr>
              <w:autoSpaceDE w:val="0"/>
              <w:autoSpaceDN w:val="0"/>
              <w:adjustRightInd w:val="0"/>
              <w:spacing w:after="0"/>
              <w:rPr>
                <w:rFonts w:eastAsia="Calibri"/>
                <w:szCs w:val="20"/>
              </w:rPr>
            </w:pPr>
            <w:r w:rsidRPr="009A27ED">
              <w:rPr>
                <w:rFonts w:eastAsia="Calibri"/>
                <w:szCs w:val="20"/>
              </w:rPr>
              <w:t>La ley No. 64-00</w:t>
            </w:r>
            <w:r w:rsidRPr="009A27ED">
              <w:rPr>
                <w:rFonts w:eastAsia="Calibri"/>
                <w:szCs w:val="20"/>
                <w:vertAlign w:val="superscript"/>
              </w:rPr>
              <w:endnoteReference w:id="114"/>
            </w:r>
            <w:r w:rsidRPr="009A27ED">
              <w:rPr>
                <w:rFonts w:eastAsia="Calibri"/>
                <w:szCs w:val="20"/>
              </w:rPr>
              <w:t xml:space="preserve"> crea el Sistema Nacional de Áreas Protegidas.  La Ley sectorial de áreas protegidas</w:t>
            </w:r>
            <w:r w:rsidRPr="009A27ED">
              <w:rPr>
                <w:rFonts w:eastAsia="Calibri"/>
                <w:szCs w:val="20"/>
                <w:vertAlign w:val="superscript"/>
              </w:rPr>
              <w:endnoteReference w:id="115"/>
            </w:r>
            <w:r w:rsidRPr="009A27ED">
              <w:rPr>
                <w:rFonts w:eastAsia="Calibri"/>
                <w:szCs w:val="20"/>
              </w:rPr>
              <w:t>, la LCAF</w:t>
            </w:r>
            <w:r w:rsidRPr="009A27ED">
              <w:rPr>
                <w:rFonts w:eastAsia="Calibri"/>
                <w:szCs w:val="20"/>
                <w:vertAlign w:val="superscript"/>
              </w:rPr>
              <w:endnoteReference w:id="116"/>
            </w:r>
            <w:r w:rsidRPr="009A27ED">
              <w:rPr>
                <w:rFonts w:eastAsia="Calibri"/>
                <w:szCs w:val="20"/>
              </w:rPr>
              <w:t xml:space="preserve"> y el RF</w:t>
            </w:r>
            <w:r w:rsidRPr="009A27ED">
              <w:rPr>
                <w:rFonts w:eastAsia="Calibri"/>
                <w:szCs w:val="20"/>
                <w:vertAlign w:val="superscript"/>
              </w:rPr>
              <w:endnoteReference w:id="117"/>
            </w:r>
            <w:r w:rsidRPr="009A27ED">
              <w:rPr>
                <w:rFonts w:eastAsia="Calibri"/>
                <w:szCs w:val="20"/>
              </w:rPr>
              <w:t>, buscan garantizar la conservación y preservación de muestras representativas de los diferentes ecosistemas y del patrimonio natural y cultural de la República Dominicana para asegurar la permanencia y optimización de los servicios ambientales y económicos.</w:t>
            </w:r>
          </w:p>
          <w:p w14:paraId="5D3860B2" w14:textId="77777777" w:rsidR="00947670" w:rsidRPr="009A27ED" w:rsidRDefault="00947670" w:rsidP="00B030CA">
            <w:pPr>
              <w:autoSpaceDE w:val="0"/>
              <w:autoSpaceDN w:val="0"/>
              <w:adjustRightInd w:val="0"/>
              <w:spacing w:after="0"/>
              <w:rPr>
                <w:rFonts w:eastAsia="Calibri"/>
                <w:szCs w:val="20"/>
              </w:rPr>
            </w:pPr>
            <w:r w:rsidRPr="009A27ED">
              <w:rPr>
                <w:rFonts w:eastAsia="Calibri"/>
                <w:szCs w:val="20"/>
              </w:rPr>
              <w:t>La Ley Orgánica de la Estrategia Nacional de Desarrollo de la República Dominicana 2030</w:t>
            </w:r>
            <w:r w:rsidRPr="009A27ED">
              <w:rPr>
                <w:rFonts w:eastAsia="Calibri"/>
                <w:szCs w:val="20"/>
                <w:vertAlign w:val="superscript"/>
              </w:rPr>
              <w:endnoteReference w:id="118"/>
            </w:r>
            <w:r w:rsidRPr="009A27ED">
              <w:rPr>
                <w:rFonts w:eastAsia="Calibri"/>
                <w:szCs w:val="20"/>
              </w:rPr>
              <w:t>, fija su objetivo específico 4.1.1 para proteger y usar de forma sostenible los bienes y servicios de los ecosistemas, la biodiversidad y el patrimonio natural de la nación, incluidos los recursos marinos.</w:t>
            </w:r>
          </w:p>
        </w:tc>
        <w:tc>
          <w:tcPr>
            <w:tcW w:w="4590" w:type="dxa"/>
            <w:shd w:val="clear" w:color="auto" w:fill="FFFFFF" w:themeFill="background1"/>
          </w:tcPr>
          <w:p w14:paraId="56E26E85" w14:textId="5CF288D4" w:rsidR="00947670" w:rsidRPr="009A27ED" w:rsidRDefault="00AA666C" w:rsidP="00B030CA">
            <w:pPr>
              <w:autoSpaceDE w:val="0"/>
              <w:autoSpaceDN w:val="0"/>
              <w:adjustRightInd w:val="0"/>
              <w:spacing w:after="0"/>
              <w:rPr>
                <w:rFonts w:eastAsia="Calibri"/>
                <w:b/>
                <w:bCs/>
                <w:szCs w:val="20"/>
              </w:rPr>
            </w:pPr>
            <w:r w:rsidRPr="009A27ED">
              <w:rPr>
                <w:rFonts w:eastAsia="Calibri"/>
                <w:szCs w:val="20"/>
              </w:rPr>
              <w:lastRenderedPageBreak/>
              <w:t xml:space="preserve">Se recomienda que </w:t>
            </w:r>
            <w:r w:rsidR="002A4003" w:rsidRPr="009A27ED">
              <w:rPr>
                <w:rFonts w:eastAsia="Calibri"/>
                <w:szCs w:val="20"/>
              </w:rPr>
              <w:t>sean publicados</w:t>
            </w:r>
            <w:r w:rsidRPr="009A27ED">
              <w:rPr>
                <w:rFonts w:eastAsia="Calibri"/>
                <w:szCs w:val="20"/>
              </w:rPr>
              <w:t xml:space="preserve"> los resultados d</w:t>
            </w:r>
            <w:r w:rsidR="00947670" w:rsidRPr="009A27ED">
              <w:rPr>
                <w:rFonts w:eastAsia="Calibri"/>
                <w:szCs w:val="20"/>
              </w:rPr>
              <w:t>el inventario forestal nacional de la República Dominicana y</w:t>
            </w:r>
            <w:r w:rsidRPr="009A27ED">
              <w:rPr>
                <w:rFonts w:eastAsia="Calibri"/>
                <w:szCs w:val="20"/>
              </w:rPr>
              <w:t xml:space="preserve"> </w:t>
            </w:r>
            <w:r w:rsidR="00947670" w:rsidRPr="009A27ED">
              <w:rPr>
                <w:rFonts w:eastAsia="Calibri"/>
                <w:b/>
                <w:bCs/>
                <w:szCs w:val="20"/>
              </w:rPr>
              <w:t>puestos al conocimiento de las diferentes organizaciones nacionales, regionales y comunitarias, etc.</w:t>
            </w:r>
          </w:p>
          <w:p w14:paraId="47B6C6B2" w14:textId="77777777" w:rsidR="00947670" w:rsidRPr="009A27ED" w:rsidRDefault="00947670" w:rsidP="00B030CA">
            <w:pPr>
              <w:autoSpaceDE w:val="0"/>
              <w:autoSpaceDN w:val="0"/>
              <w:adjustRightInd w:val="0"/>
              <w:spacing w:after="0"/>
              <w:rPr>
                <w:rFonts w:eastAsia="Calibri"/>
                <w:szCs w:val="20"/>
              </w:rPr>
            </w:pPr>
            <w:r w:rsidRPr="009A27ED">
              <w:rPr>
                <w:rFonts w:eastAsia="Calibri"/>
                <w:szCs w:val="20"/>
              </w:rPr>
              <w:t xml:space="preserve">Se recomienda que, con los resultados del inventario forestal nacional de la República Dominicana, </w:t>
            </w:r>
            <w:r w:rsidRPr="009A27ED">
              <w:rPr>
                <w:rFonts w:eastAsia="Calibri"/>
                <w:b/>
                <w:bCs/>
                <w:szCs w:val="20"/>
              </w:rPr>
              <w:t xml:space="preserve">se definan las áreas donde se encuentran cada uno de los tipos de bosques </w:t>
            </w:r>
            <w:r w:rsidRPr="009A27ED">
              <w:rPr>
                <w:rFonts w:eastAsia="Calibri"/>
                <w:szCs w:val="20"/>
              </w:rPr>
              <w:t>y que a partir de esa identificación se integren las medidas de manejo y protección de estos a las estrategias y actividades REDD+ que serán definidas.</w:t>
            </w:r>
          </w:p>
          <w:p w14:paraId="49F18776" w14:textId="77777777" w:rsidR="00947670" w:rsidRPr="009A27ED" w:rsidRDefault="00947670" w:rsidP="00B030CA">
            <w:pPr>
              <w:autoSpaceDE w:val="0"/>
              <w:autoSpaceDN w:val="0"/>
              <w:adjustRightInd w:val="0"/>
              <w:spacing w:after="0"/>
              <w:rPr>
                <w:rFonts w:eastAsia="Calibri"/>
                <w:szCs w:val="20"/>
              </w:rPr>
            </w:pPr>
            <w:r w:rsidRPr="009A27ED">
              <w:rPr>
                <w:rFonts w:eastAsia="Calibri"/>
                <w:szCs w:val="20"/>
              </w:rPr>
              <w:t xml:space="preserve">Se recomienda la </w:t>
            </w:r>
            <w:r w:rsidRPr="009A27ED">
              <w:rPr>
                <w:rFonts w:eastAsia="Calibri"/>
                <w:b/>
                <w:bCs/>
                <w:szCs w:val="20"/>
              </w:rPr>
              <w:t xml:space="preserve">aprobación de una Ley de Ordenamiento Territorial </w:t>
            </w:r>
            <w:r w:rsidRPr="009A27ED">
              <w:rPr>
                <w:rFonts w:eastAsia="Calibri"/>
                <w:szCs w:val="20"/>
              </w:rPr>
              <w:t>y una Ley Forestal de la República Dominicana.</w:t>
            </w:r>
          </w:p>
          <w:p w14:paraId="51E689D1" w14:textId="77777777" w:rsidR="00947670" w:rsidRPr="009A27ED" w:rsidRDefault="00947670" w:rsidP="00B030CA">
            <w:pPr>
              <w:autoSpaceDE w:val="0"/>
              <w:autoSpaceDN w:val="0"/>
              <w:adjustRightInd w:val="0"/>
              <w:spacing w:after="0"/>
              <w:rPr>
                <w:rFonts w:eastAsia="Calibri"/>
                <w:szCs w:val="20"/>
              </w:rPr>
            </w:pPr>
            <w:r w:rsidRPr="009A27ED">
              <w:rPr>
                <w:rFonts w:eastAsia="Calibri"/>
                <w:szCs w:val="20"/>
              </w:rPr>
              <w:t xml:space="preserve">Se recomienda </w:t>
            </w:r>
            <w:r w:rsidRPr="009A27ED">
              <w:rPr>
                <w:rFonts w:eastAsia="Calibri"/>
                <w:b/>
                <w:bCs/>
                <w:szCs w:val="20"/>
              </w:rPr>
              <w:t>vincular los mecanismos de protección que sean definidos a partir de la Ley de Ordenamiento Territorial y la Ley Forestal, a las actividades REDD+</w:t>
            </w:r>
            <w:r w:rsidRPr="009A27ED">
              <w:rPr>
                <w:rFonts w:eastAsia="Calibri"/>
                <w:szCs w:val="20"/>
              </w:rPr>
              <w:t xml:space="preserve"> que determine el país.</w:t>
            </w:r>
          </w:p>
          <w:p w14:paraId="1441E980" w14:textId="77777777" w:rsidR="00947670" w:rsidRPr="009A27ED" w:rsidRDefault="00947670" w:rsidP="00B030CA">
            <w:pPr>
              <w:autoSpaceDE w:val="0"/>
              <w:autoSpaceDN w:val="0"/>
              <w:adjustRightInd w:val="0"/>
              <w:spacing w:after="0"/>
              <w:rPr>
                <w:rFonts w:eastAsia="Calibri"/>
                <w:b/>
                <w:bCs/>
                <w:szCs w:val="20"/>
              </w:rPr>
            </w:pPr>
            <w:r w:rsidRPr="009A27ED">
              <w:rPr>
                <w:rFonts w:eastAsia="Calibri"/>
                <w:szCs w:val="20"/>
              </w:rPr>
              <w:t xml:space="preserve">Se recomienda trabajar en la </w:t>
            </w:r>
            <w:r w:rsidRPr="009A27ED">
              <w:rPr>
                <w:rFonts w:eastAsia="Calibri"/>
                <w:b/>
                <w:bCs/>
                <w:szCs w:val="20"/>
              </w:rPr>
              <w:t>Identificación de los bosques naturales</w:t>
            </w:r>
            <w:r w:rsidRPr="009A27ED">
              <w:rPr>
                <w:rFonts w:eastAsia="Calibri"/>
                <w:szCs w:val="20"/>
              </w:rPr>
              <w:t xml:space="preserve">, lo cual puede ser logrado con la conclusión del Inventario Forestal Nacional y al mismo tiempo se recomienda </w:t>
            </w:r>
            <w:r w:rsidRPr="009A27ED">
              <w:rPr>
                <w:rFonts w:eastAsia="Calibri"/>
                <w:b/>
                <w:bCs/>
                <w:szCs w:val="20"/>
              </w:rPr>
              <w:t xml:space="preserve">trabajar en la identificación de la diversidad biológica y la integración de esta en la </w:t>
            </w:r>
            <w:r w:rsidRPr="009A27ED">
              <w:rPr>
                <w:rFonts w:eastAsia="Calibri"/>
                <w:b/>
                <w:bCs/>
                <w:szCs w:val="20"/>
              </w:rPr>
              <w:lastRenderedPageBreak/>
              <w:t>prioridad de seguimiento de todos los planes, programas, proyectos.</w:t>
            </w:r>
          </w:p>
          <w:p w14:paraId="3FA78D6B" w14:textId="77777777" w:rsidR="00947670" w:rsidRPr="009A27ED" w:rsidRDefault="00947670" w:rsidP="00B030CA">
            <w:pPr>
              <w:keepNext/>
              <w:autoSpaceDE w:val="0"/>
              <w:autoSpaceDN w:val="0"/>
              <w:adjustRightInd w:val="0"/>
              <w:spacing w:after="0"/>
              <w:rPr>
                <w:rFonts w:eastAsia="Calibri"/>
                <w:szCs w:val="20"/>
              </w:rPr>
            </w:pPr>
          </w:p>
        </w:tc>
      </w:tr>
    </w:tbl>
    <w:p w14:paraId="1DF51605" w14:textId="77777777" w:rsidR="00B80189" w:rsidRPr="009A27ED" w:rsidRDefault="00B80189" w:rsidP="00B80189">
      <w:pPr>
        <w:pStyle w:val="Ttulo3"/>
        <w:numPr>
          <w:ilvl w:val="0"/>
          <w:numId w:val="0"/>
        </w:numPr>
        <w:spacing w:line="360" w:lineRule="auto"/>
        <w:ind w:left="720"/>
        <w:jc w:val="both"/>
      </w:pPr>
      <w:bookmarkStart w:id="214" w:name="_Toc529469999"/>
      <w:bookmarkStart w:id="215" w:name="_Toc532335862"/>
    </w:p>
    <w:p w14:paraId="158E00FD" w14:textId="1DF01227" w:rsidR="00947670" w:rsidRPr="009A27ED" w:rsidRDefault="005D0285" w:rsidP="00B80189">
      <w:pPr>
        <w:pStyle w:val="Ttulo3"/>
        <w:numPr>
          <w:ilvl w:val="0"/>
          <w:numId w:val="0"/>
        </w:numPr>
        <w:spacing w:line="360" w:lineRule="auto"/>
        <w:ind w:left="720"/>
        <w:jc w:val="both"/>
      </w:pPr>
      <w:bookmarkStart w:id="216" w:name="_Toc111837943"/>
      <w:r w:rsidRPr="009A27ED">
        <w:rPr>
          <w:rFonts w:ascii="Times New Roman" w:eastAsia="Times New Roman" w:hAnsi="Times New Roman"/>
          <w:sz w:val="24"/>
        </w:rPr>
        <w:t xml:space="preserve">3.3.6 </w:t>
      </w:r>
      <w:r w:rsidR="008211C6" w:rsidRPr="009A27ED">
        <w:rPr>
          <w:rFonts w:ascii="Times New Roman" w:eastAsia="Times New Roman" w:hAnsi="Times New Roman"/>
          <w:sz w:val="24"/>
        </w:rPr>
        <w:t>S</w:t>
      </w:r>
      <w:r w:rsidR="00947670" w:rsidRPr="009A27ED">
        <w:rPr>
          <w:rFonts w:ascii="Times New Roman" w:eastAsia="Times New Roman" w:hAnsi="Times New Roman"/>
          <w:sz w:val="24"/>
        </w:rPr>
        <w:t>alvaguardas F y G</w:t>
      </w:r>
      <w:bookmarkEnd w:id="216"/>
      <w:r w:rsidR="00947670" w:rsidRPr="009A27ED">
        <w:rPr>
          <w:rFonts w:ascii="Times New Roman" w:eastAsia="Times New Roman" w:hAnsi="Times New Roman"/>
          <w:sz w:val="24"/>
        </w:rPr>
        <w:t xml:space="preserve"> </w:t>
      </w:r>
      <w:bookmarkEnd w:id="214"/>
      <w:bookmarkEnd w:id="215"/>
    </w:p>
    <w:p w14:paraId="3A3233C5" w14:textId="19A22B0F" w:rsidR="001E165D" w:rsidRPr="009A27ED" w:rsidRDefault="001E165D" w:rsidP="001E165D">
      <w:pPr>
        <w:spacing w:line="360" w:lineRule="auto"/>
        <w:rPr>
          <w:i/>
        </w:rPr>
      </w:pPr>
    </w:p>
    <w:p w14:paraId="5895A6BC" w14:textId="4420E473" w:rsidR="00F43DB6" w:rsidRPr="009A27ED" w:rsidRDefault="00F43DB6" w:rsidP="00F43DB6">
      <w:pPr>
        <w:pStyle w:val="Descripcin"/>
        <w:keepNext/>
        <w:spacing w:line="360" w:lineRule="auto"/>
      </w:pPr>
      <w:bookmarkStart w:id="217" w:name="_Toc111887448"/>
      <w:r w:rsidRPr="009A27ED">
        <w:rPr>
          <w:rFonts w:ascii="Times New Roman" w:eastAsia="Times New Roman" w:hAnsi="Times New Roman"/>
          <w:sz w:val="24"/>
        </w:rPr>
        <w:t xml:space="preserve">Cuadro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Cuadro \* ARABIC </w:instrText>
      </w:r>
      <w:r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38</w:t>
      </w:r>
      <w:r w:rsidRPr="009A27ED">
        <w:rPr>
          <w:rFonts w:ascii="Times New Roman" w:eastAsia="Times New Roman" w:hAnsi="Times New Roman"/>
          <w:sz w:val="24"/>
        </w:rPr>
        <w:fldChar w:fldCharType="end"/>
      </w:r>
      <w:r w:rsidRPr="009A27ED">
        <w:rPr>
          <w:rFonts w:ascii="Times New Roman" w:eastAsia="Times New Roman" w:hAnsi="Times New Roman"/>
          <w:sz w:val="24"/>
        </w:rPr>
        <w:t>. Marco legal relevante para asegurar el cumplimiento de las salvaguardas f y g</w:t>
      </w:r>
      <w:bookmarkEnd w:id="217"/>
    </w:p>
    <w:tbl>
      <w:tblPr>
        <w:tblStyle w:val="TableGrid1"/>
        <w:tblpPr w:leftFromText="180" w:rightFromText="180" w:vertAnchor="text" w:horzAnchor="page" w:tblpX="1360" w:tblpY="144"/>
        <w:tblW w:w="9175" w:type="dxa"/>
        <w:shd w:val="clear" w:color="auto" w:fill="C2D69B"/>
        <w:tblLook w:val="04A0" w:firstRow="1" w:lastRow="0" w:firstColumn="1" w:lastColumn="0" w:noHBand="0" w:noVBand="1"/>
      </w:tblPr>
      <w:tblGrid>
        <w:gridCol w:w="4675"/>
        <w:gridCol w:w="4500"/>
      </w:tblGrid>
      <w:tr w:rsidR="000365EC" w:rsidRPr="009A27ED" w14:paraId="1672AC0B" w14:textId="77777777" w:rsidTr="000365EC">
        <w:tc>
          <w:tcPr>
            <w:tcW w:w="9175" w:type="dxa"/>
            <w:gridSpan w:val="2"/>
            <w:shd w:val="clear" w:color="auto" w:fill="auto"/>
            <w:vAlign w:val="center"/>
          </w:tcPr>
          <w:p w14:paraId="3B43186C" w14:textId="77777777" w:rsidR="000365EC" w:rsidRPr="009A27ED" w:rsidRDefault="000365EC" w:rsidP="00D42EDE">
            <w:pPr>
              <w:rPr>
                <w:szCs w:val="20"/>
              </w:rPr>
            </w:pPr>
            <w:r w:rsidRPr="009A27ED">
              <w:rPr>
                <w:b/>
                <w:szCs w:val="20"/>
              </w:rPr>
              <w:t>Descripción de las salvaguardas:</w:t>
            </w:r>
            <w:r w:rsidRPr="009A27ED">
              <w:rPr>
                <w:szCs w:val="20"/>
              </w:rPr>
              <w:t xml:space="preserve"> Acciones para hacer frente a los riesgos de reversión; acciones para reducir el desplazamiento de emisiones. </w:t>
            </w:r>
          </w:p>
          <w:p w14:paraId="180CBC35" w14:textId="77777777" w:rsidR="000365EC" w:rsidRPr="009A27ED" w:rsidRDefault="000365EC" w:rsidP="00D42EDE">
            <w:pPr>
              <w:rPr>
                <w:szCs w:val="20"/>
              </w:rPr>
            </w:pPr>
            <w:r w:rsidRPr="009A27ED">
              <w:rPr>
                <w:b/>
                <w:szCs w:val="20"/>
              </w:rPr>
              <w:t xml:space="preserve">Interpretación de la salvaguarda (f) y (g) de la CMNUCCC en República Dominicana: </w:t>
            </w:r>
            <w:r w:rsidRPr="009A27ED">
              <w:rPr>
                <w:szCs w:val="20"/>
              </w:rPr>
              <w:t>El abordaje de riesgos relacionados con la reversión y con el desplazamiento de emisiones es requerido en el contexto de aplicación de la Estrategia Nacional REDD+.</w:t>
            </w:r>
          </w:p>
          <w:p w14:paraId="3B9D06FC" w14:textId="77777777" w:rsidR="000365EC" w:rsidRPr="009A27ED" w:rsidRDefault="000365EC" w:rsidP="00D42EDE">
            <w:pPr>
              <w:pStyle w:val="Textosubrayado"/>
              <w:rPr>
                <w:rFonts w:eastAsiaTheme="minorEastAsia"/>
                <w:color w:val="000000"/>
                <w:szCs w:val="20"/>
                <w:u w:val="none"/>
              </w:rPr>
            </w:pPr>
            <w:r w:rsidRPr="009A27ED">
              <w:rPr>
                <w:b/>
                <w:szCs w:val="20"/>
                <w:u w:val="none"/>
              </w:rPr>
              <w:t>Instrumentos legales vigentes y relevantes para la salvaguarda d) REDD+ de la CMNUCC identificados</w:t>
            </w:r>
            <w:r w:rsidRPr="009A27ED">
              <w:rPr>
                <w:rFonts w:eastAsiaTheme="minorEastAsia"/>
                <w:color w:val="000000"/>
                <w:szCs w:val="20"/>
                <w:u w:val="none"/>
              </w:rPr>
              <w:t xml:space="preserve">: </w:t>
            </w:r>
          </w:p>
          <w:p w14:paraId="1221C133" w14:textId="77777777" w:rsidR="000365EC" w:rsidRPr="009A27ED" w:rsidRDefault="000365EC" w:rsidP="00D42802">
            <w:pPr>
              <w:pStyle w:val="Apunteoticket"/>
              <w:numPr>
                <w:ilvl w:val="1"/>
                <w:numId w:val="62"/>
              </w:numPr>
              <w:rPr>
                <w:rFonts w:cstheme="minorHAnsi"/>
                <w:szCs w:val="20"/>
              </w:rPr>
            </w:pPr>
            <w:r w:rsidRPr="009A27ED">
              <w:rPr>
                <w:rFonts w:cstheme="minorHAnsi"/>
                <w:szCs w:val="20"/>
              </w:rPr>
              <w:lastRenderedPageBreak/>
              <w:t xml:space="preserve">Constitución Política Dominicana (CPD) </w:t>
            </w:r>
          </w:p>
          <w:p w14:paraId="33FD783A" w14:textId="77777777" w:rsidR="000365EC" w:rsidRPr="009A27ED" w:rsidRDefault="000365EC" w:rsidP="00D42802">
            <w:pPr>
              <w:pStyle w:val="Apunteoticket"/>
              <w:numPr>
                <w:ilvl w:val="1"/>
                <w:numId w:val="62"/>
              </w:numPr>
              <w:rPr>
                <w:rFonts w:cstheme="minorHAnsi"/>
                <w:szCs w:val="20"/>
              </w:rPr>
            </w:pPr>
            <w:r w:rsidRPr="009A27ED">
              <w:rPr>
                <w:rFonts w:cstheme="minorHAnsi"/>
                <w:szCs w:val="20"/>
              </w:rPr>
              <w:t>Convenio sobre Diversidad Biológica (CDB)</w:t>
            </w:r>
          </w:p>
          <w:p w14:paraId="1DFA137A" w14:textId="77777777" w:rsidR="000365EC" w:rsidRPr="009A27ED" w:rsidRDefault="000365EC" w:rsidP="00D42802">
            <w:pPr>
              <w:pStyle w:val="Apunteoticket"/>
              <w:numPr>
                <w:ilvl w:val="1"/>
                <w:numId w:val="62"/>
              </w:numPr>
              <w:rPr>
                <w:rFonts w:cstheme="minorHAnsi"/>
                <w:szCs w:val="20"/>
              </w:rPr>
            </w:pPr>
            <w:r w:rsidRPr="009A27ED">
              <w:rPr>
                <w:rFonts w:cstheme="minorHAnsi"/>
                <w:szCs w:val="20"/>
              </w:rPr>
              <w:t>Convenio para la Protección de la Flora, la Fauna y las Bellezas Escénicas Naturales de los Países de las Américas (CPFFBNA)</w:t>
            </w:r>
          </w:p>
          <w:p w14:paraId="1DC9F0F6" w14:textId="77777777" w:rsidR="000365EC" w:rsidRPr="009A27ED" w:rsidRDefault="000365EC" w:rsidP="00D42802">
            <w:pPr>
              <w:pStyle w:val="Apunteoticket"/>
              <w:numPr>
                <w:ilvl w:val="1"/>
                <w:numId w:val="62"/>
              </w:numPr>
              <w:rPr>
                <w:rFonts w:cstheme="minorHAnsi"/>
                <w:szCs w:val="20"/>
              </w:rPr>
            </w:pPr>
            <w:r w:rsidRPr="009A27ED">
              <w:rPr>
                <w:rFonts w:cstheme="minorHAnsi"/>
                <w:szCs w:val="20"/>
              </w:rPr>
              <w:t xml:space="preserve">Convenio sobre Comercio Internacional de Especies Amenazadas de Flora y Fauna (CITES) </w:t>
            </w:r>
          </w:p>
          <w:p w14:paraId="672DC556" w14:textId="77777777" w:rsidR="000365EC" w:rsidRPr="009A27ED" w:rsidRDefault="000365EC" w:rsidP="00D42802">
            <w:pPr>
              <w:pStyle w:val="Apunteoticket"/>
              <w:numPr>
                <w:ilvl w:val="1"/>
                <w:numId w:val="62"/>
              </w:numPr>
              <w:rPr>
                <w:rFonts w:cstheme="minorHAnsi"/>
                <w:szCs w:val="20"/>
              </w:rPr>
            </w:pPr>
            <w:r w:rsidRPr="009A27ED">
              <w:rPr>
                <w:rFonts w:cstheme="minorHAnsi"/>
                <w:szCs w:val="20"/>
              </w:rPr>
              <w:t xml:space="preserve">Ley General sobre Medio Ambiente y Recursos Naturales (ley NO. 64-00) </w:t>
            </w:r>
          </w:p>
          <w:p w14:paraId="61F86861" w14:textId="77777777" w:rsidR="000365EC" w:rsidRPr="009A27ED" w:rsidRDefault="000365EC" w:rsidP="00D42802">
            <w:pPr>
              <w:pStyle w:val="Apunteoticket"/>
              <w:numPr>
                <w:ilvl w:val="1"/>
                <w:numId w:val="62"/>
              </w:numPr>
              <w:rPr>
                <w:rFonts w:cstheme="minorHAnsi"/>
                <w:szCs w:val="20"/>
              </w:rPr>
            </w:pPr>
            <w:r w:rsidRPr="009A27ED">
              <w:rPr>
                <w:rFonts w:cstheme="minorHAnsi"/>
                <w:szCs w:val="20"/>
              </w:rPr>
              <w:t xml:space="preserve">Ley Sectorial de Áreas Protegidas (LSAP) </w:t>
            </w:r>
          </w:p>
          <w:p w14:paraId="11C93FE9" w14:textId="77777777" w:rsidR="000365EC" w:rsidRPr="009A27ED" w:rsidRDefault="000365EC" w:rsidP="00D42802">
            <w:pPr>
              <w:pStyle w:val="Apunteoticket"/>
              <w:numPr>
                <w:ilvl w:val="1"/>
                <w:numId w:val="62"/>
              </w:numPr>
              <w:rPr>
                <w:rFonts w:cstheme="minorHAnsi"/>
                <w:szCs w:val="20"/>
              </w:rPr>
            </w:pPr>
            <w:r w:rsidRPr="009A27ED">
              <w:rPr>
                <w:rFonts w:cstheme="minorHAnsi"/>
                <w:szCs w:val="20"/>
              </w:rPr>
              <w:t xml:space="preserve">Ley Orgánica de la Estrategia Nacional de Desarrollo de la República Dominicana 2030 (LOEND) </w:t>
            </w:r>
          </w:p>
          <w:p w14:paraId="70A58BFB" w14:textId="77777777" w:rsidR="000365EC" w:rsidRPr="009A27ED" w:rsidRDefault="000365EC" w:rsidP="00D42802">
            <w:pPr>
              <w:pStyle w:val="Apunteoticket"/>
              <w:numPr>
                <w:ilvl w:val="1"/>
                <w:numId w:val="62"/>
              </w:numPr>
              <w:rPr>
                <w:rFonts w:cstheme="minorHAnsi"/>
                <w:szCs w:val="20"/>
              </w:rPr>
            </w:pPr>
            <w:r w:rsidRPr="009A27ED">
              <w:rPr>
                <w:rFonts w:cstheme="minorHAnsi"/>
                <w:szCs w:val="20"/>
              </w:rPr>
              <w:t xml:space="preserve">Ley que crea la Secretaría de Estado de Economía, Planificación y Desarrollo (SEEPD) </w:t>
            </w:r>
          </w:p>
          <w:p w14:paraId="19F8212F" w14:textId="77777777" w:rsidR="000365EC" w:rsidRPr="009A27ED" w:rsidRDefault="000365EC" w:rsidP="00D42802">
            <w:pPr>
              <w:pStyle w:val="Apunteoticket"/>
              <w:numPr>
                <w:ilvl w:val="1"/>
                <w:numId w:val="62"/>
              </w:numPr>
              <w:rPr>
                <w:rFonts w:cstheme="minorHAnsi"/>
                <w:i/>
                <w:szCs w:val="20"/>
              </w:rPr>
            </w:pPr>
            <w:r w:rsidRPr="009A27ED">
              <w:rPr>
                <w:rFonts w:cstheme="minorHAnsi"/>
                <w:szCs w:val="20"/>
              </w:rPr>
              <w:t>Código Penal Dominicano</w:t>
            </w:r>
          </w:p>
          <w:p w14:paraId="5F1DCB6F" w14:textId="77777777" w:rsidR="000365EC" w:rsidRPr="009A27ED" w:rsidRDefault="000365EC" w:rsidP="00D42802">
            <w:pPr>
              <w:pStyle w:val="Apunteoticket"/>
              <w:numPr>
                <w:ilvl w:val="1"/>
                <w:numId w:val="62"/>
              </w:numPr>
              <w:rPr>
                <w:rFonts w:cstheme="minorHAnsi"/>
                <w:szCs w:val="20"/>
              </w:rPr>
            </w:pPr>
            <w:r w:rsidRPr="009A27ED">
              <w:rPr>
                <w:rFonts w:cstheme="minorHAnsi"/>
                <w:szCs w:val="20"/>
              </w:rPr>
              <w:t xml:space="preserve">Proyecto de Ley Sectorial Forestal (LSF) </w:t>
            </w:r>
          </w:p>
          <w:p w14:paraId="1512467B" w14:textId="77777777" w:rsidR="000365EC" w:rsidRPr="009A27ED" w:rsidRDefault="000365EC" w:rsidP="00D42802">
            <w:pPr>
              <w:pStyle w:val="Apunteoticket"/>
              <w:numPr>
                <w:ilvl w:val="1"/>
                <w:numId w:val="62"/>
              </w:numPr>
              <w:rPr>
                <w:rFonts w:cstheme="minorHAnsi"/>
                <w:szCs w:val="20"/>
              </w:rPr>
            </w:pPr>
            <w:r w:rsidRPr="009A27ED">
              <w:rPr>
                <w:rFonts w:cstheme="minorHAnsi"/>
                <w:szCs w:val="20"/>
              </w:rPr>
              <w:t xml:space="preserve">Anteproyecto de Ley de Ordenamiento Territorial </w:t>
            </w:r>
          </w:p>
          <w:p w14:paraId="71CB2AC5" w14:textId="77777777" w:rsidR="000365EC" w:rsidRPr="009A27ED" w:rsidRDefault="000365EC" w:rsidP="00D42802">
            <w:pPr>
              <w:pStyle w:val="Apunteoticket"/>
              <w:numPr>
                <w:ilvl w:val="1"/>
                <w:numId w:val="62"/>
              </w:numPr>
              <w:rPr>
                <w:rFonts w:cstheme="minorHAnsi"/>
                <w:szCs w:val="20"/>
              </w:rPr>
            </w:pPr>
            <w:r w:rsidRPr="009A27ED">
              <w:rPr>
                <w:rFonts w:cstheme="minorHAnsi"/>
                <w:szCs w:val="20"/>
              </w:rPr>
              <w:t xml:space="preserve">Reglamento Forestal (RF) </w:t>
            </w:r>
          </w:p>
          <w:p w14:paraId="467520A8" w14:textId="571C3FDF" w:rsidR="000365EC" w:rsidRPr="009A27ED" w:rsidRDefault="000365EC" w:rsidP="00D42802">
            <w:pPr>
              <w:pStyle w:val="Apunteoticket"/>
              <w:numPr>
                <w:ilvl w:val="1"/>
                <w:numId w:val="62"/>
              </w:numPr>
              <w:rPr>
                <w:rFonts w:cstheme="minorHAnsi"/>
                <w:szCs w:val="20"/>
              </w:rPr>
            </w:pPr>
            <w:r w:rsidRPr="009A27ED">
              <w:rPr>
                <w:rFonts w:eastAsia="Times New Roman" w:cstheme="minorHAnsi"/>
                <w:szCs w:val="20"/>
              </w:rPr>
              <w:t>Normas Técnicas de Manejo Forestal (NTMF)</w:t>
            </w:r>
          </w:p>
        </w:tc>
      </w:tr>
      <w:tr w:rsidR="000365EC" w:rsidRPr="009A27ED" w14:paraId="2D760518" w14:textId="77777777" w:rsidTr="004E781C">
        <w:tc>
          <w:tcPr>
            <w:tcW w:w="4675" w:type="dxa"/>
            <w:shd w:val="clear" w:color="auto" w:fill="0070C0"/>
            <w:vAlign w:val="center"/>
          </w:tcPr>
          <w:p w14:paraId="3A9789D3" w14:textId="273CA49A" w:rsidR="000365EC" w:rsidRPr="009A27ED" w:rsidRDefault="000365EC" w:rsidP="004E781C">
            <w:pPr>
              <w:autoSpaceDE w:val="0"/>
              <w:autoSpaceDN w:val="0"/>
              <w:adjustRightInd w:val="0"/>
              <w:spacing w:after="0"/>
              <w:jc w:val="center"/>
              <w:rPr>
                <w:rFonts w:eastAsia="Calibri"/>
                <w:b/>
                <w:color w:val="FFFFFF" w:themeColor="background1"/>
                <w:szCs w:val="20"/>
              </w:rPr>
            </w:pPr>
            <w:r w:rsidRPr="009A27ED">
              <w:rPr>
                <w:rFonts w:eastAsia="Calibri"/>
                <w:b/>
                <w:color w:val="FFFFFF" w:themeColor="background1"/>
                <w:szCs w:val="20"/>
              </w:rPr>
              <w:t>Marco legal relevante para asegurar cumplimiento con la salvaguarda</w:t>
            </w:r>
          </w:p>
        </w:tc>
        <w:tc>
          <w:tcPr>
            <w:tcW w:w="4500" w:type="dxa"/>
            <w:shd w:val="clear" w:color="auto" w:fill="0070C0"/>
            <w:vAlign w:val="center"/>
          </w:tcPr>
          <w:p w14:paraId="628F45CF" w14:textId="7A6524D7" w:rsidR="000365EC" w:rsidRPr="009A27ED" w:rsidRDefault="000365EC" w:rsidP="004E781C">
            <w:pPr>
              <w:autoSpaceDE w:val="0"/>
              <w:autoSpaceDN w:val="0"/>
              <w:adjustRightInd w:val="0"/>
              <w:spacing w:after="0"/>
              <w:jc w:val="center"/>
              <w:rPr>
                <w:rFonts w:eastAsia="Calibri"/>
                <w:b/>
                <w:color w:val="FFFFFF" w:themeColor="background1"/>
                <w:szCs w:val="20"/>
              </w:rPr>
            </w:pPr>
            <w:r w:rsidRPr="009A27ED">
              <w:rPr>
                <w:rFonts w:eastAsia="Calibri"/>
                <w:b/>
                <w:color w:val="FFFFFF" w:themeColor="background1"/>
                <w:szCs w:val="20"/>
              </w:rPr>
              <w:t>Medidas adicionales/recomendaciones</w:t>
            </w:r>
          </w:p>
        </w:tc>
      </w:tr>
      <w:tr w:rsidR="00947670" w:rsidRPr="009A27ED" w14:paraId="744E66B9" w14:textId="77777777" w:rsidTr="00537E0D">
        <w:tc>
          <w:tcPr>
            <w:tcW w:w="4675" w:type="dxa"/>
            <w:shd w:val="clear" w:color="auto" w:fill="FFFFFF" w:themeFill="background1"/>
          </w:tcPr>
          <w:p w14:paraId="483EE1C3" w14:textId="77777777" w:rsidR="00947670" w:rsidRPr="009A27ED" w:rsidRDefault="00947670" w:rsidP="004E781C">
            <w:pPr>
              <w:autoSpaceDE w:val="0"/>
              <w:autoSpaceDN w:val="0"/>
              <w:adjustRightInd w:val="0"/>
              <w:spacing w:after="0"/>
              <w:rPr>
                <w:rFonts w:eastAsia="Calibri"/>
                <w:szCs w:val="20"/>
              </w:rPr>
            </w:pPr>
            <w:r w:rsidRPr="009A27ED">
              <w:rPr>
                <w:rFonts w:eastAsia="Calibri"/>
                <w:szCs w:val="20"/>
              </w:rPr>
              <w:t>La CPD</w:t>
            </w:r>
            <w:r w:rsidRPr="009A27ED">
              <w:rPr>
                <w:rFonts w:eastAsia="Calibri"/>
                <w:szCs w:val="20"/>
                <w:vertAlign w:val="superscript"/>
              </w:rPr>
              <w:endnoteReference w:id="119"/>
            </w:r>
            <w:r w:rsidRPr="009A27ED">
              <w:rPr>
                <w:rFonts w:eastAsia="Calibri"/>
                <w:szCs w:val="20"/>
              </w:rPr>
              <w:t xml:space="preserve"> y la Ley 64-00</w:t>
            </w:r>
            <w:r w:rsidRPr="009A27ED">
              <w:rPr>
                <w:rFonts w:eastAsia="Calibri"/>
                <w:szCs w:val="20"/>
                <w:vertAlign w:val="superscript"/>
              </w:rPr>
              <w:endnoteReference w:id="120"/>
            </w:r>
            <w:r w:rsidRPr="009A27ED">
              <w:rPr>
                <w:rFonts w:eastAsia="Calibri"/>
                <w:szCs w:val="20"/>
              </w:rPr>
              <w:t xml:space="preserve"> señalan que se requiere actualización de inventarios, sobre el uso del suelo y los bosques para la gestión y planificación de los recursos naturales, incluido suelos, recursos forestales, agricultura migratoria y otros agentes que inciden en la destrucción de los bosques. </w:t>
            </w:r>
          </w:p>
          <w:p w14:paraId="2F67BF6C" w14:textId="77777777" w:rsidR="00947670" w:rsidRPr="009A27ED" w:rsidRDefault="00947670" w:rsidP="004E781C">
            <w:pPr>
              <w:autoSpaceDE w:val="0"/>
              <w:autoSpaceDN w:val="0"/>
              <w:adjustRightInd w:val="0"/>
              <w:spacing w:after="0"/>
              <w:rPr>
                <w:rFonts w:eastAsia="Calibri"/>
                <w:szCs w:val="20"/>
              </w:rPr>
            </w:pPr>
            <w:r w:rsidRPr="009A27ED">
              <w:rPr>
                <w:rFonts w:eastAsia="Calibri"/>
                <w:szCs w:val="20"/>
              </w:rPr>
              <w:t>La ley 202-04 dispone que el Catastro Nacional de Áreas Protegidas deberá mantenerse actualizado</w:t>
            </w:r>
            <w:r w:rsidRPr="009A27ED">
              <w:rPr>
                <w:rFonts w:eastAsia="Calibri"/>
                <w:szCs w:val="20"/>
                <w:vertAlign w:val="superscript"/>
              </w:rPr>
              <w:endnoteReference w:id="121"/>
            </w:r>
            <w:r w:rsidRPr="009A27ED">
              <w:rPr>
                <w:rFonts w:eastAsia="Calibri"/>
                <w:szCs w:val="20"/>
              </w:rPr>
              <w:t>.</w:t>
            </w:r>
          </w:p>
          <w:p w14:paraId="3A2753F2" w14:textId="77777777" w:rsidR="00947670" w:rsidRPr="009A27ED" w:rsidRDefault="00947670" w:rsidP="004E781C">
            <w:pPr>
              <w:autoSpaceDE w:val="0"/>
              <w:autoSpaceDN w:val="0"/>
              <w:adjustRightInd w:val="0"/>
              <w:spacing w:after="0"/>
              <w:rPr>
                <w:rFonts w:eastAsia="Calibri"/>
                <w:szCs w:val="20"/>
              </w:rPr>
            </w:pPr>
            <w:r w:rsidRPr="009A27ED">
              <w:rPr>
                <w:rFonts w:eastAsia="Calibri"/>
                <w:szCs w:val="20"/>
              </w:rPr>
              <w:t>La Norma Técnica de Manejo Forestal</w:t>
            </w:r>
            <w:r w:rsidRPr="009A27ED">
              <w:rPr>
                <w:rFonts w:eastAsia="Calibri"/>
                <w:szCs w:val="20"/>
                <w:vertAlign w:val="superscript"/>
              </w:rPr>
              <w:endnoteReference w:id="122"/>
            </w:r>
            <w:r w:rsidRPr="009A27ED">
              <w:rPr>
                <w:rFonts w:eastAsia="Calibri"/>
                <w:szCs w:val="20"/>
                <w:vertAlign w:val="superscript"/>
              </w:rPr>
              <w:t xml:space="preserve"> </w:t>
            </w:r>
            <w:r w:rsidRPr="009A27ED">
              <w:rPr>
                <w:rFonts w:eastAsia="Calibri"/>
                <w:szCs w:val="20"/>
              </w:rPr>
              <w:t>define el Inventario Forestal. Mientras que el Reglamento Forestal</w:t>
            </w:r>
            <w:r w:rsidRPr="009A27ED">
              <w:rPr>
                <w:rFonts w:eastAsia="Calibri"/>
                <w:szCs w:val="20"/>
                <w:vertAlign w:val="superscript"/>
              </w:rPr>
              <w:endnoteReference w:id="123"/>
            </w:r>
            <w:r w:rsidRPr="009A27ED">
              <w:rPr>
                <w:rFonts w:eastAsia="Calibri"/>
                <w:szCs w:val="20"/>
              </w:rPr>
              <w:t xml:space="preserve"> habla de la actualización del inventario de los terrenos de aptitud forestal y de los recursos forestales.</w:t>
            </w:r>
          </w:p>
          <w:p w14:paraId="11CC5038" w14:textId="77777777" w:rsidR="00947670" w:rsidRPr="009A27ED" w:rsidRDefault="00947670" w:rsidP="004E781C">
            <w:pPr>
              <w:autoSpaceDE w:val="0"/>
              <w:autoSpaceDN w:val="0"/>
              <w:adjustRightInd w:val="0"/>
              <w:spacing w:after="0"/>
              <w:rPr>
                <w:rFonts w:eastAsia="Calibri"/>
                <w:szCs w:val="20"/>
              </w:rPr>
            </w:pPr>
            <w:r w:rsidRPr="009A27ED">
              <w:rPr>
                <w:rFonts w:eastAsia="Calibri"/>
                <w:szCs w:val="20"/>
              </w:rPr>
              <w:t>El Marco Legal define los agentes/instituciones a cargo de la operacionalización de las leyes relativas a la gestión forestal</w:t>
            </w:r>
            <w:r w:rsidRPr="009A27ED">
              <w:rPr>
                <w:rFonts w:eastAsia="Calibri"/>
                <w:szCs w:val="20"/>
                <w:vertAlign w:val="superscript"/>
              </w:rPr>
              <w:endnoteReference w:id="124"/>
            </w:r>
            <w:r w:rsidRPr="009A27ED">
              <w:rPr>
                <w:rFonts w:eastAsia="Calibri"/>
                <w:szCs w:val="20"/>
              </w:rPr>
              <w:t>, pero el marco Legal requiere supervisión y presentación de informes periódicos sobre los impactos sociales y ambientales de los programas forestales</w:t>
            </w:r>
            <w:r w:rsidRPr="009A27ED">
              <w:rPr>
                <w:rFonts w:eastAsia="Calibri"/>
                <w:szCs w:val="20"/>
                <w:vertAlign w:val="superscript"/>
              </w:rPr>
              <w:endnoteReference w:id="125"/>
            </w:r>
            <w:r w:rsidRPr="009A27ED">
              <w:rPr>
                <w:rFonts w:eastAsia="Calibri"/>
                <w:szCs w:val="20"/>
              </w:rPr>
              <w:t>.</w:t>
            </w:r>
          </w:p>
        </w:tc>
        <w:tc>
          <w:tcPr>
            <w:tcW w:w="4500" w:type="dxa"/>
            <w:vMerge w:val="restart"/>
            <w:shd w:val="clear" w:color="auto" w:fill="FFFFFF" w:themeFill="background1"/>
          </w:tcPr>
          <w:p w14:paraId="662E3DFF" w14:textId="77777777" w:rsidR="00947670" w:rsidRPr="009A27ED" w:rsidRDefault="00947670" w:rsidP="004E781C">
            <w:pPr>
              <w:autoSpaceDE w:val="0"/>
              <w:autoSpaceDN w:val="0"/>
              <w:adjustRightInd w:val="0"/>
              <w:spacing w:after="0"/>
              <w:rPr>
                <w:rFonts w:eastAsia="Calibri"/>
                <w:szCs w:val="20"/>
              </w:rPr>
            </w:pPr>
            <w:r w:rsidRPr="009A27ED">
              <w:rPr>
                <w:rFonts w:eastAsia="Calibri"/>
                <w:szCs w:val="20"/>
              </w:rPr>
              <w:t xml:space="preserve">Consideraciones para el diseño de la Estrategia Nacional REDD+, </w:t>
            </w:r>
            <w:r w:rsidRPr="009A27ED">
              <w:rPr>
                <w:rFonts w:eastAsia="Calibri"/>
                <w:b/>
                <w:szCs w:val="20"/>
              </w:rPr>
              <w:t>se recomienda llevar a cabo un análisis técnico sobre los riesgos de desplazamiento y fuga de emisiones de cada una de las actividades REDD+ acordadas</w:t>
            </w:r>
            <w:r w:rsidRPr="009A27ED">
              <w:rPr>
                <w:rFonts w:eastAsia="Calibri"/>
                <w:szCs w:val="20"/>
              </w:rPr>
              <w:t xml:space="preserve"> y se sugiere elaborar planes de manejo para abordar dichos riesgos y </w:t>
            </w:r>
            <w:r w:rsidRPr="009A27ED">
              <w:rPr>
                <w:rFonts w:eastAsia="Calibri"/>
                <w:b/>
                <w:szCs w:val="20"/>
              </w:rPr>
              <w:t>un plan de monitoreo anclado al MRV y al Monitoreo Nacional Forestal (MNF)</w:t>
            </w:r>
            <w:r w:rsidRPr="009A27ED">
              <w:rPr>
                <w:rFonts w:eastAsia="Calibri"/>
                <w:szCs w:val="20"/>
              </w:rPr>
              <w:t xml:space="preserve"> y evaluar hasta qué punto dichos mecanismos podrán asegurar que se aborden los riesgos de desplazamiento de emisiones y su permanencia.</w:t>
            </w:r>
          </w:p>
          <w:p w14:paraId="170D4EAF" w14:textId="77777777" w:rsidR="00947670" w:rsidRPr="009A27ED" w:rsidRDefault="00947670" w:rsidP="004E781C">
            <w:pPr>
              <w:autoSpaceDE w:val="0"/>
              <w:autoSpaceDN w:val="0"/>
              <w:adjustRightInd w:val="0"/>
              <w:spacing w:after="0"/>
              <w:rPr>
                <w:rFonts w:eastAsia="Calibri"/>
                <w:szCs w:val="20"/>
              </w:rPr>
            </w:pPr>
            <w:r w:rsidRPr="009A27ED">
              <w:rPr>
                <w:rFonts w:eastAsia="Calibri"/>
                <w:szCs w:val="20"/>
              </w:rPr>
              <w:t xml:space="preserve">Se recomienda que la Estrategia Nacional REDD+ </w:t>
            </w:r>
            <w:r w:rsidRPr="009A27ED">
              <w:rPr>
                <w:rFonts w:eastAsia="Calibri"/>
                <w:b/>
                <w:szCs w:val="20"/>
              </w:rPr>
              <w:t>indique que tanto el sistema de MRV, como el MNF contribuirán a garantizar la implementación de las salvaguardas f) y g) REDD+ de la CMNUCC</w:t>
            </w:r>
            <w:r w:rsidRPr="009A27ED">
              <w:rPr>
                <w:rFonts w:eastAsia="Calibri"/>
                <w:szCs w:val="20"/>
              </w:rPr>
              <w:t xml:space="preserve"> y se recomienda indicar en la Estrategia Nacional REDD+ que el país es parte de tratados regionales que están basados en el principio de la cooperación y coordinación.  </w:t>
            </w:r>
          </w:p>
          <w:p w14:paraId="74904A64" w14:textId="77777777" w:rsidR="00947670" w:rsidRPr="009A27ED" w:rsidRDefault="00947670" w:rsidP="004E781C">
            <w:pPr>
              <w:autoSpaceDE w:val="0"/>
              <w:autoSpaceDN w:val="0"/>
              <w:adjustRightInd w:val="0"/>
              <w:spacing w:after="0"/>
              <w:rPr>
                <w:rFonts w:eastAsia="Calibri"/>
                <w:szCs w:val="20"/>
              </w:rPr>
            </w:pPr>
            <w:r w:rsidRPr="009A27ED">
              <w:rPr>
                <w:rFonts w:eastAsia="Calibri"/>
                <w:szCs w:val="20"/>
              </w:rPr>
              <w:t>Se recomienda incorporar mayores elementos de seguridad en los documentos y productos utilizados en la cadena de suministro y establecer un Sistema de seguimiento.</w:t>
            </w:r>
          </w:p>
          <w:p w14:paraId="5E82CEB8" w14:textId="77777777" w:rsidR="00947670" w:rsidRPr="009A27ED" w:rsidRDefault="00947670" w:rsidP="004E781C">
            <w:pPr>
              <w:autoSpaceDE w:val="0"/>
              <w:autoSpaceDN w:val="0"/>
              <w:adjustRightInd w:val="0"/>
              <w:spacing w:after="0"/>
              <w:rPr>
                <w:rFonts w:eastAsia="Calibri"/>
                <w:szCs w:val="20"/>
              </w:rPr>
            </w:pPr>
            <w:r w:rsidRPr="009A27ED">
              <w:rPr>
                <w:rFonts w:eastAsia="Calibri"/>
                <w:b/>
                <w:szCs w:val="20"/>
              </w:rPr>
              <w:t>Se recomienda que República Dominicana consiga la aprobación de la Ley de Ordenamiento Territorial y concluya el Inventario Forestal,</w:t>
            </w:r>
            <w:r w:rsidRPr="009A27ED">
              <w:rPr>
                <w:rFonts w:eastAsia="Calibri"/>
                <w:szCs w:val="20"/>
              </w:rPr>
              <w:t xml:space="preserve"> para tener datos sobre la cobertura forestal, zonas aptas para la forestación, especies en peligro de extinción, valores ecológicos, valores tradicionales, sobre el uso del suelo, biomasa y productividad, y la información sobre recursos socioeconómicos y forestales importantes para el país, esto acompañado de seguimiento y distribución de información.</w:t>
            </w:r>
          </w:p>
          <w:p w14:paraId="5B41545D" w14:textId="77777777" w:rsidR="00947670" w:rsidRPr="009A27ED" w:rsidRDefault="00947670" w:rsidP="004E781C">
            <w:pPr>
              <w:autoSpaceDE w:val="0"/>
              <w:autoSpaceDN w:val="0"/>
              <w:adjustRightInd w:val="0"/>
              <w:spacing w:after="0"/>
              <w:rPr>
                <w:rFonts w:eastAsia="Calibri"/>
                <w:szCs w:val="20"/>
              </w:rPr>
            </w:pPr>
            <w:r w:rsidRPr="009A27ED">
              <w:rPr>
                <w:rFonts w:eastAsia="Calibri"/>
                <w:szCs w:val="20"/>
              </w:rPr>
              <w:t xml:space="preserve">Aunque el Marco Legal no promueve ni requiere </w:t>
            </w:r>
            <w:r w:rsidRPr="009A27ED">
              <w:rPr>
                <w:rFonts w:eastAsia="Calibri"/>
                <w:b/>
                <w:szCs w:val="20"/>
              </w:rPr>
              <w:t>monitoreo forestal independiente</w:t>
            </w:r>
            <w:r w:rsidRPr="009A27ED">
              <w:rPr>
                <w:rFonts w:eastAsia="Calibri"/>
                <w:szCs w:val="20"/>
              </w:rPr>
              <w:t xml:space="preserve">, </w:t>
            </w:r>
            <w:r w:rsidRPr="009A27ED">
              <w:rPr>
                <w:rFonts w:eastAsia="Calibri"/>
                <w:b/>
                <w:szCs w:val="20"/>
              </w:rPr>
              <w:t>se recomienda que se implemente el mismo como instrumento que puede agregar más credibilidad y confianza a los actores involucrados y a la colectividad</w:t>
            </w:r>
            <w:r w:rsidRPr="009A27ED">
              <w:rPr>
                <w:rFonts w:eastAsia="Calibri"/>
                <w:szCs w:val="20"/>
              </w:rPr>
              <w:t>.</w:t>
            </w:r>
          </w:p>
        </w:tc>
      </w:tr>
      <w:tr w:rsidR="0087622B" w:rsidRPr="009A27ED" w14:paraId="06DB4F0D" w14:textId="77777777" w:rsidTr="00537E0D">
        <w:tc>
          <w:tcPr>
            <w:tcW w:w="4675" w:type="dxa"/>
            <w:shd w:val="clear" w:color="auto" w:fill="FFFFFF" w:themeFill="background1"/>
          </w:tcPr>
          <w:p w14:paraId="7EC7B978" w14:textId="77777777" w:rsidR="00947670" w:rsidRPr="009A27ED" w:rsidRDefault="00947670" w:rsidP="004E781C">
            <w:pPr>
              <w:autoSpaceDE w:val="0"/>
              <w:autoSpaceDN w:val="0"/>
              <w:adjustRightInd w:val="0"/>
              <w:spacing w:after="0"/>
              <w:rPr>
                <w:rFonts w:eastAsia="Calibri"/>
                <w:color w:val="000000" w:themeColor="text1"/>
                <w:szCs w:val="20"/>
              </w:rPr>
            </w:pPr>
            <w:r w:rsidRPr="009A27ED">
              <w:rPr>
                <w:rFonts w:eastAsia="Calibri"/>
                <w:color w:val="000000" w:themeColor="text1"/>
                <w:szCs w:val="20"/>
              </w:rPr>
              <w:t>El Marco Legal promueve la conservación y uso sostenible de los bosques y otros recursos relevantes, como evidencia la CPD</w:t>
            </w:r>
            <w:r w:rsidRPr="009A27ED">
              <w:rPr>
                <w:rFonts w:eastAsia="Calibri"/>
                <w:color w:val="000000" w:themeColor="text1"/>
                <w:szCs w:val="20"/>
                <w:vertAlign w:val="superscript"/>
              </w:rPr>
              <w:endnoteReference w:id="126"/>
            </w:r>
            <w:r w:rsidRPr="009A27ED">
              <w:rPr>
                <w:rFonts w:eastAsia="Calibri"/>
                <w:color w:val="000000" w:themeColor="text1"/>
                <w:szCs w:val="20"/>
              </w:rPr>
              <w:t xml:space="preserve"> que reconoce el derecho a toda persona (de modo individual o colectivo) al uso y goce sostenible de los recursos naturales, Ley 64-00</w:t>
            </w:r>
            <w:r w:rsidRPr="009A27ED">
              <w:rPr>
                <w:rFonts w:eastAsia="Calibri"/>
                <w:color w:val="000000" w:themeColor="text1"/>
                <w:szCs w:val="20"/>
                <w:vertAlign w:val="superscript"/>
              </w:rPr>
              <w:endnoteReference w:id="127"/>
            </w:r>
            <w:r w:rsidRPr="009A27ED">
              <w:rPr>
                <w:rFonts w:eastAsia="Calibri"/>
                <w:color w:val="000000" w:themeColor="text1"/>
                <w:szCs w:val="20"/>
              </w:rPr>
              <w:t xml:space="preserve"> busca garantizar la participación de las comunidades y los habitantes en la conservación, gestión y uso sostenible de los recursos naturales y el medio ambiente.</w:t>
            </w:r>
          </w:p>
          <w:p w14:paraId="4F2330F2" w14:textId="77777777" w:rsidR="00947670" w:rsidRPr="009A27ED" w:rsidRDefault="00947670" w:rsidP="004E781C">
            <w:pPr>
              <w:autoSpaceDE w:val="0"/>
              <w:autoSpaceDN w:val="0"/>
              <w:adjustRightInd w:val="0"/>
              <w:spacing w:after="0"/>
              <w:rPr>
                <w:rFonts w:eastAsia="Calibri"/>
                <w:color w:val="000000" w:themeColor="text1"/>
                <w:szCs w:val="20"/>
              </w:rPr>
            </w:pPr>
            <w:r w:rsidRPr="009A27ED">
              <w:rPr>
                <w:rFonts w:eastAsia="Calibri"/>
                <w:color w:val="000000" w:themeColor="text1"/>
                <w:szCs w:val="20"/>
              </w:rPr>
              <w:t>La END</w:t>
            </w:r>
            <w:r w:rsidRPr="009A27ED">
              <w:rPr>
                <w:rFonts w:eastAsia="Calibri"/>
                <w:color w:val="000000" w:themeColor="text1"/>
                <w:szCs w:val="20"/>
                <w:vertAlign w:val="superscript"/>
              </w:rPr>
              <w:endnoteReference w:id="128"/>
            </w:r>
            <w:r w:rsidRPr="009A27ED">
              <w:rPr>
                <w:rFonts w:eastAsia="Calibri"/>
                <w:color w:val="000000" w:themeColor="text1"/>
                <w:szCs w:val="20"/>
              </w:rPr>
              <w:t xml:space="preserve"> busca conducir y coordinar el proceso de formulación, gestión, seguimiento y evaluación de las políticas macroeconómicas y de desarrollo  sostenible para la obtención de la cohesión económica, social, territorial e institucional de la nación y la ley 202-04 tiene como uno de sus objetivos promover el acceso a los beneficios de los servicios en las áreas protegidas; además de establecer como uno de sus principios, la obligación del Estado y los particulares para velar porque las áreas protegidas se utilicen en forma sostenible y sean incorporadas racionalmente al desarrollo económico nacional.</w:t>
            </w:r>
          </w:p>
          <w:p w14:paraId="1419939A" w14:textId="77777777" w:rsidR="00947670" w:rsidRPr="009A27ED" w:rsidRDefault="00947670" w:rsidP="004E781C">
            <w:pPr>
              <w:autoSpaceDE w:val="0"/>
              <w:autoSpaceDN w:val="0"/>
              <w:adjustRightInd w:val="0"/>
              <w:spacing w:after="0"/>
              <w:rPr>
                <w:rFonts w:eastAsia="Calibri"/>
                <w:color w:val="000000" w:themeColor="text1"/>
                <w:szCs w:val="20"/>
              </w:rPr>
            </w:pPr>
            <w:r w:rsidRPr="009A27ED">
              <w:rPr>
                <w:rFonts w:eastAsia="Calibri"/>
                <w:color w:val="000000" w:themeColor="text1"/>
                <w:szCs w:val="20"/>
              </w:rPr>
              <w:t>Por su parte, el Reglamento Forestal</w:t>
            </w:r>
            <w:r w:rsidRPr="009A27ED">
              <w:rPr>
                <w:rFonts w:eastAsia="Calibri"/>
                <w:color w:val="000000" w:themeColor="text1"/>
                <w:szCs w:val="20"/>
                <w:vertAlign w:val="superscript"/>
              </w:rPr>
              <w:endnoteReference w:id="129"/>
            </w:r>
            <w:r w:rsidRPr="009A27ED">
              <w:rPr>
                <w:rFonts w:eastAsia="Calibri"/>
                <w:color w:val="000000" w:themeColor="text1"/>
                <w:szCs w:val="20"/>
              </w:rPr>
              <w:t xml:space="preserve"> tiene por objeto dictar las normas necesarias para la adecuada aplicación de la Ley de Medio Ambiente y Recursos Naturales y establece entre sus metas asegurar el ordenamiento, conservación y desarrollo sostenible de los bosques existentes.</w:t>
            </w:r>
          </w:p>
          <w:p w14:paraId="34402CB3" w14:textId="77777777" w:rsidR="00947670" w:rsidRPr="009A27ED" w:rsidRDefault="00947670" w:rsidP="004E781C">
            <w:pPr>
              <w:autoSpaceDE w:val="0"/>
              <w:autoSpaceDN w:val="0"/>
              <w:adjustRightInd w:val="0"/>
              <w:spacing w:after="0"/>
              <w:rPr>
                <w:rFonts w:eastAsia="Calibri"/>
                <w:color w:val="000000" w:themeColor="text1"/>
                <w:szCs w:val="20"/>
              </w:rPr>
            </w:pPr>
            <w:r w:rsidRPr="009A27ED">
              <w:rPr>
                <w:rFonts w:eastAsia="Calibri"/>
                <w:color w:val="000000" w:themeColor="text1"/>
                <w:szCs w:val="20"/>
              </w:rPr>
              <w:t>El Marco Legal regula la responsabilidad y compensación</w:t>
            </w:r>
            <w:r w:rsidRPr="009A27ED">
              <w:rPr>
                <w:rFonts w:eastAsia="Calibri"/>
                <w:color w:val="000000" w:themeColor="text1"/>
                <w:szCs w:val="20"/>
                <w:vertAlign w:val="superscript"/>
              </w:rPr>
              <w:endnoteReference w:id="130"/>
            </w:r>
            <w:r w:rsidRPr="009A27ED">
              <w:rPr>
                <w:rFonts w:eastAsia="Calibri"/>
                <w:color w:val="000000" w:themeColor="text1"/>
                <w:szCs w:val="20"/>
              </w:rPr>
              <w:t xml:space="preserve"> por las acciones que afectan a la conservación y ordenación de los bosques y prevé disposiciones relativas al combate y erradicación de las prácticas ilegales relacionadas con los bosques, según la ley 64-00</w:t>
            </w:r>
            <w:r w:rsidRPr="009A27ED">
              <w:rPr>
                <w:rFonts w:eastAsia="Calibri"/>
                <w:color w:val="000000" w:themeColor="text1"/>
                <w:szCs w:val="20"/>
                <w:vertAlign w:val="superscript"/>
              </w:rPr>
              <w:endnoteReference w:id="131"/>
            </w:r>
            <w:r w:rsidRPr="009A27ED">
              <w:rPr>
                <w:rFonts w:eastAsia="Calibri"/>
                <w:color w:val="000000" w:themeColor="text1"/>
                <w:szCs w:val="20"/>
              </w:rPr>
              <w:t>, busca abordar las principales causas de la deforestación y la degradación forestal, como evidencia el RF</w:t>
            </w:r>
            <w:r w:rsidRPr="009A27ED">
              <w:rPr>
                <w:rFonts w:eastAsia="Calibri"/>
                <w:color w:val="000000" w:themeColor="text1"/>
                <w:szCs w:val="20"/>
                <w:vertAlign w:val="superscript"/>
              </w:rPr>
              <w:endnoteReference w:id="132"/>
            </w:r>
            <w:r w:rsidRPr="009A27ED">
              <w:rPr>
                <w:rFonts w:eastAsia="Calibri"/>
                <w:color w:val="000000" w:themeColor="text1"/>
                <w:szCs w:val="20"/>
              </w:rPr>
              <w:t>.</w:t>
            </w:r>
          </w:p>
          <w:p w14:paraId="1CFF99E2" w14:textId="77777777" w:rsidR="00947670" w:rsidRPr="009A27ED" w:rsidRDefault="00947670" w:rsidP="004E781C">
            <w:pPr>
              <w:autoSpaceDE w:val="0"/>
              <w:autoSpaceDN w:val="0"/>
              <w:adjustRightInd w:val="0"/>
              <w:spacing w:after="0"/>
              <w:rPr>
                <w:rFonts w:eastAsia="Calibri"/>
                <w:b/>
                <w:color w:val="000000" w:themeColor="text1"/>
                <w:szCs w:val="20"/>
              </w:rPr>
            </w:pPr>
          </w:p>
        </w:tc>
        <w:tc>
          <w:tcPr>
            <w:tcW w:w="4500" w:type="dxa"/>
            <w:vMerge/>
            <w:shd w:val="clear" w:color="auto" w:fill="FFFFFF" w:themeFill="background1"/>
          </w:tcPr>
          <w:p w14:paraId="14BF3830" w14:textId="77777777" w:rsidR="00947670" w:rsidRPr="009A27ED" w:rsidRDefault="00947670" w:rsidP="004E781C">
            <w:pPr>
              <w:keepNext/>
              <w:autoSpaceDE w:val="0"/>
              <w:autoSpaceDN w:val="0"/>
              <w:adjustRightInd w:val="0"/>
              <w:spacing w:after="0"/>
              <w:rPr>
                <w:rFonts w:eastAsia="Calibri"/>
                <w:b/>
                <w:color w:val="000000" w:themeColor="text1"/>
                <w:szCs w:val="20"/>
              </w:rPr>
            </w:pPr>
          </w:p>
        </w:tc>
      </w:tr>
    </w:tbl>
    <w:p w14:paraId="0D56EF5B" w14:textId="3790EAD7" w:rsidR="00877E27" w:rsidRPr="009A27ED" w:rsidRDefault="00877E27" w:rsidP="00D42EDE">
      <w:pPr>
        <w:pStyle w:val="Descripcin"/>
        <w:spacing w:after="120" w:line="360" w:lineRule="auto"/>
        <w:rPr>
          <w:sz w:val="22"/>
          <w:szCs w:val="22"/>
        </w:rPr>
      </w:pPr>
      <w:bookmarkStart w:id="218" w:name="_Toc529470000"/>
      <w:bookmarkStart w:id="219" w:name="_Toc532335863"/>
    </w:p>
    <w:p w14:paraId="4D8E184A" w14:textId="77777777" w:rsidR="00877E27" w:rsidRPr="009A27ED" w:rsidRDefault="00877E27">
      <w:pPr>
        <w:spacing w:after="160" w:line="360" w:lineRule="auto"/>
        <w:rPr>
          <w:i/>
          <w:iCs/>
          <w:color w:val="44546A" w:themeColor="text2"/>
          <w:szCs w:val="22"/>
        </w:rPr>
      </w:pPr>
      <w:r w:rsidRPr="009A27ED">
        <w:rPr>
          <w:rFonts w:ascii="Times New Roman" w:eastAsia="Times New Roman" w:hAnsi="Times New Roman"/>
          <w:sz w:val="24"/>
          <w:szCs w:val="22"/>
        </w:rPr>
        <w:br w:type="page"/>
      </w:r>
    </w:p>
    <w:p w14:paraId="2E6D70E6" w14:textId="77777777" w:rsidR="001E165D" w:rsidRPr="009A27ED" w:rsidRDefault="001E165D" w:rsidP="00D42EDE">
      <w:pPr>
        <w:pStyle w:val="Descripcin"/>
        <w:spacing w:after="120" w:line="360" w:lineRule="auto"/>
        <w:rPr>
          <w:sz w:val="22"/>
          <w:szCs w:val="22"/>
        </w:rPr>
      </w:pPr>
    </w:p>
    <w:p w14:paraId="2A3176D1" w14:textId="46A7EF8A" w:rsidR="00E6357C" w:rsidRPr="009A27ED" w:rsidRDefault="00F76869" w:rsidP="00D07A57">
      <w:pPr>
        <w:pStyle w:val="Ttulo2"/>
        <w:numPr>
          <w:ilvl w:val="0"/>
          <w:numId w:val="0"/>
        </w:numPr>
        <w:spacing w:line="360" w:lineRule="auto"/>
        <w:ind w:left="567" w:hanging="576"/>
        <w:jc w:val="both"/>
      </w:pPr>
      <w:bookmarkStart w:id="220" w:name="_Toc111837944"/>
      <w:r w:rsidRPr="009A27ED">
        <w:rPr>
          <w:rFonts w:ascii="Times New Roman" w:eastAsia="Times New Roman" w:hAnsi="Times New Roman"/>
          <w:sz w:val="24"/>
        </w:rPr>
        <w:t>3.4</w:t>
      </w:r>
      <w:r w:rsidR="007D3A34" w:rsidRPr="009A27ED">
        <w:rPr>
          <w:rFonts w:ascii="Times New Roman" w:eastAsia="Times New Roman" w:hAnsi="Times New Roman"/>
          <w:sz w:val="24"/>
        </w:rPr>
        <w:t xml:space="preserve">. </w:t>
      </w:r>
      <w:r w:rsidR="00CD4C75" w:rsidRPr="009A27ED">
        <w:rPr>
          <w:rFonts w:ascii="Times New Roman" w:eastAsia="Times New Roman" w:hAnsi="Times New Roman"/>
          <w:sz w:val="24"/>
        </w:rPr>
        <w:t xml:space="preserve">Marco de </w:t>
      </w:r>
      <w:r w:rsidR="007D3A34" w:rsidRPr="009A27ED">
        <w:rPr>
          <w:rFonts w:ascii="Times New Roman" w:eastAsia="Times New Roman" w:hAnsi="Times New Roman"/>
          <w:sz w:val="24"/>
        </w:rPr>
        <w:t>Políticas</w:t>
      </w:r>
      <w:r w:rsidR="004A289C" w:rsidRPr="009A27ED">
        <w:rPr>
          <w:rFonts w:ascii="Times New Roman" w:eastAsia="Times New Roman" w:hAnsi="Times New Roman"/>
          <w:sz w:val="24"/>
        </w:rPr>
        <w:t xml:space="preserve"> Operativas del Banco Mundial aplicables</w:t>
      </w:r>
      <w:bookmarkEnd w:id="220"/>
    </w:p>
    <w:p w14:paraId="37F12608" w14:textId="77777777" w:rsidR="00E6357C" w:rsidRPr="009A27ED" w:rsidRDefault="00E6357C" w:rsidP="00CD4C75">
      <w:pPr>
        <w:pStyle w:val="Textoindependiente"/>
        <w:spacing w:line="360" w:lineRule="auto"/>
        <w:ind w:right="115"/>
        <w:rPr>
          <w:rFonts w:asciiTheme="minorHAnsi" w:hAnsiTheme="minorHAnsi" w:cstheme="minorHAnsi"/>
          <w:w w:val="95"/>
          <w:szCs w:val="22"/>
          <w:lang w:val="es-ES"/>
        </w:rPr>
      </w:pPr>
    </w:p>
    <w:p w14:paraId="05289EF2" w14:textId="2E20ED9E" w:rsidR="004A289C" w:rsidRPr="009A27ED" w:rsidRDefault="004A289C" w:rsidP="00CD4C75">
      <w:pPr>
        <w:pStyle w:val="Textoindependiente"/>
        <w:spacing w:line="360" w:lineRule="auto"/>
        <w:ind w:right="115"/>
        <w:rPr>
          <w:rFonts w:asciiTheme="minorHAnsi" w:hAnsiTheme="minorHAnsi" w:cstheme="minorHAnsi"/>
          <w:szCs w:val="22"/>
          <w:lang w:val="es-ES"/>
        </w:rPr>
      </w:pPr>
      <w:r w:rsidRPr="009A27ED">
        <w:rPr>
          <w:rFonts w:asciiTheme="minorHAnsi" w:hAnsiTheme="minorHAnsi" w:cstheme="minorHAnsi"/>
          <w:w w:val="95"/>
          <w:sz w:val="24"/>
          <w:szCs w:val="22"/>
          <w:lang w:val="es-ES"/>
        </w:rPr>
        <w:t>De</w:t>
      </w:r>
      <w:r w:rsidR="00B030CA" w:rsidRPr="009A27ED">
        <w:rPr>
          <w:rFonts w:asciiTheme="minorHAnsi" w:hAnsiTheme="minorHAnsi" w:cstheme="minorHAnsi"/>
          <w:w w:val="95"/>
          <w:sz w:val="24"/>
          <w:szCs w:val="22"/>
          <w:lang w:val="es-ES"/>
        </w:rPr>
        <w:t xml:space="preserve"> </w:t>
      </w:r>
      <w:r w:rsidRPr="009A27ED">
        <w:rPr>
          <w:rFonts w:asciiTheme="minorHAnsi" w:hAnsiTheme="minorHAnsi" w:cstheme="minorHAnsi"/>
          <w:w w:val="95"/>
          <w:sz w:val="24"/>
          <w:szCs w:val="22"/>
          <w:lang w:val="es-ES"/>
        </w:rPr>
        <w:t>acuerdo</w:t>
      </w:r>
      <w:r w:rsidR="00B030CA" w:rsidRPr="009A27ED">
        <w:rPr>
          <w:rFonts w:asciiTheme="minorHAnsi" w:hAnsiTheme="minorHAnsi" w:cstheme="minorHAnsi"/>
          <w:w w:val="95"/>
          <w:sz w:val="24"/>
          <w:szCs w:val="22"/>
          <w:lang w:val="es-ES"/>
        </w:rPr>
        <w:t xml:space="preserve"> </w:t>
      </w:r>
      <w:r w:rsidR="000D707C" w:rsidRPr="009A27ED">
        <w:rPr>
          <w:rFonts w:asciiTheme="minorHAnsi" w:hAnsiTheme="minorHAnsi" w:cstheme="minorHAnsi"/>
          <w:w w:val="95"/>
          <w:sz w:val="24"/>
          <w:szCs w:val="22"/>
          <w:lang w:val="es-ES"/>
        </w:rPr>
        <w:t>con</w:t>
      </w:r>
      <w:r w:rsidR="00143CBF" w:rsidRPr="009A27ED">
        <w:rPr>
          <w:rFonts w:asciiTheme="minorHAnsi" w:hAnsiTheme="minorHAnsi" w:cstheme="minorHAnsi"/>
          <w:w w:val="95"/>
          <w:sz w:val="24"/>
          <w:szCs w:val="22"/>
          <w:lang w:val="es-ES"/>
        </w:rPr>
        <w:t xml:space="preserve"> los impactos id</w:t>
      </w:r>
      <w:r w:rsidR="001C4A38" w:rsidRPr="009A27ED">
        <w:rPr>
          <w:rFonts w:asciiTheme="minorHAnsi" w:hAnsiTheme="minorHAnsi" w:cstheme="minorHAnsi"/>
          <w:w w:val="95"/>
          <w:sz w:val="24"/>
          <w:szCs w:val="22"/>
          <w:lang w:val="es-ES"/>
        </w:rPr>
        <w:t xml:space="preserve">entificados en el </w:t>
      </w:r>
      <w:r w:rsidRPr="009A27ED">
        <w:rPr>
          <w:rFonts w:asciiTheme="minorHAnsi" w:hAnsiTheme="minorHAnsi" w:cstheme="minorHAnsi"/>
          <w:spacing w:val="-45"/>
          <w:w w:val="95"/>
          <w:sz w:val="24"/>
          <w:szCs w:val="22"/>
          <w:lang w:val="es-ES"/>
        </w:rPr>
        <w:t xml:space="preserve"> </w:t>
      </w:r>
      <w:r w:rsidR="00143CBF" w:rsidRPr="009A27ED">
        <w:rPr>
          <w:rFonts w:asciiTheme="minorHAnsi" w:hAnsiTheme="minorHAnsi" w:cstheme="minorHAnsi"/>
          <w:spacing w:val="-45"/>
          <w:w w:val="95"/>
          <w:sz w:val="24"/>
          <w:szCs w:val="22"/>
          <w:lang w:val="es-ES"/>
        </w:rPr>
        <w:t xml:space="preserve"> </w:t>
      </w:r>
      <w:r w:rsidR="00BD0F53" w:rsidRPr="009A27ED">
        <w:rPr>
          <w:rFonts w:asciiTheme="minorHAnsi" w:hAnsiTheme="minorHAnsi" w:cstheme="minorHAnsi"/>
          <w:w w:val="95"/>
          <w:sz w:val="24"/>
          <w:szCs w:val="22"/>
          <w:lang w:val="es-ES"/>
        </w:rPr>
        <w:t>SESA</w:t>
      </w:r>
      <w:r w:rsidR="00BD0F53" w:rsidRPr="009A27ED">
        <w:rPr>
          <w:rFonts w:asciiTheme="minorHAnsi" w:hAnsiTheme="minorHAnsi" w:cstheme="minorHAnsi"/>
          <w:spacing w:val="-45"/>
          <w:w w:val="95"/>
          <w:sz w:val="24"/>
          <w:szCs w:val="22"/>
          <w:lang w:val="es-ES"/>
        </w:rPr>
        <w:t xml:space="preserve"> y</w:t>
      </w:r>
      <w:r w:rsidR="00143CBF" w:rsidRPr="009A27ED">
        <w:rPr>
          <w:rFonts w:asciiTheme="minorHAnsi" w:hAnsiTheme="minorHAnsi" w:cstheme="minorHAnsi"/>
          <w:w w:val="95"/>
          <w:sz w:val="24"/>
          <w:szCs w:val="22"/>
          <w:lang w:val="es-ES"/>
        </w:rPr>
        <w:t xml:space="preserve"> </w:t>
      </w:r>
      <w:r w:rsidRPr="009A27ED">
        <w:rPr>
          <w:rFonts w:asciiTheme="minorHAnsi" w:hAnsiTheme="minorHAnsi" w:cstheme="minorHAnsi"/>
          <w:spacing w:val="-44"/>
          <w:w w:val="95"/>
          <w:sz w:val="24"/>
          <w:szCs w:val="22"/>
          <w:lang w:val="es-ES"/>
        </w:rPr>
        <w:t xml:space="preserve"> </w:t>
      </w:r>
      <w:r w:rsidRPr="009A27ED">
        <w:rPr>
          <w:rFonts w:asciiTheme="minorHAnsi" w:hAnsiTheme="minorHAnsi" w:cstheme="minorHAnsi"/>
          <w:w w:val="95"/>
          <w:sz w:val="24"/>
          <w:szCs w:val="22"/>
          <w:lang w:val="es-ES"/>
        </w:rPr>
        <w:t>las</w:t>
      </w:r>
      <w:r w:rsidRPr="009A27ED">
        <w:rPr>
          <w:rFonts w:asciiTheme="minorHAnsi" w:hAnsiTheme="minorHAnsi" w:cstheme="minorHAnsi"/>
          <w:spacing w:val="-45"/>
          <w:w w:val="95"/>
          <w:sz w:val="24"/>
          <w:szCs w:val="22"/>
          <w:lang w:val="es-ES"/>
        </w:rPr>
        <w:t xml:space="preserve"> </w:t>
      </w:r>
      <w:r w:rsidRPr="009A27ED">
        <w:rPr>
          <w:rFonts w:asciiTheme="minorHAnsi" w:hAnsiTheme="minorHAnsi" w:cstheme="minorHAnsi"/>
          <w:w w:val="95"/>
          <w:sz w:val="24"/>
          <w:szCs w:val="22"/>
          <w:lang w:val="es-ES"/>
        </w:rPr>
        <w:t>directrices</w:t>
      </w:r>
      <w:r w:rsidRPr="009A27ED">
        <w:rPr>
          <w:rFonts w:asciiTheme="minorHAnsi" w:hAnsiTheme="minorHAnsi" w:cstheme="minorHAnsi"/>
          <w:spacing w:val="-45"/>
          <w:w w:val="95"/>
          <w:sz w:val="24"/>
          <w:szCs w:val="22"/>
          <w:lang w:val="es-ES"/>
        </w:rPr>
        <w:t xml:space="preserve"> </w:t>
      </w:r>
      <w:r w:rsidRPr="009A27ED">
        <w:rPr>
          <w:rFonts w:asciiTheme="minorHAnsi" w:hAnsiTheme="minorHAnsi" w:cstheme="minorHAnsi"/>
          <w:w w:val="95"/>
          <w:sz w:val="24"/>
          <w:szCs w:val="22"/>
          <w:lang w:val="es-ES"/>
        </w:rPr>
        <w:t>del</w:t>
      </w:r>
      <w:r w:rsidRPr="009A27ED">
        <w:rPr>
          <w:rFonts w:asciiTheme="minorHAnsi" w:hAnsiTheme="minorHAnsi" w:cstheme="minorHAnsi"/>
          <w:spacing w:val="-44"/>
          <w:w w:val="95"/>
          <w:sz w:val="24"/>
          <w:szCs w:val="22"/>
          <w:lang w:val="es-ES"/>
        </w:rPr>
        <w:t xml:space="preserve"> </w:t>
      </w:r>
      <w:r w:rsidRPr="009A27ED">
        <w:rPr>
          <w:rFonts w:asciiTheme="minorHAnsi" w:hAnsiTheme="minorHAnsi" w:cstheme="minorHAnsi"/>
          <w:w w:val="95"/>
          <w:sz w:val="24"/>
          <w:szCs w:val="22"/>
          <w:lang w:val="es-ES"/>
        </w:rPr>
        <w:t>Banco</w:t>
      </w:r>
      <w:r w:rsidRPr="009A27ED">
        <w:rPr>
          <w:rFonts w:asciiTheme="minorHAnsi" w:hAnsiTheme="minorHAnsi" w:cstheme="minorHAnsi"/>
          <w:spacing w:val="-45"/>
          <w:w w:val="95"/>
          <w:sz w:val="24"/>
          <w:szCs w:val="22"/>
          <w:lang w:val="es-ES"/>
        </w:rPr>
        <w:t xml:space="preserve"> </w:t>
      </w:r>
      <w:r w:rsidRPr="009A27ED">
        <w:rPr>
          <w:rFonts w:asciiTheme="minorHAnsi" w:hAnsiTheme="minorHAnsi" w:cstheme="minorHAnsi"/>
          <w:w w:val="95"/>
          <w:sz w:val="24"/>
          <w:szCs w:val="22"/>
          <w:lang w:val="es-ES"/>
        </w:rPr>
        <w:t>Mundial,</w:t>
      </w:r>
      <w:r w:rsidRPr="009A27ED">
        <w:rPr>
          <w:rFonts w:asciiTheme="minorHAnsi" w:hAnsiTheme="minorHAnsi" w:cstheme="minorHAnsi"/>
          <w:spacing w:val="-44"/>
          <w:w w:val="95"/>
          <w:sz w:val="24"/>
          <w:szCs w:val="22"/>
          <w:lang w:val="es-ES"/>
        </w:rPr>
        <w:t xml:space="preserve"> </w:t>
      </w:r>
      <w:r w:rsidRPr="009A27ED">
        <w:rPr>
          <w:rFonts w:asciiTheme="minorHAnsi" w:hAnsiTheme="minorHAnsi" w:cstheme="minorHAnsi"/>
          <w:w w:val="95"/>
          <w:sz w:val="24"/>
          <w:szCs w:val="22"/>
          <w:lang w:val="es-ES"/>
        </w:rPr>
        <w:t>las</w:t>
      </w:r>
      <w:r w:rsidRPr="009A27ED">
        <w:rPr>
          <w:rFonts w:asciiTheme="minorHAnsi" w:hAnsiTheme="minorHAnsi" w:cstheme="minorHAnsi"/>
          <w:spacing w:val="-45"/>
          <w:w w:val="95"/>
          <w:sz w:val="24"/>
          <w:szCs w:val="22"/>
          <w:lang w:val="es-ES"/>
        </w:rPr>
        <w:t xml:space="preserve"> </w:t>
      </w:r>
      <w:r w:rsidRPr="009A27ED">
        <w:rPr>
          <w:rFonts w:asciiTheme="minorHAnsi" w:hAnsiTheme="minorHAnsi" w:cstheme="minorHAnsi"/>
          <w:w w:val="95"/>
          <w:sz w:val="24"/>
          <w:szCs w:val="22"/>
          <w:lang w:val="es-ES"/>
        </w:rPr>
        <w:t>Políticas Operativas</w:t>
      </w:r>
      <w:r w:rsidRPr="009A27ED">
        <w:rPr>
          <w:rFonts w:asciiTheme="minorHAnsi" w:hAnsiTheme="minorHAnsi" w:cstheme="minorHAnsi"/>
          <w:spacing w:val="-16"/>
          <w:w w:val="95"/>
          <w:sz w:val="24"/>
          <w:szCs w:val="22"/>
          <w:lang w:val="es-ES"/>
        </w:rPr>
        <w:t xml:space="preserve"> </w:t>
      </w:r>
      <w:r w:rsidRPr="009A27ED">
        <w:rPr>
          <w:rFonts w:asciiTheme="minorHAnsi" w:hAnsiTheme="minorHAnsi" w:cstheme="minorHAnsi"/>
          <w:w w:val="95"/>
          <w:sz w:val="24"/>
          <w:szCs w:val="22"/>
          <w:lang w:val="es-ES"/>
        </w:rPr>
        <w:t>de</w:t>
      </w:r>
      <w:r w:rsidRPr="009A27ED">
        <w:rPr>
          <w:rFonts w:asciiTheme="minorHAnsi" w:hAnsiTheme="minorHAnsi" w:cstheme="minorHAnsi"/>
          <w:spacing w:val="-17"/>
          <w:w w:val="95"/>
          <w:sz w:val="24"/>
          <w:szCs w:val="22"/>
          <w:lang w:val="es-ES"/>
        </w:rPr>
        <w:t xml:space="preserve"> </w:t>
      </w:r>
      <w:r w:rsidRPr="009A27ED">
        <w:rPr>
          <w:rFonts w:asciiTheme="minorHAnsi" w:hAnsiTheme="minorHAnsi" w:cstheme="minorHAnsi"/>
          <w:w w:val="95"/>
          <w:sz w:val="24"/>
          <w:szCs w:val="22"/>
          <w:lang w:val="es-ES"/>
        </w:rPr>
        <w:t>Salvaguardas</w:t>
      </w:r>
      <w:r w:rsidRPr="009A27ED">
        <w:rPr>
          <w:rFonts w:asciiTheme="minorHAnsi" w:hAnsiTheme="minorHAnsi" w:cstheme="minorHAnsi"/>
          <w:spacing w:val="-15"/>
          <w:w w:val="95"/>
          <w:sz w:val="24"/>
          <w:szCs w:val="22"/>
          <w:lang w:val="es-ES"/>
        </w:rPr>
        <w:t xml:space="preserve"> </w:t>
      </w:r>
      <w:r w:rsidRPr="009A27ED">
        <w:rPr>
          <w:rFonts w:asciiTheme="minorHAnsi" w:hAnsiTheme="minorHAnsi" w:cstheme="minorHAnsi"/>
          <w:w w:val="95"/>
          <w:sz w:val="24"/>
          <w:szCs w:val="22"/>
          <w:lang w:val="es-ES"/>
        </w:rPr>
        <w:t>Sociales</w:t>
      </w:r>
      <w:r w:rsidRPr="009A27ED">
        <w:rPr>
          <w:rFonts w:asciiTheme="minorHAnsi" w:hAnsiTheme="minorHAnsi" w:cstheme="minorHAnsi"/>
          <w:spacing w:val="-17"/>
          <w:w w:val="95"/>
          <w:sz w:val="24"/>
          <w:szCs w:val="22"/>
          <w:lang w:val="es-ES"/>
        </w:rPr>
        <w:t xml:space="preserve"> </w:t>
      </w:r>
      <w:r w:rsidRPr="009A27ED">
        <w:rPr>
          <w:rFonts w:asciiTheme="minorHAnsi" w:hAnsiTheme="minorHAnsi" w:cstheme="minorHAnsi"/>
          <w:w w:val="95"/>
          <w:sz w:val="24"/>
          <w:szCs w:val="22"/>
          <w:lang w:val="es-ES"/>
        </w:rPr>
        <w:t>y</w:t>
      </w:r>
      <w:r w:rsidRPr="009A27ED">
        <w:rPr>
          <w:rFonts w:asciiTheme="minorHAnsi" w:hAnsiTheme="minorHAnsi" w:cstheme="minorHAnsi"/>
          <w:spacing w:val="-15"/>
          <w:w w:val="95"/>
          <w:sz w:val="24"/>
          <w:szCs w:val="22"/>
          <w:lang w:val="es-ES"/>
        </w:rPr>
        <w:t xml:space="preserve"> </w:t>
      </w:r>
      <w:r w:rsidRPr="009A27ED">
        <w:rPr>
          <w:rFonts w:asciiTheme="minorHAnsi" w:hAnsiTheme="minorHAnsi" w:cstheme="minorHAnsi"/>
          <w:w w:val="95"/>
          <w:sz w:val="24"/>
          <w:szCs w:val="22"/>
          <w:lang w:val="es-ES"/>
        </w:rPr>
        <w:t>Ambientales</w:t>
      </w:r>
      <w:r w:rsidRPr="009A27ED">
        <w:rPr>
          <w:rFonts w:asciiTheme="minorHAnsi" w:hAnsiTheme="minorHAnsi" w:cstheme="minorHAnsi"/>
          <w:spacing w:val="-15"/>
          <w:w w:val="95"/>
          <w:sz w:val="24"/>
          <w:szCs w:val="22"/>
          <w:lang w:val="es-ES"/>
        </w:rPr>
        <w:t xml:space="preserve"> </w:t>
      </w:r>
      <w:r w:rsidRPr="009A27ED">
        <w:rPr>
          <w:rFonts w:asciiTheme="minorHAnsi" w:hAnsiTheme="minorHAnsi" w:cstheme="minorHAnsi"/>
          <w:w w:val="95"/>
          <w:sz w:val="24"/>
          <w:szCs w:val="22"/>
          <w:lang w:val="es-ES"/>
        </w:rPr>
        <w:t>del</w:t>
      </w:r>
      <w:r w:rsidRPr="009A27ED">
        <w:rPr>
          <w:rFonts w:asciiTheme="minorHAnsi" w:hAnsiTheme="minorHAnsi" w:cstheme="minorHAnsi"/>
          <w:spacing w:val="-15"/>
          <w:w w:val="95"/>
          <w:sz w:val="24"/>
          <w:szCs w:val="22"/>
          <w:lang w:val="es-ES"/>
        </w:rPr>
        <w:t xml:space="preserve"> </w:t>
      </w:r>
      <w:r w:rsidRPr="009A27ED">
        <w:rPr>
          <w:rFonts w:asciiTheme="minorHAnsi" w:hAnsiTheme="minorHAnsi" w:cstheme="minorHAnsi"/>
          <w:w w:val="95"/>
          <w:sz w:val="24"/>
          <w:szCs w:val="22"/>
          <w:lang w:val="es-ES"/>
        </w:rPr>
        <w:t>Banco</w:t>
      </w:r>
      <w:r w:rsidRPr="009A27ED">
        <w:rPr>
          <w:rFonts w:asciiTheme="minorHAnsi" w:hAnsiTheme="minorHAnsi" w:cstheme="minorHAnsi"/>
          <w:spacing w:val="-17"/>
          <w:w w:val="95"/>
          <w:sz w:val="24"/>
          <w:szCs w:val="22"/>
          <w:lang w:val="es-ES"/>
        </w:rPr>
        <w:t xml:space="preserve"> </w:t>
      </w:r>
      <w:r w:rsidRPr="009A27ED">
        <w:rPr>
          <w:rFonts w:asciiTheme="minorHAnsi" w:hAnsiTheme="minorHAnsi" w:cstheme="minorHAnsi"/>
          <w:w w:val="95"/>
          <w:sz w:val="24"/>
          <w:szCs w:val="22"/>
          <w:lang w:val="es-ES"/>
        </w:rPr>
        <w:t>Mundial</w:t>
      </w:r>
      <w:r w:rsidRPr="009A27ED">
        <w:rPr>
          <w:rFonts w:asciiTheme="minorHAnsi" w:hAnsiTheme="minorHAnsi" w:cstheme="minorHAnsi"/>
          <w:spacing w:val="-15"/>
          <w:w w:val="95"/>
          <w:sz w:val="24"/>
          <w:szCs w:val="22"/>
          <w:lang w:val="es-ES"/>
        </w:rPr>
        <w:t xml:space="preserve"> </w:t>
      </w:r>
      <w:r w:rsidRPr="009A27ED">
        <w:rPr>
          <w:rFonts w:asciiTheme="minorHAnsi" w:hAnsiTheme="minorHAnsi" w:cstheme="minorHAnsi"/>
          <w:w w:val="95"/>
          <w:sz w:val="24"/>
          <w:szCs w:val="22"/>
          <w:lang w:val="es-ES"/>
        </w:rPr>
        <w:t>aplicables</w:t>
      </w:r>
      <w:r w:rsidRPr="009A27ED">
        <w:rPr>
          <w:rFonts w:asciiTheme="minorHAnsi" w:hAnsiTheme="minorHAnsi" w:cstheme="minorHAnsi"/>
          <w:spacing w:val="-16"/>
          <w:w w:val="95"/>
          <w:sz w:val="24"/>
          <w:szCs w:val="22"/>
          <w:lang w:val="es-ES"/>
        </w:rPr>
        <w:t xml:space="preserve"> </w:t>
      </w:r>
      <w:r w:rsidRPr="009A27ED">
        <w:rPr>
          <w:rFonts w:asciiTheme="minorHAnsi" w:hAnsiTheme="minorHAnsi" w:cstheme="minorHAnsi"/>
          <w:w w:val="95"/>
          <w:sz w:val="24"/>
          <w:szCs w:val="22"/>
          <w:lang w:val="es-ES"/>
        </w:rPr>
        <w:t>y</w:t>
      </w:r>
      <w:r w:rsidRPr="009A27ED">
        <w:rPr>
          <w:rFonts w:asciiTheme="minorHAnsi" w:hAnsiTheme="minorHAnsi" w:cstheme="minorHAnsi"/>
          <w:spacing w:val="-16"/>
          <w:w w:val="95"/>
          <w:sz w:val="24"/>
          <w:szCs w:val="22"/>
          <w:lang w:val="es-ES"/>
        </w:rPr>
        <w:t xml:space="preserve"> </w:t>
      </w:r>
      <w:r w:rsidRPr="009A27ED">
        <w:rPr>
          <w:rFonts w:asciiTheme="minorHAnsi" w:hAnsiTheme="minorHAnsi" w:cstheme="minorHAnsi"/>
          <w:w w:val="95"/>
          <w:sz w:val="24"/>
          <w:szCs w:val="22"/>
          <w:lang w:val="es-ES"/>
        </w:rPr>
        <w:t>activadas</w:t>
      </w:r>
      <w:r w:rsidRPr="009A27ED">
        <w:rPr>
          <w:rFonts w:asciiTheme="minorHAnsi" w:hAnsiTheme="minorHAnsi" w:cstheme="minorHAnsi"/>
          <w:spacing w:val="-17"/>
          <w:w w:val="95"/>
          <w:sz w:val="24"/>
          <w:szCs w:val="22"/>
          <w:lang w:val="es-ES"/>
        </w:rPr>
        <w:t xml:space="preserve"> </w:t>
      </w:r>
      <w:r w:rsidRPr="009A27ED">
        <w:rPr>
          <w:rFonts w:asciiTheme="minorHAnsi" w:hAnsiTheme="minorHAnsi" w:cstheme="minorHAnsi"/>
          <w:w w:val="95"/>
          <w:sz w:val="24"/>
          <w:szCs w:val="22"/>
          <w:lang w:val="es-ES"/>
        </w:rPr>
        <w:t xml:space="preserve">en </w:t>
      </w:r>
      <w:r w:rsidRPr="009A27ED">
        <w:rPr>
          <w:rFonts w:asciiTheme="minorHAnsi" w:hAnsiTheme="minorHAnsi" w:cstheme="minorHAnsi"/>
          <w:sz w:val="24"/>
          <w:szCs w:val="22"/>
          <w:lang w:val="es-ES"/>
        </w:rPr>
        <w:t>República</w:t>
      </w:r>
      <w:r w:rsidRPr="009A27ED">
        <w:rPr>
          <w:rFonts w:asciiTheme="minorHAnsi" w:hAnsiTheme="minorHAnsi" w:cstheme="minorHAnsi"/>
          <w:spacing w:val="-17"/>
          <w:sz w:val="24"/>
          <w:szCs w:val="22"/>
          <w:lang w:val="es-ES"/>
        </w:rPr>
        <w:t xml:space="preserve"> </w:t>
      </w:r>
      <w:r w:rsidRPr="009A27ED">
        <w:rPr>
          <w:rFonts w:asciiTheme="minorHAnsi" w:hAnsiTheme="minorHAnsi" w:cstheme="minorHAnsi"/>
          <w:sz w:val="24"/>
          <w:szCs w:val="22"/>
          <w:lang w:val="es-ES"/>
        </w:rPr>
        <w:t>Dominicana</w:t>
      </w:r>
      <w:r w:rsidRPr="009A27ED">
        <w:rPr>
          <w:rFonts w:asciiTheme="minorHAnsi" w:hAnsiTheme="minorHAnsi" w:cstheme="minorHAnsi"/>
          <w:spacing w:val="-16"/>
          <w:sz w:val="24"/>
          <w:szCs w:val="22"/>
          <w:lang w:val="es-ES"/>
        </w:rPr>
        <w:t xml:space="preserve"> </w:t>
      </w:r>
      <w:r w:rsidRPr="009A27ED">
        <w:rPr>
          <w:rFonts w:asciiTheme="minorHAnsi" w:hAnsiTheme="minorHAnsi" w:cstheme="minorHAnsi"/>
          <w:sz w:val="24"/>
          <w:szCs w:val="22"/>
          <w:lang w:val="es-ES"/>
        </w:rPr>
        <w:t>para</w:t>
      </w:r>
      <w:r w:rsidRPr="009A27ED">
        <w:rPr>
          <w:rFonts w:asciiTheme="minorHAnsi" w:hAnsiTheme="minorHAnsi" w:cstheme="minorHAnsi"/>
          <w:spacing w:val="-18"/>
          <w:sz w:val="24"/>
          <w:szCs w:val="22"/>
          <w:lang w:val="es-ES"/>
        </w:rPr>
        <w:t xml:space="preserve"> </w:t>
      </w:r>
      <w:r w:rsidRPr="009A27ED">
        <w:rPr>
          <w:rFonts w:asciiTheme="minorHAnsi" w:hAnsiTheme="minorHAnsi" w:cstheme="minorHAnsi"/>
          <w:sz w:val="24"/>
          <w:szCs w:val="22"/>
          <w:lang w:val="es-ES"/>
        </w:rPr>
        <w:t>REDD+</w:t>
      </w:r>
      <w:r w:rsidRPr="009A27ED">
        <w:rPr>
          <w:rFonts w:asciiTheme="minorHAnsi" w:hAnsiTheme="minorHAnsi" w:cstheme="minorHAnsi"/>
          <w:spacing w:val="-18"/>
          <w:sz w:val="24"/>
          <w:szCs w:val="22"/>
          <w:lang w:val="es-ES"/>
        </w:rPr>
        <w:t xml:space="preserve"> </w:t>
      </w:r>
      <w:r w:rsidRPr="009A27ED">
        <w:rPr>
          <w:rFonts w:asciiTheme="minorHAnsi" w:hAnsiTheme="minorHAnsi" w:cstheme="minorHAnsi"/>
          <w:sz w:val="24"/>
          <w:szCs w:val="22"/>
          <w:lang w:val="es-ES"/>
        </w:rPr>
        <w:t xml:space="preserve">incluyen las descritas en el Cuadro </w:t>
      </w:r>
      <w:r w:rsidR="002E574E" w:rsidRPr="009A27ED">
        <w:rPr>
          <w:rFonts w:asciiTheme="minorHAnsi" w:hAnsiTheme="minorHAnsi" w:cstheme="minorHAnsi"/>
          <w:sz w:val="24"/>
          <w:szCs w:val="22"/>
          <w:lang w:val="es-ES"/>
        </w:rPr>
        <w:t>39.</w:t>
      </w:r>
    </w:p>
    <w:p w14:paraId="3665BA4D" w14:textId="685A2598" w:rsidR="004A289C" w:rsidRPr="009A27ED" w:rsidRDefault="004A289C" w:rsidP="00CD4C75">
      <w:pPr>
        <w:pStyle w:val="Textoindependiente"/>
        <w:spacing w:line="360" w:lineRule="auto"/>
        <w:ind w:right="114"/>
        <w:rPr>
          <w:rFonts w:asciiTheme="minorHAnsi" w:hAnsiTheme="minorHAnsi" w:cstheme="minorHAnsi"/>
          <w:szCs w:val="22"/>
          <w:lang w:val="es-ES"/>
        </w:rPr>
      </w:pPr>
      <w:r w:rsidRPr="009A27ED">
        <w:rPr>
          <w:rFonts w:asciiTheme="minorHAnsi" w:hAnsiTheme="minorHAnsi" w:cstheme="minorHAnsi"/>
          <w:sz w:val="24"/>
          <w:szCs w:val="22"/>
          <w:lang w:val="es-ES"/>
        </w:rPr>
        <w:t>Debido</w:t>
      </w:r>
      <w:r w:rsidRPr="009A27ED">
        <w:rPr>
          <w:rFonts w:asciiTheme="minorHAnsi" w:hAnsiTheme="minorHAnsi" w:cstheme="minorHAnsi"/>
          <w:spacing w:val="-29"/>
          <w:sz w:val="24"/>
          <w:szCs w:val="22"/>
          <w:lang w:val="es-ES"/>
        </w:rPr>
        <w:t xml:space="preserve"> </w:t>
      </w:r>
      <w:r w:rsidRPr="009A27ED">
        <w:rPr>
          <w:rFonts w:asciiTheme="minorHAnsi" w:hAnsiTheme="minorHAnsi" w:cstheme="minorHAnsi"/>
          <w:sz w:val="24"/>
          <w:szCs w:val="22"/>
          <w:lang w:val="es-ES"/>
        </w:rPr>
        <w:t>al</w:t>
      </w:r>
      <w:r w:rsidRPr="009A27ED">
        <w:rPr>
          <w:rFonts w:asciiTheme="minorHAnsi" w:hAnsiTheme="minorHAnsi" w:cstheme="minorHAnsi"/>
          <w:spacing w:val="-29"/>
          <w:sz w:val="24"/>
          <w:szCs w:val="22"/>
          <w:lang w:val="es-ES"/>
        </w:rPr>
        <w:t xml:space="preserve"> </w:t>
      </w:r>
      <w:r w:rsidRPr="009A27ED">
        <w:rPr>
          <w:rFonts w:asciiTheme="minorHAnsi" w:hAnsiTheme="minorHAnsi" w:cstheme="minorHAnsi"/>
          <w:sz w:val="24"/>
          <w:szCs w:val="22"/>
          <w:lang w:val="es-ES"/>
        </w:rPr>
        <w:t>contexto</w:t>
      </w:r>
      <w:r w:rsidRPr="009A27ED">
        <w:rPr>
          <w:rFonts w:asciiTheme="minorHAnsi" w:hAnsiTheme="minorHAnsi" w:cstheme="minorHAnsi"/>
          <w:spacing w:val="-28"/>
          <w:sz w:val="24"/>
          <w:szCs w:val="22"/>
          <w:lang w:val="es-ES"/>
        </w:rPr>
        <w:t xml:space="preserve"> </w:t>
      </w:r>
      <w:r w:rsidRPr="009A27ED">
        <w:rPr>
          <w:rFonts w:asciiTheme="minorHAnsi" w:hAnsiTheme="minorHAnsi" w:cstheme="minorHAnsi"/>
          <w:sz w:val="24"/>
          <w:szCs w:val="22"/>
          <w:lang w:val="es-ES"/>
        </w:rPr>
        <w:t>particular</w:t>
      </w:r>
      <w:r w:rsidRPr="009A27ED">
        <w:rPr>
          <w:rFonts w:asciiTheme="minorHAnsi" w:hAnsiTheme="minorHAnsi" w:cstheme="minorHAnsi"/>
          <w:spacing w:val="-29"/>
          <w:sz w:val="24"/>
          <w:szCs w:val="22"/>
          <w:lang w:val="es-ES"/>
        </w:rPr>
        <w:t xml:space="preserve"> </w:t>
      </w:r>
      <w:r w:rsidRPr="009A27ED">
        <w:rPr>
          <w:rFonts w:asciiTheme="minorHAnsi" w:hAnsiTheme="minorHAnsi" w:cstheme="minorHAnsi"/>
          <w:sz w:val="24"/>
          <w:szCs w:val="22"/>
          <w:lang w:val="es-ES"/>
        </w:rPr>
        <w:t>e</w:t>
      </w:r>
      <w:r w:rsidRPr="009A27ED">
        <w:rPr>
          <w:rFonts w:asciiTheme="minorHAnsi" w:hAnsiTheme="minorHAnsi" w:cstheme="minorHAnsi"/>
          <w:spacing w:val="-28"/>
          <w:sz w:val="24"/>
          <w:szCs w:val="22"/>
          <w:lang w:val="es-ES"/>
        </w:rPr>
        <w:t xml:space="preserve"> </w:t>
      </w:r>
      <w:r w:rsidRPr="009A27ED">
        <w:rPr>
          <w:rFonts w:asciiTheme="minorHAnsi" w:hAnsiTheme="minorHAnsi" w:cstheme="minorHAnsi"/>
          <w:sz w:val="24"/>
          <w:szCs w:val="22"/>
          <w:lang w:val="es-ES"/>
        </w:rPr>
        <w:t>historia</w:t>
      </w:r>
      <w:r w:rsidRPr="009A27ED">
        <w:rPr>
          <w:rFonts w:asciiTheme="minorHAnsi" w:hAnsiTheme="minorHAnsi" w:cstheme="minorHAnsi"/>
          <w:spacing w:val="-28"/>
          <w:sz w:val="24"/>
          <w:szCs w:val="22"/>
          <w:lang w:val="es-ES"/>
        </w:rPr>
        <w:t xml:space="preserve"> </w:t>
      </w:r>
      <w:r w:rsidRPr="009A27ED">
        <w:rPr>
          <w:rFonts w:asciiTheme="minorHAnsi" w:hAnsiTheme="minorHAnsi" w:cstheme="minorHAnsi"/>
          <w:sz w:val="24"/>
          <w:szCs w:val="22"/>
          <w:lang w:val="es-ES"/>
        </w:rPr>
        <w:t>de</w:t>
      </w:r>
      <w:r w:rsidRPr="009A27ED">
        <w:rPr>
          <w:rFonts w:asciiTheme="minorHAnsi" w:hAnsiTheme="minorHAnsi" w:cstheme="minorHAnsi"/>
          <w:spacing w:val="-29"/>
          <w:sz w:val="24"/>
          <w:szCs w:val="22"/>
          <w:lang w:val="es-ES"/>
        </w:rPr>
        <w:t xml:space="preserve"> </w:t>
      </w:r>
      <w:r w:rsidRPr="009A27ED">
        <w:rPr>
          <w:rFonts w:asciiTheme="minorHAnsi" w:hAnsiTheme="minorHAnsi" w:cstheme="minorHAnsi"/>
          <w:sz w:val="24"/>
          <w:szCs w:val="22"/>
          <w:lang w:val="es-ES"/>
        </w:rPr>
        <w:t>la</w:t>
      </w:r>
      <w:r w:rsidRPr="009A27ED">
        <w:rPr>
          <w:rFonts w:asciiTheme="minorHAnsi" w:hAnsiTheme="minorHAnsi" w:cstheme="minorHAnsi"/>
          <w:spacing w:val="-29"/>
          <w:sz w:val="24"/>
          <w:szCs w:val="22"/>
          <w:lang w:val="es-ES"/>
        </w:rPr>
        <w:t xml:space="preserve"> </w:t>
      </w:r>
      <w:r w:rsidRPr="009A27ED">
        <w:rPr>
          <w:rFonts w:asciiTheme="minorHAnsi" w:hAnsiTheme="minorHAnsi" w:cstheme="minorHAnsi"/>
          <w:sz w:val="24"/>
          <w:szCs w:val="22"/>
          <w:lang w:val="es-ES"/>
        </w:rPr>
        <w:t>República</w:t>
      </w:r>
      <w:r w:rsidRPr="009A27ED">
        <w:rPr>
          <w:rFonts w:asciiTheme="minorHAnsi" w:hAnsiTheme="minorHAnsi" w:cstheme="minorHAnsi"/>
          <w:spacing w:val="-28"/>
          <w:sz w:val="24"/>
          <w:szCs w:val="22"/>
          <w:lang w:val="es-ES"/>
        </w:rPr>
        <w:t xml:space="preserve"> </w:t>
      </w:r>
      <w:r w:rsidRPr="009A27ED">
        <w:rPr>
          <w:rFonts w:asciiTheme="minorHAnsi" w:hAnsiTheme="minorHAnsi" w:cstheme="minorHAnsi"/>
          <w:sz w:val="24"/>
          <w:szCs w:val="22"/>
          <w:lang w:val="es-ES"/>
        </w:rPr>
        <w:t>Dominicana,</w:t>
      </w:r>
      <w:r w:rsidRPr="009A27ED">
        <w:rPr>
          <w:rFonts w:asciiTheme="minorHAnsi" w:hAnsiTheme="minorHAnsi" w:cstheme="minorHAnsi"/>
          <w:spacing w:val="-29"/>
          <w:sz w:val="24"/>
          <w:szCs w:val="22"/>
          <w:lang w:val="es-ES"/>
        </w:rPr>
        <w:t xml:space="preserve"> </w:t>
      </w:r>
      <w:r w:rsidRPr="009A27ED">
        <w:rPr>
          <w:rFonts w:asciiTheme="minorHAnsi" w:hAnsiTheme="minorHAnsi" w:cstheme="minorHAnsi"/>
          <w:sz w:val="24"/>
          <w:szCs w:val="22"/>
          <w:lang w:val="es-ES"/>
        </w:rPr>
        <w:t>en</w:t>
      </w:r>
      <w:r w:rsidRPr="009A27ED">
        <w:rPr>
          <w:rFonts w:asciiTheme="minorHAnsi" w:hAnsiTheme="minorHAnsi" w:cstheme="minorHAnsi"/>
          <w:spacing w:val="-29"/>
          <w:sz w:val="24"/>
          <w:szCs w:val="22"/>
          <w:lang w:val="es-ES"/>
        </w:rPr>
        <w:t xml:space="preserve"> </w:t>
      </w:r>
      <w:r w:rsidRPr="009A27ED">
        <w:rPr>
          <w:rFonts w:asciiTheme="minorHAnsi" w:hAnsiTheme="minorHAnsi" w:cstheme="minorHAnsi"/>
          <w:sz w:val="24"/>
          <w:szCs w:val="22"/>
          <w:lang w:val="es-ES"/>
        </w:rPr>
        <w:t>virtud</w:t>
      </w:r>
      <w:r w:rsidRPr="009A27ED">
        <w:rPr>
          <w:rFonts w:asciiTheme="minorHAnsi" w:hAnsiTheme="minorHAnsi" w:cstheme="minorHAnsi"/>
          <w:spacing w:val="-29"/>
          <w:sz w:val="24"/>
          <w:szCs w:val="22"/>
          <w:lang w:val="es-ES"/>
        </w:rPr>
        <w:t xml:space="preserve"> </w:t>
      </w:r>
      <w:r w:rsidRPr="009A27ED">
        <w:rPr>
          <w:rFonts w:asciiTheme="minorHAnsi" w:hAnsiTheme="minorHAnsi" w:cstheme="minorHAnsi"/>
          <w:sz w:val="24"/>
          <w:szCs w:val="22"/>
          <w:lang w:val="es-ES"/>
        </w:rPr>
        <w:t>de</w:t>
      </w:r>
      <w:r w:rsidRPr="009A27ED">
        <w:rPr>
          <w:rFonts w:asciiTheme="minorHAnsi" w:hAnsiTheme="minorHAnsi" w:cstheme="minorHAnsi"/>
          <w:spacing w:val="-28"/>
          <w:sz w:val="24"/>
          <w:szCs w:val="22"/>
          <w:lang w:val="es-ES"/>
        </w:rPr>
        <w:t xml:space="preserve"> </w:t>
      </w:r>
      <w:r w:rsidRPr="009A27ED">
        <w:rPr>
          <w:rFonts w:asciiTheme="minorHAnsi" w:hAnsiTheme="minorHAnsi" w:cstheme="minorHAnsi"/>
          <w:sz w:val="24"/>
          <w:szCs w:val="22"/>
          <w:lang w:val="es-ES"/>
        </w:rPr>
        <w:t>la</w:t>
      </w:r>
      <w:r w:rsidRPr="009A27ED">
        <w:rPr>
          <w:rFonts w:asciiTheme="minorHAnsi" w:hAnsiTheme="minorHAnsi" w:cstheme="minorHAnsi"/>
          <w:spacing w:val="-28"/>
          <w:sz w:val="24"/>
          <w:szCs w:val="22"/>
          <w:lang w:val="es-ES"/>
        </w:rPr>
        <w:t xml:space="preserve"> </w:t>
      </w:r>
      <w:r w:rsidRPr="009A27ED">
        <w:rPr>
          <w:rFonts w:asciiTheme="minorHAnsi" w:hAnsiTheme="minorHAnsi" w:cstheme="minorHAnsi"/>
          <w:sz w:val="24"/>
          <w:szCs w:val="22"/>
          <w:lang w:val="es-ES"/>
        </w:rPr>
        <w:t xml:space="preserve">declaración </w:t>
      </w:r>
      <w:r w:rsidRPr="009A27ED">
        <w:rPr>
          <w:rFonts w:asciiTheme="minorHAnsi" w:hAnsiTheme="minorHAnsi" w:cstheme="minorHAnsi"/>
          <w:w w:val="95"/>
          <w:sz w:val="24"/>
          <w:szCs w:val="22"/>
          <w:lang w:val="es-ES"/>
        </w:rPr>
        <w:t>hecha</w:t>
      </w:r>
      <w:r w:rsidRPr="009A27ED">
        <w:rPr>
          <w:rFonts w:asciiTheme="minorHAnsi" w:hAnsiTheme="minorHAnsi" w:cstheme="minorHAnsi"/>
          <w:spacing w:val="-18"/>
          <w:w w:val="95"/>
          <w:sz w:val="24"/>
          <w:szCs w:val="22"/>
          <w:lang w:val="es-ES"/>
        </w:rPr>
        <w:t xml:space="preserve"> </w:t>
      </w:r>
      <w:r w:rsidRPr="009A27ED">
        <w:rPr>
          <w:rFonts w:asciiTheme="minorHAnsi" w:hAnsiTheme="minorHAnsi" w:cstheme="minorHAnsi"/>
          <w:w w:val="95"/>
          <w:sz w:val="24"/>
          <w:szCs w:val="22"/>
          <w:lang w:val="es-ES"/>
        </w:rPr>
        <w:t>por</w:t>
      </w:r>
      <w:r w:rsidRPr="009A27ED">
        <w:rPr>
          <w:rFonts w:asciiTheme="minorHAnsi" w:hAnsiTheme="minorHAnsi" w:cstheme="minorHAnsi"/>
          <w:spacing w:val="-19"/>
          <w:w w:val="95"/>
          <w:sz w:val="24"/>
          <w:szCs w:val="22"/>
          <w:lang w:val="es-ES"/>
        </w:rPr>
        <w:t xml:space="preserve"> </w:t>
      </w:r>
      <w:r w:rsidRPr="009A27ED">
        <w:rPr>
          <w:rFonts w:asciiTheme="minorHAnsi" w:hAnsiTheme="minorHAnsi" w:cstheme="minorHAnsi"/>
          <w:w w:val="95"/>
          <w:sz w:val="24"/>
          <w:szCs w:val="22"/>
          <w:lang w:val="es-ES"/>
        </w:rPr>
        <w:t>la</w:t>
      </w:r>
      <w:r w:rsidRPr="009A27ED">
        <w:rPr>
          <w:rFonts w:asciiTheme="minorHAnsi" w:hAnsiTheme="minorHAnsi" w:cstheme="minorHAnsi"/>
          <w:spacing w:val="-20"/>
          <w:w w:val="95"/>
          <w:sz w:val="24"/>
          <w:szCs w:val="22"/>
          <w:lang w:val="es-ES"/>
        </w:rPr>
        <w:t xml:space="preserve"> </w:t>
      </w:r>
      <w:r w:rsidRPr="009A27ED">
        <w:rPr>
          <w:rFonts w:asciiTheme="minorHAnsi" w:hAnsiTheme="minorHAnsi" w:cstheme="minorHAnsi"/>
          <w:w w:val="95"/>
          <w:sz w:val="24"/>
          <w:szCs w:val="22"/>
          <w:lang w:val="es-ES"/>
        </w:rPr>
        <w:t>misma</w:t>
      </w:r>
      <w:r w:rsidRPr="009A27ED">
        <w:rPr>
          <w:rFonts w:asciiTheme="minorHAnsi" w:hAnsiTheme="minorHAnsi" w:cstheme="minorHAnsi"/>
          <w:spacing w:val="-19"/>
          <w:w w:val="95"/>
          <w:sz w:val="24"/>
          <w:szCs w:val="22"/>
          <w:lang w:val="es-ES"/>
        </w:rPr>
        <w:t xml:space="preserve"> </w:t>
      </w:r>
      <w:r w:rsidRPr="009A27ED">
        <w:rPr>
          <w:rFonts w:asciiTheme="minorHAnsi" w:hAnsiTheme="minorHAnsi" w:cstheme="minorHAnsi"/>
          <w:w w:val="95"/>
          <w:sz w:val="24"/>
          <w:szCs w:val="22"/>
          <w:lang w:val="es-ES"/>
        </w:rPr>
        <w:t>respecto</w:t>
      </w:r>
      <w:r w:rsidRPr="009A27ED">
        <w:rPr>
          <w:rFonts w:asciiTheme="minorHAnsi" w:hAnsiTheme="minorHAnsi" w:cstheme="minorHAnsi"/>
          <w:spacing w:val="-18"/>
          <w:w w:val="95"/>
          <w:sz w:val="24"/>
          <w:szCs w:val="22"/>
          <w:lang w:val="es-ES"/>
        </w:rPr>
        <w:t xml:space="preserve"> </w:t>
      </w:r>
      <w:r w:rsidRPr="009A27ED">
        <w:rPr>
          <w:rFonts w:asciiTheme="minorHAnsi" w:hAnsiTheme="minorHAnsi" w:cstheme="minorHAnsi"/>
          <w:w w:val="95"/>
          <w:sz w:val="24"/>
          <w:szCs w:val="22"/>
          <w:lang w:val="es-ES"/>
        </w:rPr>
        <w:t>a</w:t>
      </w:r>
      <w:r w:rsidRPr="009A27ED">
        <w:rPr>
          <w:rFonts w:asciiTheme="minorHAnsi" w:hAnsiTheme="minorHAnsi" w:cstheme="minorHAnsi"/>
          <w:spacing w:val="-18"/>
          <w:w w:val="95"/>
          <w:sz w:val="24"/>
          <w:szCs w:val="22"/>
          <w:lang w:val="es-ES"/>
        </w:rPr>
        <w:t xml:space="preserve"> </w:t>
      </w:r>
      <w:r w:rsidRPr="009A27ED">
        <w:rPr>
          <w:rFonts w:asciiTheme="minorHAnsi" w:hAnsiTheme="minorHAnsi" w:cstheme="minorHAnsi"/>
          <w:w w:val="95"/>
          <w:sz w:val="24"/>
          <w:szCs w:val="22"/>
          <w:lang w:val="es-ES"/>
        </w:rPr>
        <w:t>que</w:t>
      </w:r>
      <w:r w:rsidRPr="009A27ED">
        <w:rPr>
          <w:rFonts w:asciiTheme="minorHAnsi" w:hAnsiTheme="minorHAnsi" w:cstheme="minorHAnsi"/>
          <w:spacing w:val="-19"/>
          <w:w w:val="95"/>
          <w:sz w:val="24"/>
          <w:szCs w:val="22"/>
          <w:lang w:val="es-ES"/>
        </w:rPr>
        <w:t xml:space="preserve"> </w:t>
      </w:r>
      <w:r w:rsidRPr="009A27ED">
        <w:rPr>
          <w:rFonts w:asciiTheme="minorHAnsi" w:hAnsiTheme="minorHAnsi" w:cstheme="minorHAnsi"/>
          <w:w w:val="95"/>
          <w:sz w:val="24"/>
          <w:szCs w:val="22"/>
          <w:lang w:val="es-ES"/>
        </w:rPr>
        <w:t>no</w:t>
      </w:r>
      <w:r w:rsidRPr="009A27ED">
        <w:rPr>
          <w:rFonts w:asciiTheme="minorHAnsi" w:hAnsiTheme="minorHAnsi" w:cstheme="minorHAnsi"/>
          <w:spacing w:val="-19"/>
          <w:w w:val="95"/>
          <w:sz w:val="24"/>
          <w:szCs w:val="22"/>
          <w:lang w:val="es-ES"/>
        </w:rPr>
        <w:t xml:space="preserve"> </w:t>
      </w:r>
      <w:r w:rsidRPr="009A27ED">
        <w:rPr>
          <w:rFonts w:asciiTheme="minorHAnsi" w:hAnsiTheme="minorHAnsi" w:cstheme="minorHAnsi"/>
          <w:w w:val="95"/>
          <w:sz w:val="24"/>
          <w:szCs w:val="22"/>
          <w:lang w:val="es-ES"/>
        </w:rPr>
        <w:t>existe</w:t>
      </w:r>
      <w:r w:rsidRPr="009A27ED">
        <w:rPr>
          <w:rFonts w:asciiTheme="minorHAnsi" w:hAnsiTheme="minorHAnsi" w:cstheme="minorHAnsi"/>
          <w:spacing w:val="-18"/>
          <w:w w:val="95"/>
          <w:sz w:val="24"/>
          <w:szCs w:val="22"/>
          <w:lang w:val="es-ES"/>
        </w:rPr>
        <w:t xml:space="preserve"> </w:t>
      </w:r>
      <w:r w:rsidRPr="009A27ED">
        <w:rPr>
          <w:rFonts w:asciiTheme="minorHAnsi" w:hAnsiTheme="minorHAnsi" w:cstheme="minorHAnsi"/>
          <w:w w:val="95"/>
          <w:sz w:val="24"/>
          <w:szCs w:val="22"/>
          <w:lang w:val="es-ES"/>
        </w:rPr>
        <w:t>presencia</w:t>
      </w:r>
      <w:r w:rsidRPr="009A27ED">
        <w:rPr>
          <w:rFonts w:asciiTheme="minorHAnsi" w:hAnsiTheme="minorHAnsi" w:cstheme="minorHAnsi"/>
          <w:spacing w:val="-18"/>
          <w:w w:val="95"/>
          <w:sz w:val="24"/>
          <w:szCs w:val="22"/>
          <w:lang w:val="es-ES"/>
        </w:rPr>
        <w:t xml:space="preserve"> </w:t>
      </w:r>
      <w:r w:rsidRPr="009A27ED">
        <w:rPr>
          <w:rFonts w:asciiTheme="minorHAnsi" w:hAnsiTheme="minorHAnsi" w:cstheme="minorHAnsi"/>
          <w:w w:val="95"/>
          <w:sz w:val="24"/>
          <w:szCs w:val="22"/>
          <w:lang w:val="es-ES"/>
        </w:rPr>
        <w:t>de</w:t>
      </w:r>
      <w:r w:rsidRPr="009A27ED">
        <w:rPr>
          <w:rFonts w:asciiTheme="minorHAnsi" w:hAnsiTheme="minorHAnsi" w:cstheme="minorHAnsi"/>
          <w:spacing w:val="-19"/>
          <w:w w:val="95"/>
          <w:sz w:val="24"/>
          <w:szCs w:val="22"/>
          <w:lang w:val="es-ES"/>
        </w:rPr>
        <w:t xml:space="preserve"> </w:t>
      </w:r>
      <w:r w:rsidRPr="009A27ED">
        <w:rPr>
          <w:rFonts w:asciiTheme="minorHAnsi" w:hAnsiTheme="minorHAnsi" w:cstheme="minorHAnsi"/>
          <w:w w:val="95"/>
          <w:sz w:val="24"/>
          <w:szCs w:val="22"/>
          <w:lang w:val="es-ES"/>
        </w:rPr>
        <w:t>etnias</w:t>
      </w:r>
      <w:r w:rsidRPr="009A27ED">
        <w:rPr>
          <w:rFonts w:asciiTheme="minorHAnsi" w:hAnsiTheme="minorHAnsi" w:cstheme="minorHAnsi"/>
          <w:spacing w:val="-19"/>
          <w:w w:val="95"/>
          <w:sz w:val="24"/>
          <w:szCs w:val="22"/>
          <w:lang w:val="es-ES"/>
        </w:rPr>
        <w:t xml:space="preserve"> </w:t>
      </w:r>
      <w:r w:rsidRPr="009A27ED">
        <w:rPr>
          <w:rFonts w:asciiTheme="minorHAnsi" w:hAnsiTheme="minorHAnsi" w:cstheme="minorHAnsi"/>
          <w:w w:val="95"/>
          <w:sz w:val="24"/>
          <w:szCs w:val="22"/>
          <w:lang w:val="es-ES"/>
        </w:rPr>
        <w:t>indígenas</w:t>
      </w:r>
      <w:r w:rsidRPr="009A27ED">
        <w:rPr>
          <w:rFonts w:asciiTheme="minorHAnsi" w:hAnsiTheme="minorHAnsi" w:cstheme="minorHAnsi"/>
          <w:spacing w:val="-19"/>
          <w:w w:val="95"/>
          <w:sz w:val="24"/>
          <w:szCs w:val="22"/>
          <w:lang w:val="es-ES"/>
        </w:rPr>
        <w:t xml:space="preserve"> </w:t>
      </w:r>
      <w:r w:rsidRPr="009A27ED">
        <w:rPr>
          <w:rFonts w:asciiTheme="minorHAnsi" w:hAnsiTheme="minorHAnsi" w:cstheme="minorHAnsi"/>
          <w:w w:val="95"/>
          <w:sz w:val="24"/>
          <w:szCs w:val="22"/>
          <w:lang w:val="es-ES"/>
        </w:rPr>
        <w:t>en</w:t>
      </w:r>
      <w:r w:rsidRPr="009A27ED">
        <w:rPr>
          <w:rFonts w:asciiTheme="minorHAnsi" w:hAnsiTheme="minorHAnsi" w:cstheme="minorHAnsi"/>
          <w:spacing w:val="-18"/>
          <w:w w:val="95"/>
          <w:sz w:val="24"/>
          <w:szCs w:val="22"/>
          <w:lang w:val="es-ES"/>
        </w:rPr>
        <w:t xml:space="preserve"> </w:t>
      </w:r>
      <w:r w:rsidRPr="009A27ED">
        <w:rPr>
          <w:rFonts w:asciiTheme="minorHAnsi" w:hAnsiTheme="minorHAnsi" w:cstheme="minorHAnsi"/>
          <w:w w:val="95"/>
          <w:sz w:val="24"/>
          <w:szCs w:val="22"/>
          <w:lang w:val="es-ES"/>
        </w:rPr>
        <w:t>el</w:t>
      </w:r>
      <w:r w:rsidRPr="009A27ED">
        <w:rPr>
          <w:rFonts w:asciiTheme="minorHAnsi" w:hAnsiTheme="minorHAnsi" w:cstheme="minorHAnsi"/>
          <w:spacing w:val="-19"/>
          <w:w w:val="95"/>
          <w:sz w:val="24"/>
          <w:szCs w:val="22"/>
          <w:lang w:val="es-ES"/>
        </w:rPr>
        <w:t xml:space="preserve"> </w:t>
      </w:r>
      <w:r w:rsidRPr="009A27ED">
        <w:rPr>
          <w:rFonts w:asciiTheme="minorHAnsi" w:hAnsiTheme="minorHAnsi" w:cstheme="minorHAnsi"/>
          <w:w w:val="95"/>
          <w:sz w:val="24"/>
          <w:szCs w:val="22"/>
          <w:lang w:val="es-ES"/>
        </w:rPr>
        <w:t>país</w:t>
      </w:r>
      <w:r w:rsidRPr="009A27ED">
        <w:rPr>
          <w:rFonts w:asciiTheme="minorHAnsi" w:hAnsiTheme="minorHAnsi" w:cstheme="minorHAnsi"/>
          <w:spacing w:val="-18"/>
          <w:w w:val="95"/>
          <w:sz w:val="24"/>
          <w:szCs w:val="22"/>
          <w:lang w:val="es-ES"/>
        </w:rPr>
        <w:t xml:space="preserve"> </w:t>
      </w:r>
      <w:r w:rsidRPr="009A27ED">
        <w:rPr>
          <w:rFonts w:asciiTheme="minorHAnsi" w:hAnsiTheme="minorHAnsi" w:cstheme="minorHAnsi"/>
          <w:w w:val="95"/>
          <w:sz w:val="24"/>
          <w:szCs w:val="22"/>
          <w:lang w:val="es-ES"/>
        </w:rPr>
        <w:t xml:space="preserve">(confirmado </w:t>
      </w:r>
      <w:r w:rsidRPr="009A27ED">
        <w:rPr>
          <w:rFonts w:asciiTheme="minorHAnsi" w:hAnsiTheme="minorHAnsi" w:cstheme="minorHAnsi"/>
          <w:sz w:val="24"/>
          <w:szCs w:val="22"/>
          <w:lang w:val="es-ES"/>
        </w:rPr>
        <w:t>por</w:t>
      </w:r>
      <w:r w:rsidRPr="009A27ED">
        <w:rPr>
          <w:rFonts w:asciiTheme="minorHAnsi" w:hAnsiTheme="minorHAnsi" w:cstheme="minorHAnsi"/>
          <w:spacing w:val="-27"/>
          <w:sz w:val="24"/>
          <w:szCs w:val="22"/>
          <w:lang w:val="es-ES"/>
        </w:rPr>
        <w:t xml:space="preserve"> </w:t>
      </w:r>
      <w:r w:rsidRPr="009A27ED">
        <w:rPr>
          <w:rFonts w:asciiTheme="minorHAnsi" w:hAnsiTheme="minorHAnsi" w:cstheme="minorHAnsi"/>
          <w:sz w:val="24"/>
          <w:szCs w:val="22"/>
          <w:lang w:val="es-ES"/>
        </w:rPr>
        <w:t>el</w:t>
      </w:r>
      <w:r w:rsidRPr="009A27ED">
        <w:rPr>
          <w:rFonts w:asciiTheme="minorHAnsi" w:hAnsiTheme="minorHAnsi" w:cstheme="minorHAnsi"/>
          <w:spacing w:val="-26"/>
          <w:sz w:val="24"/>
          <w:szCs w:val="22"/>
          <w:lang w:val="es-ES"/>
        </w:rPr>
        <w:t xml:space="preserve"> </w:t>
      </w:r>
      <w:r w:rsidRPr="009A27ED">
        <w:rPr>
          <w:rFonts w:asciiTheme="minorHAnsi" w:hAnsiTheme="minorHAnsi" w:cstheme="minorHAnsi"/>
          <w:sz w:val="24"/>
          <w:szCs w:val="22"/>
          <w:lang w:val="es-ES"/>
        </w:rPr>
        <w:t>análisis</w:t>
      </w:r>
      <w:r w:rsidRPr="009A27ED">
        <w:rPr>
          <w:rFonts w:asciiTheme="minorHAnsi" w:hAnsiTheme="minorHAnsi" w:cstheme="minorHAnsi"/>
          <w:spacing w:val="-27"/>
          <w:sz w:val="24"/>
          <w:szCs w:val="22"/>
          <w:lang w:val="es-ES"/>
        </w:rPr>
        <w:t xml:space="preserve"> </w:t>
      </w:r>
      <w:r w:rsidRPr="009A27ED">
        <w:rPr>
          <w:rFonts w:asciiTheme="minorHAnsi" w:hAnsiTheme="minorHAnsi" w:cstheme="minorHAnsi"/>
          <w:sz w:val="24"/>
          <w:szCs w:val="22"/>
          <w:lang w:val="es-ES"/>
        </w:rPr>
        <w:t>del</w:t>
      </w:r>
      <w:r w:rsidRPr="009A27ED">
        <w:rPr>
          <w:rFonts w:asciiTheme="minorHAnsi" w:hAnsiTheme="minorHAnsi" w:cstheme="minorHAnsi"/>
          <w:spacing w:val="-26"/>
          <w:sz w:val="24"/>
          <w:szCs w:val="22"/>
          <w:lang w:val="es-ES"/>
        </w:rPr>
        <w:t xml:space="preserve"> </w:t>
      </w:r>
      <w:r w:rsidRPr="009A27ED">
        <w:rPr>
          <w:rFonts w:asciiTheme="minorHAnsi" w:hAnsiTheme="minorHAnsi" w:cstheme="minorHAnsi"/>
          <w:sz w:val="24"/>
          <w:szCs w:val="22"/>
          <w:lang w:val="es-ES"/>
        </w:rPr>
        <w:t>marco</w:t>
      </w:r>
      <w:r w:rsidRPr="009A27ED">
        <w:rPr>
          <w:rFonts w:asciiTheme="minorHAnsi" w:hAnsiTheme="minorHAnsi" w:cstheme="minorHAnsi"/>
          <w:spacing w:val="-27"/>
          <w:sz w:val="24"/>
          <w:szCs w:val="22"/>
          <w:lang w:val="es-ES"/>
        </w:rPr>
        <w:t xml:space="preserve"> </w:t>
      </w:r>
      <w:r w:rsidRPr="009A27ED">
        <w:rPr>
          <w:rFonts w:asciiTheme="minorHAnsi" w:hAnsiTheme="minorHAnsi" w:cstheme="minorHAnsi"/>
          <w:sz w:val="24"/>
          <w:szCs w:val="22"/>
          <w:lang w:val="es-ES"/>
        </w:rPr>
        <w:t>legal),</w:t>
      </w:r>
      <w:r w:rsidRPr="009A27ED">
        <w:rPr>
          <w:rFonts w:asciiTheme="minorHAnsi" w:hAnsiTheme="minorHAnsi" w:cstheme="minorHAnsi"/>
          <w:spacing w:val="-26"/>
          <w:sz w:val="24"/>
          <w:szCs w:val="22"/>
          <w:lang w:val="es-ES"/>
        </w:rPr>
        <w:t xml:space="preserve"> </w:t>
      </w:r>
      <w:r w:rsidRPr="009A27ED">
        <w:rPr>
          <w:rFonts w:asciiTheme="minorHAnsi" w:hAnsiTheme="minorHAnsi" w:cstheme="minorHAnsi"/>
          <w:sz w:val="24"/>
          <w:szCs w:val="22"/>
          <w:lang w:val="es-ES"/>
        </w:rPr>
        <w:t>y</w:t>
      </w:r>
      <w:r w:rsidRPr="009A27ED">
        <w:rPr>
          <w:rFonts w:asciiTheme="minorHAnsi" w:hAnsiTheme="minorHAnsi" w:cstheme="minorHAnsi"/>
          <w:spacing w:val="-26"/>
          <w:sz w:val="24"/>
          <w:szCs w:val="22"/>
          <w:lang w:val="es-ES"/>
        </w:rPr>
        <w:t xml:space="preserve"> </w:t>
      </w:r>
      <w:r w:rsidRPr="009A27ED">
        <w:rPr>
          <w:rFonts w:asciiTheme="minorHAnsi" w:hAnsiTheme="minorHAnsi" w:cstheme="minorHAnsi"/>
          <w:sz w:val="24"/>
          <w:szCs w:val="22"/>
          <w:lang w:val="es-ES"/>
        </w:rPr>
        <w:t>con</w:t>
      </w:r>
      <w:r w:rsidRPr="009A27ED">
        <w:rPr>
          <w:rFonts w:asciiTheme="minorHAnsi" w:hAnsiTheme="minorHAnsi" w:cstheme="minorHAnsi"/>
          <w:spacing w:val="-27"/>
          <w:sz w:val="24"/>
          <w:szCs w:val="22"/>
          <w:lang w:val="es-ES"/>
        </w:rPr>
        <w:t xml:space="preserve"> </w:t>
      </w:r>
      <w:r w:rsidRPr="009A27ED">
        <w:rPr>
          <w:rFonts w:asciiTheme="minorHAnsi" w:hAnsiTheme="minorHAnsi" w:cstheme="minorHAnsi"/>
          <w:sz w:val="24"/>
          <w:szCs w:val="22"/>
          <w:lang w:val="es-ES"/>
        </w:rPr>
        <w:t>base</w:t>
      </w:r>
      <w:r w:rsidRPr="009A27ED">
        <w:rPr>
          <w:rFonts w:asciiTheme="minorHAnsi" w:hAnsiTheme="minorHAnsi" w:cstheme="minorHAnsi"/>
          <w:spacing w:val="-26"/>
          <w:sz w:val="24"/>
          <w:szCs w:val="22"/>
          <w:lang w:val="es-ES"/>
        </w:rPr>
        <w:t xml:space="preserve"> </w:t>
      </w:r>
      <w:r w:rsidRPr="009A27ED">
        <w:rPr>
          <w:rFonts w:asciiTheme="minorHAnsi" w:hAnsiTheme="minorHAnsi" w:cstheme="minorHAnsi"/>
          <w:sz w:val="24"/>
          <w:szCs w:val="22"/>
          <w:lang w:val="es-ES"/>
        </w:rPr>
        <w:t>a</w:t>
      </w:r>
      <w:r w:rsidRPr="009A27ED">
        <w:rPr>
          <w:rFonts w:asciiTheme="minorHAnsi" w:hAnsiTheme="minorHAnsi" w:cstheme="minorHAnsi"/>
          <w:spacing w:val="-27"/>
          <w:sz w:val="24"/>
          <w:szCs w:val="22"/>
          <w:lang w:val="es-ES"/>
        </w:rPr>
        <w:t xml:space="preserve"> </w:t>
      </w:r>
      <w:r w:rsidRPr="009A27ED">
        <w:rPr>
          <w:rFonts w:asciiTheme="minorHAnsi" w:hAnsiTheme="minorHAnsi" w:cstheme="minorHAnsi"/>
          <w:sz w:val="24"/>
          <w:szCs w:val="22"/>
          <w:lang w:val="es-ES"/>
        </w:rPr>
        <w:t>la</w:t>
      </w:r>
      <w:r w:rsidRPr="009A27ED">
        <w:rPr>
          <w:rFonts w:asciiTheme="minorHAnsi" w:hAnsiTheme="minorHAnsi" w:cstheme="minorHAnsi"/>
          <w:spacing w:val="-26"/>
          <w:sz w:val="24"/>
          <w:szCs w:val="22"/>
          <w:lang w:val="es-ES"/>
        </w:rPr>
        <w:t xml:space="preserve"> </w:t>
      </w:r>
      <w:r w:rsidRPr="009A27ED">
        <w:rPr>
          <w:rFonts w:asciiTheme="minorHAnsi" w:hAnsiTheme="minorHAnsi" w:cstheme="minorHAnsi"/>
          <w:sz w:val="24"/>
          <w:szCs w:val="22"/>
          <w:lang w:val="es-ES"/>
        </w:rPr>
        <w:t>evaluación</w:t>
      </w:r>
      <w:r w:rsidRPr="009A27ED">
        <w:rPr>
          <w:rFonts w:asciiTheme="minorHAnsi" w:hAnsiTheme="minorHAnsi" w:cstheme="minorHAnsi"/>
          <w:spacing w:val="-27"/>
          <w:sz w:val="24"/>
          <w:szCs w:val="22"/>
          <w:lang w:val="es-ES"/>
        </w:rPr>
        <w:t xml:space="preserve"> </w:t>
      </w:r>
      <w:r w:rsidRPr="009A27ED">
        <w:rPr>
          <w:rFonts w:asciiTheme="minorHAnsi" w:hAnsiTheme="minorHAnsi" w:cstheme="minorHAnsi"/>
          <w:sz w:val="24"/>
          <w:szCs w:val="22"/>
          <w:lang w:val="es-ES"/>
        </w:rPr>
        <w:t>preliminar</w:t>
      </w:r>
      <w:r w:rsidRPr="009A27ED">
        <w:rPr>
          <w:rFonts w:asciiTheme="minorHAnsi" w:hAnsiTheme="minorHAnsi" w:cstheme="minorHAnsi"/>
          <w:spacing w:val="-26"/>
          <w:sz w:val="24"/>
          <w:szCs w:val="22"/>
          <w:lang w:val="es-ES"/>
        </w:rPr>
        <w:t xml:space="preserve"> </w:t>
      </w:r>
      <w:r w:rsidRPr="009A27ED">
        <w:rPr>
          <w:rFonts w:asciiTheme="minorHAnsi" w:hAnsiTheme="minorHAnsi" w:cstheme="minorHAnsi"/>
          <w:sz w:val="24"/>
          <w:szCs w:val="22"/>
          <w:lang w:val="es-ES"/>
        </w:rPr>
        <w:t>de</w:t>
      </w:r>
      <w:r w:rsidRPr="009A27ED">
        <w:rPr>
          <w:rFonts w:asciiTheme="minorHAnsi" w:hAnsiTheme="minorHAnsi" w:cstheme="minorHAnsi"/>
          <w:spacing w:val="-27"/>
          <w:sz w:val="24"/>
          <w:szCs w:val="22"/>
          <w:lang w:val="es-ES"/>
        </w:rPr>
        <w:t xml:space="preserve"> </w:t>
      </w:r>
      <w:r w:rsidRPr="009A27ED">
        <w:rPr>
          <w:rFonts w:asciiTheme="minorHAnsi" w:hAnsiTheme="minorHAnsi" w:cstheme="minorHAnsi"/>
          <w:sz w:val="24"/>
          <w:szCs w:val="22"/>
          <w:lang w:val="es-ES"/>
        </w:rPr>
        <w:t>estos</w:t>
      </w:r>
      <w:r w:rsidRPr="009A27ED">
        <w:rPr>
          <w:rFonts w:asciiTheme="minorHAnsi" w:hAnsiTheme="minorHAnsi" w:cstheme="minorHAnsi"/>
          <w:spacing w:val="-27"/>
          <w:sz w:val="24"/>
          <w:szCs w:val="22"/>
          <w:lang w:val="es-ES"/>
        </w:rPr>
        <w:t xml:space="preserve"> </w:t>
      </w:r>
      <w:r w:rsidRPr="009A27ED">
        <w:rPr>
          <w:rFonts w:asciiTheme="minorHAnsi" w:hAnsiTheme="minorHAnsi" w:cstheme="minorHAnsi"/>
          <w:sz w:val="24"/>
          <w:szCs w:val="22"/>
          <w:lang w:val="es-ES"/>
        </w:rPr>
        <w:t>aspectos</w:t>
      </w:r>
      <w:r w:rsidRPr="009A27ED">
        <w:rPr>
          <w:rFonts w:asciiTheme="minorHAnsi" w:hAnsiTheme="minorHAnsi" w:cstheme="minorHAnsi"/>
          <w:spacing w:val="-26"/>
          <w:sz w:val="24"/>
          <w:szCs w:val="22"/>
          <w:lang w:val="es-ES"/>
        </w:rPr>
        <w:t xml:space="preserve"> </w:t>
      </w:r>
      <w:r w:rsidRPr="009A27ED">
        <w:rPr>
          <w:rFonts w:asciiTheme="minorHAnsi" w:hAnsiTheme="minorHAnsi" w:cstheme="minorHAnsi"/>
          <w:sz w:val="24"/>
          <w:szCs w:val="22"/>
          <w:lang w:val="es-ES"/>
        </w:rPr>
        <w:t>para</w:t>
      </w:r>
      <w:r w:rsidRPr="009A27ED">
        <w:rPr>
          <w:rFonts w:asciiTheme="minorHAnsi" w:hAnsiTheme="minorHAnsi" w:cstheme="minorHAnsi"/>
          <w:spacing w:val="-27"/>
          <w:sz w:val="24"/>
          <w:szCs w:val="22"/>
          <w:lang w:val="es-ES"/>
        </w:rPr>
        <w:t xml:space="preserve"> </w:t>
      </w:r>
      <w:r w:rsidRPr="009A27ED">
        <w:rPr>
          <w:rFonts w:asciiTheme="minorHAnsi" w:hAnsiTheme="minorHAnsi" w:cstheme="minorHAnsi"/>
          <w:sz w:val="24"/>
          <w:szCs w:val="22"/>
          <w:lang w:val="es-ES"/>
        </w:rPr>
        <w:t xml:space="preserve">el </w:t>
      </w:r>
      <w:r w:rsidRPr="009A27ED">
        <w:rPr>
          <w:rFonts w:asciiTheme="minorHAnsi" w:hAnsiTheme="minorHAnsi" w:cstheme="minorHAnsi"/>
          <w:w w:val="95"/>
          <w:sz w:val="24"/>
          <w:szCs w:val="22"/>
          <w:lang w:val="es-ES"/>
        </w:rPr>
        <w:t>Proyecto</w:t>
      </w:r>
      <w:r w:rsidRPr="009A27ED">
        <w:rPr>
          <w:rFonts w:asciiTheme="minorHAnsi" w:hAnsiTheme="minorHAnsi" w:cstheme="minorHAnsi"/>
          <w:spacing w:val="-14"/>
          <w:w w:val="95"/>
          <w:sz w:val="24"/>
          <w:szCs w:val="22"/>
          <w:lang w:val="es-ES"/>
        </w:rPr>
        <w:t xml:space="preserve"> </w:t>
      </w:r>
      <w:r w:rsidRPr="009A27ED">
        <w:rPr>
          <w:rFonts w:asciiTheme="minorHAnsi" w:hAnsiTheme="minorHAnsi" w:cstheme="minorHAnsi"/>
          <w:w w:val="95"/>
          <w:sz w:val="24"/>
          <w:szCs w:val="22"/>
          <w:lang w:val="es-ES"/>
        </w:rPr>
        <w:t>REDD+,</w:t>
      </w:r>
      <w:r w:rsidRPr="009A27ED">
        <w:rPr>
          <w:rFonts w:asciiTheme="minorHAnsi" w:hAnsiTheme="minorHAnsi" w:cstheme="minorHAnsi"/>
          <w:spacing w:val="-16"/>
          <w:w w:val="95"/>
          <w:sz w:val="24"/>
          <w:szCs w:val="22"/>
          <w:lang w:val="es-ES"/>
        </w:rPr>
        <w:t xml:space="preserve"> </w:t>
      </w:r>
      <w:r w:rsidRPr="009A27ED">
        <w:rPr>
          <w:rFonts w:asciiTheme="minorHAnsi" w:hAnsiTheme="minorHAnsi" w:cstheme="minorHAnsi"/>
          <w:w w:val="95"/>
          <w:sz w:val="24"/>
          <w:szCs w:val="22"/>
          <w:lang w:val="es-ES"/>
        </w:rPr>
        <w:t>el</w:t>
      </w:r>
      <w:r w:rsidRPr="009A27ED">
        <w:rPr>
          <w:rFonts w:asciiTheme="minorHAnsi" w:hAnsiTheme="minorHAnsi" w:cstheme="minorHAnsi"/>
          <w:spacing w:val="-15"/>
          <w:w w:val="95"/>
          <w:sz w:val="24"/>
          <w:szCs w:val="22"/>
          <w:lang w:val="es-ES"/>
        </w:rPr>
        <w:t xml:space="preserve"> </w:t>
      </w:r>
      <w:r w:rsidRPr="009A27ED">
        <w:rPr>
          <w:rFonts w:asciiTheme="minorHAnsi" w:hAnsiTheme="minorHAnsi" w:cstheme="minorHAnsi"/>
          <w:w w:val="95"/>
          <w:sz w:val="24"/>
          <w:szCs w:val="22"/>
          <w:lang w:val="es-ES"/>
        </w:rPr>
        <w:t>Banco</w:t>
      </w:r>
      <w:r w:rsidRPr="009A27ED">
        <w:rPr>
          <w:rFonts w:asciiTheme="minorHAnsi" w:hAnsiTheme="minorHAnsi" w:cstheme="minorHAnsi"/>
          <w:spacing w:val="-15"/>
          <w:w w:val="95"/>
          <w:sz w:val="24"/>
          <w:szCs w:val="22"/>
          <w:lang w:val="es-ES"/>
        </w:rPr>
        <w:t xml:space="preserve"> </w:t>
      </w:r>
      <w:r w:rsidRPr="009A27ED">
        <w:rPr>
          <w:rFonts w:asciiTheme="minorHAnsi" w:hAnsiTheme="minorHAnsi" w:cstheme="minorHAnsi"/>
          <w:w w:val="95"/>
          <w:sz w:val="24"/>
          <w:szCs w:val="22"/>
          <w:lang w:val="es-ES"/>
        </w:rPr>
        <w:t>Mundial</w:t>
      </w:r>
      <w:r w:rsidRPr="009A27ED">
        <w:rPr>
          <w:rFonts w:asciiTheme="minorHAnsi" w:hAnsiTheme="minorHAnsi" w:cstheme="minorHAnsi"/>
          <w:spacing w:val="-16"/>
          <w:w w:val="95"/>
          <w:sz w:val="24"/>
          <w:szCs w:val="22"/>
          <w:lang w:val="es-ES"/>
        </w:rPr>
        <w:t xml:space="preserve"> </w:t>
      </w:r>
      <w:r w:rsidRPr="009A27ED">
        <w:rPr>
          <w:rFonts w:asciiTheme="minorHAnsi" w:hAnsiTheme="minorHAnsi" w:cstheme="minorHAnsi"/>
          <w:w w:val="95"/>
          <w:sz w:val="24"/>
          <w:szCs w:val="22"/>
          <w:lang w:val="es-ES"/>
        </w:rPr>
        <w:t>ha</w:t>
      </w:r>
      <w:r w:rsidRPr="009A27ED">
        <w:rPr>
          <w:rFonts w:asciiTheme="minorHAnsi" w:hAnsiTheme="minorHAnsi" w:cstheme="minorHAnsi"/>
          <w:spacing w:val="-15"/>
          <w:w w:val="95"/>
          <w:sz w:val="24"/>
          <w:szCs w:val="22"/>
          <w:lang w:val="es-ES"/>
        </w:rPr>
        <w:t xml:space="preserve"> </w:t>
      </w:r>
      <w:r w:rsidRPr="009A27ED">
        <w:rPr>
          <w:rFonts w:asciiTheme="minorHAnsi" w:hAnsiTheme="minorHAnsi" w:cstheme="minorHAnsi"/>
          <w:w w:val="95"/>
          <w:sz w:val="24"/>
          <w:szCs w:val="22"/>
          <w:lang w:val="es-ES"/>
        </w:rPr>
        <w:t>determinado</w:t>
      </w:r>
      <w:r w:rsidRPr="009A27ED">
        <w:rPr>
          <w:rFonts w:asciiTheme="minorHAnsi" w:hAnsiTheme="minorHAnsi" w:cstheme="minorHAnsi"/>
          <w:spacing w:val="-14"/>
          <w:w w:val="95"/>
          <w:sz w:val="24"/>
          <w:szCs w:val="22"/>
          <w:lang w:val="es-ES"/>
        </w:rPr>
        <w:t xml:space="preserve"> </w:t>
      </w:r>
      <w:r w:rsidRPr="009A27ED">
        <w:rPr>
          <w:rFonts w:asciiTheme="minorHAnsi" w:hAnsiTheme="minorHAnsi" w:cstheme="minorHAnsi"/>
          <w:w w:val="95"/>
          <w:sz w:val="24"/>
          <w:szCs w:val="22"/>
          <w:lang w:val="es-ES"/>
        </w:rPr>
        <w:t>que</w:t>
      </w:r>
      <w:r w:rsidRPr="009A27ED">
        <w:rPr>
          <w:rFonts w:asciiTheme="minorHAnsi" w:hAnsiTheme="minorHAnsi" w:cstheme="minorHAnsi"/>
          <w:spacing w:val="-14"/>
          <w:w w:val="95"/>
          <w:sz w:val="24"/>
          <w:szCs w:val="22"/>
          <w:lang w:val="es-ES"/>
        </w:rPr>
        <w:t xml:space="preserve"> </w:t>
      </w:r>
      <w:r w:rsidRPr="009A27ED">
        <w:rPr>
          <w:rFonts w:asciiTheme="minorHAnsi" w:hAnsiTheme="minorHAnsi" w:cstheme="minorHAnsi"/>
          <w:w w:val="95"/>
          <w:sz w:val="24"/>
          <w:szCs w:val="22"/>
          <w:lang w:val="es-ES"/>
        </w:rPr>
        <w:t>su</w:t>
      </w:r>
      <w:r w:rsidRPr="009A27ED">
        <w:rPr>
          <w:rFonts w:asciiTheme="minorHAnsi" w:hAnsiTheme="minorHAnsi" w:cstheme="minorHAnsi"/>
          <w:spacing w:val="-13"/>
          <w:w w:val="95"/>
          <w:sz w:val="24"/>
          <w:szCs w:val="22"/>
          <w:lang w:val="es-ES"/>
        </w:rPr>
        <w:t xml:space="preserve"> </w:t>
      </w:r>
      <w:r w:rsidRPr="009A27ED">
        <w:rPr>
          <w:rFonts w:asciiTheme="minorHAnsi" w:hAnsiTheme="minorHAnsi" w:cstheme="minorHAnsi"/>
          <w:w w:val="95"/>
          <w:sz w:val="24"/>
          <w:szCs w:val="22"/>
          <w:lang w:val="es-ES"/>
        </w:rPr>
        <w:t>Política</w:t>
      </w:r>
      <w:r w:rsidRPr="009A27ED">
        <w:rPr>
          <w:rFonts w:asciiTheme="minorHAnsi" w:hAnsiTheme="minorHAnsi" w:cstheme="minorHAnsi"/>
          <w:spacing w:val="-15"/>
          <w:w w:val="95"/>
          <w:sz w:val="24"/>
          <w:szCs w:val="22"/>
          <w:lang w:val="es-ES"/>
        </w:rPr>
        <w:t xml:space="preserve"> </w:t>
      </w:r>
      <w:r w:rsidRPr="009A27ED">
        <w:rPr>
          <w:rFonts w:asciiTheme="minorHAnsi" w:hAnsiTheme="minorHAnsi" w:cstheme="minorHAnsi"/>
          <w:w w:val="95"/>
          <w:sz w:val="24"/>
          <w:szCs w:val="22"/>
          <w:lang w:val="es-ES"/>
        </w:rPr>
        <w:t>Operacional</w:t>
      </w:r>
      <w:r w:rsidRPr="009A27ED">
        <w:rPr>
          <w:rFonts w:asciiTheme="minorHAnsi" w:hAnsiTheme="minorHAnsi" w:cstheme="minorHAnsi"/>
          <w:spacing w:val="-15"/>
          <w:w w:val="95"/>
          <w:sz w:val="24"/>
          <w:szCs w:val="22"/>
          <w:lang w:val="es-ES"/>
        </w:rPr>
        <w:t xml:space="preserve"> </w:t>
      </w:r>
      <w:r w:rsidRPr="009A27ED">
        <w:rPr>
          <w:rFonts w:asciiTheme="minorHAnsi" w:hAnsiTheme="minorHAnsi" w:cstheme="minorHAnsi"/>
          <w:w w:val="95"/>
          <w:sz w:val="24"/>
          <w:szCs w:val="22"/>
          <w:lang w:val="es-ES"/>
        </w:rPr>
        <w:t>4.10</w:t>
      </w:r>
      <w:r w:rsidRPr="009A27ED">
        <w:rPr>
          <w:rFonts w:asciiTheme="minorHAnsi" w:hAnsiTheme="minorHAnsi" w:cstheme="minorHAnsi"/>
          <w:spacing w:val="-14"/>
          <w:w w:val="95"/>
          <w:sz w:val="24"/>
          <w:szCs w:val="22"/>
          <w:lang w:val="es-ES"/>
        </w:rPr>
        <w:t xml:space="preserve"> </w:t>
      </w:r>
      <w:r w:rsidRPr="009A27ED">
        <w:rPr>
          <w:rFonts w:asciiTheme="minorHAnsi" w:hAnsiTheme="minorHAnsi" w:cstheme="minorHAnsi"/>
          <w:w w:val="95"/>
          <w:sz w:val="24"/>
          <w:szCs w:val="22"/>
          <w:lang w:val="es-ES"/>
        </w:rPr>
        <w:t>de</w:t>
      </w:r>
      <w:r w:rsidRPr="009A27ED">
        <w:rPr>
          <w:rFonts w:asciiTheme="minorHAnsi" w:hAnsiTheme="minorHAnsi" w:cstheme="minorHAnsi"/>
          <w:spacing w:val="-16"/>
          <w:w w:val="95"/>
          <w:sz w:val="24"/>
          <w:szCs w:val="22"/>
          <w:lang w:val="es-ES"/>
        </w:rPr>
        <w:t xml:space="preserve"> </w:t>
      </w:r>
      <w:r w:rsidRPr="009A27ED">
        <w:rPr>
          <w:rFonts w:asciiTheme="minorHAnsi" w:hAnsiTheme="minorHAnsi" w:cstheme="minorHAnsi"/>
          <w:w w:val="95"/>
          <w:sz w:val="24"/>
          <w:szCs w:val="22"/>
          <w:lang w:val="es-ES"/>
        </w:rPr>
        <w:t xml:space="preserve">Pueblos </w:t>
      </w:r>
      <w:r w:rsidRPr="009A27ED">
        <w:rPr>
          <w:rFonts w:asciiTheme="minorHAnsi" w:hAnsiTheme="minorHAnsi" w:cstheme="minorHAnsi"/>
          <w:sz w:val="24"/>
          <w:szCs w:val="22"/>
          <w:lang w:val="es-ES"/>
        </w:rPr>
        <w:t xml:space="preserve">Indígenas no es relevante al momento de preparación del </w:t>
      </w:r>
      <w:r w:rsidR="00124B63" w:rsidRPr="009A27ED">
        <w:rPr>
          <w:rFonts w:asciiTheme="minorHAnsi" w:hAnsiTheme="minorHAnsi" w:cstheme="minorHAnsi"/>
          <w:sz w:val="24"/>
          <w:szCs w:val="22"/>
          <w:lang w:val="es-ES"/>
        </w:rPr>
        <w:t>Programa REDD+</w:t>
      </w:r>
      <w:r w:rsidRPr="009A27ED">
        <w:rPr>
          <w:rFonts w:asciiTheme="minorHAnsi" w:hAnsiTheme="minorHAnsi" w:cstheme="minorHAnsi"/>
          <w:sz w:val="24"/>
          <w:szCs w:val="22"/>
          <w:lang w:val="es-ES"/>
        </w:rPr>
        <w:t>.</w:t>
      </w:r>
      <w:r w:rsidR="00CD4C75" w:rsidRPr="009A27ED">
        <w:rPr>
          <w:rFonts w:asciiTheme="minorHAnsi" w:hAnsiTheme="minorHAnsi" w:cstheme="minorHAnsi"/>
          <w:sz w:val="24"/>
          <w:szCs w:val="22"/>
          <w:lang w:val="es-ES"/>
        </w:rPr>
        <w:t xml:space="preserve"> </w:t>
      </w:r>
      <w:r w:rsidRPr="009A27ED">
        <w:rPr>
          <w:rFonts w:asciiTheme="minorHAnsi" w:hAnsiTheme="minorHAnsi" w:cstheme="minorHAnsi"/>
          <w:sz w:val="24"/>
          <w:szCs w:val="22"/>
          <w:lang w:val="es-ES"/>
        </w:rPr>
        <w:t>Aun</w:t>
      </w:r>
      <w:r w:rsidRPr="009A27ED">
        <w:rPr>
          <w:rFonts w:asciiTheme="minorHAnsi" w:hAnsiTheme="minorHAnsi" w:cstheme="minorHAnsi"/>
          <w:spacing w:val="-25"/>
          <w:sz w:val="24"/>
          <w:szCs w:val="22"/>
          <w:lang w:val="es-ES"/>
        </w:rPr>
        <w:t xml:space="preserve"> </w:t>
      </w:r>
      <w:r w:rsidRPr="009A27ED">
        <w:rPr>
          <w:rFonts w:asciiTheme="minorHAnsi" w:hAnsiTheme="minorHAnsi" w:cstheme="minorHAnsi"/>
          <w:sz w:val="24"/>
          <w:szCs w:val="22"/>
          <w:lang w:val="es-ES"/>
        </w:rPr>
        <w:t>cuando</w:t>
      </w:r>
      <w:r w:rsidRPr="009A27ED">
        <w:rPr>
          <w:rFonts w:asciiTheme="minorHAnsi" w:hAnsiTheme="minorHAnsi" w:cstheme="minorHAnsi"/>
          <w:spacing w:val="-24"/>
          <w:sz w:val="24"/>
          <w:szCs w:val="22"/>
          <w:lang w:val="es-ES"/>
        </w:rPr>
        <w:t xml:space="preserve"> </w:t>
      </w:r>
      <w:r w:rsidRPr="009A27ED">
        <w:rPr>
          <w:rFonts w:asciiTheme="minorHAnsi" w:hAnsiTheme="minorHAnsi" w:cstheme="minorHAnsi"/>
          <w:sz w:val="24"/>
          <w:szCs w:val="22"/>
          <w:lang w:val="es-ES"/>
        </w:rPr>
        <w:t>no</w:t>
      </w:r>
      <w:r w:rsidRPr="009A27ED">
        <w:rPr>
          <w:rFonts w:asciiTheme="minorHAnsi" w:hAnsiTheme="minorHAnsi" w:cstheme="minorHAnsi"/>
          <w:spacing w:val="-25"/>
          <w:sz w:val="24"/>
          <w:szCs w:val="22"/>
          <w:lang w:val="es-ES"/>
        </w:rPr>
        <w:t xml:space="preserve"> </w:t>
      </w:r>
      <w:r w:rsidRPr="009A27ED">
        <w:rPr>
          <w:rFonts w:asciiTheme="minorHAnsi" w:hAnsiTheme="minorHAnsi" w:cstheme="minorHAnsi"/>
          <w:sz w:val="24"/>
          <w:szCs w:val="22"/>
          <w:lang w:val="es-ES"/>
        </w:rPr>
        <w:t>estén</w:t>
      </w:r>
      <w:r w:rsidRPr="009A27ED">
        <w:rPr>
          <w:rFonts w:asciiTheme="minorHAnsi" w:hAnsiTheme="minorHAnsi" w:cstheme="minorHAnsi"/>
          <w:spacing w:val="-24"/>
          <w:sz w:val="24"/>
          <w:szCs w:val="22"/>
          <w:lang w:val="es-ES"/>
        </w:rPr>
        <w:t xml:space="preserve"> </w:t>
      </w:r>
      <w:r w:rsidRPr="009A27ED">
        <w:rPr>
          <w:rFonts w:asciiTheme="minorHAnsi" w:hAnsiTheme="minorHAnsi" w:cstheme="minorHAnsi"/>
          <w:sz w:val="24"/>
          <w:szCs w:val="22"/>
          <w:lang w:val="es-ES"/>
        </w:rPr>
        <w:t>previstas</w:t>
      </w:r>
      <w:r w:rsidRPr="009A27ED">
        <w:rPr>
          <w:rFonts w:asciiTheme="minorHAnsi" w:hAnsiTheme="minorHAnsi" w:cstheme="minorHAnsi"/>
          <w:spacing w:val="-24"/>
          <w:sz w:val="24"/>
          <w:szCs w:val="22"/>
          <w:lang w:val="es-ES"/>
        </w:rPr>
        <w:t xml:space="preserve"> </w:t>
      </w:r>
      <w:r w:rsidRPr="009A27ED">
        <w:rPr>
          <w:rFonts w:asciiTheme="minorHAnsi" w:hAnsiTheme="minorHAnsi" w:cstheme="minorHAnsi"/>
          <w:sz w:val="24"/>
          <w:szCs w:val="22"/>
          <w:lang w:val="es-ES"/>
        </w:rPr>
        <w:t>dentro</w:t>
      </w:r>
      <w:r w:rsidRPr="009A27ED">
        <w:rPr>
          <w:rFonts w:asciiTheme="minorHAnsi" w:hAnsiTheme="minorHAnsi" w:cstheme="minorHAnsi"/>
          <w:spacing w:val="-25"/>
          <w:sz w:val="24"/>
          <w:szCs w:val="22"/>
          <w:lang w:val="es-ES"/>
        </w:rPr>
        <w:t xml:space="preserve"> </w:t>
      </w:r>
      <w:r w:rsidRPr="009A27ED">
        <w:rPr>
          <w:rFonts w:asciiTheme="minorHAnsi" w:hAnsiTheme="minorHAnsi" w:cstheme="minorHAnsi"/>
          <w:sz w:val="24"/>
          <w:szCs w:val="22"/>
          <w:lang w:val="es-ES"/>
        </w:rPr>
        <w:t>del</w:t>
      </w:r>
      <w:r w:rsidRPr="009A27ED">
        <w:rPr>
          <w:rFonts w:asciiTheme="minorHAnsi" w:hAnsiTheme="minorHAnsi" w:cstheme="minorHAnsi"/>
          <w:spacing w:val="-24"/>
          <w:sz w:val="24"/>
          <w:szCs w:val="22"/>
          <w:lang w:val="es-ES"/>
        </w:rPr>
        <w:t xml:space="preserve"> </w:t>
      </w:r>
      <w:r w:rsidRPr="009A27ED">
        <w:rPr>
          <w:rFonts w:asciiTheme="minorHAnsi" w:hAnsiTheme="minorHAnsi" w:cstheme="minorHAnsi"/>
          <w:sz w:val="24"/>
          <w:szCs w:val="22"/>
          <w:lang w:val="es-ES"/>
        </w:rPr>
        <w:t>Enfoque</w:t>
      </w:r>
      <w:r w:rsidRPr="009A27ED">
        <w:rPr>
          <w:rFonts w:asciiTheme="minorHAnsi" w:hAnsiTheme="minorHAnsi" w:cstheme="minorHAnsi"/>
          <w:spacing w:val="-25"/>
          <w:sz w:val="24"/>
          <w:szCs w:val="22"/>
          <w:lang w:val="es-ES"/>
        </w:rPr>
        <w:t xml:space="preserve"> </w:t>
      </w:r>
      <w:r w:rsidRPr="009A27ED">
        <w:rPr>
          <w:rFonts w:asciiTheme="minorHAnsi" w:hAnsiTheme="minorHAnsi" w:cstheme="minorHAnsi"/>
          <w:sz w:val="24"/>
          <w:szCs w:val="22"/>
          <w:lang w:val="es-ES"/>
        </w:rPr>
        <w:t>Común,</w:t>
      </w:r>
      <w:r w:rsidRPr="009A27ED">
        <w:rPr>
          <w:rFonts w:asciiTheme="minorHAnsi" w:hAnsiTheme="minorHAnsi" w:cstheme="minorHAnsi"/>
          <w:spacing w:val="-24"/>
          <w:sz w:val="24"/>
          <w:szCs w:val="22"/>
          <w:lang w:val="es-ES"/>
        </w:rPr>
        <w:t xml:space="preserve"> </w:t>
      </w:r>
      <w:r w:rsidRPr="009A27ED">
        <w:rPr>
          <w:rFonts w:asciiTheme="minorHAnsi" w:hAnsiTheme="minorHAnsi" w:cstheme="minorHAnsi"/>
          <w:sz w:val="24"/>
          <w:szCs w:val="22"/>
          <w:lang w:val="es-ES"/>
        </w:rPr>
        <w:t>el</w:t>
      </w:r>
      <w:r w:rsidRPr="009A27ED">
        <w:rPr>
          <w:rFonts w:asciiTheme="minorHAnsi" w:hAnsiTheme="minorHAnsi" w:cstheme="minorHAnsi"/>
          <w:spacing w:val="-24"/>
          <w:sz w:val="24"/>
          <w:szCs w:val="22"/>
          <w:lang w:val="es-ES"/>
        </w:rPr>
        <w:t xml:space="preserve"> </w:t>
      </w:r>
      <w:r w:rsidRPr="009A27ED">
        <w:rPr>
          <w:rFonts w:asciiTheme="minorHAnsi" w:hAnsiTheme="minorHAnsi" w:cstheme="minorHAnsi"/>
          <w:sz w:val="24"/>
          <w:szCs w:val="22"/>
          <w:lang w:val="es-ES"/>
        </w:rPr>
        <w:t>Banco</w:t>
      </w:r>
      <w:r w:rsidRPr="009A27ED">
        <w:rPr>
          <w:rFonts w:asciiTheme="minorHAnsi" w:hAnsiTheme="minorHAnsi" w:cstheme="minorHAnsi"/>
          <w:spacing w:val="-25"/>
          <w:sz w:val="24"/>
          <w:szCs w:val="22"/>
          <w:lang w:val="es-ES"/>
        </w:rPr>
        <w:t xml:space="preserve"> </w:t>
      </w:r>
      <w:r w:rsidRPr="009A27ED">
        <w:rPr>
          <w:rFonts w:asciiTheme="minorHAnsi" w:hAnsiTheme="minorHAnsi" w:cstheme="minorHAnsi"/>
          <w:sz w:val="24"/>
          <w:szCs w:val="22"/>
          <w:lang w:val="es-ES"/>
        </w:rPr>
        <w:t>Mundial</w:t>
      </w:r>
      <w:r w:rsidRPr="009A27ED">
        <w:rPr>
          <w:rFonts w:asciiTheme="minorHAnsi" w:hAnsiTheme="minorHAnsi" w:cstheme="minorHAnsi"/>
          <w:spacing w:val="-25"/>
          <w:sz w:val="24"/>
          <w:szCs w:val="22"/>
          <w:lang w:val="es-ES"/>
        </w:rPr>
        <w:t xml:space="preserve"> </w:t>
      </w:r>
      <w:r w:rsidRPr="009A27ED">
        <w:rPr>
          <w:rFonts w:asciiTheme="minorHAnsi" w:hAnsiTheme="minorHAnsi" w:cstheme="minorHAnsi"/>
          <w:sz w:val="24"/>
          <w:szCs w:val="22"/>
          <w:lang w:val="es-ES"/>
        </w:rPr>
        <w:t>identificó</w:t>
      </w:r>
      <w:r w:rsidRPr="009A27ED">
        <w:rPr>
          <w:rFonts w:asciiTheme="minorHAnsi" w:hAnsiTheme="minorHAnsi" w:cstheme="minorHAnsi"/>
          <w:spacing w:val="-24"/>
          <w:sz w:val="24"/>
          <w:szCs w:val="22"/>
          <w:lang w:val="es-ES"/>
        </w:rPr>
        <w:t xml:space="preserve"> </w:t>
      </w:r>
      <w:r w:rsidRPr="009A27ED">
        <w:rPr>
          <w:rFonts w:asciiTheme="minorHAnsi" w:hAnsiTheme="minorHAnsi" w:cstheme="minorHAnsi"/>
          <w:sz w:val="24"/>
          <w:szCs w:val="22"/>
          <w:lang w:val="es-ES"/>
        </w:rPr>
        <w:t>que</w:t>
      </w:r>
      <w:r w:rsidRPr="009A27ED">
        <w:rPr>
          <w:rFonts w:asciiTheme="minorHAnsi" w:hAnsiTheme="minorHAnsi" w:cstheme="minorHAnsi"/>
          <w:spacing w:val="-25"/>
          <w:sz w:val="24"/>
          <w:szCs w:val="22"/>
          <w:lang w:val="es-ES"/>
        </w:rPr>
        <w:t xml:space="preserve"> </w:t>
      </w:r>
      <w:r w:rsidRPr="009A27ED">
        <w:rPr>
          <w:rFonts w:asciiTheme="minorHAnsi" w:hAnsiTheme="minorHAnsi" w:cstheme="minorHAnsi"/>
          <w:sz w:val="24"/>
          <w:szCs w:val="22"/>
          <w:lang w:val="es-ES"/>
        </w:rPr>
        <w:t>se tomaron</w:t>
      </w:r>
      <w:r w:rsidRPr="009A27ED">
        <w:rPr>
          <w:rFonts w:asciiTheme="minorHAnsi" w:hAnsiTheme="minorHAnsi" w:cstheme="minorHAnsi"/>
          <w:spacing w:val="-28"/>
          <w:sz w:val="24"/>
          <w:szCs w:val="22"/>
          <w:lang w:val="es-ES"/>
        </w:rPr>
        <w:t xml:space="preserve"> </w:t>
      </w:r>
      <w:r w:rsidRPr="009A27ED">
        <w:rPr>
          <w:rFonts w:asciiTheme="minorHAnsi" w:hAnsiTheme="minorHAnsi" w:cstheme="minorHAnsi"/>
          <w:sz w:val="24"/>
          <w:szCs w:val="22"/>
          <w:lang w:val="es-ES"/>
        </w:rPr>
        <w:t>en</w:t>
      </w:r>
      <w:r w:rsidRPr="009A27ED">
        <w:rPr>
          <w:rFonts w:asciiTheme="minorHAnsi" w:hAnsiTheme="minorHAnsi" w:cstheme="minorHAnsi"/>
          <w:spacing w:val="-28"/>
          <w:sz w:val="24"/>
          <w:szCs w:val="22"/>
          <w:lang w:val="es-ES"/>
        </w:rPr>
        <w:t xml:space="preserve"> </w:t>
      </w:r>
      <w:r w:rsidRPr="009A27ED">
        <w:rPr>
          <w:rFonts w:asciiTheme="minorHAnsi" w:hAnsiTheme="minorHAnsi" w:cstheme="minorHAnsi"/>
          <w:sz w:val="24"/>
          <w:szCs w:val="22"/>
          <w:lang w:val="es-ES"/>
        </w:rPr>
        <w:t>cuenta</w:t>
      </w:r>
      <w:r w:rsidRPr="009A27ED">
        <w:rPr>
          <w:rFonts w:asciiTheme="minorHAnsi" w:hAnsiTheme="minorHAnsi" w:cstheme="minorHAnsi"/>
          <w:spacing w:val="-28"/>
          <w:sz w:val="24"/>
          <w:szCs w:val="22"/>
          <w:lang w:val="es-ES"/>
        </w:rPr>
        <w:t xml:space="preserve"> </w:t>
      </w:r>
      <w:r w:rsidRPr="009A27ED">
        <w:rPr>
          <w:rFonts w:asciiTheme="minorHAnsi" w:hAnsiTheme="minorHAnsi" w:cstheme="minorHAnsi"/>
          <w:sz w:val="24"/>
          <w:szCs w:val="22"/>
          <w:lang w:val="es-ES"/>
        </w:rPr>
        <w:t>las</w:t>
      </w:r>
      <w:r w:rsidRPr="009A27ED">
        <w:rPr>
          <w:rFonts w:asciiTheme="minorHAnsi" w:hAnsiTheme="minorHAnsi" w:cstheme="minorHAnsi"/>
          <w:spacing w:val="-29"/>
          <w:sz w:val="24"/>
          <w:szCs w:val="22"/>
          <w:lang w:val="es-ES"/>
        </w:rPr>
        <w:t xml:space="preserve"> </w:t>
      </w:r>
      <w:r w:rsidRPr="009A27ED">
        <w:rPr>
          <w:rFonts w:asciiTheme="minorHAnsi" w:hAnsiTheme="minorHAnsi" w:cstheme="minorHAnsi"/>
          <w:sz w:val="24"/>
          <w:szCs w:val="22"/>
          <w:lang w:val="es-ES"/>
        </w:rPr>
        <w:t>siguientes</w:t>
      </w:r>
      <w:r w:rsidRPr="009A27ED">
        <w:rPr>
          <w:rFonts w:asciiTheme="minorHAnsi" w:hAnsiTheme="minorHAnsi" w:cstheme="minorHAnsi"/>
          <w:spacing w:val="-29"/>
          <w:sz w:val="24"/>
          <w:szCs w:val="22"/>
          <w:lang w:val="es-ES"/>
        </w:rPr>
        <w:t xml:space="preserve"> </w:t>
      </w:r>
      <w:r w:rsidRPr="009A27ED">
        <w:rPr>
          <w:rFonts w:asciiTheme="minorHAnsi" w:hAnsiTheme="minorHAnsi" w:cstheme="minorHAnsi"/>
          <w:sz w:val="24"/>
          <w:szCs w:val="22"/>
          <w:lang w:val="es-ES"/>
        </w:rPr>
        <w:t>Políticas</w:t>
      </w:r>
      <w:r w:rsidRPr="009A27ED">
        <w:rPr>
          <w:rFonts w:asciiTheme="minorHAnsi" w:hAnsiTheme="minorHAnsi" w:cstheme="minorHAnsi"/>
          <w:spacing w:val="-29"/>
          <w:sz w:val="24"/>
          <w:szCs w:val="22"/>
          <w:lang w:val="es-ES"/>
        </w:rPr>
        <w:t xml:space="preserve"> </w:t>
      </w:r>
      <w:r w:rsidRPr="009A27ED">
        <w:rPr>
          <w:rFonts w:asciiTheme="minorHAnsi" w:hAnsiTheme="minorHAnsi" w:cstheme="minorHAnsi"/>
          <w:sz w:val="24"/>
          <w:szCs w:val="22"/>
          <w:lang w:val="es-ES"/>
        </w:rPr>
        <w:t>Operativas</w:t>
      </w:r>
      <w:r w:rsidRPr="009A27ED">
        <w:rPr>
          <w:rFonts w:asciiTheme="minorHAnsi" w:hAnsiTheme="minorHAnsi" w:cstheme="minorHAnsi"/>
          <w:spacing w:val="-30"/>
          <w:sz w:val="24"/>
          <w:szCs w:val="22"/>
          <w:lang w:val="es-ES"/>
        </w:rPr>
        <w:t xml:space="preserve"> </w:t>
      </w:r>
      <w:r w:rsidRPr="009A27ED">
        <w:rPr>
          <w:rFonts w:asciiTheme="minorHAnsi" w:hAnsiTheme="minorHAnsi" w:cstheme="minorHAnsi"/>
          <w:sz w:val="24"/>
          <w:szCs w:val="22"/>
          <w:lang w:val="es-ES"/>
        </w:rPr>
        <w:t>para</w:t>
      </w:r>
      <w:r w:rsidRPr="009A27ED">
        <w:rPr>
          <w:rFonts w:asciiTheme="minorHAnsi" w:hAnsiTheme="minorHAnsi" w:cstheme="minorHAnsi"/>
          <w:spacing w:val="-28"/>
          <w:sz w:val="24"/>
          <w:szCs w:val="22"/>
          <w:lang w:val="es-ES"/>
        </w:rPr>
        <w:t xml:space="preserve"> </w:t>
      </w:r>
      <w:r w:rsidRPr="009A27ED">
        <w:rPr>
          <w:rFonts w:asciiTheme="minorHAnsi" w:hAnsiTheme="minorHAnsi" w:cstheme="minorHAnsi"/>
          <w:sz w:val="24"/>
          <w:szCs w:val="22"/>
          <w:lang w:val="es-ES"/>
        </w:rPr>
        <w:t>el</w:t>
      </w:r>
      <w:r w:rsidRPr="009A27ED">
        <w:rPr>
          <w:rFonts w:asciiTheme="minorHAnsi" w:hAnsiTheme="minorHAnsi" w:cstheme="minorHAnsi"/>
          <w:spacing w:val="-28"/>
          <w:sz w:val="24"/>
          <w:szCs w:val="22"/>
          <w:lang w:val="es-ES"/>
        </w:rPr>
        <w:t xml:space="preserve"> </w:t>
      </w:r>
      <w:r w:rsidRPr="009A27ED">
        <w:rPr>
          <w:rFonts w:asciiTheme="minorHAnsi" w:hAnsiTheme="minorHAnsi" w:cstheme="minorHAnsi"/>
          <w:sz w:val="24"/>
          <w:szCs w:val="22"/>
          <w:lang w:val="es-ES"/>
        </w:rPr>
        <w:t>desarrollo</w:t>
      </w:r>
      <w:r w:rsidRPr="009A27ED">
        <w:rPr>
          <w:rFonts w:asciiTheme="minorHAnsi" w:hAnsiTheme="minorHAnsi" w:cstheme="minorHAnsi"/>
          <w:spacing w:val="-27"/>
          <w:sz w:val="24"/>
          <w:szCs w:val="22"/>
          <w:lang w:val="es-ES"/>
        </w:rPr>
        <w:t xml:space="preserve"> </w:t>
      </w:r>
      <w:r w:rsidRPr="009A27ED">
        <w:rPr>
          <w:rFonts w:asciiTheme="minorHAnsi" w:hAnsiTheme="minorHAnsi" w:cstheme="minorHAnsi"/>
          <w:sz w:val="24"/>
          <w:szCs w:val="22"/>
          <w:lang w:val="es-ES"/>
        </w:rPr>
        <w:t>del</w:t>
      </w:r>
      <w:r w:rsidRPr="009A27ED">
        <w:rPr>
          <w:rFonts w:asciiTheme="minorHAnsi" w:hAnsiTheme="minorHAnsi" w:cstheme="minorHAnsi"/>
          <w:spacing w:val="-29"/>
          <w:sz w:val="24"/>
          <w:szCs w:val="22"/>
          <w:lang w:val="es-ES"/>
        </w:rPr>
        <w:t xml:space="preserve"> </w:t>
      </w:r>
      <w:r w:rsidRPr="009A27ED">
        <w:rPr>
          <w:rFonts w:asciiTheme="minorHAnsi" w:hAnsiTheme="minorHAnsi" w:cstheme="minorHAnsi"/>
          <w:sz w:val="24"/>
          <w:szCs w:val="22"/>
          <w:lang w:val="es-ES"/>
        </w:rPr>
        <w:t>MGAS:</w:t>
      </w:r>
    </w:p>
    <w:p w14:paraId="65611B0C" w14:textId="77777777" w:rsidR="00F43DB6" w:rsidRPr="009A27ED" w:rsidRDefault="00F43DB6" w:rsidP="00CD4C75">
      <w:pPr>
        <w:pStyle w:val="Textoindependiente"/>
        <w:spacing w:line="360" w:lineRule="auto"/>
        <w:ind w:right="114"/>
        <w:rPr>
          <w:rFonts w:asciiTheme="minorHAnsi" w:hAnsiTheme="minorHAnsi" w:cstheme="minorHAnsi"/>
          <w:szCs w:val="22"/>
          <w:lang w:val="es-ES"/>
        </w:rPr>
      </w:pPr>
    </w:p>
    <w:p w14:paraId="3A62ECFB" w14:textId="6A72F2CD" w:rsidR="00F43DB6" w:rsidRPr="009A27ED" w:rsidRDefault="00F43DB6" w:rsidP="00F43DB6">
      <w:pPr>
        <w:pStyle w:val="Descripcin"/>
        <w:keepNext/>
        <w:spacing w:line="360" w:lineRule="auto"/>
      </w:pPr>
      <w:bookmarkStart w:id="221" w:name="_Toc111887449"/>
      <w:r w:rsidRPr="009A27ED">
        <w:rPr>
          <w:rFonts w:ascii="Times New Roman" w:eastAsia="Times New Roman" w:hAnsi="Times New Roman"/>
          <w:sz w:val="24"/>
        </w:rPr>
        <w:t xml:space="preserve">Cuadro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Cuadro \* ARABIC </w:instrText>
      </w:r>
      <w:r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39</w:t>
      </w:r>
      <w:r w:rsidRPr="009A27ED">
        <w:rPr>
          <w:rFonts w:ascii="Times New Roman" w:eastAsia="Times New Roman" w:hAnsi="Times New Roman"/>
          <w:sz w:val="24"/>
        </w:rPr>
        <w:fldChar w:fldCharType="end"/>
      </w:r>
      <w:r w:rsidR="0007781E" w:rsidRPr="009A27ED">
        <w:rPr>
          <w:rFonts w:ascii="Times New Roman" w:eastAsia="Times New Roman" w:hAnsi="Times New Roman"/>
          <w:sz w:val="24"/>
        </w:rPr>
        <w:t>. Políticas Operativas del Banco Mundial aplicables al Programa REDD+ en RD</w:t>
      </w:r>
      <w:bookmarkEnd w:id="221"/>
      <w:r w:rsidR="0007781E" w:rsidRPr="009A27ED">
        <w:rPr>
          <w:rFonts w:ascii="Times New Roman" w:eastAsia="Times New Roman" w:hAnsi="Times New Roman"/>
          <w:sz w:val="24"/>
        </w:rPr>
        <w:t xml:space="preserve"> </w:t>
      </w:r>
    </w:p>
    <w:tbl>
      <w:tblPr>
        <w:tblStyle w:val="TableNormal1"/>
        <w:tblW w:w="0" w:type="auto"/>
        <w:tblInd w:w="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829"/>
      </w:tblGrid>
      <w:tr w:rsidR="004A289C" w:rsidRPr="009A27ED" w14:paraId="263CEF44" w14:textId="77777777" w:rsidTr="00DC1344">
        <w:trPr>
          <w:trHeight w:val="661"/>
        </w:trPr>
        <w:tc>
          <w:tcPr>
            <w:tcW w:w="8829" w:type="dxa"/>
            <w:shd w:val="clear" w:color="auto" w:fill="006FC0"/>
          </w:tcPr>
          <w:p w14:paraId="29D33249" w14:textId="021330C9" w:rsidR="004A289C" w:rsidRPr="009A27ED" w:rsidRDefault="00E67CB0" w:rsidP="00E67CB0">
            <w:pPr>
              <w:pStyle w:val="Descripcin"/>
              <w:jc w:val="center"/>
              <w:rPr>
                <w:b/>
                <w:sz w:val="20"/>
                <w:szCs w:val="20"/>
              </w:rPr>
            </w:pPr>
            <w:r w:rsidRPr="009A27ED">
              <w:rPr>
                <w:b/>
                <w:color w:val="FFFFFF"/>
                <w:sz w:val="20"/>
                <w:szCs w:val="20"/>
              </w:rPr>
              <w:t xml:space="preserve"> </w:t>
            </w:r>
            <w:r w:rsidR="004A289C" w:rsidRPr="009A27ED">
              <w:rPr>
                <w:b/>
                <w:color w:val="FFFFFF"/>
                <w:sz w:val="20"/>
                <w:szCs w:val="20"/>
              </w:rPr>
              <w:t>Política</w:t>
            </w:r>
            <w:r w:rsidRPr="009A27ED">
              <w:rPr>
                <w:b/>
                <w:color w:val="FFFFFF"/>
                <w:sz w:val="20"/>
                <w:szCs w:val="20"/>
              </w:rPr>
              <w:t>s Operativas</w:t>
            </w:r>
            <w:r w:rsidR="004A289C" w:rsidRPr="009A27ED">
              <w:rPr>
                <w:b/>
                <w:color w:val="FFFFFF"/>
                <w:sz w:val="20"/>
                <w:szCs w:val="20"/>
              </w:rPr>
              <w:t xml:space="preserve"> del Banc</w:t>
            </w:r>
            <w:r w:rsidR="0007781E" w:rsidRPr="009A27ED">
              <w:rPr>
                <w:b/>
                <w:color w:val="FFFFFF"/>
                <w:sz w:val="20"/>
                <w:szCs w:val="20"/>
              </w:rPr>
              <w:t xml:space="preserve">o Mundial aplicables al Programa </w:t>
            </w:r>
            <w:r w:rsidR="004A289C" w:rsidRPr="009A27ED">
              <w:rPr>
                <w:b/>
                <w:color w:val="FFFFFF"/>
                <w:sz w:val="20"/>
                <w:szCs w:val="20"/>
              </w:rPr>
              <w:t xml:space="preserve"> REDD+ en RD</w:t>
            </w:r>
          </w:p>
        </w:tc>
      </w:tr>
      <w:tr w:rsidR="004A289C" w:rsidRPr="009A27ED" w14:paraId="2E08348B" w14:textId="77777777" w:rsidTr="00CD4C75">
        <w:trPr>
          <w:trHeight w:val="2752"/>
        </w:trPr>
        <w:tc>
          <w:tcPr>
            <w:tcW w:w="8829" w:type="dxa"/>
          </w:tcPr>
          <w:p w14:paraId="0AB3C7E4" w14:textId="16B7D6F1" w:rsidR="004A289C" w:rsidRPr="009A27ED" w:rsidRDefault="004A289C" w:rsidP="000A4C43">
            <w:pPr>
              <w:pStyle w:val="TableParagraph"/>
              <w:spacing w:after="120"/>
              <w:ind w:left="107" w:right="91"/>
              <w:rPr>
                <w:rFonts w:asciiTheme="minorHAnsi" w:hAnsiTheme="minorHAnsi" w:cstheme="minorHAnsi"/>
                <w:sz w:val="20"/>
                <w:szCs w:val="20"/>
                <w:lang w:val="es-ES"/>
              </w:rPr>
            </w:pPr>
            <w:r w:rsidRPr="009A27ED">
              <w:rPr>
                <w:rFonts w:asciiTheme="minorHAnsi" w:hAnsiTheme="minorHAnsi" w:cstheme="minorHAnsi"/>
                <w:b/>
                <w:w w:val="95"/>
                <w:sz w:val="20"/>
                <w:szCs w:val="20"/>
                <w:u w:val="single"/>
                <w:lang w:val="es-ES"/>
              </w:rPr>
              <w:t>Evaluación</w:t>
            </w:r>
            <w:r w:rsidRPr="009A27ED">
              <w:rPr>
                <w:rFonts w:asciiTheme="minorHAnsi" w:hAnsiTheme="minorHAnsi" w:cstheme="minorHAnsi"/>
                <w:b/>
                <w:spacing w:val="-11"/>
                <w:w w:val="95"/>
                <w:sz w:val="20"/>
                <w:szCs w:val="20"/>
                <w:u w:val="single"/>
                <w:lang w:val="es-ES"/>
              </w:rPr>
              <w:t xml:space="preserve"> </w:t>
            </w:r>
            <w:r w:rsidRPr="009A27ED">
              <w:rPr>
                <w:rFonts w:asciiTheme="minorHAnsi" w:hAnsiTheme="minorHAnsi" w:cstheme="minorHAnsi"/>
                <w:b/>
                <w:w w:val="95"/>
                <w:sz w:val="20"/>
                <w:szCs w:val="20"/>
                <w:u w:val="single"/>
                <w:lang w:val="es-ES"/>
              </w:rPr>
              <w:t>Ambiental</w:t>
            </w:r>
            <w:r w:rsidRPr="009A27ED">
              <w:rPr>
                <w:rFonts w:asciiTheme="minorHAnsi" w:hAnsiTheme="minorHAnsi" w:cstheme="minorHAnsi"/>
                <w:b/>
                <w:spacing w:val="-11"/>
                <w:w w:val="95"/>
                <w:sz w:val="20"/>
                <w:szCs w:val="20"/>
                <w:u w:val="single"/>
                <w:lang w:val="es-ES"/>
              </w:rPr>
              <w:t xml:space="preserve"> </w:t>
            </w:r>
            <w:r w:rsidRPr="009A27ED">
              <w:rPr>
                <w:rFonts w:asciiTheme="minorHAnsi" w:hAnsiTheme="minorHAnsi" w:cstheme="minorHAnsi"/>
                <w:b/>
                <w:w w:val="95"/>
                <w:sz w:val="20"/>
                <w:szCs w:val="20"/>
                <w:u w:val="single"/>
                <w:lang w:val="es-ES"/>
              </w:rPr>
              <w:t>(4.01)</w:t>
            </w:r>
            <w:r w:rsidRPr="009A27ED">
              <w:rPr>
                <w:rFonts w:asciiTheme="minorHAnsi" w:hAnsiTheme="minorHAnsi" w:cstheme="minorHAnsi"/>
                <w:b/>
                <w:w w:val="95"/>
                <w:sz w:val="20"/>
                <w:szCs w:val="20"/>
                <w:lang w:val="es-ES"/>
              </w:rPr>
              <w:t>:</w:t>
            </w:r>
            <w:r w:rsidRPr="009A27ED">
              <w:rPr>
                <w:rFonts w:asciiTheme="minorHAnsi" w:hAnsiTheme="minorHAnsi" w:cstheme="minorHAnsi"/>
                <w:spacing w:val="-11"/>
                <w:w w:val="95"/>
                <w:sz w:val="20"/>
                <w:szCs w:val="20"/>
                <w:lang w:val="es-ES"/>
              </w:rPr>
              <w:t xml:space="preserve"> </w:t>
            </w:r>
            <w:r w:rsidRPr="009A27ED">
              <w:rPr>
                <w:rFonts w:asciiTheme="minorHAnsi" w:hAnsiTheme="minorHAnsi" w:cstheme="minorHAnsi"/>
                <w:w w:val="95"/>
                <w:sz w:val="20"/>
                <w:szCs w:val="20"/>
                <w:lang w:val="es-ES"/>
              </w:rPr>
              <w:t>El</w:t>
            </w:r>
            <w:r w:rsidRPr="009A27ED">
              <w:rPr>
                <w:rFonts w:asciiTheme="minorHAnsi" w:hAnsiTheme="minorHAnsi" w:cstheme="minorHAnsi"/>
                <w:spacing w:val="-10"/>
                <w:w w:val="95"/>
                <w:sz w:val="20"/>
                <w:szCs w:val="20"/>
                <w:lang w:val="es-ES"/>
              </w:rPr>
              <w:t xml:space="preserve"> </w:t>
            </w:r>
            <w:r w:rsidRPr="009A27ED">
              <w:rPr>
                <w:rFonts w:asciiTheme="minorHAnsi" w:hAnsiTheme="minorHAnsi" w:cstheme="minorHAnsi"/>
                <w:w w:val="95"/>
                <w:sz w:val="20"/>
                <w:szCs w:val="20"/>
                <w:lang w:val="es-ES"/>
              </w:rPr>
              <w:t>Banco</w:t>
            </w:r>
            <w:r w:rsidRPr="009A27ED">
              <w:rPr>
                <w:rFonts w:asciiTheme="minorHAnsi" w:hAnsiTheme="minorHAnsi" w:cstheme="minorHAnsi"/>
                <w:spacing w:val="-11"/>
                <w:w w:val="95"/>
                <w:sz w:val="20"/>
                <w:szCs w:val="20"/>
                <w:lang w:val="es-ES"/>
              </w:rPr>
              <w:t xml:space="preserve"> </w:t>
            </w:r>
            <w:r w:rsidRPr="009A27ED">
              <w:rPr>
                <w:rFonts w:asciiTheme="minorHAnsi" w:hAnsiTheme="minorHAnsi" w:cstheme="minorHAnsi"/>
                <w:w w:val="95"/>
                <w:sz w:val="20"/>
                <w:szCs w:val="20"/>
                <w:lang w:val="es-ES"/>
              </w:rPr>
              <w:t>exige</w:t>
            </w:r>
            <w:r w:rsidRPr="009A27ED">
              <w:rPr>
                <w:rFonts w:asciiTheme="minorHAnsi" w:hAnsiTheme="minorHAnsi" w:cstheme="minorHAnsi"/>
                <w:spacing w:val="-12"/>
                <w:w w:val="95"/>
                <w:sz w:val="20"/>
                <w:szCs w:val="20"/>
                <w:lang w:val="es-ES"/>
              </w:rPr>
              <w:t xml:space="preserve"> </w:t>
            </w:r>
            <w:r w:rsidRPr="009A27ED">
              <w:rPr>
                <w:rFonts w:asciiTheme="minorHAnsi" w:hAnsiTheme="minorHAnsi" w:cstheme="minorHAnsi"/>
                <w:w w:val="95"/>
                <w:sz w:val="20"/>
                <w:szCs w:val="20"/>
                <w:lang w:val="es-ES"/>
              </w:rPr>
              <w:t>que</w:t>
            </w:r>
            <w:r w:rsidRPr="009A27ED">
              <w:rPr>
                <w:rFonts w:asciiTheme="minorHAnsi" w:hAnsiTheme="minorHAnsi" w:cstheme="minorHAnsi"/>
                <w:spacing w:val="-9"/>
                <w:w w:val="95"/>
                <w:sz w:val="20"/>
                <w:szCs w:val="20"/>
                <w:lang w:val="es-ES"/>
              </w:rPr>
              <w:t xml:space="preserve"> </w:t>
            </w:r>
            <w:r w:rsidRPr="009A27ED">
              <w:rPr>
                <w:rFonts w:asciiTheme="minorHAnsi" w:hAnsiTheme="minorHAnsi" w:cstheme="minorHAnsi"/>
                <w:w w:val="95"/>
                <w:sz w:val="20"/>
                <w:szCs w:val="20"/>
                <w:lang w:val="es-ES"/>
              </w:rPr>
              <w:t>todos</w:t>
            </w:r>
            <w:r w:rsidRPr="009A27ED">
              <w:rPr>
                <w:rFonts w:asciiTheme="minorHAnsi" w:hAnsiTheme="minorHAnsi" w:cstheme="minorHAnsi"/>
                <w:spacing w:val="-11"/>
                <w:w w:val="95"/>
                <w:sz w:val="20"/>
                <w:szCs w:val="20"/>
                <w:lang w:val="es-ES"/>
              </w:rPr>
              <w:t xml:space="preserve"> </w:t>
            </w:r>
            <w:r w:rsidRPr="009A27ED">
              <w:rPr>
                <w:rFonts w:asciiTheme="minorHAnsi" w:hAnsiTheme="minorHAnsi" w:cstheme="minorHAnsi"/>
                <w:w w:val="95"/>
                <w:sz w:val="20"/>
                <w:szCs w:val="20"/>
                <w:lang w:val="es-ES"/>
              </w:rPr>
              <w:t>los</w:t>
            </w:r>
            <w:r w:rsidRPr="009A27ED">
              <w:rPr>
                <w:rFonts w:asciiTheme="minorHAnsi" w:hAnsiTheme="minorHAnsi" w:cstheme="minorHAnsi"/>
                <w:spacing w:val="-10"/>
                <w:w w:val="95"/>
                <w:sz w:val="20"/>
                <w:szCs w:val="20"/>
                <w:lang w:val="es-ES"/>
              </w:rPr>
              <w:t xml:space="preserve"> </w:t>
            </w:r>
            <w:r w:rsidRPr="009A27ED">
              <w:rPr>
                <w:rFonts w:asciiTheme="minorHAnsi" w:hAnsiTheme="minorHAnsi" w:cstheme="minorHAnsi"/>
                <w:w w:val="95"/>
                <w:sz w:val="20"/>
                <w:szCs w:val="20"/>
                <w:lang w:val="es-ES"/>
              </w:rPr>
              <w:t>proyectos</w:t>
            </w:r>
            <w:r w:rsidRPr="009A27ED">
              <w:rPr>
                <w:rFonts w:asciiTheme="minorHAnsi" w:hAnsiTheme="minorHAnsi" w:cstheme="minorHAnsi"/>
                <w:spacing w:val="-10"/>
                <w:w w:val="95"/>
                <w:sz w:val="20"/>
                <w:szCs w:val="20"/>
                <w:lang w:val="es-ES"/>
              </w:rPr>
              <w:t xml:space="preserve"> </w:t>
            </w:r>
            <w:r w:rsidRPr="009A27ED">
              <w:rPr>
                <w:rFonts w:asciiTheme="minorHAnsi" w:hAnsiTheme="minorHAnsi" w:cstheme="minorHAnsi"/>
                <w:w w:val="95"/>
                <w:sz w:val="20"/>
                <w:szCs w:val="20"/>
                <w:lang w:val="es-ES"/>
              </w:rPr>
              <w:t>propuestos</w:t>
            </w:r>
            <w:r w:rsidRPr="009A27ED">
              <w:rPr>
                <w:rFonts w:asciiTheme="minorHAnsi" w:hAnsiTheme="minorHAnsi" w:cstheme="minorHAnsi"/>
                <w:spacing w:val="-10"/>
                <w:w w:val="95"/>
                <w:sz w:val="20"/>
                <w:szCs w:val="20"/>
                <w:lang w:val="es-ES"/>
              </w:rPr>
              <w:t xml:space="preserve"> </w:t>
            </w:r>
            <w:r w:rsidRPr="009A27ED">
              <w:rPr>
                <w:rFonts w:asciiTheme="minorHAnsi" w:hAnsiTheme="minorHAnsi" w:cstheme="minorHAnsi"/>
                <w:w w:val="95"/>
                <w:sz w:val="20"/>
                <w:szCs w:val="20"/>
                <w:lang w:val="es-ES"/>
              </w:rPr>
              <w:t>para</w:t>
            </w:r>
            <w:r w:rsidRPr="009A27ED">
              <w:rPr>
                <w:rFonts w:asciiTheme="minorHAnsi" w:hAnsiTheme="minorHAnsi" w:cstheme="minorHAnsi"/>
                <w:spacing w:val="-13"/>
                <w:w w:val="95"/>
                <w:sz w:val="20"/>
                <w:szCs w:val="20"/>
                <w:lang w:val="es-ES"/>
              </w:rPr>
              <w:t xml:space="preserve"> </w:t>
            </w:r>
            <w:r w:rsidRPr="009A27ED">
              <w:rPr>
                <w:rFonts w:asciiTheme="minorHAnsi" w:hAnsiTheme="minorHAnsi" w:cstheme="minorHAnsi"/>
                <w:w w:val="95"/>
                <w:sz w:val="20"/>
                <w:szCs w:val="20"/>
                <w:lang w:val="es-ES"/>
              </w:rPr>
              <w:t>obtener financiamiento</w:t>
            </w:r>
            <w:r w:rsidRPr="009A27ED">
              <w:rPr>
                <w:rFonts w:asciiTheme="minorHAnsi" w:hAnsiTheme="minorHAnsi" w:cstheme="minorHAnsi"/>
                <w:spacing w:val="-23"/>
                <w:w w:val="95"/>
                <w:sz w:val="20"/>
                <w:szCs w:val="20"/>
                <w:lang w:val="es-ES"/>
              </w:rPr>
              <w:t xml:space="preserve"> </w:t>
            </w:r>
            <w:r w:rsidRPr="009A27ED">
              <w:rPr>
                <w:rFonts w:asciiTheme="minorHAnsi" w:hAnsiTheme="minorHAnsi" w:cstheme="minorHAnsi"/>
                <w:w w:val="95"/>
                <w:sz w:val="20"/>
                <w:szCs w:val="20"/>
                <w:lang w:val="es-ES"/>
              </w:rPr>
              <w:t>se</w:t>
            </w:r>
            <w:r w:rsidRPr="009A27ED">
              <w:rPr>
                <w:rFonts w:asciiTheme="minorHAnsi" w:hAnsiTheme="minorHAnsi" w:cstheme="minorHAnsi"/>
                <w:spacing w:val="-22"/>
                <w:w w:val="95"/>
                <w:sz w:val="20"/>
                <w:szCs w:val="20"/>
                <w:lang w:val="es-ES"/>
              </w:rPr>
              <w:t xml:space="preserve"> </w:t>
            </w:r>
            <w:r w:rsidRPr="009A27ED">
              <w:rPr>
                <w:rFonts w:asciiTheme="minorHAnsi" w:hAnsiTheme="minorHAnsi" w:cstheme="minorHAnsi"/>
                <w:w w:val="95"/>
                <w:sz w:val="20"/>
                <w:szCs w:val="20"/>
                <w:lang w:val="es-ES"/>
              </w:rPr>
              <w:t>sometan</w:t>
            </w:r>
            <w:r w:rsidRPr="009A27ED">
              <w:rPr>
                <w:rFonts w:asciiTheme="minorHAnsi" w:hAnsiTheme="minorHAnsi" w:cstheme="minorHAnsi"/>
                <w:spacing w:val="-24"/>
                <w:w w:val="95"/>
                <w:sz w:val="20"/>
                <w:szCs w:val="20"/>
                <w:lang w:val="es-ES"/>
              </w:rPr>
              <w:t xml:space="preserve"> </w:t>
            </w:r>
            <w:r w:rsidRPr="009A27ED">
              <w:rPr>
                <w:rFonts w:asciiTheme="minorHAnsi" w:hAnsiTheme="minorHAnsi" w:cstheme="minorHAnsi"/>
                <w:w w:val="95"/>
                <w:sz w:val="20"/>
                <w:szCs w:val="20"/>
                <w:lang w:val="es-ES"/>
              </w:rPr>
              <w:t>a</w:t>
            </w:r>
            <w:r w:rsidRPr="009A27ED">
              <w:rPr>
                <w:rFonts w:asciiTheme="minorHAnsi" w:hAnsiTheme="minorHAnsi" w:cstheme="minorHAnsi"/>
                <w:spacing w:val="-21"/>
                <w:w w:val="95"/>
                <w:sz w:val="20"/>
                <w:szCs w:val="20"/>
                <w:lang w:val="es-ES"/>
              </w:rPr>
              <w:t xml:space="preserve"> </w:t>
            </w:r>
            <w:r w:rsidRPr="009A27ED">
              <w:rPr>
                <w:rFonts w:asciiTheme="minorHAnsi" w:hAnsiTheme="minorHAnsi" w:cstheme="minorHAnsi"/>
                <w:w w:val="95"/>
                <w:sz w:val="20"/>
                <w:szCs w:val="20"/>
                <w:lang w:val="es-ES"/>
              </w:rPr>
              <w:t>una</w:t>
            </w:r>
            <w:r w:rsidRPr="009A27ED">
              <w:rPr>
                <w:rFonts w:asciiTheme="minorHAnsi" w:hAnsiTheme="minorHAnsi" w:cstheme="minorHAnsi"/>
                <w:spacing w:val="-24"/>
                <w:w w:val="95"/>
                <w:sz w:val="20"/>
                <w:szCs w:val="20"/>
                <w:lang w:val="es-ES"/>
              </w:rPr>
              <w:t xml:space="preserve"> </w:t>
            </w:r>
            <w:r w:rsidRPr="009A27ED">
              <w:rPr>
                <w:rFonts w:asciiTheme="minorHAnsi" w:hAnsiTheme="minorHAnsi" w:cstheme="minorHAnsi"/>
                <w:w w:val="95"/>
                <w:sz w:val="20"/>
                <w:szCs w:val="20"/>
                <w:lang w:val="es-ES"/>
              </w:rPr>
              <w:t>Evaluación</w:t>
            </w:r>
            <w:r w:rsidRPr="009A27ED">
              <w:rPr>
                <w:rFonts w:asciiTheme="minorHAnsi" w:hAnsiTheme="minorHAnsi" w:cstheme="minorHAnsi"/>
                <w:spacing w:val="-22"/>
                <w:w w:val="95"/>
                <w:sz w:val="20"/>
                <w:szCs w:val="20"/>
                <w:lang w:val="es-ES"/>
              </w:rPr>
              <w:t xml:space="preserve"> </w:t>
            </w:r>
            <w:r w:rsidRPr="009A27ED">
              <w:rPr>
                <w:rFonts w:asciiTheme="minorHAnsi" w:hAnsiTheme="minorHAnsi" w:cstheme="minorHAnsi"/>
                <w:w w:val="95"/>
                <w:sz w:val="20"/>
                <w:szCs w:val="20"/>
                <w:lang w:val="es-ES"/>
              </w:rPr>
              <w:t>Ambiental</w:t>
            </w:r>
            <w:r w:rsidR="00124B63" w:rsidRPr="009A27ED">
              <w:rPr>
                <w:rFonts w:asciiTheme="minorHAnsi" w:hAnsiTheme="minorHAnsi" w:cstheme="minorHAnsi"/>
                <w:w w:val="95"/>
                <w:sz w:val="20"/>
                <w:szCs w:val="20"/>
                <w:lang w:val="es-ES"/>
              </w:rPr>
              <w:t xml:space="preserve"> y Social</w:t>
            </w:r>
            <w:r w:rsidRPr="009A27ED">
              <w:rPr>
                <w:rFonts w:asciiTheme="minorHAnsi" w:hAnsiTheme="minorHAnsi" w:cstheme="minorHAnsi"/>
                <w:spacing w:val="-22"/>
                <w:w w:val="95"/>
                <w:sz w:val="20"/>
                <w:szCs w:val="20"/>
                <w:lang w:val="es-ES"/>
              </w:rPr>
              <w:t xml:space="preserve"> </w:t>
            </w:r>
            <w:r w:rsidRPr="009A27ED">
              <w:rPr>
                <w:rFonts w:asciiTheme="minorHAnsi" w:hAnsiTheme="minorHAnsi" w:cstheme="minorHAnsi"/>
                <w:w w:val="95"/>
                <w:sz w:val="20"/>
                <w:szCs w:val="20"/>
                <w:lang w:val="es-ES"/>
              </w:rPr>
              <w:t>(EA</w:t>
            </w:r>
            <w:r w:rsidR="00897D3E" w:rsidRPr="009A27ED">
              <w:rPr>
                <w:rFonts w:asciiTheme="minorHAnsi" w:hAnsiTheme="minorHAnsi" w:cstheme="minorHAnsi"/>
                <w:w w:val="95"/>
                <w:sz w:val="20"/>
                <w:szCs w:val="20"/>
                <w:lang w:val="es-ES"/>
              </w:rPr>
              <w:t>S</w:t>
            </w:r>
            <w:r w:rsidRPr="009A27ED">
              <w:rPr>
                <w:rFonts w:asciiTheme="minorHAnsi" w:hAnsiTheme="minorHAnsi" w:cstheme="minorHAnsi"/>
                <w:w w:val="95"/>
                <w:sz w:val="20"/>
                <w:szCs w:val="20"/>
                <w:lang w:val="es-ES"/>
              </w:rPr>
              <w:t>)</w:t>
            </w:r>
            <w:r w:rsidRPr="009A27ED">
              <w:rPr>
                <w:rFonts w:asciiTheme="minorHAnsi" w:hAnsiTheme="minorHAnsi" w:cstheme="minorHAnsi"/>
                <w:spacing w:val="-22"/>
                <w:w w:val="95"/>
                <w:sz w:val="20"/>
                <w:szCs w:val="20"/>
                <w:lang w:val="es-ES"/>
              </w:rPr>
              <w:t xml:space="preserve"> </w:t>
            </w:r>
            <w:r w:rsidRPr="009A27ED">
              <w:rPr>
                <w:rFonts w:asciiTheme="minorHAnsi" w:hAnsiTheme="minorHAnsi" w:cstheme="minorHAnsi"/>
                <w:w w:val="95"/>
                <w:sz w:val="20"/>
                <w:szCs w:val="20"/>
                <w:lang w:val="es-ES"/>
              </w:rPr>
              <w:t>con</w:t>
            </w:r>
            <w:r w:rsidRPr="009A27ED">
              <w:rPr>
                <w:rFonts w:asciiTheme="minorHAnsi" w:hAnsiTheme="minorHAnsi" w:cstheme="minorHAnsi"/>
                <w:spacing w:val="-24"/>
                <w:w w:val="95"/>
                <w:sz w:val="20"/>
                <w:szCs w:val="20"/>
                <w:lang w:val="es-ES"/>
              </w:rPr>
              <w:t xml:space="preserve"> </w:t>
            </w:r>
            <w:r w:rsidRPr="009A27ED">
              <w:rPr>
                <w:rFonts w:asciiTheme="minorHAnsi" w:hAnsiTheme="minorHAnsi" w:cstheme="minorHAnsi"/>
                <w:w w:val="95"/>
                <w:sz w:val="20"/>
                <w:szCs w:val="20"/>
                <w:lang w:val="es-ES"/>
              </w:rPr>
              <w:t>el</w:t>
            </w:r>
            <w:r w:rsidRPr="009A27ED">
              <w:rPr>
                <w:rFonts w:asciiTheme="minorHAnsi" w:hAnsiTheme="minorHAnsi" w:cstheme="minorHAnsi"/>
                <w:spacing w:val="-21"/>
                <w:w w:val="95"/>
                <w:sz w:val="20"/>
                <w:szCs w:val="20"/>
                <w:lang w:val="es-ES"/>
              </w:rPr>
              <w:t xml:space="preserve"> </w:t>
            </w:r>
            <w:r w:rsidRPr="009A27ED">
              <w:rPr>
                <w:rFonts w:asciiTheme="minorHAnsi" w:hAnsiTheme="minorHAnsi" w:cstheme="minorHAnsi"/>
                <w:w w:val="95"/>
                <w:sz w:val="20"/>
                <w:szCs w:val="20"/>
                <w:lang w:val="es-ES"/>
              </w:rPr>
              <w:t>fin</w:t>
            </w:r>
            <w:r w:rsidRPr="009A27ED">
              <w:rPr>
                <w:rFonts w:asciiTheme="minorHAnsi" w:hAnsiTheme="minorHAnsi" w:cstheme="minorHAnsi"/>
                <w:spacing w:val="-24"/>
                <w:w w:val="95"/>
                <w:sz w:val="20"/>
                <w:szCs w:val="20"/>
                <w:lang w:val="es-ES"/>
              </w:rPr>
              <w:t xml:space="preserve"> </w:t>
            </w:r>
            <w:r w:rsidRPr="009A27ED">
              <w:rPr>
                <w:rFonts w:asciiTheme="minorHAnsi" w:hAnsiTheme="minorHAnsi" w:cstheme="minorHAnsi"/>
                <w:w w:val="95"/>
                <w:sz w:val="20"/>
                <w:szCs w:val="20"/>
                <w:lang w:val="es-ES"/>
              </w:rPr>
              <w:t>de</w:t>
            </w:r>
            <w:r w:rsidRPr="009A27ED">
              <w:rPr>
                <w:rFonts w:asciiTheme="minorHAnsi" w:hAnsiTheme="minorHAnsi" w:cstheme="minorHAnsi"/>
                <w:spacing w:val="-23"/>
                <w:w w:val="95"/>
                <w:sz w:val="20"/>
                <w:szCs w:val="20"/>
                <w:lang w:val="es-ES"/>
              </w:rPr>
              <w:t xml:space="preserve"> </w:t>
            </w:r>
            <w:r w:rsidRPr="009A27ED">
              <w:rPr>
                <w:rFonts w:asciiTheme="minorHAnsi" w:hAnsiTheme="minorHAnsi" w:cstheme="minorHAnsi"/>
                <w:w w:val="95"/>
                <w:sz w:val="20"/>
                <w:szCs w:val="20"/>
                <w:lang w:val="es-ES"/>
              </w:rPr>
              <w:t>garantizar</w:t>
            </w:r>
            <w:r w:rsidRPr="009A27ED">
              <w:rPr>
                <w:rFonts w:asciiTheme="minorHAnsi" w:hAnsiTheme="minorHAnsi" w:cstheme="minorHAnsi"/>
                <w:spacing w:val="-22"/>
                <w:w w:val="95"/>
                <w:sz w:val="20"/>
                <w:szCs w:val="20"/>
                <w:lang w:val="es-ES"/>
              </w:rPr>
              <w:t xml:space="preserve"> </w:t>
            </w:r>
            <w:r w:rsidRPr="009A27ED">
              <w:rPr>
                <w:rFonts w:asciiTheme="minorHAnsi" w:hAnsiTheme="minorHAnsi" w:cstheme="minorHAnsi"/>
                <w:w w:val="95"/>
                <w:sz w:val="20"/>
                <w:szCs w:val="20"/>
                <w:lang w:val="es-ES"/>
              </w:rPr>
              <w:t>su</w:t>
            </w:r>
            <w:r w:rsidRPr="009A27ED">
              <w:rPr>
                <w:rFonts w:asciiTheme="minorHAnsi" w:hAnsiTheme="minorHAnsi" w:cstheme="minorHAnsi"/>
                <w:spacing w:val="-22"/>
                <w:w w:val="95"/>
                <w:sz w:val="20"/>
                <w:szCs w:val="20"/>
                <w:lang w:val="es-ES"/>
              </w:rPr>
              <w:t xml:space="preserve"> </w:t>
            </w:r>
            <w:r w:rsidRPr="009A27ED">
              <w:rPr>
                <w:rFonts w:asciiTheme="minorHAnsi" w:hAnsiTheme="minorHAnsi" w:cstheme="minorHAnsi"/>
                <w:w w:val="95"/>
                <w:sz w:val="20"/>
                <w:szCs w:val="20"/>
                <w:lang w:val="es-ES"/>
              </w:rPr>
              <w:t>solidez</w:t>
            </w:r>
            <w:r w:rsidRPr="009A27ED">
              <w:rPr>
                <w:rFonts w:asciiTheme="minorHAnsi" w:hAnsiTheme="minorHAnsi" w:cstheme="minorHAnsi"/>
                <w:spacing w:val="-24"/>
                <w:w w:val="95"/>
                <w:sz w:val="20"/>
                <w:szCs w:val="20"/>
                <w:lang w:val="es-ES"/>
              </w:rPr>
              <w:t xml:space="preserve"> </w:t>
            </w:r>
            <w:r w:rsidRPr="009A27ED">
              <w:rPr>
                <w:rFonts w:asciiTheme="minorHAnsi" w:hAnsiTheme="minorHAnsi" w:cstheme="minorHAnsi"/>
                <w:w w:val="95"/>
                <w:sz w:val="20"/>
                <w:szCs w:val="20"/>
                <w:lang w:val="es-ES"/>
              </w:rPr>
              <w:t xml:space="preserve">y </w:t>
            </w:r>
            <w:r w:rsidRPr="009A27ED">
              <w:rPr>
                <w:rFonts w:asciiTheme="minorHAnsi" w:hAnsiTheme="minorHAnsi" w:cstheme="minorHAnsi"/>
                <w:sz w:val="20"/>
                <w:szCs w:val="20"/>
                <w:lang w:val="es-ES"/>
              </w:rPr>
              <w:t>sostenibilidad ambiental, y mejorar así el proceso de toma de decisiones. La extensión, profundidad</w:t>
            </w:r>
            <w:r w:rsidRPr="009A27ED">
              <w:rPr>
                <w:rFonts w:asciiTheme="minorHAnsi" w:hAnsiTheme="minorHAnsi" w:cstheme="minorHAnsi"/>
                <w:spacing w:val="-18"/>
                <w:sz w:val="20"/>
                <w:szCs w:val="20"/>
                <w:lang w:val="es-ES"/>
              </w:rPr>
              <w:t xml:space="preserve"> </w:t>
            </w:r>
            <w:r w:rsidRPr="009A27ED">
              <w:rPr>
                <w:rFonts w:asciiTheme="minorHAnsi" w:hAnsiTheme="minorHAnsi" w:cstheme="minorHAnsi"/>
                <w:sz w:val="20"/>
                <w:szCs w:val="20"/>
                <w:lang w:val="es-ES"/>
              </w:rPr>
              <w:t>y</w:t>
            </w:r>
            <w:r w:rsidRPr="009A27ED">
              <w:rPr>
                <w:rFonts w:asciiTheme="minorHAnsi" w:hAnsiTheme="minorHAnsi" w:cstheme="minorHAnsi"/>
                <w:spacing w:val="-17"/>
                <w:sz w:val="20"/>
                <w:szCs w:val="20"/>
                <w:lang w:val="es-ES"/>
              </w:rPr>
              <w:t xml:space="preserve"> </w:t>
            </w:r>
            <w:r w:rsidRPr="009A27ED">
              <w:rPr>
                <w:rFonts w:asciiTheme="minorHAnsi" w:hAnsiTheme="minorHAnsi" w:cstheme="minorHAnsi"/>
                <w:sz w:val="20"/>
                <w:szCs w:val="20"/>
                <w:lang w:val="es-ES"/>
              </w:rPr>
              <w:t>tipo</w:t>
            </w:r>
            <w:r w:rsidRPr="009A27ED">
              <w:rPr>
                <w:rFonts w:asciiTheme="minorHAnsi" w:hAnsiTheme="minorHAnsi" w:cstheme="minorHAnsi"/>
                <w:spacing w:val="-19"/>
                <w:sz w:val="20"/>
                <w:szCs w:val="20"/>
                <w:lang w:val="es-ES"/>
              </w:rPr>
              <w:t xml:space="preserve"> </w:t>
            </w:r>
            <w:r w:rsidRPr="009A27ED">
              <w:rPr>
                <w:rFonts w:asciiTheme="minorHAnsi" w:hAnsiTheme="minorHAnsi" w:cstheme="minorHAnsi"/>
                <w:sz w:val="20"/>
                <w:szCs w:val="20"/>
                <w:lang w:val="es-ES"/>
              </w:rPr>
              <w:t>de</w:t>
            </w:r>
            <w:r w:rsidRPr="009A27ED">
              <w:rPr>
                <w:rFonts w:asciiTheme="minorHAnsi" w:hAnsiTheme="minorHAnsi" w:cstheme="minorHAnsi"/>
                <w:spacing w:val="-17"/>
                <w:sz w:val="20"/>
                <w:szCs w:val="20"/>
                <w:lang w:val="es-ES"/>
              </w:rPr>
              <w:t xml:space="preserve"> </w:t>
            </w:r>
            <w:r w:rsidRPr="009A27ED">
              <w:rPr>
                <w:rFonts w:asciiTheme="minorHAnsi" w:hAnsiTheme="minorHAnsi" w:cstheme="minorHAnsi"/>
                <w:sz w:val="20"/>
                <w:szCs w:val="20"/>
                <w:lang w:val="es-ES"/>
              </w:rPr>
              <w:t>análisis</w:t>
            </w:r>
            <w:r w:rsidRPr="009A27ED">
              <w:rPr>
                <w:rFonts w:asciiTheme="minorHAnsi" w:hAnsiTheme="minorHAnsi" w:cstheme="minorHAnsi"/>
                <w:spacing w:val="-17"/>
                <w:sz w:val="20"/>
                <w:szCs w:val="20"/>
                <w:lang w:val="es-ES"/>
              </w:rPr>
              <w:t xml:space="preserve"> </w:t>
            </w:r>
            <w:r w:rsidRPr="009A27ED">
              <w:rPr>
                <w:rFonts w:asciiTheme="minorHAnsi" w:hAnsiTheme="minorHAnsi" w:cstheme="minorHAnsi"/>
                <w:sz w:val="20"/>
                <w:szCs w:val="20"/>
                <w:lang w:val="es-ES"/>
              </w:rPr>
              <w:t>del</w:t>
            </w:r>
            <w:r w:rsidRPr="009A27ED">
              <w:rPr>
                <w:rFonts w:asciiTheme="minorHAnsi" w:hAnsiTheme="minorHAnsi" w:cstheme="minorHAnsi"/>
                <w:spacing w:val="-18"/>
                <w:sz w:val="20"/>
                <w:szCs w:val="20"/>
                <w:lang w:val="es-ES"/>
              </w:rPr>
              <w:t xml:space="preserve"> </w:t>
            </w:r>
            <w:r w:rsidRPr="009A27ED">
              <w:rPr>
                <w:rFonts w:asciiTheme="minorHAnsi" w:hAnsiTheme="minorHAnsi" w:cstheme="minorHAnsi"/>
                <w:sz w:val="20"/>
                <w:szCs w:val="20"/>
                <w:lang w:val="es-ES"/>
              </w:rPr>
              <w:t>proceso</w:t>
            </w:r>
            <w:r w:rsidRPr="009A27ED">
              <w:rPr>
                <w:rFonts w:asciiTheme="minorHAnsi" w:hAnsiTheme="minorHAnsi" w:cstheme="minorHAnsi"/>
                <w:spacing w:val="-16"/>
                <w:sz w:val="20"/>
                <w:szCs w:val="20"/>
                <w:lang w:val="es-ES"/>
              </w:rPr>
              <w:t xml:space="preserve"> </w:t>
            </w:r>
            <w:r w:rsidRPr="009A27ED">
              <w:rPr>
                <w:rFonts w:asciiTheme="minorHAnsi" w:hAnsiTheme="minorHAnsi" w:cstheme="minorHAnsi"/>
                <w:sz w:val="20"/>
                <w:szCs w:val="20"/>
                <w:lang w:val="es-ES"/>
              </w:rPr>
              <w:t>dependen</w:t>
            </w:r>
            <w:r w:rsidRPr="009A27ED">
              <w:rPr>
                <w:rFonts w:asciiTheme="minorHAnsi" w:hAnsiTheme="minorHAnsi" w:cstheme="minorHAnsi"/>
                <w:spacing w:val="-18"/>
                <w:sz w:val="20"/>
                <w:szCs w:val="20"/>
                <w:lang w:val="es-ES"/>
              </w:rPr>
              <w:t xml:space="preserve"> </w:t>
            </w:r>
            <w:r w:rsidRPr="009A27ED">
              <w:rPr>
                <w:rFonts w:asciiTheme="minorHAnsi" w:hAnsiTheme="minorHAnsi" w:cstheme="minorHAnsi"/>
                <w:sz w:val="20"/>
                <w:szCs w:val="20"/>
                <w:lang w:val="es-ES"/>
              </w:rPr>
              <w:t>de</w:t>
            </w:r>
            <w:r w:rsidRPr="009A27ED">
              <w:rPr>
                <w:rFonts w:asciiTheme="minorHAnsi" w:hAnsiTheme="minorHAnsi" w:cstheme="minorHAnsi"/>
                <w:spacing w:val="-17"/>
                <w:sz w:val="20"/>
                <w:szCs w:val="20"/>
                <w:lang w:val="es-ES"/>
              </w:rPr>
              <w:t xml:space="preserve"> </w:t>
            </w:r>
            <w:r w:rsidRPr="009A27ED">
              <w:rPr>
                <w:rFonts w:asciiTheme="minorHAnsi" w:hAnsiTheme="minorHAnsi" w:cstheme="minorHAnsi"/>
                <w:sz w:val="20"/>
                <w:szCs w:val="20"/>
                <w:lang w:val="es-ES"/>
              </w:rPr>
              <w:t>la</w:t>
            </w:r>
            <w:r w:rsidRPr="009A27ED">
              <w:rPr>
                <w:rFonts w:asciiTheme="minorHAnsi" w:hAnsiTheme="minorHAnsi" w:cstheme="minorHAnsi"/>
                <w:spacing w:val="-18"/>
                <w:sz w:val="20"/>
                <w:szCs w:val="20"/>
                <w:lang w:val="es-ES"/>
              </w:rPr>
              <w:t xml:space="preserve"> </w:t>
            </w:r>
            <w:r w:rsidRPr="009A27ED">
              <w:rPr>
                <w:rFonts w:asciiTheme="minorHAnsi" w:hAnsiTheme="minorHAnsi" w:cstheme="minorHAnsi"/>
                <w:sz w:val="20"/>
                <w:szCs w:val="20"/>
                <w:lang w:val="es-ES"/>
              </w:rPr>
              <w:t>naturaleza,</w:t>
            </w:r>
            <w:r w:rsidRPr="009A27ED">
              <w:rPr>
                <w:rFonts w:asciiTheme="minorHAnsi" w:hAnsiTheme="minorHAnsi" w:cstheme="minorHAnsi"/>
                <w:spacing w:val="-18"/>
                <w:sz w:val="20"/>
                <w:szCs w:val="20"/>
                <w:lang w:val="es-ES"/>
              </w:rPr>
              <w:t xml:space="preserve"> </w:t>
            </w:r>
            <w:r w:rsidRPr="009A27ED">
              <w:rPr>
                <w:rFonts w:asciiTheme="minorHAnsi" w:hAnsiTheme="minorHAnsi" w:cstheme="minorHAnsi"/>
                <w:sz w:val="20"/>
                <w:szCs w:val="20"/>
                <w:lang w:val="es-ES"/>
              </w:rPr>
              <w:t>la</w:t>
            </w:r>
            <w:r w:rsidRPr="009A27ED">
              <w:rPr>
                <w:rFonts w:asciiTheme="minorHAnsi" w:hAnsiTheme="minorHAnsi" w:cstheme="minorHAnsi"/>
                <w:spacing w:val="-17"/>
                <w:sz w:val="20"/>
                <w:szCs w:val="20"/>
                <w:lang w:val="es-ES"/>
              </w:rPr>
              <w:t xml:space="preserve"> </w:t>
            </w:r>
            <w:r w:rsidRPr="009A27ED">
              <w:rPr>
                <w:rFonts w:asciiTheme="minorHAnsi" w:hAnsiTheme="minorHAnsi" w:cstheme="minorHAnsi"/>
                <w:sz w:val="20"/>
                <w:szCs w:val="20"/>
                <w:lang w:val="es-ES"/>
              </w:rPr>
              <w:t>escala</w:t>
            </w:r>
            <w:r w:rsidRPr="009A27ED">
              <w:rPr>
                <w:rFonts w:asciiTheme="minorHAnsi" w:hAnsiTheme="minorHAnsi" w:cstheme="minorHAnsi"/>
                <w:spacing w:val="-18"/>
                <w:sz w:val="20"/>
                <w:szCs w:val="20"/>
                <w:lang w:val="es-ES"/>
              </w:rPr>
              <w:t xml:space="preserve"> </w:t>
            </w:r>
            <w:r w:rsidRPr="009A27ED">
              <w:rPr>
                <w:rFonts w:asciiTheme="minorHAnsi" w:hAnsiTheme="minorHAnsi" w:cstheme="minorHAnsi"/>
                <w:sz w:val="20"/>
                <w:szCs w:val="20"/>
                <w:lang w:val="es-ES"/>
              </w:rPr>
              <w:t>y</w:t>
            </w:r>
            <w:r w:rsidRPr="009A27ED">
              <w:rPr>
                <w:rFonts w:asciiTheme="minorHAnsi" w:hAnsiTheme="minorHAnsi" w:cstheme="minorHAnsi"/>
                <w:spacing w:val="-18"/>
                <w:sz w:val="20"/>
                <w:szCs w:val="20"/>
                <w:lang w:val="es-ES"/>
              </w:rPr>
              <w:t xml:space="preserve"> </w:t>
            </w:r>
            <w:r w:rsidRPr="009A27ED">
              <w:rPr>
                <w:rFonts w:asciiTheme="minorHAnsi" w:hAnsiTheme="minorHAnsi" w:cstheme="minorHAnsi"/>
                <w:sz w:val="20"/>
                <w:szCs w:val="20"/>
                <w:lang w:val="es-ES"/>
              </w:rPr>
              <w:t>el</w:t>
            </w:r>
            <w:r w:rsidRPr="009A27ED">
              <w:rPr>
                <w:rFonts w:asciiTheme="minorHAnsi" w:hAnsiTheme="minorHAnsi" w:cstheme="minorHAnsi"/>
                <w:spacing w:val="-17"/>
                <w:sz w:val="20"/>
                <w:szCs w:val="20"/>
                <w:lang w:val="es-ES"/>
              </w:rPr>
              <w:t xml:space="preserve"> </w:t>
            </w:r>
            <w:r w:rsidRPr="009A27ED">
              <w:rPr>
                <w:rFonts w:asciiTheme="minorHAnsi" w:hAnsiTheme="minorHAnsi" w:cstheme="minorHAnsi"/>
                <w:sz w:val="20"/>
                <w:szCs w:val="20"/>
                <w:lang w:val="es-ES"/>
              </w:rPr>
              <w:t>posible impacto ambiental del proyecto propuesto. En la EA</w:t>
            </w:r>
            <w:r w:rsidR="00897D3E" w:rsidRPr="009A27ED">
              <w:rPr>
                <w:rFonts w:asciiTheme="minorHAnsi" w:hAnsiTheme="minorHAnsi" w:cstheme="minorHAnsi"/>
                <w:sz w:val="20"/>
                <w:szCs w:val="20"/>
                <w:lang w:val="es-ES"/>
              </w:rPr>
              <w:t>S</w:t>
            </w:r>
            <w:r w:rsidRPr="009A27ED">
              <w:rPr>
                <w:rFonts w:asciiTheme="minorHAnsi" w:hAnsiTheme="minorHAnsi" w:cstheme="minorHAnsi"/>
                <w:sz w:val="20"/>
                <w:szCs w:val="20"/>
                <w:lang w:val="es-ES"/>
              </w:rPr>
              <w:t xml:space="preserve"> se evalúan los posibles riesgos y </w:t>
            </w:r>
            <w:r w:rsidRPr="009A27ED">
              <w:rPr>
                <w:rFonts w:asciiTheme="minorHAnsi" w:hAnsiTheme="minorHAnsi" w:cstheme="minorHAnsi"/>
                <w:w w:val="95"/>
                <w:sz w:val="20"/>
                <w:szCs w:val="20"/>
                <w:lang w:val="es-ES"/>
              </w:rPr>
              <w:t>repercusiones</w:t>
            </w:r>
            <w:r w:rsidRPr="009A27ED">
              <w:rPr>
                <w:rFonts w:asciiTheme="minorHAnsi" w:hAnsiTheme="minorHAnsi" w:cstheme="minorHAnsi"/>
                <w:spacing w:val="-7"/>
                <w:w w:val="95"/>
                <w:sz w:val="20"/>
                <w:szCs w:val="20"/>
                <w:lang w:val="es-ES"/>
              </w:rPr>
              <w:t xml:space="preserve"> </w:t>
            </w:r>
            <w:r w:rsidRPr="009A27ED">
              <w:rPr>
                <w:rFonts w:asciiTheme="minorHAnsi" w:hAnsiTheme="minorHAnsi" w:cstheme="minorHAnsi"/>
                <w:w w:val="95"/>
                <w:sz w:val="20"/>
                <w:szCs w:val="20"/>
                <w:lang w:val="es-ES"/>
              </w:rPr>
              <w:t>ambientales</w:t>
            </w:r>
            <w:r w:rsidRPr="009A27ED">
              <w:rPr>
                <w:rFonts w:asciiTheme="minorHAnsi" w:hAnsiTheme="minorHAnsi" w:cstheme="minorHAnsi"/>
                <w:spacing w:val="-8"/>
                <w:w w:val="95"/>
                <w:sz w:val="20"/>
                <w:szCs w:val="20"/>
                <w:lang w:val="es-ES"/>
              </w:rPr>
              <w:t xml:space="preserve"> </w:t>
            </w:r>
            <w:r w:rsidRPr="009A27ED">
              <w:rPr>
                <w:rFonts w:asciiTheme="minorHAnsi" w:hAnsiTheme="minorHAnsi" w:cstheme="minorHAnsi"/>
                <w:w w:val="95"/>
                <w:sz w:val="20"/>
                <w:szCs w:val="20"/>
                <w:lang w:val="es-ES"/>
              </w:rPr>
              <w:t>de</w:t>
            </w:r>
            <w:r w:rsidRPr="009A27ED">
              <w:rPr>
                <w:rFonts w:asciiTheme="minorHAnsi" w:hAnsiTheme="minorHAnsi" w:cstheme="minorHAnsi"/>
                <w:spacing w:val="-5"/>
                <w:w w:val="95"/>
                <w:sz w:val="20"/>
                <w:szCs w:val="20"/>
                <w:lang w:val="es-ES"/>
              </w:rPr>
              <w:t xml:space="preserve"> </w:t>
            </w:r>
            <w:r w:rsidRPr="009A27ED">
              <w:rPr>
                <w:rFonts w:asciiTheme="minorHAnsi" w:hAnsiTheme="minorHAnsi" w:cstheme="minorHAnsi"/>
                <w:w w:val="95"/>
                <w:sz w:val="20"/>
                <w:szCs w:val="20"/>
                <w:lang w:val="es-ES"/>
              </w:rPr>
              <w:t>un</w:t>
            </w:r>
            <w:r w:rsidRPr="009A27ED">
              <w:rPr>
                <w:rFonts w:asciiTheme="minorHAnsi" w:hAnsiTheme="minorHAnsi" w:cstheme="minorHAnsi"/>
                <w:spacing w:val="-8"/>
                <w:w w:val="95"/>
                <w:sz w:val="20"/>
                <w:szCs w:val="20"/>
                <w:lang w:val="es-ES"/>
              </w:rPr>
              <w:t xml:space="preserve"> </w:t>
            </w:r>
            <w:r w:rsidRPr="009A27ED">
              <w:rPr>
                <w:rFonts w:asciiTheme="minorHAnsi" w:hAnsiTheme="minorHAnsi" w:cstheme="minorHAnsi"/>
                <w:w w:val="95"/>
                <w:sz w:val="20"/>
                <w:szCs w:val="20"/>
                <w:lang w:val="es-ES"/>
              </w:rPr>
              <w:t>proyecto</w:t>
            </w:r>
            <w:r w:rsidRPr="009A27ED">
              <w:rPr>
                <w:rFonts w:asciiTheme="minorHAnsi" w:hAnsiTheme="minorHAnsi" w:cstheme="minorHAnsi"/>
                <w:spacing w:val="-6"/>
                <w:w w:val="95"/>
                <w:sz w:val="20"/>
                <w:szCs w:val="20"/>
                <w:lang w:val="es-ES"/>
              </w:rPr>
              <w:t xml:space="preserve"> </w:t>
            </w:r>
            <w:r w:rsidRPr="009A27ED">
              <w:rPr>
                <w:rFonts w:asciiTheme="minorHAnsi" w:hAnsiTheme="minorHAnsi" w:cstheme="minorHAnsi"/>
                <w:w w:val="95"/>
                <w:sz w:val="20"/>
                <w:szCs w:val="20"/>
                <w:lang w:val="es-ES"/>
              </w:rPr>
              <w:t>en</w:t>
            </w:r>
            <w:r w:rsidRPr="009A27ED">
              <w:rPr>
                <w:rFonts w:asciiTheme="minorHAnsi" w:hAnsiTheme="minorHAnsi" w:cstheme="minorHAnsi"/>
                <w:spacing w:val="-7"/>
                <w:w w:val="95"/>
                <w:sz w:val="20"/>
                <w:szCs w:val="20"/>
                <w:lang w:val="es-ES"/>
              </w:rPr>
              <w:t xml:space="preserve"> </w:t>
            </w:r>
            <w:r w:rsidRPr="009A27ED">
              <w:rPr>
                <w:rFonts w:asciiTheme="minorHAnsi" w:hAnsiTheme="minorHAnsi" w:cstheme="minorHAnsi"/>
                <w:w w:val="95"/>
                <w:sz w:val="20"/>
                <w:szCs w:val="20"/>
                <w:lang w:val="es-ES"/>
              </w:rPr>
              <w:t>su</w:t>
            </w:r>
            <w:r w:rsidRPr="009A27ED">
              <w:rPr>
                <w:rFonts w:asciiTheme="minorHAnsi" w:hAnsiTheme="minorHAnsi" w:cstheme="minorHAnsi"/>
                <w:spacing w:val="-8"/>
                <w:w w:val="95"/>
                <w:sz w:val="20"/>
                <w:szCs w:val="20"/>
                <w:lang w:val="es-ES"/>
              </w:rPr>
              <w:t xml:space="preserve"> </w:t>
            </w:r>
            <w:r w:rsidRPr="009A27ED">
              <w:rPr>
                <w:rFonts w:asciiTheme="minorHAnsi" w:hAnsiTheme="minorHAnsi" w:cstheme="minorHAnsi"/>
                <w:w w:val="95"/>
                <w:sz w:val="20"/>
                <w:szCs w:val="20"/>
                <w:lang w:val="es-ES"/>
              </w:rPr>
              <w:t>zona</w:t>
            </w:r>
            <w:r w:rsidRPr="009A27ED">
              <w:rPr>
                <w:rFonts w:asciiTheme="minorHAnsi" w:hAnsiTheme="minorHAnsi" w:cstheme="minorHAnsi"/>
                <w:spacing w:val="-7"/>
                <w:w w:val="95"/>
                <w:sz w:val="20"/>
                <w:szCs w:val="20"/>
                <w:lang w:val="es-ES"/>
              </w:rPr>
              <w:t xml:space="preserve"> </w:t>
            </w:r>
            <w:r w:rsidRPr="009A27ED">
              <w:rPr>
                <w:rFonts w:asciiTheme="minorHAnsi" w:hAnsiTheme="minorHAnsi" w:cstheme="minorHAnsi"/>
                <w:w w:val="95"/>
                <w:sz w:val="20"/>
                <w:szCs w:val="20"/>
                <w:lang w:val="es-ES"/>
              </w:rPr>
              <w:t>de</w:t>
            </w:r>
            <w:r w:rsidRPr="009A27ED">
              <w:rPr>
                <w:rFonts w:asciiTheme="minorHAnsi" w:hAnsiTheme="minorHAnsi" w:cstheme="minorHAnsi"/>
                <w:spacing w:val="-5"/>
                <w:w w:val="95"/>
                <w:sz w:val="20"/>
                <w:szCs w:val="20"/>
                <w:lang w:val="es-ES"/>
              </w:rPr>
              <w:t xml:space="preserve"> </w:t>
            </w:r>
            <w:r w:rsidRPr="009A27ED">
              <w:rPr>
                <w:rFonts w:asciiTheme="minorHAnsi" w:hAnsiTheme="minorHAnsi" w:cstheme="minorHAnsi"/>
                <w:w w:val="95"/>
                <w:sz w:val="20"/>
                <w:szCs w:val="20"/>
                <w:lang w:val="es-ES"/>
              </w:rPr>
              <w:t>influencia;</w:t>
            </w:r>
            <w:r w:rsidRPr="009A27ED">
              <w:rPr>
                <w:rFonts w:asciiTheme="minorHAnsi" w:hAnsiTheme="minorHAnsi" w:cstheme="minorHAnsi"/>
                <w:spacing w:val="-6"/>
                <w:w w:val="95"/>
                <w:sz w:val="20"/>
                <w:szCs w:val="20"/>
                <w:lang w:val="es-ES"/>
              </w:rPr>
              <w:t xml:space="preserve"> </w:t>
            </w:r>
            <w:r w:rsidRPr="009A27ED">
              <w:rPr>
                <w:rFonts w:asciiTheme="minorHAnsi" w:hAnsiTheme="minorHAnsi" w:cstheme="minorHAnsi"/>
                <w:w w:val="95"/>
                <w:sz w:val="20"/>
                <w:szCs w:val="20"/>
                <w:lang w:val="es-ES"/>
              </w:rPr>
              <w:t>se</w:t>
            </w:r>
            <w:r w:rsidRPr="009A27ED">
              <w:rPr>
                <w:rFonts w:asciiTheme="minorHAnsi" w:hAnsiTheme="minorHAnsi" w:cstheme="minorHAnsi"/>
                <w:spacing w:val="-6"/>
                <w:w w:val="95"/>
                <w:sz w:val="20"/>
                <w:szCs w:val="20"/>
                <w:lang w:val="es-ES"/>
              </w:rPr>
              <w:t xml:space="preserve"> </w:t>
            </w:r>
            <w:r w:rsidRPr="009A27ED">
              <w:rPr>
                <w:rFonts w:asciiTheme="minorHAnsi" w:hAnsiTheme="minorHAnsi" w:cstheme="minorHAnsi"/>
                <w:w w:val="95"/>
                <w:sz w:val="20"/>
                <w:szCs w:val="20"/>
                <w:lang w:val="es-ES"/>
              </w:rPr>
              <w:t>examinan</w:t>
            </w:r>
            <w:r w:rsidRPr="009A27ED">
              <w:rPr>
                <w:rFonts w:asciiTheme="minorHAnsi" w:hAnsiTheme="minorHAnsi" w:cstheme="minorHAnsi"/>
                <w:spacing w:val="-6"/>
                <w:w w:val="95"/>
                <w:sz w:val="20"/>
                <w:szCs w:val="20"/>
                <w:lang w:val="es-ES"/>
              </w:rPr>
              <w:t xml:space="preserve"> </w:t>
            </w:r>
            <w:r w:rsidRPr="009A27ED">
              <w:rPr>
                <w:rFonts w:asciiTheme="minorHAnsi" w:hAnsiTheme="minorHAnsi" w:cstheme="minorHAnsi"/>
                <w:w w:val="95"/>
                <w:sz w:val="20"/>
                <w:szCs w:val="20"/>
                <w:lang w:val="es-ES"/>
              </w:rPr>
              <w:t>alternativas para</w:t>
            </w:r>
            <w:r w:rsidRPr="009A27ED">
              <w:rPr>
                <w:rFonts w:asciiTheme="minorHAnsi" w:hAnsiTheme="minorHAnsi" w:cstheme="minorHAnsi"/>
                <w:spacing w:val="-24"/>
                <w:w w:val="95"/>
                <w:sz w:val="20"/>
                <w:szCs w:val="20"/>
                <w:lang w:val="es-ES"/>
              </w:rPr>
              <w:t xml:space="preserve"> </w:t>
            </w:r>
            <w:r w:rsidRPr="009A27ED">
              <w:rPr>
                <w:rFonts w:asciiTheme="minorHAnsi" w:hAnsiTheme="minorHAnsi" w:cstheme="minorHAnsi"/>
                <w:w w:val="95"/>
                <w:sz w:val="20"/>
                <w:szCs w:val="20"/>
                <w:lang w:val="es-ES"/>
              </w:rPr>
              <w:t>el</w:t>
            </w:r>
            <w:r w:rsidRPr="009A27ED">
              <w:rPr>
                <w:rFonts w:asciiTheme="minorHAnsi" w:hAnsiTheme="minorHAnsi" w:cstheme="minorHAnsi"/>
                <w:spacing w:val="-24"/>
                <w:w w:val="95"/>
                <w:sz w:val="20"/>
                <w:szCs w:val="20"/>
                <w:lang w:val="es-ES"/>
              </w:rPr>
              <w:t xml:space="preserve"> </w:t>
            </w:r>
            <w:r w:rsidRPr="009A27ED">
              <w:rPr>
                <w:rFonts w:asciiTheme="minorHAnsi" w:hAnsiTheme="minorHAnsi" w:cstheme="minorHAnsi"/>
                <w:w w:val="95"/>
                <w:sz w:val="20"/>
                <w:szCs w:val="20"/>
                <w:lang w:val="es-ES"/>
              </w:rPr>
              <w:t>proyecto;</w:t>
            </w:r>
            <w:r w:rsidRPr="009A27ED">
              <w:rPr>
                <w:rFonts w:asciiTheme="minorHAnsi" w:hAnsiTheme="minorHAnsi" w:cstheme="minorHAnsi"/>
                <w:spacing w:val="-23"/>
                <w:w w:val="95"/>
                <w:sz w:val="20"/>
                <w:szCs w:val="20"/>
                <w:lang w:val="es-ES"/>
              </w:rPr>
              <w:t xml:space="preserve"> </w:t>
            </w:r>
            <w:r w:rsidRPr="009A27ED">
              <w:rPr>
                <w:rFonts w:asciiTheme="minorHAnsi" w:hAnsiTheme="minorHAnsi" w:cstheme="minorHAnsi"/>
                <w:w w:val="95"/>
                <w:sz w:val="20"/>
                <w:szCs w:val="20"/>
                <w:lang w:val="es-ES"/>
              </w:rPr>
              <w:t>se</w:t>
            </w:r>
            <w:r w:rsidRPr="009A27ED">
              <w:rPr>
                <w:rFonts w:asciiTheme="minorHAnsi" w:hAnsiTheme="minorHAnsi" w:cstheme="minorHAnsi"/>
                <w:spacing w:val="-23"/>
                <w:w w:val="95"/>
                <w:sz w:val="20"/>
                <w:szCs w:val="20"/>
                <w:lang w:val="es-ES"/>
              </w:rPr>
              <w:t xml:space="preserve"> </w:t>
            </w:r>
            <w:r w:rsidRPr="009A27ED">
              <w:rPr>
                <w:rFonts w:asciiTheme="minorHAnsi" w:hAnsiTheme="minorHAnsi" w:cstheme="minorHAnsi"/>
                <w:w w:val="95"/>
                <w:sz w:val="20"/>
                <w:szCs w:val="20"/>
                <w:lang w:val="es-ES"/>
              </w:rPr>
              <w:t>identifican</w:t>
            </w:r>
            <w:r w:rsidRPr="009A27ED">
              <w:rPr>
                <w:rFonts w:asciiTheme="minorHAnsi" w:hAnsiTheme="minorHAnsi" w:cstheme="minorHAnsi"/>
                <w:spacing w:val="-23"/>
                <w:w w:val="95"/>
                <w:sz w:val="20"/>
                <w:szCs w:val="20"/>
                <w:lang w:val="es-ES"/>
              </w:rPr>
              <w:t xml:space="preserve"> </w:t>
            </w:r>
            <w:r w:rsidRPr="009A27ED">
              <w:rPr>
                <w:rFonts w:asciiTheme="minorHAnsi" w:hAnsiTheme="minorHAnsi" w:cstheme="minorHAnsi"/>
                <w:w w:val="95"/>
                <w:sz w:val="20"/>
                <w:szCs w:val="20"/>
                <w:lang w:val="es-ES"/>
              </w:rPr>
              <w:t>formas</w:t>
            </w:r>
            <w:r w:rsidRPr="009A27ED">
              <w:rPr>
                <w:rFonts w:asciiTheme="minorHAnsi" w:hAnsiTheme="minorHAnsi" w:cstheme="minorHAnsi"/>
                <w:spacing w:val="-24"/>
                <w:w w:val="95"/>
                <w:sz w:val="20"/>
                <w:szCs w:val="20"/>
                <w:lang w:val="es-ES"/>
              </w:rPr>
              <w:t xml:space="preserve"> </w:t>
            </w:r>
            <w:r w:rsidRPr="009A27ED">
              <w:rPr>
                <w:rFonts w:asciiTheme="minorHAnsi" w:hAnsiTheme="minorHAnsi" w:cstheme="minorHAnsi"/>
                <w:w w:val="95"/>
                <w:sz w:val="20"/>
                <w:szCs w:val="20"/>
                <w:lang w:val="es-ES"/>
              </w:rPr>
              <w:t>de</w:t>
            </w:r>
            <w:r w:rsidRPr="009A27ED">
              <w:rPr>
                <w:rFonts w:asciiTheme="minorHAnsi" w:hAnsiTheme="minorHAnsi" w:cstheme="minorHAnsi"/>
                <w:spacing w:val="-23"/>
                <w:w w:val="95"/>
                <w:sz w:val="20"/>
                <w:szCs w:val="20"/>
                <w:lang w:val="es-ES"/>
              </w:rPr>
              <w:t xml:space="preserve"> </w:t>
            </w:r>
            <w:r w:rsidRPr="009A27ED">
              <w:rPr>
                <w:rFonts w:asciiTheme="minorHAnsi" w:hAnsiTheme="minorHAnsi" w:cstheme="minorHAnsi"/>
                <w:w w:val="95"/>
                <w:sz w:val="20"/>
                <w:szCs w:val="20"/>
                <w:lang w:val="es-ES"/>
              </w:rPr>
              <w:t>mejorar</w:t>
            </w:r>
            <w:r w:rsidRPr="009A27ED">
              <w:rPr>
                <w:rFonts w:asciiTheme="minorHAnsi" w:hAnsiTheme="minorHAnsi" w:cstheme="minorHAnsi"/>
                <w:spacing w:val="-24"/>
                <w:w w:val="95"/>
                <w:sz w:val="20"/>
                <w:szCs w:val="20"/>
                <w:lang w:val="es-ES"/>
              </w:rPr>
              <w:t xml:space="preserve"> </w:t>
            </w:r>
            <w:r w:rsidRPr="009A27ED">
              <w:rPr>
                <w:rFonts w:asciiTheme="minorHAnsi" w:hAnsiTheme="minorHAnsi" w:cstheme="minorHAnsi"/>
                <w:w w:val="95"/>
                <w:sz w:val="20"/>
                <w:szCs w:val="20"/>
                <w:lang w:val="es-ES"/>
              </w:rPr>
              <w:t>la</w:t>
            </w:r>
            <w:r w:rsidRPr="009A27ED">
              <w:rPr>
                <w:rFonts w:asciiTheme="minorHAnsi" w:hAnsiTheme="minorHAnsi" w:cstheme="minorHAnsi"/>
                <w:spacing w:val="-23"/>
                <w:w w:val="95"/>
                <w:sz w:val="20"/>
                <w:szCs w:val="20"/>
                <w:lang w:val="es-ES"/>
              </w:rPr>
              <w:t xml:space="preserve"> </w:t>
            </w:r>
            <w:r w:rsidRPr="009A27ED">
              <w:rPr>
                <w:rFonts w:asciiTheme="minorHAnsi" w:hAnsiTheme="minorHAnsi" w:cstheme="minorHAnsi"/>
                <w:w w:val="95"/>
                <w:sz w:val="20"/>
                <w:szCs w:val="20"/>
                <w:lang w:val="es-ES"/>
              </w:rPr>
              <w:t>selección,</w:t>
            </w:r>
            <w:r w:rsidRPr="009A27ED">
              <w:rPr>
                <w:rFonts w:asciiTheme="minorHAnsi" w:hAnsiTheme="minorHAnsi" w:cstheme="minorHAnsi"/>
                <w:spacing w:val="-23"/>
                <w:w w:val="95"/>
                <w:sz w:val="20"/>
                <w:szCs w:val="20"/>
                <w:lang w:val="es-ES"/>
              </w:rPr>
              <w:t xml:space="preserve"> </w:t>
            </w:r>
            <w:r w:rsidRPr="009A27ED">
              <w:rPr>
                <w:rFonts w:asciiTheme="minorHAnsi" w:hAnsiTheme="minorHAnsi" w:cstheme="minorHAnsi"/>
                <w:w w:val="95"/>
                <w:sz w:val="20"/>
                <w:szCs w:val="20"/>
                <w:lang w:val="es-ES"/>
              </w:rPr>
              <w:t>ubicación,</w:t>
            </w:r>
            <w:r w:rsidRPr="009A27ED">
              <w:rPr>
                <w:rFonts w:asciiTheme="minorHAnsi" w:hAnsiTheme="minorHAnsi" w:cstheme="minorHAnsi"/>
                <w:spacing w:val="-24"/>
                <w:w w:val="95"/>
                <w:sz w:val="20"/>
                <w:szCs w:val="20"/>
                <w:lang w:val="es-ES"/>
              </w:rPr>
              <w:t xml:space="preserve"> </w:t>
            </w:r>
            <w:r w:rsidRPr="009A27ED">
              <w:rPr>
                <w:rFonts w:asciiTheme="minorHAnsi" w:hAnsiTheme="minorHAnsi" w:cstheme="minorHAnsi"/>
                <w:w w:val="95"/>
                <w:sz w:val="20"/>
                <w:szCs w:val="20"/>
                <w:lang w:val="es-ES"/>
              </w:rPr>
              <w:t>planificación,</w:t>
            </w:r>
            <w:r w:rsidRPr="009A27ED">
              <w:rPr>
                <w:rFonts w:asciiTheme="minorHAnsi" w:hAnsiTheme="minorHAnsi" w:cstheme="minorHAnsi"/>
                <w:spacing w:val="-23"/>
                <w:w w:val="95"/>
                <w:sz w:val="20"/>
                <w:szCs w:val="20"/>
                <w:lang w:val="es-ES"/>
              </w:rPr>
              <w:t xml:space="preserve"> </w:t>
            </w:r>
            <w:r w:rsidRPr="009A27ED">
              <w:rPr>
                <w:rFonts w:asciiTheme="minorHAnsi" w:hAnsiTheme="minorHAnsi" w:cstheme="minorHAnsi"/>
                <w:w w:val="95"/>
                <w:sz w:val="20"/>
                <w:szCs w:val="20"/>
                <w:lang w:val="es-ES"/>
              </w:rPr>
              <w:t>diseño</w:t>
            </w:r>
            <w:r w:rsidRPr="009A27ED">
              <w:rPr>
                <w:rFonts w:asciiTheme="minorHAnsi" w:hAnsiTheme="minorHAnsi" w:cstheme="minorHAnsi"/>
                <w:spacing w:val="-24"/>
                <w:w w:val="95"/>
                <w:sz w:val="20"/>
                <w:szCs w:val="20"/>
                <w:lang w:val="es-ES"/>
              </w:rPr>
              <w:t xml:space="preserve"> </w:t>
            </w:r>
            <w:r w:rsidRPr="009A27ED">
              <w:rPr>
                <w:rFonts w:asciiTheme="minorHAnsi" w:hAnsiTheme="minorHAnsi" w:cstheme="minorHAnsi"/>
                <w:w w:val="95"/>
                <w:sz w:val="20"/>
                <w:szCs w:val="20"/>
                <w:lang w:val="es-ES"/>
              </w:rPr>
              <w:t xml:space="preserve">y </w:t>
            </w:r>
            <w:r w:rsidRPr="009A27ED">
              <w:rPr>
                <w:rFonts w:asciiTheme="minorHAnsi" w:hAnsiTheme="minorHAnsi" w:cstheme="minorHAnsi"/>
                <w:sz w:val="20"/>
                <w:szCs w:val="20"/>
                <w:lang w:val="es-ES"/>
              </w:rPr>
              <w:t xml:space="preserve">ejecución de los proyectos mediante la prevención, reducción al mínimo, mitigación o </w:t>
            </w:r>
            <w:r w:rsidRPr="009A27ED">
              <w:rPr>
                <w:rFonts w:asciiTheme="minorHAnsi" w:hAnsiTheme="minorHAnsi" w:cstheme="minorHAnsi"/>
                <w:w w:val="95"/>
                <w:sz w:val="20"/>
                <w:szCs w:val="20"/>
                <w:lang w:val="es-ES"/>
              </w:rPr>
              <w:t>compensación de las repercusiones ambientales adversas y la maximización de los</w:t>
            </w:r>
            <w:r w:rsidRPr="009A27ED">
              <w:rPr>
                <w:rFonts w:asciiTheme="minorHAnsi" w:hAnsiTheme="minorHAnsi" w:cstheme="minorHAnsi"/>
                <w:spacing w:val="-42"/>
                <w:w w:val="95"/>
                <w:sz w:val="20"/>
                <w:szCs w:val="20"/>
                <w:lang w:val="es-ES"/>
              </w:rPr>
              <w:t xml:space="preserve"> </w:t>
            </w:r>
            <w:r w:rsidRPr="009A27ED">
              <w:rPr>
                <w:rFonts w:asciiTheme="minorHAnsi" w:hAnsiTheme="minorHAnsi" w:cstheme="minorHAnsi"/>
                <w:w w:val="95"/>
                <w:sz w:val="20"/>
                <w:szCs w:val="20"/>
                <w:lang w:val="es-ES"/>
              </w:rPr>
              <w:t>impactos positivos,</w:t>
            </w:r>
            <w:r w:rsidRPr="009A27ED">
              <w:rPr>
                <w:rFonts w:asciiTheme="minorHAnsi" w:hAnsiTheme="minorHAnsi" w:cstheme="minorHAnsi"/>
                <w:spacing w:val="-40"/>
                <w:w w:val="95"/>
                <w:sz w:val="20"/>
                <w:szCs w:val="20"/>
                <w:lang w:val="es-ES"/>
              </w:rPr>
              <w:t xml:space="preserve"> </w:t>
            </w:r>
            <w:r w:rsidRPr="009A27ED">
              <w:rPr>
                <w:rFonts w:asciiTheme="minorHAnsi" w:hAnsiTheme="minorHAnsi" w:cstheme="minorHAnsi"/>
                <w:w w:val="95"/>
                <w:sz w:val="20"/>
                <w:szCs w:val="20"/>
                <w:lang w:val="es-ES"/>
              </w:rPr>
              <w:t>e</w:t>
            </w:r>
            <w:r w:rsidRPr="009A27ED">
              <w:rPr>
                <w:rFonts w:asciiTheme="minorHAnsi" w:hAnsiTheme="minorHAnsi" w:cstheme="minorHAnsi"/>
                <w:spacing w:val="-36"/>
                <w:w w:val="95"/>
                <w:sz w:val="20"/>
                <w:szCs w:val="20"/>
                <w:lang w:val="es-ES"/>
              </w:rPr>
              <w:t xml:space="preserve"> </w:t>
            </w:r>
            <w:r w:rsidRPr="009A27ED">
              <w:rPr>
                <w:rFonts w:asciiTheme="minorHAnsi" w:hAnsiTheme="minorHAnsi" w:cstheme="minorHAnsi"/>
                <w:w w:val="95"/>
                <w:sz w:val="20"/>
                <w:szCs w:val="20"/>
                <w:lang w:val="es-ES"/>
              </w:rPr>
              <w:t>incluye,</w:t>
            </w:r>
            <w:r w:rsidRPr="009A27ED">
              <w:rPr>
                <w:rFonts w:asciiTheme="minorHAnsi" w:hAnsiTheme="minorHAnsi" w:cstheme="minorHAnsi"/>
                <w:spacing w:val="-38"/>
                <w:w w:val="95"/>
                <w:sz w:val="20"/>
                <w:szCs w:val="20"/>
                <w:lang w:val="es-ES"/>
              </w:rPr>
              <w:t xml:space="preserve"> </w:t>
            </w:r>
            <w:r w:rsidRPr="009A27ED">
              <w:rPr>
                <w:rFonts w:asciiTheme="minorHAnsi" w:hAnsiTheme="minorHAnsi" w:cstheme="minorHAnsi"/>
                <w:w w:val="95"/>
                <w:sz w:val="20"/>
                <w:szCs w:val="20"/>
                <w:lang w:val="es-ES"/>
              </w:rPr>
              <w:t>el</w:t>
            </w:r>
            <w:r w:rsidRPr="009A27ED">
              <w:rPr>
                <w:rFonts w:asciiTheme="minorHAnsi" w:hAnsiTheme="minorHAnsi" w:cstheme="minorHAnsi"/>
                <w:spacing w:val="-38"/>
                <w:w w:val="95"/>
                <w:sz w:val="20"/>
                <w:szCs w:val="20"/>
                <w:lang w:val="es-ES"/>
              </w:rPr>
              <w:t xml:space="preserve"> </w:t>
            </w:r>
            <w:r w:rsidRPr="009A27ED">
              <w:rPr>
                <w:rFonts w:asciiTheme="minorHAnsi" w:hAnsiTheme="minorHAnsi" w:cstheme="minorHAnsi"/>
                <w:w w:val="95"/>
                <w:sz w:val="20"/>
                <w:szCs w:val="20"/>
                <w:lang w:val="es-ES"/>
              </w:rPr>
              <w:t>proceso</w:t>
            </w:r>
            <w:r w:rsidRPr="009A27ED">
              <w:rPr>
                <w:rFonts w:asciiTheme="minorHAnsi" w:hAnsiTheme="minorHAnsi" w:cstheme="minorHAnsi"/>
                <w:spacing w:val="-37"/>
                <w:w w:val="95"/>
                <w:sz w:val="20"/>
                <w:szCs w:val="20"/>
                <w:lang w:val="es-ES"/>
              </w:rPr>
              <w:t xml:space="preserve"> </w:t>
            </w:r>
            <w:r w:rsidRPr="009A27ED">
              <w:rPr>
                <w:rFonts w:asciiTheme="minorHAnsi" w:hAnsiTheme="minorHAnsi" w:cstheme="minorHAnsi"/>
                <w:w w:val="95"/>
                <w:sz w:val="20"/>
                <w:szCs w:val="20"/>
                <w:lang w:val="es-ES"/>
              </w:rPr>
              <w:t>de</w:t>
            </w:r>
            <w:r w:rsidRPr="009A27ED">
              <w:rPr>
                <w:rFonts w:asciiTheme="minorHAnsi" w:hAnsiTheme="minorHAnsi" w:cstheme="minorHAnsi"/>
                <w:spacing w:val="-39"/>
                <w:w w:val="95"/>
                <w:sz w:val="20"/>
                <w:szCs w:val="20"/>
                <w:lang w:val="es-ES"/>
              </w:rPr>
              <w:t xml:space="preserve"> </w:t>
            </w:r>
            <w:r w:rsidRPr="009A27ED">
              <w:rPr>
                <w:rFonts w:asciiTheme="minorHAnsi" w:hAnsiTheme="minorHAnsi" w:cstheme="minorHAnsi"/>
                <w:w w:val="95"/>
                <w:sz w:val="20"/>
                <w:szCs w:val="20"/>
                <w:lang w:val="es-ES"/>
              </w:rPr>
              <w:t>mitigación</w:t>
            </w:r>
            <w:r w:rsidRPr="009A27ED">
              <w:rPr>
                <w:rFonts w:asciiTheme="minorHAnsi" w:hAnsiTheme="minorHAnsi" w:cstheme="minorHAnsi"/>
                <w:spacing w:val="-38"/>
                <w:w w:val="95"/>
                <w:sz w:val="20"/>
                <w:szCs w:val="20"/>
                <w:lang w:val="es-ES"/>
              </w:rPr>
              <w:t xml:space="preserve"> </w:t>
            </w:r>
            <w:r w:rsidRPr="009A27ED">
              <w:rPr>
                <w:rFonts w:asciiTheme="minorHAnsi" w:hAnsiTheme="minorHAnsi" w:cstheme="minorHAnsi"/>
                <w:w w:val="95"/>
                <w:sz w:val="20"/>
                <w:szCs w:val="20"/>
                <w:lang w:val="es-ES"/>
              </w:rPr>
              <w:t>y</w:t>
            </w:r>
            <w:r w:rsidRPr="009A27ED">
              <w:rPr>
                <w:rFonts w:asciiTheme="minorHAnsi" w:hAnsiTheme="minorHAnsi" w:cstheme="minorHAnsi"/>
                <w:spacing w:val="-37"/>
                <w:w w:val="95"/>
                <w:sz w:val="20"/>
                <w:szCs w:val="20"/>
                <w:lang w:val="es-ES"/>
              </w:rPr>
              <w:t xml:space="preserve"> </w:t>
            </w:r>
            <w:r w:rsidRPr="009A27ED">
              <w:rPr>
                <w:rFonts w:asciiTheme="minorHAnsi" w:hAnsiTheme="minorHAnsi" w:cstheme="minorHAnsi"/>
                <w:w w:val="95"/>
                <w:sz w:val="20"/>
                <w:szCs w:val="20"/>
                <w:lang w:val="es-ES"/>
              </w:rPr>
              <w:t>gestión</w:t>
            </w:r>
            <w:r w:rsidRPr="009A27ED">
              <w:rPr>
                <w:rFonts w:asciiTheme="minorHAnsi" w:hAnsiTheme="minorHAnsi" w:cstheme="minorHAnsi"/>
                <w:spacing w:val="-38"/>
                <w:w w:val="95"/>
                <w:sz w:val="20"/>
                <w:szCs w:val="20"/>
                <w:lang w:val="es-ES"/>
              </w:rPr>
              <w:t xml:space="preserve"> </w:t>
            </w:r>
            <w:r w:rsidRPr="009A27ED">
              <w:rPr>
                <w:rFonts w:asciiTheme="minorHAnsi" w:hAnsiTheme="minorHAnsi" w:cstheme="minorHAnsi"/>
                <w:w w:val="95"/>
                <w:sz w:val="20"/>
                <w:szCs w:val="20"/>
                <w:lang w:val="es-ES"/>
              </w:rPr>
              <w:t>de</w:t>
            </w:r>
            <w:r w:rsidRPr="009A27ED">
              <w:rPr>
                <w:rFonts w:asciiTheme="minorHAnsi" w:hAnsiTheme="minorHAnsi" w:cstheme="minorHAnsi"/>
                <w:spacing w:val="-37"/>
                <w:w w:val="95"/>
                <w:sz w:val="20"/>
                <w:szCs w:val="20"/>
                <w:lang w:val="es-ES"/>
              </w:rPr>
              <w:t xml:space="preserve"> </w:t>
            </w:r>
            <w:r w:rsidRPr="009A27ED">
              <w:rPr>
                <w:rFonts w:asciiTheme="minorHAnsi" w:hAnsiTheme="minorHAnsi" w:cstheme="minorHAnsi"/>
                <w:w w:val="95"/>
                <w:sz w:val="20"/>
                <w:szCs w:val="20"/>
                <w:lang w:val="es-ES"/>
              </w:rPr>
              <w:t>las</w:t>
            </w:r>
            <w:r w:rsidRPr="009A27ED">
              <w:rPr>
                <w:rFonts w:asciiTheme="minorHAnsi" w:hAnsiTheme="minorHAnsi" w:cstheme="minorHAnsi"/>
                <w:spacing w:val="-38"/>
                <w:w w:val="95"/>
                <w:sz w:val="20"/>
                <w:szCs w:val="20"/>
                <w:lang w:val="es-ES"/>
              </w:rPr>
              <w:t xml:space="preserve"> </w:t>
            </w:r>
            <w:r w:rsidRPr="009A27ED">
              <w:rPr>
                <w:rFonts w:asciiTheme="minorHAnsi" w:hAnsiTheme="minorHAnsi" w:cstheme="minorHAnsi"/>
                <w:w w:val="95"/>
                <w:sz w:val="20"/>
                <w:szCs w:val="20"/>
                <w:lang w:val="es-ES"/>
              </w:rPr>
              <w:t>repercusiones</w:t>
            </w:r>
            <w:r w:rsidRPr="009A27ED">
              <w:rPr>
                <w:rFonts w:asciiTheme="minorHAnsi" w:hAnsiTheme="minorHAnsi" w:cstheme="minorHAnsi"/>
                <w:spacing w:val="-38"/>
                <w:w w:val="95"/>
                <w:sz w:val="20"/>
                <w:szCs w:val="20"/>
                <w:lang w:val="es-ES"/>
              </w:rPr>
              <w:t xml:space="preserve"> </w:t>
            </w:r>
            <w:r w:rsidRPr="009A27ED">
              <w:rPr>
                <w:rFonts w:asciiTheme="minorHAnsi" w:hAnsiTheme="minorHAnsi" w:cstheme="minorHAnsi"/>
                <w:w w:val="95"/>
                <w:sz w:val="20"/>
                <w:szCs w:val="20"/>
                <w:lang w:val="es-ES"/>
              </w:rPr>
              <w:t>ambientales</w:t>
            </w:r>
            <w:r w:rsidRPr="009A27ED">
              <w:rPr>
                <w:rFonts w:asciiTheme="minorHAnsi" w:hAnsiTheme="minorHAnsi" w:cstheme="minorHAnsi"/>
                <w:spacing w:val="-38"/>
                <w:w w:val="95"/>
                <w:sz w:val="20"/>
                <w:szCs w:val="20"/>
                <w:lang w:val="es-ES"/>
              </w:rPr>
              <w:t xml:space="preserve"> </w:t>
            </w:r>
            <w:r w:rsidRPr="009A27ED">
              <w:rPr>
                <w:rFonts w:asciiTheme="minorHAnsi" w:hAnsiTheme="minorHAnsi" w:cstheme="minorHAnsi"/>
                <w:w w:val="95"/>
                <w:sz w:val="20"/>
                <w:szCs w:val="20"/>
                <w:lang w:val="es-ES"/>
              </w:rPr>
              <w:t xml:space="preserve">adversas </w:t>
            </w:r>
            <w:r w:rsidRPr="009A27ED">
              <w:rPr>
                <w:rFonts w:asciiTheme="minorHAnsi" w:hAnsiTheme="minorHAnsi" w:cstheme="minorHAnsi"/>
                <w:sz w:val="20"/>
                <w:szCs w:val="20"/>
                <w:lang w:val="es-ES"/>
              </w:rPr>
              <w:t>durante</w:t>
            </w:r>
            <w:r w:rsidRPr="009A27ED">
              <w:rPr>
                <w:rFonts w:asciiTheme="minorHAnsi" w:hAnsiTheme="minorHAnsi" w:cstheme="minorHAnsi"/>
                <w:spacing w:val="-22"/>
                <w:sz w:val="20"/>
                <w:szCs w:val="20"/>
                <w:lang w:val="es-ES"/>
              </w:rPr>
              <w:t xml:space="preserve"> </w:t>
            </w:r>
            <w:r w:rsidRPr="009A27ED">
              <w:rPr>
                <w:rFonts w:asciiTheme="minorHAnsi" w:hAnsiTheme="minorHAnsi" w:cstheme="minorHAnsi"/>
                <w:sz w:val="20"/>
                <w:szCs w:val="20"/>
                <w:lang w:val="es-ES"/>
              </w:rPr>
              <w:t>la</w:t>
            </w:r>
            <w:r w:rsidRPr="009A27ED">
              <w:rPr>
                <w:rFonts w:asciiTheme="minorHAnsi" w:hAnsiTheme="minorHAnsi" w:cstheme="minorHAnsi"/>
                <w:spacing w:val="-23"/>
                <w:sz w:val="20"/>
                <w:szCs w:val="20"/>
                <w:lang w:val="es-ES"/>
              </w:rPr>
              <w:t xml:space="preserve"> </w:t>
            </w:r>
            <w:r w:rsidRPr="009A27ED">
              <w:rPr>
                <w:rFonts w:asciiTheme="minorHAnsi" w:hAnsiTheme="minorHAnsi" w:cstheme="minorHAnsi"/>
                <w:sz w:val="20"/>
                <w:szCs w:val="20"/>
                <w:lang w:val="es-ES"/>
              </w:rPr>
              <w:t>ejecución</w:t>
            </w:r>
            <w:r w:rsidRPr="009A27ED">
              <w:rPr>
                <w:rFonts w:asciiTheme="minorHAnsi" w:hAnsiTheme="minorHAnsi" w:cstheme="minorHAnsi"/>
                <w:spacing w:val="-21"/>
                <w:sz w:val="20"/>
                <w:szCs w:val="20"/>
                <w:lang w:val="es-ES"/>
              </w:rPr>
              <w:t xml:space="preserve"> </w:t>
            </w:r>
            <w:r w:rsidRPr="009A27ED">
              <w:rPr>
                <w:rFonts w:asciiTheme="minorHAnsi" w:hAnsiTheme="minorHAnsi" w:cstheme="minorHAnsi"/>
                <w:sz w:val="20"/>
                <w:szCs w:val="20"/>
                <w:lang w:val="es-ES"/>
              </w:rPr>
              <w:t>del</w:t>
            </w:r>
            <w:r w:rsidRPr="009A27ED">
              <w:rPr>
                <w:rFonts w:asciiTheme="minorHAnsi" w:hAnsiTheme="minorHAnsi" w:cstheme="minorHAnsi"/>
                <w:spacing w:val="-23"/>
                <w:sz w:val="20"/>
                <w:szCs w:val="20"/>
                <w:lang w:val="es-ES"/>
              </w:rPr>
              <w:t xml:space="preserve"> </w:t>
            </w:r>
            <w:r w:rsidRPr="009A27ED">
              <w:rPr>
                <w:rFonts w:asciiTheme="minorHAnsi" w:hAnsiTheme="minorHAnsi" w:cstheme="minorHAnsi"/>
                <w:sz w:val="20"/>
                <w:szCs w:val="20"/>
                <w:lang w:val="es-ES"/>
              </w:rPr>
              <w:t>proyecto.</w:t>
            </w:r>
            <w:r w:rsidRPr="009A27ED">
              <w:rPr>
                <w:rFonts w:asciiTheme="minorHAnsi" w:hAnsiTheme="minorHAnsi" w:cstheme="minorHAnsi"/>
                <w:spacing w:val="-22"/>
                <w:sz w:val="20"/>
                <w:szCs w:val="20"/>
                <w:lang w:val="es-ES"/>
              </w:rPr>
              <w:t xml:space="preserve"> </w:t>
            </w:r>
            <w:r w:rsidRPr="009A27ED">
              <w:rPr>
                <w:rFonts w:asciiTheme="minorHAnsi" w:hAnsiTheme="minorHAnsi" w:cstheme="minorHAnsi"/>
                <w:sz w:val="20"/>
                <w:szCs w:val="20"/>
                <w:lang w:val="es-ES"/>
              </w:rPr>
              <w:t>Siempre</w:t>
            </w:r>
            <w:r w:rsidRPr="009A27ED">
              <w:rPr>
                <w:rFonts w:asciiTheme="minorHAnsi" w:hAnsiTheme="minorHAnsi" w:cstheme="minorHAnsi"/>
                <w:spacing w:val="-23"/>
                <w:sz w:val="20"/>
                <w:szCs w:val="20"/>
                <w:lang w:val="es-ES"/>
              </w:rPr>
              <w:t xml:space="preserve"> </w:t>
            </w:r>
            <w:r w:rsidRPr="009A27ED">
              <w:rPr>
                <w:rFonts w:asciiTheme="minorHAnsi" w:hAnsiTheme="minorHAnsi" w:cstheme="minorHAnsi"/>
                <w:sz w:val="20"/>
                <w:szCs w:val="20"/>
                <w:lang w:val="es-ES"/>
              </w:rPr>
              <w:t>que</w:t>
            </w:r>
            <w:r w:rsidRPr="009A27ED">
              <w:rPr>
                <w:rFonts w:asciiTheme="minorHAnsi" w:hAnsiTheme="minorHAnsi" w:cstheme="minorHAnsi"/>
                <w:spacing w:val="-21"/>
                <w:sz w:val="20"/>
                <w:szCs w:val="20"/>
                <w:lang w:val="es-ES"/>
              </w:rPr>
              <w:t xml:space="preserve"> </w:t>
            </w:r>
            <w:r w:rsidRPr="009A27ED">
              <w:rPr>
                <w:rFonts w:asciiTheme="minorHAnsi" w:hAnsiTheme="minorHAnsi" w:cstheme="minorHAnsi"/>
                <w:sz w:val="20"/>
                <w:szCs w:val="20"/>
                <w:lang w:val="es-ES"/>
              </w:rPr>
              <w:t>sea</w:t>
            </w:r>
            <w:r w:rsidRPr="009A27ED">
              <w:rPr>
                <w:rFonts w:asciiTheme="minorHAnsi" w:hAnsiTheme="minorHAnsi" w:cstheme="minorHAnsi"/>
                <w:spacing w:val="-22"/>
                <w:sz w:val="20"/>
                <w:szCs w:val="20"/>
                <w:lang w:val="es-ES"/>
              </w:rPr>
              <w:t xml:space="preserve"> </w:t>
            </w:r>
            <w:r w:rsidRPr="009A27ED">
              <w:rPr>
                <w:rFonts w:asciiTheme="minorHAnsi" w:hAnsiTheme="minorHAnsi" w:cstheme="minorHAnsi"/>
                <w:sz w:val="20"/>
                <w:szCs w:val="20"/>
                <w:lang w:val="es-ES"/>
              </w:rPr>
              <w:t>factible,</w:t>
            </w:r>
            <w:r w:rsidRPr="009A27ED">
              <w:rPr>
                <w:rFonts w:asciiTheme="minorHAnsi" w:hAnsiTheme="minorHAnsi" w:cstheme="minorHAnsi"/>
                <w:spacing w:val="-23"/>
                <w:sz w:val="20"/>
                <w:szCs w:val="20"/>
                <w:lang w:val="es-ES"/>
              </w:rPr>
              <w:t xml:space="preserve"> </w:t>
            </w:r>
            <w:r w:rsidRPr="009A27ED">
              <w:rPr>
                <w:rFonts w:asciiTheme="minorHAnsi" w:hAnsiTheme="minorHAnsi" w:cstheme="minorHAnsi"/>
                <w:sz w:val="20"/>
                <w:szCs w:val="20"/>
                <w:lang w:val="es-ES"/>
              </w:rPr>
              <w:t>el</w:t>
            </w:r>
            <w:r w:rsidRPr="009A27ED">
              <w:rPr>
                <w:rFonts w:asciiTheme="minorHAnsi" w:hAnsiTheme="minorHAnsi" w:cstheme="minorHAnsi"/>
                <w:spacing w:val="-22"/>
                <w:sz w:val="20"/>
                <w:szCs w:val="20"/>
                <w:lang w:val="es-ES"/>
              </w:rPr>
              <w:t xml:space="preserve"> </w:t>
            </w:r>
            <w:r w:rsidRPr="009A27ED">
              <w:rPr>
                <w:rFonts w:asciiTheme="minorHAnsi" w:hAnsiTheme="minorHAnsi" w:cstheme="minorHAnsi"/>
                <w:sz w:val="20"/>
                <w:szCs w:val="20"/>
                <w:lang w:val="es-ES"/>
              </w:rPr>
              <w:t>Banco</w:t>
            </w:r>
            <w:r w:rsidRPr="009A27ED">
              <w:rPr>
                <w:rFonts w:asciiTheme="minorHAnsi" w:hAnsiTheme="minorHAnsi" w:cstheme="minorHAnsi"/>
                <w:spacing w:val="-22"/>
                <w:sz w:val="20"/>
                <w:szCs w:val="20"/>
                <w:lang w:val="es-ES"/>
              </w:rPr>
              <w:t xml:space="preserve"> </w:t>
            </w:r>
            <w:r w:rsidRPr="009A27ED">
              <w:rPr>
                <w:rFonts w:asciiTheme="minorHAnsi" w:hAnsiTheme="minorHAnsi" w:cstheme="minorHAnsi"/>
                <w:sz w:val="20"/>
                <w:szCs w:val="20"/>
                <w:lang w:val="es-ES"/>
              </w:rPr>
              <w:t>favorece</w:t>
            </w:r>
            <w:r w:rsidRPr="009A27ED">
              <w:rPr>
                <w:rFonts w:asciiTheme="minorHAnsi" w:hAnsiTheme="minorHAnsi" w:cstheme="minorHAnsi"/>
                <w:spacing w:val="-21"/>
                <w:sz w:val="20"/>
                <w:szCs w:val="20"/>
                <w:lang w:val="es-ES"/>
              </w:rPr>
              <w:t xml:space="preserve"> </w:t>
            </w:r>
            <w:r w:rsidRPr="009A27ED">
              <w:rPr>
                <w:rFonts w:asciiTheme="minorHAnsi" w:hAnsiTheme="minorHAnsi" w:cstheme="minorHAnsi"/>
                <w:sz w:val="20"/>
                <w:szCs w:val="20"/>
                <w:lang w:val="es-ES"/>
              </w:rPr>
              <w:t>las</w:t>
            </w:r>
            <w:r w:rsidRPr="009A27ED">
              <w:rPr>
                <w:rFonts w:asciiTheme="minorHAnsi" w:hAnsiTheme="minorHAnsi" w:cstheme="minorHAnsi"/>
                <w:spacing w:val="-23"/>
                <w:sz w:val="20"/>
                <w:szCs w:val="20"/>
                <w:lang w:val="es-ES"/>
              </w:rPr>
              <w:t xml:space="preserve"> </w:t>
            </w:r>
            <w:r w:rsidRPr="009A27ED">
              <w:rPr>
                <w:rFonts w:asciiTheme="minorHAnsi" w:hAnsiTheme="minorHAnsi" w:cstheme="minorHAnsi"/>
                <w:sz w:val="20"/>
                <w:szCs w:val="20"/>
                <w:lang w:val="es-ES"/>
              </w:rPr>
              <w:t>medidas preventivas</w:t>
            </w:r>
            <w:r w:rsidRPr="009A27ED">
              <w:rPr>
                <w:rFonts w:asciiTheme="minorHAnsi" w:hAnsiTheme="minorHAnsi" w:cstheme="minorHAnsi"/>
                <w:spacing w:val="-22"/>
                <w:sz w:val="20"/>
                <w:szCs w:val="20"/>
                <w:lang w:val="es-ES"/>
              </w:rPr>
              <w:t xml:space="preserve"> </w:t>
            </w:r>
            <w:r w:rsidRPr="009A27ED">
              <w:rPr>
                <w:rFonts w:asciiTheme="minorHAnsi" w:hAnsiTheme="minorHAnsi" w:cstheme="minorHAnsi"/>
                <w:sz w:val="20"/>
                <w:szCs w:val="20"/>
                <w:lang w:val="es-ES"/>
              </w:rPr>
              <w:t>en</w:t>
            </w:r>
            <w:r w:rsidRPr="009A27ED">
              <w:rPr>
                <w:rFonts w:asciiTheme="minorHAnsi" w:hAnsiTheme="minorHAnsi" w:cstheme="minorHAnsi"/>
                <w:spacing w:val="-21"/>
                <w:sz w:val="20"/>
                <w:szCs w:val="20"/>
                <w:lang w:val="es-ES"/>
              </w:rPr>
              <w:t xml:space="preserve"> </w:t>
            </w:r>
            <w:r w:rsidRPr="009A27ED">
              <w:rPr>
                <w:rFonts w:asciiTheme="minorHAnsi" w:hAnsiTheme="minorHAnsi" w:cstheme="minorHAnsi"/>
                <w:sz w:val="20"/>
                <w:szCs w:val="20"/>
                <w:lang w:val="es-ES"/>
              </w:rPr>
              <w:t>vez</w:t>
            </w:r>
            <w:r w:rsidRPr="009A27ED">
              <w:rPr>
                <w:rFonts w:asciiTheme="minorHAnsi" w:hAnsiTheme="minorHAnsi" w:cstheme="minorHAnsi"/>
                <w:spacing w:val="-20"/>
                <w:sz w:val="20"/>
                <w:szCs w:val="20"/>
                <w:lang w:val="es-ES"/>
              </w:rPr>
              <w:t xml:space="preserve"> </w:t>
            </w:r>
            <w:r w:rsidRPr="009A27ED">
              <w:rPr>
                <w:rFonts w:asciiTheme="minorHAnsi" w:hAnsiTheme="minorHAnsi" w:cstheme="minorHAnsi"/>
                <w:sz w:val="20"/>
                <w:szCs w:val="20"/>
                <w:lang w:val="es-ES"/>
              </w:rPr>
              <w:t>de</w:t>
            </w:r>
            <w:r w:rsidRPr="009A27ED">
              <w:rPr>
                <w:rFonts w:asciiTheme="minorHAnsi" w:hAnsiTheme="minorHAnsi" w:cstheme="minorHAnsi"/>
                <w:spacing w:val="-19"/>
                <w:sz w:val="20"/>
                <w:szCs w:val="20"/>
                <w:lang w:val="es-ES"/>
              </w:rPr>
              <w:t xml:space="preserve"> </w:t>
            </w:r>
            <w:r w:rsidRPr="009A27ED">
              <w:rPr>
                <w:rFonts w:asciiTheme="minorHAnsi" w:hAnsiTheme="minorHAnsi" w:cstheme="minorHAnsi"/>
                <w:sz w:val="20"/>
                <w:szCs w:val="20"/>
                <w:lang w:val="es-ES"/>
              </w:rPr>
              <w:t>las</w:t>
            </w:r>
            <w:r w:rsidRPr="009A27ED">
              <w:rPr>
                <w:rFonts w:asciiTheme="minorHAnsi" w:hAnsiTheme="minorHAnsi" w:cstheme="minorHAnsi"/>
                <w:spacing w:val="-22"/>
                <w:sz w:val="20"/>
                <w:szCs w:val="20"/>
                <w:lang w:val="es-ES"/>
              </w:rPr>
              <w:t xml:space="preserve"> </w:t>
            </w:r>
            <w:r w:rsidRPr="009A27ED">
              <w:rPr>
                <w:rFonts w:asciiTheme="minorHAnsi" w:hAnsiTheme="minorHAnsi" w:cstheme="minorHAnsi"/>
                <w:sz w:val="20"/>
                <w:szCs w:val="20"/>
                <w:lang w:val="es-ES"/>
              </w:rPr>
              <w:t>medidas</w:t>
            </w:r>
            <w:r w:rsidRPr="009A27ED">
              <w:rPr>
                <w:rFonts w:asciiTheme="minorHAnsi" w:hAnsiTheme="minorHAnsi" w:cstheme="minorHAnsi"/>
                <w:spacing w:val="-19"/>
                <w:sz w:val="20"/>
                <w:szCs w:val="20"/>
                <w:lang w:val="es-ES"/>
              </w:rPr>
              <w:t xml:space="preserve"> </w:t>
            </w:r>
            <w:r w:rsidRPr="009A27ED">
              <w:rPr>
                <w:rFonts w:asciiTheme="minorHAnsi" w:hAnsiTheme="minorHAnsi" w:cstheme="minorHAnsi"/>
                <w:sz w:val="20"/>
                <w:szCs w:val="20"/>
                <w:lang w:val="es-ES"/>
              </w:rPr>
              <w:t>de</w:t>
            </w:r>
            <w:r w:rsidRPr="009A27ED">
              <w:rPr>
                <w:rFonts w:asciiTheme="minorHAnsi" w:hAnsiTheme="minorHAnsi" w:cstheme="minorHAnsi"/>
                <w:spacing w:val="-22"/>
                <w:sz w:val="20"/>
                <w:szCs w:val="20"/>
                <w:lang w:val="es-ES"/>
              </w:rPr>
              <w:t xml:space="preserve"> </w:t>
            </w:r>
            <w:r w:rsidRPr="009A27ED">
              <w:rPr>
                <w:rFonts w:asciiTheme="minorHAnsi" w:hAnsiTheme="minorHAnsi" w:cstheme="minorHAnsi"/>
                <w:sz w:val="20"/>
                <w:szCs w:val="20"/>
                <w:lang w:val="es-ES"/>
              </w:rPr>
              <w:t>mitigación</w:t>
            </w:r>
            <w:r w:rsidRPr="009A27ED">
              <w:rPr>
                <w:rFonts w:asciiTheme="minorHAnsi" w:hAnsiTheme="minorHAnsi" w:cstheme="minorHAnsi"/>
                <w:spacing w:val="-21"/>
                <w:sz w:val="20"/>
                <w:szCs w:val="20"/>
                <w:lang w:val="es-ES"/>
              </w:rPr>
              <w:t xml:space="preserve"> </w:t>
            </w:r>
            <w:r w:rsidRPr="009A27ED">
              <w:rPr>
                <w:rFonts w:asciiTheme="minorHAnsi" w:hAnsiTheme="minorHAnsi" w:cstheme="minorHAnsi"/>
                <w:sz w:val="20"/>
                <w:szCs w:val="20"/>
                <w:lang w:val="es-ES"/>
              </w:rPr>
              <w:t>o</w:t>
            </w:r>
            <w:r w:rsidRPr="009A27ED">
              <w:rPr>
                <w:rFonts w:asciiTheme="minorHAnsi" w:hAnsiTheme="minorHAnsi" w:cstheme="minorHAnsi"/>
                <w:spacing w:val="-19"/>
                <w:sz w:val="20"/>
                <w:szCs w:val="20"/>
                <w:lang w:val="es-ES"/>
              </w:rPr>
              <w:t xml:space="preserve"> </w:t>
            </w:r>
            <w:r w:rsidRPr="009A27ED">
              <w:rPr>
                <w:rFonts w:asciiTheme="minorHAnsi" w:hAnsiTheme="minorHAnsi" w:cstheme="minorHAnsi"/>
                <w:sz w:val="20"/>
                <w:szCs w:val="20"/>
                <w:lang w:val="es-ES"/>
              </w:rPr>
              <w:t>compensación.</w:t>
            </w:r>
            <w:r w:rsidR="00CD4C75" w:rsidRPr="009A27ED">
              <w:rPr>
                <w:rFonts w:asciiTheme="minorHAnsi" w:hAnsiTheme="minorHAnsi" w:cstheme="minorHAnsi"/>
                <w:sz w:val="20"/>
                <w:szCs w:val="20"/>
                <w:lang w:val="es-ES"/>
              </w:rPr>
              <w:t xml:space="preserve"> </w:t>
            </w:r>
          </w:p>
        </w:tc>
      </w:tr>
      <w:tr w:rsidR="004A289C" w:rsidRPr="009A27ED" w14:paraId="752F9CB6" w14:textId="77777777" w:rsidTr="000A4C43">
        <w:trPr>
          <w:trHeight w:val="628"/>
        </w:trPr>
        <w:tc>
          <w:tcPr>
            <w:tcW w:w="8829" w:type="dxa"/>
          </w:tcPr>
          <w:p w14:paraId="0BD4939D" w14:textId="1A36CFD1" w:rsidR="004A289C" w:rsidRPr="009A27ED" w:rsidRDefault="004A289C" w:rsidP="000A4C43">
            <w:pPr>
              <w:pStyle w:val="TableParagraph"/>
              <w:spacing w:after="120"/>
              <w:ind w:left="107" w:right="94"/>
              <w:rPr>
                <w:rFonts w:asciiTheme="minorHAnsi" w:hAnsiTheme="minorHAnsi" w:cstheme="minorHAnsi"/>
                <w:sz w:val="20"/>
                <w:szCs w:val="20"/>
                <w:lang w:val="es-ES"/>
              </w:rPr>
            </w:pPr>
            <w:r w:rsidRPr="009A27ED">
              <w:rPr>
                <w:rFonts w:asciiTheme="minorHAnsi" w:hAnsiTheme="minorHAnsi" w:cstheme="minorHAnsi"/>
                <w:b/>
                <w:w w:val="95"/>
                <w:sz w:val="20"/>
                <w:szCs w:val="20"/>
                <w:u w:val="single"/>
                <w:lang w:val="es-ES"/>
              </w:rPr>
              <w:t>Hábitats</w:t>
            </w:r>
            <w:r w:rsidRPr="009A27ED">
              <w:rPr>
                <w:rFonts w:asciiTheme="minorHAnsi" w:hAnsiTheme="minorHAnsi" w:cstheme="minorHAnsi"/>
                <w:b/>
                <w:spacing w:val="-12"/>
                <w:w w:val="95"/>
                <w:sz w:val="20"/>
                <w:szCs w:val="20"/>
                <w:u w:val="single"/>
                <w:lang w:val="es-ES"/>
              </w:rPr>
              <w:t xml:space="preserve"> </w:t>
            </w:r>
            <w:r w:rsidRPr="009A27ED">
              <w:rPr>
                <w:rFonts w:asciiTheme="minorHAnsi" w:hAnsiTheme="minorHAnsi" w:cstheme="minorHAnsi"/>
                <w:b/>
                <w:w w:val="95"/>
                <w:sz w:val="20"/>
                <w:szCs w:val="20"/>
                <w:u w:val="single"/>
                <w:lang w:val="es-ES"/>
              </w:rPr>
              <w:t>naturales</w:t>
            </w:r>
            <w:r w:rsidRPr="009A27ED">
              <w:rPr>
                <w:rFonts w:asciiTheme="minorHAnsi" w:hAnsiTheme="minorHAnsi" w:cstheme="minorHAnsi"/>
                <w:b/>
                <w:spacing w:val="-14"/>
                <w:w w:val="95"/>
                <w:sz w:val="20"/>
                <w:szCs w:val="20"/>
                <w:u w:val="single"/>
                <w:lang w:val="es-ES"/>
              </w:rPr>
              <w:t xml:space="preserve"> </w:t>
            </w:r>
            <w:r w:rsidRPr="009A27ED">
              <w:rPr>
                <w:rFonts w:asciiTheme="minorHAnsi" w:hAnsiTheme="minorHAnsi" w:cstheme="minorHAnsi"/>
                <w:b/>
                <w:w w:val="95"/>
                <w:sz w:val="20"/>
                <w:szCs w:val="20"/>
                <w:u w:val="single"/>
                <w:lang w:val="es-ES"/>
              </w:rPr>
              <w:t>(OP</w:t>
            </w:r>
            <w:r w:rsidRPr="009A27ED">
              <w:rPr>
                <w:rFonts w:asciiTheme="minorHAnsi" w:hAnsiTheme="minorHAnsi" w:cstheme="minorHAnsi"/>
                <w:b/>
                <w:spacing w:val="-14"/>
                <w:w w:val="95"/>
                <w:sz w:val="20"/>
                <w:szCs w:val="20"/>
                <w:u w:val="single"/>
                <w:lang w:val="es-ES"/>
              </w:rPr>
              <w:t xml:space="preserve"> </w:t>
            </w:r>
            <w:r w:rsidRPr="009A27ED">
              <w:rPr>
                <w:rFonts w:asciiTheme="minorHAnsi" w:hAnsiTheme="minorHAnsi" w:cstheme="minorHAnsi"/>
                <w:b/>
                <w:w w:val="95"/>
                <w:sz w:val="20"/>
                <w:szCs w:val="20"/>
                <w:u w:val="single"/>
                <w:lang w:val="es-ES"/>
              </w:rPr>
              <w:t>4.0</w:t>
            </w:r>
            <w:r w:rsidR="000C5B5B" w:rsidRPr="009A27ED">
              <w:rPr>
                <w:rFonts w:asciiTheme="minorHAnsi" w:hAnsiTheme="minorHAnsi" w:cstheme="minorHAnsi"/>
                <w:b/>
                <w:w w:val="95"/>
                <w:sz w:val="20"/>
                <w:szCs w:val="20"/>
                <w:u w:val="single"/>
                <w:lang w:val="es-ES"/>
              </w:rPr>
              <w:t>4</w:t>
            </w:r>
            <w:r w:rsidRPr="009A27ED">
              <w:rPr>
                <w:rFonts w:asciiTheme="minorHAnsi" w:hAnsiTheme="minorHAnsi" w:cstheme="minorHAnsi"/>
                <w:b/>
                <w:w w:val="95"/>
                <w:sz w:val="20"/>
                <w:szCs w:val="20"/>
                <w:u w:val="single"/>
                <w:lang w:val="es-ES"/>
              </w:rPr>
              <w:t>)</w:t>
            </w:r>
            <w:r w:rsidRPr="009A27ED">
              <w:rPr>
                <w:rFonts w:asciiTheme="minorHAnsi" w:hAnsiTheme="minorHAnsi" w:cstheme="minorHAnsi"/>
                <w:w w:val="95"/>
                <w:sz w:val="20"/>
                <w:szCs w:val="20"/>
                <w:lang w:val="es-ES"/>
              </w:rPr>
              <w:t>:</w:t>
            </w:r>
            <w:r w:rsidRPr="009A27ED">
              <w:rPr>
                <w:rFonts w:asciiTheme="minorHAnsi" w:hAnsiTheme="minorHAnsi" w:cstheme="minorHAnsi"/>
                <w:spacing w:val="-14"/>
                <w:w w:val="95"/>
                <w:sz w:val="20"/>
                <w:szCs w:val="20"/>
                <w:lang w:val="es-ES"/>
              </w:rPr>
              <w:t xml:space="preserve"> </w:t>
            </w:r>
            <w:r w:rsidRPr="009A27ED">
              <w:rPr>
                <w:rFonts w:asciiTheme="minorHAnsi" w:hAnsiTheme="minorHAnsi" w:cstheme="minorHAnsi"/>
                <w:w w:val="95"/>
                <w:sz w:val="20"/>
                <w:szCs w:val="20"/>
                <w:lang w:val="es-ES"/>
              </w:rPr>
              <w:t>promueve</w:t>
            </w:r>
            <w:r w:rsidRPr="009A27ED">
              <w:rPr>
                <w:rFonts w:asciiTheme="minorHAnsi" w:hAnsiTheme="minorHAnsi" w:cstheme="minorHAnsi"/>
                <w:spacing w:val="-15"/>
                <w:w w:val="95"/>
                <w:sz w:val="20"/>
                <w:szCs w:val="20"/>
                <w:lang w:val="es-ES"/>
              </w:rPr>
              <w:t xml:space="preserve"> </w:t>
            </w:r>
            <w:r w:rsidRPr="009A27ED">
              <w:rPr>
                <w:rFonts w:asciiTheme="minorHAnsi" w:hAnsiTheme="minorHAnsi" w:cstheme="minorHAnsi"/>
                <w:w w:val="95"/>
                <w:sz w:val="20"/>
                <w:szCs w:val="20"/>
                <w:lang w:val="es-ES"/>
              </w:rPr>
              <w:t>el</w:t>
            </w:r>
            <w:r w:rsidRPr="009A27ED">
              <w:rPr>
                <w:rFonts w:asciiTheme="minorHAnsi" w:hAnsiTheme="minorHAnsi" w:cstheme="minorHAnsi"/>
                <w:spacing w:val="-13"/>
                <w:w w:val="95"/>
                <w:sz w:val="20"/>
                <w:szCs w:val="20"/>
                <w:lang w:val="es-ES"/>
              </w:rPr>
              <w:t xml:space="preserve"> </w:t>
            </w:r>
            <w:r w:rsidRPr="009A27ED">
              <w:rPr>
                <w:rFonts w:asciiTheme="minorHAnsi" w:hAnsiTheme="minorHAnsi" w:cstheme="minorHAnsi"/>
                <w:w w:val="95"/>
                <w:sz w:val="20"/>
                <w:szCs w:val="20"/>
                <w:lang w:val="es-ES"/>
              </w:rPr>
              <w:t>desarrollo</w:t>
            </w:r>
            <w:r w:rsidRPr="009A27ED">
              <w:rPr>
                <w:rFonts w:asciiTheme="minorHAnsi" w:hAnsiTheme="minorHAnsi" w:cstheme="minorHAnsi"/>
                <w:spacing w:val="-13"/>
                <w:w w:val="95"/>
                <w:sz w:val="20"/>
                <w:szCs w:val="20"/>
                <w:lang w:val="es-ES"/>
              </w:rPr>
              <w:t xml:space="preserve"> </w:t>
            </w:r>
            <w:r w:rsidRPr="009A27ED">
              <w:rPr>
                <w:rFonts w:asciiTheme="minorHAnsi" w:hAnsiTheme="minorHAnsi" w:cstheme="minorHAnsi"/>
                <w:w w:val="95"/>
                <w:sz w:val="20"/>
                <w:szCs w:val="20"/>
                <w:lang w:val="es-ES"/>
              </w:rPr>
              <w:t>sostenible</w:t>
            </w:r>
            <w:r w:rsidRPr="009A27ED">
              <w:rPr>
                <w:rFonts w:asciiTheme="minorHAnsi" w:hAnsiTheme="minorHAnsi" w:cstheme="minorHAnsi"/>
                <w:spacing w:val="-14"/>
                <w:w w:val="95"/>
                <w:sz w:val="20"/>
                <w:szCs w:val="20"/>
                <w:lang w:val="es-ES"/>
              </w:rPr>
              <w:t xml:space="preserve"> </w:t>
            </w:r>
            <w:r w:rsidRPr="009A27ED">
              <w:rPr>
                <w:rFonts w:asciiTheme="minorHAnsi" w:hAnsiTheme="minorHAnsi" w:cstheme="minorHAnsi"/>
                <w:w w:val="95"/>
                <w:sz w:val="20"/>
                <w:szCs w:val="20"/>
                <w:lang w:val="es-ES"/>
              </w:rPr>
              <w:t>en</w:t>
            </w:r>
            <w:r w:rsidRPr="009A27ED">
              <w:rPr>
                <w:rFonts w:asciiTheme="minorHAnsi" w:hAnsiTheme="minorHAnsi" w:cstheme="minorHAnsi"/>
                <w:spacing w:val="-15"/>
                <w:w w:val="95"/>
                <w:sz w:val="20"/>
                <w:szCs w:val="20"/>
                <w:lang w:val="es-ES"/>
              </w:rPr>
              <w:t xml:space="preserve"> </w:t>
            </w:r>
            <w:r w:rsidRPr="009A27ED">
              <w:rPr>
                <w:rFonts w:asciiTheme="minorHAnsi" w:hAnsiTheme="minorHAnsi" w:cstheme="minorHAnsi"/>
                <w:w w:val="95"/>
                <w:sz w:val="20"/>
                <w:szCs w:val="20"/>
                <w:lang w:val="es-ES"/>
              </w:rPr>
              <w:t>armonía</w:t>
            </w:r>
            <w:r w:rsidRPr="009A27ED">
              <w:rPr>
                <w:rFonts w:asciiTheme="minorHAnsi" w:hAnsiTheme="minorHAnsi" w:cstheme="minorHAnsi"/>
                <w:spacing w:val="-14"/>
                <w:w w:val="95"/>
                <w:sz w:val="20"/>
                <w:szCs w:val="20"/>
                <w:lang w:val="es-ES"/>
              </w:rPr>
              <w:t xml:space="preserve"> </w:t>
            </w:r>
            <w:r w:rsidRPr="009A27ED">
              <w:rPr>
                <w:rFonts w:asciiTheme="minorHAnsi" w:hAnsiTheme="minorHAnsi" w:cstheme="minorHAnsi"/>
                <w:w w:val="95"/>
                <w:sz w:val="20"/>
                <w:szCs w:val="20"/>
                <w:lang w:val="es-ES"/>
              </w:rPr>
              <w:t>con</w:t>
            </w:r>
            <w:r w:rsidRPr="009A27ED">
              <w:rPr>
                <w:rFonts w:asciiTheme="minorHAnsi" w:hAnsiTheme="minorHAnsi" w:cstheme="minorHAnsi"/>
                <w:spacing w:val="-14"/>
                <w:w w:val="95"/>
                <w:sz w:val="20"/>
                <w:szCs w:val="20"/>
                <w:lang w:val="es-ES"/>
              </w:rPr>
              <w:t xml:space="preserve"> </w:t>
            </w:r>
            <w:r w:rsidRPr="009A27ED">
              <w:rPr>
                <w:rFonts w:asciiTheme="minorHAnsi" w:hAnsiTheme="minorHAnsi" w:cstheme="minorHAnsi"/>
                <w:w w:val="95"/>
                <w:sz w:val="20"/>
                <w:szCs w:val="20"/>
                <w:lang w:val="es-ES"/>
              </w:rPr>
              <w:t>el</w:t>
            </w:r>
            <w:r w:rsidRPr="009A27ED">
              <w:rPr>
                <w:rFonts w:asciiTheme="minorHAnsi" w:hAnsiTheme="minorHAnsi" w:cstheme="minorHAnsi"/>
                <w:spacing w:val="-14"/>
                <w:w w:val="95"/>
                <w:sz w:val="20"/>
                <w:szCs w:val="20"/>
                <w:lang w:val="es-ES"/>
              </w:rPr>
              <w:t xml:space="preserve"> </w:t>
            </w:r>
            <w:r w:rsidRPr="009A27ED">
              <w:rPr>
                <w:rFonts w:asciiTheme="minorHAnsi" w:hAnsiTheme="minorHAnsi" w:cstheme="minorHAnsi"/>
                <w:w w:val="95"/>
                <w:sz w:val="20"/>
                <w:szCs w:val="20"/>
                <w:lang w:val="es-ES"/>
              </w:rPr>
              <w:t>ambiente,</w:t>
            </w:r>
            <w:r w:rsidRPr="009A27ED">
              <w:rPr>
                <w:rFonts w:asciiTheme="minorHAnsi" w:hAnsiTheme="minorHAnsi" w:cstheme="minorHAnsi"/>
                <w:spacing w:val="-15"/>
                <w:w w:val="95"/>
                <w:sz w:val="20"/>
                <w:szCs w:val="20"/>
                <w:lang w:val="es-ES"/>
              </w:rPr>
              <w:t xml:space="preserve"> </w:t>
            </w:r>
            <w:r w:rsidRPr="009A27ED">
              <w:rPr>
                <w:rFonts w:asciiTheme="minorHAnsi" w:hAnsiTheme="minorHAnsi" w:cstheme="minorHAnsi"/>
                <w:w w:val="95"/>
                <w:sz w:val="20"/>
                <w:szCs w:val="20"/>
                <w:lang w:val="es-ES"/>
              </w:rPr>
              <w:t>a través</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de</w:t>
            </w:r>
            <w:r w:rsidRPr="009A27ED">
              <w:rPr>
                <w:rFonts w:asciiTheme="minorHAnsi" w:hAnsiTheme="minorHAnsi" w:cstheme="minorHAnsi"/>
                <w:spacing w:val="-27"/>
                <w:w w:val="95"/>
                <w:sz w:val="20"/>
                <w:szCs w:val="20"/>
                <w:lang w:val="es-ES"/>
              </w:rPr>
              <w:t xml:space="preserve"> </w:t>
            </w:r>
            <w:r w:rsidRPr="009A27ED">
              <w:rPr>
                <w:rFonts w:asciiTheme="minorHAnsi" w:hAnsiTheme="minorHAnsi" w:cstheme="minorHAnsi"/>
                <w:w w:val="95"/>
                <w:sz w:val="20"/>
                <w:szCs w:val="20"/>
                <w:lang w:val="es-ES"/>
              </w:rPr>
              <w:t>la</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protección,</w:t>
            </w:r>
            <w:r w:rsidRPr="009A27ED">
              <w:rPr>
                <w:rFonts w:asciiTheme="minorHAnsi" w:hAnsiTheme="minorHAnsi" w:cstheme="minorHAnsi"/>
                <w:spacing w:val="-27"/>
                <w:w w:val="95"/>
                <w:sz w:val="20"/>
                <w:szCs w:val="20"/>
                <w:lang w:val="es-ES"/>
              </w:rPr>
              <w:t xml:space="preserve"> </w:t>
            </w:r>
            <w:r w:rsidRPr="009A27ED">
              <w:rPr>
                <w:rFonts w:asciiTheme="minorHAnsi" w:hAnsiTheme="minorHAnsi" w:cstheme="minorHAnsi"/>
                <w:w w:val="95"/>
                <w:sz w:val="20"/>
                <w:szCs w:val="20"/>
                <w:lang w:val="es-ES"/>
              </w:rPr>
              <w:t>conservación,</w:t>
            </w:r>
            <w:r w:rsidRPr="009A27ED">
              <w:rPr>
                <w:rFonts w:asciiTheme="minorHAnsi" w:hAnsiTheme="minorHAnsi" w:cstheme="minorHAnsi"/>
                <w:spacing w:val="-29"/>
                <w:w w:val="95"/>
                <w:sz w:val="20"/>
                <w:szCs w:val="20"/>
                <w:lang w:val="es-ES"/>
              </w:rPr>
              <w:t xml:space="preserve"> </w:t>
            </w:r>
            <w:r w:rsidRPr="009A27ED">
              <w:rPr>
                <w:rFonts w:asciiTheme="minorHAnsi" w:hAnsiTheme="minorHAnsi" w:cstheme="minorHAnsi"/>
                <w:w w:val="95"/>
                <w:sz w:val="20"/>
                <w:szCs w:val="20"/>
                <w:lang w:val="es-ES"/>
              </w:rPr>
              <w:t>mantenimiento</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y</w:t>
            </w:r>
            <w:r w:rsidRPr="009A27ED">
              <w:rPr>
                <w:rFonts w:asciiTheme="minorHAnsi" w:hAnsiTheme="minorHAnsi" w:cstheme="minorHAnsi"/>
                <w:spacing w:val="-27"/>
                <w:w w:val="95"/>
                <w:sz w:val="20"/>
                <w:szCs w:val="20"/>
                <w:lang w:val="es-ES"/>
              </w:rPr>
              <w:t xml:space="preserve"> </w:t>
            </w:r>
            <w:r w:rsidRPr="009A27ED">
              <w:rPr>
                <w:rFonts w:asciiTheme="minorHAnsi" w:hAnsiTheme="minorHAnsi" w:cstheme="minorHAnsi"/>
                <w:w w:val="95"/>
                <w:sz w:val="20"/>
                <w:szCs w:val="20"/>
                <w:lang w:val="es-ES"/>
              </w:rPr>
              <w:t>rehabilitación</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de</w:t>
            </w:r>
            <w:r w:rsidRPr="009A27ED">
              <w:rPr>
                <w:rFonts w:asciiTheme="minorHAnsi" w:hAnsiTheme="minorHAnsi" w:cstheme="minorHAnsi"/>
                <w:spacing w:val="-27"/>
                <w:w w:val="95"/>
                <w:sz w:val="20"/>
                <w:szCs w:val="20"/>
                <w:lang w:val="es-ES"/>
              </w:rPr>
              <w:t xml:space="preserve"> </w:t>
            </w:r>
            <w:r w:rsidRPr="009A27ED">
              <w:rPr>
                <w:rFonts w:asciiTheme="minorHAnsi" w:hAnsiTheme="minorHAnsi" w:cstheme="minorHAnsi"/>
                <w:w w:val="95"/>
                <w:sz w:val="20"/>
                <w:szCs w:val="20"/>
                <w:lang w:val="es-ES"/>
              </w:rPr>
              <w:t>hábitats</w:t>
            </w:r>
            <w:r w:rsidRPr="009A27ED">
              <w:rPr>
                <w:rFonts w:asciiTheme="minorHAnsi" w:hAnsiTheme="minorHAnsi" w:cstheme="minorHAnsi"/>
                <w:spacing w:val="-29"/>
                <w:w w:val="95"/>
                <w:sz w:val="20"/>
                <w:szCs w:val="20"/>
                <w:lang w:val="es-ES"/>
              </w:rPr>
              <w:t xml:space="preserve"> </w:t>
            </w:r>
            <w:r w:rsidRPr="009A27ED">
              <w:rPr>
                <w:rFonts w:asciiTheme="minorHAnsi" w:hAnsiTheme="minorHAnsi" w:cstheme="minorHAnsi"/>
                <w:w w:val="95"/>
                <w:sz w:val="20"/>
                <w:szCs w:val="20"/>
                <w:lang w:val="es-ES"/>
              </w:rPr>
              <w:t>naturales</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y</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 xml:space="preserve">sus </w:t>
            </w:r>
            <w:r w:rsidRPr="009A27ED">
              <w:rPr>
                <w:rFonts w:asciiTheme="minorHAnsi" w:hAnsiTheme="minorHAnsi" w:cstheme="minorHAnsi"/>
                <w:sz w:val="20"/>
                <w:szCs w:val="20"/>
                <w:lang w:val="es-ES"/>
              </w:rPr>
              <w:t>funciones</w:t>
            </w:r>
            <w:r w:rsidR="00CD4C75" w:rsidRPr="009A27ED">
              <w:rPr>
                <w:rFonts w:asciiTheme="minorHAnsi" w:hAnsiTheme="minorHAnsi" w:cstheme="minorHAnsi"/>
                <w:sz w:val="20"/>
                <w:szCs w:val="20"/>
                <w:lang w:val="es-ES"/>
              </w:rPr>
              <w:t xml:space="preserve"> </w:t>
            </w:r>
            <w:r w:rsidR="00CD4C75" w:rsidRPr="009A27ED">
              <w:rPr>
                <w:rFonts w:asciiTheme="minorHAnsi" w:hAnsiTheme="minorHAnsi" w:cstheme="minorHAnsi"/>
                <w:w w:val="95"/>
                <w:sz w:val="20"/>
                <w:szCs w:val="20"/>
                <w:lang w:val="es-ES"/>
              </w:rPr>
              <w:t>El</w:t>
            </w:r>
            <w:r w:rsidR="00CD4C75" w:rsidRPr="009A27ED">
              <w:rPr>
                <w:rFonts w:asciiTheme="minorHAnsi" w:hAnsiTheme="minorHAnsi" w:cstheme="minorHAnsi"/>
                <w:spacing w:val="-39"/>
                <w:w w:val="95"/>
                <w:sz w:val="20"/>
                <w:szCs w:val="20"/>
                <w:lang w:val="es-ES"/>
              </w:rPr>
              <w:t xml:space="preserve">  </w:t>
            </w:r>
            <w:r w:rsidR="00CD4C75" w:rsidRPr="009A27ED">
              <w:rPr>
                <w:rFonts w:asciiTheme="minorHAnsi" w:hAnsiTheme="minorHAnsi" w:cstheme="minorHAnsi"/>
                <w:w w:val="95"/>
                <w:sz w:val="20"/>
                <w:szCs w:val="20"/>
                <w:lang w:val="es-ES"/>
              </w:rPr>
              <w:t>Banco</w:t>
            </w:r>
            <w:r w:rsidR="00CD4C75" w:rsidRPr="009A27ED">
              <w:rPr>
                <w:rFonts w:asciiTheme="minorHAnsi" w:hAnsiTheme="minorHAnsi" w:cstheme="minorHAnsi"/>
                <w:spacing w:val="-38"/>
                <w:w w:val="95"/>
                <w:sz w:val="20"/>
                <w:szCs w:val="20"/>
                <w:lang w:val="es-ES"/>
              </w:rPr>
              <w:t xml:space="preserve">  </w:t>
            </w:r>
            <w:r w:rsidR="00CD4C75" w:rsidRPr="009A27ED">
              <w:rPr>
                <w:rFonts w:asciiTheme="minorHAnsi" w:hAnsiTheme="minorHAnsi" w:cstheme="minorHAnsi"/>
                <w:w w:val="95"/>
                <w:sz w:val="20"/>
                <w:szCs w:val="20"/>
                <w:lang w:val="es-ES"/>
              </w:rPr>
              <w:t>promueve</w:t>
            </w:r>
            <w:r w:rsidR="00CD4C75" w:rsidRPr="009A27ED">
              <w:rPr>
                <w:rFonts w:asciiTheme="minorHAnsi" w:hAnsiTheme="minorHAnsi" w:cstheme="minorHAnsi"/>
                <w:spacing w:val="-39"/>
                <w:w w:val="95"/>
                <w:sz w:val="20"/>
                <w:szCs w:val="20"/>
                <w:lang w:val="es-ES"/>
              </w:rPr>
              <w:t xml:space="preserve"> </w:t>
            </w:r>
            <w:r w:rsidR="00CD4C75" w:rsidRPr="009A27ED">
              <w:rPr>
                <w:rFonts w:asciiTheme="minorHAnsi" w:hAnsiTheme="minorHAnsi" w:cstheme="minorHAnsi"/>
                <w:w w:val="95"/>
                <w:sz w:val="20"/>
                <w:szCs w:val="20"/>
                <w:lang w:val="es-ES"/>
              </w:rPr>
              <w:t>y</w:t>
            </w:r>
            <w:r w:rsidR="00CD4C75" w:rsidRPr="009A27ED">
              <w:rPr>
                <w:rFonts w:asciiTheme="minorHAnsi" w:hAnsiTheme="minorHAnsi" w:cstheme="minorHAnsi"/>
                <w:spacing w:val="-38"/>
                <w:w w:val="95"/>
                <w:sz w:val="20"/>
                <w:szCs w:val="20"/>
                <w:lang w:val="es-ES"/>
              </w:rPr>
              <w:t xml:space="preserve"> </w:t>
            </w:r>
            <w:r w:rsidR="00CD4C75" w:rsidRPr="009A27ED">
              <w:rPr>
                <w:rFonts w:asciiTheme="minorHAnsi" w:hAnsiTheme="minorHAnsi" w:cstheme="minorHAnsi"/>
                <w:w w:val="95"/>
                <w:sz w:val="20"/>
                <w:szCs w:val="20"/>
                <w:lang w:val="es-ES"/>
              </w:rPr>
              <w:t>apoya</w:t>
            </w:r>
            <w:r w:rsidR="00CD4C75" w:rsidRPr="009A27ED">
              <w:rPr>
                <w:rFonts w:asciiTheme="minorHAnsi" w:hAnsiTheme="minorHAnsi" w:cstheme="minorHAnsi"/>
                <w:spacing w:val="-39"/>
                <w:w w:val="95"/>
                <w:sz w:val="20"/>
                <w:szCs w:val="20"/>
                <w:lang w:val="es-ES"/>
              </w:rPr>
              <w:t xml:space="preserve"> </w:t>
            </w:r>
            <w:r w:rsidR="00CD4C75" w:rsidRPr="009A27ED">
              <w:rPr>
                <w:rFonts w:asciiTheme="minorHAnsi" w:hAnsiTheme="minorHAnsi" w:cstheme="minorHAnsi"/>
                <w:w w:val="95"/>
                <w:sz w:val="20"/>
                <w:szCs w:val="20"/>
                <w:lang w:val="es-ES"/>
              </w:rPr>
              <w:t>la</w:t>
            </w:r>
            <w:r w:rsidR="00CD4C75" w:rsidRPr="009A27ED">
              <w:rPr>
                <w:rFonts w:asciiTheme="minorHAnsi" w:hAnsiTheme="minorHAnsi" w:cstheme="minorHAnsi"/>
                <w:spacing w:val="-39"/>
                <w:w w:val="95"/>
                <w:sz w:val="20"/>
                <w:szCs w:val="20"/>
                <w:lang w:val="es-ES"/>
              </w:rPr>
              <w:t xml:space="preserve"> </w:t>
            </w:r>
            <w:r w:rsidR="00CD4C75" w:rsidRPr="009A27ED">
              <w:rPr>
                <w:rFonts w:asciiTheme="minorHAnsi" w:hAnsiTheme="minorHAnsi" w:cstheme="minorHAnsi"/>
                <w:w w:val="95"/>
                <w:sz w:val="20"/>
                <w:szCs w:val="20"/>
                <w:lang w:val="es-ES"/>
              </w:rPr>
              <w:t>conservación</w:t>
            </w:r>
            <w:r w:rsidR="00CD4C75" w:rsidRPr="009A27ED">
              <w:rPr>
                <w:rFonts w:asciiTheme="minorHAnsi" w:hAnsiTheme="minorHAnsi" w:cstheme="minorHAnsi"/>
                <w:spacing w:val="-38"/>
                <w:w w:val="95"/>
                <w:sz w:val="20"/>
                <w:szCs w:val="20"/>
                <w:lang w:val="es-ES"/>
              </w:rPr>
              <w:t xml:space="preserve"> </w:t>
            </w:r>
            <w:r w:rsidR="00CD4C75" w:rsidRPr="009A27ED">
              <w:rPr>
                <w:rFonts w:asciiTheme="minorHAnsi" w:hAnsiTheme="minorHAnsi" w:cstheme="minorHAnsi"/>
                <w:w w:val="95"/>
                <w:sz w:val="20"/>
                <w:szCs w:val="20"/>
                <w:lang w:val="es-ES"/>
              </w:rPr>
              <w:t>de</w:t>
            </w:r>
            <w:r w:rsidR="00CD4C75" w:rsidRPr="009A27ED">
              <w:rPr>
                <w:rFonts w:asciiTheme="minorHAnsi" w:hAnsiTheme="minorHAnsi" w:cstheme="minorHAnsi"/>
                <w:spacing w:val="-40"/>
                <w:w w:val="95"/>
                <w:sz w:val="20"/>
                <w:szCs w:val="20"/>
                <w:lang w:val="es-ES"/>
              </w:rPr>
              <w:t xml:space="preserve"> </w:t>
            </w:r>
            <w:r w:rsidR="00CD4C75" w:rsidRPr="009A27ED">
              <w:rPr>
                <w:rFonts w:asciiTheme="minorHAnsi" w:hAnsiTheme="minorHAnsi" w:cstheme="minorHAnsi"/>
                <w:w w:val="95"/>
                <w:sz w:val="20"/>
                <w:szCs w:val="20"/>
                <w:lang w:val="es-ES"/>
              </w:rPr>
              <w:t>los</w:t>
            </w:r>
            <w:r w:rsidR="00CD4C75" w:rsidRPr="009A27ED">
              <w:rPr>
                <w:rFonts w:asciiTheme="minorHAnsi" w:hAnsiTheme="minorHAnsi" w:cstheme="minorHAnsi"/>
                <w:spacing w:val="-39"/>
                <w:w w:val="95"/>
                <w:sz w:val="20"/>
                <w:szCs w:val="20"/>
                <w:lang w:val="es-ES"/>
              </w:rPr>
              <w:t xml:space="preserve"> </w:t>
            </w:r>
            <w:r w:rsidR="00CD4C75" w:rsidRPr="009A27ED">
              <w:rPr>
                <w:rFonts w:asciiTheme="minorHAnsi" w:hAnsiTheme="minorHAnsi" w:cstheme="minorHAnsi"/>
                <w:w w:val="95"/>
                <w:sz w:val="20"/>
                <w:szCs w:val="20"/>
                <w:lang w:val="es-ES"/>
              </w:rPr>
              <w:t>hábitats</w:t>
            </w:r>
            <w:r w:rsidR="00CD4C75" w:rsidRPr="009A27ED">
              <w:rPr>
                <w:rFonts w:asciiTheme="minorHAnsi" w:hAnsiTheme="minorHAnsi" w:cstheme="minorHAnsi"/>
                <w:spacing w:val="-38"/>
                <w:w w:val="95"/>
                <w:sz w:val="20"/>
                <w:szCs w:val="20"/>
                <w:lang w:val="es-ES"/>
              </w:rPr>
              <w:t xml:space="preserve"> </w:t>
            </w:r>
            <w:r w:rsidR="00CD4C75" w:rsidRPr="009A27ED">
              <w:rPr>
                <w:rFonts w:asciiTheme="minorHAnsi" w:hAnsiTheme="minorHAnsi" w:cstheme="minorHAnsi"/>
                <w:w w:val="95"/>
                <w:sz w:val="20"/>
                <w:szCs w:val="20"/>
                <w:lang w:val="es-ES"/>
              </w:rPr>
              <w:t>naturales</w:t>
            </w:r>
            <w:r w:rsidR="00CD4C75" w:rsidRPr="009A27ED">
              <w:rPr>
                <w:rFonts w:asciiTheme="minorHAnsi" w:hAnsiTheme="minorHAnsi" w:cstheme="minorHAnsi"/>
                <w:spacing w:val="-39"/>
                <w:w w:val="95"/>
                <w:sz w:val="20"/>
                <w:szCs w:val="20"/>
                <w:lang w:val="es-ES"/>
              </w:rPr>
              <w:t xml:space="preserve"> </w:t>
            </w:r>
            <w:r w:rsidR="00CD4C75" w:rsidRPr="009A27ED">
              <w:rPr>
                <w:rFonts w:asciiTheme="minorHAnsi" w:hAnsiTheme="minorHAnsi" w:cstheme="minorHAnsi"/>
                <w:w w:val="95"/>
                <w:sz w:val="20"/>
                <w:szCs w:val="20"/>
                <w:lang w:val="es-ES"/>
              </w:rPr>
              <w:t>y</w:t>
            </w:r>
            <w:r w:rsidR="00CD4C75" w:rsidRPr="009A27ED">
              <w:rPr>
                <w:rFonts w:asciiTheme="minorHAnsi" w:hAnsiTheme="minorHAnsi" w:cstheme="minorHAnsi"/>
                <w:spacing w:val="-39"/>
                <w:w w:val="95"/>
                <w:sz w:val="20"/>
                <w:szCs w:val="20"/>
                <w:lang w:val="es-ES"/>
              </w:rPr>
              <w:t xml:space="preserve"> </w:t>
            </w:r>
            <w:r w:rsidR="00CD4C75" w:rsidRPr="009A27ED">
              <w:rPr>
                <w:rFonts w:asciiTheme="minorHAnsi" w:hAnsiTheme="minorHAnsi" w:cstheme="minorHAnsi"/>
                <w:w w:val="95"/>
                <w:sz w:val="20"/>
                <w:szCs w:val="20"/>
                <w:lang w:val="es-ES"/>
              </w:rPr>
              <w:t>un</w:t>
            </w:r>
            <w:r w:rsidR="00CD4C75" w:rsidRPr="009A27ED">
              <w:rPr>
                <w:rFonts w:asciiTheme="minorHAnsi" w:hAnsiTheme="minorHAnsi" w:cstheme="minorHAnsi"/>
                <w:spacing w:val="-38"/>
                <w:w w:val="95"/>
                <w:sz w:val="20"/>
                <w:szCs w:val="20"/>
                <w:lang w:val="es-ES"/>
              </w:rPr>
              <w:t xml:space="preserve"> </w:t>
            </w:r>
            <w:r w:rsidR="00CD4C75" w:rsidRPr="009A27ED">
              <w:rPr>
                <w:rFonts w:asciiTheme="minorHAnsi" w:hAnsiTheme="minorHAnsi" w:cstheme="minorHAnsi"/>
                <w:w w:val="95"/>
                <w:sz w:val="20"/>
                <w:szCs w:val="20"/>
                <w:lang w:val="es-ES"/>
              </w:rPr>
              <w:t>mejor</w:t>
            </w:r>
            <w:r w:rsidR="00CD4C75" w:rsidRPr="009A27ED">
              <w:rPr>
                <w:rFonts w:asciiTheme="minorHAnsi" w:hAnsiTheme="minorHAnsi" w:cstheme="minorHAnsi"/>
                <w:spacing w:val="-40"/>
                <w:w w:val="95"/>
                <w:sz w:val="20"/>
                <w:szCs w:val="20"/>
                <w:lang w:val="es-ES"/>
              </w:rPr>
              <w:t xml:space="preserve"> </w:t>
            </w:r>
            <w:r w:rsidR="00CD4C75" w:rsidRPr="009A27ED">
              <w:rPr>
                <w:rFonts w:asciiTheme="minorHAnsi" w:hAnsiTheme="minorHAnsi" w:cstheme="minorHAnsi"/>
                <w:w w:val="95"/>
                <w:sz w:val="20"/>
                <w:szCs w:val="20"/>
                <w:lang w:val="es-ES"/>
              </w:rPr>
              <w:t xml:space="preserve">aprovechamiento </w:t>
            </w:r>
            <w:r w:rsidR="00CD4C75" w:rsidRPr="009A27ED">
              <w:rPr>
                <w:rFonts w:asciiTheme="minorHAnsi" w:hAnsiTheme="minorHAnsi" w:cstheme="minorHAnsi"/>
                <w:sz w:val="20"/>
                <w:szCs w:val="20"/>
                <w:lang w:val="es-ES"/>
              </w:rPr>
              <w:t>del suelo mediante el financiamiento de proyectos dirigidos a integrar, en las políticas</w:t>
            </w:r>
            <w:r w:rsidR="00CD4C75" w:rsidRPr="009A27ED">
              <w:rPr>
                <w:rFonts w:asciiTheme="minorHAnsi" w:hAnsiTheme="minorHAnsi" w:cstheme="minorHAnsi"/>
                <w:spacing w:val="-33"/>
                <w:sz w:val="20"/>
                <w:szCs w:val="20"/>
                <w:lang w:val="es-ES"/>
              </w:rPr>
              <w:t xml:space="preserve"> </w:t>
            </w:r>
            <w:r w:rsidR="00CD4C75" w:rsidRPr="009A27ED">
              <w:rPr>
                <w:rFonts w:asciiTheme="minorHAnsi" w:hAnsiTheme="minorHAnsi" w:cstheme="minorHAnsi"/>
                <w:sz w:val="20"/>
                <w:szCs w:val="20"/>
                <w:lang w:val="es-ES"/>
              </w:rPr>
              <w:t xml:space="preserve">de </w:t>
            </w:r>
            <w:r w:rsidR="00CD4C75" w:rsidRPr="009A27ED">
              <w:rPr>
                <w:rFonts w:asciiTheme="minorHAnsi" w:hAnsiTheme="minorHAnsi" w:cstheme="minorHAnsi"/>
                <w:w w:val="95"/>
                <w:sz w:val="20"/>
                <w:szCs w:val="20"/>
                <w:lang w:val="es-ES"/>
              </w:rPr>
              <w:t>desarrollo</w:t>
            </w:r>
            <w:r w:rsidR="00CD4C75" w:rsidRPr="009A27ED">
              <w:rPr>
                <w:rFonts w:asciiTheme="minorHAnsi" w:hAnsiTheme="minorHAnsi" w:cstheme="minorHAnsi"/>
                <w:spacing w:val="-8"/>
                <w:w w:val="95"/>
                <w:sz w:val="20"/>
                <w:szCs w:val="20"/>
                <w:lang w:val="es-ES"/>
              </w:rPr>
              <w:t xml:space="preserve"> </w:t>
            </w:r>
            <w:r w:rsidR="00CD4C75" w:rsidRPr="009A27ED">
              <w:rPr>
                <w:rFonts w:asciiTheme="minorHAnsi" w:hAnsiTheme="minorHAnsi" w:cstheme="minorHAnsi"/>
                <w:w w:val="95"/>
                <w:sz w:val="20"/>
                <w:szCs w:val="20"/>
                <w:lang w:val="es-ES"/>
              </w:rPr>
              <w:t>nacional</w:t>
            </w:r>
            <w:r w:rsidR="00CD4C75" w:rsidRPr="009A27ED">
              <w:rPr>
                <w:rFonts w:asciiTheme="minorHAnsi" w:hAnsiTheme="minorHAnsi" w:cstheme="minorHAnsi"/>
                <w:spacing w:val="-11"/>
                <w:w w:val="95"/>
                <w:sz w:val="20"/>
                <w:szCs w:val="20"/>
                <w:lang w:val="es-ES"/>
              </w:rPr>
              <w:t xml:space="preserve"> </w:t>
            </w:r>
            <w:r w:rsidR="00CD4C75" w:rsidRPr="009A27ED">
              <w:rPr>
                <w:rFonts w:asciiTheme="minorHAnsi" w:hAnsiTheme="minorHAnsi" w:cstheme="minorHAnsi"/>
                <w:w w:val="95"/>
                <w:sz w:val="20"/>
                <w:szCs w:val="20"/>
                <w:lang w:val="es-ES"/>
              </w:rPr>
              <w:t>y</w:t>
            </w:r>
            <w:r w:rsidR="00CD4C75" w:rsidRPr="009A27ED">
              <w:rPr>
                <w:rFonts w:asciiTheme="minorHAnsi" w:hAnsiTheme="minorHAnsi" w:cstheme="minorHAnsi"/>
                <w:spacing w:val="-7"/>
                <w:w w:val="95"/>
                <w:sz w:val="20"/>
                <w:szCs w:val="20"/>
                <w:lang w:val="es-ES"/>
              </w:rPr>
              <w:t xml:space="preserve"> </w:t>
            </w:r>
            <w:r w:rsidR="00CD4C75" w:rsidRPr="009A27ED">
              <w:rPr>
                <w:rFonts w:asciiTheme="minorHAnsi" w:hAnsiTheme="minorHAnsi" w:cstheme="minorHAnsi"/>
                <w:w w:val="95"/>
                <w:sz w:val="20"/>
                <w:szCs w:val="20"/>
                <w:lang w:val="es-ES"/>
              </w:rPr>
              <w:t>regional,</w:t>
            </w:r>
            <w:r w:rsidR="00CD4C75" w:rsidRPr="009A27ED">
              <w:rPr>
                <w:rFonts w:asciiTheme="minorHAnsi" w:hAnsiTheme="minorHAnsi" w:cstheme="minorHAnsi"/>
                <w:spacing w:val="-9"/>
                <w:w w:val="95"/>
                <w:sz w:val="20"/>
                <w:szCs w:val="20"/>
                <w:lang w:val="es-ES"/>
              </w:rPr>
              <w:t xml:space="preserve"> </w:t>
            </w:r>
            <w:r w:rsidR="00CD4C75" w:rsidRPr="009A27ED">
              <w:rPr>
                <w:rFonts w:asciiTheme="minorHAnsi" w:hAnsiTheme="minorHAnsi" w:cstheme="minorHAnsi"/>
                <w:w w:val="95"/>
                <w:sz w:val="20"/>
                <w:szCs w:val="20"/>
                <w:lang w:val="es-ES"/>
              </w:rPr>
              <w:t>la</w:t>
            </w:r>
            <w:r w:rsidR="00CD4C75" w:rsidRPr="009A27ED">
              <w:rPr>
                <w:rFonts w:asciiTheme="minorHAnsi" w:hAnsiTheme="minorHAnsi" w:cstheme="minorHAnsi"/>
                <w:spacing w:val="-8"/>
                <w:w w:val="95"/>
                <w:sz w:val="20"/>
                <w:szCs w:val="20"/>
                <w:lang w:val="es-ES"/>
              </w:rPr>
              <w:t xml:space="preserve"> </w:t>
            </w:r>
            <w:r w:rsidR="00CD4C75" w:rsidRPr="009A27ED">
              <w:rPr>
                <w:rFonts w:asciiTheme="minorHAnsi" w:hAnsiTheme="minorHAnsi" w:cstheme="minorHAnsi"/>
                <w:w w:val="95"/>
                <w:sz w:val="20"/>
                <w:szCs w:val="20"/>
                <w:lang w:val="es-ES"/>
              </w:rPr>
              <w:t>conservación</w:t>
            </w:r>
            <w:r w:rsidR="00CD4C75" w:rsidRPr="009A27ED">
              <w:rPr>
                <w:rFonts w:asciiTheme="minorHAnsi" w:hAnsiTheme="minorHAnsi" w:cstheme="minorHAnsi"/>
                <w:spacing w:val="-9"/>
                <w:w w:val="95"/>
                <w:sz w:val="20"/>
                <w:szCs w:val="20"/>
                <w:lang w:val="es-ES"/>
              </w:rPr>
              <w:t xml:space="preserve"> </w:t>
            </w:r>
            <w:r w:rsidR="00CD4C75" w:rsidRPr="009A27ED">
              <w:rPr>
                <w:rFonts w:asciiTheme="minorHAnsi" w:hAnsiTheme="minorHAnsi" w:cstheme="minorHAnsi"/>
                <w:w w:val="95"/>
                <w:sz w:val="20"/>
                <w:szCs w:val="20"/>
                <w:lang w:val="es-ES"/>
              </w:rPr>
              <w:t>de</w:t>
            </w:r>
            <w:r w:rsidR="00CD4C75" w:rsidRPr="009A27ED">
              <w:rPr>
                <w:rFonts w:asciiTheme="minorHAnsi" w:hAnsiTheme="minorHAnsi" w:cstheme="minorHAnsi"/>
                <w:spacing w:val="-10"/>
                <w:w w:val="95"/>
                <w:sz w:val="20"/>
                <w:szCs w:val="20"/>
                <w:lang w:val="es-ES"/>
              </w:rPr>
              <w:t xml:space="preserve"> </w:t>
            </w:r>
            <w:r w:rsidR="00CD4C75" w:rsidRPr="009A27ED">
              <w:rPr>
                <w:rFonts w:asciiTheme="minorHAnsi" w:hAnsiTheme="minorHAnsi" w:cstheme="minorHAnsi"/>
                <w:w w:val="95"/>
                <w:sz w:val="20"/>
                <w:szCs w:val="20"/>
                <w:lang w:val="es-ES"/>
              </w:rPr>
              <w:t>los</w:t>
            </w:r>
            <w:r w:rsidR="00CD4C75" w:rsidRPr="009A27ED">
              <w:rPr>
                <w:rFonts w:asciiTheme="minorHAnsi" w:hAnsiTheme="minorHAnsi" w:cstheme="minorHAnsi"/>
                <w:spacing w:val="-12"/>
                <w:w w:val="95"/>
                <w:sz w:val="20"/>
                <w:szCs w:val="20"/>
                <w:lang w:val="es-ES"/>
              </w:rPr>
              <w:t xml:space="preserve"> </w:t>
            </w:r>
            <w:r w:rsidR="00CD4C75" w:rsidRPr="009A27ED">
              <w:rPr>
                <w:rFonts w:asciiTheme="minorHAnsi" w:hAnsiTheme="minorHAnsi" w:cstheme="minorHAnsi"/>
                <w:w w:val="95"/>
                <w:sz w:val="20"/>
                <w:szCs w:val="20"/>
                <w:lang w:val="es-ES"/>
              </w:rPr>
              <w:t>hábitats</w:t>
            </w:r>
            <w:r w:rsidR="00CD4C75" w:rsidRPr="009A27ED">
              <w:rPr>
                <w:rFonts w:asciiTheme="minorHAnsi" w:hAnsiTheme="minorHAnsi" w:cstheme="minorHAnsi"/>
                <w:spacing w:val="-8"/>
                <w:w w:val="95"/>
                <w:sz w:val="20"/>
                <w:szCs w:val="20"/>
                <w:lang w:val="es-ES"/>
              </w:rPr>
              <w:t xml:space="preserve"> </w:t>
            </w:r>
            <w:r w:rsidR="00CD4C75" w:rsidRPr="009A27ED">
              <w:rPr>
                <w:rFonts w:asciiTheme="minorHAnsi" w:hAnsiTheme="minorHAnsi" w:cstheme="minorHAnsi"/>
                <w:w w:val="95"/>
                <w:sz w:val="20"/>
                <w:szCs w:val="20"/>
                <w:lang w:val="es-ES"/>
              </w:rPr>
              <w:t>naturales</w:t>
            </w:r>
            <w:r w:rsidR="00CD4C75" w:rsidRPr="009A27ED">
              <w:rPr>
                <w:rFonts w:asciiTheme="minorHAnsi" w:hAnsiTheme="minorHAnsi" w:cstheme="minorHAnsi"/>
                <w:spacing w:val="-10"/>
                <w:w w:val="95"/>
                <w:sz w:val="20"/>
                <w:szCs w:val="20"/>
                <w:lang w:val="es-ES"/>
              </w:rPr>
              <w:t xml:space="preserve"> </w:t>
            </w:r>
            <w:r w:rsidR="00CD4C75" w:rsidRPr="009A27ED">
              <w:rPr>
                <w:rFonts w:asciiTheme="minorHAnsi" w:hAnsiTheme="minorHAnsi" w:cstheme="minorHAnsi"/>
                <w:w w:val="95"/>
                <w:sz w:val="20"/>
                <w:szCs w:val="20"/>
                <w:lang w:val="es-ES"/>
              </w:rPr>
              <w:t>y</w:t>
            </w:r>
            <w:r w:rsidR="00CD4C75" w:rsidRPr="009A27ED">
              <w:rPr>
                <w:rFonts w:asciiTheme="minorHAnsi" w:hAnsiTheme="minorHAnsi" w:cstheme="minorHAnsi"/>
                <w:spacing w:val="-7"/>
                <w:w w:val="95"/>
                <w:sz w:val="20"/>
                <w:szCs w:val="20"/>
                <w:lang w:val="es-ES"/>
              </w:rPr>
              <w:t xml:space="preserve"> </w:t>
            </w:r>
            <w:r w:rsidR="00CD4C75" w:rsidRPr="009A27ED">
              <w:rPr>
                <w:rFonts w:asciiTheme="minorHAnsi" w:hAnsiTheme="minorHAnsi" w:cstheme="minorHAnsi"/>
                <w:w w:val="95"/>
                <w:sz w:val="20"/>
                <w:szCs w:val="20"/>
                <w:lang w:val="es-ES"/>
              </w:rPr>
              <w:t>el</w:t>
            </w:r>
            <w:r w:rsidR="00CD4C75" w:rsidRPr="009A27ED">
              <w:rPr>
                <w:rFonts w:asciiTheme="minorHAnsi" w:hAnsiTheme="minorHAnsi" w:cstheme="minorHAnsi"/>
                <w:spacing w:val="-12"/>
                <w:w w:val="95"/>
                <w:sz w:val="20"/>
                <w:szCs w:val="20"/>
                <w:lang w:val="es-ES"/>
              </w:rPr>
              <w:t xml:space="preserve"> </w:t>
            </w:r>
            <w:r w:rsidR="00CD4C75" w:rsidRPr="009A27ED">
              <w:rPr>
                <w:rFonts w:asciiTheme="minorHAnsi" w:hAnsiTheme="minorHAnsi" w:cstheme="minorHAnsi"/>
                <w:w w:val="95"/>
                <w:sz w:val="20"/>
                <w:szCs w:val="20"/>
                <w:lang w:val="es-ES"/>
              </w:rPr>
              <w:t>mantenimiento</w:t>
            </w:r>
            <w:r w:rsidR="00CD4C75" w:rsidRPr="009A27ED">
              <w:rPr>
                <w:rFonts w:asciiTheme="minorHAnsi" w:hAnsiTheme="minorHAnsi" w:cstheme="minorHAnsi"/>
                <w:spacing w:val="-9"/>
                <w:w w:val="95"/>
                <w:sz w:val="20"/>
                <w:szCs w:val="20"/>
                <w:lang w:val="es-ES"/>
              </w:rPr>
              <w:t xml:space="preserve"> </w:t>
            </w:r>
            <w:r w:rsidR="00CD4C75" w:rsidRPr="009A27ED">
              <w:rPr>
                <w:rFonts w:asciiTheme="minorHAnsi" w:hAnsiTheme="minorHAnsi" w:cstheme="minorHAnsi"/>
                <w:w w:val="95"/>
                <w:sz w:val="20"/>
                <w:szCs w:val="20"/>
                <w:lang w:val="es-ES"/>
              </w:rPr>
              <w:t>de las</w:t>
            </w:r>
            <w:r w:rsidR="00CD4C75" w:rsidRPr="009A27ED">
              <w:rPr>
                <w:rFonts w:asciiTheme="minorHAnsi" w:hAnsiTheme="minorHAnsi" w:cstheme="minorHAnsi"/>
                <w:spacing w:val="-13"/>
                <w:w w:val="95"/>
                <w:sz w:val="20"/>
                <w:szCs w:val="20"/>
                <w:lang w:val="es-ES"/>
              </w:rPr>
              <w:t xml:space="preserve"> </w:t>
            </w:r>
            <w:r w:rsidR="00CD4C75" w:rsidRPr="009A27ED">
              <w:rPr>
                <w:rFonts w:asciiTheme="minorHAnsi" w:hAnsiTheme="minorHAnsi" w:cstheme="minorHAnsi"/>
                <w:w w:val="95"/>
                <w:sz w:val="20"/>
                <w:szCs w:val="20"/>
                <w:lang w:val="es-ES"/>
              </w:rPr>
              <w:t>funciones</w:t>
            </w:r>
            <w:r w:rsidR="00CD4C75" w:rsidRPr="009A27ED">
              <w:rPr>
                <w:rFonts w:asciiTheme="minorHAnsi" w:hAnsiTheme="minorHAnsi" w:cstheme="minorHAnsi"/>
                <w:spacing w:val="-12"/>
                <w:w w:val="95"/>
                <w:sz w:val="20"/>
                <w:szCs w:val="20"/>
                <w:lang w:val="es-ES"/>
              </w:rPr>
              <w:t xml:space="preserve"> </w:t>
            </w:r>
            <w:r w:rsidR="00CD4C75" w:rsidRPr="009A27ED">
              <w:rPr>
                <w:rFonts w:asciiTheme="minorHAnsi" w:hAnsiTheme="minorHAnsi" w:cstheme="minorHAnsi"/>
                <w:w w:val="95"/>
                <w:sz w:val="20"/>
                <w:szCs w:val="20"/>
                <w:lang w:val="es-ES"/>
              </w:rPr>
              <w:t>ecológicas</w:t>
            </w:r>
            <w:r w:rsidR="00CD4C75" w:rsidRPr="009A27ED">
              <w:rPr>
                <w:rFonts w:asciiTheme="minorHAnsi" w:hAnsiTheme="minorHAnsi" w:cstheme="minorHAnsi"/>
                <w:spacing w:val="-13"/>
                <w:w w:val="95"/>
                <w:sz w:val="20"/>
                <w:szCs w:val="20"/>
                <w:lang w:val="es-ES"/>
              </w:rPr>
              <w:t xml:space="preserve"> </w:t>
            </w:r>
            <w:r w:rsidR="00CD4C75" w:rsidRPr="009A27ED">
              <w:rPr>
                <w:rFonts w:asciiTheme="minorHAnsi" w:hAnsiTheme="minorHAnsi" w:cstheme="minorHAnsi"/>
                <w:w w:val="95"/>
                <w:sz w:val="20"/>
                <w:szCs w:val="20"/>
                <w:lang w:val="es-ES"/>
              </w:rPr>
              <w:t>que</w:t>
            </w:r>
            <w:r w:rsidR="00CD4C75" w:rsidRPr="009A27ED">
              <w:rPr>
                <w:rFonts w:asciiTheme="minorHAnsi" w:hAnsiTheme="minorHAnsi" w:cstheme="minorHAnsi"/>
                <w:spacing w:val="-12"/>
                <w:w w:val="95"/>
                <w:sz w:val="20"/>
                <w:szCs w:val="20"/>
                <w:lang w:val="es-ES"/>
              </w:rPr>
              <w:t xml:space="preserve"> </w:t>
            </w:r>
            <w:r w:rsidR="00CD4C75" w:rsidRPr="009A27ED">
              <w:rPr>
                <w:rFonts w:asciiTheme="minorHAnsi" w:hAnsiTheme="minorHAnsi" w:cstheme="minorHAnsi"/>
                <w:w w:val="95"/>
                <w:sz w:val="20"/>
                <w:szCs w:val="20"/>
                <w:lang w:val="es-ES"/>
              </w:rPr>
              <w:t>éstos</w:t>
            </w:r>
            <w:r w:rsidR="00CD4C75" w:rsidRPr="009A27ED">
              <w:rPr>
                <w:rFonts w:asciiTheme="minorHAnsi" w:hAnsiTheme="minorHAnsi" w:cstheme="minorHAnsi"/>
                <w:spacing w:val="-12"/>
                <w:w w:val="95"/>
                <w:sz w:val="20"/>
                <w:szCs w:val="20"/>
                <w:lang w:val="es-ES"/>
              </w:rPr>
              <w:t xml:space="preserve"> </w:t>
            </w:r>
            <w:r w:rsidR="00CD4C75" w:rsidRPr="009A27ED">
              <w:rPr>
                <w:rFonts w:asciiTheme="minorHAnsi" w:hAnsiTheme="minorHAnsi" w:cstheme="minorHAnsi"/>
                <w:w w:val="95"/>
                <w:sz w:val="20"/>
                <w:szCs w:val="20"/>
                <w:lang w:val="es-ES"/>
              </w:rPr>
              <w:t>cumplen.</w:t>
            </w:r>
            <w:r w:rsidR="00CD4C75" w:rsidRPr="009A27ED">
              <w:rPr>
                <w:rFonts w:asciiTheme="minorHAnsi" w:hAnsiTheme="minorHAnsi" w:cstheme="minorHAnsi"/>
                <w:spacing w:val="-13"/>
                <w:w w:val="95"/>
                <w:sz w:val="20"/>
                <w:szCs w:val="20"/>
                <w:lang w:val="es-ES"/>
              </w:rPr>
              <w:t xml:space="preserve"> </w:t>
            </w:r>
            <w:r w:rsidR="00CD4C75" w:rsidRPr="009A27ED">
              <w:rPr>
                <w:rFonts w:asciiTheme="minorHAnsi" w:hAnsiTheme="minorHAnsi" w:cstheme="minorHAnsi"/>
                <w:w w:val="95"/>
                <w:sz w:val="20"/>
                <w:szCs w:val="20"/>
                <w:lang w:val="es-ES"/>
              </w:rPr>
              <w:t>Además,</w:t>
            </w:r>
            <w:r w:rsidR="00CD4C75" w:rsidRPr="009A27ED">
              <w:rPr>
                <w:rFonts w:asciiTheme="minorHAnsi" w:hAnsiTheme="minorHAnsi" w:cstheme="minorHAnsi"/>
                <w:spacing w:val="-12"/>
                <w:w w:val="95"/>
                <w:sz w:val="20"/>
                <w:szCs w:val="20"/>
                <w:lang w:val="es-ES"/>
              </w:rPr>
              <w:t xml:space="preserve"> </w:t>
            </w:r>
            <w:r w:rsidR="00CD4C75" w:rsidRPr="009A27ED">
              <w:rPr>
                <w:rFonts w:asciiTheme="minorHAnsi" w:hAnsiTheme="minorHAnsi" w:cstheme="minorHAnsi"/>
                <w:w w:val="95"/>
                <w:sz w:val="20"/>
                <w:szCs w:val="20"/>
                <w:lang w:val="es-ES"/>
              </w:rPr>
              <w:t>fomenta</w:t>
            </w:r>
            <w:r w:rsidR="00CD4C75" w:rsidRPr="009A27ED">
              <w:rPr>
                <w:rFonts w:asciiTheme="minorHAnsi" w:hAnsiTheme="minorHAnsi" w:cstheme="minorHAnsi"/>
                <w:spacing w:val="-13"/>
                <w:w w:val="95"/>
                <w:sz w:val="20"/>
                <w:szCs w:val="20"/>
                <w:lang w:val="es-ES"/>
              </w:rPr>
              <w:t xml:space="preserve"> </w:t>
            </w:r>
            <w:r w:rsidR="00CD4C75" w:rsidRPr="009A27ED">
              <w:rPr>
                <w:rFonts w:asciiTheme="minorHAnsi" w:hAnsiTheme="minorHAnsi" w:cstheme="minorHAnsi"/>
                <w:w w:val="95"/>
                <w:sz w:val="20"/>
                <w:szCs w:val="20"/>
                <w:lang w:val="es-ES"/>
              </w:rPr>
              <w:t>la</w:t>
            </w:r>
            <w:r w:rsidR="00CD4C75" w:rsidRPr="009A27ED">
              <w:rPr>
                <w:rFonts w:asciiTheme="minorHAnsi" w:hAnsiTheme="minorHAnsi" w:cstheme="minorHAnsi"/>
                <w:spacing w:val="-13"/>
                <w:w w:val="95"/>
                <w:sz w:val="20"/>
                <w:szCs w:val="20"/>
                <w:lang w:val="es-ES"/>
              </w:rPr>
              <w:t xml:space="preserve"> </w:t>
            </w:r>
            <w:r w:rsidR="00CD4C75" w:rsidRPr="009A27ED">
              <w:rPr>
                <w:rFonts w:asciiTheme="minorHAnsi" w:hAnsiTheme="minorHAnsi" w:cstheme="minorHAnsi"/>
                <w:w w:val="95"/>
                <w:sz w:val="20"/>
                <w:szCs w:val="20"/>
                <w:lang w:val="es-ES"/>
              </w:rPr>
              <w:t>rehabilitación</w:t>
            </w:r>
            <w:r w:rsidR="00CD4C75" w:rsidRPr="009A27ED">
              <w:rPr>
                <w:rFonts w:asciiTheme="minorHAnsi" w:hAnsiTheme="minorHAnsi" w:cstheme="minorHAnsi"/>
                <w:spacing w:val="-14"/>
                <w:w w:val="95"/>
                <w:sz w:val="20"/>
                <w:szCs w:val="20"/>
                <w:lang w:val="es-ES"/>
              </w:rPr>
              <w:t xml:space="preserve"> </w:t>
            </w:r>
            <w:r w:rsidR="00CD4C75" w:rsidRPr="009A27ED">
              <w:rPr>
                <w:rFonts w:asciiTheme="minorHAnsi" w:hAnsiTheme="minorHAnsi" w:cstheme="minorHAnsi"/>
                <w:w w:val="95"/>
                <w:sz w:val="20"/>
                <w:szCs w:val="20"/>
                <w:lang w:val="es-ES"/>
              </w:rPr>
              <w:t>de</w:t>
            </w:r>
            <w:r w:rsidR="00CD4C75" w:rsidRPr="009A27ED">
              <w:rPr>
                <w:rFonts w:asciiTheme="minorHAnsi" w:hAnsiTheme="minorHAnsi" w:cstheme="minorHAnsi"/>
                <w:spacing w:val="-12"/>
                <w:w w:val="95"/>
                <w:sz w:val="20"/>
                <w:szCs w:val="20"/>
                <w:lang w:val="es-ES"/>
              </w:rPr>
              <w:t xml:space="preserve"> </w:t>
            </w:r>
            <w:r w:rsidR="00CD4C75" w:rsidRPr="009A27ED">
              <w:rPr>
                <w:rFonts w:asciiTheme="minorHAnsi" w:hAnsiTheme="minorHAnsi" w:cstheme="minorHAnsi"/>
                <w:w w:val="95"/>
                <w:sz w:val="20"/>
                <w:szCs w:val="20"/>
                <w:lang w:val="es-ES"/>
              </w:rPr>
              <w:t>los</w:t>
            </w:r>
            <w:r w:rsidR="00CD4C75" w:rsidRPr="009A27ED">
              <w:rPr>
                <w:rFonts w:asciiTheme="minorHAnsi" w:hAnsiTheme="minorHAnsi" w:cstheme="minorHAnsi"/>
                <w:spacing w:val="-13"/>
                <w:w w:val="95"/>
                <w:sz w:val="20"/>
                <w:szCs w:val="20"/>
                <w:lang w:val="es-ES"/>
              </w:rPr>
              <w:t xml:space="preserve"> </w:t>
            </w:r>
            <w:r w:rsidR="00CD4C75" w:rsidRPr="009A27ED">
              <w:rPr>
                <w:rFonts w:asciiTheme="minorHAnsi" w:hAnsiTheme="minorHAnsi" w:cstheme="minorHAnsi"/>
                <w:w w:val="95"/>
                <w:sz w:val="20"/>
                <w:szCs w:val="20"/>
                <w:lang w:val="es-ES"/>
              </w:rPr>
              <w:t>hábitats naturales</w:t>
            </w:r>
            <w:r w:rsidR="00CD4C75" w:rsidRPr="009A27ED">
              <w:rPr>
                <w:rFonts w:asciiTheme="minorHAnsi" w:hAnsiTheme="minorHAnsi" w:cstheme="minorHAnsi"/>
                <w:spacing w:val="-30"/>
                <w:w w:val="95"/>
                <w:sz w:val="20"/>
                <w:szCs w:val="20"/>
                <w:lang w:val="es-ES"/>
              </w:rPr>
              <w:t xml:space="preserve"> </w:t>
            </w:r>
            <w:r w:rsidR="00CD4C75" w:rsidRPr="009A27ED">
              <w:rPr>
                <w:rFonts w:asciiTheme="minorHAnsi" w:hAnsiTheme="minorHAnsi" w:cstheme="minorHAnsi"/>
                <w:w w:val="95"/>
                <w:sz w:val="20"/>
                <w:szCs w:val="20"/>
                <w:lang w:val="es-ES"/>
              </w:rPr>
              <w:t>degradados.</w:t>
            </w:r>
            <w:r w:rsidR="00CD4C75" w:rsidRPr="009A27ED">
              <w:rPr>
                <w:rFonts w:asciiTheme="minorHAnsi" w:hAnsiTheme="minorHAnsi" w:cstheme="minorHAnsi"/>
                <w:spacing w:val="-31"/>
                <w:w w:val="95"/>
                <w:sz w:val="20"/>
                <w:szCs w:val="20"/>
                <w:lang w:val="es-ES"/>
              </w:rPr>
              <w:t xml:space="preserve"> </w:t>
            </w:r>
            <w:r w:rsidR="00CD4C75" w:rsidRPr="009A27ED">
              <w:rPr>
                <w:rFonts w:asciiTheme="minorHAnsi" w:hAnsiTheme="minorHAnsi" w:cstheme="minorHAnsi"/>
                <w:w w:val="95"/>
                <w:sz w:val="20"/>
                <w:szCs w:val="20"/>
                <w:lang w:val="es-ES"/>
              </w:rPr>
              <w:t>Esta</w:t>
            </w:r>
            <w:r w:rsidR="00CD4C75" w:rsidRPr="009A27ED">
              <w:rPr>
                <w:rFonts w:asciiTheme="minorHAnsi" w:hAnsiTheme="minorHAnsi" w:cstheme="minorHAnsi"/>
                <w:spacing w:val="-31"/>
                <w:w w:val="95"/>
                <w:sz w:val="20"/>
                <w:szCs w:val="20"/>
                <w:lang w:val="es-ES"/>
              </w:rPr>
              <w:t xml:space="preserve"> </w:t>
            </w:r>
            <w:r w:rsidR="00CD4C75" w:rsidRPr="009A27ED">
              <w:rPr>
                <w:rFonts w:asciiTheme="minorHAnsi" w:hAnsiTheme="minorHAnsi" w:cstheme="minorHAnsi"/>
                <w:w w:val="95"/>
                <w:sz w:val="20"/>
                <w:szCs w:val="20"/>
                <w:lang w:val="es-ES"/>
              </w:rPr>
              <w:t>política</w:t>
            </w:r>
            <w:r w:rsidR="00CD4C75" w:rsidRPr="009A27ED">
              <w:rPr>
                <w:rFonts w:asciiTheme="minorHAnsi" w:hAnsiTheme="minorHAnsi" w:cstheme="minorHAnsi"/>
                <w:spacing w:val="-30"/>
                <w:w w:val="95"/>
                <w:sz w:val="20"/>
                <w:szCs w:val="20"/>
                <w:lang w:val="es-ES"/>
              </w:rPr>
              <w:t xml:space="preserve"> </w:t>
            </w:r>
            <w:r w:rsidR="00CD4C75" w:rsidRPr="009A27ED">
              <w:rPr>
                <w:rFonts w:asciiTheme="minorHAnsi" w:hAnsiTheme="minorHAnsi" w:cstheme="minorHAnsi"/>
                <w:w w:val="95"/>
                <w:sz w:val="20"/>
                <w:szCs w:val="20"/>
                <w:lang w:val="es-ES"/>
              </w:rPr>
              <w:t>resguarda</w:t>
            </w:r>
            <w:r w:rsidR="00CD4C75" w:rsidRPr="009A27ED">
              <w:rPr>
                <w:rFonts w:asciiTheme="minorHAnsi" w:hAnsiTheme="minorHAnsi" w:cstheme="minorHAnsi"/>
                <w:spacing w:val="-29"/>
                <w:w w:val="95"/>
                <w:sz w:val="20"/>
                <w:szCs w:val="20"/>
                <w:lang w:val="es-ES"/>
              </w:rPr>
              <w:t xml:space="preserve"> </w:t>
            </w:r>
            <w:r w:rsidR="00CD4C75" w:rsidRPr="009A27ED">
              <w:rPr>
                <w:rFonts w:asciiTheme="minorHAnsi" w:hAnsiTheme="minorHAnsi" w:cstheme="minorHAnsi"/>
                <w:w w:val="95"/>
                <w:sz w:val="20"/>
                <w:szCs w:val="20"/>
                <w:lang w:val="es-ES"/>
              </w:rPr>
              <w:t>la</w:t>
            </w:r>
            <w:r w:rsidR="00CD4C75" w:rsidRPr="009A27ED">
              <w:rPr>
                <w:rFonts w:asciiTheme="minorHAnsi" w:hAnsiTheme="minorHAnsi" w:cstheme="minorHAnsi"/>
                <w:spacing w:val="-29"/>
                <w:w w:val="95"/>
                <w:sz w:val="20"/>
                <w:szCs w:val="20"/>
                <w:lang w:val="es-ES"/>
              </w:rPr>
              <w:t xml:space="preserve"> </w:t>
            </w:r>
            <w:r w:rsidR="00CD4C75" w:rsidRPr="009A27ED">
              <w:rPr>
                <w:rFonts w:asciiTheme="minorHAnsi" w:hAnsiTheme="minorHAnsi" w:cstheme="minorHAnsi"/>
                <w:w w:val="95"/>
                <w:sz w:val="20"/>
                <w:szCs w:val="20"/>
                <w:lang w:val="es-ES"/>
              </w:rPr>
              <w:t>prohibición</w:t>
            </w:r>
            <w:r w:rsidR="00CD4C75" w:rsidRPr="009A27ED">
              <w:rPr>
                <w:rFonts w:asciiTheme="minorHAnsi" w:hAnsiTheme="minorHAnsi" w:cstheme="minorHAnsi"/>
                <w:spacing w:val="-30"/>
                <w:w w:val="95"/>
                <w:sz w:val="20"/>
                <w:szCs w:val="20"/>
                <w:lang w:val="es-ES"/>
              </w:rPr>
              <w:t xml:space="preserve"> </w:t>
            </w:r>
            <w:r w:rsidR="00CD4C75" w:rsidRPr="009A27ED">
              <w:rPr>
                <w:rFonts w:asciiTheme="minorHAnsi" w:hAnsiTheme="minorHAnsi" w:cstheme="minorHAnsi"/>
                <w:w w:val="95"/>
                <w:sz w:val="20"/>
                <w:szCs w:val="20"/>
                <w:lang w:val="es-ES"/>
              </w:rPr>
              <w:t>de</w:t>
            </w:r>
            <w:r w:rsidR="00CD4C75" w:rsidRPr="009A27ED">
              <w:rPr>
                <w:rFonts w:asciiTheme="minorHAnsi" w:hAnsiTheme="minorHAnsi" w:cstheme="minorHAnsi"/>
                <w:spacing w:val="-29"/>
                <w:w w:val="95"/>
                <w:sz w:val="20"/>
                <w:szCs w:val="20"/>
                <w:lang w:val="es-ES"/>
              </w:rPr>
              <w:t xml:space="preserve"> </w:t>
            </w:r>
            <w:r w:rsidR="00CD4C75" w:rsidRPr="009A27ED">
              <w:rPr>
                <w:rFonts w:asciiTheme="minorHAnsi" w:hAnsiTheme="minorHAnsi" w:cstheme="minorHAnsi"/>
                <w:w w:val="95"/>
                <w:sz w:val="20"/>
                <w:szCs w:val="20"/>
                <w:lang w:val="es-ES"/>
              </w:rPr>
              <w:t>financiamiento</w:t>
            </w:r>
            <w:r w:rsidR="00CD4C75" w:rsidRPr="009A27ED">
              <w:rPr>
                <w:rFonts w:asciiTheme="minorHAnsi" w:hAnsiTheme="minorHAnsi" w:cstheme="minorHAnsi"/>
                <w:spacing w:val="-29"/>
                <w:w w:val="95"/>
                <w:sz w:val="20"/>
                <w:szCs w:val="20"/>
                <w:lang w:val="es-ES"/>
              </w:rPr>
              <w:t xml:space="preserve"> </w:t>
            </w:r>
            <w:r w:rsidR="00CD4C75" w:rsidRPr="009A27ED">
              <w:rPr>
                <w:rFonts w:asciiTheme="minorHAnsi" w:hAnsiTheme="minorHAnsi" w:cstheme="minorHAnsi"/>
                <w:w w:val="95"/>
                <w:sz w:val="20"/>
                <w:szCs w:val="20"/>
                <w:lang w:val="es-ES"/>
              </w:rPr>
              <w:t>de</w:t>
            </w:r>
            <w:r w:rsidR="00CD4C75" w:rsidRPr="009A27ED">
              <w:rPr>
                <w:rFonts w:asciiTheme="minorHAnsi" w:hAnsiTheme="minorHAnsi" w:cstheme="minorHAnsi"/>
                <w:spacing w:val="-30"/>
                <w:w w:val="95"/>
                <w:sz w:val="20"/>
                <w:szCs w:val="20"/>
                <w:lang w:val="es-ES"/>
              </w:rPr>
              <w:t xml:space="preserve"> </w:t>
            </w:r>
            <w:r w:rsidR="00CD4C75" w:rsidRPr="009A27ED">
              <w:rPr>
                <w:rFonts w:asciiTheme="minorHAnsi" w:hAnsiTheme="minorHAnsi" w:cstheme="minorHAnsi"/>
                <w:w w:val="95"/>
                <w:sz w:val="20"/>
                <w:szCs w:val="20"/>
                <w:lang w:val="es-ES"/>
              </w:rPr>
              <w:t>proyectos</w:t>
            </w:r>
            <w:r w:rsidR="00CD4C75" w:rsidRPr="009A27ED">
              <w:rPr>
                <w:rFonts w:asciiTheme="minorHAnsi" w:hAnsiTheme="minorHAnsi" w:cstheme="minorHAnsi"/>
                <w:spacing w:val="-29"/>
                <w:w w:val="95"/>
                <w:sz w:val="20"/>
                <w:szCs w:val="20"/>
                <w:lang w:val="es-ES"/>
              </w:rPr>
              <w:t xml:space="preserve"> </w:t>
            </w:r>
            <w:r w:rsidR="00CD4C75" w:rsidRPr="009A27ED">
              <w:rPr>
                <w:rFonts w:asciiTheme="minorHAnsi" w:hAnsiTheme="minorHAnsi" w:cstheme="minorHAnsi"/>
                <w:w w:val="95"/>
                <w:sz w:val="20"/>
                <w:szCs w:val="20"/>
                <w:lang w:val="es-ES"/>
              </w:rPr>
              <w:t xml:space="preserve">que </w:t>
            </w:r>
            <w:r w:rsidR="00CD4C75" w:rsidRPr="009A27ED">
              <w:rPr>
                <w:rFonts w:asciiTheme="minorHAnsi" w:hAnsiTheme="minorHAnsi" w:cstheme="minorHAnsi"/>
                <w:sz w:val="20"/>
                <w:szCs w:val="20"/>
                <w:lang w:val="es-ES"/>
              </w:rPr>
              <w:t>degraden</w:t>
            </w:r>
            <w:r w:rsidR="00CD4C75" w:rsidRPr="009A27ED">
              <w:rPr>
                <w:rFonts w:asciiTheme="minorHAnsi" w:hAnsiTheme="minorHAnsi" w:cstheme="minorHAnsi"/>
                <w:spacing w:val="-23"/>
                <w:sz w:val="20"/>
                <w:szCs w:val="20"/>
                <w:lang w:val="es-ES"/>
              </w:rPr>
              <w:t xml:space="preserve"> </w:t>
            </w:r>
            <w:r w:rsidR="00CD4C75" w:rsidRPr="009A27ED">
              <w:rPr>
                <w:rFonts w:asciiTheme="minorHAnsi" w:hAnsiTheme="minorHAnsi" w:cstheme="minorHAnsi"/>
                <w:sz w:val="20"/>
                <w:szCs w:val="20"/>
                <w:lang w:val="es-ES"/>
              </w:rPr>
              <w:t>o</w:t>
            </w:r>
            <w:r w:rsidR="00CD4C75" w:rsidRPr="009A27ED">
              <w:rPr>
                <w:rFonts w:asciiTheme="minorHAnsi" w:hAnsiTheme="minorHAnsi" w:cstheme="minorHAnsi"/>
                <w:spacing w:val="-23"/>
                <w:sz w:val="20"/>
                <w:szCs w:val="20"/>
                <w:lang w:val="es-ES"/>
              </w:rPr>
              <w:t xml:space="preserve"> </w:t>
            </w:r>
            <w:r w:rsidR="00CD4C75" w:rsidRPr="009A27ED">
              <w:rPr>
                <w:rFonts w:asciiTheme="minorHAnsi" w:hAnsiTheme="minorHAnsi" w:cstheme="minorHAnsi"/>
                <w:sz w:val="20"/>
                <w:szCs w:val="20"/>
                <w:lang w:val="es-ES"/>
              </w:rPr>
              <w:t>perturben</w:t>
            </w:r>
            <w:r w:rsidR="00CD4C75" w:rsidRPr="009A27ED">
              <w:rPr>
                <w:rFonts w:asciiTheme="minorHAnsi" w:hAnsiTheme="minorHAnsi" w:cstheme="minorHAnsi"/>
                <w:spacing w:val="-22"/>
                <w:sz w:val="20"/>
                <w:szCs w:val="20"/>
                <w:lang w:val="es-ES"/>
              </w:rPr>
              <w:t xml:space="preserve"> </w:t>
            </w:r>
            <w:r w:rsidR="00CD4C75" w:rsidRPr="009A27ED">
              <w:rPr>
                <w:rFonts w:asciiTheme="minorHAnsi" w:hAnsiTheme="minorHAnsi" w:cstheme="minorHAnsi"/>
                <w:sz w:val="20"/>
                <w:szCs w:val="20"/>
                <w:lang w:val="es-ES"/>
              </w:rPr>
              <w:t>hábitats</w:t>
            </w:r>
            <w:r w:rsidR="00CD4C75" w:rsidRPr="009A27ED">
              <w:rPr>
                <w:rFonts w:asciiTheme="minorHAnsi" w:hAnsiTheme="minorHAnsi" w:cstheme="minorHAnsi"/>
                <w:spacing w:val="-22"/>
                <w:sz w:val="20"/>
                <w:szCs w:val="20"/>
                <w:lang w:val="es-ES"/>
              </w:rPr>
              <w:t xml:space="preserve"> </w:t>
            </w:r>
            <w:r w:rsidR="00CD4C75" w:rsidRPr="009A27ED">
              <w:rPr>
                <w:rFonts w:asciiTheme="minorHAnsi" w:hAnsiTheme="minorHAnsi" w:cstheme="minorHAnsi"/>
                <w:sz w:val="20"/>
                <w:szCs w:val="20"/>
                <w:lang w:val="es-ES"/>
              </w:rPr>
              <w:t>naturales</w:t>
            </w:r>
            <w:r w:rsidR="00CD4C75" w:rsidRPr="009A27ED">
              <w:rPr>
                <w:rFonts w:asciiTheme="minorHAnsi" w:hAnsiTheme="minorHAnsi" w:cstheme="minorHAnsi"/>
                <w:spacing w:val="-22"/>
                <w:sz w:val="20"/>
                <w:szCs w:val="20"/>
                <w:lang w:val="es-ES"/>
              </w:rPr>
              <w:t xml:space="preserve"> </w:t>
            </w:r>
            <w:r w:rsidR="00CD4C75" w:rsidRPr="009A27ED">
              <w:rPr>
                <w:rFonts w:asciiTheme="minorHAnsi" w:hAnsiTheme="minorHAnsi" w:cstheme="minorHAnsi"/>
                <w:sz w:val="20"/>
                <w:szCs w:val="20"/>
                <w:lang w:val="es-ES"/>
              </w:rPr>
              <w:t>críticos,</w:t>
            </w:r>
            <w:r w:rsidR="00CD4C75" w:rsidRPr="009A27ED">
              <w:rPr>
                <w:rFonts w:asciiTheme="minorHAnsi" w:hAnsiTheme="minorHAnsi" w:cstheme="minorHAnsi"/>
                <w:spacing w:val="-22"/>
                <w:sz w:val="20"/>
                <w:szCs w:val="20"/>
                <w:lang w:val="es-ES"/>
              </w:rPr>
              <w:t xml:space="preserve"> </w:t>
            </w:r>
            <w:r w:rsidR="00CD4C75" w:rsidRPr="009A27ED">
              <w:rPr>
                <w:rFonts w:asciiTheme="minorHAnsi" w:hAnsiTheme="minorHAnsi" w:cstheme="minorHAnsi"/>
                <w:sz w:val="20"/>
                <w:szCs w:val="20"/>
                <w:lang w:val="es-ES"/>
              </w:rPr>
              <w:t>apoyando</w:t>
            </w:r>
            <w:r w:rsidR="00CD4C75" w:rsidRPr="009A27ED">
              <w:rPr>
                <w:rFonts w:asciiTheme="minorHAnsi" w:hAnsiTheme="minorHAnsi" w:cstheme="minorHAnsi"/>
                <w:spacing w:val="-23"/>
                <w:sz w:val="20"/>
                <w:szCs w:val="20"/>
                <w:lang w:val="es-ES"/>
              </w:rPr>
              <w:t xml:space="preserve"> </w:t>
            </w:r>
            <w:r w:rsidR="00CD4C75" w:rsidRPr="009A27ED">
              <w:rPr>
                <w:rFonts w:asciiTheme="minorHAnsi" w:hAnsiTheme="minorHAnsi" w:cstheme="minorHAnsi"/>
                <w:sz w:val="20"/>
                <w:szCs w:val="20"/>
                <w:lang w:val="es-ES"/>
              </w:rPr>
              <w:t>aquellos</w:t>
            </w:r>
            <w:r w:rsidR="00CD4C75" w:rsidRPr="009A27ED">
              <w:rPr>
                <w:rFonts w:asciiTheme="minorHAnsi" w:hAnsiTheme="minorHAnsi" w:cstheme="minorHAnsi"/>
                <w:spacing w:val="-22"/>
                <w:sz w:val="20"/>
                <w:szCs w:val="20"/>
                <w:lang w:val="es-ES"/>
              </w:rPr>
              <w:t xml:space="preserve"> </w:t>
            </w:r>
            <w:r w:rsidR="00CD4C75" w:rsidRPr="009A27ED">
              <w:rPr>
                <w:rFonts w:asciiTheme="minorHAnsi" w:hAnsiTheme="minorHAnsi" w:cstheme="minorHAnsi"/>
                <w:sz w:val="20"/>
                <w:szCs w:val="20"/>
                <w:lang w:val="es-ES"/>
              </w:rPr>
              <w:t>que</w:t>
            </w:r>
            <w:r w:rsidR="00CD4C75" w:rsidRPr="009A27ED">
              <w:rPr>
                <w:rFonts w:asciiTheme="minorHAnsi" w:hAnsiTheme="minorHAnsi" w:cstheme="minorHAnsi"/>
                <w:spacing w:val="-23"/>
                <w:sz w:val="20"/>
                <w:szCs w:val="20"/>
                <w:lang w:val="es-ES"/>
              </w:rPr>
              <w:t xml:space="preserve"> </w:t>
            </w:r>
            <w:r w:rsidR="00CD4C75" w:rsidRPr="009A27ED">
              <w:rPr>
                <w:rFonts w:asciiTheme="minorHAnsi" w:hAnsiTheme="minorHAnsi" w:cstheme="minorHAnsi"/>
                <w:sz w:val="20"/>
                <w:szCs w:val="20"/>
                <w:lang w:val="es-ES"/>
              </w:rPr>
              <w:t>no</w:t>
            </w:r>
            <w:r w:rsidR="00CD4C75" w:rsidRPr="009A27ED">
              <w:rPr>
                <w:rFonts w:asciiTheme="minorHAnsi" w:hAnsiTheme="minorHAnsi" w:cstheme="minorHAnsi"/>
                <w:spacing w:val="-23"/>
                <w:sz w:val="20"/>
                <w:szCs w:val="20"/>
                <w:lang w:val="es-ES"/>
              </w:rPr>
              <w:t xml:space="preserve"> </w:t>
            </w:r>
            <w:r w:rsidR="00CD4C75" w:rsidRPr="009A27ED">
              <w:rPr>
                <w:rFonts w:asciiTheme="minorHAnsi" w:hAnsiTheme="minorHAnsi" w:cstheme="minorHAnsi"/>
                <w:sz w:val="20"/>
                <w:szCs w:val="20"/>
                <w:lang w:val="es-ES"/>
              </w:rPr>
              <w:t>afecten</w:t>
            </w:r>
            <w:r w:rsidR="00CD4C75" w:rsidRPr="009A27ED">
              <w:rPr>
                <w:rFonts w:asciiTheme="minorHAnsi" w:hAnsiTheme="minorHAnsi" w:cstheme="minorHAnsi"/>
                <w:spacing w:val="-22"/>
                <w:sz w:val="20"/>
                <w:szCs w:val="20"/>
                <w:lang w:val="es-ES"/>
              </w:rPr>
              <w:t xml:space="preserve"> </w:t>
            </w:r>
            <w:r w:rsidR="00CD4C75" w:rsidRPr="009A27ED">
              <w:rPr>
                <w:rFonts w:asciiTheme="minorHAnsi" w:hAnsiTheme="minorHAnsi" w:cstheme="minorHAnsi"/>
                <w:sz w:val="20"/>
                <w:szCs w:val="20"/>
                <w:lang w:val="es-ES"/>
              </w:rPr>
              <w:t>dichos hábitats</w:t>
            </w:r>
            <w:r w:rsidR="00CD4C75" w:rsidRPr="009A27ED">
              <w:rPr>
                <w:rFonts w:asciiTheme="minorHAnsi" w:hAnsiTheme="minorHAnsi" w:cstheme="minorHAnsi"/>
                <w:spacing w:val="-22"/>
                <w:sz w:val="20"/>
                <w:szCs w:val="20"/>
                <w:lang w:val="es-ES"/>
              </w:rPr>
              <w:t xml:space="preserve"> </w:t>
            </w:r>
            <w:r w:rsidR="00CD4C75" w:rsidRPr="009A27ED">
              <w:rPr>
                <w:rFonts w:asciiTheme="minorHAnsi" w:hAnsiTheme="minorHAnsi" w:cstheme="minorHAnsi"/>
                <w:sz w:val="20"/>
                <w:szCs w:val="20"/>
                <w:lang w:val="es-ES"/>
              </w:rPr>
              <w:t>y</w:t>
            </w:r>
            <w:r w:rsidR="00CD4C75" w:rsidRPr="009A27ED">
              <w:rPr>
                <w:rFonts w:asciiTheme="minorHAnsi" w:hAnsiTheme="minorHAnsi" w:cstheme="minorHAnsi"/>
                <w:spacing w:val="-23"/>
                <w:sz w:val="20"/>
                <w:szCs w:val="20"/>
                <w:lang w:val="es-ES"/>
              </w:rPr>
              <w:t xml:space="preserve"> </w:t>
            </w:r>
            <w:r w:rsidR="00CD4C75" w:rsidRPr="009A27ED">
              <w:rPr>
                <w:rFonts w:asciiTheme="minorHAnsi" w:hAnsiTheme="minorHAnsi" w:cstheme="minorHAnsi"/>
                <w:sz w:val="20"/>
                <w:szCs w:val="20"/>
                <w:lang w:val="es-ES"/>
              </w:rPr>
              <w:t>que</w:t>
            </w:r>
            <w:r w:rsidR="00CD4C75" w:rsidRPr="009A27ED">
              <w:rPr>
                <w:rFonts w:asciiTheme="minorHAnsi" w:hAnsiTheme="minorHAnsi" w:cstheme="minorHAnsi"/>
                <w:spacing w:val="-22"/>
                <w:sz w:val="20"/>
                <w:szCs w:val="20"/>
                <w:lang w:val="es-ES"/>
              </w:rPr>
              <w:t xml:space="preserve"> </w:t>
            </w:r>
            <w:r w:rsidR="00CD4C75" w:rsidRPr="009A27ED">
              <w:rPr>
                <w:rFonts w:asciiTheme="minorHAnsi" w:hAnsiTheme="minorHAnsi" w:cstheme="minorHAnsi"/>
                <w:sz w:val="20"/>
                <w:szCs w:val="20"/>
                <w:lang w:val="es-ES"/>
              </w:rPr>
              <w:t>cuenten</w:t>
            </w:r>
            <w:r w:rsidR="00CD4C75" w:rsidRPr="009A27ED">
              <w:rPr>
                <w:rFonts w:asciiTheme="minorHAnsi" w:hAnsiTheme="minorHAnsi" w:cstheme="minorHAnsi"/>
                <w:spacing w:val="-23"/>
                <w:sz w:val="20"/>
                <w:szCs w:val="20"/>
                <w:lang w:val="es-ES"/>
              </w:rPr>
              <w:t xml:space="preserve"> </w:t>
            </w:r>
            <w:r w:rsidR="00CD4C75" w:rsidRPr="009A27ED">
              <w:rPr>
                <w:rFonts w:asciiTheme="minorHAnsi" w:hAnsiTheme="minorHAnsi" w:cstheme="minorHAnsi"/>
                <w:sz w:val="20"/>
                <w:szCs w:val="20"/>
                <w:lang w:val="es-ES"/>
              </w:rPr>
              <w:t>con</w:t>
            </w:r>
            <w:r w:rsidR="00CD4C75" w:rsidRPr="009A27ED">
              <w:rPr>
                <w:rFonts w:asciiTheme="minorHAnsi" w:hAnsiTheme="minorHAnsi" w:cstheme="minorHAnsi"/>
                <w:spacing w:val="-24"/>
                <w:sz w:val="20"/>
                <w:szCs w:val="20"/>
                <w:lang w:val="es-ES"/>
              </w:rPr>
              <w:t xml:space="preserve"> </w:t>
            </w:r>
            <w:r w:rsidR="00CD4C75" w:rsidRPr="009A27ED">
              <w:rPr>
                <w:rFonts w:asciiTheme="minorHAnsi" w:hAnsiTheme="minorHAnsi" w:cstheme="minorHAnsi"/>
                <w:sz w:val="20"/>
                <w:szCs w:val="20"/>
                <w:lang w:val="es-ES"/>
              </w:rPr>
              <w:t>alternativas</w:t>
            </w:r>
            <w:r w:rsidR="00CD4C75" w:rsidRPr="009A27ED">
              <w:rPr>
                <w:rFonts w:asciiTheme="minorHAnsi" w:hAnsiTheme="minorHAnsi" w:cstheme="minorHAnsi"/>
                <w:spacing w:val="-24"/>
                <w:sz w:val="20"/>
                <w:szCs w:val="20"/>
                <w:lang w:val="es-ES"/>
              </w:rPr>
              <w:t xml:space="preserve"> </w:t>
            </w:r>
            <w:r w:rsidR="00CD4C75" w:rsidRPr="009A27ED">
              <w:rPr>
                <w:rFonts w:asciiTheme="minorHAnsi" w:hAnsiTheme="minorHAnsi" w:cstheme="minorHAnsi"/>
                <w:sz w:val="20"/>
                <w:szCs w:val="20"/>
                <w:lang w:val="es-ES"/>
              </w:rPr>
              <w:t>viables</w:t>
            </w:r>
            <w:r w:rsidR="00CD4C75" w:rsidRPr="009A27ED">
              <w:rPr>
                <w:rFonts w:asciiTheme="minorHAnsi" w:hAnsiTheme="minorHAnsi" w:cstheme="minorHAnsi"/>
                <w:spacing w:val="-24"/>
                <w:sz w:val="20"/>
                <w:szCs w:val="20"/>
                <w:lang w:val="es-ES"/>
              </w:rPr>
              <w:t xml:space="preserve"> </w:t>
            </w:r>
            <w:r w:rsidR="00CD4C75" w:rsidRPr="009A27ED">
              <w:rPr>
                <w:rFonts w:asciiTheme="minorHAnsi" w:hAnsiTheme="minorHAnsi" w:cstheme="minorHAnsi"/>
                <w:sz w:val="20"/>
                <w:szCs w:val="20"/>
                <w:lang w:val="es-ES"/>
              </w:rPr>
              <w:t>y</w:t>
            </w:r>
            <w:r w:rsidR="00CD4C75" w:rsidRPr="009A27ED">
              <w:rPr>
                <w:rFonts w:asciiTheme="minorHAnsi" w:hAnsiTheme="minorHAnsi" w:cstheme="minorHAnsi"/>
                <w:spacing w:val="-22"/>
                <w:sz w:val="20"/>
                <w:szCs w:val="20"/>
                <w:lang w:val="es-ES"/>
              </w:rPr>
              <w:t xml:space="preserve"> </w:t>
            </w:r>
            <w:r w:rsidR="00CD4C75" w:rsidRPr="009A27ED">
              <w:rPr>
                <w:rFonts w:asciiTheme="minorHAnsi" w:hAnsiTheme="minorHAnsi" w:cstheme="minorHAnsi"/>
                <w:sz w:val="20"/>
                <w:szCs w:val="20"/>
                <w:lang w:val="es-ES"/>
              </w:rPr>
              <w:t>adecuadas</w:t>
            </w:r>
            <w:r w:rsidR="00CD4C75" w:rsidRPr="009A27ED">
              <w:rPr>
                <w:rFonts w:asciiTheme="minorHAnsi" w:hAnsiTheme="minorHAnsi" w:cstheme="minorHAnsi"/>
                <w:spacing w:val="-23"/>
                <w:sz w:val="20"/>
                <w:szCs w:val="20"/>
                <w:lang w:val="es-ES"/>
              </w:rPr>
              <w:t xml:space="preserve"> </w:t>
            </w:r>
            <w:r w:rsidR="00CD4C75" w:rsidRPr="009A27ED">
              <w:rPr>
                <w:rFonts w:asciiTheme="minorHAnsi" w:hAnsiTheme="minorHAnsi" w:cstheme="minorHAnsi"/>
                <w:sz w:val="20"/>
                <w:szCs w:val="20"/>
                <w:lang w:val="es-ES"/>
              </w:rPr>
              <w:t>de</w:t>
            </w:r>
            <w:r w:rsidR="00CD4C75" w:rsidRPr="009A27ED">
              <w:rPr>
                <w:rFonts w:asciiTheme="minorHAnsi" w:hAnsiTheme="minorHAnsi" w:cstheme="minorHAnsi"/>
                <w:spacing w:val="-24"/>
                <w:sz w:val="20"/>
                <w:szCs w:val="20"/>
                <w:lang w:val="es-ES"/>
              </w:rPr>
              <w:t xml:space="preserve"> </w:t>
            </w:r>
            <w:r w:rsidR="00CD4C75" w:rsidRPr="009A27ED">
              <w:rPr>
                <w:rFonts w:asciiTheme="minorHAnsi" w:hAnsiTheme="minorHAnsi" w:cstheme="minorHAnsi"/>
                <w:sz w:val="20"/>
                <w:szCs w:val="20"/>
                <w:lang w:val="es-ES"/>
              </w:rPr>
              <w:t>mitigación.</w:t>
            </w:r>
          </w:p>
        </w:tc>
      </w:tr>
      <w:tr w:rsidR="00302CD1" w:rsidRPr="009A27ED" w14:paraId="4F52639F" w14:textId="77777777" w:rsidTr="000A4C43">
        <w:trPr>
          <w:trHeight w:val="628"/>
        </w:trPr>
        <w:tc>
          <w:tcPr>
            <w:tcW w:w="8829" w:type="dxa"/>
          </w:tcPr>
          <w:p w14:paraId="46DE0AD5" w14:textId="5845F5F6" w:rsidR="00302CD1" w:rsidRPr="009A27ED" w:rsidRDefault="00302CD1" w:rsidP="000A4C43">
            <w:pPr>
              <w:pStyle w:val="TableParagraph"/>
              <w:spacing w:after="120"/>
              <w:ind w:left="107" w:right="94"/>
              <w:rPr>
                <w:rFonts w:asciiTheme="minorHAnsi" w:hAnsiTheme="minorHAnsi" w:cstheme="minorHAnsi"/>
                <w:b/>
                <w:w w:val="95"/>
                <w:sz w:val="20"/>
                <w:szCs w:val="20"/>
                <w:u w:val="single"/>
                <w:lang w:val="es-ES"/>
              </w:rPr>
            </w:pPr>
            <w:r w:rsidRPr="009A27ED">
              <w:rPr>
                <w:rFonts w:asciiTheme="minorHAnsi" w:hAnsiTheme="minorHAnsi" w:cstheme="minorHAnsi"/>
                <w:b/>
                <w:w w:val="95"/>
                <w:sz w:val="20"/>
                <w:szCs w:val="20"/>
                <w:u w:val="single"/>
                <w:lang w:val="es-ES"/>
              </w:rPr>
              <w:t>Bosques</w:t>
            </w:r>
            <w:r w:rsidRPr="009A27ED">
              <w:rPr>
                <w:rFonts w:asciiTheme="minorHAnsi" w:hAnsiTheme="minorHAnsi" w:cstheme="minorHAnsi"/>
                <w:b/>
                <w:spacing w:val="-20"/>
                <w:w w:val="95"/>
                <w:sz w:val="20"/>
                <w:szCs w:val="20"/>
                <w:u w:val="single"/>
                <w:lang w:val="es-ES"/>
              </w:rPr>
              <w:t xml:space="preserve"> </w:t>
            </w:r>
            <w:r w:rsidRPr="009A27ED">
              <w:rPr>
                <w:rFonts w:asciiTheme="minorHAnsi" w:hAnsiTheme="minorHAnsi" w:cstheme="minorHAnsi"/>
                <w:b/>
                <w:w w:val="95"/>
                <w:sz w:val="20"/>
                <w:szCs w:val="20"/>
                <w:u w:val="single"/>
                <w:lang w:val="es-ES"/>
              </w:rPr>
              <w:t>(4.36):</w:t>
            </w:r>
            <w:r w:rsidRPr="009A27ED">
              <w:rPr>
                <w:rFonts w:asciiTheme="minorHAnsi" w:hAnsiTheme="minorHAnsi" w:cstheme="minorHAnsi"/>
                <w:spacing w:val="-20"/>
                <w:w w:val="95"/>
                <w:sz w:val="20"/>
                <w:szCs w:val="20"/>
                <w:lang w:val="es-ES"/>
              </w:rPr>
              <w:t xml:space="preserve"> </w:t>
            </w:r>
            <w:r w:rsidRPr="009A27ED">
              <w:rPr>
                <w:rFonts w:asciiTheme="minorHAnsi" w:hAnsiTheme="minorHAnsi" w:cstheme="minorHAnsi"/>
                <w:w w:val="95"/>
                <w:sz w:val="20"/>
                <w:szCs w:val="20"/>
                <w:lang w:val="es-ES"/>
              </w:rPr>
              <w:t>La</w:t>
            </w:r>
            <w:r w:rsidRPr="009A27ED">
              <w:rPr>
                <w:rFonts w:asciiTheme="minorHAnsi" w:hAnsiTheme="minorHAnsi" w:cstheme="minorHAnsi"/>
                <w:spacing w:val="-20"/>
                <w:w w:val="95"/>
                <w:sz w:val="20"/>
                <w:szCs w:val="20"/>
                <w:lang w:val="es-ES"/>
              </w:rPr>
              <w:t xml:space="preserve"> </w:t>
            </w:r>
            <w:r w:rsidRPr="009A27ED">
              <w:rPr>
                <w:rFonts w:asciiTheme="minorHAnsi" w:hAnsiTheme="minorHAnsi" w:cstheme="minorHAnsi"/>
                <w:w w:val="95"/>
                <w:sz w:val="20"/>
                <w:szCs w:val="20"/>
                <w:lang w:val="es-ES"/>
              </w:rPr>
              <w:t>finalidad</w:t>
            </w:r>
            <w:r w:rsidRPr="009A27ED">
              <w:rPr>
                <w:rFonts w:asciiTheme="minorHAnsi" w:hAnsiTheme="minorHAnsi" w:cstheme="minorHAnsi"/>
                <w:spacing w:val="-21"/>
                <w:w w:val="95"/>
                <w:sz w:val="20"/>
                <w:szCs w:val="20"/>
                <w:lang w:val="es-ES"/>
              </w:rPr>
              <w:t xml:space="preserve"> </w:t>
            </w:r>
            <w:r w:rsidRPr="009A27ED">
              <w:rPr>
                <w:rFonts w:asciiTheme="minorHAnsi" w:hAnsiTheme="minorHAnsi" w:cstheme="minorHAnsi"/>
                <w:w w:val="95"/>
                <w:sz w:val="20"/>
                <w:szCs w:val="20"/>
                <w:lang w:val="es-ES"/>
              </w:rPr>
              <w:t>de</w:t>
            </w:r>
            <w:r w:rsidRPr="009A27ED">
              <w:rPr>
                <w:rFonts w:asciiTheme="minorHAnsi" w:hAnsiTheme="minorHAnsi" w:cstheme="minorHAnsi"/>
                <w:spacing w:val="-20"/>
                <w:w w:val="95"/>
                <w:sz w:val="20"/>
                <w:szCs w:val="20"/>
                <w:lang w:val="es-ES"/>
              </w:rPr>
              <w:t xml:space="preserve"> </w:t>
            </w:r>
            <w:r w:rsidRPr="009A27ED">
              <w:rPr>
                <w:rFonts w:asciiTheme="minorHAnsi" w:hAnsiTheme="minorHAnsi" w:cstheme="minorHAnsi"/>
                <w:w w:val="95"/>
                <w:sz w:val="20"/>
                <w:szCs w:val="20"/>
                <w:lang w:val="es-ES"/>
              </w:rPr>
              <w:t>esta</w:t>
            </w:r>
            <w:r w:rsidRPr="009A27ED">
              <w:rPr>
                <w:rFonts w:asciiTheme="minorHAnsi" w:hAnsiTheme="minorHAnsi" w:cstheme="minorHAnsi"/>
                <w:spacing w:val="-20"/>
                <w:w w:val="95"/>
                <w:sz w:val="20"/>
                <w:szCs w:val="20"/>
                <w:lang w:val="es-ES"/>
              </w:rPr>
              <w:t xml:space="preserve"> </w:t>
            </w:r>
            <w:r w:rsidRPr="009A27ED">
              <w:rPr>
                <w:rFonts w:asciiTheme="minorHAnsi" w:hAnsiTheme="minorHAnsi" w:cstheme="minorHAnsi"/>
                <w:w w:val="95"/>
                <w:sz w:val="20"/>
                <w:szCs w:val="20"/>
                <w:lang w:val="es-ES"/>
              </w:rPr>
              <w:t>OP</w:t>
            </w:r>
            <w:r w:rsidRPr="009A27ED">
              <w:rPr>
                <w:rFonts w:asciiTheme="minorHAnsi" w:hAnsiTheme="minorHAnsi" w:cstheme="minorHAnsi"/>
                <w:spacing w:val="-21"/>
                <w:w w:val="95"/>
                <w:sz w:val="20"/>
                <w:szCs w:val="20"/>
                <w:lang w:val="es-ES"/>
              </w:rPr>
              <w:t xml:space="preserve"> </w:t>
            </w:r>
            <w:r w:rsidRPr="009A27ED">
              <w:rPr>
                <w:rFonts w:asciiTheme="minorHAnsi" w:hAnsiTheme="minorHAnsi" w:cstheme="minorHAnsi"/>
                <w:w w:val="95"/>
                <w:sz w:val="20"/>
                <w:szCs w:val="20"/>
                <w:lang w:val="es-ES"/>
              </w:rPr>
              <w:t>es</w:t>
            </w:r>
            <w:r w:rsidRPr="009A27ED">
              <w:rPr>
                <w:rFonts w:asciiTheme="minorHAnsi" w:hAnsiTheme="minorHAnsi" w:cstheme="minorHAnsi"/>
                <w:spacing w:val="-20"/>
                <w:w w:val="95"/>
                <w:sz w:val="20"/>
                <w:szCs w:val="20"/>
                <w:lang w:val="es-ES"/>
              </w:rPr>
              <w:t xml:space="preserve"> </w:t>
            </w:r>
            <w:r w:rsidRPr="009A27ED">
              <w:rPr>
                <w:rFonts w:asciiTheme="minorHAnsi" w:hAnsiTheme="minorHAnsi" w:cstheme="minorHAnsi"/>
                <w:w w:val="95"/>
                <w:sz w:val="20"/>
                <w:szCs w:val="20"/>
                <w:lang w:val="es-ES"/>
              </w:rPr>
              <w:t>asistir</w:t>
            </w:r>
            <w:r w:rsidRPr="009A27ED">
              <w:rPr>
                <w:rFonts w:asciiTheme="minorHAnsi" w:hAnsiTheme="minorHAnsi" w:cstheme="minorHAnsi"/>
                <w:spacing w:val="-23"/>
                <w:w w:val="95"/>
                <w:sz w:val="20"/>
                <w:szCs w:val="20"/>
                <w:lang w:val="es-ES"/>
              </w:rPr>
              <w:t xml:space="preserve"> </w:t>
            </w:r>
            <w:r w:rsidRPr="009A27ED">
              <w:rPr>
                <w:rFonts w:asciiTheme="minorHAnsi" w:hAnsiTheme="minorHAnsi" w:cstheme="minorHAnsi"/>
                <w:w w:val="95"/>
                <w:sz w:val="20"/>
                <w:szCs w:val="20"/>
                <w:lang w:val="es-ES"/>
              </w:rPr>
              <w:t>a</w:t>
            </w:r>
            <w:r w:rsidRPr="009A27ED">
              <w:rPr>
                <w:rFonts w:asciiTheme="minorHAnsi" w:hAnsiTheme="minorHAnsi" w:cstheme="minorHAnsi"/>
                <w:spacing w:val="-20"/>
                <w:w w:val="95"/>
                <w:sz w:val="20"/>
                <w:szCs w:val="20"/>
                <w:lang w:val="es-ES"/>
              </w:rPr>
              <w:t xml:space="preserve"> </w:t>
            </w:r>
            <w:r w:rsidRPr="009A27ED">
              <w:rPr>
                <w:rFonts w:asciiTheme="minorHAnsi" w:hAnsiTheme="minorHAnsi" w:cstheme="minorHAnsi"/>
                <w:w w:val="95"/>
                <w:sz w:val="20"/>
                <w:szCs w:val="20"/>
                <w:lang w:val="es-ES"/>
              </w:rPr>
              <w:t>los</w:t>
            </w:r>
            <w:r w:rsidRPr="009A27ED">
              <w:rPr>
                <w:rFonts w:asciiTheme="minorHAnsi" w:hAnsiTheme="minorHAnsi" w:cstheme="minorHAnsi"/>
                <w:spacing w:val="-21"/>
                <w:w w:val="95"/>
                <w:sz w:val="20"/>
                <w:szCs w:val="20"/>
                <w:lang w:val="es-ES"/>
              </w:rPr>
              <w:t xml:space="preserve"> </w:t>
            </w:r>
            <w:r w:rsidRPr="009A27ED">
              <w:rPr>
                <w:rFonts w:asciiTheme="minorHAnsi" w:hAnsiTheme="minorHAnsi" w:cstheme="minorHAnsi"/>
                <w:w w:val="95"/>
                <w:sz w:val="20"/>
                <w:szCs w:val="20"/>
                <w:lang w:val="es-ES"/>
              </w:rPr>
              <w:t>prestatarios</w:t>
            </w:r>
            <w:r w:rsidRPr="009A27ED">
              <w:rPr>
                <w:rFonts w:asciiTheme="minorHAnsi" w:hAnsiTheme="minorHAnsi" w:cstheme="minorHAnsi"/>
                <w:spacing w:val="-20"/>
                <w:w w:val="95"/>
                <w:sz w:val="20"/>
                <w:szCs w:val="20"/>
                <w:lang w:val="es-ES"/>
              </w:rPr>
              <w:t xml:space="preserve"> </w:t>
            </w:r>
            <w:r w:rsidRPr="009A27ED">
              <w:rPr>
                <w:rFonts w:asciiTheme="minorHAnsi" w:hAnsiTheme="minorHAnsi" w:cstheme="minorHAnsi"/>
                <w:w w:val="95"/>
                <w:sz w:val="20"/>
                <w:szCs w:val="20"/>
                <w:lang w:val="es-ES"/>
              </w:rPr>
              <w:t>a</w:t>
            </w:r>
            <w:r w:rsidRPr="009A27ED">
              <w:rPr>
                <w:rFonts w:asciiTheme="minorHAnsi" w:hAnsiTheme="minorHAnsi" w:cstheme="minorHAnsi"/>
                <w:spacing w:val="-21"/>
                <w:w w:val="95"/>
                <w:sz w:val="20"/>
                <w:szCs w:val="20"/>
                <w:lang w:val="es-ES"/>
              </w:rPr>
              <w:t xml:space="preserve"> </w:t>
            </w:r>
            <w:r w:rsidRPr="009A27ED">
              <w:rPr>
                <w:rFonts w:asciiTheme="minorHAnsi" w:hAnsiTheme="minorHAnsi" w:cstheme="minorHAnsi"/>
                <w:w w:val="95"/>
                <w:sz w:val="20"/>
                <w:szCs w:val="20"/>
                <w:lang w:val="es-ES"/>
              </w:rPr>
              <w:t>aprovechar</w:t>
            </w:r>
            <w:r w:rsidRPr="009A27ED">
              <w:rPr>
                <w:rFonts w:asciiTheme="minorHAnsi" w:hAnsiTheme="minorHAnsi" w:cstheme="minorHAnsi"/>
                <w:spacing w:val="-20"/>
                <w:w w:val="95"/>
                <w:sz w:val="20"/>
                <w:szCs w:val="20"/>
                <w:lang w:val="es-ES"/>
              </w:rPr>
              <w:t xml:space="preserve"> </w:t>
            </w:r>
            <w:r w:rsidRPr="009A27ED">
              <w:rPr>
                <w:rFonts w:asciiTheme="minorHAnsi" w:hAnsiTheme="minorHAnsi" w:cstheme="minorHAnsi"/>
                <w:w w:val="95"/>
                <w:sz w:val="20"/>
                <w:szCs w:val="20"/>
                <w:lang w:val="es-ES"/>
              </w:rPr>
              <w:t>el</w:t>
            </w:r>
            <w:r w:rsidRPr="009A27ED">
              <w:rPr>
                <w:rFonts w:asciiTheme="minorHAnsi" w:hAnsiTheme="minorHAnsi" w:cstheme="minorHAnsi"/>
                <w:spacing w:val="-20"/>
                <w:w w:val="95"/>
                <w:sz w:val="20"/>
                <w:szCs w:val="20"/>
                <w:lang w:val="es-ES"/>
              </w:rPr>
              <w:t xml:space="preserve"> </w:t>
            </w:r>
            <w:r w:rsidRPr="009A27ED">
              <w:rPr>
                <w:rFonts w:asciiTheme="minorHAnsi" w:hAnsiTheme="minorHAnsi" w:cstheme="minorHAnsi"/>
                <w:w w:val="95"/>
                <w:sz w:val="20"/>
                <w:szCs w:val="20"/>
                <w:lang w:val="es-ES"/>
              </w:rPr>
              <w:t>potencial</w:t>
            </w:r>
            <w:r w:rsidRPr="009A27ED">
              <w:rPr>
                <w:rFonts w:asciiTheme="minorHAnsi" w:hAnsiTheme="minorHAnsi" w:cstheme="minorHAnsi"/>
                <w:spacing w:val="-22"/>
                <w:w w:val="95"/>
                <w:sz w:val="20"/>
                <w:szCs w:val="20"/>
                <w:lang w:val="es-ES"/>
              </w:rPr>
              <w:t xml:space="preserve"> </w:t>
            </w:r>
            <w:r w:rsidRPr="009A27ED">
              <w:rPr>
                <w:rFonts w:asciiTheme="minorHAnsi" w:hAnsiTheme="minorHAnsi" w:cstheme="minorHAnsi"/>
                <w:w w:val="95"/>
                <w:sz w:val="20"/>
                <w:szCs w:val="20"/>
                <w:lang w:val="es-ES"/>
              </w:rPr>
              <w:t>de los</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bosques</w:t>
            </w:r>
            <w:r w:rsidRPr="009A27ED">
              <w:rPr>
                <w:rFonts w:asciiTheme="minorHAnsi" w:hAnsiTheme="minorHAnsi" w:cstheme="minorHAnsi"/>
                <w:spacing w:val="-30"/>
                <w:w w:val="95"/>
                <w:sz w:val="20"/>
                <w:szCs w:val="20"/>
                <w:lang w:val="es-ES"/>
              </w:rPr>
              <w:t xml:space="preserve"> </w:t>
            </w:r>
            <w:r w:rsidRPr="009A27ED">
              <w:rPr>
                <w:rFonts w:asciiTheme="minorHAnsi" w:hAnsiTheme="minorHAnsi" w:cstheme="minorHAnsi"/>
                <w:w w:val="95"/>
                <w:sz w:val="20"/>
                <w:szCs w:val="20"/>
                <w:lang w:val="es-ES"/>
              </w:rPr>
              <w:t>para</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reducir</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la</w:t>
            </w:r>
            <w:r w:rsidRPr="009A27ED">
              <w:rPr>
                <w:rFonts w:asciiTheme="minorHAnsi" w:hAnsiTheme="minorHAnsi" w:cstheme="minorHAnsi"/>
                <w:spacing w:val="-31"/>
                <w:w w:val="95"/>
                <w:sz w:val="20"/>
                <w:szCs w:val="20"/>
                <w:lang w:val="es-ES"/>
              </w:rPr>
              <w:t xml:space="preserve"> </w:t>
            </w:r>
            <w:r w:rsidRPr="009A27ED">
              <w:rPr>
                <w:rFonts w:asciiTheme="minorHAnsi" w:hAnsiTheme="minorHAnsi" w:cstheme="minorHAnsi"/>
                <w:w w:val="95"/>
                <w:sz w:val="20"/>
                <w:szCs w:val="20"/>
                <w:lang w:val="es-ES"/>
              </w:rPr>
              <w:t>pobreza</w:t>
            </w:r>
            <w:r w:rsidRPr="009A27ED">
              <w:rPr>
                <w:rFonts w:asciiTheme="minorHAnsi" w:hAnsiTheme="minorHAnsi" w:cstheme="minorHAnsi"/>
                <w:spacing w:val="-30"/>
                <w:w w:val="95"/>
                <w:sz w:val="20"/>
                <w:szCs w:val="20"/>
                <w:lang w:val="es-ES"/>
              </w:rPr>
              <w:t xml:space="preserve"> </w:t>
            </w:r>
            <w:r w:rsidRPr="009A27ED">
              <w:rPr>
                <w:rFonts w:asciiTheme="minorHAnsi" w:hAnsiTheme="minorHAnsi" w:cstheme="minorHAnsi"/>
                <w:w w:val="95"/>
                <w:sz w:val="20"/>
                <w:szCs w:val="20"/>
                <w:lang w:val="es-ES"/>
              </w:rPr>
              <w:t>en</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forma</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sostenible,</w:t>
            </w:r>
            <w:r w:rsidRPr="009A27ED">
              <w:rPr>
                <w:rFonts w:asciiTheme="minorHAnsi" w:hAnsiTheme="minorHAnsi" w:cstheme="minorHAnsi"/>
                <w:spacing w:val="-27"/>
                <w:w w:val="95"/>
                <w:sz w:val="20"/>
                <w:szCs w:val="20"/>
                <w:lang w:val="es-ES"/>
              </w:rPr>
              <w:t xml:space="preserve"> </w:t>
            </w:r>
            <w:r w:rsidRPr="009A27ED">
              <w:rPr>
                <w:rFonts w:asciiTheme="minorHAnsi" w:hAnsiTheme="minorHAnsi" w:cstheme="minorHAnsi"/>
                <w:w w:val="95"/>
                <w:sz w:val="20"/>
                <w:szCs w:val="20"/>
                <w:lang w:val="es-ES"/>
              </w:rPr>
              <w:t>integrarlos</w:t>
            </w:r>
            <w:r w:rsidRPr="009A27ED">
              <w:rPr>
                <w:rFonts w:asciiTheme="minorHAnsi" w:hAnsiTheme="minorHAnsi" w:cstheme="minorHAnsi"/>
                <w:spacing w:val="-29"/>
                <w:w w:val="95"/>
                <w:sz w:val="20"/>
                <w:szCs w:val="20"/>
                <w:lang w:val="es-ES"/>
              </w:rPr>
              <w:t xml:space="preserve"> </w:t>
            </w:r>
            <w:r w:rsidRPr="009A27ED">
              <w:rPr>
                <w:rFonts w:asciiTheme="minorHAnsi" w:hAnsiTheme="minorHAnsi" w:cstheme="minorHAnsi"/>
                <w:w w:val="95"/>
                <w:sz w:val="20"/>
                <w:szCs w:val="20"/>
                <w:lang w:val="es-ES"/>
              </w:rPr>
              <w:t>efectivamente</w:t>
            </w:r>
            <w:r w:rsidRPr="009A27ED">
              <w:rPr>
                <w:rFonts w:asciiTheme="minorHAnsi" w:hAnsiTheme="minorHAnsi" w:cstheme="minorHAnsi"/>
                <w:spacing w:val="-27"/>
                <w:w w:val="95"/>
                <w:sz w:val="20"/>
                <w:szCs w:val="20"/>
                <w:lang w:val="es-ES"/>
              </w:rPr>
              <w:t xml:space="preserve"> </w:t>
            </w:r>
            <w:r w:rsidRPr="009A27ED">
              <w:rPr>
                <w:rFonts w:asciiTheme="minorHAnsi" w:hAnsiTheme="minorHAnsi" w:cstheme="minorHAnsi"/>
                <w:w w:val="95"/>
                <w:sz w:val="20"/>
                <w:szCs w:val="20"/>
                <w:lang w:val="es-ES"/>
              </w:rPr>
              <w:t>en</w:t>
            </w:r>
            <w:r w:rsidRPr="009A27ED">
              <w:rPr>
                <w:rFonts w:asciiTheme="minorHAnsi" w:hAnsiTheme="minorHAnsi" w:cstheme="minorHAnsi"/>
                <w:spacing w:val="-29"/>
                <w:w w:val="95"/>
                <w:sz w:val="20"/>
                <w:szCs w:val="20"/>
                <w:lang w:val="es-ES"/>
              </w:rPr>
              <w:t xml:space="preserve"> </w:t>
            </w:r>
            <w:r w:rsidRPr="009A27ED">
              <w:rPr>
                <w:rFonts w:asciiTheme="minorHAnsi" w:hAnsiTheme="minorHAnsi" w:cstheme="minorHAnsi"/>
                <w:w w:val="95"/>
                <w:sz w:val="20"/>
                <w:szCs w:val="20"/>
                <w:lang w:val="es-ES"/>
              </w:rPr>
              <w:t>el</w:t>
            </w:r>
            <w:r w:rsidRPr="009A27ED">
              <w:rPr>
                <w:rFonts w:asciiTheme="minorHAnsi" w:hAnsiTheme="minorHAnsi" w:cstheme="minorHAnsi"/>
                <w:spacing w:val="-29"/>
                <w:w w:val="95"/>
                <w:sz w:val="20"/>
                <w:szCs w:val="20"/>
                <w:lang w:val="es-ES"/>
              </w:rPr>
              <w:t xml:space="preserve"> </w:t>
            </w:r>
            <w:r w:rsidRPr="009A27ED">
              <w:rPr>
                <w:rFonts w:asciiTheme="minorHAnsi" w:hAnsiTheme="minorHAnsi" w:cstheme="minorHAnsi"/>
                <w:w w:val="95"/>
                <w:sz w:val="20"/>
                <w:szCs w:val="20"/>
                <w:lang w:val="es-ES"/>
              </w:rPr>
              <w:t>proceso de</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desarrollo</w:t>
            </w:r>
            <w:r w:rsidRPr="009A27ED">
              <w:rPr>
                <w:rFonts w:asciiTheme="minorHAnsi" w:hAnsiTheme="minorHAnsi" w:cstheme="minorHAnsi"/>
                <w:spacing w:val="-27"/>
                <w:w w:val="95"/>
                <w:sz w:val="20"/>
                <w:szCs w:val="20"/>
                <w:lang w:val="es-ES"/>
              </w:rPr>
              <w:t xml:space="preserve"> </w:t>
            </w:r>
            <w:r w:rsidRPr="009A27ED">
              <w:rPr>
                <w:rFonts w:asciiTheme="minorHAnsi" w:hAnsiTheme="minorHAnsi" w:cstheme="minorHAnsi"/>
                <w:w w:val="95"/>
                <w:sz w:val="20"/>
                <w:szCs w:val="20"/>
                <w:lang w:val="es-ES"/>
              </w:rPr>
              <w:t>económico</w:t>
            </w:r>
            <w:r w:rsidRPr="009A27ED">
              <w:rPr>
                <w:rFonts w:asciiTheme="minorHAnsi" w:hAnsiTheme="minorHAnsi" w:cstheme="minorHAnsi"/>
                <w:spacing w:val="-26"/>
                <w:w w:val="95"/>
                <w:sz w:val="20"/>
                <w:szCs w:val="20"/>
                <w:lang w:val="es-ES"/>
              </w:rPr>
              <w:t xml:space="preserve"> </w:t>
            </w:r>
            <w:r w:rsidRPr="009A27ED">
              <w:rPr>
                <w:rFonts w:asciiTheme="minorHAnsi" w:hAnsiTheme="minorHAnsi" w:cstheme="minorHAnsi"/>
                <w:w w:val="95"/>
                <w:sz w:val="20"/>
                <w:szCs w:val="20"/>
                <w:lang w:val="es-ES"/>
              </w:rPr>
              <w:t>sostenible,</w:t>
            </w:r>
            <w:r w:rsidRPr="009A27ED">
              <w:rPr>
                <w:rFonts w:asciiTheme="minorHAnsi" w:hAnsiTheme="minorHAnsi" w:cstheme="minorHAnsi"/>
                <w:spacing w:val="-27"/>
                <w:w w:val="95"/>
                <w:sz w:val="20"/>
                <w:szCs w:val="20"/>
                <w:lang w:val="es-ES"/>
              </w:rPr>
              <w:t xml:space="preserve"> </w:t>
            </w:r>
            <w:r w:rsidRPr="009A27ED">
              <w:rPr>
                <w:rFonts w:asciiTheme="minorHAnsi" w:hAnsiTheme="minorHAnsi" w:cstheme="minorHAnsi"/>
                <w:w w:val="95"/>
                <w:sz w:val="20"/>
                <w:szCs w:val="20"/>
                <w:lang w:val="es-ES"/>
              </w:rPr>
              <w:t>y</w:t>
            </w:r>
            <w:r w:rsidRPr="009A27ED">
              <w:rPr>
                <w:rFonts w:asciiTheme="minorHAnsi" w:hAnsiTheme="minorHAnsi" w:cstheme="minorHAnsi"/>
                <w:spacing w:val="-27"/>
                <w:w w:val="95"/>
                <w:sz w:val="20"/>
                <w:szCs w:val="20"/>
                <w:lang w:val="es-ES"/>
              </w:rPr>
              <w:t xml:space="preserve"> </w:t>
            </w:r>
            <w:r w:rsidRPr="009A27ED">
              <w:rPr>
                <w:rFonts w:asciiTheme="minorHAnsi" w:hAnsiTheme="minorHAnsi" w:cstheme="minorHAnsi"/>
                <w:w w:val="95"/>
                <w:sz w:val="20"/>
                <w:szCs w:val="20"/>
                <w:lang w:val="es-ES"/>
              </w:rPr>
              <w:t>proteger</w:t>
            </w:r>
            <w:r w:rsidRPr="009A27ED">
              <w:rPr>
                <w:rFonts w:asciiTheme="minorHAnsi" w:hAnsiTheme="minorHAnsi" w:cstheme="minorHAnsi"/>
                <w:spacing w:val="-27"/>
                <w:w w:val="95"/>
                <w:sz w:val="20"/>
                <w:szCs w:val="20"/>
                <w:lang w:val="es-ES"/>
              </w:rPr>
              <w:t xml:space="preserve"> </w:t>
            </w:r>
            <w:r w:rsidRPr="009A27ED">
              <w:rPr>
                <w:rFonts w:asciiTheme="minorHAnsi" w:hAnsiTheme="minorHAnsi" w:cstheme="minorHAnsi"/>
                <w:w w:val="95"/>
                <w:sz w:val="20"/>
                <w:szCs w:val="20"/>
                <w:lang w:val="es-ES"/>
              </w:rPr>
              <w:t>sus</w:t>
            </w:r>
            <w:r w:rsidRPr="009A27ED">
              <w:rPr>
                <w:rFonts w:asciiTheme="minorHAnsi" w:hAnsiTheme="minorHAnsi" w:cstheme="minorHAnsi"/>
                <w:spacing w:val="-29"/>
                <w:w w:val="95"/>
                <w:sz w:val="20"/>
                <w:szCs w:val="20"/>
                <w:lang w:val="es-ES"/>
              </w:rPr>
              <w:t xml:space="preserve"> </w:t>
            </w:r>
            <w:r w:rsidRPr="009A27ED">
              <w:rPr>
                <w:rFonts w:asciiTheme="minorHAnsi" w:hAnsiTheme="minorHAnsi" w:cstheme="minorHAnsi"/>
                <w:w w:val="95"/>
                <w:sz w:val="20"/>
                <w:szCs w:val="20"/>
                <w:lang w:val="es-ES"/>
              </w:rPr>
              <w:t>valores</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y</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servicios</w:t>
            </w:r>
            <w:r w:rsidRPr="009A27ED">
              <w:rPr>
                <w:rFonts w:asciiTheme="minorHAnsi" w:hAnsiTheme="minorHAnsi" w:cstheme="minorHAnsi"/>
                <w:spacing w:val="-27"/>
                <w:w w:val="95"/>
                <w:sz w:val="20"/>
                <w:szCs w:val="20"/>
                <w:lang w:val="es-ES"/>
              </w:rPr>
              <w:t xml:space="preserve"> </w:t>
            </w:r>
            <w:r w:rsidRPr="009A27ED">
              <w:rPr>
                <w:rFonts w:asciiTheme="minorHAnsi" w:hAnsiTheme="minorHAnsi" w:cstheme="minorHAnsi"/>
                <w:w w:val="95"/>
                <w:sz w:val="20"/>
                <w:szCs w:val="20"/>
                <w:lang w:val="es-ES"/>
              </w:rPr>
              <w:t>ambientales</w:t>
            </w:r>
            <w:r w:rsidRPr="009A27ED">
              <w:rPr>
                <w:rFonts w:asciiTheme="minorHAnsi" w:hAnsiTheme="minorHAnsi" w:cstheme="minorHAnsi"/>
                <w:spacing w:val="-27"/>
                <w:w w:val="95"/>
                <w:sz w:val="20"/>
                <w:szCs w:val="20"/>
                <w:lang w:val="es-ES"/>
              </w:rPr>
              <w:t xml:space="preserve"> </w:t>
            </w:r>
            <w:r w:rsidRPr="009A27ED">
              <w:rPr>
                <w:rFonts w:asciiTheme="minorHAnsi" w:hAnsiTheme="minorHAnsi" w:cstheme="minorHAnsi"/>
                <w:w w:val="95"/>
                <w:sz w:val="20"/>
                <w:szCs w:val="20"/>
                <w:lang w:val="es-ES"/>
              </w:rPr>
              <w:t>a</w:t>
            </w:r>
            <w:r w:rsidRPr="009A27ED">
              <w:rPr>
                <w:rFonts w:asciiTheme="minorHAnsi" w:hAnsiTheme="minorHAnsi" w:cstheme="minorHAnsi"/>
                <w:spacing w:val="-27"/>
                <w:w w:val="95"/>
                <w:sz w:val="20"/>
                <w:szCs w:val="20"/>
                <w:lang w:val="es-ES"/>
              </w:rPr>
              <w:t xml:space="preserve"> </w:t>
            </w:r>
            <w:r w:rsidRPr="009A27ED">
              <w:rPr>
                <w:rFonts w:asciiTheme="minorHAnsi" w:hAnsiTheme="minorHAnsi" w:cstheme="minorHAnsi"/>
                <w:w w:val="95"/>
                <w:sz w:val="20"/>
                <w:szCs w:val="20"/>
                <w:lang w:val="es-ES"/>
              </w:rPr>
              <w:t>nivel</w:t>
            </w:r>
            <w:r w:rsidRPr="009A27ED">
              <w:rPr>
                <w:rFonts w:asciiTheme="minorHAnsi" w:hAnsiTheme="minorHAnsi" w:cstheme="minorHAnsi"/>
                <w:spacing w:val="-27"/>
                <w:w w:val="95"/>
                <w:sz w:val="20"/>
                <w:szCs w:val="20"/>
                <w:lang w:val="es-ES"/>
              </w:rPr>
              <w:t xml:space="preserve"> </w:t>
            </w:r>
            <w:r w:rsidRPr="009A27ED">
              <w:rPr>
                <w:rFonts w:asciiTheme="minorHAnsi" w:hAnsiTheme="minorHAnsi" w:cstheme="minorHAnsi"/>
                <w:w w:val="95"/>
                <w:sz w:val="20"/>
                <w:szCs w:val="20"/>
                <w:lang w:val="es-ES"/>
              </w:rPr>
              <w:t>local</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y global.</w:t>
            </w:r>
            <w:r w:rsidRPr="009A27ED">
              <w:rPr>
                <w:rFonts w:asciiTheme="minorHAnsi" w:hAnsiTheme="minorHAnsi" w:cstheme="minorHAnsi"/>
                <w:spacing w:val="-32"/>
                <w:w w:val="95"/>
                <w:sz w:val="20"/>
                <w:szCs w:val="20"/>
                <w:lang w:val="es-ES"/>
              </w:rPr>
              <w:t xml:space="preserve"> </w:t>
            </w:r>
            <w:r w:rsidRPr="009A27ED">
              <w:rPr>
                <w:rFonts w:asciiTheme="minorHAnsi" w:hAnsiTheme="minorHAnsi" w:cstheme="minorHAnsi"/>
                <w:w w:val="95"/>
                <w:sz w:val="20"/>
                <w:szCs w:val="20"/>
                <w:lang w:val="es-ES"/>
              </w:rPr>
              <w:t>En</w:t>
            </w:r>
            <w:r w:rsidRPr="009A27ED">
              <w:rPr>
                <w:rFonts w:asciiTheme="minorHAnsi" w:hAnsiTheme="minorHAnsi" w:cstheme="minorHAnsi"/>
                <w:spacing w:val="-32"/>
                <w:w w:val="95"/>
                <w:sz w:val="20"/>
                <w:szCs w:val="20"/>
                <w:lang w:val="es-ES"/>
              </w:rPr>
              <w:t xml:space="preserve"> </w:t>
            </w:r>
            <w:r w:rsidRPr="009A27ED">
              <w:rPr>
                <w:rFonts w:asciiTheme="minorHAnsi" w:hAnsiTheme="minorHAnsi" w:cstheme="minorHAnsi"/>
                <w:w w:val="95"/>
                <w:sz w:val="20"/>
                <w:szCs w:val="20"/>
                <w:lang w:val="es-ES"/>
              </w:rPr>
              <w:t>los</w:t>
            </w:r>
            <w:r w:rsidRPr="009A27ED">
              <w:rPr>
                <w:rFonts w:asciiTheme="minorHAnsi" w:hAnsiTheme="minorHAnsi" w:cstheme="minorHAnsi"/>
                <w:spacing w:val="-31"/>
                <w:w w:val="95"/>
                <w:sz w:val="20"/>
                <w:szCs w:val="20"/>
                <w:lang w:val="es-ES"/>
              </w:rPr>
              <w:t xml:space="preserve"> </w:t>
            </w:r>
            <w:r w:rsidRPr="009A27ED">
              <w:rPr>
                <w:rFonts w:asciiTheme="minorHAnsi" w:hAnsiTheme="minorHAnsi" w:cstheme="minorHAnsi"/>
                <w:w w:val="95"/>
                <w:sz w:val="20"/>
                <w:szCs w:val="20"/>
                <w:lang w:val="es-ES"/>
              </w:rPr>
              <w:t>casos</w:t>
            </w:r>
            <w:r w:rsidRPr="009A27ED">
              <w:rPr>
                <w:rFonts w:asciiTheme="minorHAnsi" w:hAnsiTheme="minorHAnsi" w:cstheme="minorHAnsi"/>
                <w:spacing w:val="-32"/>
                <w:w w:val="95"/>
                <w:sz w:val="20"/>
                <w:szCs w:val="20"/>
                <w:lang w:val="es-ES"/>
              </w:rPr>
              <w:t xml:space="preserve"> </w:t>
            </w:r>
            <w:r w:rsidRPr="009A27ED">
              <w:rPr>
                <w:rFonts w:asciiTheme="minorHAnsi" w:hAnsiTheme="minorHAnsi" w:cstheme="minorHAnsi"/>
                <w:w w:val="95"/>
                <w:sz w:val="20"/>
                <w:szCs w:val="20"/>
                <w:lang w:val="es-ES"/>
              </w:rPr>
              <w:t>en</w:t>
            </w:r>
            <w:r w:rsidRPr="009A27ED">
              <w:rPr>
                <w:rFonts w:asciiTheme="minorHAnsi" w:hAnsiTheme="minorHAnsi" w:cstheme="minorHAnsi"/>
                <w:spacing w:val="-32"/>
                <w:w w:val="95"/>
                <w:sz w:val="20"/>
                <w:szCs w:val="20"/>
                <w:lang w:val="es-ES"/>
              </w:rPr>
              <w:t xml:space="preserve"> </w:t>
            </w:r>
            <w:r w:rsidRPr="009A27ED">
              <w:rPr>
                <w:rFonts w:asciiTheme="minorHAnsi" w:hAnsiTheme="minorHAnsi" w:cstheme="minorHAnsi"/>
                <w:w w:val="95"/>
                <w:sz w:val="20"/>
                <w:szCs w:val="20"/>
                <w:lang w:val="es-ES"/>
              </w:rPr>
              <w:t>que</w:t>
            </w:r>
            <w:r w:rsidRPr="009A27ED">
              <w:rPr>
                <w:rFonts w:asciiTheme="minorHAnsi" w:hAnsiTheme="minorHAnsi" w:cstheme="minorHAnsi"/>
                <w:spacing w:val="-33"/>
                <w:w w:val="95"/>
                <w:sz w:val="20"/>
                <w:szCs w:val="20"/>
                <w:lang w:val="es-ES"/>
              </w:rPr>
              <w:t xml:space="preserve"> </w:t>
            </w:r>
            <w:r w:rsidRPr="009A27ED">
              <w:rPr>
                <w:rFonts w:asciiTheme="minorHAnsi" w:hAnsiTheme="minorHAnsi" w:cstheme="minorHAnsi"/>
                <w:w w:val="95"/>
                <w:sz w:val="20"/>
                <w:szCs w:val="20"/>
                <w:lang w:val="es-ES"/>
              </w:rPr>
              <w:t>es</w:t>
            </w:r>
            <w:r w:rsidRPr="009A27ED">
              <w:rPr>
                <w:rFonts w:asciiTheme="minorHAnsi" w:hAnsiTheme="minorHAnsi" w:cstheme="minorHAnsi"/>
                <w:spacing w:val="-31"/>
                <w:w w:val="95"/>
                <w:sz w:val="20"/>
                <w:szCs w:val="20"/>
                <w:lang w:val="es-ES"/>
              </w:rPr>
              <w:t xml:space="preserve"> </w:t>
            </w:r>
            <w:r w:rsidRPr="009A27ED">
              <w:rPr>
                <w:rFonts w:asciiTheme="minorHAnsi" w:hAnsiTheme="minorHAnsi" w:cstheme="minorHAnsi"/>
                <w:w w:val="95"/>
                <w:sz w:val="20"/>
                <w:szCs w:val="20"/>
                <w:lang w:val="es-ES"/>
              </w:rPr>
              <w:t>preciso</w:t>
            </w:r>
            <w:r w:rsidRPr="009A27ED">
              <w:rPr>
                <w:rFonts w:asciiTheme="minorHAnsi" w:hAnsiTheme="minorHAnsi" w:cstheme="minorHAnsi"/>
                <w:spacing w:val="-32"/>
                <w:w w:val="95"/>
                <w:sz w:val="20"/>
                <w:szCs w:val="20"/>
                <w:lang w:val="es-ES"/>
              </w:rPr>
              <w:t xml:space="preserve"> </w:t>
            </w:r>
            <w:r w:rsidRPr="009A27ED">
              <w:rPr>
                <w:rFonts w:asciiTheme="minorHAnsi" w:hAnsiTheme="minorHAnsi" w:cstheme="minorHAnsi"/>
                <w:w w:val="95"/>
                <w:sz w:val="20"/>
                <w:szCs w:val="20"/>
                <w:lang w:val="es-ES"/>
              </w:rPr>
              <w:t>proceder</w:t>
            </w:r>
            <w:r w:rsidRPr="009A27ED">
              <w:rPr>
                <w:rFonts w:asciiTheme="minorHAnsi" w:hAnsiTheme="minorHAnsi" w:cstheme="minorHAnsi"/>
                <w:spacing w:val="-31"/>
                <w:w w:val="95"/>
                <w:sz w:val="20"/>
                <w:szCs w:val="20"/>
                <w:lang w:val="es-ES"/>
              </w:rPr>
              <w:t xml:space="preserve"> </w:t>
            </w:r>
            <w:r w:rsidRPr="009A27ED">
              <w:rPr>
                <w:rFonts w:asciiTheme="minorHAnsi" w:hAnsiTheme="minorHAnsi" w:cstheme="minorHAnsi"/>
                <w:w w:val="95"/>
                <w:sz w:val="20"/>
                <w:szCs w:val="20"/>
                <w:lang w:val="es-ES"/>
              </w:rPr>
              <w:t>a</w:t>
            </w:r>
            <w:r w:rsidRPr="009A27ED">
              <w:rPr>
                <w:rFonts w:asciiTheme="minorHAnsi" w:hAnsiTheme="minorHAnsi" w:cstheme="minorHAnsi"/>
                <w:spacing w:val="-33"/>
                <w:w w:val="95"/>
                <w:sz w:val="20"/>
                <w:szCs w:val="20"/>
                <w:lang w:val="es-ES"/>
              </w:rPr>
              <w:t xml:space="preserve"> </w:t>
            </w:r>
            <w:r w:rsidRPr="009A27ED">
              <w:rPr>
                <w:rFonts w:asciiTheme="minorHAnsi" w:hAnsiTheme="minorHAnsi" w:cstheme="minorHAnsi"/>
                <w:w w:val="95"/>
                <w:sz w:val="20"/>
                <w:szCs w:val="20"/>
                <w:lang w:val="es-ES"/>
              </w:rPr>
              <w:t>la</w:t>
            </w:r>
            <w:r w:rsidRPr="009A27ED">
              <w:rPr>
                <w:rFonts w:asciiTheme="minorHAnsi" w:hAnsiTheme="minorHAnsi" w:cstheme="minorHAnsi"/>
                <w:spacing w:val="-31"/>
                <w:w w:val="95"/>
                <w:sz w:val="20"/>
                <w:szCs w:val="20"/>
                <w:lang w:val="es-ES"/>
              </w:rPr>
              <w:t xml:space="preserve"> </w:t>
            </w:r>
            <w:r w:rsidRPr="009A27ED">
              <w:rPr>
                <w:rFonts w:asciiTheme="minorHAnsi" w:hAnsiTheme="minorHAnsi" w:cstheme="minorHAnsi"/>
                <w:w w:val="95"/>
                <w:sz w:val="20"/>
                <w:szCs w:val="20"/>
                <w:lang w:val="es-ES"/>
              </w:rPr>
              <w:t>restauración</w:t>
            </w:r>
            <w:r w:rsidRPr="009A27ED">
              <w:rPr>
                <w:rFonts w:asciiTheme="minorHAnsi" w:hAnsiTheme="minorHAnsi" w:cstheme="minorHAnsi"/>
                <w:spacing w:val="-32"/>
                <w:w w:val="95"/>
                <w:sz w:val="20"/>
                <w:szCs w:val="20"/>
                <w:lang w:val="es-ES"/>
              </w:rPr>
              <w:t xml:space="preserve"> </w:t>
            </w:r>
            <w:r w:rsidRPr="009A27ED">
              <w:rPr>
                <w:rFonts w:asciiTheme="minorHAnsi" w:hAnsiTheme="minorHAnsi" w:cstheme="minorHAnsi"/>
                <w:w w:val="95"/>
                <w:sz w:val="20"/>
                <w:szCs w:val="20"/>
                <w:lang w:val="es-ES"/>
              </w:rPr>
              <w:t>y</w:t>
            </w:r>
            <w:r w:rsidRPr="009A27ED">
              <w:rPr>
                <w:rFonts w:asciiTheme="minorHAnsi" w:hAnsiTheme="minorHAnsi" w:cstheme="minorHAnsi"/>
                <w:spacing w:val="-31"/>
                <w:w w:val="95"/>
                <w:sz w:val="20"/>
                <w:szCs w:val="20"/>
                <w:lang w:val="es-ES"/>
              </w:rPr>
              <w:t xml:space="preserve"> </w:t>
            </w:r>
            <w:r w:rsidRPr="009A27ED">
              <w:rPr>
                <w:rFonts w:asciiTheme="minorHAnsi" w:hAnsiTheme="minorHAnsi" w:cstheme="minorHAnsi"/>
                <w:w w:val="95"/>
                <w:sz w:val="20"/>
                <w:szCs w:val="20"/>
                <w:lang w:val="es-ES"/>
              </w:rPr>
              <w:t>plantación</w:t>
            </w:r>
            <w:r w:rsidRPr="009A27ED">
              <w:rPr>
                <w:rFonts w:asciiTheme="minorHAnsi" w:hAnsiTheme="minorHAnsi" w:cstheme="minorHAnsi"/>
                <w:spacing w:val="-31"/>
                <w:w w:val="95"/>
                <w:sz w:val="20"/>
                <w:szCs w:val="20"/>
                <w:lang w:val="es-ES"/>
              </w:rPr>
              <w:t xml:space="preserve"> </w:t>
            </w:r>
            <w:r w:rsidRPr="009A27ED">
              <w:rPr>
                <w:rFonts w:asciiTheme="minorHAnsi" w:hAnsiTheme="minorHAnsi" w:cstheme="minorHAnsi"/>
                <w:w w:val="95"/>
                <w:sz w:val="20"/>
                <w:szCs w:val="20"/>
                <w:lang w:val="es-ES"/>
              </w:rPr>
              <w:t>para</w:t>
            </w:r>
            <w:r w:rsidRPr="009A27ED">
              <w:rPr>
                <w:rFonts w:asciiTheme="minorHAnsi" w:hAnsiTheme="minorHAnsi" w:cstheme="minorHAnsi"/>
                <w:spacing w:val="-33"/>
                <w:w w:val="95"/>
                <w:sz w:val="20"/>
                <w:szCs w:val="20"/>
                <w:lang w:val="es-ES"/>
              </w:rPr>
              <w:t xml:space="preserve"> </w:t>
            </w:r>
            <w:r w:rsidRPr="009A27ED">
              <w:rPr>
                <w:rFonts w:asciiTheme="minorHAnsi" w:hAnsiTheme="minorHAnsi" w:cstheme="minorHAnsi"/>
                <w:w w:val="95"/>
                <w:sz w:val="20"/>
                <w:szCs w:val="20"/>
                <w:lang w:val="es-ES"/>
              </w:rPr>
              <w:t>alcanzar</w:t>
            </w:r>
            <w:r w:rsidRPr="009A27ED">
              <w:rPr>
                <w:rFonts w:asciiTheme="minorHAnsi" w:hAnsiTheme="minorHAnsi" w:cstheme="minorHAnsi"/>
                <w:spacing w:val="-32"/>
                <w:w w:val="95"/>
                <w:sz w:val="20"/>
                <w:szCs w:val="20"/>
                <w:lang w:val="es-ES"/>
              </w:rPr>
              <w:t xml:space="preserve"> </w:t>
            </w:r>
            <w:r w:rsidRPr="009A27ED">
              <w:rPr>
                <w:rFonts w:asciiTheme="minorHAnsi" w:hAnsiTheme="minorHAnsi" w:cstheme="minorHAnsi"/>
                <w:w w:val="95"/>
                <w:sz w:val="20"/>
                <w:szCs w:val="20"/>
                <w:lang w:val="es-ES"/>
              </w:rPr>
              <w:t xml:space="preserve">estos </w:t>
            </w:r>
            <w:r w:rsidRPr="009A27ED">
              <w:rPr>
                <w:rFonts w:asciiTheme="minorHAnsi" w:hAnsiTheme="minorHAnsi" w:cstheme="minorHAnsi"/>
                <w:sz w:val="20"/>
                <w:szCs w:val="20"/>
                <w:lang w:val="es-ES"/>
              </w:rPr>
              <w:t xml:space="preserve">objetivos, el Banco ayuda a los prestatarios en actividades de restauración forestal, que </w:t>
            </w:r>
            <w:r w:rsidRPr="009A27ED">
              <w:rPr>
                <w:rFonts w:asciiTheme="minorHAnsi" w:hAnsiTheme="minorHAnsi" w:cstheme="minorHAnsi"/>
                <w:w w:val="95"/>
                <w:sz w:val="20"/>
                <w:szCs w:val="20"/>
                <w:lang w:val="es-ES"/>
              </w:rPr>
              <w:t>contribuyan</w:t>
            </w:r>
            <w:r w:rsidRPr="009A27ED">
              <w:rPr>
                <w:rFonts w:asciiTheme="minorHAnsi" w:hAnsiTheme="minorHAnsi" w:cstheme="minorHAnsi"/>
                <w:spacing w:val="-23"/>
                <w:w w:val="95"/>
                <w:sz w:val="20"/>
                <w:szCs w:val="20"/>
                <w:lang w:val="es-ES"/>
              </w:rPr>
              <w:t xml:space="preserve"> </w:t>
            </w:r>
            <w:r w:rsidRPr="009A27ED">
              <w:rPr>
                <w:rFonts w:asciiTheme="minorHAnsi" w:hAnsiTheme="minorHAnsi" w:cstheme="minorHAnsi"/>
                <w:w w:val="95"/>
                <w:sz w:val="20"/>
                <w:szCs w:val="20"/>
                <w:lang w:val="es-ES"/>
              </w:rPr>
              <w:t>a</w:t>
            </w:r>
            <w:r w:rsidRPr="009A27ED">
              <w:rPr>
                <w:rFonts w:asciiTheme="minorHAnsi" w:hAnsiTheme="minorHAnsi" w:cstheme="minorHAnsi"/>
                <w:spacing w:val="-23"/>
                <w:w w:val="95"/>
                <w:sz w:val="20"/>
                <w:szCs w:val="20"/>
                <w:lang w:val="es-ES"/>
              </w:rPr>
              <w:t xml:space="preserve"> </w:t>
            </w:r>
            <w:r w:rsidRPr="009A27ED">
              <w:rPr>
                <w:rFonts w:asciiTheme="minorHAnsi" w:hAnsiTheme="minorHAnsi" w:cstheme="minorHAnsi"/>
                <w:w w:val="95"/>
                <w:sz w:val="20"/>
                <w:szCs w:val="20"/>
                <w:lang w:val="es-ES"/>
              </w:rPr>
              <w:t>mantener</w:t>
            </w:r>
            <w:r w:rsidRPr="009A27ED">
              <w:rPr>
                <w:rFonts w:asciiTheme="minorHAnsi" w:hAnsiTheme="minorHAnsi" w:cstheme="minorHAnsi"/>
                <w:spacing w:val="-24"/>
                <w:w w:val="95"/>
                <w:sz w:val="20"/>
                <w:szCs w:val="20"/>
                <w:lang w:val="es-ES"/>
              </w:rPr>
              <w:t xml:space="preserve"> </w:t>
            </w:r>
            <w:r w:rsidRPr="009A27ED">
              <w:rPr>
                <w:rFonts w:asciiTheme="minorHAnsi" w:hAnsiTheme="minorHAnsi" w:cstheme="minorHAnsi"/>
                <w:w w:val="95"/>
                <w:sz w:val="20"/>
                <w:szCs w:val="20"/>
                <w:lang w:val="es-ES"/>
              </w:rPr>
              <w:t>o</w:t>
            </w:r>
            <w:r w:rsidRPr="009A27ED">
              <w:rPr>
                <w:rFonts w:asciiTheme="minorHAnsi" w:hAnsiTheme="minorHAnsi" w:cstheme="minorHAnsi"/>
                <w:spacing w:val="-23"/>
                <w:w w:val="95"/>
                <w:sz w:val="20"/>
                <w:szCs w:val="20"/>
                <w:lang w:val="es-ES"/>
              </w:rPr>
              <w:t xml:space="preserve"> </w:t>
            </w:r>
            <w:r w:rsidRPr="009A27ED">
              <w:rPr>
                <w:rFonts w:asciiTheme="minorHAnsi" w:hAnsiTheme="minorHAnsi" w:cstheme="minorHAnsi"/>
                <w:w w:val="95"/>
                <w:sz w:val="20"/>
                <w:szCs w:val="20"/>
                <w:lang w:val="es-ES"/>
              </w:rPr>
              <w:t>fomentar</w:t>
            </w:r>
            <w:r w:rsidRPr="009A27ED">
              <w:rPr>
                <w:rFonts w:asciiTheme="minorHAnsi" w:hAnsiTheme="minorHAnsi" w:cstheme="minorHAnsi"/>
                <w:spacing w:val="-21"/>
                <w:w w:val="95"/>
                <w:sz w:val="20"/>
                <w:szCs w:val="20"/>
                <w:lang w:val="es-ES"/>
              </w:rPr>
              <w:t xml:space="preserve"> </w:t>
            </w:r>
            <w:r w:rsidRPr="009A27ED">
              <w:rPr>
                <w:rFonts w:asciiTheme="minorHAnsi" w:hAnsiTheme="minorHAnsi" w:cstheme="minorHAnsi"/>
                <w:w w:val="95"/>
                <w:sz w:val="20"/>
                <w:szCs w:val="20"/>
                <w:lang w:val="es-ES"/>
              </w:rPr>
              <w:t>la</w:t>
            </w:r>
            <w:r w:rsidRPr="009A27ED">
              <w:rPr>
                <w:rFonts w:asciiTheme="minorHAnsi" w:hAnsiTheme="minorHAnsi" w:cstheme="minorHAnsi"/>
                <w:spacing w:val="-24"/>
                <w:w w:val="95"/>
                <w:sz w:val="20"/>
                <w:szCs w:val="20"/>
                <w:lang w:val="es-ES"/>
              </w:rPr>
              <w:t xml:space="preserve"> </w:t>
            </w:r>
            <w:r w:rsidRPr="009A27ED">
              <w:rPr>
                <w:rFonts w:asciiTheme="minorHAnsi" w:hAnsiTheme="minorHAnsi" w:cstheme="minorHAnsi"/>
                <w:w w:val="95"/>
                <w:sz w:val="20"/>
                <w:szCs w:val="20"/>
                <w:lang w:val="es-ES"/>
              </w:rPr>
              <w:t>funcionalidad</w:t>
            </w:r>
            <w:r w:rsidRPr="009A27ED">
              <w:rPr>
                <w:rFonts w:asciiTheme="minorHAnsi" w:hAnsiTheme="minorHAnsi" w:cstheme="minorHAnsi"/>
                <w:spacing w:val="-24"/>
                <w:w w:val="95"/>
                <w:sz w:val="20"/>
                <w:szCs w:val="20"/>
                <w:lang w:val="es-ES"/>
              </w:rPr>
              <w:t xml:space="preserve"> </w:t>
            </w:r>
            <w:r w:rsidRPr="009A27ED">
              <w:rPr>
                <w:rFonts w:asciiTheme="minorHAnsi" w:hAnsiTheme="minorHAnsi" w:cstheme="minorHAnsi"/>
                <w:w w:val="95"/>
                <w:sz w:val="20"/>
                <w:szCs w:val="20"/>
                <w:lang w:val="es-ES"/>
              </w:rPr>
              <w:t>de</w:t>
            </w:r>
            <w:r w:rsidRPr="009A27ED">
              <w:rPr>
                <w:rFonts w:asciiTheme="minorHAnsi" w:hAnsiTheme="minorHAnsi" w:cstheme="minorHAnsi"/>
                <w:spacing w:val="-22"/>
                <w:w w:val="95"/>
                <w:sz w:val="20"/>
                <w:szCs w:val="20"/>
                <w:lang w:val="es-ES"/>
              </w:rPr>
              <w:t xml:space="preserve"> </w:t>
            </w:r>
            <w:r w:rsidRPr="009A27ED">
              <w:rPr>
                <w:rFonts w:asciiTheme="minorHAnsi" w:hAnsiTheme="minorHAnsi" w:cstheme="minorHAnsi"/>
                <w:w w:val="95"/>
                <w:sz w:val="20"/>
                <w:szCs w:val="20"/>
                <w:lang w:val="es-ES"/>
              </w:rPr>
              <w:t>los</w:t>
            </w:r>
            <w:r w:rsidRPr="009A27ED">
              <w:rPr>
                <w:rFonts w:asciiTheme="minorHAnsi" w:hAnsiTheme="minorHAnsi" w:cstheme="minorHAnsi"/>
                <w:spacing w:val="-24"/>
                <w:w w:val="95"/>
                <w:sz w:val="20"/>
                <w:szCs w:val="20"/>
                <w:lang w:val="es-ES"/>
              </w:rPr>
              <w:t xml:space="preserve"> </w:t>
            </w:r>
            <w:r w:rsidRPr="009A27ED">
              <w:rPr>
                <w:rFonts w:asciiTheme="minorHAnsi" w:hAnsiTheme="minorHAnsi" w:cstheme="minorHAnsi"/>
                <w:w w:val="95"/>
                <w:sz w:val="20"/>
                <w:szCs w:val="20"/>
                <w:lang w:val="es-ES"/>
              </w:rPr>
              <w:t>ecosistemas.</w:t>
            </w:r>
            <w:r w:rsidRPr="009A27ED">
              <w:rPr>
                <w:rFonts w:asciiTheme="minorHAnsi" w:hAnsiTheme="minorHAnsi" w:cstheme="minorHAnsi"/>
                <w:spacing w:val="-22"/>
                <w:w w:val="95"/>
                <w:sz w:val="20"/>
                <w:szCs w:val="20"/>
                <w:lang w:val="es-ES"/>
              </w:rPr>
              <w:t xml:space="preserve"> </w:t>
            </w:r>
            <w:r w:rsidRPr="009A27ED">
              <w:rPr>
                <w:rFonts w:asciiTheme="minorHAnsi" w:hAnsiTheme="minorHAnsi" w:cstheme="minorHAnsi"/>
                <w:w w:val="95"/>
                <w:sz w:val="20"/>
                <w:szCs w:val="20"/>
                <w:lang w:val="es-ES"/>
              </w:rPr>
              <w:t>Asimismo,</w:t>
            </w:r>
            <w:r w:rsidRPr="009A27ED">
              <w:rPr>
                <w:rFonts w:asciiTheme="minorHAnsi" w:hAnsiTheme="minorHAnsi" w:cstheme="minorHAnsi"/>
                <w:spacing w:val="-21"/>
                <w:w w:val="95"/>
                <w:sz w:val="20"/>
                <w:szCs w:val="20"/>
                <w:lang w:val="es-ES"/>
              </w:rPr>
              <w:t xml:space="preserve"> </w:t>
            </w:r>
            <w:r w:rsidRPr="009A27ED">
              <w:rPr>
                <w:rFonts w:asciiTheme="minorHAnsi" w:hAnsiTheme="minorHAnsi" w:cstheme="minorHAnsi"/>
                <w:w w:val="95"/>
                <w:sz w:val="20"/>
                <w:szCs w:val="20"/>
                <w:lang w:val="es-ES"/>
              </w:rPr>
              <w:t xml:space="preserve">proporciona </w:t>
            </w:r>
            <w:r w:rsidRPr="009A27ED">
              <w:rPr>
                <w:rFonts w:asciiTheme="minorHAnsi" w:hAnsiTheme="minorHAnsi" w:cstheme="minorHAnsi"/>
                <w:sz w:val="20"/>
                <w:szCs w:val="20"/>
                <w:lang w:val="es-ES"/>
              </w:rPr>
              <w:t xml:space="preserve">asistencia a los prestatarios en el establecimiento y manejo sostenible de plantaciones, </w:t>
            </w:r>
            <w:r w:rsidRPr="009A27ED">
              <w:rPr>
                <w:rFonts w:asciiTheme="minorHAnsi" w:hAnsiTheme="minorHAnsi" w:cstheme="minorHAnsi"/>
                <w:w w:val="95"/>
                <w:sz w:val="20"/>
                <w:szCs w:val="20"/>
                <w:lang w:val="es-ES"/>
              </w:rPr>
              <w:t>ecológicamente</w:t>
            </w:r>
            <w:r w:rsidRPr="009A27ED">
              <w:rPr>
                <w:rFonts w:asciiTheme="minorHAnsi" w:hAnsiTheme="minorHAnsi" w:cstheme="minorHAnsi"/>
                <w:spacing w:val="-37"/>
                <w:w w:val="95"/>
                <w:sz w:val="20"/>
                <w:szCs w:val="20"/>
                <w:lang w:val="es-ES"/>
              </w:rPr>
              <w:t xml:space="preserve"> </w:t>
            </w:r>
            <w:r w:rsidRPr="009A27ED">
              <w:rPr>
                <w:rFonts w:asciiTheme="minorHAnsi" w:hAnsiTheme="minorHAnsi" w:cstheme="minorHAnsi"/>
                <w:w w:val="95"/>
                <w:sz w:val="20"/>
                <w:szCs w:val="20"/>
                <w:lang w:val="es-ES"/>
              </w:rPr>
              <w:t>apropiadas,</w:t>
            </w:r>
            <w:r w:rsidRPr="009A27ED">
              <w:rPr>
                <w:rFonts w:asciiTheme="minorHAnsi" w:hAnsiTheme="minorHAnsi" w:cstheme="minorHAnsi"/>
                <w:spacing w:val="-36"/>
                <w:w w:val="95"/>
                <w:sz w:val="20"/>
                <w:szCs w:val="20"/>
                <w:lang w:val="es-ES"/>
              </w:rPr>
              <w:t xml:space="preserve"> </w:t>
            </w:r>
            <w:r w:rsidRPr="009A27ED">
              <w:rPr>
                <w:rFonts w:asciiTheme="minorHAnsi" w:hAnsiTheme="minorHAnsi" w:cstheme="minorHAnsi"/>
                <w:w w:val="95"/>
                <w:sz w:val="20"/>
                <w:szCs w:val="20"/>
                <w:lang w:val="es-ES"/>
              </w:rPr>
              <w:t>socialmente</w:t>
            </w:r>
            <w:r w:rsidRPr="009A27ED">
              <w:rPr>
                <w:rFonts w:asciiTheme="minorHAnsi" w:hAnsiTheme="minorHAnsi" w:cstheme="minorHAnsi"/>
                <w:spacing w:val="-36"/>
                <w:w w:val="95"/>
                <w:sz w:val="20"/>
                <w:szCs w:val="20"/>
                <w:lang w:val="es-ES"/>
              </w:rPr>
              <w:t xml:space="preserve"> </w:t>
            </w:r>
            <w:r w:rsidRPr="009A27ED">
              <w:rPr>
                <w:rFonts w:asciiTheme="minorHAnsi" w:hAnsiTheme="minorHAnsi" w:cstheme="minorHAnsi"/>
                <w:w w:val="95"/>
                <w:sz w:val="20"/>
                <w:szCs w:val="20"/>
                <w:lang w:val="es-ES"/>
              </w:rPr>
              <w:t>beneficiosas</w:t>
            </w:r>
            <w:r w:rsidRPr="009A27ED">
              <w:rPr>
                <w:rFonts w:asciiTheme="minorHAnsi" w:hAnsiTheme="minorHAnsi" w:cstheme="minorHAnsi"/>
                <w:spacing w:val="-38"/>
                <w:w w:val="95"/>
                <w:sz w:val="20"/>
                <w:szCs w:val="20"/>
                <w:lang w:val="es-ES"/>
              </w:rPr>
              <w:t xml:space="preserve"> </w:t>
            </w:r>
            <w:r w:rsidRPr="009A27ED">
              <w:rPr>
                <w:rFonts w:asciiTheme="minorHAnsi" w:hAnsiTheme="minorHAnsi" w:cstheme="minorHAnsi"/>
                <w:w w:val="95"/>
                <w:sz w:val="20"/>
                <w:szCs w:val="20"/>
                <w:lang w:val="es-ES"/>
              </w:rPr>
              <w:t>y</w:t>
            </w:r>
            <w:r w:rsidRPr="009A27ED">
              <w:rPr>
                <w:rFonts w:asciiTheme="minorHAnsi" w:hAnsiTheme="minorHAnsi" w:cstheme="minorHAnsi"/>
                <w:spacing w:val="-36"/>
                <w:w w:val="95"/>
                <w:sz w:val="20"/>
                <w:szCs w:val="20"/>
                <w:lang w:val="es-ES"/>
              </w:rPr>
              <w:t xml:space="preserve"> </w:t>
            </w:r>
            <w:r w:rsidRPr="009A27ED">
              <w:rPr>
                <w:rFonts w:asciiTheme="minorHAnsi" w:hAnsiTheme="minorHAnsi" w:cstheme="minorHAnsi"/>
                <w:w w:val="95"/>
                <w:sz w:val="20"/>
                <w:szCs w:val="20"/>
                <w:lang w:val="es-ES"/>
              </w:rPr>
              <w:t>económicamente</w:t>
            </w:r>
            <w:r w:rsidRPr="009A27ED">
              <w:rPr>
                <w:rFonts w:asciiTheme="minorHAnsi" w:hAnsiTheme="minorHAnsi" w:cstheme="minorHAnsi"/>
                <w:spacing w:val="-37"/>
                <w:w w:val="95"/>
                <w:sz w:val="20"/>
                <w:szCs w:val="20"/>
                <w:lang w:val="es-ES"/>
              </w:rPr>
              <w:t xml:space="preserve"> </w:t>
            </w:r>
            <w:r w:rsidRPr="009A27ED">
              <w:rPr>
                <w:rFonts w:asciiTheme="minorHAnsi" w:hAnsiTheme="minorHAnsi" w:cstheme="minorHAnsi"/>
                <w:w w:val="95"/>
                <w:sz w:val="20"/>
                <w:szCs w:val="20"/>
                <w:lang w:val="es-ES"/>
              </w:rPr>
              <w:t>viables,</w:t>
            </w:r>
            <w:r w:rsidRPr="009A27ED">
              <w:rPr>
                <w:rFonts w:asciiTheme="minorHAnsi" w:hAnsiTheme="minorHAnsi" w:cstheme="minorHAnsi"/>
                <w:spacing w:val="-36"/>
                <w:w w:val="95"/>
                <w:sz w:val="20"/>
                <w:szCs w:val="20"/>
                <w:lang w:val="es-ES"/>
              </w:rPr>
              <w:t xml:space="preserve"> </w:t>
            </w:r>
            <w:r w:rsidRPr="009A27ED">
              <w:rPr>
                <w:rFonts w:asciiTheme="minorHAnsi" w:hAnsiTheme="minorHAnsi" w:cstheme="minorHAnsi"/>
                <w:w w:val="95"/>
                <w:sz w:val="20"/>
                <w:szCs w:val="20"/>
                <w:lang w:val="es-ES"/>
              </w:rPr>
              <w:t>para</w:t>
            </w:r>
            <w:r w:rsidRPr="009A27ED">
              <w:rPr>
                <w:rFonts w:asciiTheme="minorHAnsi" w:hAnsiTheme="minorHAnsi" w:cstheme="minorHAnsi"/>
                <w:spacing w:val="-36"/>
                <w:w w:val="95"/>
                <w:sz w:val="20"/>
                <w:szCs w:val="20"/>
                <w:lang w:val="es-ES"/>
              </w:rPr>
              <w:t xml:space="preserve"> </w:t>
            </w:r>
            <w:r w:rsidRPr="009A27ED">
              <w:rPr>
                <w:rFonts w:asciiTheme="minorHAnsi" w:hAnsiTheme="minorHAnsi" w:cstheme="minorHAnsi"/>
                <w:w w:val="95"/>
                <w:sz w:val="20"/>
                <w:szCs w:val="20"/>
                <w:lang w:val="es-ES"/>
              </w:rPr>
              <w:t>ayudar</w:t>
            </w:r>
            <w:r w:rsidRPr="009A27ED">
              <w:rPr>
                <w:rFonts w:asciiTheme="minorHAnsi" w:hAnsiTheme="minorHAnsi" w:cstheme="minorHAnsi"/>
                <w:spacing w:val="-37"/>
                <w:w w:val="95"/>
                <w:sz w:val="20"/>
                <w:szCs w:val="20"/>
                <w:lang w:val="es-ES"/>
              </w:rPr>
              <w:t xml:space="preserve"> </w:t>
            </w:r>
            <w:r w:rsidRPr="009A27ED">
              <w:rPr>
                <w:rFonts w:asciiTheme="minorHAnsi" w:hAnsiTheme="minorHAnsi" w:cstheme="minorHAnsi"/>
                <w:w w:val="95"/>
                <w:sz w:val="20"/>
                <w:szCs w:val="20"/>
                <w:lang w:val="es-ES"/>
              </w:rPr>
              <w:t xml:space="preserve">a </w:t>
            </w:r>
            <w:r w:rsidRPr="009A27ED">
              <w:rPr>
                <w:rFonts w:asciiTheme="minorHAnsi" w:hAnsiTheme="minorHAnsi" w:cstheme="minorHAnsi"/>
                <w:sz w:val="20"/>
                <w:szCs w:val="20"/>
                <w:lang w:val="es-ES"/>
              </w:rPr>
              <w:t>atender</w:t>
            </w:r>
            <w:r w:rsidRPr="009A27ED">
              <w:rPr>
                <w:rFonts w:asciiTheme="minorHAnsi" w:hAnsiTheme="minorHAnsi" w:cstheme="minorHAnsi"/>
                <w:spacing w:val="-14"/>
                <w:sz w:val="20"/>
                <w:szCs w:val="20"/>
                <w:lang w:val="es-ES"/>
              </w:rPr>
              <w:t xml:space="preserve"> </w:t>
            </w:r>
            <w:r w:rsidRPr="009A27ED">
              <w:rPr>
                <w:rFonts w:asciiTheme="minorHAnsi" w:hAnsiTheme="minorHAnsi" w:cstheme="minorHAnsi"/>
                <w:sz w:val="20"/>
                <w:szCs w:val="20"/>
                <w:lang w:val="es-ES"/>
              </w:rPr>
              <w:t>la</w:t>
            </w:r>
            <w:r w:rsidRPr="009A27ED">
              <w:rPr>
                <w:rFonts w:asciiTheme="minorHAnsi" w:hAnsiTheme="minorHAnsi" w:cstheme="minorHAnsi"/>
                <w:spacing w:val="-16"/>
                <w:sz w:val="20"/>
                <w:szCs w:val="20"/>
                <w:lang w:val="es-ES"/>
              </w:rPr>
              <w:t xml:space="preserve"> </w:t>
            </w:r>
            <w:r w:rsidRPr="009A27ED">
              <w:rPr>
                <w:rFonts w:asciiTheme="minorHAnsi" w:hAnsiTheme="minorHAnsi" w:cstheme="minorHAnsi"/>
                <w:sz w:val="20"/>
                <w:szCs w:val="20"/>
                <w:lang w:val="es-ES"/>
              </w:rPr>
              <w:t>demanda</w:t>
            </w:r>
            <w:r w:rsidRPr="009A27ED">
              <w:rPr>
                <w:rFonts w:asciiTheme="minorHAnsi" w:hAnsiTheme="minorHAnsi" w:cstheme="minorHAnsi"/>
                <w:spacing w:val="-15"/>
                <w:sz w:val="20"/>
                <w:szCs w:val="20"/>
                <w:lang w:val="es-ES"/>
              </w:rPr>
              <w:t xml:space="preserve"> </w:t>
            </w:r>
            <w:r w:rsidRPr="009A27ED">
              <w:rPr>
                <w:rFonts w:asciiTheme="minorHAnsi" w:hAnsiTheme="minorHAnsi" w:cstheme="minorHAnsi"/>
                <w:sz w:val="20"/>
                <w:szCs w:val="20"/>
                <w:lang w:val="es-ES"/>
              </w:rPr>
              <w:t>creciente</w:t>
            </w:r>
            <w:r w:rsidRPr="009A27ED">
              <w:rPr>
                <w:rFonts w:asciiTheme="minorHAnsi" w:hAnsiTheme="minorHAnsi" w:cstheme="minorHAnsi"/>
                <w:spacing w:val="-14"/>
                <w:sz w:val="20"/>
                <w:szCs w:val="20"/>
                <w:lang w:val="es-ES"/>
              </w:rPr>
              <w:t xml:space="preserve"> </w:t>
            </w:r>
            <w:r w:rsidRPr="009A27ED">
              <w:rPr>
                <w:rFonts w:asciiTheme="minorHAnsi" w:hAnsiTheme="minorHAnsi" w:cstheme="minorHAnsi"/>
                <w:sz w:val="20"/>
                <w:szCs w:val="20"/>
                <w:lang w:val="es-ES"/>
              </w:rPr>
              <w:t>de</w:t>
            </w:r>
            <w:r w:rsidRPr="009A27ED">
              <w:rPr>
                <w:rFonts w:asciiTheme="minorHAnsi" w:hAnsiTheme="minorHAnsi" w:cstheme="minorHAnsi"/>
                <w:spacing w:val="-13"/>
                <w:sz w:val="20"/>
                <w:szCs w:val="20"/>
                <w:lang w:val="es-ES"/>
              </w:rPr>
              <w:t xml:space="preserve"> </w:t>
            </w:r>
            <w:r w:rsidRPr="009A27ED">
              <w:rPr>
                <w:rFonts w:asciiTheme="minorHAnsi" w:hAnsiTheme="minorHAnsi" w:cstheme="minorHAnsi"/>
                <w:sz w:val="20"/>
                <w:szCs w:val="20"/>
                <w:lang w:val="es-ES"/>
              </w:rPr>
              <w:t>bienes</w:t>
            </w:r>
            <w:r w:rsidRPr="009A27ED">
              <w:rPr>
                <w:rFonts w:asciiTheme="minorHAnsi" w:hAnsiTheme="minorHAnsi" w:cstheme="minorHAnsi"/>
                <w:spacing w:val="-15"/>
                <w:sz w:val="20"/>
                <w:szCs w:val="20"/>
                <w:lang w:val="es-ES"/>
              </w:rPr>
              <w:t xml:space="preserve"> </w:t>
            </w:r>
            <w:r w:rsidRPr="009A27ED">
              <w:rPr>
                <w:rFonts w:asciiTheme="minorHAnsi" w:hAnsiTheme="minorHAnsi" w:cstheme="minorHAnsi"/>
                <w:sz w:val="20"/>
                <w:szCs w:val="20"/>
                <w:lang w:val="es-ES"/>
              </w:rPr>
              <w:t>y</w:t>
            </w:r>
            <w:r w:rsidRPr="009A27ED">
              <w:rPr>
                <w:rFonts w:asciiTheme="minorHAnsi" w:hAnsiTheme="minorHAnsi" w:cstheme="minorHAnsi"/>
                <w:spacing w:val="-14"/>
                <w:sz w:val="20"/>
                <w:szCs w:val="20"/>
                <w:lang w:val="es-ES"/>
              </w:rPr>
              <w:t xml:space="preserve"> </w:t>
            </w:r>
            <w:r w:rsidRPr="009A27ED">
              <w:rPr>
                <w:rFonts w:asciiTheme="minorHAnsi" w:hAnsiTheme="minorHAnsi" w:cstheme="minorHAnsi"/>
                <w:sz w:val="20"/>
                <w:szCs w:val="20"/>
                <w:lang w:val="es-ES"/>
              </w:rPr>
              <w:t>servicios</w:t>
            </w:r>
            <w:r w:rsidRPr="009A27ED">
              <w:rPr>
                <w:rFonts w:asciiTheme="minorHAnsi" w:hAnsiTheme="minorHAnsi" w:cstheme="minorHAnsi"/>
                <w:spacing w:val="-14"/>
                <w:sz w:val="20"/>
                <w:szCs w:val="20"/>
                <w:lang w:val="es-ES"/>
              </w:rPr>
              <w:t xml:space="preserve"> </w:t>
            </w:r>
            <w:r w:rsidRPr="009A27ED">
              <w:rPr>
                <w:rFonts w:asciiTheme="minorHAnsi" w:hAnsiTheme="minorHAnsi" w:cstheme="minorHAnsi"/>
                <w:sz w:val="20"/>
                <w:szCs w:val="20"/>
                <w:lang w:val="es-ES"/>
              </w:rPr>
              <w:t>forestales.</w:t>
            </w:r>
            <w:r w:rsidRPr="009A27ED">
              <w:rPr>
                <w:rFonts w:asciiTheme="minorHAnsi" w:hAnsiTheme="minorHAnsi" w:cstheme="minorHAnsi"/>
                <w:spacing w:val="-14"/>
                <w:sz w:val="20"/>
                <w:szCs w:val="20"/>
                <w:lang w:val="es-ES"/>
              </w:rPr>
              <w:t xml:space="preserve"> </w:t>
            </w:r>
            <w:r w:rsidRPr="009A27ED">
              <w:rPr>
                <w:rFonts w:asciiTheme="minorHAnsi" w:hAnsiTheme="minorHAnsi" w:cstheme="minorHAnsi"/>
                <w:sz w:val="20"/>
                <w:szCs w:val="20"/>
                <w:lang w:val="es-ES"/>
              </w:rPr>
              <w:t>Esta</w:t>
            </w:r>
            <w:r w:rsidRPr="009A27ED">
              <w:rPr>
                <w:rFonts w:asciiTheme="minorHAnsi" w:hAnsiTheme="minorHAnsi" w:cstheme="minorHAnsi"/>
                <w:spacing w:val="-14"/>
                <w:sz w:val="20"/>
                <w:szCs w:val="20"/>
                <w:lang w:val="es-ES"/>
              </w:rPr>
              <w:t xml:space="preserve"> </w:t>
            </w:r>
            <w:r w:rsidRPr="009A27ED">
              <w:rPr>
                <w:rFonts w:asciiTheme="minorHAnsi" w:hAnsiTheme="minorHAnsi" w:cstheme="minorHAnsi"/>
                <w:sz w:val="20"/>
                <w:szCs w:val="20"/>
                <w:lang w:val="es-ES"/>
              </w:rPr>
              <w:t>política</w:t>
            </w:r>
            <w:r w:rsidRPr="009A27ED">
              <w:rPr>
                <w:rFonts w:asciiTheme="minorHAnsi" w:hAnsiTheme="minorHAnsi" w:cstheme="minorHAnsi"/>
                <w:spacing w:val="-16"/>
                <w:sz w:val="20"/>
                <w:szCs w:val="20"/>
                <w:lang w:val="es-ES"/>
              </w:rPr>
              <w:t xml:space="preserve"> </w:t>
            </w:r>
            <w:r w:rsidRPr="009A27ED">
              <w:rPr>
                <w:rFonts w:asciiTheme="minorHAnsi" w:hAnsiTheme="minorHAnsi" w:cstheme="minorHAnsi"/>
                <w:sz w:val="20"/>
                <w:szCs w:val="20"/>
                <w:lang w:val="es-ES"/>
              </w:rPr>
              <w:t>se</w:t>
            </w:r>
            <w:r w:rsidRPr="009A27ED">
              <w:rPr>
                <w:rFonts w:asciiTheme="minorHAnsi" w:hAnsiTheme="minorHAnsi" w:cstheme="minorHAnsi"/>
                <w:spacing w:val="-14"/>
                <w:sz w:val="20"/>
                <w:szCs w:val="20"/>
                <w:lang w:val="es-ES"/>
              </w:rPr>
              <w:t xml:space="preserve"> </w:t>
            </w:r>
            <w:r w:rsidRPr="009A27ED">
              <w:rPr>
                <w:rFonts w:asciiTheme="minorHAnsi" w:hAnsiTheme="minorHAnsi" w:cstheme="minorHAnsi"/>
                <w:sz w:val="20"/>
                <w:szCs w:val="20"/>
                <w:lang w:val="es-ES"/>
              </w:rPr>
              <w:t>aplica</w:t>
            </w:r>
            <w:r w:rsidRPr="009A27ED">
              <w:rPr>
                <w:rFonts w:asciiTheme="minorHAnsi" w:hAnsiTheme="minorHAnsi" w:cstheme="minorHAnsi"/>
                <w:spacing w:val="-15"/>
                <w:sz w:val="20"/>
                <w:szCs w:val="20"/>
                <w:lang w:val="es-ES"/>
              </w:rPr>
              <w:t xml:space="preserve"> </w:t>
            </w:r>
            <w:r w:rsidRPr="009A27ED">
              <w:rPr>
                <w:rFonts w:asciiTheme="minorHAnsi" w:hAnsiTheme="minorHAnsi" w:cstheme="minorHAnsi"/>
                <w:sz w:val="20"/>
                <w:szCs w:val="20"/>
                <w:lang w:val="es-ES"/>
              </w:rPr>
              <w:t>a</w:t>
            </w:r>
            <w:r w:rsidRPr="009A27ED">
              <w:rPr>
                <w:rFonts w:asciiTheme="minorHAnsi" w:hAnsiTheme="minorHAnsi" w:cstheme="minorHAnsi"/>
                <w:spacing w:val="-14"/>
                <w:sz w:val="20"/>
                <w:szCs w:val="20"/>
                <w:lang w:val="es-ES"/>
              </w:rPr>
              <w:t xml:space="preserve"> </w:t>
            </w:r>
            <w:r w:rsidRPr="009A27ED">
              <w:rPr>
                <w:rFonts w:asciiTheme="minorHAnsi" w:hAnsiTheme="minorHAnsi" w:cstheme="minorHAnsi"/>
                <w:sz w:val="20"/>
                <w:szCs w:val="20"/>
                <w:lang w:val="es-ES"/>
              </w:rPr>
              <w:t xml:space="preserve">los </w:t>
            </w:r>
            <w:r w:rsidRPr="009A27ED">
              <w:rPr>
                <w:rFonts w:asciiTheme="minorHAnsi" w:hAnsiTheme="minorHAnsi" w:cstheme="minorHAnsi"/>
                <w:w w:val="95"/>
                <w:sz w:val="20"/>
                <w:szCs w:val="20"/>
                <w:lang w:val="es-ES"/>
              </w:rPr>
              <w:t>siguientes</w:t>
            </w:r>
            <w:r w:rsidRPr="009A27ED">
              <w:rPr>
                <w:rFonts w:asciiTheme="minorHAnsi" w:hAnsiTheme="minorHAnsi" w:cstheme="minorHAnsi"/>
                <w:spacing w:val="-15"/>
                <w:w w:val="95"/>
                <w:sz w:val="20"/>
                <w:szCs w:val="20"/>
                <w:lang w:val="es-ES"/>
              </w:rPr>
              <w:t xml:space="preserve"> </w:t>
            </w:r>
            <w:r w:rsidRPr="009A27ED">
              <w:rPr>
                <w:rFonts w:asciiTheme="minorHAnsi" w:hAnsiTheme="minorHAnsi" w:cstheme="minorHAnsi"/>
                <w:w w:val="95"/>
                <w:sz w:val="20"/>
                <w:szCs w:val="20"/>
                <w:lang w:val="es-ES"/>
              </w:rPr>
              <w:t>tipos</w:t>
            </w:r>
            <w:r w:rsidRPr="009A27ED">
              <w:rPr>
                <w:rFonts w:asciiTheme="minorHAnsi" w:hAnsiTheme="minorHAnsi" w:cstheme="minorHAnsi"/>
                <w:spacing w:val="-15"/>
                <w:w w:val="95"/>
                <w:sz w:val="20"/>
                <w:szCs w:val="20"/>
                <w:lang w:val="es-ES"/>
              </w:rPr>
              <w:t xml:space="preserve"> </w:t>
            </w:r>
            <w:r w:rsidRPr="009A27ED">
              <w:rPr>
                <w:rFonts w:asciiTheme="minorHAnsi" w:hAnsiTheme="minorHAnsi" w:cstheme="minorHAnsi"/>
                <w:w w:val="95"/>
                <w:sz w:val="20"/>
                <w:szCs w:val="20"/>
                <w:lang w:val="es-ES"/>
              </w:rPr>
              <w:t>de</w:t>
            </w:r>
            <w:r w:rsidRPr="009A27ED">
              <w:rPr>
                <w:rFonts w:asciiTheme="minorHAnsi" w:hAnsiTheme="minorHAnsi" w:cstheme="minorHAnsi"/>
                <w:spacing w:val="-14"/>
                <w:w w:val="95"/>
                <w:sz w:val="20"/>
                <w:szCs w:val="20"/>
                <w:lang w:val="es-ES"/>
              </w:rPr>
              <w:t xml:space="preserve"> </w:t>
            </w:r>
            <w:r w:rsidRPr="009A27ED">
              <w:rPr>
                <w:rFonts w:asciiTheme="minorHAnsi" w:hAnsiTheme="minorHAnsi" w:cstheme="minorHAnsi"/>
                <w:w w:val="95"/>
                <w:sz w:val="20"/>
                <w:szCs w:val="20"/>
                <w:lang w:val="es-ES"/>
              </w:rPr>
              <w:t>proyectos</w:t>
            </w:r>
            <w:r w:rsidRPr="009A27ED">
              <w:rPr>
                <w:rFonts w:asciiTheme="minorHAnsi" w:hAnsiTheme="minorHAnsi" w:cstheme="minorHAnsi"/>
                <w:spacing w:val="-15"/>
                <w:w w:val="95"/>
                <w:sz w:val="20"/>
                <w:szCs w:val="20"/>
                <w:lang w:val="es-ES"/>
              </w:rPr>
              <w:t xml:space="preserve"> </w:t>
            </w:r>
            <w:r w:rsidRPr="009A27ED">
              <w:rPr>
                <w:rFonts w:asciiTheme="minorHAnsi" w:hAnsiTheme="minorHAnsi" w:cstheme="minorHAnsi"/>
                <w:w w:val="95"/>
                <w:sz w:val="20"/>
                <w:szCs w:val="20"/>
                <w:lang w:val="es-ES"/>
              </w:rPr>
              <w:t>de</w:t>
            </w:r>
            <w:r w:rsidRPr="009A27ED">
              <w:rPr>
                <w:rFonts w:asciiTheme="minorHAnsi" w:hAnsiTheme="minorHAnsi" w:cstheme="minorHAnsi"/>
                <w:spacing w:val="-14"/>
                <w:w w:val="95"/>
                <w:sz w:val="20"/>
                <w:szCs w:val="20"/>
                <w:lang w:val="es-ES"/>
              </w:rPr>
              <w:t xml:space="preserve"> </w:t>
            </w:r>
            <w:r w:rsidRPr="009A27ED">
              <w:rPr>
                <w:rFonts w:asciiTheme="minorHAnsi" w:hAnsiTheme="minorHAnsi" w:cstheme="minorHAnsi"/>
                <w:w w:val="95"/>
                <w:sz w:val="20"/>
                <w:szCs w:val="20"/>
                <w:lang w:val="es-ES"/>
              </w:rPr>
              <w:t>inversión</w:t>
            </w:r>
            <w:r w:rsidRPr="009A27ED">
              <w:rPr>
                <w:rFonts w:asciiTheme="minorHAnsi" w:hAnsiTheme="minorHAnsi" w:cstheme="minorHAnsi"/>
                <w:spacing w:val="-16"/>
                <w:w w:val="95"/>
                <w:sz w:val="20"/>
                <w:szCs w:val="20"/>
                <w:lang w:val="es-ES"/>
              </w:rPr>
              <w:t xml:space="preserve"> </w:t>
            </w:r>
            <w:r w:rsidRPr="009A27ED">
              <w:rPr>
                <w:rFonts w:asciiTheme="minorHAnsi" w:hAnsiTheme="minorHAnsi" w:cstheme="minorHAnsi"/>
                <w:w w:val="95"/>
                <w:sz w:val="20"/>
                <w:szCs w:val="20"/>
                <w:lang w:val="es-ES"/>
              </w:rPr>
              <w:t>financiados</w:t>
            </w:r>
            <w:r w:rsidRPr="009A27ED">
              <w:rPr>
                <w:rFonts w:asciiTheme="minorHAnsi" w:hAnsiTheme="minorHAnsi" w:cstheme="minorHAnsi"/>
                <w:spacing w:val="-16"/>
                <w:w w:val="95"/>
                <w:sz w:val="20"/>
                <w:szCs w:val="20"/>
                <w:lang w:val="es-ES"/>
              </w:rPr>
              <w:t xml:space="preserve"> </w:t>
            </w:r>
            <w:r w:rsidRPr="009A27ED">
              <w:rPr>
                <w:rFonts w:asciiTheme="minorHAnsi" w:hAnsiTheme="minorHAnsi" w:cstheme="minorHAnsi"/>
                <w:w w:val="95"/>
                <w:sz w:val="20"/>
                <w:szCs w:val="20"/>
                <w:lang w:val="es-ES"/>
              </w:rPr>
              <w:t>por</w:t>
            </w:r>
            <w:r w:rsidRPr="009A27ED">
              <w:rPr>
                <w:rFonts w:asciiTheme="minorHAnsi" w:hAnsiTheme="minorHAnsi" w:cstheme="minorHAnsi"/>
                <w:spacing w:val="-15"/>
                <w:w w:val="95"/>
                <w:sz w:val="20"/>
                <w:szCs w:val="20"/>
                <w:lang w:val="es-ES"/>
              </w:rPr>
              <w:t xml:space="preserve"> </w:t>
            </w:r>
            <w:r w:rsidRPr="009A27ED">
              <w:rPr>
                <w:rFonts w:asciiTheme="minorHAnsi" w:hAnsiTheme="minorHAnsi" w:cstheme="minorHAnsi"/>
                <w:w w:val="95"/>
                <w:sz w:val="20"/>
                <w:szCs w:val="20"/>
                <w:lang w:val="es-ES"/>
              </w:rPr>
              <w:t>el</w:t>
            </w:r>
            <w:r w:rsidRPr="009A27ED">
              <w:rPr>
                <w:rFonts w:asciiTheme="minorHAnsi" w:hAnsiTheme="minorHAnsi" w:cstheme="minorHAnsi"/>
                <w:spacing w:val="-15"/>
                <w:w w:val="95"/>
                <w:sz w:val="20"/>
                <w:szCs w:val="20"/>
                <w:lang w:val="es-ES"/>
              </w:rPr>
              <w:t xml:space="preserve"> </w:t>
            </w:r>
            <w:r w:rsidRPr="009A27ED">
              <w:rPr>
                <w:rFonts w:asciiTheme="minorHAnsi" w:hAnsiTheme="minorHAnsi" w:cstheme="minorHAnsi"/>
                <w:w w:val="95"/>
                <w:sz w:val="20"/>
                <w:szCs w:val="20"/>
                <w:lang w:val="es-ES"/>
              </w:rPr>
              <w:t>Banco:</w:t>
            </w:r>
            <w:r w:rsidRPr="009A27ED">
              <w:rPr>
                <w:rFonts w:asciiTheme="minorHAnsi" w:hAnsiTheme="minorHAnsi" w:cstheme="minorHAnsi"/>
                <w:spacing w:val="-14"/>
                <w:w w:val="95"/>
                <w:sz w:val="20"/>
                <w:szCs w:val="20"/>
                <w:lang w:val="es-ES"/>
              </w:rPr>
              <w:t xml:space="preserve"> </w:t>
            </w:r>
            <w:r w:rsidRPr="009A27ED">
              <w:rPr>
                <w:rFonts w:asciiTheme="minorHAnsi" w:hAnsiTheme="minorHAnsi" w:cstheme="minorHAnsi"/>
                <w:w w:val="95"/>
                <w:sz w:val="20"/>
                <w:szCs w:val="20"/>
                <w:lang w:val="es-ES"/>
              </w:rPr>
              <w:t>i)</w:t>
            </w:r>
            <w:r w:rsidRPr="009A27ED">
              <w:rPr>
                <w:rFonts w:asciiTheme="minorHAnsi" w:hAnsiTheme="minorHAnsi" w:cstheme="minorHAnsi"/>
                <w:spacing w:val="-15"/>
                <w:w w:val="95"/>
                <w:sz w:val="20"/>
                <w:szCs w:val="20"/>
                <w:lang w:val="es-ES"/>
              </w:rPr>
              <w:t xml:space="preserve"> </w:t>
            </w:r>
            <w:r w:rsidRPr="009A27ED">
              <w:rPr>
                <w:rFonts w:asciiTheme="minorHAnsi" w:hAnsiTheme="minorHAnsi" w:cstheme="minorHAnsi"/>
                <w:w w:val="95"/>
                <w:sz w:val="20"/>
                <w:szCs w:val="20"/>
                <w:lang w:val="es-ES"/>
              </w:rPr>
              <w:t>Los</w:t>
            </w:r>
            <w:r w:rsidRPr="009A27ED">
              <w:rPr>
                <w:rFonts w:asciiTheme="minorHAnsi" w:hAnsiTheme="minorHAnsi" w:cstheme="minorHAnsi"/>
                <w:spacing w:val="-15"/>
                <w:w w:val="95"/>
                <w:sz w:val="20"/>
                <w:szCs w:val="20"/>
                <w:lang w:val="es-ES"/>
              </w:rPr>
              <w:t xml:space="preserve"> </w:t>
            </w:r>
            <w:r w:rsidRPr="009A27ED">
              <w:rPr>
                <w:rFonts w:asciiTheme="minorHAnsi" w:hAnsiTheme="minorHAnsi" w:cstheme="minorHAnsi"/>
                <w:w w:val="95"/>
                <w:sz w:val="20"/>
                <w:szCs w:val="20"/>
                <w:lang w:val="es-ES"/>
              </w:rPr>
              <w:t>que</w:t>
            </w:r>
            <w:r w:rsidRPr="009A27ED">
              <w:rPr>
                <w:rFonts w:asciiTheme="minorHAnsi" w:hAnsiTheme="minorHAnsi" w:cstheme="minorHAnsi"/>
                <w:spacing w:val="-17"/>
                <w:w w:val="95"/>
                <w:sz w:val="20"/>
                <w:szCs w:val="20"/>
                <w:lang w:val="es-ES"/>
              </w:rPr>
              <w:t xml:space="preserve"> </w:t>
            </w:r>
            <w:r w:rsidRPr="009A27ED">
              <w:rPr>
                <w:rFonts w:asciiTheme="minorHAnsi" w:hAnsiTheme="minorHAnsi" w:cstheme="minorHAnsi"/>
                <w:w w:val="95"/>
                <w:sz w:val="20"/>
                <w:szCs w:val="20"/>
                <w:lang w:val="es-ES"/>
              </w:rPr>
              <w:t>tienen</w:t>
            </w:r>
            <w:r w:rsidRPr="009A27ED">
              <w:rPr>
                <w:rFonts w:asciiTheme="minorHAnsi" w:hAnsiTheme="minorHAnsi" w:cstheme="minorHAnsi"/>
                <w:spacing w:val="-14"/>
                <w:w w:val="95"/>
                <w:sz w:val="20"/>
                <w:szCs w:val="20"/>
                <w:lang w:val="es-ES"/>
              </w:rPr>
              <w:t xml:space="preserve"> </w:t>
            </w:r>
            <w:r w:rsidRPr="009A27ED">
              <w:rPr>
                <w:rFonts w:asciiTheme="minorHAnsi" w:hAnsiTheme="minorHAnsi" w:cstheme="minorHAnsi"/>
                <w:w w:val="95"/>
                <w:sz w:val="20"/>
                <w:szCs w:val="20"/>
                <w:lang w:val="es-ES"/>
              </w:rPr>
              <w:t>o</w:t>
            </w:r>
            <w:r w:rsidRPr="009A27ED">
              <w:rPr>
                <w:rFonts w:asciiTheme="minorHAnsi" w:hAnsiTheme="minorHAnsi" w:cstheme="minorHAnsi"/>
                <w:spacing w:val="-15"/>
                <w:w w:val="95"/>
                <w:sz w:val="20"/>
                <w:szCs w:val="20"/>
                <w:lang w:val="es-ES"/>
              </w:rPr>
              <w:t xml:space="preserve"> </w:t>
            </w:r>
            <w:r w:rsidRPr="009A27ED">
              <w:rPr>
                <w:rFonts w:asciiTheme="minorHAnsi" w:hAnsiTheme="minorHAnsi" w:cstheme="minorHAnsi"/>
                <w:w w:val="95"/>
                <w:sz w:val="20"/>
                <w:szCs w:val="20"/>
                <w:lang w:val="es-ES"/>
              </w:rPr>
              <w:t xml:space="preserve">puedan </w:t>
            </w:r>
            <w:r w:rsidRPr="009A27ED">
              <w:rPr>
                <w:rFonts w:asciiTheme="minorHAnsi" w:hAnsiTheme="minorHAnsi" w:cstheme="minorHAnsi"/>
                <w:sz w:val="20"/>
                <w:szCs w:val="20"/>
                <w:lang w:val="es-ES"/>
              </w:rPr>
              <w:t>tener</w:t>
            </w:r>
            <w:r w:rsidRPr="009A27ED">
              <w:rPr>
                <w:rFonts w:asciiTheme="minorHAnsi" w:hAnsiTheme="minorHAnsi" w:cstheme="minorHAnsi"/>
                <w:spacing w:val="-15"/>
                <w:sz w:val="20"/>
                <w:szCs w:val="20"/>
                <w:lang w:val="es-ES"/>
              </w:rPr>
              <w:t xml:space="preserve"> </w:t>
            </w:r>
            <w:r w:rsidRPr="009A27ED">
              <w:rPr>
                <w:rFonts w:asciiTheme="minorHAnsi" w:hAnsiTheme="minorHAnsi" w:cstheme="minorHAnsi"/>
                <w:sz w:val="20"/>
                <w:szCs w:val="20"/>
                <w:lang w:val="es-ES"/>
              </w:rPr>
              <w:t>impactos</w:t>
            </w:r>
            <w:r w:rsidRPr="009A27ED">
              <w:rPr>
                <w:rFonts w:asciiTheme="minorHAnsi" w:hAnsiTheme="minorHAnsi" w:cstheme="minorHAnsi"/>
                <w:spacing w:val="-15"/>
                <w:sz w:val="20"/>
                <w:szCs w:val="20"/>
                <w:lang w:val="es-ES"/>
              </w:rPr>
              <w:t xml:space="preserve"> </w:t>
            </w:r>
            <w:r w:rsidRPr="009A27ED">
              <w:rPr>
                <w:rFonts w:asciiTheme="minorHAnsi" w:hAnsiTheme="minorHAnsi" w:cstheme="minorHAnsi"/>
                <w:sz w:val="20"/>
                <w:szCs w:val="20"/>
                <w:lang w:val="es-ES"/>
              </w:rPr>
              <w:t>en</w:t>
            </w:r>
            <w:r w:rsidRPr="009A27ED">
              <w:rPr>
                <w:rFonts w:asciiTheme="minorHAnsi" w:hAnsiTheme="minorHAnsi" w:cstheme="minorHAnsi"/>
                <w:spacing w:val="-13"/>
                <w:sz w:val="20"/>
                <w:szCs w:val="20"/>
                <w:lang w:val="es-ES"/>
              </w:rPr>
              <w:t xml:space="preserve"> </w:t>
            </w:r>
            <w:r w:rsidRPr="009A27ED">
              <w:rPr>
                <w:rFonts w:asciiTheme="minorHAnsi" w:hAnsiTheme="minorHAnsi" w:cstheme="minorHAnsi"/>
                <w:sz w:val="20"/>
                <w:szCs w:val="20"/>
                <w:lang w:val="es-ES"/>
              </w:rPr>
              <w:t>la</w:t>
            </w:r>
            <w:r w:rsidRPr="009A27ED">
              <w:rPr>
                <w:rFonts w:asciiTheme="minorHAnsi" w:hAnsiTheme="minorHAnsi" w:cstheme="minorHAnsi"/>
                <w:spacing w:val="-15"/>
                <w:sz w:val="20"/>
                <w:szCs w:val="20"/>
                <w:lang w:val="es-ES"/>
              </w:rPr>
              <w:t xml:space="preserve"> </w:t>
            </w:r>
            <w:r w:rsidRPr="009A27ED">
              <w:rPr>
                <w:rFonts w:asciiTheme="minorHAnsi" w:hAnsiTheme="minorHAnsi" w:cstheme="minorHAnsi"/>
                <w:sz w:val="20"/>
                <w:szCs w:val="20"/>
                <w:lang w:val="es-ES"/>
              </w:rPr>
              <w:t>salud</w:t>
            </w:r>
            <w:r w:rsidRPr="009A27ED">
              <w:rPr>
                <w:rFonts w:asciiTheme="minorHAnsi" w:hAnsiTheme="minorHAnsi" w:cstheme="minorHAnsi"/>
                <w:spacing w:val="-14"/>
                <w:sz w:val="20"/>
                <w:szCs w:val="20"/>
                <w:lang w:val="es-ES"/>
              </w:rPr>
              <w:t xml:space="preserve"> </w:t>
            </w:r>
            <w:r w:rsidRPr="009A27ED">
              <w:rPr>
                <w:rFonts w:asciiTheme="minorHAnsi" w:hAnsiTheme="minorHAnsi" w:cstheme="minorHAnsi"/>
                <w:sz w:val="20"/>
                <w:szCs w:val="20"/>
                <w:lang w:val="es-ES"/>
              </w:rPr>
              <w:t>y</w:t>
            </w:r>
            <w:r w:rsidRPr="009A27ED">
              <w:rPr>
                <w:rFonts w:asciiTheme="minorHAnsi" w:hAnsiTheme="minorHAnsi" w:cstheme="minorHAnsi"/>
                <w:spacing w:val="-14"/>
                <w:sz w:val="20"/>
                <w:szCs w:val="20"/>
                <w:lang w:val="es-ES"/>
              </w:rPr>
              <w:t xml:space="preserve"> </w:t>
            </w:r>
            <w:r w:rsidRPr="009A27ED">
              <w:rPr>
                <w:rFonts w:asciiTheme="minorHAnsi" w:hAnsiTheme="minorHAnsi" w:cstheme="minorHAnsi"/>
                <w:sz w:val="20"/>
                <w:szCs w:val="20"/>
                <w:lang w:val="es-ES"/>
              </w:rPr>
              <w:t>calidad</w:t>
            </w:r>
            <w:r w:rsidRPr="009A27ED">
              <w:rPr>
                <w:rFonts w:asciiTheme="minorHAnsi" w:hAnsiTheme="minorHAnsi" w:cstheme="minorHAnsi"/>
                <w:spacing w:val="-14"/>
                <w:sz w:val="20"/>
                <w:szCs w:val="20"/>
                <w:lang w:val="es-ES"/>
              </w:rPr>
              <w:t xml:space="preserve"> </w:t>
            </w:r>
            <w:r w:rsidRPr="009A27ED">
              <w:rPr>
                <w:rFonts w:asciiTheme="minorHAnsi" w:hAnsiTheme="minorHAnsi" w:cstheme="minorHAnsi"/>
                <w:sz w:val="20"/>
                <w:szCs w:val="20"/>
                <w:lang w:val="es-ES"/>
              </w:rPr>
              <w:t>de</w:t>
            </w:r>
            <w:r w:rsidRPr="009A27ED">
              <w:rPr>
                <w:rFonts w:asciiTheme="minorHAnsi" w:hAnsiTheme="minorHAnsi" w:cstheme="minorHAnsi"/>
                <w:spacing w:val="-14"/>
                <w:sz w:val="20"/>
                <w:szCs w:val="20"/>
                <w:lang w:val="es-ES"/>
              </w:rPr>
              <w:t xml:space="preserve"> </w:t>
            </w:r>
            <w:r w:rsidRPr="009A27ED">
              <w:rPr>
                <w:rFonts w:asciiTheme="minorHAnsi" w:hAnsiTheme="minorHAnsi" w:cstheme="minorHAnsi"/>
                <w:sz w:val="20"/>
                <w:szCs w:val="20"/>
                <w:lang w:val="es-ES"/>
              </w:rPr>
              <w:t>los</w:t>
            </w:r>
            <w:r w:rsidRPr="009A27ED">
              <w:rPr>
                <w:rFonts w:asciiTheme="minorHAnsi" w:hAnsiTheme="minorHAnsi" w:cstheme="minorHAnsi"/>
                <w:spacing w:val="-13"/>
                <w:sz w:val="20"/>
                <w:szCs w:val="20"/>
                <w:lang w:val="es-ES"/>
              </w:rPr>
              <w:t xml:space="preserve"> </w:t>
            </w:r>
            <w:r w:rsidRPr="009A27ED">
              <w:rPr>
                <w:rFonts w:asciiTheme="minorHAnsi" w:hAnsiTheme="minorHAnsi" w:cstheme="minorHAnsi"/>
                <w:sz w:val="20"/>
                <w:szCs w:val="20"/>
                <w:lang w:val="es-ES"/>
              </w:rPr>
              <w:t>bosques;</w:t>
            </w:r>
            <w:r w:rsidRPr="009A27ED">
              <w:rPr>
                <w:rFonts w:asciiTheme="minorHAnsi" w:hAnsiTheme="minorHAnsi" w:cstheme="minorHAnsi"/>
                <w:spacing w:val="-13"/>
                <w:sz w:val="20"/>
                <w:szCs w:val="20"/>
                <w:lang w:val="es-ES"/>
              </w:rPr>
              <w:t xml:space="preserve"> </w:t>
            </w:r>
            <w:proofErr w:type="spellStart"/>
            <w:r w:rsidRPr="009A27ED">
              <w:rPr>
                <w:rFonts w:asciiTheme="minorHAnsi" w:hAnsiTheme="minorHAnsi" w:cstheme="minorHAnsi"/>
                <w:sz w:val="20"/>
                <w:szCs w:val="20"/>
                <w:lang w:val="es-ES"/>
              </w:rPr>
              <w:t>ii</w:t>
            </w:r>
            <w:proofErr w:type="spellEnd"/>
            <w:r w:rsidRPr="009A27ED">
              <w:rPr>
                <w:rFonts w:asciiTheme="minorHAnsi" w:hAnsiTheme="minorHAnsi" w:cstheme="minorHAnsi"/>
                <w:sz w:val="20"/>
                <w:szCs w:val="20"/>
                <w:lang w:val="es-ES"/>
              </w:rPr>
              <w:t>)</w:t>
            </w:r>
            <w:r w:rsidRPr="009A27ED">
              <w:rPr>
                <w:rFonts w:asciiTheme="minorHAnsi" w:hAnsiTheme="minorHAnsi" w:cstheme="minorHAnsi"/>
                <w:spacing w:val="-14"/>
                <w:sz w:val="20"/>
                <w:szCs w:val="20"/>
                <w:lang w:val="es-ES"/>
              </w:rPr>
              <w:t xml:space="preserve"> </w:t>
            </w:r>
            <w:r w:rsidRPr="009A27ED">
              <w:rPr>
                <w:rFonts w:asciiTheme="minorHAnsi" w:hAnsiTheme="minorHAnsi" w:cstheme="minorHAnsi"/>
                <w:sz w:val="20"/>
                <w:szCs w:val="20"/>
                <w:lang w:val="es-ES"/>
              </w:rPr>
              <w:t>Los</w:t>
            </w:r>
            <w:r w:rsidRPr="009A27ED">
              <w:rPr>
                <w:rFonts w:asciiTheme="minorHAnsi" w:hAnsiTheme="minorHAnsi" w:cstheme="minorHAnsi"/>
                <w:spacing w:val="-15"/>
                <w:sz w:val="20"/>
                <w:szCs w:val="20"/>
                <w:lang w:val="es-ES"/>
              </w:rPr>
              <w:t xml:space="preserve"> </w:t>
            </w:r>
            <w:r w:rsidRPr="009A27ED">
              <w:rPr>
                <w:rFonts w:asciiTheme="minorHAnsi" w:hAnsiTheme="minorHAnsi" w:cstheme="minorHAnsi"/>
                <w:sz w:val="20"/>
                <w:szCs w:val="20"/>
                <w:lang w:val="es-ES"/>
              </w:rPr>
              <w:t>que</w:t>
            </w:r>
            <w:r w:rsidRPr="009A27ED">
              <w:rPr>
                <w:rFonts w:asciiTheme="minorHAnsi" w:hAnsiTheme="minorHAnsi" w:cstheme="minorHAnsi"/>
                <w:spacing w:val="-14"/>
                <w:sz w:val="20"/>
                <w:szCs w:val="20"/>
                <w:lang w:val="es-ES"/>
              </w:rPr>
              <w:t xml:space="preserve"> </w:t>
            </w:r>
            <w:r w:rsidRPr="009A27ED">
              <w:rPr>
                <w:rFonts w:asciiTheme="minorHAnsi" w:hAnsiTheme="minorHAnsi" w:cstheme="minorHAnsi"/>
                <w:sz w:val="20"/>
                <w:szCs w:val="20"/>
                <w:lang w:val="es-ES"/>
              </w:rPr>
              <w:t>afectan</w:t>
            </w:r>
            <w:r w:rsidRPr="009A27ED">
              <w:rPr>
                <w:rFonts w:asciiTheme="minorHAnsi" w:hAnsiTheme="minorHAnsi" w:cstheme="minorHAnsi"/>
                <w:spacing w:val="-14"/>
                <w:sz w:val="20"/>
                <w:szCs w:val="20"/>
                <w:lang w:val="es-ES"/>
              </w:rPr>
              <w:t xml:space="preserve"> </w:t>
            </w:r>
            <w:r w:rsidRPr="009A27ED">
              <w:rPr>
                <w:rFonts w:asciiTheme="minorHAnsi" w:hAnsiTheme="minorHAnsi" w:cstheme="minorHAnsi"/>
                <w:sz w:val="20"/>
                <w:szCs w:val="20"/>
                <w:lang w:val="es-ES"/>
              </w:rPr>
              <w:t>a</w:t>
            </w:r>
            <w:r w:rsidRPr="009A27ED">
              <w:rPr>
                <w:rFonts w:asciiTheme="minorHAnsi" w:hAnsiTheme="minorHAnsi" w:cstheme="minorHAnsi"/>
                <w:spacing w:val="-15"/>
                <w:sz w:val="20"/>
                <w:szCs w:val="20"/>
                <w:lang w:val="es-ES"/>
              </w:rPr>
              <w:t xml:space="preserve"> </w:t>
            </w:r>
            <w:r w:rsidRPr="009A27ED">
              <w:rPr>
                <w:rFonts w:asciiTheme="minorHAnsi" w:hAnsiTheme="minorHAnsi" w:cstheme="minorHAnsi"/>
                <w:sz w:val="20"/>
                <w:szCs w:val="20"/>
                <w:lang w:val="es-ES"/>
              </w:rPr>
              <w:t>los</w:t>
            </w:r>
            <w:r w:rsidRPr="009A27ED">
              <w:rPr>
                <w:rFonts w:asciiTheme="minorHAnsi" w:hAnsiTheme="minorHAnsi" w:cstheme="minorHAnsi"/>
                <w:spacing w:val="-13"/>
                <w:sz w:val="20"/>
                <w:szCs w:val="20"/>
                <w:lang w:val="es-ES"/>
              </w:rPr>
              <w:t xml:space="preserve"> </w:t>
            </w:r>
            <w:r w:rsidRPr="009A27ED">
              <w:rPr>
                <w:rFonts w:asciiTheme="minorHAnsi" w:hAnsiTheme="minorHAnsi" w:cstheme="minorHAnsi"/>
                <w:sz w:val="20"/>
                <w:szCs w:val="20"/>
                <w:lang w:val="es-ES"/>
              </w:rPr>
              <w:t>derechos</w:t>
            </w:r>
            <w:r w:rsidRPr="009A27ED">
              <w:rPr>
                <w:rFonts w:asciiTheme="minorHAnsi" w:hAnsiTheme="minorHAnsi" w:cstheme="minorHAnsi"/>
                <w:spacing w:val="-14"/>
                <w:sz w:val="20"/>
                <w:szCs w:val="20"/>
                <w:lang w:val="es-ES"/>
              </w:rPr>
              <w:t xml:space="preserve"> </w:t>
            </w:r>
            <w:r w:rsidRPr="009A27ED">
              <w:rPr>
                <w:rFonts w:asciiTheme="minorHAnsi" w:hAnsiTheme="minorHAnsi" w:cstheme="minorHAnsi"/>
                <w:sz w:val="20"/>
                <w:szCs w:val="20"/>
                <w:lang w:val="es-ES"/>
              </w:rPr>
              <w:t>y</w:t>
            </w:r>
            <w:r w:rsidRPr="009A27ED">
              <w:rPr>
                <w:rFonts w:asciiTheme="minorHAnsi" w:hAnsiTheme="minorHAnsi" w:cstheme="minorHAnsi"/>
                <w:spacing w:val="-14"/>
                <w:sz w:val="20"/>
                <w:szCs w:val="20"/>
                <w:lang w:val="es-ES"/>
              </w:rPr>
              <w:t xml:space="preserve"> </w:t>
            </w:r>
            <w:r w:rsidRPr="009A27ED">
              <w:rPr>
                <w:rFonts w:asciiTheme="minorHAnsi" w:hAnsiTheme="minorHAnsi" w:cstheme="minorHAnsi"/>
                <w:sz w:val="20"/>
                <w:szCs w:val="20"/>
                <w:lang w:val="es-ES"/>
              </w:rPr>
              <w:t xml:space="preserve">el </w:t>
            </w:r>
            <w:r w:rsidRPr="009A27ED">
              <w:rPr>
                <w:rFonts w:asciiTheme="minorHAnsi" w:hAnsiTheme="minorHAnsi" w:cstheme="minorHAnsi"/>
                <w:w w:val="95"/>
                <w:sz w:val="20"/>
                <w:szCs w:val="20"/>
                <w:lang w:val="es-ES"/>
              </w:rPr>
              <w:t>bienestar</w:t>
            </w:r>
            <w:r w:rsidRPr="009A27ED">
              <w:rPr>
                <w:rFonts w:asciiTheme="minorHAnsi" w:hAnsiTheme="minorHAnsi" w:cstheme="minorHAnsi"/>
                <w:spacing w:val="-30"/>
                <w:w w:val="95"/>
                <w:sz w:val="20"/>
                <w:szCs w:val="20"/>
                <w:lang w:val="es-ES"/>
              </w:rPr>
              <w:t xml:space="preserve"> </w:t>
            </w:r>
            <w:r w:rsidRPr="009A27ED">
              <w:rPr>
                <w:rFonts w:asciiTheme="minorHAnsi" w:hAnsiTheme="minorHAnsi" w:cstheme="minorHAnsi"/>
                <w:w w:val="95"/>
                <w:sz w:val="20"/>
                <w:szCs w:val="20"/>
                <w:lang w:val="es-ES"/>
              </w:rPr>
              <w:t>de</w:t>
            </w:r>
            <w:r w:rsidRPr="009A27ED">
              <w:rPr>
                <w:rFonts w:asciiTheme="minorHAnsi" w:hAnsiTheme="minorHAnsi" w:cstheme="minorHAnsi"/>
                <w:spacing w:val="-29"/>
                <w:w w:val="95"/>
                <w:sz w:val="20"/>
                <w:szCs w:val="20"/>
                <w:lang w:val="es-ES"/>
              </w:rPr>
              <w:t xml:space="preserve"> </w:t>
            </w:r>
            <w:r w:rsidRPr="009A27ED">
              <w:rPr>
                <w:rFonts w:asciiTheme="minorHAnsi" w:hAnsiTheme="minorHAnsi" w:cstheme="minorHAnsi"/>
                <w:w w:val="95"/>
                <w:sz w:val="20"/>
                <w:szCs w:val="20"/>
                <w:lang w:val="es-ES"/>
              </w:rPr>
              <w:t>las</w:t>
            </w:r>
            <w:r w:rsidRPr="009A27ED">
              <w:rPr>
                <w:rFonts w:asciiTheme="minorHAnsi" w:hAnsiTheme="minorHAnsi" w:cstheme="minorHAnsi"/>
                <w:spacing w:val="-31"/>
                <w:w w:val="95"/>
                <w:sz w:val="20"/>
                <w:szCs w:val="20"/>
                <w:lang w:val="es-ES"/>
              </w:rPr>
              <w:t xml:space="preserve"> </w:t>
            </w:r>
            <w:r w:rsidRPr="009A27ED">
              <w:rPr>
                <w:rFonts w:asciiTheme="minorHAnsi" w:hAnsiTheme="minorHAnsi" w:cstheme="minorHAnsi"/>
                <w:w w:val="95"/>
                <w:sz w:val="20"/>
                <w:szCs w:val="20"/>
                <w:lang w:val="es-ES"/>
              </w:rPr>
              <w:t>personas</w:t>
            </w:r>
            <w:r w:rsidRPr="009A27ED">
              <w:rPr>
                <w:rFonts w:asciiTheme="minorHAnsi" w:hAnsiTheme="minorHAnsi" w:cstheme="minorHAnsi"/>
                <w:spacing w:val="-31"/>
                <w:w w:val="95"/>
                <w:sz w:val="20"/>
                <w:szCs w:val="20"/>
                <w:lang w:val="es-ES"/>
              </w:rPr>
              <w:t xml:space="preserve"> </w:t>
            </w:r>
            <w:r w:rsidRPr="009A27ED">
              <w:rPr>
                <w:rFonts w:asciiTheme="minorHAnsi" w:hAnsiTheme="minorHAnsi" w:cstheme="minorHAnsi"/>
                <w:w w:val="95"/>
                <w:sz w:val="20"/>
                <w:szCs w:val="20"/>
                <w:lang w:val="es-ES"/>
              </w:rPr>
              <w:t>y</w:t>
            </w:r>
            <w:r w:rsidRPr="009A27ED">
              <w:rPr>
                <w:rFonts w:asciiTheme="minorHAnsi" w:hAnsiTheme="minorHAnsi" w:cstheme="minorHAnsi"/>
                <w:spacing w:val="-30"/>
                <w:w w:val="95"/>
                <w:sz w:val="20"/>
                <w:szCs w:val="20"/>
                <w:lang w:val="es-ES"/>
              </w:rPr>
              <w:t xml:space="preserve"> </w:t>
            </w:r>
            <w:r w:rsidRPr="009A27ED">
              <w:rPr>
                <w:rFonts w:asciiTheme="minorHAnsi" w:hAnsiTheme="minorHAnsi" w:cstheme="minorHAnsi"/>
                <w:w w:val="95"/>
                <w:sz w:val="20"/>
                <w:szCs w:val="20"/>
                <w:lang w:val="es-ES"/>
              </w:rPr>
              <w:t>a</w:t>
            </w:r>
            <w:r w:rsidRPr="009A27ED">
              <w:rPr>
                <w:rFonts w:asciiTheme="minorHAnsi" w:hAnsiTheme="minorHAnsi" w:cstheme="minorHAnsi"/>
                <w:spacing w:val="-30"/>
                <w:w w:val="95"/>
                <w:sz w:val="20"/>
                <w:szCs w:val="20"/>
                <w:lang w:val="es-ES"/>
              </w:rPr>
              <w:t xml:space="preserve"> </w:t>
            </w:r>
            <w:r w:rsidRPr="009A27ED">
              <w:rPr>
                <w:rFonts w:asciiTheme="minorHAnsi" w:hAnsiTheme="minorHAnsi" w:cstheme="minorHAnsi"/>
                <w:w w:val="95"/>
                <w:sz w:val="20"/>
                <w:szCs w:val="20"/>
                <w:lang w:val="es-ES"/>
              </w:rPr>
              <w:t>su</w:t>
            </w:r>
            <w:r w:rsidRPr="009A27ED">
              <w:rPr>
                <w:rFonts w:asciiTheme="minorHAnsi" w:hAnsiTheme="minorHAnsi" w:cstheme="minorHAnsi"/>
                <w:spacing w:val="-29"/>
                <w:w w:val="95"/>
                <w:sz w:val="20"/>
                <w:szCs w:val="20"/>
                <w:lang w:val="es-ES"/>
              </w:rPr>
              <w:t xml:space="preserve"> </w:t>
            </w:r>
            <w:r w:rsidRPr="009A27ED">
              <w:rPr>
                <w:rFonts w:asciiTheme="minorHAnsi" w:hAnsiTheme="minorHAnsi" w:cstheme="minorHAnsi"/>
                <w:w w:val="95"/>
                <w:sz w:val="20"/>
                <w:szCs w:val="20"/>
                <w:lang w:val="es-ES"/>
              </w:rPr>
              <w:t>nivel</w:t>
            </w:r>
            <w:r w:rsidRPr="009A27ED">
              <w:rPr>
                <w:rFonts w:asciiTheme="minorHAnsi" w:hAnsiTheme="minorHAnsi" w:cstheme="minorHAnsi"/>
                <w:spacing w:val="-30"/>
                <w:w w:val="95"/>
                <w:sz w:val="20"/>
                <w:szCs w:val="20"/>
                <w:lang w:val="es-ES"/>
              </w:rPr>
              <w:t xml:space="preserve"> </w:t>
            </w:r>
            <w:r w:rsidRPr="009A27ED">
              <w:rPr>
                <w:rFonts w:asciiTheme="minorHAnsi" w:hAnsiTheme="minorHAnsi" w:cstheme="minorHAnsi"/>
                <w:w w:val="95"/>
                <w:sz w:val="20"/>
                <w:szCs w:val="20"/>
                <w:lang w:val="es-ES"/>
              </w:rPr>
              <w:t>de</w:t>
            </w:r>
            <w:r w:rsidRPr="009A27ED">
              <w:rPr>
                <w:rFonts w:asciiTheme="minorHAnsi" w:hAnsiTheme="minorHAnsi" w:cstheme="minorHAnsi"/>
                <w:spacing w:val="-30"/>
                <w:w w:val="95"/>
                <w:sz w:val="20"/>
                <w:szCs w:val="20"/>
                <w:lang w:val="es-ES"/>
              </w:rPr>
              <w:t xml:space="preserve"> </w:t>
            </w:r>
            <w:r w:rsidRPr="009A27ED">
              <w:rPr>
                <w:rFonts w:asciiTheme="minorHAnsi" w:hAnsiTheme="minorHAnsi" w:cstheme="minorHAnsi"/>
                <w:w w:val="95"/>
                <w:sz w:val="20"/>
                <w:szCs w:val="20"/>
                <w:lang w:val="es-ES"/>
              </w:rPr>
              <w:t>dependencia</w:t>
            </w:r>
            <w:r w:rsidRPr="009A27ED">
              <w:rPr>
                <w:rFonts w:asciiTheme="minorHAnsi" w:hAnsiTheme="minorHAnsi" w:cstheme="minorHAnsi"/>
                <w:spacing w:val="-31"/>
                <w:w w:val="95"/>
                <w:sz w:val="20"/>
                <w:szCs w:val="20"/>
                <w:lang w:val="es-ES"/>
              </w:rPr>
              <w:t xml:space="preserve"> </w:t>
            </w:r>
            <w:r w:rsidRPr="009A27ED">
              <w:rPr>
                <w:rFonts w:asciiTheme="minorHAnsi" w:hAnsiTheme="minorHAnsi" w:cstheme="minorHAnsi"/>
                <w:w w:val="95"/>
                <w:sz w:val="20"/>
                <w:szCs w:val="20"/>
                <w:lang w:val="es-ES"/>
              </w:rPr>
              <w:t>de</w:t>
            </w:r>
            <w:r w:rsidRPr="009A27ED">
              <w:rPr>
                <w:rFonts w:asciiTheme="minorHAnsi" w:hAnsiTheme="minorHAnsi" w:cstheme="minorHAnsi"/>
                <w:spacing w:val="-29"/>
                <w:w w:val="95"/>
                <w:sz w:val="20"/>
                <w:szCs w:val="20"/>
                <w:lang w:val="es-ES"/>
              </w:rPr>
              <w:t xml:space="preserve"> </w:t>
            </w:r>
            <w:r w:rsidRPr="009A27ED">
              <w:rPr>
                <w:rFonts w:asciiTheme="minorHAnsi" w:hAnsiTheme="minorHAnsi" w:cstheme="minorHAnsi"/>
                <w:w w:val="95"/>
                <w:sz w:val="20"/>
                <w:szCs w:val="20"/>
                <w:lang w:val="es-ES"/>
              </w:rPr>
              <w:t>los</w:t>
            </w:r>
            <w:r w:rsidRPr="009A27ED">
              <w:rPr>
                <w:rFonts w:asciiTheme="minorHAnsi" w:hAnsiTheme="minorHAnsi" w:cstheme="minorHAnsi"/>
                <w:spacing w:val="-31"/>
                <w:w w:val="95"/>
                <w:sz w:val="20"/>
                <w:szCs w:val="20"/>
                <w:lang w:val="es-ES"/>
              </w:rPr>
              <w:t xml:space="preserve"> </w:t>
            </w:r>
            <w:r w:rsidRPr="009A27ED">
              <w:rPr>
                <w:rFonts w:asciiTheme="minorHAnsi" w:hAnsiTheme="minorHAnsi" w:cstheme="minorHAnsi"/>
                <w:w w:val="95"/>
                <w:sz w:val="20"/>
                <w:szCs w:val="20"/>
                <w:lang w:val="es-ES"/>
              </w:rPr>
              <w:t>bosques</w:t>
            </w:r>
            <w:r w:rsidRPr="009A27ED">
              <w:rPr>
                <w:rFonts w:asciiTheme="minorHAnsi" w:hAnsiTheme="minorHAnsi" w:cstheme="minorHAnsi"/>
                <w:spacing w:val="-30"/>
                <w:w w:val="95"/>
                <w:sz w:val="20"/>
                <w:szCs w:val="20"/>
                <w:lang w:val="es-ES"/>
              </w:rPr>
              <w:t xml:space="preserve"> </w:t>
            </w:r>
            <w:r w:rsidRPr="009A27ED">
              <w:rPr>
                <w:rFonts w:asciiTheme="minorHAnsi" w:hAnsiTheme="minorHAnsi" w:cstheme="minorHAnsi"/>
                <w:w w:val="95"/>
                <w:sz w:val="20"/>
                <w:szCs w:val="20"/>
                <w:lang w:val="es-ES"/>
              </w:rPr>
              <w:t>o</w:t>
            </w:r>
            <w:r w:rsidRPr="009A27ED">
              <w:rPr>
                <w:rFonts w:asciiTheme="minorHAnsi" w:hAnsiTheme="minorHAnsi" w:cstheme="minorHAnsi"/>
                <w:spacing w:val="-29"/>
                <w:w w:val="95"/>
                <w:sz w:val="20"/>
                <w:szCs w:val="20"/>
                <w:lang w:val="es-ES"/>
              </w:rPr>
              <w:t xml:space="preserve"> </w:t>
            </w:r>
            <w:r w:rsidRPr="009A27ED">
              <w:rPr>
                <w:rFonts w:asciiTheme="minorHAnsi" w:hAnsiTheme="minorHAnsi" w:cstheme="minorHAnsi"/>
                <w:w w:val="95"/>
                <w:sz w:val="20"/>
                <w:szCs w:val="20"/>
                <w:lang w:val="es-ES"/>
              </w:rPr>
              <w:t>a</w:t>
            </w:r>
            <w:r w:rsidRPr="009A27ED">
              <w:rPr>
                <w:rFonts w:asciiTheme="minorHAnsi" w:hAnsiTheme="minorHAnsi" w:cstheme="minorHAnsi"/>
                <w:spacing w:val="-31"/>
                <w:w w:val="95"/>
                <w:sz w:val="20"/>
                <w:szCs w:val="20"/>
                <w:lang w:val="es-ES"/>
              </w:rPr>
              <w:t xml:space="preserve"> </w:t>
            </w:r>
            <w:r w:rsidRPr="009A27ED">
              <w:rPr>
                <w:rFonts w:asciiTheme="minorHAnsi" w:hAnsiTheme="minorHAnsi" w:cstheme="minorHAnsi"/>
                <w:w w:val="95"/>
                <w:sz w:val="20"/>
                <w:szCs w:val="20"/>
                <w:lang w:val="es-ES"/>
              </w:rPr>
              <w:t>su</w:t>
            </w:r>
            <w:r w:rsidRPr="009A27ED">
              <w:rPr>
                <w:rFonts w:asciiTheme="minorHAnsi" w:hAnsiTheme="minorHAnsi" w:cstheme="minorHAnsi"/>
                <w:spacing w:val="-30"/>
                <w:w w:val="95"/>
                <w:sz w:val="20"/>
                <w:szCs w:val="20"/>
                <w:lang w:val="es-ES"/>
              </w:rPr>
              <w:t xml:space="preserve"> </w:t>
            </w:r>
            <w:r w:rsidRPr="009A27ED">
              <w:rPr>
                <w:rFonts w:asciiTheme="minorHAnsi" w:hAnsiTheme="minorHAnsi" w:cstheme="minorHAnsi"/>
                <w:w w:val="95"/>
                <w:sz w:val="20"/>
                <w:szCs w:val="20"/>
                <w:lang w:val="es-ES"/>
              </w:rPr>
              <w:t>interacción</w:t>
            </w:r>
            <w:r w:rsidRPr="009A27ED">
              <w:rPr>
                <w:rFonts w:asciiTheme="minorHAnsi" w:hAnsiTheme="minorHAnsi" w:cstheme="minorHAnsi"/>
                <w:spacing w:val="-31"/>
                <w:w w:val="95"/>
                <w:sz w:val="20"/>
                <w:szCs w:val="20"/>
                <w:lang w:val="es-ES"/>
              </w:rPr>
              <w:t xml:space="preserve"> </w:t>
            </w:r>
            <w:r w:rsidRPr="009A27ED">
              <w:rPr>
                <w:rFonts w:asciiTheme="minorHAnsi" w:hAnsiTheme="minorHAnsi" w:cstheme="minorHAnsi"/>
                <w:w w:val="95"/>
                <w:sz w:val="20"/>
                <w:szCs w:val="20"/>
                <w:lang w:val="es-ES"/>
              </w:rPr>
              <w:t>con</w:t>
            </w:r>
            <w:r w:rsidRPr="009A27ED">
              <w:rPr>
                <w:rFonts w:asciiTheme="minorHAnsi" w:hAnsiTheme="minorHAnsi" w:cstheme="minorHAnsi"/>
                <w:spacing w:val="-32"/>
                <w:w w:val="95"/>
                <w:sz w:val="20"/>
                <w:szCs w:val="20"/>
                <w:lang w:val="es-ES"/>
              </w:rPr>
              <w:t xml:space="preserve"> </w:t>
            </w:r>
            <w:r w:rsidRPr="009A27ED">
              <w:rPr>
                <w:rFonts w:asciiTheme="minorHAnsi" w:hAnsiTheme="minorHAnsi" w:cstheme="minorHAnsi"/>
                <w:w w:val="95"/>
                <w:sz w:val="20"/>
                <w:szCs w:val="20"/>
                <w:lang w:val="es-ES"/>
              </w:rPr>
              <w:t>ellos, y</w:t>
            </w:r>
            <w:r w:rsidRPr="009A27ED">
              <w:rPr>
                <w:rFonts w:asciiTheme="minorHAnsi" w:hAnsiTheme="minorHAnsi" w:cstheme="minorHAnsi"/>
                <w:spacing w:val="-23"/>
                <w:w w:val="95"/>
                <w:sz w:val="20"/>
                <w:szCs w:val="20"/>
                <w:lang w:val="es-ES"/>
              </w:rPr>
              <w:t xml:space="preserve"> </w:t>
            </w:r>
            <w:proofErr w:type="spellStart"/>
            <w:r w:rsidRPr="009A27ED">
              <w:rPr>
                <w:rFonts w:asciiTheme="minorHAnsi" w:hAnsiTheme="minorHAnsi" w:cstheme="minorHAnsi"/>
                <w:w w:val="95"/>
                <w:sz w:val="20"/>
                <w:szCs w:val="20"/>
                <w:lang w:val="es-ES"/>
              </w:rPr>
              <w:t>iii</w:t>
            </w:r>
            <w:proofErr w:type="spellEnd"/>
            <w:r w:rsidRPr="009A27ED">
              <w:rPr>
                <w:rFonts w:asciiTheme="minorHAnsi" w:hAnsiTheme="minorHAnsi" w:cstheme="minorHAnsi"/>
                <w:w w:val="95"/>
                <w:sz w:val="20"/>
                <w:szCs w:val="20"/>
                <w:lang w:val="es-ES"/>
              </w:rPr>
              <w:t>)</w:t>
            </w:r>
            <w:r w:rsidRPr="009A27ED">
              <w:rPr>
                <w:rFonts w:asciiTheme="minorHAnsi" w:hAnsiTheme="minorHAnsi" w:cstheme="minorHAnsi"/>
                <w:spacing w:val="-23"/>
                <w:w w:val="95"/>
                <w:sz w:val="20"/>
                <w:szCs w:val="20"/>
                <w:lang w:val="es-ES"/>
              </w:rPr>
              <w:t xml:space="preserve"> </w:t>
            </w:r>
            <w:r w:rsidRPr="009A27ED">
              <w:rPr>
                <w:rFonts w:asciiTheme="minorHAnsi" w:hAnsiTheme="minorHAnsi" w:cstheme="minorHAnsi"/>
                <w:w w:val="95"/>
                <w:sz w:val="20"/>
                <w:szCs w:val="20"/>
                <w:lang w:val="es-ES"/>
              </w:rPr>
              <w:t>Aquellos</w:t>
            </w:r>
            <w:r w:rsidRPr="009A27ED">
              <w:rPr>
                <w:rFonts w:asciiTheme="minorHAnsi" w:hAnsiTheme="minorHAnsi" w:cstheme="minorHAnsi"/>
                <w:spacing w:val="-24"/>
                <w:w w:val="95"/>
                <w:sz w:val="20"/>
                <w:szCs w:val="20"/>
                <w:lang w:val="es-ES"/>
              </w:rPr>
              <w:t xml:space="preserve"> </w:t>
            </w:r>
            <w:r w:rsidRPr="009A27ED">
              <w:rPr>
                <w:rFonts w:asciiTheme="minorHAnsi" w:hAnsiTheme="minorHAnsi" w:cstheme="minorHAnsi"/>
                <w:w w:val="95"/>
                <w:sz w:val="20"/>
                <w:szCs w:val="20"/>
                <w:lang w:val="es-ES"/>
              </w:rPr>
              <w:t>cuya</w:t>
            </w:r>
            <w:r w:rsidRPr="009A27ED">
              <w:rPr>
                <w:rFonts w:asciiTheme="minorHAnsi" w:hAnsiTheme="minorHAnsi" w:cstheme="minorHAnsi"/>
                <w:spacing w:val="-23"/>
                <w:w w:val="95"/>
                <w:sz w:val="20"/>
                <w:szCs w:val="20"/>
                <w:lang w:val="es-ES"/>
              </w:rPr>
              <w:t xml:space="preserve"> </w:t>
            </w:r>
            <w:r w:rsidRPr="009A27ED">
              <w:rPr>
                <w:rFonts w:asciiTheme="minorHAnsi" w:hAnsiTheme="minorHAnsi" w:cstheme="minorHAnsi"/>
                <w:w w:val="95"/>
                <w:sz w:val="20"/>
                <w:szCs w:val="20"/>
                <w:lang w:val="es-ES"/>
              </w:rPr>
              <w:t>finalidad</w:t>
            </w:r>
            <w:r w:rsidRPr="009A27ED">
              <w:rPr>
                <w:rFonts w:asciiTheme="minorHAnsi" w:hAnsiTheme="minorHAnsi" w:cstheme="minorHAnsi"/>
                <w:spacing w:val="-24"/>
                <w:w w:val="95"/>
                <w:sz w:val="20"/>
                <w:szCs w:val="20"/>
                <w:lang w:val="es-ES"/>
              </w:rPr>
              <w:t xml:space="preserve"> </w:t>
            </w:r>
            <w:r w:rsidRPr="009A27ED">
              <w:rPr>
                <w:rFonts w:asciiTheme="minorHAnsi" w:hAnsiTheme="minorHAnsi" w:cstheme="minorHAnsi"/>
                <w:w w:val="95"/>
                <w:sz w:val="20"/>
                <w:szCs w:val="20"/>
                <w:lang w:val="es-ES"/>
              </w:rPr>
              <w:t>es</w:t>
            </w:r>
            <w:r w:rsidRPr="009A27ED">
              <w:rPr>
                <w:rFonts w:asciiTheme="minorHAnsi" w:hAnsiTheme="minorHAnsi" w:cstheme="minorHAnsi"/>
                <w:spacing w:val="-23"/>
                <w:w w:val="95"/>
                <w:sz w:val="20"/>
                <w:szCs w:val="20"/>
                <w:lang w:val="es-ES"/>
              </w:rPr>
              <w:t xml:space="preserve"> </w:t>
            </w:r>
            <w:r w:rsidRPr="009A27ED">
              <w:rPr>
                <w:rFonts w:asciiTheme="minorHAnsi" w:hAnsiTheme="minorHAnsi" w:cstheme="minorHAnsi"/>
                <w:w w:val="95"/>
                <w:sz w:val="20"/>
                <w:szCs w:val="20"/>
                <w:lang w:val="es-ES"/>
              </w:rPr>
              <w:t>generar</w:t>
            </w:r>
            <w:r w:rsidRPr="009A27ED">
              <w:rPr>
                <w:rFonts w:asciiTheme="minorHAnsi" w:hAnsiTheme="minorHAnsi" w:cstheme="minorHAnsi"/>
                <w:spacing w:val="-26"/>
                <w:w w:val="95"/>
                <w:sz w:val="20"/>
                <w:szCs w:val="20"/>
                <w:lang w:val="es-ES"/>
              </w:rPr>
              <w:t xml:space="preserve"> </w:t>
            </w:r>
            <w:r w:rsidRPr="009A27ED">
              <w:rPr>
                <w:rFonts w:asciiTheme="minorHAnsi" w:hAnsiTheme="minorHAnsi" w:cstheme="minorHAnsi"/>
                <w:w w:val="95"/>
                <w:sz w:val="20"/>
                <w:szCs w:val="20"/>
                <w:lang w:val="es-ES"/>
              </w:rPr>
              <w:t>cambios</w:t>
            </w:r>
            <w:r w:rsidRPr="009A27ED">
              <w:rPr>
                <w:rFonts w:asciiTheme="minorHAnsi" w:hAnsiTheme="minorHAnsi" w:cstheme="minorHAnsi"/>
                <w:spacing w:val="-25"/>
                <w:w w:val="95"/>
                <w:sz w:val="20"/>
                <w:szCs w:val="20"/>
                <w:lang w:val="es-ES"/>
              </w:rPr>
              <w:t xml:space="preserve"> </w:t>
            </w:r>
            <w:r w:rsidRPr="009A27ED">
              <w:rPr>
                <w:rFonts w:asciiTheme="minorHAnsi" w:hAnsiTheme="minorHAnsi" w:cstheme="minorHAnsi"/>
                <w:w w:val="95"/>
                <w:sz w:val="20"/>
                <w:szCs w:val="20"/>
                <w:lang w:val="es-ES"/>
              </w:rPr>
              <w:t>en</w:t>
            </w:r>
            <w:r w:rsidRPr="009A27ED">
              <w:rPr>
                <w:rFonts w:asciiTheme="minorHAnsi" w:hAnsiTheme="minorHAnsi" w:cstheme="minorHAnsi"/>
                <w:spacing w:val="-24"/>
                <w:w w:val="95"/>
                <w:sz w:val="20"/>
                <w:szCs w:val="20"/>
                <w:lang w:val="es-ES"/>
              </w:rPr>
              <w:t xml:space="preserve"> </w:t>
            </w:r>
            <w:r w:rsidRPr="009A27ED">
              <w:rPr>
                <w:rFonts w:asciiTheme="minorHAnsi" w:hAnsiTheme="minorHAnsi" w:cstheme="minorHAnsi"/>
                <w:w w:val="95"/>
                <w:sz w:val="20"/>
                <w:szCs w:val="20"/>
                <w:lang w:val="es-ES"/>
              </w:rPr>
              <w:t>el</w:t>
            </w:r>
            <w:r w:rsidRPr="009A27ED">
              <w:rPr>
                <w:rFonts w:asciiTheme="minorHAnsi" w:hAnsiTheme="minorHAnsi" w:cstheme="minorHAnsi"/>
                <w:spacing w:val="-25"/>
                <w:w w:val="95"/>
                <w:sz w:val="20"/>
                <w:szCs w:val="20"/>
                <w:lang w:val="es-ES"/>
              </w:rPr>
              <w:t xml:space="preserve"> </w:t>
            </w:r>
            <w:r w:rsidRPr="009A27ED">
              <w:rPr>
                <w:rFonts w:asciiTheme="minorHAnsi" w:hAnsiTheme="minorHAnsi" w:cstheme="minorHAnsi"/>
                <w:w w:val="95"/>
                <w:sz w:val="20"/>
                <w:szCs w:val="20"/>
                <w:lang w:val="es-ES"/>
              </w:rPr>
              <w:t>manejo,</w:t>
            </w:r>
            <w:r w:rsidRPr="009A27ED">
              <w:rPr>
                <w:rFonts w:asciiTheme="minorHAnsi" w:hAnsiTheme="minorHAnsi" w:cstheme="minorHAnsi"/>
                <w:spacing w:val="-23"/>
                <w:w w:val="95"/>
                <w:sz w:val="20"/>
                <w:szCs w:val="20"/>
                <w:lang w:val="es-ES"/>
              </w:rPr>
              <w:t xml:space="preserve"> </w:t>
            </w:r>
            <w:r w:rsidRPr="009A27ED">
              <w:rPr>
                <w:rFonts w:asciiTheme="minorHAnsi" w:hAnsiTheme="minorHAnsi" w:cstheme="minorHAnsi"/>
                <w:w w:val="95"/>
                <w:sz w:val="20"/>
                <w:szCs w:val="20"/>
                <w:lang w:val="es-ES"/>
              </w:rPr>
              <w:t>la</w:t>
            </w:r>
            <w:r w:rsidRPr="009A27ED">
              <w:rPr>
                <w:rFonts w:asciiTheme="minorHAnsi" w:hAnsiTheme="minorHAnsi" w:cstheme="minorHAnsi"/>
                <w:spacing w:val="-24"/>
                <w:w w:val="95"/>
                <w:sz w:val="20"/>
                <w:szCs w:val="20"/>
                <w:lang w:val="es-ES"/>
              </w:rPr>
              <w:t xml:space="preserve"> </w:t>
            </w:r>
            <w:r w:rsidRPr="009A27ED">
              <w:rPr>
                <w:rFonts w:asciiTheme="minorHAnsi" w:hAnsiTheme="minorHAnsi" w:cstheme="minorHAnsi"/>
                <w:w w:val="95"/>
                <w:sz w:val="20"/>
                <w:szCs w:val="20"/>
                <w:lang w:val="es-ES"/>
              </w:rPr>
              <w:t>protección</w:t>
            </w:r>
            <w:r w:rsidRPr="009A27ED">
              <w:rPr>
                <w:rFonts w:asciiTheme="minorHAnsi" w:hAnsiTheme="minorHAnsi" w:cstheme="minorHAnsi"/>
                <w:spacing w:val="-24"/>
                <w:w w:val="95"/>
                <w:sz w:val="20"/>
                <w:szCs w:val="20"/>
                <w:lang w:val="es-ES"/>
              </w:rPr>
              <w:t xml:space="preserve"> </w:t>
            </w:r>
            <w:r w:rsidRPr="009A27ED">
              <w:rPr>
                <w:rFonts w:asciiTheme="minorHAnsi" w:hAnsiTheme="minorHAnsi" w:cstheme="minorHAnsi"/>
                <w:w w:val="95"/>
                <w:sz w:val="20"/>
                <w:szCs w:val="20"/>
                <w:lang w:val="es-ES"/>
              </w:rPr>
              <w:t>o</w:t>
            </w:r>
            <w:r w:rsidRPr="009A27ED">
              <w:rPr>
                <w:rFonts w:asciiTheme="minorHAnsi" w:hAnsiTheme="minorHAnsi" w:cstheme="minorHAnsi"/>
                <w:spacing w:val="-22"/>
                <w:w w:val="95"/>
                <w:sz w:val="20"/>
                <w:szCs w:val="20"/>
                <w:lang w:val="es-ES"/>
              </w:rPr>
              <w:t xml:space="preserve"> </w:t>
            </w:r>
            <w:r w:rsidRPr="009A27ED">
              <w:rPr>
                <w:rFonts w:asciiTheme="minorHAnsi" w:hAnsiTheme="minorHAnsi" w:cstheme="minorHAnsi"/>
                <w:w w:val="95"/>
                <w:sz w:val="20"/>
                <w:szCs w:val="20"/>
                <w:lang w:val="es-ES"/>
              </w:rPr>
              <w:t>la</w:t>
            </w:r>
            <w:r w:rsidRPr="009A27ED">
              <w:rPr>
                <w:rFonts w:asciiTheme="minorHAnsi" w:hAnsiTheme="minorHAnsi" w:cstheme="minorHAnsi"/>
                <w:spacing w:val="-26"/>
                <w:w w:val="95"/>
                <w:sz w:val="20"/>
                <w:szCs w:val="20"/>
                <w:lang w:val="es-ES"/>
              </w:rPr>
              <w:t xml:space="preserve"> </w:t>
            </w:r>
            <w:r w:rsidRPr="009A27ED">
              <w:rPr>
                <w:rFonts w:asciiTheme="minorHAnsi" w:hAnsiTheme="minorHAnsi" w:cstheme="minorHAnsi"/>
                <w:w w:val="95"/>
                <w:sz w:val="20"/>
                <w:szCs w:val="20"/>
                <w:lang w:val="es-ES"/>
              </w:rPr>
              <w:t>utilización</w:t>
            </w:r>
            <w:r w:rsidRPr="009A27ED">
              <w:rPr>
                <w:rFonts w:asciiTheme="minorHAnsi" w:hAnsiTheme="minorHAnsi" w:cstheme="minorHAnsi"/>
                <w:spacing w:val="-23"/>
                <w:w w:val="95"/>
                <w:sz w:val="20"/>
                <w:szCs w:val="20"/>
                <w:lang w:val="es-ES"/>
              </w:rPr>
              <w:t xml:space="preserve"> </w:t>
            </w:r>
            <w:r w:rsidRPr="009A27ED">
              <w:rPr>
                <w:rFonts w:asciiTheme="minorHAnsi" w:hAnsiTheme="minorHAnsi" w:cstheme="minorHAnsi"/>
                <w:w w:val="95"/>
                <w:sz w:val="20"/>
                <w:szCs w:val="20"/>
                <w:lang w:val="es-ES"/>
              </w:rPr>
              <w:t>de</w:t>
            </w:r>
            <w:r w:rsidRPr="009A27ED">
              <w:rPr>
                <w:rFonts w:asciiTheme="minorHAnsi" w:hAnsiTheme="minorHAnsi" w:cstheme="minorHAnsi"/>
                <w:spacing w:val="-23"/>
                <w:w w:val="95"/>
                <w:sz w:val="20"/>
                <w:szCs w:val="20"/>
                <w:lang w:val="es-ES"/>
              </w:rPr>
              <w:t xml:space="preserve"> </w:t>
            </w:r>
            <w:r w:rsidRPr="009A27ED">
              <w:rPr>
                <w:rFonts w:asciiTheme="minorHAnsi" w:hAnsiTheme="minorHAnsi" w:cstheme="minorHAnsi"/>
                <w:w w:val="95"/>
                <w:sz w:val="20"/>
                <w:szCs w:val="20"/>
                <w:lang w:val="es-ES"/>
              </w:rPr>
              <w:t xml:space="preserve">los </w:t>
            </w:r>
            <w:r w:rsidRPr="009A27ED">
              <w:rPr>
                <w:rFonts w:asciiTheme="minorHAnsi" w:hAnsiTheme="minorHAnsi" w:cstheme="minorHAnsi"/>
                <w:sz w:val="20"/>
                <w:szCs w:val="20"/>
                <w:lang w:val="es-ES"/>
              </w:rPr>
              <w:t xml:space="preserve">bosques </w:t>
            </w:r>
            <w:r w:rsidRPr="009A27ED">
              <w:rPr>
                <w:rFonts w:asciiTheme="minorHAnsi" w:hAnsiTheme="minorHAnsi" w:cstheme="minorHAnsi"/>
                <w:spacing w:val="-31"/>
                <w:sz w:val="20"/>
                <w:szCs w:val="20"/>
                <w:lang w:val="es-ES"/>
              </w:rPr>
              <w:t xml:space="preserve"> </w:t>
            </w:r>
            <w:r w:rsidRPr="009A27ED">
              <w:rPr>
                <w:rFonts w:asciiTheme="minorHAnsi" w:hAnsiTheme="minorHAnsi" w:cstheme="minorHAnsi"/>
                <w:sz w:val="20"/>
                <w:szCs w:val="20"/>
                <w:lang w:val="es-ES"/>
              </w:rPr>
              <w:t>naturales</w:t>
            </w:r>
            <w:r w:rsidRPr="009A27ED">
              <w:rPr>
                <w:rFonts w:asciiTheme="minorHAnsi" w:hAnsiTheme="minorHAnsi" w:cstheme="minorHAnsi"/>
                <w:spacing w:val="-32"/>
                <w:sz w:val="20"/>
                <w:szCs w:val="20"/>
                <w:lang w:val="es-ES"/>
              </w:rPr>
              <w:t xml:space="preserve"> </w:t>
            </w:r>
            <w:r w:rsidRPr="009A27ED">
              <w:rPr>
                <w:rFonts w:asciiTheme="minorHAnsi" w:hAnsiTheme="minorHAnsi" w:cstheme="minorHAnsi"/>
                <w:sz w:val="20"/>
                <w:szCs w:val="20"/>
                <w:lang w:val="es-ES"/>
              </w:rPr>
              <w:t>o</w:t>
            </w:r>
            <w:r w:rsidRPr="009A27ED">
              <w:rPr>
                <w:rFonts w:asciiTheme="minorHAnsi" w:hAnsiTheme="minorHAnsi" w:cstheme="minorHAnsi"/>
                <w:spacing w:val="-31"/>
                <w:sz w:val="20"/>
                <w:szCs w:val="20"/>
                <w:lang w:val="es-ES"/>
              </w:rPr>
              <w:t xml:space="preserve"> </w:t>
            </w:r>
            <w:r w:rsidRPr="009A27ED">
              <w:rPr>
                <w:rFonts w:asciiTheme="minorHAnsi" w:hAnsiTheme="minorHAnsi" w:cstheme="minorHAnsi"/>
                <w:sz w:val="20"/>
                <w:szCs w:val="20"/>
                <w:lang w:val="es-ES"/>
              </w:rPr>
              <w:t>las</w:t>
            </w:r>
            <w:r w:rsidRPr="009A27ED">
              <w:rPr>
                <w:rFonts w:asciiTheme="minorHAnsi" w:hAnsiTheme="minorHAnsi" w:cstheme="minorHAnsi"/>
                <w:spacing w:val="-31"/>
                <w:sz w:val="20"/>
                <w:szCs w:val="20"/>
                <w:lang w:val="es-ES"/>
              </w:rPr>
              <w:t xml:space="preserve"> </w:t>
            </w:r>
            <w:r w:rsidRPr="009A27ED">
              <w:rPr>
                <w:rFonts w:asciiTheme="minorHAnsi" w:hAnsiTheme="minorHAnsi" w:cstheme="minorHAnsi"/>
                <w:sz w:val="20"/>
                <w:szCs w:val="20"/>
                <w:lang w:val="es-ES"/>
              </w:rPr>
              <w:t>plantaciones,</w:t>
            </w:r>
            <w:r w:rsidRPr="009A27ED">
              <w:rPr>
                <w:rFonts w:asciiTheme="minorHAnsi" w:hAnsiTheme="minorHAnsi" w:cstheme="minorHAnsi"/>
                <w:spacing w:val="-30"/>
                <w:sz w:val="20"/>
                <w:szCs w:val="20"/>
                <w:lang w:val="es-ES"/>
              </w:rPr>
              <w:t xml:space="preserve"> </w:t>
            </w:r>
            <w:r w:rsidRPr="009A27ED">
              <w:rPr>
                <w:rFonts w:asciiTheme="minorHAnsi" w:hAnsiTheme="minorHAnsi" w:cstheme="minorHAnsi"/>
                <w:sz w:val="20"/>
                <w:szCs w:val="20"/>
                <w:lang w:val="es-ES"/>
              </w:rPr>
              <w:t>sean</w:t>
            </w:r>
            <w:r w:rsidRPr="009A27ED">
              <w:rPr>
                <w:rFonts w:asciiTheme="minorHAnsi" w:hAnsiTheme="minorHAnsi" w:cstheme="minorHAnsi"/>
                <w:spacing w:val="-34"/>
                <w:sz w:val="20"/>
                <w:szCs w:val="20"/>
                <w:lang w:val="es-ES"/>
              </w:rPr>
              <w:t xml:space="preserve"> </w:t>
            </w:r>
            <w:r w:rsidRPr="009A27ED">
              <w:rPr>
                <w:rFonts w:asciiTheme="minorHAnsi" w:hAnsiTheme="minorHAnsi" w:cstheme="minorHAnsi"/>
                <w:sz w:val="20"/>
                <w:szCs w:val="20"/>
                <w:lang w:val="es-ES"/>
              </w:rPr>
              <w:t>de</w:t>
            </w:r>
            <w:r w:rsidRPr="009A27ED">
              <w:rPr>
                <w:rFonts w:asciiTheme="minorHAnsi" w:hAnsiTheme="minorHAnsi" w:cstheme="minorHAnsi"/>
                <w:spacing w:val="-30"/>
                <w:sz w:val="20"/>
                <w:szCs w:val="20"/>
                <w:lang w:val="es-ES"/>
              </w:rPr>
              <w:t xml:space="preserve"> </w:t>
            </w:r>
            <w:r w:rsidRPr="009A27ED">
              <w:rPr>
                <w:rFonts w:asciiTheme="minorHAnsi" w:hAnsiTheme="minorHAnsi" w:cstheme="minorHAnsi"/>
                <w:sz w:val="20"/>
                <w:szCs w:val="20"/>
                <w:lang w:val="es-ES"/>
              </w:rPr>
              <w:t>propiedad</w:t>
            </w:r>
            <w:r w:rsidRPr="009A27ED">
              <w:rPr>
                <w:rFonts w:asciiTheme="minorHAnsi" w:hAnsiTheme="minorHAnsi" w:cstheme="minorHAnsi"/>
                <w:spacing w:val="-32"/>
                <w:sz w:val="20"/>
                <w:szCs w:val="20"/>
                <w:lang w:val="es-ES"/>
              </w:rPr>
              <w:t xml:space="preserve"> </w:t>
            </w:r>
            <w:r w:rsidRPr="009A27ED">
              <w:rPr>
                <w:rFonts w:asciiTheme="minorHAnsi" w:hAnsiTheme="minorHAnsi" w:cstheme="minorHAnsi"/>
                <w:sz w:val="20"/>
                <w:szCs w:val="20"/>
                <w:lang w:val="es-ES"/>
              </w:rPr>
              <w:t>pública,</w:t>
            </w:r>
            <w:r w:rsidRPr="009A27ED">
              <w:rPr>
                <w:rFonts w:asciiTheme="minorHAnsi" w:hAnsiTheme="minorHAnsi" w:cstheme="minorHAnsi"/>
                <w:spacing w:val="-32"/>
                <w:sz w:val="20"/>
                <w:szCs w:val="20"/>
                <w:lang w:val="es-ES"/>
              </w:rPr>
              <w:t xml:space="preserve"> </w:t>
            </w:r>
            <w:r w:rsidRPr="009A27ED">
              <w:rPr>
                <w:rFonts w:asciiTheme="minorHAnsi" w:hAnsiTheme="minorHAnsi" w:cstheme="minorHAnsi"/>
                <w:sz w:val="20"/>
                <w:szCs w:val="20"/>
                <w:lang w:val="es-ES"/>
              </w:rPr>
              <w:t>privada</w:t>
            </w:r>
            <w:r w:rsidRPr="009A27ED">
              <w:rPr>
                <w:rFonts w:asciiTheme="minorHAnsi" w:hAnsiTheme="minorHAnsi" w:cstheme="minorHAnsi"/>
                <w:spacing w:val="-32"/>
                <w:sz w:val="20"/>
                <w:szCs w:val="20"/>
                <w:lang w:val="es-ES"/>
              </w:rPr>
              <w:t xml:space="preserve"> </w:t>
            </w:r>
            <w:r w:rsidRPr="009A27ED">
              <w:rPr>
                <w:rFonts w:asciiTheme="minorHAnsi" w:hAnsiTheme="minorHAnsi" w:cstheme="minorHAnsi"/>
                <w:sz w:val="20"/>
                <w:szCs w:val="20"/>
                <w:lang w:val="es-ES"/>
              </w:rPr>
              <w:t>o</w:t>
            </w:r>
            <w:r w:rsidRPr="009A27ED">
              <w:rPr>
                <w:rFonts w:asciiTheme="minorHAnsi" w:hAnsiTheme="minorHAnsi" w:cstheme="minorHAnsi"/>
                <w:spacing w:val="-31"/>
                <w:sz w:val="20"/>
                <w:szCs w:val="20"/>
                <w:lang w:val="es-ES"/>
              </w:rPr>
              <w:t xml:space="preserve"> </w:t>
            </w:r>
            <w:r w:rsidRPr="009A27ED">
              <w:rPr>
                <w:rFonts w:asciiTheme="minorHAnsi" w:hAnsiTheme="minorHAnsi" w:cstheme="minorHAnsi"/>
                <w:sz w:val="20"/>
                <w:szCs w:val="20"/>
                <w:lang w:val="es-ES"/>
              </w:rPr>
              <w:t>comunal.</w:t>
            </w:r>
          </w:p>
        </w:tc>
      </w:tr>
    </w:tbl>
    <w:p w14:paraId="3E9BF88A" w14:textId="77777777" w:rsidR="00B3618B" w:rsidRPr="009A27ED" w:rsidRDefault="00B3618B" w:rsidP="000A4C43">
      <w:pPr>
        <w:spacing w:line="360" w:lineRule="auto"/>
        <w:rPr>
          <w:szCs w:val="22"/>
        </w:rPr>
        <w:sectPr w:rsidR="00B3618B" w:rsidRPr="009A27ED" w:rsidSect="0002525F">
          <w:headerReference w:type="default" r:id="rId50"/>
          <w:pgSz w:w="17033" w:h="19562"/>
          <w:pgMar w:top="1276" w:right="6373" w:bottom="142" w:left="1599" w:header="754" w:footer="0" w:gutter="0"/>
          <w:cols w:space="720"/>
        </w:sectPr>
      </w:pPr>
    </w:p>
    <w:p w14:paraId="009A9AE2" w14:textId="77777777" w:rsidR="004A289C" w:rsidRPr="009A27ED" w:rsidRDefault="004A289C" w:rsidP="000A4C43">
      <w:pPr>
        <w:pStyle w:val="Textoindependiente"/>
        <w:spacing w:line="360" w:lineRule="auto"/>
        <w:rPr>
          <w:rFonts w:asciiTheme="minorHAnsi" w:hAnsiTheme="minorHAnsi" w:cstheme="minorHAnsi"/>
          <w:szCs w:val="22"/>
          <w:lang w:val="es-ES"/>
        </w:rPr>
      </w:pPr>
    </w:p>
    <w:tbl>
      <w:tblPr>
        <w:tblStyle w:val="TableNormal1"/>
        <w:tblW w:w="0" w:type="auto"/>
        <w:tblInd w:w="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829"/>
      </w:tblGrid>
      <w:tr w:rsidR="004A289C" w:rsidRPr="009A27ED" w14:paraId="1D11D091" w14:textId="77777777" w:rsidTr="000A4C43">
        <w:trPr>
          <w:trHeight w:val="2248"/>
        </w:trPr>
        <w:tc>
          <w:tcPr>
            <w:tcW w:w="8829" w:type="dxa"/>
          </w:tcPr>
          <w:p w14:paraId="1B266E29" w14:textId="77777777" w:rsidR="004A289C" w:rsidRPr="009A27ED" w:rsidRDefault="004A289C" w:rsidP="000A4C43">
            <w:pPr>
              <w:pStyle w:val="TableParagraph"/>
              <w:spacing w:after="120"/>
              <w:ind w:left="107" w:right="93"/>
              <w:rPr>
                <w:rFonts w:asciiTheme="minorHAnsi" w:hAnsiTheme="minorHAnsi" w:cstheme="minorHAnsi"/>
                <w:sz w:val="20"/>
                <w:szCs w:val="20"/>
                <w:lang w:val="es-ES"/>
              </w:rPr>
            </w:pPr>
            <w:r w:rsidRPr="009A27ED">
              <w:rPr>
                <w:rFonts w:asciiTheme="minorHAnsi" w:hAnsiTheme="minorHAnsi" w:cstheme="minorHAnsi"/>
                <w:b/>
                <w:sz w:val="20"/>
                <w:szCs w:val="20"/>
                <w:lang w:val="es-ES"/>
              </w:rPr>
              <w:t>Reasentamiento</w:t>
            </w:r>
            <w:r w:rsidRPr="009A27ED">
              <w:rPr>
                <w:rFonts w:asciiTheme="minorHAnsi" w:hAnsiTheme="minorHAnsi" w:cstheme="minorHAnsi"/>
                <w:b/>
                <w:spacing w:val="-25"/>
                <w:sz w:val="20"/>
                <w:szCs w:val="20"/>
                <w:lang w:val="es-ES"/>
              </w:rPr>
              <w:t xml:space="preserve"> </w:t>
            </w:r>
            <w:r w:rsidRPr="009A27ED">
              <w:rPr>
                <w:rFonts w:asciiTheme="minorHAnsi" w:hAnsiTheme="minorHAnsi" w:cstheme="minorHAnsi"/>
                <w:b/>
                <w:sz w:val="20"/>
                <w:szCs w:val="20"/>
                <w:lang w:val="es-ES"/>
              </w:rPr>
              <w:t>involuntario</w:t>
            </w:r>
            <w:r w:rsidRPr="009A27ED">
              <w:rPr>
                <w:rFonts w:asciiTheme="minorHAnsi" w:hAnsiTheme="minorHAnsi" w:cstheme="minorHAnsi"/>
                <w:b/>
                <w:spacing w:val="-24"/>
                <w:sz w:val="20"/>
                <w:szCs w:val="20"/>
                <w:lang w:val="es-ES"/>
              </w:rPr>
              <w:t xml:space="preserve"> </w:t>
            </w:r>
            <w:r w:rsidRPr="009A27ED">
              <w:rPr>
                <w:rFonts w:asciiTheme="minorHAnsi" w:hAnsiTheme="minorHAnsi" w:cstheme="minorHAnsi"/>
                <w:b/>
                <w:sz w:val="20"/>
                <w:szCs w:val="20"/>
                <w:lang w:val="es-ES"/>
              </w:rPr>
              <w:t>(4.12):</w:t>
            </w:r>
            <w:r w:rsidRPr="009A27ED">
              <w:rPr>
                <w:rFonts w:asciiTheme="minorHAnsi" w:hAnsiTheme="minorHAnsi" w:cstheme="minorHAnsi"/>
                <w:spacing w:val="-25"/>
                <w:sz w:val="20"/>
                <w:szCs w:val="20"/>
                <w:lang w:val="es-ES"/>
              </w:rPr>
              <w:t xml:space="preserve"> </w:t>
            </w:r>
            <w:r w:rsidRPr="009A27ED">
              <w:rPr>
                <w:rFonts w:asciiTheme="minorHAnsi" w:hAnsiTheme="minorHAnsi" w:cstheme="minorHAnsi"/>
                <w:sz w:val="20"/>
                <w:szCs w:val="20"/>
                <w:lang w:val="es-ES"/>
              </w:rPr>
              <w:t>Esta</w:t>
            </w:r>
            <w:r w:rsidRPr="009A27ED">
              <w:rPr>
                <w:rFonts w:asciiTheme="minorHAnsi" w:hAnsiTheme="minorHAnsi" w:cstheme="minorHAnsi"/>
                <w:spacing w:val="-24"/>
                <w:sz w:val="20"/>
                <w:szCs w:val="20"/>
                <w:lang w:val="es-ES"/>
              </w:rPr>
              <w:t xml:space="preserve"> </w:t>
            </w:r>
            <w:r w:rsidRPr="009A27ED">
              <w:rPr>
                <w:rFonts w:asciiTheme="minorHAnsi" w:hAnsiTheme="minorHAnsi" w:cstheme="minorHAnsi"/>
                <w:sz w:val="20"/>
                <w:szCs w:val="20"/>
                <w:lang w:val="es-ES"/>
              </w:rPr>
              <w:t>política</w:t>
            </w:r>
            <w:r w:rsidRPr="009A27ED">
              <w:rPr>
                <w:rFonts w:asciiTheme="minorHAnsi" w:hAnsiTheme="minorHAnsi" w:cstheme="minorHAnsi"/>
                <w:spacing w:val="-25"/>
                <w:sz w:val="20"/>
                <w:szCs w:val="20"/>
                <w:lang w:val="es-ES"/>
              </w:rPr>
              <w:t xml:space="preserve"> </w:t>
            </w:r>
            <w:r w:rsidRPr="009A27ED">
              <w:rPr>
                <w:rFonts w:asciiTheme="minorHAnsi" w:hAnsiTheme="minorHAnsi" w:cstheme="minorHAnsi"/>
                <w:sz w:val="20"/>
                <w:szCs w:val="20"/>
                <w:lang w:val="es-ES"/>
              </w:rPr>
              <w:t>abarca</w:t>
            </w:r>
            <w:r w:rsidRPr="009A27ED">
              <w:rPr>
                <w:rFonts w:asciiTheme="minorHAnsi" w:hAnsiTheme="minorHAnsi" w:cstheme="minorHAnsi"/>
                <w:spacing w:val="-25"/>
                <w:sz w:val="20"/>
                <w:szCs w:val="20"/>
                <w:lang w:val="es-ES"/>
              </w:rPr>
              <w:t xml:space="preserve"> </w:t>
            </w:r>
            <w:r w:rsidRPr="009A27ED">
              <w:rPr>
                <w:rFonts w:asciiTheme="minorHAnsi" w:hAnsiTheme="minorHAnsi" w:cstheme="minorHAnsi"/>
                <w:sz w:val="20"/>
                <w:szCs w:val="20"/>
                <w:lang w:val="es-ES"/>
              </w:rPr>
              <w:t>los</w:t>
            </w:r>
            <w:r w:rsidRPr="009A27ED">
              <w:rPr>
                <w:rFonts w:asciiTheme="minorHAnsi" w:hAnsiTheme="minorHAnsi" w:cstheme="minorHAnsi"/>
                <w:spacing w:val="-25"/>
                <w:sz w:val="20"/>
                <w:szCs w:val="20"/>
                <w:lang w:val="es-ES"/>
              </w:rPr>
              <w:t xml:space="preserve"> </w:t>
            </w:r>
            <w:r w:rsidRPr="009A27ED">
              <w:rPr>
                <w:rFonts w:asciiTheme="minorHAnsi" w:hAnsiTheme="minorHAnsi" w:cstheme="minorHAnsi"/>
                <w:sz w:val="20"/>
                <w:szCs w:val="20"/>
                <w:lang w:val="es-ES"/>
              </w:rPr>
              <w:t>efectos</w:t>
            </w:r>
            <w:r w:rsidRPr="009A27ED">
              <w:rPr>
                <w:rFonts w:asciiTheme="minorHAnsi" w:hAnsiTheme="minorHAnsi" w:cstheme="minorHAnsi"/>
                <w:spacing w:val="-24"/>
                <w:sz w:val="20"/>
                <w:szCs w:val="20"/>
                <w:lang w:val="es-ES"/>
              </w:rPr>
              <w:t xml:space="preserve"> </w:t>
            </w:r>
            <w:r w:rsidRPr="009A27ED">
              <w:rPr>
                <w:rFonts w:asciiTheme="minorHAnsi" w:hAnsiTheme="minorHAnsi" w:cstheme="minorHAnsi"/>
                <w:sz w:val="20"/>
                <w:szCs w:val="20"/>
                <w:lang w:val="es-ES"/>
              </w:rPr>
              <w:t>económicos</w:t>
            </w:r>
            <w:r w:rsidRPr="009A27ED">
              <w:rPr>
                <w:rFonts w:asciiTheme="minorHAnsi" w:hAnsiTheme="minorHAnsi" w:cstheme="minorHAnsi"/>
                <w:spacing w:val="-25"/>
                <w:sz w:val="20"/>
                <w:szCs w:val="20"/>
                <w:lang w:val="es-ES"/>
              </w:rPr>
              <w:t xml:space="preserve"> </w:t>
            </w:r>
            <w:r w:rsidRPr="009A27ED">
              <w:rPr>
                <w:rFonts w:asciiTheme="minorHAnsi" w:hAnsiTheme="minorHAnsi" w:cstheme="minorHAnsi"/>
                <w:sz w:val="20"/>
                <w:szCs w:val="20"/>
                <w:lang w:val="es-ES"/>
              </w:rPr>
              <w:t>y</w:t>
            </w:r>
            <w:r w:rsidRPr="009A27ED">
              <w:rPr>
                <w:rFonts w:asciiTheme="minorHAnsi" w:hAnsiTheme="minorHAnsi" w:cstheme="minorHAnsi"/>
                <w:spacing w:val="-24"/>
                <w:sz w:val="20"/>
                <w:szCs w:val="20"/>
                <w:lang w:val="es-ES"/>
              </w:rPr>
              <w:t xml:space="preserve"> </w:t>
            </w:r>
            <w:r w:rsidRPr="009A27ED">
              <w:rPr>
                <w:rFonts w:asciiTheme="minorHAnsi" w:hAnsiTheme="minorHAnsi" w:cstheme="minorHAnsi"/>
                <w:sz w:val="20"/>
                <w:szCs w:val="20"/>
                <w:lang w:val="es-ES"/>
              </w:rPr>
              <w:t xml:space="preserve">sociales </w:t>
            </w:r>
            <w:r w:rsidRPr="009A27ED">
              <w:rPr>
                <w:rFonts w:asciiTheme="minorHAnsi" w:hAnsiTheme="minorHAnsi" w:cstheme="minorHAnsi"/>
                <w:w w:val="95"/>
                <w:sz w:val="20"/>
                <w:szCs w:val="20"/>
                <w:lang w:val="es-ES"/>
              </w:rPr>
              <w:t>directos</w:t>
            </w:r>
            <w:r w:rsidRPr="009A27ED">
              <w:rPr>
                <w:rFonts w:asciiTheme="minorHAnsi" w:hAnsiTheme="minorHAnsi" w:cstheme="minorHAnsi"/>
                <w:spacing w:val="-18"/>
                <w:w w:val="95"/>
                <w:sz w:val="20"/>
                <w:szCs w:val="20"/>
                <w:lang w:val="es-ES"/>
              </w:rPr>
              <w:t xml:space="preserve"> </w:t>
            </w:r>
            <w:r w:rsidRPr="009A27ED">
              <w:rPr>
                <w:rFonts w:asciiTheme="minorHAnsi" w:hAnsiTheme="minorHAnsi" w:cstheme="minorHAnsi"/>
                <w:w w:val="95"/>
                <w:sz w:val="20"/>
                <w:szCs w:val="20"/>
                <w:lang w:val="es-ES"/>
              </w:rPr>
              <w:t>resultantes</w:t>
            </w:r>
            <w:r w:rsidRPr="009A27ED">
              <w:rPr>
                <w:rFonts w:asciiTheme="minorHAnsi" w:hAnsiTheme="minorHAnsi" w:cstheme="minorHAnsi"/>
                <w:spacing w:val="-18"/>
                <w:w w:val="95"/>
                <w:sz w:val="20"/>
                <w:szCs w:val="20"/>
                <w:lang w:val="es-ES"/>
              </w:rPr>
              <w:t xml:space="preserve"> </w:t>
            </w:r>
            <w:r w:rsidRPr="009A27ED">
              <w:rPr>
                <w:rFonts w:asciiTheme="minorHAnsi" w:hAnsiTheme="minorHAnsi" w:cstheme="minorHAnsi"/>
                <w:w w:val="95"/>
                <w:sz w:val="20"/>
                <w:szCs w:val="20"/>
                <w:lang w:val="es-ES"/>
              </w:rPr>
              <w:t>de</w:t>
            </w:r>
            <w:r w:rsidRPr="009A27ED">
              <w:rPr>
                <w:rFonts w:asciiTheme="minorHAnsi" w:hAnsiTheme="minorHAnsi" w:cstheme="minorHAnsi"/>
                <w:spacing w:val="-19"/>
                <w:w w:val="95"/>
                <w:sz w:val="20"/>
                <w:szCs w:val="20"/>
                <w:lang w:val="es-ES"/>
              </w:rPr>
              <w:t xml:space="preserve"> </w:t>
            </w:r>
            <w:r w:rsidRPr="009A27ED">
              <w:rPr>
                <w:rFonts w:asciiTheme="minorHAnsi" w:hAnsiTheme="minorHAnsi" w:cstheme="minorHAnsi"/>
                <w:w w:val="95"/>
                <w:sz w:val="20"/>
                <w:szCs w:val="20"/>
                <w:lang w:val="es-ES"/>
              </w:rPr>
              <w:t>los</w:t>
            </w:r>
            <w:r w:rsidRPr="009A27ED">
              <w:rPr>
                <w:rFonts w:asciiTheme="minorHAnsi" w:hAnsiTheme="minorHAnsi" w:cstheme="minorHAnsi"/>
                <w:spacing w:val="-19"/>
                <w:w w:val="95"/>
                <w:sz w:val="20"/>
                <w:szCs w:val="20"/>
                <w:lang w:val="es-ES"/>
              </w:rPr>
              <w:t xml:space="preserve"> </w:t>
            </w:r>
            <w:r w:rsidRPr="009A27ED">
              <w:rPr>
                <w:rFonts w:asciiTheme="minorHAnsi" w:hAnsiTheme="minorHAnsi" w:cstheme="minorHAnsi"/>
                <w:w w:val="95"/>
                <w:sz w:val="20"/>
                <w:szCs w:val="20"/>
                <w:lang w:val="es-ES"/>
              </w:rPr>
              <w:t>proyectos</w:t>
            </w:r>
            <w:r w:rsidRPr="009A27ED">
              <w:rPr>
                <w:rFonts w:asciiTheme="minorHAnsi" w:hAnsiTheme="minorHAnsi" w:cstheme="minorHAnsi"/>
                <w:spacing w:val="-18"/>
                <w:w w:val="95"/>
                <w:sz w:val="20"/>
                <w:szCs w:val="20"/>
                <w:lang w:val="es-ES"/>
              </w:rPr>
              <w:t xml:space="preserve"> </w:t>
            </w:r>
            <w:r w:rsidRPr="009A27ED">
              <w:rPr>
                <w:rFonts w:asciiTheme="minorHAnsi" w:hAnsiTheme="minorHAnsi" w:cstheme="minorHAnsi"/>
                <w:w w:val="95"/>
                <w:sz w:val="20"/>
                <w:szCs w:val="20"/>
                <w:lang w:val="es-ES"/>
              </w:rPr>
              <w:t>de</w:t>
            </w:r>
            <w:r w:rsidRPr="009A27ED">
              <w:rPr>
                <w:rFonts w:asciiTheme="minorHAnsi" w:hAnsiTheme="minorHAnsi" w:cstheme="minorHAnsi"/>
                <w:spacing w:val="-16"/>
                <w:w w:val="95"/>
                <w:sz w:val="20"/>
                <w:szCs w:val="20"/>
                <w:lang w:val="es-ES"/>
              </w:rPr>
              <w:t xml:space="preserve"> </w:t>
            </w:r>
            <w:r w:rsidRPr="009A27ED">
              <w:rPr>
                <w:rFonts w:asciiTheme="minorHAnsi" w:hAnsiTheme="minorHAnsi" w:cstheme="minorHAnsi"/>
                <w:w w:val="95"/>
                <w:sz w:val="20"/>
                <w:szCs w:val="20"/>
                <w:lang w:val="es-ES"/>
              </w:rPr>
              <w:t>inversión</w:t>
            </w:r>
            <w:r w:rsidRPr="009A27ED">
              <w:rPr>
                <w:rFonts w:asciiTheme="minorHAnsi" w:hAnsiTheme="minorHAnsi" w:cstheme="minorHAnsi"/>
                <w:spacing w:val="-19"/>
                <w:w w:val="95"/>
                <w:sz w:val="20"/>
                <w:szCs w:val="20"/>
                <w:lang w:val="es-ES"/>
              </w:rPr>
              <w:t xml:space="preserve"> </w:t>
            </w:r>
            <w:r w:rsidRPr="009A27ED">
              <w:rPr>
                <w:rFonts w:asciiTheme="minorHAnsi" w:hAnsiTheme="minorHAnsi" w:cstheme="minorHAnsi"/>
                <w:w w:val="95"/>
                <w:sz w:val="20"/>
                <w:szCs w:val="20"/>
                <w:lang w:val="es-ES"/>
              </w:rPr>
              <w:t>financiados</w:t>
            </w:r>
            <w:r w:rsidRPr="009A27ED">
              <w:rPr>
                <w:rFonts w:asciiTheme="minorHAnsi" w:hAnsiTheme="minorHAnsi" w:cstheme="minorHAnsi"/>
                <w:spacing w:val="-18"/>
                <w:w w:val="95"/>
                <w:sz w:val="20"/>
                <w:szCs w:val="20"/>
                <w:lang w:val="es-ES"/>
              </w:rPr>
              <w:t xml:space="preserve"> </w:t>
            </w:r>
            <w:r w:rsidRPr="009A27ED">
              <w:rPr>
                <w:rFonts w:asciiTheme="minorHAnsi" w:hAnsiTheme="minorHAnsi" w:cstheme="minorHAnsi"/>
                <w:w w:val="95"/>
                <w:sz w:val="20"/>
                <w:szCs w:val="20"/>
                <w:lang w:val="es-ES"/>
              </w:rPr>
              <w:t>por</w:t>
            </w:r>
            <w:r w:rsidRPr="009A27ED">
              <w:rPr>
                <w:rFonts w:asciiTheme="minorHAnsi" w:hAnsiTheme="minorHAnsi" w:cstheme="minorHAnsi"/>
                <w:spacing w:val="-19"/>
                <w:w w:val="95"/>
                <w:sz w:val="20"/>
                <w:szCs w:val="20"/>
                <w:lang w:val="es-ES"/>
              </w:rPr>
              <w:t xml:space="preserve"> </w:t>
            </w:r>
            <w:r w:rsidRPr="009A27ED">
              <w:rPr>
                <w:rFonts w:asciiTheme="minorHAnsi" w:hAnsiTheme="minorHAnsi" w:cstheme="minorHAnsi"/>
                <w:w w:val="95"/>
                <w:sz w:val="20"/>
                <w:szCs w:val="20"/>
                <w:lang w:val="es-ES"/>
              </w:rPr>
              <w:t>el</w:t>
            </w:r>
            <w:r w:rsidRPr="009A27ED">
              <w:rPr>
                <w:rFonts w:asciiTheme="minorHAnsi" w:hAnsiTheme="minorHAnsi" w:cstheme="minorHAnsi"/>
                <w:spacing w:val="-17"/>
                <w:w w:val="95"/>
                <w:sz w:val="20"/>
                <w:szCs w:val="20"/>
                <w:lang w:val="es-ES"/>
              </w:rPr>
              <w:t xml:space="preserve"> </w:t>
            </w:r>
            <w:r w:rsidRPr="009A27ED">
              <w:rPr>
                <w:rFonts w:asciiTheme="minorHAnsi" w:hAnsiTheme="minorHAnsi" w:cstheme="minorHAnsi"/>
                <w:w w:val="95"/>
                <w:sz w:val="20"/>
                <w:szCs w:val="20"/>
                <w:lang w:val="es-ES"/>
              </w:rPr>
              <w:t>Banco</w:t>
            </w:r>
            <w:r w:rsidRPr="009A27ED">
              <w:rPr>
                <w:rFonts w:asciiTheme="minorHAnsi" w:hAnsiTheme="minorHAnsi" w:cstheme="minorHAnsi"/>
                <w:spacing w:val="-19"/>
                <w:w w:val="95"/>
                <w:sz w:val="20"/>
                <w:szCs w:val="20"/>
                <w:lang w:val="es-ES"/>
              </w:rPr>
              <w:t xml:space="preserve"> </w:t>
            </w:r>
            <w:r w:rsidRPr="009A27ED">
              <w:rPr>
                <w:rFonts w:asciiTheme="minorHAnsi" w:hAnsiTheme="minorHAnsi" w:cstheme="minorHAnsi"/>
                <w:w w:val="95"/>
                <w:sz w:val="20"/>
                <w:szCs w:val="20"/>
                <w:lang w:val="es-ES"/>
              </w:rPr>
              <w:t>y</w:t>
            </w:r>
            <w:r w:rsidRPr="009A27ED">
              <w:rPr>
                <w:rFonts w:asciiTheme="minorHAnsi" w:hAnsiTheme="minorHAnsi" w:cstheme="minorHAnsi"/>
                <w:spacing w:val="-17"/>
                <w:w w:val="95"/>
                <w:sz w:val="20"/>
                <w:szCs w:val="20"/>
                <w:lang w:val="es-ES"/>
              </w:rPr>
              <w:t xml:space="preserve"> </w:t>
            </w:r>
            <w:r w:rsidRPr="009A27ED">
              <w:rPr>
                <w:rFonts w:asciiTheme="minorHAnsi" w:hAnsiTheme="minorHAnsi" w:cstheme="minorHAnsi"/>
                <w:w w:val="95"/>
                <w:sz w:val="20"/>
                <w:szCs w:val="20"/>
                <w:lang w:val="es-ES"/>
              </w:rPr>
              <w:t>causados</w:t>
            </w:r>
            <w:r w:rsidRPr="009A27ED">
              <w:rPr>
                <w:rFonts w:asciiTheme="minorHAnsi" w:hAnsiTheme="minorHAnsi" w:cstheme="minorHAnsi"/>
                <w:spacing w:val="-17"/>
                <w:w w:val="95"/>
                <w:sz w:val="20"/>
                <w:szCs w:val="20"/>
                <w:lang w:val="es-ES"/>
              </w:rPr>
              <w:t xml:space="preserve"> </w:t>
            </w:r>
            <w:r w:rsidRPr="009A27ED">
              <w:rPr>
                <w:rFonts w:asciiTheme="minorHAnsi" w:hAnsiTheme="minorHAnsi" w:cstheme="minorHAnsi"/>
                <w:w w:val="95"/>
                <w:sz w:val="20"/>
                <w:szCs w:val="20"/>
                <w:lang w:val="es-ES"/>
              </w:rPr>
              <w:t>por</w:t>
            </w:r>
            <w:r w:rsidRPr="009A27ED">
              <w:rPr>
                <w:rFonts w:asciiTheme="minorHAnsi" w:hAnsiTheme="minorHAnsi" w:cstheme="minorHAnsi"/>
                <w:spacing w:val="-18"/>
                <w:w w:val="95"/>
                <w:sz w:val="20"/>
                <w:szCs w:val="20"/>
                <w:lang w:val="es-ES"/>
              </w:rPr>
              <w:t xml:space="preserve"> </w:t>
            </w:r>
            <w:r w:rsidRPr="009A27ED">
              <w:rPr>
                <w:rFonts w:asciiTheme="minorHAnsi" w:hAnsiTheme="minorHAnsi" w:cstheme="minorHAnsi"/>
                <w:w w:val="95"/>
                <w:sz w:val="20"/>
                <w:szCs w:val="20"/>
                <w:lang w:val="es-ES"/>
              </w:rPr>
              <w:t>i)</w:t>
            </w:r>
            <w:r w:rsidRPr="009A27ED">
              <w:rPr>
                <w:rFonts w:asciiTheme="minorHAnsi" w:hAnsiTheme="minorHAnsi" w:cstheme="minorHAnsi"/>
                <w:spacing w:val="-17"/>
                <w:w w:val="95"/>
                <w:sz w:val="20"/>
                <w:szCs w:val="20"/>
                <w:lang w:val="es-ES"/>
              </w:rPr>
              <w:t xml:space="preserve"> </w:t>
            </w:r>
            <w:r w:rsidRPr="009A27ED">
              <w:rPr>
                <w:rFonts w:asciiTheme="minorHAnsi" w:hAnsiTheme="minorHAnsi" w:cstheme="minorHAnsi"/>
                <w:w w:val="95"/>
                <w:sz w:val="20"/>
                <w:szCs w:val="20"/>
                <w:lang w:val="es-ES"/>
              </w:rPr>
              <w:t xml:space="preserve">La </w:t>
            </w:r>
            <w:r w:rsidRPr="009A27ED">
              <w:rPr>
                <w:rFonts w:asciiTheme="minorHAnsi" w:hAnsiTheme="minorHAnsi" w:cstheme="minorHAnsi"/>
                <w:sz w:val="20"/>
                <w:szCs w:val="20"/>
                <w:lang w:val="es-ES"/>
              </w:rPr>
              <w:t>privación</w:t>
            </w:r>
            <w:r w:rsidRPr="009A27ED">
              <w:rPr>
                <w:rFonts w:asciiTheme="minorHAnsi" w:hAnsiTheme="minorHAnsi" w:cstheme="minorHAnsi"/>
                <w:spacing w:val="-38"/>
                <w:sz w:val="20"/>
                <w:szCs w:val="20"/>
                <w:lang w:val="es-ES"/>
              </w:rPr>
              <w:t xml:space="preserve"> </w:t>
            </w:r>
            <w:r w:rsidRPr="009A27ED">
              <w:rPr>
                <w:rFonts w:asciiTheme="minorHAnsi" w:hAnsiTheme="minorHAnsi" w:cstheme="minorHAnsi"/>
                <w:sz w:val="20"/>
                <w:szCs w:val="20"/>
                <w:lang w:val="es-ES"/>
              </w:rPr>
              <w:t>involuntaria</w:t>
            </w:r>
            <w:r w:rsidRPr="009A27ED">
              <w:rPr>
                <w:rFonts w:asciiTheme="minorHAnsi" w:hAnsiTheme="minorHAnsi" w:cstheme="minorHAnsi"/>
                <w:spacing w:val="-37"/>
                <w:sz w:val="20"/>
                <w:szCs w:val="20"/>
                <w:lang w:val="es-ES"/>
              </w:rPr>
              <w:t xml:space="preserve"> </w:t>
            </w:r>
            <w:r w:rsidRPr="009A27ED">
              <w:rPr>
                <w:rFonts w:asciiTheme="minorHAnsi" w:hAnsiTheme="minorHAnsi" w:cstheme="minorHAnsi"/>
                <w:sz w:val="20"/>
                <w:szCs w:val="20"/>
                <w:lang w:val="es-ES"/>
              </w:rPr>
              <w:t>de</w:t>
            </w:r>
            <w:r w:rsidRPr="009A27ED">
              <w:rPr>
                <w:rFonts w:asciiTheme="minorHAnsi" w:hAnsiTheme="minorHAnsi" w:cstheme="minorHAnsi"/>
                <w:spacing w:val="-37"/>
                <w:sz w:val="20"/>
                <w:szCs w:val="20"/>
                <w:lang w:val="es-ES"/>
              </w:rPr>
              <w:t xml:space="preserve"> </w:t>
            </w:r>
            <w:r w:rsidRPr="009A27ED">
              <w:rPr>
                <w:rFonts w:asciiTheme="minorHAnsi" w:hAnsiTheme="minorHAnsi" w:cstheme="minorHAnsi"/>
                <w:sz w:val="20"/>
                <w:szCs w:val="20"/>
                <w:lang w:val="es-ES"/>
              </w:rPr>
              <w:t>tierras,</w:t>
            </w:r>
            <w:r w:rsidRPr="009A27ED">
              <w:rPr>
                <w:rFonts w:asciiTheme="minorHAnsi" w:hAnsiTheme="minorHAnsi" w:cstheme="minorHAnsi"/>
                <w:spacing w:val="-37"/>
                <w:sz w:val="20"/>
                <w:szCs w:val="20"/>
                <w:lang w:val="es-ES"/>
              </w:rPr>
              <w:t xml:space="preserve"> </w:t>
            </w:r>
            <w:r w:rsidRPr="009A27ED">
              <w:rPr>
                <w:rFonts w:asciiTheme="minorHAnsi" w:hAnsiTheme="minorHAnsi" w:cstheme="minorHAnsi"/>
                <w:sz w:val="20"/>
                <w:szCs w:val="20"/>
                <w:lang w:val="es-ES"/>
              </w:rPr>
              <w:t>que</w:t>
            </w:r>
            <w:r w:rsidRPr="009A27ED">
              <w:rPr>
                <w:rFonts w:asciiTheme="minorHAnsi" w:hAnsiTheme="minorHAnsi" w:cstheme="minorHAnsi"/>
                <w:spacing w:val="-37"/>
                <w:sz w:val="20"/>
                <w:szCs w:val="20"/>
                <w:lang w:val="es-ES"/>
              </w:rPr>
              <w:t xml:space="preserve"> </w:t>
            </w:r>
            <w:r w:rsidRPr="009A27ED">
              <w:rPr>
                <w:rFonts w:asciiTheme="minorHAnsi" w:hAnsiTheme="minorHAnsi" w:cstheme="minorHAnsi"/>
                <w:sz w:val="20"/>
                <w:szCs w:val="20"/>
                <w:lang w:val="es-ES"/>
              </w:rPr>
              <w:t>da</w:t>
            </w:r>
            <w:r w:rsidRPr="009A27ED">
              <w:rPr>
                <w:rFonts w:asciiTheme="minorHAnsi" w:hAnsiTheme="minorHAnsi" w:cstheme="minorHAnsi"/>
                <w:spacing w:val="-37"/>
                <w:sz w:val="20"/>
                <w:szCs w:val="20"/>
                <w:lang w:val="es-ES"/>
              </w:rPr>
              <w:t xml:space="preserve"> </w:t>
            </w:r>
            <w:r w:rsidRPr="009A27ED">
              <w:rPr>
                <w:rFonts w:asciiTheme="minorHAnsi" w:hAnsiTheme="minorHAnsi" w:cstheme="minorHAnsi"/>
                <w:sz w:val="20"/>
                <w:szCs w:val="20"/>
                <w:lang w:val="es-ES"/>
              </w:rPr>
              <w:t>por</w:t>
            </w:r>
            <w:r w:rsidRPr="009A27ED">
              <w:rPr>
                <w:rFonts w:asciiTheme="minorHAnsi" w:hAnsiTheme="minorHAnsi" w:cstheme="minorHAnsi"/>
                <w:spacing w:val="-37"/>
                <w:sz w:val="20"/>
                <w:szCs w:val="20"/>
                <w:lang w:val="es-ES"/>
              </w:rPr>
              <w:t xml:space="preserve"> </w:t>
            </w:r>
            <w:r w:rsidRPr="009A27ED">
              <w:rPr>
                <w:rFonts w:asciiTheme="minorHAnsi" w:hAnsiTheme="minorHAnsi" w:cstheme="minorHAnsi"/>
                <w:sz w:val="20"/>
                <w:szCs w:val="20"/>
                <w:lang w:val="es-ES"/>
              </w:rPr>
              <w:t>resultado</w:t>
            </w:r>
            <w:r w:rsidRPr="009A27ED">
              <w:rPr>
                <w:rFonts w:asciiTheme="minorHAnsi" w:hAnsiTheme="minorHAnsi" w:cstheme="minorHAnsi"/>
                <w:spacing w:val="-36"/>
                <w:sz w:val="20"/>
                <w:szCs w:val="20"/>
                <w:lang w:val="es-ES"/>
              </w:rPr>
              <w:t xml:space="preserve"> </w:t>
            </w:r>
            <w:r w:rsidRPr="009A27ED">
              <w:rPr>
                <w:rFonts w:asciiTheme="minorHAnsi" w:hAnsiTheme="minorHAnsi" w:cstheme="minorHAnsi"/>
                <w:sz w:val="20"/>
                <w:szCs w:val="20"/>
                <w:lang w:val="es-ES"/>
              </w:rPr>
              <w:t>i.1)</w:t>
            </w:r>
            <w:r w:rsidRPr="009A27ED">
              <w:rPr>
                <w:rFonts w:asciiTheme="minorHAnsi" w:hAnsiTheme="minorHAnsi" w:cstheme="minorHAnsi"/>
                <w:spacing w:val="-37"/>
                <w:sz w:val="20"/>
                <w:szCs w:val="20"/>
                <w:lang w:val="es-ES"/>
              </w:rPr>
              <w:t xml:space="preserve"> </w:t>
            </w:r>
            <w:r w:rsidRPr="009A27ED">
              <w:rPr>
                <w:rFonts w:asciiTheme="minorHAnsi" w:hAnsiTheme="minorHAnsi" w:cstheme="minorHAnsi"/>
                <w:sz w:val="20"/>
                <w:szCs w:val="20"/>
                <w:lang w:val="es-ES"/>
              </w:rPr>
              <w:t>El</w:t>
            </w:r>
            <w:r w:rsidRPr="009A27ED">
              <w:rPr>
                <w:rFonts w:asciiTheme="minorHAnsi" w:hAnsiTheme="minorHAnsi" w:cstheme="minorHAnsi"/>
                <w:spacing w:val="-37"/>
                <w:sz w:val="20"/>
                <w:szCs w:val="20"/>
                <w:lang w:val="es-ES"/>
              </w:rPr>
              <w:t xml:space="preserve"> </w:t>
            </w:r>
            <w:r w:rsidRPr="009A27ED">
              <w:rPr>
                <w:rFonts w:asciiTheme="minorHAnsi" w:hAnsiTheme="minorHAnsi" w:cstheme="minorHAnsi"/>
                <w:sz w:val="20"/>
                <w:szCs w:val="20"/>
                <w:lang w:val="es-ES"/>
              </w:rPr>
              <w:t>desplazamiento</w:t>
            </w:r>
            <w:r w:rsidRPr="009A27ED">
              <w:rPr>
                <w:rFonts w:asciiTheme="minorHAnsi" w:hAnsiTheme="minorHAnsi" w:cstheme="minorHAnsi"/>
                <w:spacing w:val="-37"/>
                <w:sz w:val="20"/>
                <w:szCs w:val="20"/>
                <w:lang w:val="es-ES"/>
              </w:rPr>
              <w:t xml:space="preserve"> </w:t>
            </w:r>
            <w:r w:rsidRPr="009A27ED">
              <w:rPr>
                <w:rFonts w:asciiTheme="minorHAnsi" w:hAnsiTheme="minorHAnsi" w:cstheme="minorHAnsi"/>
                <w:sz w:val="20"/>
                <w:szCs w:val="20"/>
                <w:lang w:val="es-ES"/>
              </w:rPr>
              <w:t>o</w:t>
            </w:r>
            <w:r w:rsidRPr="009A27ED">
              <w:rPr>
                <w:rFonts w:asciiTheme="minorHAnsi" w:hAnsiTheme="minorHAnsi" w:cstheme="minorHAnsi"/>
                <w:spacing w:val="-36"/>
                <w:sz w:val="20"/>
                <w:szCs w:val="20"/>
                <w:lang w:val="es-ES"/>
              </w:rPr>
              <w:t xml:space="preserve"> </w:t>
            </w:r>
            <w:r w:rsidRPr="009A27ED">
              <w:rPr>
                <w:rFonts w:asciiTheme="minorHAnsi" w:hAnsiTheme="minorHAnsi" w:cstheme="minorHAnsi"/>
                <w:sz w:val="20"/>
                <w:szCs w:val="20"/>
                <w:lang w:val="es-ES"/>
              </w:rPr>
              <w:t>la</w:t>
            </w:r>
            <w:r w:rsidRPr="009A27ED">
              <w:rPr>
                <w:rFonts w:asciiTheme="minorHAnsi" w:hAnsiTheme="minorHAnsi" w:cstheme="minorHAnsi"/>
                <w:spacing w:val="-38"/>
                <w:sz w:val="20"/>
                <w:szCs w:val="20"/>
                <w:lang w:val="es-ES"/>
              </w:rPr>
              <w:t xml:space="preserve"> </w:t>
            </w:r>
            <w:r w:rsidRPr="009A27ED">
              <w:rPr>
                <w:rFonts w:asciiTheme="minorHAnsi" w:hAnsiTheme="minorHAnsi" w:cstheme="minorHAnsi"/>
                <w:sz w:val="20"/>
                <w:szCs w:val="20"/>
                <w:lang w:val="es-ES"/>
              </w:rPr>
              <w:t>perdida</w:t>
            </w:r>
            <w:r w:rsidRPr="009A27ED">
              <w:rPr>
                <w:rFonts w:asciiTheme="minorHAnsi" w:hAnsiTheme="minorHAnsi" w:cstheme="minorHAnsi"/>
                <w:spacing w:val="-37"/>
                <w:sz w:val="20"/>
                <w:szCs w:val="20"/>
                <w:lang w:val="es-ES"/>
              </w:rPr>
              <w:t xml:space="preserve"> </w:t>
            </w:r>
            <w:r w:rsidRPr="009A27ED">
              <w:rPr>
                <w:rFonts w:asciiTheme="minorHAnsi" w:hAnsiTheme="minorHAnsi" w:cstheme="minorHAnsi"/>
                <w:sz w:val="20"/>
                <w:szCs w:val="20"/>
                <w:lang w:val="es-ES"/>
              </w:rPr>
              <w:t>de</w:t>
            </w:r>
            <w:r w:rsidRPr="009A27ED">
              <w:rPr>
                <w:rFonts w:asciiTheme="minorHAnsi" w:hAnsiTheme="minorHAnsi" w:cstheme="minorHAnsi"/>
                <w:spacing w:val="-36"/>
                <w:sz w:val="20"/>
                <w:szCs w:val="20"/>
                <w:lang w:val="es-ES"/>
              </w:rPr>
              <w:t xml:space="preserve"> </w:t>
            </w:r>
            <w:r w:rsidRPr="009A27ED">
              <w:rPr>
                <w:rFonts w:asciiTheme="minorHAnsi" w:hAnsiTheme="minorHAnsi" w:cstheme="minorHAnsi"/>
                <w:sz w:val="20"/>
                <w:szCs w:val="20"/>
                <w:lang w:val="es-ES"/>
              </w:rPr>
              <w:t xml:space="preserve">la </w:t>
            </w:r>
            <w:r w:rsidRPr="009A27ED">
              <w:rPr>
                <w:rFonts w:asciiTheme="minorHAnsi" w:hAnsiTheme="minorHAnsi" w:cstheme="minorHAnsi"/>
                <w:w w:val="95"/>
                <w:sz w:val="20"/>
                <w:szCs w:val="20"/>
                <w:lang w:val="es-ES"/>
              </w:rPr>
              <w:t>vivienda;</w:t>
            </w:r>
            <w:r w:rsidRPr="009A27ED">
              <w:rPr>
                <w:rFonts w:asciiTheme="minorHAnsi" w:hAnsiTheme="minorHAnsi" w:cstheme="minorHAnsi"/>
                <w:spacing w:val="-19"/>
                <w:w w:val="95"/>
                <w:sz w:val="20"/>
                <w:szCs w:val="20"/>
                <w:lang w:val="es-ES"/>
              </w:rPr>
              <w:t xml:space="preserve"> </w:t>
            </w:r>
            <w:r w:rsidRPr="009A27ED">
              <w:rPr>
                <w:rFonts w:asciiTheme="minorHAnsi" w:hAnsiTheme="minorHAnsi" w:cstheme="minorHAnsi"/>
                <w:w w:val="95"/>
                <w:sz w:val="20"/>
                <w:szCs w:val="20"/>
                <w:lang w:val="es-ES"/>
              </w:rPr>
              <w:t>i.2)</w:t>
            </w:r>
            <w:r w:rsidRPr="009A27ED">
              <w:rPr>
                <w:rFonts w:asciiTheme="minorHAnsi" w:hAnsiTheme="minorHAnsi" w:cstheme="minorHAnsi"/>
                <w:spacing w:val="-20"/>
                <w:w w:val="95"/>
                <w:sz w:val="20"/>
                <w:szCs w:val="20"/>
                <w:lang w:val="es-ES"/>
              </w:rPr>
              <w:t xml:space="preserve"> </w:t>
            </w:r>
            <w:r w:rsidRPr="009A27ED">
              <w:rPr>
                <w:rFonts w:asciiTheme="minorHAnsi" w:hAnsiTheme="minorHAnsi" w:cstheme="minorHAnsi"/>
                <w:w w:val="95"/>
                <w:sz w:val="20"/>
                <w:szCs w:val="20"/>
                <w:lang w:val="es-ES"/>
              </w:rPr>
              <w:t>La</w:t>
            </w:r>
            <w:r w:rsidRPr="009A27ED">
              <w:rPr>
                <w:rFonts w:asciiTheme="minorHAnsi" w:hAnsiTheme="minorHAnsi" w:cstheme="minorHAnsi"/>
                <w:spacing w:val="-19"/>
                <w:w w:val="95"/>
                <w:sz w:val="20"/>
                <w:szCs w:val="20"/>
                <w:lang w:val="es-ES"/>
              </w:rPr>
              <w:t xml:space="preserve"> </w:t>
            </w:r>
            <w:r w:rsidRPr="009A27ED">
              <w:rPr>
                <w:rFonts w:asciiTheme="minorHAnsi" w:hAnsiTheme="minorHAnsi" w:cstheme="minorHAnsi"/>
                <w:w w:val="95"/>
                <w:sz w:val="20"/>
                <w:szCs w:val="20"/>
                <w:lang w:val="es-ES"/>
              </w:rPr>
              <w:t>pérdida</w:t>
            </w:r>
            <w:r w:rsidRPr="009A27ED">
              <w:rPr>
                <w:rFonts w:asciiTheme="minorHAnsi" w:hAnsiTheme="minorHAnsi" w:cstheme="minorHAnsi"/>
                <w:spacing w:val="-19"/>
                <w:w w:val="95"/>
                <w:sz w:val="20"/>
                <w:szCs w:val="20"/>
                <w:lang w:val="es-ES"/>
              </w:rPr>
              <w:t xml:space="preserve"> </w:t>
            </w:r>
            <w:r w:rsidRPr="009A27ED">
              <w:rPr>
                <w:rFonts w:asciiTheme="minorHAnsi" w:hAnsiTheme="minorHAnsi" w:cstheme="minorHAnsi"/>
                <w:w w:val="95"/>
                <w:sz w:val="20"/>
                <w:szCs w:val="20"/>
                <w:lang w:val="es-ES"/>
              </w:rPr>
              <w:t>de</w:t>
            </w:r>
            <w:r w:rsidRPr="009A27ED">
              <w:rPr>
                <w:rFonts w:asciiTheme="minorHAnsi" w:hAnsiTheme="minorHAnsi" w:cstheme="minorHAnsi"/>
                <w:spacing w:val="-20"/>
                <w:w w:val="95"/>
                <w:sz w:val="20"/>
                <w:szCs w:val="20"/>
                <w:lang w:val="es-ES"/>
              </w:rPr>
              <w:t xml:space="preserve"> </w:t>
            </w:r>
            <w:r w:rsidRPr="009A27ED">
              <w:rPr>
                <w:rFonts w:asciiTheme="minorHAnsi" w:hAnsiTheme="minorHAnsi" w:cstheme="minorHAnsi"/>
                <w:w w:val="95"/>
                <w:sz w:val="20"/>
                <w:szCs w:val="20"/>
                <w:lang w:val="es-ES"/>
              </w:rPr>
              <w:t>los</w:t>
            </w:r>
            <w:r w:rsidRPr="009A27ED">
              <w:rPr>
                <w:rFonts w:asciiTheme="minorHAnsi" w:hAnsiTheme="minorHAnsi" w:cstheme="minorHAnsi"/>
                <w:spacing w:val="-21"/>
                <w:w w:val="95"/>
                <w:sz w:val="20"/>
                <w:szCs w:val="20"/>
                <w:lang w:val="es-ES"/>
              </w:rPr>
              <w:t xml:space="preserve"> </w:t>
            </w:r>
            <w:r w:rsidRPr="009A27ED">
              <w:rPr>
                <w:rFonts w:asciiTheme="minorHAnsi" w:hAnsiTheme="minorHAnsi" w:cstheme="minorHAnsi"/>
                <w:w w:val="95"/>
                <w:sz w:val="20"/>
                <w:szCs w:val="20"/>
                <w:lang w:val="es-ES"/>
              </w:rPr>
              <w:t>activos</w:t>
            </w:r>
            <w:r w:rsidRPr="009A27ED">
              <w:rPr>
                <w:rFonts w:asciiTheme="minorHAnsi" w:hAnsiTheme="minorHAnsi" w:cstheme="minorHAnsi"/>
                <w:spacing w:val="-21"/>
                <w:w w:val="95"/>
                <w:sz w:val="20"/>
                <w:szCs w:val="20"/>
                <w:lang w:val="es-ES"/>
              </w:rPr>
              <w:t xml:space="preserve"> </w:t>
            </w:r>
            <w:r w:rsidRPr="009A27ED">
              <w:rPr>
                <w:rFonts w:asciiTheme="minorHAnsi" w:hAnsiTheme="minorHAnsi" w:cstheme="minorHAnsi"/>
                <w:w w:val="95"/>
                <w:sz w:val="20"/>
                <w:szCs w:val="20"/>
                <w:lang w:val="es-ES"/>
              </w:rPr>
              <w:t>o</w:t>
            </w:r>
            <w:r w:rsidRPr="009A27ED">
              <w:rPr>
                <w:rFonts w:asciiTheme="minorHAnsi" w:hAnsiTheme="minorHAnsi" w:cstheme="minorHAnsi"/>
                <w:spacing w:val="-18"/>
                <w:w w:val="95"/>
                <w:sz w:val="20"/>
                <w:szCs w:val="20"/>
                <w:lang w:val="es-ES"/>
              </w:rPr>
              <w:t xml:space="preserve"> </w:t>
            </w:r>
            <w:r w:rsidRPr="009A27ED">
              <w:rPr>
                <w:rFonts w:asciiTheme="minorHAnsi" w:hAnsiTheme="minorHAnsi" w:cstheme="minorHAnsi"/>
                <w:w w:val="95"/>
                <w:sz w:val="20"/>
                <w:szCs w:val="20"/>
                <w:lang w:val="es-ES"/>
              </w:rPr>
              <w:t>del</w:t>
            </w:r>
            <w:r w:rsidRPr="009A27ED">
              <w:rPr>
                <w:rFonts w:asciiTheme="minorHAnsi" w:hAnsiTheme="minorHAnsi" w:cstheme="minorHAnsi"/>
                <w:spacing w:val="-19"/>
                <w:w w:val="95"/>
                <w:sz w:val="20"/>
                <w:szCs w:val="20"/>
                <w:lang w:val="es-ES"/>
              </w:rPr>
              <w:t xml:space="preserve"> </w:t>
            </w:r>
            <w:r w:rsidRPr="009A27ED">
              <w:rPr>
                <w:rFonts w:asciiTheme="minorHAnsi" w:hAnsiTheme="minorHAnsi" w:cstheme="minorHAnsi"/>
                <w:w w:val="95"/>
                <w:sz w:val="20"/>
                <w:szCs w:val="20"/>
                <w:lang w:val="es-ES"/>
              </w:rPr>
              <w:t>acceso</w:t>
            </w:r>
            <w:r w:rsidRPr="009A27ED">
              <w:rPr>
                <w:rFonts w:asciiTheme="minorHAnsi" w:hAnsiTheme="minorHAnsi" w:cstheme="minorHAnsi"/>
                <w:spacing w:val="-18"/>
                <w:w w:val="95"/>
                <w:sz w:val="20"/>
                <w:szCs w:val="20"/>
                <w:lang w:val="es-ES"/>
              </w:rPr>
              <w:t xml:space="preserve"> </w:t>
            </w:r>
            <w:r w:rsidRPr="009A27ED">
              <w:rPr>
                <w:rFonts w:asciiTheme="minorHAnsi" w:hAnsiTheme="minorHAnsi" w:cstheme="minorHAnsi"/>
                <w:w w:val="95"/>
                <w:sz w:val="20"/>
                <w:szCs w:val="20"/>
                <w:lang w:val="es-ES"/>
              </w:rPr>
              <w:t>a</w:t>
            </w:r>
            <w:r w:rsidRPr="009A27ED">
              <w:rPr>
                <w:rFonts w:asciiTheme="minorHAnsi" w:hAnsiTheme="minorHAnsi" w:cstheme="minorHAnsi"/>
                <w:spacing w:val="-21"/>
                <w:w w:val="95"/>
                <w:sz w:val="20"/>
                <w:szCs w:val="20"/>
                <w:lang w:val="es-ES"/>
              </w:rPr>
              <w:t xml:space="preserve"> </w:t>
            </w:r>
            <w:r w:rsidRPr="009A27ED">
              <w:rPr>
                <w:rFonts w:asciiTheme="minorHAnsi" w:hAnsiTheme="minorHAnsi" w:cstheme="minorHAnsi"/>
                <w:w w:val="95"/>
                <w:sz w:val="20"/>
                <w:szCs w:val="20"/>
                <w:lang w:val="es-ES"/>
              </w:rPr>
              <w:t>los</w:t>
            </w:r>
            <w:r w:rsidRPr="009A27ED">
              <w:rPr>
                <w:rFonts w:asciiTheme="minorHAnsi" w:hAnsiTheme="minorHAnsi" w:cstheme="minorHAnsi"/>
                <w:spacing w:val="-18"/>
                <w:w w:val="95"/>
                <w:sz w:val="20"/>
                <w:szCs w:val="20"/>
                <w:lang w:val="es-ES"/>
              </w:rPr>
              <w:t xml:space="preserve"> </w:t>
            </w:r>
            <w:r w:rsidRPr="009A27ED">
              <w:rPr>
                <w:rFonts w:asciiTheme="minorHAnsi" w:hAnsiTheme="minorHAnsi" w:cstheme="minorHAnsi"/>
                <w:w w:val="95"/>
                <w:sz w:val="20"/>
                <w:szCs w:val="20"/>
                <w:lang w:val="es-ES"/>
              </w:rPr>
              <w:t>activos,</w:t>
            </w:r>
            <w:r w:rsidRPr="009A27ED">
              <w:rPr>
                <w:rFonts w:asciiTheme="minorHAnsi" w:hAnsiTheme="minorHAnsi" w:cstheme="minorHAnsi"/>
                <w:spacing w:val="-23"/>
                <w:w w:val="95"/>
                <w:sz w:val="20"/>
                <w:szCs w:val="20"/>
                <w:lang w:val="es-ES"/>
              </w:rPr>
              <w:t xml:space="preserve"> </w:t>
            </w:r>
            <w:r w:rsidRPr="009A27ED">
              <w:rPr>
                <w:rFonts w:asciiTheme="minorHAnsi" w:hAnsiTheme="minorHAnsi" w:cstheme="minorHAnsi"/>
                <w:w w:val="95"/>
                <w:sz w:val="20"/>
                <w:szCs w:val="20"/>
                <w:lang w:val="es-ES"/>
              </w:rPr>
              <w:t>o</w:t>
            </w:r>
            <w:r w:rsidRPr="009A27ED">
              <w:rPr>
                <w:rFonts w:asciiTheme="minorHAnsi" w:hAnsiTheme="minorHAnsi" w:cstheme="minorHAnsi"/>
                <w:spacing w:val="-18"/>
                <w:w w:val="95"/>
                <w:sz w:val="20"/>
                <w:szCs w:val="20"/>
                <w:lang w:val="es-ES"/>
              </w:rPr>
              <w:t xml:space="preserve"> </w:t>
            </w:r>
            <w:r w:rsidRPr="009A27ED">
              <w:rPr>
                <w:rFonts w:asciiTheme="minorHAnsi" w:hAnsiTheme="minorHAnsi" w:cstheme="minorHAnsi"/>
                <w:w w:val="95"/>
                <w:sz w:val="20"/>
                <w:szCs w:val="20"/>
                <w:lang w:val="es-ES"/>
              </w:rPr>
              <w:t>i.3)</w:t>
            </w:r>
            <w:r w:rsidRPr="009A27ED">
              <w:rPr>
                <w:rFonts w:asciiTheme="minorHAnsi" w:hAnsiTheme="minorHAnsi" w:cstheme="minorHAnsi"/>
                <w:spacing w:val="-19"/>
                <w:w w:val="95"/>
                <w:sz w:val="20"/>
                <w:szCs w:val="20"/>
                <w:lang w:val="es-ES"/>
              </w:rPr>
              <w:t xml:space="preserve"> </w:t>
            </w:r>
            <w:r w:rsidRPr="009A27ED">
              <w:rPr>
                <w:rFonts w:asciiTheme="minorHAnsi" w:hAnsiTheme="minorHAnsi" w:cstheme="minorHAnsi"/>
                <w:w w:val="95"/>
                <w:sz w:val="20"/>
                <w:szCs w:val="20"/>
                <w:lang w:val="es-ES"/>
              </w:rPr>
              <w:t>La</w:t>
            </w:r>
            <w:r w:rsidRPr="009A27ED">
              <w:rPr>
                <w:rFonts w:asciiTheme="minorHAnsi" w:hAnsiTheme="minorHAnsi" w:cstheme="minorHAnsi"/>
                <w:spacing w:val="-18"/>
                <w:w w:val="95"/>
                <w:sz w:val="20"/>
                <w:szCs w:val="20"/>
                <w:lang w:val="es-ES"/>
              </w:rPr>
              <w:t xml:space="preserve"> </w:t>
            </w:r>
            <w:r w:rsidRPr="009A27ED">
              <w:rPr>
                <w:rFonts w:asciiTheme="minorHAnsi" w:hAnsiTheme="minorHAnsi" w:cstheme="minorHAnsi"/>
                <w:w w:val="95"/>
                <w:sz w:val="20"/>
                <w:szCs w:val="20"/>
                <w:lang w:val="es-ES"/>
              </w:rPr>
              <w:t>pérdida</w:t>
            </w:r>
            <w:r w:rsidRPr="009A27ED">
              <w:rPr>
                <w:rFonts w:asciiTheme="minorHAnsi" w:hAnsiTheme="minorHAnsi" w:cstheme="minorHAnsi"/>
                <w:spacing w:val="-21"/>
                <w:w w:val="95"/>
                <w:sz w:val="20"/>
                <w:szCs w:val="20"/>
                <w:lang w:val="es-ES"/>
              </w:rPr>
              <w:t xml:space="preserve"> </w:t>
            </w:r>
            <w:r w:rsidRPr="009A27ED">
              <w:rPr>
                <w:rFonts w:asciiTheme="minorHAnsi" w:hAnsiTheme="minorHAnsi" w:cstheme="minorHAnsi"/>
                <w:w w:val="95"/>
                <w:sz w:val="20"/>
                <w:szCs w:val="20"/>
                <w:lang w:val="es-ES"/>
              </w:rPr>
              <w:t>de</w:t>
            </w:r>
            <w:r w:rsidRPr="009A27ED">
              <w:rPr>
                <w:rFonts w:asciiTheme="minorHAnsi" w:hAnsiTheme="minorHAnsi" w:cstheme="minorHAnsi"/>
                <w:spacing w:val="-19"/>
                <w:w w:val="95"/>
                <w:sz w:val="20"/>
                <w:szCs w:val="20"/>
                <w:lang w:val="es-ES"/>
              </w:rPr>
              <w:t xml:space="preserve"> </w:t>
            </w:r>
            <w:r w:rsidRPr="009A27ED">
              <w:rPr>
                <w:rFonts w:asciiTheme="minorHAnsi" w:hAnsiTheme="minorHAnsi" w:cstheme="minorHAnsi"/>
                <w:w w:val="95"/>
                <w:sz w:val="20"/>
                <w:szCs w:val="20"/>
                <w:lang w:val="es-ES"/>
              </w:rPr>
              <w:t>las</w:t>
            </w:r>
            <w:r w:rsidRPr="009A27ED">
              <w:rPr>
                <w:rFonts w:asciiTheme="minorHAnsi" w:hAnsiTheme="minorHAnsi" w:cstheme="minorHAnsi"/>
                <w:spacing w:val="-21"/>
                <w:w w:val="95"/>
                <w:sz w:val="20"/>
                <w:szCs w:val="20"/>
                <w:lang w:val="es-ES"/>
              </w:rPr>
              <w:t xml:space="preserve"> </w:t>
            </w:r>
            <w:r w:rsidRPr="009A27ED">
              <w:rPr>
                <w:rFonts w:asciiTheme="minorHAnsi" w:hAnsiTheme="minorHAnsi" w:cstheme="minorHAnsi"/>
                <w:w w:val="95"/>
                <w:sz w:val="20"/>
                <w:szCs w:val="20"/>
                <w:lang w:val="es-ES"/>
              </w:rPr>
              <w:t>fuentes de</w:t>
            </w:r>
            <w:r w:rsidRPr="009A27ED">
              <w:rPr>
                <w:rFonts w:asciiTheme="minorHAnsi" w:hAnsiTheme="minorHAnsi" w:cstheme="minorHAnsi"/>
                <w:spacing w:val="-16"/>
                <w:w w:val="95"/>
                <w:sz w:val="20"/>
                <w:szCs w:val="20"/>
                <w:lang w:val="es-ES"/>
              </w:rPr>
              <w:t xml:space="preserve"> </w:t>
            </w:r>
            <w:r w:rsidRPr="009A27ED">
              <w:rPr>
                <w:rFonts w:asciiTheme="minorHAnsi" w:hAnsiTheme="minorHAnsi" w:cstheme="minorHAnsi"/>
                <w:w w:val="95"/>
                <w:sz w:val="20"/>
                <w:szCs w:val="20"/>
                <w:lang w:val="es-ES"/>
              </w:rPr>
              <w:t>ingresos</w:t>
            </w:r>
            <w:r w:rsidRPr="009A27ED">
              <w:rPr>
                <w:rFonts w:asciiTheme="minorHAnsi" w:hAnsiTheme="minorHAnsi" w:cstheme="minorHAnsi"/>
                <w:spacing w:val="-17"/>
                <w:w w:val="95"/>
                <w:sz w:val="20"/>
                <w:szCs w:val="20"/>
                <w:lang w:val="es-ES"/>
              </w:rPr>
              <w:t xml:space="preserve"> </w:t>
            </w:r>
            <w:r w:rsidRPr="009A27ED">
              <w:rPr>
                <w:rFonts w:asciiTheme="minorHAnsi" w:hAnsiTheme="minorHAnsi" w:cstheme="minorHAnsi"/>
                <w:w w:val="95"/>
                <w:sz w:val="20"/>
                <w:szCs w:val="20"/>
                <w:lang w:val="es-ES"/>
              </w:rPr>
              <w:t>o</w:t>
            </w:r>
            <w:r w:rsidRPr="009A27ED">
              <w:rPr>
                <w:rFonts w:asciiTheme="minorHAnsi" w:hAnsiTheme="minorHAnsi" w:cstheme="minorHAnsi"/>
                <w:spacing w:val="-15"/>
                <w:w w:val="95"/>
                <w:sz w:val="20"/>
                <w:szCs w:val="20"/>
                <w:lang w:val="es-ES"/>
              </w:rPr>
              <w:t xml:space="preserve"> </w:t>
            </w:r>
            <w:r w:rsidRPr="009A27ED">
              <w:rPr>
                <w:rFonts w:asciiTheme="minorHAnsi" w:hAnsiTheme="minorHAnsi" w:cstheme="minorHAnsi"/>
                <w:w w:val="95"/>
                <w:sz w:val="20"/>
                <w:szCs w:val="20"/>
                <w:lang w:val="es-ES"/>
              </w:rPr>
              <w:t>de</w:t>
            </w:r>
            <w:r w:rsidRPr="009A27ED">
              <w:rPr>
                <w:rFonts w:asciiTheme="minorHAnsi" w:hAnsiTheme="minorHAnsi" w:cstheme="minorHAnsi"/>
                <w:spacing w:val="-16"/>
                <w:w w:val="95"/>
                <w:sz w:val="20"/>
                <w:szCs w:val="20"/>
                <w:lang w:val="es-ES"/>
              </w:rPr>
              <w:t xml:space="preserve"> </w:t>
            </w:r>
            <w:r w:rsidRPr="009A27ED">
              <w:rPr>
                <w:rFonts w:asciiTheme="minorHAnsi" w:hAnsiTheme="minorHAnsi" w:cstheme="minorHAnsi"/>
                <w:w w:val="95"/>
                <w:sz w:val="20"/>
                <w:szCs w:val="20"/>
                <w:lang w:val="es-ES"/>
              </w:rPr>
              <w:t>los</w:t>
            </w:r>
            <w:r w:rsidRPr="009A27ED">
              <w:rPr>
                <w:rFonts w:asciiTheme="minorHAnsi" w:hAnsiTheme="minorHAnsi" w:cstheme="minorHAnsi"/>
                <w:spacing w:val="-17"/>
                <w:w w:val="95"/>
                <w:sz w:val="20"/>
                <w:szCs w:val="20"/>
                <w:lang w:val="es-ES"/>
              </w:rPr>
              <w:t xml:space="preserve"> </w:t>
            </w:r>
            <w:r w:rsidRPr="009A27ED">
              <w:rPr>
                <w:rFonts w:asciiTheme="minorHAnsi" w:hAnsiTheme="minorHAnsi" w:cstheme="minorHAnsi"/>
                <w:w w:val="95"/>
                <w:sz w:val="20"/>
                <w:szCs w:val="20"/>
                <w:lang w:val="es-ES"/>
              </w:rPr>
              <w:t>medios</w:t>
            </w:r>
            <w:r w:rsidRPr="009A27ED">
              <w:rPr>
                <w:rFonts w:asciiTheme="minorHAnsi" w:hAnsiTheme="minorHAnsi" w:cstheme="minorHAnsi"/>
                <w:spacing w:val="-16"/>
                <w:w w:val="95"/>
                <w:sz w:val="20"/>
                <w:szCs w:val="20"/>
                <w:lang w:val="es-ES"/>
              </w:rPr>
              <w:t xml:space="preserve"> </w:t>
            </w:r>
            <w:r w:rsidRPr="009A27ED">
              <w:rPr>
                <w:rFonts w:asciiTheme="minorHAnsi" w:hAnsiTheme="minorHAnsi" w:cstheme="minorHAnsi"/>
                <w:w w:val="95"/>
                <w:sz w:val="20"/>
                <w:szCs w:val="20"/>
                <w:lang w:val="es-ES"/>
              </w:rPr>
              <w:t>de</w:t>
            </w:r>
            <w:r w:rsidRPr="009A27ED">
              <w:rPr>
                <w:rFonts w:asciiTheme="minorHAnsi" w:hAnsiTheme="minorHAnsi" w:cstheme="minorHAnsi"/>
                <w:spacing w:val="-17"/>
                <w:w w:val="95"/>
                <w:sz w:val="20"/>
                <w:szCs w:val="20"/>
                <w:lang w:val="es-ES"/>
              </w:rPr>
              <w:t xml:space="preserve"> </w:t>
            </w:r>
            <w:r w:rsidRPr="009A27ED">
              <w:rPr>
                <w:rFonts w:asciiTheme="minorHAnsi" w:hAnsiTheme="minorHAnsi" w:cstheme="minorHAnsi"/>
                <w:w w:val="95"/>
                <w:sz w:val="20"/>
                <w:szCs w:val="20"/>
                <w:lang w:val="es-ES"/>
              </w:rPr>
              <w:t>subsistencia,</w:t>
            </w:r>
            <w:r w:rsidRPr="009A27ED">
              <w:rPr>
                <w:rFonts w:asciiTheme="minorHAnsi" w:hAnsiTheme="minorHAnsi" w:cstheme="minorHAnsi"/>
                <w:spacing w:val="-17"/>
                <w:w w:val="95"/>
                <w:sz w:val="20"/>
                <w:szCs w:val="20"/>
                <w:lang w:val="es-ES"/>
              </w:rPr>
              <w:t xml:space="preserve"> </w:t>
            </w:r>
            <w:r w:rsidRPr="009A27ED">
              <w:rPr>
                <w:rFonts w:asciiTheme="minorHAnsi" w:hAnsiTheme="minorHAnsi" w:cstheme="minorHAnsi"/>
                <w:w w:val="95"/>
                <w:sz w:val="20"/>
                <w:szCs w:val="20"/>
                <w:lang w:val="es-ES"/>
              </w:rPr>
              <w:t>ya</w:t>
            </w:r>
            <w:r w:rsidRPr="009A27ED">
              <w:rPr>
                <w:rFonts w:asciiTheme="minorHAnsi" w:hAnsiTheme="minorHAnsi" w:cstheme="minorHAnsi"/>
                <w:spacing w:val="-18"/>
                <w:w w:val="95"/>
                <w:sz w:val="20"/>
                <w:szCs w:val="20"/>
                <w:lang w:val="es-ES"/>
              </w:rPr>
              <w:t xml:space="preserve"> </w:t>
            </w:r>
            <w:r w:rsidRPr="009A27ED">
              <w:rPr>
                <w:rFonts w:asciiTheme="minorHAnsi" w:hAnsiTheme="minorHAnsi" w:cstheme="minorHAnsi"/>
                <w:w w:val="95"/>
                <w:sz w:val="20"/>
                <w:szCs w:val="20"/>
                <w:lang w:val="es-ES"/>
              </w:rPr>
              <w:t>sea</w:t>
            </w:r>
            <w:r w:rsidRPr="009A27ED">
              <w:rPr>
                <w:rFonts w:asciiTheme="minorHAnsi" w:hAnsiTheme="minorHAnsi" w:cstheme="minorHAnsi"/>
                <w:spacing w:val="-16"/>
                <w:w w:val="95"/>
                <w:sz w:val="20"/>
                <w:szCs w:val="20"/>
                <w:lang w:val="es-ES"/>
              </w:rPr>
              <w:t xml:space="preserve"> </w:t>
            </w:r>
            <w:r w:rsidRPr="009A27ED">
              <w:rPr>
                <w:rFonts w:asciiTheme="minorHAnsi" w:hAnsiTheme="minorHAnsi" w:cstheme="minorHAnsi"/>
                <w:w w:val="95"/>
                <w:sz w:val="20"/>
                <w:szCs w:val="20"/>
                <w:lang w:val="es-ES"/>
              </w:rPr>
              <w:t>que</w:t>
            </w:r>
            <w:r w:rsidRPr="009A27ED">
              <w:rPr>
                <w:rFonts w:asciiTheme="minorHAnsi" w:hAnsiTheme="minorHAnsi" w:cstheme="minorHAnsi"/>
                <w:spacing w:val="-16"/>
                <w:w w:val="95"/>
                <w:sz w:val="20"/>
                <w:szCs w:val="20"/>
                <w:lang w:val="es-ES"/>
              </w:rPr>
              <w:t xml:space="preserve"> </w:t>
            </w:r>
            <w:r w:rsidRPr="009A27ED">
              <w:rPr>
                <w:rFonts w:asciiTheme="minorHAnsi" w:hAnsiTheme="minorHAnsi" w:cstheme="minorHAnsi"/>
                <w:w w:val="95"/>
                <w:sz w:val="20"/>
                <w:szCs w:val="20"/>
                <w:lang w:val="es-ES"/>
              </w:rPr>
              <w:t>los</w:t>
            </w:r>
            <w:r w:rsidRPr="009A27ED">
              <w:rPr>
                <w:rFonts w:asciiTheme="minorHAnsi" w:hAnsiTheme="minorHAnsi" w:cstheme="minorHAnsi"/>
                <w:spacing w:val="-17"/>
                <w:w w:val="95"/>
                <w:sz w:val="20"/>
                <w:szCs w:val="20"/>
                <w:lang w:val="es-ES"/>
              </w:rPr>
              <w:t xml:space="preserve"> </w:t>
            </w:r>
            <w:r w:rsidRPr="009A27ED">
              <w:rPr>
                <w:rFonts w:asciiTheme="minorHAnsi" w:hAnsiTheme="minorHAnsi" w:cstheme="minorHAnsi"/>
                <w:w w:val="95"/>
                <w:sz w:val="20"/>
                <w:szCs w:val="20"/>
                <w:lang w:val="es-ES"/>
              </w:rPr>
              <w:t>afectados</w:t>
            </w:r>
            <w:r w:rsidRPr="009A27ED">
              <w:rPr>
                <w:rFonts w:asciiTheme="minorHAnsi" w:hAnsiTheme="minorHAnsi" w:cstheme="minorHAnsi"/>
                <w:spacing w:val="-16"/>
                <w:w w:val="95"/>
                <w:sz w:val="20"/>
                <w:szCs w:val="20"/>
                <w:lang w:val="es-ES"/>
              </w:rPr>
              <w:t xml:space="preserve"> </w:t>
            </w:r>
            <w:r w:rsidRPr="009A27ED">
              <w:rPr>
                <w:rFonts w:asciiTheme="minorHAnsi" w:hAnsiTheme="minorHAnsi" w:cstheme="minorHAnsi"/>
                <w:w w:val="95"/>
                <w:sz w:val="20"/>
                <w:szCs w:val="20"/>
                <w:lang w:val="es-ES"/>
              </w:rPr>
              <w:t>deban</w:t>
            </w:r>
            <w:r w:rsidRPr="009A27ED">
              <w:rPr>
                <w:rFonts w:asciiTheme="minorHAnsi" w:hAnsiTheme="minorHAnsi" w:cstheme="minorHAnsi"/>
                <w:spacing w:val="-18"/>
                <w:w w:val="95"/>
                <w:sz w:val="20"/>
                <w:szCs w:val="20"/>
                <w:lang w:val="es-ES"/>
              </w:rPr>
              <w:t xml:space="preserve"> </w:t>
            </w:r>
            <w:r w:rsidRPr="009A27ED">
              <w:rPr>
                <w:rFonts w:asciiTheme="minorHAnsi" w:hAnsiTheme="minorHAnsi" w:cstheme="minorHAnsi"/>
                <w:w w:val="95"/>
                <w:sz w:val="20"/>
                <w:szCs w:val="20"/>
                <w:lang w:val="es-ES"/>
              </w:rPr>
              <w:t>trasladarse</w:t>
            </w:r>
            <w:r w:rsidRPr="009A27ED">
              <w:rPr>
                <w:rFonts w:asciiTheme="minorHAnsi" w:hAnsiTheme="minorHAnsi" w:cstheme="minorHAnsi"/>
                <w:spacing w:val="-16"/>
                <w:w w:val="95"/>
                <w:sz w:val="20"/>
                <w:szCs w:val="20"/>
                <w:lang w:val="es-ES"/>
              </w:rPr>
              <w:t xml:space="preserve"> </w:t>
            </w:r>
            <w:r w:rsidRPr="009A27ED">
              <w:rPr>
                <w:rFonts w:asciiTheme="minorHAnsi" w:hAnsiTheme="minorHAnsi" w:cstheme="minorHAnsi"/>
                <w:w w:val="95"/>
                <w:sz w:val="20"/>
                <w:szCs w:val="20"/>
                <w:lang w:val="es-ES"/>
              </w:rPr>
              <w:t>a</w:t>
            </w:r>
            <w:r w:rsidRPr="009A27ED">
              <w:rPr>
                <w:rFonts w:asciiTheme="minorHAnsi" w:hAnsiTheme="minorHAnsi" w:cstheme="minorHAnsi"/>
                <w:spacing w:val="-18"/>
                <w:w w:val="95"/>
                <w:sz w:val="20"/>
                <w:szCs w:val="20"/>
                <w:lang w:val="es-ES"/>
              </w:rPr>
              <w:t xml:space="preserve"> </w:t>
            </w:r>
            <w:r w:rsidRPr="009A27ED">
              <w:rPr>
                <w:rFonts w:asciiTheme="minorHAnsi" w:hAnsiTheme="minorHAnsi" w:cstheme="minorHAnsi"/>
                <w:w w:val="95"/>
                <w:sz w:val="20"/>
                <w:szCs w:val="20"/>
                <w:lang w:val="es-ES"/>
              </w:rPr>
              <w:t>otro lugar</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o</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no,</w:t>
            </w:r>
            <w:r w:rsidRPr="009A27ED">
              <w:rPr>
                <w:rFonts w:asciiTheme="minorHAnsi" w:hAnsiTheme="minorHAnsi" w:cstheme="minorHAnsi"/>
                <w:spacing w:val="-27"/>
                <w:w w:val="95"/>
                <w:sz w:val="20"/>
                <w:szCs w:val="20"/>
                <w:lang w:val="es-ES"/>
              </w:rPr>
              <w:t xml:space="preserve"> </w:t>
            </w:r>
            <w:r w:rsidRPr="009A27ED">
              <w:rPr>
                <w:rFonts w:asciiTheme="minorHAnsi" w:hAnsiTheme="minorHAnsi" w:cstheme="minorHAnsi"/>
                <w:w w:val="95"/>
                <w:sz w:val="20"/>
                <w:szCs w:val="20"/>
                <w:lang w:val="es-ES"/>
              </w:rPr>
              <w:t>y</w:t>
            </w:r>
            <w:r w:rsidRPr="009A27ED">
              <w:rPr>
                <w:rFonts w:asciiTheme="minorHAnsi" w:hAnsiTheme="minorHAnsi" w:cstheme="minorHAnsi"/>
                <w:spacing w:val="4"/>
                <w:w w:val="95"/>
                <w:sz w:val="20"/>
                <w:szCs w:val="20"/>
                <w:lang w:val="es-ES"/>
              </w:rPr>
              <w:t xml:space="preserve"> </w:t>
            </w:r>
            <w:proofErr w:type="spellStart"/>
            <w:r w:rsidRPr="009A27ED">
              <w:rPr>
                <w:rFonts w:asciiTheme="minorHAnsi" w:hAnsiTheme="minorHAnsi" w:cstheme="minorHAnsi"/>
                <w:w w:val="95"/>
                <w:sz w:val="20"/>
                <w:szCs w:val="20"/>
                <w:lang w:val="es-ES"/>
              </w:rPr>
              <w:t>ii</w:t>
            </w:r>
            <w:proofErr w:type="spellEnd"/>
            <w:r w:rsidRPr="009A27ED">
              <w:rPr>
                <w:rFonts w:asciiTheme="minorHAnsi" w:hAnsiTheme="minorHAnsi" w:cstheme="minorHAnsi"/>
                <w:w w:val="95"/>
                <w:sz w:val="20"/>
                <w:szCs w:val="20"/>
                <w:lang w:val="es-ES"/>
              </w:rPr>
              <w:t>)</w:t>
            </w:r>
            <w:r w:rsidRPr="009A27ED">
              <w:rPr>
                <w:rFonts w:asciiTheme="minorHAnsi" w:hAnsiTheme="minorHAnsi" w:cstheme="minorHAnsi"/>
                <w:spacing w:val="-27"/>
                <w:w w:val="95"/>
                <w:sz w:val="20"/>
                <w:szCs w:val="20"/>
                <w:lang w:val="es-ES"/>
              </w:rPr>
              <w:t xml:space="preserve"> </w:t>
            </w:r>
            <w:r w:rsidRPr="009A27ED">
              <w:rPr>
                <w:rFonts w:asciiTheme="minorHAnsi" w:hAnsiTheme="minorHAnsi" w:cstheme="minorHAnsi"/>
                <w:w w:val="95"/>
                <w:sz w:val="20"/>
                <w:szCs w:val="20"/>
                <w:lang w:val="es-ES"/>
              </w:rPr>
              <w:t>La</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restricción</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involuntaria</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del</w:t>
            </w:r>
            <w:r w:rsidRPr="009A27ED">
              <w:rPr>
                <w:rFonts w:asciiTheme="minorHAnsi" w:hAnsiTheme="minorHAnsi" w:cstheme="minorHAnsi"/>
                <w:spacing w:val="-27"/>
                <w:w w:val="95"/>
                <w:sz w:val="20"/>
                <w:szCs w:val="20"/>
                <w:lang w:val="es-ES"/>
              </w:rPr>
              <w:t xml:space="preserve"> </w:t>
            </w:r>
            <w:r w:rsidRPr="009A27ED">
              <w:rPr>
                <w:rFonts w:asciiTheme="minorHAnsi" w:hAnsiTheme="minorHAnsi" w:cstheme="minorHAnsi"/>
                <w:w w:val="95"/>
                <w:sz w:val="20"/>
                <w:szCs w:val="20"/>
                <w:lang w:val="es-ES"/>
              </w:rPr>
              <w:t>acceso</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a</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zonas</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calificadas</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por</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la</w:t>
            </w:r>
            <w:r w:rsidRPr="009A27ED">
              <w:rPr>
                <w:rFonts w:asciiTheme="minorHAnsi" w:hAnsiTheme="minorHAnsi" w:cstheme="minorHAnsi"/>
                <w:spacing w:val="-29"/>
                <w:w w:val="95"/>
                <w:sz w:val="20"/>
                <w:szCs w:val="20"/>
                <w:lang w:val="es-ES"/>
              </w:rPr>
              <w:t xml:space="preserve"> </w:t>
            </w:r>
            <w:r w:rsidRPr="009A27ED">
              <w:rPr>
                <w:rFonts w:asciiTheme="minorHAnsi" w:hAnsiTheme="minorHAnsi" w:cstheme="minorHAnsi"/>
                <w:w w:val="95"/>
                <w:sz w:val="20"/>
                <w:szCs w:val="20"/>
                <w:lang w:val="es-ES"/>
              </w:rPr>
              <w:t>Ley</w:t>
            </w:r>
            <w:r w:rsidRPr="009A27ED">
              <w:rPr>
                <w:rFonts w:asciiTheme="minorHAnsi" w:hAnsiTheme="minorHAnsi" w:cstheme="minorHAnsi"/>
                <w:spacing w:val="-27"/>
                <w:w w:val="95"/>
                <w:sz w:val="20"/>
                <w:szCs w:val="20"/>
                <w:lang w:val="es-ES"/>
              </w:rPr>
              <w:t xml:space="preserve"> </w:t>
            </w:r>
            <w:r w:rsidRPr="009A27ED">
              <w:rPr>
                <w:rFonts w:asciiTheme="minorHAnsi" w:hAnsiTheme="minorHAnsi" w:cstheme="minorHAnsi"/>
                <w:w w:val="95"/>
                <w:sz w:val="20"/>
                <w:szCs w:val="20"/>
                <w:lang w:val="es-ES"/>
              </w:rPr>
              <w:t>como</w:t>
            </w:r>
            <w:r w:rsidRPr="009A27ED">
              <w:rPr>
                <w:rFonts w:asciiTheme="minorHAnsi" w:hAnsiTheme="minorHAnsi" w:cstheme="minorHAnsi"/>
                <w:spacing w:val="-27"/>
                <w:w w:val="95"/>
                <w:sz w:val="20"/>
                <w:szCs w:val="20"/>
                <w:lang w:val="es-ES"/>
              </w:rPr>
              <w:t xml:space="preserve"> </w:t>
            </w:r>
            <w:r w:rsidRPr="009A27ED">
              <w:rPr>
                <w:rFonts w:asciiTheme="minorHAnsi" w:hAnsiTheme="minorHAnsi" w:cstheme="minorHAnsi"/>
                <w:w w:val="95"/>
                <w:sz w:val="20"/>
                <w:szCs w:val="20"/>
                <w:lang w:val="es-ES"/>
              </w:rPr>
              <w:t>parques o</w:t>
            </w:r>
            <w:r w:rsidRPr="009A27ED">
              <w:rPr>
                <w:rFonts w:asciiTheme="minorHAnsi" w:hAnsiTheme="minorHAnsi" w:cstheme="minorHAnsi"/>
                <w:spacing w:val="-27"/>
                <w:w w:val="95"/>
                <w:sz w:val="20"/>
                <w:szCs w:val="20"/>
                <w:lang w:val="es-ES"/>
              </w:rPr>
              <w:t xml:space="preserve"> </w:t>
            </w:r>
            <w:r w:rsidRPr="009A27ED">
              <w:rPr>
                <w:rFonts w:asciiTheme="minorHAnsi" w:hAnsiTheme="minorHAnsi" w:cstheme="minorHAnsi"/>
                <w:w w:val="95"/>
                <w:sz w:val="20"/>
                <w:szCs w:val="20"/>
                <w:lang w:val="es-ES"/>
              </w:rPr>
              <w:t>zonas</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protegidas,</w:t>
            </w:r>
            <w:r w:rsidRPr="009A27ED">
              <w:rPr>
                <w:rFonts w:asciiTheme="minorHAnsi" w:hAnsiTheme="minorHAnsi" w:cstheme="minorHAnsi"/>
                <w:spacing w:val="-27"/>
                <w:w w:val="95"/>
                <w:sz w:val="20"/>
                <w:szCs w:val="20"/>
                <w:lang w:val="es-ES"/>
              </w:rPr>
              <w:t xml:space="preserve"> </w:t>
            </w:r>
            <w:r w:rsidRPr="009A27ED">
              <w:rPr>
                <w:rFonts w:asciiTheme="minorHAnsi" w:hAnsiTheme="minorHAnsi" w:cstheme="minorHAnsi"/>
                <w:w w:val="95"/>
                <w:sz w:val="20"/>
                <w:szCs w:val="20"/>
                <w:lang w:val="es-ES"/>
              </w:rPr>
              <w:t>con</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los</w:t>
            </w:r>
            <w:r w:rsidRPr="009A27ED">
              <w:rPr>
                <w:rFonts w:asciiTheme="minorHAnsi" w:hAnsiTheme="minorHAnsi" w:cstheme="minorHAnsi"/>
                <w:spacing w:val="-26"/>
                <w:w w:val="95"/>
                <w:sz w:val="20"/>
                <w:szCs w:val="20"/>
                <w:lang w:val="es-ES"/>
              </w:rPr>
              <w:t xml:space="preserve"> </w:t>
            </w:r>
            <w:r w:rsidRPr="009A27ED">
              <w:rPr>
                <w:rFonts w:asciiTheme="minorHAnsi" w:hAnsiTheme="minorHAnsi" w:cstheme="minorHAnsi"/>
                <w:w w:val="95"/>
                <w:sz w:val="20"/>
                <w:szCs w:val="20"/>
                <w:lang w:val="es-ES"/>
              </w:rPr>
              <w:t>consiguientes</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efectos</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adversos</w:t>
            </w:r>
            <w:r w:rsidRPr="009A27ED">
              <w:rPr>
                <w:rFonts w:asciiTheme="minorHAnsi" w:hAnsiTheme="minorHAnsi" w:cstheme="minorHAnsi"/>
                <w:spacing w:val="-27"/>
                <w:w w:val="95"/>
                <w:sz w:val="20"/>
                <w:szCs w:val="20"/>
                <w:lang w:val="es-ES"/>
              </w:rPr>
              <w:t xml:space="preserve"> </w:t>
            </w:r>
            <w:r w:rsidRPr="009A27ED">
              <w:rPr>
                <w:rFonts w:asciiTheme="minorHAnsi" w:hAnsiTheme="minorHAnsi" w:cstheme="minorHAnsi"/>
                <w:w w:val="95"/>
                <w:sz w:val="20"/>
                <w:szCs w:val="20"/>
                <w:lang w:val="es-ES"/>
              </w:rPr>
              <w:t>para</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la</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subsistencia</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de</w:t>
            </w:r>
            <w:r w:rsidRPr="009A27ED">
              <w:rPr>
                <w:rFonts w:asciiTheme="minorHAnsi" w:hAnsiTheme="minorHAnsi" w:cstheme="minorHAnsi"/>
                <w:spacing w:val="-27"/>
                <w:w w:val="95"/>
                <w:sz w:val="20"/>
                <w:szCs w:val="20"/>
                <w:lang w:val="es-ES"/>
              </w:rPr>
              <w:t xml:space="preserve"> </w:t>
            </w:r>
            <w:r w:rsidRPr="009A27ED">
              <w:rPr>
                <w:rFonts w:asciiTheme="minorHAnsi" w:hAnsiTheme="minorHAnsi" w:cstheme="minorHAnsi"/>
                <w:w w:val="95"/>
                <w:sz w:val="20"/>
                <w:szCs w:val="20"/>
                <w:lang w:val="es-ES"/>
              </w:rPr>
              <w:t>las</w:t>
            </w:r>
            <w:r w:rsidRPr="009A27ED">
              <w:rPr>
                <w:rFonts w:asciiTheme="minorHAnsi" w:hAnsiTheme="minorHAnsi" w:cstheme="minorHAnsi"/>
                <w:spacing w:val="-27"/>
                <w:w w:val="95"/>
                <w:sz w:val="20"/>
                <w:szCs w:val="20"/>
                <w:lang w:val="es-ES"/>
              </w:rPr>
              <w:t xml:space="preserve"> </w:t>
            </w:r>
            <w:r w:rsidRPr="009A27ED">
              <w:rPr>
                <w:rFonts w:asciiTheme="minorHAnsi" w:hAnsiTheme="minorHAnsi" w:cstheme="minorHAnsi"/>
                <w:w w:val="95"/>
                <w:sz w:val="20"/>
                <w:szCs w:val="20"/>
                <w:lang w:val="es-ES"/>
              </w:rPr>
              <w:t>personas desplazadas.</w:t>
            </w:r>
            <w:r w:rsidRPr="009A27ED">
              <w:rPr>
                <w:rFonts w:asciiTheme="minorHAnsi" w:hAnsiTheme="minorHAnsi" w:cstheme="minorHAnsi"/>
                <w:spacing w:val="-32"/>
                <w:w w:val="95"/>
                <w:sz w:val="20"/>
                <w:szCs w:val="20"/>
                <w:lang w:val="es-ES"/>
              </w:rPr>
              <w:t xml:space="preserve"> </w:t>
            </w:r>
            <w:r w:rsidRPr="009A27ED">
              <w:rPr>
                <w:rFonts w:asciiTheme="minorHAnsi" w:hAnsiTheme="minorHAnsi" w:cstheme="minorHAnsi"/>
                <w:w w:val="95"/>
                <w:sz w:val="20"/>
                <w:szCs w:val="20"/>
                <w:lang w:val="es-ES"/>
              </w:rPr>
              <w:t>Los</w:t>
            </w:r>
            <w:r w:rsidRPr="009A27ED">
              <w:rPr>
                <w:rFonts w:asciiTheme="minorHAnsi" w:hAnsiTheme="minorHAnsi" w:cstheme="minorHAnsi"/>
                <w:spacing w:val="-33"/>
                <w:w w:val="95"/>
                <w:sz w:val="20"/>
                <w:szCs w:val="20"/>
                <w:lang w:val="es-ES"/>
              </w:rPr>
              <w:t xml:space="preserve"> </w:t>
            </w:r>
            <w:r w:rsidRPr="009A27ED">
              <w:rPr>
                <w:rFonts w:asciiTheme="minorHAnsi" w:hAnsiTheme="minorHAnsi" w:cstheme="minorHAnsi"/>
                <w:w w:val="95"/>
                <w:sz w:val="20"/>
                <w:szCs w:val="20"/>
                <w:lang w:val="es-ES"/>
              </w:rPr>
              <w:t>objetivos</w:t>
            </w:r>
            <w:r w:rsidRPr="009A27ED">
              <w:rPr>
                <w:rFonts w:asciiTheme="minorHAnsi" w:hAnsiTheme="minorHAnsi" w:cstheme="minorHAnsi"/>
                <w:spacing w:val="-34"/>
                <w:w w:val="95"/>
                <w:sz w:val="20"/>
                <w:szCs w:val="20"/>
                <w:lang w:val="es-ES"/>
              </w:rPr>
              <w:t xml:space="preserve"> </w:t>
            </w:r>
            <w:r w:rsidRPr="009A27ED">
              <w:rPr>
                <w:rFonts w:asciiTheme="minorHAnsi" w:hAnsiTheme="minorHAnsi" w:cstheme="minorHAnsi"/>
                <w:w w:val="95"/>
                <w:sz w:val="20"/>
                <w:szCs w:val="20"/>
                <w:lang w:val="es-ES"/>
              </w:rPr>
              <w:t>generales</w:t>
            </w:r>
            <w:r w:rsidRPr="009A27ED">
              <w:rPr>
                <w:rFonts w:asciiTheme="minorHAnsi" w:hAnsiTheme="minorHAnsi" w:cstheme="minorHAnsi"/>
                <w:spacing w:val="-30"/>
                <w:w w:val="95"/>
                <w:sz w:val="20"/>
                <w:szCs w:val="20"/>
                <w:lang w:val="es-ES"/>
              </w:rPr>
              <w:t xml:space="preserve"> </w:t>
            </w:r>
            <w:r w:rsidRPr="009A27ED">
              <w:rPr>
                <w:rFonts w:asciiTheme="minorHAnsi" w:hAnsiTheme="minorHAnsi" w:cstheme="minorHAnsi"/>
                <w:w w:val="95"/>
                <w:sz w:val="20"/>
                <w:szCs w:val="20"/>
                <w:lang w:val="es-ES"/>
              </w:rPr>
              <w:t>de</w:t>
            </w:r>
            <w:r w:rsidRPr="009A27ED">
              <w:rPr>
                <w:rFonts w:asciiTheme="minorHAnsi" w:hAnsiTheme="minorHAnsi" w:cstheme="minorHAnsi"/>
                <w:spacing w:val="-33"/>
                <w:w w:val="95"/>
                <w:sz w:val="20"/>
                <w:szCs w:val="20"/>
                <w:lang w:val="es-ES"/>
              </w:rPr>
              <w:t xml:space="preserve"> </w:t>
            </w:r>
            <w:r w:rsidRPr="009A27ED">
              <w:rPr>
                <w:rFonts w:asciiTheme="minorHAnsi" w:hAnsiTheme="minorHAnsi" w:cstheme="minorHAnsi"/>
                <w:w w:val="95"/>
                <w:sz w:val="20"/>
                <w:szCs w:val="20"/>
                <w:lang w:val="es-ES"/>
              </w:rPr>
              <w:t>esta</w:t>
            </w:r>
            <w:r w:rsidRPr="009A27ED">
              <w:rPr>
                <w:rFonts w:asciiTheme="minorHAnsi" w:hAnsiTheme="minorHAnsi" w:cstheme="minorHAnsi"/>
                <w:spacing w:val="-31"/>
                <w:w w:val="95"/>
                <w:sz w:val="20"/>
                <w:szCs w:val="20"/>
                <w:lang w:val="es-ES"/>
              </w:rPr>
              <w:t xml:space="preserve"> </w:t>
            </w:r>
            <w:r w:rsidRPr="009A27ED">
              <w:rPr>
                <w:rFonts w:asciiTheme="minorHAnsi" w:hAnsiTheme="minorHAnsi" w:cstheme="minorHAnsi"/>
                <w:w w:val="95"/>
                <w:sz w:val="20"/>
                <w:szCs w:val="20"/>
                <w:lang w:val="es-ES"/>
              </w:rPr>
              <w:t>OP</w:t>
            </w:r>
            <w:r w:rsidRPr="009A27ED">
              <w:rPr>
                <w:rFonts w:asciiTheme="minorHAnsi" w:hAnsiTheme="minorHAnsi" w:cstheme="minorHAnsi"/>
                <w:spacing w:val="-31"/>
                <w:w w:val="95"/>
                <w:sz w:val="20"/>
                <w:szCs w:val="20"/>
                <w:lang w:val="es-ES"/>
              </w:rPr>
              <w:t xml:space="preserve"> </w:t>
            </w:r>
            <w:r w:rsidRPr="009A27ED">
              <w:rPr>
                <w:rFonts w:asciiTheme="minorHAnsi" w:hAnsiTheme="minorHAnsi" w:cstheme="minorHAnsi"/>
                <w:w w:val="95"/>
                <w:sz w:val="20"/>
                <w:szCs w:val="20"/>
                <w:lang w:val="es-ES"/>
              </w:rPr>
              <w:t>son</w:t>
            </w:r>
            <w:r w:rsidRPr="009A27ED">
              <w:rPr>
                <w:rFonts w:asciiTheme="minorHAnsi" w:hAnsiTheme="minorHAnsi" w:cstheme="minorHAnsi"/>
                <w:spacing w:val="-32"/>
                <w:w w:val="95"/>
                <w:sz w:val="20"/>
                <w:szCs w:val="20"/>
                <w:lang w:val="es-ES"/>
              </w:rPr>
              <w:t xml:space="preserve"> </w:t>
            </w:r>
            <w:r w:rsidRPr="009A27ED">
              <w:rPr>
                <w:rFonts w:asciiTheme="minorHAnsi" w:hAnsiTheme="minorHAnsi" w:cstheme="minorHAnsi"/>
                <w:w w:val="95"/>
                <w:sz w:val="20"/>
                <w:szCs w:val="20"/>
                <w:lang w:val="es-ES"/>
              </w:rPr>
              <w:t>los</w:t>
            </w:r>
            <w:r w:rsidRPr="009A27ED">
              <w:rPr>
                <w:rFonts w:asciiTheme="minorHAnsi" w:hAnsiTheme="minorHAnsi" w:cstheme="minorHAnsi"/>
                <w:spacing w:val="-32"/>
                <w:w w:val="95"/>
                <w:sz w:val="20"/>
                <w:szCs w:val="20"/>
                <w:lang w:val="es-ES"/>
              </w:rPr>
              <w:t xml:space="preserve"> </w:t>
            </w:r>
            <w:r w:rsidRPr="009A27ED">
              <w:rPr>
                <w:rFonts w:asciiTheme="minorHAnsi" w:hAnsiTheme="minorHAnsi" w:cstheme="minorHAnsi"/>
                <w:w w:val="95"/>
                <w:sz w:val="20"/>
                <w:szCs w:val="20"/>
                <w:lang w:val="es-ES"/>
              </w:rPr>
              <w:t>siguientes:</w:t>
            </w:r>
            <w:r w:rsidRPr="009A27ED">
              <w:rPr>
                <w:rFonts w:asciiTheme="minorHAnsi" w:hAnsiTheme="minorHAnsi" w:cstheme="minorHAnsi"/>
                <w:spacing w:val="-31"/>
                <w:w w:val="95"/>
                <w:sz w:val="20"/>
                <w:szCs w:val="20"/>
                <w:lang w:val="es-ES"/>
              </w:rPr>
              <w:t xml:space="preserve"> </w:t>
            </w:r>
            <w:r w:rsidRPr="009A27ED">
              <w:rPr>
                <w:rFonts w:asciiTheme="minorHAnsi" w:hAnsiTheme="minorHAnsi" w:cstheme="minorHAnsi"/>
                <w:w w:val="95"/>
                <w:sz w:val="20"/>
                <w:szCs w:val="20"/>
                <w:lang w:val="es-ES"/>
              </w:rPr>
              <w:t>i)</w:t>
            </w:r>
            <w:r w:rsidRPr="009A27ED">
              <w:rPr>
                <w:rFonts w:asciiTheme="minorHAnsi" w:hAnsiTheme="minorHAnsi" w:cstheme="minorHAnsi"/>
                <w:spacing w:val="-31"/>
                <w:w w:val="95"/>
                <w:sz w:val="20"/>
                <w:szCs w:val="20"/>
                <w:lang w:val="es-ES"/>
              </w:rPr>
              <w:t xml:space="preserve"> </w:t>
            </w:r>
            <w:r w:rsidRPr="009A27ED">
              <w:rPr>
                <w:rFonts w:asciiTheme="minorHAnsi" w:hAnsiTheme="minorHAnsi" w:cstheme="minorHAnsi"/>
                <w:w w:val="95"/>
                <w:sz w:val="20"/>
                <w:szCs w:val="20"/>
                <w:lang w:val="es-ES"/>
              </w:rPr>
              <w:t>En</w:t>
            </w:r>
            <w:r w:rsidRPr="009A27ED">
              <w:rPr>
                <w:rFonts w:asciiTheme="minorHAnsi" w:hAnsiTheme="minorHAnsi" w:cstheme="minorHAnsi"/>
                <w:spacing w:val="-32"/>
                <w:w w:val="95"/>
                <w:sz w:val="20"/>
                <w:szCs w:val="20"/>
                <w:lang w:val="es-ES"/>
              </w:rPr>
              <w:t xml:space="preserve"> </w:t>
            </w:r>
            <w:r w:rsidRPr="009A27ED">
              <w:rPr>
                <w:rFonts w:asciiTheme="minorHAnsi" w:hAnsiTheme="minorHAnsi" w:cstheme="minorHAnsi"/>
                <w:w w:val="95"/>
                <w:sz w:val="20"/>
                <w:szCs w:val="20"/>
                <w:lang w:val="es-ES"/>
              </w:rPr>
              <w:t>la</w:t>
            </w:r>
            <w:r w:rsidRPr="009A27ED">
              <w:rPr>
                <w:rFonts w:asciiTheme="minorHAnsi" w:hAnsiTheme="minorHAnsi" w:cstheme="minorHAnsi"/>
                <w:spacing w:val="-33"/>
                <w:w w:val="95"/>
                <w:sz w:val="20"/>
                <w:szCs w:val="20"/>
                <w:lang w:val="es-ES"/>
              </w:rPr>
              <w:t xml:space="preserve"> </w:t>
            </w:r>
            <w:r w:rsidRPr="009A27ED">
              <w:rPr>
                <w:rFonts w:asciiTheme="minorHAnsi" w:hAnsiTheme="minorHAnsi" w:cstheme="minorHAnsi"/>
                <w:w w:val="95"/>
                <w:sz w:val="20"/>
                <w:szCs w:val="20"/>
                <w:lang w:val="es-ES"/>
              </w:rPr>
              <w:t>medida</w:t>
            </w:r>
            <w:r w:rsidRPr="009A27ED">
              <w:rPr>
                <w:rFonts w:asciiTheme="minorHAnsi" w:hAnsiTheme="minorHAnsi" w:cstheme="minorHAnsi"/>
                <w:spacing w:val="-31"/>
                <w:w w:val="95"/>
                <w:sz w:val="20"/>
                <w:szCs w:val="20"/>
                <w:lang w:val="es-ES"/>
              </w:rPr>
              <w:t xml:space="preserve"> </w:t>
            </w:r>
            <w:r w:rsidRPr="009A27ED">
              <w:rPr>
                <w:rFonts w:asciiTheme="minorHAnsi" w:hAnsiTheme="minorHAnsi" w:cstheme="minorHAnsi"/>
                <w:w w:val="95"/>
                <w:sz w:val="20"/>
                <w:szCs w:val="20"/>
                <w:lang w:val="es-ES"/>
              </w:rPr>
              <w:t>de</w:t>
            </w:r>
            <w:r w:rsidRPr="009A27ED">
              <w:rPr>
                <w:rFonts w:asciiTheme="minorHAnsi" w:hAnsiTheme="minorHAnsi" w:cstheme="minorHAnsi"/>
                <w:spacing w:val="-31"/>
                <w:w w:val="95"/>
                <w:sz w:val="20"/>
                <w:szCs w:val="20"/>
                <w:lang w:val="es-ES"/>
              </w:rPr>
              <w:t xml:space="preserve"> </w:t>
            </w:r>
            <w:r w:rsidRPr="009A27ED">
              <w:rPr>
                <w:rFonts w:asciiTheme="minorHAnsi" w:hAnsiTheme="minorHAnsi" w:cstheme="minorHAnsi"/>
                <w:w w:val="95"/>
                <w:sz w:val="20"/>
                <w:szCs w:val="20"/>
                <w:lang w:val="es-ES"/>
              </w:rPr>
              <w:t>lo</w:t>
            </w:r>
            <w:r w:rsidRPr="009A27ED">
              <w:rPr>
                <w:rFonts w:asciiTheme="minorHAnsi" w:hAnsiTheme="minorHAnsi" w:cstheme="minorHAnsi"/>
                <w:spacing w:val="-31"/>
                <w:w w:val="95"/>
                <w:sz w:val="20"/>
                <w:szCs w:val="20"/>
                <w:lang w:val="es-ES"/>
              </w:rPr>
              <w:t xml:space="preserve"> </w:t>
            </w:r>
            <w:r w:rsidRPr="009A27ED">
              <w:rPr>
                <w:rFonts w:asciiTheme="minorHAnsi" w:hAnsiTheme="minorHAnsi" w:cstheme="minorHAnsi"/>
                <w:w w:val="95"/>
                <w:sz w:val="20"/>
                <w:szCs w:val="20"/>
                <w:lang w:val="es-ES"/>
              </w:rPr>
              <w:t xml:space="preserve">posible, </w:t>
            </w:r>
            <w:r w:rsidRPr="009A27ED">
              <w:rPr>
                <w:rFonts w:asciiTheme="minorHAnsi" w:hAnsiTheme="minorHAnsi" w:cstheme="minorHAnsi"/>
                <w:sz w:val="20"/>
                <w:szCs w:val="20"/>
                <w:lang w:val="es-ES"/>
              </w:rPr>
              <w:t>los</w:t>
            </w:r>
            <w:r w:rsidRPr="009A27ED">
              <w:rPr>
                <w:rFonts w:asciiTheme="minorHAnsi" w:hAnsiTheme="minorHAnsi" w:cstheme="minorHAnsi"/>
                <w:spacing w:val="-22"/>
                <w:sz w:val="20"/>
                <w:szCs w:val="20"/>
                <w:lang w:val="es-ES"/>
              </w:rPr>
              <w:t xml:space="preserve"> </w:t>
            </w:r>
            <w:r w:rsidRPr="009A27ED">
              <w:rPr>
                <w:rFonts w:asciiTheme="minorHAnsi" w:hAnsiTheme="minorHAnsi" w:cstheme="minorHAnsi"/>
                <w:sz w:val="20"/>
                <w:szCs w:val="20"/>
                <w:lang w:val="es-ES"/>
              </w:rPr>
              <w:t>reasentamientos</w:t>
            </w:r>
            <w:r w:rsidRPr="009A27ED">
              <w:rPr>
                <w:rFonts w:asciiTheme="minorHAnsi" w:hAnsiTheme="minorHAnsi" w:cstheme="minorHAnsi"/>
                <w:spacing w:val="-22"/>
                <w:sz w:val="20"/>
                <w:szCs w:val="20"/>
                <w:lang w:val="es-ES"/>
              </w:rPr>
              <w:t xml:space="preserve"> </w:t>
            </w:r>
            <w:r w:rsidRPr="009A27ED">
              <w:rPr>
                <w:rFonts w:asciiTheme="minorHAnsi" w:hAnsiTheme="minorHAnsi" w:cstheme="minorHAnsi"/>
                <w:sz w:val="20"/>
                <w:szCs w:val="20"/>
                <w:lang w:val="es-ES"/>
              </w:rPr>
              <w:t>involuntarios</w:t>
            </w:r>
            <w:r w:rsidRPr="009A27ED">
              <w:rPr>
                <w:rFonts w:asciiTheme="minorHAnsi" w:hAnsiTheme="minorHAnsi" w:cstheme="minorHAnsi"/>
                <w:spacing w:val="-21"/>
                <w:sz w:val="20"/>
                <w:szCs w:val="20"/>
                <w:lang w:val="es-ES"/>
              </w:rPr>
              <w:t xml:space="preserve"> </w:t>
            </w:r>
            <w:r w:rsidRPr="009A27ED">
              <w:rPr>
                <w:rFonts w:asciiTheme="minorHAnsi" w:hAnsiTheme="minorHAnsi" w:cstheme="minorHAnsi"/>
                <w:sz w:val="20"/>
                <w:szCs w:val="20"/>
                <w:lang w:val="es-ES"/>
              </w:rPr>
              <w:t>deben</w:t>
            </w:r>
            <w:r w:rsidRPr="009A27ED">
              <w:rPr>
                <w:rFonts w:asciiTheme="minorHAnsi" w:hAnsiTheme="minorHAnsi" w:cstheme="minorHAnsi"/>
                <w:spacing w:val="-22"/>
                <w:sz w:val="20"/>
                <w:szCs w:val="20"/>
                <w:lang w:val="es-ES"/>
              </w:rPr>
              <w:t xml:space="preserve"> </w:t>
            </w:r>
            <w:r w:rsidRPr="009A27ED">
              <w:rPr>
                <w:rFonts w:asciiTheme="minorHAnsi" w:hAnsiTheme="minorHAnsi" w:cstheme="minorHAnsi"/>
                <w:sz w:val="20"/>
                <w:szCs w:val="20"/>
                <w:lang w:val="es-ES"/>
              </w:rPr>
              <w:t>evitarse</w:t>
            </w:r>
            <w:r w:rsidRPr="009A27ED">
              <w:rPr>
                <w:rFonts w:asciiTheme="minorHAnsi" w:hAnsiTheme="minorHAnsi" w:cstheme="minorHAnsi"/>
                <w:spacing w:val="-22"/>
                <w:sz w:val="20"/>
                <w:szCs w:val="20"/>
                <w:lang w:val="es-ES"/>
              </w:rPr>
              <w:t xml:space="preserve"> </w:t>
            </w:r>
            <w:r w:rsidRPr="009A27ED">
              <w:rPr>
                <w:rFonts w:asciiTheme="minorHAnsi" w:hAnsiTheme="minorHAnsi" w:cstheme="minorHAnsi"/>
                <w:sz w:val="20"/>
                <w:szCs w:val="20"/>
                <w:lang w:val="es-ES"/>
              </w:rPr>
              <w:t>o</w:t>
            </w:r>
            <w:r w:rsidRPr="009A27ED">
              <w:rPr>
                <w:rFonts w:asciiTheme="minorHAnsi" w:hAnsiTheme="minorHAnsi" w:cstheme="minorHAnsi"/>
                <w:spacing w:val="-22"/>
                <w:sz w:val="20"/>
                <w:szCs w:val="20"/>
                <w:lang w:val="es-ES"/>
              </w:rPr>
              <w:t xml:space="preserve"> </w:t>
            </w:r>
            <w:r w:rsidRPr="009A27ED">
              <w:rPr>
                <w:rFonts w:asciiTheme="minorHAnsi" w:hAnsiTheme="minorHAnsi" w:cstheme="minorHAnsi"/>
                <w:sz w:val="20"/>
                <w:szCs w:val="20"/>
                <w:lang w:val="es-ES"/>
              </w:rPr>
              <w:t>reducirse</w:t>
            </w:r>
            <w:r w:rsidRPr="009A27ED">
              <w:rPr>
                <w:rFonts w:asciiTheme="minorHAnsi" w:hAnsiTheme="minorHAnsi" w:cstheme="minorHAnsi"/>
                <w:spacing w:val="-22"/>
                <w:sz w:val="20"/>
                <w:szCs w:val="20"/>
                <w:lang w:val="es-ES"/>
              </w:rPr>
              <w:t xml:space="preserve"> </w:t>
            </w:r>
            <w:r w:rsidRPr="009A27ED">
              <w:rPr>
                <w:rFonts w:asciiTheme="minorHAnsi" w:hAnsiTheme="minorHAnsi" w:cstheme="minorHAnsi"/>
                <w:sz w:val="20"/>
                <w:szCs w:val="20"/>
                <w:lang w:val="es-ES"/>
              </w:rPr>
              <w:t>al</w:t>
            </w:r>
            <w:r w:rsidRPr="009A27ED">
              <w:rPr>
                <w:rFonts w:asciiTheme="minorHAnsi" w:hAnsiTheme="minorHAnsi" w:cstheme="minorHAnsi"/>
                <w:spacing w:val="-23"/>
                <w:sz w:val="20"/>
                <w:szCs w:val="20"/>
                <w:lang w:val="es-ES"/>
              </w:rPr>
              <w:t xml:space="preserve"> </w:t>
            </w:r>
            <w:r w:rsidRPr="009A27ED">
              <w:rPr>
                <w:rFonts w:asciiTheme="minorHAnsi" w:hAnsiTheme="minorHAnsi" w:cstheme="minorHAnsi"/>
                <w:sz w:val="20"/>
                <w:szCs w:val="20"/>
                <w:lang w:val="es-ES"/>
              </w:rPr>
              <w:t>mínimo,</w:t>
            </w:r>
            <w:r w:rsidRPr="009A27ED">
              <w:rPr>
                <w:rFonts w:asciiTheme="minorHAnsi" w:hAnsiTheme="minorHAnsi" w:cstheme="minorHAnsi"/>
                <w:spacing w:val="-21"/>
                <w:sz w:val="20"/>
                <w:szCs w:val="20"/>
                <w:lang w:val="es-ES"/>
              </w:rPr>
              <w:t xml:space="preserve"> </w:t>
            </w:r>
            <w:r w:rsidRPr="009A27ED">
              <w:rPr>
                <w:rFonts w:asciiTheme="minorHAnsi" w:hAnsiTheme="minorHAnsi" w:cstheme="minorHAnsi"/>
                <w:sz w:val="20"/>
                <w:szCs w:val="20"/>
                <w:lang w:val="es-ES"/>
              </w:rPr>
              <w:t>para</w:t>
            </w:r>
            <w:r w:rsidRPr="009A27ED">
              <w:rPr>
                <w:rFonts w:asciiTheme="minorHAnsi" w:hAnsiTheme="minorHAnsi" w:cstheme="minorHAnsi"/>
                <w:spacing w:val="-22"/>
                <w:sz w:val="20"/>
                <w:szCs w:val="20"/>
                <w:lang w:val="es-ES"/>
              </w:rPr>
              <w:t xml:space="preserve"> </w:t>
            </w:r>
            <w:r w:rsidRPr="009A27ED">
              <w:rPr>
                <w:rFonts w:asciiTheme="minorHAnsi" w:hAnsiTheme="minorHAnsi" w:cstheme="minorHAnsi"/>
                <w:sz w:val="20"/>
                <w:szCs w:val="20"/>
                <w:lang w:val="es-ES"/>
              </w:rPr>
              <w:t>lo</w:t>
            </w:r>
            <w:r w:rsidRPr="009A27ED">
              <w:rPr>
                <w:rFonts w:asciiTheme="minorHAnsi" w:hAnsiTheme="minorHAnsi" w:cstheme="minorHAnsi"/>
                <w:spacing w:val="-21"/>
                <w:sz w:val="20"/>
                <w:szCs w:val="20"/>
                <w:lang w:val="es-ES"/>
              </w:rPr>
              <w:t xml:space="preserve"> </w:t>
            </w:r>
            <w:r w:rsidRPr="009A27ED">
              <w:rPr>
                <w:rFonts w:asciiTheme="minorHAnsi" w:hAnsiTheme="minorHAnsi" w:cstheme="minorHAnsi"/>
                <w:sz w:val="20"/>
                <w:szCs w:val="20"/>
                <w:lang w:val="es-ES"/>
              </w:rPr>
              <w:t>cual</w:t>
            </w:r>
            <w:r w:rsidRPr="009A27ED">
              <w:rPr>
                <w:rFonts w:asciiTheme="minorHAnsi" w:hAnsiTheme="minorHAnsi" w:cstheme="minorHAnsi"/>
                <w:spacing w:val="-21"/>
                <w:sz w:val="20"/>
                <w:szCs w:val="20"/>
                <w:lang w:val="es-ES"/>
              </w:rPr>
              <w:t xml:space="preserve"> </w:t>
            </w:r>
            <w:r w:rsidRPr="009A27ED">
              <w:rPr>
                <w:rFonts w:asciiTheme="minorHAnsi" w:hAnsiTheme="minorHAnsi" w:cstheme="minorHAnsi"/>
                <w:sz w:val="20"/>
                <w:szCs w:val="20"/>
                <w:lang w:val="es-ES"/>
              </w:rPr>
              <w:t xml:space="preserve">deben </w:t>
            </w:r>
            <w:r w:rsidRPr="009A27ED">
              <w:rPr>
                <w:rFonts w:asciiTheme="minorHAnsi" w:hAnsiTheme="minorHAnsi" w:cstheme="minorHAnsi"/>
                <w:w w:val="95"/>
                <w:sz w:val="20"/>
                <w:szCs w:val="20"/>
                <w:lang w:val="es-ES"/>
              </w:rPr>
              <w:t>estudiarse</w:t>
            </w:r>
            <w:r w:rsidRPr="009A27ED">
              <w:rPr>
                <w:rFonts w:asciiTheme="minorHAnsi" w:hAnsiTheme="minorHAnsi" w:cstheme="minorHAnsi"/>
                <w:spacing w:val="-39"/>
                <w:w w:val="95"/>
                <w:sz w:val="20"/>
                <w:szCs w:val="20"/>
                <w:lang w:val="es-ES"/>
              </w:rPr>
              <w:t xml:space="preserve"> </w:t>
            </w:r>
            <w:r w:rsidRPr="009A27ED">
              <w:rPr>
                <w:rFonts w:asciiTheme="minorHAnsi" w:hAnsiTheme="minorHAnsi" w:cstheme="minorHAnsi"/>
                <w:w w:val="95"/>
                <w:sz w:val="20"/>
                <w:szCs w:val="20"/>
                <w:lang w:val="es-ES"/>
              </w:rPr>
              <w:t>todas</w:t>
            </w:r>
            <w:r w:rsidRPr="009A27ED">
              <w:rPr>
                <w:rFonts w:asciiTheme="minorHAnsi" w:hAnsiTheme="minorHAnsi" w:cstheme="minorHAnsi"/>
                <w:spacing w:val="-39"/>
                <w:w w:val="95"/>
                <w:sz w:val="20"/>
                <w:szCs w:val="20"/>
                <w:lang w:val="es-ES"/>
              </w:rPr>
              <w:t xml:space="preserve"> </w:t>
            </w:r>
            <w:r w:rsidRPr="009A27ED">
              <w:rPr>
                <w:rFonts w:asciiTheme="minorHAnsi" w:hAnsiTheme="minorHAnsi" w:cstheme="minorHAnsi"/>
                <w:w w:val="95"/>
                <w:sz w:val="20"/>
                <w:szCs w:val="20"/>
                <w:lang w:val="es-ES"/>
              </w:rPr>
              <w:t>las</w:t>
            </w:r>
            <w:r w:rsidRPr="009A27ED">
              <w:rPr>
                <w:rFonts w:asciiTheme="minorHAnsi" w:hAnsiTheme="minorHAnsi" w:cstheme="minorHAnsi"/>
                <w:spacing w:val="-38"/>
                <w:w w:val="95"/>
                <w:sz w:val="20"/>
                <w:szCs w:val="20"/>
                <w:lang w:val="es-ES"/>
              </w:rPr>
              <w:t xml:space="preserve"> </w:t>
            </w:r>
            <w:r w:rsidRPr="009A27ED">
              <w:rPr>
                <w:rFonts w:asciiTheme="minorHAnsi" w:hAnsiTheme="minorHAnsi" w:cstheme="minorHAnsi"/>
                <w:w w:val="95"/>
                <w:sz w:val="20"/>
                <w:szCs w:val="20"/>
                <w:lang w:val="es-ES"/>
              </w:rPr>
              <w:t>opciones</w:t>
            </w:r>
            <w:r w:rsidRPr="009A27ED">
              <w:rPr>
                <w:rFonts w:asciiTheme="minorHAnsi" w:hAnsiTheme="minorHAnsi" w:cstheme="minorHAnsi"/>
                <w:spacing w:val="-38"/>
                <w:w w:val="95"/>
                <w:sz w:val="20"/>
                <w:szCs w:val="20"/>
                <w:lang w:val="es-ES"/>
              </w:rPr>
              <w:t xml:space="preserve"> </w:t>
            </w:r>
            <w:r w:rsidRPr="009A27ED">
              <w:rPr>
                <w:rFonts w:asciiTheme="minorHAnsi" w:hAnsiTheme="minorHAnsi" w:cstheme="minorHAnsi"/>
                <w:w w:val="95"/>
                <w:sz w:val="20"/>
                <w:szCs w:val="20"/>
                <w:lang w:val="es-ES"/>
              </w:rPr>
              <w:t>viables</w:t>
            </w:r>
            <w:r w:rsidRPr="009A27ED">
              <w:rPr>
                <w:rFonts w:asciiTheme="minorHAnsi" w:hAnsiTheme="minorHAnsi" w:cstheme="minorHAnsi"/>
                <w:spacing w:val="-37"/>
                <w:w w:val="95"/>
                <w:sz w:val="20"/>
                <w:szCs w:val="20"/>
                <w:lang w:val="es-ES"/>
              </w:rPr>
              <w:t xml:space="preserve"> </w:t>
            </w:r>
            <w:r w:rsidRPr="009A27ED">
              <w:rPr>
                <w:rFonts w:asciiTheme="minorHAnsi" w:hAnsiTheme="minorHAnsi" w:cstheme="minorHAnsi"/>
                <w:w w:val="95"/>
                <w:sz w:val="20"/>
                <w:szCs w:val="20"/>
                <w:lang w:val="es-ES"/>
              </w:rPr>
              <w:t>de</w:t>
            </w:r>
            <w:r w:rsidRPr="009A27ED">
              <w:rPr>
                <w:rFonts w:asciiTheme="minorHAnsi" w:hAnsiTheme="minorHAnsi" w:cstheme="minorHAnsi"/>
                <w:spacing w:val="-39"/>
                <w:w w:val="95"/>
                <w:sz w:val="20"/>
                <w:szCs w:val="20"/>
                <w:lang w:val="es-ES"/>
              </w:rPr>
              <w:t xml:space="preserve"> </w:t>
            </w:r>
            <w:r w:rsidRPr="009A27ED">
              <w:rPr>
                <w:rFonts w:asciiTheme="minorHAnsi" w:hAnsiTheme="minorHAnsi" w:cstheme="minorHAnsi"/>
                <w:w w:val="95"/>
                <w:sz w:val="20"/>
                <w:szCs w:val="20"/>
                <w:lang w:val="es-ES"/>
              </w:rPr>
              <w:t>diseño</w:t>
            </w:r>
            <w:r w:rsidRPr="009A27ED">
              <w:rPr>
                <w:rFonts w:asciiTheme="minorHAnsi" w:hAnsiTheme="minorHAnsi" w:cstheme="minorHAnsi"/>
                <w:spacing w:val="-37"/>
                <w:w w:val="95"/>
                <w:sz w:val="20"/>
                <w:szCs w:val="20"/>
                <w:lang w:val="es-ES"/>
              </w:rPr>
              <w:t xml:space="preserve"> </w:t>
            </w:r>
            <w:r w:rsidRPr="009A27ED">
              <w:rPr>
                <w:rFonts w:asciiTheme="minorHAnsi" w:hAnsiTheme="minorHAnsi" w:cstheme="minorHAnsi"/>
                <w:w w:val="95"/>
                <w:sz w:val="20"/>
                <w:szCs w:val="20"/>
                <w:lang w:val="es-ES"/>
              </w:rPr>
              <w:t>del</w:t>
            </w:r>
            <w:r w:rsidRPr="009A27ED">
              <w:rPr>
                <w:rFonts w:asciiTheme="minorHAnsi" w:hAnsiTheme="minorHAnsi" w:cstheme="minorHAnsi"/>
                <w:spacing w:val="-38"/>
                <w:w w:val="95"/>
                <w:sz w:val="20"/>
                <w:szCs w:val="20"/>
                <w:lang w:val="es-ES"/>
              </w:rPr>
              <w:t xml:space="preserve"> </w:t>
            </w:r>
            <w:r w:rsidRPr="009A27ED">
              <w:rPr>
                <w:rFonts w:asciiTheme="minorHAnsi" w:hAnsiTheme="minorHAnsi" w:cstheme="minorHAnsi"/>
                <w:w w:val="95"/>
                <w:sz w:val="20"/>
                <w:szCs w:val="20"/>
                <w:lang w:val="es-ES"/>
              </w:rPr>
              <w:t>proyecto,</w:t>
            </w:r>
            <w:r w:rsidRPr="009A27ED">
              <w:rPr>
                <w:rFonts w:asciiTheme="minorHAnsi" w:hAnsiTheme="minorHAnsi" w:cstheme="minorHAnsi"/>
                <w:spacing w:val="-38"/>
                <w:w w:val="95"/>
                <w:sz w:val="20"/>
                <w:szCs w:val="20"/>
                <w:lang w:val="es-ES"/>
              </w:rPr>
              <w:t xml:space="preserve"> </w:t>
            </w:r>
            <w:proofErr w:type="spellStart"/>
            <w:r w:rsidRPr="009A27ED">
              <w:rPr>
                <w:rFonts w:asciiTheme="minorHAnsi" w:hAnsiTheme="minorHAnsi" w:cstheme="minorHAnsi"/>
                <w:w w:val="95"/>
                <w:sz w:val="20"/>
                <w:szCs w:val="20"/>
                <w:lang w:val="es-ES"/>
              </w:rPr>
              <w:t>ii</w:t>
            </w:r>
            <w:proofErr w:type="spellEnd"/>
            <w:r w:rsidRPr="009A27ED">
              <w:rPr>
                <w:rFonts w:asciiTheme="minorHAnsi" w:hAnsiTheme="minorHAnsi" w:cstheme="minorHAnsi"/>
                <w:w w:val="95"/>
                <w:sz w:val="20"/>
                <w:szCs w:val="20"/>
                <w:lang w:val="es-ES"/>
              </w:rPr>
              <w:t>)</w:t>
            </w:r>
            <w:r w:rsidRPr="009A27ED">
              <w:rPr>
                <w:rFonts w:asciiTheme="minorHAnsi" w:hAnsiTheme="minorHAnsi" w:cstheme="minorHAnsi"/>
                <w:spacing w:val="-38"/>
                <w:w w:val="95"/>
                <w:sz w:val="20"/>
                <w:szCs w:val="20"/>
                <w:lang w:val="es-ES"/>
              </w:rPr>
              <w:t xml:space="preserve"> </w:t>
            </w:r>
            <w:r w:rsidRPr="009A27ED">
              <w:rPr>
                <w:rFonts w:asciiTheme="minorHAnsi" w:hAnsiTheme="minorHAnsi" w:cstheme="minorHAnsi"/>
                <w:w w:val="95"/>
                <w:sz w:val="20"/>
                <w:szCs w:val="20"/>
                <w:lang w:val="es-ES"/>
              </w:rPr>
              <w:t>Cuando</w:t>
            </w:r>
            <w:r w:rsidRPr="009A27ED">
              <w:rPr>
                <w:rFonts w:asciiTheme="minorHAnsi" w:hAnsiTheme="minorHAnsi" w:cstheme="minorHAnsi"/>
                <w:spacing w:val="-38"/>
                <w:w w:val="95"/>
                <w:sz w:val="20"/>
                <w:szCs w:val="20"/>
                <w:lang w:val="es-ES"/>
              </w:rPr>
              <w:t xml:space="preserve"> </w:t>
            </w:r>
            <w:r w:rsidRPr="009A27ED">
              <w:rPr>
                <w:rFonts w:asciiTheme="minorHAnsi" w:hAnsiTheme="minorHAnsi" w:cstheme="minorHAnsi"/>
                <w:w w:val="95"/>
                <w:sz w:val="20"/>
                <w:szCs w:val="20"/>
                <w:lang w:val="es-ES"/>
              </w:rPr>
              <w:t>el</w:t>
            </w:r>
            <w:r w:rsidRPr="009A27ED">
              <w:rPr>
                <w:rFonts w:asciiTheme="minorHAnsi" w:hAnsiTheme="minorHAnsi" w:cstheme="minorHAnsi"/>
                <w:spacing w:val="-38"/>
                <w:w w:val="95"/>
                <w:sz w:val="20"/>
                <w:szCs w:val="20"/>
                <w:lang w:val="es-ES"/>
              </w:rPr>
              <w:t xml:space="preserve"> </w:t>
            </w:r>
            <w:r w:rsidRPr="009A27ED">
              <w:rPr>
                <w:rFonts w:asciiTheme="minorHAnsi" w:hAnsiTheme="minorHAnsi" w:cstheme="minorHAnsi"/>
                <w:w w:val="95"/>
                <w:sz w:val="20"/>
                <w:szCs w:val="20"/>
                <w:lang w:val="es-ES"/>
              </w:rPr>
              <w:t>reasentamiento</w:t>
            </w:r>
            <w:r w:rsidRPr="009A27ED">
              <w:rPr>
                <w:rFonts w:asciiTheme="minorHAnsi" w:hAnsiTheme="minorHAnsi" w:cstheme="minorHAnsi"/>
                <w:spacing w:val="-37"/>
                <w:w w:val="95"/>
                <w:sz w:val="20"/>
                <w:szCs w:val="20"/>
                <w:lang w:val="es-ES"/>
              </w:rPr>
              <w:t xml:space="preserve"> </w:t>
            </w:r>
            <w:r w:rsidRPr="009A27ED">
              <w:rPr>
                <w:rFonts w:asciiTheme="minorHAnsi" w:hAnsiTheme="minorHAnsi" w:cstheme="minorHAnsi"/>
                <w:w w:val="95"/>
                <w:sz w:val="20"/>
                <w:szCs w:val="20"/>
                <w:lang w:val="es-ES"/>
              </w:rPr>
              <w:t>resulte inevitable,</w:t>
            </w:r>
            <w:r w:rsidRPr="009A27ED">
              <w:rPr>
                <w:rFonts w:asciiTheme="minorHAnsi" w:hAnsiTheme="minorHAnsi" w:cstheme="minorHAnsi"/>
                <w:spacing w:val="-18"/>
                <w:w w:val="95"/>
                <w:sz w:val="20"/>
                <w:szCs w:val="20"/>
                <w:lang w:val="es-ES"/>
              </w:rPr>
              <w:t xml:space="preserve"> </w:t>
            </w:r>
            <w:r w:rsidRPr="009A27ED">
              <w:rPr>
                <w:rFonts w:asciiTheme="minorHAnsi" w:hAnsiTheme="minorHAnsi" w:cstheme="minorHAnsi"/>
                <w:w w:val="95"/>
                <w:sz w:val="20"/>
                <w:szCs w:val="20"/>
                <w:lang w:val="es-ES"/>
              </w:rPr>
              <w:t>las</w:t>
            </w:r>
            <w:r w:rsidRPr="009A27ED">
              <w:rPr>
                <w:rFonts w:asciiTheme="minorHAnsi" w:hAnsiTheme="minorHAnsi" w:cstheme="minorHAnsi"/>
                <w:spacing w:val="-18"/>
                <w:w w:val="95"/>
                <w:sz w:val="20"/>
                <w:szCs w:val="20"/>
                <w:lang w:val="es-ES"/>
              </w:rPr>
              <w:t xml:space="preserve"> </w:t>
            </w:r>
            <w:r w:rsidRPr="009A27ED">
              <w:rPr>
                <w:rFonts w:asciiTheme="minorHAnsi" w:hAnsiTheme="minorHAnsi" w:cstheme="minorHAnsi"/>
                <w:w w:val="95"/>
                <w:sz w:val="20"/>
                <w:szCs w:val="20"/>
                <w:lang w:val="es-ES"/>
              </w:rPr>
              <w:t>actividades</w:t>
            </w:r>
            <w:r w:rsidRPr="009A27ED">
              <w:rPr>
                <w:rFonts w:asciiTheme="minorHAnsi" w:hAnsiTheme="minorHAnsi" w:cstheme="minorHAnsi"/>
                <w:spacing w:val="-20"/>
                <w:w w:val="95"/>
                <w:sz w:val="20"/>
                <w:szCs w:val="20"/>
                <w:lang w:val="es-ES"/>
              </w:rPr>
              <w:t xml:space="preserve"> </w:t>
            </w:r>
            <w:r w:rsidRPr="009A27ED">
              <w:rPr>
                <w:rFonts w:asciiTheme="minorHAnsi" w:hAnsiTheme="minorHAnsi" w:cstheme="minorHAnsi"/>
                <w:w w:val="95"/>
                <w:sz w:val="20"/>
                <w:szCs w:val="20"/>
                <w:lang w:val="es-ES"/>
              </w:rPr>
              <w:t>de</w:t>
            </w:r>
            <w:r w:rsidRPr="009A27ED">
              <w:rPr>
                <w:rFonts w:asciiTheme="minorHAnsi" w:hAnsiTheme="minorHAnsi" w:cstheme="minorHAnsi"/>
                <w:spacing w:val="-16"/>
                <w:w w:val="95"/>
                <w:sz w:val="20"/>
                <w:szCs w:val="20"/>
                <w:lang w:val="es-ES"/>
              </w:rPr>
              <w:t xml:space="preserve"> </w:t>
            </w:r>
            <w:r w:rsidRPr="009A27ED">
              <w:rPr>
                <w:rFonts w:asciiTheme="minorHAnsi" w:hAnsiTheme="minorHAnsi" w:cstheme="minorHAnsi"/>
                <w:w w:val="95"/>
                <w:sz w:val="20"/>
                <w:szCs w:val="20"/>
                <w:lang w:val="es-ES"/>
              </w:rPr>
              <w:t>reasentamiento</w:t>
            </w:r>
            <w:r w:rsidRPr="009A27ED">
              <w:rPr>
                <w:rFonts w:asciiTheme="minorHAnsi" w:hAnsiTheme="minorHAnsi" w:cstheme="minorHAnsi"/>
                <w:spacing w:val="-17"/>
                <w:w w:val="95"/>
                <w:sz w:val="20"/>
                <w:szCs w:val="20"/>
                <w:lang w:val="es-ES"/>
              </w:rPr>
              <w:t xml:space="preserve"> </w:t>
            </w:r>
            <w:r w:rsidRPr="009A27ED">
              <w:rPr>
                <w:rFonts w:asciiTheme="minorHAnsi" w:hAnsiTheme="minorHAnsi" w:cstheme="minorHAnsi"/>
                <w:w w:val="95"/>
                <w:sz w:val="20"/>
                <w:szCs w:val="20"/>
                <w:lang w:val="es-ES"/>
              </w:rPr>
              <w:t>se</w:t>
            </w:r>
            <w:r w:rsidRPr="009A27ED">
              <w:rPr>
                <w:rFonts w:asciiTheme="minorHAnsi" w:hAnsiTheme="minorHAnsi" w:cstheme="minorHAnsi"/>
                <w:spacing w:val="-17"/>
                <w:w w:val="95"/>
                <w:sz w:val="20"/>
                <w:szCs w:val="20"/>
                <w:lang w:val="es-ES"/>
              </w:rPr>
              <w:t xml:space="preserve"> </w:t>
            </w:r>
            <w:r w:rsidRPr="009A27ED">
              <w:rPr>
                <w:rFonts w:asciiTheme="minorHAnsi" w:hAnsiTheme="minorHAnsi" w:cstheme="minorHAnsi"/>
                <w:w w:val="95"/>
                <w:sz w:val="20"/>
                <w:szCs w:val="20"/>
                <w:lang w:val="es-ES"/>
              </w:rPr>
              <w:t>deben</w:t>
            </w:r>
            <w:r w:rsidRPr="009A27ED">
              <w:rPr>
                <w:rFonts w:asciiTheme="minorHAnsi" w:hAnsiTheme="minorHAnsi" w:cstheme="minorHAnsi"/>
                <w:spacing w:val="-17"/>
                <w:w w:val="95"/>
                <w:sz w:val="20"/>
                <w:szCs w:val="20"/>
                <w:lang w:val="es-ES"/>
              </w:rPr>
              <w:t xml:space="preserve"> </w:t>
            </w:r>
            <w:r w:rsidRPr="009A27ED">
              <w:rPr>
                <w:rFonts w:asciiTheme="minorHAnsi" w:hAnsiTheme="minorHAnsi" w:cstheme="minorHAnsi"/>
                <w:w w:val="95"/>
                <w:sz w:val="20"/>
                <w:szCs w:val="20"/>
                <w:lang w:val="es-ES"/>
              </w:rPr>
              <w:t>concebir</w:t>
            </w:r>
            <w:r w:rsidRPr="009A27ED">
              <w:rPr>
                <w:rFonts w:asciiTheme="minorHAnsi" w:hAnsiTheme="minorHAnsi" w:cstheme="minorHAnsi"/>
                <w:spacing w:val="-18"/>
                <w:w w:val="95"/>
                <w:sz w:val="20"/>
                <w:szCs w:val="20"/>
                <w:lang w:val="es-ES"/>
              </w:rPr>
              <w:t xml:space="preserve"> </w:t>
            </w:r>
            <w:r w:rsidRPr="009A27ED">
              <w:rPr>
                <w:rFonts w:asciiTheme="minorHAnsi" w:hAnsiTheme="minorHAnsi" w:cstheme="minorHAnsi"/>
                <w:w w:val="95"/>
                <w:sz w:val="20"/>
                <w:szCs w:val="20"/>
                <w:lang w:val="es-ES"/>
              </w:rPr>
              <w:t>y</w:t>
            </w:r>
            <w:r w:rsidRPr="009A27ED">
              <w:rPr>
                <w:rFonts w:asciiTheme="minorHAnsi" w:hAnsiTheme="minorHAnsi" w:cstheme="minorHAnsi"/>
                <w:spacing w:val="-17"/>
                <w:w w:val="95"/>
                <w:sz w:val="20"/>
                <w:szCs w:val="20"/>
                <w:lang w:val="es-ES"/>
              </w:rPr>
              <w:t xml:space="preserve"> </w:t>
            </w:r>
            <w:r w:rsidRPr="009A27ED">
              <w:rPr>
                <w:rFonts w:asciiTheme="minorHAnsi" w:hAnsiTheme="minorHAnsi" w:cstheme="minorHAnsi"/>
                <w:w w:val="95"/>
                <w:sz w:val="20"/>
                <w:szCs w:val="20"/>
                <w:lang w:val="es-ES"/>
              </w:rPr>
              <w:t>ejecutar</w:t>
            </w:r>
            <w:r w:rsidRPr="009A27ED">
              <w:rPr>
                <w:rFonts w:asciiTheme="minorHAnsi" w:hAnsiTheme="minorHAnsi" w:cstheme="minorHAnsi"/>
                <w:spacing w:val="-18"/>
                <w:w w:val="95"/>
                <w:sz w:val="20"/>
                <w:szCs w:val="20"/>
                <w:lang w:val="es-ES"/>
              </w:rPr>
              <w:t xml:space="preserve"> </w:t>
            </w:r>
            <w:r w:rsidRPr="009A27ED">
              <w:rPr>
                <w:rFonts w:asciiTheme="minorHAnsi" w:hAnsiTheme="minorHAnsi" w:cstheme="minorHAnsi"/>
                <w:w w:val="95"/>
                <w:sz w:val="20"/>
                <w:szCs w:val="20"/>
                <w:lang w:val="es-ES"/>
              </w:rPr>
              <w:t>como</w:t>
            </w:r>
            <w:r w:rsidRPr="009A27ED">
              <w:rPr>
                <w:rFonts w:asciiTheme="minorHAnsi" w:hAnsiTheme="minorHAnsi" w:cstheme="minorHAnsi"/>
                <w:spacing w:val="-17"/>
                <w:w w:val="95"/>
                <w:sz w:val="20"/>
                <w:szCs w:val="20"/>
                <w:lang w:val="es-ES"/>
              </w:rPr>
              <w:t xml:space="preserve"> </w:t>
            </w:r>
            <w:r w:rsidRPr="009A27ED">
              <w:rPr>
                <w:rFonts w:asciiTheme="minorHAnsi" w:hAnsiTheme="minorHAnsi" w:cstheme="minorHAnsi"/>
                <w:w w:val="95"/>
                <w:sz w:val="20"/>
                <w:szCs w:val="20"/>
                <w:lang w:val="es-ES"/>
              </w:rPr>
              <w:t>programas</w:t>
            </w:r>
            <w:r w:rsidRPr="009A27ED">
              <w:rPr>
                <w:rFonts w:asciiTheme="minorHAnsi" w:hAnsiTheme="minorHAnsi" w:cstheme="minorHAnsi"/>
                <w:spacing w:val="-16"/>
                <w:w w:val="95"/>
                <w:sz w:val="20"/>
                <w:szCs w:val="20"/>
                <w:lang w:val="es-ES"/>
              </w:rPr>
              <w:t xml:space="preserve"> </w:t>
            </w:r>
            <w:r w:rsidRPr="009A27ED">
              <w:rPr>
                <w:rFonts w:asciiTheme="minorHAnsi" w:hAnsiTheme="minorHAnsi" w:cstheme="minorHAnsi"/>
                <w:w w:val="95"/>
                <w:sz w:val="20"/>
                <w:szCs w:val="20"/>
                <w:lang w:val="es-ES"/>
              </w:rPr>
              <w:t>de desarrollo</w:t>
            </w:r>
            <w:r w:rsidRPr="009A27ED">
              <w:rPr>
                <w:rFonts w:asciiTheme="minorHAnsi" w:hAnsiTheme="minorHAnsi" w:cstheme="minorHAnsi"/>
                <w:spacing w:val="-24"/>
                <w:w w:val="95"/>
                <w:sz w:val="20"/>
                <w:szCs w:val="20"/>
                <w:lang w:val="es-ES"/>
              </w:rPr>
              <w:t xml:space="preserve"> </w:t>
            </w:r>
            <w:r w:rsidRPr="009A27ED">
              <w:rPr>
                <w:rFonts w:asciiTheme="minorHAnsi" w:hAnsiTheme="minorHAnsi" w:cstheme="minorHAnsi"/>
                <w:w w:val="95"/>
                <w:sz w:val="20"/>
                <w:szCs w:val="20"/>
                <w:lang w:val="es-ES"/>
              </w:rPr>
              <w:t>sostenible,</w:t>
            </w:r>
            <w:r w:rsidRPr="009A27ED">
              <w:rPr>
                <w:rFonts w:asciiTheme="minorHAnsi" w:hAnsiTheme="minorHAnsi" w:cstheme="minorHAnsi"/>
                <w:spacing w:val="-25"/>
                <w:w w:val="95"/>
                <w:sz w:val="20"/>
                <w:szCs w:val="20"/>
                <w:lang w:val="es-ES"/>
              </w:rPr>
              <w:t xml:space="preserve"> </w:t>
            </w:r>
            <w:r w:rsidRPr="009A27ED">
              <w:rPr>
                <w:rFonts w:asciiTheme="minorHAnsi" w:hAnsiTheme="minorHAnsi" w:cstheme="minorHAnsi"/>
                <w:w w:val="95"/>
                <w:sz w:val="20"/>
                <w:szCs w:val="20"/>
                <w:lang w:val="es-ES"/>
              </w:rPr>
              <w:t>que</w:t>
            </w:r>
            <w:r w:rsidRPr="009A27ED">
              <w:rPr>
                <w:rFonts w:asciiTheme="minorHAnsi" w:hAnsiTheme="minorHAnsi" w:cstheme="minorHAnsi"/>
                <w:spacing w:val="-26"/>
                <w:w w:val="95"/>
                <w:sz w:val="20"/>
                <w:szCs w:val="20"/>
                <w:lang w:val="es-ES"/>
              </w:rPr>
              <w:t xml:space="preserve"> </w:t>
            </w:r>
            <w:r w:rsidRPr="009A27ED">
              <w:rPr>
                <w:rFonts w:asciiTheme="minorHAnsi" w:hAnsiTheme="minorHAnsi" w:cstheme="minorHAnsi"/>
                <w:w w:val="95"/>
                <w:sz w:val="20"/>
                <w:szCs w:val="20"/>
                <w:lang w:val="es-ES"/>
              </w:rPr>
              <w:t>proporcionen</w:t>
            </w:r>
            <w:r w:rsidRPr="009A27ED">
              <w:rPr>
                <w:rFonts w:asciiTheme="minorHAnsi" w:hAnsiTheme="minorHAnsi" w:cstheme="minorHAnsi"/>
                <w:spacing w:val="-24"/>
                <w:w w:val="95"/>
                <w:sz w:val="20"/>
                <w:szCs w:val="20"/>
                <w:lang w:val="es-ES"/>
              </w:rPr>
              <w:t xml:space="preserve"> </w:t>
            </w:r>
            <w:r w:rsidRPr="009A27ED">
              <w:rPr>
                <w:rFonts w:asciiTheme="minorHAnsi" w:hAnsiTheme="minorHAnsi" w:cstheme="minorHAnsi"/>
                <w:w w:val="95"/>
                <w:sz w:val="20"/>
                <w:szCs w:val="20"/>
                <w:lang w:val="es-ES"/>
              </w:rPr>
              <w:t>recursos</w:t>
            </w:r>
            <w:r w:rsidRPr="009A27ED">
              <w:rPr>
                <w:rFonts w:asciiTheme="minorHAnsi" w:hAnsiTheme="minorHAnsi" w:cstheme="minorHAnsi"/>
                <w:spacing w:val="-25"/>
                <w:w w:val="95"/>
                <w:sz w:val="20"/>
                <w:szCs w:val="20"/>
                <w:lang w:val="es-ES"/>
              </w:rPr>
              <w:t xml:space="preserve"> </w:t>
            </w:r>
            <w:r w:rsidRPr="009A27ED">
              <w:rPr>
                <w:rFonts w:asciiTheme="minorHAnsi" w:hAnsiTheme="minorHAnsi" w:cstheme="minorHAnsi"/>
                <w:w w:val="95"/>
                <w:sz w:val="20"/>
                <w:szCs w:val="20"/>
                <w:lang w:val="es-ES"/>
              </w:rPr>
              <w:t>de</w:t>
            </w:r>
            <w:r w:rsidRPr="009A27ED">
              <w:rPr>
                <w:rFonts w:asciiTheme="minorHAnsi" w:hAnsiTheme="minorHAnsi" w:cstheme="minorHAnsi"/>
                <w:spacing w:val="-25"/>
                <w:w w:val="95"/>
                <w:sz w:val="20"/>
                <w:szCs w:val="20"/>
                <w:lang w:val="es-ES"/>
              </w:rPr>
              <w:t xml:space="preserve"> </w:t>
            </w:r>
            <w:r w:rsidRPr="009A27ED">
              <w:rPr>
                <w:rFonts w:asciiTheme="minorHAnsi" w:hAnsiTheme="minorHAnsi" w:cstheme="minorHAnsi"/>
                <w:w w:val="95"/>
                <w:sz w:val="20"/>
                <w:szCs w:val="20"/>
                <w:lang w:val="es-ES"/>
              </w:rPr>
              <w:t>inversión</w:t>
            </w:r>
            <w:r w:rsidRPr="009A27ED">
              <w:rPr>
                <w:rFonts w:asciiTheme="minorHAnsi" w:hAnsiTheme="minorHAnsi" w:cstheme="minorHAnsi"/>
                <w:spacing w:val="-26"/>
                <w:w w:val="95"/>
                <w:sz w:val="20"/>
                <w:szCs w:val="20"/>
                <w:lang w:val="es-ES"/>
              </w:rPr>
              <w:t xml:space="preserve"> </w:t>
            </w:r>
            <w:r w:rsidRPr="009A27ED">
              <w:rPr>
                <w:rFonts w:asciiTheme="minorHAnsi" w:hAnsiTheme="minorHAnsi" w:cstheme="minorHAnsi"/>
                <w:w w:val="95"/>
                <w:sz w:val="20"/>
                <w:szCs w:val="20"/>
                <w:lang w:val="es-ES"/>
              </w:rPr>
              <w:t>suficientes</w:t>
            </w:r>
            <w:r w:rsidRPr="009A27ED">
              <w:rPr>
                <w:rFonts w:asciiTheme="minorHAnsi" w:hAnsiTheme="minorHAnsi" w:cstheme="minorHAnsi"/>
                <w:spacing w:val="-24"/>
                <w:w w:val="95"/>
                <w:sz w:val="20"/>
                <w:szCs w:val="20"/>
                <w:lang w:val="es-ES"/>
              </w:rPr>
              <w:t xml:space="preserve"> </w:t>
            </w:r>
            <w:r w:rsidRPr="009A27ED">
              <w:rPr>
                <w:rFonts w:asciiTheme="minorHAnsi" w:hAnsiTheme="minorHAnsi" w:cstheme="minorHAnsi"/>
                <w:w w:val="95"/>
                <w:sz w:val="20"/>
                <w:szCs w:val="20"/>
                <w:lang w:val="es-ES"/>
              </w:rPr>
              <w:t>para</w:t>
            </w:r>
            <w:r w:rsidRPr="009A27ED">
              <w:rPr>
                <w:rFonts w:asciiTheme="minorHAnsi" w:hAnsiTheme="minorHAnsi" w:cstheme="minorHAnsi"/>
                <w:spacing w:val="-26"/>
                <w:w w:val="95"/>
                <w:sz w:val="20"/>
                <w:szCs w:val="20"/>
                <w:lang w:val="es-ES"/>
              </w:rPr>
              <w:t xml:space="preserve"> </w:t>
            </w:r>
            <w:r w:rsidRPr="009A27ED">
              <w:rPr>
                <w:rFonts w:asciiTheme="minorHAnsi" w:hAnsiTheme="minorHAnsi" w:cstheme="minorHAnsi"/>
                <w:w w:val="95"/>
                <w:sz w:val="20"/>
                <w:szCs w:val="20"/>
                <w:lang w:val="es-ES"/>
              </w:rPr>
              <w:t>que</w:t>
            </w:r>
            <w:r w:rsidRPr="009A27ED">
              <w:rPr>
                <w:rFonts w:asciiTheme="minorHAnsi" w:hAnsiTheme="minorHAnsi" w:cstheme="minorHAnsi"/>
                <w:spacing w:val="-25"/>
                <w:w w:val="95"/>
                <w:sz w:val="20"/>
                <w:szCs w:val="20"/>
                <w:lang w:val="es-ES"/>
              </w:rPr>
              <w:t xml:space="preserve"> </w:t>
            </w:r>
            <w:r w:rsidRPr="009A27ED">
              <w:rPr>
                <w:rFonts w:asciiTheme="minorHAnsi" w:hAnsiTheme="minorHAnsi" w:cstheme="minorHAnsi"/>
                <w:w w:val="95"/>
                <w:sz w:val="20"/>
                <w:szCs w:val="20"/>
                <w:lang w:val="es-ES"/>
              </w:rPr>
              <w:t>las</w:t>
            </w:r>
            <w:r w:rsidRPr="009A27ED">
              <w:rPr>
                <w:rFonts w:asciiTheme="minorHAnsi" w:hAnsiTheme="minorHAnsi" w:cstheme="minorHAnsi"/>
                <w:spacing w:val="-24"/>
                <w:w w:val="95"/>
                <w:sz w:val="20"/>
                <w:szCs w:val="20"/>
                <w:lang w:val="es-ES"/>
              </w:rPr>
              <w:t xml:space="preserve"> </w:t>
            </w:r>
            <w:r w:rsidRPr="009A27ED">
              <w:rPr>
                <w:rFonts w:asciiTheme="minorHAnsi" w:hAnsiTheme="minorHAnsi" w:cstheme="minorHAnsi"/>
                <w:w w:val="95"/>
                <w:sz w:val="20"/>
                <w:szCs w:val="20"/>
                <w:lang w:val="es-ES"/>
              </w:rPr>
              <w:t>personas desplazadas</w:t>
            </w:r>
            <w:r w:rsidRPr="009A27ED">
              <w:rPr>
                <w:rFonts w:asciiTheme="minorHAnsi" w:hAnsiTheme="minorHAnsi" w:cstheme="minorHAnsi"/>
                <w:spacing w:val="-23"/>
                <w:w w:val="95"/>
                <w:sz w:val="20"/>
                <w:szCs w:val="20"/>
                <w:lang w:val="es-ES"/>
              </w:rPr>
              <w:t xml:space="preserve"> </w:t>
            </w:r>
            <w:r w:rsidRPr="009A27ED">
              <w:rPr>
                <w:rFonts w:asciiTheme="minorHAnsi" w:hAnsiTheme="minorHAnsi" w:cstheme="minorHAnsi"/>
                <w:w w:val="95"/>
                <w:sz w:val="20"/>
                <w:szCs w:val="20"/>
                <w:lang w:val="es-ES"/>
              </w:rPr>
              <w:t>por</w:t>
            </w:r>
            <w:r w:rsidRPr="009A27ED">
              <w:rPr>
                <w:rFonts w:asciiTheme="minorHAnsi" w:hAnsiTheme="minorHAnsi" w:cstheme="minorHAnsi"/>
                <w:spacing w:val="-24"/>
                <w:w w:val="95"/>
                <w:sz w:val="20"/>
                <w:szCs w:val="20"/>
                <w:lang w:val="es-ES"/>
              </w:rPr>
              <w:t xml:space="preserve"> </w:t>
            </w:r>
            <w:r w:rsidRPr="009A27ED">
              <w:rPr>
                <w:rFonts w:asciiTheme="minorHAnsi" w:hAnsiTheme="minorHAnsi" w:cstheme="minorHAnsi"/>
                <w:w w:val="95"/>
                <w:sz w:val="20"/>
                <w:szCs w:val="20"/>
                <w:lang w:val="es-ES"/>
              </w:rPr>
              <w:t>el</w:t>
            </w:r>
            <w:r w:rsidRPr="009A27ED">
              <w:rPr>
                <w:rFonts w:asciiTheme="minorHAnsi" w:hAnsiTheme="minorHAnsi" w:cstheme="minorHAnsi"/>
                <w:spacing w:val="-22"/>
                <w:w w:val="95"/>
                <w:sz w:val="20"/>
                <w:szCs w:val="20"/>
                <w:lang w:val="es-ES"/>
              </w:rPr>
              <w:t xml:space="preserve"> </w:t>
            </w:r>
            <w:r w:rsidRPr="009A27ED">
              <w:rPr>
                <w:rFonts w:asciiTheme="minorHAnsi" w:hAnsiTheme="minorHAnsi" w:cstheme="minorHAnsi"/>
                <w:w w:val="95"/>
                <w:sz w:val="20"/>
                <w:szCs w:val="20"/>
                <w:lang w:val="es-ES"/>
              </w:rPr>
              <w:t>proyecto</w:t>
            </w:r>
            <w:r w:rsidRPr="009A27ED">
              <w:rPr>
                <w:rFonts w:asciiTheme="minorHAnsi" w:hAnsiTheme="minorHAnsi" w:cstheme="minorHAnsi"/>
                <w:spacing w:val="-22"/>
                <w:w w:val="95"/>
                <w:sz w:val="20"/>
                <w:szCs w:val="20"/>
                <w:lang w:val="es-ES"/>
              </w:rPr>
              <w:t xml:space="preserve"> </w:t>
            </w:r>
            <w:r w:rsidRPr="009A27ED">
              <w:rPr>
                <w:rFonts w:asciiTheme="minorHAnsi" w:hAnsiTheme="minorHAnsi" w:cstheme="minorHAnsi"/>
                <w:w w:val="95"/>
                <w:sz w:val="20"/>
                <w:szCs w:val="20"/>
                <w:lang w:val="es-ES"/>
              </w:rPr>
              <w:t>puedan</w:t>
            </w:r>
            <w:r w:rsidRPr="009A27ED">
              <w:rPr>
                <w:rFonts w:asciiTheme="minorHAnsi" w:hAnsiTheme="minorHAnsi" w:cstheme="minorHAnsi"/>
                <w:spacing w:val="-23"/>
                <w:w w:val="95"/>
                <w:sz w:val="20"/>
                <w:szCs w:val="20"/>
                <w:lang w:val="es-ES"/>
              </w:rPr>
              <w:t xml:space="preserve"> </w:t>
            </w:r>
            <w:r w:rsidRPr="009A27ED">
              <w:rPr>
                <w:rFonts w:asciiTheme="minorHAnsi" w:hAnsiTheme="minorHAnsi" w:cstheme="minorHAnsi"/>
                <w:w w:val="95"/>
                <w:sz w:val="20"/>
                <w:szCs w:val="20"/>
                <w:lang w:val="es-ES"/>
              </w:rPr>
              <w:t>participar</w:t>
            </w:r>
            <w:r w:rsidRPr="009A27ED">
              <w:rPr>
                <w:rFonts w:asciiTheme="minorHAnsi" w:hAnsiTheme="minorHAnsi" w:cstheme="minorHAnsi"/>
                <w:spacing w:val="-22"/>
                <w:w w:val="95"/>
                <w:sz w:val="20"/>
                <w:szCs w:val="20"/>
                <w:lang w:val="es-ES"/>
              </w:rPr>
              <w:t xml:space="preserve"> </w:t>
            </w:r>
            <w:r w:rsidRPr="009A27ED">
              <w:rPr>
                <w:rFonts w:asciiTheme="minorHAnsi" w:hAnsiTheme="minorHAnsi" w:cstheme="minorHAnsi"/>
                <w:w w:val="95"/>
                <w:sz w:val="20"/>
                <w:szCs w:val="20"/>
                <w:lang w:val="es-ES"/>
              </w:rPr>
              <w:t>en</w:t>
            </w:r>
            <w:r w:rsidRPr="009A27ED">
              <w:rPr>
                <w:rFonts w:asciiTheme="minorHAnsi" w:hAnsiTheme="minorHAnsi" w:cstheme="minorHAnsi"/>
                <w:spacing w:val="-25"/>
                <w:w w:val="95"/>
                <w:sz w:val="20"/>
                <w:szCs w:val="20"/>
                <w:lang w:val="es-ES"/>
              </w:rPr>
              <w:t xml:space="preserve"> </w:t>
            </w:r>
            <w:r w:rsidRPr="009A27ED">
              <w:rPr>
                <w:rFonts w:asciiTheme="minorHAnsi" w:hAnsiTheme="minorHAnsi" w:cstheme="minorHAnsi"/>
                <w:w w:val="95"/>
                <w:sz w:val="20"/>
                <w:szCs w:val="20"/>
                <w:lang w:val="es-ES"/>
              </w:rPr>
              <w:t>los</w:t>
            </w:r>
            <w:r w:rsidRPr="009A27ED">
              <w:rPr>
                <w:rFonts w:asciiTheme="minorHAnsi" w:hAnsiTheme="minorHAnsi" w:cstheme="minorHAnsi"/>
                <w:spacing w:val="-25"/>
                <w:w w:val="95"/>
                <w:sz w:val="20"/>
                <w:szCs w:val="20"/>
                <w:lang w:val="es-ES"/>
              </w:rPr>
              <w:t xml:space="preserve"> </w:t>
            </w:r>
            <w:r w:rsidRPr="009A27ED">
              <w:rPr>
                <w:rFonts w:asciiTheme="minorHAnsi" w:hAnsiTheme="minorHAnsi" w:cstheme="minorHAnsi"/>
                <w:w w:val="95"/>
                <w:sz w:val="20"/>
                <w:szCs w:val="20"/>
                <w:lang w:val="es-ES"/>
              </w:rPr>
              <w:t>beneficios</w:t>
            </w:r>
            <w:r w:rsidRPr="009A27ED">
              <w:rPr>
                <w:rFonts w:asciiTheme="minorHAnsi" w:hAnsiTheme="minorHAnsi" w:cstheme="minorHAnsi"/>
                <w:spacing w:val="-25"/>
                <w:w w:val="95"/>
                <w:sz w:val="20"/>
                <w:szCs w:val="20"/>
                <w:lang w:val="es-ES"/>
              </w:rPr>
              <w:t xml:space="preserve"> </w:t>
            </w:r>
            <w:r w:rsidRPr="009A27ED">
              <w:rPr>
                <w:rFonts w:asciiTheme="minorHAnsi" w:hAnsiTheme="minorHAnsi" w:cstheme="minorHAnsi"/>
                <w:w w:val="95"/>
                <w:sz w:val="20"/>
                <w:szCs w:val="20"/>
                <w:lang w:val="es-ES"/>
              </w:rPr>
              <w:t>del</w:t>
            </w:r>
            <w:r w:rsidRPr="009A27ED">
              <w:rPr>
                <w:rFonts w:asciiTheme="minorHAnsi" w:hAnsiTheme="minorHAnsi" w:cstheme="minorHAnsi"/>
                <w:spacing w:val="-24"/>
                <w:w w:val="95"/>
                <w:sz w:val="20"/>
                <w:szCs w:val="20"/>
                <w:lang w:val="es-ES"/>
              </w:rPr>
              <w:t xml:space="preserve"> </w:t>
            </w:r>
            <w:r w:rsidRPr="009A27ED">
              <w:rPr>
                <w:rFonts w:asciiTheme="minorHAnsi" w:hAnsiTheme="minorHAnsi" w:cstheme="minorHAnsi"/>
                <w:w w:val="95"/>
                <w:sz w:val="20"/>
                <w:szCs w:val="20"/>
                <w:lang w:val="es-ES"/>
              </w:rPr>
              <w:t>mismo</w:t>
            </w:r>
            <w:r w:rsidRPr="009A27ED">
              <w:rPr>
                <w:rFonts w:asciiTheme="minorHAnsi" w:hAnsiTheme="minorHAnsi" w:cstheme="minorHAnsi"/>
                <w:spacing w:val="-23"/>
                <w:w w:val="95"/>
                <w:sz w:val="20"/>
                <w:szCs w:val="20"/>
                <w:lang w:val="es-ES"/>
              </w:rPr>
              <w:t xml:space="preserve"> </w:t>
            </w:r>
            <w:r w:rsidRPr="009A27ED">
              <w:rPr>
                <w:rFonts w:asciiTheme="minorHAnsi" w:hAnsiTheme="minorHAnsi" w:cstheme="minorHAnsi"/>
                <w:w w:val="95"/>
                <w:sz w:val="20"/>
                <w:szCs w:val="20"/>
                <w:lang w:val="es-ES"/>
              </w:rPr>
              <w:t>y</w:t>
            </w:r>
            <w:r w:rsidRPr="009A27ED">
              <w:rPr>
                <w:rFonts w:asciiTheme="minorHAnsi" w:hAnsiTheme="minorHAnsi" w:cstheme="minorHAnsi"/>
                <w:spacing w:val="-22"/>
                <w:w w:val="95"/>
                <w:sz w:val="20"/>
                <w:szCs w:val="20"/>
                <w:lang w:val="es-ES"/>
              </w:rPr>
              <w:t xml:space="preserve"> </w:t>
            </w:r>
            <w:r w:rsidRPr="009A27ED">
              <w:rPr>
                <w:rFonts w:asciiTheme="minorHAnsi" w:hAnsiTheme="minorHAnsi" w:cstheme="minorHAnsi"/>
                <w:w w:val="95"/>
                <w:sz w:val="20"/>
                <w:szCs w:val="20"/>
                <w:lang w:val="es-ES"/>
              </w:rPr>
              <w:t>en</w:t>
            </w:r>
            <w:r w:rsidRPr="009A27ED">
              <w:rPr>
                <w:rFonts w:asciiTheme="minorHAnsi" w:hAnsiTheme="minorHAnsi" w:cstheme="minorHAnsi"/>
                <w:spacing w:val="-26"/>
                <w:w w:val="95"/>
                <w:sz w:val="20"/>
                <w:szCs w:val="20"/>
                <w:lang w:val="es-ES"/>
              </w:rPr>
              <w:t xml:space="preserve"> </w:t>
            </w:r>
            <w:r w:rsidRPr="009A27ED">
              <w:rPr>
                <w:rFonts w:asciiTheme="minorHAnsi" w:hAnsiTheme="minorHAnsi" w:cstheme="minorHAnsi"/>
                <w:w w:val="95"/>
                <w:sz w:val="20"/>
                <w:szCs w:val="20"/>
                <w:lang w:val="es-ES"/>
              </w:rPr>
              <w:t>ese</w:t>
            </w:r>
            <w:r w:rsidRPr="009A27ED">
              <w:rPr>
                <w:rFonts w:asciiTheme="minorHAnsi" w:hAnsiTheme="minorHAnsi" w:cstheme="minorHAnsi"/>
                <w:spacing w:val="-23"/>
                <w:w w:val="95"/>
                <w:sz w:val="20"/>
                <w:szCs w:val="20"/>
                <w:lang w:val="es-ES"/>
              </w:rPr>
              <w:t xml:space="preserve"> </w:t>
            </w:r>
            <w:r w:rsidRPr="009A27ED">
              <w:rPr>
                <w:rFonts w:asciiTheme="minorHAnsi" w:hAnsiTheme="minorHAnsi" w:cstheme="minorHAnsi"/>
                <w:w w:val="95"/>
                <w:sz w:val="20"/>
                <w:szCs w:val="20"/>
                <w:lang w:val="es-ES"/>
              </w:rPr>
              <w:t>contexto,</w:t>
            </w:r>
            <w:r w:rsidRPr="009A27ED">
              <w:rPr>
                <w:rFonts w:asciiTheme="minorHAnsi" w:hAnsiTheme="minorHAnsi" w:cstheme="minorHAnsi"/>
                <w:spacing w:val="-24"/>
                <w:w w:val="95"/>
                <w:sz w:val="20"/>
                <w:szCs w:val="20"/>
                <w:lang w:val="es-ES"/>
              </w:rPr>
              <w:t xml:space="preserve"> </w:t>
            </w:r>
            <w:r w:rsidRPr="009A27ED">
              <w:rPr>
                <w:rFonts w:asciiTheme="minorHAnsi" w:hAnsiTheme="minorHAnsi" w:cstheme="minorHAnsi"/>
                <w:w w:val="95"/>
                <w:sz w:val="20"/>
                <w:szCs w:val="20"/>
                <w:lang w:val="es-ES"/>
              </w:rPr>
              <w:t>es preciso</w:t>
            </w:r>
            <w:r w:rsidRPr="009A27ED">
              <w:rPr>
                <w:rFonts w:asciiTheme="minorHAnsi" w:hAnsiTheme="minorHAnsi" w:cstheme="minorHAnsi"/>
                <w:spacing w:val="-37"/>
                <w:w w:val="95"/>
                <w:sz w:val="20"/>
                <w:szCs w:val="20"/>
                <w:lang w:val="es-ES"/>
              </w:rPr>
              <w:t xml:space="preserve"> </w:t>
            </w:r>
            <w:r w:rsidRPr="009A27ED">
              <w:rPr>
                <w:rFonts w:asciiTheme="minorHAnsi" w:hAnsiTheme="minorHAnsi" w:cstheme="minorHAnsi"/>
                <w:w w:val="95"/>
                <w:sz w:val="20"/>
                <w:szCs w:val="20"/>
                <w:lang w:val="es-ES"/>
              </w:rPr>
              <w:t>celebrar</w:t>
            </w:r>
            <w:r w:rsidRPr="009A27ED">
              <w:rPr>
                <w:rFonts w:asciiTheme="minorHAnsi" w:hAnsiTheme="minorHAnsi" w:cstheme="minorHAnsi"/>
                <w:spacing w:val="-36"/>
                <w:w w:val="95"/>
                <w:sz w:val="20"/>
                <w:szCs w:val="20"/>
                <w:lang w:val="es-ES"/>
              </w:rPr>
              <w:t xml:space="preserve"> </w:t>
            </w:r>
            <w:r w:rsidRPr="009A27ED">
              <w:rPr>
                <w:rFonts w:asciiTheme="minorHAnsi" w:hAnsiTheme="minorHAnsi" w:cstheme="minorHAnsi"/>
                <w:w w:val="95"/>
                <w:sz w:val="20"/>
                <w:szCs w:val="20"/>
                <w:lang w:val="es-ES"/>
              </w:rPr>
              <w:t>consultas</w:t>
            </w:r>
            <w:r w:rsidRPr="009A27ED">
              <w:rPr>
                <w:rFonts w:asciiTheme="minorHAnsi" w:hAnsiTheme="minorHAnsi" w:cstheme="minorHAnsi"/>
                <w:spacing w:val="-37"/>
                <w:w w:val="95"/>
                <w:sz w:val="20"/>
                <w:szCs w:val="20"/>
                <w:lang w:val="es-ES"/>
              </w:rPr>
              <w:t xml:space="preserve"> </w:t>
            </w:r>
            <w:r w:rsidRPr="009A27ED">
              <w:rPr>
                <w:rFonts w:asciiTheme="minorHAnsi" w:hAnsiTheme="minorHAnsi" w:cstheme="minorHAnsi"/>
                <w:w w:val="95"/>
                <w:sz w:val="20"/>
                <w:szCs w:val="20"/>
                <w:lang w:val="es-ES"/>
              </w:rPr>
              <w:t>satisfactorias</w:t>
            </w:r>
            <w:r w:rsidRPr="009A27ED">
              <w:rPr>
                <w:rFonts w:asciiTheme="minorHAnsi" w:hAnsiTheme="minorHAnsi" w:cstheme="minorHAnsi"/>
                <w:spacing w:val="-37"/>
                <w:w w:val="95"/>
                <w:sz w:val="20"/>
                <w:szCs w:val="20"/>
                <w:lang w:val="es-ES"/>
              </w:rPr>
              <w:t xml:space="preserve"> </w:t>
            </w:r>
            <w:r w:rsidRPr="009A27ED">
              <w:rPr>
                <w:rFonts w:asciiTheme="minorHAnsi" w:hAnsiTheme="minorHAnsi" w:cstheme="minorHAnsi"/>
                <w:w w:val="95"/>
                <w:sz w:val="20"/>
                <w:szCs w:val="20"/>
                <w:lang w:val="es-ES"/>
              </w:rPr>
              <w:t>con</w:t>
            </w:r>
            <w:r w:rsidRPr="009A27ED">
              <w:rPr>
                <w:rFonts w:asciiTheme="minorHAnsi" w:hAnsiTheme="minorHAnsi" w:cstheme="minorHAnsi"/>
                <w:spacing w:val="-37"/>
                <w:w w:val="95"/>
                <w:sz w:val="20"/>
                <w:szCs w:val="20"/>
                <w:lang w:val="es-ES"/>
              </w:rPr>
              <w:t xml:space="preserve"> </w:t>
            </w:r>
            <w:r w:rsidRPr="009A27ED">
              <w:rPr>
                <w:rFonts w:asciiTheme="minorHAnsi" w:hAnsiTheme="minorHAnsi" w:cstheme="minorHAnsi"/>
                <w:w w:val="95"/>
                <w:sz w:val="20"/>
                <w:szCs w:val="20"/>
                <w:lang w:val="es-ES"/>
              </w:rPr>
              <w:t>las</w:t>
            </w:r>
            <w:r w:rsidRPr="009A27ED">
              <w:rPr>
                <w:rFonts w:asciiTheme="minorHAnsi" w:hAnsiTheme="minorHAnsi" w:cstheme="minorHAnsi"/>
                <w:spacing w:val="-36"/>
                <w:w w:val="95"/>
                <w:sz w:val="20"/>
                <w:szCs w:val="20"/>
                <w:lang w:val="es-ES"/>
              </w:rPr>
              <w:t xml:space="preserve"> </w:t>
            </w:r>
            <w:r w:rsidRPr="009A27ED">
              <w:rPr>
                <w:rFonts w:asciiTheme="minorHAnsi" w:hAnsiTheme="minorHAnsi" w:cstheme="minorHAnsi"/>
                <w:w w:val="95"/>
                <w:sz w:val="20"/>
                <w:szCs w:val="20"/>
                <w:lang w:val="es-ES"/>
              </w:rPr>
              <w:t>personas</w:t>
            </w:r>
            <w:r w:rsidRPr="009A27ED">
              <w:rPr>
                <w:rFonts w:asciiTheme="minorHAnsi" w:hAnsiTheme="minorHAnsi" w:cstheme="minorHAnsi"/>
                <w:spacing w:val="-37"/>
                <w:w w:val="95"/>
                <w:sz w:val="20"/>
                <w:szCs w:val="20"/>
                <w:lang w:val="es-ES"/>
              </w:rPr>
              <w:t xml:space="preserve"> </w:t>
            </w:r>
            <w:r w:rsidRPr="009A27ED">
              <w:rPr>
                <w:rFonts w:asciiTheme="minorHAnsi" w:hAnsiTheme="minorHAnsi" w:cstheme="minorHAnsi"/>
                <w:w w:val="95"/>
                <w:sz w:val="20"/>
                <w:szCs w:val="20"/>
                <w:lang w:val="es-ES"/>
              </w:rPr>
              <w:t>desplazadas</w:t>
            </w:r>
            <w:r w:rsidRPr="009A27ED">
              <w:rPr>
                <w:rFonts w:asciiTheme="minorHAnsi" w:hAnsiTheme="minorHAnsi" w:cstheme="minorHAnsi"/>
                <w:spacing w:val="-36"/>
                <w:w w:val="95"/>
                <w:sz w:val="20"/>
                <w:szCs w:val="20"/>
                <w:lang w:val="es-ES"/>
              </w:rPr>
              <w:t xml:space="preserve"> </w:t>
            </w:r>
            <w:r w:rsidRPr="009A27ED">
              <w:rPr>
                <w:rFonts w:asciiTheme="minorHAnsi" w:hAnsiTheme="minorHAnsi" w:cstheme="minorHAnsi"/>
                <w:w w:val="95"/>
                <w:sz w:val="20"/>
                <w:szCs w:val="20"/>
                <w:lang w:val="es-ES"/>
              </w:rPr>
              <w:t>y</w:t>
            </w:r>
            <w:r w:rsidRPr="009A27ED">
              <w:rPr>
                <w:rFonts w:asciiTheme="minorHAnsi" w:hAnsiTheme="minorHAnsi" w:cstheme="minorHAnsi"/>
                <w:spacing w:val="-36"/>
                <w:w w:val="95"/>
                <w:sz w:val="20"/>
                <w:szCs w:val="20"/>
                <w:lang w:val="es-ES"/>
              </w:rPr>
              <w:t xml:space="preserve"> </w:t>
            </w:r>
            <w:r w:rsidRPr="009A27ED">
              <w:rPr>
                <w:rFonts w:asciiTheme="minorHAnsi" w:hAnsiTheme="minorHAnsi" w:cstheme="minorHAnsi"/>
                <w:w w:val="95"/>
                <w:sz w:val="20"/>
                <w:szCs w:val="20"/>
                <w:lang w:val="es-ES"/>
              </w:rPr>
              <w:t>darles</w:t>
            </w:r>
            <w:r w:rsidRPr="009A27ED">
              <w:rPr>
                <w:rFonts w:asciiTheme="minorHAnsi" w:hAnsiTheme="minorHAnsi" w:cstheme="minorHAnsi"/>
                <w:spacing w:val="-37"/>
                <w:w w:val="95"/>
                <w:sz w:val="20"/>
                <w:szCs w:val="20"/>
                <w:lang w:val="es-ES"/>
              </w:rPr>
              <w:t xml:space="preserve"> </w:t>
            </w:r>
            <w:r w:rsidRPr="009A27ED">
              <w:rPr>
                <w:rFonts w:asciiTheme="minorHAnsi" w:hAnsiTheme="minorHAnsi" w:cstheme="minorHAnsi"/>
                <w:w w:val="95"/>
                <w:sz w:val="20"/>
                <w:szCs w:val="20"/>
                <w:lang w:val="es-ES"/>
              </w:rPr>
              <w:t>la</w:t>
            </w:r>
            <w:r w:rsidRPr="009A27ED">
              <w:rPr>
                <w:rFonts w:asciiTheme="minorHAnsi" w:hAnsiTheme="minorHAnsi" w:cstheme="minorHAnsi"/>
                <w:spacing w:val="-36"/>
                <w:w w:val="95"/>
                <w:sz w:val="20"/>
                <w:szCs w:val="20"/>
                <w:lang w:val="es-ES"/>
              </w:rPr>
              <w:t xml:space="preserve"> </w:t>
            </w:r>
            <w:r w:rsidRPr="009A27ED">
              <w:rPr>
                <w:rFonts w:asciiTheme="minorHAnsi" w:hAnsiTheme="minorHAnsi" w:cstheme="minorHAnsi"/>
                <w:w w:val="95"/>
                <w:sz w:val="20"/>
                <w:szCs w:val="20"/>
                <w:lang w:val="es-ES"/>
              </w:rPr>
              <w:t>oportunidad</w:t>
            </w:r>
            <w:r w:rsidRPr="009A27ED">
              <w:rPr>
                <w:rFonts w:asciiTheme="minorHAnsi" w:hAnsiTheme="minorHAnsi" w:cstheme="minorHAnsi"/>
                <w:spacing w:val="-37"/>
                <w:w w:val="95"/>
                <w:sz w:val="20"/>
                <w:szCs w:val="20"/>
                <w:lang w:val="es-ES"/>
              </w:rPr>
              <w:t xml:space="preserve"> </w:t>
            </w:r>
            <w:r w:rsidRPr="009A27ED">
              <w:rPr>
                <w:rFonts w:asciiTheme="minorHAnsi" w:hAnsiTheme="minorHAnsi" w:cstheme="minorHAnsi"/>
                <w:w w:val="95"/>
                <w:sz w:val="20"/>
                <w:szCs w:val="20"/>
                <w:lang w:val="es-ES"/>
              </w:rPr>
              <w:t>de participar</w:t>
            </w:r>
            <w:r w:rsidRPr="009A27ED">
              <w:rPr>
                <w:rFonts w:asciiTheme="minorHAnsi" w:hAnsiTheme="minorHAnsi" w:cstheme="minorHAnsi"/>
                <w:spacing w:val="-34"/>
                <w:w w:val="95"/>
                <w:sz w:val="20"/>
                <w:szCs w:val="20"/>
                <w:lang w:val="es-ES"/>
              </w:rPr>
              <w:t xml:space="preserve"> </w:t>
            </w:r>
            <w:r w:rsidRPr="009A27ED">
              <w:rPr>
                <w:rFonts w:asciiTheme="minorHAnsi" w:hAnsiTheme="minorHAnsi" w:cstheme="minorHAnsi"/>
                <w:w w:val="95"/>
                <w:sz w:val="20"/>
                <w:szCs w:val="20"/>
                <w:lang w:val="es-ES"/>
              </w:rPr>
              <w:t>en</w:t>
            </w:r>
            <w:r w:rsidRPr="009A27ED">
              <w:rPr>
                <w:rFonts w:asciiTheme="minorHAnsi" w:hAnsiTheme="minorHAnsi" w:cstheme="minorHAnsi"/>
                <w:spacing w:val="-34"/>
                <w:w w:val="95"/>
                <w:sz w:val="20"/>
                <w:szCs w:val="20"/>
                <w:lang w:val="es-ES"/>
              </w:rPr>
              <w:t xml:space="preserve"> </w:t>
            </w:r>
            <w:r w:rsidRPr="009A27ED">
              <w:rPr>
                <w:rFonts w:asciiTheme="minorHAnsi" w:hAnsiTheme="minorHAnsi" w:cstheme="minorHAnsi"/>
                <w:w w:val="95"/>
                <w:sz w:val="20"/>
                <w:szCs w:val="20"/>
                <w:lang w:val="es-ES"/>
              </w:rPr>
              <w:t>la</w:t>
            </w:r>
            <w:r w:rsidRPr="009A27ED">
              <w:rPr>
                <w:rFonts w:asciiTheme="minorHAnsi" w:hAnsiTheme="minorHAnsi" w:cstheme="minorHAnsi"/>
                <w:spacing w:val="-35"/>
                <w:w w:val="95"/>
                <w:sz w:val="20"/>
                <w:szCs w:val="20"/>
                <w:lang w:val="es-ES"/>
              </w:rPr>
              <w:t xml:space="preserve"> </w:t>
            </w:r>
            <w:r w:rsidRPr="009A27ED">
              <w:rPr>
                <w:rFonts w:asciiTheme="minorHAnsi" w:hAnsiTheme="minorHAnsi" w:cstheme="minorHAnsi"/>
                <w:w w:val="95"/>
                <w:sz w:val="20"/>
                <w:szCs w:val="20"/>
                <w:lang w:val="es-ES"/>
              </w:rPr>
              <w:t>planificación</w:t>
            </w:r>
            <w:r w:rsidRPr="009A27ED">
              <w:rPr>
                <w:rFonts w:asciiTheme="minorHAnsi" w:hAnsiTheme="minorHAnsi" w:cstheme="minorHAnsi"/>
                <w:spacing w:val="-34"/>
                <w:w w:val="95"/>
                <w:sz w:val="20"/>
                <w:szCs w:val="20"/>
                <w:lang w:val="es-ES"/>
              </w:rPr>
              <w:t xml:space="preserve"> </w:t>
            </w:r>
            <w:r w:rsidRPr="009A27ED">
              <w:rPr>
                <w:rFonts w:asciiTheme="minorHAnsi" w:hAnsiTheme="minorHAnsi" w:cstheme="minorHAnsi"/>
                <w:w w:val="95"/>
                <w:sz w:val="20"/>
                <w:szCs w:val="20"/>
                <w:lang w:val="es-ES"/>
              </w:rPr>
              <w:t>y</w:t>
            </w:r>
            <w:r w:rsidRPr="009A27ED">
              <w:rPr>
                <w:rFonts w:asciiTheme="minorHAnsi" w:hAnsiTheme="minorHAnsi" w:cstheme="minorHAnsi"/>
                <w:spacing w:val="-33"/>
                <w:w w:val="95"/>
                <w:sz w:val="20"/>
                <w:szCs w:val="20"/>
                <w:lang w:val="es-ES"/>
              </w:rPr>
              <w:t xml:space="preserve"> </w:t>
            </w:r>
            <w:r w:rsidRPr="009A27ED">
              <w:rPr>
                <w:rFonts w:asciiTheme="minorHAnsi" w:hAnsiTheme="minorHAnsi" w:cstheme="minorHAnsi"/>
                <w:w w:val="95"/>
                <w:sz w:val="20"/>
                <w:szCs w:val="20"/>
                <w:lang w:val="es-ES"/>
              </w:rPr>
              <w:t>ejecución</w:t>
            </w:r>
            <w:r w:rsidRPr="009A27ED">
              <w:rPr>
                <w:rFonts w:asciiTheme="minorHAnsi" w:hAnsiTheme="minorHAnsi" w:cstheme="minorHAnsi"/>
                <w:spacing w:val="-35"/>
                <w:w w:val="95"/>
                <w:sz w:val="20"/>
                <w:szCs w:val="20"/>
                <w:lang w:val="es-ES"/>
              </w:rPr>
              <w:t xml:space="preserve"> </w:t>
            </w:r>
            <w:r w:rsidRPr="009A27ED">
              <w:rPr>
                <w:rFonts w:asciiTheme="minorHAnsi" w:hAnsiTheme="minorHAnsi" w:cstheme="minorHAnsi"/>
                <w:w w:val="95"/>
                <w:sz w:val="20"/>
                <w:szCs w:val="20"/>
                <w:lang w:val="es-ES"/>
              </w:rPr>
              <w:t>de</w:t>
            </w:r>
            <w:r w:rsidRPr="009A27ED">
              <w:rPr>
                <w:rFonts w:asciiTheme="minorHAnsi" w:hAnsiTheme="minorHAnsi" w:cstheme="minorHAnsi"/>
                <w:spacing w:val="-33"/>
                <w:w w:val="95"/>
                <w:sz w:val="20"/>
                <w:szCs w:val="20"/>
                <w:lang w:val="es-ES"/>
              </w:rPr>
              <w:t xml:space="preserve"> </w:t>
            </w:r>
            <w:r w:rsidRPr="009A27ED">
              <w:rPr>
                <w:rFonts w:asciiTheme="minorHAnsi" w:hAnsiTheme="minorHAnsi" w:cstheme="minorHAnsi"/>
                <w:w w:val="95"/>
                <w:sz w:val="20"/>
                <w:szCs w:val="20"/>
                <w:lang w:val="es-ES"/>
              </w:rPr>
              <w:t>los</w:t>
            </w:r>
            <w:r w:rsidRPr="009A27ED">
              <w:rPr>
                <w:rFonts w:asciiTheme="minorHAnsi" w:hAnsiTheme="minorHAnsi" w:cstheme="minorHAnsi"/>
                <w:spacing w:val="-33"/>
                <w:w w:val="95"/>
                <w:sz w:val="20"/>
                <w:szCs w:val="20"/>
                <w:lang w:val="es-ES"/>
              </w:rPr>
              <w:t xml:space="preserve"> </w:t>
            </w:r>
            <w:r w:rsidRPr="009A27ED">
              <w:rPr>
                <w:rFonts w:asciiTheme="minorHAnsi" w:hAnsiTheme="minorHAnsi" w:cstheme="minorHAnsi"/>
                <w:w w:val="95"/>
                <w:sz w:val="20"/>
                <w:szCs w:val="20"/>
                <w:lang w:val="es-ES"/>
              </w:rPr>
              <w:t>programas</w:t>
            </w:r>
            <w:r w:rsidRPr="009A27ED">
              <w:rPr>
                <w:rFonts w:asciiTheme="minorHAnsi" w:hAnsiTheme="minorHAnsi" w:cstheme="minorHAnsi"/>
                <w:spacing w:val="-34"/>
                <w:w w:val="95"/>
                <w:sz w:val="20"/>
                <w:szCs w:val="20"/>
                <w:lang w:val="es-ES"/>
              </w:rPr>
              <w:t xml:space="preserve"> </w:t>
            </w:r>
            <w:r w:rsidRPr="009A27ED">
              <w:rPr>
                <w:rFonts w:asciiTheme="minorHAnsi" w:hAnsiTheme="minorHAnsi" w:cstheme="minorHAnsi"/>
                <w:w w:val="95"/>
                <w:sz w:val="20"/>
                <w:szCs w:val="20"/>
                <w:lang w:val="es-ES"/>
              </w:rPr>
              <w:t>de</w:t>
            </w:r>
            <w:r w:rsidRPr="009A27ED">
              <w:rPr>
                <w:rFonts w:asciiTheme="minorHAnsi" w:hAnsiTheme="minorHAnsi" w:cstheme="minorHAnsi"/>
                <w:spacing w:val="-33"/>
                <w:w w:val="95"/>
                <w:sz w:val="20"/>
                <w:szCs w:val="20"/>
                <w:lang w:val="es-ES"/>
              </w:rPr>
              <w:t xml:space="preserve"> </w:t>
            </w:r>
            <w:r w:rsidRPr="009A27ED">
              <w:rPr>
                <w:rFonts w:asciiTheme="minorHAnsi" w:hAnsiTheme="minorHAnsi" w:cstheme="minorHAnsi"/>
                <w:w w:val="95"/>
                <w:sz w:val="20"/>
                <w:szCs w:val="20"/>
                <w:lang w:val="es-ES"/>
              </w:rPr>
              <w:t>reasentamiento</w:t>
            </w:r>
            <w:r w:rsidRPr="009A27ED">
              <w:rPr>
                <w:rFonts w:asciiTheme="minorHAnsi" w:hAnsiTheme="minorHAnsi" w:cstheme="minorHAnsi"/>
                <w:spacing w:val="-34"/>
                <w:w w:val="95"/>
                <w:sz w:val="20"/>
                <w:szCs w:val="20"/>
                <w:lang w:val="es-ES"/>
              </w:rPr>
              <w:t xml:space="preserve"> </w:t>
            </w:r>
            <w:r w:rsidRPr="009A27ED">
              <w:rPr>
                <w:rFonts w:asciiTheme="minorHAnsi" w:hAnsiTheme="minorHAnsi" w:cstheme="minorHAnsi"/>
                <w:w w:val="95"/>
                <w:sz w:val="20"/>
                <w:szCs w:val="20"/>
                <w:lang w:val="es-ES"/>
              </w:rPr>
              <w:t>y</w:t>
            </w:r>
            <w:r w:rsidRPr="009A27ED">
              <w:rPr>
                <w:rFonts w:asciiTheme="minorHAnsi" w:hAnsiTheme="minorHAnsi" w:cstheme="minorHAnsi"/>
                <w:spacing w:val="-33"/>
                <w:w w:val="95"/>
                <w:sz w:val="20"/>
                <w:szCs w:val="20"/>
                <w:lang w:val="es-ES"/>
              </w:rPr>
              <w:t xml:space="preserve"> </w:t>
            </w:r>
            <w:proofErr w:type="spellStart"/>
            <w:r w:rsidRPr="009A27ED">
              <w:rPr>
                <w:rFonts w:asciiTheme="minorHAnsi" w:hAnsiTheme="minorHAnsi" w:cstheme="minorHAnsi"/>
                <w:w w:val="95"/>
                <w:sz w:val="20"/>
                <w:szCs w:val="20"/>
                <w:lang w:val="es-ES"/>
              </w:rPr>
              <w:t>iii</w:t>
            </w:r>
            <w:proofErr w:type="spellEnd"/>
            <w:r w:rsidRPr="009A27ED">
              <w:rPr>
                <w:rFonts w:asciiTheme="minorHAnsi" w:hAnsiTheme="minorHAnsi" w:cstheme="minorHAnsi"/>
                <w:w w:val="95"/>
                <w:sz w:val="20"/>
                <w:szCs w:val="20"/>
                <w:lang w:val="es-ES"/>
              </w:rPr>
              <w:t>)</w:t>
            </w:r>
            <w:r w:rsidRPr="009A27ED">
              <w:rPr>
                <w:rFonts w:asciiTheme="minorHAnsi" w:hAnsiTheme="minorHAnsi" w:cstheme="minorHAnsi"/>
                <w:spacing w:val="-34"/>
                <w:w w:val="95"/>
                <w:sz w:val="20"/>
                <w:szCs w:val="20"/>
                <w:lang w:val="es-ES"/>
              </w:rPr>
              <w:t xml:space="preserve"> </w:t>
            </w:r>
            <w:r w:rsidRPr="009A27ED">
              <w:rPr>
                <w:rFonts w:asciiTheme="minorHAnsi" w:hAnsiTheme="minorHAnsi" w:cstheme="minorHAnsi"/>
                <w:w w:val="95"/>
                <w:sz w:val="20"/>
                <w:szCs w:val="20"/>
                <w:lang w:val="es-ES"/>
              </w:rPr>
              <w:t>Se</w:t>
            </w:r>
            <w:r w:rsidRPr="009A27ED">
              <w:rPr>
                <w:rFonts w:asciiTheme="minorHAnsi" w:hAnsiTheme="minorHAnsi" w:cstheme="minorHAnsi"/>
                <w:spacing w:val="-33"/>
                <w:w w:val="95"/>
                <w:sz w:val="20"/>
                <w:szCs w:val="20"/>
                <w:lang w:val="es-ES"/>
              </w:rPr>
              <w:t xml:space="preserve"> </w:t>
            </w:r>
            <w:r w:rsidRPr="009A27ED">
              <w:rPr>
                <w:rFonts w:asciiTheme="minorHAnsi" w:hAnsiTheme="minorHAnsi" w:cstheme="minorHAnsi"/>
                <w:w w:val="95"/>
                <w:sz w:val="20"/>
                <w:szCs w:val="20"/>
                <w:lang w:val="es-ES"/>
              </w:rPr>
              <w:t>debe</w:t>
            </w:r>
            <w:r w:rsidRPr="009A27ED">
              <w:rPr>
                <w:rFonts w:asciiTheme="minorHAnsi" w:hAnsiTheme="minorHAnsi" w:cstheme="minorHAnsi"/>
                <w:spacing w:val="-35"/>
                <w:w w:val="95"/>
                <w:sz w:val="20"/>
                <w:szCs w:val="20"/>
                <w:lang w:val="es-ES"/>
              </w:rPr>
              <w:t xml:space="preserve"> </w:t>
            </w:r>
            <w:r w:rsidRPr="009A27ED">
              <w:rPr>
                <w:rFonts w:asciiTheme="minorHAnsi" w:hAnsiTheme="minorHAnsi" w:cstheme="minorHAnsi"/>
                <w:w w:val="95"/>
                <w:sz w:val="20"/>
                <w:szCs w:val="20"/>
                <w:lang w:val="es-ES"/>
              </w:rPr>
              <w:t>ayudar a</w:t>
            </w:r>
            <w:r w:rsidRPr="009A27ED">
              <w:rPr>
                <w:rFonts w:asciiTheme="minorHAnsi" w:hAnsiTheme="minorHAnsi" w:cstheme="minorHAnsi"/>
                <w:spacing w:val="-42"/>
                <w:w w:val="95"/>
                <w:sz w:val="20"/>
                <w:szCs w:val="20"/>
                <w:lang w:val="es-ES"/>
              </w:rPr>
              <w:t xml:space="preserve"> </w:t>
            </w:r>
            <w:r w:rsidRPr="009A27ED">
              <w:rPr>
                <w:rFonts w:asciiTheme="minorHAnsi" w:hAnsiTheme="minorHAnsi" w:cstheme="minorHAnsi"/>
                <w:w w:val="95"/>
                <w:sz w:val="20"/>
                <w:szCs w:val="20"/>
                <w:lang w:val="es-ES"/>
              </w:rPr>
              <w:t>las</w:t>
            </w:r>
            <w:r w:rsidRPr="009A27ED">
              <w:rPr>
                <w:rFonts w:asciiTheme="minorHAnsi" w:hAnsiTheme="minorHAnsi" w:cstheme="minorHAnsi"/>
                <w:spacing w:val="-41"/>
                <w:w w:val="95"/>
                <w:sz w:val="20"/>
                <w:szCs w:val="20"/>
                <w:lang w:val="es-ES"/>
              </w:rPr>
              <w:t xml:space="preserve"> </w:t>
            </w:r>
            <w:r w:rsidRPr="009A27ED">
              <w:rPr>
                <w:rFonts w:asciiTheme="minorHAnsi" w:hAnsiTheme="minorHAnsi" w:cstheme="minorHAnsi"/>
                <w:w w:val="95"/>
                <w:sz w:val="20"/>
                <w:szCs w:val="20"/>
                <w:lang w:val="es-ES"/>
              </w:rPr>
              <w:t>personas</w:t>
            </w:r>
            <w:r w:rsidRPr="009A27ED">
              <w:rPr>
                <w:rFonts w:asciiTheme="minorHAnsi" w:hAnsiTheme="minorHAnsi" w:cstheme="minorHAnsi"/>
                <w:spacing w:val="-41"/>
                <w:w w:val="95"/>
                <w:sz w:val="20"/>
                <w:szCs w:val="20"/>
                <w:lang w:val="es-ES"/>
              </w:rPr>
              <w:t xml:space="preserve"> </w:t>
            </w:r>
            <w:r w:rsidRPr="009A27ED">
              <w:rPr>
                <w:rFonts w:asciiTheme="minorHAnsi" w:hAnsiTheme="minorHAnsi" w:cstheme="minorHAnsi"/>
                <w:w w:val="95"/>
                <w:sz w:val="20"/>
                <w:szCs w:val="20"/>
                <w:lang w:val="es-ES"/>
              </w:rPr>
              <w:t>desplazadas</w:t>
            </w:r>
            <w:r w:rsidRPr="009A27ED">
              <w:rPr>
                <w:rFonts w:asciiTheme="minorHAnsi" w:hAnsiTheme="minorHAnsi" w:cstheme="minorHAnsi"/>
                <w:spacing w:val="-42"/>
                <w:w w:val="95"/>
                <w:sz w:val="20"/>
                <w:szCs w:val="20"/>
                <w:lang w:val="es-ES"/>
              </w:rPr>
              <w:t xml:space="preserve"> </w:t>
            </w:r>
            <w:r w:rsidRPr="009A27ED">
              <w:rPr>
                <w:rFonts w:asciiTheme="minorHAnsi" w:hAnsiTheme="minorHAnsi" w:cstheme="minorHAnsi"/>
                <w:w w:val="95"/>
                <w:sz w:val="20"/>
                <w:szCs w:val="20"/>
                <w:lang w:val="es-ES"/>
              </w:rPr>
              <w:t>en</w:t>
            </w:r>
            <w:r w:rsidRPr="009A27ED">
              <w:rPr>
                <w:rFonts w:asciiTheme="minorHAnsi" w:hAnsiTheme="minorHAnsi" w:cstheme="minorHAnsi"/>
                <w:spacing w:val="-41"/>
                <w:w w:val="95"/>
                <w:sz w:val="20"/>
                <w:szCs w:val="20"/>
                <w:lang w:val="es-ES"/>
              </w:rPr>
              <w:t xml:space="preserve"> </w:t>
            </w:r>
            <w:r w:rsidRPr="009A27ED">
              <w:rPr>
                <w:rFonts w:asciiTheme="minorHAnsi" w:hAnsiTheme="minorHAnsi" w:cstheme="minorHAnsi"/>
                <w:w w:val="95"/>
                <w:sz w:val="20"/>
                <w:szCs w:val="20"/>
                <w:lang w:val="es-ES"/>
              </w:rPr>
              <w:t>sus</w:t>
            </w:r>
            <w:r w:rsidRPr="009A27ED">
              <w:rPr>
                <w:rFonts w:asciiTheme="minorHAnsi" w:hAnsiTheme="minorHAnsi" w:cstheme="minorHAnsi"/>
                <w:spacing w:val="-41"/>
                <w:w w:val="95"/>
                <w:sz w:val="20"/>
                <w:szCs w:val="20"/>
                <w:lang w:val="es-ES"/>
              </w:rPr>
              <w:t xml:space="preserve"> </w:t>
            </w:r>
            <w:r w:rsidRPr="009A27ED">
              <w:rPr>
                <w:rFonts w:asciiTheme="minorHAnsi" w:hAnsiTheme="minorHAnsi" w:cstheme="minorHAnsi"/>
                <w:w w:val="95"/>
                <w:sz w:val="20"/>
                <w:szCs w:val="20"/>
                <w:lang w:val="es-ES"/>
              </w:rPr>
              <w:t>esfuerzos</w:t>
            </w:r>
            <w:r w:rsidRPr="009A27ED">
              <w:rPr>
                <w:rFonts w:asciiTheme="minorHAnsi" w:hAnsiTheme="minorHAnsi" w:cstheme="minorHAnsi"/>
                <w:spacing w:val="-41"/>
                <w:w w:val="95"/>
                <w:sz w:val="20"/>
                <w:szCs w:val="20"/>
                <w:lang w:val="es-ES"/>
              </w:rPr>
              <w:t xml:space="preserve"> </w:t>
            </w:r>
            <w:r w:rsidRPr="009A27ED">
              <w:rPr>
                <w:rFonts w:asciiTheme="minorHAnsi" w:hAnsiTheme="minorHAnsi" w:cstheme="minorHAnsi"/>
                <w:w w:val="95"/>
                <w:sz w:val="20"/>
                <w:szCs w:val="20"/>
                <w:lang w:val="es-ES"/>
              </w:rPr>
              <w:t>por</w:t>
            </w:r>
            <w:r w:rsidRPr="009A27ED">
              <w:rPr>
                <w:rFonts w:asciiTheme="minorHAnsi" w:hAnsiTheme="minorHAnsi" w:cstheme="minorHAnsi"/>
                <w:spacing w:val="-42"/>
                <w:w w:val="95"/>
                <w:sz w:val="20"/>
                <w:szCs w:val="20"/>
                <w:lang w:val="es-ES"/>
              </w:rPr>
              <w:t xml:space="preserve"> </w:t>
            </w:r>
            <w:r w:rsidRPr="009A27ED">
              <w:rPr>
                <w:rFonts w:asciiTheme="minorHAnsi" w:hAnsiTheme="minorHAnsi" w:cstheme="minorHAnsi"/>
                <w:w w:val="95"/>
                <w:sz w:val="20"/>
                <w:szCs w:val="20"/>
                <w:lang w:val="es-ES"/>
              </w:rPr>
              <w:t>mejorar</w:t>
            </w:r>
            <w:r w:rsidRPr="009A27ED">
              <w:rPr>
                <w:rFonts w:asciiTheme="minorHAnsi" w:hAnsiTheme="minorHAnsi" w:cstheme="minorHAnsi"/>
                <w:spacing w:val="-41"/>
                <w:w w:val="95"/>
                <w:sz w:val="20"/>
                <w:szCs w:val="20"/>
                <w:lang w:val="es-ES"/>
              </w:rPr>
              <w:t xml:space="preserve"> </w:t>
            </w:r>
            <w:r w:rsidRPr="009A27ED">
              <w:rPr>
                <w:rFonts w:asciiTheme="minorHAnsi" w:hAnsiTheme="minorHAnsi" w:cstheme="minorHAnsi"/>
                <w:w w:val="95"/>
                <w:sz w:val="20"/>
                <w:szCs w:val="20"/>
                <w:lang w:val="es-ES"/>
              </w:rPr>
              <w:t>sus</w:t>
            </w:r>
            <w:r w:rsidRPr="009A27ED">
              <w:rPr>
                <w:rFonts w:asciiTheme="minorHAnsi" w:hAnsiTheme="minorHAnsi" w:cstheme="minorHAnsi"/>
                <w:spacing w:val="-41"/>
                <w:w w:val="95"/>
                <w:sz w:val="20"/>
                <w:szCs w:val="20"/>
                <w:lang w:val="es-ES"/>
              </w:rPr>
              <w:t xml:space="preserve"> </w:t>
            </w:r>
            <w:r w:rsidRPr="009A27ED">
              <w:rPr>
                <w:rFonts w:asciiTheme="minorHAnsi" w:hAnsiTheme="minorHAnsi" w:cstheme="minorHAnsi"/>
                <w:w w:val="95"/>
                <w:sz w:val="20"/>
                <w:szCs w:val="20"/>
                <w:lang w:val="es-ES"/>
              </w:rPr>
              <w:t>medios</w:t>
            </w:r>
            <w:r w:rsidRPr="009A27ED">
              <w:rPr>
                <w:rFonts w:asciiTheme="minorHAnsi" w:hAnsiTheme="minorHAnsi" w:cstheme="minorHAnsi"/>
                <w:spacing w:val="-41"/>
                <w:w w:val="95"/>
                <w:sz w:val="20"/>
                <w:szCs w:val="20"/>
                <w:lang w:val="es-ES"/>
              </w:rPr>
              <w:t xml:space="preserve"> </w:t>
            </w:r>
            <w:r w:rsidRPr="009A27ED">
              <w:rPr>
                <w:rFonts w:asciiTheme="minorHAnsi" w:hAnsiTheme="minorHAnsi" w:cstheme="minorHAnsi"/>
                <w:w w:val="95"/>
                <w:sz w:val="20"/>
                <w:szCs w:val="20"/>
                <w:lang w:val="es-ES"/>
              </w:rPr>
              <w:t>de</w:t>
            </w:r>
            <w:r w:rsidRPr="009A27ED">
              <w:rPr>
                <w:rFonts w:asciiTheme="minorHAnsi" w:hAnsiTheme="minorHAnsi" w:cstheme="minorHAnsi"/>
                <w:spacing w:val="-40"/>
                <w:w w:val="95"/>
                <w:sz w:val="20"/>
                <w:szCs w:val="20"/>
                <w:lang w:val="es-ES"/>
              </w:rPr>
              <w:t xml:space="preserve"> </w:t>
            </w:r>
            <w:r w:rsidRPr="009A27ED">
              <w:rPr>
                <w:rFonts w:asciiTheme="minorHAnsi" w:hAnsiTheme="minorHAnsi" w:cstheme="minorHAnsi"/>
                <w:w w:val="95"/>
                <w:sz w:val="20"/>
                <w:szCs w:val="20"/>
                <w:lang w:val="es-ES"/>
              </w:rPr>
              <w:t>subsistencia</w:t>
            </w:r>
            <w:r w:rsidRPr="009A27ED">
              <w:rPr>
                <w:rFonts w:asciiTheme="minorHAnsi" w:hAnsiTheme="minorHAnsi" w:cstheme="minorHAnsi"/>
                <w:spacing w:val="-42"/>
                <w:w w:val="95"/>
                <w:sz w:val="20"/>
                <w:szCs w:val="20"/>
                <w:lang w:val="es-ES"/>
              </w:rPr>
              <w:t xml:space="preserve"> </w:t>
            </w:r>
            <w:r w:rsidRPr="009A27ED">
              <w:rPr>
                <w:rFonts w:asciiTheme="minorHAnsi" w:hAnsiTheme="minorHAnsi" w:cstheme="minorHAnsi"/>
                <w:w w:val="95"/>
                <w:sz w:val="20"/>
                <w:szCs w:val="20"/>
                <w:lang w:val="es-ES"/>
              </w:rPr>
              <w:t>y</w:t>
            </w:r>
            <w:r w:rsidRPr="009A27ED">
              <w:rPr>
                <w:rFonts w:asciiTheme="minorHAnsi" w:hAnsiTheme="minorHAnsi" w:cstheme="minorHAnsi"/>
                <w:spacing w:val="-40"/>
                <w:w w:val="95"/>
                <w:sz w:val="20"/>
                <w:szCs w:val="20"/>
                <w:lang w:val="es-ES"/>
              </w:rPr>
              <w:t xml:space="preserve"> </w:t>
            </w:r>
            <w:r w:rsidRPr="009A27ED">
              <w:rPr>
                <w:rFonts w:asciiTheme="minorHAnsi" w:hAnsiTheme="minorHAnsi" w:cstheme="minorHAnsi"/>
                <w:w w:val="95"/>
                <w:sz w:val="20"/>
                <w:szCs w:val="20"/>
                <w:lang w:val="es-ES"/>
              </w:rPr>
              <w:t>sus</w:t>
            </w:r>
            <w:r w:rsidRPr="009A27ED">
              <w:rPr>
                <w:rFonts w:asciiTheme="minorHAnsi" w:hAnsiTheme="minorHAnsi" w:cstheme="minorHAnsi"/>
                <w:spacing w:val="-41"/>
                <w:w w:val="95"/>
                <w:sz w:val="20"/>
                <w:szCs w:val="20"/>
                <w:lang w:val="es-ES"/>
              </w:rPr>
              <w:t xml:space="preserve"> </w:t>
            </w:r>
            <w:r w:rsidRPr="009A27ED">
              <w:rPr>
                <w:rFonts w:asciiTheme="minorHAnsi" w:hAnsiTheme="minorHAnsi" w:cstheme="minorHAnsi"/>
                <w:w w:val="95"/>
                <w:sz w:val="20"/>
                <w:szCs w:val="20"/>
                <w:lang w:val="es-ES"/>
              </w:rPr>
              <w:t xml:space="preserve">niveles </w:t>
            </w:r>
            <w:r w:rsidRPr="009A27ED">
              <w:rPr>
                <w:rFonts w:asciiTheme="minorHAnsi" w:hAnsiTheme="minorHAnsi" w:cstheme="minorHAnsi"/>
                <w:sz w:val="20"/>
                <w:szCs w:val="20"/>
                <w:lang w:val="es-ES"/>
              </w:rPr>
              <w:t xml:space="preserve">de vida, o al menos devolverles, en términos reales, los niveles que tenían antes de ser </w:t>
            </w:r>
            <w:r w:rsidRPr="009A27ED">
              <w:rPr>
                <w:rFonts w:asciiTheme="minorHAnsi" w:hAnsiTheme="minorHAnsi" w:cstheme="minorHAnsi"/>
                <w:w w:val="95"/>
                <w:sz w:val="20"/>
                <w:szCs w:val="20"/>
                <w:lang w:val="es-ES"/>
              </w:rPr>
              <w:t>desplazados</w:t>
            </w:r>
            <w:r w:rsidRPr="009A27ED">
              <w:rPr>
                <w:rFonts w:asciiTheme="minorHAnsi" w:hAnsiTheme="minorHAnsi" w:cstheme="minorHAnsi"/>
                <w:spacing w:val="-31"/>
                <w:w w:val="95"/>
                <w:sz w:val="20"/>
                <w:szCs w:val="20"/>
                <w:lang w:val="es-ES"/>
              </w:rPr>
              <w:t xml:space="preserve"> </w:t>
            </w:r>
            <w:r w:rsidRPr="009A27ED">
              <w:rPr>
                <w:rFonts w:asciiTheme="minorHAnsi" w:hAnsiTheme="minorHAnsi" w:cstheme="minorHAnsi"/>
                <w:w w:val="95"/>
                <w:sz w:val="20"/>
                <w:szCs w:val="20"/>
                <w:lang w:val="es-ES"/>
              </w:rPr>
              <w:t>o</w:t>
            </w:r>
            <w:r w:rsidRPr="009A27ED">
              <w:rPr>
                <w:rFonts w:asciiTheme="minorHAnsi" w:hAnsiTheme="minorHAnsi" w:cstheme="minorHAnsi"/>
                <w:spacing w:val="-27"/>
                <w:w w:val="95"/>
                <w:sz w:val="20"/>
                <w:szCs w:val="20"/>
                <w:lang w:val="es-ES"/>
              </w:rPr>
              <w:t xml:space="preserve"> </w:t>
            </w:r>
            <w:r w:rsidRPr="009A27ED">
              <w:rPr>
                <w:rFonts w:asciiTheme="minorHAnsi" w:hAnsiTheme="minorHAnsi" w:cstheme="minorHAnsi"/>
                <w:w w:val="95"/>
                <w:sz w:val="20"/>
                <w:szCs w:val="20"/>
                <w:lang w:val="es-ES"/>
              </w:rPr>
              <w:t>antes</w:t>
            </w:r>
            <w:r w:rsidRPr="009A27ED">
              <w:rPr>
                <w:rFonts w:asciiTheme="minorHAnsi" w:hAnsiTheme="minorHAnsi" w:cstheme="minorHAnsi"/>
                <w:spacing w:val="-31"/>
                <w:w w:val="95"/>
                <w:sz w:val="20"/>
                <w:szCs w:val="20"/>
                <w:lang w:val="es-ES"/>
              </w:rPr>
              <w:t xml:space="preserve"> </w:t>
            </w:r>
            <w:r w:rsidRPr="009A27ED">
              <w:rPr>
                <w:rFonts w:asciiTheme="minorHAnsi" w:hAnsiTheme="minorHAnsi" w:cstheme="minorHAnsi"/>
                <w:w w:val="95"/>
                <w:sz w:val="20"/>
                <w:szCs w:val="20"/>
                <w:lang w:val="es-ES"/>
              </w:rPr>
              <w:t>del</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comienzo</w:t>
            </w:r>
            <w:r w:rsidRPr="009A27ED">
              <w:rPr>
                <w:rFonts w:asciiTheme="minorHAnsi" w:hAnsiTheme="minorHAnsi" w:cstheme="minorHAnsi"/>
                <w:spacing w:val="-29"/>
                <w:w w:val="95"/>
                <w:sz w:val="20"/>
                <w:szCs w:val="20"/>
                <w:lang w:val="es-ES"/>
              </w:rPr>
              <w:t xml:space="preserve"> </w:t>
            </w:r>
            <w:r w:rsidRPr="009A27ED">
              <w:rPr>
                <w:rFonts w:asciiTheme="minorHAnsi" w:hAnsiTheme="minorHAnsi" w:cstheme="minorHAnsi"/>
                <w:w w:val="95"/>
                <w:sz w:val="20"/>
                <w:szCs w:val="20"/>
                <w:lang w:val="es-ES"/>
              </w:rPr>
              <w:t>de</w:t>
            </w:r>
            <w:r w:rsidRPr="009A27ED">
              <w:rPr>
                <w:rFonts w:asciiTheme="minorHAnsi" w:hAnsiTheme="minorHAnsi" w:cstheme="minorHAnsi"/>
                <w:spacing w:val="-30"/>
                <w:w w:val="95"/>
                <w:sz w:val="20"/>
                <w:szCs w:val="20"/>
                <w:lang w:val="es-ES"/>
              </w:rPr>
              <w:t xml:space="preserve"> </w:t>
            </w:r>
            <w:r w:rsidRPr="009A27ED">
              <w:rPr>
                <w:rFonts w:asciiTheme="minorHAnsi" w:hAnsiTheme="minorHAnsi" w:cstheme="minorHAnsi"/>
                <w:w w:val="95"/>
                <w:sz w:val="20"/>
                <w:szCs w:val="20"/>
                <w:lang w:val="es-ES"/>
              </w:rPr>
              <w:t>la</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ejecución</w:t>
            </w:r>
            <w:r w:rsidRPr="009A27ED">
              <w:rPr>
                <w:rFonts w:asciiTheme="minorHAnsi" w:hAnsiTheme="minorHAnsi" w:cstheme="minorHAnsi"/>
                <w:spacing w:val="-29"/>
                <w:w w:val="95"/>
                <w:sz w:val="20"/>
                <w:szCs w:val="20"/>
                <w:lang w:val="es-ES"/>
              </w:rPr>
              <w:t xml:space="preserve"> </w:t>
            </w:r>
            <w:r w:rsidRPr="009A27ED">
              <w:rPr>
                <w:rFonts w:asciiTheme="minorHAnsi" w:hAnsiTheme="minorHAnsi" w:cstheme="minorHAnsi"/>
                <w:w w:val="95"/>
                <w:sz w:val="20"/>
                <w:szCs w:val="20"/>
                <w:lang w:val="es-ES"/>
              </w:rPr>
              <w:t>del</w:t>
            </w:r>
            <w:r w:rsidRPr="009A27ED">
              <w:rPr>
                <w:rFonts w:asciiTheme="minorHAnsi" w:hAnsiTheme="minorHAnsi" w:cstheme="minorHAnsi"/>
                <w:spacing w:val="-31"/>
                <w:w w:val="95"/>
                <w:sz w:val="20"/>
                <w:szCs w:val="20"/>
                <w:lang w:val="es-ES"/>
              </w:rPr>
              <w:t xml:space="preserve"> </w:t>
            </w:r>
            <w:r w:rsidRPr="009A27ED">
              <w:rPr>
                <w:rFonts w:asciiTheme="minorHAnsi" w:hAnsiTheme="minorHAnsi" w:cstheme="minorHAnsi"/>
                <w:w w:val="95"/>
                <w:sz w:val="20"/>
                <w:szCs w:val="20"/>
                <w:lang w:val="es-ES"/>
              </w:rPr>
              <w:t>proyecto,</w:t>
            </w:r>
            <w:r w:rsidRPr="009A27ED">
              <w:rPr>
                <w:rFonts w:asciiTheme="minorHAnsi" w:hAnsiTheme="minorHAnsi" w:cstheme="minorHAnsi"/>
                <w:spacing w:val="-29"/>
                <w:w w:val="95"/>
                <w:sz w:val="20"/>
                <w:szCs w:val="20"/>
                <w:lang w:val="es-ES"/>
              </w:rPr>
              <w:t xml:space="preserve"> </w:t>
            </w:r>
            <w:r w:rsidRPr="009A27ED">
              <w:rPr>
                <w:rFonts w:asciiTheme="minorHAnsi" w:hAnsiTheme="minorHAnsi" w:cstheme="minorHAnsi"/>
                <w:w w:val="95"/>
                <w:sz w:val="20"/>
                <w:szCs w:val="20"/>
                <w:lang w:val="es-ES"/>
              </w:rPr>
              <w:t>cuando</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sea</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que</w:t>
            </w:r>
            <w:r w:rsidRPr="009A27ED">
              <w:rPr>
                <w:rFonts w:asciiTheme="minorHAnsi" w:hAnsiTheme="minorHAnsi" w:cstheme="minorHAnsi"/>
                <w:spacing w:val="-31"/>
                <w:w w:val="95"/>
                <w:sz w:val="20"/>
                <w:szCs w:val="20"/>
                <w:lang w:val="es-ES"/>
              </w:rPr>
              <w:t xml:space="preserve"> </w:t>
            </w:r>
            <w:r w:rsidRPr="009A27ED">
              <w:rPr>
                <w:rFonts w:asciiTheme="minorHAnsi" w:hAnsiTheme="minorHAnsi" w:cstheme="minorHAnsi"/>
                <w:w w:val="95"/>
                <w:sz w:val="20"/>
                <w:szCs w:val="20"/>
                <w:lang w:val="es-ES"/>
              </w:rPr>
              <w:t>presentaban</w:t>
            </w:r>
            <w:r w:rsidRPr="009A27ED">
              <w:rPr>
                <w:rFonts w:asciiTheme="minorHAnsi" w:hAnsiTheme="minorHAnsi" w:cstheme="minorHAnsi"/>
                <w:spacing w:val="-29"/>
                <w:w w:val="95"/>
                <w:sz w:val="20"/>
                <w:szCs w:val="20"/>
                <w:lang w:val="es-ES"/>
              </w:rPr>
              <w:t xml:space="preserve"> </w:t>
            </w:r>
            <w:r w:rsidRPr="009A27ED">
              <w:rPr>
                <w:rFonts w:asciiTheme="minorHAnsi" w:hAnsiTheme="minorHAnsi" w:cstheme="minorHAnsi"/>
                <w:w w:val="95"/>
                <w:sz w:val="20"/>
                <w:szCs w:val="20"/>
                <w:lang w:val="es-ES"/>
              </w:rPr>
              <w:t xml:space="preserve">los </w:t>
            </w:r>
            <w:r w:rsidRPr="009A27ED">
              <w:rPr>
                <w:rFonts w:asciiTheme="minorHAnsi" w:hAnsiTheme="minorHAnsi" w:cstheme="minorHAnsi"/>
                <w:sz w:val="20"/>
                <w:szCs w:val="20"/>
                <w:lang w:val="es-ES"/>
              </w:rPr>
              <w:t>niveles más</w:t>
            </w:r>
            <w:r w:rsidRPr="009A27ED">
              <w:rPr>
                <w:rFonts w:asciiTheme="minorHAnsi" w:hAnsiTheme="minorHAnsi" w:cstheme="minorHAnsi"/>
                <w:spacing w:val="-29"/>
                <w:sz w:val="20"/>
                <w:szCs w:val="20"/>
                <w:lang w:val="es-ES"/>
              </w:rPr>
              <w:t xml:space="preserve"> </w:t>
            </w:r>
            <w:r w:rsidRPr="009A27ED">
              <w:rPr>
                <w:rFonts w:asciiTheme="minorHAnsi" w:hAnsiTheme="minorHAnsi" w:cstheme="minorHAnsi"/>
                <w:sz w:val="20"/>
                <w:szCs w:val="20"/>
                <w:lang w:val="es-ES"/>
              </w:rPr>
              <w:t>altos.</w:t>
            </w:r>
          </w:p>
          <w:p w14:paraId="2C5CDC15" w14:textId="77777777" w:rsidR="004A289C" w:rsidRPr="009A27ED" w:rsidRDefault="004A289C" w:rsidP="000A4C43">
            <w:pPr>
              <w:adjustRightInd w:val="0"/>
              <w:ind w:left="72" w:right="118"/>
              <w:rPr>
                <w:w w:val="95"/>
                <w:sz w:val="20"/>
                <w:szCs w:val="20"/>
              </w:rPr>
            </w:pPr>
            <w:r w:rsidRPr="009A27ED">
              <w:rPr>
                <w:w w:val="95"/>
                <w:sz w:val="20"/>
                <w:szCs w:val="20"/>
              </w:rPr>
              <w:t>En el caso de proyectos que supongan una restricción involuntaria del acceso a zonas designadas parques por la ley o a zonas protegidas (véase el inciso b) del párrafo 3), la naturaleza de las restricciones, así como el tipo de medidas necesarias para mitigar los efectos adversos, se determinarán con la participación de las personas desplazadas durante el diseño y la ejecución del proyecto. En esos casos, el prestatario preparará normas de procedimiento aceptables para el Banco, en las que se describirán el proceso de participación mediante el cual: a) se prepararán y ejecutarán determinados componentes del proyecto; b) se determinarán los criterios sobre elegibilidad de las personas desplazadas; c) se determinarán las medidas necesarias para ayudar a las personas desplazadas en sus esfuerzos por mejorar sus medios de subsistencia, o por lo menos restablecerlos, en términos reales, manteniendo al mismo tiempo la sustentabilidad del parque o la zona protegida, y d) se resolverán los posibles conflictos relativos a las personas desplazadas.</w:t>
            </w:r>
          </w:p>
          <w:p w14:paraId="0173EC85" w14:textId="77777777" w:rsidR="004A289C" w:rsidRPr="009A27ED" w:rsidRDefault="004A289C" w:rsidP="000A4C43">
            <w:pPr>
              <w:adjustRightInd w:val="0"/>
              <w:ind w:left="72" w:right="118"/>
              <w:rPr>
                <w:w w:val="95"/>
                <w:sz w:val="20"/>
                <w:szCs w:val="20"/>
              </w:rPr>
            </w:pPr>
            <w:r w:rsidRPr="009A27ED">
              <w:rPr>
                <w:w w:val="95"/>
                <w:sz w:val="20"/>
                <w:szCs w:val="20"/>
              </w:rPr>
              <w:t>En las normas de procedimiento se incluirá además una descripción de los mecanismos de ejecución y seguimiento del proceso.</w:t>
            </w:r>
          </w:p>
          <w:p w14:paraId="57456A74" w14:textId="04EF2683" w:rsidR="004A289C" w:rsidRPr="009A27ED" w:rsidRDefault="004A289C" w:rsidP="00F163C3">
            <w:pPr>
              <w:pStyle w:val="TableParagraph"/>
              <w:spacing w:after="120"/>
              <w:ind w:left="107" w:right="96"/>
              <w:rPr>
                <w:rFonts w:asciiTheme="minorHAnsi" w:hAnsiTheme="minorHAnsi" w:cstheme="minorHAnsi"/>
                <w:lang w:val="es-ES"/>
              </w:rPr>
            </w:pPr>
            <w:r w:rsidRPr="009A27ED">
              <w:rPr>
                <w:rFonts w:asciiTheme="minorHAnsi" w:hAnsiTheme="minorHAnsi" w:cstheme="minorHAnsi"/>
                <w:w w:val="95"/>
                <w:sz w:val="20"/>
                <w:szCs w:val="20"/>
                <w:lang w:val="es-ES"/>
              </w:rPr>
              <w:t>Los</w:t>
            </w:r>
            <w:r w:rsidRPr="009A27ED">
              <w:rPr>
                <w:rFonts w:asciiTheme="minorHAnsi" w:hAnsiTheme="minorHAnsi" w:cstheme="minorHAnsi"/>
                <w:spacing w:val="-29"/>
                <w:w w:val="95"/>
                <w:sz w:val="20"/>
                <w:szCs w:val="20"/>
                <w:lang w:val="es-ES"/>
              </w:rPr>
              <w:t xml:space="preserve"> </w:t>
            </w:r>
            <w:r w:rsidRPr="009A27ED">
              <w:rPr>
                <w:rFonts w:asciiTheme="minorHAnsi" w:hAnsiTheme="minorHAnsi" w:cstheme="minorHAnsi"/>
                <w:w w:val="95"/>
                <w:sz w:val="20"/>
                <w:szCs w:val="20"/>
                <w:lang w:val="es-ES"/>
              </w:rPr>
              <w:t>Criterios</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que</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la</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política</w:t>
            </w:r>
            <w:r w:rsidRPr="009A27ED">
              <w:rPr>
                <w:rFonts w:asciiTheme="minorHAnsi" w:hAnsiTheme="minorHAnsi" w:cstheme="minorHAnsi"/>
                <w:spacing w:val="-29"/>
                <w:w w:val="95"/>
                <w:sz w:val="20"/>
                <w:szCs w:val="20"/>
                <w:lang w:val="es-ES"/>
              </w:rPr>
              <w:t xml:space="preserve"> </w:t>
            </w:r>
            <w:r w:rsidRPr="009A27ED">
              <w:rPr>
                <w:rFonts w:asciiTheme="minorHAnsi" w:hAnsiTheme="minorHAnsi" w:cstheme="minorHAnsi"/>
                <w:w w:val="95"/>
                <w:sz w:val="20"/>
                <w:szCs w:val="20"/>
                <w:lang w:val="es-ES"/>
              </w:rPr>
              <w:t>requiere</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para</w:t>
            </w:r>
            <w:r w:rsidRPr="009A27ED">
              <w:rPr>
                <w:rFonts w:asciiTheme="minorHAnsi" w:hAnsiTheme="minorHAnsi" w:cstheme="minorHAnsi"/>
                <w:spacing w:val="-29"/>
                <w:w w:val="95"/>
                <w:sz w:val="20"/>
                <w:szCs w:val="20"/>
                <w:lang w:val="es-ES"/>
              </w:rPr>
              <w:t xml:space="preserve"> </w:t>
            </w:r>
            <w:r w:rsidRPr="009A27ED">
              <w:rPr>
                <w:rFonts w:asciiTheme="minorHAnsi" w:hAnsiTheme="minorHAnsi" w:cstheme="minorHAnsi"/>
                <w:w w:val="95"/>
                <w:sz w:val="20"/>
                <w:szCs w:val="20"/>
                <w:lang w:val="es-ES"/>
              </w:rPr>
              <w:t>determinar</w:t>
            </w:r>
            <w:r w:rsidRPr="009A27ED">
              <w:rPr>
                <w:rFonts w:asciiTheme="minorHAnsi" w:hAnsiTheme="minorHAnsi" w:cstheme="minorHAnsi"/>
                <w:spacing w:val="-29"/>
                <w:w w:val="95"/>
                <w:sz w:val="20"/>
                <w:szCs w:val="20"/>
                <w:lang w:val="es-ES"/>
              </w:rPr>
              <w:t xml:space="preserve"> </w:t>
            </w:r>
            <w:r w:rsidRPr="009A27ED">
              <w:rPr>
                <w:rFonts w:asciiTheme="minorHAnsi" w:hAnsiTheme="minorHAnsi" w:cstheme="minorHAnsi"/>
                <w:w w:val="95"/>
                <w:sz w:val="20"/>
                <w:szCs w:val="20"/>
                <w:lang w:val="es-ES"/>
              </w:rPr>
              <w:t>la</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elegibilidad</w:t>
            </w:r>
            <w:r w:rsidRPr="009A27ED">
              <w:rPr>
                <w:rFonts w:asciiTheme="minorHAnsi" w:hAnsiTheme="minorHAnsi" w:cstheme="minorHAnsi"/>
                <w:spacing w:val="-29"/>
                <w:w w:val="95"/>
                <w:sz w:val="20"/>
                <w:szCs w:val="20"/>
                <w:lang w:val="es-ES"/>
              </w:rPr>
              <w:t xml:space="preserve"> </w:t>
            </w:r>
            <w:r w:rsidRPr="009A27ED">
              <w:rPr>
                <w:rFonts w:asciiTheme="minorHAnsi" w:hAnsiTheme="minorHAnsi" w:cstheme="minorHAnsi"/>
                <w:w w:val="95"/>
                <w:sz w:val="20"/>
                <w:szCs w:val="20"/>
                <w:lang w:val="es-ES"/>
              </w:rPr>
              <w:t>de</w:t>
            </w:r>
            <w:r w:rsidRPr="009A27ED">
              <w:rPr>
                <w:rFonts w:asciiTheme="minorHAnsi" w:hAnsiTheme="minorHAnsi" w:cstheme="minorHAnsi"/>
                <w:spacing w:val="-27"/>
                <w:w w:val="95"/>
                <w:sz w:val="20"/>
                <w:szCs w:val="20"/>
                <w:lang w:val="es-ES"/>
              </w:rPr>
              <w:t xml:space="preserve"> </w:t>
            </w:r>
            <w:r w:rsidRPr="009A27ED">
              <w:rPr>
                <w:rFonts w:asciiTheme="minorHAnsi" w:hAnsiTheme="minorHAnsi" w:cstheme="minorHAnsi"/>
                <w:w w:val="95"/>
                <w:sz w:val="20"/>
                <w:szCs w:val="20"/>
                <w:lang w:val="es-ES"/>
              </w:rPr>
              <w:t>las</w:t>
            </w:r>
            <w:r w:rsidRPr="009A27ED">
              <w:rPr>
                <w:rFonts w:asciiTheme="minorHAnsi" w:hAnsiTheme="minorHAnsi" w:cstheme="minorHAnsi"/>
                <w:spacing w:val="-29"/>
                <w:w w:val="95"/>
                <w:sz w:val="20"/>
                <w:szCs w:val="20"/>
                <w:lang w:val="es-ES"/>
              </w:rPr>
              <w:t xml:space="preserve"> </w:t>
            </w:r>
            <w:r w:rsidRPr="009A27ED">
              <w:rPr>
                <w:rFonts w:asciiTheme="minorHAnsi" w:hAnsiTheme="minorHAnsi" w:cstheme="minorHAnsi"/>
                <w:w w:val="95"/>
                <w:sz w:val="20"/>
                <w:szCs w:val="20"/>
                <w:lang w:val="es-ES"/>
              </w:rPr>
              <w:t>personas</w:t>
            </w:r>
            <w:r w:rsidRPr="009A27ED">
              <w:rPr>
                <w:rFonts w:asciiTheme="minorHAnsi" w:hAnsiTheme="minorHAnsi" w:cstheme="minorHAnsi"/>
                <w:spacing w:val="-28"/>
                <w:w w:val="95"/>
                <w:sz w:val="20"/>
                <w:szCs w:val="20"/>
                <w:lang w:val="es-ES"/>
              </w:rPr>
              <w:t xml:space="preserve"> </w:t>
            </w:r>
            <w:r w:rsidRPr="009A27ED">
              <w:rPr>
                <w:rFonts w:asciiTheme="minorHAnsi" w:hAnsiTheme="minorHAnsi" w:cstheme="minorHAnsi"/>
                <w:w w:val="95"/>
                <w:sz w:val="20"/>
                <w:szCs w:val="20"/>
                <w:lang w:val="es-ES"/>
              </w:rPr>
              <w:t>desplazadas se</w:t>
            </w:r>
            <w:r w:rsidRPr="009A27ED">
              <w:rPr>
                <w:rFonts w:asciiTheme="minorHAnsi" w:hAnsiTheme="minorHAnsi" w:cstheme="minorHAnsi"/>
                <w:spacing w:val="-31"/>
                <w:w w:val="95"/>
                <w:sz w:val="20"/>
                <w:szCs w:val="20"/>
                <w:lang w:val="es-ES"/>
              </w:rPr>
              <w:t xml:space="preserve"> </w:t>
            </w:r>
            <w:r w:rsidRPr="009A27ED">
              <w:rPr>
                <w:rFonts w:asciiTheme="minorHAnsi" w:hAnsiTheme="minorHAnsi" w:cstheme="minorHAnsi"/>
                <w:w w:val="95"/>
                <w:sz w:val="20"/>
                <w:szCs w:val="20"/>
                <w:lang w:val="es-ES"/>
              </w:rPr>
              <w:t>pueden</w:t>
            </w:r>
            <w:r w:rsidRPr="009A27ED">
              <w:rPr>
                <w:rFonts w:asciiTheme="minorHAnsi" w:hAnsiTheme="minorHAnsi" w:cstheme="minorHAnsi"/>
                <w:spacing w:val="-32"/>
                <w:w w:val="95"/>
                <w:sz w:val="20"/>
                <w:szCs w:val="20"/>
                <w:lang w:val="es-ES"/>
              </w:rPr>
              <w:t xml:space="preserve"> </w:t>
            </w:r>
            <w:r w:rsidRPr="009A27ED">
              <w:rPr>
                <w:rFonts w:asciiTheme="minorHAnsi" w:hAnsiTheme="minorHAnsi" w:cstheme="minorHAnsi"/>
                <w:w w:val="95"/>
                <w:sz w:val="20"/>
                <w:szCs w:val="20"/>
                <w:lang w:val="es-ES"/>
              </w:rPr>
              <w:t>clasificar</w:t>
            </w:r>
            <w:r w:rsidRPr="009A27ED">
              <w:rPr>
                <w:rFonts w:asciiTheme="minorHAnsi" w:hAnsiTheme="minorHAnsi" w:cstheme="minorHAnsi"/>
                <w:spacing w:val="-32"/>
                <w:w w:val="95"/>
                <w:sz w:val="20"/>
                <w:szCs w:val="20"/>
                <w:lang w:val="es-ES"/>
              </w:rPr>
              <w:t xml:space="preserve"> </w:t>
            </w:r>
            <w:r w:rsidRPr="009A27ED">
              <w:rPr>
                <w:rFonts w:asciiTheme="minorHAnsi" w:hAnsiTheme="minorHAnsi" w:cstheme="minorHAnsi"/>
                <w:w w:val="95"/>
                <w:sz w:val="20"/>
                <w:szCs w:val="20"/>
                <w:lang w:val="es-ES"/>
              </w:rPr>
              <w:t>en</w:t>
            </w:r>
            <w:r w:rsidRPr="009A27ED">
              <w:rPr>
                <w:rFonts w:asciiTheme="minorHAnsi" w:hAnsiTheme="minorHAnsi" w:cstheme="minorHAnsi"/>
                <w:spacing w:val="-31"/>
                <w:w w:val="95"/>
                <w:sz w:val="20"/>
                <w:szCs w:val="20"/>
                <w:lang w:val="es-ES"/>
              </w:rPr>
              <w:t xml:space="preserve"> </w:t>
            </w:r>
            <w:r w:rsidRPr="009A27ED">
              <w:rPr>
                <w:rFonts w:asciiTheme="minorHAnsi" w:hAnsiTheme="minorHAnsi" w:cstheme="minorHAnsi"/>
                <w:w w:val="95"/>
                <w:sz w:val="20"/>
                <w:szCs w:val="20"/>
                <w:lang w:val="es-ES"/>
              </w:rPr>
              <w:t>uno</w:t>
            </w:r>
            <w:r w:rsidRPr="009A27ED">
              <w:rPr>
                <w:rFonts w:asciiTheme="minorHAnsi" w:hAnsiTheme="minorHAnsi" w:cstheme="minorHAnsi"/>
                <w:spacing w:val="-32"/>
                <w:w w:val="95"/>
                <w:sz w:val="20"/>
                <w:szCs w:val="20"/>
                <w:lang w:val="es-ES"/>
              </w:rPr>
              <w:t xml:space="preserve"> </w:t>
            </w:r>
            <w:r w:rsidRPr="009A27ED">
              <w:rPr>
                <w:rFonts w:asciiTheme="minorHAnsi" w:hAnsiTheme="minorHAnsi" w:cstheme="minorHAnsi"/>
                <w:w w:val="95"/>
                <w:sz w:val="20"/>
                <w:szCs w:val="20"/>
                <w:lang w:val="es-ES"/>
              </w:rPr>
              <w:t>de</w:t>
            </w:r>
            <w:r w:rsidRPr="009A27ED">
              <w:rPr>
                <w:rFonts w:asciiTheme="minorHAnsi" w:hAnsiTheme="minorHAnsi" w:cstheme="minorHAnsi"/>
                <w:spacing w:val="-31"/>
                <w:w w:val="95"/>
                <w:sz w:val="20"/>
                <w:szCs w:val="20"/>
                <w:lang w:val="es-ES"/>
              </w:rPr>
              <w:t xml:space="preserve"> </w:t>
            </w:r>
            <w:r w:rsidRPr="009A27ED">
              <w:rPr>
                <w:rFonts w:asciiTheme="minorHAnsi" w:hAnsiTheme="minorHAnsi" w:cstheme="minorHAnsi"/>
                <w:w w:val="95"/>
                <w:sz w:val="20"/>
                <w:szCs w:val="20"/>
                <w:lang w:val="es-ES"/>
              </w:rPr>
              <w:t>los</w:t>
            </w:r>
            <w:r w:rsidRPr="009A27ED">
              <w:rPr>
                <w:rFonts w:asciiTheme="minorHAnsi" w:hAnsiTheme="minorHAnsi" w:cstheme="minorHAnsi"/>
                <w:spacing w:val="-33"/>
                <w:w w:val="95"/>
                <w:sz w:val="20"/>
                <w:szCs w:val="20"/>
                <w:lang w:val="es-ES"/>
              </w:rPr>
              <w:t xml:space="preserve"> </w:t>
            </w:r>
            <w:r w:rsidRPr="009A27ED">
              <w:rPr>
                <w:rFonts w:asciiTheme="minorHAnsi" w:hAnsiTheme="minorHAnsi" w:cstheme="minorHAnsi"/>
                <w:w w:val="95"/>
                <w:sz w:val="20"/>
                <w:szCs w:val="20"/>
                <w:lang w:val="es-ES"/>
              </w:rPr>
              <w:t>tres</w:t>
            </w:r>
            <w:r w:rsidRPr="009A27ED">
              <w:rPr>
                <w:rFonts w:asciiTheme="minorHAnsi" w:hAnsiTheme="minorHAnsi" w:cstheme="minorHAnsi"/>
                <w:spacing w:val="-31"/>
                <w:w w:val="95"/>
                <w:sz w:val="20"/>
                <w:szCs w:val="20"/>
                <w:lang w:val="es-ES"/>
              </w:rPr>
              <w:t xml:space="preserve"> </w:t>
            </w:r>
            <w:r w:rsidRPr="009A27ED">
              <w:rPr>
                <w:rFonts w:asciiTheme="minorHAnsi" w:hAnsiTheme="minorHAnsi" w:cstheme="minorHAnsi"/>
                <w:w w:val="95"/>
                <w:sz w:val="20"/>
                <w:szCs w:val="20"/>
                <w:lang w:val="es-ES"/>
              </w:rPr>
              <w:t>grupos</w:t>
            </w:r>
            <w:r w:rsidRPr="009A27ED">
              <w:rPr>
                <w:rFonts w:asciiTheme="minorHAnsi" w:hAnsiTheme="minorHAnsi" w:cstheme="minorHAnsi"/>
                <w:spacing w:val="-31"/>
                <w:w w:val="95"/>
                <w:sz w:val="20"/>
                <w:szCs w:val="20"/>
                <w:lang w:val="es-ES"/>
              </w:rPr>
              <w:t xml:space="preserve"> </w:t>
            </w:r>
            <w:r w:rsidRPr="009A27ED">
              <w:rPr>
                <w:rFonts w:asciiTheme="minorHAnsi" w:hAnsiTheme="minorHAnsi" w:cstheme="minorHAnsi"/>
                <w:w w:val="95"/>
                <w:sz w:val="20"/>
                <w:szCs w:val="20"/>
                <w:lang w:val="es-ES"/>
              </w:rPr>
              <w:t>siguientes:</w:t>
            </w:r>
            <w:r w:rsidRPr="009A27ED">
              <w:rPr>
                <w:rFonts w:asciiTheme="minorHAnsi" w:hAnsiTheme="minorHAnsi" w:cstheme="minorHAnsi"/>
                <w:spacing w:val="-31"/>
                <w:w w:val="95"/>
                <w:sz w:val="20"/>
                <w:szCs w:val="20"/>
                <w:lang w:val="es-ES"/>
              </w:rPr>
              <w:t xml:space="preserve"> </w:t>
            </w:r>
            <w:r w:rsidRPr="009A27ED">
              <w:rPr>
                <w:rFonts w:asciiTheme="minorHAnsi" w:hAnsiTheme="minorHAnsi" w:cstheme="minorHAnsi"/>
                <w:w w:val="95"/>
                <w:sz w:val="20"/>
                <w:szCs w:val="20"/>
                <w:lang w:val="es-ES"/>
              </w:rPr>
              <w:t>a)</w:t>
            </w:r>
            <w:r w:rsidRPr="009A27ED">
              <w:rPr>
                <w:rFonts w:asciiTheme="minorHAnsi" w:hAnsiTheme="minorHAnsi" w:cstheme="minorHAnsi"/>
                <w:spacing w:val="-32"/>
                <w:w w:val="95"/>
                <w:sz w:val="20"/>
                <w:szCs w:val="20"/>
                <w:lang w:val="es-ES"/>
              </w:rPr>
              <w:t xml:space="preserve"> </w:t>
            </w:r>
            <w:r w:rsidRPr="009A27ED">
              <w:rPr>
                <w:rFonts w:asciiTheme="minorHAnsi" w:hAnsiTheme="minorHAnsi" w:cstheme="minorHAnsi"/>
                <w:w w:val="95"/>
                <w:sz w:val="20"/>
                <w:szCs w:val="20"/>
                <w:lang w:val="es-ES"/>
              </w:rPr>
              <w:t>aquellos</w:t>
            </w:r>
            <w:r w:rsidRPr="009A27ED">
              <w:rPr>
                <w:rFonts w:asciiTheme="minorHAnsi" w:hAnsiTheme="minorHAnsi" w:cstheme="minorHAnsi"/>
                <w:spacing w:val="-33"/>
                <w:w w:val="95"/>
                <w:sz w:val="20"/>
                <w:szCs w:val="20"/>
                <w:lang w:val="es-ES"/>
              </w:rPr>
              <w:t xml:space="preserve"> </w:t>
            </w:r>
            <w:r w:rsidRPr="009A27ED">
              <w:rPr>
                <w:rFonts w:asciiTheme="minorHAnsi" w:hAnsiTheme="minorHAnsi" w:cstheme="minorHAnsi"/>
                <w:w w:val="95"/>
                <w:sz w:val="20"/>
                <w:szCs w:val="20"/>
                <w:lang w:val="es-ES"/>
              </w:rPr>
              <w:t>que</w:t>
            </w:r>
            <w:r w:rsidRPr="009A27ED">
              <w:rPr>
                <w:rFonts w:asciiTheme="minorHAnsi" w:hAnsiTheme="minorHAnsi" w:cstheme="minorHAnsi"/>
                <w:spacing w:val="-31"/>
                <w:w w:val="95"/>
                <w:sz w:val="20"/>
                <w:szCs w:val="20"/>
                <w:lang w:val="es-ES"/>
              </w:rPr>
              <w:t xml:space="preserve"> </w:t>
            </w:r>
            <w:r w:rsidRPr="009A27ED">
              <w:rPr>
                <w:rFonts w:asciiTheme="minorHAnsi" w:hAnsiTheme="minorHAnsi" w:cstheme="minorHAnsi"/>
                <w:w w:val="95"/>
                <w:sz w:val="20"/>
                <w:szCs w:val="20"/>
                <w:lang w:val="es-ES"/>
              </w:rPr>
              <w:t>tienen</w:t>
            </w:r>
            <w:r w:rsidRPr="009A27ED">
              <w:rPr>
                <w:rFonts w:asciiTheme="minorHAnsi" w:hAnsiTheme="minorHAnsi" w:cstheme="minorHAnsi"/>
                <w:spacing w:val="-31"/>
                <w:w w:val="95"/>
                <w:sz w:val="20"/>
                <w:szCs w:val="20"/>
                <w:lang w:val="es-ES"/>
              </w:rPr>
              <w:t xml:space="preserve"> </w:t>
            </w:r>
            <w:r w:rsidRPr="009A27ED">
              <w:rPr>
                <w:rFonts w:asciiTheme="minorHAnsi" w:hAnsiTheme="minorHAnsi" w:cstheme="minorHAnsi"/>
                <w:w w:val="95"/>
                <w:sz w:val="20"/>
                <w:szCs w:val="20"/>
                <w:lang w:val="es-ES"/>
              </w:rPr>
              <w:t>derechos</w:t>
            </w:r>
            <w:r w:rsidRPr="009A27ED">
              <w:rPr>
                <w:rFonts w:asciiTheme="minorHAnsi" w:hAnsiTheme="minorHAnsi" w:cstheme="minorHAnsi"/>
                <w:spacing w:val="-32"/>
                <w:w w:val="95"/>
                <w:sz w:val="20"/>
                <w:szCs w:val="20"/>
                <w:lang w:val="es-ES"/>
              </w:rPr>
              <w:t xml:space="preserve"> </w:t>
            </w:r>
            <w:r w:rsidRPr="009A27ED">
              <w:rPr>
                <w:rFonts w:asciiTheme="minorHAnsi" w:hAnsiTheme="minorHAnsi" w:cstheme="minorHAnsi"/>
                <w:w w:val="95"/>
                <w:sz w:val="20"/>
                <w:szCs w:val="20"/>
                <w:lang w:val="es-ES"/>
              </w:rPr>
              <w:t xml:space="preserve">legales </w:t>
            </w:r>
            <w:r w:rsidRPr="009A27ED">
              <w:rPr>
                <w:rFonts w:asciiTheme="minorHAnsi" w:hAnsiTheme="minorHAnsi" w:cstheme="minorHAnsi"/>
                <w:sz w:val="20"/>
                <w:szCs w:val="20"/>
                <w:lang w:val="es-ES"/>
              </w:rPr>
              <w:t>oficialmente establecidos respecto de las tierras (incluso derechos consuetudinarios</w:t>
            </w:r>
            <w:r w:rsidR="00CD4C75" w:rsidRPr="009A27ED">
              <w:rPr>
                <w:rFonts w:asciiTheme="minorHAnsi" w:hAnsiTheme="minorHAnsi" w:cstheme="minorHAnsi"/>
                <w:spacing w:val="52"/>
                <w:sz w:val="20"/>
                <w:szCs w:val="20"/>
                <w:lang w:val="es-ES"/>
              </w:rPr>
              <w:t>.</w:t>
            </w:r>
          </w:p>
        </w:tc>
      </w:tr>
    </w:tbl>
    <w:p w14:paraId="4B5C3E72" w14:textId="65A526BC" w:rsidR="000A4C43" w:rsidRPr="009A27ED" w:rsidRDefault="000A4C43" w:rsidP="004A289C">
      <w:pPr>
        <w:spacing w:line="360" w:lineRule="auto"/>
        <w:rPr>
          <w:szCs w:val="22"/>
        </w:rPr>
      </w:pPr>
    </w:p>
    <w:p w14:paraId="0A5B7769" w14:textId="55E6BADA" w:rsidR="00B030CA" w:rsidRPr="009A27ED" w:rsidRDefault="0067031D" w:rsidP="00D42EDE">
      <w:pPr>
        <w:spacing w:line="360" w:lineRule="auto"/>
        <w:rPr>
          <w:szCs w:val="22"/>
        </w:rPr>
      </w:pPr>
      <w:r w:rsidRPr="009A27ED">
        <w:rPr>
          <w:rFonts w:ascii="Times New Roman" w:eastAsia="Times New Roman" w:hAnsi="Times New Roman"/>
          <w:sz w:val="24"/>
          <w:szCs w:val="22"/>
        </w:rPr>
        <w:t xml:space="preserve">En el Anexo 1 del presente MGAS se incluye un análisis </w:t>
      </w:r>
      <w:r w:rsidR="000D707C" w:rsidRPr="009A27ED">
        <w:rPr>
          <w:rFonts w:ascii="Times New Roman" w:eastAsia="Times New Roman" w:hAnsi="Times New Roman"/>
          <w:sz w:val="24"/>
          <w:szCs w:val="22"/>
        </w:rPr>
        <w:t>sistemático de</w:t>
      </w:r>
      <w:r w:rsidRPr="009A27ED">
        <w:rPr>
          <w:rFonts w:ascii="Times New Roman" w:eastAsia="Times New Roman" w:hAnsi="Times New Roman"/>
          <w:sz w:val="24"/>
          <w:szCs w:val="22"/>
        </w:rPr>
        <w:t xml:space="preserve"> la legislación nacional relevante para la EN-REDD + y su vinculación con las </w:t>
      </w:r>
      <w:r w:rsidR="000C5B5B" w:rsidRPr="009A27ED">
        <w:rPr>
          <w:rFonts w:ascii="Times New Roman" w:eastAsia="Times New Roman" w:hAnsi="Times New Roman"/>
          <w:sz w:val="24"/>
          <w:szCs w:val="22"/>
        </w:rPr>
        <w:t>Políticas</w:t>
      </w:r>
      <w:r w:rsidRPr="009A27ED">
        <w:rPr>
          <w:rFonts w:ascii="Times New Roman" w:eastAsia="Times New Roman" w:hAnsi="Times New Roman"/>
          <w:sz w:val="24"/>
          <w:szCs w:val="22"/>
        </w:rPr>
        <w:t xml:space="preserve"> Operativas del Banco Mundial aplicables a la misma.</w:t>
      </w:r>
      <w:r w:rsidR="00D42EDE" w:rsidRPr="009A27ED">
        <w:rPr>
          <w:rFonts w:ascii="Times New Roman" w:eastAsia="Times New Roman" w:hAnsi="Times New Roman"/>
          <w:sz w:val="24"/>
          <w:szCs w:val="22"/>
        </w:rPr>
        <w:t xml:space="preserve"> </w:t>
      </w:r>
      <w:r w:rsidR="00DC2EED" w:rsidRPr="009A27ED">
        <w:rPr>
          <w:rFonts w:ascii="Times New Roman" w:eastAsia="Times New Roman" w:hAnsi="Times New Roman"/>
          <w:sz w:val="24"/>
          <w:szCs w:val="22"/>
        </w:rPr>
        <w:t xml:space="preserve">No </w:t>
      </w:r>
      <w:r w:rsidR="007E75AF" w:rsidRPr="009A27ED">
        <w:rPr>
          <w:rFonts w:ascii="Times New Roman" w:eastAsia="Times New Roman" w:hAnsi="Times New Roman"/>
          <w:sz w:val="24"/>
          <w:szCs w:val="22"/>
        </w:rPr>
        <w:t>obstante,</w:t>
      </w:r>
      <w:r w:rsidR="00DC2EED" w:rsidRPr="009A27ED">
        <w:rPr>
          <w:rFonts w:ascii="Times New Roman" w:eastAsia="Times New Roman" w:hAnsi="Times New Roman"/>
          <w:sz w:val="24"/>
          <w:szCs w:val="22"/>
        </w:rPr>
        <w:t xml:space="preserve"> ello, se incluye a continuación los </w:t>
      </w:r>
      <w:r w:rsidR="00CD4C75" w:rsidRPr="009A27ED">
        <w:rPr>
          <w:rFonts w:ascii="Times New Roman" w:eastAsia="Times New Roman" w:hAnsi="Times New Roman"/>
          <w:sz w:val="24"/>
          <w:szCs w:val="22"/>
        </w:rPr>
        <w:t xml:space="preserve">tópicos </w:t>
      </w:r>
      <w:r w:rsidR="00DC2EED" w:rsidRPr="009A27ED">
        <w:rPr>
          <w:rFonts w:ascii="Times New Roman" w:eastAsia="Times New Roman" w:hAnsi="Times New Roman"/>
          <w:sz w:val="24"/>
          <w:szCs w:val="22"/>
        </w:rPr>
        <w:t>de la legislación en relaci</w:t>
      </w:r>
      <w:r w:rsidR="00B030CA" w:rsidRPr="009A27ED">
        <w:rPr>
          <w:rFonts w:ascii="Times New Roman" w:eastAsia="Times New Roman" w:hAnsi="Times New Roman"/>
          <w:sz w:val="24"/>
          <w:szCs w:val="22"/>
        </w:rPr>
        <w:t>ó</w:t>
      </w:r>
      <w:r w:rsidR="00DC2EED" w:rsidRPr="009A27ED">
        <w:rPr>
          <w:rFonts w:ascii="Times New Roman" w:eastAsia="Times New Roman" w:hAnsi="Times New Roman"/>
          <w:sz w:val="24"/>
          <w:szCs w:val="22"/>
        </w:rPr>
        <w:t xml:space="preserve">n </w:t>
      </w:r>
      <w:r w:rsidR="00CF4BA5" w:rsidRPr="009A27ED">
        <w:rPr>
          <w:rFonts w:ascii="Times New Roman" w:eastAsia="Times New Roman" w:hAnsi="Times New Roman"/>
          <w:sz w:val="24"/>
          <w:szCs w:val="22"/>
        </w:rPr>
        <w:t>con algunos</w:t>
      </w:r>
      <w:r w:rsidR="00DC2EED" w:rsidRPr="009A27ED">
        <w:rPr>
          <w:rFonts w:ascii="Times New Roman" w:eastAsia="Times New Roman" w:hAnsi="Times New Roman"/>
          <w:sz w:val="24"/>
          <w:szCs w:val="22"/>
        </w:rPr>
        <w:t xml:space="preserve"> de los </w:t>
      </w:r>
      <w:r w:rsidR="007E75AF" w:rsidRPr="009A27ED">
        <w:rPr>
          <w:rFonts w:ascii="Times New Roman" w:eastAsia="Times New Roman" w:hAnsi="Times New Roman"/>
          <w:sz w:val="24"/>
          <w:szCs w:val="22"/>
        </w:rPr>
        <w:t>aspectos más</w:t>
      </w:r>
      <w:r w:rsidR="00DC2EED" w:rsidRPr="009A27ED">
        <w:rPr>
          <w:rFonts w:ascii="Times New Roman" w:eastAsia="Times New Roman" w:hAnsi="Times New Roman"/>
          <w:sz w:val="24"/>
          <w:szCs w:val="22"/>
        </w:rPr>
        <w:t xml:space="preserve"> relevantes considerados: i) impacto ambiental (OP 4.01); </w:t>
      </w:r>
      <w:proofErr w:type="spellStart"/>
      <w:r w:rsidR="00DC2EED" w:rsidRPr="009A27ED">
        <w:rPr>
          <w:rFonts w:ascii="Times New Roman" w:eastAsia="Times New Roman" w:hAnsi="Times New Roman"/>
          <w:sz w:val="24"/>
          <w:szCs w:val="22"/>
        </w:rPr>
        <w:t>ii</w:t>
      </w:r>
      <w:proofErr w:type="spellEnd"/>
      <w:r w:rsidR="00DC2EED" w:rsidRPr="009A27ED">
        <w:rPr>
          <w:rFonts w:ascii="Times New Roman" w:eastAsia="Times New Roman" w:hAnsi="Times New Roman"/>
          <w:sz w:val="24"/>
          <w:szCs w:val="22"/>
        </w:rPr>
        <w:t xml:space="preserve">) </w:t>
      </w:r>
      <w:proofErr w:type="gramStart"/>
      <w:r w:rsidR="00DC2EED" w:rsidRPr="009A27ED">
        <w:rPr>
          <w:rFonts w:ascii="Times New Roman" w:eastAsia="Times New Roman" w:hAnsi="Times New Roman"/>
          <w:sz w:val="24"/>
          <w:szCs w:val="22"/>
        </w:rPr>
        <w:t>hábitat naturales</w:t>
      </w:r>
      <w:proofErr w:type="gramEnd"/>
      <w:r w:rsidR="00DC2EED" w:rsidRPr="009A27ED">
        <w:rPr>
          <w:rFonts w:ascii="Times New Roman" w:eastAsia="Times New Roman" w:hAnsi="Times New Roman"/>
          <w:sz w:val="24"/>
          <w:szCs w:val="22"/>
        </w:rPr>
        <w:t xml:space="preserve"> (OP 4.04); </w:t>
      </w:r>
      <w:proofErr w:type="spellStart"/>
      <w:r w:rsidR="00DC2EED" w:rsidRPr="009A27ED">
        <w:rPr>
          <w:rFonts w:ascii="Times New Roman" w:eastAsia="Times New Roman" w:hAnsi="Times New Roman"/>
          <w:sz w:val="24"/>
          <w:szCs w:val="22"/>
        </w:rPr>
        <w:t>iii</w:t>
      </w:r>
      <w:proofErr w:type="spellEnd"/>
      <w:r w:rsidR="00DC2EED" w:rsidRPr="009A27ED">
        <w:rPr>
          <w:rFonts w:ascii="Times New Roman" w:eastAsia="Times New Roman" w:hAnsi="Times New Roman"/>
          <w:sz w:val="24"/>
          <w:szCs w:val="22"/>
        </w:rPr>
        <w:t xml:space="preserve">) bosques (OP 4.36); y </w:t>
      </w:r>
      <w:proofErr w:type="spellStart"/>
      <w:r w:rsidR="00DC2EED" w:rsidRPr="009A27ED">
        <w:rPr>
          <w:rFonts w:ascii="Times New Roman" w:eastAsia="Times New Roman" w:hAnsi="Times New Roman"/>
          <w:sz w:val="24"/>
          <w:szCs w:val="22"/>
        </w:rPr>
        <w:t>iv</w:t>
      </w:r>
      <w:proofErr w:type="spellEnd"/>
      <w:r w:rsidR="00DC2EED" w:rsidRPr="009A27ED">
        <w:rPr>
          <w:rFonts w:ascii="Times New Roman" w:eastAsia="Times New Roman" w:hAnsi="Times New Roman"/>
          <w:sz w:val="24"/>
          <w:szCs w:val="22"/>
        </w:rPr>
        <w:t xml:space="preserve">) </w:t>
      </w:r>
      <w:r w:rsidR="00B030CA" w:rsidRPr="009A27ED">
        <w:rPr>
          <w:rFonts w:ascii="Times New Roman" w:eastAsia="Times New Roman" w:hAnsi="Times New Roman"/>
          <w:sz w:val="24"/>
          <w:szCs w:val="22"/>
        </w:rPr>
        <w:t>reasentamiento involuntario</w:t>
      </w:r>
      <w:r w:rsidR="007A7D1B" w:rsidRPr="009A27ED">
        <w:rPr>
          <w:rFonts w:ascii="Times New Roman" w:eastAsia="Times New Roman" w:hAnsi="Times New Roman"/>
          <w:sz w:val="24"/>
          <w:szCs w:val="22"/>
        </w:rPr>
        <w:t xml:space="preserve"> (OP 4.12)</w:t>
      </w:r>
      <w:r w:rsidR="00B030CA" w:rsidRPr="009A27ED">
        <w:rPr>
          <w:rFonts w:ascii="Times New Roman" w:eastAsia="Times New Roman" w:hAnsi="Times New Roman"/>
          <w:sz w:val="24"/>
          <w:szCs w:val="22"/>
        </w:rPr>
        <w:t>.</w:t>
      </w:r>
    </w:p>
    <w:p w14:paraId="1E53AACC" w14:textId="075E7E8B" w:rsidR="00B030CA" w:rsidRPr="009A27ED" w:rsidRDefault="00B030CA" w:rsidP="00DC2EED">
      <w:pPr>
        <w:spacing w:after="0" w:line="360" w:lineRule="auto"/>
        <w:ind w:left="360"/>
        <w:rPr>
          <w:szCs w:val="22"/>
        </w:rPr>
      </w:pPr>
    </w:p>
    <w:p w14:paraId="46B7A7B7" w14:textId="43FF8DC0" w:rsidR="00764909" w:rsidRPr="009A27ED" w:rsidRDefault="00CD4C75" w:rsidP="00E6357C">
      <w:pPr>
        <w:pStyle w:val="Ttulo3"/>
        <w:numPr>
          <w:ilvl w:val="0"/>
          <w:numId w:val="0"/>
        </w:numPr>
        <w:spacing w:line="360" w:lineRule="auto"/>
        <w:ind w:left="720"/>
        <w:jc w:val="both"/>
      </w:pPr>
      <w:bookmarkStart w:id="222" w:name="_Toc111837945"/>
      <w:r w:rsidRPr="009A27ED">
        <w:rPr>
          <w:rFonts w:ascii="Times New Roman" w:eastAsia="Times New Roman" w:hAnsi="Times New Roman"/>
          <w:sz w:val="24"/>
        </w:rPr>
        <w:t>3</w:t>
      </w:r>
      <w:r w:rsidR="00B030CA" w:rsidRPr="009A27ED">
        <w:rPr>
          <w:rFonts w:ascii="Times New Roman" w:eastAsia="Times New Roman" w:hAnsi="Times New Roman"/>
          <w:sz w:val="24"/>
        </w:rPr>
        <w:t>.</w:t>
      </w:r>
      <w:r w:rsidR="007D3A34" w:rsidRPr="009A27ED">
        <w:rPr>
          <w:rFonts w:ascii="Times New Roman" w:eastAsia="Times New Roman" w:hAnsi="Times New Roman"/>
          <w:sz w:val="24"/>
        </w:rPr>
        <w:t>4</w:t>
      </w:r>
      <w:r w:rsidR="00B030CA" w:rsidRPr="009A27ED">
        <w:rPr>
          <w:rFonts w:ascii="Times New Roman" w:eastAsia="Times New Roman" w:hAnsi="Times New Roman"/>
          <w:sz w:val="24"/>
        </w:rPr>
        <w:t>.1. Brechas respecto a impacto</w:t>
      </w:r>
      <w:r w:rsidR="00E42395" w:rsidRPr="009A27ED">
        <w:rPr>
          <w:rFonts w:ascii="Times New Roman" w:eastAsia="Times New Roman" w:hAnsi="Times New Roman"/>
          <w:sz w:val="24"/>
        </w:rPr>
        <w:t>s</w:t>
      </w:r>
      <w:r w:rsidR="00B030CA" w:rsidRPr="009A27ED">
        <w:rPr>
          <w:rFonts w:ascii="Times New Roman" w:eastAsia="Times New Roman" w:hAnsi="Times New Roman"/>
          <w:sz w:val="24"/>
        </w:rPr>
        <w:t xml:space="preserve"> ambiental</w:t>
      </w:r>
      <w:r w:rsidR="00E42395" w:rsidRPr="009A27ED">
        <w:rPr>
          <w:rFonts w:ascii="Times New Roman" w:eastAsia="Times New Roman" w:hAnsi="Times New Roman"/>
          <w:sz w:val="24"/>
        </w:rPr>
        <w:t>es</w:t>
      </w:r>
      <w:r w:rsidR="0004455E" w:rsidRPr="009A27ED">
        <w:rPr>
          <w:rFonts w:ascii="Times New Roman" w:eastAsia="Times New Roman" w:hAnsi="Times New Roman"/>
          <w:sz w:val="24"/>
        </w:rPr>
        <w:t xml:space="preserve"> y social</w:t>
      </w:r>
      <w:r w:rsidR="00E42395" w:rsidRPr="009A27ED">
        <w:rPr>
          <w:rFonts w:ascii="Times New Roman" w:eastAsia="Times New Roman" w:hAnsi="Times New Roman"/>
          <w:sz w:val="24"/>
        </w:rPr>
        <w:t>es</w:t>
      </w:r>
      <w:bookmarkEnd w:id="222"/>
    </w:p>
    <w:p w14:paraId="230FD754" w14:textId="77777777" w:rsidR="003A1F73" w:rsidRPr="009A27ED" w:rsidRDefault="003A1F73" w:rsidP="003A1F73">
      <w:pPr>
        <w:spacing w:after="0" w:line="360" w:lineRule="auto"/>
        <w:ind w:left="360"/>
        <w:rPr>
          <w:szCs w:val="22"/>
        </w:rPr>
      </w:pPr>
    </w:p>
    <w:p w14:paraId="562AAFA8" w14:textId="43EBC95F" w:rsidR="003A1F73" w:rsidRPr="009A27ED" w:rsidRDefault="00764909" w:rsidP="003A1F73">
      <w:pPr>
        <w:spacing w:line="360" w:lineRule="auto"/>
        <w:rPr>
          <w:szCs w:val="22"/>
          <w:lang w:val="es-GT"/>
        </w:rPr>
      </w:pPr>
      <w:r w:rsidRPr="009A27ED">
        <w:rPr>
          <w:rFonts w:ascii="Times New Roman" w:eastAsia="Times New Roman" w:hAnsi="Times New Roman"/>
          <w:sz w:val="24"/>
          <w:szCs w:val="22"/>
        </w:rPr>
        <w:lastRenderedPageBreak/>
        <w:t>El análisis realizado refleja que existen debilidades institucionales (capacidad técnica adecuada para llevar a cabo funciones propias de la Evaluación Ambiental</w:t>
      </w:r>
      <w:r w:rsidR="00DA0C8A" w:rsidRPr="009A27ED">
        <w:rPr>
          <w:rFonts w:ascii="Times New Roman" w:eastAsia="Times New Roman" w:hAnsi="Times New Roman"/>
          <w:sz w:val="24"/>
          <w:szCs w:val="22"/>
        </w:rPr>
        <w:t xml:space="preserve"> y Social</w:t>
      </w:r>
      <w:r w:rsidRPr="009A27ED">
        <w:rPr>
          <w:rFonts w:ascii="Times New Roman" w:eastAsia="Times New Roman" w:hAnsi="Times New Roman"/>
          <w:sz w:val="24"/>
          <w:szCs w:val="22"/>
        </w:rPr>
        <w:t>) tales como tiempo para realizar las evaluaciones y posterior otorgamiento de las autorizaciones ambientales, visitas de inspección, implementación de los procedimientos de fiscalización y gestión de medidas de mitigación y verificación del cumplimiento de los Planes de Manejo y Adecuación Ambiental (</w:t>
      </w:r>
      <w:proofErr w:type="spellStart"/>
      <w:r w:rsidRPr="009A27ED">
        <w:rPr>
          <w:rFonts w:ascii="Times New Roman" w:eastAsia="Times New Roman" w:hAnsi="Times New Roman"/>
          <w:sz w:val="24"/>
          <w:szCs w:val="22"/>
        </w:rPr>
        <w:t>PMAs</w:t>
      </w:r>
      <w:proofErr w:type="spellEnd"/>
      <w:r w:rsidRPr="009A27ED">
        <w:rPr>
          <w:rFonts w:ascii="Times New Roman" w:eastAsia="Times New Roman" w:hAnsi="Times New Roman"/>
          <w:sz w:val="24"/>
          <w:szCs w:val="22"/>
        </w:rPr>
        <w:t xml:space="preserve">). Para ello, </w:t>
      </w:r>
      <w:r w:rsidRPr="009A27ED">
        <w:rPr>
          <w:rFonts w:ascii="Times New Roman" w:eastAsia="Times New Roman" w:hAnsi="Times New Roman"/>
          <w:b/>
          <w:bCs/>
          <w:sz w:val="24"/>
          <w:szCs w:val="22"/>
        </w:rPr>
        <w:t>se implementar</w:t>
      </w:r>
      <w:r w:rsidR="002271EA" w:rsidRPr="009A27ED">
        <w:rPr>
          <w:rFonts w:ascii="Times New Roman" w:eastAsia="Times New Roman" w:hAnsi="Times New Roman"/>
          <w:b/>
          <w:bCs/>
          <w:sz w:val="24"/>
          <w:szCs w:val="22"/>
        </w:rPr>
        <w:t>o</w:t>
      </w:r>
      <w:r w:rsidRPr="009A27ED">
        <w:rPr>
          <w:rFonts w:ascii="Times New Roman" w:eastAsia="Times New Roman" w:hAnsi="Times New Roman"/>
          <w:b/>
          <w:bCs/>
          <w:sz w:val="24"/>
          <w:szCs w:val="22"/>
        </w:rPr>
        <w:t xml:space="preserve">n algunos elementos que crean condiciones </w:t>
      </w:r>
      <w:r w:rsidR="002271EA" w:rsidRPr="009A27ED">
        <w:rPr>
          <w:rFonts w:ascii="Times New Roman" w:eastAsia="Times New Roman" w:hAnsi="Times New Roman"/>
          <w:b/>
          <w:bCs/>
          <w:sz w:val="24"/>
          <w:szCs w:val="22"/>
        </w:rPr>
        <w:t>para</w:t>
      </w:r>
      <w:r w:rsidRPr="009A27ED">
        <w:rPr>
          <w:rFonts w:ascii="Times New Roman" w:eastAsia="Times New Roman" w:hAnsi="Times New Roman"/>
          <w:b/>
          <w:bCs/>
          <w:sz w:val="24"/>
          <w:szCs w:val="22"/>
        </w:rPr>
        <w:t xml:space="preserve"> la formulación </w:t>
      </w:r>
      <w:r w:rsidRPr="009A27ED">
        <w:rPr>
          <w:rFonts w:ascii="Times New Roman" w:eastAsia="Times New Roman" w:hAnsi="Times New Roman"/>
          <w:b/>
          <w:bCs/>
          <w:sz w:val="24"/>
          <w:szCs w:val="22"/>
          <w:lang w:val="es-GT"/>
        </w:rPr>
        <w:t xml:space="preserve">de </w:t>
      </w:r>
      <w:r w:rsidRPr="009A27ED">
        <w:rPr>
          <w:rFonts w:ascii="Times New Roman" w:eastAsia="Times New Roman" w:hAnsi="Times New Roman"/>
          <w:b/>
          <w:bCs/>
          <w:sz w:val="24"/>
          <w:szCs w:val="22"/>
        </w:rPr>
        <w:t>un plan de fortalecimiento institucional que abord</w:t>
      </w:r>
      <w:r w:rsidR="002271EA" w:rsidRPr="009A27ED">
        <w:rPr>
          <w:rFonts w:ascii="Times New Roman" w:eastAsia="Times New Roman" w:hAnsi="Times New Roman"/>
          <w:b/>
          <w:bCs/>
          <w:sz w:val="24"/>
          <w:szCs w:val="22"/>
        </w:rPr>
        <w:t>a</w:t>
      </w:r>
      <w:r w:rsidR="007E75AF" w:rsidRPr="009A27ED">
        <w:rPr>
          <w:rFonts w:ascii="Times New Roman" w:eastAsia="Times New Roman" w:hAnsi="Times New Roman"/>
          <w:b/>
          <w:bCs/>
          <w:sz w:val="24"/>
          <w:szCs w:val="22"/>
        </w:rPr>
        <w:t>rá</w:t>
      </w:r>
      <w:r w:rsidRPr="009A27ED">
        <w:rPr>
          <w:rFonts w:ascii="Times New Roman" w:eastAsia="Times New Roman" w:hAnsi="Times New Roman"/>
          <w:b/>
          <w:bCs/>
          <w:sz w:val="24"/>
          <w:szCs w:val="22"/>
        </w:rPr>
        <w:t xml:space="preserve"> las debilidades institucionales identificadas en el proceso de Evaluación Ambiental</w:t>
      </w:r>
      <w:r w:rsidRPr="009A27ED">
        <w:rPr>
          <w:rFonts w:ascii="Times New Roman" w:eastAsia="Times New Roman" w:hAnsi="Times New Roman"/>
          <w:sz w:val="24"/>
          <w:szCs w:val="22"/>
        </w:rPr>
        <w:t xml:space="preserve">; </w:t>
      </w:r>
      <w:r w:rsidR="002271EA" w:rsidRPr="009A27ED">
        <w:rPr>
          <w:rFonts w:ascii="Times New Roman" w:eastAsia="Times New Roman" w:hAnsi="Times New Roman"/>
          <w:sz w:val="24"/>
          <w:szCs w:val="22"/>
        </w:rPr>
        <w:t xml:space="preserve">y </w:t>
      </w:r>
      <w:r w:rsidRPr="009A27ED">
        <w:rPr>
          <w:rFonts w:ascii="Times New Roman" w:eastAsia="Times New Roman" w:hAnsi="Times New Roman"/>
          <w:sz w:val="24"/>
          <w:szCs w:val="22"/>
        </w:rPr>
        <w:t xml:space="preserve">se </w:t>
      </w:r>
      <w:r w:rsidR="002271EA" w:rsidRPr="009A27ED">
        <w:rPr>
          <w:rFonts w:ascii="Times New Roman" w:eastAsia="Times New Roman" w:hAnsi="Times New Roman"/>
          <w:sz w:val="24"/>
          <w:szCs w:val="22"/>
        </w:rPr>
        <w:t xml:space="preserve">incluirán </w:t>
      </w:r>
      <w:r w:rsidRPr="009A27ED">
        <w:rPr>
          <w:rFonts w:ascii="Times New Roman" w:eastAsia="Times New Roman" w:hAnsi="Times New Roman"/>
          <w:sz w:val="24"/>
          <w:szCs w:val="22"/>
        </w:rPr>
        <w:t>los lineamientos establecidos en la sección 7 del presente MGAS y aquellos indicados en la OP/BM 4.01 y OP/BM 4.04: se aplicará el criterio preventivo con respecto al manejo de los recursos naturales, con el fin de garantizar oportunidades de desarrollo sostenible desde el punto de vista ambiental, es necesario también que se apliquen las normas y procedimientos relativos a las EA</w:t>
      </w:r>
      <w:r w:rsidR="00897D3E" w:rsidRPr="009A27ED">
        <w:rPr>
          <w:rFonts w:ascii="Times New Roman" w:eastAsia="Times New Roman" w:hAnsi="Times New Roman"/>
          <w:sz w:val="24"/>
          <w:szCs w:val="22"/>
        </w:rPr>
        <w:t>S</w:t>
      </w:r>
      <w:r w:rsidRPr="009A27ED">
        <w:rPr>
          <w:rFonts w:ascii="Times New Roman" w:eastAsia="Times New Roman" w:hAnsi="Times New Roman"/>
          <w:sz w:val="24"/>
          <w:szCs w:val="22"/>
        </w:rPr>
        <w:t>, como parte del proceso de robustecimiento de la gobernanza forestal en el país</w:t>
      </w:r>
      <w:r w:rsidR="003A1F73" w:rsidRPr="009A27ED">
        <w:rPr>
          <w:rFonts w:ascii="Times New Roman" w:eastAsia="Times New Roman" w:hAnsi="Times New Roman"/>
          <w:sz w:val="24"/>
          <w:szCs w:val="22"/>
        </w:rPr>
        <w:t xml:space="preserve">, se hace la aclaración que durante la implementación de REDD+ en República Dominicana no </w:t>
      </w:r>
      <w:r w:rsidR="003A1F73" w:rsidRPr="009A27ED">
        <w:rPr>
          <w:rFonts w:ascii="Times New Roman" w:eastAsia="Times New Roman" w:hAnsi="Times New Roman"/>
          <w:sz w:val="24"/>
          <w:szCs w:val="22"/>
          <w:lang w:val="es-GT"/>
        </w:rPr>
        <w:t>s</w:t>
      </w:r>
      <w:r w:rsidRPr="009A27ED">
        <w:rPr>
          <w:rFonts w:ascii="Times New Roman" w:eastAsia="Times New Roman" w:hAnsi="Times New Roman"/>
          <w:sz w:val="24"/>
          <w:szCs w:val="22"/>
          <w:lang w:val="es-GT"/>
        </w:rPr>
        <w:t xml:space="preserve">e desarrollarán proyectos que impliquen degradación y conversión de hábitats naturales. </w:t>
      </w:r>
    </w:p>
    <w:p w14:paraId="29E6F1FD" w14:textId="6B6D2B80" w:rsidR="003A1F73" w:rsidRPr="009A27ED" w:rsidRDefault="00764909" w:rsidP="003A1F73">
      <w:pPr>
        <w:spacing w:line="360" w:lineRule="auto"/>
        <w:rPr>
          <w:szCs w:val="22"/>
        </w:rPr>
      </w:pPr>
      <w:r w:rsidRPr="009A27ED">
        <w:rPr>
          <w:rFonts w:ascii="Times New Roman" w:eastAsia="Times New Roman" w:hAnsi="Times New Roman"/>
          <w:sz w:val="24"/>
          <w:szCs w:val="22"/>
          <w:lang w:val="es-GT"/>
        </w:rPr>
        <w:t>Los PMAS que se desarrollarán para implementar acciones REDD+ en las regiones priorizadas, promoverán acciones relevantes para apoyar las acciones de reducción de la deforestación y la degradación de los bosques</w:t>
      </w:r>
      <w:r w:rsidR="003A1F73" w:rsidRPr="009A27ED">
        <w:rPr>
          <w:rFonts w:ascii="Times New Roman" w:eastAsia="Times New Roman" w:hAnsi="Times New Roman"/>
          <w:sz w:val="24"/>
          <w:szCs w:val="22"/>
          <w:lang w:val="es-GT"/>
        </w:rPr>
        <w:t xml:space="preserve">, finalmente se </w:t>
      </w:r>
      <w:r w:rsidR="003A1F73" w:rsidRPr="009A27ED">
        <w:rPr>
          <w:rFonts w:ascii="Times New Roman" w:eastAsia="Times New Roman" w:hAnsi="Times New Roman"/>
          <w:sz w:val="24"/>
          <w:szCs w:val="22"/>
        </w:rPr>
        <w:t>revisará y adecuarán los procedimientos de evaluación para eficientizar los tiempos para otorgamiento de los planes de manejo forestal y se elaborará un manual de buenas prácticas para plantaciones forestales, a ser utilizado por las diferentes Entidades Ejecutoras REDD+ que intervienen en reforestación y el manejo forestal sostenible.</w:t>
      </w:r>
    </w:p>
    <w:p w14:paraId="35B518B8" w14:textId="6B914F9C" w:rsidR="00B030CA" w:rsidRPr="009A27ED" w:rsidRDefault="003A1F73" w:rsidP="003A1F73">
      <w:pPr>
        <w:spacing w:line="360" w:lineRule="auto"/>
        <w:rPr>
          <w:szCs w:val="22"/>
        </w:rPr>
      </w:pPr>
      <w:r w:rsidRPr="009A27ED">
        <w:rPr>
          <w:rFonts w:ascii="Times New Roman" w:eastAsia="Times New Roman" w:hAnsi="Times New Roman"/>
          <w:sz w:val="24"/>
          <w:szCs w:val="22"/>
        </w:rPr>
        <w:t xml:space="preserve">Una medida importante </w:t>
      </w:r>
      <w:r w:rsidR="00F33679" w:rsidRPr="009A27ED">
        <w:rPr>
          <w:rFonts w:ascii="Times New Roman" w:eastAsia="Times New Roman" w:hAnsi="Times New Roman"/>
          <w:sz w:val="24"/>
          <w:szCs w:val="22"/>
        </w:rPr>
        <w:t xml:space="preserve">ha sido </w:t>
      </w:r>
      <w:r w:rsidR="0024198F" w:rsidRPr="009A27ED">
        <w:rPr>
          <w:rFonts w:ascii="Times New Roman" w:eastAsia="Times New Roman" w:hAnsi="Times New Roman"/>
          <w:sz w:val="24"/>
          <w:szCs w:val="22"/>
        </w:rPr>
        <w:t>i</w:t>
      </w:r>
      <w:r w:rsidRPr="009A27ED">
        <w:rPr>
          <w:rFonts w:ascii="Times New Roman" w:eastAsia="Times New Roman" w:hAnsi="Times New Roman"/>
          <w:sz w:val="24"/>
          <w:szCs w:val="22"/>
        </w:rPr>
        <w:t>ncluir en los Convenios interinstitucionales con las Entidades Ejecutoras, las obligaciones y responsabilidades para la implementación efectiva de las políticas públicas de conservación, uso sostenible y restauración de los bosques, así como la expansión de modelos exitosos de manejo sostenible de bosques.</w:t>
      </w:r>
    </w:p>
    <w:p w14:paraId="724F755A" w14:textId="6FE6159C" w:rsidR="00B030CA" w:rsidRPr="009A27ED" w:rsidRDefault="00CD4C75" w:rsidP="00E6357C">
      <w:pPr>
        <w:pStyle w:val="Ttulo3"/>
        <w:numPr>
          <w:ilvl w:val="0"/>
          <w:numId w:val="0"/>
        </w:numPr>
        <w:spacing w:line="360" w:lineRule="auto"/>
        <w:ind w:left="720"/>
        <w:jc w:val="both"/>
      </w:pPr>
      <w:bookmarkStart w:id="223" w:name="_Toc111837946"/>
      <w:r w:rsidRPr="009A27ED">
        <w:rPr>
          <w:rFonts w:ascii="Times New Roman" w:eastAsia="Times New Roman" w:hAnsi="Times New Roman"/>
          <w:sz w:val="24"/>
        </w:rPr>
        <w:t>3</w:t>
      </w:r>
      <w:r w:rsidR="00B030CA" w:rsidRPr="009A27ED">
        <w:rPr>
          <w:rFonts w:ascii="Times New Roman" w:eastAsia="Times New Roman" w:hAnsi="Times New Roman"/>
          <w:sz w:val="24"/>
        </w:rPr>
        <w:t>.</w:t>
      </w:r>
      <w:r w:rsidR="007D3A34" w:rsidRPr="009A27ED">
        <w:rPr>
          <w:rFonts w:ascii="Times New Roman" w:eastAsia="Times New Roman" w:hAnsi="Times New Roman"/>
          <w:sz w:val="24"/>
        </w:rPr>
        <w:t>4</w:t>
      </w:r>
      <w:r w:rsidR="00B030CA" w:rsidRPr="009A27ED">
        <w:rPr>
          <w:rFonts w:ascii="Times New Roman" w:eastAsia="Times New Roman" w:hAnsi="Times New Roman"/>
          <w:sz w:val="24"/>
        </w:rPr>
        <w:t xml:space="preserve">.2. Brechas </w:t>
      </w:r>
      <w:r w:rsidR="00867019" w:rsidRPr="009A27ED">
        <w:rPr>
          <w:rFonts w:ascii="Times New Roman" w:eastAsia="Times New Roman" w:hAnsi="Times New Roman"/>
          <w:sz w:val="24"/>
        </w:rPr>
        <w:t>respecto</w:t>
      </w:r>
      <w:r w:rsidR="00B030CA" w:rsidRPr="009A27ED">
        <w:rPr>
          <w:rFonts w:ascii="Times New Roman" w:eastAsia="Times New Roman" w:hAnsi="Times New Roman"/>
          <w:sz w:val="24"/>
        </w:rPr>
        <w:t xml:space="preserve"> a hábitat naturales</w:t>
      </w:r>
      <w:bookmarkEnd w:id="223"/>
    </w:p>
    <w:p w14:paraId="10F25639" w14:textId="77777777" w:rsidR="00B030CA" w:rsidRPr="009A27ED" w:rsidRDefault="00B030CA" w:rsidP="00CD4C75">
      <w:pPr>
        <w:spacing w:after="0" w:line="360" w:lineRule="auto"/>
        <w:rPr>
          <w:szCs w:val="22"/>
        </w:rPr>
      </w:pPr>
    </w:p>
    <w:p w14:paraId="27C4C28D" w14:textId="53330743" w:rsidR="001F56F6" w:rsidRPr="009A27ED" w:rsidRDefault="001F56F6" w:rsidP="001F56F6">
      <w:pPr>
        <w:spacing w:line="360" w:lineRule="auto"/>
        <w:rPr>
          <w:szCs w:val="22"/>
          <w:lang w:val="es-DO"/>
        </w:rPr>
      </w:pPr>
      <w:r w:rsidRPr="009A27ED">
        <w:rPr>
          <w:rFonts w:ascii="Times New Roman" w:eastAsia="Times New Roman" w:hAnsi="Times New Roman"/>
          <w:sz w:val="24"/>
          <w:szCs w:val="22"/>
        </w:rPr>
        <w:lastRenderedPageBreak/>
        <w:t xml:space="preserve">El análisis realizado no reflejó vacíos legales, la carta magna declara los principios, derechos y deberes fundamentales que regulan el marco político, institucional legal y territorial de la República Dominicana. En el caso de la Ley General de Medio Ambiente, tampoco se encontraron vacíos, sin embargo, el análisis recomienda fortalecer </w:t>
      </w:r>
      <w:r w:rsidRPr="009A27ED">
        <w:rPr>
          <w:rFonts w:ascii="Times New Roman" w:eastAsia="Times New Roman" w:hAnsi="Times New Roman"/>
          <w:sz w:val="24"/>
          <w:szCs w:val="22"/>
          <w:lang w:val="es-DO"/>
        </w:rPr>
        <w:t>la capacidad institucional para poner en práctica los criterios de conservación planteados en la ley, asegurando una formulación y ejecución adecuada de las medidas de mitigación e implementar los lineamientos establecidos en el MGAS para la OP 4.04.</w:t>
      </w:r>
    </w:p>
    <w:p w14:paraId="67AA843B" w14:textId="06F7E2EC" w:rsidR="001F56F6" w:rsidRPr="009A27ED" w:rsidRDefault="005D71A6" w:rsidP="005D71A6">
      <w:pPr>
        <w:spacing w:line="360" w:lineRule="auto"/>
        <w:rPr>
          <w:szCs w:val="22"/>
        </w:rPr>
      </w:pPr>
      <w:r w:rsidRPr="009A27ED">
        <w:rPr>
          <w:rFonts w:ascii="Times New Roman" w:eastAsia="Times New Roman" w:hAnsi="Times New Roman"/>
          <w:sz w:val="24"/>
          <w:szCs w:val="22"/>
        </w:rPr>
        <w:t>En términos de la Ley de Áreas protegidas y Biodiversidad, se refleja una participación débil de actores locales en el diseño de los planes de manejo, falta de continuidad de las políticas públicas orientadas a la conservación natural y uso sostenible de las áreas protegidas y una falta de aplicación de la Ley y criterios de gestión para la protección de la biodiversidad en las áreas protegidas y sus zonas de amortiguamiento y debilidad en los mecanismos de control, vigilancia y sanción.</w:t>
      </w:r>
    </w:p>
    <w:p w14:paraId="51774928" w14:textId="17EAFCD0" w:rsidR="001F56F6" w:rsidRPr="009A27ED" w:rsidRDefault="00434410" w:rsidP="00B14B72">
      <w:pPr>
        <w:spacing w:line="360" w:lineRule="auto"/>
        <w:rPr>
          <w:szCs w:val="22"/>
        </w:rPr>
      </w:pPr>
      <w:r w:rsidRPr="009A27ED">
        <w:rPr>
          <w:rFonts w:ascii="Times New Roman" w:eastAsia="Times New Roman" w:hAnsi="Times New Roman"/>
          <w:sz w:val="24"/>
          <w:szCs w:val="22"/>
        </w:rPr>
        <w:t xml:space="preserve">Es importante recalcar, que en el caso proyectos en áreas protegidas se aplicarán los instrumentos técnicos que dispone el Ministerio Ambiente en la Ley 202-04 para el manejo del Sistema Nacional de Áreas Protegidas la cual manda a implementar los siguientes instrumentos: 1) Planes de Manejo, 2) Planes operativos, 3) Políticas y criterios  para la gestión del SINAP, 4) Estrategia del SINAP y 5) Plan Plurianual, se impulsarán estructuras de gobernanza efectivas para la conservación del patrimonio natural en el ámbito de REDD+, </w:t>
      </w:r>
      <w:r w:rsidRPr="009A27ED">
        <w:rPr>
          <w:rFonts w:ascii="Times New Roman" w:eastAsia="Times New Roman" w:hAnsi="Times New Roman"/>
          <w:b/>
          <w:bCs/>
          <w:sz w:val="24"/>
          <w:szCs w:val="22"/>
        </w:rPr>
        <w:t xml:space="preserve">se formularán </w:t>
      </w:r>
      <w:r w:rsidRPr="009A27ED">
        <w:rPr>
          <w:rFonts w:ascii="Times New Roman" w:eastAsia="Times New Roman" w:hAnsi="Times New Roman"/>
          <w:b/>
          <w:bCs/>
          <w:sz w:val="24"/>
          <w:szCs w:val="22"/>
          <w:lang w:val="es-GT"/>
        </w:rPr>
        <w:t xml:space="preserve">e </w:t>
      </w:r>
      <w:r w:rsidRPr="009A27ED">
        <w:rPr>
          <w:rFonts w:ascii="Times New Roman" w:eastAsia="Times New Roman" w:hAnsi="Times New Roman"/>
          <w:b/>
          <w:bCs/>
          <w:sz w:val="24"/>
          <w:szCs w:val="22"/>
        </w:rPr>
        <w:t>implementarán acciones de producción sostenible en zonas de amortiguamiento de las áreas protegidas y reducir la dependencia del uso al interior de dichas áreas,</w:t>
      </w:r>
      <w:r w:rsidRPr="009A27ED">
        <w:rPr>
          <w:rFonts w:ascii="Times New Roman" w:eastAsia="Times New Roman" w:hAnsi="Times New Roman"/>
          <w:sz w:val="24"/>
          <w:szCs w:val="22"/>
        </w:rPr>
        <w:t xml:space="preserve"> como en la mayoría de los casos, se </w:t>
      </w:r>
      <w:r w:rsidR="00E009BF" w:rsidRPr="009A27ED">
        <w:rPr>
          <w:rFonts w:ascii="Times New Roman" w:eastAsia="Times New Roman" w:hAnsi="Times New Roman"/>
          <w:sz w:val="24"/>
          <w:szCs w:val="22"/>
        </w:rPr>
        <w:t>fortalecerán</w:t>
      </w:r>
      <w:r w:rsidRPr="009A27ED">
        <w:rPr>
          <w:rFonts w:ascii="Times New Roman" w:eastAsia="Times New Roman" w:hAnsi="Times New Roman"/>
          <w:sz w:val="24"/>
          <w:szCs w:val="22"/>
        </w:rPr>
        <w:t xml:space="preserve"> las capacidades institucionales a través de la elaboración e implementación de un programa de control y vigilancia de los espacios naturales protegidos y se implementará un programa de inducción con las Entidades Ejecutoras y Programas, en función de los acuerdos institucionales que se firmarán, enfatizando la importancia de la observancia y cumplimiento de las Salvaguardas relacionadas con las áreas protegidas y la conservación de la diversidad biológica, y el cumplimiento de la OP.4.04 del BM sobre Hábitats Naturales.</w:t>
      </w:r>
    </w:p>
    <w:p w14:paraId="0E0E215A" w14:textId="419EC231" w:rsidR="00B030CA" w:rsidRPr="009A27ED" w:rsidRDefault="00CD4C75" w:rsidP="00E6357C">
      <w:pPr>
        <w:pStyle w:val="Ttulo3"/>
        <w:numPr>
          <w:ilvl w:val="0"/>
          <w:numId w:val="0"/>
        </w:numPr>
        <w:spacing w:line="360" w:lineRule="auto"/>
        <w:ind w:left="720"/>
        <w:jc w:val="both"/>
      </w:pPr>
      <w:bookmarkStart w:id="224" w:name="_Toc111837947"/>
      <w:r w:rsidRPr="009A27ED">
        <w:rPr>
          <w:rFonts w:ascii="Times New Roman" w:eastAsia="Times New Roman" w:hAnsi="Times New Roman"/>
          <w:sz w:val="24"/>
        </w:rPr>
        <w:t>3</w:t>
      </w:r>
      <w:r w:rsidR="00B030CA" w:rsidRPr="009A27ED">
        <w:rPr>
          <w:rFonts w:ascii="Times New Roman" w:eastAsia="Times New Roman" w:hAnsi="Times New Roman"/>
          <w:sz w:val="24"/>
        </w:rPr>
        <w:t>.</w:t>
      </w:r>
      <w:r w:rsidR="007D3A34" w:rsidRPr="009A27ED">
        <w:rPr>
          <w:rFonts w:ascii="Times New Roman" w:eastAsia="Times New Roman" w:hAnsi="Times New Roman"/>
          <w:sz w:val="24"/>
        </w:rPr>
        <w:t>4</w:t>
      </w:r>
      <w:r w:rsidR="00B030CA" w:rsidRPr="009A27ED">
        <w:rPr>
          <w:rFonts w:ascii="Times New Roman" w:eastAsia="Times New Roman" w:hAnsi="Times New Roman"/>
          <w:sz w:val="24"/>
        </w:rPr>
        <w:t>.3. Brechas respecto de bosques</w:t>
      </w:r>
      <w:bookmarkEnd w:id="224"/>
    </w:p>
    <w:p w14:paraId="51D3BAC9" w14:textId="1D9522B2" w:rsidR="00B030CA" w:rsidRPr="009A27ED" w:rsidRDefault="00B030CA" w:rsidP="00B14B72">
      <w:pPr>
        <w:spacing w:after="0" w:line="360" w:lineRule="auto"/>
        <w:rPr>
          <w:szCs w:val="22"/>
        </w:rPr>
      </w:pPr>
    </w:p>
    <w:p w14:paraId="41BB0C60" w14:textId="6041C9F1" w:rsidR="00B14B72" w:rsidRPr="009A27ED" w:rsidRDefault="00B14B72" w:rsidP="00B14B72">
      <w:pPr>
        <w:spacing w:line="360" w:lineRule="auto"/>
        <w:rPr>
          <w:szCs w:val="22"/>
          <w:lang w:val="es-DO"/>
        </w:rPr>
      </w:pPr>
      <w:r w:rsidRPr="009A27ED">
        <w:rPr>
          <w:rFonts w:ascii="Times New Roman" w:eastAsia="Times New Roman" w:hAnsi="Times New Roman"/>
          <w:sz w:val="24"/>
          <w:szCs w:val="22"/>
        </w:rPr>
        <w:lastRenderedPageBreak/>
        <w:t xml:space="preserve">El análisis reflejó que existen debilidades institucionales relacionadas con la capacidad técnica para llevar a cabo las funciones Evaluación Ambiental, también las relacionadas con el establecimiento y aplicación de sistemas de seguimiento y monitoreo, ante un </w:t>
      </w:r>
      <w:r w:rsidRPr="009A27ED">
        <w:rPr>
          <w:rFonts w:ascii="Times New Roman" w:eastAsia="Times New Roman" w:hAnsi="Times New Roman"/>
          <w:sz w:val="24"/>
          <w:szCs w:val="22"/>
          <w:lang w:val="es-DO"/>
        </w:rPr>
        <w:t xml:space="preserve">largo período de evaluación y aprobación de la autorización el solicitante no puede asegurar un manejo adecuado de la parcela y cumplimiento con los planes operativos anuales previstos. </w:t>
      </w:r>
    </w:p>
    <w:p w14:paraId="56ED0E85" w14:textId="6AEE8537" w:rsidR="00B14B72" w:rsidRPr="009A27ED" w:rsidRDefault="00434410" w:rsidP="00B14B72">
      <w:pPr>
        <w:spacing w:line="360" w:lineRule="auto"/>
        <w:rPr>
          <w:szCs w:val="22"/>
        </w:rPr>
      </w:pPr>
      <w:r w:rsidRPr="009A27ED">
        <w:rPr>
          <w:rFonts w:ascii="Times New Roman" w:eastAsia="Times New Roman" w:hAnsi="Times New Roman"/>
          <w:sz w:val="24"/>
          <w:szCs w:val="22"/>
        </w:rPr>
        <w:t xml:space="preserve">Para abordar la OP 4.36 se aplicarán los planteamientos de los instrumentos legales, definidos en el Reglamento Forestal (RF) y las Normas Técnicas para Planes de Manejo Forestal (NTMF) y las cuales describen los procedimientos que se deben desarrollar para lograr un manejo y aprovechamiento sostenible del bosque y hacen énfasis en la aplicación de las medidas definidas en los mismos para lograr su uso racional, </w:t>
      </w:r>
      <w:r w:rsidRPr="009A27ED">
        <w:rPr>
          <w:rFonts w:ascii="Times New Roman" w:eastAsia="Times New Roman" w:hAnsi="Times New Roman"/>
          <w:b/>
          <w:bCs/>
          <w:sz w:val="24"/>
          <w:szCs w:val="22"/>
        </w:rPr>
        <w:t>se fortalecerán las acciones de vigilancia en el cumplimiento de la Ley y su Reglamento en torno a los Planes de Manejo Forestal</w:t>
      </w:r>
      <w:r w:rsidRPr="009A27ED">
        <w:rPr>
          <w:rFonts w:ascii="Times New Roman" w:eastAsia="Times New Roman" w:hAnsi="Times New Roman"/>
          <w:sz w:val="24"/>
          <w:szCs w:val="22"/>
        </w:rPr>
        <w:t>, y se elaborará un manual de Buenas Prácticas Forestales, a ser utilizado por las distintas Entidades Ejecutoras y Programas del programa REDD+ que intervienen en la reforestación y el manejo forestal sostenible.</w:t>
      </w:r>
    </w:p>
    <w:p w14:paraId="7D60C740" w14:textId="3491AAE0" w:rsidR="00B14B72" w:rsidRPr="009A27ED" w:rsidRDefault="00E23E66" w:rsidP="00E23E66">
      <w:pPr>
        <w:spacing w:line="360" w:lineRule="auto"/>
        <w:rPr>
          <w:szCs w:val="22"/>
        </w:rPr>
      </w:pPr>
      <w:r w:rsidRPr="009A27ED">
        <w:rPr>
          <w:rFonts w:ascii="Times New Roman" w:eastAsia="Times New Roman" w:hAnsi="Times New Roman"/>
          <w:sz w:val="24"/>
          <w:szCs w:val="22"/>
        </w:rPr>
        <w:t>Por otro lado, el sistema de Pago por Servicios Ambientales s</w:t>
      </w:r>
      <w:r w:rsidR="00B66F4B" w:rsidRPr="009A27ED">
        <w:rPr>
          <w:rFonts w:ascii="Times New Roman" w:eastAsia="Times New Roman" w:hAnsi="Times New Roman"/>
          <w:sz w:val="24"/>
          <w:szCs w:val="22"/>
        </w:rPr>
        <w:t>ó</w:t>
      </w:r>
      <w:r w:rsidRPr="009A27ED">
        <w:rPr>
          <w:rFonts w:ascii="Times New Roman" w:eastAsia="Times New Roman" w:hAnsi="Times New Roman"/>
          <w:sz w:val="24"/>
          <w:szCs w:val="22"/>
        </w:rPr>
        <w:t xml:space="preserve">lo se ejecuta a nivel de proyecto piloto en la Cuenca Alta del río </w:t>
      </w:r>
      <w:proofErr w:type="spellStart"/>
      <w:r w:rsidRPr="009A27ED">
        <w:rPr>
          <w:rFonts w:ascii="Times New Roman" w:eastAsia="Times New Roman" w:hAnsi="Times New Roman"/>
          <w:sz w:val="24"/>
          <w:szCs w:val="22"/>
        </w:rPr>
        <w:t>Yaque</w:t>
      </w:r>
      <w:proofErr w:type="spellEnd"/>
      <w:r w:rsidRPr="009A27ED">
        <w:rPr>
          <w:rFonts w:ascii="Times New Roman" w:eastAsia="Times New Roman" w:hAnsi="Times New Roman"/>
          <w:sz w:val="24"/>
          <w:szCs w:val="22"/>
        </w:rPr>
        <w:t xml:space="preserve"> del Norte y no cuenta en la actualidad con su Reglamento de Aplicación, sin </w:t>
      </w:r>
      <w:r w:rsidR="009D0FCB" w:rsidRPr="009A27ED">
        <w:rPr>
          <w:rFonts w:ascii="Times New Roman" w:eastAsia="Times New Roman" w:hAnsi="Times New Roman"/>
          <w:sz w:val="24"/>
          <w:szCs w:val="22"/>
        </w:rPr>
        <w:t>embargo,</w:t>
      </w:r>
      <w:r w:rsidRPr="009A27ED">
        <w:rPr>
          <w:rFonts w:ascii="Times New Roman" w:eastAsia="Times New Roman" w:hAnsi="Times New Roman"/>
          <w:sz w:val="24"/>
          <w:szCs w:val="22"/>
        </w:rPr>
        <w:t xml:space="preserve"> es un proyecto exitoso que tiene varias posibilidades de réplica dentro de la</w:t>
      </w:r>
      <w:r w:rsidR="00B66F4B" w:rsidRPr="009A27ED">
        <w:rPr>
          <w:rFonts w:ascii="Times New Roman" w:eastAsia="Times New Roman" w:hAnsi="Times New Roman"/>
          <w:sz w:val="24"/>
          <w:szCs w:val="22"/>
        </w:rPr>
        <w:t xml:space="preserve"> </w:t>
      </w:r>
      <w:r w:rsidRPr="009A27ED">
        <w:rPr>
          <w:rFonts w:ascii="Times New Roman" w:eastAsia="Times New Roman" w:hAnsi="Times New Roman"/>
          <w:sz w:val="24"/>
          <w:szCs w:val="22"/>
        </w:rPr>
        <w:t>implementación de REDD+</w:t>
      </w:r>
      <w:r w:rsidR="009D0FCB" w:rsidRPr="009A27ED">
        <w:rPr>
          <w:rFonts w:ascii="Times New Roman" w:eastAsia="Times New Roman" w:hAnsi="Times New Roman"/>
          <w:sz w:val="24"/>
          <w:szCs w:val="22"/>
        </w:rPr>
        <w:t xml:space="preserve">. En un principio se </w:t>
      </w:r>
      <w:proofErr w:type="spellStart"/>
      <w:r w:rsidR="009D0FCB" w:rsidRPr="009A27ED">
        <w:rPr>
          <w:rFonts w:ascii="Times New Roman" w:eastAsia="Times New Roman" w:hAnsi="Times New Roman"/>
          <w:sz w:val="24"/>
          <w:szCs w:val="22"/>
        </w:rPr>
        <w:t>contemplo</w:t>
      </w:r>
      <w:proofErr w:type="spellEnd"/>
      <w:r w:rsidR="009D0FCB" w:rsidRPr="009A27ED">
        <w:rPr>
          <w:rFonts w:ascii="Times New Roman" w:eastAsia="Times New Roman" w:hAnsi="Times New Roman"/>
          <w:sz w:val="24"/>
          <w:szCs w:val="22"/>
        </w:rPr>
        <w:t xml:space="preserve"> </w:t>
      </w:r>
      <w:r w:rsidR="00C02912" w:rsidRPr="009A27ED">
        <w:rPr>
          <w:rFonts w:ascii="Times New Roman" w:eastAsia="Times New Roman" w:hAnsi="Times New Roman"/>
          <w:sz w:val="24"/>
          <w:szCs w:val="22"/>
        </w:rPr>
        <w:t xml:space="preserve">incluir como actividad tipo REDD+ la extensión del área pago por servicio ambientales en la cuenca alta del río </w:t>
      </w:r>
      <w:proofErr w:type="spellStart"/>
      <w:r w:rsidR="00C02912" w:rsidRPr="009A27ED">
        <w:rPr>
          <w:rFonts w:ascii="Times New Roman" w:eastAsia="Times New Roman" w:hAnsi="Times New Roman"/>
          <w:sz w:val="24"/>
          <w:szCs w:val="22"/>
        </w:rPr>
        <w:t>Yaque</w:t>
      </w:r>
      <w:proofErr w:type="spellEnd"/>
      <w:r w:rsidR="00C02912" w:rsidRPr="009A27ED">
        <w:rPr>
          <w:rFonts w:ascii="Times New Roman" w:eastAsia="Times New Roman" w:hAnsi="Times New Roman"/>
          <w:sz w:val="24"/>
          <w:szCs w:val="22"/>
        </w:rPr>
        <w:t xml:space="preserve"> del Norte, pero esta actividad fue desestimada como parte del programa REDD+ por la poca seguridad institucional para ejecutar en el marco de REDD+ ese instrumento de pago. </w:t>
      </w:r>
    </w:p>
    <w:p w14:paraId="71A1EA4C" w14:textId="77777777" w:rsidR="009D0FCB" w:rsidRPr="009A27ED" w:rsidRDefault="009D0FCB" w:rsidP="00E23E66">
      <w:pPr>
        <w:spacing w:line="360" w:lineRule="auto"/>
        <w:rPr>
          <w:b/>
          <w:bCs/>
          <w:szCs w:val="22"/>
          <w:lang w:val="es-DO"/>
        </w:rPr>
      </w:pPr>
    </w:p>
    <w:p w14:paraId="2731AA15" w14:textId="77777777" w:rsidR="00B14B72" w:rsidRPr="009A27ED" w:rsidRDefault="00B14B72" w:rsidP="00B14B72">
      <w:pPr>
        <w:spacing w:after="0" w:line="360" w:lineRule="auto"/>
        <w:rPr>
          <w:szCs w:val="22"/>
        </w:rPr>
      </w:pPr>
    </w:p>
    <w:p w14:paraId="05AC8A66" w14:textId="3532F140" w:rsidR="00B030CA" w:rsidRPr="009A27ED" w:rsidRDefault="00CD4C75" w:rsidP="00E6357C">
      <w:pPr>
        <w:pStyle w:val="Ttulo3"/>
        <w:numPr>
          <w:ilvl w:val="0"/>
          <w:numId w:val="0"/>
        </w:numPr>
        <w:spacing w:line="360" w:lineRule="auto"/>
        <w:ind w:left="720"/>
        <w:jc w:val="both"/>
      </w:pPr>
      <w:bookmarkStart w:id="225" w:name="_Toc111837948"/>
      <w:r w:rsidRPr="009A27ED">
        <w:rPr>
          <w:rFonts w:ascii="Times New Roman" w:eastAsia="Times New Roman" w:hAnsi="Times New Roman"/>
          <w:sz w:val="24"/>
        </w:rPr>
        <w:t>3</w:t>
      </w:r>
      <w:r w:rsidR="00B030CA" w:rsidRPr="009A27ED">
        <w:rPr>
          <w:rFonts w:ascii="Times New Roman" w:eastAsia="Times New Roman" w:hAnsi="Times New Roman"/>
          <w:sz w:val="24"/>
        </w:rPr>
        <w:t>.</w:t>
      </w:r>
      <w:r w:rsidR="007D3A34" w:rsidRPr="009A27ED">
        <w:rPr>
          <w:rFonts w:ascii="Times New Roman" w:eastAsia="Times New Roman" w:hAnsi="Times New Roman"/>
          <w:sz w:val="24"/>
        </w:rPr>
        <w:t>4</w:t>
      </w:r>
      <w:r w:rsidR="00B030CA" w:rsidRPr="009A27ED">
        <w:rPr>
          <w:rFonts w:ascii="Times New Roman" w:eastAsia="Times New Roman" w:hAnsi="Times New Roman"/>
          <w:sz w:val="24"/>
        </w:rPr>
        <w:t>.4. Brechas respecto a reasentamiento involuntario</w:t>
      </w:r>
      <w:bookmarkEnd w:id="225"/>
    </w:p>
    <w:p w14:paraId="68FDAB9F" w14:textId="77777777" w:rsidR="00CD4C75" w:rsidRPr="009A27ED" w:rsidRDefault="00CD4C75" w:rsidP="00DC2EED">
      <w:pPr>
        <w:spacing w:after="0" w:line="360" w:lineRule="auto"/>
        <w:ind w:left="360"/>
        <w:rPr>
          <w:szCs w:val="22"/>
        </w:rPr>
      </w:pPr>
    </w:p>
    <w:p w14:paraId="08430F81" w14:textId="1C7FB983" w:rsidR="00B030CA" w:rsidRPr="009A27ED" w:rsidRDefault="00397510" w:rsidP="00F33679">
      <w:pPr>
        <w:spacing w:line="360" w:lineRule="auto"/>
        <w:rPr>
          <w:szCs w:val="22"/>
        </w:rPr>
      </w:pPr>
      <w:r w:rsidRPr="009A27ED">
        <w:rPr>
          <w:rFonts w:ascii="Times New Roman" w:eastAsia="Times New Roman" w:hAnsi="Times New Roman"/>
          <w:sz w:val="24"/>
          <w:szCs w:val="22"/>
        </w:rPr>
        <w:t xml:space="preserve">En términos generales el marco normativo institucional de Republica Dominicana es concurrente con los principios y requerimientos de la </w:t>
      </w:r>
      <w:r w:rsidR="000A4C43" w:rsidRPr="009A27ED">
        <w:rPr>
          <w:rFonts w:ascii="Times New Roman" w:eastAsia="Times New Roman" w:hAnsi="Times New Roman"/>
          <w:sz w:val="24"/>
          <w:szCs w:val="22"/>
        </w:rPr>
        <w:t>Política</w:t>
      </w:r>
      <w:r w:rsidRPr="009A27ED">
        <w:rPr>
          <w:rFonts w:ascii="Times New Roman" w:eastAsia="Times New Roman" w:hAnsi="Times New Roman"/>
          <w:sz w:val="24"/>
          <w:szCs w:val="22"/>
        </w:rPr>
        <w:t xml:space="preserve"> Operacional 4.12 del Banco Mundial relativa a Reasentamiento Involuntario. No </w:t>
      </w:r>
      <w:r w:rsidR="00C02912" w:rsidRPr="009A27ED">
        <w:rPr>
          <w:rFonts w:ascii="Times New Roman" w:eastAsia="Times New Roman" w:hAnsi="Times New Roman"/>
          <w:sz w:val="24"/>
          <w:szCs w:val="22"/>
        </w:rPr>
        <w:t>obstante,</w:t>
      </w:r>
      <w:r w:rsidRPr="009A27ED">
        <w:rPr>
          <w:rFonts w:ascii="Times New Roman" w:eastAsia="Times New Roman" w:hAnsi="Times New Roman"/>
          <w:sz w:val="24"/>
          <w:szCs w:val="22"/>
        </w:rPr>
        <w:t xml:space="preserve"> el análisis ha permitido identificar algunas diferencias en </w:t>
      </w:r>
      <w:r w:rsidR="00D85466" w:rsidRPr="009A27ED">
        <w:rPr>
          <w:rFonts w:ascii="Times New Roman" w:eastAsia="Times New Roman" w:hAnsi="Times New Roman"/>
          <w:sz w:val="24"/>
          <w:szCs w:val="22"/>
        </w:rPr>
        <w:t>relación</w:t>
      </w:r>
      <w:r w:rsidRPr="009A27ED">
        <w:rPr>
          <w:rFonts w:ascii="Times New Roman" w:eastAsia="Times New Roman" w:hAnsi="Times New Roman"/>
          <w:sz w:val="24"/>
          <w:szCs w:val="22"/>
        </w:rPr>
        <w:t xml:space="preserve"> con: </w:t>
      </w:r>
      <w:r w:rsidR="00D85466" w:rsidRPr="009A27ED">
        <w:rPr>
          <w:rFonts w:ascii="Times New Roman" w:eastAsia="Times New Roman" w:hAnsi="Times New Roman"/>
          <w:sz w:val="24"/>
          <w:szCs w:val="22"/>
        </w:rPr>
        <w:t>información</w:t>
      </w:r>
      <w:r w:rsidRPr="009A27ED">
        <w:rPr>
          <w:rFonts w:ascii="Times New Roman" w:eastAsia="Times New Roman" w:hAnsi="Times New Roman"/>
          <w:sz w:val="24"/>
          <w:szCs w:val="22"/>
        </w:rPr>
        <w:t xml:space="preserve"> a las personas desplazadas, oferta </w:t>
      </w:r>
      <w:r w:rsidRPr="009A27ED">
        <w:rPr>
          <w:rFonts w:ascii="Times New Roman" w:eastAsia="Times New Roman" w:hAnsi="Times New Roman"/>
          <w:sz w:val="24"/>
          <w:szCs w:val="22"/>
        </w:rPr>
        <w:lastRenderedPageBreak/>
        <w:t xml:space="preserve">de alternativas técnicas y económicas viables, indemnización rápida y efectiva y costo de reposición, asistencia para el traslado, y apoyo para el </w:t>
      </w:r>
      <w:r w:rsidR="00D85466" w:rsidRPr="009A27ED">
        <w:rPr>
          <w:rFonts w:ascii="Times New Roman" w:eastAsia="Times New Roman" w:hAnsi="Times New Roman"/>
          <w:sz w:val="24"/>
          <w:szCs w:val="22"/>
        </w:rPr>
        <w:t>reasentamiento</w:t>
      </w:r>
      <w:r w:rsidRPr="009A27ED">
        <w:rPr>
          <w:rFonts w:ascii="Times New Roman" w:eastAsia="Times New Roman" w:hAnsi="Times New Roman"/>
          <w:sz w:val="24"/>
          <w:szCs w:val="22"/>
        </w:rPr>
        <w:t>, y otros temas con diferencias no significativas. En el Anexo 2</w:t>
      </w:r>
      <w:r w:rsidRPr="009A27ED">
        <w:rPr>
          <w:rStyle w:val="Refdenotaalpie"/>
          <w:rFonts w:ascii="Times New Roman" w:eastAsia="Times New Roman" w:hAnsi="Times New Roman"/>
          <w:sz w:val="24"/>
          <w:szCs w:val="22"/>
        </w:rPr>
        <w:footnoteReference w:id="65"/>
      </w:r>
      <w:r w:rsidRPr="009A27ED">
        <w:rPr>
          <w:rFonts w:ascii="Times New Roman" w:eastAsia="Times New Roman" w:hAnsi="Times New Roman"/>
          <w:sz w:val="24"/>
          <w:szCs w:val="22"/>
        </w:rPr>
        <w:t xml:space="preserve"> del presente MGAS se presenta el Marco de </w:t>
      </w:r>
      <w:r w:rsidR="00D85466" w:rsidRPr="009A27ED">
        <w:rPr>
          <w:rFonts w:ascii="Times New Roman" w:eastAsia="Times New Roman" w:hAnsi="Times New Roman"/>
          <w:sz w:val="24"/>
          <w:szCs w:val="22"/>
        </w:rPr>
        <w:t>Políticas</w:t>
      </w:r>
      <w:r w:rsidRPr="009A27ED">
        <w:rPr>
          <w:rFonts w:ascii="Times New Roman" w:eastAsia="Times New Roman" w:hAnsi="Times New Roman"/>
          <w:sz w:val="24"/>
          <w:szCs w:val="22"/>
        </w:rPr>
        <w:t xml:space="preserve"> de Reasentamiento, el que incluye el análisis especifico de estas brechas indicando las medidas para abordarlas. </w:t>
      </w:r>
      <w:r w:rsidR="008F04F9" w:rsidRPr="009A27ED">
        <w:rPr>
          <w:rFonts w:ascii="Times New Roman" w:eastAsia="Times New Roman" w:hAnsi="Times New Roman"/>
          <w:sz w:val="24"/>
          <w:szCs w:val="22"/>
        </w:rPr>
        <w:t>Se asegurar</w:t>
      </w:r>
      <w:r w:rsidR="00365B0B" w:rsidRPr="009A27ED">
        <w:rPr>
          <w:rFonts w:ascii="Times New Roman" w:eastAsia="Times New Roman" w:hAnsi="Times New Roman"/>
          <w:sz w:val="24"/>
          <w:szCs w:val="22"/>
        </w:rPr>
        <w:t>á</w:t>
      </w:r>
      <w:r w:rsidR="008F04F9" w:rsidRPr="009A27ED">
        <w:rPr>
          <w:rFonts w:ascii="Times New Roman" w:eastAsia="Times New Roman" w:hAnsi="Times New Roman"/>
          <w:sz w:val="24"/>
          <w:szCs w:val="22"/>
        </w:rPr>
        <w:t xml:space="preserve"> que en </w:t>
      </w:r>
      <w:r w:rsidR="004E357E" w:rsidRPr="009A27ED">
        <w:rPr>
          <w:rFonts w:ascii="Times New Roman" w:eastAsia="Times New Roman" w:hAnsi="Times New Roman"/>
          <w:sz w:val="24"/>
          <w:szCs w:val="22"/>
        </w:rPr>
        <w:t xml:space="preserve">casos </w:t>
      </w:r>
      <w:r w:rsidR="008F04F9" w:rsidRPr="009A27ED">
        <w:rPr>
          <w:rFonts w:ascii="Times New Roman" w:eastAsia="Times New Roman" w:hAnsi="Times New Roman"/>
          <w:sz w:val="24"/>
          <w:szCs w:val="22"/>
        </w:rPr>
        <w:t>donde la legislación nacional no es concurrente con los principios y requerimientos de la OP 4.12, se tomar</w:t>
      </w:r>
      <w:r w:rsidR="00365B0B" w:rsidRPr="009A27ED">
        <w:rPr>
          <w:rFonts w:ascii="Times New Roman" w:eastAsia="Times New Roman" w:hAnsi="Times New Roman"/>
          <w:sz w:val="24"/>
          <w:szCs w:val="22"/>
        </w:rPr>
        <w:t>á</w:t>
      </w:r>
      <w:r w:rsidR="008F04F9" w:rsidRPr="009A27ED">
        <w:rPr>
          <w:rFonts w:ascii="Times New Roman" w:eastAsia="Times New Roman" w:hAnsi="Times New Roman"/>
          <w:sz w:val="24"/>
          <w:szCs w:val="22"/>
        </w:rPr>
        <w:t>n las medidas para cumplir con la OP 4.12.</w:t>
      </w:r>
    </w:p>
    <w:p w14:paraId="43C9E73D" w14:textId="52745DB8" w:rsidR="00B030CA" w:rsidRPr="009A27ED" w:rsidRDefault="0026559E" w:rsidP="00F33679">
      <w:pPr>
        <w:spacing w:line="360" w:lineRule="auto"/>
        <w:rPr>
          <w:rFonts w:cs="Calibri"/>
          <w:szCs w:val="22"/>
        </w:rPr>
      </w:pPr>
      <w:r w:rsidRPr="009A27ED">
        <w:rPr>
          <w:rFonts w:ascii="Times New Roman" w:eastAsia="Times New Roman" w:hAnsi="Times New Roman"/>
          <w:sz w:val="24"/>
          <w:szCs w:val="22"/>
        </w:rPr>
        <w:t xml:space="preserve">En particular para el caso de los tenedores informales de tierras, </w:t>
      </w:r>
      <w:r w:rsidR="00DC2EED" w:rsidRPr="009A27ED">
        <w:rPr>
          <w:rFonts w:ascii="Times New Roman" w:eastAsia="Times New Roman" w:hAnsi="Times New Roman"/>
          <w:sz w:val="24"/>
          <w:szCs w:val="22"/>
        </w:rPr>
        <w:t xml:space="preserve">el </w:t>
      </w:r>
      <w:r w:rsidR="00124B63" w:rsidRPr="009A27ED">
        <w:rPr>
          <w:rFonts w:ascii="Times New Roman" w:eastAsia="Times New Roman" w:hAnsi="Times New Roman"/>
          <w:sz w:val="24"/>
          <w:szCs w:val="22"/>
        </w:rPr>
        <w:t>Programa REDD+</w:t>
      </w:r>
      <w:r w:rsidR="001D1A27" w:rsidRPr="009A27ED">
        <w:rPr>
          <w:rFonts w:ascii="Times New Roman" w:eastAsia="Times New Roman" w:hAnsi="Times New Roman"/>
          <w:sz w:val="24"/>
          <w:szCs w:val="22"/>
        </w:rPr>
        <w:t xml:space="preserve"> </w:t>
      </w:r>
      <w:r w:rsidR="00DC2EED" w:rsidRPr="009A27ED">
        <w:rPr>
          <w:rFonts w:ascii="Times New Roman" w:eastAsia="Times New Roman" w:hAnsi="Times New Roman"/>
          <w:sz w:val="24"/>
          <w:szCs w:val="22"/>
        </w:rPr>
        <w:t xml:space="preserve">servirá como mecanismo de incentivo para mantener las zonas de bosque, proporcionándoles un beneficio, integrándolos en la conservación y gestión </w:t>
      </w:r>
      <w:r w:rsidR="00DC2EED" w:rsidRPr="009A27ED">
        <w:rPr>
          <w:rFonts w:ascii="Times New Roman" w:eastAsia="Times New Roman" w:hAnsi="Times New Roman" w:cs="Calibri"/>
          <w:sz w:val="24"/>
          <w:szCs w:val="22"/>
        </w:rPr>
        <w:t xml:space="preserve">de estas áreas. Igualmente, con relación a los propietarios formales, la implementación del </w:t>
      </w:r>
      <w:r w:rsidR="00124B63" w:rsidRPr="009A27ED">
        <w:rPr>
          <w:rFonts w:ascii="Times New Roman" w:eastAsia="Times New Roman" w:hAnsi="Times New Roman" w:cs="Calibri"/>
          <w:sz w:val="24"/>
          <w:szCs w:val="22"/>
        </w:rPr>
        <w:t>Programa REDD+</w:t>
      </w:r>
      <w:r w:rsidR="0054293B" w:rsidRPr="009A27ED">
        <w:rPr>
          <w:rFonts w:ascii="Times New Roman" w:eastAsia="Times New Roman" w:hAnsi="Times New Roman" w:cs="Calibri"/>
          <w:sz w:val="24"/>
          <w:szCs w:val="22"/>
        </w:rPr>
        <w:t xml:space="preserve"> </w:t>
      </w:r>
      <w:r w:rsidR="00DC2EED" w:rsidRPr="009A27ED">
        <w:rPr>
          <w:rFonts w:ascii="Times New Roman" w:eastAsia="Times New Roman" w:hAnsi="Times New Roman" w:cs="Calibri"/>
          <w:sz w:val="24"/>
          <w:szCs w:val="22"/>
        </w:rPr>
        <w:t xml:space="preserve">permitirá que </w:t>
      </w:r>
      <w:r w:rsidR="0054293B" w:rsidRPr="009A27ED">
        <w:rPr>
          <w:rFonts w:ascii="Times New Roman" w:eastAsia="Times New Roman" w:hAnsi="Times New Roman"/>
          <w:sz w:val="24"/>
          <w:szCs w:val="22"/>
        </w:rPr>
        <w:t>é</w:t>
      </w:r>
      <w:r w:rsidR="00DC2EED" w:rsidRPr="009A27ED">
        <w:rPr>
          <w:rFonts w:ascii="Times New Roman" w:eastAsia="Times New Roman" w:hAnsi="Times New Roman" w:cs="Calibri"/>
          <w:sz w:val="24"/>
          <w:szCs w:val="22"/>
        </w:rPr>
        <w:t>stos puedan acceder a beneficios como contraprestación a las limitaciones de uso establecidas por las categorías de manejo respectivas.</w:t>
      </w:r>
      <w:r w:rsidR="00D85466" w:rsidRPr="009A27ED">
        <w:rPr>
          <w:rFonts w:ascii="Times New Roman" w:eastAsia="Times New Roman" w:hAnsi="Times New Roman" w:cs="Calibri"/>
          <w:sz w:val="24"/>
          <w:szCs w:val="22"/>
        </w:rPr>
        <w:t xml:space="preserve"> </w:t>
      </w:r>
      <w:r w:rsidR="00DC2EED" w:rsidRPr="009A27ED">
        <w:rPr>
          <w:rFonts w:ascii="Times New Roman" w:eastAsia="Times New Roman" w:hAnsi="Times New Roman" w:cs="Calibri"/>
          <w:sz w:val="24"/>
          <w:szCs w:val="22"/>
        </w:rPr>
        <w:t xml:space="preserve">La aplicación de las políticas y criterios de gestión de las áreas protegidas, </w:t>
      </w:r>
      <w:proofErr w:type="gramStart"/>
      <w:r w:rsidR="00DC2EED" w:rsidRPr="009A27ED">
        <w:rPr>
          <w:rFonts w:ascii="Times New Roman" w:eastAsia="Times New Roman" w:hAnsi="Times New Roman" w:cs="Calibri"/>
          <w:sz w:val="24"/>
          <w:szCs w:val="22"/>
        </w:rPr>
        <w:t>conjuntamente con</w:t>
      </w:r>
      <w:proofErr w:type="gramEnd"/>
      <w:r w:rsidR="00DC2EED" w:rsidRPr="009A27ED">
        <w:rPr>
          <w:rFonts w:ascii="Times New Roman" w:eastAsia="Times New Roman" w:hAnsi="Times New Roman" w:cs="Calibri"/>
          <w:sz w:val="24"/>
          <w:szCs w:val="22"/>
        </w:rPr>
        <w:t xml:space="preserve"> la implementación del </w:t>
      </w:r>
      <w:r w:rsidR="00124B63" w:rsidRPr="009A27ED">
        <w:rPr>
          <w:rFonts w:ascii="Times New Roman" w:eastAsia="Times New Roman" w:hAnsi="Times New Roman" w:cs="Calibri"/>
          <w:sz w:val="24"/>
          <w:szCs w:val="22"/>
        </w:rPr>
        <w:t>Programa REDD+</w:t>
      </w:r>
      <w:r w:rsidR="00DC2EED" w:rsidRPr="009A27ED">
        <w:rPr>
          <w:rFonts w:ascii="Times New Roman" w:eastAsia="Times New Roman" w:hAnsi="Times New Roman" w:cs="Calibri"/>
          <w:sz w:val="24"/>
          <w:szCs w:val="22"/>
        </w:rPr>
        <w:t xml:space="preserve">, se realizará respetando las normas y planes de manejo de estas áreas, así como la protección de los derechos legitimados de los tenedores formales e informales. </w:t>
      </w:r>
    </w:p>
    <w:p w14:paraId="3A24410C" w14:textId="042BD1FF" w:rsidR="00B030CA" w:rsidRPr="009A27ED" w:rsidRDefault="00DC2EED" w:rsidP="00CD4C75">
      <w:pPr>
        <w:spacing w:line="360" w:lineRule="auto"/>
        <w:rPr>
          <w:rFonts w:cs="Calibri"/>
          <w:szCs w:val="22"/>
        </w:rPr>
      </w:pPr>
      <w:r w:rsidRPr="009A27ED">
        <w:rPr>
          <w:rFonts w:ascii="Times New Roman" w:eastAsia="Times New Roman" w:hAnsi="Times New Roman" w:cs="Calibri"/>
          <w:sz w:val="24"/>
          <w:szCs w:val="22"/>
        </w:rPr>
        <w:t xml:space="preserve">El </w:t>
      </w:r>
      <w:r w:rsidR="00124B63" w:rsidRPr="009A27ED">
        <w:rPr>
          <w:rFonts w:ascii="Times New Roman" w:eastAsia="Times New Roman" w:hAnsi="Times New Roman" w:cs="Calibri"/>
          <w:sz w:val="24"/>
          <w:szCs w:val="22"/>
        </w:rPr>
        <w:t>Programa REDD+</w:t>
      </w:r>
      <w:r w:rsidR="0073769A" w:rsidRPr="009A27ED">
        <w:rPr>
          <w:rFonts w:ascii="Times New Roman" w:eastAsia="Times New Roman" w:hAnsi="Times New Roman" w:cs="Calibri"/>
          <w:sz w:val="24"/>
          <w:szCs w:val="22"/>
        </w:rPr>
        <w:t xml:space="preserve"> </w:t>
      </w:r>
      <w:r w:rsidRPr="009A27ED">
        <w:rPr>
          <w:rFonts w:ascii="Times New Roman" w:eastAsia="Times New Roman" w:hAnsi="Times New Roman" w:cs="Calibri"/>
          <w:sz w:val="24"/>
          <w:szCs w:val="22"/>
        </w:rPr>
        <w:t xml:space="preserve">no contempla enfoques diferentes para cada uno de los tipos de tenencia (formal e informal). Las prácticas consuetudinarias y requisitos establecidos para la legitimación de los tenedores informales de la </w:t>
      </w:r>
      <w:proofErr w:type="gramStart"/>
      <w:r w:rsidRPr="009A27ED">
        <w:rPr>
          <w:rFonts w:ascii="Times New Roman" w:eastAsia="Times New Roman" w:hAnsi="Times New Roman" w:cs="Calibri"/>
          <w:sz w:val="24"/>
          <w:szCs w:val="22"/>
        </w:rPr>
        <w:t>tierra,</w:t>
      </w:r>
      <w:proofErr w:type="gramEnd"/>
      <w:r w:rsidRPr="009A27ED">
        <w:rPr>
          <w:rFonts w:ascii="Times New Roman" w:eastAsia="Times New Roman" w:hAnsi="Times New Roman" w:cs="Calibri"/>
          <w:sz w:val="24"/>
          <w:szCs w:val="22"/>
        </w:rPr>
        <w:t xml:space="preserve"> permitirán un reconocimiento de derechos sobre el uso de la tierra, lo que les concede una participación igualitaria dentro de la distribución de beneficios.</w:t>
      </w:r>
    </w:p>
    <w:p w14:paraId="38C46FAD" w14:textId="17F2FC12" w:rsidR="00DC2EED" w:rsidRPr="009A27ED" w:rsidRDefault="00B030CA" w:rsidP="00CD4C75">
      <w:pPr>
        <w:spacing w:line="360" w:lineRule="auto"/>
        <w:rPr>
          <w:szCs w:val="22"/>
        </w:rPr>
      </w:pPr>
      <w:r w:rsidRPr="009A27ED">
        <w:rPr>
          <w:rFonts w:ascii="Times New Roman" w:eastAsia="Times New Roman" w:hAnsi="Times New Roman"/>
          <w:sz w:val="24"/>
          <w:szCs w:val="22"/>
        </w:rPr>
        <w:t>S</w:t>
      </w:r>
      <w:r w:rsidR="00DC2EED" w:rsidRPr="009A27ED">
        <w:rPr>
          <w:rFonts w:ascii="Times New Roman" w:eastAsia="Times New Roman" w:hAnsi="Times New Roman"/>
          <w:sz w:val="24"/>
          <w:szCs w:val="22"/>
        </w:rPr>
        <w:t>e prevén mecanismos y acciones en el marco de REDD+ para mitigar los eventuales efectos a usuarios por la restricción del uso y de acceso a la tierra en el interior de las áreas protegidas. El Ministerio de Medio Ambiente y Recursos Naturales ejecutará estos mecanismos y acciones por medio de las siguientes actividades estratégicas:</w:t>
      </w:r>
    </w:p>
    <w:p w14:paraId="1FF80755" w14:textId="77777777" w:rsidR="00DC2EED" w:rsidRPr="009A27ED" w:rsidRDefault="00DC2EED" w:rsidP="00E67CB0">
      <w:pPr>
        <w:pStyle w:val="Prrafodelista"/>
        <w:numPr>
          <w:ilvl w:val="0"/>
          <w:numId w:val="153"/>
        </w:numPr>
        <w:spacing w:after="120" w:line="360" w:lineRule="auto"/>
        <w:rPr>
          <w:rFonts w:cs="Calibri"/>
          <w:szCs w:val="22"/>
          <w:lang w:val="es-ES_tradnl" w:eastAsia="gl"/>
        </w:rPr>
      </w:pPr>
      <w:r w:rsidRPr="009A27ED">
        <w:rPr>
          <w:rFonts w:ascii="Times New Roman" w:eastAsia="Times New Roman" w:hAnsi="Times New Roman" w:cs="Calibri"/>
          <w:sz w:val="24"/>
          <w:szCs w:val="22"/>
          <w:lang w:val="es-ES_tradnl" w:eastAsia="gl"/>
        </w:rPr>
        <w:lastRenderedPageBreak/>
        <w:t>Disminuir y/o detener la deforestación y la degradación dentro de áreas protegidas relevantes para la conservación de los recursos forestales a través de:</w:t>
      </w:r>
    </w:p>
    <w:p w14:paraId="2AD4F8BD" w14:textId="77777777" w:rsidR="00DC2EED" w:rsidRPr="009A27ED" w:rsidRDefault="00DC2EED" w:rsidP="00E67CB0">
      <w:pPr>
        <w:pStyle w:val="Prrafodelista"/>
        <w:numPr>
          <w:ilvl w:val="0"/>
          <w:numId w:val="152"/>
        </w:numPr>
        <w:spacing w:after="120" w:line="360" w:lineRule="auto"/>
        <w:ind w:left="2268"/>
        <w:rPr>
          <w:rFonts w:cs="Calibri"/>
          <w:szCs w:val="22"/>
          <w:lang w:val="es-ES_tradnl" w:eastAsia="gl"/>
        </w:rPr>
      </w:pPr>
      <w:r w:rsidRPr="009A27ED">
        <w:rPr>
          <w:rFonts w:ascii="Times New Roman" w:eastAsia="Times New Roman" w:hAnsi="Times New Roman" w:cs="Calibri"/>
          <w:sz w:val="24"/>
          <w:szCs w:val="22"/>
          <w:lang w:val="es-ES_tradnl" w:eastAsia="gl"/>
        </w:rPr>
        <w:t>Restauración, regeneración natural;</w:t>
      </w:r>
    </w:p>
    <w:p w14:paraId="47573F07" w14:textId="2023DE15" w:rsidR="00DC2EED" w:rsidRPr="009A27ED" w:rsidRDefault="00DC2EED" w:rsidP="00E67CB0">
      <w:pPr>
        <w:pStyle w:val="Prrafodelista"/>
        <w:numPr>
          <w:ilvl w:val="0"/>
          <w:numId w:val="152"/>
        </w:numPr>
        <w:spacing w:after="120" w:line="360" w:lineRule="auto"/>
        <w:ind w:left="2268"/>
        <w:rPr>
          <w:rFonts w:cs="Calibri"/>
          <w:szCs w:val="22"/>
          <w:lang w:val="es-ES_tradnl" w:eastAsia="gl"/>
        </w:rPr>
      </w:pPr>
      <w:r w:rsidRPr="009A27ED">
        <w:rPr>
          <w:rFonts w:ascii="Times New Roman" w:eastAsia="Times New Roman" w:hAnsi="Times New Roman" w:cs="Calibri"/>
          <w:sz w:val="24"/>
          <w:szCs w:val="22"/>
          <w:lang w:val="es-ES_tradnl" w:eastAsia="gl"/>
        </w:rPr>
        <w:t>Fortalecer el programa de protección y vigilancia en áreas protegidas a través de la integración de nuevas tecnologías, integración y capacitación de personal a las acciones de guardaparques.</w:t>
      </w:r>
    </w:p>
    <w:p w14:paraId="7057A35A" w14:textId="77777777" w:rsidR="00DC2EED" w:rsidRPr="009A27ED" w:rsidRDefault="00DC2EED" w:rsidP="00E67CB0">
      <w:pPr>
        <w:pStyle w:val="Prrafodelista"/>
        <w:numPr>
          <w:ilvl w:val="0"/>
          <w:numId w:val="153"/>
        </w:numPr>
        <w:spacing w:after="120" w:line="360" w:lineRule="auto"/>
        <w:rPr>
          <w:szCs w:val="22"/>
        </w:rPr>
      </w:pPr>
      <w:r w:rsidRPr="009A27ED">
        <w:rPr>
          <w:rFonts w:ascii="Times New Roman" w:eastAsia="Times New Roman" w:hAnsi="Times New Roman"/>
          <w:sz w:val="24"/>
          <w:szCs w:val="22"/>
          <w:lang w:val="es-ES"/>
        </w:rPr>
        <w:t>Reducir las presiones antropogénicas sobre los recursos naturales de las Áreas Protegidas a través de</w:t>
      </w:r>
      <w:r w:rsidRPr="009A27ED">
        <w:rPr>
          <w:rFonts w:ascii="Times New Roman" w:eastAsia="Times New Roman" w:hAnsi="Times New Roman"/>
          <w:sz w:val="24"/>
          <w:szCs w:val="22"/>
        </w:rPr>
        <w:t>:</w:t>
      </w:r>
    </w:p>
    <w:p w14:paraId="67455156" w14:textId="77777777" w:rsidR="00DC2EED" w:rsidRPr="009A27ED" w:rsidRDefault="00DC2EED" w:rsidP="00E67CB0">
      <w:pPr>
        <w:pStyle w:val="Prrafodelista"/>
        <w:numPr>
          <w:ilvl w:val="1"/>
          <w:numId w:val="153"/>
        </w:numPr>
        <w:spacing w:after="120" w:line="360" w:lineRule="auto"/>
        <w:rPr>
          <w:szCs w:val="22"/>
        </w:rPr>
      </w:pPr>
      <w:r w:rsidRPr="009A27ED">
        <w:rPr>
          <w:rFonts w:ascii="Times New Roman" w:eastAsia="Times New Roman" w:hAnsi="Times New Roman"/>
          <w:sz w:val="24"/>
          <w:szCs w:val="22"/>
        </w:rPr>
        <w:t xml:space="preserve">Aprovechamiento sostenible de las zonas de amortiguamiento mediante la promoción de sistemas agroforestales de café y cacao y practicas sostenibles de cultivo; </w:t>
      </w:r>
    </w:p>
    <w:p w14:paraId="694E2B47" w14:textId="77777777" w:rsidR="00DC2EED" w:rsidRPr="009A27ED" w:rsidRDefault="00DC2EED" w:rsidP="00E67CB0">
      <w:pPr>
        <w:pStyle w:val="Prrafodelista"/>
        <w:numPr>
          <w:ilvl w:val="1"/>
          <w:numId w:val="153"/>
        </w:numPr>
        <w:spacing w:after="120" w:line="360" w:lineRule="auto"/>
        <w:rPr>
          <w:szCs w:val="22"/>
        </w:rPr>
      </w:pPr>
      <w:r w:rsidRPr="009A27ED">
        <w:rPr>
          <w:rFonts w:ascii="Times New Roman" w:eastAsia="Times New Roman" w:hAnsi="Times New Roman"/>
          <w:sz w:val="24"/>
          <w:szCs w:val="22"/>
        </w:rPr>
        <w:t xml:space="preserve">Plantación de frutales con valor comercial; </w:t>
      </w:r>
    </w:p>
    <w:p w14:paraId="76DF373A" w14:textId="77777777" w:rsidR="00DC2EED" w:rsidRPr="009A27ED" w:rsidRDefault="00DC2EED" w:rsidP="00E67CB0">
      <w:pPr>
        <w:pStyle w:val="Prrafodelista"/>
        <w:numPr>
          <w:ilvl w:val="1"/>
          <w:numId w:val="153"/>
        </w:numPr>
        <w:spacing w:after="120" w:line="360" w:lineRule="auto"/>
        <w:rPr>
          <w:szCs w:val="22"/>
        </w:rPr>
      </w:pPr>
      <w:r w:rsidRPr="009A27ED">
        <w:rPr>
          <w:rFonts w:ascii="Times New Roman" w:eastAsia="Times New Roman" w:hAnsi="Times New Roman"/>
          <w:sz w:val="24"/>
          <w:szCs w:val="22"/>
        </w:rPr>
        <w:t>Apoyo a emprendimientos que permitan potenciar una mejoría de los ingresos que generan actualmente a nivel local, como aquellos que le agreguen valor a la producción y comercialización;</w:t>
      </w:r>
    </w:p>
    <w:p w14:paraId="6C56B69C" w14:textId="77777777" w:rsidR="00DC2EED" w:rsidRPr="009A27ED" w:rsidRDefault="00DC2EED" w:rsidP="00E67CB0">
      <w:pPr>
        <w:pStyle w:val="Prrafodelista"/>
        <w:numPr>
          <w:ilvl w:val="1"/>
          <w:numId w:val="153"/>
        </w:numPr>
        <w:spacing w:after="120" w:line="360" w:lineRule="auto"/>
        <w:rPr>
          <w:rFonts w:cs="Calibri"/>
          <w:szCs w:val="22"/>
          <w:lang w:val="es-ES_tradnl" w:eastAsia="gl"/>
        </w:rPr>
      </w:pPr>
      <w:r w:rsidRPr="009A27ED">
        <w:rPr>
          <w:rFonts w:ascii="Times New Roman" w:eastAsia="Times New Roman" w:hAnsi="Times New Roman"/>
          <w:sz w:val="24"/>
          <w:szCs w:val="22"/>
        </w:rPr>
        <w:t>Promoción de iniciativas comunitarias y sociales vinculadas al ecoturismo y/o aprovechamiento de atractivos naturales tal, es el caso de los Saltos de Damajagua en Puerto Plata.</w:t>
      </w:r>
    </w:p>
    <w:p w14:paraId="3B4372B1" w14:textId="77777777" w:rsidR="00DC2EED" w:rsidRPr="009A27ED" w:rsidRDefault="00DC2EED" w:rsidP="00E67CB0">
      <w:pPr>
        <w:pStyle w:val="Prrafodelista"/>
        <w:numPr>
          <w:ilvl w:val="0"/>
          <w:numId w:val="153"/>
        </w:numPr>
        <w:spacing w:after="120" w:line="360" w:lineRule="auto"/>
        <w:rPr>
          <w:szCs w:val="22"/>
        </w:rPr>
      </w:pPr>
      <w:r w:rsidRPr="009A27ED">
        <w:rPr>
          <w:rFonts w:ascii="Times New Roman" w:eastAsia="Times New Roman" w:hAnsi="Times New Roman"/>
          <w:sz w:val="24"/>
          <w:szCs w:val="22"/>
        </w:rPr>
        <w:t>Generación de empleos y acceso a beneficios a través de:</w:t>
      </w:r>
    </w:p>
    <w:p w14:paraId="326DF0DD" w14:textId="77777777" w:rsidR="00DC2EED" w:rsidRPr="009A27ED" w:rsidRDefault="00DC2EED" w:rsidP="00E67CB0">
      <w:pPr>
        <w:pStyle w:val="Prrafodelista"/>
        <w:numPr>
          <w:ilvl w:val="0"/>
          <w:numId w:val="154"/>
        </w:numPr>
        <w:spacing w:after="120" w:line="360" w:lineRule="auto"/>
        <w:rPr>
          <w:szCs w:val="22"/>
        </w:rPr>
      </w:pPr>
      <w:r w:rsidRPr="009A27ED">
        <w:rPr>
          <w:rFonts w:ascii="Times New Roman" w:eastAsia="Times New Roman" w:hAnsi="Times New Roman"/>
          <w:sz w:val="24"/>
          <w:szCs w:val="22"/>
        </w:rPr>
        <w:t xml:space="preserve">Integración de comunitarios como guardaparques de las Áreas Protegidas; </w:t>
      </w:r>
    </w:p>
    <w:p w14:paraId="3EBE1278" w14:textId="528F3A06" w:rsidR="00DC2EED" w:rsidRPr="009A27ED" w:rsidRDefault="00DC2EED" w:rsidP="00E67CB0">
      <w:pPr>
        <w:pStyle w:val="Prrafodelista"/>
        <w:numPr>
          <w:ilvl w:val="0"/>
          <w:numId w:val="154"/>
        </w:numPr>
        <w:spacing w:after="120" w:line="360" w:lineRule="auto"/>
        <w:rPr>
          <w:szCs w:val="22"/>
        </w:rPr>
      </w:pPr>
      <w:r w:rsidRPr="009A27ED">
        <w:rPr>
          <w:rFonts w:ascii="Times New Roman" w:eastAsia="Times New Roman" w:hAnsi="Times New Roman"/>
          <w:sz w:val="24"/>
          <w:szCs w:val="22"/>
        </w:rPr>
        <w:t xml:space="preserve">Como parte de las brigadas de trabajo que se crean para la reforestación en programas como </w:t>
      </w:r>
      <w:r w:rsidR="001D1A27" w:rsidRPr="009A27ED">
        <w:rPr>
          <w:rFonts w:ascii="Times New Roman" w:eastAsia="Times New Roman" w:hAnsi="Times New Roman"/>
          <w:sz w:val="24"/>
          <w:szCs w:val="22"/>
        </w:rPr>
        <w:t>Programa Nacional de Reforestación (</w:t>
      </w:r>
      <w:r w:rsidR="00020836" w:rsidRPr="009A27ED">
        <w:rPr>
          <w:rFonts w:ascii="Times New Roman" w:eastAsia="Times New Roman" w:hAnsi="Times New Roman"/>
          <w:sz w:val="24"/>
          <w:szCs w:val="22"/>
        </w:rPr>
        <w:t>anterior</w:t>
      </w:r>
      <w:r w:rsidR="001D1A27" w:rsidRPr="009A27ED">
        <w:rPr>
          <w:rFonts w:ascii="Times New Roman" w:eastAsia="Times New Roman" w:hAnsi="Times New Roman"/>
          <w:sz w:val="24"/>
          <w:szCs w:val="22"/>
        </w:rPr>
        <w:t xml:space="preserve"> </w:t>
      </w:r>
      <w:r w:rsidRPr="009A27ED">
        <w:rPr>
          <w:rFonts w:ascii="Times New Roman" w:eastAsia="Times New Roman" w:hAnsi="Times New Roman"/>
          <w:sz w:val="24"/>
          <w:szCs w:val="22"/>
        </w:rPr>
        <w:t>Plan Quisqueya Verde</w:t>
      </w:r>
      <w:r w:rsidR="001D1A27" w:rsidRPr="009A27ED">
        <w:rPr>
          <w:rFonts w:ascii="Times New Roman" w:eastAsia="Times New Roman" w:hAnsi="Times New Roman"/>
          <w:sz w:val="24"/>
          <w:szCs w:val="22"/>
        </w:rPr>
        <w:t>)</w:t>
      </w:r>
      <w:r w:rsidRPr="009A27ED">
        <w:rPr>
          <w:rFonts w:ascii="Times New Roman" w:eastAsia="Times New Roman" w:hAnsi="Times New Roman"/>
          <w:sz w:val="24"/>
          <w:szCs w:val="22"/>
        </w:rPr>
        <w:t xml:space="preserve"> y el Proyecto de Desarrollo Agroforestal;</w:t>
      </w:r>
    </w:p>
    <w:p w14:paraId="1CD76AAD" w14:textId="77777777" w:rsidR="00DC2EED" w:rsidRPr="009A27ED" w:rsidRDefault="00DC2EED" w:rsidP="00E67CB0">
      <w:pPr>
        <w:pStyle w:val="Prrafodelista"/>
        <w:numPr>
          <w:ilvl w:val="0"/>
          <w:numId w:val="154"/>
        </w:numPr>
        <w:spacing w:after="120" w:line="360" w:lineRule="auto"/>
        <w:rPr>
          <w:szCs w:val="22"/>
        </w:rPr>
      </w:pPr>
      <w:r w:rsidRPr="009A27ED">
        <w:rPr>
          <w:rFonts w:ascii="Times New Roman" w:eastAsia="Times New Roman" w:hAnsi="Times New Roman"/>
          <w:sz w:val="24"/>
          <w:szCs w:val="22"/>
        </w:rPr>
        <w:t xml:space="preserve">Apoyo a los pequeños productores a través de la entrega de insumos tales como plantas, herramientas, entre otros. </w:t>
      </w:r>
    </w:p>
    <w:p w14:paraId="432D12D1" w14:textId="047497A3" w:rsidR="00DC2EED" w:rsidRPr="009A27ED" w:rsidRDefault="00DC2EED" w:rsidP="00E67CB0">
      <w:pPr>
        <w:pStyle w:val="Prrafodelista"/>
        <w:numPr>
          <w:ilvl w:val="0"/>
          <w:numId w:val="153"/>
        </w:numPr>
        <w:spacing w:after="120" w:line="360" w:lineRule="auto"/>
        <w:rPr>
          <w:szCs w:val="22"/>
          <w:lang w:val="es-ES"/>
        </w:rPr>
      </w:pPr>
      <w:r w:rsidRPr="009A27ED">
        <w:rPr>
          <w:rFonts w:ascii="Times New Roman" w:eastAsia="Times New Roman" w:hAnsi="Times New Roman"/>
          <w:sz w:val="24"/>
          <w:szCs w:val="22"/>
          <w:lang w:val="es-ES"/>
        </w:rPr>
        <w:t xml:space="preserve">Promoción de acciones para el fortalecimiento de las políticas, prácticas e incentivos con la finalidad de mejorar los paisajes productivos a través del otorgamiento de beneficios ambientales, y fomentar una aplicación más </w:t>
      </w:r>
      <w:r w:rsidRPr="009A27ED">
        <w:rPr>
          <w:rFonts w:ascii="Times New Roman" w:eastAsia="Times New Roman" w:hAnsi="Times New Roman"/>
          <w:sz w:val="24"/>
          <w:szCs w:val="22"/>
          <w:lang w:val="es-ES"/>
        </w:rPr>
        <w:lastRenderedPageBreak/>
        <w:t>amplia de los instrumentos y prácticas innovadoras para la gestión de recursos naturales, a través de posible alianza y sinergia</w:t>
      </w:r>
      <w:r w:rsidR="00122554" w:rsidRPr="009A27ED">
        <w:rPr>
          <w:rFonts w:ascii="Times New Roman" w:eastAsia="Times New Roman" w:hAnsi="Times New Roman"/>
          <w:sz w:val="24"/>
          <w:szCs w:val="22"/>
          <w:lang w:val="es-ES"/>
        </w:rPr>
        <w:t>s</w:t>
      </w:r>
      <w:r w:rsidRPr="009A27ED">
        <w:rPr>
          <w:rFonts w:ascii="Times New Roman" w:eastAsia="Times New Roman" w:hAnsi="Times New Roman"/>
          <w:sz w:val="24"/>
          <w:szCs w:val="22"/>
          <w:lang w:val="es-ES"/>
        </w:rPr>
        <w:t xml:space="preserve"> con </w:t>
      </w:r>
      <w:r w:rsidR="00122554" w:rsidRPr="009A27ED">
        <w:rPr>
          <w:rFonts w:ascii="Times New Roman" w:eastAsia="Times New Roman" w:hAnsi="Times New Roman"/>
          <w:sz w:val="24"/>
          <w:szCs w:val="22"/>
          <w:lang w:val="es-ES"/>
        </w:rPr>
        <w:t xml:space="preserve">otros </w:t>
      </w:r>
      <w:r w:rsidRPr="009A27ED">
        <w:rPr>
          <w:rFonts w:ascii="Times New Roman" w:eastAsia="Times New Roman" w:hAnsi="Times New Roman"/>
          <w:sz w:val="24"/>
          <w:szCs w:val="22"/>
          <w:lang w:val="es-ES"/>
        </w:rPr>
        <w:t>proyecto</w:t>
      </w:r>
      <w:r w:rsidR="00122554" w:rsidRPr="009A27ED">
        <w:rPr>
          <w:rFonts w:ascii="Times New Roman" w:eastAsia="Times New Roman" w:hAnsi="Times New Roman"/>
          <w:sz w:val="24"/>
          <w:szCs w:val="22"/>
          <w:lang w:val="es-ES"/>
        </w:rPr>
        <w:t>s</w:t>
      </w:r>
      <w:r w:rsidRPr="009A27ED">
        <w:rPr>
          <w:rFonts w:ascii="Times New Roman" w:eastAsia="Times New Roman" w:hAnsi="Times New Roman"/>
          <w:sz w:val="24"/>
          <w:szCs w:val="22"/>
          <w:lang w:val="es-ES"/>
        </w:rPr>
        <w:t>.</w:t>
      </w:r>
    </w:p>
    <w:p w14:paraId="398DE04D" w14:textId="372FF50B" w:rsidR="007A11B8" w:rsidRPr="009A27ED" w:rsidRDefault="00797C8F" w:rsidP="000A4C43">
      <w:pPr>
        <w:spacing w:line="360" w:lineRule="auto"/>
        <w:rPr>
          <w:rFonts w:eastAsia="Times New Roman"/>
          <w:color w:val="222222"/>
          <w:szCs w:val="22"/>
        </w:rPr>
      </w:pPr>
      <w:r w:rsidRPr="009A27ED">
        <w:rPr>
          <w:rFonts w:ascii="Times New Roman" w:eastAsia="Times New Roman" w:hAnsi="Times New Roman"/>
          <w:sz w:val="24"/>
          <w:szCs w:val="22"/>
        </w:rPr>
        <w:t xml:space="preserve">En cualquier caso, todas las opciones y acciones estratégicas </w:t>
      </w:r>
      <w:r w:rsidR="008F04F9" w:rsidRPr="009A27ED">
        <w:rPr>
          <w:rFonts w:ascii="Times New Roman" w:eastAsia="Times New Roman" w:hAnsi="Times New Roman"/>
          <w:sz w:val="24"/>
          <w:szCs w:val="22"/>
        </w:rPr>
        <w:t xml:space="preserve">dentro del </w:t>
      </w:r>
      <w:r w:rsidR="00124B63" w:rsidRPr="009A27ED">
        <w:rPr>
          <w:rFonts w:ascii="Times New Roman" w:eastAsia="Times New Roman" w:hAnsi="Times New Roman"/>
          <w:sz w:val="24"/>
          <w:szCs w:val="22"/>
        </w:rPr>
        <w:t>Programa REDD</w:t>
      </w:r>
      <w:r w:rsidR="00621FB8" w:rsidRPr="009A27ED">
        <w:rPr>
          <w:rFonts w:ascii="Times New Roman" w:eastAsia="Times New Roman" w:hAnsi="Times New Roman"/>
          <w:sz w:val="24"/>
          <w:szCs w:val="22"/>
        </w:rPr>
        <w:t>+</w:t>
      </w:r>
      <w:r w:rsidR="00E2760E" w:rsidRPr="009A27ED">
        <w:rPr>
          <w:rFonts w:ascii="Times New Roman" w:eastAsia="Times New Roman" w:hAnsi="Times New Roman"/>
          <w:sz w:val="24"/>
          <w:szCs w:val="22"/>
        </w:rPr>
        <w:t xml:space="preserve"> </w:t>
      </w:r>
      <w:r w:rsidRPr="009A27ED">
        <w:rPr>
          <w:rFonts w:ascii="Times New Roman" w:eastAsia="Times New Roman" w:hAnsi="Times New Roman"/>
          <w:sz w:val="24"/>
          <w:szCs w:val="22"/>
        </w:rPr>
        <w:t xml:space="preserve">cumplirán con los procedimientos establecidos en el Marco de </w:t>
      </w:r>
      <w:r w:rsidR="00E2760E" w:rsidRPr="009A27ED">
        <w:rPr>
          <w:rFonts w:ascii="Times New Roman" w:eastAsia="Times New Roman" w:hAnsi="Times New Roman"/>
          <w:sz w:val="24"/>
          <w:szCs w:val="22"/>
        </w:rPr>
        <w:t xml:space="preserve">la </w:t>
      </w:r>
      <w:r w:rsidR="00D85466" w:rsidRPr="009A27ED">
        <w:rPr>
          <w:rFonts w:ascii="Times New Roman" w:eastAsia="Times New Roman" w:hAnsi="Times New Roman"/>
          <w:sz w:val="24"/>
          <w:szCs w:val="22"/>
        </w:rPr>
        <w:t>Política</w:t>
      </w:r>
      <w:r w:rsidRPr="009A27ED">
        <w:rPr>
          <w:rFonts w:ascii="Times New Roman" w:eastAsia="Times New Roman" w:hAnsi="Times New Roman"/>
          <w:sz w:val="24"/>
          <w:szCs w:val="22"/>
        </w:rPr>
        <w:t xml:space="preserve"> de Reasentamiento </w:t>
      </w:r>
      <w:r w:rsidR="00E2760E" w:rsidRPr="009A27ED">
        <w:rPr>
          <w:rFonts w:ascii="Times New Roman" w:eastAsia="Times New Roman" w:hAnsi="Times New Roman"/>
          <w:sz w:val="24"/>
          <w:szCs w:val="22"/>
        </w:rPr>
        <w:t xml:space="preserve">Involuntario </w:t>
      </w:r>
      <w:r w:rsidRPr="009A27ED">
        <w:rPr>
          <w:rFonts w:ascii="Times New Roman" w:eastAsia="Times New Roman" w:hAnsi="Times New Roman"/>
          <w:sz w:val="24"/>
          <w:szCs w:val="22"/>
        </w:rPr>
        <w:t xml:space="preserve">que </w:t>
      </w:r>
      <w:r w:rsidR="00D85466" w:rsidRPr="009A27ED">
        <w:rPr>
          <w:rFonts w:ascii="Times New Roman" w:eastAsia="Times New Roman" w:hAnsi="Times New Roman"/>
          <w:sz w:val="24"/>
          <w:szCs w:val="22"/>
        </w:rPr>
        <w:t>forma</w:t>
      </w:r>
      <w:r w:rsidRPr="009A27ED">
        <w:rPr>
          <w:rFonts w:ascii="Times New Roman" w:eastAsia="Times New Roman" w:hAnsi="Times New Roman"/>
          <w:sz w:val="24"/>
          <w:szCs w:val="22"/>
        </w:rPr>
        <w:t xml:space="preserve"> parte del presente MGAS, para mitigar los riesgos e impactos potenciales </w:t>
      </w:r>
      <w:proofErr w:type="gramStart"/>
      <w:r w:rsidRPr="009A27ED">
        <w:rPr>
          <w:rFonts w:ascii="Times New Roman" w:eastAsia="Times New Roman" w:hAnsi="Times New Roman"/>
          <w:sz w:val="24"/>
          <w:szCs w:val="22"/>
        </w:rPr>
        <w:t xml:space="preserve">en </w:t>
      </w:r>
      <w:r w:rsidR="000A4C43" w:rsidRPr="009A27ED">
        <w:rPr>
          <w:rFonts w:ascii="Times New Roman" w:eastAsia="Times New Roman" w:hAnsi="Times New Roman"/>
          <w:sz w:val="24"/>
          <w:szCs w:val="22"/>
        </w:rPr>
        <w:t>relación</w:t>
      </w:r>
      <w:r w:rsidRPr="009A27ED">
        <w:rPr>
          <w:rFonts w:ascii="Times New Roman" w:eastAsia="Times New Roman" w:hAnsi="Times New Roman"/>
          <w:sz w:val="24"/>
          <w:szCs w:val="22"/>
        </w:rPr>
        <w:t xml:space="preserve"> a</w:t>
      </w:r>
      <w:proofErr w:type="gramEnd"/>
      <w:r w:rsidRPr="009A27ED">
        <w:rPr>
          <w:rFonts w:ascii="Times New Roman" w:eastAsia="Times New Roman" w:hAnsi="Times New Roman"/>
          <w:sz w:val="24"/>
          <w:szCs w:val="22"/>
        </w:rPr>
        <w:t xml:space="preserve"> los alcances establecidos en la </w:t>
      </w:r>
      <w:r w:rsidR="007A11B8" w:rsidRPr="009A27ED">
        <w:rPr>
          <w:rFonts w:ascii="Times New Roman" w:eastAsia="Times New Roman" w:hAnsi="Times New Roman"/>
          <w:color w:val="222222"/>
          <w:sz w:val="24"/>
          <w:szCs w:val="22"/>
        </w:rPr>
        <w:t xml:space="preserve">OP 4.12 </w:t>
      </w:r>
      <w:r w:rsidRPr="009A27ED">
        <w:rPr>
          <w:rFonts w:ascii="Times New Roman" w:eastAsia="Times New Roman" w:hAnsi="Times New Roman"/>
          <w:color w:val="222222"/>
          <w:sz w:val="24"/>
          <w:szCs w:val="22"/>
        </w:rPr>
        <w:t>el Banco Mundial.</w:t>
      </w:r>
    </w:p>
    <w:p w14:paraId="6240D417" w14:textId="77777777" w:rsidR="00604AA7" w:rsidRPr="009A27ED" w:rsidRDefault="00604AA7" w:rsidP="001926C2">
      <w:pPr>
        <w:pStyle w:val="Textoindependiente"/>
        <w:spacing w:line="360" w:lineRule="auto"/>
        <w:ind w:right="-12"/>
        <w:rPr>
          <w:rFonts w:asciiTheme="minorHAnsi" w:hAnsiTheme="minorHAnsi" w:cstheme="minorHAnsi"/>
          <w:szCs w:val="22"/>
          <w:lang w:val="es-ES"/>
        </w:rPr>
      </w:pPr>
    </w:p>
    <w:p w14:paraId="7B115171" w14:textId="6185E257" w:rsidR="00604AA7" w:rsidRPr="009A27ED" w:rsidRDefault="00604AA7" w:rsidP="00E6357C">
      <w:pPr>
        <w:pStyle w:val="Ttulo3"/>
        <w:numPr>
          <w:ilvl w:val="0"/>
          <w:numId w:val="0"/>
        </w:numPr>
        <w:spacing w:line="360" w:lineRule="auto"/>
        <w:ind w:left="720"/>
        <w:jc w:val="both"/>
      </w:pPr>
      <w:bookmarkStart w:id="226" w:name="_Toc111837949"/>
      <w:r w:rsidRPr="009A27ED">
        <w:rPr>
          <w:rFonts w:ascii="Times New Roman" w:eastAsia="Times New Roman" w:hAnsi="Times New Roman"/>
          <w:sz w:val="24"/>
        </w:rPr>
        <w:t xml:space="preserve">3.4.5. Brechas </w:t>
      </w:r>
      <w:r w:rsidR="000B5C68" w:rsidRPr="009A27ED">
        <w:rPr>
          <w:rFonts w:ascii="Times New Roman" w:eastAsia="Times New Roman" w:hAnsi="Times New Roman"/>
          <w:sz w:val="24"/>
        </w:rPr>
        <w:t>respecto de</w:t>
      </w:r>
      <w:r w:rsidRPr="009A27ED">
        <w:rPr>
          <w:rFonts w:ascii="Times New Roman" w:eastAsia="Times New Roman" w:hAnsi="Times New Roman"/>
          <w:sz w:val="24"/>
        </w:rPr>
        <w:t xml:space="preserve"> Género y Desarrollo</w:t>
      </w:r>
      <w:bookmarkEnd w:id="226"/>
    </w:p>
    <w:p w14:paraId="7B28695F" w14:textId="585F5CFE" w:rsidR="00604AA7" w:rsidRPr="009A27ED" w:rsidRDefault="00604AA7" w:rsidP="001926C2">
      <w:pPr>
        <w:pStyle w:val="Textoindependiente"/>
        <w:spacing w:line="360" w:lineRule="auto"/>
        <w:ind w:right="-12"/>
        <w:rPr>
          <w:rFonts w:asciiTheme="minorHAnsi" w:hAnsiTheme="minorHAnsi" w:cstheme="minorHAnsi"/>
          <w:szCs w:val="22"/>
          <w:lang w:val="es-ES"/>
        </w:rPr>
      </w:pPr>
    </w:p>
    <w:p w14:paraId="5EEA3AA2" w14:textId="35D60288" w:rsidR="00985E36" w:rsidRPr="009A27ED" w:rsidRDefault="00985E36" w:rsidP="00985E36">
      <w:pPr>
        <w:pStyle w:val="Textoindependiente"/>
        <w:spacing w:line="360" w:lineRule="auto"/>
        <w:ind w:right="-12"/>
        <w:rPr>
          <w:rFonts w:asciiTheme="minorHAnsi" w:hAnsiTheme="minorHAnsi" w:cstheme="minorHAnsi"/>
          <w:szCs w:val="22"/>
          <w:lang w:val="es-ES"/>
        </w:rPr>
      </w:pPr>
      <w:r w:rsidRPr="009A27ED">
        <w:rPr>
          <w:rFonts w:asciiTheme="minorHAnsi" w:hAnsiTheme="minorHAnsi" w:cstheme="minorHAnsi"/>
          <w:sz w:val="24"/>
          <w:szCs w:val="22"/>
          <w:lang w:val="es-ES"/>
        </w:rPr>
        <w:t xml:space="preserve">La </w:t>
      </w:r>
      <w:r w:rsidR="00434410" w:rsidRPr="009A27ED">
        <w:rPr>
          <w:rFonts w:asciiTheme="minorHAnsi" w:hAnsiTheme="minorHAnsi" w:cstheme="minorHAnsi"/>
          <w:sz w:val="24"/>
          <w:szCs w:val="22"/>
          <w:lang w:val="es-ES"/>
        </w:rPr>
        <w:t>política</w:t>
      </w:r>
      <w:r w:rsidRPr="009A27ED">
        <w:rPr>
          <w:rFonts w:asciiTheme="minorHAnsi" w:hAnsiTheme="minorHAnsi" w:cstheme="minorHAnsi"/>
          <w:sz w:val="24"/>
          <w:szCs w:val="22"/>
          <w:lang w:val="es-ES"/>
        </w:rPr>
        <w:t xml:space="preserve"> actual del Banco Mundial en materia de </w:t>
      </w:r>
      <w:r w:rsidR="000B5C68" w:rsidRPr="009A27ED">
        <w:rPr>
          <w:rFonts w:asciiTheme="minorHAnsi" w:hAnsiTheme="minorHAnsi" w:cstheme="minorHAnsi"/>
          <w:sz w:val="24"/>
          <w:szCs w:val="22"/>
          <w:lang w:val="es-ES"/>
        </w:rPr>
        <w:t>género</w:t>
      </w:r>
      <w:r w:rsidRPr="009A27ED">
        <w:rPr>
          <w:rFonts w:asciiTheme="minorHAnsi" w:hAnsiTheme="minorHAnsi" w:cstheme="minorHAnsi"/>
          <w:sz w:val="24"/>
          <w:szCs w:val="22"/>
          <w:lang w:val="es-ES"/>
        </w:rPr>
        <w:t xml:space="preserve"> es un conjunto de disposiciones que procuran ayudar a los </w:t>
      </w:r>
      <w:r w:rsidR="000B5C68" w:rsidRPr="009A27ED">
        <w:rPr>
          <w:rFonts w:asciiTheme="minorHAnsi" w:hAnsiTheme="minorHAnsi" w:cstheme="minorHAnsi"/>
          <w:sz w:val="24"/>
          <w:szCs w:val="22"/>
          <w:lang w:val="es-ES"/>
        </w:rPr>
        <w:t>países</w:t>
      </w:r>
      <w:r w:rsidRPr="009A27ED">
        <w:rPr>
          <w:rFonts w:asciiTheme="minorHAnsi" w:hAnsiTheme="minorHAnsi" w:cstheme="minorHAnsi"/>
          <w:sz w:val="24"/>
          <w:szCs w:val="22"/>
          <w:lang w:val="es-ES"/>
        </w:rPr>
        <w:t xml:space="preserve"> clientes a reducir la pobreza e incrementar el bienestar humano encarando las disparidades de </w:t>
      </w:r>
      <w:r w:rsidR="000B5C68" w:rsidRPr="009A27ED">
        <w:rPr>
          <w:rFonts w:asciiTheme="minorHAnsi" w:hAnsiTheme="minorHAnsi" w:cstheme="minorHAnsi"/>
          <w:sz w:val="24"/>
          <w:szCs w:val="22"/>
          <w:lang w:val="es-ES"/>
        </w:rPr>
        <w:t>género</w:t>
      </w:r>
      <w:r w:rsidRPr="009A27ED">
        <w:rPr>
          <w:rFonts w:asciiTheme="minorHAnsi" w:hAnsiTheme="minorHAnsi" w:cstheme="minorHAnsi"/>
          <w:sz w:val="24"/>
          <w:szCs w:val="22"/>
          <w:lang w:val="es-ES"/>
        </w:rPr>
        <w:t xml:space="preserve"> que constituyen </w:t>
      </w:r>
      <w:r w:rsidR="000B5C68" w:rsidRPr="009A27ED">
        <w:rPr>
          <w:rFonts w:asciiTheme="minorHAnsi" w:hAnsiTheme="minorHAnsi" w:cstheme="minorHAnsi"/>
          <w:sz w:val="24"/>
          <w:szCs w:val="22"/>
          <w:lang w:val="es-ES"/>
        </w:rPr>
        <w:t>obstáculos</w:t>
      </w:r>
      <w:r w:rsidRPr="009A27ED">
        <w:rPr>
          <w:rFonts w:asciiTheme="minorHAnsi" w:hAnsiTheme="minorHAnsi" w:cstheme="minorHAnsi"/>
          <w:sz w:val="24"/>
          <w:szCs w:val="22"/>
          <w:lang w:val="es-ES"/>
        </w:rPr>
        <w:t xml:space="preserve"> al desarrollo. En el caso de REDD+, la equidad de género y el empoderamiento de las mujeres constituyen probados catalizadores para alcanzar el desarrollo sostenible, convirtiendo estas cuestiones en igualmente cruciales para el éxito de</w:t>
      </w:r>
      <w:r w:rsidR="00F37836" w:rsidRPr="009A27ED">
        <w:rPr>
          <w:rFonts w:asciiTheme="minorHAnsi" w:hAnsiTheme="minorHAnsi" w:cstheme="minorHAnsi"/>
          <w:sz w:val="24"/>
          <w:szCs w:val="22"/>
          <w:lang w:val="es-ES"/>
        </w:rPr>
        <w:t xml:space="preserve"> su implementación en República Dominicana</w:t>
      </w:r>
      <w:r w:rsidRPr="009A27ED">
        <w:rPr>
          <w:rFonts w:asciiTheme="minorHAnsi" w:hAnsiTheme="minorHAnsi" w:cstheme="minorHAnsi"/>
          <w:sz w:val="24"/>
          <w:szCs w:val="22"/>
          <w:lang w:val="es-ES"/>
        </w:rPr>
        <w:t xml:space="preserve">. </w:t>
      </w:r>
      <w:r w:rsidR="00F37836" w:rsidRPr="009A27ED">
        <w:rPr>
          <w:rFonts w:asciiTheme="minorHAnsi" w:hAnsiTheme="minorHAnsi" w:cstheme="minorHAnsi"/>
          <w:sz w:val="24"/>
          <w:szCs w:val="22"/>
          <w:lang w:val="es-ES"/>
        </w:rPr>
        <w:t xml:space="preserve">Tanto el </w:t>
      </w:r>
      <w:r w:rsidR="00124B63" w:rsidRPr="009A27ED">
        <w:rPr>
          <w:rFonts w:asciiTheme="minorHAnsi" w:hAnsiTheme="minorHAnsi" w:cstheme="minorHAnsi"/>
          <w:sz w:val="24"/>
          <w:szCs w:val="22"/>
          <w:lang w:val="es-ES"/>
        </w:rPr>
        <w:t>Programa REDD+</w:t>
      </w:r>
      <w:r w:rsidR="00434410" w:rsidRPr="009A27ED">
        <w:rPr>
          <w:rFonts w:asciiTheme="minorHAnsi" w:hAnsiTheme="minorHAnsi" w:cstheme="minorHAnsi"/>
          <w:sz w:val="24"/>
          <w:szCs w:val="22"/>
          <w:lang w:val="es-ES"/>
        </w:rPr>
        <w:t xml:space="preserve"> como</w:t>
      </w:r>
      <w:r w:rsidR="00F37836" w:rsidRPr="009A27ED">
        <w:rPr>
          <w:rFonts w:asciiTheme="minorHAnsi" w:hAnsiTheme="minorHAnsi" w:cstheme="minorHAnsi"/>
          <w:sz w:val="24"/>
          <w:szCs w:val="22"/>
          <w:lang w:val="es-ES"/>
        </w:rPr>
        <w:t xml:space="preserve"> la Estrategia REDD+, incluirán </w:t>
      </w:r>
      <w:r w:rsidRPr="009A27ED">
        <w:rPr>
          <w:rFonts w:asciiTheme="minorHAnsi" w:hAnsiTheme="minorHAnsi" w:cstheme="minorHAnsi"/>
          <w:sz w:val="24"/>
          <w:szCs w:val="22"/>
          <w:lang w:val="es-ES"/>
        </w:rPr>
        <w:t>esfuerzos significativos para asegurar que las acciones REDD</w:t>
      </w:r>
      <w:r w:rsidR="000B5C68" w:rsidRPr="009A27ED">
        <w:rPr>
          <w:rFonts w:asciiTheme="minorHAnsi" w:hAnsiTheme="minorHAnsi" w:cstheme="minorHAnsi"/>
          <w:sz w:val="24"/>
          <w:szCs w:val="22"/>
          <w:lang w:val="es-ES"/>
        </w:rPr>
        <w:t>+ sean</w:t>
      </w:r>
      <w:r w:rsidRPr="009A27ED">
        <w:rPr>
          <w:rFonts w:asciiTheme="minorHAnsi" w:hAnsiTheme="minorHAnsi" w:cstheme="minorHAnsi"/>
          <w:sz w:val="24"/>
          <w:szCs w:val="22"/>
          <w:lang w:val="es-ES"/>
        </w:rPr>
        <w:t xml:space="preserve"> inclusivas, justas y sensibles a las cuestiones de género tanto en las políticas como en la práctica. </w:t>
      </w:r>
      <w:r w:rsidR="00F37836" w:rsidRPr="009A27ED">
        <w:rPr>
          <w:rFonts w:asciiTheme="minorHAnsi" w:hAnsiTheme="minorHAnsi" w:cstheme="minorHAnsi"/>
          <w:sz w:val="24"/>
          <w:szCs w:val="22"/>
          <w:lang w:val="es-ES"/>
        </w:rPr>
        <w:t xml:space="preserve">El componente social de la EN-REDD+, incluye importantes contribuciones en la búsqueda de inclusión para la participación y la distribución justa y equitativa de beneficios a través de los Planes, Sistemas, Programas y Proyectos seleccionados para REDD+, las Entidades Ejecutoras cuentan con directrices para implementar estas acciones al interno de sus instituciones y en sus sitios de intervención geográfica. </w:t>
      </w:r>
    </w:p>
    <w:p w14:paraId="3B5C1606" w14:textId="77777777" w:rsidR="002F4847" w:rsidRPr="009A27ED" w:rsidRDefault="002F4847" w:rsidP="00C97A18">
      <w:pPr>
        <w:pStyle w:val="Textonotapie"/>
        <w:spacing w:after="120" w:line="360" w:lineRule="auto"/>
        <w:ind w:left="0" w:firstLine="0"/>
        <w:rPr>
          <w:rFonts w:eastAsiaTheme="majorEastAsia" w:cstheme="minorHAnsi"/>
          <w:color w:val="009999"/>
          <w:sz w:val="22"/>
          <w:szCs w:val="22"/>
          <w:lang w:val="es-MX"/>
        </w:rPr>
      </w:pPr>
      <w:r w:rsidRPr="009A27ED">
        <w:rPr>
          <w:rFonts w:ascii="Times New Roman" w:eastAsiaTheme="majorEastAsia" w:hAnsi="Times New Roman" w:cstheme="minorHAnsi"/>
          <w:color w:val="009999"/>
          <w:sz w:val="24"/>
          <w:szCs w:val="22"/>
          <w:lang w:val="es-MX"/>
        </w:rPr>
        <w:lastRenderedPageBreak/>
        <w:t xml:space="preserve">El abordaje de la problemática de género en REDD+ se realiza a través de la comprensión y el análisis de las brechas e inequidades existentes entre hombres y mujeres en la toma de decisión en torno a los recursos forestales y su participación en los beneficios generados, así como en las barreras existentes para la plena participación de las mujeres en la actividad productiva ligada al bosque y en las barreras para su incorporación en los programas y proyectos priorizados por REDD+.   </w:t>
      </w:r>
    </w:p>
    <w:p w14:paraId="4E4AA02F" w14:textId="2CA17582" w:rsidR="002F4847" w:rsidRPr="009A27ED" w:rsidRDefault="002F4847" w:rsidP="00C97A18">
      <w:pPr>
        <w:pStyle w:val="Textonotapie"/>
        <w:spacing w:after="120" w:line="360" w:lineRule="auto"/>
        <w:ind w:left="0" w:firstLine="0"/>
        <w:rPr>
          <w:rFonts w:eastAsiaTheme="majorEastAsia" w:cstheme="minorHAnsi"/>
          <w:color w:val="009999"/>
          <w:sz w:val="22"/>
          <w:szCs w:val="22"/>
          <w:lang w:val="es-MX"/>
        </w:rPr>
      </w:pPr>
      <w:r w:rsidRPr="009A27ED">
        <w:rPr>
          <w:rFonts w:ascii="Times New Roman" w:eastAsiaTheme="majorEastAsia" w:hAnsi="Times New Roman" w:cstheme="minorHAnsi"/>
          <w:color w:val="009999"/>
          <w:sz w:val="24"/>
          <w:szCs w:val="22"/>
          <w:lang w:val="es-MX"/>
        </w:rPr>
        <w:t>En República Dominicana se desarrolló un estudio sobre Análisis de Género y se</w:t>
      </w:r>
      <w:r w:rsidRPr="009A27ED">
        <w:rPr>
          <w:rFonts w:ascii="Times New Roman" w:eastAsiaTheme="majorEastAsia" w:hAnsi="Times New Roman" w:cstheme="minorHAnsi"/>
          <w:color w:val="auto"/>
          <w:sz w:val="24"/>
          <w:szCs w:val="22"/>
          <w:lang w:val="es-MX"/>
        </w:rPr>
        <w:t xml:space="preserve"> </w:t>
      </w:r>
      <w:r w:rsidR="000B5C68" w:rsidRPr="009A27ED">
        <w:rPr>
          <w:rFonts w:ascii="Times New Roman" w:eastAsiaTheme="majorEastAsia" w:hAnsi="Times New Roman" w:cstheme="minorHAnsi"/>
          <w:color w:val="auto"/>
          <w:sz w:val="24"/>
          <w:szCs w:val="22"/>
          <w:lang w:val="es-MX"/>
        </w:rPr>
        <w:t xml:space="preserve">elaboró </w:t>
      </w:r>
      <w:r w:rsidRPr="009A27ED">
        <w:rPr>
          <w:rFonts w:ascii="Times New Roman" w:eastAsiaTheme="majorEastAsia" w:hAnsi="Times New Roman" w:cstheme="minorHAnsi"/>
          <w:color w:val="009999"/>
          <w:sz w:val="24"/>
          <w:szCs w:val="22"/>
          <w:lang w:val="es-MX"/>
        </w:rPr>
        <w:t>un Plan de Acción de Género (PAG) en el marco del Programa REDD+. El PAG procura reducir las desigualdades y brechas económicas, institucionales, legales y sociales de género en el ámbito del referido Programa. E</w:t>
      </w:r>
      <w:r w:rsidR="00E2760E" w:rsidRPr="009A27ED">
        <w:rPr>
          <w:rFonts w:ascii="Times New Roman" w:eastAsiaTheme="majorEastAsia" w:hAnsi="Times New Roman" w:cstheme="minorHAnsi"/>
          <w:color w:val="009999"/>
          <w:sz w:val="24"/>
          <w:szCs w:val="22"/>
          <w:lang w:val="es-MX"/>
        </w:rPr>
        <w:t>l cual e</w:t>
      </w:r>
      <w:r w:rsidRPr="009A27ED">
        <w:rPr>
          <w:rFonts w:ascii="Times New Roman" w:eastAsiaTheme="majorEastAsia" w:hAnsi="Times New Roman" w:cstheme="minorHAnsi"/>
          <w:color w:val="009999"/>
          <w:sz w:val="24"/>
          <w:szCs w:val="22"/>
          <w:lang w:val="es-MX"/>
        </w:rPr>
        <w:t xml:space="preserve">stá orientado a incrementar el reconocimiento de los aportes de las mujeres en las actividades forestales/agroforestales, a un mayor acceso a la tierra, a bienes, servicios y oportunidades, a una mayor participación de las mujeres en las organizaciones y tomas de decisión, así como la participación de las mujeres en el manejo y la conservación de los recursos forestales y de los recursos naturales en sentido general. </w:t>
      </w:r>
      <w:r w:rsidR="00DC5C8E" w:rsidRPr="009A27ED">
        <w:rPr>
          <w:rFonts w:ascii="Times New Roman" w:eastAsiaTheme="majorEastAsia" w:hAnsi="Times New Roman" w:cstheme="minorHAnsi"/>
          <w:color w:val="009999"/>
          <w:sz w:val="24"/>
          <w:szCs w:val="22"/>
          <w:lang w:val="es-MX"/>
        </w:rPr>
        <w:t>El presente MGAS incluye un enfoque</w:t>
      </w:r>
      <w:r w:rsidR="00B973C8" w:rsidRPr="009A27ED">
        <w:rPr>
          <w:rFonts w:ascii="Times New Roman" w:eastAsiaTheme="majorEastAsia" w:hAnsi="Times New Roman" w:cstheme="minorHAnsi"/>
          <w:color w:val="009999"/>
          <w:sz w:val="24"/>
          <w:szCs w:val="22"/>
          <w:lang w:val="es-MX"/>
        </w:rPr>
        <w:t xml:space="preserve"> </w:t>
      </w:r>
      <w:r w:rsidR="00B973C8" w:rsidRPr="009A27ED">
        <w:rPr>
          <w:rFonts w:ascii="Times New Roman" w:eastAsiaTheme="majorEastAsia" w:hAnsi="Times New Roman" w:cstheme="minorHAnsi"/>
          <w:color w:val="auto"/>
          <w:sz w:val="24"/>
          <w:szCs w:val="22"/>
          <w:lang w:val="es-MX"/>
        </w:rPr>
        <w:t>transversal</w:t>
      </w:r>
      <w:r w:rsidR="00B973C8" w:rsidRPr="009A27ED">
        <w:rPr>
          <w:rFonts w:ascii="Times New Roman" w:eastAsiaTheme="majorEastAsia" w:hAnsi="Times New Roman" w:cstheme="minorHAnsi"/>
          <w:color w:val="009999"/>
          <w:sz w:val="24"/>
          <w:szCs w:val="22"/>
          <w:lang w:val="es-MX"/>
        </w:rPr>
        <w:t xml:space="preserve"> de</w:t>
      </w:r>
      <w:r w:rsidR="00DC5C8E" w:rsidRPr="009A27ED">
        <w:rPr>
          <w:rFonts w:ascii="Times New Roman" w:eastAsiaTheme="majorEastAsia" w:hAnsi="Times New Roman" w:cstheme="minorHAnsi"/>
          <w:color w:val="009999"/>
          <w:sz w:val="24"/>
          <w:szCs w:val="22"/>
          <w:lang w:val="es-MX"/>
        </w:rPr>
        <w:t xml:space="preserve"> g</w:t>
      </w:r>
      <w:r w:rsidR="00E2760E" w:rsidRPr="009A27ED">
        <w:rPr>
          <w:rFonts w:ascii="Times New Roman" w:eastAsiaTheme="majorEastAsia" w:hAnsi="Times New Roman" w:cstheme="minorHAnsi"/>
          <w:color w:val="009999"/>
          <w:sz w:val="24"/>
          <w:szCs w:val="22"/>
          <w:lang w:val="es-MX"/>
        </w:rPr>
        <w:t>é</w:t>
      </w:r>
      <w:r w:rsidR="00DC5C8E" w:rsidRPr="009A27ED">
        <w:rPr>
          <w:rFonts w:ascii="Times New Roman" w:eastAsiaTheme="majorEastAsia" w:hAnsi="Times New Roman" w:cstheme="minorHAnsi"/>
          <w:color w:val="009999"/>
          <w:sz w:val="24"/>
          <w:szCs w:val="22"/>
          <w:lang w:val="es-MX"/>
        </w:rPr>
        <w:t xml:space="preserve">nero </w:t>
      </w:r>
      <w:r w:rsidR="00957BF2" w:rsidRPr="009A27ED">
        <w:rPr>
          <w:rFonts w:ascii="Times New Roman" w:eastAsiaTheme="majorEastAsia" w:hAnsi="Times New Roman" w:cstheme="minorHAnsi"/>
          <w:color w:val="009999"/>
          <w:sz w:val="24"/>
          <w:szCs w:val="22"/>
          <w:lang w:val="es-MX"/>
        </w:rPr>
        <w:t xml:space="preserve">en sus actividades de seguimiento y verificación de indicadores integrados al Sistema de </w:t>
      </w:r>
      <w:r w:rsidR="000B5C68" w:rsidRPr="009A27ED">
        <w:rPr>
          <w:rFonts w:ascii="Times New Roman" w:eastAsiaTheme="majorEastAsia" w:hAnsi="Times New Roman" w:cstheme="minorHAnsi"/>
          <w:color w:val="009999"/>
          <w:sz w:val="24"/>
          <w:szCs w:val="22"/>
          <w:lang w:val="es-MX"/>
        </w:rPr>
        <w:t>Información</w:t>
      </w:r>
      <w:r w:rsidR="00957BF2" w:rsidRPr="009A27ED">
        <w:rPr>
          <w:rFonts w:ascii="Times New Roman" w:eastAsiaTheme="majorEastAsia" w:hAnsi="Times New Roman" w:cstheme="minorHAnsi"/>
          <w:color w:val="009999"/>
          <w:sz w:val="24"/>
          <w:szCs w:val="22"/>
          <w:lang w:val="es-MX"/>
        </w:rPr>
        <w:t xml:space="preserve"> de Salvaguardas</w:t>
      </w:r>
      <w:r w:rsidR="006C4042" w:rsidRPr="009A27ED">
        <w:rPr>
          <w:rFonts w:ascii="Times New Roman" w:eastAsiaTheme="majorEastAsia" w:hAnsi="Times New Roman" w:cstheme="minorHAnsi"/>
          <w:color w:val="009999"/>
          <w:sz w:val="24"/>
          <w:szCs w:val="22"/>
          <w:lang w:val="es-MX"/>
        </w:rPr>
        <w:t xml:space="preserve"> para la aplicación del PAG.</w:t>
      </w:r>
    </w:p>
    <w:p w14:paraId="27E0D834" w14:textId="1B16BEFB" w:rsidR="00604AA7" w:rsidRPr="009A27ED" w:rsidRDefault="00604AA7" w:rsidP="00E6357C">
      <w:pPr>
        <w:pStyle w:val="Ttulo3"/>
        <w:numPr>
          <w:ilvl w:val="0"/>
          <w:numId w:val="0"/>
        </w:numPr>
        <w:spacing w:line="360" w:lineRule="auto"/>
        <w:ind w:left="720"/>
        <w:jc w:val="both"/>
      </w:pPr>
      <w:bookmarkStart w:id="227" w:name="_Toc111837950"/>
      <w:r w:rsidRPr="009A27ED">
        <w:rPr>
          <w:rFonts w:ascii="Times New Roman" w:eastAsia="Times New Roman" w:hAnsi="Times New Roman"/>
          <w:sz w:val="24"/>
        </w:rPr>
        <w:t>3.4.6. Brechas respecto OP 4.09 Manejo de Plagas</w:t>
      </w:r>
      <w:bookmarkEnd w:id="227"/>
      <w:r w:rsidRPr="009A27ED">
        <w:rPr>
          <w:rFonts w:ascii="Times New Roman" w:eastAsia="Times New Roman" w:hAnsi="Times New Roman"/>
          <w:sz w:val="24"/>
        </w:rPr>
        <w:t xml:space="preserve"> </w:t>
      </w:r>
    </w:p>
    <w:p w14:paraId="0BABE070" w14:textId="464EA47B" w:rsidR="00604AA7" w:rsidRPr="009A27ED" w:rsidRDefault="00604AA7" w:rsidP="00604AA7">
      <w:pPr>
        <w:spacing w:line="360" w:lineRule="auto"/>
        <w:rPr>
          <w:rFonts w:ascii="Calibri" w:hAnsi="Calibri" w:cs="Calibri"/>
          <w:szCs w:val="22"/>
        </w:rPr>
      </w:pPr>
    </w:p>
    <w:p w14:paraId="79AC5179" w14:textId="0C4B08C4" w:rsidR="007C39F9" w:rsidRPr="009A27ED" w:rsidRDefault="00604AA7" w:rsidP="00604AA7">
      <w:pPr>
        <w:spacing w:line="360" w:lineRule="auto"/>
        <w:rPr>
          <w:rFonts w:ascii="Calibri" w:hAnsi="Calibri" w:cs="Calibri"/>
          <w:szCs w:val="22"/>
        </w:rPr>
      </w:pPr>
      <w:proofErr w:type="gramStart"/>
      <w:r w:rsidRPr="009A27ED">
        <w:rPr>
          <w:rFonts w:ascii="Times New Roman" w:eastAsia="Times New Roman" w:hAnsi="Times New Roman" w:cs="Calibri"/>
          <w:sz w:val="24"/>
          <w:szCs w:val="22"/>
        </w:rPr>
        <w:t>De acuerdo al</w:t>
      </w:r>
      <w:proofErr w:type="gramEnd"/>
      <w:r w:rsidRPr="009A27ED">
        <w:rPr>
          <w:rFonts w:ascii="Times New Roman" w:eastAsia="Times New Roman" w:hAnsi="Times New Roman" w:cs="Calibri"/>
          <w:sz w:val="24"/>
          <w:szCs w:val="22"/>
        </w:rPr>
        <w:t xml:space="preserve"> análisis legal realizado y a los vacíos identificados, el MARN, desarrollará algunas herramientas e implementará procesos que apoyen la mitigación del riesgo mencionado, para ello en primer lugar se requiere lograr un conocimiento básico de manejo de plaguicidas en todos los proyectos e identificar y canalizar los recursos existentes para capacitación técnica hacia aquellos proyectos con mayores riesgos de sufrir efectos adversos por el uso de plaguicidas. Las medidas contempladas en este PMP deberán aplicarse en todos los programas, sistemas, planes y proyectos, ya que, sin importar el apoyo solicitado, como actividad asociada se encuentra la operación.  Las medidas a implementar serán las siguientes: </w:t>
      </w:r>
      <w:r w:rsidRPr="009A27ED">
        <w:rPr>
          <w:rFonts w:ascii="Times New Roman" w:eastAsia="Times New Roman" w:hAnsi="Times New Roman" w:cs="Calibri"/>
          <w:sz w:val="24"/>
          <w:szCs w:val="22"/>
          <w:lang w:val="es-GT"/>
        </w:rPr>
        <w:t>a) e</w:t>
      </w:r>
      <w:r w:rsidRPr="009A27ED">
        <w:rPr>
          <w:rFonts w:ascii="Times New Roman" w:eastAsia="Times New Roman" w:hAnsi="Times New Roman" w:cs="Calibri"/>
          <w:sz w:val="24"/>
          <w:szCs w:val="22"/>
        </w:rPr>
        <w:t xml:space="preserve">l Ministerio de Medio Ambiente (con el apoyo del Servicio de Control de Plagas del Ministerio de Agricultura), realizarán una manual de manejo integrado de plagas para las actividades tipo REDD+ que se implementarán y uso de agroquímicos, tomando en </w:t>
      </w:r>
      <w:r w:rsidRPr="009A27ED">
        <w:rPr>
          <w:rFonts w:ascii="Times New Roman" w:eastAsia="Times New Roman" w:hAnsi="Times New Roman" w:cs="Calibri"/>
          <w:sz w:val="24"/>
          <w:szCs w:val="22"/>
        </w:rPr>
        <w:lastRenderedPageBreak/>
        <w:t xml:space="preserve">cuenta la normativa de República Dominicana y/o el Código Internacional de Conducta para la Distribución y Utilización de Plaguicidas de la FAO, b) </w:t>
      </w:r>
      <w:r w:rsidRPr="009A27ED">
        <w:rPr>
          <w:rFonts w:ascii="Times New Roman" w:eastAsia="Times New Roman" w:hAnsi="Times New Roman" w:cs="Calibri"/>
          <w:sz w:val="24"/>
          <w:szCs w:val="22"/>
          <w:lang w:val="es-GT"/>
        </w:rPr>
        <w:t>s</w:t>
      </w:r>
      <w:proofErr w:type="spellStart"/>
      <w:r w:rsidRPr="009A27ED">
        <w:rPr>
          <w:rFonts w:ascii="Times New Roman" w:eastAsia="Times New Roman" w:hAnsi="Times New Roman" w:cs="Calibri"/>
          <w:sz w:val="24"/>
          <w:szCs w:val="22"/>
        </w:rPr>
        <w:t>e</w:t>
      </w:r>
      <w:proofErr w:type="spellEnd"/>
      <w:r w:rsidRPr="009A27ED">
        <w:rPr>
          <w:rFonts w:ascii="Times New Roman" w:eastAsia="Times New Roman" w:hAnsi="Times New Roman" w:cs="Calibri"/>
          <w:sz w:val="24"/>
          <w:szCs w:val="22"/>
        </w:rPr>
        <w:t xml:space="preserve"> difundirán criterios de manejo integrado de plagas y manejo seguro de plaguicidas y sus envases usados, a los beneficiarios del proyecto y c) </w:t>
      </w:r>
      <w:r w:rsidRPr="009A27ED">
        <w:rPr>
          <w:rFonts w:ascii="Times New Roman" w:eastAsia="Times New Roman" w:hAnsi="Times New Roman" w:cs="Calibri"/>
          <w:sz w:val="24"/>
          <w:szCs w:val="22"/>
          <w:lang w:val="es-GT"/>
        </w:rPr>
        <w:t>s</w:t>
      </w:r>
      <w:proofErr w:type="spellStart"/>
      <w:r w:rsidRPr="009A27ED">
        <w:rPr>
          <w:rFonts w:ascii="Times New Roman" w:eastAsia="Times New Roman" w:hAnsi="Times New Roman" w:cs="Calibri"/>
          <w:sz w:val="24"/>
          <w:szCs w:val="22"/>
        </w:rPr>
        <w:t>e</w:t>
      </w:r>
      <w:proofErr w:type="spellEnd"/>
      <w:r w:rsidRPr="009A27ED">
        <w:rPr>
          <w:rFonts w:ascii="Times New Roman" w:eastAsia="Times New Roman" w:hAnsi="Times New Roman" w:cs="Calibri"/>
          <w:sz w:val="24"/>
          <w:szCs w:val="22"/>
        </w:rPr>
        <w:t xml:space="preserve"> monitoreará la incidencia de plagas y el uso de plaguicidas en todos los proyectos. </w:t>
      </w:r>
    </w:p>
    <w:p w14:paraId="4372CA79" w14:textId="65160FDE" w:rsidR="007C39F9" w:rsidRPr="009A27ED" w:rsidRDefault="007C39F9" w:rsidP="007C39F9">
      <w:pPr>
        <w:spacing w:line="360" w:lineRule="auto"/>
        <w:rPr>
          <w:rFonts w:ascii="Calibri" w:hAnsi="Calibri" w:cs="Calibri"/>
          <w:szCs w:val="22"/>
        </w:rPr>
      </w:pPr>
      <w:r w:rsidRPr="009A27ED">
        <w:rPr>
          <w:rFonts w:ascii="Times New Roman" w:eastAsia="Times New Roman" w:hAnsi="Times New Roman" w:cs="Calibri"/>
          <w:sz w:val="24"/>
          <w:szCs w:val="22"/>
        </w:rPr>
        <w:t xml:space="preserve">También se llevarán a cabo las siguientes actividades durante la preparación y ejecución del proyecto: a) la </w:t>
      </w:r>
      <w:r w:rsidR="00B973C8" w:rsidRPr="009A27ED">
        <w:rPr>
          <w:rFonts w:ascii="Times New Roman" w:eastAsia="Times New Roman" w:hAnsi="Times New Roman" w:cs="Calibri"/>
          <w:sz w:val="24"/>
          <w:szCs w:val="22"/>
        </w:rPr>
        <w:t>promoción</w:t>
      </w:r>
      <w:r w:rsidRPr="009A27ED">
        <w:rPr>
          <w:rFonts w:ascii="Times New Roman" w:eastAsia="Times New Roman" w:hAnsi="Times New Roman" w:cs="Calibri"/>
          <w:sz w:val="24"/>
          <w:szCs w:val="22"/>
        </w:rPr>
        <w:t xml:space="preserve"> del Manejo Integrado de Plagas (MIP) y las Buenas Prácticas, b) la generación y distribución de material de difusión y un manual sobre el MIP, también se establecerá un protocolo de asistencia técnica en MIP y se diseñará e implementará un programa de capacitación sobre el manejo adecuado de plaguicidas, según las disposiciones contenidas en el presente PMP.</w:t>
      </w:r>
    </w:p>
    <w:p w14:paraId="413D939F" w14:textId="77777777" w:rsidR="00604AA7" w:rsidRPr="009A27ED" w:rsidRDefault="00604AA7" w:rsidP="00604AA7">
      <w:pPr>
        <w:spacing w:line="360" w:lineRule="auto"/>
        <w:rPr>
          <w:rFonts w:ascii="Calibri" w:hAnsi="Calibri" w:cs="Calibri"/>
          <w:szCs w:val="22"/>
        </w:rPr>
      </w:pPr>
    </w:p>
    <w:p w14:paraId="5B995D04" w14:textId="77777777" w:rsidR="007A11B8" w:rsidRPr="009A27ED" w:rsidRDefault="007A11B8" w:rsidP="002C1EEA">
      <w:pPr>
        <w:pStyle w:val="Prrafodelista"/>
        <w:spacing w:after="120" w:line="360" w:lineRule="auto"/>
        <w:ind w:left="720"/>
      </w:pPr>
    </w:p>
    <w:p w14:paraId="290DF07A" w14:textId="77777777" w:rsidR="002C1EEA" w:rsidRPr="009A27ED" w:rsidRDefault="002C1EEA" w:rsidP="002C1EEA">
      <w:pPr>
        <w:pStyle w:val="Prrafodelista"/>
        <w:spacing w:after="120" w:line="360" w:lineRule="auto"/>
        <w:ind w:left="720"/>
      </w:pPr>
    </w:p>
    <w:p w14:paraId="57163C24" w14:textId="620B48F4" w:rsidR="00947670" w:rsidRPr="009A27ED" w:rsidRDefault="00CD4C75" w:rsidP="00F163C3">
      <w:pPr>
        <w:pStyle w:val="Ttulo1"/>
        <w:numPr>
          <w:ilvl w:val="0"/>
          <w:numId w:val="0"/>
        </w:numPr>
        <w:spacing w:line="360" w:lineRule="auto"/>
        <w:ind w:left="360"/>
        <w:jc w:val="both"/>
        <w:rPr>
          <w:rFonts w:asciiTheme="minorHAnsi" w:hAnsiTheme="minorHAnsi" w:cstheme="minorHAnsi"/>
        </w:rPr>
      </w:pPr>
      <w:bookmarkStart w:id="228" w:name="_Toc111837951"/>
      <w:r w:rsidRPr="009A27ED">
        <w:rPr>
          <w:rFonts w:asciiTheme="minorHAnsi" w:eastAsia="Times New Roman" w:hAnsiTheme="minorHAnsi" w:cstheme="minorHAnsi"/>
          <w:sz w:val="24"/>
        </w:rPr>
        <w:t>4</w:t>
      </w:r>
      <w:r w:rsidR="007D3A34" w:rsidRPr="009A27ED">
        <w:rPr>
          <w:rFonts w:asciiTheme="minorHAnsi" w:eastAsia="Times New Roman" w:hAnsiTheme="minorHAnsi" w:cstheme="minorHAnsi"/>
          <w:sz w:val="24"/>
        </w:rPr>
        <w:t xml:space="preserve">. </w:t>
      </w:r>
      <w:r w:rsidR="00947670" w:rsidRPr="009A27ED">
        <w:rPr>
          <w:rFonts w:asciiTheme="minorHAnsi" w:eastAsia="Times New Roman" w:hAnsiTheme="minorHAnsi" w:cstheme="minorHAnsi"/>
          <w:sz w:val="24"/>
        </w:rPr>
        <w:t xml:space="preserve">Identificación y evaluación de los riesgos e </w:t>
      </w:r>
      <w:r w:rsidR="00B528C4" w:rsidRPr="009A27ED">
        <w:rPr>
          <w:rFonts w:asciiTheme="minorHAnsi" w:eastAsia="Times New Roman" w:hAnsiTheme="minorHAnsi" w:cstheme="minorHAnsi"/>
          <w:sz w:val="24"/>
        </w:rPr>
        <w:t>i</w:t>
      </w:r>
      <w:r w:rsidR="00947670" w:rsidRPr="009A27ED">
        <w:rPr>
          <w:rFonts w:asciiTheme="minorHAnsi" w:eastAsia="Times New Roman" w:hAnsiTheme="minorHAnsi" w:cstheme="minorHAnsi"/>
          <w:sz w:val="24"/>
        </w:rPr>
        <w:t>mpactos ambientales</w:t>
      </w:r>
      <w:r w:rsidR="00E2760E" w:rsidRPr="009A27ED">
        <w:rPr>
          <w:rFonts w:asciiTheme="minorHAnsi" w:eastAsia="Times New Roman" w:hAnsiTheme="minorHAnsi" w:cstheme="minorHAnsi"/>
          <w:sz w:val="24"/>
        </w:rPr>
        <w:t xml:space="preserve"> y sociales</w:t>
      </w:r>
      <w:r w:rsidR="00947670" w:rsidRPr="009A27ED">
        <w:rPr>
          <w:rFonts w:asciiTheme="minorHAnsi" w:eastAsia="Times New Roman" w:hAnsiTheme="minorHAnsi" w:cstheme="minorHAnsi"/>
          <w:sz w:val="24"/>
        </w:rPr>
        <w:t xml:space="preserve"> asociados a las opciones y acciones estratégicas REDD+ y a los tipos de actividades seleccionadas en los programas nacionales para la implementación.</w:t>
      </w:r>
      <w:bookmarkEnd w:id="218"/>
      <w:bookmarkEnd w:id="219"/>
      <w:bookmarkEnd w:id="228"/>
    </w:p>
    <w:p w14:paraId="78C670FE" w14:textId="6A472B9C" w:rsidR="00947670" w:rsidRPr="009A27ED" w:rsidRDefault="00947670" w:rsidP="00F06A03">
      <w:pPr>
        <w:spacing w:before="120" w:after="100" w:afterAutospacing="1" w:line="360" w:lineRule="auto"/>
        <w:rPr>
          <w:szCs w:val="22"/>
        </w:rPr>
      </w:pPr>
      <w:r w:rsidRPr="009A27ED">
        <w:rPr>
          <w:rFonts w:ascii="Times New Roman" w:eastAsia="Times New Roman" w:hAnsi="Times New Roman"/>
          <w:sz w:val="24"/>
          <w:szCs w:val="22"/>
        </w:rPr>
        <w:t xml:space="preserve">Como se explicó en las secciones anteriores, </w:t>
      </w:r>
      <w:r w:rsidR="00621FB8" w:rsidRPr="009A27ED">
        <w:rPr>
          <w:rFonts w:ascii="Times New Roman" w:eastAsia="Times New Roman" w:hAnsi="Times New Roman"/>
          <w:sz w:val="24"/>
          <w:szCs w:val="22"/>
        </w:rPr>
        <w:t xml:space="preserve">el Programa </w:t>
      </w:r>
      <w:r w:rsidRPr="009A27ED">
        <w:rPr>
          <w:rFonts w:ascii="Times New Roman" w:eastAsia="Times New Roman" w:hAnsi="Times New Roman"/>
          <w:sz w:val="24"/>
          <w:szCs w:val="22"/>
        </w:rPr>
        <w:t xml:space="preserve">REDD+ va a ser implementado en República Dominicana a través de </w:t>
      </w:r>
      <w:r w:rsidR="00CC045D" w:rsidRPr="009A27ED">
        <w:rPr>
          <w:rFonts w:ascii="Times New Roman" w:eastAsia="Times New Roman" w:hAnsi="Times New Roman"/>
          <w:sz w:val="24"/>
          <w:szCs w:val="22"/>
        </w:rPr>
        <w:t xml:space="preserve">planes, sistemas, </w:t>
      </w:r>
      <w:r w:rsidRPr="009A27ED">
        <w:rPr>
          <w:rFonts w:ascii="Times New Roman" w:eastAsia="Times New Roman" w:hAnsi="Times New Roman"/>
          <w:sz w:val="24"/>
          <w:szCs w:val="22"/>
        </w:rPr>
        <w:t xml:space="preserve">programas y proyectos existentes, </w:t>
      </w:r>
      <w:r w:rsidR="00BC6DC6" w:rsidRPr="009A27ED">
        <w:rPr>
          <w:rFonts w:ascii="Times New Roman" w:eastAsia="Times New Roman" w:hAnsi="Times New Roman"/>
          <w:sz w:val="24"/>
          <w:szCs w:val="22"/>
        </w:rPr>
        <w:t xml:space="preserve">los cuales </w:t>
      </w:r>
      <w:r w:rsidRPr="009A27ED">
        <w:rPr>
          <w:rFonts w:ascii="Times New Roman" w:eastAsia="Times New Roman" w:hAnsi="Times New Roman"/>
          <w:sz w:val="24"/>
          <w:szCs w:val="22"/>
        </w:rPr>
        <w:t>est</w:t>
      </w:r>
      <w:r w:rsidR="00CC045D" w:rsidRPr="009A27ED">
        <w:rPr>
          <w:rFonts w:ascii="Times New Roman" w:eastAsia="Times New Roman" w:hAnsi="Times New Roman"/>
          <w:sz w:val="24"/>
          <w:szCs w:val="22"/>
        </w:rPr>
        <w:t>á</w:t>
      </w:r>
      <w:r w:rsidRPr="009A27ED">
        <w:rPr>
          <w:rFonts w:ascii="Times New Roman" w:eastAsia="Times New Roman" w:hAnsi="Times New Roman"/>
          <w:sz w:val="24"/>
          <w:szCs w:val="22"/>
        </w:rPr>
        <w:t xml:space="preserve">n ejecutando </w:t>
      </w:r>
      <w:r w:rsidRPr="009A27ED">
        <w:rPr>
          <w:rFonts w:ascii="Times New Roman" w:eastAsia="Times New Roman" w:hAnsi="Times New Roman"/>
          <w:i/>
          <w:sz w:val="24"/>
          <w:szCs w:val="22"/>
        </w:rPr>
        <w:t xml:space="preserve">actividades </w:t>
      </w:r>
      <w:r w:rsidRPr="009A27ED">
        <w:rPr>
          <w:rFonts w:ascii="Times New Roman" w:eastAsia="Times New Roman" w:hAnsi="Times New Roman"/>
          <w:sz w:val="24"/>
          <w:szCs w:val="22"/>
        </w:rPr>
        <w:t>en línea con l</w:t>
      </w:r>
      <w:r w:rsidR="00CC045D" w:rsidRPr="009A27ED">
        <w:rPr>
          <w:rFonts w:ascii="Times New Roman" w:eastAsia="Times New Roman" w:hAnsi="Times New Roman"/>
          <w:sz w:val="24"/>
          <w:szCs w:val="22"/>
        </w:rPr>
        <w:t xml:space="preserve">as </w:t>
      </w:r>
      <w:r w:rsidR="00CC045D" w:rsidRPr="009A27ED">
        <w:rPr>
          <w:rFonts w:ascii="Times New Roman" w:eastAsia="Times New Roman" w:hAnsi="Times New Roman"/>
          <w:i/>
          <w:sz w:val="24"/>
          <w:szCs w:val="22"/>
        </w:rPr>
        <w:t>actividades</w:t>
      </w:r>
      <w:r w:rsidR="00CC045D" w:rsidRPr="009A27ED">
        <w:rPr>
          <w:rFonts w:ascii="Times New Roman" w:eastAsia="Times New Roman" w:hAnsi="Times New Roman"/>
          <w:sz w:val="24"/>
          <w:szCs w:val="22"/>
        </w:rPr>
        <w:t xml:space="preserve"> </w:t>
      </w:r>
      <w:r w:rsidRPr="009A27ED">
        <w:rPr>
          <w:rFonts w:ascii="Times New Roman" w:eastAsia="Times New Roman" w:hAnsi="Times New Roman"/>
          <w:i/>
          <w:sz w:val="24"/>
          <w:szCs w:val="22"/>
        </w:rPr>
        <w:t>tipo</w:t>
      </w:r>
      <w:r w:rsidRPr="009A27ED">
        <w:rPr>
          <w:rFonts w:ascii="Times New Roman" w:eastAsia="Times New Roman" w:hAnsi="Times New Roman"/>
          <w:sz w:val="24"/>
          <w:szCs w:val="22"/>
        </w:rPr>
        <w:t xml:space="preserve"> REDD+ definid</w:t>
      </w:r>
      <w:r w:rsidR="00641CEF" w:rsidRPr="009A27ED">
        <w:rPr>
          <w:rFonts w:ascii="Times New Roman" w:eastAsia="Times New Roman" w:hAnsi="Times New Roman"/>
          <w:sz w:val="24"/>
          <w:szCs w:val="22"/>
        </w:rPr>
        <w:t>a</w:t>
      </w:r>
      <w:r w:rsidRPr="009A27ED">
        <w:rPr>
          <w:rFonts w:ascii="Times New Roman" w:eastAsia="Times New Roman" w:hAnsi="Times New Roman"/>
          <w:sz w:val="24"/>
          <w:szCs w:val="22"/>
        </w:rPr>
        <w:t xml:space="preserve">s por el país. A continuación, se presenta el análisis de los potenciales riesgos e impactos ambientales y sociales identificados durante el SESA a nivel de opción y acción estratégica REDD+, y un análisis a nivel de </w:t>
      </w:r>
      <w:r w:rsidR="00CC045D" w:rsidRPr="009A27ED">
        <w:rPr>
          <w:rFonts w:ascii="Times New Roman" w:eastAsia="Times New Roman" w:hAnsi="Times New Roman"/>
          <w:i/>
          <w:sz w:val="24"/>
          <w:szCs w:val="22"/>
        </w:rPr>
        <w:t>actividades</w:t>
      </w:r>
      <w:r w:rsidR="00CC045D" w:rsidRPr="009A27ED">
        <w:rPr>
          <w:rFonts w:ascii="Times New Roman" w:eastAsia="Times New Roman" w:hAnsi="Times New Roman"/>
          <w:sz w:val="24"/>
          <w:szCs w:val="22"/>
        </w:rPr>
        <w:t xml:space="preserve"> </w:t>
      </w:r>
      <w:r w:rsidRPr="009A27ED">
        <w:rPr>
          <w:rFonts w:ascii="Times New Roman" w:eastAsia="Times New Roman" w:hAnsi="Times New Roman"/>
          <w:i/>
          <w:sz w:val="24"/>
          <w:szCs w:val="22"/>
        </w:rPr>
        <w:t>tipo</w:t>
      </w:r>
      <w:r w:rsidRPr="009A27ED">
        <w:rPr>
          <w:rFonts w:ascii="Times New Roman" w:eastAsia="Times New Roman" w:hAnsi="Times New Roman"/>
          <w:sz w:val="24"/>
          <w:szCs w:val="22"/>
        </w:rPr>
        <w:t xml:space="preserve"> seleccionadas para REDD+ a fin de proporcionar en este MGAS un marco para abordar riesgos e impactos ambientales durante la implementación de REDD+ en el país</w:t>
      </w:r>
      <w:r w:rsidR="00A86D9F" w:rsidRPr="009A27ED">
        <w:rPr>
          <w:rFonts w:ascii="Times New Roman" w:eastAsia="Times New Roman" w:hAnsi="Times New Roman"/>
          <w:sz w:val="24"/>
          <w:szCs w:val="22"/>
        </w:rPr>
        <w:t xml:space="preserve"> (Sección 7).</w:t>
      </w:r>
    </w:p>
    <w:p w14:paraId="6FE9C079" w14:textId="4AD6A399" w:rsidR="00947670" w:rsidRPr="009A27ED" w:rsidRDefault="00CD4C75" w:rsidP="00F163C3">
      <w:pPr>
        <w:pStyle w:val="Ttulo2"/>
        <w:numPr>
          <w:ilvl w:val="0"/>
          <w:numId w:val="0"/>
        </w:numPr>
        <w:spacing w:line="360" w:lineRule="auto"/>
        <w:ind w:left="576" w:hanging="576"/>
        <w:jc w:val="both"/>
        <w:rPr>
          <w:rFonts w:asciiTheme="minorHAnsi" w:hAnsiTheme="minorHAnsi" w:cstheme="minorHAnsi"/>
          <w:sz w:val="24"/>
        </w:rPr>
      </w:pPr>
      <w:bookmarkStart w:id="229" w:name="_Toc532335864"/>
      <w:bookmarkStart w:id="230" w:name="_Toc111837952"/>
      <w:r w:rsidRPr="009A27ED">
        <w:rPr>
          <w:rFonts w:asciiTheme="minorHAnsi" w:eastAsia="Times New Roman" w:hAnsiTheme="minorHAnsi" w:cstheme="minorHAnsi"/>
          <w:sz w:val="24"/>
        </w:rPr>
        <w:lastRenderedPageBreak/>
        <w:t>4</w:t>
      </w:r>
      <w:r w:rsidR="00094AA0" w:rsidRPr="009A27ED">
        <w:rPr>
          <w:rFonts w:asciiTheme="minorHAnsi" w:eastAsia="Times New Roman" w:hAnsiTheme="minorHAnsi" w:cstheme="minorHAnsi"/>
          <w:sz w:val="24"/>
        </w:rPr>
        <w:t xml:space="preserve">.1. </w:t>
      </w:r>
      <w:r w:rsidR="00947670" w:rsidRPr="009A27ED">
        <w:rPr>
          <w:rFonts w:asciiTheme="minorHAnsi" w:eastAsia="Times New Roman" w:hAnsiTheme="minorHAnsi" w:cstheme="minorHAnsi"/>
          <w:sz w:val="24"/>
        </w:rPr>
        <w:t xml:space="preserve">Evaluación ambiental y social de las </w:t>
      </w:r>
      <w:r w:rsidR="00947670" w:rsidRPr="009A27ED">
        <w:rPr>
          <w:rFonts w:asciiTheme="minorHAnsi" w:eastAsia="Times New Roman" w:hAnsiTheme="minorHAnsi" w:cstheme="minorHAnsi"/>
          <w:i/>
          <w:sz w:val="24"/>
        </w:rPr>
        <w:t>Opciones y Acciones Estratégicas REDD</w:t>
      </w:r>
      <w:r w:rsidR="00947670" w:rsidRPr="009A27ED">
        <w:rPr>
          <w:rFonts w:asciiTheme="minorHAnsi" w:eastAsia="Times New Roman" w:hAnsiTheme="minorHAnsi" w:cstheme="minorHAnsi"/>
          <w:sz w:val="24"/>
        </w:rPr>
        <w:t>+ como resultado de</w:t>
      </w:r>
      <w:r w:rsidR="00B528C4" w:rsidRPr="009A27ED">
        <w:rPr>
          <w:rFonts w:asciiTheme="minorHAnsi" w:eastAsia="Times New Roman" w:hAnsiTheme="minorHAnsi" w:cstheme="minorHAnsi"/>
          <w:sz w:val="24"/>
        </w:rPr>
        <w:t xml:space="preserve"> </w:t>
      </w:r>
      <w:r w:rsidR="00947670" w:rsidRPr="009A27ED">
        <w:rPr>
          <w:rFonts w:asciiTheme="minorHAnsi" w:eastAsia="Times New Roman" w:hAnsiTheme="minorHAnsi" w:cstheme="minorHAnsi"/>
          <w:sz w:val="24"/>
        </w:rPr>
        <w:t>l</w:t>
      </w:r>
      <w:r w:rsidR="00B528C4" w:rsidRPr="009A27ED">
        <w:rPr>
          <w:rFonts w:asciiTheme="minorHAnsi" w:eastAsia="Times New Roman" w:hAnsiTheme="minorHAnsi" w:cstheme="minorHAnsi"/>
          <w:sz w:val="24"/>
        </w:rPr>
        <w:t>a</w:t>
      </w:r>
      <w:r w:rsidR="00947670" w:rsidRPr="009A27ED">
        <w:rPr>
          <w:rFonts w:asciiTheme="minorHAnsi" w:eastAsia="Times New Roman" w:hAnsiTheme="minorHAnsi" w:cstheme="minorHAnsi"/>
          <w:sz w:val="24"/>
        </w:rPr>
        <w:t xml:space="preserve"> SESA</w:t>
      </w:r>
      <w:bookmarkEnd w:id="229"/>
      <w:bookmarkEnd w:id="230"/>
      <w:r w:rsidR="00947670" w:rsidRPr="009A27ED">
        <w:rPr>
          <w:rFonts w:asciiTheme="minorHAnsi" w:eastAsia="Times New Roman" w:hAnsiTheme="minorHAnsi" w:cstheme="minorHAnsi"/>
          <w:sz w:val="24"/>
        </w:rPr>
        <w:t xml:space="preserve"> </w:t>
      </w:r>
    </w:p>
    <w:p w14:paraId="6EF497D1" w14:textId="67117379" w:rsidR="00947670" w:rsidRPr="009A27ED" w:rsidRDefault="00947670" w:rsidP="005B6485">
      <w:pPr>
        <w:spacing w:before="120" w:after="0" w:line="360" w:lineRule="auto"/>
        <w:rPr>
          <w:szCs w:val="22"/>
        </w:rPr>
      </w:pPr>
      <w:r w:rsidRPr="009A27ED">
        <w:rPr>
          <w:rFonts w:ascii="Times New Roman" w:eastAsia="Times New Roman" w:hAnsi="Times New Roman"/>
          <w:sz w:val="24"/>
          <w:szCs w:val="22"/>
        </w:rPr>
        <w:t xml:space="preserve">Disponer de los análisis de potenciales riesgos e impactos ambientales y sociales, servirá al Ministerio de Ambiente </w:t>
      </w:r>
      <w:r w:rsidR="00B528C4" w:rsidRPr="009A27ED">
        <w:rPr>
          <w:rFonts w:ascii="Times New Roman" w:eastAsia="Times New Roman" w:hAnsi="Times New Roman"/>
          <w:sz w:val="24"/>
          <w:szCs w:val="22"/>
        </w:rPr>
        <w:t xml:space="preserve">y Recursos Naturales </w:t>
      </w:r>
      <w:r w:rsidRPr="009A27ED">
        <w:rPr>
          <w:rFonts w:ascii="Times New Roman" w:eastAsia="Times New Roman" w:hAnsi="Times New Roman"/>
          <w:sz w:val="24"/>
          <w:szCs w:val="22"/>
        </w:rPr>
        <w:t>para orientar las directrices del marco de gestión ambiental y social y de los arreglos institucionales requeridos en la ejecución de los programas nacionales seleccionados para la implementación de REDD+ en República Dominicana</w:t>
      </w:r>
      <w:r w:rsidR="00B528C4" w:rsidRPr="009A27ED">
        <w:rPr>
          <w:rFonts w:ascii="Times New Roman" w:eastAsia="Times New Roman" w:hAnsi="Times New Roman"/>
          <w:sz w:val="24"/>
          <w:szCs w:val="22"/>
        </w:rPr>
        <w:t>, así como la correcta implementación de medidas de mitigación en los PMAS para las áreas priorizadas</w:t>
      </w:r>
      <w:r w:rsidRPr="009A27ED">
        <w:rPr>
          <w:rFonts w:ascii="Times New Roman" w:eastAsia="Times New Roman" w:hAnsi="Times New Roman"/>
          <w:sz w:val="24"/>
          <w:szCs w:val="22"/>
        </w:rPr>
        <w:t xml:space="preserve">. En este documento, se considerará riesgo ambiental y social como una combinación de la probabilidad de que ocurran ciertos peligros y la gravedad de los impactos que resulten de ello. Asimismo, los impactos ambientales y sociales se refieren a todo cambio, potencial o real, en: i) el ambiente físico, natural o cultural, y </w:t>
      </w:r>
      <w:proofErr w:type="spellStart"/>
      <w:r w:rsidRPr="009A27ED">
        <w:rPr>
          <w:rFonts w:ascii="Times New Roman" w:eastAsia="Times New Roman" w:hAnsi="Times New Roman"/>
          <w:sz w:val="24"/>
          <w:szCs w:val="22"/>
        </w:rPr>
        <w:t>ii</w:t>
      </w:r>
      <w:proofErr w:type="spellEnd"/>
      <w:r w:rsidRPr="009A27ED">
        <w:rPr>
          <w:rFonts w:ascii="Times New Roman" w:eastAsia="Times New Roman" w:hAnsi="Times New Roman"/>
          <w:sz w:val="24"/>
          <w:szCs w:val="22"/>
        </w:rPr>
        <w:t>) la comunidad de los alrededores y los trabajadores, como resultado de la actividad del proyecto que se respaldará.</w:t>
      </w:r>
      <w:r w:rsidRPr="009A27ED">
        <w:rPr>
          <w:rStyle w:val="Refdenotaalpie"/>
          <w:rFonts w:asciiTheme="minorHAnsi" w:eastAsia="Times New Roman" w:hAnsiTheme="minorHAnsi"/>
          <w:sz w:val="24"/>
          <w:szCs w:val="22"/>
        </w:rPr>
        <w:footnoteReference w:id="66"/>
      </w:r>
    </w:p>
    <w:p w14:paraId="38712244" w14:textId="77777777" w:rsidR="00947670" w:rsidRPr="009A27ED" w:rsidRDefault="00947670" w:rsidP="005B6485">
      <w:pPr>
        <w:spacing w:before="120" w:after="0" w:line="360" w:lineRule="auto"/>
        <w:rPr>
          <w:szCs w:val="22"/>
        </w:rPr>
      </w:pPr>
      <w:r w:rsidRPr="009A27ED">
        <w:rPr>
          <w:rFonts w:ascii="Times New Roman" w:eastAsia="Times New Roman" w:hAnsi="Times New Roman"/>
          <w:sz w:val="24"/>
          <w:szCs w:val="22"/>
        </w:rPr>
        <w:t xml:space="preserve">La identificación de riesgos ambientales y sociales relacionados con la implementación de las opciones estratégicas REDD+, se llevó a cabo con un amplio proceso de consulta y participación desarrollado en el marco de la Evaluación Estratégica Ambiental y Social (SESA). El cual implicó la realización de 8 talleres regionales, un taller nacional, reuniones técnicas con la UTG del proyecto REDD+, talleres con el Comité de Salvaguarda con la finalidad de socializar y validar los resultados de la SESA, y utilizar los mismos para generar los análisis presentados en esta sección. </w:t>
      </w:r>
    </w:p>
    <w:p w14:paraId="776EFC86" w14:textId="28D0D4D4" w:rsidR="00D405C8" w:rsidRPr="009A27ED" w:rsidRDefault="00947670" w:rsidP="005B6485">
      <w:pPr>
        <w:spacing w:before="120" w:after="0" w:line="360" w:lineRule="auto"/>
        <w:rPr>
          <w:color w:val="000000" w:themeColor="text1"/>
          <w:szCs w:val="22"/>
        </w:rPr>
      </w:pPr>
      <w:r w:rsidRPr="009A27ED">
        <w:rPr>
          <w:rFonts w:ascii="Times New Roman" w:eastAsia="Times New Roman" w:hAnsi="Times New Roman"/>
          <w:color w:val="000000" w:themeColor="text1"/>
          <w:sz w:val="24"/>
          <w:szCs w:val="22"/>
        </w:rPr>
        <w:t xml:space="preserve">El proceso de análisis inició con una identificación preliminar de escritorio de potenciales impactos, el cual sirvió para la preparación de los talleres SESA, dónde </w:t>
      </w:r>
      <w:r w:rsidR="001412DC" w:rsidRPr="009A27ED">
        <w:rPr>
          <w:rFonts w:ascii="Times New Roman" w:eastAsia="Times New Roman" w:hAnsi="Times New Roman"/>
          <w:color w:val="000000" w:themeColor="text1"/>
          <w:sz w:val="24"/>
          <w:szCs w:val="22"/>
        </w:rPr>
        <w:t xml:space="preserve">se </w:t>
      </w:r>
      <w:r w:rsidRPr="009A27ED">
        <w:rPr>
          <w:rFonts w:ascii="Times New Roman" w:eastAsia="Times New Roman" w:hAnsi="Times New Roman"/>
          <w:color w:val="000000" w:themeColor="text1"/>
          <w:sz w:val="24"/>
          <w:szCs w:val="22"/>
        </w:rPr>
        <w:t xml:space="preserve">capacitó a los participantes de cada región sobre el programa REED+ y los procesos asociados (SESA, MGAS, SIS, </w:t>
      </w:r>
      <w:r w:rsidR="00EB5A4F" w:rsidRPr="009A27ED">
        <w:rPr>
          <w:rFonts w:ascii="Times New Roman" w:eastAsia="Times New Roman" w:hAnsi="Times New Roman"/>
          <w:color w:val="000000" w:themeColor="text1"/>
          <w:sz w:val="24"/>
          <w:szCs w:val="22"/>
        </w:rPr>
        <w:t>MQRC</w:t>
      </w:r>
      <w:r w:rsidRPr="009A27ED">
        <w:rPr>
          <w:rFonts w:ascii="Times New Roman" w:eastAsia="Times New Roman" w:hAnsi="Times New Roman"/>
          <w:color w:val="000000" w:themeColor="text1"/>
          <w:sz w:val="24"/>
          <w:szCs w:val="22"/>
        </w:rPr>
        <w:t xml:space="preserve">) </w:t>
      </w:r>
      <w:r w:rsidR="002C3621" w:rsidRPr="009A27ED">
        <w:rPr>
          <w:rFonts w:ascii="Times New Roman" w:eastAsia="Times New Roman" w:hAnsi="Times New Roman"/>
          <w:color w:val="000000" w:themeColor="text1"/>
          <w:sz w:val="24"/>
          <w:szCs w:val="22"/>
        </w:rPr>
        <w:t>solicitando</w:t>
      </w:r>
      <w:r w:rsidRPr="009A27ED">
        <w:rPr>
          <w:rFonts w:ascii="Times New Roman" w:eastAsia="Times New Roman" w:hAnsi="Times New Roman"/>
          <w:color w:val="000000" w:themeColor="text1"/>
          <w:sz w:val="24"/>
          <w:szCs w:val="22"/>
        </w:rPr>
        <w:t xml:space="preserve"> entonces en cada región a los actores relevantes que identificaran potenciales impactos que en su opinión/experiencia podrían surgir de la implementación de las opciones REDD+ propuestas. </w:t>
      </w:r>
    </w:p>
    <w:p w14:paraId="0FC51E62" w14:textId="77DA96FD" w:rsidR="00947670" w:rsidRPr="009A27ED" w:rsidRDefault="002C3621" w:rsidP="005B6485">
      <w:pPr>
        <w:spacing w:before="120" w:after="0" w:line="360" w:lineRule="auto"/>
        <w:rPr>
          <w:color w:val="000000" w:themeColor="text1"/>
          <w:szCs w:val="22"/>
        </w:rPr>
      </w:pPr>
      <w:r w:rsidRPr="009A27ED">
        <w:rPr>
          <w:rFonts w:ascii="Times New Roman" w:eastAsia="Times New Roman" w:hAnsi="Times New Roman"/>
          <w:color w:val="000000" w:themeColor="text1"/>
          <w:sz w:val="24"/>
          <w:szCs w:val="22"/>
        </w:rPr>
        <w:t>Se</w:t>
      </w:r>
      <w:r w:rsidR="00947670" w:rsidRPr="009A27ED">
        <w:rPr>
          <w:rFonts w:ascii="Times New Roman" w:eastAsia="Times New Roman" w:hAnsi="Times New Roman"/>
          <w:color w:val="000000" w:themeColor="text1"/>
          <w:sz w:val="24"/>
          <w:szCs w:val="22"/>
        </w:rPr>
        <w:t xml:space="preserve"> procedió analizar y compilar las matrices de los 8 talleres regionales, integrando verticalmente la información para brindar una representación nacional de los principales </w:t>
      </w:r>
      <w:r w:rsidR="00947670" w:rsidRPr="009A27ED">
        <w:rPr>
          <w:rFonts w:ascii="Times New Roman" w:eastAsia="Times New Roman" w:hAnsi="Times New Roman"/>
          <w:color w:val="000000" w:themeColor="text1"/>
          <w:sz w:val="24"/>
          <w:szCs w:val="22"/>
        </w:rPr>
        <w:lastRenderedPageBreak/>
        <w:t xml:space="preserve">impactos potenciales identificados a través de las consultas SESA regionales. Conviene anotar que los impactos negativos y positivos seleccionados son aquellos que son comunes a todas las regiones (identificados y priorizados en todos los talleres), y </w:t>
      </w:r>
      <w:r w:rsidRPr="009A27ED">
        <w:rPr>
          <w:rFonts w:ascii="Times New Roman" w:eastAsia="Times New Roman" w:hAnsi="Times New Roman"/>
          <w:color w:val="000000" w:themeColor="text1"/>
          <w:sz w:val="24"/>
          <w:szCs w:val="22"/>
        </w:rPr>
        <w:t xml:space="preserve">se realizó un proceso para esclarecer, especificar y complementarlos con </w:t>
      </w:r>
      <w:r w:rsidR="00947670" w:rsidRPr="009A27ED">
        <w:rPr>
          <w:rFonts w:ascii="Times New Roman" w:eastAsia="Times New Roman" w:hAnsi="Times New Roman"/>
          <w:color w:val="000000" w:themeColor="text1"/>
          <w:sz w:val="24"/>
          <w:szCs w:val="22"/>
        </w:rPr>
        <w:t xml:space="preserve">los estudios pertinentes </w:t>
      </w:r>
      <w:r w:rsidRPr="009A27ED">
        <w:rPr>
          <w:rFonts w:ascii="Times New Roman" w:eastAsia="Times New Roman" w:hAnsi="Times New Roman"/>
          <w:color w:val="000000" w:themeColor="text1"/>
          <w:sz w:val="24"/>
          <w:szCs w:val="22"/>
        </w:rPr>
        <w:t xml:space="preserve">junto a </w:t>
      </w:r>
      <w:r w:rsidR="00947670" w:rsidRPr="009A27ED">
        <w:rPr>
          <w:rFonts w:ascii="Times New Roman" w:eastAsia="Times New Roman" w:hAnsi="Times New Roman"/>
          <w:color w:val="000000" w:themeColor="text1"/>
          <w:sz w:val="24"/>
          <w:szCs w:val="22"/>
        </w:rPr>
        <w:t xml:space="preserve">un análisis preliminar de escritorio. Estos, a su vez, fueron retroalimentados y validados por los participantes del Taller Nacional SESA. </w:t>
      </w:r>
      <w:r w:rsidR="00947670" w:rsidRPr="009A27ED">
        <w:rPr>
          <w:rFonts w:ascii="Times New Roman" w:eastAsia="Times New Roman" w:hAnsi="Times New Roman"/>
          <w:sz w:val="24"/>
          <w:szCs w:val="22"/>
        </w:rPr>
        <w:t xml:space="preserve">Para detalles del proceso SESA, ver el reporte y reporte de sistematización de los talleres correspondientes. </w:t>
      </w:r>
    </w:p>
    <w:p w14:paraId="182B4BA1" w14:textId="39F0DAF3" w:rsidR="00947670" w:rsidRPr="009A27ED" w:rsidRDefault="002C3621" w:rsidP="005B6485">
      <w:pPr>
        <w:spacing w:before="120" w:after="0" w:line="360" w:lineRule="auto"/>
        <w:rPr>
          <w:szCs w:val="22"/>
        </w:rPr>
      </w:pPr>
      <w:r w:rsidRPr="009A27ED">
        <w:rPr>
          <w:rFonts w:ascii="Times New Roman" w:eastAsia="Times New Roman" w:hAnsi="Times New Roman"/>
          <w:color w:val="000000" w:themeColor="text1"/>
          <w:sz w:val="24"/>
          <w:szCs w:val="22"/>
        </w:rPr>
        <w:t>También se</w:t>
      </w:r>
      <w:r w:rsidR="00947670" w:rsidRPr="009A27ED">
        <w:rPr>
          <w:rFonts w:ascii="Times New Roman" w:eastAsia="Times New Roman" w:hAnsi="Times New Roman"/>
          <w:color w:val="000000" w:themeColor="text1"/>
          <w:sz w:val="24"/>
          <w:szCs w:val="22"/>
        </w:rPr>
        <w:t xml:space="preserve"> realizó un análisis técnico de posibles riesgos e impactos sociales y ambientales de la implementación de las </w:t>
      </w:r>
      <w:r w:rsidR="00947670" w:rsidRPr="009A27ED">
        <w:rPr>
          <w:rFonts w:ascii="Times New Roman" w:eastAsia="Times New Roman" w:hAnsi="Times New Roman"/>
          <w:i/>
          <w:sz w:val="24"/>
          <w:szCs w:val="22"/>
        </w:rPr>
        <w:t>opciones y acciones estratégicas</w:t>
      </w:r>
      <w:r w:rsidR="00947670" w:rsidRPr="009A27ED">
        <w:rPr>
          <w:rFonts w:ascii="Times New Roman" w:eastAsia="Times New Roman" w:hAnsi="Times New Roman"/>
          <w:sz w:val="24"/>
          <w:szCs w:val="22"/>
        </w:rPr>
        <w:t xml:space="preserve">, indicando qué política operacional y cuáles salvaguardas se activan ante la ocurrencia de dichos impactos y riesgos. Para el análisis se consideraron los resultados de los talleres regionales y nacional SESA. Con este insumo, </w:t>
      </w:r>
      <w:r w:rsidRPr="009A27ED">
        <w:rPr>
          <w:rFonts w:ascii="Times New Roman" w:eastAsia="Times New Roman" w:hAnsi="Times New Roman"/>
          <w:sz w:val="24"/>
          <w:szCs w:val="22"/>
        </w:rPr>
        <w:t>se</w:t>
      </w:r>
      <w:r w:rsidR="00947670" w:rsidRPr="009A27ED">
        <w:rPr>
          <w:rFonts w:ascii="Times New Roman" w:eastAsia="Times New Roman" w:hAnsi="Times New Roman"/>
          <w:sz w:val="24"/>
          <w:szCs w:val="22"/>
        </w:rPr>
        <w:t xml:space="preserve"> elaboró, a través de discusiones técnicas entre expertos del área forestal, ambiental, legal y </w:t>
      </w:r>
      <w:r w:rsidRPr="009A27ED">
        <w:rPr>
          <w:rFonts w:ascii="Times New Roman" w:eastAsia="Times New Roman" w:hAnsi="Times New Roman"/>
          <w:sz w:val="24"/>
          <w:szCs w:val="22"/>
        </w:rPr>
        <w:t>social, los</w:t>
      </w:r>
      <w:r w:rsidR="00947670" w:rsidRPr="009A27ED">
        <w:rPr>
          <w:rFonts w:ascii="Times New Roman" w:eastAsia="Times New Roman" w:hAnsi="Times New Roman"/>
          <w:sz w:val="24"/>
          <w:szCs w:val="22"/>
        </w:rPr>
        <w:t xml:space="preserve"> posibles riesgos e impactos ambientales y sociales (</w:t>
      </w:r>
      <w:r w:rsidR="00C364E7" w:rsidRPr="009A27ED">
        <w:rPr>
          <w:rFonts w:ascii="Times New Roman" w:eastAsia="Times New Roman" w:hAnsi="Times New Roman"/>
          <w:color w:val="000000" w:themeColor="text1"/>
          <w:sz w:val="24"/>
          <w:szCs w:val="22"/>
        </w:rPr>
        <w:t>Ver cuadro 19</w:t>
      </w:r>
      <w:r w:rsidR="00947670" w:rsidRPr="009A27ED">
        <w:rPr>
          <w:rFonts w:ascii="Times New Roman" w:eastAsia="Times New Roman" w:hAnsi="Times New Roman"/>
          <w:sz w:val="24"/>
          <w:szCs w:val="22"/>
        </w:rPr>
        <w:t xml:space="preserve"> Análisis ambiental y social técnico participativo de los riesgos e impactos de las acciones estratégicas junto con la identificación de las salvaguardas asociadas)</w:t>
      </w:r>
      <w:r w:rsidR="001412DC" w:rsidRPr="009A27ED">
        <w:rPr>
          <w:rFonts w:ascii="Times New Roman" w:eastAsia="Times New Roman" w:hAnsi="Times New Roman"/>
          <w:sz w:val="24"/>
          <w:szCs w:val="22"/>
        </w:rPr>
        <w:t>.</w:t>
      </w:r>
    </w:p>
    <w:p w14:paraId="5001118A" w14:textId="73E131FD" w:rsidR="00947670" w:rsidRPr="009A27ED" w:rsidRDefault="00947670" w:rsidP="005B6485">
      <w:pPr>
        <w:spacing w:before="120" w:after="0" w:line="360" w:lineRule="auto"/>
        <w:rPr>
          <w:szCs w:val="22"/>
          <w:lang w:eastAsia="es-ES"/>
        </w:rPr>
      </w:pPr>
      <w:r w:rsidRPr="009A27ED">
        <w:rPr>
          <w:rFonts w:ascii="Times New Roman" w:eastAsia="Times New Roman" w:hAnsi="Times New Roman"/>
          <w:sz w:val="24"/>
          <w:szCs w:val="22"/>
          <w:lang w:eastAsia="es-ES"/>
        </w:rPr>
        <w:t>Finalmente, se procedió al análisis de los posibles riesgos e impactos sociales y ambientales de</w:t>
      </w:r>
      <w:r w:rsidR="00CC045D" w:rsidRPr="009A27ED">
        <w:rPr>
          <w:rFonts w:ascii="Times New Roman" w:eastAsia="Times New Roman" w:hAnsi="Times New Roman"/>
          <w:sz w:val="24"/>
          <w:szCs w:val="22"/>
          <w:lang w:eastAsia="es-ES"/>
        </w:rPr>
        <w:t xml:space="preserve"> </w:t>
      </w:r>
      <w:r w:rsidRPr="009A27ED">
        <w:rPr>
          <w:rFonts w:ascii="Times New Roman" w:eastAsia="Times New Roman" w:hAnsi="Times New Roman"/>
          <w:sz w:val="24"/>
          <w:szCs w:val="22"/>
          <w:lang w:eastAsia="es-ES"/>
        </w:rPr>
        <w:t>l</w:t>
      </w:r>
      <w:r w:rsidR="00CC045D" w:rsidRPr="009A27ED">
        <w:rPr>
          <w:rFonts w:ascii="Times New Roman" w:eastAsia="Times New Roman" w:hAnsi="Times New Roman"/>
          <w:sz w:val="24"/>
          <w:szCs w:val="22"/>
          <w:lang w:eastAsia="es-ES"/>
        </w:rPr>
        <w:t xml:space="preserve">as </w:t>
      </w:r>
      <w:r w:rsidR="00CC045D" w:rsidRPr="009A27ED">
        <w:rPr>
          <w:rFonts w:ascii="Times New Roman" w:eastAsia="Times New Roman" w:hAnsi="Times New Roman"/>
          <w:i/>
          <w:sz w:val="24"/>
          <w:szCs w:val="22"/>
          <w:lang w:eastAsia="es-ES"/>
        </w:rPr>
        <w:t>actividades tipo</w:t>
      </w:r>
      <w:r w:rsidR="00CC045D" w:rsidRPr="009A27ED">
        <w:rPr>
          <w:rFonts w:ascii="Times New Roman" w:eastAsia="Times New Roman" w:hAnsi="Times New Roman"/>
          <w:sz w:val="24"/>
          <w:szCs w:val="22"/>
          <w:lang w:eastAsia="es-ES"/>
        </w:rPr>
        <w:t xml:space="preserve"> </w:t>
      </w:r>
      <w:r w:rsidRPr="009A27ED">
        <w:rPr>
          <w:rFonts w:ascii="Times New Roman" w:eastAsia="Times New Roman" w:hAnsi="Times New Roman"/>
          <w:i/>
          <w:sz w:val="24"/>
          <w:szCs w:val="22"/>
          <w:lang w:eastAsia="es-ES"/>
        </w:rPr>
        <w:t>REDD</w:t>
      </w:r>
      <w:r w:rsidRPr="009A27ED">
        <w:rPr>
          <w:rFonts w:ascii="Times New Roman" w:eastAsia="Times New Roman" w:hAnsi="Times New Roman"/>
          <w:sz w:val="24"/>
          <w:szCs w:val="22"/>
          <w:lang w:eastAsia="es-ES"/>
        </w:rPr>
        <w:t xml:space="preserve">+ que implementarían los programas y proyectos nacionales elegibles para REDD+. A fin de generar esta información, se consideraron las directrices de tres documentos elaborados por la Unidad Técnica de Gestión; el primero, </w:t>
      </w:r>
      <w:r w:rsidRPr="009A27ED">
        <w:rPr>
          <w:rFonts w:ascii="Times New Roman" w:eastAsia="Times New Roman" w:hAnsi="Times New Roman"/>
          <w:i/>
          <w:sz w:val="24"/>
          <w:szCs w:val="22"/>
          <w:lang w:eastAsia="es-ES"/>
        </w:rPr>
        <w:t>la descripción de los tipos de acciones vinculadas a las acciones estratégicas directas</w:t>
      </w:r>
      <w:r w:rsidR="002C3621" w:rsidRPr="009A27ED">
        <w:rPr>
          <w:rFonts w:ascii="Times New Roman" w:eastAsia="Times New Roman" w:hAnsi="Times New Roman"/>
          <w:i/>
          <w:sz w:val="24"/>
          <w:szCs w:val="22"/>
          <w:lang w:eastAsia="es-ES"/>
        </w:rPr>
        <w:t>,</w:t>
      </w:r>
      <w:r w:rsidRPr="009A27ED">
        <w:rPr>
          <w:rFonts w:ascii="Times New Roman" w:eastAsia="Times New Roman" w:hAnsi="Times New Roman"/>
          <w:sz w:val="24"/>
          <w:szCs w:val="22"/>
          <w:lang w:eastAsia="es-ES"/>
        </w:rPr>
        <w:t xml:space="preserve"> el segundo, </w:t>
      </w:r>
      <w:r w:rsidRPr="009A27ED">
        <w:rPr>
          <w:rFonts w:ascii="Times New Roman" w:eastAsia="Times New Roman" w:hAnsi="Times New Roman"/>
          <w:i/>
          <w:sz w:val="24"/>
          <w:szCs w:val="22"/>
          <w:lang w:eastAsia="es-ES"/>
        </w:rPr>
        <w:t>fichas para recopilar la información sobre la implementación de salvaguarda</w:t>
      </w:r>
      <w:r w:rsidRPr="009A27ED">
        <w:rPr>
          <w:rFonts w:ascii="Times New Roman" w:eastAsia="Times New Roman" w:hAnsi="Times New Roman"/>
          <w:sz w:val="24"/>
          <w:szCs w:val="22"/>
          <w:lang w:eastAsia="es-ES"/>
        </w:rPr>
        <w:t xml:space="preserve"> y, el tercero, </w:t>
      </w:r>
      <w:r w:rsidRPr="009A27ED">
        <w:rPr>
          <w:rFonts w:ascii="Times New Roman" w:eastAsia="Times New Roman" w:hAnsi="Times New Roman"/>
          <w:i/>
          <w:sz w:val="24"/>
          <w:szCs w:val="22"/>
          <w:lang w:eastAsia="es-ES"/>
        </w:rPr>
        <w:t xml:space="preserve">la interpretación de las salvaguardas REDD+ de la Convención Marco de Naciones Unidas para el Cambio Climático (CMNUCC) al contexto local basando este análisis en los resultados del marco legal relevante a cada </w:t>
      </w:r>
      <w:r w:rsidR="002C3621" w:rsidRPr="009A27ED">
        <w:rPr>
          <w:rFonts w:ascii="Times New Roman" w:eastAsia="Times New Roman" w:hAnsi="Times New Roman"/>
          <w:i/>
          <w:sz w:val="24"/>
          <w:szCs w:val="22"/>
          <w:lang w:eastAsia="es-ES"/>
        </w:rPr>
        <w:t>salvaguarda</w:t>
      </w:r>
      <w:r w:rsidRPr="009A27ED">
        <w:rPr>
          <w:rFonts w:ascii="Times New Roman" w:eastAsia="Times New Roman" w:hAnsi="Times New Roman"/>
          <w:sz w:val="24"/>
          <w:szCs w:val="22"/>
          <w:lang w:eastAsia="es-ES"/>
        </w:rPr>
        <w:t xml:space="preserve"> . A partir de esta información se procedió a vincular los posibles riesgos e impactos ambientales y sociales, con las medidas de mitigación asociada al tipo de actividad de los proyectos y programas elegibles para REDD+.</w:t>
      </w:r>
    </w:p>
    <w:p w14:paraId="2DEB0ACB" w14:textId="77777777" w:rsidR="00DE51E9" w:rsidRPr="009A27ED" w:rsidRDefault="00DE51E9" w:rsidP="005B6485">
      <w:pPr>
        <w:spacing w:before="120" w:after="0" w:line="360" w:lineRule="auto"/>
        <w:rPr>
          <w:szCs w:val="22"/>
          <w:lang w:eastAsia="es-ES"/>
        </w:rPr>
      </w:pPr>
    </w:p>
    <w:p w14:paraId="0E4ED420" w14:textId="77777777" w:rsidR="00DE51E9" w:rsidRPr="009A27ED" w:rsidRDefault="00DE51E9" w:rsidP="005B6485">
      <w:pPr>
        <w:spacing w:before="120" w:after="0" w:line="360" w:lineRule="auto"/>
        <w:rPr>
          <w:szCs w:val="22"/>
          <w:lang w:eastAsia="es-ES"/>
        </w:rPr>
        <w:sectPr w:rsidR="00DE51E9" w:rsidRPr="009A27ED" w:rsidSect="00BC6D88">
          <w:pgSz w:w="17035" w:h="15840"/>
          <w:pgMar w:top="1418" w:right="6496" w:bottom="1418" w:left="1701" w:header="567" w:footer="709" w:gutter="0"/>
          <w:cols w:space="720"/>
          <w:docGrid w:linePitch="326"/>
        </w:sectPr>
      </w:pPr>
    </w:p>
    <w:p w14:paraId="671F4F6E" w14:textId="77777777" w:rsidR="00947670" w:rsidRPr="009A27ED" w:rsidRDefault="00947670" w:rsidP="00947670">
      <w:pPr>
        <w:autoSpaceDE w:val="0"/>
        <w:autoSpaceDN w:val="0"/>
        <w:adjustRightInd w:val="0"/>
        <w:spacing w:after="0" w:line="360" w:lineRule="auto"/>
        <w:rPr>
          <w:szCs w:val="22"/>
        </w:rPr>
      </w:pPr>
    </w:p>
    <w:p w14:paraId="6D5BF387" w14:textId="431E1AAD" w:rsidR="0007781E" w:rsidRPr="009A27ED" w:rsidRDefault="0007781E" w:rsidP="0007781E">
      <w:pPr>
        <w:pStyle w:val="Descripcin"/>
        <w:keepNext/>
        <w:spacing w:line="360" w:lineRule="auto"/>
      </w:pPr>
      <w:bookmarkStart w:id="231" w:name="_Toc111887450"/>
      <w:bookmarkStart w:id="232" w:name="_Toc532335865"/>
      <w:r w:rsidRPr="009A27ED">
        <w:rPr>
          <w:rFonts w:ascii="Times New Roman" w:eastAsia="Times New Roman" w:hAnsi="Times New Roman"/>
          <w:sz w:val="24"/>
        </w:rPr>
        <w:t xml:space="preserve">Cuadro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Cuadro \* ARABIC </w:instrText>
      </w:r>
      <w:r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40</w:t>
      </w:r>
      <w:r w:rsidRPr="009A27ED">
        <w:rPr>
          <w:rFonts w:ascii="Times New Roman" w:eastAsia="Times New Roman" w:hAnsi="Times New Roman"/>
          <w:sz w:val="24"/>
        </w:rPr>
        <w:fldChar w:fldCharType="end"/>
      </w:r>
      <w:r w:rsidRPr="009A27ED">
        <w:rPr>
          <w:rFonts w:ascii="Times New Roman" w:eastAsia="Times New Roman" w:hAnsi="Times New Roman"/>
          <w:sz w:val="24"/>
        </w:rPr>
        <w:t>. Evaluación ambiental y social de las acciones estratégicas</w:t>
      </w:r>
      <w:bookmarkEnd w:id="231"/>
    </w:p>
    <w:tbl>
      <w:tblPr>
        <w:tblStyle w:val="Tablaconcuadrcula"/>
        <w:tblW w:w="22675" w:type="dxa"/>
        <w:tblLayout w:type="fixed"/>
        <w:tblLook w:val="04A0" w:firstRow="1" w:lastRow="0" w:firstColumn="1" w:lastColumn="0" w:noHBand="0" w:noVBand="1"/>
      </w:tblPr>
      <w:tblGrid>
        <w:gridCol w:w="1437"/>
        <w:gridCol w:w="2011"/>
        <w:gridCol w:w="1792"/>
        <w:gridCol w:w="992"/>
        <w:gridCol w:w="3402"/>
        <w:gridCol w:w="3544"/>
        <w:gridCol w:w="3686"/>
        <w:gridCol w:w="3827"/>
        <w:gridCol w:w="1984"/>
      </w:tblGrid>
      <w:tr w:rsidR="00BA1C29" w:rsidRPr="009A27ED" w14:paraId="57B9878F" w14:textId="77777777" w:rsidTr="00E2722A">
        <w:trPr>
          <w:tblHeader/>
        </w:trPr>
        <w:tc>
          <w:tcPr>
            <w:tcW w:w="143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2E74B5" w:themeFill="accent1" w:themeFillShade="BF"/>
            <w:vAlign w:val="center"/>
            <w:hideMark/>
          </w:tcPr>
          <w:p w14:paraId="4E6C7CDB" w14:textId="77777777" w:rsidR="00BA1C29" w:rsidRPr="009A27ED" w:rsidRDefault="00BA1C29">
            <w:pPr>
              <w:jc w:val="center"/>
              <w:rPr>
                <w:b/>
                <w:color w:val="FFFFFF" w:themeColor="background1"/>
                <w:sz w:val="20"/>
                <w:szCs w:val="20"/>
                <w:lang w:val="es-DO"/>
              </w:rPr>
            </w:pPr>
            <w:r w:rsidRPr="009A27ED">
              <w:rPr>
                <w:b/>
                <w:color w:val="FFFFFF" w:themeColor="background1"/>
                <w:sz w:val="20"/>
                <w:szCs w:val="20"/>
                <w:lang w:val="es-DO"/>
              </w:rPr>
              <w:t>Opciones Estratégicas</w:t>
            </w: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2E74B5" w:themeFill="accent1" w:themeFillShade="BF"/>
            <w:vAlign w:val="center"/>
            <w:hideMark/>
          </w:tcPr>
          <w:p w14:paraId="32FEC629" w14:textId="77777777" w:rsidR="00BA1C29" w:rsidRPr="009A27ED" w:rsidRDefault="00BA1C29">
            <w:pPr>
              <w:jc w:val="center"/>
              <w:rPr>
                <w:b/>
                <w:color w:val="FFFFFF" w:themeColor="background1"/>
                <w:sz w:val="20"/>
                <w:szCs w:val="20"/>
                <w:lang w:val="es-DO"/>
              </w:rPr>
            </w:pPr>
            <w:r w:rsidRPr="009A27ED">
              <w:rPr>
                <w:b/>
                <w:color w:val="FFFFFF" w:themeColor="background1"/>
                <w:sz w:val="20"/>
                <w:szCs w:val="20"/>
                <w:lang w:val="es-DO"/>
              </w:rPr>
              <w:t>Acciones Estrategia REDD+</w:t>
            </w:r>
          </w:p>
        </w:tc>
        <w:tc>
          <w:tcPr>
            <w:tcW w:w="179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2E74B5" w:themeFill="accent1" w:themeFillShade="BF"/>
            <w:vAlign w:val="center"/>
            <w:hideMark/>
          </w:tcPr>
          <w:p w14:paraId="7304DC3F" w14:textId="77777777" w:rsidR="00BA1C29" w:rsidRPr="009A27ED" w:rsidRDefault="00BA1C29">
            <w:pPr>
              <w:jc w:val="center"/>
              <w:rPr>
                <w:b/>
                <w:color w:val="FFFFFF" w:themeColor="background1"/>
                <w:sz w:val="20"/>
                <w:szCs w:val="20"/>
                <w:lang w:val="es-DO"/>
              </w:rPr>
            </w:pPr>
            <w:r w:rsidRPr="009A27ED">
              <w:rPr>
                <w:b/>
                <w:color w:val="FFFFFF" w:themeColor="background1"/>
                <w:sz w:val="20"/>
                <w:szCs w:val="20"/>
                <w:lang w:val="es-DO"/>
              </w:rPr>
              <w:t>Alcance</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2E74B5" w:themeFill="accent1" w:themeFillShade="BF"/>
            <w:vAlign w:val="center"/>
            <w:hideMark/>
          </w:tcPr>
          <w:p w14:paraId="1C82566C" w14:textId="77777777" w:rsidR="00BA1C29" w:rsidRPr="009A27ED" w:rsidRDefault="00BA1C29">
            <w:pPr>
              <w:jc w:val="center"/>
              <w:rPr>
                <w:b/>
                <w:color w:val="FFFFFF" w:themeColor="background1"/>
                <w:sz w:val="20"/>
                <w:szCs w:val="20"/>
                <w:lang w:val="es-DO"/>
              </w:rPr>
            </w:pPr>
            <w:r w:rsidRPr="009A27ED">
              <w:rPr>
                <w:b/>
                <w:color w:val="FFFFFF" w:themeColor="background1"/>
                <w:sz w:val="20"/>
                <w:szCs w:val="20"/>
                <w:lang w:val="es-DO"/>
              </w:rPr>
              <w:t>Ámbito</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2E74B5" w:themeFill="accent1" w:themeFillShade="BF"/>
            <w:vAlign w:val="center"/>
            <w:hideMark/>
          </w:tcPr>
          <w:p w14:paraId="4F3A38B0" w14:textId="32819B3F" w:rsidR="00BA1C29" w:rsidRPr="009A27ED" w:rsidRDefault="00BA1C29">
            <w:pPr>
              <w:jc w:val="center"/>
              <w:rPr>
                <w:b/>
                <w:color w:val="FFFFFF" w:themeColor="background1"/>
                <w:sz w:val="20"/>
                <w:szCs w:val="20"/>
                <w:lang w:val="es-DO"/>
              </w:rPr>
            </w:pPr>
            <w:r w:rsidRPr="009A27ED">
              <w:rPr>
                <w:b/>
                <w:color w:val="FFFFFF" w:themeColor="background1"/>
                <w:sz w:val="20"/>
                <w:szCs w:val="20"/>
              </w:rPr>
              <w:t>Po</w:t>
            </w:r>
            <w:r w:rsidR="00EF0BCB" w:rsidRPr="009A27ED">
              <w:rPr>
                <w:b/>
                <w:color w:val="FFFFFF" w:themeColor="background1"/>
                <w:sz w:val="20"/>
                <w:szCs w:val="20"/>
              </w:rPr>
              <w:t>tenciales</w:t>
            </w:r>
            <w:r w:rsidRPr="009A27ED">
              <w:rPr>
                <w:b/>
                <w:color w:val="FFFFFF" w:themeColor="background1"/>
                <w:sz w:val="20"/>
                <w:szCs w:val="20"/>
              </w:rPr>
              <w:t xml:space="preserve"> </w:t>
            </w:r>
            <w:r w:rsidR="00AC7C76" w:rsidRPr="009A27ED">
              <w:rPr>
                <w:b/>
                <w:color w:val="FFFFFF" w:themeColor="background1"/>
                <w:sz w:val="20"/>
                <w:szCs w:val="20"/>
              </w:rPr>
              <w:t>riesgos ambientales</w:t>
            </w:r>
            <w:r w:rsidRPr="009A27ED">
              <w:rPr>
                <w:b/>
                <w:color w:val="FFFFFF" w:themeColor="background1"/>
                <w:sz w:val="20"/>
                <w:szCs w:val="20"/>
              </w:rPr>
              <w:t xml:space="preserve"> y sociales de las acciones estratégicas</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2E74B5" w:themeFill="accent1" w:themeFillShade="BF"/>
            <w:vAlign w:val="center"/>
            <w:hideMark/>
          </w:tcPr>
          <w:p w14:paraId="079D8E69" w14:textId="77777777" w:rsidR="00BA1C29" w:rsidRPr="009A27ED" w:rsidRDefault="00BA1C29">
            <w:pPr>
              <w:jc w:val="center"/>
              <w:rPr>
                <w:b/>
                <w:color w:val="FFFFFF" w:themeColor="background1"/>
                <w:sz w:val="20"/>
                <w:szCs w:val="20"/>
              </w:rPr>
            </w:pPr>
            <w:proofErr w:type="gramStart"/>
            <w:r w:rsidRPr="009A27ED">
              <w:rPr>
                <w:b/>
                <w:color w:val="FFFFFF" w:themeColor="background1"/>
                <w:sz w:val="20"/>
                <w:szCs w:val="20"/>
                <w:lang w:val="es-DO"/>
              </w:rPr>
              <w:t>Acciones a implementar</w:t>
            </w:r>
            <w:proofErr w:type="gramEnd"/>
            <w:r w:rsidRPr="009A27ED">
              <w:rPr>
                <w:b/>
                <w:color w:val="FFFFFF" w:themeColor="background1"/>
                <w:sz w:val="20"/>
                <w:szCs w:val="20"/>
                <w:lang w:val="es-DO"/>
              </w:rPr>
              <w:t xml:space="preserve"> en las áreas priorizadas</w:t>
            </w:r>
            <w:r w:rsidRPr="009A27ED">
              <w:rPr>
                <w:b/>
                <w:color w:val="FFFFFF" w:themeColor="background1"/>
                <w:sz w:val="20"/>
                <w:szCs w:val="20"/>
              </w:rPr>
              <w:t xml:space="preserve"> sugeridas en el SESA</w:t>
            </w:r>
          </w:p>
        </w:tc>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2E74B5" w:themeFill="accent1" w:themeFillShade="BF"/>
            <w:hideMark/>
          </w:tcPr>
          <w:p w14:paraId="426CF6C9" w14:textId="77777777" w:rsidR="00BA1C29" w:rsidRPr="009A27ED" w:rsidRDefault="00BA1C29">
            <w:pPr>
              <w:jc w:val="center"/>
              <w:rPr>
                <w:b/>
                <w:color w:val="FFFFFF" w:themeColor="background1"/>
                <w:sz w:val="20"/>
                <w:szCs w:val="20"/>
              </w:rPr>
            </w:pPr>
            <w:proofErr w:type="gramStart"/>
            <w:r w:rsidRPr="009A27ED">
              <w:rPr>
                <w:b/>
                <w:color w:val="FFFFFF" w:themeColor="background1"/>
                <w:sz w:val="20"/>
                <w:szCs w:val="20"/>
              </w:rPr>
              <w:t>Acciones concretas a implementar</w:t>
            </w:r>
            <w:proofErr w:type="gramEnd"/>
            <w:r w:rsidRPr="009A27ED">
              <w:rPr>
                <w:b/>
                <w:color w:val="FFFFFF" w:themeColor="background1"/>
                <w:sz w:val="20"/>
                <w:szCs w:val="20"/>
              </w:rPr>
              <w:t xml:space="preserve"> en el programa REDD+</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2E74B5" w:themeFill="accent1" w:themeFillShade="BF"/>
            <w:vAlign w:val="center"/>
            <w:hideMark/>
          </w:tcPr>
          <w:p w14:paraId="6944500A" w14:textId="77777777" w:rsidR="00BA1C29" w:rsidRPr="009A27ED" w:rsidRDefault="00BA1C29">
            <w:pPr>
              <w:jc w:val="center"/>
              <w:rPr>
                <w:b/>
                <w:color w:val="FFFFFF" w:themeColor="background1"/>
                <w:sz w:val="20"/>
                <w:szCs w:val="20"/>
                <w:lang w:val="es-GT"/>
              </w:rPr>
            </w:pPr>
            <w:r w:rsidRPr="009A27ED">
              <w:rPr>
                <w:b/>
                <w:color w:val="FFFFFF" w:themeColor="background1"/>
                <w:sz w:val="20"/>
                <w:szCs w:val="20"/>
                <w:lang w:val="es-DO"/>
              </w:rPr>
              <w:t>Medidas de gestión ambiental y social</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2E74B5" w:themeFill="accent1" w:themeFillShade="BF"/>
            <w:hideMark/>
          </w:tcPr>
          <w:p w14:paraId="7CBF735C" w14:textId="77777777" w:rsidR="00BA1C29" w:rsidRPr="009A27ED" w:rsidRDefault="00BA1C29">
            <w:pPr>
              <w:jc w:val="center"/>
              <w:rPr>
                <w:b/>
                <w:color w:val="FFFFFF" w:themeColor="background1"/>
                <w:sz w:val="20"/>
                <w:szCs w:val="20"/>
              </w:rPr>
            </w:pPr>
            <w:r w:rsidRPr="009A27ED">
              <w:rPr>
                <w:b/>
                <w:color w:val="FFFFFF" w:themeColor="background1"/>
                <w:sz w:val="20"/>
                <w:szCs w:val="20"/>
              </w:rPr>
              <w:t>Salvaguardas CMNUCC y Políticas Operativas</w:t>
            </w:r>
          </w:p>
        </w:tc>
      </w:tr>
      <w:tr w:rsidR="00BA1C29" w:rsidRPr="009A27ED" w14:paraId="238600D3" w14:textId="77777777" w:rsidTr="00DF1AF5">
        <w:tc>
          <w:tcPr>
            <w:tcW w:w="1437"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924B99" w14:textId="77777777" w:rsidR="00BA1C29" w:rsidRPr="009A27ED" w:rsidRDefault="00BA1C29">
            <w:pPr>
              <w:pStyle w:val="NormalWeb"/>
              <w:spacing w:before="200" w:beforeAutospacing="0" w:after="0" w:afterAutospacing="0" w:line="216" w:lineRule="auto"/>
              <w:rPr>
                <w:rFonts w:asciiTheme="minorHAnsi" w:hAnsiTheme="minorHAnsi" w:cstheme="minorHAnsi"/>
                <w:sz w:val="20"/>
                <w:szCs w:val="20"/>
                <w:lang w:val="es-DO"/>
              </w:rPr>
            </w:pPr>
            <w:r w:rsidRPr="009A27ED">
              <w:rPr>
                <w:rFonts w:asciiTheme="minorHAnsi" w:eastAsiaTheme="minorEastAsia" w:hAnsiTheme="minorHAnsi"/>
                <w:bCs/>
                <w:color w:val="000000" w:themeColor="text1"/>
                <w:kern w:val="24"/>
                <w:sz w:val="20"/>
                <w:szCs w:val="20"/>
                <w:lang w:val="es-DO"/>
              </w:rPr>
              <w:t>1. Fortalecer el marco legal e institucional para la conservación del patrimonio natural y el uso sostenible de los recursos naturales.</w:t>
            </w:r>
          </w:p>
          <w:p w14:paraId="1E6AED79" w14:textId="77777777" w:rsidR="00BA1C29" w:rsidRPr="009A27ED" w:rsidRDefault="00BA1C29">
            <w:pPr>
              <w:rPr>
                <w:sz w:val="20"/>
                <w:szCs w:val="20"/>
                <w:lang w:val="es-DO"/>
              </w:rPr>
            </w:pP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724F9FA" w14:textId="77777777" w:rsidR="00BA1C29" w:rsidRPr="009A27ED" w:rsidRDefault="00BA1C29" w:rsidP="00E67CB0">
            <w:pPr>
              <w:pStyle w:val="Prrafodelista"/>
              <w:numPr>
                <w:ilvl w:val="1"/>
                <w:numId w:val="176"/>
              </w:numPr>
              <w:spacing w:after="0" w:line="240" w:lineRule="auto"/>
              <w:rPr>
                <w:sz w:val="20"/>
                <w:szCs w:val="20"/>
                <w:lang w:val="es-DO"/>
              </w:rPr>
            </w:pPr>
            <w:r w:rsidRPr="009A27ED">
              <w:rPr>
                <w:sz w:val="20"/>
                <w:szCs w:val="20"/>
                <w:lang w:val="es-DO"/>
              </w:rPr>
              <w:t>Promover la aprobación, promulgación y aplicación de la Ley Forestal y la de Pagos por Servicios Ambientales.</w:t>
            </w:r>
          </w:p>
        </w:tc>
        <w:tc>
          <w:tcPr>
            <w:tcW w:w="17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0969615" w14:textId="69DC4B1D" w:rsidR="00BA1C29" w:rsidRPr="009A27ED" w:rsidRDefault="00BA1C29" w:rsidP="00737342">
            <w:pPr>
              <w:rPr>
                <w:sz w:val="20"/>
                <w:szCs w:val="20"/>
                <w:lang w:val="es-DO"/>
              </w:rPr>
            </w:pPr>
            <w:r w:rsidRPr="009A27ED">
              <w:rPr>
                <w:b/>
                <w:sz w:val="20"/>
                <w:szCs w:val="20"/>
                <w:lang w:val="es-DO"/>
              </w:rPr>
              <w:t>Acción Facilitadora</w:t>
            </w:r>
            <w:r w:rsidRPr="009A27ED">
              <w:rPr>
                <w:sz w:val="20"/>
                <w:szCs w:val="20"/>
                <w:lang w:val="es-DO"/>
              </w:rPr>
              <w:t xml:space="preserve">: promover la aprobación de la Ley Forestal, elaborar los instrumentos para la aplicación de la ley forestal y la de PSA. </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C086831" w14:textId="77777777" w:rsidR="00BA1C29" w:rsidRPr="009A27ED" w:rsidRDefault="00BA1C29">
            <w:pPr>
              <w:rPr>
                <w:sz w:val="20"/>
                <w:szCs w:val="20"/>
                <w:lang w:val="es-DO"/>
              </w:rPr>
            </w:pPr>
            <w:r w:rsidRPr="009A27ED">
              <w:rPr>
                <w:sz w:val="20"/>
                <w:szCs w:val="20"/>
                <w:lang w:val="es-DO"/>
              </w:rPr>
              <w:t>Nacional</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991DAFF" w14:textId="77777777" w:rsidR="00BA1C29" w:rsidRPr="009A27ED" w:rsidRDefault="00BA1C29" w:rsidP="00E67CB0">
            <w:pPr>
              <w:pStyle w:val="Textocomentario"/>
              <w:numPr>
                <w:ilvl w:val="0"/>
                <w:numId w:val="177"/>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Diseño y aplicación de políticas públicas que excluyen a los actores claves.</w:t>
            </w:r>
          </w:p>
          <w:p w14:paraId="3B8B2F25" w14:textId="77777777" w:rsidR="00BA1C29" w:rsidRPr="009A27ED" w:rsidRDefault="00BA1C29" w:rsidP="00E67CB0">
            <w:pPr>
              <w:pStyle w:val="Textocomentario"/>
              <w:numPr>
                <w:ilvl w:val="0"/>
                <w:numId w:val="177"/>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Desarrollo de políticas sin consideración de la problemática de la tenencia de la tierra.</w:t>
            </w:r>
          </w:p>
          <w:p w14:paraId="659C755B" w14:textId="77777777" w:rsidR="00BA1C29" w:rsidRPr="009A27ED" w:rsidRDefault="00BA1C29" w:rsidP="00C97A18">
            <w:pPr>
              <w:pStyle w:val="Textocomentario"/>
              <w:numPr>
                <w:ilvl w:val="0"/>
                <w:numId w:val="177"/>
              </w:numPr>
              <w:spacing w:line="254" w:lineRule="auto"/>
              <w:rPr>
                <w:rFonts w:asciiTheme="minorHAnsi" w:hAnsiTheme="minorHAnsi" w:cstheme="minorHAnsi"/>
                <w:lang w:val="es-ES"/>
              </w:rPr>
            </w:pPr>
            <w:r w:rsidRPr="009A27ED">
              <w:rPr>
                <w:rFonts w:asciiTheme="minorHAnsi" w:hAnsiTheme="minorHAnsi" w:cstheme="minorHAnsi"/>
                <w:lang w:val="es-ES"/>
              </w:rPr>
              <w:t>Resistencia de los actores involucrados al cambio y la aplicación de la Ley.</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E4F18DF" w14:textId="77777777" w:rsidR="00BA1C29" w:rsidRPr="009A27ED" w:rsidRDefault="00BA1C29" w:rsidP="00C97A18">
            <w:pPr>
              <w:pStyle w:val="Textocomentario"/>
              <w:numPr>
                <w:ilvl w:val="0"/>
                <w:numId w:val="345"/>
              </w:numPr>
              <w:spacing w:line="254" w:lineRule="auto"/>
              <w:ind w:left="356"/>
              <w:rPr>
                <w:rFonts w:asciiTheme="minorHAnsi" w:hAnsiTheme="minorHAnsi" w:cstheme="minorHAnsi"/>
                <w:lang w:val="es-ES"/>
              </w:rPr>
            </w:pPr>
            <w:r w:rsidRPr="009A27ED">
              <w:rPr>
                <w:rFonts w:asciiTheme="minorHAnsi" w:hAnsiTheme="minorHAnsi" w:cstheme="minorHAnsi"/>
                <w:lang w:val="es-ES"/>
              </w:rPr>
              <w:t xml:space="preserve">Participación de actores locales en talleres de socialización de las iniciativas Ley Forestal y Ley de Pagos por Servicios Ambientales en las áreas priorizadas y sus áreas de influencia.                           </w:t>
            </w:r>
          </w:p>
          <w:p w14:paraId="34143965" w14:textId="41DCC5E8" w:rsidR="00737342" w:rsidRPr="009A27ED" w:rsidRDefault="00BA1C29" w:rsidP="00C97A18">
            <w:pPr>
              <w:pStyle w:val="Textocomentario"/>
              <w:numPr>
                <w:ilvl w:val="0"/>
                <w:numId w:val="345"/>
              </w:numPr>
              <w:spacing w:line="254" w:lineRule="auto"/>
              <w:ind w:left="328" w:hanging="425"/>
              <w:rPr>
                <w:rFonts w:asciiTheme="minorHAnsi" w:hAnsiTheme="minorHAnsi" w:cstheme="minorHAnsi"/>
                <w:lang w:val="es-ES"/>
              </w:rPr>
            </w:pPr>
            <w:r w:rsidRPr="009A27ED">
              <w:t xml:space="preserve">Elaboración de instrumentos operativos (reglamentos) de la Ley Forestal y Ley de Pagos por Servicios Ambientales. </w:t>
            </w:r>
          </w:p>
          <w:p w14:paraId="12EB9D1A" w14:textId="77777777" w:rsidR="00BA1C29" w:rsidRPr="009A27ED" w:rsidRDefault="00BA1C29" w:rsidP="00C97A18">
            <w:pPr>
              <w:pStyle w:val="Textocomentario"/>
              <w:numPr>
                <w:ilvl w:val="0"/>
                <w:numId w:val="345"/>
              </w:numPr>
              <w:spacing w:line="254" w:lineRule="auto"/>
              <w:ind w:left="328" w:hanging="425"/>
              <w:rPr>
                <w:rFonts w:asciiTheme="minorHAnsi" w:hAnsiTheme="minorHAnsi" w:cstheme="minorHAnsi"/>
                <w:lang w:val="es-ES"/>
              </w:rPr>
            </w:pPr>
            <w:r w:rsidRPr="009A27ED">
              <w:rPr>
                <w:rFonts w:asciiTheme="minorHAnsi" w:hAnsiTheme="minorHAnsi" w:cstheme="minorHAnsi"/>
                <w:lang w:val="es-ES"/>
              </w:rPr>
              <w:t>Incluir el diseño de mecanismos de distribución de beneficios para actores locales, dentro del Plan de Distribución de Beneficios de la EN REDD+ RD.</w:t>
            </w:r>
          </w:p>
        </w:tc>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F6AA29" w14:textId="1EFF7A26" w:rsidR="00BA1C29" w:rsidRPr="009A27ED" w:rsidRDefault="00BA1C29" w:rsidP="00E67CB0">
            <w:pPr>
              <w:pStyle w:val="Textocomentario"/>
              <w:numPr>
                <w:ilvl w:val="0"/>
                <w:numId w:val="180"/>
              </w:numPr>
              <w:spacing w:line="254" w:lineRule="auto"/>
              <w:ind w:left="391"/>
              <w:rPr>
                <w:rFonts w:asciiTheme="minorHAnsi" w:hAnsiTheme="minorHAnsi" w:cstheme="minorHAnsi"/>
                <w:lang w:val="es-ES"/>
              </w:rPr>
            </w:pPr>
            <w:r w:rsidRPr="009A27ED">
              <w:rPr>
                <w:rFonts w:asciiTheme="minorHAnsi" w:hAnsiTheme="minorHAnsi" w:cstheme="minorHAnsi"/>
                <w:lang w:val="es-ES"/>
              </w:rPr>
              <w:t xml:space="preserve">Los Reglamentos de las leyes Forestal y de Pagos por Servicios ambientales actualmente se encuentran en elaboración. Se apoyará la socialización, validación y difusión de </w:t>
            </w:r>
            <w:proofErr w:type="gramStart"/>
            <w:r w:rsidRPr="009A27ED">
              <w:rPr>
                <w:rFonts w:asciiTheme="minorHAnsi" w:hAnsiTheme="minorHAnsi" w:cstheme="minorHAnsi"/>
                <w:lang w:val="es-ES"/>
              </w:rPr>
              <w:t>los mismos</w:t>
            </w:r>
            <w:proofErr w:type="gramEnd"/>
            <w:r w:rsidR="001C6E90" w:rsidRPr="009A27ED">
              <w:rPr>
                <w:rFonts w:asciiTheme="minorHAnsi" w:hAnsiTheme="minorHAnsi" w:cstheme="minorHAnsi"/>
                <w:lang w:val="es-ES"/>
              </w:rPr>
              <w:t>,</w:t>
            </w:r>
            <w:r w:rsidRPr="009A27ED">
              <w:rPr>
                <w:rFonts w:asciiTheme="minorHAnsi" w:hAnsiTheme="minorHAnsi" w:cstheme="minorHAnsi"/>
                <w:lang w:val="es-ES"/>
              </w:rPr>
              <w:t xml:space="preserve"> en</w:t>
            </w:r>
            <w:r w:rsidR="001C6E90" w:rsidRPr="009A27ED">
              <w:rPr>
                <w:rFonts w:asciiTheme="minorHAnsi" w:hAnsiTheme="minorHAnsi" w:cstheme="minorHAnsi"/>
                <w:lang w:val="es-ES"/>
              </w:rPr>
              <w:t>fatizando en</w:t>
            </w:r>
            <w:r w:rsidRPr="009A27ED">
              <w:rPr>
                <w:rFonts w:asciiTheme="minorHAnsi" w:hAnsiTheme="minorHAnsi" w:cstheme="minorHAnsi"/>
                <w:lang w:val="es-ES"/>
              </w:rPr>
              <w:t xml:space="preserve"> las áreas </w:t>
            </w:r>
            <w:r w:rsidR="001C6E90" w:rsidRPr="009A27ED">
              <w:rPr>
                <w:rFonts w:asciiTheme="minorHAnsi" w:hAnsiTheme="minorHAnsi" w:cstheme="minorHAnsi"/>
                <w:lang w:val="es-ES"/>
              </w:rPr>
              <w:t xml:space="preserve">geográficas </w:t>
            </w:r>
            <w:r w:rsidRPr="009A27ED">
              <w:rPr>
                <w:rFonts w:asciiTheme="minorHAnsi" w:hAnsiTheme="minorHAnsi" w:cstheme="minorHAnsi"/>
                <w:lang w:val="es-ES"/>
              </w:rPr>
              <w:t>priorizadas</w:t>
            </w:r>
            <w:r w:rsidR="001C6E90" w:rsidRPr="009A27ED">
              <w:rPr>
                <w:rFonts w:asciiTheme="minorHAnsi" w:hAnsiTheme="minorHAnsi" w:cstheme="minorHAnsi"/>
                <w:lang w:val="es-ES"/>
              </w:rPr>
              <w:t xml:space="preserve">. </w:t>
            </w:r>
          </w:p>
          <w:p w14:paraId="58EADE2E" w14:textId="5EC54635" w:rsidR="00BA1C29" w:rsidRPr="009A27ED" w:rsidRDefault="00BA1C29" w:rsidP="00E67CB0">
            <w:pPr>
              <w:pStyle w:val="Textocomentario"/>
              <w:numPr>
                <w:ilvl w:val="0"/>
                <w:numId w:val="180"/>
              </w:numPr>
              <w:spacing w:line="254" w:lineRule="auto"/>
              <w:ind w:left="391"/>
              <w:rPr>
                <w:rFonts w:asciiTheme="minorHAnsi" w:hAnsiTheme="minorHAnsi" w:cstheme="minorHAnsi"/>
                <w:lang w:val="es-ES"/>
              </w:rPr>
            </w:pPr>
            <w:r w:rsidRPr="009A27ED">
              <w:rPr>
                <w:rFonts w:asciiTheme="minorHAnsi" w:hAnsiTheme="minorHAnsi" w:cstheme="minorHAnsi"/>
                <w:lang w:val="es-ES"/>
              </w:rPr>
              <w:t>En la formulación del Plan de Distribución de Beneficios del Programa de Reducción de Emisiones, se han considerado los fundamentos de la</w:t>
            </w:r>
            <w:r w:rsidR="001C6E90" w:rsidRPr="009A27ED">
              <w:rPr>
                <w:rFonts w:asciiTheme="minorHAnsi" w:hAnsiTheme="minorHAnsi" w:cstheme="minorHAnsi"/>
                <w:lang w:val="es-ES"/>
              </w:rPr>
              <w:t xml:space="preserve"> </w:t>
            </w:r>
            <w:r w:rsidRPr="009A27ED">
              <w:rPr>
                <w:rFonts w:asciiTheme="minorHAnsi" w:hAnsiTheme="minorHAnsi" w:cstheme="minorHAnsi"/>
                <w:lang w:val="es-ES"/>
              </w:rPr>
              <w:t>Ley de Pago por Servicios Ambientales.</w:t>
            </w:r>
          </w:p>
          <w:p w14:paraId="455A6B25" w14:textId="77777777" w:rsidR="00BA1C29" w:rsidRPr="009A27ED" w:rsidRDefault="00BA1C29" w:rsidP="00DF1AF5">
            <w:pPr>
              <w:pStyle w:val="Textocomentario"/>
              <w:spacing w:line="254" w:lineRule="auto"/>
              <w:jc w:val="left"/>
              <w:rPr>
                <w:rFonts w:asciiTheme="minorHAnsi" w:hAnsiTheme="minorHAnsi" w:cstheme="minorHAnsi"/>
                <w:lang w:val="es-ES"/>
              </w:rPr>
            </w:pP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8CD3B84" w14:textId="77777777" w:rsidR="00BA1C29" w:rsidRPr="009A27ED" w:rsidRDefault="00BA1C29" w:rsidP="00E67CB0">
            <w:pPr>
              <w:pStyle w:val="Textocomentario"/>
              <w:numPr>
                <w:ilvl w:val="0"/>
                <w:numId w:val="181"/>
              </w:numPr>
              <w:spacing w:line="254" w:lineRule="auto"/>
              <w:ind w:left="318" w:hanging="284"/>
              <w:jc w:val="left"/>
              <w:rPr>
                <w:rFonts w:asciiTheme="minorHAnsi" w:hAnsiTheme="minorHAnsi" w:cstheme="minorHAnsi"/>
                <w:lang w:val="es-ES"/>
              </w:rPr>
            </w:pPr>
            <w:bookmarkStart w:id="233" w:name="OLE_LINK2"/>
            <w:r w:rsidRPr="009A27ED">
              <w:rPr>
                <w:rFonts w:asciiTheme="minorHAnsi" w:hAnsiTheme="minorHAnsi" w:cstheme="minorHAnsi"/>
                <w:lang w:val="es-ES"/>
              </w:rPr>
              <w:t xml:space="preserve">Participación de actores locales en talleres de socialización de las iniciativas Ley Forestal y Ley de Pagos por Servicios Ambientales en el área priorizada 1 y sus áreas de influencia.                           </w:t>
            </w:r>
          </w:p>
          <w:p w14:paraId="3470FEF6" w14:textId="77777777" w:rsidR="00BA1C29" w:rsidRPr="009A27ED" w:rsidRDefault="00BA1C29" w:rsidP="00E67CB0">
            <w:pPr>
              <w:pStyle w:val="Textocomentario"/>
              <w:numPr>
                <w:ilvl w:val="0"/>
                <w:numId w:val="181"/>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 xml:space="preserve">Elaboración de instrumentos operativos de la Ley Forestal y Ley de Pagos por Servicios Ambientales.                                            </w:t>
            </w:r>
          </w:p>
          <w:p w14:paraId="6DF1EC32" w14:textId="77777777" w:rsidR="00BA1C29" w:rsidRPr="009A27ED" w:rsidRDefault="00BA1C29" w:rsidP="00E67CB0">
            <w:pPr>
              <w:pStyle w:val="Textocomentario"/>
              <w:numPr>
                <w:ilvl w:val="0"/>
                <w:numId w:val="181"/>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Incluir el diseño de mecanismos de distribución de beneficios para actores locales dentro del Plan de Distribución de Beneficios que se incluirá en la EN REDD+ RD.</w:t>
            </w:r>
            <w:bookmarkEnd w:id="233"/>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4FF2948"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lang w:val="es-ES"/>
              </w:rPr>
              <w:t>Evaluación Ambiental (PO 4.01)</w:t>
            </w:r>
          </w:p>
          <w:p w14:paraId="7BDF9761" w14:textId="77777777" w:rsidR="00BA1C29" w:rsidRPr="009A27ED" w:rsidRDefault="00BA1C29">
            <w:pPr>
              <w:pStyle w:val="Sinespaciado"/>
              <w:spacing w:line="254" w:lineRule="auto"/>
              <w:rPr>
                <w:sz w:val="20"/>
                <w:szCs w:val="20"/>
              </w:rPr>
            </w:pPr>
            <w:r w:rsidRPr="009A27ED">
              <w:rPr>
                <w:sz w:val="20"/>
                <w:szCs w:val="20"/>
              </w:rPr>
              <w:t>Hábitats naturales (PO 4.04)</w:t>
            </w:r>
          </w:p>
          <w:p w14:paraId="4BBF578D" w14:textId="77777777" w:rsidR="00BA1C29" w:rsidRPr="009A27ED" w:rsidRDefault="00BA1C29">
            <w:pPr>
              <w:pStyle w:val="Sinespaciado"/>
              <w:spacing w:line="254" w:lineRule="auto"/>
              <w:rPr>
                <w:sz w:val="20"/>
                <w:szCs w:val="20"/>
              </w:rPr>
            </w:pPr>
            <w:r w:rsidRPr="009A27ED">
              <w:rPr>
                <w:sz w:val="20"/>
                <w:szCs w:val="20"/>
              </w:rPr>
              <w:t>Bosques (PO 4.36)</w:t>
            </w:r>
          </w:p>
          <w:p w14:paraId="068EAB0C"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lang w:val="es-ES"/>
              </w:rPr>
              <w:t>Reasentamiento involuntario (PO 4.12)</w:t>
            </w:r>
          </w:p>
          <w:p w14:paraId="2A449146" w14:textId="4BA6B2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b/>
                <w:lang w:val="es-ES"/>
              </w:rPr>
              <w:t>Salvaguardas REDD+</w:t>
            </w:r>
            <w:r w:rsidRPr="009A27ED">
              <w:rPr>
                <w:rFonts w:asciiTheme="minorHAnsi" w:hAnsiTheme="minorHAnsi" w:cstheme="minorHAnsi"/>
                <w:lang w:val="es-ES"/>
              </w:rPr>
              <w:t xml:space="preserve"> A, B, D, E </w:t>
            </w:r>
            <w:r w:rsidR="00F37A41" w:rsidRPr="009A27ED">
              <w:rPr>
                <w:rFonts w:asciiTheme="minorHAnsi" w:hAnsiTheme="minorHAnsi" w:cstheme="minorHAnsi"/>
                <w:lang w:val="es-ES"/>
              </w:rPr>
              <w:t>y G</w:t>
            </w:r>
            <w:r w:rsidRPr="009A27ED">
              <w:rPr>
                <w:rFonts w:asciiTheme="minorHAnsi" w:hAnsiTheme="minorHAnsi" w:cstheme="minorHAnsi"/>
                <w:lang w:val="es-ES"/>
              </w:rPr>
              <w:t xml:space="preserve"> </w:t>
            </w:r>
          </w:p>
        </w:tc>
      </w:tr>
      <w:tr w:rsidR="00BA1C29" w:rsidRPr="009A27ED" w14:paraId="1B4E0DE1" w14:textId="77777777" w:rsidTr="00DF1AF5">
        <w:tc>
          <w:tcPr>
            <w:tcW w:w="143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6DA62AF" w14:textId="77777777" w:rsidR="00BA1C29" w:rsidRPr="009A27ED" w:rsidRDefault="00BA1C29">
            <w:pPr>
              <w:rPr>
                <w:rFonts w:eastAsia="Times New Roman"/>
                <w:sz w:val="20"/>
                <w:szCs w:val="20"/>
                <w:lang w:val="es-DO" w:eastAsia="es-ES_tradnl"/>
              </w:rPr>
            </w:pP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308D114" w14:textId="77777777" w:rsidR="00BA1C29" w:rsidRPr="009A27ED" w:rsidRDefault="00BA1C29" w:rsidP="00E67CB0">
            <w:pPr>
              <w:pStyle w:val="Prrafodelista"/>
              <w:numPr>
                <w:ilvl w:val="1"/>
                <w:numId w:val="176"/>
              </w:numPr>
              <w:spacing w:after="0" w:line="240" w:lineRule="auto"/>
              <w:rPr>
                <w:sz w:val="20"/>
                <w:szCs w:val="20"/>
                <w:lang w:val="es-DO"/>
              </w:rPr>
            </w:pPr>
            <w:r w:rsidRPr="009A27ED">
              <w:rPr>
                <w:sz w:val="20"/>
                <w:szCs w:val="20"/>
                <w:lang w:val="es-DO"/>
              </w:rPr>
              <w:t xml:space="preserve">Revisar, elaborar y aplicar normativas relativas a la gestión forestal sostenible. </w:t>
            </w:r>
          </w:p>
        </w:tc>
        <w:tc>
          <w:tcPr>
            <w:tcW w:w="17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449CF9E" w14:textId="2926487D" w:rsidR="00BA1C29" w:rsidRPr="009A27ED" w:rsidRDefault="00BA1C29">
            <w:pPr>
              <w:rPr>
                <w:sz w:val="20"/>
                <w:szCs w:val="20"/>
                <w:lang w:val="es-DO"/>
              </w:rPr>
            </w:pPr>
            <w:r w:rsidRPr="009A27ED">
              <w:rPr>
                <w:b/>
                <w:sz w:val="20"/>
                <w:szCs w:val="20"/>
                <w:lang w:val="es-DO"/>
              </w:rPr>
              <w:t>Acción Facilitadora</w:t>
            </w:r>
            <w:r w:rsidRPr="009A27ED">
              <w:rPr>
                <w:sz w:val="20"/>
                <w:szCs w:val="20"/>
                <w:lang w:val="es-DO"/>
              </w:rPr>
              <w:t>: Revisar las normas y códigos relacionados con gestión de los bosques, adaptarlas y elaborar nuevas cuando sean nece</w:t>
            </w:r>
            <w:r w:rsidR="0034117E" w:rsidRPr="009A27ED">
              <w:rPr>
                <w:sz w:val="20"/>
                <w:szCs w:val="20"/>
                <w:lang w:val="es-DO"/>
              </w:rPr>
              <w:t>s</w:t>
            </w:r>
            <w:r w:rsidRPr="009A27ED">
              <w:rPr>
                <w:sz w:val="20"/>
                <w:szCs w:val="20"/>
                <w:lang w:val="es-DO"/>
              </w:rPr>
              <w:t>arias.</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EAEDB0D" w14:textId="77777777" w:rsidR="00BA1C29" w:rsidRPr="009A27ED" w:rsidRDefault="00BA1C29">
            <w:pPr>
              <w:rPr>
                <w:sz w:val="20"/>
                <w:szCs w:val="20"/>
                <w:lang w:val="es-DO"/>
              </w:rPr>
            </w:pPr>
            <w:r w:rsidRPr="009A27ED">
              <w:rPr>
                <w:sz w:val="20"/>
                <w:szCs w:val="20"/>
                <w:lang w:val="es-DO"/>
              </w:rPr>
              <w:t>Nacional</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5168F31" w14:textId="77777777" w:rsidR="00BA1C29" w:rsidRPr="009A27ED" w:rsidRDefault="00BA1C29" w:rsidP="00E67CB0">
            <w:pPr>
              <w:pStyle w:val="Textocomentario"/>
              <w:numPr>
                <w:ilvl w:val="0"/>
                <w:numId w:val="182"/>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El Desarrollo de políticas sin consideración de la problemática de la tenencia de la tierra.</w:t>
            </w:r>
          </w:p>
          <w:p w14:paraId="1D7FFBE2" w14:textId="77777777" w:rsidR="00BA1C29" w:rsidRPr="009A27ED" w:rsidRDefault="00BA1C29" w:rsidP="00E67CB0">
            <w:pPr>
              <w:pStyle w:val="Textocomentario"/>
              <w:numPr>
                <w:ilvl w:val="0"/>
                <w:numId w:val="182"/>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El Diseño y aplicación de políticas públicas que excluyan a los actores claves.</w:t>
            </w:r>
          </w:p>
          <w:p w14:paraId="0845D133" w14:textId="4DA1271A" w:rsidR="00737342" w:rsidRPr="009A27ED" w:rsidRDefault="00BA1C29" w:rsidP="00C97A18">
            <w:pPr>
              <w:pStyle w:val="Textocomentario"/>
              <w:numPr>
                <w:ilvl w:val="0"/>
                <w:numId w:val="182"/>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 xml:space="preserve">La Resistencia de los actores involucrados al cambio y la aplicación de la Ley. </w:t>
            </w:r>
          </w:p>
          <w:p w14:paraId="4F39611E" w14:textId="77777777" w:rsidR="00BA1C29" w:rsidRPr="009A27ED" w:rsidRDefault="00BA1C29" w:rsidP="00C97A18">
            <w:pPr>
              <w:pStyle w:val="Textocomentario"/>
              <w:numPr>
                <w:ilvl w:val="0"/>
                <w:numId w:val="182"/>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La creación de áreas protegidas sin la participación de actores claves, genera conflictos al percibir la población que las normativas para la gestión forestal sostenible limitan las posibilidades de hacer actividades productivas.</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034824F" w14:textId="3A65F7C6" w:rsidR="00737342" w:rsidRPr="009A27ED" w:rsidRDefault="00BA1C29" w:rsidP="00C97A18">
            <w:pPr>
              <w:pStyle w:val="Textocomentario"/>
              <w:numPr>
                <w:ilvl w:val="0"/>
                <w:numId w:val="355"/>
              </w:numPr>
              <w:spacing w:line="254" w:lineRule="auto"/>
              <w:ind w:left="356"/>
              <w:rPr>
                <w:rFonts w:asciiTheme="minorHAnsi" w:hAnsiTheme="minorHAnsi" w:cstheme="minorHAnsi"/>
                <w:lang w:val="es-ES"/>
              </w:rPr>
            </w:pPr>
            <w:r w:rsidRPr="009A27ED">
              <w:t>Participación de actores locales en talleres de formulación y aplicación efectiva de normativas concernientes a la gestión forestal sostenible</w:t>
            </w:r>
            <w:r w:rsidRPr="009A27ED">
              <w:rPr>
                <w:rFonts w:asciiTheme="minorHAnsi" w:hAnsiTheme="minorHAnsi" w:cstheme="minorHAnsi"/>
                <w:lang w:val="es-ES"/>
              </w:rPr>
              <w:t xml:space="preserve">. </w:t>
            </w:r>
          </w:p>
          <w:p w14:paraId="75668BDA" w14:textId="77777777" w:rsidR="00BA1C29" w:rsidRPr="009A27ED" w:rsidRDefault="00BA1C29" w:rsidP="00C97A18">
            <w:pPr>
              <w:pStyle w:val="Textocomentario"/>
              <w:numPr>
                <w:ilvl w:val="0"/>
                <w:numId w:val="355"/>
              </w:numPr>
              <w:spacing w:line="254" w:lineRule="auto"/>
              <w:ind w:left="356"/>
              <w:rPr>
                <w:rFonts w:asciiTheme="minorHAnsi" w:hAnsiTheme="minorHAnsi" w:cstheme="minorHAnsi"/>
                <w:lang w:val="es-ES"/>
              </w:rPr>
            </w:pPr>
            <w:r w:rsidRPr="009A27ED">
              <w:rPr>
                <w:rFonts w:asciiTheme="minorHAnsi" w:hAnsiTheme="minorHAnsi" w:cstheme="minorHAnsi"/>
                <w:lang w:val="es-ES"/>
              </w:rPr>
              <w:t xml:space="preserve">Realización de procesos de inducción para que las EE y los actores del área conozcan las revisiones realizadas el marco legal, institucional y de cumplimiento para que puedan comprender el entorno normativo y se aproveche de mejor manera su opinión. </w:t>
            </w:r>
          </w:p>
        </w:tc>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A1023BA" w14:textId="077B6E85" w:rsidR="00BA1C29" w:rsidRPr="009A27ED" w:rsidRDefault="00BA1C29" w:rsidP="00E67CB0">
            <w:pPr>
              <w:pStyle w:val="Textocomentario"/>
              <w:numPr>
                <w:ilvl w:val="0"/>
                <w:numId w:val="185"/>
              </w:numPr>
              <w:spacing w:line="254" w:lineRule="auto"/>
              <w:ind w:left="249"/>
              <w:rPr>
                <w:rFonts w:asciiTheme="minorHAnsi" w:hAnsiTheme="minorHAnsi" w:cstheme="minorHAnsi"/>
                <w:lang w:val="es-ES"/>
              </w:rPr>
            </w:pPr>
            <w:r w:rsidRPr="009A27ED">
              <w:rPr>
                <w:rFonts w:asciiTheme="minorHAnsi" w:hAnsiTheme="minorHAnsi" w:cstheme="minorHAnsi"/>
                <w:strike/>
                <w:lang w:val="es-ES"/>
              </w:rPr>
              <w:t xml:space="preserve">En el mes de Julio </w:t>
            </w:r>
            <w:r w:rsidR="00915DFC" w:rsidRPr="009A27ED">
              <w:rPr>
                <w:rFonts w:asciiTheme="minorHAnsi" w:hAnsiTheme="minorHAnsi" w:cstheme="minorHAnsi"/>
                <w:strike/>
                <w:lang w:val="es-ES"/>
              </w:rPr>
              <w:t>del año 2021</w:t>
            </w:r>
            <w:r w:rsidR="007073A7" w:rsidRPr="009A27ED">
              <w:rPr>
                <w:rFonts w:asciiTheme="minorHAnsi" w:hAnsiTheme="minorHAnsi" w:cstheme="minorHAnsi"/>
                <w:lang w:val="es-ES"/>
              </w:rPr>
              <w:t xml:space="preserve"> S</w:t>
            </w:r>
            <w:r w:rsidRPr="009A27ED">
              <w:rPr>
                <w:rFonts w:asciiTheme="minorHAnsi" w:hAnsiTheme="minorHAnsi" w:cstheme="minorHAnsi"/>
                <w:lang w:val="es-ES"/>
              </w:rPr>
              <w:t xml:space="preserve">e dio inicio al Programa de Fortalecimiento Institucional con talleres al personal técnico de las EE, donde se dio a conocer el Programa de Reducción de Emisiones y los diferentes instrumentos de salvaguardas. </w:t>
            </w:r>
          </w:p>
          <w:p w14:paraId="7AC366FA" w14:textId="2D7EFA15" w:rsidR="00737342" w:rsidRPr="009A27ED" w:rsidRDefault="00BA1C29" w:rsidP="00C97A18">
            <w:pPr>
              <w:pStyle w:val="Textocomentario"/>
              <w:numPr>
                <w:ilvl w:val="0"/>
                <w:numId w:val="185"/>
              </w:numPr>
              <w:spacing w:line="254" w:lineRule="auto"/>
              <w:ind w:left="249"/>
              <w:rPr>
                <w:rFonts w:asciiTheme="minorHAnsi" w:hAnsiTheme="minorHAnsi" w:cstheme="minorHAnsi"/>
                <w:lang w:val="es-ES"/>
              </w:rPr>
            </w:pPr>
            <w:r w:rsidRPr="009A27ED">
              <w:rPr>
                <w:rFonts w:asciiTheme="minorHAnsi" w:hAnsiTheme="minorHAnsi" w:cstheme="minorHAnsi"/>
                <w:lang w:val="es-ES"/>
              </w:rPr>
              <w:t xml:space="preserve">Se </w:t>
            </w:r>
            <w:r w:rsidR="00455939" w:rsidRPr="009A27ED">
              <w:rPr>
                <w:rFonts w:asciiTheme="minorHAnsi" w:hAnsiTheme="minorHAnsi" w:cstheme="minorHAnsi"/>
                <w:lang w:val="es-ES"/>
              </w:rPr>
              <w:t>elaborará</w:t>
            </w:r>
            <w:r w:rsidRPr="009A27ED">
              <w:rPr>
                <w:rFonts w:asciiTheme="minorHAnsi" w:hAnsiTheme="minorHAnsi" w:cstheme="minorHAnsi"/>
                <w:lang w:val="es-ES"/>
              </w:rPr>
              <w:t xml:space="preserve"> mediante un proceso participativo, </w:t>
            </w:r>
            <w:r w:rsidR="006F5605" w:rsidRPr="009A27ED">
              <w:rPr>
                <w:rFonts w:asciiTheme="minorHAnsi" w:hAnsiTheme="minorHAnsi" w:cstheme="minorHAnsi"/>
                <w:lang w:val="es-ES"/>
              </w:rPr>
              <w:t xml:space="preserve">una </w:t>
            </w:r>
            <w:r w:rsidR="00455939" w:rsidRPr="009A27ED">
              <w:rPr>
                <w:rFonts w:asciiTheme="minorHAnsi" w:hAnsiTheme="minorHAnsi" w:cstheme="minorHAnsi"/>
                <w:lang w:val="es-ES"/>
              </w:rPr>
              <w:t>guía técnica</w:t>
            </w:r>
            <w:r w:rsidR="006F5605" w:rsidRPr="009A27ED">
              <w:rPr>
                <w:rFonts w:asciiTheme="minorHAnsi" w:hAnsiTheme="minorHAnsi" w:cstheme="minorHAnsi"/>
                <w:lang w:val="es-ES"/>
              </w:rPr>
              <w:t xml:space="preserve"> sobre</w:t>
            </w:r>
            <w:r w:rsidRPr="009A27ED">
              <w:rPr>
                <w:rFonts w:asciiTheme="minorHAnsi" w:hAnsiTheme="minorHAnsi" w:cstheme="minorHAnsi"/>
                <w:lang w:val="es-ES"/>
              </w:rPr>
              <w:t xml:space="preserve"> Buenas Prácticas</w:t>
            </w:r>
            <w:r w:rsidR="00455939" w:rsidRPr="009A27ED">
              <w:rPr>
                <w:rFonts w:asciiTheme="minorHAnsi" w:hAnsiTheme="minorHAnsi" w:cstheme="minorHAnsi"/>
                <w:lang w:val="es-ES"/>
              </w:rPr>
              <w:t xml:space="preserve"> de</w:t>
            </w:r>
            <w:r w:rsidR="006F0BF1" w:rsidRPr="009A27ED">
              <w:rPr>
                <w:rFonts w:asciiTheme="minorHAnsi" w:hAnsiTheme="minorHAnsi" w:cstheme="minorHAnsi"/>
                <w:lang w:val="es-ES"/>
              </w:rPr>
              <w:t xml:space="preserve"> Manejo Forestal Sostenible en el marco de REDD+: </w:t>
            </w:r>
            <w:r w:rsidR="004A5EFC" w:rsidRPr="009A27ED">
              <w:t xml:space="preserve"> </w:t>
            </w:r>
            <w:r w:rsidR="006F0BF1" w:rsidRPr="009A27ED">
              <w:t>a) M</w:t>
            </w:r>
            <w:r w:rsidR="00774ECF" w:rsidRPr="009A27ED">
              <w:t>anejo</w:t>
            </w:r>
            <w:r w:rsidR="006F0BF1" w:rsidRPr="009A27ED">
              <w:t xml:space="preserve"> de Bosques Naturales b) Manejo de</w:t>
            </w:r>
            <w:r w:rsidR="00774ECF" w:rsidRPr="009A27ED">
              <w:t xml:space="preserve"> </w:t>
            </w:r>
            <w:r w:rsidRPr="009A27ED">
              <w:t>Plantaciones Forestales</w:t>
            </w:r>
            <w:r w:rsidR="00455939" w:rsidRPr="009A27ED">
              <w:t>,</w:t>
            </w:r>
            <w:r w:rsidRPr="009A27ED">
              <w:rPr>
                <w:rFonts w:asciiTheme="minorHAnsi" w:hAnsiTheme="minorHAnsi" w:cstheme="minorHAnsi"/>
                <w:lang w:val="es-ES"/>
              </w:rPr>
              <w:t xml:space="preserve"> a ser utilizado por las distintas Entidades Ejecutoras REDD+ que intervienen en reforestación y manejo forestal sostenible.</w:t>
            </w:r>
          </w:p>
          <w:p w14:paraId="65781481" w14:textId="3ABF59EC" w:rsidR="00BA1C29" w:rsidRPr="009A27ED" w:rsidRDefault="00BA1C29" w:rsidP="00C97A18">
            <w:pPr>
              <w:pStyle w:val="Textocomentario"/>
              <w:numPr>
                <w:ilvl w:val="0"/>
                <w:numId w:val="185"/>
              </w:numPr>
              <w:spacing w:line="254" w:lineRule="auto"/>
              <w:ind w:left="249"/>
              <w:rPr>
                <w:rFonts w:asciiTheme="minorHAnsi" w:hAnsiTheme="minorHAnsi" w:cstheme="minorHAnsi"/>
                <w:lang w:val="es-ES"/>
              </w:rPr>
            </w:pPr>
            <w:r w:rsidRPr="009A27ED">
              <w:rPr>
                <w:rFonts w:asciiTheme="minorHAnsi" w:hAnsiTheme="minorHAnsi" w:cstheme="minorHAnsi"/>
                <w:lang w:val="es-ES"/>
              </w:rPr>
              <w:t xml:space="preserve">Como parte del Programa de fortalecimiento Institucional se </w:t>
            </w:r>
            <w:r w:rsidR="009C1C4D" w:rsidRPr="009A27ED">
              <w:rPr>
                <w:rFonts w:asciiTheme="minorHAnsi" w:hAnsiTheme="minorHAnsi" w:cstheme="minorHAnsi"/>
                <w:lang w:val="es-ES"/>
              </w:rPr>
              <w:t xml:space="preserve">continuará la </w:t>
            </w:r>
            <w:r w:rsidRPr="009A27ED">
              <w:rPr>
                <w:rFonts w:asciiTheme="minorHAnsi" w:hAnsiTheme="minorHAnsi" w:cstheme="minorHAnsi"/>
                <w:lang w:val="es-ES"/>
              </w:rPr>
              <w:t xml:space="preserve">capacitación al personal clave de las Entidades Ejecutoras REDD+ para la correcta aplicación </w:t>
            </w:r>
            <w:r w:rsidR="009C1C4D" w:rsidRPr="009A27ED">
              <w:rPr>
                <w:rFonts w:asciiTheme="minorHAnsi" w:hAnsiTheme="minorHAnsi" w:cstheme="minorHAnsi"/>
                <w:lang w:val="es-ES"/>
              </w:rPr>
              <w:t>de las guías técnicas</w:t>
            </w:r>
            <w:r w:rsidRPr="009A27ED">
              <w:rPr>
                <w:rFonts w:asciiTheme="minorHAnsi" w:hAnsiTheme="minorHAnsi" w:cstheme="minorHAnsi"/>
                <w:lang w:val="es-DO"/>
              </w:rPr>
              <w:t>.</w:t>
            </w:r>
            <w:r w:rsidRPr="009A27ED">
              <w:rPr>
                <w:rFonts w:asciiTheme="minorHAnsi" w:hAnsiTheme="minorHAnsi" w:cstheme="minorHAnsi"/>
                <w:lang w:val="es-ES"/>
              </w:rPr>
              <w:t xml:space="preserve"> </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AB79133" w14:textId="77777777" w:rsidR="00BA1C29" w:rsidRPr="009A27ED" w:rsidRDefault="00BA1C29" w:rsidP="00E67CB0">
            <w:pPr>
              <w:pStyle w:val="Textocomentario"/>
              <w:numPr>
                <w:ilvl w:val="0"/>
                <w:numId w:val="186"/>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 xml:space="preserve">Participación de actores locales en talleres de formulación y aplicación efectiva de normativas concernientes a la gestión forestal sostenible. </w:t>
            </w:r>
          </w:p>
          <w:p w14:paraId="7F4A206C" w14:textId="77777777" w:rsidR="00BA1C29" w:rsidRPr="009A27ED" w:rsidRDefault="00BA1C29" w:rsidP="00E67CB0">
            <w:pPr>
              <w:pStyle w:val="Textocomentario"/>
              <w:numPr>
                <w:ilvl w:val="0"/>
                <w:numId w:val="186"/>
              </w:numPr>
              <w:spacing w:line="254" w:lineRule="auto"/>
              <w:ind w:left="318" w:hanging="284"/>
              <w:jc w:val="left"/>
              <w:rPr>
                <w:rFonts w:asciiTheme="minorHAnsi" w:hAnsiTheme="minorHAnsi" w:cstheme="minorHAnsi"/>
                <w:lang w:val="es-DO"/>
              </w:rPr>
            </w:pPr>
            <w:r w:rsidRPr="009A27ED">
              <w:rPr>
                <w:rFonts w:asciiTheme="minorHAnsi" w:hAnsiTheme="minorHAnsi" w:cstheme="minorHAnsi"/>
                <w:lang w:val="es-ES"/>
              </w:rPr>
              <w:t xml:space="preserve">Realizar procesos de inducción para que las EE y los actores del área conozcan las revisiones realizadas el marco legal, institucional y de cumplimiento para que puedan comprender el entorno normativo y se aproveche de mejor manera su opinión. </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9CAD9B3" w14:textId="77777777" w:rsidR="00BA1C29" w:rsidRPr="009A27ED" w:rsidRDefault="00BA1C29">
            <w:pPr>
              <w:pStyle w:val="Sinespaciado"/>
              <w:spacing w:line="254" w:lineRule="auto"/>
              <w:rPr>
                <w:sz w:val="20"/>
                <w:szCs w:val="20"/>
                <w:vertAlign w:val="superscript"/>
                <w:lang w:val="fr-FR"/>
              </w:rPr>
            </w:pPr>
            <w:r w:rsidRPr="009A27ED">
              <w:rPr>
                <w:sz w:val="20"/>
                <w:szCs w:val="20"/>
                <w:lang w:val="es-DO"/>
              </w:rPr>
              <w:t>Hábitats</w:t>
            </w:r>
            <w:r w:rsidRPr="009A27ED">
              <w:rPr>
                <w:sz w:val="20"/>
                <w:szCs w:val="20"/>
                <w:lang w:val="fr-FR"/>
              </w:rPr>
              <w:t xml:space="preserve"> </w:t>
            </w:r>
            <w:proofErr w:type="spellStart"/>
            <w:r w:rsidRPr="009A27ED">
              <w:rPr>
                <w:sz w:val="20"/>
                <w:szCs w:val="20"/>
                <w:lang w:val="fr-FR"/>
              </w:rPr>
              <w:t>naturales</w:t>
            </w:r>
            <w:proofErr w:type="spellEnd"/>
            <w:r w:rsidRPr="009A27ED">
              <w:rPr>
                <w:sz w:val="20"/>
                <w:szCs w:val="20"/>
                <w:lang w:val="fr-FR"/>
              </w:rPr>
              <w:t xml:space="preserve"> (PO 4.04)</w:t>
            </w:r>
          </w:p>
          <w:p w14:paraId="560E9BA4" w14:textId="77777777" w:rsidR="00BA1C29" w:rsidRPr="009A27ED" w:rsidRDefault="00BA1C29">
            <w:pPr>
              <w:pStyle w:val="Sinespaciado"/>
              <w:spacing w:line="254" w:lineRule="auto"/>
              <w:rPr>
                <w:sz w:val="20"/>
                <w:szCs w:val="20"/>
                <w:vertAlign w:val="superscript"/>
                <w:lang w:val="fr-FR"/>
              </w:rPr>
            </w:pPr>
            <w:proofErr w:type="spellStart"/>
            <w:r w:rsidRPr="009A27ED">
              <w:rPr>
                <w:sz w:val="20"/>
                <w:szCs w:val="20"/>
                <w:lang w:val="fr-FR"/>
              </w:rPr>
              <w:t>Bosques</w:t>
            </w:r>
            <w:proofErr w:type="spellEnd"/>
            <w:r w:rsidRPr="009A27ED">
              <w:rPr>
                <w:sz w:val="20"/>
                <w:szCs w:val="20"/>
                <w:lang w:val="fr-FR"/>
              </w:rPr>
              <w:t xml:space="preserve"> (PO 4.36)</w:t>
            </w:r>
          </w:p>
          <w:p w14:paraId="0975C6D6" w14:textId="77777777" w:rsidR="00BA1C29" w:rsidRPr="009A27ED" w:rsidRDefault="00BA1C29">
            <w:pPr>
              <w:pStyle w:val="Textocomentario"/>
              <w:spacing w:line="254" w:lineRule="auto"/>
              <w:rPr>
                <w:rFonts w:asciiTheme="minorHAnsi" w:hAnsiTheme="minorHAnsi" w:cstheme="minorHAnsi"/>
                <w:vertAlign w:val="superscript"/>
                <w:lang w:val="es-ES"/>
              </w:rPr>
            </w:pPr>
            <w:r w:rsidRPr="009A27ED">
              <w:rPr>
                <w:rFonts w:asciiTheme="minorHAnsi" w:hAnsiTheme="minorHAnsi" w:cstheme="minorHAnsi"/>
                <w:lang w:val="es-ES"/>
              </w:rPr>
              <w:t>Evaluación Ambiental (PO 4.01)</w:t>
            </w:r>
          </w:p>
          <w:p w14:paraId="0659B492" w14:textId="77777777" w:rsidR="00BA1C29" w:rsidRPr="009A27ED" w:rsidRDefault="00BA1C29">
            <w:pPr>
              <w:pStyle w:val="Textocomentario"/>
              <w:spacing w:line="254" w:lineRule="auto"/>
              <w:rPr>
                <w:rFonts w:asciiTheme="minorHAnsi" w:hAnsiTheme="minorHAnsi" w:cstheme="minorHAnsi"/>
                <w:vertAlign w:val="superscript"/>
                <w:lang w:val="es-ES"/>
              </w:rPr>
            </w:pPr>
            <w:r w:rsidRPr="009A27ED">
              <w:rPr>
                <w:rFonts w:asciiTheme="minorHAnsi" w:hAnsiTheme="minorHAnsi" w:cstheme="minorHAnsi"/>
                <w:color w:val="000000" w:themeColor="text1"/>
                <w:lang w:val="es-ES"/>
              </w:rPr>
              <w:t>Reasentamiento involuntario (PO 4.12)</w:t>
            </w:r>
          </w:p>
          <w:p w14:paraId="3A70FAB0" w14:textId="77777777" w:rsidR="00BA1C29" w:rsidRPr="009A27ED" w:rsidRDefault="00BA1C29">
            <w:pPr>
              <w:pStyle w:val="Textocomentario"/>
              <w:spacing w:line="254" w:lineRule="auto"/>
              <w:rPr>
                <w:rFonts w:asciiTheme="minorHAnsi" w:hAnsiTheme="minorHAnsi" w:cstheme="minorHAnsi"/>
                <w:lang w:val="pt-BR"/>
              </w:rPr>
            </w:pPr>
            <w:r w:rsidRPr="009A27ED">
              <w:rPr>
                <w:rFonts w:asciiTheme="minorHAnsi" w:hAnsiTheme="minorHAnsi" w:cstheme="minorHAnsi"/>
                <w:b/>
                <w:lang w:val="pt-BR"/>
              </w:rPr>
              <w:t>Salvaguardas REDD+</w:t>
            </w:r>
            <w:r w:rsidRPr="009A27ED">
              <w:rPr>
                <w:rFonts w:asciiTheme="minorHAnsi" w:hAnsiTheme="minorHAnsi" w:cstheme="minorHAnsi"/>
                <w:lang w:val="pt-BR"/>
              </w:rPr>
              <w:t xml:space="preserve"> A, B, D, E</w:t>
            </w:r>
          </w:p>
        </w:tc>
      </w:tr>
      <w:tr w:rsidR="00BA1C29" w:rsidRPr="009A27ED" w14:paraId="129F3DB7" w14:textId="77777777" w:rsidTr="00DF1AF5">
        <w:tc>
          <w:tcPr>
            <w:tcW w:w="143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C771F59" w14:textId="77777777" w:rsidR="00BA1C29" w:rsidRPr="009A27ED" w:rsidRDefault="00BA1C29">
            <w:pPr>
              <w:rPr>
                <w:rFonts w:eastAsia="Times New Roman"/>
                <w:sz w:val="20"/>
                <w:szCs w:val="20"/>
                <w:lang w:val="pt-BR" w:eastAsia="es-ES_tradnl"/>
              </w:rPr>
            </w:pP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0FA4C10" w14:textId="77777777" w:rsidR="00BA1C29" w:rsidRPr="009A27ED" w:rsidRDefault="00BA1C29" w:rsidP="00E67CB0">
            <w:pPr>
              <w:pStyle w:val="Prrafodelista"/>
              <w:numPr>
                <w:ilvl w:val="1"/>
                <w:numId w:val="176"/>
              </w:numPr>
              <w:spacing w:after="0" w:line="240" w:lineRule="auto"/>
              <w:rPr>
                <w:sz w:val="20"/>
                <w:szCs w:val="20"/>
                <w:lang w:val="es-DO"/>
              </w:rPr>
            </w:pPr>
            <w:r w:rsidRPr="009A27ED">
              <w:rPr>
                <w:sz w:val="20"/>
                <w:szCs w:val="20"/>
                <w:lang w:val="es-DO"/>
              </w:rPr>
              <w:t xml:space="preserve">Impulsar estructuras de gobernanza efectivas para la conservación del </w:t>
            </w:r>
            <w:r w:rsidRPr="009A27ED">
              <w:rPr>
                <w:sz w:val="20"/>
                <w:szCs w:val="20"/>
                <w:lang w:val="es-DO"/>
              </w:rPr>
              <w:lastRenderedPageBreak/>
              <w:t>patrimonio natural en el ámbito de REDD+.</w:t>
            </w:r>
          </w:p>
        </w:tc>
        <w:tc>
          <w:tcPr>
            <w:tcW w:w="17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D44B42A" w14:textId="77777777" w:rsidR="00BA1C29" w:rsidRPr="009A27ED" w:rsidRDefault="00BA1C29">
            <w:pPr>
              <w:rPr>
                <w:sz w:val="20"/>
                <w:szCs w:val="20"/>
                <w:lang w:val="es-DO"/>
              </w:rPr>
            </w:pPr>
            <w:r w:rsidRPr="009A27ED">
              <w:rPr>
                <w:b/>
                <w:sz w:val="20"/>
                <w:szCs w:val="20"/>
                <w:lang w:val="es-DO"/>
              </w:rPr>
              <w:lastRenderedPageBreak/>
              <w:t>Acción Facilitadora</w:t>
            </w:r>
            <w:r w:rsidRPr="009A27ED">
              <w:rPr>
                <w:sz w:val="20"/>
                <w:szCs w:val="20"/>
                <w:lang w:val="es-DO"/>
              </w:rPr>
              <w:t xml:space="preserve">: Consolidación del Comité Directivo, Comité Técnico </w:t>
            </w:r>
            <w:r w:rsidRPr="009A27ED">
              <w:rPr>
                <w:sz w:val="20"/>
                <w:szCs w:val="20"/>
                <w:lang w:val="es-DO"/>
              </w:rPr>
              <w:lastRenderedPageBreak/>
              <w:t>Asesor de REDD+ y Grupos de Trabajo a nivel central y Grupos de coordinación local.  Revisión y fortalecimiento de sus reglas de operación.</w:t>
            </w:r>
          </w:p>
          <w:p w14:paraId="0FC08B7F" w14:textId="77777777" w:rsidR="00BA1C29" w:rsidRPr="009A27ED" w:rsidRDefault="00BA1C29">
            <w:pPr>
              <w:rPr>
                <w:sz w:val="20"/>
                <w:szCs w:val="20"/>
                <w:lang w:val="es-DO"/>
              </w:rPr>
            </w:pPr>
          </w:p>
          <w:p w14:paraId="68B4519D" w14:textId="77777777" w:rsidR="00BA1C29" w:rsidRPr="009A27ED" w:rsidRDefault="00BA1C29">
            <w:pPr>
              <w:rPr>
                <w:sz w:val="20"/>
                <w:szCs w:val="20"/>
                <w:lang w:val="es-DO"/>
              </w:rPr>
            </w:pPr>
            <w:r w:rsidRPr="009A27ED">
              <w:rPr>
                <w:sz w:val="20"/>
                <w:szCs w:val="20"/>
                <w:lang w:val="es-DO"/>
              </w:rPr>
              <w:t xml:space="preserve"> </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8ABE300" w14:textId="77777777" w:rsidR="00BA1C29" w:rsidRPr="009A27ED" w:rsidRDefault="00BA1C29">
            <w:pPr>
              <w:rPr>
                <w:sz w:val="20"/>
                <w:szCs w:val="20"/>
                <w:lang w:val="es-DO"/>
              </w:rPr>
            </w:pPr>
            <w:r w:rsidRPr="009A27ED">
              <w:rPr>
                <w:sz w:val="20"/>
                <w:szCs w:val="20"/>
                <w:lang w:val="es-DO"/>
              </w:rPr>
              <w:lastRenderedPageBreak/>
              <w:t>Nacional</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5307794" w14:textId="77777777" w:rsidR="00BA1C29" w:rsidRPr="009A27ED" w:rsidRDefault="00BA1C29" w:rsidP="00E67CB0">
            <w:pPr>
              <w:pStyle w:val="Textocomentario"/>
              <w:numPr>
                <w:ilvl w:val="0"/>
                <w:numId w:val="187"/>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Desconocimiento de las estructuras de gobernanza/comunidad como parte del patrimonio y el uso de los recursos naturales.</w:t>
            </w:r>
          </w:p>
          <w:p w14:paraId="784DE726" w14:textId="59E98AD9" w:rsidR="006F5605" w:rsidRPr="009A27ED" w:rsidRDefault="00BA1C29" w:rsidP="00E67CB0">
            <w:pPr>
              <w:pStyle w:val="Textocomentario"/>
              <w:numPr>
                <w:ilvl w:val="0"/>
                <w:numId w:val="187"/>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lastRenderedPageBreak/>
              <w:t>Desplazamiento involuntario de comunidades por la creación de áreas protegidas y cambio de uso de los suelos.</w:t>
            </w:r>
          </w:p>
          <w:p w14:paraId="6C0F9A27" w14:textId="77777777" w:rsidR="00BA1C29" w:rsidRPr="009A27ED" w:rsidRDefault="00BA1C29" w:rsidP="00C97A18">
            <w:pPr>
              <w:pStyle w:val="Textocomentario"/>
              <w:numPr>
                <w:ilvl w:val="0"/>
                <w:numId w:val="187"/>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Desconocimiento de prácticas tradicionales de las comunidades y de manera específica, prácticas desarrolladas por mujeres</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D99C0A2" w14:textId="77777777" w:rsidR="00BA1C29" w:rsidRPr="009A27ED" w:rsidRDefault="00BA1C29" w:rsidP="00E67CB0">
            <w:pPr>
              <w:pStyle w:val="Textocomentario"/>
              <w:numPr>
                <w:ilvl w:val="0"/>
                <w:numId w:val="188"/>
              </w:numPr>
              <w:spacing w:line="254" w:lineRule="auto"/>
              <w:ind w:left="328"/>
              <w:rPr>
                <w:rFonts w:asciiTheme="minorHAnsi" w:hAnsiTheme="minorHAnsi" w:cstheme="minorHAnsi"/>
                <w:lang w:val="es-ES"/>
              </w:rPr>
            </w:pPr>
            <w:r w:rsidRPr="009A27ED">
              <w:rPr>
                <w:rFonts w:asciiTheme="minorHAnsi" w:hAnsiTheme="minorHAnsi" w:cstheme="minorHAnsi"/>
                <w:lang w:val="es-ES"/>
              </w:rPr>
              <w:lastRenderedPageBreak/>
              <w:t xml:space="preserve">Se están desarrollando los convenios y arreglos institucionales con las EE para fortalecer la gobernanza local en los distintos temas: salvaguardas, </w:t>
            </w:r>
            <w:r w:rsidRPr="009A27ED">
              <w:rPr>
                <w:rFonts w:asciiTheme="minorHAnsi" w:hAnsiTheme="minorHAnsi" w:cstheme="minorHAnsi"/>
                <w:lang w:val="es-ES"/>
              </w:rPr>
              <w:lastRenderedPageBreak/>
              <w:t>distribución de beneficios, actividades tipo a implementar.</w:t>
            </w:r>
          </w:p>
          <w:p w14:paraId="7E7FC111" w14:textId="77777777" w:rsidR="00BA1C29" w:rsidRPr="009A27ED" w:rsidRDefault="00BA1C29" w:rsidP="00E67CB0">
            <w:pPr>
              <w:pStyle w:val="Textocomentario"/>
              <w:numPr>
                <w:ilvl w:val="0"/>
                <w:numId w:val="188"/>
              </w:numPr>
              <w:spacing w:line="254" w:lineRule="auto"/>
              <w:ind w:left="328"/>
              <w:rPr>
                <w:rFonts w:asciiTheme="minorHAnsi" w:hAnsiTheme="minorHAnsi" w:cstheme="minorHAnsi"/>
                <w:lang w:val="es-ES"/>
              </w:rPr>
            </w:pPr>
            <w:r w:rsidRPr="009A27ED">
              <w:rPr>
                <w:rFonts w:asciiTheme="minorHAnsi" w:hAnsiTheme="minorHAnsi" w:cstheme="minorHAnsi"/>
                <w:lang w:val="es-ES"/>
              </w:rPr>
              <w:t>Activación de los grupos de coordinación locales para la coordinación y armonización de entidades locales presentes en el área priorizada y su zona de influencia.</w:t>
            </w:r>
          </w:p>
          <w:p w14:paraId="061EAE8D" w14:textId="77777777" w:rsidR="00BA1C29" w:rsidRPr="009A27ED" w:rsidRDefault="00BA1C29" w:rsidP="00E67CB0">
            <w:pPr>
              <w:pStyle w:val="Textocomentario"/>
              <w:numPr>
                <w:ilvl w:val="0"/>
                <w:numId w:val="188"/>
              </w:numPr>
              <w:spacing w:line="254" w:lineRule="auto"/>
              <w:ind w:left="328"/>
              <w:rPr>
                <w:rFonts w:asciiTheme="minorHAnsi" w:hAnsiTheme="minorHAnsi" w:cstheme="minorHAnsi"/>
                <w:lang w:val="es-ES"/>
              </w:rPr>
            </w:pPr>
            <w:r w:rsidRPr="009A27ED">
              <w:rPr>
                <w:rFonts w:asciiTheme="minorHAnsi" w:hAnsiTheme="minorHAnsi" w:cstheme="minorHAnsi"/>
                <w:lang w:val="es-ES"/>
              </w:rPr>
              <w:t>Elaboración de un reglamento del grupo de coordinación local.</w:t>
            </w:r>
          </w:p>
          <w:p w14:paraId="0E442451" w14:textId="6F80980C" w:rsidR="006F5605" w:rsidRPr="009A27ED" w:rsidRDefault="00BA1C29" w:rsidP="00C97A18">
            <w:pPr>
              <w:pStyle w:val="Textocomentario"/>
              <w:numPr>
                <w:ilvl w:val="0"/>
                <w:numId w:val="188"/>
              </w:numPr>
              <w:spacing w:line="254" w:lineRule="auto"/>
              <w:ind w:left="328"/>
              <w:rPr>
                <w:rFonts w:asciiTheme="minorHAnsi" w:hAnsiTheme="minorHAnsi" w:cstheme="minorHAnsi"/>
                <w:lang w:val="es-ES"/>
              </w:rPr>
            </w:pPr>
            <w:r w:rsidRPr="009A27ED">
              <w:rPr>
                <w:rFonts w:asciiTheme="minorHAnsi" w:hAnsiTheme="minorHAnsi" w:cstheme="minorHAnsi"/>
                <w:lang w:val="es-ES"/>
              </w:rPr>
              <w:t>Reuniones mensuales del grupo de coordinación local del área priorizada y su zona de influencia.</w:t>
            </w:r>
          </w:p>
          <w:p w14:paraId="444DB17D" w14:textId="77777777" w:rsidR="00BA1C29" w:rsidRPr="009A27ED" w:rsidRDefault="00BA1C29" w:rsidP="00C97A18">
            <w:pPr>
              <w:pStyle w:val="Textocomentario"/>
              <w:numPr>
                <w:ilvl w:val="0"/>
                <w:numId w:val="188"/>
              </w:numPr>
              <w:spacing w:line="254" w:lineRule="auto"/>
              <w:ind w:left="328"/>
              <w:rPr>
                <w:rFonts w:asciiTheme="minorHAnsi" w:hAnsiTheme="minorHAnsi" w:cstheme="minorHAnsi"/>
                <w:lang w:val="es-ES"/>
              </w:rPr>
            </w:pPr>
            <w:r w:rsidRPr="009A27ED">
              <w:rPr>
                <w:rFonts w:asciiTheme="minorHAnsi" w:hAnsiTheme="minorHAnsi" w:cstheme="minorHAnsi"/>
                <w:lang w:val="es-ES"/>
              </w:rPr>
              <w:t>Elaboración de plan de acción y coordinación de actividades REDD+ en el área priorizada y su zona de influencia.</w:t>
            </w:r>
          </w:p>
        </w:tc>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9EF07C" w14:textId="02DD9DF6" w:rsidR="00BA1C29" w:rsidRPr="009A27ED" w:rsidRDefault="00BA1C29" w:rsidP="00E67CB0">
            <w:pPr>
              <w:pStyle w:val="Textocomentario"/>
              <w:numPr>
                <w:ilvl w:val="0"/>
                <w:numId w:val="189"/>
              </w:numPr>
              <w:spacing w:line="254" w:lineRule="auto"/>
              <w:ind w:left="391"/>
              <w:rPr>
                <w:rFonts w:asciiTheme="minorHAnsi" w:hAnsiTheme="minorHAnsi" w:cstheme="minorHAnsi"/>
                <w:lang w:val="es-ES"/>
              </w:rPr>
            </w:pPr>
            <w:r w:rsidRPr="009A27ED">
              <w:rPr>
                <w:rFonts w:asciiTheme="minorHAnsi" w:hAnsiTheme="minorHAnsi" w:cstheme="minorHAnsi"/>
                <w:lang w:val="es-DO"/>
              </w:rPr>
              <w:lastRenderedPageBreak/>
              <w:t xml:space="preserve"> A través del funcionamiento del Comité Directivo (Ministerio de Agricultura, Ministerio de Medio Ambiente y Recursos Naturales, Ministerio de Economía, Planificación </w:t>
            </w:r>
            <w:r w:rsidRPr="009A27ED">
              <w:rPr>
                <w:rFonts w:asciiTheme="minorHAnsi" w:hAnsiTheme="minorHAnsi" w:cstheme="minorHAnsi"/>
                <w:lang w:val="es-DO"/>
              </w:rPr>
              <w:lastRenderedPageBreak/>
              <w:t xml:space="preserve">y Desarrollo) y el Comité Técnico Asesor, velar por la correcta aplicación del </w:t>
            </w:r>
            <w:r w:rsidR="00124B63" w:rsidRPr="009A27ED">
              <w:rPr>
                <w:rFonts w:asciiTheme="minorHAnsi" w:hAnsiTheme="minorHAnsi" w:cstheme="minorHAnsi"/>
                <w:lang w:val="es-DO"/>
              </w:rPr>
              <w:t>Programa REDD+</w:t>
            </w:r>
            <w:r w:rsidRPr="009A27ED">
              <w:rPr>
                <w:rFonts w:asciiTheme="minorHAnsi" w:hAnsiTheme="minorHAnsi" w:cstheme="minorHAnsi"/>
                <w:lang w:val="es-DO"/>
              </w:rPr>
              <w:t xml:space="preserve"> y la conservación y manejo sostenible del patrimonio natural</w:t>
            </w:r>
          </w:p>
          <w:p w14:paraId="337CAA5A" w14:textId="668D03B7" w:rsidR="00BA1C29" w:rsidRPr="009A27ED" w:rsidRDefault="00BA1C29" w:rsidP="00E67CB0">
            <w:pPr>
              <w:pStyle w:val="Textocomentario"/>
              <w:numPr>
                <w:ilvl w:val="0"/>
                <w:numId w:val="189"/>
              </w:numPr>
              <w:spacing w:line="254" w:lineRule="auto"/>
              <w:ind w:left="391"/>
              <w:rPr>
                <w:rFonts w:asciiTheme="minorHAnsi" w:hAnsiTheme="minorHAnsi" w:cstheme="minorHAnsi"/>
                <w:lang w:val="es-ES"/>
              </w:rPr>
            </w:pPr>
            <w:r w:rsidRPr="009A27ED">
              <w:rPr>
                <w:rFonts w:asciiTheme="minorHAnsi" w:hAnsiTheme="minorHAnsi" w:cstheme="minorHAnsi"/>
                <w:lang w:val="es-ES"/>
              </w:rPr>
              <w:t xml:space="preserve">Desarrollo de los convenios o arreglos institucionales para fortalecer la gobernanza para la implementación de las acciones tipo REDD+, las </w:t>
            </w:r>
            <w:r w:rsidR="00455939" w:rsidRPr="009A27ED">
              <w:rPr>
                <w:rFonts w:asciiTheme="minorHAnsi" w:hAnsiTheme="minorHAnsi" w:cstheme="minorHAnsi"/>
                <w:lang w:val="es-ES"/>
              </w:rPr>
              <w:t>salvaguardas (</w:t>
            </w:r>
            <w:r w:rsidRPr="009A27ED">
              <w:rPr>
                <w:rFonts w:asciiTheme="minorHAnsi" w:hAnsiTheme="minorHAnsi" w:cstheme="minorHAnsi"/>
                <w:lang w:val="es-ES"/>
              </w:rPr>
              <w:t>Políticas Operativas del Banco Mundial) y el programa de distribución de beneficios.</w:t>
            </w:r>
          </w:p>
          <w:p w14:paraId="266D2D61" w14:textId="0B019DF8" w:rsidR="00BA1C29" w:rsidRPr="009A27ED" w:rsidRDefault="00BA1C29" w:rsidP="00C97A18">
            <w:pPr>
              <w:pStyle w:val="Textocomentario"/>
              <w:numPr>
                <w:ilvl w:val="0"/>
                <w:numId w:val="189"/>
              </w:numPr>
              <w:spacing w:line="254" w:lineRule="auto"/>
              <w:ind w:left="391"/>
              <w:rPr>
                <w:rFonts w:asciiTheme="minorHAnsi" w:hAnsiTheme="minorHAnsi" w:cstheme="minorHAnsi"/>
                <w:lang w:val="es-ES"/>
              </w:rPr>
            </w:pPr>
            <w:r w:rsidRPr="009A27ED">
              <w:t>Activar y/o fortalecer grupos locales de coordinación que velen por la armonización de las actividades a ser ejecutadas por las entidades, a favor de la</w:t>
            </w:r>
            <w:r w:rsidRPr="009A27ED">
              <w:rPr>
                <w:lang w:val="es-DO" w:eastAsia="es-ES_tradnl"/>
              </w:rPr>
              <w:t xml:space="preserve"> </w:t>
            </w:r>
            <w:r w:rsidRPr="009A27ED">
              <w:rPr>
                <w:lang w:val="es-DO"/>
              </w:rPr>
              <w:t>conservación del patrimonio natural.</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5729D0F" w14:textId="77777777" w:rsidR="00BA1C29" w:rsidRPr="009A27ED" w:rsidRDefault="00BA1C29" w:rsidP="00E67CB0">
            <w:pPr>
              <w:pStyle w:val="Textocomentario"/>
              <w:numPr>
                <w:ilvl w:val="0"/>
                <w:numId w:val="190"/>
              </w:numPr>
              <w:spacing w:line="254" w:lineRule="auto"/>
              <w:ind w:left="318" w:hanging="284"/>
              <w:jc w:val="left"/>
              <w:rPr>
                <w:rFonts w:asciiTheme="minorHAnsi" w:hAnsiTheme="minorHAnsi" w:cstheme="minorHAnsi"/>
                <w:lang w:val="es-ES"/>
              </w:rPr>
            </w:pPr>
            <w:bookmarkStart w:id="234" w:name="OLE_LINK3"/>
            <w:r w:rsidRPr="009A27ED">
              <w:rPr>
                <w:rFonts w:asciiTheme="minorHAnsi" w:hAnsiTheme="minorHAnsi" w:cstheme="minorHAnsi"/>
                <w:lang w:val="es-ES"/>
              </w:rPr>
              <w:lastRenderedPageBreak/>
              <w:t xml:space="preserve">Se están desarrollando los convenios y arreglos institucionales con las EE para fortalecer la gobernanza local en los distintos temas: salvaguardas, </w:t>
            </w:r>
            <w:r w:rsidRPr="009A27ED">
              <w:rPr>
                <w:rFonts w:asciiTheme="minorHAnsi" w:hAnsiTheme="minorHAnsi" w:cstheme="minorHAnsi"/>
                <w:lang w:val="es-ES"/>
              </w:rPr>
              <w:lastRenderedPageBreak/>
              <w:t>distribución de beneficios, actividades tipo a implementar.</w:t>
            </w:r>
          </w:p>
          <w:p w14:paraId="5900127A" w14:textId="72A7C454" w:rsidR="00BA1C29" w:rsidRPr="009A27ED" w:rsidRDefault="000A2A53" w:rsidP="00E67CB0">
            <w:pPr>
              <w:pStyle w:val="Textocomentario"/>
              <w:numPr>
                <w:ilvl w:val="0"/>
                <w:numId w:val="190"/>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 xml:space="preserve">Promover la </w:t>
            </w:r>
            <w:r w:rsidR="00BA1C29" w:rsidRPr="009A27ED">
              <w:rPr>
                <w:rFonts w:asciiTheme="minorHAnsi" w:hAnsiTheme="minorHAnsi" w:cstheme="minorHAnsi"/>
                <w:lang w:val="es-ES"/>
              </w:rPr>
              <w:t>coordinación y armonización de entidades locales presentes en el área priorizada y su zona de influencia.</w:t>
            </w:r>
          </w:p>
          <w:p w14:paraId="736CD40B" w14:textId="77777777" w:rsidR="00BA1C29" w:rsidRPr="009A27ED" w:rsidRDefault="00BA1C29" w:rsidP="00E67CB0">
            <w:pPr>
              <w:pStyle w:val="Textocomentario"/>
              <w:numPr>
                <w:ilvl w:val="0"/>
                <w:numId w:val="190"/>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Reuniones mensuales del grupo de coordinación local del área priorizada y su zona de influencia.</w:t>
            </w:r>
          </w:p>
          <w:p w14:paraId="310F9C6A" w14:textId="77777777" w:rsidR="00BA1C29" w:rsidRPr="009A27ED" w:rsidRDefault="00BA1C29" w:rsidP="00E67CB0">
            <w:pPr>
              <w:pStyle w:val="Textocomentario"/>
              <w:numPr>
                <w:ilvl w:val="0"/>
                <w:numId w:val="190"/>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Elaboración de plan de acción y coordinación de actividades REDD+ en el área priorizada y su zona de influencia.</w:t>
            </w:r>
            <w:bookmarkEnd w:id="234"/>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EF05012" w14:textId="77777777" w:rsidR="00BA1C29" w:rsidRPr="009A27ED" w:rsidRDefault="00BA1C29">
            <w:pPr>
              <w:pStyle w:val="Sinespaciado"/>
              <w:spacing w:line="254" w:lineRule="auto"/>
              <w:rPr>
                <w:sz w:val="20"/>
                <w:szCs w:val="20"/>
                <w:lang w:val="fr-FR"/>
              </w:rPr>
            </w:pPr>
            <w:proofErr w:type="spellStart"/>
            <w:r w:rsidRPr="009A27ED">
              <w:rPr>
                <w:sz w:val="20"/>
                <w:szCs w:val="20"/>
                <w:lang w:val="fr-FR"/>
              </w:rPr>
              <w:lastRenderedPageBreak/>
              <w:t>Hábitats</w:t>
            </w:r>
            <w:proofErr w:type="spellEnd"/>
            <w:r w:rsidRPr="009A27ED">
              <w:rPr>
                <w:sz w:val="20"/>
                <w:szCs w:val="20"/>
                <w:lang w:val="fr-FR"/>
              </w:rPr>
              <w:t xml:space="preserve"> </w:t>
            </w:r>
            <w:proofErr w:type="spellStart"/>
            <w:r w:rsidRPr="009A27ED">
              <w:rPr>
                <w:sz w:val="20"/>
                <w:szCs w:val="20"/>
                <w:lang w:val="fr-FR"/>
              </w:rPr>
              <w:t>naturales</w:t>
            </w:r>
            <w:proofErr w:type="spellEnd"/>
            <w:r w:rsidRPr="009A27ED">
              <w:rPr>
                <w:sz w:val="20"/>
                <w:szCs w:val="20"/>
                <w:lang w:val="fr-FR"/>
              </w:rPr>
              <w:t xml:space="preserve"> (PO 4.04)</w:t>
            </w:r>
          </w:p>
          <w:p w14:paraId="243C99E8" w14:textId="77777777" w:rsidR="00BA1C29" w:rsidRPr="009A27ED" w:rsidRDefault="00BA1C29">
            <w:pPr>
              <w:pStyle w:val="Sinespaciado"/>
              <w:spacing w:line="254" w:lineRule="auto"/>
              <w:rPr>
                <w:sz w:val="20"/>
                <w:szCs w:val="20"/>
                <w:lang w:val="fr-FR"/>
              </w:rPr>
            </w:pPr>
            <w:proofErr w:type="spellStart"/>
            <w:r w:rsidRPr="009A27ED">
              <w:rPr>
                <w:sz w:val="20"/>
                <w:szCs w:val="20"/>
                <w:lang w:val="fr-FR"/>
              </w:rPr>
              <w:t>Bosques</w:t>
            </w:r>
            <w:proofErr w:type="spellEnd"/>
            <w:r w:rsidRPr="009A27ED">
              <w:rPr>
                <w:sz w:val="20"/>
                <w:szCs w:val="20"/>
                <w:lang w:val="fr-FR"/>
              </w:rPr>
              <w:t xml:space="preserve"> (PO 4.36)</w:t>
            </w:r>
          </w:p>
          <w:p w14:paraId="43E92B2E"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lang w:val="es-ES"/>
              </w:rPr>
              <w:t xml:space="preserve">Evaluación Ambiental (PO 4.01)  </w:t>
            </w:r>
          </w:p>
          <w:p w14:paraId="632A4BA4" w14:textId="33BC9A93" w:rsidR="00BA1C29" w:rsidRPr="009A27ED" w:rsidRDefault="00BA1C29">
            <w:pPr>
              <w:pStyle w:val="Textocomentario"/>
              <w:spacing w:line="254" w:lineRule="auto"/>
              <w:rPr>
                <w:rFonts w:asciiTheme="minorHAnsi" w:hAnsiTheme="minorHAnsi" w:cstheme="minorHAnsi"/>
                <w:color w:val="000000" w:themeColor="text1"/>
                <w:lang w:val="es-ES"/>
              </w:rPr>
            </w:pPr>
            <w:r w:rsidRPr="009A27ED">
              <w:rPr>
                <w:rFonts w:asciiTheme="minorHAnsi" w:hAnsiTheme="minorHAnsi" w:cstheme="minorHAnsi"/>
                <w:color w:val="000000" w:themeColor="text1"/>
                <w:lang w:val="es-ES"/>
              </w:rPr>
              <w:lastRenderedPageBreak/>
              <w:t>Recursos físicos y culturales (PO 4.11)</w:t>
            </w:r>
          </w:p>
          <w:p w14:paraId="6582C574" w14:textId="5815DE07" w:rsidR="00366587" w:rsidRPr="009A27ED" w:rsidRDefault="00434410">
            <w:pPr>
              <w:pStyle w:val="Textocomentario"/>
              <w:spacing w:line="254" w:lineRule="auto"/>
              <w:rPr>
                <w:rFonts w:asciiTheme="minorHAnsi" w:hAnsiTheme="minorHAnsi" w:cstheme="minorHAnsi"/>
                <w:lang w:val="pt-BR"/>
              </w:rPr>
            </w:pPr>
            <w:proofErr w:type="spellStart"/>
            <w:r w:rsidRPr="009A27ED">
              <w:rPr>
                <w:rFonts w:asciiTheme="minorHAnsi" w:hAnsiTheme="minorHAnsi" w:cstheme="minorHAnsi"/>
                <w:lang w:val="pt-BR"/>
              </w:rPr>
              <w:t>Reasentamiento</w:t>
            </w:r>
            <w:proofErr w:type="spellEnd"/>
            <w:r w:rsidR="00366587" w:rsidRPr="009A27ED">
              <w:rPr>
                <w:rFonts w:asciiTheme="minorHAnsi" w:hAnsiTheme="minorHAnsi" w:cstheme="minorHAnsi"/>
                <w:lang w:val="pt-BR"/>
              </w:rPr>
              <w:t xml:space="preserve"> involuntário (OP 4.12)</w:t>
            </w:r>
          </w:p>
          <w:p w14:paraId="68A4BACD" w14:textId="77777777" w:rsidR="00BA1C29" w:rsidRPr="009A27ED" w:rsidRDefault="00BA1C29">
            <w:pPr>
              <w:pStyle w:val="Textocomentario"/>
              <w:spacing w:line="254" w:lineRule="auto"/>
              <w:rPr>
                <w:rFonts w:asciiTheme="minorHAnsi" w:hAnsiTheme="minorHAnsi" w:cstheme="minorHAnsi"/>
                <w:lang w:val="pt-BR"/>
              </w:rPr>
            </w:pPr>
            <w:r w:rsidRPr="009A27ED">
              <w:rPr>
                <w:rFonts w:asciiTheme="minorHAnsi" w:hAnsiTheme="minorHAnsi" w:cstheme="minorHAnsi"/>
                <w:b/>
                <w:lang w:val="pt-BR"/>
              </w:rPr>
              <w:t>Salvaguardas REDD+</w:t>
            </w:r>
            <w:r w:rsidRPr="009A27ED">
              <w:rPr>
                <w:rFonts w:asciiTheme="minorHAnsi" w:hAnsiTheme="minorHAnsi" w:cstheme="minorHAnsi"/>
                <w:lang w:val="pt-BR"/>
              </w:rPr>
              <w:t xml:space="preserve"> A, B, D, E</w:t>
            </w:r>
          </w:p>
        </w:tc>
      </w:tr>
      <w:tr w:rsidR="00BA1C29" w:rsidRPr="009A27ED" w14:paraId="25F75DFE" w14:textId="77777777" w:rsidTr="00DF1AF5">
        <w:tc>
          <w:tcPr>
            <w:tcW w:w="143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20F56E6" w14:textId="77777777" w:rsidR="00BA1C29" w:rsidRPr="009A27ED" w:rsidRDefault="00BA1C29">
            <w:pPr>
              <w:rPr>
                <w:rFonts w:eastAsia="Times New Roman"/>
                <w:sz w:val="20"/>
                <w:szCs w:val="20"/>
                <w:lang w:val="pt-BR" w:eastAsia="es-ES_tradnl"/>
              </w:rPr>
            </w:pP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18558A0" w14:textId="77777777" w:rsidR="00BA1C29" w:rsidRPr="009A27ED" w:rsidRDefault="00BA1C29" w:rsidP="00E67CB0">
            <w:pPr>
              <w:pStyle w:val="Prrafodelista"/>
              <w:numPr>
                <w:ilvl w:val="1"/>
                <w:numId w:val="176"/>
              </w:numPr>
              <w:spacing w:after="0" w:line="240" w:lineRule="auto"/>
              <w:rPr>
                <w:sz w:val="20"/>
                <w:szCs w:val="20"/>
                <w:lang w:val="es-DO"/>
              </w:rPr>
            </w:pPr>
            <w:r w:rsidRPr="009A27ED">
              <w:rPr>
                <w:sz w:val="20"/>
                <w:szCs w:val="20"/>
                <w:lang w:val="es-DO"/>
              </w:rPr>
              <w:t xml:space="preserve">Definir y aplicar mecanismos legales relativos a tenencia de la tierra y pagos por servicios ambientales en el ámbito de REDD+. </w:t>
            </w:r>
          </w:p>
        </w:tc>
        <w:tc>
          <w:tcPr>
            <w:tcW w:w="17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3A5A5E8" w14:textId="77777777" w:rsidR="00BA1C29" w:rsidRPr="009A27ED" w:rsidRDefault="00BA1C29">
            <w:pPr>
              <w:rPr>
                <w:sz w:val="20"/>
                <w:szCs w:val="20"/>
                <w:lang w:val="es-DO"/>
              </w:rPr>
            </w:pPr>
            <w:r w:rsidRPr="009A27ED">
              <w:rPr>
                <w:b/>
                <w:sz w:val="20"/>
                <w:szCs w:val="20"/>
                <w:lang w:val="es-DO"/>
              </w:rPr>
              <w:t>Acción Facilitadora</w:t>
            </w:r>
            <w:r w:rsidRPr="009A27ED">
              <w:rPr>
                <w:sz w:val="20"/>
                <w:szCs w:val="20"/>
                <w:lang w:val="es-DO"/>
              </w:rPr>
              <w:t xml:space="preserve">: Aplicación de los mecanismos para el reconocimiento de derechos de tenencia de la tierra. </w:t>
            </w:r>
          </w:p>
          <w:p w14:paraId="54DA6D1A" w14:textId="77777777" w:rsidR="00BA1C29" w:rsidRPr="009A27ED" w:rsidRDefault="00BA1C29">
            <w:pPr>
              <w:rPr>
                <w:sz w:val="20"/>
                <w:szCs w:val="20"/>
                <w:lang w:val="es-DO"/>
              </w:rPr>
            </w:pPr>
            <w:r w:rsidRPr="009A27ED">
              <w:rPr>
                <w:sz w:val="20"/>
                <w:szCs w:val="20"/>
                <w:lang w:val="es-DO"/>
              </w:rPr>
              <w:t>Aprobar y difundir el mecanismo de distribución de beneficios por reducción de emisiones.</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A9864A5" w14:textId="77777777" w:rsidR="00BA1C29" w:rsidRPr="009A27ED" w:rsidRDefault="00BA1C29">
            <w:pPr>
              <w:rPr>
                <w:sz w:val="20"/>
                <w:szCs w:val="20"/>
                <w:lang w:val="es-DO"/>
              </w:rPr>
            </w:pPr>
            <w:r w:rsidRPr="009A27ED">
              <w:rPr>
                <w:sz w:val="20"/>
                <w:szCs w:val="20"/>
                <w:lang w:val="es-DO"/>
              </w:rPr>
              <w:t>Nacional</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35A04DB" w14:textId="77777777" w:rsidR="00BA1C29" w:rsidRPr="009A27ED" w:rsidRDefault="00BA1C29" w:rsidP="00E67CB0">
            <w:pPr>
              <w:pStyle w:val="Textocomentario"/>
              <w:numPr>
                <w:ilvl w:val="0"/>
                <w:numId w:val="191"/>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Pérdida de derechos sobre la propiedad de la tenencia de la tierra.</w:t>
            </w:r>
          </w:p>
          <w:p w14:paraId="4F790326" w14:textId="77777777" w:rsidR="00BA1C29" w:rsidRPr="009A27ED" w:rsidRDefault="00BA1C29" w:rsidP="00E67CB0">
            <w:pPr>
              <w:pStyle w:val="Textocomentario"/>
              <w:numPr>
                <w:ilvl w:val="0"/>
                <w:numId w:val="191"/>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Desplazamiento involuntario de comunidades por la creación de áreas protegidas y cambio de uso de los suelos.</w:t>
            </w:r>
          </w:p>
          <w:p w14:paraId="707AAE7B" w14:textId="77777777" w:rsidR="00BA1C29" w:rsidRPr="009A27ED" w:rsidRDefault="00BA1C29" w:rsidP="00E67CB0">
            <w:pPr>
              <w:pStyle w:val="Textocomentario"/>
              <w:numPr>
                <w:ilvl w:val="0"/>
                <w:numId w:val="191"/>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 xml:space="preserve">Limitación o exclusión de titulares de derechos de tenencia si no se abordan las diferencias legales sobre la tenencia de la tierra. </w:t>
            </w:r>
          </w:p>
          <w:p w14:paraId="2D84912E" w14:textId="77777777" w:rsidR="00BA1C29" w:rsidRPr="009A27ED" w:rsidRDefault="00BA1C29" w:rsidP="00E67CB0">
            <w:pPr>
              <w:pStyle w:val="Textocomentario"/>
              <w:numPr>
                <w:ilvl w:val="0"/>
                <w:numId w:val="191"/>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Resistencia de los actores involucrados al cambio y a la aplicación de la Ley.</w:t>
            </w:r>
          </w:p>
          <w:p w14:paraId="51C26C26" w14:textId="77777777" w:rsidR="00BA1C29" w:rsidRPr="009A27ED" w:rsidRDefault="00BA1C29" w:rsidP="00E67CB0">
            <w:pPr>
              <w:pStyle w:val="Textocomentario"/>
              <w:numPr>
                <w:ilvl w:val="0"/>
                <w:numId w:val="191"/>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Reasentamiento involuntario trae como consecuencia traslado del problema de un lugar a otro, por no considerar las dinámicas de producción.</w:t>
            </w:r>
          </w:p>
          <w:p w14:paraId="2ABBD0DD" w14:textId="77777777" w:rsidR="00BA1C29" w:rsidRPr="009A27ED" w:rsidRDefault="00BA1C29" w:rsidP="00E67CB0">
            <w:pPr>
              <w:pStyle w:val="Textocomentario"/>
              <w:numPr>
                <w:ilvl w:val="0"/>
                <w:numId w:val="191"/>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 xml:space="preserve">Surgimiento de conflictos de intereses entre múltiples actores y sectores. </w:t>
            </w:r>
          </w:p>
          <w:p w14:paraId="024866B6" w14:textId="77777777" w:rsidR="00BA1C29" w:rsidRPr="009A27ED" w:rsidRDefault="00BA1C29" w:rsidP="00E67CB0">
            <w:pPr>
              <w:pStyle w:val="Textocomentario"/>
              <w:numPr>
                <w:ilvl w:val="0"/>
                <w:numId w:val="191"/>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 xml:space="preserve">No establecimiento de acuerdos para el desarrollo de proyectos sostenibles. </w:t>
            </w:r>
          </w:p>
          <w:p w14:paraId="22A8FC98" w14:textId="59F3A672" w:rsidR="007376C2" w:rsidRPr="009A27ED" w:rsidRDefault="00BA1C29" w:rsidP="00E67CB0">
            <w:pPr>
              <w:pStyle w:val="Textocomentario"/>
              <w:numPr>
                <w:ilvl w:val="0"/>
                <w:numId w:val="191"/>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 xml:space="preserve">Se pueden implementar medidas autoritarias. </w:t>
            </w:r>
          </w:p>
          <w:p w14:paraId="3E7A92C4" w14:textId="77777777" w:rsidR="00BA1C29" w:rsidRPr="009A27ED" w:rsidRDefault="00BA1C29" w:rsidP="00C97A18">
            <w:pPr>
              <w:pStyle w:val="Textocomentario"/>
              <w:numPr>
                <w:ilvl w:val="0"/>
                <w:numId w:val="191"/>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 xml:space="preserve">Participación débil de actores locales en el diseño de los planes </w:t>
            </w:r>
            <w:r w:rsidRPr="009A27ED">
              <w:rPr>
                <w:rFonts w:asciiTheme="minorHAnsi" w:hAnsiTheme="minorHAnsi" w:cstheme="minorHAnsi"/>
                <w:lang w:val="es-ES"/>
              </w:rPr>
              <w:lastRenderedPageBreak/>
              <w:t>de manejo puede conllevar un acceso limitado y/o desigual a beneficios por parte de las comunidades locales, lo cual puede ser fuente de conflictos.</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F5D40CA" w14:textId="45BE3095" w:rsidR="00BA1C29" w:rsidRPr="009A27ED" w:rsidRDefault="00BA1C29" w:rsidP="00E67CB0">
            <w:pPr>
              <w:pStyle w:val="Textocomentario"/>
              <w:numPr>
                <w:ilvl w:val="0"/>
                <w:numId w:val="192"/>
              </w:numPr>
              <w:spacing w:line="254" w:lineRule="auto"/>
              <w:ind w:left="328"/>
              <w:rPr>
                <w:rFonts w:asciiTheme="minorHAnsi" w:hAnsiTheme="minorHAnsi" w:cstheme="minorHAnsi"/>
                <w:lang w:val="es-ES"/>
              </w:rPr>
            </w:pPr>
            <w:r w:rsidRPr="009A27ED">
              <w:rPr>
                <w:rFonts w:asciiTheme="minorHAnsi" w:hAnsiTheme="minorHAnsi" w:cstheme="minorHAnsi"/>
                <w:lang w:val="es-ES"/>
              </w:rPr>
              <w:lastRenderedPageBreak/>
              <w:t xml:space="preserve">En el Plan de Fortalecimiento Institucional se incluyen temas de Capacitación y talleres sobre requisitos y rutas para </w:t>
            </w:r>
            <w:r w:rsidR="00A0747B" w:rsidRPr="009A27ED">
              <w:rPr>
                <w:rFonts w:asciiTheme="minorHAnsi" w:hAnsiTheme="minorHAnsi" w:cstheme="minorHAnsi"/>
                <w:lang w:val="es-ES"/>
              </w:rPr>
              <w:t xml:space="preserve">el </w:t>
            </w:r>
            <w:r w:rsidR="00434410" w:rsidRPr="009A27ED">
              <w:rPr>
                <w:rFonts w:asciiTheme="minorHAnsi" w:hAnsiTheme="minorHAnsi" w:cstheme="minorHAnsi"/>
                <w:lang w:val="es-ES"/>
              </w:rPr>
              <w:t>reconocimiento</w:t>
            </w:r>
            <w:r w:rsidR="00A0747B" w:rsidRPr="009A27ED">
              <w:rPr>
                <w:rFonts w:asciiTheme="minorHAnsi" w:hAnsiTheme="minorHAnsi" w:cstheme="minorHAnsi"/>
                <w:lang w:val="es-ES"/>
              </w:rPr>
              <w:t xml:space="preserve"> de </w:t>
            </w:r>
            <w:r w:rsidR="00434410" w:rsidRPr="009A27ED">
              <w:rPr>
                <w:rFonts w:asciiTheme="minorHAnsi" w:hAnsiTheme="minorHAnsi" w:cstheme="minorHAnsi"/>
                <w:lang w:val="es-ES"/>
              </w:rPr>
              <w:t>posesión</w:t>
            </w:r>
            <w:r w:rsidR="00A0747B" w:rsidRPr="009A27ED">
              <w:rPr>
                <w:rFonts w:asciiTheme="minorHAnsi" w:hAnsiTheme="minorHAnsi" w:cstheme="minorHAnsi"/>
                <w:lang w:val="es-ES"/>
              </w:rPr>
              <w:t xml:space="preserve"> del terreno y-o </w:t>
            </w:r>
            <w:r w:rsidRPr="009A27ED">
              <w:rPr>
                <w:rFonts w:asciiTheme="minorHAnsi" w:hAnsiTheme="minorHAnsi" w:cstheme="minorHAnsi"/>
                <w:lang w:val="es-ES"/>
              </w:rPr>
              <w:t>la legalización de la tenencia de tierra, enfocado para personas incorporadas a programas o acciones REDD+ del área priorizada y su zona de influencia, así mismo</w:t>
            </w:r>
            <w:proofErr w:type="gramStart"/>
            <w:r w:rsidRPr="009A27ED">
              <w:rPr>
                <w:rFonts w:asciiTheme="minorHAnsi" w:hAnsiTheme="minorHAnsi" w:cstheme="minorHAnsi"/>
                <w:lang w:val="es-ES"/>
              </w:rPr>
              <w:t>, .</w:t>
            </w:r>
            <w:proofErr w:type="gramEnd"/>
          </w:p>
          <w:p w14:paraId="769E393F" w14:textId="1CA7D0C0" w:rsidR="007376C2" w:rsidRPr="009A27ED" w:rsidRDefault="00BA1C29" w:rsidP="00C97A18">
            <w:pPr>
              <w:pStyle w:val="Textocomentario"/>
              <w:numPr>
                <w:ilvl w:val="0"/>
                <w:numId w:val="192"/>
              </w:numPr>
              <w:spacing w:line="254" w:lineRule="auto"/>
              <w:ind w:left="328"/>
              <w:rPr>
                <w:rFonts w:asciiTheme="minorHAnsi" w:hAnsiTheme="minorHAnsi" w:cstheme="minorHAnsi"/>
                <w:lang w:val="es-ES"/>
              </w:rPr>
            </w:pPr>
            <w:r w:rsidRPr="009A27ED">
              <w:rPr>
                <w:rFonts w:asciiTheme="minorHAnsi" w:hAnsiTheme="minorHAnsi" w:cstheme="minorHAnsi"/>
                <w:lang w:val="es-ES"/>
              </w:rPr>
              <w:t xml:space="preserve"> En el Plan de Fortalecimiento Institucional, se incluye la socialización del mecanismo de distribución de beneficios por reducción de emisiones para personas incorporadas a programas o acciones REDD+ del </w:t>
            </w:r>
            <w:proofErr w:type="spellStart"/>
            <w:r w:rsidRPr="009A27ED">
              <w:rPr>
                <w:rFonts w:asciiTheme="minorHAnsi" w:hAnsiTheme="minorHAnsi" w:cstheme="minorHAnsi"/>
                <w:lang w:val="es-ES"/>
              </w:rPr>
              <w:t>área</w:t>
            </w:r>
            <w:r w:rsidR="004F4E28" w:rsidRPr="009A27ED">
              <w:rPr>
                <w:rFonts w:asciiTheme="minorHAnsi" w:hAnsiTheme="minorHAnsi" w:cstheme="minorHAnsi"/>
                <w:lang w:val="es-ES"/>
              </w:rPr>
              <w:t>priorizada</w:t>
            </w:r>
            <w:proofErr w:type="spellEnd"/>
            <w:r w:rsidR="004F4E28" w:rsidRPr="009A27ED">
              <w:rPr>
                <w:rFonts w:asciiTheme="minorHAnsi" w:hAnsiTheme="minorHAnsi" w:cstheme="minorHAnsi"/>
                <w:lang w:val="es-ES"/>
              </w:rPr>
              <w:t xml:space="preserve"> y</w:t>
            </w:r>
            <w:r w:rsidRPr="009A27ED">
              <w:rPr>
                <w:rFonts w:asciiTheme="minorHAnsi" w:hAnsiTheme="minorHAnsi" w:cstheme="minorHAnsi"/>
                <w:lang w:val="es-ES"/>
              </w:rPr>
              <w:t xml:space="preserve"> su zona de influencia.</w:t>
            </w:r>
          </w:p>
          <w:p w14:paraId="0081E6CB" w14:textId="77777777" w:rsidR="00BA1C29" w:rsidRPr="009A27ED" w:rsidRDefault="00BA1C29" w:rsidP="00C97A18">
            <w:pPr>
              <w:pStyle w:val="Textocomentario"/>
              <w:numPr>
                <w:ilvl w:val="0"/>
                <w:numId w:val="192"/>
              </w:numPr>
              <w:spacing w:line="254" w:lineRule="auto"/>
              <w:ind w:left="328"/>
              <w:rPr>
                <w:rFonts w:asciiTheme="minorHAnsi" w:hAnsiTheme="minorHAnsi" w:cstheme="minorHAnsi"/>
                <w:lang w:val="es-ES"/>
              </w:rPr>
            </w:pPr>
            <w:r w:rsidRPr="009A27ED">
              <w:rPr>
                <w:rFonts w:asciiTheme="minorHAnsi" w:hAnsiTheme="minorHAnsi" w:cstheme="minorHAnsi"/>
                <w:lang w:val="es-ES"/>
              </w:rPr>
              <w:t>Se encuentran en formulación los convenios o arreglos institucionales necesarios para aclarar las obligaciones y beneficios de los actores que intervienen en el programa</w:t>
            </w:r>
          </w:p>
        </w:tc>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27FBCBC" w14:textId="025F0E64" w:rsidR="00BA1C29" w:rsidRPr="009A27ED" w:rsidRDefault="00BA1C29" w:rsidP="00C97A18">
            <w:pPr>
              <w:pStyle w:val="Textocomentario"/>
              <w:numPr>
                <w:ilvl w:val="0"/>
                <w:numId w:val="361"/>
              </w:numPr>
              <w:spacing w:line="254" w:lineRule="auto"/>
              <w:jc w:val="left"/>
              <w:rPr>
                <w:rFonts w:asciiTheme="minorHAnsi" w:hAnsiTheme="minorHAnsi" w:cstheme="minorHAnsi"/>
                <w:lang w:val="es-ES"/>
              </w:rPr>
            </w:pPr>
            <w:r w:rsidRPr="009A27ED">
              <w:rPr>
                <w:rFonts w:asciiTheme="minorHAnsi" w:hAnsiTheme="minorHAnsi" w:cstheme="minorHAnsi"/>
                <w:lang w:val="es-ES"/>
              </w:rPr>
              <w:t xml:space="preserve">En la formulación de los convenios o arreglos institucionales con Entidades Ejecutoras, así como en el </w:t>
            </w:r>
            <w:r w:rsidR="004F4E28" w:rsidRPr="009A27ED">
              <w:rPr>
                <w:rFonts w:asciiTheme="minorHAnsi" w:hAnsiTheme="minorHAnsi" w:cstheme="minorHAnsi"/>
                <w:lang w:val="es-ES"/>
              </w:rPr>
              <w:t xml:space="preserve"> </w:t>
            </w:r>
            <w:r w:rsidRPr="009A27ED">
              <w:rPr>
                <w:rFonts w:asciiTheme="minorHAnsi" w:hAnsiTheme="minorHAnsi" w:cstheme="minorHAnsi"/>
                <w:strike/>
                <w:lang w:val="es-ES"/>
              </w:rPr>
              <w:t xml:space="preserve">Programa </w:t>
            </w:r>
            <w:r w:rsidR="004F4E28" w:rsidRPr="009A27ED">
              <w:rPr>
                <w:rFonts w:asciiTheme="minorHAnsi" w:hAnsiTheme="minorHAnsi" w:cstheme="minorHAnsi"/>
                <w:lang w:val="es-ES"/>
              </w:rPr>
              <w:t xml:space="preserve">Plan </w:t>
            </w:r>
            <w:r w:rsidRPr="009A27ED">
              <w:rPr>
                <w:rFonts w:asciiTheme="minorHAnsi" w:hAnsiTheme="minorHAnsi" w:cstheme="minorHAnsi"/>
                <w:lang w:val="es-ES"/>
              </w:rPr>
              <w:t>de Distribución de Beneficios, se incluyen: i) requisitos para la formalización y</w:t>
            </w:r>
            <w:r w:rsidR="004F4E28" w:rsidRPr="009A27ED">
              <w:rPr>
                <w:rFonts w:asciiTheme="minorHAnsi" w:hAnsiTheme="minorHAnsi" w:cstheme="minorHAnsi"/>
                <w:lang w:val="es-ES"/>
              </w:rPr>
              <w:t>/</w:t>
            </w:r>
            <w:r w:rsidR="000A2A53" w:rsidRPr="009A27ED">
              <w:rPr>
                <w:rFonts w:asciiTheme="minorHAnsi" w:hAnsiTheme="minorHAnsi" w:cstheme="minorHAnsi"/>
                <w:lang w:val="es-ES"/>
              </w:rPr>
              <w:t xml:space="preserve">o reconocimiento de </w:t>
            </w:r>
            <w:r w:rsidR="00455939" w:rsidRPr="009A27ED">
              <w:rPr>
                <w:rFonts w:asciiTheme="minorHAnsi" w:hAnsiTheme="minorHAnsi" w:cstheme="minorHAnsi"/>
                <w:lang w:val="es-ES"/>
              </w:rPr>
              <w:t>posesión de</w:t>
            </w:r>
            <w:r w:rsidRPr="009A27ED">
              <w:rPr>
                <w:rFonts w:asciiTheme="minorHAnsi" w:hAnsiTheme="minorHAnsi" w:cstheme="minorHAnsi"/>
                <w:lang w:val="es-ES"/>
              </w:rPr>
              <w:t xml:space="preserve"> la tierra, </w:t>
            </w:r>
            <w:proofErr w:type="spellStart"/>
            <w:r w:rsidRPr="009A27ED">
              <w:rPr>
                <w:rFonts w:asciiTheme="minorHAnsi" w:hAnsiTheme="minorHAnsi" w:cstheme="minorHAnsi"/>
                <w:lang w:val="es-ES"/>
              </w:rPr>
              <w:t>ii</w:t>
            </w:r>
            <w:proofErr w:type="spellEnd"/>
            <w:r w:rsidRPr="009A27ED">
              <w:rPr>
                <w:rFonts w:asciiTheme="minorHAnsi" w:hAnsiTheme="minorHAnsi" w:cstheme="minorHAnsi"/>
                <w:lang w:val="es-ES"/>
              </w:rPr>
              <w:t xml:space="preserve">) condiciones para la implementación del mecanismo de distribución de beneficios, </w:t>
            </w:r>
            <w:proofErr w:type="spellStart"/>
            <w:r w:rsidRPr="009A27ED">
              <w:rPr>
                <w:rFonts w:asciiTheme="minorHAnsi" w:hAnsiTheme="minorHAnsi" w:cstheme="minorHAnsi"/>
                <w:lang w:val="es-ES"/>
              </w:rPr>
              <w:t>iii</w:t>
            </w:r>
            <w:proofErr w:type="spellEnd"/>
            <w:r w:rsidRPr="009A27ED">
              <w:rPr>
                <w:rFonts w:asciiTheme="minorHAnsi" w:hAnsiTheme="minorHAnsi" w:cstheme="minorHAnsi"/>
                <w:lang w:val="es-ES"/>
              </w:rPr>
              <w:t xml:space="preserve">) cesión de derechos sobre emisiones reducidas. </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9783A9C" w14:textId="2C8DB75A" w:rsidR="00BA1C29" w:rsidRPr="009A27ED" w:rsidRDefault="00BA1C29" w:rsidP="00C97A18">
            <w:pPr>
              <w:pStyle w:val="Textocomentario"/>
              <w:numPr>
                <w:ilvl w:val="0"/>
                <w:numId w:val="364"/>
              </w:numPr>
              <w:spacing w:line="254" w:lineRule="auto"/>
              <w:ind w:left="326"/>
              <w:jc w:val="left"/>
              <w:rPr>
                <w:rFonts w:asciiTheme="minorHAnsi" w:hAnsiTheme="minorHAnsi" w:cstheme="minorHAnsi"/>
                <w:lang w:val="es-ES"/>
              </w:rPr>
            </w:pPr>
            <w:r w:rsidRPr="009A27ED">
              <w:rPr>
                <w:rFonts w:asciiTheme="minorHAnsi" w:hAnsiTheme="minorHAnsi" w:cstheme="minorHAnsi"/>
                <w:lang w:val="es-ES"/>
              </w:rPr>
              <w:t>En el Plan de Fortalecimiento Institucional se incluyen temas de Capacitación y talleres sobre requisitos y rutas para</w:t>
            </w:r>
            <w:r w:rsidR="000A2A53" w:rsidRPr="009A27ED">
              <w:rPr>
                <w:rFonts w:asciiTheme="minorHAnsi" w:hAnsiTheme="minorHAnsi" w:cstheme="minorHAnsi"/>
                <w:lang w:val="es-ES"/>
              </w:rPr>
              <w:t xml:space="preserve"> el reconocimiento de la posesión y-o </w:t>
            </w:r>
            <w:r w:rsidRPr="009A27ED">
              <w:rPr>
                <w:rFonts w:asciiTheme="minorHAnsi" w:hAnsiTheme="minorHAnsi" w:cstheme="minorHAnsi"/>
                <w:lang w:val="es-ES"/>
              </w:rPr>
              <w:t xml:space="preserve"> la legalización de la tenencia de tierra, enfocado para personas incorporadas a programas o acciones REDD+ del área priorizada y su zona de influencia, así mismo.</w:t>
            </w:r>
          </w:p>
          <w:p w14:paraId="246D4E80" w14:textId="77777777" w:rsidR="00BA1C29" w:rsidRPr="009A27ED" w:rsidRDefault="00BA1C29" w:rsidP="00C97A18">
            <w:pPr>
              <w:pStyle w:val="Textocomentario"/>
              <w:numPr>
                <w:ilvl w:val="0"/>
                <w:numId w:val="364"/>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En el Plan de Fortalecimiento Institucional, se incluye la socialización del mecanismo de distribución de beneficios por reducción de emisiones para personas incorporadas a programas o acciones REDD+ del área priorizada  y su zona de influencia.</w:t>
            </w:r>
          </w:p>
          <w:p w14:paraId="10693BCD" w14:textId="77777777" w:rsidR="00BA1C29" w:rsidRPr="009A27ED" w:rsidRDefault="00BA1C29" w:rsidP="00C97A18">
            <w:pPr>
              <w:pStyle w:val="Textocomentario"/>
              <w:numPr>
                <w:ilvl w:val="0"/>
                <w:numId w:val="364"/>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Se encuentran en formulación los convenios o arreglos institucionales necesarios para aclarar las obligaciones y beneficios de los actores que intervienen en el programa</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027DCE6" w14:textId="77777777" w:rsidR="00BA1C29" w:rsidRPr="009A27ED" w:rsidRDefault="00BA1C29">
            <w:pPr>
              <w:pStyle w:val="Sinespaciado"/>
              <w:spacing w:line="254" w:lineRule="auto"/>
              <w:rPr>
                <w:sz w:val="20"/>
                <w:szCs w:val="20"/>
                <w:lang w:val="fr-FR"/>
              </w:rPr>
            </w:pPr>
            <w:proofErr w:type="spellStart"/>
            <w:r w:rsidRPr="009A27ED">
              <w:rPr>
                <w:sz w:val="20"/>
                <w:szCs w:val="20"/>
                <w:lang w:val="fr-FR"/>
              </w:rPr>
              <w:t>Hábitats</w:t>
            </w:r>
            <w:proofErr w:type="spellEnd"/>
            <w:r w:rsidRPr="009A27ED">
              <w:rPr>
                <w:sz w:val="20"/>
                <w:szCs w:val="20"/>
                <w:lang w:val="fr-FR"/>
              </w:rPr>
              <w:t xml:space="preserve"> </w:t>
            </w:r>
            <w:proofErr w:type="spellStart"/>
            <w:r w:rsidRPr="009A27ED">
              <w:rPr>
                <w:sz w:val="20"/>
                <w:szCs w:val="20"/>
                <w:lang w:val="fr-FR"/>
              </w:rPr>
              <w:t>naturales</w:t>
            </w:r>
            <w:proofErr w:type="spellEnd"/>
            <w:r w:rsidRPr="009A27ED">
              <w:rPr>
                <w:sz w:val="20"/>
                <w:szCs w:val="20"/>
                <w:lang w:val="fr-FR"/>
              </w:rPr>
              <w:t xml:space="preserve"> (PO 4.04)</w:t>
            </w:r>
          </w:p>
          <w:p w14:paraId="04522A97" w14:textId="77777777" w:rsidR="00BA1C29" w:rsidRPr="009A27ED" w:rsidRDefault="00BA1C29">
            <w:pPr>
              <w:pStyle w:val="Sinespaciado"/>
              <w:spacing w:line="254" w:lineRule="auto"/>
              <w:rPr>
                <w:sz w:val="20"/>
                <w:szCs w:val="20"/>
                <w:lang w:val="fr-FR"/>
              </w:rPr>
            </w:pPr>
            <w:proofErr w:type="spellStart"/>
            <w:r w:rsidRPr="009A27ED">
              <w:rPr>
                <w:sz w:val="20"/>
                <w:szCs w:val="20"/>
                <w:lang w:val="fr-FR"/>
              </w:rPr>
              <w:t>Bosques</w:t>
            </w:r>
            <w:proofErr w:type="spellEnd"/>
            <w:r w:rsidRPr="009A27ED">
              <w:rPr>
                <w:sz w:val="20"/>
                <w:szCs w:val="20"/>
                <w:lang w:val="fr-FR"/>
              </w:rPr>
              <w:t xml:space="preserve"> (PO 4.36)</w:t>
            </w:r>
          </w:p>
          <w:p w14:paraId="5F389DD3"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lang w:val="es-ES"/>
              </w:rPr>
              <w:t xml:space="preserve">Evaluación Ambiental (PO 4.01) </w:t>
            </w:r>
          </w:p>
          <w:p w14:paraId="1A0B7F9F"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color w:val="000000" w:themeColor="text1"/>
                <w:lang w:val="es-ES"/>
              </w:rPr>
              <w:t>Reasentamiento involuntario (PO 4.12)</w:t>
            </w:r>
          </w:p>
          <w:p w14:paraId="462BB3AE" w14:textId="77777777" w:rsidR="00BA1C29" w:rsidRPr="009A27ED" w:rsidRDefault="00BA1C29">
            <w:pPr>
              <w:pStyle w:val="Textocomentario"/>
              <w:spacing w:line="254" w:lineRule="auto"/>
              <w:rPr>
                <w:rFonts w:asciiTheme="minorHAnsi" w:hAnsiTheme="minorHAnsi" w:cstheme="minorHAnsi"/>
                <w:lang w:val="pt-BR"/>
              </w:rPr>
            </w:pPr>
            <w:r w:rsidRPr="009A27ED">
              <w:rPr>
                <w:rFonts w:asciiTheme="minorHAnsi" w:hAnsiTheme="minorHAnsi" w:cstheme="minorHAnsi"/>
                <w:b/>
                <w:lang w:val="pt-BR"/>
              </w:rPr>
              <w:t>Salvaguardas REDD+</w:t>
            </w:r>
            <w:r w:rsidRPr="009A27ED">
              <w:rPr>
                <w:rFonts w:asciiTheme="minorHAnsi" w:hAnsiTheme="minorHAnsi" w:cstheme="minorHAnsi"/>
                <w:lang w:val="pt-BR"/>
              </w:rPr>
              <w:t xml:space="preserve"> A, B, D, E</w:t>
            </w:r>
          </w:p>
          <w:p w14:paraId="1598E78A" w14:textId="77777777" w:rsidR="00BA1C29" w:rsidRPr="009A27ED" w:rsidRDefault="00BA1C29">
            <w:pPr>
              <w:pStyle w:val="Textocomentario"/>
              <w:spacing w:line="254" w:lineRule="auto"/>
              <w:rPr>
                <w:rFonts w:asciiTheme="minorHAnsi" w:hAnsiTheme="minorHAnsi" w:cstheme="minorHAnsi"/>
                <w:lang w:val="pt-BR"/>
              </w:rPr>
            </w:pPr>
          </w:p>
        </w:tc>
      </w:tr>
      <w:tr w:rsidR="00BA1C29" w:rsidRPr="009A27ED" w14:paraId="43BD3CCA" w14:textId="77777777" w:rsidTr="00DF1AF5">
        <w:tc>
          <w:tcPr>
            <w:tcW w:w="143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DDDB058" w14:textId="77777777" w:rsidR="00BA1C29" w:rsidRPr="009A27ED" w:rsidRDefault="00BA1C29">
            <w:pPr>
              <w:rPr>
                <w:rFonts w:eastAsia="Times New Roman"/>
                <w:sz w:val="20"/>
                <w:szCs w:val="20"/>
                <w:lang w:val="pt-BR" w:eastAsia="es-ES_tradnl"/>
              </w:rPr>
            </w:pP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CC2D5FE" w14:textId="77777777" w:rsidR="00BA1C29" w:rsidRPr="009A27ED" w:rsidRDefault="00BA1C29" w:rsidP="00E67CB0">
            <w:pPr>
              <w:pStyle w:val="Prrafodelista"/>
              <w:numPr>
                <w:ilvl w:val="1"/>
                <w:numId w:val="176"/>
              </w:numPr>
              <w:spacing w:after="0" w:line="240" w:lineRule="auto"/>
              <w:rPr>
                <w:sz w:val="20"/>
                <w:szCs w:val="20"/>
                <w:lang w:val="es-DO"/>
              </w:rPr>
            </w:pPr>
            <w:r w:rsidRPr="009A27ED">
              <w:rPr>
                <w:sz w:val="20"/>
                <w:szCs w:val="20"/>
                <w:lang w:val="es-DO"/>
              </w:rPr>
              <w:t>Fortalecer los mecanismos de control y fiscalización forestal incluyendo la determinación del origen legal, aprovechamiento y comercialización de los productos y subproductos forestales.</w:t>
            </w:r>
          </w:p>
        </w:tc>
        <w:tc>
          <w:tcPr>
            <w:tcW w:w="17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99849B1" w14:textId="77777777" w:rsidR="00BA1C29" w:rsidRPr="009A27ED" w:rsidRDefault="00BA1C29">
            <w:pPr>
              <w:rPr>
                <w:sz w:val="20"/>
                <w:szCs w:val="20"/>
                <w:lang w:val="es-DO"/>
              </w:rPr>
            </w:pPr>
            <w:r w:rsidRPr="009A27ED">
              <w:rPr>
                <w:b/>
                <w:sz w:val="20"/>
                <w:szCs w:val="20"/>
                <w:lang w:val="es-DO"/>
              </w:rPr>
              <w:t>Acción Facilitadora</w:t>
            </w:r>
            <w:r w:rsidRPr="009A27ED">
              <w:rPr>
                <w:sz w:val="20"/>
                <w:szCs w:val="20"/>
                <w:lang w:val="es-DO"/>
              </w:rPr>
              <w:t>: Revisar, actualizar e implementar los mecanismos existentes para dar trazabilidad de los productos forestales.</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24FCBAB" w14:textId="77777777" w:rsidR="00BA1C29" w:rsidRPr="009A27ED" w:rsidRDefault="00BA1C29">
            <w:pPr>
              <w:rPr>
                <w:sz w:val="20"/>
                <w:szCs w:val="20"/>
                <w:lang w:val="es-DO"/>
              </w:rPr>
            </w:pPr>
            <w:r w:rsidRPr="009A27ED">
              <w:rPr>
                <w:sz w:val="20"/>
                <w:szCs w:val="20"/>
                <w:lang w:val="es-DO"/>
              </w:rPr>
              <w:t>Nacional</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A4513B8" w14:textId="77777777" w:rsidR="00BA1C29" w:rsidRPr="009A27ED" w:rsidRDefault="00BA1C29" w:rsidP="00E67CB0">
            <w:pPr>
              <w:pStyle w:val="Textocomentario"/>
              <w:numPr>
                <w:ilvl w:val="0"/>
                <w:numId w:val="193"/>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 xml:space="preserve">Desarrollo de políticas sin consideración de la problemática de la tenencia de la tierra. </w:t>
            </w:r>
          </w:p>
          <w:p w14:paraId="77126750" w14:textId="77777777" w:rsidR="00BA1C29" w:rsidRPr="009A27ED" w:rsidRDefault="00BA1C29" w:rsidP="00E67CB0">
            <w:pPr>
              <w:pStyle w:val="Textocomentario"/>
              <w:numPr>
                <w:ilvl w:val="0"/>
                <w:numId w:val="193"/>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 xml:space="preserve">La falta de políticas de control y fiscalización generan Inseguridad en los mercados, reduce las oportunidades de aprovechamiento y comercialización de productos y subproductos forestales. </w:t>
            </w:r>
          </w:p>
          <w:p w14:paraId="1812505E" w14:textId="77777777" w:rsidR="00BA1C29" w:rsidRPr="009A27ED" w:rsidRDefault="00BA1C29" w:rsidP="00E67CB0">
            <w:pPr>
              <w:pStyle w:val="Textocomentario"/>
              <w:numPr>
                <w:ilvl w:val="0"/>
                <w:numId w:val="193"/>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Desigualdad en la aplicación de la leyes y debilidad en los mecanismos de control y sanción.</w:t>
            </w:r>
          </w:p>
          <w:p w14:paraId="11A1D3A2" w14:textId="77777777" w:rsidR="00BA1C29" w:rsidRPr="009A27ED" w:rsidRDefault="00BA1C29" w:rsidP="00E67CB0">
            <w:pPr>
              <w:pStyle w:val="Textocomentario"/>
              <w:numPr>
                <w:ilvl w:val="0"/>
                <w:numId w:val="193"/>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Incumplimiento de acuerdos de autoridades y falta de continuidad de las políticas públicas orientadas a la conservación natural y uso sostenible de los recursos naturales.</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840AB26" w14:textId="77777777" w:rsidR="00BA1C29" w:rsidRPr="009A27ED" w:rsidRDefault="00BA1C29" w:rsidP="00C97A18">
            <w:pPr>
              <w:pStyle w:val="Textocomentario"/>
              <w:numPr>
                <w:ilvl w:val="0"/>
                <w:numId w:val="366"/>
              </w:numPr>
              <w:spacing w:line="254" w:lineRule="auto"/>
              <w:ind w:left="356"/>
              <w:jc w:val="left"/>
              <w:rPr>
                <w:rFonts w:asciiTheme="minorHAnsi" w:hAnsiTheme="minorHAnsi" w:cstheme="minorHAnsi"/>
                <w:lang w:val="es-ES"/>
              </w:rPr>
            </w:pPr>
            <w:r w:rsidRPr="009A27ED">
              <w:rPr>
                <w:rFonts w:asciiTheme="minorHAnsi" w:hAnsiTheme="minorHAnsi" w:cstheme="minorHAnsi"/>
                <w:lang w:val="es-ES"/>
              </w:rPr>
              <w:t>Participación de actores locales en talleres de consulta para apoyar la revisión y actualización de mecanismos de control y fiscalización forestal incluyendo la determinación del origen legal, aprovechamiento y comercialización de los productos y subproductos forestales.</w:t>
            </w:r>
          </w:p>
        </w:tc>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3F2743F" w14:textId="6640CA81" w:rsidR="00BA1C29" w:rsidRPr="009A27ED" w:rsidRDefault="00BA1C29" w:rsidP="00E67CB0">
            <w:pPr>
              <w:pStyle w:val="Textocomentario"/>
              <w:numPr>
                <w:ilvl w:val="0"/>
                <w:numId w:val="194"/>
              </w:numPr>
              <w:spacing w:line="254" w:lineRule="auto"/>
              <w:ind w:left="391"/>
              <w:rPr>
                <w:rFonts w:asciiTheme="minorHAnsi" w:hAnsiTheme="minorHAnsi" w:cstheme="minorHAnsi"/>
                <w:lang w:val="es-ES"/>
              </w:rPr>
            </w:pPr>
            <w:r w:rsidRPr="009A27ED">
              <w:rPr>
                <w:rFonts w:asciiTheme="minorHAnsi" w:hAnsiTheme="minorHAnsi" w:cstheme="minorHAnsi"/>
                <w:lang w:val="es-ES"/>
              </w:rPr>
              <w:t>El MARN revisar</w:t>
            </w:r>
            <w:r w:rsidR="004F4E28" w:rsidRPr="009A27ED">
              <w:rPr>
                <w:rFonts w:asciiTheme="minorHAnsi" w:hAnsiTheme="minorHAnsi" w:cstheme="minorHAnsi"/>
                <w:lang w:val="es-ES"/>
              </w:rPr>
              <w:t>á</w:t>
            </w:r>
            <w:r w:rsidRPr="009A27ED">
              <w:rPr>
                <w:rFonts w:asciiTheme="minorHAnsi" w:hAnsiTheme="minorHAnsi" w:cstheme="minorHAnsi"/>
                <w:lang w:val="es-ES"/>
              </w:rPr>
              <w:t xml:space="preserve"> y adecuar</w:t>
            </w:r>
            <w:r w:rsidR="004F4E28" w:rsidRPr="009A27ED">
              <w:rPr>
                <w:rFonts w:asciiTheme="minorHAnsi" w:hAnsiTheme="minorHAnsi" w:cstheme="minorHAnsi"/>
                <w:lang w:val="es-ES"/>
              </w:rPr>
              <w:t>á</w:t>
            </w:r>
            <w:r w:rsidRPr="009A27ED">
              <w:rPr>
                <w:rFonts w:asciiTheme="minorHAnsi" w:hAnsiTheme="minorHAnsi" w:cstheme="minorHAnsi"/>
                <w:lang w:val="es-ES"/>
              </w:rPr>
              <w:t xml:space="preserve"> el procedimiento de transporte de madera procedente de los bosques (naturales y plantados) en pro de la trazabilidad de los productos forestales y</w:t>
            </w:r>
          </w:p>
          <w:p w14:paraId="77626B80" w14:textId="77777777" w:rsidR="00BA1C29" w:rsidRPr="009A27ED" w:rsidRDefault="00BA1C29" w:rsidP="00C97A18">
            <w:pPr>
              <w:pStyle w:val="Textocomentario"/>
              <w:numPr>
                <w:ilvl w:val="0"/>
                <w:numId w:val="366"/>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Fortalecerá capacidades en la aplicación del reglamento para el control, vigilancia e inspección ambiental y la aplicación de sanciones administrativas.</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5C30CCE" w14:textId="77777777" w:rsidR="00BA1C29" w:rsidRPr="009A27ED" w:rsidRDefault="00BA1C29" w:rsidP="00E67CB0">
            <w:pPr>
              <w:pStyle w:val="Textocomentario"/>
              <w:numPr>
                <w:ilvl w:val="0"/>
                <w:numId w:val="195"/>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Participación de actores locales en talleres de consulta para apoyar la revisión y actualización de mecanismos de control y fiscalización forestal incluyendo la determinación del origen legal, aprovechamiento y comercialización de los productos y subproductos forestales.</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6CF05B0" w14:textId="77777777" w:rsidR="00BA1C29" w:rsidRPr="009A27ED" w:rsidRDefault="00BA1C29">
            <w:pPr>
              <w:pStyle w:val="Sinespaciado"/>
              <w:spacing w:line="254" w:lineRule="auto"/>
              <w:rPr>
                <w:sz w:val="20"/>
                <w:szCs w:val="20"/>
                <w:lang w:val="fr-FR"/>
              </w:rPr>
            </w:pPr>
            <w:proofErr w:type="spellStart"/>
            <w:r w:rsidRPr="009A27ED">
              <w:rPr>
                <w:sz w:val="20"/>
                <w:szCs w:val="20"/>
                <w:lang w:val="fr-FR"/>
              </w:rPr>
              <w:t>Hábitats</w:t>
            </w:r>
            <w:proofErr w:type="spellEnd"/>
            <w:r w:rsidRPr="009A27ED">
              <w:rPr>
                <w:sz w:val="20"/>
                <w:szCs w:val="20"/>
                <w:lang w:val="fr-FR"/>
              </w:rPr>
              <w:t xml:space="preserve"> </w:t>
            </w:r>
            <w:proofErr w:type="spellStart"/>
            <w:r w:rsidRPr="009A27ED">
              <w:rPr>
                <w:sz w:val="20"/>
                <w:szCs w:val="20"/>
                <w:lang w:val="fr-FR"/>
              </w:rPr>
              <w:t>naturales</w:t>
            </w:r>
            <w:proofErr w:type="spellEnd"/>
            <w:r w:rsidRPr="009A27ED">
              <w:rPr>
                <w:sz w:val="20"/>
                <w:szCs w:val="20"/>
                <w:lang w:val="fr-FR"/>
              </w:rPr>
              <w:t xml:space="preserve"> (PO 4.04)</w:t>
            </w:r>
          </w:p>
          <w:p w14:paraId="7F1A1C62" w14:textId="77777777" w:rsidR="00BA1C29" w:rsidRPr="009A27ED" w:rsidRDefault="00BA1C29">
            <w:pPr>
              <w:pStyle w:val="Sinespaciado"/>
              <w:spacing w:line="254" w:lineRule="auto"/>
              <w:rPr>
                <w:sz w:val="20"/>
                <w:szCs w:val="20"/>
                <w:lang w:val="fr-FR"/>
              </w:rPr>
            </w:pPr>
            <w:proofErr w:type="spellStart"/>
            <w:r w:rsidRPr="009A27ED">
              <w:rPr>
                <w:sz w:val="20"/>
                <w:szCs w:val="20"/>
                <w:lang w:val="fr-FR"/>
              </w:rPr>
              <w:t>Bosques</w:t>
            </w:r>
            <w:proofErr w:type="spellEnd"/>
            <w:r w:rsidRPr="009A27ED">
              <w:rPr>
                <w:sz w:val="20"/>
                <w:szCs w:val="20"/>
                <w:lang w:val="fr-FR"/>
              </w:rPr>
              <w:t xml:space="preserve"> (PO 4.36)</w:t>
            </w:r>
          </w:p>
          <w:p w14:paraId="27BFC7BA"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lang w:val="es-ES"/>
              </w:rPr>
              <w:t xml:space="preserve">Evaluación Ambiental (PO 4.01)  </w:t>
            </w:r>
          </w:p>
          <w:p w14:paraId="035DE23F"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b/>
                <w:lang w:val="es-ES"/>
              </w:rPr>
              <w:t>Salvaguardas REDD+</w:t>
            </w:r>
            <w:r w:rsidRPr="009A27ED">
              <w:rPr>
                <w:rFonts w:asciiTheme="minorHAnsi" w:hAnsiTheme="minorHAnsi" w:cstheme="minorHAnsi"/>
                <w:lang w:val="es-ES"/>
              </w:rPr>
              <w:t xml:space="preserve"> A, B, D, E, F y G</w:t>
            </w:r>
          </w:p>
        </w:tc>
      </w:tr>
      <w:tr w:rsidR="00BA1C29" w:rsidRPr="009A27ED" w14:paraId="547CB3F1" w14:textId="77777777" w:rsidTr="00DF1AF5">
        <w:tc>
          <w:tcPr>
            <w:tcW w:w="143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DD1EA2C" w14:textId="77777777" w:rsidR="00BA1C29" w:rsidRPr="009A27ED" w:rsidRDefault="00BA1C29">
            <w:pPr>
              <w:rPr>
                <w:rFonts w:eastAsia="Times New Roman"/>
                <w:sz w:val="20"/>
                <w:szCs w:val="20"/>
                <w:lang w:val="es-DO" w:eastAsia="es-ES_tradnl"/>
              </w:rPr>
            </w:pP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9117D31" w14:textId="77777777" w:rsidR="00BA1C29" w:rsidRPr="009A27ED" w:rsidRDefault="00BA1C29" w:rsidP="00E67CB0">
            <w:pPr>
              <w:pStyle w:val="Prrafodelista"/>
              <w:numPr>
                <w:ilvl w:val="1"/>
                <w:numId w:val="176"/>
              </w:numPr>
              <w:spacing w:after="0" w:line="240" w:lineRule="auto"/>
              <w:rPr>
                <w:sz w:val="20"/>
                <w:szCs w:val="20"/>
                <w:lang w:val="es-DO"/>
              </w:rPr>
            </w:pPr>
            <w:r w:rsidRPr="009A27ED">
              <w:rPr>
                <w:sz w:val="20"/>
                <w:szCs w:val="20"/>
                <w:lang w:val="es-DO"/>
              </w:rPr>
              <w:t>Fortalecer las capacidades institucionales de las entidades responsables de implementar las acciones REDD+.</w:t>
            </w:r>
          </w:p>
        </w:tc>
        <w:tc>
          <w:tcPr>
            <w:tcW w:w="17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EFC8728" w14:textId="77777777" w:rsidR="00BA1C29" w:rsidRPr="009A27ED" w:rsidRDefault="00BA1C29">
            <w:pPr>
              <w:rPr>
                <w:sz w:val="20"/>
                <w:szCs w:val="20"/>
                <w:lang w:val="es-DO"/>
              </w:rPr>
            </w:pPr>
            <w:r w:rsidRPr="009A27ED">
              <w:rPr>
                <w:b/>
                <w:sz w:val="20"/>
                <w:szCs w:val="20"/>
                <w:lang w:val="es-DO"/>
              </w:rPr>
              <w:t>Acción Facilitadora</w:t>
            </w:r>
            <w:r w:rsidRPr="009A27ED">
              <w:rPr>
                <w:sz w:val="20"/>
                <w:szCs w:val="20"/>
                <w:lang w:val="es-DO"/>
              </w:rPr>
              <w:t>: Revisar, establecer y asignar los recursos humanos y logísticos para la implementación de REDD+ a nivel institucional.</w:t>
            </w:r>
          </w:p>
          <w:p w14:paraId="38D9F8E0" w14:textId="77777777" w:rsidR="00BA1C29" w:rsidRPr="009A27ED" w:rsidRDefault="00BA1C29">
            <w:pPr>
              <w:rPr>
                <w:sz w:val="20"/>
                <w:szCs w:val="20"/>
                <w:lang w:val="es-DO"/>
              </w:rPr>
            </w:pPr>
            <w:r w:rsidRPr="009A27ED">
              <w:rPr>
                <w:sz w:val="20"/>
                <w:szCs w:val="20"/>
                <w:lang w:val="es-DO"/>
              </w:rPr>
              <w:t>Establecer un programa de capacitación a nivel central y local en todas las estructuras de gobernanza de REDD+.</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D2D8038" w14:textId="77777777" w:rsidR="00BA1C29" w:rsidRPr="009A27ED" w:rsidRDefault="00BA1C29">
            <w:pPr>
              <w:rPr>
                <w:sz w:val="20"/>
                <w:szCs w:val="20"/>
                <w:lang w:val="es-DO"/>
              </w:rPr>
            </w:pPr>
            <w:r w:rsidRPr="009A27ED">
              <w:rPr>
                <w:sz w:val="20"/>
                <w:szCs w:val="20"/>
                <w:lang w:val="es-DO"/>
              </w:rPr>
              <w:t>Nacional</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59CABD3" w14:textId="77777777" w:rsidR="00BA1C29" w:rsidRPr="009A27ED" w:rsidRDefault="00BA1C29" w:rsidP="00E67CB0">
            <w:pPr>
              <w:pStyle w:val="Textocomentario"/>
              <w:numPr>
                <w:ilvl w:val="0"/>
                <w:numId w:val="196"/>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Deficientes mecanismos de control y vigilancia de las autoridades para atender denuncias de ilícitos ambientales por el establecimiento de proyectos de conservación natural y uso sostenible.</w:t>
            </w:r>
          </w:p>
          <w:p w14:paraId="1678A26F" w14:textId="77777777" w:rsidR="00BA1C29" w:rsidRPr="009A27ED" w:rsidRDefault="00BA1C29" w:rsidP="00E67CB0">
            <w:pPr>
              <w:pStyle w:val="Textocomentario"/>
              <w:numPr>
                <w:ilvl w:val="0"/>
                <w:numId w:val="196"/>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No tomar en cuenta el fortalecimiento continuo de capacidades del personal técnico de las instituciones públicas en el marco legal e institucional.</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CFC3BA4" w14:textId="77777777" w:rsidR="00BA1C29" w:rsidRPr="009A27ED" w:rsidRDefault="00BA1C29" w:rsidP="00C97A18">
            <w:pPr>
              <w:pStyle w:val="Textocomentario"/>
              <w:numPr>
                <w:ilvl w:val="0"/>
                <w:numId w:val="369"/>
              </w:numPr>
              <w:spacing w:line="254" w:lineRule="auto"/>
              <w:jc w:val="left"/>
              <w:rPr>
                <w:rFonts w:asciiTheme="minorHAnsi" w:hAnsiTheme="minorHAnsi" w:cstheme="minorHAnsi"/>
                <w:lang w:val="es-ES"/>
              </w:rPr>
            </w:pPr>
            <w:r w:rsidRPr="009A27ED">
              <w:rPr>
                <w:rFonts w:asciiTheme="minorHAnsi" w:hAnsiTheme="minorHAnsi" w:cstheme="minorHAnsi"/>
                <w:lang w:val="es-ES"/>
              </w:rPr>
              <w:t>Se darán talleres a nivel local con actores clave y personal de las instituciones involucradas, en el marco del Programa de fortalecimiento institucional diseñado para apoyar la implementación de REDD+.</w:t>
            </w:r>
          </w:p>
        </w:tc>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388C8B6" w14:textId="4017A63A" w:rsidR="00BA1C29" w:rsidRPr="009A27ED" w:rsidRDefault="00BA1C29" w:rsidP="00E67CB0">
            <w:pPr>
              <w:pStyle w:val="Textocomentario"/>
              <w:numPr>
                <w:ilvl w:val="0"/>
                <w:numId w:val="197"/>
              </w:numPr>
              <w:spacing w:line="254" w:lineRule="auto"/>
              <w:ind w:left="391"/>
              <w:rPr>
                <w:rFonts w:asciiTheme="minorHAnsi" w:hAnsiTheme="minorHAnsi" w:cstheme="minorHAnsi"/>
                <w:lang w:val="es-ES"/>
              </w:rPr>
            </w:pPr>
            <w:r w:rsidRPr="009A27ED">
              <w:rPr>
                <w:rFonts w:asciiTheme="minorHAnsi" w:hAnsiTheme="minorHAnsi" w:cstheme="minorHAnsi"/>
                <w:lang w:val="es-ES"/>
              </w:rPr>
              <w:t>Basado en el diagnóstico de capacidades de las Entidades Ejecutoras, se ha formulado un plan de fortalecimiento instituciona</w:t>
            </w:r>
            <w:r w:rsidR="000A2A53" w:rsidRPr="009A27ED">
              <w:rPr>
                <w:rFonts w:asciiTheme="minorHAnsi" w:hAnsiTheme="minorHAnsi" w:cstheme="minorHAnsi"/>
                <w:lang w:val="es-ES"/>
              </w:rPr>
              <w:t>l</w:t>
            </w:r>
            <w:r w:rsidRPr="009A27ED">
              <w:rPr>
                <w:rFonts w:asciiTheme="minorHAnsi" w:hAnsiTheme="minorHAnsi" w:cstheme="minorHAnsi"/>
                <w:lang w:val="es-ES"/>
              </w:rPr>
              <w:t xml:space="preserve">, que incluye al personal técnico de las EE, así como personal de oficinas centrales, regionales y locales de las dependencias involucradas en REDD+.  </w:t>
            </w:r>
          </w:p>
          <w:p w14:paraId="4782D2A4" w14:textId="190F24C9" w:rsidR="00BA1C29" w:rsidRPr="009A27ED" w:rsidRDefault="00BA1C29" w:rsidP="00C97A18">
            <w:pPr>
              <w:pStyle w:val="Textocomentario"/>
              <w:numPr>
                <w:ilvl w:val="0"/>
                <w:numId w:val="197"/>
              </w:numPr>
              <w:spacing w:line="254" w:lineRule="auto"/>
              <w:ind w:left="391"/>
              <w:rPr>
                <w:rFonts w:asciiTheme="minorHAnsi" w:hAnsiTheme="minorHAnsi" w:cstheme="minorHAnsi"/>
                <w:lang w:val="es-ES"/>
              </w:rPr>
            </w:pPr>
            <w:r w:rsidRPr="009A27ED">
              <w:t>En los convenios o arreglos institucionales se han incluido las</w:t>
            </w:r>
            <w:r w:rsidRPr="009A27ED">
              <w:rPr>
                <w:strike/>
              </w:rPr>
              <w:t xml:space="preserve"> acciones</w:t>
            </w:r>
            <w:r w:rsidRPr="009A27ED">
              <w:t xml:space="preserve"> </w:t>
            </w:r>
            <w:r w:rsidRPr="009A27ED">
              <w:rPr>
                <w:strike/>
              </w:rPr>
              <w:t>y</w:t>
            </w:r>
            <w:r w:rsidRPr="009A27ED">
              <w:t xml:space="preserve"> responsabilidades particulares de las Entidades Ejecutoras para </w:t>
            </w:r>
            <w:r w:rsidR="00D33916" w:rsidRPr="009A27ED">
              <w:t xml:space="preserve">la </w:t>
            </w:r>
            <w:r w:rsidR="00970507" w:rsidRPr="009A27ED">
              <w:t xml:space="preserve">implementación de </w:t>
            </w:r>
            <w:r w:rsidR="00D33916" w:rsidRPr="009A27ED">
              <w:t>sus acciones en el programa REDD+</w:t>
            </w:r>
            <w:r w:rsidR="00970507" w:rsidRPr="009A27ED">
              <w:t xml:space="preserve">, lo que implica reforzamiento de sus capacidades en términos logísticos y de personal técnico. </w:t>
            </w:r>
            <w:r w:rsidR="00970507" w:rsidRPr="009A27ED">
              <w:rPr>
                <w:strike/>
              </w:rPr>
              <w:t>las</w:t>
            </w:r>
            <w:r w:rsidR="00D33916" w:rsidRPr="009A27ED">
              <w:rPr>
                <w:strike/>
              </w:rPr>
              <w:t xml:space="preserve"> actividades </w:t>
            </w:r>
            <w:r w:rsidRPr="009A27ED">
              <w:rPr>
                <w:strike/>
              </w:rPr>
              <w:t>fortalecer sus capacidades institucionales</w:t>
            </w:r>
            <w:r w:rsidRPr="009A27ED">
              <w:rPr>
                <w:rFonts w:asciiTheme="minorHAnsi" w:hAnsiTheme="minorHAnsi" w:cstheme="minorHAnsi"/>
                <w:strike/>
                <w:lang w:val="es-ES"/>
              </w:rPr>
              <w:t>.</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0D7BC5E" w14:textId="77777777" w:rsidR="00BA1C29" w:rsidRPr="009A27ED" w:rsidRDefault="00BA1C29" w:rsidP="00E67CB0">
            <w:pPr>
              <w:pStyle w:val="Textocomentario"/>
              <w:numPr>
                <w:ilvl w:val="0"/>
                <w:numId w:val="198"/>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Se darán talleres a nivel local con actores clave y personal de las instituciones involucradas, en el marco del Programa de fortalecimiento institucional diseñado para apoyar la implementación de REDD+.</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F620D01" w14:textId="77777777" w:rsidR="00BA1C29" w:rsidRPr="009A27ED" w:rsidRDefault="00BA1C29">
            <w:pPr>
              <w:pStyle w:val="Sinespaciado"/>
              <w:spacing w:line="254" w:lineRule="auto"/>
              <w:rPr>
                <w:sz w:val="20"/>
                <w:szCs w:val="20"/>
                <w:lang w:val="fr-FR"/>
              </w:rPr>
            </w:pPr>
            <w:proofErr w:type="spellStart"/>
            <w:r w:rsidRPr="009A27ED">
              <w:rPr>
                <w:sz w:val="20"/>
                <w:szCs w:val="20"/>
                <w:lang w:val="fr-FR"/>
              </w:rPr>
              <w:t>Hábitats</w:t>
            </w:r>
            <w:proofErr w:type="spellEnd"/>
            <w:r w:rsidRPr="009A27ED">
              <w:rPr>
                <w:sz w:val="20"/>
                <w:szCs w:val="20"/>
                <w:lang w:val="fr-FR"/>
              </w:rPr>
              <w:t xml:space="preserve"> </w:t>
            </w:r>
            <w:proofErr w:type="spellStart"/>
            <w:r w:rsidRPr="009A27ED">
              <w:rPr>
                <w:sz w:val="20"/>
                <w:szCs w:val="20"/>
                <w:lang w:val="fr-FR"/>
              </w:rPr>
              <w:t>naturales</w:t>
            </w:r>
            <w:proofErr w:type="spellEnd"/>
            <w:r w:rsidRPr="009A27ED">
              <w:rPr>
                <w:sz w:val="20"/>
                <w:szCs w:val="20"/>
                <w:lang w:val="fr-FR"/>
              </w:rPr>
              <w:t xml:space="preserve"> (PO 4.04)</w:t>
            </w:r>
          </w:p>
          <w:p w14:paraId="1F99DBAC" w14:textId="77777777" w:rsidR="00BA1C29" w:rsidRPr="009A27ED" w:rsidRDefault="00BA1C29">
            <w:pPr>
              <w:pStyle w:val="Sinespaciado"/>
              <w:spacing w:line="254" w:lineRule="auto"/>
              <w:rPr>
                <w:sz w:val="20"/>
                <w:szCs w:val="20"/>
                <w:lang w:val="fr-FR"/>
              </w:rPr>
            </w:pPr>
            <w:proofErr w:type="spellStart"/>
            <w:r w:rsidRPr="009A27ED">
              <w:rPr>
                <w:sz w:val="20"/>
                <w:szCs w:val="20"/>
                <w:lang w:val="fr-FR"/>
              </w:rPr>
              <w:t>Bosques</w:t>
            </w:r>
            <w:proofErr w:type="spellEnd"/>
            <w:r w:rsidRPr="009A27ED">
              <w:rPr>
                <w:sz w:val="20"/>
                <w:szCs w:val="20"/>
                <w:lang w:val="fr-FR"/>
              </w:rPr>
              <w:t xml:space="preserve"> (PO 4.36)</w:t>
            </w:r>
          </w:p>
          <w:p w14:paraId="6C8D21AF"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lang w:val="es-ES"/>
              </w:rPr>
              <w:t xml:space="preserve">Evaluación Ambiental (PO 4.01)  </w:t>
            </w:r>
          </w:p>
          <w:p w14:paraId="7D522C5C"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b/>
                <w:lang w:val="es-ES"/>
              </w:rPr>
              <w:t>Salvaguardas REDD+</w:t>
            </w:r>
            <w:r w:rsidRPr="009A27ED">
              <w:rPr>
                <w:rFonts w:asciiTheme="minorHAnsi" w:hAnsiTheme="minorHAnsi" w:cstheme="minorHAnsi"/>
                <w:lang w:val="es-ES"/>
              </w:rPr>
              <w:t xml:space="preserve"> A, B, D, E, F y G</w:t>
            </w:r>
          </w:p>
        </w:tc>
      </w:tr>
      <w:tr w:rsidR="00BA1C29" w:rsidRPr="009A27ED" w14:paraId="2C28370D" w14:textId="77777777" w:rsidTr="00DF1AF5">
        <w:tc>
          <w:tcPr>
            <w:tcW w:w="1437"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F0FFB64" w14:textId="77777777" w:rsidR="00BA1C29" w:rsidRPr="009A27ED" w:rsidRDefault="00BA1C29">
            <w:pPr>
              <w:spacing w:line="256" w:lineRule="auto"/>
              <w:rPr>
                <w:sz w:val="20"/>
                <w:szCs w:val="20"/>
                <w:lang w:val="es-DO"/>
              </w:rPr>
            </w:pPr>
            <w:r w:rsidRPr="009A27ED">
              <w:rPr>
                <w:bCs/>
                <w:sz w:val="20"/>
                <w:szCs w:val="20"/>
                <w:lang w:val="es-DO"/>
              </w:rPr>
              <w:t xml:space="preserve">2. Establecer, fortalecer y aplicar políticas </w:t>
            </w:r>
            <w:r w:rsidRPr="009A27ED">
              <w:rPr>
                <w:bCs/>
                <w:sz w:val="20"/>
                <w:szCs w:val="20"/>
                <w:lang w:val="es-DO"/>
              </w:rPr>
              <w:lastRenderedPageBreak/>
              <w:t xml:space="preserve">públicas para limitar y/o contener la expansión de la frontera agrícola, ganadera y de infraestructura en áreas boscosas </w:t>
            </w:r>
          </w:p>
          <w:p w14:paraId="332C192D" w14:textId="77777777" w:rsidR="00BA1C29" w:rsidRPr="009A27ED" w:rsidRDefault="00BA1C29">
            <w:pPr>
              <w:rPr>
                <w:sz w:val="20"/>
                <w:szCs w:val="20"/>
                <w:lang w:val="es-DO"/>
              </w:rPr>
            </w:pP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DCE91C3" w14:textId="77777777" w:rsidR="00BA1C29" w:rsidRPr="009A27ED" w:rsidRDefault="00BA1C29" w:rsidP="00E67CB0">
            <w:pPr>
              <w:pStyle w:val="Prrafodelista"/>
              <w:numPr>
                <w:ilvl w:val="1"/>
                <w:numId w:val="199"/>
              </w:numPr>
              <w:spacing w:after="0" w:line="240" w:lineRule="auto"/>
              <w:rPr>
                <w:sz w:val="20"/>
                <w:szCs w:val="20"/>
                <w:lang w:val="es-DO"/>
              </w:rPr>
            </w:pPr>
            <w:r w:rsidRPr="009A27ED">
              <w:rPr>
                <w:sz w:val="20"/>
                <w:szCs w:val="20"/>
                <w:lang w:val="es-DO"/>
              </w:rPr>
              <w:lastRenderedPageBreak/>
              <w:t xml:space="preserve">Fortalecer mecanismos de coordinación interinstitucional efectivos para la </w:t>
            </w:r>
            <w:r w:rsidRPr="009A27ED">
              <w:rPr>
                <w:sz w:val="20"/>
                <w:szCs w:val="20"/>
                <w:lang w:val="es-DO"/>
              </w:rPr>
              <w:lastRenderedPageBreak/>
              <w:t>coherencia de las políticas públicas de conservación, uso sostenible y restauración de los bosques.</w:t>
            </w:r>
          </w:p>
        </w:tc>
        <w:tc>
          <w:tcPr>
            <w:tcW w:w="17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8BACB72" w14:textId="77777777" w:rsidR="00BA1C29" w:rsidRPr="009A27ED" w:rsidRDefault="00BA1C29">
            <w:pPr>
              <w:rPr>
                <w:sz w:val="20"/>
                <w:szCs w:val="20"/>
                <w:lang w:val="es-DO"/>
              </w:rPr>
            </w:pPr>
            <w:r w:rsidRPr="009A27ED">
              <w:rPr>
                <w:b/>
                <w:sz w:val="20"/>
                <w:szCs w:val="20"/>
                <w:lang w:val="es-DO"/>
              </w:rPr>
              <w:lastRenderedPageBreak/>
              <w:t>Acción Facilitadora</w:t>
            </w:r>
            <w:r w:rsidRPr="009A27ED">
              <w:rPr>
                <w:sz w:val="20"/>
                <w:szCs w:val="20"/>
                <w:lang w:val="es-DO"/>
              </w:rPr>
              <w:t>: Establecimiento de convenios interinstitucionales</w:t>
            </w:r>
            <w:r w:rsidRPr="009A27ED">
              <w:rPr>
                <w:sz w:val="20"/>
                <w:szCs w:val="20"/>
                <w:lang w:val="es-DO"/>
              </w:rPr>
              <w:lastRenderedPageBreak/>
              <w:t>; acuerdos de ejecución conjunta; definición de estándares y protocolos conjuntos</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11B9393" w14:textId="77777777" w:rsidR="00BA1C29" w:rsidRPr="009A27ED" w:rsidRDefault="00BA1C29">
            <w:pPr>
              <w:rPr>
                <w:sz w:val="20"/>
                <w:szCs w:val="20"/>
                <w:lang w:val="es-DO"/>
              </w:rPr>
            </w:pPr>
            <w:r w:rsidRPr="009A27ED">
              <w:rPr>
                <w:sz w:val="20"/>
                <w:szCs w:val="20"/>
                <w:lang w:val="es-DO"/>
              </w:rPr>
              <w:lastRenderedPageBreak/>
              <w:t>Nacional</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9F97353" w14:textId="77777777" w:rsidR="00BA1C29" w:rsidRPr="009A27ED" w:rsidRDefault="00BA1C29" w:rsidP="00E67CB0">
            <w:pPr>
              <w:pStyle w:val="Textocomentario"/>
              <w:numPr>
                <w:ilvl w:val="0"/>
                <w:numId w:val="200"/>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Planificación y/o ejecución interinstitucional deficiente de las políticas públicas.</w:t>
            </w:r>
          </w:p>
          <w:p w14:paraId="01CA19FD" w14:textId="77777777" w:rsidR="00BA1C29" w:rsidRPr="009A27ED" w:rsidRDefault="00BA1C29" w:rsidP="00E67CB0">
            <w:pPr>
              <w:pStyle w:val="Textocomentario"/>
              <w:numPr>
                <w:ilvl w:val="0"/>
                <w:numId w:val="200"/>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 xml:space="preserve">Carencia de estudios base para elaborar y aplicar políticas </w:t>
            </w:r>
            <w:r w:rsidRPr="009A27ED">
              <w:rPr>
                <w:rFonts w:asciiTheme="minorHAnsi" w:hAnsiTheme="minorHAnsi" w:cstheme="minorHAnsi"/>
                <w:lang w:val="es-ES"/>
              </w:rPr>
              <w:lastRenderedPageBreak/>
              <w:t>públicas, proyectos y programas basada en evidencias científicas.</w:t>
            </w:r>
          </w:p>
          <w:p w14:paraId="4153A26D" w14:textId="77777777" w:rsidR="00BA1C29" w:rsidRPr="009A27ED" w:rsidRDefault="00BA1C29" w:rsidP="00E67CB0">
            <w:pPr>
              <w:pStyle w:val="Textocomentario"/>
              <w:numPr>
                <w:ilvl w:val="0"/>
                <w:numId w:val="200"/>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 xml:space="preserve">Desconocimiento de las actividades tradicionales productivas de las familias afectadas por parte de tomadores de decisión genera descontento, resistencia y conflictos.  </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08B0D30" w14:textId="77777777" w:rsidR="00BA1C29" w:rsidRPr="009A27ED" w:rsidRDefault="00BA1C29" w:rsidP="00C97A18">
            <w:pPr>
              <w:pStyle w:val="Textocomentario"/>
              <w:numPr>
                <w:ilvl w:val="0"/>
                <w:numId w:val="372"/>
              </w:numPr>
              <w:spacing w:line="254" w:lineRule="auto"/>
              <w:jc w:val="left"/>
              <w:rPr>
                <w:rFonts w:asciiTheme="minorHAnsi" w:hAnsiTheme="minorHAnsi" w:cstheme="minorHAnsi"/>
                <w:lang w:val="es-ES"/>
              </w:rPr>
            </w:pPr>
            <w:r w:rsidRPr="009A27ED">
              <w:rPr>
                <w:rFonts w:asciiTheme="minorHAnsi" w:hAnsiTheme="minorHAnsi" w:cstheme="minorHAnsi"/>
                <w:lang w:val="es-ES"/>
              </w:rPr>
              <w:lastRenderedPageBreak/>
              <w:t xml:space="preserve">Desarrollo de arreglos institucionales que definan los roles de los actores y los beneficios y obligaciones que se contraen al </w:t>
            </w:r>
            <w:r w:rsidRPr="009A27ED">
              <w:rPr>
                <w:rFonts w:asciiTheme="minorHAnsi" w:hAnsiTheme="minorHAnsi" w:cstheme="minorHAnsi"/>
                <w:lang w:val="es-ES"/>
              </w:rPr>
              <w:lastRenderedPageBreak/>
              <w:t>implementar actividades tipo en el área.</w:t>
            </w:r>
          </w:p>
        </w:tc>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185AFE6" w14:textId="7A761624" w:rsidR="00BA1C29" w:rsidRPr="009A27ED" w:rsidRDefault="00BA1C29" w:rsidP="00562F95">
            <w:pPr>
              <w:pStyle w:val="Prrafodelista"/>
              <w:numPr>
                <w:ilvl w:val="0"/>
                <w:numId w:val="201"/>
              </w:numPr>
              <w:spacing w:after="240" w:line="240" w:lineRule="auto"/>
              <w:ind w:left="391"/>
              <w:jc w:val="left"/>
              <w:rPr>
                <w:sz w:val="20"/>
                <w:szCs w:val="20"/>
                <w:lang w:val="es-ES" w:eastAsia="en-NZ"/>
              </w:rPr>
            </w:pPr>
            <w:r w:rsidRPr="009A27ED">
              <w:rPr>
                <w:sz w:val="20"/>
                <w:szCs w:val="20"/>
              </w:rPr>
              <w:lastRenderedPageBreak/>
              <w:t xml:space="preserve">En los convenios o arreglos institucionales se han incluido los </w:t>
            </w:r>
            <w:r w:rsidR="00A143F7" w:rsidRPr="009A27ED">
              <w:rPr>
                <w:sz w:val="20"/>
                <w:szCs w:val="20"/>
              </w:rPr>
              <w:t>r</w:t>
            </w:r>
            <w:r w:rsidRPr="009A27ED">
              <w:rPr>
                <w:sz w:val="20"/>
                <w:szCs w:val="20"/>
              </w:rPr>
              <w:t xml:space="preserve">oles, acciones y </w:t>
            </w:r>
            <w:r w:rsidR="00FD0DEB" w:rsidRPr="009A27ED">
              <w:rPr>
                <w:sz w:val="20"/>
                <w:szCs w:val="20"/>
              </w:rPr>
              <w:t xml:space="preserve">responsabilidades particulares de las Entidades Ejecutoras para la implementación de </w:t>
            </w:r>
            <w:r w:rsidR="00FD0DEB" w:rsidRPr="009A27ED">
              <w:rPr>
                <w:sz w:val="20"/>
                <w:szCs w:val="20"/>
              </w:rPr>
              <w:lastRenderedPageBreak/>
              <w:t>sus acciones en el programa REDD+, lo que implica reforzamiento de sus capacidades en términos logísticos y de personal técnico</w:t>
            </w:r>
            <w:r w:rsidR="00A143F7" w:rsidRPr="009A27ED">
              <w:rPr>
                <w:sz w:val="20"/>
                <w:szCs w:val="20"/>
              </w:rPr>
              <w:t xml:space="preserve">, así como en su </w:t>
            </w:r>
            <w:r w:rsidRPr="009A27ED">
              <w:rPr>
                <w:sz w:val="20"/>
                <w:szCs w:val="20"/>
                <w:lang w:eastAsia="en-NZ"/>
              </w:rPr>
              <w:t>participa</w:t>
            </w:r>
            <w:r w:rsidR="00A143F7" w:rsidRPr="009A27ED">
              <w:rPr>
                <w:sz w:val="20"/>
                <w:szCs w:val="20"/>
                <w:lang w:eastAsia="en-NZ"/>
              </w:rPr>
              <w:t>ción para la</w:t>
            </w:r>
            <w:r w:rsidRPr="009A27ED">
              <w:rPr>
                <w:sz w:val="20"/>
                <w:szCs w:val="20"/>
                <w:lang w:eastAsia="en-NZ"/>
              </w:rPr>
              <w:t xml:space="preserve"> instrumentación del </w:t>
            </w:r>
            <w:r w:rsidR="00124B63" w:rsidRPr="009A27ED">
              <w:rPr>
                <w:sz w:val="20"/>
                <w:szCs w:val="20"/>
                <w:lang w:eastAsia="en-NZ"/>
              </w:rPr>
              <w:t>Programa REDD+</w:t>
            </w:r>
            <w:r w:rsidRPr="009A27ED">
              <w:rPr>
                <w:sz w:val="20"/>
                <w:szCs w:val="20"/>
                <w:lang w:eastAsia="en-NZ"/>
              </w:rPr>
              <w:t>.</w:t>
            </w:r>
          </w:p>
          <w:p w14:paraId="22EC915D" w14:textId="69E7BC6B" w:rsidR="00BA1C29" w:rsidRPr="009A27ED" w:rsidRDefault="00BA1C29" w:rsidP="00C97A18">
            <w:pPr>
              <w:pStyle w:val="Prrafodelista"/>
              <w:numPr>
                <w:ilvl w:val="0"/>
                <w:numId w:val="201"/>
              </w:numPr>
              <w:spacing w:after="240" w:line="240" w:lineRule="auto"/>
              <w:ind w:left="391"/>
              <w:jc w:val="left"/>
              <w:rPr>
                <w:szCs w:val="22"/>
                <w:lang w:val="es-ES"/>
              </w:rPr>
            </w:pPr>
            <w:r w:rsidRPr="009A27ED">
              <w:rPr>
                <w:sz w:val="20"/>
                <w:szCs w:val="20"/>
                <w:lang w:eastAsia="en-NZ"/>
              </w:rPr>
              <w:t xml:space="preserve">Una de las funciones del Comité Directivo (Ministerio de Agricultura, Ministerio de Medio Ambiente y Recursos Naturales, Ministerio de Economía, Planificación y Desarrollo) y el Comité Técnico </w:t>
            </w:r>
            <w:r w:rsidR="00A143F7" w:rsidRPr="009A27ED">
              <w:rPr>
                <w:sz w:val="20"/>
                <w:szCs w:val="20"/>
                <w:lang w:eastAsia="en-NZ"/>
              </w:rPr>
              <w:t>Asesor, se</w:t>
            </w:r>
            <w:r w:rsidRPr="009A27ED">
              <w:rPr>
                <w:sz w:val="20"/>
                <w:szCs w:val="20"/>
                <w:lang w:eastAsia="en-NZ"/>
              </w:rPr>
              <w:t xml:space="preserve"> encuentra velar por</w:t>
            </w:r>
            <w:r w:rsidRPr="009A27ED">
              <w:rPr>
                <w:sz w:val="20"/>
                <w:szCs w:val="20"/>
                <w:lang w:val="es-DO" w:eastAsia="es-ES_tradnl"/>
              </w:rPr>
              <w:t xml:space="preserve"> el cumplimiento de las obligaciones contenidas en los convenios interinstitucionales para lograr la implementación </w:t>
            </w:r>
            <w:r w:rsidRPr="009A27ED">
              <w:rPr>
                <w:sz w:val="20"/>
                <w:szCs w:val="20"/>
                <w:lang w:val="es-DO" w:eastAsia="en-NZ"/>
              </w:rPr>
              <w:t xml:space="preserve">efectiva de las políticas públicas de conservación, uso sostenible y restauración de los bosques. </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89151E8" w14:textId="77777777" w:rsidR="00BA1C29" w:rsidRPr="009A27ED" w:rsidRDefault="00BA1C29" w:rsidP="00E67CB0">
            <w:pPr>
              <w:pStyle w:val="Textocomentario"/>
              <w:numPr>
                <w:ilvl w:val="0"/>
                <w:numId w:val="202"/>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lastRenderedPageBreak/>
              <w:t>Desarrollo de arreglos institucionales que definan los roles de los actores y los beneficios y obligaciones que se contraen al implementar actividades tipo en el área.</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A00292B" w14:textId="77777777" w:rsidR="00BA1C29" w:rsidRPr="009A27ED" w:rsidRDefault="00BA1C29">
            <w:pPr>
              <w:pStyle w:val="Sinespaciado"/>
              <w:spacing w:line="254" w:lineRule="auto"/>
              <w:rPr>
                <w:sz w:val="20"/>
                <w:szCs w:val="20"/>
                <w:lang w:val="fr-FR"/>
              </w:rPr>
            </w:pPr>
            <w:proofErr w:type="spellStart"/>
            <w:r w:rsidRPr="009A27ED">
              <w:rPr>
                <w:sz w:val="20"/>
                <w:szCs w:val="20"/>
                <w:lang w:val="fr-FR"/>
              </w:rPr>
              <w:t>Hábitats</w:t>
            </w:r>
            <w:proofErr w:type="spellEnd"/>
            <w:r w:rsidRPr="009A27ED">
              <w:rPr>
                <w:sz w:val="20"/>
                <w:szCs w:val="20"/>
                <w:lang w:val="fr-FR"/>
              </w:rPr>
              <w:t xml:space="preserve"> </w:t>
            </w:r>
            <w:proofErr w:type="spellStart"/>
            <w:r w:rsidRPr="009A27ED">
              <w:rPr>
                <w:sz w:val="20"/>
                <w:szCs w:val="20"/>
                <w:lang w:val="fr-FR"/>
              </w:rPr>
              <w:t>naturales</w:t>
            </w:r>
            <w:proofErr w:type="spellEnd"/>
            <w:r w:rsidRPr="009A27ED">
              <w:rPr>
                <w:sz w:val="20"/>
                <w:szCs w:val="20"/>
                <w:lang w:val="fr-FR"/>
              </w:rPr>
              <w:t xml:space="preserve"> (PO 4.04)</w:t>
            </w:r>
          </w:p>
          <w:p w14:paraId="63382212" w14:textId="77777777" w:rsidR="00BA1C29" w:rsidRPr="009A27ED" w:rsidRDefault="00BA1C29">
            <w:pPr>
              <w:pStyle w:val="Sinespaciado"/>
              <w:spacing w:line="254" w:lineRule="auto"/>
              <w:rPr>
                <w:sz w:val="20"/>
                <w:szCs w:val="20"/>
                <w:lang w:val="fr-FR"/>
              </w:rPr>
            </w:pPr>
            <w:proofErr w:type="spellStart"/>
            <w:r w:rsidRPr="009A27ED">
              <w:rPr>
                <w:sz w:val="20"/>
                <w:szCs w:val="20"/>
                <w:lang w:val="fr-FR"/>
              </w:rPr>
              <w:t>Bosques</w:t>
            </w:r>
            <w:proofErr w:type="spellEnd"/>
            <w:r w:rsidRPr="009A27ED">
              <w:rPr>
                <w:sz w:val="20"/>
                <w:szCs w:val="20"/>
                <w:lang w:val="fr-FR"/>
              </w:rPr>
              <w:t xml:space="preserve"> (PO 4.36)</w:t>
            </w:r>
          </w:p>
          <w:p w14:paraId="7B80095E"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lang w:val="es-ES"/>
              </w:rPr>
              <w:t xml:space="preserve">Evaluación Ambiental (PO 4.01)  </w:t>
            </w:r>
          </w:p>
          <w:p w14:paraId="79F44C83"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lang w:val="es-ES"/>
              </w:rPr>
              <w:lastRenderedPageBreak/>
              <w:t xml:space="preserve"> </w:t>
            </w:r>
            <w:r w:rsidRPr="009A27ED">
              <w:rPr>
                <w:rFonts w:asciiTheme="minorHAnsi" w:hAnsiTheme="minorHAnsi" w:cstheme="minorHAnsi"/>
                <w:b/>
                <w:lang w:val="es-ES"/>
              </w:rPr>
              <w:t>Salvaguardas REDD+</w:t>
            </w:r>
            <w:r w:rsidRPr="009A27ED">
              <w:rPr>
                <w:rFonts w:asciiTheme="minorHAnsi" w:hAnsiTheme="minorHAnsi" w:cstheme="minorHAnsi"/>
                <w:lang w:val="es-ES"/>
              </w:rPr>
              <w:t xml:space="preserve"> A, B, D, E</w:t>
            </w:r>
          </w:p>
        </w:tc>
      </w:tr>
      <w:tr w:rsidR="00BA1C29" w:rsidRPr="009A27ED" w14:paraId="2154DD2B" w14:textId="77777777" w:rsidTr="00DF1AF5">
        <w:tc>
          <w:tcPr>
            <w:tcW w:w="143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DD4B222" w14:textId="77777777" w:rsidR="00BA1C29" w:rsidRPr="009A27ED" w:rsidRDefault="00BA1C29">
            <w:pPr>
              <w:rPr>
                <w:rFonts w:eastAsia="Times New Roman"/>
                <w:sz w:val="20"/>
                <w:szCs w:val="20"/>
                <w:lang w:val="es-DO" w:eastAsia="es-ES_tradnl"/>
              </w:rPr>
            </w:pP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3C295FA" w14:textId="77777777" w:rsidR="00BA1C29" w:rsidRPr="009A27ED" w:rsidRDefault="00BA1C29" w:rsidP="00E67CB0">
            <w:pPr>
              <w:pStyle w:val="Prrafodelista"/>
              <w:numPr>
                <w:ilvl w:val="1"/>
                <w:numId w:val="199"/>
              </w:numPr>
              <w:spacing w:after="0" w:line="240" w:lineRule="auto"/>
              <w:rPr>
                <w:sz w:val="20"/>
                <w:szCs w:val="20"/>
                <w:lang w:val="es-DO"/>
              </w:rPr>
            </w:pPr>
            <w:r w:rsidRPr="009A27ED">
              <w:rPr>
                <w:sz w:val="20"/>
                <w:szCs w:val="20"/>
                <w:lang w:val="es-DO"/>
              </w:rPr>
              <w:t xml:space="preserve">Establecer nuevas áreas para el manejo forestal, reforestación, remediación, protección de cuencas hidrográficas, conservación de biodiversidad y para otros servicios ambientales derivados de los ecosistemas forestales. </w:t>
            </w:r>
          </w:p>
        </w:tc>
        <w:tc>
          <w:tcPr>
            <w:tcW w:w="17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B004035" w14:textId="77777777" w:rsidR="00BA1C29" w:rsidRPr="009A27ED" w:rsidRDefault="00BA1C29">
            <w:pPr>
              <w:rPr>
                <w:sz w:val="20"/>
                <w:szCs w:val="20"/>
                <w:lang w:val="es-DO"/>
              </w:rPr>
            </w:pPr>
            <w:r w:rsidRPr="009A27ED">
              <w:rPr>
                <w:b/>
                <w:sz w:val="20"/>
                <w:szCs w:val="20"/>
                <w:lang w:val="es-DO"/>
              </w:rPr>
              <w:t>Acción Facilitadora</w:t>
            </w:r>
            <w:r w:rsidRPr="009A27ED">
              <w:rPr>
                <w:sz w:val="20"/>
                <w:szCs w:val="20"/>
                <w:lang w:val="es-DO"/>
              </w:rPr>
              <w:t>: Integrar y ampliar los programas nacionales existentes con enfoque REDD+ (acciones consideradas en la opción estratégica 3)</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3AC076C" w14:textId="77777777" w:rsidR="00BA1C29" w:rsidRPr="009A27ED" w:rsidRDefault="00BA1C29">
            <w:pPr>
              <w:rPr>
                <w:sz w:val="20"/>
                <w:szCs w:val="20"/>
                <w:lang w:val="es-DO"/>
              </w:rPr>
            </w:pPr>
            <w:r w:rsidRPr="009A27ED">
              <w:rPr>
                <w:sz w:val="20"/>
                <w:szCs w:val="20"/>
                <w:lang w:val="es-DO"/>
              </w:rPr>
              <w:t>Nacional</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9A58FBA" w14:textId="77777777" w:rsidR="00BA1C29" w:rsidRPr="009A27ED" w:rsidRDefault="00BA1C29" w:rsidP="00E67CB0">
            <w:pPr>
              <w:pStyle w:val="Textocomentario"/>
              <w:numPr>
                <w:ilvl w:val="0"/>
                <w:numId w:val="203"/>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Resistencia de los productores agrícolas y ganaderos a reducir el uso del fuego para el establecimiento de unidades productivas o pecuarias.</w:t>
            </w:r>
          </w:p>
          <w:p w14:paraId="0F87B614" w14:textId="77777777" w:rsidR="00BA1C29" w:rsidRPr="009A27ED" w:rsidRDefault="00BA1C29" w:rsidP="00E67CB0">
            <w:pPr>
              <w:pStyle w:val="Textocomentario"/>
              <w:numPr>
                <w:ilvl w:val="0"/>
                <w:numId w:val="203"/>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Desarrollo de políticas sin consideración de la problemática de la tenencia de la tierra.</w:t>
            </w:r>
          </w:p>
          <w:p w14:paraId="6460D922" w14:textId="77777777" w:rsidR="00BA1C29" w:rsidRPr="009A27ED" w:rsidRDefault="00BA1C29" w:rsidP="00E67CB0">
            <w:pPr>
              <w:pStyle w:val="Textocomentario"/>
              <w:numPr>
                <w:ilvl w:val="0"/>
                <w:numId w:val="203"/>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Carencia de estudios base para elaborar y aplicar políticas públicas, proyectos y programas basada en evidencias científicas.</w:t>
            </w:r>
          </w:p>
          <w:p w14:paraId="47166A16" w14:textId="0237E50B" w:rsidR="00B44FA7" w:rsidRPr="009A27ED" w:rsidRDefault="00BA1C29" w:rsidP="00C97A18">
            <w:pPr>
              <w:pStyle w:val="Textocomentario"/>
              <w:numPr>
                <w:ilvl w:val="0"/>
                <w:numId w:val="203"/>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Resistencia cultural al cambio para aplicar un modelo de gestión sostenible orientado a la conservación de biodiversidad y para otros servicios ambientales.</w:t>
            </w:r>
          </w:p>
          <w:p w14:paraId="52850BCF" w14:textId="77777777" w:rsidR="00BA1C29" w:rsidRPr="009A27ED" w:rsidRDefault="00BA1C29" w:rsidP="00C97A18">
            <w:pPr>
              <w:pStyle w:val="Textocomentario"/>
              <w:numPr>
                <w:ilvl w:val="0"/>
                <w:numId w:val="203"/>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Incremento de incendios forestales por motivos de retaliación y falta de aplicación de controles efectivos y sancionatorios.</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522D618" w14:textId="77777777" w:rsidR="00BA1C29" w:rsidRPr="009A27ED" w:rsidRDefault="00BA1C29" w:rsidP="00E67CB0">
            <w:pPr>
              <w:pStyle w:val="Textocomentario"/>
              <w:numPr>
                <w:ilvl w:val="0"/>
                <w:numId w:val="204"/>
              </w:numPr>
              <w:spacing w:line="254" w:lineRule="auto"/>
              <w:ind w:left="328"/>
              <w:rPr>
                <w:rFonts w:asciiTheme="minorHAnsi" w:hAnsiTheme="minorHAnsi" w:cstheme="minorHAnsi"/>
                <w:lang w:val="es-ES"/>
              </w:rPr>
            </w:pPr>
            <w:r w:rsidRPr="009A27ED">
              <w:rPr>
                <w:rFonts w:asciiTheme="minorHAnsi" w:hAnsiTheme="minorHAnsi" w:cstheme="minorHAnsi"/>
                <w:lang w:val="es-ES"/>
              </w:rPr>
              <w:t>La Identificación de nuevas áreas para manejo forestal, reforestación, remediación, protección de cuencas hidrográficas, conservación de biodiversidad y para otros servicios ambientales derivados de los ecosistemas forestales dentro de las áreas priorizadas y su zona de influencia, se realizará junto con las EE.</w:t>
            </w:r>
          </w:p>
          <w:p w14:paraId="41D91C5A" w14:textId="355A7664" w:rsidR="00B44FA7" w:rsidRPr="009A27ED" w:rsidRDefault="00BA1C29" w:rsidP="00C97A18">
            <w:pPr>
              <w:pStyle w:val="Textocomentario"/>
              <w:numPr>
                <w:ilvl w:val="0"/>
                <w:numId w:val="204"/>
              </w:numPr>
              <w:spacing w:line="254" w:lineRule="auto"/>
              <w:ind w:left="328"/>
              <w:rPr>
                <w:rFonts w:asciiTheme="minorHAnsi" w:hAnsiTheme="minorHAnsi" w:cstheme="minorHAnsi"/>
                <w:lang w:val="es-ES"/>
              </w:rPr>
            </w:pPr>
            <w:r w:rsidRPr="009A27ED">
              <w:rPr>
                <w:rFonts w:asciiTheme="minorHAnsi" w:hAnsiTheme="minorHAnsi" w:cstheme="minorHAnsi"/>
                <w:lang w:val="es-ES"/>
              </w:rPr>
              <w:t>Desarrollo de la visión estratégica de expansión de las actividades REDD+ implementadas por las EE y los planes, sistemas, programas y proyectos existentes y escogidos para REDD+, para lograr la expansión de actividades tipo en las zonas de influencia de las áreas priorizadas.</w:t>
            </w:r>
          </w:p>
          <w:p w14:paraId="1E706C51" w14:textId="77777777" w:rsidR="00BA1C29" w:rsidRPr="009A27ED" w:rsidRDefault="00BA1C29" w:rsidP="00C97A18">
            <w:pPr>
              <w:pStyle w:val="Textocomentario"/>
              <w:numPr>
                <w:ilvl w:val="0"/>
                <w:numId w:val="204"/>
              </w:numPr>
              <w:spacing w:line="254" w:lineRule="auto"/>
              <w:ind w:left="328"/>
              <w:rPr>
                <w:rFonts w:asciiTheme="minorHAnsi" w:hAnsiTheme="minorHAnsi" w:cstheme="minorHAnsi"/>
                <w:lang w:val="es-ES"/>
              </w:rPr>
            </w:pPr>
            <w:r w:rsidRPr="009A27ED">
              <w:rPr>
                <w:rFonts w:asciiTheme="minorHAnsi" w:hAnsiTheme="minorHAnsi" w:cstheme="minorHAnsi"/>
                <w:lang w:val="es-ES"/>
              </w:rPr>
              <w:t xml:space="preserve">Desarrollo de arreglos institucionales para replicar modelos exitosos piloto en las áreas priorizadas REDD+ hacia el resto de </w:t>
            </w:r>
            <w:proofErr w:type="gramStart"/>
            <w:r w:rsidRPr="009A27ED">
              <w:rPr>
                <w:rFonts w:asciiTheme="minorHAnsi" w:hAnsiTheme="minorHAnsi" w:cstheme="minorHAnsi"/>
                <w:lang w:val="es-ES"/>
              </w:rPr>
              <w:t>áreas</w:t>
            </w:r>
            <w:proofErr w:type="gramEnd"/>
            <w:r w:rsidRPr="009A27ED">
              <w:rPr>
                <w:rFonts w:asciiTheme="minorHAnsi" w:hAnsiTheme="minorHAnsi" w:cstheme="minorHAnsi"/>
                <w:lang w:val="es-ES"/>
              </w:rPr>
              <w:t xml:space="preserve"> importantes para la conservación de la biodiversidad, en coordinación con las EE y actores locales.</w:t>
            </w:r>
          </w:p>
        </w:tc>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9F82C4D" w14:textId="400D60FC" w:rsidR="00BA1C29" w:rsidRPr="009A27ED" w:rsidRDefault="00BA1C29" w:rsidP="00C97A18">
            <w:pPr>
              <w:pStyle w:val="Textocomentario"/>
              <w:numPr>
                <w:ilvl w:val="0"/>
                <w:numId w:val="374"/>
              </w:numPr>
              <w:spacing w:line="254" w:lineRule="auto"/>
              <w:jc w:val="left"/>
              <w:rPr>
                <w:rFonts w:asciiTheme="minorHAnsi" w:hAnsiTheme="minorHAnsi" w:cstheme="minorHAnsi"/>
                <w:lang w:val="es-ES"/>
              </w:rPr>
            </w:pPr>
            <w:r w:rsidRPr="009A27ED">
              <w:rPr>
                <w:rFonts w:asciiTheme="minorHAnsi" w:hAnsiTheme="minorHAnsi" w:cstheme="minorHAnsi"/>
                <w:lang w:val="es-ES"/>
              </w:rPr>
              <w:t>Se ha incorporado en los convenios o arreglos institucionales</w:t>
            </w:r>
            <w:r w:rsidRPr="009A27ED">
              <w:rPr>
                <w:rFonts w:asciiTheme="minorHAnsi" w:hAnsiTheme="minorHAnsi" w:cstheme="minorHAnsi"/>
                <w:lang w:val="es-ES" w:eastAsia="es-ES_tradnl"/>
              </w:rPr>
              <w:t xml:space="preserve"> </w:t>
            </w:r>
            <w:r w:rsidRPr="009A27ED">
              <w:rPr>
                <w:rFonts w:asciiTheme="minorHAnsi" w:hAnsiTheme="minorHAnsi" w:cstheme="minorHAnsi"/>
                <w:lang w:val="es-ES"/>
              </w:rPr>
              <w:t>con Entidades Ejecutoras REDD</w:t>
            </w:r>
            <w:r w:rsidR="00A143F7" w:rsidRPr="009A27ED">
              <w:rPr>
                <w:rFonts w:asciiTheme="minorHAnsi" w:hAnsiTheme="minorHAnsi" w:cstheme="minorHAnsi"/>
                <w:lang w:val="es-ES"/>
              </w:rPr>
              <w:t>+ la</w:t>
            </w:r>
            <w:r w:rsidRPr="009A27ED">
              <w:rPr>
                <w:rFonts w:asciiTheme="minorHAnsi" w:hAnsiTheme="minorHAnsi" w:cstheme="minorHAnsi"/>
                <w:lang w:val="es-ES"/>
              </w:rPr>
              <w:t xml:space="preserve"> expansión de modelos exitosos </w:t>
            </w:r>
            <w:r w:rsidRPr="009A27ED">
              <w:rPr>
                <w:rFonts w:asciiTheme="minorHAnsi" w:hAnsiTheme="minorHAnsi" w:cstheme="minorHAnsi"/>
                <w:bCs/>
                <w:lang w:val="es-DO"/>
              </w:rPr>
              <w:t>de gestión de recursos naturales que contribuyan a la conservación y uso sostenible de los bosques y el aumento de la cobertura boscosa.</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0C86DC0" w14:textId="77777777" w:rsidR="00BA1C29" w:rsidRPr="009A27ED" w:rsidRDefault="00BA1C29" w:rsidP="00C97A18">
            <w:pPr>
              <w:pStyle w:val="Textocomentario"/>
              <w:numPr>
                <w:ilvl w:val="0"/>
                <w:numId w:val="376"/>
              </w:numPr>
              <w:spacing w:line="254" w:lineRule="auto"/>
              <w:ind w:left="326"/>
              <w:jc w:val="left"/>
              <w:rPr>
                <w:rFonts w:asciiTheme="minorHAnsi" w:hAnsiTheme="minorHAnsi" w:cstheme="minorHAnsi"/>
                <w:lang w:val="es-ES"/>
              </w:rPr>
            </w:pPr>
            <w:r w:rsidRPr="009A27ED">
              <w:rPr>
                <w:rFonts w:asciiTheme="minorHAnsi" w:hAnsiTheme="minorHAnsi" w:cstheme="minorHAnsi"/>
                <w:lang w:val="es-ES"/>
              </w:rPr>
              <w:t>La Identificación de nuevas áreas para manejo forestal, reforestación, remediación, protección de cuencas hidrográficas, conservación de biodiversidad y para otros servicios ambientales derivados de los ecosistemas forestales dentro de las áreas priorizadas y su zona de influencia, se realizará junto con las EE.</w:t>
            </w:r>
          </w:p>
          <w:p w14:paraId="4427282E" w14:textId="77777777" w:rsidR="00BA1C29" w:rsidRPr="009A27ED" w:rsidRDefault="00BA1C29" w:rsidP="00C97A18">
            <w:pPr>
              <w:pStyle w:val="Textocomentario"/>
              <w:numPr>
                <w:ilvl w:val="0"/>
                <w:numId w:val="376"/>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Desarrollo de la visión estratégica de expansión de las actividades REDD+ implementadas por las EE y los planes, sistemas, programas y proyectos existentes y escogidos para REDD+, para lograr la expansión de actividades tipo en las zonas de influencia de las áreas priorizadas.</w:t>
            </w:r>
          </w:p>
          <w:p w14:paraId="2D3D46DA" w14:textId="77777777" w:rsidR="00BA1C29" w:rsidRPr="009A27ED" w:rsidRDefault="00BA1C29" w:rsidP="00C97A18">
            <w:pPr>
              <w:pStyle w:val="Textocomentario"/>
              <w:numPr>
                <w:ilvl w:val="0"/>
                <w:numId w:val="376"/>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 xml:space="preserve">Desarrollo de arreglos institucionales para replicar modelos exitosos piloto en las áreas priorizadas REDD+ hacia el resto de </w:t>
            </w:r>
            <w:proofErr w:type="gramStart"/>
            <w:r w:rsidRPr="009A27ED">
              <w:rPr>
                <w:rFonts w:asciiTheme="minorHAnsi" w:hAnsiTheme="minorHAnsi" w:cstheme="minorHAnsi"/>
                <w:lang w:val="es-ES"/>
              </w:rPr>
              <w:t>áreas</w:t>
            </w:r>
            <w:proofErr w:type="gramEnd"/>
            <w:r w:rsidRPr="009A27ED">
              <w:rPr>
                <w:rFonts w:asciiTheme="minorHAnsi" w:hAnsiTheme="minorHAnsi" w:cstheme="minorHAnsi"/>
                <w:lang w:val="es-ES"/>
              </w:rPr>
              <w:t xml:space="preserve"> importantes para la conservación de la biodiversidad, en coordinación con las EE y actores locales.</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2D3E061" w14:textId="77777777" w:rsidR="00BA1C29" w:rsidRPr="009A27ED" w:rsidRDefault="00BA1C29">
            <w:pPr>
              <w:pStyle w:val="Sinespaciado"/>
              <w:spacing w:line="254" w:lineRule="auto"/>
              <w:rPr>
                <w:sz w:val="20"/>
                <w:szCs w:val="20"/>
                <w:lang w:val="fr-FR"/>
              </w:rPr>
            </w:pPr>
            <w:proofErr w:type="spellStart"/>
            <w:r w:rsidRPr="009A27ED">
              <w:rPr>
                <w:sz w:val="20"/>
                <w:szCs w:val="20"/>
                <w:lang w:val="fr-FR"/>
              </w:rPr>
              <w:t>Hábitats</w:t>
            </w:r>
            <w:proofErr w:type="spellEnd"/>
            <w:r w:rsidRPr="009A27ED">
              <w:rPr>
                <w:sz w:val="20"/>
                <w:szCs w:val="20"/>
                <w:lang w:val="fr-FR"/>
              </w:rPr>
              <w:t xml:space="preserve"> </w:t>
            </w:r>
            <w:proofErr w:type="spellStart"/>
            <w:r w:rsidRPr="009A27ED">
              <w:rPr>
                <w:sz w:val="20"/>
                <w:szCs w:val="20"/>
                <w:lang w:val="fr-FR"/>
              </w:rPr>
              <w:t>naturales</w:t>
            </w:r>
            <w:proofErr w:type="spellEnd"/>
            <w:r w:rsidRPr="009A27ED">
              <w:rPr>
                <w:sz w:val="20"/>
                <w:szCs w:val="20"/>
                <w:lang w:val="fr-FR"/>
              </w:rPr>
              <w:t xml:space="preserve"> (PO 4.04)</w:t>
            </w:r>
          </w:p>
          <w:p w14:paraId="3553B225" w14:textId="77777777" w:rsidR="00BA1C29" w:rsidRPr="009A27ED" w:rsidRDefault="00BA1C29">
            <w:pPr>
              <w:pStyle w:val="Sinespaciado"/>
              <w:spacing w:line="254" w:lineRule="auto"/>
              <w:rPr>
                <w:sz w:val="20"/>
                <w:szCs w:val="20"/>
                <w:lang w:val="fr-FR"/>
              </w:rPr>
            </w:pPr>
            <w:proofErr w:type="spellStart"/>
            <w:r w:rsidRPr="009A27ED">
              <w:rPr>
                <w:sz w:val="20"/>
                <w:szCs w:val="20"/>
                <w:lang w:val="fr-FR"/>
              </w:rPr>
              <w:t>Bosques</w:t>
            </w:r>
            <w:proofErr w:type="spellEnd"/>
            <w:r w:rsidRPr="009A27ED">
              <w:rPr>
                <w:sz w:val="20"/>
                <w:szCs w:val="20"/>
                <w:lang w:val="fr-FR"/>
              </w:rPr>
              <w:t xml:space="preserve"> (PO 4.36)</w:t>
            </w:r>
          </w:p>
          <w:p w14:paraId="66E6052A"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lang w:val="es-ES"/>
              </w:rPr>
              <w:t xml:space="preserve">Evaluación Ambiental (PO 4.01)  </w:t>
            </w:r>
          </w:p>
          <w:p w14:paraId="2161004A"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b/>
                <w:lang w:val="es-ES"/>
              </w:rPr>
              <w:t>Salvaguardas REDD+</w:t>
            </w:r>
            <w:r w:rsidRPr="009A27ED">
              <w:rPr>
                <w:rFonts w:asciiTheme="minorHAnsi" w:hAnsiTheme="minorHAnsi" w:cstheme="minorHAnsi"/>
                <w:lang w:val="es-ES"/>
              </w:rPr>
              <w:t xml:space="preserve"> A, B, D, E, F y G</w:t>
            </w:r>
          </w:p>
        </w:tc>
      </w:tr>
      <w:tr w:rsidR="00BA1C29" w:rsidRPr="009A27ED" w14:paraId="0BE4C162" w14:textId="77777777" w:rsidTr="00DF1AF5">
        <w:tc>
          <w:tcPr>
            <w:tcW w:w="143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FB57CA2" w14:textId="77777777" w:rsidR="00BA1C29" w:rsidRPr="009A27ED" w:rsidRDefault="00BA1C29">
            <w:pPr>
              <w:rPr>
                <w:rFonts w:eastAsia="Times New Roman"/>
                <w:sz w:val="20"/>
                <w:szCs w:val="20"/>
                <w:lang w:val="es-DO" w:eastAsia="es-ES_tradnl"/>
              </w:rPr>
            </w:pP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07B2DAB" w14:textId="77777777" w:rsidR="00BA1C29" w:rsidRPr="009A27ED" w:rsidRDefault="00BA1C29" w:rsidP="00E67CB0">
            <w:pPr>
              <w:pStyle w:val="Prrafodelista"/>
              <w:numPr>
                <w:ilvl w:val="1"/>
                <w:numId w:val="199"/>
              </w:numPr>
              <w:spacing w:after="0" w:line="240" w:lineRule="auto"/>
              <w:rPr>
                <w:sz w:val="20"/>
                <w:szCs w:val="20"/>
                <w:lang w:val="es-DO"/>
              </w:rPr>
            </w:pPr>
            <w:r w:rsidRPr="009A27ED">
              <w:rPr>
                <w:sz w:val="20"/>
                <w:szCs w:val="20"/>
                <w:lang w:val="es-DO"/>
              </w:rPr>
              <w:t xml:space="preserve">Desarrollar programas de zonificación de cultivos, ganadería e infraestructura compatibles con la conservación de los bosques. </w:t>
            </w:r>
          </w:p>
        </w:tc>
        <w:tc>
          <w:tcPr>
            <w:tcW w:w="17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093B24B" w14:textId="77777777" w:rsidR="00BA1C29" w:rsidRPr="009A27ED" w:rsidRDefault="00BA1C29">
            <w:pPr>
              <w:rPr>
                <w:sz w:val="20"/>
                <w:szCs w:val="20"/>
                <w:lang w:val="es-DO"/>
              </w:rPr>
            </w:pPr>
            <w:r w:rsidRPr="009A27ED">
              <w:rPr>
                <w:b/>
                <w:sz w:val="20"/>
                <w:szCs w:val="20"/>
                <w:lang w:val="es-DO"/>
              </w:rPr>
              <w:t>Acción Facilitadora</w:t>
            </w:r>
            <w:r w:rsidRPr="009A27ED">
              <w:rPr>
                <w:sz w:val="20"/>
                <w:szCs w:val="20"/>
                <w:lang w:val="es-DO"/>
              </w:rPr>
              <w:t>: Actualizar la zonificación productiva y de conservación del paisaje y plantearlo ante el Comité Directivo, a fin de que sea retomado como parte de los acuerdos de REDD+.</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D2BB16E" w14:textId="77777777" w:rsidR="00BA1C29" w:rsidRPr="009A27ED" w:rsidRDefault="00BA1C29">
            <w:pPr>
              <w:rPr>
                <w:sz w:val="20"/>
                <w:szCs w:val="20"/>
                <w:lang w:val="es-DO"/>
              </w:rPr>
            </w:pPr>
            <w:r w:rsidRPr="009A27ED">
              <w:rPr>
                <w:sz w:val="20"/>
                <w:szCs w:val="20"/>
                <w:lang w:val="es-DO"/>
              </w:rPr>
              <w:t>Nacional</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0428131" w14:textId="77777777" w:rsidR="00BA1C29" w:rsidRPr="009A27ED" w:rsidRDefault="00BA1C29" w:rsidP="00E67CB0">
            <w:pPr>
              <w:pStyle w:val="Textocomentario"/>
              <w:numPr>
                <w:ilvl w:val="0"/>
                <w:numId w:val="205"/>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Desarrollo de políticas sin consideración de la problemática de la tenencia de la tierra.</w:t>
            </w:r>
          </w:p>
          <w:p w14:paraId="72632E25" w14:textId="77777777" w:rsidR="00BA1C29" w:rsidRPr="009A27ED" w:rsidRDefault="00BA1C29" w:rsidP="00E67CB0">
            <w:pPr>
              <w:pStyle w:val="Textocomentario"/>
              <w:numPr>
                <w:ilvl w:val="0"/>
                <w:numId w:val="205"/>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Perdida de fuentes laborales ante la zonificación, debido a las restricciones por políticas institucionales impuestas.</w:t>
            </w:r>
          </w:p>
          <w:p w14:paraId="61EE34D4" w14:textId="77777777" w:rsidR="00BA1C29" w:rsidRPr="009A27ED" w:rsidRDefault="00BA1C29" w:rsidP="00E67CB0">
            <w:pPr>
              <w:pStyle w:val="Textocomentario"/>
              <w:numPr>
                <w:ilvl w:val="0"/>
                <w:numId w:val="205"/>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Pérdida de confianza e interés por parte de los actores claves, y/o el rechazo de las políticas institucionales impuestas.</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A6D9EBB" w14:textId="77777777" w:rsidR="00BA1C29" w:rsidRPr="009A27ED" w:rsidRDefault="00BA1C29" w:rsidP="00C97A18">
            <w:pPr>
              <w:pStyle w:val="Textocomentario"/>
              <w:numPr>
                <w:ilvl w:val="0"/>
                <w:numId w:val="378"/>
              </w:numPr>
              <w:spacing w:line="254" w:lineRule="auto"/>
              <w:jc w:val="left"/>
              <w:rPr>
                <w:rFonts w:asciiTheme="minorHAnsi" w:hAnsiTheme="minorHAnsi" w:cstheme="minorHAnsi"/>
                <w:lang w:val="es-ES"/>
              </w:rPr>
            </w:pPr>
            <w:r w:rsidRPr="009A27ED">
              <w:rPr>
                <w:rFonts w:asciiTheme="minorHAnsi" w:hAnsiTheme="minorHAnsi" w:cstheme="minorHAnsi"/>
                <w:lang w:val="es-ES"/>
              </w:rPr>
              <w:t xml:space="preserve">El Sistema MRV filtrará la información relativa a usos de suelo, para elaborar una propuesta de zonificación productiva y de conservación del paisaje y plantearlo ante el Comité Directivo, a fin de que sea retomado como parte de los acuerdos de REDD+ dentro de las áreas priorizadas y </w:t>
            </w:r>
            <w:proofErr w:type="gramStart"/>
            <w:r w:rsidRPr="009A27ED">
              <w:rPr>
                <w:rFonts w:asciiTheme="minorHAnsi" w:hAnsiTheme="minorHAnsi" w:cstheme="minorHAnsi"/>
                <w:lang w:val="es-ES"/>
              </w:rPr>
              <w:t>sus zona</w:t>
            </w:r>
            <w:proofErr w:type="gramEnd"/>
            <w:r w:rsidRPr="009A27ED">
              <w:rPr>
                <w:rFonts w:asciiTheme="minorHAnsi" w:hAnsiTheme="minorHAnsi" w:cstheme="minorHAnsi"/>
                <w:lang w:val="es-ES"/>
              </w:rPr>
              <w:t xml:space="preserve"> de influencia, para efectos de réplica.</w:t>
            </w:r>
          </w:p>
        </w:tc>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A6F2D1F" w14:textId="4EA59006" w:rsidR="00BA1C29" w:rsidRPr="009A27ED" w:rsidRDefault="00BA1C29" w:rsidP="00C97A18">
            <w:pPr>
              <w:pStyle w:val="Textocomentario"/>
              <w:numPr>
                <w:ilvl w:val="0"/>
                <w:numId w:val="380"/>
              </w:numPr>
              <w:spacing w:line="254" w:lineRule="auto"/>
              <w:jc w:val="left"/>
              <w:rPr>
                <w:rFonts w:asciiTheme="minorHAnsi" w:hAnsiTheme="minorHAnsi" w:cstheme="minorHAnsi"/>
              </w:rPr>
            </w:pPr>
            <w:r w:rsidRPr="009A27ED">
              <w:rPr>
                <w:rFonts w:asciiTheme="minorHAnsi" w:hAnsiTheme="minorHAnsi" w:cstheme="minorHAnsi"/>
              </w:rPr>
              <w:t xml:space="preserve">Una de las responsabilidades del Comité Directivo (Ministerio de Agricultura, Ministerio de Medio Ambiente y Recursos Naturales, Ministerio de Economía, Planificación y Desarrollo) </w:t>
            </w:r>
            <w:r w:rsidR="00E44617" w:rsidRPr="009A27ED">
              <w:rPr>
                <w:rFonts w:asciiTheme="minorHAnsi" w:hAnsiTheme="minorHAnsi" w:cstheme="minorHAnsi"/>
              </w:rPr>
              <w:t xml:space="preserve">es garantizar la incorporación progresiva y continua del enfoque de REDD+ en los niveles de decisión, con funciones de formulación de políticas públicas vinculadas al tema de REDD+, </w:t>
            </w:r>
            <w:r w:rsidRPr="009A27ED">
              <w:rPr>
                <w:rFonts w:asciiTheme="minorHAnsi" w:hAnsiTheme="minorHAnsi" w:cstheme="minorHAnsi"/>
              </w:rPr>
              <w:t xml:space="preserve">y </w:t>
            </w:r>
            <w:r w:rsidR="00E44617" w:rsidRPr="009A27ED">
              <w:rPr>
                <w:rFonts w:asciiTheme="minorHAnsi" w:hAnsiTheme="minorHAnsi" w:cstheme="minorHAnsi"/>
              </w:rPr>
              <w:t>d</w:t>
            </w:r>
            <w:r w:rsidRPr="009A27ED">
              <w:rPr>
                <w:rFonts w:asciiTheme="minorHAnsi" w:hAnsiTheme="minorHAnsi" w:cstheme="minorHAnsi"/>
              </w:rPr>
              <w:t xml:space="preserve">el Comité Técnico Asesor, </w:t>
            </w:r>
            <w:r w:rsidR="00E44617" w:rsidRPr="009A27ED">
              <w:rPr>
                <w:rFonts w:asciiTheme="minorHAnsi" w:hAnsiTheme="minorHAnsi" w:cstheme="minorHAnsi"/>
              </w:rPr>
              <w:t xml:space="preserve">es facilitar la coordinación interinstitucional y promover el flujo de información entre las instituciones nacionales involucradas en el proceso de implementación del Programa REDD+; para que </w:t>
            </w:r>
            <w:r w:rsidR="00E44617" w:rsidRPr="009A27ED">
              <w:rPr>
                <w:rFonts w:asciiTheme="minorHAnsi" w:hAnsiTheme="minorHAnsi" w:cstheme="minorHAnsi"/>
                <w:lang w:val="es-DO"/>
              </w:rPr>
              <w:t>el</w:t>
            </w:r>
            <w:r w:rsidRPr="009A27ED">
              <w:rPr>
                <w:rFonts w:asciiTheme="minorHAnsi" w:hAnsiTheme="minorHAnsi" w:cstheme="minorHAnsi"/>
                <w:lang w:val="es-DO"/>
              </w:rPr>
              <w:t xml:space="preserve"> uso de la tierra sea compatible con el desarrollo agropecuario y la conservación de los bosques.</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622D927" w14:textId="4FC6940D" w:rsidR="00BA1C29" w:rsidRPr="009A27ED" w:rsidRDefault="00BA1C29" w:rsidP="005F2BFE">
            <w:pPr>
              <w:pStyle w:val="Textocomentario"/>
              <w:numPr>
                <w:ilvl w:val="0"/>
                <w:numId w:val="206"/>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 xml:space="preserve">El Sistema MRV filtrará la información relativa a usos de suelo, </w:t>
            </w:r>
            <w:r w:rsidR="005F2BFE" w:rsidRPr="009A27ED">
              <w:rPr>
                <w:rFonts w:asciiTheme="minorHAnsi" w:hAnsiTheme="minorHAnsi" w:cstheme="minorHAnsi"/>
                <w:lang w:val="es-ES"/>
              </w:rPr>
              <w:t>a los fines de que pueda ser incorporada en los mecanismos y normativas relativos al ordenamiento territorial.</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1F16D50" w14:textId="77777777" w:rsidR="00BA1C29" w:rsidRPr="009A27ED" w:rsidRDefault="00BA1C29">
            <w:pPr>
              <w:pStyle w:val="Sinespaciado"/>
              <w:spacing w:line="254" w:lineRule="auto"/>
              <w:rPr>
                <w:sz w:val="20"/>
                <w:szCs w:val="20"/>
                <w:lang w:val="fr-FR"/>
              </w:rPr>
            </w:pPr>
            <w:proofErr w:type="spellStart"/>
            <w:r w:rsidRPr="009A27ED">
              <w:rPr>
                <w:sz w:val="20"/>
                <w:szCs w:val="20"/>
                <w:lang w:val="fr-FR"/>
              </w:rPr>
              <w:t>Hábitats</w:t>
            </w:r>
            <w:proofErr w:type="spellEnd"/>
            <w:r w:rsidRPr="009A27ED">
              <w:rPr>
                <w:sz w:val="20"/>
                <w:szCs w:val="20"/>
                <w:lang w:val="fr-FR"/>
              </w:rPr>
              <w:t xml:space="preserve"> </w:t>
            </w:r>
            <w:proofErr w:type="spellStart"/>
            <w:r w:rsidRPr="009A27ED">
              <w:rPr>
                <w:sz w:val="20"/>
                <w:szCs w:val="20"/>
                <w:lang w:val="fr-FR"/>
              </w:rPr>
              <w:t>naturales</w:t>
            </w:r>
            <w:proofErr w:type="spellEnd"/>
            <w:r w:rsidRPr="009A27ED">
              <w:rPr>
                <w:sz w:val="20"/>
                <w:szCs w:val="20"/>
                <w:lang w:val="fr-FR"/>
              </w:rPr>
              <w:t xml:space="preserve"> (PO 4.04)</w:t>
            </w:r>
          </w:p>
          <w:p w14:paraId="25FB35C2" w14:textId="77777777" w:rsidR="00BA1C29" w:rsidRPr="009A27ED" w:rsidRDefault="00BA1C29">
            <w:pPr>
              <w:pStyle w:val="Sinespaciado"/>
              <w:spacing w:line="254" w:lineRule="auto"/>
              <w:rPr>
                <w:sz w:val="20"/>
                <w:szCs w:val="20"/>
                <w:lang w:val="fr-FR"/>
              </w:rPr>
            </w:pPr>
            <w:proofErr w:type="spellStart"/>
            <w:r w:rsidRPr="009A27ED">
              <w:rPr>
                <w:sz w:val="20"/>
                <w:szCs w:val="20"/>
                <w:lang w:val="fr-FR"/>
              </w:rPr>
              <w:t>Bosques</w:t>
            </w:r>
            <w:proofErr w:type="spellEnd"/>
            <w:r w:rsidRPr="009A27ED">
              <w:rPr>
                <w:sz w:val="20"/>
                <w:szCs w:val="20"/>
                <w:lang w:val="fr-FR"/>
              </w:rPr>
              <w:t xml:space="preserve"> (PO 4.36)</w:t>
            </w:r>
          </w:p>
          <w:p w14:paraId="314A26F3"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lang w:val="es-ES"/>
              </w:rPr>
              <w:t xml:space="preserve">Evaluación Ambiental (PO 4.01) </w:t>
            </w:r>
          </w:p>
          <w:p w14:paraId="04C51019"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color w:val="000000" w:themeColor="text1"/>
                <w:lang w:val="es-ES"/>
              </w:rPr>
              <w:t>Reasentamiento involuntario (PO 4.12)</w:t>
            </w:r>
            <w:r w:rsidRPr="009A27ED">
              <w:rPr>
                <w:rFonts w:asciiTheme="minorHAnsi" w:hAnsiTheme="minorHAnsi" w:cstheme="minorHAnsi"/>
                <w:lang w:val="es-ES"/>
              </w:rPr>
              <w:t xml:space="preserve"> </w:t>
            </w:r>
          </w:p>
          <w:p w14:paraId="17073E11"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b/>
                <w:lang w:val="es-ES"/>
              </w:rPr>
              <w:t>Salvaguardas REDD+</w:t>
            </w:r>
            <w:r w:rsidRPr="009A27ED">
              <w:rPr>
                <w:rFonts w:asciiTheme="minorHAnsi" w:hAnsiTheme="minorHAnsi" w:cstheme="minorHAnsi"/>
                <w:lang w:val="es-ES"/>
              </w:rPr>
              <w:t xml:space="preserve"> A, B, D, E, F y G</w:t>
            </w:r>
          </w:p>
        </w:tc>
      </w:tr>
      <w:tr w:rsidR="00BA1C29" w:rsidRPr="009A27ED" w14:paraId="37F067DA" w14:textId="77777777" w:rsidTr="00DF1AF5">
        <w:tc>
          <w:tcPr>
            <w:tcW w:w="143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1DB90B6" w14:textId="77777777" w:rsidR="00BA1C29" w:rsidRPr="009A27ED" w:rsidRDefault="00BA1C29">
            <w:pPr>
              <w:rPr>
                <w:rFonts w:eastAsia="Times New Roman"/>
                <w:sz w:val="20"/>
                <w:szCs w:val="20"/>
                <w:lang w:val="es-DO" w:eastAsia="es-ES_tradnl"/>
              </w:rPr>
            </w:pP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F4B743A" w14:textId="77777777" w:rsidR="00BA1C29" w:rsidRPr="009A27ED" w:rsidRDefault="00BA1C29" w:rsidP="00E67CB0">
            <w:pPr>
              <w:pStyle w:val="Prrafodelista"/>
              <w:numPr>
                <w:ilvl w:val="1"/>
                <w:numId w:val="199"/>
              </w:numPr>
              <w:spacing w:after="0" w:line="240" w:lineRule="auto"/>
              <w:rPr>
                <w:sz w:val="20"/>
                <w:szCs w:val="20"/>
                <w:lang w:val="es-DO"/>
              </w:rPr>
            </w:pPr>
            <w:r w:rsidRPr="009A27ED">
              <w:rPr>
                <w:sz w:val="20"/>
                <w:szCs w:val="20"/>
                <w:lang w:val="es-DO"/>
              </w:rPr>
              <w:t>Fortalecer el enfoque de cuenca en los programas de manejo y restauración ecológica.</w:t>
            </w:r>
          </w:p>
        </w:tc>
        <w:tc>
          <w:tcPr>
            <w:tcW w:w="17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CB6B44E" w14:textId="77777777" w:rsidR="00BA1C29" w:rsidRPr="009A27ED" w:rsidRDefault="00BA1C29">
            <w:pPr>
              <w:rPr>
                <w:sz w:val="20"/>
                <w:szCs w:val="20"/>
                <w:lang w:val="es-DO"/>
              </w:rPr>
            </w:pPr>
            <w:r w:rsidRPr="009A27ED">
              <w:rPr>
                <w:b/>
                <w:sz w:val="20"/>
                <w:szCs w:val="20"/>
                <w:lang w:val="es-DO"/>
              </w:rPr>
              <w:t>Acción Facilitadora</w:t>
            </w:r>
            <w:r w:rsidRPr="009A27ED">
              <w:rPr>
                <w:sz w:val="20"/>
                <w:szCs w:val="20"/>
                <w:lang w:val="es-DO"/>
              </w:rPr>
              <w:t xml:space="preserve"> Promover el enfoque de manejo de cuenca entre las entidades ejecutoras del Programa REDD+</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82FE902" w14:textId="77777777" w:rsidR="00BA1C29" w:rsidRPr="009A27ED" w:rsidRDefault="00BA1C29">
            <w:pPr>
              <w:rPr>
                <w:sz w:val="20"/>
                <w:szCs w:val="20"/>
                <w:lang w:val="es-DO"/>
              </w:rPr>
            </w:pPr>
            <w:r w:rsidRPr="009A27ED">
              <w:rPr>
                <w:sz w:val="20"/>
                <w:szCs w:val="20"/>
                <w:lang w:val="es-DO"/>
              </w:rPr>
              <w:t>Nacional</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10AAEF2" w14:textId="77777777" w:rsidR="00BA1C29" w:rsidRPr="009A27ED" w:rsidRDefault="00BA1C29" w:rsidP="00E67CB0">
            <w:pPr>
              <w:pStyle w:val="Textocomentario"/>
              <w:numPr>
                <w:ilvl w:val="0"/>
                <w:numId w:val="207"/>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Desarrollo de políticas sin consideración de la problemática de la tenencia de la tierra.</w:t>
            </w:r>
          </w:p>
          <w:p w14:paraId="11E63CC1" w14:textId="77777777" w:rsidR="00BA1C29" w:rsidRPr="009A27ED" w:rsidRDefault="00BA1C29" w:rsidP="00E67CB0">
            <w:pPr>
              <w:pStyle w:val="Textocomentario"/>
              <w:numPr>
                <w:ilvl w:val="0"/>
                <w:numId w:val="207"/>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No tomar en cuenta actividades tradicionales de producción y las capacidades de disponibilidad de terrenos en los programas de manejo y restauración ecológica.</w:t>
            </w:r>
          </w:p>
          <w:p w14:paraId="78BE00FF" w14:textId="4093267F" w:rsidR="00473896" w:rsidRPr="009A27ED" w:rsidRDefault="00BA1C29" w:rsidP="00C97A18">
            <w:pPr>
              <w:pStyle w:val="Textocomentario"/>
              <w:numPr>
                <w:ilvl w:val="0"/>
                <w:numId w:val="207"/>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Fracaso de los programas por falta de inclusión de los mecanismos de gobernanza y los conocimientos tradicionales de las diferentes zonas.</w:t>
            </w:r>
          </w:p>
          <w:p w14:paraId="730FDB79" w14:textId="77777777" w:rsidR="00BA1C29" w:rsidRPr="009A27ED" w:rsidRDefault="00BA1C29" w:rsidP="00C97A18">
            <w:pPr>
              <w:pStyle w:val="Textocomentario"/>
              <w:numPr>
                <w:ilvl w:val="0"/>
                <w:numId w:val="207"/>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Reducción de tierras agrícolas y potencial reducción de seguridad alimentaria en las cuencas restauradas.</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263B43B" w14:textId="77777777" w:rsidR="00BA1C29" w:rsidRPr="009A27ED" w:rsidRDefault="00BA1C29" w:rsidP="00E67CB0">
            <w:pPr>
              <w:pStyle w:val="Textocomentario"/>
              <w:numPr>
                <w:ilvl w:val="0"/>
                <w:numId w:val="208"/>
              </w:numPr>
              <w:spacing w:line="254" w:lineRule="auto"/>
              <w:ind w:left="328"/>
              <w:rPr>
                <w:rFonts w:asciiTheme="minorHAnsi" w:hAnsiTheme="minorHAnsi" w:cstheme="minorHAnsi"/>
                <w:lang w:val="es-ES"/>
              </w:rPr>
            </w:pPr>
            <w:r w:rsidRPr="009A27ED">
              <w:rPr>
                <w:rFonts w:asciiTheme="minorHAnsi" w:hAnsiTheme="minorHAnsi" w:cstheme="minorHAnsi"/>
                <w:lang w:val="es-ES"/>
              </w:rPr>
              <w:t>Desarrollo de la visión estratégica de expansión de las actividades REDD+ implementadas por las EE y los planes, sistemas, programas y proyectos existentes y escogidos para REDD+, para lograr la expansión de las actividades tipo en las zonas de influencia de las áreas priorizadas.</w:t>
            </w:r>
          </w:p>
          <w:p w14:paraId="50D676E2" w14:textId="6838BAB0" w:rsidR="00473896" w:rsidRPr="009A27ED" w:rsidRDefault="00BA1C29" w:rsidP="00C97A18">
            <w:pPr>
              <w:pStyle w:val="Textocomentario"/>
              <w:numPr>
                <w:ilvl w:val="0"/>
                <w:numId w:val="208"/>
              </w:numPr>
              <w:spacing w:line="254" w:lineRule="auto"/>
              <w:ind w:left="328"/>
              <w:rPr>
                <w:rFonts w:asciiTheme="minorHAnsi" w:hAnsiTheme="minorHAnsi" w:cstheme="minorHAnsi"/>
                <w:lang w:val="es-ES"/>
              </w:rPr>
            </w:pPr>
            <w:r w:rsidRPr="009A27ED">
              <w:rPr>
                <w:rFonts w:asciiTheme="minorHAnsi" w:hAnsiTheme="minorHAnsi" w:cstheme="minorHAnsi"/>
                <w:lang w:val="es-ES"/>
              </w:rPr>
              <w:t xml:space="preserve">Desarrollo de arreglos institucionales para replicar modelos pilotos hacia el resto de </w:t>
            </w:r>
            <w:proofErr w:type="gramStart"/>
            <w:r w:rsidRPr="009A27ED">
              <w:rPr>
                <w:rFonts w:asciiTheme="minorHAnsi" w:hAnsiTheme="minorHAnsi" w:cstheme="minorHAnsi"/>
                <w:lang w:val="es-ES"/>
              </w:rPr>
              <w:t>áreas</w:t>
            </w:r>
            <w:proofErr w:type="gramEnd"/>
            <w:r w:rsidRPr="009A27ED">
              <w:rPr>
                <w:rFonts w:asciiTheme="minorHAnsi" w:hAnsiTheme="minorHAnsi" w:cstheme="minorHAnsi"/>
                <w:lang w:val="es-ES"/>
              </w:rPr>
              <w:t xml:space="preserve"> importantes para la conservación de la biodiversidad, en coordinación con las EE y actores locales.</w:t>
            </w:r>
          </w:p>
          <w:p w14:paraId="33C3E095" w14:textId="77777777" w:rsidR="00BA1C29" w:rsidRPr="009A27ED" w:rsidRDefault="00BA1C29" w:rsidP="00C97A18">
            <w:pPr>
              <w:pStyle w:val="Textocomentario"/>
              <w:numPr>
                <w:ilvl w:val="0"/>
                <w:numId w:val="208"/>
              </w:numPr>
              <w:spacing w:line="254" w:lineRule="auto"/>
              <w:ind w:left="328"/>
              <w:rPr>
                <w:rFonts w:asciiTheme="minorHAnsi" w:hAnsiTheme="minorHAnsi" w:cstheme="minorHAnsi"/>
                <w:lang w:val="es-ES"/>
              </w:rPr>
            </w:pPr>
            <w:r w:rsidRPr="009A27ED">
              <w:rPr>
                <w:rFonts w:asciiTheme="minorHAnsi" w:hAnsiTheme="minorHAnsi" w:cstheme="minorHAnsi"/>
                <w:lang w:val="es-ES"/>
              </w:rPr>
              <w:t>Realizar planes de acción local de los programas de manejo y restauración en las áreas  priorizadas y su zona de influencia.</w:t>
            </w:r>
          </w:p>
        </w:tc>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D8B4D7D" w14:textId="7AC18F49" w:rsidR="00331A74" w:rsidRPr="009A27ED" w:rsidRDefault="009C4726" w:rsidP="00C97A18">
            <w:pPr>
              <w:pStyle w:val="Textocomentario"/>
              <w:numPr>
                <w:ilvl w:val="0"/>
                <w:numId w:val="382"/>
              </w:numPr>
              <w:spacing w:line="254" w:lineRule="auto"/>
              <w:jc w:val="left"/>
              <w:rPr>
                <w:rFonts w:asciiTheme="minorHAnsi" w:hAnsiTheme="minorHAnsi" w:cstheme="minorHAnsi"/>
                <w:lang w:val="es-ES"/>
              </w:rPr>
            </w:pPr>
            <w:r w:rsidRPr="009A27ED">
              <w:rPr>
                <w:rFonts w:asciiTheme="minorHAnsi" w:hAnsiTheme="minorHAnsi" w:cstheme="minorHAnsi"/>
                <w:lang w:val="es-ES"/>
              </w:rPr>
              <w:t xml:space="preserve">En gran medida, las  </w:t>
            </w:r>
            <w:proofErr w:type="gramStart"/>
            <w:r w:rsidRPr="009A27ED">
              <w:rPr>
                <w:rFonts w:asciiTheme="minorHAnsi" w:hAnsiTheme="minorHAnsi" w:cstheme="minorHAnsi"/>
                <w:lang w:val="es-ES"/>
              </w:rPr>
              <w:t>áreas geográfica</w:t>
            </w:r>
            <w:proofErr w:type="gramEnd"/>
            <w:r w:rsidRPr="009A27ED">
              <w:rPr>
                <w:rFonts w:asciiTheme="minorHAnsi" w:hAnsiTheme="minorHAnsi" w:cstheme="minorHAnsi"/>
                <w:lang w:val="es-ES"/>
              </w:rPr>
              <w:t xml:space="preserve"> priorizadas REDD+ se corresponden con los territorios de intervención   del Plan de Manejo  Integral de Las Cuencas Hidrográficas</w:t>
            </w:r>
            <w:r w:rsidR="00830FF5" w:rsidRPr="009A27ED">
              <w:rPr>
                <w:rFonts w:asciiTheme="minorHAnsi" w:hAnsiTheme="minorHAnsi" w:cstheme="minorHAnsi"/>
                <w:lang w:val="es-ES"/>
              </w:rPr>
              <w:t>,</w:t>
            </w:r>
            <w:r w:rsidRPr="009A27ED">
              <w:rPr>
                <w:rFonts w:asciiTheme="minorHAnsi" w:hAnsiTheme="minorHAnsi" w:cstheme="minorHAnsi"/>
                <w:lang w:val="es-ES"/>
              </w:rPr>
              <w:t xml:space="preserve"> del Ministerio de Medio Ambiente y Recursos Naturales</w:t>
            </w:r>
            <w:r w:rsidR="00830FF5" w:rsidRPr="009A27ED">
              <w:rPr>
                <w:rFonts w:asciiTheme="minorHAnsi" w:hAnsiTheme="minorHAnsi" w:cstheme="minorHAnsi"/>
                <w:lang w:val="es-ES"/>
              </w:rPr>
              <w:t>.</w:t>
            </w:r>
          </w:p>
          <w:p w14:paraId="7C8B91B6" w14:textId="19CFA21F" w:rsidR="00BA1C29" w:rsidRPr="009A27ED" w:rsidRDefault="005F2BFE" w:rsidP="00C97A18">
            <w:pPr>
              <w:pStyle w:val="Textocomentario"/>
              <w:numPr>
                <w:ilvl w:val="0"/>
                <w:numId w:val="382"/>
              </w:numPr>
              <w:spacing w:line="254" w:lineRule="auto"/>
              <w:jc w:val="left"/>
              <w:rPr>
                <w:rFonts w:asciiTheme="minorHAnsi" w:hAnsiTheme="minorHAnsi" w:cstheme="minorHAnsi"/>
                <w:strike/>
                <w:lang w:val="es-ES"/>
              </w:rPr>
            </w:pPr>
            <w:r w:rsidRPr="009A27ED">
              <w:rPr>
                <w:rFonts w:asciiTheme="minorHAnsi" w:hAnsiTheme="minorHAnsi" w:cstheme="minorHAnsi"/>
                <w:strike/>
                <w:lang w:val="es-ES"/>
              </w:rPr>
              <w:t>Considerar</w:t>
            </w:r>
            <w:r w:rsidR="00BA1C29" w:rsidRPr="009A27ED">
              <w:rPr>
                <w:rFonts w:asciiTheme="minorHAnsi" w:hAnsiTheme="minorHAnsi" w:cstheme="minorHAnsi"/>
                <w:strike/>
                <w:lang w:val="es-ES"/>
              </w:rPr>
              <w:t xml:space="preserve"> en los convenios o arreglos institucionales con Entidades Ejecutoras REDD</w:t>
            </w:r>
            <w:r w:rsidR="00331A74" w:rsidRPr="009A27ED">
              <w:rPr>
                <w:rFonts w:asciiTheme="minorHAnsi" w:hAnsiTheme="minorHAnsi" w:cstheme="minorHAnsi"/>
                <w:strike/>
                <w:lang w:val="es-ES"/>
              </w:rPr>
              <w:t>+ la</w:t>
            </w:r>
            <w:r w:rsidR="00BA1C29" w:rsidRPr="009A27ED">
              <w:rPr>
                <w:rFonts w:asciiTheme="minorHAnsi" w:hAnsiTheme="minorHAnsi" w:cstheme="minorHAnsi"/>
                <w:strike/>
                <w:lang w:val="es-ES"/>
              </w:rPr>
              <w:t xml:space="preserve"> aplicación del enfoque de cuenca en acciones </w:t>
            </w:r>
            <w:r w:rsidR="00331A74" w:rsidRPr="009A27ED">
              <w:rPr>
                <w:rFonts w:asciiTheme="minorHAnsi" w:hAnsiTheme="minorHAnsi" w:cstheme="minorHAnsi"/>
                <w:strike/>
                <w:lang w:val="es-ES"/>
              </w:rPr>
              <w:t xml:space="preserve">de </w:t>
            </w:r>
            <w:r w:rsidR="00331A74" w:rsidRPr="009A27ED">
              <w:rPr>
                <w:rFonts w:asciiTheme="minorHAnsi" w:hAnsiTheme="minorHAnsi" w:cstheme="minorHAnsi"/>
                <w:strike/>
                <w:lang w:val="es-DO"/>
              </w:rPr>
              <w:t>manejo</w:t>
            </w:r>
            <w:r w:rsidR="00BA1C29" w:rsidRPr="009A27ED">
              <w:rPr>
                <w:rFonts w:asciiTheme="minorHAnsi" w:hAnsiTheme="minorHAnsi" w:cstheme="minorHAnsi"/>
                <w:strike/>
                <w:lang w:val="es-DO"/>
              </w:rPr>
              <w:t xml:space="preserve"> y restauración ecológica.</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161EE4D" w14:textId="77777777" w:rsidR="00BA1C29" w:rsidRPr="009A27ED" w:rsidRDefault="00BA1C29" w:rsidP="00C97A18">
            <w:pPr>
              <w:pStyle w:val="Textocomentario"/>
              <w:numPr>
                <w:ilvl w:val="0"/>
                <w:numId w:val="384"/>
              </w:numPr>
              <w:spacing w:line="254" w:lineRule="auto"/>
              <w:ind w:left="326"/>
              <w:jc w:val="left"/>
              <w:rPr>
                <w:rFonts w:asciiTheme="minorHAnsi" w:hAnsiTheme="minorHAnsi" w:cstheme="minorHAnsi"/>
                <w:lang w:val="es-ES"/>
              </w:rPr>
            </w:pPr>
            <w:r w:rsidRPr="009A27ED">
              <w:rPr>
                <w:rFonts w:asciiTheme="minorHAnsi" w:hAnsiTheme="minorHAnsi" w:cstheme="minorHAnsi"/>
                <w:lang w:val="es-ES"/>
              </w:rPr>
              <w:t>Desarrollo de la visión estratégica de expansión de las actividades REDD+ implementadas por las EE y los planes, sistemas, programas y proyectos existentes y escogidos para REDD+, para lograr la expansión de las actividades tipo en las zonas de influencia de las áreas priorizadas.</w:t>
            </w:r>
          </w:p>
          <w:p w14:paraId="74FFCB1F" w14:textId="77777777" w:rsidR="00BA1C29" w:rsidRPr="009A27ED" w:rsidRDefault="00BA1C29" w:rsidP="00C97A18">
            <w:pPr>
              <w:pStyle w:val="Textocomentario"/>
              <w:numPr>
                <w:ilvl w:val="0"/>
                <w:numId w:val="384"/>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 xml:space="preserve">Desarrollo de arreglos institucionales para replicar modelos pilotos hacia el resto de </w:t>
            </w:r>
            <w:proofErr w:type="gramStart"/>
            <w:r w:rsidRPr="009A27ED">
              <w:rPr>
                <w:rFonts w:asciiTheme="minorHAnsi" w:hAnsiTheme="minorHAnsi" w:cstheme="minorHAnsi"/>
                <w:lang w:val="es-ES"/>
              </w:rPr>
              <w:t>áreas</w:t>
            </w:r>
            <w:proofErr w:type="gramEnd"/>
            <w:r w:rsidRPr="009A27ED">
              <w:rPr>
                <w:rFonts w:asciiTheme="minorHAnsi" w:hAnsiTheme="minorHAnsi" w:cstheme="minorHAnsi"/>
                <w:lang w:val="es-ES"/>
              </w:rPr>
              <w:t xml:space="preserve"> importantes para la conservación de la biodiversidad, en coordinación con las EE y actores locales.</w:t>
            </w:r>
          </w:p>
          <w:p w14:paraId="14206B96" w14:textId="3246001E" w:rsidR="00BA1C29" w:rsidRPr="009A27ED" w:rsidRDefault="00BA1C29" w:rsidP="005F2BFE">
            <w:pPr>
              <w:pStyle w:val="Textocomentario"/>
              <w:spacing w:line="254" w:lineRule="auto"/>
              <w:ind w:left="318"/>
              <w:jc w:val="left"/>
              <w:rPr>
                <w:rFonts w:asciiTheme="minorHAnsi" w:hAnsiTheme="minorHAnsi" w:cstheme="minorHAnsi"/>
                <w:lang w:val="es-ES"/>
              </w:rPr>
            </w:pP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ACC0EC4" w14:textId="77777777" w:rsidR="00BA1C29" w:rsidRPr="009A27ED" w:rsidRDefault="00BA1C29">
            <w:pPr>
              <w:pStyle w:val="Sinespaciado"/>
              <w:spacing w:line="254" w:lineRule="auto"/>
              <w:rPr>
                <w:sz w:val="20"/>
                <w:szCs w:val="20"/>
                <w:lang w:val="fr-FR"/>
              </w:rPr>
            </w:pPr>
            <w:proofErr w:type="spellStart"/>
            <w:r w:rsidRPr="009A27ED">
              <w:rPr>
                <w:sz w:val="20"/>
                <w:szCs w:val="20"/>
                <w:lang w:val="fr-FR"/>
              </w:rPr>
              <w:t>Hábitats</w:t>
            </w:r>
            <w:proofErr w:type="spellEnd"/>
            <w:r w:rsidRPr="009A27ED">
              <w:rPr>
                <w:sz w:val="20"/>
                <w:szCs w:val="20"/>
                <w:lang w:val="fr-FR"/>
              </w:rPr>
              <w:t xml:space="preserve"> </w:t>
            </w:r>
            <w:proofErr w:type="spellStart"/>
            <w:r w:rsidRPr="009A27ED">
              <w:rPr>
                <w:sz w:val="20"/>
                <w:szCs w:val="20"/>
                <w:lang w:val="fr-FR"/>
              </w:rPr>
              <w:t>naturales</w:t>
            </w:r>
            <w:proofErr w:type="spellEnd"/>
            <w:r w:rsidRPr="009A27ED">
              <w:rPr>
                <w:sz w:val="20"/>
                <w:szCs w:val="20"/>
                <w:lang w:val="fr-FR"/>
              </w:rPr>
              <w:t xml:space="preserve"> (PO 4.04)</w:t>
            </w:r>
          </w:p>
          <w:p w14:paraId="415F54A9" w14:textId="77777777" w:rsidR="00BA1C29" w:rsidRPr="009A27ED" w:rsidRDefault="00BA1C29">
            <w:pPr>
              <w:pStyle w:val="Sinespaciado"/>
              <w:spacing w:line="254" w:lineRule="auto"/>
              <w:rPr>
                <w:sz w:val="20"/>
                <w:szCs w:val="20"/>
                <w:lang w:val="fr-FR"/>
              </w:rPr>
            </w:pPr>
            <w:proofErr w:type="spellStart"/>
            <w:r w:rsidRPr="009A27ED">
              <w:rPr>
                <w:sz w:val="20"/>
                <w:szCs w:val="20"/>
                <w:lang w:val="fr-FR"/>
              </w:rPr>
              <w:t>Bosques</w:t>
            </w:r>
            <w:proofErr w:type="spellEnd"/>
            <w:r w:rsidRPr="009A27ED">
              <w:rPr>
                <w:sz w:val="20"/>
                <w:szCs w:val="20"/>
                <w:lang w:val="fr-FR"/>
              </w:rPr>
              <w:t xml:space="preserve"> (PO 4.36)</w:t>
            </w:r>
          </w:p>
          <w:p w14:paraId="013FC0F9"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lang w:val="es-ES"/>
              </w:rPr>
              <w:t>Evaluación Ambiental (PO 4.01)</w:t>
            </w:r>
          </w:p>
          <w:p w14:paraId="05DAC150"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color w:val="000000" w:themeColor="text1"/>
                <w:lang w:val="es-ES"/>
              </w:rPr>
              <w:t>Reasentamiento involuntario (PO 4.12)</w:t>
            </w:r>
          </w:p>
          <w:p w14:paraId="3436DE06" w14:textId="77777777" w:rsidR="00BA1C29" w:rsidRPr="009A27ED" w:rsidRDefault="00BA1C29">
            <w:pPr>
              <w:pStyle w:val="Textocomentario"/>
              <w:spacing w:line="254" w:lineRule="auto"/>
              <w:rPr>
                <w:rFonts w:asciiTheme="minorHAnsi" w:hAnsiTheme="minorHAnsi" w:cstheme="minorHAnsi"/>
                <w:lang w:val="pt-BR"/>
              </w:rPr>
            </w:pPr>
            <w:r w:rsidRPr="009A27ED">
              <w:rPr>
                <w:rFonts w:asciiTheme="minorHAnsi" w:hAnsiTheme="minorHAnsi" w:cstheme="minorHAnsi"/>
                <w:b/>
                <w:lang w:val="pt-BR"/>
              </w:rPr>
              <w:t>Salvaguardas REDD</w:t>
            </w:r>
            <w:proofErr w:type="gramStart"/>
            <w:r w:rsidRPr="009A27ED">
              <w:rPr>
                <w:rFonts w:asciiTheme="minorHAnsi" w:hAnsiTheme="minorHAnsi" w:cstheme="minorHAnsi"/>
                <w:b/>
                <w:lang w:val="pt-BR"/>
              </w:rPr>
              <w:t xml:space="preserve">+ </w:t>
            </w:r>
            <w:r w:rsidRPr="009A27ED">
              <w:rPr>
                <w:rFonts w:asciiTheme="minorHAnsi" w:hAnsiTheme="minorHAnsi" w:cstheme="minorHAnsi"/>
                <w:lang w:val="pt-BR"/>
              </w:rPr>
              <w:t xml:space="preserve"> A</w:t>
            </w:r>
            <w:proofErr w:type="gramEnd"/>
            <w:r w:rsidRPr="009A27ED">
              <w:rPr>
                <w:rFonts w:asciiTheme="minorHAnsi" w:hAnsiTheme="minorHAnsi" w:cstheme="minorHAnsi"/>
                <w:lang w:val="pt-BR"/>
              </w:rPr>
              <w:t>, B, D, E</w:t>
            </w:r>
          </w:p>
        </w:tc>
      </w:tr>
      <w:tr w:rsidR="00BA1C29" w:rsidRPr="009A27ED" w14:paraId="5C73D878" w14:textId="77777777" w:rsidTr="00DF1AF5">
        <w:tc>
          <w:tcPr>
            <w:tcW w:w="1437"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CCCDE51" w14:textId="77777777" w:rsidR="00BA1C29" w:rsidRPr="009A27ED" w:rsidRDefault="00BA1C29">
            <w:pPr>
              <w:rPr>
                <w:sz w:val="20"/>
                <w:szCs w:val="20"/>
                <w:lang w:val="es-DO"/>
              </w:rPr>
            </w:pPr>
            <w:bookmarkStart w:id="235" w:name="_Hlk528620140"/>
            <w:r w:rsidRPr="009A27ED">
              <w:rPr>
                <w:bCs/>
                <w:sz w:val="20"/>
                <w:szCs w:val="20"/>
                <w:lang w:val="es-DO"/>
              </w:rPr>
              <w:t xml:space="preserve">3. Promover modelos de gestión de recursos naturales que contribuyan a la conservación y </w:t>
            </w:r>
            <w:r w:rsidRPr="009A27ED">
              <w:rPr>
                <w:bCs/>
                <w:sz w:val="20"/>
                <w:szCs w:val="20"/>
                <w:lang w:val="es-DO"/>
              </w:rPr>
              <w:lastRenderedPageBreak/>
              <w:t xml:space="preserve">uso sostenible de los bosques y el aumento de la cobertura boscosa. </w:t>
            </w: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A798990" w14:textId="38D28DD3" w:rsidR="00BA1C29" w:rsidRPr="009A27ED" w:rsidRDefault="00BA1C29" w:rsidP="00E67CB0">
            <w:pPr>
              <w:pStyle w:val="Prrafodelista"/>
              <w:numPr>
                <w:ilvl w:val="1"/>
                <w:numId w:val="209"/>
              </w:numPr>
              <w:spacing w:after="0" w:line="240" w:lineRule="auto"/>
              <w:rPr>
                <w:sz w:val="20"/>
                <w:szCs w:val="20"/>
                <w:lang w:val="es-DO"/>
              </w:rPr>
            </w:pPr>
            <w:r w:rsidRPr="009A27ED">
              <w:rPr>
                <w:sz w:val="20"/>
                <w:szCs w:val="20"/>
                <w:lang w:val="es-DO"/>
              </w:rPr>
              <w:lastRenderedPageBreak/>
              <w:t xml:space="preserve">Fortalecer planes y programas de reforestación y agroforestería como el </w:t>
            </w:r>
            <w:r w:rsidR="00830FF5" w:rsidRPr="009A27ED">
              <w:rPr>
                <w:sz w:val="20"/>
                <w:szCs w:val="20"/>
                <w:lang w:val="es-DO"/>
              </w:rPr>
              <w:t>Programa Nacional de Reforestación y</w:t>
            </w:r>
            <w:r w:rsidRPr="009A27ED">
              <w:rPr>
                <w:sz w:val="20"/>
                <w:szCs w:val="20"/>
                <w:lang w:val="es-DO"/>
              </w:rPr>
              <w:t xml:space="preserve"> </w:t>
            </w:r>
            <w:r w:rsidR="00830FF5" w:rsidRPr="009A27ED">
              <w:rPr>
                <w:sz w:val="20"/>
                <w:szCs w:val="20"/>
                <w:lang w:val="es-DO"/>
              </w:rPr>
              <w:lastRenderedPageBreak/>
              <w:t>d</w:t>
            </w:r>
            <w:r w:rsidRPr="009A27ED">
              <w:rPr>
                <w:sz w:val="20"/>
                <w:szCs w:val="20"/>
                <w:lang w:val="es-DO"/>
              </w:rPr>
              <w:t xml:space="preserve">el Programa </w:t>
            </w:r>
            <w:r w:rsidR="00830FF5" w:rsidRPr="009A27ED">
              <w:rPr>
                <w:sz w:val="20"/>
                <w:szCs w:val="20"/>
                <w:lang w:val="es-DO"/>
              </w:rPr>
              <w:t xml:space="preserve">de Desarrollo </w:t>
            </w:r>
            <w:r w:rsidRPr="009A27ED">
              <w:rPr>
                <w:sz w:val="20"/>
                <w:szCs w:val="20"/>
                <w:lang w:val="es-DO"/>
              </w:rPr>
              <w:t>Agroforestal.</w:t>
            </w:r>
          </w:p>
        </w:tc>
        <w:tc>
          <w:tcPr>
            <w:tcW w:w="17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39F45BC" w14:textId="77777777" w:rsidR="00BA1C29" w:rsidRPr="009A27ED" w:rsidRDefault="00BA1C29">
            <w:pPr>
              <w:rPr>
                <w:sz w:val="20"/>
                <w:szCs w:val="20"/>
                <w:lang w:val="es-DO"/>
              </w:rPr>
            </w:pPr>
            <w:r w:rsidRPr="009A27ED">
              <w:rPr>
                <w:b/>
                <w:sz w:val="20"/>
                <w:szCs w:val="20"/>
                <w:lang w:val="es-DO"/>
              </w:rPr>
              <w:lastRenderedPageBreak/>
              <w:t>Acción directa</w:t>
            </w:r>
            <w:r w:rsidRPr="009A27ED">
              <w:rPr>
                <w:sz w:val="20"/>
                <w:szCs w:val="20"/>
                <w:lang w:val="es-DO"/>
              </w:rPr>
              <w:t xml:space="preserve"> Mejora existencias de carbono: Identificar áreas de intervención; involucrar comunidades y organizaciones en </w:t>
            </w:r>
            <w:r w:rsidRPr="009A27ED">
              <w:rPr>
                <w:sz w:val="20"/>
                <w:szCs w:val="20"/>
                <w:lang w:val="es-DO"/>
              </w:rPr>
              <w:lastRenderedPageBreak/>
              <w:t>las acciones de reforestación y agroforestería (Forestería Social, SAF cacao y café), Manejo Forestal sustentable</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04310D8" w14:textId="77777777" w:rsidR="00BA1C29" w:rsidRPr="009A27ED" w:rsidRDefault="00BA1C29">
            <w:pPr>
              <w:rPr>
                <w:sz w:val="20"/>
                <w:szCs w:val="20"/>
                <w:lang w:val="es-DO"/>
              </w:rPr>
            </w:pPr>
            <w:r w:rsidRPr="009A27ED">
              <w:rPr>
                <w:sz w:val="20"/>
                <w:szCs w:val="20"/>
                <w:lang w:val="es-DO"/>
              </w:rPr>
              <w:lastRenderedPageBreak/>
              <w:t>Nacional</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7E9F641" w14:textId="77777777" w:rsidR="00BA1C29" w:rsidRPr="009A27ED" w:rsidRDefault="00BA1C29" w:rsidP="00E67CB0">
            <w:pPr>
              <w:pStyle w:val="Textocomentario"/>
              <w:numPr>
                <w:ilvl w:val="0"/>
                <w:numId w:val="210"/>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Disminución de recursos económicos provenientes del bosque, afecta la calidad de vida de la población que vive de los recursos naturales.</w:t>
            </w:r>
          </w:p>
          <w:p w14:paraId="0598CF8B" w14:textId="77777777" w:rsidR="00BA1C29" w:rsidRPr="009A27ED" w:rsidRDefault="00BA1C29" w:rsidP="00E67CB0">
            <w:pPr>
              <w:pStyle w:val="Prrafodelista"/>
              <w:numPr>
                <w:ilvl w:val="0"/>
                <w:numId w:val="210"/>
              </w:numPr>
              <w:spacing w:after="0" w:line="254" w:lineRule="auto"/>
              <w:ind w:left="318" w:hanging="284"/>
              <w:jc w:val="left"/>
              <w:rPr>
                <w:sz w:val="20"/>
                <w:szCs w:val="20"/>
                <w:lang w:val="es-ES"/>
              </w:rPr>
            </w:pPr>
            <w:r w:rsidRPr="009A27ED">
              <w:rPr>
                <w:sz w:val="20"/>
                <w:szCs w:val="20"/>
              </w:rPr>
              <w:t xml:space="preserve">Aumento de los incendios forestales si no va acompañado de </w:t>
            </w:r>
            <w:r w:rsidRPr="009A27ED">
              <w:rPr>
                <w:sz w:val="20"/>
                <w:szCs w:val="20"/>
              </w:rPr>
              <w:lastRenderedPageBreak/>
              <w:t>medidas de prevención, especialmente si las especies plantadas son poco diversas y favorecen los monocultivos.</w:t>
            </w:r>
          </w:p>
          <w:p w14:paraId="525EB640" w14:textId="77777777" w:rsidR="00BA1C29" w:rsidRPr="009A27ED" w:rsidRDefault="00BA1C29" w:rsidP="00E67CB0">
            <w:pPr>
              <w:pStyle w:val="Textocomentario"/>
              <w:numPr>
                <w:ilvl w:val="0"/>
                <w:numId w:val="210"/>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Desarrollo de políticas sin consideración de la problemática de la tenencia de la tierra.</w:t>
            </w:r>
          </w:p>
          <w:p w14:paraId="16829C47" w14:textId="77777777" w:rsidR="00BA1C29" w:rsidRPr="009A27ED" w:rsidRDefault="00BA1C29" w:rsidP="00E67CB0">
            <w:pPr>
              <w:pStyle w:val="Textocomentario"/>
              <w:numPr>
                <w:ilvl w:val="0"/>
                <w:numId w:val="210"/>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Sustitución de las especies endémicas de la zona para establecer los modelos sostenibles, puede generar conflictos por usos de especies introducidas en lugar de especies nativas.</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BB22044" w14:textId="0E2343D1" w:rsidR="00BA1C29" w:rsidRPr="009A27ED" w:rsidRDefault="00BA1C29" w:rsidP="00C97A18">
            <w:pPr>
              <w:pStyle w:val="Textocomentario"/>
              <w:numPr>
                <w:ilvl w:val="0"/>
                <w:numId w:val="386"/>
              </w:numPr>
              <w:spacing w:line="254" w:lineRule="auto"/>
              <w:jc w:val="left"/>
              <w:rPr>
                <w:rFonts w:asciiTheme="minorHAnsi" w:hAnsiTheme="minorHAnsi" w:cstheme="minorHAnsi"/>
                <w:lang w:val="es-ES"/>
              </w:rPr>
            </w:pPr>
            <w:r w:rsidRPr="009A27ED">
              <w:rPr>
                <w:rFonts w:asciiTheme="minorHAnsi" w:hAnsiTheme="minorHAnsi" w:cstheme="minorHAnsi"/>
                <w:lang w:val="es-ES"/>
              </w:rPr>
              <w:lastRenderedPageBreak/>
              <w:t>Plan de captura de recursos económicos para la ampliación de planes y programas de reforestación y agroforestería como el Plan Nacional Quisqueya Verde</w:t>
            </w:r>
            <w:r w:rsidR="00830FF5" w:rsidRPr="009A27ED">
              <w:rPr>
                <w:rFonts w:asciiTheme="minorHAnsi" w:hAnsiTheme="minorHAnsi" w:cstheme="minorHAnsi"/>
                <w:lang w:val="es-ES"/>
              </w:rPr>
              <w:t xml:space="preserve"> (actualmente el Programa Nacional de Reforestación)</w:t>
            </w:r>
            <w:r w:rsidRPr="009A27ED">
              <w:rPr>
                <w:rFonts w:asciiTheme="minorHAnsi" w:hAnsiTheme="minorHAnsi" w:cstheme="minorHAnsi"/>
                <w:lang w:val="es-ES"/>
              </w:rPr>
              <w:t xml:space="preserve"> y el Programa </w:t>
            </w:r>
            <w:r w:rsidRPr="009A27ED">
              <w:rPr>
                <w:rFonts w:asciiTheme="minorHAnsi" w:hAnsiTheme="minorHAnsi" w:cstheme="minorHAnsi"/>
                <w:lang w:val="es-ES"/>
              </w:rPr>
              <w:lastRenderedPageBreak/>
              <w:t>Agroforestal, para lograr el involucramiento de comunidades y organizaciones en acciones de reforestación y agroforestería (Forestería social), dentro de las áreas priorizadas</w:t>
            </w:r>
          </w:p>
        </w:tc>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4D35197" w14:textId="77777777" w:rsidR="00BA1C29" w:rsidRPr="009A27ED" w:rsidRDefault="00BA1C29" w:rsidP="00C97A18">
            <w:pPr>
              <w:pStyle w:val="Textocomentario"/>
              <w:numPr>
                <w:ilvl w:val="0"/>
                <w:numId w:val="388"/>
              </w:numPr>
              <w:spacing w:line="254" w:lineRule="auto"/>
              <w:jc w:val="left"/>
              <w:rPr>
                <w:rFonts w:asciiTheme="minorHAnsi" w:hAnsiTheme="minorHAnsi" w:cstheme="minorHAnsi"/>
                <w:lang w:val="es-ES"/>
              </w:rPr>
            </w:pPr>
            <w:r w:rsidRPr="009A27ED">
              <w:rPr>
                <w:rFonts w:asciiTheme="minorHAnsi" w:hAnsiTheme="minorHAnsi" w:cstheme="minorHAnsi"/>
                <w:lang w:val="es-ES"/>
              </w:rPr>
              <w:lastRenderedPageBreak/>
              <w:t xml:space="preserve">Plan de captura de recursos económicos para la ampliación de planes y programas de reforestación y agroforestería como el </w:t>
            </w:r>
            <w:r w:rsidR="00473896" w:rsidRPr="009A27ED">
              <w:rPr>
                <w:rFonts w:asciiTheme="minorHAnsi" w:hAnsiTheme="minorHAnsi" w:cstheme="minorHAnsi"/>
                <w:lang w:val="es-ES"/>
              </w:rPr>
              <w:t xml:space="preserve">Programa Nacional de Reforestación (originado del </w:t>
            </w:r>
            <w:r w:rsidRPr="009A27ED">
              <w:rPr>
                <w:rFonts w:asciiTheme="minorHAnsi" w:hAnsiTheme="minorHAnsi" w:cstheme="minorHAnsi"/>
                <w:lang w:val="es-ES"/>
              </w:rPr>
              <w:t>Plan Nacional Quisqueya Verde</w:t>
            </w:r>
            <w:r w:rsidR="00473896" w:rsidRPr="009A27ED">
              <w:rPr>
                <w:rFonts w:asciiTheme="minorHAnsi" w:hAnsiTheme="minorHAnsi" w:cstheme="minorHAnsi"/>
                <w:lang w:val="es-ES"/>
              </w:rPr>
              <w:t>)</w:t>
            </w:r>
            <w:r w:rsidRPr="009A27ED">
              <w:rPr>
                <w:rFonts w:asciiTheme="minorHAnsi" w:hAnsiTheme="minorHAnsi" w:cstheme="minorHAnsi"/>
                <w:lang w:val="es-ES"/>
              </w:rPr>
              <w:t xml:space="preserve"> y el Programa Agroforestal, para lograr </w:t>
            </w:r>
            <w:r w:rsidRPr="009A27ED">
              <w:rPr>
                <w:rFonts w:asciiTheme="minorHAnsi" w:hAnsiTheme="minorHAnsi" w:cstheme="minorHAnsi"/>
                <w:lang w:val="es-ES"/>
              </w:rPr>
              <w:lastRenderedPageBreak/>
              <w:t xml:space="preserve">el involucramiento de comunidades y organizaciones en acciones de reforestación y agroforestería bajo los lineamientos establecidos en </w:t>
            </w:r>
            <w:r w:rsidR="00124B63" w:rsidRPr="009A27ED">
              <w:rPr>
                <w:rFonts w:asciiTheme="minorHAnsi" w:hAnsiTheme="minorHAnsi" w:cstheme="minorHAnsi"/>
                <w:lang w:val="es-ES"/>
              </w:rPr>
              <w:t>Programa REDD+</w:t>
            </w:r>
            <w:r w:rsidRPr="009A27ED">
              <w:rPr>
                <w:rFonts w:asciiTheme="minorHAnsi" w:hAnsiTheme="minorHAnsi" w:cstheme="minorHAnsi"/>
                <w:lang w:val="es-ES"/>
              </w:rPr>
              <w:t>, sus instrumentos de salvaguardas y su Plan de distribución de beneficios.</w:t>
            </w:r>
          </w:p>
          <w:p w14:paraId="6B8CADB0" w14:textId="70E83FBC" w:rsidR="002B5886" w:rsidRPr="009A27ED" w:rsidRDefault="002B5886" w:rsidP="00B80F73">
            <w:pPr>
              <w:pStyle w:val="Textocomentario"/>
              <w:spacing w:line="254" w:lineRule="auto"/>
              <w:ind w:left="360"/>
              <w:jc w:val="left"/>
              <w:rPr>
                <w:rFonts w:asciiTheme="minorHAnsi" w:hAnsiTheme="minorHAnsi" w:cstheme="minorHAnsi"/>
                <w:lang w:val="es-ES"/>
              </w:rPr>
            </w:pPr>
            <w:r w:rsidRPr="009A27ED">
              <w:rPr>
                <w:rFonts w:asciiTheme="minorHAnsi" w:hAnsiTheme="minorHAnsi" w:cstheme="minorHAnsi"/>
                <w:lang w:val="es-ES"/>
              </w:rPr>
              <w:t>b.</w:t>
            </w:r>
            <w:r w:rsidRPr="009A27ED">
              <w:rPr>
                <w:rFonts w:asciiTheme="minorHAnsi" w:hAnsiTheme="minorHAnsi" w:cstheme="minorHAnsi"/>
                <w:lang w:val="es-ES"/>
              </w:rPr>
              <w:tab/>
              <w:t xml:space="preserve">Elaborar y aplicar </w:t>
            </w:r>
            <w:r w:rsidR="00B80F73" w:rsidRPr="009A27ED">
              <w:rPr>
                <w:rFonts w:asciiTheme="minorHAnsi" w:hAnsiTheme="minorHAnsi" w:cstheme="minorHAnsi"/>
                <w:lang w:val="es-ES"/>
              </w:rPr>
              <w:t xml:space="preserve"> guías técnicas de buenas prácticas  orientadas  </w:t>
            </w:r>
            <w:proofErr w:type="gramStart"/>
            <w:r w:rsidR="00B80F73" w:rsidRPr="009A27ED">
              <w:rPr>
                <w:rFonts w:asciiTheme="minorHAnsi" w:hAnsiTheme="minorHAnsi" w:cstheme="minorHAnsi"/>
                <w:lang w:val="es-ES"/>
              </w:rPr>
              <w:t>a :Reforestación</w:t>
            </w:r>
            <w:proofErr w:type="gramEnd"/>
            <w:r w:rsidR="00B80F73" w:rsidRPr="009A27ED">
              <w:rPr>
                <w:rFonts w:asciiTheme="minorHAnsi" w:hAnsiTheme="minorHAnsi" w:cstheme="minorHAnsi"/>
                <w:lang w:val="es-ES"/>
              </w:rPr>
              <w:t xml:space="preserve"> en el Marco de REDD+, Producción de cacao bajo sombra y producción de café bajo sombra </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EF022BD" w14:textId="2581DD91" w:rsidR="00BA1C29" w:rsidRPr="009A27ED" w:rsidRDefault="00BA1C29" w:rsidP="00E67CB0">
            <w:pPr>
              <w:pStyle w:val="Textocomentario"/>
              <w:numPr>
                <w:ilvl w:val="0"/>
                <w:numId w:val="211"/>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lastRenderedPageBreak/>
              <w:t xml:space="preserve">Plan de captura de recursos económicos para la ampliación de planes y programas de reforestación y agroforestería como el </w:t>
            </w:r>
            <w:r w:rsidR="00473896" w:rsidRPr="009A27ED">
              <w:rPr>
                <w:rFonts w:asciiTheme="minorHAnsi" w:hAnsiTheme="minorHAnsi" w:cstheme="minorHAnsi"/>
                <w:lang w:val="es-ES"/>
              </w:rPr>
              <w:t xml:space="preserve"> Programa Nacional de Reforestación (</w:t>
            </w:r>
            <w:r w:rsidR="006B6C2B" w:rsidRPr="009A27ED">
              <w:rPr>
                <w:rFonts w:asciiTheme="minorHAnsi" w:hAnsiTheme="minorHAnsi" w:cstheme="minorHAnsi"/>
                <w:lang w:val="es-ES"/>
              </w:rPr>
              <w:t>antes</w:t>
            </w:r>
            <w:r w:rsidR="00473896" w:rsidRPr="009A27ED">
              <w:rPr>
                <w:rFonts w:asciiTheme="minorHAnsi" w:hAnsiTheme="minorHAnsi" w:cstheme="minorHAnsi"/>
                <w:lang w:val="es-ES"/>
              </w:rPr>
              <w:t xml:space="preserve"> </w:t>
            </w:r>
            <w:r w:rsidRPr="009A27ED">
              <w:rPr>
                <w:rFonts w:asciiTheme="minorHAnsi" w:hAnsiTheme="minorHAnsi" w:cstheme="minorHAnsi"/>
                <w:lang w:val="es-ES"/>
              </w:rPr>
              <w:t>Plan Nacional Quisqueya Verde</w:t>
            </w:r>
            <w:r w:rsidR="00473896" w:rsidRPr="009A27ED">
              <w:rPr>
                <w:rFonts w:asciiTheme="minorHAnsi" w:hAnsiTheme="minorHAnsi" w:cstheme="minorHAnsi"/>
                <w:lang w:val="es-ES"/>
              </w:rPr>
              <w:t>)</w:t>
            </w:r>
            <w:r w:rsidRPr="009A27ED">
              <w:rPr>
                <w:rFonts w:asciiTheme="minorHAnsi" w:hAnsiTheme="minorHAnsi" w:cstheme="minorHAnsi"/>
                <w:lang w:val="es-ES"/>
              </w:rPr>
              <w:t xml:space="preserve"> y el Programa Agroforestal, para lograr el </w:t>
            </w:r>
            <w:r w:rsidRPr="009A27ED">
              <w:rPr>
                <w:rFonts w:asciiTheme="minorHAnsi" w:hAnsiTheme="minorHAnsi" w:cstheme="minorHAnsi"/>
                <w:lang w:val="es-ES"/>
              </w:rPr>
              <w:lastRenderedPageBreak/>
              <w:t>involucramiento de comunidades y organizaciones en acciones de reforestación y agroforestería (Forestería social), dentro de las áreas priorizadas</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D71726B" w14:textId="77777777" w:rsidR="00BA1C29" w:rsidRPr="009A27ED" w:rsidRDefault="00BA1C29">
            <w:pPr>
              <w:pStyle w:val="Sinespaciado"/>
              <w:spacing w:line="254" w:lineRule="auto"/>
              <w:rPr>
                <w:sz w:val="20"/>
                <w:szCs w:val="20"/>
              </w:rPr>
            </w:pPr>
            <w:r w:rsidRPr="009A27ED">
              <w:rPr>
                <w:sz w:val="20"/>
                <w:szCs w:val="20"/>
              </w:rPr>
              <w:lastRenderedPageBreak/>
              <w:t>Hábitats naturales (PO  4.04)</w:t>
            </w:r>
          </w:p>
          <w:p w14:paraId="743F50D4" w14:textId="77777777" w:rsidR="00BA1C29" w:rsidRPr="009A27ED" w:rsidRDefault="00BA1C29">
            <w:pPr>
              <w:pStyle w:val="Sinespaciado"/>
              <w:spacing w:line="254" w:lineRule="auto"/>
              <w:rPr>
                <w:sz w:val="20"/>
                <w:szCs w:val="20"/>
              </w:rPr>
            </w:pPr>
            <w:r w:rsidRPr="009A27ED">
              <w:rPr>
                <w:sz w:val="20"/>
                <w:szCs w:val="20"/>
              </w:rPr>
              <w:t>Bosques (4.36)</w:t>
            </w:r>
          </w:p>
          <w:p w14:paraId="3C0CCCAD"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lang w:val="es-ES"/>
              </w:rPr>
              <w:t>Evaluación Ambiental (PO 4.01)</w:t>
            </w:r>
          </w:p>
          <w:p w14:paraId="5214E5D5" w14:textId="77777777" w:rsidR="00BA1C29" w:rsidRPr="009A27ED" w:rsidRDefault="00BA1C29">
            <w:pPr>
              <w:pStyle w:val="Textocomentario"/>
              <w:spacing w:line="254" w:lineRule="auto"/>
              <w:rPr>
                <w:rFonts w:asciiTheme="minorHAnsi" w:hAnsiTheme="minorHAnsi" w:cstheme="minorHAnsi"/>
                <w:color w:val="000000" w:themeColor="text1"/>
                <w:lang w:val="es-ES"/>
              </w:rPr>
            </w:pPr>
            <w:r w:rsidRPr="009A27ED">
              <w:rPr>
                <w:rFonts w:asciiTheme="minorHAnsi" w:hAnsiTheme="minorHAnsi" w:cstheme="minorHAnsi"/>
                <w:color w:val="000000" w:themeColor="text1"/>
                <w:lang w:val="es-ES"/>
              </w:rPr>
              <w:t>Reasentamiento involuntario (PO 4.12)</w:t>
            </w:r>
          </w:p>
          <w:p w14:paraId="06C2062E"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b/>
                <w:lang w:val="es-ES"/>
              </w:rPr>
              <w:lastRenderedPageBreak/>
              <w:t>Salvaguardas REDD+</w:t>
            </w:r>
            <w:r w:rsidRPr="009A27ED">
              <w:rPr>
                <w:rFonts w:asciiTheme="minorHAnsi" w:hAnsiTheme="minorHAnsi" w:cstheme="minorHAnsi"/>
                <w:lang w:val="es-ES"/>
              </w:rPr>
              <w:t xml:space="preserve"> A, B, D, E, F y G</w:t>
            </w:r>
          </w:p>
        </w:tc>
        <w:bookmarkEnd w:id="235"/>
      </w:tr>
      <w:tr w:rsidR="00BA1C29" w:rsidRPr="009A27ED" w14:paraId="533CF250" w14:textId="77777777" w:rsidTr="00DF1AF5">
        <w:trPr>
          <w:trHeight w:val="320"/>
        </w:trPr>
        <w:tc>
          <w:tcPr>
            <w:tcW w:w="143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344518D" w14:textId="77777777" w:rsidR="00BA1C29" w:rsidRPr="009A27ED" w:rsidRDefault="00BA1C29">
            <w:pPr>
              <w:rPr>
                <w:rFonts w:eastAsia="Times New Roman"/>
                <w:sz w:val="20"/>
                <w:szCs w:val="20"/>
                <w:lang w:val="es-DO" w:eastAsia="es-ES_tradnl"/>
              </w:rPr>
            </w:pPr>
          </w:p>
        </w:tc>
        <w:tc>
          <w:tcPr>
            <w:tcW w:w="2011"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EF985E2" w14:textId="77777777" w:rsidR="00BA1C29" w:rsidRPr="009A27ED" w:rsidRDefault="00BA1C29" w:rsidP="00E67CB0">
            <w:pPr>
              <w:pStyle w:val="Prrafodelista"/>
              <w:numPr>
                <w:ilvl w:val="1"/>
                <w:numId w:val="209"/>
              </w:numPr>
              <w:spacing w:after="0" w:line="240" w:lineRule="auto"/>
              <w:rPr>
                <w:sz w:val="20"/>
                <w:szCs w:val="20"/>
                <w:lang w:val="es-DO"/>
              </w:rPr>
            </w:pPr>
            <w:r w:rsidRPr="009A27ED">
              <w:rPr>
                <w:sz w:val="20"/>
                <w:szCs w:val="20"/>
                <w:lang w:val="es-DO"/>
              </w:rPr>
              <w:t xml:space="preserve">Promover la incorporación de sistemas agroforestales para manejo de fincas agrícolas y ganaderas. </w:t>
            </w:r>
          </w:p>
        </w:tc>
        <w:tc>
          <w:tcPr>
            <w:tcW w:w="17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5920C03" w14:textId="77777777" w:rsidR="00BA1C29" w:rsidRPr="009A27ED" w:rsidRDefault="00BA1C29">
            <w:pPr>
              <w:rPr>
                <w:sz w:val="20"/>
                <w:szCs w:val="20"/>
                <w:lang w:val="es-DO"/>
              </w:rPr>
            </w:pPr>
            <w:r w:rsidRPr="009A27ED">
              <w:rPr>
                <w:b/>
                <w:sz w:val="20"/>
                <w:szCs w:val="20"/>
                <w:lang w:val="es-DO"/>
              </w:rPr>
              <w:t>Acción directa</w:t>
            </w:r>
            <w:r w:rsidRPr="009A27ED">
              <w:rPr>
                <w:sz w:val="20"/>
                <w:szCs w:val="20"/>
                <w:lang w:val="es-DO"/>
              </w:rPr>
              <w:t xml:space="preserve"> Mejora existencias de carbono y reforestación. Intensificación de la ganadería mediante sistemas silvopastoriles.</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EE3B1EB" w14:textId="77777777" w:rsidR="00BA1C29" w:rsidRPr="009A27ED" w:rsidRDefault="00BA1C29">
            <w:pPr>
              <w:rPr>
                <w:sz w:val="20"/>
                <w:szCs w:val="20"/>
                <w:lang w:val="es-DO"/>
              </w:rPr>
            </w:pPr>
            <w:r w:rsidRPr="009A27ED">
              <w:rPr>
                <w:sz w:val="20"/>
                <w:szCs w:val="20"/>
                <w:lang w:val="es-DO"/>
              </w:rPr>
              <w:t>Nacional</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1B7F15F" w14:textId="021DD713" w:rsidR="00473896" w:rsidRPr="009A27ED" w:rsidRDefault="00BA1C29" w:rsidP="00C97A18">
            <w:pPr>
              <w:pStyle w:val="Textocomentario"/>
              <w:numPr>
                <w:ilvl w:val="0"/>
                <w:numId w:val="212"/>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Desarrollo de políticas sin consideración de la problemática de la tenencia de la tierra.</w:t>
            </w:r>
          </w:p>
          <w:p w14:paraId="4ADF889F" w14:textId="77777777" w:rsidR="00BA1C29" w:rsidRPr="009A27ED" w:rsidRDefault="00BA1C29" w:rsidP="00C97A18">
            <w:pPr>
              <w:pStyle w:val="Textocomentario"/>
              <w:numPr>
                <w:ilvl w:val="0"/>
                <w:numId w:val="212"/>
              </w:numPr>
              <w:spacing w:line="254" w:lineRule="auto"/>
              <w:ind w:left="318" w:hanging="284"/>
              <w:jc w:val="left"/>
              <w:rPr>
                <w:rFonts w:asciiTheme="minorHAnsi" w:hAnsiTheme="minorHAnsi" w:cstheme="minorHAnsi"/>
                <w:lang w:val="es-ES"/>
              </w:rPr>
            </w:pPr>
            <w:r w:rsidRPr="009A27ED">
              <w:rPr>
                <w:rFonts w:asciiTheme="minorHAnsi" w:hAnsiTheme="minorHAnsi" w:cstheme="minorHAnsi"/>
              </w:rPr>
              <w:t>Empobrecimiento del suelo y una probable disminución de la productividad.</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C891094" w14:textId="77777777" w:rsidR="00BA1C29" w:rsidRPr="009A27ED" w:rsidRDefault="00BA1C29" w:rsidP="00E67CB0">
            <w:pPr>
              <w:pStyle w:val="Textocomentario"/>
              <w:numPr>
                <w:ilvl w:val="0"/>
                <w:numId w:val="213"/>
              </w:numPr>
              <w:spacing w:line="254" w:lineRule="auto"/>
              <w:ind w:left="328"/>
              <w:rPr>
                <w:rFonts w:asciiTheme="minorHAnsi" w:hAnsiTheme="minorHAnsi" w:cstheme="minorHAnsi"/>
                <w:lang w:val="es-ES"/>
              </w:rPr>
            </w:pPr>
            <w:r w:rsidRPr="009A27ED">
              <w:rPr>
                <w:rFonts w:asciiTheme="minorHAnsi" w:hAnsiTheme="minorHAnsi" w:cstheme="minorHAnsi"/>
                <w:lang w:val="es-ES"/>
              </w:rPr>
              <w:t>Diseño de arreglos institucionales para la implementación de buenas prácticas relativas a la ganadería no extensiva, buscando la coordinación interinstitucional de las EE y sus planes, sistemas, programas y proyectos en el área priorizada y en las zonas de influencia.</w:t>
            </w:r>
          </w:p>
          <w:p w14:paraId="314DEF49" w14:textId="77777777" w:rsidR="00BA1C29" w:rsidRPr="009A27ED" w:rsidRDefault="00BA1C29" w:rsidP="00E67CB0">
            <w:pPr>
              <w:pStyle w:val="Textocomentario"/>
              <w:numPr>
                <w:ilvl w:val="0"/>
                <w:numId w:val="213"/>
              </w:numPr>
              <w:spacing w:line="254" w:lineRule="auto"/>
              <w:ind w:left="328"/>
              <w:rPr>
                <w:rFonts w:asciiTheme="minorHAnsi" w:hAnsiTheme="minorHAnsi" w:cstheme="minorHAnsi"/>
                <w:lang w:val="es-ES"/>
              </w:rPr>
            </w:pPr>
            <w:r w:rsidRPr="009A27ED">
              <w:rPr>
                <w:rFonts w:asciiTheme="minorHAnsi" w:hAnsiTheme="minorHAnsi" w:cstheme="minorHAnsi"/>
                <w:lang w:val="es-ES"/>
              </w:rPr>
              <w:t>Consolidación de alianzas estratégicas con socios internacionales, regionales o locales para la implementación de metodologías probadas para propiciar buenas prácticas de ganadería sostenible.</w:t>
            </w:r>
          </w:p>
          <w:p w14:paraId="15E17E31" w14:textId="77777777" w:rsidR="00BA1C29" w:rsidRPr="009A27ED" w:rsidRDefault="00BA1C29" w:rsidP="00E67CB0">
            <w:pPr>
              <w:pStyle w:val="Textocomentario"/>
              <w:numPr>
                <w:ilvl w:val="0"/>
                <w:numId w:val="212"/>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Promover la Intensificación de la ganadería mediante sistemas silvopastoriles (Incorporación de árboles en fincas ganaderas).</w:t>
            </w:r>
          </w:p>
        </w:tc>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B2D9E6" w14:textId="77777777" w:rsidR="00BA1C29" w:rsidRPr="009A27ED" w:rsidRDefault="00BA1C29" w:rsidP="00E67CB0">
            <w:pPr>
              <w:pStyle w:val="Textocomentario"/>
              <w:numPr>
                <w:ilvl w:val="0"/>
                <w:numId w:val="214"/>
              </w:numPr>
              <w:spacing w:line="254" w:lineRule="auto"/>
              <w:ind w:left="391"/>
              <w:rPr>
                <w:rFonts w:asciiTheme="minorHAnsi" w:hAnsiTheme="minorHAnsi" w:cstheme="minorHAnsi"/>
                <w:lang w:val="es-ES"/>
              </w:rPr>
            </w:pPr>
            <w:r w:rsidRPr="009A27ED">
              <w:rPr>
                <w:rFonts w:asciiTheme="minorHAnsi" w:hAnsiTheme="minorHAnsi" w:cstheme="minorHAnsi"/>
                <w:lang w:val="es-ES"/>
              </w:rPr>
              <w:t>Dentro de los Acuerdos interinstitucionales, se ha integrado la obligación de cumplir con la implementación de buenas prácticas relativas a la ganadería no extensiva, buscando la coordinación interinstitucional de las EE y sus planes, sistemas, programas y proyectos, así como,</w:t>
            </w:r>
          </w:p>
          <w:p w14:paraId="165DF398" w14:textId="77777777" w:rsidR="00BA1C29" w:rsidRPr="009A27ED" w:rsidRDefault="00BA1C29" w:rsidP="00E67CB0">
            <w:pPr>
              <w:pStyle w:val="Textocomentario"/>
              <w:numPr>
                <w:ilvl w:val="0"/>
                <w:numId w:val="214"/>
              </w:numPr>
              <w:spacing w:line="254" w:lineRule="auto"/>
              <w:ind w:left="391"/>
              <w:rPr>
                <w:rFonts w:asciiTheme="minorHAnsi" w:hAnsiTheme="minorHAnsi" w:cstheme="minorHAnsi"/>
                <w:lang w:val="es-ES"/>
              </w:rPr>
            </w:pPr>
            <w:r w:rsidRPr="009A27ED">
              <w:rPr>
                <w:rFonts w:asciiTheme="minorHAnsi" w:hAnsiTheme="minorHAnsi" w:cstheme="minorHAnsi"/>
                <w:lang w:val="es-ES"/>
              </w:rPr>
              <w:t xml:space="preserve">Promover la intensificación de sistemas silvopastoriles en las prácticas ganaderas (Incorporación de árboles en fincas ganaderas y la </w:t>
            </w:r>
          </w:p>
          <w:p w14:paraId="7308274F" w14:textId="77777777" w:rsidR="00BA1C29" w:rsidRPr="009A27ED" w:rsidRDefault="00BA1C29" w:rsidP="00C97A18">
            <w:pPr>
              <w:pStyle w:val="Textocomentario"/>
              <w:numPr>
                <w:ilvl w:val="0"/>
                <w:numId w:val="214"/>
              </w:numPr>
              <w:spacing w:line="254" w:lineRule="auto"/>
              <w:ind w:left="391"/>
              <w:rPr>
                <w:rFonts w:asciiTheme="minorHAnsi" w:hAnsiTheme="minorHAnsi" w:cstheme="minorHAnsi"/>
                <w:lang w:val="es-ES"/>
              </w:rPr>
            </w:pPr>
            <w:r w:rsidRPr="009A27ED">
              <w:t>Consolidación de alianzas estratégicas con socios internacionales, regionales o locales para la implementación de metodologías probadas para propiciar buenas prácticas de ganadería sostenible.</w:t>
            </w:r>
          </w:p>
          <w:p w14:paraId="77F7D14D" w14:textId="0E330010" w:rsidR="00B80F73" w:rsidRPr="009A27ED" w:rsidRDefault="00B80F73" w:rsidP="00B80F73">
            <w:pPr>
              <w:pStyle w:val="Textocomentario"/>
              <w:numPr>
                <w:ilvl w:val="0"/>
                <w:numId w:val="214"/>
              </w:numPr>
              <w:spacing w:line="254" w:lineRule="auto"/>
              <w:rPr>
                <w:rFonts w:asciiTheme="minorHAnsi" w:hAnsiTheme="minorHAnsi" w:cstheme="minorHAnsi"/>
                <w:lang w:val="es-ES"/>
              </w:rPr>
            </w:pPr>
            <w:r w:rsidRPr="009A27ED">
              <w:rPr>
                <w:rFonts w:asciiTheme="minorHAnsi" w:hAnsiTheme="minorHAnsi" w:cstheme="minorHAnsi"/>
                <w:lang w:val="es-ES"/>
              </w:rPr>
              <w:t xml:space="preserve">Elaborar y aplicar  guías técnicas de buenas prácticas  orientadas  </w:t>
            </w:r>
            <w:proofErr w:type="gramStart"/>
            <w:r w:rsidRPr="009A27ED">
              <w:rPr>
                <w:rFonts w:asciiTheme="minorHAnsi" w:hAnsiTheme="minorHAnsi" w:cstheme="minorHAnsi"/>
                <w:lang w:val="es-ES"/>
              </w:rPr>
              <w:t>a :Sistemas</w:t>
            </w:r>
            <w:proofErr w:type="gramEnd"/>
            <w:r w:rsidRPr="009A27ED">
              <w:rPr>
                <w:rFonts w:asciiTheme="minorHAnsi" w:hAnsiTheme="minorHAnsi" w:cstheme="minorHAnsi"/>
                <w:lang w:val="es-ES"/>
              </w:rPr>
              <w:t xml:space="preserve"> Silvopastoriles (arborización de fincas ganaderas)</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9257A18" w14:textId="77777777" w:rsidR="00BA1C29" w:rsidRPr="009A27ED" w:rsidRDefault="00BA1C29" w:rsidP="00C97A18">
            <w:pPr>
              <w:pStyle w:val="Textocomentario"/>
              <w:numPr>
                <w:ilvl w:val="0"/>
                <w:numId w:val="390"/>
              </w:numPr>
              <w:spacing w:line="254" w:lineRule="auto"/>
              <w:ind w:left="326"/>
              <w:jc w:val="left"/>
              <w:rPr>
                <w:rFonts w:asciiTheme="minorHAnsi" w:hAnsiTheme="minorHAnsi" w:cstheme="minorHAnsi"/>
                <w:lang w:val="es-ES"/>
              </w:rPr>
            </w:pPr>
            <w:r w:rsidRPr="009A27ED">
              <w:rPr>
                <w:rFonts w:asciiTheme="minorHAnsi" w:hAnsiTheme="minorHAnsi" w:cstheme="minorHAnsi"/>
                <w:lang w:val="es-ES"/>
              </w:rPr>
              <w:t>Diseño de arreglos institucionales para la implementación de buenas prácticas relativas a la ganadería no extensiva, buscando la coordinación interinstitucional de las EE y sus planes, sistemas, programas y proyectos en el área priorizada y en las zonas de influencia.</w:t>
            </w:r>
          </w:p>
          <w:p w14:paraId="2DC9E621" w14:textId="77777777" w:rsidR="00BA1C29" w:rsidRPr="009A27ED" w:rsidRDefault="00BA1C29" w:rsidP="00C97A18">
            <w:pPr>
              <w:pStyle w:val="Textocomentario"/>
              <w:numPr>
                <w:ilvl w:val="0"/>
                <w:numId w:val="390"/>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Consolidación de alianzas estratégicas con socios internacionales, regionales o locales para la implementación de metodologías probadas para propiciar buenas prácticas de ganadería sostenible.</w:t>
            </w:r>
          </w:p>
          <w:p w14:paraId="358E39C2" w14:textId="77777777" w:rsidR="00BA1C29" w:rsidRPr="009A27ED" w:rsidRDefault="00BA1C29" w:rsidP="00C97A18">
            <w:pPr>
              <w:pStyle w:val="Textocomentario"/>
              <w:numPr>
                <w:ilvl w:val="0"/>
                <w:numId w:val="390"/>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Promover la Intensificación de la ganadería mediante sistemas silvopastoriles (Incorporación de árboles en fincas ganaderas).</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C4AA30A" w14:textId="77777777" w:rsidR="00BA1C29" w:rsidRPr="009A27ED" w:rsidRDefault="00BA1C29">
            <w:pPr>
              <w:pStyle w:val="Sinespaciado"/>
              <w:spacing w:line="254" w:lineRule="auto"/>
              <w:rPr>
                <w:sz w:val="20"/>
                <w:szCs w:val="20"/>
                <w:lang w:val="fr-FR"/>
              </w:rPr>
            </w:pPr>
            <w:proofErr w:type="spellStart"/>
            <w:r w:rsidRPr="009A27ED">
              <w:rPr>
                <w:sz w:val="20"/>
                <w:szCs w:val="20"/>
                <w:lang w:val="fr-FR"/>
              </w:rPr>
              <w:t>Hábitats</w:t>
            </w:r>
            <w:proofErr w:type="spellEnd"/>
            <w:r w:rsidRPr="009A27ED">
              <w:rPr>
                <w:sz w:val="20"/>
                <w:szCs w:val="20"/>
                <w:lang w:val="fr-FR"/>
              </w:rPr>
              <w:t xml:space="preserve"> </w:t>
            </w:r>
            <w:proofErr w:type="spellStart"/>
            <w:r w:rsidRPr="009A27ED">
              <w:rPr>
                <w:sz w:val="20"/>
                <w:szCs w:val="20"/>
                <w:lang w:val="fr-FR"/>
              </w:rPr>
              <w:t>naturales</w:t>
            </w:r>
            <w:proofErr w:type="spellEnd"/>
            <w:r w:rsidRPr="009A27ED">
              <w:rPr>
                <w:sz w:val="20"/>
                <w:szCs w:val="20"/>
                <w:lang w:val="fr-FR"/>
              </w:rPr>
              <w:t xml:space="preserve"> (PO 4.04)</w:t>
            </w:r>
          </w:p>
          <w:p w14:paraId="465D8F20" w14:textId="77777777" w:rsidR="00BA1C29" w:rsidRPr="009A27ED" w:rsidRDefault="00BA1C29">
            <w:pPr>
              <w:pStyle w:val="Sinespaciado"/>
              <w:spacing w:line="254" w:lineRule="auto"/>
              <w:rPr>
                <w:sz w:val="20"/>
                <w:szCs w:val="20"/>
                <w:lang w:val="fr-FR"/>
              </w:rPr>
            </w:pPr>
            <w:proofErr w:type="spellStart"/>
            <w:r w:rsidRPr="009A27ED">
              <w:rPr>
                <w:sz w:val="20"/>
                <w:szCs w:val="20"/>
                <w:lang w:val="fr-FR"/>
              </w:rPr>
              <w:t>Bosques</w:t>
            </w:r>
            <w:proofErr w:type="spellEnd"/>
            <w:r w:rsidRPr="009A27ED">
              <w:rPr>
                <w:sz w:val="20"/>
                <w:szCs w:val="20"/>
                <w:lang w:val="fr-FR"/>
              </w:rPr>
              <w:t xml:space="preserve"> (PO 4.36)</w:t>
            </w:r>
          </w:p>
          <w:p w14:paraId="0E4885F6"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lang w:val="es-ES"/>
              </w:rPr>
              <w:t>Evaluación Ambiental (PO 4.01)</w:t>
            </w:r>
          </w:p>
          <w:p w14:paraId="0F47DED9"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b/>
                <w:lang w:val="es-ES"/>
              </w:rPr>
              <w:t>Salvaguardas REDD+</w:t>
            </w:r>
            <w:r w:rsidRPr="009A27ED">
              <w:rPr>
                <w:rFonts w:asciiTheme="minorHAnsi" w:hAnsiTheme="minorHAnsi" w:cstheme="minorHAnsi"/>
                <w:lang w:val="es-ES"/>
              </w:rPr>
              <w:t xml:space="preserve"> A, B, D, E, F y G</w:t>
            </w:r>
          </w:p>
        </w:tc>
      </w:tr>
      <w:tr w:rsidR="00BA1C29" w:rsidRPr="009A27ED" w14:paraId="25E6717B" w14:textId="77777777" w:rsidTr="00DF1AF5">
        <w:trPr>
          <w:trHeight w:val="319"/>
        </w:trPr>
        <w:tc>
          <w:tcPr>
            <w:tcW w:w="143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428CBD7" w14:textId="77777777" w:rsidR="00BA1C29" w:rsidRPr="009A27ED" w:rsidRDefault="00BA1C29">
            <w:pPr>
              <w:rPr>
                <w:rFonts w:eastAsia="Times New Roman"/>
                <w:sz w:val="20"/>
                <w:szCs w:val="20"/>
                <w:lang w:val="es-DO" w:eastAsia="es-ES_tradnl"/>
              </w:rPr>
            </w:pPr>
          </w:p>
        </w:tc>
        <w:tc>
          <w:tcPr>
            <w:tcW w:w="2011"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C20DCB6" w14:textId="77777777" w:rsidR="00BA1C29" w:rsidRPr="009A27ED" w:rsidRDefault="00BA1C29">
            <w:pPr>
              <w:rPr>
                <w:rFonts w:eastAsia="Times New Roman"/>
                <w:sz w:val="20"/>
                <w:szCs w:val="20"/>
                <w:lang w:val="es-DO"/>
              </w:rPr>
            </w:pPr>
          </w:p>
        </w:tc>
        <w:tc>
          <w:tcPr>
            <w:tcW w:w="17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3BFF148" w14:textId="77777777" w:rsidR="00BA1C29" w:rsidRPr="009A27ED" w:rsidRDefault="00BA1C29">
            <w:pPr>
              <w:rPr>
                <w:sz w:val="20"/>
                <w:szCs w:val="20"/>
                <w:lang w:val="es-DO"/>
              </w:rPr>
            </w:pPr>
            <w:r w:rsidRPr="009A27ED">
              <w:rPr>
                <w:b/>
                <w:sz w:val="20"/>
                <w:szCs w:val="20"/>
                <w:lang w:val="es-DO"/>
              </w:rPr>
              <w:t>Acción directa</w:t>
            </w:r>
            <w:r w:rsidRPr="009A27ED">
              <w:rPr>
                <w:sz w:val="20"/>
                <w:szCs w:val="20"/>
                <w:lang w:val="es-DO"/>
              </w:rPr>
              <w:t xml:space="preserve"> Deforestación-degradación: Intensificación de la agricultura a través de sistemas de agroforestería (SAF cacao, café).</w:t>
            </w:r>
          </w:p>
          <w:p w14:paraId="559835B7" w14:textId="77777777" w:rsidR="00BA1C29" w:rsidRPr="009A27ED" w:rsidRDefault="00BA1C29">
            <w:pPr>
              <w:rPr>
                <w:sz w:val="20"/>
                <w:szCs w:val="20"/>
                <w:lang w:val="es-DO"/>
              </w:rPr>
            </w:pPr>
            <w:r w:rsidRPr="009A27ED">
              <w:rPr>
                <w:sz w:val="20"/>
                <w:szCs w:val="20"/>
                <w:lang w:val="es-DO"/>
              </w:rPr>
              <w:t xml:space="preserve">Incorporación de árboles en fincas ganaderas </w:t>
            </w:r>
            <w:r w:rsidRPr="009A27ED">
              <w:rPr>
                <w:sz w:val="20"/>
                <w:szCs w:val="20"/>
                <w:lang w:val="es-DO"/>
              </w:rPr>
              <w:lastRenderedPageBreak/>
              <w:t>(Sistemas silvopastoriles)</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B519029" w14:textId="77777777" w:rsidR="00BA1C29" w:rsidRPr="009A27ED" w:rsidRDefault="00BA1C29">
            <w:pPr>
              <w:rPr>
                <w:sz w:val="20"/>
                <w:szCs w:val="20"/>
                <w:lang w:val="es-DO"/>
              </w:rPr>
            </w:pPr>
            <w:r w:rsidRPr="009A27ED">
              <w:rPr>
                <w:sz w:val="20"/>
                <w:szCs w:val="20"/>
                <w:lang w:val="es-DO"/>
              </w:rPr>
              <w:lastRenderedPageBreak/>
              <w:t>Nacional</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145734" w14:textId="77777777" w:rsidR="00BA1C29" w:rsidRPr="009A27ED" w:rsidRDefault="00BA1C29">
            <w:pPr>
              <w:pStyle w:val="Textocomentario"/>
              <w:spacing w:line="254" w:lineRule="auto"/>
              <w:ind w:left="318" w:hanging="284"/>
              <w:jc w:val="left"/>
              <w:rPr>
                <w:rFonts w:asciiTheme="minorHAnsi" w:hAnsiTheme="minorHAnsi" w:cstheme="minorHAnsi"/>
                <w:lang w:val="es-ES"/>
              </w:rPr>
            </w:pP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E62255C" w14:textId="5DFAD4BE" w:rsidR="00BA1C29" w:rsidRPr="009A27ED" w:rsidRDefault="00BA1C29" w:rsidP="00C97A18">
            <w:pPr>
              <w:pStyle w:val="Textocomentario"/>
              <w:numPr>
                <w:ilvl w:val="0"/>
                <w:numId w:val="393"/>
              </w:numPr>
              <w:spacing w:line="254" w:lineRule="auto"/>
              <w:ind w:left="356"/>
              <w:jc w:val="left"/>
              <w:rPr>
                <w:rFonts w:asciiTheme="minorHAnsi" w:hAnsiTheme="minorHAnsi" w:cstheme="minorHAnsi"/>
                <w:lang w:val="es-ES"/>
              </w:rPr>
            </w:pPr>
            <w:r w:rsidRPr="009A27ED">
              <w:rPr>
                <w:rFonts w:asciiTheme="minorHAnsi" w:hAnsiTheme="minorHAnsi" w:cstheme="minorHAnsi"/>
                <w:lang w:val="es-ES"/>
              </w:rPr>
              <w:t xml:space="preserve">Dentro de las Actividades definidas en el </w:t>
            </w:r>
            <w:r w:rsidR="00124B63" w:rsidRPr="009A27ED">
              <w:rPr>
                <w:rFonts w:asciiTheme="minorHAnsi" w:hAnsiTheme="minorHAnsi" w:cstheme="minorHAnsi"/>
                <w:lang w:val="es-ES"/>
              </w:rPr>
              <w:t>Programa REDD+</w:t>
            </w:r>
            <w:r w:rsidRPr="009A27ED">
              <w:rPr>
                <w:rFonts w:asciiTheme="minorHAnsi" w:hAnsiTheme="minorHAnsi" w:cstheme="minorHAnsi"/>
                <w:lang w:val="es-ES"/>
              </w:rPr>
              <w:t xml:space="preserve"> se encuentra la promoción e implementación de sistemas de agroforestería (SAF cacao-café), así como la incorporación de árboles en fincas ganaderas.</w:t>
            </w:r>
          </w:p>
        </w:tc>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63FE820" w14:textId="5CC848DD" w:rsidR="00BA1C29" w:rsidRPr="009A27ED" w:rsidRDefault="00BA1C29" w:rsidP="00C97A18">
            <w:pPr>
              <w:pStyle w:val="Textocomentario"/>
              <w:numPr>
                <w:ilvl w:val="0"/>
                <w:numId w:val="395"/>
              </w:numPr>
              <w:tabs>
                <w:tab w:val="left" w:pos="502"/>
              </w:tabs>
              <w:spacing w:line="254" w:lineRule="auto"/>
              <w:ind w:left="412"/>
              <w:jc w:val="left"/>
              <w:rPr>
                <w:rFonts w:asciiTheme="minorHAnsi" w:hAnsiTheme="minorHAnsi" w:cstheme="minorHAnsi"/>
                <w:lang w:val="es-ES"/>
              </w:rPr>
            </w:pPr>
            <w:r w:rsidRPr="009A27ED">
              <w:rPr>
                <w:rFonts w:asciiTheme="minorHAnsi" w:hAnsiTheme="minorHAnsi" w:cstheme="minorHAnsi"/>
                <w:lang w:val="es-ES"/>
              </w:rPr>
              <w:t xml:space="preserve">En el </w:t>
            </w:r>
            <w:r w:rsidR="00124B63" w:rsidRPr="009A27ED">
              <w:rPr>
                <w:rFonts w:asciiTheme="minorHAnsi" w:hAnsiTheme="minorHAnsi" w:cstheme="minorHAnsi"/>
                <w:lang w:val="es-ES"/>
              </w:rPr>
              <w:t>Programa REDD+</w:t>
            </w:r>
            <w:r w:rsidRPr="009A27ED">
              <w:rPr>
                <w:rFonts w:asciiTheme="minorHAnsi" w:hAnsiTheme="minorHAnsi" w:cstheme="minorHAnsi"/>
                <w:lang w:val="es-ES"/>
              </w:rPr>
              <w:t xml:space="preserve">_ se </w:t>
            </w:r>
            <w:r w:rsidR="000F0907" w:rsidRPr="009A27ED">
              <w:rPr>
                <w:rFonts w:asciiTheme="minorHAnsi" w:hAnsiTheme="minorHAnsi" w:cstheme="minorHAnsi"/>
                <w:lang w:val="es-ES"/>
              </w:rPr>
              <w:t>integró</w:t>
            </w:r>
            <w:r w:rsidRPr="009A27ED">
              <w:rPr>
                <w:rFonts w:asciiTheme="minorHAnsi" w:hAnsiTheme="minorHAnsi" w:cstheme="minorHAnsi"/>
                <w:lang w:val="es-ES"/>
              </w:rPr>
              <w:t xml:space="preserve"> la intensificación de sistemas agroforestales en las </w:t>
            </w:r>
            <w:proofErr w:type="gramStart"/>
            <w:r w:rsidRPr="009A27ED">
              <w:rPr>
                <w:rFonts w:asciiTheme="minorHAnsi" w:hAnsiTheme="minorHAnsi" w:cstheme="minorHAnsi"/>
                <w:lang w:val="es-ES"/>
              </w:rPr>
              <w:t>práctica agrícolas</w:t>
            </w:r>
            <w:proofErr w:type="gramEnd"/>
            <w:r w:rsidRPr="009A27ED">
              <w:rPr>
                <w:rFonts w:asciiTheme="minorHAnsi" w:hAnsiTheme="minorHAnsi" w:cstheme="minorHAnsi"/>
                <w:lang w:val="es-ES"/>
              </w:rPr>
              <w:t xml:space="preserve"> (SAF cacao-café).</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CB90C2F" w14:textId="05D88B2E" w:rsidR="00BA1C29" w:rsidRPr="009A27ED" w:rsidRDefault="00BA1C29" w:rsidP="00C97A18">
            <w:pPr>
              <w:pStyle w:val="Textocomentario"/>
              <w:numPr>
                <w:ilvl w:val="0"/>
                <w:numId w:val="392"/>
              </w:numPr>
              <w:spacing w:line="254" w:lineRule="auto"/>
              <w:jc w:val="left"/>
              <w:rPr>
                <w:rFonts w:asciiTheme="minorHAnsi" w:hAnsiTheme="minorHAnsi" w:cstheme="minorHAnsi"/>
                <w:lang w:val="es-ES"/>
              </w:rPr>
            </w:pPr>
            <w:r w:rsidRPr="009A27ED">
              <w:rPr>
                <w:rFonts w:asciiTheme="minorHAnsi" w:hAnsiTheme="minorHAnsi" w:cstheme="minorHAnsi"/>
                <w:lang w:val="es-ES"/>
              </w:rPr>
              <w:t xml:space="preserve">Dentro de las Actividades definidas en el </w:t>
            </w:r>
            <w:r w:rsidR="00124B63" w:rsidRPr="009A27ED">
              <w:rPr>
                <w:rFonts w:asciiTheme="minorHAnsi" w:hAnsiTheme="minorHAnsi" w:cstheme="minorHAnsi"/>
                <w:lang w:val="es-ES"/>
              </w:rPr>
              <w:t>Programa REDD+</w:t>
            </w:r>
            <w:r w:rsidR="00434410" w:rsidRPr="009A27ED">
              <w:rPr>
                <w:rFonts w:asciiTheme="minorHAnsi" w:hAnsiTheme="minorHAnsi" w:cstheme="minorHAnsi"/>
                <w:lang w:val="es-ES"/>
              </w:rPr>
              <w:t xml:space="preserve"> se</w:t>
            </w:r>
            <w:r w:rsidRPr="009A27ED">
              <w:rPr>
                <w:rFonts w:asciiTheme="minorHAnsi" w:hAnsiTheme="minorHAnsi" w:cstheme="minorHAnsi"/>
                <w:lang w:val="es-ES"/>
              </w:rPr>
              <w:t xml:space="preserve"> encuentra la promoción e implementación de sistemas de agroforestería (SAF cacao-café), así como la incorporación de árboles en fincas ganaderas.</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2154AE1" w14:textId="77777777" w:rsidR="00BA1C29" w:rsidRPr="009A27ED" w:rsidRDefault="00BA1C29">
            <w:pPr>
              <w:pStyle w:val="Textocomentario"/>
              <w:spacing w:line="254" w:lineRule="auto"/>
              <w:rPr>
                <w:rFonts w:asciiTheme="minorHAnsi" w:hAnsiTheme="minorHAnsi" w:cstheme="minorHAnsi"/>
                <w:lang w:val="pt-BR"/>
              </w:rPr>
            </w:pPr>
            <w:r w:rsidRPr="009A27ED">
              <w:rPr>
                <w:rFonts w:asciiTheme="minorHAnsi" w:hAnsiTheme="minorHAnsi" w:cstheme="minorHAnsi"/>
                <w:b/>
                <w:lang w:val="pt-BR"/>
              </w:rPr>
              <w:t>Salvaguardas REDD+</w:t>
            </w:r>
            <w:r w:rsidRPr="009A27ED">
              <w:rPr>
                <w:rFonts w:asciiTheme="minorHAnsi" w:hAnsiTheme="minorHAnsi" w:cstheme="minorHAnsi"/>
                <w:lang w:val="pt-BR"/>
              </w:rPr>
              <w:t xml:space="preserve"> A, B, C, D, E</w:t>
            </w:r>
          </w:p>
        </w:tc>
      </w:tr>
      <w:tr w:rsidR="00BA1C29" w:rsidRPr="009A27ED" w14:paraId="7A5B5516" w14:textId="77777777" w:rsidTr="00DF1AF5">
        <w:tc>
          <w:tcPr>
            <w:tcW w:w="143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49C4A10" w14:textId="77777777" w:rsidR="00BA1C29" w:rsidRPr="009A27ED" w:rsidRDefault="00BA1C29">
            <w:pPr>
              <w:rPr>
                <w:rFonts w:eastAsia="Times New Roman"/>
                <w:sz w:val="20"/>
                <w:szCs w:val="20"/>
                <w:lang w:val="pt-BR" w:eastAsia="es-ES_tradnl"/>
              </w:rPr>
            </w:pP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AD1FB23" w14:textId="77777777" w:rsidR="00BA1C29" w:rsidRPr="009A27ED" w:rsidRDefault="00BA1C29" w:rsidP="00E67CB0">
            <w:pPr>
              <w:pStyle w:val="Prrafodelista"/>
              <w:numPr>
                <w:ilvl w:val="1"/>
                <w:numId w:val="209"/>
              </w:numPr>
              <w:spacing w:after="0" w:line="240" w:lineRule="auto"/>
              <w:rPr>
                <w:sz w:val="20"/>
                <w:szCs w:val="20"/>
                <w:lang w:val="es-DO"/>
              </w:rPr>
            </w:pPr>
            <w:r w:rsidRPr="009A27ED">
              <w:rPr>
                <w:sz w:val="20"/>
                <w:szCs w:val="20"/>
                <w:lang w:val="es-DO"/>
              </w:rPr>
              <w:t>Desarrollar programas de sensibilización y concienciación de actores claves en temas de gestión ambiental y manejo sostenible de los bosques.</w:t>
            </w:r>
          </w:p>
        </w:tc>
        <w:tc>
          <w:tcPr>
            <w:tcW w:w="17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49C57CF" w14:textId="77777777" w:rsidR="00BA1C29" w:rsidRPr="009A27ED" w:rsidRDefault="00BA1C29">
            <w:pPr>
              <w:rPr>
                <w:sz w:val="20"/>
                <w:szCs w:val="20"/>
                <w:lang w:val="es-DO"/>
              </w:rPr>
            </w:pPr>
            <w:r w:rsidRPr="009A27ED">
              <w:rPr>
                <w:b/>
                <w:sz w:val="20"/>
                <w:szCs w:val="20"/>
                <w:lang w:val="es-DO"/>
              </w:rPr>
              <w:t>Acción Facilitadora</w:t>
            </w:r>
            <w:r w:rsidRPr="009A27ED">
              <w:rPr>
                <w:sz w:val="20"/>
                <w:szCs w:val="20"/>
                <w:lang w:val="es-DO"/>
              </w:rPr>
              <w:t xml:space="preserve"> Deforestación-degradación Establecer un programa de capacitación y sensibilización en temas de gestión ambiental y manejo sostenible de los bosques. Cursos de capacitación, talleres, intercambios de experiencias, días de campo, y campañas de difusión</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CE1A832" w14:textId="77777777" w:rsidR="00BA1C29" w:rsidRPr="009A27ED" w:rsidRDefault="00BA1C29">
            <w:pPr>
              <w:rPr>
                <w:sz w:val="20"/>
                <w:szCs w:val="20"/>
                <w:lang w:val="es-DO"/>
              </w:rPr>
            </w:pPr>
            <w:r w:rsidRPr="009A27ED">
              <w:rPr>
                <w:sz w:val="20"/>
                <w:szCs w:val="20"/>
                <w:lang w:val="es-DO"/>
              </w:rPr>
              <w:t>Áreas priorizadas 1, 2, 3</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7FE53B6" w14:textId="77777777" w:rsidR="00BA1C29" w:rsidRPr="009A27ED" w:rsidRDefault="00BA1C29" w:rsidP="00E67CB0">
            <w:pPr>
              <w:pStyle w:val="Textocomentario"/>
              <w:numPr>
                <w:ilvl w:val="0"/>
                <w:numId w:val="215"/>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 xml:space="preserve">Limitada participación de organizaciones de mujeres en programas de capacitación sobre temas de gestión ambiental y manejo sostenible aumenta el desconocimiento entre hombres y mujeres, disminuye posibilidades de acceder a préstamos proyectos sostenibles. </w:t>
            </w:r>
          </w:p>
          <w:p w14:paraId="22DE6D3F" w14:textId="77777777" w:rsidR="00BA1C29" w:rsidRPr="009A27ED" w:rsidRDefault="00BA1C29" w:rsidP="00E67CB0">
            <w:pPr>
              <w:pStyle w:val="Textocomentario"/>
              <w:numPr>
                <w:ilvl w:val="0"/>
                <w:numId w:val="215"/>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Surgimiento de potenciales conflictos si no se toman en cuenta los actores claves con incidencia en las comunidades en los programas de capacitación.</w:t>
            </w:r>
          </w:p>
          <w:p w14:paraId="4A11D497" w14:textId="77777777" w:rsidR="00BA1C29" w:rsidRPr="009A27ED" w:rsidRDefault="00BA1C29" w:rsidP="00E67CB0">
            <w:pPr>
              <w:pStyle w:val="Textocomentario"/>
              <w:numPr>
                <w:ilvl w:val="0"/>
                <w:numId w:val="216"/>
              </w:numPr>
              <w:spacing w:line="254" w:lineRule="auto"/>
              <w:ind w:left="328"/>
              <w:rPr>
                <w:rFonts w:asciiTheme="minorHAnsi" w:hAnsiTheme="minorHAnsi" w:cstheme="minorHAnsi"/>
                <w:lang w:val="es-ES"/>
              </w:rPr>
            </w:pPr>
            <w:r w:rsidRPr="009A27ED">
              <w:rPr>
                <w:rFonts w:asciiTheme="minorHAnsi" w:hAnsiTheme="minorHAnsi" w:cstheme="minorHAnsi"/>
                <w:lang w:val="es-ES"/>
              </w:rPr>
              <w:t xml:space="preserve">Desconocimiento de prácticas tradicionales de las comunidades y de las desarrolladas por las mujeres. </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915825E" w14:textId="77777777" w:rsidR="00BA1C29" w:rsidRPr="009A27ED" w:rsidRDefault="00BA1C29" w:rsidP="00E67CB0">
            <w:pPr>
              <w:pStyle w:val="Textocomentario"/>
              <w:numPr>
                <w:ilvl w:val="0"/>
                <w:numId w:val="216"/>
              </w:numPr>
              <w:spacing w:line="254" w:lineRule="auto"/>
              <w:ind w:left="328"/>
              <w:rPr>
                <w:rFonts w:asciiTheme="minorHAnsi" w:hAnsiTheme="minorHAnsi" w:cstheme="minorHAnsi"/>
                <w:lang w:val="es-ES"/>
              </w:rPr>
            </w:pPr>
            <w:r w:rsidRPr="009A27ED">
              <w:rPr>
                <w:rFonts w:asciiTheme="minorHAnsi" w:hAnsiTheme="minorHAnsi" w:cstheme="minorHAnsi"/>
                <w:lang w:val="es-ES"/>
              </w:rPr>
              <w:t xml:space="preserve">Dentro del Programa de Fortalecimiento de capacidades se han incorporado acciones de sensibilización y concienciación de actores claves en temas de gestión ambiental y manejo sostenible de los bosques dentro de las áreas priorizadas, así como </w:t>
            </w:r>
          </w:p>
          <w:p w14:paraId="39371E00" w14:textId="77777777" w:rsidR="00BA1C29" w:rsidRPr="009A27ED" w:rsidRDefault="00BA1C29" w:rsidP="00E67CB0">
            <w:pPr>
              <w:pStyle w:val="Textocomentario"/>
              <w:numPr>
                <w:ilvl w:val="0"/>
                <w:numId w:val="215"/>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cursos de capacitación permanente sugeridos en el Diagnóstico de Capacidades Institucionales, especialmente dirigido a las EE y los socios beneficiarios de actividades REDD+ en las regiones priorizadas.</w:t>
            </w:r>
          </w:p>
        </w:tc>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286B547" w14:textId="77777777" w:rsidR="00BA1C29" w:rsidRPr="009A27ED" w:rsidRDefault="00BA1C29" w:rsidP="00E67CB0">
            <w:pPr>
              <w:pStyle w:val="Textocomentario"/>
              <w:numPr>
                <w:ilvl w:val="0"/>
                <w:numId w:val="215"/>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Dentro del Programa de Fortalecimiento de capacidades se han incorporado acciones de sensibilización y concienciación de actores claves en temas de gestión ambiental y manejo sostenible de los bosques dentro de las áreas priorizadas, así como cursos de capacitación permanente sugeridos en el Diagnóstico de Capacidades Institucionales, especialmente dirigido a las EE y los socios beneficiarios de actividades REDD+ en las regiones priorizadas.</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4E51F03" w14:textId="77777777" w:rsidR="00BA1C29" w:rsidRPr="009A27ED" w:rsidRDefault="00BA1C29" w:rsidP="00E67CB0">
            <w:pPr>
              <w:pStyle w:val="Textocomentario"/>
              <w:numPr>
                <w:ilvl w:val="0"/>
                <w:numId w:val="216"/>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Dentro del Programa de Fortalecimiento de capacidades se han incorporado acciones de sensibilización y concienciación de actores claves en temas de gestión ambiental y manejo sostenible de los bosques dentro de las áreas priorizadas, así como cursos de capacitación permanente sugeridos en el Diagnóstico de Capacidades Institucionales, especialmente dirigido a las EE y los socios beneficiarios de actividades REDD+ en las regiones priorizadas.</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4E39519" w14:textId="77777777" w:rsidR="00BA1C29" w:rsidRPr="009A27ED" w:rsidRDefault="00BA1C29">
            <w:pPr>
              <w:pStyle w:val="Sinespaciado"/>
              <w:spacing w:line="254" w:lineRule="auto"/>
              <w:rPr>
                <w:sz w:val="20"/>
                <w:szCs w:val="20"/>
                <w:lang w:val="fr-FR"/>
              </w:rPr>
            </w:pPr>
            <w:proofErr w:type="spellStart"/>
            <w:r w:rsidRPr="009A27ED">
              <w:rPr>
                <w:sz w:val="20"/>
                <w:szCs w:val="20"/>
                <w:lang w:val="fr-FR"/>
              </w:rPr>
              <w:t>Hábitats</w:t>
            </w:r>
            <w:proofErr w:type="spellEnd"/>
            <w:r w:rsidRPr="009A27ED">
              <w:rPr>
                <w:sz w:val="20"/>
                <w:szCs w:val="20"/>
                <w:lang w:val="fr-FR"/>
              </w:rPr>
              <w:t xml:space="preserve"> </w:t>
            </w:r>
            <w:proofErr w:type="spellStart"/>
            <w:r w:rsidRPr="009A27ED">
              <w:rPr>
                <w:sz w:val="20"/>
                <w:szCs w:val="20"/>
                <w:lang w:val="fr-FR"/>
              </w:rPr>
              <w:t>naturales</w:t>
            </w:r>
            <w:proofErr w:type="spellEnd"/>
            <w:r w:rsidRPr="009A27ED">
              <w:rPr>
                <w:sz w:val="20"/>
                <w:szCs w:val="20"/>
                <w:lang w:val="fr-FR"/>
              </w:rPr>
              <w:t xml:space="preserve"> (PO 4.04)</w:t>
            </w:r>
          </w:p>
          <w:p w14:paraId="59DBC635" w14:textId="77777777" w:rsidR="00BA1C29" w:rsidRPr="009A27ED" w:rsidRDefault="00BA1C29">
            <w:pPr>
              <w:pStyle w:val="Sinespaciado"/>
              <w:spacing w:line="254" w:lineRule="auto"/>
              <w:rPr>
                <w:sz w:val="20"/>
                <w:szCs w:val="20"/>
                <w:lang w:val="fr-FR"/>
              </w:rPr>
            </w:pPr>
            <w:proofErr w:type="spellStart"/>
            <w:r w:rsidRPr="009A27ED">
              <w:rPr>
                <w:sz w:val="20"/>
                <w:szCs w:val="20"/>
                <w:lang w:val="fr-FR"/>
              </w:rPr>
              <w:t>Bosques</w:t>
            </w:r>
            <w:proofErr w:type="spellEnd"/>
            <w:r w:rsidRPr="009A27ED">
              <w:rPr>
                <w:sz w:val="20"/>
                <w:szCs w:val="20"/>
                <w:lang w:val="fr-FR"/>
              </w:rPr>
              <w:t xml:space="preserve"> (PO 4.36)</w:t>
            </w:r>
          </w:p>
          <w:p w14:paraId="5F4FCF45"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lang w:val="es-ES"/>
              </w:rPr>
              <w:t>Evaluación Ambiental (PO 4.01)</w:t>
            </w:r>
          </w:p>
          <w:p w14:paraId="13CF791D"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lang w:val="es-ES"/>
              </w:rPr>
              <w:t>Reasentamiento Involuntario (PO 4.12)</w:t>
            </w:r>
          </w:p>
          <w:p w14:paraId="1966085B"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b/>
                <w:lang w:val="es-ES"/>
              </w:rPr>
              <w:t>Salvaguardas REDD+</w:t>
            </w:r>
            <w:r w:rsidRPr="009A27ED">
              <w:rPr>
                <w:rFonts w:asciiTheme="minorHAnsi" w:hAnsiTheme="minorHAnsi" w:cstheme="minorHAnsi"/>
                <w:lang w:val="es-ES"/>
              </w:rPr>
              <w:t xml:space="preserve"> A, B, C, D, E, F y G</w:t>
            </w:r>
          </w:p>
        </w:tc>
      </w:tr>
      <w:tr w:rsidR="00BA1C29" w:rsidRPr="009A27ED" w14:paraId="3908B273" w14:textId="77777777" w:rsidTr="00DF1AF5">
        <w:tc>
          <w:tcPr>
            <w:tcW w:w="143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CDC1884" w14:textId="77777777" w:rsidR="00BA1C29" w:rsidRPr="009A27ED" w:rsidRDefault="00BA1C29">
            <w:pPr>
              <w:rPr>
                <w:rFonts w:eastAsia="Times New Roman"/>
                <w:sz w:val="20"/>
                <w:szCs w:val="20"/>
                <w:lang w:val="es-DO" w:eastAsia="es-ES_tradnl"/>
              </w:rPr>
            </w:pP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2A54C9B" w14:textId="77777777" w:rsidR="00BA1C29" w:rsidRPr="009A27ED" w:rsidRDefault="00BA1C29" w:rsidP="00E67CB0">
            <w:pPr>
              <w:pStyle w:val="Prrafodelista"/>
              <w:numPr>
                <w:ilvl w:val="1"/>
                <w:numId w:val="209"/>
              </w:numPr>
              <w:spacing w:after="0" w:line="240" w:lineRule="auto"/>
              <w:rPr>
                <w:sz w:val="20"/>
                <w:szCs w:val="20"/>
                <w:lang w:val="es-DO"/>
              </w:rPr>
            </w:pPr>
            <w:r w:rsidRPr="009A27ED">
              <w:rPr>
                <w:sz w:val="20"/>
                <w:szCs w:val="20"/>
                <w:lang w:val="es-DO"/>
              </w:rPr>
              <w:t>Disminuir y/o detener la deforestación y la degradación en áreas protegidas relevantes para la conservación de los recursos forestales</w:t>
            </w:r>
          </w:p>
        </w:tc>
        <w:tc>
          <w:tcPr>
            <w:tcW w:w="17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A78A92E" w14:textId="7EC5F3EB" w:rsidR="00BA1C29" w:rsidRPr="009A27ED" w:rsidRDefault="00BA1C29">
            <w:pPr>
              <w:rPr>
                <w:sz w:val="20"/>
                <w:szCs w:val="20"/>
                <w:lang w:val="es-DO"/>
              </w:rPr>
            </w:pPr>
            <w:r w:rsidRPr="009A27ED">
              <w:rPr>
                <w:b/>
                <w:sz w:val="20"/>
                <w:szCs w:val="20"/>
                <w:lang w:val="es-DO"/>
              </w:rPr>
              <w:t>Acción directa</w:t>
            </w:r>
            <w:r w:rsidRPr="009A27ED">
              <w:rPr>
                <w:sz w:val="20"/>
                <w:szCs w:val="20"/>
                <w:lang w:val="es-DO"/>
              </w:rPr>
              <w:t xml:space="preserve"> Deforestación-degradación: Formular e implementar acciones de producción sostenible en zonas de amortiguamiento de las AP (</w:t>
            </w:r>
            <w:r w:rsidR="00473896" w:rsidRPr="009A27ED">
              <w:rPr>
                <w:sz w:val="20"/>
                <w:szCs w:val="20"/>
                <w:lang w:val="es-DO"/>
              </w:rPr>
              <w:t>S</w:t>
            </w:r>
            <w:r w:rsidRPr="009A27ED">
              <w:rPr>
                <w:sz w:val="20"/>
                <w:szCs w:val="20"/>
                <w:lang w:val="es-DO"/>
              </w:rPr>
              <w:t>istemas agroforestales). Aplicar resolución N 0010/2018 Manejo de zonas de amortiguamiento de las unidades de conservación el SINAP</w:t>
            </w:r>
          </w:p>
          <w:p w14:paraId="61FF1F81" w14:textId="196D1B21" w:rsidR="00BA1C29" w:rsidRPr="009A27ED" w:rsidRDefault="00BA1C29" w:rsidP="00BD6B1E">
            <w:pPr>
              <w:rPr>
                <w:sz w:val="20"/>
                <w:szCs w:val="20"/>
                <w:lang w:val="es-DO"/>
              </w:rPr>
            </w:pPr>
            <w:r w:rsidRPr="009A27ED">
              <w:rPr>
                <w:sz w:val="20"/>
                <w:szCs w:val="20"/>
                <w:lang w:val="es-DO"/>
              </w:rPr>
              <w:t xml:space="preserve">Reducir la dependencia del uso de los recursos en el interior de las ANP (creación de </w:t>
            </w:r>
            <w:proofErr w:type="gramStart"/>
            <w:r w:rsidRPr="009A27ED">
              <w:rPr>
                <w:sz w:val="20"/>
                <w:szCs w:val="20"/>
                <w:lang w:val="es-DO"/>
              </w:rPr>
              <w:t>empleos )</w:t>
            </w:r>
            <w:proofErr w:type="gramEnd"/>
            <w:r w:rsidRPr="009A27ED">
              <w:rPr>
                <w:sz w:val="20"/>
                <w:szCs w:val="20"/>
                <w:lang w:val="es-DO"/>
              </w:rPr>
              <w:t xml:space="preserve">. </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36870E2" w14:textId="77777777" w:rsidR="00BA1C29" w:rsidRPr="009A27ED" w:rsidRDefault="00BA1C29">
            <w:pPr>
              <w:rPr>
                <w:sz w:val="20"/>
                <w:szCs w:val="20"/>
                <w:lang w:val="es-DO"/>
              </w:rPr>
            </w:pPr>
            <w:r w:rsidRPr="009A27ED">
              <w:rPr>
                <w:sz w:val="20"/>
                <w:szCs w:val="20"/>
                <w:lang w:val="es-DO"/>
              </w:rPr>
              <w:t>Nacional/ SINAP</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8BF397D" w14:textId="77777777" w:rsidR="00BA1C29" w:rsidRPr="009A27ED" w:rsidRDefault="00BA1C29" w:rsidP="00E67CB0">
            <w:pPr>
              <w:pStyle w:val="Textocomentario"/>
              <w:numPr>
                <w:ilvl w:val="0"/>
                <w:numId w:val="217"/>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Desarrollar proyectos de restauración y no dar mantenimiento adecuado, genera pérdida de inversión y mortalidad.</w:t>
            </w:r>
          </w:p>
          <w:p w14:paraId="4B0D2A68" w14:textId="77777777" w:rsidR="00BA1C29" w:rsidRPr="009A27ED" w:rsidRDefault="00BA1C29" w:rsidP="00E67CB0">
            <w:pPr>
              <w:pStyle w:val="Textocomentario"/>
              <w:numPr>
                <w:ilvl w:val="0"/>
                <w:numId w:val="217"/>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Pérdida de la fertilidad del suelo por degradación de la estructura, disminución de la materia orgánica, erosión y pérdida de nutrientes o de su disponibilidad por prácticas agrícolas no permitidas o inadecuadas.</w:t>
            </w:r>
          </w:p>
          <w:p w14:paraId="42912D4E" w14:textId="0F3DECDE" w:rsidR="00473896" w:rsidRPr="009A27ED" w:rsidRDefault="00BA1C29" w:rsidP="00E67CB0">
            <w:pPr>
              <w:pStyle w:val="Textocomentario"/>
              <w:numPr>
                <w:ilvl w:val="0"/>
                <w:numId w:val="217"/>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Surgimiento de potenciales conflictos si no se toman en cuenta los actores claves con incidencia en las comunidades.</w:t>
            </w:r>
          </w:p>
          <w:p w14:paraId="25EF4D98" w14:textId="77777777" w:rsidR="00BA1C29" w:rsidRPr="009A27ED" w:rsidRDefault="00BA1C29" w:rsidP="00C97A18">
            <w:pPr>
              <w:pStyle w:val="Textocomentario"/>
              <w:numPr>
                <w:ilvl w:val="0"/>
                <w:numId w:val="217"/>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Potenciales conflictos por pérdida de acceso a los recursos y/o pérdida de ingresos.</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88088AC" w14:textId="2DFCEA1E" w:rsidR="00BA1C29" w:rsidRPr="009A27ED" w:rsidRDefault="00BA1C29" w:rsidP="00E67CB0">
            <w:pPr>
              <w:pStyle w:val="Textocomentario"/>
              <w:numPr>
                <w:ilvl w:val="0"/>
                <w:numId w:val="218"/>
              </w:numPr>
              <w:spacing w:line="254" w:lineRule="auto"/>
              <w:ind w:left="328"/>
              <w:rPr>
                <w:rFonts w:asciiTheme="minorHAnsi" w:hAnsiTheme="minorHAnsi" w:cstheme="minorHAnsi"/>
                <w:lang w:val="es-ES"/>
              </w:rPr>
            </w:pPr>
            <w:r w:rsidRPr="009A27ED">
              <w:rPr>
                <w:rFonts w:asciiTheme="minorHAnsi" w:hAnsiTheme="minorHAnsi" w:cstheme="minorHAnsi"/>
                <w:lang w:val="es-ES"/>
              </w:rPr>
              <w:t>Se integra a los acuerdos institucionales con ANP</w:t>
            </w:r>
            <w:r w:rsidR="00633CE0" w:rsidRPr="009A27ED">
              <w:rPr>
                <w:rFonts w:asciiTheme="minorHAnsi" w:hAnsiTheme="minorHAnsi" w:cstheme="minorHAnsi"/>
                <w:lang w:val="es-ES"/>
              </w:rPr>
              <w:t>,</w:t>
            </w:r>
            <w:r w:rsidRPr="009A27ED">
              <w:rPr>
                <w:rFonts w:asciiTheme="minorHAnsi" w:hAnsiTheme="minorHAnsi" w:cstheme="minorHAnsi"/>
                <w:lang w:val="es-ES"/>
              </w:rPr>
              <w:t xml:space="preserve"> el </w:t>
            </w:r>
            <w:proofErr w:type="gramStart"/>
            <w:r w:rsidRPr="009A27ED">
              <w:rPr>
                <w:rFonts w:asciiTheme="minorHAnsi" w:hAnsiTheme="minorHAnsi" w:cstheme="minorHAnsi"/>
                <w:lang w:val="es-ES"/>
              </w:rPr>
              <w:t>formular acciones</w:t>
            </w:r>
            <w:proofErr w:type="gramEnd"/>
            <w:r w:rsidRPr="009A27ED">
              <w:rPr>
                <w:rFonts w:asciiTheme="minorHAnsi" w:hAnsiTheme="minorHAnsi" w:cstheme="minorHAnsi"/>
                <w:lang w:val="es-ES"/>
              </w:rPr>
              <w:t xml:space="preserve"> de producción sostenible en zonas de amortiguamiento de las AP y así reducir la dependencia del uso de los recursos en el interior de </w:t>
            </w:r>
            <w:proofErr w:type="gramStart"/>
            <w:r w:rsidRPr="009A27ED">
              <w:rPr>
                <w:rFonts w:asciiTheme="minorHAnsi" w:hAnsiTheme="minorHAnsi" w:cstheme="minorHAnsi"/>
                <w:lang w:val="es-ES"/>
              </w:rPr>
              <w:t>las mismas</w:t>
            </w:r>
            <w:proofErr w:type="gramEnd"/>
            <w:r w:rsidRPr="009A27ED">
              <w:rPr>
                <w:rFonts w:asciiTheme="minorHAnsi" w:hAnsiTheme="minorHAnsi" w:cstheme="minorHAnsi"/>
                <w:lang w:val="es-ES"/>
              </w:rPr>
              <w:t>.</w:t>
            </w:r>
          </w:p>
          <w:p w14:paraId="26082120" w14:textId="77777777" w:rsidR="00BA1C29" w:rsidRPr="009A27ED" w:rsidRDefault="00BA1C29" w:rsidP="00E67CB0">
            <w:pPr>
              <w:pStyle w:val="Textocomentario"/>
              <w:numPr>
                <w:ilvl w:val="0"/>
                <w:numId w:val="218"/>
              </w:numPr>
              <w:spacing w:line="254" w:lineRule="auto"/>
              <w:ind w:left="328"/>
              <w:rPr>
                <w:rFonts w:asciiTheme="minorHAnsi" w:hAnsiTheme="minorHAnsi" w:cstheme="minorHAnsi"/>
                <w:lang w:val="es-ES"/>
              </w:rPr>
            </w:pPr>
            <w:r w:rsidRPr="009A27ED">
              <w:rPr>
                <w:rFonts w:asciiTheme="minorHAnsi" w:hAnsiTheme="minorHAnsi" w:cstheme="minorHAnsi"/>
                <w:lang w:val="es-ES"/>
              </w:rPr>
              <w:t>Desarrollo de arreglos institucionales para replicar modelos piloto en las áreas priorizadas REDD+ hacia el resto de las áreas importantes para la conservación de la biodiversidad, en coordinación con las EE y actores locales.</w:t>
            </w:r>
          </w:p>
          <w:p w14:paraId="20EB9F05" w14:textId="77777777" w:rsidR="00BA1C29" w:rsidRPr="009A27ED" w:rsidRDefault="00BA1C29" w:rsidP="00BD6B1E">
            <w:pPr>
              <w:pStyle w:val="Textocomentario"/>
              <w:spacing w:line="254" w:lineRule="auto"/>
              <w:ind w:left="318"/>
              <w:jc w:val="left"/>
              <w:rPr>
                <w:rFonts w:asciiTheme="minorHAnsi" w:hAnsiTheme="minorHAnsi" w:cstheme="minorHAnsi"/>
                <w:lang w:val="es-ES"/>
              </w:rPr>
            </w:pPr>
          </w:p>
        </w:tc>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A4046DB" w14:textId="2C456F27" w:rsidR="00BA1C29" w:rsidRPr="009A27ED" w:rsidRDefault="00BA1C29">
            <w:pPr>
              <w:pStyle w:val="Textocomentario"/>
              <w:spacing w:line="254" w:lineRule="auto"/>
              <w:ind w:left="391"/>
              <w:rPr>
                <w:rFonts w:asciiTheme="minorHAnsi" w:hAnsiTheme="minorHAnsi" w:cstheme="minorHAnsi"/>
                <w:lang w:val="es-ES"/>
              </w:rPr>
            </w:pPr>
            <w:r w:rsidRPr="009A27ED">
              <w:rPr>
                <w:rFonts w:asciiTheme="minorHAnsi" w:hAnsiTheme="minorHAnsi" w:cstheme="minorHAnsi"/>
                <w:lang w:val="es-ES"/>
              </w:rPr>
              <w:t xml:space="preserve">Dentro de los acuerdos institucionales con </w:t>
            </w:r>
            <w:proofErr w:type="spellStart"/>
            <w:r w:rsidRPr="009A27ED">
              <w:rPr>
                <w:rFonts w:asciiTheme="minorHAnsi" w:hAnsiTheme="minorHAnsi" w:cstheme="minorHAnsi"/>
                <w:lang w:val="es-ES"/>
              </w:rPr>
              <w:t>AP</w:t>
            </w:r>
            <w:r w:rsidR="007023C6" w:rsidRPr="009A27ED">
              <w:rPr>
                <w:rFonts w:asciiTheme="minorHAnsi" w:hAnsiTheme="minorHAnsi" w:cstheme="minorHAnsi"/>
                <w:lang w:val="es-ES"/>
              </w:rPr>
              <w:t>s</w:t>
            </w:r>
            <w:proofErr w:type="spellEnd"/>
            <w:r w:rsidRPr="009A27ED">
              <w:rPr>
                <w:rFonts w:asciiTheme="minorHAnsi" w:hAnsiTheme="minorHAnsi" w:cstheme="minorHAnsi"/>
                <w:lang w:val="es-ES"/>
              </w:rPr>
              <w:t xml:space="preserve"> se han incluido:</w:t>
            </w:r>
          </w:p>
          <w:p w14:paraId="5EEAF056" w14:textId="77777777" w:rsidR="00BA1C29" w:rsidRPr="009A27ED" w:rsidRDefault="00BA1C29" w:rsidP="00E67CB0">
            <w:pPr>
              <w:pStyle w:val="Textocomentario"/>
              <w:numPr>
                <w:ilvl w:val="0"/>
                <w:numId w:val="219"/>
              </w:numPr>
              <w:spacing w:line="254" w:lineRule="auto"/>
              <w:ind w:left="391"/>
              <w:rPr>
                <w:rFonts w:asciiTheme="minorHAnsi" w:hAnsiTheme="minorHAnsi" w:cstheme="minorHAnsi"/>
                <w:lang w:val="es-ES"/>
              </w:rPr>
            </w:pPr>
            <w:r w:rsidRPr="009A27ED">
              <w:rPr>
                <w:rFonts w:asciiTheme="minorHAnsi" w:hAnsiTheme="minorHAnsi" w:cstheme="minorHAnsi"/>
                <w:lang w:val="es-ES"/>
              </w:rPr>
              <w:t>Aplicación de la ley y criterios de gestión para la protección de la biodiversidad en las áreas protegidas y sus zonas de amortiguamiento a través del fortalecimiento de la capacidad institucional y mejora de la vigilancia de los espacios naturales protegidos.</w:t>
            </w:r>
          </w:p>
          <w:p w14:paraId="7612F698" w14:textId="77777777" w:rsidR="00BA1C29" w:rsidRPr="009A27ED" w:rsidRDefault="00BA1C29" w:rsidP="00E67CB0">
            <w:pPr>
              <w:pStyle w:val="Textocomentario"/>
              <w:numPr>
                <w:ilvl w:val="0"/>
                <w:numId w:val="219"/>
              </w:numPr>
              <w:spacing w:line="254" w:lineRule="auto"/>
              <w:ind w:left="391"/>
              <w:rPr>
                <w:rFonts w:asciiTheme="minorHAnsi" w:hAnsiTheme="minorHAnsi" w:cstheme="minorHAnsi"/>
                <w:lang w:val="es-ES"/>
              </w:rPr>
            </w:pPr>
            <w:r w:rsidRPr="009A27ED">
              <w:rPr>
                <w:rFonts w:asciiTheme="minorHAnsi" w:hAnsiTheme="minorHAnsi" w:cstheme="minorHAnsi"/>
                <w:lang w:val="es-ES"/>
              </w:rPr>
              <w:t>Formular e implementar acciones de producción sostenible en zonas de amortiguamiento de las áreas protegidas y así reducir la dependencia del uso de los recursos en el interior de dichas áreas.</w:t>
            </w:r>
          </w:p>
          <w:p w14:paraId="508B1FE0" w14:textId="77777777" w:rsidR="00BA1C29" w:rsidRPr="009A27ED" w:rsidRDefault="00BA1C29" w:rsidP="00E67CB0">
            <w:pPr>
              <w:pStyle w:val="Textocomentario"/>
              <w:numPr>
                <w:ilvl w:val="0"/>
                <w:numId w:val="219"/>
              </w:numPr>
              <w:spacing w:line="254" w:lineRule="auto"/>
              <w:ind w:left="391"/>
              <w:rPr>
                <w:rFonts w:asciiTheme="minorHAnsi" w:hAnsiTheme="minorHAnsi" w:cstheme="minorHAnsi"/>
                <w:lang w:val="es-ES"/>
              </w:rPr>
            </w:pPr>
            <w:r w:rsidRPr="009A27ED">
              <w:rPr>
                <w:rFonts w:asciiTheme="minorHAnsi" w:hAnsiTheme="minorHAnsi" w:cstheme="minorHAnsi"/>
                <w:lang w:val="es-ES"/>
              </w:rPr>
              <w:t>Desarrollo de la visión estratégica de expansión de las actividades REDD+ implementadas por las EE y los planes, sistemas, programas y proyectos existentes y escogidos para REDD+, para lograr la expansión de las actividades tipo en las zonas de influencia de las áreas protegidas.</w:t>
            </w:r>
          </w:p>
          <w:p w14:paraId="74F1EEA1" w14:textId="23BA69F6" w:rsidR="00BA1C29" w:rsidRPr="009A27ED" w:rsidRDefault="00985BA1" w:rsidP="00985BA1">
            <w:pPr>
              <w:pStyle w:val="Textocomentario"/>
              <w:numPr>
                <w:ilvl w:val="0"/>
                <w:numId w:val="219"/>
              </w:numPr>
              <w:spacing w:line="254" w:lineRule="auto"/>
              <w:ind w:left="391"/>
              <w:rPr>
                <w:rFonts w:asciiTheme="minorHAnsi" w:hAnsiTheme="minorHAnsi" w:cstheme="minorHAnsi"/>
                <w:lang w:val="es-ES"/>
              </w:rPr>
            </w:pPr>
            <w:r w:rsidRPr="009A27ED">
              <w:rPr>
                <w:rFonts w:asciiTheme="minorHAnsi" w:hAnsiTheme="minorHAnsi" w:cstheme="minorHAnsi"/>
                <w:lang w:val="es-ES"/>
              </w:rPr>
              <w:lastRenderedPageBreak/>
              <w:t>Promover la participación de los actores locales en la búsqueda de soluciones</w:t>
            </w:r>
            <w:r w:rsidR="00635672" w:rsidRPr="009A27ED">
              <w:rPr>
                <w:rFonts w:asciiTheme="minorHAnsi" w:hAnsiTheme="minorHAnsi" w:cstheme="minorHAnsi"/>
                <w:lang w:val="es-ES"/>
              </w:rPr>
              <w:t xml:space="preserve"> o alternativas </w:t>
            </w:r>
            <w:r w:rsidRPr="009A27ED">
              <w:rPr>
                <w:rFonts w:asciiTheme="minorHAnsi" w:hAnsiTheme="minorHAnsi" w:cstheme="minorHAnsi"/>
                <w:lang w:val="es-ES"/>
              </w:rPr>
              <w:t xml:space="preserve">para lograr un uso </w:t>
            </w:r>
            <w:r w:rsidR="00434410" w:rsidRPr="009A27ED">
              <w:rPr>
                <w:rFonts w:asciiTheme="minorHAnsi" w:hAnsiTheme="minorHAnsi" w:cstheme="minorHAnsi"/>
                <w:lang w:val="es-ES"/>
              </w:rPr>
              <w:t>sostenible</w:t>
            </w:r>
            <w:r w:rsidRPr="009A27ED">
              <w:rPr>
                <w:rFonts w:asciiTheme="minorHAnsi" w:hAnsiTheme="minorHAnsi" w:cstheme="minorHAnsi"/>
                <w:lang w:val="es-ES"/>
              </w:rPr>
              <w:t xml:space="preserve"> de la tierra en las</w:t>
            </w:r>
            <w:r w:rsidR="00BA1C29" w:rsidRPr="009A27ED">
              <w:rPr>
                <w:rFonts w:asciiTheme="minorHAnsi" w:hAnsiTheme="minorHAnsi" w:cstheme="minorHAnsi"/>
                <w:lang w:val="es-ES"/>
              </w:rPr>
              <w:t xml:space="preserve"> áreas protegidas prioritarias</w:t>
            </w:r>
            <w:r w:rsidRPr="009A27ED">
              <w:rPr>
                <w:rFonts w:asciiTheme="minorHAnsi" w:hAnsiTheme="minorHAnsi" w:cstheme="minorHAnsi"/>
                <w:lang w:val="es-ES"/>
              </w:rPr>
              <w:t>.</w:t>
            </w:r>
            <w:r w:rsidR="00BA1C29" w:rsidRPr="009A27ED">
              <w:rPr>
                <w:rFonts w:asciiTheme="minorHAnsi" w:hAnsiTheme="minorHAnsi" w:cstheme="minorHAnsi"/>
                <w:lang w:val="es-ES"/>
              </w:rPr>
              <w:t xml:space="preserve"> </w:t>
            </w:r>
          </w:p>
          <w:p w14:paraId="417FC547" w14:textId="4B53A7E5" w:rsidR="00F84C7D" w:rsidRPr="009A27ED" w:rsidRDefault="00F84C7D" w:rsidP="00985BA1">
            <w:pPr>
              <w:pStyle w:val="Textocomentario"/>
              <w:numPr>
                <w:ilvl w:val="0"/>
                <w:numId w:val="219"/>
              </w:numPr>
              <w:spacing w:line="254" w:lineRule="auto"/>
              <w:ind w:left="391"/>
              <w:rPr>
                <w:rFonts w:asciiTheme="minorHAnsi" w:hAnsiTheme="minorHAnsi" w:cstheme="minorHAnsi"/>
                <w:lang w:val="es-ES"/>
              </w:rPr>
            </w:pPr>
            <w:r w:rsidRPr="009A27ED">
              <w:rPr>
                <w:rFonts w:asciiTheme="minorHAnsi" w:hAnsiTheme="minorHAnsi" w:cstheme="minorHAnsi"/>
                <w:lang w:val="es-ES"/>
              </w:rPr>
              <w:t xml:space="preserve">Elaborar y aplicar una guía técnica orientada a la conservación de bosques en el interior de las áreas protegidas con participación de la comunidad  </w:t>
            </w:r>
          </w:p>
          <w:p w14:paraId="005C919A" w14:textId="77777777" w:rsidR="00BA1C29" w:rsidRPr="009A27ED" w:rsidRDefault="00BA1C29" w:rsidP="00BD6B1E">
            <w:pPr>
              <w:pStyle w:val="Textocomentario"/>
              <w:spacing w:line="254" w:lineRule="auto"/>
              <w:ind w:left="318"/>
              <w:jc w:val="left"/>
              <w:rPr>
                <w:rFonts w:asciiTheme="minorHAnsi" w:hAnsiTheme="minorHAnsi" w:cstheme="minorHAnsi"/>
                <w:lang w:val="es-ES"/>
              </w:rPr>
            </w:pP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A4A5ED7" w14:textId="0B2B8CE3" w:rsidR="00BA1C29" w:rsidRPr="009A27ED" w:rsidRDefault="00BA1C29" w:rsidP="00C97A18">
            <w:pPr>
              <w:pStyle w:val="Textocomentario"/>
              <w:numPr>
                <w:ilvl w:val="0"/>
                <w:numId w:val="397"/>
              </w:numPr>
              <w:spacing w:line="254" w:lineRule="auto"/>
              <w:jc w:val="left"/>
              <w:rPr>
                <w:rFonts w:asciiTheme="minorHAnsi" w:hAnsiTheme="minorHAnsi" w:cstheme="minorHAnsi"/>
                <w:lang w:val="es-ES"/>
              </w:rPr>
            </w:pPr>
            <w:r w:rsidRPr="009A27ED">
              <w:rPr>
                <w:rFonts w:asciiTheme="minorHAnsi" w:hAnsiTheme="minorHAnsi" w:cstheme="minorHAnsi"/>
                <w:lang w:val="es-ES"/>
              </w:rPr>
              <w:lastRenderedPageBreak/>
              <w:t xml:space="preserve">Se integra a los acuerdos institucionales con AP el </w:t>
            </w:r>
            <w:proofErr w:type="gramStart"/>
            <w:r w:rsidRPr="009A27ED">
              <w:rPr>
                <w:rFonts w:asciiTheme="minorHAnsi" w:hAnsiTheme="minorHAnsi" w:cstheme="minorHAnsi"/>
                <w:lang w:val="es-ES"/>
              </w:rPr>
              <w:t>formular acciones</w:t>
            </w:r>
            <w:proofErr w:type="gramEnd"/>
            <w:r w:rsidRPr="009A27ED">
              <w:rPr>
                <w:rFonts w:asciiTheme="minorHAnsi" w:hAnsiTheme="minorHAnsi" w:cstheme="minorHAnsi"/>
                <w:lang w:val="es-ES"/>
              </w:rPr>
              <w:t xml:space="preserve"> de producción sostenible en zonas de amortiguamiento de las AP y así reducir la dependencia del uso de los recursos en el interior de </w:t>
            </w:r>
            <w:proofErr w:type="gramStart"/>
            <w:r w:rsidRPr="009A27ED">
              <w:rPr>
                <w:rFonts w:asciiTheme="minorHAnsi" w:hAnsiTheme="minorHAnsi" w:cstheme="minorHAnsi"/>
                <w:lang w:val="es-ES"/>
              </w:rPr>
              <w:t>las mismas</w:t>
            </w:r>
            <w:proofErr w:type="gramEnd"/>
            <w:r w:rsidRPr="009A27ED">
              <w:rPr>
                <w:rFonts w:asciiTheme="minorHAnsi" w:hAnsiTheme="minorHAnsi" w:cstheme="minorHAnsi"/>
                <w:lang w:val="es-ES"/>
              </w:rPr>
              <w:t>.</w:t>
            </w:r>
          </w:p>
          <w:p w14:paraId="12254A28" w14:textId="77777777" w:rsidR="00BA1C29" w:rsidRPr="009A27ED" w:rsidRDefault="00BA1C29" w:rsidP="00C97A18">
            <w:pPr>
              <w:pStyle w:val="Textocomentario"/>
              <w:numPr>
                <w:ilvl w:val="0"/>
                <w:numId w:val="397"/>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Desarrollo de arreglos institucionales para replicar modelos piloto en las áreas priorizadas REDD+ hacia el resto de las áreas importantes para la conservación de la biodiversidad, en coordinación con las EE y actores locales.</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B9A9F8C" w14:textId="77777777" w:rsidR="00BA1C29" w:rsidRPr="009A27ED" w:rsidRDefault="00BA1C29">
            <w:pPr>
              <w:pStyle w:val="Sinespaciado"/>
              <w:spacing w:line="254" w:lineRule="auto"/>
              <w:rPr>
                <w:sz w:val="20"/>
                <w:szCs w:val="20"/>
                <w:lang w:val="fr-FR"/>
              </w:rPr>
            </w:pPr>
            <w:proofErr w:type="spellStart"/>
            <w:r w:rsidRPr="009A27ED">
              <w:rPr>
                <w:sz w:val="20"/>
                <w:szCs w:val="20"/>
                <w:lang w:val="fr-FR"/>
              </w:rPr>
              <w:t>Hábitats</w:t>
            </w:r>
            <w:proofErr w:type="spellEnd"/>
            <w:r w:rsidRPr="009A27ED">
              <w:rPr>
                <w:sz w:val="20"/>
                <w:szCs w:val="20"/>
                <w:lang w:val="fr-FR"/>
              </w:rPr>
              <w:t xml:space="preserve"> </w:t>
            </w:r>
            <w:proofErr w:type="spellStart"/>
            <w:r w:rsidRPr="009A27ED">
              <w:rPr>
                <w:sz w:val="20"/>
                <w:szCs w:val="20"/>
                <w:lang w:val="fr-FR"/>
              </w:rPr>
              <w:t>naturales</w:t>
            </w:r>
            <w:proofErr w:type="spellEnd"/>
            <w:r w:rsidRPr="009A27ED">
              <w:rPr>
                <w:sz w:val="20"/>
                <w:szCs w:val="20"/>
                <w:lang w:val="fr-FR"/>
              </w:rPr>
              <w:t xml:space="preserve"> (PO 4.04)</w:t>
            </w:r>
          </w:p>
          <w:p w14:paraId="35E78E7C" w14:textId="77777777" w:rsidR="00BA1C29" w:rsidRPr="009A27ED" w:rsidRDefault="00BA1C29">
            <w:pPr>
              <w:pStyle w:val="Sinespaciado"/>
              <w:spacing w:line="254" w:lineRule="auto"/>
              <w:rPr>
                <w:sz w:val="20"/>
                <w:szCs w:val="20"/>
                <w:lang w:val="fr-FR"/>
              </w:rPr>
            </w:pPr>
            <w:proofErr w:type="spellStart"/>
            <w:r w:rsidRPr="009A27ED">
              <w:rPr>
                <w:sz w:val="20"/>
                <w:szCs w:val="20"/>
                <w:lang w:val="fr-FR"/>
              </w:rPr>
              <w:t>Bosques</w:t>
            </w:r>
            <w:proofErr w:type="spellEnd"/>
            <w:r w:rsidRPr="009A27ED">
              <w:rPr>
                <w:sz w:val="20"/>
                <w:szCs w:val="20"/>
                <w:lang w:val="fr-FR"/>
              </w:rPr>
              <w:t xml:space="preserve"> (PO 4.36)</w:t>
            </w:r>
          </w:p>
          <w:p w14:paraId="0F51EF9C"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lang w:val="es-ES"/>
              </w:rPr>
              <w:t>Evaluación Ambiental (PO 4.01)</w:t>
            </w:r>
          </w:p>
          <w:p w14:paraId="5561EEDD"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lang w:val="es-ES"/>
              </w:rPr>
              <w:t>Reasentamiento Involuntario (PO 4.12)</w:t>
            </w:r>
          </w:p>
          <w:p w14:paraId="29158128"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b/>
                <w:lang w:val="es-ES"/>
              </w:rPr>
              <w:t>Salvaguardas REDD+</w:t>
            </w:r>
            <w:r w:rsidRPr="009A27ED">
              <w:rPr>
                <w:rFonts w:asciiTheme="minorHAnsi" w:hAnsiTheme="minorHAnsi" w:cstheme="minorHAnsi"/>
                <w:lang w:val="es-ES"/>
              </w:rPr>
              <w:t xml:space="preserve"> A, B, C, D, E, F y G</w:t>
            </w:r>
          </w:p>
        </w:tc>
      </w:tr>
      <w:tr w:rsidR="00BA1C29" w:rsidRPr="009A27ED" w14:paraId="416805B9" w14:textId="77777777" w:rsidTr="00DF1AF5">
        <w:tc>
          <w:tcPr>
            <w:tcW w:w="143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DB2B43B" w14:textId="77777777" w:rsidR="00BA1C29" w:rsidRPr="009A27ED" w:rsidRDefault="00BA1C29">
            <w:pPr>
              <w:rPr>
                <w:rFonts w:eastAsia="Times New Roman"/>
                <w:sz w:val="20"/>
                <w:szCs w:val="20"/>
                <w:lang w:val="es-DO" w:eastAsia="es-ES_tradnl"/>
              </w:rPr>
            </w:pP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BB8F5BA" w14:textId="77777777" w:rsidR="00BA1C29" w:rsidRPr="009A27ED" w:rsidRDefault="00BA1C29" w:rsidP="00E67CB0">
            <w:pPr>
              <w:pStyle w:val="Prrafodelista"/>
              <w:numPr>
                <w:ilvl w:val="1"/>
                <w:numId w:val="209"/>
              </w:numPr>
              <w:spacing w:after="0" w:line="240" w:lineRule="auto"/>
              <w:rPr>
                <w:sz w:val="20"/>
                <w:szCs w:val="20"/>
                <w:lang w:val="es-DO"/>
              </w:rPr>
            </w:pPr>
            <w:r w:rsidRPr="009A27ED">
              <w:rPr>
                <w:sz w:val="20"/>
                <w:szCs w:val="20"/>
                <w:lang w:val="es-DO"/>
              </w:rPr>
              <w:t xml:space="preserve">Fortalecer el programa de protección y vigilancia en áreas protegidas relevantes para la conservación de los recursos forestales. </w:t>
            </w:r>
          </w:p>
        </w:tc>
        <w:tc>
          <w:tcPr>
            <w:tcW w:w="17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1B7C68D" w14:textId="77777777" w:rsidR="00BA1C29" w:rsidRPr="009A27ED" w:rsidRDefault="00BA1C29">
            <w:pPr>
              <w:rPr>
                <w:sz w:val="20"/>
                <w:szCs w:val="20"/>
                <w:lang w:val="es-DO"/>
              </w:rPr>
            </w:pPr>
            <w:r w:rsidRPr="009A27ED">
              <w:rPr>
                <w:b/>
                <w:sz w:val="20"/>
                <w:szCs w:val="20"/>
                <w:lang w:val="es-DO"/>
              </w:rPr>
              <w:t>Acción directa</w:t>
            </w:r>
            <w:r w:rsidRPr="009A27ED">
              <w:rPr>
                <w:sz w:val="20"/>
                <w:szCs w:val="20"/>
                <w:lang w:val="es-DO"/>
              </w:rPr>
              <w:t xml:space="preserve"> Deforestación-degradación:</w:t>
            </w:r>
          </w:p>
          <w:p w14:paraId="7248CAF0" w14:textId="54E8C8A5" w:rsidR="00BA1C29" w:rsidRPr="009A27ED" w:rsidRDefault="00BA1C29">
            <w:pPr>
              <w:rPr>
                <w:sz w:val="20"/>
                <w:szCs w:val="20"/>
                <w:lang w:val="es-DO"/>
              </w:rPr>
            </w:pPr>
            <w:r w:rsidRPr="009A27ED">
              <w:rPr>
                <w:sz w:val="20"/>
                <w:szCs w:val="20"/>
                <w:lang w:val="es-DO"/>
              </w:rPr>
              <w:t>Reforzar la delimitación de las AP.</w:t>
            </w:r>
          </w:p>
          <w:p w14:paraId="6D9E5079" w14:textId="77777777" w:rsidR="00BA1C29" w:rsidRPr="009A27ED" w:rsidRDefault="00BA1C29">
            <w:pPr>
              <w:rPr>
                <w:sz w:val="20"/>
                <w:szCs w:val="20"/>
                <w:lang w:val="es-DO"/>
              </w:rPr>
            </w:pPr>
            <w:r w:rsidRPr="009A27ED">
              <w:rPr>
                <w:sz w:val="20"/>
                <w:szCs w:val="20"/>
                <w:lang w:val="es-DO"/>
              </w:rPr>
              <w:t xml:space="preserve">Elaborar y ejecutar planes de manejo de áreas protegidas prioritarias junto con los actores sociales </w:t>
            </w:r>
          </w:p>
          <w:p w14:paraId="6D821263" w14:textId="77777777" w:rsidR="00BA1C29" w:rsidRPr="009A27ED" w:rsidRDefault="00BA1C29">
            <w:pPr>
              <w:rPr>
                <w:sz w:val="20"/>
                <w:szCs w:val="20"/>
                <w:lang w:val="es-DO"/>
              </w:rPr>
            </w:pPr>
            <w:r w:rsidRPr="009A27ED">
              <w:rPr>
                <w:sz w:val="20"/>
                <w:szCs w:val="20"/>
                <w:lang w:val="es-DO"/>
              </w:rPr>
              <w:t>Restricción de usos y acceso al uso de los recursos en ANP acorde con los planes de manejo</w:t>
            </w:r>
          </w:p>
          <w:p w14:paraId="3208577A" w14:textId="77777777" w:rsidR="00BA1C29" w:rsidRPr="009A27ED" w:rsidRDefault="00BA1C29">
            <w:pPr>
              <w:rPr>
                <w:sz w:val="20"/>
                <w:szCs w:val="20"/>
                <w:lang w:val="es-DO"/>
              </w:rPr>
            </w:pPr>
            <w:r w:rsidRPr="009A27ED">
              <w:rPr>
                <w:sz w:val="20"/>
                <w:szCs w:val="20"/>
                <w:lang w:val="es-DO"/>
              </w:rPr>
              <w:t>Fortalecimiento y aplicación del Reglamento de Sanciones en las ANP, acorde con los planes de manejo.</w:t>
            </w:r>
          </w:p>
          <w:p w14:paraId="0510B260" w14:textId="77777777" w:rsidR="00BA1C29" w:rsidRPr="009A27ED" w:rsidRDefault="00BA1C29">
            <w:pPr>
              <w:rPr>
                <w:sz w:val="20"/>
                <w:szCs w:val="20"/>
                <w:lang w:val="es-DO"/>
              </w:rPr>
            </w:pPr>
            <w:r w:rsidRPr="009A27ED">
              <w:rPr>
                <w:sz w:val="20"/>
                <w:szCs w:val="20"/>
                <w:lang w:val="es-DO"/>
              </w:rPr>
              <w:t xml:space="preserve">Fortalecer el programa de protección y vigilancia en la zona núcleo de ANP a través del Cuerpo Nacional de </w:t>
            </w:r>
            <w:proofErr w:type="gramStart"/>
            <w:r w:rsidRPr="009A27ED">
              <w:rPr>
                <w:sz w:val="20"/>
                <w:szCs w:val="20"/>
                <w:lang w:val="es-DO"/>
              </w:rPr>
              <w:t>Guarda parques</w:t>
            </w:r>
            <w:proofErr w:type="gramEnd"/>
            <w:r w:rsidRPr="009A27ED">
              <w:rPr>
                <w:sz w:val="20"/>
                <w:szCs w:val="20"/>
                <w:lang w:val="es-DO"/>
              </w:rPr>
              <w:t xml:space="preserve">, administradores y comunidades </w:t>
            </w:r>
            <w:r w:rsidRPr="009A27ED">
              <w:rPr>
                <w:sz w:val="20"/>
                <w:szCs w:val="20"/>
                <w:lang w:val="es-DO"/>
              </w:rPr>
              <w:lastRenderedPageBreak/>
              <w:t>locales participantes.</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C97B230" w14:textId="77777777" w:rsidR="00BA1C29" w:rsidRPr="009A27ED" w:rsidRDefault="00BA1C29">
            <w:pPr>
              <w:rPr>
                <w:sz w:val="20"/>
                <w:szCs w:val="20"/>
                <w:lang w:val="es-DO"/>
              </w:rPr>
            </w:pPr>
            <w:r w:rsidRPr="009A27ED">
              <w:rPr>
                <w:sz w:val="20"/>
                <w:szCs w:val="20"/>
                <w:lang w:val="es-DO"/>
              </w:rPr>
              <w:lastRenderedPageBreak/>
              <w:t>Nacional/ SINAP</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103401C" w14:textId="128B68FD" w:rsidR="004459B9" w:rsidRPr="009A27ED" w:rsidRDefault="00BA1C29" w:rsidP="00C97A18">
            <w:pPr>
              <w:pStyle w:val="Textocomentario"/>
              <w:numPr>
                <w:ilvl w:val="0"/>
                <w:numId w:val="220"/>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 xml:space="preserve">Surgimiento de potenciales conflictos si no se toman en cuenta los actores claves con incidencia en las comunidades en los programas de capacitación. </w:t>
            </w:r>
          </w:p>
          <w:p w14:paraId="7D26D846" w14:textId="77777777" w:rsidR="00BA1C29" w:rsidRPr="009A27ED" w:rsidRDefault="00BA1C29" w:rsidP="00C97A18">
            <w:pPr>
              <w:pStyle w:val="Textocomentario"/>
              <w:numPr>
                <w:ilvl w:val="0"/>
                <w:numId w:val="220"/>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Potenciales conflictos por pérdida de acceso a los recursos y/o pérdida de ingresos.</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43F6E8" w14:textId="77777777" w:rsidR="00BA1C29" w:rsidRPr="009A27ED" w:rsidRDefault="00BA1C29" w:rsidP="00C97A18">
            <w:pPr>
              <w:pStyle w:val="Textocomentario"/>
              <w:numPr>
                <w:ilvl w:val="0"/>
                <w:numId w:val="323"/>
              </w:numPr>
              <w:spacing w:line="254" w:lineRule="auto"/>
              <w:ind w:left="356"/>
              <w:rPr>
                <w:rFonts w:asciiTheme="minorHAnsi" w:hAnsiTheme="minorHAnsi" w:cstheme="minorHAnsi"/>
                <w:lang w:val="es-ES"/>
              </w:rPr>
            </w:pPr>
            <w:r w:rsidRPr="009A27ED">
              <w:rPr>
                <w:rFonts w:asciiTheme="minorHAnsi" w:hAnsiTheme="minorHAnsi" w:cstheme="minorHAnsi"/>
                <w:lang w:val="es-ES"/>
              </w:rPr>
              <w:t>Se está implementando un Programa de inducción hacia las EE y los socios beneficiarios de los planes, sistemas, programas y proyectos en función de los acuerdos o arreglos institucionales que se firmarán, enfatizando la importancia de la observancia, respeto y abordaje de salvaguardas relacionadas con el tema de las áreas protegidas y la conservación de la diversidad biológica.</w:t>
            </w:r>
          </w:p>
          <w:p w14:paraId="7E140B35" w14:textId="4BCAE569" w:rsidR="00BA1C29" w:rsidRPr="009A27ED" w:rsidRDefault="00BA1C29" w:rsidP="00C97A18">
            <w:pPr>
              <w:pStyle w:val="Textocomentario"/>
              <w:numPr>
                <w:ilvl w:val="0"/>
                <w:numId w:val="323"/>
              </w:numPr>
              <w:spacing w:line="254" w:lineRule="auto"/>
              <w:ind w:left="356"/>
              <w:rPr>
                <w:rFonts w:asciiTheme="minorHAnsi" w:hAnsiTheme="minorHAnsi" w:cstheme="minorHAnsi"/>
                <w:lang w:val="es-ES"/>
              </w:rPr>
            </w:pPr>
            <w:r w:rsidRPr="009A27ED">
              <w:t xml:space="preserve">Elaboración e implementación de un programa de control y vigilancia en áreas protegidas relevantes para la conservación de los recursos </w:t>
            </w:r>
            <w:r w:rsidR="00635672" w:rsidRPr="009A27ED">
              <w:t>naturales en</w:t>
            </w:r>
            <w:r w:rsidRPr="009A27ED">
              <w:t xml:space="preserve"> las áreas priorizadas.</w:t>
            </w:r>
          </w:p>
        </w:tc>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1FEEB36" w14:textId="09C7E6AA" w:rsidR="00BA1C29" w:rsidRPr="009A27ED" w:rsidRDefault="00BA1C29">
            <w:pPr>
              <w:pStyle w:val="Textocomentario"/>
              <w:spacing w:line="254" w:lineRule="auto"/>
              <w:ind w:left="360"/>
              <w:rPr>
                <w:rFonts w:asciiTheme="minorHAnsi" w:hAnsiTheme="minorHAnsi" w:cstheme="minorHAnsi"/>
                <w:lang w:val="es-ES"/>
              </w:rPr>
            </w:pPr>
            <w:r w:rsidRPr="009A27ED">
              <w:rPr>
                <w:rFonts w:asciiTheme="minorHAnsi" w:hAnsiTheme="minorHAnsi" w:cstheme="minorHAnsi"/>
                <w:lang w:val="es-ES"/>
              </w:rPr>
              <w:t xml:space="preserve">Dentro de los acuerdos institucionales con AP se han incluido: </w:t>
            </w:r>
          </w:p>
          <w:p w14:paraId="43DA3A61" w14:textId="77777777" w:rsidR="00635672" w:rsidRPr="009A27ED" w:rsidRDefault="00BA1C29" w:rsidP="00562F95">
            <w:pPr>
              <w:pStyle w:val="Textocomentario"/>
              <w:numPr>
                <w:ilvl w:val="0"/>
                <w:numId w:val="222"/>
              </w:numPr>
              <w:spacing w:line="254" w:lineRule="auto"/>
              <w:ind w:left="391"/>
            </w:pPr>
            <w:r w:rsidRPr="009A27ED">
              <w:rPr>
                <w:rFonts w:asciiTheme="minorHAnsi" w:hAnsiTheme="minorHAnsi" w:cstheme="minorHAnsi"/>
                <w:lang w:val="es-ES"/>
              </w:rPr>
              <w:t>Aplicación de la ley y criterios de gestión para la protección de la biodiversidad en las áreas protegidas y sus zonas de amortiguamiento a través del fortalecimiento de la capacidad institucional y mejora de la vigilancia de los espacios naturales protegidos.</w:t>
            </w:r>
          </w:p>
          <w:p w14:paraId="50312BC5" w14:textId="77777777" w:rsidR="00635672" w:rsidRPr="009A27ED" w:rsidRDefault="00635672" w:rsidP="00635672">
            <w:pPr>
              <w:pStyle w:val="Textocomentario"/>
              <w:numPr>
                <w:ilvl w:val="0"/>
                <w:numId w:val="222"/>
              </w:numPr>
              <w:spacing w:line="254" w:lineRule="auto"/>
              <w:ind w:left="391"/>
              <w:rPr>
                <w:rFonts w:asciiTheme="minorHAnsi" w:hAnsiTheme="minorHAnsi" w:cstheme="minorHAnsi"/>
                <w:lang w:val="es-ES"/>
              </w:rPr>
            </w:pPr>
            <w:r w:rsidRPr="009A27ED">
              <w:t xml:space="preserve">Promover la participación de los actores locales en la búsqueda de soluciones o alternativas para lograr un uso sostenible de la tierra en las áreas protegidas prioritarias. </w:t>
            </w:r>
          </w:p>
          <w:p w14:paraId="28A71D98" w14:textId="21F1B172" w:rsidR="00BA1C29" w:rsidRPr="009A27ED" w:rsidRDefault="00BA1C29" w:rsidP="00635672">
            <w:pPr>
              <w:pStyle w:val="Textocomentario"/>
              <w:numPr>
                <w:ilvl w:val="0"/>
                <w:numId w:val="222"/>
              </w:numPr>
              <w:spacing w:line="254" w:lineRule="auto"/>
              <w:ind w:left="391"/>
              <w:rPr>
                <w:rFonts w:asciiTheme="minorHAnsi" w:hAnsiTheme="minorHAnsi" w:cstheme="minorHAnsi"/>
                <w:lang w:val="es-ES"/>
              </w:rPr>
            </w:pPr>
            <w:r w:rsidRPr="009A27ED">
              <w:rPr>
                <w:rFonts w:asciiTheme="minorHAnsi" w:hAnsiTheme="minorHAnsi" w:cstheme="minorHAnsi"/>
                <w:lang w:val="es-ES"/>
              </w:rPr>
              <w:t xml:space="preserve">Elaboración e implementación de un programa de control y vigilancia en áreas protegidas relevantes para la conservación de los recursos </w:t>
            </w:r>
            <w:r w:rsidR="00635672" w:rsidRPr="009A27ED">
              <w:rPr>
                <w:rFonts w:asciiTheme="minorHAnsi" w:hAnsiTheme="minorHAnsi" w:cstheme="minorHAnsi"/>
                <w:lang w:val="es-ES"/>
              </w:rPr>
              <w:t>naturales en</w:t>
            </w:r>
            <w:r w:rsidRPr="009A27ED">
              <w:rPr>
                <w:rFonts w:asciiTheme="minorHAnsi" w:hAnsiTheme="minorHAnsi" w:cstheme="minorHAnsi"/>
                <w:lang w:val="es-ES"/>
              </w:rPr>
              <w:t xml:space="preserve"> las áreas priorizadas.</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E27093E" w14:textId="77777777" w:rsidR="00BA1C29" w:rsidRPr="009A27ED" w:rsidRDefault="00BA1C29" w:rsidP="00E67CB0">
            <w:pPr>
              <w:pStyle w:val="Textocomentario"/>
              <w:numPr>
                <w:ilvl w:val="0"/>
                <w:numId w:val="221"/>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Se está implementando un Programa de inducción hacia las EE y los socios beneficiarios de los planes, sistemas, programas y proyectos en función de los acuerdos o arreglos institucionales que se firmarán, enfatizando la importancia de la observancia, respeto y abordaje de salvaguardas relacionadas con el tema de las áreas protegidas y la conservación de la diversidad biológica.</w:t>
            </w:r>
          </w:p>
          <w:p w14:paraId="2A9A4BC4" w14:textId="77777777" w:rsidR="00BA1C29" w:rsidRPr="009A27ED" w:rsidRDefault="00BA1C29" w:rsidP="00E67CB0">
            <w:pPr>
              <w:pStyle w:val="Textocomentario"/>
              <w:numPr>
                <w:ilvl w:val="0"/>
                <w:numId w:val="221"/>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Elaboración e implementación de un programa de control y vigilancia en áreas protegidas relevantes para la conservación de los recursos naturales  en las áreas priorizadas.</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C59798A" w14:textId="77777777" w:rsidR="00BA1C29" w:rsidRPr="009A27ED" w:rsidRDefault="00BA1C29">
            <w:pPr>
              <w:pStyle w:val="Sinespaciado"/>
              <w:spacing w:line="254" w:lineRule="auto"/>
              <w:rPr>
                <w:sz w:val="20"/>
                <w:szCs w:val="20"/>
                <w:lang w:val="fr-FR"/>
              </w:rPr>
            </w:pPr>
            <w:proofErr w:type="spellStart"/>
            <w:r w:rsidRPr="009A27ED">
              <w:rPr>
                <w:sz w:val="20"/>
                <w:szCs w:val="20"/>
                <w:lang w:val="fr-FR"/>
              </w:rPr>
              <w:t>Hábitats</w:t>
            </w:r>
            <w:proofErr w:type="spellEnd"/>
            <w:r w:rsidRPr="009A27ED">
              <w:rPr>
                <w:sz w:val="20"/>
                <w:szCs w:val="20"/>
                <w:lang w:val="fr-FR"/>
              </w:rPr>
              <w:t xml:space="preserve"> </w:t>
            </w:r>
            <w:proofErr w:type="spellStart"/>
            <w:r w:rsidRPr="009A27ED">
              <w:rPr>
                <w:sz w:val="20"/>
                <w:szCs w:val="20"/>
                <w:lang w:val="fr-FR"/>
              </w:rPr>
              <w:t>naturales</w:t>
            </w:r>
            <w:proofErr w:type="spellEnd"/>
            <w:r w:rsidRPr="009A27ED">
              <w:rPr>
                <w:sz w:val="20"/>
                <w:szCs w:val="20"/>
                <w:lang w:val="fr-FR"/>
              </w:rPr>
              <w:t xml:space="preserve"> (PO 4.04)</w:t>
            </w:r>
          </w:p>
          <w:p w14:paraId="0F988D16" w14:textId="77777777" w:rsidR="00BA1C29" w:rsidRPr="009A27ED" w:rsidRDefault="00BA1C29">
            <w:pPr>
              <w:pStyle w:val="Sinespaciado"/>
              <w:spacing w:line="254" w:lineRule="auto"/>
              <w:rPr>
                <w:sz w:val="20"/>
                <w:szCs w:val="20"/>
                <w:lang w:val="fr-FR"/>
              </w:rPr>
            </w:pPr>
            <w:proofErr w:type="spellStart"/>
            <w:r w:rsidRPr="009A27ED">
              <w:rPr>
                <w:sz w:val="20"/>
                <w:szCs w:val="20"/>
                <w:lang w:val="fr-FR"/>
              </w:rPr>
              <w:t>Bosques</w:t>
            </w:r>
            <w:proofErr w:type="spellEnd"/>
            <w:r w:rsidRPr="009A27ED">
              <w:rPr>
                <w:sz w:val="20"/>
                <w:szCs w:val="20"/>
                <w:lang w:val="fr-FR"/>
              </w:rPr>
              <w:t xml:space="preserve"> (PO 4.36)</w:t>
            </w:r>
          </w:p>
          <w:p w14:paraId="6A693279"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lang w:val="es-ES"/>
              </w:rPr>
              <w:t>Evaluación Ambiental (PO 4.01)</w:t>
            </w:r>
          </w:p>
          <w:p w14:paraId="60C22F9C"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lang w:val="es-ES"/>
              </w:rPr>
              <w:t>Reasentamiento Involuntario (PO 4.12)</w:t>
            </w:r>
          </w:p>
          <w:p w14:paraId="14A963D8" w14:textId="77777777" w:rsidR="00BA1C29" w:rsidRPr="009A27ED" w:rsidRDefault="00BA1C29">
            <w:pPr>
              <w:pStyle w:val="Textocomentario"/>
              <w:spacing w:line="254" w:lineRule="auto"/>
              <w:rPr>
                <w:rFonts w:asciiTheme="minorHAnsi" w:hAnsiTheme="minorHAnsi" w:cstheme="minorHAnsi"/>
                <w:lang w:val="pt-BR"/>
              </w:rPr>
            </w:pPr>
            <w:r w:rsidRPr="009A27ED">
              <w:rPr>
                <w:rFonts w:asciiTheme="minorHAnsi" w:hAnsiTheme="minorHAnsi" w:cstheme="minorHAnsi"/>
                <w:b/>
                <w:lang w:val="pt-BR"/>
              </w:rPr>
              <w:t>Salvaguardas REDD</w:t>
            </w:r>
            <w:proofErr w:type="gramStart"/>
            <w:r w:rsidRPr="009A27ED">
              <w:rPr>
                <w:rFonts w:asciiTheme="minorHAnsi" w:hAnsiTheme="minorHAnsi" w:cstheme="minorHAnsi"/>
                <w:b/>
                <w:lang w:val="pt-BR"/>
              </w:rPr>
              <w:t xml:space="preserve">+ </w:t>
            </w:r>
            <w:r w:rsidRPr="009A27ED">
              <w:rPr>
                <w:rFonts w:asciiTheme="minorHAnsi" w:hAnsiTheme="minorHAnsi" w:cstheme="minorHAnsi"/>
                <w:lang w:val="pt-BR"/>
              </w:rPr>
              <w:t xml:space="preserve"> A</w:t>
            </w:r>
            <w:proofErr w:type="gramEnd"/>
            <w:r w:rsidRPr="009A27ED">
              <w:rPr>
                <w:rFonts w:asciiTheme="minorHAnsi" w:hAnsiTheme="minorHAnsi" w:cstheme="minorHAnsi"/>
                <w:lang w:val="pt-BR"/>
              </w:rPr>
              <w:t>, B, D, E</w:t>
            </w:r>
          </w:p>
        </w:tc>
      </w:tr>
      <w:tr w:rsidR="00BA1C29" w:rsidRPr="009A27ED" w14:paraId="1CD731EE" w14:textId="77777777" w:rsidTr="00DF1AF5">
        <w:tc>
          <w:tcPr>
            <w:tcW w:w="143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EB06325" w14:textId="77777777" w:rsidR="00BA1C29" w:rsidRPr="009A27ED" w:rsidRDefault="00BA1C29">
            <w:pPr>
              <w:rPr>
                <w:rFonts w:eastAsia="Times New Roman"/>
                <w:sz w:val="20"/>
                <w:szCs w:val="20"/>
                <w:lang w:val="pt-BR" w:eastAsia="es-ES_tradnl"/>
              </w:rPr>
            </w:pP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FD87395" w14:textId="77777777" w:rsidR="00BA1C29" w:rsidRPr="009A27ED" w:rsidRDefault="00BA1C29" w:rsidP="00E67CB0">
            <w:pPr>
              <w:pStyle w:val="Prrafodelista"/>
              <w:numPr>
                <w:ilvl w:val="1"/>
                <w:numId w:val="209"/>
              </w:numPr>
              <w:spacing w:after="0" w:line="240" w:lineRule="auto"/>
              <w:rPr>
                <w:sz w:val="20"/>
                <w:szCs w:val="20"/>
                <w:lang w:val="es-DO"/>
              </w:rPr>
            </w:pPr>
            <w:r w:rsidRPr="009A27ED">
              <w:rPr>
                <w:sz w:val="20"/>
                <w:szCs w:val="20"/>
                <w:lang w:val="es-DO"/>
              </w:rPr>
              <w:t>Rehabilitar ecosistemas forestales en zonas frágiles relevantes para facilitar la conectividad entre los fragmentos de bosques.</w:t>
            </w:r>
          </w:p>
        </w:tc>
        <w:tc>
          <w:tcPr>
            <w:tcW w:w="17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DD6FF9C" w14:textId="77777777" w:rsidR="00BA1C29" w:rsidRPr="009A27ED" w:rsidRDefault="00BA1C29">
            <w:pPr>
              <w:ind w:left="3"/>
              <w:rPr>
                <w:sz w:val="20"/>
                <w:szCs w:val="20"/>
                <w:lang w:val="es-DO"/>
              </w:rPr>
            </w:pPr>
            <w:r w:rsidRPr="009A27ED">
              <w:rPr>
                <w:b/>
                <w:sz w:val="20"/>
                <w:szCs w:val="20"/>
                <w:lang w:val="es-DO"/>
              </w:rPr>
              <w:t>Acción directa</w:t>
            </w:r>
            <w:r w:rsidRPr="009A27ED">
              <w:rPr>
                <w:sz w:val="20"/>
                <w:szCs w:val="20"/>
                <w:lang w:val="es-DO"/>
              </w:rPr>
              <w:t xml:space="preserve"> Mejora existencias de carbono Incluye repoblamiento de especies arbóreas, conservación de la regeneración natural, protección de cobertura forestal (Reforestación, Regeneración de áreas naturales degradadas, Sistemas Agroforestales, Manejo Forestal sustentable)</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C18CD68" w14:textId="77777777" w:rsidR="00BA1C29" w:rsidRPr="009A27ED" w:rsidRDefault="00BA1C29">
            <w:pPr>
              <w:rPr>
                <w:sz w:val="20"/>
                <w:szCs w:val="20"/>
                <w:lang w:val="es-DO"/>
              </w:rPr>
            </w:pPr>
            <w:r w:rsidRPr="009A27ED">
              <w:rPr>
                <w:sz w:val="20"/>
                <w:szCs w:val="20"/>
                <w:lang w:val="es-DO"/>
              </w:rPr>
              <w:t>Nacional/ Áreas Priorizadas 1, 2, 3, 4, 5</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8AAF644" w14:textId="22C7590B" w:rsidR="004459B9" w:rsidRPr="009A27ED" w:rsidRDefault="00BA1C29" w:rsidP="00E67CB0">
            <w:pPr>
              <w:pStyle w:val="Textocomentario"/>
              <w:numPr>
                <w:ilvl w:val="0"/>
                <w:numId w:val="223"/>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Desarrollo de políticas sin consideración de la problemática de la tenencia de la tierra.</w:t>
            </w:r>
          </w:p>
          <w:p w14:paraId="677E413C" w14:textId="77777777" w:rsidR="00BA1C29" w:rsidRPr="009A27ED" w:rsidRDefault="00BA1C29" w:rsidP="00C97A18">
            <w:pPr>
              <w:pStyle w:val="Textocomentario"/>
              <w:numPr>
                <w:ilvl w:val="0"/>
                <w:numId w:val="223"/>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Sustitución de las especies endémicas de la zona para establecer los modelos sostenibles, puede generar conflictos por usos de especies introducidas en lugar de especies nativas.</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1998B90" w14:textId="54AFBC68" w:rsidR="00BA1C29" w:rsidRPr="009A27ED" w:rsidRDefault="004459B9" w:rsidP="00E67CB0">
            <w:pPr>
              <w:pStyle w:val="Textocomentario"/>
              <w:numPr>
                <w:ilvl w:val="0"/>
                <w:numId w:val="224"/>
              </w:numPr>
              <w:spacing w:line="254" w:lineRule="auto"/>
              <w:ind w:left="328"/>
              <w:rPr>
                <w:rFonts w:asciiTheme="minorHAnsi" w:hAnsiTheme="minorHAnsi" w:cstheme="minorHAnsi"/>
                <w:lang w:val="pt-BR"/>
              </w:rPr>
            </w:pPr>
            <w:r w:rsidRPr="009A27ED">
              <w:rPr>
                <w:rFonts w:asciiTheme="minorHAnsi" w:hAnsiTheme="minorHAnsi" w:cstheme="minorHAnsi"/>
                <w:lang w:val="pt-BR"/>
              </w:rPr>
              <w:t>I</w:t>
            </w:r>
            <w:r w:rsidR="00BA1C29" w:rsidRPr="009A27ED">
              <w:rPr>
                <w:rFonts w:asciiTheme="minorHAnsi" w:hAnsiTheme="minorHAnsi" w:cstheme="minorHAnsi"/>
                <w:lang w:val="pt-BR"/>
              </w:rPr>
              <w:t xml:space="preserve">dentificar zonas </w:t>
            </w:r>
            <w:proofErr w:type="spellStart"/>
            <w:r w:rsidR="00BA1C29" w:rsidRPr="009A27ED">
              <w:rPr>
                <w:rFonts w:asciiTheme="minorHAnsi" w:hAnsiTheme="minorHAnsi" w:cstheme="minorHAnsi"/>
                <w:lang w:val="pt-BR"/>
              </w:rPr>
              <w:t>frágiles</w:t>
            </w:r>
            <w:proofErr w:type="spellEnd"/>
            <w:r w:rsidRPr="009A27ED">
              <w:rPr>
                <w:rFonts w:asciiTheme="minorHAnsi" w:hAnsiTheme="minorHAnsi" w:cstheme="minorHAnsi"/>
                <w:lang w:val="pt-BR"/>
              </w:rPr>
              <w:t xml:space="preserve"> </w:t>
            </w:r>
            <w:proofErr w:type="spellStart"/>
            <w:r w:rsidRPr="009A27ED">
              <w:rPr>
                <w:rFonts w:asciiTheme="minorHAnsi" w:hAnsiTheme="minorHAnsi" w:cstheme="minorHAnsi"/>
                <w:lang w:val="pt-BR"/>
              </w:rPr>
              <w:t>basado</w:t>
            </w:r>
            <w:proofErr w:type="spellEnd"/>
            <w:r w:rsidRPr="009A27ED">
              <w:rPr>
                <w:rFonts w:asciiTheme="minorHAnsi" w:hAnsiTheme="minorHAnsi" w:cstheme="minorHAnsi"/>
                <w:lang w:val="pt-BR"/>
              </w:rPr>
              <w:t xml:space="preserve"> </w:t>
            </w:r>
            <w:proofErr w:type="spellStart"/>
            <w:r w:rsidRPr="009A27ED">
              <w:rPr>
                <w:rFonts w:asciiTheme="minorHAnsi" w:hAnsiTheme="minorHAnsi" w:cstheme="minorHAnsi"/>
                <w:lang w:val="pt-BR"/>
              </w:rPr>
              <w:t>en</w:t>
            </w:r>
            <w:proofErr w:type="spellEnd"/>
            <w:r w:rsidRPr="009A27ED">
              <w:rPr>
                <w:rFonts w:asciiTheme="minorHAnsi" w:hAnsiTheme="minorHAnsi" w:cstheme="minorHAnsi"/>
                <w:lang w:val="pt-BR"/>
              </w:rPr>
              <w:t xml:space="preserve"> estúdios prévios o fomentar la </w:t>
            </w:r>
            <w:proofErr w:type="spellStart"/>
            <w:r w:rsidRPr="009A27ED">
              <w:rPr>
                <w:rFonts w:asciiTheme="minorHAnsi" w:hAnsiTheme="minorHAnsi" w:cstheme="minorHAnsi"/>
                <w:lang w:val="pt-BR"/>
              </w:rPr>
              <w:t>realización</w:t>
            </w:r>
            <w:proofErr w:type="spellEnd"/>
            <w:r w:rsidRPr="009A27ED">
              <w:rPr>
                <w:rFonts w:asciiTheme="minorHAnsi" w:hAnsiTheme="minorHAnsi" w:cstheme="minorHAnsi"/>
                <w:lang w:val="pt-BR"/>
              </w:rPr>
              <w:t xml:space="preserve"> de </w:t>
            </w:r>
            <w:proofErr w:type="spellStart"/>
            <w:r w:rsidRPr="009A27ED">
              <w:rPr>
                <w:rFonts w:asciiTheme="minorHAnsi" w:hAnsiTheme="minorHAnsi" w:cstheme="minorHAnsi"/>
                <w:lang w:val="pt-BR"/>
              </w:rPr>
              <w:t>los</w:t>
            </w:r>
            <w:proofErr w:type="spellEnd"/>
            <w:r w:rsidRPr="009A27ED">
              <w:rPr>
                <w:rFonts w:asciiTheme="minorHAnsi" w:hAnsiTheme="minorHAnsi" w:cstheme="minorHAnsi"/>
                <w:lang w:val="pt-BR"/>
              </w:rPr>
              <w:t xml:space="preserve"> </w:t>
            </w:r>
            <w:proofErr w:type="spellStart"/>
            <w:r w:rsidRPr="009A27ED">
              <w:rPr>
                <w:rFonts w:asciiTheme="minorHAnsi" w:hAnsiTheme="minorHAnsi" w:cstheme="minorHAnsi"/>
                <w:lang w:val="pt-BR"/>
              </w:rPr>
              <w:t>mismos</w:t>
            </w:r>
            <w:proofErr w:type="spellEnd"/>
            <w:r w:rsidR="00BA1C29" w:rsidRPr="009A27ED">
              <w:rPr>
                <w:rFonts w:asciiTheme="minorHAnsi" w:hAnsiTheme="minorHAnsi" w:cstheme="minorHAnsi"/>
                <w:lang w:val="pt-BR"/>
              </w:rPr>
              <w:t>.</w:t>
            </w:r>
          </w:p>
          <w:p w14:paraId="2A8BFB51" w14:textId="77777777" w:rsidR="00BA1C29" w:rsidRPr="009A27ED" w:rsidRDefault="00BA1C29" w:rsidP="00E67CB0">
            <w:pPr>
              <w:pStyle w:val="Textocomentario"/>
              <w:numPr>
                <w:ilvl w:val="0"/>
                <w:numId w:val="223"/>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Repoblamiento de las zonas frágiles con especies arbóreas, estimular de la regeneración natural, y proteger la cobertura forestal.</w:t>
            </w:r>
          </w:p>
        </w:tc>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7350A65" w14:textId="74226878" w:rsidR="00BA1C29" w:rsidRPr="009A27ED" w:rsidRDefault="00BA1C29" w:rsidP="00F84C7D">
            <w:pPr>
              <w:pStyle w:val="Textocomentario"/>
              <w:spacing w:line="254" w:lineRule="auto"/>
              <w:rPr>
                <w:rFonts w:asciiTheme="minorHAnsi" w:hAnsiTheme="minorHAnsi" w:cstheme="minorHAnsi"/>
                <w:lang w:val="es-ES"/>
              </w:rPr>
            </w:pPr>
            <w:r w:rsidRPr="009A27ED">
              <w:rPr>
                <w:rFonts w:asciiTheme="minorHAnsi" w:hAnsiTheme="minorHAnsi" w:cstheme="minorHAnsi"/>
                <w:lang w:val="es-ES"/>
              </w:rPr>
              <w:t xml:space="preserve">En los arreglos institucionales con las EE que manejan </w:t>
            </w:r>
            <w:r w:rsidRPr="009A27ED">
              <w:rPr>
                <w:rFonts w:asciiTheme="minorHAnsi" w:hAnsiTheme="minorHAnsi" w:cstheme="minorHAnsi"/>
                <w:lang w:val="es-DO"/>
              </w:rPr>
              <w:t>Reforestación, Regeneración de áreas naturales degradadas, Sistemas Agroforestales, Manejo Forestal sustentable se ha incluido:</w:t>
            </w:r>
          </w:p>
          <w:p w14:paraId="28DCB8D5" w14:textId="1F121CAC" w:rsidR="00BA1C29" w:rsidRPr="009A27ED" w:rsidRDefault="00BA1C29" w:rsidP="00E67CB0">
            <w:pPr>
              <w:pStyle w:val="Textocomentario"/>
              <w:numPr>
                <w:ilvl w:val="0"/>
                <w:numId w:val="225"/>
              </w:numPr>
              <w:spacing w:line="254" w:lineRule="auto"/>
              <w:ind w:left="391"/>
              <w:rPr>
                <w:rFonts w:asciiTheme="minorHAnsi" w:hAnsiTheme="minorHAnsi" w:cstheme="minorHAnsi"/>
                <w:lang w:val="es-ES"/>
              </w:rPr>
            </w:pPr>
            <w:r w:rsidRPr="009A27ED">
              <w:rPr>
                <w:rFonts w:asciiTheme="minorHAnsi" w:hAnsiTheme="minorHAnsi" w:cstheme="minorHAnsi"/>
                <w:lang w:val="es-ES"/>
              </w:rPr>
              <w:t xml:space="preserve">La responsabilidad de identificar junto con la </w:t>
            </w:r>
            <w:r w:rsidR="00F84C7D" w:rsidRPr="009A27ED">
              <w:rPr>
                <w:rFonts w:asciiTheme="minorHAnsi" w:hAnsiTheme="minorHAnsi" w:cstheme="minorHAnsi"/>
                <w:lang w:val="es-ES"/>
              </w:rPr>
              <w:t>ORC zonas</w:t>
            </w:r>
            <w:r w:rsidRPr="009A27ED">
              <w:rPr>
                <w:rFonts w:asciiTheme="minorHAnsi" w:hAnsiTheme="minorHAnsi" w:cstheme="minorHAnsi"/>
                <w:lang w:val="es-ES"/>
              </w:rPr>
              <w:t xml:space="preserve"> frágiles</w:t>
            </w:r>
            <w:r w:rsidR="00ED7834" w:rsidRPr="009A27ED">
              <w:rPr>
                <w:rFonts w:asciiTheme="minorHAnsi" w:hAnsiTheme="minorHAnsi" w:cstheme="minorHAnsi"/>
                <w:lang w:val="es-ES"/>
              </w:rPr>
              <w:t xml:space="preserve"> para repoblación</w:t>
            </w:r>
            <w:r w:rsidRPr="009A27ED">
              <w:rPr>
                <w:rFonts w:asciiTheme="minorHAnsi" w:hAnsiTheme="minorHAnsi" w:cstheme="minorHAnsi"/>
                <w:lang w:val="es-ES"/>
              </w:rPr>
              <w:t xml:space="preserve"> con especies arbóreas</w:t>
            </w:r>
            <w:r w:rsidR="00ED7834" w:rsidRPr="009A27ED">
              <w:rPr>
                <w:rFonts w:asciiTheme="minorHAnsi" w:hAnsiTheme="minorHAnsi" w:cstheme="minorHAnsi"/>
                <w:lang w:val="es-ES"/>
              </w:rPr>
              <w:t xml:space="preserve"> </w:t>
            </w:r>
            <w:r w:rsidR="00434410" w:rsidRPr="009A27ED">
              <w:rPr>
                <w:rFonts w:asciiTheme="minorHAnsi" w:hAnsiTheme="minorHAnsi" w:cstheme="minorHAnsi"/>
                <w:lang w:val="es-ES"/>
              </w:rPr>
              <w:t>naturalizadas, nativas</w:t>
            </w:r>
            <w:r w:rsidR="00ED7834" w:rsidRPr="009A27ED">
              <w:rPr>
                <w:rFonts w:asciiTheme="minorHAnsi" w:hAnsiTheme="minorHAnsi" w:cstheme="minorHAnsi"/>
                <w:lang w:val="es-ES"/>
              </w:rPr>
              <w:t xml:space="preserve"> y endémicas para</w:t>
            </w:r>
            <w:r w:rsidRPr="009A27ED">
              <w:rPr>
                <w:rFonts w:asciiTheme="minorHAnsi" w:hAnsiTheme="minorHAnsi" w:cstheme="minorHAnsi"/>
                <w:lang w:val="es-ES"/>
              </w:rPr>
              <w:t xml:space="preserve"> fomentar la regeneración natural, y proteger la cobertura forestal.</w:t>
            </w:r>
          </w:p>
          <w:p w14:paraId="6EFB8B58" w14:textId="74DBD192" w:rsidR="004459B9" w:rsidRPr="009A27ED" w:rsidRDefault="00BA1C29" w:rsidP="00C97A18">
            <w:pPr>
              <w:pStyle w:val="Textocomentario"/>
              <w:numPr>
                <w:ilvl w:val="0"/>
                <w:numId w:val="225"/>
              </w:numPr>
              <w:spacing w:line="254" w:lineRule="auto"/>
              <w:ind w:left="391"/>
              <w:rPr>
                <w:rFonts w:asciiTheme="minorHAnsi" w:hAnsiTheme="minorHAnsi" w:cstheme="minorHAnsi"/>
                <w:lang w:val="es-ES"/>
              </w:rPr>
            </w:pPr>
            <w:r w:rsidRPr="009A27ED">
              <w:rPr>
                <w:rFonts w:asciiTheme="minorHAnsi" w:hAnsiTheme="minorHAnsi" w:cstheme="minorHAnsi"/>
                <w:lang w:val="es-ES"/>
              </w:rPr>
              <w:t>Elegir zonas que permitan la conectividad de áreas boscosas para generar corredores biológicos.</w:t>
            </w:r>
          </w:p>
          <w:p w14:paraId="7F7128AA" w14:textId="77777777" w:rsidR="00F84C7D" w:rsidRPr="009A27ED" w:rsidRDefault="00BA1C29" w:rsidP="00562F95">
            <w:pPr>
              <w:pStyle w:val="Textocomentario"/>
              <w:numPr>
                <w:ilvl w:val="0"/>
                <w:numId w:val="225"/>
              </w:numPr>
              <w:spacing w:line="254" w:lineRule="auto"/>
              <w:ind w:left="391"/>
              <w:rPr>
                <w:lang w:val="es-ES"/>
              </w:rPr>
            </w:pPr>
            <w:r w:rsidRPr="009A27ED">
              <w:rPr>
                <w:rFonts w:asciiTheme="minorHAnsi" w:hAnsiTheme="minorHAnsi" w:cstheme="minorHAnsi"/>
                <w:lang w:val="es-ES"/>
              </w:rPr>
              <w:t>Fomentar sistemas agroforestales y manejo forestal sostenibles en zonas degradadas.</w:t>
            </w:r>
            <w:r w:rsidR="00F84C7D" w:rsidRPr="009A27ED">
              <w:rPr>
                <w:rFonts w:asciiTheme="minorHAnsi" w:hAnsiTheme="minorHAnsi" w:cstheme="minorHAnsi"/>
                <w:lang w:val="es-ES"/>
              </w:rPr>
              <w:t xml:space="preserve"> </w:t>
            </w:r>
          </w:p>
          <w:p w14:paraId="6E1A9D46" w14:textId="12CB37D0" w:rsidR="00F84C7D" w:rsidRPr="009A27ED" w:rsidRDefault="00F84C7D" w:rsidP="00F835BE">
            <w:pPr>
              <w:pStyle w:val="Textocomentario"/>
              <w:numPr>
                <w:ilvl w:val="0"/>
                <w:numId w:val="225"/>
              </w:numPr>
              <w:spacing w:line="254" w:lineRule="auto"/>
              <w:ind w:left="391"/>
              <w:rPr>
                <w:rFonts w:asciiTheme="minorHAnsi" w:hAnsiTheme="minorHAnsi" w:cstheme="minorHAnsi"/>
                <w:lang w:val="es-ES"/>
              </w:rPr>
            </w:pPr>
            <w:r w:rsidRPr="009A27ED">
              <w:rPr>
                <w:lang w:val="es-ES"/>
              </w:rPr>
              <w:t xml:space="preserve">Elaborar y aplicar una guía técnica orientada a la </w:t>
            </w:r>
            <w:r w:rsidR="00F835BE" w:rsidRPr="009A27ED">
              <w:rPr>
                <w:lang w:val="es-ES"/>
              </w:rPr>
              <w:t xml:space="preserve">regeneración natural en zonas degradadas </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221B925" w14:textId="3003CE8B" w:rsidR="004459B9" w:rsidRPr="009A27ED" w:rsidRDefault="00BA1C29" w:rsidP="00C97A18">
            <w:pPr>
              <w:pStyle w:val="Textocomentario"/>
              <w:numPr>
                <w:ilvl w:val="0"/>
                <w:numId w:val="399"/>
              </w:numPr>
              <w:spacing w:line="254" w:lineRule="auto"/>
              <w:ind w:left="326"/>
              <w:jc w:val="left"/>
              <w:rPr>
                <w:rFonts w:asciiTheme="minorHAnsi" w:hAnsiTheme="minorHAnsi" w:cstheme="minorHAnsi"/>
                <w:lang w:val="es-ES"/>
              </w:rPr>
            </w:pPr>
            <w:r w:rsidRPr="009A27ED">
              <w:rPr>
                <w:lang w:val="pt-BR"/>
              </w:rPr>
              <w:t xml:space="preserve">Estudio para identificar zonas </w:t>
            </w:r>
            <w:proofErr w:type="spellStart"/>
            <w:r w:rsidRPr="009A27ED">
              <w:rPr>
                <w:lang w:val="pt-BR"/>
              </w:rPr>
              <w:t>frágiles</w:t>
            </w:r>
            <w:proofErr w:type="spellEnd"/>
            <w:r w:rsidRPr="009A27ED">
              <w:rPr>
                <w:lang w:val="pt-BR"/>
              </w:rPr>
              <w:t>.</w:t>
            </w:r>
          </w:p>
          <w:p w14:paraId="2BC1BE53" w14:textId="77777777" w:rsidR="00BA1C29" w:rsidRPr="009A27ED" w:rsidRDefault="00BA1C29" w:rsidP="00C97A18">
            <w:pPr>
              <w:pStyle w:val="Textocomentario"/>
              <w:numPr>
                <w:ilvl w:val="0"/>
                <w:numId w:val="399"/>
              </w:numPr>
              <w:spacing w:line="254" w:lineRule="auto"/>
              <w:ind w:left="326"/>
              <w:jc w:val="left"/>
              <w:rPr>
                <w:rFonts w:asciiTheme="minorHAnsi" w:hAnsiTheme="minorHAnsi" w:cstheme="minorHAnsi"/>
                <w:lang w:val="es-ES"/>
              </w:rPr>
            </w:pPr>
            <w:r w:rsidRPr="009A27ED">
              <w:rPr>
                <w:rFonts w:asciiTheme="minorHAnsi" w:hAnsiTheme="minorHAnsi" w:cstheme="minorHAnsi"/>
                <w:lang w:val="es-ES"/>
              </w:rPr>
              <w:t>Repoblamiento de las zonas frágiles con especies arbóreas, estimular de la regeneración natural, y proteger la cobertura forestal.</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2AF34F1" w14:textId="77777777" w:rsidR="00BA1C29" w:rsidRPr="009A27ED" w:rsidRDefault="00BA1C29">
            <w:pPr>
              <w:pStyle w:val="Sinespaciado"/>
              <w:spacing w:line="254" w:lineRule="auto"/>
              <w:rPr>
                <w:sz w:val="20"/>
                <w:szCs w:val="20"/>
              </w:rPr>
            </w:pPr>
            <w:r w:rsidRPr="009A27ED">
              <w:rPr>
                <w:sz w:val="20"/>
                <w:szCs w:val="20"/>
              </w:rPr>
              <w:t>Hábitats naturales (PO 4.04)</w:t>
            </w:r>
          </w:p>
          <w:p w14:paraId="568EE3A2" w14:textId="77777777" w:rsidR="00BA1C29" w:rsidRPr="009A27ED" w:rsidRDefault="00BA1C29">
            <w:pPr>
              <w:pStyle w:val="Sinespaciado"/>
              <w:spacing w:line="254" w:lineRule="auto"/>
              <w:rPr>
                <w:sz w:val="20"/>
                <w:szCs w:val="20"/>
              </w:rPr>
            </w:pPr>
            <w:r w:rsidRPr="009A27ED">
              <w:rPr>
                <w:sz w:val="20"/>
                <w:szCs w:val="20"/>
              </w:rPr>
              <w:t>Bosques (4.36)</w:t>
            </w:r>
          </w:p>
          <w:p w14:paraId="42BF8EC6"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lang w:val="es-ES"/>
              </w:rPr>
              <w:t>Evaluación Ambiental (PO 4.01)</w:t>
            </w:r>
          </w:p>
          <w:p w14:paraId="49D5225D"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lang w:val="es-ES"/>
              </w:rPr>
              <w:t>Reasentamiento Involuntario (PO 4.12)</w:t>
            </w:r>
          </w:p>
          <w:p w14:paraId="10941ADC"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b/>
                <w:lang w:val="es-ES"/>
              </w:rPr>
              <w:t>Salvaguardas REDD+</w:t>
            </w:r>
            <w:r w:rsidRPr="009A27ED">
              <w:rPr>
                <w:rFonts w:asciiTheme="minorHAnsi" w:hAnsiTheme="minorHAnsi" w:cstheme="minorHAnsi"/>
                <w:lang w:val="es-ES"/>
              </w:rPr>
              <w:t xml:space="preserve"> A, B, D, E, F y G  </w:t>
            </w:r>
          </w:p>
        </w:tc>
      </w:tr>
      <w:tr w:rsidR="00BA1C29" w:rsidRPr="009A27ED" w14:paraId="62B96192" w14:textId="77777777" w:rsidTr="00DF1AF5">
        <w:tc>
          <w:tcPr>
            <w:tcW w:w="143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6A3404C" w14:textId="77777777" w:rsidR="00BA1C29" w:rsidRPr="009A27ED" w:rsidRDefault="00BA1C29">
            <w:pPr>
              <w:rPr>
                <w:rFonts w:eastAsia="Times New Roman"/>
                <w:sz w:val="20"/>
                <w:szCs w:val="20"/>
                <w:lang w:val="es-DO" w:eastAsia="es-ES_tradnl"/>
              </w:rPr>
            </w:pP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FE64600" w14:textId="77777777" w:rsidR="00BA1C29" w:rsidRPr="009A27ED" w:rsidRDefault="00BA1C29" w:rsidP="00E67CB0">
            <w:pPr>
              <w:pStyle w:val="Prrafodelista"/>
              <w:numPr>
                <w:ilvl w:val="1"/>
                <w:numId w:val="209"/>
              </w:numPr>
              <w:spacing w:after="0" w:line="240" w:lineRule="auto"/>
              <w:rPr>
                <w:sz w:val="20"/>
                <w:szCs w:val="20"/>
                <w:lang w:val="es-DO"/>
              </w:rPr>
            </w:pPr>
            <w:r w:rsidRPr="009A27ED">
              <w:rPr>
                <w:sz w:val="20"/>
                <w:szCs w:val="20"/>
                <w:lang w:val="es-DO"/>
              </w:rPr>
              <w:t>Establecer un sistema de evaluación y monitoreo de la gestión forestal.</w:t>
            </w:r>
          </w:p>
        </w:tc>
        <w:tc>
          <w:tcPr>
            <w:tcW w:w="17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0185628" w14:textId="77777777" w:rsidR="00BA1C29" w:rsidRPr="009A27ED" w:rsidRDefault="00BA1C29">
            <w:pPr>
              <w:rPr>
                <w:sz w:val="20"/>
                <w:szCs w:val="20"/>
                <w:lang w:val="es-DO"/>
              </w:rPr>
            </w:pPr>
            <w:r w:rsidRPr="009A27ED">
              <w:rPr>
                <w:b/>
                <w:sz w:val="20"/>
                <w:szCs w:val="20"/>
                <w:lang w:val="es-DO"/>
              </w:rPr>
              <w:t>Acción Facilitadora</w:t>
            </w:r>
            <w:r w:rsidRPr="009A27ED">
              <w:rPr>
                <w:sz w:val="20"/>
                <w:szCs w:val="20"/>
                <w:lang w:val="es-DO"/>
              </w:rPr>
              <w:t>: Generación de capacidades técnicas e infraestructura tecnológica para monitorear de forma integral la gestión forestal (GEI, Incendios, trazabilidad, de productos, especies, etc.)</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0ADDC14" w14:textId="77777777" w:rsidR="00BA1C29" w:rsidRPr="009A27ED" w:rsidRDefault="00BA1C29">
            <w:pPr>
              <w:rPr>
                <w:sz w:val="20"/>
                <w:szCs w:val="20"/>
                <w:lang w:val="es-DO"/>
              </w:rPr>
            </w:pPr>
            <w:r w:rsidRPr="009A27ED">
              <w:rPr>
                <w:sz w:val="20"/>
                <w:szCs w:val="20"/>
                <w:lang w:val="es-DO"/>
              </w:rPr>
              <w:t>Nacional</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8E0B0CC" w14:textId="77777777" w:rsidR="00BA1C29" w:rsidRPr="009A27ED" w:rsidRDefault="00BA1C29" w:rsidP="00E67CB0">
            <w:pPr>
              <w:pStyle w:val="Textocomentario"/>
              <w:numPr>
                <w:ilvl w:val="0"/>
                <w:numId w:val="226"/>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Que no se monitoreen las intervenciones de los proyectos y programas.</w:t>
            </w:r>
          </w:p>
          <w:p w14:paraId="0EEB7F2B" w14:textId="77777777" w:rsidR="00BA1C29" w:rsidRPr="009A27ED" w:rsidRDefault="00BA1C29" w:rsidP="00E67CB0">
            <w:pPr>
              <w:pStyle w:val="Textocomentario"/>
              <w:numPr>
                <w:ilvl w:val="0"/>
                <w:numId w:val="226"/>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No disponibilidad de indicadores de seguimiento a la gestión forestal.</w:t>
            </w:r>
          </w:p>
          <w:p w14:paraId="004A5980" w14:textId="77777777" w:rsidR="0021004C" w:rsidRPr="009A27ED" w:rsidRDefault="00BA1C29" w:rsidP="00E67CB0">
            <w:pPr>
              <w:pStyle w:val="Textocomentario"/>
              <w:numPr>
                <w:ilvl w:val="0"/>
                <w:numId w:val="226"/>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No involucramiento de las comunidades en establecimiento y puesta en marcha del sistema de evaluación y monitoreo.</w:t>
            </w:r>
          </w:p>
          <w:p w14:paraId="1E158E48" w14:textId="1FF25D84" w:rsidR="00BA1C29" w:rsidRPr="009A27ED" w:rsidRDefault="0021004C" w:rsidP="00C97A18">
            <w:pPr>
              <w:pStyle w:val="Textocomentario"/>
              <w:numPr>
                <w:ilvl w:val="0"/>
                <w:numId w:val="226"/>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I</w:t>
            </w:r>
            <w:r w:rsidR="00BA1C29" w:rsidRPr="009A27ED">
              <w:rPr>
                <w:rFonts w:asciiTheme="minorHAnsi" w:hAnsiTheme="minorHAnsi" w:cstheme="minorHAnsi"/>
                <w:lang w:val="es-ES"/>
              </w:rPr>
              <w:t>ncapacidad institucional para establecer y aplicar sistemas de evaluación y monitoreo.</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0461394" w14:textId="38850D88" w:rsidR="0021004C" w:rsidRPr="009A27ED" w:rsidRDefault="00BA1C29" w:rsidP="00C97A18">
            <w:pPr>
              <w:pStyle w:val="Textocomentario"/>
              <w:numPr>
                <w:ilvl w:val="0"/>
                <w:numId w:val="403"/>
              </w:numPr>
              <w:spacing w:line="254" w:lineRule="auto"/>
              <w:ind w:left="266"/>
              <w:rPr>
                <w:rFonts w:asciiTheme="minorHAnsi" w:hAnsiTheme="minorHAnsi" w:cstheme="minorHAnsi"/>
                <w:lang w:val="es-ES"/>
              </w:rPr>
            </w:pPr>
            <w:r w:rsidRPr="009A27ED">
              <w:rPr>
                <w:rFonts w:asciiTheme="minorHAnsi" w:hAnsiTheme="minorHAnsi" w:cstheme="minorHAnsi"/>
                <w:lang w:val="es-ES"/>
              </w:rPr>
              <w:t>Estimar las emisiones de GEI por</w:t>
            </w:r>
            <w:r w:rsidR="0021004C" w:rsidRPr="009A27ED">
              <w:rPr>
                <w:rFonts w:asciiTheme="minorHAnsi" w:hAnsiTheme="minorHAnsi" w:cstheme="minorHAnsi"/>
                <w:lang w:val="es-ES"/>
              </w:rPr>
              <w:t xml:space="preserve"> </w:t>
            </w:r>
            <w:r w:rsidRPr="009A27ED">
              <w:rPr>
                <w:rFonts w:asciiTheme="minorHAnsi" w:hAnsiTheme="minorHAnsi" w:cstheme="minorHAnsi"/>
                <w:lang w:val="es-ES"/>
              </w:rPr>
              <w:t>incendios forestales. Se requiere el</w:t>
            </w:r>
            <w:r w:rsidR="0021004C" w:rsidRPr="009A27ED">
              <w:rPr>
                <w:rFonts w:asciiTheme="minorHAnsi" w:hAnsiTheme="minorHAnsi" w:cstheme="minorHAnsi"/>
                <w:lang w:val="es-ES"/>
              </w:rPr>
              <w:t xml:space="preserve"> </w:t>
            </w:r>
            <w:r w:rsidRPr="009A27ED">
              <w:rPr>
                <w:rFonts w:asciiTheme="minorHAnsi" w:hAnsiTheme="minorHAnsi" w:cstheme="minorHAnsi"/>
                <w:lang w:val="es-ES"/>
              </w:rPr>
              <w:t>fortalecimiento de las capacidades</w:t>
            </w:r>
            <w:r w:rsidR="0021004C" w:rsidRPr="009A27ED">
              <w:rPr>
                <w:rFonts w:asciiTheme="minorHAnsi" w:hAnsiTheme="minorHAnsi" w:cstheme="minorHAnsi"/>
                <w:lang w:val="es-ES"/>
              </w:rPr>
              <w:t xml:space="preserve"> </w:t>
            </w:r>
            <w:r w:rsidRPr="009A27ED">
              <w:rPr>
                <w:rFonts w:asciiTheme="minorHAnsi" w:hAnsiTheme="minorHAnsi" w:cstheme="minorHAnsi"/>
                <w:lang w:val="es-ES"/>
              </w:rPr>
              <w:t>(técnicas y operativas) nacionales para</w:t>
            </w:r>
            <w:r w:rsidR="0021004C" w:rsidRPr="009A27ED">
              <w:rPr>
                <w:rFonts w:asciiTheme="minorHAnsi" w:hAnsiTheme="minorHAnsi" w:cstheme="minorHAnsi"/>
                <w:lang w:val="es-ES"/>
              </w:rPr>
              <w:t xml:space="preserve"> </w:t>
            </w:r>
            <w:r w:rsidRPr="009A27ED">
              <w:rPr>
                <w:rFonts w:asciiTheme="minorHAnsi" w:hAnsiTheme="minorHAnsi" w:cstheme="minorHAnsi"/>
                <w:lang w:val="es-ES"/>
              </w:rPr>
              <w:t>llevar a cabo la estimación de GEI procedente de incendios forestales, (incluido en el Programa de</w:t>
            </w:r>
            <w:r w:rsidR="0021004C" w:rsidRPr="009A27ED">
              <w:rPr>
                <w:rFonts w:asciiTheme="minorHAnsi" w:hAnsiTheme="minorHAnsi" w:cstheme="minorHAnsi"/>
                <w:lang w:val="es-ES"/>
              </w:rPr>
              <w:t xml:space="preserve"> </w:t>
            </w:r>
            <w:r w:rsidRPr="009A27ED">
              <w:rPr>
                <w:rFonts w:asciiTheme="minorHAnsi" w:hAnsiTheme="minorHAnsi" w:cstheme="minorHAnsi"/>
                <w:lang w:val="es-ES"/>
              </w:rPr>
              <w:t>fortalecimiento de capacidades)</w:t>
            </w:r>
          </w:p>
          <w:p w14:paraId="7D691B6B" w14:textId="11674AD5" w:rsidR="0021004C" w:rsidRPr="009A27ED" w:rsidRDefault="0021004C" w:rsidP="00C97A18">
            <w:pPr>
              <w:pStyle w:val="Textocomentario"/>
              <w:numPr>
                <w:ilvl w:val="0"/>
                <w:numId w:val="403"/>
              </w:numPr>
              <w:spacing w:line="254" w:lineRule="auto"/>
              <w:ind w:left="266"/>
              <w:rPr>
                <w:rFonts w:asciiTheme="minorHAnsi" w:hAnsiTheme="minorHAnsi" w:cstheme="minorHAnsi"/>
                <w:lang w:val="es-ES"/>
              </w:rPr>
            </w:pPr>
            <w:r w:rsidRPr="009A27ED">
              <w:rPr>
                <w:rFonts w:asciiTheme="minorHAnsi" w:hAnsiTheme="minorHAnsi" w:cstheme="minorHAnsi"/>
                <w:lang w:val="es-ES"/>
              </w:rPr>
              <w:t>Talleres locales para integrar los criterios mínimos de proyectos sostenibles para la Certificación y monitoreo de proyectos</w:t>
            </w:r>
          </w:p>
          <w:p w14:paraId="6BA76C61" w14:textId="3137FA97" w:rsidR="00BA1C29" w:rsidRPr="009A27ED" w:rsidRDefault="00BA1C29" w:rsidP="00C97A18">
            <w:pPr>
              <w:pStyle w:val="Textocomentario"/>
              <w:spacing w:line="254" w:lineRule="auto"/>
              <w:rPr>
                <w:rFonts w:asciiTheme="minorHAnsi" w:hAnsiTheme="minorHAnsi" w:cstheme="minorHAnsi"/>
                <w:lang w:val="es-ES"/>
              </w:rPr>
            </w:pPr>
            <w:r w:rsidRPr="009A27ED">
              <w:rPr>
                <w:rFonts w:asciiTheme="minorHAnsi" w:hAnsiTheme="minorHAnsi" w:cstheme="minorHAnsi"/>
                <w:lang w:val="es-ES"/>
              </w:rPr>
              <w:t>.</w:t>
            </w:r>
          </w:p>
        </w:tc>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0F5C8E4" w14:textId="77777777" w:rsidR="00BA1C29" w:rsidRPr="009A27ED" w:rsidRDefault="00BA1C29" w:rsidP="00C97A18">
            <w:pPr>
              <w:pStyle w:val="Textocomentario"/>
              <w:numPr>
                <w:ilvl w:val="0"/>
                <w:numId w:val="406"/>
              </w:numPr>
              <w:spacing w:line="254" w:lineRule="auto"/>
              <w:jc w:val="left"/>
              <w:rPr>
                <w:rFonts w:asciiTheme="minorHAnsi" w:hAnsiTheme="minorHAnsi" w:cstheme="minorHAnsi"/>
                <w:lang w:val="es-ES"/>
              </w:rPr>
            </w:pPr>
            <w:r w:rsidRPr="009A27ED">
              <w:rPr>
                <w:rFonts w:asciiTheme="minorHAnsi" w:hAnsiTheme="minorHAnsi" w:cstheme="minorHAnsi"/>
                <w:lang w:val="es-ES"/>
              </w:rPr>
              <w:t xml:space="preserve">Dentro de los acuerdos institucionales se establecen los sistemas de monitoreo tanto forestal como de cumplimiento de salvaguardas con el que deben cumplir las EE. </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0288BD9" w14:textId="77777777" w:rsidR="00BA1C29" w:rsidRPr="009A27ED" w:rsidRDefault="00BA1C29" w:rsidP="00E67CB0">
            <w:pPr>
              <w:pStyle w:val="Textocomentario"/>
              <w:numPr>
                <w:ilvl w:val="0"/>
                <w:numId w:val="227"/>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 xml:space="preserve">Estimar las emisiones de GEI por incendios forestales. Se requiere el fortalecimiento de las capacidades (técnicas y operativas) nacionales para llevar a cabo la estimación de GEI procedente de incendios forestales, (incluido en el Programa de fortalecimiento de capacidades) </w:t>
            </w:r>
          </w:p>
          <w:p w14:paraId="6E89E66F" w14:textId="709A05FF" w:rsidR="00BA1C29" w:rsidRPr="009A27ED" w:rsidRDefault="00BA1C29" w:rsidP="00101421">
            <w:pPr>
              <w:pStyle w:val="Textocomentario"/>
              <w:numPr>
                <w:ilvl w:val="0"/>
                <w:numId w:val="227"/>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 xml:space="preserve">Talleres locales para integrar los criterios mínimos de proyectos sostenibles para </w:t>
            </w:r>
            <w:r w:rsidR="00101421" w:rsidRPr="009A27ED">
              <w:rPr>
                <w:rFonts w:asciiTheme="minorHAnsi" w:hAnsiTheme="minorHAnsi" w:cstheme="minorHAnsi"/>
                <w:lang w:val="es-ES"/>
              </w:rPr>
              <w:t>el</w:t>
            </w:r>
            <w:r w:rsidRPr="009A27ED">
              <w:rPr>
                <w:rFonts w:asciiTheme="minorHAnsi" w:hAnsiTheme="minorHAnsi" w:cstheme="minorHAnsi"/>
                <w:lang w:val="es-ES"/>
              </w:rPr>
              <w:t xml:space="preserve"> monitoreo de proyectos.</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B5A3207" w14:textId="77777777" w:rsidR="00BA1C29" w:rsidRPr="009A27ED" w:rsidRDefault="00BA1C29">
            <w:pPr>
              <w:pStyle w:val="Sinespaciado"/>
              <w:spacing w:line="254" w:lineRule="auto"/>
              <w:rPr>
                <w:sz w:val="20"/>
                <w:szCs w:val="20"/>
                <w:lang w:val="fr-FR"/>
              </w:rPr>
            </w:pPr>
            <w:proofErr w:type="spellStart"/>
            <w:r w:rsidRPr="009A27ED">
              <w:rPr>
                <w:sz w:val="20"/>
                <w:szCs w:val="20"/>
                <w:lang w:val="fr-FR"/>
              </w:rPr>
              <w:t>Hábitats</w:t>
            </w:r>
            <w:proofErr w:type="spellEnd"/>
            <w:r w:rsidRPr="009A27ED">
              <w:rPr>
                <w:sz w:val="20"/>
                <w:szCs w:val="20"/>
                <w:lang w:val="fr-FR"/>
              </w:rPr>
              <w:t xml:space="preserve"> </w:t>
            </w:r>
            <w:proofErr w:type="spellStart"/>
            <w:r w:rsidRPr="009A27ED">
              <w:rPr>
                <w:sz w:val="20"/>
                <w:szCs w:val="20"/>
                <w:lang w:val="fr-FR"/>
              </w:rPr>
              <w:t>naturales</w:t>
            </w:r>
            <w:proofErr w:type="spellEnd"/>
            <w:r w:rsidRPr="009A27ED">
              <w:rPr>
                <w:sz w:val="20"/>
                <w:szCs w:val="20"/>
                <w:lang w:val="fr-FR"/>
              </w:rPr>
              <w:t xml:space="preserve"> (</w:t>
            </w:r>
            <w:proofErr w:type="gramStart"/>
            <w:r w:rsidRPr="009A27ED">
              <w:rPr>
                <w:sz w:val="20"/>
                <w:szCs w:val="20"/>
                <w:lang w:val="fr-FR"/>
              </w:rPr>
              <w:t>PO  4.04</w:t>
            </w:r>
            <w:proofErr w:type="gramEnd"/>
            <w:r w:rsidRPr="009A27ED">
              <w:rPr>
                <w:sz w:val="20"/>
                <w:szCs w:val="20"/>
                <w:lang w:val="fr-FR"/>
              </w:rPr>
              <w:t>)</w:t>
            </w:r>
          </w:p>
          <w:p w14:paraId="0E3DFA35" w14:textId="77777777" w:rsidR="00BA1C29" w:rsidRPr="009A27ED" w:rsidRDefault="00BA1C29">
            <w:pPr>
              <w:pStyle w:val="Sinespaciado"/>
              <w:spacing w:line="254" w:lineRule="auto"/>
              <w:rPr>
                <w:sz w:val="20"/>
                <w:szCs w:val="20"/>
                <w:lang w:val="fr-FR"/>
              </w:rPr>
            </w:pPr>
            <w:proofErr w:type="spellStart"/>
            <w:r w:rsidRPr="009A27ED">
              <w:rPr>
                <w:sz w:val="20"/>
                <w:szCs w:val="20"/>
                <w:lang w:val="fr-FR"/>
              </w:rPr>
              <w:t>Bosques</w:t>
            </w:r>
            <w:proofErr w:type="spellEnd"/>
            <w:r w:rsidRPr="009A27ED">
              <w:rPr>
                <w:sz w:val="20"/>
                <w:szCs w:val="20"/>
                <w:lang w:val="fr-FR"/>
              </w:rPr>
              <w:t xml:space="preserve"> (PO 4.36)</w:t>
            </w:r>
          </w:p>
          <w:p w14:paraId="7AB4778D"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lang w:val="es-ES"/>
              </w:rPr>
              <w:t xml:space="preserve">Evaluación Ambiental (PO 4.01) </w:t>
            </w:r>
          </w:p>
          <w:p w14:paraId="785B542E"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b/>
                <w:lang w:val="es-ES"/>
              </w:rPr>
              <w:t xml:space="preserve">Salvaguardas REDD+ </w:t>
            </w:r>
            <w:r w:rsidRPr="009A27ED">
              <w:rPr>
                <w:rFonts w:asciiTheme="minorHAnsi" w:hAnsiTheme="minorHAnsi" w:cstheme="minorHAnsi"/>
                <w:lang w:val="es-ES"/>
              </w:rPr>
              <w:t xml:space="preserve"> A, B, D, E</w:t>
            </w:r>
          </w:p>
        </w:tc>
      </w:tr>
      <w:tr w:rsidR="00BA1C29" w:rsidRPr="009A27ED" w14:paraId="4ADDD762" w14:textId="77777777" w:rsidTr="00DF1AF5">
        <w:tc>
          <w:tcPr>
            <w:tcW w:w="143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CE0F76D" w14:textId="77777777" w:rsidR="00BA1C29" w:rsidRPr="009A27ED" w:rsidRDefault="00BA1C29">
            <w:pPr>
              <w:rPr>
                <w:rFonts w:eastAsia="Times New Roman"/>
                <w:sz w:val="20"/>
                <w:szCs w:val="20"/>
                <w:lang w:val="es-DO" w:eastAsia="es-ES_tradnl"/>
              </w:rPr>
            </w:pP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D81052F" w14:textId="77777777" w:rsidR="00BA1C29" w:rsidRPr="009A27ED" w:rsidRDefault="00BA1C29" w:rsidP="00E67CB0">
            <w:pPr>
              <w:pStyle w:val="Prrafodelista"/>
              <w:numPr>
                <w:ilvl w:val="1"/>
                <w:numId w:val="209"/>
              </w:numPr>
              <w:spacing w:after="0" w:line="240" w:lineRule="auto"/>
              <w:rPr>
                <w:sz w:val="20"/>
                <w:szCs w:val="20"/>
                <w:lang w:val="es-DO"/>
              </w:rPr>
            </w:pPr>
            <w:r w:rsidRPr="009A27ED">
              <w:rPr>
                <w:sz w:val="20"/>
                <w:szCs w:val="20"/>
                <w:lang w:val="es-DO"/>
              </w:rPr>
              <w:t xml:space="preserve">Promover entre propietarios de fincas privadas y de organizaciones comunitarias, el manejo del bosque y la regeneración natural de </w:t>
            </w:r>
            <w:r w:rsidRPr="009A27ED">
              <w:rPr>
                <w:sz w:val="20"/>
                <w:szCs w:val="20"/>
                <w:lang w:val="es-DO"/>
              </w:rPr>
              <w:lastRenderedPageBreak/>
              <w:t>especies arbóreas.</w:t>
            </w:r>
          </w:p>
        </w:tc>
        <w:tc>
          <w:tcPr>
            <w:tcW w:w="17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9B0CE31" w14:textId="77777777" w:rsidR="00BA1C29" w:rsidRPr="009A27ED" w:rsidRDefault="00BA1C29">
            <w:pPr>
              <w:rPr>
                <w:sz w:val="20"/>
                <w:szCs w:val="20"/>
                <w:lang w:val="es-DO"/>
              </w:rPr>
            </w:pPr>
            <w:r w:rsidRPr="009A27ED">
              <w:rPr>
                <w:b/>
                <w:sz w:val="20"/>
                <w:szCs w:val="20"/>
                <w:lang w:val="es-DO"/>
              </w:rPr>
              <w:lastRenderedPageBreak/>
              <w:t>Acción directa</w:t>
            </w:r>
            <w:r w:rsidRPr="009A27ED">
              <w:rPr>
                <w:sz w:val="20"/>
                <w:szCs w:val="20"/>
                <w:lang w:val="es-DO"/>
              </w:rPr>
              <w:t xml:space="preserve"> Deforestación y degradación: Recuperación de tierras degradadas mediante regeneración natural </w:t>
            </w:r>
          </w:p>
          <w:p w14:paraId="4EE2F9C7" w14:textId="77777777" w:rsidR="00BA1C29" w:rsidRPr="009A27ED" w:rsidRDefault="00BA1C29">
            <w:pPr>
              <w:rPr>
                <w:sz w:val="20"/>
                <w:szCs w:val="20"/>
                <w:lang w:val="es-DO"/>
              </w:rPr>
            </w:pPr>
            <w:r w:rsidRPr="009A27ED">
              <w:rPr>
                <w:sz w:val="20"/>
                <w:szCs w:val="20"/>
                <w:lang w:val="es-DO"/>
              </w:rPr>
              <w:lastRenderedPageBreak/>
              <w:t>Ampliación de la superficie bajo manejo forestal sostenible.</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495282C" w14:textId="77777777" w:rsidR="00BA1C29" w:rsidRPr="009A27ED" w:rsidRDefault="00BA1C29">
            <w:pPr>
              <w:ind w:left="37"/>
              <w:rPr>
                <w:sz w:val="20"/>
                <w:szCs w:val="20"/>
                <w:lang w:val="es-DO"/>
              </w:rPr>
            </w:pPr>
            <w:r w:rsidRPr="009A27ED">
              <w:rPr>
                <w:sz w:val="20"/>
                <w:szCs w:val="20"/>
                <w:lang w:val="es-DO"/>
              </w:rPr>
              <w:lastRenderedPageBreak/>
              <w:t>Nacional/ Áreas priorizadas 1, 2, 3, 4, 5</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9331ADF" w14:textId="77777777" w:rsidR="00BA1C29" w:rsidRPr="009A27ED" w:rsidRDefault="00BA1C29" w:rsidP="00E67CB0">
            <w:pPr>
              <w:pStyle w:val="Textocomentario"/>
              <w:numPr>
                <w:ilvl w:val="0"/>
                <w:numId w:val="228"/>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Desarrollo de políticas sin consideración de la problemática de la tenencia de la tierra.</w:t>
            </w:r>
          </w:p>
          <w:p w14:paraId="589A8C4A" w14:textId="77777777" w:rsidR="00BA1C29" w:rsidRPr="009A27ED" w:rsidRDefault="00BA1C29" w:rsidP="00E67CB0">
            <w:pPr>
              <w:pStyle w:val="Textocomentario"/>
              <w:numPr>
                <w:ilvl w:val="0"/>
                <w:numId w:val="228"/>
              </w:numPr>
              <w:spacing w:line="254" w:lineRule="auto"/>
              <w:ind w:left="318" w:hanging="284"/>
              <w:jc w:val="left"/>
              <w:rPr>
                <w:rFonts w:asciiTheme="minorHAnsi" w:hAnsiTheme="minorHAnsi" w:cstheme="minorHAnsi"/>
                <w:lang w:val="es-ES"/>
              </w:rPr>
            </w:pPr>
            <w:r w:rsidRPr="009A27ED">
              <w:rPr>
                <w:rFonts w:asciiTheme="minorHAnsi" w:hAnsiTheme="minorHAnsi" w:cstheme="minorHAnsi"/>
              </w:rPr>
              <w:t xml:space="preserve">El aprovechamiento forestal no planificado puede impactar la estructura del suelo, por erosión hídrica y eólica, por pérdida de macro y micronutrientes, </w:t>
            </w:r>
            <w:r w:rsidRPr="009A27ED">
              <w:rPr>
                <w:rFonts w:asciiTheme="minorHAnsi" w:hAnsiTheme="minorHAnsi" w:cstheme="minorHAnsi"/>
              </w:rPr>
              <w:lastRenderedPageBreak/>
              <w:t>alteración de la microflora y microfauna.</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C04E453" w14:textId="77777777" w:rsidR="00BA1C29" w:rsidRPr="009A27ED" w:rsidRDefault="00BA1C29" w:rsidP="00C97A18">
            <w:pPr>
              <w:pStyle w:val="Textocomentario"/>
              <w:numPr>
                <w:ilvl w:val="0"/>
                <w:numId w:val="408"/>
              </w:numPr>
              <w:spacing w:line="254" w:lineRule="auto"/>
              <w:jc w:val="left"/>
              <w:rPr>
                <w:rFonts w:asciiTheme="minorHAnsi" w:hAnsiTheme="minorHAnsi" w:cstheme="minorHAnsi"/>
                <w:lang w:val="es-ES"/>
              </w:rPr>
            </w:pPr>
            <w:r w:rsidRPr="009A27ED">
              <w:rPr>
                <w:rFonts w:asciiTheme="minorHAnsi" w:hAnsiTheme="minorHAnsi" w:cstheme="minorHAnsi"/>
                <w:lang w:val="es-ES"/>
              </w:rPr>
              <w:lastRenderedPageBreak/>
              <w:t>Plan para promover entre propietarios de fincas privadas y de organizaciones comunitarias, el manejo del bosque y la regeneración natural de especies arbóreas.</w:t>
            </w:r>
          </w:p>
        </w:tc>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BEC7E87" w14:textId="77777777" w:rsidR="00F835BE" w:rsidRPr="009A27ED" w:rsidRDefault="00BA1C29" w:rsidP="00F835BE">
            <w:pPr>
              <w:pStyle w:val="Textocomentario"/>
              <w:numPr>
                <w:ilvl w:val="0"/>
                <w:numId w:val="410"/>
              </w:numPr>
              <w:spacing w:line="254" w:lineRule="auto"/>
              <w:jc w:val="left"/>
              <w:rPr>
                <w:rFonts w:asciiTheme="minorHAnsi" w:hAnsiTheme="minorHAnsi" w:cstheme="minorHAnsi"/>
                <w:lang w:val="es-ES"/>
              </w:rPr>
            </w:pPr>
            <w:r w:rsidRPr="009A27ED">
              <w:rPr>
                <w:rFonts w:asciiTheme="minorHAnsi" w:hAnsiTheme="minorHAnsi" w:cstheme="minorHAnsi"/>
                <w:lang w:val="es-ES"/>
              </w:rPr>
              <w:t>Plan para promover entre propietarios de fincas privadas y de organizaciones comunitarias, el manejo del bosque y la regeneración natural de especies arbóreas.</w:t>
            </w:r>
          </w:p>
          <w:p w14:paraId="22B81E25" w14:textId="1884DBAF" w:rsidR="00F835BE" w:rsidRPr="009A27ED" w:rsidRDefault="00F835BE" w:rsidP="00F835BE">
            <w:pPr>
              <w:pStyle w:val="Textocomentario"/>
              <w:numPr>
                <w:ilvl w:val="0"/>
                <w:numId w:val="410"/>
              </w:numPr>
              <w:spacing w:line="254" w:lineRule="auto"/>
              <w:jc w:val="left"/>
              <w:rPr>
                <w:rFonts w:asciiTheme="minorHAnsi" w:hAnsiTheme="minorHAnsi" w:cstheme="minorHAnsi"/>
                <w:lang w:val="es-ES"/>
              </w:rPr>
            </w:pPr>
            <w:r w:rsidRPr="009A27ED">
              <w:rPr>
                <w:rFonts w:asciiTheme="minorHAnsi" w:hAnsiTheme="minorHAnsi" w:cstheme="minorHAnsi"/>
                <w:lang w:val="es-ES"/>
              </w:rPr>
              <w:t>Elaborar y aplicar una guía técnica orientada a la regeneración natural en zonas degradadas</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C692AB1" w14:textId="77777777" w:rsidR="00BA1C29" w:rsidRPr="009A27ED" w:rsidRDefault="00BA1C29" w:rsidP="00E67CB0">
            <w:pPr>
              <w:pStyle w:val="Textocomentario"/>
              <w:numPr>
                <w:ilvl w:val="0"/>
                <w:numId w:val="229"/>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Plan para promover entre propietarios de fincas privadas y de organizaciones comunitarias, el manejo del bosque y la regeneración natural de especies arbóreas.</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9977316" w14:textId="77777777" w:rsidR="00BA1C29" w:rsidRPr="009A27ED" w:rsidRDefault="00BA1C29">
            <w:pPr>
              <w:pStyle w:val="Sinespaciado"/>
              <w:spacing w:line="254" w:lineRule="auto"/>
              <w:rPr>
                <w:sz w:val="20"/>
                <w:szCs w:val="20"/>
                <w:lang w:val="fr-FR"/>
              </w:rPr>
            </w:pPr>
            <w:proofErr w:type="spellStart"/>
            <w:r w:rsidRPr="009A27ED">
              <w:rPr>
                <w:sz w:val="20"/>
                <w:szCs w:val="20"/>
                <w:lang w:val="fr-FR"/>
              </w:rPr>
              <w:t>Hábitats</w:t>
            </w:r>
            <w:proofErr w:type="spellEnd"/>
            <w:r w:rsidRPr="009A27ED">
              <w:rPr>
                <w:sz w:val="20"/>
                <w:szCs w:val="20"/>
                <w:lang w:val="fr-FR"/>
              </w:rPr>
              <w:t xml:space="preserve"> </w:t>
            </w:r>
            <w:proofErr w:type="spellStart"/>
            <w:r w:rsidRPr="009A27ED">
              <w:rPr>
                <w:sz w:val="20"/>
                <w:szCs w:val="20"/>
                <w:lang w:val="fr-FR"/>
              </w:rPr>
              <w:t>naturales</w:t>
            </w:r>
            <w:proofErr w:type="spellEnd"/>
            <w:r w:rsidRPr="009A27ED">
              <w:rPr>
                <w:sz w:val="20"/>
                <w:szCs w:val="20"/>
                <w:lang w:val="fr-FR"/>
              </w:rPr>
              <w:t xml:space="preserve"> (PO 4.04)</w:t>
            </w:r>
          </w:p>
          <w:p w14:paraId="0226E1F9" w14:textId="77777777" w:rsidR="00BA1C29" w:rsidRPr="009A27ED" w:rsidRDefault="00BA1C29">
            <w:pPr>
              <w:pStyle w:val="Sinespaciado"/>
              <w:spacing w:line="254" w:lineRule="auto"/>
              <w:rPr>
                <w:sz w:val="20"/>
                <w:szCs w:val="20"/>
                <w:lang w:val="fr-FR"/>
              </w:rPr>
            </w:pPr>
            <w:proofErr w:type="spellStart"/>
            <w:r w:rsidRPr="009A27ED">
              <w:rPr>
                <w:sz w:val="20"/>
                <w:szCs w:val="20"/>
                <w:lang w:val="fr-FR"/>
              </w:rPr>
              <w:t>Bosques</w:t>
            </w:r>
            <w:proofErr w:type="spellEnd"/>
            <w:r w:rsidRPr="009A27ED">
              <w:rPr>
                <w:sz w:val="20"/>
                <w:szCs w:val="20"/>
                <w:lang w:val="fr-FR"/>
              </w:rPr>
              <w:t xml:space="preserve"> (PO 4.36)</w:t>
            </w:r>
          </w:p>
          <w:p w14:paraId="28B7ABCE"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lang w:val="es-ES"/>
              </w:rPr>
              <w:t>Evaluación Ambiental (PO 4.01)</w:t>
            </w:r>
          </w:p>
          <w:p w14:paraId="2946C6F8"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lang w:val="es-ES"/>
              </w:rPr>
              <w:t>Reasentamiento Involuntario (PO 4.12)</w:t>
            </w:r>
          </w:p>
          <w:p w14:paraId="1B4BED5D" w14:textId="77777777" w:rsidR="00BA1C29" w:rsidRPr="009A27ED" w:rsidRDefault="00BA1C29">
            <w:pPr>
              <w:pStyle w:val="Textocomentario"/>
              <w:spacing w:line="254" w:lineRule="auto"/>
              <w:rPr>
                <w:rFonts w:asciiTheme="minorHAnsi" w:hAnsiTheme="minorHAnsi" w:cstheme="minorHAnsi"/>
                <w:lang w:val="pt-BR"/>
              </w:rPr>
            </w:pPr>
            <w:r w:rsidRPr="009A27ED">
              <w:rPr>
                <w:rFonts w:asciiTheme="minorHAnsi" w:hAnsiTheme="minorHAnsi" w:cstheme="minorHAnsi"/>
                <w:b/>
                <w:lang w:val="pt-BR"/>
              </w:rPr>
              <w:lastRenderedPageBreak/>
              <w:t>Salvaguardas REDD</w:t>
            </w:r>
            <w:proofErr w:type="gramStart"/>
            <w:r w:rsidRPr="009A27ED">
              <w:rPr>
                <w:rFonts w:asciiTheme="minorHAnsi" w:hAnsiTheme="minorHAnsi" w:cstheme="minorHAnsi"/>
                <w:b/>
                <w:lang w:val="pt-BR"/>
              </w:rPr>
              <w:t xml:space="preserve">+ </w:t>
            </w:r>
            <w:r w:rsidRPr="009A27ED">
              <w:rPr>
                <w:rFonts w:asciiTheme="minorHAnsi" w:hAnsiTheme="minorHAnsi" w:cstheme="minorHAnsi"/>
                <w:lang w:val="pt-BR"/>
              </w:rPr>
              <w:t xml:space="preserve"> A</w:t>
            </w:r>
            <w:proofErr w:type="gramEnd"/>
            <w:r w:rsidRPr="009A27ED">
              <w:rPr>
                <w:rFonts w:asciiTheme="minorHAnsi" w:hAnsiTheme="minorHAnsi" w:cstheme="minorHAnsi"/>
                <w:lang w:val="pt-BR"/>
              </w:rPr>
              <w:t>, B, C, D, E</w:t>
            </w:r>
          </w:p>
        </w:tc>
      </w:tr>
      <w:tr w:rsidR="00BA1C29" w:rsidRPr="009A27ED" w14:paraId="7C422322" w14:textId="77777777" w:rsidTr="00DF1AF5">
        <w:tc>
          <w:tcPr>
            <w:tcW w:w="143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B9CB932" w14:textId="77777777" w:rsidR="00BA1C29" w:rsidRPr="009A27ED" w:rsidRDefault="00BA1C29">
            <w:pPr>
              <w:rPr>
                <w:rFonts w:eastAsia="Times New Roman"/>
                <w:sz w:val="20"/>
                <w:szCs w:val="20"/>
                <w:lang w:val="pt-BR" w:eastAsia="es-ES_tradnl"/>
              </w:rPr>
            </w:pP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67990E7" w14:textId="77777777" w:rsidR="00BA1C29" w:rsidRPr="009A27ED" w:rsidRDefault="00BA1C29" w:rsidP="00E67CB0">
            <w:pPr>
              <w:pStyle w:val="Prrafodelista"/>
              <w:numPr>
                <w:ilvl w:val="1"/>
                <w:numId w:val="209"/>
              </w:numPr>
              <w:spacing w:after="0" w:line="240" w:lineRule="auto"/>
              <w:rPr>
                <w:sz w:val="20"/>
                <w:szCs w:val="20"/>
                <w:lang w:val="es-DO"/>
              </w:rPr>
            </w:pPr>
            <w:r w:rsidRPr="009A27ED">
              <w:rPr>
                <w:sz w:val="20"/>
                <w:szCs w:val="20"/>
                <w:lang w:val="es-DO"/>
              </w:rPr>
              <w:t>Definir y poner en práctica instrumentos y mecanismos financieros para desarrollar actividades productivas de conservación y restauración de ecosistemas forestales y agroforestales</w:t>
            </w:r>
          </w:p>
        </w:tc>
        <w:tc>
          <w:tcPr>
            <w:tcW w:w="17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0B8AA50" w14:textId="77777777" w:rsidR="00BA1C29" w:rsidRPr="009A27ED" w:rsidRDefault="00BA1C29">
            <w:pPr>
              <w:rPr>
                <w:sz w:val="20"/>
                <w:szCs w:val="20"/>
                <w:lang w:val="es-DO"/>
              </w:rPr>
            </w:pPr>
            <w:r w:rsidRPr="009A27ED">
              <w:rPr>
                <w:b/>
                <w:sz w:val="20"/>
                <w:szCs w:val="20"/>
                <w:lang w:val="es-DO"/>
              </w:rPr>
              <w:t>Acción directa</w:t>
            </w:r>
            <w:r w:rsidRPr="009A27ED">
              <w:rPr>
                <w:sz w:val="20"/>
                <w:szCs w:val="20"/>
                <w:lang w:val="es-DO"/>
              </w:rPr>
              <w:t xml:space="preserve"> Deforestación y degradación: Revisión, evaluación y ampliación de alcances de los diferentes incentivos existentes.</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76A81F9" w14:textId="77777777" w:rsidR="00BA1C29" w:rsidRPr="009A27ED" w:rsidRDefault="00BA1C29">
            <w:pPr>
              <w:ind w:left="37"/>
              <w:rPr>
                <w:sz w:val="20"/>
                <w:szCs w:val="20"/>
                <w:lang w:val="es-DO"/>
              </w:rPr>
            </w:pPr>
            <w:r w:rsidRPr="009A27ED">
              <w:rPr>
                <w:sz w:val="20"/>
                <w:szCs w:val="20"/>
                <w:lang w:val="es-DO"/>
              </w:rPr>
              <w:t>Áreas priorizadas 1, 2, 3</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C090F2A" w14:textId="77777777" w:rsidR="00BA1C29" w:rsidRPr="009A27ED" w:rsidRDefault="00BA1C29" w:rsidP="00E67CB0">
            <w:pPr>
              <w:pStyle w:val="Textocomentario"/>
              <w:numPr>
                <w:ilvl w:val="0"/>
                <w:numId w:val="230"/>
              </w:numPr>
              <w:spacing w:line="254" w:lineRule="auto"/>
              <w:ind w:left="328"/>
              <w:rPr>
                <w:rFonts w:asciiTheme="minorHAnsi" w:hAnsiTheme="minorHAnsi" w:cstheme="minorHAnsi"/>
                <w:lang w:val="es-ES"/>
              </w:rPr>
            </w:pPr>
            <w:r w:rsidRPr="009A27ED">
              <w:rPr>
                <w:rFonts w:asciiTheme="minorHAnsi" w:hAnsiTheme="minorHAnsi" w:cstheme="minorHAnsi"/>
                <w:lang w:val="es-ES"/>
              </w:rPr>
              <w:t>Desarrollo de políticas sin consideración de la problemática de la tenencia de la tierra.</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2979E2A" w14:textId="77777777" w:rsidR="00BA1C29" w:rsidRPr="009A27ED" w:rsidRDefault="00BA1C29" w:rsidP="00C97A18">
            <w:pPr>
              <w:pStyle w:val="Textocomentario"/>
              <w:numPr>
                <w:ilvl w:val="0"/>
                <w:numId w:val="412"/>
              </w:numPr>
              <w:spacing w:line="254" w:lineRule="auto"/>
              <w:ind w:left="356"/>
              <w:rPr>
                <w:rFonts w:asciiTheme="minorHAnsi" w:hAnsiTheme="minorHAnsi" w:cstheme="minorHAnsi"/>
                <w:lang w:val="es-ES"/>
              </w:rPr>
            </w:pPr>
            <w:r w:rsidRPr="009A27ED">
              <w:rPr>
                <w:rFonts w:asciiTheme="minorHAnsi" w:hAnsiTheme="minorHAnsi" w:cstheme="minorHAnsi"/>
                <w:lang w:val="es-ES"/>
              </w:rPr>
              <w:t>Socializar el Plan de Beneficios Múltiples que se desarrollará bajo la EN REDD+, para obtener insumos de construcción de mecanismos financieros con base local.</w:t>
            </w:r>
          </w:p>
          <w:p w14:paraId="6D9B9E47" w14:textId="77777777" w:rsidR="00BA1C29" w:rsidRPr="009A27ED" w:rsidRDefault="00BA1C29" w:rsidP="00C97A18">
            <w:pPr>
              <w:pStyle w:val="Textocomentario"/>
              <w:numPr>
                <w:ilvl w:val="0"/>
                <w:numId w:val="412"/>
              </w:numPr>
              <w:spacing w:line="254" w:lineRule="auto"/>
              <w:ind w:left="328"/>
              <w:rPr>
                <w:rFonts w:asciiTheme="minorHAnsi" w:hAnsiTheme="minorHAnsi" w:cstheme="minorHAnsi"/>
                <w:lang w:val="es-ES"/>
              </w:rPr>
            </w:pPr>
            <w:r w:rsidRPr="009A27ED">
              <w:rPr>
                <w:rFonts w:asciiTheme="minorHAnsi" w:hAnsiTheme="minorHAnsi" w:cstheme="minorHAnsi"/>
                <w:lang w:val="es-ES"/>
              </w:rPr>
              <w:t>Sistematizar experiencias a nivel local de los instrumentos y mecanismos financieros existentes.</w:t>
            </w:r>
          </w:p>
          <w:p w14:paraId="0613EEA6" w14:textId="77777777" w:rsidR="00BA1C29" w:rsidRPr="009A27ED" w:rsidRDefault="00BA1C29" w:rsidP="00C97A18">
            <w:pPr>
              <w:pStyle w:val="Textocomentario"/>
              <w:numPr>
                <w:ilvl w:val="0"/>
                <w:numId w:val="412"/>
              </w:numPr>
              <w:spacing w:line="254" w:lineRule="auto"/>
              <w:ind w:left="356"/>
              <w:jc w:val="left"/>
              <w:rPr>
                <w:rFonts w:asciiTheme="minorHAnsi" w:hAnsiTheme="minorHAnsi" w:cstheme="minorHAnsi"/>
                <w:lang w:val="es-ES"/>
              </w:rPr>
            </w:pPr>
            <w:r w:rsidRPr="009A27ED">
              <w:rPr>
                <w:rFonts w:asciiTheme="minorHAnsi" w:hAnsiTheme="minorHAnsi" w:cstheme="minorHAnsi"/>
                <w:lang w:val="es-ES"/>
              </w:rPr>
              <w:t>Diseñar mecanismos financieros nuevos que se adapten a las necesidades del área y sus socios locales, con base en la visión de largo plazo para REDD+ en RD.</w:t>
            </w:r>
          </w:p>
        </w:tc>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5B71CAA" w14:textId="353CAD6C" w:rsidR="00BA1C29" w:rsidRPr="009A27ED" w:rsidRDefault="00BA1C29" w:rsidP="00C97A18">
            <w:pPr>
              <w:pStyle w:val="Textocomentario"/>
              <w:numPr>
                <w:ilvl w:val="0"/>
                <w:numId w:val="414"/>
              </w:numPr>
              <w:spacing w:line="254" w:lineRule="auto"/>
              <w:jc w:val="left"/>
              <w:rPr>
                <w:rFonts w:asciiTheme="minorHAnsi" w:hAnsiTheme="minorHAnsi" w:cstheme="minorHAnsi"/>
                <w:lang w:val="es-ES"/>
              </w:rPr>
            </w:pPr>
            <w:r w:rsidRPr="009A27ED">
              <w:rPr>
                <w:rFonts w:asciiTheme="minorHAnsi" w:hAnsiTheme="minorHAnsi" w:cstheme="minorHAnsi"/>
                <w:lang w:val="es-ES"/>
              </w:rPr>
              <w:t xml:space="preserve">Dentro del </w:t>
            </w:r>
            <w:r w:rsidR="00124B63" w:rsidRPr="009A27ED">
              <w:rPr>
                <w:rFonts w:asciiTheme="minorHAnsi" w:hAnsiTheme="minorHAnsi" w:cstheme="minorHAnsi"/>
                <w:lang w:val="es-ES"/>
              </w:rPr>
              <w:t>Programa REDD+</w:t>
            </w:r>
            <w:r w:rsidR="00434410" w:rsidRPr="009A27ED">
              <w:rPr>
                <w:rFonts w:asciiTheme="minorHAnsi" w:hAnsiTheme="minorHAnsi" w:cstheme="minorHAnsi"/>
                <w:lang w:val="es-ES"/>
              </w:rPr>
              <w:t xml:space="preserve"> se</w:t>
            </w:r>
            <w:r w:rsidRPr="009A27ED">
              <w:rPr>
                <w:rFonts w:asciiTheme="minorHAnsi" w:hAnsiTheme="minorHAnsi" w:cstheme="minorHAnsi"/>
                <w:lang w:val="es-ES"/>
              </w:rPr>
              <w:t xml:space="preserve"> consideran acciones para diseñar y aplicar mecanismos financieros que permitan fomentar </w:t>
            </w:r>
            <w:r w:rsidRPr="009A27ED">
              <w:rPr>
                <w:rFonts w:asciiTheme="minorHAnsi" w:hAnsiTheme="minorHAnsi" w:cstheme="minorHAnsi"/>
                <w:lang w:val="es-DO"/>
              </w:rPr>
              <w:t>actividades productivas de conservación y restauración de ecosistemas forestales y agroforestales.</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CD36EBE" w14:textId="77777777" w:rsidR="00BA1C29" w:rsidRPr="009A27ED" w:rsidRDefault="00BA1C29" w:rsidP="00C97A18">
            <w:pPr>
              <w:pStyle w:val="Textocomentario"/>
              <w:numPr>
                <w:ilvl w:val="0"/>
                <w:numId w:val="416"/>
              </w:numPr>
              <w:spacing w:line="254" w:lineRule="auto"/>
              <w:jc w:val="left"/>
              <w:rPr>
                <w:rFonts w:asciiTheme="minorHAnsi" w:hAnsiTheme="minorHAnsi" w:cstheme="minorHAnsi"/>
                <w:lang w:val="es-ES"/>
              </w:rPr>
            </w:pPr>
            <w:r w:rsidRPr="009A27ED">
              <w:rPr>
                <w:rFonts w:asciiTheme="minorHAnsi" w:hAnsiTheme="minorHAnsi" w:cstheme="minorHAnsi"/>
                <w:lang w:val="es-ES"/>
              </w:rPr>
              <w:t>Socializar el Plan de Beneficios Múltiples que se desarrollará bajo la EN REDD+, para obtener insumos de construcción de mecanismos financieros con base local.</w:t>
            </w:r>
          </w:p>
          <w:p w14:paraId="764C1F59" w14:textId="77777777" w:rsidR="00BA1C29" w:rsidRPr="009A27ED" w:rsidRDefault="00BA1C29" w:rsidP="00C97A18">
            <w:pPr>
              <w:pStyle w:val="Textocomentario"/>
              <w:numPr>
                <w:ilvl w:val="0"/>
                <w:numId w:val="416"/>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Sistematizar experiencias a nivel local de los instrumentos y mecanismos financieros existentes.</w:t>
            </w:r>
          </w:p>
          <w:p w14:paraId="615B9F9A" w14:textId="6BF90AFB" w:rsidR="00BA1C29" w:rsidRPr="009A27ED" w:rsidRDefault="00C50262" w:rsidP="00C97A18">
            <w:pPr>
              <w:pStyle w:val="Textocomentario"/>
              <w:numPr>
                <w:ilvl w:val="0"/>
                <w:numId w:val="416"/>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Promover el d</w:t>
            </w:r>
            <w:r w:rsidR="00BA1C29" w:rsidRPr="009A27ED">
              <w:rPr>
                <w:rFonts w:asciiTheme="minorHAnsi" w:hAnsiTheme="minorHAnsi" w:cstheme="minorHAnsi"/>
                <w:lang w:val="es-ES"/>
              </w:rPr>
              <w:t>iseñ</w:t>
            </w:r>
            <w:r w:rsidRPr="009A27ED">
              <w:rPr>
                <w:rFonts w:asciiTheme="minorHAnsi" w:hAnsiTheme="minorHAnsi" w:cstheme="minorHAnsi"/>
                <w:lang w:val="es-ES"/>
              </w:rPr>
              <w:t>o de</w:t>
            </w:r>
            <w:r w:rsidR="00BA1C29" w:rsidRPr="009A27ED">
              <w:rPr>
                <w:rFonts w:asciiTheme="minorHAnsi" w:hAnsiTheme="minorHAnsi" w:cstheme="minorHAnsi"/>
                <w:lang w:val="es-ES"/>
              </w:rPr>
              <w:t xml:space="preserve"> mecanismos financieros nuevos que se adapten a las necesidades del área y sus socios locales, con base en la visión de largo plazo para REDD+ en RD.</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306C3F8" w14:textId="77777777" w:rsidR="00BA1C29" w:rsidRPr="009A27ED" w:rsidRDefault="00BA1C29">
            <w:pPr>
              <w:pStyle w:val="Sinespaciado"/>
              <w:spacing w:line="254" w:lineRule="auto"/>
              <w:rPr>
                <w:sz w:val="20"/>
                <w:szCs w:val="20"/>
                <w:lang w:val="fr-FR"/>
              </w:rPr>
            </w:pPr>
            <w:proofErr w:type="spellStart"/>
            <w:r w:rsidRPr="009A27ED">
              <w:rPr>
                <w:sz w:val="20"/>
                <w:szCs w:val="20"/>
                <w:lang w:val="fr-FR"/>
              </w:rPr>
              <w:t>Hábitats</w:t>
            </w:r>
            <w:proofErr w:type="spellEnd"/>
            <w:r w:rsidRPr="009A27ED">
              <w:rPr>
                <w:sz w:val="20"/>
                <w:szCs w:val="20"/>
                <w:lang w:val="fr-FR"/>
              </w:rPr>
              <w:t xml:space="preserve"> </w:t>
            </w:r>
            <w:proofErr w:type="spellStart"/>
            <w:r w:rsidRPr="009A27ED">
              <w:rPr>
                <w:sz w:val="20"/>
                <w:szCs w:val="20"/>
                <w:lang w:val="fr-FR"/>
              </w:rPr>
              <w:t>naturales</w:t>
            </w:r>
            <w:proofErr w:type="spellEnd"/>
            <w:r w:rsidRPr="009A27ED">
              <w:rPr>
                <w:sz w:val="20"/>
                <w:szCs w:val="20"/>
                <w:lang w:val="fr-FR"/>
              </w:rPr>
              <w:t xml:space="preserve"> (PO 4.04)</w:t>
            </w:r>
          </w:p>
          <w:p w14:paraId="0598BF96" w14:textId="77777777" w:rsidR="00BA1C29" w:rsidRPr="009A27ED" w:rsidRDefault="00BA1C29">
            <w:pPr>
              <w:pStyle w:val="Sinespaciado"/>
              <w:spacing w:line="254" w:lineRule="auto"/>
              <w:rPr>
                <w:sz w:val="20"/>
                <w:szCs w:val="20"/>
                <w:lang w:val="fr-FR"/>
              </w:rPr>
            </w:pPr>
            <w:proofErr w:type="spellStart"/>
            <w:r w:rsidRPr="009A27ED">
              <w:rPr>
                <w:sz w:val="20"/>
                <w:szCs w:val="20"/>
                <w:lang w:val="fr-FR"/>
              </w:rPr>
              <w:t>Bosques</w:t>
            </w:r>
            <w:proofErr w:type="spellEnd"/>
            <w:r w:rsidRPr="009A27ED">
              <w:rPr>
                <w:sz w:val="20"/>
                <w:szCs w:val="20"/>
                <w:lang w:val="fr-FR"/>
              </w:rPr>
              <w:t xml:space="preserve"> (PO 4.36)</w:t>
            </w:r>
          </w:p>
          <w:p w14:paraId="4FFAA3B3"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lang w:val="es-ES"/>
              </w:rPr>
              <w:t>Evaluación Ambiental (PO 4.01)</w:t>
            </w:r>
          </w:p>
          <w:p w14:paraId="5D66EB6F"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lang w:val="es-ES"/>
              </w:rPr>
              <w:t>Reasentamiento Involuntario (PO 4.12)</w:t>
            </w:r>
          </w:p>
          <w:p w14:paraId="5062E042" w14:textId="77777777" w:rsidR="00BA1C29" w:rsidRPr="009A27ED" w:rsidRDefault="00BA1C29">
            <w:pPr>
              <w:pStyle w:val="Textocomentario"/>
              <w:spacing w:line="254" w:lineRule="auto"/>
              <w:rPr>
                <w:rFonts w:asciiTheme="minorHAnsi" w:hAnsiTheme="minorHAnsi" w:cstheme="minorHAnsi"/>
                <w:lang w:val="pt-BR"/>
              </w:rPr>
            </w:pPr>
            <w:r w:rsidRPr="009A27ED">
              <w:rPr>
                <w:rFonts w:asciiTheme="minorHAnsi" w:hAnsiTheme="minorHAnsi" w:cstheme="minorHAnsi"/>
                <w:b/>
                <w:lang w:val="pt-BR"/>
              </w:rPr>
              <w:t>Salvaguardas REDD</w:t>
            </w:r>
            <w:proofErr w:type="gramStart"/>
            <w:r w:rsidRPr="009A27ED">
              <w:rPr>
                <w:rFonts w:asciiTheme="minorHAnsi" w:hAnsiTheme="minorHAnsi" w:cstheme="minorHAnsi"/>
                <w:b/>
                <w:lang w:val="pt-BR"/>
              </w:rPr>
              <w:t xml:space="preserve">+ </w:t>
            </w:r>
            <w:r w:rsidRPr="009A27ED">
              <w:rPr>
                <w:rFonts w:asciiTheme="minorHAnsi" w:hAnsiTheme="minorHAnsi" w:cstheme="minorHAnsi"/>
                <w:lang w:val="pt-BR"/>
              </w:rPr>
              <w:t xml:space="preserve"> A</w:t>
            </w:r>
            <w:proofErr w:type="gramEnd"/>
            <w:r w:rsidRPr="009A27ED">
              <w:rPr>
                <w:rFonts w:asciiTheme="minorHAnsi" w:hAnsiTheme="minorHAnsi" w:cstheme="minorHAnsi"/>
                <w:lang w:val="pt-BR"/>
              </w:rPr>
              <w:t>, B, D, E</w:t>
            </w:r>
          </w:p>
        </w:tc>
      </w:tr>
      <w:tr w:rsidR="00BA1C29" w:rsidRPr="009A27ED" w14:paraId="7F8C9769" w14:textId="77777777" w:rsidTr="00DF1AF5">
        <w:tc>
          <w:tcPr>
            <w:tcW w:w="143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04AC36B" w14:textId="77777777" w:rsidR="00BA1C29" w:rsidRPr="009A27ED" w:rsidRDefault="00BA1C29">
            <w:pPr>
              <w:rPr>
                <w:rFonts w:eastAsia="Times New Roman"/>
                <w:sz w:val="20"/>
                <w:szCs w:val="20"/>
                <w:lang w:val="pt-BR" w:eastAsia="es-ES_tradnl"/>
              </w:rPr>
            </w:pP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F37A149" w14:textId="77777777" w:rsidR="00BA1C29" w:rsidRPr="009A27ED" w:rsidRDefault="00BA1C29" w:rsidP="00E67CB0">
            <w:pPr>
              <w:pStyle w:val="Prrafodelista"/>
              <w:numPr>
                <w:ilvl w:val="1"/>
                <w:numId w:val="209"/>
              </w:numPr>
              <w:spacing w:after="0" w:line="240" w:lineRule="auto"/>
              <w:rPr>
                <w:sz w:val="20"/>
                <w:szCs w:val="20"/>
                <w:lang w:val="es-DO"/>
              </w:rPr>
            </w:pPr>
            <w:r w:rsidRPr="009A27ED">
              <w:rPr>
                <w:sz w:val="20"/>
                <w:szCs w:val="20"/>
                <w:lang w:val="es-DO"/>
              </w:rPr>
              <w:t xml:space="preserve">Actualizar y aplicar la Estrategia Nacional de Manejo del Fuego en la República Dominicana. </w:t>
            </w:r>
          </w:p>
        </w:tc>
        <w:tc>
          <w:tcPr>
            <w:tcW w:w="17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43336F3" w14:textId="77777777" w:rsidR="00BA1C29" w:rsidRPr="009A27ED" w:rsidRDefault="00BA1C29">
            <w:pPr>
              <w:rPr>
                <w:sz w:val="20"/>
                <w:szCs w:val="20"/>
                <w:lang w:val="es-DO"/>
              </w:rPr>
            </w:pPr>
            <w:r w:rsidRPr="009A27ED">
              <w:rPr>
                <w:b/>
                <w:sz w:val="20"/>
                <w:szCs w:val="20"/>
                <w:lang w:val="es-DO"/>
              </w:rPr>
              <w:t>Acción directa</w:t>
            </w:r>
            <w:r w:rsidRPr="009A27ED">
              <w:rPr>
                <w:sz w:val="20"/>
                <w:szCs w:val="20"/>
                <w:lang w:val="es-DO"/>
              </w:rPr>
              <w:t xml:space="preserve"> Degradación: Fortalecimiento de capacidades institucionales para concertación, colaboración para la aplicación de la Estrategia Nacional de Manejo del Fuego </w:t>
            </w:r>
          </w:p>
          <w:p w14:paraId="2BCFE26B" w14:textId="77777777" w:rsidR="00BA1C29" w:rsidRPr="009A27ED" w:rsidRDefault="00BA1C29">
            <w:pPr>
              <w:rPr>
                <w:sz w:val="20"/>
                <w:szCs w:val="20"/>
                <w:lang w:val="es-DO"/>
              </w:rPr>
            </w:pPr>
            <w:r w:rsidRPr="009A27ED">
              <w:rPr>
                <w:sz w:val="20"/>
                <w:szCs w:val="20"/>
                <w:lang w:val="es-DO"/>
              </w:rPr>
              <w:t>Detección de necesidades de Fortalecimiento (RH, equipamiento Vigilancia, Protocolos, Alertas tempranas)</w:t>
            </w:r>
          </w:p>
          <w:p w14:paraId="612DEA0D" w14:textId="77777777" w:rsidR="00BA1C29" w:rsidRPr="009A27ED" w:rsidRDefault="00BA1C29">
            <w:pPr>
              <w:rPr>
                <w:sz w:val="20"/>
                <w:szCs w:val="20"/>
                <w:lang w:val="es-DO"/>
              </w:rPr>
            </w:pPr>
            <w:r w:rsidRPr="009A27ED">
              <w:rPr>
                <w:sz w:val="20"/>
                <w:szCs w:val="20"/>
                <w:lang w:val="es-DO"/>
              </w:rPr>
              <w:t xml:space="preserve">Actualización y aplicación del sistema de reporte de incendios </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978E3FE" w14:textId="77777777" w:rsidR="00BA1C29" w:rsidRPr="009A27ED" w:rsidRDefault="00BA1C29">
            <w:pPr>
              <w:ind w:left="37"/>
              <w:rPr>
                <w:sz w:val="20"/>
                <w:szCs w:val="20"/>
                <w:lang w:val="es-DO"/>
              </w:rPr>
            </w:pPr>
            <w:r w:rsidRPr="009A27ED">
              <w:rPr>
                <w:sz w:val="20"/>
                <w:szCs w:val="20"/>
                <w:lang w:val="es-DO"/>
              </w:rPr>
              <w:t>Nacional</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7433624" w14:textId="4C273B57" w:rsidR="00F61282" w:rsidRPr="009A27ED" w:rsidRDefault="00BA1C29" w:rsidP="00C97A18">
            <w:pPr>
              <w:pStyle w:val="Textocomentario"/>
              <w:numPr>
                <w:ilvl w:val="0"/>
                <w:numId w:val="232"/>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Desarrollo de políticas sin consideración de la problemática de la tenencia de la tierra.</w:t>
            </w:r>
          </w:p>
          <w:p w14:paraId="464958AA" w14:textId="77777777" w:rsidR="00BA1C29" w:rsidRPr="009A27ED" w:rsidRDefault="00BA1C29" w:rsidP="00C97A18">
            <w:pPr>
              <w:pStyle w:val="Textocomentario"/>
              <w:numPr>
                <w:ilvl w:val="0"/>
                <w:numId w:val="232"/>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Incremento de incendios forestales por motivos de retaliación y falta de aplicación de controles efectivos y sancionatorios</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16483F2" w14:textId="181C51B3" w:rsidR="00F61282" w:rsidRPr="009A27ED" w:rsidRDefault="00BA1C29" w:rsidP="00C97A18">
            <w:pPr>
              <w:pStyle w:val="Textocomentario"/>
              <w:numPr>
                <w:ilvl w:val="0"/>
                <w:numId w:val="426"/>
              </w:numPr>
              <w:spacing w:line="254" w:lineRule="auto"/>
              <w:ind w:left="328"/>
              <w:rPr>
                <w:rFonts w:asciiTheme="minorHAnsi" w:hAnsiTheme="minorHAnsi" w:cstheme="minorHAnsi"/>
                <w:lang w:val="es-ES"/>
              </w:rPr>
            </w:pPr>
            <w:r w:rsidRPr="009A27ED">
              <w:t>Participación en talleres locales para la actualización de la Estrategia Nacional de Manejo del Fuego en la República Dominicana.</w:t>
            </w:r>
          </w:p>
          <w:p w14:paraId="28C45DAA" w14:textId="77777777" w:rsidR="00BA1C29" w:rsidRPr="009A27ED" w:rsidRDefault="00BA1C29" w:rsidP="00C97A18">
            <w:pPr>
              <w:pStyle w:val="Textocomentario"/>
              <w:numPr>
                <w:ilvl w:val="0"/>
                <w:numId w:val="426"/>
              </w:numPr>
              <w:spacing w:line="254" w:lineRule="auto"/>
              <w:ind w:left="328"/>
              <w:rPr>
                <w:rFonts w:asciiTheme="minorHAnsi" w:hAnsiTheme="minorHAnsi" w:cstheme="minorHAnsi"/>
                <w:lang w:val="es-ES"/>
              </w:rPr>
            </w:pPr>
            <w:r w:rsidRPr="009A27ED">
              <w:rPr>
                <w:rFonts w:asciiTheme="minorHAnsi" w:hAnsiTheme="minorHAnsi" w:cstheme="minorHAnsi"/>
                <w:lang w:val="es-ES"/>
              </w:rPr>
              <w:t>Elaboración de Planes locales de Manejo del Fuego.</w:t>
            </w:r>
          </w:p>
        </w:tc>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04A1974" w14:textId="77777777" w:rsidR="00BA1C29" w:rsidRPr="009A27ED" w:rsidRDefault="00BA1C29" w:rsidP="0003151E">
            <w:pPr>
              <w:pStyle w:val="Textocomentario"/>
              <w:spacing w:line="254" w:lineRule="auto"/>
              <w:rPr>
                <w:rFonts w:asciiTheme="minorHAnsi" w:hAnsiTheme="minorHAnsi" w:cstheme="minorHAnsi"/>
                <w:lang w:val="es-ES"/>
              </w:rPr>
            </w:pPr>
            <w:r w:rsidRPr="009A27ED">
              <w:rPr>
                <w:rFonts w:asciiTheme="minorHAnsi" w:hAnsiTheme="minorHAnsi" w:cstheme="minorHAnsi"/>
                <w:lang w:val="es-ES"/>
              </w:rPr>
              <w:t>Dentro del Programa de Fortalecimiento institucional se consideran acciones para:</w:t>
            </w:r>
          </w:p>
          <w:p w14:paraId="05BF30B0" w14:textId="77777777" w:rsidR="00BA1C29" w:rsidRPr="009A27ED" w:rsidRDefault="00BA1C29" w:rsidP="00E67CB0">
            <w:pPr>
              <w:pStyle w:val="Textocomentario"/>
              <w:numPr>
                <w:ilvl w:val="0"/>
                <w:numId w:val="234"/>
              </w:numPr>
              <w:spacing w:line="254" w:lineRule="auto"/>
              <w:ind w:left="391"/>
              <w:rPr>
                <w:rFonts w:asciiTheme="minorHAnsi" w:hAnsiTheme="minorHAnsi" w:cstheme="minorHAnsi"/>
                <w:lang w:val="es-ES"/>
              </w:rPr>
            </w:pPr>
            <w:r w:rsidRPr="009A27ED">
              <w:rPr>
                <w:rFonts w:asciiTheme="minorHAnsi" w:hAnsiTheme="minorHAnsi" w:cstheme="minorHAnsi"/>
                <w:lang w:val="es-ES"/>
              </w:rPr>
              <w:t>Fortalecimiento de capacidades institucionales (personal, equipamiento, vigilancia, protocolos, alertas tempranas) para prevención y control de incendios forestales</w:t>
            </w:r>
          </w:p>
          <w:p w14:paraId="12BB9699" w14:textId="16A1B5E2" w:rsidR="00BA1C29" w:rsidRPr="009A27ED" w:rsidRDefault="00BA1C29" w:rsidP="00E67CB0">
            <w:pPr>
              <w:pStyle w:val="Textocomentario"/>
              <w:numPr>
                <w:ilvl w:val="0"/>
                <w:numId w:val="234"/>
              </w:numPr>
              <w:spacing w:line="254" w:lineRule="auto"/>
              <w:ind w:left="391"/>
              <w:rPr>
                <w:rFonts w:asciiTheme="minorHAnsi" w:hAnsiTheme="minorHAnsi" w:cstheme="minorHAnsi"/>
                <w:lang w:val="es-ES"/>
              </w:rPr>
            </w:pPr>
            <w:r w:rsidRPr="009A27ED">
              <w:rPr>
                <w:rFonts w:asciiTheme="minorHAnsi" w:hAnsiTheme="minorHAnsi" w:cstheme="minorHAnsi"/>
                <w:lang w:val="es-ES"/>
              </w:rPr>
              <w:t xml:space="preserve">Actualización y aplicación del sistema de reporte y registro de incendios </w:t>
            </w:r>
            <w:r w:rsidR="006020B6" w:rsidRPr="009A27ED">
              <w:rPr>
                <w:rFonts w:asciiTheme="minorHAnsi" w:hAnsiTheme="minorHAnsi" w:cstheme="minorHAnsi"/>
                <w:lang w:val="es-ES"/>
              </w:rPr>
              <w:t xml:space="preserve">    </w:t>
            </w:r>
            <w:r w:rsidRPr="009A27ED">
              <w:rPr>
                <w:rFonts w:asciiTheme="minorHAnsi" w:hAnsiTheme="minorHAnsi" w:cstheme="minorHAnsi"/>
                <w:lang w:val="es-ES"/>
              </w:rPr>
              <w:t>forestales.</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76AF125" w14:textId="1176F262" w:rsidR="00F61282" w:rsidRPr="009A27ED" w:rsidRDefault="00BA1C29" w:rsidP="00C97A18">
            <w:pPr>
              <w:pStyle w:val="Textocomentario"/>
              <w:numPr>
                <w:ilvl w:val="0"/>
                <w:numId w:val="425"/>
              </w:numPr>
              <w:spacing w:line="254" w:lineRule="auto"/>
              <w:ind w:left="326"/>
              <w:jc w:val="left"/>
              <w:rPr>
                <w:rFonts w:asciiTheme="minorHAnsi" w:hAnsiTheme="minorHAnsi" w:cstheme="minorHAnsi"/>
                <w:lang w:val="es-ES"/>
              </w:rPr>
            </w:pPr>
            <w:r w:rsidRPr="009A27ED">
              <w:t>Participación en talleres locales para la actualización de la Estrategia Nacional de Manejo del Fuego en la República Dominicana.</w:t>
            </w:r>
          </w:p>
          <w:p w14:paraId="5F93E11C" w14:textId="3A081C29" w:rsidR="00BA1C29" w:rsidRPr="009A27ED" w:rsidRDefault="00BA1C29" w:rsidP="00C97A18">
            <w:pPr>
              <w:pStyle w:val="Textocomentario"/>
              <w:numPr>
                <w:ilvl w:val="0"/>
                <w:numId w:val="425"/>
              </w:numPr>
              <w:spacing w:line="254" w:lineRule="auto"/>
              <w:ind w:left="326"/>
              <w:jc w:val="left"/>
              <w:rPr>
                <w:rFonts w:asciiTheme="minorHAnsi" w:hAnsiTheme="minorHAnsi" w:cstheme="minorHAnsi"/>
                <w:lang w:val="es-ES"/>
              </w:rPr>
            </w:pPr>
            <w:r w:rsidRPr="009A27ED">
              <w:rPr>
                <w:rFonts w:asciiTheme="minorHAnsi" w:hAnsiTheme="minorHAnsi" w:cstheme="minorHAnsi"/>
                <w:lang w:val="es-ES"/>
              </w:rPr>
              <w:t>Elaboración de Planes</w:t>
            </w:r>
            <w:r w:rsidR="00F61282" w:rsidRPr="009A27ED">
              <w:rPr>
                <w:rFonts w:asciiTheme="minorHAnsi" w:hAnsiTheme="minorHAnsi" w:cstheme="minorHAnsi"/>
                <w:lang w:val="es-ES"/>
              </w:rPr>
              <w:t xml:space="preserve"> locales</w:t>
            </w:r>
            <w:r w:rsidRPr="009A27ED">
              <w:rPr>
                <w:rFonts w:asciiTheme="minorHAnsi" w:hAnsiTheme="minorHAnsi" w:cstheme="minorHAnsi"/>
                <w:lang w:val="es-ES"/>
              </w:rPr>
              <w:t xml:space="preserve"> de Manejo del Fuego.</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72FD094" w14:textId="77777777" w:rsidR="00BA1C29" w:rsidRPr="009A27ED" w:rsidRDefault="00BA1C29">
            <w:pPr>
              <w:pStyle w:val="Sinespaciado"/>
              <w:spacing w:line="254" w:lineRule="auto"/>
              <w:rPr>
                <w:sz w:val="20"/>
                <w:szCs w:val="20"/>
                <w:lang w:val="fr-FR"/>
              </w:rPr>
            </w:pPr>
            <w:proofErr w:type="spellStart"/>
            <w:r w:rsidRPr="009A27ED">
              <w:rPr>
                <w:sz w:val="20"/>
                <w:szCs w:val="20"/>
                <w:lang w:val="fr-FR"/>
              </w:rPr>
              <w:t>Hábitats</w:t>
            </w:r>
            <w:proofErr w:type="spellEnd"/>
            <w:r w:rsidRPr="009A27ED">
              <w:rPr>
                <w:sz w:val="20"/>
                <w:szCs w:val="20"/>
                <w:lang w:val="fr-FR"/>
              </w:rPr>
              <w:t xml:space="preserve"> </w:t>
            </w:r>
            <w:proofErr w:type="spellStart"/>
            <w:r w:rsidRPr="009A27ED">
              <w:rPr>
                <w:sz w:val="20"/>
                <w:szCs w:val="20"/>
                <w:lang w:val="fr-FR"/>
              </w:rPr>
              <w:t>naturales</w:t>
            </w:r>
            <w:proofErr w:type="spellEnd"/>
            <w:r w:rsidRPr="009A27ED">
              <w:rPr>
                <w:sz w:val="20"/>
                <w:szCs w:val="20"/>
                <w:lang w:val="fr-FR"/>
              </w:rPr>
              <w:t xml:space="preserve"> (PO 4.04)</w:t>
            </w:r>
          </w:p>
          <w:p w14:paraId="10619CB4" w14:textId="77777777" w:rsidR="00BA1C29" w:rsidRPr="009A27ED" w:rsidRDefault="00BA1C29">
            <w:pPr>
              <w:pStyle w:val="Sinespaciado"/>
              <w:spacing w:line="254" w:lineRule="auto"/>
              <w:rPr>
                <w:sz w:val="20"/>
                <w:szCs w:val="20"/>
                <w:lang w:val="fr-FR"/>
              </w:rPr>
            </w:pPr>
            <w:proofErr w:type="spellStart"/>
            <w:r w:rsidRPr="009A27ED">
              <w:rPr>
                <w:sz w:val="20"/>
                <w:szCs w:val="20"/>
                <w:lang w:val="fr-FR"/>
              </w:rPr>
              <w:t>Bosques</w:t>
            </w:r>
            <w:proofErr w:type="spellEnd"/>
            <w:r w:rsidRPr="009A27ED">
              <w:rPr>
                <w:sz w:val="20"/>
                <w:szCs w:val="20"/>
                <w:lang w:val="fr-FR"/>
              </w:rPr>
              <w:t xml:space="preserve"> (PO 4.36)</w:t>
            </w:r>
          </w:p>
          <w:p w14:paraId="0BC55E31"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lang w:val="es-ES"/>
              </w:rPr>
              <w:t>Evaluación Ambiental (PO 4.01)</w:t>
            </w:r>
          </w:p>
          <w:p w14:paraId="2DBB2524"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b/>
                <w:lang w:val="es-ES"/>
              </w:rPr>
              <w:t xml:space="preserve">Salvaguardas REDD+ </w:t>
            </w:r>
            <w:r w:rsidRPr="009A27ED">
              <w:rPr>
                <w:rFonts w:asciiTheme="minorHAnsi" w:hAnsiTheme="minorHAnsi" w:cstheme="minorHAnsi"/>
                <w:lang w:val="es-ES"/>
              </w:rPr>
              <w:t xml:space="preserve"> A, B, D, E</w:t>
            </w:r>
          </w:p>
        </w:tc>
      </w:tr>
      <w:tr w:rsidR="00BA1C29" w:rsidRPr="009A27ED" w14:paraId="62FD9499" w14:textId="77777777" w:rsidTr="00DF1AF5">
        <w:tc>
          <w:tcPr>
            <w:tcW w:w="143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F99A655" w14:textId="77777777" w:rsidR="00BA1C29" w:rsidRPr="009A27ED" w:rsidRDefault="00BA1C29">
            <w:pPr>
              <w:rPr>
                <w:rFonts w:eastAsia="Times New Roman"/>
                <w:sz w:val="20"/>
                <w:szCs w:val="20"/>
                <w:lang w:val="es-DO" w:eastAsia="es-ES_tradnl"/>
              </w:rPr>
            </w:pP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48EE936" w14:textId="77777777" w:rsidR="00BA1C29" w:rsidRPr="009A27ED" w:rsidRDefault="00BA1C29" w:rsidP="00E67CB0">
            <w:pPr>
              <w:pStyle w:val="Prrafodelista"/>
              <w:numPr>
                <w:ilvl w:val="1"/>
                <w:numId w:val="209"/>
              </w:numPr>
              <w:spacing w:after="0" w:line="240" w:lineRule="auto"/>
              <w:rPr>
                <w:sz w:val="20"/>
                <w:szCs w:val="20"/>
                <w:lang w:val="es-DO"/>
              </w:rPr>
            </w:pPr>
            <w:r w:rsidRPr="009A27ED">
              <w:rPr>
                <w:sz w:val="20"/>
                <w:szCs w:val="20"/>
                <w:lang w:val="es-DO"/>
              </w:rPr>
              <w:t>Desarrollar programa de restauración de ecosistemas afectados por incendios.</w:t>
            </w:r>
          </w:p>
        </w:tc>
        <w:tc>
          <w:tcPr>
            <w:tcW w:w="17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995B0C2" w14:textId="77777777" w:rsidR="00BA1C29" w:rsidRPr="009A27ED" w:rsidRDefault="00BA1C29">
            <w:pPr>
              <w:rPr>
                <w:sz w:val="20"/>
                <w:szCs w:val="20"/>
                <w:lang w:val="es-DO"/>
              </w:rPr>
            </w:pPr>
            <w:r w:rsidRPr="009A27ED">
              <w:rPr>
                <w:b/>
                <w:sz w:val="20"/>
                <w:szCs w:val="20"/>
                <w:lang w:val="es-DO"/>
              </w:rPr>
              <w:t>Acción directa</w:t>
            </w:r>
            <w:r w:rsidRPr="009A27ED">
              <w:rPr>
                <w:sz w:val="20"/>
                <w:szCs w:val="20"/>
                <w:lang w:val="es-DO"/>
              </w:rPr>
              <w:t xml:space="preserve"> Mejora de existencia de carbono: Abarca el SINAP, cuencas, y todos los programas </w:t>
            </w:r>
            <w:r w:rsidRPr="009A27ED">
              <w:rPr>
                <w:sz w:val="20"/>
                <w:szCs w:val="20"/>
                <w:lang w:val="es-DO"/>
              </w:rPr>
              <w:lastRenderedPageBreak/>
              <w:t>nacionales que se incorporen a la Estrategia REDD+</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EAACAC8" w14:textId="77777777" w:rsidR="00BA1C29" w:rsidRPr="009A27ED" w:rsidRDefault="00BA1C29">
            <w:pPr>
              <w:ind w:left="37"/>
              <w:rPr>
                <w:sz w:val="20"/>
                <w:szCs w:val="20"/>
                <w:lang w:val="es-DO"/>
              </w:rPr>
            </w:pPr>
            <w:r w:rsidRPr="009A27ED">
              <w:rPr>
                <w:sz w:val="20"/>
                <w:szCs w:val="20"/>
                <w:lang w:val="es-DO"/>
              </w:rPr>
              <w:lastRenderedPageBreak/>
              <w:t>Nacional</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9323F5D" w14:textId="77777777" w:rsidR="00BA1C29" w:rsidRPr="009A27ED" w:rsidRDefault="00BA1C29" w:rsidP="00E67CB0">
            <w:pPr>
              <w:pStyle w:val="Textocomentario"/>
              <w:numPr>
                <w:ilvl w:val="0"/>
                <w:numId w:val="236"/>
              </w:numPr>
              <w:spacing w:line="254" w:lineRule="auto"/>
              <w:ind w:left="328"/>
              <w:rPr>
                <w:rFonts w:asciiTheme="minorHAnsi" w:hAnsiTheme="minorHAnsi" w:cstheme="minorHAnsi"/>
                <w:lang w:val="es-ES"/>
              </w:rPr>
            </w:pPr>
            <w:r w:rsidRPr="009A27ED">
              <w:rPr>
                <w:rFonts w:asciiTheme="minorHAnsi" w:hAnsiTheme="minorHAnsi" w:cstheme="minorHAnsi"/>
                <w:lang w:val="es-ES"/>
              </w:rPr>
              <w:t>Incremento de incendios forestales por motivos de retaliación y falta de aplicación de controles efectivos y sancionatorios.</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77399C4" w14:textId="1B3D4F7A" w:rsidR="00E61B10" w:rsidRPr="009A27ED" w:rsidRDefault="00BA1C29" w:rsidP="00C97A18">
            <w:pPr>
              <w:pStyle w:val="Textocomentario"/>
              <w:numPr>
                <w:ilvl w:val="0"/>
                <w:numId w:val="424"/>
              </w:numPr>
              <w:spacing w:line="254" w:lineRule="auto"/>
              <w:ind w:left="356"/>
              <w:rPr>
                <w:rFonts w:asciiTheme="minorHAnsi" w:hAnsiTheme="minorHAnsi" w:cstheme="minorHAnsi"/>
                <w:lang w:val="es-ES"/>
              </w:rPr>
            </w:pPr>
            <w:r w:rsidRPr="009A27ED">
              <w:rPr>
                <w:rFonts w:asciiTheme="minorHAnsi" w:hAnsiTheme="minorHAnsi" w:cstheme="minorHAnsi"/>
                <w:lang w:val="es-ES"/>
              </w:rPr>
              <w:t>Elaboración de programas locales para la restauración de ecosistemas afectados por incendios.</w:t>
            </w:r>
          </w:p>
          <w:p w14:paraId="3AA481BC" w14:textId="77777777" w:rsidR="00BA1C29" w:rsidRPr="009A27ED" w:rsidRDefault="00BA1C29" w:rsidP="00C97A18">
            <w:pPr>
              <w:pStyle w:val="Textocomentario"/>
              <w:numPr>
                <w:ilvl w:val="0"/>
                <w:numId w:val="424"/>
              </w:numPr>
              <w:spacing w:line="254" w:lineRule="auto"/>
              <w:ind w:left="356"/>
              <w:rPr>
                <w:rFonts w:asciiTheme="minorHAnsi" w:hAnsiTheme="minorHAnsi" w:cstheme="minorHAnsi"/>
                <w:lang w:val="es-ES"/>
              </w:rPr>
            </w:pPr>
            <w:r w:rsidRPr="009A27ED">
              <w:rPr>
                <w:rFonts w:asciiTheme="minorHAnsi" w:hAnsiTheme="minorHAnsi" w:cstheme="minorHAnsi"/>
                <w:lang w:val="es-ES"/>
              </w:rPr>
              <w:t>Implementación de programa locales para la restauración de ecosistemas afectados por incendios.</w:t>
            </w:r>
          </w:p>
        </w:tc>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EA1B804" w14:textId="45574B9C" w:rsidR="00BA1C29" w:rsidRPr="009A27ED" w:rsidRDefault="006020B6" w:rsidP="006020B6">
            <w:pPr>
              <w:pStyle w:val="Textocomentario"/>
              <w:numPr>
                <w:ilvl w:val="1"/>
                <w:numId w:val="236"/>
              </w:numPr>
              <w:spacing w:line="254" w:lineRule="auto"/>
              <w:rPr>
                <w:rFonts w:asciiTheme="minorHAnsi" w:hAnsiTheme="minorHAnsi" w:cstheme="minorHAnsi"/>
                <w:lang w:val="es-ES"/>
              </w:rPr>
            </w:pPr>
            <w:r w:rsidRPr="009A27ED">
              <w:rPr>
                <w:rFonts w:asciiTheme="minorHAnsi" w:hAnsiTheme="minorHAnsi" w:cstheme="minorHAnsi"/>
                <w:lang w:val="es-ES"/>
              </w:rPr>
              <w:t xml:space="preserve">Los viceministerios de recursos forestales y de áreas protegidas y biodiversidad coordinaran y/o desarrollaran acciones orientadas a la restauración de ecosistemas afectados por incendios forestales. </w:t>
            </w:r>
            <w:r w:rsidR="00BA1C29" w:rsidRPr="009A27ED">
              <w:rPr>
                <w:rFonts w:asciiTheme="minorHAnsi" w:hAnsiTheme="minorHAnsi" w:cstheme="minorHAnsi"/>
                <w:strike/>
                <w:lang w:val="es-ES"/>
              </w:rPr>
              <w:t xml:space="preserve">Dentro de los acuerdos institucionales </w:t>
            </w:r>
            <w:r w:rsidR="00BA1C29" w:rsidRPr="009A27ED">
              <w:rPr>
                <w:rFonts w:asciiTheme="minorHAnsi" w:hAnsiTheme="minorHAnsi" w:cstheme="minorHAnsi"/>
                <w:strike/>
                <w:lang w:val="es-ES"/>
              </w:rPr>
              <w:lastRenderedPageBreak/>
              <w:t xml:space="preserve">se incluye la </w:t>
            </w:r>
            <w:r w:rsidR="00917B25" w:rsidRPr="009A27ED">
              <w:rPr>
                <w:rFonts w:asciiTheme="minorHAnsi" w:hAnsiTheme="minorHAnsi" w:cstheme="minorHAnsi"/>
                <w:strike/>
                <w:lang w:val="es-ES"/>
              </w:rPr>
              <w:t xml:space="preserve">contribución </w:t>
            </w:r>
            <w:r w:rsidR="00BA1C29" w:rsidRPr="009A27ED">
              <w:rPr>
                <w:rFonts w:asciiTheme="minorHAnsi" w:hAnsiTheme="minorHAnsi" w:cstheme="minorHAnsi"/>
                <w:strike/>
                <w:lang w:val="es-ES"/>
              </w:rPr>
              <w:t>de las EE de</w:t>
            </w:r>
            <w:r w:rsidRPr="009A27ED">
              <w:rPr>
                <w:rFonts w:asciiTheme="minorHAnsi" w:hAnsiTheme="minorHAnsi" w:cstheme="minorHAnsi"/>
                <w:strike/>
                <w:lang w:val="es-ES"/>
              </w:rPr>
              <w:t xml:space="preserve"> i</w:t>
            </w:r>
            <w:proofErr w:type="spellStart"/>
            <w:r w:rsidR="00BA1C29" w:rsidRPr="009A27ED">
              <w:rPr>
                <w:strike/>
              </w:rPr>
              <w:t>mplementar</w:t>
            </w:r>
            <w:proofErr w:type="spellEnd"/>
            <w:r w:rsidR="00BA1C29" w:rsidRPr="009A27ED">
              <w:rPr>
                <w:strike/>
              </w:rPr>
              <w:t xml:space="preserve"> programas para la restauración de ecosistemas afectados por incendios</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EA308EB" w14:textId="29971214" w:rsidR="00E61B10" w:rsidRPr="009A27ED" w:rsidRDefault="00BA1C29" w:rsidP="00C97A18">
            <w:pPr>
              <w:pStyle w:val="Textocomentario"/>
              <w:numPr>
                <w:ilvl w:val="0"/>
                <w:numId w:val="428"/>
              </w:numPr>
              <w:spacing w:line="254" w:lineRule="auto"/>
              <w:jc w:val="left"/>
              <w:rPr>
                <w:rFonts w:asciiTheme="minorHAnsi" w:hAnsiTheme="minorHAnsi" w:cstheme="minorHAnsi"/>
                <w:lang w:val="es-ES"/>
              </w:rPr>
            </w:pPr>
            <w:r w:rsidRPr="009A27ED">
              <w:rPr>
                <w:rFonts w:asciiTheme="minorHAnsi" w:hAnsiTheme="minorHAnsi" w:cstheme="minorHAnsi"/>
                <w:lang w:val="es-ES"/>
              </w:rPr>
              <w:lastRenderedPageBreak/>
              <w:t>Elaboración de programas para la restauración de ecosistemas afectados por incendios.</w:t>
            </w:r>
          </w:p>
          <w:p w14:paraId="33A29EAD" w14:textId="77777777" w:rsidR="00BA1C29" w:rsidRPr="009A27ED" w:rsidRDefault="00BA1C29" w:rsidP="00C97A18">
            <w:pPr>
              <w:pStyle w:val="Textocomentario"/>
              <w:numPr>
                <w:ilvl w:val="0"/>
                <w:numId w:val="428"/>
              </w:numPr>
              <w:spacing w:line="254" w:lineRule="auto"/>
              <w:jc w:val="left"/>
              <w:rPr>
                <w:rFonts w:asciiTheme="minorHAnsi" w:hAnsiTheme="minorHAnsi" w:cstheme="minorHAnsi"/>
                <w:lang w:val="es-ES"/>
              </w:rPr>
            </w:pPr>
            <w:r w:rsidRPr="009A27ED">
              <w:rPr>
                <w:rFonts w:asciiTheme="minorHAnsi" w:hAnsiTheme="minorHAnsi" w:cstheme="minorHAnsi"/>
                <w:lang w:val="es-ES"/>
              </w:rPr>
              <w:t>Implementación de programa locales para la restauración de ecosistemas afectados por incendios.</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0AE18FC" w14:textId="77777777" w:rsidR="00BA1C29" w:rsidRPr="009A27ED" w:rsidRDefault="00BA1C29">
            <w:pPr>
              <w:pStyle w:val="Sinespaciado"/>
              <w:spacing w:line="254" w:lineRule="auto"/>
              <w:rPr>
                <w:sz w:val="20"/>
                <w:szCs w:val="20"/>
                <w:lang w:val="fr-FR"/>
              </w:rPr>
            </w:pPr>
            <w:proofErr w:type="spellStart"/>
            <w:r w:rsidRPr="009A27ED">
              <w:rPr>
                <w:sz w:val="20"/>
                <w:szCs w:val="20"/>
                <w:lang w:val="fr-FR"/>
              </w:rPr>
              <w:t>Hábitats</w:t>
            </w:r>
            <w:proofErr w:type="spellEnd"/>
            <w:r w:rsidRPr="009A27ED">
              <w:rPr>
                <w:sz w:val="20"/>
                <w:szCs w:val="20"/>
                <w:lang w:val="fr-FR"/>
              </w:rPr>
              <w:t xml:space="preserve"> </w:t>
            </w:r>
            <w:proofErr w:type="spellStart"/>
            <w:r w:rsidRPr="009A27ED">
              <w:rPr>
                <w:sz w:val="20"/>
                <w:szCs w:val="20"/>
                <w:lang w:val="fr-FR"/>
              </w:rPr>
              <w:t>naturales</w:t>
            </w:r>
            <w:proofErr w:type="spellEnd"/>
            <w:r w:rsidRPr="009A27ED">
              <w:rPr>
                <w:sz w:val="20"/>
                <w:szCs w:val="20"/>
                <w:lang w:val="fr-FR"/>
              </w:rPr>
              <w:t xml:space="preserve"> (PO 4.04)</w:t>
            </w:r>
          </w:p>
          <w:p w14:paraId="32012FA0" w14:textId="77777777" w:rsidR="00BA1C29" w:rsidRPr="009A27ED" w:rsidRDefault="00BA1C29">
            <w:pPr>
              <w:pStyle w:val="Sinespaciado"/>
              <w:spacing w:line="254" w:lineRule="auto"/>
              <w:rPr>
                <w:sz w:val="20"/>
                <w:szCs w:val="20"/>
                <w:lang w:val="fr-FR"/>
              </w:rPr>
            </w:pPr>
            <w:proofErr w:type="spellStart"/>
            <w:r w:rsidRPr="009A27ED">
              <w:rPr>
                <w:sz w:val="20"/>
                <w:szCs w:val="20"/>
                <w:lang w:val="fr-FR"/>
              </w:rPr>
              <w:t>Bosques</w:t>
            </w:r>
            <w:proofErr w:type="spellEnd"/>
            <w:r w:rsidRPr="009A27ED">
              <w:rPr>
                <w:sz w:val="20"/>
                <w:szCs w:val="20"/>
                <w:lang w:val="fr-FR"/>
              </w:rPr>
              <w:t xml:space="preserve"> (PO 4.36)</w:t>
            </w:r>
          </w:p>
          <w:p w14:paraId="728CC9D1"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lang w:val="es-ES"/>
              </w:rPr>
              <w:t>Evaluación Ambiental (PO 4.01)</w:t>
            </w:r>
          </w:p>
          <w:p w14:paraId="1E274137"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b/>
                <w:lang w:val="es-ES"/>
              </w:rPr>
              <w:t xml:space="preserve">Salvaguardas REDD+ </w:t>
            </w:r>
            <w:r w:rsidRPr="009A27ED">
              <w:rPr>
                <w:rFonts w:asciiTheme="minorHAnsi" w:hAnsiTheme="minorHAnsi" w:cstheme="minorHAnsi"/>
                <w:lang w:val="es-ES"/>
              </w:rPr>
              <w:t xml:space="preserve"> A, B, D, E, F y G</w:t>
            </w:r>
          </w:p>
        </w:tc>
      </w:tr>
      <w:tr w:rsidR="00BA1C29" w:rsidRPr="009A27ED" w14:paraId="02A8AB1B" w14:textId="77777777" w:rsidTr="00DF1AF5">
        <w:tc>
          <w:tcPr>
            <w:tcW w:w="143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53AA592" w14:textId="77777777" w:rsidR="00BA1C29" w:rsidRPr="009A27ED" w:rsidRDefault="00BA1C29">
            <w:pPr>
              <w:rPr>
                <w:rFonts w:eastAsia="Times New Roman"/>
                <w:sz w:val="20"/>
                <w:szCs w:val="20"/>
                <w:lang w:val="es-DO" w:eastAsia="es-ES_tradnl"/>
              </w:rPr>
            </w:pPr>
          </w:p>
        </w:tc>
        <w:tc>
          <w:tcPr>
            <w:tcW w:w="2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5EEB2C6" w14:textId="77777777" w:rsidR="00BA1C29" w:rsidRPr="009A27ED" w:rsidRDefault="00BA1C29" w:rsidP="00E67CB0">
            <w:pPr>
              <w:pStyle w:val="Prrafodelista"/>
              <w:numPr>
                <w:ilvl w:val="1"/>
                <w:numId w:val="209"/>
              </w:numPr>
              <w:spacing w:after="0" w:line="240" w:lineRule="auto"/>
              <w:rPr>
                <w:sz w:val="20"/>
                <w:szCs w:val="20"/>
                <w:lang w:val="es-DO"/>
              </w:rPr>
            </w:pPr>
            <w:r w:rsidRPr="009A27ED">
              <w:rPr>
                <w:sz w:val="20"/>
                <w:szCs w:val="20"/>
                <w:lang w:val="es-DO"/>
              </w:rPr>
              <w:t>Desarrollar un plan de protección fitosanitaria en áreas boscosas prioritarias.</w:t>
            </w:r>
          </w:p>
        </w:tc>
        <w:tc>
          <w:tcPr>
            <w:tcW w:w="17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14D1C83" w14:textId="77777777" w:rsidR="00BA1C29" w:rsidRPr="009A27ED" w:rsidRDefault="00BA1C29">
            <w:pPr>
              <w:rPr>
                <w:sz w:val="20"/>
                <w:szCs w:val="20"/>
                <w:lang w:val="es-DO"/>
              </w:rPr>
            </w:pPr>
            <w:r w:rsidRPr="009A27ED">
              <w:rPr>
                <w:b/>
                <w:sz w:val="20"/>
                <w:szCs w:val="20"/>
                <w:lang w:val="es-DO"/>
              </w:rPr>
              <w:t>Acción facilitadora</w:t>
            </w:r>
            <w:r w:rsidRPr="009A27ED">
              <w:rPr>
                <w:sz w:val="20"/>
                <w:szCs w:val="20"/>
                <w:lang w:val="es-DO"/>
              </w:rPr>
              <w:t>: Desarrollar un plan de protección fitosanitaria que incluya uso y manejo de pesticidas, manejo integrado de Plagas, métodos de prevención, control y monitoreo fitosanitario permanente de los recursos forestales nativos.</w:t>
            </w:r>
          </w:p>
          <w:p w14:paraId="164BAB7A" w14:textId="77777777" w:rsidR="00BA1C29" w:rsidRPr="009A27ED" w:rsidRDefault="00BA1C29">
            <w:pPr>
              <w:rPr>
                <w:sz w:val="20"/>
                <w:szCs w:val="20"/>
                <w:lang w:val="es-DO"/>
              </w:rPr>
            </w:pPr>
            <w:r w:rsidRPr="009A27ED">
              <w:rPr>
                <w:sz w:val="20"/>
                <w:szCs w:val="20"/>
                <w:lang w:val="es-DO"/>
              </w:rPr>
              <w:t>Capacitación de profesionales y personal técnico en prospección, detección, registro, prevención y control de plagas a nivel central y local incluyendo aduanas.</w:t>
            </w:r>
          </w:p>
          <w:p w14:paraId="6FFE31A6" w14:textId="77777777" w:rsidR="00BA1C29" w:rsidRPr="009A27ED" w:rsidRDefault="00BA1C29">
            <w:pPr>
              <w:rPr>
                <w:sz w:val="20"/>
                <w:szCs w:val="20"/>
                <w:lang w:val="es-DO"/>
              </w:rPr>
            </w:pPr>
            <w:r w:rsidRPr="009A27ED">
              <w:rPr>
                <w:sz w:val="20"/>
                <w:szCs w:val="20"/>
                <w:lang w:val="es-DO"/>
              </w:rPr>
              <w:t>Fortalecer las capacidades de laboratorios Nacionales de Fitopatología</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5C38E57" w14:textId="77777777" w:rsidR="00BA1C29" w:rsidRPr="009A27ED" w:rsidRDefault="00BA1C29">
            <w:pPr>
              <w:keepNext/>
              <w:ind w:left="37"/>
              <w:rPr>
                <w:sz w:val="20"/>
                <w:szCs w:val="20"/>
                <w:lang w:val="es-DO"/>
              </w:rPr>
            </w:pPr>
            <w:r w:rsidRPr="009A27ED">
              <w:rPr>
                <w:sz w:val="20"/>
                <w:szCs w:val="20"/>
                <w:lang w:val="es-DO"/>
              </w:rPr>
              <w:t>Nacional</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A385BC6" w14:textId="77777777" w:rsidR="00BA1C29" w:rsidRPr="009A27ED" w:rsidRDefault="00BA1C29" w:rsidP="00E67CB0">
            <w:pPr>
              <w:pStyle w:val="Textocomentario"/>
              <w:numPr>
                <w:ilvl w:val="0"/>
                <w:numId w:val="239"/>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Programas fitosanitarios pueden impactar negativamente la biodiversidad y los recursos hídricos, al ser implementados sin realizar una evaluación de impacto ambiental.</w:t>
            </w:r>
          </w:p>
          <w:p w14:paraId="1F258F4D" w14:textId="77777777" w:rsidR="00BA1C29" w:rsidRPr="009A27ED" w:rsidRDefault="00BA1C29" w:rsidP="00E67CB0">
            <w:pPr>
              <w:pStyle w:val="Textocomentario"/>
              <w:numPr>
                <w:ilvl w:val="0"/>
                <w:numId w:val="239"/>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Contaminación de suelo y recursos hídricos provoca afectaciones a la salud por uso inadecuado de pesticidas y fertilizantes químicos.</w:t>
            </w:r>
          </w:p>
          <w:p w14:paraId="45052FBB" w14:textId="239D637B" w:rsidR="00E61B10" w:rsidRPr="009A27ED" w:rsidRDefault="00BA1C29" w:rsidP="00C97A18">
            <w:pPr>
              <w:pStyle w:val="Textocomentario"/>
              <w:numPr>
                <w:ilvl w:val="0"/>
                <w:numId w:val="239"/>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Resistencia de los actores a la aplicación de medidas de control para protección fitosanitaria si no son consultados apropiadamente en su diseño.</w:t>
            </w:r>
          </w:p>
          <w:p w14:paraId="6F129A87" w14:textId="77777777" w:rsidR="00BA1C29" w:rsidRPr="009A27ED" w:rsidRDefault="00BA1C29" w:rsidP="00C97A18">
            <w:pPr>
              <w:pStyle w:val="Textocomentario"/>
              <w:numPr>
                <w:ilvl w:val="0"/>
                <w:numId w:val="239"/>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Falta de empleo por limitación de la actividad agropecuaria debido al programa de protección fitosanitaria.</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1B412A7" w14:textId="67FE33D5" w:rsidR="00E61B10" w:rsidRPr="009A27ED" w:rsidRDefault="00BA1C29" w:rsidP="00C97A18">
            <w:pPr>
              <w:pStyle w:val="Textocomentario"/>
              <w:numPr>
                <w:ilvl w:val="0"/>
                <w:numId w:val="240"/>
              </w:numPr>
              <w:spacing w:line="254" w:lineRule="auto"/>
              <w:ind w:left="328"/>
              <w:rPr>
                <w:rFonts w:asciiTheme="minorHAnsi" w:hAnsiTheme="minorHAnsi" w:cstheme="minorHAnsi"/>
                <w:lang w:val="es-ES"/>
              </w:rPr>
            </w:pPr>
            <w:r w:rsidRPr="009A27ED">
              <w:rPr>
                <w:rFonts w:asciiTheme="minorHAnsi" w:hAnsiTheme="minorHAnsi" w:cstheme="minorHAnsi"/>
                <w:lang w:val="es-ES"/>
              </w:rPr>
              <w:t>Capacitación de profesionales y personal técnico local en la prospección, detección, registro, prevención y control de plagas a nivel local.</w:t>
            </w:r>
          </w:p>
          <w:p w14:paraId="3C209CAB" w14:textId="77777777" w:rsidR="00BA1C29" w:rsidRPr="009A27ED" w:rsidRDefault="00BA1C29" w:rsidP="00C97A18">
            <w:pPr>
              <w:pStyle w:val="Textocomentario"/>
              <w:numPr>
                <w:ilvl w:val="0"/>
                <w:numId w:val="240"/>
              </w:numPr>
              <w:spacing w:line="254" w:lineRule="auto"/>
              <w:ind w:left="328"/>
              <w:rPr>
                <w:rFonts w:asciiTheme="minorHAnsi" w:hAnsiTheme="minorHAnsi" w:cstheme="minorHAnsi"/>
                <w:lang w:val="es-ES"/>
              </w:rPr>
            </w:pPr>
            <w:r w:rsidRPr="009A27ED">
              <w:rPr>
                <w:rFonts w:asciiTheme="minorHAnsi" w:hAnsiTheme="minorHAnsi" w:cstheme="minorHAnsi"/>
                <w:lang w:val="es-ES"/>
              </w:rPr>
              <w:t>Aplicación obligatoria del Plan de manejo integrado de Plagas incluido en el MGAS que incluye uso y manejo de pesticidas, manejo integrado de plagas, métodos de prevención, control y monitoreo fitosanitario permanente de los recursos forestales nativos.</w:t>
            </w:r>
          </w:p>
        </w:tc>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6839F4E" w14:textId="1E175D87" w:rsidR="00E61B10" w:rsidRPr="009A27ED" w:rsidRDefault="00BA1C29" w:rsidP="00C97A18">
            <w:pPr>
              <w:pStyle w:val="Textocomentario"/>
              <w:numPr>
                <w:ilvl w:val="0"/>
                <w:numId w:val="241"/>
              </w:numPr>
              <w:spacing w:line="254" w:lineRule="auto"/>
              <w:ind w:left="249"/>
              <w:rPr>
                <w:rFonts w:asciiTheme="minorHAnsi" w:hAnsiTheme="minorHAnsi" w:cstheme="minorHAnsi"/>
                <w:lang w:val="es-ES"/>
              </w:rPr>
            </w:pPr>
            <w:r w:rsidRPr="009A27ED">
              <w:rPr>
                <w:rFonts w:asciiTheme="minorHAnsi" w:hAnsiTheme="minorHAnsi" w:cstheme="minorHAnsi"/>
                <w:lang w:val="es-ES"/>
              </w:rPr>
              <w:t>Dentro del Programa de Fortalecimiento de Capacidades institucionales se incluye capacitación de profesionales y personal técnico local en la prospección, detección, registro, prevención y control de plagas a nivel local.</w:t>
            </w:r>
          </w:p>
          <w:p w14:paraId="34166BCC" w14:textId="77777777" w:rsidR="00BA1C29" w:rsidRPr="009A27ED" w:rsidRDefault="00BA1C29" w:rsidP="00C97A18">
            <w:pPr>
              <w:pStyle w:val="Textocomentario"/>
              <w:numPr>
                <w:ilvl w:val="0"/>
                <w:numId w:val="241"/>
              </w:numPr>
              <w:spacing w:line="254" w:lineRule="auto"/>
              <w:ind w:left="249"/>
              <w:rPr>
                <w:rFonts w:asciiTheme="minorHAnsi" w:hAnsiTheme="minorHAnsi" w:cstheme="minorHAnsi"/>
                <w:lang w:val="es-ES"/>
              </w:rPr>
            </w:pPr>
            <w:r w:rsidRPr="009A27ED">
              <w:rPr>
                <w:rFonts w:asciiTheme="minorHAnsi" w:hAnsiTheme="minorHAnsi" w:cstheme="minorHAnsi"/>
                <w:lang w:val="es-ES"/>
              </w:rPr>
              <w:t>Capacitación para la aplicación del Plan de Manejo integrado de plagas incluido en el MGAS que integra uso y manejo responsable de pesticidas, manejo integrado de plagas, métodos de prevención, control y monitoreo fitosanitario permanente de los recursos forestales nativos.</w:t>
            </w:r>
          </w:p>
          <w:p w14:paraId="5B133E19" w14:textId="6532A296" w:rsidR="0049245C" w:rsidRPr="009A27ED" w:rsidRDefault="0049245C" w:rsidP="00C97A18">
            <w:pPr>
              <w:pStyle w:val="Textocomentario"/>
              <w:numPr>
                <w:ilvl w:val="0"/>
                <w:numId w:val="241"/>
              </w:numPr>
              <w:spacing w:line="254" w:lineRule="auto"/>
              <w:ind w:left="249"/>
              <w:rPr>
                <w:rFonts w:asciiTheme="minorHAnsi" w:hAnsiTheme="minorHAnsi" w:cstheme="minorHAnsi"/>
                <w:lang w:val="es-ES"/>
              </w:rPr>
            </w:pPr>
            <w:r w:rsidRPr="009A27ED">
              <w:rPr>
                <w:rFonts w:asciiTheme="minorHAnsi" w:hAnsiTheme="minorHAnsi" w:cstheme="minorHAnsi"/>
                <w:lang w:val="es-ES"/>
              </w:rPr>
              <w:t xml:space="preserve">Elaborar </w:t>
            </w:r>
            <w:r w:rsidR="000D7D7A" w:rsidRPr="009A27ED">
              <w:rPr>
                <w:rFonts w:asciiTheme="minorHAnsi" w:hAnsiTheme="minorHAnsi" w:cstheme="minorHAnsi"/>
                <w:lang w:val="es-ES"/>
              </w:rPr>
              <w:t>y</w:t>
            </w:r>
            <w:r w:rsidRPr="009A27ED">
              <w:rPr>
                <w:rFonts w:asciiTheme="minorHAnsi" w:hAnsiTheme="minorHAnsi" w:cstheme="minorHAnsi"/>
                <w:lang w:val="es-ES"/>
              </w:rPr>
              <w:t xml:space="preserve"> aplicar una guía técnica orientada a</w:t>
            </w:r>
            <w:r w:rsidR="000D7D7A" w:rsidRPr="009A27ED">
              <w:rPr>
                <w:rFonts w:asciiTheme="minorHAnsi" w:hAnsiTheme="minorHAnsi" w:cstheme="minorHAnsi"/>
                <w:lang w:val="es-ES"/>
              </w:rPr>
              <w:t xml:space="preserve">l uso y manejo adecuado de plaguicidas en el contexto </w:t>
            </w:r>
            <w:r w:rsidR="00D81742" w:rsidRPr="009A27ED">
              <w:rPr>
                <w:rFonts w:asciiTheme="minorHAnsi" w:hAnsiTheme="minorHAnsi" w:cstheme="minorHAnsi"/>
                <w:lang w:val="es-ES"/>
              </w:rPr>
              <w:t>REDD+</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C422D63" w14:textId="77777777" w:rsidR="00BA1C29" w:rsidRPr="009A27ED" w:rsidRDefault="00BA1C29" w:rsidP="00C97A18">
            <w:pPr>
              <w:pStyle w:val="Textocomentario"/>
              <w:numPr>
                <w:ilvl w:val="0"/>
                <w:numId w:val="430"/>
              </w:numPr>
              <w:spacing w:line="254" w:lineRule="auto"/>
              <w:ind w:left="326"/>
              <w:jc w:val="left"/>
              <w:rPr>
                <w:rFonts w:asciiTheme="minorHAnsi" w:hAnsiTheme="minorHAnsi" w:cstheme="minorHAnsi"/>
                <w:lang w:val="es-ES"/>
              </w:rPr>
            </w:pPr>
            <w:r w:rsidRPr="009A27ED">
              <w:rPr>
                <w:rFonts w:asciiTheme="minorHAnsi" w:hAnsiTheme="minorHAnsi" w:cstheme="minorHAnsi"/>
                <w:lang w:val="es-ES"/>
              </w:rPr>
              <w:t>Capacitación de profesionales y personal técnico local en la prospección, detección, registro, prevención y control de plagas a nivel local.</w:t>
            </w:r>
          </w:p>
          <w:p w14:paraId="61D3DC72" w14:textId="77777777" w:rsidR="00BA1C29" w:rsidRPr="009A27ED" w:rsidRDefault="00BA1C29" w:rsidP="00C97A18">
            <w:pPr>
              <w:pStyle w:val="Textocomentario"/>
              <w:numPr>
                <w:ilvl w:val="0"/>
                <w:numId w:val="430"/>
              </w:numPr>
              <w:spacing w:line="254" w:lineRule="auto"/>
              <w:ind w:left="318" w:hanging="284"/>
              <w:jc w:val="left"/>
              <w:rPr>
                <w:rFonts w:asciiTheme="minorHAnsi" w:hAnsiTheme="minorHAnsi" w:cstheme="minorHAnsi"/>
                <w:lang w:val="es-ES"/>
              </w:rPr>
            </w:pPr>
            <w:r w:rsidRPr="009A27ED">
              <w:rPr>
                <w:rFonts w:asciiTheme="minorHAnsi" w:hAnsiTheme="minorHAnsi" w:cstheme="minorHAnsi"/>
                <w:lang w:val="es-ES"/>
              </w:rPr>
              <w:t>Aplicación obligatoria del Plan de manejo integrado de Plagas incluido en el MGAS que incluye uso y manejo de pesticidas, manejo integrado de plagas, métodos de prevención, control y monitoreo fitosanitario permanente de los recursos forestales nativos.</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7BCE512" w14:textId="77777777" w:rsidR="00BA1C29" w:rsidRPr="009A27ED" w:rsidRDefault="00BA1C29">
            <w:pPr>
              <w:pStyle w:val="Sinespaciado"/>
              <w:spacing w:line="254" w:lineRule="auto"/>
              <w:rPr>
                <w:sz w:val="20"/>
                <w:szCs w:val="20"/>
                <w:lang w:val="fr-FR"/>
              </w:rPr>
            </w:pPr>
            <w:proofErr w:type="spellStart"/>
            <w:r w:rsidRPr="009A27ED">
              <w:rPr>
                <w:sz w:val="20"/>
                <w:szCs w:val="20"/>
                <w:lang w:val="fr-FR"/>
              </w:rPr>
              <w:t>Hábitats</w:t>
            </w:r>
            <w:proofErr w:type="spellEnd"/>
            <w:r w:rsidRPr="009A27ED">
              <w:rPr>
                <w:sz w:val="20"/>
                <w:szCs w:val="20"/>
                <w:lang w:val="fr-FR"/>
              </w:rPr>
              <w:t xml:space="preserve"> </w:t>
            </w:r>
            <w:proofErr w:type="spellStart"/>
            <w:r w:rsidRPr="009A27ED">
              <w:rPr>
                <w:sz w:val="20"/>
                <w:szCs w:val="20"/>
                <w:lang w:val="fr-FR"/>
              </w:rPr>
              <w:t>naturales</w:t>
            </w:r>
            <w:proofErr w:type="spellEnd"/>
            <w:r w:rsidRPr="009A27ED">
              <w:rPr>
                <w:sz w:val="20"/>
                <w:szCs w:val="20"/>
                <w:lang w:val="fr-FR"/>
              </w:rPr>
              <w:t xml:space="preserve"> (PO 4.04)</w:t>
            </w:r>
          </w:p>
          <w:p w14:paraId="44ACAD58" w14:textId="77777777" w:rsidR="00BA1C29" w:rsidRPr="009A27ED" w:rsidRDefault="00BA1C29">
            <w:pPr>
              <w:pStyle w:val="Sinespaciado"/>
              <w:spacing w:line="254" w:lineRule="auto"/>
              <w:rPr>
                <w:sz w:val="20"/>
                <w:szCs w:val="20"/>
                <w:lang w:val="fr-FR"/>
              </w:rPr>
            </w:pPr>
            <w:proofErr w:type="spellStart"/>
            <w:r w:rsidRPr="009A27ED">
              <w:rPr>
                <w:sz w:val="20"/>
                <w:szCs w:val="20"/>
                <w:lang w:val="fr-FR"/>
              </w:rPr>
              <w:t>Bosques</w:t>
            </w:r>
            <w:proofErr w:type="spellEnd"/>
            <w:r w:rsidRPr="009A27ED">
              <w:rPr>
                <w:sz w:val="20"/>
                <w:szCs w:val="20"/>
                <w:lang w:val="fr-FR"/>
              </w:rPr>
              <w:t xml:space="preserve"> (PO 4.36)</w:t>
            </w:r>
          </w:p>
          <w:p w14:paraId="2F82DF96"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lang w:val="es-ES"/>
              </w:rPr>
              <w:t>Evaluación Ambiental (PO 4.01)</w:t>
            </w:r>
          </w:p>
          <w:p w14:paraId="4AC8566F" w14:textId="77777777" w:rsidR="00BA1C29" w:rsidRPr="009A27ED" w:rsidRDefault="00BA1C29">
            <w:pPr>
              <w:pStyle w:val="Textocomentario"/>
              <w:spacing w:line="254" w:lineRule="auto"/>
              <w:rPr>
                <w:rFonts w:asciiTheme="minorHAnsi" w:hAnsiTheme="minorHAnsi" w:cstheme="minorHAnsi"/>
                <w:lang w:val="es-ES"/>
              </w:rPr>
            </w:pPr>
            <w:r w:rsidRPr="009A27ED">
              <w:rPr>
                <w:rFonts w:asciiTheme="minorHAnsi" w:hAnsiTheme="minorHAnsi" w:cstheme="minorHAnsi"/>
                <w:b/>
                <w:lang w:val="es-ES"/>
              </w:rPr>
              <w:t>Salvaguardas REDD+</w:t>
            </w:r>
            <w:r w:rsidRPr="009A27ED">
              <w:rPr>
                <w:rFonts w:asciiTheme="minorHAnsi" w:hAnsiTheme="minorHAnsi" w:cstheme="minorHAnsi"/>
                <w:lang w:val="es-ES"/>
              </w:rPr>
              <w:t xml:space="preserve"> A, B, D, E</w:t>
            </w:r>
          </w:p>
        </w:tc>
      </w:tr>
    </w:tbl>
    <w:p w14:paraId="4D08E36F" w14:textId="3FD93D23" w:rsidR="00D07A57" w:rsidRPr="009A27ED" w:rsidRDefault="00D07A57" w:rsidP="006A6DF0">
      <w:pPr>
        <w:spacing w:line="360" w:lineRule="auto"/>
        <w:rPr>
          <w:color w:val="000000" w:themeColor="text1"/>
          <w:lang w:val="es-GT"/>
        </w:rPr>
      </w:pPr>
    </w:p>
    <w:p w14:paraId="0C0B4946" w14:textId="2757761B" w:rsidR="00D07A57" w:rsidRPr="009A27ED" w:rsidRDefault="00D07A57">
      <w:pPr>
        <w:spacing w:after="160" w:line="360" w:lineRule="auto"/>
        <w:rPr>
          <w:color w:val="000000" w:themeColor="text1"/>
          <w:lang w:val="es-GT"/>
        </w:rPr>
      </w:pPr>
    </w:p>
    <w:p w14:paraId="615AB842" w14:textId="705B9CA2" w:rsidR="00D07A57" w:rsidRPr="009A27ED" w:rsidRDefault="00D07A57">
      <w:pPr>
        <w:spacing w:after="160" w:line="360" w:lineRule="auto"/>
        <w:rPr>
          <w:color w:val="000000" w:themeColor="text1"/>
          <w:lang w:val="es-GT"/>
        </w:rPr>
      </w:pPr>
    </w:p>
    <w:p w14:paraId="0594D8D5" w14:textId="77777777" w:rsidR="00D07A57" w:rsidRPr="009A27ED" w:rsidRDefault="00D07A57">
      <w:pPr>
        <w:spacing w:after="160" w:line="360" w:lineRule="auto"/>
        <w:rPr>
          <w:color w:val="000000" w:themeColor="text1"/>
          <w:lang w:val="es-GT"/>
        </w:rPr>
      </w:pPr>
    </w:p>
    <w:p w14:paraId="31DB29A4" w14:textId="77777777" w:rsidR="00877E27" w:rsidRPr="009A27ED" w:rsidRDefault="00877E27" w:rsidP="006A6DF0">
      <w:pPr>
        <w:spacing w:line="360" w:lineRule="auto"/>
        <w:rPr>
          <w:color w:val="000000" w:themeColor="text1"/>
          <w:lang w:val="es-GT"/>
        </w:rPr>
      </w:pPr>
    </w:p>
    <w:p w14:paraId="74087DC2" w14:textId="25F6EEEF" w:rsidR="00DB5CE3" w:rsidRPr="009A27ED" w:rsidRDefault="00F718E1" w:rsidP="00D07A57">
      <w:pPr>
        <w:pStyle w:val="Ttulo3"/>
        <w:numPr>
          <w:ilvl w:val="0"/>
          <w:numId w:val="0"/>
        </w:numPr>
        <w:spacing w:line="360" w:lineRule="auto"/>
        <w:ind w:left="720"/>
        <w:jc w:val="both"/>
      </w:pPr>
      <w:bookmarkStart w:id="236" w:name="_Toc111837953"/>
      <w:r w:rsidRPr="009A27ED">
        <w:rPr>
          <w:rFonts w:ascii="Times New Roman" w:eastAsia="Times New Roman" w:hAnsi="Times New Roman"/>
          <w:sz w:val="24"/>
        </w:rPr>
        <w:lastRenderedPageBreak/>
        <w:t>4.1.1</w:t>
      </w:r>
      <w:r w:rsidR="00DB5CE3" w:rsidRPr="009A27ED">
        <w:rPr>
          <w:rFonts w:ascii="Times New Roman" w:eastAsia="Times New Roman" w:hAnsi="Times New Roman"/>
          <w:sz w:val="24"/>
        </w:rPr>
        <w:t>. Evaluación ambiental y social de las actividades directas</w:t>
      </w:r>
      <w:r w:rsidR="007F330D" w:rsidRPr="009A27ED">
        <w:rPr>
          <w:rFonts w:ascii="Times New Roman" w:eastAsia="Times New Roman" w:hAnsi="Times New Roman"/>
          <w:sz w:val="24"/>
        </w:rPr>
        <w:t xml:space="preserve"> (actividades tipo</w:t>
      </w:r>
      <w:r w:rsidR="00641098" w:rsidRPr="009A27ED">
        <w:rPr>
          <w:rFonts w:ascii="Times New Roman" w:eastAsia="Times New Roman" w:hAnsi="Times New Roman"/>
          <w:sz w:val="24"/>
        </w:rPr>
        <w:t xml:space="preserve"> REDD+</w:t>
      </w:r>
      <w:r w:rsidR="007F330D" w:rsidRPr="009A27ED">
        <w:rPr>
          <w:rFonts w:ascii="Times New Roman" w:eastAsia="Times New Roman" w:hAnsi="Times New Roman"/>
          <w:sz w:val="24"/>
        </w:rPr>
        <w:t>)</w:t>
      </w:r>
      <w:bookmarkEnd w:id="236"/>
    </w:p>
    <w:p w14:paraId="5A4351EE" w14:textId="20B64997" w:rsidR="000D4B88" w:rsidRPr="009A27ED" w:rsidRDefault="00947670" w:rsidP="006A6DF0">
      <w:pPr>
        <w:spacing w:line="360" w:lineRule="auto"/>
        <w:rPr>
          <w:color w:val="000000" w:themeColor="text1"/>
        </w:rPr>
      </w:pPr>
      <w:r w:rsidRPr="009A27ED">
        <w:rPr>
          <w:rFonts w:ascii="Times New Roman" w:eastAsia="Times New Roman" w:hAnsi="Times New Roman"/>
          <w:color w:val="000000" w:themeColor="text1"/>
          <w:sz w:val="24"/>
        </w:rPr>
        <w:t>Evaluación ambiental y social de l</w:t>
      </w:r>
      <w:r w:rsidR="00CC045D" w:rsidRPr="009A27ED">
        <w:rPr>
          <w:rFonts w:ascii="Times New Roman" w:eastAsia="Times New Roman" w:hAnsi="Times New Roman"/>
          <w:color w:val="000000" w:themeColor="text1"/>
          <w:sz w:val="24"/>
        </w:rPr>
        <w:t xml:space="preserve">as </w:t>
      </w:r>
      <w:r w:rsidR="00CC045D" w:rsidRPr="009A27ED">
        <w:rPr>
          <w:rFonts w:ascii="Times New Roman" w:eastAsia="Times New Roman" w:hAnsi="Times New Roman"/>
          <w:i/>
          <w:color w:val="000000" w:themeColor="text1"/>
          <w:sz w:val="24"/>
        </w:rPr>
        <w:t>actividades tipo</w:t>
      </w:r>
      <w:r w:rsidR="00CC045D" w:rsidRPr="009A27ED">
        <w:rPr>
          <w:rFonts w:ascii="Times New Roman" w:eastAsia="Times New Roman" w:hAnsi="Times New Roman"/>
          <w:color w:val="000000" w:themeColor="text1"/>
          <w:sz w:val="24"/>
        </w:rPr>
        <w:t xml:space="preserve"> </w:t>
      </w:r>
      <w:r w:rsidRPr="009A27ED">
        <w:rPr>
          <w:rFonts w:ascii="Times New Roman" w:eastAsia="Times New Roman" w:hAnsi="Times New Roman"/>
          <w:color w:val="000000" w:themeColor="text1"/>
          <w:sz w:val="24"/>
        </w:rPr>
        <w:t>seleccionadas para REDD+ que se implementar</w:t>
      </w:r>
      <w:r w:rsidR="002C3621" w:rsidRPr="009A27ED">
        <w:rPr>
          <w:rFonts w:ascii="Times New Roman" w:eastAsia="Times New Roman" w:hAnsi="Times New Roman"/>
          <w:color w:val="000000" w:themeColor="text1"/>
          <w:sz w:val="24"/>
        </w:rPr>
        <w:t>á</w:t>
      </w:r>
      <w:r w:rsidRPr="009A27ED">
        <w:rPr>
          <w:rFonts w:ascii="Times New Roman" w:eastAsia="Times New Roman" w:hAnsi="Times New Roman"/>
          <w:color w:val="000000" w:themeColor="text1"/>
          <w:sz w:val="24"/>
        </w:rPr>
        <w:t xml:space="preserve">n a través de los </w:t>
      </w:r>
      <w:r w:rsidR="00CC045D" w:rsidRPr="009A27ED">
        <w:rPr>
          <w:rFonts w:ascii="Times New Roman" w:eastAsia="Times New Roman" w:hAnsi="Times New Roman"/>
          <w:color w:val="000000" w:themeColor="text1"/>
          <w:sz w:val="24"/>
        </w:rPr>
        <w:t xml:space="preserve">planes, sistemas, </w:t>
      </w:r>
      <w:r w:rsidRPr="009A27ED">
        <w:rPr>
          <w:rFonts w:ascii="Times New Roman" w:eastAsia="Times New Roman" w:hAnsi="Times New Roman"/>
          <w:color w:val="000000" w:themeColor="text1"/>
          <w:sz w:val="24"/>
        </w:rPr>
        <w:t xml:space="preserve">programas y Proyectos nacionales para la implementación del </w:t>
      </w:r>
      <w:r w:rsidR="00124B63" w:rsidRPr="009A27ED">
        <w:rPr>
          <w:rFonts w:ascii="Times New Roman" w:eastAsia="Times New Roman" w:hAnsi="Times New Roman"/>
          <w:color w:val="000000" w:themeColor="text1"/>
          <w:sz w:val="24"/>
        </w:rPr>
        <w:t>Programa REDD+</w:t>
      </w:r>
      <w:r w:rsidRPr="009A27ED">
        <w:rPr>
          <w:rFonts w:ascii="Times New Roman" w:eastAsia="Times New Roman" w:hAnsi="Times New Roman"/>
          <w:color w:val="000000" w:themeColor="text1"/>
          <w:sz w:val="24"/>
        </w:rPr>
        <w:t xml:space="preserve"> y definición de las medidas de mitigación (fase </w:t>
      </w:r>
      <w:r w:rsidR="00BD289F" w:rsidRPr="009A27ED">
        <w:rPr>
          <w:rFonts w:ascii="Times New Roman" w:eastAsia="Times New Roman" w:hAnsi="Times New Roman"/>
          <w:color w:val="000000" w:themeColor="text1"/>
          <w:sz w:val="24"/>
        </w:rPr>
        <w:t>t</w:t>
      </w:r>
      <w:r w:rsidRPr="009A27ED">
        <w:rPr>
          <w:rFonts w:ascii="Times New Roman" w:eastAsia="Times New Roman" w:hAnsi="Times New Roman"/>
          <w:color w:val="000000" w:themeColor="text1"/>
          <w:sz w:val="24"/>
        </w:rPr>
        <w:t>écnica)</w:t>
      </w:r>
      <w:bookmarkEnd w:id="232"/>
      <w:r w:rsidR="00A169FB" w:rsidRPr="009A27ED">
        <w:rPr>
          <w:rFonts w:ascii="Times New Roman" w:eastAsia="Times New Roman" w:hAnsi="Times New Roman"/>
          <w:color w:val="000000" w:themeColor="text1"/>
          <w:sz w:val="24"/>
        </w:rPr>
        <w:t>.</w:t>
      </w:r>
    </w:p>
    <w:p w14:paraId="0F4DE656" w14:textId="3A4F1F19" w:rsidR="00D07A57" w:rsidRPr="009A27ED" w:rsidRDefault="00D07A57">
      <w:pPr>
        <w:spacing w:after="160" w:line="360" w:lineRule="auto"/>
        <w:rPr>
          <w:i/>
          <w:iCs/>
          <w:color w:val="000000" w:themeColor="text1"/>
          <w:sz w:val="20"/>
          <w:szCs w:val="18"/>
        </w:rPr>
      </w:pPr>
      <w:bookmarkStart w:id="237" w:name="_Toc14039"/>
      <w:r w:rsidRPr="009A27ED">
        <w:rPr>
          <w:rFonts w:ascii="Times New Roman" w:eastAsia="Times New Roman" w:hAnsi="Times New Roman"/>
          <w:i/>
          <w:iCs/>
          <w:color w:val="000000" w:themeColor="text1"/>
          <w:sz w:val="24"/>
          <w:szCs w:val="18"/>
        </w:rPr>
        <w:br w:type="page"/>
      </w:r>
    </w:p>
    <w:p w14:paraId="0868D302" w14:textId="77777777" w:rsidR="006B6C2B" w:rsidRPr="009A27ED" w:rsidRDefault="006B6C2B">
      <w:pPr>
        <w:spacing w:after="160" w:line="360" w:lineRule="auto"/>
        <w:rPr>
          <w:i/>
          <w:iCs/>
          <w:color w:val="000000" w:themeColor="text1"/>
          <w:sz w:val="20"/>
          <w:szCs w:val="18"/>
        </w:rPr>
      </w:pPr>
    </w:p>
    <w:p w14:paraId="41797887" w14:textId="505B0EAB" w:rsidR="0007781E" w:rsidRPr="009A27ED" w:rsidRDefault="0007781E" w:rsidP="0007781E">
      <w:pPr>
        <w:pStyle w:val="Descripcin"/>
        <w:keepNext/>
        <w:spacing w:line="360" w:lineRule="auto"/>
      </w:pPr>
      <w:bookmarkStart w:id="238" w:name="_Toc111887451"/>
      <w:r w:rsidRPr="009A27ED">
        <w:rPr>
          <w:rFonts w:ascii="Times New Roman" w:eastAsia="Times New Roman" w:hAnsi="Times New Roman"/>
          <w:sz w:val="24"/>
        </w:rPr>
        <w:t xml:space="preserve">Cuadro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Cuadro \* ARABIC </w:instrText>
      </w:r>
      <w:r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41</w:t>
      </w:r>
      <w:r w:rsidRPr="009A27ED">
        <w:rPr>
          <w:rFonts w:ascii="Times New Roman" w:eastAsia="Times New Roman" w:hAnsi="Times New Roman"/>
          <w:sz w:val="24"/>
        </w:rPr>
        <w:fldChar w:fldCharType="end"/>
      </w:r>
      <w:r w:rsidRPr="009A27ED">
        <w:rPr>
          <w:rFonts w:ascii="Times New Roman" w:eastAsia="Times New Roman" w:hAnsi="Times New Roman"/>
          <w:sz w:val="24"/>
        </w:rPr>
        <w:t>.  Evaluación ambiental y social de los tipos de actividades seleccionadas para REDD+.</w:t>
      </w:r>
      <w:bookmarkEnd w:id="238"/>
    </w:p>
    <w:tbl>
      <w:tblPr>
        <w:tblW w:w="22647"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
        <w:gridCol w:w="2520"/>
        <w:gridCol w:w="24"/>
        <w:gridCol w:w="2472"/>
        <w:gridCol w:w="24"/>
        <w:gridCol w:w="3017"/>
        <w:gridCol w:w="43"/>
        <w:gridCol w:w="4050"/>
        <w:gridCol w:w="18"/>
        <w:gridCol w:w="6642"/>
        <w:gridCol w:w="20"/>
        <w:gridCol w:w="3686"/>
        <w:gridCol w:w="113"/>
      </w:tblGrid>
      <w:tr w:rsidR="00A169FB" w:rsidRPr="009A27ED" w14:paraId="02A87966" w14:textId="77777777" w:rsidTr="00C97A18">
        <w:trPr>
          <w:gridBefore w:val="1"/>
          <w:wBefore w:w="18" w:type="dxa"/>
          <w:trHeight w:val="400"/>
          <w:tblHeader/>
        </w:trPr>
        <w:tc>
          <w:tcPr>
            <w:tcW w:w="2520"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14:paraId="42E15099" w14:textId="77777777" w:rsidR="00A169FB" w:rsidRPr="009A27ED" w:rsidRDefault="00A169FB" w:rsidP="00DF1AF5">
            <w:pPr>
              <w:spacing w:after="0" w:line="256" w:lineRule="auto"/>
              <w:jc w:val="center"/>
              <w:rPr>
                <w:b/>
                <w:bCs/>
                <w:color w:val="FFFFFF"/>
                <w:sz w:val="20"/>
                <w:szCs w:val="20"/>
                <w:lang w:val="es-DO"/>
              </w:rPr>
            </w:pPr>
            <w:r w:rsidRPr="009A27ED">
              <w:rPr>
                <w:b/>
                <w:bCs/>
                <w:color w:val="FFFFFF"/>
                <w:sz w:val="20"/>
                <w:szCs w:val="20"/>
                <w:lang w:val="es-DO"/>
              </w:rPr>
              <w:t>Actividad de tipo REDD+</w:t>
            </w:r>
          </w:p>
        </w:tc>
        <w:tc>
          <w:tcPr>
            <w:tcW w:w="2520" w:type="dxa"/>
            <w:gridSpan w:val="3"/>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14:paraId="58DDE31C" w14:textId="77777777" w:rsidR="00A169FB" w:rsidRPr="009A27ED" w:rsidRDefault="00A169FB" w:rsidP="00DF1AF5">
            <w:pPr>
              <w:spacing w:after="0" w:line="256" w:lineRule="auto"/>
              <w:jc w:val="center"/>
              <w:rPr>
                <w:b/>
                <w:bCs/>
                <w:color w:val="FFFFFF"/>
                <w:sz w:val="20"/>
                <w:szCs w:val="20"/>
                <w:lang w:val="es-DO"/>
              </w:rPr>
            </w:pPr>
            <w:r w:rsidRPr="009A27ED">
              <w:rPr>
                <w:b/>
                <w:bCs/>
                <w:color w:val="FFFFFF"/>
                <w:sz w:val="20"/>
                <w:szCs w:val="20"/>
                <w:lang w:val="es-DO"/>
              </w:rPr>
              <w:t>Actividades específicas</w:t>
            </w:r>
          </w:p>
        </w:tc>
        <w:tc>
          <w:tcPr>
            <w:tcW w:w="3060" w:type="dxa"/>
            <w:gridSpan w:val="2"/>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14:paraId="535E87BB" w14:textId="77777777" w:rsidR="00A169FB" w:rsidRPr="009A27ED" w:rsidRDefault="00A169FB" w:rsidP="00DF1AF5">
            <w:pPr>
              <w:spacing w:after="0" w:line="256" w:lineRule="auto"/>
              <w:jc w:val="center"/>
              <w:rPr>
                <w:b/>
                <w:bCs/>
                <w:color w:val="FFFFFF"/>
                <w:sz w:val="20"/>
                <w:szCs w:val="20"/>
                <w:lang w:val="es-DO"/>
              </w:rPr>
            </w:pPr>
            <w:r w:rsidRPr="009A27ED">
              <w:rPr>
                <w:b/>
                <w:bCs/>
                <w:color w:val="FFFFFF"/>
                <w:sz w:val="20"/>
                <w:szCs w:val="20"/>
                <w:lang w:val="es-DO"/>
              </w:rPr>
              <w:t>Procedimientos</w:t>
            </w:r>
          </w:p>
        </w:tc>
        <w:tc>
          <w:tcPr>
            <w:tcW w:w="4050"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14:paraId="6C89F39D" w14:textId="77777777" w:rsidR="00A169FB" w:rsidRPr="009A27ED" w:rsidRDefault="00A169FB" w:rsidP="00DF1AF5">
            <w:pPr>
              <w:spacing w:after="0" w:line="256" w:lineRule="auto"/>
              <w:jc w:val="center"/>
              <w:rPr>
                <w:b/>
                <w:bCs/>
                <w:color w:val="FFFFFF"/>
                <w:sz w:val="20"/>
                <w:szCs w:val="20"/>
                <w:lang w:val="es-DO"/>
              </w:rPr>
            </w:pPr>
            <w:r w:rsidRPr="009A27ED">
              <w:rPr>
                <w:b/>
                <w:bCs/>
                <w:color w:val="FFFFFF"/>
                <w:sz w:val="20"/>
                <w:szCs w:val="20"/>
                <w:lang w:val="es-DO"/>
              </w:rPr>
              <w:t>Riesgos ambientales y sociales</w:t>
            </w:r>
          </w:p>
        </w:tc>
        <w:tc>
          <w:tcPr>
            <w:tcW w:w="6660" w:type="dxa"/>
            <w:gridSpan w:val="2"/>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14:paraId="0353B058" w14:textId="77777777" w:rsidR="00A169FB" w:rsidRPr="009A27ED" w:rsidRDefault="00A169FB" w:rsidP="0080132C">
            <w:pPr>
              <w:spacing w:after="0" w:line="256" w:lineRule="auto"/>
              <w:rPr>
                <w:b/>
                <w:bCs/>
                <w:color w:val="FFFFFF"/>
                <w:sz w:val="20"/>
                <w:szCs w:val="20"/>
                <w:lang w:val="es-DO"/>
              </w:rPr>
            </w:pPr>
            <w:r w:rsidRPr="009A27ED">
              <w:rPr>
                <w:b/>
                <w:bCs/>
                <w:color w:val="FFFFFF"/>
                <w:sz w:val="20"/>
                <w:szCs w:val="20"/>
                <w:lang w:val="es-DO"/>
              </w:rPr>
              <w:t>Medidas de Mitigación</w:t>
            </w:r>
          </w:p>
        </w:tc>
        <w:tc>
          <w:tcPr>
            <w:tcW w:w="3819" w:type="dxa"/>
            <w:gridSpan w:val="3"/>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14:paraId="3CA0DF6F" w14:textId="4031C122" w:rsidR="00A169FB" w:rsidRPr="009A27ED" w:rsidRDefault="00A169FB" w:rsidP="00DF1AF5">
            <w:pPr>
              <w:spacing w:after="0" w:line="256" w:lineRule="auto"/>
              <w:jc w:val="center"/>
              <w:rPr>
                <w:b/>
                <w:bCs/>
                <w:color w:val="FFFFFF"/>
                <w:sz w:val="20"/>
                <w:szCs w:val="20"/>
                <w:lang w:val="es-DO"/>
              </w:rPr>
            </w:pPr>
            <w:r w:rsidRPr="009A27ED">
              <w:rPr>
                <w:b/>
                <w:bCs/>
                <w:color w:val="FFFFFF"/>
                <w:sz w:val="20"/>
                <w:szCs w:val="20"/>
                <w:lang w:val="es-DO"/>
              </w:rPr>
              <w:t>Política</w:t>
            </w:r>
            <w:r w:rsidR="0022382C" w:rsidRPr="009A27ED">
              <w:rPr>
                <w:b/>
                <w:bCs/>
                <w:color w:val="FFFFFF"/>
                <w:sz w:val="20"/>
                <w:szCs w:val="20"/>
                <w:lang w:val="es-DO"/>
              </w:rPr>
              <w:t>s</w:t>
            </w:r>
            <w:r w:rsidRPr="009A27ED">
              <w:rPr>
                <w:b/>
                <w:bCs/>
                <w:color w:val="FFFFFF"/>
                <w:sz w:val="20"/>
                <w:szCs w:val="20"/>
                <w:lang w:val="es-DO"/>
              </w:rPr>
              <w:t xml:space="preserve"> Operativa</w:t>
            </w:r>
            <w:r w:rsidR="0022382C" w:rsidRPr="009A27ED">
              <w:rPr>
                <w:b/>
                <w:bCs/>
                <w:color w:val="FFFFFF"/>
                <w:sz w:val="20"/>
                <w:szCs w:val="20"/>
                <w:lang w:val="es-DO"/>
              </w:rPr>
              <w:t>s</w:t>
            </w:r>
          </w:p>
        </w:tc>
      </w:tr>
      <w:tr w:rsidR="00A169FB" w:rsidRPr="009A27ED" w14:paraId="1EC5A956" w14:textId="77777777" w:rsidTr="0080132C">
        <w:trPr>
          <w:gridAfter w:val="1"/>
          <w:wAfter w:w="113" w:type="dxa"/>
          <w:trHeight w:val="11006"/>
        </w:trPr>
        <w:tc>
          <w:tcPr>
            <w:tcW w:w="2562" w:type="dxa"/>
            <w:gridSpan w:val="3"/>
            <w:tcBorders>
              <w:top w:val="single" w:sz="4" w:space="0" w:color="auto"/>
              <w:left w:val="single" w:sz="4" w:space="0" w:color="auto"/>
              <w:bottom w:val="single" w:sz="4" w:space="0" w:color="auto"/>
              <w:right w:val="single" w:sz="4" w:space="0" w:color="auto"/>
            </w:tcBorders>
            <w:shd w:val="clear" w:color="auto" w:fill="FFFFFF"/>
          </w:tcPr>
          <w:p w14:paraId="144600E5" w14:textId="6F21241C" w:rsidR="00A169FB" w:rsidRPr="009A27ED" w:rsidRDefault="00A169FB" w:rsidP="00DF1AF5">
            <w:pPr>
              <w:spacing w:after="0" w:line="256" w:lineRule="auto"/>
              <w:rPr>
                <w:color w:val="000000"/>
                <w:sz w:val="20"/>
                <w:szCs w:val="20"/>
                <w:lang w:val="es-DO"/>
              </w:rPr>
            </w:pPr>
            <w:r w:rsidRPr="009A27ED">
              <w:rPr>
                <w:b/>
                <w:bCs/>
                <w:color w:val="000000"/>
                <w:sz w:val="20"/>
                <w:szCs w:val="20"/>
                <w:lang w:val="es-DO"/>
              </w:rPr>
              <w:t xml:space="preserve">1. Manejo Forestal Sostenible (MFS): </w:t>
            </w:r>
            <w:r w:rsidRPr="009A27ED">
              <w:rPr>
                <w:color w:val="000000"/>
                <w:sz w:val="20"/>
                <w:szCs w:val="20"/>
                <w:lang w:val="es-DO"/>
              </w:rPr>
              <w:t xml:space="preserve">Actividades desarrolladas con participación de actores involucrados, dirigidas a mantener los macizos forestales con el fin de reducir las emisiones derivadas de la deforestación y la degradación, sirven como instrumento para estabilizar la frontera agrícola y ganadera, a la vez que ofrecen alternativas productivas a los pobladores locales.  Incluyen </w:t>
            </w:r>
            <w:r w:rsidR="004A62C6" w:rsidRPr="009A27ED">
              <w:rPr>
                <w:color w:val="000000"/>
                <w:sz w:val="20"/>
                <w:szCs w:val="20"/>
                <w:lang w:val="es-DO"/>
              </w:rPr>
              <w:t>op</w:t>
            </w:r>
            <w:r w:rsidRPr="009A27ED">
              <w:rPr>
                <w:color w:val="000000"/>
                <w:sz w:val="20"/>
                <w:szCs w:val="20"/>
                <w:lang w:val="es-DO"/>
              </w:rPr>
              <w:t>eraciones silvícolas destinadas a aumentar la productividad de la biomasa forestal, tales como aprovechamiento forestal, aprovechamiento de no maderables, control de incendios, manejo integrado de plagas, entre otras.</w:t>
            </w:r>
          </w:p>
          <w:p w14:paraId="5C9D0591" w14:textId="77777777" w:rsidR="00A169FB" w:rsidRPr="009A27ED" w:rsidRDefault="00A169FB" w:rsidP="00DF1AF5">
            <w:pPr>
              <w:spacing w:after="0" w:line="256" w:lineRule="auto"/>
              <w:rPr>
                <w:b/>
                <w:bCs/>
                <w:color w:val="000000"/>
                <w:sz w:val="20"/>
                <w:szCs w:val="20"/>
                <w:lang w:val="es-DO"/>
              </w:rPr>
            </w:pPr>
          </w:p>
          <w:p w14:paraId="0EEB7B3F" w14:textId="77777777" w:rsidR="00A169FB" w:rsidRPr="009A27ED" w:rsidRDefault="00A169FB" w:rsidP="00DF1AF5">
            <w:pPr>
              <w:spacing w:after="0" w:line="256" w:lineRule="auto"/>
              <w:rPr>
                <w:b/>
                <w:i/>
                <w:sz w:val="20"/>
                <w:szCs w:val="20"/>
                <w:lang w:val="es-DO"/>
              </w:rPr>
            </w:pPr>
            <w:r w:rsidRPr="009A27ED">
              <w:rPr>
                <w:bCs/>
                <w:i/>
                <w:color w:val="000000"/>
                <w:sz w:val="20"/>
                <w:szCs w:val="20"/>
                <w:lang w:val="es-DO"/>
              </w:rPr>
              <w:t>Acciones estratégicas:</w:t>
            </w:r>
            <w:r w:rsidRPr="009A27ED">
              <w:rPr>
                <w:b/>
                <w:bCs/>
                <w:i/>
                <w:color w:val="000000"/>
                <w:sz w:val="20"/>
                <w:szCs w:val="20"/>
                <w:lang w:val="es-DO"/>
              </w:rPr>
              <w:t xml:space="preserve"> </w:t>
            </w:r>
            <w:r w:rsidRPr="009A27ED">
              <w:rPr>
                <w:b/>
                <w:i/>
                <w:sz w:val="20"/>
                <w:szCs w:val="20"/>
                <w:lang w:val="es-DO"/>
              </w:rPr>
              <w:t>3.1, 3.6, 3.8</w:t>
            </w:r>
          </w:p>
        </w:tc>
        <w:tc>
          <w:tcPr>
            <w:tcW w:w="2472" w:type="dxa"/>
            <w:tcBorders>
              <w:top w:val="single" w:sz="4" w:space="0" w:color="auto"/>
              <w:left w:val="single" w:sz="4" w:space="0" w:color="auto"/>
              <w:bottom w:val="single" w:sz="4" w:space="0" w:color="auto"/>
              <w:right w:val="single" w:sz="4" w:space="0" w:color="auto"/>
            </w:tcBorders>
            <w:shd w:val="clear" w:color="auto" w:fill="FFFFFF"/>
            <w:hideMark/>
          </w:tcPr>
          <w:p w14:paraId="7AE3E51E" w14:textId="77777777" w:rsidR="00A169FB" w:rsidRPr="009A27ED" w:rsidRDefault="00A169FB" w:rsidP="00DF1AF5">
            <w:pPr>
              <w:spacing w:after="0" w:line="256" w:lineRule="auto"/>
              <w:rPr>
                <w:color w:val="000000"/>
                <w:sz w:val="20"/>
                <w:szCs w:val="20"/>
                <w:lang w:val="es-DO"/>
              </w:rPr>
            </w:pPr>
            <w:r w:rsidRPr="009A27ED">
              <w:rPr>
                <w:color w:val="000000"/>
                <w:sz w:val="20"/>
                <w:szCs w:val="20"/>
                <w:lang w:val="es-DO"/>
              </w:rPr>
              <w:t xml:space="preserve">1.1. Implementar </w:t>
            </w:r>
            <w:r w:rsidRPr="009A27ED">
              <w:rPr>
                <w:b/>
                <w:bCs/>
                <w:color w:val="000000"/>
                <w:sz w:val="20"/>
                <w:szCs w:val="20"/>
                <w:lang w:val="es-DO"/>
              </w:rPr>
              <w:t>programas silvícolas</w:t>
            </w:r>
            <w:r w:rsidRPr="009A27ED">
              <w:rPr>
                <w:color w:val="000000"/>
                <w:sz w:val="20"/>
                <w:szCs w:val="20"/>
                <w:lang w:val="es-DO"/>
              </w:rPr>
              <w:t xml:space="preserve"> </w:t>
            </w:r>
            <w:r w:rsidRPr="009A27ED">
              <w:rPr>
                <w:b/>
                <w:bCs/>
                <w:color w:val="000000"/>
                <w:sz w:val="20"/>
                <w:szCs w:val="20"/>
                <w:lang w:val="es-DO"/>
              </w:rPr>
              <w:t>destinadas a aumentar la productividad de la biomasa forestal</w:t>
            </w:r>
            <w:r w:rsidRPr="009A27ED">
              <w:rPr>
                <w:color w:val="000000"/>
                <w:sz w:val="20"/>
                <w:szCs w:val="20"/>
                <w:lang w:val="es-DO"/>
              </w:rPr>
              <w:t>, tales como aprovechamiento forestal, aprovechamiento y comercialización forestal de no maderables, control de incendios, manejo integrado de plagas y mantenimiento de las masas forestales, e investigación y desarrollo.</w:t>
            </w:r>
          </w:p>
          <w:p w14:paraId="13D9A9CF" w14:textId="77777777" w:rsidR="00A169FB" w:rsidRPr="009A27ED" w:rsidRDefault="00A169FB" w:rsidP="00DF1AF5">
            <w:pPr>
              <w:spacing w:after="0" w:line="256" w:lineRule="auto"/>
              <w:rPr>
                <w:color w:val="000000"/>
                <w:sz w:val="20"/>
                <w:szCs w:val="20"/>
                <w:lang w:val="es-DO"/>
              </w:rPr>
            </w:pPr>
            <w:r w:rsidRPr="009A27ED">
              <w:rPr>
                <w:b/>
                <w:bCs/>
                <w:color w:val="000000"/>
                <w:sz w:val="20"/>
                <w:szCs w:val="20"/>
                <w:lang w:val="es-DO"/>
              </w:rPr>
              <w:t>1.2. Monitoreo y seguimiento:</w:t>
            </w:r>
            <w:r w:rsidRPr="009A27ED">
              <w:rPr>
                <w:color w:val="000000"/>
                <w:sz w:val="20"/>
                <w:szCs w:val="20"/>
                <w:lang w:val="es-DO"/>
              </w:rPr>
              <w:t xml:space="preserve"> actividades de monitoreo forestal, de carbono, de biodiversidad, de agua.</w:t>
            </w:r>
          </w:p>
        </w:tc>
        <w:tc>
          <w:tcPr>
            <w:tcW w:w="3041"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2054320F" w14:textId="77777777" w:rsidR="00A169FB" w:rsidRPr="009A27ED" w:rsidRDefault="00A169FB" w:rsidP="00DF1AF5">
            <w:pPr>
              <w:spacing w:after="0" w:line="256" w:lineRule="auto"/>
              <w:rPr>
                <w:sz w:val="20"/>
                <w:szCs w:val="20"/>
                <w:lang w:val="es-DO"/>
              </w:rPr>
            </w:pPr>
            <w:r w:rsidRPr="009A27ED">
              <w:rPr>
                <w:i/>
                <w:sz w:val="20"/>
                <w:szCs w:val="20"/>
                <w:u w:val="single"/>
                <w:lang w:val="es-DO"/>
              </w:rPr>
              <w:t>Producción de plántulas</w:t>
            </w:r>
            <w:r w:rsidRPr="009A27ED">
              <w:rPr>
                <w:sz w:val="20"/>
                <w:szCs w:val="20"/>
                <w:lang w:val="es-DO"/>
              </w:rPr>
              <w:t>:</w:t>
            </w:r>
          </w:p>
          <w:p w14:paraId="59112457" w14:textId="77777777" w:rsidR="00A169FB" w:rsidRPr="009A27ED" w:rsidRDefault="00A169FB" w:rsidP="00E67CB0">
            <w:pPr>
              <w:pStyle w:val="Prrafodelista"/>
              <w:numPr>
                <w:ilvl w:val="0"/>
                <w:numId w:val="243"/>
              </w:numPr>
              <w:spacing w:after="0" w:line="256" w:lineRule="auto"/>
              <w:jc w:val="left"/>
              <w:rPr>
                <w:sz w:val="20"/>
                <w:szCs w:val="20"/>
                <w:lang w:val="es-DO"/>
              </w:rPr>
            </w:pPr>
            <w:r w:rsidRPr="009A27ED">
              <w:rPr>
                <w:sz w:val="20"/>
                <w:szCs w:val="20"/>
                <w:lang w:val="es-DO"/>
              </w:rPr>
              <w:t>Colección o Compra de semillas</w:t>
            </w:r>
          </w:p>
          <w:p w14:paraId="01AC14F8" w14:textId="77777777" w:rsidR="00A169FB" w:rsidRPr="009A27ED" w:rsidRDefault="00A169FB" w:rsidP="00E67CB0">
            <w:pPr>
              <w:pStyle w:val="Prrafodelista"/>
              <w:numPr>
                <w:ilvl w:val="0"/>
                <w:numId w:val="243"/>
              </w:numPr>
              <w:spacing w:after="0" w:line="256" w:lineRule="auto"/>
              <w:jc w:val="left"/>
              <w:rPr>
                <w:sz w:val="20"/>
                <w:szCs w:val="20"/>
                <w:lang w:val="es-DO"/>
              </w:rPr>
            </w:pPr>
            <w:r w:rsidRPr="009A27ED">
              <w:rPr>
                <w:sz w:val="20"/>
                <w:szCs w:val="20"/>
                <w:lang w:val="es-DO"/>
              </w:rPr>
              <w:t>Establecimiento de semilleros y almácigos</w:t>
            </w:r>
          </w:p>
          <w:p w14:paraId="41AD2F22" w14:textId="77777777" w:rsidR="00A169FB" w:rsidRPr="009A27ED" w:rsidRDefault="00A169FB" w:rsidP="00E67CB0">
            <w:pPr>
              <w:pStyle w:val="Prrafodelista"/>
              <w:numPr>
                <w:ilvl w:val="0"/>
                <w:numId w:val="243"/>
              </w:numPr>
              <w:spacing w:after="0" w:line="256" w:lineRule="auto"/>
              <w:jc w:val="left"/>
              <w:rPr>
                <w:sz w:val="20"/>
                <w:szCs w:val="20"/>
                <w:lang w:val="es-DO"/>
              </w:rPr>
            </w:pPr>
            <w:r w:rsidRPr="009A27ED">
              <w:rPr>
                <w:sz w:val="20"/>
                <w:szCs w:val="20"/>
                <w:lang w:val="es-DO"/>
              </w:rPr>
              <w:t>Riegos, fertilización y manejo integrado de plagas a nivel de vivero</w:t>
            </w:r>
          </w:p>
          <w:p w14:paraId="2BF5F84F" w14:textId="77777777" w:rsidR="00A169FB" w:rsidRPr="009A27ED" w:rsidRDefault="00A169FB" w:rsidP="00DF1AF5">
            <w:pPr>
              <w:spacing w:after="0" w:line="256" w:lineRule="auto"/>
              <w:rPr>
                <w:sz w:val="20"/>
                <w:szCs w:val="20"/>
                <w:u w:val="single"/>
                <w:lang w:val="es-DO"/>
              </w:rPr>
            </w:pPr>
            <w:r w:rsidRPr="009A27ED">
              <w:rPr>
                <w:sz w:val="20"/>
                <w:szCs w:val="20"/>
                <w:u w:val="single"/>
                <w:lang w:val="es-DO"/>
              </w:rPr>
              <w:t>Diseño de plantación</w:t>
            </w:r>
          </w:p>
          <w:p w14:paraId="1643A7B9" w14:textId="77777777" w:rsidR="00A169FB" w:rsidRPr="009A27ED" w:rsidRDefault="00A169FB" w:rsidP="00E67CB0">
            <w:pPr>
              <w:pStyle w:val="Prrafodelista"/>
              <w:numPr>
                <w:ilvl w:val="0"/>
                <w:numId w:val="244"/>
              </w:numPr>
              <w:spacing w:after="0" w:line="256" w:lineRule="auto"/>
              <w:jc w:val="left"/>
              <w:rPr>
                <w:sz w:val="20"/>
                <w:szCs w:val="20"/>
                <w:lang w:val="es-DO"/>
              </w:rPr>
            </w:pPr>
            <w:r w:rsidRPr="009A27ED">
              <w:rPr>
                <w:sz w:val="20"/>
                <w:szCs w:val="20"/>
                <w:lang w:val="es-DO"/>
              </w:rPr>
              <w:t>Identificación de predios dispuestos a desarrollar la actividad.</w:t>
            </w:r>
          </w:p>
          <w:p w14:paraId="3C862073" w14:textId="77777777" w:rsidR="00A169FB" w:rsidRPr="009A27ED" w:rsidRDefault="00A169FB" w:rsidP="00E67CB0">
            <w:pPr>
              <w:pStyle w:val="Prrafodelista"/>
              <w:numPr>
                <w:ilvl w:val="0"/>
                <w:numId w:val="244"/>
              </w:numPr>
              <w:spacing w:after="0" w:line="256" w:lineRule="auto"/>
              <w:jc w:val="left"/>
              <w:rPr>
                <w:sz w:val="20"/>
                <w:szCs w:val="20"/>
                <w:lang w:val="es-DO"/>
              </w:rPr>
            </w:pPr>
            <w:r w:rsidRPr="009A27ED">
              <w:rPr>
                <w:sz w:val="20"/>
                <w:szCs w:val="20"/>
                <w:lang w:val="es-DO"/>
              </w:rPr>
              <w:t>Sensibilización y capacitación a la comunidad</w:t>
            </w:r>
          </w:p>
          <w:p w14:paraId="0097B71E" w14:textId="77777777" w:rsidR="00A169FB" w:rsidRPr="009A27ED" w:rsidRDefault="00A169FB" w:rsidP="00E67CB0">
            <w:pPr>
              <w:pStyle w:val="Prrafodelista"/>
              <w:numPr>
                <w:ilvl w:val="0"/>
                <w:numId w:val="244"/>
              </w:numPr>
              <w:spacing w:after="0" w:line="256" w:lineRule="auto"/>
              <w:jc w:val="left"/>
              <w:rPr>
                <w:sz w:val="20"/>
                <w:szCs w:val="20"/>
                <w:lang w:val="es-DO"/>
              </w:rPr>
            </w:pPr>
            <w:r w:rsidRPr="009A27ED">
              <w:rPr>
                <w:sz w:val="20"/>
                <w:szCs w:val="20"/>
                <w:lang w:val="es-DO"/>
              </w:rPr>
              <w:t>Conformación de Brigadas comunitarias</w:t>
            </w:r>
          </w:p>
          <w:p w14:paraId="5758BD7C" w14:textId="77777777" w:rsidR="00A169FB" w:rsidRPr="009A27ED" w:rsidRDefault="00A169FB" w:rsidP="00DF1AF5">
            <w:pPr>
              <w:spacing w:after="0" w:line="256" w:lineRule="auto"/>
              <w:rPr>
                <w:sz w:val="20"/>
                <w:szCs w:val="20"/>
                <w:lang w:val="es-DO"/>
              </w:rPr>
            </w:pPr>
            <w:r w:rsidRPr="009A27ED">
              <w:rPr>
                <w:i/>
                <w:sz w:val="20"/>
                <w:szCs w:val="20"/>
                <w:u w:val="single"/>
                <w:lang w:val="es-DO"/>
              </w:rPr>
              <w:t>Establecimiento</w:t>
            </w:r>
            <w:r w:rsidRPr="009A27ED">
              <w:rPr>
                <w:sz w:val="20"/>
                <w:szCs w:val="20"/>
                <w:lang w:val="es-DO"/>
              </w:rPr>
              <w:t xml:space="preserve"> </w:t>
            </w:r>
          </w:p>
          <w:p w14:paraId="026A11BF" w14:textId="77777777" w:rsidR="00A169FB" w:rsidRPr="009A27ED" w:rsidRDefault="00A169FB" w:rsidP="00E67CB0">
            <w:pPr>
              <w:pStyle w:val="Prrafodelista"/>
              <w:numPr>
                <w:ilvl w:val="0"/>
                <w:numId w:val="245"/>
              </w:numPr>
              <w:spacing w:after="0" w:line="256" w:lineRule="auto"/>
              <w:jc w:val="left"/>
              <w:rPr>
                <w:sz w:val="20"/>
                <w:szCs w:val="20"/>
                <w:lang w:val="es-DO"/>
              </w:rPr>
            </w:pPr>
            <w:r w:rsidRPr="009A27ED">
              <w:rPr>
                <w:sz w:val="20"/>
                <w:szCs w:val="20"/>
                <w:lang w:val="es-DO"/>
              </w:rPr>
              <w:t>Preparación de terreno, incluyendo limpieza y otras prácticas necesarias en cada caso.</w:t>
            </w:r>
          </w:p>
          <w:p w14:paraId="3A378735" w14:textId="77777777" w:rsidR="00A169FB" w:rsidRPr="009A27ED" w:rsidRDefault="00A169FB" w:rsidP="00E67CB0">
            <w:pPr>
              <w:pStyle w:val="Prrafodelista"/>
              <w:numPr>
                <w:ilvl w:val="0"/>
                <w:numId w:val="245"/>
              </w:numPr>
              <w:spacing w:after="0" w:line="256" w:lineRule="auto"/>
              <w:jc w:val="left"/>
              <w:rPr>
                <w:sz w:val="20"/>
                <w:szCs w:val="20"/>
                <w:lang w:val="es-DO"/>
              </w:rPr>
            </w:pPr>
            <w:r w:rsidRPr="009A27ED">
              <w:rPr>
                <w:sz w:val="20"/>
                <w:szCs w:val="20"/>
                <w:lang w:val="es-DO"/>
              </w:rPr>
              <w:t>Plantación</w:t>
            </w:r>
          </w:p>
          <w:p w14:paraId="7F4AC648" w14:textId="77777777" w:rsidR="00A169FB" w:rsidRPr="009A27ED" w:rsidRDefault="00A169FB" w:rsidP="00E67CB0">
            <w:pPr>
              <w:pStyle w:val="Prrafodelista"/>
              <w:numPr>
                <w:ilvl w:val="0"/>
                <w:numId w:val="242"/>
              </w:numPr>
              <w:spacing w:after="0"/>
              <w:ind w:left="360"/>
              <w:rPr>
                <w:sz w:val="20"/>
                <w:szCs w:val="20"/>
                <w:lang w:val="es-DO"/>
              </w:rPr>
            </w:pPr>
            <w:r w:rsidRPr="009A27ED">
              <w:rPr>
                <w:sz w:val="20"/>
                <w:szCs w:val="20"/>
                <w:lang w:val="es-DO"/>
              </w:rPr>
              <w:t>Reposición de plántula y limpieza durante los primeros años ((1-2)</w:t>
            </w:r>
          </w:p>
          <w:p w14:paraId="72A5BAAE" w14:textId="77777777" w:rsidR="00A169FB" w:rsidRPr="009A27ED" w:rsidRDefault="00A169FB" w:rsidP="00DF1AF5">
            <w:pPr>
              <w:spacing w:after="0" w:line="256" w:lineRule="auto"/>
              <w:rPr>
                <w:i/>
                <w:sz w:val="20"/>
                <w:szCs w:val="20"/>
                <w:u w:val="single"/>
                <w:lang w:val="es-DO"/>
              </w:rPr>
            </w:pPr>
            <w:r w:rsidRPr="009A27ED">
              <w:rPr>
                <w:i/>
                <w:sz w:val="20"/>
                <w:szCs w:val="20"/>
                <w:u w:val="single"/>
                <w:lang w:val="es-DO"/>
              </w:rPr>
              <w:t>Mantenimiento de la plantación</w:t>
            </w:r>
          </w:p>
          <w:p w14:paraId="5AF78F3C" w14:textId="77777777" w:rsidR="00A169FB" w:rsidRPr="009A27ED" w:rsidRDefault="00A169FB" w:rsidP="00DF1AF5">
            <w:pPr>
              <w:spacing w:after="0" w:line="256" w:lineRule="auto"/>
              <w:rPr>
                <w:color w:val="000000"/>
                <w:sz w:val="20"/>
                <w:szCs w:val="20"/>
                <w:lang w:val="es-DO"/>
              </w:rPr>
            </w:pPr>
            <w:r w:rsidRPr="009A27ED">
              <w:rPr>
                <w:sz w:val="20"/>
                <w:szCs w:val="20"/>
                <w:lang w:val="es-DO"/>
              </w:rPr>
              <w:t>Raleos, limpieza, control de plagas.</w:t>
            </w:r>
          </w:p>
        </w:tc>
        <w:tc>
          <w:tcPr>
            <w:tcW w:w="4111"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663ECB88" w14:textId="77777777" w:rsidR="00A169FB" w:rsidRPr="009A27ED" w:rsidRDefault="00A169FB" w:rsidP="00E67CB0">
            <w:pPr>
              <w:pStyle w:val="Prrafodelista"/>
              <w:numPr>
                <w:ilvl w:val="0"/>
                <w:numId w:val="246"/>
              </w:numPr>
              <w:spacing w:after="0" w:line="256" w:lineRule="auto"/>
              <w:ind w:left="459" w:hanging="283"/>
              <w:jc w:val="left"/>
              <w:rPr>
                <w:sz w:val="20"/>
                <w:szCs w:val="20"/>
              </w:rPr>
            </w:pPr>
            <w:r w:rsidRPr="009A27ED">
              <w:rPr>
                <w:sz w:val="20"/>
                <w:szCs w:val="20"/>
              </w:rPr>
              <w:t>Planeación y manejo de las áreas es poco eficiente por falta de planes de manejo.</w:t>
            </w:r>
          </w:p>
          <w:p w14:paraId="12131F57" w14:textId="77777777" w:rsidR="00A169FB" w:rsidRPr="009A27ED" w:rsidRDefault="00A169FB" w:rsidP="00E67CB0">
            <w:pPr>
              <w:pStyle w:val="Prrafodelista"/>
              <w:numPr>
                <w:ilvl w:val="0"/>
                <w:numId w:val="246"/>
              </w:numPr>
              <w:spacing w:after="0" w:line="256" w:lineRule="auto"/>
              <w:ind w:left="459" w:hanging="283"/>
              <w:jc w:val="left"/>
              <w:rPr>
                <w:sz w:val="20"/>
                <w:szCs w:val="20"/>
              </w:rPr>
            </w:pPr>
            <w:r w:rsidRPr="009A27ED">
              <w:rPr>
                <w:sz w:val="20"/>
                <w:szCs w:val="20"/>
              </w:rPr>
              <w:t xml:space="preserve">Utilización de especies no apropiadas para el área y/o utilización de una sola especie forestal. </w:t>
            </w:r>
          </w:p>
          <w:p w14:paraId="02A5F48C" w14:textId="77777777" w:rsidR="00A169FB" w:rsidRPr="009A27ED" w:rsidRDefault="00A169FB" w:rsidP="00E67CB0">
            <w:pPr>
              <w:pStyle w:val="Prrafodelista"/>
              <w:numPr>
                <w:ilvl w:val="0"/>
                <w:numId w:val="246"/>
              </w:numPr>
              <w:spacing w:after="0" w:line="256" w:lineRule="auto"/>
              <w:ind w:left="459" w:hanging="283"/>
              <w:jc w:val="left"/>
              <w:rPr>
                <w:sz w:val="20"/>
                <w:szCs w:val="20"/>
              </w:rPr>
            </w:pPr>
            <w:r w:rsidRPr="009A27ED">
              <w:rPr>
                <w:sz w:val="20"/>
                <w:szCs w:val="20"/>
              </w:rPr>
              <w:t>Promoción de las plantaciones sobre los bosques</w:t>
            </w:r>
          </w:p>
          <w:p w14:paraId="33A34B38" w14:textId="77777777" w:rsidR="00A169FB" w:rsidRPr="009A27ED" w:rsidRDefault="00A169FB" w:rsidP="00E67CB0">
            <w:pPr>
              <w:pStyle w:val="Prrafodelista"/>
              <w:numPr>
                <w:ilvl w:val="0"/>
                <w:numId w:val="246"/>
              </w:numPr>
              <w:spacing w:after="0" w:line="256" w:lineRule="auto"/>
              <w:ind w:left="459" w:hanging="283"/>
              <w:jc w:val="left"/>
              <w:rPr>
                <w:sz w:val="20"/>
                <w:szCs w:val="20"/>
              </w:rPr>
            </w:pPr>
            <w:r w:rsidRPr="009A27ED">
              <w:rPr>
                <w:sz w:val="20"/>
                <w:szCs w:val="20"/>
              </w:rPr>
              <w:t>Se intensifica la extracción de leña en áreas forestales conservadas.</w:t>
            </w:r>
          </w:p>
          <w:p w14:paraId="1A896B34" w14:textId="77777777" w:rsidR="00A169FB" w:rsidRPr="009A27ED" w:rsidRDefault="00A169FB" w:rsidP="00E67CB0">
            <w:pPr>
              <w:pStyle w:val="Prrafodelista"/>
              <w:numPr>
                <w:ilvl w:val="0"/>
                <w:numId w:val="246"/>
              </w:numPr>
              <w:spacing w:after="0" w:line="256" w:lineRule="auto"/>
              <w:ind w:left="459" w:hanging="283"/>
              <w:jc w:val="left"/>
              <w:rPr>
                <w:sz w:val="20"/>
                <w:szCs w:val="20"/>
              </w:rPr>
            </w:pPr>
            <w:r w:rsidRPr="009A27ED">
              <w:rPr>
                <w:sz w:val="20"/>
                <w:szCs w:val="20"/>
              </w:rPr>
              <w:t>Erosión del suelo, pérdida de sus propiedades físicas y químicas y de la vegetación.</w:t>
            </w:r>
          </w:p>
          <w:p w14:paraId="24E27BCA" w14:textId="77777777" w:rsidR="00A169FB" w:rsidRPr="009A27ED" w:rsidRDefault="00A169FB" w:rsidP="00E67CB0">
            <w:pPr>
              <w:pStyle w:val="Prrafodelista"/>
              <w:numPr>
                <w:ilvl w:val="0"/>
                <w:numId w:val="246"/>
              </w:numPr>
              <w:spacing w:after="0" w:line="256" w:lineRule="auto"/>
              <w:ind w:left="459" w:hanging="283"/>
              <w:jc w:val="left"/>
              <w:rPr>
                <w:sz w:val="20"/>
                <w:szCs w:val="20"/>
              </w:rPr>
            </w:pPr>
            <w:r w:rsidRPr="009A27ED">
              <w:rPr>
                <w:sz w:val="20"/>
                <w:szCs w:val="20"/>
              </w:rPr>
              <w:t>Incendios forestales.</w:t>
            </w:r>
          </w:p>
          <w:p w14:paraId="1FB3BC51" w14:textId="77777777" w:rsidR="00A169FB" w:rsidRPr="009A27ED" w:rsidRDefault="00A169FB" w:rsidP="00E67CB0">
            <w:pPr>
              <w:pStyle w:val="Prrafodelista"/>
              <w:numPr>
                <w:ilvl w:val="0"/>
                <w:numId w:val="246"/>
              </w:numPr>
              <w:spacing w:after="0" w:line="256" w:lineRule="auto"/>
              <w:ind w:left="459" w:hanging="283"/>
              <w:jc w:val="left"/>
              <w:rPr>
                <w:sz w:val="20"/>
                <w:szCs w:val="20"/>
              </w:rPr>
            </w:pPr>
            <w:r w:rsidRPr="009A27ED">
              <w:rPr>
                <w:sz w:val="20"/>
                <w:szCs w:val="20"/>
              </w:rPr>
              <w:t>Presencia de plagas y enfermedades.</w:t>
            </w:r>
          </w:p>
          <w:p w14:paraId="4D4C314A" w14:textId="77777777" w:rsidR="00A169FB" w:rsidRPr="009A27ED" w:rsidRDefault="00A169FB" w:rsidP="00E67CB0">
            <w:pPr>
              <w:pStyle w:val="Prrafodelista"/>
              <w:numPr>
                <w:ilvl w:val="0"/>
                <w:numId w:val="246"/>
              </w:numPr>
              <w:spacing w:after="0" w:line="256" w:lineRule="auto"/>
              <w:ind w:left="459" w:hanging="283"/>
              <w:jc w:val="left"/>
              <w:rPr>
                <w:sz w:val="20"/>
                <w:szCs w:val="20"/>
              </w:rPr>
            </w:pPr>
            <w:r w:rsidRPr="009A27ED">
              <w:rPr>
                <w:sz w:val="20"/>
                <w:szCs w:val="20"/>
              </w:rPr>
              <w:t>Baja tasa de supervivencia de las especies forestales por un mal manejo.</w:t>
            </w:r>
          </w:p>
          <w:p w14:paraId="7F0BB0C1" w14:textId="77777777" w:rsidR="00A169FB" w:rsidRPr="009A27ED" w:rsidRDefault="00A169FB" w:rsidP="00E67CB0">
            <w:pPr>
              <w:pStyle w:val="Prrafodelista"/>
              <w:numPr>
                <w:ilvl w:val="0"/>
                <w:numId w:val="246"/>
              </w:numPr>
              <w:spacing w:after="0" w:line="256" w:lineRule="auto"/>
              <w:ind w:left="459" w:hanging="283"/>
              <w:jc w:val="left"/>
              <w:rPr>
                <w:sz w:val="20"/>
                <w:szCs w:val="20"/>
              </w:rPr>
            </w:pPr>
            <w:r w:rsidRPr="009A27ED">
              <w:rPr>
                <w:sz w:val="20"/>
                <w:szCs w:val="20"/>
              </w:rPr>
              <w:t>Riesgos sanitarios por mala manipulación de agroquímicos</w:t>
            </w:r>
          </w:p>
          <w:p w14:paraId="7E88EA40" w14:textId="77777777" w:rsidR="00A169FB" w:rsidRPr="009A27ED" w:rsidRDefault="00A169FB" w:rsidP="00E67CB0">
            <w:pPr>
              <w:pStyle w:val="Prrafodelista"/>
              <w:numPr>
                <w:ilvl w:val="0"/>
                <w:numId w:val="246"/>
              </w:numPr>
              <w:spacing w:before="120" w:after="0" w:line="254" w:lineRule="auto"/>
              <w:ind w:left="459" w:hanging="283"/>
              <w:jc w:val="left"/>
              <w:rPr>
                <w:sz w:val="20"/>
                <w:szCs w:val="20"/>
                <w:lang w:val="es-DO"/>
              </w:rPr>
            </w:pPr>
            <w:r w:rsidRPr="009A27ED">
              <w:rPr>
                <w:sz w:val="20"/>
                <w:szCs w:val="20"/>
              </w:rPr>
              <w:t>Contaminación de suelo y acuíferos. Afecciones a la salud por uso inadecuado de pesticidas.</w:t>
            </w:r>
          </w:p>
        </w:tc>
        <w:tc>
          <w:tcPr>
            <w:tcW w:w="6662"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2A8B3E41" w14:textId="70158334" w:rsidR="00CD240D" w:rsidRPr="009A27ED" w:rsidRDefault="00CD240D" w:rsidP="0080132C">
            <w:pPr>
              <w:pStyle w:val="Prrafodelista"/>
              <w:numPr>
                <w:ilvl w:val="0"/>
                <w:numId w:val="312"/>
              </w:numPr>
              <w:spacing w:after="0" w:line="240" w:lineRule="auto"/>
              <w:ind w:left="360"/>
              <w:rPr>
                <w:rFonts w:ascii="Calibri" w:eastAsia="Times New Roman" w:hAnsi="Calibri" w:cs="Calibri"/>
                <w:color w:val="000000"/>
                <w:sz w:val="20"/>
                <w:szCs w:val="20"/>
                <w:lang w:val="es-ES"/>
              </w:rPr>
            </w:pPr>
            <w:r w:rsidRPr="009A27ED">
              <w:rPr>
                <w:rFonts w:ascii="Calibri" w:eastAsia="Times New Roman" w:hAnsi="Calibri" w:cs="Calibri"/>
                <w:color w:val="000000"/>
                <w:sz w:val="20"/>
                <w:szCs w:val="20"/>
                <w:lang w:val="es-ES"/>
              </w:rPr>
              <w:t xml:space="preserve">La actividad se realiza bajo un plan de manejo forestal o una autorización técnica </w:t>
            </w:r>
            <w:r w:rsidR="00434410" w:rsidRPr="009A27ED">
              <w:rPr>
                <w:rFonts w:ascii="Calibri" w:eastAsia="Times New Roman" w:hAnsi="Calibri" w:cs="Calibri"/>
                <w:color w:val="000000"/>
                <w:sz w:val="20"/>
                <w:szCs w:val="20"/>
                <w:lang w:val="es-ES"/>
              </w:rPr>
              <w:t>otorgada</w:t>
            </w:r>
            <w:r w:rsidRPr="009A27ED">
              <w:rPr>
                <w:rFonts w:ascii="Calibri" w:eastAsia="Times New Roman" w:hAnsi="Calibri" w:cs="Calibri"/>
                <w:color w:val="000000"/>
                <w:sz w:val="20"/>
                <w:szCs w:val="20"/>
                <w:lang w:val="es-ES"/>
              </w:rPr>
              <w:t xml:space="preserve"> por el Ministerio de Medio Ambiente. La </w:t>
            </w:r>
            <w:r w:rsidR="00434410" w:rsidRPr="009A27ED">
              <w:rPr>
                <w:rFonts w:ascii="Calibri" w:eastAsia="Times New Roman" w:hAnsi="Calibri" w:cs="Calibri"/>
                <w:color w:val="000000"/>
                <w:sz w:val="20"/>
                <w:szCs w:val="20"/>
                <w:lang w:val="es-ES"/>
              </w:rPr>
              <w:t>planificación</w:t>
            </w:r>
            <w:r w:rsidRPr="009A27ED">
              <w:rPr>
                <w:rFonts w:ascii="Calibri" w:eastAsia="Times New Roman" w:hAnsi="Calibri" w:cs="Calibri"/>
                <w:color w:val="000000"/>
                <w:sz w:val="20"/>
                <w:szCs w:val="20"/>
                <w:lang w:val="es-ES"/>
              </w:rPr>
              <w:t xml:space="preserve"> de la actividad incluye el desarrollo de consultas y acuerdos con los usuarios actuales para llevar a cabo actividades productivas. </w:t>
            </w:r>
          </w:p>
          <w:p w14:paraId="3AE019C8" w14:textId="045760F9" w:rsidR="00CD240D" w:rsidRPr="009A27ED" w:rsidRDefault="00CD240D" w:rsidP="0080132C">
            <w:pPr>
              <w:pStyle w:val="Prrafodelista"/>
              <w:numPr>
                <w:ilvl w:val="0"/>
                <w:numId w:val="312"/>
              </w:numPr>
              <w:spacing w:after="0" w:line="240" w:lineRule="auto"/>
              <w:ind w:left="360"/>
              <w:rPr>
                <w:rFonts w:ascii="Calibri" w:eastAsia="Times New Roman" w:hAnsi="Calibri" w:cs="Calibri"/>
                <w:color w:val="000000"/>
                <w:sz w:val="20"/>
                <w:szCs w:val="20"/>
                <w:lang w:val="es-ES"/>
              </w:rPr>
            </w:pPr>
            <w:r w:rsidRPr="009A27ED">
              <w:rPr>
                <w:rFonts w:ascii="Calibri" w:eastAsia="Times New Roman" w:hAnsi="Calibri" w:cs="Calibri"/>
                <w:color w:val="000000"/>
                <w:sz w:val="20"/>
                <w:szCs w:val="20"/>
                <w:lang w:val="es-ES"/>
              </w:rPr>
              <w:t xml:space="preserve">El plan de manejo forestal o la autorización técnica correspondiente contempla mantener un minino de diversidad de especies forestales, evitando </w:t>
            </w:r>
            <w:r w:rsidR="00434410" w:rsidRPr="009A27ED">
              <w:rPr>
                <w:rFonts w:ascii="Calibri" w:eastAsia="Times New Roman" w:hAnsi="Calibri" w:cs="Calibri"/>
                <w:color w:val="000000"/>
                <w:sz w:val="20"/>
                <w:szCs w:val="20"/>
                <w:lang w:val="es-ES"/>
              </w:rPr>
              <w:t>así</w:t>
            </w:r>
            <w:r w:rsidRPr="009A27ED">
              <w:rPr>
                <w:rFonts w:ascii="Calibri" w:eastAsia="Times New Roman" w:hAnsi="Calibri" w:cs="Calibri"/>
                <w:color w:val="000000"/>
                <w:sz w:val="20"/>
                <w:szCs w:val="20"/>
                <w:lang w:val="es-ES"/>
              </w:rPr>
              <w:t xml:space="preserve"> el monocultivo.</w:t>
            </w:r>
          </w:p>
          <w:p w14:paraId="4249E326" w14:textId="77777777" w:rsidR="00CD240D" w:rsidRPr="009A27ED" w:rsidRDefault="00CD240D" w:rsidP="0080132C">
            <w:pPr>
              <w:pStyle w:val="Prrafodelista"/>
              <w:numPr>
                <w:ilvl w:val="0"/>
                <w:numId w:val="312"/>
              </w:numPr>
              <w:spacing w:after="0" w:line="240" w:lineRule="auto"/>
              <w:ind w:left="360"/>
              <w:rPr>
                <w:rFonts w:ascii="Calibri" w:eastAsia="Times New Roman" w:hAnsi="Calibri" w:cs="Calibri"/>
                <w:color w:val="000000"/>
                <w:sz w:val="20"/>
                <w:szCs w:val="20"/>
              </w:rPr>
            </w:pPr>
            <w:r w:rsidRPr="009A27ED">
              <w:rPr>
                <w:rFonts w:ascii="Calibri" w:eastAsia="Times New Roman" w:hAnsi="Calibri" w:cs="Calibri"/>
                <w:color w:val="000000"/>
                <w:sz w:val="20"/>
                <w:szCs w:val="20"/>
                <w:lang w:val="es-ES"/>
              </w:rPr>
              <w:t xml:space="preserve">Se protege el sitio de manejo, especialmente las de 10 o más hectáreas.  Plan de monitoreo en áreas de conservación. Registro y reporte de la extracción de madera en la zona.  </w:t>
            </w:r>
            <w:r w:rsidRPr="009A27ED">
              <w:rPr>
                <w:rFonts w:ascii="Calibri" w:eastAsia="Times New Roman" w:hAnsi="Calibri" w:cs="Calibri"/>
                <w:color w:val="000000"/>
                <w:sz w:val="20"/>
                <w:szCs w:val="20"/>
              </w:rPr>
              <w:t>Se realizan acciones de protección para la biodiversidad.</w:t>
            </w:r>
          </w:p>
          <w:p w14:paraId="279C0C50" w14:textId="77777777" w:rsidR="00CD240D" w:rsidRPr="009A27ED" w:rsidRDefault="00CD240D" w:rsidP="0080132C">
            <w:pPr>
              <w:pStyle w:val="Prrafodelista"/>
              <w:numPr>
                <w:ilvl w:val="0"/>
                <w:numId w:val="312"/>
              </w:numPr>
              <w:spacing w:after="0" w:line="240" w:lineRule="auto"/>
              <w:ind w:left="360"/>
              <w:rPr>
                <w:rFonts w:ascii="Calibri" w:eastAsia="Times New Roman" w:hAnsi="Calibri" w:cs="Calibri"/>
                <w:color w:val="000000"/>
                <w:sz w:val="20"/>
                <w:szCs w:val="20"/>
                <w:lang w:val="es-ES"/>
              </w:rPr>
            </w:pPr>
            <w:r w:rsidRPr="009A27ED">
              <w:rPr>
                <w:rFonts w:ascii="Calibri" w:eastAsia="Times New Roman" w:hAnsi="Calibri" w:cs="Calibri"/>
                <w:color w:val="000000"/>
                <w:sz w:val="20"/>
                <w:szCs w:val="20"/>
                <w:lang w:val="es-ES"/>
              </w:rPr>
              <w:t xml:space="preserve">Se mantiene material leñoso grueso que permiten crear </w:t>
            </w:r>
            <w:proofErr w:type="spellStart"/>
            <w:proofErr w:type="gramStart"/>
            <w:r w:rsidRPr="009A27ED">
              <w:rPr>
                <w:rFonts w:ascii="Calibri" w:eastAsia="Times New Roman" w:hAnsi="Calibri" w:cs="Calibri"/>
                <w:color w:val="000000"/>
                <w:sz w:val="20"/>
                <w:szCs w:val="20"/>
                <w:lang w:val="es-ES"/>
              </w:rPr>
              <w:t>micro-hábitat</w:t>
            </w:r>
            <w:proofErr w:type="spellEnd"/>
            <w:proofErr w:type="gramEnd"/>
            <w:r w:rsidRPr="009A27ED">
              <w:rPr>
                <w:rFonts w:ascii="Calibri" w:eastAsia="Times New Roman" w:hAnsi="Calibri" w:cs="Calibri"/>
                <w:color w:val="000000"/>
                <w:sz w:val="20"/>
                <w:szCs w:val="20"/>
                <w:lang w:val="es-ES"/>
              </w:rPr>
              <w:t xml:space="preserve"> sobre el suelo. Se mantiene la conectividad de hábitats dentro y a través del paisaje. Se protegen sitios de importancia crítica para especies de flora y fauna, con énfasis en las especies vulnerables y en peligro de extinción.</w:t>
            </w:r>
          </w:p>
          <w:p w14:paraId="289114EF" w14:textId="77777777" w:rsidR="00CD240D" w:rsidRPr="009A27ED" w:rsidRDefault="00CD240D" w:rsidP="0080132C">
            <w:pPr>
              <w:pStyle w:val="Prrafodelista"/>
              <w:numPr>
                <w:ilvl w:val="0"/>
                <w:numId w:val="312"/>
              </w:numPr>
              <w:spacing w:after="0" w:line="240" w:lineRule="auto"/>
              <w:ind w:left="360"/>
              <w:rPr>
                <w:rFonts w:ascii="Calibri" w:eastAsia="Times New Roman" w:hAnsi="Calibri" w:cs="Calibri"/>
                <w:color w:val="000000"/>
                <w:sz w:val="20"/>
                <w:szCs w:val="20"/>
                <w:lang w:val="es-ES"/>
              </w:rPr>
            </w:pPr>
            <w:r w:rsidRPr="009A27ED">
              <w:rPr>
                <w:rFonts w:ascii="Calibri" w:eastAsia="Times New Roman" w:hAnsi="Calibri" w:cs="Calibri"/>
                <w:color w:val="000000"/>
                <w:sz w:val="20"/>
                <w:szCs w:val="20"/>
                <w:lang w:val="es-ES"/>
              </w:rPr>
              <w:t>Conservar la cobertura forestal natural.</w:t>
            </w:r>
          </w:p>
          <w:p w14:paraId="60DCCD52" w14:textId="77777777" w:rsidR="00CD240D" w:rsidRPr="009A27ED" w:rsidRDefault="00CD240D" w:rsidP="0080132C">
            <w:pPr>
              <w:pStyle w:val="Prrafodelista"/>
              <w:numPr>
                <w:ilvl w:val="0"/>
                <w:numId w:val="312"/>
              </w:numPr>
              <w:spacing w:after="0" w:line="240" w:lineRule="auto"/>
              <w:ind w:left="360"/>
              <w:rPr>
                <w:rFonts w:ascii="Calibri" w:eastAsia="Times New Roman" w:hAnsi="Calibri" w:cs="Calibri"/>
                <w:color w:val="000000"/>
                <w:sz w:val="20"/>
                <w:szCs w:val="20"/>
                <w:lang w:val="es-ES"/>
              </w:rPr>
            </w:pPr>
            <w:r w:rsidRPr="009A27ED">
              <w:rPr>
                <w:rFonts w:ascii="Calibri" w:eastAsia="Times New Roman" w:hAnsi="Calibri" w:cs="Calibri"/>
                <w:sz w:val="20"/>
                <w:szCs w:val="20"/>
                <w:lang w:val="es-ES"/>
              </w:rPr>
              <w:t>Se conserva o enriquece la materia orgánica del suelo. Se practican técnicas de estabilización de riberas de ríos, arroyos y cañadas. Estabilización de taludes.  Se distribuyen los residuos de la cosecha forestal sobre el suelo. Se mantienen libre de residuos contaminantes las áreas bajo manejo.   Considerar la normatividad y medidas sobre el uso y manejo de los fertilizantes y plaguicidas. En las cuencas altas se realizan acciones como: retención de árboles muertos en pie y árboles que sobrepasan el dosel superior, construcción de trochas contrafuego, realización de obras de conservación y restauración de suelos, uso controlado de productos químicos.</w:t>
            </w:r>
          </w:p>
          <w:p w14:paraId="11BD9AFC" w14:textId="77777777" w:rsidR="00CD240D" w:rsidRPr="009A27ED" w:rsidRDefault="00CD240D" w:rsidP="0080132C">
            <w:pPr>
              <w:pStyle w:val="Prrafodelista"/>
              <w:numPr>
                <w:ilvl w:val="0"/>
                <w:numId w:val="312"/>
              </w:numPr>
              <w:spacing w:after="0" w:line="240" w:lineRule="auto"/>
              <w:ind w:left="360"/>
              <w:rPr>
                <w:rFonts w:ascii="Calibri" w:eastAsia="Times New Roman" w:hAnsi="Calibri" w:cs="Calibri"/>
                <w:sz w:val="20"/>
                <w:szCs w:val="20"/>
              </w:rPr>
            </w:pPr>
            <w:r w:rsidRPr="009A27ED">
              <w:rPr>
                <w:rFonts w:ascii="Calibri" w:eastAsia="Times New Roman" w:hAnsi="Calibri" w:cs="Calibri"/>
                <w:sz w:val="20"/>
                <w:szCs w:val="20"/>
                <w:lang w:val="es-ES"/>
              </w:rPr>
              <w:t xml:space="preserve">Se involucran actores locales y se establecen alternativas de producción sostenibles. Fortalecimiento de la capacitación en supervisión y monitoreo de salvaguardas para el manejo de los recursos naturales, en donde los actores locales forman parte del monitoreo y prevención de desastres. Ministerio de Medio Ambiente establece brigadas, para el control de fuego. </w:t>
            </w:r>
            <w:r w:rsidRPr="009A27ED">
              <w:rPr>
                <w:rFonts w:ascii="Calibri" w:eastAsia="Times New Roman" w:hAnsi="Calibri" w:cs="Calibri"/>
                <w:sz w:val="20"/>
                <w:szCs w:val="20"/>
              </w:rPr>
              <w:t>Construcción de trocha contrafuego</w:t>
            </w:r>
          </w:p>
          <w:p w14:paraId="31EF6102" w14:textId="77777777" w:rsidR="00CD240D" w:rsidRPr="009A27ED" w:rsidRDefault="00CD240D" w:rsidP="0080132C">
            <w:pPr>
              <w:pStyle w:val="Prrafodelista"/>
              <w:numPr>
                <w:ilvl w:val="0"/>
                <w:numId w:val="312"/>
              </w:numPr>
              <w:spacing w:after="0" w:line="240" w:lineRule="auto"/>
              <w:ind w:left="360"/>
              <w:rPr>
                <w:rFonts w:ascii="Calibri" w:eastAsia="Times New Roman" w:hAnsi="Calibri" w:cs="Calibri"/>
                <w:sz w:val="20"/>
                <w:szCs w:val="20"/>
                <w:lang w:val="es-ES"/>
              </w:rPr>
            </w:pPr>
            <w:r w:rsidRPr="009A27ED">
              <w:rPr>
                <w:rFonts w:ascii="Calibri" w:eastAsia="Times New Roman" w:hAnsi="Calibri" w:cs="Calibri"/>
                <w:sz w:val="20"/>
                <w:szCs w:val="20"/>
                <w:lang w:val="es-ES"/>
              </w:rPr>
              <w:t>Realizar manejo integrado de plagas, considerando la prevención y control biológico en lugar de los pesticidas y fertilizantes químicos.  Se realiza detección de plagas y enfermedades mediante monitoreos continuos, que implica la realización de recorridos en campo o sitios donde se establece la reforestación. Eliminación de plantas dentro del sembradío y sus alrededores que pueden ser hospederas alternas de plagas o enfermedades. Se realiza control mecánico y físico de plagas. Se realiza raleo sanitario dentro de las plantaciones que están afectados severamente y cuya condición no puede revertirse</w:t>
            </w:r>
          </w:p>
          <w:p w14:paraId="25411270" w14:textId="77777777" w:rsidR="00F82FC5" w:rsidRPr="009A27ED" w:rsidRDefault="00CD240D" w:rsidP="0080132C">
            <w:pPr>
              <w:pStyle w:val="Prrafodelista"/>
              <w:numPr>
                <w:ilvl w:val="0"/>
                <w:numId w:val="312"/>
              </w:numPr>
              <w:spacing w:after="0" w:line="240" w:lineRule="auto"/>
              <w:ind w:left="360"/>
              <w:rPr>
                <w:rFonts w:ascii="Calibri" w:eastAsia="Times New Roman" w:hAnsi="Calibri" w:cs="Calibri"/>
                <w:sz w:val="20"/>
                <w:szCs w:val="20"/>
              </w:rPr>
            </w:pPr>
            <w:r w:rsidRPr="009A27ED">
              <w:rPr>
                <w:rFonts w:ascii="Calibri" w:eastAsia="Times New Roman" w:hAnsi="Calibri" w:cs="Calibri"/>
                <w:sz w:val="20"/>
                <w:szCs w:val="20"/>
                <w:lang w:val="es-ES"/>
              </w:rPr>
              <w:t>Se realiza raleo para manejo y raleos sanitario dentro de las plantaciones. Los individuos afectados severamente y cuya condición no pueden revertirse son retirados. Se reponen las plantas muertas en cada ciclo de lluvia.  Se protege el sitio reforestado, especialmente los de 10 o más hectáreas.</w:t>
            </w:r>
          </w:p>
          <w:p w14:paraId="29D717A6" w14:textId="4113FBF7" w:rsidR="00A169FB" w:rsidRPr="009A27ED" w:rsidRDefault="00CD240D" w:rsidP="0080132C">
            <w:pPr>
              <w:pStyle w:val="Prrafodelista"/>
              <w:numPr>
                <w:ilvl w:val="0"/>
                <w:numId w:val="312"/>
              </w:numPr>
              <w:ind w:left="331" w:hanging="331"/>
            </w:pPr>
            <w:r w:rsidRPr="009A27ED">
              <w:rPr>
                <w:rFonts w:ascii="Calibri" w:eastAsia="Times New Roman" w:hAnsi="Calibri" w:cs="Calibri"/>
                <w:sz w:val="20"/>
                <w:szCs w:val="20"/>
              </w:rPr>
              <w:lastRenderedPageBreak/>
              <w:t xml:space="preserve">Se establecen protocolos para el uso de insumos químicos y se capacita en el uso de </w:t>
            </w:r>
            <w:proofErr w:type="gramStart"/>
            <w:r w:rsidRPr="009A27ED">
              <w:rPr>
                <w:rFonts w:ascii="Calibri" w:eastAsia="Times New Roman" w:hAnsi="Calibri" w:cs="Calibri"/>
                <w:sz w:val="20"/>
                <w:szCs w:val="20"/>
              </w:rPr>
              <w:t>los mismos</w:t>
            </w:r>
            <w:proofErr w:type="gramEnd"/>
          </w:p>
        </w:tc>
        <w:tc>
          <w:tcPr>
            <w:tcW w:w="3686" w:type="dxa"/>
            <w:tcBorders>
              <w:top w:val="single" w:sz="4" w:space="0" w:color="auto"/>
              <w:left w:val="single" w:sz="4" w:space="0" w:color="auto"/>
              <w:bottom w:val="single" w:sz="4" w:space="0" w:color="auto"/>
              <w:right w:val="single" w:sz="4" w:space="0" w:color="auto"/>
            </w:tcBorders>
            <w:shd w:val="clear" w:color="auto" w:fill="FFFFFF"/>
            <w:hideMark/>
          </w:tcPr>
          <w:p w14:paraId="3BB30110" w14:textId="77777777" w:rsidR="00A169FB" w:rsidRPr="009A27ED" w:rsidRDefault="00A169FB">
            <w:pPr>
              <w:spacing w:after="0" w:line="256" w:lineRule="auto"/>
              <w:rPr>
                <w:sz w:val="20"/>
                <w:szCs w:val="20"/>
                <w:lang w:eastAsia="es-ES_tradnl"/>
              </w:rPr>
            </w:pPr>
            <w:r w:rsidRPr="009A27ED">
              <w:rPr>
                <w:sz w:val="20"/>
                <w:szCs w:val="20"/>
              </w:rPr>
              <w:lastRenderedPageBreak/>
              <w:t>PO 4.01. (Evaluación ambiental, identificación de impactos ambientales y sociales, medidas de mitigación, seguimiento y registro, consultas, mecanismo de quejas y atención a denuncias).</w:t>
            </w:r>
          </w:p>
          <w:p w14:paraId="5D3CA0C5" w14:textId="77777777" w:rsidR="00A169FB" w:rsidRPr="009A27ED" w:rsidRDefault="00A169FB">
            <w:pPr>
              <w:spacing w:after="0" w:line="256" w:lineRule="auto"/>
              <w:rPr>
                <w:sz w:val="20"/>
                <w:szCs w:val="20"/>
              </w:rPr>
            </w:pPr>
            <w:r w:rsidRPr="009A27ED">
              <w:rPr>
                <w:sz w:val="20"/>
                <w:szCs w:val="20"/>
              </w:rPr>
              <w:t>PO 4.04. (Hábitats naturales, conservación de hábitats naturales críticos, promoción de biodiversidad, corredores biológicos, servicios ambientales, áreas protegidas).</w:t>
            </w:r>
          </w:p>
          <w:p w14:paraId="79F09D39" w14:textId="77777777" w:rsidR="00A169FB" w:rsidRPr="009A27ED" w:rsidRDefault="00A169FB">
            <w:pPr>
              <w:spacing w:after="0" w:line="256" w:lineRule="auto"/>
              <w:rPr>
                <w:sz w:val="20"/>
                <w:szCs w:val="20"/>
              </w:rPr>
            </w:pPr>
            <w:r w:rsidRPr="009A27ED">
              <w:rPr>
                <w:sz w:val="20"/>
                <w:szCs w:val="20"/>
              </w:rPr>
              <w:t>PO 4.9. (Control de plagas, uso controlado de agroquímicos, uso preferente de medios alternativos físicos y biológicos para control de plagas, seguridad de trabajadores y población y contaminación de suelo y agua).</w:t>
            </w:r>
          </w:p>
          <w:p w14:paraId="1ECC96FC" w14:textId="77777777" w:rsidR="00A169FB" w:rsidRPr="009A27ED" w:rsidRDefault="00A169FB">
            <w:pPr>
              <w:spacing w:after="0" w:line="256" w:lineRule="auto"/>
              <w:rPr>
                <w:sz w:val="20"/>
                <w:szCs w:val="20"/>
              </w:rPr>
            </w:pPr>
            <w:r w:rsidRPr="009A27ED">
              <w:rPr>
                <w:sz w:val="20"/>
                <w:szCs w:val="20"/>
              </w:rPr>
              <w:t>PO. 4.12. (Reasentamiento involuntario de personas y/o actividades, afectación o restricción de uso o actividades en áreas de amortiguamiento de las Áreas protegidas, limitación de acceso a los recursos en áreas protegidas).</w:t>
            </w:r>
          </w:p>
          <w:p w14:paraId="29C8FE04" w14:textId="77777777" w:rsidR="00A169FB" w:rsidRPr="009A27ED" w:rsidRDefault="00A169FB">
            <w:pPr>
              <w:spacing w:after="0" w:line="256" w:lineRule="auto"/>
              <w:rPr>
                <w:sz w:val="20"/>
                <w:szCs w:val="20"/>
              </w:rPr>
            </w:pPr>
            <w:r w:rsidRPr="009A27ED">
              <w:rPr>
                <w:sz w:val="20"/>
                <w:szCs w:val="20"/>
              </w:rPr>
              <w:t>PO 4.36. (Conservación de bosques, manejo sustentable de bosques, plantaciones, certificación de manejo forestal sostenible y plantaciones, control de incendios)</w:t>
            </w:r>
          </w:p>
        </w:tc>
      </w:tr>
      <w:tr w:rsidR="00A169FB" w:rsidRPr="009A27ED" w14:paraId="729E7571" w14:textId="77777777" w:rsidTr="0080132C">
        <w:trPr>
          <w:gridAfter w:val="1"/>
          <w:wAfter w:w="113" w:type="dxa"/>
          <w:trHeight w:val="890"/>
        </w:trPr>
        <w:tc>
          <w:tcPr>
            <w:tcW w:w="2562" w:type="dxa"/>
            <w:gridSpan w:val="3"/>
            <w:tcBorders>
              <w:top w:val="single" w:sz="4" w:space="0" w:color="auto"/>
              <w:left w:val="single" w:sz="4" w:space="0" w:color="auto"/>
              <w:bottom w:val="single" w:sz="4" w:space="0" w:color="auto"/>
              <w:right w:val="single" w:sz="4" w:space="0" w:color="auto"/>
            </w:tcBorders>
            <w:shd w:val="clear" w:color="auto" w:fill="FFFFFF"/>
          </w:tcPr>
          <w:p w14:paraId="1FFDFF77" w14:textId="272FE655" w:rsidR="00A169FB" w:rsidRPr="009A27ED" w:rsidRDefault="00A169FB" w:rsidP="00C97A18">
            <w:pPr>
              <w:spacing w:after="0" w:line="256" w:lineRule="auto"/>
              <w:jc w:val="left"/>
              <w:rPr>
                <w:color w:val="000000"/>
                <w:sz w:val="20"/>
                <w:szCs w:val="20"/>
                <w:lang w:val="es-DO"/>
              </w:rPr>
            </w:pPr>
            <w:r w:rsidRPr="009A27ED">
              <w:rPr>
                <w:b/>
                <w:bCs/>
                <w:color w:val="000000"/>
                <w:sz w:val="20"/>
                <w:szCs w:val="20"/>
                <w:lang w:val="es-DO"/>
              </w:rPr>
              <w:t xml:space="preserve">2. Reforestación </w:t>
            </w:r>
            <w:r w:rsidRPr="009A27ED">
              <w:rPr>
                <w:color w:val="000000"/>
                <w:sz w:val="20"/>
                <w:szCs w:val="20"/>
                <w:lang w:val="es-DO"/>
              </w:rPr>
              <w:t xml:space="preserve">Establecimiento de plantación forestal en predios sin cobertura arbórea, utilizando especies </w:t>
            </w:r>
            <w:r w:rsidRPr="009A27ED">
              <w:rPr>
                <w:color w:val="000000"/>
                <w:sz w:val="20"/>
                <w:szCs w:val="20"/>
                <w:lang w:val="es-DO"/>
              </w:rPr>
              <w:lastRenderedPageBreak/>
              <w:t>endémicas y/o nativas, ya sea promoviendo la regeneración natural, con siembra directa de semillas, o plantación de árboles reproducidos en vivero.</w:t>
            </w:r>
          </w:p>
          <w:p w14:paraId="6E3E4D0C" w14:textId="77777777" w:rsidR="00A169FB" w:rsidRPr="009A27ED" w:rsidRDefault="00A169FB" w:rsidP="00DF1AF5">
            <w:pPr>
              <w:spacing w:after="0" w:line="256" w:lineRule="auto"/>
              <w:rPr>
                <w:color w:val="000000"/>
                <w:sz w:val="20"/>
                <w:szCs w:val="20"/>
                <w:lang w:val="es-DO"/>
              </w:rPr>
            </w:pPr>
          </w:p>
          <w:p w14:paraId="671EB6E0" w14:textId="77777777" w:rsidR="00A169FB" w:rsidRPr="009A27ED" w:rsidRDefault="00A169FB" w:rsidP="00DF1AF5">
            <w:pPr>
              <w:spacing w:after="0" w:line="256" w:lineRule="auto"/>
              <w:rPr>
                <w:b/>
                <w:bCs/>
                <w:color w:val="000000"/>
                <w:sz w:val="20"/>
                <w:szCs w:val="20"/>
                <w:lang w:val="es-DO"/>
              </w:rPr>
            </w:pPr>
            <w:r w:rsidRPr="009A27ED">
              <w:rPr>
                <w:bCs/>
                <w:i/>
                <w:color w:val="000000"/>
                <w:sz w:val="20"/>
                <w:szCs w:val="20"/>
                <w:lang w:val="es-DO"/>
              </w:rPr>
              <w:t>Acciones estratégicas:</w:t>
            </w:r>
            <w:r w:rsidRPr="009A27ED">
              <w:rPr>
                <w:b/>
                <w:bCs/>
                <w:i/>
                <w:color w:val="000000"/>
                <w:sz w:val="20"/>
                <w:szCs w:val="20"/>
                <w:lang w:val="es-DO"/>
              </w:rPr>
              <w:t xml:space="preserve"> </w:t>
            </w:r>
            <w:r w:rsidRPr="009A27ED">
              <w:rPr>
                <w:b/>
                <w:i/>
                <w:sz w:val="20"/>
                <w:szCs w:val="20"/>
                <w:lang w:val="es-DO"/>
              </w:rPr>
              <w:t>3.1, 3.6, 3.8</w:t>
            </w:r>
          </w:p>
        </w:tc>
        <w:tc>
          <w:tcPr>
            <w:tcW w:w="2472" w:type="dxa"/>
            <w:tcBorders>
              <w:top w:val="single" w:sz="4" w:space="0" w:color="auto"/>
              <w:left w:val="single" w:sz="4" w:space="0" w:color="auto"/>
              <w:bottom w:val="single" w:sz="4" w:space="0" w:color="auto"/>
              <w:right w:val="single" w:sz="4" w:space="0" w:color="auto"/>
            </w:tcBorders>
            <w:shd w:val="clear" w:color="auto" w:fill="FFFFFF"/>
            <w:hideMark/>
          </w:tcPr>
          <w:p w14:paraId="205A9069" w14:textId="77777777" w:rsidR="00A169FB" w:rsidRPr="009A27ED" w:rsidRDefault="00A169FB" w:rsidP="00DF1AF5">
            <w:pPr>
              <w:spacing w:after="0" w:line="256" w:lineRule="auto"/>
              <w:rPr>
                <w:b/>
                <w:bCs/>
                <w:color w:val="000000"/>
                <w:sz w:val="20"/>
                <w:szCs w:val="20"/>
                <w:lang w:val="es-DO"/>
              </w:rPr>
            </w:pPr>
            <w:r w:rsidRPr="009A27ED">
              <w:rPr>
                <w:b/>
                <w:bCs/>
                <w:color w:val="000000"/>
                <w:sz w:val="20"/>
                <w:szCs w:val="20"/>
                <w:lang w:val="es-DO"/>
              </w:rPr>
              <w:lastRenderedPageBreak/>
              <w:t>2.1. Establecimiento de plantaciones forestales y/o agroforestales</w:t>
            </w:r>
            <w:r w:rsidRPr="009A27ED">
              <w:rPr>
                <w:color w:val="000000"/>
                <w:sz w:val="20"/>
                <w:szCs w:val="20"/>
                <w:lang w:val="es-DO"/>
              </w:rPr>
              <w:t xml:space="preserve"> en predios sin cobertura arbórea o con cobertura degradada, </w:t>
            </w:r>
            <w:r w:rsidRPr="009A27ED">
              <w:rPr>
                <w:color w:val="000000"/>
                <w:sz w:val="20"/>
                <w:szCs w:val="20"/>
                <w:lang w:val="es-DO"/>
              </w:rPr>
              <w:lastRenderedPageBreak/>
              <w:t>utilizando especies endémicas y/o nativas, ya sea promoviendo la regeneración natural, con siembra directa de semillas, o plantación de árboles reproducidos en vivero.</w:t>
            </w:r>
          </w:p>
        </w:tc>
        <w:tc>
          <w:tcPr>
            <w:tcW w:w="3041"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4D62C83D" w14:textId="77777777" w:rsidR="00A169FB" w:rsidRPr="009A27ED" w:rsidRDefault="00A169FB" w:rsidP="00DF1AF5">
            <w:pPr>
              <w:spacing w:after="0" w:line="256" w:lineRule="auto"/>
              <w:rPr>
                <w:sz w:val="20"/>
                <w:szCs w:val="20"/>
                <w:lang w:val="es-DO"/>
              </w:rPr>
            </w:pPr>
            <w:r w:rsidRPr="009A27ED">
              <w:rPr>
                <w:i/>
                <w:sz w:val="20"/>
                <w:szCs w:val="20"/>
                <w:u w:val="single"/>
                <w:lang w:val="es-DO"/>
              </w:rPr>
              <w:lastRenderedPageBreak/>
              <w:t>Producción de plántulas</w:t>
            </w:r>
            <w:r w:rsidRPr="009A27ED">
              <w:rPr>
                <w:sz w:val="20"/>
                <w:szCs w:val="20"/>
                <w:lang w:val="es-DO"/>
              </w:rPr>
              <w:t>:</w:t>
            </w:r>
          </w:p>
          <w:p w14:paraId="61A8998F" w14:textId="77777777" w:rsidR="00A169FB" w:rsidRPr="009A27ED" w:rsidRDefault="00A169FB" w:rsidP="00E67CB0">
            <w:pPr>
              <w:pStyle w:val="Prrafodelista"/>
              <w:numPr>
                <w:ilvl w:val="0"/>
                <w:numId w:val="243"/>
              </w:numPr>
              <w:spacing w:after="0" w:line="256" w:lineRule="auto"/>
              <w:jc w:val="left"/>
              <w:rPr>
                <w:sz w:val="20"/>
                <w:szCs w:val="20"/>
                <w:lang w:val="es-DO"/>
              </w:rPr>
            </w:pPr>
            <w:r w:rsidRPr="009A27ED">
              <w:rPr>
                <w:sz w:val="20"/>
                <w:szCs w:val="20"/>
                <w:lang w:val="es-DO"/>
              </w:rPr>
              <w:t>Colección o Compra de semillas</w:t>
            </w:r>
          </w:p>
          <w:p w14:paraId="1C17F524" w14:textId="77777777" w:rsidR="00A169FB" w:rsidRPr="009A27ED" w:rsidRDefault="00A169FB" w:rsidP="00E67CB0">
            <w:pPr>
              <w:pStyle w:val="Prrafodelista"/>
              <w:numPr>
                <w:ilvl w:val="0"/>
                <w:numId w:val="243"/>
              </w:numPr>
              <w:spacing w:after="0" w:line="256" w:lineRule="auto"/>
              <w:jc w:val="left"/>
              <w:rPr>
                <w:sz w:val="20"/>
                <w:szCs w:val="20"/>
                <w:lang w:val="es-DO"/>
              </w:rPr>
            </w:pPr>
            <w:r w:rsidRPr="009A27ED">
              <w:rPr>
                <w:sz w:val="20"/>
                <w:szCs w:val="20"/>
                <w:lang w:val="es-DO"/>
              </w:rPr>
              <w:t>Establecimiento de semilleros y almácigos</w:t>
            </w:r>
          </w:p>
          <w:p w14:paraId="5E243906" w14:textId="77777777" w:rsidR="00A169FB" w:rsidRPr="009A27ED" w:rsidRDefault="00A169FB" w:rsidP="00E67CB0">
            <w:pPr>
              <w:pStyle w:val="Prrafodelista"/>
              <w:numPr>
                <w:ilvl w:val="0"/>
                <w:numId w:val="243"/>
              </w:numPr>
              <w:spacing w:after="0" w:line="256" w:lineRule="auto"/>
              <w:jc w:val="left"/>
              <w:rPr>
                <w:sz w:val="20"/>
                <w:szCs w:val="20"/>
                <w:lang w:val="es-DO"/>
              </w:rPr>
            </w:pPr>
            <w:r w:rsidRPr="009A27ED">
              <w:rPr>
                <w:sz w:val="20"/>
                <w:szCs w:val="20"/>
                <w:lang w:val="es-DO"/>
              </w:rPr>
              <w:lastRenderedPageBreak/>
              <w:t>Riegos, fertilización y manejo integrado de plagas a nivel de vivero</w:t>
            </w:r>
          </w:p>
          <w:p w14:paraId="2EAC77F1" w14:textId="77777777" w:rsidR="00A169FB" w:rsidRPr="009A27ED" w:rsidRDefault="00A169FB" w:rsidP="00DF1AF5">
            <w:pPr>
              <w:spacing w:after="0" w:line="256" w:lineRule="auto"/>
              <w:rPr>
                <w:sz w:val="20"/>
                <w:szCs w:val="20"/>
                <w:u w:val="single"/>
                <w:lang w:val="es-DO"/>
              </w:rPr>
            </w:pPr>
            <w:r w:rsidRPr="009A27ED">
              <w:rPr>
                <w:sz w:val="20"/>
                <w:szCs w:val="20"/>
                <w:u w:val="single"/>
                <w:lang w:val="es-DO"/>
              </w:rPr>
              <w:t>Diseño de plantación</w:t>
            </w:r>
          </w:p>
          <w:p w14:paraId="29822D72" w14:textId="77777777" w:rsidR="00A169FB" w:rsidRPr="009A27ED" w:rsidRDefault="00A169FB" w:rsidP="00E67CB0">
            <w:pPr>
              <w:pStyle w:val="Prrafodelista"/>
              <w:numPr>
                <w:ilvl w:val="0"/>
                <w:numId w:val="244"/>
              </w:numPr>
              <w:spacing w:after="0" w:line="256" w:lineRule="auto"/>
              <w:jc w:val="left"/>
              <w:rPr>
                <w:sz w:val="20"/>
                <w:szCs w:val="20"/>
                <w:lang w:val="es-DO"/>
              </w:rPr>
            </w:pPr>
            <w:r w:rsidRPr="009A27ED">
              <w:rPr>
                <w:sz w:val="20"/>
                <w:szCs w:val="20"/>
                <w:lang w:val="es-DO"/>
              </w:rPr>
              <w:t>Identificación de predios dispuestos a desarrollar la actividad.</w:t>
            </w:r>
          </w:p>
          <w:p w14:paraId="0216408A" w14:textId="77777777" w:rsidR="00A169FB" w:rsidRPr="009A27ED" w:rsidRDefault="00A169FB" w:rsidP="00E67CB0">
            <w:pPr>
              <w:pStyle w:val="Prrafodelista"/>
              <w:numPr>
                <w:ilvl w:val="0"/>
                <w:numId w:val="244"/>
              </w:numPr>
              <w:spacing w:after="0" w:line="256" w:lineRule="auto"/>
              <w:jc w:val="left"/>
              <w:rPr>
                <w:sz w:val="20"/>
                <w:szCs w:val="20"/>
                <w:lang w:val="es-DO"/>
              </w:rPr>
            </w:pPr>
            <w:r w:rsidRPr="009A27ED">
              <w:rPr>
                <w:sz w:val="20"/>
                <w:szCs w:val="20"/>
                <w:lang w:val="es-DO"/>
              </w:rPr>
              <w:t>Sensibilización y capacitación a la comunidad</w:t>
            </w:r>
          </w:p>
          <w:p w14:paraId="2AB6A49B" w14:textId="77777777" w:rsidR="00A169FB" w:rsidRPr="009A27ED" w:rsidRDefault="00A169FB" w:rsidP="00E67CB0">
            <w:pPr>
              <w:pStyle w:val="Prrafodelista"/>
              <w:numPr>
                <w:ilvl w:val="0"/>
                <w:numId w:val="244"/>
              </w:numPr>
              <w:spacing w:after="0" w:line="256" w:lineRule="auto"/>
              <w:jc w:val="left"/>
              <w:rPr>
                <w:sz w:val="20"/>
                <w:szCs w:val="20"/>
                <w:lang w:val="es-DO"/>
              </w:rPr>
            </w:pPr>
            <w:r w:rsidRPr="009A27ED">
              <w:rPr>
                <w:sz w:val="20"/>
                <w:szCs w:val="20"/>
                <w:lang w:val="es-DO"/>
              </w:rPr>
              <w:t>Conformación de Brigadas comunitarias</w:t>
            </w:r>
          </w:p>
          <w:p w14:paraId="3BD5AA2C" w14:textId="77777777" w:rsidR="00A169FB" w:rsidRPr="009A27ED" w:rsidRDefault="00A169FB" w:rsidP="00DF1AF5">
            <w:pPr>
              <w:spacing w:after="0" w:line="256" w:lineRule="auto"/>
              <w:rPr>
                <w:sz w:val="20"/>
                <w:szCs w:val="20"/>
                <w:lang w:val="es-DO"/>
              </w:rPr>
            </w:pPr>
            <w:r w:rsidRPr="009A27ED">
              <w:rPr>
                <w:i/>
                <w:sz w:val="20"/>
                <w:szCs w:val="20"/>
                <w:u w:val="single"/>
                <w:lang w:val="es-DO"/>
              </w:rPr>
              <w:t>Establecimiento</w:t>
            </w:r>
            <w:r w:rsidRPr="009A27ED">
              <w:rPr>
                <w:sz w:val="20"/>
                <w:szCs w:val="20"/>
                <w:lang w:val="es-DO"/>
              </w:rPr>
              <w:t xml:space="preserve"> </w:t>
            </w:r>
          </w:p>
          <w:p w14:paraId="0EEE3EFE" w14:textId="77777777" w:rsidR="00A169FB" w:rsidRPr="009A27ED" w:rsidRDefault="00A169FB" w:rsidP="00E67CB0">
            <w:pPr>
              <w:pStyle w:val="Prrafodelista"/>
              <w:numPr>
                <w:ilvl w:val="0"/>
                <w:numId w:val="245"/>
              </w:numPr>
              <w:spacing w:after="0" w:line="256" w:lineRule="auto"/>
              <w:jc w:val="left"/>
              <w:rPr>
                <w:sz w:val="20"/>
                <w:szCs w:val="20"/>
                <w:lang w:val="es-DO"/>
              </w:rPr>
            </w:pPr>
            <w:r w:rsidRPr="009A27ED">
              <w:rPr>
                <w:sz w:val="20"/>
                <w:szCs w:val="20"/>
                <w:lang w:val="es-DO"/>
              </w:rPr>
              <w:t>Preparación de terreno, incluyendo limpieza y otras prácticas necesarias en cada caso.</w:t>
            </w:r>
          </w:p>
          <w:p w14:paraId="64F3440D" w14:textId="77777777" w:rsidR="00A169FB" w:rsidRPr="009A27ED" w:rsidRDefault="00A169FB" w:rsidP="00E67CB0">
            <w:pPr>
              <w:pStyle w:val="Prrafodelista"/>
              <w:numPr>
                <w:ilvl w:val="0"/>
                <w:numId w:val="245"/>
              </w:numPr>
              <w:spacing w:after="0" w:line="256" w:lineRule="auto"/>
              <w:jc w:val="left"/>
              <w:rPr>
                <w:sz w:val="20"/>
                <w:szCs w:val="20"/>
                <w:lang w:val="es-DO"/>
              </w:rPr>
            </w:pPr>
            <w:r w:rsidRPr="009A27ED">
              <w:rPr>
                <w:sz w:val="20"/>
                <w:szCs w:val="20"/>
                <w:lang w:val="es-DO"/>
              </w:rPr>
              <w:t>Plantación</w:t>
            </w:r>
          </w:p>
          <w:p w14:paraId="6386A640" w14:textId="77777777" w:rsidR="00A169FB" w:rsidRPr="009A27ED" w:rsidRDefault="00A169FB" w:rsidP="00E67CB0">
            <w:pPr>
              <w:pStyle w:val="Prrafodelista"/>
              <w:numPr>
                <w:ilvl w:val="0"/>
                <w:numId w:val="242"/>
              </w:numPr>
              <w:spacing w:after="0"/>
              <w:ind w:left="360"/>
              <w:rPr>
                <w:sz w:val="20"/>
                <w:szCs w:val="20"/>
                <w:lang w:val="es-DO"/>
              </w:rPr>
            </w:pPr>
            <w:r w:rsidRPr="009A27ED">
              <w:rPr>
                <w:sz w:val="20"/>
                <w:szCs w:val="20"/>
                <w:lang w:val="es-DO"/>
              </w:rPr>
              <w:t>Reposición de plántula y limpieza durante los primeros años ((1-2)</w:t>
            </w:r>
          </w:p>
          <w:p w14:paraId="3FA4C4EF" w14:textId="77777777" w:rsidR="00A169FB" w:rsidRPr="009A27ED" w:rsidRDefault="00A169FB" w:rsidP="00DF1AF5">
            <w:pPr>
              <w:spacing w:after="0" w:line="256" w:lineRule="auto"/>
              <w:rPr>
                <w:i/>
                <w:sz w:val="20"/>
                <w:szCs w:val="20"/>
                <w:u w:val="single"/>
                <w:lang w:val="es-DO"/>
              </w:rPr>
            </w:pPr>
            <w:r w:rsidRPr="009A27ED">
              <w:rPr>
                <w:i/>
                <w:sz w:val="20"/>
                <w:szCs w:val="20"/>
                <w:u w:val="single"/>
                <w:lang w:val="es-DO"/>
              </w:rPr>
              <w:t>Mantenimiento de la plantación</w:t>
            </w:r>
          </w:p>
          <w:p w14:paraId="2F23DCF1" w14:textId="77777777" w:rsidR="00A169FB" w:rsidRPr="009A27ED" w:rsidRDefault="00A169FB" w:rsidP="00DF1AF5">
            <w:pPr>
              <w:spacing w:after="0" w:line="256" w:lineRule="auto"/>
              <w:rPr>
                <w:color w:val="000000"/>
                <w:sz w:val="20"/>
                <w:szCs w:val="20"/>
                <w:lang w:val="es-DO"/>
              </w:rPr>
            </w:pPr>
            <w:r w:rsidRPr="009A27ED">
              <w:rPr>
                <w:sz w:val="20"/>
                <w:szCs w:val="20"/>
                <w:lang w:val="es-DO"/>
              </w:rPr>
              <w:t>Raleos, limpieza, control de plagas.</w:t>
            </w:r>
          </w:p>
        </w:tc>
        <w:tc>
          <w:tcPr>
            <w:tcW w:w="4111"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0DDFD468" w14:textId="069121A2"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lastRenderedPageBreak/>
              <w:t xml:space="preserve">Planeación y manejo de las áreas </w:t>
            </w:r>
            <w:r w:rsidR="00741F6B" w:rsidRPr="009A27ED">
              <w:rPr>
                <w:sz w:val="20"/>
                <w:szCs w:val="20"/>
                <w:lang w:val="es-DO"/>
              </w:rPr>
              <w:t>es poco</w:t>
            </w:r>
            <w:r w:rsidRPr="009A27ED">
              <w:rPr>
                <w:sz w:val="20"/>
                <w:szCs w:val="20"/>
                <w:lang w:val="es-DO"/>
              </w:rPr>
              <w:t xml:space="preserve"> eficiente por falta de planes de manejo.</w:t>
            </w:r>
          </w:p>
          <w:p w14:paraId="5EE45EDD"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 xml:space="preserve">Reducción de la diversidad forestal privilegiando solo especies forestal. </w:t>
            </w:r>
            <w:r w:rsidRPr="009A27ED">
              <w:rPr>
                <w:sz w:val="20"/>
                <w:szCs w:val="20"/>
                <w:lang w:val="es-DO"/>
              </w:rPr>
              <w:lastRenderedPageBreak/>
              <w:t xml:space="preserve">Introducción de especies no nativas y especies invasoras. </w:t>
            </w:r>
          </w:p>
          <w:p w14:paraId="7A183041"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Baja tasa de supervivencia de las especies forestales por un mal manejo.</w:t>
            </w:r>
          </w:p>
          <w:p w14:paraId="0D002401"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 xml:space="preserve">Utilización de especies no apropiadas para el área y/o utilización de una sola especie forestal. </w:t>
            </w:r>
          </w:p>
          <w:p w14:paraId="5971ED8A"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Se intensifica la extracción de leña en áreas forestales conservadas.</w:t>
            </w:r>
          </w:p>
          <w:p w14:paraId="02B2A34C"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Se reduce la diversidad de fauna y flora en el área de aprovechamiento por un interés exclusivamente comercial maderable</w:t>
            </w:r>
          </w:p>
          <w:p w14:paraId="1A2F5E1F"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Erosión del suelo, pérdida de sus propiedades físicas y químicas y de la vegetación.</w:t>
            </w:r>
          </w:p>
          <w:p w14:paraId="263A97FE"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Presencia de plagas y enfermedades.</w:t>
            </w:r>
          </w:p>
          <w:p w14:paraId="30E5B5C1"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Riesgos sanitarios por mala manipulación de agroquímicos</w:t>
            </w:r>
          </w:p>
          <w:p w14:paraId="777A75B7"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 xml:space="preserve">Contaminación de suelo y acuíferos. Afecciones a la salud por uso inadecuado de pesticidas. </w:t>
            </w:r>
          </w:p>
          <w:p w14:paraId="3002EE0F"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Se reduce la diversidad de fauna y flora en el área de aprovechamiento por un interés exclusivamente comercial maderable</w:t>
            </w:r>
          </w:p>
          <w:p w14:paraId="7B738399"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 xml:space="preserve">Baja tasa de supervivencia de las especies forestales por un mal manejo. </w:t>
            </w:r>
          </w:p>
          <w:p w14:paraId="198C6FBB"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Incendios foresta</w:t>
            </w:r>
            <w:r w:rsidRPr="009A27ED">
              <w:rPr>
                <w:color w:val="212121"/>
                <w:sz w:val="20"/>
                <w:szCs w:val="20"/>
                <w:lang w:val="es-DO" w:eastAsia="es-MX"/>
              </w:rPr>
              <w:t>les.</w:t>
            </w:r>
          </w:p>
        </w:tc>
        <w:tc>
          <w:tcPr>
            <w:tcW w:w="6662"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295118A6" w14:textId="3AD6CD20" w:rsidR="00CD240D" w:rsidRPr="009A27ED" w:rsidRDefault="00CD240D" w:rsidP="0080132C">
            <w:pPr>
              <w:pStyle w:val="Prrafodelista"/>
              <w:numPr>
                <w:ilvl w:val="0"/>
                <w:numId w:val="313"/>
              </w:numPr>
              <w:spacing w:after="0" w:line="240" w:lineRule="auto"/>
              <w:ind w:left="331" w:hanging="421"/>
              <w:rPr>
                <w:rFonts w:ascii="Calibri" w:eastAsia="Times New Roman" w:hAnsi="Calibri" w:cs="Calibri"/>
                <w:sz w:val="20"/>
                <w:szCs w:val="20"/>
              </w:rPr>
            </w:pPr>
            <w:r w:rsidRPr="009A27ED">
              <w:rPr>
                <w:rFonts w:ascii="Calibri" w:eastAsia="Times New Roman" w:hAnsi="Calibri" w:cs="Calibri"/>
                <w:sz w:val="20"/>
                <w:szCs w:val="20"/>
              </w:rPr>
              <w:lastRenderedPageBreak/>
              <w:t xml:space="preserve">Se realiza un plan de reforestación considerando que las labores forestales y las especies a implementar sean compatibles con los requerimientos de hábitat de especies vulnerables y especies en peligro de extinción.  Se considera abordar explícitamente, en los programas de manejo forestal, los aspectos de la conservación de la biodiversidad en los procesos de planificación y ejecución forestal. Cuando corresponda, se establecen </w:t>
            </w:r>
            <w:r w:rsidRPr="009A27ED">
              <w:rPr>
                <w:rFonts w:ascii="Calibri" w:eastAsia="Times New Roman" w:hAnsi="Calibri" w:cs="Calibri"/>
                <w:sz w:val="20"/>
                <w:szCs w:val="20"/>
              </w:rPr>
              <w:lastRenderedPageBreak/>
              <w:t xml:space="preserve">medidas que permitan el resguardo de la cuenca alta de los ríos. La </w:t>
            </w:r>
            <w:r w:rsidR="00355503" w:rsidRPr="009A27ED">
              <w:rPr>
                <w:rFonts w:ascii="Calibri" w:eastAsia="Times New Roman" w:hAnsi="Calibri" w:cs="Calibri"/>
                <w:sz w:val="20"/>
                <w:szCs w:val="20"/>
              </w:rPr>
              <w:t>planificación</w:t>
            </w:r>
            <w:r w:rsidRPr="009A27ED">
              <w:rPr>
                <w:rFonts w:ascii="Calibri" w:eastAsia="Times New Roman" w:hAnsi="Calibri" w:cs="Calibri"/>
                <w:sz w:val="20"/>
                <w:szCs w:val="20"/>
              </w:rPr>
              <w:t xml:space="preserve"> de la actividad incluye el desarrollo de consultas y acuerdos con los usuarios actuales para desarrollar actividades productivas alternativas.</w:t>
            </w:r>
          </w:p>
          <w:p w14:paraId="272B603D" w14:textId="77777777" w:rsidR="00CD240D" w:rsidRPr="009A27ED" w:rsidRDefault="00CD240D" w:rsidP="0080132C">
            <w:pPr>
              <w:pStyle w:val="Prrafodelista"/>
              <w:numPr>
                <w:ilvl w:val="0"/>
                <w:numId w:val="313"/>
              </w:numPr>
              <w:spacing w:after="0" w:line="240" w:lineRule="auto"/>
              <w:ind w:left="331" w:hanging="421"/>
              <w:rPr>
                <w:rFonts w:ascii="Calibri" w:eastAsia="Times New Roman" w:hAnsi="Calibri" w:cs="Calibri"/>
                <w:sz w:val="20"/>
                <w:szCs w:val="20"/>
              </w:rPr>
            </w:pPr>
            <w:r w:rsidRPr="009A27ED">
              <w:rPr>
                <w:rFonts w:ascii="Calibri" w:eastAsia="Times New Roman" w:hAnsi="Calibri" w:cs="Calibri"/>
                <w:sz w:val="20"/>
                <w:szCs w:val="20"/>
              </w:rPr>
              <w:t>Se utilizan especies forestales nativas o naturalizadas con posibilidad de cubrir más rápidamente las superficies desprovistas de vegetación. Se seleccionan las especies conforme criterio técnico de la Dirección de Biodiversidad y Vida Silvestre. El germoplasma forestal es de buena calidad y de procedencia conocida. Para las fuentes semilleros se han seleccionado los bosques mejor conservados o plantaciones de las cuales se conoce la procedencia de su germoplasma.  Las plantas obtenidas del vivero cumplen con los parámetros de calidad (diámetro de tallo, altura de planta, raíz, micorrizas, lignificación, vigor y sanidad). El traslado de las plántulas al sitio de reforestación se realiza de manera adecuada</w:t>
            </w:r>
          </w:p>
          <w:p w14:paraId="4617C606" w14:textId="77777777" w:rsidR="00CD240D" w:rsidRPr="009A27ED" w:rsidRDefault="00CD240D" w:rsidP="0080132C">
            <w:pPr>
              <w:pStyle w:val="Prrafodelista"/>
              <w:numPr>
                <w:ilvl w:val="0"/>
                <w:numId w:val="313"/>
              </w:numPr>
              <w:spacing w:after="0" w:line="240" w:lineRule="auto"/>
              <w:ind w:left="331" w:hanging="421"/>
              <w:rPr>
                <w:rFonts w:ascii="Calibri" w:eastAsia="Times New Roman" w:hAnsi="Calibri" w:cs="Calibri"/>
                <w:sz w:val="20"/>
                <w:szCs w:val="20"/>
              </w:rPr>
            </w:pPr>
            <w:r w:rsidRPr="009A27ED">
              <w:rPr>
                <w:rFonts w:ascii="Calibri" w:eastAsia="Times New Roman" w:hAnsi="Calibri" w:cs="Calibri"/>
                <w:sz w:val="20"/>
                <w:szCs w:val="20"/>
              </w:rPr>
              <w:t>Se realiza raleo para manejo y raleos sanitario dentro de las plantaciones. Los individuos afectados severamente y cuya condición no pueden revertirse son retirados. Se reponen las plantas muertas en cada ciclo de lluvia.  Se protege el sitio reforestado, especialmente los de 10 o más hectáreas</w:t>
            </w:r>
          </w:p>
          <w:p w14:paraId="1914A10F" w14:textId="77777777" w:rsidR="00CD240D" w:rsidRPr="009A27ED" w:rsidRDefault="00CD240D" w:rsidP="0080132C">
            <w:pPr>
              <w:pStyle w:val="Prrafodelista"/>
              <w:numPr>
                <w:ilvl w:val="0"/>
                <w:numId w:val="313"/>
              </w:numPr>
              <w:spacing w:after="0" w:line="240" w:lineRule="auto"/>
              <w:ind w:left="331" w:hanging="421"/>
              <w:rPr>
                <w:rFonts w:ascii="Calibri" w:eastAsia="Times New Roman" w:hAnsi="Calibri" w:cs="Calibri"/>
                <w:sz w:val="20"/>
                <w:szCs w:val="20"/>
              </w:rPr>
            </w:pPr>
            <w:r w:rsidRPr="009A27ED">
              <w:rPr>
                <w:rFonts w:ascii="Calibri" w:eastAsia="Times New Roman" w:hAnsi="Calibri" w:cs="Calibri"/>
                <w:sz w:val="20"/>
                <w:szCs w:val="20"/>
              </w:rPr>
              <w:t xml:space="preserve">El plan de manejo forestal o la autorización técnica correspondiente contempla mantener un minino de diversidad de especies forestales, evitando </w:t>
            </w:r>
            <w:proofErr w:type="spellStart"/>
            <w:r w:rsidRPr="009A27ED">
              <w:rPr>
                <w:rFonts w:ascii="Calibri" w:eastAsia="Times New Roman" w:hAnsi="Calibri" w:cs="Calibri"/>
                <w:sz w:val="20"/>
                <w:szCs w:val="20"/>
              </w:rPr>
              <w:t>asi</w:t>
            </w:r>
            <w:proofErr w:type="spellEnd"/>
            <w:r w:rsidRPr="009A27ED">
              <w:rPr>
                <w:rFonts w:ascii="Calibri" w:eastAsia="Times New Roman" w:hAnsi="Calibri" w:cs="Calibri"/>
                <w:sz w:val="20"/>
                <w:szCs w:val="20"/>
              </w:rPr>
              <w:t xml:space="preserve"> el monocultivo.</w:t>
            </w:r>
          </w:p>
          <w:p w14:paraId="47737DDD" w14:textId="6622367E" w:rsidR="00CD240D" w:rsidRPr="009A27ED" w:rsidRDefault="00CD240D" w:rsidP="0080132C">
            <w:pPr>
              <w:pStyle w:val="Prrafodelista"/>
              <w:numPr>
                <w:ilvl w:val="0"/>
                <w:numId w:val="313"/>
              </w:numPr>
              <w:spacing w:after="0" w:line="240" w:lineRule="auto"/>
              <w:ind w:left="331" w:hanging="421"/>
              <w:rPr>
                <w:rFonts w:ascii="Calibri" w:eastAsia="Times New Roman" w:hAnsi="Calibri" w:cs="Calibri"/>
                <w:sz w:val="20"/>
                <w:szCs w:val="20"/>
              </w:rPr>
            </w:pPr>
            <w:r w:rsidRPr="009A27ED">
              <w:rPr>
                <w:rFonts w:ascii="Calibri" w:eastAsia="Times New Roman" w:hAnsi="Calibri" w:cs="Calibri"/>
                <w:sz w:val="20"/>
                <w:szCs w:val="20"/>
              </w:rPr>
              <w:t xml:space="preserve">Se protege el sitio de manejo, especialmente las de 10 o más hectáreas.  Plan de monitoreo en áreas de conservación. Registro y reporte de </w:t>
            </w:r>
            <w:r w:rsidR="00355503" w:rsidRPr="009A27ED">
              <w:rPr>
                <w:rFonts w:ascii="Calibri" w:eastAsia="Times New Roman" w:hAnsi="Calibri" w:cs="Calibri"/>
                <w:sz w:val="20"/>
                <w:szCs w:val="20"/>
              </w:rPr>
              <w:t>extracción</w:t>
            </w:r>
            <w:r w:rsidRPr="009A27ED">
              <w:rPr>
                <w:rFonts w:ascii="Calibri" w:eastAsia="Times New Roman" w:hAnsi="Calibri" w:cs="Calibri"/>
                <w:sz w:val="20"/>
                <w:szCs w:val="20"/>
              </w:rPr>
              <w:t xml:space="preserve"> de </w:t>
            </w:r>
            <w:r w:rsidR="00355503" w:rsidRPr="009A27ED">
              <w:rPr>
                <w:rFonts w:ascii="Calibri" w:eastAsia="Times New Roman" w:hAnsi="Calibri" w:cs="Calibri"/>
                <w:sz w:val="20"/>
                <w:szCs w:val="20"/>
              </w:rPr>
              <w:t>maderas</w:t>
            </w:r>
            <w:r w:rsidRPr="009A27ED">
              <w:rPr>
                <w:rFonts w:ascii="Calibri" w:eastAsia="Times New Roman" w:hAnsi="Calibri" w:cs="Calibri"/>
                <w:sz w:val="20"/>
                <w:szCs w:val="20"/>
              </w:rPr>
              <w:t xml:space="preserve"> en la zona. Se realizan acciones de protección para la biodiversidad.</w:t>
            </w:r>
          </w:p>
          <w:p w14:paraId="34B050B7" w14:textId="77777777" w:rsidR="00CD240D" w:rsidRPr="009A27ED" w:rsidRDefault="00CD240D" w:rsidP="0080132C">
            <w:pPr>
              <w:pStyle w:val="Prrafodelista"/>
              <w:numPr>
                <w:ilvl w:val="0"/>
                <w:numId w:val="313"/>
              </w:numPr>
              <w:spacing w:after="0" w:line="240" w:lineRule="auto"/>
              <w:ind w:left="331" w:hanging="421"/>
              <w:rPr>
                <w:rFonts w:ascii="Calibri" w:eastAsia="Times New Roman" w:hAnsi="Calibri" w:cs="Calibri"/>
                <w:sz w:val="20"/>
                <w:szCs w:val="20"/>
              </w:rPr>
            </w:pPr>
            <w:r w:rsidRPr="009A27ED">
              <w:rPr>
                <w:rFonts w:ascii="Calibri" w:eastAsia="Times New Roman" w:hAnsi="Calibri" w:cs="Calibri"/>
                <w:sz w:val="20"/>
                <w:szCs w:val="20"/>
              </w:rPr>
              <w:t xml:space="preserve">Se mantiene material leñoso grueso que permiten crear </w:t>
            </w:r>
            <w:proofErr w:type="spellStart"/>
            <w:proofErr w:type="gramStart"/>
            <w:r w:rsidRPr="009A27ED">
              <w:rPr>
                <w:rFonts w:ascii="Calibri" w:eastAsia="Times New Roman" w:hAnsi="Calibri" w:cs="Calibri"/>
                <w:sz w:val="20"/>
                <w:szCs w:val="20"/>
              </w:rPr>
              <w:t>micro-hábitat</w:t>
            </w:r>
            <w:proofErr w:type="spellEnd"/>
            <w:proofErr w:type="gramEnd"/>
            <w:r w:rsidRPr="009A27ED">
              <w:rPr>
                <w:rFonts w:ascii="Calibri" w:eastAsia="Times New Roman" w:hAnsi="Calibri" w:cs="Calibri"/>
                <w:sz w:val="20"/>
                <w:szCs w:val="20"/>
              </w:rPr>
              <w:t xml:space="preserve"> sobre el suelo. Se mantiene la conectividad de hábitats dentro y a través del paisaje. Se protegen sitios de importancia crítica para especies de flora y fauna, con énfasis en las especies vulnerables y en peligro de extinción</w:t>
            </w:r>
          </w:p>
          <w:p w14:paraId="6B15569E" w14:textId="77777777" w:rsidR="00CD240D" w:rsidRPr="009A27ED" w:rsidRDefault="00CD240D" w:rsidP="0080132C">
            <w:pPr>
              <w:pStyle w:val="Prrafodelista"/>
              <w:numPr>
                <w:ilvl w:val="0"/>
                <w:numId w:val="313"/>
              </w:numPr>
              <w:spacing w:after="0" w:line="240" w:lineRule="auto"/>
              <w:ind w:left="331" w:hanging="421"/>
              <w:rPr>
                <w:rFonts w:ascii="Calibri" w:eastAsia="Times New Roman" w:hAnsi="Calibri" w:cs="Calibri"/>
                <w:sz w:val="20"/>
                <w:szCs w:val="20"/>
              </w:rPr>
            </w:pPr>
            <w:r w:rsidRPr="009A27ED">
              <w:rPr>
                <w:rFonts w:ascii="Calibri" w:eastAsia="Times New Roman" w:hAnsi="Calibri" w:cs="Calibri"/>
                <w:sz w:val="20"/>
                <w:szCs w:val="20"/>
              </w:rPr>
              <w:t>Se conserva o enriquece la materia orgánica del suelo. Se practican técnicas de estabilización de riberas de ríos, arroyos y cañadas. Estabilización de taludes.  Se distribuyen los residuos de la cosecha forestal sobre el suelo. Se mantienen libre de residuos contaminantes las áreas bajo manejo.   Considerar la normatividad y medidas sobre el uso y manejo de los fertilizantes y plaguicidas. En las cuencas altas se realizan acciones como: retención de árboles muertos en pie y árboles que sobrepasan el dosel superior, construcción de trochas contrafuego, realización de obras de conservación y restauración de suelos, uso controlado de productos químicos.</w:t>
            </w:r>
          </w:p>
          <w:p w14:paraId="2CA8D8F2" w14:textId="77777777" w:rsidR="00CD240D" w:rsidRPr="009A27ED" w:rsidRDefault="00CD240D" w:rsidP="0080132C">
            <w:pPr>
              <w:pStyle w:val="Prrafodelista"/>
              <w:numPr>
                <w:ilvl w:val="0"/>
                <w:numId w:val="313"/>
              </w:numPr>
              <w:spacing w:after="0" w:line="240" w:lineRule="auto"/>
              <w:ind w:left="331" w:hanging="421"/>
              <w:rPr>
                <w:rFonts w:ascii="Calibri" w:eastAsia="Times New Roman" w:hAnsi="Calibri" w:cs="Calibri"/>
                <w:sz w:val="20"/>
                <w:szCs w:val="20"/>
              </w:rPr>
            </w:pPr>
            <w:r w:rsidRPr="009A27ED">
              <w:rPr>
                <w:rFonts w:ascii="Calibri" w:eastAsia="Times New Roman" w:hAnsi="Calibri" w:cs="Calibri"/>
                <w:sz w:val="20"/>
                <w:szCs w:val="20"/>
              </w:rPr>
              <w:t>Se protege el sitio reforestado, especialmente los de 10 o más hectáreas.</w:t>
            </w:r>
          </w:p>
          <w:p w14:paraId="649784F8" w14:textId="77777777" w:rsidR="00CD240D" w:rsidRPr="009A27ED" w:rsidRDefault="00CD240D" w:rsidP="0080132C">
            <w:pPr>
              <w:pStyle w:val="Prrafodelista"/>
              <w:numPr>
                <w:ilvl w:val="0"/>
                <w:numId w:val="313"/>
              </w:numPr>
              <w:spacing w:after="0" w:line="240" w:lineRule="auto"/>
              <w:ind w:left="331" w:hanging="421"/>
              <w:rPr>
                <w:rFonts w:ascii="Calibri" w:eastAsia="Times New Roman" w:hAnsi="Calibri" w:cs="Calibri"/>
                <w:sz w:val="20"/>
                <w:szCs w:val="20"/>
              </w:rPr>
            </w:pPr>
            <w:r w:rsidRPr="009A27ED">
              <w:rPr>
                <w:rFonts w:ascii="Calibri" w:eastAsia="Times New Roman" w:hAnsi="Calibri" w:cs="Calibri"/>
                <w:sz w:val="20"/>
                <w:szCs w:val="20"/>
              </w:rPr>
              <w:t xml:space="preserve">Se establecen protocolos para el uso de insumos químicos y se capacita en el uso de </w:t>
            </w:r>
            <w:proofErr w:type="gramStart"/>
            <w:r w:rsidRPr="009A27ED">
              <w:rPr>
                <w:rFonts w:ascii="Calibri" w:eastAsia="Times New Roman" w:hAnsi="Calibri" w:cs="Calibri"/>
                <w:sz w:val="20"/>
                <w:szCs w:val="20"/>
              </w:rPr>
              <w:t>los mismos</w:t>
            </w:r>
            <w:proofErr w:type="gramEnd"/>
          </w:p>
          <w:p w14:paraId="23D4FBC2" w14:textId="77777777" w:rsidR="00CD240D" w:rsidRPr="009A27ED" w:rsidRDefault="00CD240D" w:rsidP="0080132C">
            <w:pPr>
              <w:pStyle w:val="Prrafodelista"/>
              <w:numPr>
                <w:ilvl w:val="0"/>
                <w:numId w:val="313"/>
              </w:numPr>
              <w:spacing w:after="0" w:line="240" w:lineRule="auto"/>
              <w:ind w:left="331"/>
              <w:rPr>
                <w:rFonts w:ascii="Calibri" w:eastAsia="Times New Roman" w:hAnsi="Calibri" w:cs="Calibri"/>
                <w:sz w:val="20"/>
                <w:szCs w:val="20"/>
              </w:rPr>
            </w:pPr>
            <w:r w:rsidRPr="009A27ED">
              <w:rPr>
                <w:rFonts w:ascii="Calibri" w:eastAsia="Times New Roman" w:hAnsi="Calibri" w:cs="Calibri"/>
                <w:sz w:val="20"/>
                <w:szCs w:val="20"/>
              </w:rPr>
              <w:t>Se realiza raleo para manejo y raleos sanitario dentro de las plantaciones. Los individuos afectados severamente y cuya condición no pueden revertirse son retirados. Se reponen las plantas muertas en cada ciclo de lluvia.  Se protege el sitio reforestado, especialmente los de 10 o más hectáreas.</w:t>
            </w:r>
          </w:p>
          <w:p w14:paraId="56142283" w14:textId="0F3A5B60" w:rsidR="00A169FB" w:rsidRPr="009A27ED" w:rsidRDefault="00CD240D" w:rsidP="0080132C">
            <w:pPr>
              <w:pStyle w:val="Prrafodelista"/>
              <w:numPr>
                <w:ilvl w:val="0"/>
                <w:numId w:val="313"/>
              </w:numPr>
              <w:ind w:left="331" w:hanging="270"/>
              <w:rPr>
                <w:color w:val="000000"/>
              </w:rPr>
            </w:pPr>
            <w:r w:rsidRPr="009A27ED">
              <w:rPr>
                <w:rFonts w:ascii="Calibri" w:eastAsia="Times New Roman" w:hAnsi="Calibri" w:cs="Calibri"/>
                <w:sz w:val="20"/>
                <w:szCs w:val="20"/>
              </w:rPr>
              <w:t xml:space="preserve">Se involucran actores locales y se establecen alternativas de producción sostenibles. Fortalecimiento de la capacitación en supervisión y monitoreo </w:t>
            </w:r>
            <w:r w:rsidRPr="009A27ED">
              <w:rPr>
                <w:rFonts w:ascii="Calibri" w:eastAsia="Times New Roman" w:hAnsi="Calibri" w:cs="Calibri"/>
                <w:sz w:val="20"/>
                <w:szCs w:val="20"/>
              </w:rPr>
              <w:lastRenderedPageBreak/>
              <w:t>de salvaguardas para el manejo de los recursos naturales, en donde los actores locales forman parte del monitoreo y prevención de desastres. Ministerio de Medio Ambiente establece brigadas, para el control de fuego. Construcción de trochas contrafuego.</w:t>
            </w:r>
          </w:p>
        </w:tc>
        <w:tc>
          <w:tcPr>
            <w:tcW w:w="3686" w:type="dxa"/>
            <w:tcBorders>
              <w:top w:val="single" w:sz="4" w:space="0" w:color="auto"/>
              <w:left w:val="single" w:sz="4" w:space="0" w:color="auto"/>
              <w:bottom w:val="single" w:sz="4" w:space="0" w:color="auto"/>
              <w:right w:val="single" w:sz="4" w:space="0" w:color="auto"/>
            </w:tcBorders>
            <w:shd w:val="clear" w:color="auto" w:fill="FFFFFF"/>
            <w:hideMark/>
          </w:tcPr>
          <w:tbl>
            <w:tblPr>
              <w:tblW w:w="3468" w:type="dxa"/>
              <w:tblLayout w:type="fixed"/>
              <w:tblLook w:val="04A0" w:firstRow="1" w:lastRow="0" w:firstColumn="1" w:lastColumn="0" w:noHBand="0" w:noVBand="1"/>
            </w:tblPr>
            <w:tblGrid>
              <w:gridCol w:w="3468"/>
            </w:tblGrid>
            <w:tr w:rsidR="00A169FB" w:rsidRPr="009A27ED" w14:paraId="1A92FD6F" w14:textId="77777777" w:rsidTr="00C97A18">
              <w:trPr>
                <w:trHeight w:val="300"/>
              </w:trPr>
              <w:tc>
                <w:tcPr>
                  <w:tcW w:w="3468" w:type="dxa"/>
                  <w:noWrap/>
                  <w:vAlign w:val="center"/>
                  <w:hideMark/>
                </w:tcPr>
                <w:p w14:paraId="5D7CDF65" w14:textId="77777777" w:rsidR="00A169FB" w:rsidRPr="009A27ED" w:rsidRDefault="00A169FB" w:rsidP="00DF1AF5">
                  <w:pPr>
                    <w:spacing w:after="0" w:line="256" w:lineRule="auto"/>
                    <w:rPr>
                      <w:color w:val="000000"/>
                      <w:sz w:val="20"/>
                      <w:szCs w:val="20"/>
                      <w:lang w:val="es-GT"/>
                    </w:rPr>
                  </w:pPr>
                  <w:r w:rsidRPr="009A27ED">
                    <w:rPr>
                      <w:color w:val="000000"/>
                      <w:sz w:val="20"/>
                      <w:szCs w:val="20"/>
                    </w:rPr>
                    <w:lastRenderedPageBreak/>
                    <w:t xml:space="preserve">PO 4.01. (Evaluación ambiental, identificación de impactos ambientales y sociales, medidas de mitigación, seguimiento y registro, consultas, </w:t>
                  </w:r>
                  <w:r w:rsidRPr="009A27ED">
                    <w:rPr>
                      <w:color w:val="000000"/>
                      <w:sz w:val="20"/>
                      <w:szCs w:val="20"/>
                    </w:rPr>
                    <w:t>mecanismo de quejas y atención a denuncias).</w:t>
                  </w:r>
                </w:p>
              </w:tc>
            </w:tr>
            <w:tr w:rsidR="00A169FB" w:rsidRPr="009A27ED" w14:paraId="78AB01B7" w14:textId="77777777" w:rsidTr="00C97A18">
              <w:trPr>
                <w:trHeight w:val="300"/>
              </w:trPr>
              <w:tc>
                <w:tcPr>
                  <w:tcW w:w="3468" w:type="dxa"/>
                  <w:noWrap/>
                  <w:vAlign w:val="center"/>
                  <w:hideMark/>
                </w:tcPr>
                <w:p w14:paraId="141159B4" w14:textId="77777777" w:rsidR="00A169FB" w:rsidRPr="009A27ED" w:rsidRDefault="00A169FB" w:rsidP="00DF1AF5">
                  <w:pPr>
                    <w:spacing w:after="0" w:line="256" w:lineRule="auto"/>
                    <w:rPr>
                      <w:color w:val="000000"/>
                      <w:sz w:val="20"/>
                      <w:szCs w:val="20"/>
                    </w:rPr>
                  </w:pPr>
                  <w:r w:rsidRPr="009A27ED">
                    <w:rPr>
                      <w:color w:val="000000"/>
                      <w:sz w:val="20"/>
                      <w:szCs w:val="20"/>
                    </w:rPr>
                    <w:t>PO 4.04. (Hábitats naturales, conservación de hábitats naturales críticos, promoción de biodiversidad, corredores biológicos, servicios ambientales, áreas protegidas).</w:t>
                  </w:r>
                </w:p>
              </w:tc>
            </w:tr>
            <w:tr w:rsidR="00A169FB" w:rsidRPr="009A27ED" w14:paraId="328F1666" w14:textId="77777777" w:rsidTr="00C97A18">
              <w:trPr>
                <w:trHeight w:val="300"/>
              </w:trPr>
              <w:tc>
                <w:tcPr>
                  <w:tcW w:w="3468" w:type="dxa"/>
                  <w:noWrap/>
                  <w:vAlign w:val="center"/>
                  <w:hideMark/>
                </w:tcPr>
                <w:p w14:paraId="536DB394" w14:textId="77777777" w:rsidR="00A169FB" w:rsidRPr="009A27ED" w:rsidRDefault="00A169FB" w:rsidP="00DF1AF5">
                  <w:pPr>
                    <w:spacing w:after="0" w:line="256" w:lineRule="auto"/>
                    <w:rPr>
                      <w:color w:val="000000"/>
                      <w:sz w:val="20"/>
                      <w:szCs w:val="20"/>
                    </w:rPr>
                  </w:pPr>
                  <w:r w:rsidRPr="009A27ED">
                    <w:rPr>
                      <w:color w:val="000000"/>
                      <w:sz w:val="20"/>
                      <w:szCs w:val="20"/>
                    </w:rPr>
                    <w:t>PO 4.9. (Control de plagas, uso controlado de agroquímicos, uso preferente de medios alternativos físicos y biológicos para control de plagas, seguridad de trabajadores y población y contaminación de suelo y agua).</w:t>
                  </w:r>
                </w:p>
              </w:tc>
            </w:tr>
            <w:tr w:rsidR="00A169FB" w:rsidRPr="009A27ED" w14:paraId="5F2F7833" w14:textId="77777777" w:rsidTr="00C97A18">
              <w:trPr>
                <w:trHeight w:val="300"/>
              </w:trPr>
              <w:tc>
                <w:tcPr>
                  <w:tcW w:w="3468" w:type="dxa"/>
                  <w:noWrap/>
                  <w:vAlign w:val="bottom"/>
                  <w:hideMark/>
                </w:tcPr>
                <w:p w14:paraId="365B1488" w14:textId="77777777" w:rsidR="00A169FB" w:rsidRPr="009A27ED" w:rsidRDefault="00A169FB" w:rsidP="00DF1AF5">
                  <w:pPr>
                    <w:spacing w:after="0" w:line="256" w:lineRule="auto"/>
                    <w:rPr>
                      <w:color w:val="000000"/>
                      <w:sz w:val="20"/>
                      <w:szCs w:val="20"/>
                    </w:rPr>
                  </w:pPr>
                  <w:r w:rsidRPr="009A27ED">
                    <w:rPr>
                      <w:color w:val="000000"/>
                      <w:sz w:val="20"/>
                      <w:szCs w:val="20"/>
                    </w:rPr>
                    <w:t>PO. 4.12. (Reasentamiento involuntario de personas y/o actividades, afectación o restricción de uso o actividades en áreas de amortiguamiento de las Áreas protegidas, limitación de acceso a los recursos en áreas protegidas).</w:t>
                  </w:r>
                </w:p>
              </w:tc>
            </w:tr>
            <w:tr w:rsidR="00A169FB" w:rsidRPr="009A27ED" w14:paraId="5037169E" w14:textId="77777777" w:rsidTr="00C97A18">
              <w:trPr>
                <w:trHeight w:val="300"/>
              </w:trPr>
              <w:tc>
                <w:tcPr>
                  <w:tcW w:w="3468" w:type="dxa"/>
                  <w:noWrap/>
                  <w:vAlign w:val="center"/>
                  <w:hideMark/>
                </w:tcPr>
                <w:p w14:paraId="3B2331B7" w14:textId="77777777" w:rsidR="00A169FB" w:rsidRPr="009A27ED" w:rsidRDefault="00A169FB" w:rsidP="00DF1AF5">
                  <w:pPr>
                    <w:spacing w:after="0" w:line="256" w:lineRule="auto"/>
                    <w:rPr>
                      <w:color w:val="000000"/>
                      <w:sz w:val="20"/>
                      <w:szCs w:val="20"/>
                    </w:rPr>
                  </w:pPr>
                  <w:r w:rsidRPr="009A27ED">
                    <w:rPr>
                      <w:color w:val="000000"/>
                      <w:sz w:val="20"/>
                      <w:szCs w:val="20"/>
                    </w:rPr>
                    <w:t>PO 4.36. (Conservación de bosques, manejo sustentable de bosques, plantaciones, certificación de manejo forestal sostenible y plantaciones, control de incendios)</w:t>
                  </w:r>
                </w:p>
              </w:tc>
            </w:tr>
          </w:tbl>
          <w:p w14:paraId="6C6B7CC5" w14:textId="77777777" w:rsidR="00A169FB" w:rsidRPr="009A27ED" w:rsidRDefault="00A169FB" w:rsidP="00DF1AF5">
            <w:pPr>
              <w:spacing w:after="0" w:line="256" w:lineRule="auto"/>
              <w:rPr>
                <w:rFonts w:cstheme="minorBidi"/>
                <w:lang w:val="es-GT"/>
              </w:rPr>
            </w:pPr>
          </w:p>
        </w:tc>
      </w:tr>
      <w:tr w:rsidR="00A169FB" w:rsidRPr="009A27ED" w14:paraId="5D93F45C" w14:textId="77777777" w:rsidTr="00C97A18">
        <w:trPr>
          <w:gridBefore w:val="1"/>
          <w:wBefore w:w="18" w:type="dxa"/>
          <w:trHeight w:val="800"/>
        </w:trPr>
        <w:tc>
          <w:tcPr>
            <w:tcW w:w="2520" w:type="dxa"/>
            <w:tcBorders>
              <w:top w:val="single" w:sz="4" w:space="0" w:color="auto"/>
              <w:left w:val="single" w:sz="4" w:space="0" w:color="auto"/>
              <w:bottom w:val="single" w:sz="4" w:space="0" w:color="auto"/>
              <w:right w:val="single" w:sz="4" w:space="0" w:color="auto"/>
            </w:tcBorders>
            <w:shd w:val="clear" w:color="auto" w:fill="FFFFFF"/>
          </w:tcPr>
          <w:p w14:paraId="440C7533" w14:textId="77777777" w:rsidR="00A169FB" w:rsidRPr="009A27ED" w:rsidRDefault="00A169FB" w:rsidP="00DF1AF5">
            <w:pPr>
              <w:spacing w:after="0" w:line="256" w:lineRule="auto"/>
              <w:rPr>
                <w:rFonts w:eastAsia="Times New Roman"/>
                <w:color w:val="212121"/>
                <w:sz w:val="20"/>
                <w:szCs w:val="20"/>
                <w:lang w:val="es-DO" w:eastAsia="es-ES_tradnl"/>
              </w:rPr>
            </w:pPr>
            <w:r w:rsidRPr="009A27ED">
              <w:rPr>
                <w:b/>
                <w:bCs/>
                <w:color w:val="212121"/>
                <w:sz w:val="20"/>
                <w:szCs w:val="20"/>
                <w:lang w:val="es-DO"/>
              </w:rPr>
              <w:lastRenderedPageBreak/>
              <w:t xml:space="preserve">3. Sistemas agroforestales: (SAF Café, Cacao): </w:t>
            </w:r>
            <w:r w:rsidRPr="009A27ED">
              <w:rPr>
                <w:color w:val="212121"/>
                <w:sz w:val="20"/>
                <w:szCs w:val="20"/>
                <w:lang w:val="es-DO"/>
              </w:rPr>
              <w:t>Actividades que fomentan la agroforestería, promoviendo el uso de especies nativas y endémicas para generar un incremento de beneficios económicos y sociales para los productores, manteniendo la cubierta forestal y otros servicios ecosistémicos, incluida la captura de Carbono (CO2). Actividades tales como la apicultura, producción de café y cacao bajo sombra, entre otros.</w:t>
            </w:r>
          </w:p>
          <w:p w14:paraId="2CF8F6D3" w14:textId="77777777" w:rsidR="00A169FB" w:rsidRPr="009A27ED" w:rsidRDefault="00A169FB" w:rsidP="00DF1AF5">
            <w:pPr>
              <w:spacing w:after="0" w:line="256" w:lineRule="auto"/>
              <w:rPr>
                <w:color w:val="212121"/>
                <w:sz w:val="20"/>
                <w:szCs w:val="20"/>
                <w:lang w:val="es-DO"/>
              </w:rPr>
            </w:pPr>
          </w:p>
          <w:p w14:paraId="6621D990" w14:textId="77777777" w:rsidR="00A169FB" w:rsidRPr="009A27ED" w:rsidRDefault="00A169FB" w:rsidP="00DF1AF5">
            <w:pPr>
              <w:spacing w:after="0" w:line="256" w:lineRule="auto"/>
              <w:rPr>
                <w:b/>
                <w:bCs/>
                <w:color w:val="212121"/>
                <w:sz w:val="20"/>
                <w:szCs w:val="20"/>
                <w:lang w:val="es-DO"/>
              </w:rPr>
            </w:pPr>
            <w:r w:rsidRPr="009A27ED">
              <w:rPr>
                <w:bCs/>
                <w:i/>
                <w:color w:val="000000"/>
                <w:sz w:val="20"/>
                <w:szCs w:val="20"/>
                <w:lang w:val="es-DO"/>
              </w:rPr>
              <w:t>Acciones estratégicas:</w:t>
            </w:r>
            <w:r w:rsidRPr="009A27ED">
              <w:rPr>
                <w:b/>
                <w:bCs/>
                <w:i/>
                <w:color w:val="000000"/>
                <w:sz w:val="20"/>
                <w:szCs w:val="20"/>
                <w:lang w:val="es-DO"/>
              </w:rPr>
              <w:t xml:space="preserve"> </w:t>
            </w:r>
            <w:r w:rsidRPr="009A27ED">
              <w:rPr>
                <w:b/>
                <w:i/>
                <w:sz w:val="20"/>
                <w:szCs w:val="20"/>
                <w:lang w:val="es-DO"/>
              </w:rPr>
              <w:t>3.1, 3.2, 3.4, 3.6</w:t>
            </w:r>
          </w:p>
        </w:tc>
        <w:tc>
          <w:tcPr>
            <w:tcW w:w="2520"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3BA44C25" w14:textId="77777777" w:rsidR="00A169FB" w:rsidRPr="009A27ED" w:rsidRDefault="00A169FB" w:rsidP="00DF1AF5">
            <w:pPr>
              <w:spacing w:after="0" w:line="256" w:lineRule="auto"/>
              <w:rPr>
                <w:color w:val="000000"/>
                <w:sz w:val="20"/>
                <w:szCs w:val="20"/>
                <w:lang w:val="es-DO"/>
              </w:rPr>
            </w:pPr>
            <w:r w:rsidRPr="009A27ED">
              <w:rPr>
                <w:color w:val="000000"/>
                <w:sz w:val="20"/>
                <w:szCs w:val="20"/>
                <w:lang w:val="es-DO"/>
              </w:rPr>
              <w:t>3.1. Fomento de la Agroforestería, promoviendo el uso de especies nativas y endémicas para generar un incremento de beneficios económicos y sociales para los productores, manteniendo la cubierta forestal y otros servicios ecosistémicos, incluida la captura de carbono (CO2).</w:t>
            </w:r>
          </w:p>
          <w:p w14:paraId="2909F153" w14:textId="77777777" w:rsidR="00A169FB" w:rsidRPr="009A27ED" w:rsidRDefault="00A169FB" w:rsidP="00DF1AF5">
            <w:pPr>
              <w:spacing w:after="0" w:line="256" w:lineRule="auto"/>
              <w:rPr>
                <w:color w:val="000000"/>
                <w:sz w:val="20"/>
                <w:szCs w:val="20"/>
                <w:lang w:val="es-DO"/>
              </w:rPr>
            </w:pPr>
            <w:r w:rsidRPr="009A27ED">
              <w:rPr>
                <w:color w:val="000000"/>
                <w:sz w:val="20"/>
                <w:szCs w:val="20"/>
                <w:lang w:val="es-DO"/>
              </w:rPr>
              <w:t xml:space="preserve">3.2. Actividades tales como la apicultura, producción de </w:t>
            </w:r>
            <w:r w:rsidRPr="009A27ED">
              <w:rPr>
                <w:b/>
                <w:bCs/>
                <w:color w:val="000000"/>
                <w:sz w:val="20"/>
                <w:szCs w:val="20"/>
                <w:lang w:val="es-DO"/>
              </w:rPr>
              <w:t xml:space="preserve">café y cacao bajo sombra, </w:t>
            </w:r>
            <w:r w:rsidRPr="009A27ED">
              <w:rPr>
                <w:color w:val="000000"/>
                <w:sz w:val="20"/>
                <w:szCs w:val="20"/>
                <w:lang w:val="es-DO"/>
              </w:rPr>
              <w:t>entre otros.</w:t>
            </w:r>
          </w:p>
          <w:p w14:paraId="7D7BB45F" w14:textId="77777777" w:rsidR="00A169FB" w:rsidRPr="009A27ED" w:rsidRDefault="00A169FB" w:rsidP="00DF1AF5">
            <w:pPr>
              <w:spacing w:after="0" w:line="256" w:lineRule="auto"/>
              <w:rPr>
                <w:color w:val="000000"/>
                <w:sz w:val="20"/>
                <w:szCs w:val="20"/>
                <w:lang w:val="es-DO"/>
              </w:rPr>
            </w:pPr>
            <w:r w:rsidRPr="009A27ED">
              <w:rPr>
                <w:color w:val="000000"/>
                <w:sz w:val="20"/>
                <w:szCs w:val="20"/>
                <w:lang w:val="es-DO"/>
              </w:rPr>
              <w:t>3.3. Monitoreo y seguimiento: actividades de monitoreo forestal, de carbono, de biodiversidad, de agua.</w:t>
            </w:r>
          </w:p>
        </w:tc>
        <w:tc>
          <w:tcPr>
            <w:tcW w:w="3060"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0DC39BB2" w14:textId="77777777" w:rsidR="00A169FB" w:rsidRPr="009A27ED" w:rsidRDefault="00A169FB" w:rsidP="00DF1AF5">
            <w:pPr>
              <w:spacing w:after="0" w:line="256" w:lineRule="auto"/>
              <w:rPr>
                <w:sz w:val="20"/>
                <w:szCs w:val="20"/>
                <w:lang w:val="es-DO"/>
              </w:rPr>
            </w:pPr>
            <w:r w:rsidRPr="009A27ED">
              <w:rPr>
                <w:i/>
                <w:sz w:val="20"/>
                <w:szCs w:val="20"/>
                <w:u w:val="single"/>
                <w:lang w:val="es-DO"/>
              </w:rPr>
              <w:t>Producción de plántulas</w:t>
            </w:r>
            <w:r w:rsidRPr="009A27ED">
              <w:rPr>
                <w:sz w:val="20"/>
                <w:szCs w:val="20"/>
                <w:lang w:val="es-DO"/>
              </w:rPr>
              <w:t>:</w:t>
            </w:r>
          </w:p>
          <w:p w14:paraId="2438C6D2" w14:textId="77777777" w:rsidR="00A169FB" w:rsidRPr="009A27ED" w:rsidRDefault="00A169FB" w:rsidP="00E67CB0">
            <w:pPr>
              <w:pStyle w:val="Prrafodelista"/>
              <w:numPr>
                <w:ilvl w:val="0"/>
                <w:numId w:val="247"/>
              </w:numPr>
              <w:spacing w:after="0" w:line="256" w:lineRule="auto"/>
              <w:jc w:val="left"/>
              <w:rPr>
                <w:sz w:val="20"/>
                <w:szCs w:val="20"/>
                <w:lang w:val="es-DO"/>
              </w:rPr>
            </w:pPr>
            <w:r w:rsidRPr="009A27ED">
              <w:rPr>
                <w:sz w:val="20"/>
                <w:szCs w:val="20"/>
                <w:lang w:val="es-DO"/>
              </w:rPr>
              <w:t>Adquisición de material de siembra o establecimiento de semilleros y almácigos</w:t>
            </w:r>
          </w:p>
          <w:p w14:paraId="313020E2" w14:textId="77777777" w:rsidR="00A169FB" w:rsidRPr="009A27ED" w:rsidRDefault="00A169FB" w:rsidP="00E67CB0">
            <w:pPr>
              <w:pStyle w:val="Prrafodelista"/>
              <w:numPr>
                <w:ilvl w:val="0"/>
                <w:numId w:val="247"/>
              </w:numPr>
              <w:spacing w:after="0" w:line="256" w:lineRule="auto"/>
              <w:jc w:val="left"/>
              <w:rPr>
                <w:sz w:val="20"/>
                <w:szCs w:val="20"/>
                <w:lang w:val="es-DO"/>
              </w:rPr>
            </w:pPr>
            <w:r w:rsidRPr="009A27ED">
              <w:rPr>
                <w:sz w:val="20"/>
                <w:szCs w:val="20"/>
                <w:lang w:val="es-DO"/>
              </w:rPr>
              <w:t>Riegos, fertilización y manejo integrado de plagas a nivel de vivero</w:t>
            </w:r>
          </w:p>
          <w:p w14:paraId="1E6A5997" w14:textId="77777777" w:rsidR="00A169FB" w:rsidRPr="009A27ED" w:rsidRDefault="00A169FB" w:rsidP="00DF1AF5">
            <w:pPr>
              <w:spacing w:after="0" w:line="256" w:lineRule="auto"/>
              <w:rPr>
                <w:sz w:val="20"/>
                <w:szCs w:val="20"/>
                <w:u w:val="single"/>
                <w:lang w:val="es-DO"/>
              </w:rPr>
            </w:pPr>
            <w:r w:rsidRPr="009A27ED">
              <w:rPr>
                <w:sz w:val="20"/>
                <w:szCs w:val="20"/>
                <w:u w:val="single"/>
                <w:lang w:val="es-DO"/>
              </w:rPr>
              <w:t>Diseño de plantación</w:t>
            </w:r>
          </w:p>
          <w:p w14:paraId="70FBC760" w14:textId="77777777" w:rsidR="00A169FB" w:rsidRPr="009A27ED" w:rsidRDefault="00A169FB" w:rsidP="00E67CB0">
            <w:pPr>
              <w:pStyle w:val="Prrafodelista"/>
              <w:numPr>
                <w:ilvl w:val="0"/>
                <w:numId w:val="248"/>
              </w:numPr>
              <w:spacing w:after="0" w:line="256" w:lineRule="auto"/>
              <w:jc w:val="left"/>
              <w:rPr>
                <w:sz w:val="20"/>
                <w:szCs w:val="20"/>
                <w:lang w:val="es-DO"/>
              </w:rPr>
            </w:pPr>
            <w:r w:rsidRPr="009A27ED">
              <w:rPr>
                <w:sz w:val="20"/>
                <w:szCs w:val="20"/>
                <w:lang w:val="es-DO"/>
              </w:rPr>
              <w:t>Identificación de predios dispuestos a desarrollar la actividad.</w:t>
            </w:r>
          </w:p>
          <w:p w14:paraId="061C9FB2" w14:textId="77777777" w:rsidR="00A169FB" w:rsidRPr="009A27ED" w:rsidRDefault="00A169FB" w:rsidP="00E67CB0">
            <w:pPr>
              <w:pStyle w:val="Prrafodelista"/>
              <w:numPr>
                <w:ilvl w:val="0"/>
                <w:numId w:val="248"/>
              </w:numPr>
              <w:spacing w:after="0" w:line="256" w:lineRule="auto"/>
              <w:jc w:val="left"/>
              <w:rPr>
                <w:sz w:val="20"/>
                <w:szCs w:val="20"/>
                <w:lang w:val="es-DO"/>
              </w:rPr>
            </w:pPr>
            <w:r w:rsidRPr="009A27ED">
              <w:rPr>
                <w:sz w:val="20"/>
                <w:szCs w:val="20"/>
                <w:lang w:val="es-DO"/>
              </w:rPr>
              <w:t>Sensibilización y capacitación a beneficiarios</w:t>
            </w:r>
          </w:p>
          <w:p w14:paraId="13271FD9" w14:textId="77777777" w:rsidR="00A169FB" w:rsidRPr="009A27ED" w:rsidRDefault="00A169FB" w:rsidP="00E67CB0">
            <w:pPr>
              <w:pStyle w:val="Prrafodelista"/>
              <w:numPr>
                <w:ilvl w:val="0"/>
                <w:numId w:val="248"/>
              </w:numPr>
              <w:spacing w:after="0" w:line="256" w:lineRule="auto"/>
              <w:jc w:val="left"/>
              <w:rPr>
                <w:sz w:val="20"/>
                <w:szCs w:val="20"/>
                <w:lang w:val="es-DO"/>
              </w:rPr>
            </w:pPr>
            <w:r w:rsidRPr="009A27ED">
              <w:rPr>
                <w:sz w:val="20"/>
                <w:szCs w:val="20"/>
                <w:lang w:val="es-DO"/>
              </w:rPr>
              <w:t>Diseño de plantación</w:t>
            </w:r>
          </w:p>
          <w:p w14:paraId="5EFD7370" w14:textId="77777777" w:rsidR="00A169FB" w:rsidRPr="009A27ED" w:rsidRDefault="00A169FB" w:rsidP="00DF1AF5">
            <w:pPr>
              <w:spacing w:after="0" w:line="256" w:lineRule="auto"/>
              <w:rPr>
                <w:sz w:val="20"/>
                <w:szCs w:val="20"/>
                <w:lang w:val="es-DO"/>
              </w:rPr>
            </w:pPr>
            <w:r w:rsidRPr="009A27ED">
              <w:rPr>
                <w:i/>
                <w:sz w:val="20"/>
                <w:szCs w:val="20"/>
                <w:u w:val="single"/>
                <w:lang w:val="es-DO"/>
              </w:rPr>
              <w:t>Establecimiento</w:t>
            </w:r>
            <w:r w:rsidRPr="009A27ED">
              <w:rPr>
                <w:sz w:val="20"/>
                <w:szCs w:val="20"/>
                <w:lang w:val="es-DO"/>
              </w:rPr>
              <w:t xml:space="preserve"> </w:t>
            </w:r>
          </w:p>
          <w:p w14:paraId="3C4284F3" w14:textId="77777777" w:rsidR="00A169FB" w:rsidRPr="009A27ED" w:rsidRDefault="00A169FB" w:rsidP="00E67CB0">
            <w:pPr>
              <w:pStyle w:val="Prrafodelista"/>
              <w:numPr>
                <w:ilvl w:val="0"/>
                <w:numId w:val="249"/>
              </w:numPr>
              <w:spacing w:after="0" w:line="256" w:lineRule="auto"/>
              <w:jc w:val="left"/>
              <w:rPr>
                <w:sz w:val="20"/>
                <w:szCs w:val="20"/>
                <w:lang w:val="es-DO"/>
              </w:rPr>
            </w:pPr>
            <w:r w:rsidRPr="009A27ED">
              <w:rPr>
                <w:sz w:val="20"/>
                <w:szCs w:val="20"/>
                <w:lang w:val="es-DO"/>
              </w:rPr>
              <w:t xml:space="preserve">Preparación de terreno </w:t>
            </w:r>
          </w:p>
          <w:p w14:paraId="5EF34261" w14:textId="77777777" w:rsidR="00A169FB" w:rsidRPr="009A27ED" w:rsidRDefault="00A169FB" w:rsidP="00E67CB0">
            <w:pPr>
              <w:pStyle w:val="Prrafodelista"/>
              <w:numPr>
                <w:ilvl w:val="0"/>
                <w:numId w:val="249"/>
              </w:numPr>
              <w:spacing w:after="0" w:line="256" w:lineRule="auto"/>
              <w:jc w:val="left"/>
              <w:rPr>
                <w:sz w:val="20"/>
                <w:szCs w:val="20"/>
                <w:lang w:val="es-DO"/>
              </w:rPr>
            </w:pPr>
            <w:r w:rsidRPr="009A27ED">
              <w:rPr>
                <w:sz w:val="20"/>
                <w:szCs w:val="20"/>
                <w:lang w:val="es-DO"/>
              </w:rPr>
              <w:t>Plantación</w:t>
            </w:r>
          </w:p>
          <w:p w14:paraId="354676DB" w14:textId="77777777" w:rsidR="00A169FB" w:rsidRPr="009A27ED" w:rsidRDefault="00A169FB" w:rsidP="00E67CB0">
            <w:pPr>
              <w:pStyle w:val="Prrafodelista"/>
              <w:numPr>
                <w:ilvl w:val="0"/>
                <w:numId w:val="249"/>
              </w:numPr>
              <w:spacing w:after="0" w:line="256" w:lineRule="auto"/>
              <w:jc w:val="left"/>
              <w:rPr>
                <w:sz w:val="20"/>
                <w:szCs w:val="20"/>
                <w:lang w:val="es-DO"/>
              </w:rPr>
            </w:pPr>
            <w:r w:rsidRPr="009A27ED">
              <w:rPr>
                <w:sz w:val="20"/>
                <w:szCs w:val="20"/>
                <w:lang w:val="es-DO"/>
              </w:rPr>
              <w:t xml:space="preserve">Reposición de plántula y limpieza </w:t>
            </w:r>
          </w:p>
          <w:p w14:paraId="6B4A6D72" w14:textId="77777777" w:rsidR="00A169FB" w:rsidRPr="009A27ED" w:rsidRDefault="00A169FB" w:rsidP="00E67CB0">
            <w:pPr>
              <w:pStyle w:val="Prrafodelista"/>
              <w:numPr>
                <w:ilvl w:val="0"/>
                <w:numId w:val="249"/>
              </w:numPr>
              <w:spacing w:after="0" w:line="256" w:lineRule="auto"/>
              <w:jc w:val="left"/>
              <w:rPr>
                <w:sz w:val="20"/>
                <w:szCs w:val="20"/>
                <w:lang w:val="es-DO"/>
              </w:rPr>
            </w:pPr>
            <w:r w:rsidRPr="009A27ED">
              <w:rPr>
                <w:sz w:val="20"/>
                <w:szCs w:val="20"/>
                <w:lang w:val="es-DO"/>
              </w:rPr>
              <w:t>Riegos y cuidado de las plántulas</w:t>
            </w:r>
          </w:p>
          <w:p w14:paraId="2155AFF8" w14:textId="77777777" w:rsidR="00A169FB" w:rsidRPr="009A27ED" w:rsidRDefault="00A169FB" w:rsidP="00DF1AF5">
            <w:pPr>
              <w:spacing w:after="0" w:line="256" w:lineRule="auto"/>
              <w:rPr>
                <w:sz w:val="20"/>
                <w:szCs w:val="20"/>
                <w:u w:val="single"/>
                <w:lang w:val="es-DO"/>
              </w:rPr>
            </w:pPr>
            <w:r w:rsidRPr="009A27ED">
              <w:rPr>
                <w:sz w:val="20"/>
                <w:szCs w:val="20"/>
                <w:u w:val="single"/>
                <w:lang w:val="es-DO"/>
              </w:rPr>
              <w:t xml:space="preserve">Mantenimiento: </w:t>
            </w:r>
          </w:p>
          <w:p w14:paraId="6F4C72D1" w14:textId="77777777" w:rsidR="00A169FB" w:rsidRPr="009A27ED" w:rsidRDefault="00A169FB" w:rsidP="00E67CB0">
            <w:pPr>
              <w:pStyle w:val="Prrafodelista"/>
              <w:numPr>
                <w:ilvl w:val="0"/>
                <w:numId w:val="250"/>
              </w:numPr>
              <w:spacing w:after="0" w:line="256" w:lineRule="auto"/>
              <w:jc w:val="left"/>
              <w:rPr>
                <w:sz w:val="20"/>
                <w:szCs w:val="20"/>
                <w:lang w:val="es-DO"/>
              </w:rPr>
            </w:pPr>
            <w:r w:rsidRPr="009A27ED">
              <w:rPr>
                <w:sz w:val="20"/>
                <w:szCs w:val="20"/>
                <w:lang w:val="es-DO"/>
              </w:rPr>
              <w:t>Deshierbes, podas y aclareos</w:t>
            </w:r>
          </w:p>
          <w:p w14:paraId="62DD9ED4" w14:textId="77777777" w:rsidR="00A169FB" w:rsidRPr="009A27ED" w:rsidRDefault="00A169FB" w:rsidP="00E67CB0">
            <w:pPr>
              <w:pStyle w:val="Prrafodelista"/>
              <w:numPr>
                <w:ilvl w:val="0"/>
                <w:numId w:val="250"/>
              </w:numPr>
              <w:spacing w:after="0" w:line="256" w:lineRule="auto"/>
              <w:jc w:val="left"/>
              <w:rPr>
                <w:sz w:val="20"/>
                <w:szCs w:val="20"/>
                <w:lang w:val="es-DO"/>
              </w:rPr>
            </w:pPr>
            <w:r w:rsidRPr="009A27ED">
              <w:rPr>
                <w:sz w:val="20"/>
                <w:szCs w:val="20"/>
                <w:lang w:val="es-DO"/>
              </w:rPr>
              <w:t>Fertilización y manejo integrado de plagas.</w:t>
            </w:r>
          </w:p>
          <w:p w14:paraId="6B232239" w14:textId="77777777" w:rsidR="00A169FB" w:rsidRPr="009A27ED" w:rsidRDefault="00A169FB" w:rsidP="00DF1AF5">
            <w:pPr>
              <w:spacing w:after="0" w:line="256" w:lineRule="auto"/>
              <w:rPr>
                <w:color w:val="000000"/>
                <w:sz w:val="20"/>
                <w:szCs w:val="20"/>
                <w:lang w:val="es-DO"/>
              </w:rPr>
            </w:pPr>
            <w:r w:rsidRPr="009A27ED">
              <w:rPr>
                <w:sz w:val="20"/>
                <w:szCs w:val="20"/>
                <w:lang w:val="es-DO"/>
              </w:rPr>
              <w:t>Supervisión, monitoreo, reporte de la actividad.</w:t>
            </w:r>
          </w:p>
        </w:tc>
        <w:tc>
          <w:tcPr>
            <w:tcW w:w="4050" w:type="dxa"/>
            <w:tcBorders>
              <w:top w:val="single" w:sz="4" w:space="0" w:color="auto"/>
              <w:left w:val="single" w:sz="4" w:space="0" w:color="auto"/>
              <w:bottom w:val="single" w:sz="4" w:space="0" w:color="auto"/>
              <w:right w:val="single" w:sz="4" w:space="0" w:color="auto"/>
            </w:tcBorders>
            <w:shd w:val="clear" w:color="auto" w:fill="FFFFFF"/>
            <w:hideMark/>
          </w:tcPr>
          <w:p w14:paraId="3DE4E489"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 xml:space="preserve">Contaminación de suelo y acuíferos. Afecciones a la salud por uso inadecuado de pesticidas. </w:t>
            </w:r>
          </w:p>
          <w:p w14:paraId="1120311E"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Erosión del suelo, pérdida de sus propiedades físicas y químicas y de la vegetación.</w:t>
            </w:r>
          </w:p>
          <w:p w14:paraId="1B08FB1B"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 xml:space="preserve">Impactos sobre la biodiversidad local. </w:t>
            </w:r>
          </w:p>
          <w:p w14:paraId="4295FEEB"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 xml:space="preserve">Afección a acuíferos poco profundos. </w:t>
            </w:r>
          </w:p>
          <w:p w14:paraId="0F615B7C"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Incendios forestales.</w:t>
            </w:r>
          </w:p>
          <w:p w14:paraId="24FF5CEB"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Incentivar la ampliación de cafetales y cultivos de cacao, asociado a un interés de incrementar la producción, provocando un cambio de uso de suelo.</w:t>
            </w:r>
          </w:p>
          <w:p w14:paraId="739C780A"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Presencia de plagas y enfermedades.</w:t>
            </w:r>
          </w:p>
          <w:p w14:paraId="54B5FB36"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Promoción de las plantaciones sobre los bosques</w:t>
            </w:r>
          </w:p>
          <w:p w14:paraId="64732FE4"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Riesgos sanitarios por mala manipulación de agroquímicos</w:t>
            </w:r>
          </w:p>
          <w:p w14:paraId="32011F89"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Uso de semillas no aprobadas por el Ministerio de Agronomía, que conlleven a una pérdida de las especies nativas. Perdida de la biodiversidad de la región.</w:t>
            </w:r>
          </w:p>
        </w:tc>
        <w:tc>
          <w:tcPr>
            <w:tcW w:w="6660"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6FAA13EC" w14:textId="024C9233" w:rsidR="00CD240D" w:rsidRPr="009A27ED" w:rsidRDefault="00CD240D" w:rsidP="0080132C">
            <w:pPr>
              <w:pStyle w:val="Prrafodelista"/>
              <w:numPr>
                <w:ilvl w:val="0"/>
                <w:numId w:val="314"/>
              </w:numPr>
              <w:spacing w:after="0" w:line="240" w:lineRule="auto"/>
              <w:rPr>
                <w:rFonts w:ascii="Calibri" w:eastAsia="Times New Roman" w:hAnsi="Calibri" w:cs="Calibri"/>
                <w:sz w:val="20"/>
                <w:szCs w:val="20"/>
              </w:rPr>
            </w:pPr>
            <w:r w:rsidRPr="009A27ED">
              <w:rPr>
                <w:rFonts w:ascii="Calibri" w:eastAsia="Times New Roman" w:hAnsi="Calibri" w:cs="Calibri"/>
                <w:sz w:val="20"/>
                <w:szCs w:val="20"/>
              </w:rPr>
              <w:t xml:space="preserve">Se planifica las actividades del sistema </w:t>
            </w:r>
            <w:r w:rsidR="00355503" w:rsidRPr="009A27ED">
              <w:rPr>
                <w:rFonts w:ascii="Calibri" w:eastAsia="Times New Roman" w:hAnsi="Calibri" w:cs="Calibri"/>
                <w:sz w:val="20"/>
                <w:szCs w:val="20"/>
              </w:rPr>
              <w:t>agroforestal considerando</w:t>
            </w:r>
            <w:r w:rsidRPr="009A27ED">
              <w:rPr>
                <w:rFonts w:ascii="Calibri" w:eastAsia="Times New Roman" w:hAnsi="Calibri" w:cs="Calibri"/>
                <w:sz w:val="20"/>
                <w:szCs w:val="20"/>
              </w:rPr>
              <w:t xml:space="preserve"> que las labores forestales, agrícolas y las especies a implementar sean compatibles con los requerimientos de hábitat de especies vulnerables y especies en peligro de extinción. Cuando corresponda, se establecen medidas que permitan el resguardo de la cuenca alta de los ríos. Se utilizan especies conforme criterio técnico de Dirección de Biodiversidad y Vida Silvestre.     </w:t>
            </w:r>
          </w:p>
          <w:p w14:paraId="6ACB4A7B" w14:textId="7FB66DD4" w:rsidR="00CD240D" w:rsidRPr="009A27ED" w:rsidRDefault="00CD240D" w:rsidP="0080132C">
            <w:pPr>
              <w:pStyle w:val="Prrafodelista"/>
              <w:numPr>
                <w:ilvl w:val="0"/>
                <w:numId w:val="314"/>
              </w:numPr>
              <w:spacing w:after="0" w:line="240" w:lineRule="auto"/>
              <w:rPr>
                <w:rFonts w:ascii="Calibri" w:eastAsia="Times New Roman" w:hAnsi="Calibri" w:cs="Calibri"/>
                <w:sz w:val="20"/>
                <w:szCs w:val="20"/>
              </w:rPr>
            </w:pPr>
            <w:r w:rsidRPr="009A27ED">
              <w:rPr>
                <w:rFonts w:ascii="Calibri" w:eastAsia="Times New Roman" w:hAnsi="Calibri" w:cs="Calibri"/>
                <w:sz w:val="20"/>
                <w:szCs w:val="20"/>
              </w:rPr>
              <w:t xml:space="preserve">Se utilizan especies nativas. El germoplasma se colecta de individuos sanos y vigorosos que cumplen con las características deseadas de acuerdo con el objetivo. Se utilizan especies autorizadas por la Dirección de Biodiversidad para la siembra de árboles de sombra.      </w:t>
            </w:r>
          </w:p>
          <w:p w14:paraId="13F5335E" w14:textId="77777777" w:rsidR="00CD240D" w:rsidRPr="009A27ED" w:rsidRDefault="00CD240D" w:rsidP="0080132C">
            <w:pPr>
              <w:pStyle w:val="Prrafodelista"/>
              <w:numPr>
                <w:ilvl w:val="0"/>
                <w:numId w:val="314"/>
              </w:numPr>
              <w:spacing w:after="0" w:line="240" w:lineRule="auto"/>
              <w:rPr>
                <w:rFonts w:ascii="Calibri" w:eastAsia="Times New Roman" w:hAnsi="Calibri" w:cs="Calibri"/>
                <w:sz w:val="20"/>
                <w:szCs w:val="20"/>
              </w:rPr>
            </w:pPr>
            <w:r w:rsidRPr="009A27ED">
              <w:rPr>
                <w:rFonts w:ascii="Calibri" w:eastAsia="Times New Roman" w:hAnsi="Calibri" w:cs="Calibri"/>
                <w:sz w:val="20"/>
                <w:szCs w:val="20"/>
              </w:rPr>
              <w:t xml:space="preserve">Se utilizan especies agrícolas y forestales no invasoras, que cumplan con los criterios técnicos de la Dirección de Biodiversidad y Vida Silvestre.      </w:t>
            </w:r>
          </w:p>
          <w:p w14:paraId="40C0592B" w14:textId="77777777" w:rsidR="00CD240D" w:rsidRPr="009A27ED" w:rsidRDefault="00CD240D" w:rsidP="0080132C">
            <w:pPr>
              <w:pStyle w:val="Prrafodelista"/>
              <w:numPr>
                <w:ilvl w:val="0"/>
                <w:numId w:val="314"/>
              </w:numPr>
              <w:spacing w:after="0" w:line="240" w:lineRule="auto"/>
              <w:rPr>
                <w:rFonts w:ascii="Calibri" w:eastAsia="Times New Roman" w:hAnsi="Calibri" w:cs="Calibri"/>
                <w:sz w:val="20"/>
                <w:szCs w:val="20"/>
              </w:rPr>
            </w:pPr>
            <w:r w:rsidRPr="009A27ED">
              <w:rPr>
                <w:rFonts w:ascii="Calibri" w:eastAsia="Times New Roman" w:hAnsi="Calibri" w:cs="Calibri"/>
                <w:sz w:val="20"/>
                <w:szCs w:val="20"/>
              </w:rPr>
              <w:t>Seleccionar especies basadas en el sitio y en los objetivos de manejo. Se utilizan especies forestales no invasoras con posibilidad de cubrir más rápidamente las superficies desprovistas de vegetación. Las plantas obtenidas del vivero cumplen con los parámetros de calidad (diámetro de tallo, altura de planta, raíz, micorrizas, lignificación, vigor y sanidad). El traslado de las plántulas al sitio de reforestación se realiza de manera adecuada.</w:t>
            </w:r>
          </w:p>
          <w:p w14:paraId="2E298D0E" w14:textId="6699241B" w:rsidR="00CD240D" w:rsidRPr="009A27ED" w:rsidRDefault="00CD240D" w:rsidP="0080132C">
            <w:pPr>
              <w:pStyle w:val="Prrafodelista"/>
              <w:numPr>
                <w:ilvl w:val="0"/>
                <w:numId w:val="314"/>
              </w:numPr>
              <w:spacing w:after="0" w:line="240" w:lineRule="auto"/>
              <w:rPr>
                <w:rFonts w:ascii="Calibri" w:eastAsia="Times New Roman" w:hAnsi="Calibri" w:cs="Calibri"/>
                <w:sz w:val="20"/>
                <w:szCs w:val="20"/>
              </w:rPr>
            </w:pPr>
            <w:r w:rsidRPr="009A27ED">
              <w:rPr>
                <w:rFonts w:ascii="Calibri" w:eastAsia="Times New Roman" w:hAnsi="Calibri" w:cs="Calibri"/>
                <w:sz w:val="20"/>
                <w:szCs w:val="20"/>
              </w:rPr>
              <w:t>Se conserva o enriquece la materia orgánica del suelo. Se practican técnicas de estabilización de riberas de ríos, arroyos y cañadas. Estabilización de taludes. Se distribuyen los residuos de la cosecha forestal sobre el suelo. Se mantienen libre de residuos contaminantes las áreas bajo manejo. Considerar la normatividad y medidas sobre el uso y manejo de los fertilizantes y plaguicidas. En las cuencas altas se realizan acciones como: retención de árboles muertos en pie y árboles que sobrepasan el dosel superior, construcción de brechas contrafuego, realización de obras de conservación y restauración de suelos, uso controlado de productos químicos.</w:t>
            </w:r>
          </w:p>
          <w:p w14:paraId="0B15220A" w14:textId="77777777" w:rsidR="00CD240D" w:rsidRPr="009A27ED" w:rsidRDefault="00CD240D" w:rsidP="0080132C">
            <w:pPr>
              <w:pStyle w:val="Prrafodelista"/>
              <w:numPr>
                <w:ilvl w:val="0"/>
                <w:numId w:val="314"/>
              </w:numPr>
              <w:spacing w:after="0" w:line="240" w:lineRule="auto"/>
              <w:rPr>
                <w:rFonts w:ascii="Calibri" w:eastAsia="Times New Roman" w:hAnsi="Calibri" w:cs="Calibri"/>
                <w:sz w:val="20"/>
                <w:szCs w:val="20"/>
              </w:rPr>
            </w:pPr>
            <w:r w:rsidRPr="009A27ED">
              <w:rPr>
                <w:rFonts w:ascii="Calibri" w:eastAsia="Times New Roman" w:hAnsi="Calibri" w:cs="Calibri"/>
                <w:sz w:val="20"/>
                <w:szCs w:val="20"/>
              </w:rPr>
              <w:t>Conservar la cobertura forestal natural.</w:t>
            </w:r>
          </w:p>
          <w:p w14:paraId="44C785D7" w14:textId="77777777" w:rsidR="00CD240D" w:rsidRPr="009A27ED" w:rsidRDefault="00CD240D" w:rsidP="0080132C">
            <w:pPr>
              <w:pStyle w:val="Prrafodelista"/>
              <w:numPr>
                <w:ilvl w:val="0"/>
                <w:numId w:val="314"/>
              </w:numPr>
              <w:spacing w:after="0" w:line="240" w:lineRule="auto"/>
              <w:rPr>
                <w:rFonts w:ascii="Calibri" w:eastAsia="Times New Roman" w:hAnsi="Calibri" w:cs="Calibri"/>
                <w:sz w:val="20"/>
                <w:szCs w:val="20"/>
              </w:rPr>
            </w:pPr>
            <w:r w:rsidRPr="009A27ED">
              <w:rPr>
                <w:rFonts w:ascii="Calibri" w:eastAsia="Times New Roman" w:hAnsi="Calibri" w:cs="Calibri"/>
                <w:sz w:val="20"/>
                <w:szCs w:val="20"/>
              </w:rPr>
              <w:t>Se involucran actores locales y se establecen alternativas de producción sostenibles. Fortalecimiento de la capacitación en supervisión y monitoreo de salvaguardas para el manejo de los recursos naturales, en donde los actores locales forman parte del monitoreo y prevención de desastres. Ministerio de Medio Ambiente establece brigadas, para el control de fuego. Construcción de trochas contrafuego.</w:t>
            </w:r>
          </w:p>
          <w:p w14:paraId="35666964" w14:textId="77777777" w:rsidR="00CD240D" w:rsidRPr="009A27ED" w:rsidRDefault="00CD240D" w:rsidP="0080132C">
            <w:pPr>
              <w:pStyle w:val="Prrafodelista"/>
              <w:numPr>
                <w:ilvl w:val="0"/>
                <w:numId w:val="314"/>
              </w:numPr>
              <w:spacing w:after="0" w:line="240" w:lineRule="auto"/>
              <w:rPr>
                <w:rFonts w:ascii="Calibri" w:eastAsia="Times New Roman" w:hAnsi="Calibri" w:cs="Calibri"/>
                <w:sz w:val="20"/>
                <w:szCs w:val="20"/>
              </w:rPr>
            </w:pPr>
            <w:r w:rsidRPr="009A27ED">
              <w:rPr>
                <w:rFonts w:ascii="Calibri" w:eastAsia="Times New Roman" w:hAnsi="Calibri" w:cs="Calibri"/>
                <w:sz w:val="20"/>
                <w:szCs w:val="20"/>
              </w:rPr>
              <w:t>Se realiza detección de plagas y enfermedades mediante monitoreos continuos, que implica la realización de recorridos en campo o sitios donde se establece la reforestación. Eliminación de plantas dentro del sembradío y sus alrededores que pueden ser hospederas alternas de plagas o enfermedades. Se realiza control mecánico y físico de plagas. Se realiza raleo sanitario dentro de las plantaciones que están afectados severamente y cuya condición no puede revertirse. Se conserva o enriquece la materia orgánica del suelo mediante la rotación de cultivos</w:t>
            </w:r>
          </w:p>
          <w:p w14:paraId="1778773E" w14:textId="1919D031" w:rsidR="00A169FB" w:rsidRPr="009A27ED" w:rsidRDefault="00CD240D" w:rsidP="0080132C">
            <w:pPr>
              <w:pStyle w:val="Prrafodelista"/>
              <w:numPr>
                <w:ilvl w:val="0"/>
                <w:numId w:val="246"/>
              </w:numPr>
              <w:spacing w:before="120" w:after="0" w:line="254" w:lineRule="auto"/>
              <w:ind w:left="230" w:hanging="142"/>
              <w:rPr>
                <w:sz w:val="20"/>
                <w:szCs w:val="20"/>
                <w:lang w:val="es-DO"/>
              </w:rPr>
            </w:pPr>
            <w:r w:rsidRPr="009A27ED">
              <w:rPr>
                <w:rFonts w:ascii="Calibri" w:eastAsia="Times New Roman" w:hAnsi="Calibri" w:cs="Calibri"/>
                <w:sz w:val="20"/>
                <w:szCs w:val="20"/>
                <w:lang w:val="es-ES"/>
              </w:rPr>
              <w:lastRenderedPageBreak/>
              <w:t xml:space="preserve">Se establecen protocolos para el uso de insumos químicos y se capacita en el uso de </w:t>
            </w:r>
            <w:proofErr w:type="gramStart"/>
            <w:r w:rsidRPr="009A27ED">
              <w:rPr>
                <w:rFonts w:ascii="Calibri" w:eastAsia="Times New Roman" w:hAnsi="Calibri" w:cs="Calibri"/>
                <w:sz w:val="20"/>
                <w:szCs w:val="20"/>
                <w:lang w:val="es-ES"/>
              </w:rPr>
              <w:t>los mismos</w:t>
            </w:r>
            <w:proofErr w:type="gramEnd"/>
            <w:r w:rsidRPr="009A27ED">
              <w:rPr>
                <w:rFonts w:ascii="Calibri" w:eastAsia="Times New Roman" w:hAnsi="Calibri" w:cs="Calibri"/>
                <w:sz w:val="20"/>
                <w:szCs w:val="20"/>
                <w:lang w:val="es-ES"/>
              </w:rPr>
              <w:t>.</w:t>
            </w:r>
          </w:p>
        </w:tc>
        <w:tc>
          <w:tcPr>
            <w:tcW w:w="3819"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03833D33" w14:textId="77777777" w:rsidR="00A169FB" w:rsidRPr="009A27ED" w:rsidRDefault="00A169FB" w:rsidP="00DF1AF5">
            <w:pPr>
              <w:spacing w:after="0" w:line="256" w:lineRule="auto"/>
              <w:rPr>
                <w:color w:val="000000"/>
                <w:sz w:val="20"/>
                <w:szCs w:val="20"/>
                <w:lang w:val="es-DO"/>
              </w:rPr>
            </w:pPr>
            <w:r w:rsidRPr="009A27ED">
              <w:rPr>
                <w:color w:val="000000"/>
                <w:sz w:val="20"/>
                <w:szCs w:val="20"/>
                <w:lang w:val="es-DO"/>
              </w:rPr>
              <w:lastRenderedPageBreak/>
              <w:t>PO 4.04. (Hábitats naturales, conservación de hábitats naturales críticos, promoción de biodiversidad, corredores biológicos, servicios ambientales, áreas protegidas).</w:t>
            </w:r>
          </w:p>
          <w:p w14:paraId="5CCF7F6E" w14:textId="77777777" w:rsidR="00A169FB" w:rsidRPr="009A27ED" w:rsidRDefault="00A169FB" w:rsidP="00DF1AF5">
            <w:pPr>
              <w:spacing w:after="0" w:line="256" w:lineRule="auto"/>
              <w:rPr>
                <w:color w:val="000000"/>
                <w:sz w:val="20"/>
                <w:szCs w:val="20"/>
                <w:lang w:val="es-DO"/>
              </w:rPr>
            </w:pPr>
            <w:r w:rsidRPr="009A27ED">
              <w:rPr>
                <w:color w:val="000000"/>
                <w:sz w:val="20"/>
                <w:szCs w:val="20"/>
                <w:lang w:val="es-DO"/>
              </w:rPr>
              <w:t>PO 4.9. (Control de plagas, uso controlado de agroquímicos, uso preferente de medios alternativos físicos y biológicos para control de plagas, seguridad de trabajadores y población y contaminación de suelo y agua).</w:t>
            </w:r>
          </w:p>
          <w:p w14:paraId="1FF6E3F5" w14:textId="77777777" w:rsidR="00A169FB" w:rsidRPr="009A27ED" w:rsidRDefault="00A169FB" w:rsidP="00DF1AF5">
            <w:pPr>
              <w:spacing w:after="0" w:line="256" w:lineRule="auto"/>
              <w:rPr>
                <w:color w:val="000000"/>
                <w:sz w:val="20"/>
                <w:szCs w:val="20"/>
                <w:lang w:val="es-DO"/>
              </w:rPr>
            </w:pPr>
            <w:r w:rsidRPr="009A27ED">
              <w:rPr>
                <w:color w:val="000000"/>
                <w:sz w:val="20"/>
                <w:szCs w:val="20"/>
                <w:lang w:val="es-DO"/>
              </w:rPr>
              <w:t>PO 4.36. (Conservación de bosques, manejo sustentable de bosques, plantaciones, certificación de manejo forestal sostenible y plantaciones, control de incendios).</w:t>
            </w:r>
          </w:p>
        </w:tc>
      </w:tr>
      <w:tr w:rsidR="00A169FB" w:rsidRPr="009A27ED" w14:paraId="440D0D75" w14:textId="77777777" w:rsidTr="00C97A18">
        <w:trPr>
          <w:gridBefore w:val="1"/>
          <w:wBefore w:w="18" w:type="dxa"/>
          <w:trHeight w:val="980"/>
        </w:trPr>
        <w:tc>
          <w:tcPr>
            <w:tcW w:w="2520" w:type="dxa"/>
            <w:tcBorders>
              <w:top w:val="single" w:sz="4" w:space="0" w:color="auto"/>
              <w:left w:val="single" w:sz="4" w:space="0" w:color="auto"/>
              <w:bottom w:val="single" w:sz="4" w:space="0" w:color="auto"/>
              <w:right w:val="single" w:sz="4" w:space="0" w:color="auto"/>
            </w:tcBorders>
            <w:shd w:val="clear" w:color="auto" w:fill="FFFFFF"/>
          </w:tcPr>
          <w:p w14:paraId="10125CC5" w14:textId="4600E2DA" w:rsidR="00A169FB" w:rsidRPr="009A27ED" w:rsidRDefault="00A169FB" w:rsidP="00DF1AF5">
            <w:pPr>
              <w:spacing w:after="0" w:line="256" w:lineRule="auto"/>
              <w:rPr>
                <w:color w:val="000000"/>
                <w:sz w:val="20"/>
                <w:szCs w:val="20"/>
                <w:lang w:val="es-DO"/>
              </w:rPr>
            </w:pPr>
            <w:r w:rsidRPr="009A27ED">
              <w:rPr>
                <w:b/>
                <w:bCs/>
                <w:color w:val="000000"/>
                <w:sz w:val="20"/>
                <w:szCs w:val="20"/>
                <w:lang w:val="es-DO"/>
              </w:rPr>
              <w:t>4. Sistemas Silvopastoriles</w:t>
            </w:r>
            <w:r w:rsidR="00242E07" w:rsidRPr="009A27ED">
              <w:rPr>
                <w:b/>
                <w:bCs/>
                <w:color w:val="000000"/>
                <w:sz w:val="20"/>
                <w:szCs w:val="20"/>
                <w:lang w:val="es-DO"/>
              </w:rPr>
              <w:t xml:space="preserve"> </w:t>
            </w:r>
            <w:r w:rsidR="006B6C2B" w:rsidRPr="009A27ED">
              <w:rPr>
                <w:b/>
                <w:bCs/>
                <w:color w:val="000000"/>
                <w:sz w:val="20"/>
                <w:szCs w:val="20"/>
                <w:lang w:val="es-DO"/>
              </w:rPr>
              <w:t>(arborización de</w:t>
            </w:r>
            <w:r w:rsidR="00242E07" w:rsidRPr="009A27ED">
              <w:rPr>
                <w:b/>
                <w:bCs/>
                <w:color w:val="000000"/>
                <w:sz w:val="20"/>
                <w:szCs w:val="20"/>
                <w:lang w:val="es-DO"/>
              </w:rPr>
              <w:t xml:space="preserve"> fincas ganaderas</w:t>
            </w:r>
            <w:r w:rsidR="006B6C2B" w:rsidRPr="009A27ED">
              <w:rPr>
                <w:b/>
                <w:bCs/>
                <w:color w:val="000000"/>
                <w:sz w:val="20"/>
                <w:szCs w:val="20"/>
                <w:lang w:val="es-DO"/>
              </w:rPr>
              <w:t>)</w:t>
            </w:r>
            <w:r w:rsidRPr="009A27ED">
              <w:rPr>
                <w:b/>
                <w:bCs/>
                <w:color w:val="000000"/>
                <w:sz w:val="20"/>
                <w:szCs w:val="20"/>
                <w:lang w:val="es-DO"/>
              </w:rPr>
              <w:t xml:space="preserve">: </w:t>
            </w:r>
            <w:r w:rsidRPr="009A27ED">
              <w:rPr>
                <w:color w:val="000000"/>
                <w:sz w:val="20"/>
                <w:szCs w:val="20"/>
                <w:lang w:val="es-DO"/>
              </w:rPr>
              <w:t>Actividades destinadas a la conversión de fincas ganaderas a crianza de animales asociados con árboles y arbustos, que proveen algún tipo de forraje preferentemente</w:t>
            </w:r>
            <w:r w:rsidR="004A62C6" w:rsidRPr="009A27ED">
              <w:rPr>
                <w:color w:val="000000"/>
                <w:sz w:val="20"/>
                <w:szCs w:val="20"/>
                <w:lang w:val="es-DO"/>
              </w:rPr>
              <w:t xml:space="preserve"> </w:t>
            </w:r>
            <w:proofErr w:type="spellStart"/>
            <w:r w:rsidR="004A62C6" w:rsidRPr="009A27ED">
              <w:rPr>
                <w:color w:val="000000"/>
                <w:sz w:val="20"/>
                <w:szCs w:val="20"/>
                <w:lang w:val="es-DO"/>
              </w:rPr>
              <w:t>naturalizdo</w:t>
            </w:r>
            <w:proofErr w:type="spellEnd"/>
            <w:r w:rsidR="004A62C6" w:rsidRPr="009A27ED">
              <w:rPr>
                <w:color w:val="000000"/>
                <w:sz w:val="20"/>
                <w:szCs w:val="20"/>
                <w:lang w:val="es-DO"/>
              </w:rPr>
              <w:t>,</w:t>
            </w:r>
            <w:r w:rsidRPr="009A27ED">
              <w:rPr>
                <w:color w:val="000000"/>
                <w:sz w:val="20"/>
                <w:szCs w:val="20"/>
                <w:lang w:val="es-DO"/>
              </w:rPr>
              <w:t xml:space="preserve"> nativos y/o endémicos que sirven para sombra, alimentación y otros usos y a la vez a la captura de carbono (CO2).  El efecto positivo está dirigido a brindar alternativas productivas a los beneficiarios para mantener la frontera del bosque y evitar la expansión de la frontera agropecuaria.</w:t>
            </w:r>
          </w:p>
          <w:p w14:paraId="2B7DA1E6" w14:textId="77777777" w:rsidR="00A169FB" w:rsidRPr="009A27ED" w:rsidRDefault="00A169FB" w:rsidP="00DF1AF5">
            <w:pPr>
              <w:spacing w:after="0" w:line="256" w:lineRule="auto"/>
              <w:rPr>
                <w:color w:val="000000"/>
                <w:sz w:val="20"/>
                <w:szCs w:val="20"/>
                <w:lang w:val="es-DO"/>
              </w:rPr>
            </w:pPr>
          </w:p>
          <w:p w14:paraId="0DB8AE1A" w14:textId="77777777" w:rsidR="00A169FB" w:rsidRPr="009A27ED" w:rsidRDefault="00A169FB" w:rsidP="00DF1AF5">
            <w:pPr>
              <w:spacing w:after="0" w:line="256" w:lineRule="auto"/>
              <w:rPr>
                <w:b/>
                <w:bCs/>
                <w:color w:val="000000"/>
                <w:sz w:val="20"/>
                <w:szCs w:val="20"/>
                <w:lang w:val="es-DO"/>
              </w:rPr>
            </w:pPr>
            <w:r w:rsidRPr="009A27ED">
              <w:rPr>
                <w:bCs/>
                <w:i/>
                <w:color w:val="000000"/>
                <w:sz w:val="20"/>
                <w:szCs w:val="20"/>
                <w:lang w:val="es-DO"/>
              </w:rPr>
              <w:t>Acciones estratégicas:</w:t>
            </w:r>
            <w:r w:rsidRPr="009A27ED">
              <w:rPr>
                <w:b/>
                <w:bCs/>
                <w:i/>
                <w:color w:val="000000"/>
                <w:sz w:val="20"/>
                <w:szCs w:val="20"/>
                <w:lang w:val="es-DO"/>
              </w:rPr>
              <w:t xml:space="preserve"> </w:t>
            </w:r>
            <w:r w:rsidRPr="009A27ED">
              <w:rPr>
                <w:b/>
                <w:i/>
                <w:sz w:val="20"/>
                <w:szCs w:val="20"/>
                <w:lang w:val="es-DO"/>
              </w:rPr>
              <w:t>3.2, 3.6</w:t>
            </w:r>
          </w:p>
        </w:tc>
        <w:tc>
          <w:tcPr>
            <w:tcW w:w="2520"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00FBE21B" w14:textId="77777777" w:rsidR="00A169FB" w:rsidRPr="009A27ED" w:rsidRDefault="00A169FB" w:rsidP="00DF1AF5">
            <w:pPr>
              <w:spacing w:after="0" w:line="256" w:lineRule="auto"/>
              <w:rPr>
                <w:color w:val="000000"/>
                <w:sz w:val="20"/>
                <w:szCs w:val="20"/>
                <w:lang w:val="es-DO"/>
              </w:rPr>
            </w:pPr>
            <w:r w:rsidRPr="009A27ED">
              <w:rPr>
                <w:color w:val="000000"/>
                <w:sz w:val="20"/>
                <w:szCs w:val="20"/>
                <w:lang w:val="es-DO"/>
              </w:rPr>
              <w:t>4.1. Conversión de fincas ganaderas a crianza de animales asociados con árboles y arbustos, que proveen algún tipo de forraje preferentemente nativo y/o endémico que sirven para sombra, alimentación y otros usos y a la vez a la captura de carbono (CO2).</w:t>
            </w:r>
          </w:p>
          <w:p w14:paraId="5A1DE44C" w14:textId="77777777" w:rsidR="00A169FB" w:rsidRPr="009A27ED" w:rsidRDefault="00A169FB" w:rsidP="00DF1AF5">
            <w:pPr>
              <w:spacing w:after="0" w:line="256" w:lineRule="auto"/>
              <w:rPr>
                <w:color w:val="000000"/>
                <w:sz w:val="20"/>
                <w:szCs w:val="20"/>
                <w:lang w:val="es-DO"/>
              </w:rPr>
            </w:pPr>
            <w:r w:rsidRPr="009A27ED">
              <w:rPr>
                <w:color w:val="000000"/>
                <w:sz w:val="20"/>
                <w:szCs w:val="20"/>
                <w:lang w:val="es-DO"/>
              </w:rPr>
              <w:t>4.2. Monitoreo y seguimiento: actividades de monitoreo forestal, carbono, de biodiversidad.</w:t>
            </w:r>
          </w:p>
        </w:tc>
        <w:tc>
          <w:tcPr>
            <w:tcW w:w="3060"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47CC242E" w14:textId="77777777" w:rsidR="00A169FB" w:rsidRPr="009A27ED" w:rsidRDefault="00A169FB" w:rsidP="00DF1AF5">
            <w:pPr>
              <w:spacing w:after="0" w:line="256" w:lineRule="auto"/>
              <w:rPr>
                <w:i/>
                <w:sz w:val="20"/>
                <w:szCs w:val="20"/>
                <w:u w:val="single"/>
                <w:lang w:val="es-DO"/>
              </w:rPr>
            </w:pPr>
            <w:r w:rsidRPr="009A27ED">
              <w:rPr>
                <w:i/>
                <w:sz w:val="20"/>
                <w:szCs w:val="20"/>
                <w:u w:val="single"/>
                <w:lang w:val="es-DO"/>
              </w:rPr>
              <w:t>Diseño</w:t>
            </w:r>
          </w:p>
          <w:p w14:paraId="7D94E594" w14:textId="77777777" w:rsidR="00A169FB" w:rsidRPr="009A27ED" w:rsidRDefault="00A169FB" w:rsidP="00E67CB0">
            <w:pPr>
              <w:pStyle w:val="Prrafodelista"/>
              <w:numPr>
                <w:ilvl w:val="0"/>
                <w:numId w:val="251"/>
              </w:numPr>
              <w:spacing w:after="0" w:line="256" w:lineRule="auto"/>
              <w:jc w:val="left"/>
              <w:rPr>
                <w:sz w:val="20"/>
                <w:szCs w:val="20"/>
                <w:lang w:val="es-DO"/>
              </w:rPr>
            </w:pPr>
            <w:r w:rsidRPr="009A27ED">
              <w:rPr>
                <w:sz w:val="20"/>
                <w:szCs w:val="20"/>
                <w:lang w:val="es-DO"/>
              </w:rPr>
              <w:t>Identificación de las fincas ganaderas dispuestas a desarrollar la actividad.</w:t>
            </w:r>
          </w:p>
          <w:p w14:paraId="54385C0B" w14:textId="77777777" w:rsidR="00A169FB" w:rsidRPr="009A27ED" w:rsidRDefault="00A169FB" w:rsidP="00E67CB0">
            <w:pPr>
              <w:pStyle w:val="Prrafodelista"/>
              <w:numPr>
                <w:ilvl w:val="0"/>
                <w:numId w:val="251"/>
              </w:numPr>
              <w:spacing w:after="0" w:line="256" w:lineRule="auto"/>
              <w:jc w:val="left"/>
              <w:rPr>
                <w:sz w:val="20"/>
                <w:szCs w:val="20"/>
                <w:lang w:val="es-DO"/>
              </w:rPr>
            </w:pPr>
            <w:r w:rsidRPr="009A27ED">
              <w:rPr>
                <w:sz w:val="20"/>
                <w:szCs w:val="20"/>
                <w:lang w:val="es-DO"/>
              </w:rPr>
              <w:t>Sensibilización y capacitación al beneficiario</w:t>
            </w:r>
          </w:p>
          <w:p w14:paraId="113006D0" w14:textId="77777777" w:rsidR="00A169FB" w:rsidRPr="009A27ED" w:rsidRDefault="00A169FB" w:rsidP="00E67CB0">
            <w:pPr>
              <w:pStyle w:val="Prrafodelista"/>
              <w:numPr>
                <w:ilvl w:val="0"/>
                <w:numId w:val="251"/>
              </w:numPr>
              <w:spacing w:after="0" w:line="256" w:lineRule="auto"/>
              <w:jc w:val="left"/>
              <w:rPr>
                <w:sz w:val="20"/>
                <w:szCs w:val="20"/>
                <w:lang w:val="es-DO"/>
              </w:rPr>
            </w:pPr>
            <w:r w:rsidRPr="009A27ED">
              <w:rPr>
                <w:sz w:val="20"/>
                <w:szCs w:val="20"/>
                <w:lang w:val="es-DO"/>
              </w:rPr>
              <w:t>Diseño del arreglo silvopastoril</w:t>
            </w:r>
          </w:p>
          <w:p w14:paraId="7A8213DA" w14:textId="77777777" w:rsidR="00A169FB" w:rsidRPr="009A27ED" w:rsidRDefault="00A169FB" w:rsidP="00E67CB0">
            <w:pPr>
              <w:pStyle w:val="Prrafodelista"/>
              <w:numPr>
                <w:ilvl w:val="0"/>
                <w:numId w:val="251"/>
              </w:numPr>
              <w:spacing w:after="0" w:line="256" w:lineRule="auto"/>
              <w:jc w:val="left"/>
              <w:rPr>
                <w:sz w:val="20"/>
                <w:szCs w:val="20"/>
                <w:lang w:val="es-DO"/>
              </w:rPr>
            </w:pPr>
            <w:r w:rsidRPr="009A27ED">
              <w:rPr>
                <w:sz w:val="20"/>
                <w:szCs w:val="20"/>
                <w:lang w:val="es-DO"/>
              </w:rPr>
              <w:t>Producción de plántulas (Adquisición de material de siembra o establecimiento de semilleros y almácigos)</w:t>
            </w:r>
          </w:p>
          <w:p w14:paraId="6B409E89" w14:textId="77777777" w:rsidR="00A169FB" w:rsidRPr="009A27ED" w:rsidRDefault="00A169FB" w:rsidP="00E67CB0">
            <w:pPr>
              <w:pStyle w:val="Prrafodelista"/>
              <w:numPr>
                <w:ilvl w:val="0"/>
                <w:numId w:val="251"/>
              </w:numPr>
              <w:spacing w:after="0" w:line="256" w:lineRule="auto"/>
              <w:jc w:val="left"/>
              <w:rPr>
                <w:sz w:val="20"/>
                <w:szCs w:val="20"/>
                <w:lang w:val="es-DO"/>
              </w:rPr>
            </w:pPr>
            <w:r w:rsidRPr="009A27ED">
              <w:rPr>
                <w:sz w:val="20"/>
                <w:szCs w:val="20"/>
                <w:lang w:val="es-DO"/>
              </w:rPr>
              <w:t>Riegos, fertilización y manejo integrado de plagas en vivero</w:t>
            </w:r>
          </w:p>
          <w:p w14:paraId="290ECFDA" w14:textId="77777777" w:rsidR="00A169FB" w:rsidRPr="009A27ED" w:rsidRDefault="00A169FB" w:rsidP="00DF1AF5">
            <w:pPr>
              <w:spacing w:after="0" w:line="256" w:lineRule="auto"/>
              <w:rPr>
                <w:sz w:val="20"/>
                <w:szCs w:val="20"/>
                <w:lang w:val="es-DO"/>
              </w:rPr>
            </w:pPr>
            <w:r w:rsidRPr="009A27ED">
              <w:rPr>
                <w:i/>
                <w:sz w:val="20"/>
                <w:szCs w:val="20"/>
                <w:u w:val="single"/>
                <w:lang w:val="es-DO"/>
              </w:rPr>
              <w:t>Establecimiento</w:t>
            </w:r>
            <w:r w:rsidRPr="009A27ED">
              <w:rPr>
                <w:sz w:val="20"/>
                <w:szCs w:val="20"/>
                <w:lang w:val="es-DO"/>
              </w:rPr>
              <w:t xml:space="preserve"> </w:t>
            </w:r>
          </w:p>
          <w:p w14:paraId="3848AF32" w14:textId="77777777" w:rsidR="00A169FB" w:rsidRPr="009A27ED" w:rsidRDefault="00A169FB" w:rsidP="00E67CB0">
            <w:pPr>
              <w:pStyle w:val="Prrafodelista"/>
              <w:numPr>
                <w:ilvl w:val="0"/>
                <w:numId w:val="252"/>
              </w:numPr>
              <w:spacing w:after="0" w:line="256" w:lineRule="auto"/>
              <w:jc w:val="left"/>
              <w:rPr>
                <w:sz w:val="20"/>
                <w:szCs w:val="20"/>
                <w:lang w:val="es-DO"/>
              </w:rPr>
            </w:pPr>
            <w:r w:rsidRPr="009A27ED">
              <w:rPr>
                <w:sz w:val="20"/>
                <w:szCs w:val="20"/>
                <w:lang w:val="es-DO"/>
              </w:rPr>
              <w:t xml:space="preserve">Preparación de terreno </w:t>
            </w:r>
          </w:p>
          <w:p w14:paraId="5775D233" w14:textId="77777777" w:rsidR="00A169FB" w:rsidRPr="009A27ED" w:rsidRDefault="00A169FB" w:rsidP="00E67CB0">
            <w:pPr>
              <w:pStyle w:val="Prrafodelista"/>
              <w:numPr>
                <w:ilvl w:val="0"/>
                <w:numId w:val="252"/>
              </w:numPr>
              <w:spacing w:after="0" w:line="256" w:lineRule="auto"/>
              <w:jc w:val="left"/>
              <w:rPr>
                <w:sz w:val="20"/>
                <w:szCs w:val="20"/>
                <w:lang w:val="es-DO"/>
              </w:rPr>
            </w:pPr>
            <w:r w:rsidRPr="009A27ED">
              <w:rPr>
                <w:sz w:val="20"/>
                <w:szCs w:val="20"/>
                <w:lang w:val="es-DO"/>
              </w:rPr>
              <w:t>Plantación</w:t>
            </w:r>
          </w:p>
          <w:p w14:paraId="5E0DE1D7" w14:textId="77777777" w:rsidR="00A169FB" w:rsidRPr="009A27ED" w:rsidRDefault="00A169FB" w:rsidP="00E67CB0">
            <w:pPr>
              <w:pStyle w:val="Prrafodelista"/>
              <w:numPr>
                <w:ilvl w:val="0"/>
                <w:numId w:val="252"/>
              </w:numPr>
              <w:spacing w:after="0" w:line="256" w:lineRule="auto"/>
              <w:jc w:val="left"/>
              <w:rPr>
                <w:sz w:val="20"/>
                <w:szCs w:val="20"/>
                <w:lang w:val="es-DO"/>
              </w:rPr>
            </w:pPr>
            <w:r w:rsidRPr="009A27ED">
              <w:rPr>
                <w:sz w:val="20"/>
                <w:szCs w:val="20"/>
                <w:lang w:val="es-DO"/>
              </w:rPr>
              <w:t xml:space="preserve">Reposición de plántula y limpieza </w:t>
            </w:r>
          </w:p>
          <w:p w14:paraId="559DE3D9" w14:textId="77777777" w:rsidR="00A169FB" w:rsidRPr="009A27ED" w:rsidRDefault="00A169FB" w:rsidP="00DF1AF5">
            <w:pPr>
              <w:spacing w:after="0" w:line="256" w:lineRule="auto"/>
              <w:rPr>
                <w:sz w:val="20"/>
                <w:szCs w:val="20"/>
                <w:u w:val="single"/>
                <w:lang w:val="es-DO"/>
              </w:rPr>
            </w:pPr>
            <w:r w:rsidRPr="009A27ED">
              <w:rPr>
                <w:sz w:val="20"/>
                <w:szCs w:val="20"/>
                <w:u w:val="single"/>
                <w:lang w:val="es-DO"/>
              </w:rPr>
              <w:t xml:space="preserve">Mantenimiento: </w:t>
            </w:r>
          </w:p>
          <w:p w14:paraId="253AE782" w14:textId="77777777" w:rsidR="00A169FB" w:rsidRPr="009A27ED" w:rsidRDefault="00A169FB" w:rsidP="00E67CB0">
            <w:pPr>
              <w:pStyle w:val="Prrafodelista"/>
              <w:numPr>
                <w:ilvl w:val="0"/>
                <w:numId w:val="252"/>
              </w:numPr>
              <w:spacing w:after="0" w:line="256" w:lineRule="auto"/>
              <w:jc w:val="left"/>
              <w:rPr>
                <w:sz w:val="20"/>
                <w:szCs w:val="20"/>
                <w:lang w:val="es-DO"/>
              </w:rPr>
            </w:pPr>
            <w:r w:rsidRPr="009A27ED">
              <w:rPr>
                <w:sz w:val="20"/>
                <w:szCs w:val="20"/>
                <w:lang w:val="es-DO"/>
              </w:rPr>
              <w:t xml:space="preserve">Deshierbes y podas </w:t>
            </w:r>
          </w:p>
          <w:p w14:paraId="5FD01A60" w14:textId="77777777" w:rsidR="00A169FB" w:rsidRPr="009A27ED" w:rsidRDefault="00A169FB" w:rsidP="00E67CB0">
            <w:pPr>
              <w:pStyle w:val="Prrafodelista"/>
              <w:numPr>
                <w:ilvl w:val="0"/>
                <w:numId w:val="252"/>
              </w:numPr>
              <w:spacing w:after="0" w:line="256" w:lineRule="auto"/>
              <w:jc w:val="left"/>
              <w:rPr>
                <w:sz w:val="20"/>
                <w:szCs w:val="20"/>
                <w:lang w:val="es-DO"/>
              </w:rPr>
            </w:pPr>
            <w:r w:rsidRPr="009A27ED">
              <w:rPr>
                <w:sz w:val="20"/>
                <w:szCs w:val="20"/>
                <w:lang w:val="es-DO"/>
              </w:rPr>
              <w:t>Fertilización y manejo integrado de plagas.</w:t>
            </w:r>
          </w:p>
          <w:p w14:paraId="4D90BEE6" w14:textId="77777777" w:rsidR="00A169FB" w:rsidRPr="009A27ED" w:rsidRDefault="00A169FB" w:rsidP="00DF1AF5">
            <w:pPr>
              <w:spacing w:after="0" w:line="256" w:lineRule="auto"/>
              <w:rPr>
                <w:color w:val="000000"/>
                <w:sz w:val="20"/>
                <w:szCs w:val="20"/>
                <w:lang w:val="es-DO"/>
              </w:rPr>
            </w:pPr>
            <w:r w:rsidRPr="009A27ED">
              <w:rPr>
                <w:sz w:val="20"/>
                <w:szCs w:val="20"/>
                <w:lang w:val="es-DO"/>
              </w:rPr>
              <w:t>Supervisión, monitoreo, reporte de la actividad</w:t>
            </w:r>
          </w:p>
        </w:tc>
        <w:tc>
          <w:tcPr>
            <w:tcW w:w="4050" w:type="dxa"/>
            <w:tcBorders>
              <w:top w:val="single" w:sz="4" w:space="0" w:color="auto"/>
              <w:left w:val="single" w:sz="4" w:space="0" w:color="auto"/>
              <w:bottom w:val="single" w:sz="4" w:space="0" w:color="auto"/>
              <w:right w:val="single" w:sz="4" w:space="0" w:color="auto"/>
            </w:tcBorders>
            <w:shd w:val="clear" w:color="auto" w:fill="FFFFFF"/>
            <w:hideMark/>
          </w:tcPr>
          <w:p w14:paraId="44F85838"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Baja productividad en el sistema silvopastoril.  La actividad no pastoril al ser rentable puede provocar una presión sobre el cambio de uso de suelo en áreas forestales.</w:t>
            </w:r>
          </w:p>
          <w:p w14:paraId="065D2DF2"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 xml:space="preserve">Contaminación de suelo y acuíferos. Afecciones a la salud por uso inadecuado de </w:t>
            </w:r>
            <w:proofErr w:type="spellStart"/>
            <w:r w:rsidRPr="009A27ED">
              <w:rPr>
                <w:sz w:val="20"/>
                <w:szCs w:val="20"/>
                <w:lang w:val="es-DO"/>
              </w:rPr>
              <w:t>pesticidad</w:t>
            </w:r>
            <w:proofErr w:type="spellEnd"/>
            <w:r w:rsidRPr="009A27ED">
              <w:rPr>
                <w:sz w:val="20"/>
                <w:szCs w:val="20"/>
                <w:lang w:val="es-DO"/>
              </w:rPr>
              <w:t xml:space="preserve">. </w:t>
            </w:r>
          </w:p>
          <w:p w14:paraId="3FB848F9"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Diseminación de enfermedades y mala salud del hato.</w:t>
            </w:r>
          </w:p>
          <w:p w14:paraId="1BD44ACE"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 xml:space="preserve">Erosión del suelo, pérdida de sus propiedades físicas y químicas y de la </w:t>
            </w:r>
            <w:proofErr w:type="gramStart"/>
            <w:r w:rsidRPr="009A27ED">
              <w:rPr>
                <w:sz w:val="20"/>
                <w:szCs w:val="20"/>
                <w:lang w:val="es-DO"/>
              </w:rPr>
              <w:t>vegetación..</w:t>
            </w:r>
            <w:proofErr w:type="gramEnd"/>
          </w:p>
          <w:p w14:paraId="3A468C37"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 xml:space="preserve">Impactos sobre la biodiversidad local.  Afección a acuíferos poco profundos. </w:t>
            </w:r>
          </w:p>
          <w:p w14:paraId="3F7DE97B"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Incendios forestales.</w:t>
            </w:r>
          </w:p>
          <w:p w14:paraId="5C72E2CE"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La actividad al ser rentable puede provocar una presión sobre el cambio de uso de suelo en áreas forestales.</w:t>
            </w:r>
          </w:p>
          <w:p w14:paraId="3E73F1D8"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 xml:space="preserve">Poca eficiencia  en el sistema silvopastoril, por un mal manejo </w:t>
            </w:r>
            <w:proofErr w:type="gramStart"/>
            <w:r w:rsidRPr="009A27ED">
              <w:rPr>
                <w:sz w:val="20"/>
                <w:szCs w:val="20"/>
                <w:lang w:val="es-DO"/>
              </w:rPr>
              <w:t>del mismo</w:t>
            </w:r>
            <w:proofErr w:type="gramEnd"/>
            <w:r w:rsidRPr="009A27ED">
              <w:rPr>
                <w:sz w:val="20"/>
                <w:szCs w:val="20"/>
                <w:lang w:val="es-DO"/>
              </w:rPr>
              <w:t xml:space="preserve">. </w:t>
            </w:r>
          </w:p>
          <w:p w14:paraId="0111D2B9"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Presencia de plagas y enfermedades.</w:t>
            </w:r>
          </w:p>
          <w:p w14:paraId="23CDC239"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Promoción de las plantaciones sobre los bosques</w:t>
            </w:r>
          </w:p>
          <w:p w14:paraId="27A0D555"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Riesgos sanitarios por mala manipulación de agroquímicos</w:t>
            </w:r>
          </w:p>
          <w:p w14:paraId="6024EDF0"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Sistemas Silvopastoriles con resultados poco eficientes por falta de estudios técnicos para la implementación.</w:t>
            </w:r>
          </w:p>
        </w:tc>
        <w:tc>
          <w:tcPr>
            <w:tcW w:w="6660"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7F423D49" w14:textId="0E5498A8" w:rsidR="00CD240D" w:rsidRPr="009A27ED" w:rsidRDefault="00CD240D" w:rsidP="0080132C">
            <w:pPr>
              <w:pStyle w:val="Prrafodelista"/>
              <w:numPr>
                <w:ilvl w:val="0"/>
                <w:numId w:val="301"/>
              </w:numPr>
              <w:spacing w:after="0" w:line="240" w:lineRule="auto"/>
              <w:ind w:left="360"/>
              <w:rPr>
                <w:rFonts w:ascii="Calibri" w:eastAsia="Times New Roman" w:hAnsi="Calibri" w:cs="Calibri"/>
                <w:sz w:val="20"/>
                <w:szCs w:val="20"/>
              </w:rPr>
            </w:pPr>
            <w:r w:rsidRPr="009A27ED">
              <w:rPr>
                <w:rFonts w:ascii="Calibri" w:eastAsia="Times New Roman" w:hAnsi="Calibri" w:cs="Calibri"/>
                <w:sz w:val="20"/>
                <w:szCs w:val="20"/>
              </w:rPr>
              <w:t>Se planifican las actividades del sistema silvopastoril considerando que las labores de plantación sean compatibles con los requerimientos de hábitat de especies vulnerables y especies en peligro de extinción.  Cuando corresponda, se establecen medidas que permitan el resguardo de la cuenca alta de los ríos. Para la simbra de árboles, se utilizan especies bajo el criterio técnico de la Dirección de Biodiversidad y Vida Silvestre.</w:t>
            </w:r>
          </w:p>
          <w:p w14:paraId="2B3615C1" w14:textId="77777777" w:rsidR="00CD240D" w:rsidRPr="009A27ED" w:rsidRDefault="00CD240D" w:rsidP="0080132C">
            <w:pPr>
              <w:pStyle w:val="Prrafodelista"/>
              <w:numPr>
                <w:ilvl w:val="0"/>
                <w:numId w:val="301"/>
              </w:numPr>
              <w:spacing w:after="0" w:line="240" w:lineRule="auto"/>
              <w:ind w:left="360"/>
              <w:rPr>
                <w:rFonts w:ascii="Calibri" w:eastAsia="Times New Roman" w:hAnsi="Calibri" w:cs="Calibri"/>
                <w:sz w:val="20"/>
                <w:szCs w:val="20"/>
              </w:rPr>
            </w:pPr>
            <w:r w:rsidRPr="009A27ED">
              <w:rPr>
                <w:rFonts w:ascii="Calibri" w:eastAsia="Times New Roman" w:hAnsi="Calibri" w:cs="Calibri"/>
                <w:sz w:val="20"/>
                <w:szCs w:val="20"/>
              </w:rPr>
              <w:t>Se establecen medidas preventivas para proteger del ganado las plantaciones y cultivos. Se establecen plantaciones con especies que generan sombra y/o alimento para el ganado, en concordancia con los criterios técnicos de la Dirección de Biodiversidad y Vida Silvestre</w:t>
            </w:r>
          </w:p>
          <w:p w14:paraId="54ED46E2" w14:textId="77777777" w:rsidR="00CD240D" w:rsidRPr="009A27ED" w:rsidRDefault="00CD240D" w:rsidP="0080132C">
            <w:pPr>
              <w:pStyle w:val="Prrafodelista"/>
              <w:numPr>
                <w:ilvl w:val="0"/>
                <w:numId w:val="301"/>
              </w:numPr>
              <w:spacing w:after="0" w:line="240" w:lineRule="auto"/>
              <w:ind w:left="360"/>
              <w:rPr>
                <w:rFonts w:ascii="Calibri" w:eastAsia="Times New Roman" w:hAnsi="Calibri" w:cs="Calibri"/>
                <w:sz w:val="20"/>
                <w:szCs w:val="20"/>
              </w:rPr>
            </w:pPr>
            <w:r w:rsidRPr="009A27ED">
              <w:rPr>
                <w:rFonts w:ascii="Calibri" w:eastAsia="Times New Roman" w:hAnsi="Calibri" w:cs="Calibri"/>
                <w:sz w:val="20"/>
                <w:szCs w:val="20"/>
              </w:rPr>
              <w:t>Se utilizan recursos locales con lo cual los productores pueden mejoran la productividad animal</w:t>
            </w:r>
          </w:p>
          <w:p w14:paraId="2DC527AA" w14:textId="77777777" w:rsidR="00CD240D" w:rsidRPr="009A27ED" w:rsidRDefault="00CD240D" w:rsidP="0080132C">
            <w:pPr>
              <w:pStyle w:val="Prrafodelista"/>
              <w:numPr>
                <w:ilvl w:val="0"/>
                <w:numId w:val="301"/>
              </w:numPr>
              <w:spacing w:after="0" w:line="240" w:lineRule="auto"/>
              <w:ind w:left="360"/>
              <w:rPr>
                <w:rFonts w:ascii="Calibri" w:eastAsia="Times New Roman" w:hAnsi="Calibri" w:cs="Calibri"/>
                <w:sz w:val="20"/>
                <w:szCs w:val="20"/>
              </w:rPr>
            </w:pPr>
            <w:r w:rsidRPr="009A27ED">
              <w:rPr>
                <w:rFonts w:ascii="Calibri" w:eastAsia="Times New Roman" w:hAnsi="Calibri" w:cs="Calibri"/>
                <w:sz w:val="20"/>
                <w:szCs w:val="20"/>
              </w:rPr>
              <w:t xml:space="preserve">Se limita el desarrollo de los </w:t>
            </w:r>
            <w:proofErr w:type="spellStart"/>
            <w:r w:rsidRPr="009A27ED">
              <w:rPr>
                <w:rFonts w:ascii="Calibri" w:eastAsia="Times New Roman" w:hAnsi="Calibri" w:cs="Calibri"/>
                <w:sz w:val="20"/>
                <w:szCs w:val="20"/>
              </w:rPr>
              <w:t>sitemas</w:t>
            </w:r>
            <w:proofErr w:type="spellEnd"/>
            <w:r w:rsidRPr="009A27ED">
              <w:rPr>
                <w:rFonts w:ascii="Calibri" w:eastAsia="Times New Roman" w:hAnsi="Calibri" w:cs="Calibri"/>
                <w:sz w:val="20"/>
                <w:szCs w:val="20"/>
              </w:rPr>
              <w:t xml:space="preserve"> silvopastoriles solo a predios ganaderos sin árboles o escasa </w:t>
            </w:r>
            <w:proofErr w:type="spellStart"/>
            <w:r w:rsidRPr="009A27ED">
              <w:rPr>
                <w:rFonts w:ascii="Calibri" w:eastAsia="Times New Roman" w:hAnsi="Calibri" w:cs="Calibri"/>
                <w:sz w:val="20"/>
                <w:szCs w:val="20"/>
              </w:rPr>
              <w:t>cobertrua</w:t>
            </w:r>
            <w:proofErr w:type="spellEnd"/>
            <w:r w:rsidRPr="009A27ED">
              <w:rPr>
                <w:rFonts w:ascii="Calibri" w:eastAsia="Times New Roman" w:hAnsi="Calibri" w:cs="Calibri"/>
                <w:sz w:val="20"/>
                <w:szCs w:val="20"/>
              </w:rPr>
              <w:t xml:space="preserve"> forestal, evitando </w:t>
            </w:r>
            <w:proofErr w:type="spellStart"/>
            <w:r w:rsidRPr="009A27ED">
              <w:rPr>
                <w:rFonts w:ascii="Calibri" w:eastAsia="Times New Roman" w:hAnsi="Calibri" w:cs="Calibri"/>
                <w:sz w:val="20"/>
                <w:szCs w:val="20"/>
              </w:rPr>
              <w:t>asi</w:t>
            </w:r>
            <w:proofErr w:type="spellEnd"/>
            <w:r w:rsidRPr="009A27ED">
              <w:rPr>
                <w:rFonts w:ascii="Calibri" w:eastAsia="Times New Roman" w:hAnsi="Calibri" w:cs="Calibri"/>
                <w:sz w:val="20"/>
                <w:szCs w:val="20"/>
              </w:rPr>
              <w:t xml:space="preserve"> el uso de áreas boscosas</w:t>
            </w:r>
          </w:p>
          <w:p w14:paraId="7F8F7D3F" w14:textId="2B0BAB40" w:rsidR="00CD240D" w:rsidRPr="009A27ED" w:rsidRDefault="00CD240D" w:rsidP="0080132C">
            <w:pPr>
              <w:pStyle w:val="Prrafodelista"/>
              <w:numPr>
                <w:ilvl w:val="0"/>
                <w:numId w:val="301"/>
              </w:numPr>
              <w:spacing w:after="0" w:line="240" w:lineRule="auto"/>
              <w:ind w:left="360"/>
              <w:rPr>
                <w:rFonts w:ascii="Calibri" w:eastAsia="Times New Roman" w:hAnsi="Calibri" w:cs="Calibri"/>
                <w:sz w:val="20"/>
                <w:szCs w:val="20"/>
              </w:rPr>
            </w:pPr>
            <w:r w:rsidRPr="009A27ED">
              <w:rPr>
                <w:rFonts w:ascii="Calibri" w:eastAsia="Times New Roman" w:hAnsi="Calibri" w:cs="Calibri"/>
                <w:sz w:val="20"/>
                <w:szCs w:val="20"/>
              </w:rPr>
              <w:t>Se utilizan especies forestales y forrajer</w:t>
            </w:r>
            <w:r w:rsidR="00BC3678" w:rsidRPr="009A27ED">
              <w:rPr>
                <w:rFonts w:ascii="Calibri" w:eastAsia="Times New Roman" w:hAnsi="Calibri" w:cs="Calibri"/>
                <w:sz w:val="20"/>
                <w:szCs w:val="20"/>
              </w:rPr>
              <w:t>a</w:t>
            </w:r>
            <w:r w:rsidRPr="009A27ED">
              <w:rPr>
                <w:rFonts w:ascii="Calibri" w:eastAsia="Times New Roman" w:hAnsi="Calibri" w:cs="Calibri"/>
                <w:sz w:val="20"/>
                <w:szCs w:val="20"/>
              </w:rPr>
              <w:t xml:space="preserve">s no invasoras, que cumplan con los criterios técnicos de la Dirección de Biodiversidad y Vida Silvestre.      </w:t>
            </w:r>
          </w:p>
          <w:p w14:paraId="67972563" w14:textId="77777777" w:rsidR="007F4176" w:rsidRPr="009A27ED" w:rsidRDefault="00CD240D" w:rsidP="0080132C">
            <w:pPr>
              <w:pStyle w:val="Prrafodelista"/>
              <w:numPr>
                <w:ilvl w:val="0"/>
                <w:numId w:val="301"/>
              </w:numPr>
              <w:spacing w:after="0" w:line="240" w:lineRule="auto"/>
              <w:ind w:left="360"/>
              <w:rPr>
                <w:rFonts w:ascii="Calibri" w:eastAsia="Times New Roman" w:hAnsi="Calibri" w:cs="Calibri"/>
                <w:sz w:val="20"/>
                <w:szCs w:val="20"/>
              </w:rPr>
            </w:pPr>
            <w:r w:rsidRPr="009A27ED">
              <w:rPr>
                <w:rFonts w:ascii="Calibri" w:eastAsia="Times New Roman" w:hAnsi="Calibri" w:cs="Calibri"/>
                <w:sz w:val="20"/>
                <w:szCs w:val="20"/>
              </w:rPr>
              <w:t>Se conserva o enriquece la materia orgánica del suelo. Se practican técnicas de estabilización de riberas de ríos, arroyos y cañadas. Estabilización de taludes.  Se distribuyen los residuos de la cosecha forestal sobre el suelo. Se mantienen libre de residuos contami</w:t>
            </w:r>
            <w:r w:rsidR="007F4176" w:rsidRPr="009A27ED">
              <w:rPr>
                <w:rFonts w:ascii="Calibri" w:eastAsia="Times New Roman" w:hAnsi="Calibri" w:cs="Calibri"/>
                <w:sz w:val="20"/>
                <w:szCs w:val="20"/>
              </w:rPr>
              <w:t xml:space="preserve">nantes las áreas bajo manejo.  </w:t>
            </w:r>
          </w:p>
          <w:p w14:paraId="1E2975F9" w14:textId="7703CB32" w:rsidR="00CD240D" w:rsidRPr="009A27ED" w:rsidRDefault="00CD240D" w:rsidP="0080132C">
            <w:pPr>
              <w:pStyle w:val="Prrafodelista"/>
              <w:numPr>
                <w:ilvl w:val="0"/>
                <w:numId w:val="301"/>
              </w:numPr>
              <w:spacing w:after="0" w:line="240" w:lineRule="auto"/>
              <w:ind w:left="360"/>
              <w:rPr>
                <w:rFonts w:ascii="Calibri" w:eastAsia="Times New Roman" w:hAnsi="Calibri" w:cs="Calibri"/>
                <w:sz w:val="20"/>
                <w:szCs w:val="20"/>
              </w:rPr>
            </w:pPr>
            <w:r w:rsidRPr="009A27ED">
              <w:rPr>
                <w:rFonts w:ascii="Calibri" w:eastAsia="Times New Roman" w:hAnsi="Calibri" w:cs="Calibri"/>
                <w:sz w:val="20"/>
                <w:szCs w:val="20"/>
              </w:rPr>
              <w:t>Considerar la normatividad y medidas sobre el uso y manejo de los fertilizantes y plaguicidas. En las cuencas altas se realizan acciones como: retención de árboles muertos en pie y árboles que sobrepasan el dosel superior, construcción de brechas contrafuego, realización de obras de conservación y restauración de suelos, uso controlado de productos químicos.</w:t>
            </w:r>
          </w:p>
          <w:p w14:paraId="00BB13F8" w14:textId="77777777" w:rsidR="00CD240D" w:rsidRPr="009A27ED" w:rsidRDefault="00CD240D" w:rsidP="0080132C">
            <w:pPr>
              <w:pStyle w:val="Prrafodelista"/>
              <w:numPr>
                <w:ilvl w:val="0"/>
                <w:numId w:val="301"/>
              </w:numPr>
              <w:spacing w:after="0" w:line="240" w:lineRule="auto"/>
              <w:ind w:left="360"/>
              <w:rPr>
                <w:rFonts w:ascii="Calibri" w:eastAsia="Times New Roman" w:hAnsi="Calibri" w:cs="Calibri"/>
                <w:sz w:val="20"/>
                <w:szCs w:val="20"/>
              </w:rPr>
            </w:pPr>
            <w:r w:rsidRPr="009A27ED">
              <w:rPr>
                <w:rFonts w:ascii="Calibri" w:eastAsia="Times New Roman" w:hAnsi="Calibri" w:cs="Calibri"/>
                <w:sz w:val="20"/>
                <w:szCs w:val="20"/>
              </w:rPr>
              <w:t xml:space="preserve">Conservar la cobertura forestal natural. Se limita el desarrollo de los </w:t>
            </w:r>
            <w:proofErr w:type="spellStart"/>
            <w:r w:rsidRPr="009A27ED">
              <w:rPr>
                <w:rFonts w:ascii="Calibri" w:eastAsia="Times New Roman" w:hAnsi="Calibri" w:cs="Calibri"/>
                <w:sz w:val="20"/>
                <w:szCs w:val="20"/>
              </w:rPr>
              <w:t>sitemas</w:t>
            </w:r>
            <w:proofErr w:type="spellEnd"/>
            <w:r w:rsidRPr="009A27ED">
              <w:rPr>
                <w:rFonts w:ascii="Calibri" w:eastAsia="Times New Roman" w:hAnsi="Calibri" w:cs="Calibri"/>
                <w:sz w:val="20"/>
                <w:szCs w:val="20"/>
              </w:rPr>
              <w:t xml:space="preserve"> silvopastoriles solo a predios ganaderos sin árboles o escasa </w:t>
            </w:r>
            <w:proofErr w:type="spellStart"/>
            <w:r w:rsidRPr="009A27ED">
              <w:rPr>
                <w:rFonts w:ascii="Calibri" w:eastAsia="Times New Roman" w:hAnsi="Calibri" w:cs="Calibri"/>
                <w:sz w:val="20"/>
                <w:szCs w:val="20"/>
              </w:rPr>
              <w:t>cobertrua</w:t>
            </w:r>
            <w:proofErr w:type="spellEnd"/>
            <w:r w:rsidRPr="009A27ED">
              <w:rPr>
                <w:rFonts w:ascii="Calibri" w:eastAsia="Times New Roman" w:hAnsi="Calibri" w:cs="Calibri"/>
                <w:sz w:val="20"/>
                <w:szCs w:val="20"/>
              </w:rPr>
              <w:t xml:space="preserve"> forestal, evitando </w:t>
            </w:r>
            <w:proofErr w:type="spellStart"/>
            <w:r w:rsidRPr="009A27ED">
              <w:rPr>
                <w:rFonts w:ascii="Calibri" w:eastAsia="Times New Roman" w:hAnsi="Calibri" w:cs="Calibri"/>
                <w:sz w:val="20"/>
                <w:szCs w:val="20"/>
              </w:rPr>
              <w:t>asi</w:t>
            </w:r>
            <w:proofErr w:type="spellEnd"/>
            <w:r w:rsidRPr="009A27ED">
              <w:rPr>
                <w:rFonts w:ascii="Calibri" w:eastAsia="Times New Roman" w:hAnsi="Calibri" w:cs="Calibri"/>
                <w:sz w:val="20"/>
                <w:szCs w:val="20"/>
              </w:rPr>
              <w:t xml:space="preserve"> el uso de áreas boscosas</w:t>
            </w:r>
          </w:p>
          <w:p w14:paraId="41BA3268" w14:textId="77777777" w:rsidR="00CD240D" w:rsidRPr="009A27ED" w:rsidRDefault="00CD240D" w:rsidP="0080132C">
            <w:pPr>
              <w:pStyle w:val="Prrafodelista"/>
              <w:numPr>
                <w:ilvl w:val="0"/>
                <w:numId w:val="301"/>
              </w:numPr>
              <w:spacing w:after="0" w:line="240" w:lineRule="auto"/>
              <w:ind w:left="360"/>
              <w:rPr>
                <w:rFonts w:ascii="Calibri" w:eastAsia="Times New Roman" w:hAnsi="Calibri" w:cs="Calibri"/>
                <w:sz w:val="20"/>
                <w:szCs w:val="20"/>
              </w:rPr>
            </w:pPr>
            <w:r w:rsidRPr="009A27ED">
              <w:rPr>
                <w:rFonts w:ascii="Calibri" w:eastAsia="Times New Roman" w:hAnsi="Calibri" w:cs="Calibri"/>
                <w:sz w:val="20"/>
                <w:szCs w:val="20"/>
              </w:rPr>
              <w:t>Se establecen medidas que previenen la diseminación de enfermedades y se mantiene la salud del hato, considerando la normatividad establecida por la sanidad animal.</w:t>
            </w:r>
          </w:p>
          <w:p w14:paraId="25A625AD" w14:textId="77777777" w:rsidR="007F4176" w:rsidRPr="009A27ED" w:rsidRDefault="00CD240D" w:rsidP="0080132C">
            <w:pPr>
              <w:pStyle w:val="Prrafodelista"/>
              <w:numPr>
                <w:ilvl w:val="0"/>
                <w:numId w:val="301"/>
              </w:numPr>
              <w:spacing w:after="0" w:line="240" w:lineRule="auto"/>
              <w:ind w:left="360"/>
              <w:rPr>
                <w:rFonts w:ascii="Calibri" w:eastAsia="Times New Roman" w:hAnsi="Calibri" w:cs="Calibri"/>
                <w:sz w:val="20"/>
                <w:szCs w:val="20"/>
              </w:rPr>
            </w:pPr>
            <w:r w:rsidRPr="009A27ED">
              <w:rPr>
                <w:rFonts w:ascii="Calibri" w:eastAsia="Times New Roman" w:hAnsi="Calibri" w:cs="Calibri"/>
                <w:sz w:val="20"/>
                <w:szCs w:val="20"/>
              </w:rPr>
              <w:t xml:space="preserve">Realizar el manejo integrado de plagas, considerando la prevención y control biológico en lugar de los pesticidas y fertilizantes químicos.  Se realiza detección de plagas y enfermedades mediante monitoreos continuos, que implica la realización de recorridos en campo o sitios donde se establece la reforestación. </w:t>
            </w:r>
          </w:p>
          <w:p w14:paraId="1F2CA9D8" w14:textId="318DBD5B" w:rsidR="00CD240D" w:rsidRPr="009A27ED" w:rsidRDefault="00CD240D" w:rsidP="0080132C">
            <w:pPr>
              <w:pStyle w:val="Prrafodelista"/>
              <w:numPr>
                <w:ilvl w:val="0"/>
                <w:numId w:val="301"/>
              </w:numPr>
              <w:spacing w:after="0" w:line="240" w:lineRule="auto"/>
              <w:ind w:left="360"/>
              <w:rPr>
                <w:rFonts w:ascii="Calibri" w:eastAsia="Times New Roman" w:hAnsi="Calibri" w:cs="Calibri"/>
                <w:sz w:val="20"/>
                <w:szCs w:val="20"/>
              </w:rPr>
            </w:pPr>
            <w:r w:rsidRPr="009A27ED">
              <w:rPr>
                <w:rFonts w:ascii="Calibri" w:eastAsia="Times New Roman" w:hAnsi="Calibri" w:cs="Calibri"/>
                <w:sz w:val="20"/>
                <w:szCs w:val="20"/>
              </w:rPr>
              <w:t>Eliminación de plantas dentro del sembradío y sus alrededores que pueden ser hospederas alternas de plagas o enfermedades. Se realiza control mecánico y físico de plagas. Se realiza raleo sanitario dentro de las plantaciones que están afectados severamente y cuya condición no puede revertirse</w:t>
            </w:r>
          </w:p>
          <w:p w14:paraId="2C2CE22A" w14:textId="77777777" w:rsidR="00CD240D" w:rsidRPr="009A27ED" w:rsidRDefault="00CD240D" w:rsidP="0080132C">
            <w:pPr>
              <w:pStyle w:val="Prrafodelista"/>
              <w:numPr>
                <w:ilvl w:val="0"/>
                <w:numId w:val="301"/>
              </w:numPr>
              <w:spacing w:after="0" w:line="240" w:lineRule="auto"/>
              <w:ind w:left="360"/>
              <w:rPr>
                <w:rFonts w:ascii="Calibri" w:eastAsia="Times New Roman" w:hAnsi="Calibri" w:cs="Calibri"/>
                <w:sz w:val="20"/>
                <w:szCs w:val="20"/>
              </w:rPr>
            </w:pPr>
            <w:r w:rsidRPr="009A27ED">
              <w:rPr>
                <w:rFonts w:ascii="Calibri" w:eastAsia="Times New Roman" w:hAnsi="Calibri" w:cs="Calibri"/>
                <w:sz w:val="20"/>
                <w:szCs w:val="20"/>
              </w:rPr>
              <w:t>Se involucran actores locales y se establecen alternativas sustentables</w:t>
            </w:r>
          </w:p>
          <w:p w14:paraId="3EFF155E" w14:textId="77777777" w:rsidR="007F4176" w:rsidRPr="009A27ED" w:rsidRDefault="00CD240D" w:rsidP="0080132C">
            <w:pPr>
              <w:pStyle w:val="Prrafodelista"/>
              <w:numPr>
                <w:ilvl w:val="0"/>
                <w:numId w:val="315"/>
              </w:numPr>
              <w:ind w:left="428" w:hanging="450"/>
              <w:rPr>
                <w:rFonts w:ascii="Calibri" w:eastAsia="Times New Roman" w:hAnsi="Calibri" w:cs="Calibri"/>
                <w:sz w:val="20"/>
                <w:szCs w:val="20"/>
              </w:rPr>
            </w:pPr>
            <w:r w:rsidRPr="009A27ED">
              <w:rPr>
                <w:rFonts w:ascii="Calibri" w:eastAsia="Times New Roman" w:hAnsi="Calibri" w:cs="Calibri"/>
                <w:sz w:val="20"/>
                <w:szCs w:val="20"/>
              </w:rPr>
              <w:t xml:space="preserve">Fortalecimiento de la capacitación en supervisión y monitoreo de salvaguardas para el manejo de los recursos naturales, en donde los </w:t>
            </w:r>
            <w:r w:rsidRPr="009A27ED">
              <w:rPr>
                <w:rFonts w:ascii="Calibri" w:eastAsia="Times New Roman" w:hAnsi="Calibri" w:cs="Calibri"/>
                <w:sz w:val="20"/>
                <w:szCs w:val="20"/>
              </w:rPr>
              <w:lastRenderedPageBreak/>
              <w:t>actores locales forman parte del monitoreo y prevención de desastres. Ministerio de Medio Ambiente establece bri</w:t>
            </w:r>
            <w:r w:rsidR="007F4176" w:rsidRPr="009A27ED">
              <w:rPr>
                <w:rFonts w:ascii="Calibri" w:eastAsia="Times New Roman" w:hAnsi="Calibri" w:cs="Calibri"/>
                <w:sz w:val="20"/>
                <w:szCs w:val="20"/>
              </w:rPr>
              <w:t>gadas para el control de fuego.</w:t>
            </w:r>
          </w:p>
          <w:p w14:paraId="2B5E9908" w14:textId="35880A47" w:rsidR="007F4176" w:rsidRPr="009A27ED" w:rsidRDefault="00CD240D" w:rsidP="0080132C">
            <w:pPr>
              <w:pStyle w:val="Prrafodelista"/>
              <w:numPr>
                <w:ilvl w:val="0"/>
                <w:numId w:val="315"/>
              </w:numPr>
              <w:ind w:left="428" w:hanging="450"/>
              <w:rPr>
                <w:rFonts w:ascii="Calibri" w:eastAsia="Times New Roman" w:hAnsi="Calibri" w:cs="Calibri"/>
                <w:sz w:val="20"/>
                <w:szCs w:val="20"/>
              </w:rPr>
            </w:pPr>
            <w:r w:rsidRPr="009A27ED">
              <w:rPr>
                <w:rFonts w:ascii="Calibri" w:eastAsia="Times New Roman" w:hAnsi="Calibri" w:cs="Calibri"/>
                <w:sz w:val="20"/>
                <w:szCs w:val="20"/>
              </w:rPr>
              <w:t>Construcción de trochas contrafuego.</w:t>
            </w:r>
          </w:p>
          <w:p w14:paraId="2B294426" w14:textId="6DA4B2AB" w:rsidR="00A169FB" w:rsidRPr="009A27ED" w:rsidRDefault="00CD240D" w:rsidP="0080132C">
            <w:pPr>
              <w:pStyle w:val="Prrafodelista"/>
              <w:numPr>
                <w:ilvl w:val="0"/>
                <w:numId w:val="315"/>
              </w:numPr>
              <w:ind w:left="428" w:hanging="450"/>
            </w:pPr>
            <w:r w:rsidRPr="009A27ED">
              <w:rPr>
                <w:rFonts w:ascii="Calibri" w:eastAsia="Times New Roman" w:hAnsi="Calibri" w:cs="Calibri"/>
                <w:sz w:val="20"/>
                <w:szCs w:val="20"/>
              </w:rPr>
              <w:t xml:space="preserve">Se establecen protocolos para el uso de insumos químicos y se capacita en el uso de </w:t>
            </w:r>
            <w:proofErr w:type="gramStart"/>
            <w:r w:rsidRPr="009A27ED">
              <w:rPr>
                <w:rFonts w:ascii="Calibri" w:eastAsia="Times New Roman" w:hAnsi="Calibri" w:cs="Calibri"/>
                <w:sz w:val="20"/>
                <w:szCs w:val="20"/>
              </w:rPr>
              <w:t>los mismos</w:t>
            </w:r>
            <w:proofErr w:type="gramEnd"/>
            <w:r w:rsidRPr="009A27ED">
              <w:rPr>
                <w:rFonts w:ascii="Calibri" w:eastAsia="Times New Roman" w:hAnsi="Calibri" w:cs="Calibri"/>
                <w:sz w:val="20"/>
                <w:szCs w:val="20"/>
              </w:rPr>
              <w:t>.</w:t>
            </w:r>
          </w:p>
        </w:tc>
        <w:tc>
          <w:tcPr>
            <w:tcW w:w="3819"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69282BDC" w14:textId="77777777" w:rsidR="00A169FB" w:rsidRPr="009A27ED" w:rsidRDefault="00A169FB" w:rsidP="00DF1AF5">
            <w:pPr>
              <w:spacing w:after="0" w:line="256" w:lineRule="auto"/>
              <w:rPr>
                <w:color w:val="000000"/>
                <w:sz w:val="20"/>
                <w:szCs w:val="20"/>
                <w:lang w:val="es-DO"/>
              </w:rPr>
            </w:pPr>
            <w:r w:rsidRPr="009A27ED">
              <w:rPr>
                <w:color w:val="000000"/>
                <w:sz w:val="20"/>
                <w:szCs w:val="20"/>
                <w:lang w:val="es-DO"/>
              </w:rPr>
              <w:lastRenderedPageBreak/>
              <w:t>PO 4.01. (Evaluación ambiental, identificación de impactos ambientales y sociales, medidas de mitigación, seguimiento y registro, consultas, mecanismo de quejas y atención a denuncias).</w:t>
            </w:r>
          </w:p>
          <w:p w14:paraId="452790C1" w14:textId="77777777" w:rsidR="00A169FB" w:rsidRPr="009A27ED" w:rsidRDefault="00A169FB" w:rsidP="00DF1AF5">
            <w:pPr>
              <w:spacing w:after="0" w:line="256" w:lineRule="auto"/>
              <w:rPr>
                <w:color w:val="000000"/>
                <w:sz w:val="20"/>
                <w:szCs w:val="20"/>
                <w:lang w:val="es-DO"/>
              </w:rPr>
            </w:pPr>
            <w:r w:rsidRPr="009A27ED">
              <w:rPr>
                <w:color w:val="000000"/>
                <w:sz w:val="20"/>
                <w:szCs w:val="20"/>
                <w:lang w:val="es-DO"/>
              </w:rPr>
              <w:t>PO 4.04. (Hábitats naturales, conservación de hábitats naturales críticos, promoción de biodiversidad, corredores biológicos, servicios ambientales, áreas protegidas).</w:t>
            </w:r>
          </w:p>
          <w:p w14:paraId="19E9234B" w14:textId="77777777" w:rsidR="00A169FB" w:rsidRPr="009A27ED" w:rsidRDefault="00A169FB" w:rsidP="00DF1AF5">
            <w:pPr>
              <w:spacing w:after="0" w:line="256" w:lineRule="auto"/>
              <w:rPr>
                <w:color w:val="000000"/>
                <w:sz w:val="20"/>
                <w:szCs w:val="20"/>
                <w:lang w:val="es-DO"/>
              </w:rPr>
            </w:pPr>
            <w:r w:rsidRPr="009A27ED">
              <w:rPr>
                <w:color w:val="000000"/>
                <w:sz w:val="20"/>
                <w:szCs w:val="20"/>
                <w:lang w:val="es-DO"/>
              </w:rPr>
              <w:t>PO 4.36. (Conservación de bosques, manejo sustentable de bosques, plantaciones, certificación de manejo forestal sostenible y plantaciones, control de incendios)</w:t>
            </w:r>
          </w:p>
          <w:p w14:paraId="1FFBAC4B" w14:textId="77777777" w:rsidR="00A169FB" w:rsidRPr="009A27ED" w:rsidRDefault="00A169FB" w:rsidP="00DF1AF5">
            <w:pPr>
              <w:spacing w:after="0" w:line="256" w:lineRule="auto"/>
              <w:rPr>
                <w:color w:val="000000"/>
                <w:sz w:val="20"/>
                <w:szCs w:val="20"/>
                <w:lang w:val="es-DO"/>
              </w:rPr>
            </w:pPr>
            <w:r w:rsidRPr="009A27ED">
              <w:rPr>
                <w:color w:val="000000"/>
                <w:sz w:val="20"/>
                <w:szCs w:val="20"/>
                <w:lang w:val="es-DO"/>
              </w:rPr>
              <w:t>PO 4.9. (Control de plagas, uso controlado de agroquímicos, uso preferente de medios alternativos físicos y biológicos para control de plagas, seguridad de trabajadores y población y contaminación de suelo y agua).</w:t>
            </w:r>
          </w:p>
          <w:p w14:paraId="32573942" w14:textId="77777777" w:rsidR="00DF1AF5" w:rsidRPr="009A27ED" w:rsidRDefault="00DF1AF5" w:rsidP="00DF1AF5">
            <w:pPr>
              <w:rPr>
                <w:sz w:val="20"/>
                <w:szCs w:val="20"/>
                <w:lang w:val="es-DO"/>
              </w:rPr>
            </w:pPr>
          </w:p>
          <w:p w14:paraId="4319641A" w14:textId="77777777" w:rsidR="00DF1AF5" w:rsidRPr="009A27ED" w:rsidRDefault="00DF1AF5" w:rsidP="00DF1AF5">
            <w:pPr>
              <w:rPr>
                <w:sz w:val="20"/>
                <w:szCs w:val="20"/>
                <w:lang w:val="es-DO"/>
              </w:rPr>
            </w:pPr>
          </w:p>
          <w:p w14:paraId="74733E66" w14:textId="77777777" w:rsidR="00DF1AF5" w:rsidRPr="009A27ED" w:rsidRDefault="00DF1AF5" w:rsidP="00DF1AF5">
            <w:pPr>
              <w:rPr>
                <w:sz w:val="20"/>
                <w:szCs w:val="20"/>
                <w:lang w:val="es-DO"/>
              </w:rPr>
            </w:pPr>
          </w:p>
          <w:p w14:paraId="6A3042D8" w14:textId="77777777" w:rsidR="00DF1AF5" w:rsidRPr="009A27ED" w:rsidRDefault="00DF1AF5" w:rsidP="00DF1AF5">
            <w:pPr>
              <w:rPr>
                <w:sz w:val="20"/>
                <w:szCs w:val="20"/>
                <w:lang w:val="es-DO"/>
              </w:rPr>
            </w:pPr>
          </w:p>
          <w:p w14:paraId="7472F8D1" w14:textId="77777777" w:rsidR="00DF1AF5" w:rsidRPr="009A27ED" w:rsidRDefault="00DF1AF5" w:rsidP="00DF1AF5">
            <w:pPr>
              <w:rPr>
                <w:sz w:val="20"/>
                <w:szCs w:val="20"/>
                <w:lang w:val="es-DO"/>
              </w:rPr>
            </w:pPr>
          </w:p>
          <w:p w14:paraId="66C55986" w14:textId="77777777" w:rsidR="00DF1AF5" w:rsidRPr="009A27ED" w:rsidRDefault="00DF1AF5" w:rsidP="00DF1AF5">
            <w:pPr>
              <w:rPr>
                <w:sz w:val="20"/>
                <w:szCs w:val="20"/>
                <w:lang w:val="es-DO"/>
              </w:rPr>
            </w:pPr>
          </w:p>
          <w:p w14:paraId="24ED8D29" w14:textId="77777777" w:rsidR="00DF1AF5" w:rsidRPr="009A27ED" w:rsidRDefault="00DF1AF5" w:rsidP="00DF1AF5">
            <w:pPr>
              <w:rPr>
                <w:sz w:val="20"/>
                <w:szCs w:val="20"/>
                <w:lang w:val="es-DO"/>
              </w:rPr>
            </w:pPr>
          </w:p>
          <w:p w14:paraId="545D449B" w14:textId="77777777" w:rsidR="00DF1AF5" w:rsidRPr="009A27ED" w:rsidRDefault="00DF1AF5" w:rsidP="00DF1AF5">
            <w:pPr>
              <w:rPr>
                <w:sz w:val="20"/>
                <w:szCs w:val="20"/>
                <w:lang w:val="es-DO"/>
              </w:rPr>
            </w:pPr>
          </w:p>
          <w:p w14:paraId="113E528C" w14:textId="191DE154" w:rsidR="00DF1AF5" w:rsidRPr="009A27ED" w:rsidRDefault="00DF1AF5" w:rsidP="00DF1AF5">
            <w:pPr>
              <w:rPr>
                <w:sz w:val="20"/>
                <w:szCs w:val="20"/>
                <w:lang w:val="es-DO"/>
              </w:rPr>
            </w:pPr>
          </w:p>
          <w:p w14:paraId="2A5A0006" w14:textId="77777777" w:rsidR="00A169FB" w:rsidRPr="009A27ED" w:rsidRDefault="00A169FB" w:rsidP="00DF1AF5">
            <w:pPr>
              <w:jc w:val="right"/>
              <w:rPr>
                <w:sz w:val="20"/>
                <w:szCs w:val="20"/>
                <w:lang w:val="es-DO"/>
              </w:rPr>
            </w:pPr>
          </w:p>
        </w:tc>
      </w:tr>
      <w:tr w:rsidR="00A169FB" w:rsidRPr="009A27ED" w14:paraId="75B45935" w14:textId="77777777" w:rsidTr="00C97A18">
        <w:trPr>
          <w:gridBefore w:val="1"/>
          <w:wBefore w:w="18" w:type="dxa"/>
          <w:trHeight w:val="2795"/>
        </w:trPr>
        <w:tc>
          <w:tcPr>
            <w:tcW w:w="2520" w:type="dxa"/>
            <w:tcBorders>
              <w:top w:val="single" w:sz="4" w:space="0" w:color="auto"/>
              <w:left w:val="single" w:sz="4" w:space="0" w:color="auto"/>
              <w:bottom w:val="single" w:sz="4" w:space="0" w:color="auto"/>
              <w:right w:val="single" w:sz="4" w:space="0" w:color="auto"/>
            </w:tcBorders>
            <w:shd w:val="clear" w:color="auto" w:fill="FFFFFF"/>
          </w:tcPr>
          <w:p w14:paraId="43CA2695" w14:textId="3A236616" w:rsidR="00A169FB" w:rsidRPr="009A27ED" w:rsidRDefault="00A169FB" w:rsidP="00DF1AF5">
            <w:pPr>
              <w:spacing w:after="0" w:line="256" w:lineRule="auto"/>
              <w:rPr>
                <w:color w:val="000000"/>
                <w:sz w:val="20"/>
                <w:szCs w:val="20"/>
                <w:lang w:val="es-DO"/>
              </w:rPr>
            </w:pPr>
            <w:r w:rsidRPr="009A27ED">
              <w:rPr>
                <w:b/>
                <w:bCs/>
                <w:color w:val="000000"/>
                <w:sz w:val="20"/>
                <w:szCs w:val="20"/>
                <w:lang w:val="es-DO"/>
              </w:rPr>
              <w:t xml:space="preserve">5. Regeneración Natural de zonas degradadas: </w:t>
            </w:r>
            <w:r w:rsidRPr="009A27ED">
              <w:rPr>
                <w:color w:val="000000"/>
                <w:sz w:val="20"/>
                <w:szCs w:val="20"/>
                <w:lang w:val="es-DO"/>
              </w:rPr>
              <w:t>Preparación y cuidado de un terreno con escaza o ninguna cobertura arbórea, de manera que se fomente el crecimiento o desarrollo de la vegetación natural con el fin de reestablecer los sistemas forestales, ya sea con fines de conservación o productivos.</w:t>
            </w:r>
          </w:p>
          <w:p w14:paraId="3D36FD3E" w14:textId="77777777" w:rsidR="00A169FB" w:rsidRPr="009A27ED" w:rsidRDefault="00A169FB" w:rsidP="00DF1AF5">
            <w:pPr>
              <w:spacing w:after="0" w:line="256" w:lineRule="auto"/>
              <w:rPr>
                <w:color w:val="000000"/>
                <w:sz w:val="20"/>
                <w:szCs w:val="20"/>
                <w:lang w:val="es-DO"/>
              </w:rPr>
            </w:pPr>
          </w:p>
          <w:p w14:paraId="019E0892" w14:textId="77777777" w:rsidR="00A169FB" w:rsidRPr="009A27ED" w:rsidRDefault="00A169FB" w:rsidP="00DF1AF5">
            <w:pPr>
              <w:spacing w:after="0" w:line="256" w:lineRule="auto"/>
              <w:rPr>
                <w:color w:val="000000"/>
                <w:sz w:val="20"/>
                <w:szCs w:val="20"/>
                <w:lang w:val="es-DO"/>
              </w:rPr>
            </w:pPr>
            <w:r w:rsidRPr="009A27ED">
              <w:rPr>
                <w:bCs/>
                <w:i/>
                <w:color w:val="000000"/>
                <w:sz w:val="20"/>
                <w:szCs w:val="20"/>
                <w:lang w:val="es-DO"/>
              </w:rPr>
              <w:t>Acciones estratégicas:</w:t>
            </w:r>
            <w:r w:rsidRPr="009A27ED">
              <w:rPr>
                <w:b/>
                <w:bCs/>
                <w:i/>
                <w:color w:val="000000"/>
                <w:sz w:val="20"/>
                <w:szCs w:val="20"/>
                <w:lang w:val="es-DO"/>
              </w:rPr>
              <w:t xml:space="preserve"> </w:t>
            </w:r>
            <w:r w:rsidRPr="009A27ED">
              <w:rPr>
                <w:b/>
                <w:i/>
                <w:sz w:val="20"/>
                <w:szCs w:val="20"/>
                <w:lang w:val="es-DO"/>
              </w:rPr>
              <w:t>3.6, 3.8, 3.11</w:t>
            </w:r>
          </w:p>
        </w:tc>
        <w:tc>
          <w:tcPr>
            <w:tcW w:w="2520"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26BB82BC" w14:textId="77777777" w:rsidR="00A169FB" w:rsidRPr="009A27ED" w:rsidRDefault="00A169FB" w:rsidP="00DF1AF5">
            <w:pPr>
              <w:spacing w:after="0" w:line="256" w:lineRule="auto"/>
              <w:rPr>
                <w:color w:val="3B3B3A"/>
                <w:sz w:val="20"/>
                <w:szCs w:val="20"/>
                <w:lang w:val="es-DO"/>
              </w:rPr>
            </w:pPr>
            <w:r w:rsidRPr="009A27ED">
              <w:rPr>
                <w:color w:val="3B3B3A"/>
                <w:sz w:val="20"/>
                <w:szCs w:val="20"/>
                <w:lang w:val="es-DO"/>
              </w:rPr>
              <w:t>5.1. Recuperación de tierras degradadas mediante regeneración natural y ampliación de la superficie bajo manejo forestal sostenible</w:t>
            </w:r>
            <w:r w:rsidRPr="009A27ED">
              <w:rPr>
                <w:b/>
                <w:bCs/>
                <w:color w:val="3B3B3A"/>
                <w:sz w:val="20"/>
                <w:szCs w:val="20"/>
                <w:lang w:val="es-DO"/>
              </w:rPr>
              <w:t xml:space="preserve"> </w:t>
            </w:r>
            <w:r w:rsidRPr="009A27ED">
              <w:rPr>
                <w:color w:val="000000"/>
                <w:sz w:val="20"/>
                <w:szCs w:val="20"/>
                <w:lang w:val="es-DO"/>
              </w:rPr>
              <w:t>ya sea con fines de conservación o productivos.</w:t>
            </w:r>
          </w:p>
          <w:p w14:paraId="02933AE5" w14:textId="77777777" w:rsidR="00A169FB" w:rsidRPr="009A27ED" w:rsidRDefault="00A169FB" w:rsidP="00DF1AF5">
            <w:pPr>
              <w:spacing w:after="0" w:line="256" w:lineRule="auto"/>
              <w:rPr>
                <w:color w:val="3B3B3A"/>
                <w:sz w:val="20"/>
                <w:szCs w:val="20"/>
                <w:lang w:val="es-DO"/>
              </w:rPr>
            </w:pPr>
            <w:r w:rsidRPr="009A27ED">
              <w:rPr>
                <w:color w:val="000000"/>
                <w:sz w:val="20"/>
                <w:szCs w:val="20"/>
                <w:lang w:val="es-DO"/>
              </w:rPr>
              <w:t>5.2. Monitoreo y seguimiento: actividades de monitoreo forestal, carbono, de biodiversidad.</w:t>
            </w:r>
          </w:p>
        </w:tc>
        <w:tc>
          <w:tcPr>
            <w:tcW w:w="3060"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654724F0" w14:textId="77777777" w:rsidR="00A169FB" w:rsidRPr="009A27ED" w:rsidRDefault="00A169FB" w:rsidP="00DF1AF5">
            <w:pPr>
              <w:spacing w:after="0" w:line="256" w:lineRule="auto"/>
              <w:rPr>
                <w:i/>
                <w:sz w:val="20"/>
                <w:szCs w:val="20"/>
                <w:u w:val="single"/>
                <w:lang w:val="es-DO"/>
              </w:rPr>
            </w:pPr>
            <w:r w:rsidRPr="009A27ED">
              <w:rPr>
                <w:i/>
                <w:sz w:val="20"/>
                <w:szCs w:val="20"/>
                <w:u w:val="single"/>
                <w:lang w:val="es-DO"/>
              </w:rPr>
              <w:t>Establecimiento</w:t>
            </w:r>
          </w:p>
          <w:p w14:paraId="75610728" w14:textId="77777777" w:rsidR="00A169FB" w:rsidRPr="009A27ED" w:rsidRDefault="00A169FB" w:rsidP="00E67CB0">
            <w:pPr>
              <w:pStyle w:val="Prrafodelista"/>
              <w:numPr>
                <w:ilvl w:val="0"/>
                <w:numId w:val="253"/>
              </w:numPr>
              <w:spacing w:after="0" w:line="256" w:lineRule="auto"/>
              <w:jc w:val="left"/>
              <w:rPr>
                <w:sz w:val="20"/>
                <w:szCs w:val="20"/>
                <w:lang w:val="es-DO"/>
              </w:rPr>
            </w:pPr>
            <w:r w:rsidRPr="009A27ED">
              <w:rPr>
                <w:sz w:val="20"/>
                <w:szCs w:val="20"/>
                <w:lang w:val="es-DO"/>
              </w:rPr>
              <w:t>Identificación y delimitación de predios degradados</w:t>
            </w:r>
          </w:p>
          <w:p w14:paraId="265C7B46" w14:textId="77777777" w:rsidR="00A169FB" w:rsidRPr="009A27ED" w:rsidRDefault="00A169FB" w:rsidP="00E67CB0">
            <w:pPr>
              <w:pStyle w:val="Prrafodelista"/>
              <w:numPr>
                <w:ilvl w:val="0"/>
                <w:numId w:val="253"/>
              </w:numPr>
              <w:spacing w:after="0" w:line="256" w:lineRule="auto"/>
              <w:jc w:val="left"/>
              <w:rPr>
                <w:sz w:val="20"/>
                <w:szCs w:val="20"/>
                <w:lang w:val="es-DO"/>
              </w:rPr>
            </w:pPr>
            <w:r w:rsidRPr="009A27ED">
              <w:rPr>
                <w:sz w:val="20"/>
                <w:szCs w:val="20"/>
                <w:lang w:val="es-DO"/>
              </w:rPr>
              <w:t>Limitar el acceso al predio.</w:t>
            </w:r>
          </w:p>
          <w:p w14:paraId="44F1FC14" w14:textId="77777777" w:rsidR="00A169FB" w:rsidRPr="009A27ED" w:rsidRDefault="00A169FB" w:rsidP="00E67CB0">
            <w:pPr>
              <w:pStyle w:val="Prrafodelista"/>
              <w:numPr>
                <w:ilvl w:val="0"/>
                <w:numId w:val="253"/>
              </w:numPr>
              <w:spacing w:after="0" w:line="256" w:lineRule="auto"/>
              <w:jc w:val="left"/>
              <w:rPr>
                <w:sz w:val="20"/>
                <w:szCs w:val="20"/>
                <w:lang w:val="es-DO"/>
              </w:rPr>
            </w:pPr>
            <w:r w:rsidRPr="009A27ED">
              <w:rPr>
                <w:sz w:val="20"/>
                <w:szCs w:val="20"/>
                <w:lang w:val="es-DO"/>
              </w:rPr>
              <w:t>Preparación de terreno para facilitar la regeneración</w:t>
            </w:r>
          </w:p>
          <w:p w14:paraId="12606854" w14:textId="77777777" w:rsidR="00A169FB" w:rsidRPr="009A27ED" w:rsidRDefault="00A169FB" w:rsidP="00DF1AF5">
            <w:pPr>
              <w:spacing w:after="0" w:line="256" w:lineRule="auto"/>
              <w:rPr>
                <w:i/>
                <w:sz w:val="20"/>
                <w:szCs w:val="20"/>
                <w:u w:val="single"/>
                <w:lang w:val="es-DO"/>
              </w:rPr>
            </w:pPr>
            <w:r w:rsidRPr="009A27ED">
              <w:rPr>
                <w:i/>
                <w:sz w:val="20"/>
                <w:szCs w:val="20"/>
                <w:u w:val="single"/>
                <w:lang w:val="es-DO"/>
              </w:rPr>
              <w:t>Manejo para fines de producción</w:t>
            </w:r>
          </w:p>
          <w:p w14:paraId="178F28EC" w14:textId="77777777" w:rsidR="00A169FB" w:rsidRPr="009A27ED" w:rsidRDefault="00A169FB" w:rsidP="00E67CB0">
            <w:pPr>
              <w:pStyle w:val="Prrafodelista"/>
              <w:numPr>
                <w:ilvl w:val="0"/>
                <w:numId w:val="253"/>
              </w:numPr>
              <w:spacing w:after="0" w:line="256" w:lineRule="auto"/>
              <w:jc w:val="left"/>
              <w:rPr>
                <w:sz w:val="20"/>
                <w:szCs w:val="20"/>
                <w:lang w:val="es-DO"/>
              </w:rPr>
            </w:pPr>
            <w:r w:rsidRPr="009A27ED">
              <w:rPr>
                <w:sz w:val="20"/>
                <w:szCs w:val="20"/>
                <w:lang w:val="es-DO"/>
              </w:rPr>
              <w:t>Aclareos, limpiezas</w:t>
            </w:r>
          </w:p>
          <w:p w14:paraId="6A21A75F" w14:textId="77777777" w:rsidR="00A169FB" w:rsidRPr="009A27ED" w:rsidRDefault="00A169FB" w:rsidP="00E67CB0">
            <w:pPr>
              <w:pStyle w:val="Prrafodelista"/>
              <w:numPr>
                <w:ilvl w:val="0"/>
                <w:numId w:val="253"/>
              </w:numPr>
              <w:spacing w:after="0" w:line="256" w:lineRule="auto"/>
              <w:jc w:val="left"/>
              <w:rPr>
                <w:sz w:val="20"/>
                <w:szCs w:val="20"/>
                <w:lang w:val="es-DO"/>
              </w:rPr>
            </w:pPr>
            <w:r w:rsidRPr="009A27ED">
              <w:rPr>
                <w:sz w:val="20"/>
                <w:szCs w:val="20"/>
                <w:lang w:val="es-DO"/>
              </w:rPr>
              <w:t>Supervisión, monitoreo, reporte de la actividad</w:t>
            </w:r>
          </w:p>
        </w:tc>
        <w:tc>
          <w:tcPr>
            <w:tcW w:w="4050" w:type="dxa"/>
            <w:tcBorders>
              <w:top w:val="single" w:sz="4" w:space="0" w:color="auto"/>
              <w:left w:val="single" w:sz="4" w:space="0" w:color="auto"/>
              <w:bottom w:val="single" w:sz="4" w:space="0" w:color="auto"/>
              <w:right w:val="single" w:sz="4" w:space="0" w:color="auto"/>
            </w:tcBorders>
            <w:shd w:val="clear" w:color="auto" w:fill="FFFFFF"/>
            <w:hideMark/>
          </w:tcPr>
          <w:tbl>
            <w:tblPr>
              <w:tblW w:w="0" w:type="dxa"/>
              <w:tblLayout w:type="fixed"/>
              <w:tblLook w:val="04A0" w:firstRow="1" w:lastRow="0" w:firstColumn="1" w:lastColumn="0" w:noHBand="0" w:noVBand="1"/>
            </w:tblPr>
            <w:tblGrid>
              <w:gridCol w:w="7240"/>
            </w:tblGrid>
            <w:tr w:rsidR="00A169FB" w:rsidRPr="009A27ED" w14:paraId="3F98E39C" w14:textId="77777777">
              <w:trPr>
                <w:trHeight w:val="300"/>
              </w:trPr>
              <w:tc>
                <w:tcPr>
                  <w:tcW w:w="7240" w:type="dxa"/>
                  <w:noWrap/>
                  <w:hideMark/>
                </w:tcPr>
                <w:p w14:paraId="281EC5D9" w14:textId="77777777" w:rsidR="00A169FB" w:rsidRPr="009A27ED" w:rsidRDefault="00A169FB" w:rsidP="00DF1AF5">
                  <w:pPr>
                    <w:spacing w:after="0" w:line="256" w:lineRule="auto"/>
                    <w:rPr>
                      <w:color w:val="000000"/>
                      <w:sz w:val="20"/>
                      <w:szCs w:val="20"/>
                      <w:lang w:val="es-GT"/>
                    </w:rPr>
                  </w:pPr>
                  <w:r w:rsidRPr="009A27ED">
                    <w:rPr>
                      <w:color w:val="000000"/>
                      <w:sz w:val="20"/>
                      <w:szCs w:val="20"/>
                    </w:rPr>
                    <w:t>Áreas restauradas sin adecuado seguimiento/ mantenimiento pueden sufrir alta tasa de mortalidad. No eliminación de la fuente del problema y por tanto una limitación al impacto positivo potencial de esta medida.</w:t>
                  </w:r>
                </w:p>
              </w:tc>
            </w:tr>
            <w:tr w:rsidR="00A169FB" w:rsidRPr="009A27ED" w14:paraId="00E61E87" w14:textId="77777777">
              <w:trPr>
                <w:trHeight w:val="300"/>
              </w:trPr>
              <w:tc>
                <w:tcPr>
                  <w:tcW w:w="7240" w:type="dxa"/>
                  <w:noWrap/>
                  <w:hideMark/>
                </w:tcPr>
                <w:p w14:paraId="67609FFA" w14:textId="77777777" w:rsidR="00A169FB" w:rsidRPr="009A27ED" w:rsidRDefault="00A169FB" w:rsidP="00DF1AF5">
                  <w:pPr>
                    <w:spacing w:after="0" w:line="256" w:lineRule="auto"/>
                    <w:rPr>
                      <w:color w:val="000000"/>
                      <w:sz w:val="20"/>
                      <w:szCs w:val="20"/>
                    </w:rPr>
                  </w:pPr>
                  <w:r w:rsidRPr="009A27ED">
                    <w:rPr>
                      <w:color w:val="000000"/>
                      <w:sz w:val="20"/>
                      <w:szCs w:val="20"/>
                    </w:rPr>
                    <w:t>Baja tasa de supervivencia de las especies forestales por un mal manejo.</w:t>
                  </w:r>
                </w:p>
              </w:tc>
            </w:tr>
            <w:tr w:rsidR="00A169FB" w:rsidRPr="009A27ED" w14:paraId="54F6BBB6" w14:textId="77777777">
              <w:trPr>
                <w:trHeight w:val="300"/>
              </w:trPr>
              <w:tc>
                <w:tcPr>
                  <w:tcW w:w="7240" w:type="dxa"/>
                  <w:noWrap/>
                  <w:hideMark/>
                </w:tcPr>
                <w:p w14:paraId="172DD951" w14:textId="77777777" w:rsidR="00A169FB" w:rsidRPr="009A27ED" w:rsidRDefault="00A169FB" w:rsidP="00DF1AF5">
                  <w:pPr>
                    <w:spacing w:after="0" w:line="256" w:lineRule="auto"/>
                    <w:rPr>
                      <w:color w:val="000000"/>
                      <w:sz w:val="20"/>
                      <w:szCs w:val="20"/>
                    </w:rPr>
                  </w:pPr>
                  <w:r w:rsidRPr="009A27ED">
                    <w:rPr>
                      <w:color w:val="000000"/>
                      <w:sz w:val="20"/>
                      <w:szCs w:val="20"/>
                    </w:rPr>
                    <w:t xml:space="preserve">Contaminación de suelo y acuíferos. Afecciones a la salud por uso inadecuado de pesticidas. </w:t>
                  </w:r>
                </w:p>
              </w:tc>
            </w:tr>
            <w:tr w:rsidR="00A169FB" w:rsidRPr="009A27ED" w14:paraId="5286935C" w14:textId="77777777">
              <w:trPr>
                <w:trHeight w:val="300"/>
              </w:trPr>
              <w:tc>
                <w:tcPr>
                  <w:tcW w:w="7240" w:type="dxa"/>
                  <w:noWrap/>
                  <w:hideMark/>
                </w:tcPr>
                <w:p w14:paraId="188C1ECE" w14:textId="77777777" w:rsidR="00A169FB" w:rsidRPr="009A27ED" w:rsidRDefault="00A169FB" w:rsidP="00DF1AF5">
                  <w:pPr>
                    <w:spacing w:after="0" w:line="256" w:lineRule="auto"/>
                    <w:rPr>
                      <w:color w:val="000000"/>
                      <w:sz w:val="20"/>
                      <w:szCs w:val="20"/>
                    </w:rPr>
                  </w:pPr>
                  <w:r w:rsidRPr="009A27ED">
                    <w:rPr>
                      <w:color w:val="000000"/>
                      <w:sz w:val="20"/>
                      <w:szCs w:val="20"/>
                    </w:rPr>
                    <w:t>Erosión del suelo, pérdida de sus propiedades físicas y químicas y de la vegetación.</w:t>
                  </w:r>
                </w:p>
              </w:tc>
            </w:tr>
            <w:tr w:rsidR="00A169FB" w:rsidRPr="009A27ED" w14:paraId="3D376637" w14:textId="77777777">
              <w:trPr>
                <w:trHeight w:val="300"/>
              </w:trPr>
              <w:tc>
                <w:tcPr>
                  <w:tcW w:w="7240" w:type="dxa"/>
                  <w:noWrap/>
                  <w:hideMark/>
                </w:tcPr>
                <w:p w14:paraId="0FD0180D" w14:textId="77777777" w:rsidR="00A169FB" w:rsidRPr="009A27ED" w:rsidRDefault="00A169FB" w:rsidP="00DF1AF5">
                  <w:pPr>
                    <w:spacing w:after="0" w:line="256" w:lineRule="auto"/>
                    <w:rPr>
                      <w:color w:val="000000"/>
                      <w:sz w:val="20"/>
                      <w:szCs w:val="20"/>
                      <w:lang w:val="en-US"/>
                    </w:rPr>
                  </w:pPr>
                  <w:r w:rsidRPr="009A27ED">
                    <w:rPr>
                      <w:color w:val="000000"/>
                      <w:sz w:val="20"/>
                      <w:szCs w:val="20"/>
                    </w:rPr>
                    <w:t>Incendios forestales.</w:t>
                  </w:r>
                </w:p>
              </w:tc>
            </w:tr>
            <w:tr w:rsidR="00A169FB" w:rsidRPr="009A27ED" w14:paraId="25546C38" w14:textId="77777777">
              <w:trPr>
                <w:trHeight w:val="300"/>
              </w:trPr>
              <w:tc>
                <w:tcPr>
                  <w:tcW w:w="7240" w:type="dxa"/>
                  <w:noWrap/>
                  <w:hideMark/>
                </w:tcPr>
                <w:p w14:paraId="11592E5D" w14:textId="77777777" w:rsidR="00A169FB" w:rsidRPr="009A27ED" w:rsidRDefault="00A169FB" w:rsidP="00DF1AF5">
                  <w:pPr>
                    <w:spacing w:after="0" w:line="256" w:lineRule="auto"/>
                    <w:rPr>
                      <w:color w:val="000000"/>
                      <w:sz w:val="20"/>
                      <w:szCs w:val="20"/>
                      <w:lang w:val="es-GT"/>
                    </w:rPr>
                  </w:pPr>
                  <w:r w:rsidRPr="009A27ED">
                    <w:rPr>
                      <w:color w:val="000000"/>
                      <w:sz w:val="20"/>
                      <w:szCs w:val="20"/>
                    </w:rPr>
                    <w:t>Presencia de plagas y enfermedades.</w:t>
                  </w:r>
                </w:p>
              </w:tc>
            </w:tr>
            <w:tr w:rsidR="00A169FB" w:rsidRPr="009A27ED" w14:paraId="4E88BFD1" w14:textId="77777777">
              <w:trPr>
                <w:trHeight w:val="300"/>
              </w:trPr>
              <w:tc>
                <w:tcPr>
                  <w:tcW w:w="7240" w:type="dxa"/>
                  <w:noWrap/>
                  <w:hideMark/>
                </w:tcPr>
                <w:p w14:paraId="32C8704B" w14:textId="77777777" w:rsidR="00A169FB" w:rsidRPr="009A27ED" w:rsidRDefault="00A169FB" w:rsidP="00DF1AF5">
                  <w:pPr>
                    <w:spacing w:after="0" w:line="256" w:lineRule="auto"/>
                    <w:rPr>
                      <w:color w:val="000000"/>
                      <w:sz w:val="20"/>
                      <w:szCs w:val="20"/>
                    </w:rPr>
                  </w:pPr>
                  <w:r w:rsidRPr="009A27ED">
                    <w:rPr>
                      <w:color w:val="000000"/>
                      <w:sz w:val="20"/>
                      <w:szCs w:val="20"/>
                    </w:rPr>
                    <w:t>Riesgos sanitarios por mala manipulación de agroquímicos</w:t>
                  </w:r>
                </w:p>
              </w:tc>
            </w:tr>
            <w:tr w:rsidR="00A169FB" w:rsidRPr="009A27ED" w14:paraId="28EFFBC1" w14:textId="77777777">
              <w:trPr>
                <w:trHeight w:val="300"/>
              </w:trPr>
              <w:tc>
                <w:tcPr>
                  <w:tcW w:w="7240" w:type="dxa"/>
                  <w:noWrap/>
                  <w:hideMark/>
                </w:tcPr>
                <w:p w14:paraId="6F339535" w14:textId="77777777" w:rsidR="00A169FB" w:rsidRPr="009A27ED" w:rsidRDefault="00A169FB" w:rsidP="00DF1AF5">
                  <w:pPr>
                    <w:spacing w:after="0" w:line="256" w:lineRule="auto"/>
                    <w:rPr>
                      <w:color w:val="000000"/>
                      <w:sz w:val="20"/>
                      <w:szCs w:val="20"/>
                    </w:rPr>
                  </w:pPr>
                  <w:r w:rsidRPr="009A27ED">
                    <w:rPr>
                      <w:color w:val="000000"/>
                      <w:sz w:val="20"/>
                      <w:szCs w:val="20"/>
                    </w:rPr>
                    <w:t>Se intensifica la extracción de leña en áreas forestales conservadas.</w:t>
                  </w:r>
                </w:p>
              </w:tc>
            </w:tr>
            <w:tr w:rsidR="00A169FB" w:rsidRPr="009A27ED" w14:paraId="40E716DE" w14:textId="77777777">
              <w:trPr>
                <w:trHeight w:val="300"/>
              </w:trPr>
              <w:tc>
                <w:tcPr>
                  <w:tcW w:w="7240" w:type="dxa"/>
                  <w:noWrap/>
                  <w:hideMark/>
                </w:tcPr>
                <w:p w14:paraId="1999EB5D" w14:textId="77777777" w:rsidR="00A169FB" w:rsidRPr="009A27ED" w:rsidRDefault="00A169FB" w:rsidP="00DF1AF5">
                  <w:pPr>
                    <w:spacing w:after="0" w:line="256" w:lineRule="auto"/>
                    <w:rPr>
                      <w:color w:val="000000"/>
                      <w:sz w:val="20"/>
                      <w:szCs w:val="20"/>
                    </w:rPr>
                  </w:pPr>
                  <w:r w:rsidRPr="009A27ED">
                    <w:rPr>
                      <w:color w:val="000000"/>
                      <w:sz w:val="20"/>
                      <w:szCs w:val="20"/>
                    </w:rPr>
                    <w:t>Se reduce la diversidad de fauna y flora en el área de aprovechamiento por un interés exclusivamente comercial maderable</w:t>
                  </w:r>
                </w:p>
              </w:tc>
            </w:tr>
          </w:tbl>
          <w:p w14:paraId="7C651272" w14:textId="77777777" w:rsidR="00A169FB" w:rsidRPr="009A27ED" w:rsidRDefault="00A169FB" w:rsidP="00E67CB0">
            <w:pPr>
              <w:pStyle w:val="Prrafodelista"/>
              <w:numPr>
                <w:ilvl w:val="0"/>
                <w:numId w:val="246"/>
              </w:numPr>
              <w:spacing w:before="120" w:after="0" w:line="254" w:lineRule="auto"/>
              <w:ind w:left="230" w:hanging="142"/>
              <w:jc w:val="left"/>
              <w:rPr>
                <w:rFonts w:eastAsia="Times New Roman"/>
                <w:sz w:val="20"/>
                <w:szCs w:val="20"/>
                <w:lang w:val="es-DO"/>
              </w:rPr>
            </w:pPr>
          </w:p>
        </w:tc>
        <w:tc>
          <w:tcPr>
            <w:tcW w:w="6660"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6221F80E" w14:textId="77777777" w:rsidR="00CD240D" w:rsidRPr="009A27ED" w:rsidRDefault="00CD240D" w:rsidP="0080132C">
            <w:pPr>
              <w:pStyle w:val="Prrafodelista"/>
              <w:numPr>
                <w:ilvl w:val="0"/>
                <w:numId w:val="316"/>
              </w:numPr>
              <w:spacing w:after="0" w:line="240" w:lineRule="auto"/>
              <w:ind w:left="360"/>
              <w:rPr>
                <w:rFonts w:ascii="Calibri" w:eastAsia="Times New Roman" w:hAnsi="Calibri" w:cs="Calibri"/>
                <w:sz w:val="20"/>
                <w:szCs w:val="20"/>
              </w:rPr>
            </w:pPr>
            <w:r w:rsidRPr="009A27ED">
              <w:rPr>
                <w:rFonts w:ascii="Calibri" w:eastAsia="Times New Roman" w:hAnsi="Calibri" w:cs="Calibri"/>
                <w:sz w:val="20"/>
                <w:szCs w:val="20"/>
              </w:rPr>
              <w:t>Existe una planificación para dar seguimiento y monitorear las áreas en regeneración natural.</w:t>
            </w:r>
          </w:p>
          <w:p w14:paraId="4C361185" w14:textId="77777777" w:rsidR="00CD240D" w:rsidRPr="009A27ED" w:rsidRDefault="00CD240D" w:rsidP="0080132C">
            <w:pPr>
              <w:pStyle w:val="Prrafodelista"/>
              <w:numPr>
                <w:ilvl w:val="0"/>
                <w:numId w:val="316"/>
              </w:numPr>
              <w:spacing w:after="0" w:line="240" w:lineRule="auto"/>
              <w:ind w:left="360"/>
              <w:rPr>
                <w:rFonts w:ascii="Calibri" w:eastAsia="Times New Roman" w:hAnsi="Calibri" w:cs="Calibri"/>
                <w:sz w:val="20"/>
                <w:szCs w:val="20"/>
              </w:rPr>
            </w:pPr>
            <w:r w:rsidRPr="009A27ED">
              <w:rPr>
                <w:rFonts w:ascii="Calibri" w:eastAsia="Times New Roman" w:hAnsi="Calibri" w:cs="Calibri"/>
                <w:sz w:val="20"/>
                <w:szCs w:val="20"/>
              </w:rPr>
              <w:t>Se mantienen libre de residuos contaminantes las áreas bajo regeneración.   Se protege el sitio de restauración.</w:t>
            </w:r>
          </w:p>
          <w:p w14:paraId="514AEC63" w14:textId="77777777" w:rsidR="00CD240D" w:rsidRPr="009A27ED" w:rsidRDefault="00CD240D" w:rsidP="0080132C">
            <w:pPr>
              <w:pStyle w:val="Prrafodelista"/>
              <w:numPr>
                <w:ilvl w:val="0"/>
                <w:numId w:val="316"/>
              </w:numPr>
              <w:spacing w:after="0" w:line="240" w:lineRule="auto"/>
              <w:ind w:left="360"/>
              <w:rPr>
                <w:rFonts w:ascii="Calibri" w:eastAsia="Times New Roman" w:hAnsi="Calibri" w:cs="Calibri"/>
                <w:sz w:val="20"/>
                <w:szCs w:val="20"/>
              </w:rPr>
            </w:pPr>
            <w:r w:rsidRPr="009A27ED">
              <w:rPr>
                <w:rFonts w:ascii="Calibri" w:eastAsia="Times New Roman" w:hAnsi="Calibri" w:cs="Calibri"/>
                <w:sz w:val="20"/>
                <w:szCs w:val="20"/>
              </w:rPr>
              <w:t>Se protege el sitio de manejo, especialmente los de 10 o más hectáreas.  Plan de monitoreo en áreas de conservación. Registro y reporte de la extracción de madera en la zona.  Se realizan acciones de protección para la biodiversidad.</w:t>
            </w:r>
          </w:p>
          <w:p w14:paraId="425B8056" w14:textId="77777777" w:rsidR="00CD240D" w:rsidRPr="009A27ED" w:rsidRDefault="00CD240D" w:rsidP="0080132C">
            <w:pPr>
              <w:pStyle w:val="Prrafodelista"/>
              <w:numPr>
                <w:ilvl w:val="0"/>
                <w:numId w:val="316"/>
              </w:numPr>
              <w:spacing w:after="0" w:line="240" w:lineRule="auto"/>
              <w:ind w:left="360"/>
              <w:rPr>
                <w:rFonts w:ascii="Calibri" w:eastAsia="Times New Roman" w:hAnsi="Calibri" w:cs="Calibri"/>
                <w:sz w:val="20"/>
                <w:szCs w:val="20"/>
              </w:rPr>
            </w:pPr>
            <w:r w:rsidRPr="009A27ED">
              <w:rPr>
                <w:rFonts w:ascii="Calibri" w:eastAsia="Times New Roman" w:hAnsi="Calibri" w:cs="Calibri"/>
                <w:sz w:val="20"/>
                <w:szCs w:val="20"/>
              </w:rPr>
              <w:t xml:space="preserve">Se mantiene material leñoso grueso que permiten crear </w:t>
            </w:r>
            <w:proofErr w:type="spellStart"/>
            <w:proofErr w:type="gramStart"/>
            <w:r w:rsidRPr="009A27ED">
              <w:rPr>
                <w:rFonts w:ascii="Calibri" w:eastAsia="Times New Roman" w:hAnsi="Calibri" w:cs="Calibri"/>
                <w:sz w:val="20"/>
                <w:szCs w:val="20"/>
              </w:rPr>
              <w:t>micro-hábitat</w:t>
            </w:r>
            <w:proofErr w:type="spellEnd"/>
            <w:proofErr w:type="gramEnd"/>
            <w:r w:rsidRPr="009A27ED">
              <w:rPr>
                <w:rFonts w:ascii="Calibri" w:eastAsia="Times New Roman" w:hAnsi="Calibri" w:cs="Calibri"/>
                <w:sz w:val="20"/>
                <w:szCs w:val="20"/>
              </w:rPr>
              <w:t xml:space="preserve"> sobre el suelo. Se mantiene la conectividad de hábitats dentro y a través del paisaje. Se protegen sitios de importancia crítica para especies de flora y fauna, con énfasis en las especies vulnerables y en peligro de extinción.</w:t>
            </w:r>
          </w:p>
          <w:p w14:paraId="4B572C12" w14:textId="77777777" w:rsidR="00CD240D" w:rsidRPr="009A27ED" w:rsidRDefault="00CD240D" w:rsidP="0080132C">
            <w:pPr>
              <w:pStyle w:val="Prrafodelista"/>
              <w:numPr>
                <w:ilvl w:val="0"/>
                <w:numId w:val="316"/>
              </w:numPr>
              <w:spacing w:after="0" w:line="240" w:lineRule="auto"/>
              <w:ind w:left="360"/>
              <w:rPr>
                <w:rFonts w:ascii="Calibri" w:eastAsia="Times New Roman" w:hAnsi="Calibri" w:cs="Calibri"/>
                <w:sz w:val="20"/>
                <w:szCs w:val="20"/>
              </w:rPr>
            </w:pPr>
            <w:r w:rsidRPr="009A27ED">
              <w:rPr>
                <w:rFonts w:ascii="Calibri" w:eastAsia="Times New Roman" w:hAnsi="Calibri" w:cs="Calibri"/>
                <w:sz w:val="20"/>
                <w:szCs w:val="20"/>
              </w:rPr>
              <w:t>Se conserva o enriquece la materia orgánica del suelo. Se practican técnicas de estabilización de riberas de ríos, arroyos y cañadas. Estabilización de taludes.  Se distribuyen los residuos de la cosecha forestal sobre el suelo. Se mantienen libre de residuos contaminantes las áreas bajo manejo.   Considerar la normatividad y medidas sobre el uso y manejo de los fertilizantes y plaguicidas. En las cuencas altas se realizan acciones como: retención de árboles muertos en pie y árboles que sobrepasan el dosel superior, construcción de brechas contrafuego, realización de obras de conservación y restauración de suelos, uso controlado de productos químicos.</w:t>
            </w:r>
          </w:p>
          <w:p w14:paraId="6A429DA8" w14:textId="77777777" w:rsidR="00CD240D" w:rsidRPr="009A27ED" w:rsidRDefault="00CD240D" w:rsidP="0080132C">
            <w:pPr>
              <w:pStyle w:val="Prrafodelista"/>
              <w:numPr>
                <w:ilvl w:val="0"/>
                <w:numId w:val="316"/>
              </w:numPr>
              <w:spacing w:after="0" w:line="240" w:lineRule="auto"/>
              <w:ind w:left="360"/>
              <w:rPr>
                <w:rFonts w:ascii="Calibri" w:eastAsia="Times New Roman" w:hAnsi="Calibri" w:cs="Calibri"/>
                <w:sz w:val="20"/>
                <w:szCs w:val="20"/>
              </w:rPr>
            </w:pPr>
            <w:r w:rsidRPr="009A27ED">
              <w:rPr>
                <w:rFonts w:ascii="Calibri" w:eastAsia="Times New Roman" w:hAnsi="Calibri" w:cs="Calibri"/>
                <w:sz w:val="20"/>
                <w:szCs w:val="20"/>
              </w:rPr>
              <w:t>Se involucran actores locales y se establecen alternativas de producción sostenibles.  Fortalecimiento de la capacitación en supervisión y monitoreo de salvaguardas para el manejo de los recursos naturales, en donde los actores locales forman parte del monitoreo y prevención de desastres. Ministerio de Medio Ambiente establece brigadas, para el control de fuego. Construcción de trochas contrafuego.</w:t>
            </w:r>
          </w:p>
          <w:p w14:paraId="18A71E2F" w14:textId="77777777" w:rsidR="00CD240D" w:rsidRPr="009A27ED" w:rsidRDefault="00CD240D" w:rsidP="0080132C">
            <w:pPr>
              <w:pStyle w:val="Prrafodelista"/>
              <w:numPr>
                <w:ilvl w:val="0"/>
                <w:numId w:val="316"/>
              </w:numPr>
              <w:spacing w:after="0" w:line="240" w:lineRule="auto"/>
              <w:ind w:left="360"/>
              <w:rPr>
                <w:rFonts w:ascii="Calibri" w:eastAsia="Times New Roman" w:hAnsi="Calibri" w:cs="Calibri"/>
                <w:sz w:val="20"/>
                <w:szCs w:val="20"/>
              </w:rPr>
            </w:pPr>
            <w:r w:rsidRPr="009A27ED">
              <w:rPr>
                <w:rFonts w:ascii="Calibri" w:eastAsia="Times New Roman" w:hAnsi="Calibri" w:cs="Calibri"/>
                <w:sz w:val="20"/>
                <w:szCs w:val="20"/>
              </w:rPr>
              <w:t>Realizar el manejo integrado de plagas, considerando la prevención y control biológico en lugar de los pesticidas y fertilizantes químicos.  Se realiza detección de plagas y enfermedades mediante monitoreos continuos, que implica la realización de recorridos en campo o sitios donde se establece la reforestación. Eliminación de plantas dentro del sembradío y sus alrededores que pueden ser hospederas alternas de plagas o enfermedades. Se realiza control mecánico y físico de plagas. Se realiza raleo sanitario dentro de las plantaciones que están afectados severamente y cuya condición no puede revertirse.</w:t>
            </w:r>
          </w:p>
          <w:p w14:paraId="5E3DB6FB" w14:textId="77777777" w:rsidR="00CD240D" w:rsidRPr="009A27ED" w:rsidRDefault="00CD240D" w:rsidP="0080132C">
            <w:pPr>
              <w:pStyle w:val="Prrafodelista"/>
              <w:numPr>
                <w:ilvl w:val="0"/>
                <w:numId w:val="316"/>
              </w:numPr>
              <w:spacing w:after="0" w:line="240" w:lineRule="auto"/>
              <w:ind w:left="360"/>
              <w:rPr>
                <w:rFonts w:ascii="Calibri" w:eastAsia="Times New Roman" w:hAnsi="Calibri" w:cs="Calibri"/>
                <w:sz w:val="20"/>
                <w:szCs w:val="20"/>
              </w:rPr>
            </w:pPr>
            <w:r w:rsidRPr="009A27ED">
              <w:rPr>
                <w:rFonts w:ascii="Calibri" w:eastAsia="Times New Roman" w:hAnsi="Calibri" w:cs="Calibri"/>
                <w:sz w:val="20"/>
                <w:szCs w:val="20"/>
              </w:rPr>
              <w:t xml:space="preserve">Se establecen protocolos para el uso de insumos químicos y se capacita en el uso de </w:t>
            </w:r>
            <w:proofErr w:type="gramStart"/>
            <w:r w:rsidRPr="009A27ED">
              <w:rPr>
                <w:rFonts w:ascii="Calibri" w:eastAsia="Times New Roman" w:hAnsi="Calibri" w:cs="Calibri"/>
                <w:sz w:val="20"/>
                <w:szCs w:val="20"/>
              </w:rPr>
              <w:t>los mismos</w:t>
            </w:r>
            <w:proofErr w:type="gramEnd"/>
            <w:r w:rsidRPr="009A27ED">
              <w:rPr>
                <w:rFonts w:ascii="Calibri" w:eastAsia="Times New Roman" w:hAnsi="Calibri" w:cs="Calibri"/>
                <w:sz w:val="20"/>
                <w:szCs w:val="20"/>
              </w:rPr>
              <w:t>.</w:t>
            </w:r>
          </w:p>
          <w:p w14:paraId="4C9F9182" w14:textId="77777777" w:rsidR="00BA6CA0" w:rsidRPr="009A27ED" w:rsidRDefault="00CD240D" w:rsidP="0080132C">
            <w:pPr>
              <w:pStyle w:val="Prrafodelista"/>
              <w:numPr>
                <w:ilvl w:val="0"/>
                <w:numId w:val="316"/>
              </w:numPr>
              <w:ind w:left="428" w:hanging="428"/>
              <w:rPr>
                <w:rFonts w:ascii="Calibri" w:eastAsia="Times New Roman" w:hAnsi="Calibri" w:cs="Calibri"/>
                <w:sz w:val="20"/>
                <w:szCs w:val="20"/>
                <w:lang w:val="es-ES"/>
              </w:rPr>
            </w:pPr>
            <w:r w:rsidRPr="009A27ED">
              <w:rPr>
                <w:rFonts w:ascii="Calibri" w:eastAsia="Times New Roman" w:hAnsi="Calibri" w:cs="Calibri"/>
                <w:sz w:val="20"/>
                <w:szCs w:val="20"/>
              </w:rPr>
              <w:t>Se realiza raleo para manejo y raleos sanitario dentro de las plantaciones. Los individuos afectados severamente y cuya condición no pueden revertirse son retirados.</w:t>
            </w:r>
          </w:p>
          <w:p w14:paraId="3B202EFE" w14:textId="40C3AD25" w:rsidR="00A169FB" w:rsidRPr="009A27ED" w:rsidRDefault="00CD240D" w:rsidP="0080132C">
            <w:pPr>
              <w:pStyle w:val="Prrafodelista"/>
              <w:numPr>
                <w:ilvl w:val="0"/>
                <w:numId w:val="316"/>
              </w:numPr>
              <w:ind w:left="428" w:hanging="428"/>
              <w:rPr>
                <w:lang w:val="es-DO"/>
              </w:rPr>
            </w:pPr>
            <w:r w:rsidRPr="009A27ED">
              <w:rPr>
                <w:rFonts w:ascii="Calibri" w:eastAsia="Times New Roman" w:hAnsi="Calibri" w:cs="Calibri"/>
                <w:sz w:val="20"/>
                <w:szCs w:val="20"/>
              </w:rPr>
              <w:lastRenderedPageBreak/>
              <w:t>Se reponen las plantas muertas en cada ciclo de lluvia.  Se protege el sitio reforestado, especialmente los de 10 o más hectáreas.</w:t>
            </w:r>
          </w:p>
        </w:tc>
        <w:tc>
          <w:tcPr>
            <w:tcW w:w="3819"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5CB7989E" w14:textId="77777777" w:rsidR="00A169FB" w:rsidRPr="009A27ED" w:rsidRDefault="00A169FB" w:rsidP="00DF1AF5">
            <w:pPr>
              <w:spacing w:after="0" w:line="256" w:lineRule="auto"/>
              <w:rPr>
                <w:color w:val="000000"/>
                <w:sz w:val="20"/>
                <w:szCs w:val="20"/>
                <w:lang w:val="es-DO"/>
              </w:rPr>
            </w:pPr>
            <w:r w:rsidRPr="009A27ED">
              <w:rPr>
                <w:color w:val="000000"/>
                <w:sz w:val="20"/>
                <w:szCs w:val="20"/>
                <w:lang w:val="es-DO"/>
              </w:rPr>
              <w:lastRenderedPageBreak/>
              <w:t>PO 4.01. (Evaluación ambiental, identificación de impactos ambientales y sociales, medidas de mitigación, seguimiento y registro, consultas, mecanismo de quejas y atención a denuncias).</w:t>
            </w:r>
          </w:p>
          <w:p w14:paraId="0A66D725" w14:textId="77777777" w:rsidR="00A169FB" w:rsidRPr="009A27ED" w:rsidRDefault="00A169FB" w:rsidP="00DF1AF5">
            <w:pPr>
              <w:spacing w:after="0" w:line="256" w:lineRule="auto"/>
              <w:rPr>
                <w:color w:val="000000"/>
                <w:sz w:val="20"/>
                <w:szCs w:val="20"/>
                <w:lang w:val="es-DO"/>
              </w:rPr>
            </w:pPr>
            <w:r w:rsidRPr="009A27ED">
              <w:rPr>
                <w:color w:val="000000"/>
                <w:sz w:val="20"/>
                <w:szCs w:val="20"/>
                <w:lang w:val="es-DO"/>
              </w:rPr>
              <w:t>PO 4.04. (Hábitats naturales, conservación de hábitats naturales críticos, promoción de biodiversidad, corredores biológicos, servicios ambientales, áreas protegidas).</w:t>
            </w:r>
          </w:p>
          <w:p w14:paraId="26584F94" w14:textId="77777777" w:rsidR="00A169FB" w:rsidRPr="009A27ED" w:rsidRDefault="00A169FB" w:rsidP="00DF1AF5">
            <w:pPr>
              <w:spacing w:after="0" w:line="256" w:lineRule="auto"/>
              <w:rPr>
                <w:color w:val="000000"/>
                <w:sz w:val="20"/>
                <w:szCs w:val="20"/>
                <w:lang w:val="es-DO"/>
              </w:rPr>
            </w:pPr>
            <w:r w:rsidRPr="009A27ED">
              <w:rPr>
                <w:color w:val="000000"/>
                <w:sz w:val="20"/>
                <w:szCs w:val="20"/>
                <w:lang w:val="es-DO"/>
              </w:rPr>
              <w:t>PO 4.36. (Conservación de bosques, manejo sustentable de bosques, plantaciones, certificación de manejo forestal sostenible y plantaciones, control de incendios)</w:t>
            </w:r>
          </w:p>
          <w:p w14:paraId="24F1AFE4" w14:textId="77777777" w:rsidR="00A169FB" w:rsidRPr="009A27ED" w:rsidRDefault="00A169FB" w:rsidP="00DF1AF5">
            <w:pPr>
              <w:spacing w:after="0" w:line="256" w:lineRule="auto"/>
              <w:rPr>
                <w:color w:val="000000"/>
                <w:sz w:val="20"/>
                <w:szCs w:val="20"/>
                <w:lang w:val="es-DO"/>
              </w:rPr>
            </w:pPr>
            <w:r w:rsidRPr="009A27ED">
              <w:rPr>
                <w:color w:val="000000"/>
                <w:sz w:val="20"/>
                <w:szCs w:val="20"/>
                <w:lang w:val="es-DO"/>
              </w:rPr>
              <w:t>PO 4.9. (Control de plagas, uso controlado de agroquímicos, uso preferente de medios alternativos físicos y biológicos para control de plagas, seguridad de trabajadores y población y contaminación de suelo y agua).</w:t>
            </w:r>
          </w:p>
          <w:p w14:paraId="66F59079" w14:textId="77777777" w:rsidR="00A169FB" w:rsidRPr="009A27ED" w:rsidRDefault="00A169FB" w:rsidP="00DF1AF5">
            <w:pPr>
              <w:spacing w:after="0" w:line="256" w:lineRule="auto"/>
              <w:rPr>
                <w:color w:val="000000"/>
                <w:sz w:val="20"/>
                <w:szCs w:val="20"/>
                <w:lang w:val="es-DO"/>
              </w:rPr>
            </w:pPr>
            <w:r w:rsidRPr="009A27ED">
              <w:rPr>
                <w:color w:val="000000"/>
                <w:sz w:val="20"/>
                <w:szCs w:val="20"/>
                <w:lang w:val="es-DO"/>
              </w:rPr>
              <w:t>PO. 4.12. (Reasentamiento involuntario de personas y/o actividades, afectación o restricción de uso o actividades en áreas de amortiguamiento de las Áreas protegidas, limitación de acceso a los recursos en áreas protegidas).</w:t>
            </w:r>
          </w:p>
        </w:tc>
      </w:tr>
      <w:tr w:rsidR="00DF1AF5" w:rsidRPr="009A27ED" w14:paraId="35A6AFC4" w14:textId="77777777" w:rsidTr="00C97A18">
        <w:trPr>
          <w:gridBefore w:val="1"/>
          <w:wBefore w:w="18" w:type="dxa"/>
          <w:trHeight w:val="2060"/>
        </w:trPr>
        <w:tc>
          <w:tcPr>
            <w:tcW w:w="2520" w:type="dxa"/>
            <w:tcBorders>
              <w:top w:val="single" w:sz="4" w:space="0" w:color="auto"/>
              <w:left w:val="single" w:sz="4" w:space="0" w:color="auto"/>
              <w:bottom w:val="single" w:sz="4" w:space="0" w:color="auto"/>
              <w:right w:val="single" w:sz="4" w:space="0" w:color="auto"/>
            </w:tcBorders>
            <w:shd w:val="clear" w:color="auto" w:fill="FFFFFF"/>
            <w:hideMark/>
          </w:tcPr>
          <w:p w14:paraId="6A421705" w14:textId="7B10394C" w:rsidR="00A169FB" w:rsidRPr="009A27ED" w:rsidRDefault="00A169FB" w:rsidP="00DF1AF5">
            <w:pPr>
              <w:spacing w:after="0" w:line="256" w:lineRule="auto"/>
              <w:rPr>
                <w:b/>
                <w:bCs/>
                <w:color w:val="000000"/>
                <w:sz w:val="20"/>
                <w:szCs w:val="20"/>
                <w:lang w:val="es-DO"/>
              </w:rPr>
            </w:pPr>
            <w:r w:rsidRPr="009A27ED">
              <w:rPr>
                <w:b/>
                <w:bCs/>
                <w:color w:val="000000"/>
                <w:sz w:val="20"/>
                <w:szCs w:val="20"/>
                <w:lang w:val="es-DO"/>
              </w:rPr>
              <w:t xml:space="preserve">7. Conservación de bosques en áreas protegidas prioritarias, </w:t>
            </w:r>
            <w:r w:rsidR="00060737" w:rsidRPr="009A27ED">
              <w:rPr>
                <w:b/>
                <w:bCs/>
                <w:color w:val="000000"/>
                <w:sz w:val="20"/>
                <w:szCs w:val="20"/>
                <w:lang w:val="es-DO"/>
              </w:rPr>
              <w:t xml:space="preserve">con participación comunitaria </w:t>
            </w:r>
            <w:r w:rsidRPr="009A27ED">
              <w:rPr>
                <w:b/>
                <w:bCs/>
                <w:color w:val="000000"/>
                <w:sz w:val="20"/>
                <w:szCs w:val="20"/>
                <w:lang w:val="es-DO"/>
              </w:rPr>
              <w:t>:</w:t>
            </w:r>
            <w:r w:rsidRPr="009A27ED">
              <w:rPr>
                <w:color w:val="000000"/>
                <w:sz w:val="20"/>
                <w:szCs w:val="20"/>
                <w:lang w:val="es-DO"/>
              </w:rPr>
              <w:t xml:space="preserve"> Actividades de usos de la tierra en áreas protegidas con participación de actores claves e involucrados que viven en su interior o en zonas de amortiguamiento, dirigidos a mantener las masas forestales, la biodiversidad y ecosistemas dentro las mismas y armonizar la conservación de los bosques y los medios de vida, conforme la ley y normativa sobre áreas protegidas y en cumplimiento de los principios legales relativos a los derechos de los usuarios con el fin de reducir las emisiones derivadas de la deforestación y la degradación dentro las Áreas Protegidas.</w:t>
            </w:r>
          </w:p>
          <w:p w14:paraId="047A187A" w14:textId="77777777" w:rsidR="00A169FB" w:rsidRPr="009A27ED" w:rsidRDefault="00A169FB" w:rsidP="00DF1AF5">
            <w:pPr>
              <w:spacing w:after="0" w:line="256" w:lineRule="auto"/>
              <w:rPr>
                <w:b/>
                <w:bCs/>
                <w:color w:val="000000"/>
                <w:sz w:val="20"/>
                <w:szCs w:val="20"/>
                <w:lang w:val="es-DO"/>
              </w:rPr>
            </w:pPr>
            <w:r w:rsidRPr="009A27ED">
              <w:rPr>
                <w:color w:val="000000"/>
                <w:sz w:val="20"/>
                <w:szCs w:val="20"/>
                <w:lang w:val="es-DO"/>
              </w:rPr>
              <w:t> </w:t>
            </w:r>
          </w:p>
          <w:p w14:paraId="5B09A4E2" w14:textId="77777777" w:rsidR="00A169FB" w:rsidRPr="009A27ED" w:rsidRDefault="00A169FB" w:rsidP="00DF1AF5">
            <w:pPr>
              <w:spacing w:after="0" w:line="256" w:lineRule="auto"/>
              <w:rPr>
                <w:b/>
                <w:bCs/>
                <w:color w:val="000000"/>
                <w:sz w:val="20"/>
                <w:szCs w:val="20"/>
                <w:lang w:val="es-DO"/>
              </w:rPr>
            </w:pPr>
            <w:r w:rsidRPr="009A27ED">
              <w:rPr>
                <w:color w:val="000000"/>
                <w:sz w:val="20"/>
                <w:szCs w:val="20"/>
                <w:lang w:val="es-DO"/>
              </w:rPr>
              <w:t> </w:t>
            </w:r>
            <w:r w:rsidRPr="009A27ED">
              <w:rPr>
                <w:bCs/>
                <w:i/>
                <w:color w:val="000000"/>
                <w:sz w:val="20"/>
                <w:szCs w:val="20"/>
                <w:lang w:val="es-DO"/>
              </w:rPr>
              <w:t>Acciones estratégicas:</w:t>
            </w:r>
            <w:r w:rsidRPr="009A27ED">
              <w:rPr>
                <w:b/>
                <w:bCs/>
                <w:i/>
                <w:color w:val="000000"/>
                <w:sz w:val="20"/>
                <w:szCs w:val="20"/>
                <w:lang w:val="es-DO"/>
              </w:rPr>
              <w:t xml:space="preserve"> </w:t>
            </w:r>
            <w:r w:rsidRPr="009A27ED">
              <w:rPr>
                <w:b/>
                <w:i/>
                <w:sz w:val="20"/>
                <w:szCs w:val="20"/>
                <w:lang w:val="es-DO"/>
              </w:rPr>
              <w:t>3.4, 3.5, 3.6, 3.11</w:t>
            </w:r>
          </w:p>
        </w:tc>
        <w:tc>
          <w:tcPr>
            <w:tcW w:w="2520" w:type="dxa"/>
            <w:gridSpan w:val="3"/>
            <w:tcBorders>
              <w:top w:val="single" w:sz="4" w:space="0" w:color="auto"/>
              <w:left w:val="single" w:sz="4" w:space="0" w:color="auto"/>
              <w:bottom w:val="single" w:sz="4" w:space="0" w:color="auto"/>
              <w:right w:val="single" w:sz="4" w:space="0" w:color="auto"/>
            </w:tcBorders>
            <w:hideMark/>
          </w:tcPr>
          <w:p w14:paraId="1C076485" w14:textId="77777777" w:rsidR="00A169FB" w:rsidRPr="009A27ED" w:rsidRDefault="00A169FB" w:rsidP="00E67CB0">
            <w:pPr>
              <w:pStyle w:val="Prrafodelista"/>
              <w:numPr>
                <w:ilvl w:val="1"/>
                <w:numId w:val="255"/>
              </w:numPr>
              <w:spacing w:after="0" w:line="256" w:lineRule="auto"/>
              <w:jc w:val="left"/>
              <w:rPr>
                <w:color w:val="000000" w:themeColor="text1"/>
                <w:sz w:val="20"/>
                <w:szCs w:val="20"/>
                <w:lang w:val="es-DO"/>
              </w:rPr>
            </w:pPr>
            <w:r w:rsidRPr="009A27ED">
              <w:rPr>
                <w:color w:val="000000" w:themeColor="text1"/>
                <w:sz w:val="20"/>
                <w:szCs w:val="20"/>
                <w:lang w:val="es-DO"/>
              </w:rPr>
              <w:t>Se diseñan y aplican usos de la tierra en áreas protegidas con participación de actores claves e involucrados que viven en su interior o en zonas de amortiguamiento, dirigidos a mantener las masas forestales, la biodiversidad y ecosistemas dentro las mismas.</w:t>
            </w:r>
          </w:p>
          <w:p w14:paraId="62A803CD" w14:textId="77777777" w:rsidR="00A169FB" w:rsidRPr="009A27ED" w:rsidRDefault="00A169FB" w:rsidP="00E67CB0">
            <w:pPr>
              <w:pStyle w:val="Prrafodelista"/>
              <w:numPr>
                <w:ilvl w:val="1"/>
                <w:numId w:val="255"/>
              </w:numPr>
              <w:spacing w:after="0" w:line="256" w:lineRule="auto"/>
              <w:jc w:val="left"/>
              <w:rPr>
                <w:color w:val="000000" w:themeColor="text1"/>
                <w:sz w:val="20"/>
                <w:szCs w:val="20"/>
                <w:lang w:val="es-DO"/>
              </w:rPr>
            </w:pPr>
            <w:r w:rsidRPr="009A27ED">
              <w:rPr>
                <w:color w:val="000000" w:themeColor="text1"/>
                <w:sz w:val="20"/>
                <w:szCs w:val="20"/>
                <w:lang w:val="es-DO"/>
              </w:rPr>
              <w:t>Armonizar la conservación de los bosques y los medios de vida, conforme la ley y normativa sobre áreas protegidas y en cumplimiento de los principios legales relativos a los derechos de los usuarios.</w:t>
            </w:r>
          </w:p>
          <w:p w14:paraId="62A6C63B" w14:textId="77777777" w:rsidR="00A169FB" w:rsidRPr="009A27ED" w:rsidRDefault="00A169FB" w:rsidP="00E67CB0">
            <w:pPr>
              <w:pStyle w:val="Prrafodelista"/>
              <w:numPr>
                <w:ilvl w:val="1"/>
                <w:numId w:val="255"/>
              </w:numPr>
              <w:spacing w:after="0" w:line="256" w:lineRule="auto"/>
              <w:jc w:val="left"/>
              <w:rPr>
                <w:color w:val="000000" w:themeColor="text1"/>
                <w:sz w:val="20"/>
                <w:szCs w:val="20"/>
                <w:lang w:val="es-DO"/>
              </w:rPr>
            </w:pPr>
            <w:r w:rsidRPr="009A27ED">
              <w:rPr>
                <w:color w:val="000000" w:themeColor="text1"/>
                <w:sz w:val="20"/>
                <w:szCs w:val="20"/>
                <w:lang w:val="es-DO"/>
              </w:rPr>
              <w:t>Incluye control de incendios, manejo integrado de plagas y otras actividades compatibles con la conservación de los bosques.</w:t>
            </w:r>
          </w:p>
        </w:tc>
        <w:tc>
          <w:tcPr>
            <w:tcW w:w="3060"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330FC1D1" w14:textId="77777777" w:rsidR="00A169FB" w:rsidRPr="009A27ED" w:rsidRDefault="00A169FB" w:rsidP="00DF1AF5">
            <w:pPr>
              <w:spacing w:after="0" w:line="256" w:lineRule="auto"/>
              <w:rPr>
                <w:color w:val="000000"/>
                <w:sz w:val="20"/>
                <w:szCs w:val="20"/>
                <w:lang w:val="es-DO"/>
              </w:rPr>
            </w:pPr>
            <w:r w:rsidRPr="009A27ED">
              <w:rPr>
                <w:color w:val="000000"/>
                <w:sz w:val="20"/>
                <w:szCs w:val="20"/>
                <w:lang w:val="es-DO"/>
              </w:rPr>
              <w:t>Coordinación con el Viceministerio de Áreas Protegidas.</w:t>
            </w:r>
          </w:p>
        </w:tc>
        <w:tc>
          <w:tcPr>
            <w:tcW w:w="4050" w:type="dxa"/>
            <w:tcBorders>
              <w:top w:val="single" w:sz="4" w:space="0" w:color="auto"/>
              <w:left w:val="single" w:sz="4" w:space="0" w:color="auto"/>
              <w:bottom w:val="single" w:sz="4" w:space="0" w:color="auto"/>
              <w:right w:val="single" w:sz="4" w:space="0" w:color="auto"/>
            </w:tcBorders>
            <w:shd w:val="clear" w:color="auto" w:fill="FFFFFF"/>
            <w:hideMark/>
          </w:tcPr>
          <w:p w14:paraId="7E8B367B"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Baja tasa de supervivencia de las especies forestales por un mal manejo.</w:t>
            </w:r>
          </w:p>
          <w:p w14:paraId="3DB5F86E" w14:textId="7C7AC459"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 xml:space="preserve">Contaminación de suelo y acuíferos. Afecciones a la salud por uso inadecuado de pesticidas. </w:t>
            </w:r>
          </w:p>
          <w:p w14:paraId="09087599" w14:textId="61043831"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 xml:space="preserve">Erosión del suelo, pérdida de sus propiedades físicas y químicas y de la </w:t>
            </w:r>
            <w:r w:rsidR="00741F6B" w:rsidRPr="009A27ED">
              <w:rPr>
                <w:sz w:val="20"/>
                <w:szCs w:val="20"/>
                <w:lang w:val="es-DO"/>
              </w:rPr>
              <w:t>vegetación.</w:t>
            </w:r>
          </w:p>
          <w:p w14:paraId="249415B2"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Incendios forestales.</w:t>
            </w:r>
          </w:p>
          <w:p w14:paraId="60112075"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La implementación de estrategias con escasa transparencia y/o participación de actores locales en el diseño de los planes de manejo puede conllevar un acceso limitado y/o desigual a beneficios por parte de las comunidades locales, lo cual puede ser fuente de conflictos. Posible desplazamiento involuntario, así como también acceso limitado a los recursos naturales de las áreas protegidas</w:t>
            </w:r>
          </w:p>
          <w:p w14:paraId="0C171DB2"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Presencia de plagas y enfermedades.</w:t>
            </w:r>
          </w:p>
          <w:p w14:paraId="6DDAEC6F"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 xml:space="preserve">Realización de actividades no permitidas dentro del área protegida y zona de amortiguamiento. </w:t>
            </w:r>
          </w:p>
          <w:p w14:paraId="02AD5610"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Riesgos sanitarios por mala manipulación de agroquímicos</w:t>
            </w:r>
          </w:p>
          <w:p w14:paraId="4ECB617A"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Se intensifica la extracción de leña en áreas forestales conservadas.</w:t>
            </w:r>
          </w:p>
          <w:p w14:paraId="6B6771F7"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rPr>
            </w:pPr>
            <w:r w:rsidRPr="009A27ED">
              <w:rPr>
                <w:sz w:val="20"/>
                <w:szCs w:val="20"/>
                <w:lang w:val="es-DO"/>
              </w:rPr>
              <w:t>Se reduce la diversidad de fauna y flora en el área de aprovechamiento por un interés exclusivamente comercial maderable</w:t>
            </w:r>
          </w:p>
          <w:p w14:paraId="7A8C101B" w14:textId="77777777" w:rsidR="00A169FB" w:rsidRPr="009A27ED" w:rsidRDefault="00A169FB" w:rsidP="00E67CB0">
            <w:pPr>
              <w:pStyle w:val="Prrafodelista"/>
              <w:numPr>
                <w:ilvl w:val="0"/>
                <w:numId w:val="246"/>
              </w:numPr>
              <w:spacing w:before="120" w:after="0" w:line="254" w:lineRule="auto"/>
              <w:ind w:left="230" w:hanging="142"/>
              <w:jc w:val="left"/>
              <w:rPr>
                <w:sz w:val="20"/>
                <w:szCs w:val="20"/>
                <w:lang w:val="es-DO" w:eastAsia="es-MX"/>
              </w:rPr>
            </w:pPr>
            <w:r w:rsidRPr="009A27ED">
              <w:rPr>
                <w:sz w:val="20"/>
                <w:szCs w:val="20"/>
                <w:lang w:val="es-DO"/>
              </w:rPr>
              <w:t>Utilización de especies no apropiadas para el área y/o utilización de una sola especie forestal.</w:t>
            </w:r>
          </w:p>
        </w:tc>
        <w:tc>
          <w:tcPr>
            <w:tcW w:w="6660"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279B475B" w14:textId="604B61DA" w:rsidR="00F82FC5" w:rsidRPr="009A27ED" w:rsidRDefault="00F82FC5" w:rsidP="0080132C">
            <w:pPr>
              <w:pStyle w:val="Prrafodelista"/>
              <w:numPr>
                <w:ilvl w:val="0"/>
                <w:numId w:val="310"/>
              </w:numPr>
              <w:spacing w:after="0" w:line="240" w:lineRule="auto"/>
              <w:rPr>
                <w:rFonts w:ascii="Calibri" w:eastAsia="Times New Roman" w:hAnsi="Calibri" w:cs="Calibri"/>
                <w:sz w:val="20"/>
                <w:szCs w:val="20"/>
              </w:rPr>
            </w:pPr>
            <w:r w:rsidRPr="009A27ED">
              <w:rPr>
                <w:rFonts w:ascii="Calibri" w:eastAsia="Times New Roman" w:hAnsi="Calibri" w:cs="Calibri"/>
                <w:sz w:val="20"/>
                <w:szCs w:val="20"/>
              </w:rPr>
              <w:t xml:space="preserve">Se involucran actores locales y/o se establecen alternativas de producción sostenibles. Fortalecimiento de la capacitación en supervisión y monitoreo de salvaguardas y la conservación del área protegida. Se establecen acciones de capacitación y sensibilización sobre la conservación de recursos naturales y prácticas de manejo sostenible. Se establecen estrategias para apoyar y fomentar proyectos y prácticas de aprovechamiento sostenible de cultivo. Fomento y apoyo a emprendimientos de grupos de mujeres. Se establecen estrategias para fortalecer los beneficios asociados a la conservación. Integración de comunitarios al cuerpo de guardaparques. </w:t>
            </w:r>
            <w:r w:rsidR="00242E07" w:rsidRPr="009A27ED">
              <w:rPr>
                <w:rFonts w:ascii="Calibri" w:eastAsia="Times New Roman" w:hAnsi="Calibri" w:cs="Calibri"/>
                <w:strike/>
                <w:sz w:val="20"/>
                <w:szCs w:val="20"/>
              </w:rPr>
              <w:t xml:space="preserve">Promoción </w:t>
            </w:r>
            <w:r w:rsidRPr="009A27ED">
              <w:rPr>
                <w:rFonts w:ascii="Calibri" w:eastAsia="Times New Roman" w:hAnsi="Calibri" w:cs="Calibri"/>
                <w:strike/>
                <w:sz w:val="20"/>
                <w:szCs w:val="20"/>
              </w:rPr>
              <w:t xml:space="preserve">de Pago por Servicios Ambientales en las </w:t>
            </w:r>
            <w:r w:rsidR="00741F6B" w:rsidRPr="009A27ED">
              <w:rPr>
                <w:rFonts w:ascii="Calibri" w:eastAsia="Times New Roman" w:hAnsi="Calibri" w:cs="Calibri"/>
                <w:strike/>
                <w:sz w:val="20"/>
                <w:szCs w:val="20"/>
              </w:rPr>
              <w:t>Áreas</w:t>
            </w:r>
            <w:r w:rsidRPr="009A27ED">
              <w:rPr>
                <w:rFonts w:ascii="Calibri" w:eastAsia="Times New Roman" w:hAnsi="Calibri" w:cs="Calibri"/>
                <w:strike/>
                <w:sz w:val="20"/>
                <w:szCs w:val="20"/>
              </w:rPr>
              <w:t xml:space="preserve"> Protegidas.</w:t>
            </w:r>
          </w:p>
          <w:p w14:paraId="0B0D2CB4" w14:textId="77777777" w:rsidR="00F82FC5" w:rsidRPr="009A27ED" w:rsidRDefault="00F82FC5" w:rsidP="0080132C">
            <w:pPr>
              <w:pStyle w:val="Prrafodelista"/>
              <w:numPr>
                <w:ilvl w:val="0"/>
                <w:numId w:val="310"/>
              </w:numPr>
              <w:spacing w:after="0" w:line="240" w:lineRule="auto"/>
              <w:rPr>
                <w:rFonts w:ascii="Calibri" w:eastAsia="Times New Roman" w:hAnsi="Calibri" w:cs="Calibri"/>
                <w:sz w:val="20"/>
                <w:szCs w:val="20"/>
              </w:rPr>
            </w:pPr>
            <w:r w:rsidRPr="009A27ED">
              <w:rPr>
                <w:rFonts w:ascii="Calibri" w:eastAsia="Times New Roman" w:hAnsi="Calibri" w:cs="Calibri"/>
                <w:sz w:val="20"/>
                <w:szCs w:val="20"/>
              </w:rPr>
              <w:t>Se establecen protocolos de seguridad, monitoreo y control de incendios forestales.  Se involucran actores locales y se establecen alternativas de producción sostenibles.  Fortalecimiento de la capacitación en supervisión y monitoreo de salvaguardas para el manejo de los recursos naturales, en donde los actores locales forman parte del monitoreo y prevención de desastres. Ministerio de Medio Ambiente establece brigadas, para el control de fuego. Construcción de trochas contrafuego</w:t>
            </w:r>
          </w:p>
          <w:p w14:paraId="1378A32D" w14:textId="0086C330" w:rsidR="00F82FC5" w:rsidRPr="009A27ED" w:rsidRDefault="00F82FC5" w:rsidP="0080132C">
            <w:pPr>
              <w:pStyle w:val="Prrafodelista"/>
              <w:numPr>
                <w:ilvl w:val="0"/>
                <w:numId w:val="310"/>
              </w:numPr>
              <w:spacing w:after="0" w:line="240" w:lineRule="auto"/>
              <w:rPr>
                <w:rFonts w:ascii="Calibri" w:eastAsia="Times New Roman" w:hAnsi="Calibri" w:cs="Calibri"/>
                <w:sz w:val="20"/>
                <w:szCs w:val="20"/>
              </w:rPr>
            </w:pPr>
            <w:r w:rsidRPr="009A27ED">
              <w:rPr>
                <w:rFonts w:ascii="Calibri" w:eastAsia="Times New Roman" w:hAnsi="Calibri" w:cs="Calibri"/>
                <w:sz w:val="20"/>
                <w:szCs w:val="20"/>
              </w:rPr>
              <w:t xml:space="preserve">Se establecen protocolos de seguridad, monitoreo y control de las actividades, evitando </w:t>
            </w:r>
            <w:proofErr w:type="spellStart"/>
            <w:r w:rsidRPr="009A27ED">
              <w:rPr>
                <w:rFonts w:ascii="Calibri" w:eastAsia="Times New Roman" w:hAnsi="Calibri" w:cs="Calibri"/>
                <w:sz w:val="20"/>
                <w:szCs w:val="20"/>
              </w:rPr>
              <w:t>asi</w:t>
            </w:r>
            <w:proofErr w:type="spellEnd"/>
            <w:r w:rsidRPr="009A27ED">
              <w:rPr>
                <w:rFonts w:ascii="Calibri" w:eastAsia="Times New Roman" w:hAnsi="Calibri" w:cs="Calibri"/>
                <w:sz w:val="20"/>
                <w:szCs w:val="20"/>
              </w:rPr>
              <w:t xml:space="preserve"> usos no </w:t>
            </w:r>
            <w:r w:rsidR="00613803" w:rsidRPr="009A27ED">
              <w:rPr>
                <w:rFonts w:ascii="Calibri" w:eastAsia="Times New Roman" w:hAnsi="Calibri" w:cs="Calibri"/>
                <w:sz w:val="20"/>
                <w:szCs w:val="20"/>
              </w:rPr>
              <w:t>permitidos</w:t>
            </w:r>
            <w:r w:rsidRPr="009A27ED">
              <w:rPr>
                <w:rFonts w:ascii="Calibri" w:eastAsia="Times New Roman" w:hAnsi="Calibri" w:cs="Calibri"/>
                <w:sz w:val="20"/>
                <w:szCs w:val="20"/>
              </w:rPr>
              <w:t xml:space="preserve"> e inapropiados.</w:t>
            </w:r>
          </w:p>
          <w:p w14:paraId="1618A827" w14:textId="77777777" w:rsidR="00F82FC5" w:rsidRPr="009A27ED" w:rsidRDefault="00F82FC5" w:rsidP="0080132C">
            <w:pPr>
              <w:pStyle w:val="Prrafodelista"/>
              <w:numPr>
                <w:ilvl w:val="0"/>
                <w:numId w:val="310"/>
              </w:numPr>
              <w:spacing w:after="0" w:line="240" w:lineRule="auto"/>
              <w:rPr>
                <w:rFonts w:ascii="Calibri" w:eastAsia="Times New Roman" w:hAnsi="Calibri" w:cs="Calibri"/>
                <w:sz w:val="20"/>
                <w:szCs w:val="20"/>
              </w:rPr>
            </w:pPr>
            <w:r w:rsidRPr="009A27ED">
              <w:rPr>
                <w:rFonts w:ascii="Calibri" w:eastAsia="Times New Roman" w:hAnsi="Calibri" w:cs="Calibri"/>
                <w:sz w:val="20"/>
                <w:szCs w:val="20"/>
              </w:rPr>
              <w:t>Se mantiene la composición de especies arbóreas apropiadas de acuerdo con la etapa de sucesión del rodal</w:t>
            </w:r>
          </w:p>
          <w:p w14:paraId="4AF7997D" w14:textId="77777777" w:rsidR="00F82FC5" w:rsidRPr="009A27ED" w:rsidRDefault="00F82FC5" w:rsidP="0080132C">
            <w:pPr>
              <w:pStyle w:val="Prrafodelista"/>
              <w:numPr>
                <w:ilvl w:val="0"/>
                <w:numId w:val="310"/>
              </w:numPr>
              <w:spacing w:after="0" w:line="240" w:lineRule="auto"/>
              <w:rPr>
                <w:rFonts w:ascii="Calibri" w:eastAsia="Times New Roman" w:hAnsi="Calibri" w:cs="Calibri"/>
                <w:sz w:val="20"/>
                <w:szCs w:val="20"/>
              </w:rPr>
            </w:pPr>
            <w:r w:rsidRPr="009A27ED">
              <w:rPr>
                <w:rFonts w:ascii="Calibri" w:eastAsia="Times New Roman" w:hAnsi="Calibri" w:cs="Calibri"/>
                <w:sz w:val="20"/>
                <w:szCs w:val="20"/>
              </w:rPr>
              <w:t>Se protege el sitio de manejo, especialmente las de 10 o más hectáreas. Plan de monitoreo en áreas de conservación. Registro y reporte de incidentes.  Se realizan acciones de protección para la biodiversidad</w:t>
            </w:r>
          </w:p>
          <w:p w14:paraId="17C82887" w14:textId="77777777" w:rsidR="00F82FC5" w:rsidRPr="009A27ED" w:rsidRDefault="00F82FC5" w:rsidP="0080132C">
            <w:pPr>
              <w:pStyle w:val="Prrafodelista"/>
              <w:numPr>
                <w:ilvl w:val="0"/>
                <w:numId w:val="310"/>
              </w:numPr>
              <w:spacing w:after="0" w:line="240" w:lineRule="auto"/>
              <w:rPr>
                <w:rFonts w:ascii="Calibri" w:eastAsia="Times New Roman" w:hAnsi="Calibri" w:cs="Calibri"/>
                <w:sz w:val="20"/>
                <w:szCs w:val="20"/>
              </w:rPr>
            </w:pPr>
            <w:r w:rsidRPr="009A27ED">
              <w:rPr>
                <w:rFonts w:ascii="Calibri" w:eastAsia="Times New Roman" w:hAnsi="Calibri" w:cs="Calibri"/>
                <w:sz w:val="20"/>
                <w:szCs w:val="20"/>
              </w:rPr>
              <w:t xml:space="preserve">Se mantiene material leñoso grueso que permiten crear </w:t>
            </w:r>
            <w:proofErr w:type="spellStart"/>
            <w:proofErr w:type="gramStart"/>
            <w:r w:rsidRPr="009A27ED">
              <w:rPr>
                <w:rFonts w:ascii="Calibri" w:eastAsia="Times New Roman" w:hAnsi="Calibri" w:cs="Calibri"/>
                <w:sz w:val="20"/>
                <w:szCs w:val="20"/>
              </w:rPr>
              <w:t>micro-hábitat</w:t>
            </w:r>
            <w:proofErr w:type="spellEnd"/>
            <w:proofErr w:type="gramEnd"/>
            <w:r w:rsidRPr="009A27ED">
              <w:rPr>
                <w:rFonts w:ascii="Calibri" w:eastAsia="Times New Roman" w:hAnsi="Calibri" w:cs="Calibri"/>
                <w:sz w:val="20"/>
                <w:szCs w:val="20"/>
              </w:rPr>
              <w:t xml:space="preserve"> sobre el suelo. Se mantiene la conectividad de hábitats dentro y a través del paisaje. Se protegen sitios de importancia crítica para especies de flora y fauna, con énfasis en las especies vulnerables y en peligro de extinción.</w:t>
            </w:r>
          </w:p>
          <w:p w14:paraId="74C78DE5" w14:textId="77777777" w:rsidR="00F82FC5" w:rsidRPr="009A27ED" w:rsidRDefault="00F82FC5" w:rsidP="0080132C">
            <w:pPr>
              <w:pStyle w:val="Prrafodelista"/>
              <w:numPr>
                <w:ilvl w:val="0"/>
                <w:numId w:val="310"/>
              </w:numPr>
              <w:spacing w:after="0" w:line="240" w:lineRule="auto"/>
              <w:rPr>
                <w:rFonts w:ascii="Calibri" w:eastAsia="Times New Roman" w:hAnsi="Calibri" w:cs="Calibri"/>
                <w:sz w:val="20"/>
                <w:szCs w:val="20"/>
              </w:rPr>
            </w:pPr>
            <w:r w:rsidRPr="009A27ED">
              <w:rPr>
                <w:rFonts w:ascii="Calibri" w:eastAsia="Times New Roman" w:hAnsi="Calibri" w:cs="Calibri"/>
                <w:sz w:val="20"/>
                <w:szCs w:val="20"/>
              </w:rPr>
              <w:t>Se conserva o enriquece la materia orgánica del suelo. Se practican técnicas de estabilización de riberas de ríos, arroyos y cañadas. Estabilización de taludes.  Se distribuyen los residuos de la cosecha forestal sobre el suelo. Se mantienen libre de residuos contaminantes las áreas bajo manejo.   Considerar la normatividad y medidas sobre el uso y manejo de los fertilizantes y plaguicidas. En las cuencas altas se realizan acciones como: retención de árboles muertos en pie y árboles que sobrepasan el dosel superior, construcción de trochas contrafuego, realización de obras de conservación y restauración de suelos, uso controlado de productos químicos.</w:t>
            </w:r>
          </w:p>
          <w:p w14:paraId="269B75A4" w14:textId="77777777" w:rsidR="00F82FC5" w:rsidRPr="009A27ED" w:rsidRDefault="00F82FC5" w:rsidP="0080132C">
            <w:pPr>
              <w:pStyle w:val="Prrafodelista"/>
              <w:numPr>
                <w:ilvl w:val="0"/>
                <w:numId w:val="310"/>
              </w:numPr>
              <w:spacing w:after="0" w:line="240" w:lineRule="auto"/>
              <w:rPr>
                <w:rFonts w:ascii="Calibri" w:eastAsia="Times New Roman" w:hAnsi="Calibri" w:cs="Calibri"/>
                <w:sz w:val="20"/>
                <w:szCs w:val="20"/>
              </w:rPr>
            </w:pPr>
            <w:r w:rsidRPr="009A27ED">
              <w:rPr>
                <w:rFonts w:ascii="Calibri" w:eastAsia="Times New Roman" w:hAnsi="Calibri" w:cs="Calibri"/>
                <w:sz w:val="20"/>
                <w:szCs w:val="20"/>
              </w:rPr>
              <w:lastRenderedPageBreak/>
              <w:t>Realizar manejo integrado de plagas, considerando la prevención y control biológico en lugar de los pesticidas y fertilizantes químicos.  Se realiza detección de plagas y enfermedades mediante monitoreos continuos, que implica la realización de recorridos en campo o sitios donde se establece la reforestación. Eliminación de plantas dentro del sembradío y sus alrededores que pueden ser hospederas alternas de plagas o enfermedades. Se realiza control mecánico y físico de plagas. Se realiza raleo sanitario dentro de las plantaciones que están afectados severamente y cuya condición no puede revertirse.</w:t>
            </w:r>
          </w:p>
          <w:p w14:paraId="34FCDA56" w14:textId="77777777" w:rsidR="00F82FC5" w:rsidRPr="009A27ED" w:rsidRDefault="00F82FC5" w:rsidP="0080132C">
            <w:pPr>
              <w:pStyle w:val="Prrafodelista"/>
              <w:numPr>
                <w:ilvl w:val="0"/>
                <w:numId w:val="310"/>
              </w:numPr>
              <w:spacing w:after="0" w:line="240" w:lineRule="auto"/>
              <w:rPr>
                <w:rFonts w:ascii="Calibri" w:eastAsia="Times New Roman" w:hAnsi="Calibri" w:cs="Calibri"/>
                <w:sz w:val="20"/>
                <w:szCs w:val="20"/>
              </w:rPr>
            </w:pPr>
            <w:r w:rsidRPr="009A27ED">
              <w:rPr>
                <w:rFonts w:ascii="Calibri" w:eastAsia="Times New Roman" w:hAnsi="Calibri" w:cs="Calibri"/>
                <w:sz w:val="20"/>
                <w:szCs w:val="20"/>
              </w:rPr>
              <w:t xml:space="preserve">Se establecen protocolos para el uso de insumos químicos y se capacita en el uso de </w:t>
            </w:r>
            <w:proofErr w:type="gramStart"/>
            <w:r w:rsidRPr="009A27ED">
              <w:rPr>
                <w:rFonts w:ascii="Calibri" w:eastAsia="Times New Roman" w:hAnsi="Calibri" w:cs="Calibri"/>
                <w:sz w:val="20"/>
                <w:szCs w:val="20"/>
              </w:rPr>
              <w:t>los mismos</w:t>
            </w:r>
            <w:proofErr w:type="gramEnd"/>
            <w:r w:rsidRPr="009A27ED">
              <w:rPr>
                <w:rFonts w:ascii="Calibri" w:eastAsia="Times New Roman" w:hAnsi="Calibri" w:cs="Calibri"/>
                <w:sz w:val="20"/>
                <w:szCs w:val="20"/>
              </w:rPr>
              <w:t>.</w:t>
            </w:r>
          </w:p>
          <w:p w14:paraId="5E25B688" w14:textId="0EAF0A9D" w:rsidR="00A169FB" w:rsidRPr="009A27ED" w:rsidRDefault="00F82FC5" w:rsidP="0080132C">
            <w:pPr>
              <w:pStyle w:val="Prrafodelista"/>
              <w:numPr>
                <w:ilvl w:val="0"/>
                <w:numId w:val="246"/>
              </w:numPr>
              <w:spacing w:before="120" w:after="0" w:line="254" w:lineRule="auto"/>
              <w:ind w:left="230" w:hanging="142"/>
              <w:rPr>
                <w:color w:val="000000"/>
                <w:sz w:val="20"/>
                <w:szCs w:val="20"/>
                <w:lang w:val="es-DO"/>
              </w:rPr>
            </w:pPr>
            <w:r w:rsidRPr="009A27ED">
              <w:rPr>
                <w:rFonts w:ascii="Calibri" w:eastAsia="Times New Roman" w:hAnsi="Calibri" w:cs="Calibri"/>
                <w:sz w:val="20"/>
                <w:szCs w:val="20"/>
                <w:lang w:val="es-ES"/>
              </w:rPr>
              <w:t>Se realiza raleo para manejo y raleos sanitario dentro de las plantaciones. Los individuos afectados severamente y cuya condición no pueden revertirse son retirados. Se reponen las plantas muertas en cada ciclo de lluvia.  Se protege el sitio reforestado, especialmente los de 10 o más hectáreas.</w:t>
            </w:r>
          </w:p>
        </w:tc>
        <w:tc>
          <w:tcPr>
            <w:tcW w:w="3819"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67D879C3" w14:textId="77777777" w:rsidR="00A169FB" w:rsidRPr="009A27ED" w:rsidRDefault="00A169FB" w:rsidP="00DF1AF5">
            <w:pPr>
              <w:spacing w:after="0" w:line="256" w:lineRule="auto"/>
              <w:rPr>
                <w:color w:val="000000"/>
                <w:sz w:val="20"/>
                <w:szCs w:val="20"/>
                <w:lang w:val="es-GT"/>
              </w:rPr>
            </w:pPr>
            <w:r w:rsidRPr="009A27ED">
              <w:rPr>
                <w:color w:val="000000"/>
                <w:sz w:val="20"/>
                <w:szCs w:val="20"/>
              </w:rPr>
              <w:lastRenderedPageBreak/>
              <w:t>PO 4.36. (Conservación de bosques, manejo sustentable de bosques, plantaciones, certificación de manejo forestal sostenible y plantaciones, control de incendios)</w:t>
            </w:r>
          </w:p>
          <w:p w14:paraId="76C41F6E" w14:textId="77777777" w:rsidR="00A169FB" w:rsidRPr="009A27ED" w:rsidRDefault="00A169FB" w:rsidP="00DF1AF5">
            <w:pPr>
              <w:spacing w:after="0" w:line="256" w:lineRule="auto"/>
              <w:rPr>
                <w:color w:val="000000"/>
                <w:sz w:val="20"/>
                <w:szCs w:val="20"/>
              </w:rPr>
            </w:pPr>
            <w:r w:rsidRPr="009A27ED">
              <w:rPr>
                <w:color w:val="000000"/>
                <w:sz w:val="20"/>
                <w:szCs w:val="20"/>
              </w:rPr>
              <w:t>PO 4.01. (Evaluación ambiental, identificación de impactos ambientales y sociales, medidas de mitigación, seguimiento y registro, consultas, mecanismo de quejas y atención a denuncias).</w:t>
            </w:r>
          </w:p>
          <w:p w14:paraId="5CF6A6E3" w14:textId="77777777" w:rsidR="00A169FB" w:rsidRPr="009A27ED" w:rsidRDefault="00A169FB" w:rsidP="00DF1AF5">
            <w:pPr>
              <w:spacing w:after="0" w:line="256" w:lineRule="auto"/>
              <w:rPr>
                <w:color w:val="000000"/>
                <w:sz w:val="20"/>
                <w:szCs w:val="20"/>
              </w:rPr>
            </w:pPr>
            <w:r w:rsidRPr="009A27ED">
              <w:rPr>
                <w:color w:val="000000"/>
                <w:sz w:val="20"/>
                <w:szCs w:val="20"/>
              </w:rPr>
              <w:t>PO 4.04. (Hábitats naturales, conservación de hábitats naturales críticos, promoción de biodiversidad, corredores biológicos, servicios ambientales, áreas protegidas).</w:t>
            </w:r>
          </w:p>
          <w:p w14:paraId="7D6D29E7" w14:textId="77777777" w:rsidR="00A169FB" w:rsidRPr="009A27ED" w:rsidRDefault="00A169FB" w:rsidP="00DF1AF5">
            <w:pPr>
              <w:spacing w:after="0" w:line="256" w:lineRule="auto"/>
              <w:rPr>
                <w:color w:val="000000"/>
                <w:sz w:val="20"/>
                <w:szCs w:val="20"/>
              </w:rPr>
            </w:pPr>
            <w:r w:rsidRPr="009A27ED">
              <w:rPr>
                <w:color w:val="000000"/>
                <w:sz w:val="20"/>
                <w:szCs w:val="20"/>
              </w:rPr>
              <w:t>PO 4.9. (Control de plagas, uso controlado de agroquímicos, uso preferente de medios alternativos físicos y biológicos para control de plagas, seguridad de trabajadores y población y contaminación de suelo y agua).</w:t>
            </w:r>
          </w:p>
          <w:p w14:paraId="5FED8225" w14:textId="77777777" w:rsidR="00A169FB" w:rsidRPr="009A27ED" w:rsidRDefault="00A169FB" w:rsidP="00DF1AF5">
            <w:pPr>
              <w:spacing w:after="0" w:line="256" w:lineRule="auto"/>
              <w:rPr>
                <w:color w:val="000000"/>
                <w:sz w:val="20"/>
                <w:szCs w:val="20"/>
              </w:rPr>
            </w:pPr>
            <w:r w:rsidRPr="009A27ED">
              <w:rPr>
                <w:color w:val="000000"/>
                <w:sz w:val="20"/>
                <w:szCs w:val="20"/>
              </w:rPr>
              <w:t>PO. 4.12. (Reasentamiento involuntario de personas y/o actividades, afectación o restricción de uso o actividades en áreas de amortiguamiento de las Áreas protegidas, limitación de acceso a los recursos en áreas protegidas).</w:t>
            </w:r>
          </w:p>
        </w:tc>
      </w:tr>
    </w:tbl>
    <w:p w14:paraId="408E52E1" w14:textId="77777777" w:rsidR="00A169FB" w:rsidRPr="009A27ED" w:rsidRDefault="00A169FB" w:rsidP="00DF1AF5">
      <w:pPr>
        <w:spacing w:line="360" w:lineRule="auto"/>
        <w:rPr>
          <w:lang w:val="es-GT"/>
        </w:rPr>
      </w:pPr>
    </w:p>
    <w:bookmarkEnd w:id="237"/>
    <w:p w14:paraId="0EC1B4DA" w14:textId="77777777" w:rsidR="00DF1AF5" w:rsidRPr="009A27ED" w:rsidRDefault="00DF1AF5" w:rsidP="00DB5CE3">
      <w:pPr>
        <w:spacing w:line="360" w:lineRule="auto"/>
        <w:rPr>
          <w:color w:val="000000" w:themeColor="text1"/>
        </w:rPr>
        <w:sectPr w:rsidR="00DF1AF5" w:rsidRPr="009A27ED" w:rsidSect="008A1CDF">
          <w:pgSz w:w="29176" w:h="15842" w:orient="landscape"/>
          <w:pgMar w:top="1440" w:right="5875" w:bottom="1440" w:left="1080" w:header="567" w:footer="709" w:gutter="0"/>
          <w:cols w:space="720"/>
          <w:docGrid w:linePitch="326"/>
        </w:sectPr>
      </w:pPr>
    </w:p>
    <w:p w14:paraId="4ACA337F" w14:textId="01A9217E" w:rsidR="00DB5CE3" w:rsidRPr="009A27ED" w:rsidRDefault="004658EE" w:rsidP="00D07A57">
      <w:pPr>
        <w:pStyle w:val="Ttulo2"/>
        <w:numPr>
          <w:ilvl w:val="0"/>
          <w:numId w:val="0"/>
        </w:numPr>
        <w:spacing w:line="360" w:lineRule="auto"/>
        <w:ind w:left="709" w:hanging="576"/>
        <w:jc w:val="both"/>
      </w:pPr>
      <w:bookmarkStart w:id="239" w:name="_Toc111837954"/>
      <w:r w:rsidRPr="009A27ED">
        <w:rPr>
          <w:rFonts w:ascii="Times New Roman" w:eastAsia="Times New Roman" w:hAnsi="Times New Roman"/>
          <w:sz w:val="24"/>
        </w:rPr>
        <w:lastRenderedPageBreak/>
        <w:t>4.2</w:t>
      </w:r>
      <w:r w:rsidR="007F330D" w:rsidRPr="009A27ED">
        <w:rPr>
          <w:rFonts w:ascii="Times New Roman" w:eastAsia="Times New Roman" w:hAnsi="Times New Roman"/>
          <w:sz w:val="24"/>
        </w:rPr>
        <w:t xml:space="preserve"> Análisis</w:t>
      </w:r>
      <w:r w:rsidR="00DB5CE3" w:rsidRPr="009A27ED">
        <w:rPr>
          <w:rFonts w:ascii="Times New Roman" w:eastAsia="Times New Roman" w:hAnsi="Times New Roman"/>
          <w:sz w:val="24"/>
        </w:rPr>
        <w:t xml:space="preserve"> de </w:t>
      </w:r>
      <w:r w:rsidR="007F330D" w:rsidRPr="009A27ED">
        <w:rPr>
          <w:rFonts w:ascii="Times New Roman" w:eastAsia="Times New Roman" w:hAnsi="Times New Roman"/>
          <w:sz w:val="24"/>
        </w:rPr>
        <w:t xml:space="preserve">riesgos </w:t>
      </w:r>
      <w:r w:rsidR="00DB5CE3" w:rsidRPr="009A27ED">
        <w:rPr>
          <w:rFonts w:ascii="Times New Roman" w:eastAsia="Times New Roman" w:hAnsi="Times New Roman"/>
          <w:sz w:val="24"/>
        </w:rPr>
        <w:t>y medidas consideradas vinculadas a la tenencia de la tierra.</w:t>
      </w:r>
      <w:bookmarkEnd w:id="239"/>
    </w:p>
    <w:p w14:paraId="6D1252BC" w14:textId="77777777" w:rsidR="004975BD" w:rsidRPr="009A27ED" w:rsidRDefault="004975BD" w:rsidP="00DB5CE3">
      <w:pPr>
        <w:pStyle w:val="Bodytext20"/>
        <w:shd w:val="clear" w:color="auto" w:fill="auto"/>
        <w:spacing w:after="0" w:line="360" w:lineRule="auto"/>
        <w:rPr>
          <w:rFonts w:cstheme="minorHAnsi"/>
          <w:szCs w:val="22"/>
          <w:lang w:val="es-ES"/>
        </w:rPr>
      </w:pPr>
    </w:p>
    <w:p w14:paraId="41D4CB1E" w14:textId="265A8EA1" w:rsidR="00DB5CE3" w:rsidRPr="009A27ED" w:rsidRDefault="00DB5CE3" w:rsidP="00DB5CE3">
      <w:pPr>
        <w:pStyle w:val="Bodytext20"/>
        <w:shd w:val="clear" w:color="auto" w:fill="auto"/>
        <w:spacing w:after="0" w:line="360" w:lineRule="auto"/>
        <w:rPr>
          <w:rFonts w:cstheme="minorHAnsi"/>
          <w:szCs w:val="22"/>
          <w:lang w:val="es-ES"/>
        </w:rPr>
      </w:pPr>
      <w:r w:rsidRPr="009A27ED">
        <w:rPr>
          <w:rFonts w:ascii="Times New Roman" w:eastAsia="Times New Roman" w:hAnsi="Times New Roman" w:cstheme="minorHAnsi"/>
          <w:sz w:val="24"/>
          <w:szCs w:val="22"/>
          <w:lang w:val="es-ES"/>
        </w:rPr>
        <w:t xml:space="preserve">El régimen de tenencia de la tierra en la República Dominicana presenta a primera impresión, algunas dificultades para acceder a derechos formales de propiedad. Sin embargo, la implementación efectiva de un </w:t>
      </w:r>
      <w:r w:rsidR="00124B63" w:rsidRPr="009A27ED">
        <w:rPr>
          <w:rFonts w:ascii="Times New Roman" w:eastAsia="Times New Roman" w:hAnsi="Times New Roman" w:cstheme="minorHAnsi"/>
          <w:sz w:val="24"/>
          <w:szCs w:val="22"/>
          <w:lang w:val="es-ES"/>
        </w:rPr>
        <w:t>Programa REDD+</w:t>
      </w:r>
      <w:r w:rsidRPr="009A27ED">
        <w:rPr>
          <w:rFonts w:ascii="Times New Roman" w:eastAsia="Times New Roman" w:hAnsi="Times New Roman" w:cstheme="minorHAnsi"/>
          <w:sz w:val="24"/>
          <w:szCs w:val="22"/>
          <w:lang w:val="es-ES"/>
        </w:rPr>
        <w:t xml:space="preserve">, desde el punto de vista de los arreglos institucionales a ser formalizados como consecuencia de la ejecución de las líneas de acción planteadas por el </w:t>
      </w:r>
      <w:r w:rsidR="00124B63" w:rsidRPr="009A27ED">
        <w:rPr>
          <w:rFonts w:ascii="Times New Roman" w:eastAsia="Times New Roman" w:hAnsi="Times New Roman" w:cstheme="minorHAnsi"/>
          <w:sz w:val="24"/>
          <w:szCs w:val="22"/>
          <w:lang w:val="es-ES"/>
        </w:rPr>
        <w:t>Programa REDD+</w:t>
      </w:r>
      <w:r w:rsidR="00916B70" w:rsidRPr="009A27ED">
        <w:rPr>
          <w:rFonts w:ascii="Times New Roman" w:eastAsia="Times New Roman" w:hAnsi="Times New Roman" w:cstheme="minorHAnsi"/>
          <w:sz w:val="24"/>
          <w:szCs w:val="22"/>
          <w:lang w:val="es-ES"/>
        </w:rPr>
        <w:t xml:space="preserve"> </w:t>
      </w:r>
      <w:r w:rsidRPr="009A27ED">
        <w:rPr>
          <w:rFonts w:ascii="Times New Roman" w:eastAsia="Times New Roman" w:hAnsi="Times New Roman" w:cstheme="minorHAnsi"/>
          <w:sz w:val="24"/>
          <w:szCs w:val="22"/>
          <w:lang w:val="es-ES"/>
        </w:rPr>
        <w:t xml:space="preserve">provocará consecuencias positivas respecto a los vacíos y brechas identificados más arriba. A este efecto, durante las consultas realizadas para la Evaluación Estratégica Ambiental y Social (SESA) con los actores y programas involucrados, se determinó que las alternativas planteadas para el reconocimiento y legitimación de la tenencia informal no representarán restricciones al acceso de los beneficios. </w:t>
      </w:r>
    </w:p>
    <w:p w14:paraId="1B811591" w14:textId="77777777" w:rsidR="00DB5CE3" w:rsidRPr="009A27ED" w:rsidRDefault="00DB5CE3" w:rsidP="00DB5CE3">
      <w:pPr>
        <w:pStyle w:val="Bodytext20"/>
        <w:shd w:val="clear" w:color="auto" w:fill="auto"/>
        <w:spacing w:after="0" w:line="360" w:lineRule="auto"/>
        <w:rPr>
          <w:rFonts w:cstheme="minorHAnsi"/>
          <w:szCs w:val="22"/>
          <w:lang w:val="es-ES"/>
        </w:rPr>
      </w:pPr>
    </w:p>
    <w:p w14:paraId="42252315" w14:textId="2E1E755D" w:rsidR="00DB5CE3" w:rsidRPr="009A27ED" w:rsidRDefault="00DB5CE3" w:rsidP="00DB5CE3">
      <w:pPr>
        <w:pStyle w:val="Bodytext20"/>
        <w:shd w:val="clear" w:color="auto" w:fill="auto"/>
        <w:spacing w:after="0" w:line="360" w:lineRule="auto"/>
        <w:rPr>
          <w:rFonts w:ascii="Calibri" w:hAnsi="Calibri" w:cs="Calibri"/>
          <w:szCs w:val="22"/>
          <w:lang w:val="es-ES"/>
        </w:rPr>
      </w:pPr>
      <w:r w:rsidRPr="009A27ED">
        <w:rPr>
          <w:rFonts w:ascii="Times New Roman" w:eastAsia="Times New Roman" w:hAnsi="Times New Roman" w:cstheme="minorHAnsi"/>
          <w:sz w:val="24"/>
          <w:szCs w:val="22"/>
          <w:lang w:val="es-ES"/>
        </w:rPr>
        <w:t xml:space="preserve">En este sentido, el </w:t>
      </w:r>
      <w:r w:rsidR="00124B63" w:rsidRPr="009A27ED">
        <w:rPr>
          <w:rFonts w:ascii="Times New Roman" w:eastAsia="Times New Roman" w:hAnsi="Times New Roman" w:cstheme="minorHAnsi"/>
          <w:sz w:val="24"/>
          <w:szCs w:val="22"/>
          <w:lang w:val="es-ES"/>
        </w:rPr>
        <w:t>Programa REDD+</w:t>
      </w:r>
      <w:r w:rsidR="00434410" w:rsidRPr="009A27ED">
        <w:rPr>
          <w:rFonts w:ascii="Times New Roman" w:eastAsia="Times New Roman" w:hAnsi="Times New Roman" w:cstheme="minorHAnsi"/>
          <w:sz w:val="24"/>
          <w:szCs w:val="22"/>
          <w:lang w:val="es-ES"/>
        </w:rPr>
        <w:t xml:space="preserve"> presentado</w:t>
      </w:r>
      <w:r w:rsidRPr="009A27ED">
        <w:rPr>
          <w:rFonts w:ascii="Times New Roman" w:eastAsia="Times New Roman" w:hAnsi="Times New Roman" w:cstheme="minorHAnsi"/>
          <w:sz w:val="24"/>
          <w:szCs w:val="22"/>
          <w:lang w:val="es-ES"/>
        </w:rPr>
        <w:t xml:space="preserve"> busca apoyar y facilitar el cumplimiento de los marcos legales existentes. A este efecto, se contempla el levantamiento de información y generación de datos de aquellos usufructuarios informales que cumplan con los requisitos necesarios para la prescripción adquisitiva, y que podrán calificar para iniciar el proceso formal de titulación ante la Jurisdicción Inmobiliaria. En esa medida, se podrá proporcionar a los actuales ocupantes la calidad de propietarios, produciendo una mayor seguridad jurídica y consecuentemente, mejores posibilidades de acceder a los mecanismos de compensación y fuentes de financiamiento que les permitan hacer uso apropiado de la tierra.</w:t>
      </w:r>
    </w:p>
    <w:p w14:paraId="25BFBA71" w14:textId="77777777" w:rsidR="00DB5CE3" w:rsidRPr="009A27ED" w:rsidRDefault="00DB5CE3" w:rsidP="00DB5CE3">
      <w:pPr>
        <w:pStyle w:val="Bodytext20"/>
        <w:shd w:val="clear" w:color="auto" w:fill="auto"/>
        <w:spacing w:after="0" w:line="360" w:lineRule="auto"/>
        <w:rPr>
          <w:rFonts w:cstheme="minorHAnsi"/>
          <w:szCs w:val="22"/>
          <w:lang w:val="es-ES"/>
        </w:rPr>
      </w:pPr>
    </w:p>
    <w:p w14:paraId="47604469" w14:textId="1E49D8CA" w:rsidR="00DB5CE3" w:rsidRPr="009A27ED" w:rsidRDefault="00DB5CE3" w:rsidP="005A719A">
      <w:pPr>
        <w:pStyle w:val="Bodytext20"/>
        <w:shd w:val="clear" w:color="auto" w:fill="auto"/>
        <w:spacing w:after="120" w:line="360" w:lineRule="auto"/>
        <w:rPr>
          <w:rFonts w:cstheme="minorHAnsi"/>
          <w:szCs w:val="22"/>
          <w:lang w:val="es-ES"/>
        </w:rPr>
      </w:pPr>
      <w:r w:rsidRPr="009A27ED">
        <w:rPr>
          <w:rFonts w:ascii="Times New Roman" w:eastAsia="Times New Roman" w:hAnsi="Times New Roman" w:cstheme="minorHAnsi"/>
          <w:sz w:val="24"/>
          <w:szCs w:val="22"/>
          <w:lang w:val="es-ES"/>
        </w:rPr>
        <w:t xml:space="preserve">A continuación, </w:t>
      </w:r>
      <w:r w:rsidR="006A7820" w:rsidRPr="009A27ED">
        <w:rPr>
          <w:rFonts w:ascii="Times New Roman" w:eastAsia="Times New Roman" w:hAnsi="Times New Roman" w:cstheme="minorHAnsi"/>
          <w:sz w:val="24"/>
          <w:szCs w:val="22"/>
          <w:lang w:val="es-ES"/>
        </w:rPr>
        <w:t xml:space="preserve">se </w:t>
      </w:r>
      <w:r w:rsidRPr="009A27ED">
        <w:rPr>
          <w:rFonts w:ascii="Times New Roman" w:eastAsia="Times New Roman" w:hAnsi="Times New Roman" w:cstheme="minorHAnsi"/>
          <w:sz w:val="24"/>
          <w:szCs w:val="22"/>
          <w:lang w:val="es-ES"/>
        </w:rPr>
        <w:t>menciona</w:t>
      </w:r>
      <w:r w:rsidR="006A7820" w:rsidRPr="009A27ED">
        <w:rPr>
          <w:rFonts w:ascii="Times New Roman" w:eastAsia="Times New Roman" w:hAnsi="Times New Roman" w:cstheme="minorHAnsi"/>
          <w:sz w:val="24"/>
          <w:szCs w:val="22"/>
          <w:lang w:val="es-ES"/>
        </w:rPr>
        <w:t>n</w:t>
      </w:r>
      <w:r w:rsidRPr="009A27ED">
        <w:rPr>
          <w:rFonts w:ascii="Times New Roman" w:eastAsia="Times New Roman" w:hAnsi="Times New Roman" w:cstheme="minorHAnsi"/>
          <w:sz w:val="24"/>
          <w:szCs w:val="22"/>
          <w:lang w:val="es-ES"/>
        </w:rPr>
        <w:t xml:space="preserve"> dos (2) aspectos positivos que se derivarían de esta implementación:</w:t>
      </w:r>
    </w:p>
    <w:p w14:paraId="0D2E26B2" w14:textId="6189315F" w:rsidR="00DB5CE3" w:rsidRPr="009A27ED" w:rsidRDefault="00C42BBE" w:rsidP="00E67CB0">
      <w:pPr>
        <w:pStyle w:val="Bodytext20"/>
        <w:numPr>
          <w:ilvl w:val="0"/>
          <w:numId w:val="149"/>
        </w:numPr>
        <w:shd w:val="clear" w:color="auto" w:fill="auto"/>
        <w:spacing w:after="120" w:line="360" w:lineRule="auto"/>
        <w:ind w:left="630"/>
        <w:rPr>
          <w:rFonts w:cstheme="minorHAnsi"/>
          <w:szCs w:val="22"/>
          <w:lang w:val="es-ES"/>
        </w:rPr>
      </w:pPr>
      <w:r w:rsidRPr="009A27ED">
        <w:rPr>
          <w:rFonts w:ascii="Times New Roman" w:eastAsia="Times New Roman" w:hAnsi="Times New Roman"/>
          <w:color w:val="000000"/>
          <w:sz w:val="24"/>
          <w:szCs w:val="22"/>
          <w:lang w:val="es-ES"/>
        </w:rPr>
        <w:t>Se orientar</w:t>
      </w:r>
      <w:r w:rsidR="00B31F6C" w:rsidRPr="009A27ED">
        <w:rPr>
          <w:rFonts w:ascii="Times New Roman" w:eastAsia="Times New Roman" w:hAnsi="Times New Roman" w:cstheme="minorHAnsi"/>
          <w:sz w:val="24"/>
          <w:szCs w:val="22"/>
          <w:lang w:val="es-ES"/>
        </w:rPr>
        <w:t>á</w:t>
      </w:r>
      <w:r w:rsidRPr="009A27ED">
        <w:rPr>
          <w:rFonts w:ascii="Times New Roman" w:eastAsia="Times New Roman" w:hAnsi="Times New Roman"/>
          <w:color w:val="000000"/>
          <w:sz w:val="24"/>
          <w:szCs w:val="22"/>
          <w:lang w:val="es-ES"/>
        </w:rPr>
        <w:t xml:space="preserve"> a los beneficiarios que cumplan con los requisitos de prescripción adquisitiva para optar por el registro formal de sus terrenos, generándose una base de datos con las informaciones de </w:t>
      </w:r>
      <w:proofErr w:type="gramStart"/>
      <w:r w:rsidRPr="009A27ED">
        <w:rPr>
          <w:rFonts w:ascii="Times New Roman" w:eastAsia="Times New Roman" w:hAnsi="Times New Roman"/>
          <w:color w:val="000000"/>
          <w:sz w:val="24"/>
          <w:szCs w:val="22"/>
          <w:lang w:val="es-ES"/>
        </w:rPr>
        <w:t>los mismos</w:t>
      </w:r>
      <w:proofErr w:type="gramEnd"/>
      <w:r w:rsidR="00DB5CE3" w:rsidRPr="009A27ED">
        <w:rPr>
          <w:rFonts w:ascii="Times New Roman" w:eastAsia="Times New Roman" w:hAnsi="Times New Roman" w:cstheme="minorHAnsi"/>
          <w:color w:val="000000"/>
          <w:sz w:val="24"/>
          <w:szCs w:val="22"/>
          <w:lang w:val="es-ES"/>
        </w:rPr>
        <w:t xml:space="preserve"> </w:t>
      </w:r>
    </w:p>
    <w:p w14:paraId="1493DC25" w14:textId="3530C59B" w:rsidR="00DB5CE3" w:rsidRPr="009A27ED" w:rsidRDefault="00DB5CE3" w:rsidP="00E67CB0">
      <w:pPr>
        <w:pStyle w:val="Bodytext20"/>
        <w:numPr>
          <w:ilvl w:val="0"/>
          <w:numId w:val="149"/>
        </w:numPr>
        <w:shd w:val="clear" w:color="auto" w:fill="auto"/>
        <w:spacing w:after="120" w:line="360" w:lineRule="auto"/>
        <w:ind w:left="630"/>
        <w:rPr>
          <w:rFonts w:cstheme="minorHAnsi"/>
          <w:szCs w:val="22"/>
          <w:lang w:val="es-ES"/>
        </w:rPr>
      </w:pPr>
      <w:r w:rsidRPr="009A27ED">
        <w:rPr>
          <w:rFonts w:ascii="Times New Roman" w:eastAsia="Times New Roman" w:hAnsi="Times New Roman" w:cstheme="minorHAnsi"/>
          <w:sz w:val="24"/>
          <w:szCs w:val="22"/>
          <w:lang w:val="es-ES"/>
        </w:rPr>
        <w:t xml:space="preserve">Gestionar soluciones efectivas para resolver las controversias relacionadas </w:t>
      </w:r>
      <w:r w:rsidR="00613803" w:rsidRPr="009A27ED">
        <w:rPr>
          <w:rFonts w:ascii="Times New Roman" w:eastAsia="Times New Roman" w:hAnsi="Times New Roman" w:cstheme="minorHAnsi"/>
          <w:sz w:val="24"/>
          <w:szCs w:val="22"/>
          <w:lang w:val="es-ES"/>
        </w:rPr>
        <w:t>con propietarios</w:t>
      </w:r>
      <w:r w:rsidRPr="009A27ED">
        <w:rPr>
          <w:rFonts w:ascii="Times New Roman" w:eastAsia="Times New Roman" w:hAnsi="Times New Roman" w:cstheme="minorHAnsi"/>
          <w:sz w:val="24"/>
          <w:szCs w:val="22"/>
          <w:lang w:val="es-ES"/>
        </w:rPr>
        <w:t xml:space="preserve"> formales y poseedores de hecho. En este caso, los conflictos y controversias que se presenten entre ocupantes informales serán atendidos dentro del marco del Mecanismo de Quejas, Reclamos y Manejos de Conflictos descrito en el Capítulo 15.2 del Programa Nacional de Reducción de Emisiones (</w:t>
      </w:r>
      <w:r w:rsidR="00124B63" w:rsidRPr="009A27ED">
        <w:rPr>
          <w:rFonts w:ascii="Times New Roman" w:eastAsia="Times New Roman" w:hAnsi="Times New Roman" w:cstheme="minorHAnsi"/>
          <w:sz w:val="24"/>
          <w:szCs w:val="22"/>
          <w:lang w:val="es-ES"/>
        </w:rPr>
        <w:t>Programa REDD+</w:t>
      </w:r>
      <w:r w:rsidRPr="009A27ED">
        <w:rPr>
          <w:rFonts w:ascii="Times New Roman" w:eastAsia="Times New Roman" w:hAnsi="Times New Roman" w:cstheme="minorHAnsi"/>
          <w:sz w:val="24"/>
          <w:szCs w:val="22"/>
          <w:lang w:val="es-ES"/>
        </w:rPr>
        <w:t xml:space="preserve">). El MQRC abordará la solución de estas controversias a través de la verificación de los requisitos documentales que avalan la posesión de hecho. Los requisitos para </w:t>
      </w:r>
      <w:r w:rsidRPr="009A27ED">
        <w:rPr>
          <w:rFonts w:ascii="Times New Roman" w:eastAsia="Times New Roman" w:hAnsi="Times New Roman" w:cstheme="minorHAnsi"/>
          <w:sz w:val="24"/>
          <w:szCs w:val="22"/>
          <w:lang w:val="es-ES"/>
        </w:rPr>
        <w:lastRenderedPageBreak/>
        <w:t xml:space="preserve">determinar la legitimidad de la tenencia informal, bajo el esquema de la prescripción adquisitiva, permitirá una reducción de riesgos relacionados con posibles conflictos. En caso de ser necesario, se canalizará la resolución de estos casos a las entidades correspondientes. Para el caso de los conflictos relacionados con derechos de propiedad registrados deberán ser atendidos en las instancias judiciales </w:t>
      </w:r>
      <w:r w:rsidR="009471F7" w:rsidRPr="009A27ED">
        <w:rPr>
          <w:rFonts w:ascii="Times New Roman" w:eastAsia="Times New Roman" w:hAnsi="Times New Roman" w:cstheme="minorHAnsi"/>
          <w:sz w:val="24"/>
          <w:szCs w:val="22"/>
          <w:lang w:val="es-ES"/>
        </w:rPr>
        <w:t>inmobiliarias, cumpliendo</w:t>
      </w:r>
      <w:r w:rsidRPr="009A27ED">
        <w:rPr>
          <w:rFonts w:ascii="Times New Roman" w:eastAsia="Times New Roman" w:hAnsi="Times New Roman" w:cstheme="minorHAnsi"/>
          <w:sz w:val="24"/>
          <w:szCs w:val="22"/>
          <w:lang w:val="es-ES"/>
        </w:rPr>
        <w:t xml:space="preserve"> el procedimiento </w:t>
      </w:r>
      <w:r w:rsidR="009471F7" w:rsidRPr="009A27ED">
        <w:rPr>
          <w:rFonts w:ascii="Times New Roman" w:eastAsia="Times New Roman" w:hAnsi="Times New Roman" w:cstheme="minorHAnsi"/>
          <w:sz w:val="24"/>
          <w:szCs w:val="22"/>
          <w:lang w:val="es-ES"/>
        </w:rPr>
        <w:t>establecido por</w:t>
      </w:r>
      <w:r w:rsidRPr="009A27ED">
        <w:rPr>
          <w:rFonts w:ascii="Times New Roman" w:eastAsia="Times New Roman" w:hAnsi="Times New Roman" w:cstheme="minorHAnsi"/>
          <w:sz w:val="24"/>
          <w:szCs w:val="22"/>
          <w:lang w:val="es-ES"/>
        </w:rPr>
        <w:t xml:space="preserve"> la Ley No.108-05 de Registro Inmobiliario. </w:t>
      </w:r>
    </w:p>
    <w:p w14:paraId="1A37FA2D" w14:textId="066577AA" w:rsidR="00DB5CE3" w:rsidRPr="009A27ED" w:rsidRDefault="00DB5CE3" w:rsidP="005A719A">
      <w:pPr>
        <w:autoSpaceDE w:val="0"/>
        <w:autoSpaceDN w:val="0"/>
        <w:adjustRightInd w:val="0"/>
        <w:spacing w:line="360" w:lineRule="auto"/>
        <w:rPr>
          <w:color w:val="000000"/>
          <w:szCs w:val="22"/>
        </w:rPr>
      </w:pPr>
      <w:r w:rsidRPr="009A27ED">
        <w:rPr>
          <w:rFonts w:ascii="Times New Roman" w:eastAsia="Times New Roman" w:hAnsi="Times New Roman"/>
          <w:color w:val="000000"/>
          <w:sz w:val="24"/>
          <w:szCs w:val="22"/>
        </w:rPr>
        <w:t xml:space="preserve">En lo que respecta al reconocimiento de las posesiones de hecho, existen en la actualidad mecanismos consuetudinarios reconocidos legalmente, que permiten avalar las intervenciones pacíficas bajo el esquema de la prescripción adquisitiva o presunción de legalidad de la tenencia informal. </w:t>
      </w:r>
      <w:r w:rsidRPr="009A27ED">
        <w:rPr>
          <w:rFonts w:ascii="Times New Roman" w:eastAsia="Times New Roman" w:hAnsi="Times New Roman"/>
          <w:iCs/>
          <w:sz w:val="24"/>
          <w:szCs w:val="22"/>
        </w:rPr>
        <w:t>Para el reconocimiento de esta presunción de legalidad de la tenencia de la tierra informal en</w:t>
      </w:r>
      <w:r w:rsidRPr="009A27ED">
        <w:rPr>
          <w:rFonts w:ascii="Times New Roman" w:eastAsia="Times New Roman" w:hAnsi="Times New Roman"/>
          <w:color w:val="000000"/>
          <w:sz w:val="24"/>
          <w:szCs w:val="22"/>
        </w:rPr>
        <w:t xml:space="preserve"> la implementación del </w:t>
      </w:r>
      <w:r w:rsidR="00124B63" w:rsidRPr="009A27ED">
        <w:rPr>
          <w:rFonts w:ascii="Times New Roman" w:eastAsia="Times New Roman" w:hAnsi="Times New Roman"/>
          <w:color w:val="000000"/>
          <w:sz w:val="24"/>
          <w:szCs w:val="22"/>
        </w:rPr>
        <w:t>Programa REDD+</w:t>
      </w:r>
      <w:r w:rsidRPr="009A27ED">
        <w:rPr>
          <w:rFonts w:ascii="Times New Roman" w:eastAsia="Times New Roman" w:hAnsi="Times New Roman"/>
          <w:color w:val="000000"/>
          <w:sz w:val="24"/>
          <w:szCs w:val="22"/>
        </w:rPr>
        <w:t>, se pueden considerar válidos los siguientes documentos o actos, a saber:</w:t>
      </w:r>
    </w:p>
    <w:p w14:paraId="46BB0277" w14:textId="77777777" w:rsidR="00DB5CE3" w:rsidRPr="009A27ED" w:rsidRDefault="00DB5CE3" w:rsidP="00E67CB0">
      <w:pPr>
        <w:pStyle w:val="Prrafodelista"/>
        <w:numPr>
          <w:ilvl w:val="0"/>
          <w:numId w:val="149"/>
        </w:numPr>
        <w:autoSpaceDE w:val="0"/>
        <w:autoSpaceDN w:val="0"/>
        <w:adjustRightInd w:val="0"/>
        <w:spacing w:after="120" w:line="360" w:lineRule="auto"/>
        <w:ind w:left="1769" w:hanging="357"/>
        <w:rPr>
          <w:color w:val="000000"/>
          <w:szCs w:val="22"/>
        </w:rPr>
      </w:pPr>
      <w:r w:rsidRPr="009A27ED">
        <w:rPr>
          <w:rFonts w:ascii="Times New Roman" w:eastAsia="Times New Roman" w:hAnsi="Times New Roman"/>
          <w:color w:val="000000"/>
          <w:sz w:val="24"/>
          <w:szCs w:val="22"/>
        </w:rPr>
        <w:t xml:space="preserve">Acto de compra notarizado inscrito y transcrito de terrenos comuneros sin mensurar a ocupante. </w:t>
      </w:r>
    </w:p>
    <w:p w14:paraId="0F5A7776" w14:textId="77777777" w:rsidR="00DB5CE3" w:rsidRPr="009A27ED" w:rsidRDefault="00DB5CE3" w:rsidP="00E67CB0">
      <w:pPr>
        <w:pStyle w:val="Prrafodelista"/>
        <w:numPr>
          <w:ilvl w:val="0"/>
          <w:numId w:val="149"/>
        </w:numPr>
        <w:autoSpaceDE w:val="0"/>
        <w:autoSpaceDN w:val="0"/>
        <w:adjustRightInd w:val="0"/>
        <w:spacing w:after="120" w:line="360" w:lineRule="auto"/>
        <w:ind w:left="1769" w:hanging="357"/>
        <w:rPr>
          <w:color w:val="000000"/>
          <w:szCs w:val="22"/>
        </w:rPr>
      </w:pPr>
      <w:r w:rsidRPr="009A27ED">
        <w:rPr>
          <w:rFonts w:ascii="Times New Roman" w:eastAsia="Times New Roman" w:hAnsi="Times New Roman"/>
          <w:color w:val="000000"/>
          <w:sz w:val="24"/>
          <w:szCs w:val="22"/>
        </w:rPr>
        <w:t xml:space="preserve">Acto de compra notarizado inscrito y transcrito de terrenos comuneros sin mensurar a ocupante. </w:t>
      </w:r>
    </w:p>
    <w:p w14:paraId="1CA59062" w14:textId="77777777" w:rsidR="00DB5CE3" w:rsidRPr="009A27ED" w:rsidRDefault="00DB5CE3" w:rsidP="00E67CB0">
      <w:pPr>
        <w:pStyle w:val="Prrafodelista"/>
        <w:numPr>
          <w:ilvl w:val="0"/>
          <w:numId w:val="149"/>
        </w:numPr>
        <w:autoSpaceDE w:val="0"/>
        <w:autoSpaceDN w:val="0"/>
        <w:adjustRightInd w:val="0"/>
        <w:spacing w:after="120" w:line="360" w:lineRule="auto"/>
        <w:ind w:hanging="219"/>
        <w:rPr>
          <w:iCs/>
          <w:color w:val="000000"/>
          <w:szCs w:val="22"/>
        </w:rPr>
      </w:pPr>
      <w:r w:rsidRPr="009A27ED">
        <w:rPr>
          <w:rFonts w:ascii="Times New Roman" w:eastAsia="Times New Roman" w:hAnsi="Times New Roman"/>
          <w:color w:val="000000"/>
          <w:sz w:val="24"/>
          <w:szCs w:val="22"/>
        </w:rPr>
        <w:t xml:space="preserve">  Acto de </w:t>
      </w:r>
      <w:proofErr w:type="gramStart"/>
      <w:r w:rsidRPr="009A27ED">
        <w:rPr>
          <w:rFonts w:ascii="Times New Roman" w:eastAsia="Times New Roman" w:hAnsi="Times New Roman"/>
          <w:color w:val="000000"/>
          <w:sz w:val="24"/>
          <w:szCs w:val="22"/>
        </w:rPr>
        <w:t>compra-venta</w:t>
      </w:r>
      <w:proofErr w:type="gramEnd"/>
      <w:r w:rsidRPr="009A27ED">
        <w:rPr>
          <w:rFonts w:ascii="Times New Roman" w:eastAsia="Times New Roman" w:hAnsi="Times New Roman"/>
          <w:color w:val="000000"/>
          <w:sz w:val="24"/>
          <w:szCs w:val="22"/>
        </w:rPr>
        <w:t xml:space="preserve"> con alcalde como testigo, no notarizado. </w:t>
      </w:r>
    </w:p>
    <w:p w14:paraId="16A0C104" w14:textId="77777777" w:rsidR="00DB5CE3" w:rsidRPr="009A27ED" w:rsidRDefault="00DB5CE3" w:rsidP="00E67CB0">
      <w:pPr>
        <w:pStyle w:val="Prrafodelista"/>
        <w:numPr>
          <w:ilvl w:val="0"/>
          <w:numId w:val="149"/>
        </w:numPr>
        <w:autoSpaceDE w:val="0"/>
        <w:autoSpaceDN w:val="0"/>
        <w:adjustRightInd w:val="0"/>
        <w:spacing w:after="120" w:line="360" w:lineRule="auto"/>
        <w:ind w:hanging="219"/>
        <w:rPr>
          <w:iCs/>
          <w:szCs w:val="22"/>
        </w:rPr>
      </w:pPr>
      <w:r w:rsidRPr="009A27ED">
        <w:rPr>
          <w:rFonts w:ascii="Times New Roman" w:eastAsia="Times New Roman" w:hAnsi="Times New Roman"/>
          <w:iCs/>
          <w:sz w:val="24"/>
          <w:szCs w:val="22"/>
        </w:rPr>
        <w:t xml:space="preserve">  Acto de </w:t>
      </w:r>
      <w:proofErr w:type="gramStart"/>
      <w:r w:rsidRPr="009A27ED">
        <w:rPr>
          <w:rFonts w:ascii="Times New Roman" w:eastAsia="Times New Roman" w:hAnsi="Times New Roman"/>
          <w:iCs/>
          <w:sz w:val="24"/>
          <w:szCs w:val="22"/>
        </w:rPr>
        <w:t>compra-venta</w:t>
      </w:r>
      <w:proofErr w:type="gramEnd"/>
      <w:r w:rsidRPr="009A27ED">
        <w:rPr>
          <w:rFonts w:ascii="Times New Roman" w:eastAsia="Times New Roman" w:hAnsi="Times New Roman"/>
          <w:iCs/>
          <w:sz w:val="24"/>
          <w:szCs w:val="22"/>
        </w:rPr>
        <w:t xml:space="preserve"> de terrenos mensurados</w:t>
      </w:r>
    </w:p>
    <w:p w14:paraId="30197FE2" w14:textId="77777777" w:rsidR="00DB5CE3" w:rsidRPr="009A27ED" w:rsidRDefault="00DB5CE3" w:rsidP="00E67CB0">
      <w:pPr>
        <w:pStyle w:val="Prrafodelista"/>
        <w:numPr>
          <w:ilvl w:val="0"/>
          <w:numId w:val="149"/>
        </w:numPr>
        <w:autoSpaceDE w:val="0"/>
        <w:autoSpaceDN w:val="0"/>
        <w:adjustRightInd w:val="0"/>
        <w:spacing w:after="120" w:line="360" w:lineRule="auto"/>
        <w:ind w:hanging="219"/>
        <w:rPr>
          <w:iCs/>
          <w:szCs w:val="22"/>
        </w:rPr>
      </w:pPr>
      <w:r w:rsidRPr="009A27ED">
        <w:rPr>
          <w:rFonts w:ascii="Times New Roman" w:eastAsia="Times New Roman" w:hAnsi="Times New Roman"/>
          <w:iCs/>
          <w:sz w:val="24"/>
          <w:szCs w:val="22"/>
        </w:rPr>
        <w:t xml:space="preserve">  Declaración jurada de posesión, notarizado bajo testigos</w:t>
      </w:r>
    </w:p>
    <w:p w14:paraId="5D4BDB3D" w14:textId="4851EC1A" w:rsidR="00DB5CE3" w:rsidRPr="009A27ED" w:rsidRDefault="00DB5CE3" w:rsidP="00E67CB0">
      <w:pPr>
        <w:pStyle w:val="Prrafodelista"/>
        <w:numPr>
          <w:ilvl w:val="0"/>
          <w:numId w:val="149"/>
        </w:numPr>
        <w:autoSpaceDE w:val="0"/>
        <w:autoSpaceDN w:val="0"/>
        <w:adjustRightInd w:val="0"/>
        <w:spacing w:after="120" w:line="360" w:lineRule="auto"/>
        <w:ind w:hanging="219"/>
        <w:rPr>
          <w:iCs/>
        </w:rPr>
      </w:pPr>
      <w:r w:rsidRPr="009A27ED">
        <w:rPr>
          <w:rFonts w:ascii="Times New Roman" w:eastAsia="Times New Roman" w:hAnsi="Times New Roman"/>
          <w:iCs/>
          <w:sz w:val="24"/>
          <w:szCs w:val="22"/>
        </w:rPr>
        <w:t xml:space="preserve">  Determinación de herederos, para </w:t>
      </w:r>
      <w:r w:rsidR="009471F7" w:rsidRPr="009A27ED">
        <w:rPr>
          <w:rFonts w:ascii="Times New Roman" w:eastAsia="Times New Roman" w:hAnsi="Times New Roman"/>
          <w:iCs/>
          <w:sz w:val="24"/>
          <w:szCs w:val="22"/>
        </w:rPr>
        <w:t>los casos</w:t>
      </w:r>
      <w:r w:rsidRPr="009A27ED">
        <w:rPr>
          <w:rFonts w:ascii="Times New Roman" w:eastAsia="Times New Roman" w:hAnsi="Times New Roman"/>
          <w:iCs/>
          <w:sz w:val="24"/>
          <w:szCs w:val="22"/>
        </w:rPr>
        <w:t xml:space="preserve"> de sucesión.</w:t>
      </w:r>
      <w:r w:rsidRPr="009A27ED">
        <w:rPr>
          <w:rFonts w:ascii="Times New Roman" w:eastAsia="Times New Roman" w:hAnsi="Times New Roman"/>
          <w:iCs/>
          <w:sz w:val="24"/>
        </w:rPr>
        <w:t xml:space="preserve"> </w:t>
      </w:r>
    </w:p>
    <w:p w14:paraId="5103335D" w14:textId="3D26856D" w:rsidR="00947670" w:rsidRPr="009A27ED" w:rsidRDefault="004658EE" w:rsidP="004658EE">
      <w:pPr>
        <w:pStyle w:val="Ttulo1"/>
        <w:numPr>
          <w:ilvl w:val="0"/>
          <w:numId w:val="0"/>
        </w:numPr>
        <w:spacing w:line="360" w:lineRule="auto"/>
        <w:ind w:left="284"/>
        <w:jc w:val="both"/>
      </w:pPr>
      <w:bookmarkStart w:id="240" w:name="_Toc529470005"/>
      <w:bookmarkStart w:id="241" w:name="_Toc532335867"/>
      <w:bookmarkStart w:id="242" w:name="_Toc111837955"/>
      <w:r w:rsidRPr="009A27ED">
        <w:rPr>
          <w:rFonts w:ascii="Times New Roman" w:eastAsia="Times New Roman" w:hAnsi="Times New Roman"/>
          <w:sz w:val="24"/>
        </w:rPr>
        <w:t xml:space="preserve">5. </w:t>
      </w:r>
      <w:r w:rsidR="00947670" w:rsidRPr="009A27ED">
        <w:rPr>
          <w:rFonts w:ascii="Times New Roman" w:eastAsia="Times New Roman" w:hAnsi="Times New Roman"/>
          <w:sz w:val="24"/>
        </w:rPr>
        <w:t>Arreglos institucionales para la implementación del MGAS</w:t>
      </w:r>
      <w:bookmarkEnd w:id="240"/>
      <w:bookmarkEnd w:id="241"/>
      <w:bookmarkEnd w:id="242"/>
    </w:p>
    <w:p w14:paraId="720B255D" w14:textId="58980972" w:rsidR="00947670" w:rsidRPr="009A27ED" w:rsidRDefault="00947670" w:rsidP="005B6485">
      <w:pPr>
        <w:spacing w:before="120" w:after="100" w:afterAutospacing="1" w:line="360" w:lineRule="auto"/>
        <w:rPr>
          <w:szCs w:val="22"/>
        </w:rPr>
      </w:pPr>
      <w:r w:rsidRPr="009A27ED">
        <w:rPr>
          <w:rFonts w:ascii="Times New Roman" w:eastAsia="Times New Roman" w:hAnsi="Times New Roman"/>
          <w:sz w:val="24"/>
          <w:szCs w:val="22"/>
        </w:rPr>
        <w:t xml:space="preserve">Los arreglos institucionales para la implementación de la Estrategia REDD+ están asentados en las disposiciones de la Ley General No. 64-00 sobre Medio Ambiente y Recursos Naturales y su legislación complementaria; la Ley No. 496-06, que crea el Ministerio de Economía Planificación y Desarrollo (MEPyD) y en la Ley No. 8 de 1965 que crea el Ministerio de Agricultura. Los arreglos institucionales previstos tienen su fundamento en los procesos de consulta y participación, desarrollados en la fase de preparación, a través de los cuales se crearon las bases para que el Programa REDD+ en la República Dominicana se sostenga o alimente de la ejecución de proyectos y programas de instituciones gubernamentales y no gubernamental nacionales. </w:t>
      </w:r>
      <w:r w:rsidR="00434410" w:rsidRPr="009A27ED">
        <w:rPr>
          <w:rFonts w:ascii="Times New Roman" w:eastAsia="Times New Roman" w:hAnsi="Times New Roman"/>
          <w:sz w:val="24"/>
          <w:szCs w:val="22"/>
        </w:rPr>
        <w:t xml:space="preserve">A este efecto, los esfuerzos para la implementación y supervisión del </w:t>
      </w:r>
      <w:r w:rsidR="00124B63" w:rsidRPr="009A27ED">
        <w:rPr>
          <w:rFonts w:ascii="Times New Roman" w:eastAsia="Times New Roman" w:hAnsi="Times New Roman"/>
          <w:sz w:val="24"/>
          <w:szCs w:val="22"/>
        </w:rPr>
        <w:t>Programa REDD+</w:t>
      </w:r>
      <w:r w:rsidR="00434410" w:rsidRPr="009A27ED">
        <w:rPr>
          <w:rFonts w:ascii="Times New Roman" w:eastAsia="Times New Roman" w:hAnsi="Times New Roman"/>
          <w:sz w:val="24"/>
          <w:szCs w:val="22"/>
        </w:rPr>
        <w:t xml:space="preserve"> en la República Dominicana cuentan con el apoyo de una estructura de gobernanza funcional, en donde las partes involucradas en la implementación del Programa de </w:t>
      </w:r>
      <w:r w:rsidR="00434410" w:rsidRPr="009A27ED">
        <w:rPr>
          <w:rFonts w:ascii="Times New Roman" w:eastAsia="Times New Roman" w:hAnsi="Times New Roman"/>
          <w:sz w:val="24"/>
          <w:szCs w:val="22"/>
        </w:rPr>
        <w:lastRenderedPageBreak/>
        <w:t xml:space="preserve">REDD+ participan en los procesos de toma de decisiones, a través de los organismos de los cuales forman parte. </w:t>
      </w:r>
      <w:r w:rsidRPr="009A27ED">
        <w:rPr>
          <w:rFonts w:ascii="Times New Roman" w:eastAsia="Times New Roman" w:hAnsi="Times New Roman"/>
          <w:sz w:val="24"/>
          <w:szCs w:val="22"/>
        </w:rPr>
        <w:t xml:space="preserve">Estos organismos son: </w:t>
      </w:r>
    </w:p>
    <w:p w14:paraId="30A55E98" w14:textId="308584AC" w:rsidR="00947670" w:rsidRPr="009A27ED" w:rsidRDefault="005C6A75" w:rsidP="00D42802">
      <w:pPr>
        <w:pStyle w:val="Number1"/>
        <w:numPr>
          <w:ilvl w:val="0"/>
          <w:numId w:val="63"/>
        </w:numPr>
        <w:spacing w:line="360" w:lineRule="auto"/>
      </w:pPr>
      <w:r w:rsidRPr="009A27ED">
        <w:rPr>
          <w:rFonts w:ascii="Times New Roman" w:hAnsi="Times New Roman"/>
          <w:sz w:val="24"/>
        </w:rPr>
        <w:t>U</w:t>
      </w:r>
      <w:r w:rsidR="00947670" w:rsidRPr="009A27ED">
        <w:rPr>
          <w:rFonts w:ascii="Times New Roman" w:hAnsi="Times New Roman"/>
          <w:sz w:val="24"/>
        </w:rPr>
        <w:t>n Comité Directivo (CD)</w:t>
      </w:r>
      <w:r w:rsidR="001412DC" w:rsidRPr="009A27ED">
        <w:rPr>
          <w:rFonts w:ascii="Times New Roman" w:hAnsi="Times New Roman"/>
          <w:sz w:val="24"/>
        </w:rPr>
        <w:t>,</w:t>
      </w:r>
      <w:r w:rsidR="00947670" w:rsidRPr="009A27ED">
        <w:rPr>
          <w:rFonts w:ascii="Times New Roman" w:hAnsi="Times New Roman"/>
          <w:sz w:val="24"/>
        </w:rPr>
        <w:t xml:space="preserve"> </w:t>
      </w:r>
    </w:p>
    <w:p w14:paraId="532AB6B9" w14:textId="595E1A84" w:rsidR="00947670" w:rsidRPr="009A27ED" w:rsidRDefault="005C6A75" w:rsidP="00D42802">
      <w:pPr>
        <w:pStyle w:val="Number1"/>
        <w:numPr>
          <w:ilvl w:val="0"/>
          <w:numId w:val="63"/>
        </w:numPr>
        <w:spacing w:line="360" w:lineRule="auto"/>
      </w:pPr>
      <w:r w:rsidRPr="009A27ED">
        <w:rPr>
          <w:rFonts w:ascii="Times New Roman" w:hAnsi="Times New Roman"/>
          <w:sz w:val="24"/>
        </w:rPr>
        <w:t>U</w:t>
      </w:r>
      <w:r w:rsidR="00947670" w:rsidRPr="009A27ED">
        <w:rPr>
          <w:rFonts w:ascii="Times New Roman" w:hAnsi="Times New Roman"/>
          <w:sz w:val="24"/>
        </w:rPr>
        <w:t>n Comité Técnico Asesor (CTA)</w:t>
      </w:r>
      <w:r w:rsidR="001412DC" w:rsidRPr="009A27ED">
        <w:rPr>
          <w:rFonts w:ascii="Times New Roman" w:hAnsi="Times New Roman"/>
          <w:sz w:val="24"/>
        </w:rPr>
        <w:t>,</w:t>
      </w:r>
      <w:r w:rsidR="00947670" w:rsidRPr="009A27ED">
        <w:rPr>
          <w:rFonts w:ascii="Times New Roman" w:hAnsi="Times New Roman"/>
          <w:sz w:val="24"/>
        </w:rPr>
        <w:t xml:space="preserve"> </w:t>
      </w:r>
    </w:p>
    <w:p w14:paraId="1E9BBE7D" w14:textId="5902D8C7" w:rsidR="00947670" w:rsidRPr="009A27ED" w:rsidRDefault="005C6A75" w:rsidP="00D42802">
      <w:pPr>
        <w:pStyle w:val="Number1"/>
        <w:numPr>
          <w:ilvl w:val="0"/>
          <w:numId w:val="63"/>
        </w:numPr>
        <w:spacing w:line="360" w:lineRule="auto"/>
      </w:pPr>
      <w:r w:rsidRPr="009A27ED">
        <w:rPr>
          <w:rFonts w:ascii="Times New Roman" w:hAnsi="Times New Roman"/>
          <w:sz w:val="24"/>
        </w:rPr>
        <w:t>U</w:t>
      </w:r>
      <w:r w:rsidR="00947670" w:rsidRPr="009A27ED">
        <w:rPr>
          <w:rFonts w:ascii="Times New Roman" w:hAnsi="Times New Roman"/>
          <w:sz w:val="24"/>
        </w:rPr>
        <w:t>na Ofici</w:t>
      </w:r>
      <w:r w:rsidR="004846B1" w:rsidRPr="009A27ED">
        <w:rPr>
          <w:rFonts w:ascii="Times New Roman" w:hAnsi="Times New Roman"/>
          <w:sz w:val="24"/>
        </w:rPr>
        <w:t>na de Coordinación REDD+ (OCR)</w:t>
      </w:r>
      <w:r w:rsidR="001412DC" w:rsidRPr="009A27ED">
        <w:rPr>
          <w:rFonts w:ascii="Times New Roman" w:hAnsi="Times New Roman"/>
          <w:sz w:val="24"/>
        </w:rPr>
        <w:t>,</w:t>
      </w:r>
    </w:p>
    <w:p w14:paraId="02082D79" w14:textId="3C41E42D" w:rsidR="001412DC" w:rsidRPr="009A27ED" w:rsidRDefault="001412DC" w:rsidP="00D42802">
      <w:pPr>
        <w:pStyle w:val="Number1"/>
        <w:numPr>
          <w:ilvl w:val="0"/>
          <w:numId w:val="63"/>
        </w:numPr>
        <w:spacing w:line="360" w:lineRule="auto"/>
      </w:pPr>
      <w:r w:rsidRPr="009A27ED">
        <w:rPr>
          <w:rFonts w:ascii="Times New Roman" w:hAnsi="Times New Roman"/>
          <w:sz w:val="24"/>
        </w:rPr>
        <w:t>Entidades ejecutoras (EE),</w:t>
      </w:r>
    </w:p>
    <w:p w14:paraId="46DB6C1D" w14:textId="1317D7EF" w:rsidR="001412DC" w:rsidRPr="009A27ED" w:rsidRDefault="001412DC" w:rsidP="00D42802">
      <w:pPr>
        <w:pStyle w:val="Number1"/>
        <w:numPr>
          <w:ilvl w:val="0"/>
          <w:numId w:val="63"/>
        </w:numPr>
        <w:spacing w:line="360" w:lineRule="auto"/>
      </w:pPr>
      <w:r w:rsidRPr="009A27ED">
        <w:rPr>
          <w:rFonts w:ascii="Times New Roman" w:hAnsi="Times New Roman"/>
          <w:sz w:val="24"/>
        </w:rPr>
        <w:t>Oficinas regionales y locales, etc.</w:t>
      </w:r>
    </w:p>
    <w:p w14:paraId="57E78AB0" w14:textId="6B017875" w:rsidR="00947670" w:rsidRPr="009A27ED" w:rsidRDefault="00947670" w:rsidP="005B6485">
      <w:pPr>
        <w:spacing w:before="120" w:after="0" w:line="360" w:lineRule="auto"/>
        <w:rPr>
          <w:szCs w:val="22"/>
        </w:rPr>
      </w:pPr>
      <w:bookmarkStart w:id="243" w:name="_Hlk20579224"/>
      <w:r w:rsidRPr="009A27ED">
        <w:rPr>
          <w:rFonts w:ascii="Times New Roman" w:eastAsia="Times New Roman" w:hAnsi="Times New Roman"/>
          <w:sz w:val="24"/>
          <w:szCs w:val="22"/>
        </w:rPr>
        <w:t xml:space="preserve">Los arreglos institucionales propuestos en el MGAS se alinean con los arreglos institucionales previstos para la Implementación de la Estrategia REDD+ y </w:t>
      </w:r>
      <w:r w:rsidR="00C90A9D" w:rsidRPr="009A27ED">
        <w:rPr>
          <w:rFonts w:ascii="Times New Roman" w:eastAsia="Times New Roman" w:hAnsi="Times New Roman"/>
          <w:i/>
          <w:sz w:val="24"/>
          <w:szCs w:val="22"/>
        </w:rPr>
        <w:t xml:space="preserve">el </w:t>
      </w:r>
      <w:r w:rsidR="00124B63" w:rsidRPr="009A27ED">
        <w:rPr>
          <w:rFonts w:ascii="Times New Roman" w:eastAsia="Times New Roman" w:hAnsi="Times New Roman"/>
          <w:i/>
          <w:sz w:val="24"/>
          <w:szCs w:val="22"/>
        </w:rPr>
        <w:t>Programa REDD+</w:t>
      </w:r>
      <w:r w:rsidR="00C90A9D" w:rsidRPr="009A27ED">
        <w:rPr>
          <w:rFonts w:ascii="Times New Roman" w:eastAsia="Times New Roman" w:hAnsi="Times New Roman"/>
          <w:i/>
          <w:sz w:val="24"/>
          <w:szCs w:val="22"/>
        </w:rPr>
        <w:t>.</w:t>
      </w:r>
      <w:r w:rsidRPr="009A27ED">
        <w:rPr>
          <w:rFonts w:ascii="Times New Roman" w:eastAsia="Times New Roman" w:hAnsi="Times New Roman"/>
          <w:sz w:val="24"/>
          <w:szCs w:val="22"/>
        </w:rPr>
        <w:t xml:space="preserve"> </w:t>
      </w:r>
    </w:p>
    <w:p w14:paraId="53DE0C43" w14:textId="78404B49" w:rsidR="00C90A9D" w:rsidRPr="009A27ED" w:rsidRDefault="00C90A9D" w:rsidP="00C90A9D">
      <w:pPr>
        <w:shd w:val="clear" w:color="auto" w:fill="FFFFFF"/>
        <w:spacing w:before="120" w:after="0" w:line="360" w:lineRule="auto"/>
        <w:rPr>
          <w:rFonts w:eastAsia="Times New Roman" w:cs="Segoe UI"/>
          <w:color w:val="201F1E"/>
          <w:sz w:val="23"/>
          <w:szCs w:val="23"/>
          <w:lang w:val="es-MX" w:eastAsia="es-MX"/>
        </w:rPr>
      </w:pPr>
      <w:r w:rsidRPr="009A27ED">
        <w:rPr>
          <w:rFonts w:ascii="Times New Roman" w:eastAsia="Times New Roman" w:hAnsi="Times New Roman" w:cs="Calibri"/>
          <w:color w:val="000000"/>
          <w:sz w:val="24"/>
          <w:szCs w:val="22"/>
          <w:bdr w:val="none" w:sz="0" w:space="0" w:color="auto" w:frame="1"/>
          <w:lang w:eastAsia="es-MX"/>
        </w:rPr>
        <w:t>Para la Coordinación de la implementación de la Estrategia REDD+ el país creó una </w:t>
      </w:r>
      <w:r w:rsidRPr="009A27ED">
        <w:rPr>
          <w:rFonts w:ascii="Times New Roman" w:eastAsia="Times New Roman" w:hAnsi="Times New Roman" w:cs="Calibri"/>
          <w:b/>
          <w:bCs/>
          <w:color w:val="222222"/>
          <w:sz w:val="24"/>
          <w:szCs w:val="22"/>
          <w:bdr w:val="none" w:sz="0" w:space="0" w:color="auto" w:frame="1"/>
          <w:lang w:eastAsia="es-MX"/>
        </w:rPr>
        <w:t>Oficina de Coordinación REDD+ ubicada en el Ministerio de Medio Ambiente y Recursos Naturales (mediante resolución No. 034-2019)</w:t>
      </w:r>
      <w:r w:rsidRPr="009A27ED">
        <w:rPr>
          <w:rFonts w:ascii="Times New Roman" w:eastAsia="Times New Roman" w:hAnsi="Times New Roman" w:cs="Calibri"/>
          <w:color w:val="000000"/>
          <w:sz w:val="24"/>
          <w:szCs w:val="22"/>
          <w:bdr w:val="none" w:sz="0" w:space="0" w:color="auto" w:frame="1"/>
          <w:lang w:eastAsia="es-MX"/>
        </w:rPr>
        <w:t xml:space="preserve">. La Oficina de Coordinación REDD+ emanada de esta resolución ministerial, estará funcionando bajo la supervisión de la Dirección de Cambio Climático del Viceministerio de Gestión Ambiental y en coordinación con el Viceministerio de Recursos Forestales, y será integrada por un equipo multidisciplinario con capacidades de coordinación y asesoría técnica y financiera, estará compuesta por una división administrativa y una división técnica; ambas divisiones asumirán responsabilidades operativas en la implementación de REDD+ de conformidad con los planes de trabajo acordados por el Comité Directivo. La Oficina de Coordinación REDD+ informará al Comité Directivo y será responsable de implementar las medidas necesarias para el cumplimiento de líneas de acción que conforman la Estrategia Nacional REDD +, el </w:t>
      </w:r>
      <w:r w:rsidR="00124B63" w:rsidRPr="009A27ED">
        <w:rPr>
          <w:rFonts w:ascii="Times New Roman" w:eastAsia="Times New Roman" w:hAnsi="Times New Roman" w:cs="Calibri"/>
          <w:color w:val="000000"/>
          <w:sz w:val="24"/>
          <w:szCs w:val="22"/>
          <w:bdr w:val="none" w:sz="0" w:space="0" w:color="auto" w:frame="1"/>
          <w:lang w:eastAsia="es-MX"/>
        </w:rPr>
        <w:t>Programa REDD+</w:t>
      </w:r>
      <w:r w:rsidRPr="009A27ED">
        <w:rPr>
          <w:rFonts w:ascii="Times New Roman" w:eastAsia="Times New Roman" w:hAnsi="Times New Roman" w:cs="Calibri"/>
          <w:color w:val="000000"/>
          <w:sz w:val="24"/>
          <w:szCs w:val="22"/>
          <w:bdr w:val="none" w:sz="0" w:space="0" w:color="auto" w:frame="1"/>
          <w:lang w:eastAsia="es-MX"/>
        </w:rPr>
        <w:t>, y el MGAS para temas de salvaguardas. La OCR estará conformada inicialmente por el siguiente personal:</w:t>
      </w:r>
      <w:r w:rsidR="00550DA0" w:rsidRPr="009A27ED">
        <w:rPr>
          <w:rFonts w:ascii="Times New Roman" w:eastAsia="Times New Roman" w:hAnsi="Times New Roman" w:cs="Calibri"/>
          <w:color w:val="000000"/>
          <w:sz w:val="24"/>
          <w:szCs w:val="22"/>
          <w:bdr w:val="none" w:sz="0" w:space="0" w:color="auto" w:frame="1"/>
          <w:lang w:eastAsia="es-MX"/>
        </w:rPr>
        <w:t xml:space="preserve"> </w:t>
      </w:r>
      <w:r w:rsidRPr="009A27ED">
        <w:rPr>
          <w:rFonts w:ascii="Times New Roman" w:eastAsia="Times New Roman" w:hAnsi="Times New Roman" w:cs="Calibri"/>
          <w:color w:val="000000"/>
          <w:sz w:val="24"/>
          <w:szCs w:val="22"/>
          <w:bdr w:val="none" w:sz="0" w:space="0" w:color="auto" w:frame="1"/>
          <w:lang w:val="es-MX" w:eastAsia="es-MX"/>
        </w:rPr>
        <w:t>1 coordinador, 1</w:t>
      </w:r>
      <w:r w:rsidR="00550DA0" w:rsidRPr="009A27ED">
        <w:rPr>
          <w:rFonts w:ascii="Times New Roman" w:eastAsia="Times New Roman" w:hAnsi="Times New Roman" w:cs="Calibri"/>
          <w:color w:val="000000"/>
          <w:sz w:val="24"/>
          <w:szCs w:val="22"/>
          <w:bdr w:val="none" w:sz="0" w:space="0" w:color="auto" w:frame="1"/>
          <w:lang w:val="es-MX" w:eastAsia="es-MX"/>
        </w:rPr>
        <w:t xml:space="preserve"> </w:t>
      </w:r>
      <w:r w:rsidRPr="009A27ED">
        <w:rPr>
          <w:rFonts w:ascii="Times New Roman" w:eastAsia="Times New Roman" w:hAnsi="Times New Roman" w:cs="Calibri"/>
          <w:color w:val="000000"/>
          <w:sz w:val="24"/>
          <w:szCs w:val="22"/>
          <w:bdr w:val="none" w:sz="0" w:space="0" w:color="auto" w:frame="1"/>
          <w:lang w:val="es-MX" w:eastAsia="es-MX"/>
        </w:rPr>
        <w:t>Encargado</w:t>
      </w:r>
      <w:r w:rsidR="00550DA0" w:rsidRPr="009A27ED">
        <w:rPr>
          <w:rFonts w:ascii="Times New Roman" w:eastAsia="Times New Roman" w:hAnsi="Times New Roman" w:cs="Calibri"/>
          <w:color w:val="000000"/>
          <w:sz w:val="24"/>
          <w:szCs w:val="22"/>
          <w:bdr w:val="none" w:sz="0" w:space="0" w:color="auto" w:frame="1"/>
          <w:lang w:val="es-MX" w:eastAsia="es-MX"/>
        </w:rPr>
        <w:t xml:space="preserve"> </w:t>
      </w:r>
      <w:r w:rsidRPr="009A27ED">
        <w:rPr>
          <w:rFonts w:ascii="Times New Roman" w:eastAsia="Times New Roman" w:hAnsi="Times New Roman" w:cs="Calibri"/>
          <w:color w:val="000000"/>
          <w:sz w:val="24"/>
          <w:szCs w:val="22"/>
          <w:bdr w:val="none" w:sz="0" w:space="0" w:color="auto" w:frame="1"/>
          <w:lang w:val="es-MX" w:eastAsia="es-MX"/>
        </w:rPr>
        <w:t xml:space="preserve">en Salvaguardas </w:t>
      </w:r>
      <w:r w:rsidR="00C75138" w:rsidRPr="009A27ED">
        <w:rPr>
          <w:rFonts w:ascii="Times New Roman" w:eastAsia="Times New Roman" w:hAnsi="Times New Roman" w:cs="Calibri"/>
          <w:color w:val="000000"/>
          <w:sz w:val="24"/>
          <w:szCs w:val="22"/>
          <w:bdr w:val="none" w:sz="0" w:space="0" w:color="auto" w:frame="1"/>
          <w:lang w:val="es-MX" w:eastAsia="es-MX"/>
        </w:rPr>
        <w:t>Sociales,</w:t>
      </w:r>
      <w:r w:rsidRPr="009A27ED">
        <w:rPr>
          <w:rFonts w:ascii="Times New Roman" w:eastAsia="Times New Roman" w:hAnsi="Times New Roman" w:cs="Calibri"/>
          <w:color w:val="000000"/>
          <w:sz w:val="24"/>
          <w:szCs w:val="22"/>
          <w:bdr w:val="none" w:sz="0" w:space="0" w:color="auto" w:frame="1"/>
          <w:lang w:val="es-MX" w:eastAsia="es-MX"/>
        </w:rPr>
        <w:t xml:space="preserve"> 1 Encargado en Salvaguardas Ambientales</w:t>
      </w:r>
      <w:r w:rsidR="00550DA0" w:rsidRPr="009A27ED">
        <w:rPr>
          <w:rFonts w:ascii="Times New Roman" w:eastAsia="Times New Roman" w:hAnsi="Times New Roman" w:cs="Calibri"/>
          <w:color w:val="000000"/>
          <w:sz w:val="24"/>
          <w:szCs w:val="22"/>
          <w:bdr w:val="none" w:sz="0" w:space="0" w:color="auto" w:frame="1"/>
          <w:lang w:val="es-MX" w:eastAsia="es-MX"/>
        </w:rPr>
        <w:t>,</w:t>
      </w:r>
      <w:r w:rsidRPr="009A27ED">
        <w:rPr>
          <w:rFonts w:ascii="Times New Roman" w:eastAsia="Times New Roman" w:hAnsi="Times New Roman" w:cs="Calibri"/>
          <w:color w:val="000000"/>
          <w:sz w:val="24"/>
          <w:szCs w:val="22"/>
          <w:bdr w:val="none" w:sz="0" w:space="0" w:color="auto" w:frame="1"/>
          <w:lang w:val="es-MX" w:eastAsia="es-MX"/>
        </w:rPr>
        <w:t xml:space="preserve"> 2 Técnicos de para </w:t>
      </w:r>
      <w:r w:rsidR="00C75138" w:rsidRPr="009A27ED">
        <w:rPr>
          <w:rFonts w:ascii="Times New Roman" w:eastAsia="Times New Roman" w:hAnsi="Times New Roman" w:cs="Calibri"/>
          <w:color w:val="000000"/>
          <w:sz w:val="24"/>
          <w:szCs w:val="22"/>
          <w:bdr w:val="none" w:sz="0" w:space="0" w:color="auto" w:frame="1"/>
          <w:lang w:val="es-MX" w:eastAsia="es-MX"/>
        </w:rPr>
        <w:t>coordinación</w:t>
      </w:r>
      <w:r w:rsidRPr="009A27ED">
        <w:rPr>
          <w:rFonts w:ascii="Times New Roman" w:eastAsia="Times New Roman" w:hAnsi="Times New Roman" w:cs="Calibri"/>
          <w:color w:val="000000"/>
          <w:sz w:val="24"/>
          <w:szCs w:val="22"/>
          <w:bdr w:val="none" w:sz="0" w:space="0" w:color="auto" w:frame="1"/>
          <w:lang w:val="es-MX" w:eastAsia="es-MX"/>
        </w:rPr>
        <w:t xml:space="preserve"> con las Entidades Ejecutoras, 1 Asistente Administrativo, 1 Chofer/Apoyo Logístico. </w:t>
      </w:r>
    </w:p>
    <w:p w14:paraId="0889455A" w14:textId="7857EE75" w:rsidR="00C90A9D" w:rsidRPr="009A27ED" w:rsidRDefault="00C90A9D" w:rsidP="00C90A9D">
      <w:pPr>
        <w:shd w:val="clear" w:color="auto" w:fill="FFFFFF"/>
        <w:spacing w:before="120" w:after="0" w:line="360" w:lineRule="auto"/>
        <w:rPr>
          <w:rFonts w:eastAsia="Times New Roman" w:cs="Calibri"/>
          <w:color w:val="000000"/>
          <w:sz w:val="27"/>
          <w:szCs w:val="27"/>
          <w:lang w:val="es-MX" w:eastAsia="es-MX"/>
        </w:rPr>
      </w:pPr>
      <w:r w:rsidRPr="009A27ED">
        <w:rPr>
          <w:rFonts w:ascii="Times New Roman" w:eastAsia="Times New Roman" w:hAnsi="Times New Roman" w:cs="Calibri"/>
          <w:color w:val="000000"/>
          <w:sz w:val="24"/>
          <w:szCs w:val="22"/>
          <w:bdr w:val="none" w:sz="0" w:space="0" w:color="auto" w:frame="1"/>
          <w:lang w:eastAsia="es-MX"/>
        </w:rPr>
        <w:t xml:space="preserve">Las funciones principales de esta </w:t>
      </w:r>
      <w:r w:rsidR="00C75138" w:rsidRPr="009A27ED">
        <w:rPr>
          <w:rFonts w:ascii="Times New Roman" w:eastAsia="Times New Roman" w:hAnsi="Times New Roman" w:cs="Calibri"/>
          <w:color w:val="000000"/>
          <w:sz w:val="24"/>
          <w:szCs w:val="22"/>
          <w:bdr w:val="none" w:sz="0" w:space="0" w:color="auto" w:frame="1"/>
          <w:lang w:eastAsia="es-MX"/>
        </w:rPr>
        <w:t>oficina incluyen</w:t>
      </w:r>
      <w:r w:rsidRPr="009A27ED">
        <w:rPr>
          <w:rFonts w:ascii="Times New Roman" w:eastAsia="Times New Roman" w:hAnsi="Times New Roman" w:cs="Calibri"/>
          <w:color w:val="000000"/>
          <w:sz w:val="24"/>
          <w:szCs w:val="22"/>
          <w:bdr w:val="none" w:sz="0" w:space="0" w:color="auto" w:frame="1"/>
          <w:lang w:eastAsia="es-MX"/>
        </w:rPr>
        <w:t xml:space="preserve"> la promoción y coordinación de políticas, planes, programas y proyectos sectoriales para implementación del </w:t>
      </w:r>
      <w:r w:rsidR="00124B63" w:rsidRPr="009A27ED">
        <w:rPr>
          <w:rFonts w:ascii="Times New Roman" w:eastAsia="Times New Roman" w:hAnsi="Times New Roman" w:cs="Calibri"/>
          <w:color w:val="000000"/>
          <w:sz w:val="24"/>
          <w:szCs w:val="22"/>
          <w:bdr w:val="none" w:sz="0" w:space="0" w:color="auto" w:frame="1"/>
          <w:lang w:eastAsia="es-MX"/>
        </w:rPr>
        <w:t>Programa REDD+</w:t>
      </w:r>
      <w:r w:rsidRPr="009A27ED">
        <w:rPr>
          <w:rFonts w:ascii="Times New Roman" w:eastAsia="Times New Roman" w:hAnsi="Times New Roman" w:cs="Calibri"/>
          <w:color w:val="000000"/>
          <w:sz w:val="24"/>
          <w:szCs w:val="22"/>
          <w:bdr w:val="none" w:sz="0" w:space="0" w:color="auto" w:frame="1"/>
          <w:lang w:eastAsia="es-MX"/>
        </w:rPr>
        <w:t>, así como los arreglos interinstitucionales necesarios para el logro de objetivos estratégicos del programa y cumplimiento de las salvaguardas ambientales y sociales. </w:t>
      </w:r>
    </w:p>
    <w:p w14:paraId="736A5E97" w14:textId="52BBC6D5" w:rsidR="003242B4" w:rsidRPr="009A27ED" w:rsidRDefault="00C90A9D" w:rsidP="00C90A9D">
      <w:pPr>
        <w:shd w:val="clear" w:color="auto" w:fill="FFFFFF"/>
        <w:spacing w:before="120" w:after="0" w:line="360" w:lineRule="auto"/>
        <w:rPr>
          <w:rFonts w:eastAsia="Times New Roman" w:cs="Calibri"/>
          <w:color w:val="000000"/>
          <w:szCs w:val="22"/>
          <w:bdr w:val="none" w:sz="0" w:space="0" w:color="auto" w:frame="1"/>
          <w:lang w:eastAsia="es-MX"/>
        </w:rPr>
      </w:pPr>
      <w:r w:rsidRPr="009A27ED">
        <w:rPr>
          <w:rFonts w:ascii="Times New Roman" w:eastAsia="Times New Roman" w:hAnsi="Times New Roman" w:cs="Calibri"/>
          <w:color w:val="000000"/>
          <w:sz w:val="24"/>
          <w:szCs w:val="22"/>
          <w:bdr w:val="none" w:sz="0" w:space="0" w:color="auto" w:frame="1"/>
          <w:lang w:eastAsia="es-MX"/>
        </w:rPr>
        <w:t xml:space="preserve">La OCR elaborará y gestionará los acuerdos interinstitucionales, brindará asesoría técnica sobre REDD+ a las Entidades Ejecutoras, y será responsable de elaborar procesos de captura de información de los </w:t>
      </w:r>
      <w:r w:rsidRPr="009A27ED">
        <w:rPr>
          <w:rFonts w:ascii="Times New Roman" w:eastAsia="Times New Roman" w:hAnsi="Times New Roman" w:cs="Calibri"/>
          <w:color w:val="000000"/>
          <w:sz w:val="24"/>
          <w:szCs w:val="22"/>
          <w:bdr w:val="none" w:sz="0" w:space="0" w:color="auto" w:frame="1"/>
          <w:lang w:eastAsia="es-MX"/>
        </w:rPr>
        <w:lastRenderedPageBreak/>
        <w:t>proyectos/programas para cumplimiento de metas REDD+. También, diseñar instrumentos y procedimientos que permitan a las Entidades Ejecutoras de proyectos y programas implementar las actividades y dar cumplimiento a la mitigación de posibles riesgos ambientales y sociales y del cumplimiento de las salvaguardas identificadas.</w:t>
      </w:r>
    </w:p>
    <w:p w14:paraId="5F467172" w14:textId="0CE8DB6A" w:rsidR="00C90A9D" w:rsidRPr="009A27ED" w:rsidRDefault="00C90A9D" w:rsidP="00C90A9D">
      <w:pPr>
        <w:shd w:val="clear" w:color="auto" w:fill="FFFFFF"/>
        <w:spacing w:before="120" w:after="0" w:line="360" w:lineRule="auto"/>
        <w:rPr>
          <w:rFonts w:eastAsia="Times New Roman" w:cs="Calibri"/>
          <w:color w:val="000000"/>
          <w:szCs w:val="22"/>
          <w:lang w:val="es-MX" w:eastAsia="es-MX"/>
        </w:rPr>
      </w:pPr>
      <w:r w:rsidRPr="009A27ED">
        <w:rPr>
          <w:rFonts w:ascii="Times New Roman" w:eastAsia="Times New Roman" w:hAnsi="Times New Roman" w:cs="Calibri"/>
          <w:color w:val="000000"/>
          <w:sz w:val="24"/>
          <w:szCs w:val="22"/>
          <w:bdr w:val="none" w:sz="0" w:space="0" w:color="auto" w:frame="1"/>
          <w:lang w:eastAsia="es-MX"/>
        </w:rPr>
        <w:t xml:space="preserve">El esquema visual de esta conformación se presenta a continuación en el esquema </w:t>
      </w:r>
      <w:r w:rsidR="00171A32" w:rsidRPr="009A27ED">
        <w:rPr>
          <w:rFonts w:ascii="Times New Roman" w:eastAsia="Times New Roman" w:hAnsi="Times New Roman" w:cs="Calibri"/>
          <w:color w:val="000000"/>
          <w:sz w:val="24"/>
          <w:szCs w:val="22"/>
          <w:bdr w:val="none" w:sz="0" w:space="0" w:color="auto" w:frame="1"/>
          <w:lang w:eastAsia="es-MX"/>
        </w:rPr>
        <w:t>02</w:t>
      </w:r>
    </w:p>
    <w:p w14:paraId="4A5B6861" w14:textId="08C7BC83" w:rsidR="00FC4749" w:rsidRPr="009A27ED" w:rsidRDefault="00FC4749" w:rsidP="00FC4749">
      <w:pPr>
        <w:pStyle w:val="Prrafodelista"/>
        <w:spacing w:after="0" w:line="360" w:lineRule="auto"/>
        <w:rPr>
          <w:szCs w:val="22"/>
        </w:rPr>
      </w:pPr>
    </w:p>
    <w:p w14:paraId="61B8A30C" w14:textId="77777777" w:rsidR="001768FA" w:rsidRPr="009A27ED" w:rsidRDefault="00171A32" w:rsidP="001768FA">
      <w:pPr>
        <w:pStyle w:val="Prrafodelista"/>
        <w:keepNext/>
        <w:spacing w:after="0" w:line="360" w:lineRule="auto"/>
      </w:pPr>
      <w:r w:rsidRPr="009A27ED">
        <w:rPr>
          <w:rFonts w:ascii="Times New Roman" w:eastAsia="Times New Roman" w:hAnsi="Times New Roman"/>
          <w:noProof/>
          <w:sz w:val="24"/>
          <w:szCs w:val="22"/>
          <w:lang w:val="en-US"/>
        </w:rPr>
        <w:drawing>
          <wp:inline distT="0" distB="0" distL="0" distR="0" wp14:anchorId="52806338" wp14:editId="12335538">
            <wp:extent cx="5587068" cy="45347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5593050" cy="4539606"/>
                    </a:xfrm>
                    <a:prstGeom prst="rect">
                      <a:avLst/>
                    </a:prstGeom>
                  </pic:spPr>
                </pic:pic>
              </a:graphicData>
            </a:graphic>
          </wp:inline>
        </w:drawing>
      </w:r>
    </w:p>
    <w:p w14:paraId="7197ACFA" w14:textId="19C41C6A" w:rsidR="003242B4" w:rsidRPr="009A27ED" w:rsidRDefault="001768FA" w:rsidP="001768FA">
      <w:pPr>
        <w:pStyle w:val="Descripcin"/>
        <w:spacing w:line="360" w:lineRule="auto"/>
        <w:rPr>
          <w:szCs w:val="22"/>
        </w:rPr>
      </w:pPr>
      <w:bookmarkStart w:id="244" w:name="_Toc111889891"/>
      <w:r w:rsidRPr="009A27ED">
        <w:rPr>
          <w:rFonts w:ascii="Times New Roman" w:eastAsia="Times New Roman" w:hAnsi="Times New Roman"/>
          <w:sz w:val="24"/>
        </w:rPr>
        <w:t xml:space="preserve">Esquema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Esquema_ \* ARABIC </w:instrText>
      </w:r>
      <w:r w:rsidRPr="009A27ED">
        <w:rPr>
          <w:rFonts w:ascii="Times New Roman" w:eastAsia="Times New Roman" w:hAnsi="Times New Roman"/>
          <w:sz w:val="24"/>
        </w:rPr>
        <w:fldChar w:fldCharType="separate"/>
      </w:r>
      <w:r w:rsidR="00703EB9" w:rsidRPr="009A27ED">
        <w:rPr>
          <w:rFonts w:ascii="Times New Roman" w:eastAsia="Times New Roman" w:hAnsi="Times New Roman"/>
          <w:noProof/>
          <w:sz w:val="24"/>
        </w:rPr>
        <w:t>3</w:t>
      </w:r>
      <w:r w:rsidRPr="009A27ED">
        <w:rPr>
          <w:rFonts w:ascii="Times New Roman" w:eastAsia="Times New Roman" w:hAnsi="Times New Roman"/>
          <w:sz w:val="24"/>
        </w:rPr>
        <w:fldChar w:fldCharType="end"/>
      </w:r>
      <w:r w:rsidRPr="009A27ED">
        <w:rPr>
          <w:rFonts w:ascii="Times New Roman" w:eastAsia="Times New Roman" w:hAnsi="Times New Roman"/>
          <w:sz w:val="24"/>
        </w:rPr>
        <w:t>. Coordinación de la OCR con las Entidades Ejecutoras</w:t>
      </w:r>
      <w:bookmarkEnd w:id="244"/>
    </w:p>
    <w:p w14:paraId="49ACD544" w14:textId="77777777" w:rsidR="00171A32" w:rsidRPr="009A27ED" w:rsidRDefault="00171A32" w:rsidP="005B6485">
      <w:pPr>
        <w:spacing w:before="120" w:after="0" w:line="360" w:lineRule="auto"/>
        <w:rPr>
          <w:szCs w:val="22"/>
        </w:rPr>
      </w:pPr>
    </w:p>
    <w:p w14:paraId="4264B291" w14:textId="067E5DC2" w:rsidR="001412DC" w:rsidRPr="009A27ED" w:rsidRDefault="001412DC" w:rsidP="005B6485">
      <w:pPr>
        <w:spacing w:before="120" w:after="0" w:line="360" w:lineRule="auto"/>
        <w:rPr>
          <w:szCs w:val="22"/>
        </w:rPr>
      </w:pPr>
      <w:r w:rsidRPr="009A27ED">
        <w:rPr>
          <w:rFonts w:ascii="Times New Roman" w:eastAsia="Times New Roman" w:hAnsi="Times New Roman"/>
          <w:sz w:val="24"/>
          <w:szCs w:val="22"/>
        </w:rPr>
        <w:t xml:space="preserve">Las </w:t>
      </w:r>
      <w:r w:rsidRPr="009A27ED">
        <w:rPr>
          <w:rFonts w:ascii="Times New Roman" w:eastAsia="Times New Roman" w:hAnsi="Times New Roman"/>
          <w:b/>
          <w:sz w:val="24"/>
          <w:szCs w:val="22"/>
        </w:rPr>
        <w:t>Entidades Ejecutoras de Proyectos/Programas</w:t>
      </w:r>
      <w:r w:rsidRPr="009A27ED">
        <w:rPr>
          <w:rFonts w:ascii="Times New Roman" w:eastAsia="Times New Roman" w:hAnsi="Times New Roman"/>
          <w:sz w:val="24"/>
          <w:szCs w:val="22"/>
        </w:rPr>
        <w:t xml:space="preserve">, son instituciones gubernamentales y no gubernamentales que están aplicando iniciativas en el corto y mediano plazo en diferentes zonas del país, con las que el Ministerio de Medio Ambiente y Recursos Naturales, a través de la Unidad Técnica de Gestión del proyecto REDD+, ha desarrollado </w:t>
      </w:r>
      <w:r w:rsidR="00160706" w:rsidRPr="009A27ED">
        <w:rPr>
          <w:rFonts w:ascii="Times New Roman" w:eastAsia="Times New Roman" w:hAnsi="Times New Roman"/>
          <w:sz w:val="24"/>
          <w:szCs w:val="22"/>
        </w:rPr>
        <w:t xml:space="preserve">un proceso de acercamiento, </w:t>
      </w:r>
      <w:r w:rsidR="00801083" w:rsidRPr="009A27ED">
        <w:rPr>
          <w:rFonts w:ascii="Times New Roman" w:eastAsia="Times New Roman" w:hAnsi="Times New Roman"/>
          <w:sz w:val="24"/>
          <w:szCs w:val="22"/>
        </w:rPr>
        <w:t>creación</w:t>
      </w:r>
      <w:r w:rsidR="00160706" w:rsidRPr="009A27ED">
        <w:rPr>
          <w:rFonts w:ascii="Times New Roman" w:eastAsia="Times New Roman" w:hAnsi="Times New Roman"/>
          <w:sz w:val="24"/>
          <w:szCs w:val="22"/>
        </w:rPr>
        <w:t xml:space="preserve"> de confianza, capacitación </w:t>
      </w:r>
      <w:r w:rsidRPr="009A27ED">
        <w:rPr>
          <w:rFonts w:ascii="Times New Roman" w:eastAsia="Times New Roman" w:hAnsi="Times New Roman"/>
          <w:sz w:val="24"/>
          <w:szCs w:val="22"/>
        </w:rPr>
        <w:t xml:space="preserve">y sensibilización sobre REDD+, </w:t>
      </w:r>
      <w:r w:rsidR="00160706" w:rsidRPr="009A27ED">
        <w:rPr>
          <w:rFonts w:ascii="Times New Roman" w:eastAsia="Times New Roman" w:hAnsi="Times New Roman"/>
          <w:sz w:val="24"/>
          <w:szCs w:val="22"/>
        </w:rPr>
        <w:t>se realizó</w:t>
      </w:r>
      <w:r w:rsidRPr="009A27ED">
        <w:rPr>
          <w:rFonts w:ascii="Times New Roman" w:eastAsia="Times New Roman" w:hAnsi="Times New Roman"/>
          <w:sz w:val="24"/>
          <w:szCs w:val="22"/>
        </w:rPr>
        <w:t xml:space="preserve"> un diagnóstico de capacidades, instrumentos y </w:t>
      </w:r>
      <w:r w:rsidRPr="009A27ED">
        <w:rPr>
          <w:rFonts w:ascii="Times New Roman" w:eastAsia="Times New Roman" w:hAnsi="Times New Roman"/>
          <w:sz w:val="24"/>
          <w:szCs w:val="22"/>
        </w:rPr>
        <w:lastRenderedPageBreak/>
        <w:t xml:space="preserve">necesidades de fortalecimiento de las mismas con la finalidad de establecer acuerdos interinstitucionales que permitan al Estado </w:t>
      </w:r>
      <w:r w:rsidR="00160706" w:rsidRPr="009A27ED">
        <w:rPr>
          <w:rFonts w:ascii="Times New Roman" w:eastAsia="Times New Roman" w:hAnsi="Times New Roman"/>
          <w:sz w:val="24"/>
          <w:szCs w:val="22"/>
        </w:rPr>
        <w:t>d</w:t>
      </w:r>
      <w:r w:rsidRPr="009A27ED">
        <w:rPr>
          <w:rFonts w:ascii="Times New Roman" w:eastAsia="Times New Roman" w:hAnsi="Times New Roman"/>
          <w:sz w:val="24"/>
          <w:szCs w:val="22"/>
        </w:rPr>
        <w:t>ominicano dar continuidad a procesos ya encaminados, complementarlos, sin duplicar recursos económicos, tiempos y procesos que se orientan a un mismo fin.</w:t>
      </w:r>
    </w:p>
    <w:p w14:paraId="2C232BDC" w14:textId="5DC1EA09" w:rsidR="001412DC" w:rsidRPr="009A27ED" w:rsidRDefault="001412DC" w:rsidP="005B6485">
      <w:pPr>
        <w:spacing w:before="120" w:after="0" w:line="360" w:lineRule="auto"/>
        <w:rPr>
          <w:szCs w:val="22"/>
        </w:rPr>
      </w:pPr>
      <w:r w:rsidRPr="009A27ED">
        <w:rPr>
          <w:rFonts w:ascii="Times New Roman" w:eastAsia="Times New Roman" w:hAnsi="Times New Roman"/>
          <w:color w:val="000000" w:themeColor="text1"/>
          <w:sz w:val="24"/>
          <w:szCs w:val="22"/>
        </w:rPr>
        <w:t xml:space="preserve">Dado que no se espera elaborar nuevos proyectos, el personal técnico y tomador de decisiones vinculado a los proyectos y programas existentes seleccionados, serán los responsables de poner en marcha los instrumentos de salvaguardas a nivel de </w:t>
      </w:r>
      <w:r w:rsidR="00160706" w:rsidRPr="009A27ED">
        <w:rPr>
          <w:rFonts w:ascii="Times New Roman" w:eastAsia="Times New Roman" w:hAnsi="Times New Roman"/>
          <w:color w:val="000000" w:themeColor="text1"/>
          <w:sz w:val="24"/>
          <w:szCs w:val="22"/>
        </w:rPr>
        <w:t xml:space="preserve">plan, sistema, programa o </w:t>
      </w:r>
      <w:r w:rsidRPr="009A27ED">
        <w:rPr>
          <w:rFonts w:ascii="Times New Roman" w:eastAsia="Times New Roman" w:hAnsi="Times New Roman"/>
          <w:color w:val="000000" w:themeColor="text1"/>
          <w:sz w:val="24"/>
          <w:szCs w:val="22"/>
        </w:rPr>
        <w:t>proyecto. Con las e</w:t>
      </w:r>
      <w:r w:rsidRPr="009A27ED">
        <w:rPr>
          <w:rFonts w:ascii="Times New Roman" w:eastAsia="Times New Roman" w:hAnsi="Times New Roman"/>
          <w:sz w:val="24"/>
          <w:szCs w:val="22"/>
        </w:rPr>
        <w:t xml:space="preserve">ntidades ejecutoras de proyectos la OCR elaborará </w:t>
      </w:r>
      <w:r w:rsidRPr="009A27ED">
        <w:rPr>
          <w:rFonts w:ascii="Times New Roman" w:eastAsia="Times New Roman" w:hAnsi="Times New Roman"/>
          <w:color w:val="000000" w:themeColor="text1"/>
          <w:sz w:val="24"/>
          <w:szCs w:val="22"/>
        </w:rPr>
        <w:t xml:space="preserve">acuerdos interinstitucionales (aun no elaborados), a fin de definir las obligaciones y los procedimientos requeridos para cumplir con las salvaguardas REDD+ y las medidas de mitigación incluidas en el MGAS y los Planes de Manejo Ambiental y Social que se </w:t>
      </w:r>
      <w:r w:rsidR="00AF500E" w:rsidRPr="009A27ED">
        <w:rPr>
          <w:rFonts w:ascii="Times New Roman" w:eastAsia="Times New Roman" w:hAnsi="Times New Roman"/>
          <w:color w:val="000000" w:themeColor="text1"/>
          <w:sz w:val="24"/>
          <w:szCs w:val="22"/>
        </w:rPr>
        <w:t>elaboraron</w:t>
      </w:r>
      <w:r w:rsidRPr="009A27ED">
        <w:rPr>
          <w:rFonts w:ascii="Times New Roman" w:eastAsia="Times New Roman" w:hAnsi="Times New Roman"/>
          <w:color w:val="000000" w:themeColor="text1"/>
          <w:sz w:val="24"/>
          <w:szCs w:val="22"/>
        </w:rPr>
        <w:t xml:space="preserve"> para las </w:t>
      </w:r>
      <w:r w:rsidR="00DB3A4C" w:rsidRPr="009A27ED">
        <w:rPr>
          <w:rFonts w:ascii="Times New Roman" w:eastAsia="Times New Roman" w:hAnsi="Times New Roman"/>
          <w:color w:val="000000" w:themeColor="text1"/>
          <w:sz w:val="24"/>
          <w:szCs w:val="22"/>
        </w:rPr>
        <w:t xml:space="preserve">cinco </w:t>
      </w:r>
      <w:r w:rsidRPr="009A27ED">
        <w:rPr>
          <w:rFonts w:ascii="Times New Roman" w:eastAsia="Times New Roman" w:hAnsi="Times New Roman"/>
          <w:color w:val="000000" w:themeColor="text1"/>
          <w:sz w:val="24"/>
          <w:szCs w:val="22"/>
        </w:rPr>
        <w:t xml:space="preserve">áreas priorizadas. </w:t>
      </w:r>
    </w:p>
    <w:bookmarkEnd w:id="243"/>
    <w:p w14:paraId="3456BED0" w14:textId="77777777" w:rsidR="00947670" w:rsidRPr="009A27ED" w:rsidRDefault="00947670" w:rsidP="005B6485">
      <w:pPr>
        <w:spacing w:before="120" w:after="0" w:line="360" w:lineRule="auto"/>
        <w:rPr>
          <w:b/>
          <w:color w:val="000000" w:themeColor="text1"/>
          <w:szCs w:val="22"/>
          <w:u w:val="single"/>
        </w:rPr>
      </w:pPr>
    </w:p>
    <w:p w14:paraId="242F5EC0" w14:textId="77777777" w:rsidR="001768FA" w:rsidRPr="009A27ED" w:rsidRDefault="00947670" w:rsidP="001768FA">
      <w:pPr>
        <w:keepNext/>
        <w:spacing w:line="360" w:lineRule="auto"/>
      </w:pPr>
      <w:r w:rsidRPr="009A27ED">
        <w:rPr>
          <w:rFonts w:ascii="Times New Roman" w:eastAsia="Times New Roman" w:hAnsi="Times New Roman"/>
          <w:noProof/>
          <w:sz w:val="24"/>
          <w:szCs w:val="22"/>
          <w:lang w:val="en-US"/>
        </w:rPr>
        <w:drawing>
          <wp:inline distT="0" distB="0" distL="0" distR="0" wp14:anchorId="79980D15" wp14:editId="76D6EC26">
            <wp:extent cx="5219700" cy="2755900"/>
            <wp:effectExtent l="0" t="0" r="57150" b="25400"/>
            <wp:docPr id="9" name="Diagrama 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2" r:lo="rId53" r:qs="rId54" r:cs="rId55"/>
              </a:graphicData>
            </a:graphic>
          </wp:inline>
        </w:drawing>
      </w:r>
    </w:p>
    <w:p w14:paraId="7BDB8DAF" w14:textId="74ED4B9A" w:rsidR="00BD289F" w:rsidRPr="009A27ED" w:rsidRDefault="001768FA" w:rsidP="001768FA">
      <w:pPr>
        <w:pStyle w:val="Descripcin"/>
        <w:spacing w:line="360" w:lineRule="auto"/>
      </w:pPr>
      <w:bookmarkStart w:id="245" w:name="_Toc111889892"/>
      <w:r w:rsidRPr="009A27ED">
        <w:rPr>
          <w:rFonts w:ascii="Times New Roman" w:eastAsia="Times New Roman" w:hAnsi="Times New Roman"/>
          <w:sz w:val="24"/>
        </w:rPr>
        <w:t xml:space="preserve">Esquema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Esquema_ \* ARABIC </w:instrText>
      </w:r>
      <w:r w:rsidRPr="009A27ED">
        <w:rPr>
          <w:rFonts w:ascii="Times New Roman" w:eastAsia="Times New Roman" w:hAnsi="Times New Roman"/>
          <w:sz w:val="24"/>
        </w:rPr>
        <w:fldChar w:fldCharType="separate"/>
      </w:r>
      <w:r w:rsidR="00703EB9" w:rsidRPr="009A27ED">
        <w:rPr>
          <w:rFonts w:ascii="Times New Roman" w:eastAsia="Times New Roman" w:hAnsi="Times New Roman"/>
          <w:noProof/>
          <w:sz w:val="24"/>
        </w:rPr>
        <w:t>4</w:t>
      </w:r>
      <w:r w:rsidRPr="009A27ED">
        <w:rPr>
          <w:rFonts w:ascii="Times New Roman" w:eastAsia="Times New Roman" w:hAnsi="Times New Roman"/>
          <w:sz w:val="24"/>
        </w:rPr>
        <w:fldChar w:fldCharType="end"/>
      </w:r>
      <w:proofErr w:type="gramStart"/>
      <w:r w:rsidRPr="009A27ED">
        <w:rPr>
          <w:rFonts w:ascii="Times New Roman" w:eastAsia="Times New Roman" w:hAnsi="Times New Roman"/>
          <w:sz w:val="24"/>
        </w:rPr>
        <w:t>. .</w:t>
      </w:r>
      <w:proofErr w:type="gramEnd"/>
      <w:r w:rsidRPr="009A27ED">
        <w:rPr>
          <w:rFonts w:ascii="Times New Roman" w:eastAsia="Times New Roman" w:hAnsi="Times New Roman"/>
          <w:sz w:val="24"/>
        </w:rPr>
        <w:t xml:space="preserve"> Instituciones claves para la implementación del MGAS</w:t>
      </w:r>
      <w:bookmarkEnd w:id="245"/>
    </w:p>
    <w:p w14:paraId="4B074EF3" w14:textId="77777777" w:rsidR="001768FA" w:rsidRPr="009A27ED" w:rsidRDefault="001768FA" w:rsidP="0007781E">
      <w:pPr>
        <w:pStyle w:val="Descripcin"/>
        <w:keepNext/>
        <w:spacing w:line="360" w:lineRule="auto"/>
      </w:pPr>
      <w:bookmarkStart w:id="246" w:name="_Toc111887452"/>
    </w:p>
    <w:p w14:paraId="595351E9" w14:textId="7662E565" w:rsidR="0007781E" w:rsidRPr="009A27ED" w:rsidRDefault="0007781E" w:rsidP="0007781E">
      <w:pPr>
        <w:pStyle w:val="Descripcin"/>
        <w:keepNext/>
        <w:spacing w:line="360" w:lineRule="auto"/>
      </w:pPr>
      <w:r w:rsidRPr="009A27ED">
        <w:rPr>
          <w:rFonts w:ascii="Times New Roman" w:eastAsia="Times New Roman" w:hAnsi="Times New Roman"/>
          <w:sz w:val="24"/>
        </w:rPr>
        <w:t xml:space="preserve">Cuadro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Cuadro \* ARABIC </w:instrText>
      </w:r>
      <w:r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42</w:t>
      </w:r>
      <w:r w:rsidRPr="009A27ED">
        <w:rPr>
          <w:rFonts w:ascii="Times New Roman" w:eastAsia="Times New Roman" w:hAnsi="Times New Roman"/>
          <w:sz w:val="24"/>
        </w:rPr>
        <w:fldChar w:fldCharType="end"/>
      </w:r>
      <w:r w:rsidRPr="009A27ED">
        <w:rPr>
          <w:rFonts w:ascii="Times New Roman" w:eastAsia="Times New Roman" w:hAnsi="Times New Roman"/>
          <w:sz w:val="24"/>
        </w:rPr>
        <w:t>. Instituciones y roles para la implementación del MGAS</w:t>
      </w:r>
      <w:bookmarkEnd w:id="246"/>
    </w:p>
    <w:tbl>
      <w:tblPr>
        <w:tblStyle w:val="GridTable1Light-Accent11"/>
        <w:tblW w:w="9100" w:type="dxa"/>
        <w:tblLook w:val="04A0" w:firstRow="1" w:lastRow="0" w:firstColumn="1" w:lastColumn="0" w:noHBand="0" w:noVBand="1"/>
      </w:tblPr>
      <w:tblGrid>
        <w:gridCol w:w="2163"/>
        <w:gridCol w:w="6937"/>
      </w:tblGrid>
      <w:tr w:rsidR="00DB3A4C" w:rsidRPr="009A27ED" w14:paraId="6ADFDF7B" w14:textId="77777777" w:rsidTr="00910AB9">
        <w:trPr>
          <w:cnfStyle w:val="100000000000" w:firstRow="1" w:lastRow="0" w:firstColumn="0" w:lastColumn="0" w:oddVBand="0" w:evenVBand="0" w:oddHBand="0" w:evenHBand="0" w:firstRowFirstColumn="0" w:firstRowLastColumn="0" w:lastRowFirstColumn="0" w:lastRowLastColumn="0"/>
          <w:trHeight w:val="141"/>
        </w:trPr>
        <w:tc>
          <w:tcPr>
            <w:cnfStyle w:val="001000000000" w:firstRow="0" w:lastRow="0" w:firstColumn="1" w:lastColumn="0" w:oddVBand="0" w:evenVBand="0" w:oddHBand="0" w:evenHBand="0" w:firstRowFirstColumn="0" w:firstRowLastColumn="0" w:lastRowFirstColumn="0" w:lastRowLastColumn="0"/>
            <w:tcW w:w="2163" w:type="dxa"/>
            <w:shd w:val="clear" w:color="auto" w:fill="0070C0"/>
          </w:tcPr>
          <w:p w14:paraId="0F9F3DD8" w14:textId="77777777" w:rsidR="00DB3A4C" w:rsidRPr="009A27ED" w:rsidRDefault="00DB3A4C" w:rsidP="00910AB9">
            <w:pPr>
              <w:jc w:val="center"/>
              <w:rPr>
                <w:rFonts w:cstheme="majorHAnsi"/>
                <w:b w:val="0"/>
                <w:bCs w:val="0"/>
                <w:color w:val="FFFFFF" w:themeColor="background1"/>
                <w:sz w:val="20"/>
                <w:szCs w:val="20"/>
              </w:rPr>
            </w:pPr>
            <w:r w:rsidRPr="009A27ED">
              <w:rPr>
                <w:rFonts w:cstheme="majorHAnsi"/>
                <w:color w:val="FFFFFF" w:themeColor="background1"/>
                <w:sz w:val="20"/>
                <w:szCs w:val="20"/>
              </w:rPr>
              <w:t>Entidad</w:t>
            </w:r>
          </w:p>
          <w:p w14:paraId="6B144C67" w14:textId="77777777" w:rsidR="00DB3A4C" w:rsidRPr="009A27ED" w:rsidRDefault="00DB3A4C" w:rsidP="00910AB9">
            <w:pPr>
              <w:jc w:val="center"/>
              <w:rPr>
                <w:rFonts w:cstheme="majorHAnsi"/>
                <w:color w:val="FFFFFF" w:themeColor="background1"/>
                <w:sz w:val="20"/>
                <w:szCs w:val="20"/>
              </w:rPr>
            </w:pPr>
          </w:p>
        </w:tc>
        <w:tc>
          <w:tcPr>
            <w:tcW w:w="6937" w:type="dxa"/>
            <w:shd w:val="clear" w:color="auto" w:fill="0070C0"/>
          </w:tcPr>
          <w:p w14:paraId="04C3E975" w14:textId="77777777" w:rsidR="00DB3A4C" w:rsidRPr="009A27ED" w:rsidRDefault="00DB3A4C" w:rsidP="00910AB9">
            <w:pPr>
              <w:jc w:val="center"/>
              <w:cnfStyle w:val="100000000000" w:firstRow="1" w:lastRow="0" w:firstColumn="0" w:lastColumn="0" w:oddVBand="0" w:evenVBand="0" w:oddHBand="0" w:evenHBand="0" w:firstRowFirstColumn="0" w:firstRowLastColumn="0" w:lastRowFirstColumn="0" w:lastRowLastColumn="0"/>
              <w:rPr>
                <w:rFonts w:cstheme="majorHAnsi"/>
                <w:b w:val="0"/>
                <w:bCs w:val="0"/>
                <w:color w:val="FFFFFF" w:themeColor="background1"/>
                <w:sz w:val="20"/>
                <w:szCs w:val="20"/>
              </w:rPr>
            </w:pPr>
            <w:r w:rsidRPr="009A27ED">
              <w:rPr>
                <w:rFonts w:cstheme="majorHAnsi"/>
                <w:color w:val="FFFFFF" w:themeColor="background1"/>
                <w:sz w:val="20"/>
                <w:szCs w:val="20"/>
              </w:rPr>
              <w:t>Rol</w:t>
            </w:r>
          </w:p>
        </w:tc>
      </w:tr>
      <w:tr w:rsidR="00DB3A4C" w:rsidRPr="009A27ED" w14:paraId="58859C68" w14:textId="77777777" w:rsidTr="00910AB9">
        <w:trPr>
          <w:trHeight w:val="141"/>
        </w:trPr>
        <w:tc>
          <w:tcPr>
            <w:cnfStyle w:val="001000000000" w:firstRow="0" w:lastRow="0" w:firstColumn="1" w:lastColumn="0" w:oddVBand="0" w:evenVBand="0" w:oddHBand="0" w:evenHBand="0" w:firstRowFirstColumn="0" w:firstRowLastColumn="0" w:lastRowFirstColumn="0" w:lastRowLastColumn="0"/>
            <w:tcW w:w="2163" w:type="dxa"/>
          </w:tcPr>
          <w:p w14:paraId="298D5172" w14:textId="77777777" w:rsidR="00DB3A4C" w:rsidRPr="009A27ED" w:rsidRDefault="00DB3A4C" w:rsidP="00910AB9">
            <w:pPr>
              <w:rPr>
                <w:rFonts w:cstheme="majorHAnsi"/>
                <w:color w:val="000000" w:themeColor="text1"/>
                <w:sz w:val="20"/>
                <w:szCs w:val="20"/>
              </w:rPr>
            </w:pPr>
            <w:r w:rsidRPr="009A27ED">
              <w:rPr>
                <w:rFonts w:cstheme="majorHAnsi"/>
                <w:color w:val="000000" w:themeColor="text1"/>
                <w:sz w:val="20"/>
                <w:szCs w:val="20"/>
              </w:rPr>
              <w:t>Comité directivo de REDD+</w:t>
            </w:r>
          </w:p>
        </w:tc>
        <w:tc>
          <w:tcPr>
            <w:tcW w:w="6937" w:type="dxa"/>
          </w:tcPr>
          <w:p w14:paraId="2D7A3B49" w14:textId="77777777" w:rsidR="00DB3A4C" w:rsidRPr="009A27ED" w:rsidRDefault="00DB3A4C" w:rsidP="00D42802">
            <w:pPr>
              <w:pStyle w:val="Apunteoticket"/>
              <w:numPr>
                <w:ilvl w:val="0"/>
                <w:numId w:val="64"/>
              </w:numPr>
              <w:cnfStyle w:val="000000000000" w:firstRow="0" w:lastRow="0" w:firstColumn="0" w:lastColumn="0" w:oddVBand="0" w:evenVBand="0" w:oddHBand="0" w:evenHBand="0" w:firstRowFirstColumn="0" w:firstRowLastColumn="0" w:lastRowFirstColumn="0" w:lastRowLastColumn="0"/>
              <w:rPr>
                <w:rFonts w:cstheme="majorHAnsi"/>
                <w:sz w:val="20"/>
                <w:szCs w:val="20"/>
              </w:rPr>
            </w:pPr>
            <w:r w:rsidRPr="009A27ED">
              <w:rPr>
                <w:rFonts w:cstheme="majorHAnsi"/>
                <w:sz w:val="20"/>
                <w:szCs w:val="20"/>
              </w:rPr>
              <w:t xml:space="preserve">Dirección política superior </w:t>
            </w:r>
          </w:p>
          <w:p w14:paraId="45413430" w14:textId="77777777" w:rsidR="00DB3A4C" w:rsidRPr="009A27ED" w:rsidRDefault="00DB3A4C" w:rsidP="00D42802">
            <w:pPr>
              <w:pStyle w:val="Apunteoticket"/>
              <w:numPr>
                <w:ilvl w:val="0"/>
                <w:numId w:val="64"/>
              </w:numPr>
              <w:cnfStyle w:val="000000000000" w:firstRow="0" w:lastRow="0" w:firstColumn="0" w:lastColumn="0" w:oddVBand="0" w:evenVBand="0" w:oddHBand="0" w:evenHBand="0" w:firstRowFirstColumn="0" w:firstRowLastColumn="0" w:lastRowFirstColumn="0" w:lastRowLastColumn="0"/>
              <w:rPr>
                <w:rFonts w:cstheme="majorHAnsi"/>
                <w:sz w:val="20"/>
                <w:szCs w:val="20"/>
              </w:rPr>
            </w:pPr>
            <w:r w:rsidRPr="009A27ED">
              <w:rPr>
                <w:rFonts w:cstheme="majorHAnsi"/>
                <w:color w:val="1D1D1D"/>
                <w:sz w:val="20"/>
                <w:szCs w:val="20"/>
              </w:rPr>
              <w:t>Garantizar consistencia con los objetivos y acciones estratégicas de la EN-REDD+.</w:t>
            </w:r>
          </w:p>
          <w:p w14:paraId="717BF904" w14:textId="38301D73" w:rsidR="00DB3A4C" w:rsidRPr="009A27ED" w:rsidRDefault="00DB3A4C" w:rsidP="00D42802">
            <w:pPr>
              <w:pStyle w:val="Apunteoticket"/>
              <w:numPr>
                <w:ilvl w:val="0"/>
                <w:numId w:val="64"/>
              </w:numPr>
              <w:cnfStyle w:val="000000000000" w:firstRow="0" w:lastRow="0" w:firstColumn="0" w:lastColumn="0" w:oddVBand="0" w:evenVBand="0" w:oddHBand="0" w:evenHBand="0" w:firstRowFirstColumn="0" w:firstRowLastColumn="0" w:lastRowFirstColumn="0" w:lastRowLastColumn="0"/>
              <w:rPr>
                <w:rFonts w:cstheme="majorHAnsi"/>
                <w:sz w:val="20"/>
                <w:szCs w:val="20"/>
              </w:rPr>
            </w:pPr>
            <w:r w:rsidRPr="009A27ED">
              <w:rPr>
                <w:rFonts w:cstheme="majorHAnsi"/>
                <w:color w:val="000000" w:themeColor="text1"/>
                <w:sz w:val="20"/>
                <w:szCs w:val="20"/>
              </w:rPr>
              <w:lastRenderedPageBreak/>
              <w:t xml:space="preserve">Garantizar los procesos políticos e institucionales nacionales para aplicación y cumplimiento de los objetivos del </w:t>
            </w:r>
            <w:r w:rsidR="00124B63" w:rsidRPr="009A27ED">
              <w:rPr>
                <w:rFonts w:cstheme="majorHAnsi"/>
                <w:color w:val="000000" w:themeColor="text1"/>
                <w:sz w:val="20"/>
                <w:szCs w:val="20"/>
              </w:rPr>
              <w:t>Programa REDD+</w:t>
            </w:r>
            <w:r w:rsidRPr="009A27ED">
              <w:rPr>
                <w:rFonts w:cstheme="majorHAnsi"/>
                <w:color w:val="000000" w:themeColor="text1"/>
                <w:sz w:val="20"/>
                <w:szCs w:val="20"/>
              </w:rPr>
              <w:t>.</w:t>
            </w:r>
          </w:p>
          <w:p w14:paraId="3C0CF7A7" w14:textId="77777777" w:rsidR="00DB3A4C" w:rsidRPr="009A27ED" w:rsidRDefault="00DB3A4C" w:rsidP="00D42802">
            <w:pPr>
              <w:pStyle w:val="Apunteoticket"/>
              <w:numPr>
                <w:ilvl w:val="0"/>
                <w:numId w:val="64"/>
              </w:numPr>
              <w:cnfStyle w:val="000000000000" w:firstRow="0" w:lastRow="0" w:firstColumn="0" w:lastColumn="0" w:oddVBand="0" w:evenVBand="0" w:oddHBand="0" w:evenHBand="0" w:firstRowFirstColumn="0" w:firstRowLastColumn="0" w:lastRowFirstColumn="0" w:lastRowLastColumn="0"/>
              <w:rPr>
                <w:rFonts w:cstheme="majorHAnsi"/>
                <w:sz w:val="20"/>
                <w:szCs w:val="20"/>
              </w:rPr>
            </w:pPr>
            <w:r w:rsidRPr="009A27ED">
              <w:rPr>
                <w:rFonts w:cstheme="majorHAnsi"/>
                <w:color w:val="1D1D1D"/>
                <w:sz w:val="20"/>
                <w:szCs w:val="20"/>
              </w:rPr>
              <w:t>Garantizar que los procesos políticos se ejerzan en estricto cumplimiento de las directrices y reglamentación propias de los arreglos institucionales.</w:t>
            </w:r>
          </w:p>
        </w:tc>
      </w:tr>
      <w:tr w:rsidR="00DB3A4C" w:rsidRPr="009A27ED" w14:paraId="17A7851B" w14:textId="77777777" w:rsidTr="00910AB9">
        <w:trPr>
          <w:trHeight w:val="141"/>
        </w:trPr>
        <w:tc>
          <w:tcPr>
            <w:cnfStyle w:val="001000000000" w:firstRow="0" w:lastRow="0" w:firstColumn="1" w:lastColumn="0" w:oddVBand="0" w:evenVBand="0" w:oddHBand="0" w:evenHBand="0" w:firstRowFirstColumn="0" w:firstRowLastColumn="0" w:lastRowFirstColumn="0" w:lastRowLastColumn="0"/>
            <w:tcW w:w="2163" w:type="dxa"/>
          </w:tcPr>
          <w:p w14:paraId="18CE1A59" w14:textId="77777777" w:rsidR="00DB3A4C" w:rsidRPr="009A27ED" w:rsidRDefault="00DB3A4C" w:rsidP="00910AB9">
            <w:pPr>
              <w:rPr>
                <w:rFonts w:cstheme="majorHAnsi"/>
                <w:color w:val="000000" w:themeColor="text1"/>
                <w:sz w:val="20"/>
                <w:szCs w:val="20"/>
              </w:rPr>
            </w:pPr>
            <w:r w:rsidRPr="009A27ED">
              <w:rPr>
                <w:rFonts w:cstheme="majorHAnsi"/>
                <w:color w:val="000000" w:themeColor="text1"/>
                <w:sz w:val="20"/>
                <w:szCs w:val="20"/>
              </w:rPr>
              <w:t>Comité Técnico Asesor (CTA)</w:t>
            </w:r>
          </w:p>
        </w:tc>
        <w:tc>
          <w:tcPr>
            <w:tcW w:w="6937" w:type="dxa"/>
          </w:tcPr>
          <w:p w14:paraId="35D596A2" w14:textId="77777777" w:rsidR="00DB3A4C" w:rsidRPr="009A27ED" w:rsidRDefault="00DB3A4C" w:rsidP="00D42802">
            <w:pPr>
              <w:pStyle w:val="Apunteoticket"/>
              <w:numPr>
                <w:ilvl w:val="0"/>
                <w:numId w:val="65"/>
              </w:numPr>
              <w:cnfStyle w:val="000000000000" w:firstRow="0" w:lastRow="0" w:firstColumn="0" w:lastColumn="0" w:oddVBand="0" w:evenVBand="0" w:oddHBand="0" w:evenHBand="0" w:firstRowFirstColumn="0" w:firstRowLastColumn="0" w:lastRowFirstColumn="0" w:lastRowLastColumn="0"/>
              <w:rPr>
                <w:rFonts w:cstheme="majorHAnsi"/>
                <w:sz w:val="20"/>
                <w:szCs w:val="20"/>
              </w:rPr>
            </w:pPr>
            <w:r w:rsidRPr="009A27ED">
              <w:rPr>
                <w:rFonts w:cstheme="majorHAnsi"/>
                <w:sz w:val="20"/>
                <w:szCs w:val="20"/>
              </w:rPr>
              <w:t>Valida los acuerdos interinstitucionales, incluyendo lo relevante al MGAS y salvaguardas.</w:t>
            </w:r>
          </w:p>
          <w:p w14:paraId="5E009792" w14:textId="3FBB58E4" w:rsidR="00DB3A4C" w:rsidRPr="009A27ED" w:rsidRDefault="00DB3A4C" w:rsidP="00D42802">
            <w:pPr>
              <w:pStyle w:val="Apunteoticket"/>
              <w:numPr>
                <w:ilvl w:val="0"/>
                <w:numId w:val="65"/>
              </w:numPr>
              <w:cnfStyle w:val="000000000000" w:firstRow="0" w:lastRow="0" w:firstColumn="0" w:lastColumn="0" w:oddVBand="0" w:evenVBand="0" w:oddHBand="0" w:evenHBand="0" w:firstRowFirstColumn="0" w:firstRowLastColumn="0" w:lastRowFirstColumn="0" w:lastRowLastColumn="0"/>
              <w:rPr>
                <w:rFonts w:cstheme="majorHAnsi"/>
                <w:sz w:val="20"/>
                <w:szCs w:val="20"/>
              </w:rPr>
            </w:pPr>
            <w:r w:rsidRPr="009A27ED">
              <w:rPr>
                <w:rFonts w:cstheme="majorHAnsi"/>
                <w:sz w:val="20"/>
                <w:szCs w:val="20"/>
              </w:rPr>
              <w:t xml:space="preserve">Realiza Consulta para asegurar la transparencia y rendición de cuentas en la implementación de </w:t>
            </w:r>
            <w:r w:rsidR="00124B63" w:rsidRPr="009A27ED">
              <w:rPr>
                <w:rFonts w:cstheme="majorHAnsi"/>
                <w:sz w:val="20"/>
                <w:szCs w:val="20"/>
              </w:rPr>
              <w:t>Programa REDD+</w:t>
            </w:r>
            <w:r w:rsidRPr="009A27ED">
              <w:rPr>
                <w:rFonts w:cstheme="majorHAnsi"/>
                <w:sz w:val="20"/>
                <w:szCs w:val="20"/>
              </w:rPr>
              <w:t>.</w:t>
            </w:r>
          </w:p>
          <w:p w14:paraId="57C3AA42" w14:textId="77777777" w:rsidR="00DB3A4C" w:rsidRPr="009A27ED" w:rsidRDefault="00DB3A4C" w:rsidP="00D42802">
            <w:pPr>
              <w:pStyle w:val="Apunteoticket"/>
              <w:numPr>
                <w:ilvl w:val="0"/>
                <w:numId w:val="65"/>
              </w:numPr>
              <w:cnfStyle w:val="000000000000" w:firstRow="0" w:lastRow="0" w:firstColumn="0" w:lastColumn="0" w:oddVBand="0" w:evenVBand="0" w:oddHBand="0" w:evenHBand="0" w:firstRowFirstColumn="0" w:firstRowLastColumn="0" w:lastRowFirstColumn="0" w:lastRowLastColumn="0"/>
              <w:rPr>
                <w:rFonts w:cstheme="majorHAnsi"/>
                <w:sz w:val="20"/>
                <w:szCs w:val="20"/>
              </w:rPr>
            </w:pPr>
            <w:r w:rsidRPr="009A27ED">
              <w:rPr>
                <w:rFonts w:cstheme="majorHAnsi"/>
                <w:sz w:val="20"/>
                <w:szCs w:val="20"/>
              </w:rPr>
              <w:t>Valida en caso de requerirse, instrumentos elaborados por la OCR asociados al respeto de las OP/BM y otras salvaguardas.</w:t>
            </w:r>
          </w:p>
          <w:p w14:paraId="0867873D" w14:textId="1DD71A1D" w:rsidR="00DB3A4C" w:rsidRPr="009A27ED" w:rsidRDefault="00DB3A4C" w:rsidP="00D42802">
            <w:pPr>
              <w:pStyle w:val="Apunteoticket"/>
              <w:numPr>
                <w:ilvl w:val="0"/>
                <w:numId w:val="65"/>
              </w:numPr>
              <w:cnfStyle w:val="000000000000" w:firstRow="0" w:lastRow="0" w:firstColumn="0" w:lastColumn="0" w:oddVBand="0" w:evenVBand="0" w:oddHBand="0" w:evenHBand="0" w:firstRowFirstColumn="0" w:firstRowLastColumn="0" w:lastRowFirstColumn="0" w:lastRowLastColumn="0"/>
              <w:rPr>
                <w:rFonts w:cstheme="majorHAnsi"/>
                <w:sz w:val="20"/>
                <w:szCs w:val="20"/>
              </w:rPr>
            </w:pPr>
            <w:r w:rsidRPr="009A27ED">
              <w:rPr>
                <w:rFonts w:cstheme="majorHAnsi"/>
                <w:sz w:val="20"/>
                <w:szCs w:val="20"/>
              </w:rPr>
              <w:t xml:space="preserve">Brindar apoyo técnico en la elaboración de material ambiental </w:t>
            </w:r>
            <w:r w:rsidR="00656C51" w:rsidRPr="009A27ED">
              <w:rPr>
                <w:rFonts w:cstheme="majorHAnsi"/>
                <w:sz w:val="20"/>
                <w:szCs w:val="20"/>
              </w:rPr>
              <w:t xml:space="preserve">y social </w:t>
            </w:r>
            <w:r w:rsidRPr="009A27ED">
              <w:rPr>
                <w:rFonts w:cstheme="majorHAnsi"/>
                <w:sz w:val="20"/>
                <w:szCs w:val="20"/>
              </w:rPr>
              <w:t xml:space="preserve">a las Entidades Ejecutoras que implementarán los proyectos a nivel local. </w:t>
            </w:r>
          </w:p>
          <w:p w14:paraId="06BBD9CC" w14:textId="77777777" w:rsidR="00DB3A4C" w:rsidRPr="009A27ED" w:rsidRDefault="00DB3A4C" w:rsidP="00D42802">
            <w:pPr>
              <w:pStyle w:val="Apunteoticket"/>
              <w:numPr>
                <w:ilvl w:val="0"/>
                <w:numId w:val="65"/>
              </w:numPr>
              <w:cnfStyle w:val="000000000000" w:firstRow="0" w:lastRow="0" w:firstColumn="0" w:lastColumn="0" w:oddVBand="0" w:evenVBand="0" w:oddHBand="0" w:evenHBand="0" w:firstRowFirstColumn="0" w:firstRowLastColumn="0" w:lastRowFirstColumn="0" w:lastRowLastColumn="0"/>
              <w:rPr>
                <w:rFonts w:cstheme="majorHAnsi"/>
                <w:sz w:val="20"/>
                <w:szCs w:val="20"/>
              </w:rPr>
            </w:pPr>
            <w:r w:rsidRPr="009A27ED">
              <w:rPr>
                <w:rFonts w:cstheme="majorHAnsi"/>
                <w:sz w:val="20"/>
                <w:szCs w:val="20"/>
              </w:rPr>
              <w:t xml:space="preserve">Valida los resultados de la sistematización que realizará la OCR de las evaluaciones periódicas a las </w:t>
            </w:r>
            <w:r w:rsidRPr="009A27ED">
              <w:rPr>
                <w:rFonts w:cstheme="majorHAnsi"/>
                <w:i/>
                <w:sz w:val="20"/>
                <w:szCs w:val="20"/>
              </w:rPr>
              <w:t>actividades específicas</w:t>
            </w:r>
            <w:r w:rsidRPr="009A27ED">
              <w:rPr>
                <w:rFonts w:cstheme="majorHAnsi"/>
                <w:sz w:val="20"/>
                <w:szCs w:val="20"/>
              </w:rPr>
              <w:t xml:space="preserve"> implementados por las Entidades Ejecutoras, haciendo énfasis en las recomendaciones para todos los casos necesarios que permitan dar cumplimiento a las PO/BM y las salvaguardas.</w:t>
            </w:r>
          </w:p>
          <w:p w14:paraId="6F9F2825" w14:textId="2645A232" w:rsidR="00DB3A4C" w:rsidRPr="009A27ED" w:rsidRDefault="00DB3A4C" w:rsidP="00D42802">
            <w:pPr>
              <w:pStyle w:val="Apunteoticket"/>
              <w:numPr>
                <w:ilvl w:val="0"/>
                <w:numId w:val="65"/>
              </w:numPr>
              <w:cnfStyle w:val="000000000000" w:firstRow="0" w:lastRow="0" w:firstColumn="0" w:lastColumn="0" w:oddVBand="0" w:evenVBand="0" w:oddHBand="0" w:evenHBand="0" w:firstRowFirstColumn="0" w:firstRowLastColumn="0" w:lastRowFirstColumn="0" w:lastRowLastColumn="0"/>
              <w:rPr>
                <w:rFonts w:cstheme="majorHAnsi"/>
                <w:sz w:val="20"/>
                <w:szCs w:val="20"/>
              </w:rPr>
            </w:pPr>
            <w:r w:rsidRPr="009A27ED">
              <w:rPr>
                <w:rFonts w:cstheme="majorHAnsi"/>
                <w:sz w:val="20"/>
                <w:szCs w:val="20"/>
              </w:rPr>
              <w:t>Valida la sistematización de reportes de monitoreo y salvaguardas</w:t>
            </w:r>
            <w:r w:rsidR="00D532D6" w:rsidRPr="009A27ED">
              <w:rPr>
                <w:rFonts w:cstheme="majorHAnsi"/>
                <w:sz w:val="20"/>
                <w:szCs w:val="20"/>
              </w:rPr>
              <w:t>, incluid</w:t>
            </w:r>
            <w:r w:rsidR="009C6DC0" w:rsidRPr="009A27ED">
              <w:rPr>
                <w:rFonts w:cstheme="majorHAnsi"/>
                <w:sz w:val="20"/>
                <w:szCs w:val="20"/>
              </w:rPr>
              <w:t>as las quejas y reclamos,</w:t>
            </w:r>
            <w:r w:rsidRPr="009A27ED">
              <w:rPr>
                <w:rFonts w:cstheme="majorHAnsi"/>
                <w:sz w:val="20"/>
                <w:szCs w:val="20"/>
              </w:rPr>
              <w:t xml:space="preserve"> que la OCR realizará para posterior alimentación del Sistema de Información de Salvaguardas (SIS) y Reporte de Salvaguardas, respectivamente. </w:t>
            </w:r>
          </w:p>
          <w:p w14:paraId="47D406C2" w14:textId="77777777" w:rsidR="00DB3A4C" w:rsidRPr="009A27ED" w:rsidRDefault="00DB3A4C" w:rsidP="00D42802">
            <w:pPr>
              <w:pStyle w:val="Apunteoticket"/>
              <w:numPr>
                <w:ilvl w:val="0"/>
                <w:numId w:val="65"/>
              </w:numPr>
              <w:cnfStyle w:val="000000000000" w:firstRow="0" w:lastRow="0" w:firstColumn="0" w:lastColumn="0" w:oddVBand="0" w:evenVBand="0" w:oddHBand="0" w:evenHBand="0" w:firstRowFirstColumn="0" w:firstRowLastColumn="0" w:lastRowFirstColumn="0" w:lastRowLastColumn="0"/>
              <w:rPr>
                <w:rFonts w:cstheme="majorHAnsi"/>
                <w:sz w:val="20"/>
                <w:szCs w:val="20"/>
              </w:rPr>
            </w:pPr>
            <w:r w:rsidRPr="009A27ED">
              <w:rPr>
                <w:rFonts w:cstheme="majorHAnsi"/>
                <w:sz w:val="20"/>
                <w:szCs w:val="20"/>
              </w:rPr>
              <w:t>Da seguimiento al cumplimiento de los acuerdos interinstitucionales establecidos con las entidades ejecutoras para la implementación del MGAS.</w:t>
            </w:r>
          </w:p>
          <w:p w14:paraId="2C1408EF" w14:textId="77777777" w:rsidR="00DB3A4C" w:rsidRPr="009A27ED" w:rsidRDefault="00DB3A4C" w:rsidP="00D42802">
            <w:pPr>
              <w:pStyle w:val="Apunteoticket"/>
              <w:numPr>
                <w:ilvl w:val="0"/>
                <w:numId w:val="65"/>
              </w:numPr>
              <w:cnfStyle w:val="000000000000" w:firstRow="0" w:lastRow="0" w:firstColumn="0" w:lastColumn="0" w:oddVBand="0" w:evenVBand="0" w:oddHBand="0" w:evenHBand="0" w:firstRowFirstColumn="0" w:firstRowLastColumn="0" w:lastRowFirstColumn="0" w:lastRowLastColumn="0"/>
              <w:rPr>
                <w:rFonts w:cstheme="majorHAnsi"/>
                <w:sz w:val="20"/>
                <w:szCs w:val="20"/>
              </w:rPr>
            </w:pPr>
            <w:r w:rsidRPr="009A27ED">
              <w:rPr>
                <w:rFonts w:cstheme="majorHAnsi"/>
                <w:sz w:val="20"/>
                <w:szCs w:val="20"/>
              </w:rPr>
              <w:t xml:space="preserve">Las funciones anteriores estarán estrechamente relacionadas con el trabajo que realizará la OCR con las EE de proyectos y programas. En este sentido, la OCR deberá establecer una coordinación y vinculación permanente con el CTA, con tal de verificar la correcta implementación de las PO/BM. </w:t>
            </w:r>
          </w:p>
        </w:tc>
      </w:tr>
      <w:tr w:rsidR="00DB3A4C" w:rsidRPr="009A27ED" w14:paraId="4B841947" w14:textId="77777777" w:rsidTr="00910AB9">
        <w:trPr>
          <w:trHeight w:val="141"/>
        </w:trPr>
        <w:tc>
          <w:tcPr>
            <w:cnfStyle w:val="001000000000" w:firstRow="0" w:lastRow="0" w:firstColumn="1" w:lastColumn="0" w:oddVBand="0" w:evenVBand="0" w:oddHBand="0" w:evenHBand="0" w:firstRowFirstColumn="0" w:firstRowLastColumn="0" w:lastRowFirstColumn="0" w:lastRowLastColumn="0"/>
            <w:tcW w:w="2163" w:type="dxa"/>
          </w:tcPr>
          <w:p w14:paraId="10AA0CD7" w14:textId="77777777" w:rsidR="00DB3A4C" w:rsidRPr="009A27ED" w:rsidRDefault="00DB3A4C" w:rsidP="00910AB9">
            <w:pPr>
              <w:rPr>
                <w:rFonts w:cstheme="majorHAnsi"/>
                <w:color w:val="000000" w:themeColor="text1"/>
                <w:sz w:val="20"/>
                <w:szCs w:val="20"/>
              </w:rPr>
            </w:pPr>
            <w:r w:rsidRPr="009A27ED">
              <w:rPr>
                <w:rFonts w:cstheme="majorHAnsi"/>
                <w:sz w:val="20"/>
                <w:szCs w:val="20"/>
              </w:rPr>
              <w:t>Oficina de Coordinación REDD+</w:t>
            </w:r>
          </w:p>
        </w:tc>
        <w:tc>
          <w:tcPr>
            <w:tcW w:w="6937" w:type="dxa"/>
          </w:tcPr>
          <w:p w14:paraId="66BB5823" w14:textId="77777777" w:rsidR="00DB3A4C" w:rsidRPr="009A27ED" w:rsidRDefault="00DB3A4C" w:rsidP="00C97A18">
            <w:pPr>
              <w:pStyle w:val="Apunteoticket"/>
              <w:numPr>
                <w:ilvl w:val="0"/>
                <w:numId w:val="434"/>
              </w:numPr>
              <w:cnfStyle w:val="000000000000" w:firstRow="0" w:lastRow="0" w:firstColumn="0" w:lastColumn="0" w:oddVBand="0" w:evenVBand="0" w:oddHBand="0" w:evenHBand="0" w:firstRowFirstColumn="0" w:firstRowLastColumn="0" w:lastRowFirstColumn="0" w:lastRowLastColumn="0"/>
              <w:rPr>
                <w:rFonts w:cstheme="majorHAnsi"/>
                <w:i/>
                <w:sz w:val="20"/>
                <w:szCs w:val="20"/>
              </w:rPr>
            </w:pPr>
            <w:r w:rsidRPr="009A27ED">
              <w:rPr>
                <w:rFonts w:cstheme="majorHAnsi"/>
                <w:sz w:val="20"/>
                <w:szCs w:val="20"/>
              </w:rPr>
              <w:t xml:space="preserve">Realizar el análisis de factibilidad técnico, económico, ambiental y social de los proyectos seleccionados para implementar las actividades </w:t>
            </w:r>
            <w:r w:rsidRPr="009A27ED">
              <w:rPr>
                <w:rFonts w:cstheme="majorHAnsi"/>
                <w:i/>
                <w:sz w:val="20"/>
                <w:szCs w:val="20"/>
              </w:rPr>
              <w:t xml:space="preserve">tipo </w:t>
            </w:r>
          </w:p>
          <w:p w14:paraId="3C313438" w14:textId="77777777" w:rsidR="00DB3A4C" w:rsidRPr="009A27ED" w:rsidRDefault="00DB3A4C" w:rsidP="00C97A18">
            <w:pPr>
              <w:pStyle w:val="Apunteoticket"/>
              <w:numPr>
                <w:ilvl w:val="0"/>
                <w:numId w:val="434"/>
              </w:numPr>
              <w:cnfStyle w:val="000000000000" w:firstRow="0" w:lastRow="0" w:firstColumn="0" w:lastColumn="0" w:oddVBand="0" w:evenVBand="0" w:oddHBand="0" w:evenHBand="0" w:firstRowFirstColumn="0" w:firstRowLastColumn="0" w:lastRowFirstColumn="0" w:lastRowLastColumn="0"/>
              <w:rPr>
                <w:rFonts w:cstheme="majorHAnsi"/>
                <w:sz w:val="20"/>
                <w:szCs w:val="20"/>
              </w:rPr>
            </w:pPr>
            <w:r w:rsidRPr="009A27ED">
              <w:rPr>
                <w:rFonts w:cstheme="majorHAnsi"/>
                <w:sz w:val="20"/>
                <w:szCs w:val="20"/>
              </w:rPr>
              <w:t>Elaborar el acuerdo interinstitucional con la EE, incluyendo secciones relacionadas con el cumplimiento de las PO/BM y salvaguardas. Estos documentos deberán ser presentados y validados por el CTA.</w:t>
            </w:r>
          </w:p>
          <w:p w14:paraId="46AD2BB3" w14:textId="77777777" w:rsidR="00DB3A4C" w:rsidRPr="009A27ED" w:rsidRDefault="00DB3A4C" w:rsidP="00C97A18">
            <w:pPr>
              <w:pStyle w:val="Apunteoticket"/>
              <w:numPr>
                <w:ilvl w:val="0"/>
                <w:numId w:val="434"/>
              </w:numPr>
              <w:cnfStyle w:val="000000000000" w:firstRow="0" w:lastRow="0" w:firstColumn="0" w:lastColumn="0" w:oddVBand="0" w:evenVBand="0" w:oddHBand="0" w:evenHBand="0" w:firstRowFirstColumn="0" w:firstRowLastColumn="0" w:lastRowFirstColumn="0" w:lastRowLastColumn="0"/>
              <w:rPr>
                <w:rFonts w:cstheme="majorHAnsi"/>
                <w:sz w:val="20"/>
                <w:szCs w:val="20"/>
              </w:rPr>
            </w:pPr>
            <w:r w:rsidRPr="009A27ED">
              <w:rPr>
                <w:rFonts w:cstheme="majorHAnsi"/>
                <w:sz w:val="20"/>
                <w:szCs w:val="20"/>
              </w:rPr>
              <w:t>Elaborar una evaluación de la capacidad institucional de las Entidades Ejecutoras para afrontar el abordaje y respeto por las salvaguardas ambientales y sociales de la Estrategia REDD+.</w:t>
            </w:r>
          </w:p>
          <w:p w14:paraId="7C724651" w14:textId="77777777" w:rsidR="00DB3A4C" w:rsidRPr="009A27ED" w:rsidRDefault="00DB3A4C" w:rsidP="00C97A18">
            <w:pPr>
              <w:pStyle w:val="Apunteoticket"/>
              <w:numPr>
                <w:ilvl w:val="0"/>
                <w:numId w:val="434"/>
              </w:numPr>
              <w:cnfStyle w:val="000000000000" w:firstRow="0" w:lastRow="0" w:firstColumn="0" w:lastColumn="0" w:oddVBand="0" w:evenVBand="0" w:oddHBand="0" w:evenHBand="0" w:firstRowFirstColumn="0" w:firstRowLastColumn="0" w:lastRowFirstColumn="0" w:lastRowLastColumn="0"/>
              <w:rPr>
                <w:rFonts w:cstheme="majorHAnsi"/>
                <w:sz w:val="20"/>
                <w:szCs w:val="20"/>
              </w:rPr>
            </w:pPr>
            <w:r w:rsidRPr="009A27ED">
              <w:rPr>
                <w:rFonts w:cstheme="majorHAnsi"/>
                <w:sz w:val="20"/>
                <w:szCs w:val="20"/>
              </w:rPr>
              <w:t>Brindar apoyo técnico en materia ambiental, social y salvaguardas a las Entidades Ejecutoras que implementarán los proyectos a nivel local.</w:t>
            </w:r>
          </w:p>
          <w:p w14:paraId="47009EE4" w14:textId="79728BD0" w:rsidR="00DB3A4C" w:rsidRPr="009A27ED" w:rsidRDefault="00DB3A4C" w:rsidP="00C97A18">
            <w:pPr>
              <w:pStyle w:val="Apunteoticket"/>
              <w:numPr>
                <w:ilvl w:val="0"/>
                <w:numId w:val="434"/>
              </w:numPr>
              <w:cnfStyle w:val="000000000000" w:firstRow="0" w:lastRow="0" w:firstColumn="0" w:lastColumn="0" w:oddVBand="0" w:evenVBand="0" w:oddHBand="0" w:evenHBand="0" w:firstRowFirstColumn="0" w:firstRowLastColumn="0" w:lastRowFirstColumn="0" w:lastRowLastColumn="0"/>
              <w:rPr>
                <w:rFonts w:cstheme="majorHAnsi"/>
                <w:sz w:val="20"/>
                <w:szCs w:val="20"/>
              </w:rPr>
            </w:pPr>
            <w:r w:rsidRPr="009A27ED">
              <w:rPr>
                <w:rFonts w:cstheme="majorHAnsi"/>
                <w:sz w:val="20"/>
                <w:szCs w:val="20"/>
              </w:rPr>
              <w:t>Da seguimiento y hace la sistematización de reportes de monitoreo y salvaguardas, para la posterior alimentación del Sistema de Información de Salvaguardas (SIS)</w:t>
            </w:r>
            <w:r w:rsidR="00022AD7" w:rsidRPr="009A27ED">
              <w:rPr>
                <w:rFonts w:cstheme="majorHAnsi"/>
                <w:sz w:val="20"/>
                <w:szCs w:val="20"/>
              </w:rPr>
              <w:t>,</w:t>
            </w:r>
            <w:r w:rsidRPr="009A27ED">
              <w:rPr>
                <w:rFonts w:cstheme="majorHAnsi"/>
                <w:sz w:val="20"/>
                <w:szCs w:val="20"/>
              </w:rPr>
              <w:t xml:space="preserve"> Reporte de Salvaguardas</w:t>
            </w:r>
            <w:r w:rsidR="00022AD7" w:rsidRPr="009A27ED">
              <w:rPr>
                <w:rFonts w:cstheme="majorHAnsi"/>
                <w:sz w:val="20"/>
                <w:szCs w:val="20"/>
              </w:rPr>
              <w:t xml:space="preserve"> y </w:t>
            </w:r>
            <w:r w:rsidR="00746FE0" w:rsidRPr="009A27ED">
              <w:rPr>
                <w:rFonts w:cstheme="majorHAnsi"/>
                <w:sz w:val="20"/>
                <w:szCs w:val="20"/>
              </w:rPr>
              <w:t>Sistema</w:t>
            </w:r>
            <w:r w:rsidR="00022AD7" w:rsidRPr="009A27ED">
              <w:rPr>
                <w:rFonts w:cstheme="majorHAnsi"/>
                <w:sz w:val="20"/>
                <w:szCs w:val="20"/>
              </w:rPr>
              <w:t xml:space="preserve"> de Quejas, Reclamos y Manejo de Conflictos</w:t>
            </w:r>
            <w:r w:rsidR="003E4B49" w:rsidRPr="009A27ED">
              <w:rPr>
                <w:rFonts w:cstheme="majorHAnsi"/>
                <w:sz w:val="20"/>
                <w:szCs w:val="20"/>
              </w:rPr>
              <w:t xml:space="preserve"> (SQRC)</w:t>
            </w:r>
            <w:r w:rsidRPr="009A27ED">
              <w:rPr>
                <w:rFonts w:cstheme="majorHAnsi"/>
                <w:sz w:val="20"/>
                <w:szCs w:val="20"/>
              </w:rPr>
              <w:t>, respectivamente</w:t>
            </w:r>
            <w:r w:rsidRPr="009A27ED">
              <w:rPr>
                <w:rFonts w:cstheme="majorHAnsi"/>
                <w:b/>
                <w:sz w:val="20"/>
                <w:szCs w:val="20"/>
              </w:rPr>
              <w:t xml:space="preserve">. </w:t>
            </w:r>
            <w:r w:rsidRPr="009A27ED">
              <w:rPr>
                <w:rFonts w:cstheme="majorHAnsi"/>
                <w:sz w:val="20"/>
                <w:szCs w:val="20"/>
              </w:rPr>
              <w:t xml:space="preserve">Incluirá las evaluaciones periódicas de cumplimiento de las PO/BM y otras salvaguardas a las </w:t>
            </w:r>
            <w:r w:rsidRPr="009A27ED">
              <w:rPr>
                <w:rFonts w:cstheme="majorHAnsi"/>
                <w:i/>
                <w:sz w:val="20"/>
                <w:szCs w:val="20"/>
              </w:rPr>
              <w:t>actividades específicas</w:t>
            </w:r>
            <w:r w:rsidRPr="009A27ED">
              <w:rPr>
                <w:rFonts w:cstheme="majorHAnsi"/>
                <w:sz w:val="20"/>
                <w:szCs w:val="20"/>
              </w:rPr>
              <w:t>, entregando retroalimentación y recomendaciones para todos los casos necesarios. Esto incluirá la identificación a partir de la información generada en el terreno durante la ejecución, de los eventuales vacíos o brechas normativas que surgiesen y la propuesta para su enmienda o corrección.</w:t>
            </w:r>
          </w:p>
          <w:p w14:paraId="7DDC6844" w14:textId="77777777" w:rsidR="00DB3A4C" w:rsidRPr="009A27ED" w:rsidRDefault="00DB3A4C" w:rsidP="00C97A18">
            <w:pPr>
              <w:pStyle w:val="Apunteoticket"/>
              <w:numPr>
                <w:ilvl w:val="0"/>
                <w:numId w:val="434"/>
              </w:numPr>
              <w:cnfStyle w:val="000000000000" w:firstRow="0" w:lastRow="0" w:firstColumn="0" w:lastColumn="0" w:oddVBand="0" w:evenVBand="0" w:oddHBand="0" w:evenHBand="0" w:firstRowFirstColumn="0" w:firstRowLastColumn="0" w:lastRowFirstColumn="0" w:lastRowLastColumn="0"/>
              <w:rPr>
                <w:rFonts w:cstheme="majorHAnsi"/>
                <w:sz w:val="20"/>
                <w:szCs w:val="20"/>
              </w:rPr>
            </w:pPr>
            <w:r w:rsidRPr="009A27ED">
              <w:rPr>
                <w:rFonts w:cstheme="majorHAnsi"/>
                <w:sz w:val="20"/>
                <w:szCs w:val="20"/>
              </w:rPr>
              <w:t xml:space="preserve">Elaborar los acuerdos interinstitucionales con las Entidades </w:t>
            </w:r>
            <w:r w:rsidRPr="009A27ED">
              <w:rPr>
                <w:rFonts w:cstheme="majorHAnsi"/>
                <w:color w:val="000000" w:themeColor="text1"/>
                <w:sz w:val="20"/>
                <w:szCs w:val="20"/>
              </w:rPr>
              <w:t>Ejecutoras de proyectos REDD+.</w:t>
            </w:r>
          </w:p>
          <w:p w14:paraId="0B98F7EF" w14:textId="77777777" w:rsidR="00DB3A4C" w:rsidRPr="009A27ED" w:rsidRDefault="00DB3A4C" w:rsidP="00C97A18">
            <w:pPr>
              <w:pStyle w:val="Apunteoticket"/>
              <w:numPr>
                <w:ilvl w:val="0"/>
                <w:numId w:val="434"/>
              </w:numPr>
              <w:cnfStyle w:val="000000000000" w:firstRow="0" w:lastRow="0" w:firstColumn="0" w:lastColumn="0" w:oddVBand="0" w:evenVBand="0" w:oddHBand="0" w:evenHBand="0" w:firstRowFirstColumn="0" w:firstRowLastColumn="0" w:lastRowFirstColumn="0" w:lastRowLastColumn="0"/>
              <w:rPr>
                <w:rFonts w:cstheme="majorHAnsi"/>
                <w:sz w:val="20"/>
                <w:szCs w:val="20"/>
              </w:rPr>
            </w:pPr>
            <w:r w:rsidRPr="009A27ED">
              <w:rPr>
                <w:rFonts w:cstheme="majorHAnsi"/>
                <w:sz w:val="20"/>
                <w:szCs w:val="20"/>
              </w:rPr>
              <w:t>Elaborar material de apoyo para la aplicación de las salvaguardas tales como guías y contenidos mínimos para cada instrumento de gestión ambiental y social. Para esto, podrá llamar a concurso externo de ser necesario.</w:t>
            </w:r>
          </w:p>
          <w:p w14:paraId="066C4FCA" w14:textId="3A6AACF0" w:rsidR="00DB3A4C" w:rsidRPr="009A27ED" w:rsidRDefault="00DB3A4C" w:rsidP="00C97A18">
            <w:pPr>
              <w:pStyle w:val="Apunteoticket"/>
              <w:numPr>
                <w:ilvl w:val="0"/>
                <w:numId w:val="434"/>
              </w:numPr>
              <w:cnfStyle w:val="000000000000" w:firstRow="0" w:lastRow="0" w:firstColumn="0" w:lastColumn="0" w:oddVBand="0" w:evenVBand="0" w:oddHBand="0" w:evenHBand="0" w:firstRowFirstColumn="0" w:firstRowLastColumn="0" w:lastRowFirstColumn="0" w:lastRowLastColumn="0"/>
              <w:rPr>
                <w:rFonts w:cstheme="majorHAnsi"/>
                <w:sz w:val="20"/>
                <w:szCs w:val="20"/>
              </w:rPr>
            </w:pPr>
            <w:r w:rsidRPr="009A27ED">
              <w:rPr>
                <w:rFonts w:cstheme="majorHAnsi"/>
                <w:sz w:val="20"/>
                <w:szCs w:val="20"/>
              </w:rPr>
              <w:t>Realizar evaluaciones periódicas de cumplimiento de las P</w:t>
            </w:r>
            <w:r w:rsidR="00C87F78" w:rsidRPr="009A27ED">
              <w:rPr>
                <w:rFonts w:cstheme="majorHAnsi"/>
                <w:sz w:val="20"/>
                <w:szCs w:val="20"/>
              </w:rPr>
              <w:t>O</w:t>
            </w:r>
            <w:r w:rsidRPr="009A27ED">
              <w:rPr>
                <w:rFonts w:cstheme="majorHAnsi"/>
                <w:sz w:val="20"/>
                <w:szCs w:val="20"/>
              </w:rPr>
              <w:t xml:space="preserve">/BM y otras salvaguardas a los proyectos implementados con las entidades ejecutoras, entregando retroalimentación y recomendaciones para todos los casos necesarios. Esto incluirá la identificación a partir de la información generada </w:t>
            </w:r>
            <w:r w:rsidRPr="009A27ED">
              <w:rPr>
                <w:rFonts w:cstheme="majorHAnsi"/>
                <w:sz w:val="20"/>
                <w:szCs w:val="20"/>
              </w:rPr>
              <w:lastRenderedPageBreak/>
              <w:t>en el terreno durante la ejecución, de los eventuales vacíos o brechas normativas que surgiesen y la propuesta para su enmienda o corrección.</w:t>
            </w:r>
          </w:p>
          <w:p w14:paraId="043DA232" w14:textId="77777777" w:rsidR="00DB3A4C" w:rsidRPr="009A27ED" w:rsidRDefault="00DB3A4C" w:rsidP="00C97A18">
            <w:pPr>
              <w:pStyle w:val="Apunteoticket"/>
              <w:numPr>
                <w:ilvl w:val="0"/>
                <w:numId w:val="434"/>
              </w:numPr>
              <w:cnfStyle w:val="000000000000" w:firstRow="0" w:lastRow="0" w:firstColumn="0" w:lastColumn="0" w:oddVBand="0" w:evenVBand="0" w:oddHBand="0" w:evenHBand="0" w:firstRowFirstColumn="0" w:firstRowLastColumn="0" w:lastRowFirstColumn="0" w:lastRowLastColumn="0"/>
              <w:rPr>
                <w:rFonts w:cstheme="majorHAnsi"/>
                <w:sz w:val="20"/>
                <w:szCs w:val="20"/>
              </w:rPr>
            </w:pPr>
            <w:r w:rsidRPr="009A27ED">
              <w:rPr>
                <w:rFonts w:cstheme="majorHAnsi"/>
                <w:sz w:val="20"/>
                <w:szCs w:val="20"/>
              </w:rPr>
              <w:t xml:space="preserve">Las funciones anteriores estarán estrechamente relacionadas con el trabajo que llevarán las Entidades Ejecutoras. En este sentido, la OCR deberá establecer una coordinación permanente con representantes directivos y de ejecución técnica de las </w:t>
            </w:r>
            <w:r w:rsidRPr="009A27ED">
              <w:rPr>
                <w:rFonts w:cstheme="majorHAnsi"/>
                <w:i/>
                <w:sz w:val="20"/>
                <w:szCs w:val="20"/>
              </w:rPr>
              <w:t>acciones específicas</w:t>
            </w:r>
            <w:r w:rsidRPr="009A27ED">
              <w:rPr>
                <w:rFonts w:cstheme="majorHAnsi"/>
                <w:sz w:val="20"/>
                <w:szCs w:val="20"/>
              </w:rPr>
              <w:t xml:space="preserve"> REDD+, con tal de verificar la correcta implementación, cronogramas de actividades y de presupuestos a ser ejecutados. </w:t>
            </w:r>
          </w:p>
        </w:tc>
      </w:tr>
      <w:tr w:rsidR="00DB3A4C" w:rsidRPr="009A27ED" w14:paraId="0FF7D5C6" w14:textId="77777777" w:rsidTr="00910AB9">
        <w:trPr>
          <w:trHeight w:val="3835"/>
        </w:trPr>
        <w:tc>
          <w:tcPr>
            <w:cnfStyle w:val="001000000000" w:firstRow="0" w:lastRow="0" w:firstColumn="1" w:lastColumn="0" w:oddVBand="0" w:evenVBand="0" w:oddHBand="0" w:evenHBand="0" w:firstRowFirstColumn="0" w:firstRowLastColumn="0" w:lastRowFirstColumn="0" w:lastRowLastColumn="0"/>
            <w:tcW w:w="2163" w:type="dxa"/>
          </w:tcPr>
          <w:p w14:paraId="25CA8CB7" w14:textId="77777777" w:rsidR="00DB3A4C" w:rsidRPr="009A27ED" w:rsidRDefault="00DB3A4C" w:rsidP="00910AB9">
            <w:pPr>
              <w:rPr>
                <w:rFonts w:cstheme="majorHAnsi"/>
                <w:color w:val="000000" w:themeColor="text1"/>
                <w:sz w:val="20"/>
                <w:szCs w:val="20"/>
              </w:rPr>
            </w:pPr>
            <w:r w:rsidRPr="009A27ED">
              <w:rPr>
                <w:rFonts w:cstheme="majorHAnsi"/>
                <w:color w:val="000000" w:themeColor="text1"/>
                <w:sz w:val="20"/>
                <w:szCs w:val="20"/>
              </w:rPr>
              <w:t>Entidades Ejecutoras</w:t>
            </w:r>
          </w:p>
        </w:tc>
        <w:tc>
          <w:tcPr>
            <w:tcW w:w="6937" w:type="dxa"/>
          </w:tcPr>
          <w:p w14:paraId="66850CBD" w14:textId="77777777" w:rsidR="00DB3A4C" w:rsidRPr="009A27ED" w:rsidRDefault="00DB3A4C" w:rsidP="00D42802">
            <w:pPr>
              <w:pStyle w:val="Apunteoticket"/>
              <w:numPr>
                <w:ilvl w:val="0"/>
                <w:numId w:val="66"/>
              </w:numPr>
              <w:cnfStyle w:val="000000000000" w:firstRow="0" w:lastRow="0" w:firstColumn="0" w:lastColumn="0" w:oddVBand="0" w:evenVBand="0" w:oddHBand="0" w:evenHBand="0" w:firstRowFirstColumn="0" w:firstRowLastColumn="0" w:lastRowFirstColumn="0" w:lastRowLastColumn="0"/>
              <w:rPr>
                <w:rFonts w:cstheme="majorHAnsi"/>
                <w:color w:val="000000" w:themeColor="text1"/>
                <w:sz w:val="20"/>
                <w:szCs w:val="20"/>
              </w:rPr>
            </w:pPr>
            <w:r w:rsidRPr="009A27ED">
              <w:rPr>
                <w:rFonts w:cstheme="majorHAnsi"/>
                <w:color w:val="000000" w:themeColor="text1"/>
                <w:sz w:val="20"/>
                <w:szCs w:val="20"/>
              </w:rPr>
              <w:t xml:space="preserve">Responsable de la implementación de las </w:t>
            </w:r>
            <w:r w:rsidRPr="009A27ED">
              <w:rPr>
                <w:rFonts w:cstheme="majorHAnsi"/>
                <w:i/>
                <w:color w:val="000000" w:themeColor="text1"/>
                <w:sz w:val="20"/>
                <w:szCs w:val="20"/>
              </w:rPr>
              <w:t>acciones específicas</w:t>
            </w:r>
            <w:r w:rsidRPr="009A27ED">
              <w:rPr>
                <w:rFonts w:cstheme="majorHAnsi"/>
                <w:color w:val="000000" w:themeColor="text1"/>
                <w:sz w:val="20"/>
                <w:szCs w:val="20"/>
              </w:rPr>
              <w:t xml:space="preserve"> REDD+ y por lo tanto de la implementación y cumplimiento de las directrices del MGAS. </w:t>
            </w:r>
          </w:p>
          <w:p w14:paraId="19469AB6" w14:textId="77777777" w:rsidR="00DB3A4C" w:rsidRPr="009A27ED" w:rsidRDefault="00DB3A4C" w:rsidP="00D42802">
            <w:pPr>
              <w:pStyle w:val="Apunteoticket"/>
              <w:numPr>
                <w:ilvl w:val="0"/>
                <w:numId w:val="66"/>
              </w:numPr>
              <w:cnfStyle w:val="000000000000" w:firstRow="0" w:lastRow="0" w:firstColumn="0" w:lastColumn="0" w:oddVBand="0" w:evenVBand="0" w:oddHBand="0" w:evenHBand="0" w:firstRowFirstColumn="0" w:firstRowLastColumn="0" w:lastRowFirstColumn="0" w:lastRowLastColumn="0"/>
              <w:rPr>
                <w:rFonts w:cstheme="majorHAnsi"/>
                <w:color w:val="000000" w:themeColor="text1"/>
                <w:sz w:val="20"/>
                <w:szCs w:val="20"/>
              </w:rPr>
            </w:pPr>
            <w:r w:rsidRPr="009A27ED">
              <w:rPr>
                <w:rFonts w:cstheme="majorHAnsi"/>
                <w:color w:val="000000" w:themeColor="text1"/>
                <w:sz w:val="20"/>
                <w:szCs w:val="20"/>
              </w:rPr>
              <w:t xml:space="preserve">Aplicar los instrumentos de reportes de las </w:t>
            </w:r>
            <w:r w:rsidRPr="009A27ED">
              <w:rPr>
                <w:rFonts w:cstheme="majorHAnsi"/>
                <w:i/>
                <w:color w:val="000000" w:themeColor="text1"/>
                <w:sz w:val="20"/>
                <w:szCs w:val="20"/>
              </w:rPr>
              <w:t>actividades específicas</w:t>
            </w:r>
            <w:r w:rsidRPr="009A27ED">
              <w:rPr>
                <w:rFonts w:cstheme="majorHAnsi"/>
                <w:color w:val="000000" w:themeColor="text1"/>
                <w:sz w:val="20"/>
                <w:szCs w:val="20"/>
              </w:rPr>
              <w:t xml:space="preserve"> de acuerdo con los procedimientos presentados por la OCR para el seguimiento y sistematización de las informaciones.</w:t>
            </w:r>
          </w:p>
          <w:p w14:paraId="44A9E8BF" w14:textId="29794F20" w:rsidR="00DB3A4C" w:rsidRPr="009A27ED" w:rsidRDefault="00DB3A4C" w:rsidP="00D42802">
            <w:pPr>
              <w:pStyle w:val="Apunteoticket"/>
              <w:numPr>
                <w:ilvl w:val="0"/>
                <w:numId w:val="66"/>
              </w:numPr>
              <w:cnfStyle w:val="000000000000" w:firstRow="0" w:lastRow="0" w:firstColumn="0" w:lastColumn="0" w:oddVBand="0" w:evenVBand="0" w:oddHBand="0" w:evenHBand="0" w:firstRowFirstColumn="0" w:firstRowLastColumn="0" w:lastRowFirstColumn="0" w:lastRowLastColumn="0"/>
              <w:rPr>
                <w:rFonts w:cstheme="majorHAnsi"/>
                <w:color w:val="000000" w:themeColor="text1"/>
                <w:sz w:val="20"/>
                <w:szCs w:val="20"/>
              </w:rPr>
            </w:pPr>
            <w:r w:rsidRPr="009A27ED">
              <w:rPr>
                <w:rFonts w:cstheme="majorHAnsi"/>
                <w:color w:val="000000" w:themeColor="text1"/>
                <w:sz w:val="20"/>
                <w:szCs w:val="20"/>
              </w:rPr>
              <w:t>Participar en las evaluaciones periódicas que coordinará y realizará la OCR de cumplimiento de las PO/BM y otras salvaguardas de los proyectos implementados</w:t>
            </w:r>
            <w:r w:rsidR="004417F0" w:rsidRPr="009A27ED">
              <w:rPr>
                <w:rFonts w:cstheme="majorHAnsi"/>
                <w:color w:val="000000" w:themeColor="text1"/>
                <w:sz w:val="20"/>
                <w:szCs w:val="20"/>
              </w:rPr>
              <w:t xml:space="preserve">, incluido el </w:t>
            </w:r>
            <w:r w:rsidR="003E4B49" w:rsidRPr="009A27ED">
              <w:rPr>
                <w:rFonts w:cstheme="majorHAnsi"/>
                <w:color w:val="000000" w:themeColor="text1"/>
                <w:sz w:val="20"/>
                <w:szCs w:val="20"/>
              </w:rPr>
              <w:t>Sistema</w:t>
            </w:r>
            <w:r w:rsidR="004417F0" w:rsidRPr="009A27ED">
              <w:rPr>
                <w:rFonts w:cstheme="majorHAnsi"/>
                <w:color w:val="000000" w:themeColor="text1"/>
                <w:sz w:val="20"/>
                <w:szCs w:val="20"/>
              </w:rPr>
              <w:t xml:space="preserve"> de Quejas, Reclamos y Manejo de Conflictos</w:t>
            </w:r>
            <w:r w:rsidR="00746FE0" w:rsidRPr="009A27ED">
              <w:rPr>
                <w:rFonts w:cstheme="majorHAnsi"/>
                <w:color w:val="000000" w:themeColor="text1"/>
                <w:sz w:val="20"/>
                <w:szCs w:val="20"/>
              </w:rPr>
              <w:t xml:space="preserve"> </w:t>
            </w:r>
            <w:r w:rsidR="003E4B49" w:rsidRPr="009A27ED">
              <w:rPr>
                <w:rFonts w:cstheme="majorHAnsi"/>
                <w:color w:val="000000" w:themeColor="text1"/>
                <w:sz w:val="20"/>
                <w:szCs w:val="20"/>
              </w:rPr>
              <w:t>(SQRC)</w:t>
            </w:r>
            <w:r w:rsidRPr="009A27ED">
              <w:rPr>
                <w:rFonts w:cstheme="majorHAnsi"/>
                <w:color w:val="000000" w:themeColor="text1"/>
                <w:sz w:val="20"/>
                <w:szCs w:val="20"/>
              </w:rPr>
              <w:t xml:space="preserve">. </w:t>
            </w:r>
          </w:p>
          <w:p w14:paraId="4552BCCE" w14:textId="77777777" w:rsidR="00DB3A4C" w:rsidRPr="009A27ED" w:rsidRDefault="00DB3A4C" w:rsidP="00D42802">
            <w:pPr>
              <w:pStyle w:val="Apunteoticket"/>
              <w:numPr>
                <w:ilvl w:val="0"/>
                <w:numId w:val="66"/>
              </w:numPr>
              <w:cnfStyle w:val="000000000000" w:firstRow="0" w:lastRow="0" w:firstColumn="0" w:lastColumn="0" w:oddVBand="0" w:evenVBand="0" w:oddHBand="0" w:evenHBand="0" w:firstRowFirstColumn="0" w:firstRowLastColumn="0" w:lastRowFirstColumn="0" w:lastRowLastColumn="0"/>
              <w:rPr>
                <w:rFonts w:cstheme="majorHAnsi"/>
                <w:color w:val="000000" w:themeColor="text1"/>
                <w:sz w:val="20"/>
                <w:szCs w:val="20"/>
              </w:rPr>
            </w:pPr>
            <w:r w:rsidRPr="009A27ED">
              <w:rPr>
                <w:rFonts w:cstheme="majorHAnsi"/>
                <w:color w:val="000000" w:themeColor="text1"/>
                <w:sz w:val="20"/>
                <w:szCs w:val="20"/>
              </w:rPr>
              <w:t>Presentar reportes de seguimiento de acuerdo con los lineamientos establecidos por la OCR.</w:t>
            </w:r>
          </w:p>
          <w:p w14:paraId="12220760" w14:textId="77777777" w:rsidR="00DB3A4C" w:rsidRPr="009A27ED" w:rsidRDefault="00DB3A4C" w:rsidP="00D42802">
            <w:pPr>
              <w:pStyle w:val="Apunteoticket"/>
              <w:numPr>
                <w:ilvl w:val="0"/>
                <w:numId w:val="66"/>
              </w:numPr>
              <w:cnfStyle w:val="000000000000" w:firstRow="0" w:lastRow="0" w:firstColumn="0" w:lastColumn="0" w:oddVBand="0" w:evenVBand="0" w:oddHBand="0" w:evenHBand="0" w:firstRowFirstColumn="0" w:firstRowLastColumn="0" w:lastRowFirstColumn="0" w:lastRowLastColumn="0"/>
              <w:rPr>
                <w:rFonts w:cstheme="majorHAnsi"/>
                <w:color w:val="000000" w:themeColor="text1"/>
                <w:sz w:val="20"/>
                <w:szCs w:val="20"/>
              </w:rPr>
            </w:pPr>
            <w:r w:rsidRPr="009A27ED">
              <w:rPr>
                <w:rFonts w:cstheme="majorHAnsi"/>
                <w:color w:val="000000" w:themeColor="text1"/>
                <w:sz w:val="20"/>
                <w:szCs w:val="20"/>
              </w:rPr>
              <w:t xml:space="preserve">Aplicar los PMAS de las actividades específicas detallados en el acuerdo interinstitucional con la OCR. </w:t>
            </w:r>
          </w:p>
          <w:p w14:paraId="3E81ADDD" w14:textId="77777777" w:rsidR="00DB3A4C" w:rsidRPr="009A27ED" w:rsidRDefault="00DB3A4C" w:rsidP="00D42802">
            <w:pPr>
              <w:pStyle w:val="Apunteoticket"/>
              <w:keepNext/>
              <w:numPr>
                <w:ilvl w:val="0"/>
                <w:numId w:val="66"/>
              </w:numPr>
              <w:cnfStyle w:val="000000000000" w:firstRow="0" w:lastRow="0" w:firstColumn="0" w:lastColumn="0" w:oddVBand="0" w:evenVBand="0" w:oddHBand="0" w:evenHBand="0" w:firstRowFirstColumn="0" w:firstRowLastColumn="0" w:lastRowFirstColumn="0" w:lastRowLastColumn="0"/>
              <w:rPr>
                <w:rFonts w:cstheme="majorHAnsi"/>
                <w:color w:val="000000" w:themeColor="text1"/>
                <w:sz w:val="20"/>
                <w:szCs w:val="20"/>
              </w:rPr>
            </w:pPr>
            <w:r w:rsidRPr="009A27ED">
              <w:rPr>
                <w:rFonts w:cstheme="majorHAnsi"/>
                <w:color w:val="000000" w:themeColor="text1"/>
                <w:sz w:val="20"/>
                <w:szCs w:val="20"/>
              </w:rPr>
              <w:t>Las funciones anteriores estarán estrechamente relacionadas con el trabajo que realizará la OCR, de conformidad con los acuerdos interinstitucionales firmados.</w:t>
            </w:r>
          </w:p>
        </w:tc>
      </w:tr>
    </w:tbl>
    <w:p w14:paraId="29119CCE" w14:textId="12E0EDA1" w:rsidR="00947670" w:rsidRPr="009A27ED" w:rsidRDefault="00947670" w:rsidP="00E67CB0">
      <w:pPr>
        <w:pStyle w:val="Ttulo2"/>
        <w:numPr>
          <w:ilvl w:val="1"/>
          <w:numId w:val="277"/>
        </w:numPr>
        <w:spacing w:line="360" w:lineRule="auto"/>
        <w:jc w:val="both"/>
        <w:rPr>
          <w:sz w:val="24"/>
          <w:szCs w:val="24"/>
        </w:rPr>
      </w:pPr>
      <w:bookmarkStart w:id="247" w:name="_Toc529470007"/>
      <w:bookmarkStart w:id="248" w:name="_Toc532335868"/>
      <w:bookmarkStart w:id="249" w:name="_Toc111837956"/>
      <w:r w:rsidRPr="009A27ED">
        <w:rPr>
          <w:rFonts w:ascii="Times New Roman" w:eastAsia="Times New Roman" w:hAnsi="Times New Roman"/>
          <w:sz w:val="24"/>
          <w:szCs w:val="24"/>
        </w:rPr>
        <w:t xml:space="preserve">Entidades Ejecutoras con las que se </w:t>
      </w:r>
      <w:r w:rsidR="002267C3" w:rsidRPr="009A27ED">
        <w:rPr>
          <w:rFonts w:ascii="Times New Roman" w:eastAsia="Times New Roman" w:hAnsi="Times New Roman"/>
          <w:sz w:val="24"/>
          <w:szCs w:val="24"/>
        </w:rPr>
        <w:t xml:space="preserve">establecen </w:t>
      </w:r>
      <w:r w:rsidRPr="009A27ED">
        <w:rPr>
          <w:rFonts w:ascii="Times New Roman" w:eastAsia="Times New Roman" w:hAnsi="Times New Roman"/>
          <w:sz w:val="24"/>
          <w:szCs w:val="24"/>
        </w:rPr>
        <w:t>acuerdos interinstitucionales.</w:t>
      </w:r>
      <w:bookmarkEnd w:id="247"/>
      <w:bookmarkEnd w:id="248"/>
      <w:bookmarkEnd w:id="249"/>
    </w:p>
    <w:p w14:paraId="6D5C83C7" w14:textId="2DDD5398" w:rsidR="00947670" w:rsidRPr="009A27ED" w:rsidRDefault="00947670" w:rsidP="005B6485">
      <w:pPr>
        <w:spacing w:before="120" w:after="0" w:line="360" w:lineRule="auto"/>
        <w:rPr>
          <w:szCs w:val="22"/>
        </w:rPr>
      </w:pPr>
      <w:r w:rsidRPr="009A27ED">
        <w:rPr>
          <w:rFonts w:ascii="Times New Roman" w:eastAsia="Times New Roman" w:hAnsi="Times New Roman"/>
          <w:sz w:val="24"/>
          <w:szCs w:val="22"/>
        </w:rPr>
        <w:t xml:space="preserve">Las Entidades Ejecutoras fueron elegidas a través de un proceso de consulta interministerial y con el Comité Técnico Ampliado, considerando que estas instituciones pueden cumplir con metas de más </w:t>
      </w:r>
      <w:r w:rsidR="002F2A85" w:rsidRPr="009A27ED">
        <w:rPr>
          <w:rFonts w:ascii="Times New Roman" w:eastAsia="Times New Roman" w:hAnsi="Times New Roman"/>
          <w:sz w:val="24"/>
          <w:szCs w:val="22"/>
        </w:rPr>
        <w:t>d</w:t>
      </w:r>
      <w:r w:rsidRPr="009A27ED">
        <w:rPr>
          <w:rFonts w:ascii="Times New Roman" w:eastAsia="Times New Roman" w:hAnsi="Times New Roman"/>
          <w:sz w:val="24"/>
          <w:szCs w:val="22"/>
        </w:rPr>
        <w:t xml:space="preserve">e una línea de acción de la ENREDD+. </w:t>
      </w:r>
    </w:p>
    <w:p w14:paraId="2792BC2A" w14:textId="59635E96" w:rsidR="00B0735C" w:rsidRPr="009A27ED" w:rsidRDefault="00947670" w:rsidP="00B0735C">
      <w:pPr>
        <w:spacing w:before="120" w:after="0" w:line="360" w:lineRule="auto"/>
        <w:rPr>
          <w:color w:val="000000" w:themeColor="text1"/>
          <w:sz w:val="20"/>
        </w:rPr>
      </w:pPr>
      <w:r w:rsidRPr="009A27ED">
        <w:rPr>
          <w:rFonts w:ascii="Times New Roman" w:eastAsia="Times New Roman" w:hAnsi="Times New Roman"/>
          <w:sz w:val="24"/>
          <w:szCs w:val="22"/>
        </w:rPr>
        <w:t>Todos aquellos proyectos que se implementen dentro del marco de la Estrategia REDD+ deberán cumplir con los procedimientos establecidos en el presente MGAS</w:t>
      </w:r>
      <w:r w:rsidR="00EA55B6" w:rsidRPr="009A27ED">
        <w:rPr>
          <w:rFonts w:ascii="Times New Roman" w:eastAsia="Times New Roman" w:hAnsi="Times New Roman"/>
          <w:sz w:val="24"/>
          <w:szCs w:val="22"/>
        </w:rPr>
        <w:t xml:space="preserve"> y los PMAS, </w:t>
      </w:r>
      <w:r w:rsidRPr="009A27ED">
        <w:rPr>
          <w:rFonts w:ascii="Times New Roman" w:eastAsia="Times New Roman" w:hAnsi="Times New Roman"/>
          <w:sz w:val="24"/>
          <w:szCs w:val="22"/>
        </w:rPr>
        <w:t>independiente</w:t>
      </w:r>
      <w:r w:rsidR="00EA55B6" w:rsidRPr="009A27ED">
        <w:rPr>
          <w:rFonts w:ascii="Times New Roman" w:eastAsia="Times New Roman" w:hAnsi="Times New Roman"/>
          <w:sz w:val="24"/>
          <w:szCs w:val="22"/>
        </w:rPr>
        <w:t>mente</w:t>
      </w:r>
      <w:r w:rsidRPr="009A27ED">
        <w:rPr>
          <w:rFonts w:ascii="Times New Roman" w:eastAsia="Times New Roman" w:hAnsi="Times New Roman"/>
          <w:sz w:val="24"/>
          <w:szCs w:val="22"/>
        </w:rPr>
        <w:t xml:space="preserve"> </w:t>
      </w:r>
      <w:r w:rsidR="00EA55B6" w:rsidRPr="009A27ED">
        <w:rPr>
          <w:rFonts w:ascii="Times New Roman" w:eastAsia="Times New Roman" w:hAnsi="Times New Roman"/>
          <w:sz w:val="24"/>
          <w:szCs w:val="22"/>
        </w:rPr>
        <w:t>de</w:t>
      </w:r>
      <w:r w:rsidRPr="009A27ED">
        <w:rPr>
          <w:rFonts w:ascii="Times New Roman" w:eastAsia="Times New Roman" w:hAnsi="Times New Roman"/>
          <w:sz w:val="24"/>
          <w:szCs w:val="22"/>
        </w:rPr>
        <w:t xml:space="preserve"> la fuente de financiamiento y </w:t>
      </w:r>
      <w:r w:rsidR="001B7F9B" w:rsidRPr="009A27ED">
        <w:rPr>
          <w:rFonts w:ascii="Times New Roman" w:eastAsia="Times New Roman" w:hAnsi="Times New Roman"/>
          <w:sz w:val="24"/>
          <w:szCs w:val="22"/>
        </w:rPr>
        <w:t>de</w:t>
      </w:r>
      <w:r w:rsidRPr="009A27ED">
        <w:rPr>
          <w:rFonts w:ascii="Times New Roman" w:eastAsia="Times New Roman" w:hAnsi="Times New Roman"/>
          <w:sz w:val="24"/>
          <w:szCs w:val="22"/>
        </w:rPr>
        <w:t xml:space="preserve"> la agencia implementadora, ya sean estas nacionales como internacionales.</w:t>
      </w:r>
      <w:r w:rsidR="006E03E2" w:rsidRPr="009A27ED">
        <w:rPr>
          <w:rFonts w:ascii="Times New Roman" w:eastAsia="Times New Roman" w:hAnsi="Times New Roman"/>
          <w:sz w:val="24"/>
          <w:szCs w:val="22"/>
        </w:rPr>
        <w:t xml:space="preserve"> A </w:t>
      </w:r>
      <w:proofErr w:type="gramStart"/>
      <w:r w:rsidR="006E03E2" w:rsidRPr="009A27ED">
        <w:rPr>
          <w:rFonts w:ascii="Times New Roman" w:eastAsia="Times New Roman" w:hAnsi="Times New Roman"/>
          <w:sz w:val="24"/>
          <w:szCs w:val="22"/>
        </w:rPr>
        <w:t>continuación</w:t>
      </w:r>
      <w:proofErr w:type="gramEnd"/>
      <w:r w:rsidR="006E03E2" w:rsidRPr="009A27ED">
        <w:rPr>
          <w:rFonts w:ascii="Times New Roman" w:eastAsia="Times New Roman" w:hAnsi="Times New Roman"/>
          <w:sz w:val="24"/>
          <w:szCs w:val="22"/>
        </w:rPr>
        <w:t xml:space="preserve"> la lista de planes, sistemas, programas y proyectos seleccionados:</w:t>
      </w:r>
    </w:p>
    <w:p w14:paraId="24C8385F" w14:textId="77777777" w:rsidR="0007781E" w:rsidRPr="009A27ED" w:rsidRDefault="0007781E" w:rsidP="001E165D">
      <w:pPr>
        <w:pStyle w:val="Descripcin"/>
        <w:spacing w:line="360" w:lineRule="auto"/>
        <w:rPr>
          <w:color w:val="000000" w:themeColor="text1"/>
          <w:sz w:val="20"/>
        </w:rPr>
      </w:pPr>
    </w:p>
    <w:p w14:paraId="0CE42C62" w14:textId="77777777" w:rsidR="0007781E" w:rsidRPr="009A27ED" w:rsidRDefault="0007781E" w:rsidP="001E165D">
      <w:pPr>
        <w:pStyle w:val="Descripcin"/>
        <w:spacing w:line="360" w:lineRule="auto"/>
        <w:rPr>
          <w:color w:val="000000" w:themeColor="text1"/>
          <w:sz w:val="20"/>
        </w:rPr>
      </w:pPr>
    </w:p>
    <w:p w14:paraId="4BD519C0" w14:textId="77777777" w:rsidR="0007781E" w:rsidRPr="009A27ED" w:rsidRDefault="0007781E" w:rsidP="001E165D">
      <w:pPr>
        <w:pStyle w:val="Descripcin"/>
        <w:spacing w:line="360" w:lineRule="auto"/>
        <w:rPr>
          <w:color w:val="000000" w:themeColor="text1"/>
          <w:sz w:val="20"/>
        </w:rPr>
      </w:pPr>
    </w:p>
    <w:p w14:paraId="2181A4DA" w14:textId="77777777" w:rsidR="0007781E" w:rsidRPr="009A27ED" w:rsidRDefault="0007781E" w:rsidP="001E165D">
      <w:pPr>
        <w:pStyle w:val="Descripcin"/>
        <w:spacing w:line="360" w:lineRule="auto"/>
        <w:rPr>
          <w:color w:val="000000" w:themeColor="text1"/>
          <w:sz w:val="20"/>
        </w:rPr>
      </w:pPr>
    </w:p>
    <w:p w14:paraId="76277C49" w14:textId="77777777" w:rsidR="0007781E" w:rsidRPr="009A27ED" w:rsidRDefault="0007781E" w:rsidP="001E165D">
      <w:pPr>
        <w:pStyle w:val="Descripcin"/>
        <w:spacing w:line="360" w:lineRule="auto"/>
        <w:rPr>
          <w:color w:val="000000" w:themeColor="text1"/>
          <w:sz w:val="20"/>
        </w:rPr>
      </w:pPr>
    </w:p>
    <w:p w14:paraId="47B3F242" w14:textId="77777777" w:rsidR="0007781E" w:rsidRPr="009A27ED" w:rsidRDefault="0007781E" w:rsidP="001E165D">
      <w:pPr>
        <w:pStyle w:val="Descripcin"/>
        <w:spacing w:line="360" w:lineRule="auto"/>
        <w:rPr>
          <w:color w:val="000000" w:themeColor="text1"/>
          <w:sz w:val="20"/>
        </w:rPr>
      </w:pPr>
    </w:p>
    <w:p w14:paraId="45896DB4" w14:textId="77777777" w:rsidR="0007781E" w:rsidRPr="009A27ED" w:rsidRDefault="0007781E" w:rsidP="001E165D">
      <w:pPr>
        <w:pStyle w:val="Descripcin"/>
        <w:spacing w:line="360" w:lineRule="auto"/>
        <w:rPr>
          <w:color w:val="000000" w:themeColor="text1"/>
          <w:sz w:val="20"/>
        </w:rPr>
      </w:pPr>
    </w:p>
    <w:p w14:paraId="46A9B949" w14:textId="77777777" w:rsidR="0007781E" w:rsidRPr="009A27ED" w:rsidRDefault="0007781E" w:rsidP="001E165D">
      <w:pPr>
        <w:pStyle w:val="Descripcin"/>
        <w:spacing w:line="360" w:lineRule="auto"/>
        <w:rPr>
          <w:color w:val="000000" w:themeColor="text1"/>
          <w:sz w:val="20"/>
        </w:rPr>
      </w:pPr>
    </w:p>
    <w:p w14:paraId="33A07358" w14:textId="77777777" w:rsidR="0007781E" w:rsidRPr="009A27ED" w:rsidRDefault="0007781E" w:rsidP="001E165D">
      <w:pPr>
        <w:pStyle w:val="Descripcin"/>
        <w:spacing w:line="360" w:lineRule="auto"/>
        <w:rPr>
          <w:color w:val="000000" w:themeColor="text1"/>
          <w:sz w:val="20"/>
        </w:rPr>
      </w:pPr>
    </w:p>
    <w:p w14:paraId="3D62BB4B" w14:textId="77777777" w:rsidR="0007781E" w:rsidRPr="009A27ED" w:rsidRDefault="0007781E" w:rsidP="001E165D">
      <w:pPr>
        <w:pStyle w:val="Descripcin"/>
        <w:spacing w:line="360" w:lineRule="auto"/>
        <w:rPr>
          <w:color w:val="000000" w:themeColor="text1"/>
          <w:sz w:val="20"/>
        </w:rPr>
      </w:pPr>
    </w:p>
    <w:p w14:paraId="047A1396" w14:textId="77777777" w:rsidR="0007781E" w:rsidRPr="009A27ED" w:rsidRDefault="0007781E" w:rsidP="001E165D">
      <w:pPr>
        <w:pStyle w:val="Descripcin"/>
        <w:spacing w:line="360" w:lineRule="auto"/>
        <w:rPr>
          <w:color w:val="000000" w:themeColor="text1"/>
          <w:sz w:val="20"/>
        </w:rPr>
      </w:pPr>
    </w:p>
    <w:p w14:paraId="7AE0064B" w14:textId="77777777" w:rsidR="0007781E" w:rsidRPr="009A27ED" w:rsidRDefault="0007781E" w:rsidP="001E165D">
      <w:pPr>
        <w:pStyle w:val="Descripcin"/>
        <w:spacing w:line="360" w:lineRule="auto"/>
        <w:rPr>
          <w:color w:val="000000" w:themeColor="text1"/>
          <w:sz w:val="20"/>
        </w:rPr>
      </w:pPr>
    </w:p>
    <w:p w14:paraId="5B3B5E6B" w14:textId="77777777" w:rsidR="0007781E" w:rsidRPr="009A27ED" w:rsidRDefault="0007781E" w:rsidP="001E165D">
      <w:pPr>
        <w:pStyle w:val="Descripcin"/>
        <w:spacing w:line="360" w:lineRule="auto"/>
        <w:rPr>
          <w:color w:val="000000" w:themeColor="text1"/>
          <w:sz w:val="20"/>
        </w:rPr>
      </w:pPr>
    </w:p>
    <w:p w14:paraId="4C2D2546" w14:textId="77777777" w:rsidR="0007781E" w:rsidRPr="009A27ED" w:rsidRDefault="0007781E" w:rsidP="001E165D">
      <w:pPr>
        <w:pStyle w:val="Descripcin"/>
        <w:spacing w:line="360" w:lineRule="auto"/>
        <w:rPr>
          <w:color w:val="000000" w:themeColor="text1"/>
          <w:sz w:val="20"/>
        </w:rPr>
      </w:pPr>
    </w:p>
    <w:p w14:paraId="107B77D6" w14:textId="77777777" w:rsidR="0007781E" w:rsidRPr="009A27ED" w:rsidRDefault="0007781E" w:rsidP="001E165D">
      <w:pPr>
        <w:pStyle w:val="Descripcin"/>
        <w:spacing w:line="360" w:lineRule="auto"/>
        <w:rPr>
          <w:color w:val="000000" w:themeColor="text1"/>
          <w:sz w:val="20"/>
        </w:rPr>
      </w:pPr>
    </w:p>
    <w:p w14:paraId="3CFB7421" w14:textId="77777777" w:rsidR="0007781E" w:rsidRPr="009A27ED" w:rsidRDefault="0007781E" w:rsidP="001E165D">
      <w:pPr>
        <w:pStyle w:val="Descripcin"/>
        <w:spacing w:line="360" w:lineRule="auto"/>
        <w:rPr>
          <w:color w:val="000000" w:themeColor="text1"/>
          <w:sz w:val="20"/>
        </w:rPr>
      </w:pPr>
    </w:p>
    <w:p w14:paraId="16B4439E" w14:textId="77777777" w:rsidR="0007781E" w:rsidRPr="009A27ED" w:rsidRDefault="0007781E" w:rsidP="001E165D">
      <w:pPr>
        <w:pStyle w:val="Descripcin"/>
        <w:spacing w:line="360" w:lineRule="auto"/>
        <w:rPr>
          <w:color w:val="000000" w:themeColor="text1"/>
          <w:sz w:val="20"/>
        </w:rPr>
      </w:pPr>
    </w:p>
    <w:p w14:paraId="26057670" w14:textId="29602A44" w:rsidR="0007781E" w:rsidRPr="009A27ED" w:rsidRDefault="0007781E" w:rsidP="0007781E">
      <w:pPr>
        <w:pStyle w:val="Descripcin"/>
        <w:keepNext/>
        <w:spacing w:line="360" w:lineRule="auto"/>
      </w:pPr>
      <w:bookmarkStart w:id="250" w:name="_Toc111887453"/>
      <w:r w:rsidRPr="009A27ED">
        <w:rPr>
          <w:rFonts w:ascii="Times New Roman" w:eastAsia="Times New Roman" w:hAnsi="Times New Roman"/>
          <w:sz w:val="24"/>
        </w:rPr>
        <w:lastRenderedPageBreak/>
        <w:t xml:space="preserve">Cuadro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Cuadro \* ARABIC </w:instrText>
      </w:r>
      <w:r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43</w:t>
      </w:r>
      <w:r w:rsidRPr="009A27ED">
        <w:rPr>
          <w:rFonts w:ascii="Times New Roman" w:eastAsia="Times New Roman" w:hAnsi="Times New Roman"/>
          <w:sz w:val="24"/>
        </w:rPr>
        <w:fldChar w:fldCharType="end"/>
      </w:r>
      <w:r w:rsidRPr="009A27ED">
        <w:rPr>
          <w:rFonts w:ascii="Times New Roman" w:eastAsia="Times New Roman" w:hAnsi="Times New Roman"/>
          <w:sz w:val="24"/>
        </w:rPr>
        <w:t>. Entidades responsables de proyectos y programas</w:t>
      </w:r>
      <w:bookmarkEnd w:id="250"/>
    </w:p>
    <w:tbl>
      <w:tblPr>
        <w:tblW w:w="9215" w:type="dxa"/>
        <w:jc w:val="center"/>
        <w:tblCellMar>
          <w:left w:w="0" w:type="dxa"/>
          <w:right w:w="0" w:type="dxa"/>
        </w:tblCellMar>
        <w:tblLook w:val="04A0" w:firstRow="1" w:lastRow="0" w:firstColumn="1" w:lastColumn="0" w:noHBand="0" w:noVBand="1"/>
      </w:tblPr>
      <w:tblGrid>
        <w:gridCol w:w="678"/>
        <w:gridCol w:w="4362"/>
        <w:gridCol w:w="4175"/>
      </w:tblGrid>
      <w:tr w:rsidR="008A1CDF" w:rsidRPr="009A27ED" w14:paraId="1B71FE05" w14:textId="77777777" w:rsidTr="0007781E">
        <w:trPr>
          <w:trHeight w:val="915"/>
          <w:tblHeader/>
          <w:jc w:val="center"/>
        </w:trPr>
        <w:tc>
          <w:tcPr>
            <w:tcW w:w="678"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3643F59" w14:textId="3D805887" w:rsidR="008A1CDF" w:rsidRPr="009A27ED" w:rsidRDefault="008A1CDF" w:rsidP="00562F95">
            <w:pPr>
              <w:pStyle w:val="Ttulo2"/>
              <w:numPr>
                <w:ilvl w:val="1"/>
                <w:numId w:val="0"/>
              </w:numPr>
              <w:ind w:left="360" w:hanging="360"/>
              <w:jc w:val="left"/>
              <w:rPr>
                <w:rFonts w:eastAsia="Times New Roman" w:cs="Calibri"/>
                <w:bCs/>
                <w:sz w:val="20"/>
                <w:szCs w:val="20"/>
                <w:lang w:val="es-GT" w:eastAsia="es-DO"/>
              </w:rPr>
            </w:pPr>
            <w:bookmarkStart w:id="251" w:name="_Toc111837957"/>
            <w:r w:rsidRPr="009A27ED">
              <w:rPr>
                <w:rFonts w:eastAsia="Times New Roman" w:cs="Calibri"/>
                <w:bCs/>
                <w:sz w:val="20"/>
                <w:szCs w:val="20"/>
                <w:lang w:val="es-GT" w:eastAsia="es-DO"/>
              </w:rPr>
              <w:t>No.</w:t>
            </w:r>
            <w:bookmarkEnd w:id="251"/>
          </w:p>
        </w:tc>
        <w:tc>
          <w:tcPr>
            <w:tcW w:w="4362" w:type="dxa"/>
            <w:tcBorders>
              <w:top w:val="single" w:sz="8" w:space="0" w:color="auto"/>
              <w:left w:val="nil"/>
              <w:bottom w:val="single" w:sz="8" w:space="0" w:color="auto"/>
              <w:right w:val="single" w:sz="4" w:space="0" w:color="auto"/>
            </w:tcBorders>
            <w:shd w:val="clear" w:color="auto" w:fill="auto"/>
            <w:tcMar>
              <w:top w:w="0" w:type="dxa"/>
              <w:left w:w="108" w:type="dxa"/>
              <w:bottom w:w="0" w:type="dxa"/>
              <w:right w:w="108" w:type="dxa"/>
            </w:tcMar>
            <w:vAlign w:val="center"/>
            <w:hideMark/>
          </w:tcPr>
          <w:p w14:paraId="77DF1FD5" w14:textId="77777777" w:rsidR="008A1CDF" w:rsidRPr="009A27ED" w:rsidRDefault="008A1CDF" w:rsidP="00562F95">
            <w:pPr>
              <w:pStyle w:val="Ttulo2"/>
              <w:numPr>
                <w:ilvl w:val="1"/>
                <w:numId w:val="0"/>
              </w:numPr>
              <w:ind w:left="360" w:hanging="360"/>
              <w:jc w:val="left"/>
              <w:rPr>
                <w:rFonts w:eastAsia="Times New Roman" w:cs="Calibri"/>
                <w:bCs/>
                <w:sz w:val="20"/>
                <w:szCs w:val="20"/>
                <w:lang w:val="es-GT" w:eastAsia="es-DO"/>
              </w:rPr>
            </w:pPr>
            <w:bookmarkStart w:id="252" w:name="_Toc111837958"/>
            <w:r w:rsidRPr="009A27ED">
              <w:rPr>
                <w:rFonts w:eastAsia="Times New Roman" w:cs="Calibri"/>
                <w:bCs/>
                <w:sz w:val="20"/>
                <w:szCs w:val="20"/>
                <w:lang w:val="es-GT" w:eastAsia="es-DO"/>
              </w:rPr>
              <w:t>Plan, Sistema, Programa/ Proyecto</w:t>
            </w:r>
            <w:bookmarkEnd w:id="252"/>
          </w:p>
        </w:tc>
        <w:tc>
          <w:tcPr>
            <w:tcW w:w="4175" w:type="dxa"/>
            <w:tcBorders>
              <w:top w:val="single" w:sz="8" w:space="0" w:color="auto"/>
              <w:left w:val="single" w:sz="4"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5D51ACD" w14:textId="77777777" w:rsidR="008A1CDF" w:rsidRPr="009A27ED" w:rsidRDefault="008A1CDF" w:rsidP="00562F95">
            <w:pPr>
              <w:pStyle w:val="Ttulo2"/>
              <w:numPr>
                <w:ilvl w:val="1"/>
                <w:numId w:val="0"/>
              </w:numPr>
              <w:ind w:left="360" w:hanging="360"/>
              <w:jc w:val="left"/>
              <w:rPr>
                <w:rFonts w:eastAsia="Times New Roman" w:cs="Calibri"/>
                <w:bCs/>
                <w:sz w:val="20"/>
                <w:szCs w:val="20"/>
                <w:lang w:val="es-GT" w:eastAsia="es-DO"/>
              </w:rPr>
            </w:pPr>
            <w:bookmarkStart w:id="253" w:name="_Toc111837959"/>
            <w:r w:rsidRPr="009A27ED">
              <w:rPr>
                <w:rFonts w:eastAsia="Times New Roman" w:cs="Calibri"/>
                <w:bCs/>
                <w:sz w:val="20"/>
                <w:szCs w:val="20"/>
                <w:lang w:val="es-GT" w:eastAsia="es-DO"/>
              </w:rPr>
              <w:t>Entidad Ejecutora</w:t>
            </w:r>
            <w:bookmarkEnd w:id="253"/>
          </w:p>
        </w:tc>
      </w:tr>
      <w:tr w:rsidR="008A1CDF" w:rsidRPr="009A27ED" w14:paraId="6C2D28D0" w14:textId="77777777" w:rsidTr="0007781E">
        <w:trPr>
          <w:trHeight w:val="915"/>
          <w:tblHeader/>
          <w:jc w:val="center"/>
        </w:trPr>
        <w:tc>
          <w:tcPr>
            <w:tcW w:w="678"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F2ACD98" w14:textId="30D851A8" w:rsidR="008A1CDF" w:rsidRPr="009A27ED" w:rsidRDefault="008A1CDF" w:rsidP="00562F95">
            <w:pPr>
              <w:pStyle w:val="Ttulo2"/>
              <w:numPr>
                <w:ilvl w:val="1"/>
                <w:numId w:val="0"/>
              </w:numPr>
              <w:ind w:left="360" w:hanging="360"/>
              <w:jc w:val="left"/>
              <w:rPr>
                <w:rFonts w:eastAsia="Times New Roman" w:cs="Calibri"/>
                <w:b w:val="0"/>
                <w:sz w:val="20"/>
                <w:szCs w:val="20"/>
                <w:lang w:val="es-GT" w:eastAsia="es-DO"/>
              </w:rPr>
            </w:pPr>
            <w:bookmarkStart w:id="254" w:name="_Toc111837960"/>
            <w:r w:rsidRPr="009A27ED">
              <w:rPr>
                <w:rFonts w:eastAsia="Times New Roman" w:cs="Calibri"/>
                <w:b w:val="0"/>
                <w:sz w:val="20"/>
                <w:szCs w:val="20"/>
                <w:lang w:val="es-GT" w:eastAsia="es-DO"/>
              </w:rPr>
              <w:t>1</w:t>
            </w:r>
            <w:bookmarkEnd w:id="254"/>
          </w:p>
        </w:tc>
        <w:tc>
          <w:tcPr>
            <w:tcW w:w="4362" w:type="dxa"/>
            <w:tcBorders>
              <w:top w:val="single" w:sz="8" w:space="0" w:color="auto"/>
              <w:left w:val="nil"/>
              <w:bottom w:val="single" w:sz="8" w:space="0" w:color="auto"/>
              <w:right w:val="single" w:sz="4" w:space="0" w:color="auto"/>
            </w:tcBorders>
            <w:shd w:val="clear" w:color="auto" w:fill="auto"/>
            <w:tcMar>
              <w:top w:w="0" w:type="dxa"/>
              <w:left w:w="108" w:type="dxa"/>
              <w:bottom w:w="0" w:type="dxa"/>
              <w:right w:w="108" w:type="dxa"/>
            </w:tcMar>
            <w:vAlign w:val="center"/>
            <w:hideMark/>
          </w:tcPr>
          <w:p w14:paraId="281E40DF" w14:textId="77777777" w:rsidR="008A1CDF" w:rsidRPr="009A27ED" w:rsidRDefault="008A1CDF" w:rsidP="00562F95">
            <w:pPr>
              <w:pStyle w:val="Ttulo2"/>
              <w:numPr>
                <w:ilvl w:val="1"/>
                <w:numId w:val="0"/>
              </w:numPr>
              <w:ind w:left="360" w:hanging="360"/>
              <w:jc w:val="left"/>
              <w:rPr>
                <w:rFonts w:eastAsia="Times New Roman" w:cs="Calibri"/>
                <w:b w:val="0"/>
                <w:sz w:val="20"/>
                <w:szCs w:val="20"/>
                <w:lang w:val="es-GT" w:eastAsia="es-DO"/>
              </w:rPr>
            </w:pPr>
            <w:bookmarkStart w:id="255" w:name="_Toc111837961"/>
            <w:r w:rsidRPr="009A27ED">
              <w:rPr>
                <w:rFonts w:eastAsia="Times New Roman" w:cs="Calibri"/>
                <w:b w:val="0"/>
                <w:sz w:val="20"/>
                <w:szCs w:val="20"/>
                <w:lang w:val="es-GT" w:eastAsia="es-DO"/>
              </w:rPr>
              <w:t>Proyecto La Celestina</w:t>
            </w:r>
            <w:bookmarkEnd w:id="255"/>
          </w:p>
        </w:tc>
        <w:tc>
          <w:tcPr>
            <w:tcW w:w="4175" w:type="dxa"/>
            <w:tcBorders>
              <w:top w:val="single" w:sz="8" w:space="0" w:color="auto"/>
              <w:left w:val="single" w:sz="4"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BAB8035" w14:textId="77777777" w:rsidR="008A1CDF" w:rsidRPr="009A27ED" w:rsidRDefault="008A1CDF" w:rsidP="00562F95">
            <w:pPr>
              <w:pStyle w:val="Ttulo2"/>
              <w:numPr>
                <w:ilvl w:val="1"/>
                <w:numId w:val="0"/>
              </w:numPr>
              <w:ind w:left="360" w:hanging="360"/>
              <w:jc w:val="left"/>
              <w:rPr>
                <w:rFonts w:eastAsia="Times New Roman" w:cs="Calibri"/>
                <w:b w:val="0"/>
                <w:sz w:val="20"/>
                <w:szCs w:val="20"/>
                <w:lang w:val="es-GT" w:eastAsia="es-DO"/>
              </w:rPr>
            </w:pPr>
            <w:bookmarkStart w:id="256" w:name="_Toc111837962"/>
            <w:r w:rsidRPr="009A27ED">
              <w:rPr>
                <w:rFonts w:eastAsia="Times New Roman" w:cs="Calibri"/>
                <w:b w:val="0"/>
                <w:sz w:val="20"/>
                <w:szCs w:val="20"/>
                <w:lang w:val="es-GT" w:eastAsia="es-DO"/>
              </w:rPr>
              <w:t>Asociación de Silvicultores San Ramón</w:t>
            </w:r>
            <w:bookmarkEnd w:id="256"/>
          </w:p>
          <w:p w14:paraId="6D6238E2" w14:textId="77777777" w:rsidR="008A1CDF" w:rsidRPr="009A27ED" w:rsidRDefault="008A1CDF" w:rsidP="00562F95">
            <w:pPr>
              <w:pStyle w:val="Ttulo2"/>
              <w:numPr>
                <w:ilvl w:val="1"/>
                <w:numId w:val="0"/>
              </w:numPr>
              <w:ind w:left="360" w:hanging="360"/>
              <w:jc w:val="left"/>
              <w:rPr>
                <w:rFonts w:eastAsia="Times New Roman" w:cs="Calibri"/>
                <w:b w:val="0"/>
                <w:sz w:val="20"/>
                <w:szCs w:val="20"/>
                <w:lang w:val="es-GT" w:eastAsia="es-DO"/>
              </w:rPr>
            </w:pPr>
            <w:bookmarkStart w:id="257" w:name="_Toc111837963"/>
            <w:r w:rsidRPr="009A27ED">
              <w:rPr>
                <w:rFonts w:eastAsia="Times New Roman" w:cs="Calibri"/>
                <w:b w:val="0"/>
                <w:sz w:val="20"/>
                <w:szCs w:val="20"/>
                <w:lang w:val="es-GT" w:eastAsia="es-DO"/>
              </w:rPr>
              <w:t>Consejo Directivo del Proyecto</w:t>
            </w:r>
            <w:bookmarkEnd w:id="257"/>
          </w:p>
        </w:tc>
      </w:tr>
      <w:tr w:rsidR="008A1CDF" w:rsidRPr="009A27ED" w14:paraId="2B52520E" w14:textId="77777777" w:rsidTr="0007781E">
        <w:trPr>
          <w:trHeight w:val="915"/>
          <w:tblHeader/>
          <w:jc w:val="center"/>
        </w:trPr>
        <w:tc>
          <w:tcPr>
            <w:tcW w:w="678"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B83B75D" w14:textId="5E1A29F1" w:rsidR="008A1CDF" w:rsidRPr="009A27ED" w:rsidRDefault="008A1CDF" w:rsidP="00562F95">
            <w:pPr>
              <w:pStyle w:val="Ttulo2"/>
              <w:numPr>
                <w:ilvl w:val="1"/>
                <w:numId w:val="0"/>
              </w:numPr>
              <w:ind w:left="360" w:hanging="360"/>
              <w:jc w:val="left"/>
              <w:rPr>
                <w:rFonts w:eastAsia="Times New Roman" w:cs="Calibri"/>
                <w:b w:val="0"/>
                <w:sz w:val="20"/>
                <w:szCs w:val="20"/>
                <w:lang w:val="es-GT" w:eastAsia="es-DO"/>
              </w:rPr>
            </w:pPr>
            <w:bookmarkStart w:id="258" w:name="_Toc111837964"/>
            <w:r w:rsidRPr="009A27ED">
              <w:rPr>
                <w:rFonts w:eastAsia="Times New Roman" w:cs="Calibri"/>
                <w:b w:val="0"/>
                <w:sz w:val="20"/>
                <w:szCs w:val="20"/>
                <w:lang w:val="es-GT" w:eastAsia="es-DO"/>
              </w:rPr>
              <w:t>2</w:t>
            </w:r>
            <w:bookmarkEnd w:id="258"/>
          </w:p>
        </w:tc>
        <w:tc>
          <w:tcPr>
            <w:tcW w:w="4362" w:type="dxa"/>
            <w:tcBorders>
              <w:top w:val="single" w:sz="8" w:space="0" w:color="auto"/>
              <w:left w:val="nil"/>
              <w:bottom w:val="single" w:sz="8" w:space="0" w:color="auto"/>
              <w:right w:val="single" w:sz="4" w:space="0" w:color="auto"/>
            </w:tcBorders>
            <w:shd w:val="clear" w:color="auto" w:fill="auto"/>
            <w:tcMar>
              <w:top w:w="0" w:type="dxa"/>
              <w:left w:w="108" w:type="dxa"/>
              <w:bottom w:w="0" w:type="dxa"/>
              <w:right w:w="108" w:type="dxa"/>
            </w:tcMar>
            <w:vAlign w:val="center"/>
            <w:hideMark/>
          </w:tcPr>
          <w:p w14:paraId="271E31BE" w14:textId="77777777" w:rsidR="008A1CDF" w:rsidRPr="009A27ED" w:rsidRDefault="008A1CDF" w:rsidP="00562F95">
            <w:pPr>
              <w:pStyle w:val="Ttulo2"/>
              <w:numPr>
                <w:ilvl w:val="1"/>
                <w:numId w:val="0"/>
              </w:numPr>
              <w:ind w:left="360" w:hanging="360"/>
              <w:jc w:val="left"/>
              <w:rPr>
                <w:rFonts w:eastAsia="Times New Roman" w:cs="Calibri"/>
                <w:b w:val="0"/>
                <w:sz w:val="20"/>
                <w:szCs w:val="20"/>
                <w:lang w:val="es-GT" w:eastAsia="es-DO"/>
              </w:rPr>
            </w:pPr>
            <w:bookmarkStart w:id="259" w:name="_Toc111837965"/>
            <w:r w:rsidRPr="009A27ED">
              <w:rPr>
                <w:rFonts w:eastAsia="Times New Roman" w:cs="Calibri"/>
                <w:b w:val="0"/>
                <w:sz w:val="20"/>
                <w:szCs w:val="20"/>
                <w:lang w:val="es-GT" w:eastAsia="es-DO"/>
              </w:rPr>
              <w:t>Plan de manejo forestal</w:t>
            </w:r>
            <w:bookmarkEnd w:id="259"/>
          </w:p>
        </w:tc>
        <w:tc>
          <w:tcPr>
            <w:tcW w:w="4175" w:type="dxa"/>
            <w:tcBorders>
              <w:top w:val="single" w:sz="8" w:space="0" w:color="auto"/>
              <w:left w:val="single" w:sz="4"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C672063" w14:textId="21E499F0" w:rsidR="008A1CDF" w:rsidRPr="009A27ED" w:rsidRDefault="008A1CDF" w:rsidP="00562F95">
            <w:pPr>
              <w:pStyle w:val="Ttulo2"/>
              <w:numPr>
                <w:ilvl w:val="1"/>
                <w:numId w:val="0"/>
              </w:numPr>
              <w:ind w:left="360" w:hanging="360"/>
              <w:jc w:val="left"/>
              <w:rPr>
                <w:rFonts w:eastAsia="Times New Roman" w:cs="Calibri"/>
                <w:b w:val="0"/>
                <w:sz w:val="20"/>
                <w:szCs w:val="20"/>
                <w:lang w:val="es-GT" w:eastAsia="es-DO"/>
              </w:rPr>
            </w:pPr>
            <w:bookmarkStart w:id="260" w:name="_Toc111837966"/>
            <w:r w:rsidRPr="009A27ED">
              <w:rPr>
                <w:rFonts w:eastAsia="Times New Roman" w:cs="Calibri"/>
                <w:b w:val="0"/>
                <w:sz w:val="20"/>
                <w:szCs w:val="20"/>
                <w:lang w:val="es-GT" w:eastAsia="es-DO"/>
              </w:rPr>
              <w:t xml:space="preserve">Asociación de Desarrollo Forestal </w:t>
            </w:r>
            <w:r w:rsidR="00B0735C" w:rsidRPr="009A27ED">
              <w:rPr>
                <w:rFonts w:eastAsia="Times New Roman" w:cs="Calibri"/>
                <w:b w:val="0"/>
                <w:sz w:val="20"/>
                <w:szCs w:val="20"/>
                <w:lang w:val="es-GT" w:eastAsia="es-DO"/>
              </w:rPr>
              <w:t xml:space="preserve">Sostenible </w:t>
            </w:r>
            <w:r w:rsidRPr="009A27ED">
              <w:rPr>
                <w:rFonts w:eastAsia="Times New Roman" w:cs="Calibri"/>
                <w:b w:val="0"/>
                <w:sz w:val="20"/>
                <w:szCs w:val="20"/>
                <w:lang w:val="es-GT" w:eastAsia="es-DO"/>
              </w:rPr>
              <w:t>de Restauración-ASODEFOREST,</w:t>
            </w:r>
            <w:bookmarkEnd w:id="260"/>
          </w:p>
        </w:tc>
      </w:tr>
      <w:tr w:rsidR="008A1CDF" w:rsidRPr="009A27ED" w14:paraId="143C94F3" w14:textId="77777777" w:rsidTr="0007781E">
        <w:trPr>
          <w:trHeight w:val="915"/>
          <w:tblHeader/>
          <w:jc w:val="center"/>
        </w:trPr>
        <w:tc>
          <w:tcPr>
            <w:tcW w:w="678"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0229FA2" w14:textId="2733C2DF" w:rsidR="008A1CDF" w:rsidRPr="009A27ED" w:rsidRDefault="000C4D01" w:rsidP="00562F95">
            <w:pPr>
              <w:pStyle w:val="Ttulo2"/>
              <w:numPr>
                <w:ilvl w:val="1"/>
                <w:numId w:val="0"/>
              </w:numPr>
              <w:ind w:left="360" w:hanging="360"/>
              <w:jc w:val="left"/>
              <w:rPr>
                <w:rFonts w:eastAsia="Times New Roman" w:cs="Calibri"/>
                <w:b w:val="0"/>
                <w:sz w:val="20"/>
                <w:szCs w:val="20"/>
                <w:lang w:val="es-GT" w:eastAsia="es-DO"/>
              </w:rPr>
            </w:pPr>
            <w:r w:rsidRPr="009A27ED">
              <w:rPr>
                <w:rFonts w:eastAsia="Times New Roman" w:cs="Calibri"/>
                <w:b w:val="0"/>
                <w:sz w:val="20"/>
                <w:szCs w:val="20"/>
                <w:lang w:val="es-GT" w:eastAsia="es-DO"/>
              </w:rPr>
              <w:t xml:space="preserve"> </w:t>
            </w:r>
            <w:bookmarkStart w:id="261" w:name="_Toc111837967"/>
            <w:r w:rsidR="008A1CDF" w:rsidRPr="009A27ED">
              <w:rPr>
                <w:rFonts w:eastAsia="Times New Roman" w:cs="Calibri"/>
                <w:b w:val="0"/>
                <w:sz w:val="20"/>
                <w:szCs w:val="20"/>
                <w:lang w:val="es-GT" w:eastAsia="es-DO"/>
              </w:rPr>
              <w:t>3</w:t>
            </w:r>
            <w:bookmarkEnd w:id="261"/>
          </w:p>
        </w:tc>
        <w:tc>
          <w:tcPr>
            <w:tcW w:w="4362" w:type="dxa"/>
            <w:tcBorders>
              <w:top w:val="single" w:sz="8" w:space="0" w:color="auto"/>
              <w:left w:val="nil"/>
              <w:bottom w:val="single" w:sz="8" w:space="0" w:color="auto"/>
              <w:right w:val="single" w:sz="4" w:space="0" w:color="auto"/>
            </w:tcBorders>
            <w:shd w:val="clear" w:color="auto" w:fill="auto"/>
            <w:tcMar>
              <w:top w:w="0" w:type="dxa"/>
              <w:left w:w="108" w:type="dxa"/>
              <w:bottom w:w="0" w:type="dxa"/>
              <w:right w:w="108" w:type="dxa"/>
            </w:tcMar>
            <w:vAlign w:val="center"/>
            <w:hideMark/>
          </w:tcPr>
          <w:p w14:paraId="1B52B457" w14:textId="77777777" w:rsidR="008A1CDF" w:rsidRPr="009A27ED" w:rsidRDefault="008A1CDF" w:rsidP="00562F95">
            <w:pPr>
              <w:pStyle w:val="Ttulo2"/>
              <w:numPr>
                <w:ilvl w:val="1"/>
                <w:numId w:val="0"/>
              </w:numPr>
              <w:ind w:left="360" w:hanging="360"/>
              <w:jc w:val="left"/>
              <w:rPr>
                <w:rFonts w:eastAsia="Times New Roman" w:cs="Calibri"/>
                <w:b w:val="0"/>
                <w:sz w:val="20"/>
                <w:szCs w:val="20"/>
                <w:lang w:val="es-GT" w:eastAsia="es-DO"/>
              </w:rPr>
            </w:pPr>
            <w:bookmarkStart w:id="262" w:name="_Toc111837968"/>
            <w:r w:rsidRPr="009A27ED">
              <w:rPr>
                <w:rFonts w:eastAsia="Times New Roman" w:cs="Calibri"/>
                <w:b w:val="0"/>
                <w:sz w:val="20"/>
                <w:szCs w:val="20"/>
                <w:lang w:val="es-GT" w:eastAsia="es-DO"/>
              </w:rPr>
              <w:t>Programa Nacional de Reforestación</w:t>
            </w:r>
            <w:bookmarkEnd w:id="262"/>
          </w:p>
        </w:tc>
        <w:tc>
          <w:tcPr>
            <w:tcW w:w="4175" w:type="dxa"/>
            <w:tcBorders>
              <w:top w:val="single" w:sz="8" w:space="0" w:color="auto"/>
              <w:left w:val="single" w:sz="4"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EDD20B5" w14:textId="77777777" w:rsidR="008A1CDF" w:rsidRPr="009A27ED" w:rsidRDefault="008A1CDF" w:rsidP="00562F95">
            <w:pPr>
              <w:pStyle w:val="Ttulo2"/>
              <w:numPr>
                <w:ilvl w:val="1"/>
                <w:numId w:val="0"/>
              </w:numPr>
              <w:ind w:left="360" w:hanging="360"/>
              <w:jc w:val="left"/>
              <w:rPr>
                <w:rFonts w:eastAsia="Times New Roman" w:cs="Calibri"/>
                <w:b w:val="0"/>
                <w:sz w:val="20"/>
                <w:szCs w:val="20"/>
                <w:lang w:val="es-GT" w:eastAsia="es-DO"/>
              </w:rPr>
            </w:pPr>
            <w:r w:rsidRPr="009A27ED">
              <w:rPr>
                <w:rFonts w:eastAsia="Times New Roman" w:cs="Calibri"/>
                <w:b w:val="0"/>
                <w:sz w:val="20"/>
                <w:szCs w:val="20"/>
                <w:lang w:val="es-GT" w:eastAsia="es-DO"/>
              </w:rPr>
              <w:t xml:space="preserve"> </w:t>
            </w:r>
            <w:bookmarkStart w:id="263" w:name="_Toc111837969"/>
            <w:r w:rsidRPr="009A27ED">
              <w:rPr>
                <w:rFonts w:eastAsia="Times New Roman" w:cs="Calibri"/>
                <w:b w:val="0"/>
                <w:sz w:val="20"/>
                <w:szCs w:val="20"/>
                <w:lang w:val="es-GT" w:eastAsia="es-DO"/>
              </w:rPr>
              <w:t>Ministerio de Ambiente – Viceministerio de Recursos Forestales</w:t>
            </w:r>
            <w:bookmarkEnd w:id="263"/>
          </w:p>
        </w:tc>
      </w:tr>
      <w:tr w:rsidR="008A1CDF" w:rsidRPr="009A27ED" w14:paraId="2BA892C9" w14:textId="77777777" w:rsidTr="0007781E">
        <w:trPr>
          <w:trHeight w:val="915"/>
          <w:tblHeader/>
          <w:jc w:val="center"/>
        </w:trPr>
        <w:tc>
          <w:tcPr>
            <w:tcW w:w="678"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32AF5E8" w14:textId="44788AC5" w:rsidR="008A1CDF" w:rsidRPr="009A27ED" w:rsidRDefault="008A1CDF" w:rsidP="00562F95">
            <w:pPr>
              <w:pStyle w:val="Ttulo2"/>
              <w:numPr>
                <w:ilvl w:val="1"/>
                <w:numId w:val="0"/>
              </w:numPr>
              <w:ind w:left="360" w:hanging="360"/>
              <w:jc w:val="left"/>
              <w:rPr>
                <w:rFonts w:eastAsia="Times New Roman" w:cs="Calibri"/>
                <w:b w:val="0"/>
                <w:sz w:val="20"/>
                <w:szCs w:val="20"/>
                <w:lang w:val="es-GT" w:eastAsia="es-DO"/>
              </w:rPr>
            </w:pPr>
            <w:bookmarkStart w:id="264" w:name="_Toc111837970"/>
            <w:r w:rsidRPr="009A27ED">
              <w:rPr>
                <w:rFonts w:eastAsia="Times New Roman" w:cs="Calibri"/>
                <w:b w:val="0"/>
                <w:sz w:val="20"/>
                <w:szCs w:val="20"/>
                <w:lang w:val="es-GT" w:eastAsia="es-DO"/>
              </w:rPr>
              <w:t>4</w:t>
            </w:r>
            <w:bookmarkEnd w:id="264"/>
          </w:p>
        </w:tc>
        <w:tc>
          <w:tcPr>
            <w:tcW w:w="4362" w:type="dxa"/>
            <w:tcBorders>
              <w:top w:val="single" w:sz="8" w:space="0" w:color="auto"/>
              <w:left w:val="nil"/>
              <w:bottom w:val="single" w:sz="8" w:space="0" w:color="auto"/>
              <w:right w:val="single" w:sz="4" w:space="0" w:color="auto"/>
            </w:tcBorders>
            <w:shd w:val="clear" w:color="auto" w:fill="auto"/>
            <w:tcMar>
              <w:top w:w="0" w:type="dxa"/>
              <w:left w:w="108" w:type="dxa"/>
              <w:bottom w:w="0" w:type="dxa"/>
              <w:right w:w="108" w:type="dxa"/>
            </w:tcMar>
            <w:vAlign w:val="center"/>
            <w:hideMark/>
          </w:tcPr>
          <w:p w14:paraId="5228B7FF" w14:textId="77777777" w:rsidR="008A1CDF" w:rsidRPr="009A27ED" w:rsidRDefault="008A1CDF" w:rsidP="00562F95">
            <w:pPr>
              <w:pStyle w:val="Ttulo2"/>
              <w:numPr>
                <w:ilvl w:val="1"/>
                <w:numId w:val="0"/>
              </w:numPr>
              <w:ind w:left="360" w:hanging="360"/>
              <w:jc w:val="left"/>
              <w:rPr>
                <w:rFonts w:eastAsia="Times New Roman" w:cs="Calibri"/>
                <w:b w:val="0"/>
                <w:sz w:val="20"/>
                <w:szCs w:val="20"/>
                <w:lang w:val="es-GT" w:eastAsia="es-DO"/>
              </w:rPr>
            </w:pPr>
            <w:bookmarkStart w:id="265" w:name="_Toc111837971"/>
            <w:r w:rsidRPr="009A27ED">
              <w:rPr>
                <w:rFonts w:eastAsia="Times New Roman" w:cs="Calibri"/>
                <w:b w:val="0"/>
                <w:sz w:val="20"/>
                <w:szCs w:val="20"/>
                <w:lang w:val="es-GT" w:eastAsia="es-DO"/>
              </w:rPr>
              <w:t>Sistema Agroforestal con café bajo sombra (CAFÉ)</w:t>
            </w:r>
            <w:bookmarkEnd w:id="265"/>
          </w:p>
        </w:tc>
        <w:tc>
          <w:tcPr>
            <w:tcW w:w="4175" w:type="dxa"/>
            <w:tcBorders>
              <w:top w:val="single" w:sz="8" w:space="0" w:color="auto"/>
              <w:left w:val="single" w:sz="4"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F278F12" w14:textId="77777777" w:rsidR="008A1CDF" w:rsidRPr="009A27ED" w:rsidRDefault="008A1CDF" w:rsidP="00562F95">
            <w:pPr>
              <w:pStyle w:val="Ttulo2"/>
              <w:numPr>
                <w:ilvl w:val="1"/>
                <w:numId w:val="0"/>
              </w:numPr>
              <w:ind w:left="360" w:hanging="360"/>
              <w:jc w:val="left"/>
              <w:rPr>
                <w:rFonts w:eastAsia="Times New Roman" w:cs="Calibri"/>
                <w:b w:val="0"/>
                <w:sz w:val="20"/>
                <w:szCs w:val="20"/>
                <w:lang w:val="es-GT" w:eastAsia="es-DO"/>
              </w:rPr>
            </w:pPr>
            <w:bookmarkStart w:id="266" w:name="_Toc111837972"/>
            <w:r w:rsidRPr="009A27ED">
              <w:rPr>
                <w:rFonts w:eastAsia="Times New Roman" w:cs="Calibri"/>
                <w:b w:val="0"/>
                <w:sz w:val="20"/>
                <w:szCs w:val="20"/>
                <w:lang w:val="es-GT" w:eastAsia="es-DO"/>
              </w:rPr>
              <w:t>Instituto Dominicano del Café (INDOCAFÉ)</w:t>
            </w:r>
            <w:bookmarkEnd w:id="266"/>
          </w:p>
        </w:tc>
      </w:tr>
      <w:tr w:rsidR="008A1CDF" w:rsidRPr="009A27ED" w14:paraId="001C989D" w14:textId="77777777" w:rsidTr="0007781E">
        <w:trPr>
          <w:trHeight w:val="915"/>
          <w:tblHeader/>
          <w:jc w:val="center"/>
        </w:trPr>
        <w:tc>
          <w:tcPr>
            <w:tcW w:w="678"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D13FC90" w14:textId="2BB62B39" w:rsidR="008A1CDF" w:rsidRPr="009A27ED" w:rsidRDefault="008A1CDF" w:rsidP="00562F95">
            <w:pPr>
              <w:pStyle w:val="Ttulo2"/>
              <w:numPr>
                <w:ilvl w:val="1"/>
                <w:numId w:val="0"/>
              </w:numPr>
              <w:ind w:left="360" w:hanging="360"/>
              <w:jc w:val="left"/>
              <w:rPr>
                <w:rFonts w:eastAsia="Times New Roman" w:cs="Calibri"/>
                <w:b w:val="0"/>
                <w:sz w:val="20"/>
                <w:szCs w:val="20"/>
                <w:lang w:val="es-GT" w:eastAsia="es-DO"/>
              </w:rPr>
            </w:pPr>
            <w:bookmarkStart w:id="267" w:name="_Toc111837973"/>
            <w:r w:rsidRPr="009A27ED">
              <w:rPr>
                <w:rFonts w:eastAsia="Times New Roman" w:cs="Calibri"/>
                <w:b w:val="0"/>
                <w:sz w:val="20"/>
                <w:szCs w:val="20"/>
                <w:lang w:val="es-GT" w:eastAsia="es-DO"/>
              </w:rPr>
              <w:t>5</w:t>
            </w:r>
            <w:bookmarkEnd w:id="267"/>
          </w:p>
        </w:tc>
        <w:tc>
          <w:tcPr>
            <w:tcW w:w="4362" w:type="dxa"/>
            <w:tcBorders>
              <w:top w:val="single" w:sz="8" w:space="0" w:color="auto"/>
              <w:left w:val="nil"/>
              <w:bottom w:val="single" w:sz="8" w:space="0" w:color="auto"/>
              <w:right w:val="single" w:sz="4" w:space="0" w:color="auto"/>
            </w:tcBorders>
            <w:shd w:val="clear" w:color="auto" w:fill="auto"/>
            <w:tcMar>
              <w:top w:w="0" w:type="dxa"/>
              <w:left w:w="108" w:type="dxa"/>
              <w:bottom w:w="0" w:type="dxa"/>
              <w:right w:w="108" w:type="dxa"/>
            </w:tcMar>
            <w:vAlign w:val="center"/>
            <w:hideMark/>
          </w:tcPr>
          <w:p w14:paraId="02CD0E76" w14:textId="77777777" w:rsidR="008A1CDF" w:rsidRPr="009A27ED" w:rsidRDefault="008A1CDF" w:rsidP="00562F95">
            <w:pPr>
              <w:pStyle w:val="Ttulo2"/>
              <w:numPr>
                <w:ilvl w:val="1"/>
                <w:numId w:val="0"/>
              </w:numPr>
              <w:ind w:left="360" w:hanging="360"/>
              <w:jc w:val="left"/>
              <w:rPr>
                <w:rFonts w:eastAsia="Times New Roman" w:cs="Calibri"/>
                <w:b w:val="0"/>
                <w:sz w:val="20"/>
                <w:szCs w:val="20"/>
                <w:lang w:val="es-GT" w:eastAsia="es-DO"/>
              </w:rPr>
            </w:pPr>
            <w:bookmarkStart w:id="268" w:name="_Toc111837974"/>
            <w:r w:rsidRPr="009A27ED">
              <w:rPr>
                <w:rFonts w:eastAsia="Times New Roman" w:cs="Calibri"/>
                <w:b w:val="0"/>
                <w:sz w:val="20"/>
                <w:szCs w:val="20"/>
                <w:lang w:val="es-GT" w:eastAsia="es-DO"/>
              </w:rPr>
              <w:t>Sistema Agroforestal con cacao bajo sombra (CACAO)</w:t>
            </w:r>
            <w:bookmarkEnd w:id="268"/>
          </w:p>
        </w:tc>
        <w:tc>
          <w:tcPr>
            <w:tcW w:w="4175" w:type="dxa"/>
            <w:tcBorders>
              <w:top w:val="single" w:sz="8" w:space="0" w:color="auto"/>
              <w:left w:val="single" w:sz="4"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0FB078F2" w14:textId="77777777" w:rsidR="008A1CDF" w:rsidRPr="009A27ED" w:rsidRDefault="008A1CDF" w:rsidP="00562F95">
            <w:pPr>
              <w:pStyle w:val="Ttulo2"/>
              <w:numPr>
                <w:ilvl w:val="1"/>
                <w:numId w:val="0"/>
              </w:numPr>
              <w:ind w:left="360" w:hanging="360"/>
              <w:jc w:val="left"/>
              <w:rPr>
                <w:rFonts w:eastAsia="Times New Roman" w:cs="Calibri"/>
                <w:b w:val="0"/>
                <w:sz w:val="20"/>
                <w:szCs w:val="20"/>
                <w:lang w:val="es-GT" w:eastAsia="es-DO"/>
              </w:rPr>
            </w:pPr>
            <w:bookmarkStart w:id="269" w:name="_Toc111837975"/>
            <w:r w:rsidRPr="009A27ED">
              <w:rPr>
                <w:rFonts w:eastAsia="Times New Roman" w:cs="Calibri"/>
                <w:b w:val="0"/>
                <w:sz w:val="20"/>
                <w:szCs w:val="20"/>
                <w:lang w:val="es-GT" w:eastAsia="es-DO"/>
              </w:rPr>
              <w:t>Ministerio de Agricultura – Departamento de Cacao - Oficinas provinciales y regionales y en la plataforma del Ministerio de Agricultura</w:t>
            </w:r>
            <w:bookmarkEnd w:id="269"/>
          </w:p>
        </w:tc>
      </w:tr>
      <w:tr w:rsidR="008A1CDF" w:rsidRPr="009A27ED" w14:paraId="59CA2B4B" w14:textId="77777777" w:rsidTr="0007781E">
        <w:trPr>
          <w:trHeight w:val="915"/>
          <w:tblHeader/>
          <w:jc w:val="center"/>
        </w:trPr>
        <w:tc>
          <w:tcPr>
            <w:tcW w:w="678"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4176818" w14:textId="3885974C" w:rsidR="008A1CDF" w:rsidRPr="009A27ED" w:rsidRDefault="008A1CDF" w:rsidP="00562F95">
            <w:pPr>
              <w:pStyle w:val="Ttulo2"/>
              <w:numPr>
                <w:ilvl w:val="1"/>
                <w:numId w:val="0"/>
              </w:numPr>
              <w:ind w:left="360" w:hanging="360"/>
              <w:jc w:val="left"/>
              <w:rPr>
                <w:rFonts w:eastAsia="Times New Roman" w:cs="Calibri"/>
                <w:b w:val="0"/>
                <w:sz w:val="20"/>
                <w:szCs w:val="20"/>
                <w:lang w:val="es-GT" w:eastAsia="es-DO"/>
              </w:rPr>
            </w:pPr>
            <w:bookmarkStart w:id="270" w:name="_Toc111837976"/>
            <w:r w:rsidRPr="009A27ED">
              <w:rPr>
                <w:rFonts w:eastAsia="Times New Roman" w:cs="Calibri"/>
                <w:b w:val="0"/>
                <w:sz w:val="20"/>
                <w:szCs w:val="20"/>
                <w:lang w:val="es-GT" w:eastAsia="es-DO"/>
              </w:rPr>
              <w:t>6</w:t>
            </w:r>
            <w:bookmarkEnd w:id="270"/>
          </w:p>
        </w:tc>
        <w:tc>
          <w:tcPr>
            <w:tcW w:w="4362" w:type="dxa"/>
            <w:tcBorders>
              <w:top w:val="single" w:sz="8" w:space="0" w:color="auto"/>
              <w:left w:val="nil"/>
              <w:bottom w:val="single" w:sz="8" w:space="0" w:color="auto"/>
              <w:right w:val="single" w:sz="4" w:space="0" w:color="auto"/>
            </w:tcBorders>
            <w:shd w:val="clear" w:color="auto" w:fill="auto"/>
            <w:tcMar>
              <w:top w:w="0" w:type="dxa"/>
              <w:left w:w="108" w:type="dxa"/>
              <w:bottom w:w="0" w:type="dxa"/>
              <w:right w:w="108" w:type="dxa"/>
            </w:tcMar>
            <w:vAlign w:val="center"/>
            <w:hideMark/>
          </w:tcPr>
          <w:p w14:paraId="71014F3D" w14:textId="77777777" w:rsidR="008A1CDF" w:rsidRPr="009A27ED" w:rsidRDefault="008A1CDF" w:rsidP="00562F95">
            <w:pPr>
              <w:pStyle w:val="Ttulo2"/>
              <w:numPr>
                <w:ilvl w:val="1"/>
                <w:numId w:val="0"/>
              </w:numPr>
              <w:ind w:left="360" w:hanging="360"/>
              <w:jc w:val="left"/>
              <w:rPr>
                <w:rFonts w:eastAsia="Times New Roman" w:cs="Calibri"/>
                <w:b w:val="0"/>
                <w:sz w:val="20"/>
                <w:szCs w:val="20"/>
                <w:lang w:val="es-GT" w:eastAsia="es-DO"/>
              </w:rPr>
            </w:pPr>
            <w:bookmarkStart w:id="271" w:name="_Toc111837977"/>
            <w:r w:rsidRPr="009A27ED">
              <w:rPr>
                <w:rFonts w:eastAsia="Times New Roman" w:cs="Calibri"/>
                <w:b w:val="0"/>
                <w:sz w:val="20"/>
                <w:szCs w:val="20"/>
                <w:lang w:val="es-GT" w:eastAsia="es-DO"/>
              </w:rPr>
              <w:t>Proyecto de Desarrollo Agroforestal</w:t>
            </w:r>
            <w:bookmarkEnd w:id="271"/>
            <w:r w:rsidRPr="009A27ED">
              <w:rPr>
                <w:rFonts w:eastAsia="Times New Roman" w:cs="Calibri"/>
                <w:b w:val="0"/>
                <w:sz w:val="20"/>
                <w:szCs w:val="20"/>
                <w:lang w:val="es-GT" w:eastAsia="es-DO"/>
              </w:rPr>
              <w:t xml:space="preserve"> </w:t>
            </w:r>
          </w:p>
        </w:tc>
        <w:tc>
          <w:tcPr>
            <w:tcW w:w="4175" w:type="dxa"/>
            <w:tcBorders>
              <w:top w:val="single" w:sz="8" w:space="0" w:color="auto"/>
              <w:left w:val="single" w:sz="4"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A49BC50" w14:textId="77777777" w:rsidR="008A1CDF" w:rsidRPr="009A27ED" w:rsidRDefault="008A1CDF" w:rsidP="00562F95">
            <w:pPr>
              <w:pStyle w:val="Ttulo2"/>
              <w:numPr>
                <w:ilvl w:val="1"/>
                <w:numId w:val="0"/>
              </w:numPr>
              <w:ind w:left="360" w:hanging="360"/>
              <w:jc w:val="left"/>
              <w:rPr>
                <w:rFonts w:eastAsia="Times New Roman" w:cs="Calibri"/>
                <w:b w:val="0"/>
                <w:sz w:val="20"/>
                <w:szCs w:val="20"/>
                <w:lang w:val="es-GT" w:eastAsia="es-DO"/>
              </w:rPr>
            </w:pPr>
            <w:bookmarkStart w:id="272" w:name="_Toc111837978"/>
            <w:r w:rsidRPr="009A27ED">
              <w:rPr>
                <w:rFonts w:eastAsia="Times New Roman" w:cs="Calibri"/>
                <w:b w:val="0"/>
                <w:sz w:val="20"/>
                <w:szCs w:val="20"/>
                <w:lang w:val="es-GT" w:eastAsia="es-DO"/>
              </w:rPr>
              <w:t>Unidad Técnica Ejecutora de Proyectos de Desarrollo Agroforestal (UTEPDA) del Viceministerio de Recursos Forestales del Ministerio de Medio Ambiente y Recursos Naturales</w:t>
            </w:r>
            <w:bookmarkEnd w:id="272"/>
          </w:p>
        </w:tc>
      </w:tr>
      <w:tr w:rsidR="008A1CDF" w:rsidRPr="009A27ED" w14:paraId="7BDF2E61" w14:textId="77777777" w:rsidTr="0007781E">
        <w:trPr>
          <w:trHeight w:val="915"/>
          <w:tblHeader/>
          <w:jc w:val="center"/>
        </w:trPr>
        <w:tc>
          <w:tcPr>
            <w:tcW w:w="678"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BEBBB1B" w14:textId="5B1A9A3B" w:rsidR="008A1CDF" w:rsidRPr="009A27ED" w:rsidRDefault="008A1CDF" w:rsidP="00562F95">
            <w:pPr>
              <w:pStyle w:val="Ttulo2"/>
              <w:numPr>
                <w:ilvl w:val="1"/>
                <w:numId w:val="0"/>
              </w:numPr>
              <w:ind w:left="360" w:hanging="360"/>
              <w:jc w:val="left"/>
              <w:rPr>
                <w:rFonts w:eastAsia="Times New Roman" w:cs="Calibri"/>
                <w:b w:val="0"/>
                <w:sz w:val="20"/>
                <w:szCs w:val="20"/>
                <w:lang w:val="es-GT" w:eastAsia="es-DO"/>
              </w:rPr>
            </w:pPr>
            <w:bookmarkStart w:id="273" w:name="_Toc111837979"/>
            <w:r w:rsidRPr="009A27ED">
              <w:rPr>
                <w:rFonts w:eastAsia="Times New Roman" w:cs="Calibri"/>
                <w:b w:val="0"/>
                <w:sz w:val="20"/>
                <w:szCs w:val="20"/>
                <w:lang w:val="es-GT" w:eastAsia="es-DO"/>
              </w:rPr>
              <w:t>7</w:t>
            </w:r>
            <w:bookmarkEnd w:id="273"/>
          </w:p>
        </w:tc>
        <w:tc>
          <w:tcPr>
            <w:tcW w:w="4362" w:type="dxa"/>
            <w:tcBorders>
              <w:top w:val="single" w:sz="8" w:space="0" w:color="auto"/>
              <w:left w:val="nil"/>
              <w:bottom w:val="single" w:sz="8" w:space="0" w:color="auto"/>
              <w:right w:val="single" w:sz="4" w:space="0" w:color="auto"/>
            </w:tcBorders>
            <w:shd w:val="clear" w:color="auto" w:fill="auto"/>
            <w:tcMar>
              <w:top w:w="0" w:type="dxa"/>
              <w:left w:w="108" w:type="dxa"/>
              <w:bottom w:w="0" w:type="dxa"/>
              <w:right w:w="108" w:type="dxa"/>
            </w:tcMar>
            <w:vAlign w:val="center"/>
            <w:hideMark/>
          </w:tcPr>
          <w:p w14:paraId="5D75D2FF" w14:textId="77777777" w:rsidR="008A1CDF" w:rsidRPr="009A27ED" w:rsidRDefault="008A1CDF" w:rsidP="00562F95">
            <w:pPr>
              <w:pStyle w:val="Ttulo2"/>
              <w:numPr>
                <w:ilvl w:val="1"/>
                <w:numId w:val="0"/>
              </w:numPr>
              <w:ind w:left="360" w:hanging="360"/>
              <w:jc w:val="left"/>
              <w:rPr>
                <w:rFonts w:eastAsia="Times New Roman" w:cs="Calibri"/>
                <w:b w:val="0"/>
                <w:sz w:val="20"/>
                <w:szCs w:val="20"/>
                <w:lang w:val="es-GT" w:eastAsia="es-DO"/>
              </w:rPr>
            </w:pPr>
            <w:bookmarkStart w:id="274" w:name="_Toc111837980"/>
            <w:r w:rsidRPr="009A27ED">
              <w:rPr>
                <w:rFonts w:eastAsia="Times New Roman" w:cs="Calibri"/>
                <w:b w:val="0"/>
                <w:sz w:val="20"/>
                <w:szCs w:val="20"/>
                <w:lang w:val="es-GT" w:eastAsia="es-DO"/>
              </w:rPr>
              <w:t>Programa MEGALECHE</w:t>
            </w:r>
            <w:bookmarkEnd w:id="274"/>
            <w:r w:rsidRPr="009A27ED">
              <w:rPr>
                <w:rFonts w:eastAsia="Times New Roman" w:cs="Calibri"/>
                <w:b w:val="0"/>
                <w:sz w:val="20"/>
                <w:szCs w:val="20"/>
                <w:lang w:val="es-GT" w:eastAsia="es-DO"/>
              </w:rPr>
              <w:t xml:space="preserve"> </w:t>
            </w:r>
          </w:p>
        </w:tc>
        <w:tc>
          <w:tcPr>
            <w:tcW w:w="4175" w:type="dxa"/>
            <w:tcBorders>
              <w:top w:val="single" w:sz="8" w:space="0" w:color="auto"/>
              <w:left w:val="single" w:sz="4"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0C2C78D3" w14:textId="77777777" w:rsidR="008A1CDF" w:rsidRPr="009A27ED" w:rsidRDefault="008A1CDF" w:rsidP="00562F95">
            <w:pPr>
              <w:pStyle w:val="Ttulo2"/>
              <w:numPr>
                <w:ilvl w:val="1"/>
                <w:numId w:val="0"/>
              </w:numPr>
              <w:ind w:left="360" w:hanging="360"/>
              <w:jc w:val="left"/>
              <w:rPr>
                <w:rFonts w:eastAsia="Times New Roman" w:cs="Calibri"/>
                <w:b w:val="0"/>
                <w:sz w:val="20"/>
                <w:szCs w:val="20"/>
                <w:lang w:val="es-GT" w:eastAsia="es-DO"/>
              </w:rPr>
            </w:pPr>
            <w:bookmarkStart w:id="275" w:name="_Toc111837981"/>
            <w:r w:rsidRPr="009A27ED">
              <w:rPr>
                <w:rFonts w:eastAsia="Times New Roman" w:cs="Calibri"/>
                <w:b w:val="0"/>
                <w:sz w:val="20"/>
                <w:szCs w:val="20"/>
                <w:lang w:val="es-GT" w:eastAsia="es-DO"/>
              </w:rPr>
              <w:t>Dirección General de Ganadería (DIGEGA)</w:t>
            </w:r>
            <w:bookmarkEnd w:id="275"/>
          </w:p>
          <w:p w14:paraId="2123F79E" w14:textId="77777777" w:rsidR="008A1CDF" w:rsidRPr="009A27ED" w:rsidRDefault="008A1CDF" w:rsidP="00562F95">
            <w:pPr>
              <w:pStyle w:val="Ttulo2"/>
              <w:numPr>
                <w:ilvl w:val="1"/>
                <w:numId w:val="0"/>
              </w:numPr>
              <w:ind w:left="360" w:hanging="360"/>
              <w:jc w:val="left"/>
              <w:rPr>
                <w:rFonts w:eastAsia="Times New Roman" w:cs="Calibri"/>
                <w:b w:val="0"/>
                <w:sz w:val="20"/>
                <w:szCs w:val="20"/>
                <w:lang w:val="es-GT" w:eastAsia="es-DO"/>
              </w:rPr>
            </w:pPr>
            <w:bookmarkStart w:id="276" w:name="_Toc111837982"/>
            <w:r w:rsidRPr="009A27ED">
              <w:rPr>
                <w:rFonts w:eastAsia="Times New Roman" w:cs="Calibri"/>
                <w:b w:val="0"/>
                <w:sz w:val="20"/>
                <w:szCs w:val="20"/>
                <w:lang w:val="es-GT" w:eastAsia="es-DO"/>
              </w:rPr>
              <w:t>Consejo Nacional para el Fomento y la Reglamentación de la Industria Lechera – CONALECHE,</w:t>
            </w:r>
            <w:bookmarkEnd w:id="276"/>
          </w:p>
        </w:tc>
      </w:tr>
      <w:tr w:rsidR="008A1CDF" w:rsidRPr="009A27ED" w14:paraId="4527669B" w14:textId="77777777" w:rsidTr="0007781E">
        <w:trPr>
          <w:trHeight w:val="915"/>
          <w:tblHeader/>
          <w:jc w:val="center"/>
        </w:trPr>
        <w:tc>
          <w:tcPr>
            <w:tcW w:w="678"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C03321B" w14:textId="6D7EB933" w:rsidR="008A1CDF" w:rsidRPr="009A27ED" w:rsidRDefault="008A1CDF" w:rsidP="00562F95">
            <w:pPr>
              <w:pStyle w:val="Ttulo2"/>
              <w:numPr>
                <w:ilvl w:val="1"/>
                <w:numId w:val="0"/>
              </w:numPr>
              <w:ind w:left="360" w:hanging="360"/>
              <w:jc w:val="left"/>
              <w:rPr>
                <w:rFonts w:eastAsia="Times New Roman" w:cs="Calibri"/>
                <w:b w:val="0"/>
                <w:sz w:val="20"/>
                <w:szCs w:val="20"/>
                <w:lang w:val="es-GT" w:eastAsia="es-DO"/>
              </w:rPr>
            </w:pPr>
            <w:bookmarkStart w:id="277" w:name="_Toc111837983"/>
            <w:r w:rsidRPr="009A27ED">
              <w:rPr>
                <w:rFonts w:eastAsia="Times New Roman" w:cs="Calibri"/>
                <w:b w:val="0"/>
                <w:sz w:val="20"/>
                <w:szCs w:val="20"/>
                <w:lang w:val="es-GT" w:eastAsia="es-DO"/>
              </w:rPr>
              <w:t>8</w:t>
            </w:r>
            <w:bookmarkEnd w:id="277"/>
          </w:p>
        </w:tc>
        <w:tc>
          <w:tcPr>
            <w:tcW w:w="4362" w:type="dxa"/>
            <w:tcBorders>
              <w:top w:val="single" w:sz="8" w:space="0" w:color="auto"/>
              <w:left w:val="nil"/>
              <w:bottom w:val="single" w:sz="8" w:space="0" w:color="auto"/>
              <w:right w:val="single" w:sz="4" w:space="0" w:color="auto"/>
            </w:tcBorders>
            <w:shd w:val="clear" w:color="auto" w:fill="auto"/>
            <w:tcMar>
              <w:top w:w="0" w:type="dxa"/>
              <w:left w:w="108" w:type="dxa"/>
              <w:bottom w:w="0" w:type="dxa"/>
              <w:right w:w="108" w:type="dxa"/>
            </w:tcMar>
            <w:vAlign w:val="center"/>
            <w:hideMark/>
          </w:tcPr>
          <w:p w14:paraId="61A5FAD1" w14:textId="77777777" w:rsidR="008A1CDF" w:rsidRPr="009A27ED" w:rsidRDefault="008A1CDF" w:rsidP="00562F95">
            <w:pPr>
              <w:pStyle w:val="Ttulo2"/>
              <w:numPr>
                <w:ilvl w:val="1"/>
                <w:numId w:val="0"/>
              </w:numPr>
              <w:ind w:left="360" w:hanging="360"/>
              <w:jc w:val="left"/>
              <w:rPr>
                <w:rFonts w:eastAsia="Times New Roman" w:cs="Calibri"/>
                <w:b w:val="0"/>
                <w:sz w:val="20"/>
                <w:szCs w:val="20"/>
                <w:lang w:val="es-GT" w:eastAsia="es-DO"/>
              </w:rPr>
            </w:pPr>
            <w:bookmarkStart w:id="278" w:name="_Toc111837984"/>
            <w:r w:rsidRPr="009A27ED">
              <w:rPr>
                <w:rFonts w:eastAsia="Times New Roman" w:cs="Calibri"/>
                <w:b w:val="0"/>
                <w:sz w:val="20"/>
                <w:szCs w:val="20"/>
                <w:lang w:val="es-GT" w:eastAsia="es-DO"/>
              </w:rPr>
              <w:t>Sistema Nacional de Áreas Protegidas (SINAP)</w:t>
            </w:r>
            <w:bookmarkEnd w:id="278"/>
          </w:p>
        </w:tc>
        <w:tc>
          <w:tcPr>
            <w:tcW w:w="4175" w:type="dxa"/>
            <w:tcBorders>
              <w:top w:val="single" w:sz="8" w:space="0" w:color="auto"/>
              <w:left w:val="single" w:sz="4"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79408EE" w14:textId="662B900F" w:rsidR="008A1CDF" w:rsidRPr="009A27ED" w:rsidRDefault="008A1CDF" w:rsidP="00562F95">
            <w:pPr>
              <w:pStyle w:val="Ttulo2"/>
              <w:numPr>
                <w:ilvl w:val="1"/>
                <w:numId w:val="0"/>
              </w:numPr>
              <w:ind w:left="360" w:hanging="360"/>
              <w:jc w:val="left"/>
              <w:rPr>
                <w:rFonts w:eastAsia="Times New Roman" w:cs="Calibri"/>
                <w:b w:val="0"/>
                <w:sz w:val="20"/>
                <w:szCs w:val="20"/>
                <w:lang w:val="es-GT" w:eastAsia="es-DO"/>
              </w:rPr>
            </w:pPr>
            <w:bookmarkStart w:id="279" w:name="_Toc111837985"/>
            <w:r w:rsidRPr="009A27ED">
              <w:rPr>
                <w:rFonts w:eastAsia="Times New Roman" w:cs="Calibri"/>
                <w:b w:val="0"/>
                <w:sz w:val="20"/>
                <w:szCs w:val="20"/>
                <w:lang w:val="es-GT" w:eastAsia="es-DO"/>
              </w:rPr>
              <w:t xml:space="preserve">Ministerio de </w:t>
            </w:r>
            <w:r w:rsidR="00BB670C" w:rsidRPr="009A27ED">
              <w:rPr>
                <w:rFonts w:eastAsia="Times New Roman" w:cs="Calibri"/>
                <w:b w:val="0"/>
                <w:sz w:val="20"/>
                <w:szCs w:val="20"/>
                <w:lang w:val="es-GT" w:eastAsia="es-DO"/>
              </w:rPr>
              <w:t>Ambiente –</w:t>
            </w:r>
            <w:r w:rsidRPr="009A27ED">
              <w:rPr>
                <w:rFonts w:eastAsia="Times New Roman" w:cs="Calibri"/>
                <w:b w:val="0"/>
                <w:sz w:val="20"/>
                <w:szCs w:val="20"/>
                <w:lang w:val="es-GT" w:eastAsia="es-DO"/>
              </w:rPr>
              <w:t xml:space="preserve"> Viceministerio de Áreas Protegidas y Biodiversidad</w:t>
            </w:r>
            <w:bookmarkEnd w:id="279"/>
          </w:p>
        </w:tc>
      </w:tr>
    </w:tbl>
    <w:p w14:paraId="285BB8C4" w14:textId="77777777" w:rsidR="008A1CDF" w:rsidRPr="009A27ED" w:rsidRDefault="008A1CDF" w:rsidP="008A1CDF">
      <w:pPr>
        <w:spacing w:line="360" w:lineRule="auto"/>
      </w:pPr>
    </w:p>
    <w:p w14:paraId="3B3DDFB2" w14:textId="717BE121" w:rsidR="000E3A08" w:rsidRPr="009A27ED" w:rsidRDefault="000E3A08" w:rsidP="00E67CB0">
      <w:pPr>
        <w:pStyle w:val="Ttulo2"/>
        <w:numPr>
          <w:ilvl w:val="1"/>
          <w:numId w:val="277"/>
        </w:numPr>
        <w:spacing w:line="360" w:lineRule="auto"/>
        <w:jc w:val="both"/>
        <w:rPr>
          <w:sz w:val="24"/>
          <w:szCs w:val="24"/>
        </w:rPr>
      </w:pPr>
      <w:bookmarkStart w:id="280" w:name="_Toc111837986"/>
      <w:r w:rsidRPr="009A27ED">
        <w:rPr>
          <w:rFonts w:ascii="Times New Roman" w:eastAsia="Times New Roman" w:hAnsi="Times New Roman"/>
          <w:sz w:val="24"/>
          <w:szCs w:val="24"/>
        </w:rPr>
        <w:t>Tipo de arreglos institucionales con Entidades Ejecutoras</w:t>
      </w:r>
      <w:bookmarkEnd w:id="280"/>
    </w:p>
    <w:p w14:paraId="0EB5FCE8" w14:textId="43CA196A" w:rsidR="00685972" w:rsidRPr="009A27ED" w:rsidRDefault="00DB3A4C" w:rsidP="00F163C3">
      <w:pPr>
        <w:spacing w:line="360" w:lineRule="auto"/>
        <w:rPr>
          <w:szCs w:val="22"/>
        </w:rPr>
      </w:pPr>
      <w:r w:rsidRPr="009A27ED">
        <w:rPr>
          <w:rFonts w:ascii="Times New Roman" w:eastAsia="Times New Roman" w:hAnsi="Times New Roman"/>
          <w:sz w:val="24"/>
          <w:szCs w:val="22"/>
        </w:rPr>
        <w:t xml:space="preserve">A </w:t>
      </w:r>
      <w:r w:rsidR="00685972" w:rsidRPr="009A27ED">
        <w:rPr>
          <w:rFonts w:ascii="Times New Roman" w:eastAsia="Times New Roman" w:hAnsi="Times New Roman"/>
          <w:sz w:val="24"/>
          <w:szCs w:val="22"/>
        </w:rPr>
        <w:t>la fecha se ha elaborado un borrador de Carta de Intención, mediante el cual cada Entidad Ejecutora (EE) del</w:t>
      </w:r>
      <w:r w:rsidR="00A65F30" w:rsidRPr="009A27ED">
        <w:rPr>
          <w:rFonts w:ascii="Times New Roman" w:eastAsia="Times New Roman" w:hAnsi="Times New Roman"/>
          <w:sz w:val="24"/>
          <w:szCs w:val="22"/>
        </w:rPr>
        <w:t xml:space="preserve"> </w:t>
      </w:r>
      <w:r w:rsidR="00685972" w:rsidRPr="009A27ED">
        <w:rPr>
          <w:rFonts w:ascii="Times New Roman" w:eastAsia="Times New Roman" w:hAnsi="Times New Roman"/>
          <w:sz w:val="24"/>
          <w:szCs w:val="22"/>
        </w:rPr>
        <w:t>Programa de Reduc</w:t>
      </w:r>
      <w:r w:rsidR="00A65F30" w:rsidRPr="009A27ED">
        <w:rPr>
          <w:rFonts w:ascii="Times New Roman" w:eastAsia="Times New Roman" w:hAnsi="Times New Roman"/>
          <w:sz w:val="24"/>
          <w:szCs w:val="22"/>
        </w:rPr>
        <w:t>ciones</w:t>
      </w:r>
      <w:r w:rsidR="00685972" w:rsidRPr="009A27ED">
        <w:rPr>
          <w:rFonts w:ascii="Times New Roman" w:eastAsia="Times New Roman" w:hAnsi="Times New Roman"/>
          <w:sz w:val="24"/>
          <w:szCs w:val="22"/>
        </w:rPr>
        <w:t xml:space="preserve"> de Emisiones por Deforestación y Degradación de los Bosques de la República Dominicana asume cumplir con los compromisos y criterios que permitirán ejecutar las </w:t>
      </w:r>
      <w:r w:rsidR="00685972" w:rsidRPr="009A27ED">
        <w:rPr>
          <w:rFonts w:ascii="Times New Roman" w:eastAsia="Times New Roman" w:hAnsi="Times New Roman"/>
          <w:sz w:val="24"/>
          <w:szCs w:val="22"/>
        </w:rPr>
        <w:lastRenderedPageBreak/>
        <w:t>opciones estratégicas y sus respectivas acciones facilitadoras para la implementación de</w:t>
      </w:r>
      <w:r w:rsidRPr="009A27ED">
        <w:rPr>
          <w:rFonts w:ascii="Times New Roman" w:eastAsia="Times New Roman" w:hAnsi="Times New Roman"/>
          <w:sz w:val="24"/>
          <w:szCs w:val="22"/>
        </w:rPr>
        <w:t xml:space="preserve"> </w:t>
      </w:r>
      <w:r w:rsidR="00685972" w:rsidRPr="009A27ED">
        <w:rPr>
          <w:rFonts w:ascii="Times New Roman" w:eastAsia="Times New Roman" w:hAnsi="Times New Roman"/>
          <w:sz w:val="24"/>
          <w:szCs w:val="22"/>
        </w:rPr>
        <w:t>l</w:t>
      </w:r>
      <w:r w:rsidRPr="009A27ED">
        <w:rPr>
          <w:rFonts w:ascii="Times New Roman" w:eastAsia="Times New Roman" w:hAnsi="Times New Roman"/>
          <w:sz w:val="24"/>
          <w:szCs w:val="22"/>
        </w:rPr>
        <w:t>a EN-REDD+</w:t>
      </w:r>
      <w:r w:rsidR="00685972" w:rsidRPr="009A27ED">
        <w:rPr>
          <w:rFonts w:ascii="Times New Roman" w:eastAsia="Times New Roman" w:hAnsi="Times New Roman"/>
          <w:sz w:val="24"/>
          <w:szCs w:val="22"/>
        </w:rPr>
        <w:t>. Los compromisos planteados en la carta de intención son los siguientes:</w:t>
      </w:r>
    </w:p>
    <w:p w14:paraId="72DB9CD4" w14:textId="77777777" w:rsidR="00685972" w:rsidRPr="009A27ED" w:rsidRDefault="00685972" w:rsidP="00E67CB0">
      <w:pPr>
        <w:pStyle w:val="Prrafodelista"/>
        <w:numPr>
          <w:ilvl w:val="0"/>
          <w:numId w:val="171"/>
        </w:numPr>
        <w:spacing w:line="360" w:lineRule="auto"/>
        <w:rPr>
          <w:szCs w:val="22"/>
        </w:rPr>
      </w:pPr>
      <w:r w:rsidRPr="009A27ED">
        <w:rPr>
          <w:rFonts w:ascii="Times New Roman" w:eastAsia="Times New Roman" w:hAnsi="Times New Roman"/>
          <w:sz w:val="24"/>
          <w:szCs w:val="22"/>
        </w:rPr>
        <w:t>Aportar los insumos necesarios para que la Oficina de Coordinación REDD+ del Ministerio de Medio Ambiente y Recursos Naturales pueda determinar la necesidad de capacidades y de financiamiento que deberán ser cubiertos con la finalidad de desarrollar las actividades REDD+ elegidas y elaborar la ficha descriptiva de proyecto.</w:t>
      </w:r>
    </w:p>
    <w:p w14:paraId="50A9ABB3" w14:textId="080DEC8A" w:rsidR="00685972" w:rsidRPr="009A27ED" w:rsidRDefault="00685972" w:rsidP="00E67CB0">
      <w:pPr>
        <w:pStyle w:val="Prrafodelista"/>
        <w:widowControl w:val="0"/>
        <w:numPr>
          <w:ilvl w:val="0"/>
          <w:numId w:val="171"/>
        </w:numPr>
        <w:autoSpaceDE w:val="0"/>
        <w:autoSpaceDN w:val="0"/>
        <w:adjustRightInd w:val="0"/>
        <w:spacing w:after="120" w:line="360" w:lineRule="auto"/>
        <w:rPr>
          <w:szCs w:val="22"/>
        </w:rPr>
      </w:pPr>
      <w:r w:rsidRPr="009A27ED">
        <w:rPr>
          <w:rFonts w:ascii="Times New Roman" w:eastAsia="Times New Roman" w:hAnsi="Times New Roman"/>
          <w:sz w:val="24"/>
          <w:szCs w:val="22"/>
        </w:rPr>
        <w:t>Aplicar los instrumentos de</w:t>
      </w:r>
      <w:r w:rsidR="00DB3A4C" w:rsidRPr="009A27ED">
        <w:rPr>
          <w:rFonts w:ascii="Times New Roman" w:eastAsia="Times New Roman" w:hAnsi="Times New Roman"/>
          <w:sz w:val="24"/>
          <w:szCs w:val="22"/>
        </w:rPr>
        <w:t>l</w:t>
      </w:r>
      <w:r w:rsidRPr="009A27ED">
        <w:rPr>
          <w:rFonts w:ascii="Times New Roman" w:eastAsia="Times New Roman" w:hAnsi="Times New Roman"/>
          <w:sz w:val="24"/>
          <w:szCs w:val="22"/>
        </w:rPr>
        <w:t xml:space="preserve"> Monitoreo, Reporte y Verificación (MRV) y el Sistema de Información de Salvaguardas (SIS) de los proyectos de acuerdo con los procedimientos presentados por </w:t>
      </w:r>
      <w:r w:rsidR="00070B22" w:rsidRPr="009A27ED">
        <w:rPr>
          <w:rFonts w:ascii="Times New Roman" w:eastAsia="Times New Roman" w:hAnsi="Times New Roman"/>
          <w:sz w:val="24"/>
          <w:szCs w:val="22"/>
        </w:rPr>
        <w:t xml:space="preserve">la </w:t>
      </w:r>
      <w:r w:rsidRPr="009A27ED">
        <w:rPr>
          <w:rFonts w:ascii="Times New Roman" w:eastAsia="Times New Roman" w:hAnsi="Times New Roman"/>
          <w:sz w:val="24"/>
          <w:szCs w:val="22"/>
        </w:rPr>
        <w:t>Oficina de Coordinación REDD+ para el seguimiento y sistematización de las informaciones en el Registro REDD+, así como presentar los informes que requiera el Plan de Distribución de Beneficios (PDB) con la frecuencia y los formatos establecidos.</w:t>
      </w:r>
    </w:p>
    <w:p w14:paraId="4A64D5A5" w14:textId="17AD2AE3" w:rsidR="00685972" w:rsidRPr="009A27ED" w:rsidRDefault="00685972" w:rsidP="00E67CB0">
      <w:pPr>
        <w:pStyle w:val="Prrafodelista"/>
        <w:widowControl w:val="0"/>
        <w:numPr>
          <w:ilvl w:val="0"/>
          <w:numId w:val="171"/>
        </w:numPr>
        <w:autoSpaceDE w:val="0"/>
        <w:autoSpaceDN w:val="0"/>
        <w:adjustRightInd w:val="0"/>
        <w:spacing w:after="120" w:line="360" w:lineRule="auto"/>
        <w:rPr>
          <w:szCs w:val="22"/>
        </w:rPr>
      </w:pPr>
      <w:r w:rsidRPr="009A27ED">
        <w:rPr>
          <w:rFonts w:ascii="Times New Roman" w:eastAsia="Times New Roman" w:hAnsi="Times New Roman"/>
          <w:sz w:val="24"/>
          <w:szCs w:val="22"/>
        </w:rPr>
        <w:t>Cumplir con los lineamientos de gobernanza, identificación de beneficiarios potenciales y provisión de información a beneficiarios potenciales, establecidos para la participación de las entidades ejecutoras y programas en el Plan de Distribución de Beneficios (PDB) y cumplir con los procedimientos para la distribución, así como respetar las condiciones para el uso de los beneficios.</w:t>
      </w:r>
    </w:p>
    <w:p w14:paraId="1964FCCD" w14:textId="328D2C22" w:rsidR="00685972" w:rsidRPr="009A27ED" w:rsidRDefault="00685972" w:rsidP="00E67CB0">
      <w:pPr>
        <w:pStyle w:val="Prrafodelista"/>
        <w:numPr>
          <w:ilvl w:val="0"/>
          <w:numId w:val="171"/>
        </w:numPr>
        <w:spacing w:after="120" w:line="360" w:lineRule="auto"/>
        <w:rPr>
          <w:szCs w:val="22"/>
        </w:rPr>
      </w:pPr>
      <w:r w:rsidRPr="009A27ED">
        <w:rPr>
          <w:rFonts w:ascii="Times New Roman" w:eastAsia="Times New Roman" w:hAnsi="Times New Roman"/>
          <w:sz w:val="24"/>
          <w:szCs w:val="22"/>
        </w:rPr>
        <w:t xml:space="preserve">Aplicar los procedimientos y requerimientos establecidos en los Planes de Manejo Ambiental y Social (PMAS) y de las actividades y presupuestos contenidos en el Marco de Gestión Ambiental y Social (MGAS) del </w:t>
      </w:r>
      <w:r w:rsidR="00124B63" w:rsidRPr="009A27ED">
        <w:rPr>
          <w:rFonts w:ascii="Times New Roman" w:eastAsia="Times New Roman" w:hAnsi="Times New Roman"/>
          <w:sz w:val="24"/>
          <w:szCs w:val="22"/>
        </w:rPr>
        <w:t>Programa REDD+</w:t>
      </w:r>
      <w:r w:rsidRPr="009A27ED">
        <w:rPr>
          <w:rFonts w:ascii="Times New Roman" w:eastAsia="Times New Roman" w:hAnsi="Times New Roman"/>
          <w:sz w:val="24"/>
          <w:szCs w:val="22"/>
        </w:rPr>
        <w:t xml:space="preserve">, </w:t>
      </w:r>
      <w:r w:rsidR="00DB3A4C" w:rsidRPr="009A27ED">
        <w:rPr>
          <w:rFonts w:ascii="Times New Roman" w:eastAsia="Times New Roman" w:hAnsi="Times New Roman"/>
          <w:sz w:val="24"/>
          <w:szCs w:val="22"/>
        </w:rPr>
        <w:t>p</w:t>
      </w:r>
      <w:r w:rsidRPr="009A27ED">
        <w:rPr>
          <w:rFonts w:ascii="Times New Roman" w:eastAsia="Times New Roman" w:hAnsi="Times New Roman"/>
          <w:sz w:val="24"/>
          <w:szCs w:val="22"/>
        </w:rPr>
        <w:t>a</w:t>
      </w:r>
      <w:r w:rsidR="00DB3A4C" w:rsidRPr="009A27ED">
        <w:rPr>
          <w:rFonts w:ascii="Times New Roman" w:eastAsia="Times New Roman" w:hAnsi="Times New Roman"/>
          <w:sz w:val="24"/>
          <w:szCs w:val="22"/>
        </w:rPr>
        <w:t xml:space="preserve">ra cumplir con </w:t>
      </w:r>
      <w:r w:rsidRPr="009A27ED">
        <w:rPr>
          <w:rFonts w:ascii="Times New Roman" w:eastAsia="Times New Roman" w:hAnsi="Times New Roman"/>
          <w:sz w:val="24"/>
          <w:szCs w:val="22"/>
        </w:rPr>
        <w:t xml:space="preserve">los fines de </w:t>
      </w:r>
      <w:r w:rsidR="00DB3A4C" w:rsidRPr="009A27ED">
        <w:rPr>
          <w:rFonts w:ascii="Times New Roman" w:eastAsia="Times New Roman" w:hAnsi="Times New Roman"/>
          <w:sz w:val="24"/>
          <w:szCs w:val="22"/>
        </w:rPr>
        <w:t xml:space="preserve">aplicación de las </w:t>
      </w:r>
      <w:r w:rsidRPr="009A27ED">
        <w:rPr>
          <w:rFonts w:ascii="Times New Roman" w:eastAsia="Times New Roman" w:hAnsi="Times New Roman"/>
          <w:sz w:val="24"/>
          <w:szCs w:val="22"/>
        </w:rPr>
        <w:t xml:space="preserve">Salvaguardas Ambientales y Sociales </w:t>
      </w:r>
      <w:r w:rsidR="00DB3A4C" w:rsidRPr="009A27ED">
        <w:rPr>
          <w:rFonts w:ascii="Times New Roman" w:eastAsia="Times New Roman" w:hAnsi="Times New Roman"/>
          <w:sz w:val="24"/>
          <w:szCs w:val="22"/>
        </w:rPr>
        <w:t xml:space="preserve">REDD+ </w:t>
      </w:r>
      <w:r w:rsidRPr="009A27ED">
        <w:rPr>
          <w:rFonts w:ascii="Times New Roman" w:eastAsia="Times New Roman" w:hAnsi="Times New Roman"/>
          <w:sz w:val="24"/>
          <w:szCs w:val="22"/>
        </w:rPr>
        <w:t xml:space="preserve">y las Políticas Operativas del Banco Mundial. </w:t>
      </w:r>
    </w:p>
    <w:p w14:paraId="6F76A834" w14:textId="701DFB2A" w:rsidR="00685972" w:rsidRPr="009A27ED" w:rsidRDefault="00685972" w:rsidP="00E67CB0">
      <w:pPr>
        <w:pStyle w:val="Prrafodelista"/>
        <w:numPr>
          <w:ilvl w:val="0"/>
          <w:numId w:val="171"/>
        </w:numPr>
        <w:spacing w:after="120" w:line="360" w:lineRule="auto"/>
        <w:rPr>
          <w:szCs w:val="22"/>
        </w:rPr>
      </w:pPr>
      <w:r w:rsidRPr="009A27ED">
        <w:rPr>
          <w:rFonts w:ascii="Times New Roman" w:eastAsia="Times New Roman" w:hAnsi="Times New Roman"/>
          <w:sz w:val="24"/>
          <w:szCs w:val="22"/>
        </w:rPr>
        <w:t xml:space="preserve">Participar en las evaluaciones periódicas que coordinará y realizará la Oficina de Coordinación REDD+ para verificar el cumplimiento de las Salvaguardas Ambientales y Sociales </w:t>
      </w:r>
      <w:r w:rsidR="00DB3A4C" w:rsidRPr="009A27ED">
        <w:rPr>
          <w:rFonts w:ascii="Times New Roman" w:eastAsia="Times New Roman" w:hAnsi="Times New Roman"/>
          <w:sz w:val="24"/>
          <w:szCs w:val="22"/>
        </w:rPr>
        <w:t xml:space="preserve">REDD+ </w:t>
      </w:r>
      <w:r w:rsidRPr="009A27ED">
        <w:rPr>
          <w:rFonts w:ascii="Times New Roman" w:eastAsia="Times New Roman" w:hAnsi="Times New Roman"/>
          <w:sz w:val="24"/>
          <w:szCs w:val="22"/>
        </w:rPr>
        <w:t>y las Políticas Opera</w:t>
      </w:r>
      <w:r w:rsidR="00DB3A4C" w:rsidRPr="009A27ED">
        <w:rPr>
          <w:rFonts w:ascii="Times New Roman" w:eastAsia="Times New Roman" w:hAnsi="Times New Roman"/>
          <w:sz w:val="24"/>
          <w:szCs w:val="22"/>
        </w:rPr>
        <w:t>t</w:t>
      </w:r>
      <w:r w:rsidRPr="009A27ED">
        <w:rPr>
          <w:rFonts w:ascii="Times New Roman" w:eastAsia="Times New Roman" w:hAnsi="Times New Roman"/>
          <w:sz w:val="24"/>
          <w:szCs w:val="22"/>
        </w:rPr>
        <w:t>ivas del Banco Mundial.</w:t>
      </w:r>
    </w:p>
    <w:p w14:paraId="7C76A288" w14:textId="49396136" w:rsidR="00685972" w:rsidRPr="009A27ED" w:rsidRDefault="00685972" w:rsidP="00E67CB0">
      <w:pPr>
        <w:pStyle w:val="Prrafodelista"/>
        <w:numPr>
          <w:ilvl w:val="0"/>
          <w:numId w:val="171"/>
        </w:numPr>
        <w:spacing w:after="120" w:line="360" w:lineRule="auto"/>
        <w:rPr>
          <w:szCs w:val="22"/>
        </w:rPr>
      </w:pPr>
      <w:r w:rsidRPr="009A27ED">
        <w:rPr>
          <w:rFonts w:ascii="Times New Roman" w:eastAsia="Times New Roman" w:hAnsi="Times New Roman"/>
          <w:sz w:val="24"/>
          <w:szCs w:val="22"/>
        </w:rPr>
        <w:t xml:space="preserve">Suscribir los contratos con base a las Condiciones Generales aplicables a los ERPA del FCPF que determinarán las obligaciones y responsabilidades que aseguren y regulen entre las partes el derecho a la transferencia de titularidad de las emisiones reducidas a través de cláusulas  que estipulen las condiciones de compra venta/cesión de las mismas, </w:t>
      </w:r>
      <w:r w:rsidR="00DB3A4C" w:rsidRPr="009A27ED">
        <w:rPr>
          <w:rFonts w:ascii="Times New Roman" w:eastAsia="Times New Roman" w:hAnsi="Times New Roman"/>
          <w:sz w:val="24"/>
          <w:szCs w:val="22"/>
        </w:rPr>
        <w:t>en las cua</w:t>
      </w:r>
      <w:r w:rsidR="00775958" w:rsidRPr="009A27ED">
        <w:rPr>
          <w:rFonts w:ascii="Times New Roman" w:eastAsia="Times New Roman" w:hAnsi="Times New Roman"/>
          <w:sz w:val="24"/>
          <w:szCs w:val="22"/>
        </w:rPr>
        <w:t>les</w:t>
      </w:r>
      <w:r w:rsidR="00DB3A4C" w:rsidRPr="009A27ED">
        <w:rPr>
          <w:rFonts w:ascii="Times New Roman" w:eastAsia="Times New Roman" w:hAnsi="Times New Roman"/>
          <w:sz w:val="24"/>
          <w:szCs w:val="22"/>
        </w:rPr>
        <w:t xml:space="preserve"> </w:t>
      </w:r>
      <w:r w:rsidRPr="009A27ED">
        <w:rPr>
          <w:rFonts w:ascii="Times New Roman" w:eastAsia="Times New Roman" w:hAnsi="Times New Roman"/>
          <w:sz w:val="24"/>
          <w:szCs w:val="22"/>
        </w:rPr>
        <w:t>se formalice la propiedad o legitimidad  de la tenencia informal y la ejecución de las actividades que generan el derecho a las reducciones de emisiones y en consecuencia asignar la retribución o beneficio.</w:t>
      </w:r>
    </w:p>
    <w:p w14:paraId="196C2A59" w14:textId="3D2281D8" w:rsidR="00685972" w:rsidRPr="009A27ED" w:rsidRDefault="00685972" w:rsidP="00E67CB0">
      <w:pPr>
        <w:pStyle w:val="Prrafodelista"/>
        <w:numPr>
          <w:ilvl w:val="0"/>
          <w:numId w:val="171"/>
        </w:numPr>
        <w:spacing w:after="120" w:line="360" w:lineRule="auto"/>
        <w:rPr>
          <w:szCs w:val="22"/>
        </w:rPr>
      </w:pPr>
      <w:r w:rsidRPr="009A27ED">
        <w:rPr>
          <w:rFonts w:ascii="Times New Roman" w:eastAsia="Times New Roman" w:hAnsi="Times New Roman"/>
          <w:sz w:val="24"/>
          <w:szCs w:val="22"/>
        </w:rPr>
        <w:t xml:space="preserve">Suscribir </w:t>
      </w:r>
      <w:r w:rsidR="00DB3A4C" w:rsidRPr="009A27ED">
        <w:rPr>
          <w:rFonts w:ascii="Times New Roman" w:eastAsia="Times New Roman" w:hAnsi="Times New Roman"/>
          <w:sz w:val="24"/>
          <w:szCs w:val="22"/>
        </w:rPr>
        <w:t>a</w:t>
      </w:r>
      <w:r w:rsidRPr="009A27ED">
        <w:rPr>
          <w:rFonts w:ascii="Times New Roman" w:eastAsia="Times New Roman" w:hAnsi="Times New Roman"/>
          <w:sz w:val="24"/>
          <w:szCs w:val="22"/>
        </w:rPr>
        <w:t xml:space="preserve">rreglos institucionales entre las asociaciones o federaciones de productores de cada entidad ejecutora o programa para la Distribución de Beneficios, que especifiquen los tipos y </w:t>
      </w:r>
      <w:r w:rsidRPr="009A27ED">
        <w:rPr>
          <w:rFonts w:ascii="Times New Roman" w:eastAsia="Times New Roman" w:hAnsi="Times New Roman"/>
          <w:sz w:val="24"/>
          <w:szCs w:val="22"/>
        </w:rPr>
        <w:lastRenderedPageBreak/>
        <w:t xml:space="preserve">proporciones de estos que serán repartidos, así como el mecanismo por medio </w:t>
      </w:r>
      <w:r w:rsidR="001F68BA" w:rsidRPr="009A27ED">
        <w:rPr>
          <w:rFonts w:ascii="Times New Roman" w:eastAsia="Times New Roman" w:hAnsi="Times New Roman"/>
          <w:sz w:val="24"/>
          <w:szCs w:val="22"/>
        </w:rPr>
        <w:t>del cual dicho beneficio</w:t>
      </w:r>
      <w:r w:rsidRPr="009A27ED">
        <w:rPr>
          <w:rFonts w:ascii="Times New Roman" w:eastAsia="Times New Roman" w:hAnsi="Times New Roman"/>
          <w:sz w:val="24"/>
          <w:szCs w:val="22"/>
        </w:rPr>
        <w:t xml:space="preserve"> serán distribuidos.</w:t>
      </w:r>
    </w:p>
    <w:p w14:paraId="789E0D97" w14:textId="48CA69B5" w:rsidR="00685972" w:rsidRPr="009A27ED" w:rsidRDefault="00685972" w:rsidP="00F163C3">
      <w:pPr>
        <w:spacing w:after="0" w:line="360" w:lineRule="auto"/>
        <w:rPr>
          <w:szCs w:val="22"/>
        </w:rPr>
      </w:pPr>
      <w:r w:rsidRPr="009A27ED">
        <w:rPr>
          <w:rFonts w:ascii="Times New Roman" w:eastAsia="Times New Roman" w:hAnsi="Times New Roman"/>
          <w:sz w:val="24"/>
          <w:szCs w:val="22"/>
        </w:rPr>
        <w:t xml:space="preserve">Igualmente, cada Entidad Ejecutora o Programa se compromete, luego de formalizar la firma de la Carta de Intención, a firmar un Acuerdo Interinstitucional con el Ministerio de Medio Ambiente y Recursos Naturales </w:t>
      </w:r>
      <w:r w:rsidR="00DB3A4C" w:rsidRPr="009A27ED">
        <w:rPr>
          <w:rFonts w:ascii="Times New Roman" w:eastAsia="Times New Roman" w:hAnsi="Times New Roman"/>
          <w:sz w:val="24"/>
          <w:szCs w:val="22"/>
        </w:rPr>
        <w:t>que incluye</w:t>
      </w:r>
      <w:r w:rsidRPr="009A27ED">
        <w:rPr>
          <w:rFonts w:ascii="Times New Roman" w:eastAsia="Times New Roman" w:hAnsi="Times New Roman"/>
          <w:sz w:val="24"/>
          <w:szCs w:val="22"/>
        </w:rPr>
        <w:t xml:space="preserve"> los compromisos asumidos</w:t>
      </w:r>
      <w:r w:rsidR="00DB3A4C" w:rsidRPr="009A27ED">
        <w:rPr>
          <w:rFonts w:ascii="Times New Roman" w:eastAsia="Times New Roman" w:hAnsi="Times New Roman"/>
          <w:sz w:val="24"/>
          <w:szCs w:val="22"/>
        </w:rPr>
        <w:t>,</w:t>
      </w:r>
      <w:r w:rsidRPr="009A27ED">
        <w:rPr>
          <w:rFonts w:ascii="Times New Roman" w:eastAsia="Times New Roman" w:hAnsi="Times New Roman"/>
          <w:sz w:val="24"/>
          <w:szCs w:val="22"/>
        </w:rPr>
        <w:t xml:space="preserve"> en la citada carta serán formalizados mediante derechos y obligaciones particulares y específicas para el cumplimiento e implementación de las Salvaguardas </w:t>
      </w:r>
      <w:r w:rsidR="00DB3A4C" w:rsidRPr="009A27ED">
        <w:rPr>
          <w:rFonts w:ascii="Times New Roman" w:eastAsia="Times New Roman" w:hAnsi="Times New Roman"/>
          <w:sz w:val="24"/>
          <w:szCs w:val="22"/>
        </w:rPr>
        <w:t xml:space="preserve">REDD+ </w:t>
      </w:r>
      <w:r w:rsidRPr="009A27ED">
        <w:rPr>
          <w:rFonts w:ascii="Times New Roman" w:eastAsia="Times New Roman" w:hAnsi="Times New Roman"/>
          <w:sz w:val="24"/>
          <w:szCs w:val="22"/>
        </w:rPr>
        <w:t xml:space="preserve">y </w:t>
      </w:r>
      <w:r w:rsidR="00DB3A4C" w:rsidRPr="009A27ED">
        <w:rPr>
          <w:rFonts w:ascii="Times New Roman" w:eastAsia="Times New Roman" w:hAnsi="Times New Roman"/>
          <w:sz w:val="24"/>
          <w:szCs w:val="22"/>
        </w:rPr>
        <w:t xml:space="preserve">las </w:t>
      </w:r>
      <w:r w:rsidRPr="009A27ED">
        <w:rPr>
          <w:rFonts w:ascii="Times New Roman" w:eastAsia="Times New Roman" w:hAnsi="Times New Roman"/>
          <w:sz w:val="24"/>
          <w:szCs w:val="22"/>
        </w:rPr>
        <w:t xml:space="preserve">Políticas Operativas del Banco Mundial, así como las actividades vinculadas con las opciones y acciones REDD+ para cada una de las Entidades Ejecutoras/Programas. </w:t>
      </w:r>
    </w:p>
    <w:p w14:paraId="627C5E67" w14:textId="77777777" w:rsidR="00685972" w:rsidRPr="009A27ED" w:rsidRDefault="00685972" w:rsidP="00685972">
      <w:pPr>
        <w:spacing w:after="0" w:line="360" w:lineRule="auto"/>
        <w:ind w:left="708"/>
        <w:rPr>
          <w:szCs w:val="22"/>
        </w:rPr>
      </w:pPr>
    </w:p>
    <w:p w14:paraId="583E7BB2" w14:textId="2B6BDD72" w:rsidR="00685972" w:rsidRPr="009A27ED" w:rsidRDefault="00685972" w:rsidP="00F163C3">
      <w:pPr>
        <w:spacing w:after="0" w:line="360" w:lineRule="auto"/>
        <w:rPr>
          <w:rFonts w:cs="Calibri"/>
          <w:szCs w:val="22"/>
        </w:rPr>
      </w:pPr>
      <w:r w:rsidRPr="009A27ED">
        <w:rPr>
          <w:rFonts w:ascii="Times New Roman" w:eastAsia="Times New Roman" w:hAnsi="Times New Roman"/>
          <w:sz w:val="24"/>
          <w:szCs w:val="22"/>
        </w:rPr>
        <w:t xml:space="preserve">De manera específica, cada acuerdo interinstitucional será negociado en virtud de todos los puntos relevantes enunciados más arriba y en virtud de la ejecución de actividades que permitan el fortalecimiento institucional, conforme al diagnóstico de capacidades realizado. En este sentido, cada acuerdo interinstitucional abordará elementos relacionados con: </w:t>
      </w:r>
      <w:r w:rsidRPr="009A27ED">
        <w:rPr>
          <w:rFonts w:ascii="Times New Roman" w:eastAsia="Times New Roman" w:hAnsi="Times New Roman"/>
          <w:b/>
          <w:sz w:val="24"/>
          <w:szCs w:val="22"/>
        </w:rPr>
        <w:t>1)</w:t>
      </w:r>
      <w:r w:rsidRPr="009A27ED">
        <w:rPr>
          <w:rFonts w:ascii="Times New Roman" w:eastAsia="Times New Roman" w:hAnsi="Times New Roman"/>
          <w:sz w:val="24"/>
          <w:szCs w:val="22"/>
        </w:rPr>
        <w:t xml:space="preserve"> </w:t>
      </w:r>
      <w:r w:rsidRPr="009A27ED">
        <w:rPr>
          <w:rFonts w:ascii="Times New Roman" w:eastAsia="Times New Roman" w:hAnsi="Times New Roman" w:cs="Calibri"/>
          <w:sz w:val="24"/>
          <w:szCs w:val="22"/>
        </w:rPr>
        <w:t xml:space="preserve">Aplicación de las Condiciones Generales y Definiciones; </w:t>
      </w:r>
      <w:r w:rsidRPr="009A27ED">
        <w:rPr>
          <w:rFonts w:ascii="Times New Roman" w:eastAsia="Times New Roman" w:hAnsi="Times New Roman"/>
          <w:b/>
          <w:sz w:val="24"/>
          <w:szCs w:val="22"/>
        </w:rPr>
        <w:t>2)</w:t>
      </w:r>
      <w:r w:rsidRPr="009A27ED">
        <w:rPr>
          <w:rFonts w:ascii="Times New Roman" w:eastAsia="Times New Roman" w:hAnsi="Times New Roman"/>
          <w:sz w:val="24"/>
          <w:szCs w:val="22"/>
        </w:rPr>
        <w:t xml:space="preserve"> </w:t>
      </w:r>
      <w:r w:rsidRPr="009A27ED">
        <w:rPr>
          <w:rFonts w:ascii="Times New Roman" w:eastAsia="Times New Roman" w:hAnsi="Times New Roman" w:cs="Calibri"/>
          <w:sz w:val="24"/>
          <w:szCs w:val="22"/>
        </w:rPr>
        <w:t xml:space="preserve">Descripción del </w:t>
      </w:r>
      <w:r w:rsidR="00124B63" w:rsidRPr="009A27ED">
        <w:rPr>
          <w:rFonts w:ascii="Times New Roman" w:eastAsia="Times New Roman" w:hAnsi="Times New Roman" w:cs="Calibri"/>
          <w:sz w:val="24"/>
          <w:szCs w:val="22"/>
        </w:rPr>
        <w:t>Programa REDD+</w:t>
      </w:r>
      <w:r w:rsidRPr="009A27ED">
        <w:rPr>
          <w:rFonts w:ascii="Times New Roman" w:eastAsia="Times New Roman" w:hAnsi="Times New Roman" w:cs="Calibri"/>
          <w:sz w:val="24"/>
          <w:szCs w:val="22"/>
        </w:rPr>
        <w:t xml:space="preserve">; </w:t>
      </w:r>
      <w:r w:rsidRPr="009A27ED">
        <w:rPr>
          <w:rFonts w:ascii="Times New Roman" w:eastAsia="Times New Roman" w:hAnsi="Times New Roman" w:cs="Calibri"/>
          <w:b/>
          <w:sz w:val="24"/>
          <w:szCs w:val="22"/>
        </w:rPr>
        <w:t>3)</w:t>
      </w:r>
      <w:r w:rsidRPr="009A27ED">
        <w:rPr>
          <w:rFonts w:ascii="Times New Roman" w:eastAsia="Times New Roman" w:hAnsi="Times New Roman" w:cs="Calibri"/>
          <w:sz w:val="24"/>
          <w:szCs w:val="22"/>
        </w:rPr>
        <w:t xml:space="preserve"> </w:t>
      </w:r>
      <w:r w:rsidRPr="009A27ED">
        <w:rPr>
          <w:rFonts w:ascii="Times New Roman" w:eastAsia="Times New Roman" w:hAnsi="Times New Roman"/>
          <w:sz w:val="24"/>
          <w:szCs w:val="22"/>
        </w:rPr>
        <w:t xml:space="preserve">El bien o servicio sobre el que se contrata. En este caso, las Entidades Ejecutoras y beneficiarios o grupos de beneficiarios acordarán transferir sus derechos sobre las </w:t>
      </w:r>
      <w:proofErr w:type="spellStart"/>
      <w:r w:rsidRPr="009A27ED">
        <w:rPr>
          <w:rFonts w:ascii="Times New Roman" w:eastAsia="Times New Roman" w:hAnsi="Times New Roman"/>
          <w:sz w:val="24"/>
          <w:szCs w:val="22"/>
        </w:rPr>
        <w:t>ERs</w:t>
      </w:r>
      <w:proofErr w:type="spellEnd"/>
      <w:r w:rsidRPr="009A27ED">
        <w:rPr>
          <w:rFonts w:ascii="Times New Roman" w:eastAsia="Times New Roman" w:hAnsi="Times New Roman"/>
          <w:sz w:val="24"/>
          <w:szCs w:val="22"/>
        </w:rPr>
        <w:t xml:space="preserve"> al gobierno de República Dominicana como condición para recibir los beneficios derivados de los pagos basados en resultados provistos por el Fondo de Carbono y la contraprestación o precio que el retribuyente (FCPF) otorgará a cada Beneficiario (Condiciones de Venta/Asignación); </w:t>
      </w:r>
      <w:r w:rsidRPr="009A27ED">
        <w:rPr>
          <w:rFonts w:ascii="Times New Roman" w:eastAsia="Times New Roman" w:hAnsi="Times New Roman"/>
          <w:b/>
          <w:sz w:val="24"/>
          <w:szCs w:val="22"/>
        </w:rPr>
        <w:t>4)</w:t>
      </w:r>
      <w:r w:rsidRPr="009A27ED">
        <w:rPr>
          <w:rFonts w:ascii="Times New Roman" w:eastAsia="Times New Roman" w:hAnsi="Times New Roman"/>
          <w:sz w:val="24"/>
          <w:szCs w:val="22"/>
        </w:rPr>
        <w:t xml:space="preserve"> El consentimiento expreso de las Entidades Ejecutoras, beneficiarios o grupos de beneficiarios para participar en el </w:t>
      </w:r>
      <w:r w:rsidR="00124B63" w:rsidRPr="009A27ED">
        <w:rPr>
          <w:rFonts w:ascii="Times New Roman" w:eastAsia="Times New Roman" w:hAnsi="Times New Roman"/>
          <w:sz w:val="24"/>
          <w:szCs w:val="22"/>
        </w:rPr>
        <w:t>Programa REDD+</w:t>
      </w:r>
      <w:r w:rsidRPr="009A27ED">
        <w:rPr>
          <w:rFonts w:ascii="Times New Roman" w:eastAsia="Times New Roman" w:hAnsi="Times New Roman"/>
          <w:sz w:val="24"/>
          <w:szCs w:val="22"/>
        </w:rPr>
        <w:t xml:space="preserve">, aplicar los procedimientos y requerimientos establecidos en los Planes de Manejo Ambiental y Social (PMAS) y de las actividades, presupuestos contenidos en el Marco de Gestión Ambiental y Social (MGAS) y permitir la inclusión de sus datos en el Registro REDD +; </w:t>
      </w:r>
      <w:r w:rsidRPr="009A27ED">
        <w:rPr>
          <w:rFonts w:ascii="Times New Roman" w:eastAsia="Times New Roman" w:hAnsi="Times New Roman"/>
          <w:b/>
          <w:sz w:val="24"/>
          <w:szCs w:val="22"/>
        </w:rPr>
        <w:t>5)</w:t>
      </w:r>
      <w:r w:rsidRPr="009A27ED">
        <w:rPr>
          <w:rFonts w:ascii="Times New Roman" w:eastAsia="Times New Roman" w:hAnsi="Times New Roman"/>
          <w:sz w:val="24"/>
          <w:szCs w:val="22"/>
        </w:rPr>
        <w:t xml:space="preserve"> el compromiso de elaborar y presentar los informes requeridos por el Plan de Distribución de Beneficios (PDB) con la frecuencia y las plantillas establecidas para este fin; </w:t>
      </w:r>
      <w:r w:rsidRPr="009A27ED">
        <w:rPr>
          <w:rFonts w:ascii="Times New Roman" w:eastAsia="Times New Roman" w:hAnsi="Times New Roman"/>
          <w:b/>
          <w:sz w:val="24"/>
          <w:szCs w:val="22"/>
        </w:rPr>
        <w:t>6)</w:t>
      </w:r>
      <w:r w:rsidRPr="009A27ED">
        <w:rPr>
          <w:rFonts w:ascii="Times New Roman" w:eastAsia="Times New Roman" w:hAnsi="Times New Roman"/>
          <w:sz w:val="24"/>
          <w:szCs w:val="22"/>
        </w:rPr>
        <w:t xml:space="preserve"> Cronograma de actividades a ejecutar y plazo de duración del </w:t>
      </w:r>
      <w:r w:rsidR="00124B63" w:rsidRPr="009A27ED">
        <w:rPr>
          <w:rFonts w:ascii="Times New Roman" w:eastAsia="Times New Roman" w:hAnsi="Times New Roman"/>
          <w:sz w:val="24"/>
          <w:szCs w:val="22"/>
        </w:rPr>
        <w:t>Programa REDD+</w:t>
      </w:r>
      <w:r w:rsidRPr="009A27ED">
        <w:rPr>
          <w:rFonts w:ascii="Times New Roman" w:eastAsia="Times New Roman" w:hAnsi="Times New Roman"/>
          <w:sz w:val="24"/>
          <w:szCs w:val="22"/>
        </w:rPr>
        <w:t xml:space="preserve">; </w:t>
      </w:r>
      <w:r w:rsidRPr="009A27ED">
        <w:rPr>
          <w:rFonts w:ascii="Times New Roman" w:eastAsia="Times New Roman" w:hAnsi="Times New Roman"/>
          <w:b/>
          <w:sz w:val="24"/>
          <w:szCs w:val="22"/>
        </w:rPr>
        <w:t>7)</w:t>
      </w:r>
      <w:r w:rsidRPr="009A27ED">
        <w:rPr>
          <w:rFonts w:ascii="Times New Roman" w:eastAsia="Times New Roman" w:hAnsi="Times New Roman"/>
          <w:sz w:val="24"/>
          <w:szCs w:val="22"/>
        </w:rPr>
        <w:t xml:space="preserve"> </w:t>
      </w:r>
      <w:r w:rsidRPr="009A27ED">
        <w:rPr>
          <w:rFonts w:ascii="Times New Roman" w:eastAsia="Times New Roman" w:hAnsi="Times New Roman" w:cs="Calibri"/>
          <w:sz w:val="24"/>
          <w:szCs w:val="22"/>
          <w:lang w:eastAsia="es-ES"/>
        </w:rPr>
        <w:t xml:space="preserve">Garantías y condiciones específicas de cumplimiento; </w:t>
      </w:r>
      <w:r w:rsidRPr="009A27ED">
        <w:rPr>
          <w:rFonts w:ascii="Times New Roman" w:eastAsia="Times New Roman" w:hAnsi="Times New Roman"/>
          <w:b/>
          <w:sz w:val="24"/>
          <w:szCs w:val="22"/>
        </w:rPr>
        <w:t>8)</w:t>
      </w:r>
      <w:r w:rsidRPr="009A27ED">
        <w:rPr>
          <w:rFonts w:ascii="Times New Roman" w:eastAsia="Times New Roman" w:hAnsi="Times New Roman"/>
          <w:sz w:val="24"/>
          <w:szCs w:val="22"/>
        </w:rPr>
        <w:t xml:space="preserve"> Reglas de solución de controversias, mecanismo de resolución de conflictos</w:t>
      </w:r>
      <w:r w:rsidR="00B81BD8" w:rsidRPr="009A27ED">
        <w:rPr>
          <w:rFonts w:ascii="Times New Roman" w:eastAsia="Times New Roman" w:hAnsi="Times New Roman"/>
          <w:sz w:val="24"/>
          <w:szCs w:val="22"/>
        </w:rPr>
        <w:t xml:space="preserve"> y Sistema de Quejas, Reclamos y Manejo de Conflictos (SQRC)</w:t>
      </w:r>
      <w:r w:rsidRPr="009A27ED">
        <w:rPr>
          <w:rFonts w:ascii="Times New Roman" w:eastAsia="Times New Roman" w:hAnsi="Times New Roman"/>
          <w:sz w:val="24"/>
          <w:szCs w:val="22"/>
        </w:rPr>
        <w:t>, causales de disolución del acuerdo y sanciones por incumplimiento, derec</w:t>
      </w:r>
      <w:r w:rsidR="00B81BD8" w:rsidRPr="009A27ED">
        <w:rPr>
          <w:rFonts w:ascii="Times New Roman" w:eastAsia="Times New Roman" w:hAnsi="Times New Roman"/>
          <w:sz w:val="24"/>
          <w:szCs w:val="22"/>
        </w:rPr>
        <w:t>ho aplicable.</w:t>
      </w:r>
    </w:p>
    <w:p w14:paraId="701C332D" w14:textId="77777777" w:rsidR="00685972" w:rsidRPr="009A27ED" w:rsidRDefault="00685972" w:rsidP="00685972">
      <w:pPr>
        <w:spacing w:after="0" w:line="360" w:lineRule="auto"/>
        <w:rPr>
          <w:rFonts w:cs="Calibri"/>
          <w:color w:val="538135" w:themeColor="accent6" w:themeShade="BF"/>
          <w:szCs w:val="22"/>
        </w:rPr>
      </w:pPr>
    </w:p>
    <w:p w14:paraId="04E44B8C" w14:textId="77777777" w:rsidR="00685972" w:rsidRPr="009A27ED" w:rsidRDefault="00685972" w:rsidP="00F163C3">
      <w:pPr>
        <w:spacing w:after="0" w:line="360" w:lineRule="auto"/>
        <w:rPr>
          <w:rFonts w:cs="Calibri"/>
          <w:szCs w:val="22"/>
        </w:rPr>
      </w:pPr>
      <w:r w:rsidRPr="009A27ED">
        <w:rPr>
          <w:rFonts w:ascii="Times New Roman" w:eastAsia="Times New Roman" w:hAnsi="Times New Roman" w:cs="Calibri"/>
          <w:sz w:val="24"/>
          <w:szCs w:val="22"/>
        </w:rPr>
        <w:lastRenderedPageBreak/>
        <w:t xml:space="preserve">El tipo de información y los detalles detrás de cada aspecto enunciado anteriormente dependerán del nivel al que pertenezca el beneficiario dentro del Plan de Distribución de Beneficios. Es decir, si se trata de una Entidad Ejecutora, federación, asociación o productor individual. </w:t>
      </w:r>
    </w:p>
    <w:p w14:paraId="4532F9A0" w14:textId="77777777" w:rsidR="00685972" w:rsidRPr="009A27ED" w:rsidRDefault="00685972" w:rsidP="00F163C3">
      <w:pPr>
        <w:spacing w:after="0" w:line="360" w:lineRule="auto"/>
        <w:rPr>
          <w:rFonts w:cs="Calibri"/>
          <w:szCs w:val="22"/>
        </w:rPr>
      </w:pPr>
    </w:p>
    <w:p w14:paraId="322D2EB9" w14:textId="746BD9DB" w:rsidR="00E80DC0" w:rsidRPr="009A27ED" w:rsidRDefault="005B2415" w:rsidP="00E2722A">
      <w:pPr>
        <w:pStyle w:val="Prrafodelista"/>
        <w:spacing w:after="0" w:line="360" w:lineRule="auto"/>
        <w:rPr>
          <w:b/>
          <w:szCs w:val="22"/>
        </w:rPr>
      </w:pPr>
      <w:r w:rsidRPr="009A27ED">
        <w:rPr>
          <w:rFonts w:ascii="Times New Roman" w:eastAsia="Times New Roman" w:hAnsi="Times New Roman"/>
          <w:sz w:val="24"/>
          <w:szCs w:val="22"/>
        </w:rPr>
        <w:t>También</w:t>
      </w:r>
      <w:r w:rsidR="00685972" w:rsidRPr="009A27ED">
        <w:rPr>
          <w:rFonts w:ascii="Times New Roman" w:eastAsia="Times New Roman" w:hAnsi="Times New Roman"/>
          <w:sz w:val="24"/>
          <w:szCs w:val="22"/>
        </w:rPr>
        <w:t xml:space="preserve"> se </w:t>
      </w:r>
      <w:r w:rsidR="00D556C4" w:rsidRPr="009A27ED">
        <w:rPr>
          <w:rFonts w:ascii="Times New Roman" w:eastAsia="Times New Roman" w:hAnsi="Times New Roman"/>
          <w:sz w:val="24"/>
          <w:szCs w:val="22"/>
        </w:rPr>
        <w:t>firmó una</w:t>
      </w:r>
      <w:r w:rsidR="00685972" w:rsidRPr="009A27ED">
        <w:rPr>
          <w:rFonts w:ascii="Times New Roman" w:eastAsia="Times New Roman" w:hAnsi="Times New Roman"/>
          <w:sz w:val="24"/>
          <w:szCs w:val="22"/>
        </w:rPr>
        <w:t xml:space="preserve"> </w:t>
      </w:r>
      <w:r w:rsidR="00685972" w:rsidRPr="009A27ED">
        <w:rPr>
          <w:rFonts w:ascii="Times New Roman" w:eastAsia="Times New Roman" w:hAnsi="Times New Roman"/>
          <w:i/>
          <w:sz w:val="24"/>
          <w:szCs w:val="22"/>
        </w:rPr>
        <w:t>“Declaración Conjunta para Reafirmar las Competencias Institucionales, a los fines de realizar Transacciones y Transferir Títulos de Reducción de Emisiones (</w:t>
      </w:r>
      <w:proofErr w:type="spellStart"/>
      <w:r w:rsidR="00685972" w:rsidRPr="009A27ED">
        <w:rPr>
          <w:rFonts w:ascii="Times New Roman" w:eastAsia="Times New Roman" w:hAnsi="Times New Roman"/>
          <w:i/>
          <w:sz w:val="24"/>
          <w:szCs w:val="22"/>
        </w:rPr>
        <w:t>ERs</w:t>
      </w:r>
      <w:proofErr w:type="spellEnd"/>
      <w:r w:rsidR="00685972" w:rsidRPr="009A27ED">
        <w:rPr>
          <w:rFonts w:ascii="Times New Roman" w:eastAsia="Times New Roman" w:hAnsi="Times New Roman"/>
          <w:i/>
          <w:sz w:val="24"/>
          <w:szCs w:val="22"/>
        </w:rPr>
        <w:t>) y Suscribir un Acuerdo de Pago por Reducción de Emisiones (ERPA)”</w:t>
      </w:r>
      <w:r w:rsidR="00E2722A" w:rsidRPr="009A27ED">
        <w:rPr>
          <w:rFonts w:ascii="Times New Roman" w:eastAsia="Times New Roman" w:hAnsi="Times New Roman"/>
          <w:b/>
          <w:sz w:val="24"/>
          <w:szCs w:val="22"/>
        </w:rPr>
        <w:t>.</w:t>
      </w:r>
      <w:r w:rsidR="00685972" w:rsidRPr="009A27ED">
        <w:rPr>
          <w:rFonts w:ascii="Times New Roman" w:eastAsia="Times New Roman" w:hAnsi="Times New Roman"/>
          <w:sz w:val="24"/>
          <w:szCs w:val="22"/>
        </w:rPr>
        <w:t xml:space="preserve"> Este documento permite a las partes firmantes (Ministerio de Medio Ambiente y Recursos Naturales, Ministerio de Economía, Planificación y Desarrollo y Ministerio de Hacienda) confirmar sus obligaciones y responsabilidades para dar cumplimiento al Criterio 36 del Marco Metodológico del Fondo Cooperativo para el Carbono de los Bosques (FCPF) relativo a la capacidad y competencia de la Entidad del </w:t>
      </w:r>
      <w:r w:rsidR="00124B63" w:rsidRPr="009A27ED">
        <w:rPr>
          <w:rFonts w:ascii="Times New Roman" w:eastAsia="Times New Roman" w:hAnsi="Times New Roman"/>
          <w:sz w:val="24"/>
          <w:szCs w:val="22"/>
        </w:rPr>
        <w:t>Programa REDD+</w:t>
      </w:r>
      <w:r w:rsidR="00D556C4" w:rsidRPr="009A27ED">
        <w:rPr>
          <w:rFonts w:ascii="Times New Roman" w:eastAsia="Times New Roman" w:hAnsi="Times New Roman"/>
          <w:sz w:val="24"/>
          <w:szCs w:val="22"/>
        </w:rPr>
        <w:t xml:space="preserve"> </w:t>
      </w:r>
      <w:r w:rsidR="00685972" w:rsidRPr="009A27ED">
        <w:rPr>
          <w:rFonts w:ascii="Times New Roman" w:eastAsia="Times New Roman" w:hAnsi="Times New Roman"/>
          <w:sz w:val="24"/>
          <w:szCs w:val="22"/>
        </w:rPr>
        <w:t xml:space="preserve">facultada para suscribir un ERPA y su capacidad para transferir la titularidad de las </w:t>
      </w:r>
      <w:proofErr w:type="spellStart"/>
      <w:r w:rsidR="00685972" w:rsidRPr="009A27ED">
        <w:rPr>
          <w:rFonts w:ascii="Times New Roman" w:eastAsia="Times New Roman" w:hAnsi="Times New Roman"/>
          <w:sz w:val="24"/>
          <w:szCs w:val="22"/>
        </w:rPr>
        <w:t>ERs</w:t>
      </w:r>
      <w:proofErr w:type="spellEnd"/>
      <w:r w:rsidR="00685972" w:rsidRPr="009A27ED">
        <w:rPr>
          <w:rFonts w:ascii="Times New Roman" w:eastAsia="Times New Roman" w:hAnsi="Times New Roman"/>
          <w:sz w:val="24"/>
          <w:szCs w:val="22"/>
        </w:rPr>
        <w:t xml:space="preserve">. </w:t>
      </w:r>
    </w:p>
    <w:p w14:paraId="707CC414" w14:textId="77777777" w:rsidR="00E71948" w:rsidRPr="009A27ED" w:rsidRDefault="00E71948" w:rsidP="00E71948">
      <w:pPr>
        <w:spacing w:after="160" w:line="360" w:lineRule="auto"/>
      </w:pPr>
      <w:bookmarkStart w:id="281" w:name="_Toc1485069"/>
      <w:bookmarkStart w:id="282" w:name="_Toc529470008"/>
      <w:bookmarkStart w:id="283" w:name="_Toc532335869"/>
      <w:bookmarkEnd w:id="281"/>
    </w:p>
    <w:p w14:paraId="76C93E7F" w14:textId="77777777" w:rsidR="00E71948" w:rsidRPr="009A27ED" w:rsidRDefault="00E71948" w:rsidP="00E71948">
      <w:pPr>
        <w:spacing w:after="160" w:line="360" w:lineRule="auto"/>
      </w:pPr>
    </w:p>
    <w:p w14:paraId="1A401900" w14:textId="7D7B1B0A" w:rsidR="00947670" w:rsidRPr="009A27ED" w:rsidRDefault="000E3A08" w:rsidP="00E71948">
      <w:pPr>
        <w:pStyle w:val="Ttulo1"/>
        <w:numPr>
          <w:ilvl w:val="0"/>
          <w:numId w:val="0"/>
        </w:numPr>
        <w:spacing w:line="360" w:lineRule="auto"/>
        <w:ind w:left="567"/>
        <w:jc w:val="both"/>
      </w:pPr>
      <w:bookmarkStart w:id="284" w:name="_Toc111837987"/>
      <w:r w:rsidRPr="009A27ED">
        <w:rPr>
          <w:rFonts w:ascii="Times New Roman" w:eastAsia="Times New Roman" w:hAnsi="Times New Roman"/>
          <w:sz w:val="24"/>
        </w:rPr>
        <w:t>6</w:t>
      </w:r>
      <w:bookmarkStart w:id="285" w:name="_Hlk109818857"/>
      <w:r w:rsidRPr="009A27ED">
        <w:rPr>
          <w:rFonts w:ascii="Times New Roman" w:eastAsia="Times New Roman" w:hAnsi="Times New Roman"/>
          <w:sz w:val="24"/>
        </w:rPr>
        <w:t xml:space="preserve">. </w:t>
      </w:r>
      <w:bookmarkStart w:id="286" w:name="_Hlk20580474"/>
      <w:r w:rsidR="009252A9" w:rsidRPr="009A27ED">
        <w:rPr>
          <w:rFonts w:ascii="Times New Roman" w:eastAsia="Times New Roman" w:hAnsi="Times New Roman"/>
          <w:sz w:val="24"/>
        </w:rPr>
        <w:t>Procedimientos para la Implementación</w:t>
      </w:r>
      <w:bookmarkEnd w:id="282"/>
      <w:r w:rsidR="009252A9" w:rsidRPr="009A27ED">
        <w:rPr>
          <w:rFonts w:ascii="Times New Roman" w:eastAsia="Times New Roman" w:hAnsi="Times New Roman"/>
          <w:sz w:val="24"/>
        </w:rPr>
        <w:t xml:space="preserve"> del MGAS</w:t>
      </w:r>
      <w:bookmarkEnd w:id="283"/>
      <w:bookmarkEnd w:id="284"/>
      <w:r w:rsidR="009252A9" w:rsidRPr="009A27ED">
        <w:rPr>
          <w:rFonts w:ascii="Times New Roman" w:eastAsia="Times New Roman" w:hAnsi="Times New Roman"/>
          <w:sz w:val="24"/>
        </w:rPr>
        <w:t xml:space="preserve"> </w:t>
      </w:r>
      <w:bookmarkEnd w:id="286"/>
    </w:p>
    <w:p w14:paraId="6758DF04" w14:textId="346FD2C4" w:rsidR="00947670" w:rsidRPr="009A27ED" w:rsidRDefault="00FC4749" w:rsidP="005B6485">
      <w:pPr>
        <w:spacing w:before="120" w:after="0" w:line="360" w:lineRule="auto"/>
        <w:rPr>
          <w:szCs w:val="22"/>
        </w:rPr>
      </w:pPr>
      <w:bookmarkStart w:id="287" w:name="_Hlk20580434"/>
      <w:r w:rsidRPr="009A27ED">
        <w:rPr>
          <w:rFonts w:ascii="Times New Roman" w:eastAsia="Times New Roman" w:hAnsi="Times New Roman"/>
          <w:sz w:val="24"/>
          <w:szCs w:val="22"/>
        </w:rPr>
        <w:t xml:space="preserve">La implementación del Marco de Gestión Ambiental y Social se aplica a lo largo de todo el ciclo de implementación del </w:t>
      </w:r>
      <w:r w:rsidR="00124B63" w:rsidRPr="009A27ED">
        <w:rPr>
          <w:rFonts w:ascii="Times New Roman" w:eastAsia="Times New Roman" w:hAnsi="Times New Roman"/>
          <w:sz w:val="24"/>
          <w:szCs w:val="22"/>
        </w:rPr>
        <w:t>Programa REDD+</w:t>
      </w:r>
      <w:r w:rsidRPr="009A27ED">
        <w:rPr>
          <w:rFonts w:ascii="Times New Roman" w:eastAsia="Times New Roman" w:hAnsi="Times New Roman"/>
          <w:sz w:val="24"/>
          <w:szCs w:val="22"/>
        </w:rPr>
        <w:t>,</w:t>
      </w:r>
      <w:r w:rsidR="0080772D" w:rsidRPr="009A27ED">
        <w:rPr>
          <w:rFonts w:ascii="Times New Roman" w:eastAsia="Times New Roman" w:hAnsi="Times New Roman"/>
          <w:sz w:val="24"/>
          <w:szCs w:val="22"/>
        </w:rPr>
        <w:t xml:space="preserve"> desde la planeación y ejecución de las actividades de Asistencia Técnica por la OCR, y durante la implementación de las actividades tipo REDD+</w:t>
      </w:r>
      <w:r w:rsidRPr="009A27ED">
        <w:rPr>
          <w:rFonts w:ascii="Times New Roman" w:eastAsia="Times New Roman" w:hAnsi="Times New Roman"/>
          <w:sz w:val="24"/>
          <w:szCs w:val="22"/>
        </w:rPr>
        <w:t xml:space="preserve"> involucrando a las EE desde la selección de las actividades y beneficiarios que serán elegidos para integrarse al programa de reducción de emisiones. </w:t>
      </w:r>
      <w:r w:rsidR="00947670" w:rsidRPr="009A27ED">
        <w:rPr>
          <w:rFonts w:ascii="Times New Roman" w:eastAsia="Times New Roman" w:hAnsi="Times New Roman"/>
          <w:sz w:val="24"/>
          <w:szCs w:val="22"/>
        </w:rPr>
        <w:t xml:space="preserve">Los principales hitos del proceso de </w:t>
      </w:r>
      <w:r w:rsidR="00A03350" w:rsidRPr="009A27ED">
        <w:rPr>
          <w:rFonts w:ascii="Times New Roman" w:eastAsia="Times New Roman" w:hAnsi="Times New Roman"/>
          <w:sz w:val="24"/>
          <w:szCs w:val="22"/>
        </w:rPr>
        <w:t xml:space="preserve">gestión </w:t>
      </w:r>
      <w:r w:rsidR="00947670" w:rsidRPr="009A27ED">
        <w:rPr>
          <w:rFonts w:ascii="Times New Roman" w:eastAsia="Times New Roman" w:hAnsi="Times New Roman"/>
          <w:sz w:val="24"/>
          <w:szCs w:val="22"/>
        </w:rPr>
        <w:t>ambiental y social de las actividades que se</w:t>
      </w:r>
      <w:r w:rsidR="00A03350" w:rsidRPr="009A27ED">
        <w:rPr>
          <w:rFonts w:ascii="Times New Roman" w:eastAsia="Times New Roman" w:hAnsi="Times New Roman"/>
          <w:sz w:val="24"/>
          <w:szCs w:val="22"/>
        </w:rPr>
        <w:t>rán</w:t>
      </w:r>
      <w:r w:rsidR="00947670" w:rsidRPr="009A27ED">
        <w:rPr>
          <w:rFonts w:ascii="Times New Roman" w:eastAsia="Times New Roman" w:hAnsi="Times New Roman"/>
          <w:sz w:val="24"/>
          <w:szCs w:val="22"/>
        </w:rPr>
        <w:t xml:space="preserve"> implementarán en el contexto de REDD+, son los siguientes:</w:t>
      </w:r>
    </w:p>
    <w:p w14:paraId="78FB77E2" w14:textId="77777777" w:rsidR="0080772D" w:rsidRPr="009A27ED" w:rsidRDefault="0080772D" w:rsidP="00D42802">
      <w:pPr>
        <w:pStyle w:val="Number1"/>
        <w:numPr>
          <w:ilvl w:val="0"/>
          <w:numId w:val="67"/>
        </w:numPr>
        <w:spacing w:line="360" w:lineRule="auto"/>
        <w:ind w:left="1077" w:hanging="357"/>
      </w:pPr>
      <w:r w:rsidRPr="009A27ED">
        <w:rPr>
          <w:rFonts w:ascii="Times New Roman" w:hAnsi="Times New Roman"/>
          <w:sz w:val="24"/>
        </w:rPr>
        <w:t xml:space="preserve">Normas de Asistencia Técnica para las Acciones Facilitadoras </w:t>
      </w:r>
    </w:p>
    <w:p w14:paraId="77620BF3" w14:textId="228F4997" w:rsidR="007561BC" w:rsidRPr="009A27ED" w:rsidRDefault="00FC4749" w:rsidP="00D42802">
      <w:pPr>
        <w:pStyle w:val="Number1"/>
        <w:numPr>
          <w:ilvl w:val="0"/>
          <w:numId w:val="67"/>
        </w:numPr>
        <w:spacing w:line="360" w:lineRule="auto"/>
        <w:ind w:left="1077" w:hanging="357"/>
      </w:pPr>
      <w:r w:rsidRPr="009A27ED">
        <w:rPr>
          <w:rFonts w:ascii="Times New Roman" w:hAnsi="Times New Roman"/>
          <w:sz w:val="24"/>
        </w:rPr>
        <w:t xml:space="preserve">Elegibilidad a partir de la aplicación de la </w:t>
      </w:r>
      <w:r w:rsidR="00947670" w:rsidRPr="009A27ED">
        <w:rPr>
          <w:rFonts w:ascii="Times New Roman" w:hAnsi="Times New Roman"/>
          <w:sz w:val="24"/>
        </w:rPr>
        <w:t>Lista de exclusión.</w:t>
      </w:r>
    </w:p>
    <w:p w14:paraId="1370AAA6" w14:textId="764AA496" w:rsidR="00947670" w:rsidRPr="009A27ED" w:rsidRDefault="00947670" w:rsidP="00D42802">
      <w:pPr>
        <w:pStyle w:val="Number1"/>
        <w:numPr>
          <w:ilvl w:val="0"/>
          <w:numId w:val="67"/>
        </w:numPr>
        <w:spacing w:line="360" w:lineRule="auto"/>
        <w:ind w:left="1077" w:hanging="357"/>
      </w:pPr>
      <w:r w:rsidRPr="009A27ED">
        <w:rPr>
          <w:rFonts w:ascii="Times New Roman" w:hAnsi="Times New Roman"/>
          <w:sz w:val="24"/>
        </w:rPr>
        <w:t>Criterios generales de selección.</w:t>
      </w:r>
    </w:p>
    <w:p w14:paraId="644F69C9" w14:textId="77777777" w:rsidR="00947670" w:rsidRPr="009A27ED" w:rsidRDefault="00947670" w:rsidP="00D42802">
      <w:pPr>
        <w:pStyle w:val="Number1"/>
        <w:numPr>
          <w:ilvl w:val="0"/>
          <w:numId w:val="67"/>
        </w:numPr>
        <w:spacing w:line="360" w:lineRule="auto"/>
        <w:ind w:left="1077" w:hanging="357"/>
      </w:pPr>
      <w:r w:rsidRPr="009A27ED">
        <w:rPr>
          <w:rFonts w:ascii="Times New Roman" w:hAnsi="Times New Roman"/>
          <w:sz w:val="24"/>
        </w:rPr>
        <w:t>Criterios de selección específicos o requisitos legales nacionales que cada actividad deberá cumplir.</w:t>
      </w:r>
    </w:p>
    <w:p w14:paraId="559A28CC" w14:textId="14E26D06" w:rsidR="00947670" w:rsidRPr="009A27ED" w:rsidRDefault="00947670" w:rsidP="00D42802">
      <w:pPr>
        <w:pStyle w:val="Number1"/>
        <w:numPr>
          <w:ilvl w:val="0"/>
          <w:numId w:val="67"/>
        </w:numPr>
        <w:spacing w:line="360" w:lineRule="auto"/>
        <w:ind w:left="1077" w:hanging="357"/>
      </w:pPr>
      <w:r w:rsidRPr="009A27ED">
        <w:rPr>
          <w:rFonts w:ascii="Times New Roman" w:hAnsi="Times New Roman"/>
          <w:sz w:val="24"/>
        </w:rPr>
        <w:t xml:space="preserve">Procedimientos para asegurar </w:t>
      </w:r>
      <w:r w:rsidR="003F7A85" w:rsidRPr="009A27ED">
        <w:rPr>
          <w:rFonts w:ascii="Times New Roman" w:hAnsi="Times New Roman"/>
          <w:sz w:val="24"/>
        </w:rPr>
        <w:t xml:space="preserve">el </w:t>
      </w:r>
      <w:r w:rsidRPr="009A27ED">
        <w:rPr>
          <w:rFonts w:ascii="Times New Roman" w:hAnsi="Times New Roman"/>
          <w:sz w:val="24"/>
        </w:rPr>
        <w:t xml:space="preserve">cumplimiento </w:t>
      </w:r>
      <w:r w:rsidR="003F7A85" w:rsidRPr="009A27ED">
        <w:rPr>
          <w:rFonts w:ascii="Times New Roman" w:hAnsi="Times New Roman"/>
          <w:sz w:val="24"/>
        </w:rPr>
        <w:t>de</w:t>
      </w:r>
      <w:r w:rsidRPr="009A27ED">
        <w:rPr>
          <w:rFonts w:ascii="Times New Roman" w:hAnsi="Times New Roman"/>
          <w:sz w:val="24"/>
        </w:rPr>
        <w:t xml:space="preserve"> las salvaguardas ambientales y sociales durante la implementación de </w:t>
      </w:r>
      <w:r w:rsidRPr="009A27ED">
        <w:rPr>
          <w:rFonts w:ascii="Times New Roman" w:hAnsi="Times New Roman"/>
          <w:i/>
          <w:sz w:val="24"/>
        </w:rPr>
        <w:t xml:space="preserve">actividades </w:t>
      </w:r>
      <w:r w:rsidR="0080772D" w:rsidRPr="009A27ED">
        <w:rPr>
          <w:rFonts w:ascii="Times New Roman" w:hAnsi="Times New Roman"/>
          <w:i/>
          <w:sz w:val="24"/>
        </w:rPr>
        <w:t>tipo</w:t>
      </w:r>
      <w:r w:rsidR="0080772D" w:rsidRPr="009A27ED">
        <w:rPr>
          <w:rFonts w:ascii="Times New Roman" w:hAnsi="Times New Roman"/>
          <w:sz w:val="24"/>
        </w:rPr>
        <w:t xml:space="preserve"> </w:t>
      </w:r>
      <w:r w:rsidRPr="009A27ED">
        <w:rPr>
          <w:rFonts w:ascii="Times New Roman" w:hAnsi="Times New Roman"/>
          <w:sz w:val="24"/>
        </w:rPr>
        <w:t>REDD+.</w:t>
      </w:r>
    </w:p>
    <w:p w14:paraId="161BFFB7" w14:textId="573846C3" w:rsidR="00947670" w:rsidRPr="009A27ED" w:rsidRDefault="00947670" w:rsidP="00D42802">
      <w:pPr>
        <w:pStyle w:val="Number1"/>
        <w:numPr>
          <w:ilvl w:val="0"/>
          <w:numId w:val="67"/>
        </w:numPr>
        <w:spacing w:line="360" w:lineRule="auto"/>
        <w:ind w:left="1077" w:hanging="357"/>
      </w:pPr>
      <w:r w:rsidRPr="009A27ED">
        <w:rPr>
          <w:rFonts w:ascii="Times New Roman" w:hAnsi="Times New Roman"/>
          <w:sz w:val="24"/>
        </w:rPr>
        <w:t xml:space="preserve">Planes de Manejo Ambiental y Social (PMAS) de las </w:t>
      </w:r>
      <w:r w:rsidRPr="009A27ED">
        <w:rPr>
          <w:rFonts w:ascii="Times New Roman" w:hAnsi="Times New Roman"/>
          <w:i/>
          <w:sz w:val="24"/>
        </w:rPr>
        <w:t xml:space="preserve">actividades </w:t>
      </w:r>
      <w:r w:rsidR="0080772D" w:rsidRPr="009A27ED">
        <w:rPr>
          <w:rFonts w:ascii="Times New Roman" w:hAnsi="Times New Roman"/>
          <w:i/>
          <w:sz w:val="24"/>
        </w:rPr>
        <w:t xml:space="preserve">tipo </w:t>
      </w:r>
      <w:r w:rsidRPr="009A27ED">
        <w:rPr>
          <w:rFonts w:ascii="Times New Roman" w:hAnsi="Times New Roman"/>
          <w:sz w:val="24"/>
        </w:rPr>
        <w:t xml:space="preserve">REDD+ para el cumplimiento y seguimiento de los aspectos ambientales y sociales. </w:t>
      </w:r>
    </w:p>
    <w:p w14:paraId="39989709" w14:textId="53C132F4" w:rsidR="00B509EA" w:rsidRPr="009A27ED" w:rsidRDefault="00A03350" w:rsidP="00C97A18">
      <w:pPr>
        <w:spacing w:before="120" w:after="0" w:line="360" w:lineRule="auto"/>
        <w:rPr>
          <w:color w:val="000000" w:themeColor="text1"/>
          <w:szCs w:val="22"/>
        </w:rPr>
      </w:pPr>
      <w:r w:rsidRPr="009A27ED">
        <w:rPr>
          <w:rFonts w:ascii="Times New Roman" w:eastAsia="Times New Roman" w:hAnsi="Times New Roman"/>
          <w:sz w:val="24"/>
          <w:szCs w:val="22"/>
        </w:rPr>
        <w:lastRenderedPageBreak/>
        <w:t xml:space="preserve">Este capítulo de procedimientos para la implementación es parte inescindible del MGAS, </w:t>
      </w:r>
      <w:r w:rsidR="00B81BD8" w:rsidRPr="009A27ED">
        <w:rPr>
          <w:rFonts w:ascii="Times New Roman" w:eastAsia="Times New Roman" w:hAnsi="Times New Roman"/>
          <w:sz w:val="24"/>
          <w:szCs w:val="22"/>
        </w:rPr>
        <w:t>y como tal se encuentra referido</w:t>
      </w:r>
      <w:r w:rsidRPr="009A27ED">
        <w:rPr>
          <w:rFonts w:ascii="Times New Roman" w:eastAsia="Times New Roman" w:hAnsi="Times New Roman"/>
          <w:sz w:val="24"/>
          <w:szCs w:val="22"/>
        </w:rPr>
        <w:t xml:space="preserve"> en los Acuerdos Interinstitucionales entre las EE y el Ministerio de Medio Ambie</w:t>
      </w:r>
      <w:r w:rsidR="00942922" w:rsidRPr="009A27ED">
        <w:rPr>
          <w:rFonts w:ascii="Times New Roman" w:eastAsia="Times New Roman" w:hAnsi="Times New Roman"/>
          <w:sz w:val="24"/>
          <w:szCs w:val="22"/>
        </w:rPr>
        <w:t>nte y Recursos Naturales de Repú</w:t>
      </w:r>
      <w:r w:rsidRPr="009A27ED">
        <w:rPr>
          <w:rFonts w:ascii="Times New Roman" w:eastAsia="Times New Roman" w:hAnsi="Times New Roman"/>
          <w:sz w:val="24"/>
          <w:szCs w:val="22"/>
        </w:rPr>
        <w:t xml:space="preserve">blica Dominicana. El MGAS y este capítulo en particular, será difundido para conocimiento </w:t>
      </w:r>
      <w:r w:rsidRPr="009A27ED">
        <w:rPr>
          <w:rFonts w:ascii="Times New Roman" w:eastAsia="Times New Roman" w:hAnsi="Times New Roman"/>
          <w:strike/>
          <w:sz w:val="24"/>
          <w:szCs w:val="22"/>
        </w:rPr>
        <w:t xml:space="preserve">cabal </w:t>
      </w:r>
      <w:r w:rsidRPr="009A27ED">
        <w:rPr>
          <w:rFonts w:ascii="Times New Roman" w:eastAsia="Times New Roman" w:hAnsi="Times New Roman"/>
          <w:sz w:val="24"/>
          <w:szCs w:val="22"/>
        </w:rPr>
        <w:t>de las Entidades Ejecutoras</w:t>
      </w:r>
      <w:r w:rsidR="008A7331" w:rsidRPr="009A27ED">
        <w:rPr>
          <w:rFonts w:ascii="Times New Roman" w:eastAsia="Times New Roman" w:hAnsi="Times New Roman"/>
          <w:sz w:val="24"/>
          <w:szCs w:val="22"/>
        </w:rPr>
        <w:t>.</w:t>
      </w:r>
    </w:p>
    <w:p w14:paraId="0E999C05" w14:textId="64C34C1A" w:rsidR="0080772D" w:rsidRPr="009A27ED" w:rsidRDefault="0080772D" w:rsidP="00E67CB0">
      <w:pPr>
        <w:pStyle w:val="Ttulo2"/>
        <w:numPr>
          <w:ilvl w:val="1"/>
          <w:numId w:val="175"/>
        </w:numPr>
        <w:spacing w:line="360" w:lineRule="auto"/>
        <w:jc w:val="both"/>
        <w:rPr>
          <w:b w:val="0"/>
        </w:rPr>
      </w:pPr>
      <w:bookmarkStart w:id="288" w:name="_Toc111837988"/>
      <w:r w:rsidRPr="009A27ED">
        <w:rPr>
          <w:rFonts w:ascii="Times New Roman" w:eastAsia="Times New Roman" w:hAnsi="Times New Roman"/>
          <w:sz w:val="24"/>
        </w:rPr>
        <w:t>Normas de Asistencia Técnica para las Acciones Facilitadoras</w:t>
      </w:r>
      <w:bookmarkEnd w:id="288"/>
    </w:p>
    <w:p w14:paraId="36031F85" w14:textId="767C32EF" w:rsidR="0080772D" w:rsidRPr="009A27ED" w:rsidRDefault="0080772D" w:rsidP="0080772D">
      <w:pPr>
        <w:spacing w:before="60" w:after="60" w:line="360" w:lineRule="auto"/>
        <w:contextualSpacing/>
        <w:rPr>
          <w:rFonts w:ascii="Calibri" w:eastAsia="Calibri" w:hAnsi="Calibri" w:cs="Calibri"/>
          <w:noProof/>
          <w:szCs w:val="22"/>
        </w:rPr>
      </w:pPr>
      <w:r w:rsidRPr="009A27ED">
        <w:rPr>
          <w:rFonts w:ascii="Times New Roman" w:eastAsia="Times New Roman" w:hAnsi="Times New Roman" w:cs="Calibri"/>
          <w:noProof/>
          <w:sz w:val="24"/>
          <w:szCs w:val="22"/>
        </w:rPr>
        <w:t xml:space="preserve">Se espera que la mayoría de las actividades facilitadoras, como por ejemplo las vinculadas a la </w:t>
      </w:r>
      <w:r w:rsidRPr="009A27ED">
        <w:rPr>
          <w:rFonts w:ascii="Times New Roman" w:eastAsiaTheme="minorEastAsia" w:hAnsi="Times New Roman"/>
          <w:bCs/>
          <w:color w:val="000000" w:themeColor="text1"/>
          <w:kern w:val="24"/>
          <w:sz w:val="24"/>
          <w:szCs w:val="22"/>
        </w:rPr>
        <w:t>Opción Estratégica “</w:t>
      </w:r>
      <w:r w:rsidRPr="009A27ED">
        <w:rPr>
          <w:rFonts w:ascii="Times New Roman" w:eastAsiaTheme="minorEastAsia" w:hAnsi="Times New Roman"/>
          <w:bCs/>
          <w:i/>
          <w:color w:val="000000" w:themeColor="text1"/>
          <w:kern w:val="24"/>
          <w:sz w:val="24"/>
          <w:szCs w:val="22"/>
        </w:rPr>
        <w:t>1. Fortalecer el marco legal e institucional para la conservación del patrimonio natural</w:t>
      </w:r>
      <w:r w:rsidRPr="009A27ED">
        <w:rPr>
          <w:rFonts w:ascii="Times New Roman" w:eastAsiaTheme="minorEastAsia" w:hAnsi="Times New Roman"/>
          <w:bCs/>
          <w:i/>
          <w:color w:val="70AD47" w:themeColor="accent6"/>
          <w:kern w:val="24"/>
          <w:sz w:val="24"/>
          <w:szCs w:val="22"/>
        </w:rPr>
        <w:t xml:space="preserve"> </w:t>
      </w:r>
      <w:r w:rsidRPr="009A27ED">
        <w:rPr>
          <w:rFonts w:ascii="Times New Roman" w:eastAsiaTheme="minorEastAsia" w:hAnsi="Times New Roman"/>
          <w:bCs/>
          <w:i/>
          <w:color w:val="000000" w:themeColor="text1"/>
          <w:kern w:val="24"/>
          <w:sz w:val="24"/>
          <w:szCs w:val="22"/>
        </w:rPr>
        <w:t>y el uso sostenible de los recursos naturales</w:t>
      </w:r>
      <w:r w:rsidRPr="009A27ED">
        <w:rPr>
          <w:rFonts w:ascii="Times New Roman" w:eastAsiaTheme="minorEastAsia" w:hAnsi="Times New Roman"/>
          <w:bCs/>
          <w:color w:val="000000" w:themeColor="text1"/>
          <w:kern w:val="24"/>
          <w:sz w:val="24"/>
          <w:szCs w:val="22"/>
        </w:rPr>
        <w:t>”</w:t>
      </w:r>
      <w:r w:rsidRPr="009A27ED">
        <w:rPr>
          <w:rFonts w:ascii="Times New Roman" w:eastAsia="Times New Roman" w:hAnsi="Times New Roman" w:cs="Calibri"/>
          <w:noProof/>
          <w:sz w:val="24"/>
          <w:szCs w:val="22"/>
        </w:rPr>
        <w:t xml:space="preserve"> sean estudios y otros elementos de Asistencia Técnica (AT). En general, suele considerarse que este tipo de actividades no tendrían efectos ambientales y sociales </w:t>
      </w:r>
      <w:r w:rsidRPr="009A27ED">
        <w:rPr>
          <w:rFonts w:ascii="Times New Roman" w:eastAsia="Times New Roman" w:hAnsi="Times New Roman" w:cs="Calibri"/>
          <w:i/>
          <w:noProof/>
          <w:sz w:val="24"/>
          <w:szCs w:val="22"/>
        </w:rPr>
        <w:t>per se</w:t>
      </w:r>
      <w:r w:rsidRPr="009A27ED">
        <w:rPr>
          <w:rFonts w:ascii="Times New Roman" w:eastAsia="Times New Roman" w:hAnsi="Times New Roman" w:cs="Calibri"/>
          <w:noProof/>
          <w:sz w:val="24"/>
          <w:szCs w:val="22"/>
        </w:rPr>
        <w:t>, sin embargo, los productos resultantes de las AT (por ejemplo, la modificación de una Ley o el establecimiento de un nuevo Programa) podrían tener implicaciones ambientales y sociales significativas en el futuro, implicar riesgos potenciales o inducir impactos adversos. En el caso de aquellas Acciones estrategicas que impliquen realización de estudios técnicos específicos y otros elementos de AT, el análisis para identificar los riesgos ambientales y sociales, y como resultado, la categoría correspondiente, deberá considerar los siguientes elementos</w:t>
      </w:r>
      <w:r w:rsidR="00723E6C" w:rsidRPr="009A27ED">
        <w:rPr>
          <w:rFonts w:ascii="Times New Roman" w:eastAsia="Times New Roman" w:hAnsi="Times New Roman" w:cs="Calibri"/>
          <w:noProof/>
          <w:sz w:val="24"/>
          <w:szCs w:val="22"/>
        </w:rPr>
        <w:t xml:space="preserve"> para la Actividad Facilitadora a evaluar</w:t>
      </w:r>
      <w:r w:rsidRPr="009A27ED">
        <w:rPr>
          <w:rFonts w:ascii="Times New Roman" w:eastAsia="Times New Roman" w:hAnsi="Times New Roman" w:cs="Calibri"/>
          <w:noProof/>
          <w:sz w:val="24"/>
          <w:szCs w:val="22"/>
        </w:rPr>
        <w:t>:</w:t>
      </w:r>
    </w:p>
    <w:p w14:paraId="30DCF188" w14:textId="77777777" w:rsidR="0080772D" w:rsidRPr="009A27ED" w:rsidRDefault="0080772D" w:rsidP="0080772D">
      <w:pPr>
        <w:spacing w:after="0" w:line="360" w:lineRule="auto"/>
        <w:contextualSpacing/>
        <w:rPr>
          <w:rFonts w:ascii="Calibri" w:eastAsia="Calibri" w:hAnsi="Calibri" w:cs="Calibri"/>
          <w:noProof/>
        </w:rPr>
      </w:pPr>
    </w:p>
    <w:p w14:paraId="272ABB6F" w14:textId="70966561" w:rsidR="0080772D" w:rsidRPr="009A27ED" w:rsidRDefault="0080772D" w:rsidP="00E67CB0">
      <w:pPr>
        <w:pStyle w:val="Prrafodelista"/>
        <w:numPr>
          <w:ilvl w:val="0"/>
          <w:numId w:val="151"/>
        </w:numPr>
        <w:spacing w:before="60" w:after="60" w:line="360" w:lineRule="auto"/>
        <w:ind w:hanging="180"/>
        <w:rPr>
          <w:rFonts w:ascii="Calibri" w:eastAsia="Calibri" w:hAnsi="Calibri" w:cs="Calibri"/>
          <w:noProof/>
          <w:szCs w:val="22"/>
          <w:lang w:val="es-ES"/>
        </w:rPr>
      </w:pPr>
      <w:r w:rsidRPr="009A27ED">
        <w:rPr>
          <w:rFonts w:ascii="Times New Roman" w:eastAsia="Times New Roman" w:hAnsi="Times New Roman" w:cs="Calibri"/>
          <w:noProof/>
          <w:sz w:val="24"/>
          <w:szCs w:val="22"/>
          <w:lang w:val="es-ES"/>
        </w:rPr>
        <w:t>¿generará diseños técnicos o de ingeniería, u otros insumos para la construcción de infraestructura o para la implementación de otras actividades que conlleven impactos físicos significativos?</w:t>
      </w:r>
    </w:p>
    <w:p w14:paraId="2D6560AD" w14:textId="535FFB47" w:rsidR="0080772D" w:rsidRPr="009A27ED" w:rsidRDefault="0080772D" w:rsidP="00E67CB0">
      <w:pPr>
        <w:pStyle w:val="Prrafodelista"/>
        <w:numPr>
          <w:ilvl w:val="0"/>
          <w:numId w:val="151"/>
        </w:numPr>
        <w:spacing w:before="60" w:after="60" w:line="360" w:lineRule="auto"/>
        <w:ind w:hanging="180"/>
        <w:rPr>
          <w:rFonts w:ascii="Calibri" w:eastAsia="Calibri" w:hAnsi="Calibri" w:cs="Calibri"/>
          <w:noProof/>
          <w:szCs w:val="22"/>
          <w:lang w:val="es-ES"/>
        </w:rPr>
      </w:pPr>
      <w:r w:rsidRPr="009A27ED">
        <w:rPr>
          <w:rFonts w:ascii="Times New Roman" w:eastAsia="Times New Roman" w:hAnsi="Times New Roman" w:cs="Calibri"/>
          <w:noProof/>
          <w:sz w:val="24"/>
          <w:szCs w:val="22"/>
          <w:lang w:val="es-ES"/>
        </w:rPr>
        <w:t>¿Apoyará el desarrollo de políticas, estrategias, leyes u otras regulaciones que podrán generar impactos ambientales y sociales cuando sean implementadas a través de programas o proyectos futuros?</w:t>
      </w:r>
    </w:p>
    <w:p w14:paraId="253A8E0A" w14:textId="2437B972" w:rsidR="0080772D" w:rsidRPr="009A27ED" w:rsidRDefault="0080772D" w:rsidP="00E67CB0">
      <w:pPr>
        <w:pStyle w:val="Prrafodelista"/>
        <w:numPr>
          <w:ilvl w:val="0"/>
          <w:numId w:val="151"/>
        </w:numPr>
        <w:spacing w:before="100" w:beforeAutospacing="1" w:after="100" w:afterAutospacing="1" w:line="360" w:lineRule="auto"/>
        <w:ind w:hanging="180"/>
        <w:rPr>
          <w:rFonts w:ascii="Calibri" w:eastAsia="Calibri" w:hAnsi="Calibri" w:cs="Calibri"/>
          <w:noProof/>
          <w:szCs w:val="22"/>
          <w:lang w:val="es-ES"/>
        </w:rPr>
      </w:pPr>
      <w:r w:rsidRPr="009A27ED">
        <w:rPr>
          <w:rFonts w:ascii="Times New Roman" w:eastAsia="Times New Roman" w:hAnsi="Times New Roman" w:cs="Calibri"/>
          <w:noProof/>
          <w:sz w:val="24"/>
          <w:szCs w:val="22"/>
          <w:lang w:val="es-ES"/>
        </w:rPr>
        <w:t>¿establecerá o apoyará la formulación de planes de uso de tierras o recursos que puedan generar potenciales impactos sociales y ambientales?</w:t>
      </w:r>
    </w:p>
    <w:p w14:paraId="5267CA28" w14:textId="08D21E6A" w:rsidR="0080772D" w:rsidRPr="009A27ED" w:rsidRDefault="0080772D" w:rsidP="00E67CB0">
      <w:pPr>
        <w:pStyle w:val="Prrafodelista"/>
        <w:numPr>
          <w:ilvl w:val="0"/>
          <w:numId w:val="151"/>
        </w:numPr>
        <w:spacing w:before="100" w:beforeAutospacing="1" w:after="100" w:afterAutospacing="1" w:line="360" w:lineRule="auto"/>
        <w:ind w:hanging="180"/>
        <w:rPr>
          <w:rFonts w:ascii="Calibri" w:eastAsia="Calibri" w:hAnsi="Calibri" w:cs="Calibri"/>
          <w:noProof/>
          <w:szCs w:val="22"/>
          <w:lang w:val="es-ES"/>
        </w:rPr>
      </w:pPr>
      <w:r w:rsidRPr="009A27ED">
        <w:rPr>
          <w:rFonts w:ascii="Times New Roman" w:eastAsia="Times New Roman" w:hAnsi="Times New Roman" w:cs="Calibri"/>
          <w:noProof/>
          <w:sz w:val="24"/>
          <w:szCs w:val="22"/>
          <w:lang w:val="es-ES"/>
        </w:rPr>
        <w:t>¿incluirá el diseño o provisión de fortalecimiento de capacidades para apoyar a instituciones en el desarrollo de actividades que puedan generar potenciales impactos ambientales y sociales?.</w:t>
      </w:r>
    </w:p>
    <w:p w14:paraId="72C34708" w14:textId="77777777" w:rsidR="0080772D" w:rsidRPr="009A27ED" w:rsidRDefault="0080772D" w:rsidP="0080772D">
      <w:pPr>
        <w:spacing w:before="100" w:beforeAutospacing="1" w:after="100" w:afterAutospacing="1" w:line="360" w:lineRule="auto"/>
        <w:contextualSpacing/>
        <w:rPr>
          <w:rFonts w:ascii="Calibri" w:eastAsia="Calibri" w:hAnsi="Calibri" w:cs="Calibri"/>
          <w:noProof/>
          <w:szCs w:val="22"/>
        </w:rPr>
      </w:pPr>
      <w:r w:rsidRPr="009A27ED">
        <w:rPr>
          <w:rFonts w:ascii="Times New Roman" w:eastAsia="Times New Roman" w:hAnsi="Times New Roman" w:cs="Calibri"/>
          <w:noProof/>
          <w:sz w:val="24"/>
          <w:szCs w:val="22"/>
        </w:rPr>
        <w:t xml:space="preserve">Para los casos donde aplique la EAS, se considerarán en primera instancia los riesgos de las Actividad Facilitadora identificados durante la SESA, para luego establecer los riesgos e impactos  ambientales adversos mínimos o nulos en base a la metodología aplicada en la EAS y finalmente, aplicar las etapas que ésta contempla. </w:t>
      </w:r>
    </w:p>
    <w:p w14:paraId="4888EA54" w14:textId="77777777" w:rsidR="0080772D" w:rsidRPr="009A27ED" w:rsidRDefault="0080772D" w:rsidP="0080772D">
      <w:pPr>
        <w:spacing w:before="100" w:beforeAutospacing="1" w:after="100" w:afterAutospacing="1" w:line="360" w:lineRule="auto"/>
        <w:contextualSpacing/>
        <w:rPr>
          <w:rFonts w:ascii="Calibri" w:eastAsia="Calibri" w:hAnsi="Calibri" w:cs="Calibri"/>
          <w:noProof/>
          <w:szCs w:val="22"/>
        </w:rPr>
      </w:pPr>
    </w:p>
    <w:p w14:paraId="47926C0F" w14:textId="7FE56D5E" w:rsidR="0080772D" w:rsidRPr="009A27ED" w:rsidRDefault="0080772D" w:rsidP="0080772D">
      <w:pPr>
        <w:spacing w:before="100" w:beforeAutospacing="1" w:after="100" w:afterAutospacing="1" w:line="360" w:lineRule="auto"/>
        <w:contextualSpacing/>
        <w:rPr>
          <w:rFonts w:ascii="Calibri" w:eastAsia="Calibri" w:hAnsi="Calibri" w:cs="Calibri"/>
          <w:noProof/>
          <w:szCs w:val="22"/>
        </w:rPr>
      </w:pPr>
      <w:r w:rsidRPr="009A27ED">
        <w:rPr>
          <w:rFonts w:ascii="Times New Roman" w:eastAsia="Times New Roman" w:hAnsi="Times New Roman" w:cs="Calibri"/>
          <w:noProof/>
          <w:sz w:val="24"/>
          <w:szCs w:val="22"/>
        </w:rPr>
        <w:lastRenderedPageBreak/>
        <w:t xml:space="preserve">Para los casos de desarrollo de Planes, Políticas o Programas (PPP) e implementación de medidas, en una etapa posterior, y en caso de que los estudios realizados sirvan de base para el desarrollo de </w:t>
      </w:r>
      <w:r w:rsidR="00AB7EEB" w:rsidRPr="009A27ED">
        <w:rPr>
          <w:rFonts w:ascii="Times New Roman" w:eastAsia="Times New Roman" w:hAnsi="Times New Roman" w:cs="Calibri"/>
          <w:noProof/>
          <w:sz w:val="24"/>
          <w:szCs w:val="22"/>
        </w:rPr>
        <w:t xml:space="preserve">los </w:t>
      </w:r>
      <w:r w:rsidRPr="009A27ED">
        <w:rPr>
          <w:rFonts w:ascii="Times New Roman" w:eastAsia="Times New Roman" w:hAnsi="Times New Roman" w:cs="Calibri"/>
          <w:noProof/>
          <w:sz w:val="24"/>
          <w:szCs w:val="22"/>
        </w:rPr>
        <w:t xml:space="preserve">PPP, incluidas propuestas de modificaciones normativas que deban ingresar a tramitación parlamentaria, se deberá desarrollar igualmente la EAS de acuerdo a los lineamientos establecidos para las Acciones Directas que alude a Planes y Programas, de manera de garantizar el debido cumplimiento de las salvaguardas del Banco. El desarrollo de la EAS deberá considerar los lineamientos establecidos y su incorporación será evaluada por la OCR. En los casos donde la actividad facilitadora implique el ingreso a tramitación parlamentaria de modificaciones normativas, la </w:t>
      </w:r>
      <w:r w:rsidR="0038468A" w:rsidRPr="009A27ED">
        <w:rPr>
          <w:rFonts w:ascii="Times New Roman" w:eastAsia="Times New Roman" w:hAnsi="Times New Roman" w:cs="Calibri"/>
          <w:noProof/>
          <w:sz w:val="24"/>
          <w:szCs w:val="22"/>
        </w:rPr>
        <w:t xml:space="preserve">OCR </w:t>
      </w:r>
      <w:r w:rsidRPr="009A27ED">
        <w:rPr>
          <w:rFonts w:ascii="Times New Roman" w:eastAsia="Times New Roman" w:hAnsi="Times New Roman" w:cs="Calibri"/>
          <w:noProof/>
          <w:sz w:val="24"/>
          <w:szCs w:val="22"/>
        </w:rPr>
        <w:t xml:space="preserve">deberá evaluar el desarrollo de una EASE. </w:t>
      </w:r>
    </w:p>
    <w:p w14:paraId="1665072F" w14:textId="09449835" w:rsidR="00947670" w:rsidRPr="009A27ED" w:rsidRDefault="0080772D" w:rsidP="00F163C3">
      <w:pPr>
        <w:pStyle w:val="Ttulo2"/>
        <w:numPr>
          <w:ilvl w:val="0"/>
          <w:numId w:val="0"/>
        </w:numPr>
        <w:spacing w:line="360" w:lineRule="auto"/>
        <w:jc w:val="both"/>
        <w:rPr>
          <w:sz w:val="24"/>
        </w:rPr>
      </w:pPr>
      <w:bookmarkStart w:id="289" w:name="_Toc529470010"/>
      <w:bookmarkStart w:id="290" w:name="_Toc532335870"/>
      <w:bookmarkStart w:id="291" w:name="_Toc111837989"/>
      <w:r w:rsidRPr="009A27ED">
        <w:rPr>
          <w:rFonts w:ascii="Times New Roman" w:eastAsia="Times New Roman" w:hAnsi="Times New Roman"/>
          <w:sz w:val="24"/>
        </w:rPr>
        <w:t>6.</w:t>
      </w:r>
      <w:r w:rsidR="000E3A08" w:rsidRPr="009A27ED">
        <w:rPr>
          <w:rFonts w:ascii="Times New Roman" w:eastAsia="Times New Roman" w:hAnsi="Times New Roman"/>
          <w:sz w:val="24"/>
        </w:rPr>
        <w:t>2</w:t>
      </w:r>
      <w:r w:rsidRPr="009A27ED">
        <w:rPr>
          <w:rFonts w:ascii="Times New Roman" w:eastAsia="Times New Roman" w:hAnsi="Times New Roman"/>
          <w:sz w:val="24"/>
        </w:rPr>
        <w:t xml:space="preserve"> </w:t>
      </w:r>
      <w:r w:rsidR="00947670" w:rsidRPr="009A27ED">
        <w:rPr>
          <w:rFonts w:ascii="Times New Roman" w:eastAsia="Times New Roman" w:hAnsi="Times New Roman"/>
          <w:sz w:val="24"/>
        </w:rPr>
        <w:t>Lista de exclusión</w:t>
      </w:r>
      <w:bookmarkEnd w:id="289"/>
      <w:bookmarkEnd w:id="290"/>
      <w:bookmarkEnd w:id="291"/>
    </w:p>
    <w:p w14:paraId="45444948" w14:textId="1FA1BD71" w:rsidR="00947670" w:rsidRPr="009A27ED" w:rsidRDefault="00947670" w:rsidP="00947670">
      <w:pPr>
        <w:spacing w:line="360" w:lineRule="auto"/>
        <w:rPr>
          <w:color w:val="000000"/>
          <w:szCs w:val="22"/>
        </w:rPr>
      </w:pPr>
      <w:r w:rsidRPr="009A27ED">
        <w:rPr>
          <w:rFonts w:ascii="Times New Roman" w:eastAsia="Times New Roman" w:hAnsi="Times New Roman"/>
          <w:color w:val="000000"/>
          <w:sz w:val="24"/>
          <w:szCs w:val="22"/>
        </w:rPr>
        <w:t xml:space="preserve">Las siguientes actividades que son consideradas de alto riesgo ambiental o social, o que contravienen las Políticas Operativas del BM, no podrán ser </w:t>
      </w:r>
      <w:proofErr w:type="gramStart"/>
      <w:r w:rsidRPr="009A27ED">
        <w:rPr>
          <w:rFonts w:ascii="Times New Roman" w:eastAsia="Times New Roman" w:hAnsi="Times New Roman"/>
          <w:color w:val="000000"/>
          <w:sz w:val="24"/>
          <w:szCs w:val="22"/>
        </w:rPr>
        <w:t xml:space="preserve">elegidas </w:t>
      </w:r>
      <w:r w:rsidR="0080772D" w:rsidRPr="009A27ED">
        <w:rPr>
          <w:rFonts w:ascii="Times New Roman" w:eastAsia="Times New Roman" w:hAnsi="Times New Roman"/>
          <w:color w:val="000000"/>
          <w:sz w:val="24"/>
          <w:szCs w:val="22"/>
        </w:rPr>
        <w:t>como</w:t>
      </w:r>
      <w:proofErr w:type="gramEnd"/>
      <w:r w:rsidR="0080772D" w:rsidRPr="009A27ED">
        <w:rPr>
          <w:rFonts w:ascii="Times New Roman" w:eastAsia="Times New Roman" w:hAnsi="Times New Roman"/>
          <w:color w:val="000000"/>
          <w:sz w:val="24"/>
          <w:szCs w:val="22"/>
        </w:rPr>
        <w:t xml:space="preserve"> </w:t>
      </w:r>
      <w:r w:rsidRPr="009A27ED">
        <w:rPr>
          <w:rFonts w:ascii="Times New Roman" w:eastAsia="Times New Roman" w:hAnsi="Times New Roman"/>
          <w:color w:val="000000"/>
          <w:sz w:val="24"/>
          <w:szCs w:val="22"/>
        </w:rPr>
        <w:t>parte de</w:t>
      </w:r>
      <w:r w:rsidR="0080772D" w:rsidRPr="009A27ED">
        <w:rPr>
          <w:rFonts w:ascii="Times New Roman" w:eastAsia="Times New Roman" w:hAnsi="Times New Roman"/>
          <w:color w:val="000000"/>
          <w:sz w:val="24"/>
          <w:szCs w:val="22"/>
        </w:rPr>
        <w:t>l</w:t>
      </w:r>
      <w:r w:rsidRPr="009A27ED">
        <w:rPr>
          <w:rFonts w:ascii="Times New Roman" w:eastAsia="Times New Roman" w:hAnsi="Times New Roman"/>
          <w:color w:val="000000"/>
          <w:sz w:val="24"/>
          <w:szCs w:val="22"/>
        </w:rPr>
        <w:t xml:space="preserve"> </w:t>
      </w:r>
      <w:r w:rsidR="00124B63" w:rsidRPr="009A27ED">
        <w:rPr>
          <w:rFonts w:ascii="Times New Roman" w:eastAsia="Times New Roman" w:hAnsi="Times New Roman"/>
          <w:color w:val="000000"/>
          <w:sz w:val="24"/>
          <w:szCs w:val="22"/>
        </w:rPr>
        <w:t>Programa REDD+</w:t>
      </w:r>
      <w:r w:rsidR="0080772D" w:rsidRPr="009A27ED">
        <w:rPr>
          <w:rFonts w:ascii="Times New Roman" w:eastAsia="Times New Roman" w:hAnsi="Times New Roman"/>
          <w:color w:val="000000"/>
          <w:sz w:val="24"/>
          <w:szCs w:val="22"/>
        </w:rPr>
        <w:t xml:space="preserve">: </w:t>
      </w:r>
    </w:p>
    <w:p w14:paraId="0CCFAEE3" w14:textId="2579A8EF" w:rsidR="0007781E" w:rsidRPr="009A27ED" w:rsidRDefault="0007781E" w:rsidP="0007781E">
      <w:pPr>
        <w:pStyle w:val="Descripcin"/>
        <w:keepNext/>
        <w:spacing w:line="360" w:lineRule="auto"/>
      </w:pPr>
      <w:bookmarkStart w:id="292" w:name="_Toc111887454"/>
      <w:r w:rsidRPr="009A27ED">
        <w:rPr>
          <w:rFonts w:ascii="Times New Roman" w:eastAsia="Times New Roman" w:hAnsi="Times New Roman"/>
          <w:sz w:val="24"/>
        </w:rPr>
        <w:t xml:space="preserve">Cuadro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Cuadro \* ARABIC </w:instrText>
      </w:r>
      <w:r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44</w:t>
      </w:r>
      <w:r w:rsidRPr="009A27ED">
        <w:rPr>
          <w:rFonts w:ascii="Times New Roman" w:eastAsia="Times New Roman" w:hAnsi="Times New Roman"/>
          <w:sz w:val="24"/>
        </w:rPr>
        <w:fldChar w:fldCharType="end"/>
      </w:r>
      <w:r w:rsidRPr="009A27ED">
        <w:rPr>
          <w:rFonts w:ascii="Times New Roman" w:eastAsia="Times New Roman" w:hAnsi="Times New Roman"/>
          <w:sz w:val="24"/>
        </w:rPr>
        <w:t>. Lista de actividades excluidas</w:t>
      </w:r>
      <w:bookmarkEnd w:id="292"/>
    </w:p>
    <w:tbl>
      <w:tblPr>
        <w:tblW w:w="8926" w:type="dxa"/>
        <w:shd w:val="clear" w:color="auto" w:fill="FFFFFF"/>
        <w:tblCellMar>
          <w:left w:w="0" w:type="dxa"/>
          <w:right w:w="0" w:type="dxa"/>
        </w:tblCellMar>
        <w:tblLook w:val="04A0" w:firstRow="1" w:lastRow="0" w:firstColumn="1" w:lastColumn="0" w:noHBand="0" w:noVBand="1"/>
      </w:tblPr>
      <w:tblGrid>
        <w:gridCol w:w="557"/>
        <w:gridCol w:w="8369"/>
      </w:tblGrid>
      <w:tr w:rsidR="00947670" w:rsidRPr="009A27ED" w14:paraId="0E6F9879" w14:textId="77777777" w:rsidTr="00E80DC0">
        <w:tc>
          <w:tcPr>
            <w:tcW w:w="8926" w:type="dxa"/>
            <w:gridSpan w:val="2"/>
            <w:tcBorders>
              <w:top w:val="single" w:sz="4" w:space="0" w:color="auto"/>
              <w:left w:val="single" w:sz="4" w:space="0" w:color="auto"/>
              <w:bottom w:val="single" w:sz="4" w:space="0" w:color="auto"/>
              <w:right w:val="single" w:sz="4" w:space="0" w:color="auto"/>
            </w:tcBorders>
            <w:shd w:val="clear" w:color="auto" w:fill="0070C0"/>
            <w:tcMar>
              <w:top w:w="0" w:type="dxa"/>
              <w:left w:w="108" w:type="dxa"/>
              <w:bottom w:w="0" w:type="dxa"/>
              <w:right w:w="108" w:type="dxa"/>
            </w:tcMar>
            <w:hideMark/>
          </w:tcPr>
          <w:p w14:paraId="1D1A20F8" w14:textId="76432382" w:rsidR="00537573" w:rsidRPr="009A27ED" w:rsidRDefault="00B509EA" w:rsidP="00C24819">
            <w:pPr>
              <w:spacing w:after="0"/>
              <w:jc w:val="center"/>
              <w:rPr>
                <w:rFonts w:cs="Arial"/>
                <w:b/>
                <w:bCs/>
                <w:color w:val="000000"/>
                <w:sz w:val="20"/>
                <w:szCs w:val="20"/>
                <w:lang w:eastAsia="es-ES"/>
              </w:rPr>
            </w:pPr>
            <w:r w:rsidRPr="009A27ED">
              <w:rPr>
                <w:rFonts w:cs="Arial"/>
                <w:b/>
                <w:bCs/>
                <w:color w:val="FFFFFF" w:themeColor="background1"/>
                <w:sz w:val="20"/>
                <w:szCs w:val="20"/>
                <w:lang w:eastAsia="es-ES"/>
              </w:rPr>
              <w:t>Lista de actividades excluidas</w:t>
            </w:r>
          </w:p>
        </w:tc>
      </w:tr>
      <w:tr w:rsidR="00947670" w:rsidRPr="009A27ED" w14:paraId="2FCF383F" w14:textId="77777777" w:rsidTr="00E80DC0">
        <w:tc>
          <w:tcPr>
            <w:tcW w:w="557" w:type="dxa"/>
            <w:tcBorders>
              <w:top w:val="single" w:sz="4" w:space="0" w:color="auto"/>
              <w:left w:val="single" w:sz="4" w:space="0" w:color="auto"/>
              <w:bottom w:val="single" w:sz="4" w:space="0" w:color="auto"/>
              <w:right w:val="single" w:sz="4" w:space="0" w:color="auto"/>
            </w:tcBorders>
            <w:shd w:val="clear" w:color="auto" w:fill="CCCCCC"/>
            <w:tcMar>
              <w:top w:w="0" w:type="dxa"/>
              <w:left w:w="108" w:type="dxa"/>
              <w:bottom w:w="0" w:type="dxa"/>
              <w:right w:w="108" w:type="dxa"/>
            </w:tcMar>
            <w:hideMark/>
          </w:tcPr>
          <w:p w14:paraId="6A390D48" w14:textId="77777777" w:rsidR="00947670" w:rsidRPr="009A27ED" w:rsidRDefault="00947670" w:rsidP="00947670">
            <w:pPr>
              <w:spacing w:after="0"/>
              <w:rPr>
                <w:rFonts w:cs="Arial"/>
                <w:color w:val="222222"/>
                <w:sz w:val="20"/>
                <w:szCs w:val="20"/>
                <w:lang w:eastAsia="es-ES"/>
              </w:rPr>
            </w:pPr>
            <w:r w:rsidRPr="009A27ED">
              <w:rPr>
                <w:rFonts w:cs="Arial"/>
                <w:b/>
                <w:bCs/>
                <w:color w:val="000000"/>
                <w:sz w:val="20"/>
                <w:szCs w:val="20"/>
                <w:lang w:eastAsia="es-ES"/>
              </w:rPr>
              <w:t>1</w:t>
            </w:r>
          </w:p>
        </w:tc>
        <w:tc>
          <w:tcPr>
            <w:tcW w:w="8369" w:type="dxa"/>
            <w:tcBorders>
              <w:top w:val="single" w:sz="4" w:space="0" w:color="auto"/>
              <w:left w:val="single" w:sz="4" w:space="0" w:color="auto"/>
              <w:bottom w:val="single" w:sz="4" w:space="0" w:color="auto"/>
              <w:right w:val="single" w:sz="4" w:space="0" w:color="auto"/>
            </w:tcBorders>
            <w:shd w:val="clear" w:color="auto" w:fill="CCCCCC"/>
            <w:tcMar>
              <w:top w:w="0" w:type="dxa"/>
              <w:left w:w="108" w:type="dxa"/>
              <w:bottom w:w="0" w:type="dxa"/>
              <w:right w:w="108" w:type="dxa"/>
            </w:tcMar>
            <w:hideMark/>
          </w:tcPr>
          <w:p w14:paraId="29BF6D42" w14:textId="4FFBC03E" w:rsidR="00947670" w:rsidRPr="009A27ED" w:rsidRDefault="00947670" w:rsidP="00947670">
            <w:pPr>
              <w:spacing w:after="0"/>
              <w:ind w:left="70"/>
              <w:rPr>
                <w:rFonts w:cs="Arial"/>
                <w:color w:val="222222"/>
                <w:sz w:val="20"/>
                <w:szCs w:val="20"/>
                <w:lang w:eastAsia="es-ES"/>
              </w:rPr>
            </w:pPr>
            <w:r w:rsidRPr="009A27ED">
              <w:rPr>
                <w:rFonts w:cs="Arial"/>
                <w:color w:val="000000"/>
                <w:sz w:val="20"/>
                <w:szCs w:val="20"/>
                <w:lang w:eastAsia="es-ES"/>
              </w:rPr>
              <w:t xml:space="preserve">Actividades que requieran </w:t>
            </w:r>
            <w:r w:rsidR="00DE732B" w:rsidRPr="009A27ED">
              <w:rPr>
                <w:rFonts w:cs="Arial"/>
                <w:color w:val="000000"/>
                <w:sz w:val="20"/>
                <w:szCs w:val="20"/>
                <w:lang w:eastAsia="es-ES"/>
              </w:rPr>
              <w:t>una significativa</w:t>
            </w:r>
            <w:r w:rsidR="001A29F0" w:rsidRPr="009A27ED">
              <w:rPr>
                <w:rStyle w:val="Refdenotaalpie"/>
                <w:rFonts w:cs="Arial"/>
                <w:color w:val="000000"/>
                <w:lang w:eastAsia="es-ES"/>
              </w:rPr>
              <w:footnoteReference w:id="67"/>
            </w:r>
            <w:r w:rsidRPr="009A27ED">
              <w:rPr>
                <w:rFonts w:cs="Arial"/>
                <w:color w:val="000000"/>
                <w:sz w:val="20"/>
                <w:szCs w:val="20"/>
                <w:lang w:eastAsia="es-ES"/>
              </w:rPr>
              <w:t xml:space="preserve"> adquisición </w:t>
            </w:r>
            <w:r w:rsidR="009E4E49" w:rsidRPr="009A27ED">
              <w:rPr>
                <w:rFonts w:cs="Arial"/>
                <w:color w:val="000000"/>
                <w:sz w:val="20"/>
                <w:szCs w:val="20"/>
                <w:lang w:eastAsia="es-ES"/>
              </w:rPr>
              <w:t xml:space="preserve">involuntaria </w:t>
            </w:r>
            <w:r w:rsidRPr="009A27ED">
              <w:rPr>
                <w:rFonts w:cs="Arial"/>
                <w:color w:val="000000"/>
                <w:sz w:val="20"/>
                <w:szCs w:val="20"/>
                <w:lang w:eastAsia="es-ES"/>
              </w:rPr>
              <w:t>de tierras o subsiguiente cambio de uso de la tierra tal que produzca pérdidas o daño irreversible a los activos o ingresos de residentes locales;</w:t>
            </w:r>
            <w:r w:rsidRPr="009A27ED">
              <w:rPr>
                <w:rFonts w:cs="Arial"/>
                <w:color w:val="222222"/>
                <w:sz w:val="20"/>
                <w:szCs w:val="20"/>
                <w:lang w:eastAsia="es-ES"/>
              </w:rPr>
              <w:t> </w:t>
            </w:r>
          </w:p>
        </w:tc>
      </w:tr>
      <w:tr w:rsidR="00947670" w:rsidRPr="009A27ED" w14:paraId="59B062F4" w14:textId="77777777" w:rsidTr="0080772D">
        <w:tc>
          <w:tcPr>
            <w:tcW w:w="557"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14:paraId="3BAD965D" w14:textId="77777777" w:rsidR="00947670" w:rsidRPr="009A27ED" w:rsidRDefault="00947670" w:rsidP="00947670">
            <w:pPr>
              <w:spacing w:after="0"/>
              <w:rPr>
                <w:rFonts w:cs="Arial"/>
                <w:color w:val="222222"/>
                <w:sz w:val="20"/>
                <w:szCs w:val="20"/>
                <w:lang w:eastAsia="es-ES"/>
              </w:rPr>
            </w:pPr>
            <w:r w:rsidRPr="009A27ED">
              <w:rPr>
                <w:rFonts w:cs="Arial"/>
                <w:b/>
                <w:bCs/>
                <w:color w:val="000000"/>
                <w:sz w:val="20"/>
                <w:szCs w:val="20"/>
                <w:lang w:eastAsia="es-ES"/>
              </w:rPr>
              <w:t>2</w:t>
            </w:r>
          </w:p>
        </w:tc>
        <w:tc>
          <w:tcPr>
            <w:tcW w:w="8369"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14:paraId="0D6E4096" w14:textId="77777777" w:rsidR="00947670" w:rsidRPr="009A27ED" w:rsidRDefault="00947670" w:rsidP="00947670">
            <w:pPr>
              <w:spacing w:after="0"/>
              <w:ind w:left="70"/>
              <w:rPr>
                <w:rFonts w:cs="Arial"/>
                <w:color w:val="222222"/>
                <w:sz w:val="20"/>
                <w:szCs w:val="20"/>
                <w:lang w:eastAsia="es-ES"/>
              </w:rPr>
            </w:pPr>
            <w:r w:rsidRPr="009A27ED">
              <w:rPr>
                <w:rFonts w:cs="Arial"/>
                <w:color w:val="000000"/>
                <w:sz w:val="20"/>
                <w:szCs w:val="20"/>
                <w:lang w:eastAsia="es-ES"/>
              </w:rPr>
              <w:t>Actividades que afecten significativamente</w:t>
            </w:r>
            <w:r w:rsidRPr="009A27ED">
              <w:rPr>
                <w:rStyle w:val="Refdenotaalpie"/>
                <w:rFonts w:asciiTheme="minorHAnsi" w:hAnsiTheme="minorHAnsi" w:cs="Arial"/>
                <w:color w:val="000000"/>
                <w:sz w:val="20"/>
                <w:szCs w:val="20"/>
                <w:lang w:eastAsia="es-ES"/>
              </w:rPr>
              <w:footnoteReference w:id="68"/>
            </w:r>
            <w:r w:rsidRPr="009A27ED">
              <w:rPr>
                <w:rFonts w:cs="Arial"/>
                <w:color w:val="000000"/>
                <w:sz w:val="20"/>
                <w:szCs w:val="20"/>
                <w:lang w:eastAsia="es-ES"/>
              </w:rPr>
              <w:t> a poblaciones vulnerables, o cuando las poblaciones no han brindado su apoyo.</w:t>
            </w:r>
            <w:r w:rsidRPr="009A27ED">
              <w:rPr>
                <w:rFonts w:cs="Arial"/>
                <w:color w:val="222222"/>
                <w:sz w:val="20"/>
                <w:szCs w:val="20"/>
                <w:lang w:eastAsia="es-ES"/>
              </w:rPr>
              <w:t> </w:t>
            </w:r>
          </w:p>
        </w:tc>
      </w:tr>
      <w:tr w:rsidR="00947670" w:rsidRPr="009A27ED" w14:paraId="4B1F13A3" w14:textId="77777777" w:rsidTr="00E80DC0">
        <w:tc>
          <w:tcPr>
            <w:tcW w:w="557" w:type="dxa"/>
            <w:tcBorders>
              <w:top w:val="single" w:sz="4" w:space="0" w:color="auto"/>
              <w:left w:val="single" w:sz="4" w:space="0" w:color="auto"/>
              <w:bottom w:val="single" w:sz="4" w:space="0" w:color="auto"/>
              <w:right w:val="single" w:sz="4" w:space="0" w:color="auto"/>
            </w:tcBorders>
            <w:shd w:val="clear" w:color="auto" w:fill="CCCCCC"/>
            <w:tcMar>
              <w:top w:w="0" w:type="dxa"/>
              <w:left w:w="108" w:type="dxa"/>
              <w:bottom w:w="0" w:type="dxa"/>
              <w:right w:w="108" w:type="dxa"/>
            </w:tcMar>
            <w:hideMark/>
          </w:tcPr>
          <w:p w14:paraId="5ED107C6" w14:textId="77777777" w:rsidR="00947670" w:rsidRPr="009A27ED" w:rsidRDefault="00947670" w:rsidP="00947670">
            <w:pPr>
              <w:spacing w:after="0"/>
              <w:rPr>
                <w:rFonts w:cs="Arial"/>
                <w:color w:val="222222"/>
                <w:sz w:val="20"/>
                <w:szCs w:val="20"/>
                <w:lang w:eastAsia="es-ES"/>
              </w:rPr>
            </w:pPr>
            <w:r w:rsidRPr="009A27ED">
              <w:rPr>
                <w:rFonts w:cs="Arial"/>
                <w:b/>
                <w:bCs/>
                <w:color w:val="000000"/>
                <w:sz w:val="20"/>
                <w:szCs w:val="20"/>
                <w:lang w:eastAsia="es-ES"/>
              </w:rPr>
              <w:t>3</w:t>
            </w:r>
          </w:p>
        </w:tc>
        <w:tc>
          <w:tcPr>
            <w:tcW w:w="8369" w:type="dxa"/>
            <w:tcBorders>
              <w:top w:val="single" w:sz="4" w:space="0" w:color="auto"/>
              <w:left w:val="single" w:sz="4" w:space="0" w:color="auto"/>
              <w:bottom w:val="single" w:sz="4" w:space="0" w:color="auto"/>
              <w:right w:val="single" w:sz="4" w:space="0" w:color="auto"/>
            </w:tcBorders>
            <w:shd w:val="clear" w:color="auto" w:fill="CCCCCC"/>
            <w:tcMar>
              <w:top w:w="0" w:type="dxa"/>
              <w:left w:w="108" w:type="dxa"/>
              <w:bottom w:w="0" w:type="dxa"/>
              <w:right w:w="108" w:type="dxa"/>
            </w:tcMar>
            <w:hideMark/>
          </w:tcPr>
          <w:p w14:paraId="14242EAB" w14:textId="77777777" w:rsidR="00947670" w:rsidRPr="009A27ED" w:rsidRDefault="00947670" w:rsidP="00947670">
            <w:pPr>
              <w:spacing w:after="0"/>
              <w:ind w:left="70"/>
              <w:rPr>
                <w:rFonts w:cs="Arial"/>
                <w:color w:val="222222"/>
                <w:sz w:val="20"/>
                <w:szCs w:val="20"/>
                <w:lang w:eastAsia="es-ES"/>
              </w:rPr>
            </w:pPr>
            <w:r w:rsidRPr="009A27ED">
              <w:rPr>
                <w:rFonts w:cs="Arial"/>
                <w:color w:val="000000"/>
                <w:sz w:val="20"/>
                <w:szCs w:val="20"/>
                <w:lang w:eastAsia="es-ES"/>
              </w:rPr>
              <w:t>Actividades que afecten de forma irreversible sitios arqueológicos o históricos (incluye sitios con valores arqueológicos, paleontológicos, históricos, religiosos o naturales únicos).</w:t>
            </w:r>
            <w:r w:rsidRPr="009A27ED">
              <w:rPr>
                <w:rFonts w:cs="Arial"/>
                <w:color w:val="222222"/>
                <w:sz w:val="20"/>
                <w:szCs w:val="20"/>
                <w:lang w:eastAsia="es-ES"/>
              </w:rPr>
              <w:t> </w:t>
            </w:r>
          </w:p>
        </w:tc>
      </w:tr>
      <w:tr w:rsidR="00947670" w:rsidRPr="009A27ED" w14:paraId="5C54EEC3" w14:textId="77777777" w:rsidTr="00E80DC0">
        <w:tc>
          <w:tcPr>
            <w:tcW w:w="557"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14:paraId="024132EE" w14:textId="77777777" w:rsidR="00947670" w:rsidRPr="009A27ED" w:rsidRDefault="00947670" w:rsidP="00947670">
            <w:pPr>
              <w:spacing w:after="0"/>
              <w:rPr>
                <w:rFonts w:cs="Arial"/>
                <w:color w:val="222222"/>
                <w:sz w:val="20"/>
                <w:szCs w:val="20"/>
                <w:lang w:eastAsia="es-ES"/>
              </w:rPr>
            </w:pPr>
            <w:r w:rsidRPr="009A27ED">
              <w:rPr>
                <w:rFonts w:cs="Arial"/>
                <w:b/>
                <w:bCs/>
                <w:color w:val="000000"/>
                <w:sz w:val="20"/>
                <w:szCs w:val="20"/>
                <w:lang w:eastAsia="es-ES"/>
              </w:rPr>
              <w:t>4</w:t>
            </w:r>
          </w:p>
        </w:tc>
        <w:tc>
          <w:tcPr>
            <w:tcW w:w="8369"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14:paraId="1A4B785B" w14:textId="77777777" w:rsidR="00947670" w:rsidRPr="009A27ED" w:rsidRDefault="00947670" w:rsidP="00947670">
            <w:pPr>
              <w:spacing w:after="0"/>
              <w:ind w:left="70"/>
              <w:rPr>
                <w:rFonts w:cs="Arial"/>
                <w:color w:val="222222"/>
                <w:sz w:val="20"/>
                <w:szCs w:val="20"/>
                <w:lang w:eastAsia="es-ES"/>
              </w:rPr>
            </w:pPr>
            <w:r w:rsidRPr="009A27ED">
              <w:rPr>
                <w:rFonts w:cs="Arial"/>
                <w:color w:val="000000"/>
                <w:sz w:val="20"/>
                <w:szCs w:val="20"/>
                <w:lang w:eastAsia="es-ES"/>
              </w:rPr>
              <w:t>Actividades que causen degradación irreversible, explotación no sustentable de recursos naturales, o la puesta en riesgo de una gran cantidad de recursos escasos;</w:t>
            </w:r>
            <w:r w:rsidRPr="009A27ED">
              <w:rPr>
                <w:rFonts w:cs="Arial"/>
                <w:color w:val="222222"/>
                <w:sz w:val="20"/>
                <w:szCs w:val="20"/>
                <w:lang w:eastAsia="es-ES"/>
              </w:rPr>
              <w:t> </w:t>
            </w:r>
          </w:p>
        </w:tc>
      </w:tr>
      <w:tr w:rsidR="00947670" w:rsidRPr="009A27ED" w14:paraId="4D71D951" w14:textId="77777777" w:rsidTr="00E80DC0">
        <w:tc>
          <w:tcPr>
            <w:tcW w:w="557" w:type="dxa"/>
            <w:tcBorders>
              <w:top w:val="single" w:sz="4" w:space="0" w:color="auto"/>
              <w:left w:val="single" w:sz="4" w:space="0" w:color="auto"/>
              <w:bottom w:val="single" w:sz="4" w:space="0" w:color="auto"/>
              <w:right w:val="single" w:sz="4" w:space="0" w:color="auto"/>
            </w:tcBorders>
            <w:shd w:val="clear" w:color="auto" w:fill="D0CECE"/>
            <w:tcMar>
              <w:top w:w="0" w:type="dxa"/>
              <w:left w:w="108" w:type="dxa"/>
              <w:bottom w:w="0" w:type="dxa"/>
              <w:right w:w="108" w:type="dxa"/>
            </w:tcMar>
            <w:hideMark/>
          </w:tcPr>
          <w:p w14:paraId="4158860E" w14:textId="77777777" w:rsidR="00947670" w:rsidRPr="009A27ED" w:rsidRDefault="00947670" w:rsidP="00947670">
            <w:pPr>
              <w:spacing w:after="0"/>
              <w:rPr>
                <w:rFonts w:cs="Arial"/>
                <w:color w:val="222222"/>
                <w:sz w:val="20"/>
                <w:szCs w:val="20"/>
                <w:lang w:eastAsia="es-ES"/>
              </w:rPr>
            </w:pPr>
            <w:r w:rsidRPr="009A27ED">
              <w:rPr>
                <w:rFonts w:cs="Arial"/>
                <w:b/>
                <w:bCs/>
                <w:color w:val="000000"/>
                <w:sz w:val="20"/>
                <w:szCs w:val="20"/>
                <w:lang w:eastAsia="es-ES"/>
              </w:rPr>
              <w:t>5</w:t>
            </w:r>
          </w:p>
        </w:tc>
        <w:tc>
          <w:tcPr>
            <w:tcW w:w="8369" w:type="dxa"/>
            <w:tcBorders>
              <w:top w:val="single" w:sz="4" w:space="0" w:color="auto"/>
              <w:left w:val="single" w:sz="4" w:space="0" w:color="auto"/>
              <w:bottom w:val="single" w:sz="4" w:space="0" w:color="auto"/>
              <w:right w:val="single" w:sz="4" w:space="0" w:color="auto"/>
            </w:tcBorders>
            <w:shd w:val="clear" w:color="auto" w:fill="D0CECE"/>
            <w:tcMar>
              <w:top w:w="0" w:type="dxa"/>
              <w:left w:w="108" w:type="dxa"/>
              <w:bottom w:w="0" w:type="dxa"/>
              <w:right w:w="108" w:type="dxa"/>
            </w:tcMar>
            <w:hideMark/>
          </w:tcPr>
          <w:p w14:paraId="7C1BB168" w14:textId="6AC94430" w:rsidR="00947670" w:rsidRPr="009A27ED" w:rsidRDefault="00947670" w:rsidP="00947670">
            <w:pPr>
              <w:spacing w:after="0"/>
              <w:ind w:left="70"/>
              <w:rPr>
                <w:rFonts w:cs="Arial"/>
                <w:color w:val="222222"/>
                <w:sz w:val="20"/>
                <w:szCs w:val="20"/>
                <w:lang w:eastAsia="es-ES"/>
              </w:rPr>
            </w:pPr>
            <w:r w:rsidRPr="009A27ED">
              <w:rPr>
                <w:rFonts w:cs="Arial"/>
                <w:color w:val="000000"/>
                <w:sz w:val="20"/>
                <w:szCs w:val="20"/>
                <w:lang w:eastAsia="es-ES"/>
              </w:rPr>
              <w:t>Conversión, deforestación o degradación o cualquier otra alteración de los bosques naturales o de los hábitats</w:t>
            </w:r>
            <w:r w:rsidRPr="009A27ED">
              <w:rPr>
                <w:rFonts w:cs="Arial"/>
                <w:color w:val="222222"/>
                <w:sz w:val="20"/>
                <w:szCs w:val="20"/>
                <w:lang w:eastAsia="es-ES"/>
              </w:rPr>
              <w:t> </w:t>
            </w:r>
            <w:r w:rsidR="0080772D" w:rsidRPr="009A27ED">
              <w:rPr>
                <w:rFonts w:cs="Arial"/>
                <w:color w:val="222222"/>
                <w:sz w:val="20"/>
                <w:szCs w:val="20"/>
                <w:lang w:eastAsia="es-ES"/>
              </w:rPr>
              <w:t>críticos</w:t>
            </w:r>
          </w:p>
        </w:tc>
      </w:tr>
      <w:tr w:rsidR="00947670" w:rsidRPr="009A27ED" w14:paraId="6B87F425" w14:textId="77777777" w:rsidTr="00E80DC0">
        <w:tc>
          <w:tcPr>
            <w:tcW w:w="557"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14:paraId="23AAE00E" w14:textId="77777777" w:rsidR="00947670" w:rsidRPr="009A27ED" w:rsidRDefault="00947670" w:rsidP="00947670">
            <w:pPr>
              <w:spacing w:after="0"/>
              <w:rPr>
                <w:rFonts w:cs="Arial"/>
                <w:color w:val="222222"/>
                <w:sz w:val="20"/>
                <w:szCs w:val="20"/>
                <w:lang w:eastAsia="es-ES"/>
              </w:rPr>
            </w:pPr>
            <w:r w:rsidRPr="009A27ED">
              <w:rPr>
                <w:rFonts w:cs="Arial"/>
                <w:b/>
                <w:bCs/>
                <w:color w:val="000000"/>
                <w:sz w:val="20"/>
                <w:szCs w:val="20"/>
                <w:lang w:eastAsia="es-ES"/>
              </w:rPr>
              <w:t>6</w:t>
            </w:r>
          </w:p>
        </w:tc>
        <w:tc>
          <w:tcPr>
            <w:tcW w:w="8369"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14:paraId="6D623494" w14:textId="56F0CE4F" w:rsidR="00947670" w:rsidRPr="009A27ED" w:rsidRDefault="00947670" w:rsidP="00947670">
            <w:pPr>
              <w:spacing w:after="0"/>
              <w:ind w:left="70"/>
              <w:rPr>
                <w:rFonts w:cs="Arial"/>
                <w:color w:val="222222"/>
                <w:sz w:val="20"/>
                <w:szCs w:val="20"/>
                <w:lang w:eastAsia="es-ES"/>
              </w:rPr>
            </w:pPr>
            <w:r w:rsidRPr="009A27ED">
              <w:rPr>
                <w:rFonts w:cs="Arial"/>
                <w:color w:val="000000"/>
                <w:sz w:val="20"/>
                <w:szCs w:val="20"/>
                <w:lang w:eastAsia="es-ES"/>
              </w:rPr>
              <w:t xml:space="preserve">Actividades </w:t>
            </w:r>
            <w:r w:rsidR="002F0AA6" w:rsidRPr="009A27ED">
              <w:rPr>
                <w:rFonts w:cs="Arial"/>
                <w:color w:val="000000"/>
                <w:sz w:val="20"/>
                <w:szCs w:val="20"/>
                <w:lang w:eastAsia="es-ES"/>
              </w:rPr>
              <w:t xml:space="preserve">ilegales </w:t>
            </w:r>
            <w:r w:rsidRPr="009A27ED">
              <w:rPr>
                <w:rFonts w:cs="Arial"/>
                <w:color w:val="000000"/>
                <w:sz w:val="20"/>
                <w:szCs w:val="20"/>
                <w:lang w:eastAsia="es-ES"/>
              </w:rPr>
              <w:t>relacionadas con madera y productos no maderables para su comercialización.</w:t>
            </w:r>
          </w:p>
        </w:tc>
      </w:tr>
      <w:tr w:rsidR="00947670" w:rsidRPr="009A27ED" w14:paraId="7AEBEE80" w14:textId="77777777" w:rsidTr="00E80DC0">
        <w:tc>
          <w:tcPr>
            <w:tcW w:w="557" w:type="dxa"/>
            <w:tcBorders>
              <w:top w:val="single" w:sz="4" w:space="0" w:color="auto"/>
              <w:left w:val="single" w:sz="4" w:space="0" w:color="auto"/>
              <w:bottom w:val="single" w:sz="4" w:space="0" w:color="auto"/>
              <w:right w:val="single" w:sz="4" w:space="0" w:color="auto"/>
            </w:tcBorders>
            <w:shd w:val="clear" w:color="auto" w:fill="D0CECE"/>
            <w:tcMar>
              <w:top w:w="0" w:type="dxa"/>
              <w:left w:w="108" w:type="dxa"/>
              <w:bottom w:w="0" w:type="dxa"/>
              <w:right w:w="108" w:type="dxa"/>
            </w:tcMar>
            <w:hideMark/>
          </w:tcPr>
          <w:p w14:paraId="59AE1C50" w14:textId="77777777" w:rsidR="00947670" w:rsidRPr="009A27ED" w:rsidRDefault="00947670" w:rsidP="00947670">
            <w:pPr>
              <w:spacing w:after="0"/>
              <w:rPr>
                <w:rFonts w:cs="Arial"/>
                <w:color w:val="222222"/>
                <w:sz w:val="20"/>
                <w:szCs w:val="20"/>
                <w:lang w:eastAsia="es-ES"/>
              </w:rPr>
            </w:pPr>
            <w:r w:rsidRPr="009A27ED">
              <w:rPr>
                <w:rFonts w:cs="Arial"/>
                <w:b/>
                <w:bCs/>
                <w:color w:val="000000"/>
                <w:sz w:val="20"/>
                <w:szCs w:val="20"/>
                <w:lang w:eastAsia="es-ES"/>
              </w:rPr>
              <w:t>7</w:t>
            </w:r>
          </w:p>
        </w:tc>
        <w:tc>
          <w:tcPr>
            <w:tcW w:w="8369" w:type="dxa"/>
            <w:tcBorders>
              <w:top w:val="single" w:sz="4" w:space="0" w:color="auto"/>
              <w:left w:val="single" w:sz="4" w:space="0" w:color="auto"/>
              <w:bottom w:val="single" w:sz="4" w:space="0" w:color="auto"/>
              <w:right w:val="single" w:sz="4" w:space="0" w:color="auto"/>
            </w:tcBorders>
            <w:shd w:val="clear" w:color="auto" w:fill="D0CECE"/>
            <w:tcMar>
              <w:top w:w="0" w:type="dxa"/>
              <w:left w:w="108" w:type="dxa"/>
              <w:bottom w:w="0" w:type="dxa"/>
              <w:right w:w="108" w:type="dxa"/>
            </w:tcMar>
            <w:hideMark/>
          </w:tcPr>
          <w:p w14:paraId="0781000F" w14:textId="77777777" w:rsidR="00947670" w:rsidRPr="009A27ED" w:rsidRDefault="00947670" w:rsidP="00947670">
            <w:pPr>
              <w:spacing w:after="0"/>
              <w:ind w:left="70"/>
              <w:rPr>
                <w:rFonts w:cs="Arial"/>
                <w:color w:val="222222"/>
                <w:sz w:val="20"/>
                <w:szCs w:val="20"/>
                <w:lang w:eastAsia="es-ES"/>
              </w:rPr>
            </w:pPr>
            <w:r w:rsidRPr="009A27ED">
              <w:rPr>
                <w:rFonts w:cs="Arial"/>
                <w:color w:val="000000"/>
                <w:sz w:val="20"/>
                <w:szCs w:val="20"/>
                <w:lang w:eastAsia="es-ES"/>
              </w:rPr>
              <w:t>Adquisición y uso de productos agroquímicos formulados que pertenezcan a las clases I a (extremadamente peligroso) y I b (altamente peligroso) de la Organización Mundial de la Salud o formulaciones de productos de la Clase II (moderadamente peligrosos), si es probable que sean utilizados por personal no experto, agricultores u otras personas sin capacitación, o el equipo y las instalaciones para manejar, almacenar y aplicar estos productos correctamente</w:t>
            </w:r>
            <w:r w:rsidRPr="009A27ED">
              <w:rPr>
                <w:rStyle w:val="Refdenotaalpie"/>
                <w:rFonts w:asciiTheme="minorHAnsi" w:hAnsiTheme="minorHAnsi" w:cs="Arial"/>
                <w:color w:val="000000"/>
                <w:sz w:val="20"/>
                <w:szCs w:val="20"/>
                <w:lang w:eastAsia="es-ES"/>
              </w:rPr>
              <w:footnoteReference w:id="69"/>
            </w:r>
            <w:r w:rsidRPr="009A27ED">
              <w:rPr>
                <w:rFonts w:cs="Arial"/>
                <w:color w:val="000000"/>
                <w:sz w:val="20"/>
                <w:szCs w:val="20"/>
                <w:lang w:eastAsia="es-ES"/>
              </w:rPr>
              <w:t> , así como los establecidos en el catálogo de Sanidad Forestal </w:t>
            </w:r>
            <w:r w:rsidRPr="009A27ED">
              <w:rPr>
                <w:rStyle w:val="Refdenotaalpie"/>
                <w:rFonts w:asciiTheme="minorHAnsi" w:hAnsiTheme="minorHAnsi" w:cs="Arial"/>
                <w:color w:val="000000"/>
                <w:sz w:val="20"/>
                <w:szCs w:val="20"/>
                <w:lang w:eastAsia="es-ES"/>
              </w:rPr>
              <w:footnoteReference w:id="70"/>
            </w:r>
            <w:r w:rsidRPr="009A27ED">
              <w:rPr>
                <w:rFonts w:cs="Arial"/>
                <w:color w:val="222222"/>
                <w:sz w:val="20"/>
                <w:szCs w:val="20"/>
                <w:lang w:eastAsia="es-ES"/>
              </w:rPr>
              <w:t> </w:t>
            </w:r>
          </w:p>
        </w:tc>
      </w:tr>
      <w:tr w:rsidR="00947670" w:rsidRPr="009A27ED" w14:paraId="25558623" w14:textId="77777777" w:rsidTr="00E80DC0">
        <w:tc>
          <w:tcPr>
            <w:tcW w:w="557"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14:paraId="4829A766" w14:textId="77777777" w:rsidR="00947670" w:rsidRPr="009A27ED" w:rsidRDefault="00947670" w:rsidP="00947670">
            <w:pPr>
              <w:spacing w:after="0"/>
              <w:rPr>
                <w:rFonts w:cs="Arial"/>
                <w:color w:val="222222"/>
                <w:sz w:val="20"/>
                <w:szCs w:val="20"/>
                <w:lang w:eastAsia="es-ES"/>
              </w:rPr>
            </w:pPr>
            <w:r w:rsidRPr="009A27ED">
              <w:rPr>
                <w:rFonts w:cs="Arial"/>
                <w:b/>
                <w:bCs/>
                <w:color w:val="000000"/>
                <w:sz w:val="20"/>
                <w:szCs w:val="20"/>
                <w:lang w:eastAsia="es-ES"/>
              </w:rPr>
              <w:lastRenderedPageBreak/>
              <w:t>8</w:t>
            </w:r>
          </w:p>
        </w:tc>
        <w:tc>
          <w:tcPr>
            <w:tcW w:w="8369"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14:paraId="0107DA7C" w14:textId="77777777" w:rsidR="00947670" w:rsidRPr="009A27ED" w:rsidRDefault="00947670" w:rsidP="00947670">
            <w:pPr>
              <w:spacing w:after="0"/>
              <w:ind w:left="70"/>
              <w:rPr>
                <w:rFonts w:cs="Arial"/>
                <w:color w:val="222222"/>
                <w:sz w:val="20"/>
                <w:szCs w:val="20"/>
                <w:lang w:eastAsia="es-ES"/>
              </w:rPr>
            </w:pPr>
            <w:r w:rsidRPr="009A27ED">
              <w:rPr>
                <w:rFonts w:cs="Arial"/>
                <w:color w:val="000000"/>
                <w:sz w:val="20"/>
                <w:szCs w:val="20"/>
                <w:lang w:eastAsia="es-ES"/>
              </w:rPr>
              <w:t>Financiamiento de elecciones o campañas electorales.</w:t>
            </w:r>
          </w:p>
        </w:tc>
      </w:tr>
      <w:tr w:rsidR="00947670" w:rsidRPr="009A27ED" w14:paraId="1DF11BC2" w14:textId="77777777" w:rsidTr="00E80DC0">
        <w:tc>
          <w:tcPr>
            <w:tcW w:w="557" w:type="dxa"/>
            <w:tcBorders>
              <w:top w:val="single" w:sz="4" w:space="0" w:color="auto"/>
              <w:left w:val="single" w:sz="4" w:space="0" w:color="auto"/>
              <w:bottom w:val="single" w:sz="4" w:space="0" w:color="auto"/>
              <w:right w:val="single" w:sz="4" w:space="0" w:color="auto"/>
            </w:tcBorders>
            <w:shd w:val="clear" w:color="auto" w:fill="D0CECE"/>
            <w:tcMar>
              <w:top w:w="0" w:type="dxa"/>
              <w:left w:w="108" w:type="dxa"/>
              <w:bottom w:w="0" w:type="dxa"/>
              <w:right w:w="108" w:type="dxa"/>
            </w:tcMar>
            <w:hideMark/>
          </w:tcPr>
          <w:p w14:paraId="5D07C44E" w14:textId="77777777" w:rsidR="00947670" w:rsidRPr="009A27ED" w:rsidRDefault="00947670" w:rsidP="00947670">
            <w:pPr>
              <w:spacing w:after="0"/>
              <w:rPr>
                <w:rFonts w:cs="Arial"/>
                <w:color w:val="222222"/>
                <w:sz w:val="20"/>
                <w:szCs w:val="20"/>
                <w:lang w:eastAsia="es-ES"/>
              </w:rPr>
            </w:pPr>
            <w:r w:rsidRPr="009A27ED">
              <w:rPr>
                <w:rFonts w:cs="Arial"/>
                <w:b/>
                <w:bCs/>
                <w:color w:val="000000"/>
                <w:sz w:val="20"/>
                <w:szCs w:val="20"/>
                <w:lang w:eastAsia="es-ES"/>
              </w:rPr>
              <w:t>9</w:t>
            </w:r>
          </w:p>
        </w:tc>
        <w:tc>
          <w:tcPr>
            <w:tcW w:w="8369" w:type="dxa"/>
            <w:tcBorders>
              <w:top w:val="single" w:sz="4" w:space="0" w:color="auto"/>
              <w:left w:val="single" w:sz="4" w:space="0" w:color="auto"/>
              <w:bottom w:val="single" w:sz="4" w:space="0" w:color="auto"/>
              <w:right w:val="single" w:sz="4" w:space="0" w:color="auto"/>
            </w:tcBorders>
            <w:shd w:val="clear" w:color="auto" w:fill="D0CECE"/>
            <w:tcMar>
              <w:top w:w="0" w:type="dxa"/>
              <w:left w:w="108" w:type="dxa"/>
              <w:bottom w:w="0" w:type="dxa"/>
              <w:right w:w="108" w:type="dxa"/>
            </w:tcMar>
            <w:hideMark/>
          </w:tcPr>
          <w:p w14:paraId="0E02D6A4" w14:textId="77777777" w:rsidR="00947670" w:rsidRPr="009A27ED" w:rsidRDefault="00947670" w:rsidP="00947670">
            <w:pPr>
              <w:spacing w:after="0"/>
              <w:ind w:left="70"/>
              <w:rPr>
                <w:rFonts w:cs="Arial"/>
                <w:color w:val="222222"/>
                <w:sz w:val="20"/>
                <w:szCs w:val="20"/>
                <w:lang w:eastAsia="es-ES"/>
              </w:rPr>
            </w:pPr>
            <w:r w:rsidRPr="009A27ED">
              <w:rPr>
                <w:rFonts w:cs="Arial"/>
                <w:color w:val="000000"/>
                <w:sz w:val="20"/>
                <w:szCs w:val="20"/>
                <w:lang w:eastAsia="es-ES"/>
              </w:rPr>
              <w:t>Construcción y / o restauración de edificios religiosos.</w:t>
            </w:r>
          </w:p>
        </w:tc>
      </w:tr>
      <w:tr w:rsidR="00947670" w:rsidRPr="009A27ED" w14:paraId="71B2324F" w14:textId="77777777" w:rsidTr="00E80DC0">
        <w:tc>
          <w:tcPr>
            <w:tcW w:w="557"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14:paraId="45C2B492" w14:textId="77777777" w:rsidR="00947670" w:rsidRPr="009A27ED" w:rsidRDefault="00947670" w:rsidP="00947670">
            <w:pPr>
              <w:spacing w:after="0"/>
              <w:rPr>
                <w:rFonts w:cs="Arial"/>
                <w:color w:val="222222"/>
                <w:sz w:val="20"/>
                <w:szCs w:val="20"/>
                <w:lang w:eastAsia="es-ES"/>
              </w:rPr>
            </w:pPr>
            <w:r w:rsidRPr="009A27ED">
              <w:rPr>
                <w:rFonts w:cs="Arial"/>
                <w:b/>
                <w:bCs/>
                <w:color w:val="000000"/>
                <w:sz w:val="20"/>
                <w:szCs w:val="20"/>
                <w:lang w:eastAsia="es-ES"/>
              </w:rPr>
              <w:t>10</w:t>
            </w:r>
          </w:p>
        </w:tc>
        <w:tc>
          <w:tcPr>
            <w:tcW w:w="8369"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14:paraId="59962FBC" w14:textId="77777777" w:rsidR="00947670" w:rsidRPr="009A27ED" w:rsidRDefault="00947670" w:rsidP="00947670">
            <w:pPr>
              <w:spacing w:after="0"/>
              <w:ind w:left="70"/>
              <w:rPr>
                <w:rFonts w:cs="Arial"/>
                <w:color w:val="222222"/>
                <w:sz w:val="20"/>
                <w:szCs w:val="20"/>
                <w:lang w:eastAsia="es-ES"/>
              </w:rPr>
            </w:pPr>
            <w:r w:rsidRPr="009A27ED">
              <w:rPr>
                <w:rFonts w:cs="Arial"/>
                <w:color w:val="000000"/>
                <w:sz w:val="20"/>
                <w:szCs w:val="20"/>
                <w:lang w:eastAsia="es-ES"/>
              </w:rPr>
              <w:t>Actividades y cultivos implementados y/o cultivados con el propósito general de producir y/o comercializar alcohol y/o tabaco.</w:t>
            </w:r>
          </w:p>
        </w:tc>
      </w:tr>
      <w:tr w:rsidR="00947670" w:rsidRPr="009A27ED" w14:paraId="285F690A" w14:textId="77777777" w:rsidTr="00E80DC0">
        <w:tc>
          <w:tcPr>
            <w:tcW w:w="557" w:type="dxa"/>
            <w:tcBorders>
              <w:top w:val="single" w:sz="4" w:space="0" w:color="auto"/>
              <w:left w:val="single" w:sz="4" w:space="0" w:color="auto"/>
              <w:bottom w:val="single" w:sz="4" w:space="0" w:color="auto"/>
              <w:right w:val="single" w:sz="4" w:space="0" w:color="auto"/>
            </w:tcBorders>
            <w:shd w:val="clear" w:color="auto" w:fill="D0CECE"/>
            <w:tcMar>
              <w:top w:w="0" w:type="dxa"/>
              <w:left w:w="108" w:type="dxa"/>
              <w:bottom w:w="0" w:type="dxa"/>
              <w:right w:w="108" w:type="dxa"/>
            </w:tcMar>
            <w:hideMark/>
          </w:tcPr>
          <w:p w14:paraId="5C40F9EF" w14:textId="77777777" w:rsidR="00947670" w:rsidRPr="009A27ED" w:rsidRDefault="00947670" w:rsidP="00947670">
            <w:pPr>
              <w:spacing w:after="0"/>
              <w:rPr>
                <w:rFonts w:cs="Arial"/>
                <w:color w:val="222222"/>
                <w:sz w:val="20"/>
                <w:szCs w:val="20"/>
                <w:lang w:eastAsia="es-ES"/>
              </w:rPr>
            </w:pPr>
            <w:r w:rsidRPr="009A27ED">
              <w:rPr>
                <w:rFonts w:cs="Arial"/>
                <w:b/>
                <w:bCs/>
                <w:color w:val="000000"/>
                <w:sz w:val="20"/>
                <w:szCs w:val="20"/>
                <w:lang w:eastAsia="es-ES"/>
              </w:rPr>
              <w:t>11</w:t>
            </w:r>
          </w:p>
        </w:tc>
        <w:tc>
          <w:tcPr>
            <w:tcW w:w="8369" w:type="dxa"/>
            <w:tcBorders>
              <w:top w:val="single" w:sz="4" w:space="0" w:color="auto"/>
              <w:left w:val="single" w:sz="4" w:space="0" w:color="auto"/>
              <w:bottom w:val="single" w:sz="4" w:space="0" w:color="auto"/>
              <w:right w:val="single" w:sz="4" w:space="0" w:color="auto"/>
            </w:tcBorders>
            <w:shd w:val="clear" w:color="auto" w:fill="D0CECE"/>
            <w:tcMar>
              <w:top w:w="0" w:type="dxa"/>
              <w:left w:w="108" w:type="dxa"/>
              <w:bottom w:w="0" w:type="dxa"/>
              <w:right w:w="108" w:type="dxa"/>
            </w:tcMar>
            <w:hideMark/>
          </w:tcPr>
          <w:p w14:paraId="62531527" w14:textId="1AED4922" w:rsidR="00947670" w:rsidRPr="009A27ED" w:rsidRDefault="00723E6C" w:rsidP="0023089F">
            <w:pPr>
              <w:spacing w:after="0"/>
              <w:ind w:left="70"/>
              <w:rPr>
                <w:rFonts w:cs="Arial"/>
                <w:color w:val="222222"/>
                <w:sz w:val="20"/>
                <w:szCs w:val="20"/>
                <w:lang w:eastAsia="es-ES"/>
              </w:rPr>
            </w:pPr>
            <w:r w:rsidRPr="009A27ED">
              <w:rPr>
                <w:rFonts w:cs="Arial"/>
                <w:color w:val="000000"/>
                <w:sz w:val="20"/>
                <w:szCs w:val="20"/>
                <w:lang w:eastAsia="es-ES"/>
              </w:rPr>
              <w:t>Cualquier actividad vinculada con</w:t>
            </w:r>
            <w:r w:rsidR="00947670" w:rsidRPr="009A27ED">
              <w:rPr>
                <w:rFonts w:cs="Arial"/>
                <w:color w:val="000000"/>
                <w:sz w:val="20"/>
                <w:szCs w:val="20"/>
                <w:lang w:eastAsia="es-ES"/>
              </w:rPr>
              <w:t xml:space="preserve"> tabaco, bebidas alcohólicas y otras drogas</w:t>
            </w:r>
          </w:p>
        </w:tc>
      </w:tr>
      <w:tr w:rsidR="00947670" w:rsidRPr="009A27ED" w14:paraId="652D8653" w14:textId="77777777" w:rsidTr="00E80DC0">
        <w:tc>
          <w:tcPr>
            <w:tcW w:w="557"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14:paraId="6F4D5F60" w14:textId="77777777" w:rsidR="00947670" w:rsidRPr="009A27ED" w:rsidRDefault="00947670" w:rsidP="00947670">
            <w:pPr>
              <w:spacing w:after="0"/>
              <w:rPr>
                <w:rFonts w:cs="Arial"/>
                <w:color w:val="222222"/>
                <w:sz w:val="20"/>
                <w:szCs w:val="20"/>
                <w:lang w:eastAsia="es-ES"/>
              </w:rPr>
            </w:pPr>
            <w:r w:rsidRPr="009A27ED">
              <w:rPr>
                <w:rFonts w:cs="Arial"/>
                <w:b/>
                <w:bCs/>
                <w:color w:val="000000"/>
                <w:sz w:val="20"/>
                <w:szCs w:val="20"/>
                <w:lang w:eastAsia="es-ES"/>
              </w:rPr>
              <w:t>12</w:t>
            </w:r>
          </w:p>
        </w:tc>
        <w:tc>
          <w:tcPr>
            <w:tcW w:w="8369"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14:paraId="0650CF4E" w14:textId="77777777" w:rsidR="00947670" w:rsidRPr="009A27ED" w:rsidRDefault="00947670" w:rsidP="00947670">
            <w:pPr>
              <w:spacing w:after="0"/>
              <w:ind w:left="70"/>
              <w:rPr>
                <w:rFonts w:cs="Arial"/>
                <w:color w:val="222222"/>
                <w:sz w:val="20"/>
                <w:szCs w:val="20"/>
                <w:lang w:eastAsia="es-ES"/>
              </w:rPr>
            </w:pPr>
            <w:r w:rsidRPr="009A27ED">
              <w:rPr>
                <w:rFonts w:cs="Arial"/>
                <w:color w:val="000000"/>
                <w:sz w:val="20"/>
                <w:szCs w:val="20"/>
                <w:lang w:eastAsia="es-ES"/>
              </w:rPr>
              <w:t>Compra de armas o municiones</w:t>
            </w:r>
            <w:r w:rsidRPr="009A27ED">
              <w:rPr>
                <w:rFonts w:cs="Arial"/>
                <w:color w:val="222222"/>
                <w:sz w:val="20"/>
                <w:szCs w:val="20"/>
                <w:lang w:eastAsia="es-ES"/>
              </w:rPr>
              <w:t> </w:t>
            </w:r>
          </w:p>
        </w:tc>
      </w:tr>
      <w:tr w:rsidR="00947670" w:rsidRPr="009A27ED" w14:paraId="25BEC10E" w14:textId="77777777" w:rsidTr="00E80DC0">
        <w:tc>
          <w:tcPr>
            <w:tcW w:w="557" w:type="dxa"/>
            <w:tcBorders>
              <w:top w:val="single" w:sz="4" w:space="0" w:color="auto"/>
              <w:left w:val="single" w:sz="4" w:space="0" w:color="auto"/>
              <w:bottom w:val="single" w:sz="4" w:space="0" w:color="auto"/>
              <w:right w:val="single" w:sz="4" w:space="0" w:color="auto"/>
            </w:tcBorders>
            <w:shd w:val="clear" w:color="auto" w:fill="D0CECE"/>
            <w:tcMar>
              <w:top w:w="0" w:type="dxa"/>
              <w:left w:w="108" w:type="dxa"/>
              <w:bottom w:w="0" w:type="dxa"/>
              <w:right w:w="108" w:type="dxa"/>
            </w:tcMar>
            <w:hideMark/>
          </w:tcPr>
          <w:p w14:paraId="1E8717B0" w14:textId="77777777" w:rsidR="00947670" w:rsidRPr="009A27ED" w:rsidRDefault="00947670" w:rsidP="00947670">
            <w:pPr>
              <w:spacing w:after="0"/>
              <w:rPr>
                <w:rFonts w:cs="Arial"/>
                <w:color w:val="222222"/>
                <w:sz w:val="20"/>
                <w:szCs w:val="20"/>
                <w:lang w:eastAsia="es-ES"/>
              </w:rPr>
            </w:pPr>
            <w:r w:rsidRPr="009A27ED">
              <w:rPr>
                <w:rFonts w:cs="Arial"/>
                <w:b/>
                <w:bCs/>
                <w:color w:val="000000"/>
                <w:sz w:val="20"/>
                <w:szCs w:val="20"/>
                <w:lang w:eastAsia="es-ES"/>
              </w:rPr>
              <w:t>13</w:t>
            </w:r>
          </w:p>
        </w:tc>
        <w:tc>
          <w:tcPr>
            <w:tcW w:w="8369" w:type="dxa"/>
            <w:tcBorders>
              <w:top w:val="single" w:sz="4" w:space="0" w:color="auto"/>
              <w:left w:val="single" w:sz="4" w:space="0" w:color="auto"/>
              <w:bottom w:val="single" w:sz="4" w:space="0" w:color="auto"/>
              <w:right w:val="single" w:sz="4" w:space="0" w:color="auto"/>
            </w:tcBorders>
            <w:shd w:val="clear" w:color="auto" w:fill="D0CECE"/>
            <w:tcMar>
              <w:top w:w="0" w:type="dxa"/>
              <w:left w:w="108" w:type="dxa"/>
              <w:bottom w:w="0" w:type="dxa"/>
              <w:right w:w="108" w:type="dxa"/>
            </w:tcMar>
            <w:hideMark/>
          </w:tcPr>
          <w:p w14:paraId="3FA4863E" w14:textId="77777777" w:rsidR="00947670" w:rsidRPr="009A27ED" w:rsidRDefault="00947670" w:rsidP="000D54E1">
            <w:pPr>
              <w:keepNext/>
              <w:spacing w:after="0"/>
              <w:ind w:left="70"/>
              <w:rPr>
                <w:rFonts w:cs="Arial"/>
                <w:color w:val="222222"/>
                <w:sz w:val="20"/>
                <w:szCs w:val="20"/>
                <w:lang w:eastAsia="es-ES"/>
              </w:rPr>
            </w:pPr>
            <w:r w:rsidRPr="009A27ED">
              <w:rPr>
                <w:rFonts w:cs="Arial"/>
                <w:color w:val="000000"/>
                <w:sz w:val="20"/>
                <w:szCs w:val="20"/>
                <w:lang w:eastAsia="es-ES"/>
              </w:rPr>
              <w:t>Aquellos que no cumplan con la documentación establecida en el marco legal para cada actividad elegible.</w:t>
            </w:r>
          </w:p>
        </w:tc>
      </w:tr>
    </w:tbl>
    <w:p w14:paraId="2C86E2BD" w14:textId="1DB75D1B" w:rsidR="005C2A7B" w:rsidRPr="009A27ED" w:rsidRDefault="00947670" w:rsidP="005B6485">
      <w:pPr>
        <w:spacing w:before="120" w:after="0" w:line="360" w:lineRule="auto"/>
        <w:rPr>
          <w:szCs w:val="22"/>
        </w:rPr>
      </w:pPr>
      <w:r w:rsidRPr="009A27ED">
        <w:rPr>
          <w:rFonts w:ascii="Times New Roman" w:eastAsia="Times New Roman" w:hAnsi="Times New Roman"/>
          <w:sz w:val="24"/>
          <w:szCs w:val="22"/>
        </w:rPr>
        <w:t xml:space="preserve">Las Entidades Ejecutoras deberán aplicar como primer filtro la lista de actividades excluidas. Cualquier </w:t>
      </w:r>
      <w:r w:rsidRPr="009A27ED">
        <w:rPr>
          <w:rFonts w:ascii="Times New Roman" w:eastAsia="Times New Roman" w:hAnsi="Times New Roman"/>
          <w:i/>
          <w:sz w:val="24"/>
          <w:szCs w:val="22"/>
        </w:rPr>
        <w:t xml:space="preserve">actividad </w:t>
      </w:r>
      <w:r w:rsidR="0080772D" w:rsidRPr="009A27ED">
        <w:rPr>
          <w:rFonts w:ascii="Times New Roman" w:eastAsia="Times New Roman" w:hAnsi="Times New Roman"/>
          <w:i/>
          <w:sz w:val="24"/>
          <w:szCs w:val="22"/>
        </w:rPr>
        <w:t>tipo REDD+</w:t>
      </w:r>
      <w:r w:rsidR="00E2722A" w:rsidRPr="009A27ED">
        <w:rPr>
          <w:rFonts w:ascii="Times New Roman" w:eastAsia="Times New Roman" w:hAnsi="Times New Roman"/>
          <w:i/>
          <w:sz w:val="24"/>
          <w:szCs w:val="22"/>
        </w:rPr>
        <w:t xml:space="preserve"> </w:t>
      </w:r>
      <w:r w:rsidRPr="009A27ED">
        <w:rPr>
          <w:rFonts w:ascii="Times New Roman" w:eastAsia="Times New Roman" w:hAnsi="Times New Roman"/>
          <w:sz w:val="24"/>
          <w:szCs w:val="22"/>
        </w:rPr>
        <w:t xml:space="preserve">que incluya una o varias de las actividades enlistadas </w:t>
      </w:r>
      <w:r w:rsidR="00EA73D1" w:rsidRPr="009A27ED">
        <w:rPr>
          <w:rFonts w:ascii="Times New Roman" w:eastAsia="Times New Roman" w:hAnsi="Times New Roman"/>
          <w:sz w:val="24"/>
          <w:szCs w:val="22"/>
        </w:rPr>
        <w:t>será</w:t>
      </w:r>
      <w:r w:rsidRPr="009A27ED">
        <w:rPr>
          <w:rFonts w:ascii="Times New Roman" w:eastAsia="Times New Roman" w:hAnsi="Times New Roman"/>
          <w:sz w:val="24"/>
          <w:szCs w:val="22"/>
        </w:rPr>
        <w:t xml:space="preserve"> </w:t>
      </w:r>
      <w:r w:rsidR="00EA73D1" w:rsidRPr="009A27ED">
        <w:rPr>
          <w:rFonts w:ascii="Times New Roman" w:eastAsia="Times New Roman" w:hAnsi="Times New Roman"/>
          <w:sz w:val="24"/>
          <w:szCs w:val="22"/>
        </w:rPr>
        <w:t>rechazada</w:t>
      </w:r>
      <w:r w:rsidRPr="009A27ED">
        <w:rPr>
          <w:rFonts w:ascii="Times New Roman" w:eastAsia="Times New Roman" w:hAnsi="Times New Roman"/>
          <w:sz w:val="24"/>
          <w:szCs w:val="22"/>
        </w:rPr>
        <w:t xml:space="preserve"> para ser seleccionad</w:t>
      </w:r>
      <w:r w:rsidR="0065598A" w:rsidRPr="009A27ED">
        <w:rPr>
          <w:rFonts w:ascii="Times New Roman" w:eastAsia="Times New Roman" w:hAnsi="Times New Roman"/>
          <w:sz w:val="24"/>
          <w:szCs w:val="22"/>
        </w:rPr>
        <w:t>a</w:t>
      </w:r>
      <w:r w:rsidRPr="009A27ED">
        <w:rPr>
          <w:rFonts w:ascii="Times New Roman" w:eastAsia="Times New Roman" w:hAnsi="Times New Roman"/>
          <w:sz w:val="24"/>
          <w:szCs w:val="22"/>
        </w:rPr>
        <w:t xml:space="preserve"> como actividad elegible para </w:t>
      </w:r>
      <w:r w:rsidR="0080772D" w:rsidRPr="009A27ED">
        <w:rPr>
          <w:rFonts w:ascii="Times New Roman" w:eastAsia="Times New Roman" w:hAnsi="Times New Roman"/>
          <w:sz w:val="24"/>
          <w:szCs w:val="22"/>
        </w:rPr>
        <w:t xml:space="preserve">el </w:t>
      </w:r>
      <w:r w:rsidR="00124B63" w:rsidRPr="009A27ED">
        <w:rPr>
          <w:rFonts w:ascii="Times New Roman" w:eastAsia="Times New Roman" w:hAnsi="Times New Roman"/>
          <w:sz w:val="24"/>
          <w:szCs w:val="22"/>
        </w:rPr>
        <w:t>Programa REDD+</w:t>
      </w:r>
      <w:r w:rsidRPr="009A27ED">
        <w:rPr>
          <w:rFonts w:ascii="Times New Roman" w:eastAsia="Times New Roman" w:hAnsi="Times New Roman"/>
          <w:sz w:val="24"/>
          <w:szCs w:val="22"/>
        </w:rPr>
        <w:t>.</w:t>
      </w:r>
    </w:p>
    <w:p w14:paraId="04539782" w14:textId="112A875F" w:rsidR="00947670" w:rsidRPr="009A27ED" w:rsidRDefault="000E3A08" w:rsidP="000E3A08">
      <w:pPr>
        <w:pStyle w:val="Ttulo2"/>
        <w:numPr>
          <w:ilvl w:val="0"/>
          <w:numId w:val="0"/>
        </w:numPr>
        <w:spacing w:line="360" w:lineRule="auto"/>
        <w:jc w:val="both"/>
        <w:rPr>
          <w:sz w:val="24"/>
        </w:rPr>
      </w:pPr>
      <w:bookmarkStart w:id="293" w:name="_Toc529470011"/>
      <w:bookmarkStart w:id="294" w:name="_Toc532335871"/>
      <w:bookmarkStart w:id="295" w:name="_Toc111837990"/>
      <w:r w:rsidRPr="009A27ED">
        <w:rPr>
          <w:rFonts w:ascii="Times New Roman" w:eastAsia="Times New Roman" w:hAnsi="Times New Roman"/>
          <w:sz w:val="24"/>
        </w:rPr>
        <w:t xml:space="preserve">6.3 </w:t>
      </w:r>
      <w:r w:rsidR="00947670" w:rsidRPr="009A27ED">
        <w:rPr>
          <w:rFonts w:ascii="Times New Roman" w:eastAsia="Times New Roman" w:hAnsi="Times New Roman"/>
          <w:sz w:val="24"/>
        </w:rPr>
        <w:t>Criterios generales de selección</w:t>
      </w:r>
      <w:bookmarkEnd w:id="293"/>
      <w:bookmarkEnd w:id="294"/>
      <w:bookmarkEnd w:id="295"/>
      <w:r w:rsidR="00947670" w:rsidRPr="009A27ED">
        <w:rPr>
          <w:rFonts w:ascii="Times New Roman" w:eastAsia="Times New Roman" w:hAnsi="Times New Roman"/>
          <w:sz w:val="24"/>
        </w:rPr>
        <w:t xml:space="preserve"> </w:t>
      </w:r>
    </w:p>
    <w:p w14:paraId="15E81279" w14:textId="03535B5D" w:rsidR="00947670" w:rsidRPr="009A27ED" w:rsidRDefault="00947670" w:rsidP="00B509EA">
      <w:pPr>
        <w:spacing w:line="360" w:lineRule="auto"/>
        <w:rPr>
          <w:szCs w:val="22"/>
        </w:rPr>
      </w:pPr>
      <w:r w:rsidRPr="009A27ED">
        <w:rPr>
          <w:rFonts w:ascii="Times New Roman" w:eastAsia="Times New Roman" w:hAnsi="Times New Roman"/>
          <w:sz w:val="24"/>
          <w:szCs w:val="22"/>
        </w:rPr>
        <w:t xml:space="preserve">Las actividades específicas deberán demostrar que están en línea con </w:t>
      </w:r>
      <w:r w:rsidR="0080772D" w:rsidRPr="009A27ED">
        <w:rPr>
          <w:rFonts w:ascii="Times New Roman" w:eastAsia="Times New Roman" w:hAnsi="Times New Roman"/>
          <w:sz w:val="24"/>
          <w:szCs w:val="22"/>
        </w:rPr>
        <w:t>las actividades tipo</w:t>
      </w:r>
      <w:r w:rsidRPr="009A27ED">
        <w:rPr>
          <w:rFonts w:ascii="Times New Roman" w:eastAsia="Times New Roman" w:hAnsi="Times New Roman"/>
          <w:i/>
          <w:sz w:val="24"/>
          <w:szCs w:val="22"/>
        </w:rPr>
        <w:t xml:space="preserve"> REDD+</w:t>
      </w:r>
      <w:r w:rsidRPr="009A27ED">
        <w:rPr>
          <w:rFonts w:ascii="Times New Roman" w:eastAsia="Times New Roman" w:hAnsi="Times New Roman"/>
          <w:sz w:val="24"/>
          <w:szCs w:val="22"/>
        </w:rPr>
        <w:t xml:space="preserve"> seleccionados</w:t>
      </w:r>
      <w:r w:rsidRPr="009A27ED">
        <w:rPr>
          <w:rStyle w:val="Refdenotaalpie"/>
          <w:rFonts w:asciiTheme="minorHAnsi" w:eastAsia="Times New Roman" w:hAnsiTheme="minorHAnsi"/>
          <w:sz w:val="24"/>
          <w:szCs w:val="22"/>
        </w:rPr>
        <w:footnoteReference w:id="71"/>
      </w:r>
      <w:r w:rsidRPr="009A27ED">
        <w:rPr>
          <w:rFonts w:ascii="Times New Roman" w:eastAsia="Times New Roman" w:hAnsi="Times New Roman"/>
          <w:sz w:val="24"/>
          <w:szCs w:val="22"/>
        </w:rPr>
        <w:t xml:space="preserve">, y que </w:t>
      </w:r>
      <w:r w:rsidR="0080772D" w:rsidRPr="009A27ED">
        <w:rPr>
          <w:rFonts w:ascii="Times New Roman" w:eastAsia="Times New Roman" w:hAnsi="Times New Roman"/>
          <w:sz w:val="24"/>
          <w:szCs w:val="22"/>
        </w:rPr>
        <w:t xml:space="preserve">promoverán </w:t>
      </w:r>
      <w:r w:rsidRPr="009A27ED">
        <w:rPr>
          <w:rFonts w:ascii="Times New Roman" w:eastAsia="Times New Roman" w:hAnsi="Times New Roman"/>
          <w:sz w:val="24"/>
          <w:szCs w:val="22"/>
        </w:rPr>
        <w:t>algunos de los criterios aquí planteados:</w:t>
      </w:r>
    </w:p>
    <w:p w14:paraId="7FA87468" w14:textId="77777777" w:rsidR="00947670" w:rsidRPr="009A27ED" w:rsidRDefault="00947670" w:rsidP="00D42802">
      <w:pPr>
        <w:pStyle w:val="Aparrafopunteo"/>
        <w:numPr>
          <w:ilvl w:val="0"/>
          <w:numId w:val="68"/>
        </w:numPr>
        <w:spacing w:line="360" w:lineRule="auto"/>
        <w:rPr>
          <w:szCs w:val="22"/>
        </w:rPr>
      </w:pPr>
      <w:r w:rsidRPr="009A27ED">
        <w:rPr>
          <w:rFonts w:ascii="Times New Roman" w:eastAsia="Times New Roman" w:hAnsi="Times New Roman"/>
          <w:sz w:val="24"/>
          <w:szCs w:val="22"/>
        </w:rPr>
        <w:t xml:space="preserve">Mejorar los medios de vida de la población local. </w:t>
      </w:r>
    </w:p>
    <w:p w14:paraId="7C86B3D7" w14:textId="77777777" w:rsidR="00947670" w:rsidRPr="009A27ED" w:rsidRDefault="00947670" w:rsidP="00D42802">
      <w:pPr>
        <w:pStyle w:val="Aparrafopunteo"/>
        <w:numPr>
          <w:ilvl w:val="0"/>
          <w:numId w:val="68"/>
        </w:numPr>
        <w:spacing w:line="360" w:lineRule="auto"/>
        <w:rPr>
          <w:szCs w:val="22"/>
        </w:rPr>
      </w:pPr>
      <w:r w:rsidRPr="009A27ED">
        <w:rPr>
          <w:rFonts w:ascii="Times New Roman" w:eastAsia="Times New Roman" w:hAnsi="Times New Roman"/>
          <w:sz w:val="24"/>
          <w:szCs w:val="22"/>
        </w:rPr>
        <w:t xml:space="preserve">Fortalecer la participación de las comunidades locales en la gestión del paisaje forestal. </w:t>
      </w:r>
    </w:p>
    <w:p w14:paraId="56AE2BD3" w14:textId="77777777" w:rsidR="00947670" w:rsidRPr="009A27ED" w:rsidRDefault="00947670" w:rsidP="00D42802">
      <w:pPr>
        <w:pStyle w:val="Aparrafopunteo"/>
        <w:numPr>
          <w:ilvl w:val="0"/>
          <w:numId w:val="68"/>
        </w:numPr>
        <w:spacing w:line="360" w:lineRule="auto"/>
        <w:rPr>
          <w:szCs w:val="22"/>
        </w:rPr>
      </w:pPr>
      <w:r w:rsidRPr="009A27ED">
        <w:rPr>
          <w:rFonts w:ascii="Times New Roman" w:eastAsia="Times New Roman" w:hAnsi="Times New Roman"/>
          <w:color w:val="000000"/>
          <w:sz w:val="24"/>
          <w:szCs w:val="22"/>
        </w:rPr>
        <w:t>Abordar la mitigación del cambio climático y la adaptación</w:t>
      </w:r>
    </w:p>
    <w:p w14:paraId="72D42D11" w14:textId="77777777" w:rsidR="00947670" w:rsidRPr="009A27ED" w:rsidRDefault="00947670" w:rsidP="00D42802">
      <w:pPr>
        <w:pStyle w:val="Aparrafopunteo"/>
        <w:numPr>
          <w:ilvl w:val="0"/>
          <w:numId w:val="68"/>
        </w:numPr>
        <w:spacing w:line="360" w:lineRule="auto"/>
        <w:rPr>
          <w:szCs w:val="22"/>
        </w:rPr>
      </w:pPr>
      <w:r w:rsidRPr="009A27ED">
        <w:rPr>
          <w:rFonts w:ascii="Times New Roman" w:eastAsia="Times New Roman" w:hAnsi="Times New Roman"/>
          <w:sz w:val="24"/>
          <w:szCs w:val="22"/>
        </w:rPr>
        <w:t>Ofrecer beneficios ambientales adicionales a las RE, tales como la biodiversidad y los servicios hidrológicos.</w:t>
      </w:r>
      <w:r w:rsidRPr="009A27ED">
        <w:rPr>
          <w:rFonts w:ascii="Times New Roman" w:eastAsia="Times New Roman" w:hAnsi="Times New Roman"/>
          <w:color w:val="000000"/>
          <w:sz w:val="24"/>
          <w:szCs w:val="22"/>
        </w:rPr>
        <w:t xml:space="preserve"> </w:t>
      </w:r>
    </w:p>
    <w:p w14:paraId="50D1E933" w14:textId="77777777" w:rsidR="00947670" w:rsidRPr="009A27ED" w:rsidRDefault="00947670" w:rsidP="00D42802">
      <w:pPr>
        <w:pStyle w:val="Aparrafopunteo"/>
        <w:numPr>
          <w:ilvl w:val="0"/>
          <w:numId w:val="68"/>
        </w:numPr>
        <w:spacing w:line="360" w:lineRule="auto"/>
        <w:rPr>
          <w:szCs w:val="22"/>
        </w:rPr>
      </w:pPr>
      <w:r w:rsidRPr="009A27ED">
        <w:rPr>
          <w:rFonts w:ascii="Times New Roman" w:eastAsia="Times New Roman" w:hAnsi="Times New Roman"/>
          <w:color w:val="000000"/>
          <w:sz w:val="24"/>
          <w:szCs w:val="22"/>
        </w:rPr>
        <w:t>Evitar la deforestación y la degradación forestal a través del manejo forestal sostenible</w:t>
      </w:r>
    </w:p>
    <w:p w14:paraId="1FEC2577" w14:textId="77777777" w:rsidR="00947670" w:rsidRPr="009A27ED" w:rsidRDefault="00947670" w:rsidP="00D42802">
      <w:pPr>
        <w:pStyle w:val="Aparrafopunteo"/>
        <w:numPr>
          <w:ilvl w:val="0"/>
          <w:numId w:val="68"/>
        </w:numPr>
        <w:spacing w:line="360" w:lineRule="auto"/>
        <w:rPr>
          <w:szCs w:val="22"/>
        </w:rPr>
      </w:pPr>
      <w:r w:rsidRPr="009A27ED">
        <w:rPr>
          <w:rFonts w:ascii="Times New Roman" w:eastAsia="Times New Roman" w:hAnsi="Times New Roman"/>
          <w:color w:val="000000"/>
          <w:sz w:val="24"/>
          <w:szCs w:val="22"/>
        </w:rPr>
        <w:t>Proteger los servicios ambientales</w:t>
      </w:r>
    </w:p>
    <w:p w14:paraId="41661B33" w14:textId="77777777" w:rsidR="00947670" w:rsidRPr="009A27ED" w:rsidRDefault="00947670" w:rsidP="00D42802">
      <w:pPr>
        <w:pStyle w:val="Aparrafopunteo"/>
        <w:numPr>
          <w:ilvl w:val="0"/>
          <w:numId w:val="68"/>
        </w:numPr>
        <w:spacing w:line="360" w:lineRule="auto"/>
        <w:rPr>
          <w:szCs w:val="22"/>
        </w:rPr>
      </w:pPr>
      <w:r w:rsidRPr="009A27ED">
        <w:rPr>
          <w:rFonts w:ascii="Times New Roman" w:eastAsia="Times New Roman" w:hAnsi="Times New Roman"/>
          <w:sz w:val="24"/>
          <w:szCs w:val="22"/>
        </w:rPr>
        <w:t>Aumentar los stocks de carbono en el paisaje forestal</w:t>
      </w:r>
    </w:p>
    <w:p w14:paraId="052E4C9F" w14:textId="77777777" w:rsidR="00947670" w:rsidRPr="009A27ED" w:rsidRDefault="00947670" w:rsidP="00D42802">
      <w:pPr>
        <w:pStyle w:val="Aparrafopunteo"/>
        <w:numPr>
          <w:ilvl w:val="0"/>
          <w:numId w:val="68"/>
        </w:numPr>
        <w:spacing w:line="360" w:lineRule="auto"/>
        <w:rPr>
          <w:szCs w:val="22"/>
        </w:rPr>
      </w:pPr>
      <w:r w:rsidRPr="009A27ED">
        <w:rPr>
          <w:rFonts w:ascii="Times New Roman" w:eastAsia="Times New Roman" w:hAnsi="Times New Roman"/>
          <w:sz w:val="24"/>
          <w:szCs w:val="22"/>
        </w:rPr>
        <w:t>Promover actividades de bajo impacto ambiental que propongan hacer un uso sostenible y agroforestal de productos maderables y no maderable</w:t>
      </w:r>
    </w:p>
    <w:p w14:paraId="5C3E221D" w14:textId="1E7BA7FB" w:rsidR="00947670" w:rsidRPr="009A27ED" w:rsidRDefault="00947670" w:rsidP="00D42802">
      <w:pPr>
        <w:pStyle w:val="Aparrafopunteo"/>
        <w:numPr>
          <w:ilvl w:val="0"/>
          <w:numId w:val="68"/>
        </w:numPr>
        <w:spacing w:line="360" w:lineRule="auto"/>
        <w:rPr>
          <w:szCs w:val="22"/>
        </w:rPr>
      </w:pPr>
      <w:r w:rsidRPr="009A27ED">
        <w:rPr>
          <w:rFonts w:ascii="Times New Roman" w:eastAsia="Times New Roman" w:hAnsi="Times New Roman"/>
          <w:sz w:val="24"/>
          <w:szCs w:val="22"/>
        </w:rPr>
        <w:t>Incorpor</w:t>
      </w:r>
      <w:r w:rsidR="00864881" w:rsidRPr="009A27ED">
        <w:rPr>
          <w:rFonts w:ascii="Times New Roman" w:eastAsia="Times New Roman" w:hAnsi="Times New Roman"/>
          <w:sz w:val="24"/>
          <w:szCs w:val="22"/>
        </w:rPr>
        <w:t>ar</w:t>
      </w:r>
      <w:r w:rsidRPr="009A27ED">
        <w:rPr>
          <w:rFonts w:ascii="Times New Roman" w:eastAsia="Times New Roman" w:hAnsi="Times New Roman"/>
          <w:sz w:val="24"/>
          <w:szCs w:val="22"/>
        </w:rPr>
        <w:t xml:space="preserve"> sistemas de baja producción de carbono en la agricultura;</w:t>
      </w:r>
    </w:p>
    <w:p w14:paraId="56AF8EC5" w14:textId="08E8137D" w:rsidR="00947670" w:rsidRPr="009A27ED" w:rsidRDefault="00947670" w:rsidP="00D42802">
      <w:pPr>
        <w:pStyle w:val="Aparrafopunteo"/>
        <w:numPr>
          <w:ilvl w:val="0"/>
          <w:numId w:val="68"/>
        </w:numPr>
        <w:spacing w:line="360" w:lineRule="auto"/>
        <w:rPr>
          <w:szCs w:val="22"/>
        </w:rPr>
      </w:pPr>
      <w:r w:rsidRPr="009A27ED">
        <w:rPr>
          <w:rFonts w:ascii="Times New Roman" w:eastAsia="Times New Roman" w:hAnsi="Times New Roman"/>
          <w:sz w:val="24"/>
          <w:szCs w:val="22"/>
        </w:rPr>
        <w:t>Prom</w:t>
      </w:r>
      <w:r w:rsidR="00864881" w:rsidRPr="009A27ED">
        <w:rPr>
          <w:rFonts w:ascii="Times New Roman" w:eastAsia="Times New Roman" w:hAnsi="Times New Roman"/>
          <w:sz w:val="24"/>
          <w:szCs w:val="22"/>
        </w:rPr>
        <w:t>over</w:t>
      </w:r>
      <w:r w:rsidRPr="009A27ED">
        <w:rPr>
          <w:rFonts w:ascii="Times New Roman" w:eastAsia="Times New Roman" w:hAnsi="Times New Roman"/>
          <w:sz w:val="24"/>
          <w:szCs w:val="22"/>
        </w:rPr>
        <w:t xml:space="preserve"> el fortalecimiento de las empresas forestales comunitarias</w:t>
      </w:r>
    </w:p>
    <w:p w14:paraId="28050C69" w14:textId="4A406AF1" w:rsidR="00947670" w:rsidRPr="009A27ED" w:rsidRDefault="00947670" w:rsidP="00D42802">
      <w:pPr>
        <w:pStyle w:val="Aparrafopunteo"/>
        <w:numPr>
          <w:ilvl w:val="0"/>
          <w:numId w:val="68"/>
        </w:numPr>
        <w:spacing w:line="360" w:lineRule="auto"/>
        <w:rPr>
          <w:szCs w:val="22"/>
        </w:rPr>
      </w:pPr>
      <w:r w:rsidRPr="009A27ED">
        <w:rPr>
          <w:rFonts w:ascii="Times New Roman" w:eastAsia="Times New Roman" w:hAnsi="Times New Roman"/>
          <w:sz w:val="24"/>
          <w:szCs w:val="22"/>
        </w:rPr>
        <w:t>Est</w:t>
      </w:r>
      <w:r w:rsidR="00CE10AB" w:rsidRPr="009A27ED">
        <w:rPr>
          <w:rFonts w:ascii="Times New Roman" w:eastAsia="Times New Roman" w:hAnsi="Times New Roman"/>
          <w:sz w:val="24"/>
          <w:szCs w:val="22"/>
        </w:rPr>
        <w:t>ar</w:t>
      </w:r>
      <w:r w:rsidRPr="009A27ED">
        <w:rPr>
          <w:rFonts w:ascii="Times New Roman" w:eastAsia="Times New Roman" w:hAnsi="Times New Roman"/>
          <w:sz w:val="24"/>
          <w:szCs w:val="22"/>
        </w:rPr>
        <w:t xml:space="preserve"> alineados con los objetivos centrales del Programa o Proyecto Nacional y con la EN-REDD+</w:t>
      </w:r>
    </w:p>
    <w:p w14:paraId="64B9E0C0" w14:textId="77777777" w:rsidR="00947670" w:rsidRPr="009A27ED" w:rsidRDefault="00947670" w:rsidP="00D42802">
      <w:pPr>
        <w:pStyle w:val="Aparrafopunteo"/>
        <w:numPr>
          <w:ilvl w:val="0"/>
          <w:numId w:val="68"/>
        </w:numPr>
        <w:spacing w:line="360" w:lineRule="auto"/>
        <w:rPr>
          <w:szCs w:val="22"/>
        </w:rPr>
      </w:pPr>
      <w:r w:rsidRPr="009A27ED">
        <w:rPr>
          <w:rFonts w:ascii="Times New Roman" w:eastAsia="Times New Roman" w:hAnsi="Times New Roman"/>
          <w:sz w:val="24"/>
          <w:szCs w:val="22"/>
        </w:rPr>
        <w:t>Justifiquen su factibilidad socio ambiental económica y sostenibilidad</w:t>
      </w:r>
    </w:p>
    <w:p w14:paraId="49EFFFF7" w14:textId="77777777" w:rsidR="00947670" w:rsidRPr="009A27ED" w:rsidRDefault="00947670" w:rsidP="00D42802">
      <w:pPr>
        <w:pStyle w:val="Aparrafopunteo"/>
        <w:numPr>
          <w:ilvl w:val="0"/>
          <w:numId w:val="68"/>
        </w:numPr>
        <w:spacing w:line="360" w:lineRule="auto"/>
        <w:rPr>
          <w:szCs w:val="22"/>
          <w:lang w:eastAsia="es-ES" w:bidi="es-ES"/>
        </w:rPr>
      </w:pPr>
      <w:r w:rsidRPr="009A27ED">
        <w:rPr>
          <w:rFonts w:ascii="Times New Roman" w:eastAsia="Times New Roman" w:hAnsi="Times New Roman"/>
          <w:sz w:val="24"/>
          <w:szCs w:val="22"/>
          <w:lang w:eastAsia="es-ES" w:bidi="es-ES"/>
        </w:rPr>
        <w:t>Prom</w:t>
      </w:r>
      <w:r w:rsidRPr="009A27ED">
        <w:rPr>
          <w:rFonts w:ascii="Times New Roman" w:eastAsia="Times New Roman" w:hAnsi="Times New Roman"/>
          <w:sz w:val="24"/>
          <w:szCs w:val="22"/>
        </w:rPr>
        <w:t>uevan</w:t>
      </w:r>
      <w:r w:rsidRPr="009A27ED">
        <w:rPr>
          <w:rFonts w:ascii="Times New Roman" w:eastAsia="Times New Roman" w:hAnsi="Times New Roman"/>
          <w:sz w:val="24"/>
          <w:szCs w:val="22"/>
          <w:lang w:eastAsia="es-ES" w:bidi="es-ES"/>
        </w:rPr>
        <w:t xml:space="preserve"> intercambios de experiencias entre hombres y mujeres,</w:t>
      </w:r>
      <w:r w:rsidRPr="009A27ED">
        <w:rPr>
          <w:rFonts w:ascii="Times New Roman" w:eastAsia="Times New Roman" w:hAnsi="Times New Roman"/>
          <w:sz w:val="24"/>
          <w:szCs w:val="22"/>
        </w:rPr>
        <w:t xml:space="preserve"> y</w:t>
      </w:r>
      <w:r w:rsidRPr="009A27ED">
        <w:rPr>
          <w:rFonts w:ascii="Times New Roman" w:eastAsia="Times New Roman" w:hAnsi="Times New Roman"/>
          <w:sz w:val="24"/>
          <w:szCs w:val="22"/>
          <w:lang w:eastAsia="es-ES" w:bidi="es-ES"/>
        </w:rPr>
        <w:t xml:space="preserve"> jóvenes; entre sistemas productivos diferentes. Visibilizar el trabajo de los diferentes grupos.</w:t>
      </w:r>
    </w:p>
    <w:p w14:paraId="3B6DA4F3" w14:textId="77777777" w:rsidR="00B509EA" w:rsidRPr="009A27ED" w:rsidRDefault="00B509EA" w:rsidP="00D37B84">
      <w:pPr>
        <w:pStyle w:val="Aparrafopunteo"/>
        <w:numPr>
          <w:ilvl w:val="0"/>
          <w:numId w:val="0"/>
        </w:numPr>
        <w:spacing w:line="360" w:lineRule="auto"/>
      </w:pPr>
    </w:p>
    <w:p w14:paraId="5EFFC6E2" w14:textId="03BBF9DF" w:rsidR="00947670" w:rsidRPr="009A27ED" w:rsidRDefault="00947670" w:rsidP="00E67CB0">
      <w:pPr>
        <w:pStyle w:val="Ttulo2"/>
        <w:numPr>
          <w:ilvl w:val="1"/>
          <w:numId w:val="278"/>
        </w:numPr>
        <w:spacing w:line="360" w:lineRule="auto"/>
        <w:jc w:val="both"/>
        <w:rPr>
          <w:sz w:val="24"/>
        </w:rPr>
      </w:pPr>
      <w:bookmarkStart w:id="296" w:name="_Toc529470012"/>
      <w:bookmarkStart w:id="297" w:name="_Toc532335872"/>
      <w:bookmarkStart w:id="298" w:name="_Toc111837991"/>
      <w:r w:rsidRPr="009A27ED">
        <w:rPr>
          <w:rFonts w:ascii="Times New Roman" w:eastAsia="Times New Roman" w:hAnsi="Times New Roman"/>
          <w:sz w:val="24"/>
        </w:rPr>
        <w:lastRenderedPageBreak/>
        <w:t>Criterios de selección específicos</w:t>
      </w:r>
      <w:bookmarkEnd w:id="296"/>
      <w:bookmarkEnd w:id="297"/>
      <w:bookmarkEnd w:id="298"/>
    </w:p>
    <w:bookmarkEnd w:id="287"/>
    <w:p w14:paraId="149DEED3" w14:textId="24108B45" w:rsidR="00947670" w:rsidRPr="009A27ED" w:rsidRDefault="00947670" w:rsidP="005B6485">
      <w:pPr>
        <w:spacing w:before="120" w:after="0" w:line="360" w:lineRule="auto"/>
        <w:rPr>
          <w:szCs w:val="22"/>
          <w:lang w:eastAsia="es-ES"/>
        </w:rPr>
      </w:pPr>
      <w:r w:rsidRPr="009A27ED">
        <w:rPr>
          <w:rFonts w:ascii="Times New Roman" w:eastAsia="Times New Roman" w:hAnsi="Times New Roman"/>
          <w:sz w:val="24"/>
          <w:szCs w:val="22"/>
          <w:lang w:eastAsia="es-ES"/>
        </w:rPr>
        <w:t xml:space="preserve">Realizado el filtro de actividades excluidas y criterios generales, las </w:t>
      </w:r>
      <w:r w:rsidR="0080772D" w:rsidRPr="009A27ED">
        <w:rPr>
          <w:rFonts w:ascii="Times New Roman" w:eastAsia="Times New Roman" w:hAnsi="Times New Roman"/>
          <w:sz w:val="24"/>
          <w:szCs w:val="22"/>
          <w:lang w:eastAsia="es-ES"/>
        </w:rPr>
        <w:t>E</w:t>
      </w:r>
      <w:r w:rsidRPr="009A27ED">
        <w:rPr>
          <w:rFonts w:ascii="Times New Roman" w:eastAsia="Times New Roman" w:hAnsi="Times New Roman"/>
          <w:sz w:val="24"/>
          <w:szCs w:val="22"/>
          <w:lang w:eastAsia="es-ES"/>
        </w:rPr>
        <w:t xml:space="preserve">ntidades </w:t>
      </w:r>
      <w:r w:rsidR="0080772D" w:rsidRPr="009A27ED">
        <w:rPr>
          <w:rFonts w:ascii="Times New Roman" w:eastAsia="Times New Roman" w:hAnsi="Times New Roman"/>
          <w:sz w:val="24"/>
          <w:szCs w:val="22"/>
          <w:lang w:eastAsia="es-ES"/>
        </w:rPr>
        <w:t>E</w:t>
      </w:r>
      <w:r w:rsidRPr="009A27ED">
        <w:rPr>
          <w:rFonts w:ascii="Times New Roman" w:eastAsia="Times New Roman" w:hAnsi="Times New Roman"/>
          <w:sz w:val="24"/>
          <w:szCs w:val="22"/>
          <w:lang w:eastAsia="es-ES"/>
        </w:rPr>
        <w:t xml:space="preserve">jecutoras encargadas de las actividades propuestas deberán aplicar los criterios de selección específicos relacionados con el cumplimiento de criterios ambientales y sociales contemplados por el marco legal nacional </w:t>
      </w:r>
      <w:r w:rsidR="0080772D" w:rsidRPr="009A27ED">
        <w:rPr>
          <w:rFonts w:ascii="Times New Roman" w:eastAsia="Times New Roman" w:hAnsi="Times New Roman"/>
          <w:sz w:val="24"/>
          <w:szCs w:val="22"/>
          <w:lang w:eastAsia="es-ES"/>
        </w:rPr>
        <w:t xml:space="preserve">para cada una </w:t>
      </w:r>
      <w:r w:rsidRPr="009A27ED">
        <w:rPr>
          <w:rFonts w:ascii="Times New Roman" w:eastAsia="Times New Roman" w:hAnsi="Times New Roman"/>
          <w:sz w:val="24"/>
          <w:szCs w:val="22"/>
          <w:lang w:eastAsia="es-ES"/>
        </w:rPr>
        <w:t xml:space="preserve">de las actividades </w:t>
      </w:r>
      <w:r w:rsidR="0080772D" w:rsidRPr="009A27ED">
        <w:rPr>
          <w:rFonts w:ascii="Times New Roman" w:eastAsia="Times New Roman" w:hAnsi="Times New Roman"/>
          <w:sz w:val="24"/>
          <w:szCs w:val="22"/>
          <w:lang w:eastAsia="es-ES"/>
        </w:rPr>
        <w:t xml:space="preserve">tipo </w:t>
      </w:r>
      <w:r w:rsidRPr="009A27ED">
        <w:rPr>
          <w:rFonts w:ascii="Times New Roman" w:eastAsia="Times New Roman" w:hAnsi="Times New Roman"/>
          <w:sz w:val="24"/>
          <w:szCs w:val="22"/>
          <w:lang w:eastAsia="es-ES"/>
        </w:rPr>
        <w:t xml:space="preserve">contempladas en cada proyecto o programa. </w:t>
      </w:r>
      <w:r w:rsidR="00030AA4" w:rsidRPr="009A27ED">
        <w:rPr>
          <w:rFonts w:ascii="Times New Roman" w:eastAsia="Times New Roman" w:hAnsi="Times New Roman"/>
          <w:sz w:val="24"/>
          <w:szCs w:val="22"/>
          <w:lang w:eastAsia="es-ES"/>
        </w:rPr>
        <w:t xml:space="preserve"> </w:t>
      </w:r>
    </w:p>
    <w:p w14:paraId="09DFC655" w14:textId="56BBEF62" w:rsidR="00947670" w:rsidRPr="009A27ED" w:rsidRDefault="00947670" w:rsidP="005B6485">
      <w:pPr>
        <w:spacing w:before="120" w:after="0" w:line="360" w:lineRule="auto"/>
        <w:rPr>
          <w:szCs w:val="22"/>
          <w:lang w:eastAsia="es-ES"/>
        </w:rPr>
      </w:pPr>
      <w:r w:rsidRPr="009A27ED">
        <w:rPr>
          <w:rFonts w:ascii="Times New Roman" w:eastAsia="Times New Roman" w:hAnsi="Times New Roman"/>
          <w:sz w:val="24"/>
          <w:szCs w:val="22"/>
          <w:lang w:eastAsia="es-ES"/>
        </w:rPr>
        <w:t xml:space="preserve">A continuación, se presentan los requerimientos </w:t>
      </w:r>
      <w:r w:rsidR="00B509EA" w:rsidRPr="009A27ED">
        <w:rPr>
          <w:rFonts w:ascii="Times New Roman" w:eastAsia="Times New Roman" w:hAnsi="Times New Roman"/>
          <w:sz w:val="24"/>
          <w:szCs w:val="22"/>
          <w:lang w:eastAsia="es-ES"/>
        </w:rPr>
        <w:t>específicos</w:t>
      </w:r>
      <w:r w:rsidRPr="009A27ED">
        <w:rPr>
          <w:rFonts w:ascii="Times New Roman" w:eastAsia="Times New Roman" w:hAnsi="Times New Roman"/>
          <w:sz w:val="24"/>
          <w:szCs w:val="22"/>
          <w:lang w:eastAsia="es-ES"/>
        </w:rPr>
        <w:t xml:space="preserve"> por tipo de actividad REDD+. </w:t>
      </w:r>
    </w:p>
    <w:p w14:paraId="04B43E84" w14:textId="77777777" w:rsidR="0007781E" w:rsidRPr="009A27ED" w:rsidRDefault="0007781E" w:rsidP="0007781E">
      <w:pPr>
        <w:pStyle w:val="Descripcin"/>
        <w:keepNext/>
        <w:spacing w:line="360" w:lineRule="auto"/>
      </w:pPr>
    </w:p>
    <w:p w14:paraId="1CDF688C" w14:textId="002B3093" w:rsidR="0007781E" w:rsidRPr="009A27ED" w:rsidRDefault="0007781E" w:rsidP="0007781E">
      <w:pPr>
        <w:pStyle w:val="Descripcin"/>
        <w:keepNext/>
        <w:spacing w:line="360" w:lineRule="auto"/>
      </w:pPr>
      <w:bookmarkStart w:id="299" w:name="_Toc111887455"/>
      <w:r w:rsidRPr="009A27ED">
        <w:rPr>
          <w:rFonts w:ascii="Times New Roman" w:eastAsia="Times New Roman" w:hAnsi="Times New Roman"/>
          <w:sz w:val="24"/>
        </w:rPr>
        <w:t xml:space="preserve">Cuadro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Cuadro \* ARABIC </w:instrText>
      </w:r>
      <w:r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45</w:t>
      </w:r>
      <w:r w:rsidRPr="009A27ED">
        <w:rPr>
          <w:rFonts w:ascii="Times New Roman" w:eastAsia="Times New Roman" w:hAnsi="Times New Roman"/>
          <w:sz w:val="24"/>
        </w:rPr>
        <w:fldChar w:fldCharType="end"/>
      </w:r>
      <w:r w:rsidRPr="009A27ED">
        <w:rPr>
          <w:rFonts w:ascii="Times New Roman" w:eastAsia="Times New Roman" w:hAnsi="Times New Roman"/>
          <w:sz w:val="24"/>
        </w:rPr>
        <w:t>. Criterios de selección específicos para Manejo Forestal Sostenible</w:t>
      </w:r>
      <w:bookmarkEnd w:id="299"/>
    </w:p>
    <w:tbl>
      <w:tblPr>
        <w:tblStyle w:val="InduforTable"/>
        <w:tblW w:w="90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60"/>
      </w:tblGrid>
      <w:tr w:rsidR="00030AA4" w:rsidRPr="009A27ED" w14:paraId="7E400A05" w14:textId="77777777" w:rsidTr="00B41F5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0" w:type="dxa"/>
            <w:shd w:val="clear" w:color="auto" w:fill="0070C0"/>
          </w:tcPr>
          <w:p w14:paraId="4786177E" w14:textId="77777777" w:rsidR="00030AA4" w:rsidRPr="009A27ED" w:rsidRDefault="00030AA4" w:rsidP="00B41F56">
            <w:pPr>
              <w:pStyle w:val="Prrafodelista"/>
              <w:spacing w:after="0" w:line="240" w:lineRule="auto"/>
              <w:ind w:left="720"/>
              <w:rPr>
                <w:i/>
                <w:color w:val="000000"/>
                <w:szCs w:val="22"/>
                <w:lang w:val="es-ES"/>
              </w:rPr>
            </w:pPr>
            <w:r w:rsidRPr="009A27ED">
              <w:rPr>
                <w:i/>
                <w:szCs w:val="22"/>
                <w:lang w:val="es-ES"/>
              </w:rPr>
              <w:t>1. Manejo Forestal Sostenible (MFS)</w:t>
            </w:r>
          </w:p>
        </w:tc>
      </w:tr>
      <w:tr w:rsidR="00030AA4" w:rsidRPr="009A27ED" w14:paraId="44D05D63" w14:textId="77777777" w:rsidTr="00B41F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0" w:type="dxa"/>
            <w:shd w:val="clear" w:color="auto" w:fill="FFFFFF" w:themeFill="background1"/>
          </w:tcPr>
          <w:p w14:paraId="58C5B9A9" w14:textId="77777777" w:rsidR="00030AA4" w:rsidRPr="009A27ED" w:rsidRDefault="00030AA4" w:rsidP="00B41F56">
            <w:pPr>
              <w:pStyle w:val="Textocomentario"/>
              <w:ind w:left="142" w:right="129"/>
              <w:rPr>
                <w:rFonts w:asciiTheme="minorHAnsi" w:hAnsiTheme="minorHAnsi" w:cstheme="minorHAnsi"/>
                <w:color w:val="000000"/>
                <w:sz w:val="22"/>
                <w:szCs w:val="22"/>
                <w:lang w:val="es-ES"/>
              </w:rPr>
            </w:pPr>
            <w:r w:rsidRPr="009A27ED">
              <w:rPr>
                <w:rFonts w:asciiTheme="minorHAnsi" w:hAnsiTheme="minorHAnsi" w:cstheme="minorHAnsi"/>
                <w:sz w:val="22"/>
                <w:szCs w:val="22"/>
                <w:lang w:val="es-ES"/>
              </w:rPr>
              <w:t>Como prerrequisito estas operaciones deben cumplir con la normativa vigente nacional sobre planes de manejo forestal y regulaciones catastrales.</w:t>
            </w:r>
          </w:p>
          <w:p w14:paraId="3470726B" w14:textId="2CA83AD7" w:rsidR="00030AA4" w:rsidRPr="009A27ED" w:rsidRDefault="00030AA4" w:rsidP="00B41F56">
            <w:pPr>
              <w:pStyle w:val="Textocomentario"/>
              <w:ind w:left="142" w:right="129"/>
              <w:rPr>
                <w:rFonts w:asciiTheme="minorHAnsi" w:hAnsiTheme="minorHAnsi" w:cstheme="minorHAnsi"/>
                <w:sz w:val="22"/>
                <w:szCs w:val="22"/>
                <w:lang w:val="es-ES"/>
              </w:rPr>
            </w:pPr>
            <w:r w:rsidRPr="009A27ED">
              <w:rPr>
                <w:rFonts w:asciiTheme="minorHAnsi" w:hAnsiTheme="minorHAnsi" w:cstheme="minorHAnsi"/>
                <w:color w:val="000000"/>
                <w:sz w:val="22"/>
                <w:szCs w:val="22"/>
                <w:lang w:val="es-ES"/>
              </w:rPr>
              <w:t xml:space="preserve">Carta del titular del aprovechamiento en el que declare bajo declaración jurada de decir verdad que las actividades propuestas están consideradas dentro del </w:t>
            </w:r>
            <w:r w:rsidRPr="009A27ED">
              <w:rPr>
                <w:rFonts w:asciiTheme="minorHAnsi" w:hAnsiTheme="minorHAnsi" w:cstheme="minorHAnsi"/>
                <w:sz w:val="22"/>
                <w:szCs w:val="22"/>
                <w:lang w:val="es-ES"/>
              </w:rPr>
              <w:t>Plan de Manejo Sostenible en Bosque</w:t>
            </w:r>
            <w:r w:rsidR="0080772D" w:rsidRPr="009A27ED">
              <w:rPr>
                <w:rFonts w:asciiTheme="minorHAnsi" w:hAnsiTheme="minorHAnsi" w:cstheme="minorHAnsi"/>
                <w:sz w:val="22"/>
                <w:szCs w:val="22"/>
                <w:lang w:val="es-ES"/>
              </w:rPr>
              <w:t>.</w:t>
            </w:r>
            <w:r w:rsidRPr="009A27ED">
              <w:rPr>
                <w:rFonts w:asciiTheme="minorHAnsi" w:hAnsiTheme="minorHAnsi" w:cstheme="minorHAnsi"/>
                <w:sz w:val="22"/>
                <w:szCs w:val="22"/>
                <w:lang w:val="es-ES"/>
              </w:rPr>
              <w:t xml:space="preserve"> </w:t>
            </w:r>
          </w:p>
          <w:p w14:paraId="58E24D88" w14:textId="6E06F6C7" w:rsidR="00030AA4" w:rsidRPr="009A27ED" w:rsidRDefault="00030AA4" w:rsidP="00B41F56">
            <w:pPr>
              <w:pStyle w:val="Textocomentario"/>
              <w:ind w:left="142" w:right="129"/>
              <w:rPr>
                <w:rFonts w:asciiTheme="minorHAnsi" w:hAnsiTheme="minorHAnsi" w:cstheme="minorHAnsi"/>
                <w:sz w:val="22"/>
                <w:szCs w:val="22"/>
                <w:lang w:val="es-ES"/>
              </w:rPr>
            </w:pPr>
            <w:r w:rsidRPr="009A27ED">
              <w:rPr>
                <w:rFonts w:asciiTheme="minorHAnsi" w:hAnsiTheme="minorHAnsi" w:cstheme="minorHAnsi"/>
                <w:sz w:val="22"/>
                <w:szCs w:val="22"/>
                <w:lang w:val="es-ES"/>
              </w:rPr>
              <w:t xml:space="preserve">Presentar Autorización del </w:t>
            </w:r>
            <w:r w:rsidR="00C551DB" w:rsidRPr="009A27ED">
              <w:rPr>
                <w:rFonts w:asciiTheme="minorHAnsi" w:hAnsiTheme="minorHAnsi" w:cstheme="minorHAnsi"/>
                <w:sz w:val="22"/>
                <w:szCs w:val="22"/>
                <w:lang w:val="es-ES"/>
              </w:rPr>
              <w:t xml:space="preserve">Ministerio Medio Ambiente </w:t>
            </w:r>
            <w:r w:rsidRPr="009A27ED">
              <w:rPr>
                <w:rFonts w:asciiTheme="minorHAnsi" w:hAnsiTheme="minorHAnsi" w:cstheme="minorHAnsi"/>
                <w:sz w:val="22"/>
                <w:szCs w:val="22"/>
                <w:lang w:val="es-ES"/>
              </w:rPr>
              <w:t>del Plan de Manejo Sostenible en Bosque</w:t>
            </w:r>
            <w:r w:rsidR="0080772D" w:rsidRPr="009A27ED">
              <w:rPr>
                <w:rFonts w:asciiTheme="minorHAnsi" w:hAnsiTheme="minorHAnsi" w:cstheme="minorHAnsi"/>
                <w:sz w:val="22"/>
                <w:szCs w:val="22"/>
                <w:lang w:val="es-ES"/>
              </w:rPr>
              <w:t>.</w:t>
            </w:r>
            <w:r w:rsidRPr="009A27ED">
              <w:rPr>
                <w:rFonts w:asciiTheme="minorHAnsi" w:hAnsiTheme="minorHAnsi" w:cstheme="minorHAnsi"/>
                <w:sz w:val="22"/>
                <w:szCs w:val="22"/>
                <w:lang w:val="es-ES"/>
              </w:rPr>
              <w:t xml:space="preserve"> </w:t>
            </w:r>
          </w:p>
          <w:p w14:paraId="7CC5525D" w14:textId="77777777" w:rsidR="00030AA4" w:rsidRPr="009A27ED" w:rsidRDefault="00030AA4" w:rsidP="00B41F56">
            <w:pPr>
              <w:pStyle w:val="Textocomentario"/>
              <w:ind w:left="142" w:right="129"/>
              <w:rPr>
                <w:rFonts w:asciiTheme="minorHAnsi" w:hAnsiTheme="minorHAnsi" w:cstheme="minorHAnsi"/>
                <w:sz w:val="22"/>
                <w:szCs w:val="22"/>
                <w:lang w:val="es-ES"/>
              </w:rPr>
            </w:pPr>
            <w:r w:rsidRPr="009A27ED">
              <w:rPr>
                <w:rFonts w:asciiTheme="minorHAnsi" w:hAnsiTheme="minorHAnsi" w:cstheme="minorHAnsi"/>
                <w:b/>
                <w:sz w:val="22"/>
                <w:szCs w:val="22"/>
                <w:lang w:val="es-ES"/>
              </w:rPr>
              <w:t>Permiso Ambiental</w:t>
            </w:r>
            <w:r w:rsidRPr="009A27ED">
              <w:rPr>
                <w:rFonts w:asciiTheme="minorHAnsi" w:hAnsiTheme="minorHAnsi" w:cstheme="minorHAnsi"/>
                <w:sz w:val="22"/>
                <w:szCs w:val="22"/>
                <w:lang w:val="es-ES"/>
              </w:rPr>
              <w:t xml:space="preserve"> (Categoría B). Requiere la Elaboración de una Declaración de Impacto Ambiental cuando se realiza en superficie mayor a 200 hectáreas.</w:t>
            </w:r>
          </w:p>
          <w:p w14:paraId="38F5B292" w14:textId="1C3610BA" w:rsidR="00030AA4" w:rsidRPr="009A27ED" w:rsidRDefault="00030AA4" w:rsidP="00B41F56">
            <w:pPr>
              <w:pStyle w:val="Textocomentario"/>
              <w:ind w:left="142" w:right="129"/>
              <w:rPr>
                <w:rFonts w:asciiTheme="minorHAnsi" w:hAnsiTheme="minorHAnsi" w:cstheme="minorHAnsi"/>
                <w:sz w:val="22"/>
                <w:szCs w:val="22"/>
                <w:lang w:val="es-ES"/>
              </w:rPr>
            </w:pPr>
            <w:r w:rsidRPr="009A27ED">
              <w:rPr>
                <w:rFonts w:asciiTheme="minorHAnsi" w:hAnsiTheme="minorHAnsi" w:cstheme="minorHAnsi"/>
                <w:b/>
                <w:sz w:val="22"/>
                <w:szCs w:val="22"/>
                <w:lang w:val="es-ES"/>
              </w:rPr>
              <w:t xml:space="preserve">Constancia Ambiental </w:t>
            </w:r>
            <w:r w:rsidRPr="009A27ED">
              <w:rPr>
                <w:rFonts w:asciiTheme="minorHAnsi" w:hAnsiTheme="minorHAnsi" w:cstheme="minorHAnsi"/>
                <w:sz w:val="22"/>
                <w:szCs w:val="22"/>
                <w:lang w:val="es-ES"/>
              </w:rPr>
              <w:t>(Categoría C). Requiere solo el cumplimiento de la normativa ambiental vigente cuando se realiza en superficie de hasta 200 hectáreas.</w:t>
            </w:r>
          </w:p>
        </w:tc>
      </w:tr>
      <w:tr w:rsidR="00030AA4" w:rsidRPr="009A27ED" w14:paraId="64B2A7B7" w14:textId="77777777" w:rsidTr="00B41F56">
        <w:trPr>
          <w:trHeight w:val="503"/>
        </w:trPr>
        <w:tc>
          <w:tcPr>
            <w:cnfStyle w:val="001000000000" w:firstRow="0" w:lastRow="0" w:firstColumn="1" w:lastColumn="0" w:oddVBand="0" w:evenVBand="0" w:oddHBand="0" w:evenHBand="0" w:firstRowFirstColumn="0" w:firstRowLastColumn="0" w:lastRowFirstColumn="0" w:lastRowLastColumn="0"/>
            <w:tcW w:w="9060" w:type="dxa"/>
            <w:shd w:val="clear" w:color="auto" w:fill="FFFFFF" w:themeFill="background1"/>
          </w:tcPr>
          <w:p w14:paraId="4D4B8178" w14:textId="77777777" w:rsidR="00030AA4" w:rsidRPr="009A27ED" w:rsidRDefault="00030AA4" w:rsidP="00C97A18">
            <w:pPr>
              <w:pStyle w:val="Textocomentario"/>
              <w:ind w:left="142" w:right="129"/>
              <w:rPr>
                <w:rFonts w:asciiTheme="minorHAnsi" w:hAnsiTheme="minorHAnsi"/>
                <w:sz w:val="22"/>
                <w:szCs w:val="22"/>
              </w:rPr>
            </w:pPr>
            <w:r w:rsidRPr="009A27ED">
              <w:rPr>
                <w:rFonts w:asciiTheme="minorHAnsi" w:hAnsiTheme="minorHAnsi" w:cstheme="minorHAnsi"/>
                <w:sz w:val="22"/>
                <w:szCs w:val="22"/>
                <w:lang w:val="es-ES"/>
              </w:rPr>
              <w:t>Copia del oficio de autorización o en su caso autorización de las modificaciones del Plan de Manejo Sostenible en Bosque de forma impresa y digital en formato PDF</w:t>
            </w:r>
          </w:p>
        </w:tc>
      </w:tr>
      <w:tr w:rsidR="00030AA4" w:rsidRPr="009A27ED" w14:paraId="56EDA2C5" w14:textId="77777777" w:rsidTr="00B41F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0" w:type="dxa"/>
            <w:shd w:val="clear" w:color="auto" w:fill="FFFFFF" w:themeFill="background1"/>
          </w:tcPr>
          <w:p w14:paraId="065A72AA" w14:textId="77777777" w:rsidR="00030AA4" w:rsidRPr="009A27ED" w:rsidRDefault="00030AA4" w:rsidP="00C97A18">
            <w:pPr>
              <w:pStyle w:val="Textocomentario"/>
              <w:ind w:left="142" w:right="129"/>
              <w:rPr>
                <w:rFonts w:asciiTheme="minorHAnsi" w:hAnsiTheme="minorHAnsi"/>
                <w:sz w:val="22"/>
                <w:szCs w:val="22"/>
              </w:rPr>
            </w:pPr>
            <w:r w:rsidRPr="009A27ED">
              <w:rPr>
                <w:rFonts w:asciiTheme="minorHAnsi" w:hAnsiTheme="minorHAnsi" w:cstheme="minorHAnsi"/>
                <w:sz w:val="22"/>
                <w:szCs w:val="22"/>
                <w:lang w:val="es-ES"/>
              </w:rPr>
              <w:t>Archivo electrónico del Plan de Manejo Sostenible en Bosque autorizado y vigente</w:t>
            </w:r>
          </w:p>
        </w:tc>
      </w:tr>
      <w:tr w:rsidR="00030AA4" w:rsidRPr="009A27ED" w14:paraId="19544F13" w14:textId="77777777" w:rsidTr="00B41F56">
        <w:tc>
          <w:tcPr>
            <w:cnfStyle w:val="001000000000" w:firstRow="0" w:lastRow="0" w:firstColumn="1" w:lastColumn="0" w:oddVBand="0" w:evenVBand="0" w:oddHBand="0" w:evenHBand="0" w:firstRowFirstColumn="0" w:firstRowLastColumn="0" w:lastRowFirstColumn="0" w:lastRowLastColumn="0"/>
            <w:tcW w:w="9060" w:type="dxa"/>
            <w:shd w:val="clear" w:color="auto" w:fill="FFFFFF" w:themeFill="background1"/>
          </w:tcPr>
          <w:p w14:paraId="57274A25" w14:textId="77777777" w:rsidR="00030AA4" w:rsidRPr="009A27ED" w:rsidRDefault="00030AA4" w:rsidP="00C97A18">
            <w:pPr>
              <w:pStyle w:val="Textocomentario"/>
              <w:ind w:left="142" w:right="129"/>
              <w:rPr>
                <w:rFonts w:asciiTheme="minorHAnsi" w:hAnsiTheme="minorHAnsi"/>
                <w:sz w:val="22"/>
                <w:szCs w:val="22"/>
              </w:rPr>
            </w:pPr>
            <w:r w:rsidRPr="009A27ED">
              <w:rPr>
                <w:rFonts w:asciiTheme="minorHAnsi" w:hAnsiTheme="minorHAnsi" w:cstheme="minorHAnsi"/>
                <w:sz w:val="22"/>
                <w:szCs w:val="22"/>
                <w:lang w:val="es-ES"/>
              </w:rPr>
              <w:t>Carta de entrega y archivo electrónico del informe de ejecución, desarrollo y cumplimiento del Plan de Manejo Sostenible en Bosque correspondiente a la anualidad inmediata anterior ejercida (SÓLO APLICA PARA PROYECTOS EN OPERACIÓN).</w:t>
            </w:r>
          </w:p>
        </w:tc>
      </w:tr>
    </w:tbl>
    <w:p w14:paraId="5F72E283" w14:textId="6228C4AE" w:rsidR="00952737" w:rsidRPr="009A27ED" w:rsidRDefault="00952737" w:rsidP="00102FF5">
      <w:pPr>
        <w:pStyle w:val="Descripcin"/>
        <w:spacing w:line="360" w:lineRule="auto"/>
        <w:rPr>
          <w:color w:val="000000" w:themeColor="text1"/>
          <w:sz w:val="20"/>
        </w:rPr>
      </w:pPr>
    </w:p>
    <w:p w14:paraId="67A11486" w14:textId="70D30EF2" w:rsidR="00827E46" w:rsidRPr="009A27ED" w:rsidRDefault="00827E46" w:rsidP="00827E46">
      <w:pPr>
        <w:pStyle w:val="Descripcin"/>
        <w:keepNext/>
        <w:spacing w:line="360" w:lineRule="auto"/>
      </w:pPr>
      <w:bookmarkStart w:id="300" w:name="_Toc111887456"/>
      <w:r w:rsidRPr="009A27ED">
        <w:rPr>
          <w:rFonts w:ascii="Times New Roman" w:eastAsia="Times New Roman" w:hAnsi="Times New Roman"/>
          <w:sz w:val="24"/>
        </w:rPr>
        <w:t xml:space="preserve">Cuadro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Cuadro \* ARABIC </w:instrText>
      </w:r>
      <w:r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46</w:t>
      </w:r>
      <w:r w:rsidRPr="009A27ED">
        <w:rPr>
          <w:rFonts w:ascii="Times New Roman" w:eastAsia="Times New Roman" w:hAnsi="Times New Roman"/>
          <w:sz w:val="24"/>
        </w:rPr>
        <w:fldChar w:fldCharType="end"/>
      </w:r>
      <w:r w:rsidRPr="009A27ED">
        <w:rPr>
          <w:rFonts w:ascii="Times New Roman" w:eastAsia="Times New Roman" w:hAnsi="Times New Roman"/>
          <w:sz w:val="24"/>
        </w:rPr>
        <w:t>. Criterios de selección específicos Reforestación en el marco de REDD+</w:t>
      </w:r>
      <w:bookmarkEnd w:id="300"/>
    </w:p>
    <w:tbl>
      <w:tblPr>
        <w:tblStyle w:val="InduforTable"/>
        <w:tblpPr w:leftFromText="141" w:rightFromText="141" w:vertAnchor="text" w:horzAnchor="margin" w:tblpY="289"/>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60"/>
      </w:tblGrid>
      <w:tr w:rsidR="00450EDB" w:rsidRPr="009A27ED" w14:paraId="16016C51" w14:textId="77777777" w:rsidTr="00B41F5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0" w:type="dxa"/>
            <w:shd w:val="clear" w:color="auto" w:fill="2E74B5" w:themeFill="accent1" w:themeFillShade="BF"/>
          </w:tcPr>
          <w:p w14:paraId="374CBD28" w14:textId="3067CE62" w:rsidR="00450EDB" w:rsidRPr="009A27ED" w:rsidRDefault="00450EDB" w:rsidP="00B41F56">
            <w:pPr>
              <w:pStyle w:val="Prrafodelista"/>
              <w:spacing w:after="120" w:line="240" w:lineRule="auto"/>
              <w:ind w:left="720"/>
              <w:rPr>
                <w:i/>
                <w:color w:val="000000"/>
                <w:szCs w:val="22"/>
                <w:lang w:val="es-ES"/>
              </w:rPr>
            </w:pPr>
            <w:r w:rsidRPr="009A27ED">
              <w:rPr>
                <w:i/>
                <w:szCs w:val="22"/>
                <w:lang w:val="es-ES"/>
              </w:rPr>
              <w:t xml:space="preserve">2.  Reforestación </w:t>
            </w:r>
          </w:p>
        </w:tc>
      </w:tr>
      <w:tr w:rsidR="00450EDB" w:rsidRPr="009A27ED" w14:paraId="2F6FBF92" w14:textId="77777777" w:rsidTr="00B41F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0" w:type="dxa"/>
            <w:shd w:val="clear" w:color="auto" w:fill="FFFFFF" w:themeFill="background1"/>
          </w:tcPr>
          <w:p w14:paraId="0F1D0831" w14:textId="1DADFA00" w:rsidR="00450EDB" w:rsidRPr="009A27ED" w:rsidRDefault="00450EDB" w:rsidP="00B41F56">
            <w:pPr>
              <w:pStyle w:val="Textocomentario"/>
              <w:ind w:left="142" w:right="129"/>
              <w:rPr>
                <w:rFonts w:asciiTheme="minorHAnsi" w:hAnsiTheme="minorHAnsi" w:cstheme="minorHAnsi"/>
                <w:sz w:val="22"/>
                <w:szCs w:val="22"/>
                <w:lang w:val="es-ES"/>
              </w:rPr>
            </w:pPr>
            <w:r w:rsidRPr="009A27ED">
              <w:rPr>
                <w:rFonts w:asciiTheme="minorHAnsi" w:hAnsiTheme="minorHAnsi" w:cstheme="minorHAnsi"/>
                <w:sz w:val="22"/>
                <w:szCs w:val="22"/>
                <w:lang w:val="es-ES"/>
              </w:rPr>
              <w:t xml:space="preserve">Aprobación del </w:t>
            </w:r>
            <w:r w:rsidR="00C551DB" w:rsidRPr="009A27ED">
              <w:rPr>
                <w:rFonts w:asciiTheme="minorHAnsi" w:hAnsiTheme="minorHAnsi" w:cstheme="minorHAnsi"/>
                <w:sz w:val="22"/>
                <w:szCs w:val="22"/>
                <w:lang w:val="es-ES"/>
              </w:rPr>
              <w:t>Ministerio Medio Ambiente</w:t>
            </w:r>
            <w:r w:rsidRPr="009A27ED">
              <w:rPr>
                <w:rFonts w:asciiTheme="minorHAnsi" w:hAnsiTheme="minorHAnsi" w:cstheme="minorHAnsi"/>
                <w:sz w:val="22"/>
                <w:szCs w:val="22"/>
                <w:lang w:val="es-ES"/>
              </w:rPr>
              <w:t xml:space="preserve"> a través del Viceministerio de Recursos Forestales para llevar a cabo acciones de reforestación y recuperación de áreas naturales.</w:t>
            </w:r>
          </w:p>
          <w:p w14:paraId="67CFF17A" w14:textId="77777777" w:rsidR="00450EDB" w:rsidRPr="009A27ED" w:rsidRDefault="00450EDB" w:rsidP="00B41F56">
            <w:pPr>
              <w:pStyle w:val="Textocomentario"/>
              <w:ind w:left="142" w:right="129"/>
              <w:rPr>
                <w:rFonts w:asciiTheme="minorHAnsi" w:hAnsiTheme="minorHAnsi" w:cstheme="minorHAnsi"/>
                <w:sz w:val="22"/>
                <w:szCs w:val="22"/>
                <w:lang w:val="es-ES"/>
              </w:rPr>
            </w:pPr>
            <w:r w:rsidRPr="009A27ED">
              <w:rPr>
                <w:rFonts w:asciiTheme="minorHAnsi" w:hAnsiTheme="minorHAnsi" w:cstheme="minorHAnsi"/>
                <w:sz w:val="22"/>
                <w:szCs w:val="22"/>
                <w:lang w:val="es-ES"/>
              </w:rPr>
              <w:t xml:space="preserve">(Las unidades o zonas de reforestación operan bajo la administración y responsabilidad del Ministerio de Medio Ambiente y Recursos Naturales a través de las Direcciones Provinciales de Medio Ambiente y Recursos Naturales, responsables de los trabajos operativos). </w:t>
            </w:r>
          </w:p>
        </w:tc>
      </w:tr>
      <w:tr w:rsidR="00450EDB" w:rsidRPr="009A27ED" w14:paraId="21474BCF" w14:textId="77777777" w:rsidTr="00B41F56">
        <w:tc>
          <w:tcPr>
            <w:cnfStyle w:val="001000000000" w:firstRow="0" w:lastRow="0" w:firstColumn="1" w:lastColumn="0" w:oddVBand="0" w:evenVBand="0" w:oddHBand="0" w:evenHBand="0" w:firstRowFirstColumn="0" w:firstRowLastColumn="0" w:lastRowFirstColumn="0" w:lastRowLastColumn="0"/>
            <w:tcW w:w="9060" w:type="dxa"/>
            <w:shd w:val="clear" w:color="auto" w:fill="FFFFFF" w:themeFill="background1"/>
          </w:tcPr>
          <w:p w14:paraId="5BA9EF1E" w14:textId="77777777" w:rsidR="00450EDB" w:rsidRPr="009A27ED" w:rsidRDefault="00450EDB" w:rsidP="00B41F56">
            <w:pPr>
              <w:pStyle w:val="Textocomentario"/>
              <w:ind w:left="142" w:right="129"/>
              <w:rPr>
                <w:rFonts w:asciiTheme="minorHAnsi" w:hAnsiTheme="minorHAnsi" w:cstheme="minorHAnsi"/>
                <w:sz w:val="22"/>
                <w:szCs w:val="22"/>
                <w:lang w:val="es-ES"/>
              </w:rPr>
            </w:pPr>
            <w:r w:rsidRPr="009A27ED">
              <w:rPr>
                <w:rFonts w:asciiTheme="minorHAnsi" w:hAnsiTheme="minorHAnsi" w:cstheme="minorHAnsi"/>
                <w:sz w:val="22"/>
                <w:szCs w:val="22"/>
                <w:lang w:val="es-ES"/>
              </w:rPr>
              <w:t>Demostración de la procedencia de la semilla o plántulas libre de plagas.</w:t>
            </w:r>
          </w:p>
        </w:tc>
      </w:tr>
      <w:tr w:rsidR="00450EDB" w:rsidRPr="009A27ED" w14:paraId="0319D514" w14:textId="77777777" w:rsidTr="00B41F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0" w:type="dxa"/>
            <w:shd w:val="clear" w:color="auto" w:fill="FFFFFF" w:themeFill="background1"/>
          </w:tcPr>
          <w:p w14:paraId="32BC7679" w14:textId="77777777" w:rsidR="00450EDB" w:rsidRPr="009A27ED" w:rsidRDefault="00450EDB" w:rsidP="00B41F56">
            <w:pPr>
              <w:pStyle w:val="Textocomentario"/>
              <w:ind w:left="142" w:right="129"/>
              <w:rPr>
                <w:rFonts w:asciiTheme="minorHAnsi" w:hAnsiTheme="minorHAnsi" w:cstheme="minorHAnsi"/>
                <w:sz w:val="22"/>
                <w:szCs w:val="22"/>
                <w:lang w:val="es-ES"/>
              </w:rPr>
            </w:pPr>
            <w:r w:rsidRPr="009A27ED">
              <w:rPr>
                <w:rFonts w:asciiTheme="minorHAnsi" w:hAnsiTheme="minorHAnsi" w:cstheme="minorHAnsi"/>
                <w:b/>
                <w:sz w:val="22"/>
                <w:szCs w:val="22"/>
                <w:lang w:val="es-ES"/>
              </w:rPr>
              <w:t>Presentar un plan de reforestación</w:t>
            </w:r>
            <w:r w:rsidRPr="009A27ED">
              <w:rPr>
                <w:rFonts w:asciiTheme="minorHAnsi" w:hAnsiTheme="minorHAnsi" w:cstheme="minorHAnsi"/>
                <w:sz w:val="22"/>
                <w:szCs w:val="22"/>
                <w:lang w:val="es-ES"/>
              </w:rPr>
              <w:t xml:space="preserve"> que contenga: Objetivos, métodos de producción de plántula, siembra, establecimiento y mantenimiento de la plantación y métodos de control de plagas, control </w:t>
            </w:r>
            <w:r w:rsidRPr="009A27ED">
              <w:rPr>
                <w:rFonts w:asciiTheme="minorHAnsi" w:hAnsiTheme="minorHAnsi" w:cstheme="minorHAnsi"/>
                <w:sz w:val="22"/>
                <w:szCs w:val="22"/>
                <w:lang w:val="es-ES"/>
              </w:rPr>
              <w:lastRenderedPageBreak/>
              <w:t xml:space="preserve">de incendios, y el equipo de seguridad necesario para las actividades, manejo de residuos, entre otros </w:t>
            </w:r>
          </w:p>
        </w:tc>
      </w:tr>
      <w:tr w:rsidR="00450EDB" w:rsidRPr="009A27ED" w14:paraId="5B3236D0" w14:textId="77777777" w:rsidTr="00B41F56">
        <w:tc>
          <w:tcPr>
            <w:cnfStyle w:val="001000000000" w:firstRow="0" w:lastRow="0" w:firstColumn="1" w:lastColumn="0" w:oddVBand="0" w:evenVBand="0" w:oddHBand="0" w:evenHBand="0" w:firstRowFirstColumn="0" w:firstRowLastColumn="0" w:lastRowFirstColumn="0" w:lastRowLastColumn="0"/>
            <w:tcW w:w="9060" w:type="dxa"/>
            <w:shd w:val="clear" w:color="auto" w:fill="FFFFFF" w:themeFill="background1"/>
          </w:tcPr>
          <w:p w14:paraId="32CC1AF0" w14:textId="77777777" w:rsidR="00450EDB" w:rsidRPr="009A27ED" w:rsidRDefault="00450EDB" w:rsidP="00B41F56">
            <w:pPr>
              <w:pStyle w:val="Textocomentario"/>
              <w:ind w:left="142" w:right="129"/>
              <w:rPr>
                <w:rFonts w:asciiTheme="minorHAnsi" w:hAnsiTheme="minorHAnsi" w:cstheme="minorHAnsi"/>
                <w:sz w:val="22"/>
                <w:szCs w:val="22"/>
                <w:lang w:val="es-ES"/>
              </w:rPr>
            </w:pPr>
            <w:r w:rsidRPr="009A27ED">
              <w:rPr>
                <w:rFonts w:asciiTheme="minorHAnsi" w:hAnsiTheme="minorHAnsi" w:cstheme="minorHAnsi"/>
                <w:sz w:val="22"/>
                <w:szCs w:val="22"/>
                <w:lang w:val="es-ES"/>
              </w:rPr>
              <w:t>Declaración sobre los asentamientos humanos del área a intervenir (si existen personas asentadas o haciendo uso del área a intervenir, describir cantidad de personas, actividad y dependencia del recurso). Informar si la actividad implica el desplazamiento de las actividades o las personas o algún tipo de restricción al uso.</w:t>
            </w:r>
          </w:p>
        </w:tc>
      </w:tr>
    </w:tbl>
    <w:p w14:paraId="153A7BE6" w14:textId="7143C198" w:rsidR="005419E8" w:rsidRPr="009A27ED" w:rsidRDefault="005419E8" w:rsidP="001E165D">
      <w:pPr>
        <w:spacing w:line="360" w:lineRule="auto"/>
      </w:pPr>
    </w:p>
    <w:p w14:paraId="4F66C6C0" w14:textId="4B9E4BD3" w:rsidR="005419E8" w:rsidRPr="009A27ED" w:rsidRDefault="005419E8" w:rsidP="001E165D">
      <w:pPr>
        <w:spacing w:line="360" w:lineRule="auto"/>
      </w:pPr>
    </w:p>
    <w:p w14:paraId="46C88793" w14:textId="77777777" w:rsidR="005419E8" w:rsidRPr="009A27ED" w:rsidRDefault="005419E8" w:rsidP="001E165D">
      <w:pPr>
        <w:spacing w:line="360" w:lineRule="auto"/>
      </w:pPr>
    </w:p>
    <w:p w14:paraId="07EB1EF0" w14:textId="40F5F245" w:rsidR="00827E46" w:rsidRPr="009A27ED" w:rsidRDefault="00827E46" w:rsidP="00827E46">
      <w:pPr>
        <w:pStyle w:val="Descripcin"/>
        <w:keepNext/>
        <w:spacing w:line="360" w:lineRule="auto"/>
      </w:pPr>
      <w:bookmarkStart w:id="301" w:name="_Toc111887457"/>
      <w:r w:rsidRPr="009A27ED">
        <w:rPr>
          <w:rFonts w:ascii="Times New Roman" w:eastAsia="Times New Roman" w:hAnsi="Times New Roman"/>
          <w:sz w:val="24"/>
        </w:rPr>
        <w:t xml:space="preserve">Cuadro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Cuadro \* ARABIC </w:instrText>
      </w:r>
      <w:r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47</w:t>
      </w:r>
      <w:r w:rsidRPr="009A27ED">
        <w:rPr>
          <w:rFonts w:ascii="Times New Roman" w:eastAsia="Times New Roman" w:hAnsi="Times New Roman"/>
          <w:sz w:val="24"/>
        </w:rPr>
        <w:fldChar w:fldCharType="end"/>
      </w:r>
      <w:r w:rsidRPr="009A27ED">
        <w:rPr>
          <w:rFonts w:ascii="Times New Roman" w:eastAsia="Times New Roman" w:hAnsi="Times New Roman"/>
          <w:sz w:val="24"/>
        </w:rPr>
        <w:t>. Criterios de Selección Sistemas agroforestales.</w:t>
      </w:r>
      <w:bookmarkEnd w:id="301"/>
    </w:p>
    <w:tbl>
      <w:tblPr>
        <w:tblStyle w:val="InduforTable"/>
        <w:tblW w:w="90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60"/>
      </w:tblGrid>
      <w:tr w:rsidR="00C24819" w:rsidRPr="009A27ED" w14:paraId="06B92A5D" w14:textId="77777777" w:rsidTr="00DA57A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0" w:type="dxa"/>
            <w:shd w:val="clear" w:color="auto" w:fill="0070C0"/>
          </w:tcPr>
          <w:p w14:paraId="24A91C8E" w14:textId="77777777" w:rsidR="00C24819" w:rsidRPr="009A27ED" w:rsidRDefault="00C24819" w:rsidP="00DA57A5">
            <w:pPr>
              <w:pStyle w:val="Prrafodelista"/>
              <w:spacing w:after="120" w:line="240" w:lineRule="auto"/>
              <w:ind w:left="720"/>
              <w:rPr>
                <w:i/>
                <w:color w:val="000000"/>
                <w:szCs w:val="22"/>
                <w:lang w:val="es-ES"/>
              </w:rPr>
            </w:pPr>
            <w:r w:rsidRPr="009A27ED">
              <w:rPr>
                <w:i/>
                <w:szCs w:val="22"/>
                <w:lang w:val="es-ES"/>
              </w:rPr>
              <w:t>3.  Sistemas agroforestales: (SAF Café, Cacao):</w:t>
            </w:r>
          </w:p>
        </w:tc>
      </w:tr>
      <w:tr w:rsidR="00450EDB" w:rsidRPr="009A27ED" w14:paraId="1DE85EB4" w14:textId="77777777" w:rsidTr="00B41F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0" w:type="dxa"/>
            <w:shd w:val="clear" w:color="auto" w:fill="FFFFFF" w:themeFill="background1"/>
          </w:tcPr>
          <w:p w14:paraId="38153BA0" w14:textId="4BFA6E5C" w:rsidR="00450EDB" w:rsidRPr="009A27ED" w:rsidRDefault="00450EDB" w:rsidP="00DA57A5">
            <w:pPr>
              <w:pStyle w:val="Textocomentario"/>
              <w:ind w:left="142" w:right="129"/>
              <w:rPr>
                <w:rFonts w:asciiTheme="minorHAnsi" w:hAnsiTheme="minorHAnsi" w:cstheme="minorHAnsi"/>
                <w:sz w:val="22"/>
                <w:szCs w:val="22"/>
                <w:lang w:val="es-ES"/>
              </w:rPr>
            </w:pPr>
            <w:r w:rsidRPr="009A27ED">
              <w:rPr>
                <w:rFonts w:asciiTheme="minorHAnsi" w:hAnsiTheme="minorHAnsi" w:cstheme="minorHAnsi"/>
                <w:sz w:val="22"/>
                <w:szCs w:val="22"/>
                <w:lang w:val="es-ES"/>
              </w:rPr>
              <w:t xml:space="preserve">Certificación de Plantación con Derecho a Corte (para los Proyectos Nuevos) expedida por el </w:t>
            </w:r>
            <w:r w:rsidR="00C551DB" w:rsidRPr="009A27ED">
              <w:rPr>
                <w:rFonts w:asciiTheme="minorHAnsi" w:hAnsiTheme="minorHAnsi" w:cstheme="minorHAnsi"/>
                <w:sz w:val="22"/>
                <w:szCs w:val="22"/>
                <w:lang w:val="es-ES"/>
              </w:rPr>
              <w:t xml:space="preserve">Ministerio Medio Ambiente </w:t>
            </w:r>
          </w:p>
          <w:p w14:paraId="219D47D6" w14:textId="6168AE04" w:rsidR="00450EDB" w:rsidRPr="009A27ED" w:rsidRDefault="00450EDB" w:rsidP="00DA57A5">
            <w:pPr>
              <w:pStyle w:val="Textocomentario"/>
              <w:ind w:left="142" w:right="129"/>
              <w:rPr>
                <w:rFonts w:asciiTheme="minorHAnsi" w:hAnsiTheme="minorHAnsi" w:cstheme="minorHAnsi"/>
                <w:sz w:val="22"/>
                <w:szCs w:val="22"/>
                <w:lang w:val="es-ES"/>
              </w:rPr>
            </w:pPr>
            <w:r w:rsidRPr="009A27ED">
              <w:rPr>
                <w:rFonts w:asciiTheme="minorHAnsi" w:hAnsiTheme="minorHAnsi" w:cstheme="minorHAnsi"/>
                <w:sz w:val="22"/>
                <w:szCs w:val="22"/>
                <w:lang w:val="es-ES"/>
              </w:rPr>
              <w:t xml:space="preserve">Permiso para corte, Control de Sombra y Aprovechamiento de Arboles (para Proyectos Existentes). expedida por el </w:t>
            </w:r>
            <w:r w:rsidR="00C551DB" w:rsidRPr="009A27ED">
              <w:rPr>
                <w:rFonts w:asciiTheme="minorHAnsi" w:hAnsiTheme="minorHAnsi" w:cstheme="minorHAnsi"/>
                <w:sz w:val="22"/>
                <w:szCs w:val="22"/>
                <w:lang w:val="es-ES"/>
              </w:rPr>
              <w:t>Ministerio Medio Ambiente</w:t>
            </w:r>
          </w:p>
          <w:p w14:paraId="29D9A6FF" w14:textId="07E8AD31" w:rsidR="00450EDB" w:rsidRPr="009A27ED" w:rsidRDefault="00450EDB" w:rsidP="00DA57A5">
            <w:pPr>
              <w:pStyle w:val="Textocomentario"/>
              <w:ind w:left="142" w:right="129"/>
              <w:rPr>
                <w:rFonts w:asciiTheme="minorHAnsi" w:hAnsiTheme="minorHAnsi" w:cstheme="minorHAnsi"/>
                <w:sz w:val="22"/>
                <w:szCs w:val="22"/>
                <w:lang w:val="es-ES"/>
              </w:rPr>
            </w:pPr>
            <w:r w:rsidRPr="009A27ED">
              <w:rPr>
                <w:rFonts w:asciiTheme="minorHAnsi" w:hAnsiTheme="minorHAnsi" w:cstheme="minorHAnsi"/>
                <w:sz w:val="22"/>
                <w:szCs w:val="22"/>
                <w:lang w:val="es-ES"/>
              </w:rPr>
              <w:t xml:space="preserve">Constancias Ambientales expedida por el </w:t>
            </w:r>
            <w:r w:rsidR="00C551DB" w:rsidRPr="009A27ED">
              <w:rPr>
                <w:rFonts w:asciiTheme="minorHAnsi" w:hAnsiTheme="minorHAnsi" w:cstheme="minorHAnsi"/>
                <w:sz w:val="22"/>
                <w:szCs w:val="22"/>
                <w:lang w:val="es-ES"/>
              </w:rPr>
              <w:t xml:space="preserve">Ministerio Medio Ambiente </w:t>
            </w:r>
            <w:r w:rsidRPr="009A27ED">
              <w:rPr>
                <w:rFonts w:asciiTheme="minorHAnsi" w:hAnsiTheme="minorHAnsi" w:cstheme="minorHAnsi"/>
                <w:sz w:val="22"/>
                <w:szCs w:val="22"/>
                <w:lang w:val="es-ES"/>
              </w:rPr>
              <w:t xml:space="preserve">para los proyectos categorizados por la ley 64-00 (Categoría C). </w:t>
            </w:r>
          </w:p>
        </w:tc>
      </w:tr>
      <w:tr w:rsidR="00450EDB" w:rsidRPr="009A27ED" w14:paraId="15F95498" w14:textId="77777777" w:rsidTr="00B41F56">
        <w:tc>
          <w:tcPr>
            <w:cnfStyle w:val="001000000000" w:firstRow="0" w:lastRow="0" w:firstColumn="1" w:lastColumn="0" w:oddVBand="0" w:evenVBand="0" w:oddHBand="0" w:evenHBand="0" w:firstRowFirstColumn="0" w:firstRowLastColumn="0" w:lastRowFirstColumn="0" w:lastRowLastColumn="0"/>
            <w:tcW w:w="9060" w:type="dxa"/>
            <w:shd w:val="clear" w:color="auto" w:fill="FFFFFF" w:themeFill="background1"/>
          </w:tcPr>
          <w:p w14:paraId="08E00A57" w14:textId="77777777" w:rsidR="00450EDB" w:rsidRPr="009A27ED" w:rsidRDefault="00450EDB" w:rsidP="00DA57A5">
            <w:pPr>
              <w:pStyle w:val="Textocomentario"/>
              <w:ind w:left="142" w:right="129"/>
              <w:rPr>
                <w:rFonts w:asciiTheme="minorHAnsi" w:hAnsiTheme="minorHAnsi" w:cstheme="minorHAnsi"/>
                <w:sz w:val="22"/>
                <w:szCs w:val="22"/>
                <w:lang w:val="es-ES"/>
              </w:rPr>
            </w:pPr>
            <w:r w:rsidRPr="009A27ED">
              <w:rPr>
                <w:rFonts w:asciiTheme="minorHAnsi" w:hAnsiTheme="minorHAnsi" w:cstheme="minorHAnsi"/>
                <w:sz w:val="22"/>
                <w:szCs w:val="22"/>
                <w:lang w:val="es-ES"/>
              </w:rPr>
              <w:t>Presentar un Plan de establecimiento del sistema agroforestal donde se incluya Objetivos, métodos de producción de plántula, siembra, establecimiento y mantenimiento del Sistema y métodos de control de plagas, control de incendios, equipo de seguridad necesario para las actividades, manejo de residuos, entre otros</w:t>
            </w:r>
          </w:p>
        </w:tc>
      </w:tr>
      <w:tr w:rsidR="00450EDB" w:rsidRPr="009A27ED" w14:paraId="22E7A2A0" w14:textId="77777777" w:rsidTr="00B41F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0" w:type="dxa"/>
            <w:shd w:val="clear" w:color="auto" w:fill="FFFFFF" w:themeFill="background1"/>
          </w:tcPr>
          <w:p w14:paraId="3CFBCCAB" w14:textId="77777777" w:rsidR="00450EDB" w:rsidRPr="009A27ED" w:rsidRDefault="00450EDB" w:rsidP="00450EDB">
            <w:pPr>
              <w:pStyle w:val="Textocomentario"/>
              <w:ind w:left="142" w:right="129"/>
              <w:rPr>
                <w:rFonts w:asciiTheme="minorHAnsi" w:hAnsiTheme="minorHAnsi" w:cstheme="minorHAnsi"/>
                <w:sz w:val="22"/>
                <w:szCs w:val="22"/>
                <w:lang w:val="es-ES"/>
              </w:rPr>
            </w:pPr>
            <w:r w:rsidRPr="009A27ED">
              <w:rPr>
                <w:rFonts w:asciiTheme="minorHAnsi" w:hAnsiTheme="minorHAnsi" w:cstheme="minorHAnsi"/>
                <w:sz w:val="22"/>
                <w:szCs w:val="22"/>
                <w:lang w:val="es-ES"/>
              </w:rPr>
              <w:t>La propuesta incluye buenas prácticas como actividades de mínima labranza y no empleo de prácticas de roza, tumba y quema; buen manejo de residuos y plaguicidas y el establecimiento de especies forestales arbóreas en la misma superficie</w:t>
            </w:r>
          </w:p>
        </w:tc>
      </w:tr>
    </w:tbl>
    <w:p w14:paraId="4E52C24D" w14:textId="42056CB1" w:rsidR="00952737" w:rsidRPr="009A27ED" w:rsidRDefault="00952737" w:rsidP="00450EDB">
      <w:pPr>
        <w:pStyle w:val="Descripcin"/>
        <w:spacing w:line="360" w:lineRule="auto"/>
        <w:rPr>
          <w:color w:val="000000" w:themeColor="text1"/>
          <w:sz w:val="20"/>
        </w:rPr>
      </w:pPr>
    </w:p>
    <w:p w14:paraId="2B569A2F" w14:textId="497334B0" w:rsidR="00C24819" w:rsidRPr="009A27ED" w:rsidRDefault="001E165D" w:rsidP="00450EDB">
      <w:pPr>
        <w:pStyle w:val="Descripcin"/>
        <w:spacing w:line="360" w:lineRule="auto"/>
        <w:rPr>
          <w:color w:val="000000" w:themeColor="text1"/>
          <w:sz w:val="24"/>
          <w:szCs w:val="22"/>
        </w:rPr>
      </w:pPr>
      <w:r w:rsidRPr="009A27ED">
        <w:rPr>
          <w:rFonts w:ascii="Times New Roman" w:eastAsia="Times New Roman" w:hAnsi="Times New Roman"/>
          <w:color w:val="000000" w:themeColor="text1"/>
          <w:sz w:val="24"/>
        </w:rPr>
        <w:t>Cuadro 48</w:t>
      </w:r>
    </w:p>
    <w:p w14:paraId="1B967F6E" w14:textId="1A4FED15" w:rsidR="00827E46" w:rsidRPr="009A27ED" w:rsidRDefault="00827E46" w:rsidP="00827E46">
      <w:pPr>
        <w:pStyle w:val="Descripcin"/>
        <w:keepNext/>
        <w:spacing w:line="360" w:lineRule="auto"/>
      </w:pPr>
      <w:bookmarkStart w:id="302" w:name="_Toc111887458"/>
      <w:r w:rsidRPr="009A27ED">
        <w:rPr>
          <w:rFonts w:ascii="Times New Roman" w:eastAsia="Times New Roman" w:hAnsi="Times New Roman"/>
          <w:sz w:val="24"/>
        </w:rPr>
        <w:t xml:space="preserve">Cuadro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Cuadro \* ARABIC </w:instrText>
      </w:r>
      <w:r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48</w:t>
      </w:r>
      <w:r w:rsidRPr="009A27ED">
        <w:rPr>
          <w:rFonts w:ascii="Times New Roman" w:eastAsia="Times New Roman" w:hAnsi="Times New Roman"/>
          <w:sz w:val="24"/>
        </w:rPr>
        <w:fldChar w:fldCharType="end"/>
      </w:r>
      <w:r w:rsidRPr="009A27ED">
        <w:rPr>
          <w:rFonts w:ascii="Times New Roman" w:eastAsia="Times New Roman" w:hAnsi="Times New Roman"/>
          <w:sz w:val="24"/>
        </w:rPr>
        <w:t>. Criterios de selección Sistemas silvopastoriles (Arborización en fincas ganaderas)</w:t>
      </w:r>
      <w:bookmarkEnd w:id="302"/>
    </w:p>
    <w:tbl>
      <w:tblPr>
        <w:tblStyle w:val="InduforTable"/>
        <w:tblW w:w="90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60"/>
      </w:tblGrid>
      <w:tr w:rsidR="00C24819" w:rsidRPr="009A27ED" w14:paraId="40FE4BAC" w14:textId="77777777" w:rsidTr="00DA57A5">
        <w:trPr>
          <w:cnfStyle w:val="100000000000" w:firstRow="1" w:lastRow="0" w:firstColumn="0" w:lastColumn="0" w:oddVBand="0" w:evenVBand="0" w:oddHBand="0" w:evenHBand="0" w:firstRowFirstColumn="0" w:firstRowLastColumn="0" w:lastRowFirstColumn="0" w:lastRowLastColumn="0"/>
          <w:cantSplit w:val="0"/>
          <w:tblHeader/>
        </w:trPr>
        <w:tc>
          <w:tcPr>
            <w:cnfStyle w:val="001000000000" w:firstRow="0" w:lastRow="0" w:firstColumn="1" w:lastColumn="0" w:oddVBand="0" w:evenVBand="0" w:oddHBand="0" w:evenHBand="0" w:firstRowFirstColumn="0" w:firstRowLastColumn="0" w:lastRowFirstColumn="0" w:lastRowLastColumn="0"/>
            <w:tcW w:w="9060" w:type="dxa"/>
            <w:shd w:val="clear" w:color="auto" w:fill="0070C0"/>
          </w:tcPr>
          <w:p w14:paraId="3465D08C" w14:textId="3F1BDBD2" w:rsidR="00C24819" w:rsidRPr="009A27ED" w:rsidRDefault="00C24819" w:rsidP="00DA57A5">
            <w:pPr>
              <w:ind w:left="720"/>
              <w:rPr>
                <w:i/>
                <w:szCs w:val="22"/>
                <w:lang w:val="es-GT"/>
              </w:rPr>
            </w:pPr>
            <w:r w:rsidRPr="009A27ED">
              <w:rPr>
                <w:i/>
                <w:szCs w:val="22"/>
              </w:rPr>
              <w:t xml:space="preserve">4. Sistemas </w:t>
            </w:r>
            <w:r w:rsidR="00434410" w:rsidRPr="009A27ED">
              <w:rPr>
                <w:i/>
                <w:szCs w:val="22"/>
              </w:rPr>
              <w:t xml:space="preserve">Silvopastoriles: </w:t>
            </w:r>
            <w:r w:rsidR="00827E46" w:rsidRPr="009A27ED">
              <w:rPr>
                <w:i/>
                <w:szCs w:val="22"/>
              </w:rPr>
              <w:t xml:space="preserve">(arborización en </w:t>
            </w:r>
            <w:r w:rsidR="00952737" w:rsidRPr="009A27ED">
              <w:rPr>
                <w:i/>
                <w:szCs w:val="22"/>
              </w:rPr>
              <w:t xml:space="preserve"> </w:t>
            </w:r>
            <w:r w:rsidR="00102FF5" w:rsidRPr="009A27ED">
              <w:rPr>
                <w:i/>
                <w:szCs w:val="22"/>
              </w:rPr>
              <w:t xml:space="preserve"> fincas ganaderas</w:t>
            </w:r>
            <w:r w:rsidR="00827E46" w:rsidRPr="009A27ED">
              <w:rPr>
                <w:i/>
                <w:szCs w:val="22"/>
                <w:lang w:val="es-GT"/>
              </w:rPr>
              <w:t>)</w:t>
            </w:r>
          </w:p>
        </w:tc>
      </w:tr>
      <w:tr w:rsidR="00450EDB" w:rsidRPr="009A27ED" w14:paraId="385AA1CE" w14:textId="77777777" w:rsidTr="00B41F56">
        <w:trPr>
          <w:cnfStyle w:val="000000100000" w:firstRow="0" w:lastRow="0" w:firstColumn="0" w:lastColumn="0" w:oddVBand="0" w:evenVBand="0" w:oddHBand="1" w:evenHBand="0" w:firstRowFirstColumn="0" w:firstRowLastColumn="0" w:lastRowFirstColumn="0" w:lastRowLastColumn="0"/>
          <w:cantSplit w:val="0"/>
        </w:trPr>
        <w:tc>
          <w:tcPr>
            <w:cnfStyle w:val="001000000000" w:firstRow="0" w:lastRow="0" w:firstColumn="1" w:lastColumn="0" w:oddVBand="0" w:evenVBand="0" w:oddHBand="0" w:evenHBand="0" w:firstRowFirstColumn="0" w:firstRowLastColumn="0" w:lastRowFirstColumn="0" w:lastRowLastColumn="0"/>
            <w:tcW w:w="9060" w:type="dxa"/>
            <w:shd w:val="clear" w:color="auto" w:fill="FFFFFF" w:themeFill="background1"/>
          </w:tcPr>
          <w:p w14:paraId="6E989CEF" w14:textId="3069C7FF" w:rsidR="00450EDB" w:rsidRPr="009A27ED" w:rsidRDefault="00450EDB" w:rsidP="00DA57A5">
            <w:pPr>
              <w:pStyle w:val="Textocomentario"/>
              <w:ind w:left="142" w:right="129"/>
              <w:rPr>
                <w:rFonts w:asciiTheme="minorHAnsi" w:hAnsiTheme="minorHAnsi" w:cstheme="minorHAnsi"/>
                <w:sz w:val="22"/>
                <w:szCs w:val="22"/>
                <w:lang w:val="es-ES"/>
              </w:rPr>
            </w:pPr>
            <w:r w:rsidRPr="009A27ED">
              <w:rPr>
                <w:rFonts w:asciiTheme="minorHAnsi" w:hAnsiTheme="minorHAnsi" w:cstheme="minorHAnsi"/>
                <w:sz w:val="22"/>
                <w:szCs w:val="22"/>
                <w:lang w:val="es-ES"/>
              </w:rPr>
              <w:t xml:space="preserve">Certificación de Plantación con Derecho a Corte (para los Proyectos Nuevos) expedida por el </w:t>
            </w:r>
            <w:r w:rsidR="00C551DB" w:rsidRPr="009A27ED">
              <w:rPr>
                <w:rFonts w:asciiTheme="minorHAnsi" w:hAnsiTheme="minorHAnsi" w:cstheme="minorHAnsi"/>
                <w:sz w:val="22"/>
                <w:szCs w:val="22"/>
                <w:lang w:val="es-ES"/>
              </w:rPr>
              <w:t>Ministerio Medio Ambiente</w:t>
            </w:r>
          </w:p>
          <w:p w14:paraId="6FC96772" w14:textId="652A5FD2" w:rsidR="00450EDB" w:rsidRPr="009A27ED" w:rsidRDefault="00450EDB" w:rsidP="00DA57A5">
            <w:pPr>
              <w:pStyle w:val="Textocomentario"/>
              <w:ind w:left="142" w:right="129"/>
              <w:rPr>
                <w:rFonts w:asciiTheme="minorHAnsi" w:hAnsiTheme="minorHAnsi" w:cstheme="minorHAnsi"/>
                <w:sz w:val="22"/>
                <w:szCs w:val="22"/>
                <w:lang w:val="es-ES"/>
              </w:rPr>
            </w:pPr>
            <w:r w:rsidRPr="009A27ED">
              <w:rPr>
                <w:rFonts w:asciiTheme="minorHAnsi" w:hAnsiTheme="minorHAnsi" w:cstheme="minorHAnsi"/>
                <w:sz w:val="22"/>
                <w:szCs w:val="22"/>
                <w:lang w:val="es-ES"/>
              </w:rPr>
              <w:t xml:space="preserve">Permiso para corte, Control de Sombra y Aprovechamiento de Arboles (para Proyectos Existentes). expedida por el </w:t>
            </w:r>
            <w:r w:rsidR="00C551DB" w:rsidRPr="009A27ED">
              <w:rPr>
                <w:rFonts w:asciiTheme="minorHAnsi" w:hAnsiTheme="minorHAnsi" w:cstheme="minorHAnsi"/>
                <w:sz w:val="22"/>
                <w:szCs w:val="22"/>
                <w:lang w:val="es-ES"/>
              </w:rPr>
              <w:t>Ministerio Medio Ambiente</w:t>
            </w:r>
          </w:p>
          <w:p w14:paraId="1C926C8A" w14:textId="25AAE17E" w:rsidR="00450EDB" w:rsidRPr="009A27ED" w:rsidRDefault="00450EDB" w:rsidP="00DA57A5">
            <w:pPr>
              <w:pStyle w:val="Textocomentario"/>
              <w:ind w:left="142" w:right="129"/>
              <w:rPr>
                <w:rFonts w:asciiTheme="minorHAnsi" w:hAnsiTheme="minorHAnsi" w:cstheme="minorHAnsi"/>
                <w:sz w:val="22"/>
                <w:szCs w:val="22"/>
                <w:lang w:val="es-ES"/>
              </w:rPr>
            </w:pPr>
            <w:r w:rsidRPr="009A27ED">
              <w:rPr>
                <w:rFonts w:asciiTheme="minorHAnsi" w:hAnsiTheme="minorHAnsi" w:cstheme="minorHAnsi"/>
                <w:sz w:val="22"/>
                <w:szCs w:val="22"/>
                <w:lang w:val="es-ES"/>
              </w:rPr>
              <w:t xml:space="preserve">Constancias Ambientales expedida por el </w:t>
            </w:r>
            <w:r w:rsidR="00C551DB" w:rsidRPr="009A27ED">
              <w:rPr>
                <w:rFonts w:asciiTheme="minorHAnsi" w:hAnsiTheme="minorHAnsi" w:cstheme="minorHAnsi"/>
                <w:sz w:val="22"/>
                <w:szCs w:val="22"/>
                <w:lang w:val="es-ES"/>
              </w:rPr>
              <w:t xml:space="preserve">Ministerio Medio Ambiente </w:t>
            </w:r>
            <w:r w:rsidRPr="009A27ED">
              <w:rPr>
                <w:rFonts w:asciiTheme="minorHAnsi" w:hAnsiTheme="minorHAnsi" w:cstheme="minorHAnsi"/>
                <w:sz w:val="22"/>
                <w:szCs w:val="22"/>
                <w:lang w:val="es-ES"/>
              </w:rPr>
              <w:t>para los proyectos categorizados por la ley 64-00 (Categoría C).</w:t>
            </w:r>
          </w:p>
        </w:tc>
      </w:tr>
      <w:tr w:rsidR="00450EDB" w:rsidRPr="009A27ED" w14:paraId="2B59BB01" w14:textId="77777777" w:rsidTr="00B41F56">
        <w:trPr>
          <w:cantSplit w:val="0"/>
        </w:trPr>
        <w:tc>
          <w:tcPr>
            <w:cnfStyle w:val="001000000000" w:firstRow="0" w:lastRow="0" w:firstColumn="1" w:lastColumn="0" w:oddVBand="0" w:evenVBand="0" w:oddHBand="0" w:evenHBand="0" w:firstRowFirstColumn="0" w:firstRowLastColumn="0" w:lastRowFirstColumn="0" w:lastRowLastColumn="0"/>
            <w:tcW w:w="9060" w:type="dxa"/>
            <w:shd w:val="clear" w:color="auto" w:fill="FFFFFF" w:themeFill="background1"/>
          </w:tcPr>
          <w:p w14:paraId="3E21A23C" w14:textId="77777777" w:rsidR="00450EDB" w:rsidRPr="009A27ED" w:rsidRDefault="00450EDB" w:rsidP="00DA57A5">
            <w:pPr>
              <w:pStyle w:val="Textocomentario"/>
              <w:ind w:left="142" w:right="129"/>
              <w:rPr>
                <w:rFonts w:asciiTheme="minorHAnsi" w:hAnsiTheme="minorHAnsi" w:cstheme="minorHAnsi"/>
                <w:sz w:val="22"/>
                <w:szCs w:val="22"/>
                <w:lang w:val="es-ES"/>
              </w:rPr>
            </w:pPr>
            <w:r w:rsidRPr="009A27ED">
              <w:rPr>
                <w:rFonts w:asciiTheme="minorHAnsi" w:hAnsiTheme="minorHAnsi" w:cstheme="minorHAnsi"/>
                <w:sz w:val="22"/>
                <w:szCs w:val="22"/>
                <w:lang w:val="es-ES"/>
              </w:rPr>
              <w:t>Presentar un Plan de establecimiento del sistema agroforestal donde se incluya Objetivos, métodos de producción de plántula, siembra, establecimiento y mantenimiento del Sistema y métodos de control de plagas, control de incendios, equipo de seguridad necesario para las actividades, manejo de residuos, entre otros</w:t>
            </w:r>
          </w:p>
        </w:tc>
      </w:tr>
      <w:tr w:rsidR="00450EDB" w:rsidRPr="009A27ED" w14:paraId="6B513521" w14:textId="77777777" w:rsidTr="00B41F56">
        <w:trPr>
          <w:cnfStyle w:val="000000100000" w:firstRow="0" w:lastRow="0" w:firstColumn="0" w:lastColumn="0" w:oddVBand="0" w:evenVBand="0" w:oddHBand="1" w:evenHBand="0" w:firstRowFirstColumn="0" w:firstRowLastColumn="0" w:lastRowFirstColumn="0" w:lastRowLastColumn="0"/>
          <w:cantSplit w:val="0"/>
        </w:trPr>
        <w:tc>
          <w:tcPr>
            <w:cnfStyle w:val="001000000000" w:firstRow="0" w:lastRow="0" w:firstColumn="1" w:lastColumn="0" w:oddVBand="0" w:evenVBand="0" w:oddHBand="0" w:evenHBand="0" w:firstRowFirstColumn="0" w:firstRowLastColumn="0" w:lastRowFirstColumn="0" w:lastRowLastColumn="0"/>
            <w:tcW w:w="9060" w:type="dxa"/>
            <w:shd w:val="clear" w:color="auto" w:fill="FFFFFF" w:themeFill="background1"/>
          </w:tcPr>
          <w:p w14:paraId="27651130" w14:textId="77777777" w:rsidR="00450EDB" w:rsidRPr="009A27ED" w:rsidRDefault="00450EDB" w:rsidP="00450EDB">
            <w:pPr>
              <w:pStyle w:val="Textocomentario"/>
              <w:ind w:left="142" w:right="129"/>
              <w:rPr>
                <w:rFonts w:asciiTheme="minorHAnsi" w:hAnsiTheme="minorHAnsi" w:cstheme="minorHAnsi"/>
                <w:sz w:val="22"/>
                <w:szCs w:val="22"/>
                <w:lang w:val="es-ES"/>
              </w:rPr>
            </w:pPr>
            <w:r w:rsidRPr="009A27ED">
              <w:rPr>
                <w:rFonts w:asciiTheme="minorHAnsi" w:hAnsiTheme="minorHAnsi" w:cstheme="minorHAnsi"/>
                <w:sz w:val="22"/>
                <w:szCs w:val="22"/>
                <w:lang w:val="es-ES"/>
              </w:rPr>
              <w:t>La propuesta incluye buenas prácticas como actividades de mínima labranza y no empleo de prácticas de roza, tumba y quema; buen manejo de residuos y plaguicidas y el establecimiento de especies forestales arbóreas en la misma superficie</w:t>
            </w:r>
          </w:p>
        </w:tc>
      </w:tr>
    </w:tbl>
    <w:p w14:paraId="60753E7B" w14:textId="77777777" w:rsidR="00810461" w:rsidRPr="009A27ED" w:rsidRDefault="00810461" w:rsidP="00C97A18">
      <w:pPr>
        <w:spacing w:after="160" w:line="360" w:lineRule="auto"/>
        <w:rPr>
          <w:color w:val="000000" w:themeColor="text1"/>
          <w:sz w:val="24"/>
          <w:szCs w:val="22"/>
        </w:rPr>
      </w:pPr>
    </w:p>
    <w:p w14:paraId="2463F945" w14:textId="77777777" w:rsidR="00827E46" w:rsidRPr="009A27ED" w:rsidRDefault="00827E46" w:rsidP="001E165D">
      <w:pPr>
        <w:spacing w:line="360" w:lineRule="auto"/>
        <w:rPr>
          <w:i/>
          <w:color w:val="000000" w:themeColor="text1"/>
          <w:sz w:val="20"/>
        </w:rPr>
      </w:pPr>
    </w:p>
    <w:p w14:paraId="713E1C16" w14:textId="77777777" w:rsidR="00827E46" w:rsidRPr="009A27ED" w:rsidRDefault="00827E46" w:rsidP="001E165D">
      <w:pPr>
        <w:spacing w:line="360" w:lineRule="auto"/>
        <w:rPr>
          <w:i/>
          <w:color w:val="000000" w:themeColor="text1"/>
          <w:sz w:val="20"/>
        </w:rPr>
      </w:pPr>
    </w:p>
    <w:p w14:paraId="40C429D8" w14:textId="77777777" w:rsidR="00827E46" w:rsidRPr="009A27ED" w:rsidRDefault="00827E46" w:rsidP="001E165D">
      <w:pPr>
        <w:spacing w:line="360" w:lineRule="auto"/>
        <w:rPr>
          <w:i/>
          <w:color w:val="000000" w:themeColor="text1"/>
          <w:sz w:val="20"/>
        </w:rPr>
      </w:pPr>
    </w:p>
    <w:p w14:paraId="1C02A9BF" w14:textId="77777777" w:rsidR="00827E46" w:rsidRPr="009A27ED" w:rsidRDefault="00827E46" w:rsidP="001E165D">
      <w:pPr>
        <w:spacing w:line="360" w:lineRule="auto"/>
        <w:rPr>
          <w:i/>
          <w:color w:val="000000" w:themeColor="text1"/>
          <w:sz w:val="20"/>
        </w:rPr>
      </w:pPr>
    </w:p>
    <w:p w14:paraId="16770208" w14:textId="77777777" w:rsidR="00827E46" w:rsidRPr="009A27ED" w:rsidRDefault="00827E46" w:rsidP="001E165D">
      <w:pPr>
        <w:spacing w:line="360" w:lineRule="auto"/>
        <w:rPr>
          <w:i/>
          <w:color w:val="000000" w:themeColor="text1"/>
          <w:sz w:val="20"/>
        </w:rPr>
      </w:pPr>
    </w:p>
    <w:p w14:paraId="10BA4352" w14:textId="2D1A7449" w:rsidR="00827E46" w:rsidRPr="009A27ED" w:rsidRDefault="00827E46" w:rsidP="00827E46">
      <w:pPr>
        <w:pStyle w:val="Descripcin"/>
        <w:keepNext/>
        <w:spacing w:line="360" w:lineRule="auto"/>
      </w:pPr>
      <w:bookmarkStart w:id="303" w:name="_Toc111887459"/>
      <w:r w:rsidRPr="009A27ED">
        <w:rPr>
          <w:rFonts w:ascii="Times New Roman" w:eastAsia="Times New Roman" w:hAnsi="Times New Roman"/>
          <w:sz w:val="24"/>
        </w:rPr>
        <w:t xml:space="preserve">Cuadro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Cuadro \* ARABIC </w:instrText>
      </w:r>
      <w:r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49</w:t>
      </w:r>
      <w:r w:rsidRPr="009A27ED">
        <w:rPr>
          <w:rFonts w:ascii="Times New Roman" w:eastAsia="Times New Roman" w:hAnsi="Times New Roman"/>
          <w:sz w:val="24"/>
        </w:rPr>
        <w:fldChar w:fldCharType="end"/>
      </w:r>
      <w:r w:rsidRPr="009A27ED">
        <w:rPr>
          <w:rFonts w:ascii="Times New Roman" w:eastAsia="Times New Roman" w:hAnsi="Times New Roman"/>
          <w:sz w:val="24"/>
        </w:rPr>
        <w:t>. Criterios para la Regeneración Natural asistida de zonas degradadas</w:t>
      </w:r>
      <w:bookmarkEnd w:id="303"/>
    </w:p>
    <w:tbl>
      <w:tblPr>
        <w:tblStyle w:val="InduforTable"/>
        <w:tblW w:w="90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60"/>
      </w:tblGrid>
      <w:tr w:rsidR="00810461" w:rsidRPr="009A27ED" w14:paraId="7BA7B5A2" w14:textId="77777777" w:rsidTr="00B41F5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0" w:type="dxa"/>
            <w:shd w:val="clear" w:color="auto" w:fill="0070C0"/>
          </w:tcPr>
          <w:p w14:paraId="1B0A77EE" w14:textId="539EA7A7" w:rsidR="00810461" w:rsidRPr="009A27ED" w:rsidRDefault="00810461" w:rsidP="00B41F56">
            <w:pPr>
              <w:pStyle w:val="Prrafodelista"/>
              <w:spacing w:after="120" w:line="240" w:lineRule="auto"/>
              <w:ind w:left="720"/>
              <w:rPr>
                <w:i/>
                <w:szCs w:val="22"/>
                <w:lang w:val="es-ES"/>
              </w:rPr>
            </w:pPr>
            <w:r w:rsidRPr="009A27ED">
              <w:rPr>
                <w:i/>
                <w:szCs w:val="22"/>
                <w:lang w:val="es-ES"/>
              </w:rPr>
              <w:t>5. Regeneración Natural de zonas degradadas</w:t>
            </w:r>
          </w:p>
        </w:tc>
      </w:tr>
      <w:tr w:rsidR="0023089F" w:rsidRPr="009A27ED" w14:paraId="6CED95E4" w14:textId="77777777" w:rsidTr="00B41F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0" w:type="dxa"/>
            <w:shd w:val="clear" w:color="auto" w:fill="auto"/>
          </w:tcPr>
          <w:p w14:paraId="6EBD3D82" w14:textId="73383708" w:rsidR="0023089F" w:rsidRPr="009A27ED" w:rsidRDefault="0023089F" w:rsidP="00B41F56">
            <w:pPr>
              <w:pStyle w:val="Textocomentario"/>
              <w:ind w:left="142" w:right="129"/>
              <w:rPr>
                <w:rFonts w:asciiTheme="minorHAnsi" w:hAnsiTheme="minorHAnsi" w:cstheme="minorHAnsi"/>
                <w:sz w:val="22"/>
                <w:szCs w:val="22"/>
                <w:lang w:val="es-ES"/>
              </w:rPr>
            </w:pPr>
            <w:r w:rsidRPr="009A27ED">
              <w:rPr>
                <w:rFonts w:asciiTheme="minorHAnsi" w:hAnsiTheme="minorHAnsi" w:cstheme="minorHAnsi"/>
                <w:sz w:val="22"/>
                <w:szCs w:val="22"/>
                <w:lang w:val="es-ES"/>
              </w:rPr>
              <w:t xml:space="preserve">Aprobación del </w:t>
            </w:r>
            <w:r w:rsidR="00C551DB" w:rsidRPr="009A27ED">
              <w:rPr>
                <w:rFonts w:asciiTheme="minorHAnsi" w:hAnsiTheme="minorHAnsi" w:cstheme="minorHAnsi"/>
                <w:sz w:val="22"/>
                <w:szCs w:val="22"/>
                <w:lang w:val="es-ES"/>
              </w:rPr>
              <w:t>Ministerio Medio Ambiente</w:t>
            </w:r>
            <w:r w:rsidRPr="009A27ED">
              <w:rPr>
                <w:rFonts w:asciiTheme="minorHAnsi" w:hAnsiTheme="minorHAnsi" w:cstheme="minorHAnsi"/>
                <w:sz w:val="22"/>
                <w:szCs w:val="22"/>
                <w:lang w:val="es-ES"/>
              </w:rPr>
              <w:t xml:space="preserve"> a través del Viceministerio de Recursos Forestales para llevar a cabo acciones de reforestación y recuperación de áreas naturales degradadas.</w:t>
            </w:r>
          </w:p>
        </w:tc>
      </w:tr>
      <w:tr w:rsidR="0023089F" w:rsidRPr="009A27ED" w14:paraId="3C65E440" w14:textId="77777777" w:rsidTr="00B41F56">
        <w:tc>
          <w:tcPr>
            <w:cnfStyle w:val="001000000000" w:firstRow="0" w:lastRow="0" w:firstColumn="1" w:lastColumn="0" w:oddVBand="0" w:evenVBand="0" w:oddHBand="0" w:evenHBand="0" w:firstRowFirstColumn="0" w:firstRowLastColumn="0" w:lastRowFirstColumn="0" w:lastRowLastColumn="0"/>
            <w:tcW w:w="9060" w:type="dxa"/>
            <w:shd w:val="clear" w:color="auto" w:fill="FFFFFF" w:themeFill="background1"/>
          </w:tcPr>
          <w:p w14:paraId="11887E67" w14:textId="77777777" w:rsidR="0023089F" w:rsidRPr="009A27ED" w:rsidRDefault="0023089F" w:rsidP="00B41F56">
            <w:pPr>
              <w:pStyle w:val="Textocomentario"/>
              <w:ind w:left="142" w:right="129"/>
              <w:rPr>
                <w:rFonts w:asciiTheme="minorHAnsi" w:hAnsiTheme="minorHAnsi" w:cstheme="minorHAnsi"/>
                <w:sz w:val="22"/>
                <w:szCs w:val="22"/>
                <w:lang w:val="es-ES"/>
              </w:rPr>
            </w:pPr>
            <w:r w:rsidRPr="009A27ED">
              <w:rPr>
                <w:rFonts w:asciiTheme="minorHAnsi" w:hAnsiTheme="minorHAnsi" w:cstheme="minorHAnsi"/>
                <w:sz w:val="22"/>
                <w:szCs w:val="22"/>
                <w:lang w:val="es-ES"/>
              </w:rPr>
              <w:t>Demostración de la procedencia de las semillas o plántulas libres de plagas.</w:t>
            </w:r>
          </w:p>
        </w:tc>
      </w:tr>
      <w:tr w:rsidR="0023089F" w:rsidRPr="009A27ED" w14:paraId="06614381" w14:textId="77777777" w:rsidTr="00B41F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0" w:type="dxa"/>
            <w:shd w:val="clear" w:color="auto" w:fill="FFFFFF" w:themeFill="background1"/>
          </w:tcPr>
          <w:p w14:paraId="0596D475" w14:textId="77777777" w:rsidR="0023089F" w:rsidRPr="009A27ED" w:rsidRDefault="0023089F" w:rsidP="00B41F56">
            <w:pPr>
              <w:pStyle w:val="Textocomentario"/>
              <w:ind w:left="142" w:right="129"/>
              <w:rPr>
                <w:rFonts w:asciiTheme="minorHAnsi" w:hAnsiTheme="minorHAnsi" w:cstheme="minorHAnsi"/>
                <w:sz w:val="22"/>
                <w:szCs w:val="22"/>
                <w:lang w:val="es-ES"/>
              </w:rPr>
            </w:pPr>
            <w:r w:rsidRPr="009A27ED">
              <w:rPr>
                <w:rFonts w:asciiTheme="minorHAnsi" w:hAnsiTheme="minorHAnsi" w:cstheme="minorHAnsi"/>
                <w:sz w:val="22"/>
                <w:szCs w:val="22"/>
                <w:lang w:val="es-ES"/>
              </w:rPr>
              <w:t xml:space="preserve">Presentación de un plan de reforestación que contenga: Objetivos, métodos de producción de plántula, siembra, establecimiento y mantenimiento de la plantación y métodos de control de plagas, control de incendios, y el equipo de seguridad necesario para la actividad, manejo de residuos, entre otros </w:t>
            </w:r>
          </w:p>
        </w:tc>
      </w:tr>
      <w:tr w:rsidR="0023089F" w:rsidRPr="009A27ED" w14:paraId="0AF34D09" w14:textId="77777777" w:rsidTr="00B41F56">
        <w:tc>
          <w:tcPr>
            <w:cnfStyle w:val="001000000000" w:firstRow="0" w:lastRow="0" w:firstColumn="1" w:lastColumn="0" w:oddVBand="0" w:evenVBand="0" w:oddHBand="0" w:evenHBand="0" w:firstRowFirstColumn="0" w:firstRowLastColumn="0" w:lastRowFirstColumn="0" w:lastRowLastColumn="0"/>
            <w:tcW w:w="9060" w:type="dxa"/>
            <w:shd w:val="clear" w:color="auto" w:fill="FFFFFF" w:themeFill="background1"/>
          </w:tcPr>
          <w:p w14:paraId="069E88D0" w14:textId="77777777" w:rsidR="0023089F" w:rsidRPr="009A27ED" w:rsidRDefault="0023089F" w:rsidP="00810461">
            <w:pPr>
              <w:pStyle w:val="Textocomentario"/>
              <w:ind w:left="142" w:right="129"/>
              <w:rPr>
                <w:rFonts w:asciiTheme="minorHAnsi" w:hAnsiTheme="minorHAnsi" w:cstheme="minorHAnsi"/>
                <w:sz w:val="22"/>
                <w:szCs w:val="22"/>
              </w:rPr>
            </w:pPr>
            <w:r w:rsidRPr="009A27ED">
              <w:rPr>
                <w:rFonts w:asciiTheme="minorHAnsi" w:hAnsiTheme="minorHAnsi" w:cstheme="minorHAnsi"/>
                <w:sz w:val="22"/>
                <w:szCs w:val="22"/>
                <w:lang w:val="es-ES"/>
              </w:rPr>
              <w:t>Declaración sobre los asentamientos humanos del área a intervenir (si existen personas asentadas o haciendo uso del área a intervenir, describir cantidad de personas, actividad y dependencia del recurso). Informar si la actividad implica el desplazamiento de las actividades o las personas o algún tipo de restricción al uso.</w:t>
            </w:r>
          </w:p>
        </w:tc>
      </w:tr>
    </w:tbl>
    <w:p w14:paraId="17225458" w14:textId="4156E05C" w:rsidR="00952737" w:rsidRPr="009A27ED" w:rsidRDefault="00952737" w:rsidP="00E2722A">
      <w:pPr>
        <w:pStyle w:val="Descripcin"/>
        <w:spacing w:line="360" w:lineRule="auto"/>
        <w:rPr>
          <w:color w:val="000000" w:themeColor="text1"/>
          <w:sz w:val="24"/>
          <w:szCs w:val="22"/>
        </w:rPr>
      </w:pPr>
    </w:p>
    <w:p w14:paraId="21BC4B74" w14:textId="2B281617" w:rsidR="00827E46" w:rsidRPr="009A27ED" w:rsidRDefault="00827E46" w:rsidP="00827E46">
      <w:pPr>
        <w:pStyle w:val="Descripcin"/>
        <w:keepNext/>
        <w:spacing w:line="360" w:lineRule="auto"/>
      </w:pPr>
      <w:bookmarkStart w:id="304" w:name="_Toc111887460"/>
      <w:r w:rsidRPr="009A27ED">
        <w:rPr>
          <w:rFonts w:ascii="Times New Roman" w:eastAsia="Times New Roman" w:hAnsi="Times New Roman"/>
          <w:sz w:val="24"/>
        </w:rPr>
        <w:lastRenderedPageBreak/>
        <w:t xml:space="preserve">Cuadro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Cuadro \* ARABIC </w:instrText>
      </w:r>
      <w:r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50</w:t>
      </w:r>
      <w:r w:rsidRPr="009A27ED">
        <w:rPr>
          <w:rFonts w:ascii="Times New Roman" w:eastAsia="Times New Roman" w:hAnsi="Times New Roman"/>
          <w:sz w:val="24"/>
        </w:rPr>
        <w:fldChar w:fldCharType="end"/>
      </w:r>
      <w:r w:rsidRPr="009A27ED">
        <w:rPr>
          <w:rFonts w:ascii="Times New Roman" w:eastAsia="Times New Roman" w:hAnsi="Times New Roman"/>
          <w:sz w:val="24"/>
        </w:rPr>
        <w:t>. Criterios para la conservación de bosques en AP prioritarias con participación comunitaria</w:t>
      </w:r>
      <w:bookmarkEnd w:id="304"/>
    </w:p>
    <w:tbl>
      <w:tblPr>
        <w:tblStyle w:val="InduforTable"/>
        <w:tblW w:w="8765" w:type="dxa"/>
        <w:tblInd w:w="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
        <w:gridCol w:w="8485"/>
      </w:tblGrid>
      <w:tr w:rsidR="00C24819" w:rsidRPr="009A27ED" w14:paraId="109D0140" w14:textId="77777777" w:rsidTr="00CB0954">
        <w:trPr>
          <w:cnfStyle w:val="100000000000" w:firstRow="1" w:lastRow="0" w:firstColumn="0" w:lastColumn="0" w:oddVBand="0" w:evenVBand="0" w:oddHBand="0"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8765" w:type="dxa"/>
            <w:gridSpan w:val="2"/>
            <w:shd w:val="clear" w:color="auto" w:fill="0070C0"/>
          </w:tcPr>
          <w:p w14:paraId="35E440F7" w14:textId="7B9C00C6" w:rsidR="00C24819" w:rsidRPr="009A27ED" w:rsidRDefault="00102FF5" w:rsidP="00E80DC0">
            <w:pPr>
              <w:pStyle w:val="Prrafodelista"/>
              <w:spacing w:after="120" w:line="240" w:lineRule="auto"/>
              <w:ind w:left="720"/>
              <w:rPr>
                <w:i/>
                <w:szCs w:val="22"/>
                <w:lang w:val="es-ES"/>
              </w:rPr>
            </w:pPr>
            <w:r w:rsidRPr="009A27ED">
              <w:rPr>
                <w:i/>
                <w:szCs w:val="22"/>
                <w:lang w:val="es-ES"/>
              </w:rPr>
              <w:t>6</w:t>
            </w:r>
            <w:r w:rsidR="00C24819" w:rsidRPr="009A27ED">
              <w:rPr>
                <w:i/>
                <w:szCs w:val="22"/>
                <w:lang w:val="es-ES"/>
              </w:rPr>
              <w:t>.</w:t>
            </w:r>
            <w:r w:rsidR="00E80DC0" w:rsidRPr="009A27ED">
              <w:rPr>
                <w:i/>
                <w:szCs w:val="22"/>
                <w:lang w:val="es-ES"/>
              </w:rPr>
              <w:t xml:space="preserve"> Conservar Bosques en áreas protegidas prioritarias </w:t>
            </w:r>
            <w:r w:rsidR="00207243" w:rsidRPr="009A27ED">
              <w:rPr>
                <w:i/>
                <w:szCs w:val="22"/>
                <w:lang w:val="es-ES"/>
              </w:rPr>
              <w:t>con participación comunitaria.</w:t>
            </w:r>
            <w:r w:rsidR="00C24819" w:rsidRPr="009A27ED">
              <w:rPr>
                <w:i/>
                <w:szCs w:val="22"/>
                <w:lang w:val="es-ES"/>
              </w:rPr>
              <w:t xml:space="preserve"> </w:t>
            </w:r>
          </w:p>
        </w:tc>
      </w:tr>
      <w:tr w:rsidR="00E80DC0" w:rsidRPr="009A27ED" w14:paraId="22E043FE" w14:textId="77777777" w:rsidTr="00CB09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 w:type="dxa"/>
            <w:shd w:val="clear" w:color="auto" w:fill="FFFFFF" w:themeFill="background1"/>
          </w:tcPr>
          <w:p w14:paraId="35BA2625" w14:textId="77777777" w:rsidR="00E80DC0" w:rsidRPr="009A27ED" w:rsidRDefault="00E80DC0" w:rsidP="00405040">
            <w:pPr>
              <w:rPr>
                <w:color w:val="000000"/>
                <w:szCs w:val="22"/>
              </w:rPr>
            </w:pPr>
            <w:bookmarkStart w:id="305" w:name="_Hlk529465494"/>
          </w:p>
        </w:tc>
        <w:tc>
          <w:tcPr>
            <w:tcW w:w="8485" w:type="dxa"/>
            <w:shd w:val="clear" w:color="auto" w:fill="FFFFFF" w:themeFill="background1"/>
          </w:tcPr>
          <w:p w14:paraId="4156329B" w14:textId="245E7F94" w:rsidR="00E80DC0" w:rsidRPr="009A27ED" w:rsidRDefault="00E80DC0" w:rsidP="00405040">
            <w:pPr>
              <w:pStyle w:val="Textocomentario"/>
              <w:ind w:left="142" w:right="129"/>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s-ES"/>
              </w:rPr>
            </w:pPr>
            <w:r w:rsidRPr="009A27ED">
              <w:rPr>
                <w:rFonts w:asciiTheme="minorHAnsi" w:hAnsiTheme="minorHAnsi" w:cstheme="minorHAnsi"/>
                <w:sz w:val="22"/>
                <w:szCs w:val="22"/>
                <w:lang w:val="es-ES"/>
              </w:rPr>
              <w:t xml:space="preserve">Presentar una constancia expedida por el director del SINAP en la que confirme que las actividades a realizarse en el Área Natural Protegida se encuentran dentro del listado de actividades permitidas y los criterios de conservación establecidos en el Plan de Manejo correspondiente vigente de acuerdo con su zonificación </w:t>
            </w:r>
          </w:p>
        </w:tc>
      </w:tr>
      <w:tr w:rsidR="00E80DC0" w:rsidRPr="009A27ED" w14:paraId="37AE9229" w14:textId="77777777" w:rsidTr="00CB0954">
        <w:tc>
          <w:tcPr>
            <w:cnfStyle w:val="001000000000" w:firstRow="0" w:lastRow="0" w:firstColumn="1" w:lastColumn="0" w:oddVBand="0" w:evenVBand="0" w:oddHBand="0" w:evenHBand="0" w:firstRowFirstColumn="0" w:firstRowLastColumn="0" w:lastRowFirstColumn="0" w:lastRowLastColumn="0"/>
            <w:tcW w:w="280" w:type="dxa"/>
            <w:shd w:val="clear" w:color="auto" w:fill="FFFFFF" w:themeFill="background1"/>
          </w:tcPr>
          <w:p w14:paraId="109D3F64" w14:textId="77777777" w:rsidR="00E80DC0" w:rsidRPr="009A27ED" w:rsidRDefault="00E80DC0" w:rsidP="00405040">
            <w:pPr>
              <w:rPr>
                <w:color w:val="000000"/>
                <w:szCs w:val="22"/>
              </w:rPr>
            </w:pPr>
          </w:p>
        </w:tc>
        <w:tc>
          <w:tcPr>
            <w:tcW w:w="8485" w:type="dxa"/>
            <w:shd w:val="clear" w:color="auto" w:fill="FFFFFF" w:themeFill="background1"/>
          </w:tcPr>
          <w:p w14:paraId="7B95AA2E" w14:textId="77777777" w:rsidR="00E80DC0" w:rsidRPr="009A27ED" w:rsidRDefault="00E80DC0" w:rsidP="00405040">
            <w:pPr>
              <w:pStyle w:val="Textocomentario"/>
              <w:ind w:left="142" w:right="129"/>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s-ES"/>
              </w:rPr>
            </w:pPr>
            <w:r w:rsidRPr="009A27ED">
              <w:rPr>
                <w:rFonts w:asciiTheme="minorHAnsi" w:hAnsiTheme="minorHAnsi" w:cstheme="minorHAnsi"/>
                <w:sz w:val="22"/>
                <w:szCs w:val="22"/>
                <w:lang w:val="es-ES"/>
              </w:rPr>
              <w:t>En caso de que no exista un Plan de Manejo específico para el área de incidencia, deberá cumplir con las disposiciones para la conservación de los bosques establecidas en la Ley No.64-00 General sobre Medio Ambiente y Recursos Naturales; la Ley No. 202-04, Sectorial de Áreas Protegidas, la Ley No.57-18, Sectorial Forestal de la República Dominicana y aquellas contenidas en las Normas Técnicas Forestales y Reglamento Forestal.</w:t>
            </w:r>
          </w:p>
        </w:tc>
      </w:tr>
      <w:tr w:rsidR="00E80DC0" w:rsidRPr="009A27ED" w14:paraId="34D559C9" w14:textId="77777777" w:rsidTr="00CB09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 w:type="dxa"/>
            <w:shd w:val="clear" w:color="auto" w:fill="FFFFFF" w:themeFill="background1"/>
          </w:tcPr>
          <w:p w14:paraId="3F29F4A7" w14:textId="77777777" w:rsidR="00E80DC0" w:rsidRPr="009A27ED" w:rsidRDefault="00E80DC0" w:rsidP="00405040">
            <w:pPr>
              <w:rPr>
                <w:color w:val="000000"/>
                <w:szCs w:val="22"/>
              </w:rPr>
            </w:pPr>
          </w:p>
        </w:tc>
        <w:tc>
          <w:tcPr>
            <w:tcW w:w="8485" w:type="dxa"/>
            <w:shd w:val="clear" w:color="auto" w:fill="FFFFFF" w:themeFill="background1"/>
          </w:tcPr>
          <w:p w14:paraId="479B88A1" w14:textId="77777777" w:rsidR="00E80DC0" w:rsidRPr="009A27ED" w:rsidRDefault="00E80DC0" w:rsidP="00405040">
            <w:pPr>
              <w:pStyle w:val="Textocomentario"/>
              <w:ind w:left="137" w:right="129"/>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s-ES"/>
              </w:rPr>
            </w:pPr>
            <w:r w:rsidRPr="009A27ED">
              <w:rPr>
                <w:rFonts w:asciiTheme="minorHAnsi" w:hAnsiTheme="minorHAnsi" w:cstheme="minorHAnsi"/>
                <w:sz w:val="22"/>
                <w:szCs w:val="22"/>
                <w:lang w:val="es-ES"/>
              </w:rPr>
              <w:t>Aplicar los criterios y Cumplir con objetivos dispuestos en las Políticas para el Sistema Nacional de Áreas Protegidas (SINAP).</w:t>
            </w:r>
          </w:p>
        </w:tc>
      </w:tr>
      <w:tr w:rsidR="00E80DC0" w:rsidRPr="009A27ED" w14:paraId="166A1034" w14:textId="77777777" w:rsidTr="00CB0954">
        <w:tc>
          <w:tcPr>
            <w:cnfStyle w:val="001000000000" w:firstRow="0" w:lastRow="0" w:firstColumn="1" w:lastColumn="0" w:oddVBand="0" w:evenVBand="0" w:oddHBand="0" w:evenHBand="0" w:firstRowFirstColumn="0" w:firstRowLastColumn="0" w:lastRowFirstColumn="0" w:lastRowLastColumn="0"/>
            <w:tcW w:w="280" w:type="dxa"/>
            <w:shd w:val="clear" w:color="auto" w:fill="FFFFFF" w:themeFill="background1"/>
          </w:tcPr>
          <w:p w14:paraId="77E250ED" w14:textId="77777777" w:rsidR="00E80DC0" w:rsidRPr="009A27ED" w:rsidRDefault="00E80DC0" w:rsidP="00405040">
            <w:pPr>
              <w:rPr>
                <w:color w:val="000000"/>
                <w:szCs w:val="22"/>
              </w:rPr>
            </w:pPr>
          </w:p>
        </w:tc>
        <w:tc>
          <w:tcPr>
            <w:tcW w:w="8485" w:type="dxa"/>
            <w:shd w:val="clear" w:color="auto" w:fill="FFFFFF" w:themeFill="background1"/>
          </w:tcPr>
          <w:p w14:paraId="40479D4B" w14:textId="77777777" w:rsidR="00E80DC0" w:rsidRPr="009A27ED" w:rsidRDefault="00E80DC0" w:rsidP="00405040">
            <w:pPr>
              <w:pStyle w:val="Textocomentario"/>
              <w:ind w:left="132" w:right="129"/>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s-ES"/>
              </w:rPr>
            </w:pPr>
            <w:r w:rsidRPr="009A27ED">
              <w:rPr>
                <w:rFonts w:asciiTheme="minorHAnsi" w:hAnsiTheme="minorHAnsi" w:cstheme="minorHAnsi"/>
                <w:sz w:val="22"/>
                <w:szCs w:val="22"/>
                <w:lang w:val="es-ES"/>
              </w:rPr>
              <w:t>Cumplir con los criterios y procedimientos legales para la gestión del SINAP que se derivan de las disposiciones contenidas en la Constitución de la República, la Ley No.64-00, General sobre Medio Ambiente y Recursos Naturales, la Ley No. 202-04, Sectorial de Áreas Protegidas, La Ley No. 105-05 de Registro Inmobiliario y la Ley No. 344-43 que establece del Procedimiento de Expropiación.</w:t>
            </w:r>
          </w:p>
        </w:tc>
      </w:tr>
      <w:tr w:rsidR="00E80DC0" w:rsidRPr="009A27ED" w14:paraId="6E40A11E" w14:textId="77777777" w:rsidTr="00CB09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 w:type="dxa"/>
            <w:shd w:val="clear" w:color="auto" w:fill="FFFFFF" w:themeFill="background1"/>
          </w:tcPr>
          <w:p w14:paraId="7DFC5914" w14:textId="77777777" w:rsidR="00E80DC0" w:rsidRPr="009A27ED" w:rsidRDefault="00E80DC0" w:rsidP="00405040">
            <w:pPr>
              <w:rPr>
                <w:color w:val="000000"/>
                <w:szCs w:val="22"/>
              </w:rPr>
            </w:pPr>
          </w:p>
        </w:tc>
        <w:tc>
          <w:tcPr>
            <w:tcW w:w="8485" w:type="dxa"/>
            <w:shd w:val="clear" w:color="auto" w:fill="FFFFFF" w:themeFill="background1"/>
          </w:tcPr>
          <w:p w14:paraId="54F24B53" w14:textId="77777777" w:rsidR="00E80DC0" w:rsidRPr="009A27ED" w:rsidRDefault="00E80DC0" w:rsidP="00405040">
            <w:pPr>
              <w:pStyle w:val="Textocomentario"/>
              <w:ind w:left="142" w:right="129"/>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s-ES"/>
              </w:rPr>
            </w:pPr>
            <w:r w:rsidRPr="009A27ED">
              <w:rPr>
                <w:rFonts w:asciiTheme="minorHAnsi" w:hAnsiTheme="minorHAnsi" w:cstheme="minorHAnsi"/>
                <w:sz w:val="22"/>
                <w:szCs w:val="22"/>
                <w:lang w:val="es-ES"/>
              </w:rPr>
              <w:t>Presentar constancia de tenencia de tierra (para ocupantes informales) o Certificado Título y plano catastral (Propietarios).</w:t>
            </w:r>
          </w:p>
        </w:tc>
      </w:tr>
      <w:tr w:rsidR="00E80DC0" w:rsidRPr="009A27ED" w14:paraId="5FCD39DA" w14:textId="77777777" w:rsidTr="00CB0954">
        <w:tc>
          <w:tcPr>
            <w:cnfStyle w:val="001000000000" w:firstRow="0" w:lastRow="0" w:firstColumn="1" w:lastColumn="0" w:oddVBand="0" w:evenVBand="0" w:oddHBand="0" w:evenHBand="0" w:firstRowFirstColumn="0" w:firstRowLastColumn="0" w:lastRowFirstColumn="0" w:lastRowLastColumn="0"/>
            <w:tcW w:w="280" w:type="dxa"/>
            <w:shd w:val="clear" w:color="auto" w:fill="FFFFFF" w:themeFill="background1"/>
          </w:tcPr>
          <w:p w14:paraId="4071E04D" w14:textId="77777777" w:rsidR="00E80DC0" w:rsidRPr="009A27ED" w:rsidRDefault="00E80DC0" w:rsidP="00405040">
            <w:pPr>
              <w:rPr>
                <w:color w:val="000000"/>
                <w:szCs w:val="22"/>
              </w:rPr>
            </w:pPr>
          </w:p>
        </w:tc>
        <w:tc>
          <w:tcPr>
            <w:tcW w:w="8485" w:type="dxa"/>
            <w:shd w:val="clear" w:color="auto" w:fill="FFFFFF" w:themeFill="background1"/>
          </w:tcPr>
          <w:p w14:paraId="6BB6D318" w14:textId="77777777" w:rsidR="00E80DC0" w:rsidRPr="009A27ED" w:rsidRDefault="00E80DC0" w:rsidP="0023089F">
            <w:pPr>
              <w:pStyle w:val="Textocomentario"/>
              <w:ind w:left="142" w:right="129"/>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s-ES"/>
              </w:rPr>
            </w:pPr>
            <w:r w:rsidRPr="009A27ED">
              <w:rPr>
                <w:rFonts w:asciiTheme="minorHAnsi" w:hAnsiTheme="minorHAnsi" w:cstheme="minorHAnsi"/>
                <w:sz w:val="22"/>
                <w:szCs w:val="22"/>
                <w:lang w:val="es-ES"/>
              </w:rPr>
              <w:t>Presentar un plan de acción acorde con lo requerido por el Marco de Políticas de Reasentamiento de la EN-REDD+, elaborado de manera participativa y con el acuerdo de los actores sociales presentes en el área natural protegida.</w:t>
            </w:r>
          </w:p>
        </w:tc>
      </w:tr>
    </w:tbl>
    <w:p w14:paraId="50CA997F" w14:textId="2AD693A2" w:rsidR="00947670" w:rsidRPr="009A27ED" w:rsidRDefault="00947670" w:rsidP="00C24819">
      <w:pPr>
        <w:spacing w:before="120" w:after="0" w:line="360" w:lineRule="auto"/>
        <w:rPr>
          <w:szCs w:val="22"/>
        </w:rPr>
      </w:pPr>
      <w:r w:rsidRPr="009A27ED">
        <w:rPr>
          <w:rFonts w:ascii="Times New Roman" w:eastAsia="Times New Roman" w:hAnsi="Times New Roman"/>
          <w:sz w:val="24"/>
          <w:szCs w:val="22"/>
        </w:rPr>
        <w:t>Una vez que las EE puedan demostrar cumplimiento con los criterios específicos</w:t>
      </w:r>
      <w:r w:rsidRPr="009A27ED">
        <w:rPr>
          <w:rFonts w:ascii="Times New Roman" w:eastAsia="Times New Roman" w:hAnsi="Times New Roman"/>
          <w:sz w:val="24"/>
          <w:szCs w:val="22"/>
          <w:lang w:eastAsia="es-ES"/>
        </w:rPr>
        <w:t xml:space="preserve"> contemplados por el marco legal nacional</w:t>
      </w:r>
      <w:r w:rsidRPr="009A27ED">
        <w:rPr>
          <w:rFonts w:ascii="Times New Roman" w:eastAsia="Times New Roman" w:hAnsi="Times New Roman"/>
          <w:sz w:val="24"/>
          <w:szCs w:val="22"/>
        </w:rPr>
        <w:t xml:space="preserve">, </w:t>
      </w:r>
      <w:r w:rsidR="00EA55B6" w:rsidRPr="009A27ED">
        <w:rPr>
          <w:rFonts w:ascii="Times New Roman" w:eastAsia="Times New Roman" w:hAnsi="Times New Roman"/>
          <w:sz w:val="24"/>
          <w:szCs w:val="22"/>
        </w:rPr>
        <w:t xml:space="preserve">serán susceptibles de ser </w:t>
      </w:r>
      <w:r w:rsidR="00C24819" w:rsidRPr="009A27ED">
        <w:rPr>
          <w:rFonts w:ascii="Times New Roman" w:eastAsia="Times New Roman" w:hAnsi="Times New Roman"/>
          <w:sz w:val="24"/>
          <w:szCs w:val="22"/>
        </w:rPr>
        <w:t>integrados</w:t>
      </w:r>
      <w:r w:rsidR="00EA55B6" w:rsidRPr="009A27ED">
        <w:rPr>
          <w:rFonts w:ascii="Times New Roman" w:eastAsia="Times New Roman" w:hAnsi="Times New Roman"/>
          <w:sz w:val="24"/>
          <w:szCs w:val="22"/>
        </w:rPr>
        <w:t xml:space="preserve"> </w:t>
      </w:r>
      <w:r w:rsidR="00C24819" w:rsidRPr="009A27ED">
        <w:rPr>
          <w:rFonts w:ascii="Times New Roman" w:eastAsia="Times New Roman" w:hAnsi="Times New Roman"/>
          <w:sz w:val="24"/>
          <w:szCs w:val="22"/>
        </w:rPr>
        <w:t>en la implementación</w:t>
      </w:r>
      <w:r w:rsidR="00EA55B6" w:rsidRPr="009A27ED">
        <w:rPr>
          <w:rFonts w:ascii="Times New Roman" w:eastAsia="Times New Roman" w:hAnsi="Times New Roman"/>
          <w:sz w:val="24"/>
          <w:szCs w:val="22"/>
        </w:rPr>
        <w:t xml:space="preserve"> </w:t>
      </w:r>
      <w:r w:rsidR="008F799A" w:rsidRPr="009A27ED">
        <w:rPr>
          <w:rFonts w:ascii="Times New Roman" w:eastAsia="Times New Roman" w:hAnsi="Times New Roman"/>
          <w:sz w:val="24"/>
          <w:szCs w:val="22"/>
        </w:rPr>
        <w:t>de</w:t>
      </w:r>
      <w:r w:rsidR="002717CE" w:rsidRPr="009A27ED">
        <w:rPr>
          <w:rFonts w:ascii="Times New Roman" w:eastAsia="Times New Roman" w:hAnsi="Times New Roman"/>
          <w:sz w:val="24"/>
          <w:szCs w:val="22"/>
        </w:rPr>
        <w:t xml:space="preserve">l </w:t>
      </w:r>
      <w:r w:rsidR="00124B63" w:rsidRPr="009A27ED">
        <w:rPr>
          <w:rFonts w:ascii="Times New Roman" w:eastAsia="Times New Roman" w:hAnsi="Times New Roman"/>
          <w:sz w:val="24"/>
          <w:szCs w:val="22"/>
        </w:rPr>
        <w:t>Programa REDD+</w:t>
      </w:r>
      <w:r w:rsidR="005C2A7B" w:rsidRPr="009A27ED">
        <w:rPr>
          <w:rFonts w:ascii="Times New Roman" w:eastAsia="Times New Roman" w:hAnsi="Times New Roman"/>
          <w:sz w:val="24"/>
          <w:szCs w:val="22"/>
        </w:rPr>
        <w:t>.</w:t>
      </w:r>
      <w:r w:rsidR="008F799A" w:rsidRPr="009A27ED">
        <w:rPr>
          <w:rFonts w:ascii="Times New Roman" w:eastAsia="Times New Roman" w:hAnsi="Times New Roman"/>
          <w:sz w:val="24"/>
          <w:szCs w:val="22"/>
        </w:rPr>
        <w:t xml:space="preserve"> </w:t>
      </w:r>
      <w:r w:rsidR="005C2A7B" w:rsidRPr="009A27ED">
        <w:rPr>
          <w:rFonts w:ascii="Times New Roman" w:eastAsia="Times New Roman" w:hAnsi="Times New Roman"/>
          <w:sz w:val="24"/>
          <w:szCs w:val="22"/>
        </w:rPr>
        <w:t>D</w:t>
      </w:r>
      <w:r w:rsidR="00EA55B6" w:rsidRPr="009A27ED">
        <w:rPr>
          <w:rFonts w:ascii="Times New Roman" w:eastAsia="Times New Roman" w:hAnsi="Times New Roman"/>
          <w:sz w:val="24"/>
          <w:szCs w:val="22"/>
        </w:rPr>
        <w:t xml:space="preserve">urante su </w:t>
      </w:r>
      <w:r w:rsidR="008F799A" w:rsidRPr="009A27ED">
        <w:rPr>
          <w:rFonts w:ascii="Times New Roman" w:eastAsia="Times New Roman" w:hAnsi="Times New Roman"/>
          <w:sz w:val="24"/>
          <w:szCs w:val="22"/>
        </w:rPr>
        <w:t xml:space="preserve">proceso de </w:t>
      </w:r>
      <w:r w:rsidR="00EA55B6" w:rsidRPr="009A27ED">
        <w:rPr>
          <w:rFonts w:ascii="Times New Roman" w:eastAsia="Times New Roman" w:hAnsi="Times New Roman"/>
          <w:sz w:val="24"/>
          <w:szCs w:val="22"/>
        </w:rPr>
        <w:t xml:space="preserve">implementación </w:t>
      </w:r>
      <w:r w:rsidRPr="009A27ED">
        <w:rPr>
          <w:rFonts w:ascii="Times New Roman" w:eastAsia="Times New Roman" w:hAnsi="Times New Roman"/>
          <w:sz w:val="24"/>
          <w:szCs w:val="22"/>
        </w:rPr>
        <w:t xml:space="preserve">deberán demostrar cumplimiento con las salvaguardas ambientales y sociales del BM. </w:t>
      </w:r>
      <w:bookmarkEnd w:id="305"/>
    </w:p>
    <w:p w14:paraId="612BE354" w14:textId="61101C72" w:rsidR="00173468" w:rsidRPr="009A27ED" w:rsidRDefault="00E74685" w:rsidP="00173468">
      <w:pPr>
        <w:spacing w:before="120" w:line="360" w:lineRule="auto"/>
        <w:rPr>
          <w:szCs w:val="22"/>
        </w:rPr>
      </w:pPr>
      <w:r w:rsidRPr="009A27ED">
        <w:rPr>
          <w:rFonts w:ascii="Times New Roman" w:eastAsia="Times New Roman" w:hAnsi="Times New Roman"/>
          <w:sz w:val="24"/>
          <w:szCs w:val="22"/>
        </w:rPr>
        <w:t>Adicionalmente se incluye la s</w:t>
      </w:r>
      <w:r w:rsidR="00173468" w:rsidRPr="009A27ED">
        <w:rPr>
          <w:rFonts w:ascii="Times New Roman" w:eastAsia="Times New Roman" w:hAnsi="Times New Roman"/>
          <w:sz w:val="24"/>
          <w:szCs w:val="22"/>
        </w:rPr>
        <w:t xml:space="preserve">iguiente lista </w:t>
      </w:r>
      <w:r w:rsidRPr="009A27ED">
        <w:rPr>
          <w:rFonts w:ascii="Times New Roman" w:eastAsia="Times New Roman" w:hAnsi="Times New Roman"/>
          <w:sz w:val="24"/>
          <w:szCs w:val="22"/>
        </w:rPr>
        <w:t xml:space="preserve">que </w:t>
      </w:r>
      <w:r w:rsidR="00173468" w:rsidRPr="009A27ED">
        <w:rPr>
          <w:rFonts w:ascii="Times New Roman" w:eastAsia="Times New Roman" w:hAnsi="Times New Roman"/>
          <w:sz w:val="24"/>
          <w:szCs w:val="22"/>
        </w:rPr>
        <w:t>ofrece una guía para identificar aquellos factores que pudieren implicar algún tipo de afectación según el alcance de la OP 4.12 del BM</w:t>
      </w:r>
      <w:r w:rsidR="00173468" w:rsidRPr="009A27ED">
        <w:rPr>
          <w:rStyle w:val="Refdenotaalpie"/>
          <w:rFonts w:asciiTheme="minorHAnsi" w:eastAsia="Times New Roman" w:hAnsiTheme="minorHAnsi"/>
          <w:sz w:val="24"/>
          <w:szCs w:val="22"/>
        </w:rPr>
        <w:footnoteReference w:id="72"/>
      </w:r>
      <w:r w:rsidR="00173468" w:rsidRPr="009A27ED">
        <w:rPr>
          <w:rFonts w:ascii="Times New Roman" w:eastAsia="Times New Roman" w:hAnsi="Times New Roman"/>
          <w:sz w:val="24"/>
          <w:szCs w:val="22"/>
        </w:rPr>
        <w:t xml:space="preserve">. En la medida que alguna actividad o acción propuesta implique uno o varios de los factores incluidos en la siguiente lista, deberá aplicar lo establecido en el Marco de </w:t>
      </w:r>
      <w:r w:rsidRPr="009A27ED">
        <w:rPr>
          <w:rFonts w:ascii="Times New Roman" w:eastAsia="Times New Roman" w:hAnsi="Times New Roman"/>
          <w:sz w:val="24"/>
          <w:szCs w:val="22"/>
        </w:rPr>
        <w:t>Políticas</w:t>
      </w:r>
      <w:r w:rsidR="00173468" w:rsidRPr="009A27ED">
        <w:rPr>
          <w:rFonts w:ascii="Times New Roman" w:eastAsia="Times New Roman" w:hAnsi="Times New Roman"/>
          <w:sz w:val="24"/>
          <w:szCs w:val="22"/>
        </w:rPr>
        <w:t xml:space="preserve"> de Reasentamiento, incluido en el Anexo II del presente MGAS.</w:t>
      </w:r>
    </w:p>
    <w:p w14:paraId="6BBCFAD5" w14:textId="3C3CC41C" w:rsidR="00173468" w:rsidRPr="009A27ED" w:rsidRDefault="00173468" w:rsidP="00E67CB0">
      <w:pPr>
        <w:numPr>
          <w:ilvl w:val="0"/>
          <w:numId w:val="99"/>
        </w:numPr>
        <w:shd w:val="clear" w:color="auto" w:fill="FFFFFF"/>
        <w:spacing w:after="0" w:line="360" w:lineRule="auto"/>
        <w:rPr>
          <w:color w:val="212121"/>
          <w:szCs w:val="22"/>
          <w:lang w:eastAsia="es-ES"/>
        </w:rPr>
      </w:pPr>
      <w:r w:rsidRPr="009A27ED">
        <w:rPr>
          <w:rFonts w:ascii="Times New Roman" w:eastAsia="Times New Roman" w:hAnsi="Times New Roman"/>
          <w:color w:val="212121"/>
          <w:sz w:val="24"/>
          <w:szCs w:val="22"/>
          <w:lang w:eastAsia="es-ES"/>
        </w:rPr>
        <w:t>P</w:t>
      </w:r>
      <w:r w:rsidR="008F799A" w:rsidRPr="009A27ED">
        <w:rPr>
          <w:rFonts w:ascii="Times New Roman" w:eastAsia="Times New Roman" w:hAnsi="Times New Roman"/>
          <w:color w:val="212121"/>
          <w:sz w:val="24"/>
          <w:szCs w:val="22"/>
          <w:lang w:eastAsia="es-ES"/>
        </w:rPr>
        <w:t>é</w:t>
      </w:r>
      <w:r w:rsidRPr="009A27ED">
        <w:rPr>
          <w:rFonts w:ascii="Times New Roman" w:eastAsia="Times New Roman" w:hAnsi="Times New Roman"/>
          <w:color w:val="212121"/>
          <w:sz w:val="24"/>
          <w:szCs w:val="22"/>
          <w:lang w:eastAsia="es-ES"/>
        </w:rPr>
        <w:t>rdida involuntaria de tierras y/o afectación parcial o total de activos (OP/BM 4.12).</w:t>
      </w:r>
    </w:p>
    <w:p w14:paraId="4BEFBE1B" w14:textId="77777777" w:rsidR="00173468" w:rsidRPr="009A27ED" w:rsidRDefault="00173468" w:rsidP="00E67CB0">
      <w:pPr>
        <w:numPr>
          <w:ilvl w:val="0"/>
          <w:numId w:val="99"/>
        </w:numPr>
        <w:shd w:val="clear" w:color="auto" w:fill="FFFFFF"/>
        <w:spacing w:after="0" w:line="360" w:lineRule="auto"/>
        <w:rPr>
          <w:color w:val="212121"/>
          <w:szCs w:val="22"/>
          <w:lang w:eastAsia="es-ES"/>
        </w:rPr>
      </w:pPr>
      <w:r w:rsidRPr="009A27ED">
        <w:rPr>
          <w:rFonts w:ascii="Times New Roman" w:eastAsia="Times New Roman" w:hAnsi="Times New Roman"/>
          <w:color w:val="000000"/>
          <w:sz w:val="24"/>
          <w:szCs w:val="22"/>
          <w:lang w:eastAsia="es-ES"/>
        </w:rPr>
        <w:lastRenderedPageBreak/>
        <w:t>Pérdida de cultivos, muros, cercos y otros activos.</w:t>
      </w:r>
    </w:p>
    <w:p w14:paraId="475CEE0C" w14:textId="77777777" w:rsidR="00173468" w:rsidRPr="009A27ED" w:rsidRDefault="00173468" w:rsidP="00E67CB0">
      <w:pPr>
        <w:numPr>
          <w:ilvl w:val="0"/>
          <w:numId w:val="99"/>
        </w:numPr>
        <w:shd w:val="clear" w:color="auto" w:fill="FFFFFF"/>
        <w:spacing w:after="0" w:line="360" w:lineRule="auto"/>
        <w:rPr>
          <w:color w:val="212121"/>
          <w:szCs w:val="22"/>
          <w:lang w:eastAsia="es-ES"/>
        </w:rPr>
      </w:pPr>
      <w:r w:rsidRPr="009A27ED">
        <w:rPr>
          <w:rFonts w:ascii="Times New Roman" w:eastAsia="Times New Roman" w:hAnsi="Times New Roman"/>
          <w:color w:val="000000"/>
          <w:sz w:val="24"/>
          <w:szCs w:val="22"/>
          <w:lang w:eastAsia="es-ES"/>
        </w:rPr>
        <w:t>Pérdida de medios de subsistencia o del acceso a los activos.</w:t>
      </w:r>
    </w:p>
    <w:p w14:paraId="53250CD6" w14:textId="77777777" w:rsidR="00173468" w:rsidRPr="009A27ED" w:rsidRDefault="00173468" w:rsidP="00E67CB0">
      <w:pPr>
        <w:numPr>
          <w:ilvl w:val="0"/>
          <w:numId w:val="99"/>
        </w:numPr>
        <w:shd w:val="clear" w:color="auto" w:fill="FFFFFF"/>
        <w:spacing w:after="0" w:line="360" w:lineRule="auto"/>
        <w:rPr>
          <w:color w:val="212121"/>
          <w:szCs w:val="22"/>
          <w:lang w:eastAsia="es-ES"/>
        </w:rPr>
      </w:pPr>
      <w:r w:rsidRPr="009A27ED">
        <w:rPr>
          <w:rFonts w:ascii="Times New Roman" w:eastAsia="Times New Roman" w:hAnsi="Times New Roman"/>
          <w:color w:val="212121"/>
          <w:sz w:val="24"/>
          <w:szCs w:val="22"/>
          <w:lang w:eastAsia="es-ES"/>
        </w:rPr>
        <w:t>Desplazamiento involuntario de comunidades/personas vinculado a actividades en áreas protegidas y cambio de uso de los suelos.</w:t>
      </w:r>
    </w:p>
    <w:p w14:paraId="4F6A5CB6" w14:textId="77777777" w:rsidR="00173468" w:rsidRPr="009A27ED" w:rsidRDefault="00173468" w:rsidP="00E67CB0">
      <w:pPr>
        <w:numPr>
          <w:ilvl w:val="0"/>
          <w:numId w:val="99"/>
        </w:numPr>
        <w:shd w:val="clear" w:color="auto" w:fill="FFFFFF"/>
        <w:spacing w:after="0" w:line="360" w:lineRule="auto"/>
        <w:rPr>
          <w:color w:val="212121"/>
          <w:szCs w:val="22"/>
          <w:lang w:eastAsia="es-ES"/>
        </w:rPr>
      </w:pPr>
      <w:r w:rsidRPr="009A27ED">
        <w:rPr>
          <w:rFonts w:ascii="Times New Roman" w:eastAsia="Times New Roman" w:hAnsi="Times New Roman"/>
          <w:color w:val="212121"/>
          <w:sz w:val="24"/>
          <w:szCs w:val="22"/>
          <w:lang w:eastAsia="es-ES"/>
        </w:rPr>
        <w:t>Desplazamiento económico (parcial o total) involuntario por cambio de uso de suelo</w:t>
      </w:r>
    </w:p>
    <w:p w14:paraId="3E738C55" w14:textId="77777777" w:rsidR="00173468" w:rsidRPr="009A27ED" w:rsidRDefault="00173468" w:rsidP="00E67CB0">
      <w:pPr>
        <w:numPr>
          <w:ilvl w:val="0"/>
          <w:numId w:val="99"/>
        </w:numPr>
        <w:shd w:val="clear" w:color="auto" w:fill="FFFFFF"/>
        <w:spacing w:after="0" w:line="360" w:lineRule="auto"/>
        <w:rPr>
          <w:color w:val="212121"/>
          <w:szCs w:val="22"/>
          <w:lang w:eastAsia="es-ES"/>
        </w:rPr>
      </w:pPr>
      <w:r w:rsidRPr="009A27ED">
        <w:rPr>
          <w:rFonts w:ascii="Times New Roman" w:eastAsia="Times New Roman" w:hAnsi="Times New Roman"/>
          <w:color w:val="212121"/>
          <w:sz w:val="24"/>
          <w:szCs w:val="22"/>
          <w:lang w:eastAsia="es-ES"/>
        </w:rPr>
        <w:t>Limitación de acceso a los recursos vinculados a áreas naturales protegidas</w:t>
      </w:r>
    </w:p>
    <w:p w14:paraId="71DB6707" w14:textId="77777777" w:rsidR="00173468" w:rsidRPr="009A27ED" w:rsidRDefault="00173468" w:rsidP="00E67CB0">
      <w:pPr>
        <w:numPr>
          <w:ilvl w:val="0"/>
          <w:numId w:val="99"/>
        </w:numPr>
        <w:shd w:val="clear" w:color="auto" w:fill="FFFFFF"/>
        <w:spacing w:after="0" w:line="360" w:lineRule="auto"/>
        <w:ind w:right="57"/>
        <w:rPr>
          <w:color w:val="212121"/>
          <w:szCs w:val="22"/>
          <w:lang w:eastAsia="es-ES"/>
        </w:rPr>
      </w:pPr>
      <w:r w:rsidRPr="009A27ED">
        <w:rPr>
          <w:rFonts w:ascii="Times New Roman" w:eastAsia="Times New Roman" w:hAnsi="Times New Roman"/>
          <w:color w:val="212121"/>
          <w:sz w:val="24"/>
          <w:szCs w:val="22"/>
          <w:lang w:eastAsia="es-ES"/>
        </w:rPr>
        <w:t>Pérdida de acceso a terrenos donde existan recursos que sean fuentes de ingreso de personas afectadas.</w:t>
      </w:r>
    </w:p>
    <w:p w14:paraId="639E0870" w14:textId="06F36619" w:rsidR="00173468" w:rsidRPr="009A27ED" w:rsidRDefault="00173468" w:rsidP="00E67CB0">
      <w:pPr>
        <w:numPr>
          <w:ilvl w:val="0"/>
          <w:numId w:val="99"/>
        </w:numPr>
        <w:shd w:val="clear" w:color="auto" w:fill="FFFFFF"/>
        <w:spacing w:after="0" w:line="360" w:lineRule="auto"/>
        <w:rPr>
          <w:color w:val="212121"/>
          <w:szCs w:val="22"/>
          <w:lang w:eastAsia="es-ES"/>
        </w:rPr>
      </w:pPr>
      <w:r w:rsidRPr="009A27ED">
        <w:rPr>
          <w:rFonts w:ascii="Times New Roman" w:eastAsia="Times New Roman" w:hAnsi="Times New Roman"/>
          <w:color w:val="212121"/>
          <w:sz w:val="24"/>
          <w:szCs w:val="22"/>
          <w:lang w:eastAsia="es-ES"/>
        </w:rPr>
        <w:t>Desplazamiento de usos o actividades que puedan potencialmente implicar perdida de activos o reducción de ingreso independientemente de la propiedad de la tierra.</w:t>
      </w:r>
    </w:p>
    <w:p w14:paraId="076F7003" w14:textId="5295909C" w:rsidR="00947670" w:rsidRPr="009A27ED" w:rsidRDefault="00947670" w:rsidP="00E67CB0">
      <w:pPr>
        <w:pStyle w:val="Ttulo2"/>
        <w:numPr>
          <w:ilvl w:val="1"/>
          <w:numId w:val="278"/>
        </w:numPr>
        <w:spacing w:line="360" w:lineRule="auto"/>
        <w:jc w:val="both"/>
        <w:rPr>
          <w:sz w:val="24"/>
        </w:rPr>
      </w:pPr>
      <w:bookmarkStart w:id="306" w:name="_Toc111837992"/>
      <w:bookmarkStart w:id="307" w:name="_Toc532335873"/>
      <w:bookmarkStart w:id="308" w:name="_Toc529470013"/>
      <w:r w:rsidRPr="009A27ED">
        <w:rPr>
          <w:rFonts w:ascii="Times New Roman" w:eastAsia="Times New Roman" w:hAnsi="Times New Roman"/>
          <w:sz w:val="24"/>
        </w:rPr>
        <w:t xml:space="preserve">Procedimientos para asegurar </w:t>
      </w:r>
      <w:r w:rsidR="00C26C94" w:rsidRPr="009A27ED">
        <w:rPr>
          <w:rFonts w:ascii="Times New Roman" w:eastAsia="Times New Roman" w:hAnsi="Times New Roman"/>
          <w:sz w:val="24"/>
        </w:rPr>
        <w:t xml:space="preserve">el </w:t>
      </w:r>
      <w:r w:rsidRPr="009A27ED">
        <w:rPr>
          <w:rFonts w:ascii="Times New Roman" w:eastAsia="Times New Roman" w:hAnsi="Times New Roman"/>
          <w:sz w:val="24"/>
        </w:rPr>
        <w:t xml:space="preserve">cumplimiento </w:t>
      </w:r>
      <w:r w:rsidR="00C26C94" w:rsidRPr="009A27ED">
        <w:rPr>
          <w:rFonts w:ascii="Times New Roman" w:eastAsia="Times New Roman" w:hAnsi="Times New Roman"/>
          <w:sz w:val="24"/>
        </w:rPr>
        <w:t>de</w:t>
      </w:r>
      <w:r w:rsidRPr="009A27ED">
        <w:rPr>
          <w:rFonts w:ascii="Times New Roman" w:eastAsia="Times New Roman" w:hAnsi="Times New Roman"/>
          <w:sz w:val="24"/>
        </w:rPr>
        <w:t xml:space="preserve"> las salvaguardas ambientales y sociales durante la implementación de actividades </w:t>
      </w:r>
      <w:r w:rsidR="007D2635" w:rsidRPr="009A27ED">
        <w:rPr>
          <w:rFonts w:ascii="Times New Roman" w:eastAsia="Times New Roman" w:hAnsi="Times New Roman"/>
          <w:sz w:val="24"/>
        </w:rPr>
        <w:t>tipo</w:t>
      </w:r>
      <w:r w:rsidRPr="009A27ED">
        <w:rPr>
          <w:rFonts w:ascii="Times New Roman" w:eastAsia="Times New Roman" w:hAnsi="Times New Roman"/>
          <w:sz w:val="24"/>
        </w:rPr>
        <w:t xml:space="preserve"> REDD+</w:t>
      </w:r>
      <w:bookmarkEnd w:id="306"/>
      <w:r w:rsidRPr="009A27ED">
        <w:rPr>
          <w:rFonts w:ascii="Times New Roman" w:eastAsia="Times New Roman" w:hAnsi="Times New Roman"/>
          <w:sz w:val="24"/>
        </w:rPr>
        <w:t xml:space="preserve"> </w:t>
      </w:r>
      <w:bookmarkEnd w:id="307"/>
      <w:r w:rsidRPr="009A27ED">
        <w:rPr>
          <w:rFonts w:ascii="Times New Roman" w:eastAsia="Times New Roman" w:hAnsi="Times New Roman"/>
          <w:sz w:val="24"/>
        </w:rPr>
        <w:t xml:space="preserve"> </w:t>
      </w:r>
    </w:p>
    <w:bookmarkEnd w:id="308"/>
    <w:p w14:paraId="5F5CBCA3" w14:textId="30E38B53" w:rsidR="004A1982" w:rsidRPr="009A27ED" w:rsidRDefault="004A1982" w:rsidP="007D2635">
      <w:pPr>
        <w:spacing w:before="120" w:after="0" w:line="360" w:lineRule="auto"/>
        <w:rPr>
          <w:szCs w:val="22"/>
        </w:rPr>
      </w:pPr>
      <w:r w:rsidRPr="009A27ED">
        <w:rPr>
          <w:rFonts w:ascii="Times New Roman" w:eastAsia="Times New Roman" w:hAnsi="Times New Roman"/>
          <w:sz w:val="24"/>
          <w:szCs w:val="22"/>
        </w:rPr>
        <w:t xml:space="preserve">Una particularidad en República Dominicana es que el país ha decidido utilizar sus proyectos y programas existentes y en operación para implementar </w:t>
      </w:r>
      <w:r w:rsidR="0065598A" w:rsidRPr="009A27ED">
        <w:rPr>
          <w:rFonts w:ascii="Times New Roman" w:eastAsia="Times New Roman" w:hAnsi="Times New Roman"/>
          <w:sz w:val="24"/>
          <w:szCs w:val="22"/>
        </w:rPr>
        <w:t>Actividades tipo</w:t>
      </w:r>
      <w:r w:rsidRPr="009A27ED">
        <w:rPr>
          <w:rFonts w:ascii="Times New Roman" w:eastAsia="Times New Roman" w:hAnsi="Times New Roman"/>
          <w:sz w:val="24"/>
          <w:szCs w:val="22"/>
        </w:rPr>
        <w:t xml:space="preserve"> REDD+. </w:t>
      </w:r>
      <w:r w:rsidR="00AB7EEB" w:rsidRPr="009A27ED">
        <w:rPr>
          <w:rFonts w:ascii="Times New Roman" w:eastAsia="Times New Roman" w:hAnsi="Times New Roman"/>
          <w:sz w:val="24"/>
          <w:szCs w:val="22"/>
        </w:rPr>
        <w:t>E</w:t>
      </w:r>
      <w:r w:rsidRPr="009A27ED">
        <w:rPr>
          <w:rFonts w:ascii="Times New Roman" w:eastAsia="Times New Roman" w:hAnsi="Times New Roman"/>
          <w:sz w:val="24"/>
          <w:szCs w:val="22"/>
        </w:rPr>
        <w:t xml:space="preserve">l </w:t>
      </w:r>
      <w:r w:rsidR="00DD51BF" w:rsidRPr="009A27ED">
        <w:rPr>
          <w:rFonts w:ascii="Times New Roman" w:eastAsia="Times New Roman" w:hAnsi="Times New Roman"/>
          <w:sz w:val="24"/>
          <w:szCs w:val="22"/>
        </w:rPr>
        <w:t>Ministerio</w:t>
      </w:r>
      <w:r w:rsidR="002717CE" w:rsidRPr="009A27ED">
        <w:rPr>
          <w:rFonts w:ascii="Times New Roman" w:eastAsia="Times New Roman" w:hAnsi="Times New Roman"/>
          <w:sz w:val="24"/>
          <w:szCs w:val="22"/>
        </w:rPr>
        <w:t xml:space="preserve"> de </w:t>
      </w:r>
      <w:r w:rsidR="00DD51BF" w:rsidRPr="009A27ED">
        <w:rPr>
          <w:rFonts w:ascii="Times New Roman" w:eastAsia="Times New Roman" w:hAnsi="Times New Roman"/>
          <w:sz w:val="24"/>
          <w:szCs w:val="22"/>
        </w:rPr>
        <w:t xml:space="preserve"> Medio Ambiente</w:t>
      </w:r>
      <w:r w:rsidR="00C551DB" w:rsidRPr="009A27ED">
        <w:rPr>
          <w:rFonts w:ascii="Times New Roman" w:eastAsia="Times New Roman" w:hAnsi="Times New Roman"/>
          <w:sz w:val="24"/>
          <w:szCs w:val="22"/>
        </w:rPr>
        <w:t xml:space="preserve"> </w:t>
      </w:r>
      <w:r w:rsidRPr="009A27ED">
        <w:rPr>
          <w:rFonts w:ascii="Times New Roman" w:eastAsia="Times New Roman" w:hAnsi="Times New Roman"/>
          <w:sz w:val="24"/>
          <w:szCs w:val="22"/>
        </w:rPr>
        <w:t xml:space="preserve">definió </w:t>
      </w:r>
      <w:r w:rsidRPr="009A27ED">
        <w:rPr>
          <w:rFonts w:ascii="Times New Roman" w:eastAsia="Times New Roman" w:hAnsi="Times New Roman"/>
          <w:i/>
          <w:sz w:val="24"/>
          <w:szCs w:val="22"/>
        </w:rPr>
        <w:t>actividades</w:t>
      </w:r>
      <w:r w:rsidRPr="009A27ED">
        <w:rPr>
          <w:rFonts w:ascii="Times New Roman" w:eastAsia="Times New Roman" w:hAnsi="Times New Roman"/>
          <w:sz w:val="24"/>
          <w:szCs w:val="22"/>
        </w:rPr>
        <w:t xml:space="preserve"> </w:t>
      </w:r>
      <w:r w:rsidR="002717CE" w:rsidRPr="009A27ED">
        <w:rPr>
          <w:rFonts w:ascii="Times New Roman" w:eastAsia="Times New Roman" w:hAnsi="Times New Roman"/>
          <w:sz w:val="24"/>
          <w:szCs w:val="22"/>
        </w:rPr>
        <w:t xml:space="preserve">tipo </w:t>
      </w:r>
      <w:r w:rsidRPr="009A27ED">
        <w:rPr>
          <w:rFonts w:ascii="Times New Roman" w:eastAsia="Times New Roman" w:hAnsi="Times New Roman"/>
          <w:sz w:val="24"/>
          <w:szCs w:val="22"/>
        </w:rPr>
        <w:t>para REDD+ que se implementarán a través de estos proyectos y programas existentes seleccionados</w:t>
      </w:r>
      <w:r w:rsidR="002717CE" w:rsidRPr="009A27ED">
        <w:rPr>
          <w:rFonts w:ascii="Times New Roman" w:eastAsia="Times New Roman" w:hAnsi="Times New Roman"/>
          <w:sz w:val="24"/>
          <w:szCs w:val="22"/>
        </w:rPr>
        <w:t>.</w:t>
      </w:r>
    </w:p>
    <w:p w14:paraId="03BDA57D" w14:textId="46A56ACB" w:rsidR="004A1982" w:rsidRPr="009A27ED" w:rsidRDefault="004A1982" w:rsidP="007D2635">
      <w:pPr>
        <w:spacing w:before="120" w:after="0" w:line="360" w:lineRule="auto"/>
        <w:rPr>
          <w:szCs w:val="22"/>
        </w:rPr>
      </w:pPr>
      <w:r w:rsidRPr="009A27ED">
        <w:rPr>
          <w:rFonts w:ascii="Times New Roman" w:eastAsia="Times New Roman" w:hAnsi="Times New Roman"/>
          <w:sz w:val="24"/>
          <w:szCs w:val="22"/>
        </w:rPr>
        <w:t xml:space="preserve">A partir de los principios del presente MGAS y con base en el análisis realizado de los mecanismos que aplican los diferentes Planes, Programas y Proyectos nacionales, se definió para la Estrategia Nacional REDD+ y el </w:t>
      </w:r>
      <w:r w:rsidR="00124B63" w:rsidRPr="009A27ED">
        <w:rPr>
          <w:rFonts w:ascii="Times New Roman" w:eastAsia="Times New Roman" w:hAnsi="Times New Roman"/>
          <w:sz w:val="24"/>
          <w:szCs w:val="22"/>
        </w:rPr>
        <w:t>Programa REDD+</w:t>
      </w:r>
      <w:r w:rsidR="00325EB4" w:rsidRPr="009A27ED">
        <w:rPr>
          <w:rFonts w:ascii="Times New Roman" w:eastAsia="Times New Roman" w:hAnsi="Times New Roman"/>
          <w:sz w:val="24"/>
          <w:szCs w:val="22"/>
        </w:rPr>
        <w:t xml:space="preserve"> </w:t>
      </w:r>
      <w:r w:rsidRPr="009A27ED">
        <w:rPr>
          <w:rFonts w:ascii="Times New Roman" w:eastAsia="Times New Roman" w:hAnsi="Times New Roman"/>
          <w:sz w:val="24"/>
          <w:szCs w:val="22"/>
        </w:rPr>
        <w:t xml:space="preserve">el siguiente </w:t>
      </w:r>
      <w:bookmarkStart w:id="309" w:name="_Hlk2188277"/>
      <w:r w:rsidRPr="009A27ED">
        <w:rPr>
          <w:rFonts w:ascii="Times New Roman" w:eastAsia="Times New Roman" w:hAnsi="Times New Roman"/>
          <w:sz w:val="24"/>
          <w:szCs w:val="22"/>
        </w:rPr>
        <w:t xml:space="preserve">procedimiento para el abordaje de las salvaguardas ambientales y sociales que se aplicará a lo largo del ciclo de las actividades que se implementarán en el contexto de REDD+. </w:t>
      </w:r>
    </w:p>
    <w:bookmarkEnd w:id="309"/>
    <w:p w14:paraId="1D8271F2" w14:textId="52FED213" w:rsidR="004A1982" w:rsidRPr="009A27ED" w:rsidRDefault="004A1982" w:rsidP="007D2635">
      <w:pPr>
        <w:spacing w:before="120" w:after="0" w:line="360" w:lineRule="auto"/>
        <w:rPr>
          <w:szCs w:val="22"/>
        </w:rPr>
      </w:pPr>
      <w:r w:rsidRPr="009A27ED">
        <w:rPr>
          <w:rFonts w:ascii="Times New Roman" w:eastAsia="Times New Roman" w:hAnsi="Times New Roman"/>
          <w:sz w:val="24"/>
          <w:szCs w:val="22"/>
        </w:rPr>
        <w:t>El procedimiento para la implementación del MGAS se ha dividido en seis diferentes fases (</w:t>
      </w:r>
      <w:r w:rsidR="0065598A" w:rsidRPr="009A27ED">
        <w:rPr>
          <w:rFonts w:ascii="Times New Roman" w:eastAsia="Times New Roman" w:hAnsi="Times New Roman"/>
          <w:sz w:val="24"/>
          <w:szCs w:val="22"/>
        </w:rPr>
        <w:t>Esquema 4)</w:t>
      </w:r>
    </w:p>
    <w:p w14:paraId="305A19F8" w14:textId="77777777" w:rsidR="004A1982" w:rsidRPr="009A27ED" w:rsidRDefault="004A1982" w:rsidP="00E67CB0">
      <w:pPr>
        <w:pStyle w:val="Prrafodelista"/>
        <w:numPr>
          <w:ilvl w:val="1"/>
          <w:numId w:val="101"/>
        </w:numPr>
        <w:spacing w:after="0" w:line="360" w:lineRule="auto"/>
        <w:rPr>
          <w:szCs w:val="22"/>
        </w:rPr>
      </w:pPr>
      <w:bookmarkStart w:id="310" w:name="_Hlk109820960"/>
      <w:bookmarkStart w:id="311" w:name="_Hlk2160102"/>
      <w:r w:rsidRPr="009A27ED">
        <w:rPr>
          <w:rFonts w:ascii="Times New Roman" w:eastAsia="Times New Roman" w:hAnsi="Times New Roman"/>
          <w:sz w:val="24"/>
          <w:szCs w:val="22"/>
        </w:rPr>
        <w:t>Fase I Preparación.</w:t>
      </w:r>
    </w:p>
    <w:bookmarkEnd w:id="310"/>
    <w:p w14:paraId="0BA31CC2" w14:textId="7EEFEF15" w:rsidR="004A1982" w:rsidRPr="009A27ED" w:rsidRDefault="004A1982" w:rsidP="00E67CB0">
      <w:pPr>
        <w:pStyle w:val="Prrafodelista"/>
        <w:numPr>
          <w:ilvl w:val="1"/>
          <w:numId w:val="101"/>
        </w:numPr>
        <w:spacing w:after="0" w:line="360" w:lineRule="auto"/>
        <w:rPr>
          <w:szCs w:val="22"/>
        </w:rPr>
      </w:pPr>
      <w:r w:rsidRPr="009A27ED">
        <w:rPr>
          <w:rFonts w:ascii="Times New Roman" w:eastAsia="Times New Roman" w:hAnsi="Times New Roman"/>
          <w:sz w:val="24"/>
          <w:szCs w:val="22"/>
        </w:rPr>
        <w:t xml:space="preserve">Fase II Selección </w:t>
      </w:r>
      <w:r w:rsidR="002717CE" w:rsidRPr="009A27ED">
        <w:rPr>
          <w:rFonts w:ascii="Times New Roman" w:eastAsia="Times New Roman" w:hAnsi="Times New Roman"/>
          <w:sz w:val="24"/>
          <w:szCs w:val="22"/>
        </w:rPr>
        <w:t>de las actividades</w:t>
      </w:r>
      <w:r w:rsidRPr="009A27ED">
        <w:rPr>
          <w:rFonts w:ascii="Times New Roman" w:eastAsia="Times New Roman" w:hAnsi="Times New Roman"/>
          <w:sz w:val="24"/>
          <w:szCs w:val="22"/>
        </w:rPr>
        <w:t xml:space="preserve"> por parte de las Entidades Ejecutoras y registro de beneficiarios</w:t>
      </w:r>
    </w:p>
    <w:p w14:paraId="0B92F3E7" w14:textId="55B3EFEA" w:rsidR="004A1982" w:rsidRPr="009A27ED" w:rsidRDefault="004A1982" w:rsidP="00E67CB0">
      <w:pPr>
        <w:numPr>
          <w:ilvl w:val="1"/>
          <w:numId w:val="100"/>
        </w:numPr>
        <w:tabs>
          <w:tab w:val="clear" w:pos="1440"/>
        </w:tabs>
        <w:spacing w:after="0" w:line="360" w:lineRule="auto"/>
        <w:rPr>
          <w:szCs w:val="22"/>
        </w:rPr>
      </w:pPr>
      <w:bookmarkStart w:id="312" w:name="_Hlk2190975"/>
      <w:bookmarkEnd w:id="311"/>
      <w:r w:rsidRPr="009A27ED">
        <w:rPr>
          <w:rFonts w:ascii="Times New Roman" w:eastAsia="Times New Roman" w:hAnsi="Times New Roman"/>
          <w:sz w:val="24"/>
          <w:szCs w:val="22"/>
        </w:rPr>
        <w:t xml:space="preserve">Fase III Planes de Manejo Ambiental y Social (PMAS) de las actividades </w:t>
      </w:r>
      <w:r w:rsidR="002717CE" w:rsidRPr="009A27ED">
        <w:rPr>
          <w:rFonts w:ascii="Times New Roman" w:eastAsia="Times New Roman" w:hAnsi="Times New Roman"/>
          <w:sz w:val="24"/>
          <w:szCs w:val="22"/>
        </w:rPr>
        <w:t xml:space="preserve">tipo </w:t>
      </w:r>
      <w:r w:rsidRPr="009A27ED">
        <w:rPr>
          <w:rFonts w:ascii="Times New Roman" w:eastAsia="Times New Roman" w:hAnsi="Times New Roman"/>
          <w:sz w:val="24"/>
          <w:szCs w:val="22"/>
        </w:rPr>
        <w:t xml:space="preserve">REDD+ en cumplimiento de las salvaguardas ambientales y sociales </w:t>
      </w:r>
    </w:p>
    <w:p w14:paraId="1FA3ABF4" w14:textId="77777777" w:rsidR="004A1982" w:rsidRPr="009A27ED" w:rsidRDefault="004A1982" w:rsidP="00E67CB0">
      <w:pPr>
        <w:numPr>
          <w:ilvl w:val="1"/>
          <w:numId w:val="100"/>
        </w:numPr>
        <w:tabs>
          <w:tab w:val="clear" w:pos="1440"/>
        </w:tabs>
        <w:spacing w:after="0" w:line="360" w:lineRule="auto"/>
        <w:rPr>
          <w:szCs w:val="22"/>
        </w:rPr>
      </w:pPr>
      <w:bookmarkStart w:id="313" w:name="_Hlk2363284"/>
      <w:r w:rsidRPr="009A27ED">
        <w:rPr>
          <w:rFonts w:ascii="Times New Roman" w:eastAsia="Times New Roman" w:hAnsi="Times New Roman"/>
          <w:sz w:val="24"/>
          <w:szCs w:val="22"/>
        </w:rPr>
        <w:t xml:space="preserve">Fase IV Implementación y Acompañamiento técnico </w:t>
      </w:r>
    </w:p>
    <w:p w14:paraId="65086A9B" w14:textId="77777777" w:rsidR="004A1982" w:rsidRPr="009A27ED" w:rsidRDefault="004A1982" w:rsidP="00E67CB0">
      <w:pPr>
        <w:numPr>
          <w:ilvl w:val="1"/>
          <w:numId w:val="100"/>
        </w:numPr>
        <w:tabs>
          <w:tab w:val="clear" w:pos="1440"/>
        </w:tabs>
        <w:spacing w:after="0" w:line="360" w:lineRule="auto"/>
        <w:rPr>
          <w:szCs w:val="22"/>
        </w:rPr>
      </w:pPr>
      <w:r w:rsidRPr="009A27ED">
        <w:rPr>
          <w:rFonts w:ascii="Times New Roman" w:eastAsia="Times New Roman" w:hAnsi="Times New Roman"/>
          <w:sz w:val="24"/>
          <w:szCs w:val="22"/>
        </w:rPr>
        <w:t xml:space="preserve">Fase V Seguimiento y reporte de los aspectos ambientales y sociales. </w:t>
      </w:r>
    </w:p>
    <w:p w14:paraId="0EEEBAA4" w14:textId="77777777" w:rsidR="004A1982" w:rsidRPr="009A27ED" w:rsidRDefault="004A1982" w:rsidP="00E67CB0">
      <w:pPr>
        <w:numPr>
          <w:ilvl w:val="1"/>
          <w:numId w:val="100"/>
        </w:numPr>
        <w:tabs>
          <w:tab w:val="clear" w:pos="1440"/>
        </w:tabs>
        <w:spacing w:after="0" w:line="360" w:lineRule="auto"/>
        <w:rPr>
          <w:szCs w:val="22"/>
        </w:rPr>
      </w:pPr>
      <w:r w:rsidRPr="009A27ED">
        <w:rPr>
          <w:rFonts w:ascii="Times New Roman" w:eastAsia="Times New Roman" w:hAnsi="Times New Roman"/>
          <w:sz w:val="24"/>
          <w:szCs w:val="22"/>
        </w:rPr>
        <w:t>Fase VI Vinculación con el Sistema de Información de Salvaguardas</w:t>
      </w:r>
    </w:p>
    <w:bookmarkEnd w:id="312"/>
    <w:bookmarkEnd w:id="313"/>
    <w:p w14:paraId="777AE27E" w14:textId="74178D66" w:rsidR="004A1982" w:rsidRPr="009A27ED" w:rsidRDefault="004A1982" w:rsidP="007D2635">
      <w:pPr>
        <w:spacing w:before="120" w:after="0" w:line="360" w:lineRule="auto"/>
        <w:rPr>
          <w:strike/>
          <w:color w:val="000000" w:themeColor="text1"/>
          <w:szCs w:val="22"/>
        </w:rPr>
      </w:pPr>
      <w:r w:rsidRPr="009A27ED">
        <w:rPr>
          <w:rFonts w:ascii="Times New Roman" w:eastAsia="Times New Roman" w:hAnsi="Times New Roman"/>
          <w:strike/>
          <w:sz w:val="24"/>
          <w:szCs w:val="22"/>
        </w:rPr>
        <w:lastRenderedPageBreak/>
        <w:t xml:space="preserve">Esta información será documentada en el acuerdo interinstitucional entre la EE y la </w:t>
      </w:r>
      <w:r w:rsidRPr="009A27ED">
        <w:rPr>
          <w:rFonts w:ascii="Times New Roman" w:eastAsia="Times New Roman" w:hAnsi="Times New Roman"/>
          <w:strike/>
          <w:color w:val="000000" w:themeColor="text1"/>
          <w:sz w:val="24"/>
          <w:szCs w:val="22"/>
        </w:rPr>
        <w:t xml:space="preserve">Oficina de Coordinación REDD+ (OCR) y se incluirá en las convocatorias que emitan las Entidades Ejecutoras para la selección y apoyo de </w:t>
      </w:r>
      <w:r w:rsidR="002717CE" w:rsidRPr="009A27ED">
        <w:rPr>
          <w:rFonts w:ascii="Times New Roman" w:eastAsia="Times New Roman" w:hAnsi="Times New Roman"/>
          <w:strike/>
          <w:color w:val="000000" w:themeColor="text1"/>
          <w:sz w:val="24"/>
          <w:szCs w:val="22"/>
        </w:rPr>
        <w:t>las actividades</w:t>
      </w:r>
      <w:r w:rsidRPr="009A27ED">
        <w:rPr>
          <w:rFonts w:ascii="Times New Roman" w:eastAsia="Times New Roman" w:hAnsi="Times New Roman"/>
          <w:strike/>
          <w:color w:val="000000" w:themeColor="text1"/>
          <w:sz w:val="24"/>
          <w:szCs w:val="22"/>
        </w:rPr>
        <w:t xml:space="preserve"> aprobados.</w:t>
      </w:r>
    </w:p>
    <w:p w14:paraId="46988627" w14:textId="4C8ED7BA" w:rsidR="00F3658E" w:rsidRPr="009A27ED" w:rsidRDefault="00F969F6" w:rsidP="007D2635">
      <w:pPr>
        <w:spacing w:before="120" w:after="0" w:line="360" w:lineRule="auto"/>
        <w:rPr>
          <w:color w:val="000000" w:themeColor="text1"/>
          <w:szCs w:val="22"/>
        </w:rPr>
      </w:pPr>
      <w:r w:rsidRPr="009A27ED">
        <w:rPr>
          <w:rFonts w:ascii="Times New Roman" w:eastAsia="Times New Roman" w:hAnsi="Times New Roman"/>
          <w:color w:val="000000" w:themeColor="text1"/>
          <w:sz w:val="24"/>
          <w:szCs w:val="22"/>
        </w:rPr>
        <w:t xml:space="preserve">En los acuerdos interinstitucionales estarán contemplados </w:t>
      </w:r>
      <w:r w:rsidR="00F3658E" w:rsidRPr="009A27ED">
        <w:rPr>
          <w:rFonts w:ascii="Times New Roman" w:eastAsia="Times New Roman" w:hAnsi="Times New Roman"/>
          <w:color w:val="000000" w:themeColor="text1"/>
          <w:sz w:val="24"/>
          <w:szCs w:val="22"/>
        </w:rPr>
        <w:t>los procedimientos y requerimientos establecidos en los Planes de Manejo Ambiental y Social (PMAS) y de las actividades y presupuestos contenidos en el Marco de Gestión Ambiental y Social (MGAS) del Programa REDD+, así como los principios sociales, medioambientales y de gobernanza, a los fines de cumplir con las Salvaguardas Ambientales y Sociales de la CMNUCC y las Políticas Operativas del Banco Mundial.</w:t>
      </w:r>
    </w:p>
    <w:p w14:paraId="2BFA1E87" w14:textId="3571FACF" w:rsidR="00DD51BF" w:rsidRPr="009A27ED" w:rsidRDefault="00DD51BF" w:rsidP="007D2635">
      <w:pPr>
        <w:spacing w:before="120" w:after="0" w:line="360" w:lineRule="auto"/>
        <w:rPr>
          <w:color w:val="000000" w:themeColor="text1"/>
          <w:szCs w:val="22"/>
        </w:rPr>
      </w:pPr>
    </w:p>
    <w:p w14:paraId="45D9DCE6" w14:textId="77777777" w:rsidR="001768FA" w:rsidRPr="009A27ED" w:rsidRDefault="005D642E" w:rsidP="001768FA">
      <w:pPr>
        <w:keepNext/>
        <w:spacing w:before="120" w:after="0" w:line="360" w:lineRule="auto"/>
      </w:pPr>
      <w:r w:rsidRPr="009A27ED">
        <w:rPr>
          <w:rFonts w:ascii="Times New Roman" w:eastAsia="Times New Roman" w:hAnsi="Times New Roman"/>
          <w:noProof/>
          <w:color w:val="000000" w:themeColor="text1"/>
          <w:sz w:val="24"/>
          <w:szCs w:val="22"/>
          <w:lang w:val="en-US"/>
        </w:rPr>
        <w:drawing>
          <wp:anchor distT="0" distB="0" distL="114300" distR="114300" simplePos="0" relativeHeight="251664384" behindDoc="0" locked="0" layoutInCell="1" allowOverlap="1" wp14:anchorId="5F0830C1" wp14:editId="35EB325F">
            <wp:simplePos x="0" y="0"/>
            <wp:positionH relativeFrom="margin">
              <wp:align>left</wp:align>
            </wp:positionH>
            <wp:positionV relativeFrom="paragraph">
              <wp:posOffset>-5080</wp:posOffset>
            </wp:positionV>
            <wp:extent cx="1323975" cy="571500"/>
            <wp:effectExtent l="0" t="0" r="9525" b="0"/>
            <wp:wrapNone/>
            <wp:docPr id="49" name="Imagen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323975" cy="571500"/>
                    </a:xfrm>
                    <a:prstGeom prst="rect">
                      <a:avLst/>
                    </a:prstGeom>
                    <a:noFill/>
                  </pic:spPr>
                </pic:pic>
              </a:graphicData>
            </a:graphic>
            <wp14:sizeRelH relativeFrom="page">
              <wp14:pctWidth>0</wp14:pctWidth>
            </wp14:sizeRelH>
            <wp14:sizeRelV relativeFrom="page">
              <wp14:pctHeight>0</wp14:pctHeight>
            </wp14:sizeRelV>
          </wp:anchor>
        </w:drawing>
      </w:r>
      <w:r w:rsidRPr="009A27ED">
        <w:rPr>
          <w:rFonts w:ascii="Times New Roman" w:eastAsia="Times New Roman" w:hAnsi="Times New Roman"/>
          <w:noProof/>
          <w:color w:val="000000" w:themeColor="text1"/>
          <w:sz w:val="24"/>
          <w:szCs w:val="22"/>
          <w:lang w:val="en-US"/>
        </w:rPr>
        <w:drawing>
          <wp:inline distT="0" distB="0" distL="0" distR="0" wp14:anchorId="1A6E82B1" wp14:editId="2EFCF201">
            <wp:extent cx="5014300" cy="2951480"/>
            <wp:effectExtent l="0" t="0" r="0" b="127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026211" cy="2958491"/>
                    </a:xfrm>
                    <a:prstGeom prst="rect">
                      <a:avLst/>
                    </a:prstGeom>
                    <a:noFill/>
                  </pic:spPr>
                </pic:pic>
              </a:graphicData>
            </a:graphic>
          </wp:inline>
        </w:drawing>
      </w:r>
    </w:p>
    <w:p w14:paraId="3DA7E023" w14:textId="77777777" w:rsidR="001768FA" w:rsidRPr="009A27ED" w:rsidRDefault="001768FA" w:rsidP="001768FA">
      <w:pPr>
        <w:pStyle w:val="Descripcin"/>
        <w:spacing w:line="360" w:lineRule="auto"/>
      </w:pPr>
    </w:p>
    <w:p w14:paraId="70AFA1E6" w14:textId="61A388A9" w:rsidR="00DD51BF" w:rsidRPr="009A27ED" w:rsidRDefault="001768FA" w:rsidP="001768FA">
      <w:pPr>
        <w:pStyle w:val="Descripcin"/>
        <w:spacing w:line="360" w:lineRule="auto"/>
        <w:rPr>
          <w:color w:val="000000" w:themeColor="text1"/>
          <w:szCs w:val="22"/>
        </w:rPr>
      </w:pPr>
      <w:bookmarkStart w:id="314" w:name="_Toc111889893"/>
      <w:r w:rsidRPr="009A27ED">
        <w:rPr>
          <w:rFonts w:ascii="Times New Roman" w:eastAsia="Times New Roman" w:hAnsi="Times New Roman"/>
          <w:sz w:val="24"/>
        </w:rPr>
        <w:t xml:space="preserve">Esquema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Esquema_ \* ARABIC </w:instrText>
      </w:r>
      <w:r w:rsidRPr="009A27ED">
        <w:rPr>
          <w:rFonts w:ascii="Times New Roman" w:eastAsia="Times New Roman" w:hAnsi="Times New Roman"/>
          <w:sz w:val="24"/>
        </w:rPr>
        <w:fldChar w:fldCharType="separate"/>
      </w:r>
      <w:r w:rsidR="00703EB9" w:rsidRPr="009A27ED">
        <w:rPr>
          <w:rFonts w:ascii="Times New Roman" w:eastAsia="Times New Roman" w:hAnsi="Times New Roman"/>
          <w:noProof/>
          <w:sz w:val="24"/>
        </w:rPr>
        <w:t>5</w:t>
      </w:r>
      <w:r w:rsidRPr="009A27ED">
        <w:rPr>
          <w:rFonts w:ascii="Times New Roman" w:eastAsia="Times New Roman" w:hAnsi="Times New Roman"/>
          <w:sz w:val="24"/>
        </w:rPr>
        <w:fldChar w:fldCharType="end"/>
      </w:r>
      <w:r w:rsidRPr="009A27ED">
        <w:rPr>
          <w:rFonts w:ascii="Times New Roman" w:eastAsia="Times New Roman" w:hAnsi="Times New Roman"/>
          <w:sz w:val="24"/>
        </w:rPr>
        <w:t>. Fases del proceso para implementar el MGAS</w:t>
      </w:r>
      <w:bookmarkEnd w:id="314"/>
    </w:p>
    <w:p w14:paraId="60A7136D" w14:textId="77777777" w:rsidR="00DD51BF" w:rsidRPr="009A27ED" w:rsidRDefault="00DD51BF" w:rsidP="007D2635">
      <w:pPr>
        <w:spacing w:before="120" w:after="0" w:line="360" w:lineRule="auto"/>
        <w:rPr>
          <w:color w:val="000000" w:themeColor="text1"/>
          <w:szCs w:val="22"/>
        </w:rPr>
      </w:pPr>
    </w:p>
    <w:p w14:paraId="69561D2D" w14:textId="01585DA3" w:rsidR="004A1982" w:rsidRPr="009A27ED" w:rsidRDefault="004A1982" w:rsidP="007D2635">
      <w:pPr>
        <w:spacing w:before="120" w:after="0" w:line="360" w:lineRule="auto"/>
        <w:rPr>
          <w:szCs w:val="22"/>
        </w:rPr>
      </w:pPr>
      <w:r w:rsidRPr="009A27ED">
        <w:rPr>
          <w:rFonts w:ascii="Times New Roman" w:eastAsia="Times New Roman" w:hAnsi="Times New Roman"/>
          <w:sz w:val="24"/>
          <w:szCs w:val="22"/>
        </w:rPr>
        <w:t xml:space="preserve">Las EE como responsables de la implementación de las actividades REDD+ deberán definir, en común acuerdo con la Oficina de Coordinación REDD+ (OCR), las actividades </w:t>
      </w:r>
      <w:r w:rsidR="005D642E" w:rsidRPr="009A27ED">
        <w:rPr>
          <w:rFonts w:ascii="Times New Roman" w:eastAsia="Times New Roman" w:hAnsi="Times New Roman"/>
          <w:sz w:val="24"/>
          <w:szCs w:val="22"/>
        </w:rPr>
        <w:t xml:space="preserve">tipo </w:t>
      </w:r>
      <w:r w:rsidRPr="009A27ED">
        <w:rPr>
          <w:rFonts w:ascii="Times New Roman" w:eastAsia="Times New Roman" w:hAnsi="Times New Roman"/>
          <w:sz w:val="24"/>
          <w:szCs w:val="22"/>
        </w:rPr>
        <w:t>que serán implementadas por ellas y sus obligaciones relacionadas con la implementación y el monitoreo de las salvaguardas</w:t>
      </w:r>
      <w:r w:rsidR="000359EC" w:rsidRPr="009A27ED">
        <w:rPr>
          <w:rFonts w:ascii="Times New Roman" w:eastAsia="Times New Roman" w:hAnsi="Times New Roman"/>
          <w:sz w:val="24"/>
          <w:szCs w:val="22"/>
        </w:rPr>
        <w:t xml:space="preserve"> ambientales y sociales</w:t>
      </w:r>
      <w:r w:rsidRPr="009A27ED">
        <w:rPr>
          <w:rFonts w:ascii="Times New Roman" w:eastAsia="Times New Roman" w:hAnsi="Times New Roman"/>
          <w:sz w:val="24"/>
          <w:szCs w:val="22"/>
        </w:rPr>
        <w:t xml:space="preserve">, atendiendo recomendaciones del Enfoque Nacional de Salvaguardas de la República Dominicana.  La OCR acompañará a las entidades ejecutoras en la elaboración de los acuerdos </w:t>
      </w:r>
      <w:r w:rsidRPr="009A27ED">
        <w:rPr>
          <w:rFonts w:ascii="Times New Roman" w:eastAsia="Times New Roman" w:hAnsi="Times New Roman"/>
          <w:sz w:val="24"/>
          <w:szCs w:val="22"/>
        </w:rPr>
        <w:lastRenderedPageBreak/>
        <w:t>que deberán ser presentados al CTA con la finalidad de validar que se estará cumpliendo con las políticas operacionales del Banco Mundial y las salvaguardas de la CMNUCC.</w:t>
      </w:r>
    </w:p>
    <w:p w14:paraId="3A898E72" w14:textId="22361DE3" w:rsidR="007D2635" w:rsidRPr="009A27ED" w:rsidRDefault="004A1982" w:rsidP="007D2635">
      <w:pPr>
        <w:spacing w:before="120" w:after="0" w:line="360" w:lineRule="auto"/>
        <w:rPr>
          <w:b/>
          <w:szCs w:val="22"/>
        </w:rPr>
      </w:pPr>
      <w:r w:rsidRPr="009A27ED">
        <w:rPr>
          <w:rFonts w:ascii="Times New Roman" w:eastAsia="Times New Roman" w:hAnsi="Times New Roman"/>
          <w:sz w:val="24"/>
          <w:szCs w:val="22"/>
        </w:rPr>
        <w:t>El acuerdo interinstitucional deberá contener aspectos claves sobre las actividades a implementar, su vínculo con las opciones y acciones REDD+, su ubicación, su cronograma, sus potenciales impactos y medidas de mitigación (PMAS), entre otros aspectos claves que definen al proyecto o programa dentro del marco de la Estrategia REDD</w:t>
      </w:r>
      <w:r w:rsidRPr="009A27ED">
        <w:rPr>
          <w:rFonts w:ascii="Times New Roman" w:eastAsia="Times New Roman" w:hAnsi="Times New Roman"/>
          <w:b/>
          <w:sz w:val="24"/>
          <w:szCs w:val="22"/>
        </w:rPr>
        <w:t xml:space="preserve">+. </w:t>
      </w:r>
    </w:p>
    <w:p w14:paraId="1125466A" w14:textId="77777777" w:rsidR="000E3A08" w:rsidRPr="009A27ED" w:rsidRDefault="000E3A08" w:rsidP="007D2635">
      <w:pPr>
        <w:spacing w:before="120" w:after="0" w:line="360" w:lineRule="auto"/>
        <w:rPr>
          <w:b/>
          <w:szCs w:val="22"/>
        </w:rPr>
      </w:pPr>
    </w:p>
    <w:p w14:paraId="4A2A8EB2" w14:textId="338202CB" w:rsidR="007D2635" w:rsidRPr="009A27ED" w:rsidRDefault="007D2635" w:rsidP="00E67CB0">
      <w:pPr>
        <w:pStyle w:val="Ttulo3"/>
        <w:numPr>
          <w:ilvl w:val="2"/>
          <w:numId w:val="278"/>
        </w:numPr>
        <w:spacing w:line="360" w:lineRule="auto"/>
        <w:jc w:val="both"/>
        <w:rPr>
          <w:bCs/>
        </w:rPr>
      </w:pPr>
      <w:bookmarkStart w:id="315" w:name="_Toc1679052"/>
      <w:bookmarkStart w:id="316" w:name="_Toc111837993"/>
      <w:r w:rsidRPr="009A27ED">
        <w:rPr>
          <w:rFonts w:ascii="Times New Roman" w:eastAsia="Times New Roman" w:hAnsi="Times New Roman"/>
          <w:bCs/>
          <w:sz w:val="24"/>
        </w:rPr>
        <w:t>Fase I Preparación</w:t>
      </w:r>
      <w:bookmarkEnd w:id="315"/>
      <w:bookmarkEnd w:id="316"/>
    </w:p>
    <w:p w14:paraId="5DB10FFD" w14:textId="3EA4E857" w:rsidR="007D2635" w:rsidRPr="009A27ED" w:rsidRDefault="007D2635" w:rsidP="007D2635">
      <w:pPr>
        <w:spacing w:line="360" w:lineRule="auto"/>
        <w:rPr>
          <w:szCs w:val="22"/>
        </w:rPr>
      </w:pPr>
      <w:r w:rsidRPr="009A27ED">
        <w:rPr>
          <w:rFonts w:ascii="Times New Roman" w:eastAsia="Times New Roman" w:hAnsi="Times New Roman"/>
          <w:sz w:val="24"/>
          <w:szCs w:val="22"/>
        </w:rPr>
        <w:t>Durante esta fase se realizará la socialización del proyecto entre las Entidades Ejecutoras, sus Asociados, Personal de asistencia técnica y beneficiarios, a través de jornadas de capacitación sobre salvaguardas en las diferentes áreas priorizadas, la información pertinente se hará llegar a las organizaciones por conducto de la OCR</w:t>
      </w:r>
      <w:r w:rsidRPr="009A27ED">
        <w:rPr>
          <w:rFonts w:ascii="Times New Roman" w:eastAsia="Times New Roman" w:hAnsi="Times New Roman"/>
          <w:color w:val="000000" w:themeColor="text1"/>
          <w:sz w:val="24"/>
          <w:szCs w:val="22"/>
        </w:rPr>
        <w:t xml:space="preserve">. </w:t>
      </w:r>
      <w:r w:rsidRPr="009A27ED">
        <w:rPr>
          <w:rFonts w:ascii="Times New Roman" w:eastAsia="Times New Roman" w:hAnsi="Times New Roman"/>
          <w:sz w:val="24"/>
          <w:szCs w:val="22"/>
        </w:rPr>
        <w:t>También se emplearán los sitios web del Ministerio de Medio Ambiente y Recursos Naturales y de las propias Entidades Ejecutoras.</w:t>
      </w:r>
    </w:p>
    <w:p w14:paraId="6CBF4821" w14:textId="57722DEB" w:rsidR="007D2635" w:rsidRPr="009A27ED" w:rsidRDefault="007D2635" w:rsidP="007D2635">
      <w:pPr>
        <w:spacing w:before="120" w:after="0" w:line="360" w:lineRule="auto"/>
        <w:rPr>
          <w:szCs w:val="22"/>
        </w:rPr>
      </w:pPr>
      <w:r w:rsidRPr="009A27ED">
        <w:rPr>
          <w:rFonts w:ascii="Times New Roman" w:eastAsia="Times New Roman" w:hAnsi="Times New Roman"/>
          <w:sz w:val="24"/>
          <w:szCs w:val="22"/>
        </w:rPr>
        <w:t xml:space="preserve">La información y requisitos del procedimiento para el abordaje de las salvaguardas ambientales y sociales que se aplicará a lo largo del ciclo de las actividades que se implementarán en el contexto de REDD+, será integrado por las Entidades Ejecutoras en sus propios procedimientos, Reglas de Operación o Programas operativos en preparación a la emisión de convocatorias </w:t>
      </w:r>
      <w:r w:rsidR="00207243" w:rsidRPr="009A27ED">
        <w:rPr>
          <w:rFonts w:ascii="Times New Roman" w:eastAsia="Times New Roman" w:hAnsi="Times New Roman"/>
          <w:sz w:val="24"/>
          <w:szCs w:val="22"/>
        </w:rPr>
        <w:t>para registro.</w:t>
      </w:r>
    </w:p>
    <w:p w14:paraId="013F176C" w14:textId="77777777" w:rsidR="007D2635" w:rsidRPr="009A27ED" w:rsidRDefault="007D2635" w:rsidP="007D2635">
      <w:pPr>
        <w:spacing w:before="120" w:after="0" w:line="360" w:lineRule="auto"/>
        <w:rPr>
          <w:szCs w:val="22"/>
        </w:rPr>
      </w:pPr>
    </w:p>
    <w:p w14:paraId="1CA9936B" w14:textId="721BDDA3" w:rsidR="00F41CC9" w:rsidRPr="009A27ED" w:rsidRDefault="007D2635" w:rsidP="00E67CB0">
      <w:pPr>
        <w:pStyle w:val="Ttulo3"/>
        <w:numPr>
          <w:ilvl w:val="2"/>
          <w:numId w:val="278"/>
        </w:numPr>
        <w:spacing w:line="360" w:lineRule="auto"/>
        <w:jc w:val="both"/>
        <w:rPr>
          <w:bCs/>
          <w:color w:val="000000" w:themeColor="text1"/>
        </w:rPr>
      </w:pPr>
      <w:r w:rsidRPr="009A27ED">
        <w:rPr>
          <w:rFonts w:ascii="Times New Roman" w:eastAsia="Times New Roman" w:hAnsi="Times New Roman"/>
          <w:b w:val="0"/>
          <w:sz w:val="24"/>
        </w:rPr>
        <w:t xml:space="preserve"> </w:t>
      </w:r>
      <w:bookmarkStart w:id="317" w:name="_Toc111837994"/>
      <w:r w:rsidRPr="009A27ED">
        <w:rPr>
          <w:rFonts w:ascii="Times New Roman" w:eastAsia="Times New Roman" w:hAnsi="Times New Roman"/>
          <w:bCs/>
          <w:sz w:val="24"/>
        </w:rPr>
        <w:t xml:space="preserve">Fase II </w:t>
      </w:r>
      <w:r w:rsidRPr="009A27ED">
        <w:rPr>
          <w:rFonts w:ascii="Times New Roman" w:eastAsia="Times New Roman" w:hAnsi="Times New Roman"/>
          <w:bCs/>
          <w:color w:val="000000" w:themeColor="text1"/>
          <w:sz w:val="24"/>
        </w:rPr>
        <w:t xml:space="preserve">Selección de </w:t>
      </w:r>
      <w:r w:rsidR="005D642E" w:rsidRPr="009A27ED">
        <w:rPr>
          <w:rFonts w:ascii="Times New Roman" w:eastAsia="Times New Roman" w:hAnsi="Times New Roman"/>
          <w:bCs/>
          <w:color w:val="000000" w:themeColor="text1"/>
          <w:sz w:val="24"/>
        </w:rPr>
        <w:t>las actividades</w:t>
      </w:r>
      <w:r w:rsidRPr="009A27ED">
        <w:rPr>
          <w:rFonts w:ascii="Times New Roman" w:eastAsia="Times New Roman" w:hAnsi="Times New Roman"/>
          <w:bCs/>
          <w:color w:val="000000" w:themeColor="text1"/>
          <w:sz w:val="24"/>
        </w:rPr>
        <w:t xml:space="preserve"> por parte de las Entidades Ejecutoras y registro de beneficiarios</w:t>
      </w:r>
      <w:bookmarkEnd w:id="317"/>
    </w:p>
    <w:p w14:paraId="14E6E3F1" w14:textId="23AD79C7" w:rsidR="00F41CC9" w:rsidRPr="009A27ED" w:rsidRDefault="00F41CC9" w:rsidP="00F41CC9">
      <w:pPr>
        <w:spacing w:line="360" w:lineRule="auto"/>
        <w:rPr>
          <w:color w:val="000000" w:themeColor="text1"/>
          <w:szCs w:val="22"/>
          <w:lang w:val="es-MX"/>
        </w:rPr>
      </w:pPr>
      <w:r w:rsidRPr="009A27ED">
        <w:rPr>
          <w:rFonts w:ascii="Times New Roman" w:eastAsia="Times New Roman" w:hAnsi="Times New Roman"/>
          <w:color w:val="000000" w:themeColor="text1"/>
          <w:sz w:val="24"/>
          <w:szCs w:val="22"/>
        </w:rPr>
        <w:t xml:space="preserve">Para recibir un apoyo, los posibles beneficiarios deberán llenar la Solicitud de </w:t>
      </w:r>
      <w:r w:rsidR="00876EA4" w:rsidRPr="009A27ED">
        <w:rPr>
          <w:rFonts w:ascii="Times New Roman" w:eastAsia="Times New Roman" w:hAnsi="Times New Roman"/>
          <w:color w:val="000000" w:themeColor="text1"/>
          <w:sz w:val="24"/>
          <w:szCs w:val="22"/>
        </w:rPr>
        <w:t>Registro al Programa REDD+</w:t>
      </w:r>
      <w:r w:rsidRPr="009A27ED">
        <w:rPr>
          <w:rFonts w:ascii="Times New Roman" w:eastAsia="Times New Roman" w:hAnsi="Times New Roman"/>
          <w:color w:val="000000" w:themeColor="text1"/>
          <w:sz w:val="24"/>
          <w:szCs w:val="22"/>
        </w:rPr>
        <w:t xml:space="preserve">, que revisará el órgano responsable en cada Entidad Ejecutora, donde se verificará la documentación requerida en la solicitud presentada por los posibles beneficiarios. En este proceso de dictaminación se evalúa si las solicitudes cumplen con todos los requerimientos, incluyendo los datos y ubicación </w:t>
      </w:r>
      <w:r w:rsidR="005D642E" w:rsidRPr="009A27ED">
        <w:rPr>
          <w:rFonts w:ascii="Times New Roman" w:eastAsia="Times New Roman" w:hAnsi="Times New Roman"/>
          <w:color w:val="000000" w:themeColor="text1"/>
          <w:sz w:val="24"/>
          <w:szCs w:val="22"/>
        </w:rPr>
        <w:t>de la actividad</w:t>
      </w:r>
      <w:r w:rsidRPr="009A27ED">
        <w:rPr>
          <w:rFonts w:ascii="Times New Roman" w:eastAsia="Times New Roman" w:hAnsi="Times New Roman"/>
          <w:color w:val="000000" w:themeColor="text1"/>
          <w:sz w:val="24"/>
          <w:szCs w:val="22"/>
        </w:rPr>
        <w:t xml:space="preserve">, las condiciones físicas del predio, verificación y legitimación de cada tipo de tenencia de la tierra, así como las condiciones definidas por cada EE para ser considerados como candidatos al </w:t>
      </w:r>
      <w:r w:rsidR="00876EA4" w:rsidRPr="009A27ED">
        <w:rPr>
          <w:rFonts w:ascii="Times New Roman" w:eastAsia="Times New Roman" w:hAnsi="Times New Roman"/>
          <w:color w:val="000000" w:themeColor="text1"/>
          <w:sz w:val="24"/>
          <w:szCs w:val="22"/>
        </w:rPr>
        <w:t>registro</w:t>
      </w:r>
      <w:r w:rsidRPr="009A27ED">
        <w:rPr>
          <w:rFonts w:ascii="Times New Roman" w:eastAsia="Times New Roman" w:hAnsi="Times New Roman"/>
          <w:color w:val="000000" w:themeColor="text1"/>
          <w:sz w:val="24"/>
          <w:szCs w:val="22"/>
        </w:rPr>
        <w:t>, dentro de los que pueden estar:</w:t>
      </w:r>
    </w:p>
    <w:p w14:paraId="78C34F5E" w14:textId="412CAB7A" w:rsidR="00F41CC9" w:rsidRPr="009A27ED" w:rsidRDefault="00F41CC9" w:rsidP="00E67CB0">
      <w:pPr>
        <w:pStyle w:val="Prrafodelista"/>
        <w:numPr>
          <w:ilvl w:val="0"/>
          <w:numId w:val="297"/>
        </w:numPr>
        <w:spacing w:before="240" w:after="0" w:line="360" w:lineRule="auto"/>
        <w:rPr>
          <w:color w:val="000000" w:themeColor="text1"/>
          <w:szCs w:val="22"/>
          <w:lang w:val="es-ES"/>
        </w:rPr>
      </w:pPr>
      <w:r w:rsidRPr="009A27ED">
        <w:rPr>
          <w:rFonts w:ascii="Times New Roman" w:eastAsia="Times New Roman" w:hAnsi="Times New Roman"/>
          <w:color w:val="000000" w:themeColor="text1"/>
          <w:sz w:val="24"/>
          <w:szCs w:val="22"/>
          <w:lang w:val="es-ES"/>
        </w:rPr>
        <w:t>La solicitud deberá establecer el compromiso del solicitante para cumplir con lo indicado en los documentos y procedimientos establecidos por el MGAS.</w:t>
      </w:r>
    </w:p>
    <w:p w14:paraId="77C8B98A" w14:textId="11158DD5" w:rsidR="00F41CC9" w:rsidRPr="009A27ED" w:rsidRDefault="00F41CC9" w:rsidP="00E67CB0">
      <w:pPr>
        <w:pStyle w:val="Prrafodelista"/>
        <w:numPr>
          <w:ilvl w:val="0"/>
          <w:numId w:val="297"/>
        </w:numPr>
        <w:spacing w:before="240" w:after="0" w:line="360" w:lineRule="auto"/>
        <w:rPr>
          <w:szCs w:val="22"/>
          <w:lang w:val="es-ES"/>
        </w:rPr>
      </w:pPr>
      <w:r w:rsidRPr="009A27ED">
        <w:rPr>
          <w:rFonts w:ascii="Times New Roman" w:eastAsia="Times New Roman" w:hAnsi="Times New Roman"/>
          <w:sz w:val="24"/>
          <w:szCs w:val="22"/>
          <w:lang w:val="es-ES"/>
        </w:rPr>
        <w:lastRenderedPageBreak/>
        <w:t xml:space="preserve">La solicitud deberá establecer que las actividades cumplirán con las salvaguardas ambientales y sociales, así como con las medidas de mitigación establecidas en el Plan de Manejo Ambiental y Social (PMAS), Marco de Procedimiento para Reasentamiento Involuntario (MPRI), Marco de Procedimiento (MP) y Plan de manejo de Plagas (PMP). </w:t>
      </w:r>
    </w:p>
    <w:p w14:paraId="6A82CEA7" w14:textId="77777777" w:rsidR="00F41CC9" w:rsidRPr="009A27ED" w:rsidRDefault="00F41CC9" w:rsidP="00E67CB0">
      <w:pPr>
        <w:pStyle w:val="Prrafodelista"/>
        <w:numPr>
          <w:ilvl w:val="0"/>
          <w:numId w:val="297"/>
        </w:numPr>
        <w:spacing w:before="240" w:after="0" w:line="360" w:lineRule="auto"/>
        <w:rPr>
          <w:szCs w:val="22"/>
          <w:lang w:val="es-ES"/>
        </w:rPr>
      </w:pPr>
      <w:r w:rsidRPr="009A27ED">
        <w:rPr>
          <w:rFonts w:ascii="Times New Roman" w:eastAsia="Times New Roman" w:hAnsi="Times New Roman"/>
          <w:sz w:val="24"/>
          <w:szCs w:val="22"/>
          <w:lang w:val="es-ES"/>
        </w:rPr>
        <w:t xml:space="preserve">Las solicitudes recibidas serán sujetas a revisión para determinar su elegibilidad, a partir de la información presentada por los solicitantes, en donde se analizará la factibilidad de los proyectos desde los puntos de vista técnico, económico, financiero, ambiental y social. </w:t>
      </w:r>
    </w:p>
    <w:p w14:paraId="373ECFAF" w14:textId="4A600B9A" w:rsidR="00F41CC9" w:rsidRPr="009A27ED" w:rsidRDefault="00F41CC9" w:rsidP="00E67CB0">
      <w:pPr>
        <w:pStyle w:val="Prrafodelista"/>
        <w:numPr>
          <w:ilvl w:val="0"/>
          <w:numId w:val="297"/>
        </w:numPr>
        <w:spacing w:before="240" w:after="0" w:line="360" w:lineRule="auto"/>
        <w:rPr>
          <w:szCs w:val="22"/>
          <w:lang w:val="es-ES"/>
        </w:rPr>
      </w:pPr>
      <w:r w:rsidRPr="009A27ED">
        <w:rPr>
          <w:rFonts w:ascii="Times New Roman" w:eastAsia="Times New Roman" w:hAnsi="Times New Roman"/>
          <w:sz w:val="24"/>
          <w:szCs w:val="22"/>
          <w:lang w:val="es-ES"/>
        </w:rPr>
        <w:t>La ubicación física del predio deberá cumplir con las salvaguardas</w:t>
      </w:r>
      <w:r w:rsidR="000359EC" w:rsidRPr="009A27ED">
        <w:rPr>
          <w:rFonts w:ascii="Times New Roman" w:eastAsia="Times New Roman" w:hAnsi="Times New Roman"/>
          <w:sz w:val="24"/>
          <w:szCs w:val="22"/>
          <w:lang w:val="es-ES"/>
        </w:rPr>
        <w:t xml:space="preserve"> ambientales y sociales</w:t>
      </w:r>
      <w:r w:rsidRPr="009A27ED">
        <w:rPr>
          <w:rFonts w:ascii="Times New Roman" w:eastAsia="Times New Roman" w:hAnsi="Times New Roman"/>
          <w:sz w:val="24"/>
          <w:szCs w:val="22"/>
          <w:lang w:val="es-ES"/>
        </w:rPr>
        <w:t xml:space="preserve"> y criterios aplicables. </w:t>
      </w:r>
    </w:p>
    <w:p w14:paraId="7FB23F71" w14:textId="77777777" w:rsidR="00F41CC9" w:rsidRPr="009A27ED" w:rsidRDefault="00F41CC9" w:rsidP="00E67CB0">
      <w:pPr>
        <w:pStyle w:val="Prrafodelista"/>
        <w:numPr>
          <w:ilvl w:val="0"/>
          <w:numId w:val="297"/>
        </w:numPr>
        <w:spacing w:before="240" w:after="0" w:line="360" w:lineRule="auto"/>
        <w:rPr>
          <w:color w:val="000000" w:themeColor="text1"/>
          <w:szCs w:val="22"/>
          <w:lang w:val="es-ES"/>
        </w:rPr>
      </w:pPr>
      <w:r w:rsidRPr="009A27ED">
        <w:rPr>
          <w:rFonts w:ascii="Times New Roman" w:eastAsia="Times New Roman" w:hAnsi="Times New Roman"/>
          <w:color w:val="000000" w:themeColor="text1"/>
          <w:sz w:val="24"/>
          <w:szCs w:val="22"/>
          <w:lang w:val="es-ES"/>
        </w:rPr>
        <w:t>Las solicitudes deberán indicar claramente que no se apoyarán actividades o subproyectos que se encuentren en la lista de actividades excluidas establecida en el MGAS.</w:t>
      </w:r>
    </w:p>
    <w:p w14:paraId="7438CE34" w14:textId="1B65A510" w:rsidR="00F41CC9" w:rsidRPr="009A27ED" w:rsidRDefault="00F41CC9" w:rsidP="00E67CB0">
      <w:pPr>
        <w:pStyle w:val="Prrafodelista"/>
        <w:numPr>
          <w:ilvl w:val="0"/>
          <w:numId w:val="297"/>
        </w:numPr>
        <w:spacing w:before="240" w:after="0" w:line="360" w:lineRule="auto"/>
        <w:rPr>
          <w:color w:val="000000" w:themeColor="text1"/>
          <w:szCs w:val="22"/>
          <w:lang w:val="es-ES"/>
        </w:rPr>
      </w:pPr>
      <w:r w:rsidRPr="009A27ED">
        <w:rPr>
          <w:rFonts w:ascii="Times New Roman" w:eastAsia="Times New Roman" w:hAnsi="Times New Roman"/>
          <w:color w:val="000000" w:themeColor="text1"/>
          <w:sz w:val="24"/>
          <w:szCs w:val="22"/>
          <w:lang w:val="es-ES"/>
        </w:rPr>
        <w:t xml:space="preserve">La verificación y legitimación </w:t>
      </w:r>
      <w:r w:rsidR="00AB5A50" w:rsidRPr="009A27ED">
        <w:rPr>
          <w:rFonts w:ascii="Times New Roman" w:eastAsia="Times New Roman" w:hAnsi="Times New Roman"/>
          <w:color w:val="000000" w:themeColor="text1"/>
          <w:sz w:val="24"/>
          <w:szCs w:val="22"/>
          <w:lang w:val="es-ES"/>
        </w:rPr>
        <w:t xml:space="preserve">de </w:t>
      </w:r>
      <w:r w:rsidRPr="009A27ED">
        <w:rPr>
          <w:rFonts w:ascii="Times New Roman" w:eastAsia="Times New Roman" w:hAnsi="Times New Roman"/>
          <w:color w:val="000000" w:themeColor="text1"/>
          <w:sz w:val="24"/>
          <w:szCs w:val="22"/>
          <w:lang w:val="es-ES"/>
        </w:rPr>
        <w:t xml:space="preserve">cada tipo de tenencia de la tierra deberá basarse en la validación de los diferentes documentos que permitan demostrar la vinculación jurídica entre el solicitante y el predio donde está ubicado el proyecto, ya sea poseedor de hecho o propietario formal. </w:t>
      </w:r>
    </w:p>
    <w:p w14:paraId="2342E801" w14:textId="77777777" w:rsidR="0023089F" w:rsidRPr="009A27ED" w:rsidRDefault="0023089F" w:rsidP="0023089F">
      <w:pPr>
        <w:pStyle w:val="Prrafodelista"/>
        <w:spacing w:before="240" w:after="0" w:line="360" w:lineRule="auto"/>
        <w:ind w:left="1080"/>
        <w:rPr>
          <w:color w:val="FF0000"/>
          <w:szCs w:val="22"/>
          <w:u w:val="single"/>
          <w:lang w:val="es-ES"/>
        </w:rPr>
      </w:pPr>
    </w:p>
    <w:p w14:paraId="24188ED2" w14:textId="77777777" w:rsidR="007D2635" w:rsidRPr="009A27ED" w:rsidRDefault="007D2635" w:rsidP="00E67CB0">
      <w:pPr>
        <w:pStyle w:val="Ttulo3"/>
        <w:numPr>
          <w:ilvl w:val="2"/>
          <w:numId w:val="278"/>
        </w:numPr>
        <w:spacing w:line="360" w:lineRule="auto"/>
        <w:jc w:val="both"/>
        <w:rPr>
          <w:bCs/>
        </w:rPr>
      </w:pPr>
      <w:bookmarkStart w:id="318" w:name="_Toc111837995"/>
      <w:r w:rsidRPr="009A27ED">
        <w:rPr>
          <w:rFonts w:ascii="Times New Roman" w:eastAsia="Times New Roman" w:hAnsi="Times New Roman"/>
          <w:bCs/>
          <w:sz w:val="24"/>
        </w:rPr>
        <w:t>Fase III Planes de Manejo Ambiental y Social (PMAS) de las actividades específicas REDD+ en cumplimiento de las salvaguardas ambientales y sociales</w:t>
      </w:r>
      <w:bookmarkEnd w:id="318"/>
      <w:r w:rsidRPr="009A27ED">
        <w:rPr>
          <w:rFonts w:ascii="Times New Roman" w:eastAsia="Times New Roman" w:hAnsi="Times New Roman"/>
          <w:bCs/>
          <w:sz w:val="24"/>
        </w:rPr>
        <w:t xml:space="preserve"> </w:t>
      </w:r>
    </w:p>
    <w:p w14:paraId="5D2BCDFA" w14:textId="34AB2D7B" w:rsidR="007D2635" w:rsidRPr="009A27ED" w:rsidRDefault="007D2635" w:rsidP="007D2635">
      <w:pPr>
        <w:spacing w:before="120" w:after="0" w:line="360" w:lineRule="auto"/>
        <w:rPr>
          <w:szCs w:val="22"/>
        </w:rPr>
      </w:pPr>
      <w:bookmarkStart w:id="319" w:name="_Hlk20582514"/>
      <w:r w:rsidRPr="009A27ED">
        <w:rPr>
          <w:rFonts w:ascii="Times New Roman" w:eastAsia="Times New Roman" w:hAnsi="Times New Roman"/>
          <w:sz w:val="24"/>
          <w:szCs w:val="22"/>
        </w:rPr>
        <w:t xml:space="preserve">El PMAS es un documento que se </w:t>
      </w:r>
      <w:r w:rsidR="00434410" w:rsidRPr="009A27ED">
        <w:rPr>
          <w:rFonts w:ascii="Times New Roman" w:eastAsia="Times New Roman" w:hAnsi="Times New Roman"/>
          <w:sz w:val="24"/>
          <w:szCs w:val="22"/>
        </w:rPr>
        <w:t>incluye</w:t>
      </w:r>
      <w:r w:rsidRPr="009A27ED">
        <w:rPr>
          <w:rFonts w:ascii="Times New Roman" w:eastAsia="Times New Roman" w:hAnsi="Times New Roman"/>
          <w:sz w:val="24"/>
          <w:szCs w:val="22"/>
        </w:rPr>
        <w:t xml:space="preserve"> como sección/anexo del Acuerdo Interinstitucional</w:t>
      </w:r>
      <w:r w:rsidR="00874F12" w:rsidRPr="009A27ED">
        <w:rPr>
          <w:rFonts w:ascii="Times New Roman" w:eastAsia="Times New Roman" w:hAnsi="Times New Roman"/>
          <w:sz w:val="24"/>
          <w:szCs w:val="22"/>
        </w:rPr>
        <w:t xml:space="preserve"> y de cumplimiento obligatorio, en</w:t>
      </w:r>
      <w:r w:rsidRPr="009A27ED">
        <w:rPr>
          <w:rFonts w:ascii="Times New Roman" w:eastAsia="Times New Roman" w:hAnsi="Times New Roman"/>
          <w:sz w:val="24"/>
          <w:szCs w:val="22"/>
        </w:rPr>
        <w:t xml:space="preserve"> el cual se identifican las medidas de mitigación asociadas a los potenciales impactos identificados </w:t>
      </w:r>
      <w:r w:rsidRPr="009A27ED">
        <w:rPr>
          <w:rFonts w:ascii="Times New Roman" w:eastAsia="Times New Roman" w:hAnsi="Times New Roman"/>
          <w:b/>
          <w:sz w:val="24"/>
          <w:szCs w:val="22"/>
        </w:rPr>
        <w:t xml:space="preserve">para cada actividad </w:t>
      </w:r>
      <w:r w:rsidR="00A75283" w:rsidRPr="009A27ED">
        <w:rPr>
          <w:rFonts w:ascii="Times New Roman" w:eastAsia="Times New Roman" w:hAnsi="Times New Roman"/>
          <w:b/>
          <w:sz w:val="24"/>
          <w:szCs w:val="22"/>
        </w:rPr>
        <w:t xml:space="preserve">tipo </w:t>
      </w:r>
      <w:r w:rsidRPr="009A27ED">
        <w:rPr>
          <w:rFonts w:ascii="Times New Roman" w:eastAsia="Times New Roman" w:hAnsi="Times New Roman"/>
          <w:b/>
          <w:sz w:val="24"/>
          <w:szCs w:val="22"/>
        </w:rPr>
        <w:t xml:space="preserve">y que </w:t>
      </w:r>
      <w:r w:rsidR="00A75283" w:rsidRPr="009A27ED">
        <w:rPr>
          <w:rFonts w:ascii="Times New Roman" w:eastAsia="Times New Roman" w:hAnsi="Times New Roman"/>
          <w:b/>
          <w:sz w:val="24"/>
          <w:szCs w:val="22"/>
        </w:rPr>
        <w:t xml:space="preserve">define </w:t>
      </w:r>
      <w:r w:rsidRPr="009A27ED">
        <w:rPr>
          <w:rFonts w:ascii="Times New Roman" w:eastAsia="Times New Roman" w:hAnsi="Times New Roman"/>
          <w:b/>
          <w:sz w:val="24"/>
          <w:szCs w:val="22"/>
        </w:rPr>
        <w:t xml:space="preserve">el marco de aplicación y supervisión de los impactos ambientales y sociales a lo largo de la ejecución de la </w:t>
      </w:r>
      <w:r w:rsidR="000359EC" w:rsidRPr="009A27ED">
        <w:rPr>
          <w:rFonts w:ascii="Times New Roman" w:eastAsia="Times New Roman" w:hAnsi="Times New Roman"/>
          <w:b/>
          <w:i/>
          <w:sz w:val="24"/>
          <w:szCs w:val="22"/>
        </w:rPr>
        <w:t>A</w:t>
      </w:r>
      <w:r w:rsidRPr="009A27ED">
        <w:rPr>
          <w:rFonts w:ascii="Times New Roman" w:eastAsia="Times New Roman" w:hAnsi="Times New Roman"/>
          <w:b/>
          <w:i/>
          <w:sz w:val="24"/>
          <w:szCs w:val="22"/>
        </w:rPr>
        <w:t>ctividad</w:t>
      </w:r>
      <w:r w:rsidR="000359EC" w:rsidRPr="009A27ED">
        <w:rPr>
          <w:rFonts w:ascii="Times New Roman" w:eastAsia="Times New Roman" w:hAnsi="Times New Roman"/>
          <w:b/>
          <w:i/>
          <w:sz w:val="24"/>
          <w:szCs w:val="22"/>
        </w:rPr>
        <w:t xml:space="preserve"> Tipo REDD+</w:t>
      </w:r>
      <w:r w:rsidRPr="009A27ED">
        <w:rPr>
          <w:rFonts w:ascii="Times New Roman" w:eastAsia="Times New Roman" w:hAnsi="Times New Roman"/>
          <w:sz w:val="24"/>
          <w:szCs w:val="22"/>
        </w:rPr>
        <w:t xml:space="preserve">. </w:t>
      </w:r>
    </w:p>
    <w:p w14:paraId="7489D8CB" w14:textId="2BF0CE4E" w:rsidR="007D2635" w:rsidRPr="009A27ED" w:rsidRDefault="007D2635" w:rsidP="007D2635">
      <w:pPr>
        <w:spacing w:before="120" w:after="0" w:line="360" w:lineRule="auto"/>
        <w:rPr>
          <w:szCs w:val="22"/>
        </w:rPr>
      </w:pPr>
      <w:bookmarkStart w:id="320" w:name="_Hlk4787474"/>
      <w:r w:rsidRPr="009A27ED">
        <w:rPr>
          <w:rFonts w:ascii="Times New Roman" w:eastAsia="Times New Roman" w:hAnsi="Times New Roman"/>
          <w:sz w:val="24"/>
          <w:szCs w:val="22"/>
        </w:rPr>
        <w:t>La estructura del PMAS se basa en la información requerida por la OP 4.01 anexo C del BM, e incluye</w:t>
      </w:r>
      <w:r w:rsidRPr="009A27ED">
        <w:rPr>
          <w:rStyle w:val="Refdenotaalpie"/>
          <w:rFonts w:asciiTheme="minorHAnsi" w:eastAsia="Times New Roman" w:hAnsiTheme="minorHAnsi"/>
          <w:sz w:val="24"/>
          <w:szCs w:val="22"/>
        </w:rPr>
        <w:footnoteReference w:id="73"/>
      </w:r>
      <w:r w:rsidRPr="009A27ED">
        <w:rPr>
          <w:rFonts w:ascii="Times New Roman" w:eastAsia="Times New Roman" w:hAnsi="Times New Roman"/>
          <w:sz w:val="24"/>
          <w:szCs w:val="22"/>
        </w:rPr>
        <w:t xml:space="preserve"> entre otras cosas: </w:t>
      </w:r>
      <w:r w:rsidRPr="009A27ED">
        <w:rPr>
          <w:rFonts w:ascii="Times New Roman" w:eastAsia="Times New Roman" w:hAnsi="Times New Roman"/>
          <w:b/>
          <w:color w:val="000000"/>
          <w:sz w:val="24"/>
          <w:szCs w:val="22"/>
        </w:rPr>
        <w:t xml:space="preserve">La caracterización de las áreas priorizadas, la descripción de la actividad </w:t>
      </w:r>
      <w:r w:rsidR="00A75283" w:rsidRPr="009A27ED">
        <w:rPr>
          <w:rFonts w:ascii="Times New Roman" w:eastAsia="Times New Roman" w:hAnsi="Times New Roman"/>
          <w:b/>
          <w:color w:val="000000"/>
          <w:sz w:val="24"/>
          <w:szCs w:val="22"/>
        </w:rPr>
        <w:t xml:space="preserve">tipo </w:t>
      </w:r>
      <w:r w:rsidRPr="009A27ED">
        <w:rPr>
          <w:rFonts w:ascii="Times New Roman" w:eastAsia="Times New Roman" w:hAnsi="Times New Roman"/>
          <w:b/>
          <w:color w:val="000000"/>
          <w:sz w:val="24"/>
          <w:szCs w:val="22"/>
        </w:rPr>
        <w:t>que será implementada, los impactos ambientales y las medidas de mitigación</w:t>
      </w:r>
      <w:r w:rsidRPr="009A27ED">
        <w:rPr>
          <w:rFonts w:ascii="Times New Roman" w:eastAsia="Times New Roman" w:hAnsi="Times New Roman"/>
          <w:color w:val="000000"/>
          <w:sz w:val="24"/>
          <w:szCs w:val="22"/>
        </w:rPr>
        <w:t xml:space="preserve"> para </w:t>
      </w:r>
      <w:r w:rsidRPr="009A27ED">
        <w:rPr>
          <w:rFonts w:ascii="Times New Roman" w:eastAsia="Times New Roman" w:hAnsi="Times New Roman"/>
          <w:sz w:val="24"/>
          <w:szCs w:val="22"/>
        </w:rPr>
        <w:t xml:space="preserve">evitar, mitigar, revertir y/o compensar </w:t>
      </w:r>
      <w:r w:rsidRPr="009A27ED">
        <w:rPr>
          <w:rFonts w:ascii="Times New Roman" w:eastAsia="Times New Roman" w:hAnsi="Times New Roman"/>
          <w:color w:val="000000"/>
          <w:sz w:val="24"/>
          <w:szCs w:val="22"/>
        </w:rPr>
        <w:t xml:space="preserve">los riesgos e impactos adversos identificados, cumpliendo con las salvaguardas activadas. </w:t>
      </w:r>
      <w:r w:rsidRPr="009A27ED">
        <w:rPr>
          <w:rFonts w:ascii="Times New Roman" w:eastAsia="Times New Roman" w:hAnsi="Times New Roman"/>
          <w:sz w:val="24"/>
          <w:szCs w:val="22"/>
        </w:rPr>
        <w:t xml:space="preserve">En estos documentos se identifican </w:t>
      </w:r>
      <w:r w:rsidRPr="009A27ED">
        <w:rPr>
          <w:rFonts w:ascii="Times New Roman" w:eastAsia="Times New Roman" w:hAnsi="Times New Roman"/>
          <w:i/>
          <w:sz w:val="24"/>
          <w:szCs w:val="22"/>
        </w:rPr>
        <w:t>medidas viables y costo efectivas</w:t>
      </w:r>
      <w:r w:rsidRPr="009A27ED">
        <w:rPr>
          <w:rFonts w:ascii="Times New Roman" w:eastAsia="Times New Roman" w:hAnsi="Times New Roman"/>
          <w:sz w:val="24"/>
          <w:szCs w:val="22"/>
        </w:rPr>
        <w:t xml:space="preserve"> que puedan reducir los impactos negativos significativos a niveles aceptables, describiendo con detalles técnicos cada medida </w:t>
      </w:r>
      <w:r w:rsidRPr="009A27ED">
        <w:rPr>
          <w:rFonts w:ascii="Times New Roman" w:eastAsia="Times New Roman" w:hAnsi="Times New Roman"/>
          <w:sz w:val="24"/>
          <w:szCs w:val="22"/>
        </w:rPr>
        <w:lastRenderedPageBreak/>
        <w:t xml:space="preserve">de mitigación, incluyendo el tipo de impacto a la cual hace referencia cada una y las condiciones en que se hace necesaria, incluyendo aquellos aspectos de higiene y seguridad ocupacional, así como los riesgos potenciales para las comunidades. </w:t>
      </w:r>
    </w:p>
    <w:p w14:paraId="674ECFF1" w14:textId="4F6518B5" w:rsidR="007D2635" w:rsidRPr="009A27ED" w:rsidRDefault="007D2635" w:rsidP="00D225ED">
      <w:pPr>
        <w:spacing w:before="120" w:after="0" w:line="360" w:lineRule="auto"/>
        <w:rPr>
          <w:szCs w:val="22"/>
        </w:rPr>
      </w:pPr>
      <w:r w:rsidRPr="009A27ED">
        <w:rPr>
          <w:rFonts w:ascii="Times New Roman" w:eastAsia="Times New Roman" w:hAnsi="Times New Roman"/>
          <w:sz w:val="24"/>
          <w:szCs w:val="22"/>
        </w:rPr>
        <w:t xml:space="preserve">Los PMAS se han elaborado para cada una de las áreas </w:t>
      </w:r>
      <w:r w:rsidR="00A75283" w:rsidRPr="009A27ED">
        <w:rPr>
          <w:rFonts w:ascii="Times New Roman" w:eastAsia="Times New Roman" w:hAnsi="Times New Roman"/>
          <w:sz w:val="24"/>
          <w:szCs w:val="22"/>
        </w:rPr>
        <w:t>priorizadas</w:t>
      </w:r>
      <w:r w:rsidRPr="009A27ED">
        <w:rPr>
          <w:rFonts w:ascii="Times New Roman" w:eastAsia="Times New Roman" w:hAnsi="Times New Roman"/>
          <w:sz w:val="24"/>
          <w:szCs w:val="22"/>
        </w:rPr>
        <w:t xml:space="preserve">, considerando los </w:t>
      </w:r>
      <w:r w:rsidR="008045DD" w:rsidRPr="009A27ED">
        <w:rPr>
          <w:rFonts w:ascii="Times New Roman" w:eastAsia="Times New Roman" w:hAnsi="Times New Roman"/>
          <w:sz w:val="24"/>
          <w:szCs w:val="22"/>
        </w:rPr>
        <w:t xml:space="preserve">planes, sistemas, </w:t>
      </w:r>
      <w:r w:rsidRPr="009A27ED">
        <w:rPr>
          <w:rFonts w:ascii="Times New Roman" w:eastAsia="Times New Roman" w:hAnsi="Times New Roman"/>
          <w:sz w:val="24"/>
          <w:szCs w:val="22"/>
        </w:rPr>
        <w:t>programas y proyectos nacionales que se ejecutan actualmente en cada una de ellas, y con base en los tipos de actividades seleccionadas para las cuales se han identificado los impactos ambientales potenciales y se les han asignado las medidas de mitigación correspondientes.</w:t>
      </w:r>
      <w:r w:rsidR="0023351C" w:rsidRPr="009A27ED">
        <w:rPr>
          <w:rFonts w:ascii="Times New Roman" w:eastAsia="Times New Roman" w:hAnsi="Times New Roman"/>
          <w:sz w:val="24"/>
          <w:szCs w:val="22"/>
        </w:rPr>
        <w:t xml:space="preserve"> </w:t>
      </w:r>
    </w:p>
    <w:p w14:paraId="558C357A" w14:textId="6142DB13" w:rsidR="007D2635" w:rsidRPr="009A27ED" w:rsidRDefault="007D2635" w:rsidP="00C97A18">
      <w:pPr>
        <w:autoSpaceDE w:val="0"/>
        <w:autoSpaceDN w:val="0"/>
        <w:adjustRightInd w:val="0"/>
        <w:spacing w:before="120" w:after="0" w:line="360" w:lineRule="auto"/>
        <w:rPr>
          <w:szCs w:val="22"/>
        </w:rPr>
      </w:pPr>
      <w:r w:rsidRPr="009A27ED">
        <w:rPr>
          <w:rFonts w:ascii="Times New Roman" w:eastAsia="Times New Roman" w:hAnsi="Times New Roman"/>
          <w:sz w:val="24"/>
          <w:szCs w:val="22"/>
        </w:rPr>
        <w:t xml:space="preserve">La identificación de impactos y medidas de mitigación de cada actividad </w:t>
      </w:r>
      <w:r w:rsidR="00A75283" w:rsidRPr="009A27ED">
        <w:rPr>
          <w:rFonts w:ascii="Times New Roman" w:eastAsia="Times New Roman" w:hAnsi="Times New Roman"/>
          <w:sz w:val="24"/>
          <w:szCs w:val="22"/>
        </w:rPr>
        <w:t xml:space="preserve">tipo </w:t>
      </w:r>
      <w:r w:rsidRPr="009A27ED">
        <w:rPr>
          <w:rFonts w:ascii="Times New Roman" w:eastAsia="Times New Roman" w:hAnsi="Times New Roman"/>
          <w:sz w:val="24"/>
          <w:szCs w:val="22"/>
        </w:rPr>
        <w:t xml:space="preserve">se realizó mediante un panel de expertos con la participación de la UTG y </w:t>
      </w:r>
      <w:r w:rsidR="008D29B8" w:rsidRPr="009A27ED">
        <w:rPr>
          <w:rFonts w:ascii="Times New Roman" w:eastAsia="Times New Roman" w:hAnsi="Times New Roman"/>
          <w:sz w:val="24"/>
          <w:szCs w:val="22"/>
        </w:rPr>
        <w:t xml:space="preserve">del </w:t>
      </w:r>
      <w:r w:rsidRPr="009A27ED">
        <w:rPr>
          <w:rFonts w:ascii="Times New Roman" w:eastAsia="Times New Roman" w:hAnsi="Times New Roman"/>
          <w:sz w:val="24"/>
          <w:szCs w:val="22"/>
        </w:rPr>
        <w:t xml:space="preserve">área de impacto ambiental y del área forestal, </w:t>
      </w:r>
      <w:r w:rsidR="008136EF" w:rsidRPr="009A27ED">
        <w:rPr>
          <w:rFonts w:ascii="Times New Roman" w:eastAsia="Times New Roman" w:hAnsi="Times New Roman"/>
          <w:sz w:val="24"/>
          <w:szCs w:val="22"/>
        </w:rPr>
        <w:t xml:space="preserve">quienes se aseguraron de que las medidas definidas fueran técnicamente viables y se  correspondan con el cumplimiento  de la legislación nacional, el MGAS y en concordancia con lo establecido en las salvaguardas ambientales y sociales del BM (incluidas </w:t>
      </w:r>
      <w:r w:rsidR="00A75283" w:rsidRPr="009A27ED">
        <w:rPr>
          <w:rFonts w:ascii="Times New Roman" w:eastAsia="Times New Roman" w:hAnsi="Times New Roman"/>
          <w:i/>
          <w:iCs/>
          <w:sz w:val="24"/>
          <w:szCs w:val="22"/>
          <w:lang w:val="es-MX"/>
        </w:rPr>
        <w:t xml:space="preserve">Guías generales sobre medio ambiente, salud y seguridad </w:t>
      </w:r>
      <w:r w:rsidR="00A75283" w:rsidRPr="009A27ED">
        <w:rPr>
          <w:rFonts w:ascii="Times New Roman" w:eastAsia="Times New Roman" w:hAnsi="Times New Roman"/>
          <w:sz w:val="24"/>
          <w:szCs w:val="22"/>
          <w:lang w:val="es-MX"/>
        </w:rPr>
        <w:t>del Grupo Banco Mundial</w:t>
      </w:r>
      <w:r w:rsidR="008136EF" w:rsidRPr="009A27ED">
        <w:rPr>
          <w:rFonts w:ascii="Times New Roman" w:eastAsia="Times New Roman" w:hAnsi="Times New Roman"/>
          <w:sz w:val="24"/>
          <w:szCs w:val="22"/>
        </w:rPr>
        <w:t>) y de la CMNUCC.</w:t>
      </w:r>
    </w:p>
    <w:bookmarkEnd w:id="320"/>
    <w:p w14:paraId="6E5FDEFB" w14:textId="6EB17EE0" w:rsidR="008136EF" w:rsidRPr="009A27ED" w:rsidRDefault="008136EF" w:rsidP="008136EF">
      <w:pPr>
        <w:autoSpaceDE w:val="0"/>
        <w:autoSpaceDN w:val="0"/>
        <w:adjustRightInd w:val="0"/>
        <w:spacing w:before="120" w:after="0" w:line="360" w:lineRule="auto"/>
        <w:rPr>
          <w:szCs w:val="22"/>
        </w:rPr>
      </w:pPr>
      <w:r w:rsidRPr="009A27ED">
        <w:rPr>
          <w:rFonts w:ascii="Times New Roman" w:eastAsia="Times New Roman" w:hAnsi="Times New Roman"/>
          <w:sz w:val="24"/>
          <w:szCs w:val="22"/>
        </w:rPr>
        <w:t>Para esta fase, una vez aprobad</w:t>
      </w:r>
      <w:r w:rsidR="00A75283" w:rsidRPr="009A27ED">
        <w:rPr>
          <w:rFonts w:ascii="Times New Roman" w:eastAsia="Times New Roman" w:hAnsi="Times New Roman"/>
          <w:sz w:val="24"/>
          <w:szCs w:val="22"/>
        </w:rPr>
        <w:t>a</w:t>
      </w:r>
      <w:r w:rsidRPr="009A27ED">
        <w:rPr>
          <w:rFonts w:ascii="Times New Roman" w:eastAsia="Times New Roman" w:hAnsi="Times New Roman"/>
          <w:sz w:val="24"/>
          <w:szCs w:val="22"/>
        </w:rPr>
        <w:t xml:space="preserve">s </w:t>
      </w:r>
      <w:r w:rsidR="00AB5A50" w:rsidRPr="009A27ED">
        <w:rPr>
          <w:rFonts w:ascii="Times New Roman" w:eastAsia="Times New Roman" w:hAnsi="Times New Roman"/>
          <w:sz w:val="24"/>
          <w:szCs w:val="22"/>
        </w:rPr>
        <w:t xml:space="preserve">las </w:t>
      </w:r>
      <w:r w:rsidR="00A75283" w:rsidRPr="009A27ED">
        <w:rPr>
          <w:rFonts w:ascii="Times New Roman" w:eastAsia="Times New Roman" w:hAnsi="Times New Roman"/>
          <w:sz w:val="24"/>
          <w:szCs w:val="22"/>
        </w:rPr>
        <w:t>actividades y registrados los beneficiarios</w:t>
      </w:r>
      <w:r w:rsidRPr="009A27ED">
        <w:rPr>
          <w:rFonts w:ascii="Times New Roman" w:eastAsia="Times New Roman" w:hAnsi="Times New Roman"/>
          <w:sz w:val="24"/>
          <w:szCs w:val="22"/>
        </w:rPr>
        <w:t xml:space="preserve">, y de acuerdo con la caracterización ambiental y social presentada en el PMAS correspondiente </w:t>
      </w:r>
      <w:r w:rsidR="00F859FC" w:rsidRPr="009A27ED">
        <w:rPr>
          <w:rFonts w:ascii="Times New Roman" w:eastAsia="Times New Roman" w:hAnsi="Times New Roman"/>
          <w:sz w:val="24"/>
          <w:szCs w:val="22"/>
        </w:rPr>
        <w:t xml:space="preserve">a la </w:t>
      </w:r>
      <w:r w:rsidRPr="009A27ED">
        <w:rPr>
          <w:rFonts w:ascii="Times New Roman" w:eastAsia="Times New Roman" w:hAnsi="Times New Roman"/>
          <w:sz w:val="24"/>
          <w:szCs w:val="22"/>
        </w:rPr>
        <w:t xml:space="preserve">Actividad </w:t>
      </w:r>
      <w:r w:rsidR="00F859FC" w:rsidRPr="009A27ED">
        <w:rPr>
          <w:rFonts w:ascii="Times New Roman" w:eastAsia="Times New Roman" w:hAnsi="Times New Roman"/>
          <w:sz w:val="24"/>
          <w:szCs w:val="22"/>
        </w:rPr>
        <w:t xml:space="preserve">Tipo </w:t>
      </w:r>
      <w:r w:rsidRPr="009A27ED">
        <w:rPr>
          <w:rFonts w:ascii="Times New Roman" w:eastAsia="Times New Roman" w:hAnsi="Times New Roman"/>
          <w:sz w:val="24"/>
          <w:szCs w:val="22"/>
        </w:rPr>
        <w:t xml:space="preserve">REDD+, las EE con el apoyo de sus agentes técnicos especificarán la situación actual de los componentes ambientales y sociales en el territorio donde será ejecutada la actividad en cuestión y se establecerán los elementos de mayor sensibilidad del contexto geográfico, ecológico, social y temporal, con lo que </w:t>
      </w:r>
      <w:r w:rsidR="00A75283" w:rsidRPr="009A27ED">
        <w:rPr>
          <w:rFonts w:ascii="Times New Roman" w:eastAsia="Times New Roman" w:hAnsi="Times New Roman"/>
          <w:sz w:val="24"/>
          <w:szCs w:val="22"/>
        </w:rPr>
        <w:t xml:space="preserve">en su caso, </w:t>
      </w:r>
      <w:r w:rsidRPr="009A27ED">
        <w:rPr>
          <w:rFonts w:ascii="Times New Roman" w:eastAsia="Times New Roman" w:hAnsi="Times New Roman"/>
          <w:sz w:val="24"/>
          <w:szCs w:val="22"/>
        </w:rPr>
        <w:t xml:space="preserve">se adecuará el PMAS a implementar, mismo que será presentado a la OCR y CTA para su validación y registro en el </w:t>
      </w:r>
      <w:r w:rsidR="00124B63" w:rsidRPr="009A27ED">
        <w:rPr>
          <w:rFonts w:ascii="Times New Roman" w:eastAsia="Times New Roman" w:hAnsi="Times New Roman"/>
          <w:sz w:val="24"/>
          <w:szCs w:val="22"/>
        </w:rPr>
        <w:t>Programa REDD+</w:t>
      </w:r>
      <w:r w:rsidRPr="009A27ED">
        <w:rPr>
          <w:rFonts w:ascii="Times New Roman" w:eastAsia="Times New Roman" w:hAnsi="Times New Roman"/>
          <w:sz w:val="24"/>
          <w:szCs w:val="22"/>
        </w:rPr>
        <w:t xml:space="preserve">. </w:t>
      </w:r>
    </w:p>
    <w:p w14:paraId="62B34603" w14:textId="2023CB6B" w:rsidR="00C76261" w:rsidRPr="009A27ED" w:rsidRDefault="00C76261" w:rsidP="008136EF">
      <w:pPr>
        <w:autoSpaceDE w:val="0"/>
        <w:autoSpaceDN w:val="0"/>
        <w:adjustRightInd w:val="0"/>
        <w:spacing w:before="120" w:after="0" w:line="360" w:lineRule="auto"/>
        <w:rPr>
          <w:szCs w:val="22"/>
        </w:rPr>
      </w:pPr>
      <w:r w:rsidRPr="009A27ED">
        <w:rPr>
          <w:rFonts w:ascii="Times New Roman" w:eastAsia="Times New Roman" w:hAnsi="Times New Roman"/>
          <w:sz w:val="24"/>
          <w:szCs w:val="22"/>
        </w:rPr>
        <w:t>Se han desarrollado cinco PMAS uno por cada área priorizada para REDD+ según la tabla siguiente:</w:t>
      </w:r>
    </w:p>
    <w:p w14:paraId="183F9AAB" w14:textId="77777777" w:rsidR="00C76261" w:rsidRPr="009A27ED" w:rsidRDefault="00C76261" w:rsidP="008136EF">
      <w:pPr>
        <w:autoSpaceDE w:val="0"/>
        <w:autoSpaceDN w:val="0"/>
        <w:adjustRightInd w:val="0"/>
        <w:spacing w:before="120" w:after="0" w:line="360" w:lineRule="auto"/>
        <w:rPr>
          <w:szCs w:val="22"/>
        </w:rPr>
      </w:pPr>
    </w:p>
    <w:p w14:paraId="7EDB1536" w14:textId="046F6167" w:rsidR="00827E46" w:rsidRPr="009A27ED" w:rsidRDefault="00827E46" w:rsidP="00827E46">
      <w:pPr>
        <w:pStyle w:val="Descripcin"/>
        <w:keepNext/>
        <w:spacing w:line="360" w:lineRule="auto"/>
      </w:pPr>
      <w:bookmarkStart w:id="321" w:name="_Toc111887461"/>
      <w:r w:rsidRPr="009A27ED">
        <w:rPr>
          <w:rFonts w:ascii="Times New Roman" w:eastAsia="Times New Roman" w:hAnsi="Times New Roman"/>
          <w:sz w:val="24"/>
        </w:rPr>
        <w:t xml:space="preserve">Cuadro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Cuadro \* ARABIC </w:instrText>
      </w:r>
      <w:r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51</w:t>
      </w:r>
      <w:r w:rsidRPr="009A27ED">
        <w:rPr>
          <w:rFonts w:ascii="Times New Roman" w:eastAsia="Times New Roman" w:hAnsi="Times New Roman"/>
          <w:sz w:val="24"/>
        </w:rPr>
        <w:fldChar w:fldCharType="end"/>
      </w:r>
      <w:r w:rsidRPr="009A27ED">
        <w:rPr>
          <w:rFonts w:ascii="Times New Roman" w:eastAsia="Times New Roman" w:hAnsi="Times New Roman"/>
          <w:sz w:val="24"/>
        </w:rPr>
        <w:t>. Listado de Planes y Manejo ambiental y social elaborados</w:t>
      </w:r>
      <w:bookmarkEnd w:id="321"/>
    </w:p>
    <w:tbl>
      <w:tblPr>
        <w:tblStyle w:val="Tablaconcuadrcula"/>
        <w:tblW w:w="0" w:type="auto"/>
        <w:tblLook w:val="04A0" w:firstRow="1" w:lastRow="0" w:firstColumn="1" w:lastColumn="0" w:noHBand="0" w:noVBand="1"/>
      </w:tblPr>
      <w:tblGrid>
        <w:gridCol w:w="1696"/>
        <w:gridCol w:w="7364"/>
      </w:tblGrid>
      <w:tr w:rsidR="00C76261" w:rsidRPr="009A27ED" w14:paraId="439A7B94" w14:textId="77777777" w:rsidTr="00F90CA0">
        <w:tc>
          <w:tcPr>
            <w:tcW w:w="1696" w:type="dxa"/>
            <w:tcBorders>
              <w:top w:val="single" w:sz="4" w:space="0" w:color="auto"/>
              <w:left w:val="single" w:sz="4" w:space="0" w:color="auto"/>
              <w:bottom w:val="single" w:sz="4" w:space="0" w:color="auto"/>
              <w:right w:val="single" w:sz="4" w:space="0" w:color="auto"/>
            </w:tcBorders>
            <w:shd w:val="clear" w:color="auto" w:fill="0070C0"/>
            <w:hideMark/>
          </w:tcPr>
          <w:p w14:paraId="4FB87674" w14:textId="77777777" w:rsidR="00C76261" w:rsidRPr="009A27ED" w:rsidRDefault="00C76261" w:rsidP="00F90CA0">
            <w:pPr>
              <w:spacing w:after="0"/>
              <w:jc w:val="center"/>
              <w:rPr>
                <w:b/>
                <w:color w:val="FFFFFF" w:themeColor="background1"/>
                <w:sz w:val="20"/>
                <w:szCs w:val="20"/>
              </w:rPr>
            </w:pPr>
            <w:r w:rsidRPr="009A27ED">
              <w:rPr>
                <w:b/>
                <w:color w:val="FFFFFF" w:themeColor="background1"/>
                <w:sz w:val="20"/>
                <w:szCs w:val="20"/>
              </w:rPr>
              <w:t>Área geográfica priorizada</w:t>
            </w:r>
          </w:p>
        </w:tc>
        <w:tc>
          <w:tcPr>
            <w:tcW w:w="7364" w:type="dxa"/>
            <w:tcBorders>
              <w:top w:val="single" w:sz="4" w:space="0" w:color="auto"/>
              <w:left w:val="single" w:sz="4" w:space="0" w:color="auto"/>
              <w:bottom w:val="single" w:sz="4" w:space="0" w:color="auto"/>
              <w:right w:val="single" w:sz="4" w:space="0" w:color="auto"/>
            </w:tcBorders>
            <w:shd w:val="clear" w:color="auto" w:fill="0070C0"/>
            <w:vAlign w:val="center"/>
            <w:hideMark/>
          </w:tcPr>
          <w:p w14:paraId="72A51EC6" w14:textId="77777777" w:rsidR="00C76261" w:rsidRPr="009A27ED" w:rsidRDefault="00C76261" w:rsidP="00F90CA0">
            <w:pPr>
              <w:spacing w:after="0"/>
              <w:jc w:val="center"/>
              <w:rPr>
                <w:b/>
                <w:color w:val="FFFFFF" w:themeColor="background1"/>
                <w:sz w:val="20"/>
                <w:szCs w:val="20"/>
              </w:rPr>
            </w:pPr>
            <w:r w:rsidRPr="009A27ED">
              <w:rPr>
                <w:b/>
                <w:color w:val="FFFFFF" w:themeColor="background1"/>
                <w:sz w:val="20"/>
                <w:szCs w:val="20"/>
              </w:rPr>
              <w:t>Municipios</w:t>
            </w:r>
          </w:p>
        </w:tc>
      </w:tr>
      <w:tr w:rsidR="00C76261" w:rsidRPr="009A27ED" w14:paraId="70352D03" w14:textId="77777777" w:rsidTr="00F90CA0">
        <w:tc>
          <w:tcPr>
            <w:tcW w:w="1696" w:type="dxa"/>
            <w:tcBorders>
              <w:top w:val="single" w:sz="4" w:space="0" w:color="auto"/>
              <w:left w:val="single" w:sz="4" w:space="0" w:color="auto"/>
              <w:bottom w:val="single" w:sz="4" w:space="0" w:color="auto"/>
              <w:right w:val="single" w:sz="4" w:space="0" w:color="auto"/>
            </w:tcBorders>
            <w:vAlign w:val="center"/>
            <w:hideMark/>
          </w:tcPr>
          <w:p w14:paraId="1883BB1A" w14:textId="77777777" w:rsidR="00C76261" w:rsidRPr="009A27ED" w:rsidRDefault="00C76261" w:rsidP="00F90CA0">
            <w:pPr>
              <w:spacing w:after="0"/>
              <w:rPr>
                <w:color w:val="000000" w:themeColor="text1"/>
                <w:sz w:val="20"/>
                <w:szCs w:val="20"/>
              </w:rPr>
            </w:pPr>
            <w:r w:rsidRPr="009A27ED">
              <w:rPr>
                <w:color w:val="000000" w:themeColor="text1"/>
                <w:sz w:val="20"/>
                <w:szCs w:val="20"/>
              </w:rPr>
              <w:t>I</w:t>
            </w:r>
          </w:p>
        </w:tc>
        <w:tc>
          <w:tcPr>
            <w:tcW w:w="7364" w:type="dxa"/>
            <w:tcBorders>
              <w:top w:val="single" w:sz="4" w:space="0" w:color="auto"/>
              <w:left w:val="single" w:sz="4" w:space="0" w:color="auto"/>
              <w:bottom w:val="single" w:sz="4" w:space="0" w:color="auto"/>
              <w:right w:val="single" w:sz="4" w:space="0" w:color="auto"/>
            </w:tcBorders>
            <w:hideMark/>
          </w:tcPr>
          <w:p w14:paraId="10ADA239" w14:textId="77777777" w:rsidR="00C76261" w:rsidRPr="009A27ED" w:rsidRDefault="00C76261" w:rsidP="00F90CA0">
            <w:pPr>
              <w:spacing w:after="0"/>
              <w:rPr>
                <w:color w:val="000000" w:themeColor="text1"/>
                <w:sz w:val="20"/>
                <w:szCs w:val="20"/>
              </w:rPr>
            </w:pPr>
            <w:r w:rsidRPr="009A27ED">
              <w:rPr>
                <w:color w:val="000000" w:themeColor="text1"/>
                <w:sz w:val="20"/>
                <w:szCs w:val="20"/>
              </w:rPr>
              <w:t>Loma de Cabrera, El Pino, San Ignacio de Sabaneta, Monción, San José de Las Matas, Restauración, Villa Los Almácigos</w:t>
            </w:r>
          </w:p>
        </w:tc>
      </w:tr>
      <w:tr w:rsidR="00C76261" w:rsidRPr="009A27ED" w14:paraId="39B784E3" w14:textId="77777777" w:rsidTr="00F90CA0">
        <w:tc>
          <w:tcPr>
            <w:tcW w:w="1696" w:type="dxa"/>
            <w:tcBorders>
              <w:top w:val="single" w:sz="4" w:space="0" w:color="auto"/>
              <w:left w:val="single" w:sz="4" w:space="0" w:color="auto"/>
              <w:bottom w:val="single" w:sz="4" w:space="0" w:color="auto"/>
              <w:right w:val="single" w:sz="4" w:space="0" w:color="auto"/>
            </w:tcBorders>
            <w:vAlign w:val="center"/>
            <w:hideMark/>
          </w:tcPr>
          <w:p w14:paraId="430CB0CB" w14:textId="77777777" w:rsidR="00C76261" w:rsidRPr="009A27ED" w:rsidRDefault="00C76261" w:rsidP="00F90CA0">
            <w:pPr>
              <w:spacing w:after="0"/>
              <w:rPr>
                <w:color w:val="000000" w:themeColor="text1"/>
                <w:sz w:val="20"/>
                <w:szCs w:val="20"/>
              </w:rPr>
            </w:pPr>
            <w:r w:rsidRPr="009A27ED">
              <w:rPr>
                <w:color w:val="000000" w:themeColor="text1"/>
                <w:sz w:val="20"/>
                <w:szCs w:val="20"/>
              </w:rPr>
              <w:t>II</w:t>
            </w:r>
          </w:p>
        </w:tc>
        <w:tc>
          <w:tcPr>
            <w:tcW w:w="7364" w:type="dxa"/>
            <w:tcBorders>
              <w:top w:val="single" w:sz="4" w:space="0" w:color="auto"/>
              <w:left w:val="single" w:sz="4" w:space="0" w:color="auto"/>
              <w:bottom w:val="single" w:sz="4" w:space="0" w:color="auto"/>
              <w:right w:val="single" w:sz="4" w:space="0" w:color="auto"/>
            </w:tcBorders>
            <w:hideMark/>
          </w:tcPr>
          <w:p w14:paraId="58E73A61" w14:textId="77777777" w:rsidR="00C76261" w:rsidRPr="009A27ED" w:rsidRDefault="00C76261" w:rsidP="00F90CA0">
            <w:pPr>
              <w:spacing w:after="0"/>
              <w:rPr>
                <w:color w:val="000000" w:themeColor="text1"/>
                <w:sz w:val="20"/>
                <w:szCs w:val="20"/>
              </w:rPr>
            </w:pPr>
            <w:r w:rsidRPr="009A27ED">
              <w:rPr>
                <w:color w:val="000000" w:themeColor="text1"/>
                <w:sz w:val="20"/>
                <w:szCs w:val="20"/>
              </w:rPr>
              <w:t xml:space="preserve">Pedro Santana, </w:t>
            </w:r>
            <w:proofErr w:type="spellStart"/>
            <w:r w:rsidRPr="009A27ED">
              <w:rPr>
                <w:color w:val="000000" w:themeColor="text1"/>
                <w:sz w:val="20"/>
                <w:szCs w:val="20"/>
              </w:rPr>
              <w:t>Bánica</w:t>
            </w:r>
            <w:proofErr w:type="spellEnd"/>
            <w:r w:rsidRPr="009A27ED">
              <w:rPr>
                <w:color w:val="000000" w:themeColor="text1"/>
                <w:sz w:val="20"/>
                <w:szCs w:val="20"/>
              </w:rPr>
              <w:t xml:space="preserve">, El Llano, Juan Santiago, Hondo Valle, La Descubierta, </w:t>
            </w:r>
            <w:proofErr w:type="spellStart"/>
            <w:r w:rsidRPr="009A27ED">
              <w:rPr>
                <w:color w:val="000000" w:themeColor="text1"/>
                <w:sz w:val="20"/>
                <w:szCs w:val="20"/>
              </w:rPr>
              <w:t>Jimaní</w:t>
            </w:r>
            <w:proofErr w:type="spellEnd"/>
            <w:r w:rsidRPr="009A27ED">
              <w:rPr>
                <w:color w:val="000000" w:themeColor="text1"/>
                <w:sz w:val="20"/>
                <w:szCs w:val="20"/>
              </w:rPr>
              <w:t>, Comendador</w:t>
            </w:r>
          </w:p>
        </w:tc>
      </w:tr>
      <w:tr w:rsidR="00C76261" w:rsidRPr="009A27ED" w14:paraId="719C3FC6" w14:textId="77777777" w:rsidTr="00F90CA0">
        <w:tc>
          <w:tcPr>
            <w:tcW w:w="1696" w:type="dxa"/>
            <w:tcBorders>
              <w:top w:val="single" w:sz="4" w:space="0" w:color="auto"/>
              <w:left w:val="single" w:sz="4" w:space="0" w:color="auto"/>
              <w:bottom w:val="single" w:sz="4" w:space="0" w:color="auto"/>
              <w:right w:val="single" w:sz="4" w:space="0" w:color="auto"/>
            </w:tcBorders>
            <w:vAlign w:val="center"/>
            <w:hideMark/>
          </w:tcPr>
          <w:p w14:paraId="5071D6A6" w14:textId="77777777" w:rsidR="00C76261" w:rsidRPr="009A27ED" w:rsidRDefault="00C76261" w:rsidP="00F90CA0">
            <w:pPr>
              <w:spacing w:after="0"/>
              <w:rPr>
                <w:color w:val="000000" w:themeColor="text1"/>
                <w:sz w:val="20"/>
                <w:szCs w:val="20"/>
              </w:rPr>
            </w:pPr>
            <w:r w:rsidRPr="009A27ED">
              <w:rPr>
                <w:color w:val="000000" w:themeColor="text1"/>
                <w:sz w:val="20"/>
                <w:szCs w:val="20"/>
              </w:rPr>
              <w:t>III.</w:t>
            </w:r>
          </w:p>
        </w:tc>
        <w:tc>
          <w:tcPr>
            <w:tcW w:w="7364" w:type="dxa"/>
            <w:tcBorders>
              <w:top w:val="single" w:sz="4" w:space="0" w:color="auto"/>
              <w:left w:val="single" w:sz="4" w:space="0" w:color="auto"/>
              <w:bottom w:val="single" w:sz="4" w:space="0" w:color="auto"/>
              <w:right w:val="single" w:sz="4" w:space="0" w:color="auto"/>
            </w:tcBorders>
            <w:hideMark/>
          </w:tcPr>
          <w:p w14:paraId="3A448482" w14:textId="77777777" w:rsidR="00C76261" w:rsidRPr="009A27ED" w:rsidRDefault="00C76261" w:rsidP="00F90CA0">
            <w:pPr>
              <w:spacing w:after="0"/>
              <w:rPr>
                <w:color w:val="000000" w:themeColor="text1"/>
                <w:sz w:val="20"/>
                <w:szCs w:val="20"/>
              </w:rPr>
            </w:pPr>
            <w:r w:rsidRPr="009A27ED">
              <w:rPr>
                <w:color w:val="000000" w:themeColor="text1"/>
                <w:sz w:val="20"/>
                <w:szCs w:val="20"/>
              </w:rPr>
              <w:t xml:space="preserve">San Cristóbal, Baní, </w:t>
            </w:r>
            <w:proofErr w:type="spellStart"/>
            <w:r w:rsidRPr="009A27ED">
              <w:rPr>
                <w:color w:val="000000" w:themeColor="text1"/>
                <w:sz w:val="20"/>
                <w:szCs w:val="20"/>
              </w:rPr>
              <w:t>Cambita</w:t>
            </w:r>
            <w:proofErr w:type="spellEnd"/>
            <w:r w:rsidRPr="009A27ED">
              <w:rPr>
                <w:color w:val="000000" w:themeColor="text1"/>
                <w:sz w:val="20"/>
                <w:szCs w:val="20"/>
              </w:rPr>
              <w:t xml:space="preserve"> Garabito, San José de </w:t>
            </w:r>
            <w:proofErr w:type="spellStart"/>
            <w:r w:rsidRPr="009A27ED">
              <w:rPr>
                <w:color w:val="000000" w:themeColor="text1"/>
                <w:sz w:val="20"/>
                <w:szCs w:val="20"/>
              </w:rPr>
              <w:t>Ocoa</w:t>
            </w:r>
            <w:proofErr w:type="spellEnd"/>
            <w:r w:rsidRPr="009A27ED">
              <w:rPr>
                <w:color w:val="000000" w:themeColor="text1"/>
                <w:sz w:val="20"/>
                <w:szCs w:val="20"/>
              </w:rPr>
              <w:t xml:space="preserve">, Los Cacaos, Sabana Larga, Rancho Arriba, Constanza, Padre Las Casas, </w:t>
            </w:r>
            <w:proofErr w:type="spellStart"/>
            <w:r w:rsidRPr="009A27ED">
              <w:rPr>
                <w:color w:val="000000" w:themeColor="text1"/>
                <w:sz w:val="20"/>
                <w:szCs w:val="20"/>
              </w:rPr>
              <w:t>Bohechío</w:t>
            </w:r>
            <w:proofErr w:type="spellEnd"/>
            <w:r w:rsidRPr="009A27ED">
              <w:rPr>
                <w:color w:val="000000" w:themeColor="text1"/>
                <w:sz w:val="20"/>
                <w:szCs w:val="20"/>
              </w:rPr>
              <w:t>, San Juan, Juan de Herrera, El Cercado, Vallejuelo</w:t>
            </w:r>
          </w:p>
        </w:tc>
      </w:tr>
      <w:tr w:rsidR="00C76261" w:rsidRPr="009A27ED" w14:paraId="1361D789" w14:textId="77777777" w:rsidTr="00F90CA0">
        <w:tc>
          <w:tcPr>
            <w:tcW w:w="1696" w:type="dxa"/>
            <w:tcBorders>
              <w:top w:val="single" w:sz="4" w:space="0" w:color="auto"/>
              <w:left w:val="single" w:sz="4" w:space="0" w:color="auto"/>
              <w:bottom w:val="single" w:sz="4" w:space="0" w:color="auto"/>
              <w:right w:val="single" w:sz="4" w:space="0" w:color="auto"/>
            </w:tcBorders>
            <w:vAlign w:val="center"/>
            <w:hideMark/>
          </w:tcPr>
          <w:p w14:paraId="124772E3" w14:textId="77777777" w:rsidR="00C76261" w:rsidRPr="009A27ED" w:rsidRDefault="00C76261" w:rsidP="00F90CA0">
            <w:pPr>
              <w:spacing w:after="0"/>
              <w:rPr>
                <w:color w:val="000000" w:themeColor="text1"/>
                <w:sz w:val="20"/>
                <w:szCs w:val="20"/>
              </w:rPr>
            </w:pPr>
            <w:r w:rsidRPr="009A27ED">
              <w:rPr>
                <w:color w:val="000000" w:themeColor="text1"/>
                <w:sz w:val="20"/>
                <w:szCs w:val="20"/>
              </w:rPr>
              <w:t>IV</w:t>
            </w:r>
          </w:p>
        </w:tc>
        <w:tc>
          <w:tcPr>
            <w:tcW w:w="7364" w:type="dxa"/>
            <w:tcBorders>
              <w:top w:val="single" w:sz="4" w:space="0" w:color="auto"/>
              <w:left w:val="single" w:sz="4" w:space="0" w:color="auto"/>
              <w:bottom w:val="single" w:sz="4" w:space="0" w:color="auto"/>
              <w:right w:val="single" w:sz="4" w:space="0" w:color="auto"/>
            </w:tcBorders>
            <w:hideMark/>
          </w:tcPr>
          <w:p w14:paraId="5A0F2DEE" w14:textId="77777777" w:rsidR="00C76261" w:rsidRPr="009A27ED" w:rsidRDefault="00C76261" w:rsidP="00F90CA0">
            <w:pPr>
              <w:spacing w:after="0"/>
              <w:rPr>
                <w:color w:val="000000" w:themeColor="text1"/>
                <w:sz w:val="20"/>
                <w:szCs w:val="20"/>
              </w:rPr>
            </w:pPr>
            <w:r w:rsidRPr="009A27ED">
              <w:rPr>
                <w:color w:val="000000" w:themeColor="text1"/>
                <w:sz w:val="20"/>
                <w:szCs w:val="20"/>
              </w:rPr>
              <w:t>Nagua, San Francisco de Macorís, Tenares</w:t>
            </w:r>
          </w:p>
        </w:tc>
      </w:tr>
      <w:tr w:rsidR="00C76261" w:rsidRPr="009A27ED" w14:paraId="307D967E" w14:textId="77777777" w:rsidTr="00F90CA0">
        <w:tc>
          <w:tcPr>
            <w:tcW w:w="1696" w:type="dxa"/>
            <w:tcBorders>
              <w:top w:val="single" w:sz="4" w:space="0" w:color="auto"/>
              <w:left w:val="single" w:sz="4" w:space="0" w:color="auto"/>
              <w:bottom w:val="single" w:sz="4" w:space="0" w:color="auto"/>
              <w:right w:val="single" w:sz="4" w:space="0" w:color="auto"/>
            </w:tcBorders>
            <w:vAlign w:val="center"/>
            <w:hideMark/>
          </w:tcPr>
          <w:p w14:paraId="2B964E9B" w14:textId="77777777" w:rsidR="00C76261" w:rsidRPr="009A27ED" w:rsidRDefault="00C76261" w:rsidP="00F90CA0">
            <w:pPr>
              <w:spacing w:after="0"/>
              <w:rPr>
                <w:color w:val="000000" w:themeColor="text1"/>
                <w:sz w:val="20"/>
                <w:szCs w:val="20"/>
              </w:rPr>
            </w:pPr>
            <w:r w:rsidRPr="009A27ED">
              <w:rPr>
                <w:color w:val="000000" w:themeColor="text1"/>
                <w:sz w:val="20"/>
                <w:szCs w:val="20"/>
              </w:rPr>
              <w:lastRenderedPageBreak/>
              <w:t>V</w:t>
            </w:r>
          </w:p>
        </w:tc>
        <w:tc>
          <w:tcPr>
            <w:tcW w:w="7364" w:type="dxa"/>
            <w:tcBorders>
              <w:top w:val="single" w:sz="4" w:space="0" w:color="auto"/>
              <w:left w:val="single" w:sz="4" w:space="0" w:color="auto"/>
              <w:bottom w:val="single" w:sz="4" w:space="0" w:color="auto"/>
              <w:right w:val="single" w:sz="4" w:space="0" w:color="auto"/>
            </w:tcBorders>
            <w:hideMark/>
          </w:tcPr>
          <w:p w14:paraId="40524DC0" w14:textId="77777777" w:rsidR="00C76261" w:rsidRPr="009A27ED" w:rsidRDefault="00C76261" w:rsidP="00F90CA0">
            <w:pPr>
              <w:keepNext/>
              <w:spacing w:after="0"/>
              <w:rPr>
                <w:color w:val="000000" w:themeColor="text1"/>
                <w:sz w:val="20"/>
                <w:szCs w:val="20"/>
              </w:rPr>
            </w:pPr>
            <w:r w:rsidRPr="009A27ED">
              <w:rPr>
                <w:color w:val="000000" w:themeColor="text1"/>
                <w:sz w:val="20"/>
                <w:szCs w:val="20"/>
              </w:rPr>
              <w:t xml:space="preserve">Cotuí, Cevicos, Sabana Grande de Boya, </w:t>
            </w:r>
            <w:proofErr w:type="spellStart"/>
            <w:r w:rsidRPr="009A27ED">
              <w:rPr>
                <w:color w:val="000000" w:themeColor="text1"/>
                <w:sz w:val="20"/>
                <w:szCs w:val="20"/>
              </w:rPr>
              <w:t>Bayaguana</w:t>
            </w:r>
            <w:proofErr w:type="spellEnd"/>
          </w:p>
        </w:tc>
      </w:tr>
    </w:tbl>
    <w:p w14:paraId="517EE135" w14:textId="43F128F2" w:rsidR="007D2635" w:rsidRPr="009A27ED" w:rsidRDefault="00C76261" w:rsidP="007D2635">
      <w:pPr>
        <w:spacing w:before="120" w:after="0" w:line="360" w:lineRule="auto"/>
        <w:rPr>
          <w:szCs w:val="22"/>
        </w:rPr>
      </w:pPr>
      <w:r w:rsidRPr="009A27ED">
        <w:rPr>
          <w:rFonts w:ascii="Times New Roman" w:eastAsia="Times New Roman" w:hAnsi="Times New Roman"/>
          <w:sz w:val="24"/>
          <w:szCs w:val="22"/>
        </w:rPr>
        <w:t>Cada PMAS contiene una sección inicial que incluye los conceptos y las definiciones para sensibilizar a</w:t>
      </w:r>
      <w:r w:rsidR="000606DA" w:rsidRPr="009A27ED">
        <w:rPr>
          <w:rFonts w:ascii="Times New Roman" w:eastAsia="Times New Roman" w:hAnsi="Times New Roman"/>
          <w:sz w:val="24"/>
          <w:szCs w:val="22"/>
        </w:rPr>
        <w:t xml:space="preserve"> </w:t>
      </w:r>
      <w:r w:rsidRPr="009A27ED">
        <w:rPr>
          <w:rFonts w:ascii="Times New Roman" w:eastAsia="Times New Roman" w:hAnsi="Times New Roman"/>
          <w:sz w:val="24"/>
          <w:szCs w:val="22"/>
        </w:rPr>
        <w:t xml:space="preserve">la Entidad Ejecutora con los conceptos básicos, también se aclaran los requerimientos básicos de </w:t>
      </w:r>
      <w:r w:rsidR="000606DA" w:rsidRPr="009A27ED">
        <w:rPr>
          <w:rFonts w:ascii="Times New Roman" w:eastAsia="Times New Roman" w:hAnsi="Times New Roman"/>
          <w:sz w:val="24"/>
          <w:szCs w:val="22"/>
        </w:rPr>
        <w:t>salvaguardas</w:t>
      </w:r>
      <w:r w:rsidRPr="009A27ED">
        <w:rPr>
          <w:rFonts w:ascii="Times New Roman" w:eastAsia="Times New Roman" w:hAnsi="Times New Roman"/>
          <w:sz w:val="24"/>
          <w:szCs w:val="22"/>
        </w:rPr>
        <w:t xml:space="preserve"> del FCPF y las políticas operativas del Banco Mundial</w:t>
      </w:r>
      <w:r w:rsidR="000606DA" w:rsidRPr="009A27ED">
        <w:rPr>
          <w:rFonts w:ascii="Times New Roman" w:eastAsia="Times New Roman" w:hAnsi="Times New Roman"/>
          <w:sz w:val="24"/>
          <w:szCs w:val="22"/>
        </w:rPr>
        <w:t xml:space="preserve">, una parte importante de estos PMAS está referida a la caracterización socio ambiental y económica del área de intervención, se incluye también información sobre el tipo de organización social y presencia institucional para identificar claramente hacia </w:t>
      </w:r>
      <w:proofErr w:type="spellStart"/>
      <w:r w:rsidR="000606DA" w:rsidRPr="009A27ED">
        <w:rPr>
          <w:rFonts w:ascii="Times New Roman" w:eastAsia="Times New Roman" w:hAnsi="Times New Roman"/>
          <w:sz w:val="24"/>
          <w:szCs w:val="22"/>
        </w:rPr>
        <w:t>donde</w:t>
      </w:r>
      <w:proofErr w:type="spellEnd"/>
      <w:r w:rsidR="000606DA" w:rsidRPr="009A27ED">
        <w:rPr>
          <w:rFonts w:ascii="Times New Roman" w:eastAsia="Times New Roman" w:hAnsi="Times New Roman"/>
          <w:sz w:val="24"/>
          <w:szCs w:val="22"/>
        </w:rPr>
        <w:t xml:space="preserve"> irán dirigidos los arreglos institucionales futuros en términos de la gobernanza en </w:t>
      </w:r>
      <w:r w:rsidR="00A75283" w:rsidRPr="009A27ED">
        <w:rPr>
          <w:rFonts w:ascii="Times New Roman" w:eastAsia="Times New Roman" w:hAnsi="Times New Roman"/>
          <w:sz w:val="24"/>
          <w:szCs w:val="22"/>
        </w:rPr>
        <w:t>el área</w:t>
      </w:r>
      <w:r w:rsidR="000606DA" w:rsidRPr="009A27ED">
        <w:rPr>
          <w:rFonts w:ascii="Times New Roman" w:eastAsia="Times New Roman" w:hAnsi="Times New Roman"/>
          <w:sz w:val="24"/>
          <w:szCs w:val="22"/>
        </w:rPr>
        <w:t xml:space="preserve"> priorizada. </w:t>
      </w:r>
    </w:p>
    <w:p w14:paraId="5CCDC8BB" w14:textId="41BDC929" w:rsidR="000606DA" w:rsidRPr="009A27ED" w:rsidRDefault="000606DA" w:rsidP="007D2635">
      <w:pPr>
        <w:spacing w:before="120" w:after="0" w:line="360" w:lineRule="auto"/>
        <w:rPr>
          <w:szCs w:val="22"/>
        </w:rPr>
      </w:pPr>
      <w:r w:rsidRPr="009A27ED">
        <w:rPr>
          <w:rFonts w:ascii="Times New Roman" w:eastAsia="Times New Roman" w:hAnsi="Times New Roman"/>
          <w:sz w:val="24"/>
          <w:szCs w:val="22"/>
        </w:rPr>
        <w:t xml:space="preserve">La parte medular del PMAS está enfocada en los principales impactos ambientales y sociales de las actividades de REDD+ y las medidas de mitigación aplicables </w:t>
      </w:r>
      <w:r w:rsidR="00A75283" w:rsidRPr="009A27ED">
        <w:rPr>
          <w:rFonts w:ascii="Times New Roman" w:eastAsia="Times New Roman" w:hAnsi="Times New Roman"/>
          <w:sz w:val="24"/>
          <w:szCs w:val="22"/>
        </w:rPr>
        <w:t>en el área</w:t>
      </w:r>
      <w:r w:rsidRPr="009A27ED">
        <w:rPr>
          <w:rFonts w:ascii="Times New Roman" w:eastAsia="Times New Roman" w:hAnsi="Times New Roman"/>
          <w:sz w:val="24"/>
          <w:szCs w:val="22"/>
        </w:rPr>
        <w:t xml:space="preserve">, finalmente se describen los retos de la implementación del PMAS. Los PMAS </w:t>
      </w:r>
      <w:r w:rsidR="000B02CB" w:rsidRPr="009A27ED">
        <w:rPr>
          <w:rFonts w:ascii="Times New Roman" w:eastAsia="Times New Roman" w:hAnsi="Times New Roman"/>
          <w:sz w:val="24"/>
          <w:szCs w:val="22"/>
        </w:rPr>
        <w:t>desarrollados fueron</w:t>
      </w:r>
      <w:r w:rsidR="00C0621F" w:rsidRPr="009A27ED">
        <w:rPr>
          <w:rFonts w:ascii="Times New Roman" w:eastAsia="Times New Roman" w:hAnsi="Times New Roman"/>
          <w:sz w:val="24"/>
          <w:szCs w:val="22"/>
        </w:rPr>
        <w:t xml:space="preserve"> </w:t>
      </w:r>
      <w:r w:rsidRPr="009A27ED">
        <w:rPr>
          <w:rFonts w:ascii="Times New Roman" w:eastAsia="Times New Roman" w:hAnsi="Times New Roman"/>
          <w:sz w:val="24"/>
          <w:szCs w:val="22"/>
        </w:rPr>
        <w:t xml:space="preserve">validados en reuniones territoriales y un taller nacional con las Entidades Ejecutoras. </w:t>
      </w:r>
      <w:r w:rsidR="004B312B" w:rsidRPr="009A27ED">
        <w:rPr>
          <w:rFonts w:ascii="Times New Roman" w:eastAsia="Times New Roman" w:hAnsi="Times New Roman"/>
          <w:sz w:val="24"/>
          <w:szCs w:val="22"/>
        </w:rPr>
        <w:t xml:space="preserve">Cada PMAS comprende un presupuesto para ser implementado y las medidas de mitigación a aplicar para cada actividad tipo REDD+, así como una sección que describe el tipo de beneficios y su distribución apegado al </w:t>
      </w:r>
      <w:r w:rsidR="00124B63" w:rsidRPr="009A27ED">
        <w:rPr>
          <w:rFonts w:ascii="Times New Roman" w:eastAsia="Times New Roman" w:hAnsi="Times New Roman"/>
          <w:sz w:val="24"/>
          <w:szCs w:val="22"/>
        </w:rPr>
        <w:t>Programa REDD+</w:t>
      </w:r>
      <w:r w:rsidR="004B312B" w:rsidRPr="009A27ED">
        <w:rPr>
          <w:rFonts w:ascii="Times New Roman" w:eastAsia="Times New Roman" w:hAnsi="Times New Roman"/>
          <w:sz w:val="24"/>
          <w:szCs w:val="22"/>
        </w:rPr>
        <w:t xml:space="preserve">. </w:t>
      </w:r>
    </w:p>
    <w:p w14:paraId="63BDD0D1" w14:textId="6E569CD0" w:rsidR="00C76261" w:rsidRPr="009A27ED" w:rsidRDefault="00D225ED" w:rsidP="007D2635">
      <w:pPr>
        <w:spacing w:before="120" w:after="0" w:line="360" w:lineRule="auto"/>
        <w:rPr>
          <w:color w:val="000000" w:themeColor="text1"/>
          <w:szCs w:val="22"/>
        </w:rPr>
      </w:pPr>
      <w:r w:rsidRPr="009A27ED">
        <w:rPr>
          <w:rFonts w:ascii="Times New Roman" w:eastAsia="Times New Roman" w:hAnsi="Times New Roman"/>
          <w:color w:val="000000" w:themeColor="text1"/>
          <w:sz w:val="24"/>
          <w:szCs w:val="22"/>
        </w:rPr>
        <w:t xml:space="preserve">Como apoyo para el cumplimiento de los PMAS se </w:t>
      </w:r>
      <w:r w:rsidR="000B02CB" w:rsidRPr="009A27ED">
        <w:rPr>
          <w:rFonts w:ascii="Times New Roman" w:eastAsia="Times New Roman" w:hAnsi="Times New Roman"/>
          <w:color w:val="000000" w:themeColor="text1"/>
          <w:sz w:val="24"/>
          <w:szCs w:val="22"/>
        </w:rPr>
        <w:t>desarrolló un paquete de Guías Técnicas de Buenas Prácticas Ambientales y S</w:t>
      </w:r>
      <w:r w:rsidRPr="009A27ED">
        <w:rPr>
          <w:rFonts w:ascii="Times New Roman" w:eastAsia="Times New Roman" w:hAnsi="Times New Roman"/>
          <w:color w:val="000000" w:themeColor="text1"/>
          <w:sz w:val="24"/>
          <w:szCs w:val="22"/>
        </w:rPr>
        <w:t>ociales, orientadas al personal técnico tanto del Ministerio de Medio Ambiente y Recursos Naturales, como de otras entidades vinculadas a las actividades REDD+, con el propósito de sistematizar los procedimientos necesarios y suficientes para el desarrollo de buen</w:t>
      </w:r>
      <w:r w:rsidR="000B02CB" w:rsidRPr="009A27ED">
        <w:rPr>
          <w:rFonts w:ascii="Times New Roman" w:eastAsia="Times New Roman" w:hAnsi="Times New Roman"/>
          <w:color w:val="000000" w:themeColor="text1"/>
          <w:sz w:val="24"/>
          <w:szCs w:val="22"/>
        </w:rPr>
        <w:t>as prácticas de las diferentes A</w:t>
      </w:r>
      <w:r w:rsidRPr="009A27ED">
        <w:rPr>
          <w:rFonts w:ascii="Times New Roman" w:eastAsia="Times New Roman" w:hAnsi="Times New Roman"/>
          <w:color w:val="000000" w:themeColor="text1"/>
          <w:sz w:val="24"/>
          <w:szCs w:val="22"/>
        </w:rPr>
        <w:t>ctividades Tipo, que garantic</w:t>
      </w:r>
      <w:r w:rsidR="000B02CB" w:rsidRPr="009A27ED">
        <w:rPr>
          <w:rFonts w:ascii="Times New Roman" w:eastAsia="Times New Roman" w:hAnsi="Times New Roman"/>
          <w:color w:val="000000" w:themeColor="text1"/>
          <w:sz w:val="24"/>
          <w:szCs w:val="22"/>
        </w:rPr>
        <w:t>en a su vez el cumplimiento de</w:t>
      </w:r>
      <w:r w:rsidRPr="009A27ED">
        <w:rPr>
          <w:rFonts w:ascii="Times New Roman" w:eastAsia="Times New Roman" w:hAnsi="Times New Roman"/>
          <w:color w:val="000000" w:themeColor="text1"/>
          <w:sz w:val="24"/>
          <w:szCs w:val="22"/>
        </w:rPr>
        <w:t xml:space="preserve"> lo establecido en el Marco de Gestión Ambiental y Social (MGAS) del Programa de Reducción de Emisiones. Las guías abordan las buenas prácticas en: i) Manejo Forestal Sustentable, </w:t>
      </w:r>
      <w:proofErr w:type="spellStart"/>
      <w:r w:rsidRPr="009A27ED">
        <w:rPr>
          <w:rFonts w:ascii="Times New Roman" w:eastAsia="Times New Roman" w:hAnsi="Times New Roman"/>
          <w:color w:val="000000" w:themeColor="text1"/>
          <w:sz w:val="24"/>
          <w:szCs w:val="22"/>
        </w:rPr>
        <w:t>ii</w:t>
      </w:r>
      <w:proofErr w:type="spellEnd"/>
      <w:r w:rsidRPr="009A27ED">
        <w:rPr>
          <w:rFonts w:ascii="Times New Roman" w:eastAsia="Times New Roman" w:hAnsi="Times New Roman"/>
          <w:color w:val="000000" w:themeColor="text1"/>
          <w:sz w:val="24"/>
          <w:szCs w:val="22"/>
        </w:rPr>
        <w:t>) Reforestación</w:t>
      </w:r>
      <w:r w:rsidR="00814CE1" w:rsidRPr="009A27ED">
        <w:rPr>
          <w:rFonts w:ascii="Times New Roman" w:eastAsia="Times New Roman" w:hAnsi="Times New Roman"/>
          <w:color w:val="000000" w:themeColor="text1"/>
          <w:sz w:val="24"/>
          <w:szCs w:val="22"/>
        </w:rPr>
        <w:t xml:space="preserve">, </w:t>
      </w:r>
      <w:proofErr w:type="spellStart"/>
      <w:r w:rsidR="00814CE1" w:rsidRPr="009A27ED">
        <w:rPr>
          <w:rFonts w:ascii="Times New Roman" w:eastAsia="Times New Roman" w:hAnsi="Times New Roman"/>
          <w:color w:val="000000" w:themeColor="text1"/>
          <w:sz w:val="24"/>
          <w:szCs w:val="22"/>
        </w:rPr>
        <w:t>iii</w:t>
      </w:r>
      <w:proofErr w:type="spellEnd"/>
      <w:r w:rsidR="00814CE1" w:rsidRPr="009A27ED">
        <w:rPr>
          <w:rFonts w:ascii="Times New Roman" w:eastAsia="Times New Roman" w:hAnsi="Times New Roman"/>
          <w:color w:val="000000" w:themeColor="text1"/>
          <w:sz w:val="24"/>
          <w:szCs w:val="22"/>
        </w:rPr>
        <w:t>) Restauración Natural de Zonas D</w:t>
      </w:r>
      <w:r w:rsidRPr="009A27ED">
        <w:rPr>
          <w:rFonts w:ascii="Times New Roman" w:eastAsia="Times New Roman" w:hAnsi="Times New Roman"/>
          <w:color w:val="000000" w:themeColor="text1"/>
          <w:sz w:val="24"/>
          <w:szCs w:val="22"/>
        </w:rPr>
        <w:t>egradad</w:t>
      </w:r>
      <w:r w:rsidR="00814CE1" w:rsidRPr="009A27ED">
        <w:rPr>
          <w:rFonts w:ascii="Times New Roman" w:eastAsia="Times New Roman" w:hAnsi="Times New Roman"/>
          <w:color w:val="000000" w:themeColor="text1"/>
          <w:sz w:val="24"/>
          <w:szCs w:val="22"/>
        </w:rPr>
        <w:t xml:space="preserve">as, </w:t>
      </w:r>
      <w:proofErr w:type="spellStart"/>
      <w:r w:rsidR="00814CE1" w:rsidRPr="009A27ED">
        <w:rPr>
          <w:rFonts w:ascii="Times New Roman" w:eastAsia="Times New Roman" w:hAnsi="Times New Roman"/>
          <w:color w:val="000000" w:themeColor="text1"/>
          <w:sz w:val="24"/>
          <w:szCs w:val="22"/>
        </w:rPr>
        <w:t>iv</w:t>
      </w:r>
      <w:proofErr w:type="spellEnd"/>
      <w:r w:rsidR="00814CE1" w:rsidRPr="009A27ED">
        <w:rPr>
          <w:rFonts w:ascii="Times New Roman" w:eastAsia="Times New Roman" w:hAnsi="Times New Roman"/>
          <w:color w:val="000000" w:themeColor="text1"/>
          <w:sz w:val="24"/>
          <w:szCs w:val="22"/>
        </w:rPr>
        <w:t>) Agroforestería de Café Bajo S</w:t>
      </w:r>
      <w:r w:rsidRPr="009A27ED">
        <w:rPr>
          <w:rFonts w:ascii="Times New Roman" w:eastAsia="Times New Roman" w:hAnsi="Times New Roman"/>
          <w:color w:val="000000" w:themeColor="text1"/>
          <w:sz w:val="24"/>
          <w:szCs w:val="22"/>
        </w:rPr>
        <w:t>ombra, v) Agroforestería de C</w:t>
      </w:r>
      <w:r w:rsidR="00814CE1" w:rsidRPr="009A27ED">
        <w:rPr>
          <w:rFonts w:ascii="Times New Roman" w:eastAsia="Times New Roman" w:hAnsi="Times New Roman"/>
          <w:color w:val="000000" w:themeColor="text1"/>
          <w:sz w:val="24"/>
          <w:szCs w:val="22"/>
        </w:rPr>
        <w:t>acao Bajo Sombra, vi) Sistemas S</w:t>
      </w:r>
      <w:r w:rsidRPr="009A27ED">
        <w:rPr>
          <w:rFonts w:ascii="Times New Roman" w:eastAsia="Times New Roman" w:hAnsi="Times New Roman"/>
          <w:color w:val="000000" w:themeColor="text1"/>
          <w:sz w:val="24"/>
          <w:szCs w:val="22"/>
        </w:rPr>
        <w:t>ilvopastoriles (arborización de fincas ga</w:t>
      </w:r>
      <w:r w:rsidR="00814CE1" w:rsidRPr="009A27ED">
        <w:rPr>
          <w:rFonts w:ascii="Times New Roman" w:eastAsia="Times New Roman" w:hAnsi="Times New Roman"/>
          <w:color w:val="000000" w:themeColor="text1"/>
          <w:sz w:val="24"/>
          <w:szCs w:val="22"/>
        </w:rPr>
        <w:t xml:space="preserve">naderas), </w:t>
      </w:r>
      <w:proofErr w:type="spellStart"/>
      <w:r w:rsidR="00814CE1" w:rsidRPr="009A27ED">
        <w:rPr>
          <w:rFonts w:ascii="Times New Roman" w:eastAsia="Times New Roman" w:hAnsi="Times New Roman"/>
          <w:color w:val="000000" w:themeColor="text1"/>
          <w:sz w:val="24"/>
          <w:szCs w:val="22"/>
        </w:rPr>
        <w:t>vii</w:t>
      </w:r>
      <w:proofErr w:type="spellEnd"/>
      <w:r w:rsidR="00814CE1" w:rsidRPr="009A27ED">
        <w:rPr>
          <w:rFonts w:ascii="Times New Roman" w:eastAsia="Times New Roman" w:hAnsi="Times New Roman"/>
          <w:color w:val="000000" w:themeColor="text1"/>
          <w:sz w:val="24"/>
          <w:szCs w:val="22"/>
        </w:rPr>
        <w:t xml:space="preserve">) Conservación de Bosques en Áreas Protegidas con Participación Comunitaria, </w:t>
      </w:r>
      <w:proofErr w:type="spellStart"/>
      <w:r w:rsidR="00814CE1" w:rsidRPr="009A27ED">
        <w:rPr>
          <w:rFonts w:ascii="Times New Roman" w:eastAsia="Times New Roman" w:hAnsi="Times New Roman"/>
          <w:color w:val="000000" w:themeColor="text1"/>
          <w:sz w:val="24"/>
          <w:szCs w:val="22"/>
        </w:rPr>
        <w:t>viii</w:t>
      </w:r>
      <w:proofErr w:type="spellEnd"/>
      <w:r w:rsidR="00814CE1" w:rsidRPr="009A27ED">
        <w:rPr>
          <w:rFonts w:ascii="Times New Roman" w:eastAsia="Times New Roman" w:hAnsi="Times New Roman"/>
          <w:color w:val="000000" w:themeColor="text1"/>
          <w:sz w:val="24"/>
          <w:szCs w:val="22"/>
        </w:rPr>
        <w:t xml:space="preserve">) Uso y Manejo Adecuado de Plaguicidas y </w:t>
      </w:r>
      <w:proofErr w:type="spellStart"/>
      <w:r w:rsidR="00814CE1" w:rsidRPr="009A27ED">
        <w:rPr>
          <w:rFonts w:ascii="Times New Roman" w:eastAsia="Times New Roman" w:hAnsi="Times New Roman"/>
          <w:color w:val="000000" w:themeColor="text1"/>
          <w:sz w:val="24"/>
          <w:szCs w:val="22"/>
        </w:rPr>
        <w:t>ix</w:t>
      </w:r>
      <w:proofErr w:type="spellEnd"/>
      <w:r w:rsidR="00814CE1" w:rsidRPr="009A27ED">
        <w:rPr>
          <w:rFonts w:ascii="Times New Roman" w:eastAsia="Times New Roman" w:hAnsi="Times New Roman"/>
          <w:color w:val="000000" w:themeColor="text1"/>
          <w:sz w:val="24"/>
          <w:szCs w:val="22"/>
        </w:rPr>
        <w:t>) Producción de P</w:t>
      </w:r>
      <w:r w:rsidRPr="009A27ED">
        <w:rPr>
          <w:rFonts w:ascii="Times New Roman" w:eastAsia="Times New Roman" w:hAnsi="Times New Roman"/>
          <w:color w:val="000000" w:themeColor="text1"/>
          <w:sz w:val="24"/>
          <w:szCs w:val="22"/>
        </w:rPr>
        <w:t>lánt</w:t>
      </w:r>
      <w:r w:rsidR="00814CE1" w:rsidRPr="009A27ED">
        <w:rPr>
          <w:rFonts w:ascii="Times New Roman" w:eastAsia="Times New Roman" w:hAnsi="Times New Roman"/>
          <w:color w:val="000000" w:themeColor="text1"/>
          <w:sz w:val="24"/>
          <w:szCs w:val="22"/>
        </w:rPr>
        <w:t>ulas Forestales en V</w:t>
      </w:r>
      <w:r w:rsidRPr="009A27ED">
        <w:rPr>
          <w:rFonts w:ascii="Times New Roman" w:eastAsia="Times New Roman" w:hAnsi="Times New Roman"/>
          <w:color w:val="000000" w:themeColor="text1"/>
          <w:sz w:val="24"/>
          <w:szCs w:val="22"/>
        </w:rPr>
        <w:t>iveros.</w:t>
      </w:r>
    </w:p>
    <w:p w14:paraId="2D39F796" w14:textId="77777777" w:rsidR="00D225ED" w:rsidRPr="009A27ED" w:rsidRDefault="00D225ED" w:rsidP="007D2635">
      <w:pPr>
        <w:spacing w:before="120" w:after="0" w:line="360" w:lineRule="auto"/>
        <w:rPr>
          <w:color w:val="000000" w:themeColor="text1"/>
          <w:szCs w:val="22"/>
        </w:rPr>
      </w:pPr>
    </w:p>
    <w:p w14:paraId="3853D77F" w14:textId="15D6D99D" w:rsidR="00B91F66" w:rsidRPr="009A27ED" w:rsidRDefault="00B91F66" w:rsidP="00C97A18">
      <w:pPr>
        <w:pStyle w:val="Ttulo3"/>
        <w:numPr>
          <w:ilvl w:val="2"/>
          <w:numId w:val="278"/>
        </w:numPr>
        <w:spacing w:line="360" w:lineRule="auto"/>
        <w:jc w:val="both"/>
      </w:pPr>
      <w:bookmarkStart w:id="322" w:name="_Toc111837996"/>
      <w:bookmarkStart w:id="323" w:name="_Hlk109815598"/>
      <w:bookmarkEnd w:id="319"/>
      <w:r w:rsidRPr="009A27ED">
        <w:rPr>
          <w:rFonts w:ascii="Times New Roman" w:eastAsia="Times New Roman" w:hAnsi="Times New Roman"/>
          <w:sz w:val="24"/>
        </w:rPr>
        <w:t>Fase IV Implementación y acompañamiento técnico</w:t>
      </w:r>
      <w:bookmarkEnd w:id="322"/>
      <w:r w:rsidRPr="009A27ED">
        <w:rPr>
          <w:rFonts w:ascii="Times New Roman" w:eastAsia="Times New Roman" w:hAnsi="Times New Roman"/>
          <w:sz w:val="24"/>
        </w:rPr>
        <w:t xml:space="preserve"> </w:t>
      </w:r>
    </w:p>
    <w:p w14:paraId="11CB1977" w14:textId="348B0580" w:rsidR="00C75C7E" w:rsidRPr="009A27ED" w:rsidRDefault="00C75C7E" w:rsidP="00C75C7E">
      <w:pPr>
        <w:spacing w:before="120" w:after="0" w:line="360" w:lineRule="auto"/>
        <w:rPr>
          <w:rFonts w:asciiTheme="majorHAnsi" w:eastAsiaTheme="majorEastAsia" w:hAnsiTheme="majorHAnsi" w:cstheme="majorBidi"/>
          <w:lang w:val="es-DO"/>
        </w:rPr>
      </w:pPr>
      <w:r w:rsidRPr="009A27ED">
        <w:rPr>
          <w:rFonts w:asciiTheme="majorHAnsi" w:eastAsiaTheme="majorEastAsia" w:hAnsiTheme="majorHAnsi" w:cstheme="majorBidi"/>
          <w:sz w:val="24"/>
          <w:lang w:val="es-DO"/>
        </w:rPr>
        <w:t>El cu</w:t>
      </w:r>
      <w:r w:rsidR="00814CE1" w:rsidRPr="009A27ED">
        <w:rPr>
          <w:rFonts w:asciiTheme="majorHAnsi" w:eastAsiaTheme="majorEastAsia" w:hAnsiTheme="majorHAnsi" w:cstheme="majorBidi"/>
          <w:sz w:val="24"/>
          <w:lang w:val="es-DO"/>
        </w:rPr>
        <w:t>mplimiento de las Salvaguardas Ambientales y S</w:t>
      </w:r>
      <w:r w:rsidRPr="009A27ED">
        <w:rPr>
          <w:rFonts w:asciiTheme="majorHAnsi" w:eastAsiaTheme="majorEastAsia" w:hAnsiTheme="majorHAnsi" w:cstheme="majorBidi"/>
          <w:sz w:val="24"/>
          <w:lang w:val="es-DO"/>
        </w:rPr>
        <w:t xml:space="preserve">ociales es indispensable para que las actividades sean contabilizadas para el pago por reducción de emisiones. Con el propósito de garantizar la aplicación de todas y cada una de las medidas de mitigación de cada </w:t>
      </w:r>
      <w:proofErr w:type="gramStart"/>
      <w:r w:rsidRPr="009A27ED">
        <w:rPr>
          <w:rFonts w:asciiTheme="majorHAnsi" w:eastAsiaTheme="majorEastAsia" w:hAnsiTheme="majorHAnsi" w:cstheme="majorBidi"/>
          <w:sz w:val="24"/>
          <w:lang w:val="es-DO"/>
        </w:rPr>
        <w:t>uno</w:t>
      </w:r>
      <w:proofErr w:type="gramEnd"/>
      <w:r w:rsidRPr="009A27ED">
        <w:rPr>
          <w:rFonts w:asciiTheme="majorHAnsi" w:eastAsiaTheme="majorEastAsia" w:hAnsiTheme="majorHAnsi" w:cstheme="majorBidi"/>
          <w:sz w:val="24"/>
          <w:lang w:val="es-DO"/>
        </w:rPr>
        <w:t xml:space="preserve"> de las actividades tipo, se diseñó </w:t>
      </w:r>
      <w:r w:rsidRPr="009A27ED">
        <w:rPr>
          <w:rFonts w:asciiTheme="majorHAnsi" w:eastAsiaTheme="majorEastAsia" w:hAnsiTheme="majorHAnsi" w:cstheme="majorBidi"/>
          <w:sz w:val="24"/>
          <w:lang w:val="es-DO"/>
        </w:rPr>
        <w:lastRenderedPageBreak/>
        <w:t xml:space="preserve">inicialmente una Guía de cumplimiento de PMAS en donde se plasmaron todas las medidas de mitigación y buenas prácticas ambientales y sociales, incluido el enfoque de género, para cada actividad tipo. Tanto los beneficiarios registrados, como los agentes técnicos que acompañarán el desarrollo de las intervenciones, deben observar estas buenas prácticas para cumplir con las salvaguardas ambientales y sociales aplicables al Programa REDD+ y así evitar, reducir o mitigar los posibles impactos </w:t>
      </w:r>
      <w:r w:rsidR="00814CE1" w:rsidRPr="009A27ED">
        <w:rPr>
          <w:rFonts w:asciiTheme="majorHAnsi" w:eastAsiaTheme="majorEastAsia" w:hAnsiTheme="majorHAnsi" w:cstheme="majorBidi"/>
          <w:sz w:val="24"/>
          <w:lang w:val="es-DO"/>
        </w:rPr>
        <w:t xml:space="preserve">negativos </w:t>
      </w:r>
      <w:r w:rsidRPr="009A27ED">
        <w:rPr>
          <w:rFonts w:asciiTheme="majorHAnsi" w:eastAsiaTheme="majorEastAsia" w:hAnsiTheme="majorHAnsi" w:cstheme="majorBidi"/>
          <w:sz w:val="24"/>
          <w:lang w:val="es-DO"/>
        </w:rPr>
        <w:t>derivados de la realización de las actividades</w:t>
      </w:r>
      <w:r w:rsidR="00814CE1" w:rsidRPr="009A27ED">
        <w:rPr>
          <w:rFonts w:asciiTheme="majorHAnsi" w:eastAsiaTheme="majorEastAsia" w:hAnsiTheme="majorHAnsi" w:cstheme="majorBidi"/>
          <w:sz w:val="24"/>
          <w:lang w:val="es-DO"/>
        </w:rPr>
        <w:t xml:space="preserve"> de reducción de emisiones</w:t>
      </w:r>
      <w:r w:rsidRPr="009A27ED">
        <w:rPr>
          <w:rFonts w:asciiTheme="majorHAnsi" w:eastAsiaTheme="majorEastAsia" w:hAnsiTheme="majorHAnsi" w:cstheme="majorBidi"/>
          <w:sz w:val="24"/>
          <w:lang w:val="es-DO"/>
        </w:rPr>
        <w:t xml:space="preserve">. </w:t>
      </w:r>
    </w:p>
    <w:p w14:paraId="379CA19A" w14:textId="3F7FB02A" w:rsidR="00C75C7E" w:rsidRPr="009A27ED" w:rsidRDefault="00C75C7E" w:rsidP="00C75C7E">
      <w:pPr>
        <w:spacing w:before="120" w:after="0" w:line="360" w:lineRule="auto"/>
        <w:rPr>
          <w:rFonts w:asciiTheme="majorHAnsi" w:eastAsiaTheme="majorEastAsia" w:hAnsiTheme="majorHAnsi" w:cstheme="majorBidi"/>
          <w:lang w:val="es-DO"/>
        </w:rPr>
      </w:pPr>
      <w:r w:rsidRPr="009A27ED">
        <w:rPr>
          <w:rFonts w:asciiTheme="majorHAnsi" w:eastAsiaTheme="majorEastAsia" w:hAnsiTheme="majorHAnsi" w:cstheme="majorBidi"/>
          <w:sz w:val="24"/>
          <w:lang w:val="es-DO"/>
        </w:rPr>
        <w:t xml:space="preserve">Adicionalmente se proporcionaron cursos técnicos </w:t>
      </w:r>
      <w:r w:rsidRPr="009A27ED">
        <w:rPr>
          <w:rFonts w:asciiTheme="majorHAnsi" w:eastAsiaTheme="majorEastAsia" w:hAnsiTheme="majorHAnsi" w:cstheme="majorBidi"/>
          <w:strike/>
          <w:sz w:val="24"/>
          <w:lang w:val="es-DO"/>
        </w:rPr>
        <w:t>con apoyo del CATIE</w:t>
      </w:r>
      <w:r w:rsidRPr="009A27ED">
        <w:rPr>
          <w:rFonts w:asciiTheme="majorHAnsi" w:eastAsiaTheme="majorEastAsia" w:hAnsiTheme="majorHAnsi" w:cstheme="majorBidi"/>
          <w:sz w:val="24"/>
          <w:lang w:val="es-DO"/>
        </w:rPr>
        <w:t xml:space="preserve"> al personal de las Entidades Ejecutoras sobre el contenido de cada una de las guías y se implementó un ejercicio de capacitación por el Ministerio de Medio Ambiente, para fortalecer las capacidades institucionales tanto de las Entidades Ejecutoras, como de los beneficiarios que intervendrán en las actividades tipo REDD+</w:t>
      </w:r>
      <w:r w:rsidR="00814CE1" w:rsidRPr="009A27ED">
        <w:rPr>
          <w:rFonts w:asciiTheme="majorHAnsi" w:eastAsiaTheme="majorEastAsia" w:hAnsiTheme="majorHAnsi" w:cstheme="majorBidi"/>
          <w:sz w:val="24"/>
          <w:lang w:val="es-DO"/>
        </w:rPr>
        <w:t>.</w:t>
      </w:r>
      <w:r w:rsidRPr="009A27ED">
        <w:rPr>
          <w:rFonts w:asciiTheme="majorHAnsi" w:eastAsiaTheme="majorEastAsia" w:hAnsiTheme="majorHAnsi" w:cstheme="majorBidi"/>
          <w:sz w:val="24"/>
          <w:lang w:val="es-DO"/>
        </w:rPr>
        <w:t xml:space="preserve"> </w:t>
      </w:r>
      <w:r w:rsidR="00814CE1" w:rsidRPr="009A27ED">
        <w:rPr>
          <w:rFonts w:asciiTheme="majorHAnsi" w:eastAsiaTheme="majorEastAsia" w:hAnsiTheme="majorHAnsi" w:cstheme="majorBidi"/>
          <w:sz w:val="24"/>
          <w:lang w:val="es-DO"/>
        </w:rPr>
        <w:t>E</w:t>
      </w:r>
      <w:r w:rsidRPr="009A27ED">
        <w:rPr>
          <w:rFonts w:asciiTheme="majorHAnsi" w:eastAsiaTheme="majorEastAsia" w:hAnsiTheme="majorHAnsi" w:cstheme="majorBidi"/>
          <w:sz w:val="24"/>
          <w:lang w:val="es-DO"/>
        </w:rPr>
        <w:t>l proceso se enfocó en temática asociada a REDD+ y especialmente a la aplicación de las salvaguardas sociales y ambientales y las Políticas Operativas del Banco Mundial, su relación con el Marco de Gestión Ambiental y Social, el Sistema de Información de Salvaguardas, el Sistema de Quejas, Reclamos y Manejo de Conflictos, y su aplicación directa en los Planes de Manejo Ambiental y Social en las cinco áreas priorizadas para REDD+ y en el resto de áreas de importancia para la conservación</w:t>
      </w:r>
      <w:r w:rsidR="00814CE1" w:rsidRPr="009A27ED">
        <w:rPr>
          <w:rFonts w:asciiTheme="majorHAnsi" w:eastAsiaTheme="majorEastAsia" w:hAnsiTheme="majorHAnsi" w:cstheme="majorBidi"/>
          <w:sz w:val="24"/>
          <w:lang w:val="es-DO"/>
        </w:rPr>
        <w:t xml:space="preserve"> de los bosques </w:t>
      </w:r>
      <w:r w:rsidRPr="009A27ED">
        <w:rPr>
          <w:rFonts w:asciiTheme="majorHAnsi" w:eastAsiaTheme="majorEastAsia" w:hAnsiTheme="majorHAnsi" w:cstheme="majorBidi"/>
          <w:sz w:val="24"/>
          <w:lang w:val="es-DO"/>
        </w:rPr>
        <w:t xml:space="preserve"> a nivel nacional. </w:t>
      </w:r>
    </w:p>
    <w:p w14:paraId="1357580B" w14:textId="0EF073B4" w:rsidR="00B91F66" w:rsidRPr="009A27ED" w:rsidRDefault="00C75C7E" w:rsidP="00C75C7E">
      <w:pPr>
        <w:spacing w:before="120" w:after="0" w:line="360" w:lineRule="auto"/>
        <w:rPr>
          <w:rFonts w:asciiTheme="majorHAnsi" w:eastAsiaTheme="majorEastAsia" w:hAnsiTheme="majorHAnsi" w:cstheme="majorBidi"/>
          <w:lang w:val="es-DO"/>
        </w:rPr>
      </w:pPr>
      <w:r w:rsidRPr="009A27ED">
        <w:rPr>
          <w:rFonts w:asciiTheme="majorHAnsi" w:eastAsiaTheme="majorEastAsia" w:hAnsiTheme="majorHAnsi" w:cstheme="majorBidi"/>
          <w:sz w:val="24"/>
          <w:lang w:val="es-DO"/>
        </w:rPr>
        <w:t>Los arreglos institucionales que el Ministerio Medio Ambiente ha establecido con las Entidades Ejecutoras destacan el rol, las funciones y las atribuciones que éstas tendrán con relación a la implementación de los instrumentos de salvaguardas ambientales y sociales y Políticas Operativas del Banco Mundial, basadas en el MGAS, los PMAS, el SIS y la aplicación oportuna del SQRC, de tal forma que las EE sean la principal fuente de información para el reporte del cumplimiento de las salvaguardas.</w:t>
      </w:r>
    </w:p>
    <w:p w14:paraId="18D960D6" w14:textId="77777777" w:rsidR="00B91F66" w:rsidRPr="009A27ED" w:rsidRDefault="00B91F66" w:rsidP="00B91F66">
      <w:pPr>
        <w:spacing w:before="120" w:after="0" w:line="360" w:lineRule="auto"/>
        <w:rPr>
          <w:rFonts w:asciiTheme="majorHAnsi" w:eastAsiaTheme="majorEastAsia" w:hAnsiTheme="majorHAnsi" w:cstheme="majorBidi"/>
          <w:b/>
          <w:bCs/>
          <w:lang w:val="es-DO"/>
        </w:rPr>
      </w:pPr>
    </w:p>
    <w:p w14:paraId="78F8C345" w14:textId="77777777" w:rsidR="00C75C7E" w:rsidRPr="009A27ED" w:rsidRDefault="00C75C7E" w:rsidP="00E71948">
      <w:pPr>
        <w:pStyle w:val="Ttulo1"/>
        <w:numPr>
          <w:ilvl w:val="0"/>
          <w:numId w:val="0"/>
        </w:numPr>
        <w:tabs>
          <w:tab w:val="left" w:pos="426"/>
        </w:tabs>
        <w:spacing w:line="360" w:lineRule="auto"/>
        <w:ind w:left="284"/>
        <w:jc w:val="both"/>
      </w:pPr>
      <w:bookmarkStart w:id="324" w:name="_Toc111837997"/>
      <w:r w:rsidRPr="009A27ED">
        <w:rPr>
          <w:rFonts w:ascii="Times New Roman" w:eastAsia="Times New Roman" w:hAnsi="Times New Roman"/>
          <w:sz w:val="24"/>
        </w:rPr>
        <w:t>7. Sistema de Información de Salvaguardas (SIS)</w:t>
      </w:r>
      <w:bookmarkEnd w:id="324"/>
    </w:p>
    <w:p w14:paraId="7A68176A" w14:textId="33A00115" w:rsidR="00C75C7E" w:rsidRPr="009A27ED" w:rsidRDefault="00C75C7E" w:rsidP="00C75C7E">
      <w:pPr>
        <w:spacing w:before="120" w:after="0" w:line="360" w:lineRule="auto"/>
        <w:rPr>
          <w:rFonts w:asciiTheme="majorHAnsi" w:eastAsiaTheme="majorEastAsia" w:hAnsiTheme="majorHAnsi" w:cstheme="majorBidi"/>
          <w:lang w:val="es-DO"/>
        </w:rPr>
      </w:pPr>
      <w:r w:rsidRPr="009A27ED">
        <w:rPr>
          <w:rFonts w:asciiTheme="majorHAnsi" w:eastAsiaTheme="majorEastAsia" w:hAnsiTheme="majorHAnsi" w:cstheme="majorBidi"/>
          <w:sz w:val="24"/>
          <w:lang w:val="es-DO"/>
        </w:rPr>
        <w:t xml:space="preserve">El presente capítulo corresponde a las Fases </w:t>
      </w:r>
      <w:r w:rsidRPr="009A27ED">
        <w:rPr>
          <w:rFonts w:asciiTheme="majorHAnsi" w:eastAsiaTheme="majorEastAsia" w:hAnsiTheme="majorHAnsi" w:cstheme="majorBidi"/>
          <w:strike/>
          <w:sz w:val="24"/>
          <w:lang w:val="es-DO"/>
        </w:rPr>
        <w:t>VI</w:t>
      </w:r>
      <w:r w:rsidR="00AA4172" w:rsidRPr="009A27ED">
        <w:rPr>
          <w:rFonts w:asciiTheme="majorHAnsi" w:eastAsiaTheme="majorEastAsia" w:hAnsiTheme="majorHAnsi" w:cstheme="majorBidi"/>
          <w:strike/>
          <w:sz w:val="24"/>
          <w:lang w:val="es-DO"/>
        </w:rPr>
        <w:t xml:space="preserve"> </w:t>
      </w:r>
      <w:r w:rsidRPr="009A27ED">
        <w:rPr>
          <w:rFonts w:asciiTheme="majorHAnsi" w:eastAsiaTheme="majorEastAsia" w:hAnsiTheme="majorHAnsi" w:cstheme="majorBidi"/>
          <w:strike/>
          <w:sz w:val="24"/>
          <w:lang w:val="es-DO"/>
        </w:rPr>
        <w:t xml:space="preserve"> y VII</w:t>
      </w:r>
      <w:r w:rsidR="00AA4172" w:rsidRPr="009A27ED">
        <w:rPr>
          <w:rFonts w:asciiTheme="majorHAnsi" w:eastAsiaTheme="majorEastAsia" w:hAnsiTheme="majorHAnsi" w:cstheme="majorBidi"/>
          <w:sz w:val="24"/>
          <w:lang w:val="es-DO"/>
        </w:rPr>
        <w:t xml:space="preserve">  V y VI</w:t>
      </w:r>
      <w:r w:rsidR="00BB5BE3" w:rsidRPr="009A27ED">
        <w:rPr>
          <w:rFonts w:asciiTheme="majorHAnsi" w:eastAsiaTheme="majorEastAsia" w:hAnsiTheme="majorHAnsi" w:cstheme="majorBidi"/>
          <w:sz w:val="24"/>
          <w:lang w:val="es-DO"/>
        </w:rPr>
        <w:t xml:space="preserve"> </w:t>
      </w:r>
      <w:r w:rsidRPr="009A27ED">
        <w:rPr>
          <w:rFonts w:asciiTheme="majorHAnsi" w:eastAsiaTheme="majorEastAsia" w:hAnsiTheme="majorHAnsi" w:cstheme="majorBidi"/>
          <w:sz w:val="24"/>
          <w:lang w:val="es-DO"/>
        </w:rPr>
        <w:t>del procedimiento de implementaci</w:t>
      </w:r>
      <w:r w:rsidR="00AA4172" w:rsidRPr="009A27ED">
        <w:rPr>
          <w:rFonts w:asciiTheme="majorHAnsi" w:eastAsiaTheme="majorEastAsia" w:hAnsiTheme="majorHAnsi" w:cstheme="majorBidi"/>
          <w:sz w:val="24"/>
          <w:lang w:val="es-DO"/>
        </w:rPr>
        <w:t>ón del MGAS que trata sobre el s</w:t>
      </w:r>
      <w:r w:rsidRPr="009A27ED">
        <w:rPr>
          <w:rFonts w:asciiTheme="majorHAnsi" w:eastAsiaTheme="majorEastAsia" w:hAnsiTheme="majorHAnsi" w:cstheme="majorBidi"/>
          <w:sz w:val="24"/>
          <w:lang w:val="es-DO"/>
        </w:rPr>
        <w:t xml:space="preserve">eguimiento y reporte de los aspectos ambientales y sociales y su vinculación con el </w:t>
      </w:r>
      <w:r w:rsidRPr="009A27ED">
        <w:rPr>
          <w:rFonts w:ascii="Times New Roman" w:eastAsiaTheme="majorEastAsia" w:hAnsi="Times New Roman"/>
          <w:sz w:val="24"/>
          <w:lang w:val="es-DO"/>
        </w:rPr>
        <w:t>Sistema de Información de Salvaguardas (SIS).</w:t>
      </w:r>
    </w:p>
    <w:p w14:paraId="10E99489" w14:textId="77777777" w:rsidR="00B91F66" w:rsidRPr="009A27ED" w:rsidRDefault="00B91F66" w:rsidP="00B91F66">
      <w:pPr>
        <w:spacing w:before="120" w:after="0" w:line="360" w:lineRule="auto"/>
        <w:rPr>
          <w:rFonts w:asciiTheme="majorHAnsi" w:eastAsiaTheme="majorEastAsia" w:hAnsiTheme="majorHAnsi" w:cstheme="majorBidi"/>
          <w:lang w:val="es-DO"/>
        </w:rPr>
      </w:pPr>
      <w:r w:rsidRPr="009A27ED">
        <w:rPr>
          <w:rFonts w:asciiTheme="majorHAnsi" w:eastAsiaTheme="majorEastAsia" w:hAnsiTheme="majorHAnsi" w:cstheme="majorBidi"/>
          <w:sz w:val="24"/>
          <w:lang w:val="es-DO"/>
        </w:rPr>
        <w:t xml:space="preserve">Las Salvaguardas tienen como objetivo no sólo mitigar el riesgo de los impactos sociales y ambientales negativos de las medidas REDD+, sino también el de promover activamente los beneficios que van más </w:t>
      </w:r>
      <w:r w:rsidRPr="009A27ED">
        <w:rPr>
          <w:rFonts w:asciiTheme="majorHAnsi" w:eastAsiaTheme="majorEastAsia" w:hAnsiTheme="majorHAnsi" w:cstheme="majorBidi"/>
          <w:sz w:val="24"/>
          <w:lang w:val="es-DO"/>
        </w:rPr>
        <w:lastRenderedPageBreak/>
        <w:t>allá de la reducción de emisiones de carbono, tales como el aumento de la seguridad en la tenencia de la tierra, el empoderamiento de las partes interesadas por asegurar su participación plena y efectiva, la conservación de la biodiversidad y de la gobernanza forestal.</w:t>
      </w:r>
    </w:p>
    <w:p w14:paraId="6BF3F820" w14:textId="77777777" w:rsidR="00B91F66" w:rsidRPr="009A27ED" w:rsidRDefault="00B91F66" w:rsidP="00B91F66">
      <w:pPr>
        <w:spacing w:before="120" w:after="0" w:line="360" w:lineRule="auto"/>
        <w:rPr>
          <w:rFonts w:asciiTheme="majorHAnsi" w:eastAsiaTheme="majorEastAsia" w:hAnsiTheme="majorHAnsi" w:cstheme="majorBidi"/>
          <w:lang w:val="es-DO"/>
        </w:rPr>
      </w:pPr>
      <w:r w:rsidRPr="009A27ED">
        <w:rPr>
          <w:rFonts w:asciiTheme="majorHAnsi" w:eastAsiaTheme="majorEastAsia" w:hAnsiTheme="majorHAnsi" w:cstheme="majorBidi"/>
          <w:sz w:val="24"/>
          <w:lang w:val="es-DO"/>
        </w:rPr>
        <w:t>Los países deben cumplir con tres requisitos en materia de salvaguardas, con el fin de acceder a un financiamiento basado en resultados. Estos requisitos son los siguientes:</w:t>
      </w:r>
    </w:p>
    <w:p w14:paraId="0982D1D9" w14:textId="77777777" w:rsidR="00B91F66" w:rsidRPr="009A27ED" w:rsidRDefault="00B91F66" w:rsidP="00B91F66">
      <w:pPr>
        <w:spacing w:before="120" w:after="0" w:line="360" w:lineRule="auto"/>
        <w:rPr>
          <w:rFonts w:asciiTheme="majorHAnsi" w:eastAsiaTheme="majorEastAsia" w:hAnsiTheme="majorHAnsi" w:cstheme="majorBidi"/>
          <w:lang w:val="es-DO"/>
        </w:rPr>
      </w:pPr>
      <w:r w:rsidRPr="009A27ED">
        <w:rPr>
          <w:rFonts w:asciiTheme="majorHAnsi" w:eastAsiaTheme="majorEastAsia" w:hAnsiTheme="majorHAnsi" w:cstheme="majorBidi"/>
          <w:sz w:val="24"/>
          <w:lang w:val="es-DO"/>
        </w:rPr>
        <w:t>1.</w:t>
      </w:r>
      <w:r w:rsidRPr="009A27ED">
        <w:rPr>
          <w:rFonts w:asciiTheme="majorHAnsi" w:eastAsiaTheme="majorEastAsia" w:hAnsiTheme="majorHAnsi" w:cstheme="majorBidi"/>
          <w:sz w:val="24"/>
          <w:lang w:val="es-DO"/>
        </w:rPr>
        <w:tab/>
        <w:t>Asegurar que las actividades REDD+, independientemente de la fuente y el tipo de financiamiento, sean implementadas de manera coherente con las Salvaguardas REDD+ de la CMNUCC y las Políticas Operativas del BM.</w:t>
      </w:r>
    </w:p>
    <w:p w14:paraId="7AB92CCC" w14:textId="77777777" w:rsidR="00B91F66" w:rsidRPr="009A27ED" w:rsidRDefault="00B91F66" w:rsidP="00B91F66">
      <w:pPr>
        <w:spacing w:before="120" w:after="0" w:line="360" w:lineRule="auto"/>
        <w:rPr>
          <w:rFonts w:asciiTheme="majorHAnsi" w:eastAsiaTheme="majorEastAsia" w:hAnsiTheme="majorHAnsi" w:cstheme="majorBidi"/>
          <w:lang w:val="es-DO"/>
        </w:rPr>
      </w:pPr>
      <w:r w:rsidRPr="009A27ED">
        <w:rPr>
          <w:rFonts w:asciiTheme="majorHAnsi" w:eastAsiaTheme="majorEastAsia" w:hAnsiTheme="majorHAnsi" w:cstheme="majorBidi"/>
          <w:sz w:val="24"/>
          <w:lang w:val="es-DO"/>
        </w:rPr>
        <w:t>2.</w:t>
      </w:r>
      <w:r w:rsidRPr="009A27ED">
        <w:rPr>
          <w:rFonts w:asciiTheme="majorHAnsi" w:eastAsiaTheme="majorEastAsia" w:hAnsiTheme="majorHAnsi" w:cstheme="majorBidi"/>
          <w:sz w:val="24"/>
          <w:lang w:val="es-DO"/>
        </w:rPr>
        <w:tab/>
        <w:t xml:space="preserve">Desarrollar un sistema para brindar información sobre cómo se están abordando y respetando las Salvaguardas REDD+ de la CMNUCC y las Políticas Operativas del BM. </w:t>
      </w:r>
    </w:p>
    <w:p w14:paraId="2CF88C71" w14:textId="77777777" w:rsidR="00B91F66" w:rsidRPr="009A27ED" w:rsidRDefault="00B91F66" w:rsidP="00B91F66">
      <w:pPr>
        <w:spacing w:before="120" w:after="0" w:line="360" w:lineRule="auto"/>
        <w:rPr>
          <w:rFonts w:asciiTheme="majorHAnsi" w:eastAsiaTheme="majorEastAsia" w:hAnsiTheme="majorHAnsi" w:cstheme="majorBidi"/>
          <w:lang w:val="es-DO"/>
        </w:rPr>
      </w:pPr>
      <w:r w:rsidRPr="009A27ED">
        <w:rPr>
          <w:rFonts w:asciiTheme="majorHAnsi" w:eastAsiaTheme="majorEastAsia" w:hAnsiTheme="majorHAnsi" w:cstheme="majorBidi"/>
          <w:sz w:val="24"/>
          <w:lang w:val="es-DO"/>
        </w:rPr>
        <w:t>3.</w:t>
      </w:r>
      <w:r w:rsidRPr="009A27ED">
        <w:rPr>
          <w:rFonts w:asciiTheme="majorHAnsi" w:eastAsiaTheme="majorEastAsia" w:hAnsiTheme="majorHAnsi" w:cstheme="majorBidi"/>
          <w:sz w:val="24"/>
          <w:lang w:val="es-DO"/>
        </w:rPr>
        <w:tab/>
        <w:t>Proporcionar un resumen de la información sobre cómo se están abordando y respetando todas las Salvaguardas REDD+ de la CMNUCC y las Políticas Operativas del BM durante la implementación de las actividades REDD+.</w:t>
      </w:r>
    </w:p>
    <w:p w14:paraId="5630881E" w14:textId="06E93A08" w:rsidR="00B91F66" w:rsidRPr="009A27ED" w:rsidRDefault="00B91F66" w:rsidP="00B91F66">
      <w:pPr>
        <w:spacing w:before="120" w:after="0" w:line="360" w:lineRule="auto"/>
        <w:rPr>
          <w:rFonts w:asciiTheme="majorHAnsi" w:eastAsiaTheme="majorEastAsia" w:hAnsiTheme="majorHAnsi" w:cstheme="majorBidi"/>
          <w:lang w:val="es-DO"/>
        </w:rPr>
      </w:pPr>
      <w:r w:rsidRPr="009A27ED">
        <w:rPr>
          <w:rFonts w:asciiTheme="majorHAnsi" w:eastAsiaTheme="majorEastAsia" w:hAnsiTheme="majorHAnsi" w:cstheme="majorBidi"/>
          <w:sz w:val="24"/>
          <w:lang w:val="es-DO"/>
        </w:rPr>
        <w:t>En este sentido, República Dominicana ha desarrollado un Sistema de Información de Salvaguardas (SIS)</w:t>
      </w:r>
      <w:r w:rsidR="00C75C7E" w:rsidRPr="009A27ED">
        <w:rPr>
          <w:rFonts w:asciiTheme="majorHAnsi" w:eastAsiaTheme="majorEastAsia" w:hAnsiTheme="majorHAnsi" w:cstheme="majorBidi"/>
          <w:sz w:val="24"/>
          <w:lang w:val="es-DO"/>
        </w:rPr>
        <w:t xml:space="preserve"> como una plataforma </w:t>
      </w:r>
      <w:r w:rsidR="00796D84" w:rsidRPr="009A27ED">
        <w:rPr>
          <w:rFonts w:asciiTheme="majorHAnsi" w:eastAsiaTheme="majorEastAsia" w:hAnsiTheme="majorHAnsi" w:cstheme="majorBidi"/>
          <w:sz w:val="24"/>
          <w:lang w:val="es-DO"/>
        </w:rPr>
        <w:t>web, cuyos</w:t>
      </w:r>
      <w:r w:rsidRPr="009A27ED">
        <w:rPr>
          <w:rFonts w:asciiTheme="majorHAnsi" w:eastAsiaTheme="majorEastAsia" w:hAnsiTheme="majorHAnsi" w:cstheme="majorBidi"/>
          <w:sz w:val="24"/>
          <w:lang w:val="es-DO"/>
        </w:rPr>
        <w:t xml:space="preserve"> resultados de reportes serán de accesibilidad pública para garantizar la transparencia y flujo de información sobre cómo se abordan y respetan tanto las salvaguardas de la CMNUCC como las Políticas Operativas del Banco Mundial.</w:t>
      </w:r>
    </w:p>
    <w:p w14:paraId="1EE2C22A" w14:textId="77777777" w:rsidR="00B91F66" w:rsidRPr="009A27ED" w:rsidRDefault="00B91F66" w:rsidP="00B91F66">
      <w:pPr>
        <w:spacing w:before="120" w:after="0" w:line="360" w:lineRule="auto"/>
        <w:rPr>
          <w:rFonts w:asciiTheme="majorHAnsi" w:eastAsiaTheme="majorEastAsia" w:hAnsiTheme="majorHAnsi" w:cstheme="majorBidi"/>
          <w:lang w:val="es-DO"/>
        </w:rPr>
      </w:pPr>
      <w:r w:rsidRPr="009A27ED">
        <w:rPr>
          <w:rFonts w:asciiTheme="majorHAnsi" w:eastAsiaTheme="majorEastAsia" w:hAnsiTheme="majorHAnsi" w:cstheme="majorBidi"/>
          <w:sz w:val="24"/>
          <w:lang w:val="es-DO"/>
        </w:rPr>
        <w:t>La información y requisitos del procedimiento para el abordaje de las salvaguardas ambientales y sociales que se aplicará a lo largo del ciclo de las actividades que se implementarán en el contexto de REDD+, será integrado por las Entidades Ejecutoras en sus propios procedimientos operativos en preparación a la implementación del Programa REDD+.</w:t>
      </w:r>
    </w:p>
    <w:p w14:paraId="7C3F81DF" w14:textId="77777777" w:rsidR="00B91F66" w:rsidRPr="009A27ED" w:rsidRDefault="00B91F66" w:rsidP="00B91F66">
      <w:pPr>
        <w:spacing w:before="120" w:after="0" w:line="360" w:lineRule="auto"/>
        <w:rPr>
          <w:rFonts w:asciiTheme="majorHAnsi" w:eastAsiaTheme="majorEastAsia" w:hAnsiTheme="majorHAnsi" w:cstheme="majorBidi"/>
          <w:lang w:val="es-DO"/>
        </w:rPr>
      </w:pPr>
      <w:r w:rsidRPr="009A27ED">
        <w:rPr>
          <w:rFonts w:asciiTheme="majorHAnsi" w:eastAsiaTheme="majorEastAsia" w:hAnsiTheme="majorHAnsi" w:cstheme="majorBidi"/>
          <w:sz w:val="24"/>
          <w:lang w:val="es-DO"/>
        </w:rPr>
        <w:t xml:space="preserve">Para diseñar el SIS, se partió de los elementos establecidos en el Marco de Gestión Ambiental y Social (MGAS) y los Planes de Manejo Ambiental y Social (PMAS) elaborados para el Programa REDD+ y las diferentes Actividades Tipo en cada una de las áreas priorizadas, sobre la base de una Evaluación ambiental y social, y la identificación de los riesgos e impactos potenciales tanto ambientales como sociales que las Actividades Tipo REDD+ podrían producir durante su implementación. Así mismo, se diseñaron, mediante un panel de expertos, las medidas de mitigación y buenas prácticas para evitar, </w:t>
      </w:r>
      <w:r w:rsidRPr="009A27ED">
        <w:rPr>
          <w:rFonts w:asciiTheme="majorHAnsi" w:eastAsiaTheme="majorEastAsia" w:hAnsiTheme="majorHAnsi" w:cstheme="majorBidi"/>
          <w:sz w:val="24"/>
          <w:lang w:val="es-DO"/>
        </w:rPr>
        <w:lastRenderedPageBreak/>
        <w:t xml:space="preserve">mitigar, revertir y/o compensar los riesgos e impactos adversos significativos identificados a niveles aceptables, y que resultaran técnicamente viables y costo efectivas, en correspondencia con el cumplimiento de la legislación nacional, el MGAS y en concordancia con lo establecido en las Políticas Operativas del BM incluyendo aquellos aspectos de higiene y seguridad ocupacional, así como los riesgos potenciales para las comunidades. </w:t>
      </w:r>
    </w:p>
    <w:p w14:paraId="2B664631" w14:textId="10A6B962" w:rsidR="00B91F66" w:rsidRPr="009A27ED" w:rsidRDefault="00B91F66" w:rsidP="00B91F66">
      <w:pPr>
        <w:spacing w:before="120" w:after="0" w:line="360" w:lineRule="auto"/>
        <w:rPr>
          <w:rFonts w:asciiTheme="majorHAnsi" w:eastAsiaTheme="majorEastAsia" w:hAnsiTheme="majorHAnsi" w:cstheme="majorBidi"/>
          <w:lang w:val="es-DO"/>
        </w:rPr>
      </w:pPr>
      <w:r w:rsidRPr="009A27ED">
        <w:rPr>
          <w:rFonts w:asciiTheme="majorHAnsi" w:eastAsiaTheme="majorEastAsia" w:hAnsiTheme="majorHAnsi" w:cstheme="majorBidi"/>
          <w:sz w:val="24"/>
          <w:lang w:val="es-DO"/>
        </w:rPr>
        <w:t>A partir de este análisis, se construyó una “Matriz de riesgos y medidas de mitigación” (Guía de Cumplimiento de PMAS</w:t>
      </w:r>
      <w:r w:rsidR="00796D84" w:rsidRPr="009A27ED">
        <w:rPr>
          <w:rFonts w:asciiTheme="majorHAnsi" w:eastAsiaTheme="majorEastAsia" w:hAnsiTheme="majorHAnsi" w:cstheme="majorBidi"/>
          <w:sz w:val="24"/>
          <w:lang w:val="es-DO"/>
        </w:rPr>
        <w:t xml:space="preserve"> disponible en la Página W</w:t>
      </w:r>
      <w:r w:rsidR="00C75C7E" w:rsidRPr="009A27ED">
        <w:rPr>
          <w:rFonts w:asciiTheme="majorHAnsi" w:eastAsiaTheme="majorEastAsia" w:hAnsiTheme="majorHAnsi" w:cstheme="majorBidi"/>
          <w:sz w:val="24"/>
          <w:lang w:val="es-DO"/>
        </w:rPr>
        <w:t>eb del Ministerio</w:t>
      </w:r>
      <w:r w:rsidRPr="009A27ED">
        <w:rPr>
          <w:rFonts w:asciiTheme="majorHAnsi" w:eastAsiaTheme="majorEastAsia" w:hAnsiTheme="majorHAnsi" w:cstheme="majorBidi"/>
          <w:sz w:val="24"/>
          <w:lang w:val="es-DO"/>
        </w:rPr>
        <w:t>), en donde se plasman todas las medidas de mitigación y buenas prácticas ambientales y sociales para cada Actividad Tipo, que tanto los beneficiarios registrados, como los agentes técnicos que acompañarán el desarrollo de los mismos deben observar para cumplir con las salvaguardas aplicables y así evitar, reducir o mitigar los posibles impactos</w:t>
      </w:r>
      <w:r w:rsidR="00462D1B" w:rsidRPr="009A27ED">
        <w:rPr>
          <w:rFonts w:asciiTheme="majorHAnsi" w:eastAsiaTheme="majorEastAsia" w:hAnsiTheme="majorHAnsi" w:cstheme="majorBidi"/>
          <w:sz w:val="24"/>
          <w:lang w:val="es-DO"/>
        </w:rPr>
        <w:t xml:space="preserve"> negativos</w:t>
      </w:r>
      <w:r w:rsidRPr="009A27ED">
        <w:rPr>
          <w:rFonts w:asciiTheme="majorHAnsi" w:eastAsiaTheme="majorEastAsia" w:hAnsiTheme="majorHAnsi" w:cstheme="majorBidi"/>
          <w:sz w:val="24"/>
          <w:lang w:val="es-DO"/>
        </w:rPr>
        <w:t xml:space="preserve"> derivados de la realización de las mismas y que se constituye en la base para el seguimiento y reporte de salvaguardas. </w:t>
      </w:r>
    </w:p>
    <w:p w14:paraId="0D9F9B26" w14:textId="110F3A99" w:rsidR="00B91F66" w:rsidRPr="009A27ED" w:rsidRDefault="00462D1B" w:rsidP="00B91F66">
      <w:pPr>
        <w:spacing w:before="120" w:after="0" w:line="360" w:lineRule="auto"/>
        <w:rPr>
          <w:rFonts w:asciiTheme="majorHAnsi" w:eastAsiaTheme="majorEastAsia" w:hAnsiTheme="majorHAnsi" w:cstheme="majorBidi"/>
          <w:lang w:val="es-DO"/>
        </w:rPr>
      </w:pPr>
      <w:r w:rsidRPr="009A27ED">
        <w:rPr>
          <w:rFonts w:asciiTheme="majorHAnsi" w:eastAsiaTheme="majorEastAsia" w:hAnsiTheme="majorHAnsi" w:cstheme="majorBidi"/>
          <w:sz w:val="24"/>
          <w:lang w:val="es-DO"/>
        </w:rPr>
        <w:t>Con toda e</w:t>
      </w:r>
      <w:r w:rsidR="00B91F66" w:rsidRPr="009A27ED">
        <w:rPr>
          <w:rFonts w:asciiTheme="majorHAnsi" w:eastAsiaTheme="majorEastAsia" w:hAnsiTheme="majorHAnsi" w:cstheme="majorBidi"/>
          <w:sz w:val="24"/>
          <w:lang w:val="es-DO"/>
        </w:rPr>
        <w:t>sta información de base, se diseñó el Sistema de Información de Salvaguardas (SIS), que consiste en una plataforma web que permite registrar y procesar la información con el desempeño ambiental y social de los predios registrados en el Programa REDD+, y funciona a través de fichas electrónicas que, sistematizadas, servirán para realizar los reportes unificados por EE, por Política Operativa del BM, y permitirá el almacenamiento de información histórica, posibilitando a las Entidades Ejecutoras y a la OCR, dar un seguimiento oportuno en el monitoreo del cumplimiento de las Salvaguardas REDD+ y las Políticas Operativas del Banco Mundial.</w:t>
      </w:r>
    </w:p>
    <w:p w14:paraId="3F0FB003" w14:textId="2D233034" w:rsidR="00B91F66" w:rsidRPr="009A27ED" w:rsidRDefault="00B91F66" w:rsidP="00B91F66">
      <w:pPr>
        <w:spacing w:before="120" w:after="0" w:line="360" w:lineRule="auto"/>
        <w:rPr>
          <w:rFonts w:asciiTheme="majorHAnsi" w:eastAsiaTheme="majorEastAsia" w:hAnsiTheme="majorHAnsi" w:cstheme="majorBidi"/>
          <w:lang w:val="es-DO"/>
        </w:rPr>
      </w:pPr>
      <w:r w:rsidRPr="009A27ED">
        <w:rPr>
          <w:rFonts w:asciiTheme="majorHAnsi" w:eastAsiaTheme="majorEastAsia" w:hAnsiTheme="majorHAnsi" w:cstheme="majorBidi"/>
          <w:sz w:val="24"/>
          <w:lang w:val="es-DO"/>
        </w:rPr>
        <w:t>El Sistema de Información de Salvaguardas registra los datos generales del predio que será intervenido, así como de sus propietarios o poseedores que serán los beneficiarios de la distribución de beneficios por reducción de emisiones y consigna información como: Numero de Registro (s</w:t>
      </w:r>
      <w:r w:rsidR="00462D1B" w:rsidRPr="009A27ED">
        <w:rPr>
          <w:rFonts w:asciiTheme="majorHAnsi" w:eastAsiaTheme="majorEastAsia" w:hAnsiTheme="majorHAnsi" w:cstheme="majorBidi"/>
          <w:sz w:val="24"/>
          <w:lang w:val="es-DO"/>
        </w:rPr>
        <w:t>egún el Sistema de Registro de I</w:t>
      </w:r>
      <w:r w:rsidRPr="009A27ED">
        <w:rPr>
          <w:rFonts w:asciiTheme="majorHAnsi" w:eastAsiaTheme="majorEastAsia" w:hAnsiTheme="majorHAnsi" w:cstheme="majorBidi"/>
          <w:sz w:val="24"/>
          <w:lang w:val="es-DO"/>
        </w:rPr>
        <w:t>ntervenciones REDD+),</w:t>
      </w:r>
      <w:r w:rsidR="00462D1B" w:rsidRPr="009A27ED">
        <w:rPr>
          <w:rFonts w:asciiTheme="majorHAnsi" w:eastAsiaTheme="majorEastAsia" w:hAnsiTheme="majorHAnsi" w:cstheme="majorBidi"/>
          <w:sz w:val="24"/>
          <w:lang w:val="es-DO"/>
        </w:rPr>
        <w:t xml:space="preserve"> Actividad Tipo REDD+ que será I</w:t>
      </w:r>
      <w:r w:rsidRPr="009A27ED">
        <w:rPr>
          <w:rFonts w:asciiTheme="majorHAnsi" w:eastAsiaTheme="majorEastAsia" w:hAnsiTheme="majorHAnsi" w:cstheme="majorBidi"/>
          <w:sz w:val="24"/>
          <w:lang w:val="es-DO"/>
        </w:rPr>
        <w:t>mplementada, EE a la que pertenece la Actividad Tipo, Propietarios y Copropietarios, Situación legal del Predio, N</w:t>
      </w:r>
      <w:r w:rsidR="00C75C7E" w:rsidRPr="009A27ED">
        <w:rPr>
          <w:rFonts w:asciiTheme="majorHAnsi" w:eastAsiaTheme="majorEastAsia" w:hAnsiTheme="majorHAnsi" w:cstheme="majorBidi"/>
          <w:sz w:val="24"/>
          <w:lang w:val="es-DO"/>
        </w:rPr>
        <w:t>úmero</w:t>
      </w:r>
      <w:r w:rsidR="00462D1B" w:rsidRPr="009A27ED">
        <w:rPr>
          <w:rFonts w:asciiTheme="majorHAnsi" w:eastAsiaTheme="majorEastAsia" w:hAnsiTheme="majorHAnsi" w:cstheme="majorBidi"/>
          <w:sz w:val="24"/>
          <w:lang w:val="es-DO"/>
        </w:rPr>
        <w:t>. de H</w:t>
      </w:r>
      <w:r w:rsidRPr="009A27ED">
        <w:rPr>
          <w:rFonts w:asciiTheme="majorHAnsi" w:eastAsiaTheme="majorEastAsia" w:hAnsiTheme="majorHAnsi" w:cstheme="majorBidi"/>
          <w:sz w:val="24"/>
          <w:lang w:val="es-DO"/>
        </w:rPr>
        <w:t xml:space="preserve">ectáreas </w:t>
      </w:r>
      <w:r w:rsidR="00462D1B" w:rsidRPr="009A27ED">
        <w:rPr>
          <w:rFonts w:asciiTheme="majorHAnsi" w:eastAsiaTheme="majorEastAsia" w:hAnsiTheme="majorHAnsi" w:cstheme="majorBidi"/>
          <w:sz w:val="24"/>
          <w:lang w:val="es-DO"/>
        </w:rPr>
        <w:t>I</w:t>
      </w:r>
      <w:r w:rsidRPr="009A27ED">
        <w:rPr>
          <w:rFonts w:asciiTheme="majorHAnsi" w:eastAsiaTheme="majorEastAsia" w:hAnsiTheme="majorHAnsi" w:cstheme="majorBidi"/>
          <w:sz w:val="24"/>
          <w:lang w:val="es-DO"/>
        </w:rPr>
        <w:t xml:space="preserve">ntervenidas, Coordenadas </w:t>
      </w:r>
      <w:r w:rsidR="00462D1B" w:rsidRPr="009A27ED">
        <w:rPr>
          <w:rFonts w:asciiTheme="majorHAnsi" w:eastAsiaTheme="majorEastAsia" w:hAnsiTheme="majorHAnsi" w:cstheme="majorBidi"/>
          <w:sz w:val="24"/>
          <w:lang w:val="es-DO"/>
        </w:rPr>
        <w:t>del P</w:t>
      </w:r>
      <w:r w:rsidRPr="009A27ED">
        <w:rPr>
          <w:rFonts w:asciiTheme="majorHAnsi" w:eastAsiaTheme="majorEastAsia" w:hAnsiTheme="majorHAnsi" w:cstheme="majorBidi"/>
          <w:sz w:val="24"/>
          <w:lang w:val="es-DO"/>
        </w:rPr>
        <w:t xml:space="preserve">redio, </w:t>
      </w:r>
      <w:r w:rsidR="00462D1B" w:rsidRPr="009A27ED">
        <w:rPr>
          <w:rFonts w:asciiTheme="majorHAnsi" w:eastAsiaTheme="majorEastAsia" w:hAnsiTheme="majorHAnsi" w:cstheme="majorBidi"/>
          <w:sz w:val="24"/>
          <w:lang w:val="es-DO"/>
        </w:rPr>
        <w:t>Provincia, Municipio, Fecha de Inicio de la A</w:t>
      </w:r>
      <w:r w:rsidRPr="009A27ED">
        <w:rPr>
          <w:rFonts w:asciiTheme="majorHAnsi" w:eastAsiaTheme="majorEastAsia" w:hAnsiTheme="majorHAnsi" w:cstheme="majorBidi"/>
          <w:sz w:val="24"/>
          <w:lang w:val="es-DO"/>
        </w:rPr>
        <w:t>ctivida</w:t>
      </w:r>
      <w:r w:rsidR="00462D1B" w:rsidRPr="009A27ED">
        <w:rPr>
          <w:rFonts w:asciiTheme="majorHAnsi" w:eastAsiaTheme="majorEastAsia" w:hAnsiTheme="majorHAnsi" w:cstheme="majorBidi"/>
          <w:sz w:val="24"/>
          <w:lang w:val="es-DO"/>
        </w:rPr>
        <w:t>d en Programa REDD+ y Fecha de Verificación de C</w:t>
      </w:r>
      <w:r w:rsidRPr="009A27ED">
        <w:rPr>
          <w:rFonts w:asciiTheme="majorHAnsi" w:eastAsiaTheme="majorEastAsia" w:hAnsiTheme="majorHAnsi" w:cstheme="majorBidi"/>
          <w:sz w:val="24"/>
          <w:lang w:val="es-DO"/>
        </w:rPr>
        <w:t xml:space="preserve">umplimiento, entre otras. </w:t>
      </w:r>
    </w:p>
    <w:p w14:paraId="57E02733" w14:textId="63BB543A" w:rsidR="00B91F66" w:rsidRPr="009A27ED" w:rsidRDefault="00B91F66" w:rsidP="00B91F66">
      <w:pPr>
        <w:spacing w:before="120" w:after="0" w:line="360" w:lineRule="auto"/>
        <w:rPr>
          <w:rFonts w:asciiTheme="majorHAnsi" w:eastAsiaTheme="majorEastAsia" w:hAnsiTheme="majorHAnsi" w:cstheme="majorBidi"/>
          <w:lang w:val="es-DO"/>
        </w:rPr>
      </w:pPr>
      <w:r w:rsidRPr="009A27ED">
        <w:rPr>
          <w:rFonts w:asciiTheme="majorHAnsi" w:eastAsiaTheme="majorEastAsia" w:hAnsiTheme="majorHAnsi" w:cstheme="majorBidi"/>
          <w:sz w:val="24"/>
          <w:lang w:val="es-DO"/>
        </w:rPr>
        <w:t xml:space="preserve">Así mismo, sistematiza los riesgos e impactos ambientales y sociales de las actividades Tipo REDD+, las medidas de mitigación y/o buenas prácticas que deben ejecutarse, los aspectos fortalecidos (tales como </w:t>
      </w:r>
      <w:r w:rsidRPr="009A27ED">
        <w:rPr>
          <w:rFonts w:asciiTheme="majorHAnsi" w:eastAsiaTheme="majorEastAsia" w:hAnsiTheme="majorHAnsi" w:cstheme="majorBidi"/>
          <w:sz w:val="24"/>
          <w:lang w:val="es-DO"/>
        </w:rPr>
        <w:lastRenderedPageBreak/>
        <w:t>capacitación en supervisión y monitoreo de salvaguardas, documentación básica y autorizaciones, educación y sensibilización ambiental e involucramiento de actores loc</w:t>
      </w:r>
      <w:r w:rsidR="00462D1B" w:rsidRPr="009A27ED">
        <w:rPr>
          <w:rFonts w:asciiTheme="majorHAnsi" w:eastAsiaTheme="majorEastAsia" w:hAnsiTheme="majorHAnsi" w:cstheme="majorBidi"/>
          <w:sz w:val="24"/>
          <w:lang w:val="es-DO"/>
        </w:rPr>
        <w:t>ales y alternativas sostenibles</w:t>
      </w:r>
      <w:r w:rsidRPr="009A27ED">
        <w:rPr>
          <w:rFonts w:asciiTheme="majorHAnsi" w:eastAsiaTheme="majorEastAsia" w:hAnsiTheme="majorHAnsi" w:cstheme="majorBidi"/>
          <w:sz w:val="24"/>
          <w:lang w:val="es-DO"/>
        </w:rPr>
        <w:t xml:space="preserve">), política operativa asociada y los criterios de aceptación o cumplimiento, es decir, la manera de cumplir con el requisito o actividad evaluada con el objeto de unificar los criterios durante la supervisión y evaluación del cumplimiento. </w:t>
      </w:r>
    </w:p>
    <w:p w14:paraId="4D4CADA3" w14:textId="79AA23B7" w:rsidR="00B91F66" w:rsidRPr="009A27ED" w:rsidRDefault="00B91F66" w:rsidP="00B91F66">
      <w:pPr>
        <w:spacing w:before="120" w:after="0" w:line="360" w:lineRule="auto"/>
        <w:rPr>
          <w:rFonts w:asciiTheme="majorHAnsi" w:eastAsiaTheme="majorEastAsia" w:hAnsiTheme="majorHAnsi" w:cstheme="majorBidi"/>
          <w:lang w:val="es-DO"/>
        </w:rPr>
      </w:pPr>
      <w:r w:rsidRPr="009A27ED">
        <w:rPr>
          <w:rFonts w:asciiTheme="majorHAnsi" w:eastAsiaTheme="majorEastAsia" w:hAnsiTheme="majorHAnsi" w:cstheme="majorBidi"/>
          <w:sz w:val="24"/>
          <w:lang w:val="es-DO"/>
        </w:rPr>
        <w:t xml:space="preserve">Para el registro del cumplimiento del requisito o actividad evaluado, se indica si se cumple el requisito o actividad, si no cumple, o si no le aplica. A partir de esta información se genera automáticamente el reporte relacionado con el cumplimiento observado. Finalmente, se asigna espacio para comentarios por cada parámetro evaluado, donde se debe mencionar, en su caso, la razón por la que no se cumple, o alguna otra información que sea de utilidad para mejorar el cumplimiento </w:t>
      </w:r>
      <w:proofErr w:type="gramStart"/>
      <w:r w:rsidRPr="009A27ED">
        <w:rPr>
          <w:rFonts w:asciiTheme="majorHAnsi" w:eastAsiaTheme="majorEastAsia" w:hAnsiTheme="majorHAnsi" w:cstheme="majorBidi"/>
          <w:sz w:val="24"/>
          <w:lang w:val="es-DO"/>
        </w:rPr>
        <w:t>de</w:t>
      </w:r>
      <w:r w:rsidR="00CB3E2D" w:rsidRPr="009A27ED">
        <w:rPr>
          <w:rFonts w:asciiTheme="majorHAnsi" w:eastAsiaTheme="majorEastAsia" w:hAnsiTheme="majorHAnsi" w:cstheme="majorBidi"/>
          <w:sz w:val="24"/>
          <w:lang w:val="es-DO"/>
        </w:rPr>
        <w:t>l mismo</w:t>
      </w:r>
      <w:proofErr w:type="gramEnd"/>
      <w:r w:rsidRPr="009A27ED">
        <w:rPr>
          <w:rFonts w:asciiTheme="majorHAnsi" w:eastAsiaTheme="majorEastAsia" w:hAnsiTheme="majorHAnsi" w:cstheme="majorBidi"/>
          <w:sz w:val="24"/>
          <w:lang w:val="es-DO"/>
        </w:rPr>
        <w:t xml:space="preserve"> </w:t>
      </w:r>
      <w:r w:rsidRPr="009A27ED">
        <w:rPr>
          <w:rFonts w:asciiTheme="majorHAnsi" w:eastAsiaTheme="majorEastAsia" w:hAnsiTheme="majorHAnsi" w:cstheme="majorBidi"/>
          <w:strike/>
          <w:sz w:val="24"/>
          <w:lang w:val="es-DO"/>
        </w:rPr>
        <w:t>dicho parámetro</w:t>
      </w:r>
      <w:r w:rsidRPr="009A27ED">
        <w:rPr>
          <w:rFonts w:asciiTheme="majorHAnsi" w:eastAsiaTheme="majorEastAsia" w:hAnsiTheme="majorHAnsi" w:cstheme="majorBidi"/>
          <w:sz w:val="24"/>
          <w:lang w:val="es-DO"/>
        </w:rPr>
        <w:t>; o la existencia de alguna circunstancia especial que no permita llevar a cabo el cumplimiento del parámetro.</w:t>
      </w:r>
      <w:r w:rsidR="00D32D22" w:rsidRPr="009A27ED">
        <w:rPr>
          <w:rFonts w:ascii="Times New Roman" w:eastAsia="Times New Roman" w:hAnsi="Times New Roman"/>
          <w:sz w:val="24"/>
        </w:rPr>
        <w:t xml:space="preserve"> </w:t>
      </w:r>
      <w:r w:rsidR="00D32D22" w:rsidRPr="009A27ED">
        <w:rPr>
          <w:rFonts w:asciiTheme="majorHAnsi" w:eastAsiaTheme="majorEastAsia" w:hAnsiTheme="majorHAnsi" w:cstheme="majorBidi"/>
          <w:sz w:val="24"/>
          <w:lang w:val="es-DO"/>
        </w:rPr>
        <w:t>En los casos que el desempeño no alcance un nivel satisfactorio, el SIS incluye espacio para la indicación y seguimiento posterior de un Plan de Acción para mejorar el desempeño en las salvaguardas ambientales y sociales.</w:t>
      </w:r>
    </w:p>
    <w:p w14:paraId="11AE2574" w14:textId="7DC9A374" w:rsidR="00B91F66" w:rsidRPr="009A27ED" w:rsidRDefault="00B91F66" w:rsidP="00B91F66">
      <w:pPr>
        <w:spacing w:before="120" w:after="0" w:line="360" w:lineRule="auto"/>
        <w:rPr>
          <w:rFonts w:asciiTheme="majorHAnsi" w:eastAsiaTheme="majorEastAsia" w:hAnsiTheme="majorHAnsi" w:cstheme="majorBidi"/>
          <w:lang w:val="es-DO"/>
        </w:rPr>
      </w:pPr>
      <w:r w:rsidRPr="009A27ED">
        <w:rPr>
          <w:rFonts w:asciiTheme="majorHAnsi" w:eastAsiaTheme="majorEastAsia" w:hAnsiTheme="majorHAnsi" w:cstheme="majorBidi"/>
          <w:sz w:val="24"/>
          <w:lang w:val="es-DO"/>
        </w:rPr>
        <w:t xml:space="preserve">La idea de estos reportes periódicos </w:t>
      </w:r>
      <w:r w:rsidR="00CB3E2D" w:rsidRPr="009A27ED">
        <w:rPr>
          <w:rFonts w:asciiTheme="majorHAnsi" w:eastAsiaTheme="majorEastAsia" w:hAnsiTheme="majorHAnsi" w:cstheme="majorBidi"/>
          <w:sz w:val="24"/>
          <w:lang w:val="es-DO"/>
        </w:rPr>
        <w:t>es que las Entidades Ejecutoras</w:t>
      </w:r>
      <w:r w:rsidRPr="009A27ED">
        <w:rPr>
          <w:rFonts w:asciiTheme="majorHAnsi" w:eastAsiaTheme="majorEastAsia" w:hAnsiTheme="majorHAnsi" w:cstheme="majorBidi"/>
          <w:sz w:val="24"/>
          <w:lang w:val="es-DO"/>
        </w:rPr>
        <w:t xml:space="preserve"> puedan de manera expeditiva recopilar información y remitirla de forma oportuna a la OCR y dictar medidas orientadoras para que el beneficiario pueda cumplir con las buenas prácticas y corregir anomalías o brindar el apoyo técnico para fortalecer sus capacidades y con esto ser considerado para el pago por resultados.</w:t>
      </w:r>
    </w:p>
    <w:p w14:paraId="60DF8172" w14:textId="77777777" w:rsidR="00B91F66" w:rsidRPr="009A27ED" w:rsidRDefault="00B91F66" w:rsidP="00B91F66">
      <w:pPr>
        <w:spacing w:before="120" w:after="0" w:line="360" w:lineRule="auto"/>
        <w:rPr>
          <w:rFonts w:asciiTheme="majorHAnsi" w:eastAsiaTheme="majorEastAsia" w:hAnsiTheme="majorHAnsi" w:cstheme="majorBidi"/>
          <w:lang w:val="es-DO"/>
        </w:rPr>
      </w:pPr>
      <w:r w:rsidRPr="009A27ED">
        <w:rPr>
          <w:rFonts w:asciiTheme="majorHAnsi" w:eastAsiaTheme="majorEastAsia" w:hAnsiTheme="majorHAnsi" w:cstheme="majorBidi"/>
          <w:sz w:val="24"/>
          <w:lang w:val="es-DO"/>
        </w:rPr>
        <w:t xml:space="preserve">El seguimiento de las medidas de mitigación lo llevará a cabo la EE a través de los agentes técnicos asignados a la actividad durante la ejecución de </w:t>
      </w:r>
      <w:proofErr w:type="gramStart"/>
      <w:r w:rsidRPr="009A27ED">
        <w:rPr>
          <w:rFonts w:asciiTheme="majorHAnsi" w:eastAsiaTheme="majorEastAsia" w:hAnsiTheme="majorHAnsi" w:cstheme="majorBidi"/>
          <w:sz w:val="24"/>
          <w:lang w:val="es-DO"/>
        </w:rPr>
        <w:t>la misma</w:t>
      </w:r>
      <w:proofErr w:type="gramEnd"/>
      <w:r w:rsidRPr="009A27ED">
        <w:rPr>
          <w:rFonts w:asciiTheme="majorHAnsi" w:eastAsiaTheme="majorEastAsia" w:hAnsiTheme="majorHAnsi" w:cstheme="majorBidi"/>
          <w:sz w:val="24"/>
          <w:lang w:val="es-DO"/>
        </w:rPr>
        <w:t>, el proceso integrará información</w:t>
      </w:r>
      <w:r w:rsidRPr="009A27ED">
        <w:rPr>
          <w:rFonts w:asciiTheme="majorHAnsi" w:eastAsiaTheme="majorEastAsia" w:hAnsiTheme="majorHAnsi" w:cstheme="majorBidi"/>
          <w:b/>
          <w:bCs/>
          <w:sz w:val="24"/>
          <w:lang w:val="es-DO"/>
        </w:rPr>
        <w:t xml:space="preserve"> </w:t>
      </w:r>
      <w:r w:rsidRPr="009A27ED">
        <w:rPr>
          <w:rFonts w:asciiTheme="majorHAnsi" w:eastAsiaTheme="majorEastAsia" w:hAnsiTheme="majorHAnsi" w:cstheme="majorBidi"/>
          <w:sz w:val="24"/>
          <w:lang w:val="es-DO"/>
        </w:rPr>
        <w:t xml:space="preserve">relevante para la EE, la OCR, el CTA y al BM sobre el éxito de las medidas a implementar y los ajustes que se puedan requerir en cada caso. </w:t>
      </w:r>
    </w:p>
    <w:p w14:paraId="7975D5FE" w14:textId="5A78038E" w:rsidR="00B91F66" w:rsidRPr="009A27ED" w:rsidRDefault="00B91F66" w:rsidP="00B91F66">
      <w:pPr>
        <w:spacing w:before="120" w:after="0" w:line="360" w:lineRule="auto"/>
        <w:rPr>
          <w:rFonts w:asciiTheme="majorHAnsi" w:eastAsiaTheme="majorEastAsia" w:hAnsiTheme="majorHAnsi" w:cstheme="majorBidi"/>
          <w:lang w:val="es-DO"/>
        </w:rPr>
      </w:pPr>
      <w:r w:rsidRPr="009A27ED">
        <w:rPr>
          <w:rFonts w:asciiTheme="majorHAnsi" w:eastAsiaTheme="majorEastAsia" w:hAnsiTheme="majorHAnsi" w:cstheme="majorBidi"/>
          <w:sz w:val="24"/>
          <w:lang w:val="es-DO"/>
        </w:rPr>
        <w:t xml:space="preserve">La información del SIS para cada EE será la base de análisis y calificación del desempeño ambiental y social de las intervenciones que serán reportados a la OCR y el CTA. </w:t>
      </w:r>
      <w:r w:rsidR="00D32D22" w:rsidRPr="009A27ED">
        <w:rPr>
          <w:rFonts w:asciiTheme="majorHAnsi" w:eastAsiaTheme="majorEastAsia" w:hAnsiTheme="majorHAnsi" w:cstheme="majorBidi"/>
          <w:sz w:val="24"/>
          <w:lang w:val="es-DO"/>
        </w:rPr>
        <w:t xml:space="preserve">Para el primer año del Programa REDD+, </w:t>
      </w:r>
      <w:r w:rsidRPr="009A27ED">
        <w:rPr>
          <w:rFonts w:asciiTheme="majorHAnsi" w:eastAsiaTheme="majorEastAsia" w:hAnsiTheme="majorHAnsi" w:cstheme="majorBidi"/>
          <w:sz w:val="24"/>
          <w:lang w:val="es-DO"/>
        </w:rPr>
        <w:t>el informe anual de cumplimento de salvaguardas a cargo de cada EE abar</w:t>
      </w:r>
      <w:r w:rsidR="00D32D22" w:rsidRPr="009A27ED">
        <w:rPr>
          <w:rFonts w:asciiTheme="majorHAnsi" w:eastAsiaTheme="majorEastAsia" w:hAnsiTheme="majorHAnsi" w:cstheme="majorBidi"/>
          <w:sz w:val="24"/>
          <w:lang w:val="es-DO"/>
        </w:rPr>
        <w:t>cará</w:t>
      </w:r>
      <w:r w:rsidRPr="009A27ED">
        <w:rPr>
          <w:rFonts w:asciiTheme="majorHAnsi" w:eastAsiaTheme="majorEastAsia" w:hAnsiTheme="majorHAnsi" w:cstheme="majorBidi"/>
          <w:sz w:val="24"/>
          <w:lang w:val="es-DO"/>
        </w:rPr>
        <w:t xml:space="preserve"> un universo de al menos el 70% de los predios, con un informe semestral de monitoreo correspondiente al menos </w:t>
      </w:r>
      <w:r w:rsidR="00CB3E2D" w:rsidRPr="009A27ED">
        <w:rPr>
          <w:rFonts w:asciiTheme="majorHAnsi" w:eastAsiaTheme="majorEastAsia" w:hAnsiTheme="majorHAnsi" w:cstheme="majorBidi"/>
          <w:sz w:val="24"/>
          <w:lang w:val="es-DO"/>
        </w:rPr>
        <w:t xml:space="preserve">al </w:t>
      </w:r>
      <w:r w:rsidRPr="009A27ED">
        <w:rPr>
          <w:rFonts w:asciiTheme="majorHAnsi" w:eastAsiaTheme="majorEastAsia" w:hAnsiTheme="majorHAnsi" w:cstheme="majorBidi"/>
          <w:strike/>
          <w:sz w:val="24"/>
          <w:lang w:val="es-DO"/>
        </w:rPr>
        <w:t xml:space="preserve">el </w:t>
      </w:r>
      <w:r w:rsidRPr="009A27ED">
        <w:rPr>
          <w:rFonts w:asciiTheme="majorHAnsi" w:eastAsiaTheme="majorEastAsia" w:hAnsiTheme="majorHAnsi" w:cstheme="majorBidi"/>
          <w:sz w:val="24"/>
          <w:lang w:val="es-DO"/>
        </w:rPr>
        <w:t>35% de los predios, en cada caso. Esto se llevará a cabo mediante muestreo aleatorio que ofrezca suficiente certidumbre con respecto a los resultados del monitoreo.</w:t>
      </w:r>
      <w:r w:rsidR="00D32D22" w:rsidRPr="009A27ED">
        <w:rPr>
          <w:rFonts w:ascii="Times New Roman" w:eastAsia="Times New Roman" w:hAnsi="Times New Roman"/>
          <w:sz w:val="24"/>
        </w:rPr>
        <w:t xml:space="preserve"> </w:t>
      </w:r>
      <w:r w:rsidR="00CB3E2D" w:rsidRPr="009A27ED">
        <w:rPr>
          <w:rFonts w:asciiTheme="majorHAnsi" w:eastAsiaTheme="majorEastAsia" w:hAnsiTheme="majorHAnsi" w:cstheme="majorBidi"/>
          <w:sz w:val="24"/>
          <w:lang w:val="es-DO"/>
        </w:rPr>
        <w:t>Conforme se evalúe</w:t>
      </w:r>
      <w:r w:rsidR="00D32D22" w:rsidRPr="009A27ED">
        <w:rPr>
          <w:rFonts w:asciiTheme="majorHAnsi" w:eastAsiaTheme="majorEastAsia" w:hAnsiTheme="majorHAnsi" w:cstheme="majorBidi"/>
          <w:sz w:val="24"/>
          <w:lang w:val="es-DO"/>
        </w:rPr>
        <w:t xml:space="preserve"> un desempeño </w:t>
      </w:r>
      <w:r w:rsidR="00D32D22" w:rsidRPr="009A27ED">
        <w:rPr>
          <w:rFonts w:asciiTheme="majorHAnsi" w:eastAsiaTheme="majorEastAsia" w:hAnsiTheme="majorHAnsi" w:cstheme="majorBidi"/>
          <w:sz w:val="24"/>
          <w:lang w:val="es-DO"/>
        </w:rPr>
        <w:lastRenderedPageBreak/>
        <w:t xml:space="preserve">de salvaguardas satisfactorio, se </w:t>
      </w:r>
      <w:r w:rsidR="003F0379" w:rsidRPr="009A27ED">
        <w:rPr>
          <w:rFonts w:asciiTheme="majorHAnsi" w:eastAsiaTheme="majorEastAsia" w:hAnsiTheme="majorHAnsi" w:cstheme="majorBidi"/>
          <w:sz w:val="24"/>
          <w:lang w:val="es-DO"/>
        </w:rPr>
        <w:t xml:space="preserve">podrá mantener  </w:t>
      </w:r>
      <w:r w:rsidR="00D32D22" w:rsidRPr="009A27ED">
        <w:rPr>
          <w:rFonts w:asciiTheme="majorHAnsi" w:eastAsiaTheme="majorEastAsia" w:hAnsiTheme="majorHAnsi" w:cstheme="majorBidi"/>
          <w:strike/>
          <w:sz w:val="24"/>
          <w:lang w:val="es-DO"/>
        </w:rPr>
        <w:t xml:space="preserve">mantendrá </w:t>
      </w:r>
      <w:r w:rsidR="003F0379" w:rsidRPr="009A27ED">
        <w:rPr>
          <w:rFonts w:asciiTheme="majorHAnsi" w:eastAsiaTheme="majorEastAsia" w:hAnsiTheme="majorHAnsi" w:cstheme="majorBidi"/>
          <w:strike/>
          <w:sz w:val="24"/>
          <w:lang w:val="es-DO"/>
        </w:rPr>
        <w:t xml:space="preserve">  </w:t>
      </w:r>
      <w:r w:rsidR="00D32D22" w:rsidRPr="009A27ED">
        <w:rPr>
          <w:rFonts w:asciiTheme="majorHAnsi" w:eastAsiaTheme="majorEastAsia" w:hAnsiTheme="majorHAnsi" w:cstheme="majorBidi"/>
          <w:sz w:val="24"/>
          <w:lang w:val="es-DO"/>
        </w:rPr>
        <w:t>esta misma modalidad de reporte</w:t>
      </w:r>
      <w:r w:rsidR="003F0379" w:rsidRPr="009A27ED">
        <w:rPr>
          <w:rFonts w:asciiTheme="majorHAnsi" w:eastAsiaTheme="majorEastAsia" w:hAnsiTheme="majorHAnsi" w:cstheme="majorBidi"/>
          <w:sz w:val="24"/>
          <w:lang w:val="es-DO"/>
        </w:rPr>
        <w:t xml:space="preserve"> o acordar los ajustes de lugar</w:t>
      </w:r>
      <w:r w:rsidR="00D32D22" w:rsidRPr="009A27ED">
        <w:rPr>
          <w:rFonts w:asciiTheme="majorHAnsi" w:eastAsiaTheme="majorEastAsia" w:hAnsiTheme="majorHAnsi" w:cstheme="majorBidi"/>
          <w:sz w:val="24"/>
          <w:lang w:val="es-DO"/>
        </w:rPr>
        <w:t>.</w:t>
      </w:r>
    </w:p>
    <w:p w14:paraId="3B2907E5" w14:textId="6ADDEDFD" w:rsidR="00D32D22" w:rsidRPr="009A27ED" w:rsidRDefault="00D32D22" w:rsidP="00D32D22">
      <w:pPr>
        <w:spacing w:before="120" w:after="0" w:line="360" w:lineRule="auto"/>
        <w:rPr>
          <w:rFonts w:eastAsiaTheme="majorEastAsia"/>
          <w:lang w:val="es-DO"/>
        </w:rPr>
      </w:pPr>
      <w:r w:rsidRPr="009A27ED">
        <w:rPr>
          <w:rFonts w:ascii="Times New Roman" w:eastAsiaTheme="majorEastAsia" w:hAnsi="Times New Roman"/>
          <w:sz w:val="24"/>
          <w:lang w:val="es-DO"/>
        </w:rPr>
        <w:t>Con relación a las Salvaguardas de la CMNUCC, las diferentes Entidades Ejecutoras, serán las responsables de recopilar y reportar a la OCR la información correspondiente a los indicadores definidos, que estarán vinculados al SIS. Esta vinculación estará reflejada a través de los expedientes que se abrirán para cada Entidad E</w:t>
      </w:r>
      <w:r w:rsidR="003F0379" w:rsidRPr="009A27ED">
        <w:rPr>
          <w:rFonts w:ascii="Times New Roman" w:eastAsiaTheme="majorEastAsia" w:hAnsi="Times New Roman"/>
          <w:sz w:val="24"/>
          <w:lang w:val="es-DO"/>
        </w:rPr>
        <w:t>jecutora y para cada Actividad T</w:t>
      </w:r>
      <w:r w:rsidRPr="009A27ED">
        <w:rPr>
          <w:rFonts w:ascii="Times New Roman" w:eastAsiaTheme="majorEastAsia" w:hAnsi="Times New Roman"/>
          <w:sz w:val="24"/>
          <w:lang w:val="es-DO"/>
        </w:rPr>
        <w:t>ipo que implemente acciones en las áreas priorizadas. El detalle del funcionamiento del SIS se encuentra en su respectivo documento.</w:t>
      </w:r>
    </w:p>
    <w:p w14:paraId="3020B62E" w14:textId="6F36EAEE" w:rsidR="00D32D22" w:rsidRPr="009A27ED" w:rsidRDefault="00D32D22" w:rsidP="00D32D22">
      <w:pPr>
        <w:spacing w:before="120" w:after="0" w:line="360" w:lineRule="auto"/>
        <w:rPr>
          <w:rFonts w:eastAsiaTheme="majorEastAsia"/>
          <w:lang w:val="es-DO"/>
        </w:rPr>
      </w:pPr>
    </w:p>
    <w:p w14:paraId="28DFA6BF" w14:textId="25D47A21" w:rsidR="00827E46" w:rsidRPr="009A27ED" w:rsidRDefault="00827E46" w:rsidP="00D32D22">
      <w:pPr>
        <w:spacing w:before="120" w:after="0" w:line="360" w:lineRule="auto"/>
        <w:rPr>
          <w:rFonts w:eastAsiaTheme="majorEastAsia"/>
          <w:lang w:val="es-DO"/>
        </w:rPr>
      </w:pPr>
    </w:p>
    <w:p w14:paraId="635E0327" w14:textId="77777777" w:rsidR="00827E46" w:rsidRPr="009A27ED" w:rsidRDefault="00827E46" w:rsidP="00D32D22">
      <w:pPr>
        <w:spacing w:before="120" w:after="0" w:line="360" w:lineRule="auto"/>
        <w:rPr>
          <w:rFonts w:eastAsiaTheme="majorEastAsia"/>
          <w:lang w:val="es-DO"/>
        </w:rPr>
      </w:pPr>
    </w:p>
    <w:p w14:paraId="0229563B" w14:textId="4294C981" w:rsidR="00827E46" w:rsidRPr="009A27ED" w:rsidRDefault="00827E46" w:rsidP="00827E46">
      <w:pPr>
        <w:pStyle w:val="Descripcin"/>
        <w:keepNext/>
        <w:spacing w:line="360" w:lineRule="auto"/>
      </w:pPr>
      <w:bookmarkStart w:id="325" w:name="_Toc111887462"/>
      <w:r w:rsidRPr="009A27ED">
        <w:rPr>
          <w:rFonts w:ascii="Times New Roman" w:eastAsia="Times New Roman" w:hAnsi="Times New Roman"/>
          <w:sz w:val="24"/>
        </w:rPr>
        <w:t xml:space="preserve">Cuadro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Cuadro \* ARABIC </w:instrText>
      </w:r>
      <w:r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52</w:t>
      </w:r>
      <w:r w:rsidRPr="009A27ED">
        <w:rPr>
          <w:rFonts w:ascii="Times New Roman" w:eastAsia="Times New Roman" w:hAnsi="Times New Roman"/>
          <w:sz w:val="24"/>
        </w:rPr>
        <w:fldChar w:fldCharType="end"/>
      </w:r>
      <w:r w:rsidRPr="009A27ED">
        <w:rPr>
          <w:rFonts w:ascii="Times New Roman" w:eastAsia="Times New Roman" w:hAnsi="Times New Roman"/>
          <w:sz w:val="24"/>
        </w:rPr>
        <w:t>. Indicadores de las Salvaguardas CMNUCC</w:t>
      </w:r>
      <w:bookmarkEnd w:id="325"/>
    </w:p>
    <w:tbl>
      <w:tblPr>
        <w:tblStyle w:val="Tablaconcuadrcula"/>
        <w:tblW w:w="0" w:type="auto"/>
        <w:tblLook w:val="04A0" w:firstRow="1" w:lastRow="0" w:firstColumn="1" w:lastColumn="0" w:noHBand="0" w:noVBand="1"/>
      </w:tblPr>
      <w:tblGrid>
        <w:gridCol w:w="2263"/>
        <w:gridCol w:w="6565"/>
      </w:tblGrid>
      <w:tr w:rsidR="00D32D22" w:rsidRPr="009A27ED" w14:paraId="4437AA3D" w14:textId="77777777" w:rsidTr="00562F95">
        <w:tc>
          <w:tcPr>
            <w:tcW w:w="2263" w:type="dxa"/>
          </w:tcPr>
          <w:p w14:paraId="71F9E251" w14:textId="77777777" w:rsidR="00D32D22" w:rsidRPr="009A27ED" w:rsidRDefault="00D32D22" w:rsidP="00562F95">
            <w:pPr>
              <w:spacing w:after="0"/>
              <w:jc w:val="center"/>
              <w:rPr>
                <w:rFonts w:eastAsiaTheme="majorEastAsia"/>
                <w:lang w:val="es-DO"/>
              </w:rPr>
            </w:pPr>
            <w:r w:rsidRPr="009A27ED">
              <w:rPr>
                <w:rFonts w:eastAsiaTheme="majorEastAsia"/>
                <w:lang w:val="es-DO"/>
              </w:rPr>
              <w:t>Salvaguardas de la CMNUCC</w:t>
            </w:r>
          </w:p>
        </w:tc>
        <w:tc>
          <w:tcPr>
            <w:tcW w:w="6565" w:type="dxa"/>
          </w:tcPr>
          <w:p w14:paraId="1A6C34F0" w14:textId="77777777" w:rsidR="00D32D22" w:rsidRPr="009A27ED" w:rsidRDefault="00D32D22" w:rsidP="00562F95">
            <w:pPr>
              <w:spacing w:after="0"/>
              <w:jc w:val="center"/>
              <w:rPr>
                <w:rFonts w:eastAsiaTheme="majorEastAsia"/>
                <w:lang w:val="es-DO"/>
              </w:rPr>
            </w:pPr>
            <w:r w:rsidRPr="009A27ED">
              <w:rPr>
                <w:rFonts w:eastAsiaTheme="majorEastAsia"/>
                <w:lang w:val="es-DO"/>
              </w:rPr>
              <w:t>Indicadores</w:t>
            </w:r>
          </w:p>
        </w:tc>
      </w:tr>
      <w:tr w:rsidR="00D32D22" w:rsidRPr="009A27ED" w14:paraId="5E891F89" w14:textId="77777777" w:rsidTr="00562F95">
        <w:tc>
          <w:tcPr>
            <w:tcW w:w="2263" w:type="dxa"/>
          </w:tcPr>
          <w:p w14:paraId="268AB1D7" w14:textId="77777777" w:rsidR="00D32D22" w:rsidRPr="009A27ED" w:rsidRDefault="00D32D22" w:rsidP="00562F95">
            <w:pPr>
              <w:spacing w:after="0"/>
              <w:rPr>
                <w:rFonts w:eastAsiaTheme="majorEastAsia"/>
                <w:lang w:val="es-DO"/>
              </w:rPr>
            </w:pPr>
            <w:r w:rsidRPr="009A27ED">
              <w:rPr>
                <w:rFonts w:eastAsiaTheme="majorEastAsia"/>
                <w:lang w:val="es-DO"/>
              </w:rPr>
              <w:t>Salvaguarda A</w:t>
            </w:r>
          </w:p>
        </w:tc>
        <w:tc>
          <w:tcPr>
            <w:tcW w:w="6565" w:type="dxa"/>
          </w:tcPr>
          <w:p w14:paraId="31D54A1E" w14:textId="3EF78584" w:rsidR="00D32D22" w:rsidRPr="009A27ED" w:rsidRDefault="00D32D22" w:rsidP="00A2649D">
            <w:pPr>
              <w:pStyle w:val="Prrafodelista"/>
              <w:numPr>
                <w:ilvl w:val="1"/>
                <w:numId w:val="297"/>
              </w:numPr>
              <w:spacing w:after="0" w:line="240" w:lineRule="auto"/>
              <w:ind w:left="421"/>
              <w:rPr>
                <w:rFonts w:eastAsiaTheme="majorEastAsia"/>
                <w:lang w:val="es-DO"/>
              </w:rPr>
            </w:pPr>
            <w:r w:rsidRPr="009A27ED">
              <w:rPr>
                <w:rFonts w:eastAsiaTheme="majorEastAsia"/>
                <w:lang w:val="es-DO"/>
              </w:rPr>
              <w:t xml:space="preserve"> </w:t>
            </w:r>
            <w:r w:rsidR="00A2649D" w:rsidRPr="009A27ED">
              <w:rPr>
                <w:rFonts w:eastAsiaTheme="majorEastAsia"/>
                <w:lang w:val="es-DO"/>
              </w:rPr>
              <w:t xml:space="preserve">ENREDD+ alineada y compatible con políticas nacionales y convenios/ acuerdos internacionales suscritos por el país en el ámbito de los bosques.  </w:t>
            </w:r>
            <w:r w:rsidRPr="009A27ED">
              <w:rPr>
                <w:rFonts w:eastAsiaTheme="majorEastAsia"/>
                <w:strike/>
                <w:lang w:val="es-DO"/>
              </w:rPr>
              <w:t>Toneladas de emisiones de GEI mitigadas mediante acciones REDD+</w:t>
            </w:r>
          </w:p>
        </w:tc>
      </w:tr>
      <w:tr w:rsidR="00D32D22" w:rsidRPr="009A27ED" w14:paraId="7D504FAF" w14:textId="77777777" w:rsidTr="00562F95">
        <w:tc>
          <w:tcPr>
            <w:tcW w:w="2263" w:type="dxa"/>
          </w:tcPr>
          <w:p w14:paraId="4D8BC547" w14:textId="77777777" w:rsidR="00D32D22" w:rsidRPr="009A27ED" w:rsidRDefault="00D32D22" w:rsidP="00562F95">
            <w:pPr>
              <w:spacing w:after="0"/>
              <w:rPr>
                <w:rFonts w:eastAsiaTheme="majorEastAsia"/>
                <w:lang w:val="es-DO"/>
              </w:rPr>
            </w:pPr>
          </w:p>
        </w:tc>
        <w:tc>
          <w:tcPr>
            <w:tcW w:w="6565" w:type="dxa"/>
          </w:tcPr>
          <w:p w14:paraId="061C0DF6" w14:textId="77777777" w:rsidR="00D32D22" w:rsidRPr="009A27ED" w:rsidRDefault="00D32D22" w:rsidP="00D32D22">
            <w:pPr>
              <w:pStyle w:val="Prrafodelista"/>
              <w:numPr>
                <w:ilvl w:val="1"/>
                <w:numId w:val="297"/>
              </w:numPr>
              <w:spacing w:after="0" w:line="240" w:lineRule="auto"/>
              <w:ind w:left="421"/>
              <w:rPr>
                <w:rFonts w:eastAsiaTheme="majorEastAsia"/>
                <w:lang w:val="es-DO"/>
              </w:rPr>
            </w:pPr>
            <w:r w:rsidRPr="009A27ED">
              <w:rPr>
                <w:rFonts w:eastAsiaTheme="majorEastAsia"/>
                <w:lang w:val="es-DO"/>
              </w:rPr>
              <w:t>Proyectos/actividades REDD+ cuentan con recursos del presupuesto del Estado incluyendo al MARN RD</w:t>
            </w:r>
          </w:p>
        </w:tc>
      </w:tr>
      <w:tr w:rsidR="00D32D22" w:rsidRPr="009A27ED" w14:paraId="00B7DCA4" w14:textId="77777777" w:rsidTr="00562F95">
        <w:tc>
          <w:tcPr>
            <w:tcW w:w="2263" w:type="dxa"/>
          </w:tcPr>
          <w:p w14:paraId="0D0DEB0E" w14:textId="77777777" w:rsidR="00D32D22" w:rsidRPr="009A27ED" w:rsidRDefault="00D32D22" w:rsidP="00562F95">
            <w:pPr>
              <w:spacing w:after="0"/>
              <w:rPr>
                <w:rFonts w:eastAsiaTheme="majorEastAsia"/>
                <w:lang w:val="es-DO"/>
              </w:rPr>
            </w:pPr>
          </w:p>
        </w:tc>
        <w:tc>
          <w:tcPr>
            <w:tcW w:w="6565" w:type="dxa"/>
          </w:tcPr>
          <w:p w14:paraId="69FF42F0" w14:textId="77777777" w:rsidR="00D32D22" w:rsidRPr="009A27ED" w:rsidRDefault="00D32D22" w:rsidP="00D32D22">
            <w:pPr>
              <w:pStyle w:val="Prrafodelista"/>
              <w:numPr>
                <w:ilvl w:val="1"/>
                <w:numId w:val="297"/>
              </w:numPr>
              <w:spacing w:after="0" w:line="240" w:lineRule="auto"/>
              <w:ind w:left="421"/>
              <w:rPr>
                <w:rFonts w:eastAsiaTheme="majorEastAsia"/>
                <w:lang w:val="es-DO"/>
              </w:rPr>
            </w:pPr>
            <w:r w:rsidRPr="009A27ED">
              <w:rPr>
                <w:rFonts w:eastAsiaTheme="majorEastAsia"/>
                <w:lang w:val="es-DO"/>
              </w:rPr>
              <w:t>Número de arreglos institucionales/convenios generados y aprobados para la implementación de la EN-REDD+ con actores involucrados</w:t>
            </w:r>
          </w:p>
        </w:tc>
      </w:tr>
      <w:tr w:rsidR="00D32D22" w:rsidRPr="009A27ED" w14:paraId="223455E4" w14:textId="77777777" w:rsidTr="00562F95">
        <w:tc>
          <w:tcPr>
            <w:tcW w:w="2263" w:type="dxa"/>
          </w:tcPr>
          <w:p w14:paraId="28981ED3" w14:textId="77777777" w:rsidR="00D32D22" w:rsidRPr="009A27ED" w:rsidRDefault="00D32D22" w:rsidP="00562F95">
            <w:pPr>
              <w:spacing w:after="0"/>
              <w:rPr>
                <w:rFonts w:eastAsiaTheme="majorEastAsia"/>
                <w:lang w:val="es-DO"/>
              </w:rPr>
            </w:pPr>
            <w:r w:rsidRPr="009A27ED">
              <w:rPr>
                <w:rFonts w:eastAsiaTheme="majorEastAsia"/>
                <w:lang w:val="es-DO"/>
              </w:rPr>
              <w:t>Salvaguarda B</w:t>
            </w:r>
          </w:p>
        </w:tc>
        <w:tc>
          <w:tcPr>
            <w:tcW w:w="6565" w:type="dxa"/>
          </w:tcPr>
          <w:p w14:paraId="00CA7039" w14:textId="77777777" w:rsidR="00D32D22" w:rsidRPr="009A27ED" w:rsidRDefault="00D32D22" w:rsidP="00D32D22">
            <w:pPr>
              <w:pStyle w:val="Prrafodelista"/>
              <w:numPr>
                <w:ilvl w:val="0"/>
                <w:numId w:val="438"/>
              </w:numPr>
              <w:spacing w:after="0" w:line="240" w:lineRule="auto"/>
              <w:ind w:left="421"/>
              <w:rPr>
                <w:rFonts w:eastAsiaTheme="majorEastAsia"/>
                <w:strike/>
                <w:lang w:val="es-DO"/>
              </w:rPr>
            </w:pPr>
            <w:r w:rsidRPr="009A27ED">
              <w:rPr>
                <w:rFonts w:eastAsiaTheme="majorEastAsia"/>
                <w:strike/>
                <w:lang w:val="es-DO"/>
              </w:rPr>
              <w:t>Número de convenios establecidos entre actores involucrados</w:t>
            </w:r>
          </w:p>
          <w:p w14:paraId="6EE354AD" w14:textId="74951939" w:rsidR="0007555A" w:rsidRPr="009A27ED" w:rsidRDefault="0007555A" w:rsidP="0007555A">
            <w:pPr>
              <w:pStyle w:val="Prrafodelista"/>
              <w:numPr>
                <w:ilvl w:val="1"/>
                <w:numId w:val="241"/>
              </w:numPr>
              <w:spacing w:after="0"/>
              <w:rPr>
                <w:rFonts w:eastAsiaTheme="majorEastAsia"/>
                <w:lang w:val="es-DO"/>
              </w:rPr>
            </w:pPr>
            <w:r w:rsidRPr="009A27ED">
              <w:rPr>
                <w:rFonts w:eastAsiaTheme="majorEastAsia"/>
                <w:lang w:val="es-DO"/>
              </w:rPr>
              <w:t>Estructura de gobernanza establecida para REDD+ funciona bajo un mecanismo de coordinación interinstitucional con la participación de actores involucrados (número de entidades participantes, número de reuniones realizadas, número de acuerdos alcanzados)</w:t>
            </w:r>
          </w:p>
        </w:tc>
      </w:tr>
      <w:tr w:rsidR="00D32D22" w:rsidRPr="009A27ED" w14:paraId="7D16A62F" w14:textId="77777777" w:rsidTr="00562F95">
        <w:tc>
          <w:tcPr>
            <w:tcW w:w="2263" w:type="dxa"/>
          </w:tcPr>
          <w:p w14:paraId="4CCFD063" w14:textId="77777777" w:rsidR="00D32D22" w:rsidRPr="009A27ED" w:rsidRDefault="00D32D22" w:rsidP="00562F95">
            <w:pPr>
              <w:spacing w:after="0"/>
              <w:rPr>
                <w:rFonts w:eastAsiaTheme="majorEastAsia"/>
                <w:lang w:val="es-DO"/>
              </w:rPr>
            </w:pPr>
          </w:p>
        </w:tc>
        <w:tc>
          <w:tcPr>
            <w:tcW w:w="6565" w:type="dxa"/>
          </w:tcPr>
          <w:p w14:paraId="5B7A4785" w14:textId="76ABCC84" w:rsidR="00D32D22" w:rsidRPr="009A27ED" w:rsidRDefault="0007555A" w:rsidP="0007555A">
            <w:pPr>
              <w:spacing w:after="0"/>
              <w:rPr>
                <w:rFonts w:eastAsiaTheme="majorEastAsia"/>
                <w:lang w:val="es-DO"/>
              </w:rPr>
            </w:pPr>
            <w:r w:rsidRPr="009A27ED">
              <w:rPr>
                <w:rFonts w:eastAsiaTheme="majorEastAsia"/>
                <w:lang w:val="es-DO"/>
              </w:rPr>
              <w:t xml:space="preserve">b. </w:t>
            </w:r>
            <w:r w:rsidR="00D32D22" w:rsidRPr="009A27ED">
              <w:rPr>
                <w:rFonts w:eastAsiaTheme="majorEastAsia"/>
                <w:lang w:val="es-DO"/>
              </w:rPr>
              <w:t>Número de consultas efectuadas al SQRC, analizadas, procesadas y con respuesta</w:t>
            </w:r>
          </w:p>
        </w:tc>
      </w:tr>
      <w:tr w:rsidR="00D32D22" w:rsidRPr="009A27ED" w14:paraId="5A44EEE2" w14:textId="77777777" w:rsidTr="00562F95">
        <w:tc>
          <w:tcPr>
            <w:tcW w:w="2263" w:type="dxa"/>
          </w:tcPr>
          <w:p w14:paraId="68F2565A" w14:textId="77777777" w:rsidR="00D32D22" w:rsidRPr="009A27ED" w:rsidRDefault="00D32D22" w:rsidP="00562F95">
            <w:pPr>
              <w:spacing w:after="0"/>
              <w:rPr>
                <w:rFonts w:eastAsiaTheme="majorEastAsia"/>
                <w:lang w:val="es-DO"/>
              </w:rPr>
            </w:pPr>
          </w:p>
        </w:tc>
        <w:tc>
          <w:tcPr>
            <w:tcW w:w="6565" w:type="dxa"/>
          </w:tcPr>
          <w:p w14:paraId="33E7AF82" w14:textId="6943C7D1" w:rsidR="00D32D22" w:rsidRPr="009A27ED" w:rsidRDefault="0007555A" w:rsidP="0007555A">
            <w:pPr>
              <w:spacing w:after="0"/>
              <w:rPr>
                <w:rFonts w:eastAsiaTheme="majorEastAsia"/>
                <w:lang w:val="es-DO"/>
              </w:rPr>
            </w:pPr>
            <w:proofErr w:type="spellStart"/>
            <w:r w:rsidRPr="009A27ED">
              <w:rPr>
                <w:rFonts w:eastAsiaTheme="majorEastAsia"/>
                <w:lang w:val="es-DO"/>
              </w:rPr>
              <w:t>c.Cantidad</w:t>
            </w:r>
            <w:proofErr w:type="spellEnd"/>
            <w:r w:rsidRPr="009A27ED">
              <w:rPr>
                <w:rFonts w:eastAsiaTheme="majorEastAsia"/>
                <w:lang w:val="es-DO"/>
              </w:rPr>
              <w:t xml:space="preserve"> de medidas difundidas sobre enfoque de género en marco de REDD+</w:t>
            </w:r>
          </w:p>
        </w:tc>
      </w:tr>
      <w:tr w:rsidR="00D32D22" w:rsidRPr="009A27ED" w14:paraId="2CF68E63" w14:textId="77777777" w:rsidTr="00562F95">
        <w:tc>
          <w:tcPr>
            <w:tcW w:w="2263" w:type="dxa"/>
          </w:tcPr>
          <w:p w14:paraId="218D3A15" w14:textId="77777777" w:rsidR="00D32D22" w:rsidRPr="009A27ED" w:rsidRDefault="00D32D22" w:rsidP="00562F95">
            <w:pPr>
              <w:spacing w:after="0"/>
              <w:rPr>
                <w:rFonts w:eastAsiaTheme="majorEastAsia"/>
                <w:lang w:val="es-DO"/>
              </w:rPr>
            </w:pPr>
          </w:p>
        </w:tc>
        <w:tc>
          <w:tcPr>
            <w:tcW w:w="6565" w:type="dxa"/>
          </w:tcPr>
          <w:p w14:paraId="41F9F346" w14:textId="710116BE" w:rsidR="00D32D22" w:rsidRPr="009A27ED" w:rsidRDefault="00D32D22" w:rsidP="0007555A">
            <w:pPr>
              <w:pStyle w:val="Prrafodelista"/>
              <w:numPr>
                <w:ilvl w:val="0"/>
                <w:numId w:val="241"/>
              </w:numPr>
              <w:spacing w:after="0" w:line="240" w:lineRule="auto"/>
              <w:rPr>
                <w:rFonts w:eastAsiaTheme="majorEastAsia"/>
                <w:lang w:val="es-DO"/>
              </w:rPr>
            </w:pPr>
            <w:r w:rsidRPr="009A27ED">
              <w:rPr>
                <w:rFonts w:eastAsiaTheme="majorEastAsia"/>
                <w:lang w:val="es-DO"/>
              </w:rPr>
              <w:t>Información producida por las actividades REDD+ está disponible al público por diferentes medios</w:t>
            </w:r>
          </w:p>
        </w:tc>
      </w:tr>
      <w:tr w:rsidR="001B5425" w:rsidRPr="009A27ED" w14:paraId="680D0E91" w14:textId="77777777" w:rsidTr="00562F95">
        <w:tc>
          <w:tcPr>
            <w:tcW w:w="2263" w:type="dxa"/>
          </w:tcPr>
          <w:p w14:paraId="5BE03C48" w14:textId="77777777" w:rsidR="001B5425" w:rsidRPr="009A27ED" w:rsidRDefault="001B5425" w:rsidP="00562F95">
            <w:pPr>
              <w:spacing w:after="0"/>
              <w:rPr>
                <w:rFonts w:eastAsiaTheme="majorEastAsia"/>
                <w:lang w:val="es-DO"/>
              </w:rPr>
            </w:pPr>
          </w:p>
        </w:tc>
        <w:tc>
          <w:tcPr>
            <w:tcW w:w="6565" w:type="dxa"/>
          </w:tcPr>
          <w:p w14:paraId="44756E16" w14:textId="0DCE78A0" w:rsidR="001B5425" w:rsidRPr="009A27ED" w:rsidRDefault="001B5425" w:rsidP="001B5425">
            <w:pPr>
              <w:pStyle w:val="Prrafodelista"/>
              <w:numPr>
                <w:ilvl w:val="0"/>
                <w:numId w:val="241"/>
              </w:numPr>
              <w:spacing w:after="0" w:line="240" w:lineRule="auto"/>
              <w:rPr>
                <w:rFonts w:eastAsiaTheme="majorEastAsia"/>
                <w:lang w:val="es-DO"/>
              </w:rPr>
            </w:pPr>
            <w:r w:rsidRPr="009A27ED">
              <w:rPr>
                <w:rFonts w:eastAsiaTheme="majorEastAsia"/>
                <w:lang w:val="es-DO"/>
              </w:rPr>
              <w:t>Mecanismo de distribución de beneficios creado/consolidado para incentivar las actividades REDD+.</w:t>
            </w:r>
          </w:p>
        </w:tc>
      </w:tr>
      <w:tr w:rsidR="00D32D22" w:rsidRPr="009A27ED" w14:paraId="5650CFF6" w14:textId="77777777" w:rsidTr="00562F95">
        <w:tc>
          <w:tcPr>
            <w:tcW w:w="2263" w:type="dxa"/>
          </w:tcPr>
          <w:p w14:paraId="09C12A29" w14:textId="77777777" w:rsidR="00D32D22" w:rsidRPr="009A27ED" w:rsidRDefault="00D32D22" w:rsidP="00562F95">
            <w:pPr>
              <w:spacing w:after="0"/>
              <w:rPr>
                <w:rFonts w:eastAsiaTheme="majorEastAsia"/>
                <w:lang w:val="es-DO"/>
              </w:rPr>
            </w:pPr>
            <w:r w:rsidRPr="009A27ED">
              <w:rPr>
                <w:rFonts w:eastAsiaTheme="majorEastAsia"/>
                <w:lang w:val="es-DO"/>
              </w:rPr>
              <w:t>Salvaguarda C</w:t>
            </w:r>
          </w:p>
        </w:tc>
        <w:tc>
          <w:tcPr>
            <w:tcW w:w="6565" w:type="dxa"/>
          </w:tcPr>
          <w:p w14:paraId="527B113A" w14:textId="799E09FA" w:rsidR="00D32D22" w:rsidRPr="009A27ED" w:rsidRDefault="001B5425" w:rsidP="001B5425">
            <w:pPr>
              <w:pStyle w:val="Prrafodelista"/>
              <w:numPr>
                <w:ilvl w:val="0"/>
                <w:numId w:val="439"/>
              </w:numPr>
              <w:spacing w:after="0" w:line="240" w:lineRule="auto"/>
              <w:ind w:left="421"/>
              <w:rPr>
                <w:rFonts w:eastAsiaTheme="majorEastAsia"/>
                <w:lang w:val="es-DO"/>
              </w:rPr>
            </w:pPr>
            <w:r w:rsidRPr="009A27ED">
              <w:rPr>
                <w:rFonts w:eastAsiaTheme="majorEastAsia"/>
                <w:lang w:val="es-DO"/>
              </w:rPr>
              <w:t xml:space="preserve">Número de quejas o reclamos de las </w:t>
            </w:r>
            <w:r w:rsidR="00D32D22" w:rsidRPr="009A27ED">
              <w:rPr>
                <w:rFonts w:eastAsiaTheme="majorEastAsia"/>
                <w:lang w:val="es-DO"/>
              </w:rPr>
              <w:t>comunidades</w:t>
            </w:r>
            <w:r w:rsidRPr="009A27ED">
              <w:rPr>
                <w:rFonts w:eastAsiaTheme="majorEastAsia"/>
                <w:lang w:val="es-DO"/>
              </w:rPr>
              <w:t xml:space="preserve"> locales y beneficiarios por posible desconocimiento y/o irrespeto de sus derechos</w:t>
            </w:r>
            <w:r w:rsidR="00134C86" w:rsidRPr="009A27ED">
              <w:rPr>
                <w:rFonts w:eastAsiaTheme="majorEastAsia"/>
                <w:lang w:val="es-DO"/>
              </w:rPr>
              <w:t>, presentadas y atendidas.</w:t>
            </w:r>
            <w:r w:rsidRPr="009A27ED">
              <w:rPr>
                <w:rFonts w:eastAsiaTheme="majorEastAsia"/>
                <w:lang w:val="es-DO"/>
              </w:rPr>
              <w:t xml:space="preserve">  </w:t>
            </w:r>
            <w:r w:rsidRPr="009A27ED">
              <w:rPr>
                <w:rFonts w:eastAsiaTheme="majorEastAsia"/>
                <w:strike/>
                <w:lang w:val="es-DO"/>
              </w:rPr>
              <w:t xml:space="preserve">de sus derechos </w:t>
            </w:r>
            <w:r w:rsidR="00D32D22" w:rsidRPr="009A27ED">
              <w:rPr>
                <w:rFonts w:eastAsiaTheme="majorEastAsia"/>
                <w:strike/>
                <w:lang w:val="es-DO"/>
              </w:rPr>
              <w:t xml:space="preserve"> locales y </w:t>
            </w:r>
            <w:r w:rsidR="00D32D22" w:rsidRPr="009A27ED">
              <w:rPr>
                <w:rFonts w:eastAsiaTheme="majorEastAsia"/>
                <w:strike/>
                <w:lang w:val="es-DO"/>
              </w:rPr>
              <w:lastRenderedPageBreak/>
              <w:t>beneficiarios directos a través de planes, sistemas, programas y proyectos</w:t>
            </w:r>
          </w:p>
        </w:tc>
      </w:tr>
      <w:tr w:rsidR="00D32D22" w:rsidRPr="009A27ED" w14:paraId="392A6C64" w14:textId="77777777" w:rsidTr="00562F95">
        <w:tc>
          <w:tcPr>
            <w:tcW w:w="2263" w:type="dxa"/>
          </w:tcPr>
          <w:p w14:paraId="7546EDCD" w14:textId="77777777" w:rsidR="00D32D22" w:rsidRPr="009A27ED" w:rsidRDefault="00D32D22" w:rsidP="00562F95">
            <w:pPr>
              <w:spacing w:after="0"/>
              <w:rPr>
                <w:rFonts w:eastAsiaTheme="majorEastAsia"/>
                <w:lang w:val="es-DO"/>
              </w:rPr>
            </w:pPr>
            <w:r w:rsidRPr="009A27ED">
              <w:rPr>
                <w:rFonts w:eastAsiaTheme="majorEastAsia"/>
                <w:lang w:val="es-DO"/>
              </w:rPr>
              <w:t>Salvaguarda D</w:t>
            </w:r>
          </w:p>
        </w:tc>
        <w:tc>
          <w:tcPr>
            <w:tcW w:w="6565" w:type="dxa"/>
          </w:tcPr>
          <w:p w14:paraId="3D1DBEB8" w14:textId="69F08E18" w:rsidR="00D32D22" w:rsidRPr="009A27ED" w:rsidRDefault="00D32D22" w:rsidP="00D32D22">
            <w:pPr>
              <w:pStyle w:val="Prrafodelista"/>
              <w:numPr>
                <w:ilvl w:val="0"/>
                <w:numId w:val="440"/>
              </w:numPr>
              <w:spacing w:after="0" w:line="240" w:lineRule="auto"/>
              <w:ind w:left="421"/>
              <w:rPr>
                <w:rFonts w:eastAsiaTheme="majorEastAsia"/>
                <w:lang w:val="es-DO"/>
              </w:rPr>
            </w:pPr>
            <w:r w:rsidRPr="009A27ED">
              <w:rPr>
                <w:rFonts w:eastAsiaTheme="majorEastAsia"/>
                <w:lang w:val="es-DO"/>
              </w:rPr>
              <w:t>Plataformas de gobernanza a nivel nacional/ local promoviendo mecanismos de participación efectiva de comunidades locales y beneficiarios directos de los planes, sistemas, programas y proyectos REDD+</w:t>
            </w:r>
            <w:r w:rsidR="00134C86" w:rsidRPr="009A27ED">
              <w:rPr>
                <w:rFonts w:eastAsiaTheme="majorEastAsia"/>
                <w:lang w:val="es-DO"/>
              </w:rPr>
              <w:t>, incluyendo enfoque de género</w:t>
            </w:r>
          </w:p>
        </w:tc>
      </w:tr>
      <w:tr w:rsidR="00D32D22" w:rsidRPr="009A27ED" w14:paraId="42CCDFFC" w14:textId="77777777" w:rsidTr="00562F95">
        <w:tc>
          <w:tcPr>
            <w:tcW w:w="2263" w:type="dxa"/>
          </w:tcPr>
          <w:p w14:paraId="2B8D001C" w14:textId="77777777" w:rsidR="00D32D22" w:rsidRPr="009A27ED" w:rsidRDefault="00D32D22" w:rsidP="00562F95">
            <w:pPr>
              <w:spacing w:after="0"/>
              <w:rPr>
                <w:rFonts w:eastAsiaTheme="majorEastAsia"/>
                <w:lang w:val="es-DO"/>
              </w:rPr>
            </w:pPr>
            <w:r w:rsidRPr="009A27ED">
              <w:rPr>
                <w:rFonts w:eastAsiaTheme="majorEastAsia"/>
                <w:lang w:val="es-DO"/>
              </w:rPr>
              <w:t>Salvaguarda E</w:t>
            </w:r>
          </w:p>
        </w:tc>
        <w:tc>
          <w:tcPr>
            <w:tcW w:w="6565" w:type="dxa"/>
          </w:tcPr>
          <w:p w14:paraId="5B4A0C76" w14:textId="77777777" w:rsidR="00D32D22" w:rsidRPr="009A27ED" w:rsidRDefault="00D32D22" w:rsidP="00D32D22">
            <w:pPr>
              <w:pStyle w:val="Prrafodelista"/>
              <w:numPr>
                <w:ilvl w:val="0"/>
                <w:numId w:val="441"/>
              </w:numPr>
              <w:spacing w:after="0" w:line="240" w:lineRule="auto"/>
              <w:ind w:left="421"/>
              <w:rPr>
                <w:rFonts w:eastAsiaTheme="majorEastAsia"/>
                <w:lang w:val="es-DO"/>
              </w:rPr>
            </w:pPr>
            <w:r w:rsidRPr="009A27ED">
              <w:rPr>
                <w:rFonts w:eastAsiaTheme="majorEastAsia"/>
                <w:lang w:val="es-DO"/>
              </w:rPr>
              <w:t>Área (ha) de bosque natural (dentro y fuera de áreas protegidas) que no ha sido sujeto a la conversión o degradación debido a la implementación de medidas REDD+.</w:t>
            </w:r>
          </w:p>
        </w:tc>
      </w:tr>
      <w:tr w:rsidR="00D32D22" w:rsidRPr="009A27ED" w14:paraId="64425E5C" w14:textId="77777777" w:rsidTr="00562F95">
        <w:tc>
          <w:tcPr>
            <w:tcW w:w="2263" w:type="dxa"/>
          </w:tcPr>
          <w:p w14:paraId="48B9AD93" w14:textId="77777777" w:rsidR="00D32D22" w:rsidRPr="009A27ED" w:rsidRDefault="00D32D22" w:rsidP="00562F95">
            <w:pPr>
              <w:spacing w:after="0"/>
              <w:rPr>
                <w:rFonts w:eastAsiaTheme="majorEastAsia"/>
                <w:lang w:val="es-DO"/>
              </w:rPr>
            </w:pPr>
            <w:r w:rsidRPr="009A27ED">
              <w:rPr>
                <w:rFonts w:eastAsiaTheme="majorEastAsia"/>
                <w:lang w:val="es-DO"/>
              </w:rPr>
              <w:t>Salvaguarda F/G</w:t>
            </w:r>
          </w:p>
        </w:tc>
        <w:tc>
          <w:tcPr>
            <w:tcW w:w="6565" w:type="dxa"/>
          </w:tcPr>
          <w:p w14:paraId="1644B0E1" w14:textId="77F1A8CC" w:rsidR="00D32D22" w:rsidRPr="009A27ED" w:rsidRDefault="00DD7182" w:rsidP="00D32D22">
            <w:pPr>
              <w:pStyle w:val="Prrafodelista"/>
              <w:numPr>
                <w:ilvl w:val="0"/>
                <w:numId w:val="442"/>
              </w:numPr>
              <w:spacing w:after="0" w:line="240" w:lineRule="auto"/>
              <w:ind w:left="421"/>
              <w:rPr>
                <w:rFonts w:eastAsiaTheme="majorEastAsia"/>
                <w:lang w:val="es-DO"/>
              </w:rPr>
            </w:pPr>
            <w:r w:rsidRPr="009A27ED">
              <w:rPr>
                <w:rFonts w:eastAsiaTheme="majorEastAsia"/>
                <w:lang w:val="es-DO"/>
              </w:rPr>
              <w:t>Cantidad de m</w:t>
            </w:r>
            <w:r w:rsidR="00D32D22" w:rsidRPr="009A27ED">
              <w:rPr>
                <w:rFonts w:eastAsiaTheme="majorEastAsia"/>
                <w:lang w:val="es-DO"/>
              </w:rPr>
              <w:t>edidas generadas para reducir las fugas y desplazamiento de emisiones al implementar actividades REDD+ en planes, sistemas, programas y proyectos</w:t>
            </w:r>
          </w:p>
        </w:tc>
      </w:tr>
      <w:tr w:rsidR="00D32D22" w:rsidRPr="009A27ED" w14:paraId="6F962430" w14:textId="77777777" w:rsidTr="00562F95">
        <w:tc>
          <w:tcPr>
            <w:tcW w:w="2263" w:type="dxa"/>
          </w:tcPr>
          <w:p w14:paraId="612AD938" w14:textId="77777777" w:rsidR="00D32D22" w:rsidRPr="009A27ED" w:rsidRDefault="00D32D22" w:rsidP="00562F95">
            <w:pPr>
              <w:spacing w:after="0"/>
              <w:rPr>
                <w:rFonts w:eastAsiaTheme="majorEastAsia"/>
                <w:lang w:val="es-DO"/>
              </w:rPr>
            </w:pPr>
          </w:p>
        </w:tc>
        <w:tc>
          <w:tcPr>
            <w:tcW w:w="6565" w:type="dxa"/>
          </w:tcPr>
          <w:p w14:paraId="43DC2577" w14:textId="722983B0" w:rsidR="00D32D22" w:rsidRPr="009A27ED" w:rsidRDefault="00D32D22" w:rsidP="00D32D22">
            <w:pPr>
              <w:pStyle w:val="Prrafodelista"/>
              <w:numPr>
                <w:ilvl w:val="0"/>
                <w:numId w:val="442"/>
              </w:numPr>
              <w:spacing w:after="0" w:line="240" w:lineRule="auto"/>
              <w:ind w:left="421"/>
              <w:rPr>
                <w:rFonts w:eastAsiaTheme="majorEastAsia"/>
                <w:strike/>
                <w:lang w:val="es-DO"/>
              </w:rPr>
            </w:pPr>
            <w:r w:rsidRPr="009A27ED">
              <w:rPr>
                <w:rFonts w:eastAsiaTheme="majorEastAsia"/>
                <w:strike/>
                <w:lang w:val="es-DO"/>
              </w:rPr>
              <w:t>Mediciones periódicas sobre el balance entre pérdida y ganancia de emisiones</w:t>
            </w:r>
          </w:p>
        </w:tc>
      </w:tr>
    </w:tbl>
    <w:p w14:paraId="6DF73D18" w14:textId="77777777" w:rsidR="00D32D22" w:rsidRPr="009A27ED" w:rsidRDefault="00D32D22" w:rsidP="00D32D22">
      <w:pPr>
        <w:spacing w:before="120" w:after="0" w:line="360" w:lineRule="auto"/>
        <w:rPr>
          <w:rFonts w:eastAsiaTheme="majorEastAsia"/>
          <w:lang w:val="es-DO"/>
        </w:rPr>
      </w:pPr>
    </w:p>
    <w:p w14:paraId="389F5A79" w14:textId="2BC18559" w:rsidR="00B91F66" w:rsidRPr="009A27ED" w:rsidRDefault="00B91F66" w:rsidP="00B91F66">
      <w:pPr>
        <w:spacing w:before="120" w:after="0" w:line="360" w:lineRule="auto"/>
        <w:rPr>
          <w:rFonts w:asciiTheme="majorHAnsi" w:eastAsiaTheme="majorEastAsia" w:hAnsiTheme="majorHAnsi" w:cstheme="majorBidi"/>
          <w:lang w:val="es-DO"/>
        </w:rPr>
      </w:pPr>
      <w:r w:rsidRPr="009A27ED">
        <w:rPr>
          <w:rFonts w:asciiTheme="majorHAnsi" w:eastAsiaTheme="majorEastAsia" w:hAnsiTheme="majorHAnsi" w:cstheme="majorBidi"/>
          <w:sz w:val="24"/>
          <w:lang w:val="es-DO"/>
        </w:rPr>
        <w:t>Con el propósito de fortalecer las capacidades tanto institucionales como de los beneficiarios sobre la aplicación de esta herramienta, el Ministerio de Medio Ambiente llevó a cabo talleres enfocados al cumplimiento y aplicación de las salvaguardas sociales y ambientales y las Políticas Operativas del Banco Mundial, su relación con el Marco de Gestión Ambiental y Social, el Sistema de Información de Salvaguardas, el Mecanismo de Quejas, Reclamos y Gestión de Conflictos, y su aplicación directa en los Planes de Manejo Ambiental y Social en las cinco áreas priorizadas para REDD+ y en el resto de las áreas de importancia para la conservación a nivel nacional.</w:t>
      </w:r>
    </w:p>
    <w:p w14:paraId="3A2583DF" w14:textId="0F16190E" w:rsidR="00D97CA5" w:rsidRPr="009A27ED" w:rsidRDefault="00D97CA5" w:rsidP="00B91F66">
      <w:pPr>
        <w:spacing w:before="120" w:after="0" w:line="360" w:lineRule="auto"/>
        <w:rPr>
          <w:rFonts w:asciiTheme="majorHAnsi" w:eastAsiaTheme="majorEastAsia" w:hAnsiTheme="majorHAnsi" w:cstheme="majorBidi"/>
          <w:lang w:val="es-DO"/>
        </w:rPr>
      </w:pPr>
    </w:p>
    <w:p w14:paraId="533CA411" w14:textId="77777777" w:rsidR="00D97CA5" w:rsidRPr="009A27ED" w:rsidRDefault="00D97CA5" w:rsidP="00E71948">
      <w:pPr>
        <w:pStyle w:val="Ttulo2"/>
        <w:numPr>
          <w:ilvl w:val="0"/>
          <w:numId w:val="0"/>
        </w:numPr>
        <w:spacing w:line="360" w:lineRule="auto"/>
        <w:ind w:left="1134" w:hanging="576"/>
        <w:jc w:val="both"/>
      </w:pPr>
      <w:bookmarkStart w:id="326" w:name="_Toc111837998"/>
      <w:r w:rsidRPr="009A27ED">
        <w:rPr>
          <w:rFonts w:ascii="Times New Roman" w:eastAsia="Times New Roman" w:hAnsi="Times New Roman"/>
          <w:sz w:val="24"/>
        </w:rPr>
        <w:t>7.1 Arreglos institucionales para generar los reportes del SIS</w:t>
      </w:r>
      <w:bookmarkEnd w:id="326"/>
    </w:p>
    <w:p w14:paraId="586F13B7" w14:textId="04D6CA96" w:rsidR="00D97CA5" w:rsidRPr="009A27ED" w:rsidRDefault="00D97CA5" w:rsidP="00D97CA5">
      <w:pPr>
        <w:spacing w:before="120" w:after="0" w:line="360" w:lineRule="auto"/>
        <w:rPr>
          <w:szCs w:val="22"/>
        </w:rPr>
      </w:pPr>
      <w:r w:rsidRPr="009A27ED">
        <w:rPr>
          <w:rFonts w:ascii="Times New Roman" w:eastAsia="Times New Roman" w:hAnsi="Times New Roman"/>
          <w:sz w:val="24"/>
          <w:szCs w:val="22"/>
          <w:lang w:val="es-ES_tradnl"/>
        </w:rPr>
        <w:t xml:space="preserve">El SIS será alojado en el servidor del Ministerio de Medio Ambiente y operado por la Oficina de Coordinación REDD+ (OCR) ubicada en el Ministerio de Medio Ambiente y Recursos Naturales quien será la responsable de otorgar las identificaciones correspondientes a los usuarios autorizados. </w:t>
      </w:r>
      <w:r w:rsidRPr="009A27ED">
        <w:rPr>
          <w:rFonts w:ascii="Times New Roman" w:eastAsia="Times New Roman" w:hAnsi="Times New Roman"/>
          <w:sz w:val="24"/>
          <w:szCs w:val="22"/>
        </w:rPr>
        <w:t xml:space="preserve">La recolección de información específica sobre el cumplimiento de las salvaguardas REDD+ de la </w:t>
      </w:r>
      <w:r w:rsidR="00DD7182" w:rsidRPr="009A27ED">
        <w:rPr>
          <w:rFonts w:ascii="Times New Roman" w:eastAsia="Times New Roman" w:hAnsi="Times New Roman"/>
          <w:sz w:val="24"/>
          <w:szCs w:val="22"/>
        </w:rPr>
        <w:t>CMNUCC,</w:t>
      </w:r>
      <w:r w:rsidRPr="009A27ED">
        <w:rPr>
          <w:rFonts w:ascii="Times New Roman" w:eastAsia="Times New Roman" w:hAnsi="Times New Roman"/>
          <w:sz w:val="24"/>
          <w:szCs w:val="22"/>
        </w:rPr>
        <w:t xml:space="preserve"> y de los PMAS, así como el informe sobre quejas, reclamos y </w:t>
      </w:r>
      <w:r w:rsidR="00DD7182" w:rsidRPr="009A27ED">
        <w:rPr>
          <w:rFonts w:ascii="Times New Roman" w:eastAsia="Times New Roman" w:hAnsi="Times New Roman"/>
          <w:sz w:val="24"/>
          <w:szCs w:val="22"/>
        </w:rPr>
        <w:t xml:space="preserve">manejo </w:t>
      </w:r>
      <w:r w:rsidRPr="009A27ED">
        <w:rPr>
          <w:rFonts w:ascii="Times New Roman" w:eastAsia="Times New Roman" w:hAnsi="Times New Roman"/>
          <w:strike/>
          <w:sz w:val="24"/>
          <w:szCs w:val="22"/>
        </w:rPr>
        <w:t>gestión</w:t>
      </w:r>
      <w:r w:rsidRPr="009A27ED">
        <w:rPr>
          <w:rFonts w:ascii="Times New Roman" w:eastAsia="Times New Roman" w:hAnsi="Times New Roman"/>
          <w:sz w:val="24"/>
          <w:szCs w:val="22"/>
        </w:rPr>
        <w:t xml:space="preserve"> de conflictos del SQRC, estará a cargo de cada punto focal de Salvaguardas en las Entidades Ejecutoras de REDD+. </w:t>
      </w:r>
    </w:p>
    <w:p w14:paraId="385430C4" w14:textId="498D6133" w:rsidR="00D97CA5" w:rsidRPr="009A27ED" w:rsidRDefault="00D97CA5" w:rsidP="00D97CA5">
      <w:pPr>
        <w:spacing w:before="120" w:after="0" w:line="360" w:lineRule="auto"/>
        <w:rPr>
          <w:lang w:val="es-ES_tradnl"/>
        </w:rPr>
      </w:pPr>
      <w:r w:rsidRPr="009A27ED">
        <w:rPr>
          <w:rFonts w:ascii="Times New Roman" w:eastAsia="Times New Roman" w:hAnsi="Times New Roman"/>
          <w:sz w:val="24"/>
          <w:szCs w:val="22"/>
        </w:rPr>
        <w:t xml:space="preserve">Esta información será analizada por la OCR, quien </w:t>
      </w:r>
      <w:r w:rsidRPr="009A27ED">
        <w:rPr>
          <w:rFonts w:ascii="Times New Roman" w:eastAsia="Times New Roman" w:hAnsi="Times New Roman"/>
          <w:sz w:val="24"/>
          <w:szCs w:val="22"/>
          <w:lang w:val="es-ES_tradnl"/>
        </w:rPr>
        <w:t>preparará un informe preliminar que será discutido con el Comité Técnico Asesor</w:t>
      </w:r>
      <w:r w:rsidR="00DD7182" w:rsidRPr="009A27ED">
        <w:rPr>
          <w:rFonts w:ascii="Times New Roman" w:eastAsia="Times New Roman" w:hAnsi="Times New Roman"/>
          <w:sz w:val="24"/>
          <w:szCs w:val="22"/>
          <w:lang w:val="es-ES_tradnl"/>
        </w:rPr>
        <w:t xml:space="preserve"> (Grupo de Trabajo de Salvaguardas)</w:t>
      </w:r>
      <w:r w:rsidRPr="009A27ED">
        <w:rPr>
          <w:rFonts w:ascii="Times New Roman" w:eastAsia="Times New Roman" w:hAnsi="Times New Roman"/>
          <w:sz w:val="24"/>
          <w:szCs w:val="22"/>
          <w:lang w:val="es-ES_tradnl"/>
        </w:rPr>
        <w:t xml:space="preserve">. Una vez validada por el CTA, la OCR elaborará los reportes respectivos para enviarlos al FCPF y al Banco Mundial, para que una vez </w:t>
      </w:r>
      <w:r w:rsidRPr="009A27ED">
        <w:rPr>
          <w:rFonts w:ascii="Times New Roman" w:eastAsia="Times New Roman" w:hAnsi="Times New Roman"/>
          <w:sz w:val="24"/>
          <w:szCs w:val="22"/>
          <w:lang w:val="es-ES_tradnl"/>
        </w:rPr>
        <w:lastRenderedPageBreak/>
        <w:t xml:space="preserve">aprobados se remitan al Comité </w:t>
      </w:r>
      <w:r w:rsidR="00DD7182" w:rsidRPr="009A27ED">
        <w:rPr>
          <w:rFonts w:ascii="Times New Roman" w:eastAsia="Times New Roman" w:hAnsi="Times New Roman"/>
          <w:sz w:val="24"/>
          <w:szCs w:val="22"/>
          <w:lang w:val="es-ES_tradnl"/>
        </w:rPr>
        <w:t xml:space="preserve">Nacional </w:t>
      </w:r>
      <w:r w:rsidRPr="009A27ED">
        <w:rPr>
          <w:rFonts w:ascii="Times New Roman" w:eastAsia="Times New Roman" w:hAnsi="Times New Roman"/>
          <w:sz w:val="24"/>
          <w:szCs w:val="22"/>
          <w:lang w:val="es-ES_tradnl"/>
        </w:rPr>
        <w:t>de Distribución de Beneficios</w:t>
      </w:r>
      <w:r w:rsidR="00757CBA" w:rsidRPr="009A27ED">
        <w:rPr>
          <w:rFonts w:ascii="Times New Roman" w:eastAsia="Times New Roman" w:hAnsi="Times New Roman"/>
          <w:sz w:val="24"/>
          <w:szCs w:val="22"/>
          <w:lang w:val="es-ES_tradnl"/>
        </w:rPr>
        <w:t xml:space="preserve"> (CNDB)</w:t>
      </w:r>
      <w:r w:rsidRPr="009A27ED">
        <w:rPr>
          <w:rFonts w:ascii="Times New Roman" w:eastAsia="Times New Roman" w:hAnsi="Times New Roman"/>
          <w:sz w:val="24"/>
          <w:szCs w:val="22"/>
          <w:lang w:val="es-ES_tradnl"/>
        </w:rPr>
        <w:t>. Los informes serán accesibles al público a través de la página web de REDD+</w:t>
      </w:r>
    </w:p>
    <w:p w14:paraId="5DCBF292" w14:textId="77777777" w:rsidR="00D97CA5" w:rsidRPr="009A27ED" w:rsidRDefault="00D97CA5" w:rsidP="00B91F66">
      <w:pPr>
        <w:spacing w:before="120" w:after="0" w:line="360" w:lineRule="auto"/>
        <w:rPr>
          <w:rFonts w:asciiTheme="majorHAnsi" w:eastAsiaTheme="majorEastAsia" w:hAnsiTheme="majorHAnsi" w:cstheme="majorBidi"/>
          <w:lang w:val="es-DO"/>
        </w:rPr>
      </w:pPr>
    </w:p>
    <w:p w14:paraId="069C6867" w14:textId="77777777" w:rsidR="001768FA" w:rsidRPr="009A27ED" w:rsidRDefault="00D97CA5" w:rsidP="001768FA">
      <w:pPr>
        <w:keepNext/>
        <w:spacing w:before="120" w:after="0" w:line="360" w:lineRule="auto"/>
      </w:pPr>
      <w:r w:rsidRPr="009A27ED">
        <w:rPr>
          <w:rFonts w:ascii="Times New Roman" w:eastAsia="Times New Roman" w:hAnsi="Times New Roman"/>
          <w:noProof/>
          <w:color w:val="000000" w:themeColor="text1"/>
          <w:sz w:val="24"/>
          <w:lang w:val="en-US"/>
        </w:rPr>
        <w:drawing>
          <wp:inline distT="0" distB="0" distL="0" distR="0" wp14:anchorId="464D8D34" wp14:editId="282EE2C0">
            <wp:extent cx="5612130" cy="2684895"/>
            <wp:effectExtent l="0" t="0" r="7620" b="1270"/>
            <wp:docPr id="12" name="Picture 14"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Diagrama&#10;&#10;Descripción generada automáticamente"/>
                    <pic:cNvPicPr/>
                  </pic:nvPicPr>
                  <pic:blipFill rotWithShape="1">
                    <a:blip r:embed="rId59">
                      <a:extLst>
                        <a:ext uri="{28A0092B-C50C-407E-A947-70E740481C1C}">
                          <a14:useLocalDpi xmlns:a14="http://schemas.microsoft.com/office/drawing/2010/main" val="0"/>
                        </a:ext>
                      </a:extLst>
                    </a:blip>
                    <a:srcRect l="1115" t="9541" r="2528" b="14338"/>
                    <a:stretch/>
                  </pic:blipFill>
                  <pic:spPr bwMode="auto">
                    <a:xfrm>
                      <a:off x="0" y="0"/>
                      <a:ext cx="5612130" cy="2684895"/>
                    </a:xfrm>
                    <a:prstGeom prst="rect">
                      <a:avLst/>
                    </a:prstGeom>
                    <a:ln>
                      <a:noFill/>
                    </a:ln>
                    <a:extLst>
                      <a:ext uri="{53640926-AAD7-44d8-BBD7-CCE9431645EC}">
                        <a14:shadowObscured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545EAEB2" w14:textId="7FEA9871" w:rsidR="00B91F66" w:rsidRPr="009A27ED" w:rsidRDefault="001768FA" w:rsidP="001768FA">
      <w:pPr>
        <w:pStyle w:val="Descripcin"/>
        <w:spacing w:line="360" w:lineRule="auto"/>
        <w:rPr>
          <w:rFonts w:asciiTheme="majorHAnsi" w:eastAsiaTheme="majorEastAsia" w:hAnsiTheme="majorHAnsi" w:cstheme="majorBidi"/>
          <w:b/>
          <w:bCs/>
          <w:lang w:val="es-DO"/>
        </w:rPr>
      </w:pPr>
      <w:bookmarkStart w:id="327" w:name="_Toc111889894"/>
      <w:r w:rsidRPr="009A27ED">
        <w:rPr>
          <w:rFonts w:ascii="Times New Roman" w:eastAsia="Times New Roman" w:hAnsi="Times New Roman"/>
          <w:sz w:val="24"/>
        </w:rPr>
        <w:t xml:space="preserve">Esquema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Esquema_ \* ARABIC </w:instrText>
      </w:r>
      <w:r w:rsidRPr="009A27ED">
        <w:rPr>
          <w:rFonts w:ascii="Times New Roman" w:eastAsia="Times New Roman" w:hAnsi="Times New Roman"/>
          <w:sz w:val="24"/>
        </w:rPr>
        <w:fldChar w:fldCharType="separate"/>
      </w:r>
      <w:r w:rsidR="00703EB9" w:rsidRPr="009A27ED">
        <w:rPr>
          <w:rFonts w:ascii="Times New Roman" w:eastAsia="Times New Roman" w:hAnsi="Times New Roman"/>
          <w:noProof/>
          <w:sz w:val="24"/>
        </w:rPr>
        <w:t>6</w:t>
      </w:r>
      <w:r w:rsidRPr="009A27ED">
        <w:rPr>
          <w:rFonts w:ascii="Times New Roman" w:eastAsia="Times New Roman" w:hAnsi="Times New Roman"/>
          <w:sz w:val="24"/>
        </w:rPr>
        <w:fldChar w:fldCharType="end"/>
      </w:r>
      <w:r w:rsidRPr="009A27ED">
        <w:rPr>
          <w:rFonts w:ascii="Times New Roman" w:eastAsia="Times New Roman" w:hAnsi="Times New Roman"/>
          <w:sz w:val="24"/>
        </w:rPr>
        <w:t>.  Arreglos institucionales del SIS</w:t>
      </w:r>
      <w:bookmarkEnd w:id="327"/>
    </w:p>
    <w:p w14:paraId="47689A6E" w14:textId="77777777" w:rsidR="00D97CA5" w:rsidRPr="009A27ED" w:rsidRDefault="00D97CA5" w:rsidP="00D97CA5">
      <w:pPr>
        <w:spacing w:before="120" w:after="0" w:line="360" w:lineRule="auto"/>
        <w:ind w:left="1571"/>
        <w:rPr>
          <w:sz w:val="20"/>
        </w:rPr>
      </w:pPr>
    </w:p>
    <w:p w14:paraId="3D325B52" w14:textId="77777777" w:rsidR="001768FA" w:rsidRPr="009A27ED" w:rsidRDefault="00D97CA5" w:rsidP="001768FA">
      <w:pPr>
        <w:keepNext/>
        <w:spacing w:before="120" w:after="0" w:line="360" w:lineRule="auto"/>
      </w:pPr>
      <w:r w:rsidRPr="009A27ED">
        <w:rPr>
          <w:rFonts w:ascii="Times New Roman" w:eastAsia="Times New Roman" w:hAnsi="Times New Roman"/>
          <w:noProof/>
          <w:sz w:val="24"/>
          <w:lang w:val="en-US"/>
        </w:rPr>
        <w:lastRenderedPageBreak/>
        <w:drawing>
          <wp:inline distT="0" distB="0" distL="0" distR="0" wp14:anchorId="255C84AD" wp14:editId="695AA568">
            <wp:extent cx="5612130" cy="3317479"/>
            <wp:effectExtent l="0" t="0" r="7620" b="0"/>
            <wp:docPr id="15" name="Imagen 15" descr="C:\Users\mperez\Documents\2019\Melvin Pérez\PersonalMO\Consultoría RD\Doctos ultimos\Productosfinales\Flujo de proceso SIS REDD+ República Dominican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perez\Documents\2019\Melvin Pérez\PersonalMO\Consultoría RD\Doctos ultimos\Productosfinales\Flujo de proceso SIS REDD+ República Dominicana.jpeg"/>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5612130" cy="3317479"/>
                    </a:xfrm>
                    <a:prstGeom prst="rect">
                      <a:avLst/>
                    </a:prstGeom>
                    <a:noFill/>
                    <a:ln>
                      <a:noFill/>
                    </a:ln>
                  </pic:spPr>
                </pic:pic>
              </a:graphicData>
            </a:graphic>
          </wp:inline>
        </w:drawing>
      </w:r>
    </w:p>
    <w:p w14:paraId="12F945DB" w14:textId="557DBD3F" w:rsidR="00D97CA5" w:rsidRPr="009A27ED" w:rsidRDefault="001768FA" w:rsidP="001768FA">
      <w:pPr>
        <w:pStyle w:val="Descripcin"/>
        <w:spacing w:line="360" w:lineRule="auto"/>
        <w:rPr>
          <w:sz w:val="20"/>
        </w:rPr>
      </w:pPr>
      <w:bookmarkStart w:id="328" w:name="_Toc111889895"/>
      <w:r w:rsidRPr="009A27ED">
        <w:rPr>
          <w:rFonts w:ascii="Times New Roman" w:eastAsia="Times New Roman" w:hAnsi="Times New Roman"/>
          <w:sz w:val="24"/>
        </w:rPr>
        <w:t xml:space="preserve">Esquema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Esquema_ \* ARABIC </w:instrText>
      </w:r>
      <w:r w:rsidRPr="009A27ED">
        <w:rPr>
          <w:rFonts w:ascii="Times New Roman" w:eastAsia="Times New Roman" w:hAnsi="Times New Roman"/>
          <w:sz w:val="24"/>
        </w:rPr>
        <w:fldChar w:fldCharType="separate"/>
      </w:r>
      <w:r w:rsidR="00703EB9" w:rsidRPr="009A27ED">
        <w:rPr>
          <w:rFonts w:ascii="Times New Roman" w:eastAsia="Times New Roman" w:hAnsi="Times New Roman"/>
          <w:noProof/>
          <w:sz w:val="24"/>
        </w:rPr>
        <w:t>7</w:t>
      </w:r>
      <w:r w:rsidRPr="009A27ED">
        <w:rPr>
          <w:rFonts w:ascii="Times New Roman" w:eastAsia="Times New Roman" w:hAnsi="Times New Roman"/>
          <w:sz w:val="24"/>
        </w:rPr>
        <w:fldChar w:fldCharType="end"/>
      </w:r>
      <w:r w:rsidRPr="009A27ED">
        <w:rPr>
          <w:rFonts w:ascii="Times New Roman" w:eastAsia="Times New Roman" w:hAnsi="Times New Roman"/>
          <w:sz w:val="24"/>
        </w:rPr>
        <w:t>. Flujo de proceso de la información (Fuente: Elaboración propia Ministerio Medio Ambiente, Consultores y Asociados)</w:t>
      </w:r>
      <w:bookmarkEnd w:id="328"/>
    </w:p>
    <w:p w14:paraId="0A770EFF" w14:textId="255BA479" w:rsidR="00D97CA5" w:rsidRPr="009A27ED" w:rsidRDefault="00D97CA5" w:rsidP="00B91F66">
      <w:pPr>
        <w:spacing w:before="120" w:after="0" w:line="360" w:lineRule="auto"/>
        <w:rPr>
          <w:rFonts w:asciiTheme="majorHAnsi" w:eastAsiaTheme="majorEastAsia" w:hAnsiTheme="majorHAnsi" w:cstheme="majorBidi"/>
          <w:b/>
          <w:bCs/>
        </w:rPr>
      </w:pPr>
    </w:p>
    <w:p w14:paraId="3B5A8850" w14:textId="77777777" w:rsidR="00533B74" w:rsidRPr="009A27ED" w:rsidRDefault="00533B74">
      <w:pPr>
        <w:spacing w:after="160" w:line="360" w:lineRule="auto"/>
        <w:rPr>
          <w:rFonts w:asciiTheme="majorHAnsi" w:eastAsiaTheme="majorEastAsia" w:hAnsiTheme="majorHAnsi" w:cstheme="majorBidi"/>
          <w:b/>
          <w:sz w:val="28"/>
          <w:szCs w:val="32"/>
          <w:bdr w:val="none" w:sz="0" w:space="0" w:color="auto" w:frame="1"/>
        </w:rPr>
      </w:pPr>
      <w:r w:rsidRPr="009A27ED">
        <w:rPr>
          <w:rFonts w:ascii="Times New Roman" w:eastAsia="Times New Roman" w:hAnsi="Times New Roman"/>
          <w:sz w:val="24"/>
        </w:rPr>
        <w:br w:type="page"/>
      </w:r>
    </w:p>
    <w:p w14:paraId="6309BBF8" w14:textId="17413352" w:rsidR="00D97CA5" w:rsidRPr="009A27ED" w:rsidRDefault="00D97CA5" w:rsidP="00C97A18">
      <w:pPr>
        <w:pStyle w:val="Ttulo1"/>
        <w:numPr>
          <w:ilvl w:val="0"/>
          <w:numId w:val="255"/>
        </w:numPr>
        <w:spacing w:line="360" w:lineRule="auto"/>
        <w:jc w:val="both"/>
      </w:pPr>
      <w:bookmarkStart w:id="329" w:name="_Toc111837999"/>
      <w:r w:rsidRPr="009A27ED">
        <w:rPr>
          <w:rFonts w:ascii="Times New Roman" w:eastAsia="Times New Roman" w:hAnsi="Times New Roman"/>
          <w:sz w:val="24"/>
        </w:rPr>
        <w:lastRenderedPageBreak/>
        <w:t>Enfoque de género y Plan de Acción de Género para REDD+</w:t>
      </w:r>
      <w:bookmarkEnd w:id="329"/>
    </w:p>
    <w:p w14:paraId="077D10C2" w14:textId="77777777" w:rsidR="00D97CA5" w:rsidRPr="009A27ED" w:rsidRDefault="00D97CA5" w:rsidP="00D97CA5">
      <w:pPr>
        <w:spacing w:line="360" w:lineRule="auto"/>
      </w:pPr>
    </w:p>
    <w:p w14:paraId="63F89906" w14:textId="77777777" w:rsidR="00D97CA5" w:rsidRPr="009A27ED" w:rsidRDefault="00D97CA5" w:rsidP="00D97CA5">
      <w:pPr>
        <w:spacing w:line="360" w:lineRule="auto"/>
        <w:rPr>
          <w:lang w:val="es-MX"/>
        </w:rPr>
      </w:pPr>
      <w:r w:rsidRPr="009A27ED">
        <w:rPr>
          <w:rFonts w:ascii="Times New Roman" w:eastAsia="Times New Roman" w:hAnsi="Times New Roman"/>
          <w:sz w:val="24"/>
          <w:lang w:val="es-MX"/>
        </w:rPr>
        <w:t>Superar las profundas desigualdades existentes entre hombres y mujeres representan uno de los grandes desafíos para el avance hacia un desarrollo sostenible y sociedades más resilientes frente al cambio climático.</w:t>
      </w:r>
    </w:p>
    <w:p w14:paraId="53135E02" w14:textId="77777777" w:rsidR="00D97CA5" w:rsidRPr="009A27ED" w:rsidRDefault="00D97CA5" w:rsidP="00D97CA5">
      <w:pPr>
        <w:spacing w:line="360" w:lineRule="auto"/>
        <w:rPr>
          <w:lang w:val="es-MX"/>
        </w:rPr>
      </w:pPr>
      <w:r w:rsidRPr="009A27ED">
        <w:rPr>
          <w:rFonts w:ascii="Times New Roman" w:eastAsia="Times New Roman" w:hAnsi="Times New Roman"/>
          <w:sz w:val="24"/>
          <w:lang w:val="es-MX"/>
        </w:rPr>
        <w:t>La igualdad entre mujeres y hombres se refiere al disfrute igualitario por parte de hombres y mujeres de todas las edades de derechos, bienes socialmente valorados, oportunidades, recursos y recompensas. La igualdad no significa que hombres y mujeres sean iguales, sino que el disfrute de sus derechos, oportunidades y oportunidades en la vida no se rige ni se limita por haber nacido hombre o mujer.</w:t>
      </w:r>
    </w:p>
    <w:p w14:paraId="290A62F9" w14:textId="499F9155" w:rsidR="00D97CA5" w:rsidRPr="009A27ED" w:rsidRDefault="00D97CA5" w:rsidP="00D97CA5">
      <w:pPr>
        <w:spacing w:line="360" w:lineRule="auto"/>
        <w:rPr>
          <w:lang w:val="es-MX"/>
        </w:rPr>
      </w:pPr>
      <w:r w:rsidRPr="009A27ED">
        <w:rPr>
          <w:rFonts w:ascii="Times New Roman" w:eastAsia="Times New Roman" w:hAnsi="Times New Roman"/>
          <w:sz w:val="24"/>
          <w:lang w:val="es-MX"/>
        </w:rPr>
        <w:t xml:space="preserve">Datos de estudios y estadísticas nacionales como el </w:t>
      </w:r>
      <w:proofErr w:type="spellStart"/>
      <w:r w:rsidRPr="009A27ED">
        <w:rPr>
          <w:rFonts w:ascii="Times New Roman" w:eastAsia="Times New Roman" w:hAnsi="Times New Roman"/>
          <w:sz w:val="24"/>
          <w:lang w:val="es-MX"/>
        </w:rPr>
        <w:t>Precenso</w:t>
      </w:r>
      <w:proofErr w:type="spellEnd"/>
      <w:r w:rsidR="00757CBA" w:rsidRPr="009A27ED">
        <w:rPr>
          <w:rFonts w:ascii="Times New Roman" w:eastAsia="Times New Roman" w:hAnsi="Times New Roman"/>
          <w:sz w:val="24"/>
          <w:lang w:val="es-MX"/>
        </w:rPr>
        <w:t xml:space="preserve"> </w:t>
      </w:r>
      <w:r w:rsidRPr="009A27ED">
        <w:rPr>
          <w:rFonts w:ascii="Times New Roman" w:eastAsia="Times New Roman" w:hAnsi="Times New Roman"/>
          <w:sz w:val="24"/>
          <w:lang w:val="es-MX"/>
        </w:rPr>
        <w:t>Agropecuario de 2015 evidencian estas desigualdades. Del total un de 259,971 productores agropecuarios, el 83.7% son hombres y 16.3% mujeres, 163 mujeres dedicadas a la siembra de árboles forestales o maderables (0.47% de las productoras) y a la actividad forestal propiamente dicha, combinada o no con la cría de animales, apenas se dedicaban 204 mujeres a escala nacional, para un 0.59% del total de mujeres productoras.</w:t>
      </w:r>
    </w:p>
    <w:p w14:paraId="0E83A1AF" w14:textId="77777777" w:rsidR="00D97CA5" w:rsidRPr="009A27ED" w:rsidRDefault="00D97CA5" w:rsidP="00D97CA5">
      <w:pPr>
        <w:spacing w:line="360" w:lineRule="auto"/>
        <w:rPr>
          <w:lang w:val="es-MX"/>
        </w:rPr>
      </w:pPr>
      <w:r w:rsidRPr="009A27ED">
        <w:rPr>
          <w:rFonts w:ascii="Times New Roman" w:eastAsia="Times New Roman" w:hAnsi="Times New Roman"/>
          <w:sz w:val="24"/>
          <w:lang w:val="es-MX"/>
        </w:rPr>
        <w:t xml:space="preserve">Un factor relevante a la hora de medir el aporte de la participación de la mujer en los sectores productivos rurales es el subregistro del aporte económico que realizan las mujeres en las actividades productivas y mediante las tareas no remuneradas que recaen mayoritariamente en las mujeres y que constituyen aportes sustantivos a las economías familiares. </w:t>
      </w:r>
    </w:p>
    <w:p w14:paraId="6ADE6507" w14:textId="77777777" w:rsidR="00D97CA5" w:rsidRPr="009A27ED" w:rsidRDefault="00D97CA5" w:rsidP="00D97CA5">
      <w:pPr>
        <w:spacing w:line="360" w:lineRule="auto"/>
        <w:rPr>
          <w:lang w:val="es-MX"/>
        </w:rPr>
      </w:pPr>
      <w:r w:rsidRPr="009A27ED">
        <w:rPr>
          <w:rFonts w:ascii="Times New Roman" w:eastAsia="Times New Roman" w:hAnsi="Times New Roman"/>
          <w:sz w:val="24"/>
          <w:lang w:val="es-MX"/>
        </w:rPr>
        <w:t xml:space="preserve">Estas tareas no remuneradas no sólo alcanzan al cuidado de los niños, adultos mayores y otros miembros vulnerables de las comunidades, sino también preparación de alimentos y mantenimiento de la higiene del hogar, búsqueda de suministros para la producción, siembra de hierba para ganado, alimentación del ganado, atención de animales enfermos, desyerbos, pastoreo, recolección café y cacao, preparación de alimentos en dos tandas para trabajadores, suministro de agua para los trabajadores, entre otros. </w:t>
      </w:r>
    </w:p>
    <w:p w14:paraId="70D6AF0F" w14:textId="77777777" w:rsidR="00D97CA5" w:rsidRPr="009A27ED" w:rsidRDefault="00D97CA5" w:rsidP="00D97CA5">
      <w:pPr>
        <w:spacing w:line="360" w:lineRule="auto"/>
        <w:rPr>
          <w:lang w:val="es-MX"/>
        </w:rPr>
      </w:pPr>
      <w:r w:rsidRPr="009A27ED">
        <w:rPr>
          <w:rFonts w:ascii="Times New Roman" w:eastAsia="Times New Roman" w:hAnsi="Times New Roman"/>
          <w:sz w:val="24"/>
          <w:lang w:val="es-MX"/>
        </w:rPr>
        <w:t>En el ámbito del trabajo de las Entidades Ejecutoras del Programa REDD+ se evidencian algunas iniciativas que buscan aumentar la participación de las mujeres en sus actividades. Por ejemplo, las mujeres participan como capataces de brigadas de reforestación, colocación de las plantas en los hoyos, producción de plantas en viveros, entrega de plantas para reforestación, brigadas de mantenimiento y procesos de monitoreo y seguimiento. También, algunas mujeres participan en la actividad forestal y cuentan con certificados de plantación con derecho a corte.</w:t>
      </w:r>
    </w:p>
    <w:p w14:paraId="7706B37A" w14:textId="77777777" w:rsidR="00D97CA5" w:rsidRPr="009A27ED" w:rsidRDefault="00D97CA5" w:rsidP="00D97CA5">
      <w:pPr>
        <w:spacing w:line="360" w:lineRule="auto"/>
        <w:rPr>
          <w:lang w:val="es-MX"/>
        </w:rPr>
      </w:pPr>
      <w:r w:rsidRPr="009A27ED">
        <w:rPr>
          <w:rFonts w:ascii="Times New Roman" w:eastAsia="Times New Roman" w:hAnsi="Times New Roman"/>
          <w:sz w:val="24"/>
          <w:lang w:val="es-MX"/>
        </w:rPr>
        <w:lastRenderedPageBreak/>
        <w:t xml:space="preserve">El abordaje de la problemática de género en REDD+ se realiza a través de la comprensión y el análisis de las brechas e inequidades existentes entre hombres y mujeres en la toma de decisión en torno a los recursos forestales y su participación en los beneficios generados, así como en las barreras existentes para la plena participación de las mujeres en la actividad productiva ligada al bosque y en las barreras para su incorporación en los programas y proyectos priorizados por REDD+.   </w:t>
      </w:r>
    </w:p>
    <w:p w14:paraId="57205837" w14:textId="77777777" w:rsidR="00D97CA5" w:rsidRPr="009A27ED" w:rsidRDefault="00D97CA5" w:rsidP="00D97CA5">
      <w:pPr>
        <w:spacing w:line="360" w:lineRule="auto"/>
        <w:rPr>
          <w:lang w:val="es-MX"/>
        </w:rPr>
      </w:pPr>
      <w:r w:rsidRPr="009A27ED">
        <w:rPr>
          <w:rFonts w:ascii="Times New Roman" w:eastAsia="Times New Roman" w:hAnsi="Times New Roman"/>
          <w:sz w:val="24"/>
          <w:lang w:val="es-MX"/>
        </w:rPr>
        <w:t xml:space="preserve">En República Dominicana se desarrolló un estudio sobre Análisis de Género y se adoptó un Plan de Acción de Género (PAG) en el marco del Programa REDD+. El PAG procura reducir las desigualdades y brechas económicas, institucionales, legales y sociales de género en el ámbito del referido Programa. Está orientado a incrementar el reconocimiento de los aportes de las mujeres en las actividades forestales/agroforestales, a un mayor acceso a la tierra, a bienes, servicios y oportunidades, a una mayor participación de las mujeres en las organizaciones y tomas de decisión, así como la participación de las mujeres en el manejo y la conservación de los recursos forestales y de los recursos naturales en sentido general. </w:t>
      </w:r>
    </w:p>
    <w:p w14:paraId="0EE50A6E" w14:textId="77777777" w:rsidR="00D97CA5" w:rsidRPr="009A27ED" w:rsidRDefault="00D97CA5" w:rsidP="00D97CA5">
      <w:pPr>
        <w:spacing w:line="360" w:lineRule="auto"/>
        <w:rPr>
          <w:lang w:val="es-MX"/>
        </w:rPr>
      </w:pPr>
      <w:r w:rsidRPr="009A27ED">
        <w:rPr>
          <w:rFonts w:ascii="Times New Roman" w:eastAsia="Times New Roman" w:hAnsi="Times New Roman"/>
          <w:sz w:val="24"/>
          <w:lang w:val="es-MX"/>
        </w:rPr>
        <w:t xml:space="preserve">El PAG focaliza las propuestas de acción en los tres ejes en los que se reconocieron más oportunidades para aportar a reducir las brechas de género en el marco de las actividades del Programa REDD+, y específicamente en la implementación del mecanismo REDD+ en la República Dominicana: </w:t>
      </w:r>
    </w:p>
    <w:p w14:paraId="03CDC647" w14:textId="77777777" w:rsidR="00D97CA5" w:rsidRPr="009A27ED" w:rsidRDefault="00D97CA5" w:rsidP="00D97CA5">
      <w:pPr>
        <w:pStyle w:val="Prrafodelista"/>
        <w:numPr>
          <w:ilvl w:val="3"/>
          <w:numId w:val="241"/>
        </w:numPr>
        <w:spacing w:line="360" w:lineRule="auto"/>
        <w:ind w:left="630"/>
        <w:rPr>
          <w:lang w:val="es-MX"/>
        </w:rPr>
      </w:pPr>
      <w:r w:rsidRPr="009A27ED">
        <w:rPr>
          <w:rFonts w:ascii="Times New Roman" w:eastAsia="Times New Roman" w:hAnsi="Times New Roman"/>
          <w:sz w:val="24"/>
          <w:lang w:val="es-MX"/>
        </w:rPr>
        <w:t>Visibilizar y valorizar el aporte de las mujeres en las cadenas productivas agropecuarias y forestales de los sectores priorizados por REDD+.</w:t>
      </w:r>
    </w:p>
    <w:p w14:paraId="083C3AA2" w14:textId="77777777" w:rsidR="00D97CA5" w:rsidRPr="009A27ED" w:rsidRDefault="00D97CA5" w:rsidP="00D97CA5">
      <w:pPr>
        <w:pStyle w:val="Prrafodelista"/>
        <w:numPr>
          <w:ilvl w:val="3"/>
          <w:numId w:val="241"/>
        </w:numPr>
        <w:spacing w:line="360" w:lineRule="auto"/>
        <w:ind w:left="630"/>
        <w:rPr>
          <w:lang w:val="es-MX"/>
        </w:rPr>
      </w:pPr>
      <w:r w:rsidRPr="009A27ED">
        <w:rPr>
          <w:rFonts w:ascii="Times New Roman" w:eastAsia="Times New Roman" w:hAnsi="Times New Roman"/>
          <w:sz w:val="24"/>
          <w:lang w:val="es-MX"/>
        </w:rPr>
        <w:t>Aumentar la participación de las mujeres en la membresía y en los órganos directivos de las organizaciones de productores agropecuarios y forestales.</w:t>
      </w:r>
    </w:p>
    <w:p w14:paraId="09A20C1B" w14:textId="77777777" w:rsidR="00D97CA5" w:rsidRPr="009A27ED" w:rsidRDefault="00D97CA5" w:rsidP="00D97CA5">
      <w:pPr>
        <w:pStyle w:val="Prrafodelista"/>
        <w:numPr>
          <w:ilvl w:val="3"/>
          <w:numId w:val="241"/>
        </w:numPr>
        <w:spacing w:line="360" w:lineRule="auto"/>
        <w:ind w:left="630"/>
        <w:rPr>
          <w:lang w:val="es-MX"/>
        </w:rPr>
      </w:pPr>
      <w:r w:rsidRPr="009A27ED">
        <w:rPr>
          <w:rFonts w:ascii="Times New Roman" w:eastAsia="Times New Roman" w:hAnsi="Times New Roman"/>
          <w:sz w:val="24"/>
          <w:lang w:val="es-MX"/>
        </w:rPr>
        <w:t>Reducir las brechas de acceso a la tenencia de la tierra y al mercado laboral en el sector agropecuario y forestal.</w:t>
      </w:r>
    </w:p>
    <w:p w14:paraId="28B72494" w14:textId="77777777" w:rsidR="00D97CA5" w:rsidRPr="009A27ED" w:rsidRDefault="00D97CA5" w:rsidP="00D97CA5">
      <w:pPr>
        <w:spacing w:line="360" w:lineRule="auto"/>
        <w:rPr>
          <w:lang w:val="es-MX"/>
        </w:rPr>
      </w:pPr>
      <w:r w:rsidRPr="009A27ED">
        <w:rPr>
          <w:rFonts w:ascii="Times New Roman" w:eastAsia="Times New Roman" w:hAnsi="Times New Roman"/>
          <w:sz w:val="24"/>
          <w:lang w:val="es-MX"/>
        </w:rPr>
        <w:t>Para hacer operativos estos tres ejes, el PAG ha desarrollado propuestas de acción concretas y buenas prácticas para cumplir con tres indicadores seleccionados que deberán ser verificados durante las actividades de supervisión para realizar los reportes nacionales. Dichos indicadores son:</w:t>
      </w:r>
    </w:p>
    <w:p w14:paraId="15030128" w14:textId="77777777" w:rsidR="00D97CA5" w:rsidRPr="009A27ED" w:rsidRDefault="00D97CA5" w:rsidP="00D97CA5">
      <w:pPr>
        <w:pStyle w:val="Prrafodelista"/>
        <w:numPr>
          <w:ilvl w:val="0"/>
          <w:numId w:val="106"/>
        </w:numPr>
        <w:spacing w:line="360" w:lineRule="auto"/>
        <w:rPr>
          <w:lang w:val="es-MX"/>
        </w:rPr>
      </w:pPr>
      <w:r w:rsidRPr="009A27ED">
        <w:rPr>
          <w:rFonts w:ascii="Times New Roman" w:eastAsia="Times New Roman" w:hAnsi="Times New Roman"/>
          <w:sz w:val="24"/>
          <w:lang w:val="es-MX"/>
        </w:rPr>
        <w:t>Los beneficiarios han recibido capacitación para el desarrollo de actividades para mejorar la visibilidad y la valoración del aporte de las mujeres en las cadenas productivas agroforestales.</w:t>
      </w:r>
    </w:p>
    <w:p w14:paraId="2F5028A2" w14:textId="77777777" w:rsidR="00D97CA5" w:rsidRPr="009A27ED" w:rsidRDefault="00D97CA5" w:rsidP="00D97CA5">
      <w:pPr>
        <w:pStyle w:val="Prrafodelista"/>
        <w:numPr>
          <w:ilvl w:val="0"/>
          <w:numId w:val="106"/>
        </w:numPr>
        <w:spacing w:line="360" w:lineRule="auto"/>
        <w:rPr>
          <w:lang w:val="es-MX"/>
        </w:rPr>
      </w:pPr>
      <w:r w:rsidRPr="009A27ED">
        <w:rPr>
          <w:rFonts w:ascii="Times New Roman" w:eastAsia="Times New Roman" w:hAnsi="Times New Roman"/>
          <w:sz w:val="24"/>
          <w:lang w:val="es-MX"/>
        </w:rPr>
        <w:t>Actividades para aumentar el número de organizaciones que integran la participación de las mujeres en la membresía y en sus órganos directivos del Programa REDD+.</w:t>
      </w:r>
    </w:p>
    <w:p w14:paraId="3133A52C" w14:textId="77777777" w:rsidR="00D97CA5" w:rsidRPr="009A27ED" w:rsidRDefault="00D97CA5" w:rsidP="00D97CA5">
      <w:pPr>
        <w:pStyle w:val="Prrafodelista"/>
        <w:numPr>
          <w:ilvl w:val="0"/>
          <w:numId w:val="106"/>
        </w:numPr>
        <w:spacing w:line="360" w:lineRule="auto"/>
        <w:rPr>
          <w:lang w:val="es-MX"/>
        </w:rPr>
      </w:pPr>
      <w:r w:rsidRPr="009A27ED">
        <w:rPr>
          <w:rFonts w:ascii="Times New Roman" w:eastAsia="Times New Roman" w:hAnsi="Times New Roman"/>
          <w:sz w:val="24"/>
          <w:lang w:val="es-MX"/>
        </w:rPr>
        <w:lastRenderedPageBreak/>
        <w:t>Los beneficiarios han recibido capacitación para el desarrollo de actividades para reducir las brechas de acceso a la mujer a la tenencia, posesión y uso de la tierra vinculada a actividades productivas de los proyectos priorizados por REDD+.</w:t>
      </w:r>
    </w:p>
    <w:p w14:paraId="2554460E" w14:textId="77777777" w:rsidR="00D97CA5" w:rsidRPr="009A27ED" w:rsidRDefault="00D97CA5" w:rsidP="00D97CA5">
      <w:pPr>
        <w:spacing w:line="360" w:lineRule="auto"/>
        <w:rPr>
          <w:lang w:val="es-MX"/>
        </w:rPr>
      </w:pPr>
      <w:r w:rsidRPr="009A27ED">
        <w:rPr>
          <w:rFonts w:ascii="Times New Roman" w:eastAsia="Times New Roman" w:hAnsi="Times New Roman"/>
          <w:sz w:val="24"/>
          <w:lang w:val="es-MX"/>
        </w:rPr>
        <w:t>Para alcanzar el logro de estos indicadores, se deberán implementar las siguientes medidas de mitigación y/o buenas prácticas:</w:t>
      </w:r>
    </w:p>
    <w:p w14:paraId="2D103BFD" w14:textId="77777777" w:rsidR="00D97CA5" w:rsidRPr="009A27ED" w:rsidRDefault="00D97CA5" w:rsidP="00D97CA5">
      <w:pPr>
        <w:pStyle w:val="Prrafodelista"/>
        <w:numPr>
          <w:ilvl w:val="6"/>
          <w:numId w:val="324"/>
        </w:numPr>
        <w:spacing w:line="360" w:lineRule="auto"/>
        <w:ind w:left="720"/>
        <w:rPr>
          <w:lang w:val="es-MX"/>
        </w:rPr>
      </w:pPr>
      <w:r w:rsidRPr="009A27ED">
        <w:rPr>
          <w:rFonts w:ascii="Times New Roman" w:eastAsia="Times New Roman" w:hAnsi="Times New Roman"/>
          <w:sz w:val="24"/>
          <w:lang w:val="es-MX"/>
        </w:rPr>
        <w:t>Se establecen acciones de capacitación y fortalecimiento para la participación de las mujeres en las actividades agroforestales.</w:t>
      </w:r>
    </w:p>
    <w:p w14:paraId="62DA1586" w14:textId="77777777" w:rsidR="00D97CA5" w:rsidRPr="009A27ED" w:rsidRDefault="00D97CA5" w:rsidP="00D97CA5">
      <w:pPr>
        <w:pStyle w:val="Prrafodelista"/>
        <w:numPr>
          <w:ilvl w:val="6"/>
          <w:numId w:val="324"/>
        </w:numPr>
        <w:spacing w:line="360" w:lineRule="auto"/>
        <w:ind w:left="720"/>
        <w:rPr>
          <w:lang w:val="es-MX"/>
        </w:rPr>
      </w:pPr>
      <w:r w:rsidRPr="009A27ED">
        <w:rPr>
          <w:rFonts w:ascii="Times New Roman" w:eastAsia="Times New Roman" w:hAnsi="Times New Roman"/>
          <w:sz w:val="24"/>
          <w:lang w:val="es-MX"/>
        </w:rPr>
        <w:t>Se establecen acciones de capacitación y fortalecimiento para aumentar la participación de las mujeres en los procesos de toma de decisiones.</w:t>
      </w:r>
    </w:p>
    <w:p w14:paraId="6378B3DB" w14:textId="77777777" w:rsidR="00D97CA5" w:rsidRPr="009A27ED" w:rsidRDefault="00D97CA5" w:rsidP="00D97CA5">
      <w:pPr>
        <w:pStyle w:val="Prrafodelista"/>
        <w:numPr>
          <w:ilvl w:val="3"/>
          <w:numId w:val="324"/>
        </w:numPr>
        <w:spacing w:line="360" w:lineRule="auto"/>
        <w:ind w:left="720"/>
        <w:rPr>
          <w:lang w:val="es-MX"/>
        </w:rPr>
      </w:pPr>
      <w:r w:rsidRPr="009A27ED">
        <w:rPr>
          <w:rFonts w:ascii="Times New Roman" w:eastAsia="Times New Roman" w:hAnsi="Times New Roman"/>
          <w:sz w:val="24"/>
          <w:lang w:val="es-MX"/>
        </w:rPr>
        <w:t>Se establecen acciones de capacitación y fortalecimiento para reducir las brechas de acceso de la mujer a tenencia de la tierra.</w:t>
      </w:r>
    </w:p>
    <w:p w14:paraId="2898D444" w14:textId="77777777" w:rsidR="00D97CA5" w:rsidRPr="009A27ED" w:rsidRDefault="00D97CA5" w:rsidP="00D97CA5">
      <w:pPr>
        <w:spacing w:line="360" w:lineRule="auto"/>
        <w:rPr>
          <w:lang w:val="es-MX"/>
        </w:rPr>
      </w:pPr>
      <w:r w:rsidRPr="009A27ED">
        <w:rPr>
          <w:rFonts w:ascii="Times New Roman" w:eastAsia="Times New Roman" w:hAnsi="Times New Roman"/>
          <w:sz w:val="24"/>
          <w:lang w:val="es-MX"/>
        </w:rPr>
        <w:t>Estas capacitaciones estarán a cargo de la OCR y serán llevadas a cabo de manera conjunta con mujeres y hombres beneficiarios, así como con Asociaciones y Federaciones. Entre los temas relevantes a ser tratados en dichas capacitaciones, figuran:</w:t>
      </w:r>
    </w:p>
    <w:p w14:paraId="0A140A46" w14:textId="77777777" w:rsidR="00D97CA5" w:rsidRPr="009A27ED" w:rsidRDefault="00D97CA5" w:rsidP="00D97CA5">
      <w:pPr>
        <w:spacing w:line="360" w:lineRule="auto"/>
        <w:rPr>
          <w:lang w:val="es-MX"/>
        </w:rPr>
      </w:pPr>
      <w:r w:rsidRPr="009A27ED">
        <w:rPr>
          <w:rFonts w:ascii="Times New Roman" w:eastAsia="Times New Roman" w:hAnsi="Times New Roman"/>
          <w:sz w:val="24"/>
          <w:lang w:val="es-MX"/>
        </w:rPr>
        <w:t>•</w:t>
      </w:r>
      <w:r w:rsidRPr="009A27ED">
        <w:rPr>
          <w:rFonts w:ascii="Times New Roman" w:eastAsia="Times New Roman" w:hAnsi="Times New Roman"/>
          <w:sz w:val="24"/>
          <w:lang w:val="es-MX"/>
        </w:rPr>
        <w:tab/>
        <w:t>¿Cómo integrar el enfoque de género a las acciones de las Entidades Ejecutoras?</w:t>
      </w:r>
    </w:p>
    <w:p w14:paraId="3DDAE38A" w14:textId="77777777" w:rsidR="00D97CA5" w:rsidRPr="009A27ED" w:rsidRDefault="00D97CA5" w:rsidP="00D97CA5">
      <w:pPr>
        <w:spacing w:line="360" w:lineRule="auto"/>
        <w:rPr>
          <w:lang w:val="es-MX"/>
        </w:rPr>
      </w:pPr>
      <w:r w:rsidRPr="009A27ED">
        <w:rPr>
          <w:rFonts w:ascii="Times New Roman" w:eastAsia="Times New Roman" w:hAnsi="Times New Roman"/>
          <w:sz w:val="24"/>
          <w:lang w:val="es-MX"/>
        </w:rPr>
        <w:t>•</w:t>
      </w:r>
      <w:r w:rsidRPr="009A27ED">
        <w:rPr>
          <w:rFonts w:ascii="Times New Roman" w:eastAsia="Times New Roman" w:hAnsi="Times New Roman"/>
          <w:sz w:val="24"/>
          <w:lang w:val="es-MX"/>
        </w:rPr>
        <w:tab/>
        <w:t xml:space="preserve">¿Qué es la discriminación y desigualdad de género y cómo enfrentarla? Medidas y propuestas de soluciones a desarrollar. </w:t>
      </w:r>
    </w:p>
    <w:p w14:paraId="1158033F" w14:textId="77777777" w:rsidR="00D97CA5" w:rsidRPr="009A27ED" w:rsidRDefault="00D97CA5" w:rsidP="00D97CA5">
      <w:pPr>
        <w:spacing w:line="360" w:lineRule="auto"/>
        <w:rPr>
          <w:lang w:val="es-MX"/>
        </w:rPr>
      </w:pPr>
      <w:r w:rsidRPr="009A27ED">
        <w:rPr>
          <w:rFonts w:ascii="Times New Roman" w:eastAsia="Times New Roman" w:hAnsi="Times New Roman"/>
          <w:sz w:val="24"/>
          <w:lang w:val="es-MX"/>
        </w:rPr>
        <w:t>•</w:t>
      </w:r>
      <w:r w:rsidRPr="009A27ED">
        <w:rPr>
          <w:rFonts w:ascii="Times New Roman" w:eastAsia="Times New Roman" w:hAnsi="Times New Roman"/>
          <w:sz w:val="24"/>
          <w:lang w:val="es-MX"/>
        </w:rPr>
        <w:tab/>
        <w:t xml:space="preserve">¿Cómo lograr una mayor participación de las mujeres en las federaciones, asociaciones y organismos del Programa REDD+? Medidas y propuestas para incorporar a las mujeres en los mecanismos de toma de decisiones. </w:t>
      </w:r>
    </w:p>
    <w:p w14:paraId="788140C1" w14:textId="77777777" w:rsidR="00D97CA5" w:rsidRPr="009A27ED" w:rsidRDefault="00D97CA5" w:rsidP="00D97CA5">
      <w:pPr>
        <w:spacing w:line="360" w:lineRule="auto"/>
        <w:rPr>
          <w:lang w:val="es-MX"/>
        </w:rPr>
      </w:pPr>
      <w:r w:rsidRPr="009A27ED">
        <w:rPr>
          <w:rFonts w:ascii="Times New Roman" w:eastAsia="Times New Roman" w:hAnsi="Times New Roman"/>
          <w:sz w:val="24"/>
          <w:lang w:val="es-MX"/>
        </w:rPr>
        <w:t>•</w:t>
      </w:r>
      <w:r w:rsidRPr="009A27ED">
        <w:rPr>
          <w:rFonts w:ascii="Times New Roman" w:eastAsia="Times New Roman" w:hAnsi="Times New Roman"/>
          <w:sz w:val="24"/>
          <w:lang w:val="es-MX"/>
        </w:rPr>
        <w:tab/>
        <w:t>¿Cómo reducir la brecha de acceso a la mujer de la tenencia de tierra y beneficios del Programa REDD+?</w:t>
      </w:r>
    </w:p>
    <w:p w14:paraId="119E2726" w14:textId="77777777" w:rsidR="00D97CA5" w:rsidRPr="009A27ED" w:rsidRDefault="00D97CA5" w:rsidP="00D97CA5">
      <w:pPr>
        <w:spacing w:before="120" w:after="0" w:line="360" w:lineRule="auto"/>
        <w:ind w:left="1571"/>
        <w:rPr>
          <w:sz w:val="20"/>
          <w:lang w:val="es-DO"/>
        </w:rPr>
      </w:pPr>
    </w:p>
    <w:p w14:paraId="77AA6CC0" w14:textId="19740C8F" w:rsidR="00D97CA5" w:rsidRPr="009A27ED" w:rsidRDefault="00A304D3" w:rsidP="00E71948">
      <w:pPr>
        <w:pStyle w:val="Ttulo1"/>
        <w:numPr>
          <w:ilvl w:val="0"/>
          <w:numId w:val="0"/>
        </w:numPr>
        <w:spacing w:line="360" w:lineRule="auto"/>
        <w:ind w:left="709"/>
        <w:jc w:val="both"/>
      </w:pPr>
      <w:bookmarkStart w:id="330" w:name="_Toc111838000"/>
      <w:r w:rsidRPr="009A27ED">
        <w:rPr>
          <w:rFonts w:ascii="Times New Roman" w:eastAsia="Times New Roman" w:hAnsi="Times New Roman"/>
          <w:sz w:val="24"/>
        </w:rPr>
        <w:t xml:space="preserve">9. </w:t>
      </w:r>
      <w:r w:rsidR="00D97CA5" w:rsidRPr="009A27ED">
        <w:rPr>
          <w:rFonts w:ascii="Times New Roman" w:eastAsia="Times New Roman" w:hAnsi="Times New Roman"/>
          <w:sz w:val="24"/>
        </w:rPr>
        <w:t>R</w:t>
      </w:r>
      <w:r w:rsidR="00757CBA" w:rsidRPr="009A27ED">
        <w:rPr>
          <w:rFonts w:ascii="Times New Roman" w:eastAsia="Times New Roman" w:hAnsi="Times New Roman"/>
          <w:sz w:val="24"/>
        </w:rPr>
        <w:t>iesgos por Desplazamiento de E</w:t>
      </w:r>
      <w:r w:rsidR="00D97CA5" w:rsidRPr="009A27ED">
        <w:rPr>
          <w:rFonts w:ascii="Times New Roman" w:eastAsia="Times New Roman" w:hAnsi="Times New Roman"/>
          <w:sz w:val="24"/>
        </w:rPr>
        <w:t>misiones</w:t>
      </w:r>
      <w:bookmarkEnd w:id="330"/>
    </w:p>
    <w:p w14:paraId="5228CA3F" w14:textId="77777777" w:rsidR="00D97CA5" w:rsidRPr="009A27ED" w:rsidRDefault="00D97CA5" w:rsidP="00D97CA5">
      <w:pPr>
        <w:spacing w:line="360" w:lineRule="auto"/>
        <w:rPr>
          <w:szCs w:val="22"/>
        </w:rPr>
      </w:pPr>
      <w:r w:rsidRPr="009A27ED">
        <w:rPr>
          <w:rFonts w:ascii="Times New Roman" w:eastAsia="Times New Roman" w:hAnsi="Times New Roman"/>
          <w:sz w:val="24"/>
          <w:szCs w:val="22"/>
        </w:rPr>
        <w:t xml:space="preserve">El Programa REDD++ no vislumbra riesgo de desplazamiento de emisiones por deforestación y degradación de los bosques hacia Haití, pues el lado haitiano de la frontera carece de cobertura boscosa y se caracteriza por un uso de la tierra basado en agricultura de subsistencia en suelos degradados. </w:t>
      </w:r>
    </w:p>
    <w:p w14:paraId="01E3C1DC" w14:textId="0BE4C599" w:rsidR="00D97CA5" w:rsidRPr="009A27ED" w:rsidRDefault="00D97CA5" w:rsidP="00D97CA5">
      <w:pPr>
        <w:spacing w:line="360" w:lineRule="auto"/>
        <w:rPr>
          <w:szCs w:val="22"/>
        </w:rPr>
      </w:pPr>
      <w:r w:rsidRPr="009A27ED">
        <w:rPr>
          <w:rFonts w:ascii="Times New Roman" w:eastAsia="Times New Roman" w:hAnsi="Times New Roman"/>
          <w:sz w:val="24"/>
          <w:szCs w:val="22"/>
        </w:rPr>
        <w:lastRenderedPageBreak/>
        <w:t xml:space="preserve">Asimismo, la contabilidad de emisiones es a nivel nacional y el riesgo de desplazamiento de emisiones hacia otras regiones del país también se considera bajo y poco probable. Por ejemplo, La Estrategia </w:t>
      </w:r>
      <w:r w:rsidR="00757CBA" w:rsidRPr="009A27ED">
        <w:rPr>
          <w:rFonts w:ascii="Times New Roman" w:eastAsia="Times New Roman" w:hAnsi="Times New Roman"/>
          <w:sz w:val="24"/>
          <w:szCs w:val="22"/>
        </w:rPr>
        <w:t>Nacional REDD</w:t>
      </w:r>
      <w:r w:rsidRPr="009A27ED">
        <w:rPr>
          <w:rFonts w:ascii="Times New Roman" w:eastAsia="Times New Roman" w:hAnsi="Times New Roman"/>
          <w:sz w:val="24"/>
          <w:szCs w:val="22"/>
        </w:rPr>
        <w:t>+ contempla el establecimiento, fortalecimiento y aplicación de políticas públicas para limitar y/o contener la expansión de la frontera agrícola y ganadera a zonas boscosas, lo cual tendrá incidencia a nivel nacional.  De igual manera, se promoverán modelos para la gestión de los recursos naturales que contribuyan a la conservación y el uso sostenible de los bosques y al aumento de la cobertura forestal. En tal sentido, se espera que, con la aplicación de la gestión sostenible de los recursos naturales, se siga satisfaciendo la demanda interna y externa de carbón vegetal. Las acciones encaminadas a fortalecer la gestión de Incendios forestales deberán reducir la incidencia de incendios en todo el territorio nacional. El fomento de los sistemas agroforestales y silvopastoriles contribuirán a mejorar los medios de vida de las comunidades locales, lo que incidirá en la permanencia de los productores en el campo.</w:t>
      </w:r>
    </w:p>
    <w:p w14:paraId="1990C8C6" w14:textId="77777777" w:rsidR="00D97CA5" w:rsidRPr="009A27ED" w:rsidRDefault="00D97CA5" w:rsidP="00D97CA5">
      <w:pPr>
        <w:spacing w:line="360" w:lineRule="auto"/>
      </w:pPr>
      <w:r w:rsidRPr="009A27ED">
        <w:rPr>
          <w:rFonts w:ascii="Times New Roman" w:eastAsia="Times New Roman" w:hAnsi="Times New Roman"/>
          <w:sz w:val="24"/>
          <w:szCs w:val="22"/>
        </w:rPr>
        <w:t>Aunque el riesgo de desplazamiento de emisiones a nivel nacional es considerado como significativamente bajo, el sistema MRV contemplará la medición de posibles cambios al respecto. En el primer momento de medición, reporte y verificación se determinarán estos posibles cambios, a fin de definir medidas de mitigación.</w:t>
      </w:r>
      <w:r w:rsidRPr="009A27ED">
        <w:rPr>
          <w:rFonts w:ascii="Times New Roman" w:eastAsia="Times New Roman" w:hAnsi="Times New Roman"/>
          <w:sz w:val="24"/>
        </w:rPr>
        <w:t xml:space="preserve"> </w:t>
      </w:r>
    </w:p>
    <w:p w14:paraId="47C18A37" w14:textId="61915628" w:rsidR="00D97CA5" w:rsidRPr="009A27ED" w:rsidRDefault="00D97CA5" w:rsidP="00B91F66">
      <w:pPr>
        <w:spacing w:before="120" w:after="0" w:line="360" w:lineRule="auto"/>
        <w:rPr>
          <w:rFonts w:asciiTheme="majorHAnsi" w:eastAsiaTheme="majorEastAsia" w:hAnsiTheme="majorHAnsi" w:cstheme="majorBidi"/>
          <w:b/>
          <w:bCs/>
          <w:lang w:val="es-DO"/>
        </w:rPr>
      </w:pPr>
    </w:p>
    <w:p w14:paraId="03088ECB" w14:textId="77777777" w:rsidR="00F512DB" w:rsidRPr="009A27ED" w:rsidRDefault="00F512DB" w:rsidP="00F512DB">
      <w:pPr>
        <w:spacing w:before="120" w:after="0" w:line="360" w:lineRule="auto"/>
        <w:ind w:left="1571"/>
        <w:rPr>
          <w:sz w:val="20"/>
        </w:rPr>
      </w:pPr>
    </w:p>
    <w:p w14:paraId="7A5AC3E8" w14:textId="20530CD3" w:rsidR="00F512DB" w:rsidRPr="009A27ED" w:rsidRDefault="00F512DB" w:rsidP="00F512DB">
      <w:pPr>
        <w:pStyle w:val="Ttulo1"/>
        <w:numPr>
          <w:ilvl w:val="4"/>
          <w:numId w:val="101"/>
        </w:numPr>
        <w:tabs>
          <w:tab w:val="clear" w:pos="3600"/>
        </w:tabs>
        <w:spacing w:line="360" w:lineRule="auto"/>
        <w:ind w:left="567"/>
        <w:jc w:val="both"/>
      </w:pPr>
      <w:bookmarkStart w:id="331" w:name="_Toc111838001"/>
      <w:r w:rsidRPr="009A27ED">
        <w:rPr>
          <w:rFonts w:ascii="Times New Roman" w:eastAsia="Times New Roman" w:hAnsi="Times New Roman"/>
          <w:sz w:val="24"/>
        </w:rPr>
        <w:t>10. Mecanismo de Quejas, Reclamos y Manejo de Conflictos para REDD+</w:t>
      </w:r>
      <w:bookmarkEnd w:id="331"/>
      <w:r w:rsidRPr="009A27ED">
        <w:rPr>
          <w:rFonts w:ascii="Times New Roman" w:eastAsia="Times New Roman" w:hAnsi="Times New Roman"/>
          <w:sz w:val="24"/>
        </w:rPr>
        <w:t xml:space="preserve"> </w:t>
      </w:r>
    </w:p>
    <w:p w14:paraId="071A840A" w14:textId="77777777" w:rsidR="00F512DB" w:rsidRPr="009A27ED" w:rsidRDefault="00F512DB" w:rsidP="00F512DB">
      <w:pPr>
        <w:spacing w:before="120" w:after="0" w:line="360" w:lineRule="auto"/>
        <w:rPr>
          <w:color w:val="212121"/>
          <w:szCs w:val="22"/>
        </w:rPr>
      </w:pPr>
      <w:r w:rsidRPr="009A27ED">
        <w:rPr>
          <w:rFonts w:ascii="Times New Roman" w:eastAsia="Times New Roman" w:hAnsi="Times New Roman"/>
          <w:sz w:val="24"/>
          <w:szCs w:val="22"/>
        </w:rPr>
        <w:t>Tal como lo requiere el FCPF, República Dominicana ha diseñado un ‘</w:t>
      </w:r>
      <w:r w:rsidRPr="009A27ED">
        <w:rPr>
          <w:rFonts w:ascii="Times New Roman" w:eastAsia="Times New Roman" w:hAnsi="Times New Roman"/>
          <w:b/>
          <w:sz w:val="24"/>
          <w:szCs w:val="22"/>
        </w:rPr>
        <w:t>Mecanismo de Quejas, Reclamos y Manejo de Conflictos</w:t>
      </w:r>
      <w:r w:rsidRPr="009A27ED">
        <w:rPr>
          <w:rFonts w:ascii="Times New Roman" w:eastAsia="Times New Roman" w:hAnsi="Times New Roman"/>
          <w:sz w:val="24"/>
          <w:szCs w:val="22"/>
        </w:rPr>
        <w:t xml:space="preserve">’ (MQRC) que permite manejar de forma clara y efectiva quejas o conflictos derivados de la implementación de las actividades REDD+, </w:t>
      </w:r>
      <w:r w:rsidRPr="009A27ED">
        <w:rPr>
          <w:rFonts w:ascii="Times New Roman" w:eastAsia="Times New Roman" w:hAnsi="Times New Roman"/>
          <w:color w:val="212121"/>
          <w:sz w:val="24"/>
          <w:szCs w:val="22"/>
        </w:rPr>
        <w:t xml:space="preserve">para darles respuestas adecuadas, procurando soluciones satisfactorias y, en caso de ser necesario, redirigir esos conflictos a las otras instituciones que los puedan dirimir y resolver conforme a su competencia. Este mecanismo tiene un carácter preventivo, buscando resolver y dar soluciones prácticas y evitando que los procesos lleguen a tener consecuencias complejas para los actores involucrados. </w:t>
      </w:r>
    </w:p>
    <w:p w14:paraId="1F481547" w14:textId="77777777" w:rsidR="00F512DB" w:rsidRPr="009A27ED" w:rsidRDefault="00F512DB" w:rsidP="00F512DB">
      <w:pPr>
        <w:spacing w:before="120" w:after="0" w:line="360" w:lineRule="auto"/>
        <w:rPr>
          <w:szCs w:val="22"/>
        </w:rPr>
      </w:pPr>
      <w:r w:rsidRPr="009A27ED">
        <w:rPr>
          <w:rFonts w:ascii="Times New Roman" w:eastAsia="Times New Roman" w:hAnsi="Times New Roman"/>
          <w:sz w:val="24"/>
          <w:szCs w:val="22"/>
        </w:rPr>
        <w:lastRenderedPageBreak/>
        <w:t>De acuerdo con las directrices/orientaciones proporcionadas por el FCPF, el MQRC está basado en una articulación entre las instituciones, marcos regulatorios, mecanismos y capacidades existentes.</w:t>
      </w:r>
      <w:r w:rsidRPr="009A27ED">
        <w:rPr>
          <w:rStyle w:val="Refdenotaalpie"/>
          <w:rFonts w:asciiTheme="minorHAnsi" w:eastAsia="Times New Roman" w:hAnsiTheme="minorHAnsi"/>
          <w:sz w:val="24"/>
          <w:szCs w:val="22"/>
        </w:rPr>
        <w:footnoteReference w:id="74"/>
      </w:r>
      <w:r w:rsidRPr="009A27ED">
        <w:rPr>
          <w:rFonts w:ascii="Times New Roman" w:eastAsia="Times New Roman" w:hAnsi="Times New Roman"/>
          <w:sz w:val="24"/>
          <w:szCs w:val="22"/>
        </w:rPr>
        <w:t xml:space="preserve"> En República Dominicana, a través de un trabajo de identificación y análisis de mecanismos existentes</w:t>
      </w:r>
      <w:r w:rsidRPr="009A27ED">
        <w:rPr>
          <w:rStyle w:val="Refdenotaalpie"/>
          <w:rFonts w:asciiTheme="minorHAnsi" w:eastAsia="Times New Roman" w:hAnsiTheme="minorHAnsi"/>
          <w:sz w:val="24"/>
          <w:szCs w:val="22"/>
        </w:rPr>
        <w:footnoteReference w:id="75"/>
      </w:r>
      <w:r w:rsidRPr="009A27ED">
        <w:rPr>
          <w:rFonts w:ascii="Times New Roman" w:eastAsia="Times New Roman" w:hAnsi="Times New Roman"/>
          <w:sz w:val="24"/>
          <w:szCs w:val="22"/>
        </w:rPr>
        <w:t xml:space="preserve">, se identificó que: </w:t>
      </w:r>
    </w:p>
    <w:p w14:paraId="2B650DA0" w14:textId="77777777" w:rsidR="00F512DB" w:rsidRPr="009A27ED" w:rsidRDefault="00F512DB" w:rsidP="00F512DB">
      <w:pPr>
        <w:pStyle w:val="Apunteoticket"/>
        <w:numPr>
          <w:ilvl w:val="0"/>
          <w:numId w:val="69"/>
        </w:numPr>
        <w:spacing w:before="120" w:line="360" w:lineRule="auto"/>
        <w:rPr>
          <w:szCs w:val="22"/>
        </w:rPr>
      </w:pPr>
      <w:r w:rsidRPr="009A27ED">
        <w:rPr>
          <w:rFonts w:ascii="Times New Roman" w:eastAsia="Times New Roman" w:hAnsi="Times New Roman"/>
          <w:sz w:val="24"/>
          <w:szCs w:val="22"/>
        </w:rPr>
        <w:t xml:space="preserve">El eje central de la implementación de este MQRC es la Dirección de Participación Social del Ministerio de Medio Ambiente y Recursos Naturales, dirección que tiene bajo su jurisdicción el manejo actualmente de </w:t>
      </w:r>
      <w:r w:rsidRPr="009A27ED">
        <w:rPr>
          <w:rFonts w:ascii="Times New Roman" w:eastAsia="Times New Roman" w:hAnsi="Times New Roman"/>
          <w:b/>
          <w:sz w:val="24"/>
          <w:szCs w:val="22"/>
        </w:rPr>
        <w:t>la Línea Verde</w:t>
      </w:r>
      <w:r w:rsidRPr="009A27ED">
        <w:rPr>
          <w:rFonts w:ascii="Times New Roman" w:eastAsia="Times New Roman" w:hAnsi="Times New Roman"/>
          <w:sz w:val="24"/>
          <w:szCs w:val="22"/>
        </w:rPr>
        <w:t xml:space="preserve"> y que recibe las quejas que son remitidas a la institución en la actualidad.</w:t>
      </w:r>
    </w:p>
    <w:p w14:paraId="5EC87BE1" w14:textId="77777777" w:rsidR="00F512DB" w:rsidRPr="009A27ED" w:rsidRDefault="00F512DB" w:rsidP="00F512DB">
      <w:pPr>
        <w:pStyle w:val="Apunteoticket"/>
        <w:numPr>
          <w:ilvl w:val="0"/>
          <w:numId w:val="69"/>
        </w:numPr>
        <w:spacing w:before="120" w:line="360" w:lineRule="auto"/>
        <w:rPr>
          <w:szCs w:val="22"/>
        </w:rPr>
      </w:pPr>
      <w:r w:rsidRPr="009A27ED">
        <w:rPr>
          <w:rFonts w:ascii="Times New Roman" w:eastAsia="Times New Roman" w:hAnsi="Times New Roman"/>
          <w:sz w:val="24"/>
          <w:szCs w:val="22"/>
        </w:rPr>
        <w:t>En el segundo plano de la estructura están los viceministerios temáticos del Ministerio de Medio Ambiente y Recursos Naturales, quienes tienen la responsabilidad de generar el seguimiento, evaluación y control de las quejas y conflictos generados.</w:t>
      </w:r>
    </w:p>
    <w:p w14:paraId="4C454EE3" w14:textId="77777777" w:rsidR="00F512DB" w:rsidRPr="009A27ED" w:rsidRDefault="00F512DB" w:rsidP="00F512DB">
      <w:pPr>
        <w:pStyle w:val="Apunteoticket"/>
        <w:numPr>
          <w:ilvl w:val="0"/>
          <w:numId w:val="69"/>
        </w:numPr>
        <w:spacing w:before="120" w:line="360" w:lineRule="auto"/>
        <w:rPr>
          <w:szCs w:val="22"/>
        </w:rPr>
      </w:pPr>
      <w:r w:rsidRPr="009A27ED">
        <w:rPr>
          <w:rFonts w:ascii="Times New Roman" w:eastAsia="Times New Roman" w:hAnsi="Times New Roman"/>
          <w:sz w:val="24"/>
          <w:szCs w:val="22"/>
        </w:rPr>
        <w:t xml:space="preserve">Las informaciones y productos generados por las interacciones de esta estructura del Ministerio de Medio Ambiente y Recursos Naturales, ha sido suministrada como insumo para mejorar la implementación de REDD+, a OCR. </w:t>
      </w:r>
    </w:p>
    <w:p w14:paraId="19F046BD" w14:textId="77777777" w:rsidR="00F512DB" w:rsidRPr="009A27ED" w:rsidRDefault="00F512DB" w:rsidP="00F512DB">
      <w:pPr>
        <w:spacing w:before="120" w:after="0" w:line="360" w:lineRule="auto"/>
        <w:rPr>
          <w:szCs w:val="22"/>
          <w:lang w:val="es-ES_tradnl"/>
        </w:rPr>
      </w:pPr>
      <w:r w:rsidRPr="009A27ED">
        <w:rPr>
          <w:rFonts w:ascii="Times New Roman" w:eastAsia="Times New Roman" w:hAnsi="Times New Roman"/>
          <w:sz w:val="24"/>
          <w:szCs w:val="22"/>
          <w:lang w:val="es-ES_tradnl"/>
        </w:rPr>
        <w:t>El MQRC se aplicará para todo el territorio nacional y a todas las acciones o actividades que serán desarrolladas con la implementación de REDD+ en la República Dominicana, con el fin de lograr un manejo adecuado de las quejas, reclamos y conflictos que se generen de ese proceso. El detalle de información sobre la implementación del MQRC, está especificado en el documento sobre este mecanismo en particular. El procedimiento de operación del MQRC considera los siguientes pasos en concordancia con las directrices y principios del FCPF y las mejores prácticas internacionales.</w:t>
      </w:r>
    </w:p>
    <w:p w14:paraId="607A6F6F" w14:textId="77777777" w:rsidR="001768FA" w:rsidRPr="009A27ED" w:rsidRDefault="00F512DB" w:rsidP="001768FA">
      <w:pPr>
        <w:keepNext/>
        <w:spacing w:line="360" w:lineRule="auto"/>
      </w:pPr>
      <w:r w:rsidRPr="009A27ED">
        <w:rPr>
          <w:rFonts w:ascii="Times New Roman" w:eastAsia="Times New Roman" w:hAnsi="Times New Roman"/>
          <w:noProof/>
          <w:sz w:val="24"/>
          <w:szCs w:val="22"/>
          <w:lang w:val="en-US"/>
        </w:rPr>
        <w:lastRenderedPageBreak/>
        <w:drawing>
          <wp:inline distT="0" distB="0" distL="0" distR="0" wp14:anchorId="5A73F748" wp14:editId="2DE26810">
            <wp:extent cx="4867275" cy="2743200"/>
            <wp:effectExtent l="0" t="0" r="0" b="0"/>
            <wp:docPr id="33" name="Diagrama 3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1" r:lo="rId62" r:qs="rId63" r:cs="rId64"/>
              </a:graphicData>
            </a:graphic>
          </wp:inline>
        </w:drawing>
      </w:r>
    </w:p>
    <w:p w14:paraId="0DE6F539" w14:textId="6A3B0A40" w:rsidR="00F512DB" w:rsidRPr="009A27ED" w:rsidRDefault="001768FA" w:rsidP="00F512DB">
      <w:pPr>
        <w:pStyle w:val="Descripcin"/>
        <w:spacing w:line="360" w:lineRule="auto"/>
        <w:rPr>
          <w:szCs w:val="22"/>
        </w:rPr>
      </w:pPr>
      <w:bookmarkStart w:id="332" w:name="_Toc111889896"/>
      <w:r w:rsidRPr="009A27ED">
        <w:rPr>
          <w:rFonts w:ascii="Times New Roman" w:eastAsia="Times New Roman" w:hAnsi="Times New Roman"/>
          <w:sz w:val="24"/>
        </w:rPr>
        <w:t xml:space="preserve">Esquema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Esquema_ \* ARABIC </w:instrText>
      </w:r>
      <w:r w:rsidRPr="009A27ED">
        <w:rPr>
          <w:rFonts w:ascii="Times New Roman" w:eastAsia="Times New Roman" w:hAnsi="Times New Roman"/>
          <w:sz w:val="24"/>
        </w:rPr>
        <w:fldChar w:fldCharType="separate"/>
      </w:r>
      <w:r w:rsidR="00703EB9" w:rsidRPr="009A27ED">
        <w:rPr>
          <w:rFonts w:ascii="Times New Roman" w:eastAsia="Times New Roman" w:hAnsi="Times New Roman"/>
          <w:noProof/>
          <w:sz w:val="24"/>
        </w:rPr>
        <w:t>8</w:t>
      </w:r>
      <w:r w:rsidRPr="009A27ED">
        <w:rPr>
          <w:rFonts w:ascii="Times New Roman" w:eastAsia="Times New Roman" w:hAnsi="Times New Roman"/>
          <w:sz w:val="24"/>
        </w:rPr>
        <w:fldChar w:fldCharType="end"/>
      </w:r>
      <w:r w:rsidRPr="009A27ED">
        <w:rPr>
          <w:rFonts w:ascii="Times New Roman" w:eastAsia="Times New Roman" w:hAnsi="Times New Roman"/>
          <w:sz w:val="24"/>
        </w:rPr>
        <w:t>. Procedimiento para el MQRC en República Dominicana</w:t>
      </w:r>
      <w:bookmarkEnd w:id="332"/>
    </w:p>
    <w:p w14:paraId="705A4300" w14:textId="77777777" w:rsidR="00F512DB" w:rsidRPr="009A27ED" w:rsidRDefault="00F512DB" w:rsidP="00F512DB">
      <w:pPr>
        <w:spacing w:line="360" w:lineRule="auto"/>
        <w:rPr>
          <w:szCs w:val="22"/>
        </w:rPr>
      </w:pPr>
      <w:r w:rsidRPr="009A27ED">
        <w:rPr>
          <w:rFonts w:ascii="Times New Roman" w:eastAsia="Times New Roman" w:hAnsi="Times New Roman"/>
          <w:sz w:val="24"/>
          <w:szCs w:val="22"/>
        </w:rPr>
        <w:t xml:space="preserve">Una parte importante que tanto la OCR como las EE tendrán que tomar en cuenta, es lo relacionado con la capacitación al interno de estas dos entidades, como de manera externa con los socios REDD+ en las áreas priorizadas, asociado a la vinculación que existe entre las salvaguardas REDD+ y las Políticas Operativas del Banco Mundial, su respeto y abordaje, así como la función de reporte que deberá ser ejercida por la OCR y las EE, como parte del seguimiento y monitoreo y su vinculación al Sistema de Información de Salvaguardas. </w:t>
      </w:r>
    </w:p>
    <w:p w14:paraId="51C95926" w14:textId="77777777" w:rsidR="00F512DB" w:rsidRPr="009A27ED" w:rsidRDefault="00F512DB" w:rsidP="00F512DB">
      <w:pPr>
        <w:pStyle w:val="HTMLconformatoprevio"/>
        <w:spacing w:after="120" w:line="360" w:lineRule="auto"/>
        <w:jc w:val="both"/>
        <w:rPr>
          <w:rFonts w:asciiTheme="minorHAnsi" w:hAnsiTheme="minorHAnsi" w:cstheme="minorHAnsi"/>
          <w:color w:val="212121"/>
          <w:sz w:val="22"/>
          <w:szCs w:val="22"/>
          <w:lang w:val="es-ES"/>
        </w:rPr>
      </w:pPr>
      <w:r w:rsidRPr="009A27ED">
        <w:rPr>
          <w:rFonts w:asciiTheme="minorHAnsi" w:hAnsiTheme="minorHAnsi" w:cstheme="minorHAnsi"/>
          <w:sz w:val="24"/>
          <w:szCs w:val="22"/>
        </w:rPr>
        <w:t>Con base a lo mencionado durante el proceso SESA, l</w:t>
      </w:r>
      <w:proofErr w:type="spellStart"/>
      <w:r w:rsidRPr="009A27ED">
        <w:rPr>
          <w:rFonts w:asciiTheme="minorHAnsi" w:hAnsiTheme="minorHAnsi" w:cstheme="minorHAnsi"/>
          <w:color w:val="212121"/>
          <w:sz w:val="24"/>
          <w:szCs w:val="22"/>
          <w:lang w:val="es-ES"/>
        </w:rPr>
        <w:t>as</w:t>
      </w:r>
      <w:proofErr w:type="spellEnd"/>
      <w:r w:rsidRPr="009A27ED">
        <w:rPr>
          <w:rFonts w:asciiTheme="minorHAnsi" w:hAnsiTheme="minorHAnsi" w:cstheme="minorHAnsi"/>
          <w:color w:val="212121"/>
          <w:sz w:val="24"/>
          <w:szCs w:val="22"/>
          <w:lang w:val="es-ES"/>
        </w:rPr>
        <w:t xml:space="preserve"> quejas y reclamos se pueden recibir a través de las oficinas locales, regionales o centrales de cada Entidad Ejecutora (digitalmente, por teléfono y en persona).</w:t>
      </w:r>
    </w:p>
    <w:p w14:paraId="346DF447" w14:textId="77777777" w:rsidR="00F512DB" w:rsidRPr="009A27ED" w:rsidRDefault="00F512DB" w:rsidP="00F512DB">
      <w:pPr>
        <w:pStyle w:val="HTMLconformatoprevio"/>
        <w:spacing w:after="120" w:line="360" w:lineRule="auto"/>
        <w:jc w:val="both"/>
        <w:rPr>
          <w:rFonts w:asciiTheme="minorHAnsi" w:hAnsiTheme="minorHAnsi" w:cstheme="minorHAnsi"/>
          <w:color w:val="212121"/>
          <w:sz w:val="22"/>
          <w:szCs w:val="22"/>
          <w:lang w:val="es-ES"/>
        </w:rPr>
      </w:pPr>
      <w:r w:rsidRPr="009A27ED">
        <w:rPr>
          <w:rFonts w:asciiTheme="minorHAnsi" w:hAnsiTheme="minorHAnsi" w:cstheme="minorHAnsi"/>
          <w:color w:val="212121"/>
          <w:sz w:val="24"/>
          <w:szCs w:val="22"/>
          <w:lang w:val="es-ES"/>
        </w:rPr>
        <w:t xml:space="preserve">Las denuncias pueden presentarse </w:t>
      </w:r>
      <w:r w:rsidRPr="009A27ED">
        <w:rPr>
          <w:rFonts w:asciiTheme="minorHAnsi" w:hAnsiTheme="minorHAnsi" w:cstheme="minorHAnsi"/>
          <w:color w:val="212121"/>
          <w:sz w:val="24"/>
          <w:szCs w:val="22"/>
        </w:rPr>
        <w:t>anónima o nominalmente. En los casos de quejas y reclamación de conflictos dado que se dará seguimiento y respuesta personalizada deberán ser nominativas.</w:t>
      </w:r>
    </w:p>
    <w:p w14:paraId="794109BA" w14:textId="77777777" w:rsidR="00F512DB" w:rsidRPr="009A27ED" w:rsidRDefault="00F512DB" w:rsidP="00F512DB">
      <w:pPr>
        <w:pStyle w:val="HTMLconformatoprevio"/>
        <w:spacing w:after="120" w:line="360" w:lineRule="auto"/>
        <w:jc w:val="both"/>
        <w:rPr>
          <w:rFonts w:asciiTheme="minorHAnsi" w:hAnsiTheme="minorHAnsi" w:cstheme="minorHAnsi"/>
          <w:color w:val="212121"/>
          <w:sz w:val="22"/>
          <w:szCs w:val="22"/>
          <w:lang w:val="es-ES"/>
        </w:rPr>
      </w:pPr>
      <w:r w:rsidRPr="009A27ED">
        <w:rPr>
          <w:rFonts w:asciiTheme="minorHAnsi" w:hAnsiTheme="minorHAnsi" w:cstheme="minorHAnsi"/>
          <w:color w:val="212121"/>
          <w:sz w:val="24"/>
          <w:szCs w:val="22"/>
          <w:lang w:val="es-ES"/>
        </w:rPr>
        <w:t>Para proporcionar credibilidad y participación de los actores involucrados, dos representantes de organizaciones comunitarias, ONG, academia u otros, se incluirán en el paso correspondiente del análisis del sitio. De manera regular, la OCR debe presentar los informes al CTA con respecto a la cantidad y el tipo de quejas y reclamos recibidos y las respuestas. El SIS también registra esta información.</w:t>
      </w:r>
    </w:p>
    <w:p w14:paraId="4F1F1EC7" w14:textId="77777777" w:rsidR="00F512DB" w:rsidRPr="009A27ED" w:rsidRDefault="00F512DB" w:rsidP="00F512DB">
      <w:pPr>
        <w:pStyle w:val="HTMLconformatoprevio"/>
        <w:spacing w:after="120" w:line="360" w:lineRule="auto"/>
        <w:jc w:val="both"/>
        <w:rPr>
          <w:rFonts w:asciiTheme="minorHAnsi" w:hAnsiTheme="minorHAnsi" w:cstheme="minorHAnsi"/>
          <w:color w:val="212121"/>
          <w:sz w:val="22"/>
          <w:szCs w:val="22"/>
          <w:lang w:val="es-ES"/>
        </w:rPr>
      </w:pPr>
      <w:r w:rsidRPr="009A27ED">
        <w:rPr>
          <w:rFonts w:asciiTheme="minorHAnsi" w:hAnsiTheme="minorHAnsi" w:cstheme="minorHAnsi"/>
          <w:color w:val="212121"/>
          <w:sz w:val="24"/>
          <w:szCs w:val="22"/>
          <w:lang w:val="es-ES"/>
        </w:rPr>
        <w:lastRenderedPageBreak/>
        <w:t>Finalmente, cuando hay una respuesta insatisfactoria, la persona o el grupo pueden solicitar al CTA su intervención como un canal para evaluar y hacer recomendaciones sobre el caso en particular.</w:t>
      </w:r>
    </w:p>
    <w:p w14:paraId="77EC9C05" w14:textId="77777777" w:rsidR="00F512DB" w:rsidRPr="009A27ED" w:rsidRDefault="00F512DB" w:rsidP="00F512DB">
      <w:pPr>
        <w:pStyle w:val="Bodytext20"/>
        <w:shd w:val="clear" w:color="auto" w:fill="auto"/>
        <w:spacing w:after="120" w:line="360" w:lineRule="auto"/>
        <w:rPr>
          <w:rFonts w:cstheme="minorHAnsi"/>
          <w:lang w:val="es-MX"/>
        </w:rPr>
      </w:pPr>
      <w:r w:rsidRPr="009A27ED">
        <w:rPr>
          <w:rFonts w:ascii="Times New Roman" w:eastAsia="Times New Roman" w:hAnsi="Times New Roman" w:cstheme="minorHAnsi"/>
          <w:sz w:val="24"/>
          <w:lang w:val="es-MX"/>
        </w:rPr>
        <w:t>8.1. Mecanismos en relación con la tenencia de la tierra</w:t>
      </w:r>
    </w:p>
    <w:p w14:paraId="4B2A62F4" w14:textId="77777777" w:rsidR="00F512DB" w:rsidRPr="009A27ED" w:rsidRDefault="00F512DB" w:rsidP="00F512DB">
      <w:pPr>
        <w:pStyle w:val="Bodytext20"/>
        <w:shd w:val="clear" w:color="auto" w:fill="auto"/>
        <w:spacing w:after="120" w:line="360" w:lineRule="auto"/>
        <w:rPr>
          <w:rFonts w:cstheme="minorHAnsi"/>
          <w:lang w:val="es-MX"/>
        </w:rPr>
      </w:pPr>
      <w:r w:rsidRPr="009A27ED">
        <w:rPr>
          <w:rFonts w:ascii="Times New Roman" w:eastAsia="Times New Roman" w:hAnsi="Times New Roman" w:cstheme="minorHAnsi"/>
          <w:sz w:val="24"/>
          <w:lang w:val="es-MX"/>
        </w:rPr>
        <w:t xml:space="preserve">En particular, respecto de los eventuales conflictos vinculados a la informalidad en la tenencia de la tierra y las acciones estratégicas propuestas, el MQRC abordará la gestión de estas controversias a través de la verificación de los requisitos documentales que avalan la posesión de hecho. Los requisitos para determinar la legitimidad de la tenencia informal, bajo el esquema de la prescripción adquisitiva, permitirá una reducción de riesgos relacionados con posibles conflictos. En caso de ser necesario, se canalizará la resolución de estos casos a las entidades correspondientes. Para el caso de los conflictos relacionados con derechos de propiedad registrados deberán ser atendidos en las instancias judiciales inmobiliarias, cumpliendo el procedimiento establecido por la Ley No.108-05 de Registro Inmobiliario. </w:t>
      </w:r>
    </w:p>
    <w:p w14:paraId="3422FD4A" w14:textId="77777777" w:rsidR="00F512DB" w:rsidRPr="009A27ED" w:rsidRDefault="00F512DB" w:rsidP="00F512DB">
      <w:pPr>
        <w:autoSpaceDE w:val="0"/>
        <w:autoSpaceDN w:val="0"/>
        <w:adjustRightInd w:val="0"/>
        <w:spacing w:line="360" w:lineRule="auto"/>
        <w:rPr>
          <w:color w:val="000000"/>
          <w:szCs w:val="22"/>
        </w:rPr>
      </w:pPr>
      <w:r w:rsidRPr="009A27ED">
        <w:rPr>
          <w:rFonts w:ascii="Times New Roman" w:eastAsia="Times New Roman" w:hAnsi="Times New Roman"/>
          <w:color w:val="000000"/>
          <w:sz w:val="24"/>
          <w:szCs w:val="22"/>
        </w:rPr>
        <w:t xml:space="preserve">En lo que respecta al reconocimiento de las posesiones de hecho, existen en la actualidad mecanismos consuetudinarios reconocidos legalmente, que permiten avalar las intervenciones pacíficas bajo el esquema de la prescripción adquisitiva o presunción de legalidad de la tenencia informal. </w:t>
      </w:r>
      <w:r w:rsidRPr="009A27ED">
        <w:rPr>
          <w:rFonts w:ascii="Times New Roman" w:eastAsia="Times New Roman" w:hAnsi="Times New Roman"/>
          <w:iCs/>
          <w:sz w:val="24"/>
          <w:szCs w:val="22"/>
        </w:rPr>
        <w:t>Para el reconocimiento de esta presunción de legalidad de la tenencia de la tierra informal en</w:t>
      </w:r>
      <w:r w:rsidRPr="009A27ED">
        <w:rPr>
          <w:rFonts w:ascii="Times New Roman" w:eastAsia="Times New Roman" w:hAnsi="Times New Roman"/>
          <w:color w:val="000000"/>
          <w:sz w:val="24"/>
          <w:szCs w:val="22"/>
        </w:rPr>
        <w:t xml:space="preserve"> la implementación del PREDD, se pueden considerar válidos los siguientes documentos o actos, a saber:</w:t>
      </w:r>
    </w:p>
    <w:p w14:paraId="3D5BC0C5" w14:textId="77777777" w:rsidR="00F512DB" w:rsidRPr="009A27ED" w:rsidRDefault="00F512DB" w:rsidP="00F512DB">
      <w:pPr>
        <w:pStyle w:val="Prrafodelista"/>
        <w:numPr>
          <w:ilvl w:val="0"/>
          <w:numId w:val="149"/>
        </w:numPr>
        <w:autoSpaceDE w:val="0"/>
        <w:autoSpaceDN w:val="0"/>
        <w:adjustRightInd w:val="0"/>
        <w:spacing w:after="120" w:line="360" w:lineRule="auto"/>
        <w:ind w:left="900" w:hanging="357"/>
        <w:rPr>
          <w:color w:val="000000"/>
          <w:szCs w:val="22"/>
        </w:rPr>
      </w:pPr>
      <w:r w:rsidRPr="009A27ED">
        <w:rPr>
          <w:rFonts w:ascii="Times New Roman" w:eastAsia="Times New Roman" w:hAnsi="Times New Roman"/>
          <w:color w:val="000000"/>
          <w:sz w:val="24"/>
          <w:szCs w:val="22"/>
        </w:rPr>
        <w:t xml:space="preserve">Acto de compra notarizado inscrito y transcrito de terrenos comuneros sin mensurar a ocupante. </w:t>
      </w:r>
    </w:p>
    <w:p w14:paraId="03FF2AF3" w14:textId="77777777" w:rsidR="00F512DB" w:rsidRPr="009A27ED" w:rsidRDefault="00F512DB" w:rsidP="00F512DB">
      <w:pPr>
        <w:pStyle w:val="Prrafodelista"/>
        <w:numPr>
          <w:ilvl w:val="0"/>
          <w:numId w:val="149"/>
        </w:numPr>
        <w:autoSpaceDE w:val="0"/>
        <w:autoSpaceDN w:val="0"/>
        <w:adjustRightInd w:val="0"/>
        <w:spacing w:after="120" w:line="360" w:lineRule="auto"/>
        <w:ind w:left="900" w:hanging="357"/>
        <w:rPr>
          <w:color w:val="000000"/>
          <w:szCs w:val="22"/>
        </w:rPr>
      </w:pPr>
      <w:r w:rsidRPr="009A27ED">
        <w:rPr>
          <w:rFonts w:ascii="Times New Roman" w:eastAsia="Times New Roman" w:hAnsi="Times New Roman"/>
          <w:color w:val="000000"/>
          <w:sz w:val="24"/>
          <w:szCs w:val="22"/>
        </w:rPr>
        <w:t xml:space="preserve">Acto de compra notarizado inscrito y transcrito de terrenos comuneros sin mensurar a ocupante. </w:t>
      </w:r>
    </w:p>
    <w:p w14:paraId="6F1F5689" w14:textId="77777777" w:rsidR="00F512DB" w:rsidRPr="009A27ED" w:rsidRDefault="00F512DB" w:rsidP="00F512DB">
      <w:pPr>
        <w:pStyle w:val="Prrafodelista"/>
        <w:numPr>
          <w:ilvl w:val="0"/>
          <w:numId w:val="149"/>
        </w:numPr>
        <w:autoSpaceDE w:val="0"/>
        <w:autoSpaceDN w:val="0"/>
        <w:adjustRightInd w:val="0"/>
        <w:spacing w:after="120" w:line="360" w:lineRule="auto"/>
        <w:ind w:left="900" w:hanging="219"/>
        <w:rPr>
          <w:iCs/>
          <w:color w:val="000000"/>
          <w:szCs w:val="22"/>
        </w:rPr>
      </w:pPr>
      <w:r w:rsidRPr="009A27ED">
        <w:rPr>
          <w:rFonts w:ascii="Times New Roman" w:eastAsia="Times New Roman" w:hAnsi="Times New Roman"/>
          <w:color w:val="000000"/>
          <w:sz w:val="24"/>
          <w:szCs w:val="22"/>
        </w:rPr>
        <w:t xml:space="preserve">  Acto de </w:t>
      </w:r>
      <w:proofErr w:type="gramStart"/>
      <w:r w:rsidRPr="009A27ED">
        <w:rPr>
          <w:rFonts w:ascii="Times New Roman" w:eastAsia="Times New Roman" w:hAnsi="Times New Roman"/>
          <w:color w:val="000000"/>
          <w:sz w:val="24"/>
          <w:szCs w:val="22"/>
        </w:rPr>
        <w:t>compra-venta</w:t>
      </w:r>
      <w:proofErr w:type="gramEnd"/>
      <w:r w:rsidRPr="009A27ED">
        <w:rPr>
          <w:rFonts w:ascii="Times New Roman" w:eastAsia="Times New Roman" w:hAnsi="Times New Roman"/>
          <w:color w:val="000000"/>
          <w:sz w:val="24"/>
          <w:szCs w:val="22"/>
        </w:rPr>
        <w:t xml:space="preserve"> con alcalde como testigo, no notarizado. </w:t>
      </w:r>
    </w:p>
    <w:p w14:paraId="2047B0B2" w14:textId="77777777" w:rsidR="00F512DB" w:rsidRPr="009A27ED" w:rsidRDefault="00F512DB" w:rsidP="00F512DB">
      <w:pPr>
        <w:pStyle w:val="Prrafodelista"/>
        <w:numPr>
          <w:ilvl w:val="0"/>
          <w:numId w:val="149"/>
        </w:numPr>
        <w:autoSpaceDE w:val="0"/>
        <w:autoSpaceDN w:val="0"/>
        <w:adjustRightInd w:val="0"/>
        <w:spacing w:after="120" w:line="360" w:lineRule="auto"/>
        <w:ind w:left="900" w:hanging="219"/>
        <w:rPr>
          <w:iCs/>
          <w:szCs w:val="22"/>
        </w:rPr>
      </w:pPr>
      <w:r w:rsidRPr="009A27ED">
        <w:rPr>
          <w:rFonts w:ascii="Times New Roman" w:eastAsia="Times New Roman" w:hAnsi="Times New Roman"/>
          <w:iCs/>
          <w:sz w:val="24"/>
          <w:szCs w:val="22"/>
        </w:rPr>
        <w:t xml:space="preserve">  Acto de </w:t>
      </w:r>
      <w:proofErr w:type="gramStart"/>
      <w:r w:rsidRPr="009A27ED">
        <w:rPr>
          <w:rFonts w:ascii="Times New Roman" w:eastAsia="Times New Roman" w:hAnsi="Times New Roman"/>
          <w:iCs/>
          <w:sz w:val="24"/>
          <w:szCs w:val="22"/>
        </w:rPr>
        <w:t>compra-venta</w:t>
      </w:r>
      <w:proofErr w:type="gramEnd"/>
      <w:r w:rsidRPr="009A27ED">
        <w:rPr>
          <w:rFonts w:ascii="Times New Roman" w:eastAsia="Times New Roman" w:hAnsi="Times New Roman"/>
          <w:iCs/>
          <w:sz w:val="24"/>
          <w:szCs w:val="22"/>
        </w:rPr>
        <w:t xml:space="preserve"> de terrenos mensurados</w:t>
      </w:r>
    </w:p>
    <w:p w14:paraId="795257EE" w14:textId="77777777" w:rsidR="00F512DB" w:rsidRPr="009A27ED" w:rsidRDefault="00F512DB" w:rsidP="00F512DB">
      <w:pPr>
        <w:pStyle w:val="Prrafodelista"/>
        <w:numPr>
          <w:ilvl w:val="0"/>
          <w:numId w:val="149"/>
        </w:numPr>
        <w:autoSpaceDE w:val="0"/>
        <w:autoSpaceDN w:val="0"/>
        <w:adjustRightInd w:val="0"/>
        <w:spacing w:after="120" w:line="360" w:lineRule="auto"/>
        <w:ind w:left="900" w:hanging="219"/>
        <w:rPr>
          <w:iCs/>
          <w:szCs w:val="22"/>
        </w:rPr>
      </w:pPr>
      <w:r w:rsidRPr="009A27ED">
        <w:rPr>
          <w:rFonts w:ascii="Times New Roman" w:eastAsia="Times New Roman" w:hAnsi="Times New Roman"/>
          <w:iCs/>
          <w:sz w:val="24"/>
          <w:szCs w:val="22"/>
        </w:rPr>
        <w:t xml:space="preserve">  Declaración jurada de posesión, notarizado bajo testigos</w:t>
      </w:r>
    </w:p>
    <w:p w14:paraId="6704394C" w14:textId="77777777" w:rsidR="00F512DB" w:rsidRPr="009A27ED" w:rsidRDefault="00F512DB" w:rsidP="00F512DB">
      <w:pPr>
        <w:pStyle w:val="Prrafodelista"/>
        <w:numPr>
          <w:ilvl w:val="0"/>
          <w:numId w:val="149"/>
        </w:numPr>
        <w:autoSpaceDE w:val="0"/>
        <w:autoSpaceDN w:val="0"/>
        <w:adjustRightInd w:val="0"/>
        <w:spacing w:after="120" w:line="360" w:lineRule="auto"/>
        <w:ind w:left="900" w:hanging="219"/>
        <w:rPr>
          <w:iCs/>
          <w:szCs w:val="22"/>
        </w:rPr>
      </w:pPr>
      <w:r w:rsidRPr="009A27ED">
        <w:rPr>
          <w:rFonts w:ascii="Times New Roman" w:eastAsia="Times New Roman" w:hAnsi="Times New Roman"/>
          <w:iCs/>
          <w:sz w:val="24"/>
          <w:szCs w:val="22"/>
        </w:rPr>
        <w:t xml:space="preserve">  Determinación de herederos, para los casos de sucesión. </w:t>
      </w:r>
    </w:p>
    <w:p w14:paraId="281711EC" w14:textId="77777777" w:rsidR="00F512DB" w:rsidRPr="009A27ED" w:rsidRDefault="00F512DB" w:rsidP="00F512DB">
      <w:pPr>
        <w:pStyle w:val="HTMLconformatoprevio"/>
        <w:shd w:val="clear" w:color="auto" w:fill="FFFFFF"/>
        <w:spacing w:before="120" w:line="360" w:lineRule="auto"/>
        <w:jc w:val="both"/>
        <w:rPr>
          <w:rFonts w:asciiTheme="minorHAnsi" w:hAnsiTheme="minorHAnsi" w:cstheme="minorHAnsi"/>
          <w:color w:val="212121"/>
          <w:sz w:val="22"/>
          <w:szCs w:val="22"/>
          <w:lang w:val="es-ES_tradnl"/>
        </w:rPr>
      </w:pPr>
      <w:r w:rsidRPr="009A27ED">
        <w:rPr>
          <w:rFonts w:asciiTheme="minorHAnsi" w:hAnsiTheme="minorHAnsi" w:cstheme="minorHAnsi"/>
          <w:color w:val="212121"/>
          <w:sz w:val="24"/>
          <w:szCs w:val="22"/>
          <w:lang w:val="es-ES_tradnl"/>
        </w:rPr>
        <w:t xml:space="preserve">En el caso de conflictos establecidos entre el MARN y la comunidad o particulares, se considerará la figura de mediador o “árbitro” el que haya sido establecido por las normativas legales vigentes en el país o el que se haya establecido de común acuerdo entre las partes involucradas, si entre las </w:t>
      </w:r>
      <w:proofErr w:type="gramStart"/>
      <w:r w:rsidRPr="009A27ED">
        <w:rPr>
          <w:rFonts w:asciiTheme="minorHAnsi" w:hAnsiTheme="minorHAnsi" w:cstheme="minorHAnsi"/>
          <w:color w:val="212121"/>
          <w:sz w:val="24"/>
          <w:szCs w:val="22"/>
          <w:lang w:val="es-ES_tradnl"/>
        </w:rPr>
        <w:t>mismas media</w:t>
      </w:r>
      <w:proofErr w:type="gramEnd"/>
      <w:r w:rsidRPr="009A27ED">
        <w:rPr>
          <w:rFonts w:asciiTheme="minorHAnsi" w:hAnsiTheme="minorHAnsi" w:cstheme="minorHAnsi"/>
          <w:color w:val="212121"/>
          <w:sz w:val="24"/>
          <w:szCs w:val="22"/>
          <w:lang w:val="es-ES_tradnl"/>
        </w:rPr>
        <w:t xml:space="preserve"> algún contrato</w:t>
      </w:r>
      <w:r w:rsidRPr="009A27ED">
        <w:rPr>
          <w:rFonts w:ascii="Times New Roman" w:hAnsi="Times New Roman"/>
          <w:color w:val="212121"/>
          <w:sz w:val="24"/>
          <w:szCs w:val="22"/>
          <w:lang w:val="es-ES_tradnl"/>
        </w:rPr>
        <w:t>.</w:t>
      </w:r>
    </w:p>
    <w:p w14:paraId="18174123" w14:textId="68EB2B99" w:rsidR="00F512DB" w:rsidRPr="009A27ED" w:rsidRDefault="00F512DB" w:rsidP="00F512DB">
      <w:pPr>
        <w:pStyle w:val="HTMLconformatoprevio"/>
        <w:shd w:val="clear" w:color="auto" w:fill="FFFFFF"/>
        <w:spacing w:before="120" w:line="360" w:lineRule="auto"/>
        <w:jc w:val="both"/>
        <w:rPr>
          <w:rFonts w:eastAsiaTheme="majorEastAsia"/>
        </w:rPr>
      </w:pPr>
      <w:r w:rsidRPr="009A27ED">
        <w:rPr>
          <w:rFonts w:asciiTheme="minorHAnsi" w:hAnsiTheme="minorHAnsi" w:cstheme="minorHAnsi"/>
          <w:color w:val="212121"/>
          <w:sz w:val="24"/>
          <w:szCs w:val="22"/>
          <w:lang w:val="es-ES_tradnl"/>
        </w:rPr>
        <w:t>Con base al MQRC, se diseñó un sistema en plataforma web cuyo objetivo es gestionar las quejas, reclamos y posibles conflictos, que se puedan presentar en la implementación de las acciones de</w:t>
      </w:r>
      <w:r w:rsidR="00757CBA" w:rsidRPr="009A27ED">
        <w:rPr>
          <w:rFonts w:asciiTheme="minorHAnsi" w:hAnsiTheme="minorHAnsi" w:cstheme="minorHAnsi"/>
          <w:color w:val="212121"/>
          <w:sz w:val="24"/>
          <w:szCs w:val="22"/>
          <w:lang w:val="es-ES_tradnl"/>
        </w:rPr>
        <w:t>l Programa REDD+</w:t>
      </w:r>
      <w:r w:rsidRPr="009A27ED">
        <w:rPr>
          <w:rFonts w:asciiTheme="minorHAnsi" w:hAnsiTheme="minorHAnsi" w:cstheme="minorHAnsi"/>
          <w:color w:val="212121"/>
          <w:sz w:val="24"/>
          <w:szCs w:val="22"/>
          <w:lang w:val="es-ES_tradnl"/>
        </w:rPr>
        <w:t xml:space="preserve"> </w:t>
      </w:r>
      <w:r w:rsidRPr="009A27ED">
        <w:rPr>
          <w:rFonts w:asciiTheme="minorHAnsi" w:hAnsiTheme="minorHAnsi" w:cstheme="minorHAnsi"/>
          <w:strike/>
          <w:color w:val="212121"/>
          <w:sz w:val="24"/>
          <w:szCs w:val="22"/>
          <w:lang w:val="es-ES_tradnl"/>
        </w:rPr>
        <w:t>la ENREDD+</w:t>
      </w:r>
      <w:r w:rsidRPr="009A27ED">
        <w:rPr>
          <w:rFonts w:asciiTheme="minorHAnsi" w:hAnsiTheme="minorHAnsi" w:cstheme="minorHAnsi"/>
          <w:color w:val="212121"/>
          <w:sz w:val="24"/>
          <w:szCs w:val="22"/>
          <w:lang w:val="es-ES_tradnl"/>
        </w:rPr>
        <w:t xml:space="preserve">, registrándolos y ofreciendo a los reclamantes, respuestas adecuadas, </w:t>
      </w:r>
      <w:r w:rsidRPr="009A27ED">
        <w:rPr>
          <w:rFonts w:asciiTheme="minorHAnsi" w:hAnsiTheme="minorHAnsi" w:cstheme="minorHAnsi"/>
          <w:color w:val="212121"/>
          <w:sz w:val="24"/>
          <w:szCs w:val="22"/>
          <w:lang w:val="es-ES_tradnl"/>
        </w:rPr>
        <w:lastRenderedPageBreak/>
        <w:t>procurando soluciones satisfactorias y, en caso necesario, redirigir los reclamos a las instituciones que los puedan dirimir y resolver conforme a sus competencias.</w:t>
      </w:r>
    </w:p>
    <w:p w14:paraId="4F2A8A3F" w14:textId="77777777" w:rsidR="00F512DB" w:rsidRPr="009A27ED" w:rsidRDefault="00F512DB" w:rsidP="00F512DB">
      <w:pPr>
        <w:pStyle w:val="HTMLconformatoprevio"/>
        <w:shd w:val="clear" w:color="auto" w:fill="FFFFFF"/>
        <w:spacing w:before="120" w:line="360" w:lineRule="auto"/>
        <w:jc w:val="both"/>
        <w:rPr>
          <w:rFonts w:asciiTheme="minorHAnsi" w:hAnsiTheme="minorHAnsi" w:cstheme="minorHAnsi"/>
          <w:color w:val="212121"/>
          <w:sz w:val="22"/>
          <w:szCs w:val="22"/>
          <w:lang w:val="es-ES_tradnl"/>
        </w:rPr>
      </w:pPr>
      <w:r w:rsidRPr="009A27ED">
        <w:rPr>
          <w:rFonts w:asciiTheme="minorHAnsi" w:hAnsiTheme="minorHAnsi" w:cstheme="minorHAnsi"/>
          <w:color w:val="212121"/>
          <w:sz w:val="24"/>
          <w:szCs w:val="22"/>
          <w:lang w:val="es-ES_tradnl"/>
        </w:rPr>
        <w:t>Entre otros, el referido sistema define los procedimientos para:</w:t>
      </w:r>
    </w:p>
    <w:p w14:paraId="2E066502" w14:textId="77777777" w:rsidR="00F512DB" w:rsidRPr="009A27ED" w:rsidRDefault="00F512DB" w:rsidP="00F512DB">
      <w:pPr>
        <w:pStyle w:val="HTMLconformatoprevio"/>
        <w:shd w:val="clear" w:color="auto" w:fill="FFFFFF"/>
        <w:spacing w:before="120" w:line="360" w:lineRule="auto"/>
        <w:ind w:left="708"/>
        <w:jc w:val="both"/>
        <w:rPr>
          <w:rFonts w:asciiTheme="minorHAnsi" w:hAnsiTheme="minorHAnsi" w:cstheme="minorHAnsi"/>
          <w:color w:val="212121"/>
          <w:sz w:val="22"/>
          <w:szCs w:val="22"/>
          <w:lang w:val="es-ES_tradnl"/>
        </w:rPr>
      </w:pPr>
      <w:r w:rsidRPr="009A27ED">
        <w:rPr>
          <w:rFonts w:asciiTheme="minorHAnsi" w:hAnsiTheme="minorHAnsi" w:cstheme="minorHAnsi"/>
          <w:color w:val="212121"/>
          <w:sz w:val="24"/>
          <w:szCs w:val="22"/>
          <w:lang w:val="es-ES_tradnl"/>
        </w:rPr>
        <w:t>•</w:t>
      </w:r>
      <w:r w:rsidRPr="009A27ED">
        <w:rPr>
          <w:rFonts w:asciiTheme="minorHAnsi" w:hAnsiTheme="minorHAnsi" w:cstheme="minorHAnsi"/>
          <w:color w:val="212121"/>
          <w:sz w:val="24"/>
          <w:szCs w:val="22"/>
          <w:lang w:val="es-ES_tradnl"/>
        </w:rPr>
        <w:tab/>
        <w:t>Difundir la existencia y funcionamiento del mecanismo.</w:t>
      </w:r>
    </w:p>
    <w:p w14:paraId="465DDA90" w14:textId="77777777" w:rsidR="00F512DB" w:rsidRPr="009A27ED" w:rsidRDefault="00F512DB" w:rsidP="00F512DB">
      <w:pPr>
        <w:pStyle w:val="HTMLconformatoprevio"/>
        <w:shd w:val="clear" w:color="auto" w:fill="FFFFFF"/>
        <w:spacing w:before="120" w:line="360" w:lineRule="auto"/>
        <w:ind w:left="708"/>
        <w:jc w:val="both"/>
        <w:rPr>
          <w:rFonts w:asciiTheme="minorHAnsi" w:hAnsiTheme="minorHAnsi" w:cstheme="minorHAnsi"/>
          <w:color w:val="212121"/>
          <w:sz w:val="22"/>
          <w:szCs w:val="22"/>
          <w:lang w:val="es-ES_tradnl"/>
        </w:rPr>
      </w:pPr>
      <w:r w:rsidRPr="009A27ED">
        <w:rPr>
          <w:rFonts w:asciiTheme="minorHAnsi" w:hAnsiTheme="minorHAnsi" w:cstheme="minorHAnsi"/>
          <w:color w:val="212121"/>
          <w:sz w:val="24"/>
          <w:szCs w:val="22"/>
          <w:lang w:val="es-ES_tradnl"/>
        </w:rPr>
        <w:t>•</w:t>
      </w:r>
      <w:r w:rsidRPr="009A27ED">
        <w:rPr>
          <w:rFonts w:asciiTheme="minorHAnsi" w:hAnsiTheme="minorHAnsi" w:cstheme="minorHAnsi"/>
          <w:color w:val="212121"/>
          <w:sz w:val="24"/>
          <w:szCs w:val="22"/>
          <w:lang w:val="es-ES_tradnl"/>
        </w:rPr>
        <w:tab/>
        <w:t xml:space="preserve">Transparentar y facilitar acceso libre para todos los segmentos de las comunidades afectadas. </w:t>
      </w:r>
    </w:p>
    <w:p w14:paraId="1996A22D" w14:textId="77777777" w:rsidR="00F512DB" w:rsidRPr="009A27ED" w:rsidRDefault="00F512DB" w:rsidP="00F512DB">
      <w:pPr>
        <w:pStyle w:val="HTMLconformatoprevio"/>
        <w:shd w:val="clear" w:color="auto" w:fill="FFFFFF"/>
        <w:spacing w:before="120" w:line="360" w:lineRule="auto"/>
        <w:ind w:left="708"/>
        <w:jc w:val="both"/>
        <w:rPr>
          <w:rFonts w:asciiTheme="minorHAnsi" w:hAnsiTheme="minorHAnsi" w:cstheme="minorHAnsi"/>
          <w:color w:val="212121"/>
          <w:sz w:val="22"/>
          <w:szCs w:val="22"/>
          <w:lang w:val="es-ES_tradnl"/>
        </w:rPr>
      </w:pPr>
      <w:r w:rsidRPr="009A27ED">
        <w:rPr>
          <w:rFonts w:asciiTheme="minorHAnsi" w:hAnsiTheme="minorHAnsi" w:cstheme="minorHAnsi"/>
          <w:color w:val="212121"/>
          <w:sz w:val="24"/>
          <w:szCs w:val="22"/>
          <w:lang w:val="es-ES_tradnl"/>
        </w:rPr>
        <w:t>•</w:t>
      </w:r>
      <w:r w:rsidRPr="009A27ED">
        <w:rPr>
          <w:rFonts w:asciiTheme="minorHAnsi" w:hAnsiTheme="minorHAnsi" w:cstheme="minorHAnsi"/>
          <w:color w:val="212121"/>
          <w:sz w:val="24"/>
          <w:szCs w:val="22"/>
          <w:lang w:val="es-ES_tradnl"/>
        </w:rPr>
        <w:tab/>
        <w:t>Identificar y contar con la logística necesaria para la puesta en marcha y mantenimiento del mecanismo.</w:t>
      </w:r>
    </w:p>
    <w:p w14:paraId="42D86659" w14:textId="77777777" w:rsidR="00F512DB" w:rsidRPr="009A27ED" w:rsidRDefault="00F512DB" w:rsidP="00F512DB">
      <w:pPr>
        <w:pStyle w:val="HTMLconformatoprevio"/>
        <w:shd w:val="clear" w:color="auto" w:fill="FFFFFF"/>
        <w:spacing w:before="120" w:line="360" w:lineRule="auto"/>
        <w:ind w:left="708"/>
        <w:jc w:val="both"/>
        <w:rPr>
          <w:rFonts w:asciiTheme="minorHAnsi" w:hAnsiTheme="minorHAnsi" w:cstheme="minorHAnsi"/>
          <w:color w:val="212121"/>
          <w:sz w:val="22"/>
          <w:szCs w:val="22"/>
          <w:lang w:val="es-ES_tradnl"/>
        </w:rPr>
      </w:pPr>
      <w:r w:rsidRPr="009A27ED">
        <w:rPr>
          <w:rFonts w:asciiTheme="minorHAnsi" w:hAnsiTheme="minorHAnsi" w:cstheme="minorHAnsi"/>
          <w:color w:val="212121"/>
          <w:sz w:val="24"/>
          <w:szCs w:val="22"/>
          <w:lang w:val="es-ES_tradnl"/>
        </w:rPr>
        <w:t>•</w:t>
      </w:r>
      <w:r w:rsidRPr="009A27ED">
        <w:rPr>
          <w:rFonts w:asciiTheme="minorHAnsi" w:hAnsiTheme="minorHAnsi" w:cstheme="minorHAnsi"/>
          <w:color w:val="212121"/>
          <w:sz w:val="24"/>
          <w:szCs w:val="22"/>
          <w:lang w:val="es-ES_tradnl"/>
        </w:rPr>
        <w:tab/>
        <w:t>Facilitar la presentación de las posibles reclamaciones o inquietudes, por parte de los afectados.</w:t>
      </w:r>
    </w:p>
    <w:p w14:paraId="02DB418C" w14:textId="77777777" w:rsidR="00F512DB" w:rsidRPr="009A27ED" w:rsidRDefault="00F512DB" w:rsidP="00F512DB">
      <w:pPr>
        <w:pStyle w:val="HTMLconformatoprevio"/>
        <w:shd w:val="clear" w:color="auto" w:fill="FFFFFF"/>
        <w:spacing w:before="120" w:line="360" w:lineRule="auto"/>
        <w:ind w:left="708"/>
        <w:jc w:val="both"/>
        <w:rPr>
          <w:rFonts w:asciiTheme="minorHAnsi" w:hAnsiTheme="minorHAnsi" w:cstheme="minorHAnsi"/>
          <w:color w:val="212121"/>
          <w:sz w:val="22"/>
          <w:szCs w:val="22"/>
          <w:lang w:val="es-ES_tradnl"/>
        </w:rPr>
      </w:pPr>
      <w:r w:rsidRPr="009A27ED">
        <w:rPr>
          <w:rFonts w:asciiTheme="minorHAnsi" w:hAnsiTheme="minorHAnsi" w:cstheme="minorHAnsi"/>
          <w:color w:val="212121"/>
          <w:sz w:val="24"/>
          <w:szCs w:val="22"/>
          <w:lang w:val="es-ES_tradnl"/>
        </w:rPr>
        <w:t>•</w:t>
      </w:r>
      <w:r w:rsidRPr="009A27ED">
        <w:rPr>
          <w:rFonts w:asciiTheme="minorHAnsi" w:hAnsiTheme="minorHAnsi" w:cstheme="minorHAnsi"/>
          <w:color w:val="212121"/>
          <w:sz w:val="24"/>
          <w:szCs w:val="22"/>
          <w:lang w:val="es-ES_tradnl"/>
        </w:rPr>
        <w:tab/>
        <w:t>Recibir, registrar/documentar, examinar, abordar, atender y notificar las reclamaciones o inquietudes.</w:t>
      </w:r>
    </w:p>
    <w:p w14:paraId="306E49D6" w14:textId="77777777" w:rsidR="00F512DB" w:rsidRPr="009A27ED" w:rsidRDefault="00F512DB" w:rsidP="00F512DB">
      <w:pPr>
        <w:pStyle w:val="HTMLconformatoprevio"/>
        <w:shd w:val="clear" w:color="auto" w:fill="FFFFFF"/>
        <w:spacing w:before="120" w:line="360" w:lineRule="auto"/>
        <w:ind w:left="708"/>
        <w:jc w:val="both"/>
        <w:rPr>
          <w:rFonts w:asciiTheme="minorHAnsi" w:hAnsiTheme="minorHAnsi" w:cstheme="minorHAnsi"/>
          <w:color w:val="212121"/>
          <w:sz w:val="22"/>
          <w:szCs w:val="22"/>
          <w:lang w:val="es-ES_tradnl"/>
        </w:rPr>
      </w:pPr>
      <w:r w:rsidRPr="009A27ED">
        <w:rPr>
          <w:rFonts w:asciiTheme="minorHAnsi" w:hAnsiTheme="minorHAnsi" w:cstheme="minorHAnsi"/>
          <w:color w:val="212121"/>
          <w:sz w:val="24"/>
          <w:szCs w:val="22"/>
          <w:lang w:val="es-ES_tradnl"/>
        </w:rPr>
        <w:t>•</w:t>
      </w:r>
      <w:r w:rsidRPr="009A27ED">
        <w:rPr>
          <w:rFonts w:asciiTheme="minorHAnsi" w:hAnsiTheme="minorHAnsi" w:cstheme="minorHAnsi"/>
          <w:color w:val="212121"/>
          <w:sz w:val="24"/>
          <w:szCs w:val="22"/>
          <w:lang w:val="es-ES_tradnl"/>
        </w:rPr>
        <w:tab/>
        <w:t>Buscar soluciones a los reclamos, en forma colaborativa y con la participación de los afectados.</w:t>
      </w:r>
    </w:p>
    <w:p w14:paraId="12137682" w14:textId="77777777" w:rsidR="00F512DB" w:rsidRPr="009A27ED" w:rsidRDefault="00F512DB" w:rsidP="00F512DB">
      <w:pPr>
        <w:pStyle w:val="HTMLconformatoprevio"/>
        <w:shd w:val="clear" w:color="auto" w:fill="FFFFFF"/>
        <w:spacing w:before="120" w:line="360" w:lineRule="auto"/>
        <w:ind w:left="708"/>
        <w:jc w:val="both"/>
        <w:rPr>
          <w:rFonts w:asciiTheme="minorHAnsi" w:hAnsiTheme="minorHAnsi" w:cstheme="minorHAnsi"/>
          <w:color w:val="212121"/>
          <w:sz w:val="22"/>
          <w:szCs w:val="22"/>
          <w:lang w:val="es-ES_tradnl"/>
        </w:rPr>
      </w:pPr>
    </w:p>
    <w:p w14:paraId="0FB60297" w14:textId="77777777" w:rsidR="00F512DB" w:rsidRPr="009A27ED" w:rsidRDefault="00F512DB" w:rsidP="00F512DB">
      <w:pPr>
        <w:pStyle w:val="HTMLconformatoprevio"/>
        <w:shd w:val="clear" w:color="auto" w:fill="FFFFFF"/>
        <w:spacing w:before="120" w:line="360" w:lineRule="auto"/>
        <w:jc w:val="both"/>
        <w:rPr>
          <w:rFonts w:asciiTheme="minorHAnsi" w:hAnsiTheme="minorHAnsi" w:cstheme="minorHAnsi"/>
          <w:color w:val="212121"/>
          <w:sz w:val="22"/>
          <w:szCs w:val="22"/>
          <w:lang w:val="es-ES_tradnl"/>
        </w:rPr>
      </w:pPr>
      <w:r w:rsidRPr="009A27ED">
        <w:rPr>
          <w:rFonts w:asciiTheme="minorHAnsi" w:hAnsiTheme="minorHAnsi" w:cstheme="minorHAnsi"/>
          <w:color w:val="212121"/>
          <w:sz w:val="24"/>
          <w:szCs w:val="22"/>
          <w:lang w:val="es-ES_tradnl"/>
        </w:rPr>
        <w:t>El sistema se sustenta en los siguientes principios: a) legitimidad, b) accesibilidad, c) previsibilidad, d) equidad, e) transparencia, f) compatibilidad de derechos, g) capacidad para abordar un amplio espectro de reclamaciones, h) aprendizaje continuo, i) basado en la participación y el diálogo.</w:t>
      </w:r>
    </w:p>
    <w:p w14:paraId="548E1885" w14:textId="77777777" w:rsidR="00F512DB" w:rsidRPr="009A27ED" w:rsidRDefault="00F512DB" w:rsidP="00F512DB">
      <w:pPr>
        <w:pStyle w:val="HTMLconformatoprevio"/>
        <w:shd w:val="clear" w:color="auto" w:fill="FFFFFF"/>
        <w:spacing w:before="120" w:line="360" w:lineRule="auto"/>
        <w:jc w:val="both"/>
        <w:rPr>
          <w:rFonts w:asciiTheme="minorHAnsi" w:hAnsiTheme="minorHAnsi" w:cstheme="minorHAnsi"/>
          <w:color w:val="212121"/>
          <w:sz w:val="22"/>
          <w:szCs w:val="22"/>
          <w:lang w:val="es-ES_tradnl"/>
        </w:rPr>
      </w:pPr>
      <w:r w:rsidRPr="009A27ED">
        <w:rPr>
          <w:rFonts w:asciiTheme="minorHAnsi" w:hAnsiTheme="minorHAnsi" w:cstheme="minorHAnsi"/>
          <w:color w:val="212121"/>
          <w:sz w:val="24"/>
          <w:szCs w:val="22"/>
          <w:lang w:val="es-ES_tradnl"/>
        </w:rPr>
        <w:t>El referido sistema abordará, entre otras, quejas, reclamos y/o conflictos relacionados con la siguiente temática:</w:t>
      </w:r>
    </w:p>
    <w:p w14:paraId="6A4F92F6" w14:textId="77777777" w:rsidR="00F512DB" w:rsidRPr="009A27ED" w:rsidRDefault="00F512DB" w:rsidP="00F512DB">
      <w:pPr>
        <w:pStyle w:val="HTMLconformatoprevio"/>
        <w:shd w:val="clear" w:color="auto" w:fill="FFFFFF"/>
        <w:spacing w:before="120" w:line="360" w:lineRule="auto"/>
        <w:ind w:left="708"/>
        <w:jc w:val="both"/>
        <w:rPr>
          <w:rFonts w:asciiTheme="minorHAnsi" w:hAnsiTheme="minorHAnsi" w:cstheme="minorHAnsi"/>
          <w:color w:val="212121"/>
          <w:sz w:val="22"/>
          <w:szCs w:val="22"/>
          <w:lang w:val="es-ES_tradnl"/>
        </w:rPr>
      </w:pPr>
      <w:r w:rsidRPr="009A27ED">
        <w:rPr>
          <w:rFonts w:asciiTheme="minorHAnsi" w:hAnsiTheme="minorHAnsi" w:cstheme="minorHAnsi"/>
          <w:color w:val="212121"/>
          <w:sz w:val="24"/>
          <w:szCs w:val="22"/>
          <w:lang w:val="es-ES_tradnl"/>
        </w:rPr>
        <w:t>a)</w:t>
      </w:r>
      <w:r w:rsidRPr="009A27ED">
        <w:rPr>
          <w:rFonts w:asciiTheme="minorHAnsi" w:hAnsiTheme="minorHAnsi" w:cstheme="minorHAnsi"/>
          <w:color w:val="212121"/>
          <w:sz w:val="24"/>
          <w:szCs w:val="22"/>
          <w:lang w:val="es-ES_tradnl"/>
        </w:rPr>
        <w:tab/>
        <w:t>Participación y consultas.</w:t>
      </w:r>
    </w:p>
    <w:p w14:paraId="09C5CFBF" w14:textId="77777777" w:rsidR="00F512DB" w:rsidRPr="009A27ED" w:rsidRDefault="00F512DB" w:rsidP="00F512DB">
      <w:pPr>
        <w:pStyle w:val="HTMLconformatoprevio"/>
        <w:shd w:val="clear" w:color="auto" w:fill="FFFFFF"/>
        <w:spacing w:before="120" w:line="360" w:lineRule="auto"/>
        <w:ind w:left="708"/>
        <w:jc w:val="both"/>
        <w:rPr>
          <w:rFonts w:asciiTheme="minorHAnsi" w:hAnsiTheme="minorHAnsi" w:cstheme="minorHAnsi"/>
          <w:color w:val="212121"/>
          <w:sz w:val="22"/>
          <w:szCs w:val="22"/>
          <w:lang w:val="es-ES_tradnl"/>
        </w:rPr>
      </w:pPr>
      <w:r w:rsidRPr="009A27ED">
        <w:rPr>
          <w:rFonts w:asciiTheme="minorHAnsi" w:hAnsiTheme="minorHAnsi" w:cstheme="minorHAnsi"/>
          <w:color w:val="212121"/>
          <w:sz w:val="24"/>
          <w:szCs w:val="22"/>
          <w:lang w:val="es-ES_tradnl"/>
        </w:rPr>
        <w:t>b)</w:t>
      </w:r>
      <w:r w:rsidRPr="009A27ED">
        <w:rPr>
          <w:rFonts w:asciiTheme="minorHAnsi" w:hAnsiTheme="minorHAnsi" w:cstheme="minorHAnsi"/>
          <w:color w:val="212121"/>
          <w:sz w:val="24"/>
          <w:szCs w:val="22"/>
          <w:lang w:val="es-ES_tradnl"/>
        </w:rPr>
        <w:tab/>
        <w:t>Tenencia de la tierra y uso de recursos forestales.</w:t>
      </w:r>
    </w:p>
    <w:p w14:paraId="04BF86D7" w14:textId="77777777" w:rsidR="00F512DB" w:rsidRPr="009A27ED" w:rsidRDefault="00F512DB" w:rsidP="00F512DB">
      <w:pPr>
        <w:pStyle w:val="HTMLconformatoprevio"/>
        <w:shd w:val="clear" w:color="auto" w:fill="FFFFFF"/>
        <w:spacing w:before="120" w:line="360" w:lineRule="auto"/>
        <w:ind w:left="708"/>
        <w:jc w:val="both"/>
        <w:rPr>
          <w:rFonts w:asciiTheme="minorHAnsi" w:hAnsiTheme="minorHAnsi" w:cstheme="minorHAnsi"/>
          <w:color w:val="212121"/>
          <w:sz w:val="22"/>
          <w:szCs w:val="22"/>
          <w:lang w:val="es-ES_tradnl"/>
        </w:rPr>
      </w:pPr>
      <w:r w:rsidRPr="009A27ED">
        <w:rPr>
          <w:rFonts w:asciiTheme="minorHAnsi" w:hAnsiTheme="minorHAnsi" w:cstheme="minorHAnsi"/>
          <w:color w:val="212121"/>
          <w:sz w:val="24"/>
          <w:szCs w:val="22"/>
          <w:lang w:val="es-ES_tradnl"/>
        </w:rPr>
        <w:t>c)</w:t>
      </w:r>
      <w:r w:rsidRPr="009A27ED">
        <w:rPr>
          <w:rFonts w:asciiTheme="minorHAnsi" w:hAnsiTheme="minorHAnsi" w:cstheme="minorHAnsi"/>
          <w:color w:val="212121"/>
          <w:sz w:val="24"/>
          <w:szCs w:val="22"/>
          <w:lang w:val="es-ES_tradnl"/>
        </w:rPr>
        <w:tab/>
        <w:t>Impactos ambientales y sociales adversos generados por la implementación de las actividades REDD+.</w:t>
      </w:r>
    </w:p>
    <w:p w14:paraId="42A49F47" w14:textId="77777777" w:rsidR="00F512DB" w:rsidRPr="009A27ED" w:rsidRDefault="00F512DB" w:rsidP="00F512DB">
      <w:pPr>
        <w:pStyle w:val="HTMLconformatoprevio"/>
        <w:shd w:val="clear" w:color="auto" w:fill="FFFFFF"/>
        <w:spacing w:before="120" w:line="360" w:lineRule="auto"/>
        <w:ind w:left="708"/>
        <w:jc w:val="both"/>
        <w:rPr>
          <w:rFonts w:asciiTheme="minorHAnsi" w:hAnsiTheme="minorHAnsi" w:cstheme="minorHAnsi"/>
          <w:color w:val="212121"/>
          <w:sz w:val="22"/>
          <w:szCs w:val="22"/>
          <w:lang w:val="es-ES_tradnl"/>
        </w:rPr>
      </w:pPr>
      <w:r w:rsidRPr="009A27ED">
        <w:rPr>
          <w:rFonts w:asciiTheme="minorHAnsi" w:hAnsiTheme="minorHAnsi" w:cstheme="minorHAnsi"/>
          <w:color w:val="212121"/>
          <w:sz w:val="24"/>
          <w:szCs w:val="22"/>
          <w:lang w:val="es-ES_tradnl"/>
        </w:rPr>
        <w:t>d)</w:t>
      </w:r>
      <w:r w:rsidRPr="009A27ED">
        <w:rPr>
          <w:rFonts w:asciiTheme="minorHAnsi" w:hAnsiTheme="minorHAnsi" w:cstheme="minorHAnsi"/>
          <w:color w:val="212121"/>
          <w:sz w:val="24"/>
          <w:szCs w:val="22"/>
          <w:lang w:val="es-ES_tradnl"/>
        </w:rPr>
        <w:tab/>
        <w:t>Distribución de beneficios provenientes de pago por resultados por reducción de emisiones.</w:t>
      </w:r>
    </w:p>
    <w:p w14:paraId="407F30F9" w14:textId="77777777" w:rsidR="00F512DB" w:rsidRPr="009A27ED" w:rsidRDefault="00F512DB" w:rsidP="00F512DB">
      <w:pPr>
        <w:pStyle w:val="HTMLconformatoprevio"/>
        <w:shd w:val="clear" w:color="auto" w:fill="FFFFFF"/>
        <w:spacing w:before="120" w:line="360" w:lineRule="auto"/>
        <w:jc w:val="both"/>
        <w:rPr>
          <w:rFonts w:asciiTheme="minorHAnsi" w:hAnsiTheme="minorHAnsi" w:cstheme="minorHAnsi"/>
          <w:color w:val="212121"/>
          <w:sz w:val="22"/>
          <w:szCs w:val="22"/>
          <w:lang w:val="es-ES_tradnl"/>
        </w:rPr>
      </w:pPr>
      <w:r w:rsidRPr="009A27ED">
        <w:rPr>
          <w:rFonts w:asciiTheme="minorHAnsi" w:hAnsiTheme="minorHAnsi" w:cstheme="minorHAnsi"/>
          <w:color w:val="212121"/>
          <w:sz w:val="24"/>
          <w:szCs w:val="22"/>
          <w:lang w:val="es-ES_tradnl"/>
        </w:rPr>
        <w:t>El flujo de atención a quejas, reclamos y conflictos conlleva el siguiente proceso:</w:t>
      </w:r>
    </w:p>
    <w:p w14:paraId="6A86938D" w14:textId="77777777" w:rsidR="00F512DB" w:rsidRPr="009A27ED" w:rsidRDefault="00F512DB" w:rsidP="00F512DB">
      <w:pPr>
        <w:pStyle w:val="HTMLconformatoprevio"/>
        <w:shd w:val="clear" w:color="auto" w:fill="FFFFFF"/>
        <w:spacing w:before="120" w:line="360" w:lineRule="auto"/>
        <w:ind w:left="708"/>
        <w:jc w:val="both"/>
        <w:rPr>
          <w:rFonts w:asciiTheme="minorHAnsi" w:hAnsiTheme="minorHAnsi" w:cstheme="minorHAnsi"/>
          <w:color w:val="212121"/>
          <w:sz w:val="22"/>
          <w:szCs w:val="22"/>
          <w:lang w:val="es-ES_tradnl"/>
        </w:rPr>
      </w:pPr>
      <w:r w:rsidRPr="009A27ED">
        <w:rPr>
          <w:rFonts w:asciiTheme="minorHAnsi" w:hAnsiTheme="minorHAnsi" w:cstheme="minorHAnsi"/>
          <w:color w:val="212121"/>
          <w:sz w:val="24"/>
          <w:szCs w:val="22"/>
          <w:lang w:val="es-ES_tradnl"/>
        </w:rPr>
        <w:lastRenderedPageBreak/>
        <w:t>a)</w:t>
      </w:r>
      <w:r w:rsidRPr="009A27ED">
        <w:rPr>
          <w:rFonts w:asciiTheme="minorHAnsi" w:hAnsiTheme="minorHAnsi" w:cstheme="minorHAnsi"/>
          <w:color w:val="212121"/>
          <w:sz w:val="24"/>
          <w:szCs w:val="22"/>
          <w:lang w:val="es-ES_tradnl"/>
        </w:rPr>
        <w:tab/>
        <w:t>Elaboración de reporte sobre la queja, reclamo o conflicto por parte de persona física o jurídica.</w:t>
      </w:r>
    </w:p>
    <w:p w14:paraId="47D772EC" w14:textId="77777777" w:rsidR="00F512DB" w:rsidRPr="009A27ED" w:rsidRDefault="00F512DB" w:rsidP="00F512DB">
      <w:pPr>
        <w:pStyle w:val="HTMLconformatoprevio"/>
        <w:shd w:val="clear" w:color="auto" w:fill="FFFFFF"/>
        <w:spacing w:before="120" w:line="360" w:lineRule="auto"/>
        <w:ind w:left="708"/>
        <w:jc w:val="both"/>
        <w:rPr>
          <w:rFonts w:asciiTheme="minorHAnsi" w:hAnsiTheme="minorHAnsi" w:cstheme="minorHAnsi"/>
          <w:color w:val="212121"/>
          <w:sz w:val="22"/>
          <w:szCs w:val="22"/>
          <w:lang w:val="es-ES_tradnl"/>
        </w:rPr>
      </w:pPr>
      <w:r w:rsidRPr="009A27ED">
        <w:rPr>
          <w:rFonts w:asciiTheme="minorHAnsi" w:hAnsiTheme="minorHAnsi" w:cstheme="minorHAnsi"/>
          <w:color w:val="212121"/>
          <w:sz w:val="24"/>
          <w:szCs w:val="22"/>
          <w:lang w:val="es-ES_tradnl"/>
        </w:rPr>
        <w:t>b)</w:t>
      </w:r>
      <w:r w:rsidRPr="009A27ED">
        <w:rPr>
          <w:rFonts w:asciiTheme="minorHAnsi" w:hAnsiTheme="minorHAnsi" w:cstheme="minorHAnsi"/>
          <w:color w:val="212121"/>
          <w:sz w:val="24"/>
          <w:szCs w:val="22"/>
          <w:lang w:val="es-ES_tradnl"/>
        </w:rPr>
        <w:tab/>
        <w:t>Recepción en instancia definida y conocida.</w:t>
      </w:r>
    </w:p>
    <w:p w14:paraId="2F609463" w14:textId="77777777" w:rsidR="00F512DB" w:rsidRPr="009A27ED" w:rsidRDefault="00F512DB" w:rsidP="00F512DB">
      <w:pPr>
        <w:pStyle w:val="HTMLconformatoprevio"/>
        <w:shd w:val="clear" w:color="auto" w:fill="FFFFFF"/>
        <w:spacing w:before="120" w:line="360" w:lineRule="auto"/>
        <w:ind w:left="708"/>
        <w:jc w:val="both"/>
        <w:rPr>
          <w:rFonts w:asciiTheme="minorHAnsi" w:hAnsiTheme="minorHAnsi" w:cstheme="minorHAnsi"/>
          <w:color w:val="212121"/>
          <w:sz w:val="22"/>
          <w:szCs w:val="22"/>
          <w:lang w:val="es-ES_tradnl"/>
        </w:rPr>
      </w:pPr>
      <w:r w:rsidRPr="009A27ED">
        <w:rPr>
          <w:rFonts w:asciiTheme="minorHAnsi" w:hAnsiTheme="minorHAnsi" w:cstheme="minorHAnsi"/>
          <w:color w:val="212121"/>
          <w:sz w:val="24"/>
          <w:szCs w:val="22"/>
          <w:lang w:val="es-ES_tradnl"/>
        </w:rPr>
        <w:t>c)</w:t>
      </w:r>
      <w:r w:rsidRPr="009A27ED">
        <w:rPr>
          <w:rFonts w:asciiTheme="minorHAnsi" w:hAnsiTheme="minorHAnsi" w:cstheme="minorHAnsi"/>
          <w:color w:val="212121"/>
          <w:sz w:val="24"/>
          <w:szCs w:val="22"/>
          <w:lang w:val="es-ES_tradnl"/>
        </w:rPr>
        <w:tab/>
        <w:t>Registro en el sistema.</w:t>
      </w:r>
    </w:p>
    <w:p w14:paraId="27296CD6" w14:textId="77777777" w:rsidR="00F512DB" w:rsidRPr="009A27ED" w:rsidRDefault="00F512DB" w:rsidP="00F512DB">
      <w:pPr>
        <w:pStyle w:val="HTMLconformatoprevio"/>
        <w:shd w:val="clear" w:color="auto" w:fill="FFFFFF"/>
        <w:spacing w:before="120" w:line="360" w:lineRule="auto"/>
        <w:ind w:left="708"/>
        <w:jc w:val="both"/>
        <w:rPr>
          <w:rFonts w:asciiTheme="minorHAnsi" w:hAnsiTheme="minorHAnsi" w:cstheme="minorHAnsi"/>
          <w:color w:val="212121"/>
          <w:sz w:val="22"/>
          <w:szCs w:val="22"/>
          <w:lang w:val="es-ES_tradnl"/>
        </w:rPr>
      </w:pPr>
      <w:r w:rsidRPr="009A27ED">
        <w:rPr>
          <w:rFonts w:asciiTheme="minorHAnsi" w:hAnsiTheme="minorHAnsi" w:cstheme="minorHAnsi"/>
          <w:color w:val="212121"/>
          <w:sz w:val="24"/>
          <w:szCs w:val="22"/>
          <w:lang w:val="es-ES_tradnl"/>
        </w:rPr>
        <w:t>d)</w:t>
      </w:r>
      <w:r w:rsidRPr="009A27ED">
        <w:rPr>
          <w:rFonts w:asciiTheme="minorHAnsi" w:hAnsiTheme="minorHAnsi" w:cstheme="minorHAnsi"/>
          <w:color w:val="212121"/>
          <w:sz w:val="24"/>
          <w:szCs w:val="22"/>
          <w:lang w:val="es-ES_tradnl"/>
        </w:rPr>
        <w:tab/>
        <w:t>Evaluación de la pertinencia y elegibilidad.</w:t>
      </w:r>
    </w:p>
    <w:p w14:paraId="7B412388" w14:textId="77777777" w:rsidR="00F512DB" w:rsidRPr="009A27ED" w:rsidRDefault="00F512DB" w:rsidP="00F512DB">
      <w:pPr>
        <w:pStyle w:val="HTMLconformatoprevio"/>
        <w:shd w:val="clear" w:color="auto" w:fill="FFFFFF"/>
        <w:spacing w:before="120" w:line="360" w:lineRule="auto"/>
        <w:ind w:left="708"/>
        <w:jc w:val="both"/>
        <w:rPr>
          <w:rFonts w:asciiTheme="minorHAnsi" w:hAnsiTheme="minorHAnsi" w:cstheme="minorHAnsi"/>
          <w:color w:val="212121"/>
          <w:sz w:val="22"/>
          <w:szCs w:val="22"/>
          <w:lang w:val="es-ES_tradnl"/>
        </w:rPr>
      </w:pPr>
      <w:r w:rsidRPr="009A27ED">
        <w:rPr>
          <w:rFonts w:asciiTheme="minorHAnsi" w:hAnsiTheme="minorHAnsi" w:cstheme="minorHAnsi"/>
          <w:color w:val="212121"/>
          <w:sz w:val="24"/>
          <w:szCs w:val="22"/>
          <w:lang w:val="es-ES_tradnl"/>
        </w:rPr>
        <w:t>e)</w:t>
      </w:r>
      <w:r w:rsidRPr="009A27ED">
        <w:rPr>
          <w:rFonts w:asciiTheme="minorHAnsi" w:hAnsiTheme="minorHAnsi" w:cstheme="minorHAnsi"/>
          <w:color w:val="212121"/>
          <w:sz w:val="24"/>
          <w:szCs w:val="22"/>
          <w:lang w:val="es-ES_tradnl"/>
        </w:rPr>
        <w:tab/>
        <w:t>Acuse de recibo al demandante.</w:t>
      </w:r>
    </w:p>
    <w:p w14:paraId="0CFD17CA" w14:textId="77777777" w:rsidR="00F512DB" w:rsidRPr="009A27ED" w:rsidRDefault="00F512DB" w:rsidP="00F512DB">
      <w:pPr>
        <w:pStyle w:val="HTMLconformatoprevio"/>
        <w:shd w:val="clear" w:color="auto" w:fill="FFFFFF"/>
        <w:spacing w:before="120" w:line="360" w:lineRule="auto"/>
        <w:ind w:left="708"/>
        <w:jc w:val="both"/>
        <w:rPr>
          <w:rFonts w:asciiTheme="minorHAnsi" w:hAnsiTheme="minorHAnsi" w:cstheme="minorHAnsi"/>
          <w:color w:val="212121"/>
          <w:sz w:val="22"/>
          <w:szCs w:val="22"/>
          <w:lang w:val="es-ES_tradnl"/>
        </w:rPr>
      </w:pPr>
      <w:r w:rsidRPr="009A27ED">
        <w:rPr>
          <w:rFonts w:asciiTheme="minorHAnsi" w:hAnsiTheme="minorHAnsi" w:cstheme="minorHAnsi"/>
          <w:color w:val="212121"/>
          <w:sz w:val="24"/>
          <w:szCs w:val="22"/>
          <w:lang w:val="es-ES_tradnl"/>
        </w:rPr>
        <w:t>f)</w:t>
      </w:r>
      <w:r w:rsidRPr="009A27ED">
        <w:rPr>
          <w:rFonts w:asciiTheme="minorHAnsi" w:hAnsiTheme="minorHAnsi" w:cstheme="minorHAnsi"/>
          <w:color w:val="212121"/>
          <w:sz w:val="24"/>
          <w:szCs w:val="22"/>
          <w:lang w:val="es-ES_tradnl"/>
        </w:rPr>
        <w:tab/>
        <w:t>Conocimiento y análisis de la queja o reclamo.</w:t>
      </w:r>
    </w:p>
    <w:p w14:paraId="64864BC4" w14:textId="77777777" w:rsidR="00F512DB" w:rsidRPr="009A27ED" w:rsidRDefault="00F512DB" w:rsidP="00F512DB">
      <w:pPr>
        <w:pStyle w:val="HTMLconformatoprevio"/>
        <w:shd w:val="clear" w:color="auto" w:fill="FFFFFF"/>
        <w:spacing w:before="120" w:line="360" w:lineRule="auto"/>
        <w:ind w:left="708"/>
        <w:jc w:val="both"/>
        <w:rPr>
          <w:rFonts w:asciiTheme="minorHAnsi" w:hAnsiTheme="minorHAnsi" w:cstheme="minorHAnsi"/>
          <w:color w:val="212121"/>
          <w:sz w:val="22"/>
          <w:szCs w:val="22"/>
          <w:lang w:val="es-ES_tradnl"/>
        </w:rPr>
      </w:pPr>
      <w:r w:rsidRPr="009A27ED">
        <w:rPr>
          <w:rFonts w:asciiTheme="minorHAnsi" w:hAnsiTheme="minorHAnsi" w:cstheme="minorHAnsi"/>
          <w:color w:val="212121"/>
          <w:sz w:val="24"/>
          <w:szCs w:val="22"/>
          <w:lang w:val="es-ES_tradnl"/>
        </w:rPr>
        <w:t>g)</w:t>
      </w:r>
      <w:r w:rsidRPr="009A27ED">
        <w:rPr>
          <w:rFonts w:asciiTheme="minorHAnsi" w:hAnsiTheme="minorHAnsi" w:cstheme="minorHAnsi"/>
          <w:color w:val="212121"/>
          <w:sz w:val="24"/>
          <w:szCs w:val="22"/>
          <w:lang w:val="es-ES_tradnl"/>
        </w:rPr>
        <w:tab/>
        <w:t>Respuesta al demandante.</w:t>
      </w:r>
    </w:p>
    <w:p w14:paraId="0F157E90" w14:textId="77777777" w:rsidR="00F512DB" w:rsidRPr="009A27ED" w:rsidRDefault="00F512DB" w:rsidP="00F512DB">
      <w:pPr>
        <w:pStyle w:val="HTMLconformatoprevio"/>
        <w:shd w:val="clear" w:color="auto" w:fill="FFFFFF"/>
        <w:spacing w:before="120" w:line="360" w:lineRule="auto"/>
        <w:ind w:left="708"/>
        <w:jc w:val="both"/>
        <w:rPr>
          <w:rFonts w:asciiTheme="minorHAnsi" w:hAnsiTheme="minorHAnsi" w:cstheme="minorHAnsi"/>
          <w:color w:val="212121"/>
          <w:sz w:val="22"/>
          <w:szCs w:val="22"/>
          <w:lang w:val="es-ES_tradnl"/>
        </w:rPr>
      </w:pPr>
      <w:r w:rsidRPr="009A27ED">
        <w:rPr>
          <w:rFonts w:asciiTheme="minorHAnsi" w:hAnsiTheme="minorHAnsi" w:cstheme="minorHAnsi"/>
          <w:color w:val="212121"/>
          <w:sz w:val="24"/>
          <w:szCs w:val="22"/>
          <w:lang w:val="es-ES_tradnl"/>
        </w:rPr>
        <w:t>h)</w:t>
      </w:r>
      <w:r w:rsidRPr="009A27ED">
        <w:rPr>
          <w:rFonts w:asciiTheme="minorHAnsi" w:hAnsiTheme="minorHAnsi" w:cstheme="minorHAnsi"/>
          <w:color w:val="212121"/>
          <w:sz w:val="24"/>
          <w:szCs w:val="22"/>
          <w:lang w:val="es-ES_tradnl"/>
        </w:rPr>
        <w:tab/>
        <w:t>Evaluación adicional por insatisfacción en respuesta.</w:t>
      </w:r>
    </w:p>
    <w:p w14:paraId="46A5246B" w14:textId="77777777" w:rsidR="00F512DB" w:rsidRPr="009A27ED" w:rsidRDefault="00F512DB" w:rsidP="00F512DB">
      <w:pPr>
        <w:pStyle w:val="HTMLconformatoprevio"/>
        <w:shd w:val="clear" w:color="auto" w:fill="FFFFFF"/>
        <w:spacing w:before="120" w:line="360" w:lineRule="auto"/>
        <w:ind w:left="708"/>
        <w:jc w:val="both"/>
        <w:rPr>
          <w:rFonts w:asciiTheme="minorHAnsi" w:hAnsiTheme="minorHAnsi" w:cstheme="minorHAnsi"/>
          <w:color w:val="212121"/>
          <w:sz w:val="22"/>
          <w:szCs w:val="22"/>
          <w:lang w:val="es-ES_tradnl"/>
        </w:rPr>
      </w:pPr>
      <w:r w:rsidRPr="009A27ED">
        <w:rPr>
          <w:rFonts w:asciiTheme="minorHAnsi" w:hAnsiTheme="minorHAnsi" w:cstheme="minorHAnsi"/>
          <w:color w:val="212121"/>
          <w:sz w:val="24"/>
          <w:szCs w:val="22"/>
          <w:lang w:val="es-ES_tradnl"/>
        </w:rPr>
        <w:t>i)</w:t>
      </w:r>
      <w:r w:rsidRPr="009A27ED">
        <w:rPr>
          <w:rFonts w:asciiTheme="minorHAnsi" w:hAnsiTheme="minorHAnsi" w:cstheme="minorHAnsi"/>
          <w:color w:val="212121"/>
          <w:sz w:val="24"/>
          <w:szCs w:val="22"/>
          <w:lang w:val="es-ES_tradnl"/>
        </w:rPr>
        <w:tab/>
        <w:t>Formulación de nueva respuesta.</w:t>
      </w:r>
    </w:p>
    <w:p w14:paraId="4872E900" w14:textId="77777777" w:rsidR="00F512DB" w:rsidRPr="009A27ED" w:rsidRDefault="00F512DB" w:rsidP="00F512DB">
      <w:pPr>
        <w:pStyle w:val="HTMLconformatoprevio"/>
        <w:shd w:val="clear" w:color="auto" w:fill="FFFFFF"/>
        <w:spacing w:before="120" w:line="360" w:lineRule="auto"/>
        <w:ind w:left="708"/>
        <w:jc w:val="both"/>
        <w:rPr>
          <w:rFonts w:asciiTheme="minorHAnsi" w:hAnsiTheme="minorHAnsi" w:cstheme="minorHAnsi"/>
          <w:color w:val="212121"/>
          <w:sz w:val="22"/>
          <w:szCs w:val="22"/>
          <w:lang w:val="es-ES_tradnl"/>
        </w:rPr>
      </w:pPr>
      <w:r w:rsidRPr="009A27ED">
        <w:rPr>
          <w:rFonts w:asciiTheme="minorHAnsi" w:hAnsiTheme="minorHAnsi" w:cstheme="minorHAnsi"/>
          <w:color w:val="212121"/>
          <w:sz w:val="24"/>
          <w:szCs w:val="22"/>
          <w:lang w:val="es-ES_tradnl"/>
        </w:rPr>
        <w:t>j)</w:t>
      </w:r>
      <w:r w:rsidRPr="009A27ED">
        <w:rPr>
          <w:rFonts w:asciiTheme="minorHAnsi" w:hAnsiTheme="minorHAnsi" w:cstheme="minorHAnsi"/>
          <w:color w:val="212121"/>
          <w:sz w:val="24"/>
          <w:szCs w:val="22"/>
          <w:lang w:val="es-ES_tradnl"/>
        </w:rPr>
        <w:tab/>
        <w:t>Cierre del caso.</w:t>
      </w:r>
    </w:p>
    <w:p w14:paraId="7B616D74" w14:textId="77777777" w:rsidR="00F512DB" w:rsidRPr="009A27ED" w:rsidRDefault="00F512DB" w:rsidP="00F512DB">
      <w:pPr>
        <w:pStyle w:val="HTMLconformatoprevio"/>
        <w:shd w:val="clear" w:color="auto" w:fill="FFFFFF"/>
        <w:spacing w:before="120" w:line="360" w:lineRule="auto"/>
        <w:ind w:left="708"/>
        <w:jc w:val="both"/>
        <w:rPr>
          <w:rFonts w:asciiTheme="minorHAnsi" w:hAnsiTheme="minorHAnsi" w:cstheme="minorHAnsi"/>
          <w:color w:val="212121"/>
          <w:sz w:val="22"/>
          <w:szCs w:val="22"/>
          <w:lang w:val="es-ES_tradnl"/>
        </w:rPr>
      </w:pPr>
    </w:p>
    <w:p w14:paraId="63B0EDC7" w14:textId="43F64F98" w:rsidR="00F512DB" w:rsidRPr="009A27ED" w:rsidRDefault="00F512DB" w:rsidP="00F512DB">
      <w:pPr>
        <w:pStyle w:val="HTMLconformatoprevio"/>
        <w:shd w:val="clear" w:color="auto" w:fill="FFFFFF"/>
        <w:spacing w:before="120" w:line="360" w:lineRule="auto"/>
        <w:jc w:val="both"/>
        <w:rPr>
          <w:rFonts w:asciiTheme="minorHAnsi" w:hAnsiTheme="minorHAnsi" w:cstheme="minorHAnsi"/>
          <w:color w:val="212121"/>
          <w:sz w:val="22"/>
          <w:szCs w:val="22"/>
          <w:lang w:val="es-ES_tradnl"/>
        </w:rPr>
      </w:pPr>
      <w:r w:rsidRPr="009A27ED">
        <w:rPr>
          <w:rFonts w:asciiTheme="minorHAnsi" w:hAnsiTheme="minorHAnsi" w:cstheme="minorHAnsi"/>
          <w:color w:val="212121"/>
          <w:sz w:val="24"/>
          <w:szCs w:val="22"/>
          <w:lang w:val="es-ES_tradnl"/>
        </w:rPr>
        <w:t xml:space="preserve">La Entidad Ejecutora es responsable de garantizar la adecuada difusión del SQRC, así como facilitar a los beneficiarios el acceso al mismo. </w:t>
      </w:r>
      <w:r w:rsidR="00394C8F" w:rsidRPr="009A27ED">
        <w:rPr>
          <w:rFonts w:asciiTheme="minorHAnsi" w:hAnsiTheme="minorHAnsi" w:cstheme="minorHAnsi"/>
          <w:color w:val="212121"/>
          <w:sz w:val="24"/>
          <w:szCs w:val="22"/>
          <w:lang w:val="es-ES_tradnl"/>
        </w:rPr>
        <w:t xml:space="preserve">De igual manera, </w:t>
      </w:r>
      <w:r w:rsidRPr="009A27ED">
        <w:rPr>
          <w:rFonts w:asciiTheme="minorHAnsi" w:hAnsiTheme="minorHAnsi" w:cstheme="minorHAnsi"/>
          <w:strike/>
          <w:color w:val="212121"/>
          <w:sz w:val="24"/>
          <w:szCs w:val="22"/>
          <w:lang w:val="es-ES_tradnl"/>
        </w:rPr>
        <w:t>Asimismo</w:t>
      </w:r>
      <w:r w:rsidRPr="009A27ED">
        <w:rPr>
          <w:rFonts w:asciiTheme="minorHAnsi" w:hAnsiTheme="minorHAnsi" w:cstheme="minorHAnsi"/>
          <w:color w:val="212121"/>
          <w:sz w:val="24"/>
          <w:szCs w:val="22"/>
          <w:lang w:val="es-ES_tradnl"/>
        </w:rPr>
        <w:t>, deberá mantener un reporte semestral a la OCR sobre los reclamos recibidos, registrados y gestionados.</w:t>
      </w:r>
    </w:p>
    <w:p w14:paraId="159EE834" w14:textId="77777777" w:rsidR="00F512DB" w:rsidRPr="009A27ED" w:rsidRDefault="00F512DB" w:rsidP="00F512DB">
      <w:pPr>
        <w:pStyle w:val="HTMLconformatoprevio"/>
        <w:shd w:val="clear" w:color="auto" w:fill="FFFFFF"/>
        <w:spacing w:before="120" w:line="360" w:lineRule="auto"/>
        <w:jc w:val="both"/>
        <w:rPr>
          <w:rFonts w:asciiTheme="minorHAnsi" w:hAnsiTheme="minorHAnsi" w:cstheme="minorHAnsi"/>
          <w:color w:val="212121"/>
          <w:sz w:val="22"/>
          <w:szCs w:val="22"/>
          <w:lang w:val="es-ES_tradnl"/>
        </w:rPr>
      </w:pPr>
    </w:p>
    <w:p w14:paraId="0C3EBE81" w14:textId="77777777" w:rsidR="00F512DB" w:rsidRPr="009A27ED" w:rsidRDefault="00F512DB" w:rsidP="00C97A18">
      <w:pPr>
        <w:pStyle w:val="HTMLconformatoprevio"/>
        <w:shd w:val="clear" w:color="auto" w:fill="FFFFFF"/>
        <w:spacing w:line="360" w:lineRule="auto"/>
        <w:jc w:val="both"/>
        <w:rPr>
          <w:rFonts w:asciiTheme="minorHAnsi" w:hAnsiTheme="minorHAnsi" w:cstheme="minorHAnsi"/>
          <w:color w:val="212121"/>
          <w:sz w:val="22"/>
          <w:szCs w:val="22"/>
          <w:lang w:val="es-ES_tradnl"/>
        </w:rPr>
      </w:pPr>
      <w:r w:rsidRPr="009A27ED">
        <w:rPr>
          <w:rFonts w:asciiTheme="minorHAnsi" w:hAnsiTheme="minorHAnsi" w:cstheme="minorHAnsi"/>
          <w:color w:val="212121"/>
          <w:sz w:val="24"/>
          <w:szCs w:val="22"/>
          <w:lang w:val="es-ES_tradnl"/>
        </w:rPr>
        <w:t>Contacto: Dirección de Participación Social</w:t>
      </w:r>
    </w:p>
    <w:p w14:paraId="5E1F0366" w14:textId="77777777" w:rsidR="00F512DB" w:rsidRPr="009A27ED" w:rsidRDefault="00F512DB" w:rsidP="00C97A18">
      <w:pPr>
        <w:pStyle w:val="HTMLconformatoprevio"/>
        <w:shd w:val="clear" w:color="auto" w:fill="FFFFFF"/>
        <w:spacing w:line="360" w:lineRule="auto"/>
        <w:jc w:val="both"/>
        <w:rPr>
          <w:rFonts w:asciiTheme="minorHAnsi" w:hAnsiTheme="minorHAnsi" w:cstheme="minorHAnsi"/>
          <w:color w:val="212121"/>
          <w:sz w:val="22"/>
          <w:szCs w:val="22"/>
          <w:lang w:val="es-ES_tradnl"/>
        </w:rPr>
      </w:pPr>
      <w:r w:rsidRPr="009A27ED">
        <w:rPr>
          <w:rFonts w:asciiTheme="minorHAnsi" w:hAnsiTheme="minorHAnsi" w:cstheme="minorHAnsi"/>
          <w:color w:val="212121"/>
          <w:sz w:val="24"/>
          <w:szCs w:val="22"/>
          <w:lang w:val="es-ES_tradnl"/>
        </w:rPr>
        <w:t>Tel.: (809) 567-4300 Ext. 8000/Opción 1</w:t>
      </w:r>
    </w:p>
    <w:p w14:paraId="66D24428" w14:textId="77777777" w:rsidR="00F512DB" w:rsidRPr="009A27ED" w:rsidRDefault="00F512DB" w:rsidP="00C97A18">
      <w:pPr>
        <w:pStyle w:val="HTMLconformatoprevio"/>
        <w:shd w:val="clear" w:color="auto" w:fill="FFFFFF"/>
        <w:spacing w:line="360" w:lineRule="auto"/>
        <w:jc w:val="both"/>
        <w:rPr>
          <w:rFonts w:asciiTheme="minorHAnsi" w:hAnsiTheme="minorHAnsi" w:cstheme="minorHAnsi"/>
          <w:color w:val="212121"/>
          <w:sz w:val="22"/>
          <w:szCs w:val="22"/>
          <w:lang w:val="en-US"/>
        </w:rPr>
      </w:pPr>
      <w:r w:rsidRPr="009A27ED">
        <w:rPr>
          <w:rFonts w:asciiTheme="minorHAnsi" w:hAnsiTheme="minorHAnsi" w:cstheme="minorHAnsi"/>
          <w:color w:val="212121"/>
          <w:sz w:val="24"/>
          <w:szCs w:val="22"/>
          <w:lang w:val="en-US"/>
        </w:rPr>
        <w:t>WhatsApp: (849) 356-6400</w:t>
      </w:r>
    </w:p>
    <w:p w14:paraId="2B8DA626" w14:textId="77777777" w:rsidR="00F512DB" w:rsidRPr="009A27ED" w:rsidRDefault="00F512DB" w:rsidP="00C97A18">
      <w:pPr>
        <w:pStyle w:val="HTMLconformatoprevio"/>
        <w:shd w:val="clear" w:color="auto" w:fill="FFFFFF"/>
        <w:spacing w:line="360" w:lineRule="auto"/>
        <w:jc w:val="both"/>
        <w:rPr>
          <w:rFonts w:asciiTheme="minorHAnsi" w:hAnsiTheme="minorHAnsi" w:cstheme="minorHAnsi"/>
          <w:color w:val="212121"/>
          <w:sz w:val="22"/>
          <w:szCs w:val="22"/>
          <w:lang w:val="en-US"/>
        </w:rPr>
      </w:pPr>
      <w:r w:rsidRPr="009A27ED">
        <w:rPr>
          <w:rFonts w:asciiTheme="minorHAnsi" w:hAnsiTheme="minorHAnsi" w:cstheme="minorHAnsi"/>
          <w:color w:val="212121"/>
          <w:sz w:val="24"/>
          <w:szCs w:val="22"/>
          <w:lang w:val="en-US"/>
        </w:rPr>
        <w:t>https://ambiente.gob.do/denuncias-ambientales/</w:t>
      </w:r>
    </w:p>
    <w:p w14:paraId="742BBDB1" w14:textId="77777777" w:rsidR="00F512DB" w:rsidRPr="009A27ED" w:rsidRDefault="00F512DB" w:rsidP="00F512DB">
      <w:pPr>
        <w:pStyle w:val="HTMLconformatoprevio"/>
        <w:shd w:val="clear" w:color="auto" w:fill="FFFFFF"/>
        <w:spacing w:before="120" w:line="360" w:lineRule="auto"/>
        <w:jc w:val="both"/>
        <w:rPr>
          <w:rFonts w:asciiTheme="minorHAnsi" w:hAnsiTheme="minorHAnsi" w:cstheme="minorHAnsi"/>
          <w:color w:val="212121"/>
          <w:sz w:val="22"/>
          <w:szCs w:val="22"/>
          <w:lang w:val="en-US"/>
        </w:rPr>
      </w:pPr>
    </w:p>
    <w:p w14:paraId="4D5742D7" w14:textId="6B5FB7ED" w:rsidR="00533B74" w:rsidRPr="009A27ED" w:rsidRDefault="00F512DB" w:rsidP="006E7466">
      <w:pPr>
        <w:pStyle w:val="Ttulo1"/>
        <w:numPr>
          <w:ilvl w:val="0"/>
          <w:numId w:val="0"/>
        </w:numPr>
        <w:spacing w:line="360" w:lineRule="auto"/>
        <w:jc w:val="both"/>
      </w:pPr>
      <w:bookmarkStart w:id="333" w:name="_Toc111838002"/>
      <w:r w:rsidRPr="009A27ED">
        <w:rPr>
          <w:rFonts w:ascii="Times New Roman" w:eastAsia="Times New Roman" w:hAnsi="Times New Roman"/>
          <w:sz w:val="24"/>
        </w:rPr>
        <w:t>11. Proceso de socialización de la EN-REDD+- con los actores involucrados</w:t>
      </w:r>
      <w:bookmarkEnd w:id="333"/>
    </w:p>
    <w:p w14:paraId="521FDFC1" w14:textId="77777777" w:rsidR="006E7466" w:rsidRPr="009A27ED" w:rsidRDefault="006E7466" w:rsidP="00C97A18">
      <w:pPr>
        <w:spacing w:line="360" w:lineRule="auto"/>
      </w:pPr>
    </w:p>
    <w:p w14:paraId="27AC11B7" w14:textId="75BFA754" w:rsidR="00533B74" w:rsidRPr="009A27ED" w:rsidRDefault="00533B74" w:rsidP="00533B74">
      <w:pPr>
        <w:spacing w:after="0" w:line="360" w:lineRule="auto"/>
        <w:rPr>
          <w:szCs w:val="22"/>
        </w:rPr>
      </w:pPr>
      <w:r w:rsidRPr="009A27ED">
        <w:rPr>
          <w:rFonts w:ascii="Times New Roman" w:eastAsia="Times New Roman" w:hAnsi="Times New Roman"/>
          <w:sz w:val="24"/>
          <w:szCs w:val="22"/>
        </w:rPr>
        <w:t xml:space="preserve">La participación pública supone un esfuerzo conjunto del tejido social y las instituciones, en la </w:t>
      </w:r>
      <w:r w:rsidR="00BF1F30" w:rsidRPr="009A27ED">
        <w:rPr>
          <w:rFonts w:ascii="Times New Roman" w:eastAsia="Times New Roman" w:hAnsi="Times New Roman"/>
          <w:sz w:val="24"/>
          <w:szCs w:val="22"/>
        </w:rPr>
        <w:t>búsqueda de</w:t>
      </w:r>
      <w:r w:rsidRPr="009A27ED">
        <w:rPr>
          <w:rFonts w:ascii="Times New Roman" w:eastAsia="Times New Roman" w:hAnsi="Times New Roman"/>
          <w:sz w:val="24"/>
          <w:szCs w:val="22"/>
        </w:rPr>
        <w:t xml:space="preserve"> mejorar las condiciones de vida de los ciudadanos y la conservación de los bosques y la biodiversidad. Este ejercicio va más allá del acceso a la información o la mera consulta, ya que requiere una intervención </w:t>
      </w:r>
      <w:r w:rsidRPr="009A27ED">
        <w:rPr>
          <w:rFonts w:ascii="Times New Roman" w:eastAsia="Times New Roman" w:hAnsi="Times New Roman"/>
          <w:sz w:val="24"/>
          <w:szCs w:val="22"/>
        </w:rPr>
        <w:lastRenderedPageBreak/>
        <w:t xml:space="preserve">activa, consciente y responsable por parte de todos los interesados. Tras la </w:t>
      </w:r>
      <w:proofErr w:type="gramStart"/>
      <w:r w:rsidRPr="009A27ED">
        <w:rPr>
          <w:rFonts w:ascii="Times New Roman" w:eastAsia="Times New Roman" w:hAnsi="Times New Roman"/>
          <w:sz w:val="24"/>
          <w:szCs w:val="22"/>
        </w:rPr>
        <w:t>entrada en vigencia</w:t>
      </w:r>
      <w:proofErr w:type="gramEnd"/>
      <w:r w:rsidRPr="009A27ED">
        <w:rPr>
          <w:rFonts w:ascii="Times New Roman" w:eastAsia="Times New Roman" w:hAnsi="Times New Roman"/>
          <w:sz w:val="24"/>
          <w:szCs w:val="22"/>
        </w:rPr>
        <w:t xml:space="preserve"> de la Ley No. 64-00, se promulgaron importantes instrumentos legales que fortalecieron la gobernabilidad ambiental. Entre ellos se encuentran: i) la Ley de Acceso Gratuito a la Información Pública No. 200-04 y su Reglamento de Aplicación que garantiza el derecho de toda persona a solicitar y recibir información efectiva, precisa y oportuna sobre todos los actos y actividades de los gobiernos centralizados y descentralizados. y organismos y entidades estatales autónomas; </w:t>
      </w:r>
      <w:proofErr w:type="spellStart"/>
      <w:r w:rsidRPr="009A27ED">
        <w:rPr>
          <w:rFonts w:ascii="Times New Roman" w:eastAsia="Times New Roman" w:hAnsi="Times New Roman"/>
          <w:sz w:val="24"/>
          <w:szCs w:val="22"/>
        </w:rPr>
        <w:t>ii</w:t>
      </w:r>
      <w:proofErr w:type="spellEnd"/>
      <w:r w:rsidRPr="009A27ED">
        <w:rPr>
          <w:rFonts w:ascii="Times New Roman" w:eastAsia="Times New Roman" w:hAnsi="Times New Roman"/>
          <w:sz w:val="24"/>
          <w:szCs w:val="22"/>
        </w:rPr>
        <w:t xml:space="preserve">) la reforma constitucional de 2010 que otorga estatus constitucional a la protección y conservación del medio ambiente y reconoce el derecho de toda persona a tener acceso a la información; y </w:t>
      </w:r>
      <w:proofErr w:type="spellStart"/>
      <w:r w:rsidRPr="009A27ED">
        <w:rPr>
          <w:rFonts w:ascii="Times New Roman" w:eastAsia="Times New Roman" w:hAnsi="Times New Roman"/>
          <w:sz w:val="24"/>
          <w:szCs w:val="22"/>
        </w:rPr>
        <w:t>iii</w:t>
      </w:r>
      <w:proofErr w:type="spellEnd"/>
      <w:r w:rsidRPr="009A27ED">
        <w:rPr>
          <w:rFonts w:ascii="Times New Roman" w:eastAsia="Times New Roman" w:hAnsi="Times New Roman"/>
          <w:sz w:val="24"/>
          <w:szCs w:val="22"/>
        </w:rPr>
        <w:t>) la Estrategia Nacional de Desarrollo 2030 que, entre otras disposiciones, establece la promoción de la participación social en la formulación, ejecución, auditoría y evaluación de políticas públicas, mediante la creación de espacios institucionales y mecanismos que faciliten la corresponsabilidad ciudadana y la igualdad de género. , acceso a la información, transparencia, rendición de cuentas, supervisión social y relaciones fluidas.</w:t>
      </w:r>
    </w:p>
    <w:p w14:paraId="0F306AA2" w14:textId="77777777" w:rsidR="00533B74" w:rsidRPr="009A27ED" w:rsidRDefault="00533B74" w:rsidP="00533B74">
      <w:pPr>
        <w:spacing w:after="0" w:line="360" w:lineRule="auto"/>
        <w:rPr>
          <w:szCs w:val="22"/>
        </w:rPr>
      </w:pPr>
      <w:r w:rsidRPr="009A27ED">
        <w:rPr>
          <w:rFonts w:ascii="Times New Roman" w:eastAsia="Times New Roman" w:hAnsi="Times New Roman"/>
          <w:sz w:val="24"/>
          <w:szCs w:val="22"/>
        </w:rPr>
        <w:t>La participación de los diferentes actores relevantes ha sido esencial para el país en todas las fases de diseño de la Estrategia Nacional para REDD + y el Programa de Reducciones de Emisiones por Deforestación y Degradación de Bosques (Programa REDD+), así como del desarrollo posterior de los objetivos establecidos en el Marco de Gestión Ambiental y Social (MGAS) y del Mecanismo de Quejas, Reclamos y Manejo de Conflictos (MQRC) en el país.</w:t>
      </w:r>
    </w:p>
    <w:p w14:paraId="4F777176" w14:textId="77777777" w:rsidR="00533B74" w:rsidRPr="009A27ED" w:rsidRDefault="00533B74" w:rsidP="00533B74">
      <w:pPr>
        <w:spacing w:after="0" w:line="360" w:lineRule="auto"/>
        <w:rPr>
          <w:szCs w:val="22"/>
        </w:rPr>
      </w:pPr>
    </w:p>
    <w:p w14:paraId="3448A6F1" w14:textId="77777777" w:rsidR="00533B74" w:rsidRPr="009A27ED" w:rsidRDefault="00533B74" w:rsidP="00533B74">
      <w:pPr>
        <w:spacing w:after="0" w:line="360" w:lineRule="auto"/>
        <w:rPr>
          <w:szCs w:val="22"/>
        </w:rPr>
      </w:pPr>
      <w:r w:rsidRPr="009A27ED">
        <w:rPr>
          <w:rFonts w:ascii="Times New Roman" w:eastAsia="Times New Roman" w:hAnsi="Times New Roman"/>
          <w:sz w:val="24"/>
          <w:szCs w:val="22"/>
        </w:rPr>
        <w:t>Aunque las Estrategias REDD + tienen el potencial de ofrecer beneficios significativos a las comunidades locales cuyos medios de vida dependen de los bosques, si estas Estrategias REDD + y sus acciones no se implementan de la manera correcta, tienen un alto potencial para generar riesgos para los medios de subsistencia. la garantía de la tenencia de la tierra, la gobernanza forestal y la biodiversidad, entre otros.</w:t>
      </w:r>
    </w:p>
    <w:p w14:paraId="623934AE" w14:textId="77777777" w:rsidR="00533B74" w:rsidRPr="009A27ED" w:rsidRDefault="00533B74" w:rsidP="00533B74">
      <w:pPr>
        <w:spacing w:after="0" w:line="360" w:lineRule="auto"/>
        <w:rPr>
          <w:szCs w:val="22"/>
        </w:rPr>
      </w:pPr>
    </w:p>
    <w:p w14:paraId="47A6DBD7" w14:textId="77777777" w:rsidR="00533B74" w:rsidRPr="009A27ED" w:rsidRDefault="00533B74" w:rsidP="00533B74">
      <w:pPr>
        <w:spacing w:after="0" w:line="360" w:lineRule="auto"/>
        <w:rPr>
          <w:szCs w:val="22"/>
        </w:rPr>
      </w:pPr>
      <w:r w:rsidRPr="009A27ED">
        <w:rPr>
          <w:rFonts w:ascii="Times New Roman" w:eastAsia="Times New Roman" w:hAnsi="Times New Roman"/>
          <w:sz w:val="24"/>
          <w:szCs w:val="22"/>
        </w:rPr>
        <w:t>Es por esta razón que el Fondo Cooperativo para el Carbono Forestal (FCPF) ha desarrollado directrices para promover la participación plena y efectiva de los actores involucrados pertinentes, a fin de garantizar su participación en las fases de formulación y ejecución de la EN-REDD+ y el Programa de Reducciones de Emisiones por Deforestación y Degradación Forestal (Programa REDD+), para ser presentado al Fondo de Carbono del FCPF.</w:t>
      </w:r>
    </w:p>
    <w:p w14:paraId="674C9EC5" w14:textId="77777777" w:rsidR="00533B74" w:rsidRPr="009A27ED" w:rsidRDefault="00533B74" w:rsidP="00533B74">
      <w:pPr>
        <w:spacing w:after="0" w:line="360" w:lineRule="auto"/>
        <w:rPr>
          <w:szCs w:val="22"/>
        </w:rPr>
      </w:pPr>
    </w:p>
    <w:p w14:paraId="0173D957" w14:textId="77777777" w:rsidR="00533B74" w:rsidRPr="009A27ED" w:rsidRDefault="00533B74" w:rsidP="00533B74">
      <w:pPr>
        <w:spacing w:after="0" w:line="360" w:lineRule="auto"/>
        <w:rPr>
          <w:szCs w:val="22"/>
        </w:rPr>
      </w:pPr>
      <w:r w:rsidRPr="009A27ED">
        <w:rPr>
          <w:rFonts w:ascii="Times New Roman" w:eastAsia="Times New Roman" w:hAnsi="Times New Roman"/>
          <w:sz w:val="24"/>
          <w:szCs w:val="22"/>
        </w:rPr>
        <w:lastRenderedPageBreak/>
        <w:t>El proceso de socialización de información inició con el proceso SESA en el año 2017-2018, en el año 2019, se llevaron a cabo nuevos procesos participativos enfocados en la preparación y validación de propuestas de consultoría, lo cual adicionó un total de 584 participantes al número que ya se había establecido en diciembre 2018 (2584 participantes).</w:t>
      </w:r>
    </w:p>
    <w:p w14:paraId="5465960D" w14:textId="77777777" w:rsidR="00533B74" w:rsidRPr="009A27ED" w:rsidRDefault="00533B74" w:rsidP="00533B74">
      <w:pPr>
        <w:spacing w:after="0" w:line="360" w:lineRule="auto"/>
        <w:rPr>
          <w:szCs w:val="22"/>
        </w:rPr>
      </w:pPr>
    </w:p>
    <w:p w14:paraId="583A5A72" w14:textId="77777777" w:rsidR="00533B74" w:rsidRPr="009A27ED" w:rsidRDefault="00533B74" w:rsidP="00533B74">
      <w:pPr>
        <w:spacing w:after="0" w:line="360" w:lineRule="auto"/>
        <w:rPr>
          <w:szCs w:val="22"/>
        </w:rPr>
      </w:pPr>
      <w:r w:rsidRPr="009A27ED">
        <w:rPr>
          <w:rFonts w:ascii="Times New Roman" w:eastAsia="Times New Roman" w:hAnsi="Times New Roman"/>
          <w:sz w:val="24"/>
          <w:szCs w:val="22"/>
        </w:rPr>
        <w:t xml:space="preserve">Como resultado de los procesos de consulta, el primer borrador de la </w:t>
      </w:r>
      <w:r w:rsidRPr="009A27ED">
        <w:rPr>
          <w:rFonts w:ascii="Times New Roman" w:eastAsia="Times New Roman" w:hAnsi="Times New Roman"/>
          <w:b/>
          <w:i/>
          <w:sz w:val="24"/>
          <w:szCs w:val="22"/>
        </w:rPr>
        <w:t>Estrategia Nacional REDD +</w:t>
      </w:r>
      <w:r w:rsidRPr="009A27ED">
        <w:rPr>
          <w:rFonts w:ascii="Times New Roman" w:eastAsia="Times New Roman" w:hAnsi="Times New Roman"/>
          <w:sz w:val="24"/>
          <w:szCs w:val="22"/>
        </w:rPr>
        <w:t xml:space="preserve"> se preparó a través de tres talleres regionales, un taller nacional y una reunión de expertos con 111 participantes; otro producto fue el </w:t>
      </w:r>
      <w:r w:rsidRPr="009A27ED">
        <w:rPr>
          <w:rFonts w:ascii="Times New Roman" w:eastAsia="Times New Roman" w:hAnsi="Times New Roman"/>
          <w:b/>
          <w:i/>
          <w:sz w:val="24"/>
          <w:szCs w:val="22"/>
        </w:rPr>
        <w:t>Plan de Distribución de Beneficios</w:t>
      </w:r>
      <w:r w:rsidRPr="009A27ED">
        <w:rPr>
          <w:rFonts w:ascii="Times New Roman" w:eastAsia="Times New Roman" w:hAnsi="Times New Roman"/>
          <w:sz w:val="24"/>
          <w:szCs w:val="22"/>
        </w:rPr>
        <w:t>, que incluyó una consulta inicial con cada una de las nueve agencias implementadoras y un taller de retroalimentación con 79 participantes.</w:t>
      </w:r>
    </w:p>
    <w:p w14:paraId="51ACB808" w14:textId="77777777" w:rsidR="00533B74" w:rsidRPr="009A27ED" w:rsidRDefault="00533B74" w:rsidP="00533B74">
      <w:pPr>
        <w:spacing w:after="0" w:line="360" w:lineRule="auto"/>
        <w:rPr>
          <w:szCs w:val="22"/>
        </w:rPr>
      </w:pPr>
    </w:p>
    <w:p w14:paraId="6A1CE4F8" w14:textId="77777777" w:rsidR="00533B74" w:rsidRPr="009A27ED" w:rsidRDefault="00533B74" w:rsidP="00533B74">
      <w:pPr>
        <w:spacing w:after="0" w:line="360" w:lineRule="auto"/>
        <w:rPr>
          <w:szCs w:val="22"/>
        </w:rPr>
      </w:pPr>
      <w:r w:rsidRPr="009A27ED">
        <w:rPr>
          <w:rFonts w:ascii="Times New Roman" w:eastAsia="Times New Roman" w:hAnsi="Times New Roman"/>
          <w:sz w:val="24"/>
          <w:szCs w:val="22"/>
        </w:rPr>
        <w:t>Se llevaron a cabo dos talleres nacionales de validación para el Marco de Gestión Ambiental y Social (SESA), el Mecanismo de Quejas, Reclamos y Manejo de Conflictos (MQRC) y el Sistema de Información de Salvaguardas (SIS). A la primera asistieron instituciones, academia, ONG, asociaciones de productores forestales, agroforestería privada y representantes de ganado, todos ellos participantes de los talleres realizados en 2017-2018, y otro taller con miembros del Comité Asesor Técnico (CTA) REDD + que se llevaron a cabo en abril de 2019 con un total de 239 participantes.</w:t>
      </w:r>
    </w:p>
    <w:p w14:paraId="7188E4AB" w14:textId="77777777" w:rsidR="00533B74" w:rsidRPr="009A27ED" w:rsidRDefault="00533B74" w:rsidP="00533B74">
      <w:pPr>
        <w:spacing w:after="0" w:line="360" w:lineRule="auto"/>
        <w:rPr>
          <w:szCs w:val="22"/>
        </w:rPr>
      </w:pPr>
    </w:p>
    <w:p w14:paraId="2BB96783" w14:textId="77777777" w:rsidR="00533B74" w:rsidRPr="009A27ED" w:rsidRDefault="00533B74" w:rsidP="00533B74">
      <w:pPr>
        <w:spacing w:after="0" w:line="360" w:lineRule="auto"/>
        <w:rPr>
          <w:szCs w:val="22"/>
        </w:rPr>
      </w:pPr>
      <w:r w:rsidRPr="009A27ED">
        <w:rPr>
          <w:rFonts w:ascii="Times New Roman" w:eastAsia="Times New Roman" w:hAnsi="Times New Roman"/>
          <w:sz w:val="24"/>
          <w:szCs w:val="22"/>
        </w:rPr>
        <w:t>A nivel local, se realizaron 5 talleres para validar los Planes de Manejo Ambiental y Social (PMAS) en cada una de las áreas REDD + priorizadas con 155 participantes representantes de asociaciones de silvicultura, ganadería, agroforestería, grupos de mujeres y entidades ejecutoras que operan a nivel local</w:t>
      </w:r>
      <w:proofErr w:type="gramStart"/>
      <w:r w:rsidRPr="009A27ED">
        <w:rPr>
          <w:rFonts w:ascii="Times New Roman" w:eastAsia="Times New Roman" w:hAnsi="Times New Roman"/>
          <w:sz w:val="24"/>
          <w:szCs w:val="22"/>
        </w:rPr>
        <w:t>. ,</w:t>
      </w:r>
      <w:proofErr w:type="gramEnd"/>
      <w:r w:rsidRPr="009A27ED">
        <w:rPr>
          <w:rFonts w:ascii="Times New Roman" w:eastAsia="Times New Roman" w:hAnsi="Times New Roman"/>
          <w:sz w:val="24"/>
          <w:szCs w:val="22"/>
        </w:rPr>
        <w:t xml:space="preserve"> ONG, grupos ecologistas y academias con presencia en cada una de las áreas. Estos talleres se organizaron en dos momentos. La primera fue presentar los avances de NS REDD + en el país, las Salvaguardas de la CMNUCC y el PO-BM y los elementos constitutivos de los Planes de Gestión Ambiental y Social. El segundo taller se dedicó a revisar los acuerdos institucionales, el marco de gobernanza, las buenas prácticas sociales y ambientales para abordar los riesgos negativos identificados y las medidas de mitigación propuestas en cada PMAS. </w:t>
      </w:r>
    </w:p>
    <w:p w14:paraId="02C4DBF1" w14:textId="77777777" w:rsidR="00533B74" w:rsidRPr="009A27ED" w:rsidRDefault="00533B74" w:rsidP="00533B74">
      <w:pPr>
        <w:spacing w:after="0" w:line="360" w:lineRule="auto"/>
        <w:rPr>
          <w:szCs w:val="22"/>
        </w:rPr>
      </w:pPr>
    </w:p>
    <w:p w14:paraId="55366DBD" w14:textId="77777777" w:rsidR="00533B74" w:rsidRPr="009A27ED" w:rsidRDefault="00533B74" w:rsidP="00533B74">
      <w:pPr>
        <w:spacing w:after="0" w:line="360" w:lineRule="auto"/>
        <w:rPr>
          <w:szCs w:val="22"/>
        </w:rPr>
      </w:pPr>
      <w:r w:rsidRPr="009A27ED">
        <w:rPr>
          <w:rFonts w:ascii="Times New Roman" w:eastAsia="Times New Roman" w:hAnsi="Times New Roman"/>
          <w:sz w:val="24"/>
          <w:szCs w:val="22"/>
        </w:rPr>
        <w:t>Como reflejo de esta socialización y validación de procesos, se presenta un resumen de las opiniones y recomendaciones de los actores involucrados en las cinco áreas priorizadas para REDD+ y de las Entidades Ejecutoras:</w:t>
      </w:r>
    </w:p>
    <w:p w14:paraId="241CC68D" w14:textId="77777777" w:rsidR="00533B74" w:rsidRPr="009A27ED" w:rsidRDefault="00533B74" w:rsidP="00533B74">
      <w:pPr>
        <w:spacing w:after="0" w:line="360" w:lineRule="auto"/>
        <w:rPr>
          <w:szCs w:val="22"/>
        </w:rPr>
      </w:pPr>
    </w:p>
    <w:p w14:paraId="7EF9E65C" w14:textId="77777777" w:rsidR="00533B74" w:rsidRPr="009A27ED" w:rsidRDefault="00533B74" w:rsidP="00533B74">
      <w:pPr>
        <w:spacing w:after="0" w:line="360" w:lineRule="auto"/>
        <w:rPr>
          <w:szCs w:val="22"/>
        </w:rPr>
      </w:pPr>
      <w:r w:rsidRPr="009A27ED">
        <w:rPr>
          <w:rFonts w:ascii="Times New Roman" w:eastAsia="Times New Roman" w:hAnsi="Times New Roman"/>
          <w:sz w:val="24"/>
          <w:szCs w:val="22"/>
        </w:rPr>
        <w:t xml:space="preserve">Sobre el </w:t>
      </w:r>
      <w:r w:rsidRPr="009A27ED">
        <w:rPr>
          <w:rFonts w:ascii="Times New Roman" w:eastAsia="Times New Roman" w:hAnsi="Times New Roman"/>
          <w:b/>
          <w:i/>
          <w:sz w:val="24"/>
          <w:szCs w:val="22"/>
        </w:rPr>
        <w:t>Marco de Gestión Ambiental y Social (MGAS)</w:t>
      </w:r>
      <w:r w:rsidRPr="009A27ED">
        <w:rPr>
          <w:rFonts w:ascii="Times New Roman" w:eastAsia="Times New Roman" w:hAnsi="Times New Roman"/>
          <w:sz w:val="24"/>
          <w:szCs w:val="22"/>
        </w:rPr>
        <w:t>, la retroalimentación tanto de los miembros del CTA, como de las Entidades Ejecutoras reflejó las siguientes recomendaciones:</w:t>
      </w:r>
    </w:p>
    <w:p w14:paraId="54076124" w14:textId="77777777" w:rsidR="00533B74" w:rsidRPr="009A27ED" w:rsidRDefault="00533B74" w:rsidP="00533B74">
      <w:pPr>
        <w:spacing w:after="0" w:line="360" w:lineRule="auto"/>
        <w:rPr>
          <w:szCs w:val="22"/>
        </w:rPr>
      </w:pPr>
    </w:p>
    <w:p w14:paraId="3A267686" w14:textId="77777777" w:rsidR="00533B74" w:rsidRPr="009A27ED" w:rsidRDefault="00533B74" w:rsidP="00533B74">
      <w:pPr>
        <w:pStyle w:val="Prrafodelista"/>
        <w:numPr>
          <w:ilvl w:val="0"/>
          <w:numId w:val="135"/>
        </w:numPr>
        <w:spacing w:after="0" w:line="360" w:lineRule="auto"/>
        <w:rPr>
          <w:szCs w:val="22"/>
          <w:lang w:val="es-ES"/>
        </w:rPr>
      </w:pPr>
      <w:r w:rsidRPr="009A27ED">
        <w:rPr>
          <w:rFonts w:ascii="Times New Roman" w:eastAsia="Times New Roman" w:hAnsi="Times New Roman"/>
          <w:sz w:val="24"/>
          <w:szCs w:val="22"/>
          <w:lang w:val="es-ES"/>
        </w:rPr>
        <w:t xml:space="preserve">Existe un consenso general sobre los arreglos institucionales presentados y los planteamientos expresados en el Marco de Gestión Ambiental y Social, </w:t>
      </w:r>
    </w:p>
    <w:p w14:paraId="709DC15A" w14:textId="77777777" w:rsidR="00533B74" w:rsidRPr="009A27ED" w:rsidRDefault="00533B74" w:rsidP="00533B74">
      <w:pPr>
        <w:pStyle w:val="Prrafodelista"/>
        <w:numPr>
          <w:ilvl w:val="0"/>
          <w:numId w:val="135"/>
        </w:numPr>
        <w:spacing w:after="0" w:line="360" w:lineRule="auto"/>
        <w:rPr>
          <w:szCs w:val="22"/>
          <w:lang w:val="es-ES"/>
        </w:rPr>
      </w:pPr>
      <w:r w:rsidRPr="009A27ED">
        <w:rPr>
          <w:rFonts w:ascii="Times New Roman" w:eastAsia="Times New Roman" w:hAnsi="Times New Roman"/>
          <w:sz w:val="24"/>
          <w:szCs w:val="22"/>
          <w:lang w:val="es-ES"/>
        </w:rPr>
        <w:t xml:space="preserve">Será necesario que, como se mencionó en el documento del Diagnóstico de Capacidades Institucionales para las Entidades Ejecutoras, los Miembros del CTA, las Entidades Ejecutoras y los socios de éstas en las áreas priorizadas para REDD+, sean parte de un proceso de capacitación intensiva sobre el conocimiento de las salvaguardas sociales y ambientales y las Políticas Operativas del Banco Mundial, que aplican y se relacionan con el Enfoque Nacional de Salvaguardas, la interpretación nacional que se hizo de éstas y su relación el Sistema de Información de Salvaguardas y el Mecanismos de Quejas, Reclamos y Gestión de Conflictos, pues las EE serán parte importante del reporte y de proveer información que refleje con propiedad el respeto y abordaje de las salvaguardas que se está aplicando. </w:t>
      </w:r>
    </w:p>
    <w:p w14:paraId="6F0F8F41" w14:textId="77777777" w:rsidR="00533B74" w:rsidRPr="009A27ED" w:rsidRDefault="00533B74" w:rsidP="00533B74">
      <w:pPr>
        <w:pStyle w:val="Prrafodelista"/>
        <w:numPr>
          <w:ilvl w:val="0"/>
          <w:numId w:val="135"/>
        </w:numPr>
        <w:spacing w:after="0" w:line="360" w:lineRule="auto"/>
        <w:rPr>
          <w:szCs w:val="22"/>
          <w:lang w:val="es-ES"/>
        </w:rPr>
      </w:pPr>
      <w:r w:rsidRPr="009A27ED">
        <w:rPr>
          <w:rFonts w:ascii="Times New Roman" w:eastAsia="Times New Roman" w:hAnsi="Times New Roman"/>
          <w:sz w:val="24"/>
          <w:szCs w:val="22"/>
          <w:lang w:val="es-ES"/>
        </w:rPr>
        <w:t xml:space="preserve">Quedó también reflejado en este resumen, que existe una necesidad de generar procesos de articulación entre las Entidades Ejecutoras, el CTA y la Oficina de Coordinación REDD+ que se instalará en el Ministerio de Medio Ambiente para darle seguimiento a este proceso, es importante por ello que los arreglos institucionales se diseñen en conjunto, que se comprenda su alcance y que se aclaren de manera oportuna las responsabilidades/obligaciones/beneficios que esos arreglos conllevan para todos los involucrados. Esta articulación deberá estar enfocada en mantener la </w:t>
      </w:r>
      <w:proofErr w:type="gramStart"/>
      <w:r w:rsidRPr="009A27ED">
        <w:rPr>
          <w:rFonts w:ascii="Times New Roman" w:eastAsia="Times New Roman" w:hAnsi="Times New Roman"/>
          <w:sz w:val="24"/>
          <w:szCs w:val="22"/>
          <w:lang w:val="es-ES"/>
        </w:rPr>
        <w:t>participación activa</w:t>
      </w:r>
      <w:proofErr w:type="gramEnd"/>
      <w:r w:rsidRPr="009A27ED">
        <w:rPr>
          <w:rFonts w:ascii="Times New Roman" w:eastAsia="Times New Roman" w:hAnsi="Times New Roman"/>
          <w:sz w:val="24"/>
          <w:szCs w:val="22"/>
          <w:lang w:val="es-ES"/>
        </w:rPr>
        <w:t xml:space="preserve"> de los diferentes actores y sectores a nivel nacional y en las áreas priorizadas para REDD+, el CTA tendrá una función facilitadora de este proceso, pues la participación social deberá ser tomada en cuenta y deberá participar en el seguimiento a la aplicación de salvaguardas. La OCR deberá ser cuidadosa y diligente para conformar a las Entidades Ejecutoras en un Comité o una Plataforma de Seguimiento, pues es claro que entre ellas deben conocerse mejor, deben compartir su experiencia y deben aprender a optimizar los recursos técnicos y financieros. </w:t>
      </w:r>
    </w:p>
    <w:p w14:paraId="42F7B0AA" w14:textId="77777777" w:rsidR="00533B74" w:rsidRPr="009A27ED" w:rsidRDefault="00533B74" w:rsidP="00533B74">
      <w:pPr>
        <w:pStyle w:val="Prrafodelista"/>
        <w:spacing w:after="0" w:line="360" w:lineRule="auto"/>
        <w:ind w:left="720"/>
        <w:rPr>
          <w:szCs w:val="22"/>
          <w:lang w:val="es-ES"/>
        </w:rPr>
      </w:pPr>
    </w:p>
    <w:p w14:paraId="334153EF" w14:textId="77777777" w:rsidR="00533B74" w:rsidRPr="009A27ED" w:rsidRDefault="00533B74" w:rsidP="00533B74">
      <w:pPr>
        <w:spacing w:after="0" w:line="360" w:lineRule="auto"/>
        <w:rPr>
          <w:szCs w:val="22"/>
        </w:rPr>
      </w:pPr>
      <w:r w:rsidRPr="009A27ED">
        <w:rPr>
          <w:rFonts w:ascii="Times New Roman" w:eastAsia="Times New Roman" w:hAnsi="Times New Roman"/>
          <w:sz w:val="24"/>
          <w:szCs w:val="22"/>
        </w:rPr>
        <w:t xml:space="preserve">Con respecto al </w:t>
      </w:r>
      <w:r w:rsidRPr="009A27ED">
        <w:rPr>
          <w:rFonts w:ascii="Times New Roman" w:eastAsia="Times New Roman" w:hAnsi="Times New Roman"/>
          <w:b/>
          <w:i/>
          <w:sz w:val="24"/>
          <w:szCs w:val="22"/>
        </w:rPr>
        <w:t>Sistema de Información de Salvaguardas (SIS)</w:t>
      </w:r>
      <w:r w:rsidRPr="009A27ED">
        <w:rPr>
          <w:rFonts w:ascii="Times New Roman" w:eastAsia="Times New Roman" w:hAnsi="Times New Roman"/>
          <w:sz w:val="24"/>
          <w:szCs w:val="22"/>
        </w:rPr>
        <w:t>:</w:t>
      </w:r>
    </w:p>
    <w:p w14:paraId="6C3DBA0F" w14:textId="77777777" w:rsidR="00533B74" w:rsidRPr="009A27ED" w:rsidRDefault="00533B74" w:rsidP="00533B74">
      <w:pPr>
        <w:spacing w:after="0" w:line="360" w:lineRule="auto"/>
        <w:rPr>
          <w:szCs w:val="22"/>
        </w:rPr>
      </w:pPr>
    </w:p>
    <w:p w14:paraId="1717C12C" w14:textId="77777777" w:rsidR="00533B74" w:rsidRPr="009A27ED" w:rsidRDefault="00533B74" w:rsidP="00533B74">
      <w:pPr>
        <w:pStyle w:val="Prrafodelista"/>
        <w:numPr>
          <w:ilvl w:val="0"/>
          <w:numId w:val="136"/>
        </w:numPr>
        <w:spacing w:after="0" w:line="360" w:lineRule="auto"/>
        <w:rPr>
          <w:szCs w:val="22"/>
          <w:lang w:val="es-ES"/>
        </w:rPr>
      </w:pPr>
      <w:r w:rsidRPr="009A27ED">
        <w:rPr>
          <w:rFonts w:ascii="Times New Roman" w:eastAsia="Times New Roman" w:hAnsi="Times New Roman"/>
          <w:sz w:val="24"/>
          <w:szCs w:val="22"/>
          <w:lang w:val="es-ES"/>
        </w:rPr>
        <w:lastRenderedPageBreak/>
        <w:t xml:space="preserve">Los Miembros del CTA y de las Entidades Ejecutoras, recibieron información sobre un sistema que por ahora no está implementado, sin embargo, se aclaró que todos los involucrados en este proceso, recibirán capacitación específica sobre el Enfoque Nacional de Salvaguardas, el Sistema de Información de Salvaguardas y la forma en que debe respetarse y abordarse las salvaguardas para poder desarrollar resúmenes de información para la CMNUCC. Existe una ruta crítica para implementar un sistema ágil y práctico, que permita recoger la información desde las bases para generar reportes. </w:t>
      </w:r>
    </w:p>
    <w:p w14:paraId="055A61DF" w14:textId="77777777" w:rsidR="00533B74" w:rsidRPr="009A27ED" w:rsidRDefault="00533B74" w:rsidP="00533B74">
      <w:pPr>
        <w:pStyle w:val="Prrafodelista"/>
        <w:numPr>
          <w:ilvl w:val="0"/>
          <w:numId w:val="136"/>
        </w:numPr>
        <w:spacing w:after="0" w:line="360" w:lineRule="auto"/>
        <w:rPr>
          <w:szCs w:val="22"/>
          <w:lang w:val="es-ES"/>
        </w:rPr>
      </w:pPr>
      <w:r w:rsidRPr="009A27ED">
        <w:rPr>
          <w:rFonts w:ascii="Times New Roman" w:eastAsia="Times New Roman" w:hAnsi="Times New Roman"/>
          <w:sz w:val="24"/>
          <w:szCs w:val="22"/>
          <w:lang w:val="es-ES"/>
        </w:rPr>
        <w:t xml:space="preserve">Tanto en el CTA como los Miembros de las EE, apuntaron a un elemento clave que está relacionado con el establecimiento de indicadores medibles y verificables para el cumplimiento oportuno de las salvaguardas, la UTG-REDD+-RD desarrolló una matriz de indicadores y variables que parten de la interpretación nacional de las salvaguardas sociales y ambientales y las políticas operativas del Banco Mundial, los indicadores fueron presentados a los socios en las áreas priorizadas y a las EE en los talleres de validación de los PMAS llevados a cabo durante la semana del 22 al 26 de abril 2019 (Cotuí 22 de abril, San Francisco de </w:t>
      </w:r>
      <w:proofErr w:type="spellStart"/>
      <w:r w:rsidRPr="009A27ED">
        <w:rPr>
          <w:rFonts w:ascii="Times New Roman" w:eastAsia="Times New Roman" w:hAnsi="Times New Roman"/>
          <w:sz w:val="24"/>
          <w:szCs w:val="22"/>
          <w:lang w:val="es-ES"/>
        </w:rPr>
        <w:t>Macoris</w:t>
      </w:r>
      <w:proofErr w:type="spellEnd"/>
      <w:r w:rsidRPr="009A27ED">
        <w:rPr>
          <w:rFonts w:ascii="Times New Roman" w:eastAsia="Times New Roman" w:hAnsi="Times New Roman"/>
          <w:sz w:val="24"/>
          <w:szCs w:val="22"/>
          <w:lang w:val="es-ES"/>
        </w:rPr>
        <w:t xml:space="preserve"> 23 de abril, Santiago Rodríguez 24 de abril, Azua y Las Matas de Farfán el 26 de abril). Durante las capacitaciones que se realizaron en el mes de junio 2019, para capacitar a las EE en todo el proceso REDD+, se puso especial énfasis en presentar los instrumentos de reporte con sus respectivos tiempos de cumplimiento. </w:t>
      </w:r>
    </w:p>
    <w:p w14:paraId="776953EB" w14:textId="77777777" w:rsidR="00533B74" w:rsidRPr="009A27ED" w:rsidRDefault="00533B74" w:rsidP="00533B74">
      <w:pPr>
        <w:pStyle w:val="Prrafodelista"/>
        <w:numPr>
          <w:ilvl w:val="0"/>
          <w:numId w:val="136"/>
        </w:numPr>
        <w:spacing w:after="0" w:line="360" w:lineRule="auto"/>
        <w:rPr>
          <w:szCs w:val="22"/>
          <w:lang w:val="es-ES"/>
        </w:rPr>
      </w:pPr>
      <w:r w:rsidRPr="009A27ED">
        <w:rPr>
          <w:rFonts w:ascii="Times New Roman" w:eastAsia="Times New Roman" w:hAnsi="Times New Roman"/>
          <w:sz w:val="24"/>
          <w:szCs w:val="22"/>
          <w:lang w:val="es-ES"/>
        </w:rPr>
        <w:t xml:space="preserve">La implementación del SIS requerirá de un acompañamiento constante por parte de la OCR hacia las EE y los socios en las áreas priorizadas, las oficinas provinciales del Ministerio de Medio Ambiente serán un elemento clave para acompañar este proceso, especialmente con las EE y los beneficiarios REDD+ en cada región. </w:t>
      </w:r>
    </w:p>
    <w:p w14:paraId="1EC54925" w14:textId="77777777" w:rsidR="00533B74" w:rsidRPr="009A27ED" w:rsidRDefault="00533B74" w:rsidP="00533B74">
      <w:pPr>
        <w:spacing w:after="0" w:line="360" w:lineRule="auto"/>
        <w:rPr>
          <w:szCs w:val="22"/>
        </w:rPr>
      </w:pPr>
    </w:p>
    <w:p w14:paraId="1193E424" w14:textId="77777777" w:rsidR="00533B74" w:rsidRPr="009A27ED" w:rsidRDefault="00533B74" w:rsidP="00533B74">
      <w:pPr>
        <w:spacing w:line="360" w:lineRule="auto"/>
        <w:rPr>
          <w:szCs w:val="22"/>
        </w:rPr>
      </w:pPr>
      <w:r w:rsidRPr="009A27ED">
        <w:rPr>
          <w:rFonts w:ascii="Times New Roman" w:eastAsia="Times New Roman" w:hAnsi="Times New Roman"/>
          <w:sz w:val="24"/>
          <w:szCs w:val="22"/>
        </w:rPr>
        <w:t xml:space="preserve">Una parte importante del proceso REDD+ y su componente social, ha sido la construcción de un mecanismo de atención a reclamos, que en República Dominicana ha sido denominado el </w:t>
      </w:r>
      <w:r w:rsidRPr="009A27ED">
        <w:rPr>
          <w:rFonts w:ascii="Times New Roman" w:eastAsia="Times New Roman" w:hAnsi="Times New Roman"/>
          <w:b/>
          <w:i/>
          <w:sz w:val="24"/>
          <w:szCs w:val="22"/>
        </w:rPr>
        <w:t>Mecanismo de Quejas, Reclamos y Manejo de Conflictos (MQRC)</w:t>
      </w:r>
      <w:r w:rsidRPr="009A27ED">
        <w:rPr>
          <w:rFonts w:ascii="Times New Roman" w:eastAsia="Times New Roman" w:hAnsi="Times New Roman"/>
          <w:sz w:val="24"/>
          <w:szCs w:val="22"/>
        </w:rPr>
        <w:t>, la principal función de este mecanismo está enfocado en la capacidad que tengan los beneficiarios, Entidades Ejecutoras y la OCR, para poder recibir, analizar y resolver los potenciales reclamos que la implementación de actividades tipo REDD+ pudieran generar en los distintos niveles de implementación, tanto el CTA como las EE reaccionaron a estos planteamientos de la siguiente manera:</w:t>
      </w:r>
    </w:p>
    <w:p w14:paraId="71A3E86E" w14:textId="77777777" w:rsidR="00533B74" w:rsidRPr="009A27ED" w:rsidRDefault="00533B74" w:rsidP="00533B74">
      <w:pPr>
        <w:pStyle w:val="Prrafodelista"/>
        <w:numPr>
          <w:ilvl w:val="0"/>
          <w:numId w:val="137"/>
        </w:numPr>
        <w:spacing w:after="0" w:line="360" w:lineRule="auto"/>
        <w:ind w:left="714" w:hanging="357"/>
        <w:rPr>
          <w:szCs w:val="22"/>
          <w:lang w:val="es-ES"/>
        </w:rPr>
      </w:pPr>
      <w:r w:rsidRPr="009A27ED">
        <w:rPr>
          <w:rFonts w:ascii="Times New Roman" w:eastAsia="Times New Roman" w:hAnsi="Times New Roman"/>
          <w:sz w:val="24"/>
          <w:szCs w:val="22"/>
          <w:lang w:val="es-ES"/>
        </w:rPr>
        <w:lastRenderedPageBreak/>
        <w:t>El proceso de implementación parece estar claro, sin embargo, se refleja en la retroalimentación, que tendrá que trabajarse de manera oportuna para que los socios y beneficiarios, reciban información sobre la forma en que la Línea Verde funciona actualmente y la forma en que será fortalecido para ser un mecanismo ágil y cercano a los intereses de los actores involucrados en REDD+.</w:t>
      </w:r>
    </w:p>
    <w:p w14:paraId="3818BC5F" w14:textId="77777777" w:rsidR="00533B74" w:rsidRPr="009A27ED" w:rsidRDefault="00533B74" w:rsidP="00533B74">
      <w:pPr>
        <w:pStyle w:val="Prrafodelista"/>
        <w:numPr>
          <w:ilvl w:val="0"/>
          <w:numId w:val="137"/>
        </w:numPr>
        <w:spacing w:after="0" w:line="360" w:lineRule="auto"/>
        <w:ind w:left="714" w:hanging="357"/>
        <w:rPr>
          <w:szCs w:val="22"/>
          <w:lang w:val="es-ES"/>
        </w:rPr>
      </w:pPr>
      <w:r w:rsidRPr="009A27ED">
        <w:rPr>
          <w:rFonts w:ascii="Times New Roman" w:eastAsia="Times New Roman" w:hAnsi="Times New Roman"/>
          <w:sz w:val="24"/>
          <w:szCs w:val="22"/>
          <w:lang w:val="es-ES"/>
        </w:rPr>
        <w:t xml:space="preserve">Un proceso de capacitación constante deberá implementarse con los diferentes actores y sectores a nivel nacional y local, para lograr que la Línea Verde sea conocida y a la vez, fortalecida con la participación local, lo más importante será la capacidad de respuesta que la OCR logre desarrollar junto a las EE que son responsables del seguimiento de la implementación de las actividades tipo REDD+ a nivel nacional y en las áreas priorizadas para REDD+. </w:t>
      </w:r>
      <w:proofErr w:type="gramStart"/>
      <w:r w:rsidRPr="009A27ED">
        <w:rPr>
          <w:rFonts w:ascii="Times New Roman" w:eastAsia="Times New Roman" w:hAnsi="Times New Roman"/>
          <w:sz w:val="24"/>
          <w:szCs w:val="22"/>
          <w:lang w:val="es-ES"/>
        </w:rPr>
        <w:t>Un elemento importante a incluir</w:t>
      </w:r>
      <w:proofErr w:type="gramEnd"/>
      <w:r w:rsidRPr="009A27ED">
        <w:rPr>
          <w:rFonts w:ascii="Times New Roman" w:eastAsia="Times New Roman" w:hAnsi="Times New Roman"/>
          <w:sz w:val="24"/>
          <w:szCs w:val="22"/>
          <w:lang w:val="es-ES"/>
        </w:rPr>
        <w:t xml:space="preserve"> en el presupuesto para la implementación del MGAS serán los programas de capacitación, la infraestructura virtual y el equipo que las oficinas provinciales del Ministerio de Medio Ambiente y las EE necesitarán para responder de manera oportuna al requerimiento de reporte. </w:t>
      </w:r>
      <w:proofErr w:type="gramStart"/>
      <w:r w:rsidRPr="009A27ED">
        <w:rPr>
          <w:rFonts w:ascii="Times New Roman" w:eastAsia="Times New Roman" w:hAnsi="Times New Roman"/>
          <w:sz w:val="24"/>
          <w:szCs w:val="22"/>
          <w:lang w:val="es-ES"/>
        </w:rPr>
        <w:t>Un reto a vencer</w:t>
      </w:r>
      <w:proofErr w:type="gramEnd"/>
      <w:r w:rsidRPr="009A27ED">
        <w:rPr>
          <w:rFonts w:ascii="Times New Roman" w:eastAsia="Times New Roman" w:hAnsi="Times New Roman"/>
          <w:sz w:val="24"/>
          <w:szCs w:val="22"/>
          <w:lang w:val="es-ES"/>
        </w:rPr>
        <w:t xml:space="preserve"> será la existencia de procesos estatales burocráticos que puedan retrasar el proceso de respuesta. </w:t>
      </w:r>
    </w:p>
    <w:p w14:paraId="27FF5E75" w14:textId="77777777" w:rsidR="00533B74" w:rsidRPr="009A27ED" w:rsidRDefault="00533B74" w:rsidP="00533B74">
      <w:pPr>
        <w:pStyle w:val="Prrafodelista"/>
        <w:numPr>
          <w:ilvl w:val="0"/>
          <w:numId w:val="137"/>
        </w:numPr>
        <w:spacing w:after="0" w:line="360" w:lineRule="auto"/>
        <w:ind w:left="714" w:hanging="357"/>
        <w:rPr>
          <w:szCs w:val="22"/>
          <w:lang w:val="es-ES"/>
        </w:rPr>
      </w:pPr>
      <w:r w:rsidRPr="009A27ED">
        <w:rPr>
          <w:rFonts w:ascii="Times New Roman" w:eastAsia="Times New Roman" w:hAnsi="Times New Roman"/>
          <w:sz w:val="24"/>
          <w:szCs w:val="22"/>
          <w:lang w:val="es-ES"/>
        </w:rPr>
        <w:t xml:space="preserve">La implementación de este mecanismo de respuesta deberá buscar los medios accesibles, para recibir reclamos desde los dispositivos celulares y a través de la utilización de </w:t>
      </w:r>
      <w:proofErr w:type="gramStart"/>
      <w:r w:rsidRPr="009A27ED">
        <w:rPr>
          <w:rFonts w:ascii="Times New Roman" w:eastAsia="Times New Roman" w:hAnsi="Times New Roman"/>
          <w:sz w:val="24"/>
          <w:szCs w:val="22"/>
          <w:lang w:val="es-ES"/>
        </w:rPr>
        <w:t>apps</w:t>
      </w:r>
      <w:proofErr w:type="gramEnd"/>
      <w:r w:rsidRPr="009A27ED">
        <w:rPr>
          <w:rFonts w:ascii="Times New Roman" w:eastAsia="Times New Roman" w:hAnsi="Times New Roman"/>
          <w:sz w:val="24"/>
          <w:szCs w:val="22"/>
          <w:lang w:val="es-ES"/>
        </w:rPr>
        <w:t xml:space="preserve"> al alcance de los beneficiarios en lo local. Además del uso de redes, será importante recalcar la importancia que el mecanismo tiene para cumplir con los tratados internacionales y nacionales en materia de salvaguardas. Es necesario crear una plataforma de veeduría (observancia) como un mecanismo alterno dentro del Comité de Trabajo de Salvaguardas para darle seguimiento oportuno a las acciones de incumplimiento por parte de los responsables finales de la atención al reclamo. </w:t>
      </w:r>
    </w:p>
    <w:p w14:paraId="0AD76F18" w14:textId="77777777" w:rsidR="00533B74" w:rsidRPr="009A27ED" w:rsidRDefault="00533B74" w:rsidP="00533B74">
      <w:pPr>
        <w:pStyle w:val="Prrafodelista"/>
        <w:numPr>
          <w:ilvl w:val="0"/>
          <w:numId w:val="137"/>
        </w:numPr>
        <w:spacing w:after="0" w:line="360" w:lineRule="auto"/>
        <w:ind w:left="714" w:hanging="357"/>
        <w:rPr>
          <w:szCs w:val="22"/>
          <w:lang w:val="es-ES"/>
        </w:rPr>
      </w:pPr>
      <w:r w:rsidRPr="009A27ED">
        <w:rPr>
          <w:rFonts w:ascii="Times New Roman" w:eastAsia="Times New Roman" w:hAnsi="Times New Roman"/>
          <w:sz w:val="24"/>
          <w:szCs w:val="22"/>
          <w:lang w:val="es-ES"/>
        </w:rPr>
        <w:t>La tarea más importante de este proceso, estará centrada en elevar el nivel de confianza de la población y de los interesados en REDD+ para usar el mecanismo y para confiar en que el mecanismo funcionará de manera oportuna, esta confianza robustecerá la gobernanza forestal en República Dominicana y le proveerá a las Entidades Ejecutoras un campo positivo para la aplicación de mecanismos de reporte y abordaje de las salvaguardas, la creación de confianza entre actores es una tarea relevante también reflejada en la preocupación de la capacidad de respuesta del Ministerio de Medio Ambiente, Ministerio de Agricultura, Ganadería, Economía y Planificación y en general del sector estatal, para escuchar y poner en manifiesto el conocimiento local para mejorar los procesos de forma gradual.</w:t>
      </w:r>
    </w:p>
    <w:p w14:paraId="05CDB53A" w14:textId="77777777" w:rsidR="00533B74" w:rsidRPr="009A27ED" w:rsidRDefault="00533B74" w:rsidP="00533B74">
      <w:pPr>
        <w:spacing w:after="0" w:line="360" w:lineRule="auto"/>
        <w:rPr>
          <w:szCs w:val="22"/>
        </w:rPr>
      </w:pPr>
    </w:p>
    <w:p w14:paraId="3FAE2CD0" w14:textId="77777777" w:rsidR="00533B74" w:rsidRPr="009A27ED" w:rsidRDefault="00533B74" w:rsidP="00533B74">
      <w:pPr>
        <w:spacing w:line="360" w:lineRule="auto"/>
        <w:rPr>
          <w:color w:val="212121"/>
          <w:szCs w:val="22"/>
          <w:lang w:eastAsia="es-ES_tradnl"/>
        </w:rPr>
      </w:pPr>
      <w:r w:rsidRPr="009A27ED">
        <w:rPr>
          <w:rFonts w:ascii="Times New Roman" w:eastAsiaTheme="minorEastAsia" w:hAnsi="Times New Roman"/>
          <w:sz w:val="24"/>
          <w:szCs w:val="22"/>
          <w:lang w:eastAsia="es-ES"/>
        </w:rPr>
        <w:t>En respuesta a esos comentarios el Ministerio de Medio Ambiente a través de la UTG-REDD+-RD respondió a través de la siguiente matriz, sobre la manera en que estas inquietudes serían solventadas en el proceso de implementación de la EN-REDD+ y el Programa REDD+:</w:t>
      </w:r>
      <w:r w:rsidRPr="009A27ED">
        <w:rPr>
          <w:rFonts w:ascii="Times New Roman" w:eastAsia="Times New Roman" w:hAnsi="Times New Roman"/>
          <w:color w:val="212121"/>
          <w:sz w:val="24"/>
          <w:szCs w:val="22"/>
          <w:lang w:eastAsia="es-ES_tradnl"/>
        </w:rPr>
        <w:t xml:space="preserve"> </w:t>
      </w:r>
    </w:p>
    <w:p w14:paraId="2CF9A063" w14:textId="42DA3CF4" w:rsidR="0015153A" w:rsidRPr="009A27ED" w:rsidRDefault="0015153A" w:rsidP="0015153A">
      <w:pPr>
        <w:pStyle w:val="Descripcin"/>
        <w:keepNext/>
        <w:spacing w:line="360" w:lineRule="auto"/>
      </w:pPr>
      <w:bookmarkStart w:id="334" w:name="_Toc111887463"/>
      <w:r w:rsidRPr="009A27ED">
        <w:rPr>
          <w:rFonts w:ascii="Times New Roman" w:eastAsia="Times New Roman" w:hAnsi="Times New Roman"/>
          <w:sz w:val="24"/>
        </w:rPr>
        <w:t xml:space="preserve">Cuadro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Cuadro \* ARABIC </w:instrText>
      </w:r>
      <w:r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53</w:t>
      </w:r>
      <w:r w:rsidRPr="009A27ED">
        <w:rPr>
          <w:rFonts w:ascii="Times New Roman" w:eastAsia="Times New Roman" w:hAnsi="Times New Roman"/>
          <w:sz w:val="24"/>
        </w:rPr>
        <w:fldChar w:fldCharType="end"/>
      </w:r>
      <w:r w:rsidRPr="009A27ED">
        <w:rPr>
          <w:rFonts w:ascii="Times New Roman" w:eastAsia="Times New Roman" w:hAnsi="Times New Roman"/>
          <w:sz w:val="24"/>
        </w:rPr>
        <w:t>. Proceso de socialización de la EN-REDD+- con los actores involucrados</w:t>
      </w:r>
      <w:bookmarkEnd w:id="334"/>
    </w:p>
    <w:tbl>
      <w:tblPr>
        <w:tblStyle w:val="Tablaconcuadrcula"/>
        <w:tblW w:w="9776" w:type="dxa"/>
        <w:tblLook w:val="04A0" w:firstRow="1" w:lastRow="0" w:firstColumn="1" w:lastColumn="0" w:noHBand="0" w:noVBand="1"/>
      </w:tblPr>
      <w:tblGrid>
        <w:gridCol w:w="4675"/>
        <w:gridCol w:w="5101"/>
      </w:tblGrid>
      <w:tr w:rsidR="00533B74" w:rsidRPr="009A27ED" w14:paraId="490DE4DD" w14:textId="77777777" w:rsidTr="00562F95">
        <w:trPr>
          <w:tblHeader/>
        </w:trPr>
        <w:tc>
          <w:tcPr>
            <w:tcW w:w="4675" w:type="dxa"/>
            <w:shd w:val="clear" w:color="auto" w:fill="2E74B5" w:themeFill="accent1" w:themeFillShade="BF"/>
          </w:tcPr>
          <w:p w14:paraId="6F6A8330" w14:textId="77777777" w:rsidR="00533B74" w:rsidRPr="009A27ED" w:rsidRDefault="00533B74" w:rsidP="00562F95">
            <w:pPr>
              <w:jc w:val="center"/>
              <w:rPr>
                <w:b/>
                <w:color w:val="FFFFFF" w:themeColor="background1"/>
                <w:sz w:val="20"/>
                <w:szCs w:val="20"/>
              </w:rPr>
            </w:pPr>
            <w:r w:rsidRPr="009A27ED">
              <w:rPr>
                <w:b/>
                <w:color w:val="FFFFFF" w:themeColor="background1"/>
                <w:sz w:val="20"/>
                <w:szCs w:val="20"/>
              </w:rPr>
              <w:t>SESA / comentarios</w:t>
            </w:r>
            <w:r w:rsidRPr="009A27ED">
              <w:rPr>
                <w:b/>
                <w:color w:val="FFFFFF" w:themeColor="background1"/>
                <w:sz w:val="20"/>
              </w:rPr>
              <w:t xml:space="preserve"> </w:t>
            </w:r>
            <w:r w:rsidRPr="009A27ED">
              <w:rPr>
                <w:b/>
                <w:color w:val="FFFFFF" w:themeColor="background1"/>
                <w:sz w:val="20"/>
                <w:szCs w:val="20"/>
              </w:rPr>
              <w:t>-</w:t>
            </w:r>
            <w:r w:rsidRPr="009A27ED">
              <w:rPr>
                <w:b/>
                <w:color w:val="FFFFFF" w:themeColor="background1"/>
                <w:sz w:val="20"/>
              </w:rPr>
              <w:t xml:space="preserve"> </w:t>
            </w:r>
            <w:r w:rsidRPr="009A27ED">
              <w:rPr>
                <w:b/>
                <w:color w:val="FFFFFF" w:themeColor="background1"/>
                <w:sz w:val="20"/>
                <w:szCs w:val="20"/>
              </w:rPr>
              <w:t>inquietudes</w:t>
            </w:r>
          </w:p>
        </w:tc>
        <w:tc>
          <w:tcPr>
            <w:tcW w:w="5101" w:type="dxa"/>
            <w:shd w:val="clear" w:color="auto" w:fill="2E74B5" w:themeFill="accent1" w:themeFillShade="BF"/>
          </w:tcPr>
          <w:p w14:paraId="6437BB00" w14:textId="77777777" w:rsidR="00533B74" w:rsidRPr="009A27ED" w:rsidRDefault="00533B74" w:rsidP="00562F95">
            <w:pPr>
              <w:jc w:val="center"/>
              <w:rPr>
                <w:b/>
                <w:color w:val="FFFFFF" w:themeColor="background1"/>
                <w:sz w:val="20"/>
                <w:szCs w:val="20"/>
              </w:rPr>
            </w:pPr>
            <w:r w:rsidRPr="009A27ED">
              <w:rPr>
                <w:b/>
                <w:color w:val="FFFFFF" w:themeColor="background1"/>
                <w:sz w:val="20"/>
                <w:szCs w:val="20"/>
              </w:rPr>
              <w:t xml:space="preserve">Retroalimentación hacia la EN-REDD+ y el </w:t>
            </w:r>
            <w:r w:rsidRPr="009A27ED">
              <w:rPr>
                <w:b/>
                <w:color w:val="FFFFFF" w:themeColor="background1"/>
                <w:sz w:val="20"/>
              </w:rPr>
              <w:t>Programa REDD+</w:t>
            </w:r>
          </w:p>
        </w:tc>
      </w:tr>
      <w:tr w:rsidR="00533B74" w:rsidRPr="009A27ED" w14:paraId="7D248721" w14:textId="77777777" w:rsidTr="00562F95">
        <w:tc>
          <w:tcPr>
            <w:tcW w:w="4675" w:type="dxa"/>
          </w:tcPr>
          <w:p w14:paraId="3511C169" w14:textId="77777777" w:rsidR="00533B74" w:rsidRPr="009A27ED" w:rsidRDefault="00533B74" w:rsidP="00562F95">
            <w:pPr>
              <w:pStyle w:val="HTMLconformatoprevio"/>
              <w:jc w:val="both"/>
              <w:rPr>
                <w:rFonts w:asciiTheme="minorHAnsi" w:hAnsiTheme="minorHAnsi" w:cstheme="minorHAnsi"/>
                <w:b/>
                <w:color w:val="212121"/>
                <w:lang w:val="es-ES"/>
              </w:rPr>
            </w:pPr>
            <w:r w:rsidRPr="009A27ED">
              <w:rPr>
                <w:rFonts w:asciiTheme="minorHAnsi" w:hAnsiTheme="minorHAnsi" w:cstheme="minorHAnsi"/>
                <w:b/>
                <w:color w:val="212121"/>
                <w:lang w:val="es-ES"/>
              </w:rPr>
              <w:t>Reducción de medios de vida y pérdida de ingresos:</w:t>
            </w:r>
          </w:p>
          <w:p w14:paraId="0535ABCB" w14:textId="77777777" w:rsidR="00533B74" w:rsidRPr="009A27ED" w:rsidRDefault="00533B74" w:rsidP="00562F95">
            <w:pPr>
              <w:pStyle w:val="HTMLconformatoprevio"/>
              <w:jc w:val="both"/>
              <w:rPr>
                <w:rFonts w:asciiTheme="minorHAnsi" w:hAnsiTheme="minorHAnsi" w:cstheme="minorHAnsi"/>
                <w:color w:val="212121"/>
              </w:rPr>
            </w:pPr>
            <w:r w:rsidRPr="009A27ED">
              <w:rPr>
                <w:rFonts w:asciiTheme="minorHAnsi" w:hAnsiTheme="minorHAnsi" w:cstheme="minorHAnsi"/>
                <w:color w:val="212121"/>
                <w:lang w:val="es-ES"/>
              </w:rPr>
              <w:t xml:space="preserve">Los participantes expresaron su preocupación sobre si las medidas de prohibición, restricción y control se aplican al uso de los recursos naturales y / o las técnicas de tala y quema, podrían perder ingresos, lo que afectaría su calidad de vida y / o aumentaría la pobreza. </w:t>
            </w:r>
          </w:p>
          <w:p w14:paraId="770C4BA2" w14:textId="77777777" w:rsidR="00533B74" w:rsidRPr="009A27ED" w:rsidRDefault="00533B74" w:rsidP="00562F95">
            <w:pPr>
              <w:rPr>
                <w:b/>
                <w:color w:val="000000"/>
                <w:sz w:val="20"/>
                <w:szCs w:val="20"/>
              </w:rPr>
            </w:pPr>
          </w:p>
        </w:tc>
        <w:tc>
          <w:tcPr>
            <w:tcW w:w="5101" w:type="dxa"/>
          </w:tcPr>
          <w:p w14:paraId="2DBE6B3B" w14:textId="77777777" w:rsidR="00533B74" w:rsidRPr="009A27ED" w:rsidRDefault="00533B74" w:rsidP="00562F95">
            <w:pPr>
              <w:rPr>
                <w:color w:val="000000"/>
                <w:sz w:val="20"/>
                <w:szCs w:val="20"/>
              </w:rPr>
            </w:pPr>
            <w:r w:rsidRPr="009A27ED">
              <w:rPr>
                <w:color w:val="212121"/>
                <w:sz w:val="20"/>
              </w:rPr>
              <w:t xml:space="preserve">La EN-REDD+  </w:t>
            </w:r>
            <w:r w:rsidRPr="009A27ED">
              <w:rPr>
                <w:color w:val="212121"/>
                <w:sz w:val="20"/>
                <w:szCs w:val="20"/>
              </w:rPr>
              <w:t>integró acciones y programas que incluyen actividades para mejorar la productividad y la rentabilidad de los productos agrícolas y ganaderos con el uso sostenible de los recursos. En las medidas establecidas en el MGAS, se proponen medidas específicas que ofrecen alternativas a las posibles restricciones para acceder a los recursos en áreas protegidas.</w:t>
            </w:r>
          </w:p>
        </w:tc>
      </w:tr>
      <w:tr w:rsidR="00533B74" w:rsidRPr="009A27ED" w14:paraId="55477543" w14:textId="77777777" w:rsidTr="00562F95">
        <w:tc>
          <w:tcPr>
            <w:tcW w:w="4675" w:type="dxa"/>
          </w:tcPr>
          <w:p w14:paraId="7D60EEE0" w14:textId="77777777" w:rsidR="00533B74" w:rsidRPr="009A27ED" w:rsidRDefault="00533B74" w:rsidP="00562F95">
            <w:pPr>
              <w:pStyle w:val="HTMLconformatoprevio"/>
              <w:jc w:val="both"/>
              <w:rPr>
                <w:rFonts w:asciiTheme="minorHAnsi" w:hAnsiTheme="minorHAnsi" w:cstheme="minorHAnsi"/>
                <w:b/>
                <w:color w:val="212121"/>
                <w:lang w:val="es-ES"/>
              </w:rPr>
            </w:pPr>
            <w:r w:rsidRPr="009A27ED">
              <w:rPr>
                <w:rFonts w:asciiTheme="minorHAnsi" w:hAnsiTheme="minorHAnsi" w:cstheme="minorHAnsi"/>
                <w:b/>
                <w:color w:val="212121"/>
                <w:lang w:val="es-ES"/>
              </w:rPr>
              <w:t>Desplazamientos involuntarios y reasentamientos:</w:t>
            </w:r>
          </w:p>
          <w:p w14:paraId="0AB90B2D" w14:textId="77777777" w:rsidR="00533B74" w:rsidRPr="009A27ED" w:rsidRDefault="00533B74" w:rsidP="00562F95">
            <w:pPr>
              <w:pStyle w:val="HTMLconformatoprevio"/>
              <w:jc w:val="both"/>
              <w:rPr>
                <w:rFonts w:asciiTheme="minorHAnsi" w:hAnsiTheme="minorHAnsi" w:cstheme="minorHAnsi"/>
                <w:color w:val="212121"/>
              </w:rPr>
            </w:pPr>
            <w:r w:rsidRPr="009A27ED">
              <w:rPr>
                <w:rFonts w:asciiTheme="minorHAnsi" w:hAnsiTheme="minorHAnsi" w:cstheme="minorHAnsi"/>
                <w:color w:val="212121"/>
                <w:lang w:val="es-ES"/>
              </w:rPr>
              <w:t xml:space="preserve">Desplazamiento involuntario de comunidades a través del establecimiento de áreas protegidas y el cambio de uso de la tierra. </w:t>
            </w:r>
          </w:p>
          <w:p w14:paraId="77EE844D" w14:textId="77777777" w:rsidR="00533B74" w:rsidRPr="009A27ED" w:rsidRDefault="00533B74" w:rsidP="00562F95">
            <w:pPr>
              <w:pStyle w:val="HTMLconformatoprevio"/>
              <w:jc w:val="both"/>
              <w:rPr>
                <w:rFonts w:asciiTheme="minorHAnsi" w:hAnsiTheme="minorHAnsi" w:cstheme="minorHAnsi"/>
                <w:b/>
                <w:color w:val="212121"/>
                <w:lang w:val="es-ES"/>
              </w:rPr>
            </w:pPr>
          </w:p>
        </w:tc>
        <w:tc>
          <w:tcPr>
            <w:tcW w:w="5101" w:type="dxa"/>
          </w:tcPr>
          <w:p w14:paraId="14567EB4" w14:textId="45EEDAD9" w:rsidR="00533B74" w:rsidRPr="009A27ED" w:rsidRDefault="00533B74" w:rsidP="00394C8F">
            <w:pPr>
              <w:rPr>
                <w:color w:val="212121"/>
                <w:sz w:val="20"/>
                <w:szCs w:val="20"/>
              </w:rPr>
            </w:pPr>
            <w:r w:rsidRPr="009A27ED">
              <w:rPr>
                <w:color w:val="212121"/>
                <w:sz w:val="20"/>
              </w:rPr>
              <w:t xml:space="preserve">La EN-REDD+ </w:t>
            </w:r>
            <w:r w:rsidRPr="009A27ED">
              <w:rPr>
                <w:color w:val="212121"/>
                <w:sz w:val="20"/>
                <w:szCs w:val="20"/>
              </w:rPr>
              <w:t>enfatizó que las acciones y programas de REDD + no llevan a cabo actividades que involucran el desplazamiento involuntario de personas</w:t>
            </w:r>
            <w:r w:rsidR="00394C8F" w:rsidRPr="009A27ED">
              <w:rPr>
                <w:color w:val="212121"/>
                <w:sz w:val="20"/>
                <w:szCs w:val="20"/>
              </w:rPr>
              <w:t xml:space="preserve">, atendiendo a la </w:t>
            </w:r>
            <w:r w:rsidR="00394C8F" w:rsidRPr="009A27ED">
              <w:rPr>
                <w:strike/>
                <w:color w:val="212121"/>
                <w:sz w:val="20"/>
                <w:szCs w:val="20"/>
              </w:rPr>
              <w:t>Para</w:t>
            </w:r>
            <w:r w:rsidRPr="009A27ED">
              <w:rPr>
                <w:strike/>
                <w:color w:val="212121"/>
                <w:sz w:val="20"/>
                <w:szCs w:val="20"/>
              </w:rPr>
              <w:t xml:space="preserve"> los casos que involucran.</w:t>
            </w:r>
            <w:r w:rsidRPr="009A27ED">
              <w:rPr>
                <w:color w:val="212121"/>
                <w:sz w:val="20"/>
                <w:szCs w:val="20"/>
              </w:rPr>
              <w:t xml:space="preserve"> PO 4.12</w:t>
            </w:r>
            <w:r w:rsidR="00394C8F" w:rsidRPr="009A27ED">
              <w:rPr>
                <w:color w:val="212121"/>
                <w:sz w:val="20"/>
                <w:szCs w:val="20"/>
              </w:rPr>
              <w:t>.</w:t>
            </w:r>
          </w:p>
        </w:tc>
      </w:tr>
      <w:tr w:rsidR="00533B74" w:rsidRPr="009A27ED" w14:paraId="4688B189" w14:textId="77777777" w:rsidTr="00562F95">
        <w:tc>
          <w:tcPr>
            <w:tcW w:w="4675" w:type="dxa"/>
          </w:tcPr>
          <w:p w14:paraId="316A7C2F" w14:textId="77777777" w:rsidR="00533B74" w:rsidRPr="009A27ED" w:rsidRDefault="00533B74" w:rsidP="00562F95">
            <w:pPr>
              <w:pStyle w:val="HTMLconformatoprevio"/>
              <w:jc w:val="both"/>
              <w:rPr>
                <w:rFonts w:asciiTheme="minorHAnsi" w:hAnsiTheme="minorHAnsi" w:cstheme="minorHAnsi"/>
                <w:b/>
                <w:color w:val="212121"/>
                <w:lang w:val="es-ES"/>
              </w:rPr>
            </w:pPr>
            <w:r w:rsidRPr="009A27ED">
              <w:rPr>
                <w:rFonts w:asciiTheme="minorHAnsi" w:hAnsiTheme="minorHAnsi" w:cstheme="minorHAnsi"/>
                <w:b/>
                <w:color w:val="212121"/>
                <w:lang w:val="es-ES"/>
              </w:rPr>
              <w:t>Exclusión social y económica de grupos vulnerables.</w:t>
            </w:r>
          </w:p>
          <w:p w14:paraId="5D2ADFAE" w14:textId="77777777" w:rsidR="00533B74" w:rsidRPr="009A27ED" w:rsidRDefault="00533B74" w:rsidP="00562F95">
            <w:pPr>
              <w:pStyle w:val="HTMLconformatoprevio"/>
              <w:jc w:val="both"/>
              <w:rPr>
                <w:rFonts w:asciiTheme="minorHAnsi" w:hAnsiTheme="minorHAnsi" w:cstheme="minorHAnsi"/>
                <w:color w:val="212121"/>
                <w:lang w:val="es-ES"/>
              </w:rPr>
            </w:pPr>
            <w:r w:rsidRPr="009A27ED">
              <w:rPr>
                <w:rFonts w:asciiTheme="minorHAnsi" w:hAnsiTheme="minorHAnsi" w:cstheme="minorHAnsi"/>
                <w:color w:val="212121"/>
                <w:lang w:val="es-ES"/>
              </w:rPr>
              <w:t xml:space="preserve">Expresaron que el programa REDD + no debe generar una mayor exclusión socioeconómica y debe buscar formas de garantizar una distribución justa de los beneficios. </w:t>
            </w:r>
          </w:p>
          <w:p w14:paraId="50D3F06D" w14:textId="77777777" w:rsidR="00533B74" w:rsidRPr="009A27ED" w:rsidRDefault="00533B74" w:rsidP="00562F95">
            <w:pPr>
              <w:pStyle w:val="HTMLconformatoprevio"/>
              <w:jc w:val="both"/>
              <w:rPr>
                <w:rFonts w:asciiTheme="minorHAnsi" w:hAnsiTheme="minorHAnsi" w:cstheme="minorHAnsi"/>
                <w:b/>
                <w:color w:val="212121"/>
                <w:lang w:val="es-ES"/>
              </w:rPr>
            </w:pPr>
          </w:p>
        </w:tc>
        <w:tc>
          <w:tcPr>
            <w:tcW w:w="5101" w:type="dxa"/>
          </w:tcPr>
          <w:p w14:paraId="6DBB53BF" w14:textId="77777777" w:rsidR="00533B74" w:rsidRPr="009A27ED" w:rsidRDefault="00533B74" w:rsidP="00562F95">
            <w:pPr>
              <w:pStyle w:val="HTMLconformatoprevio"/>
              <w:jc w:val="both"/>
              <w:rPr>
                <w:rFonts w:cstheme="minorHAnsi"/>
                <w:color w:val="212121"/>
                <w:lang w:val="es-ES"/>
              </w:rPr>
            </w:pPr>
            <w:r w:rsidRPr="009A27ED">
              <w:rPr>
                <w:rFonts w:asciiTheme="minorHAnsi" w:hAnsiTheme="minorHAnsi" w:cstheme="minorHAnsi"/>
                <w:color w:val="212121"/>
                <w:lang w:val="es-ES"/>
              </w:rPr>
              <w:t>Dentro de las acciones y los avances propuestos en el EN-REDD+, está su implementación en comunidades con pobreza extrema, incluidos grupos económicamente vulnerables y pequeños productores, ganaderos y mujeres.</w:t>
            </w:r>
            <w:r w:rsidRPr="009A27ED">
              <w:rPr>
                <w:rFonts w:cstheme="minorHAnsi"/>
                <w:color w:val="212121"/>
                <w:lang w:val="es-ES"/>
              </w:rPr>
              <w:t xml:space="preserve"> </w:t>
            </w:r>
          </w:p>
        </w:tc>
      </w:tr>
      <w:tr w:rsidR="00533B74" w:rsidRPr="009A27ED" w14:paraId="0276F0D4" w14:textId="77777777" w:rsidTr="00562F95">
        <w:tc>
          <w:tcPr>
            <w:tcW w:w="4675" w:type="dxa"/>
          </w:tcPr>
          <w:p w14:paraId="050FA506" w14:textId="77777777" w:rsidR="00533B74" w:rsidRPr="009A27ED" w:rsidRDefault="00533B74" w:rsidP="00562F95">
            <w:pPr>
              <w:pStyle w:val="HTMLconformatoprevio"/>
              <w:jc w:val="both"/>
              <w:rPr>
                <w:rFonts w:asciiTheme="minorHAnsi" w:hAnsiTheme="minorHAnsi" w:cstheme="minorHAnsi"/>
                <w:b/>
                <w:color w:val="212121"/>
                <w:lang w:val="es-ES"/>
              </w:rPr>
            </w:pPr>
            <w:r w:rsidRPr="009A27ED">
              <w:rPr>
                <w:rFonts w:asciiTheme="minorHAnsi" w:hAnsiTheme="minorHAnsi" w:cstheme="minorHAnsi"/>
                <w:b/>
                <w:color w:val="212121"/>
                <w:lang w:val="es-ES"/>
              </w:rPr>
              <w:t>Distribución de los beneficios y pagos a pequeños productores y comunidades locales.</w:t>
            </w:r>
          </w:p>
          <w:p w14:paraId="443A78E6" w14:textId="77777777" w:rsidR="00533B74" w:rsidRPr="009A27ED" w:rsidRDefault="00533B74" w:rsidP="00562F95">
            <w:pPr>
              <w:pStyle w:val="HTMLconformatoprevio"/>
              <w:jc w:val="both"/>
              <w:rPr>
                <w:rFonts w:asciiTheme="minorHAnsi" w:hAnsiTheme="minorHAnsi" w:cstheme="minorHAnsi"/>
                <w:color w:val="212121"/>
              </w:rPr>
            </w:pPr>
            <w:r w:rsidRPr="009A27ED">
              <w:rPr>
                <w:rFonts w:asciiTheme="minorHAnsi" w:hAnsiTheme="minorHAnsi" w:cstheme="minorHAnsi"/>
                <w:color w:val="212121"/>
                <w:lang w:val="es-ES"/>
              </w:rPr>
              <w:t xml:space="preserve">Expresaron su preocupación sobre cómo y qué beneficios y pagos se harían a través de la captura de carbono para los productores y propietarios de plantaciones y bosques. </w:t>
            </w:r>
          </w:p>
          <w:p w14:paraId="123CDF5B" w14:textId="77777777" w:rsidR="00533B74" w:rsidRPr="009A27ED" w:rsidRDefault="00533B74" w:rsidP="00562F95">
            <w:pPr>
              <w:rPr>
                <w:b/>
                <w:color w:val="000000"/>
                <w:sz w:val="20"/>
                <w:szCs w:val="20"/>
              </w:rPr>
            </w:pPr>
          </w:p>
        </w:tc>
        <w:tc>
          <w:tcPr>
            <w:tcW w:w="5101" w:type="dxa"/>
          </w:tcPr>
          <w:p w14:paraId="44516AB1" w14:textId="77777777" w:rsidR="00533B74" w:rsidRPr="009A27ED" w:rsidRDefault="00533B74" w:rsidP="00562F95">
            <w:pPr>
              <w:rPr>
                <w:color w:val="000000"/>
                <w:sz w:val="20"/>
                <w:szCs w:val="20"/>
              </w:rPr>
            </w:pPr>
            <w:r w:rsidRPr="009A27ED">
              <w:rPr>
                <w:color w:val="212121"/>
                <w:sz w:val="20"/>
                <w:szCs w:val="20"/>
              </w:rPr>
              <w:t xml:space="preserve">Dentro de </w:t>
            </w:r>
            <w:r w:rsidRPr="009A27ED">
              <w:rPr>
                <w:color w:val="212121"/>
                <w:sz w:val="20"/>
              </w:rPr>
              <w:t>EN-</w:t>
            </w:r>
            <w:r w:rsidRPr="009A27ED">
              <w:rPr>
                <w:color w:val="212121"/>
                <w:sz w:val="20"/>
                <w:szCs w:val="20"/>
              </w:rPr>
              <w:t xml:space="preserve">REDD+ y el </w:t>
            </w:r>
            <w:r w:rsidRPr="009A27ED">
              <w:rPr>
                <w:color w:val="212121"/>
                <w:sz w:val="20"/>
              </w:rPr>
              <w:t>Programa REDD+</w:t>
            </w:r>
            <w:r w:rsidRPr="009A27ED">
              <w:rPr>
                <w:color w:val="212121"/>
                <w:sz w:val="20"/>
                <w:szCs w:val="20"/>
              </w:rPr>
              <w:t>, se está diseñando el Plan de Distribución de Beneficios, y uno de los principios de este plan es la distribución justa. Una vez redactado, se presentará y se validará con los diversos interesados ​​públicos, privados y de la comunidad a través de talleres y sesiones con los diferentes grupos de trabajo: Uso de la tierra y bosques, legal y de salvaguardia, que operan bajo el Comité de Asesoramiento Técnico.</w:t>
            </w:r>
          </w:p>
        </w:tc>
      </w:tr>
      <w:tr w:rsidR="00533B74" w:rsidRPr="009A27ED" w14:paraId="78B1F66D" w14:textId="77777777" w:rsidTr="00562F95">
        <w:tc>
          <w:tcPr>
            <w:tcW w:w="4675" w:type="dxa"/>
          </w:tcPr>
          <w:p w14:paraId="2801B767" w14:textId="77777777" w:rsidR="00533B74" w:rsidRPr="009A27ED" w:rsidRDefault="00533B74" w:rsidP="00562F95">
            <w:pPr>
              <w:pStyle w:val="HTMLconformatoprevio"/>
              <w:jc w:val="both"/>
              <w:rPr>
                <w:rFonts w:asciiTheme="minorHAnsi" w:hAnsiTheme="minorHAnsi" w:cstheme="minorHAnsi"/>
                <w:b/>
                <w:color w:val="212121"/>
                <w:lang w:val="es-ES"/>
              </w:rPr>
            </w:pPr>
            <w:r w:rsidRPr="009A27ED">
              <w:rPr>
                <w:rFonts w:asciiTheme="minorHAnsi" w:hAnsiTheme="minorHAnsi" w:cstheme="minorHAnsi"/>
                <w:b/>
                <w:color w:val="212121"/>
                <w:lang w:val="es-ES"/>
              </w:rPr>
              <w:t xml:space="preserve">Restricción del acceso a los beneficios y no reconocimiento de derechos para aquellos que no tienen títulos de propiedad de la tierra. </w:t>
            </w:r>
          </w:p>
          <w:p w14:paraId="64E5C1B6" w14:textId="77777777" w:rsidR="00533B74" w:rsidRPr="009A27ED" w:rsidRDefault="00533B74" w:rsidP="00562F95">
            <w:pPr>
              <w:pStyle w:val="HTMLconformatoprevio"/>
              <w:jc w:val="both"/>
              <w:rPr>
                <w:rFonts w:asciiTheme="minorHAnsi" w:hAnsiTheme="minorHAnsi" w:cstheme="minorHAnsi"/>
                <w:color w:val="212121"/>
              </w:rPr>
            </w:pPr>
            <w:r w:rsidRPr="009A27ED">
              <w:rPr>
                <w:rFonts w:asciiTheme="minorHAnsi" w:hAnsiTheme="minorHAnsi" w:cstheme="minorHAnsi"/>
                <w:color w:val="212121"/>
                <w:lang w:val="es-ES"/>
              </w:rPr>
              <w:t xml:space="preserve">Expresaron su preocupación por la posibilidad de que las personas que no tienen títulos de propiedad para la tierra sean excluidas de los beneficios de REDD +. </w:t>
            </w:r>
          </w:p>
          <w:p w14:paraId="5D45450C" w14:textId="77777777" w:rsidR="00533B74" w:rsidRPr="009A27ED" w:rsidRDefault="00533B74" w:rsidP="00562F95">
            <w:pPr>
              <w:rPr>
                <w:b/>
                <w:color w:val="000000"/>
                <w:sz w:val="20"/>
                <w:szCs w:val="20"/>
              </w:rPr>
            </w:pPr>
          </w:p>
        </w:tc>
        <w:tc>
          <w:tcPr>
            <w:tcW w:w="5101" w:type="dxa"/>
          </w:tcPr>
          <w:p w14:paraId="4576C6B5" w14:textId="77777777" w:rsidR="00533B74" w:rsidRPr="009A27ED" w:rsidRDefault="00533B74" w:rsidP="00562F95">
            <w:pPr>
              <w:rPr>
                <w:color w:val="000000"/>
                <w:sz w:val="20"/>
                <w:szCs w:val="20"/>
              </w:rPr>
            </w:pPr>
            <w:r w:rsidRPr="009A27ED">
              <w:rPr>
                <w:color w:val="212121"/>
                <w:sz w:val="20"/>
                <w:szCs w:val="20"/>
              </w:rPr>
              <w:t>Las acciones y programas de REDD + contemplan la aplicación de soluciones alternativas, como el reconocimiento de la propiedad de la tierra, cuando sea necesario.</w:t>
            </w:r>
          </w:p>
        </w:tc>
      </w:tr>
      <w:tr w:rsidR="00533B74" w:rsidRPr="009A27ED" w14:paraId="40907BF1" w14:textId="77777777" w:rsidTr="00562F95">
        <w:tc>
          <w:tcPr>
            <w:tcW w:w="4675" w:type="dxa"/>
          </w:tcPr>
          <w:p w14:paraId="5E47AA48" w14:textId="77777777" w:rsidR="00533B74" w:rsidRPr="009A27ED" w:rsidRDefault="00533B74" w:rsidP="00562F95">
            <w:pPr>
              <w:pStyle w:val="HTMLconformatoprevio"/>
              <w:jc w:val="both"/>
              <w:rPr>
                <w:rFonts w:asciiTheme="minorHAnsi" w:hAnsiTheme="minorHAnsi" w:cstheme="minorHAnsi"/>
                <w:b/>
                <w:color w:val="212121"/>
                <w:lang w:val="es-ES"/>
              </w:rPr>
            </w:pPr>
            <w:r w:rsidRPr="009A27ED">
              <w:rPr>
                <w:rFonts w:asciiTheme="minorHAnsi" w:hAnsiTheme="minorHAnsi" w:cstheme="minorHAnsi"/>
                <w:b/>
                <w:color w:val="212121"/>
                <w:lang w:val="es-ES"/>
              </w:rPr>
              <w:t>El incumplimiento por parte de las autoridades y el compadrazgo político:</w:t>
            </w:r>
          </w:p>
          <w:p w14:paraId="7E5C8191" w14:textId="77777777" w:rsidR="00533B74" w:rsidRPr="009A27ED" w:rsidRDefault="00533B74" w:rsidP="00562F95">
            <w:pPr>
              <w:pStyle w:val="HTMLconformatoprevio"/>
              <w:jc w:val="both"/>
              <w:rPr>
                <w:rFonts w:asciiTheme="minorHAnsi" w:hAnsiTheme="minorHAnsi" w:cstheme="minorHAnsi"/>
                <w:color w:val="212121"/>
              </w:rPr>
            </w:pPr>
            <w:r w:rsidRPr="009A27ED">
              <w:rPr>
                <w:rFonts w:asciiTheme="minorHAnsi" w:hAnsiTheme="minorHAnsi" w:cstheme="minorHAnsi"/>
                <w:color w:val="212121"/>
                <w:lang w:val="es-ES"/>
              </w:rPr>
              <w:t xml:space="preserve">Expresaron su preocupación acerca de si lo que se está proponiendo realmente se cumplirá, dada la tradición de muchos políticos de prometer y ofrecer y luego no cumplir. Además, expresaron temor de que los </w:t>
            </w:r>
            <w:r w:rsidRPr="009A27ED">
              <w:rPr>
                <w:rFonts w:asciiTheme="minorHAnsi" w:hAnsiTheme="minorHAnsi" w:cstheme="minorHAnsi"/>
                <w:color w:val="212121"/>
                <w:lang w:val="es-ES"/>
              </w:rPr>
              <w:lastRenderedPageBreak/>
              <w:t xml:space="preserve">programas y los beneficios se utilizarían para beneficiar solo a los amigos y miembros de los grupos de partidos políticos. REDD + es un compromiso asumido y presentado por las autoridades dominicanas al más alto nivel. </w:t>
            </w:r>
          </w:p>
          <w:p w14:paraId="3DE389B8" w14:textId="77777777" w:rsidR="00533B74" w:rsidRPr="009A27ED" w:rsidRDefault="00533B74" w:rsidP="00562F95">
            <w:pPr>
              <w:pStyle w:val="HTMLconformatoprevio"/>
              <w:jc w:val="both"/>
              <w:rPr>
                <w:rFonts w:asciiTheme="minorHAnsi" w:hAnsiTheme="minorHAnsi" w:cstheme="minorHAnsi"/>
                <w:b/>
                <w:color w:val="212121"/>
                <w:lang w:val="es-ES"/>
              </w:rPr>
            </w:pPr>
          </w:p>
        </w:tc>
        <w:tc>
          <w:tcPr>
            <w:tcW w:w="5101" w:type="dxa"/>
          </w:tcPr>
          <w:p w14:paraId="5D271D00" w14:textId="77777777" w:rsidR="00533B74" w:rsidRPr="009A27ED" w:rsidRDefault="00533B74" w:rsidP="00562F95">
            <w:pPr>
              <w:rPr>
                <w:color w:val="212121"/>
                <w:sz w:val="20"/>
                <w:szCs w:val="20"/>
              </w:rPr>
            </w:pPr>
            <w:r w:rsidRPr="009A27ED">
              <w:rPr>
                <w:color w:val="212121"/>
                <w:sz w:val="20"/>
                <w:szCs w:val="20"/>
              </w:rPr>
              <w:lastRenderedPageBreak/>
              <w:t xml:space="preserve">Tanto en el desarrollo como en la implementación de las Acciones y Programas, se definieron una serie de principios, procedimientos, marcos de acción y sistemas de información para monitorear el cumplimiento de las salvaguardas sociales y ambientales REDD+, así como las políticas operativas del Banco Mundial. Además, el rol del Comité </w:t>
            </w:r>
            <w:r w:rsidRPr="009A27ED">
              <w:rPr>
                <w:color w:val="212121"/>
                <w:sz w:val="20"/>
                <w:szCs w:val="20"/>
              </w:rPr>
              <w:lastRenderedPageBreak/>
              <w:t xml:space="preserve">Asesor Técnico para asesorar y apoyar la implementación servirá como un mecanismo de monitoreo de cumplimiento para el Mecanismo de </w:t>
            </w:r>
            <w:r w:rsidRPr="009A27ED">
              <w:rPr>
                <w:color w:val="212121"/>
                <w:sz w:val="20"/>
              </w:rPr>
              <w:t xml:space="preserve">Quejas, Reclamos y Manejo de Conflictos </w:t>
            </w:r>
            <w:r w:rsidRPr="009A27ED">
              <w:rPr>
                <w:color w:val="212121"/>
                <w:sz w:val="20"/>
                <w:szCs w:val="20"/>
              </w:rPr>
              <w:t>(</w:t>
            </w:r>
            <w:r w:rsidRPr="009A27ED">
              <w:rPr>
                <w:color w:val="212121"/>
                <w:sz w:val="20"/>
              </w:rPr>
              <w:t>MQRC</w:t>
            </w:r>
            <w:r w:rsidRPr="009A27ED">
              <w:rPr>
                <w:color w:val="212121"/>
                <w:sz w:val="20"/>
                <w:szCs w:val="20"/>
              </w:rPr>
              <w:t>).</w:t>
            </w:r>
          </w:p>
        </w:tc>
      </w:tr>
      <w:tr w:rsidR="00533B74" w:rsidRPr="009A27ED" w14:paraId="32036001" w14:textId="77777777" w:rsidTr="00562F95">
        <w:trPr>
          <w:trHeight w:val="3423"/>
        </w:trPr>
        <w:tc>
          <w:tcPr>
            <w:tcW w:w="4675" w:type="dxa"/>
          </w:tcPr>
          <w:p w14:paraId="01EF9875" w14:textId="77777777" w:rsidR="00533B74" w:rsidRPr="009A27ED" w:rsidRDefault="00533B74" w:rsidP="00562F95">
            <w:pPr>
              <w:pStyle w:val="HTMLconformatoprevio"/>
              <w:jc w:val="both"/>
              <w:rPr>
                <w:rFonts w:asciiTheme="minorHAnsi" w:hAnsiTheme="minorHAnsi" w:cstheme="minorHAnsi"/>
                <w:b/>
                <w:color w:val="212121"/>
                <w:lang w:val="es-ES"/>
              </w:rPr>
            </w:pPr>
            <w:r w:rsidRPr="009A27ED">
              <w:rPr>
                <w:rFonts w:asciiTheme="minorHAnsi" w:hAnsiTheme="minorHAnsi" w:cstheme="minorHAnsi"/>
                <w:b/>
                <w:color w:val="212121"/>
                <w:lang w:val="es-ES"/>
              </w:rPr>
              <w:t>No aplicación de las leyes y reglamentos de las autoridades,</w:t>
            </w:r>
          </w:p>
          <w:p w14:paraId="5FB8740E" w14:textId="77777777" w:rsidR="00533B74" w:rsidRPr="009A27ED" w:rsidRDefault="00533B74" w:rsidP="00562F95">
            <w:pPr>
              <w:pStyle w:val="HTMLconformatoprevio"/>
              <w:jc w:val="both"/>
              <w:rPr>
                <w:rFonts w:asciiTheme="minorHAnsi" w:hAnsiTheme="minorHAnsi" w:cstheme="minorHAnsi"/>
                <w:color w:val="212121"/>
              </w:rPr>
            </w:pPr>
            <w:r w:rsidRPr="009A27ED">
              <w:rPr>
                <w:rFonts w:asciiTheme="minorHAnsi" w:hAnsiTheme="minorHAnsi" w:cstheme="minorHAnsi"/>
                <w:color w:val="212121"/>
                <w:lang w:val="es-ES"/>
              </w:rPr>
              <w:t xml:space="preserve">Preocupación acerca de si las autoridades serán capaces de aplicar las leyes y las consecuencias de la violación, dada la existencia de casos anteriores en los que se advierte que no actúan y se permiten las violaciones de las leyes, o que actúan con complicidad, corrupción e impunidad en el país. Ante las violaciones de estas leyes. REDD + es un compromiso asumido y presentado por las autoridades dominicanas al más alto nivel. </w:t>
            </w:r>
          </w:p>
          <w:p w14:paraId="424915BB" w14:textId="77777777" w:rsidR="00533B74" w:rsidRPr="009A27ED" w:rsidRDefault="00533B74" w:rsidP="00562F95">
            <w:pPr>
              <w:pStyle w:val="HTMLconformatoprevio"/>
              <w:jc w:val="both"/>
              <w:rPr>
                <w:rFonts w:asciiTheme="minorHAnsi" w:hAnsiTheme="minorHAnsi" w:cstheme="minorHAnsi"/>
                <w:b/>
                <w:color w:val="212121"/>
                <w:lang w:val="es-ES"/>
              </w:rPr>
            </w:pPr>
          </w:p>
        </w:tc>
        <w:tc>
          <w:tcPr>
            <w:tcW w:w="5101" w:type="dxa"/>
          </w:tcPr>
          <w:p w14:paraId="08D36CD8" w14:textId="77777777" w:rsidR="00533B74" w:rsidRPr="009A27ED" w:rsidRDefault="00533B74" w:rsidP="00562F95">
            <w:pPr>
              <w:rPr>
                <w:color w:val="212121"/>
                <w:sz w:val="20"/>
                <w:szCs w:val="20"/>
              </w:rPr>
            </w:pPr>
            <w:r w:rsidRPr="009A27ED">
              <w:rPr>
                <w:color w:val="212121"/>
                <w:sz w:val="20"/>
                <w:szCs w:val="20"/>
              </w:rPr>
              <w:t>Tanto en el desarrollo como en la implementación de las Acciones y Programas, se definieron una serie de principios, procedimientos, marcos de acción y sistemas de información para monitorear el cumplimiento de las salvaguardas sociales y ambientales, así como las políticas operativas del Banco Mundial. Además, el rol del Comité Asesor Técnico para asesorar y apoyar la implementación servirá como un mecanismo de monitoreo del cumplimiento. Además, se ha diseñado e implementado un Mecanismo de resolución de conflictos y resolución de conflictos, que podrá identificar y ofrecer soluciones para cualquier problema de incumplimiento que pueda surgir.</w:t>
            </w:r>
          </w:p>
        </w:tc>
      </w:tr>
      <w:tr w:rsidR="00533B74" w:rsidRPr="009A27ED" w14:paraId="2C69D27F" w14:textId="77777777" w:rsidTr="00562F95">
        <w:tc>
          <w:tcPr>
            <w:tcW w:w="4675" w:type="dxa"/>
          </w:tcPr>
          <w:p w14:paraId="4686CF6B" w14:textId="77777777" w:rsidR="00533B74" w:rsidRPr="009A27ED" w:rsidRDefault="00533B74" w:rsidP="00562F95">
            <w:pPr>
              <w:pStyle w:val="HTMLconformatoprevio"/>
              <w:jc w:val="both"/>
              <w:rPr>
                <w:rFonts w:asciiTheme="minorHAnsi" w:hAnsiTheme="minorHAnsi" w:cstheme="minorHAnsi"/>
                <w:b/>
                <w:color w:val="212121"/>
                <w:lang w:val="es-ES"/>
              </w:rPr>
            </w:pPr>
            <w:r w:rsidRPr="009A27ED">
              <w:rPr>
                <w:rFonts w:asciiTheme="minorHAnsi" w:hAnsiTheme="minorHAnsi" w:cstheme="minorHAnsi"/>
                <w:b/>
                <w:color w:val="212121"/>
                <w:lang w:val="es-ES"/>
              </w:rPr>
              <w:t>Sustitución y pérdida de especies nativas y endémicas:</w:t>
            </w:r>
          </w:p>
          <w:p w14:paraId="3CD01988" w14:textId="77777777" w:rsidR="00533B74" w:rsidRPr="009A27ED" w:rsidRDefault="00533B74" w:rsidP="00562F95">
            <w:pPr>
              <w:pStyle w:val="HTMLconformatoprevio"/>
              <w:jc w:val="both"/>
              <w:rPr>
                <w:rFonts w:asciiTheme="minorHAnsi" w:hAnsiTheme="minorHAnsi" w:cstheme="minorHAnsi"/>
                <w:color w:val="212121"/>
              </w:rPr>
            </w:pPr>
            <w:r w:rsidRPr="009A27ED">
              <w:rPr>
                <w:rFonts w:asciiTheme="minorHAnsi" w:hAnsiTheme="minorHAnsi" w:cstheme="minorHAnsi"/>
                <w:color w:val="212121"/>
                <w:lang w:val="es-ES"/>
              </w:rPr>
              <w:t xml:space="preserve">Expresaron su preocupación de que un desplazamiento de especies nativas pueda ocurrir como resultado de especies introducidas con fines de explotación forestal (monocultivo), o mediante la introducción de especies exóticas en proyectos de reforestación, para hacer que estos sean más rentables. </w:t>
            </w:r>
          </w:p>
          <w:p w14:paraId="16705232" w14:textId="77777777" w:rsidR="00533B74" w:rsidRPr="009A27ED" w:rsidRDefault="00533B74" w:rsidP="00562F95">
            <w:pPr>
              <w:rPr>
                <w:b/>
                <w:color w:val="000000"/>
                <w:sz w:val="20"/>
                <w:szCs w:val="20"/>
              </w:rPr>
            </w:pPr>
          </w:p>
        </w:tc>
        <w:tc>
          <w:tcPr>
            <w:tcW w:w="5101" w:type="dxa"/>
          </w:tcPr>
          <w:p w14:paraId="6E0E0F32" w14:textId="77777777" w:rsidR="00533B74" w:rsidRPr="009A27ED" w:rsidRDefault="00533B74" w:rsidP="00562F95">
            <w:pPr>
              <w:rPr>
                <w:color w:val="000000"/>
                <w:sz w:val="20"/>
                <w:szCs w:val="20"/>
              </w:rPr>
            </w:pPr>
            <w:r w:rsidRPr="009A27ED">
              <w:rPr>
                <w:color w:val="212121"/>
                <w:sz w:val="20"/>
                <w:szCs w:val="20"/>
              </w:rPr>
              <w:t>Las acciones y programas de REDD + cumplirán con las salvaguardas de la CMNUCC y las políticas operativas del Banco Mundial, en este caso la política relacionada con los hábitats naturales y los bosques. En los programas REDD +, las especies nativas se utilizarán con una preferencia por las especies endémicas.</w:t>
            </w:r>
          </w:p>
        </w:tc>
      </w:tr>
      <w:tr w:rsidR="00533B74" w:rsidRPr="009A27ED" w14:paraId="132F6EE1" w14:textId="77777777" w:rsidTr="00562F95">
        <w:tc>
          <w:tcPr>
            <w:tcW w:w="4675" w:type="dxa"/>
          </w:tcPr>
          <w:p w14:paraId="72BD2A2D" w14:textId="77777777" w:rsidR="00533B74" w:rsidRPr="009A27ED" w:rsidRDefault="00533B74" w:rsidP="00562F95">
            <w:pPr>
              <w:pStyle w:val="HTMLconformatoprevio"/>
              <w:jc w:val="both"/>
              <w:rPr>
                <w:rFonts w:asciiTheme="minorHAnsi" w:hAnsiTheme="minorHAnsi" w:cstheme="minorHAnsi"/>
                <w:b/>
                <w:color w:val="212121"/>
                <w:lang w:val="es-ES"/>
              </w:rPr>
            </w:pPr>
            <w:r w:rsidRPr="009A27ED">
              <w:rPr>
                <w:rFonts w:asciiTheme="minorHAnsi" w:hAnsiTheme="minorHAnsi" w:cstheme="minorHAnsi"/>
                <w:b/>
                <w:color w:val="212121"/>
                <w:lang w:val="es-ES"/>
              </w:rPr>
              <w:t>Descontento, resistencia y conflictos como resultado de decisiones unilaterales:</w:t>
            </w:r>
          </w:p>
          <w:p w14:paraId="5E07EA98" w14:textId="77777777" w:rsidR="00533B74" w:rsidRPr="009A27ED" w:rsidRDefault="00533B74" w:rsidP="00562F95">
            <w:pPr>
              <w:pStyle w:val="HTMLconformatoprevio"/>
              <w:jc w:val="both"/>
              <w:rPr>
                <w:rFonts w:asciiTheme="minorHAnsi" w:hAnsiTheme="minorHAnsi" w:cstheme="minorHAnsi"/>
                <w:color w:val="212121"/>
              </w:rPr>
            </w:pPr>
            <w:r w:rsidRPr="009A27ED">
              <w:rPr>
                <w:rFonts w:asciiTheme="minorHAnsi" w:hAnsiTheme="minorHAnsi" w:cstheme="minorHAnsi"/>
                <w:color w:val="212121"/>
                <w:lang w:val="es-ES"/>
              </w:rPr>
              <w:t xml:space="preserve">La ignorancia por parte de quienes toman las decisiones sobre las actividades de producción tradicionales de las familias afectadas genera descontento, resistencia y disputas. Además, mencionaron que pueden surgir disputas como resultado de la resistencia a la aplicación de las nuevas medidas para restringir la expansión de la agricultura y la ganadería, y / o la resistencia de los actores involucrados a la aplicación de medidas de control para la protección fitosanitaria, si no son adecuadas. Consultados durante el diseño de dichas medidas. </w:t>
            </w:r>
          </w:p>
          <w:p w14:paraId="70BFB8EF" w14:textId="77777777" w:rsidR="00533B74" w:rsidRPr="009A27ED" w:rsidRDefault="00533B74" w:rsidP="00562F95">
            <w:pPr>
              <w:rPr>
                <w:b/>
                <w:color w:val="000000"/>
                <w:sz w:val="20"/>
                <w:szCs w:val="20"/>
              </w:rPr>
            </w:pPr>
          </w:p>
        </w:tc>
        <w:tc>
          <w:tcPr>
            <w:tcW w:w="5101" w:type="dxa"/>
          </w:tcPr>
          <w:p w14:paraId="0626A25D" w14:textId="77777777" w:rsidR="00533B74" w:rsidRPr="009A27ED" w:rsidRDefault="00533B74" w:rsidP="00562F95">
            <w:pPr>
              <w:rPr>
                <w:color w:val="000000"/>
                <w:sz w:val="20"/>
                <w:szCs w:val="20"/>
              </w:rPr>
            </w:pPr>
            <w:r w:rsidRPr="009A27ED">
              <w:rPr>
                <w:color w:val="212121"/>
                <w:sz w:val="20"/>
                <w:szCs w:val="20"/>
              </w:rPr>
              <w:t xml:space="preserve">Desde el inicio del trabajo de diseño y preparación de </w:t>
            </w:r>
            <w:r w:rsidRPr="009A27ED">
              <w:rPr>
                <w:color w:val="212121"/>
                <w:sz w:val="20"/>
              </w:rPr>
              <w:t>la EN-REDD+-</w:t>
            </w:r>
            <w:r w:rsidRPr="009A27ED">
              <w:rPr>
                <w:color w:val="212121"/>
                <w:sz w:val="20"/>
                <w:szCs w:val="20"/>
              </w:rPr>
              <w:t xml:space="preserve"> y </w:t>
            </w:r>
            <w:r w:rsidRPr="009A27ED">
              <w:rPr>
                <w:color w:val="212121"/>
                <w:sz w:val="20"/>
              </w:rPr>
              <w:t>el Programa REDD+</w:t>
            </w:r>
            <w:r w:rsidRPr="009A27ED">
              <w:rPr>
                <w:color w:val="212121"/>
                <w:sz w:val="20"/>
                <w:szCs w:val="20"/>
              </w:rPr>
              <w:t xml:space="preserve">, se han establecido mecanismos de consulta y participación para cada una de las etapas y temas en cuestión. Durante la fase de implementación, estos mecanismos de consulta y gobierno continuarán operando. Además, los programas se desarrollan en coordinación con las federaciones y asociaciones existentes en las comunidades y / o representantes de </w:t>
            </w:r>
            <w:proofErr w:type="gramStart"/>
            <w:r w:rsidRPr="009A27ED">
              <w:rPr>
                <w:color w:val="212121"/>
                <w:sz w:val="20"/>
                <w:szCs w:val="20"/>
              </w:rPr>
              <w:t>las mismas</w:t>
            </w:r>
            <w:proofErr w:type="gramEnd"/>
            <w:r w:rsidRPr="009A27ED">
              <w:rPr>
                <w:color w:val="212121"/>
                <w:sz w:val="20"/>
                <w:szCs w:val="20"/>
              </w:rPr>
              <w:t xml:space="preserve">, y se centran en mejorar la productividad y la rentabilidad de los productores agrícolas y ganaderos, con un uso sostenible de los recursos. </w:t>
            </w:r>
            <w:r w:rsidRPr="009A27ED">
              <w:rPr>
                <w:color w:val="212121"/>
                <w:sz w:val="20"/>
              </w:rPr>
              <w:t>El MQRC</w:t>
            </w:r>
            <w:r w:rsidRPr="009A27ED">
              <w:rPr>
                <w:color w:val="212121"/>
                <w:sz w:val="20"/>
                <w:szCs w:val="20"/>
              </w:rPr>
              <w:t xml:space="preserve"> incluye disposiciones para la resolución de conflictos.</w:t>
            </w:r>
          </w:p>
        </w:tc>
      </w:tr>
      <w:tr w:rsidR="00533B74" w:rsidRPr="009A27ED" w14:paraId="497B9648" w14:textId="77777777" w:rsidTr="00562F95">
        <w:tc>
          <w:tcPr>
            <w:tcW w:w="4675" w:type="dxa"/>
          </w:tcPr>
          <w:p w14:paraId="1DBD5DD8" w14:textId="77777777" w:rsidR="00533B74" w:rsidRPr="009A27ED" w:rsidRDefault="00533B74" w:rsidP="00562F95">
            <w:pPr>
              <w:pStyle w:val="HTMLconformatoprevio"/>
              <w:jc w:val="both"/>
              <w:rPr>
                <w:rFonts w:asciiTheme="minorHAnsi" w:hAnsiTheme="minorHAnsi" w:cstheme="minorHAnsi"/>
                <w:b/>
                <w:color w:val="212121"/>
                <w:lang w:val="es-ES"/>
              </w:rPr>
            </w:pPr>
            <w:r w:rsidRPr="009A27ED">
              <w:rPr>
                <w:rFonts w:asciiTheme="minorHAnsi" w:hAnsiTheme="minorHAnsi" w:cstheme="minorHAnsi"/>
                <w:b/>
                <w:color w:val="212121"/>
                <w:lang w:val="es-ES"/>
              </w:rPr>
              <w:t>Medidas y control fitosanitarios:</w:t>
            </w:r>
          </w:p>
          <w:p w14:paraId="04C5F27A" w14:textId="77777777" w:rsidR="00533B74" w:rsidRPr="009A27ED" w:rsidRDefault="00533B74" w:rsidP="00562F95">
            <w:pPr>
              <w:pStyle w:val="HTMLconformatoprevio"/>
              <w:jc w:val="both"/>
              <w:rPr>
                <w:rFonts w:asciiTheme="minorHAnsi" w:hAnsiTheme="minorHAnsi" w:cstheme="minorHAnsi"/>
                <w:color w:val="212121"/>
                <w:lang w:val="es-ES"/>
              </w:rPr>
            </w:pPr>
            <w:r w:rsidRPr="009A27ED">
              <w:rPr>
                <w:rFonts w:asciiTheme="minorHAnsi" w:hAnsiTheme="minorHAnsi" w:cstheme="minorHAnsi"/>
                <w:color w:val="212121"/>
                <w:lang w:val="es-ES"/>
              </w:rPr>
              <w:t xml:space="preserve">Establecieron que los programas fitosanitarios pueden afectar negativamente la biodiversidad y los recursos hídricos, si se implementan sin llevar a cabo una evaluación de impacto ambiental. También expresaron que las medidas de control fitosanitario aplicadas sin la </w:t>
            </w:r>
            <w:r w:rsidRPr="009A27ED">
              <w:rPr>
                <w:rFonts w:asciiTheme="minorHAnsi" w:hAnsiTheme="minorHAnsi" w:cstheme="minorHAnsi"/>
                <w:color w:val="212121"/>
                <w:lang w:val="es-ES"/>
              </w:rPr>
              <w:lastRenderedPageBreak/>
              <w:t>aprobación de los permisos de rectificación pueden causar daños irreparables a la producción.</w:t>
            </w:r>
          </w:p>
          <w:p w14:paraId="38F3DEFA" w14:textId="77777777" w:rsidR="00533B74" w:rsidRPr="009A27ED" w:rsidRDefault="00533B74" w:rsidP="00562F95">
            <w:pPr>
              <w:pStyle w:val="HTMLconformatoprevio"/>
              <w:jc w:val="both"/>
              <w:rPr>
                <w:b/>
                <w:color w:val="000000"/>
              </w:rPr>
            </w:pPr>
          </w:p>
        </w:tc>
        <w:tc>
          <w:tcPr>
            <w:tcW w:w="5101" w:type="dxa"/>
          </w:tcPr>
          <w:p w14:paraId="7EBE008C" w14:textId="77777777" w:rsidR="00533B74" w:rsidRPr="009A27ED" w:rsidRDefault="00533B74" w:rsidP="00562F95">
            <w:pPr>
              <w:pStyle w:val="HTMLconformatoprevio"/>
              <w:jc w:val="both"/>
              <w:rPr>
                <w:rFonts w:asciiTheme="minorHAnsi" w:hAnsiTheme="minorHAnsi" w:cstheme="minorHAnsi"/>
                <w:color w:val="212121"/>
              </w:rPr>
            </w:pPr>
            <w:r w:rsidRPr="009A27ED">
              <w:rPr>
                <w:rFonts w:asciiTheme="minorHAnsi" w:hAnsiTheme="minorHAnsi" w:cstheme="minorHAnsi"/>
                <w:color w:val="212121"/>
                <w:lang w:val="es-ES"/>
              </w:rPr>
              <w:lastRenderedPageBreak/>
              <w:t>Las instituciones nacionales involucradas en el NS REDD + tienen protocolos establecidos para aplicar medidas fitosanitarias. Además, las acciones y programas de REDD + cumplirán con las salvaguardas de la CMNUCC y las políticas operativas del Banco Mundial, en este caso la política relacionada con el Plan de manejo integrado y control de plagas desarrollado para el proyecto.</w:t>
            </w:r>
          </w:p>
          <w:p w14:paraId="5A27F1FE" w14:textId="77777777" w:rsidR="00533B74" w:rsidRPr="009A27ED" w:rsidRDefault="00533B74" w:rsidP="00562F95">
            <w:pPr>
              <w:rPr>
                <w:color w:val="000000"/>
                <w:sz w:val="20"/>
                <w:szCs w:val="20"/>
              </w:rPr>
            </w:pPr>
          </w:p>
        </w:tc>
      </w:tr>
    </w:tbl>
    <w:p w14:paraId="25412F69" w14:textId="77777777" w:rsidR="00533B74" w:rsidRPr="009A27ED" w:rsidRDefault="00533B74" w:rsidP="00533B74">
      <w:pPr>
        <w:spacing w:line="360" w:lineRule="auto"/>
      </w:pPr>
    </w:p>
    <w:tbl>
      <w:tblPr>
        <w:tblStyle w:val="Tablaconcuadrcula"/>
        <w:tblW w:w="9776" w:type="dxa"/>
        <w:tblLook w:val="04A0" w:firstRow="1" w:lastRow="0" w:firstColumn="1" w:lastColumn="0" w:noHBand="0" w:noVBand="1"/>
      </w:tblPr>
      <w:tblGrid>
        <w:gridCol w:w="4815"/>
        <w:gridCol w:w="4961"/>
      </w:tblGrid>
      <w:tr w:rsidR="00533B74" w:rsidRPr="009A27ED" w14:paraId="09053FEF" w14:textId="77777777" w:rsidTr="00562F95">
        <w:trPr>
          <w:tblHeader/>
        </w:trPr>
        <w:tc>
          <w:tcPr>
            <w:tcW w:w="4815" w:type="dxa"/>
            <w:shd w:val="clear" w:color="auto" w:fill="2E74B5" w:themeFill="accent1" w:themeFillShade="BF"/>
          </w:tcPr>
          <w:p w14:paraId="50C48E29" w14:textId="77777777" w:rsidR="00533B74" w:rsidRPr="009A27ED" w:rsidRDefault="00533B74" w:rsidP="00562F95">
            <w:pPr>
              <w:spacing w:after="0"/>
              <w:jc w:val="center"/>
              <w:rPr>
                <w:b/>
                <w:color w:val="FFFFFF" w:themeColor="background1"/>
                <w:sz w:val="20"/>
                <w:szCs w:val="20"/>
              </w:rPr>
            </w:pPr>
            <w:r w:rsidRPr="009A27ED">
              <w:rPr>
                <w:b/>
                <w:color w:val="FFFFFF" w:themeColor="background1"/>
                <w:sz w:val="20"/>
                <w:szCs w:val="20"/>
              </w:rPr>
              <w:t>MGAS comentarios - inquietudes</w:t>
            </w:r>
          </w:p>
        </w:tc>
        <w:tc>
          <w:tcPr>
            <w:tcW w:w="4961" w:type="dxa"/>
            <w:shd w:val="clear" w:color="auto" w:fill="2E74B5" w:themeFill="accent1" w:themeFillShade="BF"/>
          </w:tcPr>
          <w:p w14:paraId="1F8E8B85" w14:textId="77777777" w:rsidR="00533B74" w:rsidRPr="009A27ED" w:rsidRDefault="00533B74" w:rsidP="00562F95">
            <w:pPr>
              <w:spacing w:after="0"/>
              <w:jc w:val="center"/>
              <w:rPr>
                <w:b/>
                <w:color w:val="FFFFFF" w:themeColor="background1"/>
                <w:sz w:val="20"/>
                <w:szCs w:val="20"/>
              </w:rPr>
            </w:pPr>
            <w:r w:rsidRPr="009A27ED">
              <w:rPr>
                <w:b/>
                <w:color w:val="FFFFFF" w:themeColor="background1"/>
                <w:sz w:val="20"/>
                <w:szCs w:val="20"/>
              </w:rPr>
              <w:t>Retroalimentación hacia la EN-REDD+-RD y el Programa REDD+</w:t>
            </w:r>
          </w:p>
          <w:p w14:paraId="3A8B31E0" w14:textId="77777777" w:rsidR="00533B74" w:rsidRPr="009A27ED" w:rsidRDefault="00533B74" w:rsidP="00562F95">
            <w:pPr>
              <w:spacing w:after="0"/>
              <w:jc w:val="center"/>
              <w:rPr>
                <w:b/>
                <w:color w:val="FFFFFF" w:themeColor="background1"/>
                <w:sz w:val="20"/>
                <w:szCs w:val="20"/>
              </w:rPr>
            </w:pPr>
          </w:p>
        </w:tc>
      </w:tr>
      <w:tr w:rsidR="00533B74" w:rsidRPr="009A27ED" w14:paraId="0C4BFB9C" w14:textId="77777777" w:rsidTr="00562F95">
        <w:tblPrEx>
          <w:shd w:val="clear" w:color="auto" w:fill="F2F2F2" w:themeFill="background1" w:themeFillShade="F2"/>
        </w:tblPrEx>
        <w:tc>
          <w:tcPr>
            <w:tcW w:w="4815" w:type="dxa"/>
            <w:shd w:val="clear" w:color="auto" w:fill="F2F2F2" w:themeFill="background1" w:themeFillShade="F2"/>
          </w:tcPr>
          <w:p w14:paraId="29727A55" w14:textId="77777777" w:rsidR="00533B74" w:rsidRPr="009A27ED" w:rsidRDefault="00533B74" w:rsidP="00562F95">
            <w:pPr>
              <w:pStyle w:val="HTMLconformatoprevio"/>
              <w:jc w:val="both"/>
              <w:rPr>
                <w:rFonts w:cstheme="minorHAnsi"/>
                <w:lang w:val="es-ES"/>
              </w:rPr>
            </w:pPr>
            <w:r w:rsidRPr="009A27ED">
              <w:rPr>
                <w:rFonts w:asciiTheme="minorHAnsi" w:hAnsiTheme="minorHAnsi" w:cstheme="minorHAnsi"/>
                <w:color w:val="212121"/>
                <w:lang w:val="es-ES"/>
              </w:rPr>
              <w:t xml:space="preserve">En general, los participantes estuvieron de acuerdo con los arreglos y procedimientos institucionales establecidos en el MGAS. </w:t>
            </w:r>
          </w:p>
          <w:p w14:paraId="27CBE5CC" w14:textId="77777777" w:rsidR="00533B74" w:rsidRPr="009A27ED" w:rsidRDefault="00533B74" w:rsidP="00562F95">
            <w:pPr>
              <w:rPr>
                <w:sz w:val="20"/>
                <w:szCs w:val="20"/>
              </w:rPr>
            </w:pPr>
          </w:p>
        </w:tc>
        <w:tc>
          <w:tcPr>
            <w:tcW w:w="4961" w:type="dxa"/>
            <w:shd w:val="clear" w:color="auto" w:fill="F2F2F2" w:themeFill="background1" w:themeFillShade="F2"/>
          </w:tcPr>
          <w:p w14:paraId="543B918F" w14:textId="77777777" w:rsidR="00533B74" w:rsidRPr="009A27ED" w:rsidRDefault="00533B74" w:rsidP="00562F95">
            <w:pPr>
              <w:spacing w:after="0"/>
              <w:rPr>
                <w:sz w:val="20"/>
                <w:szCs w:val="20"/>
              </w:rPr>
            </w:pPr>
            <w:r w:rsidRPr="009A27ED">
              <w:rPr>
                <w:sz w:val="20"/>
                <w:szCs w:val="20"/>
              </w:rPr>
              <w:t>N/A</w:t>
            </w:r>
          </w:p>
        </w:tc>
      </w:tr>
      <w:tr w:rsidR="00533B74" w:rsidRPr="009A27ED" w14:paraId="0340FC32" w14:textId="77777777" w:rsidTr="00562F95">
        <w:tblPrEx>
          <w:shd w:val="clear" w:color="auto" w:fill="F2F2F2" w:themeFill="background1" w:themeFillShade="F2"/>
        </w:tblPrEx>
        <w:tc>
          <w:tcPr>
            <w:tcW w:w="4815" w:type="dxa"/>
            <w:shd w:val="clear" w:color="auto" w:fill="F2F2F2" w:themeFill="background1" w:themeFillShade="F2"/>
          </w:tcPr>
          <w:p w14:paraId="5A004F49" w14:textId="77777777" w:rsidR="00533B74" w:rsidRPr="009A27ED" w:rsidRDefault="00533B74" w:rsidP="00562F95">
            <w:pPr>
              <w:pStyle w:val="HTMLconformatoprevio"/>
              <w:jc w:val="both"/>
              <w:rPr>
                <w:rFonts w:asciiTheme="minorHAnsi" w:hAnsiTheme="minorHAnsi" w:cstheme="minorHAnsi"/>
                <w:color w:val="212121"/>
              </w:rPr>
            </w:pPr>
            <w:r w:rsidRPr="009A27ED">
              <w:rPr>
                <w:rFonts w:asciiTheme="minorHAnsi" w:hAnsiTheme="minorHAnsi" w:cstheme="minorHAnsi"/>
                <w:color w:val="212121"/>
                <w:lang w:val="es-ES"/>
              </w:rPr>
              <w:t xml:space="preserve">Se requiere más información sobre la aplicación de salvaguardas para comprender mejor los procedimientos y mecanismos de información. Es clave preparar a las personas para el proceso de implementación. </w:t>
            </w:r>
          </w:p>
          <w:p w14:paraId="58EE8586" w14:textId="77777777" w:rsidR="00533B74" w:rsidRPr="009A27ED" w:rsidRDefault="00533B74" w:rsidP="00562F95">
            <w:pPr>
              <w:pStyle w:val="HTMLconformatoprevio"/>
              <w:jc w:val="both"/>
              <w:rPr>
                <w:rFonts w:asciiTheme="minorHAnsi" w:hAnsiTheme="minorHAnsi" w:cstheme="minorHAnsi"/>
                <w:color w:val="212121"/>
                <w:lang w:val="es-ES"/>
              </w:rPr>
            </w:pPr>
          </w:p>
        </w:tc>
        <w:tc>
          <w:tcPr>
            <w:tcW w:w="4961" w:type="dxa"/>
            <w:shd w:val="clear" w:color="auto" w:fill="F2F2F2" w:themeFill="background1" w:themeFillShade="F2"/>
          </w:tcPr>
          <w:p w14:paraId="518555FF" w14:textId="77777777" w:rsidR="00533B74" w:rsidRPr="009A27ED" w:rsidRDefault="00533B74" w:rsidP="00562F95">
            <w:pPr>
              <w:rPr>
                <w:sz w:val="20"/>
                <w:szCs w:val="20"/>
              </w:rPr>
            </w:pPr>
            <w:r w:rsidRPr="009A27ED">
              <w:rPr>
                <w:color w:val="212121"/>
                <w:sz w:val="20"/>
                <w:szCs w:val="20"/>
              </w:rPr>
              <w:t xml:space="preserve">Tanto en las fases de Preparación como de Implementación, se desarrollarán diversas acciones de capacitación y comunicación sobre salvaguardas y mecanismos de cumplimiento. Se operacionalizan según los pasos establecidos en el </w:t>
            </w:r>
            <w:r w:rsidRPr="009A27ED">
              <w:rPr>
                <w:color w:val="212121"/>
                <w:sz w:val="20"/>
              </w:rPr>
              <w:t xml:space="preserve">SESA </w:t>
            </w:r>
            <w:r w:rsidRPr="009A27ED">
              <w:rPr>
                <w:color w:val="212121"/>
                <w:sz w:val="20"/>
                <w:szCs w:val="20"/>
              </w:rPr>
              <w:t xml:space="preserve"> y el </w:t>
            </w:r>
            <w:r w:rsidRPr="009A27ED">
              <w:rPr>
                <w:color w:val="212121"/>
                <w:sz w:val="20"/>
              </w:rPr>
              <w:t>MGAS</w:t>
            </w:r>
            <w:r w:rsidRPr="009A27ED">
              <w:rPr>
                <w:color w:val="212121"/>
                <w:sz w:val="20"/>
                <w:szCs w:val="20"/>
              </w:rPr>
              <w:t>.</w:t>
            </w:r>
          </w:p>
        </w:tc>
      </w:tr>
      <w:tr w:rsidR="00533B74" w:rsidRPr="009A27ED" w14:paraId="7D0F2F4E" w14:textId="77777777" w:rsidTr="00562F95">
        <w:tblPrEx>
          <w:shd w:val="clear" w:color="auto" w:fill="F2F2F2" w:themeFill="background1" w:themeFillShade="F2"/>
        </w:tblPrEx>
        <w:tc>
          <w:tcPr>
            <w:tcW w:w="4815" w:type="dxa"/>
            <w:shd w:val="clear" w:color="auto" w:fill="F2F2F2" w:themeFill="background1" w:themeFillShade="F2"/>
          </w:tcPr>
          <w:p w14:paraId="6F17B47F" w14:textId="77777777" w:rsidR="00533B74" w:rsidRPr="009A27ED" w:rsidRDefault="00533B74" w:rsidP="00562F95">
            <w:pPr>
              <w:pStyle w:val="HTMLconformatoprevio"/>
              <w:jc w:val="both"/>
              <w:rPr>
                <w:rFonts w:asciiTheme="minorHAnsi" w:hAnsiTheme="minorHAnsi" w:cstheme="minorHAnsi"/>
                <w:color w:val="212121"/>
              </w:rPr>
            </w:pPr>
            <w:r w:rsidRPr="009A27ED">
              <w:rPr>
                <w:rFonts w:asciiTheme="minorHAnsi" w:hAnsiTheme="minorHAnsi" w:cstheme="minorHAnsi"/>
                <w:color w:val="212121"/>
                <w:lang w:val="es-ES"/>
              </w:rPr>
              <w:t xml:space="preserve">Es necesario fortalecer la capacitación en todos los niveles, tanto a nivel administrativo como comunitario, en la aplicación de procedimientos. Se sugirió llevar a cabo un plan piloto. </w:t>
            </w:r>
          </w:p>
          <w:p w14:paraId="7B745E07" w14:textId="77777777" w:rsidR="00533B74" w:rsidRPr="009A27ED" w:rsidRDefault="00533B74" w:rsidP="00562F95">
            <w:pPr>
              <w:rPr>
                <w:rFonts w:ascii="Times New Roman" w:hAnsi="Times New Roman"/>
                <w:sz w:val="20"/>
                <w:szCs w:val="20"/>
                <w:lang w:val="en-US"/>
              </w:rPr>
            </w:pPr>
          </w:p>
        </w:tc>
        <w:tc>
          <w:tcPr>
            <w:tcW w:w="4961" w:type="dxa"/>
            <w:shd w:val="clear" w:color="auto" w:fill="F2F2F2" w:themeFill="background1" w:themeFillShade="F2"/>
          </w:tcPr>
          <w:p w14:paraId="3A48270F" w14:textId="77777777" w:rsidR="00533B74" w:rsidRPr="009A27ED" w:rsidRDefault="00533B74" w:rsidP="00562F95">
            <w:pPr>
              <w:rPr>
                <w:sz w:val="20"/>
                <w:szCs w:val="20"/>
              </w:rPr>
            </w:pPr>
            <w:r w:rsidRPr="009A27ED">
              <w:rPr>
                <w:color w:val="212121"/>
                <w:sz w:val="20"/>
                <w:szCs w:val="20"/>
              </w:rPr>
              <w:t>Durante la puesta en marcha del MGAS, se ha considerado la capacitación de EE y diferentes actores sociales y comunitarios. Se creará un equipo de facilitación y un proceso de capacitación en cascada.</w:t>
            </w:r>
          </w:p>
        </w:tc>
      </w:tr>
      <w:tr w:rsidR="00533B74" w:rsidRPr="009A27ED" w14:paraId="19261994" w14:textId="77777777" w:rsidTr="00562F95">
        <w:tblPrEx>
          <w:shd w:val="clear" w:color="auto" w:fill="F2F2F2" w:themeFill="background1" w:themeFillShade="F2"/>
        </w:tblPrEx>
        <w:tc>
          <w:tcPr>
            <w:tcW w:w="4815" w:type="dxa"/>
            <w:shd w:val="clear" w:color="auto" w:fill="F2F2F2" w:themeFill="background1" w:themeFillShade="F2"/>
          </w:tcPr>
          <w:p w14:paraId="4A96C0C4" w14:textId="77777777" w:rsidR="00533B74" w:rsidRPr="009A27ED" w:rsidRDefault="00533B74" w:rsidP="00562F95">
            <w:pPr>
              <w:pStyle w:val="HTMLconformatoprevio"/>
              <w:jc w:val="both"/>
              <w:rPr>
                <w:rFonts w:asciiTheme="minorHAnsi" w:hAnsiTheme="minorHAnsi" w:cstheme="minorHAnsi"/>
                <w:color w:val="212121"/>
              </w:rPr>
            </w:pPr>
            <w:r w:rsidRPr="009A27ED">
              <w:rPr>
                <w:rFonts w:asciiTheme="minorHAnsi" w:hAnsiTheme="minorHAnsi" w:cstheme="minorHAnsi"/>
                <w:color w:val="212121"/>
                <w:lang w:val="es-ES"/>
              </w:rPr>
              <w:t xml:space="preserve">Se hizo énfasis en la importancia de proporcionar un apoyo constante y una supervisión estrecha por parte de la Oficina de Coordinación de REDD + (ORC) a los organismos de ejecución para lograr una buena implementación del ESMF. </w:t>
            </w:r>
          </w:p>
          <w:p w14:paraId="146DFBBE" w14:textId="77777777" w:rsidR="00533B74" w:rsidRPr="009A27ED" w:rsidRDefault="00533B74" w:rsidP="00562F95">
            <w:pPr>
              <w:rPr>
                <w:sz w:val="20"/>
                <w:szCs w:val="20"/>
              </w:rPr>
            </w:pPr>
          </w:p>
        </w:tc>
        <w:tc>
          <w:tcPr>
            <w:tcW w:w="4961" w:type="dxa"/>
            <w:shd w:val="clear" w:color="auto" w:fill="F2F2F2" w:themeFill="background1" w:themeFillShade="F2"/>
          </w:tcPr>
          <w:p w14:paraId="5A5F6803" w14:textId="77777777" w:rsidR="00533B74" w:rsidRPr="009A27ED" w:rsidRDefault="00533B74" w:rsidP="00562F95">
            <w:pPr>
              <w:rPr>
                <w:sz w:val="20"/>
                <w:szCs w:val="20"/>
              </w:rPr>
            </w:pPr>
            <w:r w:rsidRPr="009A27ED">
              <w:rPr>
                <w:color w:val="212121"/>
                <w:sz w:val="20"/>
                <w:szCs w:val="20"/>
              </w:rPr>
              <w:t xml:space="preserve">Esto está previsto en la sección de arreglos institucionales del </w:t>
            </w:r>
            <w:r w:rsidRPr="009A27ED">
              <w:rPr>
                <w:color w:val="212121"/>
                <w:sz w:val="20"/>
              </w:rPr>
              <w:t>SESA</w:t>
            </w:r>
            <w:r w:rsidRPr="009A27ED">
              <w:rPr>
                <w:color w:val="212121"/>
                <w:sz w:val="20"/>
                <w:szCs w:val="20"/>
              </w:rPr>
              <w:t xml:space="preserve"> y </w:t>
            </w:r>
            <w:r w:rsidRPr="009A27ED">
              <w:rPr>
                <w:color w:val="212121"/>
                <w:sz w:val="20"/>
              </w:rPr>
              <w:t>MGAS</w:t>
            </w:r>
            <w:r w:rsidRPr="009A27ED">
              <w:rPr>
                <w:color w:val="212121"/>
                <w:sz w:val="20"/>
                <w:szCs w:val="20"/>
              </w:rPr>
              <w:t xml:space="preserve"> y será una de las responsabilidades básicas de la OCR.</w:t>
            </w:r>
          </w:p>
        </w:tc>
      </w:tr>
      <w:tr w:rsidR="00533B74" w:rsidRPr="009A27ED" w14:paraId="7A8B4FE1" w14:textId="77777777" w:rsidTr="00562F95">
        <w:tblPrEx>
          <w:shd w:val="clear" w:color="auto" w:fill="F2F2F2" w:themeFill="background1" w:themeFillShade="F2"/>
        </w:tblPrEx>
        <w:tc>
          <w:tcPr>
            <w:tcW w:w="4815" w:type="dxa"/>
            <w:shd w:val="clear" w:color="auto" w:fill="F2F2F2" w:themeFill="background1" w:themeFillShade="F2"/>
          </w:tcPr>
          <w:p w14:paraId="65AFF81D" w14:textId="77777777" w:rsidR="00533B74" w:rsidRPr="009A27ED" w:rsidRDefault="00533B74" w:rsidP="00562F95">
            <w:pPr>
              <w:pStyle w:val="HTMLconformatoprevio"/>
              <w:jc w:val="both"/>
              <w:rPr>
                <w:rFonts w:asciiTheme="minorHAnsi" w:hAnsiTheme="minorHAnsi" w:cstheme="minorHAnsi"/>
                <w:color w:val="212121"/>
                <w:lang w:val="es-ES"/>
              </w:rPr>
            </w:pPr>
            <w:r w:rsidRPr="009A27ED">
              <w:rPr>
                <w:rFonts w:asciiTheme="minorHAnsi" w:hAnsiTheme="minorHAnsi" w:cstheme="minorHAnsi"/>
                <w:color w:val="212121"/>
                <w:lang w:val="es-ES"/>
              </w:rPr>
              <w:t xml:space="preserve">Se sugirió incluir al CTA en la fase de selección y evaluación de los subproyectos REDD +. Además, que el CTA asuma un papel más activo en todos los procesos para cumplir con las salvaguardas. Los proyectos y el programa REDD + ya han sido seleccionados. En los procesos de consulta y validación llevados a cabo por la UTG en 2018, participó el CTA. </w:t>
            </w:r>
          </w:p>
        </w:tc>
        <w:tc>
          <w:tcPr>
            <w:tcW w:w="4961" w:type="dxa"/>
            <w:shd w:val="clear" w:color="auto" w:fill="F2F2F2" w:themeFill="background1" w:themeFillShade="F2"/>
          </w:tcPr>
          <w:p w14:paraId="2ACE56F7" w14:textId="77777777" w:rsidR="00533B74" w:rsidRPr="009A27ED" w:rsidRDefault="00533B74" w:rsidP="00562F95">
            <w:pPr>
              <w:pStyle w:val="HTMLconformatoprevio"/>
              <w:jc w:val="both"/>
              <w:rPr>
                <w:rFonts w:asciiTheme="minorHAnsi" w:hAnsiTheme="minorHAnsi" w:cstheme="minorHAnsi"/>
                <w:color w:val="212121"/>
              </w:rPr>
            </w:pPr>
            <w:r w:rsidRPr="009A27ED">
              <w:rPr>
                <w:rFonts w:asciiTheme="minorHAnsi" w:hAnsiTheme="minorHAnsi" w:cstheme="minorHAnsi"/>
                <w:color w:val="212121"/>
                <w:lang w:val="es-ES"/>
              </w:rPr>
              <w:t>Durante el proceso de implementación de REDD +, el Ministerio de Medio Ambiente a través de la OCR debe garantizar la continuidad en la información / enlace y la comprensión de las estructuras de gobierno y el nivel de progreso de los procesos según lo planificado para todas las fases de REDD +.</w:t>
            </w:r>
          </w:p>
          <w:p w14:paraId="48EB00D2" w14:textId="77777777" w:rsidR="00533B74" w:rsidRPr="009A27ED" w:rsidRDefault="00533B74" w:rsidP="00562F95">
            <w:pPr>
              <w:rPr>
                <w:color w:val="212121"/>
                <w:sz w:val="20"/>
                <w:szCs w:val="20"/>
              </w:rPr>
            </w:pPr>
          </w:p>
        </w:tc>
      </w:tr>
      <w:tr w:rsidR="00533B74" w:rsidRPr="009A27ED" w14:paraId="5FE46591" w14:textId="77777777" w:rsidTr="00562F95">
        <w:tblPrEx>
          <w:shd w:val="clear" w:color="auto" w:fill="F2F2F2" w:themeFill="background1" w:themeFillShade="F2"/>
        </w:tblPrEx>
        <w:tc>
          <w:tcPr>
            <w:tcW w:w="4815" w:type="dxa"/>
            <w:shd w:val="clear" w:color="auto" w:fill="F2F2F2" w:themeFill="background1" w:themeFillShade="F2"/>
          </w:tcPr>
          <w:p w14:paraId="4D84518A" w14:textId="77777777" w:rsidR="00533B74" w:rsidRPr="009A27ED" w:rsidRDefault="00533B74" w:rsidP="00562F95">
            <w:pPr>
              <w:pStyle w:val="HTMLconformatoprevio"/>
              <w:jc w:val="both"/>
              <w:rPr>
                <w:rFonts w:asciiTheme="minorHAnsi" w:hAnsiTheme="minorHAnsi" w:cstheme="minorHAnsi"/>
                <w:color w:val="212121"/>
              </w:rPr>
            </w:pPr>
            <w:r w:rsidRPr="009A27ED">
              <w:rPr>
                <w:rFonts w:asciiTheme="minorHAnsi" w:hAnsiTheme="minorHAnsi" w:cstheme="minorHAnsi"/>
                <w:color w:val="212121"/>
                <w:lang w:val="es-ES"/>
              </w:rPr>
              <w:t xml:space="preserve">Se sugirió considerar la pertinencia de formar un comité de Entidades Ejecutoras, donde puedan compartir experiencias, avances y recibir orientación y apoyo. </w:t>
            </w:r>
          </w:p>
          <w:p w14:paraId="6838FD10" w14:textId="77777777" w:rsidR="00533B74" w:rsidRPr="009A27ED" w:rsidRDefault="00533B74" w:rsidP="00562F95">
            <w:pPr>
              <w:rPr>
                <w:rFonts w:ascii="Times New Roman" w:hAnsi="Times New Roman"/>
                <w:sz w:val="20"/>
                <w:szCs w:val="20"/>
              </w:rPr>
            </w:pPr>
          </w:p>
        </w:tc>
        <w:tc>
          <w:tcPr>
            <w:tcW w:w="4961" w:type="dxa"/>
            <w:shd w:val="clear" w:color="auto" w:fill="F2F2F2" w:themeFill="background1" w:themeFillShade="F2"/>
          </w:tcPr>
          <w:p w14:paraId="6D513829" w14:textId="77777777" w:rsidR="00533B74" w:rsidRPr="009A27ED" w:rsidRDefault="00533B74" w:rsidP="00562F95">
            <w:pPr>
              <w:rPr>
                <w:sz w:val="20"/>
                <w:szCs w:val="20"/>
              </w:rPr>
            </w:pPr>
            <w:r w:rsidRPr="009A27ED">
              <w:rPr>
                <w:color w:val="212121"/>
                <w:sz w:val="20"/>
                <w:szCs w:val="20"/>
              </w:rPr>
              <w:t xml:space="preserve">La sugerencia se acepta y se incluirá como parte de los acuerdos interinstitucionales como mecanismo operativo y coordinación de acciones para la implementación de </w:t>
            </w:r>
            <w:r w:rsidRPr="009A27ED">
              <w:rPr>
                <w:color w:val="212121"/>
                <w:sz w:val="20"/>
              </w:rPr>
              <w:t>la EN</w:t>
            </w:r>
            <w:r w:rsidRPr="009A27ED">
              <w:rPr>
                <w:color w:val="212121"/>
                <w:sz w:val="20"/>
                <w:szCs w:val="20"/>
              </w:rPr>
              <w:t xml:space="preserve">-REDD+ y </w:t>
            </w:r>
            <w:r w:rsidRPr="009A27ED">
              <w:rPr>
                <w:color w:val="212121"/>
                <w:sz w:val="20"/>
              </w:rPr>
              <w:t xml:space="preserve">el </w:t>
            </w:r>
            <w:r w:rsidRPr="009A27ED">
              <w:rPr>
                <w:color w:val="212121"/>
                <w:sz w:val="20"/>
                <w:szCs w:val="20"/>
              </w:rPr>
              <w:t>Programa REDD+.</w:t>
            </w:r>
          </w:p>
        </w:tc>
      </w:tr>
      <w:tr w:rsidR="00533B74" w:rsidRPr="009A27ED" w14:paraId="41D7A572" w14:textId="77777777" w:rsidTr="00562F95">
        <w:tblPrEx>
          <w:shd w:val="clear" w:color="auto" w:fill="F2F2F2" w:themeFill="background1" w:themeFillShade="F2"/>
        </w:tblPrEx>
        <w:tc>
          <w:tcPr>
            <w:tcW w:w="4815" w:type="dxa"/>
            <w:shd w:val="clear" w:color="auto" w:fill="F2F2F2" w:themeFill="background1" w:themeFillShade="F2"/>
          </w:tcPr>
          <w:p w14:paraId="58196270" w14:textId="77777777" w:rsidR="00533B74" w:rsidRPr="009A27ED" w:rsidRDefault="00533B74" w:rsidP="00562F95">
            <w:pPr>
              <w:pStyle w:val="HTMLconformatoprevio"/>
              <w:jc w:val="both"/>
              <w:rPr>
                <w:rFonts w:asciiTheme="minorHAnsi" w:hAnsiTheme="minorHAnsi" w:cstheme="minorHAnsi"/>
                <w:color w:val="212121"/>
              </w:rPr>
            </w:pPr>
            <w:r w:rsidRPr="009A27ED">
              <w:rPr>
                <w:rFonts w:asciiTheme="minorHAnsi" w:hAnsiTheme="minorHAnsi" w:cstheme="minorHAnsi"/>
                <w:color w:val="212121"/>
                <w:lang w:val="es-ES"/>
              </w:rPr>
              <w:t xml:space="preserve">Es necesario fortalecer el vínculo entre las instituciones para garantizar la colaboración y el seguimiento de los compromisos nacionales e internacionales. </w:t>
            </w:r>
          </w:p>
          <w:p w14:paraId="60E238B4" w14:textId="77777777" w:rsidR="00533B74" w:rsidRPr="009A27ED" w:rsidRDefault="00533B74" w:rsidP="00562F95">
            <w:pPr>
              <w:pStyle w:val="HTMLconformatoprevio"/>
              <w:jc w:val="both"/>
              <w:rPr>
                <w:rFonts w:asciiTheme="minorHAnsi" w:hAnsiTheme="minorHAnsi" w:cstheme="minorHAnsi"/>
                <w:color w:val="212121"/>
                <w:lang w:val="es-ES"/>
              </w:rPr>
            </w:pPr>
          </w:p>
        </w:tc>
        <w:tc>
          <w:tcPr>
            <w:tcW w:w="4961" w:type="dxa"/>
            <w:shd w:val="clear" w:color="auto" w:fill="F2F2F2" w:themeFill="background1" w:themeFillShade="F2"/>
          </w:tcPr>
          <w:p w14:paraId="61A63F4F" w14:textId="77777777" w:rsidR="00533B74" w:rsidRPr="009A27ED" w:rsidRDefault="00533B74" w:rsidP="00562F95">
            <w:pPr>
              <w:rPr>
                <w:color w:val="212121"/>
                <w:sz w:val="20"/>
                <w:szCs w:val="20"/>
              </w:rPr>
            </w:pPr>
            <w:r w:rsidRPr="009A27ED">
              <w:rPr>
                <w:color w:val="212121"/>
                <w:sz w:val="20"/>
                <w:szCs w:val="20"/>
              </w:rPr>
              <w:t>Esta es una de las opciones estratégicas de</w:t>
            </w:r>
            <w:r w:rsidRPr="009A27ED">
              <w:rPr>
                <w:color w:val="212121"/>
                <w:sz w:val="20"/>
              </w:rPr>
              <w:t xml:space="preserve"> la EN-REDD+ y del Programa REDD+</w:t>
            </w:r>
            <w:r w:rsidRPr="009A27ED">
              <w:rPr>
                <w:color w:val="212121"/>
                <w:sz w:val="20"/>
                <w:szCs w:val="20"/>
              </w:rPr>
              <w:t>. El desarrollo de acciones y actividades estratégicas para fortalecer las capacidades de la EA, así como los mecanismos de coordinación interinstitucional y la gobernanza, abordan este aspecto y uno de sus objetivos es fortalecer la colaboración interinstitucional.</w:t>
            </w:r>
          </w:p>
        </w:tc>
      </w:tr>
      <w:tr w:rsidR="00533B74" w:rsidRPr="009A27ED" w14:paraId="7419598D" w14:textId="77777777" w:rsidTr="00562F95">
        <w:tblPrEx>
          <w:shd w:val="clear" w:color="auto" w:fill="F2F2F2" w:themeFill="background1" w:themeFillShade="F2"/>
        </w:tblPrEx>
        <w:tc>
          <w:tcPr>
            <w:tcW w:w="4815" w:type="dxa"/>
            <w:shd w:val="clear" w:color="auto" w:fill="F2F2F2" w:themeFill="background1" w:themeFillShade="F2"/>
          </w:tcPr>
          <w:p w14:paraId="08F2E7E6" w14:textId="77777777" w:rsidR="00533B74" w:rsidRPr="009A27ED" w:rsidRDefault="00533B74" w:rsidP="00562F95">
            <w:pPr>
              <w:pStyle w:val="HTMLconformatoprevio"/>
              <w:jc w:val="both"/>
              <w:rPr>
                <w:rFonts w:cstheme="minorHAnsi"/>
                <w:lang w:val="es-ES"/>
              </w:rPr>
            </w:pPr>
            <w:r w:rsidRPr="009A27ED">
              <w:rPr>
                <w:rFonts w:asciiTheme="minorHAnsi" w:hAnsiTheme="minorHAnsi" w:cstheme="minorHAnsi"/>
                <w:color w:val="212121"/>
                <w:lang w:val="es-ES"/>
              </w:rPr>
              <w:lastRenderedPageBreak/>
              <w:t xml:space="preserve">Se hizo énfasis en el fortalecimiento de las cuestiones técnicas y operacionales, el suministro de equipos y su mantenimiento en la fase de implementación para poder empoderar a los implementadores. </w:t>
            </w:r>
          </w:p>
        </w:tc>
        <w:tc>
          <w:tcPr>
            <w:tcW w:w="4961" w:type="dxa"/>
            <w:shd w:val="clear" w:color="auto" w:fill="F2F2F2" w:themeFill="background1" w:themeFillShade="F2"/>
          </w:tcPr>
          <w:p w14:paraId="69B72217" w14:textId="77777777" w:rsidR="00533B74" w:rsidRPr="009A27ED" w:rsidRDefault="00533B74" w:rsidP="00562F95">
            <w:pPr>
              <w:pStyle w:val="HTMLconformatoprevio"/>
              <w:jc w:val="both"/>
              <w:rPr>
                <w:rFonts w:asciiTheme="minorHAnsi" w:hAnsiTheme="minorHAnsi" w:cstheme="minorHAnsi"/>
                <w:color w:val="212121"/>
              </w:rPr>
            </w:pPr>
            <w:r w:rsidRPr="009A27ED">
              <w:rPr>
                <w:rFonts w:asciiTheme="minorHAnsi" w:hAnsiTheme="minorHAnsi" w:cstheme="minorHAnsi"/>
                <w:color w:val="212121"/>
                <w:lang w:val="es-ES"/>
              </w:rPr>
              <w:t>Durante la fase de Preparación, se planea fortalecer las capacidades de los EE para incorporar el MGAS en sus sistemas institucionales. Los compromisos establecidos por el más alto nivel de las autoridades y registrados en los acuerdos interinstitucionales establecerán las bases de la legitimidad para la eficiencia y la eficacia del MGAS. Además, a través del seguimiento proporcionado por la OCR y el CTA, se pueden identificar oportunidades de mejora y / o ajustes si es necesario.</w:t>
            </w:r>
          </w:p>
          <w:p w14:paraId="31A3CDC2" w14:textId="77777777" w:rsidR="00533B74" w:rsidRPr="009A27ED" w:rsidRDefault="00533B74" w:rsidP="00562F95">
            <w:pPr>
              <w:spacing w:after="0"/>
              <w:rPr>
                <w:sz w:val="20"/>
                <w:szCs w:val="20"/>
              </w:rPr>
            </w:pPr>
          </w:p>
        </w:tc>
      </w:tr>
    </w:tbl>
    <w:p w14:paraId="0B8D5A68" w14:textId="77777777" w:rsidR="00533B74" w:rsidRPr="009A27ED" w:rsidRDefault="00533B74" w:rsidP="00533B74">
      <w:pPr>
        <w:spacing w:line="360" w:lineRule="auto"/>
      </w:pPr>
    </w:p>
    <w:tbl>
      <w:tblPr>
        <w:tblStyle w:val="Tablaconcuadrcula"/>
        <w:tblW w:w="9776" w:type="dxa"/>
        <w:tblLook w:val="04A0" w:firstRow="1" w:lastRow="0" w:firstColumn="1" w:lastColumn="0" w:noHBand="0" w:noVBand="1"/>
      </w:tblPr>
      <w:tblGrid>
        <w:gridCol w:w="4815"/>
        <w:gridCol w:w="4961"/>
      </w:tblGrid>
      <w:tr w:rsidR="00533B74" w:rsidRPr="009A27ED" w14:paraId="6915F1C8" w14:textId="77777777" w:rsidTr="00562F95">
        <w:trPr>
          <w:trHeight w:val="384"/>
          <w:tblHeader/>
        </w:trPr>
        <w:tc>
          <w:tcPr>
            <w:tcW w:w="4815" w:type="dxa"/>
            <w:shd w:val="clear" w:color="auto" w:fill="2E74B5" w:themeFill="accent1" w:themeFillShade="BF"/>
          </w:tcPr>
          <w:p w14:paraId="48D1F5B6" w14:textId="77777777" w:rsidR="00533B74" w:rsidRPr="009A27ED" w:rsidRDefault="00533B74" w:rsidP="00562F95">
            <w:pPr>
              <w:jc w:val="center"/>
              <w:rPr>
                <w:b/>
                <w:color w:val="FFFFFF" w:themeColor="background1"/>
                <w:sz w:val="20"/>
                <w:szCs w:val="20"/>
              </w:rPr>
            </w:pPr>
            <w:r w:rsidRPr="009A27ED">
              <w:rPr>
                <w:b/>
                <w:color w:val="FFFFFF" w:themeColor="background1"/>
                <w:sz w:val="20"/>
                <w:szCs w:val="20"/>
              </w:rPr>
              <w:t xml:space="preserve">MQRC comentarios - </w:t>
            </w:r>
            <w:proofErr w:type="spellStart"/>
            <w:r w:rsidRPr="009A27ED">
              <w:rPr>
                <w:b/>
                <w:color w:val="FFFFFF" w:themeColor="background1"/>
                <w:sz w:val="20"/>
                <w:szCs w:val="20"/>
              </w:rPr>
              <w:t>inquetudes</w:t>
            </w:r>
            <w:proofErr w:type="spellEnd"/>
          </w:p>
        </w:tc>
        <w:tc>
          <w:tcPr>
            <w:tcW w:w="4961" w:type="dxa"/>
            <w:shd w:val="clear" w:color="auto" w:fill="2E74B5" w:themeFill="accent1" w:themeFillShade="BF"/>
          </w:tcPr>
          <w:p w14:paraId="39CC2E38" w14:textId="77777777" w:rsidR="00533B74" w:rsidRPr="009A27ED" w:rsidRDefault="00533B74" w:rsidP="00562F95">
            <w:pPr>
              <w:jc w:val="center"/>
              <w:rPr>
                <w:b/>
                <w:color w:val="FFFFFF" w:themeColor="background1"/>
                <w:sz w:val="20"/>
                <w:szCs w:val="20"/>
              </w:rPr>
            </w:pPr>
            <w:r w:rsidRPr="009A27ED">
              <w:rPr>
                <w:b/>
                <w:color w:val="FFFFFF" w:themeColor="background1"/>
                <w:sz w:val="20"/>
                <w:szCs w:val="20"/>
              </w:rPr>
              <w:t>Retroalimentación hacia la EN-REDD+-RD y el Programa REDD+</w:t>
            </w:r>
          </w:p>
        </w:tc>
      </w:tr>
      <w:tr w:rsidR="00533B74" w:rsidRPr="009A27ED" w14:paraId="71C4A642" w14:textId="77777777" w:rsidTr="00562F95">
        <w:tblPrEx>
          <w:shd w:val="clear" w:color="auto" w:fill="F2F2F2" w:themeFill="background1" w:themeFillShade="F2"/>
        </w:tblPrEx>
        <w:tc>
          <w:tcPr>
            <w:tcW w:w="4815" w:type="dxa"/>
            <w:shd w:val="clear" w:color="auto" w:fill="E7E6E6" w:themeFill="background2"/>
          </w:tcPr>
          <w:p w14:paraId="09E984E3" w14:textId="77777777" w:rsidR="00533B74" w:rsidRPr="009A27ED" w:rsidRDefault="00533B74" w:rsidP="00562F95">
            <w:pPr>
              <w:pStyle w:val="HTMLconformatoprevio"/>
              <w:jc w:val="both"/>
              <w:rPr>
                <w:rFonts w:asciiTheme="minorHAnsi" w:hAnsiTheme="minorHAnsi" w:cstheme="minorHAnsi"/>
                <w:color w:val="212121"/>
                <w:lang w:val="es-ES"/>
              </w:rPr>
            </w:pPr>
            <w:r w:rsidRPr="009A27ED">
              <w:rPr>
                <w:rFonts w:asciiTheme="minorHAnsi" w:hAnsiTheme="minorHAnsi" w:cstheme="minorHAnsi"/>
                <w:color w:val="212121"/>
                <w:lang w:val="es-ES"/>
              </w:rPr>
              <w:t xml:space="preserve">Los participantes afirmaron que los contenidos y pasos del MQRC son claros y apropiados. Las inquietudes sobre el mecanismo de población e instituciones oscilaron sobre el conocimiento. Será necesario informar a la población sobre sus derechos y la capacitación para utilizar el mecanismo. </w:t>
            </w:r>
          </w:p>
          <w:p w14:paraId="5E9BBC46" w14:textId="77777777" w:rsidR="00533B74" w:rsidRPr="009A27ED" w:rsidRDefault="00533B74" w:rsidP="00562F95">
            <w:pPr>
              <w:jc w:val="left"/>
              <w:rPr>
                <w:sz w:val="20"/>
                <w:szCs w:val="20"/>
              </w:rPr>
            </w:pPr>
          </w:p>
        </w:tc>
        <w:tc>
          <w:tcPr>
            <w:tcW w:w="4961" w:type="dxa"/>
            <w:shd w:val="clear" w:color="auto" w:fill="E7E6E6" w:themeFill="background2"/>
          </w:tcPr>
          <w:p w14:paraId="1792B208" w14:textId="77777777" w:rsidR="00533B74" w:rsidRPr="009A27ED" w:rsidRDefault="00533B74" w:rsidP="00562F95">
            <w:pPr>
              <w:rPr>
                <w:sz w:val="20"/>
                <w:szCs w:val="20"/>
              </w:rPr>
            </w:pPr>
            <w:r w:rsidRPr="009A27ED">
              <w:rPr>
                <w:color w:val="212121"/>
                <w:sz w:val="20"/>
                <w:szCs w:val="20"/>
              </w:rPr>
              <w:t>Estas inquietudes están en línea con el diagnóstico realizado para el diseño del mecanismo. En los planes de difusión, comunicación y capacitación, se planifica la preparación de material informativo, gráfico, de radio y capacitación, de acuerdo con los roles y responsabilidades de los actores, tanto para las fases de Preparación como de Implementación.</w:t>
            </w:r>
          </w:p>
        </w:tc>
      </w:tr>
      <w:tr w:rsidR="00533B74" w:rsidRPr="009A27ED" w14:paraId="7128183B" w14:textId="77777777" w:rsidTr="00562F95">
        <w:tblPrEx>
          <w:shd w:val="clear" w:color="auto" w:fill="F2F2F2" w:themeFill="background1" w:themeFillShade="F2"/>
        </w:tblPrEx>
        <w:tc>
          <w:tcPr>
            <w:tcW w:w="4815" w:type="dxa"/>
            <w:shd w:val="clear" w:color="auto" w:fill="E7E6E6" w:themeFill="background2"/>
          </w:tcPr>
          <w:p w14:paraId="202B2B83" w14:textId="77777777" w:rsidR="00533B74" w:rsidRPr="009A27ED" w:rsidRDefault="00533B74" w:rsidP="00562F95">
            <w:pPr>
              <w:pStyle w:val="HTMLconformatoprevio"/>
              <w:jc w:val="both"/>
              <w:rPr>
                <w:rFonts w:asciiTheme="minorHAnsi" w:hAnsiTheme="minorHAnsi" w:cstheme="minorHAnsi"/>
                <w:color w:val="212121"/>
              </w:rPr>
            </w:pPr>
            <w:r w:rsidRPr="009A27ED">
              <w:rPr>
                <w:rFonts w:asciiTheme="minorHAnsi" w:hAnsiTheme="minorHAnsi" w:cstheme="minorHAnsi"/>
                <w:color w:val="212121"/>
                <w:lang w:val="es-ES"/>
              </w:rPr>
              <w:t xml:space="preserve">Los participantes sugirieron que se necesitará capacitación para personal técnico, administrativo, actores sociales locales y grupos de comunidades. </w:t>
            </w:r>
          </w:p>
          <w:p w14:paraId="33310C0B" w14:textId="77777777" w:rsidR="00533B74" w:rsidRPr="009A27ED" w:rsidRDefault="00533B74" w:rsidP="00562F95">
            <w:pPr>
              <w:pStyle w:val="HTMLconformatoprevio"/>
              <w:jc w:val="both"/>
              <w:rPr>
                <w:rFonts w:asciiTheme="minorHAnsi" w:hAnsiTheme="minorHAnsi" w:cstheme="minorHAnsi"/>
                <w:color w:val="212121"/>
                <w:lang w:val="es-ES"/>
              </w:rPr>
            </w:pPr>
          </w:p>
        </w:tc>
        <w:tc>
          <w:tcPr>
            <w:tcW w:w="4961" w:type="dxa"/>
            <w:shd w:val="clear" w:color="auto" w:fill="E7E6E6" w:themeFill="background2"/>
          </w:tcPr>
          <w:p w14:paraId="7BA7D876" w14:textId="77777777" w:rsidR="00533B74" w:rsidRPr="009A27ED" w:rsidRDefault="00533B74" w:rsidP="00562F95">
            <w:pPr>
              <w:rPr>
                <w:color w:val="212121"/>
                <w:sz w:val="20"/>
                <w:szCs w:val="20"/>
              </w:rPr>
            </w:pPr>
            <w:r w:rsidRPr="009A27ED">
              <w:rPr>
                <w:color w:val="212121"/>
                <w:sz w:val="20"/>
                <w:szCs w:val="20"/>
              </w:rPr>
              <w:t xml:space="preserve">Tanto en las fases de Preparación como de Implementación, se desarrollarán diversas acciones de capacitación y comunicación sobre salvaguardas y mecanismos de cumplimiento. Se operacionalizan según los pasos establecidos en los planes </w:t>
            </w:r>
            <w:r w:rsidRPr="009A27ED">
              <w:rPr>
                <w:color w:val="212121"/>
                <w:sz w:val="20"/>
              </w:rPr>
              <w:t>SESA</w:t>
            </w:r>
            <w:r w:rsidRPr="009A27ED">
              <w:rPr>
                <w:color w:val="212121"/>
                <w:sz w:val="20"/>
                <w:szCs w:val="20"/>
              </w:rPr>
              <w:t xml:space="preserve">, </w:t>
            </w:r>
            <w:r w:rsidRPr="009A27ED">
              <w:rPr>
                <w:color w:val="212121"/>
                <w:sz w:val="20"/>
              </w:rPr>
              <w:t>MGAS</w:t>
            </w:r>
            <w:r w:rsidRPr="009A27ED">
              <w:rPr>
                <w:color w:val="212121"/>
                <w:sz w:val="20"/>
                <w:szCs w:val="20"/>
              </w:rPr>
              <w:t xml:space="preserve"> y </w:t>
            </w:r>
            <w:r w:rsidRPr="009A27ED">
              <w:rPr>
                <w:color w:val="212121"/>
                <w:sz w:val="20"/>
              </w:rPr>
              <w:t>MQRC</w:t>
            </w:r>
            <w:r w:rsidRPr="009A27ED">
              <w:rPr>
                <w:color w:val="212121"/>
                <w:sz w:val="20"/>
                <w:szCs w:val="20"/>
              </w:rPr>
              <w:t>.</w:t>
            </w:r>
          </w:p>
        </w:tc>
      </w:tr>
      <w:tr w:rsidR="00533B74" w:rsidRPr="009A27ED" w14:paraId="1640996E" w14:textId="77777777" w:rsidTr="00562F95">
        <w:tblPrEx>
          <w:shd w:val="clear" w:color="auto" w:fill="F2F2F2" w:themeFill="background1" w:themeFillShade="F2"/>
        </w:tblPrEx>
        <w:tc>
          <w:tcPr>
            <w:tcW w:w="4815" w:type="dxa"/>
            <w:shd w:val="clear" w:color="auto" w:fill="E7E6E6" w:themeFill="background2"/>
          </w:tcPr>
          <w:p w14:paraId="2A3688E5" w14:textId="77777777" w:rsidR="00533B74" w:rsidRPr="009A27ED" w:rsidRDefault="00533B74" w:rsidP="00562F95">
            <w:pPr>
              <w:pStyle w:val="HTMLconformatoprevio"/>
              <w:jc w:val="both"/>
              <w:rPr>
                <w:rFonts w:asciiTheme="minorHAnsi" w:hAnsiTheme="minorHAnsi" w:cstheme="minorHAnsi"/>
                <w:color w:val="212121"/>
              </w:rPr>
            </w:pPr>
            <w:r w:rsidRPr="009A27ED">
              <w:rPr>
                <w:rFonts w:asciiTheme="minorHAnsi" w:hAnsiTheme="minorHAnsi" w:cstheme="minorHAnsi"/>
                <w:color w:val="212121"/>
                <w:lang w:val="es-ES"/>
              </w:rPr>
              <w:t xml:space="preserve">Los participantes entienden que las instituciones gubernamentales deben fortalecerse, ya que actualmente la respuesta a las quejas o reclamos es lenta y, en ocasiones, no se responde. </w:t>
            </w:r>
          </w:p>
          <w:p w14:paraId="092E7D9B" w14:textId="77777777" w:rsidR="00533B74" w:rsidRPr="009A27ED" w:rsidRDefault="00533B74" w:rsidP="00562F95">
            <w:pPr>
              <w:pStyle w:val="HTMLconformatoprevio"/>
              <w:jc w:val="both"/>
              <w:rPr>
                <w:rFonts w:asciiTheme="minorHAnsi" w:hAnsiTheme="minorHAnsi" w:cstheme="minorHAnsi"/>
                <w:color w:val="212121"/>
                <w:lang w:val="es-ES"/>
              </w:rPr>
            </w:pPr>
          </w:p>
        </w:tc>
        <w:tc>
          <w:tcPr>
            <w:tcW w:w="4961" w:type="dxa"/>
            <w:shd w:val="clear" w:color="auto" w:fill="E7E6E6" w:themeFill="background2"/>
          </w:tcPr>
          <w:p w14:paraId="57955090" w14:textId="77777777" w:rsidR="00533B74" w:rsidRPr="009A27ED" w:rsidRDefault="00533B74" w:rsidP="00562F95">
            <w:pPr>
              <w:rPr>
                <w:color w:val="212121"/>
                <w:sz w:val="20"/>
                <w:szCs w:val="20"/>
              </w:rPr>
            </w:pPr>
            <w:r w:rsidRPr="009A27ED">
              <w:rPr>
                <w:color w:val="212121"/>
                <w:sz w:val="20"/>
                <w:szCs w:val="20"/>
              </w:rPr>
              <w:t xml:space="preserve">Durante la fase de Preparación, se fortalecerán las capacidades de los EE para incorporar el </w:t>
            </w:r>
            <w:r w:rsidRPr="009A27ED">
              <w:rPr>
                <w:color w:val="212121"/>
                <w:sz w:val="20"/>
              </w:rPr>
              <w:t>MQRC</w:t>
            </w:r>
            <w:r w:rsidRPr="009A27ED">
              <w:rPr>
                <w:color w:val="212121"/>
                <w:sz w:val="20"/>
                <w:szCs w:val="20"/>
              </w:rPr>
              <w:t xml:space="preserve"> en sus sistemas institucionales. Los compromisos establecidos por el más alto nivel de las autoridades y registrados en los acuerdos interinstitucionales establecerán las bases de la legitimidad para la eficiencia y la eficacia de la </w:t>
            </w:r>
            <w:r w:rsidRPr="009A27ED">
              <w:rPr>
                <w:color w:val="212121"/>
                <w:sz w:val="20"/>
              </w:rPr>
              <w:t>MQRC</w:t>
            </w:r>
            <w:r w:rsidRPr="009A27ED">
              <w:rPr>
                <w:color w:val="212121"/>
                <w:sz w:val="20"/>
                <w:szCs w:val="20"/>
              </w:rPr>
              <w:t xml:space="preserve">. Además, a través del seguimiento proporcionado por la OCR y el </w:t>
            </w:r>
            <w:r w:rsidRPr="009A27ED">
              <w:rPr>
                <w:color w:val="212121"/>
                <w:sz w:val="20"/>
              </w:rPr>
              <w:t>CTA</w:t>
            </w:r>
            <w:r w:rsidRPr="009A27ED">
              <w:rPr>
                <w:color w:val="212121"/>
                <w:sz w:val="20"/>
                <w:szCs w:val="20"/>
              </w:rPr>
              <w:t>, se pueden identificar oportunidades de mejora y / o ajustes si es necesario.</w:t>
            </w:r>
          </w:p>
        </w:tc>
      </w:tr>
      <w:tr w:rsidR="00533B74" w:rsidRPr="009A27ED" w14:paraId="2ACF37DB" w14:textId="77777777" w:rsidTr="00562F95">
        <w:tblPrEx>
          <w:shd w:val="clear" w:color="auto" w:fill="F2F2F2" w:themeFill="background1" w:themeFillShade="F2"/>
        </w:tblPrEx>
        <w:tc>
          <w:tcPr>
            <w:tcW w:w="4815" w:type="dxa"/>
            <w:shd w:val="clear" w:color="auto" w:fill="E7E6E6" w:themeFill="background2"/>
          </w:tcPr>
          <w:p w14:paraId="474AC0C4" w14:textId="77777777" w:rsidR="00533B74" w:rsidRPr="009A27ED" w:rsidRDefault="00533B74" w:rsidP="00562F95">
            <w:pPr>
              <w:pStyle w:val="HTMLconformatoprevio"/>
              <w:jc w:val="both"/>
              <w:rPr>
                <w:rFonts w:asciiTheme="minorHAnsi" w:hAnsiTheme="minorHAnsi" w:cstheme="minorHAnsi"/>
                <w:color w:val="212121"/>
              </w:rPr>
            </w:pPr>
            <w:r w:rsidRPr="009A27ED">
              <w:rPr>
                <w:rFonts w:asciiTheme="minorHAnsi" w:hAnsiTheme="minorHAnsi" w:cstheme="minorHAnsi"/>
                <w:color w:val="212121"/>
                <w:lang w:val="es-ES"/>
              </w:rPr>
              <w:t xml:space="preserve">Se sugirió divulgar los usos y el acceso del MQRC a las personas. </w:t>
            </w:r>
          </w:p>
          <w:p w14:paraId="19D1F4B3" w14:textId="77777777" w:rsidR="00533B74" w:rsidRPr="009A27ED" w:rsidRDefault="00533B74" w:rsidP="00562F95">
            <w:pPr>
              <w:pStyle w:val="HTMLconformatoprevio"/>
              <w:jc w:val="both"/>
              <w:rPr>
                <w:rFonts w:asciiTheme="minorHAnsi" w:hAnsiTheme="minorHAnsi" w:cstheme="minorHAnsi"/>
                <w:color w:val="212121"/>
                <w:lang w:val="es-ES"/>
              </w:rPr>
            </w:pPr>
          </w:p>
        </w:tc>
        <w:tc>
          <w:tcPr>
            <w:tcW w:w="4961" w:type="dxa"/>
            <w:shd w:val="clear" w:color="auto" w:fill="E7E6E6" w:themeFill="background2"/>
          </w:tcPr>
          <w:p w14:paraId="26A5342C" w14:textId="77777777" w:rsidR="00533B74" w:rsidRPr="009A27ED" w:rsidRDefault="00533B74" w:rsidP="00562F95">
            <w:pPr>
              <w:rPr>
                <w:color w:val="212121"/>
                <w:sz w:val="20"/>
                <w:szCs w:val="20"/>
              </w:rPr>
            </w:pPr>
            <w:r w:rsidRPr="009A27ED">
              <w:rPr>
                <w:color w:val="212121"/>
                <w:sz w:val="20"/>
                <w:szCs w:val="20"/>
              </w:rPr>
              <w:t>Ya est</w:t>
            </w:r>
            <w:r w:rsidRPr="009A27ED">
              <w:rPr>
                <w:color w:val="212121"/>
                <w:sz w:val="20"/>
              </w:rPr>
              <w:t>á</w:t>
            </w:r>
            <w:r w:rsidRPr="009A27ED">
              <w:rPr>
                <w:color w:val="212121"/>
                <w:sz w:val="20"/>
                <w:szCs w:val="20"/>
              </w:rPr>
              <w:t xml:space="preserve"> cubierto</w:t>
            </w:r>
            <w:r w:rsidRPr="009A27ED">
              <w:rPr>
                <w:color w:val="212121"/>
                <w:sz w:val="20"/>
              </w:rPr>
              <w:t>.</w:t>
            </w:r>
            <w:r w:rsidRPr="009A27ED">
              <w:rPr>
                <w:color w:val="212121"/>
                <w:sz w:val="20"/>
                <w:szCs w:val="20"/>
              </w:rPr>
              <w:t xml:space="preserve"> Los actores locales, y el </w:t>
            </w:r>
            <w:r w:rsidRPr="009A27ED">
              <w:rPr>
                <w:color w:val="212121"/>
                <w:sz w:val="20"/>
              </w:rPr>
              <w:t>CTA</w:t>
            </w:r>
            <w:r w:rsidRPr="009A27ED">
              <w:rPr>
                <w:color w:val="212121"/>
                <w:sz w:val="20"/>
                <w:szCs w:val="20"/>
              </w:rPr>
              <w:t xml:space="preserve"> están involucrados en el </w:t>
            </w:r>
            <w:r w:rsidRPr="009A27ED">
              <w:rPr>
                <w:color w:val="212121"/>
                <w:sz w:val="20"/>
              </w:rPr>
              <w:t>MQRC</w:t>
            </w:r>
            <w:r w:rsidRPr="009A27ED">
              <w:rPr>
                <w:color w:val="212121"/>
                <w:sz w:val="20"/>
                <w:szCs w:val="20"/>
              </w:rPr>
              <w:t>. Además, los informes periódicos se colocarán en línea y forman parte de los informes de Salvaguardas.</w:t>
            </w:r>
          </w:p>
        </w:tc>
      </w:tr>
      <w:tr w:rsidR="00533B74" w:rsidRPr="009A27ED" w14:paraId="3A009C12" w14:textId="77777777" w:rsidTr="00562F95">
        <w:tblPrEx>
          <w:shd w:val="clear" w:color="auto" w:fill="F2F2F2" w:themeFill="background1" w:themeFillShade="F2"/>
        </w:tblPrEx>
        <w:tc>
          <w:tcPr>
            <w:tcW w:w="4815" w:type="dxa"/>
            <w:shd w:val="clear" w:color="auto" w:fill="E7E6E6" w:themeFill="background2"/>
          </w:tcPr>
          <w:p w14:paraId="6A9E850D" w14:textId="77777777" w:rsidR="00533B74" w:rsidRPr="009A27ED" w:rsidRDefault="00533B74" w:rsidP="00562F95">
            <w:pPr>
              <w:pStyle w:val="HTMLconformatoprevio"/>
              <w:jc w:val="both"/>
              <w:rPr>
                <w:rFonts w:cstheme="minorHAnsi"/>
                <w:lang w:val="es-ES"/>
              </w:rPr>
            </w:pPr>
            <w:r w:rsidRPr="009A27ED">
              <w:rPr>
                <w:rFonts w:asciiTheme="minorHAnsi" w:hAnsiTheme="minorHAnsi" w:cstheme="minorHAnsi"/>
                <w:color w:val="212121"/>
                <w:lang w:val="es-ES"/>
              </w:rPr>
              <w:t xml:space="preserve">Se sugirió crear otra instancia que no sea el Ministerio de Medio Ambiente para recibir las quejas. </w:t>
            </w:r>
          </w:p>
        </w:tc>
        <w:tc>
          <w:tcPr>
            <w:tcW w:w="4961" w:type="dxa"/>
            <w:shd w:val="clear" w:color="auto" w:fill="E7E6E6" w:themeFill="background2"/>
          </w:tcPr>
          <w:p w14:paraId="5E634246" w14:textId="77777777" w:rsidR="00533B74" w:rsidRPr="009A27ED" w:rsidRDefault="00533B74" w:rsidP="00562F95">
            <w:pPr>
              <w:pStyle w:val="HTMLconformatoprevio"/>
              <w:jc w:val="both"/>
              <w:rPr>
                <w:rFonts w:asciiTheme="minorHAnsi" w:hAnsiTheme="minorHAnsi" w:cstheme="minorHAnsi"/>
                <w:color w:val="212121"/>
                <w:lang w:val="es-ES"/>
              </w:rPr>
            </w:pPr>
            <w:r w:rsidRPr="009A27ED">
              <w:rPr>
                <w:rFonts w:asciiTheme="minorHAnsi" w:hAnsiTheme="minorHAnsi" w:cstheme="minorHAnsi"/>
                <w:color w:val="212121"/>
                <w:lang w:val="es-ES"/>
              </w:rPr>
              <w:t>Las quejas y reclamos se pueden recibir a través de las oficinas locales, regionales o centrales de cada Entidad Ejecutora (digitalmente, por teléfono y en persona).</w:t>
            </w:r>
          </w:p>
          <w:p w14:paraId="20F26F9E" w14:textId="77777777" w:rsidR="00533B74" w:rsidRPr="009A27ED" w:rsidRDefault="00533B74" w:rsidP="00562F95">
            <w:pPr>
              <w:pStyle w:val="HTMLconformatoprevio"/>
              <w:jc w:val="both"/>
              <w:rPr>
                <w:rFonts w:asciiTheme="minorHAnsi" w:hAnsiTheme="minorHAnsi" w:cstheme="minorHAnsi"/>
                <w:color w:val="212121"/>
                <w:lang w:val="es-ES"/>
              </w:rPr>
            </w:pPr>
            <w:r w:rsidRPr="009A27ED">
              <w:rPr>
                <w:rFonts w:asciiTheme="minorHAnsi" w:hAnsiTheme="minorHAnsi" w:cstheme="minorHAnsi"/>
                <w:color w:val="212121"/>
                <w:lang w:val="es-ES"/>
              </w:rPr>
              <w:t xml:space="preserve">Para proporcionar credibilidad y participación de los actores involucrados clave, dos representantes de organizaciones comunitarias, ONG, academia u otros, se incluirán en el paso correspondiente del análisis del sitio. De manera regular, la OCR debe presentar los informes al </w:t>
            </w:r>
            <w:r w:rsidRPr="009A27ED">
              <w:rPr>
                <w:rFonts w:asciiTheme="minorHAnsi" w:hAnsiTheme="minorHAnsi" w:cstheme="minorHAnsi"/>
                <w:color w:val="212121"/>
                <w:lang w:val="es-ES"/>
              </w:rPr>
              <w:lastRenderedPageBreak/>
              <w:t>CTA con respecto a la cantidad y el tipo de quejas y reclamos recibidos y las respuestas. El SIS también registra esta información.</w:t>
            </w:r>
          </w:p>
          <w:p w14:paraId="0FB0C15D" w14:textId="77777777" w:rsidR="00533B74" w:rsidRPr="009A27ED" w:rsidRDefault="00533B74" w:rsidP="00562F95">
            <w:pPr>
              <w:pStyle w:val="HTMLconformatoprevio"/>
              <w:jc w:val="both"/>
              <w:rPr>
                <w:rFonts w:asciiTheme="minorHAnsi" w:hAnsiTheme="minorHAnsi" w:cstheme="minorHAnsi"/>
                <w:color w:val="212121"/>
              </w:rPr>
            </w:pPr>
            <w:r w:rsidRPr="009A27ED">
              <w:rPr>
                <w:rFonts w:asciiTheme="minorHAnsi" w:hAnsiTheme="minorHAnsi" w:cstheme="minorHAnsi"/>
                <w:color w:val="212121"/>
                <w:lang w:val="es-ES"/>
              </w:rPr>
              <w:t>Finalmente, cuando hay una respuesta insatisfactoria, la persona o el grupo pueden solicitar al CTA su intervención como un canal para evaluar y hacer recomendaciones sobre el caso en particular.</w:t>
            </w:r>
          </w:p>
          <w:p w14:paraId="0AF6D2C6" w14:textId="77777777" w:rsidR="00533B74" w:rsidRPr="009A27ED" w:rsidRDefault="00533B74" w:rsidP="00562F95">
            <w:pPr>
              <w:rPr>
                <w:sz w:val="20"/>
                <w:szCs w:val="20"/>
              </w:rPr>
            </w:pPr>
          </w:p>
        </w:tc>
      </w:tr>
      <w:tr w:rsidR="00533B74" w:rsidRPr="009A27ED" w14:paraId="73C57B44" w14:textId="77777777" w:rsidTr="00562F95">
        <w:tblPrEx>
          <w:shd w:val="clear" w:color="auto" w:fill="F2F2F2" w:themeFill="background1" w:themeFillShade="F2"/>
        </w:tblPrEx>
        <w:tc>
          <w:tcPr>
            <w:tcW w:w="4815" w:type="dxa"/>
            <w:shd w:val="clear" w:color="auto" w:fill="E7E6E6" w:themeFill="background2"/>
          </w:tcPr>
          <w:p w14:paraId="44702379" w14:textId="77777777" w:rsidR="00533B74" w:rsidRPr="009A27ED" w:rsidRDefault="00533B74" w:rsidP="00562F95">
            <w:pPr>
              <w:pStyle w:val="HTMLconformatoprevio"/>
              <w:jc w:val="both"/>
              <w:rPr>
                <w:rFonts w:asciiTheme="minorHAnsi" w:hAnsiTheme="minorHAnsi" w:cstheme="minorHAnsi"/>
                <w:color w:val="212121"/>
                <w:lang w:val="es-ES"/>
              </w:rPr>
            </w:pPr>
            <w:r w:rsidRPr="009A27ED">
              <w:rPr>
                <w:rFonts w:asciiTheme="minorHAnsi" w:hAnsiTheme="minorHAnsi" w:cstheme="minorHAnsi"/>
                <w:color w:val="212121"/>
                <w:lang w:val="es-ES"/>
              </w:rPr>
              <w:t>Algunos participantes propusieron la creación de un Comité de supervisión social (que incluye ONG, universidades, comités de vecindarios o grupos locales) para asegurar que los problemas generados por los proyectos REDD + se analicen y den una respuesta oportuna a los ciudadanos.</w:t>
            </w:r>
          </w:p>
          <w:p w14:paraId="1D0DB6FF" w14:textId="77777777" w:rsidR="00533B74" w:rsidRPr="009A27ED" w:rsidRDefault="00533B74" w:rsidP="00562F95">
            <w:pPr>
              <w:pStyle w:val="HTMLconformatoprevio"/>
              <w:jc w:val="both"/>
              <w:rPr>
                <w:rFonts w:asciiTheme="minorHAnsi" w:hAnsiTheme="minorHAnsi" w:cstheme="minorHAnsi"/>
                <w:color w:val="212121"/>
                <w:lang w:val="es-ES"/>
              </w:rPr>
            </w:pPr>
          </w:p>
          <w:p w14:paraId="3232068A" w14:textId="77777777" w:rsidR="00533B74" w:rsidRPr="009A27ED" w:rsidRDefault="00533B74" w:rsidP="00562F95">
            <w:pPr>
              <w:pStyle w:val="HTMLconformatoprevio"/>
              <w:jc w:val="both"/>
              <w:rPr>
                <w:rFonts w:asciiTheme="minorHAnsi" w:hAnsiTheme="minorHAnsi" w:cstheme="minorHAnsi"/>
                <w:color w:val="212121"/>
                <w:lang w:val="es-ES"/>
              </w:rPr>
            </w:pPr>
            <w:r w:rsidRPr="009A27ED">
              <w:rPr>
                <w:rFonts w:asciiTheme="minorHAnsi" w:hAnsiTheme="minorHAnsi" w:cstheme="minorHAnsi"/>
                <w:color w:val="212121"/>
                <w:lang w:val="es-ES"/>
              </w:rPr>
              <w:t xml:space="preserve">Se propuso que este mecanismo de supervisión alternativo se incluya en la estructura de acuerdo con el tipo y la escala de los reclamos en el punto de ingreso al Ministerio, de modo que esto pueda servir como confirmación y verificación del cumplimiento de los procedimientos de MQRC. También se argumentó que este mecanismo de supervisión social debería activarse como un espacio alternativo ante la posibilidad de una respuesta no aceptada. </w:t>
            </w:r>
          </w:p>
          <w:p w14:paraId="4431B4EC" w14:textId="77777777" w:rsidR="00533B74" w:rsidRPr="009A27ED" w:rsidRDefault="00533B74" w:rsidP="00562F95">
            <w:pPr>
              <w:pStyle w:val="HTMLconformatoprevio"/>
              <w:jc w:val="both"/>
              <w:rPr>
                <w:rFonts w:asciiTheme="minorHAnsi" w:hAnsiTheme="minorHAnsi" w:cstheme="minorHAnsi"/>
                <w:color w:val="212121"/>
                <w:lang w:val="es-ES"/>
              </w:rPr>
            </w:pPr>
          </w:p>
          <w:p w14:paraId="41F6A4F1" w14:textId="77777777" w:rsidR="00533B74" w:rsidRPr="009A27ED" w:rsidRDefault="00533B74" w:rsidP="00562F95">
            <w:pPr>
              <w:pStyle w:val="HTMLconformatoprevio"/>
              <w:jc w:val="both"/>
              <w:rPr>
                <w:rFonts w:asciiTheme="minorHAnsi" w:hAnsiTheme="minorHAnsi" w:cstheme="minorHAnsi"/>
                <w:color w:val="212121"/>
                <w:lang w:val="es-ES"/>
              </w:rPr>
            </w:pPr>
          </w:p>
        </w:tc>
        <w:tc>
          <w:tcPr>
            <w:tcW w:w="4961" w:type="dxa"/>
            <w:shd w:val="clear" w:color="auto" w:fill="E7E6E6" w:themeFill="background2"/>
          </w:tcPr>
          <w:p w14:paraId="2E2277E9" w14:textId="77777777" w:rsidR="00533B74" w:rsidRPr="009A27ED" w:rsidRDefault="00533B74" w:rsidP="00562F95">
            <w:pPr>
              <w:pStyle w:val="HTMLconformatoprevio"/>
              <w:jc w:val="both"/>
              <w:rPr>
                <w:rFonts w:asciiTheme="minorHAnsi" w:hAnsiTheme="minorHAnsi" w:cstheme="minorHAnsi"/>
                <w:color w:val="212121"/>
                <w:lang w:val="es-ES"/>
              </w:rPr>
            </w:pPr>
            <w:r w:rsidRPr="009A27ED">
              <w:rPr>
                <w:rFonts w:asciiTheme="minorHAnsi" w:hAnsiTheme="minorHAnsi" w:cstheme="minorHAnsi"/>
                <w:color w:val="212121"/>
                <w:lang w:val="es-ES"/>
              </w:rPr>
              <w:t>Parte de esta sugerencia se cubre con la integración de los representantes de las comunidades en el análisis y la evaluación de las quejas y sitios locales, y cuando hay una respuesta insatisfactoria, la persona o el grupo pueden solicitar al CTA su intervención como un canal para evaluar y hacer recomendaciones sobre el particular. caso.</w:t>
            </w:r>
          </w:p>
          <w:p w14:paraId="7B5EEE9F" w14:textId="77777777" w:rsidR="00533B74" w:rsidRPr="009A27ED" w:rsidRDefault="00533B74" w:rsidP="00562F95">
            <w:pPr>
              <w:pStyle w:val="HTMLconformatoprevio"/>
              <w:jc w:val="both"/>
              <w:rPr>
                <w:rFonts w:asciiTheme="minorHAnsi" w:hAnsiTheme="minorHAnsi" w:cstheme="minorHAnsi"/>
                <w:color w:val="212121"/>
                <w:lang w:val="es-ES"/>
              </w:rPr>
            </w:pPr>
          </w:p>
          <w:p w14:paraId="03F546D2" w14:textId="77777777" w:rsidR="00533B74" w:rsidRPr="009A27ED" w:rsidRDefault="00533B74" w:rsidP="00562F95">
            <w:pPr>
              <w:pStyle w:val="HTMLconformatoprevio"/>
              <w:jc w:val="both"/>
              <w:rPr>
                <w:rFonts w:asciiTheme="minorHAnsi" w:hAnsiTheme="minorHAnsi" w:cstheme="minorHAnsi"/>
                <w:color w:val="212121"/>
              </w:rPr>
            </w:pPr>
            <w:r w:rsidRPr="009A27ED">
              <w:rPr>
                <w:rFonts w:asciiTheme="minorHAnsi" w:hAnsiTheme="minorHAnsi" w:cstheme="minorHAnsi"/>
                <w:color w:val="212121"/>
                <w:lang w:val="es-ES"/>
              </w:rPr>
              <w:t>Sin embargo, esta propuesta será estudiada y analizada con las instituciones implementadoras y CTA.</w:t>
            </w:r>
          </w:p>
          <w:p w14:paraId="73AA9FE8" w14:textId="77777777" w:rsidR="00533B74" w:rsidRPr="009A27ED" w:rsidRDefault="00533B74" w:rsidP="00562F95">
            <w:pPr>
              <w:pStyle w:val="HTMLconformatoprevio"/>
              <w:jc w:val="both"/>
              <w:rPr>
                <w:rFonts w:asciiTheme="minorHAnsi" w:hAnsiTheme="minorHAnsi" w:cstheme="minorHAnsi"/>
                <w:color w:val="212121"/>
                <w:lang w:val="es-ES"/>
              </w:rPr>
            </w:pPr>
          </w:p>
        </w:tc>
      </w:tr>
      <w:tr w:rsidR="00533B74" w:rsidRPr="009A27ED" w14:paraId="217AF78D" w14:textId="77777777" w:rsidTr="00562F95">
        <w:tblPrEx>
          <w:shd w:val="clear" w:color="auto" w:fill="F2F2F2" w:themeFill="background1" w:themeFillShade="F2"/>
        </w:tblPrEx>
        <w:trPr>
          <w:trHeight w:val="1318"/>
        </w:trPr>
        <w:tc>
          <w:tcPr>
            <w:tcW w:w="4815" w:type="dxa"/>
            <w:shd w:val="clear" w:color="auto" w:fill="E7E6E6" w:themeFill="background2"/>
          </w:tcPr>
          <w:p w14:paraId="7A16E6CC" w14:textId="77777777" w:rsidR="00533B74" w:rsidRPr="009A27ED" w:rsidRDefault="00533B74" w:rsidP="00562F95">
            <w:pPr>
              <w:pStyle w:val="HTMLconformatoprevio"/>
              <w:jc w:val="both"/>
              <w:rPr>
                <w:rFonts w:cstheme="minorHAnsi"/>
                <w:color w:val="212121"/>
                <w:lang w:val="es-ES" w:eastAsia="es-ES"/>
              </w:rPr>
            </w:pPr>
            <w:r w:rsidRPr="009A27ED">
              <w:rPr>
                <w:rFonts w:asciiTheme="minorHAnsi" w:hAnsiTheme="minorHAnsi" w:cstheme="minorHAnsi"/>
                <w:color w:val="212121"/>
                <w:lang w:val="es-ES"/>
              </w:rPr>
              <w:t xml:space="preserve">Algunos participantes sugirieron que sería más claro si el término Respuesta no aceptada se cambia por Respuesta no satisfactoria en el proceso de flujo de información. </w:t>
            </w:r>
          </w:p>
        </w:tc>
        <w:tc>
          <w:tcPr>
            <w:tcW w:w="4961" w:type="dxa"/>
            <w:shd w:val="clear" w:color="auto" w:fill="E7E6E6" w:themeFill="background2"/>
          </w:tcPr>
          <w:p w14:paraId="5BA10D21" w14:textId="77777777" w:rsidR="00533B74" w:rsidRPr="009A27ED" w:rsidRDefault="00533B74" w:rsidP="00562F95">
            <w:pPr>
              <w:pStyle w:val="HTMLconformatoprevio"/>
              <w:jc w:val="both"/>
              <w:rPr>
                <w:rFonts w:asciiTheme="minorHAnsi" w:hAnsiTheme="minorHAnsi" w:cstheme="minorHAnsi"/>
                <w:color w:val="212121"/>
              </w:rPr>
            </w:pPr>
            <w:r w:rsidRPr="009A27ED">
              <w:rPr>
                <w:rFonts w:asciiTheme="minorHAnsi" w:hAnsiTheme="minorHAnsi" w:cstheme="minorHAnsi"/>
                <w:color w:val="212121"/>
                <w:lang w:val="es-ES"/>
              </w:rPr>
              <w:t>Se explicó que la respuesta no aceptada se utiliza cuando hay una respuesta no satisfactoria para el usuario del MQRC.</w:t>
            </w:r>
          </w:p>
          <w:p w14:paraId="4C818FEB" w14:textId="77777777" w:rsidR="00533B74" w:rsidRPr="009A27ED" w:rsidRDefault="00533B74" w:rsidP="00562F95">
            <w:pPr>
              <w:rPr>
                <w:sz w:val="20"/>
                <w:szCs w:val="20"/>
              </w:rPr>
            </w:pPr>
          </w:p>
        </w:tc>
      </w:tr>
      <w:tr w:rsidR="00533B74" w:rsidRPr="009A27ED" w14:paraId="7A8857F4" w14:textId="77777777" w:rsidTr="00562F95">
        <w:tblPrEx>
          <w:shd w:val="clear" w:color="auto" w:fill="F2F2F2" w:themeFill="background1" w:themeFillShade="F2"/>
        </w:tblPrEx>
        <w:trPr>
          <w:trHeight w:val="1318"/>
        </w:trPr>
        <w:tc>
          <w:tcPr>
            <w:tcW w:w="4815" w:type="dxa"/>
            <w:shd w:val="clear" w:color="auto" w:fill="E7E6E6" w:themeFill="background2"/>
          </w:tcPr>
          <w:p w14:paraId="05779326" w14:textId="77777777" w:rsidR="00533B74" w:rsidRPr="009A27ED" w:rsidRDefault="00533B74" w:rsidP="00562F95">
            <w:pPr>
              <w:pStyle w:val="HTMLconformatoprevio"/>
              <w:jc w:val="both"/>
              <w:rPr>
                <w:rFonts w:asciiTheme="minorHAnsi" w:hAnsiTheme="minorHAnsi" w:cstheme="minorHAnsi"/>
                <w:color w:val="212121"/>
                <w:lang w:val="es-ES"/>
              </w:rPr>
            </w:pPr>
            <w:r w:rsidRPr="009A27ED">
              <w:rPr>
                <w:rFonts w:asciiTheme="minorHAnsi" w:hAnsiTheme="minorHAnsi" w:cstheme="minorHAnsi"/>
                <w:color w:val="212121"/>
                <w:lang w:val="es-ES"/>
              </w:rPr>
              <w:t>Considerar un mecanismo que reduzca la congestión de las líneas telefónicas, de modo que siempre estén disponibles en caso de denuncias de proyectos REDD +.</w:t>
            </w:r>
          </w:p>
          <w:p w14:paraId="5754D1C0" w14:textId="77777777" w:rsidR="00533B74" w:rsidRPr="009A27ED" w:rsidRDefault="00533B74" w:rsidP="00562F95">
            <w:pPr>
              <w:pStyle w:val="HTMLconformatoprevio"/>
              <w:jc w:val="both"/>
              <w:rPr>
                <w:rFonts w:asciiTheme="minorHAnsi" w:hAnsiTheme="minorHAnsi" w:cstheme="minorHAnsi"/>
                <w:color w:val="212121"/>
                <w:lang w:val="es-ES"/>
              </w:rPr>
            </w:pPr>
          </w:p>
        </w:tc>
        <w:tc>
          <w:tcPr>
            <w:tcW w:w="4961" w:type="dxa"/>
            <w:shd w:val="clear" w:color="auto" w:fill="E7E6E6" w:themeFill="background2"/>
          </w:tcPr>
          <w:p w14:paraId="6BFF8E63" w14:textId="77777777" w:rsidR="00533B74" w:rsidRPr="009A27ED" w:rsidRDefault="00533B74" w:rsidP="00562F95">
            <w:pPr>
              <w:pStyle w:val="HTMLconformatoprevio"/>
              <w:jc w:val="both"/>
              <w:rPr>
                <w:rFonts w:asciiTheme="minorHAnsi" w:hAnsiTheme="minorHAnsi" w:cstheme="minorHAnsi"/>
                <w:color w:val="212121"/>
              </w:rPr>
            </w:pPr>
            <w:r w:rsidRPr="009A27ED">
              <w:rPr>
                <w:rFonts w:asciiTheme="minorHAnsi" w:hAnsiTheme="minorHAnsi" w:cstheme="minorHAnsi"/>
                <w:color w:val="212121"/>
                <w:lang w:val="es-ES"/>
              </w:rPr>
              <w:t>Ya está cubierto. Existen varios canales para informar y acceder al MQRC.</w:t>
            </w:r>
          </w:p>
          <w:p w14:paraId="46064B6C" w14:textId="77777777" w:rsidR="00533B74" w:rsidRPr="009A27ED" w:rsidRDefault="00533B74" w:rsidP="00562F95">
            <w:pPr>
              <w:pStyle w:val="HTMLconformatoprevio"/>
              <w:jc w:val="both"/>
              <w:rPr>
                <w:rFonts w:asciiTheme="minorHAnsi" w:hAnsiTheme="minorHAnsi" w:cstheme="minorHAnsi"/>
                <w:color w:val="212121"/>
                <w:lang w:val="es-ES"/>
              </w:rPr>
            </w:pPr>
          </w:p>
        </w:tc>
      </w:tr>
      <w:tr w:rsidR="00533B74" w:rsidRPr="009A27ED" w14:paraId="2DA6AB2B" w14:textId="77777777" w:rsidTr="00562F95">
        <w:tblPrEx>
          <w:shd w:val="clear" w:color="auto" w:fill="F2F2F2" w:themeFill="background1" w:themeFillShade="F2"/>
        </w:tblPrEx>
        <w:trPr>
          <w:trHeight w:val="1318"/>
        </w:trPr>
        <w:tc>
          <w:tcPr>
            <w:tcW w:w="4815" w:type="dxa"/>
            <w:shd w:val="clear" w:color="auto" w:fill="E7E6E6" w:themeFill="background2"/>
          </w:tcPr>
          <w:p w14:paraId="5BA33728" w14:textId="77777777" w:rsidR="00533B74" w:rsidRPr="009A27ED" w:rsidRDefault="00533B74" w:rsidP="00562F95">
            <w:pPr>
              <w:pStyle w:val="HTMLconformatoprevio"/>
              <w:jc w:val="both"/>
              <w:rPr>
                <w:rFonts w:asciiTheme="minorHAnsi" w:hAnsiTheme="minorHAnsi" w:cstheme="minorHAnsi"/>
                <w:color w:val="212121"/>
                <w:lang w:val="es-ES"/>
              </w:rPr>
            </w:pPr>
            <w:r w:rsidRPr="009A27ED">
              <w:rPr>
                <w:rFonts w:asciiTheme="minorHAnsi" w:hAnsiTheme="minorHAnsi" w:cstheme="minorHAnsi"/>
                <w:color w:val="212121"/>
                <w:lang w:val="es-ES"/>
              </w:rPr>
              <w:t>Fortalecer la descentralización en el Ministerio de Medio Ambiente, para que las Oficinas Provinciales puedan tomar decisiones sobre ciertas quejas.</w:t>
            </w:r>
          </w:p>
          <w:p w14:paraId="1F87DBC4" w14:textId="77777777" w:rsidR="00533B74" w:rsidRPr="009A27ED" w:rsidRDefault="00533B74" w:rsidP="00562F95">
            <w:pPr>
              <w:pStyle w:val="HTMLconformatoprevio"/>
              <w:jc w:val="both"/>
              <w:rPr>
                <w:rFonts w:asciiTheme="minorHAnsi" w:hAnsiTheme="minorHAnsi" w:cstheme="minorHAnsi"/>
                <w:color w:val="212121"/>
                <w:lang w:val="es-ES"/>
              </w:rPr>
            </w:pPr>
          </w:p>
        </w:tc>
        <w:tc>
          <w:tcPr>
            <w:tcW w:w="4961" w:type="dxa"/>
            <w:shd w:val="clear" w:color="auto" w:fill="E7E6E6" w:themeFill="background2"/>
          </w:tcPr>
          <w:p w14:paraId="3A06A6B3" w14:textId="77777777" w:rsidR="00533B74" w:rsidRPr="009A27ED" w:rsidRDefault="00533B74" w:rsidP="00562F95">
            <w:pPr>
              <w:pStyle w:val="HTMLconformatoprevio"/>
              <w:jc w:val="both"/>
              <w:rPr>
                <w:rFonts w:asciiTheme="minorHAnsi" w:hAnsiTheme="minorHAnsi" w:cstheme="minorHAnsi"/>
                <w:color w:val="212121"/>
              </w:rPr>
            </w:pPr>
            <w:r w:rsidRPr="009A27ED">
              <w:rPr>
                <w:rFonts w:asciiTheme="minorHAnsi" w:hAnsiTheme="minorHAnsi" w:cstheme="minorHAnsi"/>
                <w:color w:val="212121"/>
                <w:lang w:val="es-ES"/>
              </w:rPr>
              <w:t>Dado que esta propuesta involucra cuestiones técnicas, económicas, institucionales y políticas, se relaciona con los objetivos establecidos en EN-REDD+. Las oficinas locales participarán en los niveles establecidos por la ley y los procedimientos.</w:t>
            </w:r>
          </w:p>
          <w:p w14:paraId="2C35F938" w14:textId="77777777" w:rsidR="00533B74" w:rsidRPr="009A27ED" w:rsidRDefault="00533B74" w:rsidP="00562F95">
            <w:pPr>
              <w:pStyle w:val="HTMLconformatoprevio"/>
              <w:jc w:val="both"/>
              <w:rPr>
                <w:rFonts w:asciiTheme="minorHAnsi" w:hAnsiTheme="minorHAnsi" w:cstheme="minorHAnsi"/>
                <w:color w:val="212121"/>
                <w:lang w:val="es-ES"/>
              </w:rPr>
            </w:pPr>
          </w:p>
        </w:tc>
      </w:tr>
      <w:tr w:rsidR="00533B74" w:rsidRPr="009A27ED" w14:paraId="17B03C55" w14:textId="77777777" w:rsidTr="00562F95">
        <w:tblPrEx>
          <w:shd w:val="clear" w:color="auto" w:fill="F2F2F2" w:themeFill="background1" w:themeFillShade="F2"/>
        </w:tblPrEx>
        <w:trPr>
          <w:trHeight w:val="1318"/>
        </w:trPr>
        <w:tc>
          <w:tcPr>
            <w:tcW w:w="4815" w:type="dxa"/>
            <w:shd w:val="clear" w:color="auto" w:fill="E7E6E6" w:themeFill="background2"/>
          </w:tcPr>
          <w:p w14:paraId="6E015195" w14:textId="77777777" w:rsidR="00533B74" w:rsidRPr="009A27ED" w:rsidRDefault="00533B74" w:rsidP="00562F95">
            <w:pPr>
              <w:pStyle w:val="HTMLconformatoprevio"/>
              <w:jc w:val="both"/>
              <w:rPr>
                <w:rFonts w:asciiTheme="minorHAnsi" w:hAnsiTheme="minorHAnsi" w:cstheme="minorHAnsi"/>
                <w:color w:val="212121"/>
              </w:rPr>
            </w:pPr>
            <w:r w:rsidRPr="009A27ED">
              <w:rPr>
                <w:rFonts w:asciiTheme="minorHAnsi" w:hAnsiTheme="minorHAnsi" w:cstheme="minorHAnsi"/>
                <w:color w:val="212121"/>
                <w:lang w:val="es-ES"/>
              </w:rPr>
              <w:t xml:space="preserve">Los participantes mencionaron la importancia de crear confianza y que los usuarios se sientan escuchados, por lo que pueden usar este mecanismo de una manera adecuada. </w:t>
            </w:r>
          </w:p>
          <w:p w14:paraId="43A3AD7A" w14:textId="77777777" w:rsidR="00533B74" w:rsidRPr="009A27ED" w:rsidRDefault="00533B74" w:rsidP="00562F95">
            <w:pPr>
              <w:pStyle w:val="HTMLconformatoprevio"/>
              <w:jc w:val="both"/>
              <w:rPr>
                <w:rFonts w:asciiTheme="minorHAnsi" w:hAnsiTheme="minorHAnsi" w:cstheme="minorHAnsi"/>
                <w:color w:val="212121"/>
                <w:lang w:val="es-ES"/>
              </w:rPr>
            </w:pPr>
          </w:p>
        </w:tc>
        <w:tc>
          <w:tcPr>
            <w:tcW w:w="4961" w:type="dxa"/>
            <w:shd w:val="clear" w:color="auto" w:fill="E7E6E6" w:themeFill="background2"/>
          </w:tcPr>
          <w:p w14:paraId="7942EDF8" w14:textId="77777777" w:rsidR="00533B74" w:rsidRPr="009A27ED" w:rsidRDefault="00533B74" w:rsidP="00562F95">
            <w:pPr>
              <w:pStyle w:val="HTMLconformatoprevio"/>
              <w:jc w:val="both"/>
              <w:rPr>
                <w:rFonts w:asciiTheme="minorHAnsi" w:hAnsiTheme="minorHAnsi" w:cstheme="minorHAnsi"/>
                <w:color w:val="212121"/>
                <w:lang w:val="es-ES"/>
              </w:rPr>
            </w:pPr>
            <w:r w:rsidRPr="009A27ED">
              <w:rPr>
                <w:rFonts w:asciiTheme="minorHAnsi" w:hAnsiTheme="minorHAnsi" w:cstheme="minorHAnsi"/>
                <w:color w:val="212121"/>
                <w:lang w:val="es-ES"/>
              </w:rPr>
              <w:t>Esto está previsto en la implementación de la ruta del MQRC. En la medida en que los procedimientos establecidos se respeten y cumplan de manera transparente y efectiva, contribuirá a la creación de la confianza del usuario.</w:t>
            </w:r>
          </w:p>
        </w:tc>
      </w:tr>
    </w:tbl>
    <w:p w14:paraId="5F073875" w14:textId="77777777" w:rsidR="00533B74" w:rsidRPr="009A27ED" w:rsidRDefault="00533B74" w:rsidP="00533B74">
      <w:pPr>
        <w:spacing w:line="360" w:lineRule="auto"/>
      </w:pPr>
    </w:p>
    <w:tbl>
      <w:tblPr>
        <w:tblStyle w:val="Tablaconcuadrcula"/>
        <w:tblW w:w="9776" w:type="dxa"/>
        <w:tblLook w:val="04A0" w:firstRow="1" w:lastRow="0" w:firstColumn="1" w:lastColumn="0" w:noHBand="0" w:noVBand="1"/>
      </w:tblPr>
      <w:tblGrid>
        <w:gridCol w:w="4675"/>
        <w:gridCol w:w="5101"/>
      </w:tblGrid>
      <w:tr w:rsidR="00533B74" w:rsidRPr="009A27ED" w14:paraId="2FF936D6" w14:textId="77777777" w:rsidTr="00562F95">
        <w:trPr>
          <w:tblHeader/>
        </w:trPr>
        <w:tc>
          <w:tcPr>
            <w:tcW w:w="4675" w:type="dxa"/>
            <w:shd w:val="clear" w:color="auto" w:fill="2E74B5" w:themeFill="accent1" w:themeFillShade="BF"/>
          </w:tcPr>
          <w:p w14:paraId="330DC775" w14:textId="77777777" w:rsidR="00533B74" w:rsidRPr="009A27ED" w:rsidRDefault="00533B74" w:rsidP="00562F95">
            <w:pPr>
              <w:jc w:val="center"/>
              <w:rPr>
                <w:b/>
                <w:color w:val="FFFFFF" w:themeColor="background1"/>
                <w:sz w:val="20"/>
                <w:szCs w:val="20"/>
              </w:rPr>
            </w:pPr>
            <w:r w:rsidRPr="009A27ED">
              <w:rPr>
                <w:b/>
                <w:color w:val="FFFFFF" w:themeColor="background1"/>
                <w:sz w:val="20"/>
                <w:szCs w:val="20"/>
              </w:rPr>
              <w:lastRenderedPageBreak/>
              <w:t>SIS comentarios - inquietudes</w:t>
            </w:r>
          </w:p>
        </w:tc>
        <w:tc>
          <w:tcPr>
            <w:tcW w:w="5101" w:type="dxa"/>
            <w:shd w:val="clear" w:color="auto" w:fill="2E74B5" w:themeFill="accent1" w:themeFillShade="BF"/>
          </w:tcPr>
          <w:p w14:paraId="32A99D02" w14:textId="77777777" w:rsidR="00533B74" w:rsidRPr="009A27ED" w:rsidRDefault="00533B74" w:rsidP="00562F95">
            <w:pPr>
              <w:jc w:val="center"/>
              <w:rPr>
                <w:b/>
                <w:color w:val="FFFFFF" w:themeColor="background1"/>
                <w:sz w:val="20"/>
                <w:szCs w:val="20"/>
              </w:rPr>
            </w:pPr>
            <w:r w:rsidRPr="009A27ED">
              <w:rPr>
                <w:b/>
                <w:color w:val="FFFFFF" w:themeColor="background1"/>
                <w:sz w:val="20"/>
                <w:szCs w:val="20"/>
              </w:rPr>
              <w:t>Retroalimentación hacia la EN-REDD+-RD y el Programa REDD+</w:t>
            </w:r>
          </w:p>
        </w:tc>
      </w:tr>
      <w:tr w:rsidR="00533B74" w:rsidRPr="009A27ED" w14:paraId="33A1D51A" w14:textId="77777777" w:rsidTr="00562F95">
        <w:tc>
          <w:tcPr>
            <w:tcW w:w="4675" w:type="dxa"/>
          </w:tcPr>
          <w:p w14:paraId="06B972CF" w14:textId="77777777" w:rsidR="00533B74" w:rsidRPr="009A27ED" w:rsidRDefault="00533B74" w:rsidP="00562F95">
            <w:pPr>
              <w:pStyle w:val="HTMLconformatoprevio"/>
              <w:jc w:val="both"/>
              <w:rPr>
                <w:rFonts w:cstheme="minorHAnsi"/>
                <w:color w:val="000000" w:themeColor="text1"/>
                <w:lang w:val="en-US"/>
              </w:rPr>
            </w:pPr>
            <w:r w:rsidRPr="009A27ED">
              <w:rPr>
                <w:rFonts w:asciiTheme="minorHAnsi" w:hAnsiTheme="minorHAnsi" w:cstheme="minorHAnsi"/>
                <w:color w:val="212121"/>
                <w:lang w:val="es-ES"/>
              </w:rPr>
              <w:t>En general, los participantes estuvieron de acuerdo con los arreglos institucionales y las salvaguardas del SIS. Proceso de reporte</w:t>
            </w:r>
          </w:p>
        </w:tc>
        <w:tc>
          <w:tcPr>
            <w:tcW w:w="5101" w:type="dxa"/>
          </w:tcPr>
          <w:p w14:paraId="1376121E" w14:textId="77777777" w:rsidR="00533B74" w:rsidRPr="009A27ED" w:rsidRDefault="00533B74" w:rsidP="00562F95">
            <w:pPr>
              <w:rPr>
                <w:sz w:val="20"/>
                <w:szCs w:val="20"/>
              </w:rPr>
            </w:pPr>
            <w:r w:rsidRPr="009A27ED">
              <w:rPr>
                <w:sz w:val="20"/>
              </w:rPr>
              <w:t>N/A</w:t>
            </w:r>
          </w:p>
        </w:tc>
      </w:tr>
      <w:tr w:rsidR="00533B74" w:rsidRPr="009A27ED" w14:paraId="2D801902" w14:textId="77777777" w:rsidTr="00562F95">
        <w:tc>
          <w:tcPr>
            <w:tcW w:w="4675" w:type="dxa"/>
          </w:tcPr>
          <w:p w14:paraId="627915DE" w14:textId="77777777" w:rsidR="00533B74" w:rsidRPr="009A27ED" w:rsidRDefault="00533B74" w:rsidP="00562F95">
            <w:pPr>
              <w:pStyle w:val="HTMLconformatoprevio"/>
              <w:jc w:val="both"/>
              <w:rPr>
                <w:rFonts w:asciiTheme="minorHAnsi" w:hAnsiTheme="minorHAnsi" w:cstheme="minorHAnsi"/>
                <w:color w:val="212121"/>
                <w:lang w:val="es-ES"/>
              </w:rPr>
            </w:pPr>
            <w:r w:rsidRPr="009A27ED">
              <w:rPr>
                <w:rFonts w:asciiTheme="minorHAnsi" w:hAnsiTheme="minorHAnsi" w:cstheme="minorHAnsi"/>
                <w:color w:val="212121"/>
                <w:lang w:val="es-ES"/>
              </w:rPr>
              <w:t>Los participantes indicaron la importancia del proceso de capacitación en la plataforma virtual para los usuarios y que debe ser simple estructurado.</w:t>
            </w:r>
          </w:p>
          <w:p w14:paraId="5A48D42B" w14:textId="77777777" w:rsidR="00533B74" w:rsidRPr="009A27ED" w:rsidRDefault="00533B74" w:rsidP="00562F95">
            <w:pPr>
              <w:pStyle w:val="HTMLconformatoprevio"/>
              <w:jc w:val="both"/>
              <w:rPr>
                <w:rFonts w:asciiTheme="minorHAnsi" w:hAnsiTheme="minorHAnsi" w:cstheme="minorHAnsi"/>
                <w:color w:val="212121"/>
                <w:lang w:val="es-ES"/>
              </w:rPr>
            </w:pPr>
          </w:p>
          <w:p w14:paraId="37004C64" w14:textId="77777777" w:rsidR="00533B74" w:rsidRPr="009A27ED" w:rsidRDefault="00533B74" w:rsidP="00562F95">
            <w:pPr>
              <w:pStyle w:val="HTMLconformatoprevio"/>
              <w:jc w:val="both"/>
              <w:rPr>
                <w:rFonts w:asciiTheme="minorHAnsi" w:hAnsiTheme="minorHAnsi" w:cstheme="minorHAnsi"/>
                <w:color w:val="000000" w:themeColor="text1"/>
                <w:lang w:val="es-ES"/>
              </w:rPr>
            </w:pPr>
          </w:p>
        </w:tc>
        <w:tc>
          <w:tcPr>
            <w:tcW w:w="5101" w:type="dxa"/>
          </w:tcPr>
          <w:p w14:paraId="217F58D8" w14:textId="77777777" w:rsidR="00533B74" w:rsidRPr="009A27ED" w:rsidRDefault="00533B74" w:rsidP="00562F95">
            <w:pPr>
              <w:pStyle w:val="HTMLconformatoprevio"/>
              <w:jc w:val="both"/>
              <w:rPr>
                <w:rFonts w:cstheme="minorHAnsi"/>
                <w:lang w:val="es-ES"/>
              </w:rPr>
            </w:pPr>
            <w:r w:rsidRPr="009A27ED">
              <w:rPr>
                <w:rFonts w:asciiTheme="minorHAnsi" w:hAnsiTheme="minorHAnsi" w:cstheme="minorHAnsi"/>
                <w:color w:val="212121"/>
                <w:lang w:val="es-ES"/>
              </w:rPr>
              <w:t>La capacitación SIS está prevista, tanto para el personal técnico de las entidades implementadoras, como para los diferentes actores y partes relevantes, se programará cuando se haya desarrollado la infraestructura web y las entidades implementadoras inicien las actividades de REDD +. Además, la OCR desarrollará información y materiales de capacitación gráfica en un lenguaje apropiado para diferentes audiencias.</w:t>
            </w:r>
            <w:r w:rsidRPr="009A27ED">
              <w:rPr>
                <w:lang w:val="es-ES"/>
              </w:rPr>
              <w:t xml:space="preserve"> </w:t>
            </w:r>
          </w:p>
        </w:tc>
      </w:tr>
      <w:tr w:rsidR="00533B74" w:rsidRPr="009A27ED" w14:paraId="10F96A3E" w14:textId="77777777" w:rsidTr="00562F95">
        <w:tc>
          <w:tcPr>
            <w:tcW w:w="4675" w:type="dxa"/>
          </w:tcPr>
          <w:p w14:paraId="264C2098" w14:textId="77777777" w:rsidR="00533B74" w:rsidRPr="009A27ED" w:rsidRDefault="00533B74" w:rsidP="00562F95">
            <w:pPr>
              <w:pStyle w:val="HTMLconformatoprevio"/>
              <w:jc w:val="both"/>
              <w:rPr>
                <w:rFonts w:asciiTheme="minorHAnsi" w:hAnsiTheme="minorHAnsi" w:cstheme="minorHAnsi"/>
                <w:color w:val="212121"/>
                <w:lang w:val="es-ES"/>
              </w:rPr>
            </w:pPr>
            <w:r w:rsidRPr="009A27ED">
              <w:rPr>
                <w:rFonts w:asciiTheme="minorHAnsi" w:hAnsiTheme="minorHAnsi" w:cstheme="minorHAnsi"/>
                <w:color w:val="212121"/>
                <w:lang w:val="es-ES"/>
              </w:rPr>
              <w:t>Los participantes resaltan la importancia de establecer indicadores medibles para verificar el cumplimiento de las salvaguardas. Sugieren que se ofrezca capacitación sobre el diseño de indicadores y la recopilación de información.</w:t>
            </w:r>
          </w:p>
          <w:p w14:paraId="518B29E7" w14:textId="77777777" w:rsidR="00533B74" w:rsidRPr="009A27ED" w:rsidRDefault="00533B74" w:rsidP="00562F95">
            <w:pPr>
              <w:pStyle w:val="HTMLconformatoprevio"/>
              <w:jc w:val="both"/>
              <w:rPr>
                <w:rFonts w:asciiTheme="minorHAnsi" w:hAnsiTheme="minorHAnsi" w:cstheme="minorHAnsi"/>
                <w:color w:val="212121"/>
                <w:lang w:val="es-ES"/>
              </w:rPr>
            </w:pPr>
          </w:p>
        </w:tc>
        <w:tc>
          <w:tcPr>
            <w:tcW w:w="5101" w:type="dxa"/>
          </w:tcPr>
          <w:p w14:paraId="62D37615" w14:textId="77777777" w:rsidR="00533B74" w:rsidRPr="009A27ED" w:rsidRDefault="00533B74" w:rsidP="00562F95">
            <w:pPr>
              <w:pStyle w:val="HTMLconformatoprevio"/>
              <w:jc w:val="both"/>
              <w:rPr>
                <w:rFonts w:asciiTheme="minorHAnsi" w:hAnsiTheme="minorHAnsi" w:cstheme="minorHAnsi"/>
                <w:color w:val="212121"/>
                <w:lang w:val="es-ES"/>
              </w:rPr>
            </w:pPr>
            <w:r w:rsidRPr="009A27ED">
              <w:rPr>
                <w:rFonts w:asciiTheme="minorHAnsi" w:hAnsiTheme="minorHAnsi" w:cstheme="minorHAnsi"/>
                <w:color w:val="212121"/>
                <w:lang w:val="es-ES"/>
              </w:rPr>
              <w:t>Los indicadores de salvaguardas REDD+ y las Políticas Operativas del Banco Mundial se establecen en el enfoque nacional de salvaguardas (ENS) y en el SIS. Además, están incluidos en SESA y MGAS. Se ha considerado la capacitación en SIS e indicadores para los actores involucrados públicos, privados y sociales.</w:t>
            </w:r>
          </w:p>
          <w:p w14:paraId="6565E46F" w14:textId="77777777" w:rsidR="00533B74" w:rsidRPr="009A27ED" w:rsidRDefault="00533B74" w:rsidP="00562F95">
            <w:pPr>
              <w:pStyle w:val="HTMLconformatoprevio"/>
              <w:jc w:val="both"/>
              <w:rPr>
                <w:rFonts w:asciiTheme="minorHAnsi" w:hAnsiTheme="minorHAnsi" w:cstheme="minorHAnsi"/>
                <w:color w:val="212121"/>
                <w:lang w:val="es-ES"/>
              </w:rPr>
            </w:pPr>
          </w:p>
        </w:tc>
      </w:tr>
      <w:tr w:rsidR="00533B74" w:rsidRPr="009A27ED" w14:paraId="535811F8" w14:textId="77777777" w:rsidTr="00562F95">
        <w:tc>
          <w:tcPr>
            <w:tcW w:w="4675" w:type="dxa"/>
          </w:tcPr>
          <w:p w14:paraId="4B6D7FED" w14:textId="77777777" w:rsidR="00533B74" w:rsidRPr="009A27ED" w:rsidRDefault="00533B74" w:rsidP="00562F95">
            <w:pPr>
              <w:pStyle w:val="HTMLconformatoprevio"/>
              <w:jc w:val="both"/>
              <w:rPr>
                <w:rFonts w:asciiTheme="minorHAnsi" w:hAnsiTheme="minorHAnsi" w:cstheme="minorHAnsi"/>
                <w:color w:val="212121"/>
                <w:lang w:val="es-ES"/>
              </w:rPr>
            </w:pPr>
            <w:r w:rsidRPr="009A27ED">
              <w:rPr>
                <w:rFonts w:asciiTheme="minorHAnsi" w:hAnsiTheme="minorHAnsi" w:cstheme="minorHAnsi"/>
                <w:color w:val="212121"/>
                <w:lang w:val="es-ES"/>
              </w:rPr>
              <w:t>Se sugirió que el proceso de supervisión y presentación de informes sobre salvaguardas sea continuo, a través de los instrumentos de presentación de informes y el SIS.</w:t>
            </w:r>
          </w:p>
          <w:p w14:paraId="42D171CD" w14:textId="77777777" w:rsidR="00533B74" w:rsidRPr="009A27ED" w:rsidRDefault="00533B74" w:rsidP="00562F95">
            <w:pPr>
              <w:pStyle w:val="HTMLconformatoprevio"/>
              <w:jc w:val="both"/>
              <w:rPr>
                <w:rFonts w:asciiTheme="minorHAnsi" w:hAnsiTheme="minorHAnsi" w:cstheme="minorHAnsi"/>
                <w:color w:val="212121"/>
                <w:lang w:val="es-ES"/>
              </w:rPr>
            </w:pPr>
          </w:p>
          <w:p w14:paraId="7807A2FB" w14:textId="77777777" w:rsidR="00533B74" w:rsidRPr="009A27ED" w:rsidRDefault="00533B74" w:rsidP="00562F95">
            <w:pPr>
              <w:pStyle w:val="HTMLconformatoprevio"/>
              <w:jc w:val="both"/>
              <w:rPr>
                <w:rFonts w:asciiTheme="minorHAnsi" w:hAnsiTheme="minorHAnsi" w:cstheme="minorHAnsi"/>
                <w:color w:val="212121"/>
                <w:lang w:val="es-ES"/>
              </w:rPr>
            </w:pPr>
          </w:p>
        </w:tc>
        <w:tc>
          <w:tcPr>
            <w:tcW w:w="5101" w:type="dxa"/>
          </w:tcPr>
          <w:p w14:paraId="58046B65" w14:textId="77777777" w:rsidR="00533B74" w:rsidRPr="009A27ED" w:rsidRDefault="00533B74" w:rsidP="00562F95">
            <w:pPr>
              <w:pStyle w:val="HTMLconformatoprevio"/>
              <w:jc w:val="both"/>
              <w:rPr>
                <w:rFonts w:asciiTheme="minorHAnsi" w:hAnsiTheme="minorHAnsi" w:cstheme="minorHAnsi"/>
                <w:color w:val="212121"/>
              </w:rPr>
            </w:pPr>
            <w:r w:rsidRPr="009A27ED">
              <w:rPr>
                <w:rFonts w:asciiTheme="minorHAnsi" w:hAnsiTheme="minorHAnsi" w:cstheme="minorHAnsi"/>
                <w:color w:val="212121"/>
                <w:lang w:val="es-ES"/>
              </w:rPr>
              <w:t>La recopilación de información, los instrumentos y los procedimientos de presentación de informes forman parte de los PEGG y los acuerdos interinstitucionales que se firmarán con las Entidades implementadoras, donde los roles, tiempos y responsabilidades de presentación de informes están claramente definidos.</w:t>
            </w:r>
          </w:p>
          <w:p w14:paraId="3C98F767" w14:textId="77777777" w:rsidR="00533B74" w:rsidRPr="009A27ED" w:rsidRDefault="00533B74" w:rsidP="00562F95">
            <w:pPr>
              <w:pStyle w:val="HTMLconformatoprevio"/>
              <w:jc w:val="both"/>
              <w:rPr>
                <w:rFonts w:asciiTheme="minorHAnsi" w:hAnsiTheme="minorHAnsi" w:cstheme="minorHAnsi"/>
                <w:color w:val="212121"/>
                <w:lang w:val="es-ES"/>
              </w:rPr>
            </w:pPr>
          </w:p>
        </w:tc>
      </w:tr>
      <w:tr w:rsidR="00533B74" w:rsidRPr="009A27ED" w14:paraId="2B204B1C" w14:textId="77777777" w:rsidTr="00562F95">
        <w:tc>
          <w:tcPr>
            <w:tcW w:w="4675" w:type="dxa"/>
          </w:tcPr>
          <w:p w14:paraId="74B631FB" w14:textId="77777777" w:rsidR="00533B74" w:rsidRPr="009A27ED" w:rsidRDefault="00533B74" w:rsidP="00562F95">
            <w:pPr>
              <w:pStyle w:val="HTMLconformatoprevio"/>
              <w:jc w:val="both"/>
              <w:rPr>
                <w:rFonts w:asciiTheme="minorHAnsi" w:hAnsiTheme="minorHAnsi" w:cstheme="minorHAnsi"/>
                <w:color w:val="212121"/>
              </w:rPr>
            </w:pPr>
            <w:r w:rsidRPr="009A27ED">
              <w:rPr>
                <w:rFonts w:asciiTheme="minorHAnsi" w:hAnsiTheme="minorHAnsi" w:cstheme="minorHAnsi"/>
                <w:color w:val="212121"/>
                <w:lang w:val="es-ES"/>
              </w:rPr>
              <w:t xml:space="preserve">Se indicó que los técnicos de las entidades ejecutoras y las asociaciones de beneficiarios deben recibir apoyo durante el proceso de preparación de los informes de información. </w:t>
            </w:r>
          </w:p>
          <w:p w14:paraId="0CA850B0" w14:textId="77777777" w:rsidR="00533B74" w:rsidRPr="009A27ED" w:rsidRDefault="00533B74" w:rsidP="00562F95">
            <w:pPr>
              <w:pStyle w:val="HTMLconformatoprevio"/>
              <w:jc w:val="both"/>
              <w:rPr>
                <w:rFonts w:asciiTheme="minorHAnsi" w:hAnsiTheme="minorHAnsi" w:cstheme="minorHAnsi"/>
                <w:color w:val="212121"/>
                <w:lang w:val="es-ES"/>
              </w:rPr>
            </w:pPr>
          </w:p>
        </w:tc>
        <w:tc>
          <w:tcPr>
            <w:tcW w:w="5101" w:type="dxa"/>
          </w:tcPr>
          <w:p w14:paraId="302C35FF" w14:textId="77777777" w:rsidR="00533B74" w:rsidRPr="009A27ED" w:rsidRDefault="00533B74" w:rsidP="00562F95">
            <w:pPr>
              <w:pStyle w:val="HTMLconformatoprevio"/>
              <w:jc w:val="both"/>
              <w:rPr>
                <w:rFonts w:asciiTheme="minorHAnsi" w:hAnsiTheme="minorHAnsi" w:cstheme="minorHAnsi"/>
                <w:color w:val="212121"/>
                <w:lang w:val="es-ES"/>
              </w:rPr>
            </w:pPr>
            <w:r w:rsidRPr="009A27ED">
              <w:rPr>
                <w:rFonts w:asciiTheme="minorHAnsi" w:hAnsiTheme="minorHAnsi" w:cstheme="minorHAnsi"/>
                <w:color w:val="212121"/>
                <w:lang w:val="es-ES"/>
              </w:rPr>
              <w:t>Las responsabilidades de ORC y EE están claramente establecidas en los arreglos institucionales del SIS.</w:t>
            </w:r>
          </w:p>
        </w:tc>
      </w:tr>
    </w:tbl>
    <w:p w14:paraId="10EE31FD" w14:textId="77777777" w:rsidR="00533B74" w:rsidRPr="009A27ED" w:rsidRDefault="00533B74" w:rsidP="00533B74">
      <w:pPr>
        <w:spacing w:line="360" w:lineRule="auto"/>
      </w:pPr>
    </w:p>
    <w:p w14:paraId="1D006EF5" w14:textId="77777777" w:rsidR="00533B74" w:rsidRPr="009A27ED" w:rsidRDefault="00533B74" w:rsidP="00533B74">
      <w:pPr>
        <w:spacing w:line="360" w:lineRule="auto"/>
        <w:rPr>
          <w:rFonts w:eastAsiaTheme="minorEastAsia"/>
          <w:szCs w:val="22"/>
          <w:lang w:eastAsia="es-ES"/>
        </w:rPr>
      </w:pPr>
      <w:r w:rsidRPr="009A27ED">
        <w:rPr>
          <w:rFonts w:ascii="Times New Roman" w:eastAsiaTheme="minorEastAsia" w:hAnsi="Times New Roman"/>
          <w:sz w:val="24"/>
          <w:szCs w:val="22"/>
          <w:lang w:eastAsia="es-ES"/>
        </w:rPr>
        <w:t xml:space="preserve">La segunda parte del proceso de socialización estuvo enfocado en la realización de cinco talleres territoriales y un taller con las Entidades Ejecutoras, para validar el contenido de los </w:t>
      </w:r>
      <w:r w:rsidRPr="009A27ED">
        <w:rPr>
          <w:rFonts w:ascii="Times New Roman" w:eastAsiaTheme="minorEastAsia" w:hAnsi="Times New Roman"/>
          <w:b/>
          <w:i/>
          <w:sz w:val="24"/>
          <w:szCs w:val="22"/>
          <w:lang w:eastAsia="es-ES"/>
        </w:rPr>
        <w:t>Planes de Manejo Ambiental y Social (PMAS)</w:t>
      </w:r>
      <w:r w:rsidRPr="009A27ED">
        <w:rPr>
          <w:rFonts w:ascii="Times New Roman" w:eastAsiaTheme="minorEastAsia" w:hAnsi="Times New Roman"/>
          <w:sz w:val="24"/>
          <w:szCs w:val="22"/>
          <w:lang w:eastAsia="es-ES"/>
        </w:rPr>
        <w:t xml:space="preserve"> y los arreglos institucionales para aplicar salvaguardas sociales y ambientales REDD+ y las Políticas Operativas del Banco Mundial, durante la implementación de estos planes de manejo en las cinco áreas priorizadas para REDD+. Se desarrollaron minutas para cada taller territorial, las cuales incluyen las recomendaciones para ser incluidas en los PMAS con referencia a varios tópicos: gobernanza, técnicas y buenas prácticas, consideraciones de género y salvaguardas, mecanismos de denuncia existentes, y sobre todo la implementación de medidas de mitigación para las actividades tipo REDD+ que deben implementarse en las regiones prioritarias. </w:t>
      </w:r>
    </w:p>
    <w:p w14:paraId="34AD81C0" w14:textId="77777777" w:rsidR="00533B74" w:rsidRPr="009A27ED" w:rsidRDefault="00533B74" w:rsidP="00533B74">
      <w:pPr>
        <w:spacing w:line="360" w:lineRule="auto"/>
        <w:rPr>
          <w:rFonts w:eastAsiaTheme="minorEastAsia"/>
          <w:szCs w:val="22"/>
          <w:lang w:eastAsia="es-ES"/>
        </w:rPr>
      </w:pPr>
      <w:r w:rsidRPr="009A27ED">
        <w:rPr>
          <w:rFonts w:ascii="Times New Roman" w:eastAsiaTheme="minorEastAsia" w:hAnsi="Times New Roman"/>
          <w:sz w:val="24"/>
          <w:szCs w:val="22"/>
          <w:lang w:eastAsia="es-ES"/>
        </w:rPr>
        <w:lastRenderedPageBreak/>
        <w:t>Un resumen sobre los comentarios y opiniones de los socios en las cinco regiones prioritarias se presenta a continuación:</w:t>
      </w:r>
    </w:p>
    <w:p w14:paraId="7F5766EE" w14:textId="77777777" w:rsidR="00533B74" w:rsidRPr="009A27ED" w:rsidRDefault="00533B74" w:rsidP="00533B74">
      <w:pPr>
        <w:spacing w:line="360" w:lineRule="auto"/>
        <w:rPr>
          <w:rFonts w:eastAsiaTheme="minorEastAsia"/>
          <w:szCs w:val="22"/>
          <w:lang w:eastAsia="es-ES"/>
        </w:rPr>
      </w:pPr>
      <w:r w:rsidRPr="009A27ED">
        <w:rPr>
          <w:rFonts w:ascii="Times New Roman" w:eastAsiaTheme="minorEastAsia" w:hAnsi="Times New Roman"/>
          <w:sz w:val="24"/>
          <w:szCs w:val="22"/>
          <w:lang w:eastAsia="es-ES"/>
        </w:rPr>
        <w:t xml:space="preserve">Como parte importante de este proceso, uno de los requerimientos del Banco Mundial que debía ser atendido, es la socialización de información y la validación de contenidos y alcances de los Planes de Manejo Ambiental y Social (PMAS), es por ello </w:t>
      </w:r>
      <w:proofErr w:type="gramStart"/>
      <w:r w:rsidRPr="009A27ED">
        <w:rPr>
          <w:rFonts w:ascii="Times New Roman" w:eastAsiaTheme="minorEastAsia" w:hAnsi="Times New Roman"/>
          <w:sz w:val="24"/>
          <w:szCs w:val="22"/>
          <w:lang w:eastAsia="es-ES"/>
        </w:rPr>
        <w:t>que</w:t>
      </w:r>
      <w:proofErr w:type="gramEnd"/>
      <w:r w:rsidRPr="009A27ED">
        <w:rPr>
          <w:rFonts w:ascii="Times New Roman" w:eastAsiaTheme="minorEastAsia" w:hAnsi="Times New Roman"/>
          <w:sz w:val="24"/>
          <w:szCs w:val="22"/>
          <w:lang w:eastAsia="es-ES"/>
        </w:rPr>
        <w:t xml:space="preserve"> el MARN definió un alcance, objetivos, contenidos y un calendario de fechas para llevar a cabo este ejercicio de validación. Cinco talleres territoriales en las áreas priorizadas para REDD+ y un taller con las Entidades Ejecutoras, fueron el escenario para convocar a diferentes socios de estas Entidades Ejecutoras y del Ministerio Medio Ambiente, durante la semana del 22 al 26 de abril de 2019. </w:t>
      </w:r>
    </w:p>
    <w:p w14:paraId="5714C3E7" w14:textId="77777777" w:rsidR="00533B74" w:rsidRPr="009A27ED" w:rsidRDefault="00533B74" w:rsidP="00533B74">
      <w:pPr>
        <w:spacing w:line="360" w:lineRule="auto"/>
        <w:rPr>
          <w:rFonts w:eastAsiaTheme="minorEastAsia"/>
          <w:szCs w:val="22"/>
          <w:lang w:eastAsia="es-ES"/>
        </w:rPr>
      </w:pPr>
      <w:r w:rsidRPr="009A27ED">
        <w:rPr>
          <w:rFonts w:ascii="Times New Roman" w:eastAsiaTheme="minorEastAsia" w:hAnsi="Times New Roman"/>
          <w:sz w:val="24"/>
          <w:szCs w:val="22"/>
          <w:lang w:eastAsia="es-ES"/>
        </w:rPr>
        <w:t>Esta jornada de validación arrojó importantes insumos para adicionar información a los PMAS y al Diagnóstico de Capacidades Institucionales de las EE, especialmente en temas relacionados con la afinación de medidas de mitigación, consideraciones para la gobernanza, el género, buenas prácticas y técnicas. Este documento presenta un resumen de las percepciones generales relevantes de los socios invitados a estas reuniones junto a recomendaciones consensuadas entre la UTG-REDD+-RD y el equipo de Consultores y Asociados. Este resumen ha sido adicionado a los documentos del SESA, MGAS, MQRC, SIS y ENS.</w:t>
      </w:r>
    </w:p>
    <w:p w14:paraId="52AC501B" w14:textId="77777777" w:rsidR="00533B74" w:rsidRPr="009A27ED" w:rsidRDefault="00533B74" w:rsidP="00533B74">
      <w:pPr>
        <w:spacing w:line="360" w:lineRule="auto"/>
        <w:rPr>
          <w:rFonts w:eastAsiaTheme="minorEastAsia"/>
          <w:szCs w:val="22"/>
          <w:lang w:eastAsia="es-ES"/>
        </w:rPr>
      </w:pPr>
      <w:r w:rsidRPr="009A27ED">
        <w:rPr>
          <w:rFonts w:ascii="Times New Roman" w:eastAsiaTheme="minorEastAsia" w:hAnsi="Times New Roman"/>
          <w:sz w:val="24"/>
          <w:szCs w:val="22"/>
          <w:lang w:eastAsia="es-ES"/>
        </w:rPr>
        <w:t>Se consensuó un calendario para desarrollar los talleres territoriales en las cinco áreas priorizadas y uno con las Entidades Ejecutoras, cada taller contó con una lista de participantes, los cuales fueron convocados con antelación para motivar su participación. Los participantes pertenecen a diferentes sectores, algunos de los cuales ya estaban involucrados en su conocimiento sobre REDD+. En otros casos, fueron participantes nuevos que iniciaron el conocimiento sobre este mecanismo y el proceso de construcción de algunos de los componentes sociales de la EN-REDD+ especialmente en los talleres SESA. Este calendario se presenta a continuación:</w:t>
      </w:r>
    </w:p>
    <w:p w14:paraId="498BC8BD" w14:textId="3899509D" w:rsidR="0015153A" w:rsidRPr="009A27ED" w:rsidRDefault="0015153A" w:rsidP="0015153A">
      <w:pPr>
        <w:pStyle w:val="Descripcin"/>
        <w:keepNext/>
        <w:spacing w:line="360" w:lineRule="auto"/>
      </w:pPr>
      <w:r w:rsidRPr="009A27ED">
        <w:rPr>
          <w:rFonts w:ascii="Times New Roman" w:eastAsia="Times New Roman" w:hAnsi="Times New Roman"/>
          <w:sz w:val="24"/>
        </w:rPr>
        <w:lastRenderedPageBreak/>
        <w:t xml:space="preserve">                    </w:t>
      </w:r>
      <w:bookmarkStart w:id="335" w:name="_Toc111887464"/>
      <w:r w:rsidRPr="009A27ED">
        <w:rPr>
          <w:rFonts w:ascii="Times New Roman" w:eastAsia="Times New Roman" w:hAnsi="Times New Roman"/>
          <w:sz w:val="24"/>
        </w:rPr>
        <w:t xml:space="preserve">Cuadro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Cuadro \* ARABIC </w:instrText>
      </w:r>
      <w:r w:rsidRPr="009A27ED">
        <w:rPr>
          <w:rFonts w:ascii="Times New Roman" w:eastAsia="Times New Roman" w:hAnsi="Times New Roman"/>
          <w:sz w:val="24"/>
        </w:rPr>
        <w:fldChar w:fldCharType="separate"/>
      </w:r>
      <w:r w:rsidR="00DF3AFC" w:rsidRPr="009A27ED">
        <w:rPr>
          <w:rFonts w:ascii="Times New Roman" w:eastAsia="Times New Roman" w:hAnsi="Times New Roman"/>
          <w:noProof/>
          <w:sz w:val="24"/>
        </w:rPr>
        <w:t>54</w:t>
      </w:r>
      <w:r w:rsidRPr="009A27ED">
        <w:rPr>
          <w:rFonts w:ascii="Times New Roman" w:eastAsia="Times New Roman" w:hAnsi="Times New Roman"/>
          <w:sz w:val="24"/>
        </w:rPr>
        <w:fldChar w:fldCharType="end"/>
      </w:r>
      <w:r w:rsidRPr="009A27ED">
        <w:rPr>
          <w:rFonts w:ascii="Times New Roman" w:eastAsia="Times New Roman" w:hAnsi="Times New Roman"/>
          <w:sz w:val="24"/>
        </w:rPr>
        <w:t>. Indicativo de lugar y fechas de talleres en áreas priorizadas</w:t>
      </w:r>
      <w:bookmarkEnd w:id="335"/>
      <w:r w:rsidRPr="009A27ED">
        <w:rPr>
          <w:rFonts w:ascii="Times New Roman" w:eastAsia="Times New Roman" w:hAnsi="Times New Roman"/>
          <w:sz w:val="24"/>
        </w:rPr>
        <w:t xml:space="preserve"> </w:t>
      </w:r>
    </w:p>
    <w:p w14:paraId="3789F7D2" w14:textId="77777777" w:rsidR="00533B74" w:rsidRPr="009A27ED" w:rsidRDefault="00533B74" w:rsidP="00533B74">
      <w:pPr>
        <w:spacing w:line="360" w:lineRule="auto"/>
        <w:rPr>
          <w:rFonts w:eastAsiaTheme="minorEastAsia"/>
          <w:szCs w:val="22"/>
          <w:lang w:eastAsia="es-ES"/>
        </w:rPr>
      </w:pPr>
      <w:r w:rsidRPr="009A27ED">
        <w:rPr>
          <w:rFonts w:ascii="Times New Roman" w:eastAsia="Times New Roman" w:hAnsi="Times New Roman"/>
          <w:noProof/>
          <w:sz w:val="24"/>
          <w:szCs w:val="22"/>
          <w:lang w:val="en-US"/>
        </w:rPr>
        <w:drawing>
          <wp:inline distT="0" distB="0" distL="0" distR="0" wp14:anchorId="4D54E962" wp14:editId="4D8A26B9">
            <wp:extent cx="5290820" cy="4604175"/>
            <wp:effectExtent l="0" t="0" r="5080" b="6350"/>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5294000" cy="4606942"/>
                    </a:xfrm>
                    <a:prstGeom prst="rect">
                      <a:avLst/>
                    </a:prstGeom>
                  </pic:spPr>
                </pic:pic>
              </a:graphicData>
            </a:graphic>
          </wp:inline>
        </w:drawing>
      </w:r>
    </w:p>
    <w:p w14:paraId="42F50F3A" w14:textId="77777777" w:rsidR="00533B74" w:rsidRPr="009A27ED" w:rsidRDefault="00533B74" w:rsidP="00533B74">
      <w:pPr>
        <w:spacing w:line="360" w:lineRule="auto"/>
        <w:rPr>
          <w:rFonts w:eastAsiaTheme="minorEastAsia"/>
          <w:szCs w:val="22"/>
          <w:lang w:eastAsia="es-ES"/>
        </w:rPr>
      </w:pPr>
      <w:r w:rsidRPr="009A27ED">
        <w:rPr>
          <w:rFonts w:ascii="Times New Roman" w:eastAsiaTheme="minorEastAsia" w:hAnsi="Times New Roman"/>
          <w:sz w:val="24"/>
          <w:szCs w:val="22"/>
          <w:lang w:eastAsia="es-ES"/>
        </w:rPr>
        <w:t xml:space="preserve">La asistencia a los talleres varió de región a región, en cada uno se pudo contar con al menos un representante de los diferentes tipos instituciones y organizaciones. Lo importante en estos talleres era la posibilidad de reflejar en las conversaciones, el tipo de involucramiento que estos socios tienen de los programas, proyectos, planes y sistemas seleccionados para la implementación de REDD+ y su relación con las Entidades Ejecutoras que son las últimas responsables de implementar las actividades tipo REDD+ en las cinco áreas priorizadas. </w:t>
      </w:r>
    </w:p>
    <w:p w14:paraId="4E55F90A" w14:textId="77777777" w:rsidR="00533B74" w:rsidRPr="009A27ED" w:rsidRDefault="00533B74" w:rsidP="00533B74">
      <w:pPr>
        <w:spacing w:line="360" w:lineRule="auto"/>
        <w:rPr>
          <w:rFonts w:eastAsiaTheme="minorEastAsia"/>
          <w:szCs w:val="22"/>
          <w:lang w:eastAsia="es-ES"/>
        </w:rPr>
      </w:pPr>
      <w:r w:rsidRPr="009A27ED">
        <w:rPr>
          <w:rFonts w:ascii="Times New Roman" w:eastAsiaTheme="minorEastAsia" w:hAnsi="Times New Roman"/>
          <w:sz w:val="24"/>
          <w:szCs w:val="22"/>
          <w:lang w:eastAsia="es-ES"/>
        </w:rPr>
        <w:t>Cada taller arrojó resultados importantes que se adherirán a los documentos asociados al componente social de la EN-REDD+-RD, así como a los PMAS según corresponda, sin embargo, aquí se presenta un resumen de las coincidencias de las cinco regiones y del taller con Entidades Ejecutoras:</w:t>
      </w:r>
    </w:p>
    <w:p w14:paraId="533FCDB9" w14:textId="77777777" w:rsidR="00533B74" w:rsidRPr="009A27ED" w:rsidRDefault="00533B74" w:rsidP="00533B74">
      <w:pPr>
        <w:pStyle w:val="Prrafodelista"/>
        <w:numPr>
          <w:ilvl w:val="0"/>
          <w:numId w:val="138"/>
        </w:numPr>
        <w:spacing w:before="120" w:after="0" w:line="360" w:lineRule="auto"/>
        <w:ind w:left="714" w:hanging="357"/>
        <w:contextualSpacing w:val="0"/>
        <w:rPr>
          <w:szCs w:val="22"/>
        </w:rPr>
      </w:pPr>
      <w:r w:rsidRPr="009A27ED">
        <w:rPr>
          <w:rFonts w:ascii="Times New Roman" w:eastAsia="Times New Roman" w:hAnsi="Times New Roman"/>
          <w:sz w:val="24"/>
          <w:szCs w:val="22"/>
        </w:rPr>
        <w:t xml:space="preserve">Las decisiones políticas dentro de los ministerios que forman parte del Comité Directivo, tienen un impacto no solamente a nivel nacional, sino también local, uno de esos impactos está </w:t>
      </w:r>
      <w:r w:rsidRPr="009A27ED">
        <w:rPr>
          <w:rFonts w:ascii="Times New Roman" w:eastAsia="Times New Roman" w:hAnsi="Times New Roman"/>
          <w:sz w:val="24"/>
          <w:szCs w:val="22"/>
        </w:rPr>
        <w:lastRenderedPageBreak/>
        <w:t xml:space="preserve">relacionado con la desmotivación que existe en socios locales y de nivel nacional, por las contradicciones entre la política y la toma de decisiones en lo técnico, existe una percepción general sobre un divorcio entre estos dos ámbitos, lo cual puede ser un reto importante para vencer de manera gradual, al iniciar la implementación de las actividades tipo REDD+ en las regiones priorizadas y a nivel nacional. REDD+ llama a fortalecer la gobernanza forestal como requisito para alcanzar arreglos institucionales enfocados en cumplir con las metas de país para reducir las emisiones por deforestación y degradación de los bosques. </w:t>
      </w:r>
    </w:p>
    <w:p w14:paraId="51C40AEC" w14:textId="77777777" w:rsidR="00533B74" w:rsidRPr="009A27ED" w:rsidRDefault="00533B74" w:rsidP="00533B74">
      <w:pPr>
        <w:pStyle w:val="Prrafodelista"/>
        <w:numPr>
          <w:ilvl w:val="0"/>
          <w:numId w:val="138"/>
        </w:numPr>
        <w:spacing w:before="120" w:after="0" w:line="360" w:lineRule="auto"/>
        <w:ind w:left="714" w:hanging="357"/>
        <w:contextualSpacing w:val="0"/>
        <w:rPr>
          <w:szCs w:val="22"/>
        </w:rPr>
      </w:pPr>
      <w:r w:rsidRPr="009A27ED">
        <w:rPr>
          <w:rFonts w:ascii="Times New Roman" w:eastAsia="Times New Roman" w:hAnsi="Times New Roman"/>
          <w:sz w:val="24"/>
          <w:szCs w:val="22"/>
        </w:rPr>
        <w:t>Es clara la preocupación de las Entidades Ejecutoras sobre la necesidad de aclarar, el rol de estas entidades ante el compromiso REDD+, en términos de apoyo técnico, financiero y de monitoreo y seguimiento. Aunque algunas de estas instituciones ya aplican medidas de mitigación y respetan salvaguardas, será necesaria la formación, educación y capacitación dirigida a recalcar su rol en el respeto y abordaje de salvaguardas y de políticas asociadas a los diferentes tipos de financiamiento y sus fuentes. Aun no es claro para las Entidades Ejecutoras el tipo de beneficio que recibirán al convertirse en ejecutoras directos de actividades tipo REDD+.</w:t>
      </w:r>
    </w:p>
    <w:p w14:paraId="68E3DBF8" w14:textId="77777777" w:rsidR="00533B74" w:rsidRPr="009A27ED" w:rsidRDefault="00533B74" w:rsidP="00533B74">
      <w:pPr>
        <w:pStyle w:val="Prrafodelista"/>
        <w:numPr>
          <w:ilvl w:val="0"/>
          <w:numId w:val="138"/>
        </w:numPr>
        <w:spacing w:before="120" w:after="0" w:line="360" w:lineRule="auto"/>
        <w:ind w:left="714" w:hanging="357"/>
        <w:contextualSpacing w:val="0"/>
        <w:rPr>
          <w:szCs w:val="22"/>
        </w:rPr>
      </w:pPr>
      <w:r w:rsidRPr="009A27ED">
        <w:rPr>
          <w:rFonts w:ascii="Times New Roman" w:eastAsia="Times New Roman" w:hAnsi="Times New Roman"/>
          <w:sz w:val="24"/>
          <w:szCs w:val="22"/>
        </w:rPr>
        <w:t xml:space="preserve">Durante la reunión se pudo constatar la existencia de plataformas de coordinación y de manuales, procedimientos y técnicas de buenas prácticas que ya son implementadas en cada programa, sin embargo, se notó la existencia de una coordinación interinstitucional entre estas Entidades, no solamente del tipo de trabajo que realizan cada uno en sus regiones, sino del tipo de temática que abordan, un esfuerzo sustancial deberá realizarse para lograr que los arreglos institucionales, vayan acompañados de un programa sistemático, ordenado y práctico de formación y acompañamiento en la comprensión del Sistema de Información de Salvaguardas, el Mecanismo de Quejas, Reclamos y Gestión de Conflictos, y la adopción de las medidas de mitigación reflejadas en el Marco de Gestión Ambiental y Social, así como el compromiso de implementar, monitorear y reportar sobre el avance de sus actividades tipo REDD+ en las áreas priorizadas y a nivel nacional, sumado a ello, será necesario trabajar de forma detallada en el seguimiento al respeto y abordaje de las salvaguardas REDD+ y las Políticas Operativas del Banco Mundial. </w:t>
      </w:r>
    </w:p>
    <w:p w14:paraId="087AA9F1" w14:textId="77777777" w:rsidR="00533B74" w:rsidRPr="009A27ED" w:rsidRDefault="00533B74" w:rsidP="00533B74">
      <w:pPr>
        <w:pStyle w:val="Prrafodelista"/>
        <w:numPr>
          <w:ilvl w:val="0"/>
          <w:numId w:val="138"/>
        </w:numPr>
        <w:spacing w:before="120" w:after="0" w:line="360" w:lineRule="auto"/>
        <w:ind w:left="714" w:hanging="357"/>
        <w:contextualSpacing w:val="0"/>
        <w:rPr>
          <w:szCs w:val="22"/>
        </w:rPr>
      </w:pPr>
      <w:r w:rsidRPr="009A27ED">
        <w:rPr>
          <w:rFonts w:ascii="Times New Roman" w:eastAsia="Times New Roman" w:hAnsi="Times New Roman"/>
          <w:sz w:val="24"/>
          <w:szCs w:val="22"/>
        </w:rPr>
        <w:t xml:space="preserve">Las Entidades Ejecutoras también emitieron su opinión con respecto a la urgente necesidad, para que el CD y el CTA trabajen junto a la OCR, de manera oportuna, para lograr la optimización de los recursos técnicos y financieros, especialmente aquellos enfocados en los temas de educación, género, adopción de buenas prácticas, evitar la duplicidad de esfuerzos a nivel local, respetar las </w:t>
      </w:r>
      <w:r w:rsidRPr="009A27ED">
        <w:rPr>
          <w:rFonts w:ascii="Times New Roman" w:eastAsia="Times New Roman" w:hAnsi="Times New Roman"/>
          <w:sz w:val="24"/>
          <w:szCs w:val="22"/>
        </w:rPr>
        <w:lastRenderedPageBreak/>
        <w:t xml:space="preserve">formas de gobernanza de los socios locales y sus plataformas de coordinación, y además el trabajo conjunto para avanzar en la transferencia del conocimiento y tecnología adecuados a la realidad local. </w:t>
      </w:r>
    </w:p>
    <w:p w14:paraId="64D624CB" w14:textId="77777777" w:rsidR="00533B74" w:rsidRPr="009A27ED" w:rsidRDefault="00533B74" w:rsidP="00533B74">
      <w:pPr>
        <w:pStyle w:val="Prrafodelista"/>
        <w:numPr>
          <w:ilvl w:val="0"/>
          <w:numId w:val="138"/>
        </w:numPr>
        <w:spacing w:before="120" w:after="0" w:line="360" w:lineRule="auto"/>
        <w:ind w:left="714" w:hanging="357"/>
        <w:contextualSpacing w:val="0"/>
        <w:rPr>
          <w:color w:val="222222"/>
          <w:szCs w:val="22"/>
        </w:rPr>
      </w:pPr>
      <w:r w:rsidRPr="009A27ED">
        <w:rPr>
          <w:rFonts w:ascii="Times New Roman" w:eastAsia="Times New Roman" w:hAnsi="Times New Roman"/>
          <w:sz w:val="24"/>
          <w:szCs w:val="22"/>
        </w:rPr>
        <w:t xml:space="preserve">Las Entidades Ejecutoras, advierten sobre la necesidad urgente de fortalecer las </w:t>
      </w:r>
      <w:r w:rsidRPr="009A27ED">
        <w:rPr>
          <w:rFonts w:ascii="Times New Roman" w:eastAsia="Times New Roman" w:hAnsi="Times New Roman"/>
          <w:color w:val="222222"/>
          <w:sz w:val="24"/>
          <w:szCs w:val="22"/>
        </w:rPr>
        <w:t>Direcciones Provinciales, pues son ellas quienes descentralizan el trabajo en el campo, pues es un objetivo no logrado, existe aún demasiada centralización de las acciones en el sector forestal, ganadero, agrícola en la Ciudad, existen necesidades sentidas para cubrir la falta de personal técnico, financiamiento, conocimiento técnico, levantar información, falta de tecnología, movilización, y también la capacitación y personal idóneo para realizar sus funciones, carrera profesional, y los problemas de presupuesto.</w:t>
      </w:r>
    </w:p>
    <w:p w14:paraId="064E59F7" w14:textId="77777777" w:rsidR="00533B74" w:rsidRPr="009A27ED" w:rsidRDefault="00533B74" w:rsidP="00533B74">
      <w:pPr>
        <w:pStyle w:val="Prrafodelista"/>
        <w:numPr>
          <w:ilvl w:val="0"/>
          <w:numId w:val="138"/>
        </w:numPr>
        <w:spacing w:before="120" w:after="0" w:line="360" w:lineRule="auto"/>
        <w:ind w:left="714" w:hanging="357"/>
        <w:contextualSpacing w:val="0"/>
        <w:rPr>
          <w:color w:val="222222"/>
          <w:szCs w:val="22"/>
        </w:rPr>
      </w:pPr>
      <w:r w:rsidRPr="009A27ED">
        <w:rPr>
          <w:rFonts w:ascii="Times New Roman" w:eastAsia="Times New Roman" w:hAnsi="Times New Roman"/>
          <w:sz w:val="24"/>
          <w:szCs w:val="22"/>
        </w:rPr>
        <w:t xml:space="preserve">Existe un pliego de temáticas que deberán ser fortalecidas al interno de las Entidades Ejecutoras, las cuales están asociadas a </w:t>
      </w:r>
      <w:r w:rsidRPr="009A27ED">
        <w:rPr>
          <w:rFonts w:ascii="Times New Roman" w:eastAsia="Times New Roman" w:hAnsi="Times New Roman"/>
          <w:color w:val="222222"/>
          <w:sz w:val="24"/>
          <w:szCs w:val="22"/>
        </w:rPr>
        <w:t xml:space="preserve">estudios puntuales para visibilizar cómo afecta el cambio climático a hombres y mujeres, involucramiento de jóvenes en este compromiso intergeneracional, el cambio de paradigma entre el conocimiento de los jóvenes y la sabiduría de los adultos mayores. </w:t>
      </w:r>
    </w:p>
    <w:p w14:paraId="06DE0085" w14:textId="77777777" w:rsidR="00533B74" w:rsidRPr="009A27ED" w:rsidRDefault="00533B74" w:rsidP="00533B74">
      <w:pPr>
        <w:pStyle w:val="Prrafodelista"/>
        <w:numPr>
          <w:ilvl w:val="0"/>
          <w:numId w:val="138"/>
        </w:numPr>
        <w:spacing w:before="120" w:after="0" w:line="360" w:lineRule="auto"/>
        <w:ind w:left="714" w:hanging="357"/>
        <w:contextualSpacing w:val="0"/>
        <w:rPr>
          <w:szCs w:val="22"/>
        </w:rPr>
      </w:pPr>
      <w:r w:rsidRPr="009A27ED">
        <w:rPr>
          <w:rFonts w:ascii="Times New Roman" w:eastAsia="Times New Roman" w:hAnsi="Times New Roman"/>
          <w:sz w:val="24"/>
          <w:szCs w:val="22"/>
        </w:rPr>
        <w:t xml:space="preserve">En los PMAS, será necesario establecer un listado básico de buenas prácticas para cada actividad tipo REDD+, que sirva de marco para implementar, también, estas buenas prácticas deben integrarse en la ficha de seguimiento y monitoreo, para permitir la evaluación en la implementación de </w:t>
      </w:r>
      <w:proofErr w:type="gramStart"/>
      <w:r w:rsidRPr="009A27ED">
        <w:rPr>
          <w:rFonts w:ascii="Times New Roman" w:eastAsia="Times New Roman" w:hAnsi="Times New Roman"/>
          <w:sz w:val="24"/>
          <w:szCs w:val="22"/>
        </w:rPr>
        <w:t>las mismas</w:t>
      </w:r>
      <w:proofErr w:type="gramEnd"/>
      <w:r w:rsidRPr="009A27ED">
        <w:rPr>
          <w:rFonts w:ascii="Times New Roman" w:eastAsia="Times New Roman" w:hAnsi="Times New Roman"/>
          <w:sz w:val="24"/>
          <w:szCs w:val="22"/>
        </w:rPr>
        <w:t xml:space="preserve">. </w:t>
      </w:r>
    </w:p>
    <w:p w14:paraId="0DC6B31B" w14:textId="77777777" w:rsidR="00533B74" w:rsidRPr="009A27ED" w:rsidRDefault="00533B74" w:rsidP="00533B74">
      <w:pPr>
        <w:pStyle w:val="Prrafodelista"/>
        <w:numPr>
          <w:ilvl w:val="0"/>
          <w:numId w:val="138"/>
        </w:numPr>
        <w:spacing w:before="120" w:after="0" w:line="360" w:lineRule="auto"/>
        <w:ind w:left="714" w:hanging="357"/>
        <w:contextualSpacing w:val="0"/>
        <w:rPr>
          <w:szCs w:val="22"/>
        </w:rPr>
      </w:pPr>
      <w:r w:rsidRPr="009A27ED">
        <w:rPr>
          <w:rFonts w:ascii="Times New Roman" w:eastAsia="Times New Roman" w:hAnsi="Times New Roman"/>
          <w:sz w:val="24"/>
          <w:szCs w:val="22"/>
        </w:rPr>
        <w:t xml:space="preserve">Las EE manifestaron que consideran que el mecanismo REDD+ no es económicamente rentable actualmente y que la implementación será complicada, si no se buscan fuentes de financiamiento complementarias que apoyen la implementación de las acciones y permitan ayudar en los procesos de cambio de paradigma que el país necesita. </w:t>
      </w:r>
    </w:p>
    <w:p w14:paraId="21A25B68" w14:textId="77777777" w:rsidR="00533B74" w:rsidRPr="009A27ED" w:rsidRDefault="00533B74" w:rsidP="00533B74">
      <w:pPr>
        <w:spacing w:line="360" w:lineRule="auto"/>
        <w:rPr>
          <w:szCs w:val="22"/>
        </w:rPr>
      </w:pPr>
    </w:p>
    <w:p w14:paraId="6C9968BD" w14:textId="77777777" w:rsidR="00533B74" w:rsidRPr="009A27ED" w:rsidRDefault="00533B74" w:rsidP="00533B74">
      <w:pPr>
        <w:spacing w:line="360" w:lineRule="auto"/>
        <w:rPr>
          <w:szCs w:val="22"/>
        </w:rPr>
      </w:pPr>
      <w:r w:rsidRPr="009A27ED">
        <w:rPr>
          <w:rFonts w:ascii="Times New Roman" w:eastAsia="Times New Roman" w:hAnsi="Times New Roman"/>
          <w:sz w:val="24"/>
          <w:szCs w:val="22"/>
        </w:rPr>
        <w:t>Algunas recomendaciones a la UTG-REDD+- emanadas de la gira hacia las cinco áreas priorizadas REDD+ en República Dominicana y el Taller con Entidades Ejecutoras, se observan a continuación:</w:t>
      </w:r>
    </w:p>
    <w:p w14:paraId="796A075C" w14:textId="50B7F552" w:rsidR="00DF3AFC" w:rsidRPr="009A27ED" w:rsidRDefault="00DF3AFC" w:rsidP="00DF3AFC">
      <w:pPr>
        <w:pStyle w:val="Descripcin"/>
        <w:keepNext/>
        <w:spacing w:line="360" w:lineRule="auto"/>
      </w:pPr>
      <w:bookmarkStart w:id="336" w:name="_Toc111887465"/>
      <w:r w:rsidRPr="009A27ED">
        <w:rPr>
          <w:rFonts w:ascii="Times New Roman" w:eastAsia="Times New Roman" w:hAnsi="Times New Roman"/>
          <w:sz w:val="24"/>
        </w:rPr>
        <w:t xml:space="preserve">Cuadro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Cuadro \* ARABIC </w:instrText>
      </w:r>
      <w:r w:rsidRPr="009A27ED">
        <w:rPr>
          <w:rFonts w:ascii="Times New Roman" w:eastAsia="Times New Roman" w:hAnsi="Times New Roman"/>
          <w:sz w:val="24"/>
        </w:rPr>
        <w:fldChar w:fldCharType="separate"/>
      </w:r>
      <w:r w:rsidRPr="009A27ED">
        <w:rPr>
          <w:rFonts w:ascii="Times New Roman" w:eastAsia="Times New Roman" w:hAnsi="Times New Roman"/>
          <w:noProof/>
          <w:sz w:val="24"/>
        </w:rPr>
        <w:t>55</w:t>
      </w:r>
      <w:r w:rsidRPr="009A27ED">
        <w:rPr>
          <w:rFonts w:ascii="Times New Roman" w:eastAsia="Times New Roman" w:hAnsi="Times New Roman"/>
          <w:sz w:val="24"/>
        </w:rPr>
        <w:fldChar w:fldCharType="end"/>
      </w:r>
      <w:r w:rsidRPr="009A27ED">
        <w:rPr>
          <w:rFonts w:ascii="Times New Roman" w:eastAsia="Times New Roman" w:hAnsi="Times New Roman"/>
          <w:sz w:val="24"/>
        </w:rPr>
        <w:t>. Recomendaciones emanadas y dadas a la UTG-REDD+ por parte de las Entidades Ejecutoras y actores claves en procesos de contactos y talleres</w:t>
      </w:r>
      <w:bookmarkEnd w:id="336"/>
    </w:p>
    <w:tbl>
      <w:tblPr>
        <w:tblW w:w="10060" w:type="dxa"/>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CellMar>
          <w:left w:w="0" w:type="dxa"/>
          <w:right w:w="0" w:type="dxa"/>
        </w:tblCellMar>
        <w:tblLook w:val="04A0" w:firstRow="1" w:lastRow="0" w:firstColumn="1" w:lastColumn="0" w:noHBand="0" w:noVBand="1"/>
      </w:tblPr>
      <w:tblGrid>
        <w:gridCol w:w="2830"/>
        <w:gridCol w:w="7230"/>
      </w:tblGrid>
      <w:tr w:rsidR="00533B74" w:rsidRPr="009A27ED" w14:paraId="640DD38A" w14:textId="77777777" w:rsidTr="00562F95">
        <w:tc>
          <w:tcPr>
            <w:tcW w:w="2830" w:type="dxa"/>
            <w:shd w:val="clear" w:color="auto" w:fill="2E74B5"/>
            <w:tcMar>
              <w:top w:w="0" w:type="dxa"/>
              <w:left w:w="108" w:type="dxa"/>
              <w:bottom w:w="0" w:type="dxa"/>
              <w:right w:w="108" w:type="dxa"/>
            </w:tcMar>
            <w:hideMark/>
          </w:tcPr>
          <w:p w14:paraId="54541132" w14:textId="77777777" w:rsidR="00533B74" w:rsidRPr="009A27ED" w:rsidRDefault="00533B74" w:rsidP="00562F95">
            <w:pPr>
              <w:spacing w:after="0"/>
              <w:jc w:val="center"/>
              <w:rPr>
                <w:rFonts w:eastAsia="Times New Roman"/>
                <w:color w:val="000000"/>
                <w:sz w:val="20"/>
                <w:szCs w:val="20"/>
                <w:lang w:val="es-GT"/>
              </w:rPr>
            </w:pPr>
            <w:r w:rsidRPr="009A27ED">
              <w:rPr>
                <w:rFonts w:eastAsia="Times New Roman"/>
                <w:b/>
                <w:bCs/>
                <w:color w:val="FFFFFF"/>
                <w:sz w:val="20"/>
                <w:szCs w:val="20"/>
              </w:rPr>
              <w:t>Temática</w:t>
            </w:r>
          </w:p>
          <w:p w14:paraId="382492CA" w14:textId="77777777" w:rsidR="00533B74" w:rsidRPr="009A27ED" w:rsidRDefault="00533B74" w:rsidP="00562F95">
            <w:pPr>
              <w:spacing w:after="0"/>
              <w:jc w:val="center"/>
              <w:rPr>
                <w:rFonts w:eastAsia="Times New Roman"/>
                <w:color w:val="000000"/>
                <w:sz w:val="20"/>
                <w:szCs w:val="20"/>
                <w:lang w:val="es-GT"/>
              </w:rPr>
            </w:pPr>
            <w:r w:rsidRPr="009A27ED">
              <w:rPr>
                <w:rFonts w:eastAsia="Times New Roman"/>
                <w:b/>
                <w:bCs/>
                <w:color w:val="FFFFFF"/>
                <w:sz w:val="20"/>
                <w:szCs w:val="20"/>
              </w:rPr>
              <w:t> </w:t>
            </w:r>
          </w:p>
        </w:tc>
        <w:tc>
          <w:tcPr>
            <w:tcW w:w="7230" w:type="dxa"/>
            <w:shd w:val="clear" w:color="auto" w:fill="2E74B5"/>
            <w:tcMar>
              <w:top w:w="0" w:type="dxa"/>
              <w:left w:w="108" w:type="dxa"/>
              <w:bottom w:w="0" w:type="dxa"/>
              <w:right w:w="108" w:type="dxa"/>
            </w:tcMar>
            <w:hideMark/>
          </w:tcPr>
          <w:p w14:paraId="6E20313D" w14:textId="77777777" w:rsidR="00533B74" w:rsidRPr="009A27ED" w:rsidRDefault="00533B74" w:rsidP="00562F95">
            <w:pPr>
              <w:spacing w:after="0"/>
              <w:jc w:val="center"/>
              <w:rPr>
                <w:rFonts w:eastAsia="Times New Roman"/>
                <w:color w:val="000000"/>
                <w:sz w:val="20"/>
                <w:szCs w:val="20"/>
                <w:lang w:val="es-GT"/>
              </w:rPr>
            </w:pPr>
            <w:r w:rsidRPr="009A27ED">
              <w:rPr>
                <w:rFonts w:eastAsia="Times New Roman"/>
                <w:b/>
                <w:bCs/>
                <w:color w:val="FFFFFF"/>
                <w:sz w:val="20"/>
                <w:szCs w:val="20"/>
              </w:rPr>
              <w:t>Consideraciones y percepciones relevantes</w:t>
            </w:r>
          </w:p>
        </w:tc>
      </w:tr>
      <w:tr w:rsidR="00533B74" w:rsidRPr="009A27ED" w14:paraId="3BE577F9" w14:textId="77777777" w:rsidTr="00562F95">
        <w:tc>
          <w:tcPr>
            <w:tcW w:w="2830" w:type="dxa"/>
            <w:tcMar>
              <w:top w:w="0" w:type="dxa"/>
              <w:left w:w="108" w:type="dxa"/>
              <w:bottom w:w="0" w:type="dxa"/>
              <w:right w:w="108" w:type="dxa"/>
            </w:tcMar>
            <w:hideMark/>
          </w:tcPr>
          <w:p w14:paraId="01794202" w14:textId="77777777" w:rsidR="00533B74" w:rsidRPr="009A27ED" w:rsidRDefault="00533B74" w:rsidP="00562F95">
            <w:pPr>
              <w:spacing w:after="0"/>
              <w:rPr>
                <w:rFonts w:eastAsia="Times New Roman"/>
                <w:color w:val="000000"/>
                <w:sz w:val="20"/>
                <w:szCs w:val="20"/>
                <w:lang w:val="es-GT"/>
              </w:rPr>
            </w:pPr>
            <w:r w:rsidRPr="009A27ED">
              <w:rPr>
                <w:rFonts w:eastAsia="Times New Roman"/>
                <w:color w:val="000000"/>
                <w:sz w:val="20"/>
                <w:szCs w:val="20"/>
              </w:rPr>
              <w:lastRenderedPageBreak/>
              <w:t>Gobernanza</w:t>
            </w:r>
          </w:p>
        </w:tc>
        <w:tc>
          <w:tcPr>
            <w:tcW w:w="7230" w:type="dxa"/>
            <w:tcMar>
              <w:top w:w="0" w:type="dxa"/>
              <w:left w:w="108" w:type="dxa"/>
              <w:bottom w:w="0" w:type="dxa"/>
              <w:right w:w="108" w:type="dxa"/>
            </w:tcMar>
            <w:hideMark/>
          </w:tcPr>
          <w:p w14:paraId="23E5F748" w14:textId="77777777" w:rsidR="00533B74" w:rsidRPr="009A27ED" w:rsidRDefault="00533B74" w:rsidP="00562F95">
            <w:pPr>
              <w:pStyle w:val="Prrafodelista"/>
              <w:numPr>
                <w:ilvl w:val="0"/>
                <w:numId w:val="139"/>
              </w:numPr>
              <w:spacing w:before="100" w:beforeAutospacing="1" w:after="100" w:afterAutospacing="1" w:line="240" w:lineRule="auto"/>
              <w:rPr>
                <w:rFonts w:eastAsia="Times New Roman"/>
                <w:color w:val="000000"/>
                <w:sz w:val="20"/>
                <w:szCs w:val="20"/>
              </w:rPr>
            </w:pPr>
            <w:r w:rsidRPr="009A27ED">
              <w:rPr>
                <w:rFonts w:eastAsia="Times New Roman"/>
                <w:color w:val="000000"/>
                <w:sz w:val="20"/>
                <w:szCs w:val="20"/>
              </w:rPr>
              <w:t>Será necesario que, en las áreas priorizadas, se defina un marco de gobernanza de los recursos naturales, es claro que la organización existe, pero las plataformas de coordinación en cada área deberán ser fortalecidas para REDD+.</w:t>
            </w:r>
          </w:p>
          <w:p w14:paraId="484C539B" w14:textId="77777777" w:rsidR="00533B74" w:rsidRPr="009A27ED" w:rsidRDefault="00533B74" w:rsidP="00562F95">
            <w:pPr>
              <w:pStyle w:val="Prrafodelista"/>
              <w:numPr>
                <w:ilvl w:val="0"/>
                <w:numId w:val="139"/>
              </w:numPr>
              <w:spacing w:before="100" w:beforeAutospacing="1" w:after="100" w:afterAutospacing="1" w:line="240" w:lineRule="auto"/>
              <w:rPr>
                <w:rFonts w:eastAsia="Times New Roman"/>
                <w:color w:val="000000"/>
                <w:sz w:val="20"/>
                <w:szCs w:val="20"/>
              </w:rPr>
            </w:pPr>
            <w:r w:rsidRPr="009A27ED">
              <w:rPr>
                <w:rFonts w:eastAsia="Times New Roman"/>
                <w:color w:val="000000"/>
                <w:sz w:val="20"/>
                <w:szCs w:val="20"/>
              </w:rPr>
              <w:t>Se refleja una dispersión en el rol de las instituciones a nivel territorial y su nivel de incidencia es débil.</w:t>
            </w:r>
          </w:p>
          <w:p w14:paraId="33304D78" w14:textId="77777777" w:rsidR="00533B74" w:rsidRPr="009A27ED" w:rsidRDefault="00533B74" w:rsidP="00562F95">
            <w:pPr>
              <w:pStyle w:val="Prrafodelista"/>
              <w:numPr>
                <w:ilvl w:val="0"/>
                <w:numId w:val="139"/>
              </w:numPr>
              <w:spacing w:before="100" w:beforeAutospacing="1" w:after="100" w:afterAutospacing="1" w:line="240" w:lineRule="auto"/>
              <w:rPr>
                <w:rFonts w:eastAsia="Times New Roman"/>
                <w:color w:val="000000"/>
                <w:sz w:val="20"/>
                <w:szCs w:val="20"/>
              </w:rPr>
            </w:pPr>
            <w:r w:rsidRPr="009A27ED">
              <w:rPr>
                <w:rFonts w:eastAsia="Times New Roman"/>
                <w:color w:val="000000"/>
                <w:sz w:val="20"/>
                <w:szCs w:val="20"/>
              </w:rPr>
              <w:t>Será conveniente apoyar esfuerzos institucionales para promover espacios de participación de diversos sectores productivos con actores vinculados al uso y aprovechamiento de los recursos forestales.</w:t>
            </w:r>
          </w:p>
          <w:p w14:paraId="5F18C2D1" w14:textId="77777777" w:rsidR="00533B74" w:rsidRPr="009A27ED" w:rsidRDefault="00533B74" w:rsidP="00562F95">
            <w:pPr>
              <w:pStyle w:val="Prrafodelista"/>
              <w:numPr>
                <w:ilvl w:val="0"/>
                <w:numId w:val="139"/>
              </w:numPr>
              <w:spacing w:after="0" w:line="240" w:lineRule="auto"/>
              <w:rPr>
                <w:rFonts w:eastAsia="Palatino Linotype"/>
                <w:color w:val="000000" w:themeColor="text1"/>
                <w:sz w:val="20"/>
                <w:szCs w:val="20"/>
              </w:rPr>
            </w:pPr>
            <w:r w:rsidRPr="009A27ED">
              <w:rPr>
                <w:rFonts w:eastAsia="Palatino Linotype"/>
                <w:color w:val="000000" w:themeColor="text1"/>
                <w:sz w:val="20"/>
                <w:szCs w:val="20"/>
              </w:rPr>
              <w:t xml:space="preserve">Debe mejorarse la coordinación interinstitucional a nivel de </w:t>
            </w:r>
            <w:proofErr w:type="gramStart"/>
            <w:r w:rsidRPr="009A27ED">
              <w:rPr>
                <w:rFonts w:eastAsia="Palatino Linotype"/>
                <w:color w:val="000000" w:themeColor="text1"/>
                <w:sz w:val="20"/>
                <w:szCs w:val="20"/>
              </w:rPr>
              <w:t>Ministros</w:t>
            </w:r>
            <w:proofErr w:type="gramEnd"/>
            <w:r w:rsidRPr="009A27ED">
              <w:rPr>
                <w:rFonts w:eastAsia="Palatino Linotype"/>
                <w:color w:val="000000" w:themeColor="text1"/>
                <w:sz w:val="20"/>
                <w:szCs w:val="20"/>
              </w:rPr>
              <w:t xml:space="preserve"> de Ambiente, Agricultura, Economía, Educación, Desarrollo Fronterizo y a nivel provincial, pues es un proceso ambicioso que necesita del consenso y el trabajo conjunto.</w:t>
            </w:r>
          </w:p>
          <w:p w14:paraId="53F6BE0A" w14:textId="77777777" w:rsidR="00533B74" w:rsidRPr="009A27ED" w:rsidRDefault="00533B74" w:rsidP="00562F95">
            <w:pPr>
              <w:numPr>
                <w:ilvl w:val="0"/>
                <w:numId w:val="139"/>
              </w:numPr>
              <w:spacing w:before="100" w:beforeAutospacing="1" w:after="100" w:afterAutospacing="1"/>
              <w:rPr>
                <w:color w:val="000000"/>
                <w:sz w:val="20"/>
                <w:szCs w:val="20"/>
              </w:rPr>
            </w:pPr>
            <w:r w:rsidRPr="009A27ED">
              <w:rPr>
                <w:color w:val="000000"/>
                <w:sz w:val="20"/>
                <w:szCs w:val="20"/>
              </w:rPr>
              <w:t>Es fundamental establecer en cada área priorizada una plataforma de gobernanza que favorezca la coordinación interinstitucional y guía las líneas de acción y las buenas prácticas a nivel local.</w:t>
            </w:r>
          </w:p>
        </w:tc>
      </w:tr>
      <w:tr w:rsidR="00533B74" w:rsidRPr="009A27ED" w14:paraId="18946F6A" w14:textId="77777777" w:rsidTr="00562F95">
        <w:tc>
          <w:tcPr>
            <w:tcW w:w="2830" w:type="dxa"/>
            <w:tcMar>
              <w:top w:w="0" w:type="dxa"/>
              <w:left w:w="108" w:type="dxa"/>
              <w:bottom w:w="0" w:type="dxa"/>
              <w:right w:w="108" w:type="dxa"/>
            </w:tcMar>
            <w:hideMark/>
          </w:tcPr>
          <w:p w14:paraId="6D386C56" w14:textId="77777777" w:rsidR="00533B74" w:rsidRPr="009A27ED" w:rsidRDefault="00533B74" w:rsidP="00562F95">
            <w:pPr>
              <w:spacing w:after="0"/>
              <w:rPr>
                <w:rFonts w:eastAsia="Times New Roman"/>
                <w:color w:val="000000"/>
                <w:sz w:val="20"/>
                <w:szCs w:val="20"/>
                <w:lang w:val="es-GT"/>
              </w:rPr>
            </w:pPr>
            <w:r w:rsidRPr="009A27ED">
              <w:rPr>
                <w:rFonts w:eastAsia="Times New Roman"/>
                <w:color w:val="000000"/>
                <w:sz w:val="20"/>
                <w:szCs w:val="20"/>
              </w:rPr>
              <w:t>Técnicas y buenas prácticas</w:t>
            </w:r>
          </w:p>
        </w:tc>
        <w:tc>
          <w:tcPr>
            <w:tcW w:w="7230" w:type="dxa"/>
            <w:tcMar>
              <w:top w:w="0" w:type="dxa"/>
              <w:left w:w="108" w:type="dxa"/>
              <w:bottom w:w="0" w:type="dxa"/>
              <w:right w:w="108" w:type="dxa"/>
            </w:tcMar>
            <w:hideMark/>
          </w:tcPr>
          <w:p w14:paraId="28A11A20" w14:textId="77777777" w:rsidR="00533B74" w:rsidRPr="009A27ED" w:rsidRDefault="00533B74" w:rsidP="00562F95">
            <w:pPr>
              <w:pStyle w:val="Prrafodelista"/>
              <w:numPr>
                <w:ilvl w:val="0"/>
                <w:numId w:val="140"/>
              </w:numPr>
              <w:spacing w:before="100" w:beforeAutospacing="1" w:after="100" w:afterAutospacing="1" w:line="240" w:lineRule="auto"/>
              <w:rPr>
                <w:rFonts w:eastAsia="Times New Roman"/>
                <w:color w:val="000000"/>
                <w:sz w:val="20"/>
                <w:szCs w:val="20"/>
              </w:rPr>
            </w:pPr>
            <w:r w:rsidRPr="009A27ED">
              <w:rPr>
                <w:rFonts w:eastAsia="Times New Roman"/>
                <w:color w:val="000000"/>
                <w:sz w:val="20"/>
                <w:szCs w:val="20"/>
              </w:rPr>
              <w:t>En todos los sistemas productivos representados en los distintos talleres territoriales, se expusieron buenas prácticas, sin embargo, no se visualiza un esfuerzo de sistematización y replica de estos. Habrá que trabajar de manera conjunta, para que los esfuerzos de sistematización se documenten, socialicen y se repliquen, algunos de esos esfuerzos con apreciados por muchos actores (Plan Sierra, por ejemplo).</w:t>
            </w:r>
          </w:p>
          <w:p w14:paraId="47741345" w14:textId="77777777" w:rsidR="00533B74" w:rsidRPr="009A27ED" w:rsidRDefault="00533B74" w:rsidP="00562F95">
            <w:pPr>
              <w:pStyle w:val="Prrafodelista"/>
              <w:numPr>
                <w:ilvl w:val="0"/>
                <w:numId w:val="140"/>
              </w:numPr>
              <w:spacing w:before="100" w:beforeAutospacing="1" w:after="100" w:afterAutospacing="1" w:line="240" w:lineRule="auto"/>
              <w:rPr>
                <w:rFonts w:eastAsia="Times New Roman"/>
                <w:color w:val="000000"/>
                <w:sz w:val="20"/>
                <w:szCs w:val="20"/>
              </w:rPr>
            </w:pPr>
            <w:r w:rsidRPr="009A27ED">
              <w:rPr>
                <w:rFonts w:eastAsia="Times New Roman"/>
                <w:color w:val="000000"/>
                <w:sz w:val="20"/>
                <w:szCs w:val="20"/>
              </w:rPr>
              <w:t>Las buenas prácticas identificadas generalmente tienen un énfasis en la productividad, en muy pocas ocasiones éstas están orientadas bajo un enfoque de sostenibilidad ambiental.</w:t>
            </w:r>
          </w:p>
          <w:p w14:paraId="4B140925" w14:textId="77777777" w:rsidR="00533B74" w:rsidRPr="009A27ED" w:rsidRDefault="00533B74" w:rsidP="00562F95">
            <w:pPr>
              <w:pStyle w:val="Prrafodelista"/>
              <w:numPr>
                <w:ilvl w:val="0"/>
                <w:numId w:val="140"/>
              </w:numPr>
              <w:spacing w:before="100" w:beforeAutospacing="1" w:after="100" w:afterAutospacing="1" w:line="240" w:lineRule="auto"/>
              <w:rPr>
                <w:rFonts w:eastAsia="Times New Roman"/>
                <w:color w:val="000000"/>
                <w:sz w:val="20"/>
                <w:szCs w:val="20"/>
              </w:rPr>
            </w:pPr>
            <w:r w:rsidRPr="009A27ED">
              <w:rPr>
                <w:rFonts w:eastAsia="Times New Roman"/>
                <w:color w:val="000000"/>
                <w:sz w:val="20"/>
                <w:szCs w:val="20"/>
              </w:rPr>
              <w:t>Hay una percepción generalizada de los productores de que hace falta acompañamiento de las instituciones gubernamentales para fomentar acciones de restauración y aumento de la cobertura forestal, articuladas a los medios de vida de la población.</w:t>
            </w:r>
          </w:p>
          <w:p w14:paraId="5AAFAA6E" w14:textId="77777777" w:rsidR="00533B74" w:rsidRPr="009A27ED" w:rsidRDefault="00533B74" w:rsidP="00562F95">
            <w:pPr>
              <w:pStyle w:val="Prrafodelista"/>
              <w:numPr>
                <w:ilvl w:val="0"/>
                <w:numId w:val="140"/>
              </w:numPr>
              <w:spacing w:after="0" w:line="240" w:lineRule="auto"/>
              <w:rPr>
                <w:rFonts w:eastAsia="Palatino Linotype"/>
                <w:color w:val="000000" w:themeColor="text1"/>
                <w:sz w:val="20"/>
                <w:szCs w:val="20"/>
              </w:rPr>
            </w:pPr>
            <w:r w:rsidRPr="009A27ED">
              <w:rPr>
                <w:rFonts w:eastAsia="Palatino Linotype"/>
                <w:color w:val="000000" w:themeColor="text1"/>
                <w:sz w:val="20"/>
                <w:szCs w:val="20"/>
              </w:rPr>
              <w:t xml:space="preserve">Existe una preocupación generalizada sobre la potencial duplicidad de esfuerzos alrededor de REDD+ y otros proyectos en ejecución o por llegar al país, se insistió en la necesidad de coordinar e informar sobre lo que ocurre para logra una optimización en el uso de los recursos. </w:t>
            </w:r>
          </w:p>
          <w:p w14:paraId="202A1D92" w14:textId="77777777" w:rsidR="00533B74" w:rsidRPr="009A27ED" w:rsidRDefault="00533B74" w:rsidP="00562F95">
            <w:pPr>
              <w:numPr>
                <w:ilvl w:val="0"/>
                <w:numId w:val="140"/>
              </w:numPr>
              <w:spacing w:before="100" w:beforeAutospacing="1" w:after="100" w:afterAutospacing="1"/>
              <w:rPr>
                <w:color w:val="000000"/>
                <w:sz w:val="20"/>
                <w:szCs w:val="20"/>
                <w:lang w:val="es-GT"/>
              </w:rPr>
            </w:pPr>
            <w:r w:rsidRPr="009A27ED">
              <w:rPr>
                <w:color w:val="000000"/>
                <w:sz w:val="20"/>
                <w:szCs w:val="20"/>
              </w:rPr>
              <w:t>Es fundamental que los proyectos y sistemas puedan revisar sus técnicas y establecer un marco de buenas prácticas en el marco de REDD+, al establecimiento de un listado de especies nativas y endémicas a generar en los viveros municipales, acorde a los ecosistemas del área.</w:t>
            </w:r>
          </w:p>
          <w:p w14:paraId="0ABD3B31" w14:textId="77777777" w:rsidR="00533B74" w:rsidRPr="009A27ED" w:rsidRDefault="00533B74" w:rsidP="00562F95">
            <w:pPr>
              <w:numPr>
                <w:ilvl w:val="0"/>
                <w:numId w:val="140"/>
              </w:numPr>
              <w:spacing w:before="100" w:beforeAutospacing="1" w:after="100" w:afterAutospacing="1"/>
              <w:rPr>
                <w:rFonts w:ascii="Helvetica" w:hAnsi="Helvetica"/>
                <w:color w:val="000000"/>
                <w:sz w:val="20"/>
                <w:szCs w:val="20"/>
              </w:rPr>
            </w:pPr>
            <w:r w:rsidRPr="009A27ED">
              <w:rPr>
                <w:color w:val="000000"/>
                <w:sz w:val="20"/>
                <w:szCs w:val="20"/>
              </w:rPr>
              <w:t>Se deben priorizar los estudios fitosanitarios tanto de semillas a introducir en programas y sistemas nacionales, como la atención a la prevención y manejo de plagas de especies de especies nativas forestales y frutales.</w:t>
            </w:r>
            <w:r w:rsidRPr="009A27ED">
              <w:rPr>
                <w:rStyle w:val="apple-converted-space"/>
                <w:rFonts w:ascii="Arial" w:hAnsi="Arial" w:cs="Arial"/>
                <w:color w:val="000000"/>
                <w:sz w:val="20"/>
                <w:szCs w:val="20"/>
              </w:rPr>
              <w:t> </w:t>
            </w:r>
          </w:p>
        </w:tc>
      </w:tr>
      <w:tr w:rsidR="00533B74" w:rsidRPr="009A27ED" w14:paraId="2E792C62" w14:textId="77777777" w:rsidTr="00562F95">
        <w:tc>
          <w:tcPr>
            <w:tcW w:w="2830" w:type="dxa"/>
            <w:tcMar>
              <w:top w:w="0" w:type="dxa"/>
              <w:left w:w="108" w:type="dxa"/>
              <w:bottom w:w="0" w:type="dxa"/>
              <w:right w:w="108" w:type="dxa"/>
            </w:tcMar>
            <w:hideMark/>
          </w:tcPr>
          <w:p w14:paraId="1182FA38" w14:textId="77777777" w:rsidR="00533B74" w:rsidRPr="009A27ED" w:rsidRDefault="00533B74" w:rsidP="00562F95">
            <w:pPr>
              <w:spacing w:after="0"/>
              <w:rPr>
                <w:rFonts w:eastAsia="Times New Roman"/>
                <w:color w:val="000000"/>
                <w:sz w:val="20"/>
                <w:szCs w:val="20"/>
                <w:lang w:val="es-GT"/>
              </w:rPr>
            </w:pPr>
            <w:r w:rsidRPr="009A27ED">
              <w:rPr>
                <w:rFonts w:eastAsia="Times New Roman"/>
                <w:color w:val="000000"/>
                <w:sz w:val="20"/>
                <w:szCs w:val="20"/>
              </w:rPr>
              <w:t>Pertinencia cultural, consideraciones de género </w:t>
            </w:r>
          </w:p>
        </w:tc>
        <w:tc>
          <w:tcPr>
            <w:tcW w:w="7230" w:type="dxa"/>
            <w:tcMar>
              <w:top w:w="0" w:type="dxa"/>
              <w:left w:w="108" w:type="dxa"/>
              <w:bottom w:w="0" w:type="dxa"/>
              <w:right w:w="108" w:type="dxa"/>
            </w:tcMar>
            <w:hideMark/>
          </w:tcPr>
          <w:p w14:paraId="68C5FF79" w14:textId="77777777" w:rsidR="00533B74" w:rsidRPr="009A27ED" w:rsidRDefault="00533B74" w:rsidP="00562F95">
            <w:pPr>
              <w:pStyle w:val="Prrafodelista"/>
              <w:numPr>
                <w:ilvl w:val="0"/>
                <w:numId w:val="141"/>
              </w:numPr>
              <w:spacing w:before="100" w:beforeAutospacing="1" w:after="100" w:afterAutospacing="1" w:line="240" w:lineRule="auto"/>
              <w:rPr>
                <w:rFonts w:eastAsia="Times New Roman"/>
                <w:color w:val="000000"/>
                <w:sz w:val="20"/>
                <w:szCs w:val="20"/>
              </w:rPr>
            </w:pPr>
            <w:r w:rsidRPr="009A27ED">
              <w:rPr>
                <w:rFonts w:eastAsia="Times New Roman"/>
                <w:color w:val="000000"/>
                <w:sz w:val="20"/>
                <w:szCs w:val="20"/>
              </w:rPr>
              <w:t>En términos de participación efectiva de la mujer existen muy pocos espacios y condiciones para su desarrollo.</w:t>
            </w:r>
          </w:p>
          <w:p w14:paraId="0EE6A997" w14:textId="77777777" w:rsidR="00533B74" w:rsidRPr="009A27ED" w:rsidRDefault="00533B74" w:rsidP="00562F95">
            <w:pPr>
              <w:pStyle w:val="Prrafodelista"/>
              <w:numPr>
                <w:ilvl w:val="0"/>
                <w:numId w:val="141"/>
              </w:numPr>
              <w:spacing w:before="100" w:beforeAutospacing="1" w:after="100" w:afterAutospacing="1" w:line="240" w:lineRule="auto"/>
              <w:rPr>
                <w:rFonts w:eastAsia="Times New Roman"/>
                <w:color w:val="000000"/>
                <w:sz w:val="20"/>
                <w:szCs w:val="20"/>
              </w:rPr>
            </w:pPr>
            <w:r w:rsidRPr="009A27ED">
              <w:rPr>
                <w:rFonts w:eastAsia="Times New Roman"/>
                <w:color w:val="000000"/>
                <w:sz w:val="20"/>
                <w:szCs w:val="20"/>
              </w:rPr>
              <w:t>Algunos de los esfuerzos de organización locales donde se promueven los derechos de la mujer, requieren un mayor acompañamiento de las instituciones públicas para potenciar las capacidades locales en términos de mejorar las condiciones de vida de las mujeres.</w:t>
            </w:r>
          </w:p>
          <w:p w14:paraId="4204B729" w14:textId="77777777" w:rsidR="00533B74" w:rsidRPr="009A27ED" w:rsidRDefault="00533B74" w:rsidP="00562F95">
            <w:pPr>
              <w:pStyle w:val="Prrafodelista"/>
              <w:numPr>
                <w:ilvl w:val="0"/>
                <w:numId w:val="141"/>
              </w:numPr>
              <w:spacing w:before="100" w:beforeAutospacing="1" w:after="100" w:afterAutospacing="1" w:line="240" w:lineRule="auto"/>
              <w:rPr>
                <w:rFonts w:eastAsia="Times New Roman"/>
                <w:color w:val="000000"/>
                <w:sz w:val="20"/>
                <w:szCs w:val="20"/>
              </w:rPr>
            </w:pPr>
            <w:r w:rsidRPr="009A27ED">
              <w:rPr>
                <w:rFonts w:eastAsia="Times New Roman"/>
                <w:color w:val="000000"/>
                <w:sz w:val="20"/>
                <w:szCs w:val="20"/>
              </w:rPr>
              <w:t>El planteamiento de los participantes respecto a los programas y proyectos es que se garantice el respeto de las costumbres locales en el desarrollar las actividades que se van a ejecutar dentro de REDD+</w:t>
            </w:r>
          </w:p>
          <w:p w14:paraId="49F3674D" w14:textId="77777777" w:rsidR="00533B74" w:rsidRPr="009A27ED" w:rsidRDefault="00533B74" w:rsidP="00562F95">
            <w:pPr>
              <w:pStyle w:val="Prrafodelista"/>
              <w:numPr>
                <w:ilvl w:val="0"/>
                <w:numId w:val="141"/>
              </w:numPr>
              <w:spacing w:before="100" w:beforeAutospacing="1" w:after="100" w:afterAutospacing="1" w:line="240" w:lineRule="auto"/>
              <w:rPr>
                <w:rFonts w:eastAsia="Times New Roman"/>
                <w:color w:val="000000"/>
                <w:sz w:val="20"/>
                <w:szCs w:val="20"/>
              </w:rPr>
            </w:pPr>
            <w:r w:rsidRPr="009A27ED">
              <w:rPr>
                <w:rFonts w:eastAsia="Palatino Linotype"/>
                <w:color w:val="000000" w:themeColor="text1"/>
                <w:sz w:val="20"/>
                <w:szCs w:val="20"/>
              </w:rPr>
              <w:t xml:space="preserve">Aprovechar el esfuerzo y los resultados que ha generado REDD+ para el país en la etapa de preparación, para retomar algunas iniciativas exitosas en el país y sus </w:t>
            </w:r>
            <w:r w:rsidRPr="009A27ED">
              <w:rPr>
                <w:rFonts w:eastAsia="Palatino Linotype"/>
                <w:color w:val="000000" w:themeColor="text1"/>
                <w:sz w:val="20"/>
                <w:szCs w:val="20"/>
              </w:rPr>
              <w:lastRenderedPageBreak/>
              <w:t>regiones, durante los talleres territoriales se observó la disposición que aún tienen los socios locales, para avanzar en términos de compartir la responsabilidad en la conservación de los recursos naturales, la diversidad biológica y la vida humana.</w:t>
            </w:r>
          </w:p>
          <w:p w14:paraId="19CED2C9" w14:textId="77777777" w:rsidR="00533B74" w:rsidRPr="009A27ED" w:rsidRDefault="00533B74" w:rsidP="00562F95">
            <w:pPr>
              <w:numPr>
                <w:ilvl w:val="0"/>
                <w:numId w:val="141"/>
              </w:numPr>
              <w:spacing w:before="100" w:beforeAutospacing="1" w:after="100" w:afterAutospacing="1"/>
              <w:rPr>
                <w:color w:val="000000"/>
                <w:sz w:val="20"/>
                <w:szCs w:val="20"/>
                <w:lang w:val="es-GT"/>
              </w:rPr>
            </w:pPr>
            <w:r w:rsidRPr="009A27ED">
              <w:rPr>
                <w:color w:val="000000"/>
                <w:sz w:val="20"/>
                <w:szCs w:val="20"/>
              </w:rPr>
              <w:t xml:space="preserve">El conocimiento de los locales y la pertinencia cultural son </w:t>
            </w:r>
            <w:proofErr w:type="gramStart"/>
            <w:r w:rsidRPr="009A27ED">
              <w:rPr>
                <w:color w:val="000000"/>
                <w:sz w:val="20"/>
                <w:szCs w:val="20"/>
              </w:rPr>
              <w:t>ejes cruciales</w:t>
            </w:r>
            <w:r w:rsidRPr="009A27ED">
              <w:rPr>
                <w:rStyle w:val="apple-converted-space"/>
                <w:color w:val="000000"/>
                <w:sz w:val="20"/>
                <w:szCs w:val="20"/>
              </w:rPr>
              <w:t> </w:t>
            </w:r>
            <w:r w:rsidRPr="009A27ED">
              <w:rPr>
                <w:color w:val="000000"/>
                <w:sz w:val="20"/>
                <w:szCs w:val="20"/>
              </w:rPr>
              <w:t>a considerar</w:t>
            </w:r>
            <w:proofErr w:type="gramEnd"/>
            <w:r w:rsidRPr="009A27ED">
              <w:rPr>
                <w:color w:val="000000"/>
                <w:sz w:val="20"/>
                <w:szCs w:val="20"/>
              </w:rPr>
              <w:t xml:space="preserve"> en los programas y proyectos que se ejecutan actualmente, estos conocimientos complementan la</w:t>
            </w:r>
            <w:r w:rsidRPr="009A27ED">
              <w:rPr>
                <w:rStyle w:val="apple-converted-space"/>
                <w:color w:val="000000"/>
                <w:sz w:val="20"/>
                <w:szCs w:val="20"/>
              </w:rPr>
              <w:t> </w:t>
            </w:r>
            <w:r w:rsidRPr="009A27ED">
              <w:rPr>
                <w:color w:val="000000"/>
                <w:sz w:val="20"/>
                <w:szCs w:val="20"/>
              </w:rPr>
              <w:t>implementación de buenas prácticas  y la implementación de acciones basadas en conservación.</w:t>
            </w:r>
            <w:r w:rsidRPr="009A27ED">
              <w:rPr>
                <w:rStyle w:val="apple-converted-space"/>
                <w:color w:val="000000"/>
                <w:sz w:val="20"/>
                <w:szCs w:val="20"/>
              </w:rPr>
              <w:t> </w:t>
            </w:r>
          </w:p>
        </w:tc>
      </w:tr>
      <w:tr w:rsidR="00533B74" w:rsidRPr="009A27ED" w14:paraId="0F44719A" w14:textId="77777777" w:rsidTr="00562F95">
        <w:tc>
          <w:tcPr>
            <w:tcW w:w="2830" w:type="dxa"/>
            <w:tcMar>
              <w:top w:w="0" w:type="dxa"/>
              <w:left w:w="108" w:type="dxa"/>
              <w:bottom w:w="0" w:type="dxa"/>
              <w:right w:w="108" w:type="dxa"/>
            </w:tcMar>
            <w:hideMark/>
          </w:tcPr>
          <w:p w14:paraId="79A86A63" w14:textId="77777777" w:rsidR="00533B74" w:rsidRPr="009A27ED" w:rsidRDefault="00533B74" w:rsidP="00562F95">
            <w:pPr>
              <w:spacing w:after="0"/>
              <w:rPr>
                <w:rFonts w:eastAsia="Times New Roman"/>
                <w:color w:val="000000"/>
                <w:sz w:val="20"/>
                <w:szCs w:val="20"/>
                <w:lang w:val="es-GT"/>
              </w:rPr>
            </w:pPr>
            <w:r w:rsidRPr="009A27ED">
              <w:rPr>
                <w:rFonts w:eastAsia="Times New Roman"/>
                <w:color w:val="000000"/>
                <w:sz w:val="20"/>
                <w:szCs w:val="20"/>
              </w:rPr>
              <w:t>Medidas de mitigación</w:t>
            </w:r>
          </w:p>
        </w:tc>
        <w:tc>
          <w:tcPr>
            <w:tcW w:w="7230" w:type="dxa"/>
            <w:tcMar>
              <w:top w:w="0" w:type="dxa"/>
              <w:left w:w="108" w:type="dxa"/>
              <w:bottom w:w="0" w:type="dxa"/>
              <w:right w:w="108" w:type="dxa"/>
            </w:tcMar>
            <w:hideMark/>
          </w:tcPr>
          <w:p w14:paraId="4D066069" w14:textId="77777777" w:rsidR="00533B74" w:rsidRPr="009A27ED" w:rsidRDefault="00533B74" w:rsidP="00562F95">
            <w:pPr>
              <w:pStyle w:val="Prrafodelista"/>
              <w:numPr>
                <w:ilvl w:val="0"/>
                <w:numId w:val="142"/>
              </w:numPr>
              <w:spacing w:before="100" w:beforeAutospacing="1" w:after="100" w:afterAutospacing="1" w:line="240" w:lineRule="auto"/>
              <w:rPr>
                <w:rFonts w:eastAsia="Times New Roman"/>
                <w:color w:val="000000"/>
                <w:sz w:val="20"/>
                <w:szCs w:val="20"/>
              </w:rPr>
            </w:pPr>
            <w:r w:rsidRPr="009A27ED">
              <w:rPr>
                <w:rFonts w:eastAsia="Times New Roman"/>
                <w:color w:val="000000"/>
                <w:sz w:val="20"/>
                <w:szCs w:val="20"/>
              </w:rPr>
              <w:t>El marco normativo nacional para la aplicación de medidas requiere de una mayor acentuación a nivel local, en muchos casos hay un desconocimiento de este marco.</w:t>
            </w:r>
          </w:p>
          <w:p w14:paraId="08AD6D25" w14:textId="77777777" w:rsidR="00533B74" w:rsidRPr="009A27ED" w:rsidRDefault="00533B74" w:rsidP="00562F95">
            <w:pPr>
              <w:pStyle w:val="Prrafodelista"/>
              <w:numPr>
                <w:ilvl w:val="0"/>
                <w:numId w:val="142"/>
              </w:numPr>
              <w:spacing w:before="100" w:beforeAutospacing="1" w:after="100" w:afterAutospacing="1" w:line="240" w:lineRule="auto"/>
              <w:rPr>
                <w:rFonts w:eastAsia="Times New Roman"/>
                <w:color w:val="000000"/>
                <w:sz w:val="20"/>
                <w:szCs w:val="20"/>
              </w:rPr>
            </w:pPr>
            <w:r w:rsidRPr="009A27ED">
              <w:rPr>
                <w:rFonts w:eastAsia="Times New Roman"/>
                <w:color w:val="000000"/>
                <w:sz w:val="20"/>
                <w:szCs w:val="20"/>
              </w:rPr>
              <w:t>La aplicabilidad de las medidas de mitigación de los impactos por los proyectos implementados requiere de un sistema de monitoreo eficiente a fin de garantizar su aplicación.</w:t>
            </w:r>
          </w:p>
          <w:p w14:paraId="0040E57C" w14:textId="77777777" w:rsidR="00533B74" w:rsidRPr="009A27ED" w:rsidRDefault="00533B74" w:rsidP="00562F95">
            <w:pPr>
              <w:pStyle w:val="Prrafodelista"/>
              <w:numPr>
                <w:ilvl w:val="0"/>
                <w:numId w:val="142"/>
              </w:numPr>
              <w:spacing w:before="100" w:beforeAutospacing="1" w:after="100" w:afterAutospacing="1" w:line="240" w:lineRule="auto"/>
              <w:rPr>
                <w:rFonts w:eastAsia="Times New Roman"/>
                <w:color w:val="000000"/>
                <w:sz w:val="20"/>
                <w:szCs w:val="20"/>
              </w:rPr>
            </w:pPr>
            <w:r w:rsidRPr="009A27ED">
              <w:rPr>
                <w:rFonts w:eastAsia="Times New Roman"/>
                <w:color w:val="000000"/>
                <w:sz w:val="20"/>
                <w:szCs w:val="20"/>
              </w:rPr>
              <w:t>Se debe hacer un esfuerzo por visibilizar en términos ambientales y sociales la implicación de las medidas de mitigación y su obligatorio cumplimiento.</w:t>
            </w:r>
          </w:p>
          <w:p w14:paraId="54B06CA2" w14:textId="77777777" w:rsidR="00533B74" w:rsidRPr="009A27ED" w:rsidRDefault="00533B74" w:rsidP="00562F95">
            <w:pPr>
              <w:numPr>
                <w:ilvl w:val="0"/>
                <w:numId w:val="142"/>
              </w:numPr>
              <w:spacing w:before="100" w:beforeAutospacing="1" w:after="100" w:afterAutospacing="1"/>
              <w:rPr>
                <w:color w:val="000000"/>
                <w:sz w:val="20"/>
                <w:szCs w:val="20"/>
                <w:lang w:val="es-GT"/>
              </w:rPr>
            </w:pPr>
            <w:r w:rsidRPr="009A27ED">
              <w:rPr>
                <w:color w:val="000000"/>
                <w:sz w:val="20"/>
                <w:szCs w:val="20"/>
              </w:rPr>
              <w:t>Para el cumplimiento de las medidas de mitigación es necesario: (1) Sensibilizar a entidades ejecutoras e implementadores y (2) capturar fondos complementarios que permitan la rentabilidad de la implementación de acciones bajo el marco de REDD+.</w:t>
            </w:r>
          </w:p>
        </w:tc>
      </w:tr>
      <w:tr w:rsidR="00533B74" w:rsidRPr="009A27ED" w14:paraId="59147EA9" w14:textId="77777777" w:rsidTr="00562F95">
        <w:tc>
          <w:tcPr>
            <w:tcW w:w="2830" w:type="dxa"/>
            <w:tcMar>
              <w:top w:w="0" w:type="dxa"/>
              <w:left w:w="108" w:type="dxa"/>
              <w:bottom w:w="0" w:type="dxa"/>
              <w:right w:w="108" w:type="dxa"/>
            </w:tcMar>
            <w:hideMark/>
          </w:tcPr>
          <w:p w14:paraId="4FC6CE47" w14:textId="77777777" w:rsidR="00533B74" w:rsidRPr="009A27ED" w:rsidRDefault="00533B74" w:rsidP="00562F95">
            <w:pPr>
              <w:spacing w:after="0"/>
              <w:rPr>
                <w:rFonts w:eastAsia="Times New Roman"/>
                <w:color w:val="000000"/>
                <w:sz w:val="20"/>
                <w:szCs w:val="20"/>
                <w:lang w:val="es-GT"/>
              </w:rPr>
            </w:pPr>
            <w:r w:rsidRPr="009A27ED">
              <w:rPr>
                <w:rFonts w:eastAsia="Times New Roman"/>
                <w:color w:val="000000"/>
                <w:sz w:val="20"/>
                <w:szCs w:val="20"/>
              </w:rPr>
              <w:t>Salvaguardas</w:t>
            </w:r>
          </w:p>
        </w:tc>
        <w:tc>
          <w:tcPr>
            <w:tcW w:w="7230" w:type="dxa"/>
            <w:tcMar>
              <w:top w:w="0" w:type="dxa"/>
              <w:left w:w="108" w:type="dxa"/>
              <w:bottom w:w="0" w:type="dxa"/>
              <w:right w:w="108" w:type="dxa"/>
            </w:tcMar>
            <w:hideMark/>
          </w:tcPr>
          <w:p w14:paraId="18E44F83" w14:textId="77777777" w:rsidR="00533B74" w:rsidRPr="009A27ED" w:rsidRDefault="00533B74" w:rsidP="00562F95">
            <w:pPr>
              <w:pStyle w:val="Prrafodelista"/>
              <w:numPr>
                <w:ilvl w:val="0"/>
                <w:numId w:val="143"/>
              </w:numPr>
              <w:spacing w:before="100" w:beforeAutospacing="1" w:after="100" w:afterAutospacing="1" w:line="240" w:lineRule="auto"/>
              <w:rPr>
                <w:rFonts w:eastAsia="Times New Roman"/>
                <w:color w:val="000000"/>
                <w:sz w:val="20"/>
                <w:szCs w:val="20"/>
              </w:rPr>
            </w:pPr>
            <w:r w:rsidRPr="009A27ED">
              <w:rPr>
                <w:rFonts w:eastAsia="Times New Roman"/>
                <w:color w:val="000000"/>
                <w:sz w:val="20"/>
                <w:szCs w:val="20"/>
              </w:rPr>
              <w:t>En términos generales hay un desconocimiento de la implicación de las salvaguardas ambientales y sociales y el rol de las partes involucradas.</w:t>
            </w:r>
          </w:p>
          <w:p w14:paraId="09CB26A4" w14:textId="77777777" w:rsidR="00533B74" w:rsidRPr="009A27ED" w:rsidRDefault="00533B74" w:rsidP="00562F95">
            <w:pPr>
              <w:pStyle w:val="Prrafodelista"/>
              <w:numPr>
                <w:ilvl w:val="0"/>
                <w:numId w:val="143"/>
              </w:numPr>
              <w:spacing w:before="100" w:beforeAutospacing="1" w:after="100" w:afterAutospacing="1" w:line="240" w:lineRule="auto"/>
              <w:rPr>
                <w:rFonts w:eastAsia="Times New Roman"/>
                <w:color w:val="000000"/>
                <w:sz w:val="20"/>
                <w:szCs w:val="20"/>
              </w:rPr>
            </w:pPr>
            <w:r w:rsidRPr="009A27ED">
              <w:rPr>
                <w:rFonts w:eastAsia="Times New Roman"/>
                <w:color w:val="000000"/>
                <w:sz w:val="20"/>
                <w:szCs w:val="20"/>
              </w:rPr>
              <w:t>Debe hacerse un esfuerzo por articular/armonizar las medidas de protección que se impulsan en el marco de los programas y proyectos con el planteamiento teórico y operativo de las salvaguardas de Cancún y las Políticas Operativas del Banco Mundial.</w:t>
            </w:r>
          </w:p>
          <w:p w14:paraId="51961115" w14:textId="77777777" w:rsidR="00533B74" w:rsidRPr="009A27ED" w:rsidRDefault="00533B74" w:rsidP="00562F95">
            <w:pPr>
              <w:pStyle w:val="Prrafodelista"/>
              <w:numPr>
                <w:ilvl w:val="0"/>
                <w:numId w:val="143"/>
              </w:numPr>
              <w:spacing w:before="100" w:beforeAutospacing="1" w:after="100" w:afterAutospacing="1" w:line="240" w:lineRule="auto"/>
              <w:rPr>
                <w:rFonts w:eastAsia="Times New Roman"/>
                <w:color w:val="000000"/>
                <w:sz w:val="20"/>
                <w:szCs w:val="20"/>
              </w:rPr>
            </w:pPr>
            <w:r w:rsidRPr="009A27ED">
              <w:rPr>
                <w:rFonts w:eastAsia="Times New Roman"/>
                <w:color w:val="000000"/>
                <w:sz w:val="20"/>
                <w:szCs w:val="20"/>
              </w:rPr>
              <w:t>Existe una predisposición a colaborar de parte de las Entidades Ejecutoras, sin embargo, requieren conocer más sobre esta temática.</w:t>
            </w:r>
          </w:p>
          <w:p w14:paraId="051A329E" w14:textId="77777777" w:rsidR="00533B74" w:rsidRPr="009A27ED" w:rsidRDefault="00533B74" w:rsidP="00562F95">
            <w:pPr>
              <w:numPr>
                <w:ilvl w:val="0"/>
                <w:numId w:val="143"/>
              </w:numPr>
              <w:spacing w:before="100" w:beforeAutospacing="1" w:after="100" w:afterAutospacing="1"/>
              <w:rPr>
                <w:color w:val="000000"/>
                <w:sz w:val="20"/>
                <w:szCs w:val="20"/>
                <w:lang w:val="es-GT"/>
              </w:rPr>
            </w:pPr>
            <w:r w:rsidRPr="009A27ED">
              <w:rPr>
                <w:color w:val="000000"/>
                <w:sz w:val="20"/>
                <w:szCs w:val="20"/>
              </w:rPr>
              <w:t>Su respeto debe ser una prioridad de Estado para que sean incorporados en los programas, proyectos y sistemas que se implementan, sabiendo que su implementación requiere no sólo mayores esfuerzos, si no mayores recursos y compromiso.</w:t>
            </w:r>
            <w:r w:rsidRPr="009A27ED">
              <w:rPr>
                <w:rStyle w:val="apple-converted-space"/>
                <w:color w:val="000000"/>
                <w:sz w:val="20"/>
                <w:szCs w:val="20"/>
              </w:rPr>
              <w:t> </w:t>
            </w:r>
          </w:p>
        </w:tc>
      </w:tr>
      <w:tr w:rsidR="00533B74" w:rsidRPr="009A27ED" w14:paraId="638B0634" w14:textId="77777777" w:rsidTr="00562F95">
        <w:tc>
          <w:tcPr>
            <w:tcW w:w="2830" w:type="dxa"/>
            <w:tcMar>
              <w:top w:w="0" w:type="dxa"/>
              <w:left w:w="108" w:type="dxa"/>
              <w:bottom w:w="0" w:type="dxa"/>
              <w:right w:w="108" w:type="dxa"/>
            </w:tcMar>
            <w:hideMark/>
          </w:tcPr>
          <w:p w14:paraId="024BFA22" w14:textId="77777777" w:rsidR="00533B74" w:rsidRPr="009A27ED" w:rsidRDefault="00533B74" w:rsidP="00562F95">
            <w:pPr>
              <w:spacing w:after="0"/>
              <w:rPr>
                <w:rFonts w:eastAsia="Times New Roman"/>
                <w:color w:val="000000"/>
                <w:sz w:val="20"/>
                <w:szCs w:val="20"/>
                <w:lang w:val="es-GT"/>
              </w:rPr>
            </w:pPr>
            <w:r w:rsidRPr="009A27ED">
              <w:rPr>
                <w:rFonts w:eastAsia="Times New Roman"/>
                <w:color w:val="000000"/>
                <w:sz w:val="20"/>
                <w:szCs w:val="20"/>
              </w:rPr>
              <w:t>Necesidades / Capacitación / Educación</w:t>
            </w:r>
          </w:p>
        </w:tc>
        <w:tc>
          <w:tcPr>
            <w:tcW w:w="7230" w:type="dxa"/>
            <w:tcMar>
              <w:top w:w="0" w:type="dxa"/>
              <w:left w:w="108" w:type="dxa"/>
              <w:bottom w:w="0" w:type="dxa"/>
              <w:right w:w="108" w:type="dxa"/>
            </w:tcMar>
            <w:hideMark/>
          </w:tcPr>
          <w:p w14:paraId="37C78A92" w14:textId="77777777" w:rsidR="00533B74" w:rsidRPr="009A27ED" w:rsidRDefault="00533B74" w:rsidP="00562F95">
            <w:pPr>
              <w:pStyle w:val="Prrafodelista"/>
              <w:numPr>
                <w:ilvl w:val="0"/>
                <w:numId w:val="144"/>
              </w:numPr>
              <w:spacing w:before="100" w:beforeAutospacing="1" w:after="100" w:afterAutospacing="1" w:line="240" w:lineRule="auto"/>
              <w:rPr>
                <w:rFonts w:eastAsia="Times New Roman"/>
                <w:color w:val="000000"/>
                <w:sz w:val="20"/>
                <w:szCs w:val="20"/>
              </w:rPr>
            </w:pPr>
            <w:r w:rsidRPr="009A27ED">
              <w:rPr>
                <w:rFonts w:eastAsia="Times New Roman"/>
                <w:color w:val="000000"/>
                <w:sz w:val="20"/>
                <w:szCs w:val="20"/>
              </w:rPr>
              <w:t>Necesaria la capacitación en todos los niveles sobre el Enfoque Nacional de Salvaguardas.</w:t>
            </w:r>
          </w:p>
          <w:p w14:paraId="7D1BE0EC" w14:textId="77777777" w:rsidR="00533B74" w:rsidRPr="009A27ED" w:rsidRDefault="00533B74" w:rsidP="00562F95">
            <w:pPr>
              <w:pStyle w:val="Prrafodelista"/>
              <w:numPr>
                <w:ilvl w:val="0"/>
                <w:numId w:val="144"/>
              </w:numPr>
              <w:spacing w:before="100" w:beforeAutospacing="1" w:after="100" w:afterAutospacing="1" w:line="240" w:lineRule="auto"/>
              <w:rPr>
                <w:rFonts w:eastAsia="Times New Roman"/>
                <w:color w:val="000000"/>
                <w:sz w:val="20"/>
                <w:szCs w:val="20"/>
              </w:rPr>
            </w:pPr>
            <w:r w:rsidRPr="009A27ED">
              <w:rPr>
                <w:rFonts w:eastAsia="Times New Roman"/>
                <w:color w:val="000000"/>
                <w:sz w:val="20"/>
                <w:szCs w:val="20"/>
              </w:rPr>
              <w:t>Deben fortalecerse las capacidades institucionales y sectoriales en el tema REDD+</w:t>
            </w:r>
          </w:p>
          <w:p w14:paraId="3190C56E" w14:textId="77777777" w:rsidR="00533B74" w:rsidRPr="009A27ED" w:rsidRDefault="00533B74" w:rsidP="00562F95">
            <w:pPr>
              <w:pStyle w:val="Prrafodelista"/>
              <w:numPr>
                <w:ilvl w:val="0"/>
                <w:numId w:val="144"/>
              </w:numPr>
              <w:spacing w:before="100" w:beforeAutospacing="1" w:after="100" w:afterAutospacing="1" w:line="240" w:lineRule="auto"/>
              <w:rPr>
                <w:rFonts w:eastAsia="Times New Roman"/>
                <w:color w:val="000000"/>
                <w:sz w:val="20"/>
                <w:szCs w:val="20"/>
              </w:rPr>
            </w:pPr>
            <w:r w:rsidRPr="009A27ED">
              <w:rPr>
                <w:rFonts w:eastAsia="Times New Roman"/>
                <w:color w:val="000000"/>
                <w:sz w:val="20"/>
                <w:szCs w:val="20"/>
              </w:rPr>
              <w:t>Deben desarrollarse procesos inclusivos de educación ambiental a distintos niveles.</w:t>
            </w:r>
          </w:p>
          <w:p w14:paraId="19F2E501" w14:textId="77777777" w:rsidR="00533B74" w:rsidRPr="009A27ED" w:rsidRDefault="00533B74" w:rsidP="00562F95">
            <w:pPr>
              <w:pStyle w:val="Prrafodelista"/>
              <w:numPr>
                <w:ilvl w:val="0"/>
                <w:numId w:val="144"/>
              </w:numPr>
              <w:spacing w:before="100" w:beforeAutospacing="1" w:after="100" w:afterAutospacing="1" w:line="240" w:lineRule="auto"/>
              <w:rPr>
                <w:rFonts w:eastAsia="Times New Roman"/>
                <w:color w:val="000000"/>
                <w:sz w:val="20"/>
                <w:szCs w:val="20"/>
              </w:rPr>
            </w:pPr>
            <w:r w:rsidRPr="009A27ED">
              <w:rPr>
                <w:rFonts w:eastAsia="Times New Roman"/>
                <w:color w:val="000000"/>
                <w:sz w:val="20"/>
                <w:szCs w:val="20"/>
              </w:rPr>
              <w:t>Para implementar mecanismos de monitoreo y evaluación del cumplimiento y abordaje de las salvaguardas, es indispensable implementar sistemáticamente un proceso de fortalecimiento de capacidades técnicas a los actores involucrados, paralelo al fortalecimiento institucional y equipamiento necesarios.</w:t>
            </w:r>
          </w:p>
          <w:p w14:paraId="16481B40" w14:textId="77777777" w:rsidR="00533B74" w:rsidRPr="009A27ED" w:rsidRDefault="00533B74" w:rsidP="00562F95">
            <w:pPr>
              <w:pStyle w:val="Prrafodelista"/>
              <w:numPr>
                <w:ilvl w:val="0"/>
                <w:numId w:val="144"/>
              </w:numPr>
              <w:spacing w:before="100" w:beforeAutospacing="1" w:after="100" w:afterAutospacing="1" w:line="240" w:lineRule="auto"/>
              <w:rPr>
                <w:rFonts w:eastAsia="Times New Roman"/>
                <w:color w:val="000000"/>
                <w:sz w:val="20"/>
                <w:szCs w:val="20"/>
              </w:rPr>
            </w:pPr>
            <w:r w:rsidRPr="009A27ED">
              <w:rPr>
                <w:rFonts w:eastAsia="Times New Roman"/>
                <w:color w:val="000000"/>
                <w:sz w:val="20"/>
                <w:szCs w:val="20"/>
              </w:rPr>
              <w:t>Es necesario revisar el marco de gobernanza de REDD+ a fin de identificar potenciales socios estratégicos que fortalezcan el marco de cumplimiento en el contexto REDD+ para República Dominicana.</w:t>
            </w:r>
          </w:p>
          <w:p w14:paraId="674A2F74" w14:textId="77777777" w:rsidR="00533B74" w:rsidRPr="009A27ED" w:rsidRDefault="00533B74" w:rsidP="00562F95">
            <w:pPr>
              <w:pStyle w:val="Prrafodelista"/>
              <w:numPr>
                <w:ilvl w:val="0"/>
                <w:numId w:val="144"/>
              </w:numPr>
              <w:spacing w:before="100" w:beforeAutospacing="1" w:after="100" w:afterAutospacing="1" w:line="240" w:lineRule="auto"/>
              <w:rPr>
                <w:rFonts w:eastAsia="Times New Roman"/>
                <w:color w:val="000000"/>
                <w:sz w:val="20"/>
                <w:szCs w:val="20"/>
              </w:rPr>
            </w:pPr>
            <w:r w:rsidRPr="009A27ED">
              <w:rPr>
                <w:rFonts w:eastAsia="Times New Roman"/>
                <w:color w:val="000000"/>
                <w:sz w:val="20"/>
                <w:szCs w:val="20"/>
              </w:rPr>
              <w:t>Es importante analizar estratégicamente el rol de los planes, programas y proyectos y su coordinación y articulación con otros esfuerzos a nivel territorial, que estén orientados a sumar de cara al marco de cumplimiento de REDD+</w:t>
            </w:r>
          </w:p>
          <w:p w14:paraId="240B60BD" w14:textId="77777777" w:rsidR="00533B74" w:rsidRPr="009A27ED" w:rsidRDefault="00533B74" w:rsidP="00562F95">
            <w:pPr>
              <w:pStyle w:val="Prrafodelista"/>
              <w:numPr>
                <w:ilvl w:val="0"/>
                <w:numId w:val="144"/>
              </w:numPr>
              <w:spacing w:before="100" w:beforeAutospacing="1" w:after="100" w:afterAutospacing="1" w:line="240" w:lineRule="auto"/>
              <w:rPr>
                <w:rFonts w:eastAsia="Times New Roman"/>
                <w:color w:val="000000"/>
                <w:sz w:val="20"/>
                <w:szCs w:val="20"/>
              </w:rPr>
            </w:pPr>
            <w:r w:rsidRPr="009A27ED">
              <w:rPr>
                <w:rFonts w:eastAsia="Palatino Linotype"/>
                <w:color w:val="000000" w:themeColor="text1"/>
                <w:sz w:val="20"/>
                <w:szCs w:val="20"/>
              </w:rPr>
              <w:lastRenderedPageBreak/>
              <w:t>Es necesario iniciar a la brevedad, las discusiones sobre los arreglos institucionales para comprender el alcance del rol de las EE y sus potenciales interacciones entre proyectos y programas actualmente en ejecución, y buscar mejoras a los mismos.</w:t>
            </w:r>
          </w:p>
        </w:tc>
      </w:tr>
      <w:tr w:rsidR="00533B74" w:rsidRPr="009A27ED" w14:paraId="0C14B61C" w14:textId="77777777" w:rsidTr="00562F95">
        <w:tc>
          <w:tcPr>
            <w:tcW w:w="2830" w:type="dxa"/>
            <w:tcMar>
              <w:top w:w="0" w:type="dxa"/>
              <w:left w:w="108" w:type="dxa"/>
              <w:bottom w:w="0" w:type="dxa"/>
              <w:right w:w="108" w:type="dxa"/>
            </w:tcMar>
            <w:hideMark/>
          </w:tcPr>
          <w:p w14:paraId="6779E708" w14:textId="77777777" w:rsidR="00533B74" w:rsidRPr="009A27ED" w:rsidRDefault="00533B74" w:rsidP="00562F95">
            <w:pPr>
              <w:spacing w:after="0"/>
              <w:rPr>
                <w:rFonts w:eastAsia="Times New Roman"/>
                <w:color w:val="000000"/>
                <w:sz w:val="20"/>
                <w:szCs w:val="20"/>
                <w:lang w:val="es-GT"/>
              </w:rPr>
            </w:pPr>
            <w:r w:rsidRPr="009A27ED">
              <w:rPr>
                <w:rFonts w:eastAsia="Times New Roman"/>
                <w:color w:val="000000"/>
                <w:sz w:val="20"/>
                <w:szCs w:val="20"/>
              </w:rPr>
              <w:t>Distribución de beneficios</w:t>
            </w:r>
          </w:p>
        </w:tc>
        <w:tc>
          <w:tcPr>
            <w:tcW w:w="7230" w:type="dxa"/>
            <w:tcMar>
              <w:top w:w="0" w:type="dxa"/>
              <w:left w:w="108" w:type="dxa"/>
              <w:bottom w:w="0" w:type="dxa"/>
              <w:right w:w="108" w:type="dxa"/>
            </w:tcMar>
            <w:hideMark/>
          </w:tcPr>
          <w:p w14:paraId="4AA11E8F" w14:textId="77777777" w:rsidR="00533B74" w:rsidRPr="009A27ED" w:rsidRDefault="00533B74" w:rsidP="00562F95">
            <w:pPr>
              <w:pStyle w:val="Prrafodelista"/>
              <w:numPr>
                <w:ilvl w:val="0"/>
                <w:numId w:val="145"/>
              </w:numPr>
              <w:spacing w:before="100" w:beforeAutospacing="1" w:after="100" w:afterAutospacing="1" w:line="240" w:lineRule="auto"/>
              <w:rPr>
                <w:rFonts w:eastAsia="Times New Roman"/>
                <w:color w:val="000000"/>
                <w:sz w:val="20"/>
                <w:szCs w:val="20"/>
              </w:rPr>
            </w:pPr>
            <w:r w:rsidRPr="009A27ED">
              <w:rPr>
                <w:rFonts w:eastAsia="Times New Roman"/>
                <w:color w:val="000000"/>
                <w:sz w:val="20"/>
                <w:szCs w:val="20"/>
              </w:rPr>
              <w:t>Existe una inquietud respecto a la construcción del plan de distribución de beneficios, sugieren que se elabore sobre la base de una amplia consulta con todos los sectores productivos y a distintas escalas.</w:t>
            </w:r>
          </w:p>
          <w:p w14:paraId="221E2912" w14:textId="77777777" w:rsidR="00533B74" w:rsidRPr="009A27ED" w:rsidRDefault="00533B74" w:rsidP="00562F95">
            <w:pPr>
              <w:pStyle w:val="Prrafodelista"/>
              <w:numPr>
                <w:ilvl w:val="0"/>
                <w:numId w:val="145"/>
              </w:numPr>
              <w:spacing w:before="100" w:beforeAutospacing="1" w:after="100" w:afterAutospacing="1" w:line="240" w:lineRule="auto"/>
              <w:rPr>
                <w:rFonts w:eastAsia="Times New Roman"/>
                <w:color w:val="000000"/>
                <w:sz w:val="20"/>
                <w:szCs w:val="20"/>
              </w:rPr>
            </w:pPr>
            <w:r w:rsidRPr="009A27ED">
              <w:rPr>
                <w:rFonts w:eastAsia="Times New Roman"/>
                <w:color w:val="000000"/>
                <w:sz w:val="20"/>
                <w:szCs w:val="20"/>
              </w:rPr>
              <w:t>En este contexto es necesario revisar experiencias exitosas a nivel nacional que fortalezcan la implementación de un plan de distribución de beneficios eficiente y eficaz según sean las necesidades y contexto de la población meta.</w:t>
            </w:r>
          </w:p>
          <w:p w14:paraId="7A1A5833" w14:textId="77777777" w:rsidR="00533B74" w:rsidRPr="009A27ED" w:rsidRDefault="00533B74" w:rsidP="00562F95">
            <w:pPr>
              <w:pStyle w:val="Prrafodelista"/>
              <w:numPr>
                <w:ilvl w:val="0"/>
                <w:numId w:val="145"/>
              </w:numPr>
              <w:spacing w:before="100" w:beforeAutospacing="1" w:after="100" w:afterAutospacing="1" w:line="240" w:lineRule="auto"/>
              <w:rPr>
                <w:rFonts w:eastAsia="Times New Roman"/>
                <w:color w:val="000000"/>
                <w:sz w:val="20"/>
                <w:szCs w:val="20"/>
              </w:rPr>
            </w:pPr>
            <w:r w:rsidRPr="009A27ED">
              <w:rPr>
                <w:rFonts w:eastAsia="Times New Roman"/>
                <w:color w:val="000000"/>
                <w:sz w:val="20"/>
                <w:szCs w:val="20"/>
              </w:rPr>
              <w:t>En la elaboración del Plan de Distribución de Beneficios, se debe promover un enfoque de corresponsabilidad y garantizar oportunamente un nivel de cumplimiento como factores habilitadores para hacerlo operativo.</w:t>
            </w:r>
          </w:p>
          <w:p w14:paraId="5FB6935D" w14:textId="77777777" w:rsidR="00533B74" w:rsidRPr="009A27ED" w:rsidRDefault="00533B74" w:rsidP="00562F95">
            <w:pPr>
              <w:pStyle w:val="Prrafodelista"/>
              <w:numPr>
                <w:ilvl w:val="0"/>
                <w:numId w:val="145"/>
              </w:numPr>
              <w:spacing w:before="100" w:beforeAutospacing="1" w:after="100" w:afterAutospacing="1" w:line="240" w:lineRule="auto"/>
              <w:rPr>
                <w:rFonts w:eastAsia="Times New Roman"/>
                <w:color w:val="000000"/>
                <w:sz w:val="20"/>
                <w:szCs w:val="20"/>
              </w:rPr>
            </w:pPr>
            <w:r w:rsidRPr="009A27ED">
              <w:rPr>
                <w:rFonts w:eastAsia="Times New Roman"/>
                <w:color w:val="000000"/>
                <w:sz w:val="20"/>
                <w:szCs w:val="20"/>
              </w:rPr>
              <w:t>Bajo un contexto de sostenibilidad ambiental, es necesario tomar en cuenta según corresponda, el acceso y uso a los recursos naturales y las compensaciones ambientales que se derivan de estos, a fin de evaluar y definir proporcionalmente el acceso a los beneficios, aumentando el margen de distribución de beneficios por medio de los planes, programas y proyectos considerados en REDD+.</w:t>
            </w:r>
          </w:p>
          <w:p w14:paraId="7A4033EB" w14:textId="77777777" w:rsidR="00533B74" w:rsidRPr="009A27ED" w:rsidRDefault="00533B74" w:rsidP="00562F95">
            <w:pPr>
              <w:numPr>
                <w:ilvl w:val="0"/>
                <w:numId w:val="145"/>
              </w:numPr>
              <w:spacing w:before="100" w:beforeAutospacing="1" w:after="100" w:afterAutospacing="1"/>
              <w:rPr>
                <w:color w:val="000000"/>
                <w:sz w:val="20"/>
                <w:szCs w:val="20"/>
                <w:lang w:val="es-GT"/>
              </w:rPr>
            </w:pPr>
            <w:r w:rsidRPr="009A27ED">
              <w:rPr>
                <w:color w:val="000000"/>
                <w:sz w:val="20"/>
                <w:szCs w:val="20"/>
              </w:rPr>
              <w:t>Es necesario la construcción de una estrategia para la distribución de beneficios diferenciados. En el caso de las mujeres, es un porcentaje muy bajo quienes se encuentran directamente involucradas en las actividades como agroforestería, actividades silvopastoriles o reforestación. Por lo que la implementación de programas enfocados en proyectos productivos complementarios enfocados en mujeres, podría ser alternativas complementarias.</w:t>
            </w:r>
            <w:r w:rsidRPr="009A27ED">
              <w:rPr>
                <w:rStyle w:val="apple-converted-space"/>
                <w:color w:val="000000"/>
                <w:sz w:val="20"/>
                <w:szCs w:val="20"/>
              </w:rPr>
              <w:t> </w:t>
            </w:r>
          </w:p>
        </w:tc>
      </w:tr>
      <w:tr w:rsidR="00533B74" w:rsidRPr="009A27ED" w14:paraId="3B8C7D68" w14:textId="77777777" w:rsidTr="00562F95">
        <w:tc>
          <w:tcPr>
            <w:tcW w:w="2830" w:type="dxa"/>
            <w:tcMar>
              <w:top w:w="0" w:type="dxa"/>
              <w:left w:w="108" w:type="dxa"/>
              <w:bottom w:w="0" w:type="dxa"/>
              <w:right w:w="108" w:type="dxa"/>
            </w:tcMar>
            <w:hideMark/>
          </w:tcPr>
          <w:p w14:paraId="119B0DD7" w14:textId="77777777" w:rsidR="00533B74" w:rsidRPr="009A27ED" w:rsidRDefault="00533B74" w:rsidP="00562F95">
            <w:pPr>
              <w:spacing w:after="0"/>
              <w:rPr>
                <w:rFonts w:eastAsia="Times New Roman"/>
                <w:color w:val="000000"/>
                <w:sz w:val="20"/>
                <w:szCs w:val="20"/>
                <w:lang w:val="es-GT"/>
              </w:rPr>
            </w:pPr>
            <w:r w:rsidRPr="009A27ED">
              <w:rPr>
                <w:rFonts w:eastAsia="Times New Roman"/>
                <w:color w:val="000000"/>
                <w:sz w:val="20"/>
                <w:szCs w:val="20"/>
              </w:rPr>
              <w:t>Gestión de conflictos</w:t>
            </w:r>
          </w:p>
        </w:tc>
        <w:tc>
          <w:tcPr>
            <w:tcW w:w="7230" w:type="dxa"/>
            <w:tcMar>
              <w:top w:w="0" w:type="dxa"/>
              <w:left w:w="108" w:type="dxa"/>
              <w:bottom w:w="0" w:type="dxa"/>
              <w:right w:w="108" w:type="dxa"/>
            </w:tcMar>
            <w:hideMark/>
          </w:tcPr>
          <w:p w14:paraId="046EB764" w14:textId="77777777" w:rsidR="00533B74" w:rsidRPr="009A27ED" w:rsidRDefault="00533B74" w:rsidP="00562F95">
            <w:pPr>
              <w:pStyle w:val="Prrafodelista"/>
              <w:numPr>
                <w:ilvl w:val="0"/>
                <w:numId w:val="146"/>
              </w:numPr>
              <w:spacing w:before="100" w:beforeAutospacing="1" w:after="100" w:afterAutospacing="1" w:line="240" w:lineRule="auto"/>
              <w:rPr>
                <w:rFonts w:eastAsia="Times New Roman"/>
                <w:color w:val="000000"/>
                <w:sz w:val="20"/>
                <w:szCs w:val="20"/>
              </w:rPr>
            </w:pPr>
            <w:r w:rsidRPr="009A27ED">
              <w:rPr>
                <w:rFonts w:eastAsia="Times New Roman"/>
                <w:color w:val="000000"/>
                <w:sz w:val="20"/>
                <w:szCs w:val="20"/>
              </w:rPr>
              <w:t>Si bien es cierto, no existe un marco de referencia institucionalizado para la prevención de conflictos, las Entidades Ejecutoras realizan una labor preventiva con sus limitaciones técnicas, financieras y de equipamiento.</w:t>
            </w:r>
          </w:p>
          <w:p w14:paraId="267E3958" w14:textId="77777777" w:rsidR="00533B74" w:rsidRPr="009A27ED" w:rsidRDefault="00533B74" w:rsidP="00562F95">
            <w:pPr>
              <w:pStyle w:val="Prrafodelista"/>
              <w:numPr>
                <w:ilvl w:val="0"/>
                <w:numId w:val="146"/>
              </w:numPr>
              <w:spacing w:before="100" w:beforeAutospacing="1" w:after="100" w:afterAutospacing="1" w:line="240" w:lineRule="auto"/>
              <w:rPr>
                <w:rFonts w:eastAsia="Times New Roman"/>
                <w:color w:val="000000"/>
                <w:sz w:val="20"/>
                <w:szCs w:val="20"/>
              </w:rPr>
            </w:pPr>
            <w:r w:rsidRPr="009A27ED">
              <w:rPr>
                <w:rFonts w:eastAsia="Times New Roman"/>
                <w:color w:val="000000"/>
                <w:sz w:val="20"/>
                <w:szCs w:val="20"/>
              </w:rPr>
              <w:t>Es necesario fortalecer las capacidades institucionales para fomentar la prevención de potenciales conflictos, partiendo de mejorar la atención a las demandas locales.</w:t>
            </w:r>
          </w:p>
          <w:p w14:paraId="536A996B" w14:textId="77777777" w:rsidR="00533B74" w:rsidRPr="009A27ED" w:rsidRDefault="00533B74" w:rsidP="00562F95">
            <w:pPr>
              <w:spacing w:after="0"/>
              <w:rPr>
                <w:rFonts w:eastAsia="Times New Roman"/>
                <w:color w:val="000000"/>
                <w:sz w:val="20"/>
                <w:szCs w:val="20"/>
                <w:lang w:val="es-GT"/>
              </w:rPr>
            </w:pPr>
          </w:p>
        </w:tc>
      </w:tr>
      <w:tr w:rsidR="00533B74" w:rsidRPr="009A27ED" w14:paraId="618884A0" w14:textId="77777777" w:rsidTr="00562F95">
        <w:tc>
          <w:tcPr>
            <w:tcW w:w="2830" w:type="dxa"/>
            <w:tcMar>
              <w:top w:w="0" w:type="dxa"/>
              <w:left w:w="108" w:type="dxa"/>
              <w:bottom w:w="0" w:type="dxa"/>
              <w:right w:w="108" w:type="dxa"/>
            </w:tcMar>
            <w:hideMark/>
          </w:tcPr>
          <w:p w14:paraId="17B3C8F7" w14:textId="77777777" w:rsidR="00533B74" w:rsidRPr="009A27ED" w:rsidRDefault="00533B74" w:rsidP="00562F95">
            <w:pPr>
              <w:spacing w:after="0"/>
              <w:rPr>
                <w:rFonts w:eastAsia="Times New Roman"/>
                <w:color w:val="000000"/>
                <w:sz w:val="20"/>
                <w:szCs w:val="20"/>
                <w:lang w:val="es-GT"/>
              </w:rPr>
            </w:pPr>
            <w:r w:rsidRPr="009A27ED">
              <w:rPr>
                <w:rFonts w:eastAsia="Times New Roman"/>
                <w:color w:val="000000"/>
                <w:sz w:val="20"/>
                <w:szCs w:val="20"/>
              </w:rPr>
              <w:t>Atención a denuncias</w:t>
            </w:r>
          </w:p>
        </w:tc>
        <w:tc>
          <w:tcPr>
            <w:tcW w:w="7230" w:type="dxa"/>
            <w:tcMar>
              <w:top w:w="0" w:type="dxa"/>
              <w:left w:w="108" w:type="dxa"/>
              <w:bottom w:w="0" w:type="dxa"/>
              <w:right w:w="108" w:type="dxa"/>
            </w:tcMar>
            <w:hideMark/>
          </w:tcPr>
          <w:p w14:paraId="67315876" w14:textId="77777777" w:rsidR="00533B74" w:rsidRPr="009A27ED" w:rsidRDefault="00533B74" w:rsidP="00562F95">
            <w:pPr>
              <w:pStyle w:val="Prrafodelista"/>
              <w:numPr>
                <w:ilvl w:val="0"/>
                <w:numId w:val="147"/>
              </w:numPr>
              <w:spacing w:before="100" w:beforeAutospacing="1" w:after="100" w:afterAutospacing="1" w:line="240" w:lineRule="auto"/>
              <w:rPr>
                <w:rFonts w:eastAsia="Times New Roman"/>
                <w:color w:val="000000"/>
                <w:sz w:val="20"/>
                <w:szCs w:val="20"/>
              </w:rPr>
            </w:pPr>
            <w:r w:rsidRPr="009A27ED">
              <w:rPr>
                <w:rFonts w:eastAsia="Times New Roman"/>
                <w:color w:val="000000"/>
                <w:sz w:val="20"/>
                <w:szCs w:val="20"/>
              </w:rPr>
              <w:t>Existe una percepción generalizada de la débil atención institucional a las denuncias ambientales.</w:t>
            </w:r>
          </w:p>
          <w:p w14:paraId="6B1B9190" w14:textId="77777777" w:rsidR="00533B74" w:rsidRPr="009A27ED" w:rsidRDefault="00533B74" w:rsidP="00562F95">
            <w:pPr>
              <w:pStyle w:val="Prrafodelista"/>
              <w:numPr>
                <w:ilvl w:val="0"/>
                <w:numId w:val="147"/>
              </w:numPr>
              <w:spacing w:before="100" w:beforeAutospacing="1" w:after="100" w:afterAutospacing="1" w:line="240" w:lineRule="auto"/>
              <w:rPr>
                <w:rFonts w:eastAsia="Times New Roman"/>
                <w:color w:val="000000"/>
                <w:sz w:val="20"/>
                <w:szCs w:val="20"/>
              </w:rPr>
            </w:pPr>
            <w:r w:rsidRPr="009A27ED">
              <w:rPr>
                <w:rFonts w:eastAsia="Times New Roman"/>
                <w:color w:val="000000"/>
                <w:sz w:val="20"/>
                <w:szCs w:val="20"/>
              </w:rPr>
              <w:t>En el marco de REDD+ se debe aumentar la capacidad de atención y manejo de denuncias.</w:t>
            </w:r>
          </w:p>
          <w:p w14:paraId="1BAC3454" w14:textId="77777777" w:rsidR="00533B74" w:rsidRPr="009A27ED" w:rsidRDefault="00533B74" w:rsidP="00562F95">
            <w:pPr>
              <w:pStyle w:val="Prrafodelista"/>
              <w:numPr>
                <w:ilvl w:val="0"/>
                <w:numId w:val="147"/>
              </w:numPr>
              <w:spacing w:before="100" w:beforeAutospacing="1" w:after="100" w:afterAutospacing="1" w:line="240" w:lineRule="auto"/>
              <w:rPr>
                <w:rFonts w:eastAsia="Times New Roman"/>
                <w:color w:val="000000"/>
                <w:sz w:val="20"/>
                <w:szCs w:val="20"/>
              </w:rPr>
            </w:pPr>
            <w:r w:rsidRPr="009A27ED">
              <w:rPr>
                <w:rFonts w:eastAsia="Times New Roman"/>
                <w:color w:val="000000"/>
                <w:sz w:val="20"/>
                <w:szCs w:val="20"/>
              </w:rPr>
              <w:t>Se debe hacer particular énfasis en las denuncias y quejas derivadas de las actividades tipo, para ello es indispensable el fortalecimiento de institucional en todos los niveles.</w:t>
            </w:r>
          </w:p>
          <w:p w14:paraId="38604D76" w14:textId="77777777" w:rsidR="00533B74" w:rsidRPr="009A27ED" w:rsidRDefault="00533B74" w:rsidP="00562F95">
            <w:pPr>
              <w:pStyle w:val="Prrafodelista"/>
              <w:numPr>
                <w:ilvl w:val="0"/>
                <w:numId w:val="147"/>
              </w:numPr>
              <w:spacing w:before="100" w:beforeAutospacing="1" w:after="100" w:afterAutospacing="1" w:line="240" w:lineRule="auto"/>
              <w:rPr>
                <w:rFonts w:eastAsia="Times New Roman"/>
                <w:color w:val="000000"/>
                <w:sz w:val="20"/>
                <w:szCs w:val="20"/>
              </w:rPr>
            </w:pPr>
            <w:r w:rsidRPr="009A27ED">
              <w:rPr>
                <w:rFonts w:eastAsia="Times New Roman"/>
                <w:color w:val="000000"/>
                <w:sz w:val="20"/>
                <w:szCs w:val="20"/>
              </w:rPr>
              <w:t>Es necesario definir de manera consulta con las instituciones claves el procedimiento para atender las quejas y demandas que por su naturaleza y dimensión rebasen las capacidades de atención establecidas en el MQRC, y comunicarlo ampliamente  a todas las partes involucradas. </w:t>
            </w:r>
          </w:p>
        </w:tc>
      </w:tr>
    </w:tbl>
    <w:p w14:paraId="6A2B887D" w14:textId="0D41CA37" w:rsidR="00533B74" w:rsidRPr="009A27ED" w:rsidRDefault="00533B74" w:rsidP="00F512DB">
      <w:pPr>
        <w:keepNext/>
        <w:keepLines/>
        <w:tabs>
          <w:tab w:val="left" w:pos="426"/>
        </w:tabs>
        <w:spacing w:before="40" w:after="0" w:line="360" w:lineRule="auto"/>
        <w:ind w:left="1146"/>
        <w:outlineLvl w:val="2"/>
      </w:pPr>
    </w:p>
    <w:p w14:paraId="4A1D0AFB" w14:textId="6F7099A9" w:rsidR="00BF1F30" w:rsidRPr="009A27ED" w:rsidRDefault="00EA281F" w:rsidP="00BF1F30">
      <w:pPr>
        <w:keepNext/>
        <w:keepLines/>
        <w:tabs>
          <w:tab w:val="left" w:pos="426"/>
        </w:tabs>
        <w:spacing w:before="40" w:after="0" w:line="360" w:lineRule="auto"/>
        <w:ind w:left="1146"/>
        <w:outlineLvl w:val="2"/>
      </w:pPr>
      <w:bookmarkStart w:id="337" w:name="_Toc111838004"/>
      <w:r w:rsidRPr="009A27ED">
        <w:rPr>
          <w:rFonts w:ascii="Times New Roman" w:eastAsia="Times New Roman" w:hAnsi="Times New Roman"/>
          <w:sz w:val="24"/>
        </w:rPr>
        <w:t>AQUÍ INCLUIR EL COMPLEMENTO AL CAPITULO</w:t>
      </w:r>
      <w:bookmarkEnd w:id="337"/>
    </w:p>
    <w:p w14:paraId="5C3F547A" w14:textId="6ABAF52F" w:rsidR="00C845DE" w:rsidRPr="009A27ED" w:rsidRDefault="00C845DE" w:rsidP="00C845DE">
      <w:pPr>
        <w:keepNext/>
        <w:keepLines/>
        <w:tabs>
          <w:tab w:val="left" w:pos="426"/>
        </w:tabs>
        <w:spacing w:before="40" w:after="0" w:line="360" w:lineRule="auto"/>
        <w:ind w:left="1146"/>
        <w:outlineLvl w:val="2"/>
      </w:pPr>
    </w:p>
    <w:p w14:paraId="2A812E7C" w14:textId="77777777" w:rsidR="00BF1F30" w:rsidRPr="009A27ED" w:rsidRDefault="00BF1F30" w:rsidP="00BF1F30">
      <w:pPr>
        <w:pStyle w:val="Prrafodelista"/>
        <w:spacing w:line="360" w:lineRule="auto"/>
        <w:contextualSpacing w:val="0"/>
        <w:rPr>
          <w:b/>
        </w:rPr>
      </w:pPr>
    </w:p>
    <w:p w14:paraId="083C6251" w14:textId="0EFE599A" w:rsidR="00BF1F30" w:rsidRPr="009A27ED" w:rsidRDefault="00194910" w:rsidP="00BF1F30">
      <w:pPr>
        <w:pStyle w:val="Prrafodelista"/>
        <w:spacing w:line="360" w:lineRule="auto"/>
        <w:contextualSpacing w:val="0"/>
        <w:rPr>
          <w:lang w:val="es-ES_tradnl"/>
        </w:rPr>
      </w:pPr>
      <w:r w:rsidRPr="009A27ED">
        <w:rPr>
          <w:rFonts w:ascii="Times New Roman" w:eastAsia="Times New Roman" w:hAnsi="Times New Roman"/>
          <w:sz w:val="24"/>
        </w:rPr>
        <w:lastRenderedPageBreak/>
        <w:t>Con respecto al</w:t>
      </w:r>
      <w:r w:rsidRPr="009A27ED">
        <w:rPr>
          <w:rFonts w:ascii="Times New Roman" w:eastAsia="Times New Roman" w:hAnsi="Times New Roman"/>
          <w:b/>
          <w:sz w:val="24"/>
        </w:rPr>
        <w:t xml:space="preserve"> </w:t>
      </w:r>
      <w:r w:rsidR="00BF1F30" w:rsidRPr="009A27ED">
        <w:rPr>
          <w:rFonts w:ascii="Times New Roman" w:eastAsia="Times New Roman" w:hAnsi="Times New Roman"/>
          <w:b/>
          <w:i/>
          <w:sz w:val="24"/>
        </w:rPr>
        <w:t>Plan de D</w:t>
      </w:r>
      <w:r w:rsidRPr="009A27ED">
        <w:rPr>
          <w:rFonts w:ascii="Times New Roman" w:eastAsia="Times New Roman" w:hAnsi="Times New Roman"/>
          <w:b/>
          <w:i/>
          <w:sz w:val="24"/>
        </w:rPr>
        <w:t xml:space="preserve">istribución de Beneficios (PDB), </w:t>
      </w:r>
      <w:r w:rsidRPr="009A27ED">
        <w:rPr>
          <w:rFonts w:ascii="Times New Roman" w:eastAsia="Times New Roman" w:hAnsi="Times New Roman"/>
          <w:i/>
          <w:sz w:val="24"/>
        </w:rPr>
        <w:t>e</w:t>
      </w:r>
      <w:r w:rsidR="00BF1F30" w:rsidRPr="009A27ED">
        <w:rPr>
          <w:rFonts w:ascii="Times New Roman" w:eastAsia="Times New Roman" w:hAnsi="Times New Roman"/>
          <w:sz w:val="24"/>
        </w:rPr>
        <w:t xml:space="preserve">ste importante instrumento trata sobre principios, criterios, gobernanza y procedimientos para la distribución de los beneficios carbono. </w:t>
      </w:r>
      <w:r w:rsidR="00BF1F30" w:rsidRPr="009A27ED">
        <w:rPr>
          <w:rFonts w:ascii="Times New Roman" w:eastAsia="Times New Roman" w:hAnsi="Times New Roman"/>
          <w:sz w:val="24"/>
          <w:lang w:val="es-ES_tradnl"/>
        </w:rPr>
        <w:t xml:space="preserve">La preparación del borrador avanzado del PDB considera las opiniones expresadas durante los talleres de SESA realizados en 2018. Asimismo, se sustenta en un amplio proceso de consulta llevado a cabo entre 2019 y 2020: a) consulta bilateral con cada EE, a fin de presentar qué es el PDB en el ámbito del Programa RE, los temas a definir, las pautas y los principios básicos que debe cumplirse y también reunir inquietudes y sugerencias de los participantes, b) taller nacional con EE para analizar y validar los lineamientos para su participación en el PDB, c) serie de intercambios con cada EE para identificar y especificar los criterios, definiciones y tipos de beneficiarios, d) taller con  Comité Técnico Asesor (CTA), las organizaciones de productores, universidades, ONG, el sector privado, instituciones públicas vinculadas a REDD + y representantes de EE, para analizar, validar y confirmar los tipos de beneficios </w:t>
      </w:r>
      <w:r w:rsidR="00BF1F30" w:rsidRPr="009A27ED">
        <w:rPr>
          <w:rFonts w:ascii="Times New Roman" w:eastAsia="Times New Roman" w:hAnsi="Times New Roman"/>
          <w:strike/>
          <w:sz w:val="24"/>
          <w:lang w:val="es-ES_tradnl"/>
        </w:rPr>
        <w:t>beneficiarios</w:t>
      </w:r>
      <w:r w:rsidR="00BF1F30" w:rsidRPr="009A27ED">
        <w:rPr>
          <w:rFonts w:ascii="Times New Roman" w:eastAsia="Times New Roman" w:hAnsi="Times New Roman"/>
          <w:sz w:val="24"/>
          <w:lang w:val="es-ES_tradnl"/>
        </w:rPr>
        <w:t xml:space="preserve"> y los tipos de beneficiarios propuestos, los criterios para la distribución de beneficios, la estructura de gobernanza del PDB y el flujo de fondos a los beneficiarios, así como los procesos y procedimientos para tomar decisiones sobre la distribución de beneficios, e) reunión con gerentes de las 5 federaciones regionales de ganaderos, f) amplio proceso de difusión y consulta sobre el PDB con las partes interesadas y los potenciales beneficiarios directos, g) talleres sectoriales e intersectoriales con el Comité Asesor Técnico (CTA), h) 5 reuniones regionales (1 para cada área prioritaria) con asociaciones y federaciones de productores forestales, de café, cacao, ganaderos y grupos comunitarios de las áreas circundantes a las áreas protegidas, i) taller nacional con productores de cacao y dos federaciones regionales de ganaderos, j) </w:t>
      </w:r>
      <w:r w:rsidR="00BF1F30" w:rsidRPr="009A27ED">
        <w:rPr>
          <w:rFonts w:ascii="Times New Roman" w:eastAsia="Times New Roman" w:hAnsi="Times New Roman"/>
          <w:sz w:val="24"/>
          <w:lang w:val="es-ES"/>
        </w:rPr>
        <w:t>consultas con 3 federaciones de agricultores, correspondientes a las regiones Norte, Nordeste y Este, k)</w:t>
      </w:r>
      <w:r w:rsidR="00BF1F30" w:rsidRPr="009A27ED">
        <w:rPr>
          <w:rFonts w:ascii="Times New Roman" w:eastAsiaTheme="minorEastAsia" w:hAnsi="Times New Roman"/>
          <w:sz w:val="24"/>
          <w:lang w:val="es-ES" w:eastAsia="fr-FR"/>
        </w:rPr>
        <w:t xml:space="preserve"> </w:t>
      </w:r>
      <w:r w:rsidR="00BF1F30" w:rsidRPr="009A27ED">
        <w:rPr>
          <w:rFonts w:ascii="Times New Roman" w:eastAsia="Times New Roman" w:hAnsi="Times New Roman"/>
          <w:sz w:val="24"/>
          <w:lang w:val="es-ES"/>
        </w:rPr>
        <w:t>12 consultas con actores clave en cinco regiones del país, acerca de criterios adicionales para la distribución de beneficios</w:t>
      </w:r>
      <w:r w:rsidR="00BF1F30" w:rsidRPr="009A27ED">
        <w:rPr>
          <w:rFonts w:ascii="Times New Roman" w:eastAsia="Times New Roman" w:hAnsi="Times New Roman"/>
          <w:sz w:val="24"/>
          <w:lang w:val="es-ES_tradnl"/>
        </w:rPr>
        <w:t>.</w:t>
      </w:r>
    </w:p>
    <w:p w14:paraId="0F9477B9" w14:textId="77777777" w:rsidR="00BF1F30" w:rsidRPr="009A27ED" w:rsidRDefault="00BF1F30" w:rsidP="00BF1F30">
      <w:pPr>
        <w:pStyle w:val="Prrafodelista"/>
        <w:spacing w:line="360" w:lineRule="auto"/>
        <w:contextualSpacing w:val="0"/>
        <w:rPr>
          <w:lang w:val="es-ES_tradnl"/>
        </w:rPr>
      </w:pPr>
    </w:p>
    <w:p w14:paraId="4DC1B3D2" w14:textId="77777777" w:rsidR="00BF1F30" w:rsidRPr="009A27ED" w:rsidRDefault="00BF1F30" w:rsidP="00BF1F30">
      <w:pPr>
        <w:pStyle w:val="Default"/>
        <w:spacing w:line="360" w:lineRule="auto"/>
        <w:jc w:val="both"/>
        <w:rPr>
          <w:rFonts w:asciiTheme="minorHAnsi" w:hAnsiTheme="minorHAnsi" w:cstheme="minorHAnsi"/>
          <w:sz w:val="22"/>
          <w:szCs w:val="22"/>
        </w:rPr>
      </w:pPr>
      <w:r w:rsidRPr="009A27ED">
        <w:rPr>
          <w:rFonts w:asciiTheme="minorHAnsi" w:hAnsiTheme="minorHAnsi" w:cstheme="minorHAnsi"/>
          <w:szCs w:val="22"/>
          <w:lang w:val="es-ES_tradnl"/>
        </w:rPr>
        <w:t>Durante</w:t>
      </w:r>
      <w:r w:rsidRPr="009A27ED">
        <w:rPr>
          <w:rFonts w:asciiTheme="minorHAnsi" w:hAnsiTheme="minorHAnsi" w:cstheme="minorHAnsi"/>
          <w:szCs w:val="22"/>
        </w:rPr>
        <w:t xml:space="preserve"> el segundo semestre del año 2021, se realizaron actividades de consulta con cada Entidad Ejecutora y los actores clave sobre la propuesta de criterios adicionales y los métodos de ponderación establecidos para la distribución de beneficios. </w:t>
      </w:r>
    </w:p>
    <w:p w14:paraId="1B1C614C" w14:textId="77777777" w:rsidR="00BF1F30" w:rsidRPr="009A27ED" w:rsidRDefault="00BF1F30" w:rsidP="00BF1F30">
      <w:pPr>
        <w:pStyle w:val="Default"/>
        <w:spacing w:line="360" w:lineRule="auto"/>
        <w:jc w:val="both"/>
        <w:rPr>
          <w:rFonts w:asciiTheme="minorHAnsi" w:hAnsiTheme="minorHAnsi" w:cstheme="minorHAnsi"/>
          <w:sz w:val="22"/>
          <w:szCs w:val="22"/>
        </w:rPr>
      </w:pPr>
    </w:p>
    <w:p w14:paraId="2ACD6A91" w14:textId="77777777" w:rsidR="00BF1F30" w:rsidRPr="009A27ED" w:rsidRDefault="00BF1F30" w:rsidP="00BF1F30">
      <w:pPr>
        <w:pStyle w:val="Default"/>
        <w:spacing w:line="360" w:lineRule="auto"/>
        <w:jc w:val="both"/>
        <w:rPr>
          <w:rFonts w:asciiTheme="minorHAnsi" w:hAnsiTheme="minorHAnsi" w:cstheme="minorHAnsi"/>
          <w:sz w:val="22"/>
          <w:szCs w:val="22"/>
        </w:rPr>
      </w:pPr>
      <w:r w:rsidRPr="009A27ED">
        <w:rPr>
          <w:rFonts w:asciiTheme="minorHAnsi" w:hAnsiTheme="minorHAnsi" w:cstheme="minorHAnsi"/>
          <w:szCs w:val="22"/>
        </w:rPr>
        <w:t xml:space="preserve">Asimismo, el referido proceso de consulta abordó: a) quiénes serán los beneficiarios; b) los criterios que rigen el PDB; c) el tipo y la proporción de los beneficios monetarios y no monetarios; d) los requisitos que deben cumplir los beneficiarios; e) el mecanismo de toma de decisiones para la </w:t>
      </w:r>
      <w:r w:rsidRPr="009A27ED">
        <w:rPr>
          <w:rFonts w:asciiTheme="minorHAnsi" w:hAnsiTheme="minorHAnsi" w:cstheme="minorHAnsi"/>
          <w:szCs w:val="22"/>
        </w:rPr>
        <w:lastRenderedPageBreak/>
        <w:t xml:space="preserve">distribución de beneficios; f) los arreglos institucionales, g) el flujo de información y el proceso de reporte y verificación de emisiones. </w:t>
      </w:r>
    </w:p>
    <w:p w14:paraId="257DFADE" w14:textId="77777777" w:rsidR="00BF1F30" w:rsidRPr="009A27ED" w:rsidRDefault="00BF1F30" w:rsidP="00BF1F30">
      <w:pPr>
        <w:pStyle w:val="Default"/>
        <w:spacing w:line="360" w:lineRule="auto"/>
        <w:jc w:val="both"/>
        <w:rPr>
          <w:rFonts w:asciiTheme="minorHAnsi" w:hAnsiTheme="minorHAnsi" w:cstheme="minorHAnsi"/>
          <w:sz w:val="22"/>
          <w:szCs w:val="22"/>
        </w:rPr>
      </w:pPr>
    </w:p>
    <w:p w14:paraId="6D0DE758" w14:textId="77777777" w:rsidR="00BF1F30" w:rsidRPr="009A27ED" w:rsidRDefault="00BF1F30" w:rsidP="00BF1F30">
      <w:pPr>
        <w:pStyle w:val="Default"/>
        <w:spacing w:line="360" w:lineRule="auto"/>
        <w:jc w:val="both"/>
        <w:rPr>
          <w:rFonts w:asciiTheme="minorHAnsi" w:hAnsiTheme="minorHAnsi" w:cstheme="minorHAnsi"/>
          <w:sz w:val="22"/>
          <w:szCs w:val="22"/>
        </w:rPr>
      </w:pPr>
      <w:r w:rsidRPr="009A27ED">
        <w:rPr>
          <w:rFonts w:asciiTheme="minorHAnsi" w:hAnsiTheme="minorHAnsi" w:cstheme="minorHAnsi"/>
          <w:szCs w:val="22"/>
        </w:rPr>
        <w:t xml:space="preserve">En el mismo período se realizaron reuniones con las Federaciones, Asociaciones y grupos de productores y beneficiarios potenciales para discutir los criterios de elegibilidad de los beneficiarios y los requisitos legales para participar en el Programa REDD+, así como los tipos de beneficios. Del mismo modo, se realizaron capacitaciones sobre los roles y facultades del CNDB, y de los Comités de Beneficiarios (CB). </w:t>
      </w:r>
    </w:p>
    <w:p w14:paraId="49710CDC" w14:textId="77777777" w:rsidR="00BF1F30" w:rsidRPr="009A27ED" w:rsidRDefault="00BF1F30" w:rsidP="00BF1F30">
      <w:pPr>
        <w:pStyle w:val="Default"/>
        <w:spacing w:line="360" w:lineRule="auto"/>
        <w:jc w:val="both"/>
        <w:rPr>
          <w:rFonts w:asciiTheme="minorHAnsi" w:hAnsiTheme="minorHAnsi" w:cstheme="minorHAnsi"/>
          <w:sz w:val="22"/>
          <w:szCs w:val="22"/>
        </w:rPr>
      </w:pPr>
    </w:p>
    <w:p w14:paraId="1107315C" w14:textId="77777777" w:rsidR="00BF1F30" w:rsidRPr="009A27ED" w:rsidRDefault="00BF1F30" w:rsidP="00BF1F30">
      <w:pPr>
        <w:pStyle w:val="Default"/>
        <w:spacing w:line="360" w:lineRule="auto"/>
        <w:jc w:val="both"/>
        <w:rPr>
          <w:rFonts w:asciiTheme="minorHAnsi" w:hAnsiTheme="minorHAnsi" w:cstheme="minorHAnsi"/>
          <w:sz w:val="22"/>
          <w:szCs w:val="22"/>
        </w:rPr>
      </w:pPr>
      <w:r w:rsidRPr="009A27ED">
        <w:rPr>
          <w:rFonts w:asciiTheme="minorHAnsi" w:hAnsiTheme="minorHAnsi" w:cstheme="minorHAnsi"/>
          <w:szCs w:val="22"/>
        </w:rPr>
        <w:t xml:space="preserve">Finalmente, en la reunión del CTA de fecha 4 de noviembre de 2021, se consensuaron los criterios de distribución, metodologías y fórmulas para su aplicación, permitiendo incorporarlos a la versión final del PDB presentada al Banco Mundial y el FCPF en enero del 2022. </w:t>
      </w:r>
    </w:p>
    <w:p w14:paraId="5BFD5D4D" w14:textId="77777777" w:rsidR="00BF1F30" w:rsidRPr="009A27ED" w:rsidRDefault="00BF1F30" w:rsidP="00BF1F30">
      <w:pPr>
        <w:pStyle w:val="Default"/>
        <w:spacing w:line="360" w:lineRule="auto"/>
        <w:jc w:val="both"/>
        <w:rPr>
          <w:rFonts w:asciiTheme="minorHAnsi" w:hAnsiTheme="minorHAnsi" w:cstheme="minorHAnsi"/>
          <w:sz w:val="22"/>
          <w:szCs w:val="22"/>
        </w:rPr>
      </w:pPr>
    </w:p>
    <w:p w14:paraId="21F14CBC" w14:textId="77777777" w:rsidR="00BF1F30" w:rsidRPr="009A27ED" w:rsidRDefault="00BF1F30" w:rsidP="00BF1F30">
      <w:pPr>
        <w:pStyle w:val="Prrafodelista"/>
        <w:spacing w:line="360" w:lineRule="auto"/>
        <w:contextualSpacing w:val="0"/>
        <w:rPr>
          <w:lang w:val="es-ES_tradnl"/>
        </w:rPr>
      </w:pPr>
      <w:r w:rsidRPr="009A27ED">
        <w:rPr>
          <w:rFonts w:ascii="Times New Roman" w:eastAsia="Times New Roman" w:hAnsi="Times New Roman"/>
          <w:sz w:val="24"/>
        </w:rPr>
        <w:t xml:space="preserve">En fecha 18 de abril del 2022 el PDB fue aprobado en su versión final por el Banco Mundial y el FCPF para dar cumplimiento a la condición de efectividad establecida en el ERPA. a versión final del PDB ha sido compartida con todos los miembros del Comité Directivo (CD), el Comité Técnico Asesor (CTA), el CNDB y con todas las Federaciones y Asociaciones relacionadas con el Programa REDD+. </w:t>
      </w:r>
    </w:p>
    <w:p w14:paraId="41198224" w14:textId="77777777" w:rsidR="00BF1F30" w:rsidRPr="009A27ED" w:rsidRDefault="00BF1F30" w:rsidP="00BF1F30">
      <w:pPr>
        <w:spacing w:line="360" w:lineRule="auto"/>
      </w:pPr>
    </w:p>
    <w:p w14:paraId="0AA2819D" w14:textId="64502F9D" w:rsidR="00BF1F30" w:rsidRPr="009A27ED" w:rsidRDefault="00194910" w:rsidP="00BF1F30">
      <w:pPr>
        <w:spacing w:line="360" w:lineRule="auto"/>
        <w:rPr>
          <w:rFonts w:eastAsia="Raleway"/>
        </w:rPr>
      </w:pPr>
      <w:r w:rsidRPr="009A27ED">
        <w:rPr>
          <w:rFonts w:ascii="Times New Roman" w:eastAsia="Times New Roman" w:hAnsi="Times New Roman"/>
          <w:sz w:val="24"/>
        </w:rPr>
        <w:t>A continuación, o</w:t>
      </w:r>
      <w:r w:rsidR="00BF1F30" w:rsidRPr="009A27ED">
        <w:rPr>
          <w:rFonts w:ascii="Times New Roman" w:eastAsia="Times New Roman" w:hAnsi="Times New Roman"/>
          <w:sz w:val="24"/>
        </w:rPr>
        <w:t>tras actividades de planificación y consulta</w:t>
      </w:r>
    </w:p>
    <w:p w14:paraId="1753120B" w14:textId="0D5BB539" w:rsidR="00BF1F30" w:rsidRPr="009A27ED" w:rsidRDefault="00BF1F30" w:rsidP="00194910">
      <w:pPr>
        <w:pStyle w:val="Default"/>
        <w:numPr>
          <w:ilvl w:val="6"/>
          <w:numId w:val="241"/>
        </w:numPr>
        <w:spacing w:line="360" w:lineRule="auto"/>
        <w:jc w:val="both"/>
        <w:rPr>
          <w:rFonts w:asciiTheme="minorHAnsi" w:hAnsiTheme="minorHAnsi" w:cstheme="minorHAnsi"/>
          <w:sz w:val="22"/>
          <w:szCs w:val="22"/>
        </w:rPr>
      </w:pPr>
      <w:r w:rsidRPr="009A27ED">
        <w:rPr>
          <w:rFonts w:asciiTheme="minorHAnsi" w:hAnsiTheme="minorHAnsi" w:cstheme="minorHAnsi"/>
          <w:b/>
          <w:bCs/>
          <w:szCs w:val="22"/>
        </w:rPr>
        <w:t>Reunión del Comité Técnico Asesor (CTA</w:t>
      </w:r>
      <w:r w:rsidRPr="009A27ED">
        <w:rPr>
          <w:rFonts w:asciiTheme="minorHAnsi" w:hAnsiTheme="minorHAnsi" w:cstheme="minorHAnsi"/>
          <w:szCs w:val="22"/>
        </w:rPr>
        <w:t xml:space="preserve">) para presentación de la hoja de ruta para la conformación del Comité Nacional de Distribución de Beneficios (CNDB), mediante una sesión virtual en fecha 18 de noviembre 2021, en la que participaron 35 personas, 18 hombres y 17 mujeres </w:t>
      </w:r>
    </w:p>
    <w:p w14:paraId="68E7F7B3" w14:textId="68659B4B" w:rsidR="00BF1F30" w:rsidRPr="009A27ED" w:rsidRDefault="00BF1F30" w:rsidP="00194910">
      <w:pPr>
        <w:pStyle w:val="Default"/>
        <w:numPr>
          <w:ilvl w:val="6"/>
          <w:numId w:val="241"/>
        </w:numPr>
        <w:spacing w:line="360" w:lineRule="auto"/>
        <w:jc w:val="both"/>
        <w:rPr>
          <w:rFonts w:asciiTheme="minorHAnsi" w:hAnsiTheme="minorHAnsi" w:cstheme="minorHAnsi"/>
          <w:sz w:val="22"/>
          <w:szCs w:val="22"/>
        </w:rPr>
      </w:pPr>
      <w:r w:rsidRPr="009A27ED">
        <w:rPr>
          <w:rFonts w:asciiTheme="minorHAnsi" w:hAnsiTheme="minorHAnsi" w:cstheme="minorHAnsi"/>
          <w:b/>
          <w:bCs/>
          <w:szCs w:val="22"/>
        </w:rPr>
        <w:t xml:space="preserve">Revisión del Borrador final del Documento Estrategia Nacional REDD+, </w:t>
      </w:r>
      <w:r w:rsidRPr="009A27ED">
        <w:rPr>
          <w:rFonts w:asciiTheme="minorHAnsi" w:hAnsiTheme="minorHAnsi" w:cstheme="minorHAnsi"/>
          <w:szCs w:val="22"/>
        </w:rPr>
        <w:t xml:space="preserve">en fecha 29 de marzo 2022, con la participación de 26 profesionales expertos, de las cuales 15 fueron </w:t>
      </w:r>
      <w:r w:rsidRPr="009A27ED">
        <w:rPr>
          <w:rFonts w:asciiTheme="minorHAnsi" w:hAnsiTheme="minorHAnsi" w:cstheme="minorHAnsi"/>
          <w:strike/>
          <w:szCs w:val="22"/>
        </w:rPr>
        <w:t xml:space="preserve">son </w:t>
      </w:r>
      <w:r w:rsidRPr="009A27ED">
        <w:rPr>
          <w:rFonts w:asciiTheme="minorHAnsi" w:hAnsiTheme="minorHAnsi" w:cstheme="minorHAnsi"/>
          <w:szCs w:val="22"/>
        </w:rPr>
        <w:t xml:space="preserve">hombres y 11 mujeres, todos y todas representantes de instituciones gubernamentales, sector privado y organizaciones de la sociedad civil vinculadas al uso y cambio de uso de la tierra. </w:t>
      </w:r>
    </w:p>
    <w:p w14:paraId="261687B6" w14:textId="05E8978F" w:rsidR="00BF1F30" w:rsidRPr="009A27ED" w:rsidRDefault="00BF1F30" w:rsidP="00194910">
      <w:pPr>
        <w:pStyle w:val="Default"/>
        <w:numPr>
          <w:ilvl w:val="6"/>
          <w:numId w:val="241"/>
        </w:numPr>
        <w:spacing w:line="360" w:lineRule="auto"/>
        <w:jc w:val="both"/>
        <w:rPr>
          <w:rFonts w:asciiTheme="minorHAnsi" w:hAnsiTheme="minorHAnsi" w:cstheme="minorHAnsi"/>
          <w:sz w:val="22"/>
          <w:szCs w:val="22"/>
        </w:rPr>
      </w:pPr>
      <w:r w:rsidRPr="009A27ED">
        <w:rPr>
          <w:rFonts w:asciiTheme="minorHAnsi" w:hAnsiTheme="minorHAnsi" w:cstheme="minorHAnsi"/>
          <w:b/>
          <w:bCs/>
          <w:szCs w:val="22"/>
        </w:rPr>
        <w:lastRenderedPageBreak/>
        <w:t xml:space="preserve">Presentación del documento final del Plan de Distribución de Beneficios </w:t>
      </w:r>
      <w:r w:rsidRPr="009A27ED">
        <w:rPr>
          <w:rFonts w:asciiTheme="minorHAnsi" w:hAnsiTheme="minorHAnsi" w:cstheme="minorHAnsi"/>
          <w:szCs w:val="22"/>
        </w:rPr>
        <w:t>a los delegados designados por las Entidades Ejecutoras y las Federaciones, Asociaciones, Cooperativas, para conformar el CNDB</w:t>
      </w:r>
    </w:p>
    <w:p w14:paraId="49612A5B" w14:textId="3494623D" w:rsidR="00BF1F30" w:rsidRPr="009A27ED" w:rsidRDefault="00BF1F30" w:rsidP="00194910">
      <w:pPr>
        <w:pStyle w:val="Default"/>
        <w:numPr>
          <w:ilvl w:val="3"/>
          <w:numId w:val="241"/>
        </w:numPr>
        <w:spacing w:line="360" w:lineRule="auto"/>
        <w:jc w:val="both"/>
        <w:rPr>
          <w:rFonts w:asciiTheme="minorHAnsi" w:hAnsiTheme="minorHAnsi" w:cstheme="minorHAnsi"/>
          <w:sz w:val="22"/>
          <w:szCs w:val="22"/>
        </w:rPr>
      </w:pPr>
      <w:r w:rsidRPr="009A27ED">
        <w:rPr>
          <w:rFonts w:asciiTheme="minorHAnsi" w:hAnsiTheme="minorHAnsi" w:cstheme="minorHAnsi"/>
          <w:b/>
        </w:rPr>
        <w:t>Comité Nacional de Distribución de Beneficios (CNDB)</w:t>
      </w:r>
      <w:r w:rsidRPr="009A27ED">
        <w:rPr>
          <w:rFonts w:asciiTheme="minorHAnsi" w:hAnsiTheme="minorHAnsi" w:cstheme="minorHAnsi"/>
        </w:rPr>
        <w:t xml:space="preserve">, en fecha 5 de abril del 2022, con la asistencia de 18 participantes, 13 hombres y 5 mujeres. </w:t>
      </w:r>
    </w:p>
    <w:p w14:paraId="2FA2CBB6" w14:textId="1C4D2062" w:rsidR="00BF1F30" w:rsidRPr="009A27ED" w:rsidRDefault="00BF1F30" w:rsidP="00194910">
      <w:pPr>
        <w:pStyle w:val="Default"/>
        <w:numPr>
          <w:ilvl w:val="3"/>
          <w:numId w:val="241"/>
        </w:numPr>
        <w:spacing w:line="360" w:lineRule="auto"/>
        <w:jc w:val="both"/>
        <w:rPr>
          <w:rFonts w:asciiTheme="minorHAnsi" w:hAnsiTheme="minorHAnsi" w:cstheme="minorHAnsi"/>
          <w:sz w:val="22"/>
          <w:szCs w:val="22"/>
        </w:rPr>
      </w:pPr>
      <w:r w:rsidRPr="009A27ED">
        <w:rPr>
          <w:rFonts w:asciiTheme="minorHAnsi" w:hAnsiTheme="minorHAnsi" w:cstheme="minorHAnsi"/>
          <w:b/>
          <w:bCs/>
        </w:rPr>
        <w:t xml:space="preserve">Reunión del Comité Técnico Asesor (CTA) </w:t>
      </w:r>
      <w:r w:rsidRPr="009A27ED">
        <w:rPr>
          <w:rFonts w:asciiTheme="minorHAnsi" w:hAnsiTheme="minorHAnsi" w:cstheme="minorHAnsi"/>
        </w:rPr>
        <w:t xml:space="preserve">en fecha 5 de mayo 2022, con la participación de 29 miembros, </w:t>
      </w:r>
      <w:r w:rsidR="00194910" w:rsidRPr="009A27ED">
        <w:rPr>
          <w:rFonts w:asciiTheme="minorHAnsi" w:hAnsiTheme="minorHAnsi" w:cstheme="minorHAnsi"/>
        </w:rPr>
        <w:t>14 mujeres</w:t>
      </w:r>
      <w:r w:rsidRPr="009A27ED">
        <w:rPr>
          <w:rFonts w:asciiTheme="minorHAnsi" w:hAnsiTheme="minorHAnsi" w:cstheme="minorHAnsi"/>
        </w:rPr>
        <w:t xml:space="preserve"> y 15 hombres. En la misma se presentaron los avances del: Programa REDD+, el Borrador de Reglamento para la Operación del CTA, y los avances en los sistemas de registro de iniciativas REDD+, Sistema de Quejas, Reclamos y Manejo de Conflictos (SQRC) y Sistema de Información de Salvaguardas (SIS). Esta fue la reunión de cierre o rendición de cuentas por parte de la UTG ante el CTA.</w:t>
      </w:r>
    </w:p>
    <w:p w14:paraId="136DD91D" w14:textId="40FFB8EE" w:rsidR="00BF1F30" w:rsidRPr="009A27ED" w:rsidRDefault="00BF1F30" w:rsidP="00194910">
      <w:pPr>
        <w:pStyle w:val="Default"/>
        <w:numPr>
          <w:ilvl w:val="3"/>
          <w:numId w:val="241"/>
        </w:numPr>
        <w:spacing w:line="360" w:lineRule="auto"/>
        <w:jc w:val="both"/>
        <w:rPr>
          <w:rFonts w:asciiTheme="minorHAnsi" w:hAnsiTheme="minorHAnsi" w:cstheme="minorHAnsi"/>
          <w:sz w:val="22"/>
          <w:szCs w:val="22"/>
        </w:rPr>
      </w:pPr>
      <w:r w:rsidRPr="009A27ED">
        <w:rPr>
          <w:rFonts w:asciiTheme="minorHAnsi" w:hAnsiTheme="minorHAnsi" w:cstheme="minorHAnsi"/>
          <w:b/>
          <w:bCs/>
        </w:rPr>
        <w:t>Revisión del Reglamento para la Operación del Comité Nacional de Distribución de Beneficios</w:t>
      </w:r>
      <w:r w:rsidRPr="009A27ED">
        <w:rPr>
          <w:rFonts w:asciiTheme="minorHAnsi" w:hAnsiTheme="minorHAnsi" w:cstheme="minorHAnsi"/>
        </w:rPr>
        <w:t xml:space="preserve">, mediante un taller en fecha 17 de mayo del 2022 con la participación de diez (10) miembros del CNDB, de los cuales 7 son hombres y 3 son mujeres. </w:t>
      </w:r>
    </w:p>
    <w:p w14:paraId="782EF8C3" w14:textId="77777777" w:rsidR="00BF1F30" w:rsidRPr="009A27ED" w:rsidRDefault="00BF1F30" w:rsidP="00BF1F30">
      <w:pPr>
        <w:spacing w:line="360" w:lineRule="auto"/>
      </w:pPr>
    </w:p>
    <w:p w14:paraId="381A0514" w14:textId="77777777" w:rsidR="00BF1F30" w:rsidRPr="009A27ED" w:rsidRDefault="00BF1F30" w:rsidP="00E71948">
      <w:pPr>
        <w:pStyle w:val="Ttulo1"/>
        <w:numPr>
          <w:ilvl w:val="0"/>
          <w:numId w:val="0"/>
        </w:numPr>
        <w:spacing w:line="360" w:lineRule="auto"/>
        <w:ind w:left="284"/>
        <w:jc w:val="both"/>
      </w:pPr>
    </w:p>
    <w:p w14:paraId="4C5FB36A" w14:textId="5A6A3903" w:rsidR="00F512DB" w:rsidRPr="009A27ED" w:rsidRDefault="00F512DB" w:rsidP="00E71948">
      <w:pPr>
        <w:pStyle w:val="Ttulo1"/>
        <w:numPr>
          <w:ilvl w:val="0"/>
          <w:numId w:val="0"/>
        </w:numPr>
        <w:spacing w:line="360" w:lineRule="auto"/>
        <w:ind w:left="284"/>
        <w:jc w:val="both"/>
      </w:pPr>
      <w:bookmarkStart w:id="338" w:name="_Toc111838005"/>
      <w:r w:rsidRPr="009A27ED">
        <w:rPr>
          <w:rFonts w:ascii="Times New Roman" w:eastAsia="Times New Roman" w:hAnsi="Times New Roman"/>
          <w:sz w:val="24"/>
        </w:rPr>
        <w:t>12. Fortalecimiento de las Capacidades Institucionales</w:t>
      </w:r>
      <w:bookmarkEnd w:id="338"/>
      <w:r w:rsidRPr="009A27ED">
        <w:rPr>
          <w:rFonts w:ascii="Times New Roman" w:eastAsia="Times New Roman" w:hAnsi="Times New Roman"/>
          <w:sz w:val="24"/>
        </w:rPr>
        <w:t xml:space="preserve"> </w:t>
      </w:r>
    </w:p>
    <w:p w14:paraId="0E72D3C2" w14:textId="77777777" w:rsidR="00F512DB" w:rsidRPr="009A27ED" w:rsidRDefault="00F512DB" w:rsidP="00F512DB">
      <w:pPr>
        <w:spacing w:before="120" w:after="0" w:line="360" w:lineRule="auto"/>
        <w:rPr>
          <w:szCs w:val="22"/>
        </w:rPr>
      </w:pPr>
      <w:r w:rsidRPr="009A27ED">
        <w:rPr>
          <w:rFonts w:ascii="Times New Roman" w:eastAsia="Times New Roman" w:hAnsi="Times New Roman"/>
          <w:sz w:val="24"/>
          <w:szCs w:val="22"/>
        </w:rPr>
        <w:t>Para el debido conocimiento y aplicación del MGAS, resultó indispensable llevar a cabo un proceso de capacitación a las diferentes EE con un efecto multiplicador, con el fin de dar a conocer el alcance, propósito y responsabilidades adquiridas, así como el contenido de este MGAS, sus PMAS, el SIS, el SRQC y las medidas de mitigación que deben ser aplicadas, así como de los niveles de participación y seguimiento.</w:t>
      </w:r>
    </w:p>
    <w:p w14:paraId="663282AE" w14:textId="77777777" w:rsidR="00F512DB" w:rsidRPr="009A27ED" w:rsidRDefault="00F512DB" w:rsidP="00F512DB">
      <w:pPr>
        <w:spacing w:before="100" w:beforeAutospacing="1" w:after="100" w:afterAutospacing="1" w:line="360" w:lineRule="auto"/>
        <w:rPr>
          <w:szCs w:val="22"/>
          <w:lang w:val="es-DO"/>
        </w:rPr>
      </w:pPr>
      <w:r w:rsidRPr="009A27ED">
        <w:rPr>
          <w:rFonts w:ascii="Times New Roman" w:eastAsia="Times New Roman" w:hAnsi="Times New Roman"/>
          <w:sz w:val="24"/>
          <w:szCs w:val="22"/>
        </w:rPr>
        <w:t>Para este fin, el Ministerio de Medio Ambiente y Recursos Naturales realizó un proceso para el diagnóstico de las capacidades institucionales, elaborando además un Plan de Fortalecimiento de capacidades. E</w:t>
      </w:r>
      <w:r w:rsidRPr="009A27ED">
        <w:rPr>
          <w:rFonts w:ascii="Times New Roman" w:eastAsia="Times New Roman" w:hAnsi="Times New Roman"/>
          <w:sz w:val="24"/>
          <w:szCs w:val="22"/>
          <w:lang w:val="es-DO"/>
        </w:rPr>
        <w:t xml:space="preserve">l análisis de la información recopilada se incluye en detalle en el </w:t>
      </w:r>
      <w:r w:rsidRPr="009A27ED">
        <w:rPr>
          <w:rFonts w:ascii="Times New Roman" w:eastAsia="Times New Roman" w:hAnsi="Times New Roman"/>
          <w:b/>
          <w:bCs/>
          <w:sz w:val="24"/>
          <w:szCs w:val="22"/>
          <w:lang w:val="es-DO"/>
        </w:rPr>
        <w:t xml:space="preserve">Anexo 7 del presente documento </w:t>
      </w:r>
      <w:r w:rsidRPr="009A27ED">
        <w:rPr>
          <w:rFonts w:ascii="Times New Roman" w:eastAsia="Times New Roman" w:hAnsi="Times New Roman"/>
          <w:b/>
          <w:bCs/>
          <w:i/>
          <w:iCs/>
          <w:sz w:val="24"/>
          <w:szCs w:val="22"/>
          <w:lang w:val="es-DO"/>
        </w:rPr>
        <w:t>“Diagnóstico de las capacidades de las Entidades Ejecutoras”</w:t>
      </w:r>
      <w:r w:rsidRPr="009A27ED">
        <w:rPr>
          <w:rFonts w:ascii="Times New Roman" w:eastAsia="Times New Roman" w:hAnsi="Times New Roman"/>
          <w:b/>
          <w:bCs/>
          <w:sz w:val="24"/>
          <w:szCs w:val="22"/>
          <w:lang w:val="es-DO"/>
        </w:rPr>
        <w:t>,</w:t>
      </w:r>
      <w:r w:rsidRPr="009A27ED">
        <w:rPr>
          <w:rFonts w:ascii="Times New Roman" w:eastAsia="Times New Roman" w:hAnsi="Times New Roman"/>
          <w:sz w:val="24"/>
          <w:szCs w:val="22"/>
          <w:lang w:val="es-DO"/>
        </w:rPr>
        <w:t xml:space="preserve"> donde se refleja el conocimiento técnico sobre REDD+ y sobre las salvaguardas ambientales y sociales, dando como resultado que el personal que conforma el CTA presentó un conocimiento moderado, y tanto las EE y </w:t>
      </w:r>
      <w:r w:rsidRPr="009A27ED">
        <w:rPr>
          <w:rFonts w:ascii="Times New Roman" w:eastAsia="Times New Roman" w:hAnsi="Times New Roman"/>
          <w:sz w:val="24"/>
          <w:szCs w:val="22"/>
          <w:lang w:val="es-DO"/>
        </w:rPr>
        <w:lastRenderedPageBreak/>
        <w:t xml:space="preserve">los beneficiarios su conocimiento era bajo. Por lo que se inició una etapa de socialización de la información sobre el Programa REDD+ y la ENREDD+ y sus componentes y subcomponentes hacia estos grupos relevantes para la exitosa implementación de las actividades tipo de REDD+ en República Dominicana. </w:t>
      </w:r>
    </w:p>
    <w:p w14:paraId="3ACC38CF" w14:textId="77777777" w:rsidR="00F512DB" w:rsidRPr="009A27ED" w:rsidRDefault="00F512DB" w:rsidP="00F512DB">
      <w:pPr>
        <w:spacing w:line="360" w:lineRule="auto"/>
        <w:rPr>
          <w:szCs w:val="22"/>
          <w:lang w:val="es-DO"/>
        </w:rPr>
      </w:pPr>
      <w:r w:rsidRPr="009A27ED">
        <w:rPr>
          <w:rFonts w:ascii="Times New Roman" w:eastAsia="Times New Roman" w:hAnsi="Times New Roman"/>
          <w:sz w:val="24"/>
          <w:szCs w:val="22"/>
          <w:lang w:val="es-DO"/>
        </w:rPr>
        <w:t xml:space="preserve">El diagnóstico de capacidades incluyó </w:t>
      </w:r>
      <w:r w:rsidRPr="009A27ED">
        <w:rPr>
          <w:rFonts w:ascii="Times New Roman" w:eastAsia="Times New Roman" w:hAnsi="Times New Roman"/>
          <w:bCs/>
          <w:sz w:val="24"/>
          <w:szCs w:val="22"/>
          <w:lang w:val="es-DO"/>
        </w:rPr>
        <w:t>información</w:t>
      </w:r>
      <w:r w:rsidRPr="009A27ED">
        <w:rPr>
          <w:rFonts w:ascii="Times New Roman" w:eastAsia="Times New Roman" w:hAnsi="Times New Roman"/>
          <w:b/>
          <w:sz w:val="24"/>
          <w:szCs w:val="22"/>
          <w:lang w:val="es-DO"/>
        </w:rPr>
        <w:t xml:space="preserve"> </w:t>
      </w:r>
      <w:r w:rsidRPr="009A27ED">
        <w:rPr>
          <w:rFonts w:ascii="Times New Roman" w:eastAsia="Times New Roman" w:hAnsi="Times New Roman"/>
          <w:sz w:val="24"/>
          <w:szCs w:val="22"/>
          <w:lang w:val="es-DO"/>
        </w:rPr>
        <w:t>sobre cada plan, sistema, programa y proyecto, con respecto a su ámbito geográfico de operación, los presupuestos asignados para su funcionamiento, gobernanza y especialmente, la forma en que miden sus resultados a través de indicadores, encuestas y entrevistas con las EE. Con esta información se elaboró una matriz que sintetiza toda la información recopilada en donde se identificaron los aspectos clave sobre los cuales se debería enfatizar el fortalecimiento de capacidades de las EE siendo los siguientes:</w:t>
      </w:r>
    </w:p>
    <w:p w14:paraId="47AC30BE" w14:textId="77777777" w:rsidR="00F512DB" w:rsidRPr="009A27ED" w:rsidRDefault="00F512DB" w:rsidP="00F512DB">
      <w:pPr>
        <w:numPr>
          <w:ilvl w:val="0"/>
          <w:numId w:val="172"/>
        </w:numPr>
        <w:spacing w:line="360" w:lineRule="auto"/>
        <w:contextualSpacing/>
        <w:rPr>
          <w:szCs w:val="22"/>
          <w:lang w:val="es-DO"/>
        </w:rPr>
      </w:pPr>
      <w:r w:rsidRPr="009A27ED">
        <w:rPr>
          <w:rFonts w:ascii="Times New Roman" w:eastAsia="Times New Roman" w:hAnsi="Times New Roman"/>
          <w:sz w:val="24"/>
          <w:szCs w:val="22"/>
          <w:lang w:val="es-DO"/>
        </w:rPr>
        <w:t>Fundamento legal de los planes, sistemas, programas y proyectos seleccionados para la implementación de REDD+ y su articulación con el marco legal, institucional y de cumplimiento del mecanismo REDD+.</w:t>
      </w:r>
    </w:p>
    <w:p w14:paraId="33D6D72B" w14:textId="77777777" w:rsidR="00F512DB" w:rsidRPr="009A27ED" w:rsidRDefault="00F512DB" w:rsidP="00F512DB">
      <w:pPr>
        <w:numPr>
          <w:ilvl w:val="0"/>
          <w:numId w:val="172"/>
        </w:numPr>
        <w:spacing w:line="360" w:lineRule="auto"/>
        <w:contextualSpacing/>
        <w:rPr>
          <w:szCs w:val="22"/>
          <w:lang w:val="es-DO"/>
        </w:rPr>
      </w:pPr>
      <w:r w:rsidRPr="009A27ED">
        <w:rPr>
          <w:rFonts w:ascii="Times New Roman" w:eastAsia="Times New Roman" w:hAnsi="Times New Roman"/>
          <w:sz w:val="24"/>
          <w:szCs w:val="22"/>
          <w:lang w:val="es-DO"/>
        </w:rPr>
        <w:t>Búsqueda de puntos en común entre los objetivos de los planes, sistemas, programas y proyectos seleccionados para la implementación de REDD+, y las opciones estratégicas REDD+ y con las actividades tipo REDD+.</w:t>
      </w:r>
    </w:p>
    <w:p w14:paraId="540966E9" w14:textId="77777777" w:rsidR="00F512DB" w:rsidRPr="009A27ED" w:rsidRDefault="00F512DB" w:rsidP="00F512DB">
      <w:pPr>
        <w:numPr>
          <w:ilvl w:val="0"/>
          <w:numId w:val="172"/>
        </w:numPr>
        <w:spacing w:line="360" w:lineRule="auto"/>
        <w:contextualSpacing/>
        <w:rPr>
          <w:szCs w:val="22"/>
          <w:lang w:val="es-DO"/>
        </w:rPr>
      </w:pPr>
      <w:r w:rsidRPr="009A27ED">
        <w:rPr>
          <w:rFonts w:ascii="Times New Roman" w:eastAsia="Times New Roman" w:hAnsi="Times New Roman"/>
          <w:sz w:val="24"/>
          <w:szCs w:val="22"/>
          <w:lang w:val="es-DO"/>
        </w:rPr>
        <w:t>Participación plena y efectiva de las EE en toda la gobernanza forestal REDD+ para que la toma de decisiones logre optimizar recursos humanos, técnicos y financieros en beneficio de la ampliación de las actividades tipo REDD+ a la escala de la contabilidad nacional que fue escogida por República Dominicana en función del cumplimiento de sus compromisos ante el FCPF,</w:t>
      </w:r>
    </w:p>
    <w:p w14:paraId="07BDCDC4" w14:textId="77777777" w:rsidR="00F512DB" w:rsidRPr="009A27ED" w:rsidRDefault="00F512DB" w:rsidP="00F512DB">
      <w:pPr>
        <w:numPr>
          <w:ilvl w:val="0"/>
          <w:numId w:val="172"/>
        </w:numPr>
        <w:spacing w:line="360" w:lineRule="auto"/>
        <w:contextualSpacing/>
        <w:rPr>
          <w:szCs w:val="22"/>
          <w:lang w:val="es-DO"/>
        </w:rPr>
      </w:pPr>
      <w:r w:rsidRPr="009A27ED">
        <w:rPr>
          <w:rFonts w:ascii="Times New Roman" w:eastAsia="Times New Roman" w:hAnsi="Times New Roman"/>
          <w:sz w:val="24"/>
          <w:szCs w:val="22"/>
          <w:lang w:val="es-DO"/>
        </w:rPr>
        <w:t>Mecanismos de colaboración entre el Ministerio de Medio Ambiente y las EE para enfocar los esfuerzos a nivel nacional, regional y local, en el cumplimiento del Programa REDD+ y los indicadores propuestos para abordar y respetar las salvaguardas sociales y ambientales y las políticas operativas del Banco Mundial,</w:t>
      </w:r>
    </w:p>
    <w:p w14:paraId="178B98DE" w14:textId="77777777" w:rsidR="00F512DB" w:rsidRPr="009A27ED" w:rsidRDefault="00F512DB" w:rsidP="00F512DB">
      <w:pPr>
        <w:numPr>
          <w:ilvl w:val="0"/>
          <w:numId w:val="172"/>
        </w:numPr>
        <w:spacing w:line="360" w:lineRule="auto"/>
        <w:contextualSpacing/>
        <w:rPr>
          <w:szCs w:val="22"/>
          <w:lang w:val="es-DO"/>
        </w:rPr>
      </w:pPr>
      <w:r w:rsidRPr="009A27ED">
        <w:rPr>
          <w:rFonts w:ascii="Times New Roman" w:eastAsia="Times New Roman" w:hAnsi="Times New Roman"/>
          <w:sz w:val="24"/>
          <w:szCs w:val="22"/>
          <w:lang w:val="es-DO"/>
        </w:rPr>
        <w:t>Fortalecimiento del conocimiento del sistema de queja, reclamos y manejo de conflictos SQRC diseñado para la ENREDD+ RD.</w:t>
      </w:r>
    </w:p>
    <w:p w14:paraId="61744D1F" w14:textId="77777777" w:rsidR="00F512DB" w:rsidRPr="009A27ED" w:rsidRDefault="00F512DB" w:rsidP="00F512DB">
      <w:pPr>
        <w:numPr>
          <w:ilvl w:val="0"/>
          <w:numId w:val="172"/>
        </w:numPr>
        <w:spacing w:line="360" w:lineRule="auto"/>
        <w:contextualSpacing/>
        <w:rPr>
          <w:szCs w:val="22"/>
          <w:lang w:val="es-DO"/>
        </w:rPr>
      </w:pPr>
      <w:r w:rsidRPr="009A27ED">
        <w:rPr>
          <w:rFonts w:ascii="Times New Roman" w:eastAsia="Times New Roman" w:hAnsi="Times New Roman"/>
          <w:sz w:val="24"/>
          <w:szCs w:val="22"/>
          <w:lang w:val="es-DO"/>
        </w:rPr>
        <w:t>Análisis y capacitación sobre las actividades Tipo REDD+ y los procesos para su implementación.</w:t>
      </w:r>
    </w:p>
    <w:p w14:paraId="45BF7B3F" w14:textId="77777777" w:rsidR="00F512DB" w:rsidRPr="009A27ED" w:rsidRDefault="00F512DB" w:rsidP="00F512DB">
      <w:pPr>
        <w:numPr>
          <w:ilvl w:val="0"/>
          <w:numId w:val="172"/>
        </w:numPr>
        <w:spacing w:line="360" w:lineRule="auto"/>
        <w:contextualSpacing/>
        <w:rPr>
          <w:szCs w:val="22"/>
          <w:lang w:val="es-DO"/>
        </w:rPr>
      </w:pPr>
      <w:r w:rsidRPr="009A27ED">
        <w:rPr>
          <w:rFonts w:ascii="Times New Roman" w:eastAsia="Times New Roman" w:hAnsi="Times New Roman"/>
          <w:sz w:val="24"/>
          <w:szCs w:val="22"/>
          <w:lang w:val="es-DO"/>
        </w:rPr>
        <w:lastRenderedPageBreak/>
        <w:t xml:space="preserve">Transversalización del enfoque de género, pertinencia cultural y acciones de transferencia generacional de conocimiento. </w:t>
      </w:r>
    </w:p>
    <w:p w14:paraId="5DE809AF" w14:textId="19C4BE60" w:rsidR="00F512DB" w:rsidRPr="009A27ED" w:rsidRDefault="00F512DB" w:rsidP="00F512DB">
      <w:pPr>
        <w:numPr>
          <w:ilvl w:val="0"/>
          <w:numId w:val="172"/>
        </w:numPr>
        <w:spacing w:line="360" w:lineRule="auto"/>
        <w:contextualSpacing/>
        <w:rPr>
          <w:szCs w:val="22"/>
          <w:lang w:val="es-DO"/>
        </w:rPr>
      </w:pPr>
      <w:r w:rsidRPr="009A27ED">
        <w:rPr>
          <w:rFonts w:ascii="Times New Roman" w:eastAsia="Times New Roman" w:hAnsi="Times New Roman"/>
          <w:sz w:val="24"/>
          <w:szCs w:val="22"/>
          <w:lang w:val="es-DO"/>
        </w:rPr>
        <w:t>Mecanismos para la distribución de beneficios</w:t>
      </w:r>
      <w:r w:rsidR="00394C8F" w:rsidRPr="009A27ED">
        <w:rPr>
          <w:rFonts w:ascii="Times New Roman" w:eastAsia="Times New Roman" w:hAnsi="Times New Roman"/>
          <w:sz w:val="24"/>
          <w:szCs w:val="22"/>
          <w:lang w:val="es-DO"/>
        </w:rPr>
        <w:t>.</w:t>
      </w:r>
    </w:p>
    <w:p w14:paraId="29C86AB3" w14:textId="77777777" w:rsidR="00F512DB" w:rsidRPr="009A27ED" w:rsidRDefault="00F512DB" w:rsidP="00F512DB">
      <w:pPr>
        <w:spacing w:line="360" w:lineRule="auto"/>
        <w:rPr>
          <w:szCs w:val="22"/>
          <w:lang w:val="es-DO"/>
        </w:rPr>
      </w:pPr>
    </w:p>
    <w:p w14:paraId="08B20CA1" w14:textId="0C8E8C77" w:rsidR="00F512DB" w:rsidRPr="009A27ED" w:rsidRDefault="00F512DB" w:rsidP="00F512DB">
      <w:pPr>
        <w:spacing w:line="360" w:lineRule="auto"/>
        <w:rPr>
          <w:szCs w:val="22"/>
          <w:lang w:val="es-DO"/>
        </w:rPr>
      </w:pPr>
      <w:r w:rsidRPr="009A27ED">
        <w:rPr>
          <w:rFonts w:ascii="Times New Roman" w:eastAsia="Times New Roman" w:hAnsi="Times New Roman"/>
          <w:sz w:val="24"/>
          <w:szCs w:val="22"/>
          <w:lang w:val="es-DO"/>
        </w:rPr>
        <w:t>Con esa base se diseñó el contenido para el proceso de inducción, sensibilización en las etapas iniciales de diseño y el plan de capacitación, que se llevó a cabo en la etapa final de la preparación y continuará durante la etapa de implementación, abordando aspectos relevantes para la inclusión, la participación plena y efectiva</w:t>
      </w:r>
      <w:r w:rsidR="002420D4" w:rsidRPr="009A27ED">
        <w:rPr>
          <w:rFonts w:ascii="Times New Roman" w:eastAsia="Times New Roman" w:hAnsi="Times New Roman"/>
          <w:sz w:val="24"/>
          <w:szCs w:val="22"/>
          <w:lang w:val="es-DO"/>
        </w:rPr>
        <w:t xml:space="preserve"> de los interesados</w:t>
      </w:r>
      <w:r w:rsidRPr="009A27ED">
        <w:rPr>
          <w:rFonts w:ascii="Times New Roman" w:eastAsia="Times New Roman" w:hAnsi="Times New Roman"/>
          <w:sz w:val="24"/>
          <w:szCs w:val="22"/>
          <w:lang w:val="es-DO"/>
        </w:rPr>
        <w:t xml:space="preserve"> y también para la distribución de beneficios. </w:t>
      </w:r>
    </w:p>
    <w:p w14:paraId="319B276C" w14:textId="77777777" w:rsidR="00F512DB" w:rsidRPr="009A27ED" w:rsidRDefault="00F512DB" w:rsidP="00F512DB">
      <w:pPr>
        <w:spacing w:before="120" w:after="0" w:line="360" w:lineRule="auto"/>
        <w:rPr>
          <w:szCs w:val="22"/>
        </w:rPr>
      </w:pPr>
      <w:r w:rsidRPr="009A27ED">
        <w:rPr>
          <w:rFonts w:ascii="Times New Roman" w:eastAsia="Times New Roman" w:hAnsi="Times New Roman"/>
          <w:sz w:val="24"/>
          <w:szCs w:val="22"/>
        </w:rPr>
        <w:t xml:space="preserve">El proceso de inducción con las Entidades Ejecutoras inició en junio del 2019, a partir de la adaptación de las guías desarrolladas por la Academia </w:t>
      </w:r>
      <w:proofErr w:type="spellStart"/>
      <w:r w:rsidRPr="009A27ED">
        <w:rPr>
          <w:rFonts w:ascii="Times New Roman" w:eastAsia="Times New Roman" w:hAnsi="Times New Roman"/>
          <w:sz w:val="24"/>
          <w:szCs w:val="22"/>
        </w:rPr>
        <w:t>MiAmbiente</w:t>
      </w:r>
      <w:proofErr w:type="spellEnd"/>
      <w:r w:rsidRPr="009A27ED">
        <w:rPr>
          <w:rFonts w:ascii="Times New Roman" w:eastAsia="Times New Roman" w:hAnsi="Times New Roman"/>
          <w:sz w:val="24"/>
          <w:szCs w:val="22"/>
        </w:rPr>
        <w:t>+ Honduras, considerando que las entidades ejecutoras, los Miembros del CTA, y el Grupo de Trabajo de Salvaguardas son el espacio y el cuerpo colegiado que hará realidad un proceso de efecto multiplicador dentro de los equipos técnicos de las Entidades Ejecutoras en cada área priorizada para REDD+.</w:t>
      </w:r>
    </w:p>
    <w:p w14:paraId="28443726" w14:textId="66A0007B" w:rsidR="00F512DB" w:rsidRPr="009A27ED" w:rsidRDefault="00F512DB" w:rsidP="00F512DB">
      <w:pPr>
        <w:spacing w:before="120" w:after="0" w:line="360" w:lineRule="auto"/>
        <w:rPr>
          <w:szCs w:val="22"/>
        </w:rPr>
      </w:pPr>
      <w:r w:rsidRPr="009A27ED">
        <w:rPr>
          <w:rFonts w:ascii="Times New Roman" w:eastAsia="Times New Roman" w:hAnsi="Times New Roman"/>
          <w:sz w:val="24"/>
          <w:szCs w:val="22"/>
        </w:rPr>
        <w:t xml:space="preserve">En </w:t>
      </w:r>
      <w:r w:rsidR="000D3584" w:rsidRPr="009A27ED">
        <w:rPr>
          <w:rFonts w:ascii="Times New Roman" w:eastAsia="Times New Roman" w:hAnsi="Times New Roman"/>
          <w:sz w:val="24"/>
          <w:szCs w:val="22"/>
        </w:rPr>
        <w:t xml:space="preserve">el siguiente cuadro </w:t>
      </w:r>
      <w:r w:rsidRPr="009A27ED">
        <w:rPr>
          <w:rFonts w:ascii="Times New Roman" w:eastAsia="Times New Roman" w:hAnsi="Times New Roman"/>
          <w:strike/>
          <w:sz w:val="24"/>
          <w:szCs w:val="22"/>
        </w:rPr>
        <w:t>este apartado</w:t>
      </w:r>
      <w:r w:rsidRPr="009A27ED">
        <w:rPr>
          <w:rFonts w:ascii="Times New Roman" w:eastAsia="Times New Roman" w:hAnsi="Times New Roman"/>
          <w:sz w:val="24"/>
          <w:szCs w:val="22"/>
        </w:rPr>
        <w:t xml:space="preserve"> se enuncian los contenidos claves generales que se utilizaron durante la capacitación que el Ministerio Medio de Ambiente ofreció a las EE y socios que</w:t>
      </w:r>
      <w:r w:rsidR="000D3584" w:rsidRPr="009A27ED">
        <w:rPr>
          <w:rFonts w:ascii="Times New Roman" w:eastAsia="Times New Roman" w:hAnsi="Times New Roman"/>
          <w:sz w:val="24"/>
          <w:szCs w:val="22"/>
        </w:rPr>
        <w:t xml:space="preserve"> implementarán REDD+ en el país.</w:t>
      </w:r>
    </w:p>
    <w:p w14:paraId="5C046945" w14:textId="77777777" w:rsidR="00F512DB" w:rsidRPr="009A27ED" w:rsidRDefault="00F512DB" w:rsidP="00F512DB">
      <w:pPr>
        <w:spacing w:before="120" w:after="0" w:line="360" w:lineRule="auto"/>
        <w:rPr>
          <w:szCs w:val="22"/>
        </w:rPr>
      </w:pPr>
    </w:p>
    <w:p w14:paraId="14ACF664" w14:textId="00E68BBE" w:rsidR="00DF3AFC" w:rsidRPr="009A27ED" w:rsidRDefault="00DF3AFC" w:rsidP="00DF3AFC">
      <w:pPr>
        <w:pStyle w:val="Descripcin"/>
        <w:keepNext/>
        <w:spacing w:line="360" w:lineRule="auto"/>
      </w:pPr>
      <w:bookmarkStart w:id="339" w:name="_Toc111887466"/>
      <w:r w:rsidRPr="009A27ED">
        <w:rPr>
          <w:rFonts w:ascii="Times New Roman" w:eastAsia="Times New Roman" w:hAnsi="Times New Roman"/>
          <w:sz w:val="24"/>
        </w:rPr>
        <w:t xml:space="preserve">Cuadro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Cuadro \* ARABIC </w:instrText>
      </w:r>
      <w:r w:rsidRPr="009A27ED">
        <w:rPr>
          <w:rFonts w:ascii="Times New Roman" w:eastAsia="Times New Roman" w:hAnsi="Times New Roman"/>
          <w:sz w:val="24"/>
        </w:rPr>
        <w:fldChar w:fldCharType="separate"/>
      </w:r>
      <w:r w:rsidRPr="009A27ED">
        <w:rPr>
          <w:rFonts w:ascii="Times New Roman" w:eastAsia="Times New Roman" w:hAnsi="Times New Roman"/>
          <w:noProof/>
          <w:sz w:val="24"/>
        </w:rPr>
        <w:t>56</w:t>
      </w:r>
      <w:r w:rsidRPr="009A27ED">
        <w:rPr>
          <w:rFonts w:ascii="Times New Roman" w:eastAsia="Times New Roman" w:hAnsi="Times New Roman"/>
          <w:sz w:val="24"/>
        </w:rPr>
        <w:fldChar w:fldCharType="end"/>
      </w:r>
      <w:r w:rsidRPr="009A27ED">
        <w:rPr>
          <w:rFonts w:ascii="Times New Roman" w:eastAsia="Times New Roman" w:hAnsi="Times New Roman"/>
          <w:sz w:val="24"/>
        </w:rPr>
        <w:t>. Elementos del proceso de inducción:</w:t>
      </w:r>
      <w:bookmarkEnd w:id="339"/>
    </w:p>
    <w:tbl>
      <w:tblPr>
        <w:tblStyle w:val="InduforTable"/>
        <w:tblpPr w:leftFromText="180" w:rightFromText="180" w:vertAnchor="text" w:tblpY="1"/>
        <w:tblOverlap w:val="never"/>
        <w:tblW w:w="5000" w:type="pct"/>
        <w:tblInd w:w="0" w:type="dxa"/>
        <w:tblLook w:val="04A0" w:firstRow="1" w:lastRow="0" w:firstColumn="1" w:lastColumn="0" w:noHBand="0" w:noVBand="1"/>
      </w:tblPr>
      <w:tblGrid>
        <w:gridCol w:w="3492"/>
        <w:gridCol w:w="6424"/>
      </w:tblGrid>
      <w:tr w:rsidR="00F512DB" w:rsidRPr="009A27ED" w14:paraId="0B08D5C3" w14:textId="77777777" w:rsidTr="00562F95">
        <w:trPr>
          <w:cnfStyle w:val="100000000000" w:firstRow="1" w:lastRow="0" w:firstColumn="0" w:lastColumn="0" w:oddVBand="0" w:evenVBand="0" w:oddHBand="0" w:evenHBand="0" w:firstRowFirstColumn="0" w:firstRowLastColumn="0" w:lastRowFirstColumn="0" w:lastRowLastColumn="0"/>
          <w:trHeight w:val="117"/>
        </w:trPr>
        <w:tc>
          <w:tcPr>
            <w:cnfStyle w:val="001000000000" w:firstRow="0" w:lastRow="0" w:firstColumn="1" w:lastColumn="0" w:oddVBand="0" w:evenVBand="0" w:oddHBand="0" w:evenHBand="0" w:firstRowFirstColumn="0" w:firstRowLastColumn="0" w:lastRowFirstColumn="0" w:lastRowLastColumn="0"/>
            <w:tcW w:w="1761" w:type="pct"/>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0070C0"/>
            <w:hideMark/>
          </w:tcPr>
          <w:p w14:paraId="3F12F049" w14:textId="77777777" w:rsidR="00F512DB" w:rsidRPr="009A27ED" w:rsidRDefault="00F512DB" w:rsidP="00562F95">
            <w:pPr>
              <w:jc w:val="center"/>
              <w:rPr>
                <w:szCs w:val="20"/>
              </w:rPr>
            </w:pPr>
            <w:proofErr w:type="gramStart"/>
            <w:r w:rsidRPr="009A27ED">
              <w:rPr>
                <w:szCs w:val="20"/>
              </w:rPr>
              <w:t>Unidades institucionales a capacitar</w:t>
            </w:r>
            <w:proofErr w:type="gramEnd"/>
          </w:p>
        </w:tc>
        <w:tc>
          <w:tcPr>
            <w:tcW w:w="3239" w:type="pct"/>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0070C0"/>
          </w:tcPr>
          <w:p w14:paraId="5498F556" w14:textId="77777777" w:rsidR="00F512DB" w:rsidRPr="009A27ED" w:rsidRDefault="00F512DB" w:rsidP="00562F95">
            <w:pPr>
              <w:jc w:val="center"/>
              <w:cnfStyle w:val="100000000000" w:firstRow="1" w:lastRow="0" w:firstColumn="0" w:lastColumn="0" w:oddVBand="0" w:evenVBand="0" w:oddHBand="0" w:evenHBand="0" w:firstRowFirstColumn="0" w:firstRowLastColumn="0" w:lastRowFirstColumn="0" w:lastRowLastColumn="0"/>
              <w:rPr>
                <w:szCs w:val="20"/>
              </w:rPr>
            </w:pPr>
            <w:r w:rsidRPr="009A27ED">
              <w:rPr>
                <w:szCs w:val="20"/>
              </w:rPr>
              <w:t>Contenidos de la capacitación</w:t>
            </w:r>
          </w:p>
        </w:tc>
      </w:tr>
      <w:tr w:rsidR="00F512DB" w:rsidRPr="009A27ED" w14:paraId="57851A4F" w14:textId="77777777" w:rsidTr="00562F95">
        <w:trPr>
          <w:cnfStyle w:val="000000100000" w:firstRow="0" w:lastRow="0" w:firstColumn="0" w:lastColumn="0" w:oddVBand="0" w:evenVBand="0" w:oddHBand="1" w:evenHBand="0" w:firstRowFirstColumn="0" w:firstRowLastColumn="0" w:lastRowFirstColumn="0" w:lastRowLastColumn="0"/>
          <w:trHeight w:val="1035"/>
        </w:trPr>
        <w:tc>
          <w:tcPr>
            <w:cnfStyle w:val="001000000000" w:firstRow="0" w:lastRow="0" w:firstColumn="1" w:lastColumn="0" w:oddVBand="0" w:evenVBand="0" w:oddHBand="0" w:evenHBand="0" w:firstRowFirstColumn="0" w:firstRowLastColumn="0" w:lastRowFirstColumn="0" w:lastRowLastColumn="0"/>
            <w:tcW w:w="1761" w:type="pct"/>
            <w:tcBorders>
              <w:right w:val="single" w:sz="8" w:space="0" w:color="5B9BD5" w:themeColor="accent1"/>
            </w:tcBorders>
            <w:hideMark/>
          </w:tcPr>
          <w:p w14:paraId="6CFD546E" w14:textId="77777777" w:rsidR="00F512DB" w:rsidRPr="009A27ED" w:rsidRDefault="00F512DB" w:rsidP="00F512DB">
            <w:pPr>
              <w:numPr>
                <w:ilvl w:val="0"/>
                <w:numId w:val="156"/>
              </w:numPr>
              <w:spacing w:after="0"/>
              <w:contextualSpacing/>
              <w:rPr>
                <w:bCs w:val="0"/>
                <w:sz w:val="20"/>
                <w:szCs w:val="20"/>
              </w:rPr>
            </w:pPr>
            <w:r w:rsidRPr="009A27ED">
              <w:rPr>
                <w:bCs w:val="0"/>
                <w:sz w:val="20"/>
                <w:szCs w:val="20"/>
              </w:rPr>
              <w:t>Comité Técnico Ampliado.</w:t>
            </w:r>
          </w:p>
          <w:p w14:paraId="4D9D01D0" w14:textId="77777777" w:rsidR="00F512DB" w:rsidRPr="009A27ED" w:rsidRDefault="00F512DB" w:rsidP="00F512DB">
            <w:pPr>
              <w:numPr>
                <w:ilvl w:val="0"/>
                <w:numId w:val="156"/>
              </w:numPr>
              <w:spacing w:after="0"/>
              <w:contextualSpacing/>
              <w:rPr>
                <w:sz w:val="20"/>
                <w:szCs w:val="20"/>
              </w:rPr>
            </w:pPr>
            <w:r w:rsidRPr="009A27ED">
              <w:rPr>
                <w:bCs w:val="0"/>
                <w:sz w:val="20"/>
                <w:szCs w:val="20"/>
              </w:rPr>
              <w:t>OCR</w:t>
            </w:r>
          </w:p>
          <w:p w14:paraId="1B5B5A29" w14:textId="77777777" w:rsidR="00F512DB" w:rsidRPr="009A27ED" w:rsidRDefault="00F512DB" w:rsidP="00F512DB">
            <w:pPr>
              <w:numPr>
                <w:ilvl w:val="0"/>
                <w:numId w:val="156"/>
              </w:numPr>
              <w:spacing w:after="0"/>
              <w:contextualSpacing/>
              <w:rPr>
                <w:sz w:val="20"/>
                <w:szCs w:val="20"/>
              </w:rPr>
            </w:pPr>
            <w:r w:rsidRPr="009A27ED">
              <w:rPr>
                <w:bCs w:val="0"/>
                <w:sz w:val="20"/>
                <w:szCs w:val="20"/>
              </w:rPr>
              <w:t>Entidades Ejecutoras.</w:t>
            </w:r>
          </w:p>
          <w:p w14:paraId="1A9EA951" w14:textId="77777777" w:rsidR="00F512DB" w:rsidRPr="009A27ED" w:rsidRDefault="00F512DB" w:rsidP="00F512DB">
            <w:pPr>
              <w:numPr>
                <w:ilvl w:val="0"/>
                <w:numId w:val="156"/>
              </w:numPr>
              <w:spacing w:after="0"/>
              <w:contextualSpacing/>
              <w:rPr>
                <w:sz w:val="20"/>
                <w:szCs w:val="20"/>
              </w:rPr>
            </w:pPr>
            <w:r w:rsidRPr="009A27ED">
              <w:rPr>
                <w:bCs w:val="0"/>
                <w:sz w:val="20"/>
                <w:szCs w:val="20"/>
              </w:rPr>
              <w:t xml:space="preserve">Grupos de trabajo Salvaguarda, Legal, Uso de Suelo. </w:t>
            </w:r>
          </w:p>
          <w:p w14:paraId="53D25AC5" w14:textId="77777777" w:rsidR="00F512DB" w:rsidRPr="009A27ED" w:rsidRDefault="00F512DB" w:rsidP="00F512DB">
            <w:pPr>
              <w:numPr>
                <w:ilvl w:val="0"/>
                <w:numId w:val="156"/>
              </w:numPr>
              <w:spacing w:after="0"/>
              <w:contextualSpacing/>
              <w:rPr>
                <w:bCs w:val="0"/>
                <w:sz w:val="20"/>
                <w:szCs w:val="20"/>
              </w:rPr>
            </w:pPr>
            <w:r w:rsidRPr="009A27ED">
              <w:rPr>
                <w:bCs w:val="0"/>
                <w:sz w:val="20"/>
                <w:szCs w:val="20"/>
              </w:rPr>
              <w:t>Otras unidades de monitoreo a crear en el marco de la implementación de REDD+.</w:t>
            </w:r>
          </w:p>
        </w:tc>
        <w:tc>
          <w:tcPr>
            <w:tcW w:w="3239" w:type="pct"/>
            <w:tcBorders>
              <w:left w:val="single" w:sz="8" w:space="0" w:color="5B9BD5" w:themeColor="accent1"/>
            </w:tcBorders>
          </w:tcPr>
          <w:p w14:paraId="47F1294F" w14:textId="77777777" w:rsidR="00F512DB" w:rsidRPr="009A27ED" w:rsidRDefault="00F512DB" w:rsidP="00562F95">
            <w:pPr>
              <w:ind w:right="58"/>
              <w:cnfStyle w:val="000000100000" w:firstRow="0" w:lastRow="0" w:firstColumn="0" w:lastColumn="0" w:oddVBand="0" w:evenVBand="0" w:oddHBand="1" w:evenHBand="0" w:firstRowFirstColumn="0" w:firstRowLastColumn="0" w:lastRowFirstColumn="0" w:lastRowLastColumn="0"/>
              <w:rPr>
                <w:sz w:val="20"/>
                <w:szCs w:val="20"/>
                <w:lang w:val="es-MX" w:eastAsia="es-ES_tradnl"/>
              </w:rPr>
            </w:pPr>
            <w:r w:rsidRPr="009A27ED">
              <w:rPr>
                <w:b/>
                <w:sz w:val="20"/>
                <w:szCs w:val="20"/>
                <w:lang w:val="es-MX"/>
              </w:rPr>
              <w:t xml:space="preserve">Generalidades del Mecanismo REDD+: Objetivo: </w:t>
            </w:r>
            <w:r w:rsidRPr="009A27ED">
              <w:rPr>
                <w:sz w:val="20"/>
                <w:szCs w:val="20"/>
                <w:lang w:val="es-MX" w:eastAsia="es-ES_tradnl"/>
              </w:rPr>
              <w:t>Enfatizar el alcance de las responsabilidades y acuerdos interinstitucionales para cumplimiento de los requerimientos de salvaguardas de REDD+</w:t>
            </w:r>
          </w:p>
          <w:p w14:paraId="09CA8B34" w14:textId="77777777" w:rsidR="00F512DB" w:rsidRPr="009A27ED" w:rsidRDefault="00F512DB" w:rsidP="00562F95">
            <w:pPr>
              <w:ind w:right="58"/>
              <w:cnfStyle w:val="000000100000" w:firstRow="0" w:lastRow="0" w:firstColumn="0" w:lastColumn="0" w:oddVBand="0" w:evenVBand="0" w:oddHBand="1" w:evenHBand="0" w:firstRowFirstColumn="0" w:firstRowLastColumn="0" w:lastRowFirstColumn="0" w:lastRowLastColumn="0"/>
              <w:rPr>
                <w:color w:val="0070C0"/>
                <w:sz w:val="20"/>
                <w:szCs w:val="20"/>
                <w:lang w:eastAsia="es-ES_tradnl"/>
              </w:rPr>
            </w:pPr>
            <w:r w:rsidRPr="009A27ED">
              <w:rPr>
                <w:color w:val="0070C0"/>
                <w:sz w:val="20"/>
                <w:szCs w:val="20"/>
                <w:lang w:eastAsia="es-ES_tradnl"/>
              </w:rPr>
              <w:t>Contenido:</w:t>
            </w:r>
          </w:p>
          <w:p w14:paraId="3A4AF2A7" w14:textId="77777777" w:rsidR="00F512DB" w:rsidRPr="009A27ED" w:rsidRDefault="00F512DB" w:rsidP="00F512DB">
            <w:pPr>
              <w:numPr>
                <w:ilvl w:val="0"/>
                <w:numId w:val="155"/>
              </w:numPr>
              <w:ind w:right="58"/>
              <w:contextualSpacing/>
              <w:cnfStyle w:val="000000100000" w:firstRow="0" w:lastRow="0" w:firstColumn="0" w:lastColumn="0" w:oddVBand="0" w:evenVBand="0" w:oddHBand="1" w:evenHBand="0" w:firstRowFirstColumn="0" w:firstRowLastColumn="0" w:lastRowFirstColumn="0" w:lastRowLastColumn="0"/>
              <w:rPr>
                <w:sz w:val="20"/>
                <w:szCs w:val="20"/>
              </w:rPr>
            </w:pPr>
            <w:r w:rsidRPr="009A27ED">
              <w:rPr>
                <w:sz w:val="20"/>
                <w:szCs w:val="20"/>
              </w:rPr>
              <w:t>¿Qué es REDD+?</w:t>
            </w:r>
          </w:p>
          <w:p w14:paraId="684BC350" w14:textId="77777777" w:rsidR="00F512DB" w:rsidRPr="009A27ED" w:rsidRDefault="00F512DB" w:rsidP="00F512DB">
            <w:pPr>
              <w:numPr>
                <w:ilvl w:val="1"/>
                <w:numId w:val="157"/>
              </w:numPr>
              <w:ind w:right="58"/>
              <w:contextualSpacing/>
              <w:cnfStyle w:val="000000100000" w:firstRow="0" w:lastRow="0" w:firstColumn="0" w:lastColumn="0" w:oddVBand="0" w:evenVBand="0" w:oddHBand="1" w:evenHBand="0" w:firstRowFirstColumn="0" w:firstRowLastColumn="0" w:lastRowFirstColumn="0" w:lastRowLastColumn="0"/>
              <w:rPr>
                <w:sz w:val="20"/>
                <w:szCs w:val="20"/>
              </w:rPr>
            </w:pPr>
            <w:r w:rsidRPr="009A27ED">
              <w:rPr>
                <w:sz w:val="20"/>
                <w:szCs w:val="20"/>
              </w:rPr>
              <w:t xml:space="preserve">¿Cómo funciona? </w:t>
            </w:r>
          </w:p>
          <w:p w14:paraId="3D90BB50" w14:textId="77777777" w:rsidR="00F512DB" w:rsidRPr="009A27ED" w:rsidRDefault="00F512DB" w:rsidP="00F512DB">
            <w:pPr>
              <w:numPr>
                <w:ilvl w:val="1"/>
                <w:numId w:val="157"/>
              </w:numPr>
              <w:ind w:right="58"/>
              <w:contextualSpacing/>
              <w:cnfStyle w:val="000000100000" w:firstRow="0" w:lastRow="0" w:firstColumn="0" w:lastColumn="0" w:oddVBand="0" w:evenVBand="0" w:oddHBand="1" w:evenHBand="0" w:firstRowFirstColumn="0" w:firstRowLastColumn="0" w:lastRowFirstColumn="0" w:lastRowLastColumn="0"/>
              <w:rPr>
                <w:sz w:val="20"/>
                <w:szCs w:val="20"/>
              </w:rPr>
            </w:pPr>
            <w:r w:rsidRPr="009A27ED">
              <w:rPr>
                <w:sz w:val="20"/>
                <w:szCs w:val="20"/>
              </w:rPr>
              <w:t>Compromisos internacionales y nacionales</w:t>
            </w:r>
          </w:p>
          <w:p w14:paraId="746ED170" w14:textId="77777777" w:rsidR="00F512DB" w:rsidRPr="009A27ED" w:rsidRDefault="00F512DB" w:rsidP="00F512DB">
            <w:pPr>
              <w:numPr>
                <w:ilvl w:val="1"/>
                <w:numId w:val="157"/>
              </w:numPr>
              <w:ind w:right="58"/>
              <w:contextualSpacing/>
              <w:cnfStyle w:val="000000100000" w:firstRow="0" w:lastRow="0" w:firstColumn="0" w:lastColumn="0" w:oddVBand="0" w:evenVBand="0" w:oddHBand="1" w:evenHBand="0" w:firstRowFirstColumn="0" w:firstRowLastColumn="0" w:lastRowFirstColumn="0" w:lastRowLastColumn="0"/>
              <w:rPr>
                <w:sz w:val="20"/>
                <w:szCs w:val="20"/>
              </w:rPr>
            </w:pPr>
            <w:r w:rsidRPr="009A27ED">
              <w:rPr>
                <w:sz w:val="20"/>
                <w:szCs w:val="20"/>
              </w:rPr>
              <w:t>¿Cuáles son las medidas y acciones REDD+?</w:t>
            </w:r>
          </w:p>
          <w:p w14:paraId="5A65ACAC" w14:textId="77777777" w:rsidR="00F512DB" w:rsidRPr="009A27ED" w:rsidRDefault="00F512DB" w:rsidP="00F512DB">
            <w:pPr>
              <w:numPr>
                <w:ilvl w:val="1"/>
                <w:numId w:val="157"/>
              </w:numPr>
              <w:ind w:right="58"/>
              <w:contextualSpacing/>
              <w:cnfStyle w:val="000000100000" w:firstRow="0" w:lastRow="0" w:firstColumn="0" w:lastColumn="0" w:oddVBand="0" w:evenVBand="0" w:oddHBand="1" w:evenHBand="0" w:firstRowFirstColumn="0" w:firstRowLastColumn="0" w:lastRowFirstColumn="0" w:lastRowLastColumn="0"/>
              <w:rPr>
                <w:sz w:val="20"/>
                <w:szCs w:val="20"/>
              </w:rPr>
            </w:pPr>
            <w:r w:rsidRPr="009A27ED">
              <w:rPr>
                <w:sz w:val="20"/>
                <w:szCs w:val="20"/>
              </w:rPr>
              <w:t>El Programa REDD++ y la EN-REDD+ su proceso de construcción y las responsabilidades adquiridas como país</w:t>
            </w:r>
          </w:p>
          <w:p w14:paraId="099E2D69" w14:textId="77777777" w:rsidR="00F512DB" w:rsidRPr="009A27ED" w:rsidRDefault="00F512DB" w:rsidP="00F512DB">
            <w:pPr>
              <w:numPr>
                <w:ilvl w:val="1"/>
                <w:numId w:val="157"/>
              </w:numPr>
              <w:ind w:right="58"/>
              <w:contextualSpacing/>
              <w:cnfStyle w:val="000000100000" w:firstRow="0" w:lastRow="0" w:firstColumn="0" w:lastColumn="0" w:oddVBand="0" w:evenVBand="0" w:oddHBand="1" w:evenHBand="0" w:firstRowFirstColumn="0" w:firstRowLastColumn="0" w:lastRowFirstColumn="0" w:lastRowLastColumn="0"/>
              <w:rPr>
                <w:sz w:val="20"/>
                <w:szCs w:val="20"/>
              </w:rPr>
            </w:pPr>
            <w:r w:rsidRPr="009A27ED">
              <w:rPr>
                <w:sz w:val="20"/>
                <w:szCs w:val="20"/>
              </w:rPr>
              <w:t>Componentes de la EN-REDD+</w:t>
            </w:r>
          </w:p>
          <w:p w14:paraId="1440D057" w14:textId="77777777" w:rsidR="00F512DB" w:rsidRPr="009A27ED" w:rsidRDefault="00F512DB" w:rsidP="00F512DB">
            <w:pPr>
              <w:numPr>
                <w:ilvl w:val="1"/>
                <w:numId w:val="157"/>
              </w:numPr>
              <w:ind w:right="58"/>
              <w:contextualSpacing/>
              <w:cnfStyle w:val="000000100000" w:firstRow="0" w:lastRow="0" w:firstColumn="0" w:lastColumn="0" w:oddVBand="0" w:evenVBand="0" w:oddHBand="1" w:evenHBand="0" w:firstRowFirstColumn="0" w:firstRowLastColumn="0" w:lastRowFirstColumn="0" w:lastRowLastColumn="0"/>
              <w:rPr>
                <w:sz w:val="20"/>
                <w:szCs w:val="20"/>
              </w:rPr>
            </w:pPr>
            <w:r w:rsidRPr="009A27ED">
              <w:rPr>
                <w:sz w:val="20"/>
                <w:szCs w:val="20"/>
              </w:rPr>
              <w:t xml:space="preserve">Componente social y </w:t>
            </w:r>
            <w:proofErr w:type="gramStart"/>
            <w:r w:rsidRPr="009A27ED">
              <w:rPr>
                <w:sz w:val="20"/>
                <w:szCs w:val="20"/>
              </w:rPr>
              <w:t>sub componentes</w:t>
            </w:r>
            <w:proofErr w:type="gramEnd"/>
            <w:r w:rsidRPr="009A27ED">
              <w:rPr>
                <w:sz w:val="20"/>
                <w:szCs w:val="20"/>
              </w:rPr>
              <w:t xml:space="preserve"> de la EN-REDD+</w:t>
            </w:r>
          </w:p>
          <w:p w14:paraId="1585601E" w14:textId="77777777" w:rsidR="00F512DB" w:rsidRPr="009A27ED" w:rsidRDefault="00F512DB" w:rsidP="00F512DB">
            <w:pPr>
              <w:numPr>
                <w:ilvl w:val="0"/>
                <w:numId w:val="155"/>
              </w:numPr>
              <w:ind w:right="58"/>
              <w:contextualSpacing/>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9A27ED">
              <w:rPr>
                <w:sz w:val="20"/>
                <w:szCs w:val="20"/>
              </w:rPr>
              <w:t>Interpretación de las salvaguardas</w:t>
            </w:r>
          </w:p>
          <w:p w14:paraId="38C50F74" w14:textId="77777777" w:rsidR="00F512DB" w:rsidRPr="009A27ED" w:rsidRDefault="00F512DB" w:rsidP="00562F95">
            <w:pPr>
              <w:ind w:right="58"/>
              <w:cnfStyle w:val="000000100000" w:firstRow="0" w:lastRow="0" w:firstColumn="0" w:lastColumn="0" w:oddVBand="0" w:evenVBand="0" w:oddHBand="1" w:evenHBand="0" w:firstRowFirstColumn="0" w:firstRowLastColumn="0" w:lastRowFirstColumn="0" w:lastRowLastColumn="0"/>
              <w:rPr>
                <w:sz w:val="20"/>
                <w:szCs w:val="20"/>
              </w:rPr>
            </w:pPr>
            <w:r w:rsidRPr="009A27ED">
              <w:rPr>
                <w:sz w:val="20"/>
                <w:szCs w:val="20"/>
              </w:rPr>
              <w:t>2.1 Alcance</w:t>
            </w:r>
          </w:p>
          <w:p w14:paraId="7AEEA396" w14:textId="77777777" w:rsidR="00F512DB" w:rsidRPr="009A27ED" w:rsidRDefault="00F512DB" w:rsidP="00562F95">
            <w:pPr>
              <w:ind w:right="58"/>
              <w:cnfStyle w:val="000000100000" w:firstRow="0" w:lastRow="0" w:firstColumn="0" w:lastColumn="0" w:oddVBand="0" w:evenVBand="0" w:oddHBand="1" w:evenHBand="0" w:firstRowFirstColumn="0" w:firstRowLastColumn="0" w:lastRowFirstColumn="0" w:lastRowLastColumn="0"/>
              <w:rPr>
                <w:sz w:val="20"/>
                <w:szCs w:val="20"/>
                <w:lang w:val="es-MX"/>
              </w:rPr>
            </w:pPr>
            <w:r w:rsidRPr="009A27ED">
              <w:rPr>
                <w:sz w:val="20"/>
                <w:szCs w:val="20"/>
                <w:lang w:val="es-MX"/>
              </w:rPr>
              <w:t xml:space="preserve">2.2 Seguimiento y reporte, necesidad </w:t>
            </w:r>
            <w:r w:rsidRPr="009A27ED">
              <w:rPr>
                <w:color w:val="000000" w:themeColor="text1"/>
                <w:sz w:val="20"/>
                <w:szCs w:val="20"/>
                <w:lang w:val="es-MX"/>
              </w:rPr>
              <w:t>de participación plena y efectiva</w:t>
            </w:r>
          </w:p>
          <w:p w14:paraId="3006B884" w14:textId="77777777" w:rsidR="00F512DB" w:rsidRPr="009A27ED" w:rsidRDefault="00F512DB" w:rsidP="00F512DB">
            <w:pPr>
              <w:numPr>
                <w:ilvl w:val="1"/>
                <w:numId w:val="158"/>
              </w:numPr>
              <w:ind w:right="58"/>
              <w:contextualSpacing/>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9A27ED">
              <w:rPr>
                <w:color w:val="000000" w:themeColor="text1"/>
                <w:sz w:val="20"/>
                <w:szCs w:val="20"/>
              </w:rPr>
              <w:lastRenderedPageBreak/>
              <w:t xml:space="preserve">Responsabilidades bajo el acuerdo interinstitucional (incluyendo el alcance e importancia del Marco de Gestión Ambiental y Social (MGAS), Planes de Manejo Ambiental y Social (PMAS) y uso de Guía de aplicación y seguimiento de las salvaguardas en las actividades REDD+, así como la importancia de implementar los PMAS para cumplir con los compromisos de país y de manera territorial) </w:t>
            </w:r>
          </w:p>
          <w:p w14:paraId="0CE15FB8" w14:textId="77777777" w:rsidR="00F512DB" w:rsidRPr="009A27ED" w:rsidRDefault="00F512DB" w:rsidP="00F512DB">
            <w:pPr>
              <w:numPr>
                <w:ilvl w:val="0"/>
                <w:numId w:val="155"/>
              </w:numPr>
              <w:ind w:right="58"/>
              <w:contextualSpacing/>
              <w:cnfStyle w:val="000000100000" w:firstRow="0" w:lastRow="0" w:firstColumn="0" w:lastColumn="0" w:oddVBand="0" w:evenVBand="0" w:oddHBand="1" w:evenHBand="0" w:firstRowFirstColumn="0" w:firstRowLastColumn="0" w:lastRowFirstColumn="0" w:lastRowLastColumn="0"/>
              <w:rPr>
                <w:sz w:val="20"/>
                <w:szCs w:val="20"/>
              </w:rPr>
            </w:pPr>
            <w:r w:rsidRPr="009A27ED">
              <w:rPr>
                <w:sz w:val="20"/>
                <w:szCs w:val="20"/>
              </w:rPr>
              <w:t xml:space="preserve">Mecanismo MQRC República Dominicana ¿Qué es? Y ¿Cuál es su objetivo y enfoque? </w:t>
            </w:r>
          </w:p>
          <w:p w14:paraId="3D21DF6D" w14:textId="77777777" w:rsidR="00F512DB" w:rsidRPr="009A27ED" w:rsidRDefault="00F512DB" w:rsidP="00F512DB">
            <w:pPr>
              <w:numPr>
                <w:ilvl w:val="0"/>
                <w:numId w:val="155"/>
              </w:numPr>
              <w:ind w:right="58"/>
              <w:contextualSpacing/>
              <w:cnfStyle w:val="000000100000" w:firstRow="0" w:lastRow="0" w:firstColumn="0" w:lastColumn="0" w:oddVBand="0" w:evenVBand="0" w:oddHBand="1" w:evenHBand="0" w:firstRowFirstColumn="0" w:firstRowLastColumn="0" w:lastRowFirstColumn="0" w:lastRowLastColumn="0"/>
              <w:rPr>
                <w:sz w:val="20"/>
                <w:szCs w:val="20"/>
              </w:rPr>
            </w:pPr>
            <w:r w:rsidRPr="009A27ED">
              <w:rPr>
                <w:sz w:val="20"/>
                <w:szCs w:val="20"/>
              </w:rPr>
              <w:t xml:space="preserve">SIS República Dominicana. ¿Qué es? Y ¿Cuál es su objetivo y enfoque? </w:t>
            </w:r>
          </w:p>
        </w:tc>
      </w:tr>
      <w:tr w:rsidR="00F512DB" w:rsidRPr="009A27ED" w14:paraId="3857B0D4" w14:textId="77777777" w:rsidTr="00562F95">
        <w:trPr>
          <w:trHeight w:val="2948"/>
        </w:trPr>
        <w:tc>
          <w:tcPr>
            <w:cnfStyle w:val="001000000000" w:firstRow="0" w:lastRow="0" w:firstColumn="1" w:lastColumn="0" w:oddVBand="0" w:evenVBand="0" w:oddHBand="0" w:evenHBand="0" w:firstRowFirstColumn="0" w:firstRowLastColumn="0" w:lastRowFirstColumn="0" w:lastRowLastColumn="0"/>
            <w:tcW w:w="1761" w:type="pct"/>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p w14:paraId="284F2E01" w14:textId="77777777" w:rsidR="00F512DB" w:rsidRPr="009A27ED" w:rsidRDefault="00F512DB" w:rsidP="00562F95">
            <w:pPr>
              <w:spacing w:after="0"/>
              <w:rPr>
                <w:sz w:val="20"/>
                <w:szCs w:val="20"/>
              </w:rPr>
            </w:pPr>
            <w:r w:rsidRPr="009A27ED">
              <w:rPr>
                <w:bCs w:val="0"/>
                <w:sz w:val="20"/>
                <w:szCs w:val="20"/>
              </w:rPr>
              <w:t>Entidades Ejecutoras</w:t>
            </w:r>
          </w:p>
          <w:p w14:paraId="00A4A606" w14:textId="77777777" w:rsidR="00F512DB" w:rsidRPr="009A27ED" w:rsidRDefault="00F512DB" w:rsidP="00562F95">
            <w:pPr>
              <w:spacing w:after="0"/>
              <w:ind w:left="46"/>
              <w:rPr>
                <w:bCs w:val="0"/>
                <w:sz w:val="20"/>
                <w:szCs w:val="20"/>
              </w:rPr>
            </w:pPr>
          </w:p>
        </w:tc>
        <w:tc>
          <w:tcPr>
            <w:tcW w:w="3239" w:type="pct"/>
            <w:tcBorders>
              <w:top w:val="single" w:sz="8" w:space="0" w:color="5B9BD5" w:themeColor="accent1"/>
              <w:left w:val="single" w:sz="8" w:space="0" w:color="5B9BD5" w:themeColor="accent1"/>
              <w:bottom w:val="single" w:sz="8" w:space="0" w:color="5B9BD5" w:themeColor="accent1"/>
              <w:right w:val="single" w:sz="8" w:space="0" w:color="5B9BD5" w:themeColor="accent1"/>
            </w:tcBorders>
            <w:hideMark/>
          </w:tcPr>
          <w:p w14:paraId="4781D67F" w14:textId="77777777" w:rsidR="00F512DB" w:rsidRPr="009A27ED" w:rsidRDefault="00F512DB" w:rsidP="00562F95">
            <w:pPr>
              <w:ind w:right="58"/>
              <w:cnfStyle w:val="000000000000" w:firstRow="0" w:lastRow="0" w:firstColumn="0" w:lastColumn="0" w:oddVBand="0" w:evenVBand="0" w:oddHBand="0" w:evenHBand="0" w:firstRowFirstColumn="0" w:firstRowLastColumn="0" w:lastRowFirstColumn="0" w:lastRowLastColumn="0"/>
              <w:rPr>
                <w:sz w:val="20"/>
                <w:szCs w:val="20"/>
                <w:lang w:val="es-MX" w:eastAsia="es-ES_tradnl"/>
              </w:rPr>
            </w:pPr>
            <w:r w:rsidRPr="009A27ED">
              <w:rPr>
                <w:b/>
                <w:sz w:val="20"/>
                <w:szCs w:val="20"/>
                <w:lang w:val="es-MX"/>
              </w:rPr>
              <w:t xml:space="preserve">Mecanismos de información, transferencia de tecnología y participación plena y efectiva. </w:t>
            </w:r>
            <w:r w:rsidRPr="009A27ED">
              <w:rPr>
                <w:color w:val="0070C0"/>
                <w:sz w:val="20"/>
                <w:szCs w:val="20"/>
                <w:lang w:val="es-MX" w:eastAsia="es-ES_tradnl"/>
              </w:rPr>
              <w:t xml:space="preserve">Objetivo: </w:t>
            </w:r>
            <w:r w:rsidRPr="009A27ED">
              <w:rPr>
                <w:sz w:val="20"/>
                <w:szCs w:val="20"/>
                <w:lang w:val="es-MX" w:eastAsia="es-ES_tradnl"/>
              </w:rPr>
              <w:t xml:space="preserve">Comprender la importancia de la documentación, seguimiento, participación equitativa, respeto y reconocimiento de las salvaguardas y de los requerimientos para REDD+. </w:t>
            </w:r>
          </w:p>
          <w:p w14:paraId="5B0EA752" w14:textId="77777777" w:rsidR="00F512DB" w:rsidRPr="009A27ED" w:rsidRDefault="00F512DB" w:rsidP="00562F95">
            <w:pPr>
              <w:ind w:right="58"/>
              <w:cnfStyle w:val="000000000000" w:firstRow="0" w:lastRow="0" w:firstColumn="0" w:lastColumn="0" w:oddVBand="0" w:evenVBand="0" w:oddHBand="0" w:evenHBand="0" w:firstRowFirstColumn="0" w:firstRowLastColumn="0" w:lastRowFirstColumn="0" w:lastRowLastColumn="0"/>
              <w:rPr>
                <w:color w:val="0070C0"/>
                <w:sz w:val="20"/>
                <w:szCs w:val="20"/>
                <w:lang w:eastAsia="es-ES_tradnl"/>
              </w:rPr>
            </w:pPr>
            <w:r w:rsidRPr="009A27ED">
              <w:rPr>
                <w:color w:val="0070C0"/>
                <w:sz w:val="20"/>
                <w:szCs w:val="20"/>
                <w:lang w:eastAsia="es-ES_tradnl"/>
              </w:rPr>
              <w:t>Contenido:</w:t>
            </w:r>
          </w:p>
          <w:p w14:paraId="5C35CA48" w14:textId="77777777" w:rsidR="00F512DB" w:rsidRPr="009A27ED" w:rsidRDefault="00F512DB" w:rsidP="00F512DB">
            <w:pPr>
              <w:numPr>
                <w:ilvl w:val="0"/>
                <w:numId w:val="119"/>
              </w:numPr>
              <w:ind w:right="58"/>
              <w:contextualSpacing/>
              <w:cnfStyle w:val="000000000000" w:firstRow="0" w:lastRow="0" w:firstColumn="0" w:lastColumn="0" w:oddVBand="0" w:evenVBand="0" w:oddHBand="0" w:evenHBand="0" w:firstRowFirstColumn="0" w:firstRowLastColumn="0" w:lastRowFirstColumn="0" w:lastRowLastColumn="0"/>
              <w:rPr>
                <w:sz w:val="20"/>
                <w:szCs w:val="20"/>
                <w:lang w:eastAsia="es-ES_tradnl"/>
              </w:rPr>
            </w:pPr>
            <w:r w:rsidRPr="009A27ED">
              <w:rPr>
                <w:sz w:val="20"/>
                <w:szCs w:val="20"/>
                <w:lang w:eastAsia="es-ES_tradnl"/>
              </w:rPr>
              <w:t xml:space="preserve">Sistema de Información de Salvaguardas (SIS) del país, incluyendo los instrumentos para reporte y seguimiento del cumplimiento de las salvaguardas (medidas de mitigación PMAS vinculados a las </w:t>
            </w:r>
            <w:proofErr w:type="spellStart"/>
            <w:r w:rsidRPr="009A27ED">
              <w:rPr>
                <w:sz w:val="20"/>
                <w:szCs w:val="20"/>
                <w:lang w:eastAsia="es-ES_tradnl"/>
              </w:rPr>
              <w:t>POs</w:t>
            </w:r>
            <w:proofErr w:type="spellEnd"/>
            <w:r w:rsidRPr="009A27ED">
              <w:rPr>
                <w:sz w:val="20"/>
                <w:szCs w:val="20"/>
                <w:lang w:eastAsia="es-ES_tradnl"/>
              </w:rPr>
              <w:t xml:space="preserve"> del Banco Mundial)</w:t>
            </w:r>
          </w:p>
          <w:p w14:paraId="169E0FAA" w14:textId="77777777" w:rsidR="00F512DB" w:rsidRPr="009A27ED" w:rsidRDefault="00F512DB" w:rsidP="00F512DB">
            <w:pPr>
              <w:numPr>
                <w:ilvl w:val="1"/>
                <w:numId w:val="119"/>
              </w:numPr>
              <w:ind w:left="426" w:right="58"/>
              <w:contextualSpacing/>
              <w:cnfStyle w:val="000000000000" w:firstRow="0" w:lastRow="0" w:firstColumn="0" w:lastColumn="0" w:oddVBand="0" w:evenVBand="0" w:oddHBand="0" w:evenHBand="0" w:firstRowFirstColumn="0" w:firstRowLastColumn="0" w:lastRowFirstColumn="0" w:lastRowLastColumn="0"/>
              <w:rPr>
                <w:sz w:val="20"/>
                <w:szCs w:val="20"/>
                <w:lang w:eastAsia="es-ES_tradnl"/>
              </w:rPr>
            </w:pPr>
            <w:r w:rsidRPr="009A27ED">
              <w:rPr>
                <w:sz w:val="20"/>
                <w:szCs w:val="20"/>
                <w:lang w:eastAsia="es-ES_tradnl"/>
              </w:rPr>
              <w:t>Alcance del SIS</w:t>
            </w:r>
          </w:p>
          <w:p w14:paraId="48CBA8A0" w14:textId="77777777" w:rsidR="00F512DB" w:rsidRPr="009A27ED" w:rsidRDefault="00F512DB" w:rsidP="00F512DB">
            <w:pPr>
              <w:numPr>
                <w:ilvl w:val="1"/>
                <w:numId w:val="119"/>
              </w:numPr>
              <w:ind w:left="426" w:right="58"/>
              <w:contextualSpacing/>
              <w:cnfStyle w:val="000000000000" w:firstRow="0" w:lastRow="0" w:firstColumn="0" w:lastColumn="0" w:oddVBand="0" w:evenVBand="0" w:oddHBand="0" w:evenHBand="0" w:firstRowFirstColumn="0" w:firstRowLastColumn="0" w:lastRowFirstColumn="0" w:lastRowLastColumn="0"/>
              <w:rPr>
                <w:sz w:val="20"/>
                <w:szCs w:val="20"/>
                <w:lang w:eastAsia="es-ES_tradnl"/>
              </w:rPr>
            </w:pPr>
            <w:r w:rsidRPr="009A27ED">
              <w:rPr>
                <w:sz w:val="20"/>
                <w:szCs w:val="20"/>
                <w:lang w:eastAsia="es-ES_tradnl"/>
              </w:rPr>
              <w:t>Su importancia para el monitoreo de las salvaguardas y políticas operativas del Banco Mundial</w:t>
            </w:r>
          </w:p>
          <w:p w14:paraId="4810E0FC" w14:textId="77777777" w:rsidR="00F512DB" w:rsidRPr="009A27ED" w:rsidRDefault="00F512DB" w:rsidP="00F512DB">
            <w:pPr>
              <w:numPr>
                <w:ilvl w:val="0"/>
                <w:numId w:val="119"/>
              </w:numPr>
              <w:ind w:right="58"/>
              <w:contextualSpacing/>
              <w:cnfStyle w:val="000000000000" w:firstRow="0" w:lastRow="0" w:firstColumn="0" w:lastColumn="0" w:oddVBand="0" w:evenVBand="0" w:oddHBand="0" w:evenHBand="0" w:firstRowFirstColumn="0" w:firstRowLastColumn="0" w:lastRowFirstColumn="0" w:lastRowLastColumn="0"/>
              <w:rPr>
                <w:sz w:val="20"/>
                <w:szCs w:val="20"/>
                <w:lang w:eastAsia="es-ES_tradnl"/>
              </w:rPr>
            </w:pPr>
            <w:r w:rsidRPr="009A27ED">
              <w:rPr>
                <w:sz w:val="20"/>
                <w:szCs w:val="20"/>
                <w:lang w:eastAsia="es-ES_tradnl"/>
              </w:rPr>
              <w:t>Sistema de Monitoreo Forestal en República Dominicana</w:t>
            </w:r>
          </w:p>
          <w:p w14:paraId="4A93FBBD" w14:textId="77777777" w:rsidR="00F512DB" w:rsidRPr="009A27ED" w:rsidRDefault="00F512DB" w:rsidP="00F512DB">
            <w:pPr>
              <w:numPr>
                <w:ilvl w:val="1"/>
                <w:numId w:val="119"/>
              </w:numPr>
              <w:ind w:left="426" w:right="58"/>
              <w:contextualSpacing/>
              <w:cnfStyle w:val="000000000000" w:firstRow="0" w:lastRow="0" w:firstColumn="0" w:lastColumn="0" w:oddVBand="0" w:evenVBand="0" w:oddHBand="0" w:evenHBand="0" w:firstRowFirstColumn="0" w:firstRowLastColumn="0" w:lastRowFirstColumn="0" w:lastRowLastColumn="0"/>
              <w:rPr>
                <w:sz w:val="20"/>
                <w:szCs w:val="20"/>
                <w:lang w:eastAsia="es-ES_tradnl"/>
              </w:rPr>
            </w:pPr>
            <w:r w:rsidRPr="009A27ED">
              <w:rPr>
                <w:sz w:val="20"/>
                <w:szCs w:val="20"/>
                <w:lang w:eastAsia="es-ES_tradnl"/>
              </w:rPr>
              <w:t>Inventario Nacional Forestal</w:t>
            </w:r>
          </w:p>
          <w:p w14:paraId="2A2D537C" w14:textId="77777777" w:rsidR="00F512DB" w:rsidRPr="009A27ED" w:rsidRDefault="00F512DB" w:rsidP="00F512DB">
            <w:pPr>
              <w:numPr>
                <w:ilvl w:val="1"/>
                <w:numId w:val="119"/>
              </w:numPr>
              <w:ind w:left="426" w:right="58"/>
              <w:contextualSpacing/>
              <w:cnfStyle w:val="000000000000" w:firstRow="0" w:lastRow="0" w:firstColumn="0" w:lastColumn="0" w:oddVBand="0" w:evenVBand="0" w:oddHBand="0" w:evenHBand="0" w:firstRowFirstColumn="0" w:firstRowLastColumn="0" w:lastRowFirstColumn="0" w:lastRowLastColumn="0"/>
              <w:rPr>
                <w:sz w:val="20"/>
                <w:szCs w:val="20"/>
                <w:lang w:eastAsia="es-ES_tradnl"/>
              </w:rPr>
            </w:pPr>
            <w:r w:rsidRPr="009A27ED">
              <w:rPr>
                <w:sz w:val="20"/>
                <w:szCs w:val="20"/>
                <w:lang w:eastAsia="es-ES_tradnl"/>
              </w:rPr>
              <w:t>Compromisos nacionales con respecto a la gobernanza forestal en República Dominicana</w:t>
            </w:r>
          </w:p>
          <w:p w14:paraId="27E87D03" w14:textId="77777777" w:rsidR="00F512DB" w:rsidRPr="009A27ED" w:rsidRDefault="00F512DB" w:rsidP="00F512DB">
            <w:pPr>
              <w:numPr>
                <w:ilvl w:val="0"/>
                <w:numId w:val="119"/>
              </w:numPr>
              <w:ind w:right="58"/>
              <w:contextualSpacing/>
              <w:cnfStyle w:val="000000000000" w:firstRow="0" w:lastRow="0" w:firstColumn="0" w:lastColumn="0" w:oddVBand="0" w:evenVBand="0" w:oddHBand="0" w:evenHBand="0" w:firstRowFirstColumn="0" w:firstRowLastColumn="0" w:lastRowFirstColumn="0" w:lastRowLastColumn="0"/>
              <w:rPr>
                <w:sz w:val="20"/>
                <w:szCs w:val="20"/>
                <w:lang w:eastAsia="es-ES_tradnl"/>
              </w:rPr>
            </w:pPr>
            <w:r w:rsidRPr="009A27ED">
              <w:rPr>
                <w:sz w:val="20"/>
                <w:szCs w:val="20"/>
                <w:lang w:eastAsia="es-ES_tradnl"/>
              </w:rPr>
              <w:t>Políticas operativas y salvaguardas asociadas al tipo de proyecto de las entidades ejecutoras que deberá conocer para el seguimiento continuo de sus actividades.</w:t>
            </w:r>
          </w:p>
          <w:p w14:paraId="1D10A213" w14:textId="77777777" w:rsidR="00F512DB" w:rsidRPr="009A27ED" w:rsidRDefault="00F512DB" w:rsidP="00F512DB">
            <w:pPr>
              <w:numPr>
                <w:ilvl w:val="0"/>
                <w:numId w:val="119"/>
              </w:numPr>
              <w:ind w:right="58"/>
              <w:contextualSpacing/>
              <w:cnfStyle w:val="000000000000" w:firstRow="0" w:lastRow="0" w:firstColumn="0" w:lastColumn="0" w:oddVBand="0" w:evenVBand="0" w:oddHBand="0" w:evenHBand="0" w:firstRowFirstColumn="0" w:firstRowLastColumn="0" w:lastRowFirstColumn="0" w:lastRowLastColumn="0"/>
              <w:rPr>
                <w:sz w:val="20"/>
                <w:szCs w:val="20"/>
                <w:lang w:eastAsia="es-ES_tradnl"/>
              </w:rPr>
            </w:pPr>
            <w:r w:rsidRPr="009A27ED">
              <w:rPr>
                <w:sz w:val="20"/>
                <w:szCs w:val="20"/>
                <w:lang w:eastAsia="es-ES_tradnl"/>
              </w:rPr>
              <w:t>Tipo de reportes para REDD+</w:t>
            </w:r>
          </w:p>
          <w:p w14:paraId="22267F68" w14:textId="77777777" w:rsidR="00F512DB" w:rsidRPr="009A27ED" w:rsidRDefault="00F512DB" w:rsidP="00F512DB">
            <w:pPr>
              <w:numPr>
                <w:ilvl w:val="0"/>
                <w:numId w:val="119"/>
              </w:numPr>
              <w:ind w:right="58"/>
              <w:contextualSpacing/>
              <w:cnfStyle w:val="000000000000" w:firstRow="0" w:lastRow="0" w:firstColumn="0" w:lastColumn="0" w:oddVBand="0" w:evenVBand="0" w:oddHBand="0" w:evenHBand="0" w:firstRowFirstColumn="0" w:firstRowLastColumn="0" w:lastRowFirstColumn="0" w:lastRowLastColumn="0"/>
              <w:rPr>
                <w:sz w:val="20"/>
                <w:szCs w:val="20"/>
                <w:lang w:eastAsia="es-ES_tradnl"/>
              </w:rPr>
            </w:pPr>
            <w:r w:rsidRPr="009A27ED">
              <w:rPr>
                <w:sz w:val="20"/>
                <w:szCs w:val="20"/>
                <w:lang w:eastAsia="es-ES_tradnl"/>
              </w:rPr>
              <w:t>Indicadores de seguimiento en REDD+, documentación, reportes.</w:t>
            </w:r>
          </w:p>
          <w:p w14:paraId="39F27DB7" w14:textId="77777777" w:rsidR="00F512DB" w:rsidRPr="009A27ED" w:rsidRDefault="00F512DB" w:rsidP="00F512DB">
            <w:pPr>
              <w:numPr>
                <w:ilvl w:val="1"/>
                <w:numId w:val="119"/>
              </w:numPr>
              <w:ind w:left="426" w:right="58"/>
              <w:contextualSpacing/>
              <w:cnfStyle w:val="000000000000" w:firstRow="0" w:lastRow="0" w:firstColumn="0" w:lastColumn="0" w:oddVBand="0" w:evenVBand="0" w:oddHBand="0" w:evenHBand="0" w:firstRowFirstColumn="0" w:firstRowLastColumn="0" w:lastRowFirstColumn="0" w:lastRowLastColumn="0"/>
              <w:rPr>
                <w:sz w:val="20"/>
                <w:szCs w:val="20"/>
                <w:lang w:eastAsia="es-ES_tradnl"/>
              </w:rPr>
            </w:pPr>
            <w:r w:rsidRPr="009A27ED">
              <w:rPr>
                <w:sz w:val="20"/>
                <w:szCs w:val="20"/>
                <w:lang w:eastAsia="es-ES_tradnl"/>
              </w:rPr>
              <w:t>Indicadores para las Salvaguardas REDD+ de la CMNUCC</w:t>
            </w:r>
          </w:p>
          <w:p w14:paraId="26CDB384" w14:textId="77777777" w:rsidR="00F512DB" w:rsidRPr="009A27ED" w:rsidRDefault="00F512DB" w:rsidP="00F512DB">
            <w:pPr>
              <w:numPr>
                <w:ilvl w:val="1"/>
                <w:numId w:val="119"/>
              </w:numPr>
              <w:ind w:left="426" w:right="58"/>
              <w:contextualSpacing/>
              <w:cnfStyle w:val="000000000000" w:firstRow="0" w:lastRow="0" w:firstColumn="0" w:lastColumn="0" w:oddVBand="0" w:evenVBand="0" w:oddHBand="0" w:evenHBand="0" w:firstRowFirstColumn="0" w:firstRowLastColumn="0" w:lastRowFirstColumn="0" w:lastRowLastColumn="0"/>
              <w:rPr>
                <w:sz w:val="20"/>
                <w:szCs w:val="20"/>
                <w:lang w:eastAsia="es-ES_tradnl"/>
              </w:rPr>
            </w:pPr>
            <w:r w:rsidRPr="009A27ED">
              <w:rPr>
                <w:sz w:val="20"/>
                <w:szCs w:val="20"/>
                <w:lang w:eastAsia="es-ES_tradnl"/>
              </w:rPr>
              <w:t>Fichas de reporte y seguimiento</w:t>
            </w:r>
          </w:p>
          <w:p w14:paraId="3C6CA738" w14:textId="77777777" w:rsidR="00F512DB" w:rsidRPr="009A27ED" w:rsidRDefault="00F512DB" w:rsidP="00F512DB">
            <w:pPr>
              <w:numPr>
                <w:ilvl w:val="0"/>
                <w:numId w:val="119"/>
              </w:numPr>
              <w:ind w:right="58"/>
              <w:contextualSpacing/>
              <w:cnfStyle w:val="000000000000" w:firstRow="0" w:lastRow="0" w:firstColumn="0" w:lastColumn="0" w:oddVBand="0" w:evenVBand="0" w:oddHBand="0" w:evenHBand="0" w:firstRowFirstColumn="0" w:firstRowLastColumn="0" w:lastRowFirstColumn="0" w:lastRowLastColumn="0"/>
              <w:rPr>
                <w:sz w:val="20"/>
                <w:szCs w:val="20"/>
                <w:lang w:eastAsia="es-ES_tradnl"/>
              </w:rPr>
            </w:pPr>
            <w:r w:rsidRPr="009A27ED">
              <w:rPr>
                <w:sz w:val="20"/>
                <w:szCs w:val="20"/>
                <w:lang w:eastAsia="es-ES_tradnl"/>
              </w:rPr>
              <w:t>Mecanismo de Quejas, Reclamos y Manejo de Conflictos (MQRC) del país.</w:t>
            </w:r>
          </w:p>
          <w:p w14:paraId="2F57E823" w14:textId="77777777" w:rsidR="00F512DB" w:rsidRPr="009A27ED" w:rsidRDefault="00F512DB" w:rsidP="00F512DB">
            <w:pPr>
              <w:numPr>
                <w:ilvl w:val="1"/>
                <w:numId w:val="119"/>
              </w:numPr>
              <w:ind w:left="426" w:right="58"/>
              <w:contextualSpacing/>
              <w:cnfStyle w:val="000000000000" w:firstRow="0" w:lastRow="0" w:firstColumn="0" w:lastColumn="0" w:oddVBand="0" w:evenVBand="0" w:oddHBand="0" w:evenHBand="0" w:firstRowFirstColumn="0" w:firstRowLastColumn="0" w:lastRowFirstColumn="0" w:lastRowLastColumn="0"/>
              <w:rPr>
                <w:sz w:val="20"/>
                <w:szCs w:val="20"/>
                <w:lang w:eastAsia="es-ES_tradnl"/>
              </w:rPr>
            </w:pPr>
            <w:r w:rsidRPr="009A27ED">
              <w:rPr>
                <w:sz w:val="20"/>
                <w:szCs w:val="20"/>
                <w:lang w:eastAsia="es-ES_tradnl"/>
              </w:rPr>
              <w:t>Línea Verde</w:t>
            </w:r>
          </w:p>
          <w:p w14:paraId="5A71438E" w14:textId="77777777" w:rsidR="00F512DB" w:rsidRPr="009A27ED" w:rsidRDefault="00F512DB" w:rsidP="00F512DB">
            <w:pPr>
              <w:numPr>
                <w:ilvl w:val="1"/>
                <w:numId w:val="119"/>
              </w:numPr>
              <w:ind w:left="426" w:right="58"/>
              <w:contextualSpacing/>
              <w:cnfStyle w:val="000000000000" w:firstRow="0" w:lastRow="0" w:firstColumn="0" w:lastColumn="0" w:oddVBand="0" w:evenVBand="0" w:oddHBand="0" w:evenHBand="0" w:firstRowFirstColumn="0" w:firstRowLastColumn="0" w:lastRowFirstColumn="0" w:lastRowLastColumn="0"/>
              <w:rPr>
                <w:sz w:val="20"/>
                <w:szCs w:val="20"/>
                <w:lang w:eastAsia="es-ES_tradnl"/>
              </w:rPr>
            </w:pPr>
            <w:r w:rsidRPr="009A27ED">
              <w:rPr>
                <w:sz w:val="20"/>
                <w:szCs w:val="20"/>
                <w:lang w:eastAsia="es-ES_tradnl"/>
              </w:rPr>
              <w:t>Fichas de reporte y seguimiento</w:t>
            </w:r>
          </w:p>
          <w:p w14:paraId="46398B4F" w14:textId="77777777" w:rsidR="00F512DB" w:rsidRPr="009A27ED" w:rsidRDefault="00F512DB" w:rsidP="00F512DB">
            <w:pPr>
              <w:numPr>
                <w:ilvl w:val="1"/>
                <w:numId w:val="119"/>
              </w:numPr>
              <w:ind w:left="426" w:right="58"/>
              <w:contextualSpacing/>
              <w:cnfStyle w:val="000000000000" w:firstRow="0" w:lastRow="0" w:firstColumn="0" w:lastColumn="0" w:oddVBand="0" w:evenVBand="0" w:oddHBand="0" w:evenHBand="0" w:firstRowFirstColumn="0" w:firstRowLastColumn="0" w:lastRowFirstColumn="0" w:lastRowLastColumn="0"/>
              <w:rPr>
                <w:sz w:val="20"/>
                <w:szCs w:val="20"/>
                <w:lang w:eastAsia="es-ES_tradnl"/>
              </w:rPr>
            </w:pPr>
            <w:r w:rsidRPr="009A27ED">
              <w:rPr>
                <w:sz w:val="20"/>
                <w:szCs w:val="20"/>
                <w:lang w:eastAsia="es-ES_tradnl"/>
              </w:rPr>
              <w:t>Capacidades de respuesta a la Línea Verde</w:t>
            </w:r>
          </w:p>
          <w:p w14:paraId="28A21EAE" w14:textId="77777777" w:rsidR="00F512DB" w:rsidRPr="009A27ED" w:rsidRDefault="00F512DB" w:rsidP="00F512DB">
            <w:pPr>
              <w:numPr>
                <w:ilvl w:val="0"/>
                <w:numId w:val="119"/>
              </w:numPr>
              <w:ind w:right="58"/>
              <w:contextualSpacing/>
              <w:cnfStyle w:val="000000000000" w:firstRow="0" w:lastRow="0" w:firstColumn="0" w:lastColumn="0" w:oddVBand="0" w:evenVBand="0" w:oddHBand="0" w:evenHBand="0" w:firstRowFirstColumn="0" w:firstRowLastColumn="0" w:lastRowFirstColumn="0" w:lastRowLastColumn="0"/>
              <w:rPr>
                <w:sz w:val="20"/>
                <w:szCs w:val="20"/>
                <w:lang w:eastAsia="es-ES_tradnl"/>
              </w:rPr>
            </w:pPr>
            <w:r w:rsidRPr="009A27ED">
              <w:rPr>
                <w:sz w:val="20"/>
                <w:szCs w:val="20"/>
                <w:lang w:eastAsia="es-ES_tradnl"/>
              </w:rPr>
              <w:t xml:space="preserve">Seguimiento de quejas o conflictos de los proyectos   </w:t>
            </w:r>
          </w:p>
          <w:p w14:paraId="6E7FCFE7" w14:textId="77777777" w:rsidR="00F512DB" w:rsidRPr="009A27ED" w:rsidRDefault="00F512DB" w:rsidP="00F512DB">
            <w:pPr>
              <w:numPr>
                <w:ilvl w:val="0"/>
                <w:numId w:val="119"/>
              </w:numPr>
              <w:ind w:right="58"/>
              <w:contextualSpacing/>
              <w:cnfStyle w:val="000000000000" w:firstRow="0" w:lastRow="0" w:firstColumn="0" w:lastColumn="0" w:oddVBand="0" w:evenVBand="0" w:oddHBand="0" w:evenHBand="0" w:firstRowFirstColumn="0" w:firstRowLastColumn="0" w:lastRowFirstColumn="0" w:lastRowLastColumn="0"/>
              <w:rPr>
                <w:sz w:val="20"/>
                <w:szCs w:val="20"/>
                <w:lang w:eastAsia="es-ES_tradnl"/>
              </w:rPr>
            </w:pPr>
            <w:r w:rsidRPr="009A27ED">
              <w:rPr>
                <w:sz w:val="20"/>
                <w:szCs w:val="20"/>
                <w:lang w:eastAsia="es-ES_tradnl"/>
              </w:rPr>
              <w:t>Importancia en la aplicación de los Planes de Manejo Ambiental y Social, desde el punto de vista del seguimiento y aplicación de medidas de mitigación (fichas de seguimiento y base de datos)</w:t>
            </w:r>
          </w:p>
        </w:tc>
      </w:tr>
      <w:tr w:rsidR="00F512DB" w:rsidRPr="009A27ED" w14:paraId="4A3142B4" w14:textId="77777777" w:rsidTr="00562F95">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761" w:type="pct"/>
            <w:tcBorders>
              <w:right w:val="single" w:sz="8" w:space="0" w:color="5B9BD5" w:themeColor="accent1"/>
            </w:tcBorders>
            <w:hideMark/>
          </w:tcPr>
          <w:p w14:paraId="17277BAD" w14:textId="77777777" w:rsidR="00F512DB" w:rsidRPr="009A27ED" w:rsidRDefault="00F512DB" w:rsidP="00562F95">
            <w:pPr>
              <w:rPr>
                <w:bCs w:val="0"/>
                <w:sz w:val="20"/>
                <w:szCs w:val="20"/>
                <w:lang w:val="es-MX"/>
              </w:rPr>
            </w:pPr>
            <w:r w:rsidRPr="009A27ED">
              <w:rPr>
                <w:bCs w:val="0"/>
                <w:sz w:val="20"/>
                <w:szCs w:val="20"/>
                <w:lang w:val="es-MX"/>
              </w:rPr>
              <w:t>Estructuras locales identificadas en los proyectos seleccionados para REDD+.</w:t>
            </w:r>
          </w:p>
        </w:tc>
        <w:tc>
          <w:tcPr>
            <w:tcW w:w="3239" w:type="pct"/>
            <w:tcBorders>
              <w:left w:val="single" w:sz="8" w:space="0" w:color="5B9BD5" w:themeColor="accent1"/>
            </w:tcBorders>
            <w:hideMark/>
          </w:tcPr>
          <w:p w14:paraId="60C05A56" w14:textId="77777777" w:rsidR="00F512DB" w:rsidRPr="009A27ED" w:rsidRDefault="00F512DB" w:rsidP="00562F95">
            <w:pPr>
              <w:ind w:right="58"/>
              <w:cnfStyle w:val="000000100000" w:firstRow="0" w:lastRow="0" w:firstColumn="0" w:lastColumn="0" w:oddVBand="0" w:evenVBand="0" w:oddHBand="1" w:evenHBand="0" w:firstRowFirstColumn="0" w:firstRowLastColumn="0" w:lastRowFirstColumn="0" w:lastRowLastColumn="0"/>
              <w:rPr>
                <w:sz w:val="20"/>
                <w:szCs w:val="20"/>
                <w:lang w:val="es-MX"/>
              </w:rPr>
            </w:pPr>
            <w:r w:rsidRPr="009A27ED">
              <w:rPr>
                <w:b/>
                <w:color w:val="000000" w:themeColor="text1"/>
                <w:sz w:val="20"/>
                <w:szCs w:val="20"/>
                <w:lang w:val="es-MX" w:eastAsia="es-ES_tradnl"/>
              </w:rPr>
              <w:t>Mecanismos de cumplimiento, seguimiento y monitoreo</w:t>
            </w:r>
            <w:r w:rsidRPr="009A27ED">
              <w:rPr>
                <w:color w:val="0070C0"/>
                <w:sz w:val="20"/>
                <w:szCs w:val="20"/>
                <w:lang w:val="es-MX"/>
              </w:rPr>
              <w:t xml:space="preserve"> Objetivo: </w:t>
            </w:r>
            <w:r w:rsidRPr="009A27ED">
              <w:rPr>
                <w:sz w:val="20"/>
                <w:szCs w:val="20"/>
                <w:lang w:val="es-MX"/>
              </w:rPr>
              <w:t>Dimensionar la importancia de las estructuras locales de gobernanza como un eje fundamental para el monitoreo y seguimiento de los requerimientos del MGAS, con la finalidad de construir un lenguaje común.</w:t>
            </w:r>
          </w:p>
          <w:p w14:paraId="4E5681D0" w14:textId="77777777" w:rsidR="00F512DB" w:rsidRPr="009A27ED" w:rsidRDefault="00F512DB" w:rsidP="00562F95">
            <w:pPr>
              <w:ind w:right="58"/>
              <w:cnfStyle w:val="000000100000" w:firstRow="0" w:lastRow="0" w:firstColumn="0" w:lastColumn="0" w:oddVBand="0" w:evenVBand="0" w:oddHBand="1" w:evenHBand="0" w:firstRowFirstColumn="0" w:firstRowLastColumn="0" w:lastRowFirstColumn="0" w:lastRowLastColumn="0"/>
              <w:rPr>
                <w:color w:val="0070C0"/>
                <w:sz w:val="20"/>
                <w:szCs w:val="20"/>
                <w:lang w:eastAsia="es-ES_tradnl"/>
              </w:rPr>
            </w:pPr>
            <w:r w:rsidRPr="009A27ED">
              <w:rPr>
                <w:color w:val="0070C0"/>
                <w:sz w:val="20"/>
                <w:szCs w:val="20"/>
                <w:lang w:eastAsia="es-ES_tradnl"/>
              </w:rPr>
              <w:t>Contenido:</w:t>
            </w:r>
          </w:p>
          <w:p w14:paraId="67BEE9F8" w14:textId="77777777" w:rsidR="00F512DB" w:rsidRPr="009A27ED" w:rsidRDefault="00F512DB" w:rsidP="00F512DB">
            <w:pPr>
              <w:numPr>
                <w:ilvl w:val="0"/>
                <w:numId w:val="120"/>
              </w:numPr>
              <w:spacing w:after="20"/>
              <w:contextualSpacing/>
              <w:cnfStyle w:val="000000100000" w:firstRow="0" w:lastRow="0" w:firstColumn="0" w:lastColumn="0" w:oddVBand="0" w:evenVBand="0" w:oddHBand="1" w:evenHBand="0" w:firstRowFirstColumn="0" w:firstRowLastColumn="0" w:lastRowFirstColumn="0" w:lastRowLastColumn="0"/>
              <w:rPr>
                <w:sz w:val="20"/>
                <w:szCs w:val="20"/>
                <w:lang w:eastAsia="es-ES_tradnl"/>
              </w:rPr>
            </w:pPr>
            <w:r w:rsidRPr="009A27ED">
              <w:rPr>
                <w:sz w:val="20"/>
                <w:szCs w:val="20"/>
                <w:lang w:eastAsia="es-ES_tradnl"/>
              </w:rPr>
              <w:t>El Marco de Gestión Ambiental y Social (MGAS)</w:t>
            </w:r>
          </w:p>
          <w:p w14:paraId="2222AE08" w14:textId="77777777" w:rsidR="00F512DB" w:rsidRPr="009A27ED" w:rsidRDefault="00F512DB" w:rsidP="00F512DB">
            <w:pPr>
              <w:numPr>
                <w:ilvl w:val="1"/>
                <w:numId w:val="159"/>
              </w:numPr>
              <w:spacing w:after="20"/>
              <w:contextualSpacing/>
              <w:cnfStyle w:val="000000100000" w:firstRow="0" w:lastRow="0" w:firstColumn="0" w:lastColumn="0" w:oddVBand="0" w:evenVBand="0" w:oddHBand="1" w:evenHBand="0" w:firstRowFirstColumn="0" w:firstRowLastColumn="0" w:lastRowFirstColumn="0" w:lastRowLastColumn="0"/>
              <w:rPr>
                <w:sz w:val="20"/>
                <w:szCs w:val="20"/>
                <w:lang w:eastAsia="es-ES_tradnl"/>
              </w:rPr>
            </w:pPr>
            <w:r w:rsidRPr="009A27ED">
              <w:rPr>
                <w:sz w:val="20"/>
                <w:szCs w:val="20"/>
                <w:lang w:eastAsia="es-ES_tradnl"/>
              </w:rPr>
              <w:t>Rol de las estructuras de gobernanza.</w:t>
            </w:r>
          </w:p>
          <w:p w14:paraId="277B21B4" w14:textId="77777777" w:rsidR="00F512DB" w:rsidRPr="009A27ED" w:rsidRDefault="00F512DB" w:rsidP="00F512DB">
            <w:pPr>
              <w:numPr>
                <w:ilvl w:val="1"/>
                <w:numId w:val="159"/>
              </w:numPr>
              <w:spacing w:after="20"/>
              <w:contextualSpacing/>
              <w:cnfStyle w:val="000000100000" w:firstRow="0" w:lastRow="0" w:firstColumn="0" w:lastColumn="0" w:oddVBand="0" w:evenVBand="0" w:oddHBand="1" w:evenHBand="0" w:firstRowFirstColumn="0" w:firstRowLastColumn="0" w:lastRowFirstColumn="0" w:lastRowLastColumn="0"/>
              <w:rPr>
                <w:sz w:val="20"/>
                <w:szCs w:val="20"/>
                <w:lang w:eastAsia="es-ES_tradnl"/>
              </w:rPr>
            </w:pPr>
            <w:r w:rsidRPr="009A27ED">
              <w:rPr>
                <w:sz w:val="20"/>
                <w:szCs w:val="20"/>
                <w:lang w:eastAsia="es-ES_tradnl"/>
              </w:rPr>
              <w:t>Alcance de las responsabilidades</w:t>
            </w:r>
          </w:p>
          <w:p w14:paraId="39C8C418" w14:textId="77777777" w:rsidR="00F512DB" w:rsidRPr="009A27ED" w:rsidRDefault="00F512DB" w:rsidP="00F512DB">
            <w:pPr>
              <w:numPr>
                <w:ilvl w:val="0"/>
                <w:numId w:val="120"/>
              </w:numPr>
              <w:spacing w:after="0"/>
              <w:contextualSpacing/>
              <w:cnfStyle w:val="000000100000" w:firstRow="0" w:lastRow="0" w:firstColumn="0" w:lastColumn="0" w:oddVBand="0" w:evenVBand="0" w:oddHBand="1" w:evenHBand="0" w:firstRowFirstColumn="0" w:firstRowLastColumn="0" w:lastRowFirstColumn="0" w:lastRowLastColumn="0"/>
              <w:rPr>
                <w:sz w:val="20"/>
                <w:szCs w:val="20"/>
                <w:lang w:eastAsia="es-ES_tradnl"/>
              </w:rPr>
            </w:pPr>
            <w:r w:rsidRPr="009A27ED">
              <w:rPr>
                <w:sz w:val="20"/>
                <w:szCs w:val="20"/>
                <w:lang w:eastAsia="es-ES_tradnl"/>
              </w:rPr>
              <w:lastRenderedPageBreak/>
              <w:t>El Mecanismo de quejas, reclamos y manejo de conflictos (MQRC)</w:t>
            </w:r>
          </w:p>
          <w:p w14:paraId="66178E0E" w14:textId="77777777" w:rsidR="00F512DB" w:rsidRPr="009A27ED" w:rsidRDefault="00F512DB" w:rsidP="00562F95">
            <w:pPr>
              <w:cnfStyle w:val="000000100000" w:firstRow="0" w:lastRow="0" w:firstColumn="0" w:lastColumn="0" w:oddVBand="0" w:evenVBand="0" w:oddHBand="1" w:evenHBand="0" w:firstRowFirstColumn="0" w:firstRowLastColumn="0" w:lastRowFirstColumn="0" w:lastRowLastColumn="0"/>
              <w:rPr>
                <w:sz w:val="20"/>
                <w:szCs w:val="20"/>
                <w:lang w:val="es-MX" w:eastAsia="es-ES_tradnl"/>
              </w:rPr>
            </w:pPr>
            <w:r w:rsidRPr="009A27ED">
              <w:rPr>
                <w:sz w:val="20"/>
                <w:szCs w:val="20"/>
                <w:lang w:val="es-MX" w:eastAsia="es-ES_tradnl"/>
              </w:rPr>
              <w:t xml:space="preserve">2.1 Rol de las estructuras de gobernanza. </w:t>
            </w:r>
          </w:p>
          <w:p w14:paraId="30B197E9" w14:textId="77777777" w:rsidR="00F512DB" w:rsidRPr="009A27ED" w:rsidRDefault="00F512DB" w:rsidP="00F512DB">
            <w:pPr>
              <w:numPr>
                <w:ilvl w:val="1"/>
                <w:numId w:val="160"/>
              </w:numPr>
              <w:spacing w:after="20"/>
              <w:contextualSpacing/>
              <w:cnfStyle w:val="000000100000" w:firstRow="0" w:lastRow="0" w:firstColumn="0" w:lastColumn="0" w:oddVBand="0" w:evenVBand="0" w:oddHBand="1" w:evenHBand="0" w:firstRowFirstColumn="0" w:firstRowLastColumn="0" w:lastRowFirstColumn="0" w:lastRowLastColumn="0"/>
              <w:rPr>
                <w:sz w:val="20"/>
                <w:szCs w:val="20"/>
                <w:lang w:eastAsia="es-ES_tradnl"/>
              </w:rPr>
            </w:pPr>
            <w:r w:rsidRPr="009A27ED">
              <w:rPr>
                <w:sz w:val="20"/>
                <w:szCs w:val="20"/>
                <w:lang w:eastAsia="es-ES_tradnl"/>
              </w:rPr>
              <w:t>El alcance y la aplicación de los instrumentos de quejas</w:t>
            </w:r>
          </w:p>
          <w:p w14:paraId="281DA3E8" w14:textId="77777777" w:rsidR="00F512DB" w:rsidRPr="009A27ED" w:rsidRDefault="00F512DB" w:rsidP="00F512DB">
            <w:pPr>
              <w:numPr>
                <w:ilvl w:val="0"/>
                <w:numId w:val="120"/>
              </w:numPr>
              <w:spacing w:after="20"/>
              <w:contextualSpacing/>
              <w:cnfStyle w:val="000000100000" w:firstRow="0" w:lastRow="0" w:firstColumn="0" w:lastColumn="0" w:oddVBand="0" w:evenVBand="0" w:oddHBand="1" w:evenHBand="0" w:firstRowFirstColumn="0" w:firstRowLastColumn="0" w:lastRowFirstColumn="0" w:lastRowLastColumn="0"/>
              <w:rPr>
                <w:sz w:val="20"/>
                <w:szCs w:val="20"/>
                <w:lang w:eastAsia="es-ES_tradnl"/>
              </w:rPr>
            </w:pPr>
            <w:r w:rsidRPr="009A27ED">
              <w:rPr>
                <w:sz w:val="20"/>
                <w:szCs w:val="20"/>
                <w:lang w:eastAsia="es-ES_tradnl"/>
              </w:rPr>
              <w:t xml:space="preserve">El Sistema de Información de Salvaguardas </w:t>
            </w:r>
          </w:p>
          <w:p w14:paraId="1425C217" w14:textId="77777777" w:rsidR="00F512DB" w:rsidRPr="009A27ED" w:rsidRDefault="00F512DB" w:rsidP="00F512DB">
            <w:pPr>
              <w:numPr>
                <w:ilvl w:val="1"/>
                <w:numId w:val="161"/>
              </w:numPr>
              <w:spacing w:after="20"/>
              <w:contextualSpacing/>
              <w:cnfStyle w:val="000000100000" w:firstRow="0" w:lastRow="0" w:firstColumn="0" w:lastColumn="0" w:oddVBand="0" w:evenVBand="0" w:oddHBand="1" w:evenHBand="0" w:firstRowFirstColumn="0" w:firstRowLastColumn="0" w:lastRowFirstColumn="0" w:lastRowLastColumn="0"/>
              <w:rPr>
                <w:sz w:val="20"/>
                <w:szCs w:val="20"/>
                <w:lang w:eastAsia="es-ES_tradnl"/>
              </w:rPr>
            </w:pPr>
            <w:r w:rsidRPr="009A27ED">
              <w:rPr>
                <w:sz w:val="20"/>
                <w:szCs w:val="20"/>
                <w:lang w:eastAsia="es-ES_tradnl"/>
              </w:rPr>
              <w:t xml:space="preserve">Importancia de las salvaguardas y el rol de las estructuras de gobernanza en el seguimiento al cumplimiento. </w:t>
            </w:r>
          </w:p>
          <w:p w14:paraId="0793B8C9" w14:textId="77777777" w:rsidR="00F512DB" w:rsidRPr="009A27ED" w:rsidRDefault="00F512DB" w:rsidP="00F512DB">
            <w:pPr>
              <w:numPr>
                <w:ilvl w:val="0"/>
                <w:numId w:val="120"/>
              </w:numPr>
              <w:spacing w:after="0"/>
              <w:contextualSpacing/>
              <w:cnfStyle w:val="000000100000" w:firstRow="0" w:lastRow="0" w:firstColumn="0" w:lastColumn="0" w:oddVBand="0" w:evenVBand="0" w:oddHBand="1" w:evenHBand="0" w:firstRowFirstColumn="0" w:firstRowLastColumn="0" w:lastRowFirstColumn="0" w:lastRowLastColumn="0"/>
              <w:rPr>
                <w:sz w:val="20"/>
                <w:szCs w:val="20"/>
                <w:lang w:eastAsia="es-ES_tradnl"/>
              </w:rPr>
            </w:pPr>
            <w:r w:rsidRPr="009A27ED">
              <w:rPr>
                <w:sz w:val="20"/>
                <w:szCs w:val="20"/>
                <w:lang w:eastAsia="es-ES_tradnl"/>
              </w:rPr>
              <w:t>Gestión participativa de áreas protegidas.</w:t>
            </w:r>
          </w:p>
          <w:p w14:paraId="4924B4FC" w14:textId="77777777" w:rsidR="00F512DB" w:rsidRPr="009A27ED" w:rsidRDefault="00F512DB" w:rsidP="00F512DB">
            <w:pPr>
              <w:numPr>
                <w:ilvl w:val="0"/>
                <w:numId w:val="120"/>
              </w:numPr>
              <w:spacing w:after="0"/>
              <w:contextualSpacing/>
              <w:cnfStyle w:val="000000100000" w:firstRow="0" w:lastRow="0" w:firstColumn="0" w:lastColumn="0" w:oddVBand="0" w:evenVBand="0" w:oddHBand="1" w:evenHBand="0" w:firstRowFirstColumn="0" w:firstRowLastColumn="0" w:lastRowFirstColumn="0" w:lastRowLastColumn="0"/>
              <w:rPr>
                <w:sz w:val="20"/>
                <w:szCs w:val="20"/>
                <w:lang w:eastAsia="es-ES_tradnl"/>
              </w:rPr>
            </w:pPr>
            <w:r w:rsidRPr="009A27ED">
              <w:rPr>
                <w:sz w:val="20"/>
                <w:szCs w:val="20"/>
                <w:lang w:eastAsia="es-ES_tradnl"/>
              </w:rPr>
              <w:t>Cambio climático y bosque.</w:t>
            </w:r>
          </w:p>
          <w:p w14:paraId="204009B5" w14:textId="77777777" w:rsidR="00F512DB" w:rsidRPr="009A27ED" w:rsidRDefault="00F512DB" w:rsidP="00F512DB">
            <w:pPr>
              <w:numPr>
                <w:ilvl w:val="0"/>
                <w:numId w:val="120"/>
              </w:numPr>
              <w:spacing w:after="0"/>
              <w:contextualSpacing/>
              <w:cnfStyle w:val="000000100000" w:firstRow="0" w:lastRow="0" w:firstColumn="0" w:lastColumn="0" w:oddVBand="0" w:evenVBand="0" w:oddHBand="1" w:evenHBand="0" w:firstRowFirstColumn="0" w:firstRowLastColumn="0" w:lastRowFirstColumn="0" w:lastRowLastColumn="0"/>
              <w:rPr>
                <w:sz w:val="20"/>
                <w:szCs w:val="20"/>
                <w:lang w:eastAsia="es-ES_tradnl"/>
              </w:rPr>
            </w:pPr>
            <w:r w:rsidRPr="009A27ED">
              <w:rPr>
                <w:sz w:val="20"/>
                <w:szCs w:val="20"/>
                <w:lang w:eastAsia="es-ES_tradnl"/>
              </w:rPr>
              <w:t>Bienes y servicios ambientales del bosque.</w:t>
            </w:r>
          </w:p>
          <w:p w14:paraId="53C11648" w14:textId="77777777" w:rsidR="00F512DB" w:rsidRPr="009A27ED" w:rsidRDefault="00F512DB" w:rsidP="00F512DB">
            <w:pPr>
              <w:numPr>
                <w:ilvl w:val="0"/>
                <w:numId w:val="120"/>
              </w:numPr>
              <w:spacing w:after="0"/>
              <w:contextualSpacing/>
              <w:cnfStyle w:val="000000100000" w:firstRow="0" w:lastRow="0" w:firstColumn="0" w:lastColumn="0" w:oddVBand="0" w:evenVBand="0" w:oddHBand="1" w:evenHBand="0" w:firstRowFirstColumn="0" w:firstRowLastColumn="0" w:lastRowFirstColumn="0" w:lastRowLastColumn="0"/>
              <w:rPr>
                <w:sz w:val="20"/>
                <w:szCs w:val="20"/>
                <w:lang w:eastAsia="es-ES_tradnl"/>
              </w:rPr>
            </w:pPr>
            <w:r w:rsidRPr="009A27ED">
              <w:rPr>
                <w:sz w:val="20"/>
                <w:szCs w:val="20"/>
                <w:lang w:eastAsia="es-ES_tradnl"/>
              </w:rPr>
              <w:t>Captura de carbono.</w:t>
            </w:r>
          </w:p>
          <w:p w14:paraId="3180A478" w14:textId="77777777" w:rsidR="00F512DB" w:rsidRPr="009A27ED" w:rsidRDefault="00F512DB" w:rsidP="00F512DB">
            <w:pPr>
              <w:numPr>
                <w:ilvl w:val="0"/>
                <w:numId w:val="120"/>
              </w:numPr>
              <w:spacing w:after="0"/>
              <w:contextualSpacing/>
              <w:cnfStyle w:val="000000100000" w:firstRow="0" w:lastRow="0" w:firstColumn="0" w:lastColumn="0" w:oddVBand="0" w:evenVBand="0" w:oddHBand="1" w:evenHBand="0" w:firstRowFirstColumn="0" w:firstRowLastColumn="0" w:lastRowFirstColumn="0" w:lastRowLastColumn="0"/>
              <w:rPr>
                <w:sz w:val="20"/>
                <w:szCs w:val="20"/>
                <w:lang w:eastAsia="es-ES_tradnl"/>
              </w:rPr>
            </w:pPr>
            <w:r w:rsidRPr="009A27ED">
              <w:rPr>
                <w:sz w:val="20"/>
                <w:szCs w:val="20"/>
                <w:lang w:eastAsia="es-ES_tradnl"/>
              </w:rPr>
              <w:t xml:space="preserve">El mercado de carbono. </w:t>
            </w:r>
          </w:p>
          <w:p w14:paraId="2F32610B" w14:textId="77777777" w:rsidR="00F512DB" w:rsidRPr="009A27ED" w:rsidRDefault="00F512DB" w:rsidP="00F512DB">
            <w:pPr>
              <w:numPr>
                <w:ilvl w:val="0"/>
                <w:numId w:val="120"/>
              </w:numPr>
              <w:spacing w:after="0"/>
              <w:contextualSpacing/>
              <w:cnfStyle w:val="000000100000" w:firstRow="0" w:lastRow="0" w:firstColumn="0" w:lastColumn="0" w:oddVBand="0" w:evenVBand="0" w:oddHBand="1" w:evenHBand="0" w:firstRowFirstColumn="0" w:firstRowLastColumn="0" w:lastRowFirstColumn="0" w:lastRowLastColumn="0"/>
              <w:rPr>
                <w:sz w:val="20"/>
                <w:szCs w:val="20"/>
                <w:lang w:eastAsia="es-ES_tradnl"/>
              </w:rPr>
            </w:pPr>
            <w:r w:rsidRPr="009A27ED">
              <w:rPr>
                <w:sz w:val="20"/>
                <w:szCs w:val="20"/>
                <w:lang w:eastAsia="es-ES_tradnl"/>
              </w:rPr>
              <w:t xml:space="preserve">Derechos de propiedad sobre el carbono y su comercialización. </w:t>
            </w:r>
          </w:p>
          <w:p w14:paraId="3AC1A77B" w14:textId="77777777" w:rsidR="00F512DB" w:rsidRPr="009A27ED" w:rsidRDefault="00F512DB" w:rsidP="00F512DB">
            <w:pPr>
              <w:numPr>
                <w:ilvl w:val="0"/>
                <w:numId w:val="120"/>
              </w:numPr>
              <w:spacing w:after="0"/>
              <w:contextualSpacing/>
              <w:cnfStyle w:val="000000100000" w:firstRow="0" w:lastRow="0" w:firstColumn="0" w:lastColumn="0" w:oddVBand="0" w:evenVBand="0" w:oddHBand="1" w:evenHBand="0" w:firstRowFirstColumn="0" w:firstRowLastColumn="0" w:lastRowFirstColumn="0" w:lastRowLastColumn="0"/>
              <w:rPr>
                <w:sz w:val="20"/>
                <w:szCs w:val="20"/>
                <w:lang w:eastAsia="es-ES_tradnl"/>
              </w:rPr>
            </w:pPr>
            <w:r w:rsidRPr="009A27ED">
              <w:rPr>
                <w:sz w:val="20"/>
                <w:szCs w:val="20"/>
                <w:lang w:eastAsia="es-ES_tradnl"/>
              </w:rPr>
              <w:t>Prevención de incendios forestales.</w:t>
            </w:r>
          </w:p>
          <w:p w14:paraId="3242F446" w14:textId="77777777" w:rsidR="00F512DB" w:rsidRPr="009A27ED" w:rsidRDefault="00F512DB" w:rsidP="00F512DB">
            <w:pPr>
              <w:numPr>
                <w:ilvl w:val="0"/>
                <w:numId w:val="120"/>
              </w:numPr>
              <w:spacing w:after="0"/>
              <w:contextualSpacing/>
              <w:cnfStyle w:val="000000100000" w:firstRow="0" w:lastRow="0" w:firstColumn="0" w:lastColumn="0" w:oddVBand="0" w:evenVBand="0" w:oddHBand="1" w:evenHBand="0" w:firstRowFirstColumn="0" w:firstRowLastColumn="0" w:lastRowFirstColumn="0" w:lastRowLastColumn="0"/>
              <w:rPr>
                <w:sz w:val="20"/>
                <w:szCs w:val="20"/>
                <w:lang w:eastAsia="es-ES_tradnl"/>
              </w:rPr>
            </w:pPr>
            <w:r w:rsidRPr="009A27ED">
              <w:rPr>
                <w:sz w:val="20"/>
                <w:szCs w:val="20"/>
                <w:lang w:eastAsia="es-ES_tradnl"/>
              </w:rPr>
              <w:t>Medidas para evitar incendios forestales.</w:t>
            </w:r>
          </w:p>
          <w:p w14:paraId="4DA1EC0F" w14:textId="77777777" w:rsidR="00F512DB" w:rsidRPr="009A27ED" w:rsidRDefault="00F512DB" w:rsidP="00F512DB">
            <w:pPr>
              <w:numPr>
                <w:ilvl w:val="0"/>
                <w:numId w:val="120"/>
              </w:numPr>
              <w:spacing w:after="0"/>
              <w:contextualSpacing/>
              <w:cnfStyle w:val="000000100000" w:firstRow="0" w:lastRow="0" w:firstColumn="0" w:lastColumn="0" w:oddVBand="0" w:evenVBand="0" w:oddHBand="1" w:evenHBand="0" w:firstRowFirstColumn="0" w:firstRowLastColumn="0" w:lastRowFirstColumn="0" w:lastRowLastColumn="0"/>
              <w:rPr>
                <w:sz w:val="20"/>
                <w:szCs w:val="20"/>
                <w:lang w:eastAsia="es-ES_tradnl"/>
              </w:rPr>
            </w:pPr>
            <w:r w:rsidRPr="009A27ED">
              <w:rPr>
                <w:sz w:val="20"/>
                <w:szCs w:val="20"/>
                <w:lang w:eastAsia="es-ES_tradnl"/>
              </w:rPr>
              <w:t>Determinación del contenido de carbono en el bosque.</w:t>
            </w:r>
          </w:p>
          <w:p w14:paraId="57E9D1FE" w14:textId="77777777" w:rsidR="00F512DB" w:rsidRPr="009A27ED" w:rsidRDefault="00F512DB" w:rsidP="00F512DB">
            <w:pPr>
              <w:numPr>
                <w:ilvl w:val="0"/>
                <w:numId w:val="120"/>
              </w:numPr>
              <w:spacing w:after="0"/>
              <w:contextualSpacing/>
              <w:cnfStyle w:val="000000100000" w:firstRow="0" w:lastRow="0" w:firstColumn="0" w:lastColumn="0" w:oddVBand="0" w:evenVBand="0" w:oddHBand="1" w:evenHBand="0" w:firstRowFirstColumn="0" w:firstRowLastColumn="0" w:lastRowFirstColumn="0" w:lastRowLastColumn="0"/>
              <w:rPr>
                <w:sz w:val="20"/>
                <w:szCs w:val="20"/>
                <w:lang w:eastAsia="es-ES_tradnl"/>
              </w:rPr>
            </w:pPr>
            <w:r w:rsidRPr="009A27ED">
              <w:rPr>
                <w:sz w:val="20"/>
                <w:szCs w:val="20"/>
                <w:lang w:eastAsia="es-ES_tradnl"/>
              </w:rPr>
              <w:t>Manejo de Bosques y Medición Forestal</w:t>
            </w:r>
          </w:p>
          <w:p w14:paraId="4029CF3F" w14:textId="77777777" w:rsidR="00F512DB" w:rsidRPr="009A27ED" w:rsidRDefault="00F512DB" w:rsidP="00F512DB">
            <w:pPr>
              <w:numPr>
                <w:ilvl w:val="0"/>
                <w:numId w:val="120"/>
              </w:numPr>
              <w:spacing w:after="0"/>
              <w:contextualSpacing/>
              <w:cnfStyle w:val="000000100000" w:firstRow="0" w:lastRow="0" w:firstColumn="0" w:lastColumn="0" w:oddVBand="0" w:evenVBand="0" w:oddHBand="1" w:evenHBand="0" w:firstRowFirstColumn="0" w:firstRowLastColumn="0" w:lastRowFirstColumn="0" w:lastRowLastColumn="0"/>
              <w:rPr>
                <w:sz w:val="20"/>
                <w:szCs w:val="20"/>
                <w:lang w:eastAsia="es-ES_tradnl"/>
              </w:rPr>
            </w:pPr>
            <w:r w:rsidRPr="009A27ED">
              <w:rPr>
                <w:sz w:val="20"/>
                <w:szCs w:val="20"/>
                <w:lang w:eastAsia="es-ES_tradnl"/>
              </w:rPr>
              <w:t>Técnicas silviculturales.</w:t>
            </w:r>
          </w:p>
          <w:p w14:paraId="1F0072CA" w14:textId="77777777" w:rsidR="00F512DB" w:rsidRPr="009A27ED" w:rsidRDefault="00F512DB" w:rsidP="00F512DB">
            <w:pPr>
              <w:numPr>
                <w:ilvl w:val="0"/>
                <w:numId w:val="120"/>
              </w:numPr>
              <w:spacing w:after="0"/>
              <w:contextualSpacing/>
              <w:cnfStyle w:val="000000100000" w:firstRow="0" w:lastRow="0" w:firstColumn="0" w:lastColumn="0" w:oddVBand="0" w:evenVBand="0" w:oddHBand="1" w:evenHBand="0" w:firstRowFirstColumn="0" w:firstRowLastColumn="0" w:lastRowFirstColumn="0" w:lastRowLastColumn="0"/>
              <w:rPr>
                <w:sz w:val="20"/>
                <w:szCs w:val="20"/>
                <w:lang w:eastAsia="es-ES_tradnl"/>
              </w:rPr>
            </w:pPr>
            <w:r w:rsidRPr="009A27ED">
              <w:rPr>
                <w:sz w:val="20"/>
                <w:szCs w:val="20"/>
                <w:lang w:eastAsia="es-ES_tradnl"/>
              </w:rPr>
              <w:t>Reforestación, deforestación y degradación forestal.</w:t>
            </w:r>
          </w:p>
          <w:p w14:paraId="6F406D1F" w14:textId="77777777" w:rsidR="00F512DB" w:rsidRPr="009A27ED" w:rsidRDefault="00F512DB" w:rsidP="00F512DB">
            <w:pPr>
              <w:numPr>
                <w:ilvl w:val="0"/>
                <w:numId w:val="120"/>
              </w:numPr>
              <w:spacing w:after="0"/>
              <w:contextualSpacing/>
              <w:cnfStyle w:val="000000100000" w:firstRow="0" w:lastRow="0" w:firstColumn="0" w:lastColumn="0" w:oddVBand="0" w:evenVBand="0" w:oddHBand="1" w:evenHBand="0" w:firstRowFirstColumn="0" w:firstRowLastColumn="0" w:lastRowFirstColumn="0" w:lastRowLastColumn="0"/>
              <w:rPr>
                <w:sz w:val="20"/>
                <w:szCs w:val="20"/>
                <w:lang w:eastAsia="es-ES_tradnl"/>
              </w:rPr>
            </w:pPr>
            <w:r w:rsidRPr="009A27ED">
              <w:rPr>
                <w:sz w:val="20"/>
                <w:szCs w:val="20"/>
                <w:lang w:eastAsia="es-ES_tradnl"/>
              </w:rPr>
              <w:t>Sistemas agroforestales (café, cacao con sombra y  silvopastoriles.</w:t>
            </w:r>
          </w:p>
          <w:p w14:paraId="15A731E1" w14:textId="77777777" w:rsidR="00F512DB" w:rsidRPr="009A27ED" w:rsidRDefault="00F512DB" w:rsidP="00F512DB">
            <w:pPr>
              <w:numPr>
                <w:ilvl w:val="0"/>
                <w:numId w:val="120"/>
              </w:numPr>
              <w:spacing w:after="0"/>
              <w:contextualSpacing/>
              <w:cnfStyle w:val="000000100000" w:firstRow="0" w:lastRow="0" w:firstColumn="0" w:lastColumn="0" w:oddVBand="0" w:evenVBand="0" w:oddHBand="1" w:evenHBand="0" w:firstRowFirstColumn="0" w:firstRowLastColumn="0" w:lastRowFirstColumn="0" w:lastRowLastColumn="0"/>
              <w:rPr>
                <w:sz w:val="20"/>
                <w:szCs w:val="20"/>
              </w:rPr>
            </w:pPr>
            <w:r w:rsidRPr="009A27ED">
              <w:rPr>
                <w:sz w:val="20"/>
                <w:szCs w:val="20"/>
                <w:lang w:eastAsia="es-ES_tradnl"/>
              </w:rPr>
              <w:t>Participación comunitaria con equidad de género en el marco de REDD+</w:t>
            </w:r>
          </w:p>
        </w:tc>
      </w:tr>
      <w:tr w:rsidR="00F512DB" w:rsidRPr="009A27ED" w14:paraId="0948EE38" w14:textId="77777777" w:rsidTr="00562F95">
        <w:trPr>
          <w:trHeight w:val="1540"/>
        </w:trPr>
        <w:tc>
          <w:tcPr>
            <w:cnfStyle w:val="001000000000" w:firstRow="0" w:lastRow="0" w:firstColumn="1" w:lastColumn="0" w:oddVBand="0" w:evenVBand="0" w:oddHBand="0" w:evenHBand="0" w:firstRowFirstColumn="0" w:firstRowLastColumn="0" w:lastRowFirstColumn="0" w:lastRowLastColumn="0"/>
            <w:tcW w:w="1761" w:type="pct"/>
            <w:tcBorders>
              <w:right w:val="single" w:sz="8" w:space="0" w:color="5B9BD5" w:themeColor="accent1"/>
            </w:tcBorders>
          </w:tcPr>
          <w:p w14:paraId="5ED8D58C" w14:textId="77777777" w:rsidR="00F512DB" w:rsidRPr="009A27ED" w:rsidRDefault="00F512DB" w:rsidP="00F512DB">
            <w:pPr>
              <w:numPr>
                <w:ilvl w:val="0"/>
                <w:numId w:val="121"/>
              </w:numPr>
              <w:contextualSpacing/>
              <w:rPr>
                <w:bCs w:val="0"/>
                <w:sz w:val="20"/>
                <w:szCs w:val="20"/>
              </w:rPr>
            </w:pPr>
            <w:r w:rsidRPr="009A27ED">
              <w:rPr>
                <w:bCs w:val="0"/>
                <w:sz w:val="20"/>
                <w:szCs w:val="20"/>
              </w:rPr>
              <w:t>Grupo Técnico Ampliado.</w:t>
            </w:r>
          </w:p>
          <w:p w14:paraId="3F8533C0" w14:textId="77777777" w:rsidR="00F512DB" w:rsidRPr="009A27ED" w:rsidRDefault="00F512DB" w:rsidP="00F512DB">
            <w:pPr>
              <w:numPr>
                <w:ilvl w:val="0"/>
                <w:numId w:val="121"/>
              </w:numPr>
              <w:contextualSpacing/>
              <w:rPr>
                <w:sz w:val="20"/>
                <w:szCs w:val="20"/>
              </w:rPr>
            </w:pPr>
            <w:r w:rsidRPr="009A27ED">
              <w:rPr>
                <w:bCs w:val="0"/>
                <w:sz w:val="20"/>
                <w:szCs w:val="20"/>
              </w:rPr>
              <w:t>OCR</w:t>
            </w:r>
          </w:p>
          <w:p w14:paraId="741F290F" w14:textId="77777777" w:rsidR="00F512DB" w:rsidRPr="009A27ED" w:rsidRDefault="00F512DB" w:rsidP="00F512DB">
            <w:pPr>
              <w:numPr>
                <w:ilvl w:val="0"/>
                <w:numId w:val="121"/>
              </w:numPr>
              <w:contextualSpacing/>
              <w:rPr>
                <w:sz w:val="20"/>
                <w:szCs w:val="20"/>
              </w:rPr>
            </w:pPr>
            <w:r w:rsidRPr="009A27ED">
              <w:rPr>
                <w:bCs w:val="0"/>
                <w:sz w:val="20"/>
                <w:szCs w:val="20"/>
              </w:rPr>
              <w:t xml:space="preserve">Grupos de trabajo Salvaguarda, Legal, Uso de Suelo. </w:t>
            </w:r>
          </w:p>
          <w:p w14:paraId="6A771C42" w14:textId="77777777" w:rsidR="00F512DB" w:rsidRPr="009A27ED" w:rsidRDefault="00F512DB" w:rsidP="00F512DB">
            <w:pPr>
              <w:numPr>
                <w:ilvl w:val="0"/>
                <w:numId w:val="121"/>
              </w:numPr>
              <w:contextualSpacing/>
              <w:rPr>
                <w:bCs w:val="0"/>
                <w:sz w:val="20"/>
                <w:szCs w:val="20"/>
              </w:rPr>
            </w:pPr>
            <w:r w:rsidRPr="009A27ED">
              <w:rPr>
                <w:bCs w:val="0"/>
                <w:sz w:val="20"/>
                <w:szCs w:val="20"/>
              </w:rPr>
              <w:t>Otras unidades de monitoreo a crear en el marco de la implementación de REDD+.</w:t>
            </w:r>
          </w:p>
          <w:p w14:paraId="7683FAE5" w14:textId="77777777" w:rsidR="00F512DB" w:rsidRPr="009A27ED" w:rsidRDefault="00F512DB" w:rsidP="00562F95">
            <w:pPr>
              <w:ind w:left="46"/>
              <w:rPr>
                <w:bCs w:val="0"/>
                <w:sz w:val="20"/>
                <w:szCs w:val="20"/>
                <w:lang w:val="es-MX"/>
              </w:rPr>
            </w:pPr>
          </w:p>
        </w:tc>
        <w:tc>
          <w:tcPr>
            <w:tcW w:w="3239" w:type="pct"/>
            <w:tcBorders>
              <w:left w:val="single" w:sz="8" w:space="0" w:color="5B9BD5" w:themeColor="accent1"/>
            </w:tcBorders>
            <w:hideMark/>
          </w:tcPr>
          <w:p w14:paraId="403D2B1D" w14:textId="77777777" w:rsidR="00F512DB" w:rsidRPr="009A27ED" w:rsidRDefault="00F512DB" w:rsidP="00562F95">
            <w:pPr>
              <w:ind w:right="58"/>
              <w:cnfStyle w:val="000000000000" w:firstRow="0" w:lastRow="0" w:firstColumn="0" w:lastColumn="0" w:oddVBand="0" w:evenVBand="0" w:oddHBand="0" w:evenHBand="0" w:firstRowFirstColumn="0" w:firstRowLastColumn="0" w:lastRowFirstColumn="0" w:lastRowLastColumn="0"/>
              <w:rPr>
                <w:sz w:val="20"/>
                <w:szCs w:val="20"/>
              </w:rPr>
            </w:pPr>
            <w:r w:rsidRPr="009A27ED">
              <w:rPr>
                <w:b/>
                <w:sz w:val="20"/>
                <w:szCs w:val="20"/>
                <w:lang w:val="es-MX"/>
              </w:rPr>
              <w:t xml:space="preserve">Mecanismos de monitoreo y distribución de beneficios. </w:t>
            </w:r>
            <w:r w:rsidRPr="009A27ED">
              <w:rPr>
                <w:color w:val="0070C0"/>
                <w:sz w:val="20"/>
                <w:szCs w:val="20"/>
              </w:rPr>
              <w:t xml:space="preserve">Objetivos: </w:t>
            </w:r>
            <w:r w:rsidRPr="009A27ED">
              <w:rPr>
                <w:sz w:val="20"/>
                <w:szCs w:val="20"/>
              </w:rPr>
              <w:t>Sensibilizar sobre el seguimiento al sistema de monitoreo para el cumplimiento de los requerimientos en el marco de la implementación de REDD+ y Comprender la importancia del Plan de Distribución de Beneficios y las responsabilidades que conlleva la implementación de REDD+ en las áreas priorizadas.</w:t>
            </w:r>
          </w:p>
          <w:p w14:paraId="05ABBE32" w14:textId="77777777" w:rsidR="00F512DB" w:rsidRPr="009A27ED" w:rsidRDefault="00F512DB" w:rsidP="00562F95">
            <w:pPr>
              <w:ind w:right="58"/>
              <w:cnfStyle w:val="000000000000" w:firstRow="0" w:lastRow="0" w:firstColumn="0" w:lastColumn="0" w:oddVBand="0" w:evenVBand="0" w:oddHBand="0" w:evenHBand="0" w:firstRowFirstColumn="0" w:firstRowLastColumn="0" w:lastRowFirstColumn="0" w:lastRowLastColumn="0"/>
              <w:rPr>
                <w:color w:val="0070C0"/>
                <w:sz w:val="20"/>
                <w:szCs w:val="20"/>
              </w:rPr>
            </w:pPr>
            <w:r w:rsidRPr="009A27ED">
              <w:rPr>
                <w:color w:val="0070C0"/>
                <w:sz w:val="20"/>
                <w:szCs w:val="20"/>
              </w:rPr>
              <w:t>Contenido:</w:t>
            </w:r>
          </w:p>
          <w:p w14:paraId="28AC42A8" w14:textId="77777777" w:rsidR="00F512DB" w:rsidRPr="009A27ED" w:rsidRDefault="00F512DB" w:rsidP="00F512DB">
            <w:pPr>
              <w:numPr>
                <w:ilvl w:val="0"/>
                <w:numId w:val="122"/>
              </w:numPr>
              <w:spacing w:after="200"/>
              <w:contextualSpacing/>
              <w:cnfStyle w:val="000000000000" w:firstRow="0" w:lastRow="0" w:firstColumn="0" w:lastColumn="0" w:oddVBand="0" w:evenVBand="0" w:oddHBand="0" w:evenHBand="0" w:firstRowFirstColumn="0" w:firstRowLastColumn="0" w:lastRowFirstColumn="0" w:lastRowLastColumn="0"/>
              <w:rPr>
                <w:sz w:val="20"/>
                <w:szCs w:val="20"/>
                <w:lang w:eastAsia="es-ES_tradnl"/>
              </w:rPr>
            </w:pPr>
            <w:r w:rsidRPr="009A27ED">
              <w:rPr>
                <w:sz w:val="20"/>
                <w:szCs w:val="20"/>
                <w:lang w:eastAsia="es-ES_tradnl"/>
              </w:rPr>
              <w:t>El sistema de monitoreo, reporte y verificación (MRV) de los proyectos REDD+.</w:t>
            </w:r>
          </w:p>
          <w:p w14:paraId="7385ED3C" w14:textId="77777777" w:rsidR="00F512DB" w:rsidRPr="009A27ED" w:rsidRDefault="00F512DB" w:rsidP="00F512DB">
            <w:pPr>
              <w:numPr>
                <w:ilvl w:val="0"/>
                <w:numId w:val="122"/>
              </w:numPr>
              <w:spacing w:after="200"/>
              <w:contextualSpacing/>
              <w:cnfStyle w:val="000000000000" w:firstRow="0" w:lastRow="0" w:firstColumn="0" w:lastColumn="0" w:oddVBand="0" w:evenVBand="0" w:oddHBand="0" w:evenHBand="0" w:firstRowFirstColumn="0" w:firstRowLastColumn="0" w:lastRowFirstColumn="0" w:lastRowLastColumn="0"/>
              <w:rPr>
                <w:sz w:val="20"/>
                <w:szCs w:val="20"/>
                <w:lang w:eastAsia="es-ES_tradnl"/>
              </w:rPr>
            </w:pPr>
            <w:r w:rsidRPr="009A27ED">
              <w:rPr>
                <w:sz w:val="20"/>
                <w:szCs w:val="20"/>
                <w:lang w:eastAsia="es-ES_tradnl"/>
              </w:rPr>
              <w:t>Técnicas e instrumentación para el monitoreo forestal, biodiversidad, social, ambiental en el marco de REDD+</w:t>
            </w:r>
          </w:p>
          <w:p w14:paraId="73EB1E90" w14:textId="77777777" w:rsidR="00F512DB" w:rsidRPr="009A27ED" w:rsidRDefault="00F512DB" w:rsidP="00F512DB">
            <w:pPr>
              <w:numPr>
                <w:ilvl w:val="0"/>
                <w:numId w:val="122"/>
              </w:numPr>
              <w:spacing w:after="200"/>
              <w:contextualSpacing/>
              <w:cnfStyle w:val="000000000000" w:firstRow="0" w:lastRow="0" w:firstColumn="0" w:lastColumn="0" w:oddVBand="0" w:evenVBand="0" w:oddHBand="0" w:evenHBand="0" w:firstRowFirstColumn="0" w:firstRowLastColumn="0" w:lastRowFirstColumn="0" w:lastRowLastColumn="0"/>
              <w:rPr>
                <w:sz w:val="20"/>
                <w:szCs w:val="20"/>
                <w:lang w:eastAsia="es-ES_tradnl"/>
              </w:rPr>
            </w:pPr>
            <w:r w:rsidRPr="009A27ED">
              <w:rPr>
                <w:sz w:val="20"/>
                <w:szCs w:val="20"/>
                <w:lang w:eastAsia="es-ES_tradnl"/>
              </w:rPr>
              <w:t xml:space="preserve">Teledetección: objetivos, tratamiento digital, clasificación de imágenes, </w:t>
            </w:r>
            <w:proofErr w:type="gramStart"/>
            <w:r w:rsidRPr="009A27ED">
              <w:rPr>
                <w:sz w:val="20"/>
                <w:szCs w:val="20"/>
                <w:lang w:eastAsia="es-ES_tradnl"/>
              </w:rPr>
              <w:t>geo estadística</w:t>
            </w:r>
            <w:proofErr w:type="gramEnd"/>
            <w:r w:rsidRPr="009A27ED">
              <w:rPr>
                <w:sz w:val="20"/>
                <w:szCs w:val="20"/>
                <w:lang w:eastAsia="es-ES_tradnl"/>
              </w:rPr>
              <w:t xml:space="preserve">. </w:t>
            </w:r>
          </w:p>
          <w:p w14:paraId="1E007F9D" w14:textId="77777777" w:rsidR="00F512DB" w:rsidRPr="009A27ED" w:rsidRDefault="00F512DB" w:rsidP="00F512DB">
            <w:pPr>
              <w:numPr>
                <w:ilvl w:val="0"/>
                <w:numId w:val="122"/>
              </w:numPr>
              <w:spacing w:after="200"/>
              <w:contextualSpacing/>
              <w:cnfStyle w:val="000000000000" w:firstRow="0" w:lastRow="0" w:firstColumn="0" w:lastColumn="0" w:oddVBand="0" w:evenVBand="0" w:oddHBand="0" w:evenHBand="0" w:firstRowFirstColumn="0" w:firstRowLastColumn="0" w:lastRowFirstColumn="0" w:lastRowLastColumn="0"/>
              <w:rPr>
                <w:sz w:val="20"/>
                <w:szCs w:val="20"/>
                <w:lang w:eastAsia="es-ES_tradnl"/>
              </w:rPr>
            </w:pPr>
            <w:r w:rsidRPr="009A27ED">
              <w:rPr>
                <w:sz w:val="20"/>
                <w:szCs w:val="20"/>
                <w:lang w:eastAsia="es-ES_tradnl"/>
              </w:rPr>
              <w:t>Aplicación de herramientas SIG y Teledetección para el monitoreo</w:t>
            </w:r>
          </w:p>
          <w:p w14:paraId="142C62E9" w14:textId="77777777" w:rsidR="00F512DB" w:rsidRPr="009A27ED" w:rsidRDefault="00F512DB" w:rsidP="00F512DB">
            <w:pPr>
              <w:numPr>
                <w:ilvl w:val="0"/>
                <w:numId w:val="122"/>
              </w:numPr>
              <w:spacing w:after="200"/>
              <w:contextualSpacing/>
              <w:cnfStyle w:val="000000000000" w:firstRow="0" w:lastRow="0" w:firstColumn="0" w:lastColumn="0" w:oddVBand="0" w:evenVBand="0" w:oddHBand="0" w:evenHBand="0" w:firstRowFirstColumn="0" w:firstRowLastColumn="0" w:lastRowFirstColumn="0" w:lastRowLastColumn="0"/>
              <w:rPr>
                <w:sz w:val="20"/>
                <w:szCs w:val="20"/>
                <w:lang w:eastAsia="es-ES_tradnl"/>
              </w:rPr>
            </w:pPr>
            <w:r w:rsidRPr="009A27ED">
              <w:rPr>
                <w:sz w:val="20"/>
                <w:szCs w:val="20"/>
                <w:lang w:eastAsia="es-ES_tradnl"/>
              </w:rPr>
              <w:t>Importancia de los indicadores sociales y ambientales en el marco de REDD+ en República Dominicana</w:t>
            </w:r>
          </w:p>
          <w:p w14:paraId="05DB32F4" w14:textId="77777777" w:rsidR="00F512DB" w:rsidRPr="009A27ED" w:rsidRDefault="00F512DB" w:rsidP="00F512DB">
            <w:pPr>
              <w:numPr>
                <w:ilvl w:val="0"/>
                <w:numId w:val="122"/>
              </w:numPr>
              <w:spacing w:after="200"/>
              <w:contextualSpacing/>
              <w:cnfStyle w:val="000000000000" w:firstRow="0" w:lastRow="0" w:firstColumn="0" w:lastColumn="0" w:oddVBand="0" w:evenVBand="0" w:oddHBand="0" w:evenHBand="0" w:firstRowFirstColumn="0" w:firstRowLastColumn="0" w:lastRowFirstColumn="0" w:lastRowLastColumn="0"/>
              <w:rPr>
                <w:sz w:val="20"/>
                <w:szCs w:val="20"/>
                <w:lang w:eastAsia="es-ES_tradnl"/>
              </w:rPr>
            </w:pPr>
            <w:r w:rsidRPr="009A27ED">
              <w:rPr>
                <w:sz w:val="20"/>
                <w:szCs w:val="20"/>
                <w:lang w:eastAsia="es-ES_tradnl"/>
              </w:rPr>
              <w:t>Cumplimiento de los indicadores sociales y ambientales del Sistema Nacional de Salvaguardas</w:t>
            </w:r>
          </w:p>
          <w:p w14:paraId="453E77DB" w14:textId="77777777" w:rsidR="00F512DB" w:rsidRPr="009A27ED" w:rsidRDefault="00F512DB" w:rsidP="00F512DB">
            <w:pPr>
              <w:numPr>
                <w:ilvl w:val="0"/>
                <w:numId w:val="122"/>
              </w:numPr>
              <w:spacing w:after="200"/>
              <w:contextualSpacing/>
              <w:cnfStyle w:val="000000000000" w:firstRow="0" w:lastRow="0" w:firstColumn="0" w:lastColumn="0" w:oddVBand="0" w:evenVBand="0" w:oddHBand="0" w:evenHBand="0" w:firstRowFirstColumn="0" w:firstRowLastColumn="0" w:lastRowFirstColumn="0" w:lastRowLastColumn="0"/>
              <w:rPr>
                <w:sz w:val="20"/>
                <w:szCs w:val="20"/>
                <w:lang w:val="es-MX" w:eastAsia="es-ES_tradnl"/>
              </w:rPr>
            </w:pPr>
            <w:r w:rsidRPr="009A27ED">
              <w:rPr>
                <w:sz w:val="20"/>
                <w:szCs w:val="20"/>
                <w:lang w:eastAsia="es-ES_tradnl"/>
              </w:rPr>
              <w:t>Instrumentos para el registro y monitoreo de los indicadores ambientales y sociales de SIS</w:t>
            </w:r>
          </w:p>
          <w:p w14:paraId="0888F5C3" w14:textId="77777777" w:rsidR="00F512DB" w:rsidRPr="009A27ED" w:rsidRDefault="00F512DB" w:rsidP="00F512DB">
            <w:pPr>
              <w:numPr>
                <w:ilvl w:val="0"/>
                <w:numId w:val="122"/>
              </w:numPr>
              <w:ind w:right="58"/>
              <w:contextualSpacing/>
              <w:cnfStyle w:val="000000000000" w:firstRow="0" w:lastRow="0" w:firstColumn="0" w:lastColumn="0" w:oddVBand="0" w:evenVBand="0" w:oddHBand="0" w:evenHBand="0" w:firstRowFirstColumn="0" w:firstRowLastColumn="0" w:lastRowFirstColumn="0" w:lastRowLastColumn="0"/>
              <w:rPr>
                <w:sz w:val="20"/>
                <w:szCs w:val="20"/>
                <w:lang w:val="es-MX" w:eastAsia="es-ES_tradnl"/>
              </w:rPr>
            </w:pPr>
            <w:r w:rsidRPr="009A27ED">
              <w:rPr>
                <w:sz w:val="20"/>
                <w:szCs w:val="20"/>
                <w:lang w:val="es-MX" w:eastAsia="es-ES_tradnl"/>
              </w:rPr>
              <w:t>Seguimiento al Plan de Distribución de Beneficios en la República Dominica bajo REDD+</w:t>
            </w:r>
          </w:p>
        </w:tc>
      </w:tr>
    </w:tbl>
    <w:p w14:paraId="41378900" w14:textId="77777777" w:rsidR="00B175D7" w:rsidRPr="009A27ED" w:rsidRDefault="00B175D7" w:rsidP="00F512DB">
      <w:pPr>
        <w:spacing w:after="0" w:line="360" w:lineRule="auto"/>
        <w:ind w:left="425" w:hanging="360"/>
        <w:rPr>
          <w:rFonts w:eastAsiaTheme="minorEastAsia" w:cstheme="minorBidi"/>
        </w:rPr>
      </w:pPr>
    </w:p>
    <w:p w14:paraId="3FA893FD" w14:textId="77777777" w:rsidR="00B175D7" w:rsidRPr="009A27ED" w:rsidRDefault="00B175D7" w:rsidP="00F512DB">
      <w:pPr>
        <w:spacing w:after="0" w:line="360" w:lineRule="auto"/>
        <w:ind w:left="425" w:hanging="360"/>
        <w:rPr>
          <w:rFonts w:eastAsiaTheme="minorEastAsia" w:cstheme="minorBidi"/>
        </w:rPr>
      </w:pPr>
    </w:p>
    <w:p w14:paraId="22D09507" w14:textId="77777777" w:rsidR="00B175D7" w:rsidRPr="009A27ED" w:rsidRDefault="00B175D7" w:rsidP="00F512DB">
      <w:pPr>
        <w:spacing w:after="0" w:line="360" w:lineRule="auto"/>
        <w:ind w:left="425" w:hanging="360"/>
        <w:rPr>
          <w:rFonts w:eastAsiaTheme="minorEastAsia" w:cstheme="minorBidi"/>
        </w:rPr>
      </w:pPr>
    </w:p>
    <w:p w14:paraId="4DE78C8C" w14:textId="6F226CDB" w:rsidR="00F512DB" w:rsidRPr="009A27ED" w:rsidRDefault="00F512DB" w:rsidP="00F512DB">
      <w:pPr>
        <w:spacing w:after="0" w:line="360" w:lineRule="auto"/>
        <w:ind w:left="425" w:hanging="360"/>
        <w:rPr>
          <w:rFonts w:eastAsiaTheme="minorEastAsia" w:cstheme="minorBidi"/>
        </w:rPr>
      </w:pPr>
      <w:r w:rsidRPr="009A27ED">
        <w:rPr>
          <w:rFonts w:ascii="Times New Roman" w:eastAsiaTheme="minorEastAsia" w:hAnsi="Times New Roman" w:cstheme="minorBidi"/>
          <w:sz w:val="24"/>
        </w:rPr>
        <w:t>AQUÍ INCLUIR EL PROGRAMA DE CAPACITACIÓN QUE SE IMPLEMENTO DURANTE 2020 A 2022.</w:t>
      </w:r>
    </w:p>
    <w:p w14:paraId="0FC5E9FE" w14:textId="7841A0CF" w:rsidR="00BF1F30" w:rsidRPr="009A27ED" w:rsidRDefault="00BF1F30" w:rsidP="00BF1F30">
      <w:pPr>
        <w:spacing w:line="360" w:lineRule="auto"/>
      </w:pPr>
      <w:bookmarkStart w:id="340" w:name="_Toc1485075"/>
      <w:bookmarkStart w:id="341" w:name="_Toc18505705"/>
      <w:bookmarkStart w:id="342" w:name="_Toc534316484"/>
      <w:bookmarkStart w:id="343" w:name="_Toc534316920"/>
      <w:bookmarkStart w:id="344" w:name="_Toc534319020"/>
      <w:bookmarkStart w:id="345" w:name="_Toc534384536"/>
      <w:bookmarkStart w:id="346" w:name="_Toc534384734"/>
      <w:bookmarkStart w:id="347" w:name="_Toc534316485"/>
      <w:bookmarkStart w:id="348" w:name="_Toc534316921"/>
      <w:bookmarkStart w:id="349" w:name="_Toc534319021"/>
      <w:bookmarkStart w:id="350" w:name="_Toc534384537"/>
      <w:bookmarkStart w:id="351" w:name="_Toc534384735"/>
      <w:bookmarkStart w:id="352" w:name="_Toc534316486"/>
      <w:bookmarkStart w:id="353" w:name="_Toc534316922"/>
      <w:bookmarkStart w:id="354" w:name="_Toc534319022"/>
      <w:bookmarkStart w:id="355" w:name="_Toc534384538"/>
      <w:bookmarkStart w:id="356" w:name="_Toc534384736"/>
      <w:bookmarkStart w:id="357" w:name="_Toc534316487"/>
      <w:bookmarkStart w:id="358" w:name="_Toc534316923"/>
      <w:bookmarkStart w:id="359" w:name="_Toc534319023"/>
      <w:bookmarkStart w:id="360" w:name="_Toc534384539"/>
      <w:bookmarkStart w:id="361" w:name="_Toc534384737"/>
      <w:bookmarkStart w:id="362" w:name="_Toc534316496"/>
      <w:bookmarkStart w:id="363" w:name="_Toc534316932"/>
      <w:bookmarkStart w:id="364" w:name="_Toc534319032"/>
      <w:bookmarkStart w:id="365" w:name="_Toc534384548"/>
      <w:bookmarkStart w:id="366" w:name="_Toc534384746"/>
      <w:bookmarkStart w:id="367" w:name="_Toc534316500"/>
      <w:bookmarkStart w:id="368" w:name="_Toc534316936"/>
      <w:bookmarkStart w:id="369" w:name="_Toc534319036"/>
      <w:bookmarkStart w:id="370" w:name="_Toc534384552"/>
      <w:bookmarkStart w:id="371" w:name="_Toc534384750"/>
      <w:bookmarkStart w:id="372" w:name="_Toc534316504"/>
      <w:bookmarkStart w:id="373" w:name="_Toc534316940"/>
      <w:bookmarkStart w:id="374" w:name="_Toc534319040"/>
      <w:bookmarkStart w:id="375" w:name="_Toc534384556"/>
      <w:bookmarkStart w:id="376" w:name="_Toc534384754"/>
      <w:bookmarkStart w:id="377" w:name="_Toc534316508"/>
      <w:bookmarkStart w:id="378" w:name="_Toc534316944"/>
      <w:bookmarkStart w:id="379" w:name="_Toc534319044"/>
      <w:bookmarkStart w:id="380" w:name="_Toc534384560"/>
      <w:bookmarkStart w:id="381" w:name="_Toc534384758"/>
      <w:bookmarkStart w:id="382" w:name="_Toc534316512"/>
      <w:bookmarkStart w:id="383" w:name="_Toc534316948"/>
      <w:bookmarkStart w:id="384" w:name="_Toc534319048"/>
      <w:bookmarkStart w:id="385" w:name="_Toc534384564"/>
      <w:bookmarkStart w:id="386" w:name="_Toc534384762"/>
      <w:bookmarkStart w:id="387" w:name="_Toc534316516"/>
      <w:bookmarkStart w:id="388" w:name="_Toc534316952"/>
      <w:bookmarkStart w:id="389" w:name="_Toc534319052"/>
      <w:bookmarkStart w:id="390" w:name="_Toc534384568"/>
      <w:bookmarkStart w:id="391" w:name="_Toc534384766"/>
      <w:bookmarkStart w:id="392" w:name="_Toc534316527"/>
      <w:bookmarkStart w:id="393" w:name="_Toc534316963"/>
      <w:bookmarkStart w:id="394" w:name="_Toc534319063"/>
      <w:bookmarkStart w:id="395" w:name="_Toc534384579"/>
      <w:bookmarkStart w:id="396" w:name="_Toc534384777"/>
      <w:bookmarkStart w:id="397" w:name="_Toc534316533"/>
      <w:bookmarkStart w:id="398" w:name="_Toc534316969"/>
      <w:bookmarkStart w:id="399" w:name="_Toc534319069"/>
      <w:bookmarkStart w:id="400" w:name="_Toc534384585"/>
      <w:bookmarkStart w:id="401" w:name="_Toc534384783"/>
      <w:bookmarkStart w:id="402" w:name="_Toc534316537"/>
      <w:bookmarkStart w:id="403" w:name="_Toc534316973"/>
      <w:bookmarkStart w:id="404" w:name="_Toc534319073"/>
      <w:bookmarkStart w:id="405" w:name="_Toc534384589"/>
      <w:bookmarkStart w:id="406" w:name="_Toc534384787"/>
      <w:bookmarkStart w:id="407" w:name="_Toc534316541"/>
      <w:bookmarkStart w:id="408" w:name="_Toc534316977"/>
      <w:bookmarkStart w:id="409" w:name="_Toc534319077"/>
      <w:bookmarkStart w:id="410" w:name="_Toc534384593"/>
      <w:bookmarkStart w:id="411" w:name="_Toc534384791"/>
      <w:bookmarkStart w:id="412" w:name="_Toc534316549"/>
      <w:bookmarkStart w:id="413" w:name="_Toc534316985"/>
      <w:bookmarkStart w:id="414" w:name="_Toc534319085"/>
      <w:bookmarkStart w:id="415" w:name="_Toc534384601"/>
      <w:bookmarkStart w:id="416" w:name="_Toc534384799"/>
      <w:bookmarkStart w:id="417" w:name="_Toc534316553"/>
      <w:bookmarkStart w:id="418" w:name="_Toc534316989"/>
      <w:bookmarkStart w:id="419" w:name="_Toc534319089"/>
      <w:bookmarkStart w:id="420" w:name="_Toc534384605"/>
      <w:bookmarkStart w:id="421" w:name="_Toc534384803"/>
      <w:bookmarkStart w:id="422" w:name="_Toc534316557"/>
      <w:bookmarkStart w:id="423" w:name="_Toc534316993"/>
      <w:bookmarkStart w:id="424" w:name="_Toc534319093"/>
      <w:bookmarkStart w:id="425" w:name="_Toc534384609"/>
      <w:bookmarkStart w:id="426" w:name="_Toc534384807"/>
      <w:bookmarkStart w:id="427" w:name="_Toc534316566"/>
      <w:bookmarkStart w:id="428" w:name="_Toc534317002"/>
      <w:bookmarkStart w:id="429" w:name="_Toc534319102"/>
      <w:bookmarkStart w:id="430" w:name="_Toc534384618"/>
      <w:bookmarkStart w:id="431" w:name="_Toc534384816"/>
      <w:bookmarkStart w:id="432" w:name="_Toc534316570"/>
      <w:bookmarkStart w:id="433" w:name="_Toc534317006"/>
      <w:bookmarkStart w:id="434" w:name="_Toc534319106"/>
      <w:bookmarkStart w:id="435" w:name="_Toc534384622"/>
      <w:bookmarkStart w:id="436" w:name="_Toc534384820"/>
      <w:bookmarkStart w:id="437" w:name="_Toc534316574"/>
      <w:bookmarkStart w:id="438" w:name="_Toc534317010"/>
      <w:bookmarkStart w:id="439" w:name="_Toc534319110"/>
      <w:bookmarkStart w:id="440" w:name="_Toc534384626"/>
      <w:bookmarkStart w:id="441" w:name="_Toc534384824"/>
      <w:bookmarkStart w:id="442" w:name="_Toc534316583"/>
      <w:bookmarkStart w:id="443" w:name="_Toc534317019"/>
      <w:bookmarkStart w:id="444" w:name="_Toc534319119"/>
      <w:bookmarkStart w:id="445" w:name="_Toc534384635"/>
      <w:bookmarkStart w:id="446" w:name="_Toc534384833"/>
      <w:bookmarkStart w:id="447" w:name="_Toc534316587"/>
      <w:bookmarkStart w:id="448" w:name="_Toc534317023"/>
      <w:bookmarkStart w:id="449" w:name="_Toc534319123"/>
      <w:bookmarkStart w:id="450" w:name="_Toc534384639"/>
      <w:bookmarkStart w:id="451" w:name="_Toc534384837"/>
      <w:bookmarkStart w:id="452" w:name="_Toc534316591"/>
      <w:bookmarkStart w:id="453" w:name="_Toc534317027"/>
      <w:bookmarkStart w:id="454" w:name="_Toc534319127"/>
      <w:bookmarkStart w:id="455" w:name="_Toc534384643"/>
      <w:bookmarkStart w:id="456" w:name="_Toc534384841"/>
      <w:bookmarkStart w:id="457" w:name="_Toc534316595"/>
      <w:bookmarkStart w:id="458" w:name="_Toc534317031"/>
      <w:bookmarkStart w:id="459" w:name="_Toc534319131"/>
      <w:bookmarkStart w:id="460" w:name="_Toc534384647"/>
      <w:bookmarkStart w:id="461" w:name="_Toc534384845"/>
      <w:bookmarkStart w:id="462" w:name="_Toc534316599"/>
      <w:bookmarkStart w:id="463" w:name="_Toc534317035"/>
      <w:bookmarkStart w:id="464" w:name="_Toc534319135"/>
      <w:bookmarkStart w:id="465" w:name="_Toc534384651"/>
      <w:bookmarkStart w:id="466" w:name="_Toc534384849"/>
      <w:bookmarkStart w:id="467" w:name="_Toc534316603"/>
      <w:bookmarkStart w:id="468" w:name="_Toc534317039"/>
      <w:bookmarkStart w:id="469" w:name="_Toc534319139"/>
      <w:bookmarkStart w:id="470" w:name="_Toc534384655"/>
      <w:bookmarkStart w:id="471" w:name="_Toc534384853"/>
      <w:bookmarkStart w:id="472" w:name="_Toc534316607"/>
      <w:bookmarkStart w:id="473" w:name="_Toc534317043"/>
      <w:bookmarkStart w:id="474" w:name="_Toc534319143"/>
      <w:bookmarkStart w:id="475" w:name="_Toc534384659"/>
      <w:bookmarkStart w:id="476" w:name="_Toc534384857"/>
      <w:bookmarkStart w:id="477" w:name="_Toc533288878"/>
      <w:bookmarkStart w:id="478" w:name="_Toc533288969"/>
      <w:bookmarkStart w:id="479" w:name="_Toc533289060"/>
      <w:bookmarkStart w:id="480" w:name="_Toc533523748"/>
      <w:bookmarkStart w:id="481" w:name="_Toc533523838"/>
      <w:bookmarkStart w:id="482" w:name="_Toc533524033"/>
      <w:bookmarkStart w:id="483" w:name="_Toc534316608"/>
      <w:bookmarkStart w:id="484" w:name="_Toc534317044"/>
      <w:bookmarkStart w:id="485" w:name="_Toc534319144"/>
      <w:bookmarkStart w:id="486" w:name="_Toc534384660"/>
      <w:bookmarkStart w:id="487" w:name="_Toc534384858"/>
      <w:bookmarkStart w:id="488" w:name="_Toc535861757"/>
      <w:bookmarkStart w:id="489" w:name="_Toc535862127"/>
      <w:bookmarkStart w:id="490" w:name="_Toc535862196"/>
      <w:bookmarkStart w:id="491" w:name="_Toc535863002"/>
      <w:bookmarkStart w:id="492" w:name="_Toc535863491"/>
      <w:bookmarkStart w:id="493" w:name="_Toc535929646"/>
      <w:bookmarkStart w:id="494" w:name="_Toc536025500"/>
      <w:bookmarkStart w:id="495" w:name="_Toc4869831"/>
      <w:bookmarkStart w:id="496" w:name="_Toc5528256"/>
      <w:bookmarkStart w:id="497" w:name="_Toc5629221"/>
      <w:bookmarkStart w:id="498" w:name="_Toc5730708"/>
      <w:bookmarkStart w:id="499" w:name="_Toc5734828"/>
      <w:bookmarkStart w:id="500" w:name="_Toc5789025"/>
      <w:bookmarkStart w:id="501" w:name="_Toc7530109"/>
      <w:bookmarkStart w:id="502" w:name="_Toc8221776"/>
      <w:bookmarkStart w:id="503" w:name="_Toc8225069"/>
      <w:bookmarkStart w:id="504" w:name="_Toc8231865"/>
      <w:bookmarkStart w:id="505" w:name="_Toc18505710"/>
      <w:bookmarkStart w:id="506" w:name="_Toc533288879"/>
      <w:bookmarkStart w:id="507" w:name="_Toc533288970"/>
      <w:bookmarkStart w:id="508" w:name="_Toc533289061"/>
      <w:bookmarkStart w:id="509" w:name="_Toc533523749"/>
      <w:bookmarkStart w:id="510" w:name="_Toc533523839"/>
      <w:bookmarkStart w:id="511" w:name="_Toc533524034"/>
      <w:bookmarkStart w:id="512" w:name="_Toc534316609"/>
      <w:bookmarkStart w:id="513" w:name="_Toc534317045"/>
      <w:bookmarkStart w:id="514" w:name="_Toc534319145"/>
      <w:bookmarkStart w:id="515" w:name="_Toc534384661"/>
      <w:bookmarkStart w:id="516" w:name="_Toc534384859"/>
      <w:bookmarkStart w:id="517" w:name="_Toc535861758"/>
      <w:bookmarkStart w:id="518" w:name="_Toc535862128"/>
      <w:bookmarkStart w:id="519" w:name="_Toc535862197"/>
      <w:bookmarkStart w:id="520" w:name="_Toc535863003"/>
      <w:bookmarkStart w:id="521" w:name="_Toc535863492"/>
      <w:bookmarkStart w:id="522" w:name="_Toc535929647"/>
      <w:bookmarkStart w:id="523" w:name="_Toc536025501"/>
      <w:bookmarkStart w:id="524" w:name="_Toc4869832"/>
      <w:bookmarkStart w:id="525" w:name="_Toc5528257"/>
      <w:bookmarkStart w:id="526" w:name="_Toc5629222"/>
      <w:bookmarkStart w:id="527" w:name="_Toc5730709"/>
      <w:bookmarkStart w:id="528" w:name="_Toc5734829"/>
      <w:bookmarkStart w:id="529" w:name="_Toc5789026"/>
      <w:bookmarkStart w:id="530" w:name="_Toc7530110"/>
      <w:bookmarkStart w:id="531" w:name="_Toc8221777"/>
      <w:bookmarkStart w:id="532" w:name="_Toc8225070"/>
      <w:bookmarkStart w:id="533" w:name="_Toc8231866"/>
      <w:bookmarkStart w:id="534" w:name="_Toc18505711"/>
      <w:bookmarkStart w:id="535" w:name="_Toc533288880"/>
      <w:bookmarkStart w:id="536" w:name="_Toc533288971"/>
      <w:bookmarkStart w:id="537" w:name="_Toc533289062"/>
      <w:bookmarkStart w:id="538" w:name="_Toc533523750"/>
      <w:bookmarkStart w:id="539" w:name="_Toc533523840"/>
      <w:bookmarkStart w:id="540" w:name="_Toc533524035"/>
      <w:bookmarkStart w:id="541" w:name="_Toc534316610"/>
      <w:bookmarkStart w:id="542" w:name="_Toc534317046"/>
      <w:bookmarkStart w:id="543" w:name="_Toc534319146"/>
      <w:bookmarkStart w:id="544" w:name="_Toc534384662"/>
      <w:bookmarkStart w:id="545" w:name="_Toc534384860"/>
      <w:bookmarkStart w:id="546" w:name="_Toc535861759"/>
      <w:bookmarkStart w:id="547" w:name="_Toc535862129"/>
      <w:bookmarkStart w:id="548" w:name="_Toc535862198"/>
      <w:bookmarkStart w:id="549" w:name="_Toc535863004"/>
      <w:bookmarkStart w:id="550" w:name="_Toc535863493"/>
      <w:bookmarkStart w:id="551" w:name="_Toc535929648"/>
      <w:bookmarkStart w:id="552" w:name="_Toc536025502"/>
      <w:bookmarkStart w:id="553" w:name="_Toc4869833"/>
      <w:bookmarkStart w:id="554" w:name="_Toc5528258"/>
      <w:bookmarkStart w:id="555" w:name="_Toc5629223"/>
      <w:bookmarkStart w:id="556" w:name="_Toc5730710"/>
      <w:bookmarkStart w:id="557" w:name="_Toc5734830"/>
      <w:bookmarkStart w:id="558" w:name="_Toc5789027"/>
      <w:bookmarkStart w:id="559" w:name="_Toc7530111"/>
      <w:bookmarkStart w:id="560" w:name="_Toc8221778"/>
      <w:bookmarkStart w:id="561" w:name="_Toc8225071"/>
      <w:bookmarkStart w:id="562" w:name="_Toc8231867"/>
      <w:bookmarkStart w:id="563" w:name="_Toc18505712"/>
      <w:bookmarkStart w:id="564" w:name="_Toc533288881"/>
      <w:bookmarkStart w:id="565" w:name="_Toc533288972"/>
      <w:bookmarkStart w:id="566" w:name="_Toc533289063"/>
      <w:bookmarkStart w:id="567" w:name="_Toc533523751"/>
      <w:bookmarkStart w:id="568" w:name="_Toc533523841"/>
      <w:bookmarkStart w:id="569" w:name="_Toc533524036"/>
      <w:bookmarkStart w:id="570" w:name="_Toc534316611"/>
      <w:bookmarkStart w:id="571" w:name="_Toc534317047"/>
      <w:bookmarkStart w:id="572" w:name="_Toc534319147"/>
      <w:bookmarkStart w:id="573" w:name="_Toc534384663"/>
      <w:bookmarkStart w:id="574" w:name="_Toc534384861"/>
      <w:bookmarkStart w:id="575" w:name="_Toc535861760"/>
      <w:bookmarkStart w:id="576" w:name="_Toc535862130"/>
      <w:bookmarkStart w:id="577" w:name="_Toc535862199"/>
      <w:bookmarkStart w:id="578" w:name="_Toc535863005"/>
      <w:bookmarkStart w:id="579" w:name="_Toc535863494"/>
      <w:bookmarkStart w:id="580" w:name="_Toc535929649"/>
      <w:bookmarkStart w:id="581" w:name="_Toc536025503"/>
      <w:bookmarkStart w:id="582" w:name="_Toc4869834"/>
      <w:bookmarkStart w:id="583" w:name="_Toc5528259"/>
      <w:bookmarkStart w:id="584" w:name="_Toc5629224"/>
      <w:bookmarkStart w:id="585" w:name="_Toc5730711"/>
      <w:bookmarkStart w:id="586" w:name="_Toc5734831"/>
      <w:bookmarkStart w:id="587" w:name="_Toc5789028"/>
      <w:bookmarkStart w:id="588" w:name="_Toc7530112"/>
      <w:bookmarkStart w:id="589" w:name="_Toc8221779"/>
      <w:bookmarkStart w:id="590" w:name="_Toc8225072"/>
      <w:bookmarkStart w:id="591" w:name="_Toc8231868"/>
      <w:bookmarkStart w:id="592" w:name="_Toc18505713"/>
      <w:bookmarkStart w:id="593" w:name="_Toc533288882"/>
      <w:bookmarkStart w:id="594" w:name="_Toc533288973"/>
      <w:bookmarkStart w:id="595" w:name="_Toc533289064"/>
      <w:bookmarkStart w:id="596" w:name="_Toc533523752"/>
      <w:bookmarkStart w:id="597" w:name="_Toc533523842"/>
      <w:bookmarkStart w:id="598" w:name="_Toc533524037"/>
      <w:bookmarkStart w:id="599" w:name="_Toc534316612"/>
      <w:bookmarkStart w:id="600" w:name="_Toc534317048"/>
      <w:bookmarkStart w:id="601" w:name="_Toc534319148"/>
      <w:bookmarkStart w:id="602" w:name="_Toc534384664"/>
      <w:bookmarkStart w:id="603" w:name="_Toc534384862"/>
      <w:bookmarkStart w:id="604" w:name="_Toc535861761"/>
      <w:bookmarkStart w:id="605" w:name="_Toc535862131"/>
      <w:bookmarkStart w:id="606" w:name="_Toc535862200"/>
      <w:bookmarkStart w:id="607" w:name="_Toc535863006"/>
      <w:bookmarkStart w:id="608" w:name="_Toc535863495"/>
      <w:bookmarkStart w:id="609" w:name="_Toc535929650"/>
      <w:bookmarkStart w:id="610" w:name="_Toc536025504"/>
      <w:bookmarkStart w:id="611" w:name="_Toc4869835"/>
      <w:bookmarkStart w:id="612" w:name="_Toc5528260"/>
      <w:bookmarkStart w:id="613" w:name="_Toc5629225"/>
      <w:bookmarkStart w:id="614" w:name="_Toc5730712"/>
      <w:bookmarkStart w:id="615" w:name="_Toc5734832"/>
      <w:bookmarkStart w:id="616" w:name="_Toc5789029"/>
      <w:bookmarkStart w:id="617" w:name="_Toc7530113"/>
      <w:bookmarkStart w:id="618" w:name="_Toc8221780"/>
      <w:bookmarkStart w:id="619" w:name="_Toc8225073"/>
      <w:bookmarkStart w:id="620" w:name="_Toc8231869"/>
      <w:bookmarkStart w:id="621" w:name="_Toc18505714"/>
      <w:bookmarkStart w:id="622" w:name="_Hlk109837647"/>
      <w:bookmarkStart w:id="623" w:name="_Toc529470021"/>
      <w:bookmarkStart w:id="624" w:name="_Toc532335882"/>
      <w:bookmarkEnd w:id="285"/>
      <w:bookmarkEnd w:id="323"/>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p>
    <w:p w14:paraId="41E9F34F" w14:textId="63932B53" w:rsidR="009C70E6" w:rsidRPr="009A27ED" w:rsidRDefault="009C70E6" w:rsidP="009C70E6">
      <w:pPr>
        <w:spacing w:line="360" w:lineRule="auto"/>
        <w:rPr>
          <w:rFonts w:ascii="Calibri" w:hAnsi="Calibri" w:cs="Calibri"/>
        </w:rPr>
      </w:pPr>
      <w:r w:rsidRPr="009A27ED">
        <w:rPr>
          <w:rFonts w:ascii="Times New Roman" w:eastAsia="Times New Roman" w:hAnsi="Times New Roman" w:cs="Calibri"/>
          <w:sz w:val="24"/>
        </w:rPr>
        <w:lastRenderedPageBreak/>
        <w:t xml:space="preserve">Durante los años 2020 a 2022 se implementó un Plan de Capacitación de actores involucrados en el Programa de Reducción de Emisiones por Deforestación y Degradación de los Bosques, </w:t>
      </w:r>
      <w:r w:rsidR="00230DD0" w:rsidRPr="009A27ED">
        <w:rPr>
          <w:rFonts w:ascii="Times New Roman" w:eastAsia="Times New Roman" w:hAnsi="Times New Roman" w:cs="Calibri"/>
          <w:sz w:val="24"/>
        </w:rPr>
        <w:t xml:space="preserve">en el cual </w:t>
      </w:r>
      <w:r w:rsidRPr="009A27ED">
        <w:rPr>
          <w:rFonts w:ascii="Times New Roman" w:eastAsia="Times New Roman" w:hAnsi="Times New Roman" w:cs="Calibri"/>
          <w:sz w:val="24"/>
        </w:rPr>
        <w:t xml:space="preserve">se realizaron un total de 80 </w:t>
      </w:r>
      <w:r w:rsidRPr="009A27ED">
        <w:rPr>
          <w:rFonts w:ascii="Times New Roman" w:eastAsia="Times New Roman" w:hAnsi="Times New Roman" w:cs="Calibri"/>
          <w:b/>
          <w:bCs/>
          <w:color w:val="000000"/>
          <w:sz w:val="24"/>
        </w:rPr>
        <w:t>actividades de capacitación de actores, entre cursos, talleres y reuniones</w:t>
      </w:r>
      <w:r w:rsidRPr="009A27ED">
        <w:rPr>
          <w:rFonts w:ascii="Times New Roman" w:eastAsia="Times New Roman" w:hAnsi="Times New Roman" w:cs="Calibri"/>
          <w:color w:val="000000"/>
          <w:sz w:val="24"/>
        </w:rPr>
        <w:t xml:space="preserve">, con la participación de </w:t>
      </w:r>
      <w:r w:rsidRPr="009A27ED">
        <w:rPr>
          <w:rFonts w:ascii="Times New Roman" w:eastAsia="Times New Roman" w:hAnsi="Times New Roman" w:cs="Calibri"/>
          <w:b/>
          <w:bCs/>
          <w:color w:val="000000"/>
          <w:sz w:val="24"/>
        </w:rPr>
        <w:t xml:space="preserve">1876 </w:t>
      </w:r>
      <w:r w:rsidRPr="009A27ED">
        <w:rPr>
          <w:rFonts w:ascii="Times New Roman" w:eastAsia="Times New Roman" w:hAnsi="Times New Roman" w:cs="Calibri"/>
          <w:color w:val="000000"/>
          <w:sz w:val="24"/>
        </w:rPr>
        <w:t xml:space="preserve">personas, 1526 hombres y 350 mujeres, todos representantes de Entidades Ejecutoras del Programa REDD+ y de las Federaciones y Asociaciones de productores vinculadas a ellas. Dentro de estas capacitaciones, se desarrolló una amplia campaña y creación de conciencia entre los actores y potenciales beneficiarios del Programa REDD+, que abarcó cinco (5) módulos con los temas siguientes: i) Cambio Climático, </w:t>
      </w:r>
      <w:proofErr w:type="spellStart"/>
      <w:r w:rsidRPr="009A27ED">
        <w:rPr>
          <w:rFonts w:ascii="Times New Roman" w:eastAsia="Times New Roman" w:hAnsi="Times New Roman" w:cs="Calibri"/>
          <w:color w:val="000000"/>
          <w:sz w:val="24"/>
        </w:rPr>
        <w:t>ii</w:t>
      </w:r>
      <w:proofErr w:type="spellEnd"/>
      <w:r w:rsidRPr="009A27ED">
        <w:rPr>
          <w:rFonts w:ascii="Times New Roman" w:eastAsia="Times New Roman" w:hAnsi="Times New Roman" w:cs="Calibri"/>
          <w:color w:val="000000"/>
          <w:sz w:val="24"/>
        </w:rPr>
        <w:t xml:space="preserve">) El Programa REDD+ República Dominicana, </w:t>
      </w:r>
      <w:proofErr w:type="spellStart"/>
      <w:r w:rsidRPr="009A27ED">
        <w:rPr>
          <w:rFonts w:ascii="Times New Roman" w:eastAsia="Times New Roman" w:hAnsi="Times New Roman" w:cs="Calibri"/>
          <w:color w:val="000000"/>
          <w:sz w:val="24"/>
        </w:rPr>
        <w:t>iii</w:t>
      </w:r>
      <w:proofErr w:type="spellEnd"/>
      <w:r w:rsidRPr="009A27ED">
        <w:rPr>
          <w:rFonts w:ascii="Times New Roman" w:eastAsia="Times New Roman" w:hAnsi="Times New Roman" w:cs="Calibri"/>
          <w:color w:val="000000"/>
          <w:sz w:val="24"/>
        </w:rPr>
        <w:t xml:space="preserve">) Salvaguardas Sociales y Ambientales, </w:t>
      </w:r>
      <w:proofErr w:type="spellStart"/>
      <w:r w:rsidRPr="009A27ED">
        <w:rPr>
          <w:rFonts w:ascii="Times New Roman" w:eastAsia="Times New Roman" w:hAnsi="Times New Roman" w:cs="Calibri"/>
          <w:color w:val="000000"/>
          <w:sz w:val="24"/>
        </w:rPr>
        <w:t>iv</w:t>
      </w:r>
      <w:proofErr w:type="spellEnd"/>
      <w:r w:rsidRPr="009A27ED">
        <w:rPr>
          <w:rFonts w:ascii="Times New Roman" w:eastAsia="Times New Roman" w:hAnsi="Times New Roman" w:cs="Calibri"/>
          <w:color w:val="000000"/>
          <w:sz w:val="24"/>
        </w:rPr>
        <w:t xml:space="preserve">) Sistema de Información de Salvaguardas (SIS) y los Planes de Manejo Ambiental y Social (PMAS), v) Sistema de Quejas, Reclamos y Manejo de Conflictos (SQRC) y Plan de Distribución de Beneficios (PDB). </w:t>
      </w:r>
    </w:p>
    <w:p w14:paraId="472806F9" w14:textId="73920CC6" w:rsidR="009C70E6" w:rsidRPr="009A27ED" w:rsidRDefault="009C70E6" w:rsidP="009C70E6">
      <w:pPr>
        <w:autoSpaceDE w:val="0"/>
        <w:autoSpaceDN w:val="0"/>
        <w:adjustRightInd w:val="0"/>
        <w:spacing w:after="0" w:line="360" w:lineRule="auto"/>
        <w:rPr>
          <w:rFonts w:ascii="Calibri" w:hAnsi="Calibri" w:cs="Calibri"/>
          <w:color w:val="000000"/>
        </w:rPr>
      </w:pPr>
      <w:r w:rsidRPr="009A27ED">
        <w:rPr>
          <w:rFonts w:ascii="Times New Roman" w:eastAsia="Times New Roman" w:hAnsi="Times New Roman" w:cs="Calibri"/>
          <w:color w:val="000000"/>
          <w:sz w:val="24"/>
        </w:rPr>
        <w:t>Además</w:t>
      </w:r>
      <w:r w:rsidR="00230DD0" w:rsidRPr="009A27ED">
        <w:rPr>
          <w:rFonts w:ascii="Times New Roman" w:eastAsia="Times New Roman" w:hAnsi="Times New Roman" w:cs="Calibri"/>
          <w:color w:val="000000"/>
          <w:sz w:val="24"/>
        </w:rPr>
        <w:t>, se llevaron a cabo cinco</w:t>
      </w:r>
      <w:r w:rsidRPr="009A27ED">
        <w:rPr>
          <w:rFonts w:ascii="Times New Roman" w:eastAsia="Times New Roman" w:hAnsi="Times New Roman" w:cs="Calibri"/>
          <w:color w:val="000000"/>
          <w:sz w:val="24"/>
        </w:rPr>
        <w:t xml:space="preserve"> (5) encuentros regionales para el fortalecimiento de capacidades en cuanto al SIS y al SQRC dirigido a los técnicos de las EE, en las que participaron 147 personas con un total de 126 hombres y 21 mujeres. Y otros cinco (5) encuentros regionales para la sensibilización de actores, en las que participaron 134 (117 hombres y 17 mujeres) representantes de Federaciones, Asociaciones de productores y comunidades.</w:t>
      </w:r>
    </w:p>
    <w:p w14:paraId="65A06029" w14:textId="77777777" w:rsidR="009C70E6" w:rsidRPr="009A27ED" w:rsidRDefault="009C70E6" w:rsidP="009C70E6">
      <w:pPr>
        <w:autoSpaceDE w:val="0"/>
        <w:autoSpaceDN w:val="0"/>
        <w:adjustRightInd w:val="0"/>
        <w:spacing w:after="0" w:line="360" w:lineRule="auto"/>
        <w:rPr>
          <w:rFonts w:ascii="Calibri" w:hAnsi="Calibri" w:cs="Calibri"/>
          <w:color w:val="000000"/>
        </w:rPr>
      </w:pPr>
    </w:p>
    <w:p w14:paraId="5495FFB3" w14:textId="77777777" w:rsidR="009C70E6" w:rsidRPr="009A27ED" w:rsidRDefault="009C70E6" w:rsidP="009C70E6">
      <w:pPr>
        <w:autoSpaceDE w:val="0"/>
        <w:autoSpaceDN w:val="0"/>
        <w:adjustRightInd w:val="0"/>
        <w:spacing w:after="0" w:line="360" w:lineRule="auto"/>
        <w:rPr>
          <w:rFonts w:ascii="Calibri" w:hAnsi="Calibri" w:cs="Calibri"/>
          <w:color w:val="000000"/>
        </w:rPr>
      </w:pPr>
      <w:r w:rsidRPr="009A27ED">
        <w:rPr>
          <w:rFonts w:ascii="Times New Roman" w:eastAsia="Times New Roman" w:hAnsi="Times New Roman" w:cs="Calibri"/>
          <w:color w:val="000000"/>
          <w:sz w:val="24"/>
        </w:rPr>
        <w:t>Otras actividades de fortalecimiento de capacidades de las EE realizadas:</w:t>
      </w:r>
    </w:p>
    <w:p w14:paraId="197F6B11" w14:textId="77777777" w:rsidR="009C70E6" w:rsidRPr="009A27ED" w:rsidRDefault="009C70E6" w:rsidP="009C70E6">
      <w:pPr>
        <w:pStyle w:val="Prrafodelista"/>
        <w:numPr>
          <w:ilvl w:val="0"/>
          <w:numId w:val="448"/>
        </w:numPr>
        <w:autoSpaceDE w:val="0"/>
        <w:autoSpaceDN w:val="0"/>
        <w:adjustRightInd w:val="0"/>
        <w:spacing w:after="0" w:line="360" w:lineRule="auto"/>
        <w:rPr>
          <w:rFonts w:ascii="Calibri" w:hAnsi="Calibri" w:cs="Calibri"/>
          <w:color w:val="000000"/>
        </w:rPr>
      </w:pPr>
      <w:r w:rsidRPr="009A27ED">
        <w:rPr>
          <w:rFonts w:ascii="Times New Roman" w:eastAsia="Times New Roman" w:hAnsi="Times New Roman" w:cs="Calibri"/>
          <w:color w:val="000000"/>
          <w:sz w:val="24"/>
        </w:rPr>
        <w:t>Curso especializado Producción de Cacao en el Contexto REDD+</w:t>
      </w:r>
    </w:p>
    <w:p w14:paraId="483B3A60" w14:textId="77777777" w:rsidR="009C70E6" w:rsidRPr="009A27ED" w:rsidRDefault="009C70E6" w:rsidP="009C70E6">
      <w:pPr>
        <w:pStyle w:val="Prrafodelista"/>
        <w:numPr>
          <w:ilvl w:val="0"/>
          <w:numId w:val="448"/>
        </w:numPr>
        <w:autoSpaceDE w:val="0"/>
        <w:autoSpaceDN w:val="0"/>
        <w:adjustRightInd w:val="0"/>
        <w:spacing w:after="0" w:line="360" w:lineRule="auto"/>
        <w:rPr>
          <w:rFonts w:ascii="Calibri" w:hAnsi="Calibri" w:cs="Calibri"/>
          <w:color w:val="000000"/>
        </w:rPr>
      </w:pPr>
      <w:r w:rsidRPr="009A27ED">
        <w:rPr>
          <w:rFonts w:ascii="Times New Roman" w:eastAsia="Times New Roman" w:hAnsi="Times New Roman" w:cs="Calibri"/>
          <w:color w:val="000000"/>
          <w:sz w:val="24"/>
        </w:rPr>
        <w:t>Curso Manejo de Bosques, Plantaciones Forestales y Restauración de Paisajes Naturales</w:t>
      </w:r>
    </w:p>
    <w:p w14:paraId="233B4E7E" w14:textId="77777777" w:rsidR="009C70E6" w:rsidRPr="009A27ED" w:rsidRDefault="009C70E6" w:rsidP="009C70E6">
      <w:pPr>
        <w:pStyle w:val="Prrafodelista"/>
        <w:numPr>
          <w:ilvl w:val="0"/>
          <w:numId w:val="448"/>
        </w:numPr>
        <w:autoSpaceDE w:val="0"/>
        <w:autoSpaceDN w:val="0"/>
        <w:adjustRightInd w:val="0"/>
        <w:spacing w:after="0" w:line="360" w:lineRule="auto"/>
        <w:rPr>
          <w:rFonts w:ascii="Calibri" w:hAnsi="Calibri" w:cs="Calibri"/>
          <w:color w:val="000000"/>
        </w:rPr>
      </w:pPr>
      <w:r w:rsidRPr="009A27ED">
        <w:rPr>
          <w:rFonts w:ascii="Times New Roman" w:eastAsia="Times New Roman" w:hAnsi="Times New Roman" w:cs="Calibri"/>
          <w:color w:val="000000"/>
          <w:sz w:val="24"/>
        </w:rPr>
        <w:t xml:space="preserve">Entrenamiento del equipo nacional perteneciente a la Dirección de Información Ambiental y Recursos Naturales (DIARENA) en el uso del software y la implementación de la metodología de </w:t>
      </w:r>
      <w:proofErr w:type="spellStart"/>
      <w:r w:rsidRPr="009A27ED">
        <w:rPr>
          <w:rFonts w:ascii="Times New Roman" w:eastAsia="Times New Roman" w:hAnsi="Times New Roman" w:cs="Calibri"/>
          <w:color w:val="000000"/>
          <w:sz w:val="24"/>
        </w:rPr>
        <w:t>Terrapulse</w:t>
      </w:r>
      <w:proofErr w:type="spellEnd"/>
      <w:r w:rsidRPr="009A27ED">
        <w:rPr>
          <w:rFonts w:ascii="Times New Roman" w:eastAsia="Times New Roman" w:hAnsi="Times New Roman" w:cs="Calibri"/>
          <w:color w:val="000000"/>
          <w:sz w:val="24"/>
        </w:rPr>
        <w:t>.</w:t>
      </w:r>
    </w:p>
    <w:p w14:paraId="353EF48B" w14:textId="77777777" w:rsidR="009C70E6" w:rsidRPr="009A27ED" w:rsidRDefault="009C70E6" w:rsidP="009C70E6">
      <w:pPr>
        <w:pStyle w:val="Prrafodelista"/>
        <w:numPr>
          <w:ilvl w:val="0"/>
          <w:numId w:val="448"/>
        </w:numPr>
        <w:autoSpaceDE w:val="0"/>
        <w:autoSpaceDN w:val="0"/>
        <w:adjustRightInd w:val="0"/>
        <w:spacing w:after="0" w:line="360" w:lineRule="auto"/>
        <w:rPr>
          <w:rFonts w:ascii="Calibri" w:hAnsi="Calibri" w:cs="Calibri"/>
          <w:color w:val="000000"/>
        </w:rPr>
      </w:pPr>
      <w:r w:rsidRPr="009A27ED">
        <w:rPr>
          <w:rFonts w:ascii="Times New Roman" w:eastAsia="Times New Roman" w:hAnsi="Times New Roman" w:cs="Calibri"/>
          <w:color w:val="000000"/>
          <w:sz w:val="24"/>
        </w:rPr>
        <w:t>Capacitación para la preparación de informes de monitoreo de Emisiones Reducidas</w:t>
      </w:r>
    </w:p>
    <w:p w14:paraId="4B3837E3" w14:textId="77777777" w:rsidR="009C70E6" w:rsidRPr="009A27ED" w:rsidRDefault="009C70E6" w:rsidP="009C70E6">
      <w:pPr>
        <w:pStyle w:val="Prrafodelista"/>
        <w:numPr>
          <w:ilvl w:val="0"/>
          <w:numId w:val="448"/>
        </w:numPr>
        <w:autoSpaceDE w:val="0"/>
        <w:autoSpaceDN w:val="0"/>
        <w:adjustRightInd w:val="0"/>
        <w:spacing w:after="0" w:line="360" w:lineRule="auto"/>
        <w:rPr>
          <w:rFonts w:ascii="Calibri" w:hAnsi="Calibri" w:cs="Calibri"/>
          <w:color w:val="000000"/>
        </w:rPr>
      </w:pPr>
      <w:r w:rsidRPr="009A27ED">
        <w:rPr>
          <w:rFonts w:ascii="Times New Roman" w:eastAsia="Times New Roman" w:hAnsi="Times New Roman" w:cs="Calibri"/>
          <w:color w:val="000000"/>
          <w:sz w:val="24"/>
        </w:rPr>
        <w:t>Fortalecimiento de capacidades de las Entidades Ejecutoras ASODEFOREST y Asociación de Silvicultores San Ramón, en el marco de REDD+.</w:t>
      </w:r>
    </w:p>
    <w:p w14:paraId="46C4CC91" w14:textId="77777777" w:rsidR="009C70E6" w:rsidRPr="009A27ED" w:rsidRDefault="009C70E6" w:rsidP="009C70E6">
      <w:pPr>
        <w:autoSpaceDE w:val="0"/>
        <w:autoSpaceDN w:val="0"/>
        <w:adjustRightInd w:val="0"/>
        <w:spacing w:after="0" w:line="360" w:lineRule="auto"/>
        <w:rPr>
          <w:rFonts w:ascii="Calibri" w:hAnsi="Calibri" w:cs="Calibri"/>
          <w:color w:val="000000"/>
        </w:rPr>
      </w:pPr>
    </w:p>
    <w:p w14:paraId="06E8ACFF" w14:textId="23A21C6F" w:rsidR="009C70E6" w:rsidRPr="009A27ED" w:rsidRDefault="009C70E6" w:rsidP="009C70E6">
      <w:pPr>
        <w:spacing w:line="360" w:lineRule="auto"/>
      </w:pPr>
      <w:r w:rsidRPr="009A27ED">
        <w:rPr>
          <w:rFonts w:ascii="Times New Roman" w:eastAsia="Times New Roman" w:hAnsi="Times New Roman"/>
          <w:sz w:val="24"/>
        </w:rPr>
        <w:t>Para complementar estas labores y garantizar el continuo fortalecimiento de las capacidades, tanto de las EE como de las Federaciones y Asociaciones invo</w:t>
      </w:r>
      <w:r w:rsidR="00230DD0" w:rsidRPr="009A27ED">
        <w:rPr>
          <w:rFonts w:ascii="Times New Roman" w:eastAsia="Times New Roman" w:hAnsi="Times New Roman"/>
          <w:sz w:val="24"/>
        </w:rPr>
        <w:t xml:space="preserve">lucradas, se elaboraron </w:t>
      </w:r>
      <w:r w:rsidRPr="009A27ED">
        <w:rPr>
          <w:rFonts w:ascii="Times New Roman" w:eastAsia="Times New Roman" w:hAnsi="Times New Roman"/>
          <w:sz w:val="24"/>
        </w:rPr>
        <w:t xml:space="preserve">materiales impresos, </w:t>
      </w:r>
      <w:r w:rsidR="00230DD0" w:rsidRPr="009A27ED">
        <w:rPr>
          <w:rFonts w:ascii="Times New Roman" w:eastAsia="Times New Roman" w:hAnsi="Times New Roman"/>
          <w:sz w:val="24"/>
        </w:rPr>
        <w:t>digitales y audiovisuales, que se indican a continuación:</w:t>
      </w:r>
    </w:p>
    <w:p w14:paraId="1D298C11" w14:textId="77777777" w:rsidR="00230DD0" w:rsidRPr="009A27ED" w:rsidRDefault="00230DD0" w:rsidP="009C70E6">
      <w:pPr>
        <w:spacing w:line="360" w:lineRule="auto"/>
      </w:pPr>
    </w:p>
    <w:p w14:paraId="27416FB5" w14:textId="77777777" w:rsidR="009C70E6" w:rsidRPr="009A27ED" w:rsidRDefault="009C70E6" w:rsidP="009C70E6">
      <w:pPr>
        <w:pStyle w:val="Prrafodelista"/>
        <w:numPr>
          <w:ilvl w:val="0"/>
          <w:numId w:val="447"/>
        </w:numPr>
        <w:spacing w:after="0" w:line="360" w:lineRule="auto"/>
      </w:pPr>
      <w:r w:rsidRPr="009A27ED">
        <w:rPr>
          <w:rFonts w:ascii="Times New Roman" w:eastAsia="Times New Roman" w:hAnsi="Times New Roman"/>
          <w:sz w:val="24"/>
        </w:rPr>
        <w:lastRenderedPageBreak/>
        <w:t>Videos y cápsulas radiofónicas</w:t>
      </w:r>
    </w:p>
    <w:p w14:paraId="146727A8" w14:textId="77777777" w:rsidR="009C70E6" w:rsidRPr="009A27ED" w:rsidRDefault="009C70E6" w:rsidP="009C70E6">
      <w:pPr>
        <w:pStyle w:val="Prrafodelista"/>
        <w:spacing w:line="360" w:lineRule="auto"/>
      </w:pPr>
      <w:r w:rsidRPr="009A27ED">
        <w:rPr>
          <w:rFonts w:ascii="Times New Roman" w:eastAsia="Times New Roman" w:hAnsi="Times New Roman"/>
          <w:sz w:val="24"/>
        </w:rPr>
        <w:t xml:space="preserve">Se elaboraron 17 videos educativos y 6 historias de éxito sobre los siguientes temas: a) el cambio climático, b) los efectos del cambio climático, c) los bosques, d) REDD+, e) salvaguardas, f) SIS, g) MQRC, h) PDB, i) género y participación de la mujer en REDD+, j) las causas de la degradación y deforestación de los bosques, k) la participación de los actores en REDD+, l) los </w:t>
      </w:r>
      <w:proofErr w:type="spellStart"/>
      <w:r w:rsidRPr="009A27ED">
        <w:rPr>
          <w:rFonts w:ascii="Times New Roman" w:eastAsia="Times New Roman" w:hAnsi="Times New Roman"/>
          <w:sz w:val="24"/>
        </w:rPr>
        <w:t>cobeneficios</w:t>
      </w:r>
      <w:proofErr w:type="spellEnd"/>
      <w:r w:rsidRPr="009A27ED">
        <w:rPr>
          <w:rFonts w:ascii="Times New Roman" w:eastAsia="Times New Roman" w:hAnsi="Times New Roman"/>
          <w:sz w:val="24"/>
        </w:rPr>
        <w:t>, y m) las actividades tipo REDD+. Así como, la creación de cápsulas radiofónicas que servirán para sensibilizar, educar y facilitar el autoaprendizaje de los beneficiarios acerca de REDD+ y sus salvaguardas.</w:t>
      </w:r>
    </w:p>
    <w:p w14:paraId="546914A6" w14:textId="77777777" w:rsidR="009C70E6" w:rsidRPr="009A27ED" w:rsidRDefault="009C70E6" w:rsidP="009C70E6">
      <w:pPr>
        <w:pStyle w:val="Prrafodelista"/>
        <w:spacing w:line="360" w:lineRule="auto"/>
      </w:pPr>
    </w:p>
    <w:p w14:paraId="5E49FC1E" w14:textId="77777777" w:rsidR="009C70E6" w:rsidRPr="009A27ED" w:rsidRDefault="009C70E6" w:rsidP="009C70E6">
      <w:pPr>
        <w:pStyle w:val="Prrafodelista"/>
        <w:numPr>
          <w:ilvl w:val="0"/>
          <w:numId w:val="447"/>
        </w:numPr>
        <w:spacing w:after="0" w:line="360" w:lineRule="auto"/>
      </w:pPr>
      <w:r w:rsidRPr="009A27ED">
        <w:rPr>
          <w:rFonts w:ascii="Times New Roman" w:eastAsia="Times New Roman" w:hAnsi="Times New Roman"/>
          <w:sz w:val="24"/>
        </w:rPr>
        <w:t>Cartillas</w:t>
      </w:r>
    </w:p>
    <w:p w14:paraId="575A069B" w14:textId="77777777" w:rsidR="009C70E6" w:rsidRPr="009A27ED" w:rsidRDefault="009C70E6" w:rsidP="009C70E6">
      <w:pPr>
        <w:pStyle w:val="Prrafodelista"/>
        <w:spacing w:line="360" w:lineRule="auto"/>
      </w:pPr>
      <w:r w:rsidRPr="009A27ED">
        <w:rPr>
          <w:rFonts w:ascii="Times New Roman" w:eastAsia="Times New Roman" w:hAnsi="Times New Roman"/>
          <w:sz w:val="24"/>
        </w:rPr>
        <w:t>Se redactó y diseñó la serie “REDD+ Educa”, que consta de ocho (8) cartillas educativas que forman parte de un paquete técnico-pedagógico y capacitación para el Programa REDD+, basadas en los temas de los videos, siendo un complemento a los mismos. Los temas de estas cartillas se describen a continuación:</w:t>
      </w:r>
    </w:p>
    <w:p w14:paraId="33BC3DE1" w14:textId="77777777" w:rsidR="009C70E6" w:rsidRPr="009A27ED" w:rsidRDefault="009C70E6" w:rsidP="009C70E6">
      <w:pPr>
        <w:pStyle w:val="Prrafodelista"/>
        <w:numPr>
          <w:ilvl w:val="0"/>
          <w:numId w:val="449"/>
        </w:numPr>
        <w:spacing w:after="0" w:line="360" w:lineRule="auto"/>
        <w:ind w:left="851" w:hanging="219"/>
      </w:pPr>
      <w:r w:rsidRPr="009A27ED">
        <w:rPr>
          <w:rFonts w:ascii="Times New Roman" w:eastAsia="Times New Roman" w:hAnsi="Times New Roman"/>
          <w:sz w:val="24"/>
        </w:rPr>
        <w:t>El Programa REDD+ como mecanismo de mitigación al cambio climático</w:t>
      </w:r>
    </w:p>
    <w:p w14:paraId="579EA4D9" w14:textId="77777777" w:rsidR="009C70E6" w:rsidRPr="009A27ED" w:rsidRDefault="009C70E6" w:rsidP="009C70E6">
      <w:pPr>
        <w:pStyle w:val="Prrafodelista"/>
        <w:numPr>
          <w:ilvl w:val="0"/>
          <w:numId w:val="449"/>
        </w:numPr>
        <w:spacing w:after="0" w:line="360" w:lineRule="auto"/>
        <w:ind w:left="851" w:hanging="219"/>
      </w:pPr>
      <w:r w:rsidRPr="009A27ED">
        <w:rPr>
          <w:rFonts w:ascii="Times New Roman" w:eastAsia="Times New Roman" w:hAnsi="Times New Roman"/>
          <w:sz w:val="24"/>
        </w:rPr>
        <w:t>Salvaguardas Sociales y Ambientales</w:t>
      </w:r>
    </w:p>
    <w:p w14:paraId="7C26F6F0" w14:textId="77777777" w:rsidR="009C70E6" w:rsidRPr="009A27ED" w:rsidRDefault="009C70E6" w:rsidP="009C70E6">
      <w:pPr>
        <w:pStyle w:val="Prrafodelista"/>
        <w:numPr>
          <w:ilvl w:val="0"/>
          <w:numId w:val="449"/>
        </w:numPr>
        <w:spacing w:after="0" w:line="360" w:lineRule="auto"/>
        <w:ind w:left="851" w:hanging="219"/>
      </w:pPr>
      <w:r w:rsidRPr="009A27ED">
        <w:rPr>
          <w:rFonts w:ascii="Times New Roman" w:eastAsia="Times New Roman" w:hAnsi="Times New Roman"/>
          <w:sz w:val="24"/>
        </w:rPr>
        <w:t>Participación de la mujer en REDD+</w:t>
      </w:r>
    </w:p>
    <w:p w14:paraId="7DDC5AC8" w14:textId="77777777" w:rsidR="009C70E6" w:rsidRPr="009A27ED" w:rsidRDefault="009C70E6" w:rsidP="009C70E6">
      <w:pPr>
        <w:pStyle w:val="Prrafodelista"/>
        <w:numPr>
          <w:ilvl w:val="0"/>
          <w:numId w:val="449"/>
        </w:numPr>
        <w:spacing w:after="0" w:line="360" w:lineRule="auto"/>
        <w:ind w:left="851" w:hanging="219"/>
      </w:pPr>
      <w:r w:rsidRPr="009A27ED">
        <w:rPr>
          <w:rFonts w:ascii="Times New Roman" w:eastAsia="Times New Roman" w:hAnsi="Times New Roman"/>
          <w:sz w:val="24"/>
        </w:rPr>
        <w:t>Sistema de Quejas, Reclamos y Manejo de Conflictos (SQRC)</w:t>
      </w:r>
    </w:p>
    <w:p w14:paraId="0993A5C4" w14:textId="77777777" w:rsidR="009C70E6" w:rsidRPr="009A27ED" w:rsidRDefault="009C70E6" w:rsidP="009C70E6">
      <w:pPr>
        <w:pStyle w:val="Prrafodelista"/>
        <w:numPr>
          <w:ilvl w:val="0"/>
          <w:numId w:val="449"/>
        </w:numPr>
        <w:spacing w:after="0" w:line="360" w:lineRule="auto"/>
        <w:ind w:left="851" w:hanging="219"/>
      </w:pPr>
      <w:r w:rsidRPr="009A27ED">
        <w:rPr>
          <w:rFonts w:ascii="Times New Roman" w:eastAsia="Times New Roman" w:hAnsi="Times New Roman"/>
          <w:sz w:val="24"/>
        </w:rPr>
        <w:t>Sistema de Información de Salvaguardas (SIS)</w:t>
      </w:r>
    </w:p>
    <w:p w14:paraId="004B1478" w14:textId="77777777" w:rsidR="009C70E6" w:rsidRPr="009A27ED" w:rsidRDefault="009C70E6" w:rsidP="009C70E6">
      <w:pPr>
        <w:pStyle w:val="Prrafodelista"/>
        <w:numPr>
          <w:ilvl w:val="0"/>
          <w:numId w:val="449"/>
        </w:numPr>
        <w:spacing w:after="0" w:line="360" w:lineRule="auto"/>
        <w:ind w:left="851" w:hanging="219"/>
      </w:pPr>
      <w:r w:rsidRPr="009A27ED">
        <w:rPr>
          <w:rFonts w:ascii="Times New Roman" w:eastAsia="Times New Roman" w:hAnsi="Times New Roman"/>
          <w:sz w:val="24"/>
        </w:rPr>
        <w:t>Bosque y Cambio Climático</w:t>
      </w:r>
    </w:p>
    <w:p w14:paraId="5B5CDEEA" w14:textId="77777777" w:rsidR="009C70E6" w:rsidRPr="009A27ED" w:rsidRDefault="009C70E6" w:rsidP="009C70E6">
      <w:pPr>
        <w:pStyle w:val="Prrafodelista"/>
        <w:numPr>
          <w:ilvl w:val="0"/>
          <w:numId w:val="449"/>
        </w:numPr>
        <w:spacing w:after="0" w:line="360" w:lineRule="auto"/>
        <w:ind w:left="851" w:hanging="219"/>
      </w:pPr>
      <w:r w:rsidRPr="009A27ED">
        <w:rPr>
          <w:rFonts w:ascii="Times New Roman" w:eastAsia="Times New Roman" w:hAnsi="Times New Roman"/>
          <w:sz w:val="24"/>
        </w:rPr>
        <w:t>Participación de los beneficiarios y distribución de beneficios</w:t>
      </w:r>
    </w:p>
    <w:p w14:paraId="14E08E01" w14:textId="77777777" w:rsidR="009C70E6" w:rsidRPr="009A27ED" w:rsidRDefault="009C70E6" w:rsidP="009C70E6">
      <w:pPr>
        <w:pStyle w:val="Prrafodelista"/>
        <w:numPr>
          <w:ilvl w:val="0"/>
          <w:numId w:val="449"/>
        </w:numPr>
        <w:spacing w:after="0" w:line="360" w:lineRule="auto"/>
        <w:ind w:left="851" w:hanging="219"/>
      </w:pPr>
      <w:r w:rsidRPr="009A27ED">
        <w:rPr>
          <w:rFonts w:ascii="Times New Roman" w:eastAsia="Times New Roman" w:hAnsi="Times New Roman"/>
          <w:sz w:val="24"/>
        </w:rPr>
        <w:t>Política de Reasentamiento Involuntario (en proceso de revisión y aprobación)</w:t>
      </w:r>
    </w:p>
    <w:p w14:paraId="05B479CF" w14:textId="77777777" w:rsidR="009C70E6" w:rsidRPr="009A27ED" w:rsidRDefault="009C70E6" w:rsidP="009C70E6">
      <w:pPr>
        <w:pStyle w:val="Prrafodelista"/>
        <w:spacing w:line="360" w:lineRule="auto"/>
      </w:pPr>
    </w:p>
    <w:p w14:paraId="77B1AB93" w14:textId="77777777" w:rsidR="009C70E6" w:rsidRPr="009A27ED" w:rsidRDefault="009C70E6" w:rsidP="009C70E6">
      <w:pPr>
        <w:pStyle w:val="Prrafodelista"/>
        <w:numPr>
          <w:ilvl w:val="0"/>
          <w:numId w:val="447"/>
        </w:numPr>
        <w:spacing w:after="0" w:line="360" w:lineRule="auto"/>
      </w:pPr>
      <w:r w:rsidRPr="009A27ED">
        <w:rPr>
          <w:rFonts w:ascii="Times New Roman" w:eastAsia="Times New Roman" w:hAnsi="Times New Roman"/>
          <w:sz w:val="24"/>
        </w:rPr>
        <w:t>Guías Técnicas</w:t>
      </w:r>
    </w:p>
    <w:p w14:paraId="76101B23" w14:textId="77777777" w:rsidR="009C70E6" w:rsidRPr="009A27ED" w:rsidRDefault="009C70E6" w:rsidP="009C70E6">
      <w:pPr>
        <w:pStyle w:val="Prrafodelista"/>
        <w:spacing w:line="360" w:lineRule="auto"/>
      </w:pPr>
      <w:r w:rsidRPr="009A27ED">
        <w:rPr>
          <w:rFonts w:ascii="Times New Roman" w:eastAsia="Times New Roman" w:hAnsi="Times New Roman"/>
          <w:sz w:val="24"/>
        </w:rPr>
        <w:t>Se elaboraron nueve (9) guías técnicas orientadas al personal técnico de las Entidades Ejecutoras, enfocadas en metodologías efectivas para la implementación de las Actividades Tipo REDD+ y buenas prácticas, bajo un esquema de sostenibilidad ambiental y social que contrarresten los procesos de degradación y deforestación de los bosques, que son:</w:t>
      </w:r>
    </w:p>
    <w:p w14:paraId="62EE0DEA" w14:textId="237FED49" w:rsidR="009C70E6" w:rsidRPr="009A27ED" w:rsidRDefault="009C70E6" w:rsidP="003723B0">
      <w:pPr>
        <w:pStyle w:val="Prrafodelista"/>
        <w:numPr>
          <w:ilvl w:val="0"/>
          <w:numId w:val="452"/>
        </w:numPr>
        <w:spacing w:line="360" w:lineRule="auto"/>
      </w:pPr>
      <w:r w:rsidRPr="009A27ED">
        <w:rPr>
          <w:rFonts w:ascii="Times New Roman" w:eastAsia="Times New Roman" w:hAnsi="Times New Roman"/>
          <w:sz w:val="24"/>
        </w:rPr>
        <w:t>Manejo sostenible de bosques y plantaciones forestales en el marco de REDD+</w:t>
      </w:r>
    </w:p>
    <w:p w14:paraId="6198C21E" w14:textId="52B751AE" w:rsidR="009C70E6" w:rsidRPr="009A27ED" w:rsidRDefault="009C70E6" w:rsidP="003723B0">
      <w:pPr>
        <w:pStyle w:val="Prrafodelista"/>
        <w:numPr>
          <w:ilvl w:val="0"/>
          <w:numId w:val="452"/>
        </w:numPr>
        <w:spacing w:line="360" w:lineRule="auto"/>
      </w:pPr>
      <w:r w:rsidRPr="009A27ED">
        <w:rPr>
          <w:rFonts w:ascii="Times New Roman" w:eastAsia="Times New Roman" w:hAnsi="Times New Roman"/>
          <w:sz w:val="24"/>
        </w:rPr>
        <w:t>Conservación de bosques en áreas protegidas en el marco de REDD+</w:t>
      </w:r>
    </w:p>
    <w:p w14:paraId="3C5BD942" w14:textId="5DC5648A" w:rsidR="009C70E6" w:rsidRPr="009A27ED" w:rsidRDefault="009C70E6" w:rsidP="003723B0">
      <w:pPr>
        <w:pStyle w:val="Prrafodelista"/>
        <w:numPr>
          <w:ilvl w:val="0"/>
          <w:numId w:val="452"/>
        </w:numPr>
        <w:spacing w:line="360" w:lineRule="auto"/>
      </w:pPr>
      <w:r w:rsidRPr="009A27ED">
        <w:rPr>
          <w:rFonts w:ascii="Times New Roman" w:eastAsia="Times New Roman" w:hAnsi="Times New Roman"/>
          <w:sz w:val="24"/>
        </w:rPr>
        <w:t>Regeneración natural en zonas degradadas en el marco de REDD+</w:t>
      </w:r>
    </w:p>
    <w:p w14:paraId="2AAA8315" w14:textId="78AEE449" w:rsidR="009C70E6" w:rsidRPr="009A27ED" w:rsidRDefault="009C70E6" w:rsidP="003723B0">
      <w:pPr>
        <w:pStyle w:val="Prrafodelista"/>
        <w:numPr>
          <w:ilvl w:val="0"/>
          <w:numId w:val="452"/>
        </w:numPr>
        <w:spacing w:line="360" w:lineRule="auto"/>
      </w:pPr>
      <w:r w:rsidRPr="009A27ED">
        <w:rPr>
          <w:rFonts w:ascii="Times New Roman" w:eastAsia="Times New Roman" w:hAnsi="Times New Roman"/>
          <w:sz w:val="24"/>
        </w:rPr>
        <w:t>Producción de plantas forestales en viveros en el marco de REDD+</w:t>
      </w:r>
    </w:p>
    <w:p w14:paraId="6A7388C1" w14:textId="6878C2C6" w:rsidR="009C70E6" w:rsidRPr="009A27ED" w:rsidRDefault="009C70E6" w:rsidP="003723B0">
      <w:pPr>
        <w:pStyle w:val="Prrafodelista"/>
        <w:numPr>
          <w:ilvl w:val="0"/>
          <w:numId w:val="452"/>
        </w:numPr>
        <w:spacing w:line="360" w:lineRule="auto"/>
      </w:pPr>
      <w:r w:rsidRPr="009A27ED">
        <w:rPr>
          <w:rFonts w:ascii="Times New Roman" w:eastAsia="Times New Roman" w:hAnsi="Times New Roman"/>
          <w:sz w:val="24"/>
        </w:rPr>
        <w:lastRenderedPageBreak/>
        <w:t>Reforestación en el marco de REDD+</w:t>
      </w:r>
    </w:p>
    <w:p w14:paraId="6D5242EE" w14:textId="7BD50250" w:rsidR="009C70E6" w:rsidRPr="009A27ED" w:rsidRDefault="009C70E6" w:rsidP="003723B0">
      <w:pPr>
        <w:pStyle w:val="Prrafodelista"/>
        <w:numPr>
          <w:ilvl w:val="0"/>
          <w:numId w:val="452"/>
        </w:numPr>
        <w:spacing w:line="360" w:lineRule="auto"/>
      </w:pPr>
      <w:r w:rsidRPr="009A27ED">
        <w:rPr>
          <w:rFonts w:ascii="Times New Roman" w:eastAsia="Times New Roman" w:hAnsi="Times New Roman"/>
          <w:sz w:val="24"/>
        </w:rPr>
        <w:t>Sistemas silvopastoriles: Arborización de fincas ganaderas en el marco de REDD+</w:t>
      </w:r>
    </w:p>
    <w:p w14:paraId="07DE971B" w14:textId="35C6B5D8" w:rsidR="009C70E6" w:rsidRPr="009A27ED" w:rsidRDefault="009C70E6" w:rsidP="003723B0">
      <w:pPr>
        <w:pStyle w:val="Prrafodelista"/>
        <w:numPr>
          <w:ilvl w:val="0"/>
          <w:numId w:val="452"/>
        </w:numPr>
        <w:spacing w:line="360" w:lineRule="auto"/>
      </w:pPr>
      <w:r w:rsidRPr="009A27ED">
        <w:rPr>
          <w:rFonts w:ascii="Times New Roman" w:eastAsia="Times New Roman" w:hAnsi="Times New Roman"/>
          <w:sz w:val="24"/>
        </w:rPr>
        <w:t>Sistemas agroforestales: Cacao bajo sombra en el marco de REDD+</w:t>
      </w:r>
    </w:p>
    <w:p w14:paraId="015796FE" w14:textId="233ADFD6" w:rsidR="009C70E6" w:rsidRPr="009A27ED" w:rsidRDefault="009C70E6" w:rsidP="003723B0">
      <w:pPr>
        <w:pStyle w:val="Prrafodelista"/>
        <w:numPr>
          <w:ilvl w:val="0"/>
          <w:numId w:val="452"/>
        </w:numPr>
        <w:spacing w:line="360" w:lineRule="auto"/>
      </w:pPr>
      <w:r w:rsidRPr="009A27ED">
        <w:rPr>
          <w:rFonts w:ascii="Times New Roman" w:eastAsia="Times New Roman" w:hAnsi="Times New Roman"/>
          <w:sz w:val="24"/>
        </w:rPr>
        <w:t>Sistemas agroforestales: Café bajo sombra en el marco de REDD+</w:t>
      </w:r>
    </w:p>
    <w:p w14:paraId="184839E2" w14:textId="24A9C958" w:rsidR="009C70E6" w:rsidRPr="009A27ED" w:rsidRDefault="009C70E6" w:rsidP="003723B0">
      <w:pPr>
        <w:pStyle w:val="Prrafodelista"/>
        <w:numPr>
          <w:ilvl w:val="0"/>
          <w:numId w:val="452"/>
        </w:numPr>
        <w:spacing w:line="360" w:lineRule="auto"/>
      </w:pPr>
      <w:r w:rsidRPr="009A27ED">
        <w:rPr>
          <w:rFonts w:ascii="Times New Roman" w:eastAsia="Times New Roman" w:hAnsi="Times New Roman"/>
          <w:sz w:val="24"/>
        </w:rPr>
        <w:t>Uso y manejo de plaguicidas en el marco de REDD+.</w:t>
      </w:r>
    </w:p>
    <w:p w14:paraId="08C31E83" w14:textId="4DFC9F05" w:rsidR="009C70E6" w:rsidRPr="009A27ED" w:rsidRDefault="009C70E6" w:rsidP="00BF1F30">
      <w:pPr>
        <w:spacing w:line="360" w:lineRule="auto"/>
        <w:rPr>
          <w:lang w:val="es-GT"/>
        </w:rPr>
      </w:pPr>
    </w:p>
    <w:p w14:paraId="6F6D7441" w14:textId="51449962" w:rsidR="00230DD0" w:rsidRPr="009A27ED" w:rsidRDefault="00230DD0" w:rsidP="00BF1F30">
      <w:pPr>
        <w:spacing w:line="360" w:lineRule="auto"/>
        <w:rPr>
          <w:lang w:val="es-GT"/>
        </w:rPr>
      </w:pPr>
    </w:p>
    <w:p w14:paraId="4FBD2E79" w14:textId="79160D98" w:rsidR="00230DD0" w:rsidRPr="009A27ED" w:rsidRDefault="00230DD0" w:rsidP="00BF1F30">
      <w:pPr>
        <w:spacing w:line="360" w:lineRule="auto"/>
        <w:rPr>
          <w:lang w:val="es-GT"/>
        </w:rPr>
      </w:pPr>
    </w:p>
    <w:p w14:paraId="5E147255" w14:textId="77777777" w:rsidR="00230DD0" w:rsidRPr="009A27ED" w:rsidRDefault="00230DD0" w:rsidP="00BF1F30">
      <w:pPr>
        <w:spacing w:line="360" w:lineRule="auto"/>
        <w:rPr>
          <w:lang w:val="es-GT"/>
        </w:rPr>
      </w:pPr>
    </w:p>
    <w:p w14:paraId="0EE96F65" w14:textId="77777777" w:rsidR="00BF1F30" w:rsidRPr="009A27ED" w:rsidRDefault="00BF1F30" w:rsidP="00BF1F30">
      <w:pPr>
        <w:spacing w:line="360" w:lineRule="auto"/>
      </w:pPr>
    </w:p>
    <w:p w14:paraId="22111821" w14:textId="48C06A57" w:rsidR="00235386" w:rsidRPr="009A27ED" w:rsidRDefault="00B7224B" w:rsidP="00E71948">
      <w:pPr>
        <w:pStyle w:val="Ttulo1"/>
        <w:numPr>
          <w:ilvl w:val="0"/>
          <w:numId w:val="0"/>
        </w:numPr>
        <w:spacing w:line="360" w:lineRule="auto"/>
        <w:ind w:left="993"/>
        <w:jc w:val="both"/>
      </w:pPr>
      <w:bookmarkStart w:id="625" w:name="_Toc111838006"/>
      <w:r w:rsidRPr="009A27ED">
        <w:rPr>
          <w:rFonts w:ascii="Times New Roman" w:eastAsia="Times New Roman" w:hAnsi="Times New Roman"/>
          <w:sz w:val="24"/>
        </w:rPr>
        <w:t>1</w:t>
      </w:r>
      <w:r w:rsidR="00A12B9D" w:rsidRPr="009A27ED">
        <w:rPr>
          <w:rFonts w:ascii="Times New Roman" w:eastAsia="Times New Roman" w:hAnsi="Times New Roman"/>
          <w:sz w:val="24"/>
        </w:rPr>
        <w:t>3</w:t>
      </w:r>
      <w:r w:rsidRPr="009A27ED">
        <w:rPr>
          <w:rFonts w:ascii="Times New Roman" w:eastAsia="Times New Roman" w:hAnsi="Times New Roman"/>
          <w:sz w:val="24"/>
        </w:rPr>
        <w:t xml:space="preserve">. </w:t>
      </w:r>
      <w:r w:rsidR="00235386" w:rsidRPr="009A27ED">
        <w:rPr>
          <w:rFonts w:ascii="Times New Roman" w:eastAsia="Times New Roman" w:hAnsi="Times New Roman"/>
          <w:sz w:val="24"/>
        </w:rPr>
        <w:t>Plan de distribución de beneficios</w:t>
      </w:r>
      <w:bookmarkEnd w:id="625"/>
    </w:p>
    <w:p w14:paraId="749A3916" w14:textId="5B8D05D7" w:rsidR="003D6161" w:rsidRPr="009A27ED" w:rsidRDefault="003D6161" w:rsidP="00235386">
      <w:pPr>
        <w:spacing w:after="0" w:line="360" w:lineRule="auto"/>
        <w:rPr>
          <w:szCs w:val="22"/>
        </w:rPr>
      </w:pPr>
    </w:p>
    <w:p w14:paraId="4C25E4E4" w14:textId="7C3E9D90" w:rsidR="003D6161" w:rsidRPr="009A27ED" w:rsidRDefault="003D6161" w:rsidP="00E71948">
      <w:pPr>
        <w:pStyle w:val="Ttulo2"/>
        <w:numPr>
          <w:ilvl w:val="0"/>
          <w:numId w:val="0"/>
        </w:numPr>
        <w:spacing w:line="360" w:lineRule="auto"/>
        <w:ind w:left="567"/>
        <w:jc w:val="both"/>
      </w:pPr>
      <w:bookmarkStart w:id="626" w:name="_Toc111838007"/>
      <w:bookmarkEnd w:id="622"/>
      <w:r w:rsidRPr="009A27ED">
        <w:rPr>
          <w:rFonts w:ascii="Times New Roman" w:eastAsia="Times New Roman" w:hAnsi="Times New Roman"/>
          <w:sz w:val="24"/>
        </w:rPr>
        <w:t>1</w:t>
      </w:r>
      <w:r w:rsidR="00A12B9D" w:rsidRPr="009A27ED">
        <w:rPr>
          <w:rFonts w:ascii="Times New Roman" w:eastAsia="Times New Roman" w:hAnsi="Times New Roman"/>
          <w:sz w:val="24"/>
        </w:rPr>
        <w:t>3</w:t>
      </w:r>
      <w:r w:rsidRPr="009A27ED">
        <w:rPr>
          <w:rFonts w:ascii="Times New Roman" w:eastAsia="Times New Roman" w:hAnsi="Times New Roman"/>
          <w:sz w:val="24"/>
        </w:rPr>
        <w:t>.1 Generalidades del Plan de Distribución de Beneficios</w:t>
      </w:r>
      <w:bookmarkEnd w:id="626"/>
    </w:p>
    <w:p w14:paraId="2492B321" w14:textId="77777777" w:rsidR="003D6161" w:rsidRPr="009A27ED" w:rsidRDefault="003D6161" w:rsidP="00235386">
      <w:pPr>
        <w:spacing w:after="0" w:line="360" w:lineRule="auto"/>
        <w:rPr>
          <w:szCs w:val="22"/>
        </w:rPr>
      </w:pPr>
    </w:p>
    <w:p w14:paraId="0BF50E36" w14:textId="092F9008" w:rsidR="00235386" w:rsidRPr="009A27ED" w:rsidRDefault="00235386" w:rsidP="00235386">
      <w:pPr>
        <w:spacing w:after="0" w:line="360" w:lineRule="auto"/>
        <w:rPr>
          <w:szCs w:val="22"/>
        </w:rPr>
      </w:pPr>
      <w:r w:rsidRPr="009A27ED">
        <w:rPr>
          <w:rFonts w:ascii="Times New Roman" w:eastAsia="Times New Roman" w:hAnsi="Times New Roman"/>
          <w:sz w:val="24"/>
          <w:szCs w:val="22"/>
        </w:rPr>
        <w:t xml:space="preserve">Como parte de la EN-REDD y el </w:t>
      </w:r>
      <w:r w:rsidR="00124B63" w:rsidRPr="009A27ED">
        <w:rPr>
          <w:rFonts w:ascii="Times New Roman" w:eastAsia="Times New Roman" w:hAnsi="Times New Roman"/>
          <w:sz w:val="24"/>
          <w:szCs w:val="22"/>
        </w:rPr>
        <w:t>Programa REDD+</w:t>
      </w:r>
      <w:r w:rsidR="001920C0" w:rsidRPr="009A27ED">
        <w:rPr>
          <w:rFonts w:ascii="Times New Roman" w:eastAsia="Times New Roman" w:hAnsi="Times New Roman"/>
          <w:sz w:val="24"/>
          <w:szCs w:val="22"/>
        </w:rPr>
        <w:t>+</w:t>
      </w:r>
      <w:r w:rsidR="001B6C5C" w:rsidRPr="009A27ED">
        <w:rPr>
          <w:rFonts w:ascii="Times New Roman" w:eastAsia="Times New Roman" w:hAnsi="Times New Roman"/>
          <w:sz w:val="24"/>
          <w:szCs w:val="22"/>
        </w:rPr>
        <w:t xml:space="preserve"> </w:t>
      </w:r>
      <w:r w:rsidRPr="009A27ED">
        <w:rPr>
          <w:rFonts w:ascii="Times New Roman" w:eastAsia="Times New Roman" w:hAnsi="Times New Roman"/>
          <w:sz w:val="24"/>
          <w:szCs w:val="22"/>
        </w:rPr>
        <w:t xml:space="preserve">el gobierno de </w:t>
      </w:r>
      <w:r w:rsidR="001B6C5C" w:rsidRPr="009A27ED">
        <w:rPr>
          <w:rFonts w:ascii="Times New Roman" w:eastAsia="Times New Roman" w:hAnsi="Times New Roman"/>
          <w:sz w:val="24"/>
          <w:szCs w:val="22"/>
        </w:rPr>
        <w:t xml:space="preserve">la </w:t>
      </w:r>
      <w:r w:rsidRPr="009A27ED">
        <w:rPr>
          <w:rFonts w:ascii="Times New Roman" w:eastAsia="Times New Roman" w:hAnsi="Times New Roman"/>
          <w:sz w:val="24"/>
          <w:szCs w:val="22"/>
        </w:rPr>
        <w:t xml:space="preserve">Republica Dominicana elaboró un Plan de Distribución de Beneficios (PDB) para la República Dominicana, con el propósito de asegurar que los beneficios monetarios que se generen por la implementación del Programa sean recibidos de forma transparente y equitativa por los diferentes actores que realizarán los esfuerzos necesarios para lograr la reducción de emisiones, Específicamente con el PDB se busca que: </w:t>
      </w:r>
    </w:p>
    <w:p w14:paraId="09359B64" w14:textId="77777777" w:rsidR="00235386" w:rsidRPr="009A27ED" w:rsidRDefault="00235386" w:rsidP="00235386">
      <w:pPr>
        <w:spacing w:after="0" w:line="360" w:lineRule="auto"/>
        <w:rPr>
          <w:szCs w:val="22"/>
        </w:rPr>
      </w:pPr>
    </w:p>
    <w:p w14:paraId="532EF686" w14:textId="77777777" w:rsidR="00235386" w:rsidRPr="009A27ED" w:rsidRDefault="00235386" w:rsidP="00E67CB0">
      <w:pPr>
        <w:pStyle w:val="Prrafodelista"/>
        <w:numPr>
          <w:ilvl w:val="0"/>
          <w:numId w:val="283"/>
        </w:numPr>
        <w:spacing w:after="0" w:line="360" w:lineRule="auto"/>
        <w:contextualSpacing w:val="0"/>
        <w:rPr>
          <w:szCs w:val="22"/>
        </w:rPr>
      </w:pPr>
      <w:r w:rsidRPr="009A27ED">
        <w:rPr>
          <w:rFonts w:ascii="Times New Roman" w:eastAsia="Times New Roman" w:hAnsi="Times New Roman"/>
          <w:sz w:val="24"/>
          <w:szCs w:val="22"/>
        </w:rPr>
        <w:t xml:space="preserve">Los individuos y familias, los pequeños y medianos productores forestales, agropecuarios individuales o asociados reciban </w:t>
      </w:r>
      <w:r w:rsidRPr="009A27ED">
        <w:rPr>
          <w:rFonts w:ascii="Times New Roman" w:eastAsia="Times New Roman" w:hAnsi="Times New Roman"/>
          <w:b/>
          <w:bCs/>
          <w:i/>
          <w:iCs/>
          <w:sz w:val="24"/>
          <w:szCs w:val="22"/>
        </w:rPr>
        <w:t xml:space="preserve">la parte más significativa </w:t>
      </w:r>
      <w:r w:rsidRPr="009A27ED">
        <w:rPr>
          <w:rFonts w:ascii="Times New Roman" w:eastAsia="Times New Roman" w:hAnsi="Times New Roman"/>
          <w:sz w:val="24"/>
          <w:szCs w:val="22"/>
        </w:rPr>
        <w:t xml:space="preserve">de los beneficios del programa, ya que son los actores cuyas actividades generarán las </w:t>
      </w:r>
      <w:proofErr w:type="spellStart"/>
      <w:r w:rsidRPr="009A27ED">
        <w:rPr>
          <w:rFonts w:ascii="Times New Roman" w:eastAsia="Times New Roman" w:hAnsi="Times New Roman"/>
          <w:sz w:val="24"/>
          <w:szCs w:val="22"/>
        </w:rPr>
        <w:t>ERs</w:t>
      </w:r>
      <w:proofErr w:type="spellEnd"/>
      <w:r w:rsidRPr="009A27ED">
        <w:rPr>
          <w:rFonts w:ascii="Times New Roman" w:eastAsia="Times New Roman" w:hAnsi="Times New Roman"/>
          <w:sz w:val="24"/>
          <w:szCs w:val="22"/>
        </w:rPr>
        <w:t>.</w:t>
      </w:r>
    </w:p>
    <w:p w14:paraId="4BB44267" w14:textId="6896F13D" w:rsidR="00235386" w:rsidRPr="009A27ED" w:rsidRDefault="00235386" w:rsidP="00E67CB0">
      <w:pPr>
        <w:pStyle w:val="Prrafodelista"/>
        <w:numPr>
          <w:ilvl w:val="0"/>
          <w:numId w:val="283"/>
        </w:numPr>
        <w:spacing w:after="0" w:line="360" w:lineRule="auto"/>
        <w:contextualSpacing w:val="0"/>
        <w:rPr>
          <w:szCs w:val="22"/>
        </w:rPr>
      </w:pPr>
      <w:r w:rsidRPr="009A27ED">
        <w:rPr>
          <w:rFonts w:ascii="Times New Roman" w:eastAsia="Times New Roman" w:hAnsi="Times New Roman"/>
          <w:sz w:val="24"/>
          <w:szCs w:val="22"/>
        </w:rPr>
        <w:t xml:space="preserve">Los beneficios obtenidos deberán recompensar los </w:t>
      </w:r>
      <w:r w:rsidRPr="009A27ED">
        <w:rPr>
          <w:rFonts w:ascii="Times New Roman" w:eastAsia="Times New Roman" w:hAnsi="Times New Roman"/>
          <w:b/>
          <w:bCs/>
          <w:i/>
          <w:iCs/>
          <w:sz w:val="24"/>
          <w:szCs w:val="22"/>
        </w:rPr>
        <w:t xml:space="preserve">esfuerzos adicionales </w:t>
      </w:r>
      <w:r w:rsidRPr="009A27ED">
        <w:rPr>
          <w:rFonts w:ascii="Times New Roman" w:eastAsia="Times New Roman" w:hAnsi="Times New Roman"/>
          <w:sz w:val="24"/>
          <w:szCs w:val="22"/>
        </w:rPr>
        <w:t>que permitan reducir las emisiones y/o aumentar la captura de carbono respecto al nivel de referencia.</w:t>
      </w:r>
    </w:p>
    <w:p w14:paraId="01B1ADEB" w14:textId="77777777" w:rsidR="00235386" w:rsidRPr="009A27ED" w:rsidRDefault="00235386" w:rsidP="00235386">
      <w:pPr>
        <w:pStyle w:val="Prrafodelista"/>
        <w:spacing w:after="0" w:line="360" w:lineRule="auto"/>
        <w:ind w:left="1080"/>
        <w:contextualSpacing w:val="0"/>
        <w:rPr>
          <w:szCs w:val="22"/>
        </w:rPr>
      </w:pPr>
    </w:p>
    <w:p w14:paraId="5D644D72" w14:textId="77777777" w:rsidR="00235386" w:rsidRPr="009A27ED" w:rsidRDefault="00235386" w:rsidP="00235386">
      <w:pPr>
        <w:spacing w:after="0" w:line="360" w:lineRule="auto"/>
        <w:rPr>
          <w:szCs w:val="22"/>
        </w:rPr>
      </w:pPr>
      <w:r w:rsidRPr="009A27ED">
        <w:rPr>
          <w:rFonts w:ascii="Times New Roman" w:eastAsia="Times New Roman" w:hAnsi="Times New Roman"/>
          <w:sz w:val="24"/>
          <w:szCs w:val="22"/>
        </w:rPr>
        <w:t xml:space="preserve">El PDB busca definir de forma clara, efectiva y transparente los principios, arreglos institucionales y mecanismos que empleará el programa para distribuir los beneficios, con lo que se espera que los pagos </w:t>
      </w:r>
      <w:r w:rsidRPr="009A27ED">
        <w:rPr>
          <w:rFonts w:ascii="Times New Roman" w:eastAsia="Times New Roman" w:hAnsi="Times New Roman"/>
          <w:sz w:val="24"/>
          <w:szCs w:val="22"/>
        </w:rPr>
        <w:lastRenderedPageBreak/>
        <w:t xml:space="preserve">recibidos puedan ser utilizados para la financiación de actividades que aborden las causas de deforestación identificadas y de esta manera generar la reducción adicional de emisiones. </w:t>
      </w:r>
    </w:p>
    <w:p w14:paraId="0DACE107" w14:textId="77777777" w:rsidR="003D6161" w:rsidRPr="009A27ED" w:rsidRDefault="003D6161" w:rsidP="00235386">
      <w:pPr>
        <w:spacing w:line="360" w:lineRule="auto"/>
        <w:rPr>
          <w:szCs w:val="22"/>
          <w:lang w:val="es-DO"/>
        </w:rPr>
      </w:pPr>
    </w:p>
    <w:p w14:paraId="14670EC4" w14:textId="77777777" w:rsidR="00703EB9" w:rsidRPr="009A27ED" w:rsidRDefault="00235386" w:rsidP="00703EB9">
      <w:pPr>
        <w:pStyle w:val="Descripcin"/>
        <w:keepNext/>
        <w:spacing w:line="360" w:lineRule="auto"/>
        <w:ind w:left="360" w:right="4"/>
      </w:pPr>
      <w:r w:rsidRPr="009A27ED">
        <w:rPr>
          <w:rFonts w:ascii="Times New Roman" w:eastAsia="Times New Roman" w:hAnsi="Times New Roman"/>
          <w:noProof/>
          <w:sz w:val="24"/>
          <w:szCs w:val="20"/>
          <w:lang w:val="en-US"/>
        </w:rPr>
        <w:drawing>
          <wp:inline distT="0" distB="0" distL="0" distR="0" wp14:anchorId="1FB1D550" wp14:editId="045131C3">
            <wp:extent cx="5921829" cy="3077845"/>
            <wp:effectExtent l="0" t="0" r="3175" b="8255"/>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5955708" cy="3095453"/>
                    </a:xfrm>
                    <a:prstGeom prst="rect">
                      <a:avLst/>
                    </a:prstGeom>
                    <a:noFill/>
                  </pic:spPr>
                </pic:pic>
              </a:graphicData>
            </a:graphic>
          </wp:inline>
        </w:drawing>
      </w:r>
    </w:p>
    <w:p w14:paraId="50AE2289" w14:textId="758542A4" w:rsidR="00703EB9" w:rsidRPr="009A27ED" w:rsidRDefault="00703EB9" w:rsidP="00703EB9">
      <w:pPr>
        <w:pStyle w:val="Descripcin"/>
        <w:spacing w:line="360" w:lineRule="auto"/>
      </w:pPr>
      <w:bookmarkStart w:id="627" w:name="_Toc111889897"/>
      <w:r w:rsidRPr="009A27ED">
        <w:rPr>
          <w:rFonts w:ascii="Times New Roman" w:eastAsia="Times New Roman" w:hAnsi="Times New Roman"/>
          <w:sz w:val="24"/>
        </w:rPr>
        <w:t xml:space="preserve">Esquema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Esquema_ \* ARABIC </w:instrText>
      </w:r>
      <w:r w:rsidRPr="009A27ED">
        <w:rPr>
          <w:rFonts w:ascii="Times New Roman" w:eastAsia="Times New Roman" w:hAnsi="Times New Roman"/>
          <w:sz w:val="24"/>
        </w:rPr>
        <w:fldChar w:fldCharType="separate"/>
      </w:r>
      <w:r w:rsidRPr="009A27ED">
        <w:rPr>
          <w:rFonts w:ascii="Times New Roman" w:eastAsia="Times New Roman" w:hAnsi="Times New Roman"/>
          <w:noProof/>
          <w:sz w:val="24"/>
        </w:rPr>
        <w:t>9</w:t>
      </w:r>
      <w:r w:rsidRPr="009A27ED">
        <w:rPr>
          <w:rFonts w:ascii="Times New Roman" w:eastAsia="Times New Roman" w:hAnsi="Times New Roman"/>
          <w:sz w:val="24"/>
        </w:rPr>
        <w:fldChar w:fldCharType="end"/>
      </w:r>
      <w:r w:rsidRPr="009A27ED">
        <w:rPr>
          <w:rFonts w:ascii="Times New Roman" w:eastAsia="Times New Roman" w:hAnsi="Times New Roman"/>
          <w:sz w:val="24"/>
        </w:rPr>
        <w:t>. Descripción del PDB, los arreglos y los mecanismos para la distribución de beneficios e ilustración de la relación entre ellos.</w:t>
      </w:r>
      <w:bookmarkEnd w:id="627"/>
    </w:p>
    <w:p w14:paraId="5208A646" w14:textId="437E1911" w:rsidR="00235386" w:rsidRPr="009A27ED" w:rsidRDefault="00235386" w:rsidP="003D6161">
      <w:pPr>
        <w:spacing w:after="0" w:line="360" w:lineRule="auto"/>
        <w:rPr>
          <w:szCs w:val="22"/>
        </w:rPr>
      </w:pPr>
      <w:r w:rsidRPr="009A27ED">
        <w:rPr>
          <w:rFonts w:ascii="Times New Roman" w:eastAsia="Times New Roman" w:hAnsi="Times New Roman"/>
          <w:sz w:val="24"/>
          <w:szCs w:val="22"/>
        </w:rPr>
        <w:t xml:space="preserve">El PDB ha sido diseñado para responder al enfoque de implementación del </w:t>
      </w:r>
      <w:r w:rsidR="00124B63" w:rsidRPr="009A27ED">
        <w:rPr>
          <w:rFonts w:ascii="Times New Roman" w:eastAsia="Times New Roman" w:hAnsi="Times New Roman"/>
          <w:sz w:val="24"/>
          <w:szCs w:val="22"/>
        </w:rPr>
        <w:t>Programa REDD+</w:t>
      </w:r>
      <w:r w:rsidR="001B6C5C" w:rsidRPr="009A27ED">
        <w:rPr>
          <w:rFonts w:ascii="Times New Roman" w:eastAsia="Times New Roman" w:hAnsi="Times New Roman"/>
          <w:sz w:val="24"/>
          <w:szCs w:val="22"/>
        </w:rPr>
        <w:t xml:space="preserve"> </w:t>
      </w:r>
      <w:r w:rsidRPr="009A27ED">
        <w:rPr>
          <w:rFonts w:ascii="Times New Roman" w:eastAsia="Times New Roman" w:hAnsi="Times New Roman"/>
          <w:sz w:val="24"/>
          <w:szCs w:val="22"/>
        </w:rPr>
        <w:t>de la República Dominicana, tomando en consideración el marco legal aplicable y las capacidades institucionales y de Medición, Reporte y Verificación (MRV) disponibles, el cumplimiento de las salvaguardas sociales y ambientales de la CMNUCC y las políticas operacionales del Banco Mundial y está regido por los siguientes principios:</w:t>
      </w:r>
    </w:p>
    <w:p w14:paraId="43689EB1" w14:textId="77777777" w:rsidR="003D6161" w:rsidRPr="009A27ED" w:rsidRDefault="003D6161" w:rsidP="003D6161">
      <w:pPr>
        <w:spacing w:after="0" w:line="360" w:lineRule="auto"/>
        <w:rPr>
          <w:szCs w:val="22"/>
        </w:rPr>
      </w:pPr>
    </w:p>
    <w:p w14:paraId="30DF9EFA" w14:textId="77777777" w:rsidR="00235386" w:rsidRPr="009A27ED" w:rsidRDefault="00235386" w:rsidP="00E67CB0">
      <w:pPr>
        <w:pStyle w:val="Prrafodelista"/>
        <w:numPr>
          <w:ilvl w:val="0"/>
          <w:numId w:val="284"/>
        </w:numPr>
        <w:spacing w:after="0" w:line="360" w:lineRule="auto"/>
        <w:rPr>
          <w:szCs w:val="22"/>
        </w:rPr>
      </w:pPr>
      <w:r w:rsidRPr="009A27ED">
        <w:rPr>
          <w:rFonts w:ascii="Times New Roman" w:eastAsia="Times New Roman" w:hAnsi="Times New Roman"/>
          <w:b/>
          <w:sz w:val="24"/>
          <w:szCs w:val="22"/>
        </w:rPr>
        <w:t>Justicia y equidad:</w:t>
      </w:r>
      <w:r w:rsidRPr="009A27ED">
        <w:rPr>
          <w:rFonts w:ascii="Times New Roman" w:eastAsia="Times New Roman" w:hAnsi="Times New Roman"/>
          <w:sz w:val="24"/>
          <w:szCs w:val="22"/>
        </w:rPr>
        <w:t xml:space="preserve"> el PDB recompensará a los beneficiarios de acuerdo con su contribución al logro de los resultados de mitigación y al mismo tiempo incentivará la participación (en particular de mujeres y jóvenes y grupos vulnerables). Además, establecerá órganos de decisión con la participación de todos los actores involucrados para asegurar un proceso de distribución de beneficios justo. </w:t>
      </w:r>
    </w:p>
    <w:p w14:paraId="0DE2A49B" w14:textId="57947492" w:rsidR="00235386" w:rsidRPr="009A27ED" w:rsidRDefault="00235386" w:rsidP="00E67CB0">
      <w:pPr>
        <w:pStyle w:val="Prrafodelista"/>
        <w:numPr>
          <w:ilvl w:val="0"/>
          <w:numId w:val="284"/>
        </w:numPr>
        <w:spacing w:after="0" w:line="360" w:lineRule="auto"/>
        <w:rPr>
          <w:szCs w:val="22"/>
        </w:rPr>
      </w:pPr>
      <w:r w:rsidRPr="009A27ED">
        <w:rPr>
          <w:rFonts w:ascii="Times New Roman" w:eastAsia="Times New Roman" w:hAnsi="Times New Roman"/>
          <w:b/>
          <w:sz w:val="24"/>
          <w:szCs w:val="22"/>
        </w:rPr>
        <w:t xml:space="preserve">Transparencia: </w:t>
      </w:r>
      <w:r w:rsidRPr="009A27ED">
        <w:rPr>
          <w:rFonts w:ascii="Times New Roman" w:eastAsia="Times New Roman" w:hAnsi="Times New Roman"/>
          <w:sz w:val="24"/>
          <w:szCs w:val="22"/>
        </w:rPr>
        <w:t xml:space="preserve">el PDB contendrá medidas para asegurar que su operación sea transparente, incluyendo la rendición de cuentas, haciendo obligatoria la publicación de toda la información </w:t>
      </w:r>
      <w:r w:rsidRPr="009A27ED">
        <w:rPr>
          <w:rFonts w:ascii="Times New Roman" w:eastAsia="Times New Roman" w:hAnsi="Times New Roman"/>
          <w:sz w:val="24"/>
          <w:szCs w:val="22"/>
        </w:rPr>
        <w:lastRenderedPageBreak/>
        <w:t xml:space="preserve">sobre cómo se tomaron las decisiones para la distribución, así como de la transferencia de recursos a los beneficiarios y sobre todos los beneficios generados por el </w:t>
      </w:r>
      <w:r w:rsidR="00124B63" w:rsidRPr="009A27ED">
        <w:rPr>
          <w:rFonts w:ascii="Times New Roman" w:eastAsia="Times New Roman" w:hAnsi="Times New Roman"/>
          <w:sz w:val="24"/>
          <w:szCs w:val="22"/>
        </w:rPr>
        <w:t>Programa REDD+</w:t>
      </w:r>
      <w:r w:rsidRPr="009A27ED">
        <w:rPr>
          <w:rFonts w:ascii="Times New Roman" w:eastAsia="Times New Roman" w:hAnsi="Times New Roman"/>
          <w:sz w:val="24"/>
          <w:szCs w:val="22"/>
        </w:rPr>
        <w:t>. Además, los arreglos de distribución de beneficios serán simples y fáciles de comprender.</w:t>
      </w:r>
    </w:p>
    <w:p w14:paraId="4AD1823C" w14:textId="77777777" w:rsidR="00235386" w:rsidRPr="009A27ED" w:rsidRDefault="00235386" w:rsidP="00E67CB0">
      <w:pPr>
        <w:pStyle w:val="Prrafodelista"/>
        <w:numPr>
          <w:ilvl w:val="0"/>
          <w:numId w:val="284"/>
        </w:numPr>
        <w:spacing w:after="0" w:line="360" w:lineRule="auto"/>
        <w:rPr>
          <w:szCs w:val="22"/>
        </w:rPr>
      </w:pPr>
      <w:r w:rsidRPr="009A27ED">
        <w:rPr>
          <w:rFonts w:ascii="Times New Roman" w:eastAsia="Times New Roman" w:hAnsi="Times New Roman"/>
          <w:b/>
          <w:sz w:val="24"/>
          <w:szCs w:val="22"/>
        </w:rPr>
        <w:t>Costo-efectividad:</w:t>
      </w:r>
      <w:r w:rsidRPr="009A27ED">
        <w:rPr>
          <w:rFonts w:ascii="Times New Roman" w:eastAsia="Times New Roman" w:hAnsi="Times New Roman"/>
          <w:sz w:val="24"/>
          <w:szCs w:val="22"/>
        </w:rPr>
        <w:t xml:space="preserve"> el PDB se basará en las instituciones y capacidades existentes para minimizar sus costos de transacción y maximizar la cantidad de beneficios que llegarán a los desarrolladores de actividades REDD+. </w:t>
      </w:r>
    </w:p>
    <w:p w14:paraId="627E0CEA" w14:textId="77777777" w:rsidR="00235386" w:rsidRPr="009A27ED" w:rsidRDefault="00235386" w:rsidP="00E67CB0">
      <w:pPr>
        <w:pStyle w:val="Prrafodelista"/>
        <w:numPr>
          <w:ilvl w:val="0"/>
          <w:numId w:val="284"/>
        </w:numPr>
        <w:spacing w:after="0" w:line="360" w:lineRule="auto"/>
        <w:rPr>
          <w:szCs w:val="22"/>
        </w:rPr>
      </w:pPr>
      <w:r w:rsidRPr="009A27ED">
        <w:rPr>
          <w:rFonts w:ascii="Times New Roman" w:eastAsia="Times New Roman" w:hAnsi="Times New Roman"/>
          <w:b/>
          <w:sz w:val="24"/>
          <w:szCs w:val="22"/>
        </w:rPr>
        <w:t>Solidaridad:</w:t>
      </w:r>
      <w:r w:rsidRPr="009A27ED">
        <w:rPr>
          <w:rFonts w:ascii="Times New Roman" w:eastAsia="Times New Roman" w:hAnsi="Times New Roman"/>
          <w:sz w:val="24"/>
          <w:szCs w:val="22"/>
        </w:rPr>
        <w:t xml:space="preserve"> el PDB reconocerá explícitamente que la obtención de pagos basados en resultados dependerá de la responsabilidad conjunta de todos los actores involucrados, y por lo tanto contendrá medidas para asegurar el desempeño adecuado de todos ellos y para proveer incentivos solidarios para aquellos cuyo desempeño hubiera sido negativamente afectado por eventos catastróficos. </w:t>
      </w:r>
    </w:p>
    <w:p w14:paraId="23EC5AB9" w14:textId="77777777" w:rsidR="005B65B2" w:rsidRPr="009A27ED" w:rsidRDefault="00235386" w:rsidP="00E67CB0">
      <w:pPr>
        <w:pStyle w:val="Prrafodelista"/>
        <w:numPr>
          <w:ilvl w:val="0"/>
          <w:numId w:val="284"/>
        </w:numPr>
        <w:spacing w:after="0" w:line="360" w:lineRule="auto"/>
        <w:rPr>
          <w:szCs w:val="22"/>
          <w:lang w:val="es-ES"/>
        </w:rPr>
      </w:pPr>
      <w:r w:rsidRPr="009A27ED">
        <w:rPr>
          <w:rFonts w:ascii="Times New Roman" w:eastAsia="Times New Roman" w:hAnsi="Times New Roman"/>
          <w:b/>
          <w:sz w:val="24"/>
          <w:szCs w:val="22"/>
        </w:rPr>
        <w:t>Mejora continua:</w:t>
      </w:r>
      <w:r w:rsidRPr="009A27ED">
        <w:rPr>
          <w:rFonts w:ascii="Times New Roman" w:eastAsia="Times New Roman" w:hAnsi="Times New Roman"/>
          <w:sz w:val="24"/>
          <w:szCs w:val="22"/>
        </w:rPr>
        <w:t xml:space="preserve"> el PDB será revisado periódicamente según se requiera para mejorar la distribución de los beneficios tomando en consideración. Por ejemplo, mejoras al Sistema de MRV y las capacidades de las EE para recolectar y procesar datos aprovechando las lecciones aprendidas de la implementación del Plan.</w:t>
      </w:r>
      <w:bookmarkStart w:id="628" w:name="_Toc19873381"/>
    </w:p>
    <w:p w14:paraId="6EA44999" w14:textId="2CFA9329" w:rsidR="00235386" w:rsidRPr="009A27ED" w:rsidRDefault="00235386" w:rsidP="00E67CB0">
      <w:pPr>
        <w:pStyle w:val="Prrafodelista"/>
        <w:numPr>
          <w:ilvl w:val="0"/>
          <w:numId w:val="284"/>
        </w:numPr>
        <w:spacing w:after="0" w:line="360" w:lineRule="auto"/>
        <w:rPr>
          <w:szCs w:val="22"/>
          <w:lang w:val="es-ES"/>
        </w:rPr>
      </w:pPr>
      <w:r w:rsidRPr="009A27ED">
        <w:rPr>
          <w:rFonts w:ascii="Times New Roman" w:eastAsia="Times New Roman" w:hAnsi="Times New Roman"/>
          <w:b/>
          <w:sz w:val="24"/>
          <w:szCs w:val="22"/>
        </w:rPr>
        <w:t>Base legal del Plan de Distribución de Beneficios</w:t>
      </w:r>
      <w:bookmarkEnd w:id="628"/>
      <w:r w:rsidR="003D6161" w:rsidRPr="009A27ED">
        <w:rPr>
          <w:rFonts w:ascii="Times New Roman" w:eastAsia="Times New Roman" w:hAnsi="Times New Roman"/>
          <w:b/>
          <w:sz w:val="24"/>
          <w:szCs w:val="22"/>
        </w:rPr>
        <w:t>:</w:t>
      </w:r>
      <w:r w:rsidR="003D6161" w:rsidRPr="009A27ED">
        <w:rPr>
          <w:rFonts w:ascii="Times New Roman" w:eastAsia="Times New Roman" w:hAnsi="Times New Roman"/>
          <w:sz w:val="24"/>
          <w:szCs w:val="22"/>
        </w:rPr>
        <w:t xml:space="preserve"> </w:t>
      </w:r>
      <w:r w:rsidRPr="009A27ED">
        <w:rPr>
          <w:rFonts w:ascii="Times New Roman" w:eastAsia="Times New Roman" w:hAnsi="Times New Roman"/>
          <w:sz w:val="24"/>
          <w:szCs w:val="22"/>
        </w:rPr>
        <w:t>El Plan de Distribución de Beneficios fue diseñado atendiendo: a) al régimen legal de la tenencia de la tierra y los instrumentos legales vigentes que permiten reconocer la propiedad, y b) al régimen legal sobre los mecanismos de compensación para la conservación de los recursos naturales y a los instrumentos para la transferencia del carbono y/o emisiones reducidas en República Dominicana.</w:t>
      </w:r>
    </w:p>
    <w:p w14:paraId="2FA865AC" w14:textId="2537F66B" w:rsidR="00235386" w:rsidRPr="009A27ED" w:rsidRDefault="00235386" w:rsidP="00235386">
      <w:pPr>
        <w:pStyle w:val="Prrafodelista"/>
        <w:spacing w:line="360" w:lineRule="auto"/>
        <w:rPr>
          <w:szCs w:val="22"/>
          <w:lang w:val="es-ES"/>
        </w:rPr>
      </w:pPr>
    </w:p>
    <w:p w14:paraId="6A515152" w14:textId="5CE3F677" w:rsidR="00235386" w:rsidRPr="009A27ED" w:rsidRDefault="00703EB9" w:rsidP="001B5C07">
      <w:pPr>
        <w:pStyle w:val="Ttulo2"/>
        <w:numPr>
          <w:ilvl w:val="0"/>
          <w:numId w:val="0"/>
        </w:numPr>
        <w:spacing w:line="360" w:lineRule="auto"/>
        <w:ind w:left="567"/>
        <w:jc w:val="both"/>
      </w:pPr>
      <w:bookmarkStart w:id="629" w:name="_Toc111838008"/>
      <w:r w:rsidRPr="009A27ED">
        <w:rPr>
          <w:rFonts w:ascii="Times New Roman" w:eastAsia="Times New Roman" w:hAnsi="Times New Roman"/>
          <w:sz w:val="24"/>
        </w:rPr>
        <w:t>13.2 Régimen</w:t>
      </w:r>
      <w:r w:rsidR="00235386" w:rsidRPr="009A27ED">
        <w:rPr>
          <w:rFonts w:ascii="Times New Roman" w:eastAsia="Times New Roman" w:hAnsi="Times New Roman"/>
          <w:sz w:val="24"/>
        </w:rPr>
        <w:t xml:space="preserve"> legal de tenencia de la tierra e instrumentos legales vigentes para el reconocimiento de la propiedad</w:t>
      </w:r>
      <w:bookmarkEnd w:id="629"/>
    </w:p>
    <w:p w14:paraId="1E7E2A6F" w14:textId="77777777" w:rsidR="003D6161" w:rsidRPr="009A27ED" w:rsidRDefault="003D6161" w:rsidP="00235386">
      <w:pPr>
        <w:pStyle w:val="Prrafodelista"/>
        <w:autoSpaceDE w:val="0"/>
        <w:autoSpaceDN w:val="0"/>
        <w:adjustRightInd w:val="0"/>
        <w:spacing w:line="360" w:lineRule="auto"/>
        <w:ind w:left="360"/>
        <w:rPr>
          <w:rFonts w:cs="Arial"/>
          <w:szCs w:val="22"/>
          <w:lang w:val="es-ES"/>
        </w:rPr>
      </w:pPr>
    </w:p>
    <w:p w14:paraId="4CA9AED3" w14:textId="3520ACD6" w:rsidR="00235386" w:rsidRPr="009A27ED" w:rsidRDefault="00235386" w:rsidP="003D6161">
      <w:pPr>
        <w:pStyle w:val="Prrafodelista"/>
        <w:autoSpaceDE w:val="0"/>
        <w:autoSpaceDN w:val="0"/>
        <w:adjustRightInd w:val="0"/>
        <w:spacing w:after="0" w:line="360" w:lineRule="auto"/>
        <w:ind w:left="357"/>
        <w:rPr>
          <w:rFonts w:cs="Arial"/>
          <w:szCs w:val="22"/>
          <w:lang w:val="es-ES"/>
        </w:rPr>
      </w:pPr>
      <w:r w:rsidRPr="009A27ED">
        <w:rPr>
          <w:rFonts w:ascii="Times New Roman" w:eastAsia="Times New Roman" w:hAnsi="Times New Roman" w:cs="Arial"/>
          <w:sz w:val="24"/>
          <w:szCs w:val="22"/>
          <w:lang w:val="es-ES"/>
        </w:rPr>
        <w:t xml:space="preserve">El derecho de propiedad formal en la República Dominicana se basa en la documentación privada y registro. Por el contrario, el derecho no titulado se caracteriza en principio, por la posesión o la aprehensión material del inmueble. Actualmente, la aprehensión material del inmueble es un hecho inicial que sirve de fundamento para adquirir por prescripción adquisitiva o usucapión las tierras, siempre y cuando se reúnan las características y requisitos exigidos por la ley; pero que se distingue del derecho de propiedad y puede tenerse independientemente de éste. Generalmente, la forma más caracterizada de hacer ostensible ese derecho es poseyendo materialmente la cosa. </w:t>
      </w:r>
    </w:p>
    <w:p w14:paraId="419354C6" w14:textId="77777777" w:rsidR="003D6161" w:rsidRPr="009A27ED" w:rsidRDefault="003D6161" w:rsidP="003D6161">
      <w:pPr>
        <w:pStyle w:val="Prrafodelista"/>
        <w:autoSpaceDE w:val="0"/>
        <w:autoSpaceDN w:val="0"/>
        <w:adjustRightInd w:val="0"/>
        <w:spacing w:after="0" w:line="360" w:lineRule="auto"/>
        <w:ind w:left="357"/>
        <w:rPr>
          <w:rFonts w:cs="Arial"/>
          <w:szCs w:val="22"/>
          <w:lang w:val="es-ES"/>
        </w:rPr>
      </w:pPr>
    </w:p>
    <w:p w14:paraId="24A4AE0B" w14:textId="4C281143" w:rsidR="00235386" w:rsidRPr="009A27ED" w:rsidRDefault="00235386" w:rsidP="003D6161">
      <w:pPr>
        <w:pStyle w:val="Prrafodelista"/>
        <w:autoSpaceDE w:val="0"/>
        <w:autoSpaceDN w:val="0"/>
        <w:adjustRightInd w:val="0"/>
        <w:spacing w:after="0" w:line="360" w:lineRule="auto"/>
        <w:ind w:left="357"/>
        <w:rPr>
          <w:rFonts w:cs="Arial"/>
          <w:szCs w:val="22"/>
          <w:lang w:val="es-ES"/>
        </w:rPr>
      </w:pPr>
      <w:r w:rsidRPr="009A27ED">
        <w:rPr>
          <w:rFonts w:ascii="Times New Roman" w:eastAsia="Times New Roman" w:hAnsi="Times New Roman" w:cs="Arial"/>
          <w:sz w:val="24"/>
          <w:szCs w:val="22"/>
          <w:lang w:val="es-ES"/>
        </w:rPr>
        <w:t>Para que el derecho no titulado pueda consolidarse legalmente, o en su defecto ser admitido como una posesión de hecho o tenencia informal oponible cualquiera incluyendo al Estado</w:t>
      </w:r>
      <w:r w:rsidRPr="009A27ED">
        <w:rPr>
          <w:rStyle w:val="Refdenotaalpie"/>
          <w:rFonts w:asciiTheme="minorHAnsi" w:eastAsia="Times New Roman" w:hAnsiTheme="minorHAnsi" w:cs="Arial"/>
          <w:sz w:val="24"/>
          <w:szCs w:val="22"/>
        </w:rPr>
        <w:footnoteReference w:id="76"/>
      </w:r>
      <w:r w:rsidRPr="009A27ED">
        <w:rPr>
          <w:rFonts w:ascii="Times New Roman" w:eastAsia="Times New Roman" w:hAnsi="Times New Roman" w:cs="Arial"/>
          <w:sz w:val="24"/>
          <w:szCs w:val="22"/>
          <w:lang w:val="es-ES"/>
        </w:rPr>
        <w:t>, el individuo o persona deberá cumplir con las condiciones y requisitos establecidos en el Artículo 2228 del Código Civil Dominicano y el artículo 21 de la Ley No.108-05 de Registro Inmobiliario para el reconocimiento de la prescripción adquisitiva o usucapión.</w:t>
      </w:r>
    </w:p>
    <w:p w14:paraId="382B0F4E" w14:textId="77777777" w:rsidR="003D6161" w:rsidRPr="009A27ED" w:rsidRDefault="003D6161" w:rsidP="003D6161">
      <w:pPr>
        <w:pStyle w:val="Prrafodelista"/>
        <w:autoSpaceDE w:val="0"/>
        <w:autoSpaceDN w:val="0"/>
        <w:adjustRightInd w:val="0"/>
        <w:spacing w:after="0" w:line="360" w:lineRule="auto"/>
        <w:ind w:left="357"/>
        <w:rPr>
          <w:rFonts w:cs="Arial"/>
          <w:szCs w:val="22"/>
          <w:lang w:val="es-ES"/>
        </w:rPr>
      </w:pPr>
    </w:p>
    <w:p w14:paraId="5CB5AA38" w14:textId="66F7069D" w:rsidR="00235386" w:rsidRPr="009A27ED" w:rsidRDefault="00235386" w:rsidP="003D6161">
      <w:pPr>
        <w:pStyle w:val="Prrafodelista"/>
        <w:autoSpaceDE w:val="0"/>
        <w:autoSpaceDN w:val="0"/>
        <w:adjustRightInd w:val="0"/>
        <w:spacing w:after="0" w:line="360" w:lineRule="auto"/>
        <w:ind w:left="357"/>
        <w:rPr>
          <w:rFonts w:cs="Arial"/>
          <w:szCs w:val="22"/>
          <w:lang w:val="es-ES"/>
        </w:rPr>
      </w:pPr>
      <w:r w:rsidRPr="009A27ED">
        <w:rPr>
          <w:rFonts w:ascii="Times New Roman" w:eastAsia="Times New Roman" w:hAnsi="Times New Roman" w:cs="Arial"/>
          <w:sz w:val="24"/>
          <w:szCs w:val="22"/>
          <w:lang w:val="es-ES"/>
        </w:rPr>
        <w:t>Por lo anterior, si bien el régimen formal de tenencia de la tierra constituye un aspecto importante en la determinación del uso de ésta, la tenencia informal en la República Dominicana no representa un obstáculo para el reconocimiento de los beneficios derivados de la reducción de emisiones que podrán recibir los poseedores de hecho.</w:t>
      </w:r>
    </w:p>
    <w:p w14:paraId="2DC5A8BA" w14:textId="77777777" w:rsidR="003D6161" w:rsidRPr="009A27ED" w:rsidRDefault="003D6161" w:rsidP="003D6161">
      <w:pPr>
        <w:pStyle w:val="Prrafodelista"/>
        <w:autoSpaceDE w:val="0"/>
        <w:autoSpaceDN w:val="0"/>
        <w:adjustRightInd w:val="0"/>
        <w:spacing w:after="0" w:line="360" w:lineRule="auto"/>
        <w:ind w:left="357"/>
        <w:rPr>
          <w:rFonts w:cs="Arial"/>
          <w:szCs w:val="22"/>
          <w:lang w:val="es-ES"/>
        </w:rPr>
      </w:pPr>
    </w:p>
    <w:p w14:paraId="40501876" w14:textId="12E6AC6F" w:rsidR="00235386" w:rsidRPr="009A27ED" w:rsidRDefault="00235386" w:rsidP="003D6161">
      <w:pPr>
        <w:pStyle w:val="Prrafodelista"/>
        <w:autoSpaceDE w:val="0"/>
        <w:autoSpaceDN w:val="0"/>
        <w:adjustRightInd w:val="0"/>
        <w:spacing w:after="0" w:line="360" w:lineRule="auto"/>
        <w:ind w:left="357"/>
        <w:rPr>
          <w:rFonts w:cs="Arial"/>
          <w:szCs w:val="22"/>
          <w:lang w:val="es-ES"/>
        </w:rPr>
      </w:pPr>
      <w:r w:rsidRPr="009A27ED">
        <w:rPr>
          <w:rFonts w:ascii="Times New Roman" w:eastAsia="Times New Roman" w:hAnsi="Times New Roman" w:cs="Arial"/>
          <w:sz w:val="24"/>
          <w:szCs w:val="22"/>
          <w:lang w:val="es-ES"/>
        </w:rPr>
        <w:t>Existen prácticas consuetudinarias reconocidas y adoptadas, al margen de las disposiciones legales que establecen un sistema formal de registro del derecho de propiedad, que implican principalmente la ocupación no formal de las tierras, ya sean rurales o urbanas, por parte de particulares que no tienen acceso a la tierra, mediante los procedimientos legales convencionales o se encuentran en alguna fase descontinuada o caduca del proceso de saneamiento establecido por ley.</w:t>
      </w:r>
    </w:p>
    <w:p w14:paraId="3671CF07" w14:textId="77777777" w:rsidR="003D6161" w:rsidRPr="009A27ED" w:rsidRDefault="003D6161" w:rsidP="003D6161">
      <w:pPr>
        <w:pStyle w:val="Prrafodelista"/>
        <w:autoSpaceDE w:val="0"/>
        <w:autoSpaceDN w:val="0"/>
        <w:adjustRightInd w:val="0"/>
        <w:spacing w:after="0" w:line="360" w:lineRule="auto"/>
        <w:ind w:left="357"/>
        <w:rPr>
          <w:rFonts w:cs="Arial"/>
          <w:szCs w:val="22"/>
          <w:lang w:val="es-ES"/>
        </w:rPr>
      </w:pPr>
    </w:p>
    <w:p w14:paraId="5BC732D8" w14:textId="0A4750A2" w:rsidR="00235386" w:rsidRPr="009A27ED" w:rsidRDefault="00235386" w:rsidP="003D6161">
      <w:pPr>
        <w:pStyle w:val="Prrafodelista"/>
        <w:autoSpaceDE w:val="0"/>
        <w:autoSpaceDN w:val="0"/>
        <w:adjustRightInd w:val="0"/>
        <w:spacing w:after="0" w:line="360" w:lineRule="auto"/>
        <w:ind w:left="357"/>
        <w:rPr>
          <w:rFonts w:cs="Arial"/>
          <w:szCs w:val="22"/>
          <w:lang w:val="es-ES"/>
        </w:rPr>
      </w:pPr>
      <w:r w:rsidRPr="009A27ED">
        <w:rPr>
          <w:rFonts w:ascii="Times New Roman" w:eastAsia="Times New Roman" w:hAnsi="Times New Roman" w:cs="Arial"/>
          <w:sz w:val="24"/>
          <w:szCs w:val="22"/>
          <w:lang w:val="es-ES"/>
        </w:rPr>
        <w:t xml:space="preserve">La posesión prolongada de hecho puede ser admitida demostrando la ocupación por generaciones de familias ocupantes, siempre y cuando pueda documentarse, mediante cualquier medio de prueba admitido por el ordenamiento jurídico del país. A este efecto, el Programa de Reducción de Emisiones (o simplemente </w:t>
      </w:r>
      <w:r w:rsidR="00124B63" w:rsidRPr="009A27ED">
        <w:rPr>
          <w:rFonts w:ascii="Times New Roman" w:eastAsia="Times New Roman" w:hAnsi="Times New Roman" w:cs="Arial"/>
          <w:sz w:val="24"/>
          <w:szCs w:val="22"/>
          <w:lang w:val="es-ES"/>
        </w:rPr>
        <w:t>Programa REDD+</w:t>
      </w:r>
      <w:r w:rsidRPr="009A27ED">
        <w:rPr>
          <w:rFonts w:ascii="Times New Roman" w:eastAsia="Times New Roman" w:hAnsi="Times New Roman" w:cs="Arial"/>
          <w:sz w:val="24"/>
          <w:szCs w:val="22"/>
          <w:lang w:val="es-ES"/>
        </w:rPr>
        <w:t>) no contempla enfoques diferentes para cada uno de los tipos de tenencia (formal e informal). Las prácticas consuetudinarias y requisitos establecidos para la legitimación de los tenedores informales de la tierra permitirán un reconocimiento de derechos sobre el uso de la tierra, lo que les concede una participación igualitaria dentro de la distribución de beneficios.</w:t>
      </w:r>
    </w:p>
    <w:p w14:paraId="03F6695B" w14:textId="603DE51A" w:rsidR="00235386" w:rsidRPr="009A27ED" w:rsidRDefault="00235386" w:rsidP="00235386">
      <w:pPr>
        <w:pStyle w:val="Prrafodelista"/>
        <w:autoSpaceDE w:val="0"/>
        <w:autoSpaceDN w:val="0"/>
        <w:adjustRightInd w:val="0"/>
        <w:spacing w:line="360" w:lineRule="auto"/>
        <w:ind w:left="360"/>
        <w:rPr>
          <w:rFonts w:cs="Arial"/>
          <w:szCs w:val="22"/>
          <w:lang w:val="es-ES"/>
        </w:rPr>
      </w:pPr>
    </w:p>
    <w:p w14:paraId="1F347637" w14:textId="7AECBD5A" w:rsidR="00235386" w:rsidRPr="009A27ED" w:rsidRDefault="003723B0" w:rsidP="001B5C07">
      <w:pPr>
        <w:pStyle w:val="Ttulo2"/>
        <w:numPr>
          <w:ilvl w:val="0"/>
          <w:numId w:val="0"/>
        </w:numPr>
        <w:spacing w:line="360" w:lineRule="auto"/>
        <w:ind w:left="993" w:hanging="576"/>
        <w:jc w:val="both"/>
      </w:pPr>
      <w:bookmarkStart w:id="630" w:name="_Toc111838009"/>
      <w:r w:rsidRPr="009A27ED">
        <w:rPr>
          <w:rFonts w:ascii="Times New Roman" w:eastAsia="Times New Roman" w:hAnsi="Times New Roman"/>
          <w:sz w:val="24"/>
        </w:rPr>
        <w:lastRenderedPageBreak/>
        <w:t>13.3 Régimen</w:t>
      </w:r>
      <w:r w:rsidR="00235386" w:rsidRPr="009A27ED">
        <w:rPr>
          <w:rFonts w:ascii="Times New Roman" w:eastAsia="Times New Roman" w:hAnsi="Times New Roman"/>
          <w:sz w:val="24"/>
        </w:rPr>
        <w:t xml:space="preserve"> legal sobre los mecanismos de compensación para la conservación de los recursos naturales, e instrumentos y disposiciones legales para la transferencia de propiedad del carbono y/o Emisiones Reducidas (</w:t>
      </w:r>
      <w:proofErr w:type="spellStart"/>
      <w:r w:rsidR="00235386" w:rsidRPr="009A27ED">
        <w:rPr>
          <w:rFonts w:ascii="Times New Roman" w:eastAsia="Times New Roman" w:hAnsi="Times New Roman"/>
          <w:sz w:val="24"/>
        </w:rPr>
        <w:t>ERs</w:t>
      </w:r>
      <w:proofErr w:type="spellEnd"/>
      <w:r w:rsidR="00235386" w:rsidRPr="009A27ED">
        <w:rPr>
          <w:rFonts w:ascii="Times New Roman" w:eastAsia="Times New Roman" w:hAnsi="Times New Roman"/>
          <w:sz w:val="24"/>
        </w:rPr>
        <w:t>)</w:t>
      </w:r>
      <w:bookmarkEnd w:id="630"/>
    </w:p>
    <w:p w14:paraId="2F0C58DC" w14:textId="77777777" w:rsidR="003D6161" w:rsidRPr="009A27ED" w:rsidRDefault="003D6161" w:rsidP="00235386">
      <w:pPr>
        <w:pStyle w:val="Prrafodelista"/>
        <w:autoSpaceDE w:val="0"/>
        <w:autoSpaceDN w:val="0"/>
        <w:adjustRightInd w:val="0"/>
        <w:spacing w:line="360" w:lineRule="auto"/>
        <w:ind w:left="360"/>
        <w:rPr>
          <w:rFonts w:cs="Arial"/>
          <w:szCs w:val="22"/>
          <w:lang w:val="es-ES"/>
        </w:rPr>
      </w:pPr>
    </w:p>
    <w:p w14:paraId="3AA7F1A0" w14:textId="1E32F55C" w:rsidR="00235386" w:rsidRPr="009A27ED" w:rsidRDefault="00235386" w:rsidP="003D6161">
      <w:pPr>
        <w:pStyle w:val="Prrafodelista"/>
        <w:autoSpaceDE w:val="0"/>
        <w:autoSpaceDN w:val="0"/>
        <w:adjustRightInd w:val="0"/>
        <w:spacing w:after="0" w:line="360" w:lineRule="auto"/>
        <w:ind w:left="360"/>
        <w:rPr>
          <w:rFonts w:cs="Arial"/>
          <w:szCs w:val="22"/>
          <w:lang w:val="es-ES"/>
        </w:rPr>
      </w:pPr>
      <w:r w:rsidRPr="009A27ED">
        <w:rPr>
          <w:rFonts w:ascii="Times New Roman" w:eastAsia="Times New Roman" w:hAnsi="Times New Roman" w:cs="Arial"/>
          <w:sz w:val="24"/>
          <w:szCs w:val="22"/>
          <w:lang w:val="es-ES"/>
        </w:rPr>
        <w:t xml:space="preserve">En la actualidad, la República Dominicana </w:t>
      </w:r>
      <w:bookmarkStart w:id="631" w:name="_Hlk530942676"/>
      <w:r w:rsidRPr="009A27ED">
        <w:rPr>
          <w:rFonts w:ascii="Times New Roman" w:eastAsia="Times New Roman" w:hAnsi="Times New Roman" w:cs="Arial"/>
          <w:sz w:val="24"/>
          <w:szCs w:val="22"/>
          <w:lang w:val="es-ES"/>
        </w:rPr>
        <w:t>no cuenta con disposiciones legales específicas sobre el régimen de propiedad y transferencia del carbono forestal y reducciones de emisiones</w:t>
      </w:r>
      <w:bookmarkEnd w:id="631"/>
      <w:r w:rsidRPr="009A27ED">
        <w:rPr>
          <w:rFonts w:ascii="Times New Roman" w:eastAsia="Times New Roman" w:hAnsi="Times New Roman" w:cs="Arial"/>
          <w:sz w:val="24"/>
          <w:szCs w:val="22"/>
          <w:lang w:val="es-ES"/>
        </w:rPr>
        <w:t xml:space="preserve">. No obstante, existen disposiciones que otorgan claridad para la determinación de este derecho aplicando por analogía los principios y conceptos del sistema tradicional del derecho de propiedad, y los instrumentos y disposiciones legales que reconocen los diferentes servicios ambientales que ofrecen los recursos naturales. </w:t>
      </w:r>
    </w:p>
    <w:p w14:paraId="23FB8A0A" w14:textId="77777777" w:rsidR="003D6161" w:rsidRPr="009A27ED" w:rsidRDefault="003D6161" w:rsidP="003D6161">
      <w:pPr>
        <w:pStyle w:val="Prrafodelista"/>
        <w:autoSpaceDE w:val="0"/>
        <w:autoSpaceDN w:val="0"/>
        <w:adjustRightInd w:val="0"/>
        <w:spacing w:after="0" w:line="360" w:lineRule="auto"/>
        <w:ind w:left="360"/>
        <w:rPr>
          <w:rFonts w:cs="Arial"/>
          <w:szCs w:val="22"/>
          <w:lang w:val="es-ES"/>
        </w:rPr>
      </w:pPr>
    </w:p>
    <w:p w14:paraId="57ED5234" w14:textId="5F1EEE40" w:rsidR="00235386" w:rsidRPr="009A27ED" w:rsidRDefault="00235386" w:rsidP="003D6161">
      <w:pPr>
        <w:pStyle w:val="Prrafodelista"/>
        <w:autoSpaceDE w:val="0"/>
        <w:autoSpaceDN w:val="0"/>
        <w:adjustRightInd w:val="0"/>
        <w:spacing w:after="0" w:line="360" w:lineRule="auto"/>
        <w:ind w:left="360"/>
        <w:rPr>
          <w:rFonts w:cs="Arial"/>
          <w:szCs w:val="22"/>
          <w:lang w:val="es-ES"/>
        </w:rPr>
      </w:pPr>
      <w:r w:rsidRPr="009A27ED">
        <w:rPr>
          <w:rFonts w:ascii="Times New Roman" w:eastAsia="Times New Roman" w:hAnsi="Times New Roman" w:cs="Arial"/>
          <w:sz w:val="24"/>
          <w:szCs w:val="22"/>
          <w:lang w:val="es-ES"/>
        </w:rPr>
        <w:t xml:space="preserve">Se considera la aplicación de las disposiciones del derecho común relativo a la propiedad formal y las formas de reconocimiento de la tenencia informal adoptadas por el derecho consuetudinario para abordar la capacidad del país para transferir los títulos de emisiones reducidas. En este sentido, se establece un esquema de derechos sobre el carbono o a las emisiones reducidas basado en la generación de un servicio ambiental (captación de carbono), en lugar de vincularlo a derechos formales de tenencia. Lo anterior permite a la gran mayoría de pequeños agricultores y poseedores informales de terrenos acceder también a la distribución de beneficios y participar en el </w:t>
      </w:r>
      <w:r w:rsidR="00124B63" w:rsidRPr="009A27ED">
        <w:rPr>
          <w:rFonts w:ascii="Times New Roman" w:eastAsia="Times New Roman" w:hAnsi="Times New Roman" w:cs="Arial"/>
          <w:sz w:val="24"/>
          <w:szCs w:val="22"/>
          <w:lang w:val="es-ES"/>
        </w:rPr>
        <w:t>Programa REDD+</w:t>
      </w:r>
      <w:r w:rsidRPr="009A27ED">
        <w:rPr>
          <w:rFonts w:ascii="Times New Roman" w:eastAsia="Times New Roman" w:hAnsi="Times New Roman" w:cs="Arial"/>
          <w:sz w:val="24"/>
          <w:szCs w:val="22"/>
          <w:lang w:val="es-ES"/>
        </w:rPr>
        <w:t>.</w:t>
      </w:r>
    </w:p>
    <w:p w14:paraId="776636BE" w14:textId="77777777" w:rsidR="003D6161" w:rsidRPr="009A27ED" w:rsidRDefault="003D6161" w:rsidP="003D6161">
      <w:pPr>
        <w:pStyle w:val="Prrafodelista"/>
        <w:autoSpaceDE w:val="0"/>
        <w:autoSpaceDN w:val="0"/>
        <w:adjustRightInd w:val="0"/>
        <w:spacing w:after="0" w:line="360" w:lineRule="auto"/>
        <w:ind w:left="360"/>
        <w:rPr>
          <w:rFonts w:cs="Arial"/>
          <w:szCs w:val="22"/>
          <w:lang w:val="es-ES"/>
        </w:rPr>
      </w:pPr>
    </w:p>
    <w:p w14:paraId="46776EE1" w14:textId="274F21F1" w:rsidR="00235386" w:rsidRPr="009A27ED" w:rsidRDefault="00235386" w:rsidP="003D6161">
      <w:pPr>
        <w:pStyle w:val="Prrafodelista"/>
        <w:autoSpaceDE w:val="0"/>
        <w:autoSpaceDN w:val="0"/>
        <w:adjustRightInd w:val="0"/>
        <w:spacing w:after="0" w:line="360" w:lineRule="auto"/>
        <w:ind w:left="360"/>
        <w:rPr>
          <w:rFonts w:cs="Arial"/>
          <w:szCs w:val="22"/>
          <w:lang w:val="es-ES"/>
        </w:rPr>
      </w:pPr>
      <w:r w:rsidRPr="009A27ED">
        <w:rPr>
          <w:rFonts w:ascii="Times New Roman" w:eastAsia="Times New Roman" w:hAnsi="Times New Roman" w:cs="Arial"/>
          <w:sz w:val="24"/>
          <w:szCs w:val="22"/>
          <w:lang w:val="es-ES"/>
        </w:rPr>
        <w:t>Se establece entonces que el bosque no solo se asocia con la propiedad de la tierra o del suelo, sino también sobre los servicios ambientales derivados y accesorios que genera el bosque. Para esto, el país cuenta con disposiciones legales que reconocen los servicios ambientales que brindan los ecosistemas a través de los recursos naturales. Haciendo una interpretación amplia de las disposiciones legales, que se relacionan con los servicios ambientales, podemos decir que los derechos de carbono forestal y las reducciones de emisiones resultantes de degradación y deforestación evitada podrían adoptar un régimen legal similar.</w:t>
      </w:r>
    </w:p>
    <w:p w14:paraId="21D5EB67" w14:textId="77777777" w:rsidR="003D6161" w:rsidRPr="009A27ED" w:rsidRDefault="003D6161" w:rsidP="003D6161">
      <w:pPr>
        <w:pStyle w:val="Prrafodelista"/>
        <w:autoSpaceDE w:val="0"/>
        <w:autoSpaceDN w:val="0"/>
        <w:adjustRightInd w:val="0"/>
        <w:spacing w:after="0" w:line="360" w:lineRule="auto"/>
        <w:ind w:left="360"/>
        <w:rPr>
          <w:rFonts w:cs="Arial"/>
          <w:szCs w:val="22"/>
          <w:lang w:val="es-ES"/>
        </w:rPr>
      </w:pPr>
    </w:p>
    <w:p w14:paraId="6EE58D58" w14:textId="26B48185" w:rsidR="00235386" w:rsidRPr="009A27ED" w:rsidRDefault="00235386" w:rsidP="003D6161">
      <w:pPr>
        <w:pStyle w:val="Prrafodelista"/>
        <w:autoSpaceDE w:val="0"/>
        <w:autoSpaceDN w:val="0"/>
        <w:adjustRightInd w:val="0"/>
        <w:spacing w:after="0" w:line="360" w:lineRule="auto"/>
        <w:ind w:left="360"/>
        <w:rPr>
          <w:rFonts w:cs="Arial"/>
          <w:szCs w:val="22"/>
          <w:lang w:val="es-ES"/>
        </w:rPr>
      </w:pPr>
      <w:r w:rsidRPr="009A27ED">
        <w:rPr>
          <w:rFonts w:ascii="Times New Roman" w:eastAsia="Times New Roman" w:hAnsi="Times New Roman" w:cs="Arial"/>
          <w:sz w:val="24"/>
          <w:szCs w:val="22"/>
          <w:lang w:val="es-ES"/>
        </w:rPr>
        <w:t xml:space="preserve">A nivel nacional, se planea regular los derechos del carbono reconociéndolos como el “derecho a las emisiones reducidas o al carbono capturado en bosques” vinculado a la implementación de actividades que conserven, restauren o aumenten las áreas de bosque, ya sea bajo la responsabilidad </w:t>
      </w:r>
      <w:r w:rsidRPr="009A27ED">
        <w:rPr>
          <w:rFonts w:ascii="Times New Roman" w:eastAsia="Times New Roman" w:hAnsi="Times New Roman" w:cs="Arial"/>
          <w:sz w:val="24"/>
          <w:szCs w:val="22"/>
          <w:lang w:val="es-ES"/>
        </w:rPr>
        <w:lastRenderedPageBreak/>
        <w:t>de propietarios formales o bajo la responsabilidad de poseedores de hecho debidamente reconocidos. Esta alternativa jurídico-institucional será suficiente para otorgar seguridad jurídica a las transacciones con el FCPF.</w:t>
      </w:r>
    </w:p>
    <w:p w14:paraId="75D9A082" w14:textId="77777777" w:rsidR="003D6161" w:rsidRPr="009A27ED" w:rsidRDefault="003D6161" w:rsidP="003D6161">
      <w:pPr>
        <w:pStyle w:val="Prrafodelista"/>
        <w:autoSpaceDE w:val="0"/>
        <w:autoSpaceDN w:val="0"/>
        <w:adjustRightInd w:val="0"/>
        <w:spacing w:after="0" w:line="360" w:lineRule="auto"/>
        <w:ind w:left="360"/>
        <w:rPr>
          <w:rFonts w:cs="Arial"/>
          <w:szCs w:val="22"/>
          <w:lang w:val="es-ES"/>
        </w:rPr>
      </w:pPr>
    </w:p>
    <w:p w14:paraId="13BE1DBC" w14:textId="1DF80FC2" w:rsidR="00235386" w:rsidRPr="009A27ED" w:rsidRDefault="00235386" w:rsidP="003D6161">
      <w:pPr>
        <w:pStyle w:val="Prrafodelista"/>
        <w:autoSpaceDE w:val="0"/>
        <w:autoSpaceDN w:val="0"/>
        <w:adjustRightInd w:val="0"/>
        <w:spacing w:after="0" w:line="360" w:lineRule="auto"/>
        <w:ind w:left="360"/>
        <w:rPr>
          <w:rFonts w:cs="Arial"/>
          <w:szCs w:val="22"/>
          <w:lang w:val="es-ES"/>
        </w:rPr>
      </w:pPr>
      <w:r w:rsidRPr="009A27ED">
        <w:rPr>
          <w:rFonts w:ascii="Times New Roman" w:eastAsia="Times New Roman" w:hAnsi="Times New Roman" w:cs="Arial"/>
          <w:sz w:val="24"/>
          <w:szCs w:val="22"/>
          <w:lang w:val="es-ES"/>
        </w:rPr>
        <w:t xml:space="preserve">A este efecto, se vincula la titularidad de los derechos a las </w:t>
      </w:r>
      <w:proofErr w:type="spellStart"/>
      <w:r w:rsidRPr="009A27ED">
        <w:rPr>
          <w:rFonts w:ascii="Times New Roman" w:eastAsia="Times New Roman" w:hAnsi="Times New Roman" w:cs="Arial"/>
          <w:sz w:val="24"/>
          <w:szCs w:val="22"/>
          <w:lang w:val="es-ES"/>
        </w:rPr>
        <w:t>ERs</w:t>
      </w:r>
      <w:proofErr w:type="spellEnd"/>
      <w:r w:rsidRPr="009A27ED">
        <w:rPr>
          <w:rFonts w:ascii="Times New Roman" w:eastAsia="Times New Roman" w:hAnsi="Times New Roman" w:cs="Arial"/>
          <w:sz w:val="24"/>
          <w:szCs w:val="22"/>
          <w:lang w:val="es-ES"/>
        </w:rPr>
        <w:t xml:space="preserve"> a la participación efectiva en la provisión de dicho servicio ambiental y a la tenencia de buena fe de la tierra, a partir del cumplimiento de determinados requisitos necesarios para ser reconocido y legitimado como beneficiario. Estos requisitos podrían estar vinculados a ser poseedor informal o tenedor de la tierra de buena fe, contar con un plan de manejo aprobado, firmar acuerdo de compromiso o contrato, asignación de incentivos o compensación y cesión de derechos sobre las ER, entre otros. Efectivamente, la facultad para acceder a “derechos a las emisiones reducidas o al carbono capturado en bosques” estará estrechamente asociada a la participación efectiva en las actividades que generen las ER en concreto, evitando todo vínculo a títulos formales de la tierra.</w:t>
      </w:r>
      <w:r w:rsidR="003D6161" w:rsidRPr="009A27ED">
        <w:rPr>
          <w:rFonts w:ascii="Times New Roman" w:eastAsia="Times New Roman" w:hAnsi="Times New Roman" w:cs="Arial"/>
          <w:sz w:val="24"/>
          <w:szCs w:val="22"/>
          <w:lang w:val="es-ES"/>
        </w:rPr>
        <w:t xml:space="preserve"> </w:t>
      </w:r>
      <w:r w:rsidRPr="009A27ED">
        <w:rPr>
          <w:rFonts w:ascii="Times New Roman" w:eastAsia="Times New Roman" w:hAnsi="Times New Roman" w:cs="Arial"/>
          <w:bCs/>
          <w:iCs/>
          <w:sz w:val="24"/>
          <w:szCs w:val="22"/>
          <w:lang w:val="es-DO"/>
        </w:rPr>
        <w:t xml:space="preserve">A </w:t>
      </w:r>
      <w:r w:rsidRPr="009A27ED">
        <w:rPr>
          <w:rFonts w:ascii="Times New Roman" w:eastAsia="Times New Roman" w:hAnsi="Times New Roman" w:cs="Arial"/>
          <w:sz w:val="24"/>
          <w:szCs w:val="22"/>
        </w:rPr>
        <w:t>continuación,</w:t>
      </w:r>
      <w:r w:rsidRPr="009A27ED">
        <w:rPr>
          <w:rFonts w:ascii="Times New Roman" w:eastAsia="Times New Roman" w:hAnsi="Times New Roman" w:cs="Arial"/>
          <w:bCs/>
          <w:iCs/>
          <w:sz w:val="24"/>
          <w:szCs w:val="22"/>
          <w:lang w:val="es-DO"/>
        </w:rPr>
        <w:t xml:space="preserve"> se listan las disposiciones legales relativas al reconocimiento de los servicios ambientales y su marco general para la compensación, considerados como relevantes para la implementación del Plan de Distribución de Beneficios.</w:t>
      </w:r>
    </w:p>
    <w:p w14:paraId="6F0092FA" w14:textId="77777777" w:rsidR="003D6161" w:rsidRPr="009A27ED" w:rsidRDefault="003D6161" w:rsidP="003D1E4D">
      <w:pPr>
        <w:pStyle w:val="Default"/>
        <w:spacing w:after="120" w:line="360" w:lineRule="auto"/>
        <w:jc w:val="both"/>
        <w:rPr>
          <w:rFonts w:asciiTheme="minorHAnsi" w:hAnsiTheme="minorHAnsi"/>
          <w:bCs/>
          <w:iCs/>
          <w:sz w:val="22"/>
          <w:szCs w:val="22"/>
          <w:lang w:val="es-DO"/>
        </w:rPr>
      </w:pPr>
    </w:p>
    <w:p w14:paraId="6C337970" w14:textId="77777777" w:rsidR="00DF3AFC" w:rsidRPr="009A27ED" w:rsidRDefault="00DF3AFC" w:rsidP="00DF3AFC">
      <w:pPr>
        <w:pStyle w:val="Descripcin"/>
        <w:keepNext/>
        <w:spacing w:line="360" w:lineRule="auto"/>
        <w:rPr>
          <w:lang w:val="es-DO"/>
        </w:rPr>
      </w:pPr>
    </w:p>
    <w:p w14:paraId="0DB43AC5" w14:textId="65191D7D" w:rsidR="00DF3AFC" w:rsidRPr="009A27ED" w:rsidRDefault="00DF3AFC" w:rsidP="00DF3AFC">
      <w:pPr>
        <w:pStyle w:val="Descripcin"/>
        <w:keepNext/>
        <w:spacing w:line="360" w:lineRule="auto"/>
      </w:pPr>
      <w:bookmarkStart w:id="632" w:name="_Toc111887467"/>
      <w:r w:rsidRPr="009A27ED">
        <w:rPr>
          <w:rFonts w:ascii="Times New Roman" w:eastAsia="Times New Roman" w:hAnsi="Times New Roman"/>
          <w:sz w:val="24"/>
        </w:rPr>
        <w:t xml:space="preserve">Cuadro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Cuadro \* ARABIC </w:instrText>
      </w:r>
      <w:r w:rsidRPr="009A27ED">
        <w:rPr>
          <w:rFonts w:ascii="Times New Roman" w:eastAsia="Times New Roman" w:hAnsi="Times New Roman"/>
          <w:sz w:val="24"/>
        </w:rPr>
        <w:fldChar w:fldCharType="separate"/>
      </w:r>
      <w:r w:rsidRPr="009A27ED">
        <w:rPr>
          <w:rFonts w:ascii="Times New Roman" w:eastAsia="Times New Roman" w:hAnsi="Times New Roman"/>
          <w:noProof/>
          <w:sz w:val="24"/>
        </w:rPr>
        <w:t>57</w:t>
      </w:r>
      <w:r w:rsidRPr="009A27ED">
        <w:rPr>
          <w:rFonts w:ascii="Times New Roman" w:eastAsia="Times New Roman" w:hAnsi="Times New Roman"/>
          <w:sz w:val="24"/>
        </w:rPr>
        <w:fldChar w:fldCharType="end"/>
      </w:r>
      <w:r w:rsidRPr="009A27ED">
        <w:rPr>
          <w:rFonts w:ascii="Times New Roman" w:eastAsia="Times New Roman" w:hAnsi="Times New Roman"/>
          <w:sz w:val="24"/>
        </w:rPr>
        <w:t>. Disposiciones legales relevantes para la Distribución de Beneficios</w:t>
      </w:r>
      <w:bookmarkEnd w:id="632"/>
    </w:p>
    <w:tbl>
      <w:tblPr>
        <w:tblStyle w:val="Tablaconcuadrcula6concolores-nfasis11"/>
        <w:tblW w:w="9990" w:type="dxa"/>
        <w:tblInd w:w="-5" w:type="dxa"/>
        <w:tblLook w:val="04A0" w:firstRow="1" w:lastRow="0" w:firstColumn="1" w:lastColumn="0" w:noHBand="0" w:noVBand="1"/>
      </w:tblPr>
      <w:tblGrid>
        <w:gridCol w:w="2430"/>
        <w:gridCol w:w="7560"/>
      </w:tblGrid>
      <w:tr w:rsidR="0095692C" w:rsidRPr="009A27ED" w14:paraId="04E5E9B0" w14:textId="77777777" w:rsidTr="0095692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30" w:type="dxa"/>
            <w:shd w:val="clear" w:color="auto" w:fill="2E74B5" w:themeFill="accent1" w:themeFillShade="BF"/>
            <w:vAlign w:val="center"/>
          </w:tcPr>
          <w:p w14:paraId="0A580310" w14:textId="77777777" w:rsidR="00235386" w:rsidRPr="009A27ED" w:rsidRDefault="00235386" w:rsidP="0095692C">
            <w:pPr>
              <w:jc w:val="center"/>
              <w:rPr>
                <w:sz w:val="20"/>
                <w:szCs w:val="20"/>
              </w:rPr>
            </w:pPr>
            <w:r w:rsidRPr="009A27ED">
              <w:rPr>
                <w:sz w:val="20"/>
                <w:szCs w:val="20"/>
              </w:rPr>
              <w:t>Instrumento Legal</w:t>
            </w:r>
          </w:p>
        </w:tc>
        <w:tc>
          <w:tcPr>
            <w:tcW w:w="7560" w:type="dxa"/>
            <w:shd w:val="clear" w:color="auto" w:fill="2E74B5" w:themeFill="accent1" w:themeFillShade="BF"/>
            <w:vAlign w:val="center"/>
          </w:tcPr>
          <w:p w14:paraId="6D7A38E7" w14:textId="77777777" w:rsidR="00235386" w:rsidRPr="009A27ED" w:rsidRDefault="00235386" w:rsidP="0095692C">
            <w:pPr>
              <w:jc w:val="center"/>
              <w:cnfStyle w:val="100000000000" w:firstRow="1" w:lastRow="0" w:firstColumn="0" w:lastColumn="0" w:oddVBand="0" w:evenVBand="0" w:oddHBand="0" w:evenHBand="0" w:firstRowFirstColumn="0" w:firstRowLastColumn="0" w:lastRowFirstColumn="0" w:lastRowLastColumn="0"/>
              <w:rPr>
                <w:b w:val="0"/>
                <w:bCs w:val="0"/>
                <w:sz w:val="20"/>
                <w:szCs w:val="20"/>
              </w:rPr>
            </w:pPr>
            <w:r w:rsidRPr="009A27ED">
              <w:rPr>
                <w:sz w:val="20"/>
                <w:szCs w:val="20"/>
              </w:rPr>
              <w:t>Disposiciones relevantes para el Plan de Distribución de Beneficios</w:t>
            </w:r>
          </w:p>
        </w:tc>
      </w:tr>
      <w:tr w:rsidR="00235386" w:rsidRPr="009A27ED" w14:paraId="25489D87" w14:textId="77777777" w:rsidTr="007723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30" w:type="dxa"/>
            <w:shd w:val="clear" w:color="auto" w:fill="auto"/>
          </w:tcPr>
          <w:p w14:paraId="0342AA7B" w14:textId="77777777" w:rsidR="00235386" w:rsidRPr="009A27ED" w:rsidRDefault="00235386" w:rsidP="007723DC">
            <w:pPr>
              <w:rPr>
                <w:sz w:val="20"/>
                <w:szCs w:val="20"/>
              </w:rPr>
            </w:pPr>
          </w:p>
          <w:p w14:paraId="2F92E43C" w14:textId="77777777" w:rsidR="00235386" w:rsidRPr="009A27ED" w:rsidRDefault="00235386" w:rsidP="007723DC">
            <w:pPr>
              <w:rPr>
                <w:sz w:val="20"/>
                <w:szCs w:val="20"/>
              </w:rPr>
            </w:pPr>
            <w:r w:rsidRPr="009A27ED">
              <w:rPr>
                <w:sz w:val="20"/>
                <w:szCs w:val="20"/>
              </w:rPr>
              <w:t>Ley No. 64-00, del 18 de agosto del 2000, General Sobre Medio Ambiente y Recursos Naturales.</w:t>
            </w:r>
          </w:p>
          <w:p w14:paraId="314AAA71" w14:textId="77777777" w:rsidR="00235386" w:rsidRPr="009A27ED" w:rsidRDefault="00235386" w:rsidP="007723DC">
            <w:pPr>
              <w:rPr>
                <w:sz w:val="20"/>
                <w:szCs w:val="20"/>
              </w:rPr>
            </w:pPr>
          </w:p>
          <w:p w14:paraId="187976F6" w14:textId="77777777" w:rsidR="00235386" w:rsidRPr="009A27ED" w:rsidRDefault="00235386" w:rsidP="007723DC">
            <w:pPr>
              <w:rPr>
                <w:sz w:val="20"/>
                <w:szCs w:val="20"/>
              </w:rPr>
            </w:pPr>
          </w:p>
        </w:tc>
        <w:tc>
          <w:tcPr>
            <w:tcW w:w="7560" w:type="dxa"/>
            <w:shd w:val="clear" w:color="auto" w:fill="auto"/>
          </w:tcPr>
          <w:p w14:paraId="06D580E8" w14:textId="77777777" w:rsidR="00235386" w:rsidRPr="009A27ED" w:rsidRDefault="00235386" w:rsidP="007723DC">
            <w:pPr>
              <w:cnfStyle w:val="000000100000" w:firstRow="0" w:lastRow="0" w:firstColumn="0" w:lastColumn="0" w:oddVBand="0" w:evenVBand="0" w:oddHBand="1" w:evenHBand="0" w:firstRowFirstColumn="0" w:firstRowLastColumn="0" w:lastRowFirstColumn="0" w:lastRowLastColumn="0"/>
              <w:rPr>
                <w:sz w:val="20"/>
                <w:szCs w:val="20"/>
              </w:rPr>
            </w:pPr>
          </w:p>
          <w:p w14:paraId="47BEE6F9" w14:textId="77777777" w:rsidR="00235386" w:rsidRPr="009A27ED" w:rsidRDefault="00235386" w:rsidP="007723DC">
            <w:pPr>
              <w:autoSpaceDE w:val="0"/>
              <w:autoSpaceDN w:val="0"/>
              <w:adjustRightInd w:val="0"/>
              <w:cnfStyle w:val="000000100000" w:firstRow="0" w:lastRow="0" w:firstColumn="0" w:lastColumn="0" w:oddVBand="0" w:evenVBand="0" w:oddHBand="1" w:evenHBand="0" w:firstRowFirstColumn="0" w:firstRowLastColumn="0" w:lastRowFirstColumn="0" w:lastRowLastColumn="0"/>
              <w:rPr>
                <w:color w:val="212121"/>
                <w:sz w:val="20"/>
                <w:szCs w:val="20"/>
                <w:shd w:val="clear" w:color="auto" w:fill="FFFFFF"/>
              </w:rPr>
            </w:pPr>
            <w:r w:rsidRPr="009A27ED">
              <w:rPr>
                <w:b/>
                <w:sz w:val="20"/>
                <w:szCs w:val="20"/>
                <w:shd w:val="clear" w:color="auto" w:fill="FFFFFF"/>
              </w:rPr>
              <w:t>Artículo 15 -</w:t>
            </w:r>
            <w:r w:rsidRPr="009A27ED">
              <w:rPr>
                <w:sz w:val="20"/>
                <w:szCs w:val="20"/>
                <w:shd w:val="clear" w:color="auto" w:fill="FFFFFF"/>
              </w:rPr>
              <w:t xml:space="preserve"> </w:t>
            </w:r>
            <w:r w:rsidRPr="009A27ED">
              <w:rPr>
                <w:color w:val="212121"/>
                <w:sz w:val="20"/>
                <w:szCs w:val="20"/>
                <w:shd w:val="clear" w:color="auto" w:fill="FFFFFF"/>
              </w:rPr>
              <w:t xml:space="preserve">Son objetivos particulares de la presente ley: </w:t>
            </w:r>
          </w:p>
          <w:p w14:paraId="01AFBC1F" w14:textId="77777777" w:rsidR="00235386" w:rsidRPr="009A27ED" w:rsidRDefault="00235386" w:rsidP="007723DC">
            <w:pPr>
              <w:autoSpaceDE w:val="0"/>
              <w:autoSpaceDN w:val="0"/>
              <w:adjustRightInd w:val="0"/>
              <w:cnfStyle w:val="000000100000" w:firstRow="0" w:lastRow="0" w:firstColumn="0" w:lastColumn="0" w:oddVBand="0" w:evenVBand="0" w:oddHBand="1" w:evenHBand="0" w:firstRowFirstColumn="0" w:firstRowLastColumn="0" w:lastRowFirstColumn="0" w:lastRowLastColumn="0"/>
              <w:rPr>
                <w:color w:val="212121"/>
                <w:sz w:val="20"/>
                <w:szCs w:val="20"/>
                <w:shd w:val="clear" w:color="auto" w:fill="FFFFFF"/>
              </w:rPr>
            </w:pPr>
            <w:r w:rsidRPr="009A27ED">
              <w:rPr>
                <w:color w:val="212121"/>
                <w:sz w:val="20"/>
                <w:szCs w:val="20"/>
                <w:shd w:val="clear" w:color="auto" w:fill="FFFFFF"/>
              </w:rPr>
              <w:t>1. La prevención, regulación y control de cualquiera de las causas o actividades que causen deterioro del medio ambiente, contaminación de los ecosistemas y la degradación, alteración y destrucción del patrimonio natural y cultural;</w:t>
            </w:r>
          </w:p>
          <w:p w14:paraId="4DD0A6AF" w14:textId="77777777" w:rsidR="00235386" w:rsidRPr="009A27ED" w:rsidRDefault="00235386" w:rsidP="007723DC">
            <w:pPr>
              <w:autoSpaceDE w:val="0"/>
              <w:autoSpaceDN w:val="0"/>
              <w:adjustRightInd w:val="0"/>
              <w:cnfStyle w:val="000000100000" w:firstRow="0" w:lastRow="0" w:firstColumn="0" w:lastColumn="0" w:oddVBand="0" w:evenVBand="0" w:oddHBand="1" w:evenHBand="0" w:firstRowFirstColumn="0" w:firstRowLastColumn="0" w:lastRowFirstColumn="0" w:lastRowLastColumn="0"/>
              <w:rPr>
                <w:color w:val="212121"/>
                <w:sz w:val="20"/>
                <w:szCs w:val="20"/>
                <w:shd w:val="clear" w:color="auto" w:fill="FFFFFF"/>
              </w:rPr>
            </w:pPr>
            <w:r w:rsidRPr="009A27ED">
              <w:rPr>
                <w:color w:val="212121"/>
                <w:sz w:val="20"/>
                <w:szCs w:val="20"/>
                <w:shd w:val="clear" w:color="auto" w:fill="FFFFFF"/>
              </w:rPr>
              <w:t xml:space="preserve">2. Establecer los medios, formas y oportunidades para la conservación y uso sostenible de los recursos naturales, reconociendo su valor real, que incluye los servicios ambientales que éstos brindan, dentro de una planificación nacional fundamentada en el desarrollo sostenible, con equidad y justicia social;  </w:t>
            </w:r>
          </w:p>
          <w:p w14:paraId="589774F8" w14:textId="77777777" w:rsidR="00235386" w:rsidRPr="009A27ED" w:rsidRDefault="00235386" w:rsidP="007723DC">
            <w:pPr>
              <w:autoSpaceDE w:val="0"/>
              <w:autoSpaceDN w:val="0"/>
              <w:adjustRightInd w:val="0"/>
              <w:cnfStyle w:val="000000100000" w:firstRow="0" w:lastRow="0" w:firstColumn="0" w:lastColumn="0" w:oddVBand="0" w:evenVBand="0" w:oddHBand="1" w:evenHBand="0" w:firstRowFirstColumn="0" w:firstRowLastColumn="0" w:lastRowFirstColumn="0" w:lastRowLastColumn="0"/>
              <w:rPr>
                <w:color w:val="212121"/>
                <w:sz w:val="20"/>
                <w:szCs w:val="20"/>
                <w:shd w:val="clear" w:color="auto" w:fill="FFFFFF"/>
              </w:rPr>
            </w:pPr>
            <w:r w:rsidRPr="009A27ED">
              <w:rPr>
                <w:b/>
                <w:sz w:val="20"/>
                <w:szCs w:val="20"/>
                <w:shd w:val="clear" w:color="auto" w:fill="FFFFFF"/>
              </w:rPr>
              <w:t>Artículo 35 -</w:t>
            </w:r>
            <w:r w:rsidRPr="009A27ED">
              <w:rPr>
                <w:color w:val="212121"/>
                <w:sz w:val="20"/>
                <w:szCs w:val="20"/>
                <w:shd w:val="clear" w:color="auto" w:fill="FFFFFF"/>
              </w:rPr>
              <w:t xml:space="preserve"> Los objetivos de establecer áreas protegidas son: </w:t>
            </w:r>
          </w:p>
          <w:p w14:paraId="456F466E" w14:textId="77777777" w:rsidR="00235386" w:rsidRPr="009A27ED" w:rsidRDefault="00235386" w:rsidP="007723DC">
            <w:pPr>
              <w:autoSpaceDE w:val="0"/>
              <w:autoSpaceDN w:val="0"/>
              <w:adjustRightInd w:val="0"/>
              <w:cnfStyle w:val="000000100000" w:firstRow="0" w:lastRow="0" w:firstColumn="0" w:lastColumn="0" w:oddVBand="0" w:evenVBand="0" w:oddHBand="1" w:evenHBand="0" w:firstRowFirstColumn="0" w:firstRowLastColumn="0" w:lastRowFirstColumn="0" w:lastRowLastColumn="0"/>
              <w:rPr>
                <w:color w:val="212121"/>
                <w:sz w:val="20"/>
                <w:szCs w:val="20"/>
                <w:shd w:val="clear" w:color="auto" w:fill="FFFFFF"/>
              </w:rPr>
            </w:pPr>
            <w:r w:rsidRPr="009A27ED">
              <w:rPr>
                <w:color w:val="212121"/>
                <w:sz w:val="20"/>
                <w:szCs w:val="20"/>
                <w:shd w:val="clear" w:color="auto" w:fill="FFFFFF"/>
              </w:rPr>
              <w:t xml:space="preserve">3. Promover y fomentar la conservación, recuperación y uso sostenible de los recursos naturales; </w:t>
            </w:r>
          </w:p>
          <w:p w14:paraId="58EDB8DC" w14:textId="77777777" w:rsidR="00235386" w:rsidRPr="009A27ED" w:rsidRDefault="00235386" w:rsidP="007723DC">
            <w:pPr>
              <w:autoSpaceDE w:val="0"/>
              <w:autoSpaceDN w:val="0"/>
              <w:adjustRightInd w:val="0"/>
              <w:cnfStyle w:val="000000100000" w:firstRow="0" w:lastRow="0" w:firstColumn="0" w:lastColumn="0" w:oddVBand="0" w:evenVBand="0" w:oddHBand="1" w:evenHBand="0" w:firstRowFirstColumn="0" w:firstRowLastColumn="0" w:lastRowFirstColumn="0" w:lastRowLastColumn="0"/>
              <w:rPr>
                <w:color w:val="212121"/>
                <w:sz w:val="20"/>
                <w:szCs w:val="20"/>
                <w:shd w:val="clear" w:color="auto" w:fill="FFFFFF"/>
              </w:rPr>
            </w:pPr>
            <w:r w:rsidRPr="009A27ED">
              <w:rPr>
                <w:color w:val="212121"/>
                <w:sz w:val="20"/>
                <w:szCs w:val="20"/>
                <w:shd w:val="clear" w:color="auto" w:fill="FFFFFF"/>
              </w:rPr>
              <w:lastRenderedPageBreak/>
              <w:t xml:space="preserve">4. Garantizar </w:t>
            </w:r>
            <w:r w:rsidRPr="009A27ED">
              <w:rPr>
                <w:b/>
                <w:color w:val="212121"/>
                <w:sz w:val="20"/>
                <w:szCs w:val="20"/>
                <w:shd w:val="clear" w:color="auto" w:fill="FFFFFF"/>
              </w:rPr>
              <w:t>los servicios ambientales</w:t>
            </w:r>
            <w:r w:rsidRPr="009A27ED">
              <w:rPr>
                <w:color w:val="212121"/>
                <w:sz w:val="20"/>
                <w:szCs w:val="20"/>
                <w:shd w:val="clear" w:color="auto" w:fill="FFFFFF"/>
              </w:rPr>
              <w:t xml:space="preserve"> que se deriven de las áreas protegidas, </w:t>
            </w:r>
            <w:r w:rsidRPr="009A27ED">
              <w:rPr>
                <w:b/>
                <w:color w:val="212121"/>
                <w:sz w:val="20"/>
                <w:szCs w:val="20"/>
                <w:shd w:val="clear" w:color="auto" w:fill="FFFFFF"/>
              </w:rPr>
              <w:t>tales como fijación de carbono</w:t>
            </w:r>
            <w:r w:rsidRPr="009A27ED">
              <w:rPr>
                <w:color w:val="212121"/>
                <w:sz w:val="20"/>
                <w:szCs w:val="20"/>
                <w:shd w:val="clear" w:color="auto" w:fill="FFFFFF"/>
              </w:rPr>
              <w:t>, disminución del efecto invernadero, contribución a la estabilización del clima y aprovechamiento sostenible de la energía;</w:t>
            </w:r>
          </w:p>
          <w:p w14:paraId="32D9B407" w14:textId="77777777" w:rsidR="00235386" w:rsidRPr="009A27ED" w:rsidRDefault="00235386" w:rsidP="007723DC">
            <w:pPr>
              <w:autoSpaceDE w:val="0"/>
              <w:autoSpaceDN w:val="0"/>
              <w:adjustRightInd w:val="0"/>
              <w:cnfStyle w:val="000000100000" w:firstRow="0" w:lastRow="0" w:firstColumn="0" w:lastColumn="0" w:oddVBand="0" w:evenVBand="0" w:oddHBand="1" w:evenHBand="0" w:firstRowFirstColumn="0" w:firstRowLastColumn="0" w:lastRowFirstColumn="0" w:lastRowLastColumn="0"/>
              <w:rPr>
                <w:b/>
                <w:color w:val="212121"/>
                <w:sz w:val="20"/>
                <w:szCs w:val="20"/>
                <w:shd w:val="clear" w:color="auto" w:fill="FFFFFF"/>
              </w:rPr>
            </w:pPr>
            <w:r w:rsidRPr="009A27ED">
              <w:rPr>
                <w:b/>
                <w:sz w:val="20"/>
                <w:szCs w:val="20"/>
                <w:shd w:val="clear" w:color="auto" w:fill="FFFFFF"/>
              </w:rPr>
              <w:t>Artículo 63 -</w:t>
            </w:r>
            <w:r w:rsidRPr="009A27ED">
              <w:rPr>
                <w:sz w:val="20"/>
                <w:szCs w:val="20"/>
                <w:shd w:val="clear" w:color="auto" w:fill="FFFFFF"/>
              </w:rPr>
              <w:t xml:space="preserve"> </w:t>
            </w:r>
            <w:r w:rsidRPr="009A27ED">
              <w:rPr>
                <w:b/>
                <w:color w:val="212121"/>
                <w:sz w:val="20"/>
                <w:szCs w:val="20"/>
                <w:shd w:val="clear" w:color="auto" w:fill="FFFFFF"/>
              </w:rPr>
              <w:t xml:space="preserve">El Estado reconoce los servicios ambientales que ofrecen los distintos recursos naturales y establecerá un procedimiento para incluir en las cuentas nacionales los valores establecidos. </w:t>
            </w:r>
          </w:p>
          <w:p w14:paraId="64DC3DCB" w14:textId="77777777" w:rsidR="00235386" w:rsidRPr="009A27ED" w:rsidRDefault="00235386" w:rsidP="007723DC">
            <w:pPr>
              <w:autoSpaceDE w:val="0"/>
              <w:autoSpaceDN w:val="0"/>
              <w:adjustRightInd w:val="0"/>
              <w:cnfStyle w:val="000000100000" w:firstRow="0" w:lastRow="0" w:firstColumn="0" w:lastColumn="0" w:oddVBand="0" w:evenVBand="0" w:oddHBand="1" w:evenHBand="0" w:firstRowFirstColumn="0" w:firstRowLastColumn="0" w:lastRowFirstColumn="0" w:lastRowLastColumn="0"/>
              <w:rPr>
                <w:color w:val="212121"/>
                <w:sz w:val="20"/>
                <w:szCs w:val="20"/>
                <w:shd w:val="clear" w:color="auto" w:fill="FFFFFF"/>
              </w:rPr>
            </w:pPr>
            <w:r w:rsidRPr="009A27ED">
              <w:rPr>
                <w:color w:val="212121"/>
                <w:sz w:val="20"/>
                <w:szCs w:val="20"/>
                <w:shd w:val="clear" w:color="auto" w:fill="FFFFFF"/>
              </w:rPr>
              <w:t xml:space="preserve">Párrafo: </w:t>
            </w:r>
            <w:r w:rsidRPr="009A27ED">
              <w:rPr>
                <w:b/>
                <w:color w:val="212121"/>
                <w:sz w:val="20"/>
                <w:szCs w:val="20"/>
                <w:shd w:val="clear" w:color="auto" w:fill="FFFFFF"/>
              </w:rPr>
              <w:t xml:space="preserve">En caso de recursos naturales propiedad de la nación, el valor de los servicios ambientales que éstos ofrecen </w:t>
            </w:r>
            <w:proofErr w:type="gramStart"/>
            <w:r w:rsidRPr="009A27ED">
              <w:rPr>
                <w:b/>
                <w:color w:val="212121"/>
                <w:sz w:val="20"/>
                <w:szCs w:val="20"/>
                <w:shd w:val="clear" w:color="auto" w:fill="FFFFFF"/>
              </w:rPr>
              <w:t>serán</w:t>
            </w:r>
            <w:proofErr w:type="gramEnd"/>
            <w:r w:rsidRPr="009A27ED">
              <w:rPr>
                <w:b/>
                <w:color w:val="212121"/>
                <w:sz w:val="20"/>
                <w:szCs w:val="20"/>
                <w:shd w:val="clear" w:color="auto" w:fill="FFFFFF"/>
              </w:rPr>
              <w:t xml:space="preserve"> destinados a asegurar su calidad y cantidad por medio de medidas de conservación y uso sostenible.</w:t>
            </w:r>
            <w:r w:rsidRPr="009A27ED">
              <w:rPr>
                <w:color w:val="212121"/>
                <w:sz w:val="20"/>
                <w:szCs w:val="20"/>
                <w:shd w:val="clear" w:color="auto" w:fill="FFFFFF"/>
              </w:rPr>
              <w:t xml:space="preserve"> </w:t>
            </w:r>
          </w:p>
          <w:p w14:paraId="703B78FF" w14:textId="77777777" w:rsidR="00235386" w:rsidRPr="009A27ED" w:rsidRDefault="00235386" w:rsidP="007723DC">
            <w:pPr>
              <w:autoSpaceDE w:val="0"/>
              <w:autoSpaceDN w:val="0"/>
              <w:adjustRightInd w:val="0"/>
              <w:cnfStyle w:val="000000100000" w:firstRow="0" w:lastRow="0" w:firstColumn="0" w:lastColumn="0" w:oddVBand="0" w:evenVBand="0" w:oddHBand="1" w:evenHBand="0" w:firstRowFirstColumn="0" w:firstRowLastColumn="0" w:lastRowFirstColumn="0" w:lastRowLastColumn="0"/>
              <w:rPr>
                <w:color w:val="212121"/>
                <w:sz w:val="20"/>
                <w:szCs w:val="20"/>
                <w:shd w:val="clear" w:color="auto" w:fill="FFFFFF"/>
              </w:rPr>
            </w:pPr>
            <w:r w:rsidRPr="009A27ED">
              <w:rPr>
                <w:b/>
                <w:sz w:val="20"/>
                <w:szCs w:val="20"/>
                <w:shd w:val="clear" w:color="auto" w:fill="FFFFFF"/>
              </w:rPr>
              <w:t>Artículo 64 -</w:t>
            </w:r>
            <w:r w:rsidRPr="009A27ED">
              <w:rPr>
                <w:sz w:val="20"/>
                <w:szCs w:val="20"/>
                <w:shd w:val="clear" w:color="auto" w:fill="FFFFFF"/>
              </w:rPr>
              <w:t xml:space="preserve"> </w:t>
            </w:r>
            <w:r w:rsidRPr="009A27ED">
              <w:rPr>
                <w:b/>
                <w:color w:val="212121"/>
                <w:sz w:val="20"/>
                <w:szCs w:val="20"/>
                <w:shd w:val="clear" w:color="auto" w:fill="FFFFFF"/>
              </w:rPr>
              <w:t>La Secretaría de Estado de Medio Ambiente y Recursos Naturales creará los mecanismos necesarios, y emitirá las normas para el reconocimiento de los servicios ambientales.</w:t>
            </w:r>
            <w:r w:rsidRPr="009A27ED">
              <w:rPr>
                <w:color w:val="212121"/>
                <w:sz w:val="20"/>
                <w:szCs w:val="20"/>
                <w:shd w:val="clear" w:color="auto" w:fill="FFFFFF"/>
              </w:rPr>
              <w:t xml:space="preserve"> Cuando estos servicios procedan de recursos de patrimonio de la Nación, los beneficios generados deberán reinvertirse en mejorar la calidad del ambiente y en reducir la vulnerabilidad del territorio de donde provengan. </w:t>
            </w:r>
          </w:p>
          <w:p w14:paraId="349DD030" w14:textId="6D30D1DB" w:rsidR="00235386" w:rsidRPr="009A27ED" w:rsidRDefault="000D3584" w:rsidP="007723DC">
            <w:pPr>
              <w:autoSpaceDE w:val="0"/>
              <w:autoSpaceDN w:val="0"/>
              <w:adjustRightInd w:val="0"/>
              <w:cnfStyle w:val="000000100000" w:firstRow="0" w:lastRow="0" w:firstColumn="0" w:lastColumn="0" w:oddVBand="0" w:evenVBand="0" w:oddHBand="1" w:evenHBand="0" w:firstRowFirstColumn="0" w:firstRowLastColumn="0" w:lastRowFirstColumn="0" w:lastRowLastColumn="0"/>
              <w:rPr>
                <w:sz w:val="20"/>
                <w:szCs w:val="20"/>
                <w:shd w:val="clear" w:color="auto" w:fill="FFFFFF"/>
              </w:rPr>
            </w:pPr>
            <w:r w:rsidRPr="009A27ED">
              <w:rPr>
                <w:b/>
                <w:bCs/>
                <w:sz w:val="20"/>
                <w:szCs w:val="20"/>
              </w:rPr>
              <w:t>Artículo</w:t>
            </w:r>
            <w:r w:rsidR="00235386" w:rsidRPr="009A27ED">
              <w:rPr>
                <w:b/>
                <w:bCs/>
                <w:sz w:val="20"/>
                <w:szCs w:val="20"/>
              </w:rPr>
              <w:t xml:space="preserve"> 71 - </w:t>
            </w:r>
            <w:r w:rsidR="00235386" w:rsidRPr="009A27ED">
              <w:rPr>
                <w:sz w:val="20"/>
                <w:szCs w:val="20"/>
              </w:rPr>
              <w:t>Se crea el Fondo Nacional para el Medio Ambiente y Recursos Naturales, para desarrollar y financiar programas y proyectos de protección, conservación, investigación, educación, restauración y uso sostenible, con personería jurídica, patrimonio independiente y administración propia, y con jurisdicción en todo el territorio nacional</w:t>
            </w:r>
            <w:r w:rsidR="00235386" w:rsidRPr="009A27ED">
              <w:rPr>
                <w:sz w:val="20"/>
                <w:szCs w:val="20"/>
                <w:shd w:val="clear" w:color="auto" w:fill="FFFFFF"/>
              </w:rPr>
              <w:t>.</w:t>
            </w:r>
          </w:p>
        </w:tc>
      </w:tr>
      <w:tr w:rsidR="00235386" w:rsidRPr="009A27ED" w14:paraId="0D48EA09" w14:textId="77777777" w:rsidTr="007723DC">
        <w:tc>
          <w:tcPr>
            <w:cnfStyle w:val="001000000000" w:firstRow="0" w:lastRow="0" w:firstColumn="1" w:lastColumn="0" w:oddVBand="0" w:evenVBand="0" w:oddHBand="0" w:evenHBand="0" w:firstRowFirstColumn="0" w:firstRowLastColumn="0" w:lastRowFirstColumn="0" w:lastRowLastColumn="0"/>
            <w:tcW w:w="2430" w:type="dxa"/>
            <w:shd w:val="clear" w:color="auto" w:fill="auto"/>
          </w:tcPr>
          <w:p w14:paraId="6DD00095" w14:textId="77777777" w:rsidR="00235386" w:rsidRPr="009A27ED" w:rsidRDefault="00235386" w:rsidP="007723DC">
            <w:pPr>
              <w:rPr>
                <w:sz w:val="20"/>
                <w:szCs w:val="20"/>
              </w:rPr>
            </w:pPr>
          </w:p>
          <w:p w14:paraId="5FB34B57" w14:textId="77777777" w:rsidR="00235386" w:rsidRPr="009A27ED" w:rsidRDefault="00235386" w:rsidP="007723DC">
            <w:pPr>
              <w:rPr>
                <w:sz w:val="20"/>
                <w:szCs w:val="20"/>
              </w:rPr>
            </w:pPr>
            <w:r w:rsidRPr="009A27ED">
              <w:rPr>
                <w:sz w:val="20"/>
                <w:szCs w:val="20"/>
              </w:rPr>
              <w:t>Ley No. 44-18, del 31 de agosto del 2018, que establece el Pago por Servicios Ambientales</w:t>
            </w:r>
          </w:p>
          <w:p w14:paraId="7C5E2224" w14:textId="77777777" w:rsidR="00235386" w:rsidRPr="009A27ED" w:rsidRDefault="00235386" w:rsidP="007723DC">
            <w:pPr>
              <w:rPr>
                <w:sz w:val="20"/>
                <w:szCs w:val="20"/>
              </w:rPr>
            </w:pPr>
          </w:p>
        </w:tc>
        <w:tc>
          <w:tcPr>
            <w:tcW w:w="7560" w:type="dxa"/>
            <w:shd w:val="clear" w:color="auto" w:fill="auto"/>
          </w:tcPr>
          <w:p w14:paraId="4250C19A" w14:textId="77777777" w:rsidR="00235386" w:rsidRPr="009A27ED" w:rsidRDefault="00235386" w:rsidP="007723DC">
            <w:pPr>
              <w:cnfStyle w:val="000000000000" w:firstRow="0" w:lastRow="0" w:firstColumn="0" w:lastColumn="0" w:oddVBand="0" w:evenVBand="0" w:oddHBand="0" w:evenHBand="0" w:firstRowFirstColumn="0" w:firstRowLastColumn="0" w:lastRowFirstColumn="0" w:lastRowLastColumn="0"/>
              <w:rPr>
                <w:b/>
                <w:sz w:val="20"/>
                <w:szCs w:val="20"/>
              </w:rPr>
            </w:pPr>
          </w:p>
          <w:p w14:paraId="2F201AF8" w14:textId="77777777" w:rsidR="00235386" w:rsidRPr="009A27ED" w:rsidRDefault="00235386" w:rsidP="007723DC">
            <w:pPr>
              <w:cnfStyle w:val="000000000000" w:firstRow="0" w:lastRow="0" w:firstColumn="0" w:lastColumn="0" w:oddVBand="0" w:evenVBand="0" w:oddHBand="0" w:evenHBand="0" w:firstRowFirstColumn="0" w:firstRowLastColumn="0" w:lastRowFirstColumn="0" w:lastRowLastColumn="0"/>
              <w:rPr>
                <w:sz w:val="20"/>
                <w:szCs w:val="20"/>
              </w:rPr>
            </w:pPr>
            <w:r w:rsidRPr="009A27ED">
              <w:rPr>
                <w:b/>
                <w:sz w:val="20"/>
                <w:szCs w:val="20"/>
              </w:rPr>
              <w:t>Artículo 1 -</w:t>
            </w:r>
            <w:r w:rsidRPr="009A27ED">
              <w:rPr>
                <w:sz w:val="20"/>
                <w:szCs w:val="20"/>
              </w:rPr>
              <w:t xml:space="preserve"> Objeto. La presente ley tiene por objeto la conservación, preservación y restauración y el uso sostenible de los ecosistemas, a fin de garantizar los servicios ambientales o ecosistémicos que estos prestan, a través de un marco general para la compensación y retribución de los servicios ambientales.</w:t>
            </w:r>
          </w:p>
          <w:p w14:paraId="7DB776C1" w14:textId="77777777" w:rsidR="00235386" w:rsidRPr="009A27ED" w:rsidRDefault="00235386" w:rsidP="007723DC">
            <w:pPr>
              <w:cnfStyle w:val="000000000000" w:firstRow="0" w:lastRow="0" w:firstColumn="0" w:lastColumn="0" w:oddVBand="0" w:evenVBand="0" w:oddHBand="0" w:evenHBand="0" w:firstRowFirstColumn="0" w:firstRowLastColumn="0" w:lastRowFirstColumn="0" w:lastRowLastColumn="0"/>
              <w:rPr>
                <w:sz w:val="20"/>
                <w:szCs w:val="20"/>
              </w:rPr>
            </w:pPr>
            <w:r w:rsidRPr="009A27ED">
              <w:rPr>
                <w:b/>
                <w:sz w:val="20"/>
                <w:szCs w:val="20"/>
              </w:rPr>
              <w:t>Artículo 3 -</w:t>
            </w:r>
            <w:r w:rsidRPr="009A27ED">
              <w:rPr>
                <w:sz w:val="20"/>
                <w:szCs w:val="20"/>
              </w:rPr>
              <w:t xml:space="preserve"> Definiciones. Para los efectos de esta ley se entiende por:</w:t>
            </w:r>
          </w:p>
          <w:p w14:paraId="0253C214" w14:textId="77777777" w:rsidR="00235386" w:rsidRPr="009A27ED" w:rsidRDefault="00235386" w:rsidP="007723DC">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3. </w:t>
            </w:r>
            <w:r w:rsidRPr="009A27ED">
              <w:rPr>
                <w:b/>
                <w:sz w:val="20"/>
                <w:szCs w:val="20"/>
              </w:rPr>
              <w:t>Beneficiarios o Usuarios</w:t>
            </w:r>
            <w:r w:rsidRPr="009A27ED">
              <w:rPr>
                <w:sz w:val="20"/>
                <w:szCs w:val="20"/>
              </w:rPr>
              <w:t>: Personas físicas o jurídicas, públicas o privadas que utilizan o se benefician de los servicios de los ecosistemas, para el mantenimiento de la vida o su aprovechamiento económico.</w:t>
            </w:r>
          </w:p>
          <w:p w14:paraId="62492566" w14:textId="77777777" w:rsidR="00235386" w:rsidRPr="009A27ED" w:rsidRDefault="00235386" w:rsidP="007723DC">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25. </w:t>
            </w:r>
            <w:r w:rsidRPr="009A27ED">
              <w:rPr>
                <w:b/>
                <w:sz w:val="20"/>
                <w:szCs w:val="20"/>
              </w:rPr>
              <w:t>Pago por Servicios Ambientales</w:t>
            </w:r>
            <w:r w:rsidRPr="009A27ED">
              <w:rPr>
                <w:sz w:val="20"/>
                <w:szCs w:val="20"/>
              </w:rPr>
              <w:t>: Es un instrumento de gestión ambiental flexible y adaptable a diferentes condiciones, que apunta a una retribución financiera a favor de una persona, para asegurar un uso del suelo que garantice el mantenimiento o la provisión de uno o más de los servicios ambientales reconocidos por esta ley y su reglamento general de aplicación.</w:t>
            </w:r>
          </w:p>
          <w:p w14:paraId="2B2C9360" w14:textId="77777777" w:rsidR="00235386" w:rsidRPr="009A27ED" w:rsidRDefault="00235386" w:rsidP="007723DC">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37. </w:t>
            </w:r>
            <w:r w:rsidRPr="009A27ED">
              <w:rPr>
                <w:b/>
                <w:sz w:val="20"/>
                <w:szCs w:val="20"/>
              </w:rPr>
              <w:t>Servicios Ambientales o Ecosistémicos</w:t>
            </w:r>
            <w:r w:rsidRPr="009A27ED">
              <w:rPr>
                <w:sz w:val="20"/>
                <w:szCs w:val="20"/>
              </w:rPr>
              <w:t>: Aquellos beneficios que recibe la sociedad por la utilización de diferentes elementos de la naturaleza, los cuales pueden estar comprendidos en ecosistemas silvestres y cuyos efectos en la calidad de vida son tangibles e intangibles. Incluye, sin limitaciones, la provisión de agua, fertilidad y creación del suelo, polinización, crecimiento y reproducción de especies comestibles, mitigación de tormentas, asimilación de desechos, regulación climática y control de plagas y elementos fitopatógenos.</w:t>
            </w:r>
          </w:p>
          <w:p w14:paraId="681E81C5" w14:textId="77777777" w:rsidR="00235386" w:rsidRPr="009A27ED" w:rsidRDefault="00235386" w:rsidP="007723DC">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38. </w:t>
            </w:r>
            <w:r w:rsidRPr="009A27ED">
              <w:rPr>
                <w:b/>
                <w:sz w:val="20"/>
                <w:szCs w:val="20"/>
              </w:rPr>
              <w:t>Sistema Nacional de Pago y Compensación de Servicios Ambientales o Ecosistémicos:</w:t>
            </w:r>
            <w:r w:rsidRPr="009A27ED">
              <w:rPr>
                <w:sz w:val="20"/>
                <w:szCs w:val="20"/>
              </w:rPr>
              <w:t xml:space="preserve"> Conjunto de reglamentos, normas, principios, procedimientos y arreglos institucionales relacionados entre sí y destinados a contribuir a la conservación, preservación y restauración y el uso sostenible de los ecosistemas a fin de garantizar los servicios ambientales o ecosistémicos de los recursos naturales a fin de garantizar la sostenibilidad de la interacción entre el medio natural y las actividades humanas.</w:t>
            </w:r>
          </w:p>
          <w:p w14:paraId="75654FBC" w14:textId="77777777" w:rsidR="00235386" w:rsidRPr="009A27ED" w:rsidRDefault="00235386" w:rsidP="007723DC">
            <w:pPr>
              <w:cnfStyle w:val="000000000000" w:firstRow="0" w:lastRow="0" w:firstColumn="0" w:lastColumn="0" w:oddVBand="0" w:evenVBand="0" w:oddHBand="0" w:evenHBand="0" w:firstRowFirstColumn="0" w:firstRowLastColumn="0" w:lastRowFirstColumn="0" w:lastRowLastColumn="0"/>
              <w:rPr>
                <w:sz w:val="20"/>
                <w:szCs w:val="20"/>
              </w:rPr>
            </w:pPr>
            <w:r w:rsidRPr="009A27ED">
              <w:rPr>
                <w:b/>
                <w:sz w:val="20"/>
                <w:szCs w:val="20"/>
              </w:rPr>
              <w:t>Artículo 4.-</w:t>
            </w:r>
            <w:r w:rsidRPr="009A27ED">
              <w:rPr>
                <w:sz w:val="20"/>
                <w:szCs w:val="20"/>
              </w:rPr>
              <w:t xml:space="preserve"> Servicios Ambientales o Ecosistémicos. Los principales servicios ambientales considerados a los efectos de esta ley son: 1. Regulación hídrica, protección y conservación </w:t>
            </w:r>
            <w:r w:rsidRPr="009A27ED">
              <w:rPr>
                <w:sz w:val="20"/>
                <w:szCs w:val="20"/>
              </w:rPr>
              <w:lastRenderedPageBreak/>
              <w:t>de fuentes de agua. 2. Conservación de ecosistemas y hábitats de la vida silvestre. 3. Conservación de suelos. 4. Captura de carbono y otros gases de efecto invernadero.5. Belleza escénica o paisaje.</w:t>
            </w:r>
          </w:p>
          <w:p w14:paraId="4AB0D216" w14:textId="77777777" w:rsidR="00235386" w:rsidRPr="009A27ED" w:rsidRDefault="00235386" w:rsidP="007723DC">
            <w:pPr>
              <w:cnfStyle w:val="000000000000" w:firstRow="0" w:lastRow="0" w:firstColumn="0" w:lastColumn="0" w:oddVBand="0" w:evenVBand="0" w:oddHBand="0" w:evenHBand="0" w:firstRowFirstColumn="0" w:firstRowLastColumn="0" w:lastRowFirstColumn="0" w:lastRowLastColumn="0"/>
              <w:rPr>
                <w:sz w:val="20"/>
                <w:szCs w:val="20"/>
              </w:rPr>
            </w:pPr>
            <w:r w:rsidRPr="009A27ED">
              <w:rPr>
                <w:b/>
                <w:sz w:val="20"/>
                <w:szCs w:val="20"/>
              </w:rPr>
              <w:t>Artículo 5.-</w:t>
            </w:r>
            <w:r w:rsidRPr="009A27ED">
              <w:rPr>
                <w:sz w:val="20"/>
                <w:szCs w:val="20"/>
              </w:rPr>
              <w:t xml:space="preserve"> Criterios de los Servicios Ambientales. Los siguientes criterios deben ser tomados en cuenta por el Ministerio de Medio Ambiente y Recursos Naturales en la definición de un sistema nacional de servicios ambientales: 1. Incluir los diferentes tipos y modalidades de servicios ambientales identificados. 2. Determinar los mecanismos para la definición de políticas, planes y estrategias nacionales en materia de servicios ambientales. 3. Desarrollar los criterios técnicos y de zonificación para la valoración y retribución.4. Identificar los mecanismos para la definición de prioridades nacionales de inversiones en retribución por los servicios ambientales, y 5. Determinar los mecanismos de monitoreo, control y auditoría para la verificación del adecuado uso de los ecosistemas y los recursos naturales.</w:t>
            </w:r>
          </w:p>
          <w:p w14:paraId="7C787A51" w14:textId="77777777" w:rsidR="00235386" w:rsidRPr="009A27ED" w:rsidRDefault="00235386" w:rsidP="007723DC">
            <w:pPr>
              <w:cnfStyle w:val="000000000000" w:firstRow="0" w:lastRow="0" w:firstColumn="0" w:lastColumn="0" w:oddVBand="0" w:evenVBand="0" w:oddHBand="0" w:evenHBand="0" w:firstRowFirstColumn="0" w:firstRowLastColumn="0" w:lastRowFirstColumn="0" w:lastRowLastColumn="0"/>
              <w:rPr>
                <w:sz w:val="20"/>
                <w:szCs w:val="20"/>
              </w:rPr>
            </w:pPr>
            <w:r w:rsidRPr="009A27ED">
              <w:rPr>
                <w:b/>
                <w:sz w:val="20"/>
                <w:szCs w:val="20"/>
              </w:rPr>
              <w:t>Artículo 6.-</w:t>
            </w:r>
            <w:r w:rsidRPr="009A27ED">
              <w:rPr>
                <w:sz w:val="20"/>
                <w:szCs w:val="20"/>
              </w:rPr>
              <w:t>Beneficiarios Económicos del Servicio. Toda actividad, empresa o institución, ya sea pública o privada, que utilice o se beneficie económicamente de los servicios ambientales reconocidos en esta ley, tiene la obligación de pagar una tasa para asegurar la provisión de dichos servicios. El pago recibido de quienes utilizan o se favorecen de los servicios ambientales, beneficiará a los propietarios y usufructuarios legales o legítimos de los terrenos donde se han generado tales servicios, según las tarifas Y procedimientos establecidos en la presente ley y en su reglamento general de aplicación.</w:t>
            </w:r>
          </w:p>
          <w:p w14:paraId="34F97DF2" w14:textId="77777777" w:rsidR="00235386" w:rsidRPr="009A27ED" w:rsidRDefault="00235386" w:rsidP="007723DC">
            <w:pPr>
              <w:cnfStyle w:val="000000000000" w:firstRow="0" w:lastRow="0" w:firstColumn="0" w:lastColumn="0" w:oddVBand="0" w:evenVBand="0" w:oddHBand="0" w:evenHBand="0" w:firstRowFirstColumn="0" w:firstRowLastColumn="0" w:lastRowFirstColumn="0" w:lastRowLastColumn="0"/>
              <w:rPr>
                <w:sz w:val="20"/>
                <w:szCs w:val="20"/>
              </w:rPr>
            </w:pPr>
            <w:r w:rsidRPr="009A27ED">
              <w:rPr>
                <w:b/>
                <w:sz w:val="20"/>
                <w:szCs w:val="20"/>
              </w:rPr>
              <w:t>Artículo 7.-</w:t>
            </w:r>
            <w:r w:rsidRPr="009A27ED">
              <w:rPr>
                <w:sz w:val="20"/>
                <w:szCs w:val="20"/>
              </w:rPr>
              <w:t xml:space="preserve"> Beneficiarios de los Pagos. Los propietarios, y usufructuarios legales o legítimos tanto públicos como privados de terrenos donde se generen los servicios ambientales reconocidos, tendrán derecho a acceder al sistema de proceso de pago y compensación de dichos servicios según los procedimientos y requisitos establecidos en el reglamento general de aplicación de la presente ley.</w:t>
            </w:r>
          </w:p>
          <w:p w14:paraId="626184F4" w14:textId="77777777" w:rsidR="00235386" w:rsidRPr="009A27ED" w:rsidRDefault="00235386" w:rsidP="007723DC">
            <w:pPr>
              <w:cnfStyle w:val="000000000000" w:firstRow="0" w:lastRow="0" w:firstColumn="0" w:lastColumn="0" w:oddVBand="0" w:evenVBand="0" w:oddHBand="0" w:evenHBand="0" w:firstRowFirstColumn="0" w:firstRowLastColumn="0" w:lastRowFirstColumn="0" w:lastRowLastColumn="0"/>
              <w:rPr>
                <w:sz w:val="20"/>
                <w:szCs w:val="20"/>
              </w:rPr>
            </w:pPr>
            <w:r w:rsidRPr="009A27ED">
              <w:rPr>
                <w:b/>
                <w:sz w:val="20"/>
                <w:szCs w:val="20"/>
              </w:rPr>
              <w:t>Artículo 16.-</w:t>
            </w:r>
            <w:r w:rsidRPr="009A27ED">
              <w:rPr>
                <w:sz w:val="20"/>
                <w:szCs w:val="20"/>
              </w:rPr>
              <w:t xml:space="preserve"> Cuentas Especializadas. El Fondo Nacional para el Medio Ambiente y Recursos Naturales (FONDO MARENA), establecido en el artículo No.71 de la Ley No.64-00, creará y administrará una cuenta especializada para manejar los recursos generados o captados por el sistema de pago y compensación de servicios ambientales o ecosistémicos.</w:t>
            </w:r>
          </w:p>
          <w:p w14:paraId="52366EE3" w14:textId="77777777" w:rsidR="00235386" w:rsidRPr="009A27ED" w:rsidRDefault="00235386" w:rsidP="007723DC">
            <w:pPr>
              <w:cnfStyle w:val="000000000000" w:firstRow="0" w:lastRow="0" w:firstColumn="0" w:lastColumn="0" w:oddVBand="0" w:evenVBand="0" w:oddHBand="0" w:evenHBand="0" w:firstRowFirstColumn="0" w:firstRowLastColumn="0" w:lastRowFirstColumn="0" w:lastRowLastColumn="0"/>
              <w:rPr>
                <w:sz w:val="20"/>
                <w:szCs w:val="20"/>
              </w:rPr>
            </w:pPr>
            <w:r w:rsidRPr="009A27ED">
              <w:rPr>
                <w:b/>
                <w:sz w:val="20"/>
                <w:szCs w:val="20"/>
              </w:rPr>
              <w:t>Artículo 18.-</w:t>
            </w:r>
            <w:r w:rsidRPr="009A27ED">
              <w:rPr>
                <w:sz w:val="20"/>
                <w:szCs w:val="20"/>
              </w:rPr>
              <w:t xml:space="preserve"> Recursos de Subcuenta. - Los recursos de la cuenta para el pago por servicios ambientales de los ecosistemas, </w:t>
            </w:r>
            <w:r w:rsidRPr="009A27ED">
              <w:rPr>
                <w:b/>
                <w:sz w:val="20"/>
                <w:szCs w:val="20"/>
              </w:rPr>
              <w:t>serán utilizados en un 85% a la aplicación del pago directo y a la compensación de los proveedores y el 15% restante podrá ser dedicado a cubrir costos operativos, de transacción y auditorías</w:t>
            </w:r>
            <w:r w:rsidRPr="009A27ED">
              <w:rPr>
                <w:sz w:val="20"/>
                <w:szCs w:val="20"/>
              </w:rPr>
              <w:t>, investigaciones, estudios técnicos, programas de educación e información ambiental.</w:t>
            </w:r>
          </w:p>
        </w:tc>
      </w:tr>
      <w:tr w:rsidR="00235386" w:rsidRPr="009A27ED" w14:paraId="17D9BA27" w14:textId="77777777" w:rsidTr="007723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30" w:type="dxa"/>
            <w:shd w:val="clear" w:color="auto" w:fill="auto"/>
          </w:tcPr>
          <w:p w14:paraId="41472081" w14:textId="77777777" w:rsidR="00235386" w:rsidRPr="009A27ED" w:rsidRDefault="00235386" w:rsidP="007723DC">
            <w:pPr>
              <w:rPr>
                <w:b w:val="0"/>
                <w:bCs w:val="0"/>
                <w:sz w:val="20"/>
                <w:szCs w:val="20"/>
              </w:rPr>
            </w:pPr>
          </w:p>
          <w:p w14:paraId="60B6C868" w14:textId="77777777" w:rsidR="00235386" w:rsidRPr="009A27ED" w:rsidRDefault="00235386" w:rsidP="007723DC">
            <w:pPr>
              <w:rPr>
                <w:sz w:val="20"/>
                <w:szCs w:val="20"/>
              </w:rPr>
            </w:pPr>
            <w:r w:rsidRPr="009A27ED">
              <w:rPr>
                <w:sz w:val="20"/>
                <w:szCs w:val="20"/>
              </w:rPr>
              <w:t>Ley No. 57-18, del 10 de diciembre del 2018, Sectorial Forestal</w:t>
            </w:r>
          </w:p>
          <w:p w14:paraId="5F332BED" w14:textId="77777777" w:rsidR="00235386" w:rsidRPr="009A27ED" w:rsidRDefault="00235386" w:rsidP="007723DC">
            <w:pPr>
              <w:rPr>
                <w:sz w:val="20"/>
                <w:szCs w:val="20"/>
              </w:rPr>
            </w:pPr>
          </w:p>
        </w:tc>
        <w:tc>
          <w:tcPr>
            <w:tcW w:w="7560" w:type="dxa"/>
            <w:shd w:val="clear" w:color="auto" w:fill="auto"/>
          </w:tcPr>
          <w:p w14:paraId="4928FD63" w14:textId="77777777" w:rsidR="00235386" w:rsidRPr="009A27ED" w:rsidRDefault="00235386" w:rsidP="007723DC">
            <w:pPr>
              <w:cnfStyle w:val="000000100000" w:firstRow="0" w:lastRow="0" w:firstColumn="0" w:lastColumn="0" w:oddVBand="0" w:evenVBand="0" w:oddHBand="1" w:evenHBand="0" w:firstRowFirstColumn="0" w:firstRowLastColumn="0" w:lastRowFirstColumn="0" w:lastRowLastColumn="0"/>
              <w:rPr>
                <w:rFonts w:eastAsia="MS Mincho"/>
                <w:b/>
                <w:sz w:val="20"/>
                <w:szCs w:val="20"/>
              </w:rPr>
            </w:pPr>
          </w:p>
          <w:p w14:paraId="448D9415" w14:textId="77777777" w:rsidR="00235386" w:rsidRPr="009A27ED" w:rsidRDefault="00235386" w:rsidP="007723DC">
            <w:pPr>
              <w:cnfStyle w:val="000000100000" w:firstRow="0" w:lastRow="0" w:firstColumn="0" w:lastColumn="0" w:oddVBand="0" w:evenVBand="0" w:oddHBand="1" w:evenHBand="0" w:firstRowFirstColumn="0" w:firstRowLastColumn="0" w:lastRowFirstColumn="0" w:lastRowLastColumn="0"/>
              <w:rPr>
                <w:rFonts w:eastAsia="MS Mincho"/>
                <w:sz w:val="20"/>
                <w:szCs w:val="20"/>
              </w:rPr>
            </w:pPr>
            <w:r w:rsidRPr="009A27ED">
              <w:rPr>
                <w:rFonts w:eastAsia="MS Mincho"/>
                <w:b/>
                <w:sz w:val="20"/>
                <w:szCs w:val="20"/>
              </w:rPr>
              <w:t>Artículo 2.-</w:t>
            </w:r>
            <w:r w:rsidRPr="009A27ED">
              <w:rPr>
                <w:rFonts w:eastAsia="MS Mincho"/>
                <w:sz w:val="20"/>
                <w:szCs w:val="20"/>
              </w:rPr>
              <w:t xml:space="preserve"> Objetivos específicos. Los fundamentos de la presente ley son:</w:t>
            </w:r>
          </w:p>
          <w:p w14:paraId="0676D0A9" w14:textId="77777777" w:rsidR="00235386" w:rsidRPr="009A27ED" w:rsidRDefault="00235386" w:rsidP="007723DC">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eastAsia="MS Mincho"/>
                <w:sz w:val="20"/>
                <w:szCs w:val="20"/>
              </w:rPr>
            </w:pPr>
            <w:r w:rsidRPr="009A27ED">
              <w:rPr>
                <w:rFonts w:eastAsia="MS Mincho"/>
                <w:sz w:val="20"/>
                <w:szCs w:val="20"/>
              </w:rPr>
              <w:t>2) Asegurar el ordenamiento, conservación y el manejo sostenible de los bosques para la obtención de los múltiples bienes y servicios que proporcionan dichos ecosistemas, incluyendo la regulación del régimen hídrico, protección de la biodiversidad, conservación de suelos, la adaptación y secuestro de carbono, producción de energía, entre otros.</w:t>
            </w:r>
          </w:p>
          <w:p w14:paraId="172F8D82" w14:textId="77777777" w:rsidR="00235386" w:rsidRPr="009A27ED" w:rsidRDefault="00235386" w:rsidP="007723DC">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eastAsia="MS Mincho"/>
                <w:sz w:val="20"/>
                <w:szCs w:val="20"/>
              </w:rPr>
            </w:pPr>
            <w:r w:rsidRPr="009A27ED">
              <w:rPr>
                <w:rFonts w:eastAsia="MS Mincho"/>
                <w:sz w:val="20"/>
                <w:szCs w:val="20"/>
              </w:rPr>
              <w:t>5) Valorar y compensar los servicios ambientales que prestan los bosques y las plantaciones forestales, como incentivo para su conservación y mejoramiento.</w:t>
            </w:r>
          </w:p>
          <w:p w14:paraId="16546ADA" w14:textId="77777777" w:rsidR="00235386" w:rsidRPr="009A27ED" w:rsidRDefault="00235386" w:rsidP="007723DC">
            <w:pPr>
              <w:cnfStyle w:val="000000100000" w:firstRow="0" w:lastRow="0" w:firstColumn="0" w:lastColumn="0" w:oddVBand="0" w:evenVBand="0" w:oddHBand="1" w:evenHBand="0" w:firstRowFirstColumn="0" w:firstRowLastColumn="0" w:lastRowFirstColumn="0" w:lastRowLastColumn="0"/>
              <w:rPr>
                <w:sz w:val="20"/>
                <w:szCs w:val="20"/>
              </w:rPr>
            </w:pPr>
            <w:r w:rsidRPr="009A27ED">
              <w:rPr>
                <w:rFonts w:eastAsia="MS Mincho"/>
                <w:b/>
                <w:sz w:val="20"/>
                <w:szCs w:val="20"/>
              </w:rPr>
              <w:t>Artículo 4.-</w:t>
            </w:r>
            <w:r w:rsidRPr="009A27ED">
              <w:rPr>
                <w:rFonts w:eastAsia="MS Mincho"/>
                <w:sz w:val="20"/>
                <w:szCs w:val="20"/>
              </w:rPr>
              <w:t xml:space="preserve"> Definiciones. Para los fines de la presente ley y su reglamento, se entenderá por:</w:t>
            </w:r>
          </w:p>
          <w:p w14:paraId="3F93F0A2" w14:textId="77777777" w:rsidR="00235386" w:rsidRPr="009A27ED" w:rsidRDefault="00235386" w:rsidP="007723DC">
            <w:pPr>
              <w:autoSpaceDE w:val="0"/>
              <w:autoSpaceDN w:val="0"/>
              <w:adjustRightInd w:val="0"/>
              <w:cnfStyle w:val="000000100000" w:firstRow="0" w:lastRow="0" w:firstColumn="0" w:lastColumn="0" w:oddVBand="0" w:evenVBand="0" w:oddHBand="1" w:evenHBand="0" w:firstRowFirstColumn="0" w:firstRowLastColumn="0" w:lastRowFirstColumn="0" w:lastRowLastColumn="0"/>
              <w:rPr>
                <w:sz w:val="20"/>
                <w:szCs w:val="20"/>
              </w:rPr>
            </w:pPr>
            <w:r w:rsidRPr="009A27ED">
              <w:rPr>
                <w:rFonts w:eastAsia="MS Mincho"/>
                <w:sz w:val="20"/>
                <w:szCs w:val="20"/>
              </w:rPr>
              <w:t xml:space="preserve">15) </w:t>
            </w:r>
            <w:r w:rsidRPr="009A27ED">
              <w:rPr>
                <w:rFonts w:eastAsia="MS Mincho"/>
                <w:b/>
                <w:bCs/>
                <w:sz w:val="20"/>
                <w:szCs w:val="20"/>
              </w:rPr>
              <w:t xml:space="preserve">Servicios ambientales: </w:t>
            </w:r>
            <w:r w:rsidRPr="009A27ED">
              <w:rPr>
                <w:rFonts w:eastAsia="MS Mincho"/>
                <w:sz w:val="20"/>
                <w:szCs w:val="20"/>
              </w:rPr>
              <w:t xml:space="preserve">Los que brinda el bosque natural, las plantaciones forestales y otros ecosistemas que inciden directamente en la protección y mejoramiento del ambiente y calidad de vida de la sociedad en general. Son los siguientes: Protección del suelo, </w:t>
            </w:r>
            <w:r w:rsidRPr="009A27ED">
              <w:rPr>
                <w:rFonts w:eastAsia="MS Mincho"/>
                <w:sz w:val="20"/>
                <w:szCs w:val="20"/>
              </w:rPr>
              <w:lastRenderedPageBreak/>
              <w:t xml:space="preserve">regulación del régimen </w:t>
            </w:r>
            <w:r w:rsidRPr="009A27ED">
              <w:rPr>
                <w:rFonts w:eastAsia="MS Mincho"/>
                <w:bCs/>
                <w:sz w:val="20"/>
                <w:szCs w:val="20"/>
              </w:rPr>
              <w:t>hídrico</w:t>
            </w:r>
            <w:r w:rsidRPr="009A27ED">
              <w:rPr>
                <w:rFonts w:eastAsia="MS Mincho"/>
                <w:b/>
                <w:bCs/>
                <w:sz w:val="20"/>
                <w:szCs w:val="20"/>
              </w:rPr>
              <w:t xml:space="preserve">, </w:t>
            </w:r>
            <w:r w:rsidRPr="009A27ED">
              <w:rPr>
                <w:rFonts w:eastAsia="MS Mincho"/>
                <w:sz w:val="20"/>
                <w:szCs w:val="20"/>
              </w:rPr>
              <w:t>protección de la biodiversidad, mantenimiento del paisaje y mitigación de emisiones de gases de efecto invernadero.</w:t>
            </w:r>
          </w:p>
          <w:p w14:paraId="29833C9D" w14:textId="77777777" w:rsidR="00235386" w:rsidRPr="009A27ED" w:rsidRDefault="00235386" w:rsidP="007723DC">
            <w:pPr>
              <w:cnfStyle w:val="000000100000" w:firstRow="0" w:lastRow="0" w:firstColumn="0" w:lastColumn="0" w:oddVBand="0" w:evenVBand="0" w:oddHBand="1" w:evenHBand="0" w:firstRowFirstColumn="0" w:firstRowLastColumn="0" w:lastRowFirstColumn="0" w:lastRowLastColumn="0"/>
              <w:rPr>
                <w:rFonts w:eastAsia="MS Mincho"/>
                <w:sz w:val="20"/>
                <w:szCs w:val="20"/>
              </w:rPr>
            </w:pPr>
            <w:r w:rsidRPr="009A27ED">
              <w:rPr>
                <w:rFonts w:eastAsia="MS Mincho"/>
                <w:b/>
                <w:sz w:val="20"/>
                <w:szCs w:val="20"/>
              </w:rPr>
              <w:t>Artículo 13.-</w:t>
            </w:r>
            <w:r w:rsidRPr="009A27ED">
              <w:rPr>
                <w:rFonts w:eastAsia="MS Mincho"/>
                <w:sz w:val="20"/>
                <w:szCs w:val="20"/>
              </w:rPr>
              <w:t xml:space="preserve"> Atribuciones. Le corresponde al Ministerio de Medio Ambiente y Recursos Naturales, sin perjuicio de las atribuciones que le asigna la ley que crea la Secretaría de Estado de Medio Ambiente y Recursos Naturales y otros instrumentos de gestión forestal emanados del Poder Ejecutivo, en materia de administración forestal:</w:t>
            </w:r>
          </w:p>
          <w:p w14:paraId="2AB90AA2" w14:textId="77777777" w:rsidR="00235386" w:rsidRPr="009A27ED" w:rsidRDefault="00235386" w:rsidP="007723DC">
            <w:pPr>
              <w:autoSpaceDE w:val="0"/>
              <w:autoSpaceDN w:val="0"/>
              <w:adjustRightInd w:val="0"/>
              <w:cnfStyle w:val="000000100000" w:firstRow="0" w:lastRow="0" w:firstColumn="0" w:lastColumn="0" w:oddVBand="0" w:evenVBand="0" w:oddHBand="1" w:evenHBand="0" w:firstRowFirstColumn="0" w:firstRowLastColumn="0" w:lastRowFirstColumn="0" w:lastRowLastColumn="0"/>
              <w:rPr>
                <w:sz w:val="20"/>
                <w:szCs w:val="20"/>
              </w:rPr>
            </w:pPr>
            <w:r w:rsidRPr="009A27ED">
              <w:rPr>
                <w:rFonts w:eastAsia="MS Mincho"/>
                <w:sz w:val="20"/>
                <w:szCs w:val="20"/>
              </w:rPr>
              <w:t>11) Normar y fomentar mecanismos de compensación y pago por servicios ambientales de los ecosistemas forestales.</w:t>
            </w:r>
          </w:p>
        </w:tc>
      </w:tr>
    </w:tbl>
    <w:p w14:paraId="16C720B8" w14:textId="77777777" w:rsidR="00235386" w:rsidRPr="009A27ED" w:rsidRDefault="00235386" w:rsidP="00235386">
      <w:pPr>
        <w:pStyle w:val="Default"/>
        <w:spacing w:after="120" w:line="360" w:lineRule="auto"/>
        <w:jc w:val="both"/>
        <w:rPr>
          <w:rFonts w:asciiTheme="minorHAnsi" w:hAnsiTheme="minorHAnsi"/>
          <w:bCs/>
          <w:iCs/>
          <w:sz w:val="22"/>
          <w:szCs w:val="22"/>
          <w:lang w:val="es-DO"/>
        </w:rPr>
      </w:pPr>
    </w:p>
    <w:p w14:paraId="703EEF4F" w14:textId="54FFA623" w:rsidR="00235386" w:rsidRPr="009A27ED" w:rsidRDefault="00235386" w:rsidP="003D6161">
      <w:pPr>
        <w:spacing w:after="0" w:line="360" w:lineRule="auto"/>
        <w:rPr>
          <w:szCs w:val="22"/>
        </w:rPr>
      </w:pPr>
      <w:r w:rsidRPr="009A27ED">
        <w:rPr>
          <w:rFonts w:ascii="Times New Roman" w:eastAsia="Times New Roman" w:hAnsi="Times New Roman"/>
          <w:sz w:val="24"/>
          <w:szCs w:val="22"/>
        </w:rPr>
        <w:t xml:space="preserve">Con relación a las transacciones y transferencias de </w:t>
      </w:r>
      <w:proofErr w:type="spellStart"/>
      <w:r w:rsidRPr="009A27ED">
        <w:rPr>
          <w:rFonts w:ascii="Times New Roman" w:eastAsia="Times New Roman" w:hAnsi="Times New Roman"/>
          <w:sz w:val="24"/>
          <w:szCs w:val="22"/>
        </w:rPr>
        <w:t>ERs</w:t>
      </w:r>
      <w:proofErr w:type="spellEnd"/>
      <w:r w:rsidRPr="009A27ED">
        <w:rPr>
          <w:rFonts w:ascii="Times New Roman" w:eastAsia="Times New Roman" w:hAnsi="Times New Roman"/>
          <w:sz w:val="24"/>
          <w:szCs w:val="22"/>
        </w:rPr>
        <w:t xml:space="preserve"> se propone una competencia mixta entre el Ministerio de Ambiente y el Ministerio de Hacienda para realizar transacciones y transferir títulos de reducción de emisiones. El Ministerio de Ambiente tendrá la función específica de realizar la evaluación técnica, así como la determinación de los beneficiarios y usufructuarios legales en el marco PDB. Además, será la entidad encargada de transferir los títulos de reducción de emisiones al FCPF. Por otro lado, el Ministerio de Hacienda, tendrá la atribución de firmar el ERPA, así como asignar los recursos monetarios a los fondos de distribución o entidad fiduciaria designada.</w:t>
      </w:r>
    </w:p>
    <w:p w14:paraId="6E956354" w14:textId="77777777" w:rsidR="003D6161" w:rsidRPr="009A27ED" w:rsidRDefault="003D6161" w:rsidP="003D6161">
      <w:pPr>
        <w:spacing w:after="0" w:line="360" w:lineRule="auto"/>
        <w:rPr>
          <w:szCs w:val="22"/>
        </w:rPr>
      </w:pPr>
    </w:p>
    <w:p w14:paraId="396F99F1" w14:textId="74108CD1" w:rsidR="00235386" w:rsidRPr="009A27ED" w:rsidRDefault="00235386" w:rsidP="003D6161">
      <w:pPr>
        <w:spacing w:after="0" w:line="360" w:lineRule="auto"/>
        <w:rPr>
          <w:szCs w:val="22"/>
        </w:rPr>
      </w:pPr>
      <w:r w:rsidRPr="009A27ED">
        <w:rPr>
          <w:rFonts w:ascii="Times New Roman" w:eastAsia="Times New Roman" w:hAnsi="Times New Roman"/>
          <w:sz w:val="24"/>
          <w:szCs w:val="22"/>
        </w:rPr>
        <w:t xml:space="preserve">La República Dominicana identificó las instituciones gubernamentales y EE que fungirán como órganos para la implementación del programa y que servirán como canales para distribuir los beneficios en la forma de pagos por resultados hacia los beneficiarios finales y que serán recibidos del FCPF. Para esto, el PDB prevé dentro de sus niveles de distribución la transferencia de pagos que se realizará, en primera instancia a la Cuenta Única del Tesoro, administrada por el Ministerio de Hacienda, quién a su vez asignará los recursos monetarios a un fondo de distribución o entidad fiduciaria designada, la que realizará la transferencia a las EE del programa. </w:t>
      </w:r>
    </w:p>
    <w:p w14:paraId="39F71F25" w14:textId="77777777" w:rsidR="003D6161" w:rsidRPr="009A27ED" w:rsidRDefault="003D6161" w:rsidP="003D6161">
      <w:pPr>
        <w:spacing w:after="0" w:line="360" w:lineRule="auto"/>
        <w:rPr>
          <w:szCs w:val="22"/>
        </w:rPr>
      </w:pPr>
    </w:p>
    <w:p w14:paraId="0971904A" w14:textId="58729399" w:rsidR="00235386" w:rsidRPr="009A27ED" w:rsidRDefault="00235386" w:rsidP="003D6161">
      <w:pPr>
        <w:spacing w:after="0" w:line="360" w:lineRule="auto"/>
        <w:rPr>
          <w:szCs w:val="22"/>
        </w:rPr>
      </w:pPr>
      <w:r w:rsidRPr="009A27ED">
        <w:rPr>
          <w:rFonts w:ascii="Times New Roman" w:eastAsia="Times New Roman" w:hAnsi="Times New Roman"/>
          <w:sz w:val="24"/>
          <w:szCs w:val="22"/>
        </w:rPr>
        <w:t>La transferencia de los fondos para el pago por resultados provenientes del FCPF dependerá de la determinación de las capacidades y competencias institucionales nacionales para realizar transacciones y transferir títulos de reducción de emisiones, de la evaluación e identificación de los beneficiarios dentro del PDB, así como de la designación del órgano o entidad que tendrá la atribución de suscribir el ERPA.</w:t>
      </w:r>
    </w:p>
    <w:p w14:paraId="3E954786" w14:textId="43657CF7" w:rsidR="003D6161" w:rsidRPr="009A27ED" w:rsidRDefault="003D6161" w:rsidP="003D6161">
      <w:pPr>
        <w:spacing w:after="0" w:line="360" w:lineRule="auto"/>
        <w:rPr>
          <w:szCs w:val="22"/>
        </w:rPr>
      </w:pPr>
    </w:p>
    <w:p w14:paraId="0E68890D" w14:textId="62857AC7" w:rsidR="003D6161" w:rsidRPr="009A27ED" w:rsidRDefault="00235386" w:rsidP="003D6161">
      <w:pPr>
        <w:spacing w:after="0" w:line="360" w:lineRule="auto"/>
        <w:rPr>
          <w:szCs w:val="22"/>
        </w:rPr>
      </w:pPr>
      <w:r w:rsidRPr="009A27ED">
        <w:rPr>
          <w:rFonts w:ascii="Times New Roman" w:eastAsia="Times New Roman" w:hAnsi="Times New Roman"/>
          <w:sz w:val="24"/>
          <w:szCs w:val="22"/>
        </w:rPr>
        <w:t xml:space="preserve">La reafirmación de estas capacidades y competencias para realizar estas transacciones se hará mediante una </w:t>
      </w:r>
      <w:r w:rsidRPr="009A27ED">
        <w:rPr>
          <w:rFonts w:ascii="Times New Roman" w:eastAsia="Times New Roman" w:hAnsi="Times New Roman"/>
          <w:i/>
          <w:sz w:val="24"/>
          <w:szCs w:val="22"/>
        </w:rPr>
        <w:t xml:space="preserve">“Declaración Conjunta para Reafirmar las Competencias Institucionales, a los fines de realizar Transacciones y Transferir Títulos de Reducción de Emisiones y Suscribir un Acuerdo de Pago por </w:t>
      </w:r>
      <w:r w:rsidRPr="009A27ED">
        <w:rPr>
          <w:rFonts w:ascii="Times New Roman" w:eastAsia="Times New Roman" w:hAnsi="Times New Roman"/>
          <w:i/>
          <w:sz w:val="24"/>
          <w:szCs w:val="22"/>
        </w:rPr>
        <w:lastRenderedPageBreak/>
        <w:t>Reducción de Emisiones (ERPA)”</w:t>
      </w:r>
      <w:r w:rsidRPr="009A27ED">
        <w:rPr>
          <w:rFonts w:ascii="Times New Roman" w:eastAsia="Times New Roman" w:hAnsi="Times New Roman"/>
          <w:sz w:val="24"/>
          <w:szCs w:val="22"/>
        </w:rPr>
        <w:t xml:space="preserve">. Este documento permite a las partes firmantes (Ministerio de Medio Ambiente y Recursos Naturales, Ministerio de Economía, Planificación y Desarrollo, Ministerio de Agricultura y Ministerio de Hacienda) confirmar sus obligaciones y responsabilidades para dar cumplimiento al Criterio 36 del Marco Metodológico del FCPF relativo a la capacidad y competencia de la Entidad del Programa de Reducción de Emisiones facultada para suscribir un ERPA y su capacidad para transferir la titularidad de las </w:t>
      </w:r>
      <w:proofErr w:type="spellStart"/>
      <w:r w:rsidRPr="009A27ED">
        <w:rPr>
          <w:rFonts w:ascii="Times New Roman" w:eastAsia="Times New Roman" w:hAnsi="Times New Roman"/>
          <w:sz w:val="24"/>
          <w:szCs w:val="22"/>
        </w:rPr>
        <w:t>ERs</w:t>
      </w:r>
      <w:proofErr w:type="spellEnd"/>
      <w:r w:rsidRPr="009A27ED">
        <w:rPr>
          <w:rFonts w:ascii="Times New Roman" w:eastAsia="Times New Roman" w:hAnsi="Times New Roman"/>
          <w:sz w:val="24"/>
          <w:szCs w:val="22"/>
        </w:rPr>
        <w:t xml:space="preserve">. </w:t>
      </w:r>
    </w:p>
    <w:p w14:paraId="399948B6" w14:textId="489D08DE" w:rsidR="00651BA7" w:rsidRPr="009A27ED" w:rsidRDefault="00651BA7" w:rsidP="003D6161">
      <w:pPr>
        <w:spacing w:after="0" w:line="360" w:lineRule="auto"/>
        <w:rPr>
          <w:szCs w:val="22"/>
        </w:rPr>
      </w:pPr>
    </w:p>
    <w:p w14:paraId="488736B9" w14:textId="7F77647F" w:rsidR="00651BA7" w:rsidRPr="009A27ED" w:rsidRDefault="00703EB9" w:rsidP="003D6161">
      <w:pPr>
        <w:spacing w:after="0" w:line="360" w:lineRule="auto"/>
        <w:rPr>
          <w:szCs w:val="22"/>
        </w:rPr>
      </w:pPr>
      <w:r w:rsidRPr="009A27ED">
        <w:rPr>
          <w:rFonts w:ascii="Times New Roman" w:eastAsia="Times New Roman" w:hAnsi="Times New Roman"/>
          <w:noProof/>
          <w:sz w:val="24"/>
        </w:rPr>
        <mc:AlternateContent>
          <mc:Choice Requires="wps">
            <w:drawing>
              <wp:anchor distT="0" distB="0" distL="114300" distR="114300" simplePos="0" relativeHeight="251784192" behindDoc="0" locked="0" layoutInCell="1" allowOverlap="1" wp14:anchorId="2257530D" wp14:editId="7B91B13E">
                <wp:simplePos x="0" y="0"/>
                <wp:positionH relativeFrom="column">
                  <wp:posOffset>-114300</wp:posOffset>
                </wp:positionH>
                <wp:positionV relativeFrom="paragraph">
                  <wp:posOffset>3628390</wp:posOffset>
                </wp:positionV>
                <wp:extent cx="6306185" cy="635"/>
                <wp:effectExtent l="0" t="0" r="0" b="0"/>
                <wp:wrapNone/>
                <wp:docPr id="11" name="Cuadro de texto 11"/>
                <wp:cNvGraphicFramePr/>
                <a:graphic xmlns:a="http://schemas.openxmlformats.org/drawingml/2006/main">
                  <a:graphicData uri="http://schemas.microsoft.com/office/word/2010/wordprocessingShape">
                    <wps:wsp>
                      <wps:cNvSpPr txBox="1"/>
                      <wps:spPr>
                        <a:xfrm>
                          <a:off x="0" y="0"/>
                          <a:ext cx="6306185" cy="635"/>
                        </a:xfrm>
                        <a:prstGeom prst="rect">
                          <a:avLst/>
                        </a:prstGeom>
                        <a:solidFill>
                          <a:prstClr val="white"/>
                        </a:solidFill>
                        <a:ln>
                          <a:noFill/>
                        </a:ln>
                      </wps:spPr>
                      <wps:txbx>
                        <w:txbxContent>
                          <w:p w14:paraId="78FF9155" w14:textId="054530DA" w:rsidR="00703EB9" w:rsidRPr="00F70B27" w:rsidRDefault="00703EB9" w:rsidP="00703EB9">
                            <w:pPr>
                              <w:pStyle w:val="Descripcin"/>
                              <w:rPr>
                                <w:noProof/>
                              </w:rPr>
                            </w:pPr>
                            <w:bookmarkStart w:id="633" w:name="_Toc111889898"/>
                            <w:r>
                              <w:t xml:space="preserve">Esquema  </w:t>
                            </w:r>
                            <w:r>
                              <w:fldChar w:fldCharType="begin"/>
                            </w:r>
                            <w:r>
                              <w:instrText xml:space="preserve"> SEQ Esquema_ \* ARABIC </w:instrText>
                            </w:r>
                            <w:r>
                              <w:fldChar w:fldCharType="separate"/>
                            </w:r>
                            <w:r>
                              <w:rPr>
                                <w:noProof/>
                              </w:rPr>
                              <w:t>10</w:t>
                            </w:r>
                            <w:r>
                              <w:fldChar w:fldCharType="end"/>
                            </w:r>
                            <w:r>
                              <w:t>.</w:t>
                            </w:r>
                            <w:r w:rsidRPr="00703EB9">
                              <w:t xml:space="preserve">  Flujo de beneficios y procesos de toma de decisiones para la distribución de beneficios</w:t>
                            </w:r>
                            <w:bookmarkEnd w:id="633"/>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257530D" id="Cuadro de texto 11" o:spid="_x0000_s1028" type="#_x0000_t202" style="position:absolute;left:0;text-align:left;margin-left:-9pt;margin-top:285.7pt;width:496.55pt;height:.05pt;z-index:251784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2ImMwIAAG0EAAAOAAAAZHJzL2Uyb0RvYy54bWysVMFu2zAMvQ/YPwi6L05SNCiMOEWWIsOA&#10;oC2QDj0rshwbkESNUmJnXz9KttOt22nYRaZIitJ7j/TyvjOanRX6BmzBZ5MpZ8pKKBt7LPi3l+2n&#10;O858ELYUGqwq+EV5fr/6+GHZulzNoQZdKmRUxPq8dQWvQ3B5lnlZKyP8BJyyFKwAjQi0xWNWomip&#10;utHZfDpdZC1g6RCk8p68D32Qr1L9qlIyPFWVV4HpgtPbQloxrYe4ZqulyI8oXN3I4RniH15hRGPp&#10;0mupBxEEO2HzRynTSAQPVZhIMBlUVSNVwkBoZtN3aPa1cCphIXK8u9Lk/19Z+Xh+RtaUpN2MMysM&#10;abQ5iRKBlYoF1QVgFCGaWudzyt47yg/dZ+joyOj35IzouwpN/BIuRnEi/HIlmUoxSc7FzXQxu7vl&#10;TFJscXMba2RvRx368EWBYdEoOJKCiVhx3vnQp44p8SYPuim3jdZxEwMbjewsSO22boIaiv+WpW3M&#10;tRBP9QWjJ4v4ehzRCt2hS7TMR4wHKC8EHaHvIe/ktqH7dsKHZ4HUNISWBiE80VJpaAsOg8VZDfjj&#10;b/6YT1pSlLOWmrDg/vtJoOJMf7WkcuzY0cDROIyGPZkNEFISjl6TTDqAQY9mhWBeaT7W8RYKCSvp&#10;roKH0dyEfhRovqRar1MS9aUTYWf3TsbSI68v3atAN6gS++IRxvYU+Ttx+twkj1ufAjGdlIu89iwO&#10;dFNPJ+2H+YtD8+s+Zb39JVY/AQAA//8DAFBLAwQUAAYACAAAACEAe4CyueIAAAALAQAADwAAAGRy&#10;cy9kb3ducmV2LnhtbEyPwU7DMBBE70j8g7VIXFDrBJK2hDhVVcEBLhWhF25uvI0D8TqynTb8PYYL&#10;HGdnNPumXE+mZyd0vrMkIJ0nwJAaqzpqBezfnmYrYD5IUrK3hAK+0MO6urwoZaHsmV7xVIeWxRLy&#10;hRSgQxgKzn2j0Ug/twNS9I7WGRmidC1XTp5juen5bZIsuJEdxQ9aDrjV2HzWoxGwy953+mY8Pr5s&#10;sjv3vB+3i4+2FuL6ato8AAs4hb8w/OBHdKgi08GOpDzrBczSVdwSBOTLNAMWE/fLPAV2+L3kwKuS&#10;/99QfQMAAP//AwBQSwECLQAUAAYACAAAACEAtoM4kv4AAADhAQAAEwAAAAAAAAAAAAAAAAAAAAAA&#10;W0NvbnRlbnRfVHlwZXNdLnhtbFBLAQItABQABgAIAAAAIQA4/SH/1gAAAJQBAAALAAAAAAAAAAAA&#10;AAAAAC8BAABfcmVscy8ucmVsc1BLAQItABQABgAIAAAAIQBiT2ImMwIAAG0EAAAOAAAAAAAAAAAA&#10;AAAAAC4CAABkcnMvZTJvRG9jLnhtbFBLAQItABQABgAIAAAAIQB7gLK54gAAAAsBAAAPAAAAAAAA&#10;AAAAAAAAAI0EAABkcnMvZG93bnJldi54bWxQSwUGAAAAAAQABADzAAAAnAUAAAAA&#10;" stroked="f">
                <v:textbox style="mso-fit-shape-to-text:t" inset="0,0,0,0">
                  <w:txbxContent>
                    <w:p w14:paraId="78FF9155" w14:textId="054530DA" w:rsidR="00703EB9" w:rsidRPr="00F70B27" w:rsidRDefault="00703EB9" w:rsidP="00703EB9">
                      <w:pPr>
                        <w:pStyle w:val="Descripcin"/>
                        <w:rPr>
                          <w:noProof/>
                        </w:rPr>
                      </w:pPr>
                      <w:bookmarkStart w:id="678" w:name="_Toc111889898"/>
                      <w:r>
                        <w:t xml:space="preserve">Esquema  </w:t>
                      </w:r>
                      <w:r>
                        <w:fldChar w:fldCharType="begin"/>
                      </w:r>
                      <w:r>
                        <w:instrText xml:space="preserve"> SEQ Esquema_ \* ARABIC </w:instrText>
                      </w:r>
                      <w:r>
                        <w:fldChar w:fldCharType="separate"/>
                      </w:r>
                      <w:r>
                        <w:rPr>
                          <w:noProof/>
                        </w:rPr>
                        <w:t>10</w:t>
                      </w:r>
                      <w:r>
                        <w:fldChar w:fldCharType="end"/>
                      </w:r>
                      <w:r>
                        <w:t>.</w:t>
                      </w:r>
                      <w:r w:rsidRPr="00703EB9">
                        <w:t xml:space="preserve">  Flujo de beneficios y procesos de toma de decisiones para la distribución de beneficios</w:t>
                      </w:r>
                      <w:bookmarkEnd w:id="678"/>
                    </w:p>
                  </w:txbxContent>
                </v:textbox>
              </v:shape>
            </w:pict>
          </mc:Fallback>
        </mc:AlternateContent>
      </w:r>
      <w:r w:rsidR="00651BA7" w:rsidRPr="009A27ED">
        <w:rPr>
          <w:rFonts w:ascii="Times New Roman" w:eastAsia="Times New Roman" w:hAnsi="Times New Roman"/>
          <w:noProof/>
          <w:sz w:val="24"/>
          <w:szCs w:val="22"/>
          <w:lang w:val="en-US"/>
        </w:rPr>
        <w:drawing>
          <wp:anchor distT="0" distB="0" distL="114300" distR="114300" simplePos="0" relativeHeight="251667456" behindDoc="0" locked="0" layoutInCell="1" allowOverlap="1" wp14:anchorId="6B444E10" wp14:editId="3E793583">
            <wp:simplePos x="0" y="0"/>
            <wp:positionH relativeFrom="column">
              <wp:posOffset>-114300</wp:posOffset>
            </wp:positionH>
            <wp:positionV relativeFrom="paragraph">
              <wp:posOffset>24130</wp:posOffset>
            </wp:positionV>
            <wp:extent cx="6306185" cy="3547110"/>
            <wp:effectExtent l="0" t="0" r="0" b="8890"/>
            <wp:wrapNone/>
            <wp:docPr id="44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6306185" cy="35471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64B316D" w14:textId="7A0860FE" w:rsidR="00651BA7" w:rsidRPr="009A27ED" w:rsidRDefault="00651BA7" w:rsidP="003D6161">
      <w:pPr>
        <w:spacing w:after="0" w:line="360" w:lineRule="auto"/>
        <w:rPr>
          <w:szCs w:val="22"/>
        </w:rPr>
      </w:pPr>
    </w:p>
    <w:p w14:paraId="50127766" w14:textId="0C316541" w:rsidR="003D6161" w:rsidRPr="009A27ED" w:rsidRDefault="003D6161" w:rsidP="003D6161">
      <w:pPr>
        <w:spacing w:after="0" w:line="360" w:lineRule="auto"/>
        <w:rPr>
          <w:szCs w:val="22"/>
        </w:rPr>
      </w:pPr>
    </w:p>
    <w:p w14:paraId="5BF1A9C2" w14:textId="129A8A48" w:rsidR="00651BA7" w:rsidRPr="009A27ED" w:rsidRDefault="00651BA7" w:rsidP="003D6161">
      <w:pPr>
        <w:spacing w:after="0" w:line="360" w:lineRule="auto"/>
        <w:rPr>
          <w:szCs w:val="22"/>
        </w:rPr>
      </w:pPr>
    </w:p>
    <w:p w14:paraId="610A64CC" w14:textId="2BE6943B" w:rsidR="00651BA7" w:rsidRPr="009A27ED" w:rsidRDefault="00651BA7" w:rsidP="003D6161">
      <w:pPr>
        <w:spacing w:after="0" w:line="360" w:lineRule="auto"/>
        <w:rPr>
          <w:szCs w:val="22"/>
        </w:rPr>
      </w:pPr>
    </w:p>
    <w:p w14:paraId="69BCD826" w14:textId="5411D12F" w:rsidR="003D6161" w:rsidRPr="009A27ED" w:rsidRDefault="003D6161" w:rsidP="003D6161">
      <w:pPr>
        <w:spacing w:after="0" w:line="360" w:lineRule="auto"/>
        <w:rPr>
          <w:szCs w:val="22"/>
        </w:rPr>
      </w:pPr>
    </w:p>
    <w:p w14:paraId="2B12BD2C" w14:textId="77777777" w:rsidR="00651BA7" w:rsidRPr="009A27ED" w:rsidRDefault="00651BA7" w:rsidP="003D6161">
      <w:pPr>
        <w:spacing w:after="0" w:line="360" w:lineRule="auto"/>
        <w:rPr>
          <w:szCs w:val="22"/>
        </w:rPr>
      </w:pPr>
    </w:p>
    <w:p w14:paraId="08F00F5D" w14:textId="77777777" w:rsidR="00651BA7" w:rsidRPr="009A27ED" w:rsidRDefault="00651BA7" w:rsidP="003D6161">
      <w:pPr>
        <w:spacing w:after="0" w:line="360" w:lineRule="auto"/>
        <w:rPr>
          <w:szCs w:val="22"/>
        </w:rPr>
      </w:pPr>
    </w:p>
    <w:p w14:paraId="7C8A161C" w14:textId="77777777" w:rsidR="00651BA7" w:rsidRPr="009A27ED" w:rsidRDefault="00651BA7" w:rsidP="003D6161">
      <w:pPr>
        <w:spacing w:after="0" w:line="360" w:lineRule="auto"/>
        <w:rPr>
          <w:szCs w:val="22"/>
        </w:rPr>
      </w:pPr>
    </w:p>
    <w:p w14:paraId="587F1A45" w14:textId="77777777" w:rsidR="00651BA7" w:rsidRPr="009A27ED" w:rsidRDefault="00651BA7" w:rsidP="003D6161">
      <w:pPr>
        <w:spacing w:after="0" w:line="360" w:lineRule="auto"/>
        <w:rPr>
          <w:szCs w:val="22"/>
        </w:rPr>
      </w:pPr>
    </w:p>
    <w:p w14:paraId="1F1FAAB3" w14:textId="77777777" w:rsidR="00651BA7" w:rsidRPr="009A27ED" w:rsidRDefault="00651BA7" w:rsidP="003D6161">
      <w:pPr>
        <w:spacing w:after="0" w:line="360" w:lineRule="auto"/>
        <w:rPr>
          <w:szCs w:val="22"/>
        </w:rPr>
      </w:pPr>
    </w:p>
    <w:p w14:paraId="1CE46281" w14:textId="77777777" w:rsidR="00651BA7" w:rsidRPr="009A27ED" w:rsidRDefault="00651BA7" w:rsidP="003D6161">
      <w:pPr>
        <w:spacing w:after="0" w:line="360" w:lineRule="auto"/>
        <w:rPr>
          <w:szCs w:val="22"/>
        </w:rPr>
      </w:pPr>
    </w:p>
    <w:p w14:paraId="00A3C1AA" w14:textId="77777777" w:rsidR="00651BA7" w:rsidRPr="009A27ED" w:rsidRDefault="00651BA7" w:rsidP="003D6161">
      <w:pPr>
        <w:spacing w:after="0" w:line="360" w:lineRule="auto"/>
        <w:rPr>
          <w:szCs w:val="22"/>
        </w:rPr>
      </w:pPr>
    </w:p>
    <w:p w14:paraId="25493F39" w14:textId="77777777" w:rsidR="00651BA7" w:rsidRPr="009A27ED" w:rsidRDefault="00651BA7" w:rsidP="003D6161">
      <w:pPr>
        <w:spacing w:after="0" w:line="360" w:lineRule="auto"/>
        <w:rPr>
          <w:szCs w:val="22"/>
        </w:rPr>
      </w:pPr>
    </w:p>
    <w:p w14:paraId="060B247C" w14:textId="77777777" w:rsidR="00651BA7" w:rsidRPr="009A27ED" w:rsidRDefault="00651BA7" w:rsidP="003D6161">
      <w:pPr>
        <w:spacing w:after="0" w:line="360" w:lineRule="auto"/>
        <w:rPr>
          <w:szCs w:val="22"/>
        </w:rPr>
      </w:pPr>
    </w:p>
    <w:p w14:paraId="74835F8E" w14:textId="77777777" w:rsidR="00651BA7" w:rsidRPr="009A27ED" w:rsidRDefault="00651BA7" w:rsidP="003D6161">
      <w:pPr>
        <w:spacing w:after="0" w:line="360" w:lineRule="auto"/>
        <w:rPr>
          <w:szCs w:val="22"/>
        </w:rPr>
      </w:pPr>
    </w:p>
    <w:p w14:paraId="6464E0C4" w14:textId="77777777" w:rsidR="00651BA7" w:rsidRPr="009A27ED" w:rsidRDefault="00651BA7" w:rsidP="003D6161">
      <w:pPr>
        <w:spacing w:after="0" w:line="360" w:lineRule="auto"/>
        <w:rPr>
          <w:szCs w:val="22"/>
        </w:rPr>
      </w:pPr>
    </w:p>
    <w:p w14:paraId="4B6115AE" w14:textId="77777777" w:rsidR="003D6161" w:rsidRPr="009A27ED" w:rsidRDefault="003D6161" w:rsidP="003D6161">
      <w:pPr>
        <w:spacing w:after="0" w:line="360" w:lineRule="auto"/>
        <w:rPr>
          <w:szCs w:val="22"/>
        </w:rPr>
      </w:pPr>
    </w:p>
    <w:p w14:paraId="2D8B1DB5" w14:textId="77777777" w:rsidR="00235386" w:rsidRPr="009A27ED" w:rsidRDefault="00235386" w:rsidP="00235386">
      <w:pPr>
        <w:pStyle w:val="Descripcin"/>
        <w:spacing w:line="360" w:lineRule="auto"/>
        <w:ind w:left="360"/>
        <w:rPr>
          <w:rFonts w:cstheme="minorBidi"/>
          <w:bCs/>
          <w:color w:val="auto"/>
          <w:sz w:val="22"/>
          <w:szCs w:val="22"/>
        </w:rPr>
      </w:pPr>
    </w:p>
    <w:p w14:paraId="1FC86D5B" w14:textId="35C414C3" w:rsidR="00235386" w:rsidRPr="009A27ED" w:rsidRDefault="00235386" w:rsidP="00C71AD3">
      <w:pPr>
        <w:spacing w:line="360" w:lineRule="auto"/>
        <w:ind w:left="360"/>
        <w:rPr>
          <w:szCs w:val="22"/>
        </w:rPr>
      </w:pPr>
      <w:bookmarkStart w:id="634" w:name="_Toc17233293"/>
      <w:bookmarkStart w:id="635" w:name="_Toc17275003"/>
      <w:bookmarkStart w:id="636" w:name="_Toc17275082"/>
      <w:bookmarkStart w:id="637" w:name="_Toc17298573"/>
      <w:bookmarkStart w:id="638" w:name="_Toc17303903"/>
      <w:bookmarkStart w:id="639" w:name="_Toc17304842"/>
      <w:bookmarkStart w:id="640" w:name="_Toc19349773"/>
      <w:bookmarkStart w:id="641" w:name="_Toc19349833"/>
      <w:bookmarkStart w:id="642" w:name="_Toc19873384"/>
      <w:bookmarkEnd w:id="634"/>
      <w:bookmarkEnd w:id="635"/>
      <w:bookmarkEnd w:id="636"/>
      <w:bookmarkEnd w:id="637"/>
      <w:bookmarkEnd w:id="638"/>
      <w:bookmarkEnd w:id="639"/>
      <w:bookmarkEnd w:id="640"/>
      <w:bookmarkEnd w:id="641"/>
      <w:bookmarkEnd w:id="642"/>
    </w:p>
    <w:p w14:paraId="4E3BB03D" w14:textId="77777777" w:rsidR="00703EB9" w:rsidRPr="009A27ED" w:rsidRDefault="00703EB9" w:rsidP="0095692C">
      <w:pPr>
        <w:pStyle w:val="Descripcin"/>
        <w:spacing w:line="360" w:lineRule="auto"/>
        <w:ind w:left="360"/>
        <w:rPr>
          <w:sz w:val="20"/>
          <w:szCs w:val="22"/>
        </w:rPr>
      </w:pPr>
      <w:bookmarkStart w:id="643" w:name="_Toc19873385"/>
    </w:p>
    <w:p w14:paraId="03DD7FED" w14:textId="505A4312" w:rsidR="00C71AD3" w:rsidRPr="009A27ED" w:rsidRDefault="00E8520F" w:rsidP="001B5C07">
      <w:pPr>
        <w:pStyle w:val="Ttulo2"/>
        <w:numPr>
          <w:ilvl w:val="0"/>
          <w:numId w:val="0"/>
        </w:numPr>
        <w:spacing w:line="360" w:lineRule="auto"/>
        <w:ind w:left="1134" w:firstLine="9"/>
        <w:jc w:val="both"/>
      </w:pPr>
      <w:bookmarkStart w:id="644" w:name="_Toc111838010"/>
      <w:r w:rsidRPr="009A27ED">
        <w:rPr>
          <w:rFonts w:ascii="Times New Roman" w:eastAsia="Times New Roman" w:hAnsi="Times New Roman"/>
          <w:sz w:val="24"/>
        </w:rPr>
        <w:t>13.4 Tipos</w:t>
      </w:r>
      <w:r w:rsidR="00235386" w:rsidRPr="009A27ED">
        <w:rPr>
          <w:rFonts w:ascii="Times New Roman" w:eastAsia="Times New Roman" w:hAnsi="Times New Roman"/>
          <w:sz w:val="24"/>
        </w:rPr>
        <w:t xml:space="preserve"> de beneficios</w:t>
      </w:r>
      <w:bookmarkEnd w:id="643"/>
      <w:bookmarkEnd w:id="644"/>
    </w:p>
    <w:p w14:paraId="1FEAC2CD" w14:textId="3E5D48F8" w:rsidR="00235386" w:rsidRPr="009A27ED" w:rsidRDefault="00235386" w:rsidP="00C71AD3">
      <w:pPr>
        <w:spacing w:after="0" w:line="360" w:lineRule="auto"/>
        <w:ind w:left="360"/>
        <w:rPr>
          <w:szCs w:val="22"/>
        </w:rPr>
      </w:pPr>
      <w:r w:rsidRPr="009A27ED">
        <w:rPr>
          <w:rFonts w:ascii="Times New Roman" w:eastAsia="Times New Roman" w:hAnsi="Times New Roman"/>
          <w:sz w:val="24"/>
          <w:szCs w:val="22"/>
        </w:rPr>
        <w:t xml:space="preserve">La implementación del </w:t>
      </w:r>
      <w:r w:rsidR="00124B63" w:rsidRPr="009A27ED">
        <w:rPr>
          <w:rFonts w:ascii="Times New Roman" w:eastAsia="Times New Roman" w:hAnsi="Times New Roman"/>
          <w:sz w:val="24"/>
          <w:szCs w:val="22"/>
        </w:rPr>
        <w:t>Programa REDD</w:t>
      </w:r>
      <w:r w:rsidR="001920C0" w:rsidRPr="009A27ED">
        <w:rPr>
          <w:rFonts w:ascii="Times New Roman" w:eastAsia="Times New Roman" w:hAnsi="Times New Roman"/>
          <w:sz w:val="24"/>
          <w:szCs w:val="22"/>
        </w:rPr>
        <w:t>+</w:t>
      </w:r>
      <w:r w:rsidR="001B6C5C" w:rsidRPr="009A27ED">
        <w:rPr>
          <w:rFonts w:ascii="Times New Roman" w:eastAsia="Times New Roman" w:hAnsi="Times New Roman"/>
          <w:sz w:val="24"/>
          <w:szCs w:val="22"/>
        </w:rPr>
        <w:t xml:space="preserve"> </w:t>
      </w:r>
      <w:r w:rsidRPr="009A27ED">
        <w:rPr>
          <w:rFonts w:ascii="Times New Roman" w:eastAsia="Times New Roman" w:hAnsi="Times New Roman"/>
          <w:sz w:val="24"/>
          <w:szCs w:val="22"/>
        </w:rPr>
        <w:t xml:space="preserve">generará dos tipos de beneficios: 1). Beneficios de carbono y 2). Beneficios no carbono, también referidos como </w:t>
      </w:r>
      <w:proofErr w:type="spellStart"/>
      <w:r w:rsidRPr="009A27ED">
        <w:rPr>
          <w:rFonts w:ascii="Times New Roman" w:eastAsia="Times New Roman" w:hAnsi="Times New Roman"/>
          <w:sz w:val="24"/>
          <w:szCs w:val="22"/>
        </w:rPr>
        <w:t>co-beneficios</w:t>
      </w:r>
      <w:proofErr w:type="spellEnd"/>
      <w:r w:rsidRPr="009A27ED">
        <w:rPr>
          <w:rFonts w:ascii="Times New Roman" w:eastAsia="Times New Roman" w:hAnsi="Times New Roman"/>
          <w:sz w:val="24"/>
          <w:szCs w:val="22"/>
        </w:rPr>
        <w:t>.</w:t>
      </w:r>
    </w:p>
    <w:p w14:paraId="34051077" w14:textId="77777777" w:rsidR="00C71AD3" w:rsidRPr="009A27ED" w:rsidRDefault="00C71AD3" w:rsidP="00C71AD3">
      <w:pPr>
        <w:spacing w:after="0" w:line="360" w:lineRule="auto"/>
        <w:ind w:left="360"/>
        <w:rPr>
          <w:szCs w:val="22"/>
        </w:rPr>
      </w:pPr>
    </w:p>
    <w:p w14:paraId="0C3FF53D" w14:textId="77777777" w:rsidR="00235386" w:rsidRPr="009A27ED" w:rsidRDefault="00235386" w:rsidP="00E67CB0">
      <w:pPr>
        <w:pStyle w:val="Prrafodelista"/>
        <w:numPr>
          <w:ilvl w:val="0"/>
          <w:numId w:val="281"/>
        </w:numPr>
        <w:spacing w:after="0" w:line="360" w:lineRule="auto"/>
        <w:contextualSpacing w:val="0"/>
        <w:rPr>
          <w:szCs w:val="22"/>
          <w:lang w:val="es-ES"/>
        </w:rPr>
      </w:pPr>
      <w:r w:rsidRPr="009A27ED">
        <w:rPr>
          <w:rFonts w:ascii="Times New Roman" w:eastAsia="Times New Roman" w:hAnsi="Times New Roman"/>
          <w:b/>
          <w:sz w:val="24"/>
          <w:szCs w:val="22"/>
          <w:lang w:val="es-ES"/>
        </w:rPr>
        <w:t>Beneficios de carbono:</w:t>
      </w:r>
      <w:r w:rsidRPr="009A27ED">
        <w:rPr>
          <w:rFonts w:ascii="Times New Roman" w:eastAsia="Times New Roman" w:hAnsi="Times New Roman"/>
          <w:sz w:val="24"/>
          <w:szCs w:val="22"/>
          <w:lang w:val="es-ES"/>
        </w:rPr>
        <w:t xml:space="preserve"> Corresponden a los pagos por resultados obtenidos por la venta al FC de los créditos de carbono obtenidos por la </w:t>
      </w:r>
      <w:proofErr w:type="spellStart"/>
      <w:r w:rsidRPr="009A27ED">
        <w:rPr>
          <w:rFonts w:ascii="Times New Roman" w:eastAsia="Times New Roman" w:hAnsi="Times New Roman"/>
          <w:sz w:val="24"/>
          <w:szCs w:val="22"/>
          <w:lang w:val="es-ES"/>
        </w:rPr>
        <w:t>ERs</w:t>
      </w:r>
      <w:proofErr w:type="spellEnd"/>
      <w:r w:rsidRPr="009A27ED">
        <w:rPr>
          <w:rFonts w:ascii="Times New Roman" w:eastAsia="Times New Roman" w:hAnsi="Times New Roman"/>
          <w:sz w:val="24"/>
          <w:szCs w:val="22"/>
          <w:lang w:val="es-ES"/>
        </w:rPr>
        <w:t>.</w:t>
      </w:r>
    </w:p>
    <w:p w14:paraId="0CAFD292" w14:textId="1BC51A8D" w:rsidR="00235386" w:rsidRPr="009A27ED" w:rsidRDefault="00235386" w:rsidP="00E67CB0">
      <w:pPr>
        <w:pStyle w:val="Prrafodelista"/>
        <w:numPr>
          <w:ilvl w:val="0"/>
          <w:numId w:val="281"/>
        </w:numPr>
        <w:spacing w:after="0" w:line="360" w:lineRule="auto"/>
        <w:contextualSpacing w:val="0"/>
        <w:rPr>
          <w:szCs w:val="22"/>
          <w:lang w:val="es-ES"/>
        </w:rPr>
      </w:pPr>
      <w:r w:rsidRPr="009A27ED">
        <w:rPr>
          <w:rFonts w:ascii="Times New Roman" w:eastAsia="Times New Roman" w:hAnsi="Times New Roman"/>
          <w:b/>
          <w:sz w:val="24"/>
          <w:szCs w:val="22"/>
          <w:lang w:val="es-ES"/>
        </w:rPr>
        <w:t xml:space="preserve">Beneficios no carbono o </w:t>
      </w:r>
      <w:proofErr w:type="spellStart"/>
      <w:r w:rsidRPr="009A27ED">
        <w:rPr>
          <w:rFonts w:ascii="Times New Roman" w:eastAsia="Times New Roman" w:hAnsi="Times New Roman"/>
          <w:b/>
          <w:sz w:val="24"/>
          <w:szCs w:val="22"/>
          <w:lang w:val="es-ES"/>
        </w:rPr>
        <w:t>co-beneficios</w:t>
      </w:r>
      <w:proofErr w:type="spellEnd"/>
      <w:r w:rsidRPr="009A27ED">
        <w:rPr>
          <w:rFonts w:ascii="Times New Roman" w:eastAsia="Times New Roman" w:hAnsi="Times New Roman"/>
          <w:b/>
          <w:sz w:val="24"/>
          <w:szCs w:val="22"/>
          <w:lang w:val="es-ES"/>
        </w:rPr>
        <w:t>:</w:t>
      </w:r>
      <w:r w:rsidRPr="009A27ED">
        <w:rPr>
          <w:rFonts w:ascii="Times New Roman" w:eastAsia="Times New Roman" w:hAnsi="Times New Roman"/>
          <w:sz w:val="24"/>
          <w:szCs w:val="22"/>
          <w:lang w:val="es-ES"/>
        </w:rPr>
        <w:t xml:space="preserve"> Corresponden a los beneficios ambientales, sociales o financieros que se producirán como consecuencia de la implementación u operación del </w:t>
      </w:r>
      <w:r w:rsidR="00124B63" w:rsidRPr="009A27ED">
        <w:rPr>
          <w:rFonts w:ascii="Times New Roman" w:eastAsia="Times New Roman" w:hAnsi="Times New Roman"/>
          <w:sz w:val="24"/>
          <w:szCs w:val="22"/>
          <w:lang w:val="es-ES"/>
        </w:rPr>
        <w:t>Programa REDD+</w:t>
      </w:r>
      <w:r w:rsidRPr="009A27ED">
        <w:rPr>
          <w:rFonts w:ascii="Times New Roman" w:eastAsia="Times New Roman" w:hAnsi="Times New Roman"/>
          <w:sz w:val="24"/>
          <w:szCs w:val="22"/>
          <w:lang w:val="es-ES"/>
        </w:rPr>
        <w:t>, que no se derivan directamente de los pagos por la venta de los créditos de Carbono</w:t>
      </w:r>
      <w:r w:rsidRPr="009A27ED">
        <w:rPr>
          <w:rStyle w:val="Refdenotaalpie"/>
          <w:rFonts w:asciiTheme="minorHAnsi" w:eastAsia="Times New Roman" w:hAnsiTheme="minorHAnsi"/>
          <w:sz w:val="24"/>
          <w:szCs w:val="22"/>
        </w:rPr>
        <w:footnoteReference w:id="77"/>
      </w:r>
      <w:r w:rsidRPr="009A27ED">
        <w:rPr>
          <w:rFonts w:ascii="Times New Roman" w:eastAsia="Times New Roman" w:hAnsi="Times New Roman"/>
          <w:sz w:val="24"/>
          <w:szCs w:val="22"/>
          <w:lang w:val="es-ES"/>
        </w:rPr>
        <w:t>.</w:t>
      </w:r>
    </w:p>
    <w:p w14:paraId="04D3CB6D" w14:textId="77777777" w:rsidR="00C71AD3" w:rsidRPr="009A27ED" w:rsidRDefault="00C71AD3" w:rsidP="00C71AD3">
      <w:pPr>
        <w:spacing w:after="0" w:line="360" w:lineRule="auto"/>
        <w:rPr>
          <w:szCs w:val="22"/>
        </w:rPr>
      </w:pPr>
    </w:p>
    <w:p w14:paraId="502DE15D" w14:textId="4C2FCA9F" w:rsidR="00235386" w:rsidRPr="009A27ED" w:rsidRDefault="00235386" w:rsidP="00C71AD3">
      <w:pPr>
        <w:spacing w:after="0" w:line="360" w:lineRule="auto"/>
        <w:rPr>
          <w:szCs w:val="22"/>
        </w:rPr>
      </w:pPr>
      <w:r w:rsidRPr="009A27ED">
        <w:rPr>
          <w:rFonts w:ascii="Times New Roman" w:eastAsia="Times New Roman" w:hAnsi="Times New Roman"/>
          <w:sz w:val="24"/>
          <w:szCs w:val="22"/>
        </w:rPr>
        <w:t xml:space="preserve">En términos generales, los pagos por resultados que resulten por la venta de carbono al FC podrán ser distribuidos a los beneficiarios de forma </w:t>
      </w:r>
      <w:r w:rsidRPr="009A27ED">
        <w:rPr>
          <w:rFonts w:ascii="Times New Roman" w:eastAsia="Times New Roman" w:hAnsi="Times New Roman"/>
          <w:b/>
          <w:i/>
          <w:sz w:val="24"/>
          <w:szCs w:val="22"/>
        </w:rPr>
        <w:t>monetaria</w:t>
      </w:r>
      <w:r w:rsidRPr="009A27ED">
        <w:rPr>
          <w:rFonts w:ascii="Times New Roman" w:eastAsia="Times New Roman" w:hAnsi="Times New Roman"/>
          <w:sz w:val="24"/>
          <w:szCs w:val="22"/>
        </w:rPr>
        <w:t xml:space="preserve"> o </w:t>
      </w:r>
      <w:r w:rsidRPr="009A27ED">
        <w:rPr>
          <w:rFonts w:ascii="Times New Roman" w:eastAsia="Times New Roman" w:hAnsi="Times New Roman"/>
          <w:b/>
          <w:i/>
          <w:sz w:val="24"/>
          <w:szCs w:val="22"/>
        </w:rPr>
        <w:t>no monetaria</w:t>
      </w:r>
      <w:r w:rsidRPr="009A27ED">
        <w:rPr>
          <w:rFonts w:ascii="Times New Roman" w:eastAsia="Times New Roman" w:hAnsi="Times New Roman"/>
          <w:sz w:val="24"/>
          <w:szCs w:val="22"/>
        </w:rPr>
        <w:t xml:space="preserve"> (en especie). La distribución y forma en la que serán percibidos los beneficios carbono dependerá de los beneficiarios finales, los cuales se encargarán de definir la distribución de los beneficios según los procesos de toma de decisiones acordados en el plan. A continuación, se ofrece una breve definición de los beneficios monetarios y no monetarios. </w:t>
      </w:r>
    </w:p>
    <w:p w14:paraId="607D0E2D" w14:textId="77777777" w:rsidR="00C71AD3" w:rsidRPr="009A27ED" w:rsidRDefault="00C71AD3" w:rsidP="00C71AD3">
      <w:pPr>
        <w:spacing w:after="0" w:line="360" w:lineRule="auto"/>
        <w:rPr>
          <w:szCs w:val="22"/>
        </w:rPr>
      </w:pPr>
    </w:p>
    <w:p w14:paraId="0B2B7AB7" w14:textId="77777777" w:rsidR="00235386" w:rsidRPr="009A27ED" w:rsidRDefault="00235386" w:rsidP="00E67CB0">
      <w:pPr>
        <w:pStyle w:val="Prrafodelista"/>
        <w:numPr>
          <w:ilvl w:val="0"/>
          <w:numId w:val="282"/>
        </w:numPr>
        <w:spacing w:after="0" w:line="360" w:lineRule="auto"/>
        <w:contextualSpacing w:val="0"/>
        <w:rPr>
          <w:szCs w:val="22"/>
          <w:lang w:val="es-ES"/>
        </w:rPr>
      </w:pPr>
      <w:r w:rsidRPr="009A27ED">
        <w:rPr>
          <w:rFonts w:ascii="Times New Roman" w:eastAsia="Times New Roman" w:hAnsi="Times New Roman"/>
          <w:b/>
          <w:bCs/>
          <w:i/>
          <w:sz w:val="24"/>
          <w:szCs w:val="22"/>
          <w:lang w:val="es-ES"/>
        </w:rPr>
        <w:t>Beneficios carbono monetarios</w:t>
      </w:r>
      <w:r w:rsidRPr="009A27ED">
        <w:rPr>
          <w:rFonts w:ascii="Times New Roman" w:eastAsia="Times New Roman" w:hAnsi="Times New Roman"/>
          <w:sz w:val="24"/>
          <w:szCs w:val="22"/>
          <w:lang w:val="es-ES"/>
        </w:rPr>
        <w:t>: Corresponden a entregas de efectivo a los beneficiarios financiadas por medio de los pagos por resultados que se reciban del FC;</w:t>
      </w:r>
    </w:p>
    <w:p w14:paraId="1E0F6E5D" w14:textId="3895BB13" w:rsidR="00235386" w:rsidRPr="009A27ED" w:rsidRDefault="00235386" w:rsidP="00E67CB0">
      <w:pPr>
        <w:pStyle w:val="Prrafodelista"/>
        <w:numPr>
          <w:ilvl w:val="0"/>
          <w:numId w:val="282"/>
        </w:numPr>
        <w:spacing w:after="0" w:line="360" w:lineRule="auto"/>
        <w:contextualSpacing w:val="0"/>
        <w:rPr>
          <w:szCs w:val="22"/>
          <w:lang w:val="es-ES"/>
        </w:rPr>
      </w:pPr>
      <w:r w:rsidRPr="009A27ED">
        <w:rPr>
          <w:rFonts w:ascii="Times New Roman" w:eastAsia="Times New Roman" w:hAnsi="Times New Roman"/>
          <w:b/>
          <w:bCs/>
          <w:i/>
          <w:sz w:val="24"/>
          <w:szCs w:val="22"/>
          <w:lang w:val="es-ES"/>
        </w:rPr>
        <w:t>Beneficios carbono no monetarios</w:t>
      </w:r>
      <w:r w:rsidRPr="009A27ED">
        <w:rPr>
          <w:rFonts w:ascii="Times New Roman" w:eastAsia="Times New Roman" w:hAnsi="Times New Roman"/>
          <w:sz w:val="24"/>
          <w:szCs w:val="22"/>
          <w:lang w:val="es-ES"/>
        </w:rPr>
        <w:t>: Corresponden a los beneficios a percibir por los beneficiarios finales en forma de bienes, servicios u otros beneficios financiados por los pagos a recibir</w:t>
      </w:r>
      <w:r w:rsidRPr="009A27ED">
        <w:rPr>
          <w:rFonts w:ascii="Times New Roman" w:eastAsia="Times New Roman" w:hAnsi="Times New Roman"/>
          <w:b/>
          <w:bCs/>
          <w:sz w:val="24"/>
          <w:szCs w:val="22"/>
          <w:lang w:val="es-ES"/>
        </w:rPr>
        <w:t xml:space="preserve"> </w:t>
      </w:r>
      <w:r w:rsidRPr="009A27ED">
        <w:rPr>
          <w:rFonts w:ascii="Times New Roman" w:eastAsia="Times New Roman" w:hAnsi="Times New Roman"/>
          <w:bCs/>
          <w:sz w:val="24"/>
          <w:szCs w:val="22"/>
          <w:lang w:val="es-ES"/>
        </w:rPr>
        <w:t>d</w:t>
      </w:r>
      <w:r w:rsidRPr="009A27ED">
        <w:rPr>
          <w:rFonts w:ascii="Times New Roman" w:eastAsia="Times New Roman" w:hAnsi="Times New Roman"/>
          <w:sz w:val="24"/>
          <w:szCs w:val="22"/>
          <w:lang w:val="es-ES"/>
        </w:rPr>
        <w:t>el FC. Los beneficios no monetarios pueden incluir, entre otros:</w:t>
      </w:r>
      <w:r w:rsidRPr="009A27ED">
        <w:rPr>
          <w:rFonts w:ascii="Times New Roman" w:eastAsia="Times New Roman" w:hAnsi="Times New Roman"/>
          <w:i/>
          <w:iCs/>
          <w:sz w:val="24"/>
          <w:szCs w:val="22"/>
          <w:lang w:val="es-ES"/>
        </w:rPr>
        <w:t xml:space="preserve"> asistencia técnica para la creación de capacidades, provisión de insumos tales como semillas, plántulas, equipo, infraestructura, etc</w:t>
      </w:r>
      <w:r w:rsidRPr="009A27ED">
        <w:rPr>
          <w:rFonts w:ascii="Times New Roman" w:eastAsia="Times New Roman" w:hAnsi="Times New Roman"/>
          <w:sz w:val="24"/>
          <w:szCs w:val="22"/>
          <w:lang w:val="es-ES"/>
        </w:rPr>
        <w:t>.</w:t>
      </w:r>
    </w:p>
    <w:p w14:paraId="6336A2DD" w14:textId="77777777" w:rsidR="00C71AD3" w:rsidRPr="009A27ED" w:rsidRDefault="00C71AD3" w:rsidP="00C71AD3">
      <w:pPr>
        <w:pStyle w:val="Prrafodelista"/>
        <w:spacing w:after="0" w:line="360" w:lineRule="auto"/>
        <w:ind w:left="1080"/>
        <w:contextualSpacing w:val="0"/>
        <w:rPr>
          <w:szCs w:val="22"/>
          <w:lang w:val="es-ES"/>
        </w:rPr>
      </w:pPr>
    </w:p>
    <w:p w14:paraId="51099BE2" w14:textId="4212E5C1" w:rsidR="00235386" w:rsidRPr="009A27ED" w:rsidRDefault="00235386" w:rsidP="00C71AD3">
      <w:pPr>
        <w:spacing w:after="0" w:line="360" w:lineRule="auto"/>
        <w:rPr>
          <w:szCs w:val="22"/>
        </w:rPr>
      </w:pPr>
      <w:r w:rsidRPr="009A27ED">
        <w:rPr>
          <w:rFonts w:ascii="Times New Roman" w:eastAsia="Times New Roman" w:hAnsi="Times New Roman"/>
          <w:sz w:val="24"/>
          <w:szCs w:val="22"/>
        </w:rPr>
        <w:t>Siempre que sea posible se buscará dar preferencia a los beneficios no monetarios por las siguientes razones:</w:t>
      </w:r>
    </w:p>
    <w:p w14:paraId="6A050569" w14:textId="77777777" w:rsidR="00C71AD3" w:rsidRPr="009A27ED" w:rsidRDefault="00C71AD3" w:rsidP="00C71AD3">
      <w:pPr>
        <w:spacing w:after="0" w:line="360" w:lineRule="auto"/>
        <w:rPr>
          <w:szCs w:val="22"/>
        </w:rPr>
      </w:pPr>
    </w:p>
    <w:p w14:paraId="78AE0C7B" w14:textId="77777777" w:rsidR="00235386" w:rsidRPr="009A27ED" w:rsidRDefault="00235386" w:rsidP="00E67CB0">
      <w:pPr>
        <w:pStyle w:val="Prrafodelista"/>
        <w:numPr>
          <w:ilvl w:val="0"/>
          <w:numId w:val="280"/>
        </w:numPr>
        <w:spacing w:after="0" w:line="360" w:lineRule="auto"/>
        <w:contextualSpacing w:val="0"/>
        <w:rPr>
          <w:szCs w:val="22"/>
          <w:lang w:val="es-ES"/>
        </w:rPr>
      </w:pPr>
      <w:r w:rsidRPr="009A27ED">
        <w:rPr>
          <w:rFonts w:ascii="Times New Roman" w:eastAsia="Times New Roman" w:hAnsi="Times New Roman"/>
          <w:sz w:val="24"/>
          <w:szCs w:val="22"/>
          <w:lang w:val="es-ES"/>
        </w:rPr>
        <w:t>La mayoría de las EE tradicionalmente han otorgado este tipo de apoyos, y por lo tanto están mejor preparados para proveer beneficios de este tipo; y</w:t>
      </w:r>
    </w:p>
    <w:p w14:paraId="4821D3A7" w14:textId="77777777" w:rsidR="00235386" w:rsidRPr="009A27ED" w:rsidRDefault="00235386" w:rsidP="00E67CB0">
      <w:pPr>
        <w:pStyle w:val="Prrafodelista"/>
        <w:numPr>
          <w:ilvl w:val="0"/>
          <w:numId w:val="280"/>
        </w:numPr>
        <w:spacing w:after="0" w:line="360" w:lineRule="auto"/>
        <w:contextualSpacing w:val="0"/>
        <w:rPr>
          <w:szCs w:val="22"/>
          <w:lang w:val="es-ES"/>
        </w:rPr>
      </w:pPr>
      <w:r w:rsidRPr="009A27ED">
        <w:rPr>
          <w:rFonts w:ascii="Times New Roman" w:eastAsia="Times New Roman" w:hAnsi="Times New Roman"/>
          <w:sz w:val="24"/>
          <w:szCs w:val="22"/>
          <w:lang w:val="es-ES"/>
        </w:rPr>
        <w:t>Se considera que los beneficios monetarios distribuidos a nivel individual podrían ser demasiado reducidos como para fomentar la continuación o ampliación de actividades REDD+ o para mejorar las condiciones de vida de sus receptores, algo que puede ser más factible al concentrar los beneficios individuales y dedicarlos a inversiones que representen un bien común y tengan un mayor impacto ambiental y social.</w:t>
      </w:r>
    </w:p>
    <w:p w14:paraId="652E6B59" w14:textId="77777777" w:rsidR="00C71AD3" w:rsidRPr="009A27ED" w:rsidRDefault="00C71AD3" w:rsidP="00C71AD3">
      <w:pPr>
        <w:spacing w:after="0" w:line="360" w:lineRule="auto"/>
        <w:rPr>
          <w:szCs w:val="22"/>
        </w:rPr>
      </w:pPr>
    </w:p>
    <w:p w14:paraId="01413A19" w14:textId="0F74426A" w:rsidR="00F512DB" w:rsidRPr="009A27ED" w:rsidRDefault="00235386" w:rsidP="00F512DB">
      <w:pPr>
        <w:pStyle w:val="Ttulo1"/>
        <w:numPr>
          <w:ilvl w:val="0"/>
          <w:numId w:val="0"/>
        </w:numPr>
        <w:spacing w:line="360" w:lineRule="auto"/>
        <w:jc w:val="both"/>
        <w:rPr>
          <w:b w:val="0"/>
          <w:bCs/>
          <w:sz w:val="22"/>
          <w:szCs w:val="22"/>
        </w:rPr>
      </w:pPr>
      <w:bookmarkStart w:id="645" w:name="_Toc111838011"/>
      <w:r w:rsidRPr="009A27ED">
        <w:rPr>
          <w:rFonts w:ascii="Times New Roman" w:eastAsia="Times New Roman" w:hAnsi="Times New Roman"/>
          <w:b w:val="0"/>
          <w:bCs/>
          <w:sz w:val="24"/>
          <w:szCs w:val="22"/>
        </w:rPr>
        <w:t xml:space="preserve">El PDB </w:t>
      </w:r>
      <w:r w:rsidR="00651BA7" w:rsidRPr="009A27ED">
        <w:rPr>
          <w:rFonts w:ascii="Times New Roman" w:eastAsia="Times New Roman" w:hAnsi="Times New Roman"/>
          <w:b w:val="0"/>
          <w:bCs/>
          <w:sz w:val="24"/>
          <w:szCs w:val="22"/>
        </w:rPr>
        <w:t xml:space="preserve">ha </w:t>
      </w:r>
      <w:r w:rsidRPr="009A27ED">
        <w:rPr>
          <w:rFonts w:ascii="Times New Roman" w:eastAsia="Times New Roman" w:hAnsi="Times New Roman"/>
          <w:b w:val="0"/>
          <w:bCs/>
          <w:sz w:val="24"/>
          <w:szCs w:val="22"/>
        </w:rPr>
        <w:t xml:space="preserve">sido consultado y validado por los actores involucrados y será publicado junto con todos los instrumentos de la EN-REDD. </w:t>
      </w:r>
      <w:r w:rsidR="001B6C5C" w:rsidRPr="009A27ED">
        <w:rPr>
          <w:rFonts w:ascii="Times New Roman" w:eastAsia="Times New Roman" w:hAnsi="Times New Roman"/>
          <w:b w:val="0"/>
          <w:bCs/>
          <w:sz w:val="24"/>
          <w:szCs w:val="22"/>
        </w:rPr>
        <w:t xml:space="preserve">Dicho plan incluye: los diferentes tipos de beneficios del Programa (explica la diferencia relevante entre los conceptos de pagos brutos y netos), los diferentes tipos de beneficiarios, así como los programas, proyectos y planes de las EE, los requisitos que deben cumplir los beneficiarios para la participación en el </w:t>
      </w:r>
      <w:r w:rsidR="00124B63" w:rsidRPr="009A27ED">
        <w:rPr>
          <w:rFonts w:ascii="Times New Roman" w:eastAsia="Times New Roman" w:hAnsi="Times New Roman"/>
          <w:b w:val="0"/>
          <w:bCs/>
          <w:sz w:val="24"/>
          <w:szCs w:val="22"/>
        </w:rPr>
        <w:t>Programa REDD</w:t>
      </w:r>
      <w:r w:rsidR="001B6C5C" w:rsidRPr="009A27ED">
        <w:rPr>
          <w:rFonts w:ascii="Times New Roman" w:eastAsia="Times New Roman" w:hAnsi="Times New Roman"/>
          <w:b w:val="0"/>
          <w:bCs/>
          <w:sz w:val="24"/>
          <w:szCs w:val="22"/>
        </w:rPr>
        <w:t xml:space="preserve">+ y a los lineamientos generales que deberán cumplir las EE que decidan participar del </w:t>
      </w:r>
      <w:r w:rsidR="00124B63" w:rsidRPr="009A27ED">
        <w:rPr>
          <w:rFonts w:ascii="Times New Roman" w:eastAsia="Times New Roman" w:hAnsi="Times New Roman"/>
          <w:b w:val="0"/>
          <w:bCs/>
          <w:sz w:val="24"/>
          <w:szCs w:val="22"/>
        </w:rPr>
        <w:t>Programa REDD</w:t>
      </w:r>
      <w:r w:rsidR="001B6C5C" w:rsidRPr="009A27ED">
        <w:rPr>
          <w:rFonts w:ascii="Times New Roman" w:eastAsia="Times New Roman" w:hAnsi="Times New Roman"/>
          <w:b w:val="0"/>
          <w:bCs/>
          <w:sz w:val="24"/>
          <w:szCs w:val="22"/>
        </w:rPr>
        <w:t xml:space="preserve">+ y por tanto participar de los beneficios que se generen por el Programa, así mismo incluye los criterios mediante los cuales se distribuirán los beneficios, los arreglos institucionales que regirán la gobernanza del PDB para: i) la identificación de beneficiarios y transferencia de títulos, </w:t>
      </w:r>
      <w:proofErr w:type="spellStart"/>
      <w:r w:rsidR="001B6C5C" w:rsidRPr="009A27ED">
        <w:rPr>
          <w:rFonts w:ascii="Times New Roman" w:eastAsia="Times New Roman" w:hAnsi="Times New Roman"/>
          <w:b w:val="0"/>
          <w:bCs/>
          <w:sz w:val="24"/>
          <w:szCs w:val="22"/>
        </w:rPr>
        <w:t>ii</w:t>
      </w:r>
      <w:proofErr w:type="spellEnd"/>
      <w:r w:rsidR="001B6C5C" w:rsidRPr="009A27ED">
        <w:rPr>
          <w:rFonts w:ascii="Times New Roman" w:eastAsia="Times New Roman" w:hAnsi="Times New Roman"/>
          <w:b w:val="0"/>
          <w:bCs/>
          <w:sz w:val="24"/>
          <w:szCs w:val="22"/>
        </w:rPr>
        <w:t xml:space="preserve">) el flujo de beneficios y los procesos para la toma de decisiones para la distribución de beneficios, y </w:t>
      </w:r>
      <w:proofErr w:type="spellStart"/>
      <w:r w:rsidR="001B6C5C" w:rsidRPr="009A27ED">
        <w:rPr>
          <w:rFonts w:ascii="Times New Roman" w:eastAsia="Times New Roman" w:hAnsi="Times New Roman"/>
          <w:b w:val="0"/>
          <w:bCs/>
          <w:sz w:val="24"/>
          <w:szCs w:val="22"/>
        </w:rPr>
        <w:t>iii</w:t>
      </w:r>
      <w:proofErr w:type="spellEnd"/>
      <w:r w:rsidR="001B6C5C" w:rsidRPr="009A27ED">
        <w:rPr>
          <w:rFonts w:ascii="Times New Roman" w:eastAsia="Times New Roman" w:hAnsi="Times New Roman"/>
          <w:b w:val="0"/>
          <w:bCs/>
          <w:sz w:val="24"/>
          <w:szCs w:val="22"/>
        </w:rPr>
        <w:t xml:space="preserve">) los arreglos para el seguimiento y reporte de implementación de las actividades del </w:t>
      </w:r>
      <w:r w:rsidR="00124B63" w:rsidRPr="009A27ED">
        <w:rPr>
          <w:rFonts w:ascii="Times New Roman" w:eastAsia="Times New Roman" w:hAnsi="Times New Roman"/>
          <w:b w:val="0"/>
          <w:bCs/>
          <w:sz w:val="24"/>
          <w:szCs w:val="22"/>
        </w:rPr>
        <w:t>Programa REDD</w:t>
      </w:r>
      <w:r w:rsidR="001B6C5C" w:rsidRPr="009A27ED">
        <w:rPr>
          <w:rFonts w:ascii="Times New Roman" w:eastAsia="Times New Roman" w:hAnsi="Times New Roman"/>
          <w:b w:val="0"/>
          <w:bCs/>
          <w:sz w:val="24"/>
          <w:szCs w:val="22"/>
        </w:rPr>
        <w:t xml:space="preserve">+ y del PDB. </w:t>
      </w:r>
      <w:r w:rsidRPr="009A27ED">
        <w:rPr>
          <w:rFonts w:ascii="Times New Roman" w:eastAsia="Times New Roman" w:hAnsi="Times New Roman"/>
          <w:b w:val="0"/>
          <w:bCs/>
          <w:sz w:val="24"/>
          <w:szCs w:val="22"/>
        </w:rPr>
        <w:t xml:space="preserve">Por último, presenta las provisiones mediante las cuales se realizará el monitoreo del desempeño de las actividades implementadas y el monitoreo para garantizar el cumplimiento de las salvaguardas, los resultados de las consultas realizadas hasta el momento a nivel gubernamental y presenta el plan de trabajo de las consultas a realizarse con los beneficiarios en los próximos meses, y cómo se llevará a cabo la comunicación del </w:t>
      </w:r>
      <w:r w:rsidR="00124B63" w:rsidRPr="009A27ED">
        <w:rPr>
          <w:rFonts w:ascii="Times New Roman" w:eastAsia="Times New Roman" w:hAnsi="Times New Roman"/>
          <w:b w:val="0"/>
          <w:bCs/>
          <w:sz w:val="24"/>
          <w:szCs w:val="22"/>
        </w:rPr>
        <w:t>Programa REDD+</w:t>
      </w:r>
      <w:r w:rsidR="00F512DB" w:rsidRPr="009A27ED">
        <w:rPr>
          <w:rFonts w:ascii="Times New Roman" w:eastAsia="Times New Roman" w:hAnsi="Times New Roman"/>
          <w:b w:val="0"/>
          <w:bCs/>
          <w:sz w:val="24"/>
          <w:szCs w:val="22"/>
        </w:rPr>
        <w:t>.</w:t>
      </w:r>
      <w:bookmarkEnd w:id="645"/>
      <w:r w:rsidR="00F512DB" w:rsidRPr="009A27ED">
        <w:rPr>
          <w:rFonts w:ascii="Times New Roman" w:eastAsia="Times New Roman" w:hAnsi="Times New Roman"/>
          <w:b w:val="0"/>
          <w:bCs/>
          <w:sz w:val="24"/>
          <w:szCs w:val="22"/>
        </w:rPr>
        <w:t xml:space="preserve"> </w:t>
      </w:r>
    </w:p>
    <w:p w14:paraId="1905911B" w14:textId="77777777" w:rsidR="00235386" w:rsidRPr="009A27ED" w:rsidRDefault="00235386">
      <w:pPr>
        <w:spacing w:before="120" w:line="360" w:lineRule="auto"/>
        <w:rPr>
          <w:szCs w:val="22"/>
        </w:rPr>
      </w:pPr>
    </w:p>
    <w:p w14:paraId="5219E33F" w14:textId="77777777" w:rsidR="00B175D7" w:rsidRPr="009A27ED" w:rsidRDefault="00B175D7" w:rsidP="00B175D7">
      <w:pPr>
        <w:pStyle w:val="Ttulo1"/>
        <w:numPr>
          <w:ilvl w:val="0"/>
          <w:numId w:val="0"/>
        </w:numPr>
        <w:spacing w:line="360" w:lineRule="auto"/>
        <w:ind w:left="993"/>
        <w:jc w:val="both"/>
      </w:pPr>
      <w:bookmarkStart w:id="646" w:name="_Toc111838012"/>
      <w:r w:rsidRPr="009A27ED">
        <w:rPr>
          <w:rFonts w:ascii="Times New Roman" w:eastAsia="Times New Roman" w:hAnsi="Times New Roman"/>
          <w:sz w:val="24"/>
        </w:rPr>
        <w:t>14. Detalles de presupuesto para la implementación del MGAS</w:t>
      </w:r>
      <w:bookmarkEnd w:id="646"/>
    </w:p>
    <w:p w14:paraId="462FCACB" w14:textId="77777777" w:rsidR="00B175D7" w:rsidRPr="009A27ED" w:rsidRDefault="00B175D7" w:rsidP="00B175D7">
      <w:pPr>
        <w:spacing w:line="360" w:lineRule="auto"/>
        <w:rPr>
          <w:rFonts w:ascii="Calibri" w:hAnsi="Calibri" w:cs="Calibri"/>
          <w:color w:val="201F1E"/>
          <w:szCs w:val="22"/>
        </w:rPr>
      </w:pPr>
      <w:r w:rsidRPr="009A27ED">
        <w:rPr>
          <w:rFonts w:ascii="Times New Roman" w:eastAsia="Times New Roman" w:hAnsi="Times New Roman" w:cs="Times New Roman"/>
          <w:sz w:val="24"/>
          <w:szCs w:val="22"/>
          <w:lang w:eastAsia="es-ES_tradnl"/>
        </w:rPr>
        <w:t>El MARN ha desarrollado un presupuesto para la implementación del MGAS, a partir de  los costos analizados y evaluados por las Entidades Ejecutoras bajo los programas y proyectos REDD+, donde se estiman</w:t>
      </w:r>
      <w:r w:rsidRPr="009A27ED">
        <w:rPr>
          <w:rFonts w:ascii="Times New Roman" w:eastAsia="Times New Roman" w:hAnsi="Times New Roman" w:cs="Calibri"/>
          <w:color w:val="201F1E"/>
          <w:sz w:val="24"/>
          <w:szCs w:val="22"/>
          <w:bdr w:val="none" w:sz="0" w:space="0" w:color="auto" w:frame="1"/>
        </w:rPr>
        <w:t xml:space="preserve">: i) Costos operacionales y de transacción para seguimiento al Programa de Reducción de Emisiones (Programa REDD+) y Plan de Distribución de Beneficios (PDB), </w:t>
      </w:r>
      <w:proofErr w:type="spellStart"/>
      <w:r w:rsidRPr="009A27ED">
        <w:rPr>
          <w:rFonts w:ascii="Times New Roman" w:eastAsia="Times New Roman" w:hAnsi="Times New Roman" w:cs="Calibri"/>
          <w:color w:val="201F1E"/>
          <w:sz w:val="24"/>
          <w:szCs w:val="22"/>
          <w:bdr w:val="none" w:sz="0" w:space="0" w:color="auto" w:frame="1"/>
        </w:rPr>
        <w:t>ii</w:t>
      </w:r>
      <w:proofErr w:type="spellEnd"/>
      <w:r w:rsidRPr="009A27ED">
        <w:rPr>
          <w:rFonts w:ascii="Times New Roman" w:eastAsia="Times New Roman" w:hAnsi="Times New Roman" w:cs="Calibri"/>
          <w:color w:val="201F1E"/>
          <w:sz w:val="24"/>
          <w:szCs w:val="22"/>
          <w:bdr w:val="none" w:sz="0" w:space="0" w:color="auto" w:frame="1"/>
        </w:rPr>
        <w:t xml:space="preserve">) Mecanismo de Quejas, </w:t>
      </w:r>
      <w:r w:rsidRPr="009A27ED">
        <w:rPr>
          <w:rFonts w:ascii="Times New Roman" w:eastAsia="Times New Roman" w:hAnsi="Times New Roman" w:cs="Calibri"/>
          <w:color w:val="201F1E"/>
          <w:sz w:val="24"/>
          <w:szCs w:val="22"/>
          <w:bdr w:val="none" w:sz="0" w:space="0" w:color="auto" w:frame="1"/>
        </w:rPr>
        <w:lastRenderedPageBreak/>
        <w:t xml:space="preserve">Reclamos y Manejo de Conflictos (MQRC), </w:t>
      </w:r>
      <w:proofErr w:type="spellStart"/>
      <w:r w:rsidRPr="009A27ED">
        <w:rPr>
          <w:rFonts w:ascii="Times New Roman" w:eastAsia="Times New Roman" w:hAnsi="Times New Roman" w:cs="Calibri"/>
          <w:color w:val="201F1E"/>
          <w:sz w:val="24"/>
          <w:szCs w:val="22"/>
          <w:bdr w:val="none" w:sz="0" w:space="0" w:color="auto" w:frame="1"/>
        </w:rPr>
        <w:t>iii</w:t>
      </w:r>
      <w:proofErr w:type="spellEnd"/>
      <w:r w:rsidRPr="009A27ED">
        <w:rPr>
          <w:rFonts w:ascii="Times New Roman" w:eastAsia="Times New Roman" w:hAnsi="Times New Roman" w:cs="Calibri"/>
          <w:color w:val="201F1E"/>
          <w:sz w:val="24"/>
          <w:szCs w:val="22"/>
          <w:bdr w:val="none" w:sz="0" w:space="0" w:color="auto" w:frame="1"/>
        </w:rPr>
        <w:t xml:space="preserve">) Sistema de Información de Salvaguardas (SIS), </w:t>
      </w:r>
      <w:proofErr w:type="spellStart"/>
      <w:r w:rsidRPr="009A27ED">
        <w:rPr>
          <w:rFonts w:ascii="Times New Roman" w:eastAsia="Times New Roman" w:hAnsi="Times New Roman" w:cs="Calibri"/>
          <w:color w:val="201F1E"/>
          <w:sz w:val="24"/>
          <w:szCs w:val="22"/>
          <w:bdr w:val="none" w:sz="0" w:space="0" w:color="auto" w:frame="1"/>
        </w:rPr>
        <w:t>iv</w:t>
      </w:r>
      <w:proofErr w:type="spellEnd"/>
      <w:r w:rsidRPr="009A27ED">
        <w:rPr>
          <w:rFonts w:ascii="Times New Roman" w:eastAsia="Times New Roman" w:hAnsi="Times New Roman" w:cs="Calibri"/>
          <w:color w:val="201F1E"/>
          <w:sz w:val="24"/>
          <w:szCs w:val="22"/>
          <w:bdr w:val="none" w:sz="0" w:space="0" w:color="auto" w:frame="1"/>
        </w:rPr>
        <w:t>) Planes de Manejo Ambiental y Social (PMAS).</w:t>
      </w:r>
    </w:p>
    <w:p w14:paraId="32839E98" w14:textId="77777777" w:rsidR="00B175D7" w:rsidRPr="009A27ED" w:rsidRDefault="00B175D7" w:rsidP="00B175D7">
      <w:pPr>
        <w:pStyle w:val="NormalWeb"/>
        <w:shd w:val="clear" w:color="auto" w:fill="FFFFFF"/>
        <w:spacing w:before="0" w:beforeAutospacing="0" w:after="120" w:afterAutospacing="0" w:line="360" w:lineRule="auto"/>
        <w:jc w:val="both"/>
        <w:rPr>
          <w:rFonts w:ascii="Calibri" w:hAnsi="Calibri" w:cs="Calibri"/>
          <w:color w:val="201F1E"/>
          <w:szCs w:val="22"/>
          <w:lang w:val="es-ES"/>
        </w:rPr>
      </w:pPr>
      <w:r w:rsidRPr="009A27ED">
        <w:rPr>
          <w:rFonts w:cs="Calibri"/>
          <w:color w:val="201F1E"/>
          <w:sz w:val="24"/>
          <w:szCs w:val="22"/>
          <w:bdr w:val="none" w:sz="0" w:space="0" w:color="auto" w:frame="1"/>
          <w:lang w:val="es-ES"/>
        </w:rPr>
        <w:t>Este presupuesto estimado se ha elaborado tomando en cuenta los costos de inversión necesarios para el establecimiento de los instrumentos de salvaguardas (MQRC, SIS) que incluyen equipamiento tecnológico y capacitación de los niveles gerenciales, técnicos y de beneficiarios.</w:t>
      </w:r>
    </w:p>
    <w:p w14:paraId="7E6806AE" w14:textId="77777777" w:rsidR="00B175D7" w:rsidRPr="009A27ED" w:rsidRDefault="00B175D7" w:rsidP="00B175D7">
      <w:pPr>
        <w:pStyle w:val="NormalWeb"/>
        <w:shd w:val="clear" w:color="auto" w:fill="FFFFFF"/>
        <w:spacing w:before="0" w:beforeAutospacing="0" w:after="120" w:afterAutospacing="0" w:line="360" w:lineRule="auto"/>
        <w:jc w:val="both"/>
        <w:rPr>
          <w:rFonts w:ascii="Calibri" w:hAnsi="Calibri" w:cs="Calibri"/>
          <w:color w:val="201F1E"/>
          <w:szCs w:val="22"/>
          <w:lang w:val="es-ES"/>
        </w:rPr>
      </w:pPr>
      <w:r w:rsidRPr="009A27ED">
        <w:rPr>
          <w:rFonts w:cs="Calibri"/>
          <w:color w:val="201F1E"/>
          <w:sz w:val="24"/>
          <w:szCs w:val="22"/>
          <w:bdr w:val="none" w:sz="0" w:space="0" w:color="auto" w:frame="1"/>
          <w:lang w:val="es-ES"/>
        </w:rPr>
        <w:t>Además, se incorporan los costos estimados para la operación y funcionamiento, tales como recursos humanos, movilización y comunicación. Finalmente, se contemplan los costos referidos a las actividades de coordinación interinstitucional relativas al monitoreo y seguimiento.</w:t>
      </w:r>
    </w:p>
    <w:p w14:paraId="77D53CC4" w14:textId="77777777" w:rsidR="00B175D7" w:rsidRPr="009A27ED" w:rsidRDefault="00B175D7" w:rsidP="00B175D7">
      <w:pPr>
        <w:pStyle w:val="NormalWeb"/>
        <w:shd w:val="clear" w:color="auto" w:fill="FFFFFF"/>
        <w:spacing w:before="0" w:beforeAutospacing="0" w:after="120" w:afterAutospacing="0" w:line="360" w:lineRule="auto"/>
        <w:jc w:val="both"/>
        <w:rPr>
          <w:rFonts w:ascii="Calibri" w:hAnsi="Calibri" w:cs="Calibri"/>
          <w:color w:val="201F1E"/>
          <w:szCs w:val="22"/>
          <w:lang w:val="es-ES"/>
        </w:rPr>
      </w:pPr>
      <w:r w:rsidRPr="009A27ED">
        <w:rPr>
          <w:rFonts w:cs="Calibri"/>
          <w:color w:val="201F1E"/>
          <w:sz w:val="24"/>
          <w:szCs w:val="22"/>
          <w:bdr w:val="none" w:sz="0" w:space="0" w:color="auto" w:frame="1"/>
          <w:lang w:val="es-ES"/>
        </w:rPr>
        <w:t>Este presupuesto presenta las líneas generales de costos y aportes de Ministerio de Medio Ambiente y Recursos Naturales y las Entidades Ejecutoras. Mediante los acuerdos interinstitucionales se formalizará la implementación del presupuesto para cada instrumento de salvaguardas por Entidad Ejecutora.</w:t>
      </w:r>
    </w:p>
    <w:p w14:paraId="2DE90CD1" w14:textId="244894E3" w:rsidR="001B5C07" w:rsidRPr="009A27ED" w:rsidRDefault="001B5C07">
      <w:pPr>
        <w:spacing w:after="160" w:line="360" w:lineRule="auto"/>
        <w:rPr>
          <w:szCs w:val="22"/>
        </w:rPr>
      </w:pPr>
      <w:r w:rsidRPr="009A27ED">
        <w:rPr>
          <w:rFonts w:ascii="Times New Roman" w:eastAsia="Times New Roman" w:hAnsi="Times New Roman"/>
          <w:sz w:val="24"/>
          <w:szCs w:val="22"/>
        </w:rPr>
        <w:br w:type="page"/>
      </w:r>
    </w:p>
    <w:p w14:paraId="0F849F9C" w14:textId="77777777" w:rsidR="00B175D7" w:rsidRPr="009A27ED" w:rsidRDefault="00B175D7">
      <w:pPr>
        <w:spacing w:before="120" w:line="360" w:lineRule="auto"/>
        <w:rPr>
          <w:szCs w:val="22"/>
        </w:rPr>
      </w:pPr>
    </w:p>
    <w:p w14:paraId="216BA6C0" w14:textId="64B6B89C" w:rsidR="00DF3AFC" w:rsidRPr="009A27ED" w:rsidRDefault="00DF3AFC" w:rsidP="00DF3AFC">
      <w:pPr>
        <w:pStyle w:val="Descripcin"/>
        <w:keepNext/>
        <w:spacing w:line="360" w:lineRule="auto"/>
      </w:pPr>
      <w:bookmarkStart w:id="647" w:name="_Toc111887468"/>
      <w:r w:rsidRPr="009A27ED">
        <w:rPr>
          <w:rFonts w:ascii="Times New Roman" w:eastAsia="Times New Roman" w:hAnsi="Times New Roman"/>
          <w:sz w:val="24"/>
        </w:rPr>
        <w:t xml:space="preserve">Cuadro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Cuadro \* ARABIC </w:instrText>
      </w:r>
      <w:r w:rsidRPr="009A27ED">
        <w:rPr>
          <w:rFonts w:ascii="Times New Roman" w:eastAsia="Times New Roman" w:hAnsi="Times New Roman"/>
          <w:sz w:val="24"/>
        </w:rPr>
        <w:fldChar w:fldCharType="separate"/>
      </w:r>
      <w:r w:rsidRPr="009A27ED">
        <w:rPr>
          <w:rFonts w:ascii="Times New Roman" w:eastAsia="Times New Roman" w:hAnsi="Times New Roman"/>
          <w:noProof/>
          <w:sz w:val="24"/>
        </w:rPr>
        <w:t>58</w:t>
      </w:r>
      <w:r w:rsidRPr="009A27ED">
        <w:rPr>
          <w:rFonts w:ascii="Times New Roman" w:eastAsia="Times New Roman" w:hAnsi="Times New Roman"/>
          <w:sz w:val="24"/>
        </w:rPr>
        <w:fldChar w:fldCharType="end"/>
      </w:r>
      <w:r w:rsidRPr="009A27ED">
        <w:rPr>
          <w:rFonts w:ascii="Times New Roman" w:eastAsia="Times New Roman" w:hAnsi="Times New Roman"/>
          <w:sz w:val="24"/>
        </w:rPr>
        <w:t>. Costos operacionales y transaccionales estimados del Programa REDD+ y el PDB</w:t>
      </w:r>
      <w:bookmarkEnd w:id="647"/>
    </w:p>
    <w:p w14:paraId="4502D15C" w14:textId="73CE6D74" w:rsidR="00B175D7" w:rsidRPr="009A27ED" w:rsidRDefault="00B175D7">
      <w:pPr>
        <w:spacing w:before="120" w:line="360" w:lineRule="auto"/>
        <w:rPr>
          <w:szCs w:val="22"/>
        </w:rPr>
      </w:pPr>
      <w:r w:rsidRPr="009A27ED">
        <w:rPr>
          <w:rFonts w:ascii="Times New Roman" w:eastAsia="Times New Roman" w:hAnsi="Times New Roman"/>
          <w:noProof/>
          <w:sz w:val="24"/>
          <w:lang w:val="en-US"/>
        </w:rPr>
        <w:drawing>
          <wp:inline distT="0" distB="0" distL="0" distR="0" wp14:anchorId="470DF9F9" wp14:editId="2323E95E">
            <wp:extent cx="6309360" cy="3328132"/>
            <wp:effectExtent l="0" t="0" r="0" b="0"/>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6309360" cy="3328132"/>
                    </a:xfrm>
                    <a:prstGeom prst="rect">
                      <a:avLst/>
                    </a:prstGeom>
                    <a:noFill/>
                    <a:ln>
                      <a:noFill/>
                    </a:ln>
                  </pic:spPr>
                </pic:pic>
              </a:graphicData>
            </a:graphic>
          </wp:inline>
        </w:drawing>
      </w:r>
    </w:p>
    <w:p w14:paraId="5149FE57" w14:textId="3550AF3C" w:rsidR="00B175D7" w:rsidRPr="009A27ED" w:rsidRDefault="00B175D7">
      <w:pPr>
        <w:spacing w:before="120" w:line="360" w:lineRule="auto"/>
        <w:rPr>
          <w:szCs w:val="22"/>
        </w:rPr>
      </w:pPr>
    </w:p>
    <w:p w14:paraId="735F63F7" w14:textId="24E879AC" w:rsidR="00B175D7" w:rsidRPr="009A27ED" w:rsidRDefault="00B175D7">
      <w:pPr>
        <w:spacing w:before="120" w:line="360" w:lineRule="auto"/>
        <w:rPr>
          <w:szCs w:val="22"/>
        </w:rPr>
      </w:pPr>
      <w:r w:rsidRPr="009A27ED">
        <w:rPr>
          <w:rFonts w:ascii="Times New Roman" w:eastAsia="Times New Roman" w:hAnsi="Times New Roman"/>
          <w:noProof/>
          <w:sz w:val="24"/>
          <w:lang w:val="en-US"/>
        </w:rPr>
        <w:drawing>
          <wp:inline distT="0" distB="0" distL="0" distR="0" wp14:anchorId="05908C56" wp14:editId="40B3114D">
            <wp:extent cx="6309360" cy="3569603"/>
            <wp:effectExtent l="0" t="0" r="0" b="0"/>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6309360" cy="3569603"/>
                    </a:xfrm>
                    <a:prstGeom prst="rect">
                      <a:avLst/>
                    </a:prstGeom>
                    <a:noFill/>
                    <a:ln>
                      <a:noFill/>
                    </a:ln>
                  </pic:spPr>
                </pic:pic>
              </a:graphicData>
            </a:graphic>
          </wp:inline>
        </w:drawing>
      </w:r>
    </w:p>
    <w:p w14:paraId="4B061492" w14:textId="6D855B4B" w:rsidR="00B175D7" w:rsidRPr="009A27ED" w:rsidRDefault="00B175D7" w:rsidP="00C97A18">
      <w:pPr>
        <w:spacing w:before="100" w:beforeAutospacing="1" w:after="100" w:afterAutospacing="1" w:line="360" w:lineRule="auto"/>
        <w:rPr>
          <w:rFonts w:eastAsia="Times New Roman" w:cs="Times New Roman"/>
          <w:sz w:val="20"/>
          <w:szCs w:val="20"/>
          <w:lang w:eastAsia="es-ES_tradnl"/>
        </w:rPr>
      </w:pPr>
      <w:r w:rsidRPr="009A27ED">
        <w:rPr>
          <w:rFonts w:ascii="Times New Roman" w:eastAsia="Times New Roman" w:hAnsi="Times New Roman" w:cs="Times New Roman"/>
          <w:sz w:val="24"/>
          <w:szCs w:val="20"/>
          <w:lang w:eastAsia="es-ES_tradnl"/>
        </w:rPr>
        <w:lastRenderedPageBreak/>
        <w:t xml:space="preserve">Fuente: Elaboración propia UTG-REDD+-RD septiembre 2019 </w:t>
      </w:r>
    </w:p>
    <w:p w14:paraId="54C18901" w14:textId="31920CE9" w:rsidR="00B175D7" w:rsidRPr="009A27ED" w:rsidRDefault="00B175D7" w:rsidP="00C97A18">
      <w:pPr>
        <w:spacing w:before="120" w:line="360" w:lineRule="auto"/>
        <w:rPr>
          <w:szCs w:val="22"/>
        </w:rPr>
        <w:sectPr w:rsidR="00B175D7" w:rsidRPr="009A27ED" w:rsidSect="00BC6D88">
          <w:pgSz w:w="17035" w:h="15840"/>
          <w:pgMar w:top="1152" w:right="5947" w:bottom="1702" w:left="1152" w:header="720" w:footer="720" w:gutter="0"/>
          <w:cols w:space="720"/>
          <w:docGrid w:linePitch="360"/>
        </w:sectPr>
      </w:pPr>
    </w:p>
    <w:p w14:paraId="58FD6973" w14:textId="6F6AEC9D" w:rsidR="00947670" w:rsidRPr="009A27ED" w:rsidRDefault="00C71AD3" w:rsidP="00F163C3">
      <w:pPr>
        <w:pStyle w:val="Ttulo1"/>
        <w:numPr>
          <w:ilvl w:val="0"/>
          <w:numId w:val="0"/>
        </w:numPr>
        <w:spacing w:line="360" w:lineRule="auto"/>
        <w:jc w:val="both"/>
      </w:pPr>
      <w:bookmarkStart w:id="648" w:name="_Toc111838013"/>
      <w:bookmarkStart w:id="649" w:name="_Hlk109837693"/>
      <w:r w:rsidRPr="009A27ED">
        <w:rPr>
          <w:rFonts w:ascii="Times New Roman" w:eastAsia="Times New Roman" w:hAnsi="Times New Roman"/>
          <w:sz w:val="24"/>
        </w:rPr>
        <w:lastRenderedPageBreak/>
        <w:t>1</w:t>
      </w:r>
      <w:r w:rsidR="00084A69" w:rsidRPr="009A27ED">
        <w:rPr>
          <w:rFonts w:ascii="Times New Roman" w:eastAsia="Times New Roman" w:hAnsi="Times New Roman"/>
          <w:sz w:val="24"/>
        </w:rPr>
        <w:t>5</w:t>
      </w:r>
      <w:r w:rsidRPr="009A27ED">
        <w:rPr>
          <w:rFonts w:ascii="Times New Roman" w:eastAsia="Times New Roman" w:hAnsi="Times New Roman"/>
          <w:sz w:val="24"/>
        </w:rPr>
        <w:t xml:space="preserve">. </w:t>
      </w:r>
      <w:r w:rsidR="00947670" w:rsidRPr="009A27ED">
        <w:rPr>
          <w:rFonts w:ascii="Times New Roman" w:eastAsia="Times New Roman" w:hAnsi="Times New Roman"/>
          <w:sz w:val="24"/>
        </w:rPr>
        <w:t>C</w:t>
      </w:r>
      <w:r w:rsidR="00E03931" w:rsidRPr="009A27ED">
        <w:rPr>
          <w:rFonts w:ascii="Times New Roman" w:eastAsia="Times New Roman" w:hAnsi="Times New Roman"/>
          <w:sz w:val="24"/>
        </w:rPr>
        <w:t>onclusiones y Próximos pasos para O</w:t>
      </w:r>
      <w:r w:rsidR="00947670" w:rsidRPr="009A27ED">
        <w:rPr>
          <w:rFonts w:ascii="Times New Roman" w:eastAsia="Times New Roman" w:hAnsi="Times New Roman"/>
          <w:sz w:val="24"/>
        </w:rPr>
        <w:t>pera</w:t>
      </w:r>
      <w:r w:rsidR="00183B8E" w:rsidRPr="009A27ED">
        <w:rPr>
          <w:rFonts w:ascii="Times New Roman" w:eastAsia="Times New Roman" w:hAnsi="Times New Roman"/>
          <w:sz w:val="24"/>
        </w:rPr>
        <w:t>tivizar</w:t>
      </w:r>
      <w:r w:rsidR="00947670" w:rsidRPr="009A27ED">
        <w:rPr>
          <w:rFonts w:ascii="Times New Roman" w:eastAsia="Times New Roman" w:hAnsi="Times New Roman"/>
          <w:sz w:val="24"/>
        </w:rPr>
        <w:t xml:space="preserve"> el MGAS</w:t>
      </w:r>
      <w:bookmarkEnd w:id="623"/>
      <w:bookmarkEnd w:id="624"/>
      <w:bookmarkEnd w:id="648"/>
    </w:p>
    <w:bookmarkEnd w:id="649"/>
    <w:p w14:paraId="60835A9C" w14:textId="7779FDC0" w:rsidR="00947670" w:rsidRPr="009A27ED" w:rsidRDefault="00947670" w:rsidP="005B6485">
      <w:pPr>
        <w:spacing w:before="120" w:after="0" w:line="360" w:lineRule="auto"/>
        <w:rPr>
          <w:szCs w:val="22"/>
        </w:rPr>
      </w:pPr>
      <w:r w:rsidRPr="009A27ED">
        <w:rPr>
          <w:rFonts w:ascii="Times New Roman" w:eastAsia="Times New Roman" w:hAnsi="Times New Roman"/>
          <w:sz w:val="24"/>
          <w:szCs w:val="22"/>
        </w:rPr>
        <w:t xml:space="preserve">Este documento de MGAS es </w:t>
      </w:r>
      <w:r w:rsidRPr="009A27ED">
        <w:rPr>
          <w:rFonts w:ascii="Times New Roman" w:eastAsia="Times New Roman" w:hAnsi="Times New Roman"/>
          <w:b/>
          <w:sz w:val="24"/>
          <w:szCs w:val="22"/>
        </w:rPr>
        <w:t>un instrumento operativo</w:t>
      </w:r>
      <w:r w:rsidRPr="009A27ED">
        <w:rPr>
          <w:rFonts w:ascii="Times New Roman" w:eastAsia="Times New Roman" w:hAnsi="Times New Roman"/>
          <w:sz w:val="24"/>
          <w:szCs w:val="22"/>
        </w:rPr>
        <w:t xml:space="preserve"> diseñado para dar respuesta a las </w:t>
      </w:r>
      <w:r w:rsidR="00771CF7" w:rsidRPr="009A27ED">
        <w:rPr>
          <w:rFonts w:ascii="Times New Roman" w:eastAsia="Times New Roman" w:hAnsi="Times New Roman"/>
          <w:sz w:val="24"/>
          <w:szCs w:val="22"/>
        </w:rPr>
        <w:t>PO</w:t>
      </w:r>
      <w:r w:rsidRPr="009A27ED">
        <w:rPr>
          <w:rFonts w:ascii="Times New Roman" w:eastAsia="Times New Roman" w:hAnsi="Times New Roman"/>
          <w:sz w:val="24"/>
          <w:szCs w:val="22"/>
        </w:rPr>
        <w:t xml:space="preserve">/BM y a las salvaguardas ambientales y sociales </w:t>
      </w:r>
      <w:r w:rsidR="00771CF7" w:rsidRPr="009A27ED">
        <w:rPr>
          <w:rFonts w:ascii="Times New Roman" w:eastAsia="Times New Roman" w:hAnsi="Times New Roman"/>
          <w:sz w:val="24"/>
          <w:szCs w:val="22"/>
        </w:rPr>
        <w:t>REDD+</w:t>
      </w:r>
      <w:r w:rsidRPr="009A27ED">
        <w:rPr>
          <w:rFonts w:ascii="Times New Roman" w:eastAsia="Times New Roman" w:hAnsi="Times New Roman"/>
          <w:sz w:val="24"/>
          <w:szCs w:val="22"/>
        </w:rPr>
        <w:t xml:space="preserve">, con el fin de mitigar, revertir y/o compensar los riesgos e impactos socio ambientales negativos y al mismo tiempo maximizar los beneficios que serán generados por los proyectos REDD+ seleccionados. </w:t>
      </w:r>
    </w:p>
    <w:p w14:paraId="3FC6A043" w14:textId="4D7D405A" w:rsidR="00947670" w:rsidRPr="009A27ED" w:rsidRDefault="00947670" w:rsidP="005B6485">
      <w:pPr>
        <w:spacing w:before="120" w:after="0" w:line="360" w:lineRule="auto"/>
        <w:rPr>
          <w:b/>
        </w:rPr>
      </w:pPr>
      <w:r w:rsidRPr="009A27ED">
        <w:rPr>
          <w:rFonts w:ascii="Times New Roman" w:eastAsia="Times New Roman" w:hAnsi="Times New Roman"/>
          <w:sz w:val="24"/>
          <w:szCs w:val="22"/>
        </w:rPr>
        <w:t xml:space="preserve">El Marco establecido en este documento considera una secuencia de etapas cuyo objetivo es presentar los </w:t>
      </w:r>
      <w:r w:rsidRPr="009A27ED">
        <w:rPr>
          <w:rFonts w:ascii="Times New Roman" w:eastAsia="Times New Roman" w:hAnsi="Times New Roman"/>
          <w:b/>
          <w:sz w:val="24"/>
          <w:szCs w:val="22"/>
        </w:rPr>
        <w:t xml:space="preserve">procedimientos a seguir durante la implementación de las </w:t>
      </w:r>
      <w:r w:rsidRPr="009A27ED">
        <w:rPr>
          <w:rFonts w:ascii="Times New Roman" w:eastAsia="Times New Roman" w:hAnsi="Times New Roman"/>
          <w:b/>
          <w:i/>
          <w:sz w:val="24"/>
          <w:szCs w:val="22"/>
        </w:rPr>
        <w:t xml:space="preserve">actividades </w:t>
      </w:r>
      <w:r w:rsidR="00B7224B" w:rsidRPr="009A27ED">
        <w:rPr>
          <w:rFonts w:ascii="Times New Roman" w:eastAsia="Times New Roman" w:hAnsi="Times New Roman"/>
          <w:b/>
          <w:i/>
          <w:sz w:val="24"/>
          <w:szCs w:val="22"/>
        </w:rPr>
        <w:t>tipo</w:t>
      </w:r>
      <w:r w:rsidR="00B7224B" w:rsidRPr="009A27ED">
        <w:rPr>
          <w:rFonts w:ascii="Times New Roman" w:eastAsia="Times New Roman" w:hAnsi="Times New Roman"/>
          <w:b/>
          <w:sz w:val="24"/>
          <w:szCs w:val="22"/>
        </w:rPr>
        <w:t xml:space="preserve"> </w:t>
      </w:r>
      <w:r w:rsidRPr="009A27ED">
        <w:rPr>
          <w:rFonts w:ascii="Times New Roman" w:eastAsia="Times New Roman" w:hAnsi="Times New Roman"/>
          <w:b/>
          <w:sz w:val="24"/>
          <w:szCs w:val="22"/>
        </w:rPr>
        <w:t>REDD+ con el fin de mitigar los riesgos e impactos ad</w:t>
      </w:r>
      <w:r w:rsidR="009C3EF3" w:rsidRPr="009A27ED">
        <w:rPr>
          <w:rFonts w:ascii="Times New Roman" w:eastAsia="Times New Roman" w:hAnsi="Times New Roman"/>
          <w:b/>
          <w:sz w:val="24"/>
          <w:szCs w:val="22"/>
        </w:rPr>
        <w:t>versos ambientales y sociales.</w:t>
      </w:r>
      <w:r w:rsidR="009C3EF3" w:rsidRPr="009A27ED">
        <w:rPr>
          <w:rFonts w:ascii="Times New Roman" w:eastAsia="Times New Roman" w:hAnsi="Times New Roman"/>
          <w:b/>
          <w:sz w:val="24"/>
        </w:rPr>
        <w:t xml:space="preserve"> </w:t>
      </w:r>
    </w:p>
    <w:p w14:paraId="6C9889AD" w14:textId="26165DFC" w:rsidR="00947670" w:rsidRPr="009A27ED" w:rsidRDefault="00947670" w:rsidP="005B6485">
      <w:pPr>
        <w:spacing w:before="120" w:after="0" w:line="360" w:lineRule="auto"/>
        <w:rPr>
          <w:szCs w:val="22"/>
        </w:rPr>
      </w:pPr>
      <w:r w:rsidRPr="009A27ED">
        <w:rPr>
          <w:rFonts w:ascii="Times New Roman" w:eastAsia="Times New Roman" w:hAnsi="Times New Roman"/>
          <w:sz w:val="24"/>
          <w:szCs w:val="22"/>
        </w:rPr>
        <w:t>En las secciones 7 y 8 del MGAS (y anexos) se presentan las responsabilidades de cada entidad y las directrices a seguir a fin de cumplir con los requerimientos de la normativa nacional e internacional para abordar, respetar y cumplir las salvaguardas activadas. Se define también el seguimiento, y rep</w:t>
      </w:r>
      <w:r w:rsidR="009C3EF3" w:rsidRPr="009A27ED">
        <w:rPr>
          <w:rFonts w:ascii="Times New Roman" w:eastAsia="Times New Roman" w:hAnsi="Times New Roman"/>
          <w:sz w:val="24"/>
          <w:szCs w:val="22"/>
        </w:rPr>
        <w:t xml:space="preserve">orte de dichos requerimientos. </w:t>
      </w:r>
    </w:p>
    <w:p w14:paraId="32E6B174" w14:textId="6D32DCDF" w:rsidR="00947670" w:rsidRPr="009A27ED" w:rsidRDefault="00947670" w:rsidP="005B6485">
      <w:pPr>
        <w:spacing w:before="120" w:after="0" w:line="360" w:lineRule="auto"/>
        <w:rPr>
          <w:szCs w:val="22"/>
        </w:rPr>
      </w:pPr>
      <w:proofErr w:type="gramStart"/>
      <w:r w:rsidRPr="009A27ED">
        <w:rPr>
          <w:rFonts w:ascii="Times New Roman" w:eastAsia="Times New Roman" w:hAnsi="Times New Roman"/>
          <w:sz w:val="24"/>
          <w:szCs w:val="22"/>
        </w:rPr>
        <w:t xml:space="preserve">Los pasos </w:t>
      </w:r>
      <w:r w:rsidR="00AC48D2" w:rsidRPr="009A27ED">
        <w:rPr>
          <w:rFonts w:ascii="Times New Roman" w:eastAsia="Times New Roman" w:hAnsi="Times New Roman"/>
          <w:sz w:val="24"/>
          <w:szCs w:val="22"/>
        </w:rPr>
        <w:t>inmediatos</w:t>
      </w:r>
      <w:r w:rsidRPr="009A27ED">
        <w:rPr>
          <w:rFonts w:ascii="Times New Roman" w:eastAsia="Times New Roman" w:hAnsi="Times New Roman"/>
          <w:sz w:val="24"/>
          <w:szCs w:val="22"/>
        </w:rPr>
        <w:t xml:space="preserve"> a seguir</w:t>
      </w:r>
      <w:proofErr w:type="gramEnd"/>
      <w:r w:rsidRPr="009A27ED">
        <w:rPr>
          <w:rFonts w:ascii="Times New Roman" w:eastAsia="Times New Roman" w:hAnsi="Times New Roman"/>
          <w:sz w:val="24"/>
          <w:szCs w:val="22"/>
        </w:rPr>
        <w:t xml:space="preserve"> para operacionalizar las responsabilidades y </w:t>
      </w:r>
      <w:r w:rsidR="00AC48D2" w:rsidRPr="009A27ED">
        <w:rPr>
          <w:rFonts w:ascii="Times New Roman" w:eastAsia="Times New Roman" w:hAnsi="Times New Roman"/>
          <w:sz w:val="24"/>
          <w:szCs w:val="22"/>
        </w:rPr>
        <w:t>directrices</w:t>
      </w:r>
      <w:r w:rsidRPr="009A27ED">
        <w:rPr>
          <w:rFonts w:ascii="Times New Roman" w:eastAsia="Times New Roman" w:hAnsi="Times New Roman"/>
          <w:sz w:val="24"/>
          <w:szCs w:val="22"/>
        </w:rPr>
        <w:t xml:space="preserve"> del MGAS incluyen: </w:t>
      </w:r>
    </w:p>
    <w:p w14:paraId="6B6705AA" w14:textId="54C4A78E" w:rsidR="00AC48D2" w:rsidRPr="009A27ED" w:rsidRDefault="00FE313C" w:rsidP="00D42802">
      <w:pPr>
        <w:pStyle w:val="Number1"/>
        <w:numPr>
          <w:ilvl w:val="0"/>
          <w:numId w:val="70"/>
        </w:numPr>
        <w:spacing w:line="360" w:lineRule="auto"/>
        <w:rPr>
          <w:strike/>
        </w:rPr>
      </w:pPr>
      <w:r w:rsidRPr="009A27ED">
        <w:rPr>
          <w:rFonts w:ascii="Times New Roman" w:hAnsi="Times New Roman"/>
          <w:sz w:val="24"/>
        </w:rPr>
        <w:t>Continuación de la s</w:t>
      </w:r>
      <w:r w:rsidR="00086504" w:rsidRPr="009A27ED">
        <w:rPr>
          <w:rFonts w:ascii="Times New Roman" w:hAnsi="Times New Roman"/>
          <w:sz w:val="24"/>
        </w:rPr>
        <w:t xml:space="preserve">ocialización de </w:t>
      </w:r>
      <w:r w:rsidR="00947670" w:rsidRPr="009A27ED">
        <w:rPr>
          <w:rFonts w:ascii="Times New Roman" w:hAnsi="Times New Roman"/>
          <w:sz w:val="24"/>
        </w:rPr>
        <w:t xml:space="preserve">las actividades </w:t>
      </w:r>
      <w:r w:rsidR="009C3EF3" w:rsidRPr="009A27ED">
        <w:rPr>
          <w:rFonts w:ascii="Times New Roman" w:hAnsi="Times New Roman"/>
          <w:sz w:val="24"/>
        </w:rPr>
        <w:t>específicas</w:t>
      </w:r>
      <w:r w:rsidR="00947670" w:rsidRPr="009A27ED">
        <w:rPr>
          <w:rFonts w:ascii="Times New Roman" w:hAnsi="Times New Roman"/>
          <w:sz w:val="24"/>
        </w:rPr>
        <w:t xml:space="preserve"> REDD+ que implementará cada EE</w:t>
      </w:r>
      <w:r w:rsidR="00771CF7" w:rsidRPr="009A27ED">
        <w:rPr>
          <w:rFonts w:ascii="Times New Roman" w:hAnsi="Times New Roman"/>
          <w:sz w:val="24"/>
        </w:rPr>
        <w:t xml:space="preserve"> </w:t>
      </w:r>
      <w:r w:rsidR="00771CF7" w:rsidRPr="009A27ED">
        <w:rPr>
          <w:rFonts w:ascii="Times New Roman" w:hAnsi="Times New Roman"/>
          <w:strike/>
          <w:sz w:val="24"/>
        </w:rPr>
        <w:t>(realizada mayo-junio 2019)</w:t>
      </w:r>
      <w:r w:rsidR="00947670" w:rsidRPr="009A27ED">
        <w:rPr>
          <w:rFonts w:ascii="Times New Roman" w:hAnsi="Times New Roman"/>
          <w:strike/>
          <w:sz w:val="24"/>
        </w:rPr>
        <w:t>.</w:t>
      </w:r>
    </w:p>
    <w:p w14:paraId="4063C61F" w14:textId="278ACF8D" w:rsidR="00947670" w:rsidRPr="009A27ED" w:rsidRDefault="00947670" w:rsidP="00D42802">
      <w:pPr>
        <w:pStyle w:val="Number1"/>
        <w:numPr>
          <w:ilvl w:val="0"/>
          <w:numId w:val="70"/>
        </w:numPr>
        <w:spacing w:line="360" w:lineRule="auto"/>
      </w:pPr>
      <w:r w:rsidRPr="009A27ED">
        <w:rPr>
          <w:rFonts w:ascii="Times New Roman" w:hAnsi="Times New Roman"/>
          <w:sz w:val="24"/>
        </w:rPr>
        <w:t xml:space="preserve">Elaborar los acuerdos interinstitucionales para cada actividad </w:t>
      </w:r>
      <w:r w:rsidR="009C3EF3" w:rsidRPr="009A27ED">
        <w:rPr>
          <w:rFonts w:ascii="Times New Roman" w:hAnsi="Times New Roman"/>
          <w:sz w:val="24"/>
        </w:rPr>
        <w:t>específica</w:t>
      </w:r>
      <w:r w:rsidRPr="009A27ED">
        <w:rPr>
          <w:rFonts w:ascii="Times New Roman" w:hAnsi="Times New Roman"/>
          <w:sz w:val="24"/>
        </w:rPr>
        <w:t xml:space="preserve"> REDD+</w:t>
      </w:r>
      <w:r w:rsidR="00771CF7" w:rsidRPr="009A27ED">
        <w:rPr>
          <w:rFonts w:ascii="Times New Roman" w:hAnsi="Times New Roman"/>
          <w:sz w:val="24"/>
        </w:rPr>
        <w:t xml:space="preserve"> (en etapa de borrador)</w:t>
      </w:r>
    </w:p>
    <w:p w14:paraId="4A422F30" w14:textId="3D98369E" w:rsidR="00065304" w:rsidRPr="009A27ED" w:rsidRDefault="00FE313C" w:rsidP="00D42802">
      <w:pPr>
        <w:pStyle w:val="Number1"/>
        <w:numPr>
          <w:ilvl w:val="0"/>
          <w:numId w:val="70"/>
        </w:numPr>
        <w:spacing w:line="360" w:lineRule="auto"/>
      </w:pPr>
      <w:r w:rsidRPr="009A27ED">
        <w:rPr>
          <w:rFonts w:ascii="Times New Roman" w:hAnsi="Times New Roman"/>
          <w:sz w:val="24"/>
        </w:rPr>
        <w:t xml:space="preserve">Continuación de la validación de </w:t>
      </w:r>
      <w:r w:rsidR="00086504" w:rsidRPr="009A27ED">
        <w:rPr>
          <w:rFonts w:ascii="Times New Roman" w:hAnsi="Times New Roman"/>
          <w:strike/>
          <w:sz w:val="24"/>
        </w:rPr>
        <w:t>Validar</w:t>
      </w:r>
      <w:r w:rsidR="00086504" w:rsidRPr="009A27ED">
        <w:rPr>
          <w:rFonts w:ascii="Times New Roman" w:hAnsi="Times New Roman"/>
          <w:sz w:val="24"/>
        </w:rPr>
        <w:t xml:space="preserve"> los </w:t>
      </w:r>
      <w:r w:rsidR="00947670" w:rsidRPr="009A27ED">
        <w:rPr>
          <w:rFonts w:ascii="Times New Roman" w:hAnsi="Times New Roman"/>
          <w:sz w:val="24"/>
        </w:rPr>
        <w:t>PMAS</w:t>
      </w:r>
      <w:r w:rsidR="00086504" w:rsidRPr="009A27ED">
        <w:rPr>
          <w:rFonts w:ascii="Times New Roman" w:hAnsi="Times New Roman"/>
          <w:sz w:val="24"/>
        </w:rPr>
        <w:t xml:space="preserve"> desarrollad</w:t>
      </w:r>
      <w:r w:rsidR="00771CF7" w:rsidRPr="009A27ED">
        <w:rPr>
          <w:rFonts w:ascii="Times New Roman" w:hAnsi="Times New Roman"/>
          <w:sz w:val="24"/>
        </w:rPr>
        <w:t>o</w:t>
      </w:r>
      <w:r w:rsidR="00086504" w:rsidRPr="009A27ED">
        <w:rPr>
          <w:rFonts w:ascii="Times New Roman" w:hAnsi="Times New Roman"/>
          <w:sz w:val="24"/>
        </w:rPr>
        <w:t>s para cada área priorizada</w:t>
      </w:r>
      <w:r w:rsidR="00771CF7" w:rsidRPr="009A27ED">
        <w:rPr>
          <w:rFonts w:ascii="Times New Roman" w:hAnsi="Times New Roman"/>
          <w:sz w:val="24"/>
        </w:rPr>
        <w:t xml:space="preserve"> </w:t>
      </w:r>
      <w:r w:rsidR="00771CF7" w:rsidRPr="009A27ED">
        <w:rPr>
          <w:rFonts w:ascii="Times New Roman" w:hAnsi="Times New Roman"/>
          <w:strike/>
          <w:sz w:val="24"/>
        </w:rPr>
        <w:t xml:space="preserve">(realizada </w:t>
      </w:r>
      <w:r w:rsidR="00792469" w:rsidRPr="009A27ED">
        <w:rPr>
          <w:rFonts w:ascii="Times New Roman" w:hAnsi="Times New Roman"/>
          <w:strike/>
          <w:sz w:val="24"/>
        </w:rPr>
        <w:t>abril</w:t>
      </w:r>
      <w:r w:rsidR="00771CF7" w:rsidRPr="009A27ED">
        <w:rPr>
          <w:rFonts w:ascii="Times New Roman" w:hAnsi="Times New Roman"/>
          <w:strike/>
          <w:sz w:val="24"/>
        </w:rPr>
        <w:t xml:space="preserve"> 2019)</w:t>
      </w:r>
    </w:p>
    <w:p w14:paraId="4EB47B90" w14:textId="3EBCD6EE" w:rsidR="00947670" w:rsidRPr="009A27ED" w:rsidRDefault="00FE313C" w:rsidP="00D42802">
      <w:pPr>
        <w:pStyle w:val="Number1"/>
        <w:numPr>
          <w:ilvl w:val="0"/>
          <w:numId w:val="70"/>
        </w:numPr>
        <w:spacing w:line="360" w:lineRule="auto"/>
        <w:rPr>
          <w:strike/>
        </w:rPr>
      </w:pPr>
      <w:r w:rsidRPr="009A27ED">
        <w:rPr>
          <w:rFonts w:ascii="Times New Roman" w:hAnsi="Times New Roman"/>
          <w:sz w:val="24"/>
        </w:rPr>
        <w:t xml:space="preserve">Fortalecer las capacidades del </w:t>
      </w:r>
      <w:r w:rsidR="00065304" w:rsidRPr="009A27ED">
        <w:rPr>
          <w:rFonts w:ascii="Times New Roman" w:hAnsi="Times New Roman"/>
          <w:strike/>
          <w:sz w:val="24"/>
        </w:rPr>
        <w:t>Capacitar al</w:t>
      </w:r>
      <w:r w:rsidR="00065304" w:rsidRPr="009A27ED">
        <w:rPr>
          <w:rFonts w:ascii="Times New Roman" w:hAnsi="Times New Roman"/>
          <w:sz w:val="24"/>
        </w:rPr>
        <w:t xml:space="preserve"> Grupo de Trabajo de Salvaguardas en los contenidos identificados en el Diagnóstico de Capacidades Institucionales</w:t>
      </w:r>
      <w:r w:rsidR="00947670" w:rsidRPr="009A27ED">
        <w:rPr>
          <w:rFonts w:ascii="Times New Roman" w:hAnsi="Times New Roman"/>
          <w:sz w:val="24"/>
        </w:rPr>
        <w:t xml:space="preserve"> </w:t>
      </w:r>
      <w:r w:rsidR="004C36ED" w:rsidRPr="009A27ED">
        <w:rPr>
          <w:rFonts w:ascii="Times New Roman" w:hAnsi="Times New Roman"/>
          <w:strike/>
          <w:sz w:val="24"/>
        </w:rPr>
        <w:t>(realizada junio 2019)</w:t>
      </w:r>
    </w:p>
    <w:p w14:paraId="61863D2F" w14:textId="14F6E6EB" w:rsidR="00947670" w:rsidRPr="009A27ED" w:rsidRDefault="00947670" w:rsidP="00D42802">
      <w:pPr>
        <w:pStyle w:val="Number1"/>
        <w:numPr>
          <w:ilvl w:val="0"/>
          <w:numId w:val="70"/>
        </w:numPr>
        <w:spacing w:line="360" w:lineRule="auto"/>
      </w:pPr>
      <w:r w:rsidRPr="009A27ED">
        <w:rPr>
          <w:rFonts w:ascii="Times New Roman" w:hAnsi="Times New Roman"/>
          <w:sz w:val="24"/>
        </w:rPr>
        <w:t>Definir en el acuerdo interinstitucional las responsabilidades de la EE en cuanto al cumplimiento y reporte de salvaguardas</w:t>
      </w:r>
      <w:r w:rsidR="00B7224B" w:rsidRPr="009A27ED">
        <w:rPr>
          <w:rFonts w:ascii="Times New Roman" w:hAnsi="Times New Roman"/>
          <w:sz w:val="24"/>
        </w:rPr>
        <w:t xml:space="preserve"> (incluidos en los acuerdos interinstitucionales) </w:t>
      </w:r>
    </w:p>
    <w:p w14:paraId="75E62464" w14:textId="79588BE7" w:rsidR="00947670" w:rsidRPr="009A27ED" w:rsidRDefault="00FE313C" w:rsidP="00D42802">
      <w:pPr>
        <w:pStyle w:val="Number1"/>
        <w:numPr>
          <w:ilvl w:val="0"/>
          <w:numId w:val="70"/>
        </w:numPr>
        <w:spacing w:line="360" w:lineRule="auto"/>
      </w:pPr>
      <w:r w:rsidRPr="009A27ED">
        <w:rPr>
          <w:rFonts w:ascii="Times New Roman" w:hAnsi="Times New Roman"/>
          <w:sz w:val="24"/>
        </w:rPr>
        <w:t xml:space="preserve">Continuar la capacitación de </w:t>
      </w:r>
      <w:r w:rsidR="00947670" w:rsidRPr="009A27ED">
        <w:rPr>
          <w:rFonts w:ascii="Times New Roman" w:hAnsi="Times New Roman"/>
          <w:strike/>
          <w:sz w:val="24"/>
        </w:rPr>
        <w:t>Capacitar</w:t>
      </w:r>
      <w:r w:rsidR="00947670" w:rsidRPr="009A27ED">
        <w:rPr>
          <w:rFonts w:ascii="Times New Roman" w:hAnsi="Times New Roman"/>
          <w:sz w:val="24"/>
        </w:rPr>
        <w:t xml:space="preserve"> las EE sobre sus requerimientos de salvaguardas e implementación y seguimiento del PMAS</w:t>
      </w:r>
      <w:r w:rsidR="004C153D" w:rsidRPr="009A27ED">
        <w:rPr>
          <w:rFonts w:ascii="Times New Roman" w:hAnsi="Times New Roman"/>
          <w:sz w:val="24"/>
        </w:rPr>
        <w:t>.</w:t>
      </w:r>
    </w:p>
    <w:p w14:paraId="31577377" w14:textId="7508EE0E" w:rsidR="009C5AC0" w:rsidRPr="009A27ED" w:rsidRDefault="00FE313C" w:rsidP="00FE313C">
      <w:pPr>
        <w:pStyle w:val="Number1"/>
        <w:numPr>
          <w:ilvl w:val="0"/>
          <w:numId w:val="70"/>
        </w:numPr>
        <w:spacing w:line="360" w:lineRule="auto"/>
      </w:pPr>
      <w:r w:rsidRPr="009A27ED">
        <w:rPr>
          <w:rFonts w:ascii="Times New Roman" w:hAnsi="Times New Roman"/>
          <w:sz w:val="24"/>
        </w:rPr>
        <w:t>Continuar la capacitación de</w:t>
      </w:r>
      <w:r w:rsidR="004C153D" w:rsidRPr="009A27ED">
        <w:rPr>
          <w:rFonts w:ascii="Times New Roman" w:hAnsi="Times New Roman"/>
          <w:sz w:val="24"/>
        </w:rPr>
        <w:t xml:space="preserve"> las EE sobre sus </w:t>
      </w:r>
      <w:r w:rsidRPr="009A27ED">
        <w:rPr>
          <w:rFonts w:ascii="Times New Roman" w:hAnsi="Times New Roman"/>
          <w:sz w:val="24"/>
        </w:rPr>
        <w:t xml:space="preserve">atribuciones y compromisos para </w:t>
      </w:r>
      <w:proofErr w:type="gramStart"/>
      <w:r w:rsidRPr="009A27ED">
        <w:rPr>
          <w:rFonts w:ascii="Times New Roman" w:hAnsi="Times New Roman"/>
          <w:sz w:val="24"/>
        </w:rPr>
        <w:t xml:space="preserve">la </w:t>
      </w:r>
      <w:r w:rsidR="004C153D" w:rsidRPr="009A27ED">
        <w:rPr>
          <w:rFonts w:ascii="Times New Roman" w:hAnsi="Times New Roman"/>
          <w:strike/>
          <w:sz w:val="24"/>
        </w:rPr>
        <w:t>requerimientos</w:t>
      </w:r>
      <w:proofErr w:type="gramEnd"/>
      <w:r w:rsidR="004C153D" w:rsidRPr="009A27ED">
        <w:rPr>
          <w:rFonts w:ascii="Times New Roman" w:hAnsi="Times New Roman"/>
          <w:strike/>
          <w:sz w:val="24"/>
        </w:rPr>
        <w:t xml:space="preserve"> </w:t>
      </w:r>
      <w:r w:rsidR="004C153D" w:rsidRPr="009A27ED">
        <w:rPr>
          <w:rFonts w:ascii="Times New Roman" w:hAnsi="Times New Roman"/>
          <w:sz w:val="24"/>
        </w:rPr>
        <w:t xml:space="preserve"> implementación </w:t>
      </w:r>
      <w:r w:rsidRPr="009A27ED">
        <w:rPr>
          <w:rFonts w:ascii="Times New Roman" w:hAnsi="Times New Roman"/>
          <w:sz w:val="24"/>
        </w:rPr>
        <w:t>del S</w:t>
      </w:r>
      <w:r w:rsidR="004C153D" w:rsidRPr="009A27ED">
        <w:rPr>
          <w:rFonts w:ascii="Times New Roman" w:hAnsi="Times New Roman"/>
          <w:sz w:val="24"/>
        </w:rPr>
        <w:t>QRC y SIS</w:t>
      </w:r>
    </w:p>
    <w:p w14:paraId="499368D3" w14:textId="07C3398B" w:rsidR="00792469" w:rsidRPr="009A27ED" w:rsidRDefault="000A720D" w:rsidP="00D42802">
      <w:pPr>
        <w:pStyle w:val="Number1"/>
        <w:numPr>
          <w:ilvl w:val="0"/>
          <w:numId w:val="70"/>
        </w:numPr>
        <w:spacing w:line="360" w:lineRule="auto"/>
        <w:rPr>
          <w:strike/>
        </w:rPr>
      </w:pPr>
      <w:proofErr w:type="spellStart"/>
      <w:proofErr w:type="gramStart"/>
      <w:r w:rsidRPr="009A27ED">
        <w:rPr>
          <w:rFonts w:ascii="Times New Roman" w:hAnsi="Times New Roman"/>
          <w:sz w:val="24"/>
        </w:rPr>
        <w:lastRenderedPageBreak/>
        <w:t>h.</w:t>
      </w:r>
      <w:r w:rsidR="00792469" w:rsidRPr="009A27ED">
        <w:rPr>
          <w:rFonts w:ascii="Times New Roman" w:hAnsi="Times New Roman"/>
          <w:sz w:val="24"/>
        </w:rPr>
        <w:t>Capacitar</w:t>
      </w:r>
      <w:proofErr w:type="spellEnd"/>
      <w:proofErr w:type="gramEnd"/>
      <w:r w:rsidR="00792469" w:rsidRPr="009A27ED">
        <w:rPr>
          <w:rFonts w:ascii="Times New Roman" w:hAnsi="Times New Roman"/>
          <w:sz w:val="24"/>
        </w:rPr>
        <w:t xml:space="preserve"> a las EE sobre</w:t>
      </w:r>
      <w:r w:rsidR="00FE313C" w:rsidRPr="009A27ED">
        <w:rPr>
          <w:rFonts w:ascii="Times New Roman" w:hAnsi="Times New Roman"/>
          <w:sz w:val="24"/>
        </w:rPr>
        <w:t xml:space="preserve"> la aplicación de las Guías Técnicas de Buenas Prácticas Ambientales y Sociales </w:t>
      </w:r>
      <w:r w:rsidR="00186C17" w:rsidRPr="009A27ED">
        <w:rPr>
          <w:rFonts w:ascii="Times New Roman" w:hAnsi="Times New Roman"/>
          <w:sz w:val="24"/>
        </w:rPr>
        <w:t xml:space="preserve"> relativas a las Actividades Tipos REDD+.</w:t>
      </w:r>
      <w:r w:rsidR="00FE313C" w:rsidRPr="009A27ED">
        <w:rPr>
          <w:rFonts w:ascii="Times New Roman" w:hAnsi="Times New Roman"/>
          <w:sz w:val="24"/>
        </w:rPr>
        <w:t xml:space="preserve"> </w:t>
      </w:r>
      <w:r w:rsidR="00792469" w:rsidRPr="009A27ED">
        <w:rPr>
          <w:rFonts w:ascii="Times New Roman" w:hAnsi="Times New Roman"/>
          <w:sz w:val="24"/>
        </w:rPr>
        <w:t xml:space="preserve"> </w:t>
      </w:r>
      <w:r w:rsidR="00792469" w:rsidRPr="009A27ED">
        <w:rPr>
          <w:rFonts w:ascii="Times New Roman" w:hAnsi="Times New Roman"/>
          <w:strike/>
          <w:sz w:val="24"/>
        </w:rPr>
        <w:t>conocimientos generales de Manejo de Plagas</w:t>
      </w:r>
    </w:p>
    <w:p w14:paraId="138C61BD" w14:textId="7197CF9A" w:rsidR="00792469" w:rsidRPr="009A27ED" w:rsidRDefault="00792469" w:rsidP="00792469">
      <w:pPr>
        <w:pStyle w:val="Number1"/>
        <w:numPr>
          <w:ilvl w:val="0"/>
          <w:numId w:val="0"/>
        </w:numPr>
        <w:spacing w:line="360" w:lineRule="auto"/>
        <w:rPr>
          <w:strike/>
        </w:rPr>
      </w:pPr>
    </w:p>
    <w:p w14:paraId="680429B3" w14:textId="6E900370" w:rsidR="005A6E85" w:rsidRPr="009A27ED" w:rsidRDefault="005A6E85" w:rsidP="00792469">
      <w:pPr>
        <w:pStyle w:val="Number1"/>
        <w:numPr>
          <w:ilvl w:val="0"/>
          <w:numId w:val="0"/>
        </w:numPr>
        <w:spacing w:line="360" w:lineRule="auto"/>
      </w:pPr>
    </w:p>
    <w:p w14:paraId="0D16AE0E" w14:textId="77777777" w:rsidR="005A6E85" w:rsidRPr="009A27ED" w:rsidRDefault="005A6E85" w:rsidP="00792469">
      <w:pPr>
        <w:pStyle w:val="Number1"/>
        <w:numPr>
          <w:ilvl w:val="0"/>
          <w:numId w:val="0"/>
        </w:numPr>
        <w:spacing w:line="360" w:lineRule="auto"/>
      </w:pPr>
    </w:p>
    <w:p w14:paraId="4C37A052" w14:textId="768D1D1A" w:rsidR="005A6E85" w:rsidRPr="009A27ED" w:rsidRDefault="00792469" w:rsidP="005A6E85">
      <w:pPr>
        <w:pStyle w:val="Ttulo1"/>
        <w:numPr>
          <w:ilvl w:val="0"/>
          <w:numId w:val="0"/>
        </w:numPr>
        <w:spacing w:line="360" w:lineRule="auto"/>
        <w:jc w:val="both"/>
      </w:pPr>
      <w:bookmarkStart w:id="650" w:name="_Toc111838014"/>
      <w:bookmarkStart w:id="651" w:name="_Hlk109837726"/>
      <w:r w:rsidRPr="009A27ED">
        <w:rPr>
          <w:rFonts w:ascii="Times New Roman" w:eastAsia="Times New Roman" w:hAnsi="Times New Roman"/>
          <w:sz w:val="24"/>
        </w:rPr>
        <w:t>1</w:t>
      </w:r>
      <w:r w:rsidR="00F512DB" w:rsidRPr="009A27ED">
        <w:rPr>
          <w:rFonts w:ascii="Times New Roman" w:eastAsia="Times New Roman" w:hAnsi="Times New Roman"/>
          <w:sz w:val="24"/>
        </w:rPr>
        <w:t>6</w:t>
      </w:r>
      <w:r w:rsidRPr="009A27ED">
        <w:rPr>
          <w:rFonts w:ascii="Times New Roman" w:eastAsia="Times New Roman" w:hAnsi="Times New Roman"/>
          <w:sz w:val="24"/>
        </w:rPr>
        <w:t>. Anexos</w:t>
      </w:r>
      <w:bookmarkEnd w:id="650"/>
    </w:p>
    <w:p w14:paraId="2E159A8A" w14:textId="77777777" w:rsidR="005A6E85" w:rsidRPr="009A27ED" w:rsidRDefault="005A6E85" w:rsidP="005A6E85">
      <w:pPr>
        <w:pStyle w:val="Ttulo1"/>
        <w:numPr>
          <w:ilvl w:val="0"/>
          <w:numId w:val="0"/>
        </w:numPr>
        <w:spacing w:line="360" w:lineRule="auto"/>
        <w:jc w:val="both"/>
      </w:pPr>
      <w:bookmarkStart w:id="652" w:name="_Toc111838015"/>
      <w:bookmarkEnd w:id="651"/>
      <w:r w:rsidRPr="009A27ED">
        <w:rPr>
          <w:rFonts w:ascii="Times New Roman" w:eastAsia="Times New Roman" w:hAnsi="Times New Roman"/>
          <w:sz w:val="24"/>
        </w:rPr>
        <w:t>Anexo 1 Análisis de la legislación nacional relevante a la EN-REDD+ vinculado a las Políticas Operativas del Banco Mundial</w:t>
      </w:r>
      <w:bookmarkEnd w:id="652"/>
    </w:p>
    <w:p w14:paraId="0DD6660B" w14:textId="77777777" w:rsidR="005A6E85" w:rsidRPr="009A27ED" w:rsidRDefault="005A6E85" w:rsidP="005A6E85">
      <w:pPr>
        <w:pStyle w:val="Textosubrayado"/>
        <w:spacing w:line="360" w:lineRule="auto"/>
        <w:rPr>
          <w:szCs w:val="22"/>
        </w:rPr>
      </w:pPr>
    </w:p>
    <w:p w14:paraId="782B3ED0" w14:textId="75157987" w:rsidR="005A6E85" w:rsidRPr="009A27ED" w:rsidRDefault="005A6E85" w:rsidP="005A6E85">
      <w:pPr>
        <w:spacing w:line="360" w:lineRule="auto"/>
      </w:pPr>
      <w:r w:rsidRPr="009A27ED">
        <w:rPr>
          <w:rFonts w:ascii="Times New Roman" w:eastAsia="Times New Roman" w:hAnsi="Times New Roman"/>
          <w:sz w:val="24"/>
          <w:szCs w:val="22"/>
        </w:rPr>
        <w:t>Debido al contexto particular e historia de la República Dominicana, en virtud de la declaración hecha por la misma respecto a que no existe presencia de etnias indígenas en el país (confirmado por el análisis del marco legal), y con base a la evaluación preliminar de estos aspectos para el Proyecto REDD+, el Banco Mundial ha determinado que su Política Operacional 4.10 de Pueblos Indígenas no es aplicable.</w:t>
      </w:r>
    </w:p>
    <w:p w14:paraId="229D3DFA" w14:textId="5FF6A107" w:rsidR="00792469" w:rsidRPr="009A27ED" w:rsidRDefault="00792469" w:rsidP="00792469">
      <w:pPr>
        <w:pStyle w:val="Number1"/>
        <w:numPr>
          <w:ilvl w:val="0"/>
          <w:numId w:val="0"/>
        </w:numPr>
        <w:spacing w:line="360" w:lineRule="auto"/>
        <w:rPr>
          <w:lang w:val="es-ES"/>
        </w:rPr>
        <w:sectPr w:rsidR="00792469" w:rsidRPr="009A27ED" w:rsidSect="0014657A">
          <w:pgSz w:w="17037" w:h="15842" w:orient="landscape"/>
          <w:pgMar w:top="1418" w:right="6496" w:bottom="1418" w:left="1701" w:header="709" w:footer="709" w:gutter="0"/>
          <w:cols w:space="708"/>
          <w:docGrid w:linePitch="326"/>
        </w:sectPr>
      </w:pPr>
    </w:p>
    <w:p w14:paraId="2FA7044B" w14:textId="79D469F6" w:rsidR="00DF3AFC" w:rsidRPr="009A27ED" w:rsidRDefault="00DF3AFC" w:rsidP="00DF3AFC">
      <w:pPr>
        <w:pStyle w:val="Descripcin"/>
        <w:keepNext/>
        <w:spacing w:line="360" w:lineRule="auto"/>
        <w:rPr>
          <w:b/>
        </w:rPr>
      </w:pPr>
      <w:bookmarkStart w:id="653" w:name="_Toc111887469"/>
      <w:r w:rsidRPr="009A27ED">
        <w:rPr>
          <w:rFonts w:ascii="Times New Roman" w:eastAsia="Times New Roman" w:hAnsi="Times New Roman"/>
          <w:b/>
          <w:sz w:val="24"/>
        </w:rPr>
        <w:lastRenderedPageBreak/>
        <w:t xml:space="preserve">Cuadro </w:t>
      </w:r>
      <w:r w:rsidRPr="009A27ED">
        <w:rPr>
          <w:rFonts w:ascii="Times New Roman" w:eastAsia="Times New Roman" w:hAnsi="Times New Roman"/>
          <w:b/>
          <w:sz w:val="24"/>
        </w:rPr>
        <w:fldChar w:fldCharType="begin"/>
      </w:r>
      <w:r w:rsidRPr="009A27ED">
        <w:rPr>
          <w:rFonts w:ascii="Times New Roman" w:eastAsia="Times New Roman" w:hAnsi="Times New Roman"/>
          <w:b/>
          <w:sz w:val="24"/>
        </w:rPr>
        <w:instrText xml:space="preserve"> SEQ Cuadro \* ARABIC </w:instrText>
      </w:r>
      <w:r w:rsidRPr="009A27ED">
        <w:rPr>
          <w:rFonts w:ascii="Times New Roman" w:eastAsia="Times New Roman" w:hAnsi="Times New Roman"/>
          <w:b/>
          <w:sz w:val="24"/>
        </w:rPr>
        <w:fldChar w:fldCharType="separate"/>
      </w:r>
      <w:r w:rsidRPr="009A27ED">
        <w:rPr>
          <w:rFonts w:ascii="Times New Roman" w:eastAsia="Times New Roman" w:hAnsi="Times New Roman"/>
          <w:b/>
          <w:noProof/>
          <w:sz w:val="24"/>
        </w:rPr>
        <w:t>59</w:t>
      </w:r>
      <w:r w:rsidRPr="009A27ED">
        <w:rPr>
          <w:rFonts w:ascii="Times New Roman" w:eastAsia="Times New Roman" w:hAnsi="Times New Roman"/>
          <w:b/>
          <w:sz w:val="24"/>
        </w:rPr>
        <w:fldChar w:fldCharType="end"/>
      </w:r>
      <w:r w:rsidRPr="009A27ED">
        <w:rPr>
          <w:rFonts w:ascii="Times New Roman" w:eastAsia="Times New Roman" w:hAnsi="Times New Roman"/>
          <w:b/>
          <w:sz w:val="24"/>
        </w:rPr>
        <w:t>. Políticas Operativas del Banco Mundial. Análisis y aplicación relacionadas a leyes del país.</w:t>
      </w:r>
      <w:bookmarkEnd w:id="653"/>
      <w:r w:rsidRPr="009A27ED">
        <w:rPr>
          <w:rFonts w:ascii="Times New Roman" w:eastAsia="Times New Roman" w:hAnsi="Times New Roman"/>
          <w:b/>
          <w:sz w:val="24"/>
        </w:rPr>
        <w:t xml:space="preserve"> </w:t>
      </w:r>
    </w:p>
    <w:p w14:paraId="1ABDF7CC" w14:textId="02996301" w:rsidR="00DF3AFC" w:rsidRPr="009A27ED" w:rsidRDefault="00DF3AFC" w:rsidP="00DF3AFC">
      <w:pPr>
        <w:pStyle w:val="Descripcin"/>
        <w:keepNext/>
        <w:spacing w:line="360" w:lineRule="auto"/>
        <w:rPr>
          <w:b/>
        </w:rPr>
      </w:pPr>
      <w:r w:rsidRPr="009A27ED">
        <w:rPr>
          <w:rFonts w:ascii="Times New Roman" w:eastAsia="Times New Roman" w:hAnsi="Times New Roman"/>
          <w:b/>
          <w:sz w:val="24"/>
        </w:rPr>
        <w:t>Recomendaciones a partir de las brechas encontradas para la implementación de REDD+</w:t>
      </w:r>
    </w:p>
    <w:tbl>
      <w:tblPr>
        <w:tblStyle w:val="GridTable1Light-Accent11"/>
        <w:tblpPr w:leftFromText="141" w:rightFromText="141" w:vertAnchor="page" w:tblpX="-714" w:tblpY="571"/>
        <w:tblW w:w="15168" w:type="dxa"/>
        <w:tblLayout w:type="fixed"/>
        <w:tblLook w:val="04A0" w:firstRow="1" w:lastRow="0" w:firstColumn="1" w:lastColumn="0" w:noHBand="0" w:noVBand="1"/>
      </w:tblPr>
      <w:tblGrid>
        <w:gridCol w:w="2836"/>
        <w:gridCol w:w="1554"/>
        <w:gridCol w:w="2840"/>
        <w:gridCol w:w="2546"/>
        <w:gridCol w:w="2268"/>
        <w:gridCol w:w="3124"/>
      </w:tblGrid>
      <w:tr w:rsidR="0070272F" w:rsidRPr="009A27ED" w14:paraId="0387BF0C" w14:textId="77777777" w:rsidTr="00AF66EF">
        <w:trPr>
          <w:cnfStyle w:val="100000000000" w:firstRow="1" w:lastRow="0" w:firstColumn="0" w:lastColumn="0" w:oddVBand="0" w:evenVBand="0" w:oddHBand="0" w:evenHBand="0" w:firstRowFirstColumn="0" w:firstRowLastColumn="0" w:lastRowFirstColumn="0" w:lastRowLastColumn="0"/>
          <w:trHeight w:val="989"/>
          <w:tblHeader/>
        </w:trPr>
        <w:tc>
          <w:tcPr>
            <w:cnfStyle w:val="001000000000" w:firstRow="0" w:lastRow="0" w:firstColumn="1" w:lastColumn="0" w:oddVBand="0" w:evenVBand="0" w:oddHBand="0" w:evenHBand="0" w:firstRowFirstColumn="0" w:firstRowLastColumn="0" w:lastRowFirstColumn="0" w:lastRowLastColumn="0"/>
            <w:tcW w:w="2836" w:type="dxa"/>
            <w:shd w:val="clear" w:color="auto" w:fill="2E74B5" w:themeFill="accent1" w:themeFillShade="BF"/>
            <w:vAlign w:val="center"/>
          </w:tcPr>
          <w:p w14:paraId="05610208" w14:textId="77777777" w:rsidR="0070272F" w:rsidRPr="009A27ED" w:rsidRDefault="0070272F" w:rsidP="00AF66EF">
            <w:pPr>
              <w:spacing w:after="0"/>
              <w:jc w:val="center"/>
              <w:rPr>
                <w:color w:val="FFFFFF" w:themeColor="background1"/>
                <w:sz w:val="20"/>
                <w:szCs w:val="20"/>
              </w:rPr>
            </w:pPr>
            <w:r w:rsidRPr="009A27ED">
              <w:rPr>
                <w:color w:val="FFFFFF" w:themeColor="background1"/>
                <w:sz w:val="20"/>
                <w:szCs w:val="20"/>
              </w:rPr>
              <w:lastRenderedPageBreak/>
              <w:t>PO del BM</w:t>
            </w:r>
          </w:p>
        </w:tc>
        <w:tc>
          <w:tcPr>
            <w:tcW w:w="1554" w:type="dxa"/>
            <w:shd w:val="clear" w:color="auto" w:fill="2E74B5" w:themeFill="accent1" w:themeFillShade="BF"/>
            <w:vAlign w:val="center"/>
          </w:tcPr>
          <w:p w14:paraId="75979F54" w14:textId="77777777" w:rsidR="0070272F" w:rsidRPr="009A27ED" w:rsidRDefault="0070272F" w:rsidP="00AF66EF">
            <w:pPr>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20"/>
                <w:szCs w:val="20"/>
              </w:rPr>
            </w:pPr>
            <w:r w:rsidRPr="009A27ED">
              <w:rPr>
                <w:color w:val="FFFFFF" w:themeColor="background1"/>
                <w:sz w:val="20"/>
                <w:szCs w:val="20"/>
              </w:rPr>
              <w:t>Marco jurídico relevante</w:t>
            </w:r>
          </w:p>
        </w:tc>
        <w:tc>
          <w:tcPr>
            <w:tcW w:w="2840" w:type="dxa"/>
            <w:shd w:val="clear" w:color="auto" w:fill="2E74B5" w:themeFill="accent1" w:themeFillShade="BF"/>
            <w:vAlign w:val="center"/>
          </w:tcPr>
          <w:p w14:paraId="54C86315" w14:textId="77777777" w:rsidR="0070272F" w:rsidRPr="009A27ED" w:rsidRDefault="0070272F" w:rsidP="00AF66EF">
            <w:pPr>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20"/>
                <w:szCs w:val="20"/>
              </w:rPr>
            </w:pPr>
            <w:r w:rsidRPr="009A27ED">
              <w:rPr>
                <w:color w:val="FFFFFF" w:themeColor="background1"/>
                <w:sz w:val="20"/>
                <w:szCs w:val="20"/>
              </w:rPr>
              <w:t>Descripción</w:t>
            </w:r>
          </w:p>
        </w:tc>
        <w:tc>
          <w:tcPr>
            <w:tcW w:w="2546" w:type="dxa"/>
            <w:shd w:val="clear" w:color="auto" w:fill="2E74B5" w:themeFill="accent1" w:themeFillShade="BF"/>
            <w:vAlign w:val="center"/>
          </w:tcPr>
          <w:p w14:paraId="268E095A" w14:textId="77777777" w:rsidR="0070272F" w:rsidRPr="009A27ED" w:rsidRDefault="0070272F" w:rsidP="00AF66EF">
            <w:pPr>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20"/>
                <w:szCs w:val="20"/>
              </w:rPr>
            </w:pPr>
            <w:r w:rsidRPr="009A27ED">
              <w:rPr>
                <w:color w:val="FFFFFF" w:themeColor="background1"/>
                <w:sz w:val="20"/>
                <w:szCs w:val="20"/>
              </w:rPr>
              <w:t>Análisis del marco legal relevante</w:t>
            </w:r>
          </w:p>
        </w:tc>
        <w:tc>
          <w:tcPr>
            <w:tcW w:w="2268" w:type="dxa"/>
            <w:shd w:val="clear" w:color="auto" w:fill="2E74B5" w:themeFill="accent1" w:themeFillShade="BF"/>
            <w:vAlign w:val="center"/>
          </w:tcPr>
          <w:p w14:paraId="32098AAD" w14:textId="77777777" w:rsidR="0070272F" w:rsidRPr="009A27ED" w:rsidRDefault="0070272F" w:rsidP="00AF66EF">
            <w:pPr>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20"/>
                <w:szCs w:val="20"/>
              </w:rPr>
            </w:pPr>
            <w:r w:rsidRPr="009A27ED">
              <w:rPr>
                <w:color w:val="FFFFFF" w:themeColor="background1"/>
                <w:sz w:val="20"/>
                <w:szCs w:val="20"/>
              </w:rPr>
              <w:t>Brechas / Vacíos</w:t>
            </w:r>
          </w:p>
        </w:tc>
        <w:tc>
          <w:tcPr>
            <w:tcW w:w="3124" w:type="dxa"/>
            <w:shd w:val="clear" w:color="auto" w:fill="2E74B5" w:themeFill="accent1" w:themeFillShade="BF"/>
            <w:vAlign w:val="center"/>
          </w:tcPr>
          <w:p w14:paraId="3319E58A" w14:textId="77777777" w:rsidR="0070272F" w:rsidRPr="009A27ED" w:rsidRDefault="0070272F" w:rsidP="00AF66EF">
            <w:pPr>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20"/>
                <w:szCs w:val="20"/>
              </w:rPr>
            </w:pPr>
            <w:r w:rsidRPr="009A27ED">
              <w:rPr>
                <w:color w:val="FFFFFF" w:themeColor="background1"/>
                <w:sz w:val="20"/>
                <w:szCs w:val="20"/>
              </w:rPr>
              <w:t>Recomendaciones a partir de las brechas detectadas, para la implementación de REDD+</w:t>
            </w:r>
          </w:p>
        </w:tc>
      </w:tr>
      <w:tr w:rsidR="0070272F" w:rsidRPr="009A27ED" w14:paraId="6CC5EB91" w14:textId="77777777" w:rsidTr="00AF66EF">
        <w:trPr>
          <w:trHeight w:val="1524"/>
        </w:trPr>
        <w:tc>
          <w:tcPr>
            <w:cnfStyle w:val="001000000000" w:firstRow="0" w:lastRow="0" w:firstColumn="1" w:lastColumn="0" w:oddVBand="0" w:evenVBand="0" w:oddHBand="0" w:evenHBand="0" w:firstRowFirstColumn="0" w:firstRowLastColumn="0" w:lastRowFirstColumn="0" w:lastRowLastColumn="0"/>
            <w:tcW w:w="2836" w:type="dxa"/>
            <w:vMerge w:val="restart"/>
          </w:tcPr>
          <w:p w14:paraId="09B8CFA8" w14:textId="77777777" w:rsidR="0070272F" w:rsidRPr="009A27ED" w:rsidRDefault="0070272F" w:rsidP="00AF66EF">
            <w:pPr>
              <w:rPr>
                <w:sz w:val="20"/>
                <w:szCs w:val="20"/>
              </w:rPr>
            </w:pPr>
            <w:r w:rsidRPr="009A27ED">
              <w:rPr>
                <w:sz w:val="20"/>
                <w:szCs w:val="20"/>
              </w:rPr>
              <w:t>Evaluación Ambiental (OP 4.01)</w:t>
            </w:r>
          </w:p>
          <w:p w14:paraId="12031E86" w14:textId="7283FB7C" w:rsidR="0070272F" w:rsidRPr="009A27ED" w:rsidRDefault="0070272F" w:rsidP="00AF66EF">
            <w:pPr>
              <w:spacing w:before="120" w:after="0"/>
              <w:rPr>
                <w:bCs w:val="0"/>
                <w:sz w:val="20"/>
                <w:szCs w:val="20"/>
              </w:rPr>
            </w:pPr>
            <w:r w:rsidRPr="009A27ED">
              <w:rPr>
                <w:sz w:val="20"/>
                <w:szCs w:val="20"/>
              </w:rPr>
              <w:t>Esta política establece que todos los proyectos propuestos para obtener financiamiento del Banco deberán someterse a una evaluación ambiental (EA</w:t>
            </w:r>
            <w:r w:rsidR="00897D3E" w:rsidRPr="009A27ED">
              <w:rPr>
                <w:sz w:val="20"/>
                <w:szCs w:val="20"/>
              </w:rPr>
              <w:t>S</w:t>
            </w:r>
            <w:r w:rsidRPr="009A27ED">
              <w:rPr>
                <w:sz w:val="20"/>
                <w:szCs w:val="20"/>
              </w:rPr>
              <w:t>) con el fin de garantizar su solidez y sostenibilidad ambiental, y mejorar así el proceso de toma de decisiones. En la EA</w:t>
            </w:r>
            <w:r w:rsidR="00897D3E" w:rsidRPr="009A27ED">
              <w:rPr>
                <w:sz w:val="20"/>
                <w:szCs w:val="20"/>
              </w:rPr>
              <w:t>S</w:t>
            </w:r>
            <w:r w:rsidRPr="009A27ED">
              <w:rPr>
                <w:sz w:val="20"/>
                <w:szCs w:val="20"/>
              </w:rPr>
              <w:t xml:space="preserve"> se evalúan los posibles riesgos y repercusiones ambientales y sociales de un proyecto en su zona de influencia ; se examinan alternativas para el proyecto; se identifican formas de mejorar la selección, ubicación, planificación, diseño y ejecución de los proyectos mediante la prevención, reducción al mínimo, mitigación o compensación de las repercusiones ambientales adversas y el </w:t>
            </w:r>
            <w:proofErr w:type="spellStart"/>
            <w:r w:rsidRPr="009A27ED">
              <w:rPr>
                <w:sz w:val="20"/>
                <w:szCs w:val="20"/>
              </w:rPr>
              <w:t>realzamiento</w:t>
            </w:r>
            <w:proofErr w:type="spellEnd"/>
            <w:r w:rsidRPr="009A27ED">
              <w:rPr>
                <w:sz w:val="20"/>
                <w:szCs w:val="20"/>
              </w:rPr>
              <w:t xml:space="preserve"> del impacto positivo, y se incluye el proceso de mitigación y gestión de las repercusiones ambientales adversas durante la ejecución del proyecto. </w:t>
            </w:r>
          </w:p>
          <w:p w14:paraId="1CB6C0E4" w14:textId="2565AF3E" w:rsidR="0070272F" w:rsidRPr="009A27ED" w:rsidRDefault="0070272F" w:rsidP="00AF66EF">
            <w:pPr>
              <w:spacing w:before="120" w:after="0"/>
              <w:rPr>
                <w:bCs w:val="0"/>
                <w:sz w:val="20"/>
                <w:szCs w:val="20"/>
              </w:rPr>
            </w:pPr>
            <w:r w:rsidRPr="009A27ED">
              <w:rPr>
                <w:sz w:val="20"/>
                <w:szCs w:val="20"/>
              </w:rPr>
              <w:t>En la EA</w:t>
            </w:r>
            <w:r w:rsidR="00897D3E" w:rsidRPr="009A27ED">
              <w:rPr>
                <w:sz w:val="20"/>
                <w:szCs w:val="20"/>
              </w:rPr>
              <w:t>S</w:t>
            </w:r>
            <w:r w:rsidRPr="009A27ED">
              <w:rPr>
                <w:sz w:val="20"/>
                <w:szCs w:val="20"/>
              </w:rPr>
              <w:t xml:space="preserve"> se consideran los aspectos naturales y sociales en forma integral así, se tienen en cuenta el ambiente natural, la salud y seguridad humanas, los aspectos sociales (reasentamiento involuntario, poblaciones indígenas y bienes culturales); y los aspectos ambientales transfronterizos y mundiales. También se toman en cuenta las variaciones de las condiciones del proyecto y del país; los resultados de los estudios ambientales sobre el país; los planes nacionales de protección ambiental; el marco global de las políticas </w:t>
            </w:r>
            <w:r w:rsidRPr="009A27ED">
              <w:rPr>
                <w:sz w:val="20"/>
                <w:szCs w:val="20"/>
              </w:rPr>
              <w:lastRenderedPageBreak/>
              <w:t xml:space="preserve">nacionales, la legislación nacional y la capacidad institucional con respecto al medio ambiente y a los aspectos sociales, y las obligaciones del país referentes a las actividades del proyecto en virtud de tratados y acuerdos o convenios ambientales pertinentes en el ·ámbito internacional. </w:t>
            </w:r>
          </w:p>
          <w:p w14:paraId="2A12A5E0" w14:textId="77777777" w:rsidR="0070272F" w:rsidRPr="009A27ED" w:rsidRDefault="0070272F" w:rsidP="00AF66EF">
            <w:pPr>
              <w:spacing w:before="120" w:after="0"/>
              <w:rPr>
                <w:b w:val="0"/>
                <w:sz w:val="20"/>
                <w:szCs w:val="20"/>
              </w:rPr>
            </w:pPr>
            <w:r w:rsidRPr="009A27ED">
              <w:rPr>
                <w:sz w:val="20"/>
                <w:szCs w:val="20"/>
              </w:rPr>
              <w:t>El prestatario debe desarrollar un mecanismo para llevar a cabo el seguimiento y reporte del cumplimiento de los requerimientos de las políticas operativas.</w:t>
            </w:r>
          </w:p>
          <w:p w14:paraId="28723AF3" w14:textId="6D9EC907" w:rsidR="0070272F" w:rsidRPr="009A27ED" w:rsidRDefault="0070272F" w:rsidP="00AF66EF">
            <w:pPr>
              <w:rPr>
                <w:sz w:val="20"/>
                <w:szCs w:val="20"/>
              </w:rPr>
            </w:pPr>
            <w:r w:rsidRPr="009A27ED">
              <w:rPr>
                <w:sz w:val="20"/>
                <w:szCs w:val="20"/>
              </w:rPr>
              <w:t>Así mismo se establece que durante el proceso de EA</w:t>
            </w:r>
            <w:r w:rsidR="00897D3E" w:rsidRPr="009A27ED">
              <w:rPr>
                <w:sz w:val="20"/>
                <w:szCs w:val="20"/>
              </w:rPr>
              <w:t>S</w:t>
            </w:r>
            <w:r w:rsidRPr="009A27ED">
              <w:rPr>
                <w:sz w:val="20"/>
                <w:szCs w:val="20"/>
              </w:rPr>
              <w:t xml:space="preserve"> el prestatario consulta a los grupos afectados por el proyecto y a las organizaciones no gubernamentales (ONG) del país acerca de los aspectos ambientales del proyecto, y tiene en cuenta sus puntos de vista, e indica que se debe implementar un Mecanismo para la atención de las quejas y reclamos que puedan presentarse durante el proceso y su implementación</w:t>
            </w:r>
          </w:p>
          <w:p w14:paraId="414C3513" w14:textId="77777777" w:rsidR="0070272F" w:rsidRPr="009A27ED" w:rsidRDefault="0070272F" w:rsidP="00AF66EF">
            <w:pPr>
              <w:rPr>
                <w:b w:val="0"/>
                <w:sz w:val="20"/>
                <w:szCs w:val="20"/>
              </w:rPr>
            </w:pPr>
          </w:p>
        </w:tc>
        <w:tc>
          <w:tcPr>
            <w:tcW w:w="1554" w:type="dxa"/>
          </w:tcPr>
          <w:p w14:paraId="239CE79B" w14:textId="77777777" w:rsidR="0070272F" w:rsidRPr="009A27ED" w:rsidRDefault="0070272F" w:rsidP="00AF66EF">
            <w:pPr>
              <w:jc w:val="left"/>
              <w:cnfStyle w:val="000000000000" w:firstRow="0" w:lastRow="0" w:firstColumn="0" w:lastColumn="0" w:oddVBand="0" w:evenVBand="0" w:oddHBand="0" w:evenHBand="0" w:firstRowFirstColumn="0" w:firstRowLastColumn="0" w:lastRowFirstColumn="0" w:lastRowLastColumn="0"/>
              <w:rPr>
                <w:b/>
                <w:sz w:val="20"/>
                <w:szCs w:val="20"/>
              </w:rPr>
            </w:pPr>
            <w:r w:rsidRPr="009A27ED">
              <w:rPr>
                <w:b/>
                <w:sz w:val="20"/>
                <w:szCs w:val="20"/>
              </w:rPr>
              <w:lastRenderedPageBreak/>
              <w:t>Ley General sobre Medio Ambiente y Recursos Naturales (Ley No. 64-00).</w:t>
            </w:r>
          </w:p>
          <w:p w14:paraId="556DE6A5" w14:textId="77777777" w:rsidR="0070272F" w:rsidRPr="009A27ED" w:rsidRDefault="0070272F" w:rsidP="00AF66EF">
            <w:pPr>
              <w:jc w:val="left"/>
              <w:cnfStyle w:val="000000000000" w:firstRow="0" w:lastRow="0" w:firstColumn="0" w:lastColumn="0" w:oddVBand="0" w:evenVBand="0" w:oddHBand="0" w:evenHBand="0" w:firstRowFirstColumn="0" w:firstRowLastColumn="0" w:lastRowFirstColumn="0" w:lastRowLastColumn="0"/>
              <w:rPr>
                <w:b/>
                <w:sz w:val="20"/>
                <w:szCs w:val="20"/>
              </w:rPr>
            </w:pPr>
          </w:p>
        </w:tc>
        <w:tc>
          <w:tcPr>
            <w:tcW w:w="2840" w:type="dxa"/>
          </w:tcPr>
          <w:p w14:paraId="743630C3" w14:textId="77777777" w:rsidR="0070272F" w:rsidRPr="009A27ED" w:rsidRDefault="0070272F" w:rsidP="00AF66EF">
            <w:pPr>
              <w:spacing w:after="0"/>
              <w:cnfStyle w:val="000000000000" w:firstRow="0" w:lastRow="0" w:firstColumn="0" w:lastColumn="0" w:oddVBand="0" w:evenVBand="0" w:oddHBand="0" w:evenHBand="0" w:firstRowFirstColumn="0" w:firstRowLastColumn="0" w:lastRowFirstColumn="0" w:lastRowLastColumn="0"/>
              <w:rPr>
                <w:bCs/>
                <w:color w:val="000000"/>
                <w:sz w:val="20"/>
                <w:szCs w:val="20"/>
                <w:lang w:eastAsia="es-ES"/>
              </w:rPr>
            </w:pPr>
            <w:r w:rsidRPr="009A27ED">
              <w:rPr>
                <w:bCs/>
                <w:color w:val="000000"/>
                <w:sz w:val="20"/>
                <w:szCs w:val="20"/>
                <w:lang w:eastAsia="es-ES"/>
              </w:rPr>
              <w:t xml:space="preserve">La Ley General Sobre Medio Ambiente y Recursos Naturales, contempla       en su </w:t>
            </w:r>
            <w:r w:rsidRPr="009A27ED">
              <w:rPr>
                <w:b/>
                <w:bCs/>
                <w:color w:val="000000"/>
                <w:sz w:val="20"/>
                <w:szCs w:val="20"/>
                <w:lang w:eastAsia="es-ES"/>
              </w:rPr>
              <w:t xml:space="preserve">Art. 27, </w:t>
            </w:r>
            <w:r w:rsidRPr="009A27ED">
              <w:rPr>
                <w:bCs/>
                <w:color w:val="000000"/>
                <w:sz w:val="20"/>
                <w:szCs w:val="20"/>
                <w:lang w:eastAsia="es-ES"/>
              </w:rPr>
              <w:t>entre otros, los siguientes instrumentos para la gestión del medio ambiente y los recursos naturales:</w:t>
            </w:r>
          </w:p>
          <w:p w14:paraId="5DF9AD76" w14:textId="77777777" w:rsidR="0070272F" w:rsidRPr="009A27ED" w:rsidRDefault="0070272F" w:rsidP="00AF66EF">
            <w:pPr>
              <w:spacing w:after="0"/>
              <w:cnfStyle w:val="000000000000" w:firstRow="0" w:lastRow="0" w:firstColumn="0" w:lastColumn="0" w:oddVBand="0" w:evenVBand="0" w:oddHBand="0" w:evenHBand="0" w:firstRowFirstColumn="0" w:firstRowLastColumn="0" w:lastRowFirstColumn="0" w:lastRowLastColumn="0"/>
              <w:rPr>
                <w:bCs/>
                <w:color w:val="000000"/>
                <w:sz w:val="20"/>
                <w:szCs w:val="20"/>
                <w:lang w:eastAsia="es-ES"/>
              </w:rPr>
            </w:pPr>
          </w:p>
          <w:p w14:paraId="4E807530" w14:textId="77777777" w:rsidR="0070272F" w:rsidRPr="009A27ED" w:rsidRDefault="0070272F" w:rsidP="00AF66EF">
            <w:pPr>
              <w:pStyle w:val="Prrafodelista"/>
              <w:numPr>
                <w:ilvl w:val="0"/>
                <w:numId w:val="256"/>
              </w:numPr>
              <w:spacing w:after="0" w:line="240" w:lineRule="auto"/>
              <w:ind w:left="541"/>
              <w:cnfStyle w:val="000000000000" w:firstRow="0" w:lastRow="0" w:firstColumn="0" w:lastColumn="0" w:oddVBand="0" w:evenVBand="0" w:oddHBand="0" w:evenHBand="0" w:firstRowFirstColumn="0" w:firstRowLastColumn="0" w:lastRowFirstColumn="0" w:lastRowLastColumn="0"/>
              <w:rPr>
                <w:bCs/>
                <w:color w:val="000000"/>
                <w:sz w:val="20"/>
                <w:szCs w:val="20"/>
                <w:lang w:eastAsia="es-ES"/>
              </w:rPr>
            </w:pPr>
            <w:r w:rsidRPr="009A27ED">
              <w:rPr>
                <w:bCs/>
                <w:color w:val="000000"/>
                <w:sz w:val="20"/>
                <w:szCs w:val="20"/>
                <w:lang w:eastAsia="es-ES"/>
              </w:rPr>
              <w:t>Los permisos y licencias ambientales;</w:t>
            </w:r>
          </w:p>
          <w:p w14:paraId="311C8CCD" w14:textId="77777777" w:rsidR="0070272F" w:rsidRPr="009A27ED" w:rsidRDefault="0070272F" w:rsidP="00AF66EF">
            <w:pPr>
              <w:pStyle w:val="Prrafodelista"/>
              <w:numPr>
                <w:ilvl w:val="0"/>
                <w:numId w:val="256"/>
              </w:numPr>
              <w:spacing w:after="0" w:line="240" w:lineRule="auto"/>
              <w:ind w:left="541"/>
              <w:cnfStyle w:val="000000000000" w:firstRow="0" w:lastRow="0" w:firstColumn="0" w:lastColumn="0" w:oddVBand="0" w:evenVBand="0" w:oddHBand="0" w:evenHBand="0" w:firstRowFirstColumn="0" w:firstRowLastColumn="0" w:lastRowFirstColumn="0" w:lastRowLastColumn="0"/>
              <w:rPr>
                <w:bCs/>
                <w:color w:val="000000"/>
                <w:sz w:val="20"/>
                <w:szCs w:val="20"/>
                <w:lang w:eastAsia="es-ES"/>
              </w:rPr>
            </w:pPr>
            <w:r w:rsidRPr="009A27ED">
              <w:rPr>
                <w:bCs/>
                <w:color w:val="000000"/>
                <w:sz w:val="20"/>
                <w:szCs w:val="20"/>
                <w:lang w:eastAsia="es-ES"/>
              </w:rPr>
              <w:t xml:space="preserve">La evaluación de impacto ambiental estratégica </w:t>
            </w:r>
          </w:p>
          <w:p w14:paraId="2F527090" w14:textId="77777777" w:rsidR="0070272F" w:rsidRPr="009A27ED" w:rsidRDefault="0070272F" w:rsidP="00AF66EF">
            <w:pPr>
              <w:pStyle w:val="Prrafodelista"/>
              <w:numPr>
                <w:ilvl w:val="0"/>
                <w:numId w:val="256"/>
              </w:numPr>
              <w:spacing w:after="0" w:line="240" w:lineRule="auto"/>
              <w:ind w:left="541"/>
              <w:cnfStyle w:val="000000000000" w:firstRow="0" w:lastRow="0" w:firstColumn="0" w:lastColumn="0" w:oddVBand="0" w:evenVBand="0" w:oddHBand="0" w:evenHBand="0" w:firstRowFirstColumn="0" w:firstRowLastColumn="0" w:lastRowFirstColumn="0" w:lastRowLastColumn="0"/>
              <w:rPr>
                <w:bCs/>
                <w:color w:val="000000"/>
                <w:sz w:val="20"/>
                <w:szCs w:val="20"/>
                <w:lang w:eastAsia="es-ES"/>
              </w:rPr>
            </w:pPr>
            <w:r w:rsidRPr="009A27ED">
              <w:rPr>
                <w:bCs/>
                <w:color w:val="000000"/>
                <w:sz w:val="20"/>
                <w:szCs w:val="20"/>
                <w:lang w:eastAsia="es-ES"/>
              </w:rPr>
              <w:t>El Sistema Nacional de Información Ambiental y Recursos Naturales;</w:t>
            </w:r>
          </w:p>
          <w:p w14:paraId="08B500DC" w14:textId="77777777" w:rsidR="0070272F" w:rsidRPr="009A27ED" w:rsidRDefault="0070272F" w:rsidP="00AF66EF">
            <w:pPr>
              <w:pStyle w:val="Prrafodelista"/>
              <w:numPr>
                <w:ilvl w:val="0"/>
                <w:numId w:val="256"/>
              </w:numPr>
              <w:spacing w:after="0" w:line="240" w:lineRule="auto"/>
              <w:ind w:left="541"/>
              <w:cnfStyle w:val="000000000000" w:firstRow="0" w:lastRow="0" w:firstColumn="0" w:lastColumn="0" w:oddVBand="0" w:evenVBand="0" w:oddHBand="0" w:evenHBand="0" w:firstRowFirstColumn="0" w:firstRowLastColumn="0" w:lastRowFirstColumn="0" w:lastRowLastColumn="0"/>
              <w:rPr>
                <w:bCs/>
                <w:color w:val="000000"/>
                <w:sz w:val="20"/>
                <w:szCs w:val="20"/>
                <w:lang w:eastAsia="es-ES"/>
              </w:rPr>
            </w:pPr>
            <w:r w:rsidRPr="009A27ED">
              <w:rPr>
                <w:bCs/>
                <w:color w:val="000000"/>
                <w:sz w:val="20"/>
                <w:szCs w:val="20"/>
                <w:lang w:eastAsia="es-ES"/>
              </w:rPr>
              <w:t>La vigilancia y la Inspección ambientales</w:t>
            </w:r>
          </w:p>
          <w:p w14:paraId="22EEA269" w14:textId="77777777" w:rsidR="0070272F" w:rsidRPr="009A27ED" w:rsidRDefault="0070272F" w:rsidP="00AF66EF">
            <w:pPr>
              <w:pStyle w:val="Prrafodelista"/>
              <w:spacing w:after="0" w:line="240" w:lineRule="auto"/>
              <w:ind w:left="541"/>
              <w:cnfStyle w:val="000000000000" w:firstRow="0" w:lastRow="0" w:firstColumn="0" w:lastColumn="0" w:oddVBand="0" w:evenVBand="0" w:oddHBand="0" w:evenHBand="0" w:firstRowFirstColumn="0" w:firstRowLastColumn="0" w:lastRowFirstColumn="0" w:lastRowLastColumn="0"/>
              <w:rPr>
                <w:bCs/>
                <w:color w:val="000000"/>
                <w:sz w:val="20"/>
                <w:szCs w:val="20"/>
                <w:lang w:eastAsia="es-ES"/>
              </w:rPr>
            </w:pPr>
          </w:p>
          <w:p w14:paraId="37D9493F" w14:textId="77777777" w:rsidR="0070272F" w:rsidRPr="009A27ED" w:rsidRDefault="0070272F" w:rsidP="00AF66EF">
            <w:pPr>
              <w:spacing w:after="0"/>
              <w:cnfStyle w:val="000000000000" w:firstRow="0" w:lastRow="0" w:firstColumn="0" w:lastColumn="0" w:oddVBand="0" w:evenVBand="0" w:oddHBand="0" w:evenHBand="0" w:firstRowFirstColumn="0" w:firstRowLastColumn="0" w:lastRowFirstColumn="0" w:lastRowLastColumn="0"/>
              <w:rPr>
                <w:color w:val="000000"/>
                <w:sz w:val="20"/>
                <w:szCs w:val="20"/>
                <w:shd w:val="clear" w:color="auto" w:fill="FFFFFF"/>
                <w:lang w:eastAsia="es-ES"/>
              </w:rPr>
            </w:pPr>
            <w:r w:rsidRPr="009A27ED">
              <w:rPr>
                <w:bCs/>
                <w:color w:val="000000"/>
                <w:sz w:val="20"/>
                <w:szCs w:val="20"/>
                <w:lang w:eastAsia="es-ES"/>
              </w:rPr>
              <w:t xml:space="preserve">En este sentido, establece en su </w:t>
            </w:r>
            <w:r w:rsidRPr="009A27ED">
              <w:rPr>
                <w:b/>
                <w:bCs/>
                <w:color w:val="000000"/>
                <w:sz w:val="20"/>
                <w:szCs w:val="20"/>
                <w:lang w:eastAsia="es-ES"/>
              </w:rPr>
              <w:t>Art.9</w:t>
            </w:r>
            <w:r w:rsidRPr="009A27ED">
              <w:rPr>
                <w:bCs/>
                <w:color w:val="000000"/>
                <w:sz w:val="20"/>
                <w:szCs w:val="20"/>
                <w:lang w:eastAsia="es-ES"/>
              </w:rPr>
              <w:t>: “</w:t>
            </w:r>
            <w:r w:rsidRPr="009A27ED">
              <w:rPr>
                <w:i/>
                <w:color w:val="000000"/>
                <w:sz w:val="20"/>
                <w:szCs w:val="20"/>
                <w:shd w:val="clear" w:color="auto" w:fill="FFFFFF"/>
                <w:lang w:eastAsia="es-ES"/>
              </w:rPr>
              <w:t xml:space="preserve">Los estudios de evaluación de </w:t>
            </w:r>
            <w:proofErr w:type="gramStart"/>
            <w:r w:rsidRPr="009A27ED">
              <w:rPr>
                <w:i/>
                <w:color w:val="000000"/>
                <w:sz w:val="20"/>
                <w:szCs w:val="20"/>
                <w:shd w:val="clear" w:color="auto" w:fill="FFFFFF"/>
                <w:lang w:eastAsia="es-ES"/>
              </w:rPr>
              <w:t>impacto ambiental y los informes ambientales</w:t>
            </w:r>
            <w:proofErr w:type="gramEnd"/>
            <w:r w:rsidRPr="009A27ED">
              <w:rPr>
                <w:i/>
                <w:color w:val="000000"/>
                <w:sz w:val="20"/>
                <w:szCs w:val="20"/>
                <w:shd w:val="clear" w:color="auto" w:fill="FFFFFF"/>
                <w:lang w:eastAsia="es-ES"/>
              </w:rPr>
              <w:t xml:space="preserve"> serán los instrumentos básicos para la gestión ambiental</w:t>
            </w:r>
            <w:r w:rsidRPr="009A27ED">
              <w:rPr>
                <w:color w:val="000000"/>
                <w:sz w:val="20"/>
                <w:szCs w:val="20"/>
                <w:shd w:val="clear" w:color="auto" w:fill="FFFFFF"/>
                <w:lang w:eastAsia="es-ES"/>
              </w:rPr>
              <w:t xml:space="preserve">”. </w:t>
            </w:r>
            <w:r w:rsidRPr="009A27ED">
              <w:rPr>
                <w:bCs/>
                <w:color w:val="000000"/>
                <w:sz w:val="20"/>
                <w:szCs w:val="20"/>
                <w:lang w:eastAsia="es-ES"/>
              </w:rPr>
              <w:t>También define en el</w:t>
            </w:r>
            <w:r w:rsidRPr="009A27ED">
              <w:rPr>
                <w:b/>
                <w:bCs/>
                <w:color w:val="000000"/>
                <w:sz w:val="20"/>
                <w:szCs w:val="20"/>
                <w:lang w:eastAsia="es-ES"/>
              </w:rPr>
              <w:t xml:space="preserve"> Artículo 16, numeral 28 que la “</w:t>
            </w:r>
            <w:r w:rsidRPr="009A27ED">
              <w:rPr>
                <w:bCs/>
                <w:i/>
                <w:color w:val="000000"/>
                <w:sz w:val="20"/>
                <w:szCs w:val="20"/>
                <w:lang w:eastAsia="es-ES"/>
              </w:rPr>
              <w:t>Evaluación de Impacto Ambiental</w:t>
            </w:r>
            <w:r w:rsidRPr="009A27ED">
              <w:rPr>
                <w:i/>
                <w:color w:val="000000"/>
                <w:sz w:val="20"/>
                <w:szCs w:val="20"/>
                <w:lang w:eastAsia="es-ES"/>
              </w:rPr>
              <w:t> </w:t>
            </w:r>
            <w:r w:rsidRPr="009A27ED">
              <w:rPr>
                <w:i/>
                <w:color w:val="000000"/>
                <w:sz w:val="20"/>
                <w:szCs w:val="20"/>
                <w:shd w:val="clear" w:color="auto" w:fill="FFFFFF"/>
                <w:lang w:eastAsia="es-ES"/>
              </w:rPr>
              <w:t>es el instrumento de política y gestión ambiental formado por el conjunto de procedimientos, estudios y sistemas técnicos que permiten estimar los efectos que la ejecución de una determinada obra, actividad o proyecto puedan causar sobre el medio ambiente”</w:t>
            </w:r>
            <w:r w:rsidRPr="009A27ED">
              <w:rPr>
                <w:color w:val="000000"/>
                <w:sz w:val="20"/>
                <w:szCs w:val="20"/>
                <w:shd w:val="clear" w:color="auto" w:fill="FFFFFF"/>
                <w:lang w:eastAsia="es-ES"/>
              </w:rPr>
              <w:t>.</w:t>
            </w:r>
          </w:p>
          <w:p w14:paraId="25DBCB15" w14:textId="77777777" w:rsidR="0070272F" w:rsidRPr="009A27ED" w:rsidRDefault="0070272F" w:rsidP="00AF66EF">
            <w:pPr>
              <w:spacing w:after="0"/>
              <w:cnfStyle w:val="000000000000" w:firstRow="0" w:lastRow="0" w:firstColumn="0" w:lastColumn="0" w:oddVBand="0" w:evenVBand="0" w:oddHBand="0" w:evenHBand="0" w:firstRowFirstColumn="0" w:firstRowLastColumn="0" w:lastRowFirstColumn="0" w:lastRowLastColumn="0"/>
              <w:rPr>
                <w:color w:val="000000"/>
                <w:sz w:val="20"/>
                <w:szCs w:val="20"/>
                <w:shd w:val="clear" w:color="auto" w:fill="FFFFFF"/>
                <w:lang w:eastAsia="es-ES"/>
              </w:rPr>
            </w:pPr>
          </w:p>
          <w:p w14:paraId="7C0AAC42" w14:textId="1A234C4B" w:rsidR="0070272F" w:rsidRPr="009A27ED" w:rsidRDefault="0070272F" w:rsidP="00AF66EF">
            <w:pPr>
              <w:spacing w:after="0"/>
              <w:cnfStyle w:val="000000000000" w:firstRow="0" w:lastRow="0" w:firstColumn="0" w:lastColumn="0" w:oddVBand="0" w:evenVBand="0" w:oddHBand="0" w:evenHBand="0" w:firstRowFirstColumn="0" w:firstRowLastColumn="0" w:lastRowFirstColumn="0" w:lastRowLastColumn="0"/>
              <w:rPr>
                <w:color w:val="000000"/>
                <w:sz w:val="20"/>
                <w:szCs w:val="20"/>
                <w:shd w:val="clear" w:color="auto" w:fill="FFFFFF"/>
                <w:lang w:eastAsia="es-ES"/>
              </w:rPr>
            </w:pPr>
            <w:r w:rsidRPr="009A27ED">
              <w:rPr>
                <w:color w:val="000000"/>
                <w:sz w:val="20"/>
                <w:szCs w:val="20"/>
                <w:shd w:val="clear" w:color="auto" w:fill="FFFFFF"/>
                <w:lang w:eastAsia="es-ES"/>
              </w:rPr>
              <w:t>Asimismo, establece sobre la Evaluación Ambiental Estratégica que “</w:t>
            </w:r>
            <w:r w:rsidRPr="009A27ED">
              <w:rPr>
                <w:i/>
                <w:color w:val="000000"/>
                <w:sz w:val="20"/>
                <w:szCs w:val="20"/>
                <w:shd w:val="clear" w:color="auto" w:fill="FFFFFF"/>
                <w:lang w:eastAsia="es-ES"/>
              </w:rPr>
              <w:t xml:space="preserve">Es un instrumento de evaluación ambiental de las </w:t>
            </w:r>
            <w:r w:rsidR="00765BA2" w:rsidRPr="009A27ED">
              <w:rPr>
                <w:i/>
                <w:color w:val="000000"/>
                <w:sz w:val="20"/>
                <w:szCs w:val="20"/>
                <w:shd w:val="clear" w:color="auto" w:fill="FFFFFF"/>
                <w:lang w:eastAsia="es-ES"/>
              </w:rPr>
              <w:t>políticas públicas</w:t>
            </w:r>
            <w:r w:rsidRPr="009A27ED">
              <w:rPr>
                <w:i/>
                <w:color w:val="000000"/>
                <w:sz w:val="20"/>
                <w:szCs w:val="20"/>
                <w:shd w:val="clear" w:color="auto" w:fill="FFFFFF"/>
                <w:lang w:eastAsia="es-ES"/>
              </w:rPr>
              <w:t>, actividades y proyectos sectoriales para garantizar la incorporación de la variable ambiental en los distintos sectores de la administración pública</w:t>
            </w:r>
            <w:r w:rsidRPr="009A27ED">
              <w:rPr>
                <w:color w:val="000000"/>
                <w:sz w:val="20"/>
                <w:szCs w:val="20"/>
                <w:shd w:val="clear" w:color="auto" w:fill="FFFFFF"/>
                <w:lang w:eastAsia="es-ES"/>
              </w:rPr>
              <w:t>”.</w:t>
            </w:r>
          </w:p>
          <w:p w14:paraId="407F52B1" w14:textId="77777777" w:rsidR="0070272F" w:rsidRPr="009A27ED" w:rsidRDefault="0070272F" w:rsidP="00AF66EF">
            <w:pPr>
              <w:spacing w:after="0"/>
              <w:cnfStyle w:val="000000000000" w:firstRow="0" w:lastRow="0" w:firstColumn="0" w:lastColumn="0" w:oddVBand="0" w:evenVBand="0" w:oddHBand="0" w:evenHBand="0" w:firstRowFirstColumn="0" w:firstRowLastColumn="0" w:lastRowFirstColumn="0" w:lastRowLastColumn="0"/>
              <w:rPr>
                <w:color w:val="000000"/>
                <w:sz w:val="20"/>
                <w:szCs w:val="20"/>
                <w:shd w:val="clear" w:color="auto" w:fill="FFFFFF"/>
                <w:lang w:eastAsia="es-ES"/>
              </w:rPr>
            </w:pPr>
          </w:p>
          <w:p w14:paraId="6F942DBC" w14:textId="77777777" w:rsidR="0070272F" w:rsidRPr="009A27ED" w:rsidRDefault="0070272F" w:rsidP="00AF66EF">
            <w:pPr>
              <w:spacing w:after="0"/>
              <w:cnfStyle w:val="000000000000" w:firstRow="0" w:lastRow="0" w:firstColumn="0" w:lastColumn="0" w:oddVBand="0" w:evenVBand="0" w:oddHBand="0" w:evenHBand="0" w:firstRowFirstColumn="0" w:firstRowLastColumn="0" w:lastRowFirstColumn="0" w:lastRowLastColumn="0"/>
              <w:rPr>
                <w:i/>
                <w:color w:val="000000"/>
                <w:sz w:val="20"/>
                <w:szCs w:val="20"/>
                <w:shd w:val="clear" w:color="auto" w:fill="FFFFFF"/>
                <w:lang w:eastAsia="es-ES"/>
              </w:rPr>
            </w:pPr>
            <w:r w:rsidRPr="009A27ED">
              <w:rPr>
                <w:bCs/>
                <w:color w:val="000000"/>
                <w:sz w:val="20"/>
                <w:szCs w:val="20"/>
                <w:lang w:eastAsia="es-ES"/>
              </w:rPr>
              <w:t xml:space="preserve">De manera más específica dispone en su </w:t>
            </w:r>
            <w:r w:rsidRPr="009A27ED">
              <w:rPr>
                <w:b/>
                <w:bCs/>
                <w:color w:val="000000"/>
                <w:sz w:val="20"/>
                <w:szCs w:val="20"/>
                <w:lang w:eastAsia="es-ES"/>
              </w:rPr>
              <w:t>Art 38</w:t>
            </w:r>
            <w:r w:rsidRPr="009A27ED">
              <w:rPr>
                <w:bCs/>
                <w:color w:val="000000"/>
                <w:sz w:val="20"/>
                <w:szCs w:val="20"/>
                <w:lang w:eastAsia="es-ES"/>
              </w:rPr>
              <w:t xml:space="preserve"> que “</w:t>
            </w:r>
            <w:r w:rsidRPr="009A27ED">
              <w:rPr>
                <w:i/>
                <w:color w:val="000000"/>
                <w:sz w:val="20"/>
                <w:szCs w:val="20"/>
                <w:shd w:val="clear" w:color="auto" w:fill="FFFFFF"/>
                <w:lang w:eastAsia="es-ES"/>
              </w:rPr>
              <w:t xml:space="preserve">Con </w:t>
            </w:r>
            <w:r w:rsidRPr="009A27ED">
              <w:rPr>
                <w:i/>
                <w:color w:val="000000"/>
                <w:sz w:val="20"/>
                <w:szCs w:val="20"/>
                <w:shd w:val="clear" w:color="auto" w:fill="FFFFFF"/>
                <w:lang w:eastAsia="es-ES"/>
              </w:rPr>
              <w:lastRenderedPageBreak/>
              <w:t xml:space="preserve">la finalidad de prevenir, controlar y mitigar los posibles impactos sobre el medio ambiente y los recursos naturales ocasionados por obras, proyectos y actividades, se establece el proceso de evaluación ambiental con los siguientes instrumentos: </w:t>
            </w:r>
          </w:p>
          <w:p w14:paraId="22AB728B" w14:textId="77777777" w:rsidR="0070272F" w:rsidRPr="009A27ED" w:rsidRDefault="0070272F" w:rsidP="00AF66EF">
            <w:pPr>
              <w:spacing w:after="0"/>
              <w:cnfStyle w:val="000000000000" w:firstRow="0" w:lastRow="0" w:firstColumn="0" w:lastColumn="0" w:oddVBand="0" w:evenVBand="0" w:oddHBand="0" w:evenHBand="0" w:firstRowFirstColumn="0" w:firstRowLastColumn="0" w:lastRowFirstColumn="0" w:lastRowLastColumn="0"/>
              <w:rPr>
                <w:i/>
                <w:color w:val="000000"/>
                <w:sz w:val="20"/>
                <w:szCs w:val="20"/>
                <w:shd w:val="clear" w:color="auto" w:fill="FFFFFF"/>
                <w:lang w:eastAsia="es-ES"/>
              </w:rPr>
            </w:pPr>
          </w:p>
          <w:p w14:paraId="2656120B" w14:textId="77777777" w:rsidR="0070272F" w:rsidRPr="009A27ED" w:rsidRDefault="0070272F" w:rsidP="00AF66EF">
            <w:pPr>
              <w:spacing w:after="0"/>
              <w:cnfStyle w:val="000000000000" w:firstRow="0" w:lastRow="0" w:firstColumn="0" w:lastColumn="0" w:oddVBand="0" w:evenVBand="0" w:oddHBand="0" w:evenHBand="0" w:firstRowFirstColumn="0" w:firstRowLastColumn="0" w:lastRowFirstColumn="0" w:lastRowLastColumn="0"/>
              <w:rPr>
                <w:i/>
                <w:color w:val="000000"/>
                <w:sz w:val="20"/>
                <w:szCs w:val="20"/>
                <w:shd w:val="clear" w:color="auto" w:fill="FFFFFF"/>
                <w:lang w:eastAsia="es-ES"/>
              </w:rPr>
            </w:pPr>
            <w:r w:rsidRPr="009A27ED">
              <w:rPr>
                <w:i/>
                <w:color w:val="000000"/>
                <w:sz w:val="20"/>
                <w:szCs w:val="20"/>
                <w:shd w:val="clear" w:color="auto" w:fill="FFFFFF"/>
                <w:lang w:eastAsia="es-ES"/>
              </w:rPr>
              <w:t xml:space="preserve">1. Declaración de impacto ambiental (DIA); </w:t>
            </w:r>
          </w:p>
          <w:p w14:paraId="4EFEF7C7" w14:textId="77777777" w:rsidR="0070272F" w:rsidRPr="009A27ED" w:rsidRDefault="0070272F" w:rsidP="00AF66EF">
            <w:pPr>
              <w:spacing w:after="0"/>
              <w:cnfStyle w:val="000000000000" w:firstRow="0" w:lastRow="0" w:firstColumn="0" w:lastColumn="0" w:oddVBand="0" w:evenVBand="0" w:oddHBand="0" w:evenHBand="0" w:firstRowFirstColumn="0" w:firstRowLastColumn="0" w:lastRowFirstColumn="0" w:lastRowLastColumn="0"/>
              <w:rPr>
                <w:i/>
                <w:color w:val="000000"/>
                <w:sz w:val="20"/>
                <w:szCs w:val="20"/>
                <w:shd w:val="clear" w:color="auto" w:fill="FFFFFF"/>
                <w:lang w:eastAsia="es-ES"/>
              </w:rPr>
            </w:pPr>
            <w:r w:rsidRPr="009A27ED">
              <w:rPr>
                <w:i/>
                <w:color w:val="000000"/>
                <w:sz w:val="20"/>
                <w:szCs w:val="20"/>
                <w:shd w:val="clear" w:color="auto" w:fill="FFFFFF"/>
                <w:lang w:eastAsia="es-ES"/>
              </w:rPr>
              <w:t xml:space="preserve">2. Evaluación ambiental estratégica; </w:t>
            </w:r>
          </w:p>
          <w:p w14:paraId="26746795" w14:textId="77777777" w:rsidR="0070272F" w:rsidRPr="009A27ED" w:rsidRDefault="0070272F" w:rsidP="00AF66EF">
            <w:pPr>
              <w:spacing w:after="0"/>
              <w:cnfStyle w:val="000000000000" w:firstRow="0" w:lastRow="0" w:firstColumn="0" w:lastColumn="0" w:oddVBand="0" w:evenVBand="0" w:oddHBand="0" w:evenHBand="0" w:firstRowFirstColumn="0" w:firstRowLastColumn="0" w:lastRowFirstColumn="0" w:lastRowLastColumn="0"/>
              <w:rPr>
                <w:i/>
                <w:color w:val="000000"/>
                <w:sz w:val="20"/>
                <w:szCs w:val="20"/>
                <w:shd w:val="clear" w:color="auto" w:fill="FFFFFF"/>
                <w:lang w:eastAsia="es-ES"/>
              </w:rPr>
            </w:pPr>
            <w:r w:rsidRPr="009A27ED">
              <w:rPr>
                <w:i/>
                <w:color w:val="000000"/>
                <w:sz w:val="20"/>
                <w:szCs w:val="20"/>
                <w:shd w:val="clear" w:color="auto" w:fill="FFFFFF"/>
                <w:lang w:eastAsia="es-ES"/>
              </w:rPr>
              <w:t xml:space="preserve">3. Estudio de impacto ambiental; </w:t>
            </w:r>
          </w:p>
          <w:p w14:paraId="5AB6943F" w14:textId="77777777" w:rsidR="0070272F" w:rsidRPr="009A27ED" w:rsidRDefault="0070272F" w:rsidP="00AF66EF">
            <w:pPr>
              <w:spacing w:after="0"/>
              <w:cnfStyle w:val="000000000000" w:firstRow="0" w:lastRow="0" w:firstColumn="0" w:lastColumn="0" w:oddVBand="0" w:evenVBand="0" w:oddHBand="0" w:evenHBand="0" w:firstRowFirstColumn="0" w:firstRowLastColumn="0" w:lastRowFirstColumn="0" w:lastRowLastColumn="0"/>
              <w:rPr>
                <w:i/>
                <w:color w:val="000000"/>
                <w:sz w:val="20"/>
                <w:szCs w:val="20"/>
                <w:shd w:val="clear" w:color="auto" w:fill="FFFFFF"/>
                <w:lang w:eastAsia="es-ES"/>
              </w:rPr>
            </w:pPr>
            <w:r w:rsidRPr="009A27ED">
              <w:rPr>
                <w:i/>
                <w:color w:val="000000"/>
                <w:sz w:val="20"/>
                <w:szCs w:val="20"/>
                <w:shd w:val="clear" w:color="auto" w:fill="FFFFFF"/>
                <w:lang w:eastAsia="es-ES"/>
              </w:rPr>
              <w:t xml:space="preserve">4. Informe ambiental; </w:t>
            </w:r>
          </w:p>
          <w:p w14:paraId="29621BEA" w14:textId="77777777" w:rsidR="0070272F" w:rsidRPr="009A27ED" w:rsidRDefault="0070272F" w:rsidP="00AF66EF">
            <w:pPr>
              <w:spacing w:after="0"/>
              <w:cnfStyle w:val="000000000000" w:firstRow="0" w:lastRow="0" w:firstColumn="0" w:lastColumn="0" w:oddVBand="0" w:evenVBand="0" w:oddHBand="0" w:evenHBand="0" w:firstRowFirstColumn="0" w:firstRowLastColumn="0" w:lastRowFirstColumn="0" w:lastRowLastColumn="0"/>
              <w:rPr>
                <w:i/>
                <w:color w:val="000000"/>
                <w:sz w:val="20"/>
                <w:szCs w:val="20"/>
                <w:shd w:val="clear" w:color="auto" w:fill="FFFFFF"/>
                <w:lang w:eastAsia="es-ES"/>
              </w:rPr>
            </w:pPr>
            <w:r w:rsidRPr="009A27ED">
              <w:rPr>
                <w:i/>
                <w:color w:val="000000"/>
                <w:sz w:val="20"/>
                <w:szCs w:val="20"/>
                <w:shd w:val="clear" w:color="auto" w:fill="FFFFFF"/>
                <w:lang w:eastAsia="es-ES"/>
              </w:rPr>
              <w:t xml:space="preserve">5. Licencia ambiental; </w:t>
            </w:r>
          </w:p>
          <w:p w14:paraId="33D5B07B" w14:textId="77777777" w:rsidR="0070272F" w:rsidRPr="009A27ED" w:rsidRDefault="0070272F" w:rsidP="00AF66EF">
            <w:pPr>
              <w:spacing w:after="0"/>
              <w:cnfStyle w:val="000000000000" w:firstRow="0" w:lastRow="0" w:firstColumn="0" w:lastColumn="0" w:oddVBand="0" w:evenVBand="0" w:oddHBand="0" w:evenHBand="0" w:firstRowFirstColumn="0" w:firstRowLastColumn="0" w:lastRowFirstColumn="0" w:lastRowLastColumn="0"/>
              <w:rPr>
                <w:i/>
                <w:color w:val="000000"/>
                <w:sz w:val="20"/>
                <w:szCs w:val="20"/>
                <w:shd w:val="clear" w:color="auto" w:fill="FFFFFF"/>
                <w:lang w:eastAsia="es-ES"/>
              </w:rPr>
            </w:pPr>
            <w:r w:rsidRPr="009A27ED">
              <w:rPr>
                <w:i/>
                <w:color w:val="000000"/>
                <w:sz w:val="20"/>
                <w:szCs w:val="20"/>
                <w:shd w:val="clear" w:color="auto" w:fill="FFFFFF"/>
                <w:lang w:eastAsia="es-ES"/>
              </w:rPr>
              <w:t xml:space="preserve">6. Permiso ambiental; </w:t>
            </w:r>
          </w:p>
          <w:p w14:paraId="27E03BAC" w14:textId="77777777" w:rsidR="0070272F" w:rsidRPr="009A27ED" w:rsidRDefault="0070272F" w:rsidP="00AF66EF">
            <w:pPr>
              <w:spacing w:after="0"/>
              <w:cnfStyle w:val="000000000000" w:firstRow="0" w:lastRow="0" w:firstColumn="0" w:lastColumn="0" w:oddVBand="0" w:evenVBand="0" w:oddHBand="0" w:evenHBand="0" w:firstRowFirstColumn="0" w:firstRowLastColumn="0" w:lastRowFirstColumn="0" w:lastRowLastColumn="0"/>
              <w:rPr>
                <w:i/>
                <w:color w:val="000000"/>
                <w:sz w:val="20"/>
                <w:szCs w:val="20"/>
                <w:shd w:val="clear" w:color="auto" w:fill="FFFFFF"/>
                <w:lang w:eastAsia="es-ES"/>
              </w:rPr>
            </w:pPr>
            <w:r w:rsidRPr="009A27ED">
              <w:rPr>
                <w:i/>
                <w:color w:val="000000"/>
                <w:sz w:val="20"/>
                <w:szCs w:val="20"/>
                <w:shd w:val="clear" w:color="auto" w:fill="FFFFFF"/>
                <w:lang w:eastAsia="es-ES"/>
              </w:rPr>
              <w:t xml:space="preserve">7. Auditorías ambientales; y </w:t>
            </w:r>
          </w:p>
          <w:p w14:paraId="605DF8EB" w14:textId="77777777" w:rsidR="0070272F" w:rsidRPr="009A27ED" w:rsidRDefault="0070272F" w:rsidP="00AF66EF">
            <w:pPr>
              <w:spacing w:after="0"/>
              <w:cnfStyle w:val="000000000000" w:firstRow="0" w:lastRow="0" w:firstColumn="0" w:lastColumn="0" w:oddVBand="0" w:evenVBand="0" w:oddHBand="0" w:evenHBand="0" w:firstRowFirstColumn="0" w:firstRowLastColumn="0" w:lastRowFirstColumn="0" w:lastRowLastColumn="0"/>
              <w:rPr>
                <w:i/>
                <w:color w:val="000000"/>
                <w:sz w:val="20"/>
                <w:szCs w:val="20"/>
                <w:shd w:val="clear" w:color="auto" w:fill="FFFFFF"/>
                <w:lang w:eastAsia="es-ES"/>
              </w:rPr>
            </w:pPr>
            <w:r w:rsidRPr="009A27ED">
              <w:rPr>
                <w:i/>
                <w:color w:val="000000"/>
                <w:sz w:val="20"/>
                <w:szCs w:val="20"/>
                <w:shd w:val="clear" w:color="auto" w:fill="FFFFFF"/>
                <w:lang w:eastAsia="es-ES"/>
              </w:rPr>
              <w:t>8. Consulta pública.</w:t>
            </w:r>
          </w:p>
          <w:p w14:paraId="10233B7F" w14:textId="77777777" w:rsidR="0070272F" w:rsidRPr="009A27ED" w:rsidRDefault="0070272F" w:rsidP="00AF66EF">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color w:val="000000"/>
                <w:sz w:val="20"/>
                <w:szCs w:val="20"/>
                <w:shd w:val="clear" w:color="auto" w:fill="FFFFFF"/>
                <w:lang w:eastAsia="es-ES"/>
              </w:rPr>
            </w:pPr>
            <w:proofErr w:type="gramStart"/>
            <w:r w:rsidRPr="009A27ED">
              <w:rPr>
                <w:bCs/>
                <w:color w:val="000000"/>
                <w:sz w:val="20"/>
                <w:szCs w:val="20"/>
                <w:lang w:eastAsia="es-ES"/>
              </w:rPr>
              <w:t>Además</w:t>
            </w:r>
            <w:proofErr w:type="gramEnd"/>
            <w:r w:rsidRPr="009A27ED">
              <w:rPr>
                <w:bCs/>
                <w:color w:val="000000"/>
                <w:sz w:val="20"/>
                <w:szCs w:val="20"/>
                <w:lang w:eastAsia="es-ES"/>
              </w:rPr>
              <w:t xml:space="preserve"> establece en el</w:t>
            </w:r>
            <w:r w:rsidRPr="009A27ED">
              <w:rPr>
                <w:b/>
                <w:bCs/>
                <w:color w:val="000000"/>
                <w:sz w:val="20"/>
                <w:szCs w:val="20"/>
                <w:lang w:eastAsia="es-ES"/>
              </w:rPr>
              <w:t xml:space="preserve"> Art. 41 </w:t>
            </w:r>
            <w:r w:rsidRPr="009A27ED">
              <w:rPr>
                <w:bCs/>
                <w:color w:val="000000"/>
                <w:sz w:val="20"/>
                <w:szCs w:val="20"/>
                <w:lang w:eastAsia="es-ES"/>
              </w:rPr>
              <w:t>que los proyectos o actividades que</w:t>
            </w:r>
            <w:r w:rsidRPr="009A27ED">
              <w:rPr>
                <w:b/>
                <w:bCs/>
                <w:color w:val="000000"/>
                <w:sz w:val="20"/>
                <w:szCs w:val="20"/>
                <w:lang w:eastAsia="es-ES"/>
              </w:rPr>
              <w:t xml:space="preserve"> </w:t>
            </w:r>
            <w:r w:rsidRPr="009A27ED">
              <w:rPr>
                <w:color w:val="000000"/>
                <w:sz w:val="20"/>
                <w:szCs w:val="20"/>
                <w:shd w:val="clear" w:color="auto" w:fill="FFFFFF"/>
                <w:lang w:eastAsia="es-ES"/>
              </w:rPr>
              <w:t>los proyectos o actividades que requieren la presentación de una evaluación de impacto ambiental son los siguientes, entre otros: “</w:t>
            </w:r>
            <w:r w:rsidRPr="009A27ED">
              <w:rPr>
                <w:i/>
                <w:color w:val="000000"/>
                <w:sz w:val="20"/>
                <w:szCs w:val="20"/>
                <w:shd w:val="clear" w:color="auto" w:fill="FFFFFF"/>
                <w:lang w:eastAsia="es-ES"/>
              </w:rPr>
              <w:t xml:space="preserve">numeral </w:t>
            </w:r>
            <w:r w:rsidRPr="009A27ED">
              <w:rPr>
                <w:b/>
                <w:i/>
                <w:color w:val="000000"/>
                <w:sz w:val="20"/>
                <w:szCs w:val="20"/>
                <w:shd w:val="clear" w:color="auto" w:fill="FFFFFF"/>
                <w:lang w:eastAsia="es-ES"/>
              </w:rPr>
              <w:t>12)</w:t>
            </w:r>
            <w:r w:rsidRPr="009A27ED">
              <w:rPr>
                <w:i/>
                <w:color w:val="000000"/>
                <w:sz w:val="20"/>
                <w:szCs w:val="20"/>
                <w:shd w:val="clear" w:color="auto" w:fill="FFFFFF"/>
                <w:lang w:eastAsia="es-ES"/>
              </w:rPr>
              <w:t xml:space="preserve"> Proyectos de plantaciones comerciales de árboles, y aserraderos, elaboradoras de madera; numeral </w:t>
            </w:r>
            <w:r w:rsidRPr="009A27ED">
              <w:rPr>
                <w:b/>
                <w:i/>
                <w:color w:val="000000"/>
                <w:sz w:val="20"/>
                <w:szCs w:val="20"/>
                <w:shd w:val="clear" w:color="auto" w:fill="FFFFFF"/>
                <w:lang w:eastAsia="es-ES"/>
              </w:rPr>
              <w:t>16)</w:t>
            </w:r>
            <w:r w:rsidRPr="009A27ED">
              <w:rPr>
                <w:i/>
                <w:color w:val="000000"/>
                <w:sz w:val="20"/>
                <w:szCs w:val="20"/>
                <w:shd w:val="clear" w:color="auto" w:fill="FFFFFF"/>
                <w:lang w:eastAsia="es-ES"/>
              </w:rPr>
              <w:t xml:space="preserve"> La ejecución de obras, programas y actividades en parques nacionales y otras áreas protegidas</w:t>
            </w:r>
            <w:r w:rsidRPr="009A27ED">
              <w:rPr>
                <w:color w:val="000000"/>
                <w:sz w:val="20"/>
                <w:szCs w:val="20"/>
                <w:shd w:val="clear" w:color="auto" w:fill="FFFFFF"/>
                <w:lang w:eastAsia="es-ES"/>
              </w:rPr>
              <w:t xml:space="preserve">; </w:t>
            </w:r>
          </w:p>
          <w:p w14:paraId="32AE2EBC" w14:textId="5B85B2AD" w:rsidR="0070272F" w:rsidRPr="009A27ED" w:rsidRDefault="001B6C5C" w:rsidP="00AF66EF">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sz w:val="20"/>
                <w:szCs w:val="20"/>
              </w:rPr>
            </w:pPr>
            <w:r w:rsidRPr="009A27ED">
              <w:rPr>
                <w:color w:val="000000"/>
                <w:sz w:val="20"/>
                <w:szCs w:val="20"/>
                <w:shd w:val="clear" w:color="auto" w:fill="FFFFFF"/>
                <w:lang w:eastAsia="es-ES"/>
              </w:rPr>
              <w:t xml:space="preserve">En el </w:t>
            </w:r>
            <w:r w:rsidRPr="009A27ED">
              <w:rPr>
                <w:b/>
                <w:bCs/>
                <w:color w:val="000000"/>
                <w:sz w:val="20"/>
                <w:szCs w:val="20"/>
                <w:lang w:eastAsia="es-ES"/>
              </w:rPr>
              <w:t xml:space="preserve">Párrafo VI </w:t>
            </w:r>
            <w:r w:rsidRPr="009A27ED">
              <w:rPr>
                <w:bCs/>
                <w:color w:val="000000"/>
                <w:sz w:val="20"/>
                <w:szCs w:val="20"/>
                <w:lang w:eastAsia="es-ES"/>
              </w:rPr>
              <w:t>del mismo Art.41 dispone que</w:t>
            </w:r>
            <w:r w:rsidRPr="009A27ED">
              <w:rPr>
                <w:b/>
                <w:bCs/>
                <w:color w:val="000000"/>
                <w:sz w:val="20"/>
                <w:szCs w:val="20"/>
                <w:lang w:eastAsia="es-ES"/>
              </w:rPr>
              <w:t>:</w:t>
            </w:r>
            <w:r w:rsidRPr="009A27ED">
              <w:rPr>
                <w:color w:val="000000"/>
                <w:sz w:val="20"/>
                <w:szCs w:val="20"/>
                <w:lang w:eastAsia="es-ES"/>
              </w:rPr>
              <w:t xml:space="preserve"> “</w:t>
            </w:r>
            <w:r w:rsidRPr="009A27ED">
              <w:rPr>
                <w:i/>
                <w:color w:val="000000"/>
                <w:sz w:val="20"/>
                <w:szCs w:val="20"/>
                <w:shd w:val="clear" w:color="auto" w:fill="FFFFFF"/>
                <w:lang w:eastAsia="es-ES"/>
              </w:rPr>
              <w:t>Cuando el Estado sea el promotor, ejecutor, o forme parte activa en cualquiera de los planes de proyectos de desarrollo, deberá contratar los servicios de consultores privados, o personas jurídicas, con la finalidad de realizar los estudios ambientales correspondientes y deberá cumplir con los requisitos establecidos en la presente ley”</w:t>
            </w:r>
            <w:r w:rsidRPr="009A27ED">
              <w:rPr>
                <w:color w:val="000000"/>
                <w:sz w:val="20"/>
                <w:szCs w:val="20"/>
                <w:shd w:val="clear" w:color="auto" w:fill="FFFFFF"/>
                <w:lang w:eastAsia="es-ES"/>
              </w:rPr>
              <w:t>.</w:t>
            </w:r>
          </w:p>
        </w:tc>
        <w:tc>
          <w:tcPr>
            <w:tcW w:w="2546" w:type="dxa"/>
          </w:tcPr>
          <w:p w14:paraId="5F43B398" w14:textId="77777777" w:rsidR="0070272F" w:rsidRPr="009A27ED" w:rsidRDefault="0070272F" w:rsidP="00AF66EF">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lastRenderedPageBreak/>
              <w:t>La legislación marco nacional relativa a la implementación de la evaluación ambiental, como instrumento de gestión, incluye disposiciones para la identificación y categorización de los proyectos que favorecen la realización de procedimientos de evaluación para todo tipo de proyectos y ayuda a la identificación de impactos que contribuyen a salvaguardar el cumplimiento de la política operacional 4.01.</w:t>
            </w:r>
          </w:p>
          <w:p w14:paraId="434DAB21" w14:textId="77777777" w:rsidR="0070272F" w:rsidRPr="009A27ED" w:rsidRDefault="0070272F" w:rsidP="00AF66EF">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bCs/>
                <w:color w:val="000000"/>
                <w:sz w:val="20"/>
                <w:szCs w:val="20"/>
                <w:lang w:eastAsia="es-ES"/>
              </w:rPr>
            </w:pPr>
          </w:p>
        </w:tc>
        <w:tc>
          <w:tcPr>
            <w:tcW w:w="2268" w:type="dxa"/>
          </w:tcPr>
          <w:p w14:paraId="15AAF3D2" w14:textId="77777777" w:rsidR="0070272F" w:rsidRPr="009A27ED" w:rsidRDefault="0070272F" w:rsidP="00AF66EF">
            <w:pPr>
              <w:pStyle w:val="Prrafodelista"/>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Existen debilidades institucionales (capacidad técnica adecuada para llevar a cabo funciones propias de la Evaluación Ambiental) tales como tiempo para realizar las evaluaciones y posterior otorgamiento de las autorizaciones ambientales, visitas de inspección, implementación de los procedimientos de fiscalización y gestión de medidas de mitigación y verificación del cumplimiento de los Planes de Manejo y Adecuación Ambiental (</w:t>
            </w:r>
            <w:proofErr w:type="spellStart"/>
            <w:r w:rsidRPr="009A27ED">
              <w:rPr>
                <w:sz w:val="20"/>
                <w:szCs w:val="20"/>
              </w:rPr>
              <w:t>PMMAs</w:t>
            </w:r>
            <w:proofErr w:type="spellEnd"/>
            <w:r w:rsidRPr="009A27ED">
              <w:rPr>
                <w:sz w:val="20"/>
                <w:szCs w:val="20"/>
              </w:rPr>
              <w:t xml:space="preserve">). </w:t>
            </w:r>
          </w:p>
          <w:p w14:paraId="5A58892B" w14:textId="77777777" w:rsidR="0070272F" w:rsidRPr="009A27ED" w:rsidRDefault="0070272F" w:rsidP="00AF66EF">
            <w:pPr>
              <w:pStyle w:val="Prrafodelista"/>
              <w:spacing w:line="240" w:lineRule="auto"/>
              <w:cnfStyle w:val="000000000000" w:firstRow="0" w:lastRow="0" w:firstColumn="0" w:lastColumn="0" w:oddVBand="0" w:evenVBand="0" w:oddHBand="0" w:evenHBand="0" w:firstRowFirstColumn="0" w:firstRowLastColumn="0" w:lastRowFirstColumn="0" w:lastRowLastColumn="0"/>
              <w:rPr>
                <w:sz w:val="20"/>
                <w:szCs w:val="20"/>
              </w:rPr>
            </w:pPr>
          </w:p>
          <w:p w14:paraId="11931436" w14:textId="77777777" w:rsidR="0070272F" w:rsidRPr="009A27ED" w:rsidRDefault="0070272F" w:rsidP="00AF66EF">
            <w:pPr>
              <w:pStyle w:val="Prrafodelista"/>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 </w:t>
            </w:r>
          </w:p>
        </w:tc>
        <w:tc>
          <w:tcPr>
            <w:tcW w:w="3124" w:type="dxa"/>
          </w:tcPr>
          <w:p w14:paraId="527B0A12" w14:textId="77777777" w:rsidR="0070272F" w:rsidRPr="009A27ED" w:rsidRDefault="0070272F" w:rsidP="00AF66EF">
            <w:pPr>
              <w:pStyle w:val="Prrafodelista"/>
              <w:numPr>
                <w:ilvl w:val="0"/>
                <w:numId w:val="53"/>
              </w:numPr>
              <w:spacing w:line="240" w:lineRule="auto"/>
              <w:ind w:left="368"/>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Formular un plan de fortalecimiento institucional que aborde las debilidades institucionales identificadas en el proceso de Evaluación Ambiental;</w:t>
            </w:r>
          </w:p>
          <w:p w14:paraId="553E460E" w14:textId="77777777" w:rsidR="0070272F" w:rsidRPr="009A27ED" w:rsidRDefault="0070272F" w:rsidP="00AF66EF">
            <w:pPr>
              <w:pStyle w:val="Prrafodelista"/>
              <w:numPr>
                <w:ilvl w:val="0"/>
                <w:numId w:val="53"/>
              </w:numPr>
              <w:spacing w:line="240" w:lineRule="auto"/>
              <w:ind w:left="367" w:hanging="567"/>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Se implementarán los lineamientos establecidos en la sección 7 del presente MGAS y aquellos indicados en la OP/BM 4.01 y OP/BM 4.04: se aplicará el criterio preventivo con respecto al manejo de los recursos naturales, con el fin de garantizar oportunidades de desarrollo sostenible desde el punto de vista ambiental. </w:t>
            </w:r>
          </w:p>
          <w:p w14:paraId="5112680B" w14:textId="08A028C2" w:rsidR="0070272F" w:rsidRPr="009A27ED" w:rsidRDefault="0070272F" w:rsidP="00AF66EF">
            <w:pPr>
              <w:pStyle w:val="Prrafodelista"/>
              <w:numPr>
                <w:ilvl w:val="0"/>
                <w:numId w:val="53"/>
              </w:numPr>
              <w:spacing w:line="240" w:lineRule="auto"/>
              <w:ind w:left="368"/>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Se aplicarán las normas y procedimientos relativos a las </w:t>
            </w:r>
            <w:proofErr w:type="spellStart"/>
            <w:r w:rsidRPr="009A27ED">
              <w:rPr>
                <w:sz w:val="20"/>
                <w:szCs w:val="20"/>
              </w:rPr>
              <w:t>EA</w:t>
            </w:r>
            <w:r w:rsidR="00897D3E" w:rsidRPr="009A27ED">
              <w:rPr>
                <w:sz w:val="20"/>
                <w:szCs w:val="20"/>
              </w:rPr>
              <w:t>S</w:t>
            </w:r>
            <w:r w:rsidRPr="009A27ED">
              <w:rPr>
                <w:sz w:val="20"/>
                <w:szCs w:val="20"/>
              </w:rPr>
              <w:t>s</w:t>
            </w:r>
            <w:proofErr w:type="spellEnd"/>
            <w:r w:rsidRPr="009A27ED">
              <w:rPr>
                <w:sz w:val="20"/>
                <w:szCs w:val="20"/>
              </w:rPr>
              <w:t xml:space="preserve">, como parte del proceso de robustecimiento de la gobernanza forestal en el país. </w:t>
            </w:r>
          </w:p>
          <w:p w14:paraId="4A2E497C" w14:textId="77777777" w:rsidR="0070272F" w:rsidRPr="009A27ED" w:rsidRDefault="0070272F" w:rsidP="00AF66EF">
            <w:pPr>
              <w:pStyle w:val="Prrafodelista"/>
              <w:numPr>
                <w:ilvl w:val="0"/>
                <w:numId w:val="53"/>
              </w:numPr>
              <w:spacing w:before="100" w:beforeAutospacing="1" w:after="100" w:afterAutospacing="1" w:line="240" w:lineRule="auto"/>
              <w:ind w:left="360"/>
              <w:cnfStyle w:val="000000000000" w:firstRow="0" w:lastRow="0" w:firstColumn="0" w:lastColumn="0" w:oddVBand="0" w:evenVBand="0" w:oddHBand="0" w:evenHBand="0" w:firstRowFirstColumn="0" w:firstRowLastColumn="0" w:lastRowFirstColumn="0" w:lastRowLastColumn="0"/>
              <w:rPr>
                <w:bCs/>
                <w:color w:val="000000"/>
                <w:sz w:val="20"/>
                <w:szCs w:val="20"/>
                <w:lang w:eastAsia="es-ES"/>
              </w:rPr>
            </w:pPr>
            <w:r w:rsidRPr="009A27ED">
              <w:rPr>
                <w:sz w:val="20"/>
                <w:szCs w:val="20"/>
              </w:rPr>
              <w:t>No se desarrollarán proyectos que impliquen degradación y conversión de hábitats naturales. Los PMAS que se desarrollarán para implementar acciones REDD+ en las regiones priorizadas, promoverán acciones relevantes para apoyar las acciones de reducción de la deforestación y la degradación de los bosques</w:t>
            </w:r>
          </w:p>
        </w:tc>
      </w:tr>
      <w:tr w:rsidR="0070272F" w:rsidRPr="009A27ED" w14:paraId="3CF09419" w14:textId="77777777" w:rsidTr="00AF66EF">
        <w:trPr>
          <w:trHeight w:val="1268"/>
        </w:trPr>
        <w:tc>
          <w:tcPr>
            <w:cnfStyle w:val="001000000000" w:firstRow="0" w:lastRow="0" w:firstColumn="1" w:lastColumn="0" w:oddVBand="0" w:evenVBand="0" w:oddHBand="0" w:evenHBand="0" w:firstRowFirstColumn="0" w:firstRowLastColumn="0" w:lastRowFirstColumn="0" w:lastRowLastColumn="0"/>
            <w:tcW w:w="2836" w:type="dxa"/>
            <w:vMerge/>
          </w:tcPr>
          <w:p w14:paraId="7FEB0B7D" w14:textId="77777777" w:rsidR="0070272F" w:rsidRPr="009A27ED" w:rsidRDefault="0070272F" w:rsidP="00AF66EF">
            <w:pPr>
              <w:rPr>
                <w:sz w:val="20"/>
                <w:szCs w:val="20"/>
              </w:rPr>
            </w:pPr>
          </w:p>
        </w:tc>
        <w:tc>
          <w:tcPr>
            <w:tcW w:w="1554" w:type="dxa"/>
          </w:tcPr>
          <w:p w14:paraId="7724B750" w14:textId="77777777" w:rsidR="0070272F" w:rsidRPr="009A27ED" w:rsidRDefault="0070272F" w:rsidP="00AF66EF">
            <w:pPr>
              <w:jc w:val="left"/>
              <w:cnfStyle w:val="000000000000" w:firstRow="0" w:lastRow="0" w:firstColumn="0" w:lastColumn="0" w:oddVBand="0" w:evenVBand="0" w:oddHBand="0" w:evenHBand="0" w:firstRowFirstColumn="0" w:firstRowLastColumn="0" w:lastRowFirstColumn="0" w:lastRowLastColumn="0"/>
              <w:rPr>
                <w:b/>
                <w:sz w:val="20"/>
                <w:szCs w:val="20"/>
              </w:rPr>
            </w:pPr>
            <w:r w:rsidRPr="009A27ED">
              <w:rPr>
                <w:b/>
                <w:sz w:val="20"/>
                <w:szCs w:val="20"/>
              </w:rPr>
              <w:t xml:space="preserve">Ley Orgánica de la Estrategia Nacional de Desarrollo de la República Dominicana 2030 (END, Ley No. 1-12). </w:t>
            </w:r>
          </w:p>
          <w:p w14:paraId="56997079" w14:textId="77777777" w:rsidR="0070272F" w:rsidRPr="009A27ED" w:rsidRDefault="0070272F" w:rsidP="00AF66EF">
            <w:pPr>
              <w:ind w:left="720" w:hanging="360"/>
              <w:jc w:val="left"/>
              <w:cnfStyle w:val="000000000000" w:firstRow="0" w:lastRow="0" w:firstColumn="0" w:lastColumn="0" w:oddVBand="0" w:evenVBand="0" w:oddHBand="0" w:evenHBand="0" w:firstRowFirstColumn="0" w:firstRowLastColumn="0" w:lastRowFirstColumn="0" w:lastRowLastColumn="0"/>
              <w:rPr>
                <w:b/>
                <w:sz w:val="20"/>
                <w:szCs w:val="20"/>
              </w:rPr>
            </w:pPr>
          </w:p>
        </w:tc>
        <w:tc>
          <w:tcPr>
            <w:tcW w:w="2840" w:type="dxa"/>
          </w:tcPr>
          <w:p w14:paraId="577CA7E6" w14:textId="72B49E57" w:rsidR="0070272F" w:rsidRPr="009A27ED" w:rsidRDefault="0070272F" w:rsidP="00AF66EF">
            <w:pPr>
              <w:jc w:val="left"/>
              <w:cnfStyle w:val="000000000000" w:firstRow="0" w:lastRow="0" w:firstColumn="0" w:lastColumn="0" w:oddVBand="0" w:evenVBand="0" w:oddHBand="0" w:evenHBand="0" w:firstRowFirstColumn="0" w:firstRowLastColumn="0" w:lastRowFirstColumn="0" w:lastRowLastColumn="0"/>
              <w:rPr>
                <w:sz w:val="20"/>
                <w:szCs w:val="20"/>
              </w:rPr>
            </w:pPr>
            <w:r w:rsidRPr="009A27ED">
              <w:rPr>
                <w:color w:val="000000" w:themeColor="text1"/>
                <w:sz w:val="20"/>
                <w:szCs w:val="20"/>
              </w:rPr>
              <w:t xml:space="preserve">El </w:t>
            </w:r>
            <w:r w:rsidRPr="009A27ED">
              <w:rPr>
                <w:b/>
                <w:color w:val="000000"/>
                <w:sz w:val="20"/>
                <w:szCs w:val="20"/>
                <w:shd w:val="clear" w:color="auto" w:fill="FFFFFF"/>
                <w:lang w:eastAsia="es-ES"/>
              </w:rPr>
              <w:t xml:space="preserve">Art. 27, </w:t>
            </w:r>
            <w:r w:rsidRPr="009A27ED">
              <w:rPr>
                <w:color w:val="000000"/>
                <w:sz w:val="20"/>
                <w:szCs w:val="20"/>
                <w:shd w:val="clear" w:color="auto" w:fill="FFFFFF"/>
                <w:lang w:eastAsia="es-ES"/>
              </w:rPr>
              <w:t>dispone el</w:t>
            </w:r>
            <w:r w:rsidRPr="009A27ED">
              <w:rPr>
                <w:b/>
                <w:color w:val="000000"/>
                <w:sz w:val="20"/>
                <w:szCs w:val="20"/>
                <w:shd w:val="clear" w:color="auto" w:fill="FFFFFF"/>
                <w:lang w:eastAsia="es-ES"/>
              </w:rPr>
              <w:t xml:space="preserve"> </w:t>
            </w:r>
            <w:r w:rsidRPr="009A27ED">
              <w:rPr>
                <w:color w:val="000000"/>
                <w:sz w:val="20"/>
                <w:szCs w:val="20"/>
                <w:shd w:val="clear" w:color="auto" w:fill="FFFFFF"/>
                <w:lang w:eastAsia="es-ES"/>
              </w:rPr>
              <w:t xml:space="preserve">Cuarto Eje Estratégico planteado por esta ley, estableciendo </w:t>
            </w:r>
            <w:r w:rsidR="003723B0" w:rsidRPr="009A27ED">
              <w:rPr>
                <w:color w:val="000000"/>
                <w:sz w:val="20"/>
                <w:szCs w:val="20"/>
                <w:shd w:val="clear" w:color="auto" w:fill="FFFFFF"/>
                <w:lang w:eastAsia="es-ES"/>
              </w:rPr>
              <w:t>su Objetivo</w:t>
            </w:r>
            <w:r w:rsidRPr="009A27ED">
              <w:rPr>
                <w:b/>
                <w:color w:val="000000"/>
                <w:sz w:val="20"/>
                <w:szCs w:val="20"/>
                <w:shd w:val="clear" w:color="auto" w:fill="FFFFFF"/>
                <w:lang w:eastAsia="es-ES"/>
              </w:rPr>
              <w:t xml:space="preserve"> General 4.1 relativo a Manejo sostenible del medio ambiente, </w:t>
            </w:r>
            <w:r w:rsidRPr="009A27ED">
              <w:rPr>
                <w:color w:val="000000"/>
                <w:sz w:val="20"/>
                <w:szCs w:val="20"/>
                <w:shd w:val="clear" w:color="auto" w:fill="FFFFFF"/>
                <w:lang w:eastAsia="es-ES"/>
              </w:rPr>
              <w:t>a saber</w:t>
            </w:r>
            <w:r w:rsidRPr="009A27ED">
              <w:rPr>
                <w:sz w:val="20"/>
                <w:szCs w:val="20"/>
              </w:rPr>
              <w:t xml:space="preserve">: </w:t>
            </w:r>
          </w:p>
          <w:p w14:paraId="64420981" w14:textId="77777777" w:rsidR="0070272F" w:rsidRPr="009A27ED" w:rsidRDefault="0070272F" w:rsidP="00AF66EF">
            <w:pPr>
              <w:jc w:val="left"/>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w:t>
            </w:r>
            <w:r w:rsidRPr="009A27ED">
              <w:rPr>
                <w:b/>
                <w:color w:val="000000"/>
                <w:sz w:val="20"/>
                <w:szCs w:val="20"/>
                <w:shd w:val="clear" w:color="auto" w:fill="FFFFFF"/>
                <w:lang w:eastAsia="es-ES"/>
              </w:rPr>
              <w:t>4</w:t>
            </w:r>
            <w:r w:rsidRPr="009A27ED">
              <w:rPr>
                <w:b/>
                <w:i/>
                <w:color w:val="000000"/>
                <w:sz w:val="20"/>
                <w:szCs w:val="20"/>
                <w:shd w:val="clear" w:color="auto" w:fill="FFFFFF"/>
                <w:lang w:eastAsia="es-ES"/>
              </w:rPr>
              <w:t>.1.1</w:t>
            </w:r>
            <w:r w:rsidRPr="009A27ED">
              <w:rPr>
                <w:i/>
                <w:color w:val="000000"/>
                <w:sz w:val="20"/>
                <w:szCs w:val="20"/>
                <w:shd w:val="clear" w:color="auto" w:fill="FFFFFF"/>
                <w:lang w:eastAsia="es-ES"/>
              </w:rPr>
              <w:t xml:space="preserve"> Proteger y usar de forma sostenible los bienes y servicios de los ecosistemas, la biodiversidad y el patrimonio natural de la nación, incluidos los recursos marinos</w:t>
            </w:r>
            <w:r w:rsidRPr="009A27ED">
              <w:rPr>
                <w:color w:val="000000"/>
                <w:sz w:val="20"/>
                <w:szCs w:val="20"/>
                <w:shd w:val="clear" w:color="auto" w:fill="FFFFFF"/>
                <w:lang w:eastAsia="es-ES"/>
              </w:rPr>
              <w:t>.</w:t>
            </w:r>
            <w:r w:rsidRPr="009A27ED">
              <w:rPr>
                <w:sz w:val="20"/>
                <w:szCs w:val="20"/>
              </w:rPr>
              <w:t xml:space="preserve"> </w:t>
            </w:r>
          </w:p>
          <w:p w14:paraId="547389BB" w14:textId="77777777" w:rsidR="0070272F" w:rsidRPr="009A27ED" w:rsidRDefault="0070272F" w:rsidP="00AF66EF">
            <w:pPr>
              <w:jc w:val="left"/>
              <w:cnfStyle w:val="000000000000" w:firstRow="0" w:lastRow="0" w:firstColumn="0" w:lastColumn="0" w:oddVBand="0" w:evenVBand="0" w:oddHBand="0" w:evenHBand="0" w:firstRowFirstColumn="0" w:firstRowLastColumn="0" w:lastRowFirstColumn="0" w:lastRowLastColumn="0"/>
              <w:rPr>
                <w:i/>
                <w:sz w:val="20"/>
                <w:szCs w:val="20"/>
              </w:rPr>
            </w:pPr>
            <w:r w:rsidRPr="009A27ED">
              <w:rPr>
                <w:b/>
                <w:i/>
                <w:color w:val="000000"/>
                <w:sz w:val="20"/>
                <w:szCs w:val="20"/>
                <w:shd w:val="clear" w:color="auto" w:fill="FFFFFF"/>
                <w:lang w:eastAsia="es-ES"/>
              </w:rPr>
              <w:t>4.1.1.6</w:t>
            </w:r>
            <w:r w:rsidRPr="009A27ED">
              <w:rPr>
                <w:i/>
                <w:color w:val="000000"/>
                <w:sz w:val="20"/>
                <w:szCs w:val="20"/>
                <w:shd w:val="clear" w:color="auto" w:fill="FFFFFF"/>
                <w:lang w:eastAsia="es-ES"/>
              </w:rPr>
              <w:t xml:space="preserve"> Desarrollar sistemas de monitoreo, evaluación y valoración del estado del medio ambiente y los recursos naturales a nivel nacional, regional y local, a partir de la consolidación de un Sistema de Información Ambiental que incluya la valoración de los recursos naturales en las cuentas nacionales.</w:t>
            </w:r>
            <w:r w:rsidRPr="009A27ED">
              <w:rPr>
                <w:i/>
                <w:sz w:val="20"/>
                <w:szCs w:val="20"/>
              </w:rPr>
              <w:t xml:space="preserve"> </w:t>
            </w:r>
          </w:p>
          <w:p w14:paraId="6F77AC0A" w14:textId="77777777" w:rsidR="0070272F" w:rsidRPr="009A27ED" w:rsidRDefault="0070272F" w:rsidP="00AF66EF">
            <w:pPr>
              <w:jc w:val="left"/>
              <w:cnfStyle w:val="000000000000" w:firstRow="0" w:lastRow="0" w:firstColumn="0" w:lastColumn="0" w:oddVBand="0" w:evenVBand="0" w:oddHBand="0" w:evenHBand="0" w:firstRowFirstColumn="0" w:firstRowLastColumn="0" w:lastRowFirstColumn="0" w:lastRowLastColumn="0"/>
              <w:rPr>
                <w:color w:val="000000"/>
                <w:sz w:val="20"/>
                <w:szCs w:val="20"/>
                <w:shd w:val="clear" w:color="auto" w:fill="FFFFFF"/>
                <w:lang w:eastAsia="es-ES"/>
              </w:rPr>
            </w:pPr>
            <w:r w:rsidRPr="009A27ED">
              <w:rPr>
                <w:b/>
                <w:color w:val="000000"/>
                <w:sz w:val="20"/>
                <w:szCs w:val="20"/>
                <w:shd w:val="clear" w:color="auto" w:fill="FFFFFF"/>
                <w:lang w:eastAsia="es-ES"/>
              </w:rPr>
              <w:t>4</w:t>
            </w:r>
            <w:r w:rsidRPr="009A27ED">
              <w:rPr>
                <w:b/>
                <w:i/>
                <w:color w:val="000000"/>
                <w:sz w:val="20"/>
                <w:szCs w:val="20"/>
                <w:shd w:val="clear" w:color="auto" w:fill="FFFFFF"/>
                <w:lang w:eastAsia="es-ES"/>
              </w:rPr>
              <w:t>.1.1.9</w:t>
            </w:r>
            <w:r w:rsidRPr="009A27ED">
              <w:rPr>
                <w:i/>
                <w:color w:val="000000"/>
                <w:sz w:val="20"/>
                <w:szCs w:val="20"/>
                <w:shd w:val="clear" w:color="auto" w:fill="FFFFFF"/>
                <w:lang w:eastAsia="es-ES"/>
              </w:rPr>
              <w:t xml:space="preserve"> Gestionar los recursos forestales de forma sostenible y promover la reforestación de los territorios con vocación boscosa con especies endémicas y nativas”</w:t>
            </w:r>
            <w:r w:rsidRPr="009A27ED">
              <w:rPr>
                <w:color w:val="000000"/>
                <w:sz w:val="20"/>
                <w:szCs w:val="20"/>
                <w:shd w:val="clear" w:color="auto" w:fill="FFFFFF"/>
                <w:lang w:eastAsia="es-ES"/>
              </w:rPr>
              <w:t xml:space="preserve">. </w:t>
            </w:r>
          </w:p>
          <w:p w14:paraId="5D0FE50E" w14:textId="77777777" w:rsidR="0070272F" w:rsidRPr="009A27ED" w:rsidRDefault="0070272F" w:rsidP="00AF66EF">
            <w:pPr>
              <w:jc w:val="left"/>
              <w:cnfStyle w:val="000000000000" w:firstRow="0" w:lastRow="0" w:firstColumn="0" w:lastColumn="0" w:oddVBand="0" w:evenVBand="0" w:oddHBand="0" w:evenHBand="0" w:firstRowFirstColumn="0" w:firstRowLastColumn="0" w:lastRowFirstColumn="0" w:lastRowLastColumn="0"/>
              <w:rPr>
                <w:color w:val="000000"/>
                <w:sz w:val="20"/>
                <w:szCs w:val="20"/>
                <w:shd w:val="clear" w:color="auto" w:fill="FFFFFF"/>
                <w:lang w:eastAsia="es-ES"/>
              </w:rPr>
            </w:pPr>
            <w:r w:rsidRPr="009A27ED">
              <w:rPr>
                <w:color w:val="000000"/>
                <w:sz w:val="20"/>
                <w:szCs w:val="20"/>
                <w:shd w:val="clear" w:color="auto" w:fill="FFFFFF"/>
                <w:lang w:eastAsia="es-ES"/>
              </w:rPr>
              <w:t xml:space="preserve">En ese mismo eje estratégico y en </w:t>
            </w:r>
            <w:r w:rsidRPr="009A27ED">
              <w:rPr>
                <w:b/>
                <w:color w:val="000000"/>
                <w:sz w:val="20"/>
                <w:szCs w:val="20"/>
                <w:shd w:val="clear" w:color="auto" w:fill="FFFFFF"/>
                <w:lang w:eastAsia="es-ES"/>
              </w:rPr>
              <w:t xml:space="preserve">la línea de acción 4.1.1.12 </w:t>
            </w:r>
            <w:r w:rsidRPr="009A27ED">
              <w:rPr>
                <w:color w:val="000000"/>
                <w:sz w:val="20"/>
                <w:szCs w:val="20"/>
                <w:shd w:val="clear" w:color="auto" w:fill="FFFFFF"/>
                <w:lang w:eastAsia="es-ES"/>
              </w:rPr>
              <w:t>dispone “</w:t>
            </w:r>
            <w:r w:rsidRPr="009A27ED">
              <w:rPr>
                <w:i/>
                <w:color w:val="000000"/>
                <w:sz w:val="20"/>
                <w:szCs w:val="20"/>
                <w:shd w:val="clear" w:color="auto" w:fill="FFFFFF"/>
                <w:lang w:eastAsia="es-ES"/>
              </w:rPr>
              <w:t>Establecer y fortalecer mecanismos de veeduría social sobre el cumplimiento de la legislación ambiental nacional, los acuerdos ambientales internacionales y la aplicación de los criterios de justicia ambiental”</w:t>
            </w:r>
            <w:r w:rsidRPr="009A27ED">
              <w:rPr>
                <w:color w:val="000000"/>
                <w:sz w:val="20"/>
                <w:szCs w:val="20"/>
                <w:shd w:val="clear" w:color="auto" w:fill="FFFFFF"/>
                <w:lang w:eastAsia="es-ES"/>
              </w:rPr>
              <w:t>.</w:t>
            </w:r>
          </w:p>
          <w:p w14:paraId="45D339CE" w14:textId="77777777" w:rsidR="0070272F" w:rsidRPr="009A27ED" w:rsidRDefault="0070272F" w:rsidP="00AF66EF">
            <w:pPr>
              <w:jc w:val="left"/>
              <w:cnfStyle w:val="000000000000" w:firstRow="0" w:lastRow="0" w:firstColumn="0" w:lastColumn="0" w:oddVBand="0" w:evenVBand="0" w:oddHBand="0" w:evenHBand="0" w:firstRowFirstColumn="0" w:firstRowLastColumn="0" w:lastRowFirstColumn="0" w:lastRowLastColumn="0"/>
              <w:rPr>
                <w:color w:val="000000"/>
                <w:sz w:val="20"/>
                <w:szCs w:val="20"/>
                <w:shd w:val="clear" w:color="auto" w:fill="FFFFFF"/>
                <w:lang w:eastAsia="es-ES"/>
              </w:rPr>
            </w:pPr>
          </w:p>
        </w:tc>
        <w:tc>
          <w:tcPr>
            <w:tcW w:w="2546" w:type="dxa"/>
          </w:tcPr>
          <w:p w14:paraId="535D6701" w14:textId="565572DE"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La Ley No.1-</w:t>
            </w:r>
            <w:r w:rsidR="003723B0" w:rsidRPr="009A27ED">
              <w:rPr>
                <w:sz w:val="20"/>
                <w:szCs w:val="20"/>
              </w:rPr>
              <w:t>12, en</w:t>
            </w:r>
            <w:r w:rsidRPr="009A27ED">
              <w:rPr>
                <w:sz w:val="20"/>
                <w:szCs w:val="20"/>
              </w:rPr>
              <w:t xml:space="preserve"> la línea de acción 4.1.6 manda a realizar sistemas de evaluación y valoración de los recursos naturales y su inclusión en el sistema de cuentas nacionales. Esto permite</w:t>
            </w:r>
            <w:r w:rsidRPr="009A27ED">
              <w:rPr>
                <w:color w:val="000000" w:themeColor="text1"/>
                <w:sz w:val="20"/>
                <w:szCs w:val="20"/>
              </w:rPr>
              <w:t xml:space="preserve"> garantizar la solidez y sostenibilidad ambiental, y mejorar así el proceso de toma de decisiones a nivel gubernamental </w:t>
            </w:r>
          </w:p>
          <w:p w14:paraId="41458308"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A27ED">
              <w:rPr>
                <w:color w:val="000000"/>
                <w:sz w:val="20"/>
                <w:szCs w:val="20"/>
                <w:shd w:val="clear" w:color="auto" w:fill="FFFFFF"/>
                <w:lang w:eastAsia="es-ES"/>
              </w:rPr>
              <w:t xml:space="preserve">De manera implícita, los planteamientos contenidos en el Cuarto Eje Estratégico de la Estrategia Nacional de Desarrollo apuntan hacia el cumplimiento de las normativas existentes y en donde </w:t>
            </w:r>
            <w:r w:rsidRPr="009A27ED">
              <w:rPr>
                <w:sz w:val="20"/>
                <w:szCs w:val="20"/>
              </w:rPr>
              <w:t>Evaluación Ambiental está definido con todos sus instrumentos de aplicación.</w:t>
            </w:r>
          </w:p>
        </w:tc>
        <w:tc>
          <w:tcPr>
            <w:tcW w:w="2268" w:type="dxa"/>
          </w:tcPr>
          <w:p w14:paraId="22C09270"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A27ED">
              <w:rPr>
                <w:sz w:val="20"/>
                <w:szCs w:val="20"/>
              </w:rPr>
              <w:t>No se observan vacíos legales</w:t>
            </w:r>
          </w:p>
        </w:tc>
        <w:tc>
          <w:tcPr>
            <w:tcW w:w="3124" w:type="dxa"/>
          </w:tcPr>
          <w:p w14:paraId="50BEA5EF"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p>
        </w:tc>
      </w:tr>
      <w:tr w:rsidR="0070272F" w:rsidRPr="009A27ED" w14:paraId="67F21A57" w14:textId="77777777" w:rsidTr="00AF66EF">
        <w:trPr>
          <w:trHeight w:val="1537"/>
        </w:trPr>
        <w:tc>
          <w:tcPr>
            <w:cnfStyle w:val="001000000000" w:firstRow="0" w:lastRow="0" w:firstColumn="1" w:lastColumn="0" w:oddVBand="0" w:evenVBand="0" w:oddHBand="0" w:evenHBand="0" w:firstRowFirstColumn="0" w:firstRowLastColumn="0" w:lastRowFirstColumn="0" w:lastRowLastColumn="0"/>
            <w:tcW w:w="2836" w:type="dxa"/>
            <w:vMerge/>
          </w:tcPr>
          <w:p w14:paraId="746E477D" w14:textId="77777777" w:rsidR="0070272F" w:rsidRPr="009A27ED" w:rsidRDefault="0070272F" w:rsidP="00AF66EF">
            <w:pPr>
              <w:rPr>
                <w:sz w:val="20"/>
                <w:szCs w:val="20"/>
              </w:rPr>
            </w:pPr>
          </w:p>
        </w:tc>
        <w:tc>
          <w:tcPr>
            <w:tcW w:w="1554" w:type="dxa"/>
          </w:tcPr>
          <w:p w14:paraId="45B98065" w14:textId="77777777" w:rsidR="0070272F" w:rsidRPr="009A27ED" w:rsidRDefault="0070272F" w:rsidP="00AF66EF">
            <w:pPr>
              <w:spacing w:after="11" w:line="249" w:lineRule="auto"/>
              <w:jc w:val="left"/>
              <w:cnfStyle w:val="000000000000" w:firstRow="0" w:lastRow="0" w:firstColumn="0" w:lastColumn="0" w:oddVBand="0" w:evenVBand="0" w:oddHBand="0" w:evenHBand="0" w:firstRowFirstColumn="0" w:firstRowLastColumn="0" w:lastRowFirstColumn="0" w:lastRowLastColumn="0"/>
              <w:rPr>
                <w:b/>
                <w:sz w:val="20"/>
                <w:szCs w:val="20"/>
              </w:rPr>
            </w:pPr>
            <w:r w:rsidRPr="009A27ED">
              <w:rPr>
                <w:b/>
                <w:sz w:val="20"/>
                <w:szCs w:val="20"/>
              </w:rPr>
              <w:t xml:space="preserve">Compendio de Reglamentos y Procedimientos para Autorizaciones Ambientales de la República Dominicana </w:t>
            </w:r>
            <w:r w:rsidRPr="009A27ED">
              <w:rPr>
                <w:b/>
                <w:sz w:val="20"/>
                <w:szCs w:val="20"/>
              </w:rPr>
              <w:lastRenderedPageBreak/>
              <w:t>(Promulgado mediante la Resolución No. 13-2014)</w:t>
            </w:r>
          </w:p>
          <w:p w14:paraId="787F7170" w14:textId="77777777" w:rsidR="0070272F" w:rsidRPr="009A27ED" w:rsidRDefault="0070272F" w:rsidP="00AF66EF">
            <w:pPr>
              <w:pStyle w:val="Prrafodelista"/>
              <w:ind w:left="426"/>
              <w:jc w:val="left"/>
              <w:cnfStyle w:val="000000000000" w:firstRow="0" w:lastRow="0" w:firstColumn="0" w:lastColumn="0" w:oddVBand="0" w:evenVBand="0" w:oddHBand="0" w:evenHBand="0" w:firstRowFirstColumn="0" w:firstRowLastColumn="0" w:lastRowFirstColumn="0" w:lastRowLastColumn="0"/>
              <w:rPr>
                <w:b/>
                <w:sz w:val="20"/>
                <w:szCs w:val="20"/>
                <w:lang w:val="es-ES"/>
              </w:rPr>
            </w:pPr>
          </w:p>
        </w:tc>
        <w:tc>
          <w:tcPr>
            <w:tcW w:w="2840" w:type="dxa"/>
          </w:tcPr>
          <w:p w14:paraId="4C2FD238" w14:textId="77777777" w:rsidR="0070272F" w:rsidRPr="009A27ED" w:rsidRDefault="0070272F" w:rsidP="00AF66EF">
            <w:pPr>
              <w:spacing w:before="100" w:beforeAutospacing="1" w:after="100" w:afterAutospacing="1"/>
              <w:jc w:val="left"/>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A27ED">
              <w:rPr>
                <w:color w:val="000000" w:themeColor="text1"/>
                <w:sz w:val="20"/>
                <w:szCs w:val="20"/>
              </w:rPr>
              <w:lastRenderedPageBreak/>
              <w:t>Este compendio está compuesto por los siguientes documentos:</w:t>
            </w:r>
          </w:p>
          <w:p w14:paraId="61A083FC" w14:textId="77777777" w:rsidR="0070272F" w:rsidRPr="009A27ED" w:rsidRDefault="0070272F" w:rsidP="00AF66EF">
            <w:pPr>
              <w:pStyle w:val="Prrafodelista"/>
              <w:numPr>
                <w:ilvl w:val="0"/>
                <w:numId w:val="257"/>
              </w:numPr>
              <w:spacing w:before="100" w:beforeAutospacing="1" w:after="100" w:afterAutospacing="1" w:line="240" w:lineRule="auto"/>
              <w:ind w:left="459"/>
              <w:jc w:val="left"/>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A27ED">
              <w:rPr>
                <w:color w:val="000000" w:themeColor="text1"/>
                <w:sz w:val="20"/>
                <w:szCs w:val="20"/>
              </w:rPr>
              <w:t>El Reglamento del Proceso de Evaluación Ambiental.</w:t>
            </w:r>
          </w:p>
          <w:p w14:paraId="65F44BFC" w14:textId="77777777" w:rsidR="0070272F" w:rsidRPr="009A27ED" w:rsidRDefault="0070272F" w:rsidP="00AF66EF">
            <w:pPr>
              <w:pStyle w:val="Prrafodelista"/>
              <w:numPr>
                <w:ilvl w:val="0"/>
                <w:numId w:val="257"/>
              </w:numPr>
              <w:spacing w:before="100" w:beforeAutospacing="1" w:after="100" w:afterAutospacing="1" w:line="240" w:lineRule="auto"/>
              <w:ind w:left="459"/>
              <w:jc w:val="left"/>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A27ED">
              <w:rPr>
                <w:color w:val="000000" w:themeColor="text1"/>
                <w:sz w:val="20"/>
                <w:szCs w:val="20"/>
              </w:rPr>
              <w:t>El Procedimiento de Evaluación Ambiental.</w:t>
            </w:r>
          </w:p>
          <w:p w14:paraId="681402E6" w14:textId="77777777" w:rsidR="0070272F" w:rsidRPr="009A27ED" w:rsidRDefault="0070272F" w:rsidP="00AF66EF">
            <w:pPr>
              <w:pStyle w:val="Prrafodelista"/>
              <w:numPr>
                <w:ilvl w:val="0"/>
                <w:numId w:val="257"/>
              </w:numPr>
              <w:spacing w:before="100" w:beforeAutospacing="1" w:after="100" w:afterAutospacing="1" w:line="240" w:lineRule="auto"/>
              <w:ind w:left="459"/>
              <w:jc w:val="left"/>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A27ED">
              <w:rPr>
                <w:color w:val="000000" w:themeColor="text1"/>
                <w:sz w:val="20"/>
                <w:szCs w:val="20"/>
              </w:rPr>
              <w:lastRenderedPageBreak/>
              <w:t>Lista de Actividades, obras y proyectos y la categoría de estudio correspondiente.</w:t>
            </w:r>
          </w:p>
          <w:p w14:paraId="62C01129" w14:textId="77777777" w:rsidR="0070272F" w:rsidRPr="009A27ED" w:rsidRDefault="0070272F" w:rsidP="00AF66EF">
            <w:pPr>
              <w:pStyle w:val="Prrafodelista"/>
              <w:numPr>
                <w:ilvl w:val="0"/>
                <w:numId w:val="257"/>
              </w:numPr>
              <w:spacing w:before="100" w:beforeAutospacing="1" w:after="100" w:afterAutospacing="1" w:line="240" w:lineRule="auto"/>
              <w:ind w:left="459"/>
              <w:jc w:val="left"/>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A27ED">
              <w:rPr>
                <w:color w:val="000000" w:themeColor="text1"/>
                <w:sz w:val="20"/>
                <w:szCs w:val="20"/>
              </w:rPr>
              <w:t>Lista de exclusión de proyectos, obras y actividades.</w:t>
            </w:r>
          </w:p>
          <w:p w14:paraId="7D5F4967" w14:textId="77777777" w:rsidR="0070272F" w:rsidRPr="009A27ED" w:rsidRDefault="0070272F" w:rsidP="00AF66EF">
            <w:pPr>
              <w:pStyle w:val="Prrafodelista"/>
              <w:numPr>
                <w:ilvl w:val="0"/>
                <w:numId w:val="257"/>
              </w:numPr>
              <w:spacing w:before="100" w:beforeAutospacing="1" w:after="100" w:afterAutospacing="1" w:line="240" w:lineRule="auto"/>
              <w:ind w:left="459"/>
              <w:jc w:val="left"/>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A27ED">
              <w:rPr>
                <w:color w:val="000000" w:themeColor="text1"/>
                <w:sz w:val="20"/>
                <w:szCs w:val="20"/>
              </w:rPr>
              <w:t>Reglamento para el proceso de autorizaciones temática.</w:t>
            </w:r>
          </w:p>
          <w:p w14:paraId="4B8FE9C1" w14:textId="77777777" w:rsidR="0070272F" w:rsidRPr="009A27ED" w:rsidRDefault="0070272F" w:rsidP="00AF66EF">
            <w:pPr>
              <w:pStyle w:val="Prrafodelista"/>
              <w:numPr>
                <w:ilvl w:val="0"/>
                <w:numId w:val="257"/>
              </w:numPr>
              <w:spacing w:before="100" w:beforeAutospacing="1" w:after="100" w:afterAutospacing="1" w:line="240" w:lineRule="auto"/>
              <w:ind w:left="459"/>
              <w:jc w:val="left"/>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A27ED">
              <w:rPr>
                <w:color w:val="000000" w:themeColor="text1"/>
                <w:sz w:val="20"/>
                <w:szCs w:val="20"/>
              </w:rPr>
              <w:t>Procedimiento de las autorizaciones temáticas</w:t>
            </w:r>
          </w:p>
          <w:p w14:paraId="6B077C55" w14:textId="77777777" w:rsidR="0070272F" w:rsidRPr="009A27ED" w:rsidRDefault="0070272F" w:rsidP="00AF66EF">
            <w:pPr>
              <w:spacing w:before="100" w:beforeAutospacing="1" w:after="100" w:afterAutospacing="1"/>
              <w:jc w:val="left"/>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A27ED">
              <w:rPr>
                <w:color w:val="000000" w:themeColor="text1"/>
                <w:sz w:val="20"/>
                <w:szCs w:val="20"/>
              </w:rPr>
              <w:t xml:space="preserve">El Reglamento del Proceso de Evaluación Ambiental establece en </w:t>
            </w:r>
            <w:r w:rsidRPr="009A27ED">
              <w:rPr>
                <w:b/>
                <w:color w:val="000000" w:themeColor="text1"/>
                <w:sz w:val="20"/>
                <w:szCs w:val="20"/>
              </w:rPr>
              <w:t>Art. 1</w:t>
            </w:r>
            <w:r w:rsidRPr="009A27ED">
              <w:rPr>
                <w:color w:val="000000" w:themeColor="text1"/>
                <w:sz w:val="20"/>
                <w:szCs w:val="20"/>
              </w:rPr>
              <w:t xml:space="preserve"> que: </w:t>
            </w:r>
            <w:r w:rsidRPr="009A27ED">
              <w:rPr>
                <w:i/>
                <w:color w:val="000000" w:themeColor="text1"/>
                <w:sz w:val="20"/>
                <w:szCs w:val="20"/>
              </w:rPr>
              <w:t>“Este reglamento tiene por objeto regular el proceso de autorizaciones ambientales establecido en la Ley General sobre Medio Ambiente y Recursos Naturales, 64-00, con la finalidad de prevenir, controlar y mitigar los posibles impactos sobre el medio ambiente y los recursos naturales ocasionados por obras, proyectos y actividades, tal como establecen los artículos del 38 al 55 de la referida ley</w:t>
            </w:r>
            <w:r w:rsidRPr="009A27ED">
              <w:rPr>
                <w:color w:val="000000" w:themeColor="text1"/>
                <w:sz w:val="20"/>
                <w:szCs w:val="20"/>
              </w:rPr>
              <w:t>”.</w:t>
            </w:r>
          </w:p>
          <w:p w14:paraId="1939C650" w14:textId="2EA648EA" w:rsidR="0070272F" w:rsidRPr="009A27ED" w:rsidRDefault="0070272F" w:rsidP="00AF66EF">
            <w:pPr>
              <w:spacing w:before="100" w:beforeAutospacing="1" w:after="100" w:afterAutospacing="1"/>
              <w:jc w:val="left"/>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A27ED">
              <w:rPr>
                <w:color w:val="000000" w:themeColor="text1"/>
                <w:sz w:val="20"/>
                <w:szCs w:val="20"/>
              </w:rPr>
              <w:t xml:space="preserve">Asimismo, establece en el </w:t>
            </w:r>
            <w:r w:rsidRPr="009A27ED">
              <w:rPr>
                <w:b/>
                <w:color w:val="000000" w:themeColor="text1"/>
                <w:sz w:val="20"/>
                <w:szCs w:val="20"/>
              </w:rPr>
              <w:t>Art. 2</w:t>
            </w:r>
            <w:r w:rsidRPr="009A27ED">
              <w:rPr>
                <w:color w:val="000000" w:themeColor="text1"/>
                <w:sz w:val="20"/>
                <w:szCs w:val="20"/>
              </w:rPr>
              <w:t xml:space="preserve"> su alcance, disponiendo que “</w:t>
            </w:r>
            <w:r w:rsidRPr="009A27ED">
              <w:rPr>
                <w:i/>
                <w:color w:val="000000" w:themeColor="text1"/>
                <w:sz w:val="20"/>
                <w:szCs w:val="20"/>
              </w:rPr>
              <w:t xml:space="preserve">Los requerimientos contenidos en este reglamento son aplicables y de cumplimiento obligatorio para todo proyecto, obra de infraestructura, industria y cualquier actividad, pública o privada </w:t>
            </w:r>
            <w:r w:rsidR="00567CF4" w:rsidRPr="009A27ED">
              <w:rPr>
                <w:i/>
                <w:color w:val="000000" w:themeColor="text1"/>
                <w:sz w:val="20"/>
                <w:szCs w:val="20"/>
              </w:rPr>
              <w:t>que,</w:t>
            </w:r>
            <w:r w:rsidRPr="009A27ED">
              <w:rPr>
                <w:i/>
                <w:color w:val="000000" w:themeColor="text1"/>
                <w:sz w:val="20"/>
                <w:szCs w:val="20"/>
              </w:rPr>
              <w:t xml:space="preserve"> por sus características, pueda afectar de una manera u otra los recursos naturales, la calidad ambiental y la salud de la población en todo el territorio nacional, de conformidad con las disposiciones previstas en la Ley 64-00</w:t>
            </w:r>
            <w:r w:rsidRPr="009A27ED">
              <w:rPr>
                <w:color w:val="000000" w:themeColor="text1"/>
                <w:sz w:val="20"/>
                <w:szCs w:val="20"/>
              </w:rPr>
              <w:t>”.</w:t>
            </w:r>
          </w:p>
          <w:p w14:paraId="5879A13C" w14:textId="77777777" w:rsidR="0070272F" w:rsidRPr="009A27ED" w:rsidRDefault="0070272F" w:rsidP="00AF66EF">
            <w:pPr>
              <w:spacing w:before="100" w:beforeAutospacing="1" w:after="100" w:afterAutospacing="1"/>
              <w:jc w:val="left"/>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A27ED">
              <w:rPr>
                <w:color w:val="000000" w:themeColor="text1"/>
                <w:sz w:val="20"/>
                <w:szCs w:val="20"/>
              </w:rPr>
              <w:t xml:space="preserve">En el </w:t>
            </w:r>
            <w:r w:rsidRPr="009A27ED">
              <w:rPr>
                <w:b/>
                <w:color w:val="000000" w:themeColor="text1"/>
                <w:sz w:val="20"/>
                <w:szCs w:val="20"/>
              </w:rPr>
              <w:t>Art. 4</w:t>
            </w:r>
            <w:r w:rsidRPr="009A27ED">
              <w:rPr>
                <w:color w:val="000000" w:themeColor="text1"/>
                <w:sz w:val="20"/>
                <w:szCs w:val="20"/>
              </w:rPr>
              <w:t xml:space="preserve"> se clasifican las actividades, obras y proyectos </w:t>
            </w:r>
            <w:r w:rsidRPr="009A27ED">
              <w:rPr>
                <w:color w:val="000000" w:themeColor="text1"/>
                <w:sz w:val="20"/>
                <w:szCs w:val="20"/>
              </w:rPr>
              <w:lastRenderedPageBreak/>
              <w:t>que se consideran en este reglamento, en virtud de su potencial de impactar al medio ambiente:</w:t>
            </w:r>
          </w:p>
          <w:p w14:paraId="4D2B6126" w14:textId="332489F0" w:rsidR="0070272F" w:rsidRPr="009A27ED" w:rsidRDefault="0070272F" w:rsidP="00AF66EF">
            <w:pPr>
              <w:pStyle w:val="Bodytext20"/>
              <w:numPr>
                <w:ilvl w:val="0"/>
                <w:numId w:val="260"/>
              </w:numPr>
              <w:shd w:val="clear" w:color="auto" w:fill="auto"/>
              <w:spacing w:after="180" w:line="240" w:lineRule="auto"/>
              <w:ind w:left="318" w:hanging="284"/>
              <w:cnfStyle w:val="000000000000" w:firstRow="0" w:lastRow="0" w:firstColumn="0" w:lastColumn="0" w:oddVBand="0" w:evenVBand="0" w:oddHBand="0" w:evenHBand="0" w:firstRowFirstColumn="0" w:firstRowLastColumn="0" w:lastRowFirstColumn="0" w:lastRowLastColumn="0"/>
              <w:rPr>
                <w:rFonts w:cstheme="minorHAnsi"/>
                <w:sz w:val="20"/>
                <w:szCs w:val="20"/>
                <w:lang w:val="es-GT"/>
              </w:rPr>
            </w:pPr>
            <w:r w:rsidRPr="009A27ED">
              <w:rPr>
                <w:rFonts w:cstheme="minorHAnsi"/>
                <w:b/>
                <w:color w:val="000000" w:themeColor="text1"/>
                <w:sz w:val="20"/>
                <w:szCs w:val="20"/>
                <w:u w:val="single"/>
                <w:lang w:val="es-GT"/>
              </w:rPr>
              <w:t>Categoría A:</w:t>
            </w:r>
            <w:r w:rsidRPr="009A27ED">
              <w:rPr>
                <w:rFonts w:cstheme="minorHAnsi"/>
                <w:color w:val="000000" w:themeColor="text1"/>
                <w:sz w:val="20"/>
                <w:szCs w:val="20"/>
                <w:lang w:val="es-GT"/>
              </w:rPr>
              <w:t xml:space="preserve"> </w:t>
            </w:r>
            <w:r w:rsidRPr="009A27ED">
              <w:rPr>
                <w:rFonts w:eastAsia="Microsoft Sans Serif" w:cstheme="minorHAnsi"/>
                <w:color w:val="000000"/>
                <w:sz w:val="20"/>
                <w:szCs w:val="20"/>
                <w:lang w:val="es-ES" w:eastAsia="es-ES" w:bidi="es-ES"/>
              </w:rPr>
              <w:t>Un proyecto propuesto se clasifica en la categoría A cuando puede producir impactos adversos al ambiente, ya sea por sus características o por estar localizado en o cerca de áreas ambiental mente sensibles, y cuya magnitud y extensión debe determinarse durante el estudio. Este tipo de proyecto incluye medidas preventivas, mitigantes y/o compensatorias de los impactos identificados, estableciendo el Programa de Manejo y Adecuación Ambiental necesaria para que el proyecto pueda ejecutarse. A esta categoría de proyecto se le requiere un Estudio de Impacto Ambiental (</w:t>
            </w:r>
            <w:r w:rsidR="001B6C5C" w:rsidRPr="009A27ED">
              <w:rPr>
                <w:rFonts w:eastAsia="Microsoft Sans Serif" w:cstheme="minorHAnsi"/>
                <w:color w:val="000000"/>
                <w:sz w:val="20"/>
                <w:szCs w:val="20"/>
                <w:lang w:val="es-ES" w:eastAsia="es-ES" w:bidi="es-ES"/>
              </w:rPr>
              <w:t>Esla</w:t>
            </w:r>
            <w:r w:rsidRPr="009A27ED">
              <w:rPr>
                <w:rFonts w:eastAsia="Microsoft Sans Serif" w:cstheme="minorHAnsi"/>
                <w:color w:val="000000"/>
                <w:sz w:val="20"/>
                <w:szCs w:val="20"/>
                <w:lang w:val="es-ES" w:eastAsia="es-ES" w:bidi="es-ES"/>
              </w:rPr>
              <w:t>).</w:t>
            </w:r>
          </w:p>
          <w:p w14:paraId="143ACD4B" w14:textId="77777777" w:rsidR="0070272F" w:rsidRPr="009A27ED" w:rsidRDefault="0070272F" w:rsidP="00AF66EF">
            <w:pPr>
              <w:pStyle w:val="Bodytext20"/>
              <w:numPr>
                <w:ilvl w:val="0"/>
                <w:numId w:val="260"/>
              </w:numPr>
              <w:shd w:val="clear" w:color="auto" w:fill="auto"/>
              <w:spacing w:after="180" w:line="240" w:lineRule="auto"/>
              <w:ind w:left="318" w:hanging="284"/>
              <w:cnfStyle w:val="000000000000" w:firstRow="0" w:lastRow="0" w:firstColumn="0" w:lastColumn="0" w:oddVBand="0" w:evenVBand="0" w:oddHBand="0" w:evenHBand="0" w:firstRowFirstColumn="0" w:firstRowLastColumn="0" w:lastRowFirstColumn="0" w:lastRowLastColumn="0"/>
              <w:rPr>
                <w:rFonts w:cstheme="minorHAnsi"/>
                <w:sz w:val="20"/>
                <w:szCs w:val="20"/>
                <w:lang w:val="es-GT"/>
              </w:rPr>
            </w:pPr>
            <w:r w:rsidRPr="009A27ED">
              <w:rPr>
                <w:rFonts w:eastAsia="Microsoft Sans Serif" w:cstheme="minorHAnsi"/>
                <w:b/>
                <w:color w:val="000000"/>
                <w:sz w:val="20"/>
                <w:szCs w:val="20"/>
                <w:u w:val="single"/>
                <w:lang w:val="es-ES" w:eastAsia="es-ES" w:bidi="es-ES"/>
              </w:rPr>
              <w:t>Categoría B:</w:t>
            </w:r>
            <w:r w:rsidRPr="009A27ED">
              <w:rPr>
                <w:rFonts w:eastAsia="Microsoft Sans Serif" w:cstheme="minorHAnsi"/>
                <w:color w:val="000000"/>
                <w:sz w:val="20"/>
                <w:szCs w:val="20"/>
                <w:lang w:val="es-ES" w:eastAsia="es-ES" w:bidi="es-ES"/>
              </w:rPr>
              <w:t xml:space="preserve"> Un proyecto propuesto se clasifica en la categoría B cuando los impactos son bien conocidos, o moderados y cuyos efectos negativos pueden ser eliminados o minimizados mediante la adopción de medidas de mitigación, prevención o compensación necesarias, que se establecen en el Programa de Manejo y Adecuación Ambiental del mismo. A esta categoría de proyecto se le requiere una Declaración de Impacto Ambiental (DIA).</w:t>
            </w:r>
          </w:p>
          <w:p w14:paraId="2EE26B99" w14:textId="77777777" w:rsidR="0070272F" w:rsidRPr="009A27ED" w:rsidRDefault="0070272F" w:rsidP="00AF66EF">
            <w:pPr>
              <w:pStyle w:val="Bodytext20"/>
              <w:numPr>
                <w:ilvl w:val="0"/>
                <w:numId w:val="260"/>
              </w:numPr>
              <w:shd w:val="clear" w:color="auto" w:fill="auto"/>
              <w:spacing w:after="180" w:line="240" w:lineRule="auto"/>
              <w:ind w:left="318" w:hanging="284"/>
              <w:cnfStyle w:val="000000000000" w:firstRow="0" w:lastRow="0" w:firstColumn="0" w:lastColumn="0" w:oddVBand="0" w:evenVBand="0" w:oddHBand="0" w:evenHBand="0" w:firstRowFirstColumn="0" w:firstRowLastColumn="0" w:lastRowFirstColumn="0" w:lastRowLastColumn="0"/>
              <w:rPr>
                <w:rFonts w:cstheme="minorHAnsi"/>
                <w:sz w:val="20"/>
                <w:szCs w:val="20"/>
                <w:lang w:val="es-GT"/>
              </w:rPr>
            </w:pPr>
            <w:r w:rsidRPr="009A27ED">
              <w:rPr>
                <w:rFonts w:eastAsia="Microsoft Sans Serif" w:cstheme="minorHAnsi"/>
                <w:b/>
                <w:color w:val="000000"/>
                <w:sz w:val="20"/>
                <w:szCs w:val="20"/>
                <w:u w:val="single"/>
                <w:lang w:val="es-ES" w:eastAsia="es-ES" w:bidi="es-ES"/>
              </w:rPr>
              <w:t>Categoría C:</w:t>
            </w:r>
            <w:r w:rsidRPr="009A27ED">
              <w:rPr>
                <w:rFonts w:eastAsia="Microsoft Sans Serif" w:cstheme="minorHAnsi"/>
                <w:color w:val="000000"/>
                <w:sz w:val="20"/>
                <w:szCs w:val="20"/>
                <w:lang w:val="es-ES" w:eastAsia="es-ES" w:bidi="es-ES"/>
              </w:rPr>
              <w:t xml:space="preserve"> Un proyecto propuesto se clasifica en la categoría C si el resultado del diagnóstico </w:t>
            </w:r>
            <w:proofErr w:type="gramStart"/>
            <w:r w:rsidRPr="009A27ED">
              <w:rPr>
                <w:rFonts w:eastAsia="Microsoft Sans Serif" w:cstheme="minorHAnsi"/>
                <w:color w:val="000000"/>
                <w:sz w:val="20"/>
                <w:szCs w:val="20"/>
                <w:lang w:val="es-ES" w:eastAsia="es-ES" w:bidi="es-ES"/>
              </w:rPr>
              <w:t>del mismo</w:t>
            </w:r>
            <w:proofErr w:type="gramEnd"/>
            <w:r w:rsidRPr="009A27ED">
              <w:rPr>
                <w:rFonts w:eastAsia="Microsoft Sans Serif" w:cstheme="minorHAnsi"/>
                <w:color w:val="000000"/>
                <w:sz w:val="20"/>
                <w:szCs w:val="20"/>
                <w:lang w:val="es-ES" w:eastAsia="es-ES" w:bidi="es-ES"/>
              </w:rPr>
              <w:t xml:space="preserve"> </w:t>
            </w:r>
            <w:r w:rsidRPr="009A27ED">
              <w:rPr>
                <w:rFonts w:eastAsia="Microsoft Sans Serif" w:cstheme="minorHAnsi"/>
                <w:color w:val="000000"/>
                <w:sz w:val="20"/>
                <w:szCs w:val="20"/>
                <w:lang w:val="es-ES" w:eastAsia="es-ES" w:bidi="es-ES"/>
              </w:rPr>
              <w:lastRenderedPageBreak/>
              <w:t>indica que sus impactos son bien conocidos o que su ejecución no origina impactos ambientales negativos significativos. Para este tipo de proyecto sólo es necesario establecer las medidas de mitigación correspondientes para el cumplimiento de la normativa ambiental existente.</w:t>
            </w:r>
          </w:p>
          <w:p w14:paraId="3F468CA5" w14:textId="77777777" w:rsidR="0070272F" w:rsidRPr="009A27ED" w:rsidRDefault="0070272F" w:rsidP="00AF66EF">
            <w:pPr>
              <w:pStyle w:val="Bodytext20"/>
              <w:numPr>
                <w:ilvl w:val="0"/>
                <w:numId w:val="260"/>
              </w:numPr>
              <w:shd w:val="clear" w:color="auto" w:fill="auto"/>
              <w:spacing w:after="180" w:line="240" w:lineRule="auto"/>
              <w:ind w:left="318" w:hanging="284"/>
              <w:cnfStyle w:val="000000000000" w:firstRow="0" w:lastRow="0" w:firstColumn="0" w:lastColumn="0" w:oddVBand="0" w:evenVBand="0" w:oddHBand="0" w:evenHBand="0" w:firstRowFirstColumn="0" w:firstRowLastColumn="0" w:lastRowFirstColumn="0" w:lastRowLastColumn="0"/>
              <w:rPr>
                <w:rFonts w:cstheme="minorHAnsi"/>
                <w:sz w:val="20"/>
                <w:szCs w:val="20"/>
                <w:lang w:val="es-GT"/>
              </w:rPr>
            </w:pPr>
            <w:r w:rsidRPr="009A27ED">
              <w:rPr>
                <w:rFonts w:eastAsia="Microsoft Sans Serif" w:cstheme="minorHAnsi"/>
                <w:b/>
                <w:color w:val="000000"/>
                <w:sz w:val="20"/>
                <w:szCs w:val="20"/>
                <w:u w:val="single"/>
                <w:lang w:val="es-ES" w:eastAsia="es-ES" w:bidi="es-ES"/>
              </w:rPr>
              <w:t>Categoría D:</w:t>
            </w:r>
            <w:r w:rsidRPr="009A27ED">
              <w:rPr>
                <w:rFonts w:eastAsia="Microsoft Sans Serif" w:cstheme="minorHAnsi"/>
                <w:color w:val="000000"/>
                <w:sz w:val="20"/>
                <w:szCs w:val="20"/>
                <w:lang w:val="es-ES" w:eastAsia="es-ES" w:bidi="es-ES"/>
              </w:rPr>
              <w:t xml:space="preserve"> Un proyecto propuesto se clasifica en la categoría D si el resultado del diagnóstico </w:t>
            </w:r>
            <w:proofErr w:type="gramStart"/>
            <w:r w:rsidRPr="009A27ED">
              <w:rPr>
                <w:rFonts w:eastAsia="Microsoft Sans Serif" w:cstheme="minorHAnsi"/>
                <w:color w:val="000000"/>
                <w:sz w:val="20"/>
                <w:szCs w:val="20"/>
                <w:lang w:val="es-ES" w:eastAsia="es-ES" w:bidi="es-ES"/>
              </w:rPr>
              <w:t>del mismo</w:t>
            </w:r>
            <w:proofErr w:type="gramEnd"/>
            <w:r w:rsidRPr="009A27ED">
              <w:rPr>
                <w:rFonts w:eastAsia="Microsoft Sans Serif" w:cstheme="minorHAnsi"/>
                <w:color w:val="000000"/>
                <w:sz w:val="20"/>
                <w:szCs w:val="20"/>
                <w:lang w:val="es-ES" w:eastAsia="es-ES" w:bidi="es-ES"/>
              </w:rPr>
              <w:t xml:space="preserve"> indica que las actividades humanas son calificadas de bajo impacto ambiental o bajo riesgo ambiental.</w:t>
            </w:r>
          </w:p>
          <w:p w14:paraId="108E7B66" w14:textId="77777777" w:rsidR="0070272F" w:rsidRPr="009A27ED" w:rsidRDefault="0070272F" w:rsidP="00AF66EF">
            <w:pPr>
              <w:spacing w:before="100" w:beforeAutospacing="1" w:after="100" w:afterAutospacing="1"/>
              <w:jc w:val="left"/>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A27ED">
              <w:rPr>
                <w:color w:val="000000" w:themeColor="text1"/>
                <w:sz w:val="20"/>
                <w:szCs w:val="20"/>
              </w:rPr>
              <w:t xml:space="preserve">De manera específica el </w:t>
            </w:r>
            <w:r w:rsidRPr="009A27ED">
              <w:rPr>
                <w:b/>
                <w:color w:val="000000" w:themeColor="text1"/>
                <w:sz w:val="20"/>
                <w:szCs w:val="20"/>
              </w:rPr>
              <w:t>Art.35</w:t>
            </w:r>
            <w:r w:rsidRPr="009A27ED">
              <w:rPr>
                <w:color w:val="000000" w:themeColor="text1"/>
                <w:sz w:val="20"/>
                <w:szCs w:val="20"/>
              </w:rPr>
              <w:t xml:space="preserve"> establece que: “</w:t>
            </w:r>
            <w:r w:rsidRPr="009A27ED">
              <w:rPr>
                <w:i/>
                <w:color w:val="000000" w:themeColor="text1"/>
                <w:sz w:val="20"/>
                <w:szCs w:val="20"/>
              </w:rPr>
              <w:t>El Ministerio garantizará la participación efectiva de los actores involucrados, y de la ciudadanía en general, en el proceso de evaluación ambiental, que será democrático, transparente y abierto. En la misma se considerará a la población no como objeto de estudio sino como sujeto del proceso</w:t>
            </w:r>
            <w:r w:rsidRPr="009A27ED">
              <w:rPr>
                <w:color w:val="000000" w:themeColor="text1"/>
                <w:sz w:val="20"/>
                <w:szCs w:val="20"/>
              </w:rPr>
              <w:t>”.</w:t>
            </w:r>
          </w:p>
          <w:p w14:paraId="4520A948" w14:textId="77777777" w:rsidR="0070272F" w:rsidRPr="009A27ED" w:rsidRDefault="0070272F" w:rsidP="00AF66EF">
            <w:pPr>
              <w:spacing w:after="0"/>
              <w:jc w:val="left"/>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A27ED">
              <w:rPr>
                <w:color w:val="000000" w:themeColor="text1"/>
                <w:sz w:val="20"/>
                <w:szCs w:val="20"/>
              </w:rPr>
              <w:t xml:space="preserve">A su vez, el </w:t>
            </w:r>
            <w:r w:rsidRPr="009A27ED">
              <w:rPr>
                <w:b/>
                <w:color w:val="000000" w:themeColor="text1"/>
                <w:sz w:val="20"/>
                <w:szCs w:val="20"/>
              </w:rPr>
              <w:t>Art. 36</w:t>
            </w:r>
            <w:r w:rsidRPr="009A27ED">
              <w:rPr>
                <w:color w:val="000000" w:themeColor="text1"/>
                <w:sz w:val="20"/>
                <w:szCs w:val="20"/>
              </w:rPr>
              <w:t xml:space="preserve"> enumera los instrumentos del proceso de consulta pública de los proyectos, a saber:</w:t>
            </w:r>
          </w:p>
          <w:p w14:paraId="110B15F6" w14:textId="77777777" w:rsidR="0070272F" w:rsidRPr="009A27ED" w:rsidRDefault="0070272F" w:rsidP="00AF66EF">
            <w:pPr>
              <w:pStyle w:val="Prrafodelista"/>
              <w:numPr>
                <w:ilvl w:val="0"/>
                <w:numId w:val="259"/>
              </w:numPr>
              <w:spacing w:before="100" w:beforeAutospacing="1" w:after="100" w:afterAutospacing="1" w:line="240" w:lineRule="auto"/>
              <w:jc w:val="left"/>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A27ED">
              <w:rPr>
                <w:color w:val="000000" w:themeColor="text1"/>
                <w:sz w:val="20"/>
                <w:szCs w:val="20"/>
              </w:rPr>
              <w:t>Información y/o divulgación del proyecto</w:t>
            </w:r>
          </w:p>
          <w:p w14:paraId="715639EF" w14:textId="77777777" w:rsidR="0070272F" w:rsidRPr="009A27ED" w:rsidRDefault="0070272F" w:rsidP="00AF66EF">
            <w:pPr>
              <w:pStyle w:val="Prrafodelista"/>
              <w:numPr>
                <w:ilvl w:val="0"/>
                <w:numId w:val="259"/>
              </w:numPr>
              <w:spacing w:before="100" w:beforeAutospacing="1" w:after="100" w:afterAutospacing="1" w:line="240" w:lineRule="auto"/>
              <w:jc w:val="left"/>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A27ED">
              <w:rPr>
                <w:color w:val="000000" w:themeColor="text1"/>
                <w:sz w:val="20"/>
                <w:szCs w:val="20"/>
              </w:rPr>
              <w:t>Análisis de Interesados.</w:t>
            </w:r>
          </w:p>
          <w:p w14:paraId="13F96F2D" w14:textId="77777777" w:rsidR="0070272F" w:rsidRPr="009A27ED" w:rsidRDefault="0070272F" w:rsidP="00AF66EF">
            <w:pPr>
              <w:pStyle w:val="Prrafodelista"/>
              <w:numPr>
                <w:ilvl w:val="0"/>
                <w:numId w:val="259"/>
              </w:numPr>
              <w:spacing w:before="100" w:beforeAutospacing="1" w:after="100" w:afterAutospacing="1" w:line="240" w:lineRule="auto"/>
              <w:jc w:val="left"/>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A27ED">
              <w:rPr>
                <w:color w:val="000000" w:themeColor="text1"/>
                <w:sz w:val="20"/>
                <w:szCs w:val="20"/>
              </w:rPr>
              <w:t>Vistas públicas.</w:t>
            </w:r>
          </w:p>
          <w:p w14:paraId="632AD3CF" w14:textId="77777777" w:rsidR="0070272F" w:rsidRPr="009A27ED" w:rsidRDefault="0070272F" w:rsidP="00AF66EF">
            <w:pPr>
              <w:pStyle w:val="Prrafodelista"/>
              <w:numPr>
                <w:ilvl w:val="0"/>
                <w:numId w:val="259"/>
              </w:numPr>
              <w:spacing w:before="100" w:beforeAutospacing="1" w:after="100" w:afterAutospacing="1" w:line="240" w:lineRule="auto"/>
              <w:jc w:val="left"/>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A27ED">
              <w:rPr>
                <w:color w:val="000000" w:themeColor="text1"/>
                <w:sz w:val="20"/>
                <w:szCs w:val="20"/>
              </w:rPr>
              <w:t>Observaciones a los estudios ambientales.</w:t>
            </w:r>
          </w:p>
          <w:p w14:paraId="7D0C8A75" w14:textId="77777777" w:rsidR="0070272F" w:rsidRPr="009A27ED" w:rsidRDefault="0070272F" w:rsidP="00AF66EF">
            <w:pPr>
              <w:pStyle w:val="Prrafodelista"/>
              <w:numPr>
                <w:ilvl w:val="0"/>
                <w:numId w:val="259"/>
              </w:numPr>
              <w:spacing w:before="100" w:beforeAutospacing="1" w:after="100" w:afterAutospacing="1" w:line="240" w:lineRule="auto"/>
              <w:jc w:val="left"/>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A27ED">
              <w:rPr>
                <w:color w:val="000000" w:themeColor="text1"/>
                <w:sz w:val="20"/>
                <w:szCs w:val="20"/>
              </w:rPr>
              <w:t>Audiencia Pública.</w:t>
            </w:r>
          </w:p>
          <w:p w14:paraId="652897AC" w14:textId="017A9956" w:rsidR="0070272F" w:rsidRPr="009A27ED" w:rsidRDefault="0070272F" w:rsidP="00AF66EF">
            <w:pPr>
              <w:spacing w:before="100" w:beforeAutospacing="1" w:after="100" w:afterAutospacing="1"/>
              <w:jc w:val="left"/>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A27ED">
              <w:rPr>
                <w:color w:val="000000" w:themeColor="text1"/>
                <w:sz w:val="20"/>
                <w:szCs w:val="20"/>
              </w:rPr>
              <w:lastRenderedPageBreak/>
              <w:t xml:space="preserve">Por otra </w:t>
            </w:r>
            <w:r w:rsidR="00765BA2" w:rsidRPr="009A27ED">
              <w:rPr>
                <w:color w:val="000000" w:themeColor="text1"/>
                <w:sz w:val="20"/>
                <w:szCs w:val="20"/>
              </w:rPr>
              <w:t>parte,</w:t>
            </w:r>
            <w:r w:rsidRPr="009A27ED">
              <w:rPr>
                <w:color w:val="000000" w:themeColor="text1"/>
                <w:sz w:val="20"/>
                <w:szCs w:val="20"/>
              </w:rPr>
              <w:t xml:space="preserve"> el Procedimiento de Evaluación Ambiental en el </w:t>
            </w:r>
            <w:r w:rsidRPr="009A27ED">
              <w:rPr>
                <w:b/>
                <w:color w:val="000000" w:themeColor="text1"/>
                <w:sz w:val="20"/>
                <w:szCs w:val="20"/>
              </w:rPr>
              <w:t>Numeral 1</w:t>
            </w:r>
            <w:r w:rsidRPr="009A27ED">
              <w:rPr>
                <w:color w:val="000000" w:themeColor="text1"/>
                <w:sz w:val="20"/>
                <w:szCs w:val="20"/>
              </w:rPr>
              <w:t xml:space="preserve"> manda que “</w:t>
            </w:r>
            <w:r w:rsidRPr="009A27ED">
              <w:rPr>
                <w:i/>
                <w:color w:val="000000" w:themeColor="text1"/>
                <w:sz w:val="20"/>
                <w:szCs w:val="20"/>
              </w:rPr>
              <w:t>este procedimiento tiene como objetivo establecer los pasos operativos para el cumplimiento del proceso de evaluación ambiental, desde la solicitud hasta la decisión final del Ministerio de Medio Ambiente y Recursos Naturales”.</w:t>
            </w:r>
          </w:p>
          <w:p w14:paraId="614F9459" w14:textId="77777777" w:rsidR="0070272F" w:rsidRPr="009A27ED" w:rsidRDefault="0070272F" w:rsidP="00AF66EF">
            <w:pPr>
              <w:spacing w:before="100" w:beforeAutospacing="1" w:after="100" w:afterAutospacing="1"/>
              <w:jc w:val="left"/>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A27ED">
              <w:rPr>
                <w:color w:val="000000" w:themeColor="text1"/>
                <w:sz w:val="20"/>
                <w:szCs w:val="20"/>
              </w:rPr>
              <w:t xml:space="preserve">En su </w:t>
            </w:r>
            <w:r w:rsidRPr="009A27ED">
              <w:rPr>
                <w:b/>
                <w:color w:val="000000" w:themeColor="text1"/>
                <w:sz w:val="20"/>
                <w:szCs w:val="20"/>
              </w:rPr>
              <w:t xml:space="preserve">Numeral 2 </w:t>
            </w:r>
            <w:r w:rsidRPr="009A27ED">
              <w:rPr>
                <w:color w:val="000000" w:themeColor="text1"/>
                <w:sz w:val="20"/>
                <w:szCs w:val="20"/>
              </w:rPr>
              <w:t>establece que “</w:t>
            </w:r>
            <w:r w:rsidRPr="009A27ED">
              <w:rPr>
                <w:i/>
                <w:color w:val="000000" w:themeColor="text1"/>
                <w:sz w:val="20"/>
                <w:szCs w:val="20"/>
              </w:rPr>
              <w:t>los requerimientos contenidos en este procedimiento son de cumplimiento obligatorio para todo proyecto, obra de infraestructura, industria, o cualquier otra actividad, que precise de una autorización ambiental en virtud de la Ley 64-00</w:t>
            </w:r>
            <w:r w:rsidRPr="009A27ED">
              <w:rPr>
                <w:color w:val="000000" w:themeColor="text1"/>
                <w:sz w:val="20"/>
                <w:szCs w:val="20"/>
              </w:rPr>
              <w:t>”.</w:t>
            </w:r>
          </w:p>
          <w:p w14:paraId="44FB05A1" w14:textId="77777777" w:rsidR="0070272F" w:rsidRPr="009A27ED" w:rsidRDefault="0070272F" w:rsidP="00AF66EF">
            <w:pPr>
              <w:spacing w:before="100" w:beforeAutospacing="1" w:after="100" w:afterAutospacing="1"/>
              <w:jc w:val="left"/>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A27ED">
              <w:rPr>
                <w:color w:val="000000" w:themeColor="text1"/>
                <w:sz w:val="20"/>
                <w:szCs w:val="20"/>
              </w:rPr>
              <w:t xml:space="preserve">El </w:t>
            </w:r>
            <w:r w:rsidRPr="009A27ED">
              <w:rPr>
                <w:b/>
                <w:color w:val="000000" w:themeColor="text1"/>
                <w:sz w:val="20"/>
                <w:szCs w:val="20"/>
              </w:rPr>
              <w:t>Numeral 4</w:t>
            </w:r>
            <w:r w:rsidRPr="009A27ED">
              <w:rPr>
                <w:color w:val="000000" w:themeColor="text1"/>
                <w:sz w:val="20"/>
                <w:szCs w:val="20"/>
              </w:rPr>
              <w:t>.</w:t>
            </w:r>
            <w:r w:rsidRPr="009A27ED">
              <w:rPr>
                <w:b/>
                <w:color w:val="000000" w:themeColor="text1"/>
                <w:sz w:val="20"/>
                <w:szCs w:val="20"/>
              </w:rPr>
              <w:t>1</w:t>
            </w:r>
            <w:r w:rsidRPr="009A27ED">
              <w:rPr>
                <w:color w:val="000000" w:themeColor="text1"/>
                <w:sz w:val="20"/>
                <w:szCs w:val="20"/>
              </w:rPr>
              <w:t xml:space="preserve"> del Procedimiento de Evaluación Ambiental instituye la consulta pública en el proceso de EIA, declarando que “para los proyectos categorías A y B, se realizará un proceso de vista pública que se describirá en los términos de referencia, incluyéndose la vista pública y/u otro proceso de consulta.</w:t>
            </w:r>
          </w:p>
          <w:p w14:paraId="6D13CF85" w14:textId="77777777" w:rsidR="0070272F" w:rsidRPr="009A27ED" w:rsidRDefault="0070272F" w:rsidP="00AF66EF">
            <w:pPr>
              <w:spacing w:before="100" w:beforeAutospacing="1" w:after="100" w:afterAutospacing="1"/>
              <w:jc w:val="left"/>
              <w:cnfStyle w:val="000000000000" w:firstRow="0" w:lastRow="0" w:firstColumn="0" w:lastColumn="0" w:oddVBand="0" w:evenVBand="0" w:oddHBand="0" w:evenHBand="0" w:firstRowFirstColumn="0" w:firstRowLastColumn="0" w:lastRowFirstColumn="0" w:lastRowLastColumn="0"/>
              <w:rPr>
                <w:sz w:val="20"/>
                <w:szCs w:val="20"/>
              </w:rPr>
            </w:pPr>
          </w:p>
        </w:tc>
        <w:tc>
          <w:tcPr>
            <w:tcW w:w="2546" w:type="dxa"/>
          </w:tcPr>
          <w:p w14:paraId="2C0D1FF2" w14:textId="77777777" w:rsidR="0070272F" w:rsidRPr="009A27ED" w:rsidRDefault="0070272F" w:rsidP="00AF66EF">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A27ED">
              <w:rPr>
                <w:color w:val="000000" w:themeColor="text1"/>
                <w:sz w:val="20"/>
                <w:szCs w:val="20"/>
              </w:rPr>
              <w:lastRenderedPageBreak/>
              <w:t xml:space="preserve">Este compendio constituye una herramienta normativa muy completa que incluye disposiciones para la identificación y categorización de los proyectos, obras y actividades, y su </w:t>
            </w:r>
            <w:r w:rsidRPr="009A27ED">
              <w:rPr>
                <w:color w:val="000000" w:themeColor="text1"/>
                <w:sz w:val="20"/>
                <w:szCs w:val="20"/>
              </w:rPr>
              <w:t>procedimiento para la obtención de las autorizaciones ambientales correspondientes.</w:t>
            </w:r>
          </w:p>
          <w:p w14:paraId="0E8F5FDB" w14:textId="77777777" w:rsidR="0070272F" w:rsidRPr="009A27ED" w:rsidRDefault="0070272F" w:rsidP="00AF66EF">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b/>
                <w:color w:val="000000" w:themeColor="text1"/>
                <w:sz w:val="20"/>
                <w:szCs w:val="20"/>
              </w:rPr>
            </w:pPr>
            <w:r w:rsidRPr="009A27ED">
              <w:rPr>
                <w:color w:val="000000" w:themeColor="text1"/>
                <w:sz w:val="20"/>
                <w:szCs w:val="20"/>
              </w:rPr>
              <w:t xml:space="preserve">El reglamento de Autorizaciones Ambientales es un instrumento importante para procurar garantías a favor de la sostenibilidad ambiental nacional y mejorar así el proceso de toma de decisiones, tal como lo plantea su </w:t>
            </w:r>
            <w:r w:rsidRPr="009A27ED">
              <w:rPr>
                <w:b/>
                <w:color w:val="000000" w:themeColor="text1"/>
                <w:sz w:val="20"/>
                <w:szCs w:val="20"/>
              </w:rPr>
              <w:t>Art.1</w:t>
            </w:r>
          </w:p>
          <w:p w14:paraId="2D5D1F57" w14:textId="194F3823" w:rsidR="0070272F" w:rsidRPr="009A27ED" w:rsidRDefault="0070272F" w:rsidP="00AF66EF">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El marco reglamentario de este </w:t>
            </w:r>
            <w:r w:rsidR="00AF66EF" w:rsidRPr="009A27ED">
              <w:rPr>
                <w:sz w:val="20"/>
                <w:szCs w:val="20"/>
              </w:rPr>
              <w:t>compendio prevé</w:t>
            </w:r>
            <w:r w:rsidRPr="009A27ED">
              <w:rPr>
                <w:sz w:val="20"/>
                <w:szCs w:val="20"/>
              </w:rPr>
              <w:t xml:space="preserve"> lineamientos sobre la Consulta Pública en el Procedimiento de Evaluación Ambiental (</w:t>
            </w:r>
            <w:r w:rsidRPr="009A27ED">
              <w:rPr>
                <w:b/>
                <w:sz w:val="20"/>
                <w:szCs w:val="20"/>
              </w:rPr>
              <w:t>Art. 35</w:t>
            </w:r>
            <w:r w:rsidRPr="009A27ED">
              <w:rPr>
                <w:sz w:val="20"/>
                <w:szCs w:val="20"/>
              </w:rPr>
              <w:t xml:space="preserve"> del Reglamento del Proceso de Evaluación Ambiental y </w:t>
            </w:r>
            <w:r w:rsidRPr="009A27ED">
              <w:rPr>
                <w:b/>
                <w:sz w:val="20"/>
                <w:szCs w:val="20"/>
              </w:rPr>
              <w:t>Numeral 4.1</w:t>
            </w:r>
            <w:r w:rsidRPr="009A27ED">
              <w:rPr>
                <w:sz w:val="20"/>
                <w:szCs w:val="20"/>
              </w:rPr>
              <w:t xml:space="preserve"> del Procedimiento de Evaluación Ambiental garantizando la participación de la población y actores involucrados en la Evaluación Ambiental previo otorgamiento de las autorizaciones ambientales correspondientes.</w:t>
            </w:r>
          </w:p>
          <w:p w14:paraId="68880AB8" w14:textId="77777777" w:rsidR="0070272F" w:rsidRPr="009A27ED" w:rsidRDefault="0070272F" w:rsidP="00AF66EF">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p>
        </w:tc>
        <w:tc>
          <w:tcPr>
            <w:tcW w:w="2268" w:type="dxa"/>
          </w:tcPr>
          <w:p w14:paraId="461024F0" w14:textId="77777777" w:rsidR="0070272F" w:rsidRPr="009A27ED" w:rsidRDefault="0070272F" w:rsidP="00AF66EF">
            <w:pPr>
              <w:pStyle w:val="Prrafodelista"/>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lastRenderedPageBreak/>
              <w:t xml:space="preserve">Existen debilidades institucionales (capacidad técnica adecuada para llevar a cabo funciones propias de la Evaluación Ambiental) tales como tiempo para realizar las evaluaciones </w:t>
            </w:r>
            <w:r w:rsidRPr="009A27ED">
              <w:rPr>
                <w:sz w:val="20"/>
                <w:szCs w:val="20"/>
              </w:rPr>
              <w:lastRenderedPageBreak/>
              <w:t>y posterior otorgamiento de las autorizaciones ambientales, visitas de inspección, implementación de los procedimientos de fiscalización y gestión de medidas de mitigación y verificación del cumplimiento de los Planes de Manejo y Adecuación Ambiental (</w:t>
            </w:r>
            <w:proofErr w:type="spellStart"/>
            <w:r w:rsidRPr="009A27ED">
              <w:rPr>
                <w:sz w:val="20"/>
                <w:szCs w:val="20"/>
              </w:rPr>
              <w:t>PMMAs</w:t>
            </w:r>
            <w:proofErr w:type="spellEnd"/>
            <w:r w:rsidRPr="009A27ED">
              <w:rPr>
                <w:sz w:val="20"/>
                <w:szCs w:val="20"/>
              </w:rPr>
              <w:t xml:space="preserve">). </w:t>
            </w:r>
          </w:p>
          <w:p w14:paraId="7465DAD5" w14:textId="77777777" w:rsidR="0070272F" w:rsidRPr="009A27ED" w:rsidRDefault="0070272F" w:rsidP="00AF66EF">
            <w:pPr>
              <w:pStyle w:val="Prrafodelista"/>
              <w:spacing w:line="240" w:lineRule="auto"/>
              <w:cnfStyle w:val="000000000000" w:firstRow="0" w:lastRow="0" w:firstColumn="0" w:lastColumn="0" w:oddVBand="0" w:evenVBand="0" w:oddHBand="0" w:evenHBand="0" w:firstRowFirstColumn="0" w:firstRowLastColumn="0" w:lastRowFirstColumn="0" w:lastRowLastColumn="0"/>
              <w:rPr>
                <w:sz w:val="20"/>
                <w:szCs w:val="20"/>
              </w:rPr>
            </w:pPr>
          </w:p>
          <w:p w14:paraId="028920CF" w14:textId="77777777" w:rsidR="0070272F" w:rsidRPr="009A27ED" w:rsidRDefault="0070272F" w:rsidP="00AF66EF">
            <w:pPr>
              <w:pStyle w:val="Prrafodelista"/>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La caracterización de actividades, obras y proyectos prevista en el Anexo A del Procedimiento de Evaluación Ambiental no abarca todas las categorías de proyectos previstos en el Programa REDD+, como es el caso del sector agrícola y ganadero.</w:t>
            </w:r>
          </w:p>
          <w:p w14:paraId="61BC4963" w14:textId="77777777" w:rsidR="0070272F" w:rsidRPr="009A27ED" w:rsidRDefault="0070272F" w:rsidP="00AF66EF">
            <w:pPr>
              <w:pStyle w:val="Prrafodelista"/>
              <w:spacing w:line="240" w:lineRule="auto"/>
              <w:cnfStyle w:val="000000000000" w:firstRow="0" w:lastRow="0" w:firstColumn="0" w:lastColumn="0" w:oddVBand="0" w:evenVBand="0" w:oddHBand="0" w:evenHBand="0" w:firstRowFirstColumn="0" w:firstRowLastColumn="0" w:lastRowFirstColumn="0" w:lastRowLastColumn="0"/>
              <w:rPr>
                <w:sz w:val="20"/>
                <w:szCs w:val="20"/>
              </w:rPr>
            </w:pPr>
          </w:p>
          <w:p w14:paraId="0F5850E8" w14:textId="12A45C38" w:rsidR="0070272F" w:rsidRPr="009A27ED" w:rsidRDefault="0070272F" w:rsidP="00AF66EF">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A27ED">
              <w:rPr>
                <w:sz w:val="20"/>
                <w:szCs w:val="20"/>
              </w:rPr>
              <w:t xml:space="preserve">Tomando en cuenta que la presente Política Operativa establece que la Consulta Pública deberá realizarse a los grupos de interés involucrados en el </w:t>
            </w:r>
            <w:r w:rsidR="00124B63" w:rsidRPr="009A27ED">
              <w:rPr>
                <w:sz w:val="20"/>
                <w:szCs w:val="20"/>
              </w:rPr>
              <w:t>Programa REDD+</w:t>
            </w:r>
            <w:r w:rsidR="002302CF" w:rsidRPr="009A27ED">
              <w:rPr>
                <w:sz w:val="20"/>
                <w:szCs w:val="20"/>
              </w:rPr>
              <w:t>+</w:t>
            </w:r>
            <w:r w:rsidRPr="009A27ED">
              <w:rPr>
                <w:sz w:val="20"/>
                <w:szCs w:val="20"/>
              </w:rPr>
              <w:t xml:space="preserve"> durante toda la ejecución del programa, la normativa nacional solo contempla la consulta pública en la etapa previa al otorgamiento de la autorización ambiental.</w:t>
            </w:r>
          </w:p>
        </w:tc>
        <w:tc>
          <w:tcPr>
            <w:tcW w:w="3124" w:type="dxa"/>
          </w:tcPr>
          <w:p w14:paraId="4A249B03" w14:textId="77777777" w:rsidR="0070272F" w:rsidRPr="009A27ED" w:rsidRDefault="0070272F" w:rsidP="00AF66EF">
            <w:pPr>
              <w:pStyle w:val="Prrafodelista"/>
              <w:numPr>
                <w:ilvl w:val="0"/>
                <w:numId w:val="258"/>
              </w:numPr>
              <w:spacing w:line="240" w:lineRule="auto"/>
              <w:ind w:left="368"/>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lastRenderedPageBreak/>
              <w:t>Formular un plan de fortalecimiento institucional que aborde las debilidades institucionales identificadas en el proceso de Evaluación Ambiental;</w:t>
            </w:r>
          </w:p>
          <w:p w14:paraId="795BADE9" w14:textId="4DAA77C8" w:rsidR="0070272F" w:rsidRPr="009A27ED" w:rsidRDefault="0070272F" w:rsidP="00AF66EF">
            <w:pPr>
              <w:pStyle w:val="Prrafodelista"/>
              <w:numPr>
                <w:ilvl w:val="0"/>
                <w:numId w:val="258"/>
              </w:numPr>
              <w:spacing w:line="240" w:lineRule="auto"/>
              <w:ind w:left="368"/>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Revisar y adecuar los procedimientos de consulta </w:t>
            </w:r>
            <w:r w:rsidRPr="009A27ED">
              <w:rPr>
                <w:sz w:val="20"/>
                <w:szCs w:val="20"/>
              </w:rPr>
              <w:lastRenderedPageBreak/>
              <w:t xml:space="preserve">pública y la lista </w:t>
            </w:r>
            <w:r w:rsidR="00AF66EF" w:rsidRPr="009A27ED">
              <w:rPr>
                <w:sz w:val="20"/>
                <w:szCs w:val="20"/>
              </w:rPr>
              <w:t>de categorización</w:t>
            </w:r>
            <w:r w:rsidRPr="009A27ED">
              <w:rPr>
                <w:sz w:val="20"/>
                <w:szCs w:val="20"/>
              </w:rPr>
              <w:t xml:space="preserve"> de las actividades y proyectos en el Reglamento del Proceso de Evaluación Ambiental;</w:t>
            </w:r>
          </w:p>
          <w:p w14:paraId="4D2BAC18" w14:textId="77777777" w:rsidR="0070272F" w:rsidRPr="009A27ED" w:rsidRDefault="0070272F" w:rsidP="00AF66EF">
            <w:pPr>
              <w:pStyle w:val="Prrafodelista"/>
              <w:numPr>
                <w:ilvl w:val="0"/>
                <w:numId w:val="258"/>
              </w:numPr>
              <w:spacing w:line="240" w:lineRule="auto"/>
              <w:ind w:left="360"/>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 Establecer obligaciones y responsabilidades mediante acuerdos interinstitucionales para la implementación de buenas prácticas relativas a la ejecución de actividades REDD+ y la adopción de modelos exitosos de Gestión. </w:t>
            </w:r>
          </w:p>
          <w:p w14:paraId="1F75F6A7" w14:textId="5C21E77A" w:rsidR="0070272F" w:rsidRPr="009A27ED" w:rsidRDefault="0070272F" w:rsidP="00AF66EF">
            <w:pPr>
              <w:pStyle w:val="Prrafodelista"/>
              <w:numPr>
                <w:ilvl w:val="0"/>
                <w:numId w:val="258"/>
              </w:numPr>
              <w:spacing w:line="240" w:lineRule="auto"/>
              <w:ind w:left="360"/>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Fortalecimiento de las capacidades en </w:t>
            </w:r>
            <w:r w:rsidR="00AF66EF" w:rsidRPr="009A27ED">
              <w:rPr>
                <w:sz w:val="20"/>
                <w:szCs w:val="20"/>
              </w:rPr>
              <w:t>las actividades</w:t>
            </w:r>
            <w:r w:rsidRPr="009A27ED">
              <w:rPr>
                <w:sz w:val="20"/>
                <w:szCs w:val="20"/>
              </w:rPr>
              <w:t xml:space="preserve"> de vigilancia, inspección y monitoreo ambiental.</w:t>
            </w:r>
          </w:p>
          <w:p w14:paraId="0B8427A8" w14:textId="77777777" w:rsidR="0070272F" w:rsidRPr="009A27ED" w:rsidRDefault="0070272F" w:rsidP="00AF66EF">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p>
        </w:tc>
      </w:tr>
      <w:tr w:rsidR="0070272F" w:rsidRPr="009A27ED" w14:paraId="5F8DF1BD" w14:textId="77777777" w:rsidTr="00AF66EF">
        <w:trPr>
          <w:trHeight w:val="1537"/>
        </w:trPr>
        <w:tc>
          <w:tcPr>
            <w:cnfStyle w:val="001000000000" w:firstRow="0" w:lastRow="0" w:firstColumn="1" w:lastColumn="0" w:oddVBand="0" w:evenVBand="0" w:oddHBand="0" w:evenHBand="0" w:firstRowFirstColumn="0" w:firstRowLastColumn="0" w:lastRowFirstColumn="0" w:lastRowLastColumn="0"/>
            <w:tcW w:w="2836" w:type="dxa"/>
            <w:vMerge/>
          </w:tcPr>
          <w:p w14:paraId="4DE9724B" w14:textId="77777777" w:rsidR="0070272F" w:rsidRPr="009A27ED" w:rsidRDefault="0070272F" w:rsidP="00AF66EF">
            <w:pPr>
              <w:rPr>
                <w:sz w:val="20"/>
                <w:szCs w:val="20"/>
              </w:rPr>
            </w:pPr>
          </w:p>
        </w:tc>
        <w:tc>
          <w:tcPr>
            <w:tcW w:w="1554" w:type="dxa"/>
          </w:tcPr>
          <w:p w14:paraId="0FD2764C" w14:textId="77777777" w:rsidR="0070272F" w:rsidRPr="009A27ED" w:rsidRDefault="0070272F" w:rsidP="00AF66EF">
            <w:pPr>
              <w:spacing w:after="11" w:line="249" w:lineRule="auto"/>
              <w:jc w:val="left"/>
              <w:cnfStyle w:val="000000000000" w:firstRow="0" w:lastRow="0" w:firstColumn="0" w:lastColumn="0" w:oddVBand="0" w:evenVBand="0" w:oddHBand="0" w:evenHBand="0" w:firstRowFirstColumn="0" w:firstRowLastColumn="0" w:lastRowFirstColumn="0" w:lastRowLastColumn="0"/>
              <w:rPr>
                <w:b/>
                <w:sz w:val="20"/>
                <w:szCs w:val="20"/>
              </w:rPr>
            </w:pPr>
            <w:r w:rsidRPr="009A27ED">
              <w:rPr>
                <w:b/>
                <w:sz w:val="20"/>
                <w:szCs w:val="20"/>
              </w:rPr>
              <w:t xml:space="preserve">Reglamento Forestal (RF) </w:t>
            </w:r>
          </w:p>
          <w:p w14:paraId="18110D4A" w14:textId="77777777" w:rsidR="0070272F" w:rsidRPr="009A27ED" w:rsidRDefault="0070272F" w:rsidP="00AF66EF">
            <w:pPr>
              <w:spacing w:after="11" w:line="249" w:lineRule="auto"/>
              <w:ind w:left="426"/>
              <w:jc w:val="left"/>
              <w:cnfStyle w:val="000000000000" w:firstRow="0" w:lastRow="0" w:firstColumn="0" w:lastColumn="0" w:oddVBand="0" w:evenVBand="0" w:oddHBand="0" w:evenHBand="0" w:firstRowFirstColumn="0" w:firstRowLastColumn="0" w:lastRowFirstColumn="0" w:lastRowLastColumn="0"/>
              <w:rPr>
                <w:b/>
                <w:sz w:val="20"/>
                <w:szCs w:val="20"/>
              </w:rPr>
            </w:pPr>
          </w:p>
        </w:tc>
        <w:tc>
          <w:tcPr>
            <w:tcW w:w="2840" w:type="dxa"/>
          </w:tcPr>
          <w:p w14:paraId="613794E4"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i/>
                <w:sz w:val="20"/>
                <w:szCs w:val="20"/>
              </w:rPr>
            </w:pPr>
            <w:r w:rsidRPr="009A27ED">
              <w:rPr>
                <w:sz w:val="20"/>
                <w:szCs w:val="20"/>
              </w:rPr>
              <w:t xml:space="preserve">El Reglamento Forestal, conforme a su </w:t>
            </w:r>
            <w:r w:rsidRPr="009A27ED">
              <w:rPr>
                <w:b/>
                <w:sz w:val="20"/>
                <w:szCs w:val="20"/>
              </w:rPr>
              <w:t xml:space="preserve">Art. 1 </w:t>
            </w:r>
            <w:r w:rsidRPr="009A27ED">
              <w:rPr>
                <w:sz w:val="20"/>
                <w:szCs w:val="20"/>
              </w:rPr>
              <w:t>tiene por objeto “</w:t>
            </w:r>
            <w:r w:rsidRPr="009A27ED">
              <w:rPr>
                <w:i/>
                <w:sz w:val="20"/>
                <w:szCs w:val="20"/>
              </w:rPr>
              <w:t>dictar las pautas necesarias para la adecuada aplicación de la Ley General de Medio Ambiente y Recursos Naturales, 64-00 del 18 de agosto del año 2000</w:t>
            </w:r>
            <w:r w:rsidRPr="009A27ED">
              <w:rPr>
                <w:sz w:val="20"/>
                <w:szCs w:val="20"/>
              </w:rPr>
              <w:t xml:space="preserve">”. </w:t>
            </w:r>
            <w:r w:rsidRPr="009A27ED">
              <w:rPr>
                <w:i/>
                <w:sz w:val="20"/>
                <w:szCs w:val="20"/>
              </w:rPr>
              <w:t xml:space="preserve">Son objetivos de este Reglamento: </w:t>
            </w:r>
          </w:p>
          <w:p w14:paraId="2C57D3D5"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i/>
                <w:sz w:val="20"/>
                <w:szCs w:val="20"/>
              </w:rPr>
            </w:pPr>
            <w:r w:rsidRPr="009A27ED">
              <w:rPr>
                <w:i/>
                <w:sz w:val="20"/>
                <w:szCs w:val="20"/>
              </w:rPr>
              <w:t xml:space="preserve">a) Establecer pautas de comportamiento, dentro del marco de la Ley 64-00, para atender las necesidades de conservación, fomento y </w:t>
            </w:r>
            <w:r w:rsidRPr="009A27ED">
              <w:rPr>
                <w:i/>
                <w:sz w:val="20"/>
                <w:szCs w:val="20"/>
              </w:rPr>
              <w:lastRenderedPageBreak/>
              <w:t xml:space="preserve">desarrollo de los recursos forestales en la República Dominicana; </w:t>
            </w:r>
          </w:p>
          <w:p w14:paraId="40666686"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i/>
                <w:sz w:val="20"/>
                <w:szCs w:val="20"/>
              </w:rPr>
            </w:pPr>
            <w:r w:rsidRPr="009A27ED">
              <w:rPr>
                <w:i/>
                <w:sz w:val="20"/>
                <w:szCs w:val="20"/>
              </w:rPr>
              <w:t xml:space="preserve">b) Promover la protección y el uso sostenible de los recursos forestales, estableciendo reglas que permitan la necesaria incorporación de la sociedad civil, en la gestión para el desarrollo y conservación de estos recursos; </w:t>
            </w:r>
          </w:p>
          <w:p w14:paraId="3377FBD8"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i/>
                <w:sz w:val="20"/>
                <w:szCs w:val="20"/>
              </w:rPr>
            </w:pPr>
            <w:r w:rsidRPr="009A27ED">
              <w:rPr>
                <w:i/>
                <w:sz w:val="20"/>
                <w:szCs w:val="20"/>
              </w:rPr>
              <w:t xml:space="preserve">c) Asegurar el ordenamiento, conservación y desarrollo sostenible de los bosques existentes, tanto en su calidad como en su distribución geográfica, y la recuperación forestal de áreas actualmente desprovistas de vegetación para garantizar sus funciones ecológicas, sociales y económicas; Reglamento Forestal Página 2 de 45 </w:t>
            </w:r>
          </w:p>
          <w:p w14:paraId="1D056D28"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i/>
                <w:sz w:val="20"/>
                <w:szCs w:val="20"/>
              </w:rPr>
            </w:pPr>
            <w:r w:rsidRPr="009A27ED">
              <w:rPr>
                <w:i/>
                <w:sz w:val="20"/>
                <w:szCs w:val="20"/>
              </w:rPr>
              <w:t>d) Promover la restauración y el desarrollo de los bosques en tierras de aptitud forestal para que cumplan con la función de conservar suelos y aguas, la diversidad biológica, y producción de madera y otros productos tangibles del bosque; además de dinamizar el desarrollo mediante la generación de empleos que contribuyan al aumento de los ingresos, la disminución de la pobreza y el mejoramiento de la calidad de vida de la Nación Dominicana;</w:t>
            </w:r>
          </w:p>
          <w:p w14:paraId="74394948"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i/>
                <w:sz w:val="20"/>
                <w:szCs w:val="20"/>
              </w:rPr>
            </w:pPr>
            <w:r w:rsidRPr="009A27ED">
              <w:rPr>
                <w:sz w:val="20"/>
                <w:szCs w:val="20"/>
              </w:rPr>
              <w:t xml:space="preserve">Su </w:t>
            </w:r>
            <w:r w:rsidRPr="009A27ED">
              <w:rPr>
                <w:b/>
                <w:sz w:val="20"/>
                <w:szCs w:val="20"/>
              </w:rPr>
              <w:t>Art. 24</w:t>
            </w:r>
            <w:r w:rsidRPr="009A27ED">
              <w:rPr>
                <w:sz w:val="20"/>
                <w:szCs w:val="20"/>
              </w:rPr>
              <w:t xml:space="preserve"> manda que: </w:t>
            </w:r>
            <w:r w:rsidRPr="009A27ED">
              <w:rPr>
                <w:i/>
                <w:sz w:val="20"/>
                <w:szCs w:val="20"/>
              </w:rPr>
              <w:t>“El Viceministerio de Recursos Forestales regulará y fomentará el manejo sostenible de los recursos forestales a través de planes de manejo. El Plan de Manejo constituye el instrumento básico para alcanzar la sostenibilidad en el uso de los recursos forestales”.</w:t>
            </w:r>
          </w:p>
          <w:p w14:paraId="54BD405F" w14:textId="77777777" w:rsidR="0070272F" w:rsidRPr="009A27ED" w:rsidRDefault="0070272F" w:rsidP="00AF66EF">
            <w:pPr>
              <w:jc w:val="left"/>
              <w:cnfStyle w:val="000000000000" w:firstRow="0" w:lastRow="0" w:firstColumn="0" w:lastColumn="0" w:oddVBand="0" w:evenVBand="0" w:oddHBand="0" w:evenHBand="0" w:firstRowFirstColumn="0" w:firstRowLastColumn="0" w:lastRowFirstColumn="0" w:lastRowLastColumn="0"/>
              <w:rPr>
                <w:sz w:val="20"/>
                <w:szCs w:val="20"/>
              </w:rPr>
            </w:pPr>
          </w:p>
          <w:p w14:paraId="7B5B6808" w14:textId="77777777" w:rsidR="0070272F" w:rsidRPr="009A27ED" w:rsidRDefault="0070272F" w:rsidP="00AF66EF">
            <w:pPr>
              <w:spacing w:before="100" w:beforeAutospacing="1" w:after="100" w:afterAutospacing="1"/>
              <w:ind w:left="175"/>
              <w:cnfStyle w:val="000000000000" w:firstRow="0" w:lastRow="0" w:firstColumn="0" w:lastColumn="0" w:oddVBand="0" w:evenVBand="0" w:oddHBand="0" w:evenHBand="0" w:firstRowFirstColumn="0" w:firstRowLastColumn="0" w:lastRowFirstColumn="0" w:lastRowLastColumn="0"/>
              <w:rPr>
                <w:b/>
                <w:sz w:val="20"/>
                <w:szCs w:val="20"/>
              </w:rPr>
            </w:pPr>
          </w:p>
        </w:tc>
        <w:tc>
          <w:tcPr>
            <w:tcW w:w="2546" w:type="dxa"/>
          </w:tcPr>
          <w:p w14:paraId="7CB2EDD8" w14:textId="35414835" w:rsidR="0070272F" w:rsidRPr="009A27ED" w:rsidRDefault="0070272F" w:rsidP="00AF66EF">
            <w:pPr>
              <w:ind w:left="175"/>
              <w:cnfStyle w:val="000000000000" w:firstRow="0" w:lastRow="0" w:firstColumn="0" w:lastColumn="0" w:oddVBand="0" w:evenVBand="0" w:oddHBand="0" w:evenHBand="0" w:firstRowFirstColumn="0" w:firstRowLastColumn="0" w:lastRowFirstColumn="0" w:lastRowLastColumn="0"/>
              <w:rPr>
                <w:spacing w:val="-2"/>
                <w:sz w:val="20"/>
                <w:szCs w:val="20"/>
              </w:rPr>
            </w:pPr>
            <w:r w:rsidRPr="009A27ED">
              <w:rPr>
                <w:spacing w:val="-2"/>
                <w:sz w:val="20"/>
                <w:szCs w:val="20"/>
              </w:rPr>
              <w:lastRenderedPageBreak/>
              <w:t xml:space="preserve">El Reglamento Forestal establece los </w:t>
            </w:r>
            <w:r w:rsidR="00765BA2" w:rsidRPr="009A27ED">
              <w:rPr>
                <w:spacing w:val="-2"/>
                <w:sz w:val="20"/>
                <w:szCs w:val="20"/>
              </w:rPr>
              <w:t>lineamientos para</w:t>
            </w:r>
            <w:r w:rsidRPr="009A27ED">
              <w:rPr>
                <w:spacing w:val="-2"/>
                <w:sz w:val="20"/>
                <w:szCs w:val="20"/>
              </w:rPr>
              <w:t xml:space="preserve"> la adecuada aplicación y cumplimiento de la Ley General de Medio Ambiente y Recursos Naturales No. 64-00 en lo que respecta a la conservación y uso sostenible de los recursos forestales. </w:t>
            </w:r>
          </w:p>
          <w:p w14:paraId="775B69E2" w14:textId="68F5BB8F" w:rsidR="0070272F" w:rsidRPr="009A27ED" w:rsidRDefault="0070272F" w:rsidP="00AF66EF">
            <w:pPr>
              <w:ind w:left="175"/>
              <w:cnfStyle w:val="000000000000" w:firstRow="0" w:lastRow="0" w:firstColumn="0" w:lastColumn="0" w:oddVBand="0" w:evenVBand="0" w:oddHBand="0" w:evenHBand="0" w:firstRowFirstColumn="0" w:firstRowLastColumn="0" w:lastRowFirstColumn="0" w:lastRowLastColumn="0"/>
              <w:rPr>
                <w:sz w:val="20"/>
                <w:szCs w:val="20"/>
              </w:rPr>
            </w:pPr>
            <w:r w:rsidRPr="009A27ED">
              <w:rPr>
                <w:spacing w:val="-2"/>
                <w:sz w:val="20"/>
                <w:szCs w:val="20"/>
              </w:rPr>
              <w:t xml:space="preserve">De manera específica, se dispone que el manejo de los bosques estará regulado </w:t>
            </w:r>
            <w:r w:rsidRPr="009A27ED">
              <w:rPr>
                <w:spacing w:val="-2"/>
                <w:sz w:val="20"/>
                <w:szCs w:val="20"/>
              </w:rPr>
              <w:t xml:space="preserve">a través de un plan de manejo forestal. </w:t>
            </w:r>
            <w:r w:rsidRPr="009A27ED">
              <w:rPr>
                <w:sz w:val="20"/>
                <w:szCs w:val="20"/>
                <w:lang w:val="es-GT"/>
              </w:rPr>
              <w:t xml:space="preserve">El Plan de manejo es el instrumento que evalúa el Ministerio de Medio </w:t>
            </w:r>
            <w:r w:rsidR="00765BA2" w:rsidRPr="009A27ED">
              <w:rPr>
                <w:sz w:val="20"/>
                <w:szCs w:val="20"/>
                <w:lang w:val="es-GT"/>
              </w:rPr>
              <w:t>Ambiente para</w:t>
            </w:r>
            <w:r w:rsidRPr="009A27ED">
              <w:rPr>
                <w:sz w:val="20"/>
                <w:szCs w:val="20"/>
                <w:lang w:val="es-GT"/>
              </w:rPr>
              <w:t xml:space="preserve"> emitir una constancia ambiental (clasificada como Categoría C en el Reglamento del Proceso de Evaluación Ambiental.</w:t>
            </w:r>
          </w:p>
          <w:p w14:paraId="08F9EB08" w14:textId="77777777" w:rsidR="0070272F" w:rsidRPr="009A27ED" w:rsidRDefault="0070272F" w:rsidP="00AF66EF">
            <w:pPr>
              <w:ind w:left="175"/>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Para solicitar la aprobación del Plan de Manejo ante el Ministerio de Medio Ambiente y Recursos Naturales debe de realizarse las Evaluaciones Ambientales, cumpliendo con las disposiciones del Compendio de Reglamentos y Procedimientos para Autorizaciones Ambientales.</w:t>
            </w:r>
          </w:p>
          <w:p w14:paraId="76BA42FB" w14:textId="77777777" w:rsidR="0070272F" w:rsidRPr="009A27ED" w:rsidRDefault="0070272F" w:rsidP="00AF66EF">
            <w:pPr>
              <w:ind w:left="175"/>
              <w:cnfStyle w:val="000000000000" w:firstRow="0" w:lastRow="0" w:firstColumn="0" w:lastColumn="0" w:oddVBand="0" w:evenVBand="0" w:oddHBand="0" w:evenHBand="0" w:firstRowFirstColumn="0" w:firstRowLastColumn="0" w:lastRowFirstColumn="0" w:lastRowLastColumn="0"/>
              <w:rPr>
                <w:sz w:val="20"/>
                <w:szCs w:val="20"/>
              </w:rPr>
            </w:pPr>
          </w:p>
        </w:tc>
        <w:tc>
          <w:tcPr>
            <w:tcW w:w="2268" w:type="dxa"/>
          </w:tcPr>
          <w:p w14:paraId="62A89669"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lastRenderedPageBreak/>
              <w:t>Existen debilidades institucionales relacionadas con la capacidad técnica para llevar a cabo las funciones Evaluación Ambiental.</w:t>
            </w:r>
          </w:p>
          <w:p w14:paraId="789F2477"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lang w:val="es-DO"/>
              </w:rPr>
            </w:pPr>
            <w:r w:rsidRPr="009A27ED">
              <w:rPr>
                <w:sz w:val="20"/>
                <w:szCs w:val="20"/>
              </w:rPr>
              <w:t>Existen debilidades institucionales para el establecimiento y aplicación de sistemas de seguimiento y monitoreo.</w:t>
            </w:r>
          </w:p>
          <w:p w14:paraId="0C46DFC5"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lang w:val="es-DO"/>
              </w:rPr>
            </w:pPr>
            <w:r w:rsidRPr="009A27ED">
              <w:rPr>
                <w:sz w:val="20"/>
                <w:szCs w:val="20"/>
                <w:lang w:val="es-DO"/>
              </w:rPr>
              <w:t xml:space="preserve">Ante el largo período de evaluación y aprobación </w:t>
            </w:r>
            <w:r w:rsidRPr="009A27ED">
              <w:rPr>
                <w:sz w:val="20"/>
                <w:szCs w:val="20"/>
                <w:lang w:val="es-DO"/>
              </w:rPr>
              <w:lastRenderedPageBreak/>
              <w:t xml:space="preserve">de la autorización el solicitante no puede asegurar un manejo adecuado de la parcela y cumplimiento con los planes operativos anuales previstos. </w:t>
            </w:r>
          </w:p>
          <w:p w14:paraId="160349D5"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p>
          <w:p w14:paraId="17342BE0" w14:textId="77777777" w:rsidR="0070272F" w:rsidRPr="009A27ED" w:rsidRDefault="0070272F" w:rsidP="00AF66EF">
            <w:pPr>
              <w:ind w:left="175"/>
              <w:cnfStyle w:val="000000000000" w:firstRow="0" w:lastRow="0" w:firstColumn="0" w:lastColumn="0" w:oddVBand="0" w:evenVBand="0" w:oddHBand="0" w:evenHBand="0" w:firstRowFirstColumn="0" w:firstRowLastColumn="0" w:lastRowFirstColumn="0" w:lastRowLastColumn="0"/>
              <w:rPr>
                <w:sz w:val="20"/>
                <w:szCs w:val="20"/>
              </w:rPr>
            </w:pPr>
          </w:p>
        </w:tc>
        <w:tc>
          <w:tcPr>
            <w:tcW w:w="3124" w:type="dxa"/>
          </w:tcPr>
          <w:p w14:paraId="4783EC64" w14:textId="77777777" w:rsidR="0070272F" w:rsidRPr="009A27ED" w:rsidRDefault="0070272F" w:rsidP="00AF66EF">
            <w:pPr>
              <w:pStyle w:val="Prrafodelista"/>
              <w:numPr>
                <w:ilvl w:val="0"/>
                <w:numId w:val="261"/>
              </w:numPr>
              <w:spacing w:line="240" w:lineRule="auto"/>
              <w:ind w:left="368"/>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lastRenderedPageBreak/>
              <w:t>Formular un plan de fortalecimiento institucional que aborde las debilidades institucionales identificadas en el proceso de Evaluación Ambiental;</w:t>
            </w:r>
          </w:p>
          <w:p w14:paraId="2B10A520" w14:textId="77777777" w:rsidR="0070272F" w:rsidRPr="009A27ED" w:rsidRDefault="0070272F" w:rsidP="00AF66EF">
            <w:pPr>
              <w:pStyle w:val="Prrafodelista"/>
              <w:numPr>
                <w:ilvl w:val="0"/>
                <w:numId w:val="261"/>
              </w:numPr>
              <w:spacing w:line="240" w:lineRule="auto"/>
              <w:ind w:left="368"/>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Revisar y adecuar los procedimientos de Evaluación para eficientizar los tiempos para otorgamiento de los planes de manejo forestal.</w:t>
            </w:r>
          </w:p>
          <w:p w14:paraId="389B8C93" w14:textId="77777777" w:rsidR="0070272F" w:rsidRPr="009A27ED" w:rsidRDefault="0070272F" w:rsidP="00AF66EF">
            <w:pPr>
              <w:pStyle w:val="Prrafodelista"/>
              <w:numPr>
                <w:ilvl w:val="0"/>
                <w:numId w:val="261"/>
              </w:numPr>
              <w:spacing w:line="240" w:lineRule="auto"/>
              <w:ind w:left="368"/>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Elaborar manual de buenas prácticas para plantaciones forestales, a ser utilizado por las diferentes Entidades Ejecutoras </w:t>
            </w:r>
            <w:r w:rsidRPr="009A27ED">
              <w:rPr>
                <w:sz w:val="20"/>
                <w:szCs w:val="20"/>
              </w:rPr>
              <w:lastRenderedPageBreak/>
              <w:t>REDD+ que intervienen en reforestación y el manejo forestal sostenible.</w:t>
            </w:r>
          </w:p>
          <w:p w14:paraId="426CB5F9"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p>
        </w:tc>
      </w:tr>
      <w:tr w:rsidR="0070272F" w:rsidRPr="009A27ED" w14:paraId="3CCD5A50" w14:textId="77777777" w:rsidTr="00AF66EF">
        <w:trPr>
          <w:trHeight w:val="2762"/>
        </w:trPr>
        <w:tc>
          <w:tcPr>
            <w:cnfStyle w:val="001000000000" w:firstRow="0" w:lastRow="0" w:firstColumn="1" w:lastColumn="0" w:oddVBand="0" w:evenVBand="0" w:oddHBand="0" w:evenHBand="0" w:firstRowFirstColumn="0" w:firstRowLastColumn="0" w:lastRowFirstColumn="0" w:lastRowLastColumn="0"/>
            <w:tcW w:w="2836" w:type="dxa"/>
            <w:vMerge/>
          </w:tcPr>
          <w:p w14:paraId="637FC928" w14:textId="77777777" w:rsidR="0070272F" w:rsidRPr="009A27ED" w:rsidRDefault="0070272F" w:rsidP="00AF66EF">
            <w:pPr>
              <w:rPr>
                <w:sz w:val="20"/>
                <w:szCs w:val="20"/>
              </w:rPr>
            </w:pPr>
          </w:p>
        </w:tc>
        <w:tc>
          <w:tcPr>
            <w:tcW w:w="1554" w:type="dxa"/>
          </w:tcPr>
          <w:p w14:paraId="3854FA25" w14:textId="77777777" w:rsidR="0070272F" w:rsidRPr="009A27ED" w:rsidRDefault="0070272F" w:rsidP="00AF66EF">
            <w:pPr>
              <w:spacing w:after="11" w:line="249" w:lineRule="auto"/>
              <w:jc w:val="left"/>
              <w:cnfStyle w:val="000000000000" w:firstRow="0" w:lastRow="0" w:firstColumn="0" w:lastColumn="0" w:oddVBand="0" w:evenVBand="0" w:oddHBand="0" w:evenHBand="0" w:firstRowFirstColumn="0" w:firstRowLastColumn="0" w:lastRowFirstColumn="0" w:lastRowLastColumn="0"/>
              <w:rPr>
                <w:b/>
                <w:sz w:val="20"/>
                <w:szCs w:val="20"/>
              </w:rPr>
            </w:pPr>
            <w:r w:rsidRPr="009A27ED">
              <w:rPr>
                <w:b/>
                <w:sz w:val="20"/>
                <w:szCs w:val="20"/>
              </w:rPr>
              <w:t xml:space="preserve">Normas Técnicas de Manejo Forestal (NTMF) </w:t>
            </w:r>
          </w:p>
          <w:p w14:paraId="2F0D2586" w14:textId="77777777" w:rsidR="0070272F" w:rsidRPr="009A27ED" w:rsidRDefault="0070272F" w:rsidP="00AF66EF">
            <w:pPr>
              <w:spacing w:after="11" w:line="249" w:lineRule="auto"/>
              <w:ind w:left="426"/>
              <w:jc w:val="left"/>
              <w:cnfStyle w:val="000000000000" w:firstRow="0" w:lastRow="0" w:firstColumn="0" w:lastColumn="0" w:oddVBand="0" w:evenVBand="0" w:oddHBand="0" w:evenHBand="0" w:firstRowFirstColumn="0" w:firstRowLastColumn="0" w:lastRowFirstColumn="0" w:lastRowLastColumn="0"/>
              <w:rPr>
                <w:b/>
                <w:sz w:val="20"/>
                <w:szCs w:val="20"/>
              </w:rPr>
            </w:pPr>
          </w:p>
        </w:tc>
        <w:tc>
          <w:tcPr>
            <w:tcW w:w="2840" w:type="dxa"/>
          </w:tcPr>
          <w:p w14:paraId="2665557B" w14:textId="415A79CD"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Las NTMF establecen los principios, criterios e indicadores para el manejo forestal sostenible, por lo que </w:t>
            </w:r>
            <w:r w:rsidR="00AF66EF" w:rsidRPr="009A27ED">
              <w:rPr>
                <w:sz w:val="20"/>
                <w:szCs w:val="20"/>
              </w:rPr>
              <w:t>el aprovechamiento</w:t>
            </w:r>
            <w:r w:rsidRPr="009A27ED">
              <w:rPr>
                <w:sz w:val="20"/>
                <w:szCs w:val="20"/>
              </w:rPr>
              <w:t xml:space="preserve"> de los bosques deberá ejecutarse respetando los principios del 1 al 8 y sus respectivos criterios e indicadores de sostenibilidad.</w:t>
            </w:r>
          </w:p>
          <w:p w14:paraId="188D1452" w14:textId="50818570"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 De manera específica, en relación con el plan de manejo, se plantea en </w:t>
            </w:r>
            <w:r w:rsidR="00AF66EF" w:rsidRPr="009A27ED">
              <w:rPr>
                <w:sz w:val="20"/>
                <w:szCs w:val="20"/>
              </w:rPr>
              <w:t xml:space="preserve">el </w:t>
            </w:r>
            <w:r w:rsidR="00AF66EF" w:rsidRPr="009A27ED">
              <w:rPr>
                <w:b/>
                <w:sz w:val="20"/>
                <w:szCs w:val="20"/>
              </w:rPr>
              <w:t>Principio</w:t>
            </w:r>
            <w:r w:rsidRPr="009A27ED">
              <w:rPr>
                <w:b/>
                <w:sz w:val="20"/>
                <w:szCs w:val="20"/>
              </w:rPr>
              <w:t xml:space="preserve"> No. 6</w:t>
            </w:r>
            <w:r w:rsidRPr="009A27ED">
              <w:rPr>
                <w:sz w:val="20"/>
                <w:szCs w:val="20"/>
              </w:rPr>
              <w:t xml:space="preserve"> que “</w:t>
            </w:r>
            <w:r w:rsidRPr="009A27ED">
              <w:rPr>
                <w:i/>
                <w:sz w:val="20"/>
                <w:szCs w:val="20"/>
              </w:rPr>
              <w:t>la planificación del manejo a largo plazo se expresa en un Plan de Manejo escrito, Implementado y Actualizado</w:t>
            </w:r>
            <w:r w:rsidRPr="009A27ED">
              <w:rPr>
                <w:sz w:val="20"/>
                <w:szCs w:val="20"/>
              </w:rPr>
              <w:t xml:space="preserve">”. señalando algunos de sus indicadores lo siguiente: </w:t>
            </w:r>
            <w:r w:rsidRPr="009A27ED">
              <w:rPr>
                <w:b/>
                <w:sz w:val="20"/>
                <w:szCs w:val="20"/>
              </w:rPr>
              <w:t>Indicador 6.2.:</w:t>
            </w:r>
            <w:r w:rsidRPr="009A27ED">
              <w:rPr>
                <w:sz w:val="20"/>
                <w:szCs w:val="20"/>
              </w:rPr>
              <w:t xml:space="preserve"> “</w:t>
            </w:r>
            <w:r w:rsidRPr="009A27ED">
              <w:rPr>
                <w:i/>
                <w:sz w:val="20"/>
                <w:szCs w:val="20"/>
              </w:rPr>
              <w:t>El Plan de Manejo deberá ser revisado en cada ciclo de corta para incorporar los resultados de la evaluación y la nueva información científica y técnica que responda a los cambios en las circunstancias tecnológicas, ambientales, sociales y económicas</w:t>
            </w:r>
            <w:r w:rsidRPr="009A27ED">
              <w:rPr>
                <w:sz w:val="20"/>
                <w:szCs w:val="20"/>
              </w:rPr>
              <w:t>”.</w:t>
            </w:r>
          </w:p>
          <w:p w14:paraId="77514FF3"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A este efecto, plantea la normativa para el manejo forestal sostenible (Numeral 1) y determina los requisitos e información clave para la elaboración del Plan de Manejo (Numeral 2), a saber: a) Duración del Plan de Manejo; b) Situación legal; c) Aspectos biofísicos; d) Objetivos del Manejo; d) Aspectos socioeconómicos; e) Historia del Predio y manejo anterior; f) Categorías de planes de manejo; g) Unidades de manejo; h) Plan de Aprovechamiento y </w:t>
            </w:r>
            <w:r w:rsidRPr="009A27ED">
              <w:rPr>
                <w:sz w:val="20"/>
                <w:szCs w:val="20"/>
              </w:rPr>
              <w:lastRenderedPageBreak/>
              <w:t>tratamientos silvícolas; i) Restricciones para el manejo; j) Inventario Forestal; k) Determinación de la Corta permisible; y  l) Elaboración de Planes Operativos Anuales.</w:t>
            </w:r>
          </w:p>
          <w:p w14:paraId="05750608"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En el Numeral 3, describe el Procedimiento para la aprobación de los Planes de Manejo Forestal, y finalmente, en su Numeral 4 dispone las acciones que deben de tomarse en cuenta para la ejecución del Plan de Manejo Forestal, así como la obligación de los proyectos forestales en escribir y establecer las responsabilidades respecto de; a) La ejecución de las actividades de aprovechamiento; b) La fiscalización de las operaciones; c) El registro y control de los volúmenes aprovechados; y d) La ejecución de las actividades de mantenimiento y silvicultura.</w:t>
            </w:r>
          </w:p>
          <w:p w14:paraId="757511FB" w14:textId="77777777" w:rsidR="0070272F" w:rsidRPr="009A27ED" w:rsidRDefault="0070272F" w:rsidP="00AF66EF">
            <w:pPr>
              <w:spacing w:before="100" w:beforeAutospacing="1" w:after="100" w:afterAutospacing="1"/>
              <w:ind w:left="-31"/>
              <w:cnfStyle w:val="000000000000" w:firstRow="0" w:lastRow="0" w:firstColumn="0" w:lastColumn="0" w:oddVBand="0" w:evenVBand="0" w:oddHBand="0" w:evenHBand="0" w:firstRowFirstColumn="0" w:firstRowLastColumn="0" w:lastRowFirstColumn="0" w:lastRowLastColumn="0"/>
              <w:rPr>
                <w:sz w:val="20"/>
                <w:szCs w:val="20"/>
              </w:rPr>
            </w:pPr>
          </w:p>
        </w:tc>
        <w:tc>
          <w:tcPr>
            <w:tcW w:w="2546" w:type="dxa"/>
          </w:tcPr>
          <w:p w14:paraId="273FC96A"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lastRenderedPageBreak/>
              <w:t xml:space="preserve">Estas normas tienen como objetivo principal determinar las directrices técnicas y de regulación para el control y manejo sostenible de los bosques a nivel nacional. </w:t>
            </w:r>
          </w:p>
          <w:p w14:paraId="551EAB78" w14:textId="35C80608"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En este </w:t>
            </w:r>
            <w:r w:rsidR="00AF66EF" w:rsidRPr="009A27ED">
              <w:rPr>
                <w:sz w:val="20"/>
                <w:szCs w:val="20"/>
              </w:rPr>
              <w:t>sentido, contemplan</w:t>
            </w:r>
            <w:r w:rsidRPr="009A27ED">
              <w:rPr>
                <w:sz w:val="20"/>
                <w:szCs w:val="20"/>
              </w:rPr>
              <w:t xml:space="preserve"> la realización de una evaluación previa y una evaluación de seguimiento de los proyectos forestales. </w:t>
            </w:r>
          </w:p>
          <w:p w14:paraId="14A4EAC5"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Las evaluaciones de seguimiento viabilizan la aprobación de los planes operativos anuales.</w:t>
            </w:r>
          </w:p>
          <w:p w14:paraId="15CF48AF"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Las Normas Técnicas de Manejo Forestal se consideran como un importante instrumento dentro del proceso de Evaluación, Ambiental, a los fines de garantizar un manejo adecuado y aplicación correcta de este tipo de intervención sobre los bosques.</w:t>
            </w:r>
          </w:p>
        </w:tc>
        <w:tc>
          <w:tcPr>
            <w:tcW w:w="2268" w:type="dxa"/>
          </w:tcPr>
          <w:p w14:paraId="4C240F21" w14:textId="77777777" w:rsidR="0070272F" w:rsidRPr="009A27ED" w:rsidRDefault="0070272F" w:rsidP="00AF66EF">
            <w:pPr>
              <w:spacing w:before="100" w:beforeAutospacing="1" w:after="100" w:afterAutospacing="1"/>
              <w:ind w:left="-31"/>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Existen debilidades institucionales relacionadas con la capacidad técnica para llevar a cabo las funciones Evaluación Ambiental.</w:t>
            </w:r>
          </w:p>
          <w:p w14:paraId="1E654F9D" w14:textId="77777777" w:rsidR="0070272F" w:rsidRPr="009A27ED" w:rsidRDefault="0070272F" w:rsidP="00AF66EF">
            <w:pPr>
              <w:spacing w:before="100" w:beforeAutospacing="1" w:after="100" w:afterAutospacing="1"/>
              <w:ind w:left="-31"/>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Existen debilidades institucionales para el establecimiento y aplicación de sistemas de seguimiento y monitoreo.</w:t>
            </w:r>
          </w:p>
        </w:tc>
        <w:tc>
          <w:tcPr>
            <w:tcW w:w="3124" w:type="dxa"/>
          </w:tcPr>
          <w:p w14:paraId="2FABFFB8" w14:textId="77777777" w:rsidR="0070272F" w:rsidRPr="009A27ED" w:rsidRDefault="0070272F" w:rsidP="00AF66EF">
            <w:pPr>
              <w:pStyle w:val="Prrafodelista"/>
              <w:numPr>
                <w:ilvl w:val="0"/>
                <w:numId w:val="262"/>
              </w:num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Elaboración de plan para promover en las fincas forestales el manejo del bosque y la regeneración natural de especies arbóreas.</w:t>
            </w:r>
          </w:p>
          <w:p w14:paraId="747E0CD5" w14:textId="77777777" w:rsidR="0070272F" w:rsidRPr="009A27ED" w:rsidRDefault="0070272F" w:rsidP="00AF66EF">
            <w:pPr>
              <w:pStyle w:val="Prrafodelista"/>
              <w:numPr>
                <w:ilvl w:val="0"/>
                <w:numId w:val="262"/>
              </w:num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Elaborar manual de buenas prácticas para plantaciones forestales, a ser utilizado por las diferentes Entidades Ejecutoras REDD+ que intervienen en reforestación y el manejo forestal sostenible.</w:t>
            </w:r>
          </w:p>
          <w:p w14:paraId="22BF432A" w14:textId="77777777" w:rsidR="0070272F" w:rsidRPr="009A27ED" w:rsidRDefault="0070272F" w:rsidP="00AF66EF">
            <w:pPr>
              <w:pStyle w:val="Prrafodelista"/>
              <w:numPr>
                <w:ilvl w:val="0"/>
                <w:numId w:val="262"/>
              </w:num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Plan de fortalecimiento de las capacidades institucionales para la implementación de sistemas de seguimiento y monitoreo de los Planes de Manejo Forestal.</w:t>
            </w:r>
          </w:p>
          <w:p w14:paraId="1E80586F" w14:textId="77777777" w:rsidR="0070272F" w:rsidRPr="009A27ED" w:rsidRDefault="0070272F" w:rsidP="00AF66EF">
            <w:pPr>
              <w:pStyle w:val="Prrafodelista"/>
              <w:numPr>
                <w:ilvl w:val="0"/>
                <w:numId w:val="262"/>
              </w:num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Incluir en los Convenios interinstitucionales obligaciones y responsabilidades para la implementación efectiva de las políticas públicas de conservación, uso sostenible y restauración de los bosques, así como la expansión de modelos exitosos de manejo sostenible de bosques.</w:t>
            </w:r>
          </w:p>
        </w:tc>
      </w:tr>
      <w:tr w:rsidR="0070272F" w:rsidRPr="009A27ED" w14:paraId="594DA5F4" w14:textId="77777777" w:rsidTr="00AF66EF">
        <w:trPr>
          <w:trHeight w:val="3482"/>
        </w:trPr>
        <w:tc>
          <w:tcPr>
            <w:cnfStyle w:val="001000000000" w:firstRow="0" w:lastRow="0" w:firstColumn="1" w:lastColumn="0" w:oddVBand="0" w:evenVBand="0" w:oddHBand="0" w:evenHBand="0" w:firstRowFirstColumn="0" w:firstRowLastColumn="0" w:lastRowFirstColumn="0" w:lastRowLastColumn="0"/>
            <w:tcW w:w="2836" w:type="dxa"/>
          </w:tcPr>
          <w:p w14:paraId="2D0E8D8C" w14:textId="77777777" w:rsidR="0070272F" w:rsidRPr="009A27ED" w:rsidRDefault="0070272F" w:rsidP="00AF66EF">
            <w:pPr>
              <w:rPr>
                <w:color w:val="000000" w:themeColor="text1"/>
                <w:sz w:val="20"/>
                <w:szCs w:val="20"/>
              </w:rPr>
            </w:pPr>
            <w:r w:rsidRPr="009A27ED">
              <w:rPr>
                <w:color w:val="000000" w:themeColor="text1"/>
                <w:sz w:val="20"/>
                <w:szCs w:val="20"/>
              </w:rPr>
              <w:t xml:space="preserve">Hábitats naturales (OP 4.04) Esta Política Operativa busca fomentar el desarrollo sostenible en armonía con el ambiente, a través de la protección, conservación, mantenimiento y rehabilitación de hábitats naturales y sus funciones. </w:t>
            </w:r>
          </w:p>
          <w:p w14:paraId="22590F93" w14:textId="77777777" w:rsidR="0070272F" w:rsidRPr="009A27ED" w:rsidRDefault="0070272F" w:rsidP="00AF66EF">
            <w:pPr>
              <w:rPr>
                <w:color w:val="000000" w:themeColor="text1"/>
                <w:sz w:val="20"/>
                <w:szCs w:val="20"/>
              </w:rPr>
            </w:pPr>
            <w:r w:rsidRPr="009A27ED">
              <w:rPr>
                <w:color w:val="000000" w:themeColor="text1"/>
                <w:sz w:val="20"/>
                <w:szCs w:val="20"/>
              </w:rPr>
              <w:t xml:space="preserve">El Banco promueve y apoya la conservación de los hábitats naturales y un mejor aprovechamiento del suelo mediante el financiamiento de proyectos dirigidos a integrar, en las políticas de desarrollo nacional y regional, la conservación de los hábitats naturales y el mantenimiento de las funciones ecológicas que éstos cumplen. Además, fomenta la rehabilitación de los hábitats naturales </w:t>
            </w:r>
            <w:r w:rsidRPr="009A27ED">
              <w:rPr>
                <w:color w:val="000000" w:themeColor="text1"/>
                <w:sz w:val="20"/>
                <w:szCs w:val="20"/>
              </w:rPr>
              <w:lastRenderedPageBreak/>
              <w:t>degradados. Esta política resguarda la prohibición de financiamiento de proyectos que degraden o perturben hábitats naturales críticos, apoyando aquellos que no afecten dichos hábitats y que cuenten con alternativas viables y adecuadas de mitigación.</w:t>
            </w:r>
          </w:p>
          <w:p w14:paraId="4DB73A77" w14:textId="77777777" w:rsidR="0070272F" w:rsidRPr="009A27ED" w:rsidRDefault="0070272F" w:rsidP="00AF66EF">
            <w:pPr>
              <w:rPr>
                <w:sz w:val="20"/>
                <w:szCs w:val="20"/>
              </w:rPr>
            </w:pPr>
          </w:p>
        </w:tc>
        <w:tc>
          <w:tcPr>
            <w:tcW w:w="1554" w:type="dxa"/>
          </w:tcPr>
          <w:p w14:paraId="094ACCB0" w14:textId="77777777" w:rsidR="0070272F" w:rsidRPr="009A27ED" w:rsidRDefault="0070272F" w:rsidP="00AF66EF">
            <w:pPr>
              <w:jc w:val="left"/>
              <w:cnfStyle w:val="000000000000" w:firstRow="0" w:lastRow="0" w:firstColumn="0" w:lastColumn="0" w:oddVBand="0" w:evenVBand="0" w:oddHBand="0" w:evenHBand="0" w:firstRowFirstColumn="0" w:firstRowLastColumn="0" w:lastRowFirstColumn="0" w:lastRowLastColumn="0"/>
              <w:rPr>
                <w:b/>
                <w:sz w:val="20"/>
                <w:szCs w:val="20"/>
              </w:rPr>
            </w:pPr>
            <w:r w:rsidRPr="009A27ED">
              <w:rPr>
                <w:b/>
                <w:sz w:val="20"/>
                <w:szCs w:val="20"/>
              </w:rPr>
              <w:lastRenderedPageBreak/>
              <w:t>Constitución de la República Dominicana proclamada el 13 de junio del 2015</w:t>
            </w:r>
          </w:p>
          <w:p w14:paraId="159B2D2B" w14:textId="77777777" w:rsidR="0070272F" w:rsidRPr="009A27ED" w:rsidRDefault="0070272F" w:rsidP="00AF66EF">
            <w:pPr>
              <w:spacing w:after="11" w:line="249" w:lineRule="auto"/>
              <w:jc w:val="left"/>
              <w:cnfStyle w:val="000000000000" w:firstRow="0" w:lastRow="0" w:firstColumn="0" w:lastColumn="0" w:oddVBand="0" w:evenVBand="0" w:oddHBand="0" w:evenHBand="0" w:firstRowFirstColumn="0" w:firstRowLastColumn="0" w:lastRowFirstColumn="0" w:lastRowLastColumn="0"/>
              <w:rPr>
                <w:sz w:val="20"/>
                <w:szCs w:val="20"/>
              </w:rPr>
            </w:pPr>
          </w:p>
        </w:tc>
        <w:tc>
          <w:tcPr>
            <w:tcW w:w="2840" w:type="dxa"/>
          </w:tcPr>
          <w:p w14:paraId="7D208B0E"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color w:val="000000" w:themeColor="text1"/>
                <w:sz w:val="20"/>
                <w:szCs w:val="20"/>
              </w:rPr>
              <w:t xml:space="preserve">La Constitución de la República Dominicana, en </w:t>
            </w:r>
            <w:r w:rsidRPr="009A27ED">
              <w:rPr>
                <w:sz w:val="20"/>
                <w:szCs w:val="20"/>
              </w:rPr>
              <w:t xml:space="preserve">sus Artículos. 14, 15, 16 y 17 </w:t>
            </w:r>
            <w:proofErr w:type="gramStart"/>
            <w:r w:rsidRPr="009A27ED">
              <w:rPr>
                <w:sz w:val="20"/>
                <w:szCs w:val="20"/>
              </w:rPr>
              <w:t>declara como</w:t>
            </w:r>
            <w:proofErr w:type="gramEnd"/>
            <w:r w:rsidRPr="009A27ED">
              <w:rPr>
                <w:sz w:val="20"/>
                <w:szCs w:val="20"/>
              </w:rPr>
              <w:t xml:space="preserve"> patrimonio nacional los recursos naturales, los recursos hídricos, las áreas protegidas, así como las condiciones de su aprovechamiento racional, determinadas por las condiciones, obligaciones y limitaciones que dispongan las leyes particulares. En sentido, se declara de prioridad nacional y de interés social la reforestación, la conservación de los bosques y la renovación de los recursos forestales (</w:t>
            </w:r>
            <w:r w:rsidRPr="009A27ED">
              <w:rPr>
                <w:b/>
                <w:sz w:val="20"/>
                <w:szCs w:val="20"/>
              </w:rPr>
              <w:t>Numeral 2, Ar. 17</w:t>
            </w:r>
            <w:r w:rsidRPr="009A27ED">
              <w:rPr>
                <w:sz w:val="20"/>
                <w:szCs w:val="20"/>
              </w:rPr>
              <w:t xml:space="preserve">) </w:t>
            </w:r>
          </w:p>
          <w:p w14:paraId="6483A061"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A27ED">
              <w:rPr>
                <w:sz w:val="20"/>
                <w:szCs w:val="20"/>
              </w:rPr>
              <w:t xml:space="preserve">El </w:t>
            </w:r>
            <w:r w:rsidRPr="009A27ED">
              <w:rPr>
                <w:b/>
                <w:sz w:val="20"/>
                <w:szCs w:val="20"/>
              </w:rPr>
              <w:t>Artículo 14</w:t>
            </w:r>
            <w:r w:rsidRPr="009A27ED">
              <w:rPr>
                <w:sz w:val="20"/>
                <w:szCs w:val="20"/>
              </w:rPr>
              <w:t xml:space="preserve"> establece que: “</w:t>
            </w:r>
            <w:r w:rsidRPr="009A27ED">
              <w:rPr>
                <w:i/>
                <w:sz w:val="20"/>
                <w:szCs w:val="20"/>
              </w:rPr>
              <w:t xml:space="preserve">Los Recursos naturales. Son patrimonio </w:t>
            </w:r>
            <w:r w:rsidRPr="009A27ED">
              <w:rPr>
                <w:i/>
                <w:color w:val="000000" w:themeColor="text1"/>
                <w:sz w:val="20"/>
                <w:szCs w:val="20"/>
              </w:rPr>
              <w:t xml:space="preserve">de la Nación los que se encuentren en el territorio y en los espacios marítimos bajo jurisdicción nacional, los </w:t>
            </w:r>
            <w:r w:rsidRPr="009A27ED">
              <w:rPr>
                <w:i/>
                <w:color w:val="000000" w:themeColor="text1"/>
                <w:sz w:val="20"/>
                <w:szCs w:val="20"/>
              </w:rPr>
              <w:lastRenderedPageBreak/>
              <w:t>recursos genéticos, la biodiversidad y el espectro radioeléctrico”</w:t>
            </w:r>
            <w:r w:rsidRPr="009A27ED">
              <w:rPr>
                <w:color w:val="000000" w:themeColor="text1"/>
                <w:sz w:val="20"/>
                <w:szCs w:val="20"/>
              </w:rPr>
              <w:t xml:space="preserve">. </w:t>
            </w:r>
          </w:p>
          <w:p w14:paraId="28AC92AA"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A27ED">
              <w:rPr>
                <w:color w:val="000000" w:themeColor="text1"/>
                <w:sz w:val="20"/>
                <w:szCs w:val="20"/>
              </w:rPr>
              <w:t xml:space="preserve">El </w:t>
            </w:r>
            <w:r w:rsidRPr="009A27ED">
              <w:rPr>
                <w:b/>
                <w:color w:val="000000" w:themeColor="text1"/>
                <w:sz w:val="20"/>
                <w:szCs w:val="20"/>
              </w:rPr>
              <w:t>Artículo 15</w:t>
            </w:r>
            <w:r w:rsidRPr="009A27ED">
              <w:rPr>
                <w:color w:val="000000" w:themeColor="text1"/>
                <w:sz w:val="20"/>
                <w:szCs w:val="20"/>
              </w:rPr>
              <w:t xml:space="preserve"> establece que: “</w:t>
            </w:r>
            <w:r w:rsidRPr="009A27ED">
              <w:rPr>
                <w:i/>
                <w:color w:val="000000" w:themeColor="text1"/>
                <w:sz w:val="20"/>
                <w:szCs w:val="20"/>
              </w:rPr>
              <w:t>El agua constituye patrimonio nacional estratégico de uso público, inalienable, imprescriptible, inembargable y esencial para la vida. El consumo humano del agua tiene prioridad sobre cualquier otro uso. El Estado promoverá la elaboración e implementación de políticas efectivas para la protección de los recursos hídricos de la Nación</w:t>
            </w:r>
            <w:r w:rsidRPr="009A27ED">
              <w:rPr>
                <w:color w:val="000000" w:themeColor="text1"/>
                <w:sz w:val="20"/>
                <w:szCs w:val="20"/>
              </w:rPr>
              <w:t xml:space="preserve">”. </w:t>
            </w:r>
            <w:r w:rsidRPr="009A27ED">
              <w:rPr>
                <w:b/>
                <w:color w:val="000000" w:themeColor="text1"/>
                <w:sz w:val="20"/>
                <w:szCs w:val="20"/>
              </w:rPr>
              <w:t>Párrafo</w:t>
            </w:r>
            <w:r w:rsidRPr="009A27ED">
              <w:rPr>
                <w:color w:val="000000" w:themeColor="text1"/>
                <w:sz w:val="20"/>
                <w:szCs w:val="20"/>
              </w:rPr>
              <w:t>. “</w:t>
            </w:r>
            <w:r w:rsidRPr="009A27ED">
              <w:rPr>
                <w:i/>
                <w:color w:val="000000" w:themeColor="text1"/>
                <w:sz w:val="20"/>
                <w:szCs w:val="20"/>
              </w:rPr>
              <w:t>Las cuencas altas de los ríos y las zonas de biodiversidad endémica, nativa y migratoria, son objeto de protección especial por parte de los poderes públicos para garantizar su gestión y preservación como bienes fundamentales de la Nación. Los ríos, lagos, lagunas, playas y costas nacionales pertenecen al dominio público y son de libre acceso, observándose siempre el respeto al derecho de propiedad privada. La ley regulará las condiciones, formas y servidumbres en que los particulares accederán al disfrute o gestión de dichas áreas”</w:t>
            </w:r>
            <w:r w:rsidRPr="009A27ED">
              <w:rPr>
                <w:color w:val="000000" w:themeColor="text1"/>
                <w:sz w:val="20"/>
                <w:szCs w:val="20"/>
              </w:rPr>
              <w:t xml:space="preserve">. </w:t>
            </w:r>
          </w:p>
          <w:p w14:paraId="7F834D09"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A27ED">
              <w:rPr>
                <w:color w:val="000000" w:themeColor="text1"/>
                <w:sz w:val="20"/>
                <w:szCs w:val="20"/>
              </w:rPr>
              <w:t>El</w:t>
            </w:r>
            <w:r w:rsidRPr="009A27ED">
              <w:rPr>
                <w:b/>
                <w:color w:val="000000" w:themeColor="text1"/>
                <w:sz w:val="20"/>
                <w:szCs w:val="20"/>
              </w:rPr>
              <w:t xml:space="preserve"> Artículo 16</w:t>
            </w:r>
            <w:r w:rsidRPr="009A27ED">
              <w:rPr>
                <w:color w:val="000000" w:themeColor="text1"/>
                <w:sz w:val="20"/>
                <w:szCs w:val="20"/>
              </w:rPr>
              <w:t xml:space="preserve"> sobre las Áreas protegidas señala que: “</w:t>
            </w:r>
            <w:r w:rsidRPr="009A27ED">
              <w:rPr>
                <w:i/>
                <w:color w:val="000000" w:themeColor="text1"/>
                <w:sz w:val="20"/>
                <w:szCs w:val="20"/>
              </w:rPr>
              <w:t xml:space="preserve">La vida silvestre, las unidades de conservación que conforman el Sistema Nacional de Áreas Protegidas y los ecosistemas y especies que contiene, constituyen bienes patrimoniales de la Nación y son inalienables, inembargables e imprescriptibles. Los límites de las áreas protegidas sólo pueden ser reducidos por ley con la aprobación de las dos terceras partes de los votos de los </w:t>
            </w:r>
            <w:r w:rsidRPr="009A27ED">
              <w:rPr>
                <w:i/>
                <w:color w:val="000000" w:themeColor="text1"/>
                <w:sz w:val="20"/>
                <w:szCs w:val="20"/>
              </w:rPr>
              <w:lastRenderedPageBreak/>
              <w:t>miembros de las cámaras del Congreso Nacional”</w:t>
            </w:r>
            <w:r w:rsidRPr="009A27ED">
              <w:rPr>
                <w:color w:val="000000" w:themeColor="text1"/>
                <w:sz w:val="20"/>
                <w:szCs w:val="20"/>
              </w:rPr>
              <w:t xml:space="preserve">. </w:t>
            </w:r>
          </w:p>
          <w:p w14:paraId="6B2F44D5"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A27ED">
              <w:rPr>
                <w:color w:val="000000" w:themeColor="text1"/>
                <w:sz w:val="20"/>
                <w:szCs w:val="20"/>
              </w:rPr>
              <w:t xml:space="preserve">El </w:t>
            </w:r>
            <w:r w:rsidRPr="009A27ED">
              <w:rPr>
                <w:b/>
                <w:color w:val="000000" w:themeColor="text1"/>
                <w:sz w:val="20"/>
                <w:szCs w:val="20"/>
              </w:rPr>
              <w:t>Artículo 17</w:t>
            </w:r>
            <w:r w:rsidRPr="009A27ED">
              <w:rPr>
                <w:color w:val="000000" w:themeColor="text1"/>
                <w:sz w:val="20"/>
                <w:szCs w:val="20"/>
              </w:rPr>
              <w:t>, sobre el aprovechamiento de los recursos naturales dispone que: “</w:t>
            </w:r>
            <w:r w:rsidRPr="009A27ED">
              <w:rPr>
                <w:i/>
                <w:color w:val="000000" w:themeColor="text1"/>
                <w:sz w:val="20"/>
                <w:szCs w:val="20"/>
              </w:rPr>
              <w:t>Los yacimientos mineros y de hidrocarburos y, en general, los recursos naturales no renovables, sólo pueden ser explorados y explotados por particulares, bajo criterios ambientales sostenibles, en virtud de las concesiones, contratos, licencias, permisos o cuotas, en las condiciones que determine la ley. Los particulares pueden aprovechar los recursos naturales renovables de manera racional con las condiciones, obligaciones y limitaciones que disponga la ley</w:t>
            </w:r>
            <w:r w:rsidRPr="009A27ED">
              <w:rPr>
                <w:color w:val="000000" w:themeColor="text1"/>
                <w:sz w:val="20"/>
                <w:szCs w:val="20"/>
              </w:rPr>
              <w:t xml:space="preserve">. </w:t>
            </w:r>
          </w:p>
          <w:p w14:paraId="0F70953F"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color w:val="000000" w:themeColor="text1"/>
                <w:sz w:val="20"/>
                <w:szCs w:val="20"/>
              </w:rPr>
              <w:t xml:space="preserve">El </w:t>
            </w:r>
            <w:r w:rsidRPr="009A27ED">
              <w:rPr>
                <w:b/>
                <w:sz w:val="20"/>
                <w:szCs w:val="20"/>
              </w:rPr>
              <w:t>Artículo 63,</w:t>
            </w:r>
            <w:r w:rsidRPr="009A27ED">
              <w:rPr>
                <w:sz w:val="20"/>
                <w:szCs w:val="20"/>
              </w:rPr>
              <w:t xml:space="preserve"> relativo a la consagración del Derecho a la educación. establece en el numeral </w:t>
            </w:r>
            <w:r w:rsidRPr="009A27ED">
              <w:rPr>
                <w:b/>
                <w:sz w:val="20"/>
                <w:szCs w:val="20"/>
              </w:rPr>
              <w:t>9)</w:t>
            </w:r>
            <w:r w:rsidRPr="009A27ED">
              <w:rPr>
                <w:sz w:val="20"/>
                <w:szCs w:val="20"/>
              </w:rPr>
              <w:t xml:space="preserve"> que: “</w:t>
            </w:r>
            <w:r w:rsidRPr="009A27ED">
              <w:rPr>
                <w:i/>
                <w:sz w:val="20"/>
                <w:szCs w:val="20"/>
              </w:rPr>
              <w:t>El Estado definirá políticas para promover e incentivar la investigación, la ciencia, la tecnología y la innovación que favorezcan el desarrollo sostenible, el bienestar humano, la competitividad, el fortalecimiento institucional y la preservación del medio ambiente. Se apoyará a las empresas e instituciones privadas que inviertan a esos fines”</w:t>
            </w:r>
            <w:r w:rsidRPr="009A27ED">
              <w:rPr>
                <w:sz w:val="20"/>
                <w:szCs w:val="20"/>
              </w:rPr>
              <w:t>.</w:t>
            </w:r>
          </w:p>
          <w:p w14:paraId="6D1A3AB8"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Con relación a la protección del medio ambiente, como un derecho colectivo, dispone en su </w:t>
            </w:r>
            <w:r w:rsidRPr="009A27ED">
              <w:rPr>
                <w:b/>
                <w:sz w:val="20"/>
                <w:szCs w:val="20"/>
              </w:rPr>
              <w:t xml:space="preserve">Artículo 67 </w:t>
            </w:r>
            <w:r w:rsidRPr="009A27ED">
              <w:rPr>
                <w:sz w:val="20"/>
                <w:szCs w:val="20"/>
              </w:rPr>
              <w:t>que: “</w:t>
            </w:r>
            <w:r w:rsidRPr="009A27ED">
              <w:rPr>
                <w:i/>
                <w:sz w:val="20"/>
                <w:szCs w:val="20"/>
              </w:rPr>
              <w:t xml:space="preserve">Constituyen deberes del Estado prevenir la contaminación, proteger y mantener el medio ambiente en provecho de las presentes y futuras generaciones. En consecuencia, el numeral 1) señala que toda persona tiene </w:t>
            </w:r>
            <w:r w:rsidRPr="009A27ED">
              <w:rPr>
                <w:i/>
                <w:sz w:val="20"/>
                <w:szCs w:val="20"/>
              </w:rPr>
              <w:lastRenderedPageBreak/>
              <w:t>derecho, tanto de modo individual como colectivo, al uso y goce sostenible de los recursos naturales; a habitar en un ambiente sano, ecológicamente equilibrado y adecuado para el desarrollo y preservación de las distintas formas de vida, del paisaje y de la naturaleza”</w:t>
            </w:r>
            <w:r w:rsidRPr="009A27ED">
              <w:rPr>
                <w:sz w:val="20"/>
                <w:szCs w:val="20"/>
              </w:rPr>
              <w:t>;</w:t>
            </w:r>
          </w:p>
          <w:p w14:paraId="224BA4D3" w14:textId="77777777" w:rsidR="0070272F" w:rsidRPr="009A27ED" w:rsidRDefault="0070272F" w:rsidP="00AF66EF">
            <w:pPr>
              <w:ind w:left="34"/>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Con relación a los principios de organización territorial, la Constitución aborda el tema de la conservación de los recursos naturales, estableciendo en su </w:t>
            </w:r>
            <w:r w:rsidRPr="009A27ED">
              <w:rPr>
                <w:b/>
                <w:sz w:val="20"/>
                <w:szCs w:val="20"/>
              </w:rPr>
              <w:t>Artículo 193</w:t>
            </w:r>
            <w:r w:rsidRPr="009A27ED">
              <w:rPr>
                <w:sz w:val="20"/>
                <w:szCs w:val="20"/>
              </w:rPr>
              <w:t xml:space="preserve"> que: “</w:t>
            </w:r>
            <w:r w:rsidRPr="009A27ED">
              <w:rPr>
                <w:i/>
                <w:sz w:val="20"/>
                <w:szCs w:val="20"/>
              </w:rPr>
              <w:t>La República Dominicana es un Estado unitario cuya organización territorial tiene como finalidad propiciar su desarrollo integral y equilibrado y el de sus habitantes, compatible con sus necesidades y con la preservación de sus recursos naturales, de su identidad nacional y de sus valores culturales. La organización territorial se hará conforme a los principios de unidad, identidad, racionalidad política, administrativa, social y económica”.</w:t>
            </w:r>
            <w:r w:rsidRPr="009A27ED">
              <w:rPr>
                <w:sz w:val="20"/>
                <w:szCs w:val="20"/>
              </w:rPr>
              <w:t xml:space="preserve"> </w:t>
            </w:r>
          </w:p>
        </w:tc>
        <w:tc>
          <w:tcPr>
            <w:tcW w:w="2546" w:type="dxa"/>
          </w:tcPr>
          <w:p w14:paraId="4AFEEF6B"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A27ED">
              <w:rPr>
                <w:color w:val="000000" w:themeColor="text1"/>
                <w:sz w:val="20"/>
                <w:szCs w:val="20"/>
              </w:rPr>
              <w:lastRenderedPageBreak/>
              <w:t xml:space="preserve">La Constitución dominicana, como norma fundamental y de ordenamiento máximo del país, establece la responsabilidad del Estado para procurar el uso y goce sostenible de los recursos naturales, siendo el garante y ejecutor de las leyes, políticas y programas tendentes a lograr el equilibrio ecológico </w:t>
            </w:r>
          </w:p>
          <w:p w14:paraId="3133C1A0"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p>
        </w:tc>
        <w:tc>
          <w:tcPr>
            <w:tcW w:w="2268" w:type="dxa"/>
          </w:tcPr>
          <w:p w14:paraId="2997E43A"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No se observan vacíos legales. La carta magna declara los principios, derechos y deberes fundamentales que regulan el marco político, institucional legal y territorial de la República Dominicana.</w:t>
            </w:r>
          </w:p>
          <w:p w14:paraId="431B5B63"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p>
        </w:tc>
        <w:tc>
          <w:tcPr>
            <w:tcW w:w="3124" w:type="dxa"/>
          </w:tcPr>
          <w:p w14:paraId="0B8DC866" w14:textId="77777777" w:rsidR="0070272F" w:rsidRPr="009A27ED" w:rsidRDefault="0070272F" w:rsidP="00AF66EF">
            <w:pPr>
              <w:pStyle w:val="Prrafodelista"/>
              <w:spacing w:line="240" w:lineRule="auto"/>
              <w:ind w:left="360"/>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p>
        </w:tc>
      </w:tr>
      <w:tr w:rsidR="0070272F" w:rsidRPr="009A27ED" w14:paraId="02642BE9" w14:textId="77777777" w:rsidTr="00AF66EF">
        <w:trPr>
          <w:trHeight w:val="530"/>
        </w:trPr>
        <w:tc>
          <w:tcPr>
            <w:cnfStyle w:val="001000000000" w:firstRow="0" w:lastRow="0" w:firstColumn="1" w:lastColumn="0" w:oddVBand="0" w:evenVBand="0" w:oddHBand="0" w:evenHBand="0" w:firstRowFirstColumn="0" w:firstRowLastColumn="0" w:lastRowFirstColumn="0" w:lastRowLastColumn="0"/>
            <w:tcW w:w="2836" w:type="dxa"/>
          </w:tcPr>
          <w:p w14:paraId="12E464A0" w14:textId="77777777" w:rsidR="0070272F" w:rsidRPr="009A27ED" w:rsidRDefault="0070272F" w:rsidP="00AF66EF">
            <w:pPr>
              <w:rPr>
                <w:sz w:val="20"/>
                <w:szCs w:val="20"/>
              </w:rPr>
            </w:pPr>
          </w:p>
        </w:tc>
        <w:tc>
          <w:tcPr>
            <w:tcW w:w="1554" w:type="dxa"/>
          </w:tcPr>
          <w:p w14:paraId="5EF4FF93" w14:textId="77777777" w:rsidR="0070272F" w:rsidRPr="009A27ED" w:rsidRDefault="0070272F" w:rsidP="00AF66EF">
            <w:pPr>
              <w:spacing w:after="11" w:line="249" w:lineRule="auto"/>
              <w:jc w:val="left"/>
              <w:cnfStyle w:val="000000000000" w:firstRow="0" w:lastRow="0" w:firstColumn="0" w:lastColumn="0" w:oddVBand="0" w:evenVBand="0" w:oddHBand="0" w:evenHBand="0" w:firstRowFirstColumn="0" w:firstRowLastColumn="0" w:lastRowFirstColumn="0" w:lastRowLastColumn="0"/>
              <w:rPr>
                <w:b/>
                <w:sz w:val="20"/>
                <w:szCs w:val="20"/>
              </w:rPr>
            </w:pPr>
            <w:r w:rsidRPr="009A27ED">
              <w:rPr>
                <w:b/>
                <w:sz w:val="20"/>
                <w:szCs w:val="20"/>
              </w:rPr>
              <w:t xml:space="preserve">Ley General sobre Medio Ambiente y Recursos Naturales (Ley No. 64-00) </w:t>
            </w:r>
          </w:p>
        </w:tc>
        <w:tc>
          <w:tcPr>
            <w:tcW w:w="2840" w:type="dxa"/>
          </w:tcPr>
          <w:p w14:paraId="77FDA61B" w14:textId="4AE05548" w:rsidR="0070272F" w:rsidRPr="009A27ED" w:rsidRDefault="0070272F" w:rsidP="00AF66EF">
            <w:pPr>
              <w:spacing w:before="100" w:beforeAutospacing="1" w:after="100" w:afterAutospacing="1"/>
              <w:ind w:left="34"/>
              <w:cnfStyle w:val="000000000000" w:firstRow="0" w:lastRow="0" w:firstColumn="0" w:lastColumn="0" w:oddVBand="0" w:evenVBand="0" w:oddHBand="0" w:evenHBand="0" w:firstRowFirstColumn="0" w:firstRowLastColumn="0" w:lastRowFirstColumn="0" w:lastRowLastColumn="0"/>
              <w:rPr>
                <w:color w:val="000000"/>
                <w:sz w:val="20"/>
                <w:szCs w:val="20"/>
                <w:shd w:val="clear" w:color="auto" w:fill="FFFFFF"/>
                <w:lang w:eastAsia="es-ES"/>
              </w:rPr>
            </w:pPr>
            <w:r w:rsidRPr="009A27ED">
              <w:rPr>
                <w:color w:val="000000" w:themeColor="text1"/>
                <w:sz w:val="20"/>
                <w:szCs w:val="20"/>
              </w:rPr>
              <w:t xml:space="preserve">, Esta señala en su </w:t>
            </w:r>
            <w:r w:rsidRPr="009A27ED">
              <w:rPr>
                <w:b/>
                <w:bCs/>
                <w:color w:val="000000"/>
                <w:sz w:val="20"/>
                <w:szCs w:val="20"/>
                <w:lang w:eastAsia="es-ES"/>
              </w:rPr>
              <w:t xml:space="preserve">Artículo 3 </w:t>
            </w:r>
            <w:r w:rsidR="001B6C5C" w:rsidRPr="009A27ED">
              <w:rPr>
                <w:b/>
                <w:bCs/>
                <w:color w:val="000000"/>
                <w:sz w:val="20"/>
                <w:szCs w:val="20"/>
                <w:lang w:eastAsia="es-ES"/>
              </w:rPr>
              <w:t xml:space="preserve">que: </w:t>
            </w:r>
            <w:r w:rsidR="001B6C5C" w:rsidRPr="009A27ED">
              <w:rPr>
                <w:color w:val="000000"/>
                <w:sz w:val="20"/>
                <w:szCs w:val="20"/>
                <w:lang w:eastAsia="es-ES"/>
              </w:rPr>
              <w:t>“</w:t>
            </w:r>
            <w:r w:rsidR="001B6C5C" w:rsidRPr="009A27ED">
              <w:rPr>
                <w:i/>
                <w:color w:val="000000"/>
                <w:sz w:val="20"/>
                <w:szCs w:val="20"/>
                <w:shd w:val="clear" w:color="auto" w:fill="FFFFFF"/>
                <w:lang w:eastAsia="es-ES"/>
              </w:rPr>
              <w:t>Los</w:t>
            </w:r>
            <w:r w:rsidRPr="009A27ED">
              <w:rPr>
                <w:i/>
                <w:color w:val="000000"/>
                <w:sz w:val="20"/>
                <w:szCs w:val="20"/>
                <w:shd w:val="clear" w:color="auto" w:fill="FFFFFF"/>
                <w:lang w:eastAsia="es-ES"/>
              </w:rPr>
              <w:t xml:space="preserve"> recursos naturales y el medio ambiente son patrimonio común de la nación y un elemento esencial para el desarrollo sostenible del país”</w:t>
            </w:r>
            <w:r w:rsidRPr="009A27ED">
              <w:rPr>
                <w:color w:val="000000"/>
                <w:sz w:val="20"/>
                <w:szCs w:val="20"/>
                <w:shd w:val="clear" w:color="auto" w:fill="FFFFFF"/>
                <w:lang w:eastAsia="es-ES"/>
              </w:rPr>
              <w:t xml:space="preserve">. Además, plantea en el </w:t>
            </w:r>
            <w:r w:rsidRPr="009A27ED">
              <w:rPr>
                <w:b/>
                <w:bCs/>
                <w:color w:val="000000"/>
                <w:sz w:val="20"/>
                <w:szCs w:val="20"/>
                <w:lang w:eastAsia="es-ES"/>
              </w:rPr>
              <w:t xml:space="preserve">Artículo </w:t>
            </w:r>
            <w:r w:rsidR="00AF66EF" w:rsidRPr="009A27ED">
              <w:rPr>
                <w:b/>
                <w:bCs/>
                <w:color w:val="000000"/>
                <w:sz w:val="20"/>
                <w:szCs w:val="20"/>
                <w:lang w:eastAsia="es-ES"/>
              </w:rPr>
              <w:t>7.que:</w:t>
            </w:r>
            <w:r w:rsidRPr="009A27ED">
              <w:rPr>
                <w:b/>
                <w:bCs/>
                <w:color w:val="000000"/>
                <w:sz w:val="20"/>
                <w:szCs w:val="20"/>
                <w:lang w:eastAsia="es-ES"/>
              </w:rPr>
              <w:t xml:space="preserve"> “</w:t>
            </w:r>
            <w:r w:rsidRPr="009A27ED">
              <w:rPr>
                <w:i/>
                <w:color w:val="000000"/>
                <w:sz w:val="20"/>
                <w:szCs w:val="20"/>
                <w:shd w:val="clear" w:color="auto" w:fill="FFFFFF"/>
                <w:lang w:eastAsia="es-ES"/>
              </w:rPr>
              <w:t xml:space="preserve">Los programas de protección del medio ambiente y los recursos naturales deberán estar integrados con los planes y programas generales de desarrollo económico y social, de modo que se dé a los problemas correspondientes un enfoque común y se busquen soluciones sostenibles, sujetas a un régimen de prioridades en la aplicación de las políticas </w:t>
            </w:r>
            <w:r w:rsidRPr="009A27ED">
              <w:rPr>
                <w:i/>
                <w:color w:val="000000"/>
                <w:sz w:val="20"/>
                <w:szCs w:val="20"/>
                <w:shd w:val="clear" w:color="auto" w:fill="FFFFFF"/>
                <w:lang w:eastAsia="es-ES"/>
              </w:rPr>
              <w:lastRenderedPageBreak/>
              <w:t>sectoriales y en la utilización y conservación de los recursos</w:t>
            </w:r>
            <w:r w:rsidRPr="009A27ED">
              <w:rPr>
                <w:color w:val="000000"/>
                <w:sz w:val="20"/>
                <w:szCs w:val="20"/>
                <w:shd w:val="clear" w:color="auto" w:fill="FFFFFF"/>
                <w:lang w:eastAsia="es-ES"/>
              </w:rPr>
              <w:t>”.</w:t>
            </w:r>
          </w:p>
          <w:p w14:paraId="58DA55BD" w14:textId="77777777" w:rsidR="0070272F" w:rsidRPr="009A27ED" w:rsidRDefault="0070272F" w:rsidP="00AF66EF">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color w:val="000000"/>
                <w:sz w:val="20"/>
                <w:szCs w:val="20"/>
                <w:shd w:val="clear" w:color="auto" w:fill="FFFFFF"/>
                <w:lang w:eastAsia="es-ES"/>
              </w:rPr>
            </w:pPr>
            <w:r w:rsidRPr="009A27ED">
              <w:rPr>
                <w:bCs/>
                <w:color w:val="000000"/>
                <w:sz w:val="20"/>
                <w:szCs w:val="20"/>
                <w:lang w:eastAsia="es-ES"/>
              </w:rPr>
              <w:t>Los objetivos de la ley hacen referencia a los medios y las formas que se utilizan en la legislación nacional para lograr la protección de hábitats naturales; señala en el</w:t>
            </w:r>
            <w:r w:rsidRPr="009A27ED">
              <w:rPr>
                <w:b/>
                <w:bCs/>
                <w:color w:val="000000"/>
                <w:sz w:val="20"/>
                <w:szCs w:val="20"/>
                <w:lang w:eastAsia="es-ES"/>
              </w:rPr>
              <w:t xml:space="preserve"> Artículo 15: </w:t>
            </w:r>
            <w:r w:rsidRPr="009A27ED">
              <w:rPr>
                <w:color w:val="000000"/>
                <w:sz w:val="20"/>
                <w:szCs w:val="20"/>
                <w:lang w:eastAsia="es-ES"/>
              </w:rPr>
              <w:t>“</w:t>
            </w:r>
            <w:r w:rsidRPr="009A27ED">
              <w:rPr>
                <w:i/>
                <w:color w:val="000000"/>
                <w:sz w:val="20"/>
                <w:szCs w:val="20"/>
                <w:shd w:val="clear" w:color="auto" w:fill="FFFFFF"/>
                <w:lang w:eastAsia="es-ES"/>
              </w:rPr>
              <w:t xml:space="preserve">Son objetivos particulares de la presente ley: numeral </w:t>
            </w:r>
            <w:r w:rsidRPr="009A27ED">
              <w:rPr>
                <w:b/>
                <w:i/>
                <w:color w:val="000000"/>
                <w:sz w:val="20"/>
                <w:szCs w:val="20"/>
                <w:shd w:val="clear" w:color="auto" w:fill="FFFFFF"/>
                <w:lang w:eastAsia="es-ES"/>
              </w:rPr>
              <w:t>2.</w:t>
            </w:r>
            <w:r w:rsidRPr="009A27ED">
              <w:rPr>
                <w:i/>
                <w:color w:val="000000"/>
                <w:sz w:val="20"/>
                <w:szCs w:val="20"/>
                <w:shd w:val="clear" w:color="auto" w:fill="FFFFFF"/>
                <w:lang w:eastAsia="es-ES"/>
              </w:rPr>
              <w:t xml:space="preserve"> Establecer los medios, formas y oportunidades para la conservación y el uso sostenible de los recursos naturales, reconociendo su valor real, que incluye los servicios ambientales que éstos brindan, dentro de una planificación nacional fundamentada en el desarrollo sostenible, con equidad y justicia social</w:t>
            </w:r>
            <w:r w:rsidRPr="009A27ED">
              <w:rPr>
                <w:color w:val="000000"/>
                <w:sz w:val="20"/>
                <w:szCs w:val="20"/>
                <w:shd w:val="clear" w:color="auto" w:fill="FFFFFF"/>
                <w:lang w:eastAsia="es-ES"/>
              </w:rPr>
              <w:t>”;</w:t>
            </w:r>
          </w:p>
          <w:p w14:paraId="4B181E48" w14:textId="77777777" w:rsidR="0070272F" w:rsidRPr="009A27ED" w:rsidRDefault="0070272F" w:rsidP="00AF66EF">
            <w:pPr>
              <w:spacing w:before="100" w:beforeAutospacing="1" w:after="100" w:afterAutospacing="1"/>
              <w:ind w:left="65"/>
              <w:cnfStyle w:val="000000000000" w:firstRow="0" w:lastRow="0" w:firstColumn="0" w:lastColumn="0" w:oddVBand="0" w:evenVBand="0" w:oddHBand="0" w:evenHBand="0" w:firstRowFirstColumn="0" w:firstRowLastColumn="0" w:lastRowFirstColumn="0" w:lastRowLastColumn="0"/>
              <w:rPr>
                <w:bCs/>
                <w:color w:val="000000"/>
                <w:sz w:val="20"/>
                <w:szCs w:val="20"/>
                <w:lang w:eastAsia="es-ES"/>
              </w:rPr>
            </w:pPr>
            <w:r w:rsidRPr="009A27ED">
              <w:rPr>
                <w:bCs/>
                <w:color w:val="000000"/>
                <w:sz w:val="20"/>
                <w:szCs w:val="20"/>
                <w:lang w:eastAsia="es-ES"/>
              </w:rPr>
              <w:t>A este efecto, establece criterios para la protección, uso y manejo de las aguas (Arts. 86 al 89 y 126 al 135), gestión y protección de los suelos (Arts. 90 al 91 y 120 al 125), protección, uso y manejo de las áreas protegidas (Arts. 33 al 37), conservación, acceso y aprovechamiento sostenible de la diversidad biológica (Arts. 136 al 144), protección, usufructo y explotación de los recursos costeros y marinos (Arts. 145 al 153) y manejo, uso y aprovechamiento de los bosques (Arts. 154 al 159).</w:t>
            </w:r>
          </w:p>
          <w:p w14:paraId="774E9C33" w14:textId="77777777" w:rsidR="0070272F" w:rsidRPr="009A27ED" w:rsidRDefault="0070272F" w:rsidP="00AF66EF">
            <w:pPr>
              <w:spacing w:before="100" w:beforeAutospacing="1" w:after="100" w:afterAutospacing="1"/>
              <w:ind w:left="34"/>
              <w:cnfStyle w:val="000000000000" w:firstRow="0" w:lastRow="0" w:firstColumn="0" w:lastColumn="0" w:oddVBand="0" w:evenVBand="0" w:oddHBand="0" w:evenHBand="0" w:firstRowFirstColumn="0" w:firstRowLastColumn="0" w:lastRowFirstColumn="0" w:lastRowLastColumn="0"/>
              <w:rPr>
                <w:color w:val="000000"/>
                <w:sz w:val="20"/>
                <w:szCs w:val="20"/>
                <w:shd w:val="clear" w:color="auto" w:fill="FFFFFF"/>
                <w:lang w:eastAsia="es-ES"/>
              </w:rPr>
            </w:pPr>
            <w:r w:rsidRPr="009A27ED">
              <w:rPr>
                <w:bCs/>
                <w:color w:val="000000"/>
                <w:sz w:val="20"/>
                <w:szCs w:val="20"/>
                <w:lang w:eastAsia="es-ES"/>
              </w:rPr>
              <w:t xml:space="preserve"> </w:t>
            </w:r>
          </w:p>
        </w:tc>
        <w:tc>
          <w:tcPr>
            <w:tcW w:w="2546" w:type="dxa"/>
          </w:tcPr>
          <w:p w14:paraId="1DCB4DE3" w14:textId="0CA5D35C" w:rsidR="0070272F" w:rsidRPr="009A27ED" w:rsidRDefault="001B6C5C" w:rsidP="00AF66EF">
            <w:pPr>
              <w:spacing w:before="100" w:beforeAutospacing="1" w:after="100" w:afterAutospacing="1"/>
              <w:ind w:left="34"/>
              <w:cnfStyle w:val="000000000000" w:firstRow="0" w:lastRow="0" w:firstColumn="0" w:lastColumn="0" w:oddVBand="0" w:evenVBand="0" w:oddHBand="0" w:evenHBand="0" w:firstRowFirstColumn="0" w:firstRowLastColumn="0" w:lastRowFirstColumn="0" w:lastRowLastColumn="0"/>
              <w:rPr>
                <w:sz w:val="20"/>
                <w:szCs w:val="20"/>
              </w:rPr>
            </w:pPr>
            <w:r w:rsidRPr="009A27ED">
              <w:rPr>
                <w:color w:val="000000" w:themeColor="text1"/>
                <w:sz w:val="20"/>
                <w:szCs w:val="20"/>
              </w:rPr>
              <w:lastRenderedPageBreak/>
              <w:t xml:space="preserve">El desarrollo sostenible en armonía con el ambiente, a través de la protección, conservación, mantenimiento y rehabilitación de hábitats naturales y sus funciones, es uno de los planteamientos fundamentales de la Ley General de Medio Ambiente y Recursos Naturales. </w:t>
            </w:r>
            <w:r w:rsidRPr="009A27ED">
              <w:rPr>
                <w:sz w:val="20"/>
                <w:szCs w:val="20"/>
              </w:rPr>
              <w:t xml:space="preserve">En este sentido, toma en consideración la conservación de las especies de flora y fauna nativas y endémicas, así como la preservación de los ecosistemas naturales que sirven de hábitat a estas y </w:t>
            </w:r>
            <w:r w:rsidRPr="009A27ED">
              <w:rPr>
                <w:sz w:val="20"/>
                <w:szCs w:val="20"/>
              </w:rPr>
              <w:lastRenderedPageBreak/>
              <w:t>cuya supervivencia depende de los mismos.</w:t>
            </w:r>
          </w:p>
          <w:p w14:paraId="1B77AC99" w14:textId="77777777" w:rsidR="0070272F" w:rsidRPr="009A27ED" w:rsidRDefault="0070272F" w:rsidP="00AF66EF">
            <w:pPr>
              <w:spacing w:before="100" w:beforeAutospacing="1" w:after="100" w:afterAutospacing="1"/>
              <w:ind w:left="34"/>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A27ED">
              <w:rPr>
                <w:sz w:val="20"/>
                <w:szCs w:val="20"/>
              </w:rPr>
              <w:t>Asimismo, ordena la protección y conservación de los hábitats naturales y sus componentes, conforme a criterios específicos para su protección y resguardo (uso, protección y manejo de las aguas, suelos, áreas protegidas, diversidad bilógica, recursos costeros y marinos y bosques).</w:t>
            </w:r>
          </w:p>
          <w:p w14:paraId="592526B9" w14:textId="77777777" w:rsidR="0070272F" w:rsidRPr="009A27ED" w:rsidRDefault="0070272F" w:rsidP="00AF66EF">
            <w:pPr>
              <w:spacing w:before="100" w:beforeAutospacing="1" w:after="100" w:afterAutospacing="1"/>
              <w:ind w:left="34"/>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p>
        </w:tc>
        <w:tc>
          <w:tcPr>
            <w:tcW w:w="2268" w:type="dxa"/>
          </w:tcPr>
          <w:p w14:paraId="014B6971" w14:textId="77777777" w:rsidR="0070272F" w:rsidRPr="009A27ED" w:rsidRDefault="0070272F" w:rsidP="00AF66EF">
            <w:pPr>
              <w:spacing w:before="100" w:beforeAutospacing="1" w:after="100" w:afterAutospacing="1"/>
              <w:ind w:left="34"/>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A27ED">
              <w:rPr>
                <w:sz w:val="20"/>
                <w:szCs w:val="20"/>
              </w:rPr>
              <w:lastRenderedPageBreak/>
              <w:t xml:space="preserve">No se observan vacíos legales </w:t>
            </w:r>
          </w:p>
        </w:tc>
        <w:tc>
          <w:tcPr>
            <w:tcW w:w="3124" w:type="dxa"/>
          </w:tcPr>
          <w:p w14:paraId="4518CC8C" w14:textId="77777777" w:rsidR="0070272F" w:rsidRPr="009A27ED" w:rsidRDefault="0070272F" w:rsidP="00AF66EF">
            <w:pPr>
              <w:pStyle w:val="Default"/>
              <w:numPr>
                <w:ilvl w:val="0"/>
                <w:numId w:val="263"/>
              </w:numPr>
              <w:ind w:left="391"/>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sz w:val="20"/>
                <w:szCs w:val="20"/>
                <w:lang w:val="es-ES"/>
              </w:rPr>
            </w:pPr>
            <w:r w:rsidRPr="009A27ED">
              <w:rPr>
                <w:rFonts w:asciiTheme="minorHAnsi" w:hAnsiTheme="minorHAnsi" w:cstheme="minorHAnsi"/>
                <w:color w:val="000000" w:themeColor="text1"/>
                <w:sz w:val="20"/>
                <w:szCs w:val="20"/>
                <w:lang w:val="es-DO"/>
              </w:rPr>
              <w:t xml:space="preserve">Sin embargo, deberá fortalecerse </w:t>
            </w:r>
            <w:r w:rsidRPr="009A27ED">
              <w:rPr>
                <w:rFonts w:asciiTheme="minorHAnsi" w:hAnsiTheme="minorHAnsi" w:cstheme="minorHAnsi"/>
                <w:sz w:val="20"/>
                <w:szCs w:val="20"/>
                <w:lang w:val="es-DO"/>
              </w:rPr>
              <w:t xml:space="preserve">la capacidad institucional para poner en práctica los criterios de conservación planteados en la ley, asegurando una formulación y ejecución adecuada de las medidas de mitigación. </w:t>
            </w:r>
          </w:p>
          <w:p w14:paraId="636BEF0D" w14:textId="77777777" w:rsidR="0070272F" w:rsidRPr="009A27ED" w:rsidRDefault="0070272F" w:rsidP="00AF66EF">
            <w:pPr>
              <w:pStyle w:val="Default"/>
              <w:ind w:left="391"/>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sz w:val="20"/>
                <w:szCs w:val="20"/>
                <w:lang w:val="es-ES"/>
              </w:rPr>
            </w:pPr>
          </w:p>
          <w:p w14:paraId="3EBEA302" w14:textId="77777777" w:rsidR="0070272F" w:rsidRPr="009A27ED" w:rsidRDefault="0070272F" w:rsidP="00AF66EF">
            <w:pPr>
              <w:pStyle w:val="Default"/>
              <w:numPr>
                <w:ilvl w:val="0"/>
                <w:numId w:val="263"/>
              </w:numPr>
              <w:ind w:left="391"/>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sz w:val="20"/>
                <w:szCs w:val="20"/>
                <w:lang w:val="es-ES"/>
              </w:rPr>
            </w:pPr>
            <w:r w:rsidRPr="009A27ED">
              <w:rPr>
                <w:rFonts w:asciiTheme="minorHAnsi" w:hAnsiTheme="minorHAnsi" w:cstheme="minorHAnsi"/>
                <w:sz w:val="20"/>
                <w:szCs w:val="20"/>
                <w:lang w:val="es-DO"/>
              </w:rPr>
              <w:t>Se implementarán los lineamientos establecidos en el MGAS para la OP 4.04</w:t>
            </w:r>
          </w:p>
          <w:p w14:paraId="32806309" w14:textId="77777777" w:rsidR="0070272F" w:rsidRPr="009A27ED" w:rsidRDefault="0070272F" w:rsidP="00AF66EF">
            <w:pPr>
              <w:pStyle w:val="Default"/>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sz w:val="20"/>
                <w:szCs w:val="20"/>
                <w:lang w:val="es-DO"/>
              </w:rPr>
            </w:pPr>
          </w:p>
        </w:tc>
      </w:tr>
      <w:tr w:rsidR="0070272F" w:rsidRPr="009A27ED" w14:paraId="5CE98AD2" w14:textId="77777777" w:rsidTr="00AF66EF">
        <w:trPr>
          <w:trHeight w:val="835"/>
        </w:trPr>
        <w:tc>
          <w:tcPr>
            <w:cnfStyle w:val="001000000000" w:firstRow="0" w:lastRow="0" w:firstColumn="1" w:lastColumn="0" w:oddVBand="0" w:evenVBand="0" w:oddHBand="0" w:evenHBand="0" w:firstRowFirstColumn="0" w:firstRowLastColumn="0" w:lastRowFirstColumn="0" w:lastRowLastColumn="0"/>
            <w:tcW w:w="2836" w:type="dxa"/>
          </w:tcPr>
          <w:p w14:paraId="57F542BD" w14:textId="77777777" w:rsidR="0070272F" w:rsidRPr="009A27ED" w:rsidRDefault="0070272F" w:rsidP="00AF66EF">
            <w:pPr>
              <w:rPr>
                <w:sz w:val="20"/>
                <w:szCs w:val="20"/>
              </w:rPr>
            </w:pPr>
          </w:p>
        </w:tc>
        <w:tc>
          <w:tcPr>
            <w:tcW w:w="1554" w:type="dxa"/>
          </w:tcPr>
          <w:p w14:paraId="770E363C" w14:textId="77777777" w:rsidR="0070272F" w:rsidRPr="009A27ED" w:rsidRDefault="0070272F" w:rsidP="00AF66EF">
            <w:pPr>
              <w:spacing w:after="34" w:line="249" w:lineRule="auto"/>
              <w:jc w:val="left"/>
              <w:cnfStyle w:val="000000000000" w:firstRow="0" w:lastRow="0" w:firstColumn="0" w:lastColumn="0" w:oddVBand="0" w:evenVBand="0" w:oddHBand="0" w:evenHBand="0" w:firstRowFirstColumn="0" w:firstRowLastColumn="0" w:lastRowFirstColumn="0" w:lastRowLastColumn="0"/>
              <w:rPr>
                <w:b/>
                <w:sz w:val="20"/>
                <w:szCs w:val="20"/>
              </w:rPr>
            </w:pPr>
            <w:r w:rsidRPr="009A27ED">
              <w:rPr>
                <w:b/>
                <w:sz w:val="20"/>
                <w:szCs w:val="20"/>
              </w:rPr>
              <w:t xml:space="preserve">Ley Orgánica de la Estrategia Nacional de Desarrollo de la República Dominicana 2030 (Ley 1-12)  </w:t>
            </w:r>
          </w:p>
          <w:p w14:paraId="77438A03" w14:textId="77777777" w:rsidR="0070272F" w:rsidRPr="009A27ED" w:rsidRDefault="0070272F" w:rsidP="00AF66EF">
            <w:pPr>
              <w:spacing w:after="11" w:line="249" w:lineRule="auto"/>
              <w:ind w:left="720"/>
              <w:jc w:val="left"/>
              <w:cnfStyle w:val="000000000000" w:firstRow="0" w:lastRow="0" w:firstColumn="0" w:lastColumn="0" w:oddVBand="0" w:evenVBand="0" w:oddHBand="0" w:evenHBand="0" w:firstRowFirstColumn="0" w:firstRowLastColumn="0" w:lastRowFirstColumn="0" w:lastRowLastColumn="0"/>
              <w:rPr>
                <w:b/>
                <w:sz w:val="20"/>
                <w:szCs w:val="20"/>
              </w:rPr>
            </w:pPr>
          </w:p>
        </w:tc>
        <w:tc>
          <w:tcPr>
            <w:tcW w:w="2840" w:type="dxa"/>
          </w:tcPr>
          <w:p w14:paraId="75129CC8"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b/>
                <w:sz w:val="20"/>
                <w:szCs w:val="20"/>
              </w:rPr>
            </w:pPr>
            <w:r w:rsidRPr="009A27ED">
              <w:rPr>
                <w:sz w:val="20"/>
                <w:szCs w:val="20"/>
              </w:rPr>
              <w:t>En ese tema d</w:t>
            </w:r>
            <w:r w:rsidRPr="009A27ED">
              <w:rPr>
                <w:color w:val="000000" w:themeColor="text1"/>
                <w:sz w:val="20"/>
                <w:szCs w:val="20"/>
              </w:rPr>
              <w:t xml:space="preserve">el desarrollo sostenible en armonía con el ambiente, a través de la protección, conservación, mantenimiento y rehabilitación de hábitats naturales y sus funciones, la Ley 1-12, establece sus lineamientos, según señala el </w:t>
            </w:r>
            <w:r w:rsidRPr="009A27ED">
              <w:rPr>
                <w:b/>
                <w:sz w:val="20"/>
                <w:szCs w:val="20"/>
              </w:rPr>
              <w:t xml:space="preserve">Objetivo General 4.1 Manejo </w:t>
            </w:r>
            <w:r w:rsidRPr="009A27ED">
              <w:rPr>
                <w:b/>
                <w:sz w:val="20"/>
                <w:szCs w:val="20"/>
              </w:rPr>
              <w:lastRenderedPageBreak/>
              <w:t xml:space="preserve">sostenible del medio ambiente </w:t>
            </w:r>
            <w:r w:rsidRPr="009A27ED">
              <w:rPr>
                <w:sz w:val="20"/>
                <w:szCs w:val="20"/>
              </w:rPr>
              <w:t xml:space="preserve">y su Objetivo Especifico </w:t>
            </w:r>
            <w:r w:rsidRPr="009A27ED">
              <w:rPr>
                <w:b/>
                <w:sz w:val="20"/>
                <w:szCs w:val="20"/>
              </w:rPr>
              <w:t xml:space="preserve">4.1.1 </w:t>
            </w:r>
            <w:r w:rsidRPr="009A27ED">
              <w:rPr>
                <w:sz w:val="20"/>
                <w:szCs w:val="20"/>
              </w:rPr>
              <w:t>Proteger y usar de forma sostenible los bienes y servicios de los ecosistemas, la biodiversidad y el patrimonio natural de la nación, incluidos los recursos marinos.</w:t>
            </w:r>
            <w:r w:rsidRPr="009A27ED">
              <w:rPr>
                <w:b/>
                <w:sz w:val="20"/>
                <w:szCs w:val="20"/>
              </w:rPr>
              <w:t xml:space="preserve"> </w:t>
            </w:r>
          </w:p>
          <w:p w14:paraId="6615A30F"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Se plantea en la Línea de Acción</w:t>
            </w:r>
            <w:r w:rsidRPr="009A27ED">
              <w:rPr>
                <w:b/>
                <w:sz w:val="20"/>
                <w:szCs w:val="20"/>
              </w:rPr>
              <w:t xml:space="preserve"> 4.1.1.1 </w:t>
            </w:r>
            <w:r w:rsidRPr="009A27ED">
              <w:rPr>
                <w:sz w:val="20"/>
                <w:szCs w:val="20"/>
              </w:rPr>
              <w:t xml:space="preserve">Fortalecer, a nivel nacional, regional y local, la institucionalidad, el marco regulatorio y los mecanismos de penalización para garantizar la protección del medio ambiente conforme a los principios del desarrollo sostenible. También plantea la Línea de Acción </w:t>
            </w:r>
            <w:r w:rsidRPr="009A27ED">
              <w:rPr>
                <w:b/>
                <w:sz w:val="20"/>
                <w:szCs w:val="20"/>
              </w:rPr>
              <w:t xml:space="preserve">4.1.1.4 </w:t>
            </w:r>
            <w:r w:rsidRPr="009A27ED">
              <w:rPr>
                <w:sz w:val="20"/>
                <w:szCs w:val="20"/>
              </w:rPr>
              <w:t>Establecer prioridades de inversión pública en las Grandes Regiones Estratégicas de Planificación del Desarrollo, en función de la sostenibilidad ambiental de cada una de ellas.</w:t>
            </w:r>
          </w:p>
          <w:p w14:paraId="671D60C5"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b/>
                <w:sz w:val="20"/>
                <w:szCs w:val="20"/>
              </w:rPr>
            </w:pPr>
            <w:r w:rsidRPr="009A27ED">
              <w:rPr>
                <w:sz w:val="20"/>
                <w:szCs w:val="20"/>
              </w:rPr>
              <w:t>Otras de las Líneas de Acción que se refieren a ese tópico es la</w:t>
            </w:r>
            <w:r w:rsidRPr="009A27ED">
              <w:rPr>
                <w:b/>
                <w:sz w:val="20"/>
                <w:szCs w:val="20"/>
              </w:rPr>
              <w:t xml:space="preserve"> 4.1.1.5 </w:t>
            </w:r>
            <w:r w:rsidRPr="009A27ED">
              <w:rPr>
                <w:sz w:val="20"/>
                <w:szCs w:val="20"/>
              </w:rPr>
              <w:t>Fortalecer las capacidades profesionales y recursos tecnológicos para la gestión ambiental y el desarrollo sostenible a partir de las potencialidades que presentan las Grandes Regiones Estratégicas de Planificación.</w:t>
            </w:r>
          </w:p>
        </w:tc>
        <w:tc>
          <w:tcPr>
            <w:tcW w:w="2546" w:type="dxa"/>
          </w:tcPr>
          <w:p w14:paraId="6D165C1A"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lastRenderedPageBreak/>
              <w:t xml:space="preserve">Conforme al objetivo general 4.1, sus objetivos específicos y líneas de acción, la Ley 1-12, procura una sociedad de producción y consumo ambientalmente sostenible que se adapta al cambio climático y promueve la </w:t>
            </w:r>
            <w:r w:rsidRPr="009A27ED">
              <w:rPr>
                <w:sz w:val="20"/>
                <w:szCs w:val="20"/>
              </w:rPr>
              <w:lastRenderedPageBreak/>
              <w:t>protección de los recursos y los hábitats naturales.</w:t>
            </w:r>
          </w:p>
          <w:p w14:paraId="0DD838ED"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Las disposiciones contenidas </w:t>
            </w:r>
            <w:r w:rsidRPr="009A27ED">
              <w:rPr>
                <w:color w:val="000000"/>
                <w:sz w:val="20"/>
                <w:szCs w:val="20"/>
                <w:shd w:val="clear" w:color="auto" w:fill="FFFFFF"/>
                <w:lang w:eastAsia="es-ES"/>
              </w:rPr>
              <w:t>en su Cuarto Eje Estratégico y que se relacionan con esta política operativa apuntan hacia el cumplimiento de las normativas existentes y el fortalecimiento de los mecanismos de fiscalización para procurar la protección de los hábitats naturales conforme a los principios de desarrollo sostenible enunciados en esta estrategia.</w:t>
            </w:r>
          </w:p>
        </w:tc>
        <w:tc>
          <w:tcPr>
            <w:tcW w:w="2268" w:type="dxa"/>
          </w:tcPr>
          <w:p w14:paraId="3B0C89BB"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lastRenderedPageBreak/>
              <w:t>No se observan vacíos legales</w:t>
            </w:r>
          </w:p>
        </w:tc>
        <w:tc>
          <w:tcPr>
            <w:tcW w:w="3124" w:type="dxa"/>
          </w:tcPr>
          <w:p w14:paraId="6B0C9629"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p>
        </w:tc>
      </w:tr>
      <w:tr w:rsidR="0070272F" w:rsidRPr="009A27ED" w14:paraId="63E1C4F0" w14:textId="77777777" w:rsidTr="00AF66EF">
        <w:trPr>
          <w:trHeight w:val="835"/>
        </w:trPr>
        <w:tc>
          <w:tcPr>
            <w:cnfStyle w:val="001000000000" w:firstRow="0" w:lastRow="0" w:firstColumn="1" w:lastColumn="0" w:oddVBand="0" w:evenVBand="0" w:oddHBand="0" w:evenHBand="0" w:firstRowFirstColumn="0" w:firstRowLastColumn="0" w:lastRowFirstColumn="0" w:lastRowLastColumn="0"/>
            <w:tcW w:w="2836" w:type="dxa"/>
          </w:tcPr>
          <w:p w14:paraId="067F71BC" w14:textId="77777777" w:rsidR="0070272F" w:rsidRPr="009A27ED" w:rsidRDefault="0070272F" w:rsidP="00AF66EF">
            <w:pPr>
              <w:rPr>
                <w:sz w:val="20"/>
                <w:szCs w:val="20"/>
              </w:rPr>
            </w:pPr>
          </w:p>
        </w:tc>
        <w:tc>
          <w:tcPr>
            <w:tcW w:w="1554" w:type="dxa"/>
          </w:tcPr>
          <w:p w14:paraId="623AEBCC" w14:textId="77777777" w:rsidR="0070272F" w:rsidRPr="009A27ED" w:rsidRDefault="0070272F" w:rsidP="00AF66EF">
            <w:pPr>
              <w:jc w:val="left"/>
              <w:cnfStyle w:val="000000000000" w:firstRow="0" w:lastRow="0" w:firstColumn="0" w:lastColumn="0" w:oddVBand="0" w:evenVBand="0" w:oddHBand="0" w:evenHBand="0" w:firstRowFirstColumn="0" w:firstRowLastColumn="0" w:lastRowFirstColumn="0" w:lastRowLastColumn="0"/>
              <w:rPr>
                <w:b/>
                <w:sz w:val="20"/>
                <w:szCs w:val="20"/>
              </w:rPr>
            </w:pPr>
            <w:r w:rsidRPr="009A27ED">
              <w:rPr>
                <w:b/>
                <w:sz w:val="20"/>
                <w:szCs w:val="20"/>
              </w:rPr>
              <w:t>Ley Sectorial de Áreas Protegidas y Biodiversidad (Ley No. 202-04)</w:t>
            </w:r>
          </w:p>
          <w:p w14:paraId="0974DB49" w14:textId="77777777" w:rsidR="0070272F" w:rsidRPr="009A27ED" w:rsidRDefault="0070272F" w:rsidP="00AF66EF">
            <w:pPr>
              <w:spacing w:after="34" w:line="249" w:lineRule="auto"/>
              <w:ind w:left="720"/>
              <w:jc w:val="left"/>
              <w:cnfStyle w:val="000000000000" w:firstRow="0" w:lastRow="0" w:firstColumn="0" w:lastColumn="0" w:oddVBand="0" w:evenVBand="0" w:oddHBand="0" w:evenHBand="0" w:firstRowFirstColumn="0" w:firstRowLastColumn="0" w:lastRowFirstColumn="0" w:lastRowLastColumn="0"/>
              <w:rPr>
                <w:b/>
                <w:sz w:val="20"/>
                <w:szCs w:val="20"/>
              </w:rPr>
            </w:pPr>
          </w:p>
        </w:tc>
        <w:tc>
          <w:tcPr>
            <w:tcW w:w="2840" w:type="dxa"/>
          </w:tcPr>
          <w:p w14:paraId="630D41C1" w14:textId="2F25B181"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color w:val="000000" w:themeColor="text1"/>
                <w:sz w:val="20"/>
                <w:szCs w:val="20"/>
              </w:rPr>
              <w:t xml:space="preserve">, La Ley No. 202-04, establece en su </w:t>
            </w:r>
            <w:r w:rsidRPr="009A27ED">
              <w:rPr>
                <w:b/>
                <w:sz w:val="20"/>
                <w:szCs w:val="20"/>
              </w:rPr>
              <w:t xml:space="preserve">Principio No. 3 </w:t>
            </w:r>
            <w:r w:rsidRPr="009A27ED">
              <w:rPr>
                <w:sz w:val="20"/>
                <w:szCs w:val="20"/>
              </w:rPr>
              <w:t>que</w:t>
            </w:r>
            <w:r w:rsidRPr="009A27ED">
              <w:rPr>
                <w:b/>
                <w:sz w:val="20"/>
                <w:szCs w:val="20"/>
              </w:rPr>
              <w:t>: “</w:t>
            </w:r>
            <w:r w:rsidRPr="009A27ED">
              <w:rPr>
                <w:i/>
                <w:sz w:val="20"/>
                <w:szCs w:val="20"/>
              </w:rPr>
              <w:t>Las unidades de conservación que conforman el Sistema Nacional de Áreas Protegidas tienen importancia decisiva, ambiental, económica y estratégica para el desarrollo del país</w:t>
            </w:r>
            <w:r w:rsidRPr="009A27ED">
              <w:rPr>
                <w:sz w:val="20"/>
                <w:szCs w:val="20"/>
              </w:rPr>
              <w:t xml:space="preserve">”. </w:t>
            </w:r>
            <w:r w:rsidR="00AF66EF" w:rsidRPr="009A27ED">
              <w:rPr>
                <w:sz w:val="20"/>
                <w:szCs w:val="20"/>
              </w:rPr>
              <w:t>Además,</w:t>
            </w:r>
            <w:r w:rsidRPr="009A27ED">
              <w:rPr>
                <w:sz w:val="20"/>
                <w:szCs w:val="20"/>
              </w:rPr>
              <w:t xml:space="preserve"> su </w:t>
            </w:r>
            <w:r w:rsidRPr="009A27ED">
              <w:rPr>
                <w:b/>
                <w:sz w:val="20"/>
                <w:szCs w:val="20"/>
              </w:rPr>
              <w:t xml:space="preserve">Principio No. 4 </w:t>
            </w:r>
            <w:r w:rsidRPr="009A27ED">
              <w:rPr>
                <w:sz w:val="20"/>
                <w:szCs w:val="20"/>
              </w:rPr>
              <w:t>dispone que</w:t>
            </w:r>
            <w:r w:rsidRPr="009A27ED">
              <w:rPr>
                <w:b/>
                <w:sz w:val="20"/>
                <w:szCs w:val="20"/>
              </w:rPr>
              <w:t>: “</w:t>
            </w:r>
            <w:r w:rsidRPr="009A27ED">
              <w:rPr>
                <w:i/>
                <w:sz w:val="20"/>
                <w:szCs w:val="20"/>
              </w:rPr>
              <w:t xml:space="preserve">El Estado y los particulares velarán porque las áreas protegidas se utilicen en forma sostenible y sean incorporadas racionalmente al desarrollo económico nacional con el cuidado de que las posibilidades </w:t>
            </w:r>
            <w:r w:rsidRPr="009A27ED">
              <w:rPr>
                <w:i/>
                <w:sz w:val="20"/>
                <w:szCs w:val="20"/>
              </w:rPr>
              <w:lastRenderedPageBreak/>
              <w:t>y oportunidades de su uso y sus beneficios se garanticen de manera justa para todos los sectores de la sociedad y para satisfacer las necesidades de las generaciones presentes y futuras</w:t>
            </w:r>
            <w:r w:rsidRPr="009A27ED">
              <w:rPr>
                <w:sz w:val="20"/>
                <w:szCs w:val="20"/>
              </w:rPr>
              <w:t>”.</w:t>
            </w:r>
          </w:p>
          <w:p w14:paraId="0EA078D6"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Su ARTICULO 1 plantea que: “</w:t>
            </w:r>
            <w:r w:rsidRPr="009A27ED">
              <w:rPr>
                <w:b/>
                <w:sz w:val="20"/>
                <w:szCs w:val="20"/>
              </w:rPr>
              <w:t>El objeto de la presente ley es garantizar la conservación y preservación de muestras representativas de los diferentes ecosistemas y del patrimonio natural y cultural de la República Dominicana</w:t>
            </w:r>
            <w:r w:rsidRPr="009A27ED">
              <w:rPr>
                <w:sz w:val="20"/>
                <w:szCs w:val="20"/>
              </w:rPr>
              <w:t xml:space="preserve"> para asegurar la permanencia y optimización de los servicios ambientales y económicos que estos ecosistemas ofrecen o puedan ofrecer a la sociedad dominicana en la presente y futuras generaciones”.</w:t>
            </w:r>
          </w:p>
          <w:p w14:paraId="3D48568D" w14:textId="7DDA84A6"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Los objetivos de esta ley hacen referencia a la conservación de los hábitats </w:t>
            </w:r>
            <w:r w:rsidR="00AF66EF" w:rsidRPr="009A27ED">
              <w:rPr>
                <w:sz w:val="20"/>
                <w:szCs w:val="20"/>
              </w:rPr>
              <w:t>naturales estableciendo</w:t>
            </w:r>
            <w:r w:rsidRPr="009A27ED">
              <w:rPr>
                <w:sz w:val="20"/>
                <w:szCs w:val="20"/>
              </w:rPr>
              <w:t xml:space="preserve"> en </w:t>
            </w:r>
            <w:r w:rsidR="00AF66EF" w:rsidRPr="009A27ED">
              <w:rPr>
                <w:sz w:val="20"/>
                <w:szCs w:val="20"/>
              </w:rPr>
              <w:t xml:space="preserve">su </w:t>
            </w:r>
            <w:r w:rsidR="00AF66EF" w:rsidRPr="009A27ED">
              <w:rPr>
                <w:b/>
                <w:sz w:val="20"/>
                <w:szCs w:val="20"/>
              </w:rPr>
              <w:t>ARTICULO</w:t>
            </w:r>
            <w:r w:rsidRPr="009A27ED">
              <w:rPr>
                <w:b/>
                <w:sz w:val="20"/>
                <w:szCs w:val="20"/>
              </w:rPr>
              <w:t xml:space="preserve"> 4 </w:t>
            </w:r>
            <w:r w:rsidRPr="009A27ED">
              <w:rPr>
                <w:sz w:val="20"/>
                <w:szCs w:val="20"/>
              </w:rPr>
              <w:t>lo siguiente</w:t>
            </w:r>
            <w:r w:rsidRPr="009A27ED">
              <w:rPr>
                <w:b/>
                <w:sz w:val="20"/>
                <w:szCs w:val="20"/>
              </w:rPr>
              <w:t>: “</w:t>
            </w:r>
            <w:r w:rsidRPr="009A27ED">
              <w:rPr>
                <w:i/>
                <w:sz w:val="20"/>
                <w:szCs w:val="20"/>
              </w:rPr>
              <w:t xml:space="preserve">Son objetivos de la presente ley: </w:t>
            </w:r>
            <w:r w:rsidRPr="009A27ED">
              <w:rPr>
                <w:b/>
                <w:i/>
                <w:sz w:val="20"/>
                <w:szCs w:val="20"/>
              </w:rPr>
              <w:t>1)</w:t>
            </w:r>
            <w:r w:rsidRPr="009A27ED">
              <w:rPr>
                <w:i/>
                <w:sz w:val="20"/>
                <w:szCs w:val="20"/>
              </w:rPr>
              <w:t xml:space="preserve"> Integrar la conservación, el uso sostenible y el manejo de las áreas protegidas en el desarrollo de políticas socioculturales, económicas y ambientales, y el pleno disfrute de los bienes y servicios que brinden a la sociedad</w:t>
            </w:r>
            <w:r w:rsidRPr="009A27ED">
              <w:rPr>
                <w:sz w:val="20"/>
                <w:szCs w:val="20"/>
              </w:rPr>
              <w:t xml:space="preserve">”;  </w:t>
            </w:r>
          </w:p>
          <w:p w14:paraId="1B2D2A87"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Además, dispone el</w:t>
            </w:r>
            <w:r w:rsidRPr="009A27ED">
              <w:rPr>
                <w:b/>
                <w:sz w:val="20"/>
                <w:szCs w:val="20"/>
              </w:rPr>
              <w:t xml:space="preserve"> ARTICULO 5 </w:t>
            </w:r>
            <w:r w:rsidRPr="009A27ED">
              <w:rPr>
                <w:sz w:val="20"/>
                <w:szCs w:val="20"/>
              </w:rPr>
              <w:t>que:</w:t>
            </w:r>
            <w:r w:rsidRPr="009A27ED">
              <w:rPr>
                <w:b/>
                <w:sz w:val="20"/>
                <w:szCs w:val="20"/>
              </w:rPr>
              <w:t xml:space="preserve"> “</w:t>
            </w:r>
            <w:r w:rsidRPr="009A27ED">
              <w:rPr>
                <w:i/>
                <w:sz w:val="20"/>
                <w:szCs w:val="20"/>
              </w:rPr>
              <w:t>Son criterios para aplicar la presente ley:</w:t>
            </w:r>
            <w:r w:rsidRPr="009A27ED">
              <w:rPr>
                <w:b/>
                <w:i/>
                <w:sz w:val="20"/>
                <w:szCs w:val="20"/>
              </w:rPr>
              <w:t xml:space="preserve"> 3) </w:t>
            </w:r>
            <w:r w:rsidRPr="009A27ED">
              <w:rPr>
                <w:i/>
                <w:sz w:val="20"/>
                <w:szCs w:val="20"/>
              </w:rPr>
              <w:t>El aprovechamiento de los servicios ambientales de las áreas protegidas, su conservación y uso sostenible, deberán incorporarse a los planes, los programas, las actividades y estrategias sectoriales e intersectoriales nacionales para los efectos de que se integren al proceso de desarrollo del país</w:t>
            </w:r>
            <w:r w:rsidRPr="009A27ED">
              <w:rPr>
                <w:sz w:val="20"/>
                <w:szCs w:val="20"/>
              </w:rPr>
              <w:t>”;</w:t>
            </w:r>
          </w:p>
          <w:p w14:paraId="2EC54593" w14:textId="1730473D" w:rsidR="0070272F" w:rsidRPr="009A27ED" w:rsidRDefault="001B6C5C" w:rsidP="00AF66EF">
            <w:pPr>
              <w:cnfStyle w:val="000000000000" w:firstRow="0" w:lastRow="0" w:firstColumn="0" w:lastColumn="0" w:oddVBand="0" w:evenVBand="0" w:oddHBand="0" w:evenHBand="0" w:firstRowFirstColumn="0" w:firstRowLastColumn="0" w:lastRowFirstColumn="0" w:lastRowLastColumn="0"/>
              <w:rPr>
                <w:b/>
                <w:sz w:val="20"/>
                <w:szCs w:val="20"/>
              </w:rPr>
            </w:pPr>
            <w:r w:rsidRPr="009A27ED">
              <w:rPr>
                <w:sz w:val="20"/>
                <w:szCs w:val="20"/>
              </w:rPr>
              <w:lastRenderedPageBreak/>
              <w:t xml:space="preserve">En los aspectos relativos a la gestión del sistema Nacional de Áreas Protegidas señala en el </w:t>
            </w:r>
            <w:r w:rsidRPr="009A27ED">
              <w:rPr>
                <w:b/>
                <w:sz w:val="20"/>
                <w:szCs w:val="20"/>
              </w:rPr>
              <w:t xml:space="preserve">ARTICULO 20 </w:t>
            </w:r>
            <w:r w:rsidRPr="009A27ED">
              <w:rPr>
                <w:sz w:val="20"/>
                <w:szCs w:val="20"/>
              </w:rPr>
              <w:t xml:space="preserve">que: </w:t>
            </w:r>
            <w:r w:rsidRPr="009A27ED">
              <w:rPr>
                <w:b/>
                <w:sz w:val="20"/>
                <w:szCs w:val="20"/>
              </w:rPr>
              <w:t>“</w:t>
            </w:r>
            <w:r w:rsidRPr="009A27ED">
              <w:rPr>
                <w:i/>
                <w:sz w:val="20"/>
                <w:szCs w:val="20"/>
              </w:rPr>
              <w:t>En la administración y manejo del Sistema Nacional de Áreas Protegidas, la Secretaría de Estado de Medio Ambiente y Recursos Naturales debe tener en cuenta, además de sus fines de conservación, la utilización de estas áreas naturales para el desarrollo del turismo y el ecoturismo como una forma de acrecentar el valor económico y social de las mismas y contribuir al desarrollo económico del país”</w:t>
            </w:r>
            <w:r w:rsidRPr="009A27ED">
              <w:rPr>
                <w:sz w:val="20"/>
                <w:szCs w:val="20"/>
              </w:rPr>
              <w:t>.</w:t>
            </w:r>
          </w:p>
        </w:tc>
        <w:tc>
          <w:tcPr>
            <w:tcW w:w="2546" w:type="dxa"/>
          </w:tcPr>
          <w:p w14:paraId="610AEBA5" w14:textId="3226A1BD"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A27ED">
              <w:rPr>
                <w:sz w:val="20"/>
                <w:szCs w:val="20"/>
              </w:rPr>
              <w:lastRenderedPageBreak/>
              <w:t xml:space="preserve">Esta ley procura </w:t>
            </w:r>
            <w:r w:rsidRPr="009A27ED">
              <w:rPr>
                <w:color w:val="000000" w:themeColor="text1"/>
                <w:sz w:val="20"/>
                <w:szCs w:val="20"/>
              </w:rPr>
              <w:t xml:space="preserve">el desarrollo sostenible, a través de la protección, conservación, mantenimiento y rehabilitación de hábitats naturales y sus funciones. Para esto regula el establecimiento del régimen legal, gestión, manejo y categorización de las áreas protegidas que conforman el Sistema Nacional de </w:t>
            </w:r>
            <w:r w:rsidR="001B6C5C" w:rsidRPr="009A27ED">
              <w:rPr>
                <w:color w:val="000000" w:themeColor="text1"/>
                <w:sz w:val="20"/>
                <w:szCs w:val="20"/>
              </w:rPr>
              <w:t>Áreas</w:t>
            </w:r>
            <w:r w:rsidRPr="009A27ED">
              <w:rPr>
                <w:color w:val="000000" w:themeColor="text1"/>
                <w:sz w:val="20"/>
                <w:szCs w:val="20"/>
              </w:rPr>
              <w:t xml:space="preserve"> Protegidas (SINAP), a los fines de asegurar el adecuado funcionamiento de los </w:t>
            </w:r>
            <w:r w:rsidRPr="009A27ED">
              <w:rPr>
                <w:color w:val="000000" w:themeColor="text1"/>
                <w:sz w:val="20"/>
                <w:szCs w:val="20"/>
              </w:rPr>
              <w:t>sistemas naturales que las integran.</w:t>
            </w:r>
          </w:p>
          <w:p w14:paraId="7AFF1193"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A27ED">
              <w:rPr>
                <w:color w:val="000000" w:themeColor="text1"/>
                <w:sz w:val="20"/>
                <w:szCs w:val="20"/>
              </w:rPr>
              <w:t xml:space="preserve">El SINAP está constituido por </w:t>
            </w:r>
            <w:r w:rsidRPr="009A27ED">
              <w:rPr>
                <w:sz w:val="20"/>
                <w:szCs w:val="20"/>
              </w:rPr>
              <w:t>los terrenos pertenecientes al Estado que conforman el Patrimonio Nacional de Áreas Bajo Régimen Especial de Protección y aquellos terrenos de dominio privado que se encuentren en ellas, así como las que se declaren en el futuro.</w:t>
            </w:r>
          </w:p>
          <w:p w14:paraId="26521F2D"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La Ley Sectorial de Áreas Protegidas y Biodiversidad constituye el fundamento principal para la protección de los hábitats por mandato de la Ley No. 64-00.</w:t>
            </w:r>
          </w:p>
        </w:tc>
        <w:tc>
          <w:tcPr>
            <w:tcW w:w="2268" w:type="dxa"/>
          </w:tcPr>
          <w:p w14:paraId="3782D50B"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lastRenderedPageBreak/>
              <w:t>Participación débil de actores locales en el diseño de los planes de manejo.</w:t>
            </w:r>
          </w:p>
          <w:p w14:paraId="3133DCB7"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Falta de continuidad de las políticas públicas orientadas a la conservación natural y uso sostenible de las áreas protegidas. </w:t>
            </w:r>
          </w:p>
          <w:p w14:paraId="2DA72A87"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Falta de aplicación de la Ley y criterios de gestión para la protección de la biodiversidad en las áreas protegidas y sus zonas de </w:t>
            </w:r>
            <w:r w:rsidRPr="009A27ED">
              <w:rPr>
                <w:sz w:val="20"/>
                <w:szCs w:val="20"/>
              </w:rPr>
              <w:lastRenderedPageBreak/>
              <w:t>amortiguamiento y debilidad en los mecanismos de control, vigilancia y sanción.</w:t>
            </w:r>
          </w:p>
        </w:tc>
        <w:tc>
          <w:tcPr>
            <w:tcW w:w="3124" w:type="dxa"/>
          </w:tcPr>
          <w:p w14:paraId="011752EA" w14:textId="77777777" w:rsidR="0070272F" w:rsidRPr="009A27ED" w:rsidRDefault="0070272F" w:rsidP="00AF66EF">
            <w:pPr>
              <w:pStyle w:val="Prrafodelista"/>
              <w:numPr>
                <w:ilvl w:val="0"/>
                <w:numId w:val="264"/>
              </w:num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lastRenderedPageBreak/>
              <w:t>En caso proyectos en áreas protegidas se aplicarán los instrumentos técnicos que dispone el Ministerio Ambiente en la Ley 202-04 para el manejo del Sistema Nacional de Áreas Protegidas la cual manda a implementar los siguientes instrumentos: 1) Planes de Manejo, 2) Planes operativos, 3) Políticas y criterios  para la gestión del SINAP, 4) Estrategia del SINAP y 5) Plan Plurianual.</w:t>
            </w:r>
          </w:p>
          <w:p w14:paraId="76D494A0" w14:textId="77777777" w:rsidR="0070272F" w:rsidRPr="009A27ED" w:rsidRDefault="0070272F" w:rsidP="00AF66EF">
            <w:pPr>
              <w:pStyle w:val="Prrafodelista"/>
              <w:numPr>
                <w:ilvl w:val="0"/>
                <w:numId w:val="264"/>
              </w:num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lastRenderedPageBreak/>
              <w:t>Impulsar estructuras de gobernanza efectivas para la conservación del patrimonio natural en el ámbito de REDD+</w:t>
            </w:r>
          </w:p>
          <w:p w14:paraId="5456B21D" w14:textId="77777777" w:rsidR="0070272F" w:rsidRPr="009A27ED" w:rsidRDefault="0070272F" w:rsidP="00AF66EF">
            <w:pPr>
              <w:pStyle w:val="Prrafodelista"/>
              <w:numPr>
                <w:ilvl w:val="0"/>
                <w:numId w:val="264"/>
              </w:num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Formular e implementar acciones de producción sostenible en zonas de </w:t>
            </w:r>
            <w:proofErr w:type="spellStart"/>
            <w:r w:rsidRPr="009A27ED">
              <w:rPr>
                <w:sz w:val="20"/>
                <w:szCs w:val="20"/>
              </w:rPr>
              <w:t>amortiguamientode</w:t>
            </w:r>
            <w:proofErr w:type="spellEnd"/>
            <w:r w:rsidRPr="009A27ED">
              <w:rPr>
                <w:sz w:val="20"/>
                <w:szCs w:val="20"/>
              </w:rPr>
              <w:t xml:space="preserve"> las áreas protegidas y reducir la dependencia del uso al interior de dichas áreas.</w:t>
            </w:r>
          </w:p>
          <w:p w14:paraId="1CFBEECF" w14:textId="77777777" w:rsidR="0070272F" w:rsidRPr="009A27ED" w:rsidRDefault="0070272F" w:rsidP="00AF66EF">
            <w:pPr>
              <w:pStyle w:val="Prrafodelista"/>
              <w:numPr>
                <w:ilvl w:val="0"/>
                <w:numId w:val="264"/>
              </w:num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Fortalecer las capacidades institucionales a través de la elaboración e implementación de un programa de control y vigilancia de los espacios naturales protegidos.</w:t>
            </w:r>
          </w:p>
          <w:p w14:paraId="080540BD" w14:textId="77777777" w:rsidR="0070272F" w:rsidRPr="009A27ED" w:rsidRDefault="0070272F" w:rsidP="00AF66EF">
            <w:pPr>
              <w:pStyle w:val="Prrafodelista"/>
              <w:numPr>
                <w:ilvl w:val="0"/>
                <w:numId w:val="264"/>
              </w:num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Implementar un programa de inducción con las Entidades Ejecutoras y Programas, en función de los acuerdos institucionales que se firmarán, enfatizando la importancia de la observancia y cumplimiento de las Salvaguardas relacionadas con las áreas protegidas y la conservación de la diversidad biológica, y el cumplimiento de la OP.4.04 del BM sobre Hábitats Naturales.</w:t>
            </w:r>
          </w:p>
          <w:p w14:paraId="4C91355A" w14:textId="77777777" w:rsidR="0070272F" w:rsidRPr="009A27ED" w:rsidRDefault="0070272F" w:rsidP="00AF66EF">
            <w:pPr>
              <w:pStyle w:val="Prrafodelista"/>
              <w:numPr>
                <w:ilvl w:val="0"/>
                <w:numId w:val="264"/>
              </w:num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Elaboración e implementación de un programa de control y vigilancia </w:t>
            </w:r>
          </w:p>
          <w:p w14:paraId="79B89B5A" w14:textId="77777777" w:rsidR="0070272F" w:rsidRPr="009A27ED" w:rsidRDefault="0070272F" w:rsidP="00AF66EF">
            <w:pPr>
              <w:pStyle w:val="Default"/>
              <w:numPr>
                <w:ilvl w:val="0"/>
                <w:numId w:val="264"/>
              </w:num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sz w:val="20"/>
                <w:szCs w:val="20"/>
                <w:lang w:val="es-ES"/>
              </w:rPr>
            </w:pPr>
            <w:r w:rsidRPr="009A27ED">
              <w:rPr>
                <w:rFonts w:asciiTheme="minorHAnsi" w:hAnsiTheme="minorHAnsi" w:cstheme="minorHAnsi"/>
                <w:sz w:val="20"/>
                <w:szCs w:val="20"/>
              </w:rPr>
              <w:t>I</w:t>
            </w:r>
            <w:proofErr w:type="spellStart"/>
            <w:r w:rsidRPr="009A27ED">
              <w:rPr>
                <w:rFonts w:asciiTheme="minorHAnsi" w:hAnsiTheme="minorHAnsi" w:cstheme="minorHAnsi"/>
                <w:sz w:val="20"/>
                <w:szCs w:val="20"/>
                <w:lang w:val="es-DO"/>
              </w:rPr>
              <w:t>mplementar</w:t>
            </w:r>
            <w:proofErr w:type="spellEnd"/>
            <w:r w:rsidRPr="009A27ED">
              <w:rPr>
                <w:rFonts w:asciiTheme="minorHAnsi" w:hAnsiTheme="minorHAnsi" w:cstheme="minorHAnsi"/>
                <w:sz w:val="20"/>
                <w:szCs w:val="20"/>
                <w:lang w:val="es-DO"/>
              </w:rPr>
              <w:t xml:space="preserve"> los lineamientos establecidos en el MGAS para la OP 4.04</w:t>
            </w:r>
          </w:p>
          <w:p w14:paraId="3A2CCDD9" w14:textId="77777777" w:rsidR="0070272F" w:rsidRPr="009A27ED" w:rsidRDefault="0070272F" w:rsidP="00AF66EF">
            <w:pPr>
              <w:pStyle w:val="Prrafodelista"/>
              <w:spacing w:line="240" w:lineRule="auto"/>
              <w:ind w:left="720"/>
              <w:cnfStyle w:val="000000000000" w:firstRow="0" w:lastRow="0" w:firstColumn="0" w:lastColumn="0" w:oddVBand="0" w:evenVBand="0" w:oddHBand="0" w:evenHBand="0" w:firstRowFirstColumn="0" w:firstRowLastColumn="0" w:lastRowFirstColumn="0" w:lastRowLastColumn="0"/>
              <w:rPr>
                <w:sz w:val="20"/>
                <w:szCs w:val="20"/>
              </w:rPr>
            </w:pPr>
          </w:p>
        </w:tc>
      </w:tr>
      <w:tr w:rsidR="0070272F" w:rsidRPr="009A27ED" w14:paraId="5B326AA8" w14:textId="77777777" w:rsidTr="00AF66EF">
        <w:trPr>
          <w:trHeight w:val="1827"/>
        </w:trPr>
        <w:tc>
          <w:tcPr>
            <w:cnfStyle w:val="001000000000" w:firstRow="0" w:lastRow="0" w:firstColumn="1" w:lastColumn="0" w:oddVBand="0" w:evenVBand="0" w:oddHBand="0" w:evenHBand="0" w:firstRowFirstColumn="0" w:firstRowLastColumn="0" w:lastRowFirstColumn="0" w:lastRowLastColumn="0"/>
            <w:tcW w:w="2836" w:type="dxa"/>
          </w:tcPr>
          <w:p w14:paraId="674D137C" w14:textId="77777777" w:rsidR="0070272F" w:rsidRPr="009A27ED" w:rsidRDefault="0070272F" w:rsidP="00AF66EF">
            <w:pPr>
              <w:rPr>
                <w:color w:val="000000" w:themeColor="text1"/>
                <w:sz w:val="20"/>
                <w:szCs w:val="20"/>
              </w:rPr>
            </w:pPr>
          </w:p>
        </w:tc>
        <w:tc>
          <w:tcPr>
            <w:tcW w:w="1554" w:type="dxa"/>
            <w:tcBorders>
              <w:bottom w:val="single" w:sz="4" w:space="0" w:color="BDD6EE" w:themeColor="accent1" w:themeTint="66"/>
            </w:tcBorders>
          </w:tcPr>
          <w:p w14:paraId="12F17642" w14:textId="77777777" w:rsidR="0070272F" w:rsidRPr="009A27ED" w:rsidRDefault="0070272F" w:rsidP="00AF66EF">
            <w:pPr>
              <w:jc w:val="left"/>
              <w:cnfStyle w:val="000000000000" w:firstRow="0" w:lastRow="0" w:firstColumn="0" w:lastColumn="0" w:oddVBand="0" w:evenVBand="0" w:oddHBand="0" w:evenHBand="0" w:firstRowFirstColumn="0" w:firstRowLastColumn="0" w:lastRowFirstColumn="0" w:lastRowLastColumn="0"/>
              <w:rPr>
                <w:b/>
                <w:sz w:val="20"/>
                <w:szCs w:val="20"/>
              </w:rPr>
            </w:pPr>
            <w:r w:rsidRPr="009A27ED">
              <w:rPr>
                <w:b/>
                <w:sz w:val="20"/>
                <w:szCs w:val="20"/>
              </w:rPr>
              <w:t>Ley Sectorial sobre Biodiversidad (Ley 333-15)</w:t>
            </w:r>
          </w:p>
          <w:p w14:paraId="54527F44" w14:textId="77777777" w:rsidR="0070272F" w:rsidRPr="009A27ED" w:rsidRDefault="0070272F" w:rsidP="00AF66EF">
            <w:pPr>
              <w:ind w:left="720" w:hanging="360"/>
              <w:jc w:val="left"/>
              <w:cnfStyle w:val="000000000000" w:firstRow="0" w:lastRow="0" w:firstColumn="0" w:lastColumn="0" w:oddVBand="0" w:evenVBand="0" w:oddHBand="0" w:evenHBand="0" w:firstRowFirstColumn="0" w:firstRowLastColumn="0" w:lastRowFirstColumn="0" w:lastRowLastColumn="0"/>
              <w:rPr>
                <w:b/>
                <w:sz w:val="20"/>
                <w:szCs w:val="20"/>
              </w:rPr>
            </w:pPr>
          </w:p>
        </w:tc>
        <w:tc>
          <w:tcPr>
            <w:tcW w:w="2840" w:type="dxa"/>
            <w:tcBorders>
              <w:bottom w:val="single" w:sz="4" w:space="0" w:color="BDD6EE" w:themeColor="accent1" w:themeTint="66"/>
            </w:tcBorders>
          </w:tcPr>
          <w:p w14:paraId="7BE943DE" w14:textId="7D8A26F0"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color w:val="000000" w:themeColor="text1"/>
                <w:sz w:val="20"/>
                <w:szCs w:val="20"/>
              </w:rPr>
              <w:t xml:space="preserve">, Esta Ley señala en su </w:t>
            </w:r>
            <w:r w:rsidRPr="009A27ED">
              <w:rPr>
                <w:b/>
                <w:sz w:val="20"/>
                <w:szCs w:val="20"/>
              </w:rPr>
              <w:t xml:space="preserve">CONSIDERANDO </w:t>
            </w:r>
            <w:r w:rsidR="001B6C5C" w:rsidRPr="009A27ED">
              <w:rPr>
                <w:b/>
                <w:sz w:val="20"/>
                <w:szCs w:val="20"/>
              </w:rPr>
              <w:t xml:space="preserve">SEGUNDO </w:t>
            </w:r>
            <w:r w:rsidR="001B6C5C" w:rsidRPr="009A27ED">
              <w:rPr>
                <w:sz w:val="20"/>
                <w:szCs w:val="20"/>
              </w:rPr>
              <w:t>que</w:t>
            </w:r>
            <w:r w:rsidRPr="009A27ED">
              <w:rPr>
                <w:sz w:val="20"/>
                <w:szCs w:val="20"/>
              </w:rPr>
              <w:t>: “</w:t>
            </w:r>
            <w:r w:rsidRPr="009A27ED">
              <w:rPr>
                <w:i/>
                <w:sz w:val="20"/>
                <w:szCs w:val="20"/>
              </w:rPr>
              <w:t>La biodiversidad es un conjunto de todas y cada una de las especies de seres vivos, de bienes comunes y esenciales para el logro del desarrollo sostenible de la Nación dominicana”</w:t>
            </w:r>
            <w:r w:rsidRPr="009A27ED">
              <w:rPr>
                <w:sz w:val="20"/>
                <w:szCs w:val="20"/>
              </w:rPr>
              <w:t xml:space="preserve">. Según señala su </w:t>
            </w:r>
            <w:r w:rsidRPr="009A27ED">
              <w:rPr>
                <w:b/>
                <w:sz w:val="20"/>
                <w:szCs w:val="20"/>
              </w:rPr>
              <w:t xml:space="preserve">CONSIDERANDO DECIMOTERCERO: </w:t>
            </w:r>
            <w:r w:rsidRPr="009A27ED">
              <w:rPr>
                <w:sz w:val="20"/>
                <w:szCs w:val="20"/>
              </w:rPr>
              <w:t>“La conservación de la biodiversidad es imprescindible para alcanzar el desarrollo sostenible, por lo que debe ser incorporada en las estrategias nacionales de desarrollo”.</w:t>
            </w:r>
          </w:p>
          <w:p w14:paraId="3EDD98A1"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b/>
                <w:sz w:val="20"/>
                <w:szCs w:val="20"/>
              </w:rPr>
            </w:pPr>
            <w:r w:rsidRPr="009A27ED">
              <w:rPr>
                <w:sz w:val="20"/>
                <w:szCs w:val="20"/>
              </w:rPr>
              <w:t>Partiendo de la posibilidad de desarrollar actividades productivas que puedan afectar ecosistemas naturales esta ley plantea en el</w:t>
            </w:r>
            <w:r w:rsidRPr="009A27ED">
              <w:rPr>
                <w:b/>
                <w:sz w:val="20"/>
                <w:szCs w:val="20"/>
              </w:rPr>
              <w:t xml:space="preserve"> Artículo 51 </w:t>
            </w:r>
            <w:r w:rsidRPr="009A27ED">
              <w:rPr>
                <w:sz w:val="20"/>
                <w:szCs w:val="20"/>
              </w:rPr>
              <w:t xml:space="preserve">sobre la </w:t>
            </w:r>
            <w:r w:rsidRPr="009A27ED">
              <w:rPr>
                <w:b/>
                <w:sz w:val="20"/>
                <w:szCs w:val="20"/>
              </w:rPr>
              <w:t xml:space="preserve">- </w:t>
            </w:r>
            <w:r w:rsidRPr="009A27ED">
              <w:rPr>
                <w:sz w:val="20"/>
                <w:szCs w:val="20"/>
              </w:rPr>
              <w:t>fundamentación de los contratos que: “</w:t>
            </w:r>
            <w:r w:rsidRPr="009A27ED">
              <w:rPr>
                <w:i/>
                <w:sz w:val="20"/>
                <w:szCs w:val="20"/>
              </w:rPr>
              <w:t>Todos los contratos otorgados están basados en una investigación científica, abierta y pública, que muestre y certifique:</w:t>
            </w:r>
            <w:r w:rsidRPr="009A27ED">
              <w:rPr>
                <w:b/>
                <w:i/>
                <w:sz w:val="20"/>
                <w:szCs w:val="20"/>
              </w:rPr>
              <w:t xml:space="preserve"> 4)  </w:t>
            </w:r>
            <w:r w:rsidRPr="009A27ED">
              <w:rPr>
                <w:i/>
                <w:sz w:val="20"/>
                <w:szCs w:val="20"/>
              </w:rPr>
              <w:t>Que el objetivo del contrato propuesto es importante para el desarrollo sostenible del país:</w:t>
            </w:r>
            <w:r w:rsidRPr="009A27ED">
              <w:rPr>
                <w:b/>
                <w:i/>
                <w:sz w:val="20"/>
                <w:szCs w:val="20"/>
              </w:rPr>
              <w:t xml:space="preserve"> a) </w:t>
            </w:r>
            <w:r w:rsidRPr="009A27ED">
              <w:rPr>
                <w:i/>
                <w:sz w:val="20"/>
                <w:szCs w:val="20"/>
              </w:rPr>
              <w:t xml:space="preserve">Que las poblaciones y las comunidades </w:t>
            </w:r>
            <w:r w:rsidRPr="009A27ED">
              <w:rPr>
                <w:i/>
                <w:sz w:val="20"/>
                <w:szCs w:val="20"/>
              </w:rPr>
              <w:lastRenderedPageBreak/>
              <w:t>vinculadas o interesadas han sido informadas y consultadas con respecto al contrato y su impacto, y han tenido oportunidad para comentar, con  base en las previsiones de la Subsección VI de la presente ley, sobre el contrato y la distribución de beneficios y derechos de propiedad intelectual que pudieren ser generados de la posterior aplicación, explotación y/o utilización de esos recursos cuando corresponda”</w:t>
            </w:r>
            <w:r w:rsidRPr="009A27ED">
              <w:rPr>
                <w:sz w:val="20"/>
                <w:szCs w:val="20"/>
              </w:rPr>
              <w:t>.</w:t>
            </w:r>
          </w:p>
        </w:tc>
        <w:tc>
          <w:tcPr>
            <w:tcW w:w="2546" w:type="dxa"/>
            <w:tcBorders>
              <w:bottom w:val="single" w:sz="4" w:space="0" w:color="BDD6EE" w:themeColor="accent1" w:themeTint="66"/>
            </w:tcBorders>
          </w:tcPr>
          <w:p w14:paraId="5635316D"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lastRenderedPageBreak/>
              <w:t>La Ley Sectorial sobre Biodiversidad hace su aporte a</w:t>
            </w:r>
            <w:r w:rsidRPr="009A27ED">
              <w:rPr>
                <w:b/>
                <w:sz w:val="20"/>
                <w:szCs w:val="20"/>
              </w:rPr>
              <w:t xml:space="preserve"> </w:t>
            </w:r>
            <w:r w:rsidRPr="009A27ED">
              <w:rPr>
                <w:sz w:val="20"/>
                <w:szCs w:val="20"/>
              </w:rPr>
              <w:t>la consecución d</w:t>
            </w:r>
            <w:r w:rsidRPr="009A27ED">
              <w:rPr>
                <w:color w:val="000000" w:themeColor="text1"/>
                <w:sz w:val="20"/>
                <w:szCs w:val="20"/>
              </w:rPr>
              <w:t xml:space="preserve">el desarrollo sostenible en armonía con el ambiente, a través de la protección, conservación, mantenimiento y rehabilitación de hábitats naturales y sus funciones. </w:t>
            </w:r>
            <w:r w:rsidRPr="009A27ED">
              <w:rPr>
                <w:sz w:val="20"/>
                <w:szCs w:val="20"/>
              </w:rPr>
              <w:t xml:space="preserve">Este instrumento legal desarrolla, reglamenta y aplica los principios y las disposiciones sobre la conservación y uso sostenible de la biodiversidad contenida en la Constitución de la República y en la Ley General Sobre Medio Ambiente y Recursos Naturales. En este sentido, establece el marco legal necesario para propiciar el mantenimiento y la recuperación de la biodiversidad, los ecosistemas, y sus procesos ecológicos asociados, los que forman parte del patrimonio natural de la nación.  </w:t>
            </w:r>
          </w:p>
        </w:tc>
        <w:tc>
          <w:tcPr>
            <w:tcW w:w="2268" w:type="dxa"/>
            <w:tcBorders>
              <w:bottom w:val="single" w:sz="4" w:space="0" w:color="BDD6EE" w:themeColor="accent1" w:themeTint="66"/>
            </w:tcBorders>
          </w:tcPr>
          <w:p w14:paraId="51B613BD"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Resistencia cultural al cambio para aplicar un modelo de gestión sostenible orientado a la conservación de la biodiversidad o servicios ecosistémicos.</w:t>
            </w:r>
          </w:p>
          <w:p w14:paraId="51201E23"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Existen debilidades institucionales para el establecimiento y aplicación de sistemas de seguimiento y monitoreo.</w:t>
            </w:r>
          </w:p>
        </w:tc>
        <w:tc>
          <w:tcPr>
            <w:tcW w:w="3124" w:type="dxa"/>
            <w:tcBorders>
              <w:bottom w:val="single" w:sz="4" w:space="0" w:color="BDD6EE" w:themeColor="accent1" w:themeTint="66"/>
            </w:tcBorders>
          </w:tcPr>
          <w:p w14:paraId="583114CE" w14:textId="77777777" w:rsidR="0070272F" w:rsidRPr="009A27ED" w:rsidRDefault="0070272F" w:rsidP="00AF66EF">
            <w:pPr>
              <w:pStyle w:val="Prrafodelista"/>
              <w:numPr>
                <w:ilvl w:val="0"/>
                <w:numId w:val="266"/>
              </w:num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Para la ejecución de los proyectos y programas en el ámbito de REDD+ se considerarán los lineamientos establecidos por la Ley 333-15 para la protección de la biodiversidad, la cual manda a implementar los siguientes instrumentos: </w:t>
            </w:r>
          </w:p>
          <w:p w14:paraId="6DF818D8" w14:textId="77777777" w:rsidR="0070272F" w:rsidRPr="009A27ED" w:rsidRDefault="0070272F" w:rsidP="00AF66EF">
            <w:pPr>
              <w:pStyle w:val="Prrafodelista"/>
              <w:keepNext/>
              <w:keepLines/>
              <w:numPr>
                <w:ilvl w:val="0"/>
                <w:numId w:val="265"/>
              </w:numPr>
              <w:suppressAutoHyphens/>
              <w:spacing w:before="20" w:after="120" w:line="240" w:lineRule="auto"/>
              <w:ind w:right="57"/>
              <w:jc w:val="left"/>
              <w:cnfStyle w:val="000000000000" w:firstRow="0" w:lastRow="0" w:firstColumn="0" w:lastColumn="0" w:oddVBand="0" w:evenVBand="0" w:oddHBand="0" w:evenHBand="0" w:firstRowFirstColumn="0" w:firstRowLastColumn="0" w:lastRowFirstColumn="0" w:lastRowLastColumn="0"/>
              <w:rPr>
                <w:sz w:val="20"/>
                <w:szCs w:val="20"/>
                <w:lang w:val="es-ES"/>
              </w:rPr>
            </w:pPr>
            <w:r w:rsidRPr="009A27ED">
              <w:rPr>
                <w:sz w:val="20"/>
                <w:szCs w:val="20"/>
                <w:lang w:val="es-ES"/>
              </w:rPr>
              <w:t>Estrategia Nacional de Conservación y Uso Sostenible de la Biodiversidad y Plan de Acción (ENBPA).</w:t>
            </w:r>
          </w:p>
          <w:p w14:paraId="61DE19E4" w14:textId="77777777" w:rsidR="0070272F" w:rsidRPr="009A27ED" w:rsidRDefault="0070272F" w:rsidP="00AF66EF">
            <w:pPr>
              <w:pStyle w:val="Prrafodelista"/>
              <w:keepNext/>
              <w:keepLines/>
              <w:numPr>
                <w:ilvl w:val="0"/>
                <w:numId w:val="265"/>
              </w:numPr>
              <w:suppressAutoHyphens/>
              <w:spacing w:before="20" w:after="120" w:line="240" w:lineRule="auto"/>
              <w:ind w:right="57"/>
              <w:jc w:val="left"/>
              <w:cnfStyle w:val="000000000000" w:firstRow="0" w:lastRow="0" w:firstColumn="0" w:lastColumn="0" w:oddVBand="0" w:evenVBand="0" w:oddHBand="0" w:evenHBand="0" w:firstRowFirstColumn="0" w:firstRowLastColumn="0" w:lastRowFirstColumn="0" w:lastRowLastColumn="0"/>
              <w:rPr>
                <w:sz w:val="20"/>
                <w:szCs w:val="20"/>
                <w:lang w:val="es-ES"/>
              </w:rPr>
            </w:pPr>
            <w:r w:rsidRPr="009A27ED">
              <w:rPr>
                <w:sz w:val="20"/>
                <w:szCs w:val="20"/>
                <w:lang w:val="es-ES"/>
              </w:rPr>
              <w:t>Planes de Manejo.</w:t>
            </w:r>
          </w:p>
          <w:p w14:paraId="209430BF" w14:textId="77777777" w:rsidR="0070272F" w:rsidRPr="009A27ED" w:rsidRDefault="0070272F" w:rsidP="00AF66EF">
            <w:pPr>
              <w:pStyle w:val="Prrafodelista"/>
              <w:keepNext/>
              <w:keepLines/>
              <w:numPr>
                <w:ilvl w:val="0"/>
                <w:numId w:val="265"/>
              </w:numPr>
              <w:suppressAutoHyphens/>
              <w:spacing w:before="20" w:after="120" w:line="240" w:lineRule="auto"/>
              <w:ind w:right="57"/>
              <w:jc w:val="left"/>
              <w:cnfStyle w:val="000000000000" w:firstRow="0" w:lastRow="0" w:firstColumn="0" w:lastColumn="0" w:oddVBand="0" w:evenVBand="0" w:oddHBand="0" w:evenHBand="0" w:firstRowFirstColumn="0" w:firstRowLastColumn="0" w:lastRowFirstColumn="0" w:lastRowLastColumn="0"/>
              <w:rPr>
                <w:sz w:val="20"/>
                <w:szCs w:val="20"/>
                <w:lang w:val="es-ES"/>
              </w:rPr>
            </w:pPr>
            <w:r w:rsidRPr="009A27ED">
              <w:rPr>
                <w:sz w:val="20"/>
                <w:szCs w:val="20"/>
                <w:lang w:val="es-ES"/>
              </w:rPr>
              <w:t>Sistema de incentivos.</w:t>
            </w:r>
          </w:p>
          <w:p w14:paraId="701EDEF5" w14:textId="77777777" w:rsidR="0070272F" w:rsidRPr="009A27ED" w:rsidRDefault="0070272F" w:rsidP="00AF66EF">
            <w:pPr>
              <w:pStyle w:val="Prrafodelista"/>
              <w:keepNext/>
              <w:keepLines/>
              <w:numPr>
                <w:ilvl w:val="0"/>
                <w:numId w:val="265"/>
              </w:numPr>
              <w:suppressAutoHyphens/>
              <w:spacing w:before="20" w:after="120" w:line="240" w:lineRule="auto"/>
              <w:ind w:right="57"/>
              <w:jc w:val="left"/>
              <w:cnfStyle w:val="000000000000" w:firstRow="0" w:lastRow="0" w:firstColumn="0" w:lastColumn="0" w:oddVBand="0" w:evenVBand="0" w:oddHBand="0" w:evenHBand="0" w:firstRowFirstColumn="0" w:firstRowLastColumn="0" w:lastRowFirstColumn="0" w:lastRowLastColumn="0"/>
              <w:rPr>
                <w:sz w:val="20"/>
                <w:szCs w:val="20"/>
                <w:lang w:val="es-ES"/>
              </w:rPr>
            </w:pPr>
            <w:r w:rsidRPr="009A27ED">
              <w:rPr>
                <w:sz w:val="20"/>
                <w:szCs w:val="20"/>
                <w:lang w:val="es-ES"/>
              </w:rPr>
              <w:t>El sistema de permisos, licencias, contratos de uso y concesiones.</w:t>
            </w:r>
          </w:p>
          <w:p w14:paraId="6B5C5975" w14:textId="77777777" w:rsidR="0070272F" w:rsidRPr="009A27ED" w:rsidRDefault="0070272F" w:rsidP="00AF66EF">
            <w:pPr>
              <w:pStyle w:val="Prrafodelista"/>
              <w:keepNext/>
              <w:keepLines/>
              <w:numPr>
                <w:ilvl w:val="0"/>
                <w:numId w:val="265"/>
              </w:numPr>
              <w:suppressAutoHyphens/>
              <w:spacing w:before="20" w:after="120" w:line="240" w:lineRule="auto"/>
              <w:ind w:right="57"/>
              <w:jc w:val="left"/>
              <w:cnfStyle w:val="000000000000" w:firstRow="0" w:lastRow="0" w:firstColumn="0" w:lastColumn="0" w:oddVBand="0" w:evenVBand="0" w:oddHBand="0" w:evenHBand="0" w:firstRowFirstColumn="0" w:firstRowLastColumn="0" w:lastRowFirstColumn="0" w:lastRowLastColumn="0"/>
              <w:rPr>
                <w:sz w:val="20"/>
                <w:szCs w:val="20"/>
                <w:lang w:val="es-ES"/>
              </w:rPr>
            </w:pPr>
            <w:r w:rsidRPr="009A27ED">
              <w:rPr>
                <w:sz w:val="20"/>
                <w:szCs w:val="20"/>
                <w:lang w:val="es-ES"/>
              </w:rPr>
              <w:t>Las comisiones y subcomisiones técnicas asesoras.</w:t>
            </w:r>
          </w:p>
          <w:p w14:paraId="50E0D277" w14:textId="77777777" w:rsidR="0070272F" w:rsidRPr="009A27ED" w:rsidRDefault="0070272F" w:rsidP="00AF66EF">
            <w:pPr>
              <w:pStyle w:val="Prrafodelista"/>
              <w:keepNext/>
              <w:keepLines/>
              <w:numPr>
                <w:ilvl w:val="0"/>
                <w:numId w:val="265"/>
              </w:numPr>
              <w:suppressAutoHyphens/>
              <w:spacing w:before="20" w:after="120" w:line="240" w:lineRule="auto"/>
              <w:ind w:right="57"/>
              <w:jc w:val="left"/>
              <w:cnfStyle w:val="000000000000" w:firstRow="0" w:lastRow="0" w:firstColumn="0" w:lastColumn="0" w:oddVBand="0" w:evenVBand="0" w:oddHBand="0" w:evenHBand="0" w:firstRowFirstColumn="0" w:firstRowLastColumn="0" w:lastRowFirstColumn="0" w:lastRowLastColumn="0"/>
              <w:rPr>
                <w:sz w:val="20"/>
                <w:szCs w:val="20"/>
                <w:lang w:val="es-ES"/>
              </w:rPr>
            </w:pPr>
            <w:r w:rsidRPr="009A27ED">
              <w:rPr>
                <w:sz w:val="20"/>
                <w:szCs w:val="20"/>
                <w:lang w:val="es-ES"/>
              </w:rPr>
              <w:t xml:space="preserve">Gestión compartida o </w:t>
            </w:r>
            <w:proofErr w:type="spellStart"/>
            <w:r w:rsidRPr="009A27ED">
              <w:rPr>
                <w:sz w:val="20"/>
                <w:szCs w:val="20"/>
                <w:lang w:val="es-ES"/>
              </w:rPr>
              <w:t>Co-manejo</w:t>
            </w:r>
            <w:proofErr w:type="spellEnd"/>
            <w:r w:rsidRPr="009A27ED">
              <w:rPr>
                <w:sz w:val="20"/>
                <w:szCs w:val="20"/>
                <w:lang w:val="es-ES"/>
              </w:rPr>
              <w:t>.</w:t>
            </w:r>
          </w:p>
          <w:p w14:paraId="5BF70DE6" w14:textId="77777777" w:rsidR="0070272F" w:rsidRPr="009A27ED" w:rsidRDefault="0070272F" w:rsidP="00AF66EF">
            <w:pPr>
              <w:pStyle w:val="Prrafodelista"/>
              <w:keepNext/>
              <w:keepLines/>
              <w:numPr>
                <w:ilvl w:val="0"/>
                <w:numId w:val="265"/>
              </w:numPr>
              <w:suppressAutoHyphens/>
              <w:spacing w:before="20" w:after="120" w:line="240" w:lineRule="auto"/>
              <w:ind w:right="57"/>
              <w:jc w:val="left"/>
              <w:cnfStyle w:val="000000000000" w:firstRow="0" w:lastRow="0" w:firstColumn="0" w:lastColumn="0" w:oddVBand="0" w:evenVBand="0" w:oddHBand="0" w:evenHBand="0" w:firstRowFirstColumn="0" w:firstRowLastColumn="0" w:lastRowFirstColumn="0" w:lastRowLastColumn="0"/>
              <w:rPr>
                <w:sz w:val="20"/>
                <w:szCs w:val="20"/>
                <w:lang w:val="es-ES"/>
              </w:rPr>
            </w:pPr>
            <w:r w:rsidRPr="009A27ED">
              <w:rPr>
                <w:sz w:val="20"/>
                <w:szCs w:val="20"/>
                <w:lang w:val="es-ES"/>
              </w:rPr>
              <w:t>Aplicación de convenios internacionales, protocolos y acuerdos.</w:t>
            </w:r>
          </w:p>
          <w:p w14:paraId="2FDD1542" w14:textId="77777777" w:rsidR="0070272F" w:rsidRPr="009A27ED" w:rsidRDefault="0070272F" w:rsidP="00AF66EF">
            <w:pPr>
              <w:pStyle w:val="Prrafodelista"/>
              <w:keepNext/>
              <w:keepLines/>
              <w:numPr>
                <w:ilvl w:val="0"/>
                <w:numId w:val="265"/>
              </w:numPr>
              <w:suppressAutoHyphens/>
              <w:spacing w:before="20" w:after="120" w:line="240" w:lineRule="auto"/>
              <w:ind w:right="57"/>
              <w:jc w:val="left"/>
              <w:cnfStyle w:val="000000000000" w:firstRow="0" w:lastRow="0" w:firstColumn="0" w:lastColumn="0" w:oddVBand="0" w:evenVBand="0" w:oddHBand="0" w:evenHBand="0" w:firstRowFirstColumn="0" w:firstRowLastColumn="0" w:lastRowFirstColumn="0" w:lastRowLastColumn="0"/>
              <w:rPr>
                <w:sz w:val="20"/>
                <w:szCs w:val="20"/>
                <w:lang w:val="pt-BR"/>
              </w:rPr>
            </w:pPr>
            <w:r w:rsidRPr="009A27ED">
              <w:rPr>
                <w:sz w:val="20"/>
                <w:szCs w:val="20"/>
                <w:lang w:val="pt-BR"/>
              </w:rPr>
              <w:t>Sistema Nacional de Áreas Protegidas.</w:t>
            </w:r>
          </w:p>
          <w:p w14:paraId="4F85639C" w14:textId="77777777" w:rsidR="0070272F" w:rsidRPr="009A27ED" w:rsidRDefault="0070272F" w:rsidP="00AF66EF">
            <w:pPr>
              <w:pStyle w:val="Prrafodelista"/>
              <w:keepNext/>
              <w:keepLines/>
              <w:numPr>
                <w:ilvl w:val="0"/>
                <w:numId w:val="266"/>
              </w:numPr>
              <w:suppressAutoHyphens/>
              <w:spacing w:before="20" w:after="120" w:line="240" w:lineRule="auto"/>
              <w:ind w:left="507" w:right="57"/>
              <w:jc w:val="left"/>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Desarrollo de acuerdos institucionales para replicar modelos piloto exitosos en </w:t>
            </w:r>
            <w:r w:rsidRPr="009A27ED">
              <w:rPr>
                <w:sz w:val="20"/>
                <w:szCs w:val="20"/>
              </w:rPr>
              <w:lastRenderedPageBreak/>
              <w:t>las áreas priorizadas REDD+ hacia el resto de las áreas importantes para la conservación de la biodiversidad, en coordinación con las Entidades Ejecutoras y actores locales.</w:t>
            </w:r>
          </w:p>
          <w:p w14:paraId="4B4B4152" w14:textId="77777777" w:rsidR="0070272F" w:rsidRPr="009A27ED" w:rsidRDefault="0070272F" w:rsidP="00AF66EF">
            <w:pPr>
              <w:pStyle w:val="Prrafodelista"/>
              <w:keepNext/>
              <w:keepLines/>
              <w:numPr>
                <w:ilvl w:val="0"/>
                <w:numId w:val="266"/>
              </w:numPr>
              <w:suppressAutoHyphens/>
              <w:spacing w:before="20" w:after="120" w:line="240" w:lineRule="auto"/>
              <w:ind w:left="507" w:right="57"/>
              <w:jc w:val="left"/>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Plan de fortalecimiento de las capacidades institucionales para la implementación de sistemas de seguimiento y monitoreo</w:t>
            </w:r>
          </w:p>
          <w:p w14:paraId="2115C4FA"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p>
        </w:tc>
      </w:tr>
      <w:tr w:rsidR="0070272F" w:rsidRPr="009A27ED" w14:paraId="2FEB18CF" w14:textId="77777777" w:rsidTr="00AF66EF">
        <w:trPr>
          <w:trHeight w:val="540"/>
        </w:trPr>
        <w:tc>
          <w:tcPr>
            <w:cnfStyle w:val="001000000000" w:firstRow="0" w:lastRow="0" w:firstColumn="1" w:lastColumn="0" w:oddVBand="0" w:evenVBand="0" w:oddHBand="0" w:evenHBand="0" w:firstRowFirstColumn="0" w:firstRowLastColumn="0" w:lastRowFirstColumn="0" w:lastRowLastColumn="0"/>
            <w:tcW w:w="2836" w:type="dxa"/>
            <w:vMerge w:val="restart"/>
            <w:tcBorders>
              <w:right w:val="single" w:sz="4" w:space="0" w:color="BDD6EE" w:themeColor="accent1" w:themeTint="66"/>
            </w:tcBorders>
          </w:tcPr>
          <w:p w14:paraId="3832A5F1" w14:textId="152345CC" w:rsidR="0070272F" w:rsidRPr="009A27ED" w:rsidRDefault="0070272F" w:rsidP="00AF66EF">
            <w:pPr>
              <w:autoSpaceDE w:val="0"/>
              <w:autoSpaceDN w:val="0"/>
              <w:adjustRightInd w:val="0"/>
              <w:rPr>
                <w:color w:val="000000" w:themeColor="text1"/>
                <w:sz w:val="20"/>
                <w:szCs w:val="20"/>
              </w:rPr>
            </w:pPr>
            <w:r w:rsidRPr="009A27ED">
              <w:rPr>
                <w:color w:val="000000" w:themeColor="text1"/>
                <w:sz w:val="20"/>
                <w:szCs w:val="20"/>
              </w:rPr>
              <w:t>Bosques (OP 4.36)</w:t>
            </w:r>
            <w:r w:rsidR="00AF66EF" w:rsidRPr="009A27ED">
              <w:rPr>
                <w:color w:val="000000" w:themeColor="text1"/>
                <w:sz w:val="20"/>
                <w:szCs w:val="20"/>
              </w:rPr>
              <w:t xml:space="preserve"> </w:t>
            </w:r>
            <w:r w:rsidRPr="009A27ED">
              <w:rPr>
                <w:color w:val="000000" w:themeColor="text1"/>
                <w:sz w:val="20"/>
                <w:szCs w:val="20"/>
              </w:rPr>
              <w:t xml:space="preserve">La finalidad de esta OP es asistir a los prestatarios a aprovechar el potencial de los bosques para reducir la pobreza en forma sostenible, integrarlos efectivamente en el proceso de desarrollo económico sostenible, y proteger sus valores y servicios ambientales a nivel local y global. En los casos en que es preciso proceder a la restauración y plantación para alcanzar estos </w:t>
            </w:r>
            <w:r w:rsidRPr="009A27ED">
              <w:rPr>
                <w:color w:val="000000" w:themeColor="text1"/>
                <w:sz w:val="20"/>
                <w:szCs w:val="20"/>
              </w:rPr>
              <w:lastRenderedPageBreak/>
              <w:t xml:space="preserve">objetivos, el Banco ayuda a los prestatarios en actividades de restauración forestal, que contribuyan a mantener o fomentar la funcionalidad de los ecosistemas. Asimismo, proporciona asistencia a los prestatarios en el establecimiento y manejo sostenible de plantaciones, ecológicamente apropiadas, socialmente beneficiosas y económicamente viables, para ayudar a atender la demanda creciente de bienes y servicios forestales. Esta política se aplica a los siguientes tipos de proyectos de inversión financiados por el Banco: i) Los que tienen o puedan tener impactos en la salud y calidad de los bosques; </w:t>
            </w:r>
            <w:proofErr w:type="spellStart"/>
            <w:r w:rsidRPr="009A27ED">
              <w:rPr>
                <w:color w:val="000000" w:themeColor="text1"/>
                <w:sz w:val="20"/>
                <w:szCs w:val="20"/>
              </w:rPr>
              <w:t>ii</w:t>
            </w:r>
            <w:proofErr w:type="spellEnd"/>
            <w:r w:rsidRPr="009A27ED">
              <w:rPr>
                <w:color w:val="000000" w:themeColor="text1"/>
                <w:sz w:val="20"/>
                <w:szCs w:val="20"/>
              </w:rPr>
              <w:t xml:space="preserve">) Los que afectan a los derechos y el bienestar de las personas y a su nivel de dependencia de los bosques o a su interacción con ellos, y </w:t>
            </w:r>
            <w:proofErr w:type="spellStart"/>
            <w:r w:rsidRPr="009A27ED">
              <w:rPr>
                <w:color w:val="000000" w:themeColor="text1"/>
                <w:sz w:val="20"/>
                <w:szCs w:val="20"/>
              </w:rPr>
              <w:t>iii</w:t>
            </w:r>
            <w:proofErr w:type="spellEnd"/>
            <w:r w:rsidRPr="009A27ED">
              <w:rPr>
                <w:color w:val="000000" w:themeColor="text1"/>
                <w:sz w:val="20"/>
                <w:szCs w:val="20"/>
              </w:rPr>
              <w:t>) Aquellos cuya finalidad es generar cambios en el manejo, la protección o la utilización de los bosques naturales o las plantaciones, sean de propiedad pública, privada o comunal</w:t>
            </w:r>
          </w:p>
          <w:p w14:paraId="0A14F282" w14:textId="77777777" w:rsidR="0070272F" w:rsidRPr="009A27ED" w:rsidRDefault="0070272F" w:rsidP="00AF66EF">
            <w:pPr>
              <w:rPr>
                <w:b w:val="0"/>
                <w:color w:val="000000" w:themeColor="text1"/>
                <w:sz w:val="20"/>
                <w:szCs w:val="20"/>
              </w:rPr>
            </w:pPr>
          </w:p>
        </w:tc>
        <w:tc>
          <w:tcPr>
            <w:tcW w:w="1554"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tcPr>
          <w:p w14:paraId="60A8248A" w14:textId="77777777" w:rsidR="0070272F" w:rsidRPr="009A27ED" w:rsidRDefault="0070272F" w:rsidP="00AF66EF">
            <w:pPr>
              <w:jc w:val="left"/>
              <w:cnfStyle w:val="000000000000" w:firstRow="0" w:lastRow="0" w:firstColumn="0" w:lastColumn="0" w:oddVBand="0" w:evenVBand="0" w:oddHBand="0" w:evenHBand="0" w:firstRowFirstColumn="0" w:firstRowLastColumn="0" w:lastRowFirstColumn="0" w:lastRowLastColumn="0"/>
              <w:rPr>
                <w:b/>
                <w:sz w:val="20"/>
                <w:szCs w:val="20"/>
              </w:rPr>
            </w:pPr>
            <w:r w:rsidRPr="009A27ED">
              <w:rPr>
                <w:b/>
                <w:sz w:val="20"/>
                <w:szCs w:val="20"/>
              </w:rPr>
              <w:lastRenderedPageBreak/>
              <w:t>Constitución de la República Dominicana proclamada el 13 de junio del 2015</w:t>
            </w:r>
          </w:p>
          <w:p w14:paraId="2D8EAEA1" w14:textId="77777777" w:rsidR="0070272F" w:rsidRPr="009A27ED" w:rsidRDefault="0070272F" w:rsidP="00AF66EF">
            <w:pPr>
              <w:jc w:val="left"/>
              <w:cnfStyle w:val="000000000000" w:firstRow="0" w:lastRow="0" w:firstColumn="0" w:lastColumn="0" w:oddVBand="0" w:evenVBand="0" w:oddHBand="0" w:evenHBand="0" w:firstRowFirstColumn="0" w:firstRowLastColumn="0" w:lastRowFirstColumn="0" w:lastRowLastColumn="0"/>
              <w:rPr>
                <w:color w:val="FF0000"/>
                <w:sz w:val="20"/>
                <w:szCs w:val="20"/>
              </w:rPr>
            </w:pPr>
          </w:p>
        </w:tc>
        <w:tc>
          <w:tcPr>
            <w:tcW w:w="2840"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tcPr>
          <w:p w14:paraId="55CE30ED"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La CPD en el numeral 2) del Artículo 17 de la CPD (sobre el aprovechamiento de los recursos naturales), que de manera específica declara de prioridad nacional y de interés social la reforestación, la conservación de los bosques y la renovación de los recursos forestales</w:t>
            </w:r>
          </w:p>
          <w:p w14:paraId="6237D727"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p>
          <w:p w14:paraId="1345D1F5"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p>
        </w:tc>
        <w:tc>
          <w:tcPr>
            <w:tcW w:w="2546"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tcPr>
          <w:p w14:paraId="78944EDC"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A27ED">
              <w:rPr>
                <w:color w:val="000000" w:themeColor="text1"/>
                <w:sz w:val="20"/>
                <w:szCs w:val="20"/>
              </w:rPr>
              <w:t xml:space="preserve">La Constitución dominicana, como norma fundamental y de ordenamiento máximo del país, establece la responsabilidad del Estado para procurar el uso y goce sostenible de los recursos naturales, siendo el garante y ejecutor de las leyes, políticas y programas tendentes a lograr el equilibrio ecológico </w:t>
            </w:r>
          </w:p>
          <w:p w14:paraId="6CA24A3A" w14:textId="77777777" w:rsidR="0070272F" w:rsidRPr="009A27ED" w:rsidRDefault="0070272F" w:rsidP="00AF66EF">
            <w:pPr>
              <w:jc w:val="left"/>
              <w:cnfStyle w:val="000000000000" w:firstRow="0" w:lastRow="0" w:firstColumn="0" w:lastColumn="0" w:oddVBand="0" w:evenVBand="0" w:oddHBand="0" w:evenHBand="0" w:firstRowFirstColumn="0" w:firstRowLastColumn="0" w:lastRowFirstColumn="0" w:lastRowLastColumn="0"/>
              <w:rPr>
                <w:sz w:val="20"/>
                <w:szCs w:val="20"/>
              </w:rPr>
            </w:pPr>
          </w:p>
        </w:tc>
        <w:tc>
          <w:tcPr>
            <w:tcW w:w="2268"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tcPr>
          <w:p w14:paraId="29067A19" w14:textId="77777777" w:rsidR="0070272F" w:rsidRPr="009A27ED" w:rsidRDefault="0070272F" w:rsidP="00AF66EF">
            <w:pPr>
              <w:pStyle w:val="Prrafodelista"/>
              <w:spacing w:line="240" w:lineRule="auto"/>
              <w:ind w:left="360"/>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No se observan vacíos legales </w:t>
            </w:r>
          </w:p>
          <w:p w14:paraId="7886E1A0"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p>
        </w:tc>
        <w:tc>
          <w:tcPr>
            <w:tcW w:w="3124" w:type="dxa"/>
            <w:tcBorders>
              <w:top w:val="single" w:sz="4" w:space="0" w:color="BDD6EE" w:themeColor="accent1" w:themeTint="66"/>
              <w:left w:val="single" w:sz="4" w:space="0" w:color="BDD6EE" w:themeColor="accent1" w:themeTint="66"/>
              <w:bottom w:val="single" w:sz="4" w:space="0" w:color="BDD6EE" w:themeColor="accent1" w:themeTint="66"/>
            </w:tcBorders>
          </w:tcPr>
          <w:p w14:paraId="698AC171"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p>
          <w:p w14:paraId="0B2BF1E2" w14:textId="77777777" w:rsidR="0070272F" w:rsidRPr="009A27ED" w:rsidRDefault="0070272F" w:rsidP="00AF66EF">
            <w:pPr>
              <w:jc w:val="left"/>
              <w:cnfStyle w:val="000000000000" w:firstRow="0" w:lastRow="0" w:firstColumn="0" w:lastColumn="0" w:oddVBand="0" w:evenVBand="0" w:oddHBand="0" w:evenHBand="0" w:firstRowFirstColumn="0" w:firstRowLastColumn="0" w:lastRowFirstColumn="0" w:lastRowLastColumn="0"/>
              <w:rPr>
                <w:sz w:val="20"/>
                <w:szCs w:val="20"/>
              </w:rPr>
            </w:pPr>
          </w:p>
        </w:tc>
      </w:tr>
      <w:tr w:rsidR="0070272F" w:rsidRPr="009A27ED" w14:paraId="0E73501F" w14:textId="77777777" w:rsidTr="00AF66EF">
        <w:trPr>
          <w:trHeight w:val="24389"/>
        </w:trPr>
        <w:tc>
          <w:tcPr>
            <w:cnfStyle w:val="001000000000" w:firstRow="0" w:lastRow="0" w:firstColumn="1" w:lastColumn="0" w:oddVBand="0" w:evenVBand="0" w:oddHBand="0" w:evenHBand="0" w:firstRowFirstColumn="0" w:firstRowLastColumn="0" w:lastRowFirstColumn="0" w:lastRowLastColumn="0"/>
            <w:tcW w:w="2836" w:type="dxa"/>
            <w:vMerge/>
          </w:tcPr>
          <w:p w14:paraId="69238F65" w14:textId="77777777" w:rsidR="0070272F" w:rsidRPr="009A27ED" w:rsidRDefault="0070272F" w:rsidP="00AF66EF">
            <w:pPr>
              <w:autoSpaceDE w:val="0"/>
              <w:autoSpaceDN w:val="0"/>
              <w:adjustRightInd w:val="0"/>
              <w:rPr>
                <w:color w:val="000000" w:themeColor="text1"/>
                <w:sz w:val="20"/>
                <w:szCs w:val="20"/>
              </w:rPr>
            </w:pPr>
          </w:p>
        </w:tc>
        <w:tc>
          <w:tcPr>
            <w:tcW w:w="1554" w:type="dxa"/>
            <w:tcBorders>
              <w:top w:val="single" w:sz="4" w:space="0" w:color="BDD6EE" w:themeColor="accent1" w:themeTint="66"/>
            </w:tcBorders>
          </w:tcPr>
          <w:p w14:paraId="1440F980" w14:textId="77777777" w:rsidR="0070272F" w:rsidRPr="009A27ED" w:rsidRDefault="0070272F" w:rsidP="00AF66EF">
            <w:pPr>
              <w:jc w:val="left"/>
              <w:cnfStyle w:val="000000000000" w:firstRow="0" w:lastRow="0" w:firstColumn="0" w:lastColumn="0" w:oddVBand="0" w:evenVBand="0" w:oddHBand="0" w:evenHBand="0" w:firstRowFirstColumn="0" w:firstRowLastColumn="0" w:lastRowFirstColumn="0" w:lastRowLastColumn="0"/>
              <w:rPr>
                <w:b/>
                <w:sz w:val="20"/>
                <w:szCs w:val="20"/>
              </w:rPr>
            </w:pPr>
            <w:r w:rsidRPr="009A27ED">
              <w:rPr>
                <w:b/>
                <w:sz w:val="20"/>
                <w:szCs w:val="20"/>
              </w:rPr>
              <w:t>Ley General de Medio Ambiente y Recursos Naturales (Ley 64-00)</w:t>
            </w:r>
          </w:p>
          <w:p w14:paraId="1BB054E1" w14:textId="77777777" w:rsidR="0070272F" w:rsidRPr="009A27ED" w:rsidRDefault="0070272F" w:rsidP="00AF66EF">
            <w:pPr>
              <w:jc w:val="left"/>
              <w:cnfStyle w:val="000000000000" w:firstRow="0" w:lastRow="0" w:firstColumn="0" w:lastColumn="0" w:oddVBand="0" w:evenVBand="0" w:oddHBand="0" w:evenHBand="0" w:firstRowFirstColumn="0" w:firstRowLastColumn="0" w:lastRowFirstColumn="0" w:lastRowLastColumn="0"/>
              <w:rPr>
                <w:b/>
                <w:sz w:val="20"/>
                <w:szCs w:val="20"/>
              </w:rPr>
            </w:pPr>
          </w:p>
          <w:p w14:paraId="56B50A1D" w14:textId="77777777" w:rsidR="0070272F" w:rsidRPr="009A27ED" w:rsidRDefault="0070272F" w:rsidP="00AF66EF">
            <w:pPr>
              <w:jc w:val="left"/>
              <w:cnfStyle w:val="000000000000" w:firstRow="0" w:lastRow="0" w:firstColumn="0" w:lastColumn="0" w:oddVBand="0" w:evenVBand="0" w:oddHBand="0" w:evenHBand="0" w:firstRowFirstColumn="0" w:firstRowLastColumn="0" w:lastRowFirstColumn="0" w:lastRowLastColumn="0"/>
              <w:rPr>
                <w:color w:val="FF0000"/>
                <w:sz w:val="20"/>
                <w:szCs w:val="20"/>
              </w:rPr>
            </w:pPr>
          </w:p>
        </w:tc>
        <w:tc>
          <w:tcPr>
            <w:tcW w:w="2840" w:type="dxa"/>
            <w:tcBorders>
              <w:top w:val="single" w:sz="4" w:space="0" w:color="BDD6EE" w:themeColor="accent1" w:themeTint="66"/>
            </w:tcBorders>
          </w:tcPr>
          <w:p w14:paraId="7A51D439" w14:textId="77777777" w:rsidR="0070272F" w:rsidRPr="009A27ED" w:rsidRDefault="0070272F" w:rsidP="00AF66EF">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color w:val="000000"/>
                <w:sz w:val="20"/>
                <w:szCs w:val="20"/>
                <w:shd w:val="clear" w:color="auto" w:fill="FFFFFF"/>
                <w:lang w:eastAsia="es-ES"/>
              </w:rPr>
            </w:pPr>
            <w:r w:rsidRPr="009A27ED">
              <w:rPr>
                <w:bCs/>
                <w:color w:val="000000"/>
                <w:sz w:val="20"/>
                <w:szCs w:val="20"/>
                <w:lang w:eastAsia="es-ES"/>
              </w:rPr>
              <w:t>La Ley 64-00 dedica el Capítulo VI al tema de los bosques. En este capítulo señala el</w:t>
            </w:r>
            <w:r w:rsidRPr="009A27ED">
              <w:rPr>
                <w:b/>
                <w:bCs/>
                <w:color w:val="000000"/>
                <w:sz w:val="20"/>
                <w:szCs w:val="20"/>
                <w:lang w:eastAsia="es-ES"/>
              </w:rPr>
              <w:t xml:space="preserve"> Artículo 154</w:t>
            </w:r>
            <w:r w:rsidRPr="009A27ED">
              <w:rPr>
                <w:bCs/>
                <w:color w:val="000000"/>
                <w:sz w:val="20"/>
                <w:szCs w:val="20"/>
                <w:lang w:eastAsia="es-ES"/>
              </w:rPr>
              <w:t>que:</w:t>
            </w:r>
            <w:r w:rsidRPr="009A27ED">
              <w:rPr>
                <w:color w:val="000000"/>
                <w:sz w:val="20"/>
                <w:szCs w:val="20"/>
                <w:lang w:eastAsia="es-ES"/>
              </w:rPr>
              <w:t> “</w:t>
            </w:r>
            <w:r w:rsidRPr="009A27ED">
              <w:rPr>
                <w:i/>
                <w:color w:val="000000"/>
                <w:sz w:val="20"/>
                <w:szCs w:val="20"/>
                <w:shd w:val="clear" w:color="auto" w:fill="FFFFFF"/>
                <w:lang w:eastAsia="es-ES"/>
              </w:rPr>
              <w:t>El manejo y uso de los bosques y suelos forestales debe ser sostenible. Una ley especial normará el manejo forestal integral y el uso sostenible de los recursos del bosque para los fines de su conservación, explotación, producción, industrialización y comercialización, así como la preservación de otros recursos naturales que forman parte de su ecosistema y del medio ambiente en general</w:t>
            </w:r>
            <w:r w:rsidRPr="009A27ED">
              <w:rPr>
                <w:color w:val="000000"/>
                <w:sz w:val="20"/>
                <w:szCs w:val="20"/>
                <w:shd w:val="clear" w:color="auto" w:fill="FFFFFF"/>
                <w:lang w:eastAsia="es-ES"/>
              </w:rPr>
              <w:t>”.</w:t>
            </w:r>
          </w:p>
          <w:p w14:paraId="304778CF" w14:textId="2957A79D" w:rsidR="0070272F" w:rsidRPr="009A27ED" w:rsidRDefault="0070272F" w:rsidP="00AF66EF">
            <w:pPr>
              <w:spacing w:after="0"/>
              <w:ind w:left="34"/>
              <w:cnfStyle w:val="000000000000" w:firstRow="0" w:lastRow="0" w:firstColumn="0" w:lastColumn="0" w:oddVBand="0" w:evenVBand="0" w:oddHBand="0" w:evenHBand="0" w:firstRowFirstColumn="0" w:firstRowLastColumn="0" w:lastRowFirstColumn="0" w:lastRowLastColumn="0"/>
              <w:rPr>
                <w:color w:val="000000"/>
                <w:sz w:val="20"/>
                <w:szCs w:val="20"/>
                <w:shd w:val="clear" w:color="auto" w:fill="FFFFFF"/>
                <w:lang w:eastAsia="es-ES"/>
              </w:rPr>
            </w:pPr>
            <w:r w:rsidRPr="009A27ED">
              <w:rPr>
                <w:bCs/>
                <w:color w:val="000000"/>
                <w:sz w:val="20"/>
                <w:szCs w:val="20"/>
                <w:lang w:eastAsia="es-ES"/>
              </w:rPr>
              <w:t>En ese mismo capítulo señala su</w:t>
            </w:r>
            <w:r w:rsidRPr="009A27ED">
              <w:rPr>
                <w:b/>
                <w:bCs/>
                <w:color w:val="000000"/>
                <w:sz w:val="20"/>
                <w:szCs w:val="20"/>
                <w:lang w:eastAsia="es-ES"/>
              </w:rPr>
              <w:t xml:space="preserve"> Artículo 155 </w:t>
            </w:r>
            <w:r w:rsidRPr="009A27ED">
              <w:rPr>
                <w:bCs/>
                <w:color w:val="000000"/>
                <w:sz w:val="20"/>
                <w:szCs w:val="20"/>
                <w:lang w:eastAsia="es-ES"/>
              </w:rPr>
              <w:t>que:</w:t>
            </w:r>
            <w:r w:rsidRPr="009A27ED">
              <w:rPr>
                <w:b/>
                <w:bCs/>
                <w:color w:val="000000"/>
                <w:sz w:val="20"/>
                <w:szCs w:val="20"/>
                <w:lang w:eastAsia="es-ES"/>
              </w:rPr>
              <w:t xml:space="preserve"> </w:t>
            </w:r>
            <w:r w:rsidRPr="009A27ED">
              <w:rPr>
                <w:color w:val="000000"/>
                <w:sz w:val="20"/>
                <w:szCs w:val="20"/>
                <w:lang w:eastAsia="es-ES"/>
              </w:rPr>
              <w:t>“</w:t>
            </w:r>
            <w:r w:rsidRPr="009A27ED">
              <w:rPr>
                <w:i/>
                <w:color w:val="000000"/>
                <w:sz w:val="20"/>
                <w:szCs w:val="20"/>
                <w:shd w:val="clear" w:color="auto" w:fill="FFFFFF"/>
                <w:lang w:eastAsia="es-ES"/>
              </w:rPr>
              <w:t>La Secretaría de Estado de Medio Ambiente y Recursos Naturales clasificará los bosques de acuerdo con su finalidad, considerando los aspectos de conservación, protección y producción</w:t>
            </w:r>
            <w:r w:rsidRPr="009A27ED">
              <w:rPr>
                <w:color w:val="000000"/>
                <w:sz w:val="20"/>
                <w:szCs w:val="20"/>
                <w:shd w:val="clear" w:color="auto" w:fill="FFFFFF"/>
                <w:lang w:eastAsia="es-ES"/>
              </w:rPr>
              <w:t xml:space="preserve">”. Y sobre la destrucción de los bosques nativos hace referencia el </w:t>
            </w:r>
            <w:r w:rsidRPr="009A27ED">
              <w:rPr>
                <w:b/>
                <w:bCs/>
                <w:color w:val="000000"/>
                <w:sz w:val="20"/>
                <w:szCs w:val="20"/>
                <w:lang w:eastAsia="es-ES"/>
              </w:rPr>
              <w:t xml:space="preserve">Artículo 156 </w:t>
            </w:r>
            <w:r w:rsidRPr="009A27ED">
              <w:rPr>
                <w:bCs/>
                <w:color w:val="000000"/>
                <w:sz w:val="20"/>
                <w:szCs w:val="20"/>
                <w:lang w:eastAsia="es-ES"/>
              </w:rPr>
              <w:t xml:space="preserve">cuando establece </w:t>
            </w:r>
            <w:r w:rsidR="001B6C5C" w:rsidRPr="009A27ED">
              <w:rPr>
                <w:bCs/>
                <w:color w:val="000000"/>
                <w:sz w:val="20"/>
                <w:szCs w:val="20"/>
                <w:lang w:eastAsia="es-ES"/>
              </w:rPr>
              <w:t xml:space="preserve">que: </w:t>
            </w:r>
            <w:r w:rsidR="001B6C5C" w:rsidRPr="009A27ED">
              <w:rPr>
                <w:color w:val="000000"/>
                <w:sz w:val="20"/>
                <w:szCs w:val="20"/>
                <w:lang w:eastAsia="es-ES"/>
              </w:rPr>
              <w:t>“</w:t>
            </w:r>
            <w:r w:rsidR="001B6C5C" w:rsidRPr="009A27ED">
              <w:rPr>
                <w:i/>
                <w:color w:val="000000"/>
                <w:sz w:val="20"/>
                <w:szCs w:val="20"/>
                <w:shd w:val="clear" w:color="auto" w:fill="FFFFFF"/>
                <w:lang w:eastAsia="es-ES"/>
              </w:rPr>
              <w:t>Se</w:t>
            </w:r>
            <w:r w:rsidRPr="009A27ED">
              <w:rPr>
                <w:i/>
                <w:color w:val="000000"/>
                <w:sz w:val="20"/>
                <w:szCs w:val="20"/>
                <w:shd w:val="clear" w:color="auto" w:fill="FFFFFF"/>
                <w:lang w:eastAsia="es-ES"/>
              </w:rPr>
              <w:t xml:space="preserve"> prohíbe la destrucción de los bosques nativos</w:t>
            </w:r>
            <w:r w:rsidRPr="009A27ED">
              <w:rPr>
                <w:color w:val="000000"/>
                <w:sz w:val="20"/>
                <w:szCs w:val="20"/>
                <w:shd w:val="clear" w:color="auto" w:fill="FFFFFF"/>
                <w:lang w:eastAsia="es-ES"/>
              </w:rPr>
              <w:t>”.</w:t>
            </w:r>
          </w:p>
          <w:p w14:paraId="40F25878" w14:textId="77777777" w:rsidR="0070272F" w:rsidRPr="009A27ED" w:rsidRDefault="0070272F" w:rsidP="00AF66EF">
            <w:pPr>
              <w:spacing w:after="0"/>
              <w:ind w:left="34"/>
              <w:cnfStyle w:val="000000000000" w:firstRow="0" w:lastRow="0" w:firstColumn="0" w:lastColumn="0" w:oddVBand="0" w:evenVBand="0" w:oddHBand="0" w:evenHBand="0" w:firstRowFirstColumn="0" w:firstRowLastColumn="0" w:lastRowFirstColumn="0" w:lastRowLastColumn="0"/>
              <w:rPr>
                <w:color w:val="000000"/>
                <w:sz w:val="20"/>
                <w:szCs w:val="20"/>
                <w:shd w:val="clear" w:color="auto" w:fill="FFFFFF"/>
                <w:lang w:eastAsia="es-ES"/>
              </w:rPr>
            </w:pPr>
          </w:p>
          <w:p w14:paraId="2C38C112" w14:textId="77777777" w:rsidR="0070272F" w:rsidRPr="009A27ED" w:rsidRDefault="0070272F" w:rsidP="00AF66EF">
            <w:pPr>
              <w:spacing w:after="0"/>
              <w:cnfStyle w:val="000000000000" w:firstRow="0" w:lastRow="0" w:firstColumn="0" w:lastColumn="0" w:oddVBand="0" w:evenVBand="0" w:oddHBand="0" w:evenHBand="0" w:firstRowFirstColumn="0" w:firstRowLastColumn="0" w:lastRowFirstColumn="0" w:lastRowLastColumn="0"/>
              <w:rPr>
                <w:i/>
                <w:color w:val="000000"/>
                <w:sz w:val="20"/>
                <w:szCs w:val="20"/>
                <w:shd w:val="clear" w:color="auto" w:fill="FFFFFF"/>
                <w:lang w:eastAsia="es-ES"/>
              </w:rPr>
            </w:pPr>
            <w:r w:rsidRPr="009A27ED">
              <w:rPr>
                <w:bCs/>
                <w:color w:val="000000"/>
                <w:sz w:val="20"/>
                <w:szCs w:val="20"/>
                <w:lang w:eastAsia="es-ES"/>
              </w:rPr>
              <w:t xml:space="preserve">No obstante establecer restricciones, esta Ley permite el aprovechamiento del bosque de manera sostenible y dice en su </w:t>
            </w:r>
            <w:r w:rsidRPr="009A27ED">
              <w:rPr>
                <w:b/>
                <w:bCs/>
                <w:color w:val="000000"/>
                <w:sz w:val="20"/>
                <w:szCs w:val="20"/>
                <w:lang w:eastAsia="es-ES"/>
              </w:rPr>
              <w:t>Artículo 157</w:t>
            </w:r>
            <w:r w:rsidRPr="009A27ED">
              <w:rPr>
                <w:bCs/>
                <w:color w:val="000000"/>
                <w:sz w:val="20"/>
                <w:szCs w:val="20"/>
                <w:lang w:eastAsia="es-ES"/>
              </w:rPr>
              <w:t>que:</w:t>
            </w:r>
            <w:r w:rsidRPr="009A27ED">
              <w:rPr>
                <w:color w:val="000000"/>
                <w:sz w:val="20"/>
                <w:szCs w:val="20"/>
                <w:lang w:eastAsia="es-ES"/>
              </w:rPr>
              <w:t> “</w:t>
            </w:r>
            <w:r w:rsidRPr="009A27ED">
              <w:rPr>
                <w:i/>
                <w:color w:val="000000"/>
                <w:sz w:val="20"/>
                <w:szCs w:val="20"/>
                <w:shd w:val="clear" w:color="auto" w:fill="FFFFFF"/>
                <w:lang w:eastAsia="es-ES"/>
              </w:rPr>
              <w:t>Se permitirá el aprovechamiento de las plantaciones forestales hechas con fines comerciales en las cuencas medias y bajas, así como en los suelos llanos que se dediquen a la producción comercial de especies arbóreas y maderables</w:t>
            </w:r>
            <w:r w:rsidRPr="009A27ED">
              <w:rPr>
                <w:color w:val="000000"/>
                <w:sz w:val="20"/>
                <w:szCs w:val="20"/>
                <w:shd w:val="clear" w:color="auto" w:fill="FFFFFF"/>
                <w:lang w:eastAsia="es-ES"/>
              </w:rPr>
              <w:t xml:space="preserve">. </w:t>
            </w:r>
            <w:r w:rsidRPr="009A27ED">
              <w:rPr>
                <w:b/>
                <w:bCs/>
                <w:i/>
                <w:color w:val="000000"/>
                <w:sz w:val="20"/>
                <w:szCs w:val="20"/>
                <w:lang w:eastAsia="es-ES"/>
              </w:rPr>
              <w:t xml:space="preserve">Párrafo I: </w:t>
            </w:r>
            <w:r w:rsidRPr="009A27ED">
              <w:rPr>
                <w:i/>
                <w:color w:val="000000"/>
                <w:sz w:val="20"/>
                <w:szCs w:val="20"/>
                <w:shd w:val="clear" w:color="auto" w:fill="FFFFFF"/>
                <w:lang w:eastAsia="es-ES"/>
              </w:rPr>
              <w:t xml:space="preserve">Las normativas forestales estarán regidas por la ley sectorial, y, hasta tanto no se ejecute el inventario forestal nacional del bosque nativo, queda prohibido el corte, aprovechamiento, aserrío e industrialización de árboles nativos. </w:t>
            </w:r>
            <w:r w:rsidRPr="009A27ED">
              <w:rPr>
                <w:b/>
                <w:bCs/>
                <w:i/>
                <w:color w:val="000000"/>
                <w:sz w:val="20"/>
                <w:szCs w:val="20"/>
                <w:lang w:eastAsia="es-ES"/>
              </w:rPr>
              <w:t>Párrafo II:</w:t>
            </w:r>
            <w:r w:rsidRPr="009A27ED">
              <w:rPr>
                <w:i/>
                <w:color w:val="000000"/>
                <w:sz w:val="20"/>
                <w:szCs w:val="20"/>
                <w:lang w:eastAsia="es-ES"/>
              </w:rPr>
              <w:t> </w:t>
            </w:r>
            <w:r w:rsidRPr="009A27ED">
              <w:rPr>
                <w:i/>
                <w:color w:val="000000"/>
                <w:sz w:val="20"/>
                <w:szCs w:val="20"/>
                <w:shd w:val="clear" w:color="auto" w:fill="FFFFFF"/>
                <w:lang w:eastAsia="es-ES"/>
              </w:rPr>
              <w:t xml:space="preserve">Con el fin de actualizar la existencia de la reserva forestal nacional </w:t>
            </w:r>
            <w:r w:rsidRPr="009A27ED">
              <w:rPr>
                <w:i/>
                <w:color w:val="000000"/>
                <w:sz w:val="20"/>
                <w:szCs w:val="20"/>
                <w:shd w:val="clear" w:color="auto" w:fill="FFFFFF"/>
                <w:lang w:eastAsia="es-ES"/>
              </w:rPr>
              <w:lastRenderedPageBreak/>
              <w:t>de los bosques nativos y de plantaciones artificiales con fines comerciales, se establece un plazo máximo de un (1) año, a partir de la vigencia de esta ley, para que la Secretaría de Estado de Medio Ambiente y Recursos Naturales planifique y ejecute un inventario nacional, el cual deberá reflejar, entre otros aspectos, lo referente a: 1) Bosques nativos de áreas nativas protegidas; 2) Bosques nativos correspondientes a categoría de protección; 3)  Bosques nativos correspondientes a categoría de protección y producción; 4) Bosques nativos correspondientes a categoría de producción; 5) Bosques artificiales correspondientes a categoría de protección y producción; 6) Bosques artificiales correspondientes a categoría de producción”.</w:t>
            </w:r>
          </w:p>
          <w:p w14:paraId="1853A256" w14:textId="77777777" w:rsidR="0070272F" w:rsidRPr="009A27ED" w:rsidRDefault="0070272F" w:rsidP="00AF66EF">
            <w:pPr>
              <w:spacing w:after="0"/>
              <w:cnfStyle w:val="000000000000" w:firstRow="0" w:lastRow="0" w:firstColumn="0" w:lastColumn="0" w:oddVBand="0" w:evenVBand="0" w:oddHBand="0" w:evenHBand="0" w:firstRowFirstColumn="0" w:firstRowLastColumn="0" w:lastRowFirstColumn="0" w:lastRowLastColumn="0"/>
              <w:rPr>
                <w:color w:val="000000"/>
                <w:sz w:val="20"/>
                <w:szCs w:val="20"/>
                <w:shd w:val="clear" w:color="auto" w:fill="FFFFFF"/>
                <w:lang w:eastAsia="es-ES"/>
              </w:rPr>
            </w:pPr>
          </w:p>
          <w:p w14:paraId="5B878C11"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bCs/>
                <w:color w:val="000000"/>
                <w:sz w:val="20"/>
                <w:szCs w:val="20"/>
                <w:lang w:eastAsia="es-ES"/>
              </w:rPr>
              <w:t xml:space="preserve">La misma Ley 64-00 le establece además responsabilidades también a los productores privados y dice en el </w:t>
            </w:r>
            <w:r w:rsidRPr="009A27ED">
              <w:rPr>
                <w:b/>
                <w:bCs/>
                <w:color w:val="000000"/>
                <w:sz w:val="20"/>
                <w:szCs w:val="20"/>
                <w:lang w:eastAsia="es-ES"/>
              </w:rPr>
              <w:t>Artículo 158.-</w:t>
            </w:r>
            <w:r w:rsidRPr="009A27ED">
              <w:rPr>
                <w:color w:val="000000"/>
                <w:sz w:val="20"/>
                <w:szCs w:val="20"/>
                <w:lang w:eastAsia="es-ES"/>
              </w:rPr>
              <w:t> </w:t>
            </w:r>
            <w:r w:rsidRPr="009A27ED">
              <w:rPr>
                <w:color w:val="000000"/>
                <w:sz w:val="20"/>
                <w:szCs w:val="20"/>
                <w:shd w:val="clear" w:color="auto" w:fill="FFFFFF"/>
                <w:lang w:eastAsia="es-ES"/>
              </w:rPr>
              <w:t>Todos los propietarios de la zona rural deberán mantener o recuperar un porcentaje mínimo de la cobertura forestal, que será definido por la Secretaría de Estado de Medio Ambiente y Recursos Naturales para cada una de las Unidades de Gerencia Ambiental.</w:t>
            </w:r>
          </w:p>
        </w:tc>
        <w:tc>
          <w:tcPr>
            <w:tcW w:w="2546" w:type="dxa"/>
            <w:tcBorders>
              <w:top w:val="single" w:sz="4" w:space="0" w:color="BDD6EE" w:themeColor="accent1" w:themeTint="66"/>
            </w:tcBorders>
          </w:tcPr>
          <w:p w14:paraId="7A15454F"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p>
          <w:p w14:paraId="1D10DF70"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La Ley General sobre Medio Ambiente y Recursos Naturales dispone que el manejo forestal deberá ajustarse a las leyes, reglamentos y disposiciones técnicas y administrativas vigentes. </w:t>
            </w:r>
          </w:p>
          <w:p w14:paraId="2B58895B" w14:textId="77777777" w:rsidR="0070272F" w:rsidRPr="009A27ED" w:rsidDel="002A1072"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lang w:val="es-GT"/>
              </w:rPr>
              <w:t>El Plan de manejo es el instrumento que evalúa el Ministerio de Medio Ambiente  para emitir una constancia ambiental (clasificada como Categoría C en el Reglamento del Proceso de Evaluación Ambiental.</w:t>
            </w:r>
          </w:p>
        </w:tc>
        <w:tc>
          <w:tcPr>
            <w:tcW w:w="2268" w:type="dxa"/>
            <w:tcBorders>
              <w:top w:val="single" w:sz="4" w:space="0" w:color="BDD6EE" w:themeColor="accent1" w:themeTint="66"/>
            </w:tcBorders>
          </w:tcPr>
          <w:p w14:paraId="7E9A2E56"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No se observan vacíos legales en esta ley marco ya que ordena entre otros objetivos; la conservación, la protección de los bosques.</w:t>
            </w:r>
          </w:p>
        </w:tc>
        <w:tc>
          <w:tcPr>
            <w:tcW w:w="3124" w:type="dxa"/>
            <w:tcBorders>
              <w:top w:val="single" w:sz="4" w:space="0" w:color="BDD6EE" w:themeColor="accent1" w:themeTint="66"/>
            </w:tcBorders>
          </w:tcPr>
          <w:p w14:paraId="7BF0A7FA" w14:textId="77777777" w:rsidR="0070272F" w:rsidRPr="009A27ED" w:rsidRDefault="0070272F" w:rsidP="00AF66EF">
            <w:pPr>
              <w:pStyle w:val="Default"/>
              <w:numPr>
                <w:ilvl w:val="0"/>
                <w:numId w:val="268"/>
              </w:num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sz w:val="20"/>
                <w:szCs w:val="20"/>
                <w:lang w:val="es-ES"/>
              </w:rPr>
            </w:pPr>
            <w:r w:rsidRPr="009A27ED">
              <w:rPr>
                <w:rFonts w:asciiTheme="minorHAnsi" w:hAnsiTheme="minorHAnsi" w:cstheme="minorHAnsi"/>
                <w:color w:val="000000" w:themeColor="text1"/>
                <w:sz w:val="20"/>
                <w:szCs w:val="20"/>
                <w:lang w:val="es-DO"/>
              </w:rPr>
              <w:t xml:space="preserve">Sin embargo, deberá fortalecerse </w:t>
            </w:r>
            <w:r w:rsidRPr="009A27ED">
              <w:rPr>
                <w:rFonts w:asciiTheme="minorHAnsi" w:hAnsiTheme="minorHAnsi" w:cstheme="minorHAnsi"/>
                <w:sz w:val="20"/>
                <w:szCs w:val="20"/>
                <w:lang w:val="es-DO"/>
              </w:rPr>
              <w:t>la capacidad institucional para poner en práctica los lineamientos de la OP 4.36 y de la OP 4.01 para poder evaluar y establecer medidas para los proyectos o programas que puedan afectar los bosques naturales.</w:t>
            </w:r>
          </w:p>
          <w:p w14:paraId="5A692312" w14:textId="77777777" w:rsidR="0070272F" w:rsidRPr="009A27ED" w:rsidRDefault="0070272F" w:rsidP="00AF66EF">
            <w:pPr>
              <w:pStyle w:val="Default"/>
              <w:numPr>
                <w:ilvl w:val="0"/>
                <w:numId w:val="268"/>
              </w:num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sz w:val="20"/>
                <w:szCs w:val="20"/>
                <w:lang w:val="es-ES"/>
              </w:rPr>
            </w:pPr>
            <w:r w:rsidRPr="009A27ED">
              <w:rPr>
                <w:rFonts w:asciiTheme="minorHAnsi" w:hAnsiTheme="minorHAnsi" w:cstheme="minorHAnsi"/>
                <w:sz w:val="20"/>
                <w:szCs w:val="20"/>
                <w:lang w:val="es-DO"/>
              </w:rPr>
              <w:t>Se implementarán los lineamientos establecidos en el MGAS tomándose en cuenta la OP 4.36</w:t>
            </w:r>
          </w:p>
        </w:tc>
      </w:tr>
      <w:tr w:rsidR="0070272F" w:rsidRPr="009A27ED" w14:paraId="4E2A4645" w14:textId="77777777" w:rsidTr="00AF66EF">
        <w:tc>
          <w:tcPr>
            <w:cnfStyle w:val="001000000000" w:firstRow="0" w:lastRow="0" w:firstColumn="1" w:lastColumn="0" w:oddVBand="0" w:evenVBand="0" w:oddHBand="0" w:evenHBand="0" w:firstRowFirstColumn="0" w:firstRowLastColumn="0" w:lastRowFirstColumn="0" w:lastRowLastColumn="0"/>
            <w:tcW w:w="2836" w:type="dxa"/>
            <w:vMerge/>
          </w:tcPr>
          <w:p w14:paraId="78D55BEC" w14:textId="77777777" w:rsidR="0070272F" w:rsidRPr="009A27ED" w:rsidRDefault="0070272F" w:rsidP="00AF66EF">
            <w:pPr>
              <w:autoSpaceDE w:val="0"/>
              <w:autoSpaceDN w:val="0"/>
              <w:adjustRightInd w:val="0"/>
              <w:rPr>
                <w:sz w:val="20"/>
                <w:szCs w:val="20"/>
              </w:rPr>
            </w:pPr>
          </w:p>
        </w:tc>
        <w:tc>
          <w:tcPr>
            <w:tcW w:w="1554" w:type="dxa"/>
          </w:tcPr>
          <w:p w14:paraId="2C346273" w14:textId="77777777" w:rsidR="0070272F" w:rsidRPr="009A27ED" w:rsidRDefault="0070272F" w:rsidP="00AF66EF">
            <w:pPr>
              <w:jc w:val="left"/>
              <w:cnfStyle w:val="000000000000" w:firstRow="0" w:lastRow="0" w:firstColumn="0" w:lastColumn="0" w:oddVBand="0" w:evenVBand="0" w:oddHBand="0" w:evenHBand="0" w:firstRowFirstColumn="0" w:firstRowLastColumn="0" w:lastRowFirstColumn="0" w:lastRowLastColumn="0"/>
              <w:rPr>
                <w:b/>
                <w:sz w:val="20"/>
                <w:szCs w:val="20"/>
              </w:rPr>
            </w:pPr>
            <w:r w:rsidRPr="009A27ED">
              <w:rPr>
                <w:b/>
                <w:sz w:val="20"/>
                <w:szCs w:val="20"/>
              </w:rPr>
              <w:t>Reglamento Forestal (RF)</w:t>
            </w:r>
          </w:p>
          <w:p w14:paraId="70B1970A" w14:textId="77777777" w:rsidR="0070272F" w:rsidRPr="009A27ED" w:rsidRDefault="0070272F" w:rsidP="00AF66EF">
            <w:pPr>
              <w:jc w:val="left"/>
              <w:cnfStyle w:val="000000000000" w:firstRow="0" w:lastRow="0" w:firstColumn="0" w:lastColumn="0" w:oddVBand="0" w:evenVBand="0" w:oddHBand="0" w:evenHBand="0" w:firstRowFirstColumn="0" w:firstRowLastColumn="0" w:lastRowFirstColumn="0" w:lastRowLastColumn="0"/>
              <w:rPr>
                <w:b/>
                <w:sz w:val="20"/>
                <w:szCs w:val="20"/>
              </w:rPr>
            </w:pPr>
          </w:p>
          <w:p w14:paraId="67FC3C7D" w14:textId="77777777" w:rsidR="0070272F" w:rsidRPr="009A27ED" w:rsidRDefault="0070272F" w:rsidP="00AF66EF">
            <w:pPr>
              <w:jc w:val="left"/>
              <w:cnfStyle w:val="000000000000" w:firstRow="0" w:lastRow="0" w:firstColumn="0" w:lastColumn="0" w:oddVBand="0" w:evenVBand="0" w:oddHBand="0" w:evenHBand="0" w:firstRowFirstColumn="0" w:firstRowLastColumn="0" w:lastRowFirstColumn="0" w:lastRowLastColumn="0"/>
              <w:rPr>
                <w:b/>
                <w:sz w:val="20"/>
                <w:szCs w:val="20"/>
              </w:rPr>
            </w:pPr>
          </w:p>
        </w:tc>
        <w:tc>
          <w:tcPr>
            <w:tcW w:w="2840" w:type="dxa"/>
          </w:tcPr>
          <w:p w14:paraId="52A969F1" w14:textId="1E80F310" w:rsidR="0070272F" w:rsidRPr="009A27ED" w:rsidRDefault="0070272F" w:rsidP="00AF66EF">
            <w:pPr>
              <w:spacing w:after="0"/>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En la temática relativa al manejo del bosque uno de los principales instrumentos es el Reglamento Forestal, esta establece en el </w:t>
            </w:r>
            <w:r w:rsidRPr="009A27ED">
              <w:rPr>
                <w:b/>
                <w:sz w:val="20"/>
                <w:szCs w:val="20"/>
              </w:rPr>
              <w:t>ARTICULO 1.</w:t>
            </w:r>
            <w:r w:rsidRPr="009A27ED">
              <w:rPr>
                <w:sz w:val="20"/>
                <w:szCs w:val="20"/>
              </w:rPr>
              <w:t xml:space="preserve"> El presente Reglamento Forestal, tiene por objeto establecer las pautas necesarias para la adecuada aplicación y cumplimiento de la Ley General de Medio Ambiente y Recursos Naturales No. 64-00 del 18 de agosto del año 2000, en lo que respecta a los recursos forestales. </w:t>
            </w:r>
            <w:r w:rsidR="001B6C5C" w:rsidRPr="009A27ED">
              <w:rPr>
                <w:sz w:val="20"/>
                <w:szCs w:val="20"/>
              </w:rPr>
              <w:t xml:space="preserve">Son objetivos de este Reglamento: </w:t>
            </w:r>
            <w:r w:rsidR="001B6C5C" w:rsidRPr="009A27ED">
              <w:rPr>
                <w:b/>
                <w:sz w:val="20"/>
                <w:szCs w:val="20"/>
              </w:rPr>
              <w:t>b)</w:t>
            </w:r>
            <w:r w:rsidR="001B6C5C" w:rsidRPr="009A27ED">
              <w:rPr>
                <w:sz w:val="20"/>
                <w:szCs w:val="20"/>
              </w:rPr>
              <w:t xml:space="preserve"> Promover la protección y el uso sostenible de los recursos forestales, estableciendo reglas que permitan la necesaria incorporación de la sociedad civil, en la gestión para el desarrollo y conservación de estos recursos; </w:t>
            </w:r>
            <w:r w:rsidR="001B6C5C" w:rsidRPr="009A27ED">
              <w:rPr>
                <w:b/>
                <w:sz w:val="20"/>
                <w:szCs w:val="20"/>
              </w:rPr>
              <w:t>c)</w:t>
            </w:r>
            <w:r w:rsidR="001B6C5C" w:rsidRPr="009A27ED">
              <w:rPr>
                <w:sz w:val="20"/>
                <w:szCs w:val="20"/>
              </w:rPr>
              <w:t xml:space="preserve"> Asegurar el ordenamiento, conservación y desarrollo sostenible de los bosques existentes, tanto en su calidad como en su distribución geográfica, y la recuperación forestal de áreas actualmente desprovistas de vegetación para garantizar sus funciones ecológicas, sociales y económicas; </w:t>
            </w:r>
            <w:r w:rsidR="001B6C5C" w:rsidRPr="009A27ED">
              <w:rPr>
                <w:b/>
                <w:sz w:val="20"/>
                <w:szCs w:val="20"/>
              </w:rPr>
              <w:t>d)</w:t>
            </w:r>
            <w:r w:rsidR="001B6C5C" w:rsidRPr="009A27ED">
              <w:rPr>
                <w:sz w:val="20"/>
                <w:szCs w:val="20"/>
              </w:rPr>
              <w:t xml:space="preserve"> Promover la restauración y el desarrollo de los bosques en tierras de aptitud forestal para que cumplan con la función de conservar suelos y aguas, la diversidad biológica, y producción de madera y otros productos tangibles del bosque; además de dinamizar el desarrollo mediante la generación de empleos que contribuyan al aumento de los ingresos, la disminución de la pobreza y el mejoramiento de la calidad de vida de la Nación Dominicana.</w:t>
            </w:r>
          </w:p>
          <w:p w14:paraId="485216EB"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En este reglamento queda establecido todo lo que, como responsabilidad, sobre el manejo forestal, tiene el Ministerio de </w:t>
            </w:r>
            <w:r w:rsidRPr="009A27ED">
              <w:rPr>
                <w:sz w:val="20"/>
                <w:szCs w:val="20"/>
              </w:rPr>
              <w:lastRenderedPageBreak/>
              <w:t>Medio Ambiente y en ese sentido se definen todas sus competencias en el ARTÍCULO 6. Para el cumplimiento de sus objetivos, corresponderá a la Secretaría de Estado de Medio Ambiente y Recursos Naturales, con la asistencia de la Subsecretaría de Recursos Forestales, el cumplimiento de toda la administración del tema forestal.</w:t>
            </w:r>
          </w:p>
        </w:tc>
        <w:tc>
          <w:tcPr>
            <w:tcW w:w="2546" w:type="dxa"/>
          </w:tcPr>
          <w:p w14:paraId="10462372" w14:textId="77777777" w:rsidR="0070272F" w:rsidRPr="009A27ED" w:rsidRDefault="0070272F" w:rsidP="00AF66EF">
            <w:pPr>
              <w:ind w:left="175"/>
              <w:cnfStyle w:val="000000000000" w:firstRow="0" w:lastRow="0" w:firstColumn="0" w:lastColumn="0" w:oddVBand="0" w:evenVBand="0" w:oddHBand="0" w:evenHBand="0" w:firstRowFirstColumn="0" w:firstRowLastColumn="0" w:lastRowFirstColumn="0" w:lastRowLastColumn="0"/>
              <w:rPr>
                <w:spacing w:val="-2"/>
                <w:sz w:val="20"/>
                <w:szCs w:val="20"/>
              </w:rPr>
            </w:pPr>
            <w:r w:rsidRPr="009A27ED">
              <w:rPr>
                <w:spacing w:val="-2"/>
                <w:sz w:val="20"/>
                <w:szCs w:val="20"/>
              </w:rPr>
              <w:lastRenderedPageBreak/>
              <w:t xml:space="preserve">El Reglamento Forestal establece los lineamientos para la adecuada aplicación y cumplimiento de la Ley General de Medio Ambiente y Recursos Naturales No. 64-00 en lo que respecta a la conservación y uso sostenible de los recursos forestales. </w:t>
            </w:r>
          </w:p>
          <w:p w14:paraId="6DCA795E" w14:textId="77777777" w:rsidR="0070272F" w:rsidRPr="009A27ED" w:rsidRDefault="0070272F" w:rsidP="00AF66EF">
            <w:pPr>
              <w:ind w:left="175"/>
              <w:cnfStyle w:val="000000000000" w:firstRow="0" w:lastRow="0" w:firstColumn="0" w:lastColumn="0" w:oddVBand="0" w:evenVBand="0" w:oddHBand="0" w:evenHBand="0" w:firstRowFirstColumn="0" w:firstRowLastColumn="0" w:lastRowFirstColumn="0" w:lastRowLastColumn="0"/>
              <w:rPr>
                <w:sz w:val="20"/>
                <w:szCs w:val="20"/>
              </w:rPr>
            </w:pPr>
            <w:r w:rsidRPr="009A27ED">
              <w:rPr>
                <w:spacing w:val="-2"/>
                <w:sz w:val="20"/>
                <w:szCs w:val="20"/>
              </w:rPr>
              <w:t xml:space="preserve">De manera específica, se dispone que el manejo de los bosques estará regulado a través de un plan de manejo forestal. </w:t>
            </w:r>
            <w:r w:rsidRPr="009A27ED">
              <w:rPr>
                <w:sz w:val="20"/>
                <w:szCs w:val="20"/>
                <w:lang w:val="es-GT"/>
              </w:rPr>
              <w:t>El Plan de manejo es el instrumento que evalúa el Ministerio de Medio Ambiente para emitir una constancia ambiental (clasificada como Categoría C en el Reglamento del Proceso de Evaluación Ambiental.</w:t>
            </w:r>
          </w:p>
          <w:p w14:paraId="0B9F0AC1"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Para solicitar la aprobación del Plan de Manejo ante el Ministerio de Medio Ambiente y Recursos Naturales debe de realizarse las Evaluaciones Ambientales, cumpliendo con las disposiciones del Compendio de Reglamentos y Procedimientos para Autorizaciones Ambientales.</w:t>
            </w:r>
          </w:p>
        </w:tc>
        <w:tc>
          <w:tcPr>
            <w:tcW w:w="2268" w:type="dxa"/>
          </w:tcPr>
          <w:p w14:paraId="6F6C4E79"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Existen debilidades institucionales relacionadas con la capacidad técnica para llevar a cabo las funciones Evaluación Ambiental.</w:t>
            </w:r>
          </w:p>
          <w:p w14:paraId="290B7949"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lang w:val="es-DO"/>
              </w:rPr>
            </w:pPr>
            <w:r w:rsidRPr="009A27ED">
              <w:rPr>
                <w:sz w:val="20"/>
                <w:szCs w:val="20"/>
              </w:rPr>
              <w:t>Existen debilidades institucionales para el establecimiento y aplicación de sistemas de seguimiento y monitoreo.</w:t>
            </w:r>
          </w:p>
          <w:p w14:paraId="3838ACC7"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lang w:val="es-DO"/>
              </w:rPr>
            </w:pPr>
            <w:r w:rsidRPr="009A27ED">
              <w:rPr>
                <w:sz w:val="20"/>
                <w:szCs w:val="20"/>
                <w:lang w:val="es-DO"/>
              </w:rPr>
              <w:t xml:space="preserve">Ante el largo período de evaluación y aprobación de la autorización el solicitante no puede asegurar un manejo adecuado de la parcela y cumplimiento con los planes operativos anuales previstos. </w:t>
            </w:r>
          </w:p>
          <w:p w14:paraId="71491E2A"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lang w:val="es-DO"/>
              </w:rPr>
            </w:pPr>
          </w:p>
        </w:tc>
        <w:tc>
          <w:tcPr>
            <w:tcW w:w="3124" w:type="dxa"/>
          </w:tcPr>
          <w:p w14:paraId="1D17233A" w14:textId="77777777" w:rsidR="0070272F" w:rsidRPr="009A27ED" w:rsidRDefault="0070272F" w:rsidP="00AF66EF">
            <w:pPr>
              <w:pStyle w:val="Prrafodelista"/>
              <w:numPr>
                <w:ilvl w:val="0"/>
                <w:numId w:val="267"/>
              </w:numPr>
              <w:spacing w:line="240" w:lineRule="auto"/>
              <w:ind w:left="507"/>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Para abordar la OP 4.36 se aplicarán los planteamientos de los instrumentos legales, definidos en el Reglamento Forestal (RF) y las Normas Técnicas para Planes de Manejo Forestal (NTMF) y las cuales describen los procedimientos que se deben desarrollar para lograr un manejo y aprovechamiento sostenible del bosque y hacen énfasis en la aplicación de las medidas definidas en los mismos para lograr su uso racional. </w:t>
            </w:r>
          </w:p>
          <w:p w14:paraId="1BAF2630" w14:textId="77777777" w:rsidR="0070272F" w:rsidRPr="009A27ED" w:rsidRDefault="0070272F" w:rsidP="00AF66EF">
            <w:pPr>
              <w:pStyle w:val="Prrafodelista"/>
              <w:numPr>
                <w:ilvl w:val="0"/>
                <w:numId w:val="267"/>
              </w:numPr>
              <w:spacing w:line="240" w:lineRule="auto"/>
              <w:ind w:left="507"/>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Fortalecimiento de la vigilancia en el cumplimiento de la Ley y su Reglamento en torno a los Planes de Manejo Forestal.</w:t>
            </w:r>
          </w:p>
          <w:p w14:paraId="2958C92B" w14:textId="77777777" w:rsidR="0070272F" w:rsidRPr="009A27ED" w:rsidRDefault="0070272F" w:rsidP="00AF66EF">
            <w:pPr>
              <w:pStyle w:val="Prrafodelista"/>
              <w:numPr>
                <w:ilvl w:val="0"/>
                <w:numId w:val="267"/>
              </w:numPr>
              <w:spacing w:line="240" w:lineRule="auto"/>
              <w:ind w:left="507"/>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Elaboración, mediante un proceso participativo, un manual de Buenas Prácticas forestales, a ser utilizado por las distintas Entidades Ejecutoras y Programas del programa REDD+ que intervienen en la reforestación y el manejo forestal sostenible.</w:t>
            </w:r>
          </w:p>
        </w:tc>
      </w:tr>
      <w:tr w:rsidR="0070272F" w:rsidRPr="009A27ED" w14:paraId="0AFE7B21" w14:textId="77777777" w:rsidTr="00AF66EF">
        <w:tc>
          <w:tcPr>
            <w:cnfStyle w:val="001000000000" w:firstRow="0" w:lastRow="0" w:firstColumn="1" w:lastColumn="0" w:oddVBand="0" w:evenVBand="0" w:oddHBand="0" w:evenHBand="0" w:firstRowFirstColumn="0" w:firstRowLastColumn="0" w:lastRowFirstColumn="0" w:lastRowLastColumn="0"/>
            <w:tcW w:w="2836" w:type="dxa"/>
          </w:tcPr>
          <w:p w14:paraId="46D6A221" w14:textId="77777777" w:rsidR="0070272F" w:rsidRPr="009A27ED" w:rsidRDefault="0070272F" w:rsidP="00AF66EF">
            <w:pPr>
              <w:autoSpaceDE w:val="0"/>
              <w:autoSpaceDN w:val="0"/>
              <w:adjustRightInd w:val="0"/>
              <w:rPr>
                <w:sz w:val="20"/>
                <w:szCs w:val="20"/>
              </w:rPr>
            </w:pPr>
          </w:p>
        </w:tc>
        <w:tc>
          <w:tcPr>
            <w:tcW w:w="1554" w:type="dxa"/>
          </w:tcPr>
          <w:p w14:paraId="33169665" w14:textId="77777777" w:rsidR="0070272F" w:rsidRPr="009A27ED" w:rsidRDefault="0070272F" w:rsidP="00AF66EF">
            <w:pPr>
              <w:jc w:val="left"/>
              <w:cnfStyle w:val="000000000000" w:firstRow="0" w:lastRow="0" w:firstColumn="0" w:lastColumn="0" w:oddVBand="0" w:evenVBand="0" w:oddHBand="0" w:evenHBand="0" w:firstRowFirstColumn="0" w:firstRowLastColumn="0" w:lastRowFirstColumn="0" w:lastRowLastColumn="0"/>
              <w:rPr>
                <w:b/>
                <w:sz w:val="20"/>
                <w:szCs w:val="20"/>
              </w:rPr>
            </w:pPr>
            <w:r w:rsidRPr="009A27ED">
              <w:rPr>
                <w:b/>
                <w:sz w:val="20"/>
                <w:szCs w:val="20"/>
              </w:rPr>
              <w:t>Ley que Establece Pagos por Servicios Ambientales (No. 44-18)</w:t>
            </w:r>
          </w:p>
        </w:tc>
        <w:tc>
          <w:tcPr>
            <w:tcW w:w="2840" w:type="dxa"/>
          </w:tcPr>
          <w:p w14:paraId="04946255"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lang w:val="es-DO"/>
              </w:rPr>
            </w:pPr>
            <w:r w:rsidRPr="009A27ED">
              <w:rPr>
                <w:sz w:val="20"/>
                <w:szCs w:val="20"/>
              </w:rPr>
              <w:t xml:space="preserve">En el </w:t>
            </w:r>
            <w:r w:rsidRPr="009A27ED">
              <w:rPr>
                <w:b/>
                <w:sz w:val="20"/>
                <w:szCs w:val="20"/>
              </w:rPr>
              <w:t>Artículo 3</w:t>
            </w:r>
            <w:r w:rsidRPr="009A27ED">
              <w:rPr>
                <w:sz w:val="20"/>
                <w:szCs w:val="20"/>
              </w:rPr>
              <w:t xml:space="preserve"> relativo a las definiciones establecidas para la aplicación de la presente ley, establece lo siguiente: “26. </w:t>
            </w:r>
            <w:r w:rsidRPr="009A27ED">
              <w:rPr>
                <w:b/>
                <w:sz w:val="20"/>
                <w:szCs w:val="20"/>
              </w:rPr>
              <w:t>Plantación Forestal</w:t>
            </w:r>
            <w:r w:rsidRPr="009A27ED">
              <w:rPr>
                <w:sz w:val="20"/>
                <w:szCs w:val="20"/>
                <w:lang w:val="es-DO"/>
              </w:rPr>
              <w:t>: Una porción de terreno plantada con especies forestales que</w:t>
            </w:r>
            <w:r w:rsidRPr="009A27ED">
              <w:rPr>
                <w:sz w:val="20"/>
                <w:szCs w:val="20"/>
              </w:rPr>
              <w:t xml:space="preserve"> </w:t>
            </w:r>
            <w:r w:rsidRPr="009A27ED">
              <w:rPr>
                <w:sz w:val="20"/>
                <w:szCs w:val="20"/>
                <w:lang w:val="es-DO"/>
              </w:rPr>
              <w:t>han superado la etapa de establecimiento. Las plantaciones forestales pueden</w:t>
            </w:r>
            <w:r w:rsidRPr="009A27ED">
              <w:rPr>
                <w:sz w:val="20"/>
                <w:szCs w:val="20"/>
              </w:rPr>
              <w:t xml:space="preserve"> </w:t>
            </w:r>
            <w:r w:rsidRPr="009A27ED">
              <w:rPr>
                <w:sz w:val="20"/>
                <w:szCs w:val="20"/>
                <w:lang w:val="es-DO"/>
              </w:rPr>
              <w:t>convertirse en bosques plantados, bosques mixtos, o simplemente en hileras de</w:t>
            </w:r>
            <w:r w:rsidRPr="009A27ED">
              <w:rPr>
                <w:sz w:val="20"/>
                <w:szCs w:val="20"/>
              </w:rPr>
              <w:t xml:space="preserve"> </w:t>
            </w:r>
            <w:r w:rsidRPr="009A27ED">
              <w:rPr>
                <w:sz w:val="20"/>
                <w:szCs w:val="20"/>
                <w:lang w:val="es-DO"/>
              </w:rPr>
              <w:t>árboles, bloques o cualquier dimensión superficial”.</w:t>
            </w:r>
          </w:p>
          <w:p w14:paraId="4B8D0EDA" w14:textId="77777777" w:rsidR="0070272F" w:rsidRPr="009A27ED" w:rsidRDefault="0070272F" w:rsidP="00AF66EF">
            <w:pPr>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i/>
                <w:sz w:val="20"/>
                <w:szCs w:val="20"/>
                <w:lang w:val="es-DO"/>
              </w:rPr>
            </w:pPr>
            <w:r w:rsidRPr="009A27ED">
              <w:rPr>
                <w:sz w:val="20"/>
                <w:szCs w:val="20"/>
                <w:lang w:val="es-DO"/>
              </w:rPr>
              <w:t>Asimismo, el Artículo 4, relativo a los Servicios Ambientales o Ecosistémicos, establece que: “</w:t>
            </w:r>
            <w:r w:rsidRPr="009A27ED">
              <w:rPr>
                <w:i/>
                <w:sz w:val="20"/>
                <w:szCs w:val="20"/>
                <w:lang w:val="es-DO"/>
              </w:rPr>
              <w:t>Los principales servicios ambientales considerados a los efectos de esta ley son:</w:t>
            </w:r>
          </w:p>
          <w:p w14:paraId="7D7F8EF8" w14:textId="77777777" w:rsidR="0070272F" w:rsidRPr="009A27ED" w:rsidRDefault="0070272F" w:rsidP="00AF66EF">
            <w:pPr>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i/>
                <w:sz w:val="20"/>
                <w:szCs w:val="20"/>
                <w:lang w:val="es-DO"/>
              </w:rPr>
            </w:pPr>
            <w:r w:rsidRPr="009A27ED">
              <w:rPr>
                <w:i/>
                <w:sz w:val="20"/>
                <w:szCs w:val="20"/>
                <w:lang w:val="es-DO"/>
              </w:rPr>
              <w:t>1. Regulación hídrica, protección y conservación de fuentes de agua.</w:t>
            </w:r>
          </w:p>
          <w:p w14:paraId="219CAEC4" w14:textId="77777777" w:rsidR="0070272F" w:rsidRPr="009A27ED" w:rsidRDefault="0070272F" w:rsidP="00AF66EF">
            <w:pPr>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i/>
                <w:sz w:val="20"/>
                <w:szCs w:val="20"/>
                <w:lang w:val="es-DO"/>
              </w:rPr>
            </w:pPr>
            <w:r w:rsidRPr="009A27ED">
              <w:rPr>
                <w:i/>
                <w:sz w:val="20"/>
                <w:szCs w:val="20"/>
                <w:lang w:val="es-DO"/>
              </w:rPr>
              <w:t>2. Conservación de ecosistemas y hábitats de la vida silvestre.</w:t>
            </w:r>
          </w:p>
          <w:p w14:paraId="12E9539F" w14:textId="77777777" w:rsidR="0070272F" w:rsidRPr="009A27ED" w:rsidRDefault="0070272F" w:rsidP="00AF66EF">
            <w:pPr>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i/>
                <w:sz w:val="20"/>
                <w:szCs w:val="20"/>
                <w:lang w:val="es-DO"/>
              </w:rPr>
            </w:pPr>
            <w:r w:rsidRPr="009A27ED">
              <w:rPr>
                <w:i/>
                <w:sz w:val="20"/>
                <w:szCs w:val="20"/>
                <w:lang w:val="es-DO"/>
              </w:rPr>
              <w:t>3. Conservación de suelos.</w:t>
            </w:r>
          </w:p>
          <w:p w14:paraId="1C39BA01" w14:textId="77777777" w:rsidR="0070272F" w:rsidRPr="009A27ED" w:rsidRDefault="0070272F" w:rsidP="00AF66EF">
            <w:pPr>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i/>
                <w:sz w:val="20"/>
                <w:szCs w:val="20"/>
                <w:lang w:val="es-DO"/>
              </w:rPr>
            </w:pPr>
            <w:r w:rsidRPr="009A27ED">
              <w:rPr>
                <w:i/>
                <w:sz w:val="20"/>
                <w:szCs w:val="20"/>
                <w:lang w:val="es-DO"/>
              </w:rPr>
              <w:t>4. Captura de carbono y otros gases de efecto invernadero.</w:t>
            </w:r>
          </w:p>
          <w:p w14:paraId="6DA17786"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lang w:val="es-DO"/>
              </w:rPr>
            </w:pPr>
            <w:r w:rsidRPr="009A27ED">
              <w:rPr>
                <w:i/>
                <w:sz w:val="20"/>
                <w:szCs w:val="20"/>
                <w:lang w:val="en-US"/>
              </w:rPr>
              <w:t xml:space="preserve">5. Belleza </w:t>
            </w:r>
            <w:proofErr w:type="spellStart"/>
            <w:r w:rsidRPr="009A27ED">
              <w:rPr>
                <w:i/>
                <w:sz w:val="20"/>
                <w:szCs w:val="20"/>
                <w:lang w:val="en-US"/>
              </w:rPr>
              <w:t>escénica</w:t>
            </w:r>
            <w:proofErr w:type="spellEnd"/>
            <w:r w:rsidRPr="009A27ED">
              <w:rPr>
                <w:i/>
                <w:sz w:val="20"/>
                <w:szCs w:val="20"/>
                <w:lang w:val="en-US"/>
              </w:rPr>
              <w:t xml:space="preserve"> o </w:t>
            </w:r>
            <w:proofErr w:type="spellStart"/>
            <w:r w:rsidRPr="009A27ED">
              <w:rPr>
                <w:i/>
                <w:sz w:val="20"/>
                <w:szCs w:val="20"/>
                <w:lang w:val="en-US"/>
              </w:rPr>
              <w:t>paisaje</w:t>
            </w:r>
            <w:proofErr w:type="spellEnd"/>
            <w:r w:rsidRPr="009A27ED">
              <w:rPr>
                <w:sz w:val="20"/>
                <w:szCs w:val="20"/>
                <w:lang w:val="en-US"/>
              </w:rPr>
              <w:t>”.</w:t>
            </w:r>
          </w:p>
        </w:tc>
        <w:tc>
          <w:tcPr>
            <w:tcW w:w="2546" w:type="dxa"/>
          </w:tcPr>
          <w:p w14:paraId="6673549A" w14:textId="77777777" w:rsidR="0070272F" w:rsidRPr="009A27ED" w:rsidRDefault="0070272F" w:rsidP="00AF66EF">
            <w:pPr>
              <w:ind w:left="39"/>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La presente ley tiene por objeto la conservación, preservación y restauración y el uso sostenible de los ecosistemas, a fin de garantizar los servicios ambientales o ecosistémicos que estos prestan, a través de un marco general para la compensación y retribución de los servicios ambientales.</w:t>
            </w:r>
          </w:p>
          <w:p w14:paraId="71817AC6" w14:textId="77777777" w:rsidR="0070272F" w:rsidRPr="009A27ED" w:rsidRDefault="0070272F" w:rsidP="00AF66EF">
            <w:pPr>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sz w:val="20"/>
                <w:szCs w:val="20"/>
                <w:lang w:val="es-DO"/>
              </w:rPr>
            </w:pPr>
            <w:r w:rsidRPr="009A27ED">
              <w:rPr>
                <w:sz w:val="20"/>
                <w:szCs w:val="20"/>
              </w:rPr>
              <w:t xml:space="preserve">En este sentido, </w:t>
            </w:r>
            <w:r w:rsidRPr="009A27ED">
              <w:rPr>
                <w:sz w:val="20"/>
                <w:szCs w:val="20"/>
                <w:lang w:val="es-DO"/>
              </w:rPr>
              <w:t>constituye un instrumento de gestión ambiental</w:t>
            </w:r>
          </w:p>
          <w:p w14:paraId="0F4FEE2D" w14:textId="77777777" w:rsidR="0070272F" w:rsidRPr="009A27ED" w:rsidRDefault="0070272F" w:rsidP="00AF66EF">
            <w:pPr>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sz w:val="20"/>
                <w:szCs w:val="20"/>
                <w:lang w:val="es-DO"/>
              </w:rPr>
            </w:pPr>
            <w:r w:rsidRPr="009A27ED">
              <w:rPr>
                <w:sz w:val="20"/>
                <w:szCs w:val="20"/>
                <w:lang w:val="es-DO"/>
              </w:rPr>
              <w:t>flexible y adaptable a diferentes condiciones que procura beneficiar a un grupo o</w:t>
            </w:r>
          </w:p>
          <w:p w14:paraId="0870EBB9" w14:textId="77777777" w:rsidR="0070272F" w:rsidRPr="009A27ED" w:rsidRDefault="0070272F" w:rsidP="00AF66EF">
            <w:pPr>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sz w:val="20"/>
                <w:szCs w:val="20"/>
                <w:lang w:val="es-DO"/>
              </w:rPr>
            </w:pPr>
            <w:r w:rsidRPr="009A27ED">
              <w:rPr>
                <w:sz w:val="20"/>
                <w:szCs w:val="20"/>
                <w:lang w:val="es-DO"/>
              </w:rPr>
              <w:t>comunidad para asegurar a cambio, un uso del suelo que garantice el mantenimiento</w:t>
            </w:r>
          </w:p>
          <w:p w14:paraId="6F0FD499" w14:textId="77777777" w:rsidR="0070272F" w:rsidRPr="009A27ED" w:rsidRDefault="0070272F" w:rsidP="00AF66EF">
            <w:pPr>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sz w:val="20"/>
                <w:szCs w:val="20"/>
                <w:lang w:val="es-DO"/>
              </w:rPr>
            </w:pPr>
            <w:r w:rsidRPr="009A27ED">
              <w:rPr>
                <w:sz w:val="20"/>
                <w:szCs w:val="20"/>
                <w:lang w:val="es-DO"/>
              </w:rPr>
              <w:t>o la provisión de uno o más de los servicios ambientales, reconocidos por esta ley</w:t>
            </w:r>
          </w:p>
          <w:p w14:paraId="4D5BDADB" w14:textId="77777777" w:rsidR="0070272F" w:rsidRPr="009A27ED" w:rsidRDefault="0070272F" w:rsidP="00AF66EF">
            <w:pPr>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sz w:val="20"/>
                <w:szCs w:val="20"/>
                <w:lang w:val="es-DO"/>
              </w:rPr>
            </w:pPr>
            <w:r w:rsidRPr="009A27ED">
              <w:rPr>
                <w:sz w:val="20"/>
                <w:szCs w:val="20"/>
                <w:lang w:val="es-DO"/>
              </w:rPr>
              <w:t>y su reglamento general de aplicación. La compensación incluye, aunque no se</w:t>
            </w:r>
          </w:p>
          <w:p w14:paraId="57E7E557" w14:textId="77777777" w:rsidR="0070272F" w:rsidRPr="009A27ED" w:rsidRDefault="0070272F" w:rsidP="00AF66EF">
            <w:pPr>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sz w:val="20"/>
                <w:szCs w:val="20"/>
                <w:lang w:val="es-DO"/>
              </w:rPr>
            </w:pPr>
            <w:r w:rsidRPr="009A27ED">
              <w:rPr>
                <w:sz w:val="20"/>
                <w:szCs w:val="20"/>
                <w:lang w:val="es-DO"/>
              </w:rPr>
              <w:t>limita a la asesoría técnica o legal, así como el equipamiento y desarrollo de</w:t>
            </w:r>
          </w:p>
          <w:p w14:paraId="76561604" w14:textId="77777777" w:rsidR="0070272F" w:rsidRPr="009A27ED" w:rsidRDefault="0070272F" w:rsidP="00AF66EF">
            <w:pPr>
              <w:ind w:left="39"/>
              <w:cnfStyle w:val="000000000000" w:firstRow="0" w:lastRow="0" w:firstColumn="0" w:lastColumn="0" w:oddVBand="0" w:evenVBand="0" w:oddHBand="0" w:evenHBand="0" w:firstRowFirstColumn="0" w:firstRowLastColumn="0" w:lastRowFirstColumn="0" w:lastRowLastColumn="0"/>
              <w:rPr>
                <w:sz w:val="20"/>
                <w:szCs w:val="20"/>
                <w:lang w:val="es-DO"/>
              </w:rPr>
            </w:pPr>
            <w:r w:rsidRPr="009A27ED">
              <w:rPr>
                <w:sz w:val="20"/>
                <w:szCs w:val="20"/>
                <w:lang w:val="es-DO"/>
              </w:rPr>
              <w:t>infraestructuras públicas de beneficio colectivo.</w:t>
            </w:r>
          </w:p>
          <w:p w14:paraId="5F97885E"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p>
        </w:tc>
        <w:tc>
          <w:tcPr>
            <w:tcW w:w="2268" w:type="dxa"/>
          </w:tcPr>
          <w:p w14:paraId="53577429"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El sistema de Pago por Servicios Ambientales solo se ejecuta a nivel de proyecto piloto en la Cuenca Alta del río </w:t>
            </w:r>
            <w:proofErr w:type="spellStart"/>
            <w:r w:rsidRPr="009A27ED">
              <w:rPr>
                <w:sz w:val="20"/>
                <w:szCs w:val="20"/>
              </w:rPr>
              <w:t>Yaque</w:t>
            </w:r>
            <w:proofErr w:type="spellEnd"/>
            <w:r w:rsidRPr="009A27ED">
              <w:rPr>
                <w:sz w:val="20"/>
                <w:szCs w:val="20"/>
              </w:rPr>
              <w:t xml:space="preserve"> del Norte.</w:t>
            </w:r>
          </w:p>
          <w:p w14:paraId="5D1025F4"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No cuenta en la actualidad con su Reglamento de Aplicación</w:t>
            </w:r>
          </w:p>
        </w:tc>
        <w:tc>
          <w:tcPr>
            <w:tcW w:w="3124" w:type="dxa"/>
          </w:tcPr>
          <w:p w14:paraId="4F8CF268" w14:textId="77777777" w:rsidR="0070272F" w:rsidRPr="009A27ED" w:rsidRDefault="0070272F" w:rsidP="00AF66EF">
            <w:pPr>
              <w:pStyle w:val="Prrafodelista"/>
              <w:numPr>
                <w:ilvl w:val="0"/>
                <w:numId w:val="269"/>
              </w:numPr>
              <w:spacing w:line="240" w:lineRule="auto"/>
              <w:ind w:left="365"/>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Promover la promulgación y a apoyar las socialización, validación y difusión del Reglamento de Aplicación en las áreas priorizadas por el Programa REDD+.</w:t>
            </w:r>
          </w:p>
          <w:p w14:paraId="6D3C67C7" w14:textId="77777777" w:rsidR="0070272F" w:rsidRPr="009A27ED" w:rsidRDefault="0070272F" w:rsidP="00AF66EF">
            <w:pPr>
              <w:pStyle w:val="Prrafodelista"/>
              <w:numPr>
                <w:ilvl w:val="0"/>
                <w:numId w:val="269"/>
              </w:numPr>
              <w:spacing w:line="240" w:lineRule="auto"/>
              <w:ind w:left="365"/>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Identificar nuevas áreas para manejo forestal, reforestación y conservación bajo el esquema de Pago por Servicios Ambientales dentro de las áreas priorizadas y su zona de influencia, </w:t>
            </w:r>
            <w:proofErr w:type="gramStart"/>
            <w:r w:rsidRPr="009A27ED">
              <w:rPr>
                <w:sz w:val="20"/>
                <w:szCs w:val="20"/>
              </w:rPr>
              <w:t>conjuntamente con</w:t>
            </w:r>
            <w:proofErr w:type="gramEnd"/>
            <w:r w:rsidRPr="009A27ED">
              <w:rPr>
                <w:sz w:val="20"/>
                <w:szCs w:val="20"/>
              </w:rPr>
              <w:t xml:space="preserve"> las Entidades Ejecutoras.</w:t>
            </w:r>
          </w:p>
          <w:p w14:paraId="416641FE" w14:textId="77777777" w:rsidR="0070272F" w:rsidRPr="009A27ED" w:rsidRDefault="0070272F" w:rsidP="00AF66EF">
            <w:pPr>
              <w:pStyle w:val="Prrafodelista"/>
              <w:spacing w:line="240" w:lineRule="auto"/>
              <w:ind w:left="720"/>
              <w:cnfStyle w:val="000000000000" w:firstRow="0" w:lastRow="0" w:firstColumn="0" w:lastColumn="0" w:oddVBand="0" w:evenVBand="0" w:oddHBand="0" w:evenHBand="0" w:firstRowFirstColumn="0" w:firstRowLastColumn="0" w:lastRowFirstColumn="0" w:lastRowLastColumn="0"/>
              <w:rPr>
                <w:sz w:val="20"/>
                <w:szCs w:val="20"/>
              </w:rPr>
            </w:pPr>
          </w:p>
        </w:tc>
      </w:tr>
      <w:tr w:rsidR="0070272F" w:rsidRPr="009A27ED" w14:paraId="5B65D20C" w14:textId="77777777" w:rsidTr="00AF66EF">
        <w:tc>
          <w:tcPr>
            <w:cnfStyle w:val="001000000000" w:firstRow="0" w:lastRow="0" w:firstColumn="1" w:lastColumn="0" w:oddVBand="0" w:evenVBand="0" w:oddHBand="0" w:evenHBand="0" w:firstRowFirstColumn="0" w:firstRowLastColumn="0" w:lastRowFirstColumn="0" w:lastRowLastColumn="0"/>
            <w:tcW w:w="2836" w:type="dxa"/>
          </w:tcPr>
          <w:p w14:paraId="5FC649E6" w14:textId="77777777" w:rsidR="0070272F" w:rsidRPr="009A27ED" w:rsidRDefault="0070272F" w:rsidP="00AF66EF">
            <w:pPr>
              <w:autoSpaceDE w:val="0"/>
              <w:autoSpaceDN w:val="0"/>
              <w:adjustRightInd w:val="0"/>
              <w:rPr>
                <w:sz w:val="20"/>
                <w:szCs w:val="20"/>
              </w:rPr>
            </w:pPr>
          </w:p>
        </w:tc>
        <w:tc>
          <w:tcPr>
            <w:tcW w:w="1554" w:type="dxa"/>
          </w:tcPr>
          <w:p w14:paraId="550DDD23" w14:textId="77777777" w:rsidR="0070272F" w:rsidRPr="009A27ED" w:rsidRDefault="0070272F" w:rsidP="00AF66EF">
            <w:pPr>
              <w:jc w:val="left"/>
              <w:cnfStyle w:val="000000000000" w:firstRow="0" w:lastRow="0" w:firstColumn="0" w:lastColumn="0" w:oddVBand="0" w:evenVBand="0" w:oddHBand="0" w:evenHBand="0" w:firstRowFirstColumn="0" w:firstRowLastColumn="0" w:lastRowFirstColumn="0" w:lastRowLastColumn="0"/>
              <w:rPr>
                <w:b/>
                <w:sz w:val="20"/>
                <w:szCs w:val="20"/>
              </w:rPr>
            </w:pPr>
            <w:r w:rsidRPr="009A27ED">
              <w:rPr>
                <w:b/>
                <w:sz w:val="20"/>
                <w:szCs w:val="20"/>
              </w:rPr>
              <w:t xml:space="preserve">Ley Sectorial Forestal de la República </w:t>
            </w:r>
            <w:r w:rsidRPr="009A27ED">
              <w:rPr>
                <w:b/>
                <w:sz w:val="20"/>
                <w:szCs w:val="20"/>
              </w:rPr>
              <w:lastRenderedPageBreak/>
              <w:t>Dominicana (No.57-18)</w:t>
            </w:r>
          </w:p>
          <w:p w14:paraId="0FE966BA" w14:textId="77777777" w:rsidR="0070272F" w:rsidRPr="009A27ED" w:rsidRDefault="0070272F" w:rsidP="00AF66EF">
            <w:pPr>
              <w:jc w:val="left"/>
              <w:cnfStyle w:val="000000000000" w:firstRow="0" w:lastRow="0" w:firstColumn="0" w:lastColumn="0" w:oddVBand="0" w:evenVBand="0" w:oddHBand="0" w:evenHBand="0" w:firstRowFirstColumn="0" w:firstRowLastColumn="0" w:lastRowFirstColumn="0" w:lastRowLastColumn="0"/>
              <w:rPr>
                <w:b/>
                <w:sz w:val="20"/>
                <w:szCs w:val="20"/>
              </w:rPr>
            </w:pPr>
          </w:p>
          <w:p w14:paraId="0816AD57" w14:textId="77777777" w:rsidR="0070272F" w:rsidRPr="009A27ED" w:rsidRDefault="0070272F" w:rsidP="00AF66EF">
            <w:pPr>
              <w:jc w:val="left"/>
              <w:cnfStyle w:val="000000000000" w:firstRow="0" w:lastRow="0" w:firstColumn="0" w:lastColumn="0" w:oddVBand="0" w:evenVBand="0" w:oddHBand="0" w:evenHBand="0" w:firstRowFirstColumn="0" w:firstRowLastColumn="0" w:lastRowFirstColumn="0" w:lastRowLastColumn="0"/>
              <w:rPr>
                <w:b/>
                <w:sz w:val="20"/>
                <w:szCs w:val="20"/>
              </w:rPr>
            </w:pPr>
          </w:p>
        </w:tc>
        <w:tc>
          <w:tcPr>
            <w:tcW w:w="2840" w:type="dxa"/>
          </w:tcPr>
          <w:p w14:paraId="690485D2"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lastRenderedPageBreak/>
              <w:t xml:space="preserve">La ley especial a la que hace referencia la Ley 64-00 es </w:t>
            </w:r>
            <w:r w:rsidRPr="009A27ED">
              <w:rPr>
                <w:b/>
                <w:sz w:val="20"/>
                <w:szCs w:val="20"/>
              </w:rPr>
              <w:t>La Ley Forestal</w:t>
            </w:r>
            <w:r w:rsidRPr="009A27ED">
              <w:rPr>
                <w:sz w:val="20"/>
                <w:szCs w:val="20"/>
              </w:rPr>
              <w:t xml:space="preserve">, </w:t>
            </w:r>
            <w:r w:rsidRPr="009A27ED">
              <w:rPr>
                <w:strike/>
                <w:sz w:val="20"/>
                <w:szCs w:val="20"/>
              </w:rPr>
              <w:t>la cual está en proceso de aprobación,</w:t>
            </w:r>
            <w:r w:rsidRPr="009A27ED">
              <w:rPr>
                <w:sz w:val="20"/>
                <w:szCs w:val="20"/>
              </w:rPr>
              <w:t xml:space="preserve"> esta </w:t>
            </w:r>
            <w:r w:rsidRPr="009A27ED">
              <w:rPr>
                <w:sz w:val="20"/>
                <w:szCs w:val="20"/>
              </w:rPr>
              <w:lastRenderedPageBreak/>
              <w:t>señala en el</w:t>
            </w:r>
            <w:r w:rsidRPr="009A27ED">
              <w:rPr>
                <w:b/>
                <w:sz w:val="20"/>
                <w:szCs w:val="20"/>
              </w:rPr>
              <w:t xml:space="preserve"> Considerando sexto: </w:t>
            </w:r>
            <w:r w:rsidRPr="009A27ED">
              <w:rPr>
                <w:sz w:val="20"/>
                <w:szCs w:val="20"/>
              </w:rPr>
              <w:t>Que es deber esencial del Estado fomentar el desarrollo socioeconómico, en armonía con la conservación del medio ambiente, a fin de elevar la calidad de vida, atender equitativamente a las necesidades de progreso y bienestar de las generaciones presentes y futuras;</w:t>
            </w:r>
          </w:p>
          <w:p w14:paraId="6D8EB15D"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Al hacer referencia a los planes nacionales en materia forestal este instrumento señala en el</w:t>
            </w:r>
            <w:r w:rsidRPr="009A27ED">
              <w:rPr>
                <w:b/>
                <w:sz w:val="20"/>
                <w:szCs w:val="20"/>
              </w:rPr>
              <w:t xml:space="preserve"> Artículo 7.- </w:t>
            </w:r>
            <w:r w:rsidRPr="009A27ED">
              <w:rPr>
                <w:sz w:val="20"/>
                <w:szCs w:val="20"/>
              </w:rPr>
              <w:t>Planes nacionales en materia forestal. Los planes nacionales en materia forestal constituyen instrumentos cuya formulación está basada en un proceso metodológico, fundamentado en el análisis y caracterización del sector forestal del país, que establecen directrices, propósitos, objetivos, lineamientos y programas relativos a la conservación y aprovechamiento sostenible del patrimonio forestal, permitiendo generar una dirección que sirva de base para la toma de decisiones y para apoyar el desarrollo económico, social y ambiental del país.</w:t>
            </w:r>
          </w:p>
          <w:p w14:paraId="16372217"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Dice sobre los Planes de Manejo Forestal en el </w:t>
            </w:r>
            <w:r w:rsidRPr="009A27ED">
              <w:rPr>
                <w:b/>
                <w:sz w:val="20"/>
                <w:szCs w:val="20"/>
              </w:rPr>
              <w:t xml:space="preserve">Artículo 11.- </w:t>
            </w:r>
            <w:r w:rsidRPr="009A27ED">
              <w:rPr>
                <w:sz w:val="20"/>
                <w:szCs w:val="20"/>
              </w:rPr>
              <w:t xml:space="preserve">Planes de Manejo Forestal. Los planes de manejo forestal son instrumentos que orientan el desarrollo de actividades que impliquen el uso del bosque y el acceso a los bienes y servicios que de él se derivan, bajo criterios de sostenibilidad ambiental, social y económica. La formulación e implementación de los planes de manejo está sujeta a lo previsto en esta ley, su reglamento y las normas técnicas. </w:t>
            </w:r>
          </w:p>
          <w:p w14:paraId="5C239602"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lastRenderedPageBreak/>
              <w:t xml:space="preserve">Para cumplir con los aspectos antes planteados deben cumplirse varios aspectos, que son responsabilidad del Ministerio de Medio Ambiente, algunos de los más importantes se describen en el </w:t>
            </w:r>
            <w:r w:rsidRPr="009A27ED">
              <w:rPr>
                <w:b/>
                <w:sz w:val="20"/>
                <w:szCs w:val="20"/>
              </w:rPr>
              <w:t xml:space="preserve">Artículo 13, </w:t>
            </w:r>
            <w:r w:rsidRPr="009A27ED">
              <w:rPr>
                <w:sz w:val="20"/>
                <w:szCs w:val="20"/>
              </w:rPr>
              <w:t>el cual establece los siguiente</w:t>
            </w:r>
            <w:r w:rsidRPr="009A27ED">
              <w:rPr>
                <w:b/>
                <w:sz w:val="20"/>
                <w:szCs w:val="20"/>
              </w:rPr>
              <w:t>: “</w:t>
            </w:r>
            <w:r w:rsidRPr="009A27ED">
              <w:rPr>
                <w:i/>
                <w:sz w:val="20"/>
                <w:szCs w:val="20"/>
              </w:rPr>
              <w:t>Atribuciones. Le corresponde al Ministerio de Medio Ambiente y Recursos Naturales, sin perjuicio de las atribuciones que le asigna la ley que lo rige. Ley General sobre Medio Ambiente y Recursos Naturales y otros instrumentos de gestión forestal emanados del Estado, en materia de administración forestal: 1)Elaborar, de manera participativa, la Política Forestal Nacional; 2) Elaborar y hacer cumplir las regulaciones que garanticen la sostenibilidad de las actividades de desarrollo y aprovechamiento de los recursos forestales sin que estos destruyan la flora nativa y endémica; 3) Elaborar y mantener actualizado el Programa Nacional de Ordenamiento Forestal, en coordinación con el Ministerio de Economía, Planificación y Desarrollo; 4) Aplicar los convenios nacionales e internacionales que tengan relación con la conservación y el manejo sostenible de los bosques; 8) Promover la conservación de los recursos genéticos de especies forestales nativas y endémicas</w:t>
            </w:r>
            <w:r w:rsidRPr="009A27ED">
              <w:rPr>
                <w:sz w:val="20"/>
                <w:szCs w:val="20"/>
              </w:rPr>
              <w:t>”;</w:t>
            </w:r>
          </w:p>
        </w:tc>
        <w:tc>
          <w:tcPr>
            <w:tcW w:w="2546" w:type="dxa"/>
          </w:tcPr>
          <w:p w14:paraId="5C3EB9C5"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b/>
                <w:sz w:val="20"/>
                <w:szCs w:val="20"/>
              </w:rPr>
            </w:pPr>
            <w:r w:rsidRPr="009A27ED">
              <w:rPr>
                <w:sz w:val="20"/>
                <w:szCs w:val="20"/>
              </w:rPr>
              <w:lastRenderedPageBreak/>
              <w:t xml:space="preserve">El objetivo principal de esta ley consiste en regular y fomentar el manejo forestal sostenible de los bosques </w:t>
            </w:r>
            <w:r w:rsidRPr="009A27ED">
              <w:rPr>
                <w:sz w:val="20"/>
                <w:szCs w:val="20"/>
              </w:rPr>
              <w:t xml:space="preserve">procurando su conservación, aprovechamiento, producción, industrialización y comercialización así como protección de otros recursos naturales que formen parte de sus ecosistemas manteniendo su biodiversidad y capacidad de regeneración asumiendo que el bosque es un bien primario y un recurso natural que entraña procesos ecológicos complejos indispensables para sostener y garantizar el suministro de agua, así como, para conservar el patrimonio natural del Estado, la calidad del aire, los suelos, el equilibrio ecológico y la calidad de vida de los seres humanos. </w:t>
            </w:r>
          </w:p>
          <w:p w14:paraId="6D699BBF"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p>
        </w:tc>
        <w:tc>
          <w:tcPr>
            <w:tcW w:w="2268" w:type="dxa"/>
          </w:tcPr>
          <w:p w14:paraId="0788DEC8"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trike/>
                <w:sz w:val="20"/>
                <w:szCs w:val="20"/>
              </w:rPr>
            </w:pPr>
            <w:r w:rsidRPr="009A27ED">
              <w:rPr>
                <w:strike/>
                <w:sz w:val="20"/>
                <w:szCs w:val="20"/>
              </w:rPr>
              <w:lastRenderedPageBreak/>
              <w:t>No cuenta en la actualidad con su Reglamento de Aplicación.</w:t>
            </w:r>
          </w:p>
          <w:p w14:paraId="28D763D1"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p>
          <w:p w14:paraId="6A1D1580"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Planificación y/o ejecución institucional deficiente de los planes y acciones en materia forestal previstas en esta ley.</w:t>
            </w:r>
          </w:p>
          <w:p w14:paraId="78CEC1C3"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lang w:val="es-DO"/>
              </w:rPr>
            </w:pPr>
            <w:r w:rsidRPr="009A27ED">
              <w:rPr>
                <w:sz w:val="20"/>
                <w:szCs w:val="20"/>
              </w:rPr>
              <w:t>Falta de continuidad de los planes y aplicación de los  instrumentos  orientados al fomento del manejo sostenible de los bosques.</w:t>
            </w:r>
          </w:p>
        </w:tc>
        <w:tc>
          <w:tcPr>
            <w:tcW w:w="3124" w:type="dxa"/>
          </w:tcPr>
          <w:p w14:paraId="2EEC561E" w14:textId="77777777" w:rsidR="0070272F" w:rsidRPr="009A27ED" w:rsidRDefault="0070272F" w:rsidP="00AF66EF">
            <w:pPr>
              <w:pStyle w:val="Prrafodelista"/>
              <w:numPr>
                <w:ilvl w:val="0"/>
                <w:numId w:val="270"/>
              </w:numPr>
              <w:spacing w:line="240" w:lineRule="auto"/>
              <w:ind w:left="507"/>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lastRenderedPageBreak/>
              <w:t xml:space="preserve">Promover la promulgación y a apoyar las socialización, validación y difusión del Reglamento de Aplicación en </w:t>
            </w:r>
            <w:r w:rsidRPr="009A27ED">
              <w:rPr>
                <w:sz w:val="20"/>
                <w:szCs w:val="20"/>
              </w:rPr>
              <w:lastRenderedPageBreak/>
              <w:t>las áreas priorizadas por el Programa REDD+.</w:t>
            </w:r>
          </w:p>
          <w:p w14:paraId="3BB0958A" w14:textId="58C2F037" w:rsidR="0070272F" w:rsidRPr="009A27ED" w:rsidRDefault="0070272F" w:rsidP="00AF66EF">
            <w:pPr>
              <w:pStyle w:val="Prrafodelista"/>
              <w:numPr>
                <w:ilvl w:val="0"/>
                <w:numId w:val="270"/>
              </w:numPr>
              <w:spacing w:line="240" w:lineRule="auto"/>
              <w:ind w:left="507"/>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Involucramiento y participación de los actores locales en la formulación y aplicación </w:t>
            </w:r>
            <w:r w:rsidR="00AF66EF" w:rsidRPr="009A27ED">
              <w:rPr>
                <w:sz w:val="20"/>
                <w:szCs w:val="20"/>
              </w:rPr>
              <w:t>efectiva de</w:t>
            </w:r>
            <w:r w:rsidRPr="009A27ED">
              <w:rPr>
                <w:sz w:val="20"/>
                <w:szCs w:val="20"/>
              </w:rPr>
              <w:t xml:space="preserve"> los planes, programas y políticas nacionales en materia forestal.</w:t>
            </w:r>
          </w:p>
          <w:p w14:paraId="0065A468" w14:textId="77777777" w:rsidR="0070272F" w:rsidRPr="009A27ED" w:rsidRDefault="0070272F" w:rsidP="00AF66EF">
            <w:pPr>
              <w:pStyle w:val="Prrafodelista"/>
              <w:numPr>
                <w:ilvl w:val="0"/>
                <w:numId w:val="270"/>
              </w:numPr>
              <w:spacing w:line="240" w:lineRule="auto"/>
              <w:ind w:left="507"/>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Formular un plan de fortalecimiento institucional que aborde las debilidades institucionales identificadas en el seguimiento y aplicación de los planes e instrumentos orientados al fomento de manejo sostenible de los bosques.</w:t>
            </w:r>
          </w:p>
          <w:p w14:paraId="5660D204"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lang w:val="es-GT"/>
              </w:rPr>
            </w:pPr>
          </w:p>
        </w:tc>
      </w:tr>
      <w:tr w:rsidR="0070272F" w:rsidRPr="009A27ED" w14:paraId="76E41F9C" w14:textId="77777777" w:rsidTr="00AF66EF">
        <w:tc>
          <w:tcPr>
            <w:cnfStyle w:val="001000000000" w:firstRow="0" w:lastRow="0" w:firstColumn="1" w:lastColumn="0" w:oddVBand="0" w:evenVBand="0" w:oddHBand="0" w:evenHBand="0" w:firstRowFirstColumn="0" w:firstRowLastColumn="0" w:lastRowFirstColumn="0" w:lastRowLastColumn="0"/>
            <w:tcW w:w="2836" w:type="dxa"/>
          </w:tcPr>
          <w:p w14:paraId="6C38027B" w14:textId="77777777" w:rsidR="0070272F" w:rsidRPr="009A27ED" w:rsidRDefault="0070272F" w:rsidP="00AF66EF">
            <w:pPr>
              <w:autoSpaceDE w:val="0"/>
              <w:autoSpaceDN w:val="0"/>
              <w:adjustRightInd w:val="0"/>
              <w:rPr>
                <w:sz w:val="20"/>
                <w:szCs w:val="20"/>
              </w:rPr>
            </w:pPr>
            <w:r w:rsidRPr="009A27ED">
              <w:rPr>
                <w:sz w:val="20"/>
                <w:szCs w:val="20"/>
              </w:rPr>
              <w:lastRenderedPageBreak/>
              <w:t>Manejo de plagas (OP 4.09)</w:t>
            </w:r>
          </w:p>
          <w:p w14:paraId="3BC406A5" w14:textId="77777777" w:rsidR="0070272F" w:rsidRPr="009A27ED" w:rsidRDefault="0070272F" w:rsidP="00AF66EF">
            <w:pPr>
              <w:spacing w:before="120" w:after="0"/>
              <w:rPr>
                <w:b w:val="0"/>
                <w:sz w:val="20"/>
                <w:szCs w:val="20"/>
              </w:rPr>
            </w:pPr>
            <w:r w:rsidRPr="009A27ED">
              <w:rPr>
                <w:sz w:val="20"/>
                <w:szCs w:val="20"/>
              </w:rPr>
              <w:t xml:space="preserve">Promueve el uso de métodos de control biológico o ambiental y reducir la dependencia de pesticidas químicos sintéticos. Contiene lineamientos sobre el manejo integrado de plagas y criterios para la selección y uso de pesticidas. </w:t>
            </w:r>
          </w:p>
          <w:p w14:paraId="6A3FB963" w14:textId="77777777" w:rsidR="0070272F" w:rsidRPr="009A27ED" w:rsidRDefault="0070272F" w:rsidP="00AF66EF">
            <w:pPr>
              <w:autoSpaceDE w:val="0"/>
              <w:autoSpaceDN w:val="0"/>
              <w:adjustRightInd w:val="0"/>
              <w:rPr>
                <w:sz w:val="20"/>
                <w:szCs w:val="20"/>
              </w:rPr>
            </w:pPr>
          </w:p>
          <w:p w14:paraId="29B7F5D0" w14:textId="77777777" w:rsidR="0070272F" w:rsidRPr="009A27ED" w:rsidRDefault="0070272F" w:rsidP="00AF66EF">
            <w:pPr>
              <w:autoSpaceDE w:val="0"/>
              <w:autoSpaceDN w:val="0"/>
              <w:adjustRightInd w:val="0"/>
              <w:rPr>
                <w:b w:val="0"/>
                <w:sz w:val="20"/>
                <w:szCs w:val="20"/>
              </w:rPr>
            </w:pPr>
          </w:p>
        </w:tc>
        <w:tc>
          <w:tcPr>
            <w:tcW w:w="1554" w:type="dxa"/>
          </w:tcPr>
          <w:p w14:paraId="115E0727" w14:textId="77777777" w:rsidR="0070272F" w:rsidRPr="009A27ED" w:rsidRDefault="0070272F" w:rsidP="00AF66EF">
            <w:pPr>
              <w:jc w:val="left"/>
              <w:cnfStyle w:val="000000000000" w:firstRow="0" w:lastRow="0" w:firstColumn="0" w:lastColumn="0" w:oddVBand="0" w:evenVBand="0" w:oddHBand="0" w:evenHBand="0" w:firstRowFirstColumn="0" w:firstRowLastColumn="0" w:lastRowFirstColumn="0" w:lastRowLastColumn="0"/>
              <w:rPr>
                <w:b/>
                <w:sz w:val="20"/>
                <w:szCs w:val="20"/>
              </w:rPr>
            </w:pPr>
            <w:r w:rsidRPr="009A27ED">
              <w:rPr>
                <w:b/>
                <w:sz w:val="20"/>
                <w:szCs w:val="20"/>
              </w:rPr>
              <w:lastRenderedPageBreak/>
              <w:t>Ley 4990-55</w:t>
            </w:r>
            <w:r w:rsidRPr="009A27ED">
              <w:rPr>
                <w:b/>
                <w:sz w:val="20"/>
                <w:szCs w:val="20"/>
                <w:lang w:val="es-DO"/>
              </w:rPr>
              <w:t xml:space="preserve"> </w:t>
            </w:r>
            <w:r w:rsidRPr="009A27ED">
              <w:rPr>
                <w:b/>
                <w:sz w:val="20"/>
                <w:szCs w:val="20"/>
              </w:rPr>
              <w:t>Ley No. de fecha 26 de agosto del año 1958, sobre Sanidad Vegetal República Dominicana</w:t>
            </w:r>
          </w:p>
        </w:tc>
        <w:tc>
          <w:tcPr>
            <w:tcW w:w="2840" w:type="dxa"/>
          </w:tcPr>
          <w:p w14:paraId="5F452DCC"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Esta ley establece las facultades y responsabilidades de la </w:t>
            </w:r>
            <w:proofErr w:type="gramStart"/>
            <w:r w:rsidRPr="009A27ED">
              <w:rPr>
                <w:sz w:val="20"/>
                <w:szCs w:val="20"/>
              </w:rPr>
              <w:t>Secretaria</w:t>
            </w:r>
            <w:proofErr w:type="gramEnd"/>
            <w:r w:rsidRPr="009A27ED">
              <w:rPr>
                <w:sz w:val="20"/>
                <w:szCs w:val="20"/>
              </w:rPr>
              <w:t xml:space="preserve"> (ahora Ministerio) de Agricultura en el trabajo relativo a la prevención, manejo y control de las plagas que afectan la agricultura.,.</w:t>
            </w:r>
          </w:p>
        </w:tc>
        <w:tc>
          <w:tcPr>
            <w:tcW w:w="2546" w:type="dxa"/>
          </w:tcPr>
          <w:p w14:paraId="7BFAC1A6"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En el aspecto referente al tema de control fitosanitario, en la República Dominicana, los mayores esfuerzos se han desarrollado en el campo de la Agricultura, donde el principal instrumento legal aplicado es la Ley 4990-55, la cual se refiere </w:t>
            </w:r>
            <w:r w:rsidRPr="009A27ED">
              <w:rPr>
                <w:sz w:val="20"/>
                <w:szCs w:val="20"/>
              </w:rPr>
              <w:lastRenderedPageBreak/>
              <w:t xml:space="preserve">principalmente a los controles aplicables al manejo de las plagas en el ámbito agrícola. En ese aspecto, desde la década de los 90’ se aplicaron programas como el Manejo Integrado de Plagas (MIP), pero en el campo forestal no se han desarrollado mayores esfuerzos, pese a la aparición de algunas plagas que de manera cíclica se han manifestado en los bosques dominicanos, principalmente de coníferas.  </w:t>
            </w:r>
          </w:p>
        </w:tc>
        <w:tc>
          <w:tcPr>
            <w:tcW w:w="2268" w:type="dxa"/>
          </w:tcPr>
          <w:p w14:paraId="5DE3F5A3" w14:textId="77777777" w:rsidR="0070272F" w:rsidRPr="009A27ED" w:rsidRDefault="0070272F" w:rsidP="00AF66EF">
            <w:pPr>
              <w:pStyle w:val="Prrafodelista"/>
              <w:autoSpaceDE w:val="0"/>
              <w:autoSpaceDN w:val="0"/>
              <w:adjustRightInd w:val="0"/>
              <w:spacing w:after="0" w:line="240" w:lineRule="auto"/>
              <w:ind w:left="29"/>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lastRenderedPageBreak/>
              <w:t>Aunque existe un instrumento que aborda este tema se observan vacíos en la ejecución de las acciones a implementar en este aspecto respecto a los bosques.</w:t>
            </w:r>
          </w:p>
        </w:tc>
        <w:tc>
          <w:tcPr>
            <w:tcW w:w="3124" w:type="dxa"/>
          </w:tcPr>
          <w:p w14:paraId="5321E32A" w14:textId="5EBB2131" w:rsidR="0070272F" w:rsidRPr="009A27ED" w:rsidRDefault="0070272F" w:rsidP="00AF66EF">
            <w:pPr>
              <w:pStyle w:val="Prrafodelista"/>
              <w:numPr>
                <w:ilvl w:val="0"/>
                <w:numId w:val="54"/>
              </w:num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Para este caso, se implementarán los lineamientos establecidos en el anexo 3 del MGAS.</w:t>
            </w:r>
          </w:p>
          <w:p w14:paraId="5614ADA1" w14:textId="77777777" w:rsidR="0070272F" w:rsidRPr="009A27ED" w:rsidRDefault="0070272F" w:rsidP="00AF66EF">
            <w:pPr>
              <w:pStyle w:val="Prrafodelista"/>
              <w:numPr>
                <w:ilvl w:val="0"/>
                <w:numId w:val="54"/>
              </w:num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Los aspectos no contemplados por la ley serán asumidos por los protocolos a elaborar, que permitan hacer un </w:t>
            </w:r>
            <w:r w:rsidRPr="009A27ED">
              <w:rPr>
                <w:sz w:val="20"/>
                <w:szCs w:val="20"/>
              </w:rPr>
              <w:lastRenderedPageBreak/>
              <w:t>adecuado manejo de este aspecto tomando como referencia los aplicados en otros países que enfrentan las mismas problemáticas de plagas y enfermedades identificadas.</w:t>
            </w:r>
          </w:p>
          <w:p w14:paraId="7255DE7D" w14:textId="77777777" w:rsidR="0070272F" w:rsidRPr="009A27ED" w:rsidRDefault="0070272F" w:rsidP="00AF66EF">
            <w:pPr>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sz w:val="20"/>
                <w:szCs w:val="20"/>
              </w:rPr>
            </w:pPr>
          </w:p>
          <w:p w14:paraId="63455BEB"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p>
        </w:tc>
      </w:tr>
      <w:tr w:rsidR="0070272F" w:rsidRPr="009A27ED" w14:paraId="002869FD" w14:textId="77777777" w:rsidTr="00AF66EF">
        <w:tc>
          <w:tcPr>
            <w:cnfStyle w:val="001000000000" w:firstRow="0" w:lastRow="0" w:firstColumn="1" w:lastColumn="0" w:oddVBand="0" w:evenVBand="0" w:oddHBand="0" w:evenHBand="0" w:firstRowFirstColumn="0" w:firstRowLastColumn="0" w:lastRowFirstColumn="0" w:lastRowLastColumn="0"/>
            <w:tcW w:w="2836" w:type="dxa"/>
          </w:tcPr>
          <w:p w14:paraId="289D8A53" w14:textId="77777777" w:rsidR="0070272F" w:rsidRPr="009A27ED" w:rsidRDefault="0070272F" w:rsidP="00AF66EF">
            <w:pPr>
              <w:autoSpaceDE w:val="0"/>
              <w:autoSpaceDN w:val="0"/>
              <w:adjustRightInd w:val="0"/>
              <w:rPr>
                <w:sz w:val="20"/>
                <w:szCs w:val="20"/>
              </w:rPr>
            </w:pPr>
          </w:p>
        </w:tc>
        <w:tc>
          <w:tcPr>
            <w:tcW w:w="1554" w:type="dxa"/>
            <w:tcBorders>
              <w:bottom w:val="single" w:sz="4" w:space="0" w:color="BDD6EE" w:themeColor="accent1" w:themeTint="66"/>
            </w:tcBorders>
          </w:tcPr>
          <w:p w14:paraId="3ED0664C" w14:textId="77777777" w:rsidR="0070272F" w:rsidRPr="009A27ED" w:rsidRDefault="0070272F" w:rsidP="00AF66EF">
            <w:pPr>
              <w:spacing w:after="200" w:line="276" w:lineRule="auto"/>
              <w:jc w:val="left"/>
              <w:cnfStyle w:val="000000000000" w:firstRow="0" w:lastRow="0" w:firstColumn="0" w:lastColumn="0" w:oddVBand="0" w:evenVBand="0" w:oddHBand="0" w:evenHBand="0" w:firstRowFirstColumn="0" w:firstRowLastColumn="0" w:lastRowFirstColumn="0" w:lastRowLastColumn="0"/>
              <w:rPr>
                <w:b/>
                <w:color w:val="FF0000"/>
                <w:sz w:val="20"/>
                <w:szCs w:val="20"/>
              </w:rPr>
            </w:pPr>
            <w:r w:rsidRPr="009A27ED">
              <w:rPr>
                <w:b/>
                <w:color w:val="000000" w:themeColor="text1"/>
                <w:sz w:val="20"/>
                <w:szCs w:val="20"/>
              </w:rPr>
              <w:t>Ley Sectorial Forestal de la República Dominicana (No.58-18).</w:t>
            </w:r>
          </w:p>
        </w:tc>
        <w:tc>
          <w:tcPr>
            <w:tcW w:w="2840" w:type="dxa"/>
            <w:tcBorders>
              <w:bottom w:val="single" w:sz="4" w:space="0" w:color="BDD6EE" w:themeColor="accent1" w:themeTint="66"/>
            </w:tcBorders>
          </w:tcPr>
          <w:p w14:paraId="5BF14AC6" w14:textId="77777777" w:rsidR="0070272F" w:rsidRPr="009A27ED" w:rsidRDefault="0070272F" w:rsidP="00AF66EF">
            <w:pPr>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sz w:val="20"/>
                <w:szCs w:val="20"/>
                <w:lang w:val="es-DO"/>
              </w:rPr>
            </w:pPr>
            <w:r w:rsidRPr="009A27ED">
              <w:rPr>
                <w:sz w:val="20"/>
                <w:szCs w:val="20"/>
              </w:rPr>
              <w:t xml:space="preserve"> En el Capítulo X, relativo a la Protección Fitosanitaria la ley establece en su </w:t>
            </w:r>
            <w:r w:rsidRPr="009A27ED">
              <w:rPr>
                <w:b/>
                <w:sz w:val="20"/>
                <w:szCs w:val="20"/>
              </w:rPr>
              <w:t>Artículo 48</w:t>
            </w:r>
            <w:r w:rsidRPr="009A27ED">
              <w:rPr>
                <w:sz w:val="20"/>
                <w:szCs w:val="20"/>
              </w:rPr>
              <w:t xml:space="preserve"> que: “</w:t>
            </w:r>
            <w:r w:rsidRPr="009A27ED">
              <w:rPr>
                <w:i/>
                <w:sz w:val="20"/>
                <w:szCs w:val="20"/>
                <w:lang w:val="es-DO"/>
              </w:rPr>
              <w:t>El Ministerio de Medio Ambiente y Recursos Naturales formulará e implementará el Programa Nacional de Prevención y Control de Plagas y Enfermedades Forestales, el cual incluye las estrategias de prevención, detección y control en los bosques naturales y plantados, así como las prácticas para disminuir y prevenir los daños económicos y ambientales asociados a las mismas”</w:t>
            </w:r>
            <w:r w:rsidRPr="009A27ED">
              <w:rPr>
                <w:sz w:val="20"/>
                <w:szCs w:val="20"/>
                <w:lang w:val="es-DO"/>
              </w:rPr>
              <w:t>.</w:t>
            </w:r>
          </w:p>
          <w:p w14:paraId="52CE6D9D" w14:textId="77777777" w:rsidR="0070272F" w:rsidRPr="009A27ED" w:rsidRDefault="0070272F" w:rsidP="00AF66EF">
            <w:pPr>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sz w:val="20"/>
                <w:szCs w:val="20"/>
                <w:lang w:val="es-DO"/>
              </w:rPr>
            </w:pPr>
          </w:p>
          <w:p w14:paraId="544FF826" w14:textId="77777777" w:rsidR="0070272F" w:rsidRPr="009A27ED" w:rsidRDefault="0070272F" w:rsidP="00AF66EF">
            <w:pPr>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sz w:val="20"/>
                <w:szCs w:val="20"/>
                <w:lang w:val="es-DO"/>
              </w:rPr>
            </w:pPr>
            <w:r w:rsidRPr="009A27ED">
              <w:rPr>
                <w:sz w:val="20"/>
                <w:szCs w:val="20"/>
                <w:lang w:val="es-DO"/>
              </w:rPr>
              <w:t xml:space="preserve">Asimismo, el </w:t>
            </w:r>
            <w:r w:rsidRPr="009A27ED">
              <w:rPr>
                <w:b/>
                <w:sz w:val="20"/>
                <w:szCs w:val="20"/>
                <w:lang w:val="es-DO"/>
              </w:rPr>
              <w:t>Artículo 49</w:t>
            </w:r>
            <w:r w:rsidRPr="009A27ED">
              <w:rPr>
                <w:sz w:val="20"/>
                <w:szCs w:val="20"/>
                <w:lang w:val="es-DO"/>
              </w:rPr>
              <w:t xml:space="preserve"> dispone que: “Los trabajos de sanidad forestal, incluidos los cortes de saneamiento, serán ejecutados por los propietarios o usufructuarios de terrenos forestales, bajo la supervisión del Ministerio de Medio Ambiente y Recursos Naturales. En caso de no efectuarlos, este último los ejecutará y deducirá de los ingresos de dichos cortes los costos</w:t>
            </w:r>
          </w:p>
          <w:p w14:paraId="1AEFBB06" w14:textId="77777777" w:rsidR="0070272F" w:rsidRPr="009A27ED" w:rsidRDefault="0070272F" w:rsidP="00AF66EF">
            <w:pPr>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sz w:val="20"/>
                <w:szCs w:val="20"/>
                <w:lang w:val="es-DO"/>
              </w:rPr>
            </w:pPr>
            <w:r w:rsidRPr="009A27ED">
              <w:rPr>
                <w:sz w:val="20"/>
                <w:szCs w:val="20"/>
                <w:lang w:val="es-DO"/>
              </w:rPr>
              <w:t>Incurridos”.</w:t>
            </w:r>
          </w:p>
          <w:p w14:paraId="79E69A43" w14:textId="77777777" w:rsidR="0070272F" w:rsidRPr="009A27ED" w:rsidRDefault="0070272F" w:rsidP="00AF66EF">
            <w:pPr>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sz w:val="20"/>
                <w:szCs w:val="20"/>
                <w:lang w:val="es-DO"/>
              </w:rPr>
            </w:pPr>
          </w:p>
          <w:p w14:paraId="1EB8E850" w14:textId="77777777" w:rsidR="0070272F" w:rsidRPr="009A27ED" w:rsidRDefault="0070272F" w:rsidP="00AF66EF">
            <w:pPr>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sz w:val="20"/>
                <w:szCs w:val="20"/>
                <w:lang w:val="es-DO"/>
              </w:rPr>
            </w:pPr>
            <w:r w:rsidRPr="009A27ED">
              <w:rPr>
                <w:sz w:val="20"/>
                <w:szCs w:val="20"/>
                <w:lang w:val="es-DO"/>
              </w:rPr>
              <w:t xml:space="preserve">Con relación a la importación de material genético la ley ordena </w:t>
            </w:r>
            <w:r w:rsidRPr="009A27ED">
              <w:rPr>
                <w:sz w:val="20"/>
                <w:szCs w:val="20"/>
                <w:lang w:val="es-DO"/>
              </w:rPr>
              <w:lastRenderedPageBreak/>
              <w:t xml:space="preserve">en el </w:t>
            </w:r>
            <w:r w:rsidRPr="009A27ED">
              <w:rPr>
                <w:b/>
                <w:sz w:val="20"/>
                <w:szCs w:val="20"/>
                <w:lang w:val="es-DO"/>
              </w:rPr>
              <w:t>Artículo 50</w:t>
            </w:r>
            <w:r w:rsidRPr="009A27ED">
              <w:rPr>
                <w:sz w:val="20"/>
                <w:szCs w:val="20"/>
                <w:lang w:val="es-DO"/>
              </w:rPr>
              <w:t xml:space="preserve"> que: “</w:t>
            </w:r>
            <w:r w:rsidRPr="009A27ED">
              <w:rPr>
                <w:i/>
                <w:sz w:val="20"/>
                <w:szCs w:val="20"/>
                <w:lang w:val="es-DO"/>
              </w:rPr>
              <w:t>La importación de material genético de especies forestales deberá contar con la aprobación del Ministerio de Medio Ambiente y Recursos Naturales, además de cumplir con los requerimientos del Departamento de Sanidad Vegetal del Ministerio de Agricultura</w:t>
            </w:r>
            <w:r w:rsidRPr="009A27ED">
              <w:rPr>
                <w:sz w:val="20"/>
                <w:szCs w:val="20"/>
                <w:lang w:val="es-DO"/>
              </w:rPr>
              <w:t>”.</w:t>
            </w:r>
          </w:p>
        </w:tc>
        <w:tc>
          <w:tcPr>
            <w:tcW w:w="2546" w:type="dxa"/>
            <w:tcBorders>
              <w:bottom w:val="single" w:sz="4" w:space="0" w:color="BDD6EE" w:themeColor="accent1" w:themeTint="66"/>
            </w:tcBorders>
          </w:tcPr>
          <w:p w14:paraId="36B51529"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lastRenderedPageBreak/>
              <w:t>En la Ley Sectorial Forestal este punto está consignado y le corresponde al Ministerio de Medio Ambiente y Recursos Naturales ejecutar el Programa de Prevención y Control de Plagas y Enfermedades Forestales. En este sentido, El Ministerio de Medio Ambiente y Recursos Naturales deberá promover el uso de métodos de control biológicos y ambientales, así como un control de plagas seguro, eficaz y ambientalmente sostenible.</w:t>
            </w:r>
          </w:p>
        </w:tc>
        <w:tc>
          <w:tcPr>
            <w:tcW w:w="2268" w:type="dxa"/>
            <w:tcBorders>
              <w:bottom w:val="single" w:sz="4" w:space="0" w:color="BDD6EE" w:themeColor="accent1" w:themeTint="66"/>
            </w:tcBorders>
          </w:tcPr>
          <w:p w14:paraId="5BF9A667"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En la </w:t>
            </w:r>
            <w:proofErr w:type="spellStart"/>
            <w:r w:rsidRPr="009A27ED">
              <w:rPr>
                <w:sz w:val="20"/>
                <w:szCs w:val="20"/>
              </w:rPr>
              <w:t>practica</w:t>
            </w:r>
            <w:proofErr w:type="spellEnd"/>
            <w:r w:rsidRPr="009A27ED">
              <w:rPr>
                <w:sz w:val="20"/>
                <w:szCs w:val="20"/>
              </w:rPr>
              <w:t xml:space="preserve"> la aplicación de las medidas de controles fitosanitarios no se prioriza y se ejecuta de manera muy poco apropiada. Tampoco existe un documento técnicamente apropiado para el control y manejo de los productos utilizados en la gestión fitosanitaria de los bosques.</w:t>
            </w:r>
          </w:p>
          <w:p w14:paraId="13719576"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Resistencia de los actores a la aplicación de medidas de control para protección fitosanitaria.  </w:t>
            </w:r>
          </w:p>
        </w:tc>
        <w:tc>
          <w:tcPr>
            <w:tcW w:w="3124" w:type="dxa"/>
            <w:tcBorders>
              <w:bottom w:val="single" w:sz="4" w:space="0" w:color="BDD6EE" w:themeColor="accent1" w:themeTint="66"/>
            </w:tcBorders>
          </w:tcPr>
          <w:p w14:paraId="077F93C2" w14:textId="77777777" w:rsidR="0070272F" w:rsidRPr="009A27ED" w:rsidRDefault="0070272F" w:rsidP="00AF66EF">
            <w:pPr>
              <w:pStyle w:val="Prrafodelista"/>
              <w:numPr>
                <w:ilvl w:val="0"/>
                <w:numId w:val="271"/>
              </w:num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Se implementarán los lineamientos establecidos en el anexo 3 del MGAS.</w:t>
            </w:r>
          </w:p>
          <w:p w14:paraId="44541C51" w14:textId="77777777" w:rsidR="0070272F" w:rsidRPr="009A27ED" w:rsidRDefault="0070272F" w:rsidP="00AF66EF">
            <w:pPr>
              <w:pStyle w:val="Prrafodelista"/>
              <w:numPr>
                <w:ilvl w:val="0"/>
                <w:numId w:val="271"/>
              </w:numPr>
              <w:autoSpaceDE w:val="0"/>
              <w:autoSpaceDN w:val="0"/>
              <w:adjustRightInd w:val="0"/>
              <w:spacing w:after="0" w:line="240" w:lineRule="auto"/>
              <w:ind w:left="507"/>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Los aspectos no contemplados por la ley serán asumidos por los protocolos a elaborar, que permitan hacer un adecuado manejo de este aspecto tomando como referencia los aplicados en otros países que enfrentan las mismas problemáticas de plagas y enfermedades identificadas.</w:t>
            </w:r>
          </w:p>
          <w:p w14:paraId="69CF3B05" w14:textId="77777777" w:rsidR="0070272F" w:rsidRPr="009A27ED" w:rsidRDefault="0070272F" w:rsidP="00AF66EF">
            <w:pPr>
              <w:pStyle w:val="Prrafodelista"/>
              <w:numPr>
                <w:ilvl w:val="0"/>
                <w:numId w:val="271"/>
              </w:numPr>
              <w:spacing w:line="240" w:lineRule="auto"/>
              <w:ind w:left="507"/>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Capacitación de Profesionales y personal técnico local en la prospección detección, registro, prevención y control de plagas.</w:t>
            </w:r>
          </w:p>
          <w:p w14:paraId="4E1828B9" w14:textId="77777777" w:rsidR="0070272F" w:rsidRPr="009A27ED" w:rsidRDefault="0070272F" w:rsidP="00AF66EF">
            <w:pPr>
              <w:pStyle w:val="Prrafodelista"/>
              <w:numPr>
                <w:ilvl w:val="0"/>
                <w:numId w:val="271"/>
              </w:numPr>
              <w:spacing w:line="240" w:lineRule="auto"/>
              <w:ind w:left="507"/>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Ejecución del Plan de Manejo Integrado de Plagas incluido en el MGAS (Anexo 3) que incluye el uso y manejo de pesticidas, manejo integrado de plagas, métodos de prevención, control y monitoreo fitosanitario permanente de los recursos forestales.</w:t>
            </w:r>
          </w:p>
          <w:p w14:paraId="0FDF2F5B"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lang w:val="es-GT"/>
              </w:rPr>
            </w:pPr>
          </w:p>
        </w:tc>
      </w:tr>
      <w:tr w:rsidR="0070272F" w:rsidRPr="009A27ED" w14:paraId="3F3BC97C" w14:textId="77777777" w:rsidTr="00AF66EF">
        <w:trPr>
          <w:trHeight w:val="888"/>
        </w:trPr>
        <w:tc>
          <w:tcPr>
            <w:cnfStyle w:val="001000000000" w:firstRow="0" w:lastRow="0" w:firstColumn="1" w:lastColumn="0" w:oddVBand="0" w:evenVBand="0" w:oddHBand="0" w:evenHBand="0" w:firstRowFirstColumn="0" w:firstRowLastColumn="0" w:lastRowFirstColumn="0" w:lastRowLastColumn="0"/>
            <w:tcW w:w="2836" w:type="dxa"/>
            <w:vMerge w:val="restart"/>
            <w:tcBorders>
              <w:right w:val="single" w:sz="4" w:space="0" w:color="BDD6EE" w:themeColor="accent1" w:themeTint="66"/>
            </w:tcBorders>
          </w:tcPr>
          <w:p w14:paraId="2976BDAB" w14:textId="77777777" w:rsidR="0070272F" w:rsidRPr="009A27ED" w:rsidRDefault="0070272F" w:rsidP="00AF66EF">
            <w:pPr>
              <w:autoSpaceDE w:val="0"/>
              <w:autoSpaceDN w:val="0"/>
              <w:adjustRightInd w:val="0"/>
              <w:rPr>
                <w:color w:val="FF0000"/>
                <w:sz w:val="20"/>
                <w:szCs w:val="20"/>
              </w:rPr>
            </w:pPr>
            <w:r w:rsidRPr="009A27ED">
              <w:rPr>
                <w:sz w:val="20"/>
                <w:szCs w:val="20"/>
              </w:rPr>
              <w:t xml:space="preserve"> Sobre Patrimonio cultural físico (OP 4.11)</w:t>
            </w:r>
          </w:p>
          <w:p w14:paraId="4B5709C9" w14:textId="77777777" w:rsidR="0070272F" w:rsidRPr="009A27ED" w:rsidRDefault="0070272F" w:rsidP="00AF66EF">
            <w:pPr>
              <w:autoSpaceDE w:val="0"/>
              <w:autoSpaceDN w:val="0"/>
              <w:adjustRightInd w:val="0"/>
              <w:rPr>
                <w:b w:val="0"/>
                <w:color w:val="000000" w:themeColor="text1"/>
                <w:sz w:val="20"/>
                <w:szCs w:val="20"/>
                <w:u w:val="single"/>
              </w:rPr>
            </w:pPr>
            <w:r w:rsidRPr="009A27ED">
              <w:rPr>
                <w:color w:val="000000" w:themeColor="text1"/>
                <w:sz w:val="20"/>
                <w:szCs w:val="20"/>
              </w:rPr>
              <w:t>En términos generales, contiene lineamientos para evitar y/o mitigar los impactos adversos sobre los recursos culturales físicos de proyectos, incluyendo bienes muebles o inmuebles, sitios, estructuras, grupos de estructuras y, características naturales y paisajes que tienen un significado cultural arqueológico, paleontológico, histórico, arquitectónico, religioso, estético o de otro tipo. Su interés cultural puede estar en el nivel local, provincial o nacional, o dentro de la comunidad internacional. Los Recursos culturales físicos son importantes como fuente de valiosa información científica e histórica, como activos para el desarrollo económico y social, y como parte integrante de la identidad y las prácticas culturales de un pueblo.</w:t>
            </w:r>
          </w:p>
          <w:p w14:paraId="651F42E0" w14:textId="77777777" w:rsidR="0070272F" w:rsidRPr="009A27ED" w:rsidRDefault="0070272F" w:rsidP="00AF66EF">
            <w:pPr>
              <w:autoSpaceDE w:val="0"/>
              <w:autoSpaceDN w:val="0"/>
              <w:adjustRightInd w:val="0"/>
              <w:rPr>
                <w:b w:val="0"/>
                <w:sz w:val="20"/>
                <w:szCs w:val="20"/>
              </w:rPr>
            </w:pPr>
          </w:p>
        </w:tc>
        <w:tc>
          <w:tcPr>
            <w:tcW w:w="1554"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tcPr>
          <w:p w14:paraId="7B5589ED" w14:textId="77777777" w:rsidR="0070272F" w:rsidRPr="009A27ED" w:rsidRDefault="0070272F" w:rsidP="00AF66EF">
            <w:pPr>
              <w:spacing w:after="200" w:line="276" w:lineRule="auto"/>
              <w:jc w:val="left"/>
              <w:cnfStyle w:val="000000000000" w:firstRow="0" w:lastRow="0" w:firstColumn="0" w:lastColumn="0" w:oddVBand="0" w:evenVBand="0" w:oddHBand="0" w:evenHBand="0" w:firstRowFirstColumn="0" w:firstRowLastColumn="0" w:lastRowFirstColumn="0" w:lastRowLastColumn="0"/>
              <w:rPr>
                <w:b/>
                <w:sz w:val="20"/>
                <w:szCs w:val="20"/>
              </w:rPr>
            </w:pPr>
            <w:r w:rsidRPr="009A27ED">
              <w:rPr>
                <w:b/>
                <w:sz w:val="20"/>
                <w:szCs w:val="20"/>
              </w:rPr>
              <w:t>Constitución Política de la República Dominicana (CPD)</w:t>
            </w:r>
          </w:p>
          <w:p w14:paraId="1B994149" w14:textId="77777777" w:rsidR="0070272F" w:rsidRPr="009A27ED" w:rsidRDefault="0070272F" w:rsidP="00AF66EF">
            <w:pPr>
              <w:spacing w:line="276" w:lineRule="auto"/>
              <w:jc w:val="left"/>
              <w:cnfStyle w:val="000000000000" w:firstRow="0" w:lastRow="0" w:firstColumn="0" w:lastColumn="0" w:oddVBand="0" w:evenVBand="0" w:oddHBand="0" w:evenHBand="0" w:firstRowFirstColumn="0" w:firstRowLastColumn="0" w:lastRowFirstColumn="0" w:lastRowLastColumn="0"/>
              <w:rPr>
                <w:b/>
                <w:sz w:val="20"/>
                <w:szCs w:val="20"/>
              </w:rPr>
            </w:pPr>
          </w:p>
        </w:tc>
        <w:tc>
          <w:tcPr>
            <w:tcW w:w="2840"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tcPr>
          <w:p w14:paraId="616A4E7B"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La Constitución de la República Dominicana se refiere a la protección de los recursos culturales y su protección en el </w:t>
            </w:r>
            <w:r w:rsidRPr="009A27ED">
              <w:rPr>
                <w:b/>
                <w:sz w:val="20"/>
                <w:szCs w:val="20"/>
              </w:rPr>
              <w:t>Artículo 64.-</w:t>
            </w:r>
            <w:r w:rsidRPr="009A27ED">
              <w:rPr>
                <w:sz w:val="20"/>
                <w:szCs w:val="20"/>
              </w:rPr>
              <w:t xml:space="preserve"> Derecho a la cultura. </w:t>
            </w:r>
            <w:r w:rsidRPr="009A27ED">
              <w:rPr>
                <w:b/>
                <w:sz w:val="20"/>
                <w:szCs w:val="20"/>
              </w:rPr>
              <w:t>4)</w:t>
            </w:r>
            <w:r w:rsidRPr="009A27ED">
              <w:rPr>
                <w:sz w:val="20"/>
                <w:szCs w:val="20"/>
              </w:rPr>
              <w:t xml:space="preserve"> El patrimonio cultural de la Nación, material e inmaterial, está bajo la salvaguarda del Estado que garantizará su protección, enriquecimiento, conservación, restauración y puesta en valor. Los bienes del patrimonio cultural de la Nación, cuya propiedad sea estatal o hayan sido adquiridos por el Estado, son inalienables e inembargables y dicha titularidad, imprescriptible.</w:t>
            </w:r>
          </w:p>
          <w:p w14:paraId="4651B108"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También en el </w:t>
            </w:r>
            <w:r w:rsidRPr="009A27ED">
              <w:rPr>
                <w:b/>
                <w:sz w:val="20"/>
                <w:szCs w:val="20"/>
              </w:rPr>
              <w:t>Artículo 66.-</w:t>
            </w:r>
            <w:r w:rsidRPr="009A27ED">
              <w:rPr>
                <w:sz w:val="20"/>
                <w:szCs w:val="20"/>
              </w:rPr>
              <w:t xml:space="preserve"> Derechos colectivos y difusos. El Estado reconoce los derechos e intereses colectivos y difusos, los cuales se ejercen en las condiciones y limitaciones establecidas en la ley. En consecuencia, protege: 3) La preservación del patrimonio cultural, histórico, urbanístico, artístico, arquitectónico y arqueológico. </w:t>
            </w:r>
          </w:p>
          <w:p w14:paraId="47014C68"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El Articulo 16 de la constitución también hace referencia a la protección de las áreas protegidas y sobre todo se está refiriendo a aquellas áreas que fueron establecidas principalmente para proteger recursos que se constituyen en patrimonio cultural, el cual es </w:t>
            </w:r>
            <w:r w:rsidRPr="009A27ED">
              <w:rPr>
                <w:sz w:val="20"/>
                <w:szCs w:val="20"/>
              </w:rPr>
              <w:lastRenderedPageBreak/>
              <w:t xml:space="preserve">albergado por varias cuevas con riquezas arqueológicas y que forman parte del Sistema Nacional de Áreas Protegidas. </w:t>
            </w:r>
          </w:p>
        </w:tc>
        <w:tc>
          <w:tcPr>
            <w:tcW w:w="2546"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tcPr>
          <w:p w14:paraId="17DD1D15"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bCs/>
                <w:color w:val="000000"/>
                <w:sz w:val="20"/>
                <w:szCs w:val="20"/>
                <w:lang w:eastAsia="es-ES"/>
              </w:rPr>
            </w:pPr>
            <w:r w:rsidRPr="009A27ED">
              <w:rPr>
                <w:sz w:val="20"/>
                <w:szCs w:val="20"/>
              </w:rPr>
              <w:lastRenderedPageBreak/>
              <w:t>La carta magna declara los principios, derechos y deberes fundamentales que regulan el marco político, institucional legal y territorial de la República Dominicana.</w:t>
            </w:r>
          </w:p>
        </w:tc>
        <w:tc>
          <w:tcPr>
            <w:tcW w:w="2268"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tcPr>
          <w:p w14:paraId="18B1664E"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No se observan vacíos legales. </w:t>
            </w:r>
          </w:p>
          <w:p w14:paraId="68AE703C" w14:textId="77777777" w:rsidR="0070272F" w:rsidRPr="009A27ED" w:rsidRDefault="0070272F" w:rsidP="00AF66EF">
            <w:pPr>
              <w:pStyle w:val="Prrafodelista"/>
              <w:spacing w:line="240" w:lineRule="auto"/>
              <w:ind w:left="360"/>
              <w:cnfStyle w:val="000000000000" w:firstRow="0" w:lastRow="0" w:firstColumn="0" w:lastColumn="0" w:oddVBand="0" w:evenVBand="0" w:oddHBand="0" w:evenHBand="0" w:firstRowFirstColumn="0" w:firstRowLastColumn="0" w:lastRowFirstColumn="0" w:lastRowLastColumn="0"/>
              <w:rPr>
                <w:sz w:val="20"/>
                <w:szCs w:val="20"/>
                <w:lang w:val="es-ES"/>
              </w:rPr>
            </w:pPr>
          </w:p>
        </w:tc>
        <w:tc>
          <w:tcPr>
            <w:tcW w:w="3124"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tcPr>
          <w:p w14:paraId="0714ACF4"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bCs/>
                <w:color w:val="000000"/>
                <w:sz w:val="20"/>
                <w:szCs w:val="20"/>
                <w:lang w:eastAsia="es-ES"/>
              </w:rPr>
            </w:pPr>
          </w:p>
        </w:tc>
      </w:tr>
      <w:tr w:rsidR="0070272F" w:rsidRPr="009A27ED" w14:paraId="06A34B10" w14:textId="77777777" w:rsidTr="00AF66EF">
        <w:trPr>
          <w:trHeight w:val="3678"/>
        </w:trPr>
        <w:tc>
          <w:tcPr>
            <w:cnfStyle w:val="001000000000" w:firstRow="0" w:lastRow="0" w:firstColumn="1" w:lastColumn="0" w:oddVBand="0" w:evenVBand="0" w:oddHBand="0" w:evenHBand="0" w:firstRowFirstColumn="0" w:firstRowLastColumn="0" w:lastRowFirstColumn="0" w:lastRowLastColumn="0"/>
            <w:tcW w:w="2836" w:type="dxa"/>
            <w:vMerge/>
          </w:tcPr>
          <w:p w14:paraId="73AD6067" w14:textId="77777777" w:rsidR="0070272F" w:rsidRPr="009A27ED" w:rsidRDefault="0070272F" w:rsidP="00AF66EF">
            <w:pPr>
              <w:autoSpaceDE w:val="0"/>
              <w:autoSpaceDN w:val="0"/>
              <w:adjustRightInd w:val="0"/>
              <w:rPr>
                <w:sz w:val="20"/>
                <w:szCs w:val="20"/>
              </w:rPr>
            </w:pPr>
          </w:p>
        </w:tc>
        <w:tc>
          <w:tcPr>
            <w:tcW w:w="1554" w:type="dxa"/>
            <w:tcBorders>
              <w:top w:val="single" w:sz="4" w:space="0" w:color="BDD6EE" w:themeColor="accent1" w:themeTint="66"/>
            </w:tcBorders>
          </w:tcPr>
          <w:p w14:paraId="5D583EC3" w14:textId="77777777" w:rsidR="0070272F" w:rsidRPr="009A27ED" w:rsidRDefault="0070272F" w:rsidP="00AF66EF">
            <w:pPr>
              <w:spacing w:line="276" w:lineRule="auto"/>
              <w:jc w:val="left"/>
              <w:cnfStyle w:val="000000000000" w:firstRow="0" w:lastRow="0" w:firstColumn="0" w:lastColumn="0" w:oddVBand="0" w:evenVBand="0" w:oddHBand="0" w:evenHBand="0" w:firstRowFirstColumn="0" w:firstRowLastColumn="0" w:lastRowFirstColumn="0" w:lastRowLastColumn="0"/>
              <w:rPr>
                <w:b/>
                <w:sz w:val="20"/>
                <w:szCs w:val="20"/>
              </w:rPr>
            </w:pPr>
            <w:r w:rsidRPr="009A27ED">
              <w:rPr>
                <w:b/>
                <w:sz w:val="20"/>
                <w:szCs w:val="20"/>
              </w:rPr>
              <w:t>Ley General de Medio Ambiente y Recursos Naturales (Ley 64-00)</w:t>
            </w:r>
          </w:p>
        </w:tc>
        <w:tc>
          <w:tcPr>
            <w:tcW w:w="2840" w:type="dxa"/>
            <w:tcBorders>
              <w:top w:val="single" w:sz="4" w:space="0" w:color="BDD6EE" w:themeColor="accent1" w:themeTint="66"/>
            </w:tcBorders>
          </w:tcPr>
          <w:p w14:paraId="1D6C95AF" w14:textId="17B1FD7D" w:rsidR="0070272F" w:rsidRPr="009A27ED" w:rsidRDefault="001B6C5C" w:rsidP="00AF66EF">
            <w:pPr>
              <w:cnfStyle w:val="000000000000" w:firstRow="0" w:lastRow="0" w:firstColumn="0" w:lastColumn="0" w:oddVBand="0" w:evenVBand="0" w:oddHBand="0" w:evenHBand="0" w:firstRowFirstColumn="0" w:firstRowLastColumn="0" w:lastRowFirstColumn="0" w:lastRowLastColumn="0"/>
              <w:rPr>
                <w:bCs/>
                <w:color w:val="000000"/>
                <w:sz w:val="20"/>
                <w:szCs w:val="20"/>
                <w:lang w:eastAsia="es-ES"/>
              </w:rPr>
            </w:pPr>
            <w:r w:rsidRPr="009A27ED">
              <w:rPr>
                <w:bCs/>
                <w:color w:val="000000"/>
                <w:sz w:val="20"/>
                <w:szCs w:val="20"/>
                <w:lang w:eastAsia="es-ES"/>
              </w:rPr>
              <w:t xml:space="preserve">La Ley 64-00 se refiere a los recursos que conforman el patrimonio natural y cultural dominicano y dice en su </w:t>
            </w:r>
            <w:r w:rsidRPr="009A27ED">
              <w:rPr>
                <w:b/>
                <w:bCs/>
                <w:color w:val="000000"/>
                <w:sz w:val="20"/>
                <w:szCs w:val="20"/>
                <w:lang w:eastAsia="es-ES"/>
              </w:rPr>
              <w:t>Artículo 33, Numeral 7</w:t>
            </w:r>
            <w:r w:rsidRPr="009A27ED">
              <w:rPr>
                <w:bCs/>
                <w:color w:val="000000"/>
                <w:sz w:val="20"/>
                <w:szCs w:val="20"/>
                <w:lang w:eastAsia="es-ES"/>
              </w:rPr>
              <w:t xml:space="preserve"> lo siguiente: “</w:t>
            </w:r>
            <w:r w:rsidRPr="009A27ED">
              <w:rPr>
                <w:bCs/>
                <w:i/>
                <w:color w:val="000000"/>
                <w:sz w:val="20"/>
                <w:szCs w:val="20"/>
                <w:lang w:eastAsia="es-ES"/>
              </w:rPr>
              <w:t>Que se procura proteger los entornos naturales de los monumentos históricos, los vestigios arqueológicos y artísticos</w:t>
            </w:r>
            <w:r w:rsidRPr="009A27ED">
              <w:rPr>
                <w:bCs/>
                <w:color w:val="000000"/>
                <w:sz w:val="20"/>
                <w:szCs w:val="20"/>
                <w:lang w:eastAsia="es-ES"/>
              </w:rPr>
              <w:t xml:space="preserve">. </w:t>
            </w:r>
            <w:r w:rsidR="0070272F" w:rsidRPr="009A27ED">
              <w:rPr>
                <w:bCs/>
                <w:color w:val="000000"/>
                <w:sz w:val="20"/>
                <w:szCs w:val="20"/>
                <w:lang w:eastAsia="es-ES"/>
              </w:rPr>
              <w:t xml:space="preserve">El </w:t>
            </w:r>
            <w:r w:rsidR="0070272F" w:rsidRPr="009A27ED">
              <w:rPr>
                <w:b/>
                <w:bCs/>
                <w:color w:val="000000"/>
                <w:sz w:val="20"/>
                <w:szCs w:val="20"/>
                <w:lang w:eastAsia="es-ES"/>
              </w:rPr>
              <w:t>Artículo 16</w:t>
            </w:r>
            <w:r w:rsidR="0070272F" w:rsidRPr="009A27ED">
              <w:rPr>
                <w:color w:val="000000"/>
                <w:sz w:val="20"/>
                <w:szCs w:val="20"/>
                <w:lang w:eastAsia="es-ES"/>
              </w:rPr>
              <w:t xml:space="preserve">0 dispone </w:t>
            </w:r>
            <w:r w:rsidRPr="009A27ED">
              <w:rPr>
                <w:color w:val="000000"/>
                <w:sz w:val="20"/>
                <w:szCs w:val="20"/>
                <w:lang w:eastAsia="es-ES"/>
              </w:rPr>
              <w:t xml:space="preserve">que: </w:t>
            </w:r>
            <w:r w:rsidRPr="009A27ED">
              <w:rPr>
                <w:i/>
                <w:color w:val="000000"/>
                <w:sz w:val="20"/>
                <w:szCs w:val="20"/>
                <w:shd w:val="clear" w:color="auto" w:fill="FFFFFF"/>
                <w:lang w:eastAsia="es-ES"/>
              </w:rPr>
              <w:t>“Se</w:t>
            </w:r>
            <w:r w:rsidR="0070272F" w:rsidRPr="009A27ED">
              <w:rPr>
                <w:i/>
                <w:color w:val="000000"/>
                <w:sz w:val="20"/>
                <w:szCs w:val="20"/>
                <w:shd w:val="clear" w:color="auto" w:fill="FFFFFF"/>
                <w:lang w:eastAsia="es-ES"/>
              </w:rPr>
              <w:t xml:space="preserve"> declara patrimonio natural de la nación las cuevas, cavernas y demás cavidades subterráneas naturales del territorio nacional. Se prohíbe toda alteración física de sus características naturales y culturales, así como la extracción de sus formaciones secundarias, materiales paleontológicos, arqueológicos o de cualquier clase, natural o cultural, de su interior, y la introducción de desechos y objetos de cualquier tipo que puedan alterar las condiciones del equilibrio ecológico existente</w:t>
            </w:r>
            <w:r w:rsidR="0070272F" w:rsidRPr="009A27ED">
              <w:rPr>
                <w:color w:val="000000"/>
                <w:sz w:val="20"/>
                <w:szCs w:val="20"/>
                <w:shd w:val="clear" w:color="auto" w:fill="FFFFFF"/>
                <w:lang w:eastAsia="es-ES"/>
              </w:rPr>
              <w:t>”.</w:t>
            </w:r>
          </w:p>
        </w:tc>
        <w:tc>
          <w:tcPr>
            <w:tcW w:w="2546" w:type="dxa"/>
            <w:tcBorders>
              <w:top w:val="single" w:sz="4" w:space="0" w:color="BDD6EE" w:themeColor="accent1" w:themeTint="66"/>
            </w:tcBorders>
          </w:tcPr>
          <w:p w14:paraId="69B7220E"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 </w:t>
            </w:r>
          </w:p>
          <w:p w14:paraId="31A257DE"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La Ley marco ambiental regula los recursos naturales considerados como patrimonio cultural de la nación. Estas disposiciones se armonizan con otras normativas vigentes que ordenan, entre otros objetivos; la protección del patrimonio físico- cultural.</w:t>
            </w:r>
          </w:p>
        </w:tc>
        <w:tc>
          <w:tcPr>
            <w:tcW w:w="2268" w:type="dxa"/>
            <w:tcBorders>
              <w:top w:val="single" w:sz="4" w:space="0" w:color="BDD6EE" w:themeColor="accent1" w:themeTint="66"/>
            </w:tcBorders>
          </w:tcPr>
          <w:p w14:paraId="3C119EE3" w14:textId="77777777" w:rsidR="0070272F" w:rsidRPr="009A27ED" w:rsidRDefault="0070272F" w:rsidP="00AF66EF">
            <w:pPr>
              <w:pStyle w:val="Prrafodelista"/>
              <w:spacing w:line="240" w:lineRule="auto"/>
              <w:ind w:left="360"/>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En este punto no se observan vacíos legales, ya que </w:t>
            </w:r>
          </w:p>
        </w:tc>
        <w:tc>
          <w:tcPr>
            <w:tcW w:w="3124" w:type="dxa"/>
            <w:tcBorders>
              <w:top w:val="single" w:sz="4" w:space="0" w:color="BDD6EE" w:themeColor="accent1" w:themeTint="66"/>
            </w:tcBorders>
          </w:tcPr>
          <w:p w14:paraId="0B094FFF" w14:textId="77777777" w:rsidR="0070272F" w:rsidRPr="009A27ED" w:rsidRDefault="0070272F" w:rsidP="00AF66EF">
            <w:pPr>
              <w:pStyle w:val="Prrafodelista"/>
              <w:numPr>
                <w:ilvl w:val="0"/>
                <w:numId w:val="55"/>
              </w:numPr>
              <w:spacing w:line="240" w:lineRule="auto"/>
              <w:ind w:left="360"/>
              <w:cnfStyle w:val="000000000000" w:firstRow="0" w:lastRow="0" w:firstColumn="0" w:lastColumn="0" w:oddVBand="0" w:evenVBand="0" w:oddHBand="0" w:evenHBand="0" w:firstRowFirstColumn="0" w:firstRowLastColumn="0" w:lastRowFirstColumn="0" w:lastRowLastColumn="0"/>
              <w:rPr>
                <w:bCs/>
                <w:color w:val="000000"/>
                <w:sz w:val="20"/>
                <w:szCs w:val="20"/>
                <w:lang w:eastAsia="es-ES"/>
              </w:rPr>
            </w:pPr>
            <w:r w:rsidRPr="009A27ED">
              <w:rPr>
                <w:sz w:val="20"/>
                <w:szCs w:val="20"/>
              </w:rPr>
              <w:t>Se abordará el cumplimiento al plan de gestión de los recursos culturales físicos de la OP 4.11 (Anexo 4), con base al marco normativo nacional, teniendo en cuenta las capacidades y arreglos institucionales de las entidades que se ocupan del tema en el país y aquellas que se han definido en el MGAS.</w:t>
            </w:r>
          </w:p>
          <w:p w14:paraId="7F4EA1D4" w14:textId="77777777" w:rsidR="0070272F" w:rsidRPr="009A27ED" w:rsidRDefault="0070272F" w:rsidP="00AF66EF">
            <w:pPr>
              <w:pStyle w:val="Prrafodelista"/>
              <w:numPr>
                <w:ilvl w:val="0"/>
                <w:numId w:val="55"/>
              </w:numPr>
              <w:spacing w:line="240" w:lineRule="auto"/>
              <w:ind w:left="360"/>
              <w:cnfStyle w:val="000000000000" w:firstRow="0" w:lastRow="0" w:firstColumn="0" w:lastColumn="0" w:oddVBand="0" w:evenVBand="0" w:oddHBand="0" w:evenHBand="0" w:firstRowFirstColumn="0" w:firstRowLastColumn="0" w:lastRowFirstColumn="0" w:lastRowLastColumn="0"/>
              <w:rPr>
                <w:bCs/>
                <w:color w:val="000000"/>
                <w:sz w:val="20"/>
                <w:szCs w:val="20"/>
                <w:lang w:eastAsia="es-ES"/>
              </w:rPr>
            </w:pPr>
            <w:r w:rsidRPr="009A27ED">
              <w:rPr>
                <w:sz w:val="20"/>
                <w:szCs w:val="20"/>
              </w:rPr>
              <w:t xml:space="preserve">En los casos de las </w:t>
            </w:r>
            <w:r w:rsidRPr="009A27ED">
              <w:rPr>
                <w:i/>
                <w:sz w:val="20"/>
                <w:szCs w:val="20"/>
              </w:rPr>
              <w:t>actividades específicas</w:t>
            </w:r>
            <w:r w:rsidRPr="009A27ED">
              <w:rPr>
                <w:sz w:val="20"/>
                <w:szCs w:val="20"/>
              </w:rPr>
              <w:t xml:space="preserve"> REDD+ en que se active esta OP 4.11, se dará cumplimientos a los requisitos o requerimientos de la OP detallados en el anexo 4 , creando un instrumento con fundamento en los lineamientos aplicables de la Guía Metodológica para la Elaboración y/o Actualización de Planes de Manejo de Áreas Protegidas de República Dominicana, elaborada por el Ministerio de Medio Ambiente, complementando su abordaje con los lineamientos del Ministerio de Cultura en lo referido a patrimonio cultural.</w:t>
            </w:r>
          </w:p>
        </w:tc>
      </w:tr>
      <w:tr w:rsidR="0070272F" w:rsidRPr="009A27ED" w14:paraId="6F1538F3" w14:textId="77777777" w:rsidTr="00AF66EF">
        <w:tc>
          <w:tcPr>
            <w:cnfStyle w:val="001000000000" w:firstRow="0" w:lastRow="0" w:firstColumn="1" w:lastColumn="0" w:oddVBand="0" w:evenVBand="0" w:oddHBand="0" w:evenHBand="0" w:firstRowFirstColumn="0" w:firstRowLastColumn="0" w:lastRowFirstColumn="0" w:lastRowLastColumn="0"/>
            <w:tcW w:w="2836" w:type="dxa"/>
            <w:vMerge/>
          </w:tcPr>
          <w:p w14:paraId="418360D5" w14:textId="77777777" w:rsidR="0070272F" w:rsidRPr="009A27ED" w:rsidRDefault="0070272F" w:rsidP="00AF66EF">
            <w:pPr>
              <w:autoSpaceDE w:val="0"/>
              <w:autoSpaceDN w:val="0"/>
              <w:adjustRightInd w:val="0"/>
              <w:rPr>
                <w:sz w:val="20"/>
                <w:szCs w:val="20"/>
              </w:rPr>
            </w:pPr>
          </w:p>
        </w:tc>
        <w:tc>
          <w:tcPr>
            <w:tcW w:w="1554" w:type="dxa"/>
            <w:shd w:val="clear" w:color="auto" w:fill="auto"/>
          </w:tcPr>
          <w:p w14:paraId="682691CF" w14:textId="77777777" w:rsidR="0070272F" w:rsidRPr="009A27ED" w:rsidRDefault="0070272F" w:rsidP="00AF66EF">
            <w:pPr>
              <w:spacing w:line="276" w:lineRule="auto"/>
              <w:jc w:val="left"/>
              <w:cnfStyle w:val="000000000000" w:firstRow="0" w:lastRow="0" w:firstColumn="0" w:lastColumn="0" w:oddVBand="0" w:evenVBand="0" w:oddHBand="0" w:evenHBand="0" w:firstRowFirstColumn="0" w:firstRowLastColumn="0" w:lastRowFirstColumn="0" w:lastRowLastColumn="0"/>
              <w:rPr>
                <w:b/>
                <w:sz w:val="20"/>
                <w:szCs w:val="20"/>
              </w:rPr>
            </w:pPr>
            <w:r w:rsidRPr="009A27ED">
              <w:rPr>
                <w:b/>
                <w:sz w:val="20"/>
                <w:szCs w:val="20"/>
              </w:rPr>
              <w:t xml:space="preserve">Ley de la Estrategia Nacional de Desarrollo (Ley No. 1-12) </w:t>
            </w:r>
          </w:p>
        </w:tc>
        <w:tc>
          <w:tcPr>
            <w:tcW w:w="2840" w:type="dxa"/>
            <w:shd w:val="clear" w:color="auto" w:fill="auto"/>
          </w:tcPr>
          <w:p w14:paraId="2AB4A883"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sz w:val="20"/>
                <w:szCs w:val="20"/>
              </w:rPr>
            </w:pPr>
            <w:r w:rsidRPr="009A27ED">
              <w:rPr>
                <w:bCs/>
                <w:color w:val="000000"/>
                <w:sz w:val="20"/>
                <w:szCs w:val="20"/>
                <w:lang w:eastAsia="es-ES"/>
              </w:rPr>
              <w:t xml:space="preserve">La estrategia nacional de desarrollo plantea en la </w:t>
            </w:r>
            <w:r w:rsidRPr="009A27ED">
              <w:rPr>
                <w:b/>
                <w:bCs/>
                <w:color w:val="000000"/>
                <w:sz w:val="20"/>
                <w:szCs w:val="20"/>
                <w:lang w:eastAsia="es-ES"/>
              </w:rPr>
              <w:t>línea de acción 2.6.1.8</w:t>
            </w:r>
            <w:r w:rsidRPr="009A27ED">
              <w:rPr>
                <w:bCs/>
                <w:color w:val="000000"/>
                <w:sz w:val="20"/>
                <w:szCs w:val="20"/>
                <w:lang w:eastAsia="es-ES"/>
              </w:rPr>
              <w:t xml:space="preserve"> Recuperar, proteger y proyectar el patrimonio cultural tangible e intangible de la Nación, mediante el estudio y difusión de las culturas regionales y locales, propiciar su valoración como parte de la identidad nacional y su promoción como parte del potencial productivo. </w:t>
            </w:r>
            <w:r w:rsidRPr="009A27ED">
              <w:rPr>
                <w:b/>
                <w:bCs/>
                <w:color w:val="000000"/>
                <w:sz w:val="20"/>
                <w:szCs w:val="20"/>
                <w:lang w:eastAsia="es-ES"/>
              </w:rPr>
              <w:t>Y la línea de acción 3.5.5.11</w:t>
            </w:r>
            <w:r w:rsidRPr="009A27ED">
              <w:rPr>
                <w:bCs/>
                <w:color w:val="000000"/>
                <w:sz w:val="20"/>
                <w:szCs w:val="20"/>
                <w:lang w:eastAsia="es-ES"/>
              </w:rPr>
              <w:t xml:space="preserve"> Fomentar el desarrollo de actividades complementarias, en particular aquellas que incorporan el acervo cultural, histórico y </w:t>
            </w:r>
            <w:r w:rsidRPr="009A27ED">
              <w:rPr>
                <w:bCs/>
                <w:color w:val="000000"/>
                <w:sz w:val="20"/>
                <w:szCs w:val="20"/>
                <w:lang w:eastAsia="es-ES"/>
              </w:rPr>
              <w:lastRenderedPageBreak/>
              <w:t>medioambiental a la oferta turística.</w:t>
            </w:r>
          </w:p>
        </w:tc>
        <w:tc>
          <w:tcPr>
            <w:tcW w:w="2546" w:type="dxa"/>
            <w:shd w:val="clear" w:color="auto" w:fill="auto"/>
          </w:tcPr>
          <w:p w14:paraId="6FB17C29"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bCs/>
                <w:color w:val="000000"/>
                <w:sz w:val="20"/>
                <w:szCs w:val="20"/>
                <w:lang w:eastAsia="es-ES"/>
              </w:rPr>
            </w:pPr>
            <w:r w:rsidRPr="009A27ED">
              <w:rPr>
                <w:bCs/>
                <w:color w:val="000000"/>
                <w:sz w:val="20"/>
                <w:szCs w:val="20"/>
                <w:lang w:eastAsia="es-ES"/>
              </w:rPr>
              <w:lastRenderedPageBreak/>
              <w:t>Como instrumento de Planificación, la Ley No.1-12, contiene lineamientos  estratégicos para evitar o mitigar los impactos adversos sobre los recursos culturales físicos ya que estos constituyen fuente de valiosa información científica e histórica, considerados  como activos para el desarrollo económico y social del país.</w:t>
            </w:r>
          </w:p>
        </w:tc>
        <w:tc>
          <w:tcPr>
            <w:tcW w:w="2268" w:type="dxa"/>
            <w:shd w:val="clear" w:color="auto" w:fill="auto"/>
          </w:tcPr>
          <w:p w14:paraId="06F5112E"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bCs/>
                <w:color w:val="000000"/>
                <w:sz w:val="20"/>
                <w:szCs w:val="20"/>
                <w:lang w:eastAsia="es-ES"/>
              </w:rPr>
            </w:pPr>
            <w:r w:rsidRPr="009A27ED">
              <w:rPr>
                <w:bCs/>
                <w:color w:val="000000"/>
                <w:sz w:val="20"/>
                <w:szCs w:val="20"/>
                <w:lang w:eastAsia="es-ES"/>
              </w:rPr>
              <w:t>No se observan brechas.</w:t>
            </w:r>
          </w:p>
        </w:tc>
        <w:tc>
          <w:tcPr>
            <w:tcW w:w="3124" w:type="dxa"/>
            <w:shd w:val="clear" w:color="auto" w:fill="auto"/>
          </w:tcPr>
          <w:p w14:paraId="02A0D4ED" w14:textId="77777777" w:rsidR="0070272F" w:rsidRPr="009A27ED" w:rsidRDefault="0070272F" w:rsidP="00AF66EF">
            <w:pPr>
              <w:cnfStyle w:val="000000000000" w:firstRow="0" w:lastRow="0" w:firstColumn="0" w:lastColumn="0" w:oddVBand="0" w:evenVBand="0" w:oddHBand="0" w:evenHBand="0" w:firstRowFirstColumn="0" w:firstRowLastColumn="0" w:lastRowFirstColumn="0" w:lastRowLastColumn="0"/>
              <w:rPr>
                <w:bCs/>
                <w:color w:val="000000"/>
                <w:sz w:val="20"/>
                <w:szCs w:val="20"/>
                <w:lang w:eastAsia="es-ES"/>
              </w:rPr>
            </w:pPr>
          </w:p>
        </w:tc>
      </w:tr>
      <w:tr w:rsidR="0070272F" w:rsidRPr="009A27ED" w14:paraId="638FABFF" w14:textId="77777777" w:rsidTr="00AF66EF">
        <w:tc>
          <w:tcPr>
            <w:cnfStyle w:val="001000000000" w:firstRow="0" w:lastRow="0" w:firstColumn="1" w:lastColumn="0" w:oddVBand="0" w:evenVBand="0" w:oddHBand="0" w:evenHBand="0" w:firstRowFirstColumn="0" w:firstRowLastColumn="0" w:lastRowFirstColumn="0" w:lastRowLastColumn="0"/>
            <w:tcW w:w="2836" w:type="dxa"/>
            <w:vMerge/>
          </w:tcPr>
          <w:p w14:paraId="1C36AC9B" w14:textId="77777777" w:rsidR="0070272F" w:rsidRPr="009A27ED" w:rsidRDefault="0070272F" w:rsidP="00AF66EF">
            <w:pPr>
              <w:autoSpaceDE w:val="0"/>
              <w:autoSpaceDN w:val="0"/>
              <w:adjustRightInd w:val="0"/>
              <w:rPr>
                <w:sz w:val="20"/>
                <w:szCs w:val="20"/>
              </w:rPr>
            </w:pPr>
          </w:p>
        </w:tc>
        <w:tc>
          <w:tcPr>
            <w:tcW w:w="1554" w:type="dxa"/>
          </w:tcPr>
          <w:p w14:paraId="7888771E" w14:textId="77777777" w:rsidR="0070272F" w:rsidRPr="009A27ED" w:rsidRDefault="0070272F" w:rsidP="00AF66EF">
            <w:pPr>
              <w:spacing w:after="200" w:line="276" w:lineRule="auto"/>
              <w:jc w:val="left"/>
              <w:cnfStyle w:val="000000000000" w:firstRow="0" w:lastRow="0" w:firstColumn="0" w:lastColumn="0" w:oddVBand="0" w:evenVBand="0" w:oddHBand="0" w:evenHBand="0" w:firstRowFirstColumn="0" w:firstRowLastColumn="0" w:lastRowFirstColumn="0" w:lastRowLastColumn="0"/>
              <w:rPr>
                <w:b/>
                <w:sz w:val="20"/>
                <w:szCs w:val="20"/>
              </w:rPr>
            </w:pPr>
            <w:r w:rsidRPr="009A27ED">
              <w:rPr>
                <w:b/>
                <w:sz w:val="20"/>
                <w:szCs w:val="20"/>
              </w:rPr>
              <w:t>Ley Sectorial de Áreas Protegidas (Ley 202-04)</w:t>
            </w:r>
          </w:p>
          <w:p w14:paraId="264EBEAC" w14:textId="77777777" w:rsidR="0070272F" w:rsidRPr="009A27ED" w:rsidRDefault="0070272F" w:rsidP="00AF66EF">
            <w:pPr>
              <w:spacing w:after="200" w:line="276" w:lineRule="auto"/>
              <w:jc w:val="left"/>
              <w:cnfStyle w:val="000000000000" w:firstRow="0" w:lastRow="0" w:firstColumn="0" w:lastColumn="0" w:oddVBand="0" w:evenVBand="0" w:oddHBand="0" w:evenHBand="0" w:firstRowFirstColumn="0" w:firstRowLastColumn="0" w:lastRowFirstColumn="0" w:lastRowLastColumn="0"/>
              <w:rPr>
                <w:b/>
                <w:sz w:val="20"/>
                <w:szCs w:val="20"/>
              </w:rPr>
            </w:pPr>
          </w:p>
        </w:tc>
        <w:tc>
          <w:tcPr>
            <w:tcW w:w="2840" w:type="dxa"/>
          </w:tcPr>
          <w:p w14:paraId="35F5A13B" w14:textId="77777777" w:rsidR="0070272F" w:rsidRPr="009A27ED" w:rsidRDefault="0070272F" w:rsidP="00AF66EF">
            <w:pPr>
              <w:spacing w:before="100" w:beforeAutospacing="1" w:after="100" w:afterAutospacing="1"/>
              <w:ind w:left="34"/>
              <w:cnfStyle w:val="000000000000" w:firstRow="0" w:lastRow="0" w:firstColumn="0" w:lastColumn="0" w:oddVBand="0" w:evenVBand="0" w:oddHBand="0" w:evenHBand="0" w:firstRowFirstColumn="0" w:firstRowLastColumn="0" w:lastRowFirstColumn="0" w:lastRowLastColumn="0"/>
              <w:rPr>
                <w:color w:val="000000"/>
                <w:sz w:val="20"/>
                <w:szCs w:val="20"/>
                <w:shd w:val="clear" w:color="auto" w:fill="FFFFFF"/>
                <w:lang w:eastAsia="es-ES"/>
              </w:rPr>
            </w:pPr>
            <w:r w:rsidRPr="009A27ED">
              <w:rPr>
                <w:sz w:val="20"/>
                <w:szCs w:val="20"/>
              </w:rPr>
              <w:t xml:space="preserve">La Ley 202-04 señala en su </w:t>
            </w:r>
            <w:r w:rsidRPr="009A27ED">
              <w:rPr>
                <w:b/>
                <w:sz w:val="20"/>
                <w:szCs w:val="20"/>
              </w:rPr>
              <w:t>ARTICULO 1</w:t>
            </w:r>
            <w:r w:rsidRPr="009A27ED">
              <w:rPr>
                <w:sz w:val="20"/>
                <w:szCs w:val="20"/>
              </w:rPr>
              <w:t xml:space="preserve">.- El objeto de la presente ley es garantizar la conservación y preservación de muestras representativas de los diferentes ecosistemas y del patrimonio natural y cultural de la República Dominicana para asegurar la permanencia y optimización de los servicios ambientales y económicos que estos ecosistemas ofrecen o puedan ofrecer a la sociedad dominicana en la presente y futuras generaciones. También define en el </w:t>
            </w:r>
            <w:r w:rsidRPr="009A27ED">
              <w:rPr>
                <w:b/>
                <w:sz w:val="20"/>
                <w:szCs w:val="20"/>
              </w:rPr>
              <w:t>Artículo 2</w:t>
            </w:r>
            <w:r w:rsidRPr="009A27ED">
              <w:rPr>
                <w:sz w:val="20"/>
                <w:szCs w:val="20"/>
              </w:rPr>
              <w:t xml:space="preserve">, </w:t>
            </w:r>
            <w:r w:rsidRPr="009A27ED">
              <w:rPr>
                <w:b/>
                <w:bCs/>
                <w:color w:val="000000"/>
                <w:sz w:val="20"/>
                <w:szCs w:val="20"/>
                <w:lang w:eastAsia="es-ES"/>
              </w:rPr>
              <w:t>Área natural protegida:</w:t>
            </w:r>
            <w:r w:rsidRPr="009A27ED">
              <w:rPr>
                <w:bCs/>
                <w:color w:val="000000"/>
                <w:sz w:val="20"/>
                <w:szCs w:val="20"/>
                <w:lang w:eastAsia="es-ES"/>
              </w:rPr>
              <w:t xml:space="preserve"> Una porción de terreno y/o mar especialmente dedicada a la protección y mantenimiento de elementos significativos de biodiversidad y de recursos naturales y culturales asociados (como vestigios indígenas) manejados por mandato legal y otros medios efectivos.</w:t>
            </w:r>
            <w:r w:rsidRPr="009A27ED">
              <w:rPr>
                <w:sz w:val="20"/>
                <w:szCs w:val="20"/>
              </w:rPr>
              <w:t xml:space="preserve"> </w:t>
            </w:r>
            <w:r w:rsidRPr="009A27ED">
              <w:rPr>
                <w:b/>
                <w:bCs/>
                <w:color w:val="000000"/>
                <w:sz w:val="20"/>
                <w:szCs w:val="20"/>
                <w:lang w:eastAsia="es-ES"/>
              </w:rPr>
              <w:t>Paisaje protegido:</w:t>
            </w:r>
            <w:r w:rsidRPr="009A27ED">
              <w:rPr>
                <w:bCs/>
                <w:color w:val="000000"/>
                <w:sz w:val="20"/>
                <w:szCs w:val="20"/>
                <w:lang w:eastAsia="es-ES"/>
              </w:rPr>
              <w:t xml:space="preserve"> Área terrestre, marina y/o costero-marina donde la interacción de las poblaciones humanas y la naturaleza han producido un área de carácter diferente, con un valor estético, cultural y/o ecológico significativo y de alta diversidad biológica.</w:t>
            </w:r>
          </w:p>
        </w:tc>
        <w:tc>
          <w:tcPr>
            <w:tcW w:w="2546" w:type="dxa"/>
          </w:tcPr>
          <w:p w14:paraId="2B37189F" w14:textId="22565EEE" w:rsidR="0070272F" w:rsidRPr="009A27ED" w:rsidRDefault="0070272F" w:rsidP="00AF66EF">
            <w:pPr>
              <w:spacing w:before="100" w:beforeAutospacing="1" w:after="100" w:afterAutospacing="1"/>
              <w:ind w:left="34"/>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Las disposiciones de la Ley Sectorial de </w:t>
            </w:r>
            <w:r w:rsidR="001B6C5C" w:rsidRPr="009A27ED">
              <w:rPr>
                <w:sz w:val="20"/>
                <w:szCs w:val="20"/>
              </w:rPr>
              <w:t>Áreas</w:t>
            </w:r>
            <w:r w:rsidRPr="009A27ED">
              <w:rPr>
                <w:sz w:val="20"/>
                <w:szCs w:val="20"/>
              </w:rPr>
              <w:t xml:space="preserve"> Protegidas y </w:t>
            </w:r>
            <w:proofErr w:type="gramStart"/>
            <w:r w:rsidRPr="009A27ED">
              <w:rPr>
                <w:sz w:val="20"/>
                <w:szCs w:val="20"/>
              </w:rPr>
              <w:t>Biodiversidad,</w:t>
            </w:r>
            <w:proofErr w:type="gramEnd"/>
            <w:r w:rsidRPr="009A27ED">
              <w:rPr>
                <w:sz w:val="20"/>
                <w:szCs w:val="20"/>
              </w:rPr>
              <w:t xml:space="preserve"> complementan las establecidas en la Ley No.64-00, reafirmando el interés del Estado en la conservación de los ecosistemas considerados como patrimonio natural y cultural de la nación.  </w:t>
            </w:r>
          </w:p>
        </w:tc>
        <w:tc>
          <w:tcPr>
            <w:tcW w:w="2268" w:type="dxa"/>
          </w:tcPr>
          <w:p w14:paraId="7BB84A79" w14:textId="77777777" w:rsidR="0070272F" w:rsidRPr="009A27ED" w:rsidRDefault="0070272F" w:rsidP="00AF66EF">
            <w:pPr>
              <w:spacing w:before="100" w:beforeAutospacing="1" w:after="100" w:afterAutospacing="1"/>
              <w:ind w:left="34"/>
              <w:cnfStyle w:val="000000000000" w:firstRow="0" w:lastRow="0" w:firstColumn="0" w:lastColumn="0" w:oddVBand="0" w:evenVBand="0" w:oddHBand="0" w:evenHBand="0" w:firstRowFirstColumn="0" w:firstRowLastColumn="0" w:lastRowFirstColumn="0" w:lastRowLastColumn="0"/>
              <w:rPr>
                <w:sz w:val="20"/>
                <w:szCs w:val="20"/>
              </w:rPr>
            </w:pPr>
            <w:r w:rsidRPr="009A27ED">
              <w:rPr>
                <w:bCs/>
                <w:color w:val="000000"/>
                <w:sz w:val="20"/>
                <w:szCs w:val="20"/>
                <w:lang w:eastAsia="es-ES"/>
              </w:rPr>
              <w:t>No se observan brechas.</w:t>
            </w:r>
          </w:p>
        </w:tc>
        <w:tc>
          <w:tcPr>
            <w:tcW w:w="3124" w:type="dxa"/>
          </w:tcPr>
          <w:p w14:paraId="680E056E" w14:textId="77777777" w:rsidR="0070272F" w:rsidRPr="009A27ED" w:rsidRDefault="0070272F" w:rsidP="00AF66EF">
            <w:pPr>
              <w:pStyle w:val="Prrafodelista"/>
              <w:numPr>
                <w:ilvl w:val="0"/>
                <w:numId w:val="272"/>
              </w:numPr>
              <w:spacing w:line="240" w:lineRule="auto"/>
              <w:ind w:left="365"/>
              <w:cnfStyle w:val="000000000000" w:firstRow="0" w:lastRow="0" w:firstColumn="0" w:lastColumn="0" w:oddVBand="0" w:evenVBand="0" w:oddHBand="0" w:evenHBand="0" w:firstRowFirstColumn="0" w:firstRowLastColumn="0" w:lastRowFirstColumn="0" w:lastRowLastColumn="0"/>
              <w:rPr>
                <w:bCs/>
                <w:color w:val="000000"/>
                <w:sz w:val="20"/>
                <w:szCs w:val="20"/>
                <w:lang w:eastAsia="es-ES"/>
              </w:rPr>
            </w:pPr>
            <w:r w:rsidRPr="009A27ED">
              <w:rPr>
                <w:sz w:val="20"/>
                <w:szCs w:val="20"/>
              </w:rPr>
              <w:t>Se abordará el cumplimiento al plan de gestión de los recursos culturales físicos de la OP 4.11 (Anexo 4), con base al marco normativo nacional, teniendo en cuenta las capacidades y arreglos institucionales de las entidades que se ocupan del tema en el país y aquellas que se han definido en el MGAS.</w:t>
            </w:r>
          </w:p>
          <w:p w14:paraId="1C2C1E36" w14:textId="6A4427FC" w:rsidR="0070272F" w:rsidRPr="009A27ED" w:rsidRDefault="0070272F" w:rsidP="00AF66EF">
            <w:pPr>
              <w:pStyle w:val="Prrafodelista"/>
              <w:numPr>
                <w:ilvl w:val="0"/>
                <w:numId w:val="272"/>
              </w:numPr>
              <w:spacing w:line="240" w:lineRule="auto"/>
              <w:ind w:left="360"/>
              <w:cnfStyle w:val="000000000000" w:firstRow="0" w:lastRow="0" w:firstColumn="0" w:lastColumn="0" w:oddVBand="0" w:evenVBand="0" w:oddHBand="0" w:evenHBand="0" w:firstRowFirstColumn="0" w:firstRowLastColumn="0" w:lastRowFirstColumn="0" w:lastRowLastColumn="0"/>
              <w:rPr>
                <w:bCs/>
                <w:color w:val="000000"/>
                <w:sz w:val="20"/>
                <w:szCs w:val="20"/>
                <w:lang w:eastAsia="es-ES"/>
              </w:rPr>
            </w:pPr>
            <w:r w:rsidRPr="009A27ED">
              <w:rPr>
                <w:sz w:val="20"/>
                <w:szCs w:val="20"/>
              </w:rPr>
              <w:t xml:space="preserve">En los casos de las </w:t>
            </w:r>
            <w:r w:rsidRPr="009A27ED">
              <w:rPr>
                <w:i/>
                <w:sz w:val="20"/>
                <w:szCs w:val="20"/>
              </w:rPr>
              <w:t>actividades específicas</w:t>
            </w:r>
            <w:r w:rsidRPr="009A27ED">
              <w:rPr>
                <w:sz w:val="20"/>
                <w:szCs w:val="20"/>
              </w:rPr>
              <w:t xml:space="preserve"> REDD+ en que se active esta OP 4.11, se dará cumplimientos a los requisitos o requerimientos de la OP detallados en el anexo 4 , creando un instrumento con fundamento en los lineamientos aplicables de la Guía Metodológica para la Elaboración y/o Actualización de Planes de Manejo de Áreas Protegidas de República Dominicana, elaborada por el Ministerio de Medio Ambiente, complementando su abordaje con los lineamientos del Ministerio de Cultura en lo referido a patrimonio cultural.</w:t>
            </w:r>
          </w:p>
        </w:tc>
      </w:tr>
      <w:tr w:rsidR="0070272F" w:rsidRPr="009A27ED" w14:paraId="1A281A3F" w14:textId="77777777" w:rsidTr="00AF66EF">
        <w:trPr>
          <w:trHeight w:val="18382"/>
        </w:trPr>
        <w:tc>
          <w:tcPr>
            <w:cnfStyle w:val="001000000000" w:firstRow="0" w:lastRow="0" w:firstColumn="1" w:lastColumn="0" w:oddVBand="0" w:evenVBand="0" w:oddHBand="0" w:evenHBand="0" w:firstRowFirstColumn="0" w:firstRowLastColumn="0" w:lastRowFirstColumn="0" w:lastRowLastColumn="0"/>
            <w:tcW w:w="2836" w:type="dxa"/>
            <w:vMerge/>
          </w:tcPr>
          <w:p w14:paraId="19C64030" w14:textId="77777777" w:rsidR="0070272F" w:rsidRPr="009A27ED" w:rsidRDefault="0070272F" w:rsidP="00AF66EF">
            <w:pPr>
              <w:autoSpaceDE w:val="0"/>
              <w:autoSpaceDN w:val="0"/>
              <w:adjustRightInd w:val="0"/>
              <w:rPr>
                <w:sz w:val="20"/>
                <w:szCs w:val="20"/>
              </w:rPr>
            </w:pPr>
          </w:p>
        </w:tc>
        <w:tc>
          <w:tcPr>
            <w:tcW w:w="1554" w:type="dxa"/>
          </w:tcPr>
          <w:p w14:paraId="65993027" w14:textId="77777777" w:rsidR="0070272F" w:rsidRPr="009A27ED" w:rsidRDefault="0070272F" w:rsidP="00AF66EF">
            <w:pPr>
              <w:spacing w:after="200" w:line="276" w:lineRule="auto"/>
              <w:jc w:val="left"/>
              <w:cnfStyle w:val="000000000000" w:firstRow="0" w:lastRow="0" w:firstColumn="0" w:lastColumn="0" w:oddVBand="0" w:evenVBand="0" w:oddHBand="0" w:evenHBand="0" w:firstRowFirstColumn="0" w:firstRowLastColumn="0" w:lastRowFirstColumn="0" w:lastRowLastColumn="0"/>
              <w:rPr>
                <w:b/>
                <w:sz w:val="20"/>
                <w:szCs w:val="20"/>
              </w:rPr>
            </w:pPr>
            <w:r w:rsidRPr="009A27ED">
              <w:rPr>
                <w:b/>
                <w:sz w:val="20"/>
                <w:szCs w:val="20"/>
              </w:rPr>
              <w:t xml:space="preserve">Ley que crea la </w:t>
            </w:r>
            <w:proofErr w:type="gramStart"/>
            <w:r w:rsidRPr="009A27ED">
              <w:rPr>
                <w:b/>
                <w:sz w:val="20"/>
                <w:szCs w:val="20"/>
              </w:rPr>
              <w:t>Secretaria</w:t>
            </w:r>
            <w:proofErr w:type="gramEnd"/>
            <w:r w:rsidRPr="009A27ED">
              <w:rPr>
                <w:b/>
                <w:sz w:val="20"/>
                <w:szCs w:val="20"/>
              </w:rPr>
              <w:t xml:space="preserve"> de Estado de Cultura (Ley 41-00)</w:t>
            </w:r>
          </w:p>
          <w:p w14:paraId="40D92348" w14:textId="77777777" w:rsidR="0070272F" w:rsidRPr="009A27ED" w:rsidRDefault="0070272F" w:rsidP="00AF66EF">
            <w:pPr>
              <w:spacing w:before="120" w:after="0"/>
              <w:ind w:left="72"/>
              <w:jc w:val="left"/>
              <w:cnfStyle w:val="000000000000" w:firstRow="0" w:lastRow="0" w:firstColumn="0" w:lastColumn="0" w:oddVBand="0" w:evenVBand="0" w:oddHBand="0" w:evenHBand="0" w:firstRowFirstColumn="0" w:firstRowLastColumn="0" w:lastRowFirstColumn="0" w:lastRowLastColumn="0"/>
              <w:rPr>
                <w:rFonts w:eastAsia="Calibri"/>
                <w:b/>
                <w:sz w:val="20"/>
                <w:szCs w:val="20"/>
              </w:rPr>
            </w:pPr>
          </w:p>
          <w:p w14:paraId="652B5633" w14:textId="77777777" w:rsidR="0070272F" w:rsidRPr="009A27ED" w:rsidRDefault="0070272F" w:rsidP="00AF66EF">
            <w:pPr>
              <w:spacing w:before="120" w:after="0"/>
              <w:ind w:left="72"/>
              <w:jc w:val="left"/>
              <w:cnfStyle w:val="000000000000" w:firstRow="0" w:lastRow="0" w:firstColumn="0" w:lastColumn="0" w:oddVBand="0" w:evenVBand="0" w:oddHBand="0" w:evenHBand="0" w:firstRowFirstColumn="0" w:firstRowLastColumn="0" w:lastRowFirstColumn="0" w:lastRowLastColumn="0"/>
              <w:rPr>
                <w:b/>
                <w:sz w:val="20"/>
                <w:szCs w:val="20"/>
              </w:rPr>
            </w:pPr>
          </w:p>
        </w:tc>
        <w:tc>
          <w:tcPr>
            <w:tcW w:w="2840" w:type="dxa"/>
          </w:tcPr>
          <w:p w14:paraId="4A96C296" w14:textId="77777777" w:rsidR="0070272F" w:rsidRPr="009A27ED" w:rsidRDefault="0070272F" w:rsidP="00AF66EF">
            <w:pPr>
              <w:spacing w:before="100" w:beforeAutospacing="1" w:after="100" w:afterAutospacing="1"/>
              <w:ind w:left="34"/>
              <w:cnfStyle w:val="000000000000" w:firstRow="0" w:lastRow="0" w:firstColumn="0" w:lastColumn="0" w:oddVBand="0" w:evenVBand="0" w:oddHBand="0" w:evenHBand="0" w:firstRowFirstColumn="0" w:firstRowLastColumn="0" w:lastRowFirstColumn="0" w:lastRowLastColumn="0"/>
              <w:rPr>
                <w:sz w:val="20"/>
                <w:szCs w:val="20"/>
              </w:rPr>
            </w:pPr>
            <w:r w:rsidRPr="009A27ED">
              <w:rPr>
                <w:bCs/>
                <w:color w:val="000000"/>
                <w:sz w:val="20"/>
                <w:szCs w:val="20"/>
                <w:lang w:eastAsia="es-ES"/>
              </w:rPr>
              <w:t xml:space="preserve">La Ley 41-00, establece en dos de sus considerandos lo siguiente: </w:t>
            </w:r>
            <w:r w:rsidRPr="009A27ED">
              <w:rPr>
                <w:b/>
                <w:bCs/>
                <w:color w:val="000000"/>
                <w:sz w:val="20"/>
                <w:szCs w:val="20"/>
                <w:lang w:eastAsia="es-ES"/>
              </w:rPr>
              <w:t>CONSIDERANDO:</w:t>
            </w:r>
            <w:r w:rsidRPr="009A27ED">
              <w:rPr>
                <w:bCs/>
                <w:color w:val="000000"/>
                <w:sz w:val="20"/>
                <w:szCs w:val="20"/>
                <w:lang w:eastAsia="es-ES"/>
              </w:rPr>
              <w:t xml:space="preserve"> Que el Articulo 101 de la Constitución dispone que 'toda la riqueza artística e histórica del país, sea quien fuere su dueño, formara parte del patrimonio cultural de la Nación y estará bajo la salvaguarda del Estado"; que, asimismo, el referido texto constitucional señala que la ley establecerá cuanto sea oportuno para la conservación y defensa de dicho patrimonio;</w:t>
            </w:r>
            <w:r w:rsidRPr="009A27ED">
              <w:rPr>
                <w:sz w:val="20"/>
                <w:szCs w:val="20"/>
              </w:rPr>
              <w:t xml:space="preserve"> </w:t>
            </w:r>
            <w:r w:rsidRPr="009A27ED">
              <w:rPr>
                <w:b/>
                <w:bCs/>
                <w:color w:val="000000"/>
                <w:sz w:val="20"/>
                <w:szCs w:val="20"/>
                <w:lang w:eastAsia="es-ES"/>
              </w:rPr>
              <w:t>CONSIDERANDO:</w:t>
            </w:r>
            <w:r w:rsidRPr="009A27ED">
              <w:rPr>
                <w:bCs/>
                <w:color w:val="000000"/>
                <w:sz w:val="20"/>
                <w:szCs w:val="20"/>
                <w:lang w:eastAsia="es-ES"/>
              </w:rPr>
              <w:t xml:space="preserve"> Que la República Dominicana es signataria de numerosas convenciones y acuerdos internacionales que se refieren a la protecci6n y conservaci6n del patrimonio cultural y natural; al tráfico ilícito de bienes culturales; procedimientos de inventario, así como de y otras declaraciones y acuerdos internacionales suscritos 0 en trámite de serlo, cuyos principios deben tomarse en cuenta al ejecutar la programaci6n cultural del Estado.</w:t>
            </w:r>
            <w:r w:rsidRPr="009A27ED">
              <w:rPr>
                <w:sz w:val="20"/>
                <w:szCs w:val="20"/>
              </w:rPr>
              <w:t xml:space="preserve"> </w:t>
            </w:r>
          </w:p>
          <w:p w14:paraId="14B3C917" w14:textId="77777777" w:rsidR="0070272F" w:rsidRPr="009A27ED" w:rsidRDefault="0070272F" w:rsidP="00AF66EF">
            <w:pPr>
              <w:spacing w:before="100" w:beforeAutospacing="1" w:after="100" w:afterAutospacing="1"/>
              <w:ind w:left="34"/>
              <w:cnfStyle w:val="000000000000" w:firstRow="0" w:lastRow="0" w:firstColumn="0" w:lastColumn="0" w:oddVBand="0" w:evenVBand="0" w:oddHBand="0" w:evenHBand="0" w:firstRowFirstColumn="0" w:firstRowLastColumn="0" w:lastRowFirstColumn="0" w:lastRowLastColumn="0"/>
              <w:rPr>
                <w:bCs/>
                <w:color w:val="000000"/>
                <w:sz w:val="20"/>
                <w:szCs w:val="20"/>
                <w:lang w:eastAsia="es-ES"/>
              </w:rPr>
            </w:pPr>
            <w:r w:rsidRPr="009A27ED">
              <w:rPr>
                <w:bCs/>
                <w:color w:val="000000"/>
                <w:sz w:val="20"/>
                <w:szCs w:val="20"/>
                <w:lang w:eastAsia="es-ES"/>
              </w:rPr>
              <w:t xml:space="preserve">Esta ley adopta y hace suyas las definiciones aceptadas generalmente en el ámbito de la legislaci6n cultural, como se evidencia en el Articulo 1.- numeral 2. El patrimonio cultural de la Nación comprende todos los bienes, valores y símbolos culturales tangibles e intangibles que son expresión de la Nación dominicana, tales como las tradiciones, las costumbres y los hábitos, así como el conjunto de bienes, incluidos aquellos sumergidos en el agua, materiales e inmateriales, muebles e inmuebles, que poseen un especial interés histórico, artístico, estético, plástico, arquitectónico, urbano, arqueológico, ambiental, ecológico, lingüístico, sonoro, </w:t>
            </w:r>
            <w:r w:rsidRPr="009A27ED">
              <w:rPr>
                <w:bCs/>
                <w:color w:val="000000"/>
                <w:sz w:val="20"/>
                <w:szCs w:val="20"/>
                <w:lang w:eastAsia="es-ES"/>
              </w:rPr>
              <w:lastRenderedPageBreak/>
              <w:t>musical, audiovisual, fílmico 0, científico, tecnológico, testimonial, documental, literario, bibliográfico, museográfico, antropológico y las manifestaciones, los productos y las representaciones de la cultura popular.</w:t>
            </w:r>
          </w:p>
          <w:p w14:paraId="50362D9A" w14:textId="77777777" w:rsidR="0070272F" w:rsidRPr="009A27ED" w:rsidRDefault="0070272F" w:rsidP="00AF66EF">
            <w:pPr>
              <w:spacing w:before="100" w:beforeAutospacing="1" w:after="100" w:afterAutospacing="1"/>
              <w:ind w:left="34"/>
              <w:cnfStyle w:val="000000000000" w:firstRow="0" w:lastRow="0" w:firstColumn="0" w:lastColumn="0" w:oddVBand="0" w:evenVBand="0" w:oddHBand="0" w:evenHBand="0" w:firstRowFirstColumn="0" w:firstRowLastColumn="0" w:lastRowFirstColumn="0" w:lastRowLastColumn="0"/>
              <w:rPr>
                <w:bCs/>
                <w:color w:val="000000"/>
                <w:sz w:val="20"/>
                <w:szCs w:val="20"/>
                <w:lang w:eastAsia="es-ES"/>
              </w:rPr>
            </w:pPr>
            <w:r w:rsidRPr="009A27ED">
              <w:rPr>
                <w:bCs/>
                <w:color w:val="000000"/>
                <w:sz w:val="20"/>
                <w:szCs w:val="20"/>
                <w:lang w:eastAsia="es-ES"/>
              </w:rPr>
              <w:t>El fomento de la identidad cultural se concibe como una estrategia global destinada a preservar, conservar, y proteger el patrimonio cultural tangible e intangible de la Nación, como defensa cultural de una nación frente a la expansión de otras,</w:t>
            </w:r>
            <w:r w:rsidRPr="009A27ED">
              <w:rPr>
                <w:sz w:val="20"/>
                <w:szCs w:val="20"/>
              </w:rPr>
              <w:t xml:space="preserve"> el ministerio </w:t>
            </w:r>
            <w:r w:rsidRPr="009A27ED">
              <w:rPr>
                <w:bCs/>
                <w:color w:val="000000"/>
                <w:sz w:val="20"/>
                <w:szCs w:val="20"/>
                <w:lang w:eastAsia="es-ES"/>
              </w:rPr>
              <w:t>de Cultura, al poner en ejecución la política cultural, tendrá en cuenta como uno de sus objetivos fundamentales:</w:t>
            </w:r>
            <w:r w:rsidRPr="009A27ED">
              <w:rPr>
                <w:sz w:val="20"/>
                <w:szCs w:val="20"/>
              </w:rPr>
              <w:t xml:space="preserve"> </w:t>
            </w:r>
            <w:r w:rsidRPr="009A27ED">
              <w:rPr>
                <w:bCs/>
                <w:color w:val="000000"/>
                <w:sz w:val="20"/>
                <w:szCs w:val="20"/>
                <w:lang w:eastAsia="es-ES"/>
              </w:rPr>
              <w:t>Preservar el patrimonio cultural de la Nación tangible e intangible, como elemento fundamental de la identidad nacional.</w:t>
            </w:r>
          </w:p>
        </w:tc>
        <w:tc>
          <w:tcPr>
            <w:tcW w:w="2546" w:type="dxa"/>
          </w:tcPr>
          <w:p w14:paraId="49805A44" w14:textId="6684A4FA" w:rsidR="0070272F" w:rsidRPr="009A27ED" w:rsidRDefault="0070272F" w:rsidP="00AF66EF">
            <w:pPr>
              <w:spacing w:before="100" w:beforeAutospacing="1" w:after="100" w:afterAutospacing="1"/>
              <w:ind w:left="34"/>
              <w:cnfStyle w:val="000000000000" w:firstRow="0" w:lastRow="0" w:firstColumn="0" w:lastColumn="0" w:oddVBand="0" w:evenVBand="0" w:oddHBand="0" w:evenHBand="0" w:firstRowFirstColumn="0" w:firstRowLastColumn="0" w:lastRowFirstColumn="0" w:lastRowLastColumn="0"/>
              <w:rPr>
                <w:bCs/>
                <w:color w:val="000000"/>
                <w:sz w:val="20"/>
                <w:szCs w:val="20"/>
                <w:lang w:eastAsia="es-ES"/>
              </w:rPr>
            </w:pPr>
            <w:r w:rsidRPr="009A27ED">
              <w:rPr>
                <w:sz w:val="20"/>
                <w:szCs w:val="20"/>
              </w:rPr>
              <w:lastRenderedPageBreak/>
              <w:t xml:space="preserve">Con la promulgación de esta Ley el Estado dominicano consagra como obligación primordial valorar, proteger, rescatar y difundir el patrimonio cultural de la Nación. Par esto, crea el Ministerio de Cultura, como instancia de nivel superior, encargada de coordinar el Sistema Nacional de Cultura de la Republica Dominicana, y que será la responsable de la ejecuci6n y puesta en marcha de las </w:t>
            </w:r>
            <w:r w:rsidR="001B6C5C" w:rsidRPr="009A27ED">
              <w:rPr>
                <w:sz w:val="20"/>
                <w:szCs w:val="20"/>
              </w:rPr>
              <w:t>políticas</w:t>
            </w:r>
            <w:r w:rsidRPr="009A27ED">
              <w:rPr>
                <w:sz w:val="20"/>
                <w:szCs w:val="20"/>
              </w:rPr>
              <w:t>, planes, programas y proyectos de desarrollo cultural.</w:t>
            </w:r>
          </w:p>
        </w:tc>
        <w:tc>
          <w:tcPr>
            <w:tcW w:w="2268" w:type="dxa"/>
          </w:tcPr>
          <w:p w14:paraId="5C13BD11" w14:textId="77777777" w:rsidR="0070272F" w:rsidRPr="009A27ED" w:rsidRDefault="0070272F" w:rsidP="00AF66EF">
            <w:pPr>
              <w:spacing w:before="100" w:beforeAutospacing="1" w:after="100" w:afterAutospacing="1"/>
              <w:ind w:left="34"/>
              <w:cnfStyle w:val="000000000000" w:firstRow="0" w:lastRow="0" w:firstColumn="0" w:lastColumn="0" w:oddVBand="0" w:evenVBand="0" w:oddHBand="0" w:evenHBand="0" w:firstRowFirstColumn="0" w:firstRowLastColumn="0" w:lastRowFirstColumn="0" w:lastRowLastColumn="0"/>
              <w:rPr>
                <w:bCs/>
                <w:color w:val="000000"/>
                <w:sz w:val="20"/>
                <w:szCs w:val="20"/>
                <w:lang w:eastAsia="es-ES"/>
              </w:rPr>
            </w:pPr>
            <w:r w:rsidRPr="009A27ED">
              <w:rPr>
                <w:bCs/>
                <w:color w:val="000000"/>
                <w:sz w:val="20"/>
                <w:szCs w:val="20"/>
                <w:lang w:eastAsia="es-ES"/>
              </w:rPr>
              <w:t>No se observan brechas.</w:t>
            </w:r>
          </w:p>
        </w:tc>
        <w:tc>
          <w:tcPr>
            <w:tcW w:w="3124" w:type="dxa"/>
          </w:tcPr>
          <w:p w14:paraId="7C491142" w14:textId="77777777" w:rsidR="0070272F" w:rsidRPr="009A27ED" w:rsidRDefault="0070272F" w:rsidP="00AF66EF">
            <w:pPr>
              <w:spacing w:before="100" w:beforeAutospacing="1" w:after="100" w:afterAutospacing="1"/>
              <w:ind w:left="34"/>
              <w:cnfStyle w:val="000000000000" w:firstRow="0" w:lastRow="0" w:firstColumn="0" w:lastColumn="0" w:oddVBand="0" w:evenVBand="0" w:oddHBand="0" w:evenHBand="0" w:firstRowFirstColumn="0" w:firstRowLastColumn="0" w:lastRowFirstColumn="0" w:lastRowLastColumn="0"/>
              <w:rPr>
                <w:bCs/>
                <w:color w:val="000000"/>
                <w:sz w:val="20"/>
                <w:szCs w:val="20"/>
                <w:lang w:eastAsia="es-ES"/>
              </w:rPr>
            </w:pPr>
          </w:p>
        </w:tc>
      </w:tr>
      <w:tr w:rsidR="0070272F" w:rsidRPr="009A27ED" w14:paraId="09C87973" w14:textId="77777777" w:rsidTr="00AF66EF">
        <w:tc>
          <w:tcPr>
            <w:cnfStyle w:val="001000000000" w:firstRow="0" w:lastRow="0" w:firstColumn="1" w:lastColumn="0" w:oddVBand="0" w:evenVBand="0" w:oddHBand="0" w:evenHBand="0" w:firstRowFirstColumn="0" w:firstRowLastColumn="0" w:lastRowFirstColumn="0" w:lastRowLastColumn="0"/>
            <w:tcW w:w="2836" w:type="dxa"/>
          </w:tcPr>
          <w:p w14:paraId="0F83B3BD" w14:textId="77777777" w:rsidR="0070272F" w:rsidRPr="009A27ED" w:rsidRDefault="0070272F" w:rsidP="00AF66EF">
            <w:pPr>
              <w:autoSpaceDE w:val="0"/>
              <w:autoSpaceDN w:val="0"/>
              <w:adjustRightInd w:val="0"/>
              <w:rPr>
                <w:sz w:val="20"/>
                <w:szCs w:val="20"/>
              </w:rPr>
            </w:pPr>
            <w:r w:rsidRPr="009A27ED">
              <w:rPr>
                <w:sz w:val="20"/>
                <w:szCs w:val="20"/>
              </w:rPr>
              <w:lastRenderedPageBreak/>
              <w:t>Género (OP 4.20)</w:t>
            </w:r>
          </w:p>
        </w:tc>
        <w:tc>
          <w:tcPr>
            <w:tcW w:w="1554" w:type="dxa"/>
          </w:tcPr>
          <w:p w14:paraId="4A930CC3" w14:textId="77777777" w:rsidR="0070272F" w:rsidRPr="009A27ED" w:rsidRDefault="0070272F" w:rsidP="00AF66EF">
            <w:pPr>
              <w:spacing w:after="200" w:line="276" w:lineRule="auto"/>
              <w:jc w:val="left"/>
              <w:cnfStyle w:val="000000000000" w:firstRow="0" w:lastRow="0" w:firstColumn="0" w:lastColumn="0" w:oddVBand="0" w:evenVBand="0" w:oddHBand="0" w:evenHBand="0" w:firstRowFirstColumn="0" w:firstRowLastColumn="0" w:lastRowFirstColumn="0" w:lastRowLastColumn="0"/>
              <w:rPr>
                <w:b/>
                <w:sz w:val="20"/>
                <w:szCs w:val="20"/>
              </w:rPr>
            </w:pPr>
            <w:r w:rsidRPr="009A27ED">
              <w:rPr>
                <w:b/>
                <w:sz w:val="20"/>
                <w:szCs w:val="20"/>
              </w:rPr>
              <w:t>Ley General de Medio Ambiente y Recursos Naturales (Ley 64-00)</w:t>
            </w:r>
          </w:p>
          <w:p w14:paraId="065D6A0A" w14:textId="77777777" w:rsidR="0070272F" w:rsidRPr="009A27ED" w:rsidRDefault="0070272F" w:rsidP="00AF66EF">
            <w:pPr>
              <w:spacing w:after="200" w:line="276" w:lineRule="auto"/>
              <w:jc w:val="left"/>
              <w:cnfStyle w:val="000000000000" w:firstRow="0" w:lastRow="0" w:firstColumn="0" w:lastColumn="0" w:oddVBand="0" w:evenVBand="0" w:oddHBand="0" w:evenHBand="0" w:firstRowFirstColumn="0" w:firstRowLastColumn="0" w:lastRowFirstColumn="0" w:lastRowLastColumn="0"/>
              <w:rPr>
                <w:b/>
                <w:sz w:val="20"/>
                <w:szCs w:val="20"/>
              </w:rPr>
            </w:pPr>
          </w:p>
          <w:p w14:paraId="48B9A2E7" w14:textId="77777777" w:rsidR="0070272F" w:rsidRPr="009A27ED" w:rsidRDefault="0070272F" w:rsidP="00AF66EF">
            <w:pPr>
              <w:spacing w:after="200" w:line="276" w:lineRule="auto"/>
              <w:jc w:val="left"/>
              <w:cnfStyle w:val="000000000000" w:firstRow="0" w:lastRow="0" w:firstColumn="0" w:lastColumn="0" w:oddVBand="0" w:evenVBand="0" w:oddHBand="0" w:evenHBand="0" w:firstRowFirstColumn="0" w:firstRowLastColumn="0" w:lastRowFirstColumn="0" w:lastRowLastColumn="0"/>
              <w:rPr>
                <w:b/>
                <w:sz w:val="20"/>
                <w:szCs w:val="20"/>
              </w:rPr>
            </w:pPr>
          </w:p>
          <w:p w14:paraId="14AB4446" w14:textId="77777777" w:rsidR="0070272F" w:rsidRPr="009A27ED" w:rsidRDefault="0070272F" w:rsidP="00AF66EF">
            <w:pPr>
              <w:spacing w:after="200" w:line="276" w:lineRule="auto"/>
              <w:jc w:val="left"/>
              <w:cnfStyle w:val="000000000000" w:firstRow="0" w:lastRow="0" w:firstColumn="0" w:lastColumn="0" w:oddVBand="0" w:evenVBand="0" w:oddHBand="0" w:evenHBand="0" w:firstRowFirstColumn="0" w:firstRowLastColumn="0" w:lastRowFirstColumn="0" w:lastRowLastColumn="0"/>
              <w:rPr>
                <w:b/>
                <w:sz w:val="20"/>
                <w:szCs w:val="20"/>
              </w:rPr>
            </w:pPr>
          </w:p>
          <w:p w14:paraId="0966E86E" w14:textId="77777777" w:rsidR="0070272F" w:rsidRPr="009A27ED" w:rsidRDefault="0070272F" w:rsidP="00AF66EF">
            <w:pPr>
              <w:spacing w:after="200" w:line="276" w:lineRule="auto"/>
              <w:jc w:val="left"/>
              <w:cnfStyle w:val="000000000000" w:firstRow="0" w:lastRow="0" w:firstColumn="0" w:lastColumn="0" w:oddVBand="0" w:evenVBand="0" w:oddHBand="0" w:evenHBand="0" w:firstRowFirstColumn="0" w:firstRowLastColumn="0" w:lastRowFirstColumn="0" w:lastRowLastColumn="0"/>
              <w:rPr>
                <w:b/>
                <w:sz w:val="20"/>
                <w:szCs w:val="20"/>
              </w:rPr>
            </w:pPr>
          </w:p>
          <w:p w14:paraId="4BEF83E0" w14:textId="77777777" w:rsidR="0070272F" w:rsidRPr="009A27ED" w:rsidRDefault="0070272F" w:rsidP="00AF66EF">
            <w:pPr>
              <w:spacing w:after="200" w:line="276" w:lineRule="auto"/>
              <w:jc w:val="left"/>
              <w:cnfStyle w:val="000000000000" w:firstRow="0" w:lastRow="0" w:firstColumn="0" w:lastColumn="0" w:oddVBand="0" w:evenVBand="0" w:oddHBand="0" w:evenHBand="0" w:firstRowFirstColumn="0" w:firstRowLastColumn="0" w:lastRowFirstColumn="0" w:lastRowLastColumn="0"/>
              <w:rPr>
                <w:b/>
                <w:sz w:val="20"/>
                <w:szCs w:val="20"/>
              </w:rPr>
            </w:pPr>
            <w:r w:rsidRPr="009A27ED">
              <w:rPr>
                <w:b/>
                <w:sz w:val="20"/>
                <w:szCs w:val="20"/>
              </w:rPr>
              <w:t>LEY NO. 86-99 Creación La Secretaría) DE ESTADO DE LA MUJER</w:t>
            </w:r>
            <w:r w:rsidRPr="009A27ED">
              <w:rPr>
                <w:sz w:val="20"/>
                <w:szCs w:val="20"/>
              </w:rPr>
              <w:t>,</w:t>
            </w:r>
          </w:p>
        </w:tc>
        <w:tc>
          <w:tcPr>
            <w:tcW w:w="2840" w:type="dxa"/>
          </w:tcPr>
          <w:p w14:paraId="3EA2FFE4" w14:textId="77777777" w:rsidR="0070272F" w:rsidRPr="009A27ED" w:rsidRDefault="0070272F" w:rsidP="00AF66EF">
            <w:pPr>
              <w:spacing w:before="100" w:beforeAutospacing="1" w:after="100" w:afterAutospacing="1"/>
              <w:ind w:left="34"/>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La ley 64-00 en el capítulo II de los objetivos, en el artículo 15 numeral 2) Establecer los medios, formas y oportunidades para la conservación y el uso sostenible de los recursos naturales, reconociendo su valor real, que incluye los servicios ambientales que estos brindan, dentro de una planificación nacional fundamentada en el desarrollo sostenible, con equidad y justicia social.</w:t>
            </w:r>
          </w:p>
          <w:p w14:paraId="0E3FADAA" w14:textId="77777777" w:rsidR="0070272F" w:rsidRPr="009A27ED" w:rsidRDefault="0070272F" w:rsidP="00AF66EF">
            <w:pPr>
              <w:spacing w:before="100" w:beforeAutospacing="1" w:after="100" w:afterAutospacing="1"/>
              <w:ind w:left="34"/>
              <w:cnfStyle w:val="000000000000" w:firstRow="0" w:lastRow="0" w:firstColumn="0" w:lastColumn="0" w:oddVBand="0" w:evenVBand="0" w:oddHBand="0" w:evenHBand="0" w:firstRowFirstColumn="0" w:firstRowLastColumn="0" w:lastRowFirstColumn="0" w:lastRowLastColumn="0"/>
              <w:rPr>
                <w:sz w:val="20"/>
                <w:szCs w:val="20"/>
              </w:rPr>
            </w:pPr>
          </w:p>
          <w:p w14:paraId="3BF61273" w14:textId="77777777" w:rsidR="0070272F" w:rsidRPr="009A27ED" w:rsidRDefault="0070272F" w:rsidP="00AF66EF">
            <w:pPr>
              <w:spacing w:before="100" w:beforeAutospacing="1" w:after="100" w:afterAutospacing="1"/>
              <w:ind w:left="34"/>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Ley que crea el Ministerio de la Mujer como organismo del Estado que dirige, y articula los esfuerzos relacionados con la promoción de la equidad de género de las diversas instituciones gubernamentales existentes y coordine esfuerzos con instituciones de la sociedad civil, con la finalidad de, eficientizar los esfuerzos; como institución rectora, y coordinadora de una coherente política pública de promoción de la equidad de género.</w:t>
            </w:r>
          </w:p>
          <w:p w14:paraId="6A2E8863" w14:textId="77777777" w:rsidR="0070272F" w:rsidRPr="009A27ED" w:rsidRDefault="0070272F" w:rsidP="00AF66EF">
            <w:pPr>
              <w:spacing w:before="100" w:beforeAutospacing="1" w:after="100" w:afterAutospacing="1"/>
              <w:ind w:left="34"/>
              <w:cnfStyle w:val="000000000000" w:firstRow="0" w:lastRow="0" w:firstColumn="0" w:lastColumn="0" w:oddVBand="0" w:evenVBand="0" w:oddHBand="0" w:evenHBand="0" w:firstRowFirstColumn="0" w:firstRowLastColumn="0" w:lastRowFirstColumn="0" w:lastRowLastColumn="0"/>
              <w:rPr>
                <w:sz w:val="20"/>
                <w:szCs w:val="20"/>
              </w:rPr>
            </w:pPr>
          </w:p>
        </w:tc>
        <w:tc>
          <w:tcPr>
            <w:tcW w:w="2546" w:type="dxa"/>
          </w:tcPr>
          <w:p w14:paraId="16332A2A" w14:textId="77777777" w:rsidR="0070272F" w:rsidRPr="009A27ED" w:rsidRDefault="0070272F" w:rsidP="00AF66EF">
            <w:pPr>
              <w:spacing w:before="100" w:beforeAutospacing="1" w:after="100" w:afterAutospacing="1"/>
              <w:ind w:left="34"/>
              <w:cnfStyle w:val="000000000000" w:firstRow="0" w:lastRow="0" w:firstColumn="0" w:lastColumn="0" w:oddVBand="0" w:evenVBand="0" w:oddHBand="0" w:evenHBand="0" w:firstRowFirstColumn="0" w:firstRowLastColumn="0" w:lastRowFirstColumn="0" w:lastRowLastColumn="0"/>
              <w:rPr>
                <w:sz w:val="20"/>
                <w:szCs w:val="20"/>
              </w:rPr>
            </w:pPr>
          </w:p>
        </w:tc>
        <w:tc>
          <w:tcPr>
            <w:tcW w:w="2268" w:type="dxa"/>
          </w:tcPr>
          <w:p w14:paraId="43E54BD3" w14:textId="77777777" w:rsidR="0070272F" w:rsidRPr="009A27ED" w:rsidRDefault="0070272F" w:rsidP="00AF66EF">
            <w:pPr>
              <w:spacing w:before="120" w:after="0"/>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Sobre el tema de genero existen vacíos legales.</w:t>
            </w:r>
          </w:p>
          <w:p w14:paraId="4E9AAAD4" w14:textId="77777777" w:rsidR="0070272F" w:rsidRPr="009A27ED" w:rsidRDefault="0070272F" w:rsidP="00AF66EF">
            <w:pPr>
              <w:spacing w:before="100" w:beforeAutospacing="1" w:after="100" w:afterAutospacing="1"/>
              <w:ind w:left="34"/>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En lo relativo al tema Bosque no existe ningún mecanismo legal que haga énfasis en el tema género, sin embargo este aspecto es considerado de manera transversal en todos los ámbitos de la vida nacional, ya que los esfuerzos relacionados con la promoción de la equidad de género en  las diversas instituciones gubernamentales existentes se coordinan con los esfuerzos de las instituciones de la sociedad civil, con la finalidad de desarrollar de manera coherente una política pública de promoción de la equidad de género, en todas las instancias nacionales.</w:t>
            </w:r>
          </w:p>
          <w:p w14:paraId="1E98644E" w14:textId="77777777" w:rsidR="0070272F" w:rsidRPr="009A27ED" w:rsidRDefault="0070272F" w:rsidP="00AF66EF">
            <w:pPr>
              <w:spacing w:before="120" w:after="0"/>
              <w:cnfStyle w:val="000000000000" w:firstRow="0" w:lastRow="0" w:firstColumn="0" w:lastColumn="0" w:oddVBand="0" w:evenVBand="0" w:oddHBand="0" w:evenHBand="0" w:firstRowFirstColumn="0" w:firstRowLastColumn="0" w:lastRowFirstColumn="0" w:lastRowLastColumn="0"/>
              <w:rPr>
                <w:sz w:val="20"/>
                <w:szCs w:val="20"/>
              </w:rPr>
            </w:pPr>
          </w:p>
          <w:p w14:paraId="574CBD48" w14:textId="77777777" w:rsidR="0070272F" w:rsidRPr="009A27ED" w:rsidRDefault="0070272F" w:rsidP="00AF66EF">
            <w:pPr>
              <w:pStyle w:val="Prrafodelista"/>
              <w:spacing w:before="120" w:after="0" w:line="240" w:lineRule="auto"/>
              <w:ind w:left="360"/>
              <w:cnfStyle w:val="000000000000" w:firstRow="0" w:lastRow="0" w:firstColumn="0" w:lastColumn="0" w:oddVBand="0" w:evenVBand="0" w:oddHBand="0" w:evenHBand="0" w:firstRowFirstColumn="0" w:firstRowLastColumn="0" w:lastRowFirstColumn="0" w:lastRowLastColumn="0"/>
              <w:rPr>
                <w:sz w:val="20"/>
                <w:szCs w:val="20"/>
              </w:rPr>
            </w:pPr>
          </w:p>
        </w:tc>
        <w:tc>
          <w:tcPr>
            <w:tcW w:w="3124" w:type="dxa"/>
          </w:tcPr>
          <w:p w14:paraId="36064ECB" w14:textId="77777777" w:rsidR="0070272F" w:rsidRPr="009A27ED" w:rsidRDefault="0070272F" w:rsidP="00AF66EF">
            <w:pPr>
              <w:pStyle w:val="Prrafodelista"/>
              <w:numPr>
                <w:ilvl w:val="0"/>
                <w:numId w:val="56"/>
              </w:numPr>
              <w:spacing w:before="120" w:after="0" w:line="240" w:lineRule="auto"/>
              <w:ind w:left="360"/>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Se elaborará un estudio para transversal izar el enfoque de género en la EN REDD+ y en el Programa de RE, definiendo indicadores y medidas específicas a integrar en los programas y proyectos. </w:t>
            </w:r>
          </w:p>
          <w:p w14:paraId="2B09A135" w14:textId="77777777" w:rsidR="0070272F" w:rsidRPr="009A27ED" w:rsidRDefault="0070272F" w:rsidP="00AF66EF">
            <w:pPr>
              <w:pStyle w:val="Prrafodelista"/>
              <w:numPr>
                <w:ilvl w:val="0"/>
                <w:numId w:val="56"/>
              </w:numPr>
              <w:spacing w:before="120" w:after="0" w:line="240" w:lineRule="auto"/>
              <w:ind w:left="360"/>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La OCR de REDD+ revisará los instrumentos existentes de Género para cumplimiento de este lineamiento en los programas y proyectos REDD+.</w:t>
            </w:r>
          </w:p>
          <w:p w14:paraId="2B7A3177" w14:textId="77777777" w:rsidR="0070272F" w:rsidRPr="009A27ED" w:rsidRDefault="0070272F" w:rsidP="00AF66EF">
            <w:pPr>
              <w:pStyle w:val="Prrafodelista"/>
              <w:numPr>
                <w:ilvl w:val="0"/>
                <w:numId w:val="56"/>
              </w:numPr>
              <w:spacing w:before="120" w:after="0" w:line="240" w:lineRule="auto"/>
              <w:ind w:left="360"/>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La interpretación de las salvaguardas y el Enfoque Nacional de Salvaguardas, son también instrumentos que apoyaran el respeto y abordaje de derechos dentro de los cuales se encuentran contempladas las consideraciones de género.</w:t>
            </w:r>
          </w:p>
        </w:tc>
      </w:tr>
      <w:tr w:rsidR="0070272F" w:rsidRPr="009A27ED" w14:paraId="70CB443B" w14:textId="77777777" w:rsidTr="00AF66EF">
        <w:tc>
          <w:tcPr>
            <w:cnfStyle w:val="001000000000" w:firstRow="0" w:lastRow="0" w:firstColumn="1" w:lastColumn="0" w:oddVBand="0" w:evenVBand="0" w:oddHBand="0" w:evenHBand="0" w:firstRowFirstColumn="0" w:firstRowLastColumn="0" w:lastRowFirstColumn="0" w:lastRowLastColumn="0"/>
            <w:tcW w:w="2836" w:type="dxa"/>
          </w:tcPr>
          <w:p w14:paraId="6AE7F4BC" w14:textId="77777777" w:rsidR="0070272F" w:rsidRPr="009A27ED" w:rsidRDefault="0070272F" w:rsidP="00AF66EF">
            <w:pPr>
              <w:autoSpaceDE w:val="0"/>
              <w:autoSpaceDN w:val="0"/>
              <w:adjustRightInd w:val="0"/>
              <w:rPr>
                <w:sz w:val="20"/>
                <w:szCs w:val="20"/>
              </w:rPr>
            </w:pPr>
            <w:r w:rsidRPr="009A27ED">
              <w:rPr>
                <w:sz w:val="20"/>
                <w:szCs w:val="20"/>
              </w:rPr>
              <w:t>Reasentamiento involuntario (OP 4.12)</w:t>
            </w:r>
          </w:p>
          <w:p w14:paraId="5FA4C6D5" w14:textId="77777777" w:rsidR="0070272F" w:rsidRPr="009A27ED" w:rsidRDefault="0070272F" w:rsidP="00AF66EF">
            <w:pPr>
              <w:autoSpaceDE w:val="0"/>
              <w:autoSpaceDN w:val="0"/>
              <w:adjustRightInd w:val="0"/>
              <w:rPr>
                <w:b w:val="0"/>
                <w:sz w:val="20"/>
                <w:szCs w:val="20"/>
              </w:rPr>
            </w:pPr>
            <w:r w:rsidRPr="009A27ED">
              <w:rPr>
                <w:color w:val="000000" w:themeColor="text1"/>
                <w:sz w:val="20"/>
                <w:szCs w:val="20"/>
              </w:rPr>
              <w:t xml:space="preserve">Esta política abarca los efectos económicos y sociales directos resultantes de </w:t>
            </w:r>
            <w:r w:rsidRPr="009A27ED">
              <w:rPr>
                <w:sz w:val="20"/>
                <w:szCs w:val="20"/>
              </w:rPr>
              <w:t xml:space="preserve">los proyectos de inversión financiados por el Banco y causados por i) La privación involuntaria de tierras, que da por resultado i.1) El desplazamiento o la perdida de la vivienda; i.2) La pérdida de los activos o del acceso a los activos, o i.3) La pérdida de las fuentes de ingresos o de los medios de subsistencia, ya sea que los afectados deban trasladarse a </w:t>
            </w:r>
            <w:r w:rsidRPr="009A27ED">
              <w:rPr>
                <w:sz w:val="20"/>
                <w:szCs w:val="20"/>
              </w:rPr>
              <w:lastRenderedPageBreak/>
              <w:t xml:space="preserve">otro lugar o no, o </w:t>
            </w:r>
            <w:proofErr w:type="spellStart"/>
            <w:r w:rsidRPr="009A27ED">
              <w:rPr>
                <w:sz w:val="20"/>
                <w:szCs w:val="20"/>
              </w:rPr>
              <w:t>ii</w:t>
            </w:r>
            <w:proofErr w:type="spellEnd"/>
            <w:r w:rsidRPr="009A27ED">
              <w:rPr>
                <w:sz w:val="20"/>
                <w:szCs w:val="20"/>
              </w:rPr>
              <w:t xml:space="preserve">) La restricción involuntaria del acceso a zonas calificadas por la Ley como parques o zonas protegidas, con los consiguientes efectos adversos para la subsistencia de las personas desplazadas. Los objetivos generales de esta OP son los siguientes: i) En la medida de lo posible, los reasentamientos involuntarios deben evitarse o reducirse al mínimo, para lo cual deben estudiarse todas las opciones viables de diseño del proyecto, </w:t>
            </w:r>
            <w:proofErr w:type="spellStart"/>
            <w:r w:rsidRPr="009A27ED">
              <w:rPr>
                <w:sz w:val="20"/>
                <w:szCs w:val="20"/>
              </w:rPr>
              <w:t>ii</w:t>
            </w:r>
            <w:proofErr w:type="spellEnd"/>
            <w:r w:rsidRPr="009A27ED">
              <w:rPr>
                <w:sz w:val="20"/>
                <w:szCs w:val="20"/>
              </w:rPr>
              <w:t xml:space="preserve">) Cuando el reasentamiento resulte inevitable, las actividades de reasentamiento se deben concebir y ejecutar como programas de desarrollo sostenible, que proporcionen recursos de inversión suficientes para que las personas desplazadas por el proyecto puedan participar en los beneficios del mismo y en ese contexto, es preciso celebrar consultas satisfactorias con las personas desplazadas y darles la oportunidad de participar en la planificación y ejecución de los programas de reasentamiento y </w:t>
            </w:r>
            <w:proofErr w:type="spellStart"/>
            <w:r w:rsidRPr="009A27ED">
              <w:rPr>
                <w:sz w:val="20"/>
                <w:szCs w:val="20"/>
              </w:rPr>
              <w:t>iii</w:t>
            </w:r>
            <w:proofErr w:type="spellEnd"/>
            <w:r w:rsidRPr="009A27ED">
              <w:rPr>
                <w:sz w:val="20"/>
                <w:szCs w:val="20"/>
              </w:rPr>
              <w:t xml:space="preserve">) Se debe ayudar a las personas desplazadas en sus esfuerzos por mejorar sus medios de subsistencia y sus niveles de vida, o al menos devolverles, en términos reales, los niveles que tenían antes de ser desplazados o antes del comienzo de la ejecución del proyecto, cuando sea que presentaban los niveles más altos. </w:t>
            </w:r>
          </w:p>
          <w:p w14:paraId="4F6CC101" w14:textId="77777777" w:rsidR="0070272F" w:rsidRPr="009A27ED" w:rsidRDefault="0070272F" w:rsidP="00AF66EF">
            <w:pPr>
              <w:spacing w:before="120" w:after="0"/>
              <w:rPr>
                <w:b w:val="0"/>
                <w:sz w:val="20"/>
                <w:szCs w:val="20"/>
              </w:rPr>
            </w:pPr>
            <w:r w:rsidRPr="009A27ED">
              <w:rPr>
                <w:sz w:val="20"/>
                <w:szCs w:val="20"/>
              </w:rPr>
              <w:t xml:space="preserve">Los Criterios que la política requiere para determinar la elegibilidad de las personas desplazadas se pueden clasificar en uno de los tres </w:t>
            </w:r>
            <w:r w:rsidRPr="009A27ED">
              <w:rPr>
                <w:sz w:val="20"/>
                <w:szCs w:val="20"/>
              </w:rPr>
              <w:lastRenderedPageBreak/>
              <w:t xml:space="preserve">grupos siguientes: a) aquellos que tienen derechos legales oficialmente establecidos respecto de las tierras (incluso derechos consuetudinarios y tradicionales reconocidos en la legislación del país); b) aquellos que no tienen derechos legales oficialmente establecidos respecto de las tierras en el momento de iniciarse el censo, pero que reclaman algún derecho a esas tierras o activos, a condición de que su reclamación esté reconocida en la legislación del país o se reconozca mediante un proceso indicado en el plan de reasentamiento; y c) los que carecen de un derecho legal o una pretensión reconocibles respecto de la tierra que ocupan. </w:t>
            </w:r>
          </w:p>
          <w:p w14:paraId="1A352539" w14:textId="77777777" w:rsidR="0070272F" w:rsidRPr="009A27ED" w:rsidRDefault="0070272F" w:rsidP="00AF66EF">
            <w:pPr>
              <w:spacing w:before="120" w:after="0"/>
              <w:rPr>
                <w:sz w:val="20"/>
                <w:szCs w:val="20"/>
              </w:rPr>
            </w:pPr>
            <w:r w:rsidRPr="009A27ED">
              <w:rPr>
                <w:sz w:val="20"/>
                <w:szCs w:val="20"/>
              </w:rPr>
              <w:t xml:space="preserve">Las personas a que se hace referencia en los incisos a) y b) del párrafo anterior recibirán compensación por las tierras que pierden, además de otro tipo de asistencia. Las personas a que se hace referencia en el inciso c) del párrafo anterior recibirán asistencia para el reasentamiento en lugar de compensación por las tierras que ocupan, y otro tipo de asistencia, según proceda, para lograr los objetivos establecidos en la política de reasentamiento involuntario, si ocupan la zona abarcada por el proyecto con anterioridad a una fecha límite establecida por el prestatario y aceptable para el Banco. Las personas que se trasladen a la zona después de la fecha límite no tendrán derecho a compensación ni a ningún otro tipo de asistencia para el reasentamiento. Todas las </w:t>
            </w:r>
            <w:r w:rsidRPr="009A27ED">
              <w:rPr>
                <w:sz w:val="20"/>
                <w:szCs w:val="20"/>
              </w:rPr>
              <w:lastRenderedPageBreak/>
              <w:t>personas a que se hace referencia en los incisos a), b) o c) del párrafo anterior recibirán compensación por la pérdida de activos distintos de las tierras.</w:t>
            </w:r>
          </w:p>
        </w:tc>
        <w:tc>
          <w:tcPr>
            <w:tcW w:w="1554" w:type="dxa"/>
          </w:tcPr>
          <w:p w14:paraId="03E1B7BB" w14:textId="77777777" w:rsidR="0070272F" w:rsidRPr="009A27ED" w:rsidRDefault="0070272F" w:rsidP="00AF66EF">
            <w:pPr>
              <w:spacing w:after="200" w:line="276" w:lineRule="auto"/>
              <w:jc w:val="left"/>
              <w:cnfStyle w:val="000000000000" w:firstRow="0" w:lastRow="0" w:firstColumn="0" w:lastColumn="0" w:oddVBand="0" w:evenVBand="0" w:oddHBand="0" w:evenHBand="0" w:firstRowFirstColumn="0" w:firstRowLastColumn="0" w:lastRowFirstColumn="0" w:lastRowLastColumn="0"/>
              <w:rPr>
                <w:b/>
                <w:sz w:val="20"/>
                <w:szCs w:val="20"/>
              </w:rPr>
            </w:pPr>
          </w:p>
        </w:tc>
        <w:tc>
          <w:tcPr>
            <w:tcW w:w="2840" w:type="dxa"/>
          </w:tcPr>
          <w:p w14:paraId="05522102" w14:textId="77777777" w:rsidR="0070272F" w:rsidRPr="009A27ED" w:rsidRDefault="0070272F" w:rsidP="00AF66EF">
            <w:pPr>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 xml:space="preserve">En ningún caso, en los objetivos y actividades del programa REDD+ se ha estimado ejecutar acciones de reasentamiento involuntario que afecten a los beneficiarios y/o la población del área de influencia de las acciones, entiéndase esto como el desplazamiento o pérdida de tierras, viviendas, bienes inmuebles o activos físicos. Sin embargo, esta OP se activa en virtud de los eventuales casos en el transcurso de la implementación de la ENREDD que podrían implicar restricciones de uso de sus predios, su territorio y/o de las </w:t>
            </w:r>
            <w:r w:rsidRPr="009A27ED">
              <w:rPr>
                <w:sz w:val="20"/>
                <w:szCs w:val="20"/>
              </w:rPr>
              <w:t>actividades productivas en áreas de incidencia del programa.</w:t>
            </w:r>
          </w:p>
          <w:p w14:paraId="3AC8F350" w14:textId="77777777" w:rsidR="0070272F" w:rsidRPr="009A27ED" w:rsidRDefault="0070272F" w:rsidP="00AF66EF">
            <w:pPr>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sz w:val="20"/>
                <w:szCs w:val="20"/>
              </w:rPr>
            </w:pPr>
          </w:p>
          <w:p w14:paraId="4A2B16A2" w14:textId="77777777" w:rsidR="0070272F" w:rsidRPr="009A27ED" w:rsidRDefault="0070272F" w:rsidP="00AF66EF">
            <w:pPr>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Para esto, el MGAS incluye un Marco de Políticas de Reasentamiento (Anexo 2) a los fines de mitigar o compensar los efectos negativos ante un eventual reasentamiento.</w:t>
            </w:r>
          </w:p>
        </w:tc>
        <w:tc>
          <w:tcPr>
            <w:tcW w:w="2546" w:type="dxa"/>
          </w:tcPr>
          <w:p w14:paraId="72102522" w14:textId="77777777" w:rsidR="0070272F" w:rsidRPr="009A27ED" w:rsidRDefault="0070272F" w:rsidP="00AF66EF">
            <w:pPr>
              <w:spacing w:before="100" w:beforeAutospacing="1" w:after="100" w:afterAutospacing="1"/>
              <w:ind w:left="34"/>
              <w:cnfStyle w:val="000000000000" w:firstRow="0" w:lastRow="0" w:firstColumn="0" w:lastColumn="0" w:oddVBand="0" w:evenVBand="0" w:oddHBand="0" w:evenHBand="0" w:firstRowFirstColumn="0" w:firstRowLastColumn="0" w:lastRowFirstColumn="0" w:lastRowLastColumn="0"/>
              <w:rPr>
                <w:sz w:val="20"/>
                <w:szCs w:val="20"/>
              </w:rPr>
            </w:pPr>
          </w:p>
        </w:tc>
        <w:tc>
          <w:tcPr>
            <w:tcW w:w="2268" w:type="dxa"/>
          </w:tcPr>
          <w:p w14:paraId="706D72D9" w14:textId="77777777" w:rsidR="0070272F" w:rsidRPr="009A27ED" w:rsidRDefault="0070272F" w:rsidP="00AF66EF">
            <w:pPr>
              <w:spacing w:before="100" w:beforeAutospacing="1" w:after="100" w:afterAutospacing="1"/>
              <w:ind w:left="34"/>
              <w:cnfStyle w:val="000000000000" w:firstRow="0" w:lastRow="0" w:firstColumn="0" w:lastColumn="0" w:oddVBand="0" w:evenVBand="0" w:oddHBand="0" w:evenHBand="0" w:firstRowFirstColumn="0" w:firstRowLastColumn="0" w:lastRowFirstColumn="0" w:lastRowLastColumn="0"/>
              <w:rPr>
                <w:sz w:val="20"/>
                <w:szCs w:val="20"/>
              </w:rPr>
            </w:pPr>
          </w:p>
        </w:tc>
        <w:tc>
          <w:tcPr>
            <w:tcW w:w="3124" w:type="dxa"/>
          </w:tcPr>
          <w:p w14:paraId="31DBE572" w14:textId="77777777" w:rsidR="0070272F" w:rsidRPr="009A27ED" w:rsidRDefault="0070272F" w:rsidP="00AF66EF">
            <w:pPr>
              <w:pStyle w:val="Prrafodelista"/>
              <w:numPr>
                <w:ilvl w:val="0"/>
                <w:numId w:val="273"/>
              </w:num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A27ED">
              <w:rPr>
                <w:sz w:val="20"/>
                <w:szCs w:val="20"/>
              </w:rPr>
              <w:t>Debe considerarse que para lograr lo establecido en esta OP 4.12, se deberá seguir los pasos detallados en el anexo 2 del MGAS correspondiente al Marco de Políticas de Reasentamiento Involuntario (MPRI).</w:t>
            </w:r>
          </w:p>
          <w:p w14:paraId="5BFE0E92" w14:textId="77777777" w:rsidR="0070272F" w:rsidRPr="009A27ED" w:rsidRDefault="0070272F" w:rsidP="00AF66EF">
            <w:pPr>
              <w:spacing w:after="0"/>
              <w:cnfStyle w:val="000000000000" w:firstRow="0" w:lastRow="0" w:firstColumn="0" w:lastColumn="0" w:oddVBand="0" w:evenVBand="0" w:oddHBand="0" w:evenHBand="0" w:firstRowFirstColumn="0" w:firstRowLastColumn="0" w:lastRowFirstColumn="0" w:lastRowLastColumn="0"/>
              <w:rPr>
                <w:sz w:val="20"/>
                <w:szCs w:val="20"/>
                <w:lang w:val="es-DO"/>
              </w:rPr>
            </w:pPr>
            <w:r w:rsidRPr="009A27ED">
              <w:rPr>
                <w:sz w:val="20"/>
                <w:szCs w:val="20"/>
                <w:lang w:val="es-DO"/>
              </w:rPr>
              <w:t xml:space="preserve">Se prevén mecanismos y acciones en el marco de REDD+ para mitigar los eventuales efectos a usuarios por la restricción del uso y de acceso a la tierra en el interior de las áreas protegidas. El Ministerio de Medio Ambiente y Recursos Naturales ejecutará estos mecanismos y </w:t>
            </w:r>
            <w:r w:rsidRPr="009A27ED">
              <w:rPr>
                <w:sz w:val="20"/>
                <w:szCs w:val="20"/>
                <w:lang w:val="es-DO"/>
              </w:rPr>
              <w:lastRenderedPageBreak/>
              <w:t>acciones por medio de las siguientes actividades estratégicas:</w:t>
            </w:r>
          </w:p>
          <w:p w14:paraId="3C81CDCE" w14:textId="77777777" w:rsidR="0070272F" w:rsidRPr="009A27ED" w:rsidRDefault="0070272F" w:rsidP="00AF66EF">
            <w:pPr>
              <w:spacing w:after="0"/>
              <w:cnfStyle w:val="000000000000" w:firstRow="0" w:lastRow="0" w:firstColumn="0" w:lastColumn="0" w:oddVBand="0" w:evenVBand="0" w:oddHBand="0" w:evenHBand="0" w:firstRowFirstColumn="0" w:firstRowLastColumn="0" w:lastRowFirstColumn="0" w:lastRowLastColumn="0"/>
              <w:rPr>
                <w:sz w:val="20"/>
                <w:szCs w:val="20"/>
                <w:lang w:val="es-DO"/>
              </w:rPr>
            </w:pPr>
          </w:p>
          <w:p w14:paraId="5AC13EB6" w14:textId="77777777" w:rsidR="0070272F" w:rsidRPr="009A27ED" w:rsidRDefault="0070272F" w:rsidP="00AF66EF">
            <w:pPr>
              <w:pStyle w:val="Prrafodelista"/>
              <w:numPr>
                <w:ilvl w:val="0"/>
                <w:numId w:val="126"/>
              </w:numPr>
              <w:spacing w:after="0" w:line="240" w:lineRule="auto"/>
              <w:ind w:left="365"/>
              <w:cnfStyle w:val="000000000000" w:firstRow="0" w:lastRow="0" w:firstColumn="0" w:lastColumn="0" w:oddVBand="0" w:evenVBand="0" w:oddHBand="0" w:evenHBand="0" w:firstRowFirstColumn="0" w:firstRowLastColumn="0" w:lastRowFirstColumn="0" w:lastRowLastColumn="0"/>
              <w:rPr>
                <w:sz w:val="20"/>
                <w:szCs w:val="20"/>
                <w:lang w:val="es-ES_tradnl" w:eastAsia="gl"/>
              </w:rPr>
            </w:pPr>
            <w:r w:rsidRPr="009A27ED">
              <w:rPr>
                <w:sz w:val="20"/>
                <w:szCs w:val="20"/>
                <w:lang w:val="es-ES_tradnl" w:eastAsia="gl"/>
              </w:rPr>
              <w:t>Disminuir y/o detener la deforestación y la degradación dentro de áreas protegidas relevantes para la conservación de los recursos forestales a través de:</w:t>
            </w:r>
          </w:p>
          <w:p w14:paraId="428FB504" w14:textId="77777777" w:rsidR="0070272F" w:rsidRPr="009A27ED" w:rsidRDefault="0070272F" w:rsidP="00AF66EF">
            <w:pPr>
              <w:pStyle w:val="Prrafodelista"/>
              <w:spacing w:after="0" w:line="240" w:lineRule="auto"/>
              <w:ind w:left="720"/>
              <w:cnfStyle w:val="000000000000" w:firstRow="0" w:lastRow="0" w:firstColumn="0" w:lastColumn="0" w:oddVBand="0" w:evenVBand="0" w:oddHBand="0" w:evenHBand="0" w:firstRowFirstColumn="0" w:firstRowLastColumn="0" w:lastRowFirstColumn="0" w:lastRowLastColumn="0"/>
              <w:rPr>
                <w:sz w:val="20"/>
                <w:szCs w:val="20"/>
                <w:lang w:val="es-ES_tradnl" w:eastAsia="gl"/>
              </w:rPr>
            </w:pPr>
          </w:p>
          <w:p w14:paraId="1E203FAF" w14:textId="77777777" w:rsidR="0070272F" w:rsidRPr="009A27ED" w:rsidRDefault="0070272F" w:rsidP="00AF66EF">
            <w:pPr>
              <w:pStyle w:val="Prrafodelista"/>
              <w:numPr>
                <w:ilvl w:val="0"/>
                <w:numId w:val="152"/>
              </w:numPr>
              <w:spacing w:after="0" w:line="240" w:lineRule="auto"/>
              <w:ind w:left="790"/>
              <w:cnfStyle w:val="000000000000" w:firstRow="0" w:lastRow="0" w:firstColumn="0" w:lastColumn="0" w:oddVBand="0" w:evenVBand="0" w:oddHBand="0" w:evenHBand="0" w:firstRowFirstColumn="0" w:firstRowLastColumn="0" w:lastRowFirstColumn="0" w:lastRowLastColumn="0"/>
              <w:rPr>
                <w:sz w:val="20"/>
                <w:szCs w:val="20"/>
                <w:lang w:val="es-ES_tradnl" w:eastAsia="gl"/>
              </w:rPr>
            </w:pPr>
            <w:r w:rsidRPr="009A27ED">
              <w:rPr>
                <w:sz w:val="20"/>
                <w:szCs w:val="20"/>
                <w:lang w:val="es-ES_tradnl" w:eastAsia="gl"/>
              </w:rPr>
              <w:t>Restauración, regeneración natural;</w:t>
            </w:r>
          </w:p>
          <w:p w14:paraId="5637DF42" w14:textId="77777777" w:rsidR="0070272F" w:rsidRPr="009A27ED" w:rsidRDefault="0070272F" w:rsidP="00AF66EF">
            <w:pPr>
              <w:pStyle w:val="Prrafodelista"/>
              <w:numPr>
                <w:ilvl w:val="0"/>
                <w:numId w:val="152"/>
              </w:numPr>
              <w:spacing w:after="0" w:line="240" w:lineRule="auto"/>
              <w:ind w:left="790"/>
              <w:cnfStyle w:val="000000000000" w:firstRow="0" w:lastRow="0" w:firstColumn="0" w:lastColumn="0" w:oddVBand="0" w:evenVBand="0" w:oddHBand="0" w:evenHBand="0" w:firstRowFirstColumn="0" w:firstRowLastColumn="0" w:lastRowFirstColumn="0" w:lastRowLastColumn="0"/>
              <w:rPr>
                <w:sz w:val="20"/>
                <w:szCs w:val="20"/>
                <w:lang w:val="es-ES_tradnl" w:eastAsia="gl"/>
              </w:rPr>
            </w:pPr>
            <w:r w:rsidRPr="009A27ED">
              <w:rPr>
                <w:sz w:val="20"/>
                <w:szCs w:val="20"/>
                <w:lang w:val="es-ES_tradnl" w:eastAsia="gl"/>
              </w:rPr>
              <w:t>Fortalecer el programa de protección y vigilancia en áreas protegidas a través de la integración de nuevas tecnologías, integración y capacitación de personal a las acciones de guardaparques.</w:t>
            </w:r>
          </w:p>
          <w:p w14:paraId="387CDA24" w14:textId="77777777" w:rsidR="0070272F" w:rsidRPr="009A27ED" w:rsidRDefault="0070272F" w:rsidP="00AF66EF">
            <w:pPr>
              <w:spacing w:after="0"/>
              <w:cnfStyle w:val="000000000000" w:firstRow="0" w:lastRow="0" w:firstColumn="0" w:lastColumn="0" w:oddVBand="0" w:evenVBand="0" w:oddHBand="0" w:evenHBand="0" w:firstRowFirstColumn="0" w:firstRowLastColumn="0" w:lastRowFirstColumn="0" w:lastRowLastColumn="0"/>
              <w:rPr>
                <w:sz w:val="20"/>
                <w:szCs w:val="20"/>
                <w:lang w:val="es-ES_tradnl" w:eastAsia="gl"/>
              </w:rPr>
            </w:pPr>
          </w:p>
          <w:p w14:paraId="28C977E3" w14:textId="77777777" w:rsidR="0070272F" w:rsidRPr="009A27ED" w:rsidRDefault="0070272F" w:rsidP="00AF66EF">
            <w:pPr>
              <w:pStyle w:val="Prrafodelista"/>
              <w:numPr>
                <w:ilvl w:val="0"/>
                <w:numId w:val="126"/>
              </w:numPr>
              <w:spacing w:after="0" w:line="240" w:lineRule="auto"/>
              <w:ind w:left="365"/>
              <w:cnfStyle w:val="000000000000" w:firstRow="0" w:lastRow="0" w:firstColumn="0" w:lastColumn="0" w:oddVBand="0" w:evenVBand="0" w:oddHBand="0" w:evenHBand="0" w:firstRowFirstColumn="0" w:firstRowLastColumn="0" w:lastRowFirstColumn="0" w:lastRowLastColumn="0"/>
              <w:rPr>
                <w:sz w:val="20"/>
                <w:szCs w:val="20"/>
                <w:lang w:val="es-DO"/>
              </w:rPr>
            </w:pPr>
            <w:r w:rsidRPr="009A27ED">
              <w:rPr>
                <w:sz w:val="20"/>
                <w:szCs w:val="20"/>
                <w:lang w:val="es-ES"/>
              </w:rPr>
              <w:t>Reducir las presiones antropogénicas sobre los recursos naturales de las Áreas Protegidas a través de</w:t>
            </w:r>
            <w:r w:rsidRPr="009A27ED">
              <w:rPr>
                <w:sz w:val="20"/>
                <w:szCs w:val="20"/>
                <w:lang w:val="es-DO"/>
              </w:rPr>
              <w:t>:</w:t>
            </w:r>
          </w:p>
          <w:p w14:paraId="54090D04" w14:textId="77777777" w:rsidR="0070272F" w:rsidRPr="009A27ED" w:rsidRDefault="0070272F" w:rsidP="00AF66EF">
            <w:pPr>
              <w:pStyle w:val="Prrafodelista"/>
              <w:spacing w:after="0" w:line="240" w:lineRule="auto"/>
              <w:ind w:left="720"/>
              <w:cnfStyle w:val="000000000000" w:firstRow="0" w:lastRow="0" w:firstColumn="0" w:lastColumn="0" w:oddVBand="0" w:evenVBand="0" w:oddHBand="0" w:evenHBand="0" w:firstRowFirstColumn="0" w:firstRowLastColumn="0" w:lastRowFirstColumn="0" w:lastRowLastColumn="0"/>
              <w:rPr>
                <w:sz w:val="20"/>
                <w:szCs w:val="20"/>
                <w:lang w:val="es-DO"/>
              </w:rPr>
            </w:pPr>
          </w:p>
          <w:p w14:paraId="7A452C37" w14:textId="1337CFEB" w:rsidR="0070272F" w:rsidRPr="009A27ED" w:rsidRDefault="0070272F" w:rsidP="00AF66EF">
            <w:pPr>
              <w:pStyle w:val="Prrafodelista"/>
              <w:numPr>
                <w:ilvl w:val="1"/>
                <w:numId w:val="126"/>
              </w:numPr>
              <w:spacing w:after="0" w:line="240" w:lineRule="auto"/>
              <w:ind w:left="790"/>
              <w:cnfStyle w:val="000000000000" w:firstRow="0" w:lastRow="0" w:firstColumn="0" w:lastColumn="0" w:oddVBand="0" w:evenVBand="0" w:oddHBand="0" w:evenHBand="0" w:firstRowFirstColumn="0" w:firstRowLastColumn="0" w:lastRowFirstColumn="0" w:lastRowLastColumn="0"/>
              <w:rPr>
                <w:sz w:val="20"/>
                <w:szCs w:val="20"/>
                <w:lang w:val="es-DO"/>
              </w:rPr>
            </w:pPr>
            <w:r w:rsidRPr="009A27ED">
              <w:rPr>
                <w:sz w:val="20"/>
                <w:szCs w:val="20"/>
                <w:lang w:val="es-DO"/>
              </w:rPr>
              <w:t xml:space="preserve">Aprovechamiento sostenible de las zonas de amortiguamiento mediante la promoción de sistemas agroforestales de café y cacao y </w:t>
            </w:r>
            <w:r w:rsidR="00AF66EF" w:rsidRPr="009A27ED">
              <w:rPr>
                <w:sz w:val="20"/>
                <w:szCs w:val="20"/>
                <w:lang w:val="es-DO"/>
              </w:rPr>
              <w:t>prácticas</w:t>
            </w:r>
            <w:r w:rsidRPr="009A27ED">
              <w:rPr>
                <w:sz w:val="20"/>
                <w:szCs w:val="20"/>
                <w:lang w:val="es-DO"/>
              </w:rPr>
              <w:t xml:space="preserve"> sostenibles de cultivo; </w:t>
            </w:r>
          </w:p>
          <w:p w14:paraId="4ABE2B0C" w14:textId="77777777" w:rsidR="0070272F" w:rsidRPr="009A27ED" w:rsidRDefault="0070272F" w:rsidP="00AF66EF">
            <w:pPr>
              <w:pStyle w:val="Prrafodelista"/>
              <w:numPr>
                <w:ilvl w:val="1"/>
                <w:numId w:val="126"/>
              </w:numPr>
              <w:spacing w:after="0" w:line="240" w:lineRule="auto"/>
              <w:ind w:left="790"/>
              <w:cnfStyle w:val="000000000000" w:firstRow="0" w:lastRow="0" w:firstColumn="0" w:lastColumn="0" w:oddVBand="0" w:evenVBand="0" w:oddHBand="0" w:evenHBand="0" w:firstRowFirstColumn="0" w:firstRowLastColumn="0" w:lastRowFirstColumn="0" w:lastRowLastColumn="0"/>
              <w:rPr>
                <w:sz w:val="20"/>
                <w:szCs w:val="20"/>
                <w:lang w:val="es-DO"/>
              </w:rPr>
            </w:pPr>
            <w:r w:rsidRPr="009A27ED">
              <w:rPr>
                <w:sz w:val="20"/>
                <w:szCs w:val="20"/>
                <w:lang w:val="es-DO"/>
              </w:rPr>
              <w:t xml:space="preserve">Plantación de frutales con valor comercial; </w:t>
            </w:r>
          </w:p>
          <w:p w14:paraId="7C8648F1" w14:textId="77777777" w:rsidR="0070272F" w:rsidRPr="009A27ED" w:rsidRDefault="0070272F" w:rsidP="00AF66EF">
            <w:pPr>
              <w:pStyle w:val="Prrafodelista"/>
              <w:numPr>
                <w:ilvl w:val="1"/>
                <w:numId w:val="126"/>
              </w:numPr>
              <w:spacing w:after="0" w:line="240" w:lineRule="auto"/>
              <w:ind w:left="790"/>
              <w:cnfStyle w:val="000000000000" w:firstRow="0" w:lastRow="0" w:firstColumn="0" w:lastColumn="0" w:oddVBand="0" w:evenVBand="0" w:oddHBand="0" w:evenHBand="0" w:firstRowFirstColumn="0" w:firstRowLastColumn="0" w:lastRowFirstColumn="0" w:lastRowLastColumn="0"/>
              <w:rPr>
                <w:sz w:val="20"/>
                <w:szCs w:val="20"/>
                <w:lang w:val="es-DO"/>
              </w:rPr>
            </w:pPr>
            <w:r w:rsidRPr="009A27ED">
              <w:rPr>
                <w:sz w:val="20"/>
                <w:szCs w:val="20"/>
                <w:lang w:val="es-DO"/>
              </w:rPr>
              <w:t>Apoyo a emprendimientos que permitan potenciar una mejoría de los ingresos que generan actualmente a nivel local, como aquellos que le agreguen valor a la producción y comercialización;</w:t>
            </w:r>
          </w:p>
          <w:p w14:paraId="46A940BC" w14:textId="77777777" w:rsidR="0070272F" w:rsidRPr="009A27ED" w:rsidRDefault="0070272F" w:rsidP="00AF66EF">
            <w:pPr>
              <w:pStyle w:val="Prrafodelista"/>
              <w:numPr>
                <w:ilvl w:val="1"/>
                <w:numId w:val="126"/>
              </w:numPr>
              <w:spacing w:after="0" w:line="240" w:lineRule="auto"/>
              <w:ind w:left="790"/>
              <w:cnfStyle w:val="000000000000" w:firstRow="0" w:lastRow="0" w:firstColumn="0" w:lastColumn="0" w:oddVBand="0" w:evenVBand="0" w:oddHBand="0" w:evenHBand="0" w:firstRowFirstColumn="0" w:firstRowLastColumn="0" w:lastRowFirstColumn="0" w:lastRowLastColumn="0"/>
              <w:rPr>
                <w:sz w:val="20"/>
                <w:szCs w:val="20"/>
                <w:lang w:val="es-ES_tradnl" w:eastAsia="gl"/>
              </w:rPr>
            </w:pPr>
            <w:r w:rsidRPr="009A27ED">
              <w:rPr>
                <w:sz w:val="20"/>
                <w:szCs w:val="20"/>
                <w:lang w:val="es-DO"/>
              </w:rPr>
              <w:t xml:space="preserve">Promoción de iniciativas comunitarias y sociales vinculadas al ecoturismo y/o aprovechamiento de atractivos naturales tal, es el caso de los Saltos de </w:t>
            </w:r>
            <w:r w:rsidRPr="009A27ED">
              <w:rPr>
                <w:sz w:val="20"/>
                <w:szCs w:val="20"/>
                <w:lang w:val="es-DO"/>
              </w:rPr>
              <w:lastRenderedPageBreak/>
              <w:t>Damajagua en Puerto Plata.</w:t>
            </w:r>
          </w:p>
          <w:p w14:paraId="66253773" w14:textId="77777777" w:rsidR="0070272F" w:rsidRPr="009A27ED" w:rsidRDefault="0070272F" w:rsidP="00AF66EF">
            <w:pPr>
              <w:spacing w:after="0"/>
              <w:cnfStyle w:val="000000000000" w:firstRow="0" w:lastRow="0" w:firstColumn="0" w:lastColumn="0" w:oddVBand="0" w:evenVBand="0" w:oddHBand="0" w:evenHBand="0" w:firstRowFirstColumn="0" w:firstRowLastColumn="0" w:lastRowFirstColumn="0" w:lastRowLastColumn="0"/>
              <w:rPr>
                <w:sz w:val="20"/>
                <w:szCs w:val="20"/>
                <w:lang w:val="es-ES_tradnl" w:eastAsia="gl"/>
              </w:rPr>
            </w:pPr>
          </w:p>
          <w:p w14:paraId="3CCD17BC" w14:textId="77777777" w:rsidR="0070272F" w:rsidRPr="009A27ED" w:rsidRDefault="0070272F" w:rsidP="00AF66EF">
            <w:pPr>
              <w:pStyle w:val="Prrafodelista"/>
              <w:numPr>
                <w:ilvl w:val="0"/>
                <w:numId w:val="126"/>
              </w:numPr>
              <w:spacing w:after="0" w:line="240" w:lineRule="auto"/>
              <w:ind w:left="365"/>
              <w:cnfStyle w:val="000000000000" w:firstRow="0" w:lastRow="0" w:firstColumn="0" w:lastColumn="0" w:oddVBand="0" w:evenVBand="0" w:oddHBand="0" w:evenHBand="0" w:firstRowFirstColumn="0" w:firstRowLastColumn="0" w:lastRowFirstColumn="0" w:lastRowLastColumn="0"/>
              <w:rPr>
                <w:sz w:val="20"/>
                <w:szCs w:val="20"/>
                <w:lang w:val="es-DO"/>
              </w:rPr>
            </w:pPr>
            <w:r w:rsidRPr="009A27ED">
              <w:rPr>
                <w:sz w:val="20"/>
                <w:szCs w:val="20"/>
                <w:lang w:val="es-DO"/>
              </w:rPr>
              <w:t>Generación de empleos y acceso a beneficios a través de:</w:t>
            </w:r>
          </w:p>
          <w:p w14:paraId="231462C9" w14:textId="77777777" w:rsidR="0070272F" w:rsidRPr="009A27ED" w:rsidRDefault="0070272F" w:rsidP="00AF66EF">
            <w:pPr>
              <w:pStyle w:val="Prrafodelista"/>
              <w:spacing w:after="0" w:line="240" w:lineRule="auto"/>
              <w:ind w:left="720"/>
              <w:cnfStyle w:val="000000000000" w:firstRow="0" w:lastRow="0" w:firstColumn="0" w:lastColumn="0" w:oddVBand="0" w:evenVBand="0" w:oddHBand="0" w:evenHBand="0" w:firstRowFirstColumn="0" w:firstRowLastColumn="0" w:lastRowFirstColumn="0" w:lastRowLastColumn="0"/>
              <w:rPr>
                <w:sz w:val="20"/>
                <w:szCs w:val="20"/>
                <w:lang w:val="es-DO"/>
              </w:rPr>
            </w:pPr>
          </w:p>
          <w:p w14:paraId="601E8A8A" w14:textId="77777777" w:rsidR="0070272F" w:rsidRPr="009A27ED" w:rsidRDefault="0070272F" w:rsidP="00AF66EF">
            <w:pPr>
              <w:pStyle w:val="Prrafodelista"/>
              <w:numPr>
                <w:ilvl w:val="0"/>
                <w:numId w:val="127"/>
              </w:numPr>
              <w:spacing w:after="0" w:line="240" w:lineRule="auto"/>
              <w:ind w:left="790"/>
              <w:cnfStyle w:val="000000000000" w:firstRow="0" w:lastRow="0" w:firstColumn="0" w:lastColumn="0" w:oddVBand="0" w:evenVBand="0" w:oddHBand="0" w:evenHBand="0" w:firstRowFirstColumn="0" w:firstRowLastColumn="0" w:lastRowFirstColumn="0" w:lastRowLastColumn="0"/>
              <w:rPr>
                <w:sz w:val="20"/>
                <w:szCs w:val="20"/>
                <w:lang w:val="es-DO"/>
              </w:rPr>
            </w:pPr>
            <w:r w:rsidRPr="009A27ED">
              <w:rPr>
                <w:sz w:val="20"/>
                <w:szCs w:val="20"/>
                <w:lang w:val="es-DO"/>
              </w:rPr>
              <w:t xml:space="preserve">Integración de comunitarios como guardaparques de las Áreas Protegidas; y </w:t>
            </w:r>
          </w:p>
          <w:p w14:paraId="0EB5C1F4" w14:textId="77777777" w:rsidR="0070272F" w:rsidRPr="009A27ED" w:rsidRDefault="0070272F" w:rsidP="00AF66EF">
            <w:pPr>
              <w:pStyle w:val="Prrafodelista"/>
              <w:numPr>
                <w:ilvl w:val="0"/>
                <w:numId w:val="127"/>
              </w:numPr>
              <w:spacing w:after="0" w:line="240" w:lineRule="auto"/>
              <w:ind w:left="790"/>
              <w:cnfStyle w:val="000000000000" w:firstRow="0" w:lastRow="0" w:firstColumn="0" w:lastColumn="0" w:oddVBand="0" w:evenVBand="0" w:oddHBand="0" w:evenHBand="0" w:firstRowFirstColumn="0" w:firstRowLastColumn="0" w:lastRowFirstColumn="0" w:lastRowLastColumn="0"/>
              <w:rPr>
                <w:sz w:val="20"/>
                <w:szCs w:val="20"/>
                <w:lang w:val="es-DO"/>
              </w:rPr>
            </w:pPr>
            <w:r w:rsidRPr="009A27ED">
              <w:rPr>
                <w:sz w:val="20"/>
                <w:szCs w:val="20"/>
                <w:lang w:val="es-DO"/>
              </w:rPr>
              <w:t>Como parte de las brigadas de trabajo que se crean para la reforestación en programas como Plan Quisqueya Verde (actual Programa Nacional de Reforestación) y el Proyecto de Desarrollo Agroforestal;</w:t>
            </w:r>
          </w:p>
          <w:p w14:paraId="6DDE5DBE" w14:textId="77777777" w:rsidR="0070272F" w:rsidRPr="009A27ED" w:rsidRDefault="0070272F" w:rsidP="00AF66EF">
            <w:pPr>
              <w:pStyle w:val="Prrafodelista"/>
              <w:numPr>
                <w:ilvl w:val="0"/>
                <w:numId w:val="127"/>
              </w:numPr>
              <w:spacing w:after="0" w:line="240" w:lineRule="auto"/>
              <w:ind w:left="790"/>
              <w:cnfStyle w:val="000000000000" w:firstRow="0" w:lastRow="0" w:firstColumn="0" w:lastColumn="0" w:oddVBand="0" w:evenVBand="0" w:oddHBand="0" w:evenHBand="0" w:firstRowFirstColumn="0" w:firstRowLastColumn="0" w:lastRowFirstColumn="0" w:lastRowLastColumn="0"/>
              <w:rPr>
                <w:sz w:val="20"/>
                <w:szCs w:val="20"/>
                <w:lang w:val="es-DO"/>
              </w:rPr>
            </w:pPr>
            <w:r w:rsidRPr="009A27ED">
              <w:rPr>
                <w:sz w:val="20"/>
                <w:szCs w:val="20"/>
                <w:lang w:val="es-DO"/>
              </w:rPr>
              <w:t xml:space="preserve">Apoyo a los pequeños productores a través de la entrega de insumos tales como plantas, herramientas, entre otros. </w:t>
            </w:r>
          </w:p>
          <w:p w14:paraId="06BF3365" w14:textId="77777777" w:rsidR="0070272F" w:rsidRPr="009A27ED" w:rsidRDefault="0070272F" w:rsidP="00AF66EF">
            <w:pPr>
              <w:pStyle w:val="Prrafodelista"/>
              <w:spacing w:after="0" w:line="240" w:lineRule="auto"/>
              <w:ind w:left="284"/>
              <w:cnfStyle w:val="000000000000" w:firstRow="0" w:lastRow="0" w:firstColumn="0" w:lastColumn="0" w:oddVBand="0" w:evenVBand="0" w:oddHBand="0" w:evenHBand="0" w:firstRowFirstColumn="0" w:firstRowLastColumn="0" w:lastRowFirstColumn="0" w:lastRowLastColumn="0"/>
              <w:rPr>
                <w:sz w:val="20"/>
                <w:szCs w:val="20"/>
                <w:lang w:val="es-DO"/>
              </w:rPr>
            </w:pPr>
          </w:p>
          <w:p w14:paraId="7023566C" w14:textId="77777777" w:rsidR="0070272F" w:rsidRPr="009A27ED" w:rsidRDefault="0070272F" w:rsidP="00AF66EF">
            <w:pPr>
              <w:pStyle w:val="Prrafodelista"/>
              <w:numPr>
                <w:ilvl w:val="0"/>
                <w:numId w:val="126"/>
              </w:numPr>
              <w:spacing w:after="0" w:line="240" w:lineRule="auto"/>
              <w:ind w:left="365"/>
              <w:cnfStyle w:val="000000000000" w:firstRow="0" w:lastRow="0" w:firstColumn="0" w:lastColumn="0" w:oddVBand="0" w:evenVBand="0" w:oddHBand="0" w:evenHBand="0" w:firstRowFirstColumn="0" w:firstRowLastColumn="0" w:lastRowFirstColumn="0" w:lastRowLastColumn="0"/>
              <w:rPr>
                <w:sz w:val="20"/>
                <w:szCs w:val="20"/>
                <w:lang w:val="es-DO"/>
              </w:rPr>
            </w:pPr>
            <w:r w:rsidRPr="009A27ED">
              <w:rPr>
                <w:sz w:val="20"/>
                <w:szCs w:val="20"/>
                <w:lang w:val="es-DO"/>
              </w:rPr>
              <w:t xml:space="preserve">Pago por Servicios Ambientales, a través de la ampliación de la experiencia desarrollada por el propio Ministerio en la cuenca de Rio </w:t>
            </w:r>
            <w:proofErr w:type="spellStart"/>
            <w:r w:rsidRPr="009A27ED">
              <w:rPr>
                <w:sz w:val="20"/>
                <w:szCs w:val="20"/>
                <w:lang w:val="es-DO"/>
              </w:rPr>
              <w:t>Yaque</w:t>
            </w:r>
            <w:proofErr w:type="spellEnd"/>
            <w:r w:rsidRPr="009A27ED">
              <w:rPr>
                <w:sz w:val="20"/>
                <w:szCs w:val="20"/>
                <w:lang w:val="es-DO"/>
              </w:rPr>
              <w:t xml:space="preserve"> del Norte (Proyecto PSA-CYN) y la participación en los beneficios del Programa de Reducción de emisiones REDD+.</w:t>
            </w:r>
          </w:p>
          <w:p w14:paraId="16B757EF" w14:textId="77777777" w:rsidR="0070272F" w:rsidRPr="009A27ED" w:rsidRDefault="0070272F" w:rsidP="00AF66EF">
            <w:pPr>
              <w:pStyle w:val="Prrafodelista"/>
              <w:spacing w:after="0" w:line="240" w:lineRule="auto"/>
              <w:ind w:left="720"/>
              <w:cnfStyle w:val="000000000000" w:firstRow="0" w:lastRow="0" w:firstColumn="0" w:lastColumn="0" w:oddVBand="0" w:evenVBand="0" w:oddHBand="0" w:evenHBand="0" w:firstRowFirstColumn="0" w:firstRowLastColumn="0" w:lastRowFirstColumn="0" w:lastRowLastColumn="0"/>
              <w:rPr>
                <w:sz w:val="20"/>
                <w:szCs w:val="20"/>
                <w:lang w:val="es-DO"/>
              </w:rPr>
            </w:pPr>
          </w:p>
          <w:p w14:paraId="12B5387B" w14:textId="77777777" w:rsidR="0070272F" w:rsidRPr="009A27ED" w:rsidRDefault="0070272F" w:rsidP="00AF66EF">
            <w:pPr>
              <w:pStyle w:val="Prrafodelista"/>
              <w:numPr>
                <w:ilvl w:val="0"/>
                <w:numId w:val="126"/>
              </w:numPr>
              <w:spacing w:after="160" w:line="259" w:lineRule="auto"/>
              <w:ind w:left="365"/>
              <w:cnfStyle w:val="000000000000" w:firstRow="0" w:lastRow="0" w:firstColumn="0" w:lastColumn="0" w:oddVBand="0" w:evenVBand="0" w:oddHBand="0" w:evenHBand="0" w:firstRowFirstColumn="0" w:firstRowLastColumn="0" w:lastRowFirstColumn="0" w:lastRowLastColumn="0"/>
              <w:rPr>
                <w:sz w:val="20"/>
                <w:szCs w:val="20"/>
                <w:lang w:val="es-ES"/>
              </w:rPr>
            </w:pPr>
            <w:r w:rsidRPr="009A27ED">
              <w:rPr>
                <w:sz w:val="20"/>
                <w:szCs w:val="20"/>
                <w:lang w:val="es-ES"/>
              </w:rPr>
              <w:t xml:space="preserve">Promoción de acciones para el fortalecimiento de las políticas, prácticas e incentivos con la finalidad de mejorar los paisajes productivos a través del otorgamiento de beneficios ambientales, y fomentar una aplicación más amplia de los instrumentos y prácticas innovadoras para la gestión de recursos naturales, a través de posible alianza y sinergia con el proyecto que se desarrollará en el marco del Fondo para el </w:t>
            </w:r>
            <w:r w:rsidRPr="009A27ED">
              <w:rPr>
                <w:sz w:val="20"/>
                <w:szCs w:val="20"/>
                <w:lang w:val="es-ES"/>
              </w:rPr>
              <w:lastRenderedPageBreak/>
              <w:t>Medio Ambiente Mundial (GEF).</w:t>
            </w:r>
          </w:p>
          <w:p w14:paraId="4D447331" w14:textId="77777777" w:rsidR="0070272F" w:rsidRPr="009A27ED" w:rsidRDefault="0070272F" w:rsidP="00AF66EF">
            <w:pPr>
              <w:spacing w:after="0"/>
              <w:cnfStyle w:val="000000000000" w:firstRow="0" w:lastRow="0" w:firstColumn="0" w:lastColumn="0" w:oddVBand="0" w:evenVBand="0" w:oddHBand="0" w:evenHBand="0" w:firstRowFirstColumn="0" w:firstRowLastColumn="0" w:lastRowFirstColumn="0" w:lastRowLastColumn="0"/>
              <w:rPr>
                <w:sz w:val="20"/>
                <w:szCs w:val="20"/>
                <w:lang w:val="es-DO"/>
              </w:rPr>
            </w:pPr>
            <w:r w:rsidRPr="009A27ED">
              <w:rPr>
                <w:sz w:val="20"/>
                <w:szCs w:val="20"/>
                <w:lang w:val="es-DO"/>
              </w:rPr>
              <w:t xml:space="preserve">Además de los mecanismos y acciones enunciados anteriormente, en caso de ser necesario, se aplicará el procedimiento por concepto de declaratoria de utilidad pública y afectación del derecho de propiedad previsto en legislación nacional y descrito con en el Anexo 9 del MGAS. </w:t>
            </w:r>
          </w:p>
          <w:p w14:paraId="5603F498" w14:textId="77777777" w:rsidR="0070272F" w:rsidRPr="009A27ED" w:rsidRDefault="0070272F" w:rsidP="00AF66EF">
            <w:pPr>
              <w:pStyle w:val="Prrafodelista"/>
              <w:spacing w:before="100" w:beforeAutospacing="1" w:after="100" w:afterAutospacing="1" w:line="240" w:lineRule="auto"/>
              <w:ind w:left="394"/>
              <w:cnfStyle w:val="000000000000" w:firstRow="0" w:lastRow="0" w:firstColumn="0" w:lastColumn="0" w:oddVBand="0" w:evenVBand="0" w:oddHBand="0" w:evenHBand="0" w:firstRowFirstColumn="0" w:firstRowLastColumn="0" w:lastRowFirstColumn="0" w:lastRowLastColumn="0"/>
              <w:rPr>
                <w:sz w:val="20"/>
                <w:szCs w:val="20"/>
              </w:rPr>
            </w:pPr>
          </w:p>
        </w:tc>
      </w:tr>
    </w:tbl>
    <w:p w14:paraId="41A41BBD" w14:textId="714A529A" w:rsidR="00E17973" w:rsidRPr="009A27ED" w:rsidRDefault="00E17973" w:rsidP="00E17973">
      <w:pPr>
        <w:pStyle w:val="Textosubrayado"/>
        <w:spacing w:line="360" w:lineRule="auto"/>
        <w:rPr>
          <w:szCs w:val="22"/>
          <w:u w:val="none"/>
        </w:rPr>
      </w:pPr>
    </w:p>
    <w:p w14:paraId="4F976791" w14:textId="77777777" w:rsidR="00AC718D" w:rsidRPr="009A27ED" w:rsidRDefault="00AC718D" w:rsidP="00E17973">
      <w:pPr>
        <w:spacing w:line="360" w:lineRule="auto"/>
      </w:pPr>
    </w:p>
    <w:p w14:paraId="16D8B9B0" w14:textId="77777777" w:rsidR="00E50973" w:rsidRPr="009A27ED" w:rsidRDefault="00E50973" w:rsidP="00E50973">
      <w:pPr>
        <w:spacing w:line="360" w:lineRule="auto"/>
      </w:pPr>
    </w:p>
    <w:p w14:paraId="25DAA422" w14:textId="40A4BE18" w:rsidR="00405040" w:rsidRPr="009A27ED" w:rsidRDefault="00405040" w:rsidP="008A0315">
      <w:pPr>
        <w:pStyle w:val="Ttulo1"/>
        <w:numPr>
          <w:ilvl w:val="0"/>
          <w:numId w:val="0"/>
        </w:numPr>
        <w:spacing w:line="360" w:lineRule="auto"/>
        <w:jc w:val="both"/>
      </w:pPr>
      <w:bookmarkStart w:id="654" w:name="_Toc533594089"/>
      <w:bookmarkStart w:id="655" w:name="_Toc111838016"/>
      <w:r w:rsidRPr="009A27ED">
        <w:rPr>
          <w:rFonts w:ascii="Times New Roman" w:eastAsia="Times New Roman" w:hAnsi="Times New Roman"/>
          <w:sz w:val="24"/>
        </w:rPr>
        <w:t xml:space="preserve">Anexo </w:t>
      </w:r>
      <w:r w:rsidR="00E50973" w:rsidRPr="009A27ED">
        <w:rPr>
          <w:rFonts w:ascii="Times New Roman" w:eastAsia="Times New Roman" w:hAnsi="Times New Roman"/>
          <w:sz w:val="24"/>
        </w:rPr>
        <w:t>2</w:t>
      </w:r>
      <w:r w:rsidRPr="009A27ED">
        <w:rPr>
          <w:rFonts w:ascii="Times New Roman" w:eastAsia="Times New Roman" w:hAnsi="Times New Roman"/>
          <w:sz w:val="24"/>
        </w:rPr>
        <w:t xml:space="preserve">. Marco de </w:t>
      </w:r>
      <w:r w:rsidR="00C34635" w:rsidRPr="009A27ED">
        <w:rPr>
          <w:rFonts w:ascii="Times New Roman" w:eastAsia="Times New Roman" w:hAnsi="Times New Roman"/>
          <w:sz w:val="24"/>
        </w:rPr>
        <w:t>Políticas de R</w:t>
      </w:r>
      <w:r w:rsidRPr="009A27ED">
        <w:rPr>
          <w:rFonts w:ascii="Times New Roman" w:eastAsia="Times New Roman" w:hAnsi="Times New Roman"/>
          <w:sz w:val="24"/>
        </w:rPr>
        <w:t>easentamiento de acuerdo con el contexto de país y los requerimientos de la PO</w:t>
      </w:r>
      <w:r w:rsidR="008A0315" w:rsidRPr="009A27ED">
        <w:rPr>
          <w:rFonts w:ascii="Times New Roman" w:eastAsia="Times New Roman" w:hAnsi="Times New Roman"/>
          <w:sz w:val="24"/>
        </w:rPr>
        <w:t xml:space="preserve"> </w:t>
      </w:r>
      <w:r w:rsidRPr="009A27ED">
        <w:rPr>
          <w:rFonts w:ascii="Times New Roman" w:eastAsia="Times New Roman" w:hAnsi="Times New Roman"/>
          <w:sz w:val="24"/>
        </w:rPr>
        <w:t>4.12 del BM, incluyendo las normas de procedimiento</w:t>
      </w:r>
      <w:bookmarkEnd w:id="654"/>
      <w:bookmarkEnd w:id="655"/>
    </w:p>
    <w:p w14:paraId="4FD76692" w14:textId="77777777" w:rsidR="00405040" w:rsidRPr="009A27ED" w:rsidRDefault="00405040" w:rsidP="00AF2C41">
      <w:pPr>
        <w:pStyle w:val="Ttulo2"/>
        <w:numPr>
          <w:ilvl w:val="1"/>
          <w:numId w:val="123"/>
        </w:numPr>
        <w:spacing w:line="360" w:lineRule="auto"/>
        <w:jc w:val="both"/>
        <w:rPr>
          <w:sz w:val="22"/>
          <w:szCs w:val="22"/>
        </w:rPr>
      </w:pPr>
      <w:bookmarkStart w:id="656" w:name="_Toc530931965"/>
      <w:bookmarkStart w:id="657" w:name="_Toc530933114"/>
      <w:bookmarkStart w:id="658" w:name="_Toc532335886"/>
      <w:bookmarkStart w:id="659" w:name="_Toc533594041"/>
      <w:bookmarkStart w:id="660" w:name="_Toc111838017"/>
      <w:r w:rsidRPr="009A27ED">
        <w:rPr>
          <w:rFonts w:ascii="Times New Roman" w:eastAsia="Times New Roman" w:hAnsi="Times New Roman"/>
          <w:sz w:val="24"/>
          <w:szCs w:val="22"/>
        </w:rPr>
        <w:t>Introducción</w:t>
      </w:r>
      <w:bookmarkEnd w:id="656"/>
      <w:bookmarkEnd w:id="657"/>
      <w:bookmarkEnd w:id="658"/>
      <w:bookmarkEnd w:id="659"/>
      <w:bookmarkEnd w:id="660"/>
    </w:p>
    <w:p w14:paraId="1586CE0D" w14:textId="70E432BD" w:rsidR="00405040" w:rsidRPr="009A27ED" w:rsidRDefault="00405040" w:rsidP="00405040">
      <w:pPr>
        <w:spacing w:before="120" w:after="0" w:line="360" w:lineRule="auto"/>
        <w:rPr>
          <w:szCs w:val="22"/>
        </w:rPr>
      </w:pPr>
      <w:r w:rsidRPr="009A27ED">
        <w:rPr>
          <w:rFonts w:ascii="Times New Roman" w:eastAsia="Times New Roman" w:hAnsi="Times New Roman"/>
          <w:sz w:val="24"/>
          <w:szCs w:val="22"/>
        </w:rPr>
        <w:t>Como parte del proceso SESA de identificación y revisión de impactos y riesgos sociales, el Ministerio de Ambiente y Recursos Naturales y el Banco Mundial establecieron que como parte del MGAS, se debe preparar el presente Marco de Política de Reasentamiento (MPR)</w:t>
      </w:r>
      <w:r w:rsidR="004B3FBA" w:rsidRPr="009A27ED">
        <w:rPr>
          <w:rFonts w:ascii="Times New Roman" w:eastAsia="Times New Roman" w:hAnsi="Times New Roman"/>
          <w:sz w:val="24"/>
          <w:szCs w:val="22"/>
        </w:rPr>
        <w:t>.</w:t>
      </w:r>
    </w:p>
    <w:p w14:paraId="6F9B887C" w14:textId="47E2E525" w:rsidR="00405040" w:rsidRPr="009A27ED" w:rsidRDefault="00405040" w:rsidP="00405040">
      <w:pPr>
        <w:spacing w:before="120" w:after="0" w:line="360" w:lineRule="auto"/>
        <w:rPr>
          <w:szCs w:val="22"/>
        </w:rPr>
      </w:pPr>
      <w:r w:rsidRPr="009A27ED">
        <w:rPr>
          <w:rFonts w:ascii="Times New Roman" w:eastAsia="Times New Roman" w:hAnsi="Times New Roman"/>
          <w:sz w:val="24"/>
          <w:szCs w:val="22"/>
        </w:rPr>
        <w:t xml:space="preserve">En el momento de la implementación de las Opciones y Acciones REDD+, dicho marco servirá como instrumento para cumplir con la política de Reasentamiento Involuntario del Banco Mundial (OP 4.12). </w:t>
      </w:r>
    </w:p>
    <w:p w14:paraId="1A774AF0" w14:textId="667D9A79" w:rsidR="00750221" w:rsidRPr="009A27ED" w:rsidRDefault="00750221" w:rsidP="00750221">
      <w:pPr>
        <w:spacing w:before="120" w:after="0" w:line="360" w:lineRule="auto"/>
        <w:rPr>
          <w:szCs w:val="22"/>
          <w:lang w:val="es-GT"/>
        </w:rPr>
      </w:pPr>
      <w:r w:rsidRPr="009A27ED">
        <w:rPr>
          <w:rFonts w:ascii="Times New Roman" w:eastAsia="Times New Roman" w:hAnsi="Times New Roman"/>
          <w:sz w:val="24"/>
          <w:szCs w:val="22"/>
          <w:lang w:val="es-GT"/>
        </w:rPr>
        <w:t xml:space="preserve">El propósito de un marco de reasentamiento en línea con la OP 4.12 es aclarar los principios de reasentamiento, los arreglos organizativos y los criterios de diseño que se aplicarán a los subproyectos o componentes del proyecto que involucren situaciones de reasentamiento involuntario y/o afectación de tierras tal como las contenidas, durante la elaboración y ejecución de un proyecto. Una vez que </w:t>
      </w:r>
      <w:r w:rsidR="002435ED" w:rsidRPr="009A27ED">
        <w:rPr>
          <w:rFonts w:ascii="Times New Roman" w:eastAsia="Times New Roman" w:hAnsi="Times New Roman"/>
          <w:sz w:val="24"/>
          <w:szCs w:val="22"/>
          <w:lang w:val="es-GT"/>
        </w:rPr>
        <w:t xml:space="preserve">se decida el sitio especifico en que se realizarán las Actividades REDD+ que pudieren eventualmente incluir alguna afectación según el alcance </w:t>
      </w:r>
      <w:r w:rsidR="002435ED" w:rsidRPr="009A27ED">
        <w:rPr>
          <w:rFonts w:ascii="Times New Roman" w:eastAsia="Times New Roman" w:hAnsi="Times New Roman"/>
          <w:sz w:val="24"/>
          <w:szCs w:val="22"/>
          <w:lang w:val="es-GT"/>
        </w:rPr>
        <w:lastRenderedPageBreak/>
        <w:t xml:space="preserve">establecido en la OP 4.12, </w:t>
      </w:r>
      <w:r w:rsidRPr="009A27ED">
        <w:rPr>
          <w:rFonts w:ascii="Times New Roman" w:eastAsia="Times New Roman" w:hAnsi="Times New Roman"/>
          <w:sz w:val="24"/>
          <w:szCs w:val="22"/>
          <w:lang w:val="es-GT"/>
        </w:rPr>
        <w:t xml:space="preserve"> y la información necesaria esté disponible, se elaborará un Plan de Reasentamiento Involuntario específico proporcional a los posibles riesgos e impactos. Las actividades del proyecto que puedan causar desplazamiento físico o económico </w:t>
      </w:r>
      <w:r w:rsidR="00AD42AB" w:rsidRPr="009A27ED">
        <w:rPr>
          <w:rFonts w:ascii="Times New Roman" w:eastAsia="Times New Roman" w:hAnsi="Times New Roman"/>
          <w:sz w:val="24"/>
          <w:szCs w:val="22"/>
          <w:lang w:val="es-GT"/>
        </w:rPr>
        <w:t xml:space="preserve">– en caso de que </w:t>
      </w:r>
      <w:proofErr w:type="spellStart"/>
      <w:r w:rsidR="00AD42AB" w:rsidRPr="009A27ED">
        <w:rPr>
          <w:rFonts w:ascii="Times New Roman" w:eastAsia="Times New Roman" w:hAnsi="Times New Roman"/>
          <w:sz w:val="24"/>
          <w:szCs w:val="22"/>
          <w:lang w:val="es-GT"/>
        </w:rPr>
        <w:t>occurieran</w:t>
      </w:r>
      <w:proofErr w:type="spellEnd"/>
      <w:r w:rsidR="00AD42AB" w:rsidRPr="009A27ED">
        <w:rPr>
          <w:rFonts w:ascii="Times New Roman" w:eastAsia="Times New Roman" w:hAnsi="Times New Roman"/>
          <w:sz w:val="24"/>
          <w:szCs w:val="22"/>
          <w:lang w:val="es-GT"/>
        </w:rPr>
        <w:t xml:space="preserve"> - </w:t>
      </w:r>
      <w:r w:rsidRPr="009A27ED">
        <w:rPr>
          <w:rFonts w:ascii="Times New Roman" w:eastAsia="Times New Roman" w:hAnsi="Times New Roman"/>
          <w:sz w:val="24"/>
          <w:szCs w:val="22"/>
          <w:lang w:val="es-GT"/>
        </w:rPr>
        <w:t>no comenzarán hasta que los planes específicos se hayan elaborado y hayan sido aprobados por el Banco y por la población afectada.</w:t>
      </w:r>
    </w:p>
    <w:p w14:paraId="028156B2" w14:textId="77777777" w:rsidR="00750221" w:rsidRPr="009A27ED" w:rsidRDefault="00750221" w:rsidP="00750221">
      <w:pPr>
        <w:pStyle w:val="Sinespaciado"/>
        <w:spacing w:before="120" w:line="360" w:lineRule="auto"/>
      </w:pPr>
      <w:r w:rsidRPr="009A27ED">
        <w:rPr>
          <w:rFonts w:ascii="Times New Roman" w:eastAsia="Times New Roman" w:hAnsi="Times New Roman"/>
          <w:sz w:val="24"/>
        </w:rPr>
        <w:t>El término “Reasentamiento involuntario” se refiere a impactos que las actividades del Programa puedan ocasionar por desplazamiento físico (reubicación, pérdida de tierras o viviendas) y/o pérdida económica (pérdida de tierras, bienes o acceso a bienes que conduzcan a la pérdida de fuentes de ingresos u otros medios de subsistencia). Se considera involuntario cuando las personas o comunidades afectadas no tienen derecho a negarse a la adquisición de tierras ni a las restricciones sobre el uso de la tierra que genera desplazamiento. El reasentamiento involuntario debe evitarse debido a que afecta además las redes sociales, instituciones comunitarias, identidad cultural, autoridad tradicional y la posibilidad de ayuda mutua.</w:t>
      </w:r>
    </w:p>
    <w:p w14:paraId="0FC38E24" w14:textId="77777777" w:rsidR="00405040" w:rsidRPr="009A27ED" w:rsidRDefault="00405040" w:rsidP="00405040">
      <w:pPr>
        <w:autoSpaceDE w:val="0"/>
        <w:autoSpaceDN w:val="0"/>
        <w:adjustRightInd w:val="0"/>
        <w:spacing w:before="120" w:after="0" w:line="360" w:lineRule="auto"/>
        <w:rPr>
          <w:szCs w:val="22"/>
        </w:rPr>
      </w:pPr>
      <w:r w:rsidRPr="009A27ED">
        <w:rPr>
          <w:rFonts w:ascii="Times New Roman" w:eastAsia="Times New Roman" w:hAnsi="Times New Roman"/>
          <w:sz w:val="24"/>
          <w:szCs w:val="22"/>
        </w:rPr>
        <w:t xml:space="preserve">Durante los talleres regionales SESA, se identificó en dos ocasiones el reasentamiento como potencial impacto negativo de la implementación de las opciones estratégicas: i) ‘Fortalecer el marco legal, de cumplimiento e institucional para la conservación del patrimonio natural y el uso sostenible de los recursos naturales’ y </w:t>
      </w:r>
      <w:proofErr w:type="spellStart"/>
      <w:r w:rsidRPr="009A27ED">
        <w:rPr>
          <w:rFonts w:ascii="Times New Roman" w:eastAsia="Times New Roman" w:hAnsi="Times New Roman"/>
          <w:sz w:val="24"/>
          <w:szCs w:val="22"/>
        </w:rPr>
        <w:t>ii</w:t>
      </w:r>
      <w:proofErr w:type="spellEnd"/>
      <w:r w:rsidRPr="009A27ED">
        <w:rPr>
          <w:rFonts w:ascii="Times New Roman" w:eastAsia="Times New Roman" w:hAnsi="Times New Roman"/>
          <w:sz w:val="24"/>
          <w:szCs w:val="22"/>
        </w:rPr>
        <w:t xml:space="preserve">) </w:t>
      </w:r>
      <w:r w:rsidRPr="009A27ED">
        <w:rPr>
          <w:rFonts w:ascii="Times New Roman" w:eastAsia="Times New Roman" w:hAnsi="Times New Roman"/>
          <w:bCs/>
          <w:sz w:val="24"/>
          <w:szCs w:val="22"/>
        </w:rPr>
        <w:t>‘Promover modelos de gestión de recursos naturales que contribuyan a la conservación y uso sostenible de los bosques y el aumento de la cobertura boscosa’.</w:t>
      </w:r>
    </w:p>
    <w:p w14:paraId="5C30A197" w14:textId="77777777" w:rsidR="00405040" w:rsidRPr="009A27ED" w:rsidRDefault="00405040" w:rsidP="00D42802">
      <w:pPr>
        <w:pStyle w:val="Prrafodelista"/>
        <w:numPr>
          <w:ilvl w:val="0"/>
          <w:numId w:val="71"/>
        </w:numPr>
        <w:autoSpaceDE w:val="0"/>
        <w:autoSpaceDN w:val="0"/>
        <w:adjustRightInd w:val="0"/>
        <w:spacing w:before="120" w:after="0" w:line="360" w:lineRule="auto"/>
        <w:rPr>
          <w:szCs w:val="22"/>
          <w:lang w:val="es-ES"/>
        </w:rPr>
      </w:pPr>
      <w:r w:rsidRPr="009A27ED">
        <w:rPr>
          <w:rFonts w:ascii="Times New Roman" w:eastAsia="Times New Roman" w:hAnsi="Times New Roman"/>
          <w:sz w:val="24"/>
          <w:szCs w:val="22"/>
          <w:lang w:val="es-ES"/>
        </w:rPr>
        <w:t>En el taller regional SESA en Nagua se identificó como potencial impacto negativo: ‘Acción</w:t>
      </w:r>
      <w:r w:rsidRPr="009A27ED">
        <w:rPr>
          <w:rFonts w:ascii="Times New Roman" w:eastAsia="Times New Roman" w:hAnsi="Times New Roman"/>
          <w:spacing w:val="-26"/>
          <w:sz w:val="24"/>
          <w:szCs w:val="22"/>
          <w:lang w:val="es-ES"/>
        </w:rPr>
        <w:t xml:space="preserve"> </w:t>
      </w:r>
      <w:r w:rsidRPr="009A27ED">
        <w:rPr>
          <w:rFonts w:ascii="Times New Roman" w:eastAsia="Times New Roman" w:hAnsi="Times New Roman"/>
          <w:sz w:val="24"/>
          <w:szCs w:val="22"/>
          <w:lang w:val="es-ES"/>
        </w:rPr>
        <w:t>de</w:t>
      </w:r>
      <w:r w:rsidRPr="009A27ED">
        <w:rPr>
          <w:rFonts w:ascii="Times New Roman" w:eastAsia="Times New Roman" w:hAnsi="Times New Roman"/>
          <w:spacing w:val="-27"/>
          <w:sz w:val="24"/>
          <w:szCs w:val="22"/>
          <w:lang w:val="es-ES"/>
        </w:rPr>
        <w:t xml:space="preserve"> </w:t>
      </w:r>
      <w:r w:rsidRPr="009A27ED">
        <w:rPr>
          <w:rFonts w:ascii="Times New Roman" w:eastAsia="Times New Roman" w:hAnsi="Times New Roman"/>
          <w:sz w:val="24"/>
          <w:szCs w:val="22"/>
          <w:lang w:val="es-ES"/>
        </w:rPr>
        <w:t>movilidad</w:t>
      </w:r>
      <w:r w:rsidRPr="009A27ED">
        <w:rPr>
          <w:rFonts w:ascii="Times New Roman" w:eastAsia="Times New Roman" w:hAnsi="Times New Roman"/>
          <w:spacing w:val="-27"/>
          <w:sz w:val="24"/>
          <w:szCs w:val="22"/>
          <w:lang w:val="es-ES"/>
        </w:rPr>
        <w:t xml:space="preserve"> </w:t>
      </w:r>
      <w:r w:rsidRPr="009A27ED">
        <w:rPr>
          <w:rFonts w:ascii="Times New Roman" w:eastAsia="Times New Roman" w:hAnsi="Times New Roman"/>
          <w:sz w:val="24"/>
          <w:szCs w:val="22"/>
          <w:lang w:val="es-ES"/>
        </w:rPr>
        <w:t>forzosa</w:t>
      </w:r>
      <w:r w:rsidRPr="009A27ED">
        <w:rPr>
          <w:rFonts w:ascii="Times New Roman" w:eastAsia="Times New Roman" w:hAnsi="Times New Roman"/>
          <w:spacing w:val="-27"/>
          <w:sz w:val="24"/>
          <w:szCs w:val="22"/>
          <w:lang w:val="es-ES"/>
        </w:rPr>
        <w:t xml:space="preserve"> </w:t>
      </w:r>
      <w:r w:rsidRPr="009A27ED">
        <w:rPr>
          <w:rFonts w:ascii="Times New Roman" w:eastAsia="Times New Roman" w:hAnsi="Times New Roman"/>
          <w:sz w:val="24"/>
          <w:szCs w:val="22"/>
          <w:lang w:val="es-ES"/>
        </w:rPr>
        <w:t xml:space="preserve">a </w:t>
      </w:r>
      <w:r w:rsidRPr="009A27ED">
        <w:rPr>
          <w:rFonts w:ascii="Times New Roman" w:eastAsia="Times New Roman" w:hAnsi="Times New Roman"/>
          <w:w w:val="95"/>
          <w:sz w:val="24"/>
          <w:szCs w:val="22"/>
          <w:lang w:val="es-ES"/>
        </w:rPr>
        <w:t>la</w:t>
      </w:r>
      <w:r w:rsidRPr="009A27ED">
        <w:rPr>
          <w:rFonts w:ascii="Times New Roman" w:eastAsia="Times New Roman" w:hAnsi="Times New Roman"/>
          <w:spacing w:val="-20"/>
          <w:w w:val="95"/>
          <w:sz w:val="24"/>
          <w:szCs w:val="22"/>
          <w:lang w:val="es-ES"/>
        </w:rPr>
        <w:t xml:space="preserve"> </w:t>
      </w:r>
      <w:r w:rsidRPr="009A27ED">
        <w:rPr>
          <w:rFonts w:ascii="Times New Roman" w:eastAsia="Times New Roman" w:hAnsi="Times New Roman"/>
          <w:w w:val="95"/>
          <w:sz w:val="24"/>
          <w:szCs w:val="22"/>
          <w:lang w:val="es-ES"/>
        </w:rPr>
        <w:t>población</w:t>
      </w:r>
      <w:r w:rsidRPr="009A27ED">
        <w:rPr>
          <w:rFonts w:ascii="Times New Roman" w:eastAsia="Times New Roman" w:hAnsi="Times New Roman"/>
          <w:spacing w:val="-21"/>
          <w:w w:val="95"/>
          <w:sz w:val="24"/>
          <w:szCs w:val="22"/>
          <w:lang w:val="es-ES"/>
        </w:rPr>
        <w:t xml:space="preserve"> </w:t>
      </w:r>
      <w:r w:rsidRPr="009A27ED">
        <w:rPr>
          <w:rFonts w:ascii="Times New Roman" w:eastAsia="Times New Roman" w:hAnsi="Times New Roman"/>
          <w:w w:val="95"/>
          <w:sz w:val="24"/>
          <w:szCs w:val="22"/>
          <w:lang w:val="es-ES"/>
        </w:rPr>
        <w:t>al</w:t>
      </w:r>
      <w:r w:rsidRPr="009A27ED">
        <w:rPr>
          <w:rFonts w:ascii="Times New Roman" w:eastAsia="Times New Roman" w:hAnsi="Times New Roman"/>
          <w:spacing w:val="-17"/>
          <w:w w:val="95"/>
          <w:sz w:val="24"/>
          <w:szCs w:val="22"/>
          <w:lang w:val="es-ES"/>
        </w:rPr>
        <w:t xml:space="preserve"> </w:t>
      </w:r>
      <w:r w:rsidRPr="009A27ED">
        <w:rPr>
          <w:rFonts w:ascii="Times New Roman" w:eastAsia="Times New Roman" w:hAnsi="Times New Roman"/>
          <w:w w:val="95"/>
          <w:sz w:val="24"/>
          <w:szCs w:val="22"/>
          <w:lang w:val="es-ES"/>
        </w:rPr>
        <w:t>declarar</w:t>
      </w:r>
      <w:r w:rsidRPr="009A27ED">
        <w:rPr>
          <w:rFonts w:ascii="Times New Roman" w:eastAsia="Times New Roman" w:hAnsi="Times New Roman"/>
          <w:spacing w:val="-18"/>
          <w:w w:val="95"/>
          <w:sz w:val="24"/>
          <w:szCs w:val="22"/>
          <w:lang w:val="es-ES"/>
        </w:rPr>
        <w:t xml:space="preserve"> </w:t>
      </w:r>
      <w:r w:rsidRPr="009A27ED">
        <w:rPr>
          <w:rFonts w:ascii="Times New Roman" w:eastAsia="Times New Roman" w:hAnsi="Times New Roman"/>
          <w:w w:val="95"/>
          <w:sz w:val="24"/>
          <w:szCs w:val="22"/>
          <w:lang w:val="es-ES"/>
        </w:rPr>
        <w:t xml:space="preserve">áreas </w:t>
      </w:r>
      <w:r w:rsidRPr="009A27ED">
        <w:rPr>
          <w:rFonts w:ascii="Times New Roman" w:eastAsia="Times New Roman" w:hAnsi="Times New Roman"/>
          <w:sz w:val="24"/>
          <w:szCs w:val="22"/>
          <w:lang w:val="es-ES"/>
        </w:rPr>
        <w:t>protegidas.</w:t>
      </w:r>
    </w:p>
    <w:p w14:paraId="50B405A1" w14:textId="77777777" w:rsidR="00405040" w:rsidRPr="009A27ED" w:rsidRDefault="00405040" w:rsidP="00D42802">
      <w:pPr>
        <w:pStyle w:val="Prrafodelista"/>
        <w:numPr>
          <w:ilvl w:val="0"/>
          <w:numId w:val="71"/>
        </w:numPr>
        <w:autoSpaceDE w:val="0"/>
        <w:autoSpaceDN w:val="0"/>
        <w:adjustRightInd w:val="0"/>
        <w:spacing w:before="120" w:after="0" w:line="360" w:lineRule="auto"/>
        <w:rPr>
          <w:szCs w:val="22"/>
          <w:lang w:val="es-ES"/>
        </w:rPr>
      </w:pPr>
      <w:r w:rsidRPr="009A27ED">
        <w:rPr>
          <w:rFonts w:ascii="Times New Roman" w:eastAsia="Times New Roman" w:hAnsi="Times New Roman"/>
          <w:sz w:val="24"/>
          <w:szCs w:val="22"/>
          <w:lang w:val="es-ES"/>
        </w:rPr>
        <w:t xml:space="preserve">En el Taller regional SESA en Santo Domingo se identificó como potencial impacto negativo: </w:t>
      </w:r>
      <w:r w:rsidRPr="009A27ED">
        <w:rPr>
          <w:rFonts w:ascii="Times New Roman" w:eastAsia="Times New Roman" w:hAnsi="Times New Roman"/>
          <w:w w:val="95"/>
          <w:sz w:val="24"/>
          <w:szCs w:val="22"/>
          <w:lang w:val="es-ES"/>
        </w:rPr>
        <w:t>Desplazamiento involuntario de comunidades</w:t>
      </w:r>
      <w:r w:rsidRPr="009A27ED">
        <w:rPr>
          <w:rFonts w:ascii="Times New Roman" w:eastAsia="Times New Roman" w:hAnsi="Times New Roman"/>
          <w:spacing w:val="-19"/>
          <w:w w:val="95"/>
          <w:sz w:val="24"/>
          <w:szCs w:val="22"/>
          <w:lang w:val="es-ES"/>
        </w:rPr>
        <w:t xml:space="preserve"> </w:t>
      </w:r>
      <w:r w:rsidRPr="009A27ED">
        <w:rPr>
          <w:rFonts w:ascii="Times New Roman" w:eastAsia="Times New Roman" w:hAnsi="Times New Roman"/>
          <w:w w:val="95"/>
          <w:sz w:val="24"/>
          <w:szCs w:val="22"/>
          <w:lang w:val="es-ES"/>
        </w:rPr>
        <w:t>por</w:t>
      </w:r>
      <w:r w:rsidRPr="009A27ED">
        <w:rPr>
          <w:rFonts w:ascii="Times New Roman" w:eastAsia="Times New Roman" w:hAnsi="Times New Roman"/>
          <w:spacing w:val="-21"/>
          <w:w w:val="95"/>
          <w:sz w:val="24"/>
          <w:szCs w:val="22"/>
          <w:lang w:val="es-ES"/>
        </w:rPr>
        <w:t xml:space="preserve"> </w:t>
      </w:r>
      <w:r w:rsidRPr="009A27ED">
        <w:rPr>
          <w:rFonts w:ascii="Times New Roman" w:eastAsia="Times New Roman" w:hAnsi="Times New Roman"/>
          <w:w w:val="95"/>
          <w:sz w:val="24"/>
          <w:szCs w:val="22"/>
          <w:lang w:val="es-ES"/>
        </w:rPr>
        <w:t>la</w:t>
      </w:r>
      <w:r w:rsidRPr="009A27ED">
        <w:rPr>
          <w:rFonts w:ascii="Times New Roman" w:eastAsia="Times New Roman" w:hAnsi="Times New Roman"/>
          <w:spacing w:val="-18"/>
          <w:w w:val="95"/>
          <w:sz w:val="24"/>
          <w:szCs w:val="22"/>
          <w:lang w:val="es-ES"/>
        </w:rPr>
        <w:t xml:space="preserve"> </w:t>
      </w:r>
      <w:r w:rsidRPr="009A27ED">
        <w:rPr>
          <w:rFonts w:ascii="Times New Roman" w:eastAsia="Times New Roman" w:hAnsi="Times New Roman"/>
          <w:w w:val="95"/>
          <w:sz w:val="24"/>
          <w:szCs w:val="22"/>
          <w:lang w:val="es-ES"/>
        </w:rPr>
        <w:t>creación</w:t>
      </w:r>
      <w:r w:rsidRPr="009A27ED">
        <w:rPr>
          <w:rFonts w:ascii="Times New Roman" w:eastAsia="Times New Roman" w:hAnsi="Times New Roman"/>
          <w:spacing w:val="-20"/>
          <w:w w:val="95"/>
          <w:sz w:val="24"/>
          <w:szCs w:val="22"/>
          <w:lang w:val="es-ES"/>
        </w:rPr>
        <w:t xml:space="preserve"> </w:t>
      </w:r>
      <w:r w:rsidRPr="009A27ED">
        <w:rPr>
          <w:rFonts w:ascii="Times New Roman" w:eastAsia="Times New Roman" w:hAnsi="Times New Roman"/>
          <w:w w:val="95"/>
          <w:sz w:val="24"/>
          <w:szCs w:val="22"/>
          <w:lang w:val="es-ES"/>
        </w:rPr>
        <w:t>de áreas</w:t>
      </w:r>
      <w:r w:rsidRPr="009A27ED">
        <w:rPr>
          <w:rFonts w:ascii="Times New Roman" w:eastAsia="Times New Roman" w:hAnsi="Times New Roman"/>
          <w:spacing w:val="-24"/>
          <w:w w:val="95"/>
          <w:sz w:val="24"/>
          <w:szCs w:val="22"/>
          <w:lang w:val="es-ES"/>
        </w:rPr>
        <w:t xml:space="preserve"> </w:t>
      </w:r>
      <w:r w:rsidRPr="009A27ED">
        <w:rPr>
          <w:rFonts w:ascii="Times New Roman" w:eastAsia="Times New Roman" w:hAnsi="Times New Roman"/>
          <w:w w:val="95"/>
          <w:sz w:val="24"/>
          <w:szCs w:val="22"/>
          <w:lang w:val="es-ES"/>
        </w:rPr>
        <w:t>protegidas</w:t>
      </w:r>
      <w:r w:rsidRPr="009A27ED">
        <w:rPr>
          <w:rFonts w:ascii="Times New Roman" w:eastAsia="Times New Roman" w:hAnsi="Times New Roman"/>
          <w:spacing w:val="-19"/>
          <w:w w:val="95"/>
          <w:sz w:val="24"/>
          <w:szCs w:val="22"/>
          <w:lang w:val="es-ES"/>
        </w:rPr>
        <w:t xml:space="preserve"> </w:t>
      </w:r>
      <w:r w:rsidRPr="009A27ED">
        <w:rPr>
          <w:rFonts w:ascii="Times New Roman" w:eastAsia="Times New Roman" w:hAnsi="Times New Roman"/>
          <w:w w:val="95"/>
          <w:sz w:val="24"/>
          <w:szCs w:val="22"/>
          <w:lang w:val="es-ES"/>
        </w:rPr>
        <w:t>y</w:t>
      </w:r>
      <w:r w:rsidRPr="009A27ED">
        <w:rPr>
          <w:rFonts w:ascii="Times New Roman" w:eastAsia="Times New Roman" w:hAnsi="Times New Roman"/>
          <w:spacing w:val="-23"/>
          <w:w w:val="95"/>
          <w:sz w:val="24"/>
          <w:szCs w:val="22"/>
          <w:lang w:val="es-ES"/>
        </w:rPr>
        <w:t xml:space="preserve"> </w:t>
      </w:r>
      <w:r w:rsidRPr="009A27ED">
        <w:rPr>
          <w:rFonts w:ascii="Times New Roman" w:eastAsia="Times New Roman" w:hAnsi="Times New Roman"/>
          <w:w w:val="95"/>
          <w:sz w:val="24"/>
          <w:szCs w:val="22"/>
          <w:lang w:val="es-ES"/>
        </w:rPr>
        <w:t>cambio</w:t>
      </w:r>
      <w:r w:rsidRPr="009A27ED">
        <w:rPr>
          <w:rFonts w:ascii="Times New Roman" w:eastAsia="Times New Roman" w:hAnsi="Times New Roman"/>
          <w:spacing w:val="-21"/>
          <w:w w:val="95"/>
          <w:sz w:val="24"/>
          <w:szCs w:val="22"/>
          <w:lang w:val="es-ES"/>
        </w:rPr>
        <w:t xml:space="preserve"> </w:t>
      </w:r>
      <w:r w:rsidRPr="009A27ED">
        <w:rPr>
          <w:rFonts w:ascii="Times New Roman" w:eastAsia="Times New Roman" w:hAnsi="Times New Roman"/>
          <w:w w:val="95"/>
          <w:sz w:val="24"/>
          <w:szCs w:val="22"/>
          <w:lang w:val="es-ES"/>
        </w:rPr>
        <w:t>de</w:t>
      </w:r>
      <w:r w:rsidRPr="009A27ED">
        <w:rPr>
          <w:rFonts w:ascii="Times New Roman" w:eastAsia="Times New Roman" w:hAnsi="Times New Roman"/>
          <w:spacing w:val="-21"/>
          <w:w w:val="95"/>
          <w:sz w:val="24"/>
          <w:szCs w:val="22"/>
          <w:lang w:val="es-ES"/>
        </w:rPr>
        <w:t xml:space="preserve"> </w:t>
      </w:r>
      <w:r w:rsidRPr="009A27ED">
        <w:rPr>
          <w:rFonts w:ascii="Times New Roman" w:eastAsia="Times New Roman" w:hAnsi="Times New Roman"/>
          <w:w w:val="95"/>
          <w:sz w:val="24"/>
          <w:szCs w:val="22"/>
          <w:lang w:val="es-ES"/>
        </w:rPr>
        <w:t xml:space="preserve">uso </w:t>
      </w:r>
      <w:r w:rsidRPr="009A27ED">
        <w:rPr>
          <w:rFonts w:ascii="Times New Roman" w:eastAsia="Times New Roman" w:hAnsi="Times New Roman"/>
          <w:sz w:val="24"/>
          <w:szCs w:val="22"/>
          <w:lang w:val="es-ES"/>
        </w:rPr>
        <w:t xml:space="preserve">del </w:t>
      </w:r>
      <w:r w:rsidRPr="009A27ED">
        <w:rPr>
          <w:rFonts w:ascii="Times New Roman" w:eastAsia="Times New Roman" w:hAnsi="Times New Roman"/>
          <w:spacing w:val="-31"/>
          <w:sz w:val="24"/>
          <w:szCs w:val="22"/>
          <w:lang w:val="es-ES"/>
        </w:rPr>
        <w:t xml:space="preserve">  </w:t>
      </w:r>
      <w:r w:rsidRPr="009A27ED">
        <w:rPr>
          <w:rFonts w:ascii="Times New Roman" w:eastAsia="Times New Roman" w:hAnsi="Times New Roman"/>
          <w:sz w:val="24"/>
          <w:szCs w:val="22"/>
          <w:lang w:val="es-ES"/>
        </w:rPr>
        <w:t>suelo.</w:t>
      </w:r>
    </w:p>
    <w:p w14:paraId="2548E149" w14:textId="77777777" w:rsidR="00405040" w:rsidRPr="009A27ED" w:rsidRDefault="00405040" w:rsidP="00405040">
      <w:pPr>
        <w:pStyle w:val="Prrafodelista"/>
        <w:spacing w:before="120" w:after="0" w:line="360" w:lineRule="auto"/>
        <w:rPr>
          <w:szCs w:val="22"/>
        </w:rPr>
      </w:pPr>
      <w:r w:rsidRPr="009A27ED">
        <w:rPr>
          <w:rFonts w:ascii="Times New Roman" w:eastAsia="Times New Roman" w:hAnsi="Times New Roman"/>
          <w:sz w:val="24"/>
          <w:szCs w:val="22"/>
        </w:rPr>
        <w:t>En el taller Nacional SESA los participantes priorizaron el impacto potencial de ‘desplazamiento involuntario de comunidades por la creación de áreas protegidas y cambio de uso del suelo.’</w:t>
      </w:r>
    </w:p>
    <w:p w14:paraId="77F7614B" w14:textId="7FED3F73" w:rsidR="00405040" w:rsidRPr="009A27ED" w:rsidRDefault="00405040" w:rsidP="00405040">
      <w:pPr>
        <w:autoSpaceDE w:val="0"/>
        <w:autoSpaceDN w:val="0"/>
        <w:adjustRightInd w:val="0"/>
        <w:spacing w:before="120" w:after="0" w:line="360" w:lineRule="auto"/>
        <w:rPr>
          <w:szCs w:val="22"/>
        </w:rPr>
      </w:pPr>
      <w:r w:rsidRPr="009A27ED">
        <w:rPr>
          <w:rFonts w:ascii="Times New Roman" w:eastAsia="Times New Roman" w:hAnsi="Times New Roman"/>
          <w:sz w:val="24"/>
          <w:szCs w:val="22"/>
        </w:rPr>
        <w:lastRenderedPageBreak/>
        <w:t>El análisis de los potenciales impactos vinculados a reasentamiento involuntario, toman como insumo el resultado del proceso participativo antes mencionado y también el análisis técnico.</w:t>
      </w:r>
    </w:p>
    <w:p w14:paraId="4BA81278" w14:textId="77777777" w:rsidR="002F3B45" w:rsidRPr="009A27ED" w:rsidRDefault="002F3B45" w:rsidP="00405040">
      <w:pPr>
        <w:autoSpaceDE w:val="0"/>
        <w:autoSpaceDN w:val="0"/>
        <w:adjustRightInd w:val="0"/>
        <w:spacing w:before="120" w:after="0" w:line="360" w:lineRule="auto"/>
        <w:rPr>
          <w:szCs w:val="22"/>
        </w:rPr>
      </w:pPr>
    </w:p>
    <w:p w14:paraId="1898B025" w14:textId="3D5AF3DD" w:rsidR="002F3B45" w:rsidRPr="009A27ED" w:rsidRDefault="002F3B45" w:rsidP="002F3B45">
      <w:pPr>
        <w:spacing w:line="360" w:lineRule="auto"/>
        <w:rPr>
          <w:rFonts w:cs="Calibri"/>
          <w:szCs w:val="22"/>
          <w:lang w:val="es-GT"/>
        </w:rPr>
      </w:pPr>
      <w:r w:rsidRPr="009A27ED">
        <w:rPr>
          <w:rFonts w:ascii="Times New Roman" w:eastAsia="Times New Roman" w:hAnsi="Times New Roman"/>
          <w:sz w:val="24"/>
          <w:szCs w:val="22"/>
          <w:lang w:val="es-GT"/>
        </w:rPr>
        <w:t xml:space="preserve">Cabe destacar, que no se espera que acciones del </w:t>
      </w:r>
      <w:r w:rsidR="00124B63" w:rsidRPr="009A27ED">
        <w:rPr>
          <w:rFonts w:ascii="Times New Roman" w:eastAsia="Times New Roman" w:hAnsi="Times New Roman"/>
          <w:sz w:val="24"/>
          <w:szCs w:val="22"/>
          <w:lang w:val="es-GT"/>
        </w:rPr>
        <w:t>Programa REDD+</w:t>
      </w:r>
      <w:r w:rsidR="003D434A" w:rsidRPr="009A27ED">
        <w:rPr>
          <w:rFonts w:ascii="Times New Roman" w:eastAsia="Times New Roman" w:hAnsi="Times New Roman"/>
          <w:sz w:val="24"/>
          <w:szCs w:val="22"/>
          <w:lang w:val="es-GT"/>
        </w:rPr>
        <w:t>+</w:t>
      </w:r>
      <w:r w:rsidRPr="009A27ED">
        <w:rPr>
          <w:rFonts w:ascii="Times New Roman" w:eastAsia="Times New Roman" w:hAnsi="Times New Roman"/>
          <w:sz w:val="24"/>
          <w:szCs w:val="22"/>
          <w:lang w:val="es-GT"/>
        </w:rPr>
        <w:t xml:space="preserve"> generen desplazamientos de personas, expropiaciones o desplazamiento físico o económico. En el caso improbable de que se generasen este tipo de afectaciones, restricciones al acceso al uso de los recursos en áreas protegidas por ley o pérdidas económicas por pequeñas obras o actividades y otros que se identificarían eventualmente durante la implementación del </w:t>
      </w:r>
      <w:r w:rsidR="00124B63" w:rsidRPr="009A27ED">
        <w:rPr>
          <w:rFonts w:ascii="Times New Roman" w:eastAsia="Times New Roman" w:hAnsi="Times New Roman"/>
          <w:sz w:val="24"/>
          <w:szCs w:val="22"/>
          <w:lang w:val="es-GT"/>
        </w:rPr>
        <w:t>Programa REDD+</w:t>
      </w:r>
      <w:r w:rsidR="003B7B40" w:rsidRPr="009A27ED">
        <w:rPr>
          <w:rFonts w:ascii="Times New Roman" w:eastAsia="Times New Roman" w:hAnsi="Times New Roman"/>
          <w:sz w:val="24"/>
          <w:szCs w:val="22"/>
          <w:lang w:val="es-GT"/>
        </w:rPr>
        <w:t>+</w:t>
      </w:r>
      <w:r w:rsidRPr="009A27ED">
        <w:rPr>
          <w:rFonts w:ascii="Times New Roman" w:eastAsia="Times New Roman" w:hAnsi="Times New Roman"/>
          <w:sz w:val="24"/>
          <w:szCs w:val="22"/>
          <w:lang w:val="es-GT"/>
        </w:rPr>
        <w:t>, se aplicar</w:t>
      </w:r>
      <w:r w:rsidR="00845D81" w:rsidRPr="009A27ED">
        <w:rPr>
          <w:rFonts w:ascii="Times New Roman" w:eastAsia="Times New Roman" w:hAnsi="Times New Roman"/>
          <w:sz w:val="24"/>
          <w:szCs w:val="22"/>
          <w:lang w:val="es-GT"/>
        </w:rPr>
        <w:t>á</w:t>
      </w:r>
      <w:r w:rsidRPr="009A27ED">
        <w:rPr>
          <w:rFonts w:ascii="Times New Roman" w:eastAsia="Times New Roman" w:hAnsi="Times New Roman"/>
          <w:sz w:val="24"/>
          <w:szCs w:val="22"/>
          <w:lang w:val="es-GT"/>
        </w:rPr>
        <w:t xml:space="preserve">n los principios y procedimientos descritos en </w:t>
      </w:r>
      <w:r w:rsidR="00765BA2" w:rsidRPr="009A27ED">
        <w:rPr>
          <w:rFonts w:ascii="Times New Roman" w:eastAsia="Times New Roman" w:hAnsi="Times New Roman"/>
          <w:sz w:val="24"/>
          <w:szCs w:val="22"/>
          <w:lang w:val="es-GT"/>
        </w:rPr>
        <w:t>el MPRI</w:t>
      </w:r>
      <w:r w:rsidR="003B7B40" w:rsidRPr="009A27ED">
        <w:rPr>
          <w:rFonts w:ascii="Times New Roman" w:eastAsia="Times New Roman" w:hAnsi="Times New Roman"/>
          <w:sz w:val="24"/>
          <w:szCs w:val="22"/>
          <w:lang w:val="es-GT"/>
        </w:rPr>
        <w:t xml:space="preserve"> </w:t>
      </w:r>
      <w:r w:rsidRPr="009A27ED">
        <w:rPr>
          <w:rFonts w:ascii="Times New Roman" w:eastAsia="Times New Roman" w:hAnsi="Times New Roman"/>
          <w:sz w:val="24"/>
          <w:szCs w:val="22"/>
          <w:lang w:val="es-GT"/>
        </w:rPr>
        <w:t>y el MP (que son anexos al MGAS).</w:t>
      </w:r>
    </w:p>
    <w:p w14:paraId="685C67CA" w14:textId="21AF443F" w:rsidR="00405040" w:rsidRPr="009A27ED" w:rsidRDefault="00405040" w:rsidP="00405040">
      <w:pPr>
        <w:autoSpaceDE w:val="0"/>
        <w:autoSpaceDN w:val="0"/>
        <w:adjustRightInd w:val="0"/>
        <w:spacing w:before="120" w:after="0" w:line="360" w:lineRule="auto"/>
        <w:rPr>
          <w:szCs w:val="22"/>
        </w:rPr>
      </w:pPr>
      <w:r w:rsidRPr="009A27ED">
        <w:rPr>
          <w:rFonts w:ascii="Times New Roman" w:eastAsia="Times New Roman" w:hAnsi="Times New Roman"/>
          <w:sz w:val="24"/>
          <w:szCs w:val="22"/>
        </w:rPr>
        <w:t xml:space="preserve">El presente documento incluye el Marco de Políticas de Reasentamiento Involuntario (MPRI) para la etapa de implementación de la Estrategia Nacional REDD+ y el </w:t>
      </w:r>
      <w:r w:rsidR="00124B63" w:rsidRPr="009A27ED">
        <w:rPr>
          <w:rFonts w:ascii="Times New Roman" w:eastAsia="Times New Roman" w:hAnsi="Times New Roman"/>
          <w:sz w:val="24"/>
          <w:szCs w:val="22"/>
        </w:rPr>
        <w:t>Programa REDD+</w:t>
      </w:r>
      <w:r w:rsidR="005F4493" w:rsidRPr="009A27ED">
        <w:rPr>
          <w:rFonts w:ascii="Times New Roman" w:eastAsia="Times New Roman" w:hAnsi="Times New Roman"/>
          <w:sz w:val="24"/>
          <w:szCs w:val="22"/>
        </w:rPr>
        <w:t xml:space="preserve">+ </w:t>
      </w:r>
      <w:r w:rsidRPr="009A27ED">
        <w:rPr>
          <w:rFonts w:ascii="Times New Roman" w:eastAsia="Times New Roman" w:hAnsi="Times New Roman"/>
          <w:sz w:val="24"/>
          <w:szCs w:val="22"/>
        </w:rPr>
        <w:t>de</w:t>
      </w:r>
      <w:r w:rsidR="005A6DCB" w:rsidRPr="009A27ED">
        <w:rPr>
          <w:rFonts w:ascii="Times New Roman" w:eastAsia="Times New Roman" w:hAnsi="Times New Roman"/>
          <w:sz w:val="24"/>
          <w:szCs w:val="22"/>
        </w:rPr>
        <w:t xml:space="preserve"> la</w:t>
      </w:r>
      <w:r w:rsidRPr="009A27ED">
        <w:rPr>
          <w:rFonts w:ascii="Times New Roman" w:eastAsia="Times New Roman" w:hAnsi="Times New Roman"/>
          <w:sz w:val="24"/>
          <w:szCs w:val="22"/>
        </w:rPr>
        <w:t xml:space="preserve"> República Dominicana, cuyo fin es establecer los lineamientos y procedimientos que guían las medidas a tomar en caso de que sea necesario afrontar potenciales impactos asociados con el reasentamiento involuntario, ya sea de forma total o parcial, en el marco de la implementación de las acciones REDD+, y, por consiguiente, elaborar la evaluación preliminar para el análisis de reasentamiento involuntario que pudiera implicar la preparación de: i) Plan de Reasentamiento Involuntario (PRI); </w:t>
      </w:r>
      <w:proofErr w:type="spellStart"/>
      <w:r w:rsidRPr="009A27ED">
        <w:rPr>
          <w:rFonts w:ascii="Times New Roman" w:eastAsia="Times New Roman" w:hAnsi="Times New Roman"/>
          <w:sz w:val="24"/>
          <w:szCs w:val="22"/>
        </w:rPr>
        <w:t>ii</w:t>
      </w:r>
      <w:proofErr w:type="spellEnd"/>
      <w:r w:rsidRPr="009A27ED">
        <w:rPr>
          <w:rFonts w:ascii="Times New Roman" w:eastAsia="Times New Roman" w:hAnsi="Times New Roman"/>
          <w:sz w:val="24"/>
          <w:szCs w:val="22"/>
        </w:rPr>
        <w:t xml:space="preserve">) Plan de Reasentamiento Involuntario Abreviado (PRIA) y/o </w:t>
      </w:r>
      <w:proofErr w:type="spellStart"/>
      <w:r w:rsidRPr="009A27ED">
        <w:rPr>
          <w:rFonts w:ascii="Times New Roman" w:eastAsia="Times New Roman" w:hAnsi="Times New Roman"/>
          <w:sz w:val="24"/>
          <w:szCs w:val="22"/>
        </w:rPr>
        <w:t>iii</w:t>
      </w:r>
      <w:proofErr w:type="spellEnd"/>
      <w:r w:rsidRPr="009A27ED">
        <w:rPr>
          <w:rFonts w:ascii="Times New Roman" w:eastAsia="Times New Roman" w:hAnsi="Times New Roman"/>
          <w:sz w:val="24"/>
          <w:szCs w:val="22"/>
        </w:rPr>
        <w:t>) Plan de Acción según las Normas de Procedimiento.</w:t>
      </w:r>
    </w:p>
    <w:p w14:paraId="3C069FCD" w14:textId="77777777" w:rsidR="00405040" w:rsidRPr="009A27ED" w:rsidRDefault="00405040" w:rsidP="00E67CB0">
      <w:pPr>
        <w:pStyle w:val="Ttulo2"/>
        <w:numPr>
          <w:ilvl w:val="1"/>
          <w:numId w:val="123"/>
        </w:numPr>
        <w:spacing w:line="360" w:lineRule="auto"/>
        <w:jc w:val="both"/>
        <w:rPr>
          <w:b w:val="0"/>
          <w:sz w:val="22"/>
          <w:szCs w:val="22"/>
        </w:rPr>
      </w:pPr>
      <w:bookmarkStart w:id="661" w:name="_Toc530931966"/>
      <w:bookmarkStart w:id="662" w:name="_Toc530933115"/>
      <w:bookmarkStart w:id="663" w:name="_Toc532335887"/>
      <w:bookmarkStart w:id="664" w:name="_Toc533594042"/>
      <w:bookmarkStart w:id="665" w:name="_Toc111838018"/>
      <w:r w:rsidRPr="009A27ED">
        <w:rPr>
          <w:rFonts w:ascii="Times New Roman" w:eastAsia="Times New Roman" w:hAnsi="Times New Roman"/>
          <w:b w:val="0"/>
          <w:sz w:val="24"/>
          <w:szCs w:val="22"/>
        </w:rPr>
        <w:t>Objetivos y alcance del MPR</w:t>
      </w:r>
      <w:bookmarkEnd w:id="661"/>
      <w:bookmarkEnd w:id="662"/>
      <w:bookmarkEnd w:id="663"/>
      <w:bookmarkEnd w:id="664"/>
      <w:r w:rsidRPr="009A27ED">
        <w:rPr>
          <w:rFonts w:ascii="Times New Roman" w:eastAsia="Times New Roman" w:hAnsi="Times New Roman"/>
          <w:b w:val="0"/>
          <w:sz w:val="24"/>
          <w:szCs w:val="22"/>
        </w:rPr>
        <w:t>I</w:t>
      </w:r>
      <w:bookmarkEnd w:id="665"/>
    </w:p>
    <w:p w14:paraId="652D5922" w14:textId="77777777" w:rsidR="00405040" w:rsidRPr="009A27ED" w:rsidRDefault="00405040" w:rsidP="00E67CB0">
      <w:pPr>
        <w:pStyle w:val="Ttulo3"/>
        <w:numPr>
          <w:ilvl w:val="1"/>
          <w:numId w:val="115"/>
        </w:numPr>
        <w:spacing w:before="120" w:line="360" w:lineRule="auto"/>
        <w:jc w:val="both"/>
        <w:rPr>
          <w:szCs w:val="22"/>
        </w:rPr>
      </w:pPr>
      <w:bookmarkStart w:id="666" w:name="_Toc530931967"/>
      <w:bookmarkStart w:id="667" w:name="_Toc530933116"/>
      <w:bookmarkStart w:id="668" w:name="_Toc532335888"/>
      <w:bookmarkStart w:id="669" w:name="_Toc533594043"/>
      <w:bookmarkStart w:id="670" w:name="_Toc111838019"/>
      <w:r w:rsidRPr="009A27ED">
        <w:rPr>
          <w:rFonts w:ascii="Times New Roman" w:eastAsia="Times New Roman" w:hAnsi="Times New Roman"/>
          <w:sz w:val="24"/>
          <w:szCs w:val="22"/>
        </w:rPr>
        <w:t>Alcance</w:t>
      </w:r>
      <w:bookmarkEnd w:id="666"/>
      <w:bookmarkEnd w:id="667"/>
      <w:bookmarkEnd w:id="668"/>
      <w:bookmarkEnd w:id="669"/>
      <w:bookmarkEnd w:id="670"/>
    </w:p>
    <w:p w14:paraId="471C3788" w14:textId="1CE57C6E" w:rsidR="005C69F9" w:rsidRPr="009A27ED" w:rsidRDefault="00405040" w:rsidP="005C69F9">
      <w:pPr>
        <w:spacing w:before="120" w:after="0" w:line="360" w:lineRule="auto"/>
        <w:rPr>
          <w:szCs w:val="22"/>
        </w:rPr>
      </w:pPr>
      <w:r w:rsidRPr="009A27ED">
        <w:rPr>
          <w:rFonts w:ascii="Times New Roman" w:eastAsia="Times New Roman" w:hAnsi="Times New Roman"/>
          <w:sz w:val="24"/>
          <w:szCs w:val="22"/>
        </w:rPr>
        <w:t xml:space="preserve">El MPRI establece los principios y procedimientos que deben seguirse en caso de que las acciones estratégicas de la Estrategia Nacional REDD+ y el </w:t>
      </w:r>
      <w:r w:rsidR="00124B63" w:rsidRPr="009A27ED">
        <w:rPr>
          <w:rFonts w:ascii="Times New Roman" w:eastAsia="Times New Roman" w:hAnsi="Times New Roman"/>
          <w:sz w:val="24"/>
          <w:szCs w:val="22"/>
        </w:rPr>
        <w:t>Programa REDD+</w:t>
      </w:r>
      <w:r w:rsidR="005F4493" w:rsidRPr="009A27ED">
        <w:rPr>
          <w:rFonts w:ascii="Times New Roman" w:eastAsia="Times New Roman" w:hAnsi="Times New Roman"/>
          <w:sz w:val="24"/>
          <w:szCs w:val="22"/>
        </w:rPr>
        <w:t>+</w:t>
      </w:r>
      <w:r w:rsidR="00B323E2" w:rsidRPr="009A27ED">
        <w:rPr>
          <w:rFonts w:ascii="Times New Roman" w:eastAsia="Times New Roman" w:hAnsi="Times New Roman"/>
          <w:sz w:val="24"/>
          <w:szCs w:val="22"/>
        </w:rPr>
        <w:t>, provocaran</w:t>
      </w:r>
      <w:r w:rsidRPr="009A27ED">
        <w:rPr>
          <w:rFonts w:ascii="Times New Roman" w:eastAsia="Times New Roman" w:hAnsi="Times New Roman"/>
          <w:sz w:val="24"/>
          <w:szCs w:val="22"/>
        </w:rPr>
        <w:t xml:space="preserve"> efectos de reasentamiento involuntario</w:t>
      </w:r>
      <w:r w:rsidR="003070B4" w:rsidRPr="009A27ED">
        <w:rPr>
          <w:rFonts w:ascii="Times New Roman" w:eastAsia="Times New Roman" w:hAnsi="Times New Roman"/>
          <w:sz w:val="24"/>
          <w:szCs w:val="22"/>
        </w:rPr>
        <w:t xml:space="preserve"> o </w:t>
      </w:r>
      <w:proofErr w:type="spellStart"/>
      <w:r w:rsidR="003070B4" w:rsidRPr="009A27ED">
        <w:rPr>
          <w:rFonts w:ascii="Times New Roman" w:eastAsia="Times New Roman" w:hAnsi="Times New Roman"/>
          <w:sz w:val="24"/>
          <w:szCs w:val="22"/>
        </w:rPr>
        <w:t>perdidas</w:t>
      </w:r>
      <w:proofErr w:type="spellEnd"/>
      <w:r w:rsidR="003070B4" w:rsidRPr="009A27ED">
        <w:rPr>
          <w:rFonts w:ascii="Times New Roman" w:eastAsia="Times New Roman" w:hAnsi="Times New Roman"/>
          <w:sz w:val="24"/>
          <w:szCs w:val="22"/>
        </w:rPr>
        <w:t xml:space="preserve"> económicas de población</w:t>
      </w:r>
      <w:r w:rsidRPr="009A27ED">
        <w:rPr>
          <w:rFonts w:ascii="Times New Roman" w:eastAsia="Times New Roman" w:hAnsi="Times New Roman"/>
          <w:sz w:val="24"/>
          <w:szCs w:val="22"/>
        </w:rPr>
        <w:t>.</w:t>
      </w:r>
      <w:r w:rsidR="005C69F9" w:rsidRPr="009A27ED">
        <w:rPr>
          <w:rFonts w:ascii="Times New Roman" w:eastAsia="Times New Roman" w:hAnsi="Times New Roman"/>
          <w:sz w:val="24"/>
          <w:szCs w:val="22"/>
        </w:rPr>
        <w:t xml:space="preserve"> Cabe mencionar de nuevo </w:t>
      </w:r>
      <w:proofErr w:type="gramStart"/>
      <w:r w:rsidR="005C69F9" w:rsidRPr="009A27ED">
        <w:rPr>
          <w:rFonts w:ascii="Times New Roman" w:eastAsia="Times New Roman" w:hAnsi="Times New Roman"/>
          <w:sz w:val="24"/>
          <w:szCs w:val="22"/>
        </w:rPr>
        <w:t>que</w:t>
      </w:r>
      <w:proofErr w:type="gramEnd"/>
      <w:r w:rsidR="005C69F9" w:rsidRPr="009A27ED">
        <w:rPr>
          <w:rFonts w:ascii="Times New Roman" w:eastAsia="Times New Roman" w:hAnsi="Times New Roman"/>
          <w:sz w:val="24"/>
          <w:szCs w:val="22"/>
        </w:rPr>
        <w:t xml:space="preserve"> en ningún caso, en los objetivos y actividades del </w:t>
      </w:r>
      <w:r w:rsidR="00124B63" w:rsidRPr="009A27ED">
        <w:rPr>
          <w:rFonts w:ascii="Times New Roman" w:eastAsia="Times New Roman" w:hAnsi="Times New Roman"/>
          <w:sz w:val="24"/>
          <w:szCs w:val="22"/>
        </w:rPr>
        <w:t>Programa REDD+</w:t>
      </w:r>
      <w:r w:rsidR="005C69F9" w:rsidRPr="009A27ED">
        <w:rPr>
          <w:rFonts w:ascii="Times New Roman" w:eastAsia="Times New Roman" w:hAnsi="Times New Roman"/>
          <w:sz w:val="24"/>
          <w:szCs w:val="22"/>
        </w:rPr>
        <w:t xml:space="preserve">+ se ha estimado ejecutar acciones de reasentamiento involuntario que afecten a los beneficiarios y/o la población del área de influencia de las acciones, entiéndase esto como el desplazamiento o pérdida de tierras, viviendas, bienes inmuebles o activos físicos. Sin embargo, esta OP se activa en virtud de los eventuales casos en el transcurso de la implementación de la </w:t>
      </w:r>
      <w:r w:rsidR="005C69F9" w:rsidRPr="009A27ED">
        <w:rPr>
          <w:rFonts w:ascii="Times New Roman" w:eastAsia="Times New Roman" w:hAnsi="Times New Roman"/>
          <w:sz w:val="24"/>
          <w:szCs w:val="22"/>
        </w:rPr>
        <w:lastRenderedPageBreak/>
        <w:t>ENREDD</w:t>
      </w:r>
      <w:r w:rsidR="00E83143" w:rsidRPr="009A27ED">
        <w:rPr>
          <w:rFonts w:ascii="Times New Roman" w:eastAsia="Times New Roman" w:hAnsi="Times New Roman"/>
          <w:sz w:val="24"/>
          <w:szCs w:val="22"/>
        </w:rPr>
        <w:t xml:space="preserve">+ y el </w:t>
      </w:r>
      <w:r w:rsidR="00124B63" w:rsidRPr="009A27ED">
        <w:rPr>
          <w:rFonts w:ascii="Times New Roman" w:eastAsia="Times New Roman" w:hAnsi="Times New Roman"/>
          <w:sz w:val="24"/>
          <w:szCs w:val="22"/>
        </w:rPr>
        <w:t>Programa REDD+</w:t>
      </w:r>
      <w:r w:rsidR="00E83143" w:rsidRPr="009A27ED">
        <w:rPr>
          <w:rFonts w:ascii="Times New Roman" w:eastAsia="Times New Roman" w:hAnsi="Times New Roman"/>
          <w:sz w:val="24"/>
          <w:szCs w:val="22"/>
        </w:rPr>
        <w:t>+</w:t>
      </w:r>
      <w:r w:rsidR="005C69F9" w:rsidRPr="009A27ED">
        <w:rPr>
          <w:rFonts w:ascii="Times New Roman" w:eastAsia="Times New Roman" w:hAnsi="Times New Roman"/>
          <w:sz w:val="24"/>
          <w:szCs w:val="22"/>
        </w:rPr>
        <w:t xml:space="preserve"> que podrían implicar restricciones de uso de </w:t>
      </w:r>
      <w:r w:rsidR="00E83143" w:rsidRPr="009A27ED">
        <w:rPr>
          <w:rFonts w:ascii="Times New Roman" w:eastAsia="Times New Roman" w:hAnsi="Times New Roman"/>
          <w:sz w:val="24"/>
          <w:szCs w:val="22"/>
        </w:rPr>
        <w:t>recursos</w:t>
      </w:r>
      <w:r w:rsidR="005C69F9" w:rsidRPr="009A27ED">
        <w:rPr>
          <w:rFonts w:ascii="Times New Roman" w:eastAsia="Times New Roman" w:hAnsi="Times New Roman"/>
          <w:sz w:val="24"/>
          <w:szCs w:val="22"/>
        </w:rPr>
        <w:t>, su territorio y/o de las actividades productivas en áreas de incidencia del programa.</w:t>
      </w:r>
    </w:p>
    <w:p w14:paraId="17C14924" w14:textId="6F097434" w:rsidR="00405040" w:rsidRPr="009A27ED" w:rsidRDefault="005C69F9" w:rsidP="005C69F9">
      <w:pPr>
        <w:spacing w:before="120" w:after="0" w:line="360" w:lineRule="auto"/>
        <w:rPr>
          <w:szCs w:val="22"/>
        </w:rPr>
      </w:pPr>
      <w:r w:rsidRPr="009A27ED">
        <w:rPr>
          <w:rFonts w:ascii="Times New Roman" w:eastAsia="Times New Roman" w:hAnsi="Times New Roman"/>
          <w:sz w:val="24"/>
          <w:szCs w:val="22"/>
        </w:rPr>
        <w:t>Para esto, el MGAS incluye un Marco de Políticas de Reasentamiento y los alcan</w:t>
      </w:r>
      <w:r w:rsidR="00F3206F" w:rsidRPr="009A27ED">
        <w:rPr>
          <w:rFonts w:ascii="Times New Roman" w:eastAsia="Times New Roman" w:hAnsi="Times New Roman"/>
          <w:sz w:val="24"/>
          <w:szCs w:val="22"/>
        </w:rPr>
        <w:t>c</w:t>
      </w:r>
      <w:r w:rsidRPr="009A27ED">
        <w:rPr>
          <w:rFonts w:ascii="Times New Roman" w:eastAsia="Times New Roman" w:hAnsi="Times New Roman"/>
          <w:sz w:val="24"/>
          <w:szCs w:val="22"/>
        </w:rPr>
        <w:t>es mencionados abajo, con los fines de mitigar o compensar los efectos negativos ante un eventual reasentamiento.</w:t>
      </w:r>
    </w:p>
    <w:p w14:paraId="6D1FB11C" w14:textId="67316240" w:rsidR="00405040" w:rsidRPr="009A27ED" w:rsidRDefault="00405040" w:rsidP="00405040">
      <w:pPr>
        <w:spacing w:before="120" w:after="0" w:line="360" w:lineRule="auto"/>
        <w:rPr>
          <w:szCs w:val="22"/>
        </w:rPr>
      </w:pPr>
      <w:r w:rsidRPr="009A27ED">
        <w:rPr>
          <w:rFonts w:ascii="Times New Roman" w:eastAsia="Times New Roman" w:hAnsi="Times New Roman"/>
          <w:sz w:val="24"/>
          <w:szCs w:val="22"/>
        </w:rPr>
        <w:t xml:space="preserve">En tales casos, el MPRI proporciona las pautas para la preparación de un Plan de Reasentamiento Involuntario (PRI) para las acciones, que da por resultado: </w:t>
      </w:r>
    </w:p>
    <w:p w14:paraId="73DA6080" w14:textId="77777777" w:rsidR="00405040" w:rsidRPr="009A27ED" w:rsidRDefault="00405040" w:rsidP="00405040">
      <w:pPr>
        <w:spacing w:before="120" w:after="0" w:line="360" w:lineRule="auto"/>
        <w:ind w:left="900"/>
        <w:rPr>
          <w:szCs w:val="22"/>
        </w:rPr>
      </w:pPr>
      <w:r w:rsidRPr="009A27ED">
        <w:rPr>
          <w:rFonts w:ascii="Times New Roman" w:eastAsia="Times New Roman" w:hAnsi="Times New Roman"/>
          <w:sz w:val="24"/>
          <w:szCs w:val="22"/>
        </w:rPr>
        <w:t xml:space="preserve">i) el desplazamiento o la pérdida de la vivienda; </w:t>
      </w:r>
    </w:p>
    <w:p w14:paraId="1BB50CE8" w14:textId="77777777" w:rsidR="00405040" w:rsidRPr="009A27ED" w:rsidRDefault="00405040" w:rsidP="00405040">
      <w:pPr>
        <w:spacing w:before="120" w:after="0" w:line="360" w:lineRule="auto"/>
        <w:ind w:left="900"/>
        <w:rPr>
          <w:szCs w:val="22"/>
        </w:rPr>
      </w:pPr>
      <w:proofErr w:type="spellStart"/>
      <w:r w:rsidRPr="009A27ED">
        <w:rPr>
          <w:rFonts w:ascii="Times New Roman" w:eastAsia="Times New Roman" w:hAnsi="Times New Roman"/>
          <w:sz w:val="24"/>
          <w:szCs w:val="22"/>
        </w:rPr>
        <w:t>ii</w:t>
      </w:r>
      <w:proofErr w:type="spellEnd"/>
      <w:r w:rsidRPr="009A27ED">
        <w:rPr>
          <w:rFonts w:ascii="Times New Roman" w:eastAsia="Times New Roman" w:hAnsi="Times New Roman"/>
          <w:sz w:val="24"/>
          <w:szCs w:val="22"/>
        </w:rPr>
        <w:t xml:space="preserve">) la pérdida de los activos o del acceso a los activos, y/o </w:t>
      </w:r>
    </w:p>
    <w:p w14:paraId="0BBCE43F" w14:textId="77777777" w:rsidR="00405040" w:rsidRPr="009A27ED" w:rsidRDefault="00405040" w:rsidP="00405040">
      <w:pPr>
        <w:spacing w:before="120" w:after="0" w:line="360" w:lineRule="auto"/>
        <w:ind w:left="900"/>
        <w:rPr>
          <w:szCs w:val="22"/>
        </w:rPr>
      </w:pPr>
      <w:proofErr w:type="spellStart"/>
      <w:r w:rsidRPr="009A27ED">
        <w:rPr>
          <w:rFonts w:ascii="Times New Roman" w:eastAsia="Times New Roman" w:hAnsi="Times New Roman"/>
          <w:sz w:val="24"/>
          <w:szCs w:val="22"/>
        </w:rPr>
        <w:t>iii</w:t>
      </w:r>
      <w:proofErr w:type="spellEnd"/>
      <w:r w:rsidRPr="009A27ED">
        <w:rPr>
          <w:rFonts w:ascii="Times New Roman" w:eastAsia="Times New Roman" w:hAnsi="Times New Roman"/>
          <w:sz w:val="24"/>
          <w:szCs w:val="22"/>
        </w:rPr>
        <w:t>) la pérdida de las fuentes de ingresos o de los medios de subsistencia, ya sea que los afectados deban trasladarse a otro lugar o no.</w:t>
      </w:r>
    </w:p>
    <w:p w14:paraId="688CEEB2" w14:textId="77777777" w:rsidR="00405040" w:rsidRPr="009A27ED" w:rsidRDefault="00405040" w:rsidP="00405040">
      <w:pPr>
        <w:spacing w:before="120" w:after="0" w:line="360" w:lineRule="auto"/>
        <w:rPr>
          <w:szCs w:val="22"/>
        </w:rPr>
      </w:pPr>
      <w:r w:rsidRPr="009A27ED">
        <w:rPr>
          <w:rFonts w:ascii="Times New Roman" w:eastAsia="Times New Roman" w:hAnsi="Times New Roman"/>
          <w:sz w:val="24"/>
          <w:szCs w:val="22"/>
        </w:rPr>
        <w:t xml:space="preserve">También proporciona las pautas para la elaboración de Planes de Acción para las acciones que causen la restricción involuntaria de acceso a los recursos naturales en áreas legalmente protegidas. </w:t>
      </w:r>
    </w:p>
    <w:p w14:paraId="01AE0A25" w14:textId="37CF55AA" w:rsidR="00405040" w:rsidRPr="009A27ED" w:rsidRDefault="00405040" w:rsidP="00405040">
      <w:pPr>
        <w:autoSpaceDE w:val="0"/>
        <w:autoSpaceDN w:val="0"/>
        <w:adjustRightInd w:val="0"/>
        <w:spacing w:before="120" w:after="0" w:line="360" w:lineRule="auto"/>
        <w:rPr>
          <w:szCs w:val="22"/>
        </w:rPr>
      </w:pPr>
      <w:r w:rsidRPr="009A27ED">
        <w:rPr>
          <w:rFonts w:ascii="Times New Roman" w:eastAsia="Times New Roman" w:hAnsi="Times New Roman"/>
          <w:sz w:val="24"/>
          <w:szCs w:val="22"/>
        </w:rPr>
        <w:t xml:space="preserve">Este MPRI es aplicable a todos los proyectos y/o acciones de todo el territorio nacional que se implementen en el contexto de Estrategia REDD+ y el </w:t>
      </w:r>
      <w:r w:rsidR="00124B63" w:rsidRPr="009A27ED">
        <w:rPr>
          <w:rFonts w:ascii="Times New Roman" w:eastAsia="Times New Roman" w:hAnsi="Times New Roman"/>
          <w:sz w:val="24"/>
          <w:szCs w:val="22"/>
        </w:rPr>
        <w:t>Programa REDD+</w:t>
      </w:r>
      <w:r w:rsidR="00A23A39" w:rsidRPr="009A27ED">
        <w:rPr>
          <w:rFonts w:ascii="Times New Roman" w:eastAsia="Times New Roman" w:hAnsi="Times New Roman"/>
          <w:sz w:val="24"/>
          <w:szCs w:val="22"/>
        </w:rPr>
        <w:t>+</w:t>
      </w:r>
      <w:r w:rsidRPr="009A27ED">
        <w:rPr>
          <w:rFonts w:ascii="Times New Roman" w:eastAsia="Times New Roman" w:hAnsi="Times New Roman"/>
          <w:sz w:val="24"/>
          <w:szCs w:val="22"/>
        </w:rPr>
        <w:t xml:space="preserve"> que resulten en reasentamiento involuntario</w:t>
      </w:r>
      <w:r w:rsidR="003070B4" w:rsidRPr="009A27ED">
        <w:rPr>
          <w:rFonts w:ascii="Times New Roman" w:eastAsia="Times New Roman" w:hAnsi="Times New Roman"/>
          <w:sz w:val="24"/>
          <w:szCs w:val="22"/>
        </w:rPr>
        <w:t xml:space="preserve">, y subraye que se aplica la </w:t>
      </w:r>
      <w:r w:rsidR="00A23A39" w:rsidRPr="009A27ED">
        <w:rPr>
          <w:rFonts w:ascii="Times New Roman" w:eastAsia="Times New Roman" w:hAnsi="Times New Roman"/>
          <w:sz w:val="24"/>
          <w:szCs w:val="22"/>
        </w:rPr>
        <w:t xml:space="preserve">política operativa </w:t>
      </w:r>
      <w:r w:rsidR="003070B4" w:rsidRPr="009A27ED">
        <w:rPr>
          <w:rFonts w:ascii="Times New Roman" w:eastAsia="Times New Roman" w:hAnsi="Times New Roman"/>
          <w:sz w:val="24"/>
          <w:szCs w:val="22"/>
        </w:rPr>
        <w:t>del Banco Mundial OP 4.12</w:t>
      </w:r>
      <w:r w:rsidRPr="009A27ED">
        <w:rPr>
          <w:rFonts w:ascii="Times New Roman" w:eastAsia="Times New Roman" w:hAnsi="Times New Roman"/>
          <w:sz w:val="24"/>
          <w:szCs w:val="22"/>
        </w:rPr>
        <w:t>. Se aplica asimismo a las demás actividades que resulten en reasentamiento involuntario y que, a juicio del BM: a) tengan relación directa con la implementación de las opciones y acciones REDD+ y con el proyecto financiado por el BM; b) sean necesarias para lograr los objetivos enunciados en los documentos del proyecto, y c) se lleven</w:t>
      </w:r>
      <w:r w:rsidRPr="009A27ED">
        <w:rPr>
          <w:rFonts w:ascii="Times New Roman" w:eastAsia="Times New Roman" w:hAnsi="Times New Roman" w:cs="TimesNewRoman"/>
          <w:sz w:val="24"/>
          <w:szCs w:val="22"/>
        </w:rPr>
        <w:t xml:space="preserve"> </w:t>
      </w:r>
      <w:r w:rsidRPr="009A27ED">
        <w:rPr>
          <w:rFonts w:ascii="Times New Roman" w:eastAsia="Times New Roman" w:hAnsi="Times New Roman"/>
          <w:sz w:val="24"/>
          <w:szCs w:val="22"/>
        </w:rPr>
        <w:t>a cabo, o que estén previstos para llevarse a cabo, simultáneamente con el proyecto.</w:t>
      </w:r>
    </w:p>
    <w:p w14:paraId="0CC7DB00" w14:textId="782E94C4" w:rsidR="00405040" w:rsidRPr="009A27ED" w:rsidRDefault="00405040" w:rsidP="00405040">
      <w:pPr>
        <w:autoSpaceDE w:val="0"/>
        <w:autoSpaceDN w:val="0"/>
        <w:adjustRightInd w:val="0"/>
        <w:spacing w:before="120" w:after="0" w:line="360" w:lineRule="auto"/>
        <w:rPr>
          <w:szCs w:val="22"/>
        </w:rPr>
      </w:pPr>
      <w:r w:rsidRPr="009A27ED">
        <w:rPr>
          <w:rFonts w:ascii="Times New Roman" w:eastAsia="Times New Roman" w:hAnsi="Times New Roman"/>
          <w:sz w:val="24"/>
          <w:szCs w:val="22"/>
        </w:rPr>
        <w:t xml:space="preserve">En </w:t>
      </w:r>
      <w:r w:rsidR="003070B4" w:rsidRPr="009A27ED">
        <w:rPr>
          <w:rFonts w:ascii="Times New Roman" w:eastAsia="Times New Roman" w:hAnsi="Times New Roman"/>
          <w:sz w:val="24"/>
          <w:szCs w:val="22"/>
        </w:rPr>
        <w:t xml:space="preserve">el improbable </w:t>
      </w:r>
      <w:r w:rsidRPr="009A27ED">
        <w:rPr>
          <w:rFonts w:ascii="Times New Roman" w:eastAsia="Times New Roman" w:hAnsi="Times New Roman"/>
          <w:sz w:val="24"/>
          <w:szCs w:val="22"/>
        </w:rPr>
        <w:t xml:space="preserve">caso de que se produzca reasentamiento en los términos definidos en la OP 4.12, </w:t>
      </w:r>
      <w:r w:rsidR="003070B4" w:rsidRPr="009A27ED">
        <w:rPr>
          <w:rFonts w:ascii="Times New Roman" w:eastAsia="Times New Roman" w:hAnsi="Times New Roman"/>
          <w:sz w:val="24"/>
          <w:szCs w:val="22"/>
        </w:rPr>
        <w:t xml:space="preserve">o perdidas de activo o económicas, </w:t>
      </w:r>
      <w:r w:rsidRPr="009A27ED">
        <w:rPr>
          <w:rFonts w:ascii="Times New Roman" w:eastAsia="Times New Roman" w:hAnsi="Times New Roman"/>
          <w:sz w:val="24"/>
          <w:szCs w:val="22"/>
        </w:rPr>
        <w:t xml:space="preserve">se deberán desarrollar e implementar los instrumentos previstos en el presente MPRI, de acuerdo con las disposiciones de la mencionada OP. La aplicación de estos instrumentos del presente MPRI deberá buscar minimizar los impactos negativos que se puedan generar por desplazamientos involuntarios, restricciones de acceso a los recursos naturales o a actividades productivas durante la implementación de las Opciones y Acciones Estratégicas REDD+ y el </w:t>
      </w:r>
      <w:r w:rsidR="00124B63" w:rsidRPr="009A27ED">
        <w:rPr>
          <w:rFonts w:ascii="Times New Roman" w:eastAsia="Times New Roman" w:hAnsi="Times New Roman"/>
          <w:sz w:val="24"/>
          <w:szCs w:val="22"/>
        </w:rPr>
        <w:t>Programa REDD+</w:t>
      </w:r>
      <w:r w:rsidR="007560ED" w:rsidRPr="009A27ED">
        <w:rPr>
          <w:rFonts w:ascii="Times New Roman" w:eastAsia="Times New Roman" w:hAnsi="Times New Roman"/>
          <w:sz w:val="24"/>
          <w:szCs w:val="22"/>
        </w:rPr>
        <w:t>+</w:t>
      </w:r>
      <w:r w:rsidRPr="009A27ED">
        <w:rPr>
          <w:rFonts w:ascii="Times New Roman" w:eastAsia="Times New Roman" w:hAnsi="Times New Roman"/>
          <w:sz w:val="24"/>
          <w:szCs w:val="22"/>
        </w:rPr>
        <w:t xml:space="preserve">. </w:t>
      </w:r>
    </w:p>
    <w:p w14:paraId="6A295343" w14:textId="35AD905D" w:rsidR="00405040" w:rsidRPr="009A27ED" w:rsidRDefault="00405040" w:rsidP="00405040">
      <w:pPr>
        <w:autoSpaceDE w:val="0"/>
        <w:autoSpaceDN w:val="0"/>
        <w:adjustRightInd w:val="0"/>
        <w:spacing w:before="120" w:after="0" w:line="360" w:lineRule="auto"/>
        <w:rPr>
          <w:szCs w:val="22"/>
        </w:rPr>
      </w:pPr>
      <w:r w:rsidRPr="009A27ED">
        <w:rPr>
          <w:rFonts w:ascii="Times New Roman" w:eastAsia="Times New Roman" w:hAnsi="Times New Roman"/>
          <w:sz w:val="24"/>
          <w:szCs w:val="22"/>
        </w:rPr>
        <w:lastRenderedPageBreak/>
        <w:t xml:space="preserve">El MPRI incluye los lineamientos generales, las </w:t>
      </w:r>
      <w:r w:rsidR="00B34FEE" w:rsidRPr="009A27ED">
        <w:rPr>
          <w:rFonts w:ascii="Times New Roman" w:eastAsia="Times New Roman" w:hAnsi="Times New Roman"/>
          <w:sz w:val="24"/>
          <w:szCs w:val="22"/>
        </w:rPr>
        <w:t>características, los</w:t>
      </w:r>
      <w:r w:rsidRPr="009A27ED">
        <w:rPr>
          <w:rFonts w:ascii="Times New Roman" w:eastAsia="Times New Roman" w:hAnsi="Times New Roman"/>
          <w:sz w:val="24"/>
          <w:szCs w:val="22"/>
        </w:rPr>
        <w:t xml:space="preserve"> protocolos y los procedimientos a seguir para desarrollar e implementar los instrumentos detallados anteriormente en concordancia con la OP 4.12 del Banco Mundial. </w:t>
      </w:r>
    </w:p>
    <w:p w14:paraId="4E6C0E04" w14:textId="77777777" w:rsidR="00405040" w:rsidRPr="009A27ED" w:rsidRDefault="00405040" w:rsidP="00E67CB0">
      <w:pPr>
        <w:pStyle w:val="Ttulo3"/>
        <w:numPr>
          <w:ilvl w:val="1"/>
          <w:numId w:val="115"/>
        </w:numPr>
        <w:spacing w:before="120" w:line="360" w:lineRule="auto"/>
        <w:jc w:val="both"/>
        <w:rPr>
          <w:szCs w:val="22"/>
        </w:rPr>
      </w:pPr>
      <w:bookmarkStart w:id="671" w:name="_Toc530931968"/>
      <w:bookmarkStart w:id="672" w:name="_Toc530933117"/>
      <w:bookmarkStart w:id="673" w:name="_Toc532335889"/>
      <w:bookmarkStart w:id="674" w:name="_Toc533594044"/>
      <w:bookmarkStart w:id="675" w:name="_Toc111838020"/>
      <w:r w:rsidRPr="009A27ED">
        <w:rPr>
          <w:rFonts w:ascii="Times New Roman" w:eastAsia="Times New Roman" w:hAnsi="Times New Roman"/>
          <w:sz w:val="24"/>
          <w:szCs w:val="22"/>
        </w:rPr>
        <w:t>Objetivos</w:t>
      </w:r>
      <w:bookmarkEnd w:id="671"/>
      <w:bookmarkEnd w:id="672"/>
      <w:bookmarkEnd w:id="673"/>
      <w:bookmarkEnd w:id="674"/>
      <w:r w:rsidRPr="009A27ED">
        <w:rPr>
          <w:rFonts w:ascii="Times New Roman" w:eastAsia="Times New Roman" w:hAnsi="Times New Roman"/>
          <w:sz w:val="24"/>
          <w:szCs w:val="22"/>
        </w:rPr>
        <w:t xml:space="preserve"> del MPRI</w:t>
      </w:r>
      <w:bookmarkEnd w:id="675"/>
    </w:p>
    <w:p w14:paraId="22629475" w14:textId="07D2A8C9" w:rsidR="00405040" w:rsidRPr="009A27ED" w:rsidRDefault="00405040" w:rsidP="00405040">
      <w:pPr>
        <w:autoSpaceDE w:val="0"/>
        <w:autoSpaceDN w:val="0"/>
        <w:adjustRightInd w:val="0"/>
        <w:spacing w:before="120" w:after="0" w:line="360" w:lineRule="auto"/>
        <w:rPr>
          <w:szCs w:val="22"/>
        </w:rPr>
      </w:pPr>
      <w:r w:rsidRPr="009A27ED">
        <w:rPr>
          <w:rFonts w:ascii="Times New Roman" w:eastAsia="Times New Roman" w:hAnsi="Times New Roman"/>
          <w:sz w:val="24"/>
          <w:szCs w:val="22"/>
        </w:rPr>
        <w:t xml:space="preserve">El objetivo principal del MPRI es establecer las normas y procedimientos generales que permitirán abordar situaciones de reasentamiento involuntario de acuerdo con el alcance establecido en la OP 4.12 del BM, que puedan surgir en el contexto de la implementación de las opciones y acciones REDD+. </w:t>
      </w:r>
    </w:p>
    <w:p w14:paraId="3AE620A6" w14:textId="77777777" w:rsidR="00405040" w:rsidRPr="009A27ED" w:rsidRDefault="00405040" w:rsidP="00405040">
      <w:pPr>
        <w:spacing w:before="120" w:after="0" w:line="360" w:lineRule="auto"/>
        <w:rPr>
          <w:szCs w:val="22"/>
        </w:rPr>
      </w:pPr>
      <w:r w:rsidRPr="009A27ED">
        <w:rPr>
          <w:rFonts w:ascii="Times New Roman" w:eastAsia="Times New Roman" w:hAnsi="Times New Roman"/>
          <w:sz w:val="24"/>
          <w:szCs w:val="22"/>
        </w:rPr>
        <w:t xml:space="preserve">Los objetivos específicos del MPRI son: </w:t>
      </w:r>
    </w:p>
    <w:p w14:paraId="15983048" w14:textId="2E0E21C2" w:rsidR="00405040" w:rsidRPr="009A27ED" w:rsidRDefault="004453FB" w:rsidP="00E67CB0">
      <w:pPr>
        <w:pStyle w:val="Prrafodelista"/>
        <w:numPr>
          <w:ilvl w:val="0"/>
          <w:numId w:val="82"/>
        </w:numPr>
        <w:autoSpaceDE w:val="0"/>
        <w:autoSpaceDN w:val="0"/>
        <w:adjustRightInd w:val="0"/>
        <w:spacing w:before="120" w:after="0" w:line="360" w:lineRule="auto"/>
        <w:rPr>
          <w:szCs w:val="22"/>
          <w:lang w:val="es-ES"/>
        </w:rPr>
      </w:pPr>
      <w:r w:rsidRPr="009A27ED">
        <w:rPr>
          <w:rFonts w:ascii="Times New Roman" w:eastAsia="Times New Roman" w:hAnsi="Times New Roman"/>
          <w:sz w:val="24"/>
          <w:szCs w:val="22"/>
          <w:lang w:val="es-ES"/>
        </w:rPr>
        <w:t>C</w:t>
      </w:r>
      <w:proofErr w:type="spellStart"/>
      <w:r w:rsidR="00011067" w:rsidRPr="009A27ED">
        <w:rPr>
          <w:rFonts w:ascii="Times New Roman" w:eastAsia="Times New Roman" w:hAnsi="Times New Roman"/>
          <w:sz w:val="24"/>
          <w:szCs w:val="22"/>
        </w:rPr>
        <w:t>oncebir</w:t>
      </w:r>
      <w:proofErr w:type="spellEnd"/>
      <w:r w:rsidR="00405040" w:rsidRPr="009A27ED">
        <w:rPr>
          <w:rFonts w:ascii="Times New Roman" w:eastAsia="Times New Roman" w:hAnsi="Times New Roman"/>
          <w:sz w:val="24"/>
          <w:szCs w:val="22"/>
        </w:rPr>
        <w:t xml:space="preserve"> y ejecutar </w:t>
      </w:r>
      <w:r w:rsidRPr="009A27ED">
        <w:rPr>
          <w:rFonts w:ascii="Times New Roman" w:eastAsia="Times New Roman" w:hAnsi="Times New Roman"/>
          <w:sz w:val="24"/>
          <w:szCs w:val="22"/>
        </w:rPr>
        <w:t xml:space="preserve">las acciones </w:t>
      </w:r>
      <w:r w:rsidR="00405040" w:rsidRPr="009A27ED">
        <w:rPr>
          <w:rFonts w:ascii="Times New Roman" w:eastAsia="Times New Roman" w:hAnsi="Times New Roman"/>
          <w:sz w:val="24"/>
          <w:szCs w:val="22"/>
        </w:rPr>
        <w:t xml:space="preserve">como programas de desarrollo sostenible, que proporcionen recursos de inversión suficientes para que las personas desplazadas por el proyecto y/o sus actividades, puedan participar en los beneficios de este. </w:t>
      </w:r>
    </w:p>
    <w:p w14:paraId="0A80EBEA" w14:textId="77777777" w:rsidR="00405040" w:rsidRPr="009A27ED" w:rsidRDefault="00405040" w:rsidP="00E67CB0">
      <w:pPr>
        <w:pStyle w:val="Prrafodelista"/>
        <w:numPr>
          <w:ilvl w:val="0"/>
          <w:numId w:val="82"/>
        </w:numPr>
        <w:autoSpaceDE w:val="0"/>
        <w:autoSpaceDN w:val="0"/>
        <w:adjustRightInd w:val="0"/>
        <w:spacing w:before="120" w:after="0" w:line="360" w:lineRule="auto"/>
        <w:rPr>
          <w:szCs w:val="22"/>
          <w:lang w:val="es-ES"/>
        </w:rPr>
      </w:pPr>
      <w:r w:rsidRPr="009A27ED">
        <w:rPr>
          <w:rFonts w:ascii="Times New Roman" w:eastAsia="Times New Roman" w:hAnsi="Times New Roman"/>
          <w:sz w:val="24"/>
          <w:szCs w:val="22"/>
        </w:rPr>
        <w:t>Asegurar la adecuada planificación e implementación del proceso de reasentamiento involuntario de personas, activos y/o actividades;</w:t>
      </w:r>
    </w:p>
    <w:p w14:paraId="0EE71480" w14:textId="77777777" w:rsidR="00405040" w:rsidRPr="009A27ED" w:rsidRDefault="00405040" w:rsidP="00E67CB0">
      <w:pPr>
        <w:pStyle w:val="Prrafodelista"/>
        <w:numPr>
          <w:ilvl w:val="0"/>
          <w:numId w:val="82"/>
        </w:numPr>
        <w:autoSpaceDE w:val="0"/>
        <w:autoSpaceDN w:val="0"/>
        <w:adjustRightInd w:val="0"/>
        <w:spacing w:before="120" w:after="0" w:line="360" w:lineRule="auto"/>
        <w:rPr>
          <w:szCs w:val="22"/>
          <w:lang w:val="es-ES"/>
        </w:rPr>
      </w:pPr>
      <w:proofErr w:type="gramStart"/>
      <w:r w:rsidRPr="009A27ED">
        <w:rPr>
          <w:rFonts w:ascii="Times New Roman" w:eastAsia="Times New Roman" w:hAnsi="Times New Roman"/>
          <w:sz w:val="24"/>
          <w:szCs w:val="22"/>
          <w:lang w:val="es-ES"/>
        </w:rPr>
        <w:t>Asegurar</w:t>
      </w:r>
      <w:proofErr w:type="gramEnd"/>
      <w:r w:rsidRPr="009A27ED">
        <w:rPr>
          <w:rFonts w:ascii="Times New Roman" w:eastAsia="Times New Roman" w:hAnsi="Times New Roman"/>
          <w:sz w:val="24"/>
          <w:szCs w:val="22"/>
          <w:lang w:val="es-ES"/>
        </w:rPr>
        <w:t xml:space="preserve"> que se desarrolle un proceso participativo claro y oportuno con las personas afectadas y se garantice la mitigación de impactos negativos que pudieran derivarse de potenciales desplazamientos, traslados o restricciones de la implementación de las acciones estratégicas REDD+;</w:t>
      </w:r>
    </w:p>
    <w:p w14:paraId="520A3795" w14:textId="4FA1ED38" w:rsidR="00405040" w:rsidRPr="009A27ED" w:rsidRDefault="004453FB" w:rsidP="00E67CB0">
      <w:pPr>
        <w:pStyle w:val="Prrafodelista"/>
        <w:numPr>
          <w:ilvl w:val="0"/>
          <w:numId w:val="82"/>
        </w:numPr>
        <w:autoSpaceDE w:val="0"/>
        <w:autoSpaceDN w:val="0"/>
        <w:adjustRightInd w:val="0"/>
        <w:spacing w:before="120" w:after="0" w:line="360" w:lineRule="auto"/>
        <w:rPr>
          <w:szCs w:val="22"/>
        </w:rPr>
      </w:pPr>
      <w:r w:rsidRPr="009A27ED">
        <w:rPr>
          <w:rFonts w:ascii="Times New Roman" w:eastAsia="Times New Roman" w:hAnsi="Times New Roman"/>
          <w:sz w:val="24"/>
          <w:szCs w:val="22"/>
        </w:rPr>
        <w:t>Procurar que</w:t>
      </w:r>
      <w:r w:rsidR="00405040" w:rsidRPr="009A27ED">
        <w:rPr>
          <w:rFonts w:ascii="Times New Roman" w:eastAsia="Times New Roman" w:hAnsi="Times New Roman"/>
          <w:sz w:val="24"/>
          <w:szCs w:val="22"/>
        </w:rPr>
        <w:t xml:space="preserve"> se ofrezca indemnizaciones justas a la afectación</w:t>
      </w:r>
      <w:r w:rsidR="003070B4" w:rsidRPr="009A27ED">
        <w:rPr>
          <w:rFonts w:ascii="Times New Roman" w:eastAsia="Times New Roman" w:hAnsi="Times New Roman"/>
          <w:sz w:val="24"/>
          <w:szCs w:val="22"/>
        </w:rPr>
        <w:t xml:space="preserve"> en línea con OP 4.12</w:t>
      </w:r>
      <w:r w:rsidR="00405040" w:rsidRPr="009A27ED">
        <w:rPr>
          <w:rFonts w:ascii="Times New Roman" w:eastAsia="Times New Roman" w:hAnsi="Times New Roman"/>
          <w:sz w:val="24"/>
          <w:szCs w:val="22"/>
        </w:rPr>
        <w:t>, en los casos que procediera.</w:t>
      </w:r>
    </w:p>
    <w:p w14:paraId="6D033B19" w14:textId="7832852A" w:rsidR="00405040" w:rsidRPr="009A27ED" w:rsidRDefault="004453FB" w:rsidP="00E67CB0">
      <w:pPr>
        <w:pStyle w:val="Prrafodelista"/>
        <w:numPr>
          <w:ilvl w:val="0"/>
          <w:numId w:val="82"/>
        </w:numPr>
        <w:autoSpaceDE w:val="0"/>
        <w:autoSpaceDN w:val="0"/>
        <w:adjustRightInd w:val="0"/>
        <w:spacing w:before="120" w:after="0" w:line="360" w:lineRule="auto"/>
        <w:rPr>
          <w:szCs w:val="22"/>
        </w:rPr>
      </w:pPr>
      <w:r w:rsidRPr="009A27ED">
        <w:rPr>
          <w:rFonts w:ascii="Times New Roman" w:eastAsia="Times New Roman" w:hAnsi="Times New Roman"/>
          <w:sz w:val="24"/>
          <w:szCs w:val="22"/>
        </w:rPr>
        <w:t xml:space="preserve">Apoyar </w:t>
      </w:r>
      <w:r w:rsidR="00405040" w:rsidRPr="009A27ED">
        <w:rPr>
          <w:rFonts w:ascii="Times New Roman" w:eastAsia="Times New Roman" w:hAnsi="Times New Roman"/>
          <w:sz w:val="24"/>
          <w:szCs w:val="22"/>
        </w:rPr>
        <w:t>a las personas desplazadas en sus esfuerzos por mejorar sus medios de subsistencia y sus niveles de vida, o al menos devolverles, en términos reales, los niveles que tenían antes de ser desplazados o antes del comienzo de la ejecución del proyecto, cuando sea que presentaban los niveles más alto</w:t>
      </w:r>
    </w:p>
    <w:p w14:paraId="2FFF2478" w14:textId="77777777" w:rsidR="00405040" w:rsidRPr="009A27ED" w:rsidRDefault="00405040" w:rsidP="00E67CB0">
      <w:pPr>
        <w:pStyle w:val="Prrafodelista"/>
        <w:numPr>
          <w:ilvl w:val="0"/>
          <w:numId w:val="82"/>
        </w:numPr>
        <w:autoSpaceDE w:val="0"/>
        <w:autoSpaceDN w:val="0"/>
        <w:adjustRightInd w:val="0"/>
        <w:spacing w:before="120" w:after="0" w:line="360" w:lineRule="auto"/>
        <w:rPr>
          <w:szCs w:val="22"/>
        </w:rPr>
      </w:pPr>
      <w:r w:rsidRPr="009A27ED">
        <w:rPr>
          <w:rFonts w:ascii="Times New Roman" w:eastAsia="Times New Roman" w:hAnsi="Times New Roman"/>
          <w:sz w:val="24"/>
          <w:szCs w:val="22"/>
        </w:rPr>
        <w:t>Entregar los elementos más relevantes para una adecuada operación de las diversas medidas que deben ejecutarse en posibles reasentamientos, en el marco de la implementación de las acciones REDD+;</w:t>
      </w:r>
    </w:p>
    <w:p w14:paraId="6A26E921" w14:textId="77777777" w:rsidR="00405040" w:rsidRPr="009A27ED" w:rsidRDefault="00405040" w:rsidP="00405040">
      <w:pPr>
        <w:pStyle w:val="Prrafodelista"/>
        <w:autoSpaceDE w:val="0"/>
        <w:autoSpaceDN w:val="0"/>
        <w:adjustRightInd w:val="0"/>
        <w:spacing w:before="120" w:after="0" w:line="360" w:lineRule="auto"/>
        <w:ind w:left="720"/>
        <w:rPr>
          <w:szCs w:val="22"/>
          <w:lang w:val="es-ES"/>
        </w:rPr>
      </w:pPr>
    </w:p>
    <w:p w14:paraId="71CA9983" w14:textId="77777777" w:rsidR="00405040" w:rsidRPr="009A27ED" w:rsidRDefault="00405040" w:rsidP="00E67CB0">
      <w:pPr>
        <w:pStyle w:val="Ttulo3"/>
        <w:numPr>
          <w:ilvl w:val="1"/>
          <w:numId w:val="115"/>
        </w:numPr>
        <w:spacing w:before="120" w:line="360" w:lineRule="auto"/>
        <w:jc w:val="both"/>
        <w:rPr>
          <w:szCs w:val="22"/>
        </w:rPr>
      </w:pPr>
      <w:bookmarkStart w:id="676" w:name="_Toc530931969"/>
      <w:bookmarkStart w:id="677" w:name="_Toc530933118"/>
      <w:bookmarkStart w:id="678" w:name="_Toc532335890"/>
      <w:bookmarkStart w:id="679" w:name="_Toc533594045"/>
      <w:bookmarkStart w:id="680" w:name="_Toc111838021"/>
      <w:r w:rsidRPr="009A27ED">
        <w:rPr>
          <w:rFonts w:ascii="Times New Roman" w:eastAsia="Times New Roman" w:hAnsi="Times New Roman"/>
          <w:sz w:val="24"/>
          <w:szCs w:val="22"/>
        </w:rPr>
        <w:lastRenderedPageBreak/>
        <w:t>Principios del MPRI</w:t>
      </w:r>
      <w:bookmarkEnd w:id="676"/>
      <w:bookmarkEnd w:id="677"/>
      <w:bookmarkEnd w:id="678"/>
      <w:bookmarkEnd w:id="679"/>
      <w:bookmarkEnd w:id="680"/>
    </w:p>
    <w:p w14:paraId="04702078" w14:textId="77777777" w:rsidR="00405040" w:rsidRPr="009A27ED" w:rsidRDefault="00405040" w:rsidP="00405040">
      <w:pPr>
        <w:autoSpaceDE w:val="0"/>
        <w:autoSpaceDN w:val="0"/>
        <w:adjustRightInd w:val="0"/>
        <w:spacing w:before="120" w:after="0" w:line="360" w:lineRule="auto"/>
        <w:rPr>
          <w:szCs w:val="22"/>
        </w:rPr>
      </w:pPr>
      <w:r w:rsidRPr="009A27ED">
        <w:rPr>
          <w:rFonts w:ascii="Times New Roman" w:eastAsia="Times New Roman" w:hAnsi="Times New Roman"/>
          <w:b/>
          <w:sz w:val="24"/>
          <w:szCs w:val="22"/>
        </w:rPr>
        <w:t>Minimizar el desplazamiento de población</w:t>
      </w:r>
      <w:r w:rsidRPr="009A27ED">
        <w:rPr>
          <w:rFonts w:ascii="Times New Roman" w:eastAsia="Times New Roman" w:hAnsi="Times New Roman"/>
          <w:sz w:val="24"/>
          <w:szCs w:val="22"/>
        </w:rPr>
        <w:t>: Dados los impactos negativos que genera El desplazamiento involuntario, siempre que sea posible se lo evitará o se minimizará. Para esto, se deberán analizar alternativas que resulten social, ambiental, económica y técnicamente viables, a fin de proponer aquella que cause la menor afectación.</w:t>
      </w:r>
    </w:p>
    <w:p w14:paraId="5C9A4208" w14:textId="77777777" w:rsidR="00405040" w:rsidRPr="009A27ED" w:rsidRDefault="00405040" w:rsidP="00405040">
      <w:pPr>
        <w:autoSpaceDE w:val="0"/>
        <w:autoSpaceDN w:val="0"/>
        <w:adjustRightInd w:val="0"/>
        <w:spacing w:before="120" w:after="0" w:line="360" w:lineRule="auto"/>
        <w:rPr>
          <w:szCs w:val="22"/>
        </w:rPr>
      </w:pPr>
      <w:r w:rsidRPr="009A27ED">
        <w:rPr>
          <w:rFonts w:ascii="Times New Roman" w:eastAsia="Times New Roman" w:hAnsi="Times New Roman"/>
          <w:b/>
          <w:sz w:val="24"/>
          <w:szCs w:val="22"/>
        </w:rPr>
        <w:t>Restablecimiento y mejora de condiciones socioeconómicas</w:t>
      </w:r>
      <w:r w:rsidRPr="009A27ED">
        <w:rPr>
          <w:rFonts w:ascii="Times New Roman" w:eastAsia="Times New Roman" w:hAnsi="Times New Roman"/>
          <w:sz w:val="24"/>
          <w:szCs w:val="22"/>
        </w:rPr>
        <w:t>: La indemnización económica por la pérdida de inmuebles y otros bienes materiales no constituye por sí sola una solución a los impactos del desplazamiento, ni garantiza el restablecimiento de las condiciones socioeconómicas de los afectados. Por ello se diseñarán y ejecutarán planes que incluyan un conjunto de acciones de compensación y asistencia para atender a la población desplazada en el restablecimiento o mejora de sus condiciones de vida.</w:t>
      </w:r>
    </w:p>
    <w:p w14:paraId="24E40DB7" w14:textId="77777777" w:rsidR="00405040" w:rsidRPr="009A27ED" w:rsidRDefault="00405040" w:rsidP="00405040">
      <w:pPr>
        <w:autoSpaceDE w:val="0"/>
        <w:autoSpaceDN w:val="0"/>
        <w:adjustRightInd w:val="0"/>
        <w:spacing w:before="120" w:after="0" w:line="360" w:lineRule="auto"/>
        <w:rPr>
          <w:szCs w:val="22"/>
        </w:rPr>
      </w:pPr>
      <w:r w:rsidRPr="009A27ED">
        <w:rPr>
          <w:rFonts w:ascii="Times New Roman" w:eastAsia="Times New Roman" w:hAnsi="Times New Roman"/>
          <w:b/>
          <w:sz w:val="24"/>
          <w:szCs w:val="22"/>
        </w:rPr>
        <w:t>Inclusión</w:t>
      </w:r>
      <w:r w:rsidRPr="009A27ED">
        <w:rPr>
          <w:rFonts w:ascii="Times New Roman" w:eastAsia="Times New Roman" w:hAnsi="Times New Roman"/>
          <w:sz w:val="24"/>
          <w:szCs w:val="22"/>
        </w:rPr>
        <w:t>: El derecho a recibir asistencia en el restablecimiento de las condiciones de vida se extiende a todos los habitantes en los sitios afectados por las actividades del proyecto, independientemente de la forma de tenencia que acrediten.</w:t>
      </w:r>
    </w:p>
    <w:p w14:paraId="5BEEF308" w14:textId="77777777" w:rsidR="00405040" w:rsidRPr="009A27ED" w:rsidRDefault="00405040" w:rsidP="00405040">
      <w:pPr>
        <w:autoSpaceDE w:val="0"/>
        <w:autoSpaceDN w:val="0"/>
        <w:adjustRightInd w:val="0"/>
        <w:spacing w:before="120" w:after="0" w:line="360" w:lineRule="auto"/>
        <w:rPr>
          <w:szCs w:val="22"/>
        </w:rPr>
      </w:pPr>
      <w:r w:rsidRPr="009A27ED">
        <w:rPr>
          <w:rFonts w:ascii="Times New Roman" w:eastAsia="Times New Roman" w:hAnsi="Times New Roman"/>
          <w:b/>
          <w:sz w:val="24"/>
          <w:szCs w:val="22"/>
        </w:rPr>
        <w:t>Equidad y reconocimiento de las diferencias en cuanto a la afectación</w:t>
      </w:r>
      <w:r w:rsidRPr="009A27ED">
        <w:rPr>
          <w:rFonts w:ascii="Times New Roman" w:eastAsia="Times New Roman" w:hAnsi="Times New Roman"/>
          <w:sz w:val="24"/>
          <w:szCs w:val="22"/>
        </w:rPr>
        <w:t>: Las soluciones que se propongan responderán a los impactos causados por el desplazamiento. Toda persona, familia o actividad económica recibirán el mismo tratamiento y accederán a las diferentes alternativas de solución que se ofrezcan.</w:t>
      </w:r>
    </w:p>
    <w:p w14:paraId="78EE53AB" w14:textId="1A3EFF18" w:rsidR="00405040" w:rsidRPr="009A27ED" w:rsidRDefault="00405040" w:rsidP="00405040">
      <w:pPr>
        <w:autoSpaceDE w:val="0"/>
        <w:autoSpaceDN w:val="0"/>
        <w:adjustRightInd w:val="0"/>
        <w:spacing w:before="120" w:after="0" w:line="360" w:lineRule="auto"/>
        <w:rPr>
          <w:szCs w:val="22"/>
        </w:rPr>
      </w:pPr>
      <w:r w:rsidRPr="009A27ED">
        <w:rPr>
          <w:rFonts w:ascii="Times New Roman" w:eastAsia="Times New Roman" w:hAnsi="Times New Roman"/>
          <w:b/>
          <w:sz w:val="24"/>
          <w:szCs w:val="22"/>
        </w:rPr>
        <w:t>Afectación condicionada</w:t>
      </w:r>
      <w:r w:rsidRPr="009A27ED">
        <w:rPr>
          <w:rFonts w:ascii="Times New Roman" w:eastAsia="Times New Roman" w:hAnsi="Times New Roman"/>
          <w:sz w:val="24"/>
          <w:szCs w:val="22"/>
        </w:rPr>
        <w:t xml:space="preserve">: La privación involuntaria de tierras y otros activos conexos podrá ocurrir una vez que se haya pagado la indemnización y, cuando corresponda, una vez que se hayan proporcionado sitios de reasentamiento y subsidios de traslado a las personas desplazadas, y/o se haya resuelto la </w:t>
      </w:r>
      <w:r w:rsidR="004B4775" w:rsidRPr="009A27ED">
        <w:rPr>
          <w:rFonts w:ascii="Times New Roman" w:eastAsia="Times New Roman" w:hAnsi="Times New Roman"/>
          <w:sz w:val="24"/>
          <w:szCs w:val="22"/>
        </w:rPr>
        <w:t>afectación.</w:t>
      </w:r>
      <w:r w:rsidRPr="009A27ED">
        <w:rPr>
          <w:rFonts w:ascii="Times New Roman" w:eastAsia="Times New Roman" w:hAnsi="Times New Roman"/>
          <w:sz w:val="24"/>
          <w:szCs w:val="22"/>
        </w:rPr>
        <w:t xml:space="preserve"> La ejecución de las actividades de reasentamiento estará vinculada a la ejecución del componente de inversión del proyecto, con el fin de que el desplazamiento o la restricción del acceso no se produzcan antes de que se hayan establecido las medidas necesarias para el reasentamiento.</w:t>
      </w:r>
    </w:p>
    <w:p w14:paraId="6A0CB830" w14:textId="77777777" w:rsidR="00405040" w:rsidRPr="009A27ED" w:rsidRDefault="00405040" w:rsidP="00405040">
      <w:pPr>
        <w:autoSpaceDE w:val="0"/>
        <w:autoSpaceDN w:val="0"/>
        <w:adjustRightInd w:val="0"/>
        <w:spacing w:before="120" w:after="0" w:line="360" w:lineRule="auto"/>
        <w:rPr>
          <w:szCs w:val="22"/>
        </w:rPr>
      </w:pPr>
      <w:r w:rsidRPr="009A27ED">
        <w:rPr>
          <w:rFonts w:ascii="Times New Roman" w:eastAsia="Times New Roman" w:hAnsi="Times New Roman"/>
          <w:b/>
          <w:sz w:val="24"/>
          <w:szCs w:val="22"/>
        </w:rPr>
        <w:t>Información y participación de la población</w:t>
      </w:r>
      <w:r w:rsidRPr="009A27ED">
        <w:rPr>
          <w:rFonts w:ascii="Times New Roman" w:eastAsia="Times New Roman" w:hAnsi="Times New Roman"/>
          <w:sz w:val="24"/>
          <w:szCs w:val="22"/>
        </w:rPr>
        <w:t xml:space="preserve">: Se debe asegurar que la población afectada recibirá información clara, veraz y oportuna sobre sus derechos, deberes y el estado en que se encuentra el proceso de adquisición de los bienes y las medidas previstas en los instrumentos de RI: el </w:t>
      </w:r>
      <w:proofErr w:type="spellStart"/>
      <w:r w:rsidRPr="009A27ED">
        <w:rPr>
          <w:rFonts w:ascii="Times New Roman" w:eastAsia="Times New Roman" w:hAnsi="Times New Roman"/>
          <w:sz w:val="24"/>
          <w:szCs w:val="22"/>
        </w:rPr>
        <w:t>PdR</w:t>
      </w:r>
      <w:proofErr w:type="spellEnd"/>
      <w:r w:rsidRPr="009A27ED">
        <w:rPr>
          <w:rFonts w:ascii="Times New Roman" w:eastAsia="Times New Roman" w:hAnsi="Times New Roman"/>
          <w:sz w:val="24"/>
          <w:szCs w:val="22"/>
        </w:rPr>
        <w:t xml:space="preserve">/ </w:t>
      </w:r>
      <w:proofErr w:type="spellStart"/>
      <w:r w:rsidRPr="009A27ED">
        <w:rPr>
          <w:rFonts w:ascii="Times New Roman" w:eastAsia="Times New Roman" w:hAnsi="Times New Roman"/>
          <w:sz w:val="24"/>
          <w:szCs w:val="22"/>
        </w:rPr>
        <w:t>PdRA</w:t>
      </w:r>
      <w:proofErr w:type="spellEnd"/>
      <w:r w:rsidRPr="009A27ED">
        <w:rPr>
          <w:rFonts w:ascii="Times New Roman" w:eastAsia="Times New Roman" w:hAnsi="Times New Roman"/>
          <w:sz w:val="24"/>
          <w:szCs w:val="22"/>
        </w:rPr>
        <w:t>/Plan de Acción de las Normas de Procedimiento. Las unidades sociales que se deban trasladar serán consultadas sobre las alternativas de solución.</w:t>
      </w:r>
    </w:p>
    <w:p w14:paraId="0502E707" w14:textId="77777777" w:rsidR="00405040" w:rsidRPr="009A27ED" w:rsidRDefault="00405040" w:rsidP="00405040">
      <w:pPr>
        <w:autoSpaceDE w:val="0"/>
        <w:autoSpaceDN w:val="0"/>
        <w:adjustRightInd w:val="0"/>
        <w:spacing w:before="120" w:after="0" w:line="360" w:lineRule="auto"/>
        <w:rPr>
          <w:szCs w:val="22"/>
        </w:rPr>
      </w:pPr>
      <w:r w:rsidRPr="009A27ED">
        <w:rPr>
          <w:rFonts w:ascii="Times New Roman" w:eastAsia="Times New Roman" w:hAnsi="Times New Roman"/>
          <w:b/>
          <w:sz w:val="24"/>
          <w:szCs w:val="22"/>
        </w:rPr>
        <w:lastRenderedPageBreak/>
        <w:t>Transparencia:</w:t>
      </w:r>
      <w:r w:rsidRPr="009A27ED">
        <w:rPr>
          <w:rFonts w:ascii="Times New Roman" w:eastAsia="Times New Roman" w:hAnsi="Times New Roman"/>
          <w:sz w:val="24"/>
          <w:szCs w:val="22"/>
        </w:rPr>
        <w:t xml:space="preserve"> Las medidas adoptadas en la aplicación de los instrumentos de reasentamiento, serán difundidas de manera que todos los participantes cuenten con información adecuada y veraz sobre el proceso. Se garantizará que el proceso de reasentamiento incluya a toda la población afectada y que los criterios y procedimientos de elegibilidad para acceder a beneficios sean claros, transparentes y se apliquen de manera equitativa para todos los afectados.</w:t>
      </w:r>
    </w:p>
    <w:p w14:paraId="659E1927" w14:textId="210A9DF6" w:rsidR="00405040" w:rsidRPr="009A27ED" w:rsidRDefault="00405040" w:rsidP="00405040">
      <w:pPr>
        <w:autoSpaceDE w:val="0"/>
        <w:autoSpaceDN w:val="0"/>
        <w:adjustRightInd w:val="0"/>
        <w:spacing w:before="120" w:after="0" w:line="360" w:lineRule="auto"/>
        <w:rPr>
          <w:szCs w:val="22"/>
        </w:rPr>
      </w:pPr>
    </w:p>
    <w:p w14:paraId="7D37CE1F" w14:textId="77777777" w:rsidR="00405040" w:rsidRPr="009A27ED" w:rsidRDefault="00405040" w:rsidP="004B4775">
      <w:pPr>
        <w:pStyle w:val="TtuloTDC"/>
        <w:numPr>
          <w:ilvl w:val="0"/>
          <w:numId w:val="0"/>
        </w:numPr>
        <w:spacing w:before="120" w:line="360" w:lineRule="auto"/>
        <w:jc w:val="both"/>
        <w:rPr>
          <w:sz w:val="22"/>
          <w:szCs w:val="22"/>
        </w:rPr>
      </w:pPr>
      <w:bookmarkStart w:id="681" w:name="_Toc530931970"/>
      <w:bookmarkStart w:id="682" w:name="_Toc530933119"/>
      <w:bookmarkStart w:id="683" w:name="_Toc532335891"/>
      <w:r w:rsidRPr="009A27ED">
        <w:rPr>
          <w:rFonts w:ascii="Times New Roman" w:eastAsia="Times New Roman" w:hAnsi="Times New Roman"/>
          <w:szCs w:val="22"/>
        </w:rPr>
        <w:t xml:space="preserve">4. </w:t>
      </w:r>
      <w:r w:rsidRPr="009A27ED">
        <w:rPr>
          <w:rFonts w:ascii="Times New Roman" w:eastAsia="Times New Roman" w:hAnsi="Times New Roman"/>
          <w:bCs w:val="0"/>
          <w:szCs w:val="22"/>
          <w:bdr w:val="none" w:sz="0" w:space="0" w:color="auto" w:frame="1"/>
          <w:lang w:val="es-ES"/>
        </w:rPr>
        <w:t>Contexto sobre Reasentamiento Involuntario en República Dominicana</w:t>
      </w:r>
      <w:bookmarkEnd w:id="681"/>
      <w:bookmarkEnd w:id="682"/>
      <w:bookmarkEnd w:id="683"/>
      <w:r w:rsidRPr="009A27ED">
        <w:rPr>
          <w:rFonts w:ascii="Times New Roman" w:eastAsia="Times New Roman" w:hAnsi="Times New Roman"/>
          <w:szCs w:val="22"/>
        </w:rPr>
        <w:t xml:space="preserve"> </w:t>
      </w:r>
    </w:p>
    <w:p w14:paraId="60EB7D1C" w14:textId="77777777" w:rsidR="00405040" w:rsidRPr="009A27ED" w:rsidRDefault="00405040" w:rsidP="00405040">
      <w:pPr>
        <w:spacing w:before="120" w:after="0" w:line="360" w:lineRule="auto"/>
        <w:rPr>
          <w:szCs w:val="22"/>
        </w:rPr>
      </w:pPr>
      <w:r w:rsidRPr="009A27ED">
        <w:rPr>
          <w:rFonts w:ascii="Times New Roman" w:eastAsia="Times New Roman" w:hAnsi="Times New Roman"/>
          <w:sz w:val="24"/>
          <w:szCs w:val="22"/>
        </w:rPr>
        <w:t>4.1. Marco Legal e Institucional de República Dominicana</w:t>
      </w:r>
    </w:p>
    <w:p w14:paraId="452B9322" w14:textId="15E58421" w:rsidR="00405040" w:rsidRPr="009A27ED" w:rsidRDefault="00405040" w:rsidP="00405040">
      <w:pPr>
        <w:spacing w:after="0" w:line="360" w:lineRule="auto"/>
        <w:rPr>
          <w:color w:val="000000" w:themeColor="text1"/>
          <w:szCs w:val="22"/>
        </w:rPr>
      </w:pPr>
      <w:r w:rsidRPr="009A27ED">
        <w:rPr>
          <w:rFonts w:ascii="Times New Roman" w:eastAsia="Times New Roman" w:hAnsi="Times New Roman"/>
          <w:sz w:val="24"/>
          <w:szCs w:val="22"/>
        </w:rPr>
        <w:t xml:space="preserve">Aunque en la República Dominicana se han producido pocos casos de desplazamientos y reasentamientos involuntarios por la declaratorias de Áreas Protegidas, procediendo sin embargo en estos casos al pago de indemnizaciones y reubicación posterior de las comunidades afectadas, estas acciones no </w:t>
      </w:r>
      <w:r w:rsidR="004B4775" w:rsidRPr="009A27ED">
        <w:rPr>
          <w:rFonts w:ascii="Times New Roman" w:eastAsia="Times New Roman" w:hAnsi="Times New Roman"/>
          <w:sz w:val="24"/>
          <w:szCs w:val="22"/>
        </w:rPr>
        <w:t>constituyen un</w:t>
      </w:r>
      <w:r w:rsidRPr="009A27ED">
        <w:rPr>
          <w:rFonts w:ascii="Times New Roman" w:eastAsia="Times New Roman" w:hAnsi="Times New Roman"/>
          <w:sz w:val="24"/>
          <w:szCs w:val="22"/>
        </w:rPr>
        <w:t xml:space="preserve"> tema contemplado en una legislación especial. Para este aspecto solo existen disposiciones </w:t>
      </w:r>
      <w:r w:rsidR="004B4775" w:rsidRPr="009A27ED">
        <w:rPr>
          <w:rFonts w:ascii="Times New Roman" w:eastAsia="Times New Roman" w:hAnsi="Times New Roman"/>
          <w:sz w:val="24"/>
          <w:szCs w:val="22"/>
        </w:rPr>
        <w:t>legales que</w:t>
      </w:r>
      <w:r w:rsidRPr="009A27ED">
        <w:rPr>
          <w:rFonts w:ascii="Times New Roman" w:eastAsia="Times New Roman" w:hAnsi="Times New Roman"/>
          <w:sz w:val="24"/>
          <w:szCs w:val="22"/>
        </w:rPr>
        <w:t xml:space="preserve"> regulan las expropiaciones llevadas a cabo por el Estado dominicano por causa de utilidad pública, donde se prevé el pago de una indemnización económica o </w:t>
      </w:r>
      <w:r w:rsidR="004B4775" w:rsidRPr="009A27ED">
        <w:rPr>
          <w:rFonts w:ascii="Times New Roman" w:eastAsia="Times New Roman" w:hAnsi="Times New Roman"/>
          <w:sz w:val="24"/>
          <w:szCs w:val="22"/>
        </w:rPr>
        <w:t>permuta.</w:t>
      </w:r>
      <w:r w:rsidRPr="009A27ED">
        <w:rPr>
          <w:rFonts w:ascii="Times New Roman" w:eastAsia="Times New Roman" w:hAnsi="Times New Roman"/>
          <w:color w:val="000000" w:themeColor="text1"/>
          <w:sz w:val="24"/>
          <w:szCs w:val="22"/>
        </w:rPr>
        <w:t xml:space="preserve">  No existe un mecanismo para resarcir los costos de la privación involuntaria de tierras, que da por resultado el desplazamiento o la perdida de la vivienda; La pérdida de los activos o del acceso a los activos, la pérdida de las fuentes de ingresos o de los medios de subsistencia, ya sea que los afectados deban trasladarse a otro lugar o no. En ese sentido, solo existe en la actualidad un mecanismo de pago por la expropiación que es el establecido en la Constitución dominicana en el </w:t>
      </w:r>
      <w:r w:rsidRPr="009A27ED">
        <w:rPr>
          <w:rFonts w:ascii="Times New Roman" w:eastAsia="Times New Roman" w:hAnsi="Times New Roman"/>
          <w:b/>
          <w:color w:val="000000" w:themeColor="text1"/>
          <w:sz w:val="24"/>
          <w:szCs w:val="22"/>
        </w:rPr>
        <w:t>Artículo 51.-</w:t>
      </w:r>
      <w:r w:rsidRPr="009A27ED">
        <w:rPr>
          <w:rFonts w:ascii="Times New Roman" w:eastAsia="Times New Roman" w:hAnsi="Times New Roman"/>
          <w:color w:val="000000" w:themeColor="text1"/>
          <w:sz w:val="24"/>
          <w:szCs w:val="22"/>
        </w:rPr>
        <w:t xml:space="preserve"> Derecho de propiedad. El Estado reconoce y garantiza el derecho de propiedad. La propiedad tiene una función social que implica obligaciones. Toda persona tiene derecho al goce, disfrute y disposición de sus bienes. 1) Ninguna persona puede ser privada de su propiedad, sino por causa justificada de utilidad pública o de interés social, previo pago de su justo valor, determinado por acuerdo entre las partes o sentencia de tribunal competente, de conformidad con lo establecido en la ley. En caso de declaratoria de Estado de Emergencia o de Defensa, la indemnización podrá no ser previa. Por otra parte, </w:t>
      </w:r>
      <w:r w:rsidRPr="009A27ED">
        <w:rPr>
          <w:rFonts w:ascii="Times New Roman" w:eastAsia="Times New Roman" w:hAnsi="Times New Roman"/>
          <w:b/>
          <w:color w:val="000000" w:themeColor="text1"/>
          <w:sz w:val="24"/>
          <w:szCs w:val="22"/>
        </w:rPr>
        <w:t>el Articulo 16</w:t>
      </w:r>
      <w:r w:rsidRPr="009A27ED">
        <w:rPr>
          <w:rFonts w:ascii="Times New Roman" w:eastAsia="Times New Roman" w:hAnsi="Times New Roman"/>
          <w:color w:val="000000" w:themeColor="text1"/>
          <w:sz w:val="24"/>
          <w:szCs w:val="22"/>
        </w:rPr>
        <w:t xml:space="preserve"> de la Constitución dominicana establece que las unidades de conservación pertenecientes al Sistema Nacional de Áreas Protegidas (SINAP) constituyen bienes patrimoniales de la </w:t>
      </w:r>
      <w:r w:rsidRPr="009A27ED">
        <w:rPr>
          <w:rFonts w:ascii="Times New Roman" w:eastAsia="Times New Roman" w:hAnsi="Times New Roman"/>
          <w:color w:val="000000" w:themeColor="text1"/>
          <w:sz w:val="24"/>
          <w:szCs w:val="22"/>
        </w:rPr>
        <w:lastRenderedPageBreak/>
        <w:t>nación, por lo que son inalienables, inembargables e imprescriptibles. Ese es el mismo planteamiento que está establecido en la Ley 344 de 1943 y que establece un procedimiento especial para las Expropiaciones intentadas por el Estado, el Distrito de Santo Domingo o las Comunidades;</w:t>
      </w:r>
    </w:p>
    <w:p w14:paraId="33B851C6" w14:textId="77777777" w:rsidR="00405040" w:rsidRPr="009A27ED" w:rsidRDefault="00405040" w:rsidP="00405040">
      <w:pPr>
        <w:spacing w:after="0" w:line="360" w:lineRule="auto"/>
        <w:rPr>
          <w:color w:val="000000" w:themeColor="text1"/>
          <w:szCs w:val="22"/>
        </w:rPr>
      </w:pPr>
    </w:p>
    <w:p w14:paraId="4125EB47" w14:textId="77777777" w:rsidR="00405040" w:rsidRPr="009A27ED" w:rsidRDefault="00405040" w:rsidP="00405040">
      <w:pPr>
        <w:pStyle w:val="m826399444923632953xmsonormal"/>
        <w:shd w:val="clear" w:color="auto" w:fill="FFFFFF"/>
        <w:spacing w:before="0" w:beforeAutospacing="0" w:after="0" w:afterAutospacing="0" w:line="360" w:lineRule="auto"/>
        <w:jc w:val="both"/>
        <w:rPr>
          <w:rFonts w:asciiTheme="minorHAnsi" w:hAnsiTheme="minorHAnsi" w:cstheme="minorHAnsi"/>
          <w:szCs w:val="22"/>
        </w:rPr>
      </w:pPr>
      <w:r w:rsidRPr="009A27ED">
        <w:rPr>
          <w:rFonts w:asciiTheme="minorHAnsi" w:hAnsiTheme="minorHAnsi" w:cstheme="minorHAnsi"/>
          <w:sz w:val="24"/>
          <w:szCs w:val="22"/>
        </w:rPr>
        <w:t>Para el caso específico del SINAP, el artículo 33 de la Ley No. 64-00, General sobre Medio Ambiente y Recursos Naturales, establece la creación del SINAP que compromete todas las áreas de ese carácter, existentes y que se creen en el futuro, ya sean públicas o privadas.</w:t>
      </w:r>
    </w:p>
    <w:p w14:paraId="66BFCE2B" w14:textId="77777777" w:rsidR="00405040" w:rsidRPr="009A27ED" w:rsidRDefault="00405040" w:rsidP="00405040">
      <w:pPr>
        <w:pStyle w:val="m826399444923632953xmsonormal"/>
        <w:shd w:val="clear" w:color="auto" w:fill="FFFFFF"/>
        <w:spacing w:before="0" w:beforeAutospacing="0" w:after="0" w:afterAutospacing="0" w:line="360" w:lineRule="auto"/>
        <w:jc w:val="both"/>
        <w:rPr>
          <w:rFonts w:asciiTheme="minorHAnsi" w:hAnsiTheme="minorHAnsi" w:cstheme="minorHAnsi"/>
          <w:szCs w:val="22"/>
        </w:rPr>
      </w:pPr>
    </w:p>
    <w:p w14:paraId="67553D7B" w14:textId="77777777" w:rsidR="00405040" w:rsidRPr="009A27ED" w:rsidRDefault="00405040" w:rsidP="00405040">
      <w:pPr>
        <w:autoSpaceDE w:val="0"/>
        <w:autoSpaceDN w:val="0"/>
        <w:adjustRightInd w:val="0"/>
        <w:spacing w:line="360" w:lineRule="auto"/>
        <w:rPr>
          <w:rFonts w:cs="Microsoft Sans Serif"/>
          <w:szCs w:val="22"/>
        </w:rPr>
      </w:pPr>
      <w:r w:rsidRPr="009A27ED">
        <w:rPr>
          <w:rFonts w:ascii="Times New Roman" w:eastAsia="Times New Roman" w:hAnsi="Times New Roman" w:cs="Microsoft Sans Serif"/>
          <w:sz w:val="24"/>
          <w:szCs w:val="22"/>
        </w:rPr>
        <w:t xml:space="preserve">Bajo el mandato de la Ley marco No. 64-00, se promulga la Ley Sectorial de Áreas Protegidas No. 202-04 con el objetivo de garantizar la conservación y preservación de muestras representativas de los diferentes ecosistemas y del patrimonio natural y cultural de la República Dominicana. A este efecto, esta ley sectorial </w:t>
      </w:r>
      <w:r w:rsidRPr="009A27ED">
        <w:rPr>
          <w:rFonts w:ascii="Times New Roman" w:eastAsia="Times New Roman" w:hAnsi="Times New Roman" w:cs="Microsoft Sans Serif"/>
          <w:sz w:val="24"/>
          <w:szCs w:val="22"/>
          <w:lang w:eastAsia="es-DO"/>
        </w:rPr>
        <w:t>aglutina un amplio conjunto de áreas, espacios y ecosistemas diseminados</w:t>
      </w:r>
      <w:r w:rsidRPr="009A27ED">
        <w:rPr>
          <w:rFonts w:ascii="Times New Roman" w:eastAsia="Times New Roman" w:hAnsi="Times New Roman" w:cs="Microsoft Sans Serif"/>
          <w:sz w:val="24"/>
          <w:szCs w:val="22"/>
        </w:rPr>
        <w:t xml:space="preserve"> por toda la geografía nacional con carácter definitivo que comprenden los terrenos pertenecientes al Estado y que conforman el patrimonio nacional de áreas bajo régimen especial de protección y aquellos terrenos de dominio privado que se encuentren en ellas, así como las que se declaren en el futuro (Artículo 6). </w:t>
      </w:r>
    </w:p>
    <w:p w14:paraId="3148A3A2" w14:textId="3369BE39" w:rsidR="00405040" w:rsidRPr="009A27ED" w:rsidRDefault="00637DDD" w:rsidP="00405040">
      <w:pPr>
        <w:pStyle w:val="m826399444923632953xmsonormal"/>
        <w:shd w:val="clear" w:color="auto" w:fill="FFFFFF"/>
        <w:spacing w:before="0" w:beforeAutospacing="0" w:after="0" w:afterAutospacing="0" w:line="360" w:lineRule="auto"/>
        <w:jc w:val="both"/>
        <w:rPr>
          <w:rFonts w:asciiTheme="minorHAnsi" w:hAnsiTheme="minorHAnsi" w:cstheme="minorHAnsi"/>
          <w:szCs w:val="22"/>
        </w:rPr>
      </w:pPr>
      <w:r w:rsidRPr="009A27ED">
        <w:rPr>
          <w:rFonts w:asciiTheme="minorHAnsi" w:hAnsiTheme="minorHAnsi" w:cstheme="minorHAnsi"/>
          <w:sz w:val="24"/>
          <w:szCs w:val="22"/>
        </w:rPr>
        <w:t>A</w:t>
      </w:r>
      <w:r w:rsidR="00405040" w:rsidRPr="009A27ED">
        <w:rPr>
          <w:rFonts w:asciiTheme="minorHAnsi" w:hAnsiTheme="minorHAnsi" w:cstheme="minorHAnsi"/>
          <w:sz w:val="24"/>
          <w:szCs w:val="22"/>
        </w:rPr>
        <w:t>l Ministerio de Medio Ambiente y Recursos Naturales le corresponde, conforme a la Ley No. 202-04,  definir las políticas, administrar, reglamentar, orientar y programar el manejo y desarrollo del Sistema Nacional de Áreas Protegidas (SINAP),  tomando en cuenta la legislación específica vigente y utilizando los mecanismos adecuados para su conservación, tales como: el ordenamiento del territorio, las evaluaciones ambientales, las vedas, las autorizaciones ambientales, los incentivos, entre otros.</w:t>
      </w:r>
    </w:p>
    <w:p w14:paraId="4ABA3EBD" w14:textId="77777777" w:rsidR="00405040" w:rsidRPr="009A27ED" w:rsidRDefault="00405040" w:rsidP="00405040">
      <w:pPr>
        <w:pStyle w:val="m826399444923632953xmsonormal"/>
        <w:shd w:val="clear" w:color="auto" w:fill="FFFFFF"/>
        <w:spacing w:before="0" w:beforeAutospacing="0" w:after="0" w:afterAutospacing="0" w:line="360" w:lineRule="auto"/>
        <w:jc w:val="both"/>
        <w:rPr>
          <w:rFonts w:asciiTheme="minorHAnsi" w:hAnsiTheme="minorHAnsi" w:cstheme="minorHAnsi"/>
          <w:szCs w:val="22"/>
        </w:rPr>
      </w:pPr>
    </w:p>
    <w:p w14:paraId="6605BE09" w14:textId="77777777" w:rsidR="00405040" w:rsidRPr="009A27ED" w:rsidRDefault="00405040" w:rsidP="00405040">
      <w:pPr>
        <w:autoSpaceDE w:val="0"/>
        <w:autoSpaceDN w:val="0"/>
        <w:adjustRightInd w:val="0"/>
        <w:spacing w:line="360" w:lineRule="auto"/>
        <w:rPr>
          <w:rFonts w:cs="Microsoft Sans Serif"/>
          <w:szCs w:val="22"/>
        </w:rPr>
      </w:pPr>
      <w:r w:rsidRPr="009A27ED">
        <w:rPr>
          <w:rFonts w:ascii="Times New Roman" w:eastAsia="Times New Roman" w:hAnsi="Times New Roman" w:cs="Microsoft Sans Serif"/>
          <w:sz w:val="24"/>
          <w:szCs w:val="22"/>
        </w:rPr>
        <w:t xml:space="preserve">El uso y aprovechamiento de los espacios protegidos referidos en el apartado </w:t>
      </w:r>
      <w:proofErr w:type="gramStart"/>
      <w:r w:rsidRPr="009A27ED">
        <w:rPr>
          <w:rFonts w:ascii="Times New Roman" w:eastAsia="Times New Roman" w:hAnsi="Times New Roman" w:cs="Microsoft Sans Serif"/>
          <w:sz w:val="24"/>
          <w:szCs w:val="22"/>
        </w:rPr>
        <w:t>anterior,</w:t>
      </w:r>
      <w:proofErr w:type="gramEnd"/>
      <w:r w:rsidRPr="009A27ED">
        <w:rPr>
          <w:rFonts w:ascii="Times New Roman" w:eastAsia="Times New Roman" w:hAnsi="Times New Roman" w:cs="Microsoft Sans Serif"/>
          <w:sz w:val="24"/>
          <w:szCs w:val="22"/>
        </w:rPr>
        <w:t xml:space="preserve"> sean públicos o privados deberá estar incorporados en el plan de manejo específico de cada área y a sus planes operativos y deberá contar con la respectiva evaluación ambiental cuando corresponda (Artículo 5, numeral 4).</w:t>
      </w:r>
    </w:p>
    <w:p w14:paraId="05585642" w14:textId="77777777" w:rsidR="00405040" w:rsidRPr="009A27ED" w:rsidRDefault="00405040" w:rsidP="00405040">
      <w:pPr>
        <w:autoSpaceDE w:val="0"/>
        <w:autoSpaceDN w:val="0"/>
        <w:adjustRightInd w:val="0"/>
        <w:spacing w:line="360" w:lineRule="auto"/>
        <w:rPr>
          <w:rFonts w:cs="Microsoft Sans Serif"/>
          <w:szCs w:val="22"/>
        </w:rPr>
      </w:pPr>
      <w:r w:rsidRPr="009A27ED">
        <w:rPr>
          <w:rFonts w:ascii="Times New Roman" w:eastAsia="Times New Roman" w:hAnsi="Times New Roman" w:cs="Microsoft Sans Serif"/>
          <w:sz w:val="24"/>
          <w:szCs w:val="22"/>
        </w:rPr>
        <w:t>Del mismo modo, dispone en su Artículo 9 que: “</w:t>
      </w:r>
      <w:r w:rsidRPr="009A27ED">
        <w:rPr>
          <w:rFonts w:ascii="Times New Roman" w:eastAsia="Times New Roman" w:hAnsi="Times New Roman" w:cs="Microsoft Sans Serif"/>
          <w:i/>
          <w:sz w:val="24"/>
          <w:szCs w:val="22"/>
        </w:rPr>
        <w:t xml:space="preserve">Los terrenos pertenecientes al Estado que integran el Sistema Nacional de Áreas Protegidas son imprescriptibles e inalienables y sobre </w:t>
      </w:r>
      <w:r w:rsidRPr="009A27ED">
        <w:rPr>
          <w:rFonts w:ascii="Times New Roman" w:eastAsia="Times New Roman" w:hAnsi="Times New Roman" w:cs="Microsoft Sans Serif"/>
          <w:i/>
          <w:sz w:val="24"/>
          <w:szCs w:val="22"/>
        </w:rPr>
        <w:lastRenderedPageBreak/>
        <w:t>ellos no puede constituirse ningún derecho privado</w:t>
      </w:r>
      <w:r w:rsidRPr="009A27ED">
        <w:rPr>
          <w:rFonts w:ascii="Times New Roman" w:eastAsia="Times New Roman" w:hAnsi="Times New Roman" w:cs="Microsoft Sans Serif"/>
          <w:sz w:val="24"/>
          <w:szCs w:val="22"/>
        </w:rPr>
        <w:t>”. Estas características son confirmadas por la Constitución dominicana en su Artículo 16 al establecer que: “</w:t>
      </w:r>
      <w:r w:rsidRPr="009A27ED">
        <w:rPr>
          <w:rFonts w:ascii="Times New Roman" w:eastAsia="Times New Roman" w:hAnsi="Times New Roman" w:cs="Microsoft Sans Serif"/>
          <w:i/>
          <w:sz w:val="24"/>
          <w:szCs w:val="22"/>
        </w:rPr>
        <w:t>La vida silvestre, las unidades de conservación que conforman el Sistema Nacional de Áreas Protegidas y los ecosistemas y especies que contiene, constituyen bienes patrimoniales de la Nación y son inalienables, inembargables e imprescriptibles. Los límites de las áreas protegidas sólo pueden ser reducidos por ley con la aprobación de las dos terceras partes de los votos de los miembros de las cámaras del Congreso Nacional</w:t>
      </w:r>
      <w:r w:rsidRPr="009A27ED">
        <w:rPr>
          <w:rFonts w:ascii="Times New Roman" w:eastAsia="Times New Roman" w:hAnsi="Times New Roman" w:cs="Microsoft Sans Serif"/>
          <w:sz w:val="24"/>
          <w:szCs w:val="22"/>
        </w:rPr>
        <w:t>”.</w:t>
      </w:r>
    </w:p>
    <w:p w14:paraId="28F1E68A" w14:textId="77777777" w:rsidR="00405040" w:rsidRPr="009A27ED" w:rsidRDefault="00405040" w:rsidP="00405040">
      <w:pPr>
        <w:spacing w:after="0" w:line="360" w:lineRule="auto"/>
        <w:rPr>
          <w:szCs w:val="22"/>
        </w:rPr>
      </w:pPr>
      <w:r w:rsidRPr="009A27ED">
        <w:rPr>
          <w:rFonts w:ascii="Times New Roman" w:eastAsia="Times New Roman" w:hAnsi="Times New Roman"/>
          <w:sz w:val="24"/>
          <w:szCs w:val="22"/>
          <w:lang w:val="es-ES_tradnl"/>
        </w:rPr>
        <w:t>S</w:t>
      </w:r>
      <w:proofErr w:type="spellStart"/>
      <w:r w:rsidRPr="009A27ED">
        <w:rPr>
          <w:rFonts w:ascii="Times New Roman" w:eastAsia="Times New Roman" w:hAnsi="Times New Roman"/>
          <w:sz w:val="24"/>
          <w:szCs w:val="22"/>
        </w:rPr>
        <w:t>egún</w:t>
      </w:r>
      <w:proofErr w:type="spellEnd"/>
      <w:r w:rsidRPr="009A27ED">
        <w:rPr>
          <w:rFonts w:ascii="Times New Roman" w:eastAsia="Times New Roman" w:hAnsi="Times New Roman"/>
          <w:sz w:val="24"/>
          <w:szCs w:val="22"/>
        </w:rPr>
        <w:t xml:space="preserve"> la Constitución y la Ley Sectorial de Áreas Protegidas estos espacios que son inalienables, inembargables e imprescriptibles, están fuera de todo comercio y fuera del alcance del dominio privado de los particulares y no procede en ningún caso el registro del derecho de propiedad producto del proceso de saneamiento. Por demás se aclara que los límites de las áreas protegidas no podrán ser reducidos salvo la condición de ser propuestos o modificados mediante ley que deberá ser aprobada por el Congreso bajo requisitos de quórum específicos.</w:t>
      </w:r>
    </w:p>
    <w:p w14:paraId="6325F753" w14:textId="77777777" w:rsidR="00405040" w:rsidRPr="009A27ED" w:rsidRDefault="00405040" w:rsidP="00405040">
      <w:pPr>
        <w:spacing w:after="0" w:line="360" w:lineRule="auto"/>
        <w:rPr>
          <w:szCs w:val="22"/>
        </w:rPr>
      </w:pPr>
    </w:p>
    <w:p w14:paraId="428E1806" w14:textId="77777777" w:rsidR="00405040" w:rsidRPr="009A27ED" w:rsidRDefault="00405040" w:rsidP="00405040">
      <w:pPr>
        <w:shd w:val="clear" w:color="auto" w:fill="FFFFFF"/>
        <w:spacing w:line="360" w:lineRule="auto"/>
        <w:rPr>
          <w:rFonts w:cs="Microsoft Sans Serif"/>
          <w:szCs w:val="22"/>
          <w:lang w:eastAsia="es-DO"/>
        </w:rPr>
      </w:pPr>
      <w:r w:rsidRPr="009A27ED">
        <w:rPr>
          <w:rFonts w:ascii="Times New Roman" w:eastAsia="Times New Roman" w:hAnsi="Times New Roman" w:cs="Microsoft Sans Serif"/>
          <w:sz w:val="24"/>
          <w:szCs w:val="22"/>
          <w:lang w:eastAsia="es-DO"/>
        </w:rPr>
        <w:t xml:space="preserve">Sobre esta cuestión es importante distinguir lo que ocurre en caso de que la condición de área protegida de un espacio o ecosistema haya sido investida con posterioridad a la existencia de parcelas debidamente registradas en esa zona. Para este caso, cabe resaltar la disposición del párrafo del Artículo 9 de la Ley 202-04 que afirma que: </w:t>
      </w:r>
      <w:r w:rsidRPr="009A27ED">
        <w:rPr>
          <w:rFonts w:ascii="Times New Roman" w:eastAsia="Times New Roman" w:hAnsi="Times New Roman" w:cs="Microsoft Sans Serif"/>
          <w:sz w:val="24"/>
          <w:szCs w:val="22"/>
        </w:rPr>
        <w:t>“</w:t>
      </w:r>
      <w:r w:rsidRPr="009A27ED">
        <w:rPr>
          <w:rFonts w:ascii="Times New Roman" w:eastAsia="Times New Roman" w:hAnsi="Times New Roman" w:cs="Microsoft Sans Serif"/>
          <w:i/>
          <w:sz w:val="24"/>
          <w:szCs w:val="22"/>
        </w:rPr>
        <w:t xml:space="preserve">Los terrenos de dominio privado con título de propiedad inscrito legalmente en el correspondiente Registro del Tribunal Superior de Tierras con anterioridad a la promulgación de la Ley General sobre Medio Ambiente y Recursos Naturales, que se encuentren dentro de las áreas protegidas, se reconocerán como tales”.  </w:t>
      </w:r>
      <w:r w:rsidRPr="009A27ED">
        <w:rPr>
          <w:rFonts w:ascii="Times New Roman" w:eastAsia="Times New Roman" w:hAnsi="Times New Roman" w:cs="Microsoft Sans Serif"/>
          <w:sz w:val="24"/>
          <w:szCs w:val="22"/>
          <w:lang w:eastAsia="es-DO"/>
        </w:rPr>
        <w:t xml:space="preserve">No </w:t>
      </w:r>
      <w:proofErr w:type="gramStart"/>
      <w:r w:rsidRPr="009A27ED">
        <w:rPr>
          <w:rFonts w:ascii="Times New Roman" w:eastAsia="Times New Roman" w:hAnsi="Times New Roman" w:cs="Microsoft Sans Serif"/>
          <w:sz w:val="24"/>
          <w:szCs w:val="22"/>
          <w:lang w:eastAsia="es-DO"/>
        </w:rPr>
        <w:t>obstante</w:t>
      </w:r>
      <w:proofErr w:type="gramEnd"/>
      <w:r w:rsidRPr="009A27ED">
        <w:rPr>
          <w:rFonts w:ascii="Times New Roman" w:eastAsia="Times New Roman" w:hAnsi="Times New Roman" w:cs="Microsoft Sans Serif"/>
          <w:sz w:val="24"/>
          <w:szCs w:val="22"/>
          <w:lang w:eastAsia="es-DO"/>
        </w:rPr>
        <w:t xml:space="preserve"> esta disposición, el mismo párrafo establece en su parte </w:t>
      </w:r>
      <w:r w:rsidRPr="009A27ED">
        <w:rPr>
          <w:rFonts w:ascii="Times New Roman" w:eastAsia="Times New Roman" w:hAnsi="Times New Roman" w:cs="Microsoft Sans Serif"/>
          <w:i/>
          <w:sz w:val="24"/>
          <w:szCs w:val="22"/>
          <w:lang w:eastAsia="es-DO"/>
        </w:rPr>
        <w:t>in fine</w:t>
      </w:r>
      <w:r w:rsidRPr="009A27ED">
        <w:rPr>
          <w:rFonts w:ascii="Times New Roman" w:eastAsia="Times New Roman" w:hAnsi="Times New Roman" w:cs="Microsoft Sans Serif"/>
          <w:sz w:val="24"/>
          <w:szCs w:val="22"/>
          <w:lang w:eastAsia="es-DO"/>
        </w:rPr>
        <w:t xml:space="preserve"> un dominio eminente sobre los predios así reconocidos a favor del Estado, lo que significa que tiene a su favor un derecho de preferencia a la compra, el que se impone ante cualquier otro adquiriente. En todo caso, la adquisición por parte del Estado tiene que ir precedida por pago o compensación por los terrenos.</w:t>
      </w:r>
    </w:p>
    <w:p w14:paraId="603C7518" w14:textId="77777777" w:rsidR="00405040" w:rsidRPr="009A27ED" w:rsidRDefault="00405040" w:rsidP="00405040">
      <w:pPr>
        <w:shd w:val="clear" w:color="auto" w:fill="FFFFFF"/>
        <w:spacing w:line="360" w:lineRule="auto"/>
        <w:rPr>
          <w:rFonts w:cs="Microsoft Sans Serif"/>
          <w:szCs w:val="22"/>
          <w:lang w:eastAsia="es-DO"/>
        </w:rPr>
      </w:pPr>
      <w:r w:rsidRPr="009A27ED">
        <w:rPr>
          <w:rFonts w:ascii="Times New Roman" w:eastAsia="Times New Roman" w:hAnsi="Times New Roman" w:cs="Microsoft Sans Serif"/>
          <w:sz w:val="24"/>
          <w:szCs w:val="22"/>
          <w:lang w:eastAsia="es-DO"/>
        </w:rPr>
        <w:t>En este sentido, los terrenos privados se reconocen como tales (esto es, como parcelas debidamente registradas a favor de particulares), con título de propiedad inscrito en el Registro de Títulos correspondiente con anterioridad a la promulgación de la Ley, y que se encuentren dentro de áreas protegidas.</w:t>
      </w:r>
    </w:p>
    <w:p w14:paraId="0A650E89" w14:textId="77777777" w:rsidR="00405040" w:rsidRPr="009A27ED" w:rsidRDefault="00405040" w:rsidP="00405040">
      <w:pPr>
        <w:shd w:val="clear" w:color="auto" w:fill="FFFFFF"/>
        <w:spacing w:after="0" w:line="360" w:lineRule="auto"/>
        <w:rPr>
          <w:rFonts w:cs="Microsoft Sans Serif"/>
          <w:lang w:eastAsia="es-DO"/>
        </w:rPr>
      </w:pPr>
      <w:r w:rsidRPr="009A27ED">
        <w:rPr>
          <w:rFonts w:ascii="Times New Roman" w:eastAsia="Times New Roman" w:hAnsi="Times New Roman" w:cs="Microsoft Sans Serif"/>
          <w:sz w:val="24"/>
          <w:szCs w:val="22"/>
          <w:lang w:eastAsia="es-DO"/>
        </w:rPr>
        <w:lastRenderedPageBreak/>
        <w:t>Este reconocimiento del derecho de propiedad privada es compatible con el principio de irretroactividad de la ley y con la garantía y salvaguarda del derecho de propiedad que queda a cargo del propio Estado en la Constitución de la República cuando establece en su Artículo 51 que “</w:t>
      </w:r>
      <w:r w:rsidRPr="009A27ED">
        <w:rPr>
          <w:rFonts w:ascii="Times New Roman" w:eastAsia="Times New Roman" w:hAnsi="Times New Roman" w:cs="Microsoft Sans Serif"/>
          <w:bCs/>
          <w:i/>
          <w:iCs/>
          <w:sz w:val="24"/>
          <w:szCs w:val="22"/>
          <w:lang w:eastAsia="es-DO"/>
        </w:rPr>
        <w:t>la propiedad tiene una función social que implica obligaciones. Toda persona tiene derecho al goce, disfrute y disposición de sus bienes</w:t>
      </w:r>
      <w:r w:rsidRPr="009A27ED">
        <w:rPr>
          <w:rFonts w:ascii="Times New Roman" w:eastAsia="Times New Roman" w:hAnsi="Times New Roman" w:cs="Microsoft Sans Serif"/>
          <w:bCs/>
          <w:iCs/>
          <w:sz w:val="24"/>
          <w:szCs w:val="22"/>
          <w:lang w:eastAsia="es-DO"/>
        </w:rPr>
        <w:t>” y que “</w:t>
      </w:r>
      <w:r w:rsidRPr="009A27ED">
        <w:rPr>
          <w:rFonts w:ascii="Times New Roman" w:eastAsia="Times New Roman" w:hAnsi="Times New Roman" w:cs="Microsoft Sans Serif"/>
          <w:bCs/>
          <w:i/>
          <w:iCs/>
          <w:sz w:val="24"/>
          <w:szCs w:val="22"/>
          <w:lang w:eastAsia="es-DO"/>
        </w:rPr>
        <w:t xml:space="preserve">ninguna persona puede ser privada de su propiedad, sino por causa justificada de utilidad pública o de interés social, previo pago de su justo </w:t>
      </w:r>
      <w:proofErr w:type="gramStart"/>
      <w:r w:rsidRPr="009A27ED">
        <w:rPr>
          <w:rFonts w:ascii="Times New Roman" w:eastAsia="Times New Roman" w:hAnsi="Times New Roman" w:cs="Microsoft Sans Serif"/>
          <w:bCs/>
          <w:i/>
          <w:iCs/>
          <w:sz w:val="24"/>
          <w:szCs w:val="22"/>
          <w:lang w:eastAsia="es-DO"/>
        </w:rPr>
        <w:t>valor,  determinado</w:t>
      </w:r>
      <w:proofErr w:type="gramEnd"/>
      <w:r w:rsidRPr="009A27ED">
        <w:rPr>
          <w:rFonts w:ascii="Times New Roman" w:eastAsia="Times New Roman" w:hAnsi="Times New Roman" w:cs="Microsoft Sans Serif"/>
          <w:bCs/>
          <w:i/>
          <w:iCs/>
          <w:sz w:val="24"/>
          <w:szCs w:val="22"/>
          <w:lang w:eastAsia="es-DO"/>
        </w:rPr>
        <w:t xml:space="preserve"> por acuerdo entre las partes o sentencia de tribunal competente, de</w:t>
      </w:r>
      <w:r w:rsidRPr="009A27ED">
        <w:rPr>
          <w:rFonts w:ascii="Times New Roman" w:eastAsia="Times New Roman" w:hAnsi="Times New Roman" w:cs="Microsoft Sans Serif"/>
          <w:bCs/>
          <w:i/>
          <w:iCs/>
          <w:sz w:val="24"/>
          <w:lang w:eastAsia="es-DO"/>
        </w:rPr>
        <w:t xml:space="preserve"> conformidad con lo establecido en la ley. En caso de declaratoria de Estado de Emergencia o de Defensa, la indemnización podrá no ser previa”</w:t>
      </w:r>
      <w:r w:rsidRPr="009A27ED">
        <w:rPr>
          <w:rFonts w:ascii="Times New Roman" w:eastAsia="Times New Roman" w:hAnsi="Times New Roman" w:cs="Microsoft Sans Serif"/>
          <w:sz w:val="24"/>
          <w:lang w:eastAsia="es-DO"/>
        </w:rPr>
        <w:t>.</w:t>
      </w:r>
    </w:p>
    <w:p w14:paraId="61EB5810" w14:textId="77777777" w:rsidR="00405040" w:rsidRPr="009A27ED" w:rsidRDefault="00405040" w:rsidP="00405040">
      <w:pPr>
        <w:shd w:val="clear" w:color="auto" w:fill="FFFFFF"/>
        <w:spacing w:after="0" w:line="360" w:lineRule="auto"/>
        <w:rPr>
          <w:rFonts w:cs="Microsoft Sans Serif"/>
          <w:lang w:eastAsia="es-DO"/>
        </w:rPr>
      </w:pPr>
    </w:p>
    <w:p w14:paraId="1C9E43CB" w14:textId="6DC718F5" w:rsidR="00405040" w:rsidRPr="009A27ED" w:rsidRDefault="00405040" w:rsidP="00405040">
      <w:pPr>
        <w:pStyle w:val="m826399444923632953xmsonormal"/>
        <w:shd w:val="clear" w:color="auto" w:fill="FFFFFF"/>
        <w:spacing w:before="0" w:beforeAutospacing="0" w:after="0" w:afterAutospacing="0" w:line="360" w:lineRule="auto"/>
        <w:jc w:val="both"/>
        <w:rPr>
          <w:rFonts w:asciiTheme="minorHAnsi" w:hAnsiTheme="minorHAnsi" w:cstheme="minorHAnsi"/>
          <w:bCs/>
          <w:szCs w:val="22"/>
        </w:rPr>
      </w:pPr>
      <w:r w:rsidRPr="009A27ED">
        <w:rPr>
          <w:rFonts w:asciiTheme="minorHAnsi" w:hAnsiTheme="minorHAnsi" w:cstheme="minorHAnsi"/>
          <w:bCs/>
          <w:sz w:val="24"/>
          <w:szCs w:val="22"/>
        </w:rPr>
        <w:t xml:space="preserve">Resulta importante </w:t>
      </w:r>
      <w:proofErr w:type="gramStart"/>
      <w:r w:rsidRPr="009A27ED">
        <w:rPr>
          <w:rFonts w:asciiTheme="minorHAnsi" w:hAnsiTheme="minorHAnsi" w:cstheme="minorHAnsi"/>
          <w:bCs/>
          <w:sz w:val="24"/>
          <w:szCs w:val="22"/>
        </w:rPr>
        <w:t>aclarar</w:t>
      </w:r>
      <w:proofErr w:type="gramEnd"/>
      <w:r w:rsidRPr="009A27ED">
        <w:rPr>
          <w:rFonts w:asciiTheme="minorHAnsi" w:hAnsiTheme="minorHAnsi" w:cstheme="minorHAnsi"/>
          <w:bCs/>
          <w:sz w:val="24"/>
          <w:szCs w:val="22"/>
        </w:rPr>
        <w:t xml:space="preserve"> además, que la Declaratoria de un Área Protegida no implica en modo alguno la expropiación por parte del Estado dominicano, de aquellos inmuebles de propiedad privada localizado dentro de sus límites</w:t>
      </w:r>
      <w:r w:rsidRPr="009A27ED">
        <w:rPr>
          <w:rFonts w:asciiTheme="minorHAnsi" w:hAnsiTheme="minorHAnsi" w:cstheme="minorHAnsi"/>
          <w:sz w:val="24"/>
          <w:szCs w:val="22"/>
        </w:rPr>
        <w:t xml:space="preserve">. </w:t>
      </w:r>
      <w:r w:rsidRPr="009A27ED">
        <w:rPr>
          <w:rFonts w:asciiTheme="minorHAnsi" w:hAnsiTheme="minorHAnsi" w:cstheme="minorHAnsi"/>
          <w:bCs/>
          <w:sz w:val="24"/>
          <w:szCs w:val="22"/>
        </w:rPr>
        <w:t>Un área natural protegida se declara bajo el amparo de las Leyes No. 64-00, General sobre Medio Ambiente y Recursos Naturales y No. 202-04, Sectorial de Áreas Protegidas y tiene por objetivo la protección y mantenimiento de elementos significativos de biodiversidad y de recursos naturales y culturales asociados, que recaen generalmente sobre un espacio terrestre o marítimo.</w:t>
      </w:r>
    </w:p>
    <w:p w14:paraId="0A156E9C" w14:textId="77777777" w:rsidR="002E5B86" w:rsidRPr="009A27ED" w:rsidRDefault="002E5B86" w:rsidP="00405040">
      <w:pPr>
        <w:pStyle w:val="m826399444923632953xmsonormal"/>
        <w:shd w:val="clear" w:color="auto" w:fill="FFFFFF"/>
        <w:spacing w:before="0" w:beforeAutospacing="0" w:after="0" w:afterAutospacing="0" w:line="360" w:lineRule="auto"/>
        <w:jc w:val="both"/>
        <w:rPr>
          <w:rFonts w:asciiTheme="minorHAnsi" w:hAnsiTheme="minorHAnsi" w:cstheme="minorHAnsi"/>
          <w:bCs/>
          <w:szCs w:val="22"/>
        </w:rPr>
      </w:pPr>
    </w:p>
    <w:p w14:paraId="7E9B7E63" w14:textId="77777777" w:rsidR="00405040" w:rsidRPr="009A27ED" w:rsidRDefault="00405040" w:rsidP="00405040">
      <w:pPr>
        <w:pStyle w:val="m826399444923632953xmsonormal"/>
        <w:shd w:val="clear" w:color="auto" w:fill="FFFFFF"/>
        <w:spacing w:before="0" w:beforeAutospacing="0" w:after="0" w:afterAutospacing="0" w:line="360" w:lineRule="auto"/>
        <w:jc w:val="both"/>
        <w:rPr>
          <w:rFonts w:asciiTheme="minorHAnsi" w:hAnsiTheme="minorHAnsi" w:cstheme="minorHAnsi"/>
          <w:bCs/>
          <w:szCs w:val="22"/>
        </w:rPr>
      </w:pPr>
      <w:r w:rsidRPr="009A27ED">
        <w:rPr>
          <w:rFonts w:asciiTheme="minorHAnsi" w:hAnsiTheme="minorHAnsi" w:cstheme="minorHAnsi"/>
          <w:sz w:val="24"/>
          <w:szCs w:val="22"/>
          <w:lang w:val="es-GT" w:eastAsia="en-NZ"/>
        </w:rPr>
        <w:t>Por otra parte, la Ley No. 344</w:t>
      </w:r>
      <w:r w:rsidRPr="009A27ED">
        <w:rPr>
          <w:rFonts w:asciiTheme="minorHAnsi" w:hAnsiTheme="minorHAnsi" w:cstheme="minorHAnsi"/>
          <w:b/>
          <w:sz w:val="24"/>
          <w:szCs w:val="22"/>
          <w:lang w:val="es-GT" w:eastAsia="en-NZ"/>
        </w:rPr>
        <w:t xml:space="preserve">, </w:t>
      </w:r>
      <w:r w:rsidRPr="009A27ED">
        <w:rPr>
          <w:rFonts w:asciiTheme="minorHAnsi" w:hAnsiTheme="minorHAnsi" w:cstheme="minorHAnsi"/>
          <w:sz w:val="24"/>
          <w:szCs w:val="22"/>
          <w:lang w:val="es-GT" w:eastAsia="en-NZ"/>
        </w:rPr>
        <w:t>del 29 de Julio del 1943 que Establece el Procedimiento Especial para las Expropiaciones Intentadas por el Estado dispone en su Artículo 1: “</w:t>
      </w:r>
      <w:r w:rsidRPr="009A27ED">
        <w:rPr>
          <w:rFonts w:asciiTheme="minorHAnsi" w:hAnsiTheme="minorHAnsi" w:cstheme="minorHAnsi"/>
          <w:i/>
          <w:sz w:val="24"/>
          <w:szCs w:val="22"/>
          <w:lang w:val="es-GT" w:eastAsia="en-NZ"/>
        </w:rPr>
        <w:t>Cuando por causas debidamente justificadas de utilidad pública o interés social, el Estado, o las comunes o el Distrito de Santo Domingo debidamente autorizados por el Poder Ejecutivo, deban proceder a la expropiación de una propiedad cualquiera, el procedimiento a seguir será el indicado en la presente ley</w:t>
      </w:r>
      <w:r w:rsidRPr="009A27ED">
        <w:rPr>
          <w:rFonts w:asciiTheme="minorHAnsi" w:hAnsiTheme="minorHAnsi" w:cstheme="minorHAnsi"/>
          <w:sz w:val="24"/>
          <w:szCs w:val="22"/>
          <w:lang w:val="es-GT" w:eastAsia="en-NZ"/>
        </w:rPr>
        <w:t>”.</w:t>
      </w:r>
      <w:r w:rsidRPr="009A27ED">
        <w:rPr>
          <w:rFonts w:asciiTheme="minorHAnsi" w:hAnsiTheme="minorHAnsi" w:cstheme="minorHAnsi"/>
          <w:sz w:val="24"/>
          <w:szCs w:val="22"/>
        </w:rPr>
        <w:t xml:space="preserve"> Lo anterior indica que cuando </w:t>
      </w:r>
      <w:r w:rsidRPr="009A27ED">
        <w:rPr>
          <w:rFonts w:asciiTheme="minorHAnsi" w:hAnsiTheme="minorHAnsi" w:cstheme="minorHAnsi"/>
          <w:bCs/>
          <w:sz w:val="24"/>
          <w:szCs w:val="22"/>
          <w:lang w:val="es-ES"/>
        </w:rPr>
        <w:t>el Estado dominicano tiene interés actual de expropiar un terreno</w:t>
      </w:r>
      <w:r w:rsidRPr="009A27ED">
        <w:rPr>
          <w:rFonts w:asciiTheme="minorHAnsi" w:hAnsiTheme="minorHAnsi" w:cstheme="minorHAnsi"/>
          <w:bCs/>
          <w:sz w:val="24"/>
          <w:szCs w:val="22"/>
        </w:rPr>
        <w:t xml:space="preserve"> declarado como área protegida</w:t>
      </w:r>
      <w:r w:rsidRPr="009A27ED">
        <w:rPr>
          <w:rFonts w:asciiTheme="minorHAnsi" w:hAnsiTheme="minorHAnsi" w:cstheme="minorHAnsi"/>
          <w:bCs/>
          <w:sz w:val="24"/>
          <w:szCs w:val="22"/>
          <w:lang w:val="es-ES"/>
        </w:rPr>
        <w:t xml:space="preserve">, </w:t>
      </w:r>
      <w:r w:rsidRPr="009A27ED">
        <w:rPr>
          <w:rFonts w:asciiTheme="minorHAnsi" w:hAnsiTheme="minorHAnsi" w:cstheme="minorHAnsi"/>
          <w:bCs/>
          <w:sz w:val="24"/>
          <w:szCs w:val="22"/>
        </w:rPr>
        <w:t>debe de expresarlo</w:t>
      </w:r>
      <w:r w:rsidRPr="009A27ED">
        <w:rPr>
          <w:rFonts w:asciiTheme="minorHAnsi" w:hAnsiTheme="minorHAnsi" w:cstheme="minorHAnsi"/>
          <w:bCs/>
          <w:sz w:val="24"/>
          <w:szCs w:val="22"/>
          <w:lang w:val="es-ES"/>
        </w:rPr>
        <w:t xml:space="preserve"> a través de un Decreto que lo declara de utilidad pública e interés social.</w:t>
      </w:r>
      <w:r w:rsidRPr="009A27ED">
        <w:rPr>
          <w:rFonts w:asciiTheme="minorHAnsi" w:hAnsiTheme="minorHAnsi" w:cstheme="minorHAnsi"/>
          <w:bCs/>
          <w:sz w:val="24"/>
          <w:szCs w:val="22"/>
        </w:rPr>
        <w:t xml:space="preserve"> Es decir, que cuando el Estado impide al propietario el acceso, uso y usufructo del terreno y toma posesión y dominio material de la propiedad</w:t>
      </w:r>
      <w:r w:rsidRPr="009A27ED">
        <w:rPr>
          <w:rFonts w:asciiTheme="minorHAnsi" w:hAnsiTheme="minorHAnsi" w:cstheme="minorHAnsi"/>
          <w:b/>
          <w:bCs/>
          <w:sz w:val="24"/>
          <w:szCs w:val="22"/>
        </w:rPr>
        <w:t xml:space="preserve"> </w:t>
      </w:r>
      <w:r w:rsidRPr="009A27ED">
        <w:rPr>
          <w:rFonts w:asciiTheme="minorHAnsi" w:hAnsiTheme="minorHAnsi" w:cstheme="minorHAnsi"/>
          <w:bCs/>
          <w:sz w:val="24"/>
          <w:szCs w:val="22"/>
        </w:rPr>
        <w:t xml:space="preserve">debe de </w:t>
      </w:r>
      <w:proofErr w:type="gramStart"/>
      <w:r w:rsidRPr="009A27ED">
        <w:rPr>
          <w:rFonts w:asciiTheme="minorHAnsi" w:hAnsiTheme="minorHAnsi" w:cstheme="minorHAnsi"/>
          <w:bCs/>
          <w:sz w:val="24"/>
          <w:szCs w:val="22"/>
        </w:rPr>
        <w:t>proceder</w:t>
      </w:r>
      <w:r w:rsidRPr="009A27ED">
        <w:rPr>
          <w:rFonts w:asciiTheme="minorHAnsi" w:hAnsiTheme="minorHAnsi" w:cstheme="minorHAnsi"/>
          <w:b/>
          <w:bCs/>
          <w:sz w:val="24"/>
          <w:szCs w:val="22"/>
        </w:rPr>
        <w:t xml:space="preserve"> </w:t>
      </w:r>
      <w:r w:rsidRPr="009A27ED">
        <w:rPr>
          <w:rFonts w:asciiTheme="minorHAnsi" w:hAnsiTheme="minorHAnsi" w:cstheme="minorHAnsi"/>
          <w:bCs/>
          <w:sz w:val="24"/>
          <w:szCs w:val="22"/>
        </w:rPr>
        <w:t>a declararla</w:t>
      </w:r>
      <w:proofErr w:type="gramEnd"/>
      <w:r w:rsidRPr="009A27ED">
        <w:rPr>
          <w:rFonts w:asciiTheme="minorHAnsi" w:hAnsiTheme="minorHAnsi" w:cstheme="minorHAnsi"/>
          <w:bCs/>
          <w:sz w:val="24"/>
          <w:szCs w:val="22"/>
        </w:rPr>
        <w:t xml:space="preserve"> de utilidad pública e interés social, según el procedimiento de expropiación de la Ley 344-43 y lo establecido en el numeral 1) de la Constitución de la República.</w:t>
      </w:r>
    </w:p>
    <w:p w14:paraId="2E4C8C49" w14:textId="77777777" w:rsidR="00405040" w:rsidRPr="009A27ED" w:rsidRDefault="00405040" w:rsidP="00405040">
      <w:pPr>
        <w:spacing w:after="0" w:line="360" w:lineRule="auto"/>
        <w:rPr>
          <w:rFonts w:cs="Microsoft Sans Serif"/>
          <w:shd w:val="clear" w:color="auto" w:fill="FFFFFF"/>
        </w:rPr>
      </w:pPr>
    </w:p>
    <w:p w14:paraId="49AE8AC9" w14:textId="0D419688" w:rsidR="00405040" w:rsidRPr="009A27ED" w:rsidRDefault="00405040" w:rsidP="00405040">
      <w:pPr>
        <w:spacing w:after="0" w:line="360" w:lineRule="auto"/>
        <w:rPr>
          <w:szCs w:val="22"/>
        </w:rPr>
      </w:pPr>
      <w:r w:rsidRPr="009A27ED">
        <w:rPr>
          <w:rFonts w:ascii="Times New Roman" w:eastAsia="Times New Roman" w:hAnsi="Times New Roman" w:cs="Microsoft Sans Serif"/>
          <w:sz w:val="24"/>
          <w:szCs w:val="22"/>
          <w:shd w:val="clear" w:color="auto" w:fill="FFFFFF"/>
        </w:rPr>
        <w:t xml:space="preserve">Resulta entonces que para que una persona física o moral pueda ser privada de su propiedad de manera que la afectación a su derecho fundamental sea mínima, es preciso que se garantice: 1) la legalidad de la actuación; 2) el debido proceso y la tutela judicial efectiva; y 3) el pago previo del justo valor del bien, es decir una previa indemnización, salvo que interviniera una declaratoria de estado de emergencia o de defensa, caso en que dicho pago podría ser posterior. Para estos fines, uno de los elementos esenciales en la declaratoria de utilidad pública de </w:t>
      </w:r>
      <w:r w:rsidR="00765BA2" w:rsidRPr="009A27ED">
        <w:rPr>
          <w:rFonts w:ascii="Times New Roman" w:eastAsia="Times New Roman" w:hAnsi="Times New Roman" w:cs="Microsoft Sans Serif"/>
          <w:sz w:val="24"/>
          <w:szCs w:val="22"/>
          <w:shd w:val="clear" w:color="auto" w:fill="FFFFFF"/>
        </w:rPr>
        <w:t>una bien inmueble propiedad</w:t>
      </w:r>
      <w:r w:rsidRPr="009A27ED">
        <w:rPr>
          <w:rFonts w:ascii="Times New Roman" w:eastAsia="Times New Roman" w:hAnsi="Times New Roman" w:cs="Microsoft Sans Serif"/>
          <w:sz w:val="24"/>
          <w:szCs w:val="22"/>
          <w:shd w:val="clear" w:color="auto" w:fill="FFFFFF"/>
        </w:rPr>
        <w:t xml:space="preserve"> de una persona física o moral es el pago del justo valor, el cual se comporta como una indemnización que se reconoce al propietario que ha sido despojado de su derecho, con la finalidad de compensarle, transformando ese derecho de propiedad en un derecho a un crédito en contra del Estado.</w:t>
      </w:r>
    </w:p>
    <w:p w14:paraId="480F18AF" w14:textId="77777777" w:rsidR="00405040" w:rsidRPr="009A27ED" w:rsidRDefault="00405040" w:rsidP="00405040">
      <w:pPr>
        <w:spacing w:after="0" w:line="360" w:lineRule="auto"/>
        <w:rPr>
          <w:rFonts w:cs="Microsoft Sans Serif"/>
          <w:shd w:val="clear" w:color="auto" w:fill="FFFFFF"/>
        </w:rPr>
      </w:pPr>
    </w:p>
    <w:p w14:paraId="0632DF59" w14:textId="77777777" w:rsidR="00405040" w:rsidRPr="009A27ED" w:rsidRDefault="00405040" w:rsidP="00405040">
      <w:pPr>
        <w:spacing w:after="0" w:line="360" w:lineRule="auto"/>
      </w:pPr>
      <w:r w:rsidRPr="009A27ED">
        <w:rPr>
          <w:rFonts w:ascii="Times New Roman" w:eastAsia="Times New Roman" w:hAnsi="Times New Roman"/>
          <w:sz w:val="24"/>
          <w:szCs w:val="22"/>
          <w:shd w:val="clear" w:color="auto" w:fill="FFFFFF"/>
        </w:rPr>
        <w:t>La doctrina sostiene que, frente a la potestad expropiatoria de la Administración: “…</w:t>
      </w:r>
      <w:r w:rsidRPr="009A27ED">
        <w:rPr>
          <w:rFonts w:ascii="Times New Roman" w:eastAsia="Times New Roman" w:hAnsi="Times New Roman"/>
          <w:i/>
          <w:sz w:val="24"/>
          <w:szCs w:val="22"/>
          <w:shd w:val="clear" w:color="auto" w:fill="FFFFFF"/>
        </w:rPr>
        <w:t>el titular ve nacer un derecho a la indemnización correspondiente</w:t>
      </w:r>
      <w:r w:rsidRPr="009A27ED">
        <w:rPr>
          <w:rFonts w:ascii="Times New Roman" w:eastAsia="Times New Roman" w:hAnsi="Times New Roman"/>
          <w:sz w:val="24"/>
          <w:szCs w:val="22"/>
          <w:shd w:val="clear" w:color="auto" w:fill="FFFFFF"/>
        </w:rPr>
        <w:t>”</w:t>
      </w:r>
      <w:r w:rsidRPr="009A27ED">
        <w:rPr>
          <w:rStyle w:val="Refdenotaalpie"/>
          <w:rFonts w:asciiTheme="minorHAnsi" w:eastAsia="Times New Roman" w:hAnsiTheme="minorHAnsi"/>
          <w:sz w:val="24"/>
          <w:szCs w:val="22"/>
          <w:shd w:val="clear" w:color="auto" w:fill="FFFFFF"/>
        </w:rPr>
        <w:footnoteReference w:id="78"/>
      </w:r>
      <w:r w:rsidRPr="009A27ED">
        <w:rPr>
          <w:rFonts w:ascii="Times New Roman" w:eastAsia="Times New Roman" w:hAnsi="Times New Roman"/>
          <w:sz w:val="24"/>
          <w:szCs w:val="22"/>
          <w:shd w:val="clear" w:color="auto" w:fill="FFFFFF"/>
        </w:rPr>
        <w:t>; esto así porque dicha actuación sólo debe afectar partes específicas del patrimonio, “</w:t>
      </w:r>
      <w:r w:rsidRPr="009A27ED">
        <w:rPr>
          <w:rFonts w:ascii="Times New Roman" w:eastAsia="Times New Roman" w:hAnsi="Times New Roman"/>
          <w:i/>
          <w:sz w:val="24"/>
          <w:szCs w:val="22"/>
          <w:shd w:val="clear" w:color="auto" w:fill="FFFFFF"/>
        </w:rPr>
        <w:t>pero no su integridad económica, la cual queda compensada con una indemnización pecuniaria que restablece, al menos en principio, la sustracción de valor en que el sacrificio expropiatorio se concreta</w:t>
      </w:r>
      <w:r w:rsidRPr="009A27ED">
        <w:rPr>
          <w:rFonts w:ascii="Times New Roman" w:eastAsia="Times New Roman" w:hAnsi="Times New Roman"/>
          <w:sz w:val="24"/>
          <w:szCs w:val="22"/>
          <w:shd w:val="clear" w:color="auto" w:fill="FFFFFF"/>
        </w:rPr>
        <w:t>”</w:t>
      </w:r>
      <w:r w:rsidRPr="009A27ED">
        <w:rPr>
          <w:rStyle w:val="Refdenotaalpie"/>
          <w:rFonts w:asciiTheme="minorHAnsi" w:eastAsia="Times New Roman" w:hAnsiTheme="minorHAnsi"/>
          <w:sz w:val="24"/>
          <w:szCs w:val="22"/>
          <w:shd w:val="clear" w:color="auto" w:fill="FFFFFF"/>
        </w:rPr>
        <w:footnoteReference w:id="79"/>
      </w:r>
      <w:r w:rsidRPr="009A27ED">
        <w:rPr>
          <w:rFonts w:ascii="Times New Roman" w:eastAsia="Times New Roman" w:hAnsi="Times New Roman"/>
          <w:sz w:val="24"/>
          <w:szCs w:val="22"/>
          <w:shd w:val="clear" w:color="auto" w:fill="FFFFFF"/>
        </w:rPr>
        <w:t xml:space="preserve">. </w:t>
      </w:r>
      <w:r w:rsidRPr="009A27ED">
        <w:rPr>
          <w:rFonts w:ascii="Times New Roman" w:eastAsia="Times New Roman" w:hAnsi="Times New Roman"/>
          <w:sz w:val="24"/>
          <w:szCs w:val="22"/>
        </w:rPr>
        <w:t xml:space="preserve">Efectivamente, cuando la privación de la propiedad se produce sin respetar los principios que garantizan la afectación mínima al derecho de propiedad, tal actuación por parte de la Administración, “se transforma </w:t>
      </w:r>
      <w:r w:rsidRPr="009A27ED">
        <w:rPr>
          <w:rFonts w:ascii="Times New Roman" w:eastAsia="Times New Roman" w:hAnsi="Times New Roman" w:cs="Microsoft Sans Serif"/>
          <w:sz w:val="24"/>
          <w:szCs w:val="22"/>
        </w:rPr>
        <w:t>en un acto de confiscación, la cual solo es posible en los casos y bajo las condiciones que de manera expresa establece la Constitución</w:t>
      </w:r>
      <w:r w:rsidRPr="009A27ED">
        <w:rPr>
          <w:rStyle w:val="Refdenotaalpie"/>
          <w:rFonts w:ascii="Times New Roman" w:eastAsia="Times New Roman" w:hAnsi="Times New Roman" w:cs="Microsoft Sans Serif"/>
          <w:sz w:val="24"/>
        </w:rPr>
        <w:footnoteReference w:id="80"/>
      </w:r>
    </w:p>
    <w:p w14:paraId="68AF10C7" w14:textId="77777777" w:rsidR="00405040" w:rsidRPr="009A27ED" w:rsidRDefault="00405040" w:rsidP="00405040">
      <w:pPr>
        <w:pStyle w:val="Textocomentario"/>
        <w:spacing w:before="120" w:line="360" w:lineRule="auto"/>
        <w:rPr>
          <w:rFonts w:asciiTheme="minorHAnsi" w:hAnsiTheme="minorHAnsi" w:cstheme="minorHAnsi"/>
          <w:color w:val="000000" w:themeColor="text1"/>
          <w:sz w:val="22"/>
          <w:szCs w:val="22"/>
          <w:lang w:val="es-ES"/>
        </w:rPr>
      </w:pPr>
      <w:r w:rsidRPr="009A27ED">
        <w:rPr>
          <w:rFonts w:asciiTheme="minorHAnsi" w:hAnsiTheme="minorHAnsi" w:cstheme="minorHAnsi"/>
          <w:color w:val="000000" w:themeColor="text1"/>
          <w:sz w:val="24"/>
          <w:szCs w:val="22"/>
          <w:lang w:val="es-ES"/>
        </w:rPr>
        <w:t>Asimismo, el artículo 97 de la Ley 108-05, de Registro Inmobiliario establece que “Cuando un inmueble sea objeto de expropiación por el Estado Dominicano, el Registrador de Titulo respectivo no procederá a registrar la transferencia de ningún derecho sobre dicho inmueble hasta que se haya demostrado que el titular del derecho registrado ha percibido del Estado Dominicano la totalidad del importe correspondiente a dicha expropiación.</w:t>
      </w:r>
    </w:p>
    <w:p w14:paraId="1F238C05" w14:textId="77777777" w:rsidR="00405040" w:rsidRPr="009A27ED" w:rsidRDefault="00405040" w:rsidP="00405040">
      <w:pPr>
        <w:spacing w:before="120" w:after="0" w:line="360" w:lineRule="auto"/>
        <w:rPr>
          <w:rFonts w:eastAsia="Calibri" w:cs="Arial"/>
          <w:szCs w:val="22"/>
        </w:rPr>
      </w:pPr>
      <w:r w:rsidRPr="009A27ED">
        <w:rPr>
          <w:rFonts w:ascii="Times New Roman" w:eastAsia="Times New Roman" w:hAnsi="Times New Roman"/>
          <w:sz w:val="24"/>
          <w:szCs w:val="22"/>
        </w:rPr>
        <w:lastRenderedPageBreak/>
        <w:t xml:space="preserve">Respecto de la determinación del avalúo y/o valoración de los terrenos y activos afectados para proceder a la indemnización, se consideran las disposiciones de la Ley 317 sobre Catastro Nacional, donde se establecen los procedimientos, métodos y cálculos correspondientes y la </w:t>
      </w:r>
      <w:r w:rsidRPr="009A27ED">
        <w:rPr>
          <w:rFonts w:ascii="Times New Roman" w:eastAsia="Times New Roman" w:hAnsi="Times New Roman" w:cs="Arial"/>
          <w:sz w:val="24"/>
          <w:szCs w:val="22"/>
        </w:rPr>
        <w:t>Ley 108-05,de Registro Inmobiliario donde se establece que “Cuando un inmueble sea objeto de expropiación por el Estado Dominicano, el Registrador de Titulo respectivo no procederá a registrar la transferencia de ningún derecho sobre dicho inmueble hasta que se haya demostrado que el titular del derecho registrado ha percibido del Estado Dominicano la totalidad del importe correspondiente a dicha expropiación.</w:t>
      </w:r>
    </w:p>
    <w:p w14:paraId="31BF5A9C" w14:textId="77777777" w:rsidR="00405040" w:rsidRPr="009A27ED" w:rsidRDefault="00405040" w:rsidP="00405040">
      <w:pPr>
        <w:spacing w:before="120" w:after="0" w:line="360" w:lineRule="auto"/>
        <w:rPr>
          <w:rFonts w:eastAsia="Calibri" w:cs="Arial"/>
          <w:szCs w:val="22"/>
        </w:rPr>
      </w:pPr>
      <w:r w:rsidRPr="009A27ED">
        <w:rPr>
          <w:rFonts w:ascii="Times New Roman" w:eastAsia="Times New Roman" w:hAnsi="Times New Roman" w:cs="Arial"/>
          <w:sz w:val="24"/>
          <w:szCs w:val="22"/>
        </w:rPr>
        <w:t>Es necesario señalar que en los procesos de expropiación deben ser considerados los conflictos que se generan por los beneficios que obtienen los ocupantes de las áreas que son declaradas como protegidas, dado que las restricciones con relación al uso de los recursos en áreas protegidas, no solo se genera por la propiedad y los conflictos propios con los propietarios de las tierras, sino también con el uso de los recursos, aunque no sean propietarios, debido a que hay personas que hacen uso de los recursos que no son propietarios, por ejemplo los guías y los productores de Los Haitises no todos son propietarios, pero al aplicar controles se deben definir medidas de mitigación considerando las restricciones de uso y acceso.</w:t>
      </w:r>
    </w:p>
    <w:p w14:paraId="1503CE65" w14:textId="77777777" w:rsidR="00405040" w:rsidRPr="009A27ED" w:rsidRDefault="00405040" w:rsidP="00405040">
      <w:pPr>
        <w:spacing w:before="120" w:after="0" w:line="360" w:lineRule="auto"/>
        <w:rPr>
          <w:color w:val="000000" w:themeColor="text1"/>
          <w:szCs w:val="22"/>
        </w:rPr>
      </w:pPr>
      <w:r w:rsidRPr="009A27ED">
        <w:rPr>
          <w:rFonts w:ascii="Times New Roman" w:eastAsia="Times New Roman" w:hAnsi="Times New Roman" w:cs="Arial"/>
          <w:sz w:val="24"/>
          <w:szCs w:val="22"/>
        </w:rPr>
        <w:t xml:space="preserve">En los procesos de expropiación que se han producido el Estado ha realizado compensación después de la expropiación, pero la mayoría de las compensaciones que se debieron realizar están pendientes, algunos casos han sido compensados con permutas, otros con compensaciones económicas, pero </w:t>
      </w:r>
      <w:r w:rsidRPr="009A27ED">
        <w:rPr>
          <w:rFonts w:ascii="Times New Roman" w:eastAsia="Times New Roman" w:hAnsi="Times New Roman"/>
          <w:color w:val="000000" w:themeColor="text1"/>
          <w:sz w:val="24"/>
          <w:szCs w:val="22"/>
        </w:rPr>
        <w:t>existen numerosos casos en el país, donde ese planteamiento constitucional ha sido violentado por el Estado y la mayoría de las personas que han sido afectadas por la declaración de sus propiedades como áreas protegidas, no han recibido las compensaciones económicas que deberían haber recibido</w:t>
      </w:r>
      <w:r w:rsidRPr="009A27ED">
        <w:rPr>
          <w:rStyle w:val="Refdenotaalpie"/>
          <w:rFonts w:asciiTheme="minorHAnsi" w:eastAsia="Times New Roman" w:hAnsiTheme="minorHAnsi"/>
          <w:color w:val="000000" w:themeColor="text1"/>
          <w:sz w:val="24"/>
          <w:szCs w:val="22"/>
        </w:rPr>
        <w:footnoteReference w:id="81"/>
      </w:r>
      <w:r w:rsidRPr="009A27ED">
        <w:rPr>
          <w:rFonts w:ascii="Times New Roman" w:eastAsia="Times New Roman" w:hAnsi="Times New Roman"/>
          <w:color w:val="000000" w:themeColor="text1"/>
          <w:sz w:val="24"/>
          <w:szCs w:val="22"/>
        </w:rPr>
        <w:t>.</w:t>
      </w:r>
    </w:p>
    <w:p w14:paraId="4E11A340" w14:textId="77777777" w:rsidR="00405040" w:rsidRPr="009A27ED" w:rsidRDefault="00405040" w:rsidP="00405040">
      <w:pPr>
        <w:spacing w:before="120" w:after="0" w:line="360" w:lineRule="auto"/>
        <w:rPr>
          <w:color w:val="000000" w:themeColor="text1"/>
          <w:szCs w:val="22"/>
        </w:rPr>
      </w:pPr>
      <w:r w:rsidRPr="009A27ED">
        <w:rPr>
          <w:rFonts w:ascii="Times New Roman" w:eastAsia="Times New Roman" w:hAnsi="Times New Roman"/>
          <w:color w:val="000000" w:themeColor="text1"/>
          <w:sz w:val="24"/>
          <w:szCs w:val="22"/>
        </w:rPr>
        <w:lastRenderedPageBreak/>
        <w:t>En algunos casos instituciones como el Instituto Agrario Dominicano (IAD) ha desarrollado proyectos en los que ha reubicado a familias afectadas por este tipo de situaciones, pero casi siempre las condiciones de las viviendas y los predios de producción son muy diferentes a los que tenían antes de ser reubicados, lo que disminuye su calidad de vida.</w:t>
      </w:r>
    </w:p>
    <w:p w14:paraId="15B0AEB0" w14:textId="77777777" w:rsidR="00405040" w:rsidRPr="009A27ED" w:rsidRDefault="00405040" w:rsidP="004B4775">
      <w:pPr>
        <w:pStyle w:val="TtuloTDC"/>
        <w:numPr>
          <w:ilvl w:val="0"/>
          <w:numId w:val="0"/>
        </w:numPr>
        <w:spacing w:before="120" w:line="360" w:lineRule="auto"/>
        <w:ind w:left="432" w:hanging="432"/>
        <w:jc w:val="both"/>
      </w:pPr>
      <w:bookmarkStart w:id="684" w:name="_Toc530931971"/>
      <w:bookmarkStart w:id="685" w:name="_Toc530933120"/>
      <w:bookmarkStart w:id="686" w:name="_Toc532335892"/>
      <w:r w:rsidRPr="009A27ED">
        <w:rPr>
          <w:rFonts w:ascii="Times New Roman" w:eastAsia="Times New Roman" w:hAnsi="Times New Roman"/>
        </w:rPr>
        <w:t>4.2. Política de Reasentamiento Involuntario del Banco Mundial (OP 4.12)</w:t>
      </w:r>
      <w:bookmarkEnd w:id="684"/>
      <w:bookmarkEnd w:id="685"/>
      <w:bookmarkEnd w:id="686"/>
    </w:p>
    <w:p w14:paraId="362A40A6" w14:textId="77777777" w:rsidR="00405040" w:rsidRPr="009A27ED" w:rsidRDefault="00405040" w:rsidP="00405040">
      <w:pPr>
        <w:autoSpaceDE w:val="0"/>
        <w:autoSpaceDN w:val="0"/>
        <w:adjustRightInd w:val="0"/>
        <w:spacing w:before="120" w:after="0" w:line="360" w:lineRule="auto"/>
        <w:rPr>
          <w:szCs w:val="22"/>
        </w:rPr>
      </w:pPr>
      <w:r w:rsidRPr="009A27ED">
        <w:rPr>
          <w:rFonts w:ascii="Times New Roman" w:eastAsia="Times New Roman" w:hAnsi="Times New Roman"/>
          <w:sz w:val="24"/>
          <w:szCs w:val="22"/>
        </w:rPr>
        <w:t>La OP 4.12 se aplica a todos los componentes de un proyecto, actividad, acción REDD+ que resulten en reasentamiento involuntario, entendiendo éste como los efectos económicos y sociales directos de acciones que involucran</w:t>
      </w:r>
      <w:r w:rsidRPr="009A27ED">
        <w:rPr>
          <w:rStyle w:val="Refdenotaalpie"/>
          <w:rFonts w:asciiTheme="minorHAnsi" w:eastAsia="Times New Roman" w:hAnsiTheme="minorHAnsi"/>
          <w:sz w:val="24"/>
          <w:szCs w:val="22"/>
        </w:rPr>
        <w:footnoteReference w:id="82"/>
      </w:r>
      <w:r w:rsidRPr="009A27ED">
        <w:rPr>
          <w:rFonts w:ascii="Times New Roman" w:eastAsia="Times New Roman" w:hAnsi="Times New Roman"/>
          <w:sz w:val="24"/>
          <w:szCs w:val="22"/>
        </w:rPr>
        <w:t>:</w:t>
      </w:r>
    </w:p>
    <w:p w14:paraId="0DFEE850" w14:textId="77777777" w:rsidR="00405040" w:rsidRPr="009A27ED" w:rsidRDefault="00405040" w:rsidP="00D42802">
      <w:pPr>
        <w:pStyle w:val="Prrafodelista"/>
        <w:numPr>
          <w:ilvl w:val="0"/>
          <w:numId w:val="16"/>
        </w:numPr>
        <w:autoSpaceDE w:val="0"/>
        <w:autoSpaceDN w:val="0"/>
        <w:adjustRightInd w:val="0"/>
        <w:spacing w:before="120" w:after="0" w:line="360" w:lineRule="auto"/>
        <w:rPr>
          <w:szCs w:val="22"/>
          <w:lang w:val="es-ES"/>
        </w:rPr>
      </w:pPr>
      <w:r w:rsidRPr="009A27ED">
        <w:rPr>
          <w:rFonts w:ascii="Times New Roman" w:eastAsia="Times New Roman" w:hAnsi="Times New Roman"/>
          <w:sz w:val="24"/>
          <w:szCs w:val="22"/>
          <w:lang w:val="es-ES"/>
        </w:rPr>
        <w:t>la privación involuntaria de tierras, que da por resultado:</w:t>
      </w:r>
    </w:p>
    <w:p w14:paraId="07230DE6" w14:textId="77777777" w:rsidR="00405040" w:rsidRPr="009A27ED" w:rsidRDefault="00405040" w:rsidP="00D42802">
      <w:pPr>
        <w:pStyle w:val="Prrafodelista"/>
        <w:numPr>
          <w:ilvl w:val="0"/>
          <w:numId w:val="17"/>
        </w:numPr>
        <w:autoSpaceDE w:val="0"/>
        <w:autoSpaceDN w:val="0"/>
        <w:adjustRightInd w:val="0"/>
        <w:spacing w:before="120" w:after="0" w:line="360" w:lineRule="auto"/>
        <w:rPr>
          <w:szCs w:val="22"/>
          <w:lang w:val="es-ES"/>
        </w:rPr>
      </w:pPr>
      <w:r w:rsidRPr="009A27ED">
        <w:rPr>
          <w:rFonts w:ascii="Times New Roman" w:eastAsia="Times New Roman" w:hAnsi="Times New Roman"/>
          <w:sz w:val="24"/>
          <w:szCs w:val="22"/>
          <w:lang w:val="es-ES"/>
        </w:rPr>
        <w:t>Desplazamiento o la pérdida de la vivienda;</w:t>
      </w:r>
    </w:p>
    <w:p w14:paraId="66D8D2F2" w14:textId="77777777" w:rsidR="00405040" w:rsidRPr="009A27ED" w:rsidRDefault="00405040" w:rsidP="00D42802">
      <w:pPr>
        <w:pStyle w:val="Prrafodelista"/>
        <w:numPr>
          <w:ilvl w:val="0"/>
          <w:numId w:val="17"/>
        </w:numPr>
        <w:autoSpaceDE w:val="0"/>
        <w:autoSpaceDN w:val="0"/>
        <w:adjustRightInd w:val="0"/>
        <w:spacing w:before="120" w:after="0" w:line="360" w:lineRule="auto"/>
        <w:rPr>
          <w:szCs w:val="22"/>
          <w:lang w:val="es-ES"/>
        </w:rPr>
      </w:pPr>
      <w:r w:rsidRPr="009A27ED">
        <w:rPr>
          <w:rFonts w:ascii="Times New Roman" w:eastAsia="Times New Roman" w:hAnsi="Times New Roman"/>
          <w:sz w:val="24"/>
          <w:szCs w:val="22"/>
          <w:lang w:val="es-ES"/>
        </w:rPr>
        <w:t>Pérdida de los activos o del acceso a los activos,</w:t>
      </w:r>
    </w:p>
    <w:p w14:paraId="27217611" w14:textId="77777777" w:rsidR="00405040" w:rsidRPr="009A27ED" w:rsidRDefault="00405040" w:rsidP="00D42802">
      <w:pPr>
        <w:pStyle w:val="Prrafodelista"/>
        <w:numPr>
          <w:ilvl w:val="0"/>
          <w:numId w:val="17"/>
        </w:numPr>
        <w:autoSpaceDE w:val="0"/>
        <w:autoSpaceDN w:val="0"/>
        <w:adjustRightInd w:val="0"/>
        <w:spacing w:before="120" w:after="0" w:line="360" w:lineRule="auto"/>
        <w:rPr>
          <w:szCs w:val="22"/>
          <w:lang w:val="es-ES"/>
        </w:rPr>
      </w:pPr>
      <w:r w:rsidRPr="009A27ED">
        <w:rPr>
          <w:rFonts w:ascii="Times New Roman" w:eastAsia="Times New Roman" w:hAnsi="Times New Roman"/>
          <w:sz w:val="24"/>
          <w:szCs w:val="22"/>
          <w:lang w:val="es-ES"/>
        </w:rPr>
        <w:t>Pérdida de las fuentes de ingresos o de los medios de subsistencia, ya sea que los afectados deban trasladarse a otro lugar o no</w:t>
      </w:r>
    </w:p>
    <w:p w14:paraId="49BB3015" w14:textId="77777777" w:rsidR="00405040" w:rsidRPr="009A27ED" w:rsidRDefault="00405040" w:rsidP="00D42802">
      <w:pPr>
        <w:pStyle w:val="Prrafodelista"/>
        <w:numPr>
          <w:ilvl w:val="0"/>
          <w:numId w:val="16"/>
        </w:numPr>
        <w:autoSpaceDE w:val="0"/>
        <w:autoSpaceDN w:val="0"/>
        <w:adjustRightInd w:val="0"/>
        <w:spacing w:before="120" w:after="0" w:line="360" w:lineRule="auto"/>
        <w:rPr>
          <w:szCs w:val="22"/>
          <w:lang w:val="es-ES"/>
        </w:rPr>
      </w:pPr>
      <w:r w:rsidRPr="009A27ED">
        <w:rPr>
          <w:rFonts w:ascii="Times New Roman" w:eastAsia="Times New Roman" w:hAnsi="Times New Roman"/>
          <w:sz w:val="24"/>
          <w:szCs w:val="22"/>
          <w:lang w:val="es-ES"/>
        </w:rPr>
        <w:t>la restricción involuntaria del acceso a zonas calificadas por ley como parques o zonas protegidas, con los consiguientes efectos adversos para la subsistencia de las personas</w:t>
      </w:r>
    </w:p>
    <w:p w14:paraId="2D308187" w14:textId="4EF91426" w:rsidR="00405040" w:rsidRPr="009A27ED" w:rsidRDefault="00405040" w:rsidP="00405040">
      <w:pPr>
        <w:autoSpaceDE w:val="0"/>
        <w:autoSpaceDN w:val="0"/>
        <w:adjustRightInd w:val="0"/>
        <w:spacing w:before="120" w:after="0" w:line="360" w:lineRule="auto"/>
        <w:rPr>
          <w:szCs w:val="22"/>
        </w:rPr>
      </w:pPr>
      <w:r w:rsidRPr="009A27ED">
        <w:rPr>
          <w:rFonts w:ascii="Times New Roman" w:eastAsia="Times New Roman" w:hAnsi="Times New Roman"/>
          <w:sz w:val="24"/>
          <w:szCs w:val="22"/>
        </w:rPr>
        <w:t>Los objetivos generales de la política del Banco sobre reasentamiento involuntario son coincidentes con los establecidos para el presente MPRI (Ver Sección 2.2. Objetivos del MPRI)</w:t>
      </w:r>
      <w:r w:rsidR="003070B4" w:rsidRPr="009A27ED">
        <w:rPr>
          <w:rFonts w:ascii="Times New Roman" w:eastAsia="Times New Roman" w:hAnsi="Times New Roman"/>
          <w:sz w:val="24"/>
          <w:szCs w:val="22"/>
        </w:rPr>
        <w:t>.</w:t>
      </w:r>
    </w:p>
    <w:p w14:paraId="38E5E119" w14:textId="77777777" w:rsidR="00405040" w:rsidRPr="009A27ED" w:rsidRDefault="00405040" w:rsidP="00405040">
      <w:pPr>
        <w:autoSpaceDE w:val="0"/>
        <w:autoSpaceDN w:val="0"/>
        <w:adjustRightInd w:val="0"/>
        <w:spacing w:before="120" w:after="0" w:line="360" w:lineRule="auto"/>
        <w:rPr>
          <w:szCs w:val="22"/>
        </w:rPr>
      </w:pPr>
      <w:r w:rsidRPr="009A27ED">
        <w:rPr>
          <w:rFonts w:ascii="Times New Roman" w:eastAsia="Times New Roman" w:hAnsi="Times New Roman"/>
          <w:sz w:val="24"/>
          <w:szCs w:val="22"/>
        </w:rPr>
        <w:t xml:space="preserve">La OP 4.12 establece además que se deberá prestar atención especial a las necesidades de los grupos desplazados vulnerables, especialmente los que se encuentran por debajo de la línea de pobreza, los que carecen de tierras, los ancianos, las mujeres y los niños. </w:t>
      </w:r>
    </w:p>
    <w:p w14:paraId="65F959BE" w14:textId="51D589B2" w:rsidR="00405040" w:rsidRPr="009A27ED" w:rsidRDefault="00405040" w:rsidP="00405040">
      <w:pPr>
        <w:autoSpaceDE w:val="0"/>
        <w:autoSpaceDN w:val="0"/>
        <w:adjustRightInd w:val="0"/>
        <w:spacing w:before="120" w:after="0" w:line="360" w:lineRule="auto"/>
        <w:rPr>
          <w:szCs w:val="22"/>
        </w:rPr>
      </w:pPr>
      <w:r w:rsidRPr="009A27ED">
        <w:rPr>
          <w:rFonts w:ascii="Times New Roman" w:eastAsia="Times New Roman" w:hAnsi="Times New Roman"/>
          <w:sz w:val="24"/>
          <w:szCs w:val="22"/>
        </w:rPr>
        <w:t xml:space="preserve">Las medidas necesarias para el reasentamiento deberán establecerse en una etapa temprana, de manera que el desplazamiento o la restricción del acceso no se produzca antes de que se hayan establecido dichas medidas, las cuales deberán otorgar indemnización y otros tipos de asistencia necesarias para el </w:t>
      </w:r>
      <w:r w:rsidR="004823C1" w:rsidRPr="009A27ED">
        <w:rPr>
          <w:rFonts w:ascii="Times New Roman" w:eastAsia="Times New Roman" w:hAnsi="Times New Roman"/>
          <w:sz w:val="24"/>
          <w:szCs w:val="22"/>
        </w:rPr>
        <w:t>traslado, y</w:t>
      </w:r>
      <w:r w:rsidRPr="009A27ED">
        <w:rPr>
          <w:rFonts w:ascii="Times New Roman" w:eastAsia="Times New Roman" w:hAnsi="Times New Roman"/>
          <w:sz w:val="24"/>
          <w:szCs w:val="22"/>
        </w:rPr>
        <w:t xml:space="preserve"> la preparación y suministro de sitios de reasentamiento con instalaciones suficientes, de ser necesario, en el caso de desplazamiento o pérdida de vivienda. En particular, la privación de tierras y otros activos conexos podrá ocurrir una vez que se haya pagado la indemnización previamente y, cuando corresponda, </w:t>
      </w:r>
      <w:r w:rsidRPr="009A27ED">
        <w:rPr>
          <w:rFonts w:ascii="Times New Roman" w:eastAsia="Times New Roman" w:hAnsi="Times New Roman"/>
          <w:sz w:val="24"/>
          <w:szCs w:val="22"/>
        </w:rPr>
        <w:lastRenderedPageBreak/>
        <w:t>una vez que se hayan proporcionado sitios de reasentamiento y subsidios de traslado a las personas desplazadas.</w:t>
      </w:r>
    </w:p>
    <w:p w14:paraId="29F4A9D0" w14:textId="77777777" w:rsidR="00405040" w:rsidRPr="009A27ED" w:rsidRDefault="00405040" w:rsidP="00405040">
      <w:pPr>
        <w:autoSpaceDE w:val="0"/>
        <w:autoSpaceDN w:val="0"/>
        <w:adjustRightInd w:val="0"/>
        <w:spacing w:before="120" w:after="0" w:line="360" w:lineRule="auto"/>
        <w:rPr>
          <w:szCs w:val="22"/>
        </w:rPr>
      </w:pPr>
      <w:r w:rsidRPr="009A27ED">
        <w:rPr>
          <w:rFonts w:ascii="Times New Roman" w:eastAsia="Times New Roman" w:hAnsi="Times New Roman"/>
          <w:sz w:val="24"/>
          <w:szCs w:val="22"/>
        </w:rPr>
        <w:t>Adicionalmente, deberá darse preferencia a las estrategias de reasentamiento que contemplen la entrega de tierras a las personas desplazadas cuyos medios de subsistencia dependan de la tierra. Dichas estrategias podrán consistir en el reasentamiento en tierras públicas, o en tierras privadas adquiridas o compradas para fines de asentamiento. En los casos en que se ofrezcan tierras de reemplazo, se proporcionarán a las personas afectadas, tierras cuyo potencial productivo, ventajas de ubicación, recursos valorados cultural o patrimonialmente, y otros factores sean, como mínimo, equivalentemente a las tierras de las cuales se les privó. Si el suministro de tierras no es la opción preferida de las personas desplazadas, o si produjera efectos negativos para la sustentabilidad de un parque o una zona protegida, o si no hay tierras suficientes a un precio razonable, deberán ofrecerse otras opciones no relacionadas con tierras, que ofrezcan oportunidades de empleo o autoempleo, además de indemnización en efectivo por las tierras y otros activos perdidos. En estos casos, deberá demostrarse y documentarse la falta de tierras suficientes a satisfacción del BM.</w:t>
      </w:r>
    </w:p>
    <w:p w14:paraId="28E4438D" w14:textId="0524A8C2" w:rsidR="00405040" w:rsidRPr="009A27ED" w:rsidRDefault="00405040" w:rsidP="008A0315">
      <w:pPr>
        <w:pStyle w:val="TtuloTDC"/>
        <w:numPr>
          <w:ilvl w:val="0"/>
          <w:numId w:val="0"/>
        </w:numPr>
        <w:spacing w:before="120" w:line="360" w:lineRule="auto"/>
        <w:jc w:val="both"/>
      </w:pPr>
      <w:r w:rsidRPr="009A27ED">
        <w:rPr>
          <w:rFonts w:ascii="Times New Roman" w:eastAsia="Times New Roman" w:hAnsi="Times New Roman"/>
        </w:rPr>
        <w:t>Análisis de brechas o vacíos entre el marco legal e institucional del país y la Política Operacional 4.12 del Banco Mundial</w:t>
      </w:r>
    </w:p>
    <w:p w14:paraId="58005030" w14:textId="5E935BC2" w:rsidR="00405040" w:rsidRPr="009A27ED" w:rsidRDefault="00405040" w:rsidP="00405040">
      <w:pPr>
        <w:spacing w:before="120" w:after="0" w:line="360" w:lineRule="auto"/>
        <w:rPr>
          <w:rFonts w:eastAsia="Calibri"/>
          <w:szCs w:val="22"/>
        </w:rPr>
      </w:pPr>
    </w:p>
    <w:p w14:paraId="169A7DDB" w14:textId="2C9353EC" w:rsidR="00DF3AFC" w:rsidRPr="009A27ED" w:rsidRDefault="00DF3AFC" w:rsidP="00DF3AFC">
      <w:pPr>
        <w:pStyle w:val="Descripcin"/>
        <w:keepNext/>
        <w:spacing w:line="360" w:lineRule="auto"/>
      </w:pPr>
      <w:bookmarkStart w:id="687" w:name="_Toc111887470"/>
      <w:r w:rsidRPr="009A27ED">
        <w:rPr>
          <w:rFonts w:ascii="Times New Roman" w:eastAsia="Times New Roman" w:hAnsi="Times New Roman"/>
          <w:sz w:val="24"/>
        </w:rPr>
        <w:t xml:space="preserve">Cuadro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Cuadro \* ARABIC </w:instrText>
      </w:r>
      <w:r w:rsidRPr="009A27ED">
        <w:rPr>
          <w:rFonts w:ascii="Times New Roman" w:eastAsia="Times New Roman" w:hAnsi="Times New Roman"/>
          <w:sz w:val="24"/>
        </w:rPr>
        <w:fldChar w:fldCharType="separate"/>
      </w:r>
      <w:r w:rsidRPr="009A27ED">
        <w:rPr>
          <w:rFonts w:ascii="Times New Roman" w:eastAsia="Times New Roman" w:hAnsi="Times New Roman"/>
          <w:noProof/>
          <w:sz w:val="24"/>
        </w:rPr>
        <w:t>60</w:t>
      </w:r>
      <w:r w:rsidRPr="009A27ED">
        <w:rPr>
          <w:rFonts w:ascii="Times New Roman" w:eastAsia="Times New Roman" w:hAnsi="Times New Roman"/>
          <w:sz w:val="24"/>
        </w:rPr>
        <w:fldChar w:fldCharType="end"/>
      </w:r>
      <w:r w:rsidRPr="009A27ED">
        <w:rPr>
          <w:rFonts w:ascii="Times New Roman" w:eastAsia="Times New Roman" w:hAnsi="Times New Roman"/>
          <w:sz w:val="24"/>
        </w:rPr>
        <w:t>. Análisis de brechas o vacíos entre el marco legal e institucional del país y la Política Operacional 4.12 del Banco Mundial.</w:t>
      </w:r>
      <w:bookmarkEnd w:id="687"/>
    </w:p>
    <w:tbl>
      <w:tblPr>
        <w:tblStyle w:val="GridTable1Light-Accent11"/>
        <w:tblW w:w="9209" w:type="dxa"/>
        <w:tblLook w:val="04A0" w:firstRow="1" w:lastRow="0" w:firstColumn="1" w:lastColumn="0" w:noHBand="0" w:noVBand="1"/>
      </w:tblPr>
      <w:tblGrid>
        <w:gridCol w:w="2942"/>
        <w:gridCol w:w="3432"/>
        <w:gridCol w:w="2835"/>
      </w:tblGrid>
      <w:tr w:rsidR="00405040" w:rsidRPr="009A27ED" w14:paraId="3DE6B59C" w14:textId="77777777" w:rsidTr="007157A1">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942" w:type="dxa"/>
            <w:shd w:val="clear" w:color="auto" w:fill="0070C0"/>
          </w:tcPr>
          <w:p w14:paraId="1F1124B8" w14:textId="77777777" w:rsidR="00405040" w:rsidRPr="009A27ED" w:rsidRDefault="00405040" w:rsidP="007A0785">
            <w:pPr>
              <w:spacing w:before="120" w:after="0"/>
              <w:jc w:val="center"/>
              <w:rPr>
                <w:rFonts w:eastAsia="Calibri"/>
                <w:b w:val="0"/>
                <w:color w:val="FFFFFF" w:themeColor="background1"/>
                <w:sz w:val="20"/>
                <w:szCs w:val="20"/>
              </w:rPr>
            </w:pPr>
            <w:r w:rsidRPr="009A27ED">
              <w:rPr>
                <w:rFonts w:eastAsia="Calibri"/>
                <w:color w:val="FFFFFF" w:themeColor="background1"/>
                <w:sz w:val="20"/>
                <w:szCs w:val="20"/>
              </w:rPr>
              <w:t>Principios de OP 4.12</w:t>
            </w:r>
          </w:p>
        </w:tc>
        <w:tc>
          <w:tcPr>
            <w:tcW w:w="3432" w:type="dxa"/>
            <w:shd w:val="clear" w:color="auto" w:fill="0070C0"/>
          </w:tcPr>
          <w:p w14:paraId="6FBA742B" w14:textId="77777777" w:rsidR="00405040" w:rsidRPr="009A27ED" w:rsidRDefault="00405040" w:rsidP="007A0785">
            <w:pPr>
              <w:spacing w:before="120" w:after="0"/>
              <w:ind w:left="7"/>
              <w:jc w:val="center"/>
              <w:cnfStyle w:val="100000000000" w:firstRow="1" w:lastRow="0" w:firstColumn="0" w:lastColumn="0" w:oddVBand="0" w:evenVBand="0" w:oddHBand="0" w:evenHBand="0" w:firstRowFirstColumn="0" w:firstRowLastColumn="0" w:lastRowFirstColumn="0" w:lastRowLastColumn="0"/>
              <w:rPr>
                <w:rFonts w:eastAsia="Calibri"/>
                <w:b w:val="0"/>
                <w:color w:val="FFFFFF" w:themeColor="background1"/>
                <w:sz w:val="20"/>
                <w:szCs w:val="20"/>
              </w:rPr>
            </w:pPr>
            <w:r w:rsidRPr="009A27ED">
              <w:rPr>
                <w:rFonts w:eastAsia="Calibri"/>
                <w:color w:val="FFFFFF" w:themeColor="background1"/>
                <w:sz w:val="20"/>
                <w:szCs w:val="20"/>
              </w:rPr>
              <w:t>Legislación y procedimiento de República Dominicana</w:t>
            </w:r>
          </w:p>
        </w:tc>
        <w:tc>
          <w:tcPr>
            <w:tcW w:w="2835" w:type="dxa"/>
            <w:shd w:val="clear" w:color="auto" w:fill="0070C0"/>
          </w:tcPr>
          <w:p w14:paraId="5F0780D8" w14:textId="77777777" w:rsidR="00405040" w:rsidRPr="009A27ED" w:rsidRDefault="00405040" w:rsidP="007A0785">
            <w:pPr>
              <w:spacing w:before="120" w:after="0"/>
              <w:jc w:val="center"/>
              <w:cnfStyle w:val="100000000000" w:firstRow="1" w:lastRow="0" w:firstColumn="0" w:lastColumn="0" w:oddVBand="0" w:evenVBand="0" w:oddHBand="0" w:evenHBand="0" w:firstRowFirstColumn="0" w:firstRowLastColumn="0" w:lastRowFirstColumn="0" w:lastRowLastColumn="0"/>
              <w:rPr>
                <w:rFonts w:eastAsia="Calibri"/>
                <w:b w:val="0"/>
                <w:color w:val="FFFFFF" w:themeColor="background1"/>
                <w:sz w:val="20"/>
                <w:szCs w:val="20"/>
              </w:rPr>
            </w:pPr>
            <w:r w:rsidRPr="009A27ED">
              <w:rPr>
                <w:rFonts w:eastAsia="Calibri"/>
                <w:color w:val="FFFFFF" w:themeColor="background1"/>
                <w:sz w:val="20"/>
                <w:szCs w:val="20"/>
              </w:rPr>
              <w:t>Medidas para salvar diferencias</w:t>
            </w:r>
          </w:p>
        </w:tc>
      </w:tr>
      <w:tr w:rsidR="00405040" w:rsidRPr="009A27ED" w14:paraId="6E4D9EEC" w14:textId="77777777" w:rsidTr="007157A1">
        <w:tc>
          <w:tcPr>
            <w:cnfStyle w:val="001000000000" w:firstRow="0" w:lastRow="0" w:firstColumn="1" w:lastColumn="0" w:oddVBand="0" w:evenVBand="0" w:oddHBand="0" w:evenHBand="0" w:firstRowFirstColumn="0" w:firstRowLastColumn="0" w:lastRowFirstColumn="0" w:lastRowLastColumn="0"/>
            <w:tcW w:w="2942" w:type="dxa"/>
          </w:tcPr>
          <w:p w14:paraId="56D20507" w14:textId="77777777" w:rsidR="00405040" w:rsidRPr="009A27ED" w:rsidRDefault="00405040" w:rsidP="00405040">
            <w:pPr>
              <w:spacing w:before="120" w:after="0"/>
              <w:jc w:val="left"/>
              <w:rPr>
                <w:rFonts w:eastAsia="Calibri"/>
                <w:sz w:val="20"/>
                <w:szCs w:val="20"/>
              </w:rPr>
            </w:pPr>
            <w:r w:rsidRPr="009A27ED">
              <w:rPr>
                <w:rFonts w:eastAsia="Calibri"/>
                <w:sz w:val="20"/>
                <w:szCs w:val="20"/>
              </w:rPr>
              <w:t>Informar a las personas desplazadas, de sus opciones y derechos en relación  al reasentamiento</w:t>
            </w:r>
          </w:p>
        </w:tc>
        <w:tc>
          <w:tcPr>
            <w:tcW w:w="3432" w:type="dxa"/>
          </w:tcPr>
          <w:p w14:paraId="5217B1D6" w14:textId="77777777" w:rsidR="00405040" w:rsidRPr="009A27ED" w:rsidRDefault="00405040" w:rsidP="00405040">
            <w:pPr>
              <w:spacing w:before="120" w:after="0"/>
              <w:ind w:left="7"/>
              <w:cnfStyle w:val="000000000000" w:firstRow="0" w:lastRow="0" w:firstColumn="0" w:lastColumn="0" w:oddVBand="0" w:evenVBand="0" w:oddHBand="0" w:evenHBand="0" w:firstRowFirstColumn="0" w:firstRowLastColumn="0" w:lastRowFirstColumn="0" w:lastRowLastColumn="0"/>
              <w:rPr>
                <w:rFonts w:eastAsia="Calibri"/>
                <w:sz w:val="20"/>
                <w:szCs w:val="20"/>
              </w:rPr>
            </w:pPr>
            <w:r w:rsidRPr="009A27ED">
              <w:rPr>
                <w:rFonts w:eastAsia="Calibri"/>
                <w:sz w:val="20"/>
                <w:szCs w:val="20"/>
              </w:rPr>
              <w:t>Según la constitución en el Articulo 51 y la Ley 344-43, el Estado reconoce el derecho de propiedad de los afectados, Declaración de utilidad pública, generalmente por un decreto (publicado en un diario nacional) del Poder Ejecutivo.</w:t>
            </w:r>
          </w:p>
          <w:p w14:paraId="720E45D7" w14:textId="77777777" w:rsidR="00405040" w:rsidRPr="009A27ED" w:rsidRDefault="00405040" w:rsidP="00405040">
            <w:pPr>
              <w:spacing w:before="120" w:after="0"/>
              <w:ind w:left="7"/>
              <w:cnfStyle w:val="000000000000" w:firstRow="0" w:lastRow="0" w:firstColumn="0" w:lastColumn="0" w:oddVBand="0" w:evenVBand="0" w:oddHBand="0" w:evenHBand="0" w:firstRowFirstColumn="0" w:firstRowLastColumn="0" w:lastRowFirstColumn="0" w:lastRowLastColumn="0"/>
              <w:rPr>
                <w:rFonts w:eastAsia="Calibri"/>
                <w:sz w:val="20"/>
                <w:szCs w:val="20"/>
              </w:rPr>
            </w:pPr>
            <w:r w:rsidRPr="009A27ED">
              <w:rPr>
                <w:rFonts w:eastAsia="Calibri"/>
                <w:sz w:val="20"/>
                <w:szCs w:val="20"/>
              </w:rPr>
              <w:t>Después del decreto, debe intentarse un arreglo amigable.</w:t>
            </w:r>
          </w:p>
          <w:p w14:paraId="289A46E9" w14:textId="77777777" w:rsidR="00405040" w:rsidRPr="009A27ED" w:rsidRDefault="00405040" w:rsidP="00405040">
            <w:pPr>
              <w:spacing w:before="120" w:after="0"/>
              <w:ind w:left="7"/>
              <w:cnfStyle w:val="000000000000" w:firstRow="0" w:lastRow="0" w:firstColumn="0" w:lastColumn="0" w:oddVBand="0" w:evenVBand="0" w:oddHBand="0" w:evenHBand="0" w:firstRowFirstColumn="0" w:firstRowLastColumn="0" w:lastRowFirstColumn="0" w:lastRowLastColumn="0"/>
              <w:rPr>
                <w:rFonts w:eastAsia="Calibri"/>
                <w:sz w:val="20"/>
                <w:szCs w:val="20"/>
              </w:rPr>
            </w:pPr>
            <w:r w:rsidRPr="009A27ED">
              <w:rPr>
                <w:rFonts w:eastAsia="Calibri"/>
                <w:sz w:val="20"/>
                <w:szCs w:val="20"/>
              </w:rPr>
              <w:t>A falta de arreglo amigable, se dirige una instancia al presidente del Tribunal Superior de Tierras.</w:t>
            </w:r>
          </w:p>
        </w:tc>
        <w:tc>
          <w:tcPr>
            <w:tcW w:w="2835" w:type="dxa"/>
          </w:tcPr>
          <w:p w14:paraId="419F3196" w14:textId="77777777" w:rsidR="00405040" w:rsidRPr="009A27ED" w:rsidRDefault="00405040" w:rsidP="00405040">
            <w:pPr>
              <w:spacing w:before="120" w:after="0"/>
              <w:cnfStyle w:val="000000000000" w:firstRow="0" w:lastRow="0" w:firstColumn="0" w:lastColumn="0" w:oddVBand="0" w:evenVBand="0" w:oddHBand="0" w:evenHBand="0" w:firstRowFirstColumn="0" w:firstRowLastColumn="0" w:lastRowFirstColumn="0" w:lastRowLastColumn="0"/>
              <w:rPr>
                <w:rFonts w:eastAsia="Calibri"/>
                <w:sz w:val="20"/>
                <w:szCs w:val="20"/>
              </w:rPr>
            </w:pPr>
            <w:r w:rsidRPr="009A27ED">
              <w:rPr>
                <w:rFonts w:eastAsia="Calibri"/>
                <w:sz w:val="20"/>
                <w:szCs w:val="20"/>
              </w:rPr>
              <w:t xml:space="preserve">Información y consulta con los afectados de la acción específica. </w:t>
            </w:r>
          </w:p>
          <w:p w14:paraId="133E1246" w14:textId="77777777" w:rsidR="00405040" w:rsidRPr="009A27ED" w:rsidRDefault="00405040" w:rsidP="00405040">
            <w:pPr>
              <w:spacing w:before="120" w:after="0"/>
              <w:cnfStyle w:val="000000000000" w:firstRow="0" w:lastRow="0" w:firstColumn="0" w:lastColumn="0" w:oddVBand="0" w:evenVBand="0" w:oddHBand="0" w:evenHBand="0" w:firstRowFirstColumn="0" w:firstRowLastColumn="0" w:lastRowFirstColumn="0" w:lastRowLastColumn="0"/>
              <w:rPr>
                <w:rFonts w:eastAsia="Calibri"/>
                <w:sz w:val="20"/>
                <w:szCs w:val="20"/>
              </w:rPr>
            </w:pPr>
          </w:p>
          <w:p w14:paraId="4F4FC58B" w14:textId="77777777" w:rsidR="00405040" w:rsidRPr="009A27ED" w:rsidRDefault="00405040" w:rsidP="00405040">
            <w:pPr>
              <w:spacing w:before="120" w:after="0"/>
              <w:cnfStyle w:val="000000000000" w:firstRow="0" w:lastRow="0" w:firstColumn="0" w:lastColumn="0" w:oddVBand="0" w:evenVBand="0" w:oddHBand="0" w:evenHBand="0" w:firstRowFirstColumn="0" w:firstRowLastColumn="0" w:lastRowFirstColumn="0" w:lastRowLastColumn="0"/>
              <w:rPr>
                <w:rFonts w:eastAsia="Calibri"/>
                <w:sz w:val="20"/>
                <w:szCs w:val="20"/>
              </w:rPr>
            </w:pPr>
            <w:r w:rsidRPr="009A27ED">
              <w:rPr>
                <w:rFonts w:eastAsia="Calibri"/>
                <w:sz w:val="20"/>
                <w:szCs w:val="20"/>
              </w:rPr>
              <w:t>Previo a las declaraciones de utilidad pública informar a las personas sobre el proyecto, su propósito y el beneficio a la comunidad.</w:t>
            </w:r>
          </w:p>
          <w:p w14:paraId="425A5597" w14:textId="77777777" w:rsidR="00405040" w:rsidRPr="009A27ED" w:rsidRDefault="00405040" w:rsidP="00405040">
            <w:pPr>
              <w:spacing w:before="120" w:after="0"/>
              <w:cnfStyle w:val="000000000000" w:firstRow="0" w:lastRow="0" w:firstColumn="0" w:lastColumn="0" w:oddVBand="0" w:evenVBand="0" w:oddHBand="0" w:evenHBand="0" w:firstRowFirstColumn="0" w:firstRowLastColumn="0" w:lastRowFirstColumn="0" w:lastRowLastColumn="0"/>
              <w:rPr>
                <w:rFonts w:eastAsia="Calibri"/>
                <w:sz w:val="20"/>
                <w:szCs w:val="20"/>
              </w:rPr>
            </w:pPr>
          </w:p>
          <w:p w14:paraId="1E925182" w14:textId="77777777" w:rsidR="00405040" w:rsidRPr="009A27ED" w:rsidRDefault="00405040" w:rsidP="00405040">
            <w:pPr>
              <w:spacing w:before="120" w:after="0"/>
              <w:cnfStyle w:val="000000000000" w:firstRow="0" w:lastRow="0" w:firstColumn="0" w:lastColumn="0" w:oddVBand="0" w:evenVBand="0" w:oddHBand="0" w:evenHBand="0" w:firstRowFirstColumn="0" w:firstRowLastColumn="0" w:lastRowFirstColumn="0" w:lastRowLastColumn="0"/>
              <w:rPr>
                <w:rFonts w:eastAsia="Calibri"/>
                <w:sz w:val="20"/>
                <w:szCs w:val="20"/>
              </w:rPr>
            </w:pPr>
            <w:r w:rsidRPr="009A27ED">
              <w:rPr>
                <w:rFonts w:eastAsia="Calibri"/>
                <w:sz w:val="20"/>
                <w:szCs w:val="20"/>
              </w:rPr>
              <w:t xml:space="preserve">Buscar arreglo amigable entre las partes afectadas  </w:t>
            </w:r>
          </w:p>
        </w:tc>
      </w:tr>
      <w:tr w:rsidR="00405040" w:rsidRPr="009A27ED" w14:paraId="23206F69" w14:textId="77777777" w:rsidTr="007157A1">
        <w:tc>
          <w:tcPr>
            <w:cnfStyle w:val="001000000000" w:firstRow="0" w:lastRow="0" w:firstColumn="1" w:lastColumn="0" w:oddVBand="0" w:evenVBand="0" w:oddHBand="0" w:evenHBand="0" w:firstRowFirstColumn="0" w:firstRowLastColumn="0" w:lastRowFirstColumn="0" w:lastRowLastColumn="0"/>
            <w:tcW w:w="2942" w:type="dxa"/>
          </w:tcPr>
          <w:p w14:paraId="32D6B481" w14:textId="77777777" w:rsidR="00405040" w:rsidRPr="009A27ED" w:rsidRDefault="00405040" w:rsidP="00405040">
            <w:pPr>
              <w:spacing w:before="120" w:after="0"/>
              <w:rPr>
                <w:rFonts w:eastAsia="Calibri"/>
                <w:sz w:val="20"/>
                <w:szCs w:val="20"/>
              </w:rPr>
            </w:pPr>
            <w:r w:rsidRPr="009A27ED">
              <w:rPr>
                <w:rFonts w:eastAsia="Calibri"/>
                <w:sz w:val="20"/>
                <w:szCs w:val="20"/>
              </w:rPr>
              <w:lastRenderedPageBreak/>
              <w:t>Ofrecer a los afectados  distintas opciones técnicas y económicas viables de reasentamiento</w:t>
            </w:r>
          </w:p>
        </w:tc>
        <w:tc>
          <w:tcPr>
            <w:tcW w:w="3432" w:type="dxa"/>
          </w:tcPr>
          <w:p w14:paraId="71D77A93" w14:textId="77777777" w:rsidR="00405040" w:rsidRPr="009A27ED" w:rsidRDefault="00405040" w:rsidP="00405040">
            <w:pPr>
              <w:spacing w:before="120" w:after="0"/>
              <w:ind w:left="7"/>
              <w:cnfStyle w:val="000000000000" w:firstRow="0" w:lastRow="0" w:firstColumn="0" w:lastColumn="0" w:oddVBand="0" w:evenVBand="0" w:oddHBand="0" w:evenHBand="0" w:firstRowFirstColumn="0" w:firstRowLastColumn="0" w:lastRowFirstColumn="0" w:lastRowLastColumn="0"/>
              <w:rPr>
                <w:rFonts w:eastAsia="Calibri"/>
                <w:sz w:val="20"/>
                <w:szCs w:val="20"/>
              </w:rPr>
            </w:pPr>
            <w:r w:rsidRPr="009A27ED">
              <w:rPr>
                <w:rFonts w:eastAsia="Calibri"/>
                <w:sz w:val="20"/>
                <w:szCs w:val="20"/>
              </w:rPr>
              <w:t xml:space="preserve">Una vez determinado el interés social o de utilidad pública de la propiedad a ser expropiada, debe </w:t>
            </w:r>
            <w:proofErr w:type="gramStart"/>
            <w:r w:rsidRPr="009A27ED">
              <w:rPr>
                <w:rFonts w:eastAsia="Calibri"/>
                <w:sz w:val="20"/>
                <w:szCs w:val="20"/>
              </w:rPr>
              <w:t>procederse a solicitar</w:t>
            </w:r>
            <w:proofErr w:type="gramEnd"/>
            <w:r w:rsidRPr="009A27ED">
              <w:rPr>
                <w:rFonts w:eastAsia="Calibri"/>
                <w:sz w:val="20"/>
                <w:szCs w:val="20"/>
              </w:rPr>
              <w:t xml:space="preserve"> a un Tribunal la aprobación del justo valor de la propiedad, valor que corresponde, cuando menos, al valor al momento de la expropiación.</w:t>
            </w:r>
          </w:p>
        </w:tc>
        <w:tc>
          <w:tcPr>
            <w:tcW w:w="2835" w:type="dxa"/>
          </w:tcPr>
          <w:p w14:paraId="72863EB4" w14:textId="77777777" w:rsidR="00405040" w:rsidRPr="009A27ED" w:rsidRDefault="00405040" w:rsidP="00405040">
            <w:pPr>
              <w:spacing w:before="120" w:after="0"/>
              <w:cnfStyle w:val="000000000000" w:firstRow="0" w:lastRow="0" w:firstColumn="0" w:lastColumn="0" w:oddVBand="0" w:evenVBand="0" w:oddHBand="0" w:evenHBand="0" w:firstRowFirstColumn="0" w:firstRowLastColumn="0" w:lastRowFirstColumn="0" w:lastRowLastColumn="0"/>
              <w:rPr>
                <w:rFonts w:eastAsia="Calibri"/>
                <w:sz w:val="20"/>
                <w:szCs w:val="20"/>
              </w:rPr>
            </w:pPr>
            <w:r w:rsidRPr="009A27ED">
              <w:rPr>
                <w:rFonts w:eastAsia="Calibri"/>
                <w:sz w:val="20"/>
                <w:szCs w:val="20"/>
              </w:rPr>
              <w:t>Antes de proceder a la solicitud a un tribunal para la asignación de costo debe efectuarse un proceso de negociación donde le sean presentados propuestas o posibles opciones técnicas y económicas viables, y que faciliten acuerdos amigables entre ambas partes.</w:t>
            </w:r>
          </w:p>
        </w:tc>
      </w:tr>
    </w:tbl>
    <w:tbl>
      <w:tblPr>
        <w:tblStyle w:val="GridTable1Light-Accent12"/>
        <w:tblW w:w="9209" w:type="dxa"/>
        <w:tblLook w:val="04A0" w:firstRow="1" w:lastRow="0" w:firstColumn="1" w:lastColumn="0" w:noHBand="0" w:noVBand="1"/>
      </w:tblPr>
      <w:tblGrid>
        <w:gridCol w:w="2972"/>
        <w:gridCol w:w="142"/>
        <w:gridCol w:w="3260"/>
        <w:gridCol w:w="2835"/>
      </w:tblGrid>
      <w:tr w:rsidR="00405040" w:rsidRPr="009A27ED" w14:paraId="26BB4A99" w14:textId="77777777" w:rsidTr="007157A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2" w:type="dxa"/>
          </w:tcPr>
          <w:p w14:paraId="2E5ED7E7" w14:textId="77777777" w:rsidR="00405040" w:rsidRPr="009A27ED" w:rsidRDefault="00405040" w:rsidP="00405040">
            <w:pPr>
              <w:spacing w:before="120" w:after="0"/>
              <w:rPr>
                <w:rFonts w:eastAsia="Calibri"/>
                <w:b w:val="0"/>
                <w:szCs w:val="22"/>
              </w:rPr>
            </w:pPr>
            <w:r w:rsidRPr="009A27ED">
              <w:rPr>
                <w:rFonts w:eastAsia="Calibri"/>
                <w:szCs w:val="22"/>
              </w:rPr>
              <w:t xml:space="preserve">Otorgar una indemnización rápida y efectiva equivalente al costo total de reposición por las pérdidas de activos atribuibles directamente al proyecto. Aplica el costo de reposición que es el método de valoración de activos que ayuda a determinar la cantidad suficiente para reponer los activos perdidos y cubrir los costos de transacción. Al aplicar este método de valoración no debe tenerse en cuenta la depreciación de las estructuras ni de los bienes. Cuando se trate de pérdidas que no son fáciles de evaluar o compensar en términos monetarios, por ejemplo, acceso a los servicios públicos, a los clientes y proveedores o a las zonas de pesca, pastoreo o explotación forestal, debe procurarse brindar acceso a recursos y oportunidades de trabajo remunerado equivalentes y aceptables desde una perspectiva cultural. </w:t>
            </w:r>
          </w:p>
        </w:tc>
        <w:tc>
          <w:tcPr>
            <w:tcW w:w="3402" w:type="dxa"/>
            <w:gridSpan w:val="2"/>
          </w:tcPr>
          <w:p w14:paraId="078D7AB5" w14:textId="77777777" w:rsidR="00405040" w:rsidRPr="009A27ED" w:rsidRDefault="00405040" w:rsidP="00405040">
            <w:pPr>
              <w:spacing w:before="120" w:after="0"/>
              <w:cnfStyle w:val="100000000000" w:firstRow="1" w:lastRow="0" w:firstColumn="0" w:lastColumn="0" w:oddVBand="0" w:evenVBand="0" w:oddHBand="0" w:evenHBand="0" w:firstRowFirstColumn="0" w:firstRowLastColumn="0" w:lastRowFirstColumn="0" w:lastRowLastColumn="0"/>
              <w:rPr>
                <w:rFonts w:eastAsia="Calibri"/>
                <w:b w:val="0"/>
                <w:color w:val="000000"/>
                <w:szCs w:val="22"/>
              </w:rPr>
            </w:pPr>
            <w:r w:rsidRPr="009A27ED">
              <w:rPr>
                <w:rFonts w:eastAsia="Calibri"/>
                <w:color w:val="000000"/>
                <w:szCs w:val="22"/>
              </w:rPr>
              <w:t>Una vez determinado por sentencia del Tribunal el valor de la propiedad debe hacerse el pago de la indemnización antes de realizarse el desalojo.</w:t>
            </w:r>
          </w:p>
          <w:p w14:paraId="59A937A9" w14:textId="77777777" w:rsidR="00405040" w:rsidRPr="009A27ED" w:rsidRDefault="00405040" w:rsidP="00405040">
            <w:pPr>
              <w:spacing w:before="120" w:after="0"/>
              <w:cnfStyle w:val="100000000000" w:firstRow="1" w:lastRow="0" w:firstColumn="0" w:lastColumn="0" w:oddVBand="0" w:evenVBand="0" w:oddHBand="0" w:evenHBand="0" w:firstRowFirstColumn="0" w:firstRowLastColumn="0" w:lastRowFirstColumn="0" w:lastRowLastColumn="0"/>
              <w:rPr>
                <w:rFonts w:eastAsia="Calibri"/>
                <w:color w:val="000000"/>
                <w:szCs w:val="22"/>
              </w:rPr>
            </w:pPr>
            <w:r w:rsidRPr="009A27ED">
              <w:rPr>
                <w:rFonts w:eastAsia="Calibri"/>
                <w:color w:val="000000"/>
                <w:szCs w:val="22"/>
              </w:rPr>
              <w:t xml:space="preserve">Los bienes inmuebles podrán ser objeto de descuento en su tasación, por apreciación de la Dirección General de Catastro Nacional, previo examen de comprobación de </w:t>
            </w:r>
            <w:proofErr w:type="gramStart"/>
            <w:r w:rsidRPr="009A27ED">
              <w:rPr>
                <w:rFonts w:eastAsia="Calibri"/>
                <w:color w:val="000000"/>
                <w:szCs w:val="22"/>
              </w:rPr>
              <w:t>los mismos</w:t>
            </w:r>
            <w:proofErr w:type="gramEnd"/>
            <w:r w:rsidRPr="009A27ED">
              <w:rPr>
                <w:rFonts w:eastAsia="Calibri"/>
                <w:color w:val="000000"/>
                <w:szCs w:val="22"/>
              </w:rPr>
              <w:t xml:space="preserve"> teniendo en cuenta su edad, estado de conservación y ubicación, así como cualesquiera otros factores que pueda afectar negativamente su valor (Art.29 ley 317).</w:t>
            </w:r>
          </w:p>
          <w:p w14:paraId="4BC93A4A" w14:textId="77777777" w:rsidR="00405040" w:rsidRPr="009A27ED" w:rsidRDefault="00405040" w:rsidP="00405040">
            <w:pPr>
              <w:spacing w:before="120" w:after="0"/>
              <w:ind w:left="71"/>
              <w:cnfStyle w:val="100000000000" w:firstRow="1" w:lastRow="0" w:firstColumn="0" w:lastColumn="0" w:oddVBand="0" w:evenVBand="0" w:oddHBand="0" w:evenHBand="0" w:firstRowFirstColumn="0" w:firstRowLastColumn="0" w:lastRowFirstColumn="0" w:lastRowLastColumn="0"/>
              <w:rPr>
                <w:rFonts w:eastAsia="Calibri"/>
                <w:color w:val="000000"/>
                <w:szCs w:val="22"/>
              </w:rPr>
            </w:pPr>
            <w:r w:rsidRPr="009A27ED">
              <w:rPr>
                <w:rFonts w:eastAsia="Calibri"/>
                <w:color w:val="000000"/>
                <w:szCs w:val="22"/>
              </w:rPr>
              <w:t xml:space="preserve"> </w:t>
            </w:r>
          </w:p>
          <w:p w14:paraId="01CE184E" w14:textId="77777777" w:rsidR="00405040" w:rsidRPr="009A27ED" w:rsidRDefault="00405040" w:rsidP="00405040">
            <w:pPr>
              <w:spacing w:before="120" w:after="0"/>
              <w:ind w:left="71"/>
              <w:cnfStyle w:val="100000000000" w:firstRow="1" w:lastRow="0" w:firstColumn="0" w:lastColumn="0" w:oddVBand="0" w:evenVBand="0" w:oddHBand="0" w:evenHBand="0" w:firstRowFirstColumn="0" w:firstRowLastColumn="0" w:lastRowFirstColumn="0" w:lastRowLastColumn="0"/>
              <w:rPr>
                <w:rFonts w:eastAsia="Calibri"/>
                <w:color w:val="000000"/>
                <w:szCs w:val="22"/>
              </w:rPr>
            </w:pPr>
          </w:p>
          <w:p w14:paraId="5A871FA2" w14:textId="77777777" w:rsidR="00405040" w:rsidRPr="009A27ED" w:rsidRDefault="00405040" w:rsidP="00405040">
            <w:pPr>
              <w:spacing w:before="120" w:after="0"/>
              <w:ind w:left="71"/>
              <w:cnfStyle w:val="100000000000" w:firstRow="1" w:lastRow="0" w:firstColumn="0" w:lastColumn="0" w:oddVBand="0" w:evenVBand="0" w:oddHBand="0" w:evenHBand="0" w:firstRowFirstColumn="0" w:firstRowLastColumn="0" w:lastRowFirstColumn="0" w:lastRowLastColumn="0"/>
              <w:rPr>
                <w:rFonts w:eastAsia="Calibri"/>
                <w:color w:val="000000"/>
                <w:szCs w:val="22"/>
              </w:rPr>
            </w:pPr>
          </w:p>
          <w:p w14:paraId="0CD565A5" w14:textId="77777777" w:rsidR="00405040" w:rsidRPr="009A27ED" w:rsidRDefault="00405040" w:rsidP="00405040">
            <w:pPr>
              <w:spacing w:before="120" w:after="0"/>
              <w:ind w:left="71"/>
              <w:cnfStyle w:val="100000000000" w:firstRow="1" w:lastRow="0" w:firstColumn="0" w:lastColumn="0" w:oddVBand="0" w:evenVBand="0" w:oddHBand="0" w:evenHBand="0" w:firstRowFirstColumn="0" w:firstRowLastColumn="0" w:lastRowFirstColumn="0" w:lastRowLastColumn="0"/>
              <w:rPr>
                <w:rFonts w:eastAsia="Calibri"/>
                <w:color w:val="000000"/>
                <w:szCs w:val="22"/>
              </w:rPr>
            </w:pPr>
          </w:p>
        </w:tc>
        <w:tc>
          <w:tcPr>
            <w:tcW w:w="2835" w:type="dxa"/>
          </w:tcPr>
          <w:p w14:paraId="71A9229C" w14:textId="77777777" w:rsidR="00405040" w:rsidRPr="009A27ED" w:rsidRDefault="00405040" w:rsidP="00405040">
            <w:pPr>
              <w:spacing w:before="120" w:after="0"/>
              <w:cnfStyle w:val="100000000000" w:firstRow="1" w:lastRow="0" w:firstColumn="0" w:lastColumn="0" w:oddVBand="0" w:evenVBand="0" w:oddHBand="0" w:evenHBand="0" w:firstRowFirstColumn="0" w:firstRowLastColumn="0" w:lastRowFirstColumn="0" w:lastRowLastColumn="0"/>
              <w:rPr>
                <w:rFonts w:eastAsia="Calibri"/>
                <w:b w:val="0"/>
                <w:color w:val="000000"/>
                <w:szCs w:val="22"/>
              </w:rPr>
            </w:pPr>
            <w:r w:rsidRPr="009A27ED">
              <w:rPr>
                <w:rFonts w:eastAsia="Calibri"/>
                <w:color w:val="000000"/>
                <w:szCs w:val="22"/>
              </w:rPr>
              <w:t>Identificar los activos que serán afectados, evaluar costo, tener precio estimado, lograr acuerdo amigable preferiblemente.</w:t>
            </w:r>
          </w:p>
          <w:p w14:paraId="00A1B94E" w14:textId="65D18154" w:rsidR="00405040" w:rsidRPr="009A27ED" w:rsidRDefault="008C2D9A" w:rsidP="00405040">
            <w:pPr>
              <w:spacing w:before="120" w:after="0"/>
              <w:cnfStyle w:val="100000000000" w:firstRow="1" w:lastRow="0" w:firstColumn="0" w:lastColumn="0" w:oddVBand="0" w:evenVBand="0" w:oddHBand="0" w:evenHBand="0" w:firstRowFirstColumn="0" w:firstRowLastColumn="0" w:lastRowFirstColumn="0" w:lastRowLastColumn="0"/>
              <w:rPr>
                <w:rFonts w:eastAsia="Calibri"/>
                <w:color w:val="000000"/>
                <w:szCs w:val="22"/>
              </w:rPr>
            </w:pPr>
            <w:r w:rsidRPr="009A27ED">
              <w:rPr>
                <w:rFonts w:eastAsia="Calibri"/>
                <w:color w:val="000000"/>
                <w:szCs w:val="22"/>
              </w:rPr>
              <w:t>L</w:t>
            </w:r>
            <w:r w:rsidR="00405040" w:rsidRPr="009A27ED">
              <w:rPr>
                <w:rFonts w:eastAsia="Calibri"/>
                <w:color w:val="000000"/>
                <w:szCs w:val="22"/>
              </w:rPr>
              <w:t xml:space="preserve">a compensación que permita la ley nacional se complementará con las medidas adicionales necesarias para cumplir la norma </w:t>
            </w:r>
            <w:r w:rsidR="000F71D6" w:rsidRPr="009A27ED">
              <w:rPr>
                <w:rFonts w:eastAsia="Calibri"/>
                <w:color w:val="000000"/>
                <w:szCs w:val="22"/>
              </w:rPr>
              <w:t xml:space="preserve">OP 4.12 </w:t>
            </w:r>
            <w:r w:rsidR="00405040" w:rsidRPr="009A27ED">
              <w:rPr>
                <w:rFonts w:eastAsia="Calibri"/>
                <w:color w:val="000000"/>
                <w:szCs w:val="22"/>
              </w:rPr>
              <w:t xml:space="preserve">sobre costo de reposición. </w:t>
            </w:r>
          </w:p>
          <w:p w14:paraId="574E97E9" w14:textId="77777777" w:rsidR="00405040" w:rsidRPr="009A27ED" w:rsidRDefault="00405040" w:rsidP="00405040">
            <w:pPr>
              <w:spacing w:before="120" w:after="0"/>
              <w:ind w:left="71"/>
              <w:cnfStyle w:val="100000000000" w:firstRow="1" w:lastRow="0" w:firstColumn="0" w:lastColumn="0" w:oddVBand="0" w:evenVBand="0" w:oddHBand="0" w:evenHBand="0" w:firstRowFirstColumn="0" w:firstRowLastColumn="0" w:lastRowFirstColumn="0" w:lastRowLastColumn="0"/>
              <w:rPr>
                <w:rFonts w:eastAsia="Calibri"/>
                <w:color w:val="000000"/>
                <w:szCs w:val="22"/>
              </w:rPr>
            </w:pPr>
          </w:p>
          <w:p w14:paraId="7D26B6C9" w14:textId="77777777" w:rsidR="00405040" w:rsidRPr="009A27ED" w:rsidRDefault="00405040" w:rsidP="00405040">
            <w:pPr>
              <w:spacing w:before="120" w:after="0"/>
              <w:ind w:left="71"/>
              <w:cnfStyle w:val="100000000000" w:firstRow="1" w:lastRow="0" w:firstColumn="0" w:lastColumn="0" w:oddVBand="0" w:evenVBand="0" w:oddHBand="0" w:evenHBand="0" w:firstRowFirstColumn="0" w:firstRowLastColumn="0" w:lastRowFirstColumn="0" w:lastRowLastColumn="0"/>
              <w:rPr>
                <w:rFonts w:eastAsia="Calibri"/>
                <w:color w:val="000000"/>
                <w:szCs w:val="22"/>
              </w:rPr>
            </w:pPr>
          </w:p>
          <w:p w14:paraId="513F2CF6" w14:textId="77777777" w:rsidR="00405040" w:rsidRPr="009A27ED" w:rsidRDefault="00405040" w:rsidP="00405040">
            <w:pPr>
              <w:spacing w:before="120" w:after="0"/>
              <w:ind w:left="71"/>
              <w:cnfStyle w:val="100000000000" w:firstRow="1" w:lastRow="0" w:firstColumn="0" w:lastColumn="0" w:oddVBand="0" w:evenVBand="0" w:oddHBand="0" w:evenHBand="0" w:firstRowFirstColumn="0" w:firstRowLastColumn="0" w:lastRowFirstColumn="0" w:lastRowLastColumn="0"/>
              <w:rPr>
                <w:rFonts w:eastAsia="Calibri"/>
                <w:color w:val="000000"/>
                <w:szCs w:val="22"/>
              </w:rPr>
            </w:pPr>
          </w:p>
          <w:p w14:paraId="7FACC197" w14:textId="77777777" w:rsidR="00405040" w:rsidRPr="009A27ED" w:rsidRDefault="00405040" w:rsidP="00405040">
            <w:pPr>
              <w:spacing w:before="120" w:after="0"/>
              <w:ind w:left="71"/>
              <w:cnfStyle w:val="100000000000" w:firstRow="1" w:lastRow="0" w:firstColumn="0" w:lastColumn="0" w:oddVBand="0" w:evenVBand="0" w:oddHBand="0" w:evenHBand="0" w:firstRowFirstColumn="0" w:firstRowLastColumn="0" w:lastRowFirstColumn="0" w:lastRowLastColumn="0"/>
              <w:rPr>
                <w:rFonts w:eastAsia="Calibri"/>
                <w:color w:val="000000"/>
                <w:szCs w:val="22"/>
              </w:rPr>
            </w:pPr>
          </w:p>
          <w:p w14:paraId="218BB119" w14:textId="77777777" w:rsidR="00405040" w:rsidRPr="009A27ED" w:rsidRDefault="00405040" w:rsidP="00405040">
            <w:pPr>
              <w:spacing w:before="120" w:after="0"/>
              <w:ind w:left="71"/>
              <w:cnfStyle w:val="100000000000" w:firstRow="1" w:lastRow="0" w:firstColumn="0" w:lastColumn="0" w:oddVBand="0" w:evenVBand="0" w:oddHBand="0" w:evenHBand="0" w:firstRowFirstColumn="0" w:firstRowLastColumn="0" w:lastRowFirstColumn="0" w:lastRowLastColumn="0"/>
              <w:rPr>
                <w:rFonts w:eastAsia="Calibri"/>
                <w:color w:val="000000"/>
                <w:szCs w:val="22"/>
              </w:rPr>
            </w:pPr>
          </w:p>
          <w:p w14:paraId="0715CDA6" w14:textId="77777777" w:rsidR="00405040" w:rsidRPr="009A27ED" w:rsidRDefault="00405040" w:rsidP="00405040">
            <w:pPr>
              <w:spacing w:before="120" w:after="0"/>
              <w:ind w:left="71"/>
              <w:cnfStyle w:val="100000000000" w:firstRow="1" w:lastRow="0" w:firstColumn="0" w:lastColumn="0" w:oddVBand="0" w:evenVBand="0" w:oddHBand="0" w:evenHBand="0" w:firstRowFirstColumn="0" w:firstRowLastColumn="0" w:lastRowFirstColumn="0" w:lastRowLastColumn="0"/>
              <w:rPr>
                <w:rFonts w:eastAsia="Calibri"/>
                <w:color w:val="000000"/>
                <w:szCs w:val="22"/>
              </w:rPr>
            </w:pPr>
          </w:p>
          <w:p w14:paraId="6A7F0A4E" w14:textId="77777777" w:rsidR="00405040" w:rsidRPr="009A27ED" w:rsidRDefault="00405040" w:rsidP="00405040">
            <w:pPr>
              <w:spacing w:before="120" w:after="0"/>
              <w:ind w:left="71"/>
              <w:cnfStyle w:val="100000000000" w:firstRow="1" w:lastRow="0" w:firstColumn="0" w:lastColumn="0" w:oddVBand="0" w:evenVBand="0" w:oddHBand="0" w:evenHBand="0" w:firstRowFirstColumn="0" w:firstRowLastColumn="0" w:lastRowFirstColumn="0" w:lastRowLastColumn="0"/>
              <w:rPr>
                <w:rFonts w:eastAsia="Calibri"/>
                <w:color w:val="000000"/>
                <w:szCs w:val="22"/>
              </w:rPr>
            </w:pPr>
          </w:p>
        </w:tc>
      </w:tr>
      <w:tr w:rsidR="00405040" w:rsidRPr="009A27ED" w14:paraId="58DC1F7F" w14:textId="77777777" w:rsidTr="007157A1">
        <w:tc>
          <w:tcPr>
            <w:cnfStyle w:val="001000000000" w:firstRow="0" w:lastRow="0" w:firstColumn="1" w:lastColumn="0" w:oddVBand="0" w:evenVBand="0" w:oddHBand="0" w:evenHBand="0" w:firstRowFirstColumn="0" w:firstRowLastColumn="0" w:lastRowFirstColumn="0" w:lastRowLastColumn="0"/>
            <w:tcW w:w="2972" w:type="dxa"/>
          </w:tcPr>
          <w:p w14:paraId="7A299783" w14:textId="77777777" w:rsidR="00405040" w:rsidRPr="009A27ED" w:rsidRDefault="00405040" w:rsidP="00405040">
            <w:pPr>
              <w:spacing w:before="120" w:after="0"/>
              <w:ind w:left="71"/>
              <w:rPr>
                <w:rFonts w:eastAsia="Calibri"/>
                <w:b w:val="0"/>
                <w:bCs w:val="0"/>
                <w:szCs w:val="22"/>
              </w:rPr>
            </w:pPr>
            <w:r w:rsidRPr="009A27ED">
              <w:rPr>
                <w:rFonts w:eastAsia="Calibri"/>
                <w:szCs w:val="22"/>
              </w:rPr>
              <w:t>Asistencia (como subsidios de traslado).</w:t>
            </w:r>
          </w:p>
          <w:p w14:paraId="28A664D1" w14:textId="77777777" w:rsidR="00405040" w:rsidRPr="009A27ED" w:rsidRDefault="00405040" w:rsidP="00405040">
            <w:pPr>
              <w:spacing w:before="120" w:after="0"/>
              <w:ind w:left="71"/>
              <w:rPr>
                <w:rFonts w:eastAsia="Calibri"/>
                <w:b w:val="0"/>
                <w:szCs w:val="22"/>
              </w:rPr>
            </w:pPr>
            <w:r w:rsidRPr="009A27ED">
              <w:rPr>
                <w:rFonts w:eastAsia="Calibri"/>
                <w:szCs w:val="22"/>
              </w:rPr>
              <w:lastRenderedPageBreak/>
              <w:t>Ofrecer apoyo posterior al desplazamiento para verificar la adaptación y el restablecimiento de sus condiciones de vida.</w:t>
            </w:r>
          </w:p>
          <w:p w14:paraId="127672E1" w14:textId="77777777" w:rsidR="00405040" w:rsidRPr="009A27ED" w:rsidRDefault="00405040" w:rsidP="00405040">
            <w:pPr>
              <w:spacing w:before="120" w:after="0"/>
              <w:ind w:left="71"/>
              <w:rPr>
                <w:rFonts w:eastAsia="Calibri"/>
                <w:b w:val="0"/>
                <w:szCs w:val="22"/>
              </w:rPr>
            </w:pPr>
            <w:r w:rsidRPr="009A27ED">
              <w:rPr>
                <w:rFonts w:eastAsia="Calibri"/>
                <w:szCs w:val="22"/>
              </w:rPr>
              <w:t>Prestar una atención especial a los desplazados vulnerables.</w:t>
            </w:r>
          </w:p>
          <w:p w14:paraId="6521EA1E" w14:textId="77777777" w:rsidR="00405040" w:rsidRPr="009A27ED" w:rsidRDefault="00405040" w:rsidP="00405040">
            <w:pPr>
              <w:spacing w:before="120" w:after="0"/>
              <w:ind w:left="71"/>
              <w:rPr>
                <w:rFonts w:eastAsia="Calibri"/>
                <w:szCs w:val="22"/>
              </w:rPr>
            </w:pPr>
          </w:p>
        </w:tc>
        <w:tc>
          <w:tcPr>
            <w:tcW w:w="3402" w:type="dxa"/>
            <w:gridSpan w:val="2"/>
          </w:tcPr>
          <w:p w14:paraId="611F6C92" w14:textId="0109F2DF" w:rsidR="00405040" w:rsidRPr="009A27ED" w:rsidRDefault="00405040" w:rsidP="00405040">
            <w:pPr>
              <w:spacing w:before="120" w:after="0"/>
              <w:ind w:left="96"/>
              <w:cnfStyle w:val="000000000000" w:firstRow="0" w:lastRow="0" w:firstColumn="0" w:lastColumn="0" w:oddVBand="0" w:evenVBand="0" w:oddHBand="0" w:evenHBand="0" w:firstRowFirstColumn="0" w:firstRowLastColumn="0" w:lastRowFirstColumn="0" w:lastRowLastColumn="0"/>
              <w:rPr>
                <w:rFonts w:eastAsia="Calibri"/>
                <w:szCs w:val="22"/>
              </w:rPr>
            </w:pPr>
            <w:r w:rsidRPr="009A27ED">
              <w:rPr>
                <w:rFonts w:eastAsia="Calibri"/>
                <w:szCs w:val="22"/>
              </w:rPr>
              <w:lastRenderedPageBreak/>
              <w:t xml:space="preserve">En el artículo 8 de la Carta Magna: se reconoce como </w:t>
            </w:r>
            <w:r w:rsidRPr="009A27ED">
              <w:rPr>
                <w:rFonts w:eastAsia="Calibri"/>
                <w:szCs w:val="22"/>
              </w:rPr>
              <w:lastRenderedPageBreak/>
              <w:t xml:space="preserve">finalidad principal del Estado, la protección efectiva de los derechos de </w:t>
            </w:r>
            <w:r w:rsidR="004B4775" w:rsidRPr="009A27ED">
              <w:rPr>
                <w:rFonts w:eastAsia="Calibri"/>
                <w:szCs w:val="22"/>
              </w:rPr>
              <w:t>las personas</w:t>
            </w:r>
            <w:r w:rsidRPr="009A27ED">
              <w:rPr>
                <w:rFonts w:eastAsia="Calibri"/>
                <w:szCs w:val="22"/>
              </w:rPr>
              <w:t xml:space="preserve"> y el mantenimiento de los medios que le permitan perfeccionarse progresivamente dentro del orden de libertad individual y justicia social.</w:t>
            </w:r>
          </w:p>
          <w:p w14:paraId="0D94F78E" w14:textId="77777777" w:rsidR="00405040" w:rsidRPr="009A27ED" w:rsidRDefault="00405040" w:rsidP="00405040">
            <w:pPr>
              <w:spacing w:before="120" w:after="0"/>
              <w:ind w:left="96"/>
              <w:cnfStyle w:val="000000000000" w:firstRow="0" w:lastRow="0" w:firstColumn="0" w:lastColumn="0" w:oddVBand="0" w:evenVBand="0" w:oddHBand="0" w:evenHBand="0" w:firstRowFirstColumn="0" w:firstRowLastColumn="0" w:lastRowFirstColumn="0" w:lastRowLastColumn="0"/>
              <w:rPr>
                <w:rFonts w:eastAsia="Calibri"/>
                <w:szCs w:val="22"/>
              </w:rPr>
            </w:pPr>
            <w:r w:rsidRPr="009A27ED">
              <w:rPr>
                <w:rFonts w:eastAsia="Calibri"/>
                <w:szCs w:val="22"/>
              </w:rPr>
              <w:t>Está obligado a garantizar los derechos de todas las personas dentro del territorio de la República Dominicana.</w:t>
            </w:r>
          </w:p>
          <w:p w14:paraId="26E9C63F" w14:textId="77777777" w:rsidR="00405040" w:rsidRPr="009A27ED" w:rsidRDefault="00405040" w:rsidP="00405040">
            <w:pPr>
              <w:spacing w:before="120" w:after="0"/>
              <w:ind w:left="96"/>
              <w:cnfStyle w:val="000000000000" w:firstRow="0" w:lastRow="0" w:firstColumn="0" w:lastColumn="0" w:oddVBand="0" w:evenVBand="0" w:oddHBand="0" w:evenHBand="0" w:firstRowFirstColumn="0" w:firstRowLastColumn="0" w:lastRowFirstColumn="0" w:lastRowLastColumn="0"/>
              <w:rPr>
                <w:rFonts w:eastAsia="Calibri"/>
                <w:szCs w:val="22"/>
              </w:rPr>
            </w:pPr>
            <w:r w:rsidRPr="009A27ED">
              <w:rPr>
                <w:rFonts w:eastAsia="Calibri"/>
                <w:szCs w:val="22"/>
              </w:rPr>
              <w:t>República Dominicana ratificó el 4 de enero de 1978, el Pacto sobre Derechos Económicos, sociales y culturales.</w:t>
            </w:r>
          </w:p>
          <w:p w14:paraId="7167398C" w14:textId="77777777" w:rsidR="00405040" w:rsidRPr="009A27ED" w:rsidRDefault="00405040" w:rsidP="00405040">
            <w:pPr>
              <w:spacing w:before="120" w:after="0"/>
              <w:ind w:left="96"/>
              <w:cnfStyle w:val="000000000000" w:firstRow="0" w:lastRow="0" w:firstColumn="0" w:lastColumn="0" w:oddVBand="0" w:evenVBand="0" w:oddHBand="0" w:evenHBand="0" w:firstRowFirstColumn="0" w:firstRowLastColumn="0" w:lastRowFirstColumn="0" w:lastRowLastColumn="0"/>
              <w:rPr>
                <w:rFonts w:eastAsia="Calibri"/>
                <w:szCs w:val="22"/>
              </w:rPr>
            </w:pPr>
            <w:r w:rsidRPr="009A27ED">
              <w:rPr>
                <w:rFonts w:eastAsia="Calibri"/>
                <w:szCs w:val="22"/>
              </w:rPr>
              <w:t>El Estado está en el deber, y lo establecen los principios fundamentales de la Constitución, de proceder a la reubicación de las personas que van a ser expropiadas.</w:t>
            </w:r>
          </w:p>
          <w:p w14:paraId="2017A7D2" w14:textId="77777777" w:rsidR="00405040" w:rsidRPr="009A27ED" w:rsidRDefault="00405040" w:rsidP="00405040">
            <w:pPr>
              <w:spacing w:before="120" w:after="0"/>
              <w:ind w:left="96"/>
              <w:cnfStyle w:val="000000000000" w:firstRow="0" w:lastRow="0" w:firstColumn="0" w:lastColumn="0" w:oddVBand="0" w:evenVBand="0" w:oddHBand="0" w:evenHBand="0" w:firstRowFirstColumn="0" w:firstRowLastColumn="0" w:lastRowFirstColumn="0" w:lastRowLastColumn="0"/>
              <w:rPr>
                <w:rFonts w:eastAsia="Calibri"/>
                <w:szCs w:val="22"/>
              </w:rPr>
            </w:pPr>
            <w:r w:rsidRPr="009A27ED">
              <w:rPr>
                <w:rFonts w:eastAsia="Calibri"/>
                <w:szCs w:val="22"/>
              </w:rPr>
              <w:t>Deben trasladarse y ubicarse en un ambiente con todas las necesidades cubiertas: alojamiento, servicios básicos, servicios médicos.</w:t>
            </w:r>
          </w:p>
        </w:tc>
        <w:tc>
          <w:tcPr>
            <w:tcW w:w="2835" w:type="dxa"/>
          </w:tcPr>
          <w:p w14:paraId="468DF5C9" w14:textId="77777777" w:rsidR="00405040" w:rsidRPr="009A27ED" w:rsidRDefault="00405040" w:rsidP="00405040">
            <w:pPr>
              <w:spacing w:before="120" w:after="0"/>
              <w:ind w:left="31"/>
              <w:cnfStyle w:val="000000000000" w:firstRow="0" w:lastRow="0" w:firstColumn="0" w:lastColumn="0" w:oddVBand="0" w:evenVBand="0" w:oddHBand="0" w:evenHBand="0" w:firstRowFirstColumn="0" w:firstRowLastColumn="0" w:lastRowFirstColumn="0" w:lastRowLastColumn="0"/>
              <w:rPr>
                <w:rFonts w:eastAsia="Calibri"/>
                <w:szCs w:val="22"/>
              </w:rPr>
            </w:pPr>
            <w:r w:rsidRPr="009A27ED">
              <w:rPr>
                <w:rFonts w:eastAsia="Calibri"/>
                <w:szCs w:val="22"/>
              </w:rPr>
              <w:lastRenderedPageBreak/>
              <w:t xml:space="preserve">Elaborar y ejecutar un programa de educación </w:t>
            </w:r>
            <w:r w:rsidRPr="009A27ED">
              <w:rPr>
                <w:rFonts w:eastAsia="Calibri"/>
                <w:szCs w:val="22"/>
              </w:rPr>
              <w:lastRenderedPageBreak/>
              <w:t>dirigido a la comunidad sobre derechos y deberes, contemplados en el artículo 8 de la Carta Magna, y en los principios OP 4.12</w:t>
            </w:r>
          </w:p>
          <w:p w14:paraId="4F1AF955" w14:textId="77777777" w:rsidR="00405040" w:rsidRPr="009A27ED" w:rsidRDefault="00405040" w:rsidP="00405040">
            <w:pPr>
              <w:spacing w:before="120" w:after="0"/>
              <w:ind w:left="31"/>
              <w:cnfStyle w:val="000000000000" w:firstRow="0" w:lastRow="0" w:firstColumn="0" w:lastColumn="0" w:oddVBand="0" w:evenVBand="0" w:oddHBand="0" w:evenHBand="0" w:firstRowFirstColumn="0" w:firstRowLastColumn="0" w:lastRowFirstColumn="0" w:lastRowLastColumn="0"/>
              <w:rPr>
                <w:rFonts w:eastAsia="Calibri"/>
                <w:szCs w:val="22"/>
              </w:rPr>
            </w:pPr>
            <w:r w:rsidRPr="009A27ED">
              <w:rPr>
                <w:rFonts w:eastAsia="Calibri"/>
                <w:szCs w:val="22"/>
              </w:rPr>
              <w:t>Desarrollar un programa de seguimiento post reasentamiento para evaluar el cumplimiento efectivo de los derechos de las personas expropiadas.</w:t>
            </w:r>
          </w:p>
        </w:tc>
      </w:tr>
      <w:tr w:rsidR="00405040" w:rsidRPr="009A27ED" w14:paraId="6E5821A9" w14:textId="77777777" w:rsidTr="007157A1">
        <w:tc>
          <w:tcPr>
            <w:cnfStyle w:val="001000000000" w:firstRow="0" w:lastRow="0" w:firstColumn="1" w:lastColumn="0" w:oddVBand="0" w:evenVBand="0" w:oddHBand="0" w:evenHBand="0" w:firstRowFirstColumn="0" w:firstRowLastColumn="0" w:lastRowFirstColumn="0" w:lastRowLastColumn="0"/>
            <w:tcW w:w="2972" w:type="dxa"/>
          </w:tcPr>
          <w:p w14:paraId="0FB14160" w14:textId="77777777" w:rsidR="00405040" w:rsidRPr="009A27ED" w:rsidRDefault="00405040" w:rsidP="00405040">
            <w:pPr>
              <w:spacing w:before="120" w:after="0"/>
              <w:ind w:left="158"/>
              <w:rPr>
                <w:rFonts w:eastAsia="Calibri"/>
                <w:b w:val="0"/>
                <w:bCs w:val="0"/>
                <w:szCs w:val="22"/>
              </w:rPr>
            </w:pPr>
            <w:r w:rsidRPr="009A27ED">
              <w:rPr>
                <w:rFonts w:eastAsia="Calibri"/>
                <w:szCs w:val="22"/>
              </w:rPr>
              <w:t>No iniciar una actividad específica REDD+ hasta que no se haya finalizado el reasentamiento.</w:t>
            </w:r>
          </w:p>
          <w:p w14:paraId="18378B14" w14:textId="5930F9CD" w:rsidR="00405040" w:rsidRPr="009A27ED" w:rsidRDefault="00405040" w:rsidP="00EE14BF">
            <w:pPr>
              <w:spacing w:before="120" w:after="0"/>
              <w:ind w:left="158"/>
              <w:rPr>
                <w:rFonts w:eastAsia="Calibri"/>
                <w:szCs w:val="22"/>
              </w:rPr>
            </w:pPr>
            <w:r w:rsidRPr="009A27ED">
              <w:rPr>
                <w:rFonts w:eastAsia="Calibri"/>
                <w:szCs w:val="22"/>
              </w:rPr>
              <w:t>Un principio fundamental de la OP.412 es que no se pueden emprender actividades hasta que no se hayan adquirido los terrenos para el tramo respectivo y entregado la</w:t>
            </w:r>
            <w:r w:rsidR="00EE14BF" w:rsidRPr="009A27ED">
              <w:rPr>
                <w:rFonts w:eastAsia="Calibri"/>
                <w:szCs w:val="22"/>
              </w:rPr>
              <w:t>s indemnizaciones o asistencia.</w:t>
            </w:r>
          </w:p>
          <w:p w14:paraId="01EDF062" w14:textId="676E5EE8" w:rsidR="00405040" w:rsidRPr="009A27ED" w:rsidRDefault="00405040" w:rsidP="00EE14BF">
            <w:pPr>
              <w:spacing w:before="120" w:after="0"/>
              <w:rPr>
                <w:rFonts w:eastAsia="Calibri"/>
                <w:szCs w:val="22"/>
              </w:rPr>
            </w:pPr>
          </w:p>
        </w:tc>
        <w:tc>
          <w:tcPr>
            <w:tcW w:w="3402" w:type="dxa"/>
            <w:gridSpan w:val="2"/>
          </w:tcPr>
          <w:p w14:paraId="202B9FD1" w14:textId="04AFCC56" w:rsidR="00405040" w:rsidRPr="009A27ED" w:rsidRDefault="00405040" w:rsidP="00405040">
            <w:pPr>
              <w:spacing w:before="120" w:after="0"/>
              <w:cnfStyle w:val="000000000000" w:firstRow="0" w:lastRow="0" w:firstColumn="0" w:lastColumn="0" w:oddVBand="0" w:evenVBand="0" w:oddHBand="0" w:evenHBand="0" w:firstRowFirstColumn="0" w:firstRowLastColumn="0" w:lastRowFirstColumn="0" w:lastRowLastColumn="0"/>
              <w:rPr>
                <w:rFonts w:eastAsia="Calibri"/>
                <w:szCs w:val="22"/>
              </w:rPr>
            </w:pPr>
            <w:r w:rsidRPr="009A27ED">
              <w:rPr>
                <w:rFonts w:eastAsia="Calibri"/>
                <w:szCs w:val="22"/>
              </w:rPr>
              <w:t xml:space="preserve">El pago al expropiado debe ser previo, la adjudicación jurídica de la propiedad no puede surtir efecto si no se ha pagado antes la indemnización (Artículo 51 de la Constitución y Artículo 97, </w:t>
            </w:r>
            <w:r w:rsidR="00EE14BF" w:rsidRPr="009A27ED">
              <w:rPr>
                <w:rFonts w:eastAsia="Calibri"/>
                <w:szCs w:val="22"/>
              </w:rPr>
              <w:t>Párrafo</w:t>
            </w:r>
            <w:r w:rsidRPr="009A27ED">
              <w:rPr>
                <w:rFonts w:eastAsia="Calibri"/>
                <w:szCs w:val="22"/>
              </w:rPr>
              <w:t xml:space="preserve"> III de la Ley 108-05 de Registro Inmobiliario).</w:t>
            </w:r>
          </w:p>
          <w:p w14:paraId="39BA6ADD" w14:textId="006E0931" w:rsidR="00405040" w:rsidRPr="009A27ED" w:rsidRDefault="00405040" w:rsidP="00EE14BF">
            <w:pPr>
              <w:spacing w:before="120" w:after="0"/>
              <w:cnfStyle w:val="000000000000" w:firstRow="0" w:lastRow="0" w:firstColumn="0" w:lastColumn="0" w:oddVBand="0" w:evenVBand="0" w:oddHBand="0" w:evenHBand="0" w:firstRowFirstColumn="0" w:firstRowLastColumn="0" w:lastRowFirstColumn="0" w:lastRowLastColumn="0"/>
              <w:rPr>
                <w:rFonts w:eastAsia="Calibri"/>
                <w:szCs w:val="22"/>
              </w:rPr>
            </w:pPr>
            <w:r w:rsidRPr="009A27ED">
              <w:rPr>
                <w:rFonts w:eastAsia="Calibri"/>
                <w:szCs w:val="22"/>
              </w:rPr>
              <w:t xml:space="preserve">Los tribunales no pronunciarán sentencia de desalojo, desahucios, lanzamientos de lugares, ni fallarán acciones petitorias, ni admitirán instancias relativas a propiedades sujetas a las previsiones de esta ley, ni en general darán curso a acción alguna que directa o </w:t>
            </w:r>
            <w:r w:rsidRPr="009A27ED">
              <w:rPr>
                <w:rFonts w:eastAsia="Calibri"/>
                <w:szCs w:val="22"/>
              </w:rPr>
              <w:lastRenderedPageBreak/>
              <w:t>indirectamente afecta bienes inmuebles, si no se presenta junto con los documentos sobre los cuales se basa la demanda, el recibo relativo a la declaración presentada a la Dirección General del Catastro Nacional de la propiedad inmobiliaria que se trate (Ley 31</w:t>
            </w:r>
            <w:r w:rsidR="00EE14BF" w:rsidRPr="009A27ED">
              <w:rPr>
                <w:rFonts w:eastAsia="Calibri"/>
                <w:szCs w:val="22"/>
              </w:rPr>
              <w:t>7, Articulo 55 sobre Catastro).</w:t>
            </w:r>
          </w:p>
        </w:tc>
        <w:tc>
          <w:tcPr>
            <w:tcW w:w="2835" w:type="dxa"/>
          </w:tcPr>
          <w:p w14:paraId="3FA285BD" w14:textId="77777777" w:rsidR="00405040" w:rsidRPr="009A27ED" w:rsidRDefault="00405040" w:rsidP="00405040">
            <w:pPr>
              <w:spacing w:before="120" w:after="0"/>
              <w:ind w:left="158"/>
              <w:cnfStyle w:val="000000000000" w:firstRow="0" w:lastRow="0" w:firstColumn="0" w:lastColumn="0" w:oddVBand="0" w:evenVBand="0" w:oddHBand="0" w:evenHBand="0" w:firstRowFirstColumn="0" w:firstRowLastColumn="0" w:lastRowFirstColumn="0" w:lastRowLastColumn="0"/>
              <w:rPr>
                <w:rFonts w:eastAsia="Calibri"/>
                <w:szCs w:val="22"/>
              </w:rPr>
            </w:pPr>
            <w:r w:rsidRPr="009A27ED">
              <w:rPr>
                <w:rFonts w:eastAsia="Calibri"/>
                <w:szCs w:val="22"/>
              </w:rPr>
              <w:lastRenderedPageBreak/>
              <w:t>No hay diferencias significativas.</w:t>
            </w:r>
          </w:p>
          <w:p w14:paraId="58F17B40" w14:textId="77777777" w:rsidR="00405040" w:rsidRPr="009A27ED" w:rsidRDefault="00405040" w:rsidP="00405040">
            <w:pPr>
              <w:spacing w:before="120" w:after="0"/>
              <w:ind w:left="158"/>
              <w:cnfStyle w:val="000000000000" w:firstRow="0" w:lastRow="0" w:firstColumn="0" w:lastColumn="0" w:oddVBand="0" w:evenVBand="0" w:oddHBand="0" w:evenHBand="0" w:firstRowFirstColumn="0" w:firstRowLastColumn="0" w:lastRowFirstColumn="0" w:lastRowLastColumn="0"/>
              <w:rPr>
                <w:rFonts w:eastAsia="Calibri"/>
                <w:szCs w:val="22"/>
              </w:rPr>
            </w:pPr>
          </w:p>
          <w:p w14:paraId="43122D0D" w14:textId="77777777" w:rsidR="00405040" w:rsidRPr="009A27ED" w:rsidRDefault="00405040" w:rsidP="00405040">
            <w:pPr>
              <w:spacing w:before="120" w:after="0"/>
              <w:ind w:left="158"/>
              <w:cnfStyle w:val="000000000000" w:firstRow="0" w:lastRow="0" w:firstColumn="0" w:lastColumn="0" w:oddVBand="0" w:evenVBand="0" w:oddHBand="0" w:evenHBand="0" w:firstRowFirstColumn="0" w:firstRowLastColumn="0" w:lastRowFirstColumn="0" w:lastRowLastColumn="0"/>
              <w:rPr>
                <w:rFonts w:eastAsia="Calibri"/>
                <w:szCs w:val="22"/>
              </w:rPr>
            </w:pPr>
          </w:p>
          <w:p w14:paraId="2B572DA8" w14:textId="77777777" w:rsidR="00405040" w:rsidRPr="009A27ED" w:rsidRDefault="00405040" w:rsidP="00405040">
            <w:pPr>
              <w:spacing w:before="120" w:after="0"/>
              <w:ind w:left="158"/>
              <w:cnfStyle w:val="000000000000" w:firstRow="0" w:lastRow="0" w:firstColumn="0" w:lastColumn="0" w:oddVBand="0" w:evenVBand="0" w:oddHBand="0" w:evenHBand="0" w:firstRowFirstColumn="0" w:firstRowLastColumn="0" w:lastRowFirstColumn="0" w:lastRowLastColumn="0"/>
              <w:rPr>
                <w:rFonts w:eastAsia="Calibri"/>
                <w:szCs w:val="22"/>
              </w:rPr>
            </w:pPr>
          </w:p>
          <w:p w14:paraId="4A7F4904" w14:textId="77777777" w:rsidR="00405040" w:rsidRPr="009A27ED" w:rsidRDefault="00405040" w:rsidP="00405040">
            <w:pPr>
              <w:spacing w:before="120" w:after="0"/>
              <w:ind w:left="158"/>
              <w:cnfStyle w:val="000000000000" w:firstRow="0" w:lastRow="0" w:firstColumn="0" w:lastColumn="0" w:oddVBand="0" w:evenVBand="0" w:oddHBand="0" w:evenHBand="0" w:firstRowFirstColumn="0" w:firstRowLastColumn="0" w:lastRowFirstColumn="0" w:lastRowLastColumn="0"/>
              <w:rPr>
                <w:rFonts w:eastAsia="Calibri"/>
                <w:szCs w:val="22"/>
              </w:rPr>
            </w:pPr>
          </w:p>
          <w:p w14:paraId="10210722" w14:textId="77777777" w:rsidR="00405040" w:rsidRPr="009A27ED" w:rsidRDefault="00405040" w:rsidP="00405040">
            <w:pPr>
              <w:spacing w:before="120" w:after="0"/>
              <w:ind w:left="158"/>
              <w:cnfStyle w:val="000000000000" w:firstRow="0" w:lastRow="0" w:firstColumn="0" w:lastColumn="0" w:oddVBand="0" w:evenVBand="0" w:oddHBand="0" w:evenHBand="0" w:firstRowFirstColumn="0" w:firstRowLastColumn="0" w:lastRowFirstColumn="0" w:lastRowLastColumn="0"/>
              <w:rPr>
                <w:rFonts w:eastAsia="Calibri"/>
                <w:szCs w:val="22"/>
              </w:rPr>
            </w:pPr>
          </w:p>
          <w:p w14:paraId="5E1B4D4F" w14:textId="77777777" w:rsidR="00405040" w:rsidRPr="009A27ED" w:rsidRDefault="00405040" w:rsidP="00405040">
            <w:pPr>
              <w:spacing w:before="120" w:after="0"/>
              <w:ind w:left="158"/>
              <w:cnfStyle w:val="000000000000" w:firstRow="0" w:lastRow="0" w:firstColumn="0" w:lastColumn="0" w:oddVBand="0" w:evenVBand="0" w:oddHBand="0" w:evenHBand="0" w:firstRowFirstColumn="0" w:firstRowLastColumn="0" w:lastRowFirstColumn="0" w:lastRowLastColumn="0"/>
              <w:rPr>
                <w:rFonts w:eastAsia="Calibri"/>
                <w:szCs w:val="22"/>
              </w:rPr>
            </w:pPr>
          </w:p>
          <w:p w14:paraId="5871C51C" w14:textId="77777777" w:rsidR="00405040" w:rsidRPr="009A27ED" w:rsidRDefault="00405040" w:rsidP="00405040">
            <w:pPr>
              <w:spacing w:before="120" w:after="0"/>
              <w:ind w:left="158"/>
              <w:cnfStyle w:val="000000000000" w:firstRow="0" w:lastRow="0" w:firstColumn="0" w:lastColumn="0" w:oddVBand="0" w:evenVBand="0" w:oddHBand="0" w:evenHBand="0" w:firstRowFirstColumn="0" w:firstRowLastColumn="0" w:lastRowFirstColumn="0" w:lastRowLastColumn="0"/>
              <w:rPr>
                <w:rFonts w:eastAsia="Calibri"/>
                <w:szCs w:val="22"/>
              </w:rPr>
            </w:pPr>
          </w:p>
          <w:p w14:paraId="1FA3B537" w14:textId="77777777" w:rsidR="00405040" w:rsidRPr="009A27ED" w:rsidRDefault="00405040" w:rsidP="00405040">
            <w:pPr>
              <w:spacing w:before="120" w:after="0"/>
              <w:ind w:left="158"/>
              <w:cnfStyle w:val="000000000000" w:firstRow="0" w:lastRow="0" w:firstColumn="0" w:lastColumn="0" w:oddVBand="0" w:evenVBand="0" w:oddHBand="0" w:evenHBand="0" w:firstRowFirstColumn="0" w:firstRowLastColumn="0" w:lastRowFirstColumn="0" w:lastRowLastColumn="0"/>
              <w:rPr>
                <w:rFonts w:eastAsia="Calibri"/>
                <w:szCs w:val="22"/>
              </w:rPr>
            </w:pPr>
          </w:p>
          <w:p w14:paraId="666BC3FD" w14:textId="77777777" w:rsidR="00405040" w:rsidRPr="009A27ED" w:rsidRDefault="00405040" w:rsidP="00405040">
            <w:pPr>
              <w:spacing w:before="120" w:after="0"/>
              <w:ind w:left="158"/>
              <w:cnfStyle w:val="000000000000" w:firstRow="0" w:lastRow="0" w:firstColumn="0" w:lastColumn="0" w:oddVBand="0" w:evenVBand="0" w:oddHBand="0" w:evenHBand="0" w:firstRowFirstColumn="0" w:firstRowLastColumn="0" w:lastRowFirstColumn="0" w:lastRowLastColumn="0"/>
              <w:rPr>
                <w:rFonts w:eastAsia="Calibri"/>
                <w:szCs w:val="22"/>
              </w:rPr>
            </w:pPr>
          </w:p>
          <w:p w14:paraId="4F4AA5EA" w14:textId="77777777" w:rsidR="00405040" w:rsidRPr="009A27ED" w:rsidRDefault="00405040" w:rsidP="00405040">
            <w:pPr>
              <w:spacing w:before="120" w:after="0"/>
              <w:ind w:left="158"/>
              <w:cnfStyle w:val="000000000000" w:firstRow="0" w:lastRow="0" w:firstColumn="0" w:lastColumn="0" w:oddVBand="0" w:evenVBand="0" w:oddHBand="0" w:evenHBand="0" w:firstRowFirstColumn="0" w:firstRowLastColumn="0" w:lastRowFirstColumn="0" w:lastRowLastColumn="0"/>
              <w:rPr>
                <w:rFonts w:eastAsia="Calibri"/>
                <w:szCs w:val="22"/>
              </w:rPr>
            </w:pPr>
          </w:p>
          <w:p w14:paraId="7DCBD626" w14:textId="77777777" w:rsidR="00405040" w:rsidRPr="009A27ED" w:rsidRDefault="00405040" w:rsidP="00405040">
            <w:pPr>
              <w:spacing w:before="120" w:after="0"/>
              <w:ind w:left="158"/>
              <w:cnfStyle w:val="000000000000" w:firstRow="0" w:lastRow="0" w:firstColumn="0" w:lastColumn="0" w:oddVBand="0" w:evenVBand="0" w:oddHBand="0" w:evenHBand="0" w:firstRowFirstColumn="0" w:firstRowLastColumn="0" w:lastRowFirstColumn="0" w:lastRowLastColumn="0"/>
              <w:rPr>
                <w:rFonts w:eastAsia="Calibri"/>
                <w:szCs w:val="22"/>
              </w:rPr>
            </w:pPr>
          </w:p>
          <w:p w14:paraId="0FE36F56" w14:textId="77777777" w:rsidR="00405040" w:rsidRPr="009A27ED" w:rsidRDefault="00405040" w:rsidP="00405040">
            <w:pPr>
              <w:spacing w:before="120" w:after="0"/>
              <w:ind w:left="158"/>
              <w:cnfStyle w:val="000000000000" w:firstRow="0" w:lastRow="0" w:firstColumn="0" w:lastColumn="0" w:oddVBand="0" w:evenVBand="0" w:oddHBand="0" w:evenHBand="0" w:firstRowFirstColumn="0" w:firstRowLastColumn="0" w:lastRowFirstColumn="0" w:lastRowLastColumn="0"/>
              <w:rPr>
                <w:rFonts w:eastAsia="Calibri"/>
                <w:szCs w:val="22"/>
              </w:rPr>
            </w:pPr>
          </w:p>
          <w:p w14:paraId="786FA69F" w14:textId="3A1AF4CD" w:rsidR="00405040" w:rsidRPr="009A27ED" w:rsidRDefault="00405040" w:rsidP="00405040">
            <w:pPr>
              <w:spacing w:before="120" w:after="0"/>
              <w:cnfStyle w:val="000000000000" w:firstRow="0" w:lastRow="0" w:firstColumn="0" w:lastColumn="0" w:oddVBand="0" w:evenVBand="0" w:oddHBand="0" w:evenHBand="0" w:firstRowFirstColumn="0" w:firstRowLastColumn="0" w:lastRowFirstColumn="0" w:lastRowLastColumn="0"/>
              <w:rPr>
                <w:rFonts w:eastAsia="Calibri"/>
                <w:szCs w:val="22"/>
              </w:rPr>
            </w:pPr>
            <w:r w:rsidRPr="009A27ED">
              <w:rPr>
                <w:rFonts w:eastAsia="Calibri"/>
                <w:szCs w:val="22"/>
              </w:rPr>
              <w:t xml:space="preserve">  </w:t>
            </w:r>
          </w:p>
        </w:tc>
      </w:tr>
      <w:tr w:rsidR="00405040" w:rsidRPr="009A27ED" w14:paraId="755F33BC" w14:textId="77777777" w:rsidTr="007157A1">
        <w:tc>
          <w:tcPr>
            <w:cnfStyle w:val="001000000000" w:firstRow="0" w:lastRow="0" w:firstColumn="1" w:lastColumn="0" w:oddVBand="0" w:evenVBand="0" w:oddHBand="0" w:evenHBand="0" w:firstRowFirstColumn="0" w:firstRowLastColumn="0" w:lastRowFirstColumn="0" w:lastRowLastColumn="0"/>
            <w:tcW w:w="2972" w:type="dxa"/>
          </w:tcPr>
          <w:p w14:paraId="469AF6CE" w14:textId="77777777" w:rsidR="00405040" w:rsidRPr="009A27ED" w:rsidRDefault="00405040" w:rsidP="00405040">
            <w:pPr>
              <w:spacing w:before="120" w:after="0"/>
              <w:ind w:left="72"/>
              <w:rPr>
                <w:rFonts w:eastAsia="Calibri"/>
                <w:szCs w:val="22"/>
              </w:rPr>
            </w:pPr>
            <w:r w:rsidRPr="009A27ED">
              <w:rPr>
                <w:rFonts w:eastAsia="Calibri"/>
                <w:szCs w:val="22"/>
              </w:rPr>
              <w:t>La política del Banco identifica tres grupos poblacionales con derechos a compensación por el reasentamiento:</w:t>
            </w:r>
          </w:p>
          <w:p w14:paraId="41FB1F84" w14:textId="77777777" w:rsidR="00405040" w:rsidRPr="009A27ED" w:rsidRDefault="00405040" w:rsidP="00405040">
            <w:pPr>
              <w:spacing w:before="120" w:after="0"/>
              <w:ind w:left="72"/>
              <w:rPr>
                <w:rFonts w:eastAsia="Calibri"/>
                <w:szCs w:val="22"/>
              </w:rPr>
            </w:pPr>
            <w:r w:rsidRPr="009A27ED">
              <w:rPr>
                <w:rFonts w:eastAsia="Calibri"/>
                <w:szCs w:val="22"/>
              </w:rPr>
              <w:t>Aquellos en posesión de un título legal de propiedad de la tierra o bienes a expropiar.</w:t>
            </w:r>
          </w:p>
          <w:p w14:paraId="59F4ED42" w14:textId="77777777" w:rsidR="00405040" w:rsidRPr="009A27ED" w:rsidRDefault="00405040" w:rsidP="00405040">
            <w:pPr>
              <w:spacing w:before="120" w:after="0"/>
              <w:ind w:left="72"/>
              <w:rPr>
                <w:rFonts w:eastAsia="Calibri"/>
                <w:szCs w:val="22"/>
              </w:rPr>
            </w:pPr>
            <w:r w:rsidRPr="009A27ED">
              <w:rPr>
                <w:rFonts w:eastAsia="Calibri"/>
                <w:szCs w:val="22"/>
              </w:rPr>
              <w:t>Aquellos que no tienen un título legal de propiedad pero que se encuentran inmersos en algún proceso para la obtención de ese título.</w:t>
            </w:r>
          </w:p>
          <w:p w14:paraId="243EE2CE" w14:textId="77777777" w:rsidR="00405040" w:rsidRPr="009A27ED" w:rsidRDefault="00405040" w:rsidP="00405040">
            <w:pPr>
              <w:spacing w:before="120" w:after="0"/>
              <w:ind w:left="72"/>
              <w:rPr>
                <w:rFonts w:eastAsia="Calibri"/>
                <w:szCs w:val="22"/>
              </w:rPr>
            </w:pPr>
            <w:r w:rsidRPr="009A27ED">
              <w:rPr>
                <w:rFonts w:eastAsia="Calibri"/>
                <w:szCs w:val="22"/>
              </w:rPr>
              <w:t>Estas dos primeras categorías se consideran que tienen derecho a una compensación plena.</w:t>
            </w:r>
          </w:p>
          <w:p w14:paraId="1B8FCCE8" w14:textId="77777777" w:rsidR="00405040" w:rsidRPr="009A27ED" w:rsidRDefault="00405040" w:rsidP="00405040">
            <w:pPr>
              <w:spacing w:before="120" w:after="0"/>
              <w:ind w:left="72"/>
              <w:rPr>
                <w:rFonts w:eastAsia="Calibri"/>
                <w:szCs w:val="22"/>
              </w:rPr>
            </w:pPr>
            <w:r w:rsidRPr="009A27ED">
              <w:rPr>
                <w:rFonts w:eastAsia="Calibri"/>
                <w:szCs w:val="22"/>
              </w:rPr>
              <w:t>Aquellos que carecen totalmente de un título legal de propiedad de la tierra o los bienes.</w:t>
            </w:r>
          </w:p>
          <w:p w14:paraId="0D2FD621" w14:textId="43DE1F7F" w:rsidR="00405040" w:rsidRPr="009A27ED" w:rsidRDefault="00405040" w:rsidP="00913832">
            <w:pPr>
              <w:spacing w:before="120" w:after="0"/>
              <w:ind w:left="72"/>
              <w:rPr>
                <w:rFonts w:eastAsia="Calibri"/>
                <w:szCs w:val="22"/>
              </w:rPr>
            </w:pPr>
            <w:r w:rsidRPr="009A27ED">
              <w:rPr>
                <w:rFonts w:eastAsia="Calibri"/>
                <w:szCs w:val="22"/>
              </w:rPr>
              <w:t xml:space="preserve">Esta tercera categoría se considera que deben recibir asistencia en el resentimiento y algún tipo de ayuda social. Quienes no tienen título legal a las tierras afectadas pueden recibir indemnización por sus estructuras y reunir las condiciones para recibir otro tipo de </w:t>
            </w:r>
            <w:r w:rsidRPr="009A27ED">
              <w:rPr>
                <w:rFonts w:eastAsia="Calibri"/>
                <w:szCs w:val="22"/>
              </w:rPr>
              <w:lastRenderedPageBreak/>
              <w:t>asistencia para el reasentamiento y la rehabilitación. Existe la probabilidad de que los ocupantes de las tierras antes del inicio del proyecto hayan invertido en estructuras o mejoras de la tierra que son e</w:t>
            </w:r>
            <w:r w:rsidR="00913832" w:rsidRPr="009A27ED">
              <w:rPr>
                <w:rFonts w:eastAsia="Calibri"/>
                <w:szCs w:val="22"/>
              </w:rPr>
              <w:t>legibles para ser indemnizadas.</w:t>
            </w:r>
          </w:p>
        </w:tc>
        <w:tc>
          <w:tcPr>
            <w:tcW w:w="3402" w:type="dxa"/>
            <w:gridSpan w:val="2"/>
          </w:tcPr>
          <w:p w14:paraId="7F36615D" w14:textId="6C6AB24B" w:rsidR="00405040" w:rsidRPr="009A27ED" w:rsidRDefault="00405040" w:rsidP="00405040">
            <w:pPr>
              <w:spacing w:before="120" w:after="0"/>
              <w:ind w:left="72"/>
              <w:cnfStyle w:val="000000000000" w:firstRow="0" w:lastRow="0" w:firstColumn="0" w:lastColumn="0" w:oddVBand="0" w:evenVBand="0" w:oddHBand="0" w:evenHBand="0" w:firstRowFirstColumn="0" w:firstRowLastColumn="0" w:lastRowFirstColumn="0" w:lastRowLastColumn="0"/>
              <w:rPr>
                <w:rFonts w:eastAsia="Calibri"/>
                <w:szCs w:val="22"/>
              </w:rPr>
            </w:pPr>
            <w:r w:rsidRPr="009A27ED">
              <w:rPr>
                <w:rFonts w:eastAsia="Calibri"/>
                <w:szCs w:val="22"/>
              </w:rPr>
              <w:lastRenderedPageBreak/>
              <w:t xml:space="preserve">La legislación </w:t>
            </w:r>
            <w:r w:rsidR="00EE14BF" w:rsidRPr="009A27ED">
              <w:rPr>
                <w:rFonts w:eastAsia="Calibri"/>
                <w:szCs w:val="22"/>
              </w:rPr>
              <w:t>dominicana</w:t>
            </w:r>
            <w:r w:rsidRPr="009A27ED">
              <w:rPr>
                <w:rFonts w:eastAsia="Calibri"/>
                <w:szCs w:val="22"/>
              </w:rPr>
              <w:t xml:space="preserve"> contempla para fines de derecho de compensación: </w:t>
            </w:r>
          </w:p>
          <w:p w14:paraId="64422186" w14:textId="77777777" w:rsidR="00405040" w:rsidRPr="009A27ED" w:rsidRDefault="00405040" w:rsidP="00405040">
            <w:pPr>
              <w:spacing w:before="120" w:after="0"/>
              <w:ind w:left="72"/>
              <w:cnfStyle w:val="000000000000" w:firstRow="0" w:lastRow="0" w:firstColumn="0" w:lastColumn="0" w:oddVBand="0" w:evenVBand="0" w:oddHBand="0" w:evenHBand="0" w:firstRowFirstColumn="0" w:firstRowLastColumn="0" w:lastRowFirstColumn="0" w:lastRowLastColumn="0"/>
              <w:rPr>
                <w:rFonts w:eastAsia="Calibri"/>
                <w:szCs w:val="22"/>
              </w:rPr>
            </w:pPr>
            <w:r w:rsidRPr="009A27ED">
              <w:rPr>
                <w:rFonts w:eastAsia="Calibri"/>
                <w:szCs w:val="22"/>
              </w:rPr>
              <w:t>1.- Los que tienen propiedad privada, y poseen título de propiedad (Art.51 de la Constitución de la República y Art. 97 Ley 108-05 de Registro Inmobiliario.</w:t>
            </w:r>
          </w:p>
          <w:p w14:paraId="580CEB84" w14:textId="11102F0F" w:rsidR="00405040" w:rsidRPr="009A27ED" w:rsidRDefault="00405040" w:rsidP="00405040">
            <w:pPr>
              <w:spacing w:before="120" w:after="0"/>
              <w:ind w:left="72"/>
              <w:cnfStyle w:val="000000000000" w:firstRow="0" w:lastRow="0" w:firstColumn="0" w:lastColumn="0" w:oddVBand="0" w:evenVBand="0" w:oddHBand="0" w:evenHBand="0" w:firstRowFirstColumn="0" w:firstRowLastColumn="0" w:lastRowFirstColumn="0" w:lastRowLastColumn="0"/>
              <w:rPr>
                <w:rFonts w:eastAsia="Calibri"/>
                <w:szCs w:val="22"/>
              </w:rPr>
            </w:pPr>
            <w:r w:rsidRPr="009A27ED">
              <w:rPr>
                <w:rFonts w:eastAsia="Calibri"/>
                <w:szCs w:val="22"/>
              </w:rPr>
              <w:t>2.- Los que están en proceso de obtención de título de propiedad (siempre y cuando cumplan los requisitos de posesión establecidos en el Art.21 de la Ley No.108-05 de Registro Inmobiliario</w:t>
            </w:r>
            <w:r w:rsidR="00765BA2" w:rsidRPr="009A27ED">
              <w:rPr>
                <w:rFonts w:eastAsia="Calibri"/>
                <w:szCs w:val="22"/>
              </w:rPr>
              <w:t>).</w:t>
            </w:r>
          </w:p>
          <w:p w14:paraId="02B41EFE" w14:textId="77777777" w:rsidR="00405040" w:rsidRPr="009A27ED" w:rsidRDefault="00405040" w:rsidP="00405040">
            <w:pPr>
              <w:spacing w:before="120" w:after="0"/>
              <w:ind w:left="72"/>
              <w:cnfStyle w:val="000000000000" w:firstRow="0" w:lastRow="0" w:firstColumn="0" w:lastColumn="0" w:oddVBand="0" w:evenVBand="0" w:oddHBand="0" w:evenHBand="0" w:firstRowFirstColumn="0" w:firstRowLastColumn="0" w:lastRowFirstColumn="0" w:lastRowLastColumn="0"/>
              <w:rPr>
                <w:rFonts w:eastAsia="Calibri"/>
                <w:szCs w:val="22"/>
              </w:rPr>
            </w:pPr>
            <w:r w:rsidRPr="009A27ED">
              <w:rPr>
                <w:rFonts w:eastAsia="Calibri"/>
                <w:szCs w:val="22"/>
              </w:rPr>
              <w:t>3.- Los que ocupan terreno público, a estos se aplica un desalojo y debe hacerse la reubicación en otro lugar. La entrada en posesión será ejecutada por el Procurador Fiscal. Si fuere necesario dichos funcionarios podrán requerir la fuerza pública (basado en el Principio III Ley 108-05 de Registro Inmobiliario).</w:t>
            </w:r>
          </w:p>
          <w:p w14:paraId="5315A94C" w14:textId="77777777" w:rsidR="00405040" w:rsidRPr="009A27ED" w:rsidRDefault="00405040" w:rsidP="00405040">
            <w:pPr>
              <w:spacing w:before="120" w:after="0"/>
              <w:ind w:left="72"/>
              <w:cnfStyle w:val="000000000000" w:firstRow="0" w:lastRow="0" w:firstColumn="0" w:lastColumn="0" w:oddVBand="0" w:evenVBand="0" w:oddHBand="0" w:evenHBand="0" w:firstRowFirstColumn="0" w:firstRowLastColumn="0" w:lastRowFirstColumn="0" w:lastRowLastColumn="0"/>
              <w:rPr>
                <w:rFonts w:eastAsia="Calibri"/>
                <w:szCs w:val="22"/>
              </w:rPr>
            </w:pPr>
            <w:r w:rsidRPr="009A27ED">
              <w:rPr>
                <w:rFonts w:eastAsia="Calibri"/>
                <w:szCs w:val="22"/>
              </w:rPr>
              <w:t xml:space="preserve">4.- Los Arrendatarios. Todo arrendamiento de terrenos y/o solares municipales estará sujeto a quedar resuelto de pleno derecho, al ser requerido mediante notificación que haga el ayuntamiento al arrendatario, </w:t>
            </w:r>
            <w:r w:rsidRPr="009A27ED">
              <w:rPr>
                <w:rFonts w:eastAsia="Calibri"/>
                <w:szCs w:val="22"/>
              </w:rPr>
              <w:lastRenderedPageBreak/>
              <w:t>en el plazo máximo de 90 días, cuando el ayuntamiento necesita destinarlos a fines de utilidad pública. Todo lo relativo a mejoras levantadas dentro de estos terrenos y/o solares se regirá por el Derecho Común. Art. 188 de la Ley No 176-07 del Distrito Nacional y los municipios.</w:t>
            </w:r>
          </w:p>
          <w:p w14:paraId="010CBD34" w14:textId="77777777" w:rsidR="00405040" w:rsidRPr="009A27ED" w:rsidRDefault="00405040" w:rsidP="00405040">
            <w:pPr>
              <w:spacing w:before="120" w:after="0"/>
              <w:ind w:left="72"/>
              <w:cnfStyle w:val="000000000000" w:firstRow="0" w:lastRow="0" w:firstColumn="0" w:lastColumn="0" w:oddVBand="0" w:evenVBand="0" w:oddHBand="0" w:evenHBand="0" w:firstRowFirstColumn="0" w:firstRowLastColumn="0" w:lastRowFirstColumn="0" w:lastRowLastColumn="0"/>
              <w:rPr>
                <w:rFonts w:eastAsia="Calibri"/>
                <w:szCs w:val="22"/>
              </w:rPr>
            </w:pPr>
            <w:r w:rsidRPr="009A27ED">
              <w:rPr>
                <w:rFonts w:eastAsia="Calibri"/>
                <w:szCs w:val="22"/>
              </w:rPr>
              <w:t>(Resolución del arrendamiento).</w:t>
            </w:r>
          </w:p>
        </w:tc>
        <w:tc>
          <w:tcPr>
            <w:tcW w:w="2835" w:type="dxa"/>
          </w:tcPr>
          <w:p w14:paraId="63B15D9F" w14:textId="01F3F117" w:rsidR="00405040" w:rsidRPr="009A27ED" w:rsidRDefault="00405040" w:rsidP="00913832">
            <w:pPr>
              <w:spacing w:before="120" w:after="0"/>
              <w:cnfStyle w:val="000000000000" w:firstRow="0" w:lastRow="0" w:firstColumn="0" w:lastColumn="0" w:oddVBand="0" w:evenVBand="0" w:oddHBand="0" w:evenHBand="0" w:firstRowFirstColumn="0" w:firstRowLastColumn="0" w:lastRowFirstColumn="0" w:lastRowLastColumn="0"/>
              <w:rPr>
                <w:rFonts w:eastAsia="Calibri"/>
                <w:szCs w:val="22"/>
              </w:rPr>
            </w:pPr>
            <w:r w:rsidRPr="009A27ED">
              <w:rPr>
                <w:rFonts w:eastAsia="Calibri"/>
                <w:szCs w:val="22"/>
              </w:rPr>
              <w:lastRenderedPageBreak/>
              <w:t>No hay diferencias significativas.</w:t>
            </w:r>
          </w:p>
          <w:p w14:paraId="26618DAE" w14:textId="77777777" w:rsidR="00405040" w:rsidRPr="009A27ED" w:rsidRDefault="00405040" w:rsidP="00405040">
            <w:pPr>
              <w:spacing w:before="120" w:after="0"/>
              <w:ind w:left="72"/>
              <w:cnfStyle w:val="000000000000" w:firstRow="0" w:lastRow="0" w:firstColumn="0" w:lastColumn="0" w:oddVBand="0" w:evenVBand="0" w:oddHBand="0" w:evenHBand="0" w:firstRowFirstColumn="0" w:firstRowLastColumn="0" w:lastRowFirstColumn="0" w:lastRowLastColumn="0"/>
              <w:rPr>
                <w:rFonts w:eastAsia="Calibri"/>
                <w:szCs w:val="22"/>
              </w:rPr>
            </w:pPr>
          </w:p>
          <w:p w14:paraId="07851BCA" w14:textId="77777777" w:rsidR="00405040" w:rsidRPr="009A27ED" w:rsidRDefault="00405040" w:rsidP="00405040">
            <w:pPr>
              <w:spacing w:before="120" w:after="0"/>
              <w:ind w:left="72"/>
              <w:cnfStyle w:val="000000000000" w:firstRow="0" w:lastRow="0" w:firstColumn="0" w:lastColumn="0" w:oddVBand="0" w:evenVBand="0" w:oddHBand="0" w:evenHBand="0" w:firstRowFirstColumn="0" w:firstRowLastColumn="0" w:lastRowFirstColumn="0" w:lastRowLastColumn="0"/>
              <w:rPr>
                <w:rFonts w:eastAsia="Calibri"/>
                <w:szCs w:val="22"/>
              </w:rPr>
            </w:pPr>
          </w:p>
          <w:p w14:paraId="1887C41D" w14:textId="77777777" w:rsidR="00405040" w:rsidRPr="009A27ED" w:rsidRDefault="00405040" w:rsidP="00405040">
            <w:pPr>
              <w:spacing w:before="120" w:after="0"/>
              <w:ind w:left="72"/>
              <w:cnfStyle w:val="000000000000" w:firstRow="0" w:lastRow="0" w:firstColumn="0" w:lastColumn="0" w:oddVBand="0" w:evenVBand="0" w:oddHBand="0" w:evenHBand="0" w:firstRowFirstColumn="0" w:firstRowLastColumn="0" w:lastRowFirstColumn="0" w:lastRowLastColumn="0"/>
              <w:rPr>
                <w:rFonts w:eastAsia="Calibri"/>
                <w:szCs w:val="22"/>
              </w:rPr>
            </w:pPr>
          </w:p>
          <w:p w14:paraId="2B7B5B10" w14:textId="77777777" w:rsidR="00405040" w:rsidRPr="009A27ED" w:rsidRDefault="00405040" w:rsidP="00405040">
            <w:pPr>
              <w:spacing w:before="120" w:after="0"/>
              <w:ind w:left="72"/>
              <w:cnfStyle w:val="000000000000" w:firstRow="0" w:lastRow="0" w:firstColumn="0" w:lastColumn="0" w:oddVBand="0" w:evenVBand="0" w:oddHBand="0" w:evenHBand="0" w:firstRowFirstColumn="0" w:firstRowLastColumn="0" w:lastRowFirstColumn="0" w:lastRowLastColumn="0"/>
              <w:rPr>
                <w:rFonts w:eastAsia="Calibri"/>
                <w:szCs w:val="22"/>
              </w:rPr>
            </w:pPr>
          </w:p>
          <w:p w14:paraId="36613613" w14:textId="77777777" w:rsidR="00405040" w:rsidRPr="009A27ED" w:rsidRDefault="00405040" w:rsidP="00405040">
            <w:pPr>
              <w:spacing w:before="120" w:after="0"/>
              <w:ind w:left="72"/>
              <w:cnfStyle w:val="000000000000" w:firstRow="0" w:lastRow="0" w:firstColumn="0" w:lastColumn="0" w:oddVBand="0" w:evenVBand="0" w:oddHBand="0" w:evenHBand="0" w:firstRowFirstColumn="0" w:firstRowLastColumn="0" w:lastRowFirstColumn="0" w:lastRowLastColumn="0"/>
              <w:rPr>
                <w:rFonts w:eastAsia="Calibri"/>
                <w:szCs w:val="22"/>
              </w:rPr>
            </w:pPr>
          </w:p>
          <w:p w14:paraId="4A6458C2" w14:textId="77777777" w:rsidR="00405040" w:rsidRPr="009A27ED" w:rsidRDefault="00405040" w:rsidP="00405040">
            <w:pPr>
              <w:spacing w:before="120" w:after="0"/>
              <w:ind w:left="72"/>
              <w:cnfStyle w:val="000000000000" w:firstRow="0" w:lastRow="0" w:firstColumn="0" w:lastColumn="0" w:oddVBand="0" w:evenVBand="0" w:oddHBand="0" w:evenHBand="0" w:firstRowFirstColumn="0" w:firstRowLastColumn="0" w:lastRowFirstColumn="0" w:lastRowLastColumn="0"/>
              <w:rPr>
                <w:rFonts w:eastAsia="Calibri"/>
                <w:szCs w:val="22"/>
              </w:rPr>
            </w:pPr>
          </w:p>
          <w:p w14:paraId="06ADECDC" w14:textId="77777777" w:rsidR="00405040" w:rsidRPr="009A27ED" w:rsidRDefault="00405040" w:rsidP="00405040">
            <w:pPr>
              <w:spacing w:before="120" w:after="0"/>
              <w:ind w:left="72"/>
              <w:cnfStyle w:val="000000000000" w:firstRow="0" w:lastRow="0" w:firstColumn="0" w:lastColumn="0" w:oddVBand="0" w:evenVBand="0" w:oddHBand="0" w:evenHBand="0" w:firstRowFirstColumn="0" w:firstRowLastColumn="0" w:lastRowFirstColumn="0" w:lastRowLastColumn="0"/>
              <w:rPr>
                <w:rFonts w:eastAsia="Calibri"/>
                <w:szCs w:val="22"/>
              </w:rPr>
            </w:pPr>
          </w:p>
          <w:p w14:paraId="59647A5A" w14:textId="77777777" w:rsidR="00405040" w:rsidRPr="009A27ED" w:rsidRDefault="00405040" w:rsidP="00405040">
            <w:pPr>
              <w:spacing w:before="120" w:after="0"/>
              <w:ind w:left="72"/>
              <w:cnfStyle w:val="000000000000" w:firstRow="0" w:lastRow="0" w:firstColumn="0" w:lastColumn="0" w:oddVBand="0" w:evenVBand="0" w:oddHBand="0" w:evenHBand="0" w:firstRowFirstColumn="0" w:firstRowLastColumn="0" w:lastRowFirstColumn="0" w:lastRowLastColumn="0"/>
              <w:rPr>
                <w:rFonts w:eastAsia="Calibri"/>
                <w:szCs w:val="22"/>
              </w:rPr>
            </w:pPr>
          </w:p>
          <w:p w14:paraId="7EB6C501" w14:textId="77777777" w:rsidR="00405040" w:rsidRPr="009A27ED" w:rsidRDefault="00405040" w:rsidP="00405040">
            <w:pPr>
              <w:spacing w:before="120" w:after="0"/>
              <w:ind w:left="72"/>
              <w:cnfStyle w:val="000000000000" w:firstRow="0" w:lastRow="0" w:firstColumn="0" w:lastColumn="0" w:oddVBand="0" w:evenVBand="0" w:oddHBand="0" w:evenHBand="0" w:firstRowFirstColumn="0" w:firstRowLastColumn="0" w:lastRowFirstColumn="0" w:lastRowLastColumn="0"/>
              <w:rPr>
                <w:rFonts w:eastAsia="Calibri"/>
                <w:szCs w:val="22"/>
              </w:rPr>
            </w:pPr>
          </w:p>
          <w:p w14:paraId="44B0B04C" w14:textId="77777777" w:rsidR="00405040" w:rsidRPr="009A27ED" w:rsidRDefault="00405040" w:rsidP="00405040">
            <w:pPr>
              <w:spacing w:before="120" w:after="0"/>
              <w:ind w:left="72"/>
              <w:cnfStyle w:val="000000000000" w:firstRow="0" w:lastRow="0" w:firstColumn="0" w:lastColumn="0" w:oddVBand="0" w:evenVBand="0" w:oddHBand="0" w:evenHBand="0" w:firstRowFirstColumn="0" w:firstRowLastColumn="0" w:lastRowFirstColumn="0" w:lastRowLastColumn="0"/>
              <w:rPr>
                <w:rFonts w:eastAsia="Calibri"/>
                <w:szCs w:val="22"/>
              </w:rPr>
            </w:pPr>
          </w:p>
          <w:p w14:paraId="4968340B" w14:textId="77777777" w:rsidR="00405040" w:rsidRPr="009A27ED" w:rsidRDefault="00405040" w:rsidP="00405040">
            <w:pPr>
              <w:spacing w:before="120" w:after="0"/>
              <w:ind w:left="72"/>
              <w:cnfStyle w:val="000000000000" w:firstRow="0" w:lastRow="0" w:firstColumn="0" w:lastColumn="0" w:oddVBand="0" w:evenVBand="0" w:oddHBand="0" w:evenHBand="0" w:firstRowFirstColumn="0" w:firstRowLastColumn="0" w:lastRowFirstColumn="0" w:lastRowLastColumn="0"/>
              <w:rPr>
                <w:rFonts w:eastAsia="Calibri"/>
                <w:szCs w:val="22"/>
              </w:rPr>
            </w:pPr>
          </w:p>
          <w:p w14:paraId="3DA15B12" w14:textId="77777777" w:rsidR="00405040" w:rsidRPr="009A27ED" w:rsidRDefault="00405040" w:rsidP="00405040">
            <w:pPr>
              <w:spacing w:before="120" w:after="0"/>
              <w:ind w:left="72"/>
              <w:cnfStyle w:val="000000000000" w:firstRow="0" w:lastRow="0" w:firstColumn="0" w:lastColumn="0" w:oddVBand="0" w:evenVBand="0" w:oddHBand="0" w:evenHBand="0" w:firstRowFirstColumn="0" w:firstRowLastColumn="0" w:lastRowFirstColumn="0" w:lastRowLastColumn="0"/>
              <w:rPr>
                <w:rFonts w:eastAsia="Calibri"/>
                <w:szCs w:val="22"/>
              </w:rPr>
            </w:pPr>
          </w:p>
          <w:p w14:paraId="722F898B" w14:textId="77777777" w:rsidR="00405040" w:rsidRPr="009A27ED" w:rsidRDefault="00405040" w:rsidP="00405040">
            <w:pPr>
              <w:spacing w:before="120" w:after="0"/>
              <w:ind w:left="72"/>
              <w:cnfStyle w:val="000000000000" w:firstRow="0" w:lastRow="0" w:firstColumn="0" w:lastColumn="0" w:oddVBand="0" w:evenVBand="0" w:oddHBand="0" w:evenHBand="0" w:firstRowFirstColumn="0" w:firstRowLastColumn="0" w:lastRowFirstColumn="0" w:lastRowLastColumn="0"/>
              <w:rPr>
                <w:rFonts w:eastAsia="Calibri"/>
                <w:szCs w:val="22"/>
              </w:rPr>
            </w:pPr>
          </w:p>
          <w:p w14:paraId="24BC88B1" w14:textId="77777777" w:rsidR="00405040" w:rsidRPr="009A27ED" w:rsidRDefault="00405040" w:rsidP="00405040">
            <w:pPr>
              <w:spacing w:before="120" w:after="0"/>
              <w:ind w:left="72"/>
              <w:cnfStyle w:val="000000000000" w:firstRow="0" w:lastRow="0" w:firstColumn="0" w:lastColumn="0" w:oddVBand="0" w:evenVBand="0" w:oddHBand="0" w:evenHBand="0" w:firstRowFirstColumn="0" w:firstRowLastColumn="0" w:lastRowFirstColumn="0" w:lastRowLastColumn="0"/>
              <w:rPr>
                <w:rFonts w:eastAsia="Calibri"/>
                <w:szCs w:val="22"/>
              </w:rPr>
            </w:pPr>
          </w:p>
          <w:p w14:paraId="6FD4B70E" w14:textId="77777777" w:rsidR="00405040" w:rsidRPr="009A27ED" w:rsidRDefault="00405040" w:rsidP="00405040">
            <w:pPr>
              <w:spacing w:before="120" w:after="0"/>
              <w:ind w:left="72"/>
              <w:cnfStyle w:val="000000000000" w:firstRow="0" w:lastRow="0" w:firstColumn="0" w:lastColumn="0" w:oddVBand="0" w:evenVBand="0" w:oddHBand="0" w:evenHBand="0" w:firstRowFirstColumn="0" w:firstRowLastColumn="0" w:lastRowFirstColumn="0" w:lastRowLastColumn="0"/>
              <w:rPr>
                <w:rFonts w:eastAsia="Calibri"/>
                <w:szCs w:val="22"/>
              </w:rPr>
            </w:pPr>
          </w:p>
          <w:p w14:paraId="4E7F7C3C" w14:textId="77777777" w:rsidR="00405040" w:rsidRPr="009A27ED" w:rsidRDefault="00405040" w:rsidP="00405040">
            <w:pPr>
              <w:spacing w:before="120" w:after="0"/>
              <w:ind w:left="72"/>
              <w:cnfStyle w:val="000000000000" w:firstRow="0" w:lastRow="0" w:firstColumn="0" w:lastColumn="0" w:oddVBand="0" w:evenVBand="0" w:oddHBand="0" w:evenHBand="0" w:firstRowFirstColumn="0" w:firstRowLastColumn="0" w:lastRowFirstColumn="0" w:lastRowLastColumn="0"/>
              <w:rPr>
                <w:rFonts w:eastAsia="Calibri"/>
                <w:szCs w:val="22"/>
              </w:rPr>
            </w:pPr>
          </w:p>
          <w:p w14:paraId="0BCDF639" w14:textId="77777777" w:rsidR="00405040" w:rsidRPr="009A27ED" w:rsidRDefault="00405040" w:rsidP="00405040">
            <w:pPr>
              <w:spacing w:before="120" w:after="0"/>
              <w:ind w:left="72"/>
              <w:cnfStyle w:val="000000000000" w:firstRow="0" w:lastRow="0" w:firstColumn="0" w:lastColumn="0" w:oddVBand="0" w:evenVBand="0" w:oddHBand="0" w:evenHBand="0" w:firstRowFirstColumn="0" w:firstRowLastColumn="0" w:lastRowFirstColumn="0" w:lastRowLastColumn="0"/>
              <w:rPr>
                <w:rFonts w:eastAsia="Calibri"/>
                <w:szCs w:val="22"/>
              </w:rPr>
            </w:pPr>
          </w:p>
          <w:p w14:paraId="776B95D0" w14:textId="77777777" w:rsidR="00405040" w:rsidRPr="009A27ED" w:rsidRDefault="00405040" w:rsidP="00405040">
            <w:pPr>
              <w:spacing w:before="120" w:after="0"/>
              <w:ind w:left="72"/>
              <w:cnfStyle w:val="000000000000" w:firstRow="0" w:lastRow="0" w:firstColumn="0" w:lastColumn="0" w:oddVBand="0" w:evenVBand="0" w:oddHBand="0" w:evenHBand="0" w:firstRowFirstColumn="0" w:firstRowLastColumn="0" w:lastRowFirstColumn="0" w:lastRowLastColumn="0"/>
              <w:rPr>
                <w:rFonts w:eastAsia="Calibri"/>
                <w:szCs w:val="22"/>
              </w:rPr>
            </w:pPr>
          </w:p>
        </w:tc>
      </w:tr>
      <w:tr w:rsidR="00405040" w:rsidRPr="009A27ED" w14:paraId="2D8094C5" w14:textId="77777777" w:rsidTr="007157A1">
        <w:tc>
          <w:tcPr>
            <w:cnfStyle w:val="001000000000" w:firstRow="0" w:lastRow="0" w:firstColumn="1" w:lastColumn="0" w:oddVBand="0" w:evenVBand="0" w:oddHBand="0" w:evenHBand="0" w:firstRowFirstColumn="0" w:firstRowLastColumn="0" w:lastRowFirstColumn="0" w:lastRowLastColumn="0"/>
            <w:tcW w:w="3114" w:type="dxa"/>
            <w:gridSpan w:val="2"/>
          </w:tcPr>
          <w:p w14:paraId="5C492E39" w14:textId="77777777" w:rsidR="00405040" w:rsidRPr="009A27ED" w:rsidRDefault="00405040" w:rsidP="00405040">
            <w:pPr>
              <w:spacing w:before="120" w:after="0"/>
              <w:ind w:left="72"/>
              <w:rPr>
                <w:rFonts w:eastAsia="Calibri"/>
                <w:szCs w:val="22"/>
              </w:rPr>
            </w:pPr>
            <w:r w:rsidRPr="009A27ED">
              <w:rPr>
                <w:rFonts w:eastAsia="Calibri"/>
                <w:szCs w:val="22"/>
              </w:rPr>
              <w:t>Establecer provisiones especiales para compensar la interrupción de negocio.</w:t>
            </w:r>
          </w:p>
        </w:tc>
        <w:tc>
          <w:tcPr>
            <w:tcW w:w="3260" w:type="dxa"/>
          </w:tcPr>
          <w:p w14:paraId="7E7F1BF7" w14:textId="77777777" w:rsidR="00405040" w:rsidRPr="009A27ED" w:rsidRDefault="00405040" w:rsidP="00405040">
            <w:pPr>
              <w:spacing w:before="120" w:after="0"/>
              <w:ind w:left="72"/>
              <w:cnfStyle w:val="000000000000" w:firstRow="0" w:lastRow="0" w:firstColumn="0" w:lastColumn="0" w:oddVBand="0" w:evenVBand="0" w:oddHBand="0" w:evenHBand="0" w:firstRowFirstColumn="0" w:firstRowLastColumn="0" w:lastRowFirstColumn="0" w:lastRowLastColumn="0"/>
              <w:rPr>
                <w:rFonts w:eastAsia="Calibri"/>
                <w:szCs w:val="22"/>
              </w:rPr>
            </w:pPr>
            <w:r w:rsidRPr="009A27ED">
              <w:rPr>
                <w:rFonts w:eastAsia="Calibri"/>
                <w:szCs w:val="22"/>
              </w:rPr>
              <w:t>Se aplica si el negocio, empresa o institución tenga rentabilidad en su lugar de ubicación:</w:t>
            </w:r>
          </w:p>
          <w:p w14:paraId="6D60DC12" w14:textId="77777777" w:rsidR="00405040" w:rsidRPr="009A27ED" w:rsidRDefault="00405040" w:rsidP="00405040">
            <w:pPr>
              <w:spacing w:before="120" w:after="0"/>
              <w:ind w:left="72"/>
              <w:cnfStyle w:val="000000000000" w:firstRow="0" w:lastRow="0" w:firstColumn="0" w:lastColumn="0" w:oddVBand="0" w:evenVBand="0" w:oddHBand="0" w:evenHBand="0" w:firstRowFirstColumn="0" w:firstRowLastColumn="0" w:lastRowFirstColumn="0" w:lastRowLastColumn="0"/>
              <w:rPr>
                <w:rFonts w:eastAsia="Calibri"/>
                <w:szCs w:val="22"/>
              </w:rPr>
            </w:pPr>
            <w:r w:rsidRPr="009A27ED">
              <w:rPr>
                <w:rFonts w:eastAsia="Calibri"/>
                <w:szCs w:val="22"/>
              </w:rPr>
              <w:t>Al producirse el desplazamiento se produjera alguna ruptura de equipos o elementos que constituya el inventario de lo existente y este a su vez, se toma como parámetro: tiempo de uso, rendimiento, la instalación que cambiaría la estructura existente, todo esto se mide por el precio del mercado actual en base al precio de la moneda internacional.</w:t>
            </w:r>
          </w:p>
          <w:p w14:paraId="37E79CCB" w14:textId="541D8CC4" w:rsidR="00405040" w:rsidRPr="009A27ED" w:rsidRDefault="00405040" w:rsidP="00405040">
            <w:pPr>
              <w:spacing w:before="120" w:after="0"/>
              <w:ind w:left="72"/>
              <w:cnfStyle w:val="000000000000" w:firstRow="0" w:lastRow="0" w:firstColumn="0" w:lastColumn="0" w:oddVBand="0" w:evenVBand="0" w:oddHBand="0" w:evenHBand="0" w:firstRowFirstColumn="0" w:firstRowLastColumn="0" w:lastRowFirstColumn="0" w:lastRowLastColumn="0"/>
              <w:rPr>
                <w:rFonts w:eastAsia="Calibri"/>
                <w:szCs w:val="22"/>
              </w:rPr>
            </w:pPr>
            <w:r w:rsidRPr="009A27ED">
              <w:rPr>
                <w:rFonts w:eastAsia="Calibri"/>
                <w:szCs w:val="22"/>
              </w:rPr>
              <w:t>El Artículo 113 de la Ley No 176-</w:t>
            </w:r>
            <w:r w:rsidR="00DE57E0" w:rsidRPr="009A27ED">
              <w:rPr>
                <w:rFonts w:eastAsia="Calibri"/>
                <w:szCs w:val="22"/>
              </w:rPr>
              <w:t>07 (</w:t>
            </w:r>
            <w:r w:rsidRPr="009A27ED">
              <w:rPr>
                <w:rFonts w:eastAsia="Calibri"/>
                <w:szCs w:val="22"/>
              </w:rPr>
              <w:t>Responsabilidad del Ayuntamiento). Los Ministerios responderán directamente a los daños y perjuicios causados a los particulares en sus bienes y derechos como consecuencia del funcionamiento de los servicios públicos o de la actuación de sus autoridades, funcionarios o empleados.</w:t>
            </w:r>
          </w:p>
        </w:tc>
        <w:tc>
          <w:tcPr>
            <w:tcW w:w="2835" w:type="dxa"/>
          </w:tcPr>
          <w:p w14:paraId="4B76F422" w14:textId="77777777" w:rsidR="00405040" w:rsidRPr="009A27ED" w:rsidRDefault="00405040" w:rsidP="00405040">
            <w:pPr>
              <w:spacing w:before="120" w:after="0"/>
              <w:ind w:left="72"/>
              <w:cnfStyle w:val="000000000000" w:firstRow="0" w:lastRow="0" w:firstColumn="0" w:lastColumn="0" w:oddVBand="0" w:evenVBand="0" w:oddHBand="0" w:evenHBand="0" w:firstRowFirstColumn="0" w:firstRowLastColumn="0" w:lastRowFirstColumn="0" w:lastRowLastColumn="0"/>
              <w:rPr>
                <w:rFonts w:eastAsia="Calibri"/>
                <w:szCs w:val="22"/>
              </w:rPr>
            </w:pPr>
            <w:r w:rsidRPr="009A27ED">
              <w:rPr>
                <w:rFonts w:eastAsia="Calibri"/>
                <w:szCs w:val="22"/>
              </w:rPr>
              <w:t>No hay diferencias significativas</w:t>
            </w:r>
          </w:p>
        </w:tc>
      </w:tr>
    </w:tbl>
    <w:p w14:paraId="38D809EE" w14:textId="77777777" w:rsidR="00405040" w:rsidRPr="009A27ED" w:rsidRDefault="00405040" w:rsidP="00405040">
      <w:pPr>
        <w:spacing w:before="120" w:after="0" w:line="360" w:lineRule="auto"/>
        <w:rPr>
          <w:szCs w:val="22"/>
        </w:rPr>
      </w:pPr>
    </w:p>
    <w:p w14:paraId="5301CA6C" w14:textId="6A6ACA0E" w:rsidR="00405040" w:rsidRPr="009A27ED" w:rsidRDefault="00405040" w:rsidP="00405040">
      <w:pPr>
        <w:spacing w:before="120" w:after="0" w:line="360" w:lineRule="auto"/>
        <w:rPr>
          <w:rFonts w:cs="Calibri"/>
          <w:b/>
          <w:bCs/>
          <w:i/>
          <w:color w:val="000000"/>
          <w:szCs w:val="22"/>
        </w:rPr>
      </w:pPr>
      <w:proofErr w:type="spellStart"/>
      <w:r w:rsidRPr="009A27ED">
        <w:rPr>
          <w:rFonts w:ascii="Times New Roman" w:eastAsia="Times New Roman" w:hAnsi="Times New Roman" w:cs="Calibri"/>
          <w:b/>
          <w:bCs/>
          <w:color w:val="000000"/>
          <w:sz w:val="24"/>
          <w:szCs w:val="22"/>
        </w:rPr>
        <w:t>Pre-identificación</w:t>
      </w:r>
      <w:proofErr w:type="spellEnd"/>
      <w:r w:rsidRPr="009A27ED">
        <w:rPr>
          <w:rFonts w:ascii="Times New Roman" w:eastAsia="Times New Roman" w:hAnsi="Times New Roman" w:cs="Calibri"/>
          <w:b/>
          <w:bCs/>
          <w:color w:val="000000"/>
          <w:sz w:val="24"/>
          <w:szCs w:val="22"/>
        </w:rPr>
        <w:t xml:space="preserve"> de potenciales riesgos e impactos de los tipos de actividades REDD+ estratégicas en relación con reasentamiento involuntario</w:t>
      </w:r>
    </w:p>
    <w:p w14:paraId="06BF7EB5" w14:textId="5C4B2D77" w:rsidR="00405040" w:rsidRPr="009A27ED" w:rsidRDefault="00405040" w:rsidP="00405040">
      <w:pPr>
        <w:spacing w:before="120" w:after="0" w:line="360" w:lineRule="auto"/>
        <w:rPr>
          <w:rFonts w:cs="Calibri"/>
          <w:bCs/>
          <w:color w:val="000000"/>
          <w:szCs w:val="22"/>
        </w:rPr>
      </w:pPr>
      <w:r w:rsidRPr="009A27ED">
        <w:rPr>
          <w:rFonts w:ascii="Times New Roman" w:eastAsia="Times New Roman" w:hAnsi="Times New Roman" w:cs="Calibri"/>
          <w:bCs/>
          <w:color w:val="000000"/>
          <w:sz w:val="24"/>
          <w:szCs w:val="22"/>
        </w:rPr>
        <w:lastRenderedPageBreak/>
        <w:t>A continuación, se presentan los principales riesgos e impacto</w:t>
      </w:r>
      <w:r w:rsidR="00AA5652" w:rsidRPr="009A27ED">
        <w:rPr>
          <w:rFonts w:ascii="Times New Roman" w:eastAsia="Times New Roman" w:hAnsi="Times New Roman" w:cs="Calibri"/>
          <w:bCs/>
          <w:color w:val="000000"/>
          <w:sz w:val="24"/>
          <w:szCs w:val="22"/>
        </w:rPr>
        <w:t>s</w:t>
      </w:r>
      <w:r w:rsidRPr="009A27ED">
        <w:rPr>
          <w:rFonts w:ascii="Times New Roman" w:eastAsia="Times New Roman" w:hAnsi="Times New Roman" w:cs="Calibri"/>
          <w:bCs/>
          <w:color w:val="000000"/>
          <w:sz w:val="24"/>
          <w:szCs w:val="22"/>
        </w:rPr>
        <w:t xml:space="preserve"> identificados para los tipos de actividades REDD+ en el MGAS en relación con el reasentamiento involuntario. Las Entidades Ejecutoras que implementen actividades específicas relacionadas con estos tipos de actividades REDD+ deberán identificar el riesgo específico de reasentamiento e implementar los procedimientos de mitigación presentados en este anexo. </w:t>
      </w:r>
    </w:p>
    <w:p w14:paraId="7B6CA7B0" w14:textId="4C59DF0D" w:rsidR="00405040" w:rsidRPr="009A27ED" w:rsidRDefault="00405040" w:rsidP="00405040">
      <w:pPr>
        <w:spacing w:before="120" w:after="0" w:line="360" w:lineRule="auto"/>
        <w:rPr>
          <w:rFonts w:cs="Calibri"/>
          <w:bCs/>
          <w:color w:val="000000"/>
          <w:szCs w:val="22"/>
        </w:rPr>
      </w:pPr>
      <w:r w:rsidRPr="009A27ED">
        <w:rPr>
          <w:rFonts w:ascii="Times New Roman" w:eastAsia="Times New Roman" w:hAnsi="Times New Roman" w:cs="Calibri"/>
          <w:bCs/>
          <w:color w:val="000000"/>
          <w:sz w:val="24"/>
          <w:szCs w:val="22"/>
        </w:rPr>
        <w:t xml:space="preserve">El </w:t>
      </w:r>
      <w:r w:rsidRPr="009A27ED">
        <w:rPr>
          <w:rFonts w:ascii="Times New Roman" w:eastAsia="Times New Roman" w:hAnsi="Times New Roman" w:cs="Calibri"/>
          <w:bCs/>
          <w:i/>
          <w:color w:val="000000"/>
          <w:sz w:val="24"/>
          <w:szCs w:val="22"/>
        </w:rPr>
        <w:t>tipo de actividad REDD+</w:t>
      </w:r>
      <w:r w:rsidRPr="009A27ED">
        <w:rPr>
          <w:rFonts w:ascii="Times New Roman" w:eastAsia="Times New Roman" w:hAnsi="Times New Roman" w:cs="Calibri"/>
          <w:bCs/>
          <w:color w:val="000000"/>
          <w:sz w:val="24"/>
          <w:szCs w:val="22"/>
        </w:rPr>
        <w:t xml:space="preserve"> “</w:t>
      </w:r>
      <w:r w:rsidR="00913832" w:rsidRPr="009A27ED">
        <w:rPr>
          <w:rFonts w:ascii="Times New Roman" w:eastAsia="Times New Roman" w:hAnsi="Times New Roman"/>
          <w:sz w:val="24"/>
          <w:szCs w:val="22"/>
        </w:rPr>
        <w:t>Conservar bosques en áreas protegidas prioritarias junto con los actores sociale</w:t>
      </w:r>
      <w:r w:rsidR="00913832" w:rsidRPr="009A27ED">
        <w:rPr>
          <w:rFonts w:ascii="Times New Roman" w:eastAsia="Times New Roman" w:hAnsi="Times New Roman"/>
          <w:color w:val="000000"/>
          <w:sz w:val="24"/>
          <w:szCs w:val="22"/>
        </w:rPr>
        <w:t>s</w:t>
      </w:r>
      <w:r w:rsidRPr="009A27ED">
        <w:rPr>
          <w:rFonts w:ascii="Times New Roman" w:eastAsia="Times New Roman" w:hAnsi="Times New Roman"/>
          <w:sz w:val="24"/>
          <w:szCs w:val="22"/>
        </w:rPr>
        <w:t xml:space="preserve">” es el que tiene un riesgo más importante en términos de reasentamiento. En la sección 6.2 del MGAS se identifican como potenciales impactos de esta actividad: </w:t>
      </w:r>
    </w:p>
    <w:p w14:paraId="126A0526" w14:textId="77777777" w:rsidR="00405040" w:rsidRPr="009A27ED" w:rsidRDefault="00405040" w:rsidP="00D42802">
      <w:pPr>
        <w:pStyle w:val="Prrafodelista"/>
        <w:numPr>
          <w:ilvl w:val="0"/>
          <w:numId w:val="72"/>
        </w:numPr>
        <w:spacing w:before="120" w:after="0" w:line="360" w:lineRule="auto"/>
        <w:rPr>
          <w:szCs w:val="22"/>
          <w:lang w:val="es-ES" w:eastAsia="es-MX"/>
        </w:rPr>
      </w:pPr>
      <w:r w:rsidRPr="009A27ED">
        <w:rPr>
          <w:rFonts w:ascii="Times New Roman" w:eastAsia="Times New Roman" w:hAnsi="Times New Roman"/>
          <w:sz w:val="24"/>
          <w:szCs w:val="22"/>
          <w:lang w:val="es-ES" w:eastAsia="es-MX"/>
        </w:rPr>
        <w:t>La implementación de estrategias con escasa transparencia y/o participación de actores locales en el diseño de los planes de manejo puede conllevar un acceso limitado y/o desigual a beneficios por parte de las comunidades locales, lo cual puede ser fuente de conflictos.</w:t>
      </w:r>
    </w:p>
    <w:p w14:paraId="0854402D" w14:textId="5147804E" w:rsidR="00405040" w:rsidRPr="009A27ED" w:rsidRDefault="00405040" w:rsidP="00D42802">
      <w:pPr>
        <w:pStyle w:val="Prrafodelista"/>
        <w:numPr>
          <w:ilvl w:val="0"/>
          <w:numId w:val="72"/>
        </w:numPr>
        <w:spacing w:before="120" w:after="0" w:line="360" w:lineRule="auto"/>
        <w:rPr>
          <w:szCs w:val="22"/>
          <w:lang w:val="es-ES" w:eastAsia="es-MX"/>
        </w:rPr>
      </w:pPr>
      <w:r w:rsidRPr="009A27ED">
        <w:rPr>
          <w:rFonts w:ascii="Times New Roman" w:eastAsia="Times New Roman" w:hAnsi="Times New Roman"/>
          <w:sz w:val="24"/>
          <w:szCs w:val="22"/>
          <w:lang w:val="es-ES" w:eastAsia="es-MX"/>
        </w:rPr>
        <w:t xml:space="preserve">Posible desplazamiento </w:t>
      </w:r>
      <w:r w:rsidR="00A337BC" w:rsidRPr="009A27ED">
        <w:rPr>
          <w:rFonts w:ascii="Times New Roman" w:eastAsia="Times New Roman" w:hAnsi="Times New Roman"/>
          <w:sz w:val="24"/>
          <w:szCs w:val="22"/>
          <w:lang w:val="es-ES" w:eastAsia="es-MX"/>
        </w:rPr>
        <w:t>econ</w:t>
      </w:r>
      <w:r w:rsidR="005A6DCB" w:rsidRPr="009A27ED">
        <w:rPr>
          <w:rFonts w:ascii="Times New Roman" w:eastAsia="Times New Roman" w:hAnsi="Times New Roman"/>
          <w:sz w:val="24"/>
          <w:szCs w:val="22"/>
          <w:lang w:val="es-ES" w:eastAsia="es-MX"/>
        </w:rPr>
        <w:t>ó</w:t>
      </w:r>
      <w:r w:rsidR="00A337BC" w:rsidRPr="009A27ED">
        <w:rPr>
          <w:rFonts w:ascii="Times New Roman" w:eastAsia="Times New Roman" w:hAnsi="Times New Roman"/>
          <w:sz w:val="24"/>
          <w:szCs w:val="22"/>
          <w:lang w:val="es-ES" w:eastAsia="es-MX"/>
        </w:rPr>
        <w:t>mico</w:t>
      </w:r>
      <w:r w:rsidRPr="009A27ED">
        <w:rPr>
          <w:rFonts w:ascii="Times New Roman" w:eastAsia="Times New Roman" w:hAnsi="Times New Roman"/>
          <w:sz w:val="24"/>
          <w:szCs w:val="22"/>
          <w:lang w:val="es-ES" w:eastAsia="es-MX"/>
        </w:rPr>
        <w:t xml:space="preserve">, así como también acceso limitado a los recursos naturales de las áreas protegidas. </w:t>
      </w:r>
    </w:p>
    <w:p w14:paraId="232EA8C2" w14:textId="77777777" w:rsidR="00405040" w:rsidRPr="009A27ED" w:rsidRDefault="00405040" w:rsidP="00405040">
      <w:pPr>
        <w:spacing w:before="120" w:after="0" w:line="360" w:lineRule="auto"/>
        <w:rPr>
          <w:szCs w:val="22"/>
          <w:lang w:eastAsia="es-MX"/>
        </w:rPr>
      </w:pPr>
      <w:r w:rsidRPr="009A27ED">
        <w:rPr>
          <w:rFonts w:ascii="Times New Roman" w:eastAsia="Times New Roman" w:hAnsi="Times New Roman"/>
          <w:sz w:val="24"/>
          <w:szCs w:val="22"/>
          <w:lang w:eastAsia="es-MX"/>
        </w:rPr>
        <w:t>Sin embargo, no es la única actividad con potencial de implicar afectaciones. En ese sentido otras actividades como las de reforestación o restauración de áreas degradadas, aunque no de manera excluyente, pueden implicar afectaciones por desplazamiento de personas o activos.</w:t>
      </w:r>
    </w:p>
    <w:p w14:paraId="500CECF9" w14:textId="1C754A86" w:rsidR="00405040" w:rsidRPr="009A27ED" w:rsidRDefault="00405040" w:rsidP="004B4775">
      <w:pPr>
        <w:pStyle w:val="TtuloTDC"/>
        <w:numPr>
          <w:ilvl w:val="0"/>
          <w:numId w:val="0"/>
        </w:numPr>
        <w:spacing w:before="120" w:line="360" w:lineRule="auto"/>
        <w:ind w:left="50"/>
        <w:jc w:val="both"/>
      </w:pPr>
      <w:bookmarkStart w:id="688" w:name="_Toc530931972"/>
      <w:bookmarkStart w:id="689" w:name="_Toc530933121"/>
      <w:bookmarkStart w:id="690" w:name="_Toc532335893"/>
      <w:r w:rsidRPr="009A27ED">
        <w:rPr>
          <w:rFonts w:ascii="Times New Roman" w:eastAsia="Times New Roman" w:hAnsi="Times New Roman"/>
        </w:rPr>
        <w:t>Protocolo para la implementación del MPRI</w:t>
      </w:r>
      <w:bookmarkEnd w:id="688"/>
      <w:bookmarkEnd w:id="689"/>
      <w:bookmarkEnd w:id="690"/>
      <w:r w:rsidR="00780264" w:rsidRPr="009A27ED">
        <w:rPr>
          <w:rFonts w:ascii="Times New Roman" w:eastAsia="Times New Roman" w:hAnsi="Times New Roman"/>
        </w:rPr>
        <w:t xml:space="preserve"> </w:t>
      </w:r>
    </w:p>
    <w:p w14:paraId="1AEBE5C6" w14:textId="77777777" w:rsidR="00405040" w:rsidRPr="009A27ED" w:rsidRDefault="00405040" w:rsidP="00405040">
      <w:pPr>
        <w:autoSpaceDE w:val="0"/>
        <w:autoSpaceDN w:val="0"/>
        <w:adjustRightInd w:val="0"/>
        <w:spacing w:before="120" w:after="0" w:line="360" w:lineRule="auto"/>
        <w:rPr>
          <w:color w:val="000000"/>
          <w:szCs w:val="22"/>
        </w:rPr>
      </w:pPr>
      <w:r w:rsidRPr="009A27ED">
        <w:rPr>
          <w:rFonts w:ascii="Times New Roman" w:eastAsia="Times New Roman" w:hAnsi="Times New Roman"/>
          <w:color w:val="000000"/>
          <w:sz w:val="24"/>
          <w:szCs w:val="22"/>
        </w:rPr>
        <w:t>Para determinar si las actividades, tanto las facilitadoras como las específicas, a implementar en el contexto de las Opciones y Acciones</w:t>
      </w:r>
      <w:r w:rsidRPr="009A27ED" w:rsidDel="001D2F32">
        <w:rPr>
          <w:rFonts w:ascii="Times New Roman" w:eastAsia="Times New Roman" w:hAnsi="Times New Roman"/>
          <w:color w:val="000000"/>
          <w:sz w:val="24"/>
          <w:szCs w:val="22"/>
        </w:rPr>
        <w:t xml:space="preserve"> </w:t>
      </w:r>
      <w:r w:rsidRPr="009A27ED">
        <w:rPr>
          <w:rFonts w:ascii="Times New Roman" w:eastAsia="Times New Roman" w:hAnsi="Times New Roman"/>
          <w:color w:val="000000"/>
          <w:sz w:val="24"/>
          <w:szCs w:val="22"/>
        </w:rPr>
        <w:t xml:space="preserve">Estratégicas REDD+ producirán algún tipo de reasentamiento involuntario o se provocarán restricciones involuntarias de acceso a los recursos naturales, se deberá realizar un análisis de </w:t>
      </w:r>
      <w:proofErr w:type="gramStart"/>
      <w:r w:rsidRPr="009A27ED">
        <w:rPr>
          <w:rFonts w:ascii="Times New Roman" w:eastAsia="Times New Roman" w:hAnsi="Times New Roman"/>
          <w:color w:val="000000"/>
          <w:sz w:val="24"/>
          <w:szCs w:val="22"/>
        </w:rPr>
        <w:t>las mismas</w:t>
      </w:r>
      <w:proofErr w:type="gramEnd"/>
      <w:r w:rsidRPr="009A27ED">
        <w:rPr>
          <w:rFonts w:ascii="Times New Roman" w:eastAsia="Times New Roman" w:hAnsi="Times New Roman"/>
          <w:color w:val="000000"/>
          <w:sz w:val="24"/>
          <w:szCs w:val="22"/>
        </w:rPr>
        <w:t>.  Conforme lo establecido en la Sección 7</w:t>
      </w:r>
      <w:r w:rsidRPr="009A27ED">
        <w:rPr>
          <w:rFonts w:ascii="Times New Roman" w:eastAsia="Times New Roman" w:hAnsi="Times New Roman"/>
          <w:i/>
          <w:color w:val="000000"/>
          <w:sz w:val="24"/>
          <w:szCs w:val="22"/>
        </w:rPr>
        <w:t>.4. Procedimientos para asegurar el cumplimiento de las salvaguardas ambientales y social</w:t>
      </w:r>
      <w:r w:rsidRPr="009A27ED">
        <w:rPr>
          <w:rFonts w:ascii="Times New Roman" w:eastAsia="Times New Roman" w:hAnsi="Times New Roman"/>
          <w:color w:val="000000"/>
          <w:sz w:val="24"/>
          <w:szCs w:val="22"/>
        </w:rPr>
        <w:t xml:space="preserve">es del MGAS. En particular en lo relativo a las actividades específicas, la identificación de los potenciales impactos o afectaciones de reasentamiento se podrán identificar durante la elaboración de los PMAS, a incluir en el acuerdo interinstitucional entre EE y OCR. </w:t>
      </w:r>
    </w:p>
    <w:p w14:paraId="66DAA42F" w14:textId="77777777" w:rsidR="00405040" w:rsidRPr="009A27ED" w:rsidRDefault="00405040" w:rsidP="004B4775">
      <w:pPr>
        <w:pStyle w:val="TtuloTDC"/>
        <w:numPr>
          <w:ilvl w:val="0"/>
          <w:numId w:val="0"/>
        </w:numPr>
        <w:spacing w:before="120" w:line="360" w:lineRule="auto"/>
        <w:jc w:val="both"/>
      </w:pPr>
      <w:bookmarkStart w:id="691" w:name="_Toc530931973"/>
      <w:bookmarkStart w:id="692" w:name="_Toc530933122"/>
      <w:bookmarkStart w:id="693" w:name="_Toc532335894"/>
      <w:r w:rsidRPr="009A27ED">
        <w:rPr>
          <w:rFonts w:ascii="Times New Roman" w:eastAsia="Times New Roman" w:hAnsi="Times New Roman"/>
        </w:rPr>
        <w:lastRenderedPageBreak/>
        <w:t>Etapa 1: Evaluación preliminar de RI</w:t>
      </w:r>
      <w:bookmarkEnd w:id="691"/>
      <w:bookmarkEnd w:id="692"/>
      <w:bookmarkEnd w:id="693"/>
    </w:p>
    <w:p w14:paraId="6CD9954F" w14:textId="77777777" w:rsidR="00405040" w:rsidRPr="009A27ED" w:rsidRDefault="00405040" w:rsidP="00405040">
      <w:pPr>
        <w:autoSpaceDE w:val="0"/>
        <w:autoSpaceDN w:val="0"/>
        <w:adjustRightInd w:val="0"/>
        <w:spacing w:before="120" w:after="0" w:line="360" w:lineRule="auto"/>
        <w:rPr>
          <w:szCs w:val="22"/>
        </w:rPr>
      </w:pPr>
      <w:r w:rsidRPr="009A27ED">
        <w:rPr>
          <w:rFonts w:ascii="Times New Roman" w:eastAsia="Times New Roman" w:hAnsi="Times New Roman"/>
          <w:sz w:val="24"/>
          <w:szCs w:val="22"/>
        </w:rPr>
        <w:t xml:space="preserve">Para determinar si las tipologías de </w:t>
      </w:r>
      <w:r w:rsidRPr="009A27ED">
        <w:rPr>
          <w:rFonts w:ascii="Times New Roman" w:eastAsia="Times New Roman" w:hAnsi="Times New Roman"/>
          <w:i/>
          <w:sz w:val="24"/>
          <w:szCs w:val="22"/>
        </w:rPr>
        <w:t>actividades específicas REDD</w:t>
      </w:r>
      <w:r w:rsidRPr="009A27ED">
        <w:rPr>
          <w:rFonts w:ascii="Times New Roman" w:eastAsia="Times New Roman" w:hAnsi="Times New Roman"/>
          <w:sz w:val="24"/>
          <w:szCs w:val="22"/>
        </w:rPr>
        <w:t>+ a implementar en el contexto de los tipos</w:t>
      </w:r>
      <w:r w:rsidRPr="009A27ED">
        <w:rPr>
          <w:rFonts w:ascii="Times New Roman" w:eastAsia="Times New Roman" w:hAnsi="Times New Roman"/>
          <w:i/>
          <w:sz w:val="24"/>
          <w:szCs w:val="22"/>
        </w:rPr>
        <w:t xml:space="preserve"> de actividades</w:t>
      </w:r>
      <w:r w:rsidRPr="009A27ED">
        <w:rPr>
          <w:rFonts w:ascii="Times New Roman" w:eastAsia="Times New Roman" w:hAnsi="Times New Roman"/>
          <w:sz w:val="24"/>
          <w:szCs w:val="22"/>
        </w:rPr>
        <w:t xml:space="preserve"> en el marco de la Estrategia Nacional REDD+ producen algún tipo de reasentamiento involuntario o restricciones de acceso a los recursos naturales, se deberá identificar durante la elaboración del Acuerdo Interinstitucional (sección PMAS) el riesgo de reasentamiento involuntario por parte de las Entidades Ejecutoras de Programas y los Proyectos, con el apoyo de la Oficina de Coordinación REDD+.</w:t>
      </w:r>
    </w:p>
    <w:p w14:paraId="7241E9AA" w14:textId="77777777" w:rsidR="00405040" w:rsidRPr="009A27ED" w:rsidRDefault="00405040" w:rsidP="00405040">
      <w:pPr>
        <w:autoSpaceDE w:val="0"/>
        <w:autoSpaceDN w:val="0"/>
        <w:adjustRightInd w:val="0"/>
        <w:spacing w:before="120" w:after="0" w:line="360" w:lineRule="auto"/>
        <w:rPr>
          <w:color w:val="000000"/>
          <w:szCs w:val="22"/>
        </w:rPr>
      </w:pPr>
      <w:r w:rsidRPr="009A27ED">
        <w:rPr>
          <w:rFonts w:ascii="Times New Roman" w:eastAsia="Times New Roman" w:hAnsi="Times New Roman"/>
          <w:sz w:val="24"/>
          <w:szCs w:val="22"/>
        </w:rPr>
        <w:t>Lista de control para identificar potenciales afectaciones</w:t>
      </w:r>
      <w:r w:rsidRPr="009A27ED">
        <w:rPr>
          <w:rFonts w:ascii="Times New Roman" w:eastAsia="Times New Roman" w:hAnsi="Times New Roman"/>
          <w:color w:val="000000"/>
          <w:sz w:val="24"/>
          <w:szCs w:val="22"/>
        </w:rPr>
        <w:t xml:space="preserve">:  </w:t>
      </w:r>
    </w:p>
    <w:p w14:paraId="65AE033C" w14:textId="77777777" w:rsidR="00405040" w:rsidRPr="009A27ED" w:rsidRDefault="00405040" w:rsidP="00D42802">
      <w:pPr>
        <w:pStyle w:val="Sinespaciado"/>
        <w:numPr>
          <w:ilvl w:val="0"/>
          <w:numId w:val="73"/>
        </w:numPr>
        <w:spacing w:line="360" w:lineRule="auto"/>
      </w:pPr>
      <w:r w:rsidRPr="009A27ED">
        <w:rPr>
          <w:rFonts w:ascii="Times New Roman" w:eastAsia="Times New Roman" w:hAnsi="Times New Roman"/>
          <w:color w:val="000000"/>
          <w:sz w:val="24"/>
        </w:rPr>
        <w:t xml:space="preserve">Pérdida involuntaria de tierras </w:t>
      </w:r>
      <w:r w:rsidRPr="009A27ED">
        <w:rPr>
          <w:rFonts w:ascii="Times New Roman" w:eastAsia="Times New Roman" w:hAnsi="Times New Roman"/>
          <w:sz w:val="24"/>
        </w:rPr>
        <w:t>y/o afectación parcial o total de activos (OP/BM 4.12).</w:t>
      </w:r>
    </w:p>
    <w:p w14:paraId="5FBF04F7" w14:textId="77777777" w:rsidR="00405040" w:rsidRPr="009A27ED" w:rsidRDefault="00405040" w:rsidP="00D42802">
      <w:pPr>
        <w:pStyle w:val="Sinespaciado"/>
        <w:numPr>
          <w:ilvl w:val="0"/>
          <w:numId w:val="73"/>
        </w:numPr>
        <w:spacing w:line="360" w:lineRule="auto"/>
      </w:pPr>
      <w:r w:rsidRPr="009A27ED">
        <w:rPr>
          <w:rFonts w:ascii="Times New Roman" w:eastAsia="Times New Roman" w:hAnsi="Times New Roman"/>
          <w:sz w:val="24"/>
        </w:rPr>
        <w:t xml:space="preserve">Pérdida de cultivos, muros, cercos y otros activos. </w:t>
      </w:r>
    </w:p>
    <w:p w14:paraId="3E2E4E59" w14:textId="77777777" w:rsidR="00405040" w:rsidRPr="009A27ED" w:rsidRDefault="00405040" w:rsidP="00D42802">
      <w:pPr>
        <w:pStyle w:val="Sinespaciado"/>
        <w:numPr>
          <w:ilvl w:val="0"/>
          <w:numId w:val="73"/>
        </w:numPr>
        <w:spacing w:line="360" w:lineRule="auto"/>
      </w:pPr>
      <w:r w:rsidRPr="009A27ED">
        <w:rPr>
          <w:rFonts w:ascii="Times New Roman" w:eastAsia="Times New Roman" w:hAnsi="Times New Roman"/>
          <w:sz w:val="24"/>
        </w:rPr>
        <w:t xml:space="preserve">Pérdida de medios de subsistencia o del acceso a los activos. </w:t>
      </w:r>
    </w:p>
    <w:p w14:paraId="11808546" w14:textId="77777777" w:rsidR="00405040" w:rsidRPr="009A27ED" w:rsidRDefault="00405040" w:rsidP="00D42802">
      <w:pPr>
        <w:pStyle w:val="Sinespaciado"/>
        <w:numPr>
          <w:ilvl w:val="0"/>
          <w:numId w:val="73"/>
        </w:numPr>
        <w:spacing w:line="360" w:lineRule="auto"/>
      </w:pPr>
      <w:r w:rsidRPr="009A27ED">
        <w:rPr>
          <w:rFonts w:ascii="Times New Roman" w:eastAsia="Times New Roman" w:hAnsi="Times New Roman"/>
          <w:sz w:val="24"/>
        </w:rPr>
        <w:t>Desplazamiento físico de personas.</w:t>
      </w:r>
    </w:p>
    <w:p w14:paraId="0A859936" w14:textId="77777777" w:rsidR="00405040" w:rsidRPr="009A27ED" w:rsidRDefault="00405040" w:rsidP="00D42802">
      <w:pPr>
        <w:pStyle w:val="Sinespaciado"/>
        <w:numPr>
          <w:ilvl w:val="0"/>
          <w:numId w:val="73"/>
        </w:numPr>
        <w:spacing w:line="360" w:lineRule="auto"/>
      </w:pPr>
      <w:r w:rsidRPr="009A27ED">
        <w:rPr>
          <w:rFonts w:ascii="Times New Roman" w:eastAsia="Times New Roman" w:hAnsi="Times New Roman"/>
          <w:sz w:val="24"/>
        </w:rPr>
        <w:t>Desplazamiento involuntario de comunidades/personas vinculado a actividades en áreas protegidas y cambio de uso de los suelos.</w:t>
      </w:r>
    </w:p>
    <w:p w14:paraId="42536ABC" w14:textId="77777777" w:rsidR="00405040" w:rsidRPr="009A27ED" w:rsidRDefault="00405040" w:rsidP="00D42802">
      <w:pPr>
        <w:pStyle w:val="Sinespaciado"/>
        <w:numPr>
          <w:ilvl w:val="0"/>
          <w:numId w:val="73"/>
        </w:numPr>
        <w:spacing w:line="360" w:lineRule="auto"/>
      </w:pPr>
      <w:r w:rsidRPr="009A27ED">
        <w:rPr>
          <w:rFonts w:ascii="Times New Roman" w:eastAsia="Times New Roman" w:hAnsi="Times New Roman"/>
          <w:sz w:val="24"/>
        </w:rPr>
        <w:t>Desplazamiento económico (parcial o total) involuntario por cambio de uso de suelo</w:t>
      </w:r>
    </w:p>
    <w:p w14:paraId="15327807" w14:textId="77777777" w:rsidR="00405040" w:rsidRPr="009A27ED" w:rsidRDefault="00405040" w:rsidP="00D42802">
      <w:pPr>
        <w:pStyle w:val="Sinespaciado"/>
        <w:numPr>
          <w:ilvl w:val="0"/>
          <w:numId w:val="73"/>
        </w:numPr>
        <w:spacing w:line="360" w:lineRule="auto"/>
      </w:pPr>
      <w:r w:rsidRPr="009A27ED">
        <w:rPr>
          <w:rFonts w:ascii="Times New Roman" w:eastAsia="Times New Roman" w:hAnsi="Times New Roman"/>
          <w:sz w:val="24"/>
        </w:rPr>
        <w:t>Pérdida de acceso a terrenos donde existan recursos que sean fuentes de ingreso de personas afectadas.</w:t>
      </w:r>
    </w:p>
    <w:p w14:paraId="4C337431" w14:textId="77777777" w:rsidR="00405040" w:rsidRPr="009A27ED" w:rsidRDefault="00405040" w:rsidP="00D42802">
      <w:pPr>
        <w:pStyle w:val="Sinespaciado"/>
        <w:numPr>
          <w:ilvl w:val="0"/>
          <w:numId w:val="73"/>
        </w:numPr>
        <w:spacing w:line="360" w:lineRule="auto"/>
        <w:rPr>
          <w:color w:val="000000"/>
        </w:rPr>
      </w:pPr>
      <w:r w:rsidRPr="009A27ED">
        <w:rPr>
          <w:rFonts w:ascii="Times New Roman" w:eastAsia="Times New Roman" w:hAnsi="Times New Roman"/>
          <w:color w:val="000000"/>
          <w:sz w:val="24"/>
        </w:rPr>
        <w:t xml:space="preserve">Limitación de acceso a los recursos vinculados a </w:t>
      </w:r>
      <w:r w:rsidRPr="009A27ED">
        <w:rPr>
          <w:rFonts w:ascii="Times New Roman" w:eastAsia="Times New Roman" w:hAnsi="Times New Roman"/>
          <w:sz w:val="24"/>
        </w:rPr>
        <w:t>las unidades de conservación dentro del Sistema Nacional de Áreas Protegidas.</w:t>
      </w:r>
    </w:p>
    <w:p w14:paraId="6CFD58DC" w14:textId="77777777" w:rsidR="00405040" w:rsidRPr="009A27ED" w:rsidRDefault="00405040" w:rsidP="00405040">
      <w:pPr>
        <w:autoSpaceDE w:val="0"/>
        <w:autoSpaceDN w:val="0"/>
        <w:adjustRightInd w:val="0"/>
        <w:spacing w:before="120" w:after="0" w:line="360" w:lineRule="auto"/>
        <w:rPr>
          <w:szCs w:val="22"/>
        </w:rPr>
      </w:pPr>
      <w:r w:rsidRPr="009A27ED">
        <w:rPr>
          <w:rFonts w:ascii="Times New Roman" w:eastAsia="Times New Roman" w:hAnsi="Times New Roman"/>
          <w:sz w:val="24"/>
          <w:szCs w:val="22"/>
        </w:rPr>
        <w:t xml:space="preserve">En la medida de lo posible, los reasentamientos involuntarios deben evitarse o reducirse, para lo cual deben estudiarse todas las opciones viables de diseño del proyecto. En caso de que no sea posible evitar los impactos mencionados, los equipos responsables de la implementación de las tipologías de acción REDD+, estarán a cargo del diseño y la coordinación para la implementación de: un </w:t>
      </w:r>
      <w:r w:rsidRPr="009A27ED">
        <w:rPr>
          <w:rFonts w:ascii="Times New Roman" w:eastAsia="Times New Roman" w:hAnsi="Times New Roman"/>
          <w:b/>
          <w:sz w:val="24"/>
          <w:szCs w:val="22"/>
        </w:rPr>
        <w:t xml:space="preserve">Plan de Reasentamiento, </w:t>
      </w:r>
      <w:r w:rsidRPr="009A27ED">
        <w:rPr>
          <w:rFonts w:ascii="Times New Roman" w:eastAsia="Times New Roman" w:hAnsi="Times New Roman"/>
          <w:sz w:val="24"/>
          <w:szCs w:val="22"/>
        </w:rPr>
        <w:t xml:space="preserve">un </w:t>
      </w:r>
      <w:r w:rsidRPr="009A27ED">
        <w:rPr>
          <w:rFonts w:ascii="Times New Roman" w:eastAsia="Times New Roman" w:hAnsi="Times New Roman"/>
          <w:b/>
          <w:sz w:val="24"/>
          <w:szCs w:val="22"/>
        </w:rPr>
        <w:t xml:space="preserve">Plan de Reasentamiento Abreviado, </w:t>
      </w:r>
      <w:r w:rsidRPr="009A27ED">
        <w:rPr>
          <w:rFonts w:ascii="Times New Roman" w:eastAsia="Times New Roman" w:hAnsi="Times New Roman"/>
          <w:sz w:val="24"/>
          <w:szCs w:val="22"/>
        </w:rPr>
        <w:t>o un</w:t>
      </w:r>
      <w:r w:rsidRPr="009A27ED">
        <w:rPr>
          <w:rFonts w:ascii="Times New Roman" w:eastAsia="Times New Roman" w:hAnsi="Times New Roman"/>
          <w:b/>
          <w:sz w:val="24"/>
          <w:szCs w:val="22"/>
        </w:rPr>
        <w:t xml:space="preserve"> Plan de Acción </w:t>
      </w:r>
      <w:r w:rsidRPr="009A27ED">
        <w:rPr>
          <w:rFonts w:ascii="Times New Roman" w:eastAsia="Times New Roman" w:hAnsi="Times New Roman"/>
          <w:sz w:val="24"/>
          <w:szCs w:val="22"/>
        </w:rPr>
        <w:t>para las</w:t>
      </w:r>
      <w:r w:rsidRPr="009A27ED">
        <w:rPr>
          <w:rFonts w:ascii="Times New Roman" w:eastAsia="Times New Roman" w:hAnsi="Times New Roman"/>
          <w:b/>
          <w:sz w:val="24"/>
          <w:szCs w:val="22"/>
        </w:rPr>
        <w:t xml:space="preserve"> </w:t>
      </w:r>
      <w:r w:rsidRPr="009A27ED">
        <w:rPr>
          <w:rFonts w:ascii="Times New Roman" w:eastAsia="Times New Roman" w:hAnsi="Times New Roman"/>
          <w:sz w:val="24"/>
          <w:szCs w:val="22"/>
        </w:rPr>
        <w:t>Normas de Procedimiento</w:t>
      </w:r>
      <w:r w:rsidRPr="009A27ED">
        <w:rPr>
          <w:rFonts w:ascii="Times New Roman" w:eastAsia="Times New Roman" w:hAnsi="Times New Roman"/>
          <w:b/>
          <w:sz w:val="24"/>
          <w:szCs w:val="22"/>
        </w:rPr>
        <w:t xml:space="preserve">, </w:t>
      </w:r>
      <w:r w:rsidRPr="009A27ED">
        <w:rPr>
          <w:rFonts w:ascii="Times New Roman" w:eastAsia="Times New Roman" w:hAnsi="Times New Roman"/>
          <w:sz w:val="24"/>
          <w:szCs w:val="22"/>
        </w:rPr>
        <w:t>según corresponda.</w:t>
      </w:r>
      <w:r w:rsidRPr="009A27ED">
        <w:rPr>
          <w:rFonts w:ascii="Times New Roman" w:eastAsia="Times New Roman" w:hAnsi="Times New Roman"/>
          <w:b/>
          <w:sz w:val="24"/>
          <w:szCs w:val="22"/>
        </w:rPr>
        <w:t xml:space="preserve"> </w:t>
      </w:r>
      <w:r w:rsidRPr="009A27ED">
        <w:rPr>
          <w:rFonts w:ascii="Times New Roman" w:eastAsia="Times New Roman" w:hAnsi="Times New Roman"/>
          <w:sz w:val="24"/>
          <w:szCs w:val="22"/>
        </w:rPr>
        <w:t xml:space="preserve"> </w:t>
      </w:r>
    </w:p>
    <w:p w14:paraId="4E46E0B0" w14:textId="77777777" w:rsidR="00405040" w:rsidRPr="009A27ED" w:rsidRDefault="00405040" w:rsidP="00405040">
      <w:pPr>
        <w:autoSpaceDE w:val="0"/>
        <w:autoSpaceDN w:val="0"/>
        <w:adjustRightInd w:val="0"/>
        <w:spacing w:before="120" w:after="0" w:line="360" w:lineRule="auto"/>
        <w:rPr>
          <w:szCs w:val="22"/>
        </w:rPr>
      </w:pPr>
      <w:r w:rsidRPr="009A27ED">
        <w:rPr>
          <w:rFonts w:ascii="Times New Roman" w:eastAsia="Times New Roman" w:hAnsi="Times New Roman"/>
          <w:sz w:val="24"/>
          <w:szCs w:val="22"/>
        </w:rPr>
        <w:t>Si se identifica y considera que uno o más de los impactos del listado anterior se podrían producir, o incluso se identifica uno que no se encuentre en el listado, se deberá establecer una primera evaluación de los potenciales riesgos e impactos adversos que se pueden producir, la cantidad de personas que pueden verse afectadas y las alternativas viables para evitar dichos riesgos y/o impactos, tratando de minimizarlos al máximo.</w:t>
      </w:r>
    </w:p>
    <w:p w14:paraId="1026A804" w14:textId="77777777" w:rsidR="00405040" w:rsidRPr="009A27ED" w:rsidRDefault="00405040" w:rsidP="00405040">
      <w:pPr>
        <w:autoSpaceDE w:val="0"/>
        <w:autoSpaceDN w:val="0"/>
        <w:adjustRightInd w:val="0"/>
        <w:spacing w:before="120" w:after="0" w:line="360" w:lineRule="auto"/>
        <w:rPr>
          <w:szCs w:val="22"/>
        </w:rPr>
      </w:pPr>
      <w:r w:rsidRPr="009A27ED">
        <w:rPr>
          <w:rFonts w:ascii="Times New Roman" w:eastAsia="Times New Roman" w:hAnsi="Times New Roman"/>
          <w:sz w:val="24"/>
          <w:szCs w:val="22"/>
        </w:rPr>
        <w:lastRenderedPageBreak/>
        <w:t>Como condición para la evaluación inicial de los proyectos que suponen reasentamiento, la UTG presentará al Banco los primeros instrumentos de reasentamiento para su revisión y no objeción. La OCR lo pondrá a disposición de las personas desplazadas y las ONG locales en un lugar accesible para éstas y en una forma y un idioma que les resulten comprensibles. Una vez se verifique que los instrumentos son satisfactorios, el Banco hará seguimiento periódico y aleatorio de la implementación.</w:t>
      </w:r>
    </w:p>
    <w:p w14:paraId="36086065" w14:textId="77777777" w:rsidR="00405040" w:rsidRPr="009A27ED" w:rsidRDefault="00405040" w:rsidP="004B4775">
      <w:pPr>
        <w:pStyle w:val="TtuloTDC"/>
        <w:numPr>
          <w:ilvl w:val="0"/>
          <w:numId w:val="0"/>
        </w:numPr>
        <w:spacing w:before="120" w:line="360" w:lineRule="auto"/>
        <w:jc w:val="both"/>
      </w:pPr>
      <w:bookmarkStart w:id="694" w:name="_Toc501607471"/>
      <w:bookmarkStart w:id="695" w:name="_Toc506990300"/>
      <w:bookmarkStart w:id="696" w:name="_Toc530931974"/>
      <w:bookmarkStart w:id="697" w:name="_Toc530933123"/>
      <w:bookmarkStart w:id="698" w:name="_Toc532335895"/>
      <w:r w:rsidRPr="009A27ED">
        <w:rPr>
          <w:rFonts w:ascii="Times New Roman" w:eastAsia="Times New Roman" w:hAnsi="Times New Roman"/>
        </w:rPr>
        <w:t>Criterios para determinar la Elegibilidad</w:t>
      </w:r>
      <w:bookmarkEnd w:id="694"/>
      <w:bookmarkEnd w:id="695"/>
      <w:bookmarkEnd w:id="696"/>
      <w:bookmarkEnd w:id="697"/>
      <w:bookmarkEnd w:id="698"/>
    </w:p>
    <w:p w14:paraId="7A66CC58" w14:textId="77777777" w:rsidR="00405040" w:rsidRPr="009A27ED" w:rsidRDefault="00405040" w:rsidP="00405040">
      <w:pPr>
        <w:spacing w:before="120" w:after="0" w:line="360" w:lineRule="auto"/>
        <w:rPr>
          <w:rFonts w:eastAsia="Calibri"/>
          <w:szCs w:val="22"/>
        </w:rPr>
      </w:pPr>
      <w:r w:rsidRPr="009A27ED">
        <w:rPr>
          <w:rFonts w:ascii="Times New Roman" w:eastAsia="Times New Roman" w:hAnsi="Times New Roman"/>
          <w:sz w:val="24"/>
          <w:szCs w:val="22"/>
        </w:rPr>
        <w:t>En relación con la tenencia de la tierra, la política del Banco Mundial establece una distinción clara entre la tenencia legal y la ocupación sin título, posesión de hecho. La tenencia legal abarca tanto la propiedad (o arrendamiento), como la ocupación de hecho. Contar con título de tierra registrado o con derechos consuetudinarios y tradicionales constituye el derecho inicial de elegibilidad.</w:t>
      </w:r>
    </w:p>
    <w:p w14:paraId="54BA3B03" w14:textId="77777777" w:rsidR="00405040" w:rsidRPr="009A27ED" w:rsidRDefault="00405040" w:rsidP="00405040">
      <w:pPr>
        <w:spacing w:before="120" w:after="0" w:line="360" w:lineRule="auto"/>
        <w:rPr>
          <w:rFonts w:eastAsia="Calibri"/>
          <w:szCs w:val="22"/>
        </w:rPr>
      </w:pPr>
      <w:r w:rsidRPr="009A27ED">
        <w:rPr>
          <w:rFonts w:ascii="Times New Roman" w:eastAsia="Times New Roman" w:hAnsi="Times New Roman"/>
          <w:sz w:val="24"/>
          <w:szCs w:val="22"/>
        </w:rPr>
        <w:t>Conforme a la OP4.12, los derechos consuetudinarios o tradicionales que están reconocidos o son reconocibles por la legislación del país tienen el mismo valor jurídico que un título legal oficialmente establecido. La política señala, que entre los desplazados se encuentran aquellos que tienen derechos legales oficialmente establecidos respectos de las tierras, incluyendo derechos consuetudinarios y tradicionales reconocidos o reconocibles en la legislación del país.</w:t>
      </w:r>
    </w:p>
    <w:p w14:paraId="7233DE33" w14:textId="3DA4D5D1" w:rsidR="00405040" w:rsidRPr="009A27ED" w:rsidRDefault="00405040" w:rsidP="00405040">
      <w:pPr>
        <w:spacing w:before="120" w:after="0" w:line="360" w:lineRule="auto"/>
        <w:rPr>
          <w:rFonts w:eastAsia="Calibri"/>
          <w:szCs w:val="22"/>
        </w:rPr>
      </w:pPr>
      <w:r w:rsidRPr="009A27ED">
        <w:rPr>
          <w:rFonts w:ascii="Times New Roman" w:eastAsia="Times New Roman" w:hAnsi="Times New Roman"/>
          <w:sz w:val="24"/>
          <w:szCs w:val="22"/>
        </w:rPr>
        <w:t xml:space="preserve">Los criterios de elegibilidad con respecto a la afectación, y sus diferentes alternativas de solución </w:t>
      </w:r>
      <w:r w:rsidR="00780264" w:rsidRPr="009A27ED">
        <w:rPr>
          <w:rFonts w:ascii="Times New Roman" w:eastAsia="Times New Roman" w:hAnsi="Times New Roman"/>
          <w:sz w:val="24"/>
          <w:szCs w:val="22"/>
        </w:rPr>
        <w:t xml:space="preserve">son: </w:t>
      </w:r>
    </w:p>
    <w:p w14:paraId="77AB8592" w14:textId="77777777" w:rsidR="00780264" w:rsidRPr="009A27ED" w:rsidRDefault="00780264" w:rsidP="00405040">
      <w:pPr>
        <w:spacing w:before="120" w:after="0" w:line="360" w:lineRule="auto"/>
        <w:rPr>
          <w:rFonts w:eastAsia="Calibri"/>
          <w:szCs w:val="22"/>
        </w:rPr>
      </w:pPr>
    </w:p>
    <w:p w14:paraId="63C46286" w14:textId="6C3C3FD7" w:rsidR="00DF3AFC" w:rsidRPr="009A27ED" w:rsidRDefault="00DF3AFC" w:rsidP="00DF3AFC">
      <w:pPr>
        <w:pStyle w:val="Descripcin"/>
        <w:keepNext/>
        <w:spacing w:line="360" w:lineRule="auto"/>
      </w:pPr>
      <w:bookmarkStart w:id="699" w:name="_Toc111887471"/>
      <w:r w:rsidRPr="009A27ED">
        <w:rPr>
          <w:rFonts w:ascii="Times New Roman" w:eastAsia="Times New Roman" w:hAnsi="Times New Roman"/>
          <w:sz w:val="24"/>
        </w:rPr>
        <w:t xml:space="preserve">Cuadro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Cuadro \* ARABIC </w:instrText>
      </w:r>
      <w:r w:rsidRPr="009A27ED">
        <w:rPr>
          <w:rFonts w:ascii="Times New Roman" w:eastAsia="Times New Roman" w:hAnsi="Times New Roman"/>
          <w:sz w:val="24"/>
        </w:rPr>
        <w:fldChar w:fldCharType="separate"/>
      </w:r>
      <w:r w:rsidRPr="009A27ED">
        <w:rPr>
          <w:rFonts w:ascii="Times New Roman" w:eastAsia="Times New Roman" w:hAnsi="Times New Roman"/>
          <w:noProof/>
          <w:sz w:val="24"/>
        </w:rPr>
        <w:t>61</w:t>
      </w:r>
      <w:r w:rsidRPr="009A27ED">
        <w:rPr>
          <w:rFonts w:ascii="Times New Roman" w:eastAsia="Times New Roman" w:hAnsi="Times New Roman"/>
          <w:sz w:val="24"/>
        </w:rPr>
        <w:fldChar w:fldCharType="end"/>
      </w:r>
      <w:r w:rsidRPr="009A27ED">
        <w:rPr>
          <w:rFonts w:ascii="Times New Roman" w:eastAsia="Times New Roman" w:hAnsi="Times New Roman"/>
          <w:sz w:val="24"/>
        </w:rPr>
        <w:t xml:space="preserve"> Los criterios de elegibilidad con respecto a la afectación, y sus diferentes alternativas de solución son.</w:t>
      </w:r>
      <w:bookmarkEnd w:id="699"/>
    </w:p>
    <w:tbl>
      <w:tblPr>
        <w:tblStyle w:val="Tablaconcuadrcula"/>
        <w:tblW w:w="0" w:type="auto"/>
        <w:tblLook w:val="04A0" w:firstRow="1" w:lastRow="0" w:firstColumn="1" w:lastColumn="0" w:noHBand="0" w:noVBand="1"/>
      </w:tblPr>
      <w:tblGrid>
        <w:gridCol w:w="625"/>
        <w:gridCol w:w="3960"/>
        <w:gridCol w:w="4243"/>
      </w:tblGrid>
      <w:tr w:rsidR="00405040" w:rsidRPr="009A27ED" w14:paraId="584744E0" w14:textId="77777777" w:rsidTr="00265764">
        <w:tc>
          <w:tcPr>
            <w:tcW w:w="625" w:type="dxa"/>
          </w:tcPr>
          <w:p w14:paraId="4AE02DCF" w14:textId="77777777" w:rsidR="00405040" w:rsidRPr="009A27ED" w:rsidRDefault="00405040" w:rsidP="00405040">
            <w:pPr>
              <w:spacing w:before="120" w:after="0"/>
              <w:rPr>
                <w:rFonts w:eastAsia="Calibri"/>
                <w:b/>
                <w:sz w:val="20"/>
                <w:szCs w:val="20"/>
              </w:rPr>
            </w:pPr>
          </w:p>
        </w:tc>
        <w:tc>
          <w:tcPr>
            <w:tcW w:w="3960" w:type="dxa"/>
          </w:tcPr>
          <w:p w14:paraId="154A2B9A" w14:textId="77777777" w:rsidR="00405040" w:rsidRPr="009A27ED" w:rsidRDefault="00405040" w:rsidP="00265764">
            <w:pPr>
              <w:spacing w:before="120" w:after="0"/>
              <w:jc w:val="center"/>
              <w:rPr>
                <w:rFonts w:eastAsia="Calibri"/>
                <w:b/>
                <w:sz w:val="20"/>
                <w:szCs w:val="20"/>
              </w:rPr>
            </w:pPr>
            <w:r w:rsidRPr="009A27ED">
              <w:rPr>
                <w:rFonts w:eastAsia="Calibri"/>
                <w:b/>
                <w:sz w:val="20"/>
                <w:szCs w:val="20"/>
              </w:rPr>
              <w:t>Categoría</w:t>
            </w:r>
          </w:p>
        </w:tc>
        <w:tc>
          <w:tcPr>
            <w:tcW w:w="4243" w:type="dxa"/>
          </w:tcPr>
          <w:p w14:paraId="59777EC6" w14:textId="77777777" w:rsidR="00405040" w:rsidRPr="009A27ED" w:rsidRDefault="00405040" w:rsidP="00265764">
            <w:pPr>
              <w:spacing w:before="120" w:after="0"/>
              <w:jc w:val="center"/>
              <w:rPr>
                <w:rFonts w:eastAsia="Calibri"/>
                <w:b/>
                <w:sz w:val="20"/>
                <w:szCs w:val="20"/>
              </w:rPr>
            </w:pPr>
            <w:r w:rsidRPr="009A27ED">
              <w:rPr>
                <w:rFonts w:eastAsia="Calibri"/>
                <w:b/>
                <w:sz w:val="20"/>
                <w:szCs w:val="20"/>
              </w:rPr>
              <w:t>Alternativas de solución</w:t>
            </w:r>
          </w:p>
        </w:tc>
      </w:tr>
      <w:tr w:rsidR="00DF3AFC" w:rsidRPr="009A27ED" w14:paraId="2FEBFBA8" w14:textId="77777777" w:rsidTr="00265764">
        <w:tc>
          <w:tcPr>
            <w:tcW w:w="625" w:type="dxa"/>
          </w:tcPr>
          <w:p w14:paraId="2F1F015F" w14:textId="77777777" w:rsidR="00DF3AFC" w:rsidRPr="009A27ED" w:rsidRDefault="00DF3AFC" w:rsidP="00405040">
            <w:pPr>
              <w:spacing w:before="120" w:after="0"/>
              <w:rPr>
                <w:rFonts w:eastAsia="Calibri"/>
                <w:b/>
                <w:sz w:val="20"/>
                <w:szCs w:val="20"/>
              </w:rPr>
            </w:pPr>
          </w:p>
        </w:tc>
        <w:tc>
          <w:tcPr>
            <w:tcW w:w="3960" w:type="dxa"/>
          </w:tcPr>
          <w:p w14:paraId="538460C5" w14:textId="77777777" w:rsidR="00DF3AFC" w:rsidRPr="009A27ED" w:rsidRDefault="00DF3AFC" w:rsidP="00265764">
            <w:pPr>
              <w:spacing w:before="120" w:after="0"/>
              <w:jc w:val="center"/>
              <w:rPr>
                <w:rFonts w:eastAsia="Calibri"/>
                <w:b/>
                <w:sz w:val="20"/>
                <w:szCs w:val="20"/>
              </w:rPr>
            </w:pPr>
          </w:p>
        </w:tc>
        <w:tc>
          <w:tcPr>
            <w:tcW w:w="4243" w:type="dxa"/>
          </w:tcPr>
          <w:p w14:paraId="18813571" w14:textId="77777777" w:rsidR="00DF3AFC" w:rsidRPr="009A27ED" w:rsidRDefault="00DF3AFC" w:rsidP="00265764">
            <w:pPr>
              <w:spacing w:before="120" w:after="0"/>
              <w:jc w:val="center"/>
              <w:rPr>
                <w:rFonts w:eastAsia="Calibri"/>
                <w:b/>
                <w:sz w:val="20"/>
                <w:szCs w:val="20"/>
              </w:rPr>
            </w:pPr>
          </w:p>
        </w:tc>
      </w:tr>
      <w:tr w:rsidR="00405040" w:rsidRPr="009A27ED" w14:paraId="53580795" w14:textId="77777777" w:rsidTr="00405040">
        <w:tc>
          <w:tcPr>
            <w:tcW w:w="625" w:type="dxa"/>
          </w:tcPr>
          <w:p w14:paraId="412A2223" w14:textId="77777777" w:rsidR="00405040" w:rsidRPr="009A27ED" w:rsidRDefault="00405040" w:rsidP="00405040">
            <w:pPr>
              <w:spacing w:before="120" w:after="0"/>
              <w:rPr>
                <w:rFonts w:eastAsia="Calibri"/>
                <w:sz w:val="20"/>
                <w:szCs w:val="20"/>
              </w:rPr>
            </w:pPr>
            <w:r w:rsidRPr="009A27ED">
              <w:rPr>
                <w:rFonts w:eastAsia="Calibri"/>
                <w:sz w:val="20"/>
                <w:szCs w:val="20"/>
              </w:rPr>
              <w:t>a)</w:t>
            </w:r>
          </w:p>
        </w:tc>
        <w:tc>
          <w:tcPr>
            <w:tcW w:w="3960" w:type="dxa"/>
          </w:tcPr>
          <w:p w14:paraId="086C6D9D" w14:textId="77777777" w:rsidR="00405040" w:rsidRPr="009A27ED" w:rsidRDefault="00405040" w:rsidP="00405040">
            <w:pPr>
              <w:spacing w:before="120" w:after="0"/>
              <w:rPr>
                <w:rFonts w:eastAsia="Calibri"/>
                <w:sz w:val="20"/>
                <w:szCs w:val="20"/>
              </w:rPr>
            </w:pPr>
            <w:r w:rsidRPr="009A27ED">
              <w:rPr>
                <w:sz w:val="20"/>
                <w:szCs w:val="20"/>
              </w:rPr>
              <w:t>Los que tienen derechos legales oficialmente establecidos respecto de las tierras (incluso derechos consuetudinarios y tradicionales reconocidos en la legislación de RD</w:t>
            </w:r>
          </w:p>
        </w:tc>
        <w:tc>
          <w:tcPr>
            <w:tcW w:w="4243" w:type="dxa"/>
          </w:tcPr>
          <w:p w14:paraId="42B5CBCB" w14:textId="77777777" w:rsidR="00405040" w:rsidRPr="009A27ED" w:rsidRDefault="00405040" w:rsidP="00405040">
            <w:pPr>
              <w:autoSpaceDE w:val="0"/>
              <w:autoSpaceDN w:val="0"/>
              <w:adjustRightInd w:val="0"/>
              <w:spacing w:before="120" w:after="0"/>
              <w:rPr>
                <w:rFonts w:eastAsia="Calibri"/>
                <w:sz w:val="20"/>
                <w:szCs w:val="20"/>
              </w:rPr>
            </w:pPr>
            <w:r w:rsidRPr="009A27ED">
              <w:rPr>
                <w:sz w:val="20"/>
                <w:szCs w:val="20"/>
              </w:rPr>
              <w:t>Recibirán compensación por las tierras que pierden, además de otro tipo de asistencia de conformidad a los principios del presente MPRI</w:t>
            </w:r>
          </w:p>
        </w:tc>
      </w:tr>
      <w:tr w:rsidR="00405040" w:rsidRPr="009A27ED" w14:paraId="0BECEDCB" w14:textId="77777777" w:rsidTr="00405040">
        <w:tc>
          <w:tcPr>
            <w:tcW w:w="625" w:type="dxa"/>
          </w:tcPr>
          <w:p w14:paraId="7327BAFD" w14:textId="77777777" w:rsidR="00405040" w:rsidRPr="009A27ED" w:rsidRDefault="00405040" w:rsidP="00405040">
            <w:pPr>
              <w:spacing w:before="120" w:after="0"/>
              <w:rPr>
                <w:rFonts w:eastAsia="Calibri"/>
                <w:sz w:val="20"/>
                <w:szCs w:val="20"/>
              </w:rPr>
            </w:pPr>
            <w:r w:rsidRPr="009A27ED">
              <w:rPr>
                <w:rFonts w:eastAsia="Calibri"/>
                <w:sz w:val="20"/>
                <w:szCs w:val="20"/>
              </w:rPr>
              <w:lastRenderedPageBreak/>
              <w:t>b)</w:t>
            </w:r>
          </w:p>
        </w:tc>
        <w:tc>
          <w:tcPr>
            <w:tcW w:w="3960" w:type="dxa"/>
          </w:tcPr>
          <w:p w14:paraId="563D7046" w14:textId="77777777" w:rsidR="00405040" w:rsidRPr="009A27ED" w:rsidRDefault="00405040" w:rsidP="00405040">
            <w:pPr>
              <w:autoSpaceDE w:val="0"/>
              <w:autoSpaceDN w:val="0"/>
              <w:adjustRightInd w:val="0"/>
              <w:spacing w:before="120" w:after="0"/>
              <w:jc w:val="left"/>
              <w:rPr>
                <w:rFonts w:eastAsia="Calibri"/>
                <w:sz w:val="20"/>
                <w:szCs w:val="20"/>
              </w:rPr>
            </w:pPr>
            <w:r w:rsidRPr="009A27ED">
              <w:rPr>
                <w:sz w:val="20"/>
                <w:szCs w:val="20"/>
              </w:rPr>
              <w:t>Los que no tienen derechos legales oficialmente establecidos respecto de las tierras en el momento de iniciarse el censo, pero que reclaman algún derecho a esas tierras o activos, a condición de que su reclamación esté reconocida en la legislación de RD o se reconozca mediante un proceso indicado en el plan de reasentamiento</w:t>
            </w:r>
          </w:p>
        </w:tc>
        <w:tc>
          <w:tcPr>
            <w:tcW w:w="4243" w:type="dxa"/>
          </w:tcPr>
          <w:p w14:paraId="0E090AB8" w14:textId="77777777" w:rsidR="00405040" w:rsidRPr="009A27ED" w:rsidRDefault="00405040" w:rsidP="00405040">
            <w:pPr>
              <w:spacing w:before="120" w:after="0"/>
              <w:rPr>
                <w:rFonts w:eastAsia="Calibri"/>
                <w:sz w:val="20"/>
                <w:szCs w:val="20"/>
              </w:rPr>
            </w:pPr>
            <w:r w:rsidRPr="009A27ED">
              <w:rPr>
                <w:sz w:val="20"/>
                <w:szCs w:val="20"/>
              </w:rPr>
              <w:t>Recibirán compensación por las tierras que pierden, además de otro tipo de asistencia de conformidad a los principios del presente MPRI.</w:t>
            </w:r>
          </w:p>
        </w:tc>
      </w:tr>
      <w:tr w:rsidR="00405040" w:rsidRPr="009A27ED" w14:paraId="755461A7" w14:textId="77777777" w:rsidTr="00405040">
        <w:tc>
          <w:tcPr>
            <w:tcW w:w="625" w:type="dxa"/>
          </w:tcPr>
          <w:p w14:paraId="1B6B3A06" w14:textId="77777777" w:rsidR="00405040" w:rsidRPr="009A27ED" w:rsidRDefault="00405040" w:rsidP="00405040">
            <w:pPr>
              <w:spacing w:before="120" w:after="0"/>
              <w:rPr>
                <w:rFonts w:eastAsia="Calibri"/>
                <w:sz w:val="20"/>
                <w:szCs w:val="20"/>
              </w:rPr>
            </w:pPr>
            <w:r w:rsidRPr="009A27ED">
              <w:rPr>
                <w:rFonts w:eastAsia="Calibri"/>
                <w:sz w:val="20"/>
                <w:szCs w:val="20"/>
              </w:rPr>
              <w:t>c)</w:t>
            </w:r>
          </w:p>
        </w:tc>
        <w:tc>
          <w:tcPr>
            <w:tcW w:w="3960" w:type="dxa"/>
          </w:tcPr>
          <w:p w14:paraId="7B9DB146" w14:textId="77777777" w:rsidR="00405040" w:rsidRPr="009A27ED" w:rsidRDefault="00405040" w:rsidP="00405040">
            <w:pPr>
              <w:autoSpaceDE w:val="0"/>
              <w:autoSpaceDN w:val="0"/>
              <w:adjustRightInd w:val="0"/>
              <w:spacing w:before="120" w:after="0"/>
              <w:jc w:val="left"/>
              <w:rPr>
                <w:rFonts w:eastAsia="Calibri"/>
                <w:sz w:val="20"/>
                <w:szCs w:val="20"/>
              </w:rPr>
            </w:pPr>
            <w:r w:rsidRPr="009A27ED">
              <w:rPr>
                <w:sz w:val="20"/>
                <w:szCs w:val="20"/>
              </w:rPr>
              <w:t>Los que carecen de un derecho legal o una pretensión reconocibles respecto de la tierra que ocupan</w:t>
            </w:r>
          </w:p>
        </w:tc>
        <w:tc>
          <w:tcPr>
            <w:tcW w:w="4243" w:type="dxa"/>
          </w:tcPr>
          <w:p w14:paraId="6BA6B400" w14:textId="77777777" w:rsidR="00405040" w:rsidRPr="009A27ED" w:rsidRDefault="00405040" w:rsidP="00405040">
            <w:pPr>
              <w:autoSpaceDE w:val="0"/>
              <w:autoSpaceDN w:val="0"/>
              <w:adjustRightInd w:val="0"/>
              <w:spacing w:before="120" w:after="0"/>
              <w:jc w:val="left"/>
              <w:rPr>
                <w:rFonts w:eastAsia="Calibri"/>
                <w:sz w:val="20"/>
                <w:szCs w:val="20"/>
              </w:rPr>
            </w:pPr>
            <w:r w:rsidRPr="009A27ED">
              <w:rPr>
                <w:sz w:val="20"/>
                <w:szCs w:val="20"/>
              </w:rPr>
              <w:t>Recibirán asistencia para el reasentamiento en lugar de compensación por las tierras que ocupan, y otro tipo de asistencia, según proceda, para lograr los objetivos establecidos en el presente MPRI, siempre y cuando ocupen la zona abarcada por las actividades propuestas con anterioridad a una fecha límite establecida que deberá establecerse como parte de la implementación de la salvaguarda.</w:t>
            </w:r>
          </w:p>
        </w:tc>
      </w:tr>
    </w:tbl>
    <w:p w14:paraId="41333509" w14:textId="77777777" w:rsidR="00405040" w:rsidRPr="009A27ED" w:rsidRDefault="00405040" w:rsidP="00405040">
      <w:pPr>
        <w:autoSpaceDE w:val="0"/>
        <w:autoSpaceDN w:val="0"/>
        <w:adjustRightInd w:val="0"/>
        <w:spacing w:before="120" w:after="0" w:line="360" w:lineRule="auto"/>
        <w:rPr>
          <w:rFonts w:eastAsia="Calibri"/>
          <w:szCs w:val="22"/>
        </w:rPr>
      </w:pPr>
      <w:r w:rsidRPr="009A27ED">
        <w:rPr>
          <w:rFonts w:ascii="Times New Roman" w:eastAsia="Times New Roman" w:hAnsi="Times New Roman"/>
          <w:sz w:val="24"/>
          <w:szCs w:val="22"/>
        </w:rPr>
        <w:t>Las personas que se trasladen a la zona después de la fecha límite no tendrán derecho a compensación ni a ningún otro tipo de asistencia para el reasentamiento. Todas las personas a que se hace referencia en los incisos a), b) o c) recibirán compensación por la pérdida de activos distintos de las tierras.</w:t>
      </w:r>
    </w:p>
    <w:p w14:paraId="64866D5D" w14:textId="77777777" w:rsidR="00405040" w:rsidRPr="009A27ED" w:rsidRDefault="00405040" w:rsidP="00405040">
      <w:pPr>
        <w:spacing w:before="120" w:after="0" w:line="360" w:lineRule="auto"/>
        <w:ind w:left="360" w:hanging="270"/>
        <w:rPr>
          <w:rFonts w:eastAsia="Calibri"/>
          <w:szCs w:val="22"/>
        </w:rPr>
      </w:pPr>
      <w:r w:rsidRPr="009A27ED">
        <w:rPr>
          <w:rFonts w:ascii="Times New Roman" w:eastAsia="Times New Roman" w:hAnsi="Times New Roman"/>
          <w:b/>
          <w:sz w:val="24"/>
          <w:szCs w:val="22"/>
        </w:rPr>
        <w:t>c</w:t>
      </w:r>
      <w:r w:rsidRPr="009A27ED">
        <w:rPr>
          <w:rFonts w:ascii="Times New Roman" w:eastAsia="Times New Roman" w:hAnsi="Times New Roman"/>
          <w:sz w:val="24"/>
          <w:szCs w:val="22"/>
        </w:rPr>
        <w:t>.  Características que deberá reunir los afectados:</w:t>
      </w:r>
    </w:p>
    <w:p w14:paraId="141E737C" w14:textId="77777777" w:rsidR="00405040" w:rsidRPr="009A27ED" w:rsidRDefault="00405040" w:rsidP="00D42802">
      <w:pPr>
        <w:pStyle w:val="Prrafodelista"/>
        <w:numPr>
          <w:ilvl w:val="0"/>
          <w:numId w:val="74"/>
        </w:numPr>
        <w:spacing w:before="120" w:after="0" w:line="360" w:lineRule="auto"/>
        <w:ind w:left="990"/>
        <w:rPr>
          <w:rFonts w:eastAsia="Calibri"/>
          <w:szCs w:val="22"/>
        </w:rPr>
      </w:pPr>
      <w:r w:rsidRPr="009A27ED">
        <w:rPr>
          <w:rFonts w:ascii="Times New Roman" w:eastAsia="Times New Roman" w:hAnsi="Times New Roman"/>
          <w:sz w:val="24"/>
          <w:szCs w:val="22"/>
        </w:rPr>
        <w:t>Tiempo en posesión de la propiedad.</w:t>
      </w:r>
    </w:p>
    <w:p w14:paraId="6F4128B2" w14:textId="77777777" w:rsidR="00405040" w:rsidRPr="009A27ED" w:rsidRDefault="00405040" w:rsidP="00D42802">
      <w:pPr>
        <w:pStyle w:val="Prrafodelista"/>
        <w:numPr>
          <w:ilvl w:val="0"/>
          <w:numId w:val="74"/>
        </w:numPr>
        <w:spacing w:before="120" w:after="0" w:line="360" w:lineRule="auto"/>
        <w:ind w:left="990"/>
        <w:rPr>
          <w:rFonts w:eastAsia="Calibri"/>
          <w:szCs w:val="22"/>
        </w:rPr>
      </w:pPr>
      <w:r w:rsidRPr="009A27ED">
        <w:rPr>
          <w:rFonts w:ascii="Times New Roman" w:eastAsia="Times New Roman" w:hAnsi="Times New Roman"/>
          <w:sz w:val="24"/>
          <w:szCs w:val="22"/>
        </w:rPr>
        <w:t>Ubicación física en el lugar afectado.</w:t>
      </w:r>
    </w:p>
    <w:p w14:paraId="31C32DE6" w14:textId="77777777" w:rsidR="00405040" w:rsidRPr="009A27ED" w:rsidRDefault="00405040" w:rsidP="00D42802">
      <w:pPr>
        <w:pStyle w:val="Prrafodelista"/>
        <w:numPr>
          <w:ilvl w:val="0"/>
          <w:numId w:val="74"/>
        </w:numPr>
        <w:spacing w:before="120" w:after="0" w:line="360" w:lineRule="auto"/>
        <w:ind w:left="990"/>
        <w:rPr>
          <w:rFonts w:eastAsia="Calibri"/>
          <w:szCs w:val="22"/>
        </w:rPr>
      </w:pPr>
      <w:r w:rsidRPr="009A27ED">
        <w:rPr>
          <w:rFonts w:ascii="Times New Roman" w:eastAsia="Times New Roman" w:hAnsi="Times New Roman"/>
          <w:sz w:val="24"/>
          <w:szCs w:val="22"/>
        </w:rPr>
        <w:t>Ser titular del derecho real sobre los predios a ser adquiridos, debidamente acreditado.</w:t>
      </w:r>
    </w:p>
    <w:p w14:paraId="27C4A680" w14:textId="77777777" w:rsidR="00405040" w:rsidRPr="009A27ED" w:rsidRDefault="00405040" w:rsidP="00D42802">
      <w:pPr>
        <w:pStyle w:val="Prrafodelista"/>
        <w:numPr>
          <w:ilvl w:val="0"/>
          <w:numId w:val="74"/>
        </w:numPr>
        <w:spacing w:before="120" w:after="0" w:line="360" w:lineRule="auto"/>
        <w:ind w:left="990"/>
        <w:rPr>
          <w:rFonts w:eastAsia="Calibri"/>
          <w:szCs w:val="22"/>
        </w:rPr>
      </w:pPr>
      <w:r w:rsidRPr="009A27ED">
        <w:rPr>
          <w:rFonts w:ascii="Times New Roman" w:eastAsia="Times New Roman" w:hAnsi="Times New Roman"/>
          <w:sz w:val="24"/>
          <w:szCs w:val="22"/>
        </w:rPr>
        <w:t>Tener contrato de alquiler, o permiso para desarrollar la actividad económica que en la actualidad realiza.</w:t>
      </w:r>
    </w:p>
    <w:p w14:paraId="3E343D17" w14:textId="77777777" w:rsidR="00405040" w:rsidRPr="009A27ED" w:rsidRDefault="00405040" w:rsidP="00D42802">
      <w:pPr>
        <w:pStyle w:val="Prrafodelista"/>
        <w:numPr>
          <w:ilvl w:val="0"/>
          <w:numId w:val="74"/>
        </w:numPr>
        <w:spacing w:before="120" w:after="0" w:line="360" w:lineRule="auto"/>
        <w:ind w:left="990"/>
        <w:rPr>
          <w:rFonts w:eastAsia="Calibri"/>
          <w:szCs w:val="22"/>
        </w:rPr>
      </w:pPr>
      <w:r w:rsidRPr="009A27ED">
        <w:rPr>
          <w:rFonts w:ascii="Times New Roman" w:eastAsia="Times New Roman" w:hAnsi="Times New Roman"/>
          <w:sz w:val="24"/>
          <w:szCs w:val="22"/>
        </w:rPr>
        <w:t>Estar registrado en el censo que se realice durante el estudio socioeconómico.</w:t>
      </w:r>
    </w:p>
    <w:p w14:paraId="751864DB" w14:textId="77777777" w:rsidR="00405040" w:rsidRPr="009A27ED" w:rsidRDefault="00405040" w:rsidP="00D42802">
      <w:pPr>
        <w:pStyle w:val="Prrafodelista"/>
        <w:numPr>
          <w:ilvl w:val="0"/>
          <w:numId w:val="74"/>
        </w:numPr>
        <w:spacing w:before="120" w:after="0" w:line="360" w:lineRule="auto"/>
        <w:ind w:left="990"/>
        <w:rPr>
          <w:rFonts w:eastAsia="Calibri"/>
          <w:szCs w:val="22"/>
        </w:rPr>
      </w:pPr>
      <w:r w:rsidRPr="009A27ED">
        <w:rPr>
          <w:rFonts w:ascii="Times New Roman" w:eastAsia="Times New Roman" w:hAnsi="Times New Roman"/>
          <w:sz w:val="24"/>
          <w:szCs w:val="22"/>
        </w:rPr>
        <w:t>Los que no tienen título de propiedad de la tierra, predio o inmueble al momento que se realice el censo, pero que tienen su reclamo a esa tierra o activo según las distintas formas de tenencia de la tierra reconocidas en República Dominicana, tales como los certificados provisorios de posesión y los que han otorgados los Programas y Proyectos (entidades Ejecutoras). Estos reclamos podrán ser identificados en el plan de reasentamiento.</w:t>
      </w:r>
    </w:p>
    <w:p w14:paraId="43E22D07" w14:textId="77777777" w:rsidR="00405040" w:rsidRPr="009A27ED" w:rsidRDefault="00405040" w:rsidP="00D42802">
      <w:pPr>
        <w:pStyle w:val="Prrafodelista"/>
        <w:numPr>
          <w:ilvl w:val="0"/>
          <w:numId w:val="74"/>
        </w:numPr>
        <w:spacing w:before="120" w:after="0" w:line="360" w:lineRule="auto"/>
        <w:ind w:left="990"/>
        <w:rPr>
          <w:rFonts w:eastAsia="Calibri"/>
          <w:szCs w:val="22"/>
        </w:rPr>
      </w:pPr>
      <w:r w:rsidRPr="009A27ED">
        <w:rPr>
          <w:rFonts w:ascii="Times New Roman" w:eastAsia="Times New Roman" w:hAnsi="Times New Roman"/>
          <w:sz w:val="24"/>
          <w:szCs w:val="22"/>
        </w:rPr>
        <w:t xml:space="preserve">Toda persona beneficiada debe estar en una lista de beneficiarios del reasentamiento, la que debe tener una fecha límite, información que debe ser </w:t>
      </w:r>
      <w:r w:rsidRPr="009A27ED">
        <w:rPr>
          <w:rFonts w:ascii="Times New Roman" w:eastAsia="Times New Roman" w:hAnsi="Times New Roman"/>
          <w:sz w:val="24"/>
          <w:szCs w:val="22"/>
        </w:rPr>
        <w:lastRenderedPageBreak/>
        <w:t>otorgada mediante anuncio en un diario local, en reuniones, o en un registro en cada oficina regional de las instituciones responsables del presente proyecto, el listado a publicar debe contener los nombres de los jefes de las unidades sociales con un número de identificación. Los listados deberán colocarse en lugar visible, donde los interesados puedan verificar su inscripción.</w:t>
      </w:r>
    </w:p>
    <w:p w14:paraId="61AE2DB0" w14:textId="77777777" w:rsidR="004B4775" w:rsidRPr="009A27ED" w:rsidRDefault="00405040" w:rsidP="00D42802">
      <w:pPr>
        <w:pStyle w:val="Prrafodelista"/>
        <w:numPr>
          <w:ilvl w:val="0"/>
          <w:numId w:val="74"/>
        </w:numPr>
        <w:autoSpaceDE w:val="0"/>
        <w:autoSpaceDN w:val="0"/>
        <w:adjustRightInd w:val="0"/>
        <w:spacing w:before="120" w:after="0" w:line="360" w:lineRule="auto"/>
        <w:ind w:left="990"/>
        <w:rPr>
          <w:szCs w:val="22"/>
        </w:rPr>
      </w:pPr>
      <w:r w:rsidRPr="009A27ED">
        <w:rPr>
          <w:rFonts w:ascii="Times New Roman" w:eastAsia="Times New Roman" w:hAnsi="Times New Roman"/>
          <w:sz w:val="24"/>
          <w:szCs w:val="22"/>
        </w:rPr>
        <w:t xml:space="preserve">Dar un tiempo límite no más de 20 días para corregir cualquier error de omisión producido durante el censo. </w:t>
      </w:r>
      <w:bookmarkStart w:id="700" w:name="_Toc530931975"/>
      <w:bookmarkStart w:id="701" w:name="_Toc530933124"/>
      <w:bookmarkStart w:id="702" w:name="_Toc532335896"/>
    </w:p>
    <w:p w14:paraId="5C70495F" w14:textId="1FE83ADF" w:rsidR="00405040" w:rsidRPr="009A27ED" w:rsidRDefault="00405040" w:rsidP="004B4775">
      <w:pPr>
        <w:autoSpaceDE w:val="0"/>
        <w:autoSpaceDN w:val="0"/>
        <w:adjustRightInd w:val="0"/>
        <w:spacing w:before="120" w:after="0" w:line="360" w:lineRule="auto"/>
        <w:rPr>
          <w:b/>
          <w:szCs w:val="22"/>
        </w:rPr>
      </w:pPr>
      <w:r w:rsidRPr="009A27ED">
        <w:rPr>
          <w:rFonts w:ascii="Times New Roman" w:eastAsia="Times New Roman" w:hAnsi="Times New Roman"/>
          <w:b/>
          <w:sz w:val="24"/>
        </w:rPr>
        <w:t>Etapa 2: Preparación del Plan de Reasentamiento Involuntario (PRI), del Plan de Reasentamiento Abreviado o Normas de Procedimiento</w:t>
      </w:r>
      <w:bookmarkEnd w:id="700"/>
      <w:bookmarkEnd w:id="701"/>
      <w:bookmarkEnd w:id="702"/>
    </w:p>
    <w:p w14:paraId="5ABBB413" w14:textId="77777777" w:rsidR="00405040" w:rsidRPr="009A27ED" w:rsidRDefault="00405040" w:rsidP="00405040">
      <w:pPr>
        <w:autoSpaceDE w:val="0"/>
        <w:autoSpaceDN w:val="0"/>
        <w:adjustRightInd w:val="0"/>
        <w:spacing w:before="120" w:after="0" w:line="360" w:lineRule="auto"/>
        <w:rPr>
          <w:szCs w:val="22"/>
        </w:rPr>
      </w:pPr>
      <w:r w:rsidRPr="009A27ED">
        <w:rPr>
          <w:rFonts w:ascii="Times New Roman" w:eastAsia="Times New Roman" w:hAnsi="Times New Roman"/>
          <w:sz w:val="24"/>
          <w:szCs w:val="22"/>
        </w:rPr>
        <w:t xml:space="preserve">Un </w:t>
      </w:r>
      <w:r w:rsidRPr="009A27ED">
        <w:rPr>
          <w:rFonts w:ascii="Times New Roman" w:eastAsia="Times New Roman" w:hAnsi="Times New Roman"/>
          <w:b/>
          <w:sz w:val="24"/>
          <w:szCs w:val="22"/>
        </w:rPr>
        <w:t>Plan de Reasentamiento (</w:t>
      </w:r>
      <w:proofErr w:type="spellStart"/>
      <w:r w:rsidRPr="009A27ED">
        <w:rPr>
          <w:rFonts w:ascii="Times New Roman" w:eastAsia="Times New Roman" w:hAnsi="Times New Roman"/>
          <w:b/>
          <w:sz w:val="24"/>
          <w:szCs w:val="22"/>
        </w:rPr>
        <w:t>PdR</w:t>
      </w:r>
      <w:proofErr w:type="spellEnd"/>
      <w:r w:rsidRPr="009A27ED">
        <w:rPr>
          <w:rFonts w:ascii="Times New Roman" w:eastAsia="Times New Roman" w:hAnsi="Times New Roman"/>
          <w:b/>
          <w:sz w:val="24"/>
          <w:szCs w:val="22"/>
        </w:rPr>
        <w:t>)</w:t>
      </w:r>
      <w:r w:rsidRPr="009A27ED">
        <w:rPr>
          <w:rFonts w:ascii="Times New Roman" w:eastAsia="Times New Roman" w:hAnsi="Times New Roman"/>
          <w:sz w:val="24"/>
          <w:szCs w:val="22"/>
        </w:rPr>
        <w:t xml:space="preserve"> es necesario para todas las operaciones que entrañen reasentamiento involuntario. En los casos en que los efectos en la totalidad de la población afectada por reasentamiento involuntario sean mínimos</w:t>
      </w:r>
      <w:r w:rsidRPr="009A27ED">
        <w:rPr>
          <w:rStyle w:val="Refdenotaalpie"/>
          <w:rFonts w:asciiTheme="minorHAnsi" w:eastAsia="Times New Roman" w:hAnsiTheme="minorHAnsi"/>
          <w:sz w:val="24"/>
          <w:szCs w:val="22"/>
        </w:rPr>
        <w:footnoteReference w:id="83"/>
      </w:r>
      <w:r w:rsidRPr="009A27ED">
        <w:rPr>
          <w:rFonts w:ascii="Times New Roman" w:eastAsia="Times New Roman" w:hAnsi="Times New Roman"/>
          <w:sz w:val="24"/>
          <w:szCs w:val="22"/>
        </w:rPr>
        <w:t xml:space="preserve">, o si el número de afectaciones es inferior a 200, se procederá con el diseño e implementación de un </w:t>
      </w:r>
      <w:r w:rsidRPr="009A27ED">
        <w:rPr>
          <w:rFonts w:ascii="Times New Roman" w:eastAsia="Times New Roman" w:hAnsi="Times New Roman"/>
          <w:b/>
          <w:sz w:val="24"/>
          <w:szCs w:val="22"/>
        </w:rPr>
        <w:t>Plan de Reasentamiento Abreviado</w:t>
      </w:r>
      <w:r w:rsidRPr="009A27ED">
        <w:rPr>
          <w:rStyle w:val="Refdenotaalpie"/>
          <w:rFonts w:asciiTheme="minorHAnsi" w:eastAsia="Times New Roman" w:hAnsiTheme="minorHAnsi"/>
          <w:b/>
          <w:sz w:val="24"/>
          <w:szCs w:val="22"/>
        </w:rPr>
        <w:footnoteReference w:id="84"/>
      </w:r>
      <w:r w:rsidRPr="009A27ED">
        <w:rPr>
          <w:rFonts w:ascii="Times New Roman" w:eastAsia="Times New Roman" w:hAnsi="Times New Roman"/>
          <w:sz w:val="24"/>
          <w:szCs w:val="22"/>
        </w:rPr>
        <w:t xml:space="preserve">. </w:t>
      </w:r>
    </w:p>
    <w:p w14:paraId="6DF832B0" w14:textId="3F1210C5" w:rsidR="00405040" w:rsidRPr="009A27ED" w:rsidRDefault="001B6C5C" w:rsidP="00405040">
      <w:pPr>
        <w:autoSpaceDE w:val="0"/>
        <w:autoSpaceDN w:val="0"/>
        <w:adjustRightInd w:val="0"/>
        <w:spacing w:before="120" w:after="0" w:line="360" w:lineRule="auto"/>
        <w:rPr>
          <w:szCs w:val="22"/>
        </w:rPr>
      </w:pPr>
      <w:r w:rsidRPr="009A27ED">
        <w:rPr>
          <w:rFonts w:ascii="Times New Roman" w:eastAsia="Times New Roman" w:hAnsi="Times New Roman"/>
          <w:sz w:val="24"/>
          <w:szCs w:val="22"/>
        </w:rPr>
        <w:t xml:space="preserve">Se preparará un </w:t>
      </w:r>
      <w:r w:rsidRPr="009A27ED">
        <w:rPr>
          <w:rFonts w:ascii="Times New Roman" w:eastAsia="Times New Roman" w:hAnsi="Times New Roman"/>
          <w:b/>
          <w:sz w:val="24"/>
          <w:szCs w:val="22"/>
        </w:rPr>
        <w:t>Plan de acción</w:t>
      </w:r>
      <w:r w:rsidRPr="009A27ED">
        <w:rPr>
          <w:rFonts w:ascii="Times New Roman" w:eastAsia="Times New Roman" w:hAnsi="Times New Roman"/>
          <w:sz w:val="24"/>
          <w:szCs w:val="22"/>
        </w:rPr>
        <w:t xml:space="preserve"> para las </w:t>
      </w:r>
      <w:r w:rsidRPr="009A27ED">
        <w:rPr>
          <w:rFonts w:ascii="Times New Roman" w:eastAsia="Times New Roman" w:hAnsi="Times New Roman"/>
          <w:b/>
          <w:sz w:val="24"/>
          <w:szCs w:val="22"/>
        </w:rPr>
        <w:t>Normas de Procedimiento</w:t>
      </w:r>
      <w:r w:rsidRPr="009A27ED">
        <w:rPr>
          <w:rFonts w:ascii="Times New Roman" w:eastAsia="Times New Roman" w:hAnsi="Times New Roman"/>
          <w:sz w:val="24"/>
          <w:szCs w:val="22"/>
        </w:rPr>
        <w:t xml:space="preserve"> cuando se trate de tipología de acciones que supongan una restricción involuntaria del acceso a recursos naturales en zonas designadas como unidades de conservación dentro del Sistema Nacional de Áreas Protegidas, o áreas protegidas por ley.</w:t>
      </w:r>
    </w:p>
    <w:p w14:paraId="65BD7874" w14:textId="77777777" w:rsidR="00405040" w:rsidRPr="009A27ED" w:rsidRDefault="00405040" w:rsidP="00405040">
      <w:pPr>
        <w:spacing w:before="120" w:after="0" w:line="360" w:lineRule="auto"/>
        <w:rPr>
          <w:szCs w:val="22"/>
        </w:rPr>
      </w:pPr>
      <w:r w:rsidRPr="009A27ED">
        <w:rPr>
          <w:rFonts w:ascii="Times New Roman" w:eastAsia="Times New Roman" w:hAnsi="Times New Roman"/>
          <w:sz w:val="24"/>
          <w:szCs w:val="22"/>
        </w:rPr>
        <w:t xml:space="preserve">El alcance y el nivel de detalle de los instrumentos de reasentamiento variarán según la magnitud y la complejidad del proceso de reasentamiento. Los instrumentos de reasentamiento serán implementados por las EE de las actividades específicas que tengan identificado un riesgo de reasentamiento, bajo la supervisión de la OCR. </w:t>
      </w:r>
    </w:p>
    <w:p w14:paraId="30C2F759" w14:textId="77777777" w:rsidR="00405040" w:rsidRPr="009A27ED" w:rsidRDefault="00405040" w:rsidP="00405040">
      <w:pPr>
        <w:autoSpaceDE w:val="0"/>
        <w:autoSpaceDN w:val="0"/>
        <w:adjustRightInd w:val="0"/>
        <w:spacing w:before="120" w:after="0" w:line="360" w:lineRule="auto"/>
        <w:rPr>
          <w:b/>
          <w:szCs w:val="22"/>
        </w:rPr>
      </w:pPr>
      <w:r w:rsidRPr="009A27ED">
        <w:rPr>
          <w:rFonts w:ascii="Times New Roman" w:eastAsia="Times New Roman" w:hAnsi="Times New Roman"/>
          <w:b/>
          <w:sz w:val="24"/>
          <w:szCs w:val="22"/>
        </w:rPr>
        <w:t>Planes de Reasentamiento Involuntario (PRI)</w:t>
      </w:r>
    </w:p>
    <w:p w14:paraId="4297D8D0" w14:textId="77777777" w:rsidR="00405040" w:rsidRPr="009A27ED" w:rsidRDefault="00405040" w:rsidP="00405040">
      <w:pPr>
        <w:autoSpaceDE w:val="0"/>
        <w:autoSpaceDN w:val="0"/>
        <w:adjustRightInd w:val="0"/>
        <w:spacing w:before="120" w:after="0" w:line="360" w:lineRule="auto"/>
        <w:ind w:firstLine="284"/>
        <w:rPr>
          <w:b/>
          <w:szCs w:val="22"/>
        </w:rPr>
      </w:pPr>
      <w:r w:rsidRPr="009A27ED">
        <w:rPr>
          <w:rFonts w:ascii="Times New Roman" w:eastAsia="Times New Roman" w:hAnsi="Times New Roman"/>
          <w:b/>
          <w:sz w:val="24"/>
          <w:szCs w:val="22"/>
        </w:rPr>
        <w:t xml:space="preserve">De manera general, se espera que el PRI: </w:t>
      </w:r>
    </w:p>
    <w:p w14:paraId="56658857" w14:textId="77777777" w:rsidR="00405040" w:rsidRPr="009A27ED" w:rsidRDefault="00405040" w:rsidP="00D42802">
      <w:pPr>
        <w:pStyle w:val="Prrafodelista"/>
        <w:numPr>
          <w:ilvl w:val="0"/>
          <w:numId w:val="75"/>
        </w:numPr>
        <w:autoSpaceDE w:val="0"/>
        <w:autoSpaceDN w:val="0"/>
        <w:adjustRightInd w:val="0"/>
        <w:spacing w:before="120" w:after="0" w:line="360" w:lineRule="auto"/>
        <w:rPr>
          <w:b/>
          <w:i/>
          <w:szCs w:val="22"/>
          <w:lang w:val="es-ES"/>
        </w:rPr>
      </w:pPr>
      <w:r w:rsidRPr="009A27ED">
        <w:rPr>
          <w:rFonts w:ascii="Times New Roman" w:eastAsia="Times New Roman" w:hAnsi="Times New Roman"/>
          <w:sz w:val="24"/>
          <w:szCs w:val="22"/>
          <w:lang w:val="es-ES"/>
        </w:rPr>
        <w:lastRenderedPageBreak/>
        <w:t>Garantice la entrega de información a las personas desplazadas sobre las opciones y derechos; la consulta adecuada sobre las distintas opciones técnicas y económicas viables; y la entrega de una indemnización rápida y efectiva equivalente al costo total de reposición por la pérdida de activos atribuibles al proyecto.</w:t>
      </w:r>
    </w:p>
    <w:p w14:paraId="102C5736" w14:textId="77777777" w:rsidR="00405040" w:rsidRPr="009A27ED" w:rsidRDefault="00405040" w:rsidP="00D42802">
      <w:pPr>
        <w:pStyle w:val="Prrafodelista"/>
        <w:numPr>
          <w:ilvl w:val="0"/>
          <w:numId w:val="75"/>
        </w:numPr>
        <w:autoSpaceDE w:val="0"/>
        <w:autoSpaceDN w:val="0"/>
        <w:adjustRightInd w:val="0"/>
        <w:spacing w:before="120" w:after="0" w:line="360" w:lineRule="auto"/>
        <w:rPr>
          <w:b/>
          <w:i/>
          <w:szCs w:val="22"/>
          <w:lang w:val="es-ES"/>
        </w:rPr>
      </w:pPr>
      <w:r w:rsidRPr="009A27ED">
        <w:rPr>
          <w:rFonts w:ascii="Times New Roman" w:eastAsia="Times New Roman" w:hAnsi="Times New Roman"/>
          <w:sz w:val="24"/>
          <w:szCs w:val="22"/>
          <w:lang w:val="es-ES"/>
        </w:rPr>
        <w:t>Prevea medidas para el traslado físico y garantice la asistencia durante el traslado y la entrega de viviendas y activos equivalentes a las del lugar de donde fueron desplazadas a causa de las acciones del proyecto.</w:t>
      </w:r>
    </w:p>
    <w:p w14:paraId="101A71C9" w14:textId="77777777" w:rsidR="00405040" w:rsidRPr="009A27ED" w:rsidRDefault="00405040" w:rsidP="00D42802">
      <w:pPr>
        <w:pStyle w:val="Prrafodelista"/>
        <w:numPr>
          <w:ilvl w:val="0"/>
          <w:numId w:val="75"/>
        </w:numPr>
        <w:autoSpaceDE w:val="0"/>
        <w:autoSpaceDN w:val="0"/>
        <w:adjustRightInd w:val="0"/>
        <w:spacing w:before="120" w:after="0" w:line="360" w:lineRule="auto"/>
        <w:rPr>
          <w:szCs w:val="22"/>
          <w:lang w:val="es-ES"/>
        </w:rPr>
      </w:pPr>
      <w:r w:rsidRPr="009A27ED">
        <w:rPr>
          <w:rFonts w:ascii="Times New Roman" w:eastAsia="Times New Roman" w:hAnsi="Times New Roman"/>
          <w:sz w:val="24"/>
          <w:szCs w:val="22"/>
          <w:lang w:val="es-ES"/>
        </w:rPr>
        <w:t>Incluya medidas para asegurar que a las personas desplazadas se les ofrezca: apoyo después del desplazamiento y para un periodo de transición adecuado basado en una estimación prudente del tiempo que necesiten para restablecer sus medios de subsistencia y sus niveles de vida, y asistencia para el desarrollo y otras medidas de compensación aplicables, tales como preparación de la tierra, facilidades de crédito, capacitación u oportunidades de empleo.</w:t>
      </w:r>
    </w:p>
    <w:p w14:paraId="618BE437" w14:textId="77777777" w:rsidR="00405040" w:rsidRPr="009A27ED" w:rsidRDefault="00405040" w:rsidP="00405040">
      <w:pPr>
        <w:autoSpaceDE w:val="0"/>
        <w:autoSpaceDN w:val="0"/>
        <w:adjustRightInd w:val="0"/>
        <w:spacing w:before="120" w:after="0" w:line="360" w:lineRule="auto"/>
        <w:rPr>
          <w:color w:val="000000" w:themeColor="text1"/>
          <w:szCs w:val="22"/>
        </w:rPr>
      </w:pPr>
      <w:r w:rsidRPr="009A27ED">
        <w:rPr>
          <w:rFonts w:ascii="Times New Roman" w:eastAsia="Times New Roman" w:hAnsi="Times New Roman"/>
          <w:color w:val="000000" w:themeColor="text1"/>
          <w:sz w:val="24"/>
          <w:szCs w:val="22"/>
        </w:rPr>
        <w:t>El plan se basará en información actualizada y fiable sobre:</w:t>
      </w:r>
    </w:p>
    <w:p w14:paraId="4EBEF4A9" w14:textId="77777777" w:rsidR="00405040" w:rsidRPr="009A27ED" w:rsidRDefault="00405040" w:rsidP="00D42802">
      <w:pPr>
        <w:pStyle w:val="Prrafodelista"/>
        <w:numPr>
          <w:ilvl w:val="0"/>
          <w:numId w:val="18"/>
        </w:numPr>
        <w:autoSpaceDE w:val="0"/>
        <w:autoSpaceDN w:val="0"/>
        <w:adjustRightInd w:val="0"/>
        <w:spacing w:before="120" w:after="0" w:line="360" w:lineRule="auto"/>
        <w:rPr>
          <w:color w:val="000000" w:themeColor="text1"/>
          <w:szCs w:val="22"/>
          <w:lang w:val="es-ES"/>
        </w:rPr>
      </w:pPr>
      <w:r w:rsidRPr="009A27ED">
        <w:rPr>
          <w:rFonts w:ascii="Times New Roman" w:eastAsia="Times New Roman" w:hAnsi="Times New Roman"/>
          <w:color w:val="000000" w:themeColor="text1"/>
          <w:sz w:val="24"/>
          <w:szCs w:val="22"/>
          <w:lang w:val="es-ES"/>
        </w:rPr>
        <w:t xml:space="preserve">el reasentamiento propuesto y sus efectos sobre las personas desplazadas y otros grupos afectados negativamente, y </w:t>
      </w:r>
    </w:p>
    <w:p w14:paraId="0EBCD9B4" w14:textId="77777777" w:rsidR="00405040" w:rsidRPr="009A27ED" w:rsidRDefault="00405040" w:rsidP="00D42802">
      <w:pPr>
        <w:pStyle w:val="Prrafodelista"/>
        <w:numPr>
          <w:ilvl w:val="0"/>
          <w:numId w:val="18"/>
        </w:numPr>
        <w:autoSpaceDE w:val="0"/>
        <w:autoSpaceDN w:val="0"/>
        <w:adjustRightInd w:val="0"/>
        <w:spacing w:before="120" w:after="0" w:line="360" w:lineRule="auto"/>
        <w:rPr>
          <w:color w:val="000000" w:themeColor="text1"/>
          <w:szCs w:val="22"/>
          <w:lang w:val="es-ES"/>
        </w:rPr>
      </w:pPr>
      <w:r w:rsidRPr="009A27ED">
        <w:rPr>
          <w:rFonts w:ascii="Times New Roman" w:eastAsia="Times New Roman" w:hAnsi="Times New Roman"/>
          <w:color w:val="000000" w:themeColor="text1"/>
          <w:sz w:val="24"/>
          <w:szCs w:val="22"/>
          <w:lang w:val="es-ES"/>
        </w:rPr>
        <w:t xml:space="preserve">las cuestiones jurídicas que plantea el reasentamiento. El plan de reasentamiento comprenderá, según el caso, los elementos a continuación. </w:t>
      </w:r>
    </w:p>
    <w:p w14:paraId="7DF88DDA" w14:textId="77777777" w:rsidR="00405040" w:rsidRPr="009A27ED" w:rsidRDefault="00405040" w:rsidP="00405040">
      <w:pPr>
        <w:spacing w:before="120" w:after="0" w:line="360" w:lineRule="auto"/>
        <w:rPr>
          <w:szCs w:val="22"/>
        </w:rPr>
      </w:pPr>
      <w:r w:rsidRPr="009A27ED">
        <w:rPr>
          <w:rFonts w:ascii="Times New Roman" w:eastAsia="Times New Roman" w:hAnsi="Times New Roman"/>
          <w:sz w:val="24"/>
          <w:szCs w:val="22"/>
        </w:rPr>
        <w:t>El plan de reasentamiento debe describir claramente</w:t>
      </w:r>
    </w:p>
    <w:p w14:paraId="4366DEA1" w14:textId="77777777" w:rsidR="00405040" w:rsidRPr="009A27ED" w:rsidRDefault="00405040" w:rsidP="00D42802">
      <w:pPr>
        <w:pStyle w:val="Prrafodelista"/>
        <w:numPr>
          <w:ilvl w:val="0"/>
          <w:numId w:val="76"/>
        </w:numPr>
        <w:spacing w:before="120" w:after="0" w:line="360" w:lineRule="auto"/>
        <w:rPr>
          <w:szCs w:val="22"/>
        </w:rPr>
      </w:pPr>
      <w:r w:rsidRPr="009A27ED">
        <w:rPr>
          <w:rFonts w:ascii="Times New Roman" w:eastAsia="Times New Roman" w:hAnsi="Times New Roman"/>
          <w:sz w:val="24"/>
          <w:szCs w:val="22"/>
        </w:rPr>
        <w:t xml:space="preserve">los procedimientos de compensación; </w:t>
      </w:r>
    </w:p>
    <w:p w14:paraId="5C7798D5" w14:textId="77777777" w:rsidR="00405040" w:rsidRPr="009A27ED" w:rsidRDefault="00405040" w:rsidP="00D42802">
      <w:pPr>
        <w:pStyle w:val="Prrafodelista"/>
        <w:numPr>
          <w:ilvl w:val="0"/>
          <w:numId w:val="76"/>
        </w:numPr>
        <w:spacing w:before="120" w:after="0" w:line="360" w:lineRule="auto"/>
        <w:rPr>
          <w:szCs w:val="22"/>
        </w:rPr>
      </w:pPr>
      <w:r w:rsidRPr="009A27ED">
        <w:rPr>
          <w:rFonts w:ascii="Times New Roman" w:eastAsia="Times New Roman" w:hAnsi="Times New Roman"/>
          <w:sz w:val="24"/>
          <w:szCs w:val="22"/>
        </w:rPr>
        <w:t xml:space="preserve">la base jurídica y los procedimientos para la expropiación de tierras y bienes; y </w:t>
      </w:r>
    </w:p>
    <w:p w14:paraId="732F151E" w14:textId="77777777" w:rsidR="00405040" w:rsidRPr="009A27ED" w:rsidRDefault="00405040" w:rsidP="00D42802">
      <w:pPr>
        <w:pStyle w:val="Prrafodelista"/>
        <w:numPr>
          <w:ilvl w:val="0"/>
          <w:numId w:val="76"/>
        </w:numPr>
        <w:spacing w:before="120" w:after="0" w:line="360" w:lineRule="auto"/>
        <w:rPr>
          <w:szCs w:val="22"/>
        </w:rPr>
      </w:pPr>
      <w:r w:rsidRPr="009A27ED">
        <w:rPr>
          <w:rFonts w:ascii="Times New Roman" w:eastAsia="Times New Roman" w:hAnsi="Times New Roman"/>
          <w:sz w:val="24"/>
          <w:szCs w:val="22"/>
        </w:rPr>
        <w:t xml:space="preserve">la compensación correspondiente. </w:t>
      </w:r>
    </w:p>
    <w:p w14:paraId="704A15C2" w14:textId="77777777" w:rsidR="00405040" w:rsidRPr="009A27ED" w:rsidRDefault="00405040" w:rsidP="00405040">
      <w:pPr>
        <w:spacing w:before="120" w:after="0" w:line="360" w:lineRule="auto"/>
        <w:rPr>
          <w:szCs w:val="22"/>
        </w:rPr>
      </w:pPr>
      <w:r w:rsidRPr="009A27ED">
        <w:rPr>
          <w:rFonts w:ascii="Times New Roman" w:eastAsia="Times New Roman" w:hAnsi="Times New Roman"/>
          <w:sz w:val="24"/>
          <w:szCs w:val="22"/>
        </w:rPr>
        <w:t xml:space="preserve">Se debe fijar un calendario para el registro, la tasación, la indemnización y la expropiación de los bienes afectados. El PRI se debe preparar con la participación efectiva de las partes afectadas. </w:t>
      </w:r>
    </w:p>
    <w:p w14:paraId="6531A90A" w14:textId="77777777" w:rsidR="00405040" w:rsidRPr="009A27ED" w:rsidRDefault="00405040" w:rsidP="00405040">
      <w:pPr>
        <w:spacing w:before="120" w:after="0" w:line="360" w:lineRule="auto"/>
        <w:rPr>
          <w:szCs w:val="22"/>
        </w:rPr>
      </w:pPr>
      <w:r w:rsidRPr="009A27ED">
        <w:rPr>
          <w:rFonts w:ascii="Times New Roman" w:eastAsia="Times New Roman" w:hAnsi="Times New Roman"/>
          <w:sz w:val="24"/>
          <w:szCs w:val="22"/>
        </w:rPr>
        <w:t xml:space="preserve">El plan de reasentamiento comprenderá, según el caso: </w:t>
      </w:r>
    </w:p>
    <w:p w14:paraId="3D2EBE53" w14:textId="77777777" w:rsidR="00405040" w:rsidRPr="009A27ED" w:rsidRDefault="00405040" w:rsidP="00405040">
      <w:pPr>
        <w:autoSpaceDE w:val="0"/>
        <w:autoSpaceDN w:val="0"/>
        <w:adjustRightInd w:val="0"/>
        <w:spacing w:before="120" w:after="0" w:line="360" w:lineRule="auto"/>
        <w:rPr>
          <w:b/>
          <w:bCs/>
          <w:color w:val="000000"/>
          <w:szCs w:val="22"/>
        </w:rPr>
      </w:pPr>
      <w:r w:rsidRPr="009A27ED">
        <w:rPr>
          <w:rFonts w:ascii="Times New Roman" w:eastAsia="Times New Roman" w:hAnsi="Times New Roman"/>
          <w:b/>
          <w:bCs/>
          <w:color w:val="000000"/>
          <w:sz w:val="24"/>
          <w:szCs w:val="22"/>
        </w:rPr>
        <w:t>Plan de reasentamiento</w:t>
      </w:r>
    </w:p>
    <w:p w14:paraId="454839E3" w14:textId="77777777" w:rsidR="00405040" w:rsidRPr="009A27ED" w:rsidRDefault="00405040" w:rsidP="00405040">
      <w:pPr>
        <w:autoSpaceDE w:val="0"/>
        <w:autoSpaceDN w:val="0"/>
        <w:adjustRightInd w:val="0"/>
        <w:spacing w:before="120" w:after="0" w:line="360" w:lineRule="auto"/>
        <w:rPr>
          <w:szCs w:val="22"/>
        </w:rPr>
      </w:pPr>
      <w:r w:rsidRPr="009A27ED">
        <w:rPr>
          <w:rFonts w:ascii="Times New Roman" w:eastAsia="Times New Roman" w:hAnsi="Times New Roman"/>
          <w:sz w:val="24"/>
          <w:szCs w:val="22"/>
        </w:rPr>
        <w:t xml:space="preserve">El alcance y el nivel de detalle del plan de reasentamiento variarán según la magnitud y la complejidad del reasentamiento. El plan se basará en información actualizada y fiable sobre </w:t>
      </w:r>
      <w:r w:rsidRPr="009A27ED">
        <w:rPr>
          <w:rFonts w:ascii="Times New Roman" w:eastAsia="Times New Roman" w:hAnsi="Times New Roman"/>
          <w:sz w:val="24"/>
          <w:szCs w:val="22"/>
        </w:rPr>
        <w:lastRenderedPageBreak/>
        <w:t>a) el reasentamiento propuesto y sus efectos sobre las personas desplazadas y otros grupos afectados negativamente, y b) las cuestiones jurídicas que plantea el reasentamiento. El plan de reasentamiento comprenderá, según el caso, los elementos a continuación. Si alguno de los elementos no guarda relación con las circunstancias del proyecto, se deberá señalar ese hecho en el plan de reasentamiento.</w:t>
      </w:r>
    </w:p>
    <w:p w14:paraId="7EE19B18" w14:textId="77777777" w:rsidR="00405040" w:rsidRPr="009A27ED" w:rsidRDefault="00405040" w:rsidP="00405040">
      <w:pPr>
        <w:autoSpaceDE w:val="0"/>
        <w:autoSpaceDN w:val="0"/>
        <w:adjustRightInd w:val="0"/>
        <w:spacing w:before="120" w:after="0" w:line="360" w:lineRule="auto"/>
        <w:rPr>
          <w:color w:val="000000"/>
          <w:szCs w:val="22"/>
        </w:rPr>
      </w:pPr>
      <w:r w:rsidRPr="009A27ED">
        <w:rPr>
          <w:rFonts w:ascii="Times New Roman" w:eastAsia="Times New Roman" w:hAnsi="Times New Roman"/>
          <w:i/>
          <w:iCs/>
          <w:color w:val="000000"/>
          <w:sz w:val="24"/>
          <w:szCs w:val="22"/>
          <w:u w:val="single"/>
        </w:rPr>
        <w:t xml:space="preserve">Descripción de la acción específica REDD+: </w:t>
      </w:r>
      <w:r w:rsidRPr="009A27ED">
        <w:rPr>
          <w:rFonts w:ascii="Times New Roman" w:eastAsia="Times New Roman" w:hAnsi="Times New Roman"/>
          <w:color w:val="000000"/>
          <w:sz w:val="24"/>
          <w:szCs w:val="22"/>
        </w:rPr>
        <w:t xml:space="preserve">Descripción general del proyecto e identificación de la zona del proyecto. </w:t>
      </w:r>
    </w:p>
    <w:p w14:paraId="3007DB8F" w14:textId="77777777" w:rsidR="00405040" w:rsidRPr="009A27ED" w:rsidRDefault="00405040" w:rsidP="00405040">
      <w:pPr>
        <w:autoSpaceDE w:val="0"/>
        <w:autoSpaceDN w:val="0"/>
        <w:adjustRightInd w:val="0"/>
        <w:spacing w:before="120" w:after="0" w:line="360" w:lineRule="auto"/>
        <w:rPr>
          <w:color w:val="000000"/>
          <w:szCs w:val="22"/>
        </w:rPr>
      </w:pPr>
      <w:r w:rsidRPr="009A27ED">
        <w:rPr>
          <w:rFonts w:ascii="Times New Roman" w:eastAsia="Times New Roman" w:hAnsi="Times New Roman"/>
          <w:i/>
          <w:iCs/>
          <w:color w:val="000000"/>
          <w:sz w:val="24"/>
          <w:szCs w:val="22"/>
          <w:u w:val="single"/>
        </w:rPr>
        <w:t>Posibles efectos</w:t>
      </w:r>
      <w:r w:rsidRPr="009A27ED">
        <w:rPr>
          <w:rFonts w:ascii="Times New Roman" w:eastAsia="Times New Roman" w:hAnsi="Times New Roman"/>
          <w:color w:val="000000"/>
          <w:sz w:val="24"/>
          <w:szCs w:val="22"/>
        </w:rPr>
        <w:t>. Identificación de:</w:t>
      </w:r>
    </w:p>
    <w:p w14:paraId="387ECFE5" w14:textId="77777777" w:rsidR="00405040" w:rsidRPr="009A27ED" w:rsidRDefault="00405040" w:rsidP="00405040">
      <w:pPr>
        <w:autoSpaceDE w:val="0"/>
        <w:autoSpaceDN w:val="0"/>
        <w:adjustRightInd w:val="0"/>
        <w:spacing w:before="120" w:after="0" w:line="360" w:lineRule="auto"/>
        <w:ind w:firstLine="720"/>
        <w:rPr>
          <w:color w:val="000000" w:themeColor="text1"/>
          <w:szCs w:val="22"/>
        </w:rPr>
      </w:pPr>
      <w:r w:rsidRPr="009A27ED">
        <w:rPr>
          <w:rFonts w:ascii="Times New Roman" w:eastAsia="Times New Roman" w:hAnsi="Times New Roman"/>
          <w:color w:val="000000" w:themeColor="text1"/>
          <w:sz w:val="24"/>
          <w:szCs w:val="22"/>
        </w:rPr>
        <w:t>a) el componente o las actividades del proyecto que dan origen a reasentamiento;</w:t>
      </w:r>
    </w:p>
    <w:p w14:paraId="73FA60F3" w14:textId="77777777" w:rsidR="00405040" w:rsidRPr="009A27ED" w:rsidRDefault="00405040" w:rsidP="00405040">
      <w:pPr>
        <w:autoSpaceDE w:val="0"/>
        <w:autoSpaceDN w:val="0"/>
        <w:adjustRightInd w:val="0"/>
        <w:spacing w:before="120" w:after="0" w:line="360" w:lineRule="auto"/>
        <w:ind w:firstLine="720"/>
        <w:rPr>
          <w:color w:val="000000" w:themeColor="text1"/>
          <w:szCs w:val="22"/>
        </w:rPr>
      </w:pPr>
      <w:r w:rsidRPr="009A27ED">
        <w:rPr>
          <w:rFonts w:ascii="Times New Roman" w:eastAsia="Times New Roman" w:hAnsi="Times New Roman"/>
          <w:color w:val="000000" w:themeColor="text1"/>
          <w:sz w:val="24"/>
          <w:szCs w:val="22"/>
        </w:rPr>
        <w:t>b) la zona de impacto del componente o de las actividades;</w:t>
      </w:r>
    </w:p>
    <w:p w14:paraId="67664588" w14:textId="77777777" w:rsidR="00405040" w:rsidRPr="009A27ED" w:rsidRDefault="00405040" w:rsidP="00405040">
      <w:pPr>
        <w:autoSpaceDE w:val="0"/>
        <w:autoSpaceDN w:val="0"/>
        <w:adjustRightInd w:val="0"/>
        <w:spacing w:before="120" w:after="0" w:line="360" w:lineRule="auto"/>
        <w:ind w:firstLine="720"/>
        <w:rPr>
          <w:color w:val="000000" w:themeColor="text1"/>
          <w:szCs w:val="22"/>
        </w:rPr>
      </w:pPr>
      <w:r w:rsidRPr="009A27ED">
        <w:rPr>
          <w:rFonts w:ascii="Times New Roman" w:eastAsia="Times New Roman" w:hAnsi="Times New Roman"/>
          <w:color w:val="000000" w:themeColor="text1"/>
          <w:sz w:val="24"/>
          <w:szCs w:val="22"/>
        </w:rPr>
        <w:t>c) las alternativas estudiadas para evitar o reducir al mínimo el reasentamiento, y</w:t>
      </w:r>
    </w:p>
    <w:p w14:paraId="59866AF7" w14:textId="77777777" w:rsidR="00405040" w:rsidRPr="009A27ED" w:rsidRDefault="00405040" w:rsidP="00405040">
      <w:pPr>
        <w:autoSpaceDE w:val="0"/>
        <w:autoSpaceDN w:val="0"/>
        <w:adjustRightInd w:val="0"/>
        <w:spacing w:before="120" w:after="0" w:line="360" w:lineRule="auto"/>
        <w:ind w:left="720"/>
        <w:rPr>
          <w:color w:val="000000" w:themeColor="text1"/>
          <w:szCs w:val="22"/>
        </w:rPr>
      </w:pPr>
      <w:r w:rsidRPr="009A27ED">
        <w:rPr>
          <w:rFonts w:ascii="Times New Roman" w:eastAsia="Times New Roman" w:hAnsi="Times New Roman"/>
          <w:color w:val="000000" w:themeColor="text1"/>
          <w:sz w:val="24"/>
          <w:szCs w:val="22"/>
        </w:rPr>
        <w:t>d) los mecanismos establecidos para reducir al mínimo el reasentamiento durante la ejecución del proyecto, dentro de lo posible.</w:t>
      </w:r>
    </w:p>
    <w:p w14:paraId="14C2698A" w14:textId="77777777" w:rsidR="00405040" w:rsidRPr="009A27ED" w:rsidRDefault="00405040" w:rsidP="00405040">
      <w:pPr>
        <w:autoSpaceDE w:val="0"/>
        <w:autoSpaceDN w:val="0"/>
        <w:adjustRightInd w:val="0"/>
        <w:spacing w:before="120" w:after="0" w:line="360" w:lineRule="auto"/>
        <w:rPr>
          <w:color w:val="000000"/>
          <w:szCs w:val="22"/>
        </w:rPr>
      </w:pPr>
      <w:r w:rsidRPr="009A27ED">
        <w:rPr>
          <w:rFonts w:ascii="Times New Roman" w:eastAsia="Times New Roman" w:hAnsi="Times New Roman"/>
          <w:i/>
          <w:iCs/>
          <w:color w:val="000000"/>
          <w:sz w:val="24"/>
          <w:szCs w:val="22"/>
          <w:u w:val="single"/>
        </w:rPr>
        <w:t>Objetivos</w:t>
      </w:r>
      <w:r w:rsidRPr="009A27ED">
        <w:rPr>
          <w:rFonts w:ascii="Times New Roman" w:eastAsia="Times New Roman" w:hAnsi="Times New Roman"/>
          <w:color w:val="000000"/>
          <w:sz w:val="24"/>
          <w:szCs w:val="22"/>
        </w:rPr>
        <w:t>. Los principales objetivos del programa de reasentamiento.</w:t>
      </w:r>
    </w:p>
    <w:p w14:paraId="01578484" w14:textId="77777777" w:rsidR="00405040" w:rsidRPr="009A27ED" w:rsidRDefault="00405040" w:rsidP="00405040">
      <w:pPr>
        <w:autoSpaceDE w:val="0"/>
        <w:autoSpaceDN w:val="0"/>
        <w:adjustRightInd w:val="0"/>
        <w:spacing w:before="120" w:after="0" w:line="360" w:lineRule="auto"/>
        <w:rPr>
          <w:color w:val="000000" w:themeColor="text1"/>
          <w:szCs w:val="22"/>
        </w:rPr>
      </w:pPr>
      <w:r w:rsidRPr="009A27ED">
        <w:rPr>
          <w:rFonts w:ascii="Times New Roman" w:eastAsia="Times New Roman" w:hAnsi="Times New Roman"/>
          <w:i/>
          <w:iCs/>
          <w:color w:val="000000" w:themeColor="text1"/>
          <w:sz w:val="24"/>
          <w:szCs w:val="22"/>
          <w:u w:val="single"/>
        </w:rPr>
        <w:t>Estudios socioeconómicos</w:t>
      </w:r>
      <w:r w:rsidRPr="009A27ED">
        <w:rPr>
          <w:rFonts w:ascii="Times New Roman" w:eastAsia="Times New Roman" w:hAnsi="Times New Roman"/>
          <w:color w:val="000000" w:themeColor="text1"/>
          <w:sz w:val="24"/>
          <w:szCs w:val="22"/>
        </w:rPr>
        <w:t xml:space="preserve">. Las conclusiones de los estudios socioeconómicos que se dan durante las primeras etapas de la preparación de la </w:t>
      </w:r>
      <w:r w:rsidRPr="009A27ED">
        <w:rPr>
          <w:rFonts w:ascii="Times New Roman" w:eastAsia="Times New Roman" w:hAnsi="Times New Roman"/>
          <w:i/>
          <w:color w:val="000000" w:themeColor="text1"/>
          <w:sz w:val="24"/>
          <w:szCs w:val="22"/>
        </w:rPr>
        <w:t>actividad específica</w:t>
      </w:r>
      <w:r w:rsidRPr="009A27ED">
        <w:rPr>
          <w:rFonts w:ascii="Times New Roman" w:eastAsia="Times New Roman" w:hAnsi="Times New Roman"/>
          <w:color w:val="000000" w:themeColor="text1"/>
          <w:sz w:val="24"/>
          <w:szCs w:val="22"/>
        </w:rPr>
        <w:t xml:space="preserve"> y con la participación de las personas que posiblemente resultarán desplazadas, lo que incluye:</w:t>
      </w:r>
    </w:p>
    <w:p w14:paraId="158363F8" w14:textId="77777777" w:rsidR="00405040" w:rsidRPr="009A27ED" w:rsidRDefault="00405040" w:rsidP="00405040">
      <w:pPr>
        <w:autoSpaceDE w:val="0"/>
        <w:autoSpaceDN w:val="0"/>
        <w:adjustRightInd w:val="0"/>
        <w:spacing w:before="120" w:after="0" w:line="360" w:lineRule="auto"/>
        <w:rPr>
          <w:color w:val="000000" w:themeColor="text1"/>
          <w:szCs w:val="22"/>
        </w:rPr>
      </w:pPr>
      <w:r w:rsidRPr="009A27ED">
        <w:rPr>
          <w:rFonts w:ascii="Times New Roman" w:eastAsia="Times New Roman" w:hAnsi="Times New Roman"/>
          <w:color w:val="000000"/>
          <w:sz w:val="24"/>
          <w:szCs w:val="22"/>
        </w:rPr>
        <w:t xml:space="preserve">Los resultados de </w:t>
      </w:r>
      <w:r w:rsidRPr="009A27ED">
        <w:rPr>
          <w:rFonts w:ascii="Times New Roman" w:eastAsia="Times New Roman" w:hAnsi="Times New Roman"/>
          <w:color w:val="000000" w:themeColor="text1"/>
          <w:sz w:val="24"/>
          <w:szCs w:val="22"/>
        </w:rPr>
        <w:t>un censo sobre:</w:t>
      </w:r>
    </w:p>
    <w:p w14:paraId="6C9ED46B" w14:textId="77777777" w:rsidR="00405040" w:rsidRPr="009A27ED" w:rsidRDefault="00405040" w:rsidP="00405040">
      <w:pPr>
        <w:autoSpaceDE w:val="0"/>
        <w:autoSpaceDN w:val="0"/>
        <w:adjustRightInd w:val="0"/>
        <w:spacing w:before="120" w:after="0" w:line="360" w:lineRule="auto"/>
        <w:ind w:left="720"/>
        <w:rPr>
          <w:color w:val="000000" w:themeColor="text1"/>
          <w:szCs w:val="22"/>
        </w:rPr>
      </w:pPr>
      <w:r w:rsidRPr="009A27ED">
        <w:rPr>
          <w:rFonts w:ascii="Times New Roman" w:eastAsia="Times New Roman" w:hAnsi="Times New Roman"/>
          <w:color w:val="000000" w:themeColor="text1"/>
          <w:sz w:val="24"/>
          <w:szCs w:val="22"/>
        </w:rPr>
        <w:t>i) los ocupantes actuales de la zona afectada, con el fin de establecer una base para la formulación del programa de reasentamiento y de evitar que las personas que se establezcan en la zona posteriormente puedan acogerse al pago de indemnización y recibir asistencia para el reasentamiento;</w:t>
      </w:r>
    </w:p>
    <w:p w14:paraId="24480279" w14:textId="77777777" w:rsidR="00405040" w:rsidRPr="009A27ED" w:rsidRDefault="00405040" w:rsidP="00405040">
      <w:pPr>
        <w:tabs>
          <w:tab w:val="left" w:pos="720"/>
        </w:tabs>
        <w:autoSpaceDE w:val="0"/>
        <w:autoSpaceDN w:val="0"/>
        <w:adjustRightInd w:val="0"/>
        <w:spacing w:before="120" w:after="0" w:line="360" w:lineRule="auto"/>
        <w:ind w:left="720"/>
        <w:rPr>
          <w:color w:val="000000"/>
          <w:szCs w:val="22"/>
        </w:rPr>
      </w:pPr>
      <w:proofErr w:type="spellStart"/>
      <w:r w:rsidRPr="009A27ED">
        <w:rPr>
          <w:rFonts w:ascii="Times New Roman" w:eastAsia="Times New Roman" w:hAnsi="Times New Roman"/>
          <w:color w:val="000000" w:themeColor="text1"/>
          <w:sz w:val="24"/>
          <w:szCs w:val="22"/>
        </w:rPr>
        <w:t>ii</w:t>
      </w:r>
      <w:proofErr w:type="spellEnd"/>
      <w:r w:rsidRPr="009A27ED">
        <w:rPr>
          <w:rFonts w:ascii="Times New Roman" w:eastAsia="Times New Roman" w:hAnsi="Times New Roman"/>
          <w:color w:val="000000" w:themeColor="text1"/>
          <w:sz w:val="24"/>
          <w:szCs w:val="22"/>
        </w:rPr>
        <w:t xml:space="preserve">) las características típicas de las unidades familiares desplazadas, en particular una descripción de los sistemas de producción, la mano de obra y la organización familiar; e información sobre los medios de subsistencia (en particular, los niveles de producción y los ingresos derivados de </w:t>
      </w:r>
      <w:r w:rsidRPr="009A27ED">
        <w:rPr>
          <w:rFonts w:ascii="Times New Roman" w:eastAsia="Times New Roman" w:hAnsi="Times New Roman"/>
          <w:color w:val="000000"/>
          <w:sz w:val="24"/>
          <w:szCs w:val="22"/>
        </w:rPr>
        <w:t>actividades económicas tanto formales como informales) y los niveles de vida (inclusive el estado de salud) de la población desplazada;</w:t>
      </w:r>
    </w:p>
    <w:p w14:paraId="7993A5E8" w14:textId="77777777" w:rsidR="00405040" w:rsidRPr="009A27ED" w:rsidRDefault="00405040" w:rsidP="00405040">
      <w:pPr>
        <w:autoSpaceDE w:val="0"/>
        <w:autoSpaceDN w:val="0"/>
        <w:adjustRightInd w:val="0"/>
        <w:spacing w:before="120" w:after="0" w:line="360" w:lineRule="auto"/>
        <w:ind w:left="720"/>
        <w:rPr>
          <w:color w:val="000000"/>
          <w:szCs w:val="22"/>
        </w:rPr>
      </w:pPr>
      <w:proofErr w:type="spellStart"/>
      <w:r w:rsidRPr="009A27ED">
        <w:rPr>
          <w:rFonts w:ascii="Times New Roman" w:eastAsia="Times New Roman" w:hAnsi="Times New Roman"/>
          <w:color w:val="000000"/>
          <w:sz w:val="24"/>
          <w:szCs w:val="22"/>
        </w:rPr>
        <w:lastRenderedPageBreak/>
        <w:t>iii</w:t>
      </w:r>
      <w:proofErr w:type="spellEnd"/>
      <w:r w:rsidRPr="009A27ED">
        <w:rPr>
          <w:rFonts w:ascii="Times New Roman" w:eastAsia="Times New Roman" w:hAnsi="Times New Roman"/>
          <w:color w:val="000000"/>
          <w:sz w:val="24"/>
          <w:szCs w:val="22"/>
        </w:rPr>
        <w:t xml:space="preserve">) la magnitud de la pérdida prevista –total o parcial– de activos, y el alcance del desplazamiento, físico o económico; </w:t>
      </w:r>
    </w:p>
    <w:p w14:paraId="3050C033" w14:textId="77777777" w:rsidR="00405040" w:rsidRPr="009A27ED" w:rsidRDefault="00405040" w:rsidP="00405040">
      <w:pPr>
        <w:autoSpaceDE w:val="0"/>
        <w:autoSpaceDN w:val="0"/>
        <w:adjustRightInd w:val="0"/>
        <w:spacing w:before="120" w:after="0" w:line="360" w:lineRule="auto"/>
        <w:ind w:left="720"/>
        <w:rPr>
          <w:color w:val="000000"/>
          <w:szCs w:val="22"/>
        </w:rPr>
      </w:pPr>
      <w:proofErr w:type="spellStart"/>
      <w:r w:rsidRPr="009A27ED">
        <w:rPr>
          <w:rFonts w:ascii="Times New Roman" w:eastAsia="Times New Roman" w:hAnsi="Times New Roman"/>
          <w:color w:val="000000"/>
          <w:sz w:val="24"/>
          <w:szCs w:val="22"/>
        </w:rPr>
        <w:t>iv</w:t>
      </w:r>
      <w:proofErr w:type="spellEnd"/>
      <w:r w:rsidRPr="009A27ED">
        <w:rPr>
          <w:rFonts w:ascii="Times New Roman" w:eastAsia="Times New Roman" w:hAnsi="Times New Roman"/>
          <w:color w:val="000000"/>
          <w:sz w:val="24"/>
          <w:szCs w:val="22"/>
        </w:rPr>
        <w:t xml:space="preserve">) información sobre grupos o personas vulnerables según lo dispuesto en el Párrafo 8 del documento OP 4.12, respecto de los cuales tal vez sea necesario establecer disposiciones especiales, y </w:t>
      </w:r>
    </w:p>
    <w:p w14:paraId="24EA3560" w14:textId="77777777" w:rsidR="00405040" w:rsidRPr="009A27ED" w:rsidRDefault="00405040" w:rsidP="00405040">
      <w:pPr>
        <w:autoSpaceDE w:val="0"/>
        <w:autoSpaceDN w:val="0"/>
        <w:adjustRightInd w:val="0"/>
        <w:spacing w:before="120" w:after="0" w:line="360" w:lineRule="auto"/>
        <w:ind w:left="720"/>
        <w:rPr>
          <w:color w:val="000000"/>
          <w:szCs w:val="22"/>
        </w:rPr>
      </w:pPr>
      <w:r w:rsidRPr="009A27ED">
        <w:rPr>
          <w:rFonts w:ascii="Times New Roman" w:eastAsia="Times New Roman" w:hAnsi="Times New Roman"/>
          <w:color w:val="000000"/>
          <w:sz w:val="24"/>
          <w:szCs w:val="22"/>
        </w:rPr>
        <w:t>v) disposiciones para la actualización a intervalos regulares de la información sobre los medios de subsistencia y los niveles de vida de la población desplazada a fin de que en el momento de su desplazamiento se disponga de la información más reciente.</w:t>
      </w:r>
    </w:p>
    <w:p w14:paraId="480E7D57" w14:textId="77777777" w:rsidR="00405040" w:rsidRPr="009A27ED" w:rsidRDefault="00405040" w:rsidP="00405040">
      <w:pPr>
        <w:autoSpaceDE w:val="0"/>
        <w:autoSpaceDN w:val="0"/>
        <w:adjustRightInd w:val="0"/>
        <w:spacing w:before="120" w:after="0" w:line="360" w:lineRule="auto"/>
        <w:ind w:left="720" w:firstLine="720"/>
        <w:rPr>
          <w:color w:val="000000"/>
          <w:szCs w:val="22"/>
        </w:rPr>
      </w:pPr>
    </w:p>
    <w:p w14:paraId="6EEB47CC" w14:textId="77777777" w:rsidR="00405040" w:rsidRPr="009A27ED" w:rsidRDefault="00405040" w:rsidP="00D42802">
      <w:pPr>
        <w:pStyle w:val="Prrafodelista"/>
        <w:numPr>
          <w:ilvl w:val="1"/>
          <w:numId w:val="17"/>
        </w:numPr>
        <w:autoSpaceDE w:val="0"/>
        <w:autoSpaceDN w:val="0"/>
        <w:adjustRightInd w:val="0"/>
        <w:spacing w:before="120" w:after="0" w:line="360" w:lineRule="auto"/>
        <w:ind w:left="1134"/>
        <w:rPr>
          <w:color w:val="000000"/>
          <w:szCs w:val="22"/>
          <w:lang w:val="es-ES"/>
        </w:rPr>
      </w:pPr>
      <w:r w:rsidRPr="009A27ED">
        <w:rPr>
          <w:rFonts w:ascii="Times New Roman" w:eastAsia="Times New Roman" w:hAnsi="Times New Roman"/>
          <w:color w:val="000000"/>
          <w:sz w:val="24"/>
          <w:szCs w:val="22"/>
          <w:lang w:val="es-ES"/>
        </w:rPr>
        <w:t>Otros estudios en los que se describa lo siguiente:</w:t>
      </w:r>
    </w:p>
    <w:p w14:paraId="532E4B1A" w14:textId="77777777" w:rsidR="00405040" w:rsidRPr="009A27ED" w:rsidRDefault="00405040" w:rsidP="00405040">
      <w:pPr>
        <w:autoSpaceDE w:val="0"/>
        <w:autoSpaceDN w:val="0"/>
        <w:adjustRightInd w:val="0"/>
        <w:spacing w:before="120" w:after="0" w:line="360" w:lineRule="auto"/>
        <w:ind w:left="720"/>
        <w:rPr>
          <w:color w:val="000000"/>
          <w:szCs w:val="22"/>
        </w:rPr>
      </w:pPr>
      <w:r w:rsidRPr="009A27ED">
        <w:rPr>
          <w:rFonts w:ascii="Times New Roman" w:eastAsia="Times New Roman" w:hAnsi="Times New Roman"/>
          <w:color w:val="000000"/>
          <w:sz w:val="24"/>
          <w:szCs w:val="22"/>
        </w:rPr>
        <w:t>i) los sistemas de tenencia y transferencia tierras, en particular un inventario de los recursos naturales de propiedad común de los cuales las personas obtienen sus medios de subsistencia y su sustento, los sistemas de usufructo sin título de propiedad (inclusive los derechos de pesca, pastoreo o utilización de zonas forestales) que se rigen por mecanismos de asignación de tierras reconocidos localmente, y los problemas que puedan plantear los sistemas de tenencia diferentes en la zona del proyecto;</w:t>
      </w:r>
    </w:p>
    <w:p w14:paraId="32041729" w14:textId="77777777" w:rsidR="00405040" w:rsidRPr="009A27ED" w:rsidRDefault="00405040" w:rsidP="00405040">
      <w:pPr>
        <w:autoSpaceDE w:val="0"/>
        <w:autoSpaceDN w:val="0"/>
        <w:adjustRightInd w:val="0"/>
        <w:spacing w:before="120" w:after="0" w:line="360" w:lineRule="auto"/>
        <w:ind w:left="720"/>
        <w:rPr>
          <w:color w:val="000000"/>
          <w:szCs w:val="22"/>
        </w:rPr>
      </w:pPr>
      <w:proofErr w:type="spellStart"/>
      <w:r w:rsidRPr="009A27ED">
        <w:rPr>
          <w:rFonts w:ascii="Times New Roman" w:eastAsia="Times New Roman" w:hAnsi="Times New Roman"/>
          <w:color w:val="000000"/>
          <w:sz w:val="24"/>
          <w:szCs w:val="22"/>
        </w:rPr>
        <w:t>ii</w:t>
      </w:r>
      <w:proofErr w:type="spellEnd"/>
      <w:r w:rsidRPr="009A27ED">
        <w:rPr>
          <w:rFonts w:ascii="Times New Roman" w:eastAsia="Times New Roman" w:hAnsi="Times New Roman"/>
          <w:color w:val="000000"/>
          <w:sz w:val="24"/>
          <w:szCs w:val="22"/>
        </w:rPr>
        <w:t>) las modalidades de interacción social en las comunidades afectadas, en particular las redes sociales y los sistemas de apoyo social, y la forma en que las afectará el proyecto;</w:t>
      </w:r>
    </w:p>
    <w:p w14:paraId="61F95D41" w14:textId="77777777" w:rsidR="00405040" w:rsidRPr="009A27ED" w:rsidRDefault="00405040" w:rsidP="00405040">
      <w:pPr>
        <w:autoSpaceDE w:val="0"/>
        <w:autoSpaceDN w:val="0"/>
        <w:adjustRightInd w:val="0"/>
        <w:spacing w:before="120" w:after="0" w:line="360" w:lineRule="auto"/>
        <w:ind w:left="720"/>
        <w:rPr>
          <w:color w:val="000000"/>
          <w:szCs w:val="22"/>
        </w:rPr>
      </w:pPr>
      <w:proofErr w:type="spellStart"/>
      <w:r w:rsidRPr="009A27ED">
        <w:rPr>
          <w:rFonts w:ascii="Times New Roman" w:eastAsia="Times New Roman" w:hAnsi="Times New Roman"/>
          <w:color w:val="000000"/>
          <w:sz w:val="24"/>
          <w:szCs w:val="22"/>
        </w:rPr>
        <w:t>iii</w:t>
      </w:r>
      <w:proofErr w:type="spellEnd"/>
      <w:r w:rsidRPr="009A27ED">
        <w:rPr>
          <w:rFonts w:ascii="Times New Roman" w:eastAsia="Times New Roman" w:hAnsi="Times New Roman"/>
          <w:color w:val="000000"/>
          <w:sz w:val="24"/>
          <w:szCs w:val="22"/>
        </w:rPr>
        <w:t xml:space="preserve">) los servicios públicos de infraestructura y los servicios sociales que resultarán afectados, y </w:t>
      </w:r>
    </w:p>
    <w:p w14:paraId="367B6CE4" w14:textId="77777777" w:rsidR="00405040" w:rsidRPr="009A27ED" w:rsidRDefault="00405040" w:rsidP="00405040">
      <w:pPr>
        <w:autoSpaceDE w:val="0"/>
        <w:autoSpaceDN w:val="0"/>
        <w:adjustRightInd w:val="0"/>
        <w:spacing w:before="120" w:after="0" w:line="360" w:lineRule="auto"/>
        <w:ind w:left="720"/>
        <w:rPr>
          <w:color w:val="000000"/>
          <w:szCs w:val="22"/>
        </w:rPr>
      </w:pPr>
      <w:proofErr w:type="spellStart"/>
      <w:r w:rsidRPr="009A27ED">
        <w:rPr>
          <w:rFonts w:ascii="Times New Roman" w:eastAsia="Times New Roman" w:hAnsi="Times New Roman"/>
          <w:color w:val="000000"/>
          <w:sz w:val="24"/>
          <w:szCs w:val="22"/>
        </w:rPr>
        <w:t>iv</w:t>
      </w:r>
      <w:proofErr w:type="spellEnd"/>
      <w:r w:rsidRPr="009A27ED">
        <w:rPr>
          <w:rFonts w:ascii="Times New Roman" w:eastAsia="Times New Roman" w:hAnsi="Times New Roman"/>
          <w:color w:val="000000"/>
          <w:sz w:val="24"/>
          <w:szCs w:val="22"/>
        </w:rPr>
        <w:t>) las características sociales y culturales de las comunidades desplazadas, en particular una descripción de las instituciones formales e informales (por ejemplo, organizaciones comunitarias, grupos rituales, organizaciones no gubernamentales [ONG]) que puedan tener importancia para la estrategia de consultas y para la elaboración y ejecución de las actividades de reasentamiento.</w:t>
      </w:r>
    </w:p>
    <w:p w14:paraId="380D3E58" w14:textId="77777777" w:rsidR="00405040" w:rsidRPr="009A27ED" w:rsidRDefault="00405040" w:rsidP="00405040">
      <w:pPr>
        <w:autoSpaceDE w:val="0"/>
        <w:autoSpaceDN w:val="0"/>
        <w:adjustRightInd w:val="0"/>
        <w:spacing w:before="120" w:after="0" w:line="360" w:lineRule="auto"/>
        <w:rPr>
          <w:color w:val="000000" w:themeColor="text1"/>
          <w:szCs w:val="22"/>
        </w:rPr>
      </w:pPr>
      <w:r w:rsidRPr="009A27ED">
        <w:rPr>
          <w:rFonts w:ascii="Times New Roman" w:eastAsia="Times New Roman" w:hAnsi="Times New Roman"/>
          <w:color w:val="000000" w:themeColor="text1"/>
          <w:sz w:val="24"/>
          <w:szCs w:val="22"/>
        </w:rPr>
        <w:t xml:space="preserve">5. </w:t>
      </w:r>
      <w:r w:rsidRPr="009A27ED">
        <w:rPr>
          <w:rFonts w:ascii="Times New Roman" w:eastAsia="Times New Roman" w:hAnsi="Times New Roman"/>
          <w:i/>
          <w:iCs/>
          <w:color w:val="000000" w:themeColor="text1"/>
          <w:sz w:val="24"/>
          <w:szCs w:val="22"/>
          <w:u w:val="single"/>
        </w:rPr>
        <w:t>Marco jurídico</w:t>
      </w:r>
      <w:r w:rsidRPr="009A27ED">
        <w:rPr>
          <w:rFonts w:ascii="Times New Roman" w:eastAsia="Times New Roman" w:hAnsi="Times New Roman"/>
          <w:color w:val="000000" w:themeColor="text1"/>
          <w:sz w:val="24"/>
          <w:szCs w:val="22"/>
        </w:rPr>
        <w:t xml:space="preserve">. Las conclusiones de un análisis del marco jurídico, que abarque a) el alcance del derecho de expropiación y la índole de la compensación vinculada a éste, tanto </w:t>
      </w:r>
      <w:r w:rsidRPr="009A27ED">
        <w:rPr>
          <w:rFonts w:ascii="Times New Roman" w:eastAsia="Times New Roman" w:hAnsi="Times New Roman"/>
          <w:color w:val="000000" w:themeColor="text1"/>
          <w:sz w:val="24"/>
          <w:szCs w:val="22"/>
        </w:rPr>
        <w:lastRenderedPageBreak/>
        <w:t xml:space="preserve">en cuanto al método de valoración como a la fecha de pago. Para realizar esto, se usará la información incluida en este MGAS. </w:t>
      </w:r>
    </w:p>
    <w:p w14:paraId="6F1D95CD" w14:textId="77777777" w:rsidR="00405040" w:rsidRPr="009A27ED" w:rsidRDefault="00405040" w:rsidP="00405040">
      <w:pPr>
        <w:autoSpaceDE w:val="0"/>
        <w:autoSpaceDN w:val="0"/>
        <w:adjustRightInd w:val="0"/>
        <w:spacing w:before="120" w:after="0" w:line="360" w:lineRule="auto"/>
        <w:ind w:left="720"/>
        <w:rPr>
          <w:color w:val="000000" w:themeColor="text1"/>
          <w:szCs w:val="22"/>
        </w:rPr>
      </w:pPr>
      <w:r w:rsidRPr="009A27ED">
        <w:rPr>
          <w:rFonts w:ascii="Times New Roman" w:eastAsia="Times New Roman" w:hAnsi="Times New Roman"/>
          <w:color w:val="000000" w:themeColor="text1"/>
          <w:sz w:val="24"/>
          <w:szCs w:val="22"/>
        </w:rPr>
        <w:t>b) Los procedimientos jurídicos y administrativos aplicables, en particular una descripción de los recursos judiciales de que disponen las personas desplazadas y el plazo normal para interponerlos, y cualesquiera otros mecanismos disponibles de solución de controversias que puedan guardar relación con el reasentamiento que entraña el proyecto;</w:t>
      </w:r>
    </w:p>
    <w:p w14:paraId="5D08BF86" w14:textId="77777777" w:rsidR="00405040" w:rsidRPr="009A27ED" w:rsidRDefault="00405040" w:rsidP="00405040">
      <w:pPr>
        <w:autoSpaceDE w:val="0"/>
        <w:autoSpaceDN w:val="0"/>
        <w:adjustRightInd w:val="0"/>
        <w:spacing w:before="120" w:after="0" w:line="360" w:lineRule="auto"/>
        <w:ind w:left="720"/>
        <w:rPr>
          <w:color w:val="000000" w:themeColor="text1"/>
          <w:szCs w:val="22"/>
        </w:rPr>
      </w:pPr>
      <w:r w:rsidRPr="009A27ED">
        <w:rPr>
          <w:rFonts w:ascii="Times New Roman" w:eastAsia="Times New Roman" w:hAnsi="Times New Roman"/>
          <w:color w:val="000000" w:themeColor="text1"/>
          <w:sz w:val="24"/>
          <w:szCs w:val="22"/>
        </w:rPr>
        <w:t>c) Las normas pertinentes (en particular las de derecho consuetudinario y tradicional) que gobiernan la tenencia de tierras, la valoración de los activos y las pérdidas, la indemnización, y los derechos de uso de los recursos naturales; el derecho consuetudinario personal relacionado con el desplazamiento, y las leyes ambientales y la</w:t>
      </w:r>
    </w:p>
    <w:p w14:paraId="33A860CE" w14:textId="77777777" w:rsidR="00405040" w:rsidRPr="009A27ED" w:rsidRDefault="00405040" w:rsidP="00405040">
      <w:pPr>
        <w:autoSpaceDE w:val="0"/>
        <w:autoSpaceDN w:val="0"/>
        <w:adjustRightInd w:val="0"/>
        <w:spacing w:before="120" w:after="0" w:line="360" w:lineRule="auto"/>
        <w:ind w:firstLine="720"/>
        <w:rPr>
          <w:color w:val="000000" w:themeColor="text1"/>
          <w:szCs w:val="22"/>
        </w:rPr>
      </w:pPr>
      <w:r w:rsidRPr="009A27ED">
        <w:rPr>
          <w:rFonts w:ascii="Times New Roman" w:eastAsia="Times New Roman" w:hAnsi="Times New Roman"/>
          <w:color w:val="000000" w:themeColor="text1"/>
          <w:sz w:val="24"/>
          <w:szCs w:val="22"/>
        </w:rPr>
        <w:t>Legislación sobre bienestar social;</w:t>
      </w:r>
    </w:p>
    <w:p w14:paraId="5D96929B" w14:textId="77777777" w:rsidR="00405040" w:rsidRPr="009A27ED" w:rsidRDefault="00405040" w:rsidP="00405040">
      <w:pPr>
        <w:autoSpaceDE w:val="0"/>
        <w:autoSpaceDN w:val="0"/>
        <w:adjustRightInd w:val="0"/>
        <w:spacing w:before="120" w:after="0" w:line="360" w:lineRule="auto"/>
        <w:ind w:left="720"/>
        <w:rPr>
          <w:color w:val="000000" w:themeColor="text1"/>
          <w:szCs w:val="22"/>
        </w:rPr>
      </w:pPr>
      <w:r w:rsidRPr="009A27ED">
        <w:rPr>
          <w:rFonts w:ascii="Times New Roman" w:eastAsia="Times New Roman" w:hAnsi="Times New Roman"/>
          <w:color w:val="000000" w:themeColor="text1"/>
          <w:sz w:val="24"/>
          <w:szCs w:val="22"/>
        </w:rPr>
        <w:t>d) las leyes y reglamentos relacionados con los organismos responsables de ejecutar las actividades de reasentamiento;</w:t>
      </w:r>
    </w:p>
    <w:p w14:paraId="748320FE" w14:textId="77777777" w:rsidR="00405040" w:rsidRPr="009A27ED" w:rsidRDefault="00405040" w:rsidP="00405040">
      <w:pPr>
        <w:autoSpaceDE w:val="0"/>
        <w:autoSpaceDN w:val="0"/>
        <w:adjustRightInd w:val="0"/>
        <w:spacing w:before="120" w:after="0" w:line="360" w:lineRule="auto"/>
        <w:ind w:left="720"/>
        <w:rPr>
          <w:color w:val="000000" w:themeColor="text1"/>
          <w:szCs w:val="22"/>
        </w:rPr>
      </w:pPr>
      <w:r w:rsidRPr="009A27ED">
        <w:rPr>
          <w:rFonts w:ascii="Times New Roman" w:eastAsia="Times New Roman" w:hAnsi="Times New Roman"/>
          <w:color w:val="000000" w:themeColor="text1"/>
          <w:sz w:val="24"/>
          <w:szCs w:val="22"/>
        </w:rPr>
        <w:t>e) las brechas o divergencias entre las leyes locales relativas al derecho de expropiación y al reasentamiento y la política de reasentamiento del Banco y los mecanismos para resolver esas divergencias, y</w:t>
      </w:r>
    </w:p>
    <w:p w14:paraId="6595A48F" w14:textId="77777777" w:rsidR="00405040" w:rsidRPr="009A27ED" w:rsidRDefault="00405040" w:rsidP="00405040">
      <w:pPr>
        <w:autoSpaceDE w:val="0"/>
        <w:autoSpaceDN w:val="0"/>
        <w:adjustRightInd w:val="0"/>
        <w:spacing w:before="120" w:after="0" w:line="360" w:lineRule="auto"/>
        <w:ind w:left="720"/>
        <w:rPr>
          <w:color w:val="000000"/>
          <w:szCs w:val="22"/>
        </w:rPr>
      </w:pPr>
      <w:r w:rsidRPr="009A27ED">
        <w:rPr>
          <w:rFonts w:ascii="Times New Roman" w:eastAsia="Times New Roman" w:hAnsi="Times New Roman"/>
          <w:color w:val="000000" w:themeColor="text1"/>
          <w:sz w:val="24"/>
          <w:szCs w:val="22"/>
        </w:rPr>
        <w:t>f)</w:t>
      </w:r>
      <w:r w:rsidRPr="009A27ED">
        <w:rPr>
          <w:rFonts w:ascii="Times New Roman" w:eastAsia="Times New Roman" w:hAnsi="Times New Roman" w:cs="TimesNewRoman"/>
          <w:color w:val="000000" w:themeColor="text1"/>
          <w:sz w:val="24"/>
          <w:szCs w:val="22"/>
        </w:rPr>
        <w:t xml:space="preserve"> </w:t>
      </w:r>
      <w:r w:rsidRPr="009A27ED">
        <w:rPr>
          <w:rFonts w:ascii="Times New Roman" w:eastAsia="Times New Roman" w:hAnsi="Times New Roman"/>
          <w:color w:val="000000" w:themeColor="text1"/>
          <w:sz w:val="24"/>
          <w:szCs w:val="22"/>
        </w:rPr>
        <w:t xml:space="preserve">cualesquiera medidas legales necesarias para </w:t>
      </w:r>
      <w:r w:rsidRPr="009A27ED">
        <w:rPr>
          <w:rFonts w:ascii="Times New Roman" w:eastAsia="Times New Roman" w:hAnsi="Times New Roman"/>
          <w:color w:val="000000"/>
          <w:sz w:val="24"/>
          <w:szCs w:val="22"/>
        </w:rPr>
        <w:t xml:space="preserve">asegurar una ejecución eficaz de las actividades de reasentamiento relativas al proyecto, en particular, según corresponda, un proceso para el reconocimiento de los derechos legales sobre la tierra que se reclaman, inclusive las reclamaciones que emanan del derecho consuetudinario y del uso tradicional </w:t>
      </w:r>
    </w:p>
    <w:p w14:paraId="38D6FE8E" w14:textId="77777777" w:rsidR="00405040" w:rsidRPr="009A27ED" w:rsidRDefault="00405040" w:rsidP="00405040">
      <w:pPr>
        <w:autoSpaceDE w:val="0"/>
        <w:autoSpaceDN w:val="0"/>
        <w:adjustRightInd w:val="0"/>
        <w:spacing w:before="120" w:after="0" w:line="360" w:lineRule="auto"/>
        <w:rPr>
          <w:color w:val="000000"/>
          <w:szCs w:val="22"/>
        </w:rPr>
      </w:pPr>
      <w:r w:rsidRPr="009A27ED">
        <w:rPr>
          <w:rFonts w:ascii="Times New Roman" w:eastAsia="Times New Roman" w:hAnsi="Times New Roman"/>
          <w:color w:val="000000"/>
          <w:sz w:val="24"/>
          <w:szCs w:val="22"/>
        </w:rPr>
        <w:t xml:space="preserve">6. </w:t>
      </w:r>
      <w:r w:rsidRPr="009A27ED">
        <w:rPr>
          <w:rFonts w:ascii="Times New Roman" w:eastAsia="Times New Roman" w:hAnsi="Times New Roman"/>
          <w:i/>
          <w:iCs/>
          <w:color w:val="000000"/>
          <w:sz w:val="24"/>
          <w:szCs w:val="22"/>
          <w:u w:val="single"/>
        </w:rPr>
        <w:t>Marco institucional</w:t>
      </w:r>
      <w:r w:rsidRPr="009A27ED">
        <w:rPr>
          <w:rFonts w:ascii="Times New Roman" w:eastAsia="Times New Roman" w:hAnsi="Times New Roman"/>
          <w:color w:val="000000"/>
          <w:sz w:val="24"/>
          <w:szCs w:val="22"/>
        </w:rPr>
        <w:t xml:space="preserve">. Las conclusiones de un análisis del marco institucional que abarque </w:t>
      </w:r>
    </w:p>
    <w:p w14:paraId="2AF06A0D" w14:textId="77777777" w:rsidR="00405040" w:rsidRPr="009A27ED" w:rsidRDefault="00405040" w:rsidP="00405040">
      <w:pPr>
        <w:autoSpaceDE w:val="0"/>
        <w:autoSpaceDN w:val="0"/>
        <w:adjustRightInd w:val="0"/>
        <w:spacing w:before="120" w:after="0" w:line="360" w:lineRule="auto"/>
        <w:ind w:left="720"/>
        <w:rPr>
          <w:color w:val="000000"/>
          <w:szCs w:val="22"/>
        </w:rPr>
      </w:pPr>
      <w:r w:rsidRPr="009A27ED">
        <w:rPr>
          <w:rFonts w:ascii="Times New Roman" w:eastAsia="Times New Roman" w:hAnsi="Times New Roman"/>
          <w:color w:val="000000"/>
          <w:sz w:val="24"/>
          <w:szCs w:val="22"/>
        </w:rPr>
        <w:t>a) la identificación de los organismos responsables de las actividades de reasentamiento y las ONG que puedan tener participación en la ejecución del proyecto;</w:t>
      </w:r>
    </w:p>
    <w:p w14:paraId="64212DBE" w14:textId="77777777" w:rsidR="00405040" w:rsidRPr="009A27ED" w:rsidRDefault="00405040" w:rsidP="00405040">
      <w:pPr>
        <w:autoSpaceDE w:val="0"/>
        <w:autoSpaceDN w:val="0"/>
        <w:adjustRightInd w:val="0"/>
        <w:spacing w:before="120" w:after="0" w:line="360" w:lineRule="auto"/>
        <w:ind w:firstLine="720"/>
        <w:rPr>
          <w:color w:val="000000" w:themeColor="text1"/>
          <w:szCs w:val="22"/>
        </w:rPr>
      </w:pPr>
      <w:r w:rsidRPr="009A27ED">
        <w:rPr>
          <w:rFonts w:ascii="Times New Roman" w:eastAsia="Times New Roman" w:hAnsi="Times New Roman"/>
          <w:color w:val="000000"/>
          <w:sz w:val="24"/>
          <w:szCs w:val="22"/>
        </w:rPr>
        <w:t xml:space="preserve">b) una evaluación de la </w:t>
      </w:r>
      <w:r w:rsidRPr="009A27ED">
        <w:rPr>
          <w:rFonts w:ascii="Times New Roman" w:eastAsia="Times New Roman" w:hAnsi="Times New Roman"/>
          <w:color w:val="000000" w:themeColor="text1"/>
          <w:sz w:val="24"/>
          <w:szCs w:val="22"/>
        </w:rPr>
        <w:t>capacidad institucional de esos organismos y ONG, y</w:t>
      </w:r>
    </w:p>
    <w:p w14:paraId="67E4B4A1" w14:textId="77777777" w:rsidR="00405040" w:rsidRPr="009A27ED" w:rsidRDefault="00405040" w:rsidP="00405040">
      <w:pPr>
        <w:autoSpaceDE w:val="0"/>
        <w:autoSpaceDN w:val="0"/>
        <w:adjustRightInd w:val="0"/>
        <w:spacing w:before="120" w:after="0" w:line="360" w:lineRule="auto"/>
        <w:ind w:left="720"/>
        <w:rPr>
          <w:color w:val="000000" w:themeColor="text1"/>
          <w:szCs w:val="22"/>
        </w:rPr>
      </w:pPr>
      <w:r w:rsidRPr="009A27ED">
        <w:rPr>
          <w:rFonts w:ascii="Times New Roman" w:eastAsia="Times New Roman" w:hAnsi="Times New Roman"/>
          <w:color w:val="000000" w:themeColor="text1"/>
          <w:sz w:val="24"/>
          <w:szCs w:val="22"/>
        </w:rPr>
        <w:lastRenderedPageBreak/>
        <w:t>c) cualesquiera medidas que se propongan para mejorar la capacidad institucional de los organismos y las ONG responsables de la ejecución del reasentamiento.</w:t>
      </w:r>
    </w:p>
    <w:p w14:paraId="4BF25FD3" w14:textId="62816CE1" w:rsidR="00405040" w:rsidRPr="009A27ED" w:rsidRDefault="00405040" w:rsidP="00405040">
      <w:pPr>
        <w:autoSpaceDE w:val="0"/>
        <w:autoSpaceDN w:val="0"/>
        <w:adjustRightInd w:val="0"/>
        <w:spacing w:before="120" w:after="0" w:line="360" w:lineRule="auto"/>
        <w:rPr>
          <w:color w:val="000000" w:themeColor="text1"/>
          <w:szCs w:val="22"/>
        </w:rPr>
      </w:pPr>
      <w:r w:rsidRPr="009A27ED">
        <w:rPr>
          <w:rFonts w:ascii="Times New Roman" w:eastAsia="Times New Roman" w:hAnsi="Times New Roman"/>
          <w:color w:val="000000" w:themeColor="text1"/>
          <w:sz w:val="24"/>
          <w:szCs w:val="22"/>
        </w:rPr>
        <w:t xml:space="preserve">7. </w:t>
      </w:r>
      <w:r w:rsidRPr="009A27ED">
        <w:rPr>
          <w:rFonts w:ascii="Times New Roman" w:eastAsia="Times New Roman" w:hAnsi="Times New Roman"/>
          <w:i/>
          <w:iCs/>
          <w:color w:val="000000" w:themeColor="text1"/>
          <w:sz w:val="24"/>
          <w:szCs w:val="22"/>
          <w:u w:val="single"/>
        </w:rPr>
        <w:t>Elegibilidad</w:t>
      </w:r>
      <w:r w:rsidRPr="009A27ED">
        <w:rPr>
          <w:rFonts w:ascii="Times New Roman" w:eastAsia="Times New Roman" w:hAnsi="Times New Roman"/>
          <w:color w:val="000000" w:themeColor="text1"/>
          <w:sz w:val="24"/>
          <w:szCs w:val="22"/>
        </w:rPr>
        <w:t xml:space="preserve">. Determinación de las personas desplazadas y criterios que avalan su derecho a recibir compensación y otro tipo de asistencia para el reasentamiento, y establecimiento de las </w:t>
      </w:r>
      <w:r w:rsidR="00B339B7" w:rsidRPr="009A27ED">
        <w:rPr>
          <w:rFonts w:ascii="Times New Roman" w:eastAsia="Times New Roman" w:hAnsi="Times New Roman"/>
          <w:noProof/>
          <w:sz w:val="24"/>
          <w:lang w:val="en-US"/>
        </w:rPr>
        <mc:AlternateContent>
          <mc:Choice Requires="wpi">
            <w:drawing>
              <wp:anchor distT="0" distB="0" distL="114300" distR="114300" simplePos="0" relativeHeight="251759616" behindDoc="0" locked="0" layoutInCell="1" allowOverlap="1" wp14:anchorId="64B97AE3" wp14:editId="535AEEA1">
                <wp:simplePos x="0" y="0"/>
                <wp:positionH relativeFrom="column">
                  <wp:posOffset>-1172726255</wp:posOffset>
                </wp:positionH>
                <wp:positionV relativeFrom="paragraph">
                  <wp:posOffset>-1174398210</wp:posOffset>
                </wp:positionV>
                <wp:extent cx="2147483640" cy="2147483640"/>
                <wp:effectExtent l="58420" t="62865" r="50165" b="55245"/>
                <wp:wrapNone/>
                <wp:docPr id="14" name="Ink 15"/>
                <wp:cNvGraphicFramePr>
                  <a:graphicFrameLocks xmlns:a="http://schemas.openxmlformats.org/drawingml/2006/main" noChangeAspect="1"/>
                </wp:cNvGraphicFramePr>
                <a:graphic xmlns:a="http://schemas.openxmlformats.org/drawingml/2006/main">
                  <a:graphicData uri="http://schemas.microsoft.com/office/word/2010/wordprocessingInk">
                    <w14:contentPart bwMode="auto" r:id="rId71">
                      <w14:nvContentPartPr>
                        <w14:cNvContentPartPr>
                          <a14:cpLocks xmlns:a14="http://schemas.microsoft.com/office/drawing/2010/main" noRot="1" noChangeAspect="1" noEditPoints="1" noChangeArrowheads="1" noChangeShapeType="1"/>
                        </w14:cNvContentPartPr>
                      </w14:nvContentPartPr>
                      <w14:xfrm>
                        <a:off x="0" y="0"/>
                        <a:ext cx="2147483640" cy="2147483640"/>
                      </w14:xfrm>
                    </w14:contentPart>
                  </a:graphicData>
                </a:graphic>
                <wp14:sizeRelH relativeFrom="page">
                  <wp14:pctWidth>0</wp14:pctWidth>
                </wp14:sizeRelH>
                <wp14:sizeRelV relativeFrom="page">
                  <wp14:pctHeight>0</wp14:pctHeight>
                </wp14:sizeRelV>
              </wp:anchor>
            </w:drawing>
          </mc:Choice>
          <mc:Fallback>
            <w:pict>
              <v:shape w14:anchorId="2DE9A6E8" id="Ink 15" o:spid="_x0000_s1026" type="#_x0000_t75" style="position:absolute;margin-left:-261433.85pt;margin-top:-261565.5pt;width:338186.4pt;height:338186.4pt;z-index:251759616;visibility:visible;mso-wrap-style:square;mso-width-percent:0;mso-height-percent:0;mso-wrap-distance-left:-59649.14856mm;mso-wrap-distance-top:-59652.32356mm;mso-wrap-distance-right:9pt;mso-wrap-distance-bottom:0;mso-position-horizontal:absolute;mso-position-horizontal-relative:text;mso-position-vertical:absolute;mso-position-vertical-relative:text;mso-width-percent:0;mso-height-percent:0;mso-width-relative:page;mso-height-relative:pag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MQpabNAQAAAAQAAA4AAABkcnMvZTJvRG9jLnhtbJxTYWvbMBD9Pth/&#10;EPq+OMq8tpg4ZTQbFLYubN0P0CQ5FrV04qTEyb/fOY4Tp10Z9Ivh7qSn9949z293rmFbg9GCL7mY&#10;TDkzXoG2fl3y349fP9xwFpP0WjbgTcn3JvLbxft38zYUZgY1NNogIxAfizaUvE4pFFkWVW2cjBMI&#10;xtOwAnQyUYnrTKNsCd012Ww6vcpaQB0QlImRust+yBcH/KoyKv2oqmgSa0o+E/l1fvPxKr/mLF2W&#10;WHJi/qf7Zou5LNYoQ23VkZh8Ay8nrScaJ6ilTJJt0L6AclYhRKjSRIHLoKqsMgdVpE9Mn+m790+d&#10;NpGrDRYKfDI+rSSmwcHD4C1PuIbkt99B047kJgE/IpIx/19JT3oJauOIT78XNI1MFIpY2xA5w8Lq&#10;kuO9Fmf+fnt3VrDCs66H7QpZd17knHnpiBMJZ+JTt5xB/MPz21LkhQrfQD3FYW8if0H/n3YfM9U7&#10;ftgc8/ATKCSCCMBdLf3afI6B4nRsfdE2rcD6FC/PIEJbG6kv279qGczjPpAQ0WnIXhUxTF7zZleh&#10;61JFlrPdIbT7U2jNLjFFzVPOKdKKxqN69HaPNLw3yhLRu0jtuO6oj37cxV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DBBQABgAIAAAAIQAkbu675wAAABkBAAAPAAAAZHJzL2Rvd25yZXYueG1s&#10;TI/LTsMwEEX3SPyDNUjsWufRtCHEqaoKFqxQS8V6Gg9xRGxHttuGv8ftBnZzNUf3Ua8nPbAzOd9b&#10;IyCdJ8DItFb2phNw+HidlcB8QCNxsIYE/JCHdXN/V2Ml7cXs6LwPHYsmxlcoQIUwVpz7VpFGP7cj&#10;mfj7sk5jiNJ1XDq8RHM98CxJllxjb2KCwpG2itrv/UkLWGzHT3rj6vDeT26Xv6AscPMkxOPDtHkG&#10;FmgKfzBc68fq0MROR3sy0rNBwKzIsnK5WkX8JvI0T+O4K1nkRVKkwI63O1ukJfCm5v8XNb8AAAD/&#10;/wMAUEsDBBQABgAIAAAAIQAoNu7RwgEAAGQEAAAQAAAAZHJzL2luay9pbmsxLnhtbLSTTW/jIBCG&#10;7yv1PyD20MvGBuezVp2eGqlSK1X9kLpH16YxqoEIcJz8+44xIa6a9rQrSxYMzMvMw8vl1U7UaMu0&#10;4UpmmEYEIyYLVXK5zvDz02q0wMjYXJZ5rSTL8J4ZfLU8+3XJ5buoU/gjUJCmG4k6w5W1mzSO27aN&#10;2nGk9DpOCBnHN/L97hYvfVbJ3rjkFo40h1ChpGU724mlvMxwYXck7AftR9XogoXlLqKL4w6r84Kt&#10;lBa5DYpVLiWrkcwF1P2Ckd1vYMDhnDXTGAkODY+SiE7mk8X1BQTyXYYH8wZKNFCJwPFpzb//QXP1&#10;VbMra5zMZ3OMfEkl23Y1xY55+n3v91ptmLacHTH3UPzCHhX93PHpQWlmVN10d4PRNq8bQEYJAVv4&#10;s2l8AshXPWDzT/WAy7d6w+I+o/HtDTl4aMFSh6u1XDAwutgEj1kDwl340Wr3HBJCFyNKR0nyRMcp&#10;naXJRTSbTgZX4V180HzVjamC3qs++tWtBGp9Zy0vbRWgk4hMA/Qh8lOpFePryv6U69t2ycE5J96h&#10;MxPyfTywtwz/dk8Rucw+4BohiKBkMp1P/5yT7vvkxnACYF5+AAAA//8DAFBLAQItABQABgAIAAAA&#10;IQCbMyc3DAEAAC0CAAATAAAAAAAAAAAAAAAAAAAAAABbQ29udGVudF9UeXBlc10ueG1sUEsBAi0A&#10;FAAGAAgAAAAhADj9If/WAAAAlAEAAAsAAAAAAAAAAAAAAAAAPQEAAF9yZWxzLy5yZWxzUEsBAi0A&#10;FAAGAAgAAAAhAHMQpabNAQAAAAQAAA4AAAAAAAAAAAAAAAAAPAIAAGRycy9lMm9Eb2MueG1sUEsB&#10;Ai0AFAAGAAgAAAAhAHkYvJ2/AAAAIQEAABkAAAAAAAAAAAAAAAAANQQAAGRycy9fcmVscy9lMm9E&#10;b2MueG1sLnJlbHNQSwECLQAUAAYACAAAACEAJG7uu+cAAAAZAQAADwAAAAAAAAAAAAAAAAArBQAA&#10;ZHJzL2Rvd25yZXYueG1sUEsBAi0AFAAGAAgAAAAhACg27tHCAQAAZAQAABAAAAAAAAAAAAAAAAAA&#10;PwYAAGRycy9pbmsvaW5rMS54bWxQSwUGAAAAAAYABgB4AQAALwgAAAAA&#10;">
                <v:imagedata r:id="rId72" o:title="" cropbottom="-1" cropright="-1"/>
                <o:lock v:ext="edit" rotation="t" verticies="t" shapetype="t"/>
              </v:shape>
            </w:pict>
          </mc:Fallback>
        </mc:AlternateContent>
      </w:r>
      <w:r w:rsidRPr="009A27ED">
        <w:rPr>
          <w:rFonts w:ascii="Times New Roman" w:eastAsia="Times New Roman" w:hAnsi="Times New Roman"/>
          <w:color w:val="000000" w:themeColor="text1"/>
          <w:sz w:val="24"/>
          <w:szCs w:val="22"/>
        </w:rPr>
        <w:t xml:space="preserve">fechas límite pertinente. </w:t>
      </w:r>
    </w:p>
    <w:p w14:paraId="2C530B9A" w14:textId="364A4967" w:rsidR="00405040" w:rsidRPr="009A27ED" w:rsidRDefault="00405040" w:rsidP="00405040">
      <w:pPr>
        <w:autoSpaceDE w:val="0"/>
        <w:autoSpaceDN w:val="0"/>
        <w:adjustRightInd w:val="0"/>
        <w:spacing w:before="120" w:after="0" w:line="360" w:lineRule="auto"/>
        <w:rPr>
          <w:color w:val="000000" w:themeColor="text1"/>
          <w:szCs w:val="22"/>
        </w:rPr>
      </w:pPr>
      <w:r w:rsidRPr="009A27ED">
        <w:rPr>
          <w:rFonts w:ascii="Times New Roman" w:eastAsia="Times New Roman" w:hAnsi="Times New Roman"/>
          <w:color w:val="000000" w:themeColor="text1"/>
          <w:sz w:val="24"/>
          <w:szCs w:val="22"/>
        </w:rPr>
        <w:t xml:space="preserve">8. </w:t>
      </w:r>
      <w:r w:rsidRPr="009A27ED">
        <w:rPr>
          <w:rFonts w:ascii="Times New Roman" w:eastAsia="Times New Roman" w:hAnsi="Times New Roman"/>
          <w:i/>
          <w:iCs/>
          <w:color w:val="000000" w:themeColor="text1"/>
          <w:sz w:val="24"/>
          <w:szCs w:val="22"/>
          <w:u w:val="single"/>
        </w:rPr>
        <w:t>Valoración de las pérdidas e indemnización</w:t>
      </w:r>
      <w:r w:rsidRPr="009A27ED">
        <w:rPr>
          <w:rFonts w:ascii="Times New Roman" w:eastAsia="Times New Roman" w:hAnsi="Times New Roman"/>
          <w:color w:val="000000" w:themeColor="text1"/>
          <w:sz w:val="24"/>
          <w:szCs w:val="22"/>
        </w:rPr>
        <w:t>. La metodología que habrá de utilizarse para valorar las pérdidas y como y que indicadores determinan su costo de reposición, y una descripción de los tipos y niveles de compensación propuestos según la legislación local y las medidas complementarias necesarias</w:t>
      </w:r>
      <w:r w:rsidR="007C5AFF" w:rsidRPr="009A27ED">
        <w:rPr>
          <w:rFonts w:ascii="Times New Roman" w:eastAsia="Times New Roman" w:hAnsi="Times New Roman"/>
          <w:color w:val="000000" w:themeColor="text1"/>
          <w:sz w:val="24"/>
          <w:szCs w:val="22"/>
        </w:rPr>
        <w:t xml:space="preserve"> en la OP 4.12</w:t>
      </w:r>
      <w:r w:rsidRPr="009A27ED">
        <w:rPr>
          <w:rFonts w:ascii="Times New Roman" w:eastAsia="Times New Roman" w:hAnsi="Times New Roman"/>
          <w:color w:val="000000" w:themeColor="text1"/>
          <w:sz w:val="24"/>
          <w:szCs w:val="22"/>
        </w:rPr>
        <w:t xml:space="preserve"> para obtener el costo de reposición de los bienes perdidos.</w:t>
      </w:r>
    </w:p>
    <w:p w14:paraId="08F0E6A5" w14:textId="77777777" w:rsidR="00405040" w:rsidRPr="009A27ED" w:rsidRDefault="00405040" w:rsidP="00405040">
      <w:pPr>
        <w:autoSpaceDE w:val="0"/>
        <w:autoSpaceDN w:val="0"/>
        <w:adjustRightInd w:val="0"/>
        <w:spacing w:before="120" w:after="0" w:line="360" w:lineRule="auto"/>
        <w:rPr>
          <w:color w:val="000000"/>
          <w:szCs w:val="22"/>
        </w:rPr>
      </w:pPr>
      <w:r w:rsidRPr="009A27ED">
        <w:rPr>
          <w:rFonts w:ascii="Times New Roman" w:eastAsia="Times New Roman" w:hAnsi="Times New Roman"/>
          <w:color w:val="000000" w:themeColor="text1"/>
          <w:sz w:val="24"/>
          <w:szCs w:val="22"/>
        </w:rPr>
        <w:t xml:space="preserve">9. </w:t>
      </w:r>
      <w:r w:rsidRPr="009A27ED">
        <w:rPr>
          <w:rFonts w:ascii="Times New Roman" w:eastAsia="Times New Roman" w:hAnsi="Times New Roman"/>
          <w:i/>
          <w:iCs/>
          <w:color w:val="000000" w:themeColor="text1"/>
          <w:sz w:val="24"/>
          <w:szCs w:val="22"/>
          <w:u w:val="single"/>
        </w:rPr>
        <w:t>Medidas de reasentamiento</w:t>
      </w:r>
      <w:r w:rsidRPr="009A27ED">
        <w:rPr>
          <w:rFonts w:ascii="Times New Roman" w:eastAsia="Times New Roman" w:hAnsi="Times New Roman"/>
          <w:color w:val="000000" w:themeColor="text1"/>
          <w:sz w:val="24"/>
          <w:szCs w:val="22"/>
        </w:rPr>
        <w:t xml:space="preserve">. Una descripción de las medidas de indemnización y otras medidas relacionadas con el reasentamiento que ayudarán a cada una de las categorías de personas desplazadas con derecho a ello a lograr los objetivos del presente MPRI.  Además de ser técnica y económicamente viables, las medidas de reasentamiento deberán ser compatibles con las preferencias culturales de las personas </w:t>
      </w:r>
      <w:r w:rsidRPr="009A27ED">
        <w:rPr>
          <w:rFonts w:ascii="Times New Roman" w:eastAsia="Times New Roman" w:hAnsi="Times New Roman"/>
          <w:color w:val="000000"/>
          <w:sz w:val="24"/>
          <w:szCs w:val="22"/>
        </w:rPr>
        <w:t>desplazadas y deberán prepararse en consulta con éstas.</w:t>
      </w:r>
    </w:p>
    <w:p w14:paraId="1CCCF74C" w14:textId="77777777" w:rsidR="00405040" w:rsidRPr="009A27ED" w:rsidRDefault="00405040" w:rsidP="00405040">
      <w:pPr>
        <w:autoSpaceDE w:val="0"/>
        <w:autoSpaceDN w:val="0"/>
        <w:adjustRightInd w:val="0"/>
        <w:spacing w:before="120" w:after="0" w:line="360" w:lineRule="auto"/>
        <w:rPr>
          <w:color w:val="000000"/>
          <w:szCs w:val="22"/>
        </w:rPr>
      </w:pPr>
      <w:r w:rsidRPr="009A27ED">
        <w:rPr>
          <w:rFonts w:ascii="Times New Roman" w:eastAsia="Times New Roman" w:hAnsi="Times New Roman"/>
          <w:color w:val="000000"/>
          <w:sz w:val="24"/>
          <w:szCs w:val="22"/>
        </w:rPr>
        <w:t xml:space="preserve">10. </w:t>
      </w:r>
      <w:r w:rsidRPr="009A27ED">
        <w:rPr>
          <w:rFonts w:ascii="Times New Roman" w:eastAsia="Times New Roman" w:hAnsi="Times New Roman"/>
          <w:i/>
          <w:iCs/>
          <w:color w:val="000000"/>
          <w:sz w:val="24"/>
          <w:szCs w:val="22"/>
          <w:u w:val="single"/>
        </w:rPr>
        <w:t>Selección y preparación del emplazamiento, y reubicación</w:t>
      </w:r>
      <w:r w:rsidRPr="009A27ED">
        <w:rPr>
          <w:rFonts w:ascii="Times New Roman" w:eastAsia="Times New Roman" w:hAnsi="Times New Roman"/>
          <w:color w:val="000000"/>
          <w:sz w:val="24"/>
          <w:szCs w:val="22"/>
          <w:u w:val="single"/>
        </w:rPr>
        <w:t>.</w:t>
      </w:r>
      <w:r w:rsidRPr="009A27ED">
        <w:rPr>
          <w:rFonts w:ascii="Times New Roman" w:eastAsia="Times New Roman" w:hAnsi="Times New Roman"/>
          <w:color w:val="000000"/>
          <w:sz w:val="24"/>
          <w:szCs w:val="22"/>
        </w:rPr>
        <w:t xml:space="preserve"> La consideración de diversos sitios posibles de reubicación y una explicación sobre los sitios seleccionados, que abarque: </w:t>
      </w:r>
    </w:p>
    <w:p w14:paraId="7E37F0A7" w14:textId="77777777" w:rsidR="00405040" w:rsidRPr="009A27ED" w:rsidRDefault="00405040" w:rsidP="00405040">
      <w:pPr>
        <w:autoSpaceDE w:val="0"/>
        <w:autoSpaceDN w:val="0"/>
        <w:adjustRightInd w:val="0"/>
        <w:spacing w:before="120" w:after="0" w:line="360" w:lineRule="auto"/>
        <w:ind w:left="720"/>
        <w:rPr>
          <w:color w:val="000000"/>
          <w:szCs w:val="22"/>
        </w:rPr>
      </w:pPr>
      <w:r w:rsidRPr="009A27ED">
        <w:rPr>
          <w:rFonts w:ascii="Times New Roman" w:eastAsia="Times New Roman" w:hAnsi="Times New Roman"/>
          <w:color w:val="000000"/>
          <w:sz w:val="24"/>
          <w:szCs w:val="22"/>
        </w:rPr>
        <w:t>a) los mecanismos institucionales y técnicos para la identificación y preparación de los sitios de reubicación sean éstos rurales o urbanos, respecto de los cuales el potencial productivo, las ventajas de ubicación y otros factores sean, como mínimo, comparables a los del sitio anterior, junto con una estimación del tiempo necesario para la adquisición y transferencia de tierras y recursos conexos;</w:t>
      </w:r>
    </w:p>
    <w:p w14:paraId="431832E6" w14:textId="77777777" w:rsidR="00405040" w:rsidRPr="009A27ED" w:rsidRDefault="00405040" w:rsidP="00405040">
      <w:pPr>
        <w:autoSpaceDE w:val="0"/>
        <w:autoSpaceDN w:val="0"/>
        <w:adjustRightInd w:val="0"/>
        <w:spacing w:before="120" w:after="0" w:line="360" w:lineRule="auto"/>
        <w:ind w:left="720"/>
        <w:rPr>
          <w:color w:val="000000"/>
          <w:szCs w:val="22"/>
        </w:rPr>
      </w:pPr>
      <w:r w:rsidRPr="009A27ED">
        <w:rPr>
          <w:rFonts w:ascii="Times New Roman" w:eastAsia="Times New Roman" w:hAnsi="Times New Roman"/>
          <w:color w:val="000000"/>
          <w:sz w:val="24"/>
          <w:szCs w:val="22"/>
        </w:rPr>
        <w:t>b) las disposiciones necesarias para impedir la especulación en materia de tierras o la afluencia a los emplazamientos seleccionados de personas sin derecho a ello;</w:t>
      </w:r>
    </w:p>
    <w:p w14:paraId="126581B1" w14:textId="77777777" w:rsidR="00405040" w:rsidRPr="009A27ED" w:rsidRDefault="00405040" w:rsidP="00405040">
      <w:pPr>
        <w:autoSpaceDE w:val="0"/>
        <w:autoSpaceDN w:val="0"/>
        <w:adjustRightInd w:val="0"/>
        <w:spacing w:before="120" w:after="0" w:line="360" w:lineRule="auto"/>
        <w:ind w:left="720"/>
        <w:rPr>
          <w:color w:val="000000"/>
          <w:szCs w:val="22"/>
        </w:rPr>
      </w:pPr>
      <w:r w:rsidRPr="009A27ED">
        <w:rPr>
          <w:rFonts w:ascii="Times New Roman" w:eastAsia="Times New Roman" w:hAnsi="Times New Roman"/>
          <w:color w:val="000000"/>
          <w:sz w:val="24"/>
          <w:szCs w:val="22"/>
        </w:rPr>
        <w:t>c) los procedimientos para la reubicación física en relación con el proyecto, en particular calendarios para la preparación del emplazamiento y la transferencia de la población, y</w:t>
      </w:r>
    </w:p>
    <w:p w14:paraId="5B2D1880" w14:textId="77777777" w:rsidR="00405040" w:rsidRPr="009A27ED" w:rsidRDefault="00405040" w:rsidP="00405040">
      <w:pPr>
        <w:autoSpaceDE w:val="0"/>
        <w:autoSpaceDN w:val="0"/>
        <w:adjustRightInd w:val="0"/>
        <w:spacing w:before="120" w:after="0" w:line="360" w:lineRule="auto"/>
        <w:ind w:left="720"/>
        <w:rPr>
          <w:color w:val="000000"/>
          <w:szCs w:val="22"/>
        </w:rPr>
      </w:pPr>
      <w:r w:rsidRPr="009A27ED">
        <w:rPr>
          <w:rFonts w:ascii="Times New Roman" w:eastAsia="Times New Roman" w:hAnsi="Times New Roman"/>
          <w:color w:val="000000"/>
          <w:sz w:val="24"/>
          <w:szCs w:val="22"/>
        </w:rPr>
        <w:lastRenderedPageBreak/>
        <w:t>d) los mecanismos legales para regularizar la tenencia de tierras y transferir los títulos de propiedad a los reasentados.</w:t>
      </w:r>
    </w:p>
    <w:p w14:paraId="6C11BEFD" w14:textId="77777777" w:rsidR="00405040" w:rsidRPr="009A27ED" w:rsidRDefault="00405040" w:rsidP="00405040">
      <w:pPr>
        <w:autoSpaceDE w:val="0"/>
        <w:autoSpaceDN w:val="0"/>
        <w:adjustRightInd w:val="0"/>
        <w:spacing w:before="120" w:after="0" w:line="360" w:lineRule="auto"/>
        <w:rPr>
          <w:color w:val="000000"/>
          <w:szCs w:val="22"/>
        </w:rPr>
      </w:pPr>
      <w:r w:rsidRPr="009A27ED">
        <w:rPr>
          <w:rFonts w:ascii="Times New Roman" w:eastAsia="Times New Roman" w:hAnsi="Times New Roman"/>
          <w:color w:val="000000"/>
          <w:sz w:val="24"/>
          <w:szCs w:val="22"/>
        </w:rPr>
        <w:t xml:space="preserve">11. </w:t>
      </w:r>
      <w:r w:rsidRPr="009A27ED">
        <w:rPr>
          <w:rFonts w:ascii="Times New Roman" w:eastAsia="Times New Roman" w:hAnsi="Times New Roman"/>
          <w:i/>
          <w:iCs/>
          <w:color w:val="000000"/>
          <w:sz w:val="24"/>
          <w:szCs w:val="22"/>
          <w:u w:val="single"/>
        </w:rPr>
        <w:t>Servicios de vivienda, infraestructura y servicios sociales</w:t>
      </w:r>
      <w:r w:rsidRPr="009A27ED">
        <w:rPr>
          <w:rFonts w:ascii="Times New Roman" w:eastAsia="Times New Roman" w:hAnsi="Times New Roman"/>
          <w:color w:val="000000"/>
          <w:sz w:val="24"/>
          <w:szCs w:val="22"/>
        </w:rPr>
        <w:t>. Planes para el suministro (o para financiar el suministro por parte de los reasentados) de vivienda, infraestructura (por ejemplo, abastecimiento de agua, caminos de acceso), y servicios sociales (por ejemplo, escuelas, servicios de salud), planes para asegurar servicios comparables para las poblaciones de acogida, y cualquier urbanización de terrenos y preparación de diseños técnicos y arquitectónicos que sean necesarios para los emplazamientos.</w:t>
      </w:r>
    </w:p>
    <w:p w14:paraId="7FD8DD9A" w14:textId="77777777" w:rsidR="00405040" w:rsidRPr="009A27ED" w:rsidRDefault="00405040" w:rsidP="00405040">
      <w:pPr>
        <w:autoSpaceDE w:val="0"/>
        <w:autoSpaceDN w:val="0"/>
        <w:adjustRightInd w:val="0"/>
        <w:spacing w:before="120" w:after="0" w:line="360" w:lineRule="auto"/>
        <w:rPr>
          <w:color w:val="000000"/>
          <w:szCs w:val="22"/>
        </w:rPr>
      </w:pPr>
      <w:r w:rsidRPr="009A27ED">
        <w:rPr>
          <w:rFonts w:ascii="Times New Roman" w:eastAsia="Times New Roman" w:hAnsi="Times New Roman"/>
          <w:color w:val="000000"/>
          <w:sz w:val="24"/>
          <w:szCs w:val="22"/>
        </w:rPr>
        <w:t xml:space="preserve">12. </w:t>
      </w:r>
      <w:r w:rsidRPr="009A27ED">
        <w:rPr>
          <w:rFonts w:ascii="Times New Roman" w:eastAsia="Times New Roman" w:hAnsi="Times New Roman"/>
          <w:i/>
          <w:iCs/>
          <w:color w:val="000000"/>
          <w:sz w:val="24"/>
          <w:szCs w:val="22"/>
          <w:u w:val="single"/>
        </w:rPr>
        <w:t>Protección y gestión ambientales</w:t>
      </w:r>
      <w:r w:rsidRPr="009A27ED">
        <w:rPr>
          <w:rFonts w:ascii="Times New Roman" w:eastAsia="Times New Roman" w:hAnsi="Times New Roman"/>
          <w:color w:val="000000"/>
          <w:sz w:val="24"/>
          <w:szCs w:val="22"/>
        </w:rPr>
        <w:t>. Una descripción de los límites de la zona de reubicación, y una evaluación de los impactos ambientales del reasentamiento propuesto y medidas para mitigar y gestionar esos impactos (coordinadas, según proceda, con la evaluación ambiental de la inversión principal que hace necesario el reasentamiento).</w:t>
      </w:r>
    </w:p>
    <w:p w14:paraId="3DBA5A27" w14:textId="77777777" w:rsidR="00405040" w:rsidRPr="009A27ED" w:rsidRDefault="00405040" w:rsidP="00405040">
      <w:pPr>
        <w:autoSpaceDE w:val="0"/>
        <w:autoSpaceDN w:val="0"/>
        <w:adjustRightInd w:val="0"/>
        <w:spacing w:before="120" w:after="0" w:line="360" w:lineRule="auto"/>
        <w:rPr>
          <w:color w:val="000000"/>
          <w:szCs w:val="22"/>
        </w:rPr>
      </w:pPr>
      <w:r w:rsidRPr="009A27ED">
        <w:rPr>
          <w:rFonts w:ascii="Times New Roman" w:eastAsia="Times New Roman" w:hAnsi="Times New Roman"/>
          <w:color w:val="000000"/>
          <w:sz w:val="24"/>
          <w:szCs w:val="22"/>
        </w:rPr>
        <w:t xml:space="preserve">13. </w:t>
      </w:r>
      <w:r w:rsidRPr="009A27ED">
        <w:rPr>
          <w:rFonts w:ascii="Times New Roman" w:eastAsia="Times New Roman" w:hAnsi="Times New Roman"/>
          <w:i/>
          <w:iCs/>
          <w:color w:val="000000"/>
          <w:sz w:val="24"/>
          <w:szCs w:val="22"/>
          <w:u w:val="single"/>
        </w:rPr>
        <w:t>Participación de la comunidad</w:t>
      </w:r>
      <w:r w:rsidRPr="009A27ED">
        <w:rPr>
          <w:rFonts w:ascii="Times New Roman" w:eastAsia="Times New Roman" w:hAnsi="Times New Roman"/>
          <w:color w:val="000000"/>
          <w:sz w:val="24"/>
          <w:szCs w:val="22"/>
          <w:u w:val="single"/>
        </w:rPr>
        <w:t>.</w:t>
      </w:r>
      <w:r w:rsidRPr="009A27ED">
        <w:rPr>
          <w:rFonts w:ascii="Times New Roman" w:eastAsia="Times New Roman" w:hAnsi="Times New Roman"/>
          <w:color w:val="000000"/>
          <w:sz w:val="24"/>
          <w:szCs w:val="22"/>
        </w:rPr>
        <w:t xml:space="preserve"> Participación de los reasentados y de las comunidades de acogida, en particular:</w:t>
      </w:r>
    </w:p>
    <w:p w14:paraId="312151BA" w14:textId="77777777" w:rsidR="00405040" w:rsidRPr="009A27ED" w:rsidRDefault="00405040" w:rsidP="00405040">
      <w:pPr>
        <w:autoSpaceDE w:val="0"/>
        <w:autoSpaceDN w:val="0"/>
        <w:adjustRightInd w:val="0"/>
        <w:spacing w:before="120" w:after="0" w:line="360" w:lineRule="auto"/>
        <w:ind w:left="720"/>
        <w:rPr>
          <w:color w:val="000000"/>
          <w:szCs w:val="22"/>
        </w:rPr>
      </w:pPr>
      <w:r w:rsidRPr="009A27ED">
        <w:rPr>
          <w:rFonts w:ascii="Times New Roman" w:eastAsia="Times New Roman" w:hAnsi="Times New Roman"/>
          <w:color w:val="000000"/>
          <w:sz w:val="24"/>
          <w:szCs w:val="22"/>
        </w:rPr>
        <w:t>a) una descripción de la estrategia de consulta con los reasentados y las comunidades de acogida y de participación de éstos en la formulación y ejecución de las actividades de reasentamiento;</w:t>
      </w:r>
    </w:p>
    <w:p w14:paraId="664911F4" w14:textId="77777777" w:rsidR="00405040" w:rsidRPr="009A27ED" w:rsidRDefault="00405040" w:rsidP="00405040">
      <w:pPr>
        <w:autoSpaceDE w:val="0"/>
        <w:autoSpaceDN w:val="0"/>
        <w:adjustRightInd w:val="0"/>
        <w:spacing w:before="120" w:after="0" w:line="360" w:lineRule="auto"/>
        <w:ind w:left="720"/>
        <w:rPr>
          <w:color w:val="000000"/>
          <w:szCs w:val="22"/>
        </w:rPr>
      </w:pPr>
      <w:r w:rsidRPr="009A27ED">
        <w:rPr>
          <w:rFonts w:ascii="Times New Roman" w:eastAsia="Times New Roman" w:hAnsi="Times New Roman"/>
          <w:color w:val="000000"/>
          <w:sz w:val="24"/>
          <w:szCs w:val="22"/>
        </w:rPr>
        <w:t>b) un resumen de las opiniones expresadas y de la forma en que se tuvieron en cuenta al preparar el plan de reasentamiento;</w:t>
      </w:r>
    </w:p>
    <w:p w14:paraId="1C429F20" w14:textId="77777777" w:rsidR="00405040" w:rsidRPr="009A27ED" w:rsidRDefault="00405040" w:rsidP="00405040">
      <w:pPr>
        <w:autoSpaceDE w:val="0"/>
        <w:autoSpaceDN w:val="0"/>
        <w:adjustRightInd w:val="0"/>
        <w:spacing w:before="120" w:after="0" w:line="360" w:lineRule="auto"/>
        <w:ind w:left="720"/>
        <w:rPr>
          <w:color w:val="000000"/>
          <w:szCs w:val="22"/>
        </w:rPr>
      </w:pPr>
      <w:r w:rsidRPr="009A27ED">
        <w:rPr>
          <w:rFonts w:ascii="Times New Roman" w:eastAsia="Times New Roman" w:hAnsi="Times New Roman"/>
          <w:color w:val="000000"/>
          <w:sz w:val="24"/>
          <w:szCs w:val="22"/>
        </w:rPr>
        <w:t>c) un examen de las alternativas de reasentamiento presentadas y las decisiones adoptadas por las personas desplazadas con respecto a las opciones de que disponían, en particular las decisiones relativas a las formas de compensación y de asistencia para el reasentamiento, a su reubicación como unidades familiares individuales o como parte de comunidades preexistentes o de grupos de parientes, al mantenimiento de las modalidades existentes de organización en grupo y a la conservación del acceso a los `bienes culturales (por ejemplo, lugares de culto, centros de peregrinaje, cementerios), y</w:t>
      </w:r>
    </w:p>
    <w:p w14:paraId="42DF4E2A" w14:textId="77777777" w:rsidR="00405040" w:rsidRPr="009A27ED" w:rsidRDefault="00405040" w:rsidP="00405040">
      <w:pPr>
        <w:autoSpaceDE w:val="0"/>
        <w:autoSpaceDN w:val="0"/>
        <w:adjustRightInd w:val="0"/>
        <w:spacing w:before="120" w:after="0" w:line="360" w:lineRule="auto"/>
        <w:ind w:left="720"/>
        <w:rPr>
          <w:color w:val="000000"/>
          <w:szCs w:val="22"/>
        </w:rPr>
      </w:pPr>
      <w:r w:rsidRPr="009A27ED">
        <w:rPr>
          <w:rFonts w:ascii="Times New Roman" w:eastAsia="Times New Roman" w:hAnsi="Times New Roman"/>
          <w:color w:val="000000"/>
          <w:sz w:val="24"/>
          <w:szCs w:val="22"/>
        </w:rPr>
        <w:t xml:space="preserve">d) los mecanismos institucionalizados mediante los cuales las personas desplazadas pueden comunicar sus preocupaciones a las autoridades encargadas del proyecto a lo </w:t>
      </w:r>
      <w:r w:rsidRPr="009A27ED">
        <w:rPr>
          <w:rFonts w:ascii="Times New Roman" w:eastAsia="Times New Roman" w:hAnsi="Times New Roman"/>
          <w:color w:val="000000"/>
          <w:sz w:val="24"/>
          <w:szCs w:val="22"/>
        </w:rPr>
        <w:lastRenderedPageBreak/>
        <w:t>largo de todo el proceso de planificación y ejecución, y las medidas destinadas a velar por que los grupos vulnerables tales como las poblaciones indígenas, las minorías étnicas, los que carecen de tierras y las mujeres estén suficientemente representados.</w:t>
      </w:r>
    </w:p>
    <w:p w14:paraId="0BC67C4D" w14:textId="77777777" w:rsidR="00405040" w:rsidRPr="009A27ED" w:rsidRDefault="00405040" w:rsidP="00405040">
      <w:pPr>
        <w:autoSpaceDE w:val="0"/>
        <w:autoSpaceDN w:val="0"/>
        <w:adjustRightInd w:val="0"/>
        <w:spacing w:before="120" w:after="0" w:line="360" w:lineRule="auto"/>
        <w:rPr>
          <w:color w:val="000000"/>
          <w:szCs w:val="22"/>
        </w:rPr>
      </w:pPr>
      <w:r w:rsidRPr="009A27ED">
        <w:rPr>
          <w:rFonts w:ascii="Times New Roman" w:eastAsia="Times New Roman" w:hAnsi="Times New Roman" w:cs="TimesNewRoman"/>
          <w:color w:val="000000"/>
          <w:sz w:val="24"/>
          <w:szCs w:val="22"/>
        </w:rPr>
        <w:t xml:space="preserve">14. </w:t>
      </w:r>
      <w:r w:rsidRPr="009A27ED">
        <w:rPr>
          <w:rFonts w:ascii="Times New Roman" w:eastAsia="Times New Roman" w:hAnsi="Times New Roman"/>
          <w:i/>
          <w:iCs/>
          <w:color w:val="000000"/>
          <w:sz w:val="24"/>
          <w:szCs w:val="22"/>
          <w:u w:val="single"/>
        </w:rPr>
        <w:t>Integración con las poblaciones de acogida</w:t>
      </w:r>
      <w:r w:rsidRPr="009A27ED">
        <w:rPr>
          <w:rFonts w:ascii="Times New Roman" w:eastAsia="Times New Roman" w:hAnsi="Times New Roman"/>
          <w:color w:val="000000"/>
          <w:sz w:val="24"/>
          <w:szCs w:val="22"/>
        </w:rPr>
        <w:t>. Medidas para mitigar el impacto del reasentamiento en las comunidades de acogida, si las hay, en particular:</w:t>
      </w:r>
    </w:p>
    <w:p w14:paraId="589B3DAF" w14:textId="77777777" w:rsidR="00405040" w:rsidRPr="009A27ED" w:rsidRDefault="00405040" w:rsidP="00405040">
      <w:pPr>
        <w:autoSpaceDE w:val="0"/>
        <w:autoSpaceDN w:val="0"/>
        <w:adjustRightInd w:val="0"/>
        <w:spacing w:before="120" w:after="0" w:line="360" w:lineRule="auto"/>
        <w:ind w:firstLine="720"/>
        <w:rPr>
          <w:color w:val="000000"/>
          <w:szCs w:val="22"/>
        </w:rPr>
      </w:pPr>
      <w:r w:rsidRPr="009A27ED">
        <w:rPr>
          <w:rFonts w:ascii="Times New Roman" w:eastAsia="Times New Roman" w:hAnsi="Times New Roman"/>
          <w:color w:val="000000"/>
          <w:sz w:val="24"/>
          <w:szCs w:val="22"/>
        </w:rPr>
        <w:t>a) consultas con las comunidades de acogida y los gobiernos locales;</w:t>
      </w:r>
    </w:p>
    <w:p w14:paraId="569A46C1" w14:textId="77777777" w:rsidR="00405040" w:rsidRPr="009A27ED" w:rsidRDefault="00405040" w:rsidP="00405040">
      <w:pPr>
        <w:autoSpaceDE w:val="0"/>
        <w:autoSpaceDN w:val="0"/>
        <w:adjustRightInd w:val="0"/>
        <w:spacing w:before="120" w:after="0" w:line="360" w:lineRule="auto"/>
        <w:ind w:left="720"/>
        <w:rPr>
          <w:color w:val="000000"/>
          <w:szCs w:val="22"/>
        </w:rPr>
      </w:pPr>
      <w:r w:rsidRPr="009A27ED">
        <w:rPr>
          <w:rFonts w:ascii="Times New Roman" w:eastAsia="Times New Roman" w:hAnsi="Times New Roman"/>
          <w:color w:val="000000"/>
          <w:sz w:val="24"/>
          <w:szCs w:val="22"/>
        </w:rPr>
        <w:t>b) disposiciones para que se efectúen sin tardanza los pagos que se deban a las comunidades de acogida por las tierras u otros bienes proporcionados a los reasentados;</w:t>
      </w:r>
    </w:p>
    <w:p w14:paraId="77992E54" w14:textId="77777777" w:rsidR="00405040" w:rsidRPr="009A27ED" w:rsidRDefault="00405040" w:rsidP="00405040">
      <w:pPr>
        <w:autoSpaceDE w:val="0"/>
        <w:autoSpaceDN w:val="0"/>
        <w:adjustRightInd w:val="0"/>
        <w:spacing w:before="120" w:after="0" w:line="360" w:lineRule="auto"/>
        <w:ind w:left="720"/>
        <w:rPr>
          <w:color w:val="000000"/>
          <w:szCs w:val="22"/>
        </w:rPr>
      </w:pPr>
      <w:r w:rsidRPr="009A27ED">
        <w:rPr>
          <w:rFonts w:ascii="Times New Roman" w:eastAsia="Times New Roman" w:hAnsi="Times New Roman"/>
          <w:color w:val="000000"/>
          <w:sz w:val="24"/>
          <w:szCs w:val="22"/>
        </w:rPr>
        <w:t>c) disposiciones para atender a cualquier conflicto que pueda presentarse entre los reasentados y las comunidades de acogida, y</w:t>
      </w:r>
    </w:p>
    <w:p w14:paraId="4A935303" w14:textId="77777777" w:rsidR="00405040" w:rsidRPr="009A27ED" w:rsidRDefault="00405040" w:rsidP="00405040">
      <w:pPr>
        <w:autoSpaceDE w:val="0"/>
        <w:autoSpaceDN w:val="0"/>
        <w:adjustRightInd w:val="0"/>
        <w:spacing w:before="120" w:after="0" w:line="360" w:lineRule="auto"/>
        <w:ind w:left="720"/>
        <w:rPr>
          <w:color w:val="000000"/>
          <w:szCs w:val="22"/>
        </w:rPr>
      </w:pPr>
      <w:r w:rsidRPr="009A27ED">
        <w:rPr>
          <w:rFonts w:ascii="Times New Roman" w:eastAsia="Times New Roman" w:hAnsi="Times New Roman"/>
          <w:color w:val="000000"/>
          <w:sz w:val="24"/>
          <w:szCs w:val="22"/>
        </w:rPr>
        <w:t>d) las medidas que sean necesarias para aumentar los servicios (por ejemplo, educación, abastecimiento de agua, salud, y servicios de producción) en las comunidades de acogida, a fin de hacerlos comparables, como mínimo, a los servicios de que disponen los reasentados.</w:t>
      </w:r>
    </w:p>
    <w:p w14:paraId="10E475BB" w14:textId="4C759FD9" w:rsidR="00405040" w:rsidRPr="009A27ED" w:rsidRDefault="00405040" w:rsidP="00405040">
      <w:pPr>
        <w:autoSpaceDE w:val="0"/>
        <w:autoSpaceDN w:val="0"/>
        <w:adjustRightInd w:val="0"/>
        <w:spacing w:before="120" w:after="0" w:line="360" w:lineRule="auto"/>
        <w:rPr>
          <w:color w:val="000000"/>
          <w:szCs w:val="22"/>
        </w:rPr>
      </w:pPr>
      <w:r w:rsidRPr="009A27ED">
        <w:rPr>
          <w:rFonts w:ascii="Times New Roman" w:eastAsia="Times New Roman" w:hAnsi="Times New Roman"/>
          <w:color w:val="000000"/>
          <w:sz w:val="24"/>
          <w:szCs w:val="22"/>
        </w:rPr>
        <w:t xml:space="preserve">15. </w:t>
      </w:r>
      <w:r w:rsidRPr="009A27ED">
        <w:rPr>
          <w:rFonts w:ascii="Times New Roman" w:eastAsia="Times New Roman" w:hAnsi="Times New Roman"/>
          <w:i/>
          <w:iCs/>
          <w:color w:val="000000"/>
          <w:sz w:val="24"/>
          <w:szCs w:val="22"/>
          <w:u w:val="single"/>
        </w:rPr>
        <w:t>Procedimientos de reclamación</w:t>
      </w:r>
      <w:r w:rsidRPr="009A27ED">
        <w:rPr>
          <w:rFonts w:ascii="Times New Roman" w:eastAsia="Times New Roman" w:hAnsi="Times New Roman"/>
          <w:color w:val="000000"/>
          <w:sz w:val="24"/>
          <w:szCs w:val="22"/>
        </w:rPr>
        <w:t xml:space="preserve">. </w:t>
      </w:r>
      <w:r w:rsidR="00265764" w:rsidRPr="009A27ED">
        <w:rPr>
          <w:rFonts w:ascii="Times New Roman" w:eastAsia="Times New Roman" w:hAnsi="Times New Roman"/>
          <w:color w:val="000000"/>
          <w:sz w:val="24"/>
          <w:szCs w:val="22"/>
        </w:rPr>
        <w:t xml:space="preserve">Se utilizarán mecanismos de quejas, reclamos y manejo de conflictos REDD+ </w:t>
      </w:r>
    </w:p>
    <w:p w14:paraId="27854008" w14:textId="77777777" w:rsidR="00405040" w:rsidRPr="009A27ED" w:rsidRDefault="00405040" w:rsidP="00405040">
      <w:pPr>
        <w:autoSpaceDE w:val="0"/>
        <w:autoSpaceDN w:val="0"/>
        <w:adjustRightInd w:val="0"/>
        <w:spacing w:before="120" w:after="0" w:line="360" w:lineRule="auto"/>
        <w:rPr>
          <w:color w:val="000000"/>
          <w:szCs w:val="22"/>
        </w:rPr>
      </w:pPr>
      <w:r w:rsidRPr="009A27ED">
        <w:rPr>
          <w:rFonts w:ascii="Times New Roman" w:eastAsia="Times New Roman" w:hAnsi="Times New Roman"/>
          <w:color w:val="000000"/>
          <w:sz w:val="24"/>
          <w:szCs w:val="22"/>
        </w:rPr>
        <w:t xml:space="preserve">16. </w:t>
      </w:r>
      <w:r w:rsidRPr="009A27ED">
        <w:rPr>
          <w:rFonts w:ascii="Times New Roman" w:eastAsia="Times New Roman" w:hAnsi="Times New Roman"/>
          <w:i/>
          <w:iCs/>
          <w:color w:val="000000"/>
          <w:sz w:val="24"/>
          <w:szCs w:val="22"/>
          <w:u w:val="single"/>
        </w:rPr>
        <w:t>Responsabilidades institucionales</w:t>
      </w:r>
      <w:r w:rsidRPr="009A27ED">
        <w:rPr>
          <w:rFonts w:ascii="Times New Roman" w:eastAsia="Times New Roman" w:hAnsi="Times New Roman"/>
          <w:color w:val="000000"/>
          <w:sz w:val="24"/>
          <w:szCs w:val="22"/>
        </w:rPr>
        <w:t>. El marco institucional para la ejecución del reasentamiento, en particular la identificación de los organismos responsables del cumplimiento de las medidas de reasentamiento y el suministro de servicios; los mecanismos necesarios para asegurar una coordinación apropiada entre los organismos y las jurisdicciones que participan en la ejecución, y las medidas (en particular medidas de asistencia técnica) que sean necesarias para fortalecer la capacidad de los organismos de ejecución para formular y llevar a cabo actividades de reasentamiento; las disposiciones para la transferencia a las autoridades locales o a los propios reasentados de la función de gestión de instalaciones y servicios proporcionados en relación con el proyecto y para la transferencia de otras responsabilidades de esa índole de los organismos de ejecución del reasentamiento, cuando proceda.</w:t>
      </w:r>
    </w:p>
    <w:p w14:paraId="3DF6361E" w14:textId="77777777" w:rsidR="00405040" w:rsidRPr="009A27ED" w:rsidRDefault="00405040" w:rsidP="00405040">
      <w:pPr>
        <w:autoSpaceDE w:val="0"/>
        <w:autoSpaceDN w:val="0"/>
        <w:adjustRightInd w:val="0"/>
        <w:spacing w:before="120" w:after="0" w:line="360" w:lineRule="auto"/>
        <w:rPr>
          <w:color w:val="000000"/>
          <w:szCs w:val="22"/>
        </w:rPr>
      </w:pPr>
      <w:r w:rsidRPr="009A27ED">
        <w:rPr>
          <w:rFonts w:ascii="Times New Roman" w:eastAsia="Times New Roman" w:hAnsi="Times New Roman"/>
          <w:color w:val="000000"/>
          <w:sz w:val="24"/>
          <w:szCs w:val="22"/>
        </w:rPr>
        <w:lastRenderedPageBreak/>
        <w:t xml:space="preserve">17. </w:t>
      </w:r>
      <w:r w:rsidRPr="009A27ED">
        <w:rPr>
          <w:rFonts w:ascii="Times New Roman" w:eastAsia="Times New Roman" w:hAnsi="Times New Roman"/>
          <w:i/>
          <w:iCs/>
          <w:color w:val="000000"/>
          <w:sz w:val="24"/>
          <w:szCs w:val="22"/>
          <w:u w:val="single"/>
        </w:rPr>
        <w:t>Calendario de ejecución</w:t>
      </w:r>
      <w:r w:rsidRPr="009A27ED">
        <w:rPr>
          <w:rFonts w:ascii="Times New Roman" w:eastAsia="Times New Roman" w:hAnsi="Times New Roman"/>
          <w:color w:val="000000"/>
          <w:sz w:val="24"/>
          <w:szCs w:val="22"/>
        </w:rPr>
        <w:t>. Un calendario de ejecución que abarque todas las actividades de reasentamiento desde la preparación hasta la ejecución, incluso las fechas en que se estima que las poblaciones reasentadas y las poblaciones de acogida obtendrán los beneficios previstos y las fechas de terminación de las distintas formas de asistencia. En el calendario se debería indicar la forma en que las actividades de reasentamiento estarán vinculadas a la ejecución del proyecto en general.</w:t>
      </w:r>
    </w:p>
    <w:p w14:paraId="2986F41E" w14:textId="77777777" w:rsidR="00405040" w:rsidRPr="009A27ED" w:rsidRDefault="00405040" w:rsidP="00405040">
      <w:pPr>
        <w:autoSpaceDE w:val="0"/>
        <w:autoSpaceDN w:val="0"/>
        <w:adjustRightInd w:val="0"/>
        <w:spacing w:before="120" w:after="0" w:line="360" w:lineRule="auto"/>
        <w:rPr>
          <w:color w:val="000000"/>
          <w:szCs w:val="22"/>
        </w:rPr>
      </w:pPr>
      <w:r w:rsidRPr="009A27ED">
        <w:rPr>
          <w:rFonts w:ascii="Times New Roman" w:eastAsia="Times New Roman" w:hAnsi="Times New Roman"/>
          <w:color w:val="000000"/>
          <w:sz w:val="24"/>
          <w:szCs w:val="22"/>
        </w:rPr>
        <w:t xml:space="preserve">18. </w:t>
      </w:r>
      <w:r w:rsidRPr="009A27ED">
        <w:rPr>
          <w:rFonts w:ascii="Times New Roman" w:eastAsia="Times New Roman" w:hAnsi="Times New Roman"/>
          <w:i/>
          <w:iCs/>
          <w:color w:val="000000"/>
          <w:sz w:val="24"/>
          <w:szCs w:val="22"/>
          <w:u w:val="single"/>
        </w:rPr>
        <w:t>Costos y presupuesto</w:t>
      </w:r>
      <w:r w:rsidRPr="009A27ED">
        <w:rPr>
          <w:rFonts w:ascii="Times New Roman" w:eastAsia="Times New Roman" w:hAnsi="Times New Roman"/>
          <w:color w:val="000000"/>
          <w:sz w:val="24"/>
          <w:szCs w:val="22"/>
        </w:rPr>
        <w:t>. Cuadros en que figuren estimaciones detalladas de los costos de todas las actividades de reasentamiento, incluso teniendo en cuenta la inflación, el crecimiento de la población y otros imprevistos; calendarios para los gastos; fuentes de fondos; y disposiciones para la afluencia oportuna de fondos, y financiamiento para el reasentamiento, según el caso, en zonas que quedan fuera de la jurisdicción de los organismos de ejecución.</w:t>
      </w:r>
    </w:p>
    <w:p w14:paraId="394FE6DC" w14:textId="77777777" w:rsidR="00405040" w:rsidRPr="009A27ED" w:rsidRDefault="00405040" w:rsidP="00405040">
      <w:pPr>
        <w:autoSpaceDE w:val="0"/>
        <w:autoSpaceDN w:val="0"/>
        <w:adjustRightInd w:val="0"/>
        <w:spacing w:before="120" w:after="0" w:line="360" w:lineRule="auto"/>
        <w:rPr>
          <w:color w:val="000000"/>
          <w:szCs w:val="22"/>
        </w:rPr>
      </w:pPr>
      <w:r w:rsidRPr="009A27ED">
        <w:rPr>
          <w:rFonts w:ascii="Times New Roman" w:eastAsia="Times New Roman" w:hAnsi="Times New Roman"/>
          <w:color w:val="000000"/>
          <w:sz w:val="24"/>
          <w:szCs w:val="22"/>
        </w:rPr>
        <w:t xml:space="preserve">19. </w:t>
      </w:r>
      <w:r w:rsidRPr="009A27ED">
        <w:rPr>
          <w:rFonts w:ascii="Times New Roman" w:eastAsia="Times New Roman" w:hAnsi="Times New Roman"/>
          <w:i/>
          <w:iCs/>
          <w:color w:val="000000"/>
          <w:sz w:val="24"/>
          <w:szCs w:val="22"/>
          <w:u w:val="single"/>
        </w:rPr>
        <w:t>Seguimiento y evaluación</w:t>
      </w:r>
      <w:r w:rsidRPr="009A27ED">
        <w:rPr>
          <w:rFonts w:ascii="Times New Roman" w:eastAsia="Times New Roman" w:hAnsi="Times New Roman"/>
          <w:color w:val="000000"/>
          <w:sz w:val="24"/>
          <w:szCs w:val="22"/>
        </w:rPr>
        <w:t>. Disposiciones para el seguimiento de las actividades de reasentamiento por parte del organismo de ejecución, complementadas con actividades de seguimiento realizadas por supervisores independientes, según el Banco lo estime apropiado, para velar que la información sea completa y objetiva; indicadores de seguimiento del desempeño para medir los insumos, los productos y los resultados de las actividades de reasentamiento; participación de las personas desplazadas en el proceso de seguimiento; evaluación del impacto del reasentamiento durante un período razonable después de que todas</w:t>
      </w:r>
    </w:p>
    <w:p w14:paraId="5CEBBE31" w14:textId="0DC052A4" w:rsidR="00405040" w:rsidRPr="009A27ED" w:rsidRDefault="00405040" w:rsidP="00405040">
      <w:pPr>
        <w:autoSpaceDE w:val="0"/>
        <w:autoSpaceDN w:val="0"/>
        <w:adjustRightInd w:val="0"/>
        <w:spacing w:before="120" w:after="0" w:line="360" w:lineRule="auto"/>
        <w:rPr>
          <w:color w:val="000000"/>
          <w:szCs w:val="22"/>
        </w:rPr>
      </w:pPr>
      <w:r w:rsidRPr="009A27ED">
        <w:rPr>
          <w:rFonts w:ascii="Times New Roman" w:eastAsia="Times New Roman" w:hAnsi="Times New Roman"/>
          <w:color w:val="000000"/>
          <w:sz w:val="24"/>
          <w:szCs w:val="22"/>
        </w:rPr>
        <w:t>Las actividades de reasentamiento y actividades de desarrollo conexas hayan quedado terminadas; utilización de los resultados del seguimiento del reasentamiento como guía para la ejecución posterior.</w:t>
      </w:r>
    </w:p>
    <w:p w14:paraId="3BD2F320" w14:textId="77777777" w:rsidR="00856454" w:rsidRPr="009A27ED" w:rsidRDefault="00856454" w:rsidP="00405040">
      <w:pPr>
        <w:autoSpaceDE w:val="0"/>
        <w:autoSpaceDN w:val="0"/>
        <w:adjustRightInd w:val="0"/>
        <w:spacing w:before="120" w:after="0" w:line="360" w:lineRule="auto"/>
        <w:rPr>
          <w:b/>
          <w:bCs/>
          <w:szCs w:val="22"/>
        </w:rPr>
      </w:pPr>
    </w:p>
    <w:p w14:paraId="5AEC5815" w14:textId="3A5DCECA" w:rsidR="00405040" w:rsidRPr="009A27ED" w:rsidRDefault="00405040" w:rsidP="00405040">
      <w:pPr>
        <w:autoSpaceDE w:val="0"/>
        <w:autoSpaceDN w:val="0"/>
        <w:adjustRightInd w:val="0"/>
        <w:spacing w:before="120" w:after="0" w:line="360" w:lineRule="auto"/>
        <w:rPr>
          <w:color w:val="000000"/>
          <w:szCs w:val="22"/>
        </w:rPr>
      </w:pPr>
      <w:r w:rsidRPr="009A27ED">
        <w:rPr>
          <w:rFonts w:ascii="Times New Roman" w:eastAsia="Times New Roman" w:hAnsi="Times New Roman"/>
          <w:b/>
          <w:bCs/>
          <w:sz w:val="24"/>
          <w:szCs w:val="22"/>
        </w:rPr>
        <w:t>Plan de Reasentamiento Involuntario Abreviado</w:t>
      </w:r>
    </w:p>
    <w:p w14:paraId="37FC0841" w14:textId="77777777" w:rsidR="00405040" w:rsidRPr="009A27ED" w:rsidRDefault="00405040" w:rsidP="00405040">
      <w:pPr>
        <w:autoSpaceDE w:val="0"/>
        <w:autoSpaceDN w:val="0"/>
        <w:adjustRightInd w:val="0"/>
        <w:spacing w:before="120" w:after="0" w:line="360" w:lineRule="auto"/>
        <w:rPr>
          <w:color w:val="000000"/>
          <w:szCs w:val="22"/>
        </w:rPr>
      </w:pPr>
      <w:r w:rsidRPr="009A27ED">
        <w:rPr>
          <w:rFonts w:ascii="Times New Roman" w:eastAsia="Times New Roman" w:hAnsi="Times New Roman"/>
          <w:color w:val="000000"/>
          <w:sz w:val="24"/>
          <w:szCs w:val="22"/>
        </w:rPr>
        <w:t>El Plan de Reasentamiento Involuntario Abreviado comprenderá, como mínimo, los elementos siguientes:</w:t>
      </w:r>
    </w:p>
    <w:p w14:paraId="5AD56B4C" w14:textId="77777777" w:rsidR="00405040" w:rsidRPr="009A27ED" w:rsidRDefault="00405040" w:rsidP="00D42802">
      <w:pPr>
        <w:pStyle w:val="Prrafodelista"/>
        <w:numPr>
          <w:ilvl w:val="0"/>
          <w:numId w:val="77"/>
        </w:numPr>
        <w:autoSpaceDE w:val="0"/>
        <w:autoSpaceDN w:val="0"/>
        <w:adjustRightInd w:val="0"/>
        <w:spacing w:before="120" w:after="0" w:line="360" w:lineRule="auto"/>
        <w:rPr>
          <w:color w:val="000000" w:themeColor="text1"/>
          <w:szCs w:val="22"/>
        </w:rPr>
      </w:pPr>
      <w:r w:rsidRPr="009A27ED">
        <w:rPr>
          <w:rFonts w:ascii="Times New Roman" w:eastAsia="Times New Roman" w:hAnsi="Times New Roman"/>
          <w:color w:val="000000" w:themeColor="text1"/>
          <w:sz w:val="24"/>
          <w:szCs w:val="22"/>
        </w:rPr>
        <w:t>descripción del componente o las actividades del proyecto que dan origen a reasentamiento;</w:t>
      </w:r>
    </w:p>
    <w:p w14:paraId="4882199A" w14:textId="77777777" w:rsidR="00405040" w:rsidRPr="009A27ED" w:rsidRDefault="00405040" w:rsidP="00D42802">
      <w:pPr>
        <w:pStyle w:val="Prrafodelista"/>
        <w:numPr>
          <w:ilvl w:val="0"/>
          <w:numId w:val="77"/>
        </w:numPr>
        <w:autoSpaceDE w:val="0"/>
        <w:autoSpaceDN w:val="0"/>
        <w:adjustRightInd w:val="0"/>
        <w:spacing w:before="120" w:after="0" w:line="360" w:lineRule="auto"/>
        <w:rPr>
          <w:color w:val="000000" w:themeColor="text1"/>
          <w:szCs w:val="22"/>
        </w:rPr>
      </w:pPr>
      <w:r w:rsidRPr="009A27ED">
        <w:rPr>
          <w:rFonts w:ascii="Times New Roman" w:eastAsia="Times New Roman" w:hAnsi="Times New Roman"/>
          <w:color w:val="000000" w:themeColor="text1"/>
          <w:sz w:val="24"/>
          <w:szCs w:val="22"/>
        </w:rPr>
        <w:lastRenderedPageBreak/>
        <w:t>la zona de impacto del componente o de las actividades;</w:t>
      </w:r>
    </w:p>
    <w:p w14:paraId="421CFE5D" w14:textId="77777777" w:rsidR="00405040" w:rsidRPr="009A27ED" w:rsidRDefault="00405040" w:rsidP="00D42802">
      <w:pPr>
        <w:pStyle w:val="Prrafodelista"/>
        <w:numPr>
          <w:ilvl w:val="0"/>
          <w:numId w:val="77"/>
        </w:numPr>
        <w:autoSpaceDE w:val="0"/>
        <w:autoSpaceDN w:val="0"/>
        <w:adjustRightInd w:val="0"/>
        <w:spacing w:before="120" w:after="0" w:line="360" w:lineRule="auto"/>
        <w:rPr>
          <w:color w:val="000000" w:themeColor="text1"/>
          <w:szCs w:val="22"/>
        </w:rPr>
      </w:pPr>
      <w:r w:rsidRPr="009A27ED">
        <w:rPr>
          <w:rFonts w:ascii="Times New Roman" w:eastAsia="Times New Roman" w:hAnsi="Times New Roman"/>
          <w:color w:val="000000" w:themeColor="text1"/>
          <w:sz w:val="24"/>
          <w:szCs w:val="22"/>
        </w:rPr>
        <w:t>las alternativas estudiadas para evitar o reducir al mínimo el reasentamiento, y</w:t>
      </w:r>
    </w:p>
    <w:p w14:paraId="6D571252" w14:textId="77777777" w:rsidR="00405040" w:rsidRPr="009A27ED" w:rsidRDefault="00405040" w:rsidP="00D42802">
      <w:pPr>
        <w:pStyle w:val="Prrafodelista"/>
        <w:numPr>
          <w:ilvl w:val="0"/>
          <w:numId w:val="77"/>
        </w:numPr>
        <w:autoSpaceDE w:val="0"/>
        <w:autoSpaceDN w:val="0"/>
        <w:adjustRightInd w:val="0"/>
        <w:spacing w:before="120" w:after="0" w:line="360" w:lineRule="auto"/>
        <w:rPr>
          <w:color w:val="000000" w:themeColor="text1"/>
          <w:szCs w:val="22"/>
        </w:rPr>
      </w:pPr>
      <w:r w:rsidRPr="009A27ED">
        <w:rPr>
          <w:rFonts w:ascii="Times New Roman" w:eastAsia="Times New Roman" w:hAnsi="Times New Roman"/>
          <w:color w:val="000000" w:themeColor="text1"/>
          <w:sz w:val="24"/>
          <w:szCs w:val="22"/>
        </w:rPr>
        <w:t>los mecanismos establecidos para reducir al mínimo el reasentamiento durante la ejecución del proyecto, dentro de lo posible:</w:t>
      </w:r>
    </w:p>
    <w:p w14:paraId="4066BA24" w14:textId="77777777" w:rsidR="00405040" w:rsidRPr="009A27ED" w:rsidRDefault="00405040" w:rsidP="00D42802">
      <w:pPr>
        <w:pStyle w:val="Prrafodelista"/>
        <w:numPr>
          <w:ilvl w:val="0"/>
          <w:numId w:val="77"/>
        </w:numPr>
        <w:autoSpaceDE w:val="0"/>
        <w:autoSpaceDN w:val="0"/>
        <w:adjustRightInd w:val="0"/>
        <w:spacing w:before="120" w:after="0" w:line="360" w:lineRule="auto"/>
        <w:rPr>
          <w:color w:val="000000"/>
          <w:szCs w:val="22"/>
          <w:lang w:val="es-ES"/>
        </w:rPr>
      </w:pPr>
      <w:r w:rsidRPr="009A27ED">
        <w:rPr>
          <w:rFonts w:ascii="Times New Roman" w:eastAsia="Times New Roman" w:hAnsi="Times New Roman"/>
          <w:color w:val="000000"/>
          <w:sz w:val="24"/>
          <w:szCs w:val="22"/>
          <w:lang w:val="es-ES"/>
        </w:rPr>
        <w:t>Un censo de las personas afectadas por reasentamiento involuntario y la valoración de los activos;</w:t>
      </w:r>
    </w:p>
    <w:p w14:paraId="3FFFD5B6" w14:textId="77777777" w:rsidR="00405040" w:rsidRPr="009A27ED" w:rsidRDefault="00405040" w:rsidP="00D42802">
      <w:pPr>
        <w:pStyle w:val="Prrafodelista"/>
        <w:numPr>
          <w:ilvl w:val="0"/>
          <w:numId w:val="77"/>
        </w:numPr>
        <w:autoSpaceDE w:val="0"/>
        <w:autoSpaceDN w:val="0"/>
        <w:adjustRightInd w:val="0"/>
        <w:spacing w:before="120" w:after="0" w:line="360" w:lineRule="auto"/>
        <w:rPr>
          <w:color w:val="000000"/>
          <w:szCs w:val="22"/>
          <w:lang w:val="es-ES"/>
        </w:rPr>
      </w:pPr>
      <w:r w:rsidRPr="009A27ED">
        <w:rPr>
          <w:rFonts w:ascii="Times New Roman" w:eastAsia="Times New Roman" w:hAnsi="Times New Roman"/>
          <w:color w:val="000000"/>
          <w:sz w:val="24"/>
          <w:szCs w:val="22"/>
          <w:lang w:val="es-ES"/>
        </w:rPr>
        <w:t>Una descripción de la compensación y otro tipo de asistencia para el reasentamiento que se ha de proporcionar;</w:t>
      </w:r>
    </w:p>
    <w:p w14:paraId="54B690C4" w14:textId="77777777" w:rsidR="00405040" w:rsidRPr="009A27ED" w:rsidRDefault="00405040" w:rsidP="00D42802">
      <w:pPr>
        <w:pStyle w:val="Prrafodelista"/>
        <w:numPr>
          <w:ilvl w:val="0"/>
          <w:numId w:val="77"/>
        </w:numPr>
        <w:autoSpaceDE w:val="0"/>
        <w:autoSpaceDN w:val="0"/>
        <w:adjustRightInd w:val="0"/>
        <w:spacing w:before="120" w:after="0" w:line="360" w:lineRule="auto"/>
        <w:rPr>
          <w:color w:val="000000"/>
          <w:szCs w:val="22"/>
          <w:lang w:val="es-ES"/>
        </w:rPr>
      </w:pPr>
      <w:r w:rsidRPr="009A27ED">
        <w:rPr>
          <w:rFonts w:ascii="Times New Roman" w:eastAsia="Times New Roman" w:hAnsi="Times New Roman"/>
          <w:sz w:val="24"/>
          <w:szCs w:val="22"/>
          <w:lang w:val="es-ES"/>
        </w:rPr>
        <w:t>La celebración de consultas con las personas desplazadas sobre alternativas aceptables;</w:t>
      </w:r>
    </w:p>
    <w:p w14:paraId="7ADC8D62" w14:textId="77777777" w:rsidR="00405040" w:rsidRPr="009A27ED" w:rsidRDefault="00405040" w:rsidP="00D42802">
      <w:pPr>
        <w:pStyle w:val="Prrafodelista"/>
        <w:numPr>
          <w:ilvl w:val="0"/>
          <w:numId w:val="77"/>
        </w:numPr>
        <w:autoSpaceDE w:val="0"/>
        <w:autoSpaceDN w:val="0"/>
        <w:adjustRightInd w:val="0"/>
        <w:spacing w:before="120" w:after="0" w:line="360" w:lineRule="auto"/>
        <w:rPr>
          <w:color w:val="000000"/>
          <w:szCs w:val="22"/>
          <w:lang w:val="es-ES"/>
        </w:rPr>
      </w:pPr>
      <w:r w:rsidRPr="009A27ED">
        <w:rPr>
          <w:rFonts w:ascii="Times New Roman" w:eastAsia="Times New Roman" w:hAnsi="Times New Roman"/>
          <w:sz w:val="24"/>
          <w:szCs w:val="22"/>
          <w:lang w:val="es-ES"/>
        </w:rPr>
        <w:t xml:space="preserve">Responsabilidad institucional por la ejecución y los procedimientos para la compensación de las reclamaciones; </w:t>
      </w:r>
    </w:p>
    <w:p w14:paraId="7A28F52A" w14:textId="77777777" w:rsidR="00405040" w:rsidRPr="009A27ED" w:rsidRDefault="00405040" w:rsidP="00D42802">
      <w:pPr>
        <w:pStyle w:val="Prrafodelista"/>
        <w:numPr>
          <w:ilvl w:val="0"/>
          <w:numId w:val="77"/>
        </w:numPr>
        <w:autoSpaceDE w:val="0"/>
        <w:autoSpaceDN w:val="0"/>
        <w:adjustRightInd w:val="0"/>
        <w:spacing w:before="120" w:after="0" w:line="360" w:lineRule="auto"/>
        <w:rPr>
          <w:color w:val="000000"/>
          <w:szCs w:val="22"/>
          <w:lang w:val="es-ES"/>
        </w:rPr>
      </w:pPr>
      <w:r w:rsidRPr="009A27ED">
        <w:rPr>
          <w:rFonts w:ascii="Times New Roman" w:eastAsia="Times New Roman" w:hAnsi="Times New Roman"/>
          <w:sz w:val="24"/>
          <w:szCs w:val="22"/>
          <w:lang w:val="es-ES"/>
        </w:rPr>
        <w:t xml:space="preserve">Disposiciones sobre seguimiento y evaluación, y </w:t>
      </w:r>
    </w:p>
    <w:p w14:paraId="1052432C" w14:textId="77777777" w:rsidR="00405040" w:rsidRPr="009A27ED" w:rsidRDefault="00405040" w:rsidP="00D42802">
      <w:pPr>
        <w:pStyle w:val="Prrafodelista"/>
        <w:numPr>
          <w:ilvl w:val="0"/>
          <w:numId w:val="77"/>
        </w:numPr>
        <w:autoSpaceDE w:val="0"/>
        <w:autoSpaceDN w:val="0"/>
        <w:adjustRightInd w:val="0"/>
        <w:spacing w:before="120" w:after="0" w:line="360" w:lineRule="auto"/>
        <w:rPr>
          <w:color w:val="000000"/>
          <w:szCs w:val="22"/>
          <w:lang w:val="es-ES"/>
        </w:rPr>
      </w:pPr>
      <w:r w:rsidRPr="009A27ED">
        <w:rPr>
          <w:rFonts w:ascii="Times New Roman" w:eastAsia="Times New Roman" w:hAnsi="Times New Roman"/>
          <w:sz w:val="24"/>
          <w:szCs w:val="22"/>
          <w:lang w:val="es-ES"/>
        </w:rPr>
        <w:t xml:space="preserve">Calendario y presupuesto. </w:t>
      </w:r>
    </w:p>
    <w:p w14:paraId="3EE7ACA7" w14:textId="77777777" w:rsidR="00405040" w:rsidRPr="009A27ED" w:rsidRDefault="00405040" w:rsidP="00405040">
      <w:pPr>
        <w:autoSpaceDE w:val="0"/>
        <w:autoSpaceDN w:val="0"/>
        <w:adjustRightInd w:val="0"/>
        <w:spacing w:before="120" w:after="0" w:line="360" w:lineRule="auto"/>
        <w:rPr>
          <w:szCs w:val="22"/>
        </w:rPr>
      </w:pPr>
    </w:p>
    <w:p w14:paraId="58D748F3" w14:textId="77777777" w:rsidR="00405040" w:rsidRPr="009A27ED" w:rsidRDefault="00405040" w:rsidP="00405040">
      <w:pPr>
        <w:autoSpaceDE w:val="0"/>
        <w:autoSpaceDN w:val="0"/>
        <w:adjustRightInd w:val="0"/>
        <w:spacing w:before="120" w:after="0" w:line="360" w:lineRule="auto"/>
        <w:rPr>
          <w:b/>
          <w:szCs w:val="22"/>
        </w:rPr>
      </w:pPr>
      <w:r w:rsidRPr="009A27ED">
        <w:rPr>
          <w:rFonts w:ascii="Times New Roman" w:eastAsia="Times New Roman" w:hAnsi="Times New Roman"/>
          <w:b/>
          <w:sz w:val="24"/>
          <w:szCs w:val="22"/>
        </w:rPr>
        <w:t xml:space="preserve">Normas de Procedimiento (NP) </w:t>
      </w:r>
    </w:p>
    <w:p w14:paraId="56167AA7" w14:textId="77777777" w:rsidR="00405040" w:rsidRPr="009A27ED" w:rsidRDefault="00405040" w:rsidP="00405040">
      <w:pPr>
        <w:autoSpaceDE w:val="0"/>
        <w:autoSpaceDN w:val="0"/>
        <w:adjustRightInd w:val="0"/>
        <w:spacing w:before="120" w:after="0" w:line="360" w:lineRule="auto"/>
        <w:rPr>
          <w:rFonts w:cs="TimesNewRoman"/>
          <w:color w:val="000000"/>
          <w:szCs w:val="22"/>
        </w:rPr>
      </w:pPr>
      <w:r w:rsidRPr="009A27ED">
        <w:rPr>
          <w:rFonts w:ascii="Times New Roman" w:eastAsia="Times New Roman" w:hAnsi="Times New Roman"/>
          <w:sz w:val="24"/>
          <w:szCs w:val="22"/>
        </w:rPr>
        <w:t xml:space="preserve">Dado que </w:t>
      </w:r>
      <w:r w:rsidRPr="009A27ED">
        <w:rPr>
          <w:rFonts w:ascii="Times New Roman" w:eastAsia="Times New Roman" w:hAnsi="Times New Roman"/>
          <w:color w:val="000000" w:themeColor="text1"/>
          <w:sz w:val="24"/>
          <w:szCs w:val="22"/>
        </w:rPr>
        <w:t xml:space="preserve">las acciones de la EN- REDD+ pueden potencialmente implicar restricciones involuntarias de acceso a los recursos naturales en las zonas designadas parques por la ley y las zonas protegidas, se incluye en el MPRI las siguientes Normas de Procedimiento. El objetivo de estas es establecer un proceso mediante el cual los miembros </w:t>
      </w:r>
      <w:r w:rsidRPr="009A27ED">
        <w:rPr>
          <w:rFonts w:ascii="Times New Roman" w:eastAsia="Times New Roman" w:hAnsi="Times New Roman"/>
          <w:color w:val="000000"/>
          <w:sz w:val="24"/>
          <w:szCs w:val="22"/>
        </w:rPr>
        <w:t>de las comunidades posiblemente afectadas participen en la formulación de los componentes del proyecto, la determinación de las medidas necesarias para lograr los objetivos del MPRI, y la ejecución y el seguimiento de las actividades pertinentes del proyecto.</w:t>
      </w:r>
    </w:p>
    <w:p w14:paraId="376C337B" w14:textId="77777777" w:rsidR="00405040" w:rsidRPr="009A27ED" w:rsidRDefault="00405040" w:rsidP="00405040">
      <w:pPr>
        <w:autoSpaceDE w:val="0"/>
        <w:autoSpaceDN w:val="0"/>
        <w:adjustRightInd w:val="0"/>
        <w:spacing w:before="120" w:after="0" w:line="360" w:lineRule="auto"/>
        <w:rPr>
          <w:color w:val="000000" w:themeColor="text1"/>
          <w:szCs w:val="22"/>
        </w:rPr>
      </w:pPr>
      <w:r w:rsidRPr="009A27ED">
        <w:rPr>
          <w:rFonts w:ascii="Times New Roman" w:eastAsia="Times New Roman" w:hAnsi="Times New Roman"/>
          <w:color w:val="000000"/>
          <w:sz w:val="24"/>
          <w:szCs w:val="22"/>
        </w:rPr>
        <w:t xml:space="preserve">Concretamente, toda vez que se identifique que una o varias actividades REDD+ implican una restricción involuntaria a recursos naturales en áreas protegidas por ley, se preparará un Plan de Acción en cuyo diseño se preverá mediante </w:t>
      </w:r>
      <w:r w:rsidRPr="009A27ED">
        <w:rPr>
          <w:rFonts w:ascii="Times New Roman" w:eastAsia="Times New Roman" w:hAnsi="Times New Roman"/>
          <w:color w:val="000000" w:themeColor="text1"/>
          <w:sz w:val="24"/>
          <w:szCs w:val="22"/>
        </w:rPr>
        <w:t>procesos de participación que se lleven a cabo las siguientes actividades:</w:t>
      </w:r>
    </w:p>
    <w:p w14:paraId="4CFFD537" w14:textId="77777777" w:rsidR="00405040" w:rsidRPr="009A27ED" w:rsidRDefault="00405040" w:rsidP="00405040">
      <w:pPr>
        <w:autoSpaceDE w:val="0"/>
        <w:autoSpaceDN w:val="0"/>
        <w:adjustRightInd w:val="0"/>
        <w:spacing w:before="120" w:after="0" w:line="360" w:lineRule="auto"/>
        <w:ind w:left="720"/>
        <w:rPr>
          <w:color w:val="000000" w:themeColor="text1"/>
          <w:szCs w:val="22"/>
        </w:rPr>
      </w:pPr>
      <w:r w:rsidRPr="009A27ED">
        <w:rPr>
          <w:rFonts w:ascii="Times New Roman" w:eastAsia="Times New Roman" w:hAnsi="Times New Roman"/>
          <w:color w:val="000000" w:themeColor="text1"/>
          <w:sz w:val="24"/>
          <w:szCs w:val="22"/>
        </w:rPr>
        <w:t xml:space="preserve">a) </w:t>
      </w:r>
      <w:r w:rsidRPr="009A27ED">
        <w:rPr>
          <w:rFonts w:ascii="Times New Roman" w:eastAsia="Times New Roman" w:hAnsi="Times New Roman"/>
          <w:i/>
          <w:iCs/>
          <w:color w:val="000000" w:themeColor="text1"/>
          <w:sz w:val="24"/>
          <w:szCs w:val="22"/>
          <w:u w:val="single"/>
        </w:rPr>
        <w:t xml:space="preserve">Preparación y ejecución de los componentes de la actividad específica REDD+: </w:t>
      </w:r>
      <w:r w:rsidRPr="009A27ED">
        <w:rPr>
          <w:rFonts w:ascii="Times New Roman" w:eastAsia="Times New Roman" w:hAnsi="Times New Roman"/>
          <w:color w:val="000000" w:themeColor="text1"/>
          <w:sz w:val="24"/>
          <w:szCs w:val="22"/>
        </w:rPr>
        <w:t xml:space="preserve">El Plan de Acción debe describir brevemente la actividad REDD+ y los componentes que puedan entrañar restricciones nuevas o mayores del uso de los recursos naturales. </w:t>
      </w:r>
      <w:r w:rsidRPr="009A27ED">
        <w:rPr>
          <w:rFonts w:ascii="Times New Roman" w:eastAsia="Times New Roman" w:hAnsi="Times New Roman"/>
          <w:color w:val="000000" w:themeColor="text1"/>
          <w:sz w:val="24"/>
          <w:szCs w:val="22"/>
        </w:rPr>
        <w:lastRenderedPageBreak/>
        <w:t xml:space="preserve">También debe describir el proceso mediante el cual las personas posiblemente afectadas participarán en la acción específica. </w:t>
      </w:r>
    </w:p>
    <w:p w14:paraId="0DA38F87" w14:textId="77777777" w:rsidR="00405040" w:rsidRPr="009A27ED" w:rsidRDefault="00405040" w:rsidP="00405040">
      <w:pPr>
        <w:autoSpaceDE w:val="0"/>
        <w:autoSpaceDN w:val="0"/>
        <w:adjustRightInd w:val="0"/>
        <w:spacing w:before="120" w:after="0" w:line="360" w:lineRule="auto"/>
        <w:ind w:left="720"/>
        <w:rPr>
          <w:color w:val="000000" w:themeColor="text1"/>
          <w:szCs w:val="22"/>
        </w:rPr>
      </w:pPr>
      <w:r w:rsidRPr="009A27ED">
        <w:rPr>
          <w:rFonts w:ascii="Times New Roman" w:eastAsia="Times New Roman" w:hAnsi="Times New Roman"/>
          <w:color w:val="000000" w:themeColor="text1"/>
          <w:sz w:val="24"/>
          <w:szCs w:val="22"/>
        </w:rPr>
        <w:t xml:space="preserve">b) </w:t>
      </w:r>
      <w:r w:rsidRPr="009A27ED">
        <w:rPr>
          <w:rFonts w:ascii="Times New Roman" w:eastAsia="Times New Roman" w:hAnsi="Times New Roman"/>
          <w:i/>
          <w:iCs/>
          <w:color w:val="000000" w:themeColor="text1"/>
          <w:sz w:val="24"/>
          <w:szCs w:val="22"/>
          <w:u w:val="single"/>
        </w:rPr>
        <w:t>Determinación de los criterios para la elegibilidad de las personas afectadas</w:t>
      </w:r>
      <w:r w:rsidRPr="009A27ED">
        <w:rPr>
          <w:rFonts w:ascii="Times New Roman" w:eastAsia="Times New Roman" w:hAnsi="Times New Roman"/>
          <w:color w:val="000000" w:themeColor="text1"/>
          <w:sz w:val="24"/>
          <w:szCs w:val="22"/>
        </w:rPr>
        <w:t>. El Plan de Acción debe establecer que las comunidades posiblemente afectadas participarán en la identificación de los efectos negativos, evaluarán la importancia de los efectos y establecerán los criterios para la elegibilidad respecto a cualquier medida de mitigación o compensación necesaria.</w:t>
      </w:r>
    </w:p>
    <w:p w14:paraId="56C5DAC6" w14:textId="77777777" w:rsidR="00405040" w:rsidRPr="009A27ED" w:rsidRDefault="00405040" w:rsidP="00405040">
      <w:pPr>
        <w:autoSpaceDE w:val="0"/>
        <w:autoSpaceDN w:val="0"/>
        <w:adjustRightInd w:val="0"/>
        <w:spacing w:before="120" w:after="0" w:line="360" w:lineRule="auto"/>
        <w:ind w:left="720"/>
        <w:rPr>
          <w:color w:val="000000"/>
          <w:szCs w:val="22"/>
        </w:rPr>
      </w:pPr>
      <w:r w:rsidRPr="009A27ED">
        <w:rPr>
          <w:rFonts w:ascii="Times New Roman" w:eastAsia="Times New Roman" w:hAnsi="Times New Roman"/>
          <w:color w:val="000000" w:themeColor="text1"/>
          <w:sz w:val="24"/>
          <w:szCs w:val="22"/>
        </w:rPr>
        <w:t xml:space="preserve">c) </w:t>
      </w:r>
      <w:r w:rsidRPr="009A27ED">
        <w:rPr>
          <w:rFonts w:ascii="Times New Roman" w:eastAsia="Times New Roman" w:hAnsi="Times New Roman"/>
          <w:i/>
          <w:iCs/>
          <w:color w:val="000000" w:themeColor="text1"/>
          <w:sz w:val="24"/>
          <w:szCs w:val="22"/>
          <w:u w:val="single"/>
        </w:rPr>
        <w:t>Identificación de medidas para prestar asistencia a las personas afectadas, en sus esfuerzos por mejorar sus medios de subsistencia o devolverlos, en términos reales, a los niveles que tenían con anterioridad al desplazamiento, manteniendo al mismo tiempo la sostenibilidad del parque o la zona protegida</w:t>
      </w:r>
      <w:r w:rsidRPr="009A27ED">
        <w:rPr>
          <w:rFonts w:ascii="Times New Roman" w:eastAsia="Times New Roman" w:hAnsi="Times New Roman"/>
          <w:color w:val="000000" w:themeColor="text1"/>
          <w:sz w:val="24"/>
          <w:szCs w:val="22"/>
        </w:rPr>
        <w:t xml:space="preserve">. En el Plan de Acción se deben describir los métodos y procedimientos mediante los cuales las comunidades identificarán y elegirán las posibles </w:t>
      </w:r>
      <w:r w:rsidRPr="009A27ED">
        <w:rPr>
          <w:rFonts w:ascii="Times New Roman" w:eastAsia="Times New Roman" w:hAnsi="Times New Roman"/>
          <w:color w:val="000000"/>
          <w:sz w:val="24"/>
          <w:szCs w:val="22"/>
        </w:rPr>
        <w:t>medidas de mitigación o compensación que se habrán de aplicar a quienes sufran efectos adversos, y los procedimientos mediante los cuales los miembros de las comunidades afectadas negativamente decidirán entre las opciones que se les ofrecen.</w:t>
      </w:r>
    </w:p>
    <w:p w14:paraId="7F66C8A0" w14:textId="5A5BD22B" w:rsidR="00405040" w:rsidRPr="009A27ED" w:rsidRDefault="00405040" w:rsidP="00405040">
      <w:pPr>
        <w:autoSpaceDE w:val="0"/>
        <w:autoSpaceDN w:val="0"/>
        <w:adjustRightInd w:val="0"/>
        <w:spacing w:before="120" w:after="0" w:line="360" w:lineRule="auto"/>
        <w:ind w:left="720"/>
        <w:rPr>
          <w:color w:val="000000"/>
          <w:szCs w:val="22"/>
        </w:rPr>
      </w:pPr>
      <w:r w:rsidRPr="009A27ED">
        <w:rPr>
          <w:rFonts w:ascii="Times New Roman" w:eastAsia="Times New Roman" w:hAnsi="Times New Roman"/>
          <w:color w:val="000000"/>
          <w:sz w:val="24"/>
          <w:szCs w:val="22"/>
        </w:rPr>
        <w:t xml:space="preserve">d) </w:t>
      </w:r>
      <w:r w:rsidRPr="009A27ED">
        <w:rPr>
          <w:rFonts w:ascii="Times New Roman" w:eastAsia="Times New Roman" w:hAnsi="Times New Roman"/>
          <w:i/>
          <w:iCs/>
          <w:color w:val="000000"/>
          <w:sz w:val="24"/>
          <w:szCs w:val="22"/>
          <w:u w:val="single"/>
        </w:rPr>
        <w:t>Solución de los posibles conflictos o reclamaciones que se produzcan dentro de las comunidades afectadas o entre éstas</w:t>
      </w:r>
      <w:r w:rsidRPr="009A27ED">
        <w:rPr>
          <w:rFonts w:ascii="Times New Roman" w:eastAsia="Times New Roman" w:hAnsi="Times New Roman"/>
          <w:color w:val="000000"/>
          <w:sz w:val="24"/>
          <w:szCs w:val="22"/>
        </w:rPr>
        <w:t>. En el Plan de Acción se deberá describir el proceso para la solución de las controversias relacionadas con las restricciones involuntarias del uso de los recursos que se puedan plantear en las comunidades afectadas y entre éstas, y las reclamaciones que se puedan derivar de los miembros de las comunidades que no estén satisfechos con los criterios para determinar la elegibilidad, las medidas de planificación comunitarias o la ejecución propiamente dicha.</w:t>
      </w:r>
      <w:r w:rsidR="00CF5CD4" w:rsidRPr="009A27ED">
        <w:rPr>
          <w:rFonts w:ascii="Times New Roman" w:eastAsia="Times New Roman" w:hAnsi="Times New Roman"/>
          <w:color w:val="000000"/>
          <w:sz w:val="24"/>
          <w:szCs w:val="22"/>
        </w:rPr>
        <w:t xml:space="preserve"> Esto se realizará en congruencia con los principios y objetivos, así como los mecanismos establecidos en el MQRC.</w:t>
      </w:r>
    </w:p>
    <w:p w14:paraId="252B9524" w14:textId="77777777" w:rsidR="00405040" w:rsidRPr="009A27ED" w:rsidRDefault="00405040" w:rsidP="00405040">
      <w:pPr>
        <w:autoSpaceDE w:val="0"/>
        <w:autoSpaceDN w:val="0"/>
        <w:adjustRightInd w:val="0"/>
        <w:spacing w:before="120" w:after="0" w:line="360" w:lineRule="auto"/>
        <w:rPr>
          <w:color w:val="000000"/>
          <w:szCs w:val="22"/>
        </w:rPr>
      </w:pPr>
      <w:r w:rsidRPr="009A27ED">
        <w:rPr>
          <w:rFonts w:ascii="Times New Roman" w:eastAsia="Times New Roman" w:hAnsi="Times New Roman"/>
          <w:color w:val="000000"/>
          <w:sz w:val="24"/>
          <w:szCs w:val="22"/>
        </w:rPr>
        <w:t>Además de eso, los Planes de Acción deben comprender disposiciones sobre lo siguiente:</w:t>
      </w:r>
    </w:p>
    <w:p w14:paraId="14055907" w14:textId="77777777" w:rsidR="00405040" w:rsidRPr="009A27ED" w:rsidRDefault="00405040" w:rsidP="00405040">
      <w:pPr>
        <w:autoSpaceDE w:val="0"/>
        <w:autoSpaceDN w:val="0"/>
        <w:adjustRightInd w:val="0"/>
        <w:spacing w:before="120" w:after="0" w:line="360" w:lineRule="auto"/>
        <w:ind w:left="720"/>
        <w:rPr>
          <w:color w:val="000000"/>
          <w:szCs w:val="22"/>
        </w:rPr>
      </w:pPr>
      <w:r w:rsidRPr="009A27ED">
        <w:rPr>
          <w:rFonts w:ascii="Times New Roman" w:eastAsia="Times New Roman" w:hAnsi="Times New Roman"/>
          <w:color w:val="000000"/>
          <w:sz w:val="24"/>
          <w:szCs w:val="22"/>
        </w:rPr>
        <w:t xml:space="preserve">e) </w:t>
      </w:r>
      <w:r w:rsidRPr="009A27ED">
        <w:rPr>
          <w:rFonts w:ascii="Times New Roman" w:eastAsia="Times New Roman" w:hAnsi="Times New Roman"/>
          <w:i/>
          <w:iCs/>
          <w:color w:val="000000"/>
          <w:sz w:val="24"/>
          <w:szCs w:val="22"/>
          <w:u w:val="single"/>
        </w:rPr>
        <w:t>Procedimientos administrativos y jurídicos</w:t>
      </w:r>
      <w:r w:rsidRPr="009A27ED">
        <w:rPr>
          <w:rFonts w:ascii="Times New Roman" w:eastAsia="Times New Roman" w:hAnsi="Times New Roman"/>
          <w:color w:val="000000"/>
          <w:sz w:val="24"/>
          <w:szCs w:val="22"/>
          <w:u w:val="single"/>
        </w:rPr>
        <w:t>.</w:t>
      </w:r>
      <w:r w:rsidRPr="009A27ED">
        <w:rPr>
          <w:rFonts w:ascii="Times New Roman" w:eastAsia="Times New Roman" w:hAnsi="Times New Roman"/>
          <w:color w:val="000000"/>
          <w:sz w:val="24"/>
          <w:szCs w:val="22"/>
        </w:rPr>
        <w:t xml:space="preserve"> se deberán examinar los acuerdos alcanzados con respecto al proceso con las jurisdicciones administrativas pertinentes y los ministerios competentes (en particular una delineación clara de las funciones administrativas y financieras relacionadas con el proyecto).</w:t>
      </w:r>
    </w:p>
    <w:p w14:paraId="0BE44D73" w14:textId="0F437876" w:rsidR="007157A1" w:rsidRPr="009A27ED" w:rsidRDefault="00405040" w:rsidP="000D1413">
      <w:pPr>
        <w:autoSpaceDE w:val="0"/>
        <w:autoSpaceDN w:val="0"/>
        <w:adjustRightInd w:val="0"/>
        <w:spacing w:before="120" w:after="0" w:line="360" w:lineRule="auto"/>
        <w:ind w:left="720"/>
        <w:rPr>
          <w:color w:val="000000"/>
          <w:szCs w:val="22"/>
        </w:rPr>
      </w:pPr>
      <w:r w:rsidRPr="009A27ED">
        <w:rPr>
          <w:rFonts w:ascii="Times New Roman" w:eastAsia="Times New Roman" w:hAnsi="Times New Roman"/>
          <w:color w:val="000000"/>
          <w:sz w:val="24"/>
          <w:szCs w:val="22"/>
        </w:rPr>
        <w:lastRenderedPageBreak/>
        <w:t xml:space="preserve">f) </w:t>
      </w:r>
      <w:r w:rsidRPr="009A27ED">
        <w:rPr>
          <w:rFonts w:ascii="Times New Roman" w:eastAsia="Times New Roman" w:hAnsi="Times New Roman"/>
          <w:i/>
          <w:iCs/>
          <w:color w:val="000000"/>
          <w:sz w:val="24"/>
          <w:szCs w:val="22"/>
          <w:u w:val="single"/>
        </w:rPr>
        <w:t>Disposiciones sobre seguimiento</w:t>
      </w:r>
      <w:r w:rsidRPr="009A27ED">
        <w:rPr>
          <w:rFonts w:ascii="Times New Roman" w:eastAsia="Times New Roman" w:hAnsi="Times New Roman"/>
          <w:color w:val="000000"/>
          <w:sz w:val="24"/>
          <w:szCs w:val="22"/>
        </w:rPr>
        <w:t>. se deberán examinar las disposiciones sobre seguimiento participativo de las actividades del proyecto en la medida en que se relacionan con sus efectos (beneficiosos y adversos) en las personas dentro de la zona de impacto del proyecto, y las disposiciones sobre seguimiento de la eficacia de las medidas adoptadas para mejorar (o, como mínimo, restablecer) los niveles de ingreso y de vida.</w:t>
      </w:r>
    </w:p>
    <w:p w14:paraId="2A70F45A" w14:textId="77777777" w:rsidR="007157A1" w:rsidRPr="009A27ED" w:rsidRDefault="007157A1">
      <w:pPr>
        <w:spacing w:after="160" w:line="360" w:lineRule="auto"/>
        <w:rPr>
          <w:color w:val="000000"/>
          <w:szCs w:val="22"/>
        </w:rPr>
      </w:pPr>
      <w:r w:rsidRPr="009A27ED">
        <w:rPr>
          <w:rFonts w:ascii="Times New Roman" w:eastAsia="Times New Roman" w:hAnsi="Times New Roman"/>
          <w:color w:val="000000"/>
          <w:sz w:val="24"/>
          <w:szCs w:val="22"/>
        </w:rPr>
        <w:br w:type="page"/>
      </w:r>
    </w:p>
    <w:p w14:paraId="7DD27E47" w14:textId="77777777" w:rsidR="00405040" w:rsidRPr="009A27ED" w:rsidRDefault="00405040" w:rsidP="000D1413">
      <w:pPr>
        <w:autoSpaceDE w:val="0"/>
        <w:autoSpaceDN w:val="0"/>
        <w:adjustRightInd w:val="0"/>
        <w:spacing w:before="120" w:after="0" w:line="360" w:lineRule="auto"/>
        <w:ind w:left="720"/>
        <w:rPr>
          <w:szCs w:val="22"/>
        </w:rPr>
      </w:pPr>
    </w:p>
    <w:p w14:paraId="507BE089" w14:textId="77777777" w:rsidR="00405040" w:rsidRPr="009A27ED" w:rsidRDefault="00405040" w:rsidP="00405040">
      <w:pPr>
        <w:spacing w:before="120" w:after="0" w:line="360" w:lineRule="auto"/>
        <w:ind w:left="426" w:hanging="360"/>
        <w:rPr>
          <w:b/>
          <w:szCs w:val="22"/>
        </w:rPr>
      </w:pPr>
      <w:r w:rsidRPr="009A27ED">
        <w:rPr>
          <w:rFonts w:ascii="Times New Roman" w:eastAsia="Times New Roman" w:hAnsi="Times New Roman"/>
          <w:b/>
          <w:sz w:val="24"/>
          <w:szCs w:val="22"/>
        </w:rPr>
        <w:t>Participación de la población afectada en el diseño del plan de reasentamiento</w:t>
      </w:r>
    </w:p>
    <w:tbl>
      <w:tblPr>
        <w:tblW w:w="0" w:type="auto"/>
        <w:tblLook w:val="04A0" w:firstRow="1" w:lastRow="0" w:firstColumn="1" w:lastColumn="0" w:noHBand="0" w:noVBand="1"/>
      </w:tblPr>
      <w:tblGrid>
        <w:gridCol w:w="8840"/>
      </w:tblGrid>
      <w:tr w:rsidR="00405040" w:rsidRPr="009A27ED" w14:paraId="43A10F72" w14:textId="77777777" w:rsidTr="00405040">
        <w:tc>
          <w:tcPr>
            <w:tcW w:w="9010" w:type="dxa"/>
          </w:tcPr>
          <w:p w14:paraId="3B61C49B" w14:textId="77777777" w:rsidR="00405040" w:rsidRPr="009A27ED" w:rsidRDefault="00405040" w:rsidP="00405040">
            <w:pPr>
              <w:spacing w:before="120" w:after="0"/>
            </w:pPr>
            <w:r w:rsidRPr="009A27ED">
              <w:rPr>
                <w:szCs w:val="22"/>
              </w:rPr>
              <w:t xml:space="preserve">La participación de las personas individuales afectadas asegurará que las medidas de compensación, los lugares en que tendrá́ lugar el reasentamiento, los proyectos de rehabilitación económica y la prestación de servicios reflejen las necesidades y las expectativas de la población afectada. </w:t>
            </w:r>
          </w:p>
          <w:p w14:paraId="30C04A2C" w14:textId="77777777" w:rsidR="00405040" w:rsidRPr="009A27ED" w:rsidRDefault="00405040" w:rsidP="00405040">
            <w:pPr>
              <w:spacing w:before="120" w:after="0"/>
            </w:pPr>
            <w:r w:rsidRPr="009A27ED">
              <w:rPr>
                <w:szCs w:val="22"/>
              </w:rPr>
              <w:t>La estrategia de participación debe considerar:</w:t>
            </w:r>
          </w:p>
          <w:p w14:paraId="5BEA47FC" w14:textId="77777777" w:rsidR="00405040" w:rsidRPr="009A27ED" w:rsidRDefault="00405040" w:rsidP="00D42802">
            <w:pPr>
              <w:numPr>
                <w:ilvl w:val="0"/>
                <w:numId w:val="78"/>
              </w:numPr>
              <w:spacing w:before="120" w:after="0"/>
            </w:pPr>
            <w:r w:rsidRPr="009A27ED">
              <w:rPr>
                <w:szCs w:val="22"/>
              </w:rPr>
              <w:t>un análisis de los estudios de base;</w:t>
            </w:r>
          </w:p>
          <w:p w14:paraId="45D86BC2" w14:textId="77777777" w:rsidR="00405040" w:rsidRPr="009A27ED" w:rsidRDefault="00405040" w:rsidP="00D42802">
            <w:pPr>
              <w:numPr>
                <w:ilvl w:val="0"/>
                <w:numId w:val="78"/>
              </w:numPr>
              <w:spacing w:before="120" w:after="0"/>
            </w:pPr>
            <w:r w:rsidRPr="009A27ED">
              <w:rPr>
                <w:szCs w:val="22"/>
              </w:rPr>
              <w:t xml:space="preserve">la distribución geográfica de la población afectada, por vecindario, aldea o municipalidad, y tener en cuenta las características sociales, étnicas y de género; </w:t>
            </w:r>
          </w:p>
          <w:p w14:paraId="1AAAC9D2" w14:textId="77777777" w:rsidR="00405040" w:rsidRPr="009A27ED" w:rsidRDefault="00405040" w:rsidP="00D42802">
            <w:pPr>
              <w:numPr>
                <w:ilvl w:val="0"/>
                <w:numId w:val="78"/>
              </w:numPr>
              <w:spacing w:before="120" w:after="0"/>
            </w:pPr>
            <w:r w:rsidRPr="009A27ED">
              <w:rPr>
                <w:szCs w:val="22"/>
              </w:rPr>
              <w:t>los medios para asegurarse de que las opiniones de todos los grupos y sectores están suficientemente representadas; y</w:t>
            </w:r>
          </w:p>
          <w:p w14:paraId="06F7B6A9" w14:textId="016FE158" w:rsidR="00405040" w:rsidRPr="009A27ED" w:rsidRDefault="00405040" w:rsidP="00D42802">
            <w:pPr>
              <w:numPr>
                <w:ilvl w:val="0"/>
                <w:numId w:val="78"/>
              </w:numPr>
              <w:spacing w:before="120" w:after="0"/>
            </w:pPr>
            <w:r w:rsidRPr="009A27ED">
              <w:rPr>
                <w:szCs w:val="22"/>
              </w:rPr>
              <w:t xml:space="preserve">habría que prestar especial atención a las mujeres, los jóvenes y las personas de edad. </w:t>
            </w:r>
          </w:p>
          <w:p w14:paraId="68273820" w14:textId="77777777" w:rsidR="00405040" w:rsidRPr="009A27ED" w:rsidRDefault="00405040" w:rsidP="00405040">
            <w:pPr>
              <w:spacing w:before="120" w:after="0"/>
            </w:pPr>
            <w:r w:rsidRPr="009A27ED">
              <w:rPr>
                <w:szCs w:val="22"/>
              </w:rPr>
              <w:t>El plan de reasentamiento debe incluir expresamente una estrategia de información pública, en la cual se recurrirá́ a los medios de difusión, la radio y la televisión en particular, para comunicar la fecha y el lugar de celebración de reuniones públicas, la disponibilidad de documentos, las medidas de compensación y los criterios de selección. El plan debe incluir un programa y un calendario para la primera serie de consultas públicas y las reuniones previstas para grupos especiales, como pueblos indígenas o mujeres de determinados vecindarios o aldeas.</w:t>
            </w:r>
          </w:p>
        </w:tc>
      </w:tr>
    </w:tbl>
    <w:p w14:paraId="14DA70DE" w14:textId="098FF820" w:rsidR="00405040" w:rsidRPr="009A27ED" w:rsidRDefault="00F5676F" w:rsidP="00E67CB0">
      <w:pPr>
        <w:pStyle w:val="Prrafodelista"/>
        <w:numPr>
          <w:ilvl w:val="0"/>
          <w:numId w:val="118"/>
        </w:numPr>
        <w:spacing w:line="360" w:lineRule="auto"/>
      </w:pPr>
      <w:bookmarkStart w:id="703" w:name="_Toc526519455"/>
      <w:bookmarkStart w:id="704" w:name="_Toc526519558"/>
      <w:bookmarkStart w:id="705" w:name="_Toc526522794"/>
      <w:bookmarkStart w:id="706" w:name="_Toc526522876"/>
      <w:bookmarkStart w:id="707" w:name="_Toc530931976"/>
      <w:bookmarkStart w:id="708" w:name="_Toc530933125"/>
      <w:bookmarkStart w:id="709" w:name="_Toc532335897"/>
      <w:bookmarkStart w:id="710" w:name="_Toc533594046"/>
      <w:r w:rsidRPr="009A27ED">
        <w:rPr>
          <w:rFonts w:ascii="Times New Roman" w:eastAsia="Times New Roman" w:hAnsi="Times New Roman"/>
          <w:sz w:val="24"/>
        </w:rPr>
        <w:t xml:space="preserve">Anexo 2: </w:t>
      </w:r>
      <w:r w:rsidR="00405040" w:rsidRPr="009A27ED">
        <w:rPr>
          <w:rFonts w:ascii="Times New Roman" w:eastAsia="Times New Roman" w:hAnsi="Times New Roman"/>
          <w:sz w:val="24"/>
        </w:rPr>
        <w:t>Implementación y seguimiento del Plan de Reasentamiento Involuntario</w:t>
      </w:r>
      <w:bookmarkEnd w:id="703"/>
      <w:bookmarkEnd w:id="704"/>
      <w:bookmarkEnd w:id="705"/>
      <w:bookmarkEnd w:id="706"/>
      <w:bookmarkEnd w:id="707"/>
      <w:bookmarkEnd w:id="708"/>
      <w:bookmarkEnd w:id="709"/>
      <w:bookmarkEnd w:id="710"/>
    </w:p>
    <w:p w14:paraId="1B28B012" w14:textId="77777777" w:rsidR="00405040" w:rsidRPr="009A27ED" w:rsidRDefault="00405040" w:rsidP="00405040">
      <w:pPr>
        <w:spacing w:before="120" w:after="0" w:line="360" w:lineRule="auto"/>
        <w:rPr>
          <w:szCs w:val="22"/>
        </w:rPr>
      </w:pPr>
      <w:r w:rsidRPr="009A27ED">
        <w:rPr>
          <w:rFonts w:ascii="Times New Roman" w:eastAsia="Times New Roman" w:hAnsi="Times New Roman"/>
          <w:sz w:val="24"/>
          <w:szCs w:val="22"/>
        </w:rPr>
        <w:t xml:space="preserve">El técnico de la entidad ejecutora de la actividad específica encargado del seguimiento y evaluación deberá incorporar mecanismos para monitorear dichos indicadores y generar reportes periódicos para la OCR, donde se determine el avance y resultados de las medidas durante su implementación. </w:t>
      </w:r>
    </w:p>
    <w:p w14:paraId="02F75798" w14:textId="77777777" w:rsidR="00405040" w:rsidRPr="009A27ED" w:rsidRDefault="00405040" w:rsidP="00405040">
      <w:pPr>
        <w:spacing w:before="120" w:after="0" w:line="360" w:lineRule="auto"/>
        <w:rPr>
          <w:szCs w:val="22"/>
        </w:rPr>
      </w:pPr>
      <w:r w:rsidRPr="009A27ED">
        <w:rPr>
          <w:rFonts w:ascii="Times New Roman" w:eastAsia="Times New Roman" w:hAnsi="Times New Roman"/>
          <w:sz w:val="24"/>
          <w:szCs w:val="22"/>
        </w:rPr>
        <w:t xml:space="preserve">Adicionalmente, el seguimiento deberá vincularse a información recogida de la aplicación del MQRC para atender y resolver adecuadamente los conflictos que puedan surgir en este ámbito. </w:t>
      </w:r>
    </w:p>
    <w:p w14:paraId="65E80668" w14:textId="77777777" w:rsidR="00405040" w:rsidRPr="009A27ED" w:rsidRDefault="00405040" w:rsidP="00405040">
      <w:pPr>
        <w:spacing w:before="120" w:after="0" w:line="360" w:lineRule="auto"/>
        <w:rPr>
          <w:rFonts w:eastAsia="Calibri"/>
          <w:szCs w:val="22"/>
        </w:rPr>
      </w:pPr>
      <w:r w:rsidRPr="009A27ED">
        <w:rPr>
          <w:rFonts w:ascii="Times New Roman" w:eastAsia="Times New Roman" w:hAnsi="Times New Roman"/>
          <w:sz w:val="24"/>
          <w:szCs w:val="22"/>
        </w:rPr>
        <w:t xml:space="preserve">Para garantizar el éxito en la ejecución del plan, se requiere elaborar y ejecutar un programa de monitoreo, seguimiento y evaluación. Esto podrá detallarse en el PMAS. </w:t>
      </w:r>
    </w:p>
    <w:p w14:paraId="114AB9B9" w14:textId="77777777" w:rsidR="00405040" w:rsidRPr="009A27ED" w:rsidRDefault="00405040" w:rsidP="00405040">
      <w:pPr>
        <w:spacing w:before="120" w:after="0" w:line="360" w:lineRule="auto"/>
        <w:rPr>
          <w:rFonts w:eastAsia="Calibri"/>
          <w:szCs w:val="22"/>
        </w:rPr>
      </w:pPr>
      <w:r w:rsidRPr="009A27ED">
        <w:rPr>
          <w:rFonts w:ascii="Times New Roman" w:eastAsia="Times New Roman" w:hAnsi="Times New Roman"/>
          <w:sz w:val="24"/>
          <w:szCs w:val="22"/>
        </w:rPr>
        <w:t>Todas las actividades realizadas serán sistematizadas, debidamente registradas, de manera que las informaciones resulten como experiencia de aprendizaje. El seguimiento deberá ser continuo, durante todo el proceso de realización del plan.</w:t>
      </w:r>
    </w:p>
    <w:p w14:paraId="7AC3B4F0" w14:textId="77777777" w:rsidR="00405040" w:rsidRPr="009A27ED" w:rsidRDefault="00405040" w:rsidP="00405040">
      <w:pPr>
        <w:spacing w:before="120" w:after="0" w:line="360" w:lineRule="auto"/>
        <w:rPr>
          <w:szCs w:val="22"/>
        </w:rPr>
      </w:pPr>
      <w:r w:rsidRPr="009A27ED">
        <w:rPr>
          <w:rFonts w:ascii="Times New Roman" w:eastAsia="Times New Roman" w:hAnsi="Times New Roman"/>
          <w:sz w:val="24"/>
          <w:szCs w:val="22"/>
        </w:rPr>
        <w:lastRenderedPageBreak/>
        <w:t xml:space="preserve">El MPRI requiere de seguimiento y monitoreo durante su implementación que considere al menos los siguientes elementos: </w:t>
      </w:r>
    </w:p>
    <w:p w14:paraId="41014702" w14:textId="77777777" w:rsidR="00405040" w:rsidRPr="009A27ED" w:rsidRDefault="00405040" w:rsidP="00D42802">
      <w:pPr>
        <w:numPr>
          <w:ilvl w:val="0"/>
          <w:numId w:val="79"/>
        </w:numPr>
        <w:spacing w:before="120" w:after="0" w:line="360" w:lineRule="auto"/>
        <w:rPr>
          <w:szCs w:val="22"/>
        </w:rPr>
      </w:pPr>
      <w:r w:rsidRPr="009A27ED">
        <w:rPr>
          <w:rFonts w:ascii="Times New Roman" w:eastAsia="Times New Roman" w:hAnsi="Times New Roman"/>
          <w:sz w:val="24"/>
          <w:szCs w:val="22"/>
        </w:rPr>
        <w:t>Indicadores de ejecución de la actividad específica REDD+;</w:t>
      </w:r>
    </w:p>
    <w:p w14:paraId="690E0040" w14:textId="77777777" w:rsidR="00405040" w:rsidRPr="009A27ED" w:rsidRDefault="00405040" w:rsidP="00D42802">
      <w:pPr>
        <w:numPr>
          <w:ilvl w:val="0"/>
          <w:numId w:val="79"/>
        </w:numPr>
        <w:spacing w:before="120" w:after="0" w:line="360" w:lineRule="auto"/>
        <w:rPr>
          <w:szCs w:val="22"/>
        </w:rPr>
      </w:pPr>
      <w:r w:rsidRPr="009A27ED">
        <w:rPr>
          <w:rFonts w:ascii="Times New Roman" w:eastAsia="Times New Roman" w:hAnsi="Times New Roman"/>
          <w:sz w:val="24"/>
          <w:szCs w:val="22"/>
        </w:rPr>
        <w:t>Indicadores de los efectos de la actividad específica REDD+;</w:t>
      </w:r>
    </w:p>
    <w:p w14:paraId="592C8000" w14:textId="77777777" w:rsidR="00405040" w:rsidRPr="009A27ED" w:rsidRDefault="00405040" w:rsidP="00D42802">
      <w:pPr>
        <w:numPr>
          <w:ilvl w:val="0"/>
          <w:numId w:val="79"/>
        </w:numPr>
        <w:spacing w:before="120" w:after="0" w:line="360" w:lineRule="auto"/>
        <w:rPr>
          <w:szCs w:val="22"/>
        </w:rPr>
      </w:pPr>
      <w:r w:rsidRPr="009A27ED">
        <w:rPr>
          <w:rFonts w:ascii="Times New Roman" w:eastAsia="Times New Roman" w:hAnsi="Times New Roman"/>
          <w:sz w:val="24"/>
          <w:szCs w:val="22"/>
        </w:rPr>
        <w:t xml:space="preserve">Identificación del mejoramiento, mantenimiento o desmejoramiento de las condiciones de vida de los hogares reasentados en relación con los componentes territorial, ambiental, económico, desarrollo social y habitacional. </w:t>
      </w:r>
      <w:r w:rsidRPr="009A27ED">
        <w:rPr>
          <w:rFonts w:ascii="Times New Roman" w:eastAsia="Times New Roman" w:hAnsi="Times New Roman" w:cs="MS Gothic"/>
          <w:sz w:val="24"/>
          <w:szCs w:val="22"/>
        </w:rPr>
        <w:t> </w:t>
      </w:r>
    </w:p>
    <w:p w14:paraId="1B37574B" w14:textId="77777777" w:rsidR="00405040" w:rsidRPr="009A27ED" w:rsidRDefault="00405040" w:rsidP="00D42802">
      <w:pPr>
        <w:numPr>
          <w:ilvl w:val="0"/>
          <w:numId w:val="79"/>
        </w:numPr>
        <w:spacing w:before="120" w:after="0" w:line="360" w:lineRule="auto"/>
        <w:rPr>
          <w:szCs w:val="22"/>
        </w:rPr>
      </w:pPr>
      <w:r w:rsidRPr="009A27ED">
        <w:rPr>
          <w:rFonts w:ascii="Times New Roman" w:eastAsia="Times New Roman" w:hAnsi="Times New Roman"/>
          <w:sz w:val="24"/>
          <w:szCs w:val="22"/>
        </w:rPr>
        <w:t>La evaluación de resultados de la implementación del Plan de Reasentamiento por parte de cada familia o grupo humano reasentado al cumplirse el período de aplicación de dicho Plan.</w:t>
      </w:r>
    </w:p>
    <w:p w14:paraId="351CA32D" w14:textId="77777777" w:rsidR="00405040" w:rsidRPr="009A27ED" w:rsidRDefault="00405040" w:rsidP="00405040">
      <w:pPr>
        <w:spacing w:before="120" w:after="0" w:line="360" w:lineRule="auto"/>
        <w:rPr>
          <w:rFonts w:eastAsia="Calibri"/>
          <w:szCs w:val="22"/>
        </w:rPr>
      </w:pPr>
      <w:r w:rsidRPr="009A27ED">
        <w:rPr>
          <w:rFonts w:ascii="Times New Roman" w:eastAsia="Times New Roman" w:hAnsi="Times New Roman"/>
          <w:sz w:val="24"/>
          <w:szCs w:val="22"/>
        </w:rPr>
        <w:t>La EE deberá incluir el seguimiento a los procesos de información y consulta sobre la actividad específica y los estudios, notificación de afectación, levantamiento topográfico, estudio de títulos, avalúo, estudio socioeconómico, oferta de compra, procesos de negociación, elaboración de promesas y, firma de compra venta, elaboración  y firma de contratos, ficha de registro de contratos o acuerdos, pago de inmueble, pago de compensaciones, selección del inmueble de reposición, elaboración de contrato de inmueble de reposición, registro de inmueble, reposición, traslado, entrega del predio, retiro de contadores de servicios públicos.</w:t>
      </w:r>
    </w:p>
    <w:p w14:paraId="26ACC167" w14:textId="77777777" w:rsidR="00405040" w:rsidRPr="009A27ED" w:rsidRDefault="00405040" w:rsidP="00405040">
      <w:pPr>
        <w:spacing w:before="120" w:after="0" w:line="360" w:lineRule="auto"/>
        <w:rPr>
          <w:szCs w:val="22"/>
        </w:rPr>
      </w:pPr>
      <w:r w:rsidRPr="009A27ED">
        <w:rPr>
          <w:rFonts w:ascii="Times New Roman" w:eastAsia="Times New Roman" w:hAnsi="Times New Roman"/>
          <w:sz w:val="24"/>
          <w:szCs w:val="22"/>
        </w:rPr>
        <w:t xml:space="preserve">Esta información será definida con la OCR en el PMAS de casa actividad específica REDD+. Durante implementación la EE deberá reportar a la OCR sobre el cumplimiento. </w:t>
      </w:r>
    </w:p>
    <w:p w14:paraId="0AAD8DAF" w14:textId="09103E41" w:rsidR="00405040" w:rsidRPr="009A27ED" w:rsidRDefault="00405040" w:rsidP="00D42802">
      <w:pPr>
        <w:pStyle w:val="Prrafodelista"/>
        <w:numPr>
          <w:ilvl w:val="0"/>
          <w:numId w:val="33"/>
        </w:numPr>
        <w:tabs>
          <w:tab w:val="left" w:pos="540"/>
        </w:tabs>
        <w:spacing w:before="120" w:after="0" w:line="360" w:lineRule="auto"/>
        <w:rPr>
          <w:b/>
          <w:szCs w:val="22"/>
          <w:lang w:val="es-ES"/>
        </w:rPr>
      </w:pPr>
      <w:r w:rsidRPr="009A27ED">
        <w:rPr>
          <w:rFonts w:ascii="Times New Roman" w:eastAsia="Times New Roman" w:hAnsi="Times New Roman"/>
          <w:b/>
          <w:sz w:val="24"/>
          <w:szCs w:val="22"/>
          <w:lang w:val="es-ES"/>
        </w:rPr>
        <w:t>MQRC vinculación con el MPR</w:t>
      </w:r>
    </w:p>
    <w:p w14:paraId="3F21223B" w14:textId="3035EB85" w:rsidR="00405040" w:rsidRPr="009A27ED" w:rsidRDefault="00405040" w:rsidP="00405040">
      <w:pPr>
        <w:tabs>
          <w:tab w:val="left" w:pos="540"/>
        </w:tabs>
        <w:spacing w:before="120" w:after="0" w:line="360" w:lineRule="auto"/>
        <w:rPr>
          <w:rFonts w:eastAsia="Calibri"/>
          <w:szCs w:val="22"/>
        </w:rPr>
      </w:pPr>
      <w:r w:rsidRPr="009A27ED">
        <w:rPr>
          <w:rFonts w:ascii="Times New Roman" w:eastAsia="Times New Roman" w:hAnsi="Times New Roman"/>
          <w:sz w:val="24"/>
          <w:szCs w:val="22"/>
        </w:rPr>
        <w:t xml:space="preserve">Es importante que bajo el MPR exista una posibilidad </w:t>
      </w:r>
      <w:r w:rsidR="00A30131" w:rsidRPr="009A27ED">
        <w:rPr>
          <w:rFonts w:ascii="Times New Roman" w:eastAsia="Times New Roman" w:hAnsi="Times New Roman"/>
          <w:sz w:val="24"/>
          <w:szCs w:val="22"/>
        </w:rPr>
        <w:t>los actores involucrados para</w:t>
      </w:r>
      <w:r w:rsidRPr="009A27ED">
        <w:rPr>
          <w:rFonts w:ascii="Times New Roman" w:eastAsia="Times New Roman" w:hAnsi="Times New Roman"/>
          <w:sz w:val="24"/>
          <w:szCs w:val="22"/>
        </w:rPr>
        <w:t xml:space="preserve"> formular una queja o un reclamo. Para REDD+ en República Dominica se </w:t>
      </w:r>
      <w:r w:rsidR="00CF5CD4" w:rsidRPr="009A27ED">
        <w:rPr>
          <w:rFonts w:ascii="Times New Roman" w:eastAsia="Times New Roman" w:hAnsi="Times New Roman"/>
          <w:sz w:val="24"/>
          <w:szCs w:val="22"/>
        </w:rPr>
        <w:t>ha desarrollado</w:t>
      </w:r>
      <w:r w:rsidRPr="009A27ED">
        <w:rPr>
          <w:rFonts w:ascii="Times New Roman" w:eastAsia="Times New Roman" w:hAnsi="Times New Roman"/>
          <w:sz w:val="24"/>
          <w:szCs w:val="22"/>
        </w:rPr>
        <w:t xml:space="preserve"> un MQRC</w:t>
      </w:r>
      <w:r w:rsidR="00A30131" w:rsidRPr="009A27ED">
        <w:rPr>
          <w:rFonts w:ascii="Times New Roman" w:eastAsia="Times New Roman" w:hAnsi="Times New Roman"/>
          <w:sz w:val="24"/>
          <w:szCs w:val="22"/>
        </w:rPr>
        <w:t>, pues esto</w:t>
      </w:r>
      <w:r w:rsidRPr="009A27ED">
        <w:rPr>
          <w:rFonts w:ascii="Times New Roman" w:eastAsia="Times New Roman" w:hAnsi="Times New Roman"/>
          <w:sz w:val="24"/>
          <w:szCs w:val="22"/>
        </w:rPr>
        <w:t xml:space="preserve"> permitirá conocer y resolver los reclamos que surjan producto de las acciones del reasentamiento bajo REDD+ en el país. </w:t>
      </w:r>
    </w:p>
    <w:p w14:paraId="1F991E3E" w14:textId="77777777" w:rsidR="00A30131" w:rsidRPr="009A27ED" w:rsidRDefault="00A30131" w:rsidP="00405040">
      <w:pPr>
        <w:tabs>
          <w:tab w:val="left" w:pos="540"/>
        </w:tabs>
        <w:spacing w:before="120" w:after="0" w:line="360" w:lineRule="auto"/>
        <w:rPr>
          <w:szCs w:val="22"/>
        </w:rPr>
      </w:pPr>
    </w:p>
    <w:p w14:paraId="752AF8FD" w14:textId="77777777" w:rsidR="00405040" w:rsidRPr="009A27ED" w:rsidRDefault="00405040" w:rsidP="00D42802">
      <w:pPr>
        <w:pStyle w:val="Prrafodelista"/>
        <w:numPr>
          <w:ilvl w:val="0"/>
          <w:numId w:val="33"/>
        </w:numPr>
        <w:tabs>
          <w:tab w:val="left" w:pos="540"/>
        </w:tabs>
        <w:spacing w:before="120" w:after="0" w:line="360" w:lineRule="auto"/>
        <w:rPr>
          <w:b/>
          <w:szCs w:val="22"/>
          <w:lang w:val="es-ES"/>
        </w:rPr>
      </w:pPr>
      <w:r w:rsidRPr="009A27ED">
        <w:rPr>
          <w:rFonts w:ascii="Times New Roman" w:eastAsia="Times New Roman" w:hAnsi="Times New Roman"/>
          <w:b/>
          <w:sz w:val="24"/>
          <w:szCs w:val="22"/>
          <w:lang w:val="es-ES"/>
        </w:rPr>
        <w:t>Mecanismos de consulta</w:t>
      </w:r>
    </w:p>
    <w:p w14:paraId="0C9EEDA9" w14:textId="77777777" w:rsidR="00405040" w:rsidRPr="009A27ED" w:rsidRDefault="00405040" w:rsidP="00405040">
      <w:pPr>
        <w:spacing w:before="120" w:after="0" w:line="360" w:lineRule="auto"/>
        <w:rPr>
          <w:rFonts w:eastAsia="Calibri"/>
          <w:szCs w:val="22"/>
        </w:rPr>
      </w:pPr>
      <w:r w:rsidRPr="009A27ED">
        <w:rPr>
          <w:rFonts w:ascii="Times New Roman" w:eastAsia="Times New Roman" w:hAnsi="Times New Roman"/>
          <w:sz w:val="24"/>
          <w:szCs w:val="22"/>
        </w:rPr>
        <w:lastRenderedPageBreak/>
        <w:t>Toda persona afectada tiene derecho a estar informada, a ser escuchada, tener voz y voto, de ahí que buscar mecanismos de consulta resulta de vital importancia.</w:t>
      </w:r>
    </w:p>
    <w:p w14:paraId="481027AA" w14:textId="77777777" w:rsidR="00405040" w:rsidRPr="009A27ED" w:rsidRDefault="00405040" w:rsidP="00405040">
      <w:pPr>
        <w:spacing w:before="120" w:after="0" w:line="360" w:lineRule="auto"/>
        <w:rPr>
          <w:rFonts w:eastAsia="Calibri"/>
          <w:szCs w:val="22"/>
        </w:rPr>
      </w:pPr>
      <w:r w:rsidRPr="009A27ED">
        <w:rPr>
          <w:rFonts w:ascii="Times New Roman" w:eastAsia="Times New Roman" w:hAnsi="Times New Roman"/>
          <w:sz w:val="24"/>
          <w:szCs w:val="22"/>
        </w:rPr>
        <w:t xml:space="preserve">Un proceso de consulta es </w:t>
      </w:r>
      <w:proofErr w:type="gramStart"/>
      <w:r w:rsidRPr="009A27ED">
        <w:rPr>
          <w:rFonts w:ascii="Times New Roman" w:eastAsia="Times New Roman" w:hAnsi="Times New Roman"/>
          <w:sz w:val="24"/>
          <w:szCs w:val="22"/>
        </w:rPr>
        <w:t>el procedimiento destinado a generar</w:t>
      </w:r>
      <w:proofErr w:type="gramEnd"/>
      <w:r w:rsidRPr="009A27ED">
        <w:rPr>
          <w:rFonts w:ascii="Times New Roman" w:eastAsia="Times New Roman" w:hAnsi="Times New Roman"/>
          <w:sz w:val="24"/>
          <w:szCs w:val="22"/>
        </w:rPr>
        <w:t xml:space="preserve"> espacios de participación y solución de problemas. Es un escenario donde todos los involucrados exponen sus propuestas, ponencias, problemas y posibles soluciones.</w:t>
      </w:r>
    </w:p>
    <w:p w14:paraId="2ECE723C" w14:textId="77777777" w:rsidR="00405040" w:rsidRPr="009A27ED" w:rsidRDefault="00405040" w:rsidP="00405040">
      <w:pPr>
        <w:spacing w:before="120" w:after="0" w:line="360" w:lineRule="auto"/>
        <w:rPr>
          <w:rFonts w:eastAsia="Calibri"/>
          <w:szCs w:val="22"/>
        </w:rPr>
      </w:pPr>
      <w:r w:rsidRPr="009A27ED">
        <w:rPr>
          <w:rFonts w:ascii="Times New Roman" w:eastAsia="Times New Roman" w:hAnsi="Times New Roman"/>
          <w:sz w:val="24"/>
          <w:szCs w:val="22"/>
        </w:rPr>
        <w:t>Un proceso de consulta implica</w:t>
      </w:r>
    </w:p>
    <w:p w14:paraId="41013A98" w14:textId="77777777" w:rsidR="00405040" w:rsidRPr="009A27ED" w:rsidRDefault="00405040" w:rsidP="00D42802">
      <w:pPr>
        <w:numPr>
          <w:ilvl w:val="0"/>
          <w:numId w:val="80"/>
        </w:numPr>
        <w:spacing w:before="120" w:after="0" w:line="360" w:lineRule="auto"/>
        <w:contextualSpacing/>
        <w:rPr>
          <w:rFonts w:eastAsia="Calibri"/>
          <w:szCs w:val="22"/>
        </w:rPr>
      </w:pPr>
      <w:r w:rsidRPr="009A27ED">
        <w:rPr>
          <w:rFonts w:ascii="Times New Roman" w:eastAsia="Times New Roman" w:hAnsi="Times New Roman"/>
          <w:sz w:val="24"/>
          <w:szCs w:val="22"/>
        </w:rPr>
        <w:t>Selección de los lugares donde se realizarán las consultas.</w:t>
      </w:r>
    </w:p>
    <w:p w14:paraId="6731A80B" w14:textId="77777777" w:rsidR="00405040" w:rsidRPr="009A27ED" w:rsidRDefault="00405040" w:rsidP="00D42802">
      <w:pPr>
        <w:numPr>
          <w:ilvl w:val="0"/>
          <w:numId w:val="80"/>
        </w:numPr>
        <w:spacing w:before="120" w:after="0" w:line="360" w:lineRule="auto"/>
        <w:contextualSpacing/>
        <w:rPr>
          <w:rFonts w:eastAsia="Calibri"/>
          <w:szCs w:val="22"/>
        </w:rPr>
      </w:pPr>
      <w:r w:rsidRPr="009A27ED">
        <w:rPr>
          <w:rFonts w:ascii="Times New Roman" w:eastAsia="Times New Roman" w:hAnsi="Times New Roman"/>
          <w:sz w:val="24"/>
          <w:szCs w:val="22"/>
        </w:rPr>
        <w:t>Definición de los mecanismos de convocatoria a ser utilizados.</w:t>
      </w:r>
    </w:p>
    <w:p w14:paraId="77088B21" w14:textId="3FD5B3D6" w:rsidR="00405040" w:rsidRPr="009A27ED" w:rsidRDefault="00405040" w:rsidP="00D42802">
      <w:pPr>
        <w:numPr>
          <w:ilvl w:val="0"/>
          <w:numId w:val="80"/>
        </w:numPr>
        <w:spacing w:before="120" w:after="0" w:line="360" w:lineRule="auto"/>
        <w:contextualSpacing/>
        <w:rPr>
          <w:rFonts w:eastAsia="Calibri"/>
          <w:szCs w:val="22"/>
        </w:rPr>
      </w:pPr>
      <w:r w:rsidRPr="009A27ED">
        <w:rPr>
          <w:rFonts w:ascii="Times New Roman" w:eastAsia="Times New Roman" w:hAnsi="Times New Roman"/>
          <w:sz w:val="24"/>
          <w:szCs w:val="22"/>
        </w:rPr>
        <w:t>Identificación de l</w:t>
      </w:r>
      <w:r w:rsidR="00A30131" w:rsidRPr="009A27ED">
        <w:rPr>
          <w:rFonts w:ascii="Times New Roman" w:eastAsia="Times New Roman" w:hAnsi="Times New Roman"/>
          <w:sz w:val="24"/>
          <w:szCs w:val="22"/>
        </w:rPr>
        <w:t>o</w:t>
      </w:r>
      <w:r w:rsidRPr="009A27ED">
        <w:rPr>
          <w:rFonts w:ascii="Times New Roman" w:eastAsia="Times New Roman" w:hAnsi="Times New Roman"/>
          <w:sz w:val="24"/>
          <w:szCs w:val="22"/>
        </w:rPr>
        <w:t xml:space="preserve">s </w:t>
      </w:r>
      <w:r w:rsidR="00A30131" w:rsidRPr="009A27ED">
        <w:rPr>
          <w:rFonts w:ascii="Times New Roman" w:eastAsia="Times New Roman" w:hAnsi="Times New Roman"/>
          <w:sz w:val="24"/>
          <w:szCs w:val="22"/>
        </w:rPr>
        <w:t>actores involucrados</w:t>
      </w:r>
      <w:r w:rsidRPr="009A27ED">
        <w:rPr>
          <w:rFonts w:ascii="Times New Roman" w:eastAsia="Times New Roman" w:hAnsi="Times New Roman"/>
          <w:sz w:val="24"/>
          <w:szCs w:val="22"/>
        </w:rPr>
        <w:t>.</w:t>
      </w:r>
    </w:p>
    <w:p w14:paraId="1DCE68BA" w14:textId="77777777" w:rsidR="00405040" w:rsidRPr="009A27ED" w:rsidRDefault="00405040" w:rsidP="00D42802">
      <w:pPr>
        <w:numPr>
          <w:ilvl w:val="0"/>
          <w:numId w:val="80"/>
        </w:numPr>
        <w:spacing w:before="120" w:after="0" w:line="360" w:lineRule="auto"/>
        <w:contextualSpacing/>
        <w:rPr>
          <w:rFonts w:eastAsia="Calibri"/>
          <w:szCs w:val="22"/>
        </w:rPr>
      </w:pPr>
      <w:r w:rsidRPr="009A27ED">
        <w:rPr>
          <w:rFonts w:ascii="Times New Roman" w:eastAsia="Times New Roman" w:hAnsi="Times New Roman"/>
          <w:sz w:val="24"/>
          <w:szCs w:val="22"/>
        </w:rPr>
        <w:t>Elaboración de agenda.</w:t>
      </w:r>
    </w:p>
    <w:p w14:paraId="1294653D" w14:textId="77777777" w:rsidR="00405040" w:rsidRPr="009A27ED" w:rsidRDefault="00405040" w:rsidP="00D42802">
      <w:pPr>
        <w:numPr>
          <w:ilvl w:val="0"/>
          <w:numId w:val="80"/>
        </w:numPr>
        <w:spacing w:before="120" w:after="0" w:line="360" w:lineRule="auto"/>
        <w:contextualSpacing/>
        <w:rPr>
          <w:rFonts w:eastAsia="Calibri"/>
          <w:szCs w:val="22"/>
        </w:rPr>
      </w:pPr>
      <w:r w:rsidRPr="009A27ED">
        <w:rPr>
          <w:rFonts w:ascii="Times New Roman" w:eastAsia="Times New Roman" w:hAnsi="Times New Roman"/>
          <w:sz w:val="24"/>
          <w:szCs w:val="22"/>
        </w:rPr>
        <w:t>Definición de los procesos metodológicos a ser utilizados.</w:t>
      </w:r>
    </w:p>
    <w:p w14:paraId="61FC9B71" w14:textId="77777777" w:rsidR="00405040" w:rsidRPr="009A27ED" w:rsidRDefault="00405040" w:rsidP="00D42802">
      <w:pPr>
        <w:numPr>
          <w:ilvl w:val="0"/>
          <w:numId w:val="80"/>
        </w:numPr>
        <w:spacing w:before="120" w:after="0" w:line="360" w:lineRule="auto"/>
        <w:contextualSpacing/>
        <w:rPr>
          <w:rFonts w:eastAsia="Calibri"/>
          <w:szCs w:val="22"/>
        </w:rPr>
      </w:pPr>
      <w:r w:rsidRPr="009A27ED">
        <w:rPr>
          <w:rFonts w:ascii="Times New Roman" w:eastAsia="Times New Roman" w:hAnsi="Times New Roman"/>
          <w:sz w:val="24"/>
          <w:szCs w:val="22"/>
        </w:rPr>
        <w:t>Reuniones de consulta y participación.</w:t>
      </w:r>
    </w:p>
    <w:p w14:paraId="32E4266D" w14:textId="77777777" w:rsidR="00405040" w:rsidRPr="009A27ED" w:rsidRDefault="00405040" w:rsidP="00D42802">
      <w:pPr>
        <w:numPr>
          <w:ilvl w:val="0"/>
          <w:numId w:val="80"/>
        </w:numPr>
        <w:spacing w:before="120" w:after="0" w:line="360" w:lineRule="auto"/>
        <w:contextualSpacing/>
        <w:rPr>
          <w:rFonts w:eastAsia="Calibri"/>
          <w:szCs w:val="22"/>
        </w:rPr>
      </w:pPr>
      <w:r w:rsidRPr="009A27ED">
        <w:rPr>
          <w:rFonts w:ascii="Times New Roman" w:eastAsia="Times New Roman" w:hAnsi="Times New Roman"/>
          <w:sz w:val="24"/>
          <w:szCs w:val="22"/>
        </w:rPr>
        <w:t>Dialogo, acuerdos y concertación.</w:t>
      </w:r>
    </w:p>
    <w:p w14:paraId="75A2FE68" w14:textId="77777777" w:rsidR="00405040" w:rsidRPr="009A27ED" w:rsidRDefault="00405040" w:rsidP="00D42802">
      <w:pPr>
        <w:numPr>
          <w:ilvl w:val="0"/>
          <w:numId w:val="80"/>
        </w:numPr>
        <w:spacing w:before="120" w:after="0" w:line="360" w:lineRule="auto"/>
        <w:contextualSpacing/>
        <w:rPr>
          <w:rFonts w:eastAsia="Calibri"/>
          <w:szCs w:val="22"/>
        </w:rPr>
      </w:pPr>
      <w:r w:rsidRPr="009A27ED">
        <w:rPr>
          <w:rFonts w:ascii="Times New Roman" w:eastAsia="Times New Roman" w:hAnsi="Times New Roman"/>
          <w:sz w:val="24"/>
          <w:szCs w:val="22"/>
        </w:rPr>
        <w:t>Vinculación y participación con otros actores públicos y privados.</w:t>
      </w:r>
    </w:p>
    <w:p w14:paraId="0906E1AF" w14:textId="77777777" w:rsidR="00405040" w:rsidRPr="009A27ED" w:rsidRDefault="00405040" w:rsidP="00D42802">
      <w:pPr>
        <w:numPr>
          <w:ilvl w:val="0"/>
          <w:numId w:val="80"/>
        </w:numPr>
        <w:spacing w:before="120" w:after="0" w:line="360" w:lineRule="auto"/>
        <w:contextualSpacing/>
        <w:rPr>
          <w:rFonts w:eastAsia="Calibri"/>
          <w:szCs w:val="22"/>
        </w:rPr>
      </w:pPr>
      <w:r w:rsidRPr="009A27ED">
        <w:rPr>
          <w:rFonts w:ascii="Times New Roman" w:eastAsia="Times New Roman" w:hAnsi="Times New Roman"/>
          <w:sz w:val="24"/>
          <w:szCs w:val="22"/>
        </w:rPr>
        <w:t>Definición de fechas para próximas reuniones.</w:t>
      </w:r>
    </w:p>
    <w:p w14:paraId="680C9A76" w14:textId="77777777" w:rsidR="00405040" w:rsidRPr="009A27ED" w:rsidRDefault="00405040" w:rsidP="00D42802">
      <w:pPr>
        <w:numPr>
          <w:ilvl w:val="0"/>
          <w:numId w:val="80"/>
        </w:numPr>
        <w:spacing w:before="120" w:after="0" w:line="360" w:lineRule="auto"/>
        <w:contextualSpacing/>
        <w:rPr>
          <w:rFonts w:eastAsia="Calibri"/>
          <w:szCs w:val="22"/>
        </w:rPr>
      </w:pPr>
      <w:r w:rsidRPr="009A27ED">
        <w:rPr>
          <w:rFonts w:ascii="Times New Roman" w:eastAsia="Times New Roman" w:hAnsi="Times New Roman"/>
          <w:sz w:val="24"/>
          <w:szCs w:val="22"/>
        </w:rPr>
        <w:t>Sistematización de la experiencia.</w:t>
      </w:r>
    </w:p>
    <w:p w14:paraId="468EA14B" w14:textId="77777777" w:rsidR="00405040" w:rsidRPr="009A27ED" w:rsidRDefault="00405040" w:rsidP="00D42802">
      <w:pPr>
        <w:numPr>
          <w:ilvl w:val="0"/>
          <w:numId w:val="80"/>
        </w:numPr>
        <w:spacing w:before="120" w:after="0" w:line="360" w:lineRule="auto"/>
        <w:contextualSpacing/>
        <w:rPr>
          <w:rFonts w:eastAsia="Calibri"/>
          <w:szCs w:val="22"/>
        </w:rPr>
      </w:pPr>
      <w:r w:rsidRPr="009A27ED">
        <w:rPr>
          <w:rFonts w:ascii="Times New Roman" w:eastAsia="Times New Roman" w:hAnsi="Times New Roman"/>
          <w:sz w:val="24"/>
          <w:szCs w:val="22"/>
        </w:rPr>
        <w:t>Recolección de datos de verificación.</w:t>
      </w:r>
    </w:p>
    <w:p w14:paraId="68CEA0D2" w14:textId="77777777" w:rsidR="00405040" w:rsidRPr="009A27ED" w:rsidRDefault="00405040" w:rsidP="00405040">
      <w:pPr>
        <w:spacing w:before="120" w:after="0" w:line="360" w:lineRule="auto"/>
        <w:rPr>
          <w:rFonts w:eastAsia="Calibri"/>
          <w:szCs w:val="22"/>
        </w:rPr>
      </w:pPr>
      <w:r w:rsidRPr="009A27ED">
        <w:rPr>
          <w:rFonts w:ascii="Times New Roman" w:eastAsia="Times New Roman" w:hAnsi="Times New Roman"/>
          <w:sz w:val="24"/>
          <w:szCs w:val="22"/>
        </w:rPr>
        <w:t>Se consideran parte interesada los actores y protagonistas directos como son las familias, propietarios y comunidades que serán posiblemente afectadas o beneficiadas, es por lo que se propone dar mayor énfasis a los procesos locales de consulta y participación, sin excluir la articulación con otros niveles territoriales de representación y deliberación.</w:t>
      </w:r>
    </w:p>
    <w:p w14:paraId="59FC8BAD" w14:textId="77777777" w:rsidR="00405040" w:rsidRPr="009A27ED" w:rsidRDefault="00405040" w:rsidP="00D42802">
      <w:pPr>
        <w:pStyle w:val="Prrafodelista"/>
        <w:numPr>
          <w:ilvl w:val="0"/>
          <w:numId w:val="33"/>
        </w:numPr>
        <w:tabs>
          <w:tab w:val="left" w:pos="540"/>
        </w:tabs>
        <w:spacing w:before="120" w:after="0" w:line="360" w:lineRule="auto"/>
        <w:rPr>
          <w:b/>
          <w:szCs w:val="22"/>
          <w:lang w:val="es-ES"/>
        </w:rPr>
      </w:pPr>
      <w:r w:rsidRPr="009A27ED">
        <w:rPr>
          <w:rFonts w:ascii="Times New Roman" w:eastAsia="Times New Roman" w:hAnsi="Times New Roman"/>
          <w:b/>
          <w:sz w:val="24"/>
          <w:szCs w:val="22"/>
          <w:lang w:val="es-ES"/>
        </w:rPr>
        <w:t>Organización Institucional</w:t>
      </w:r>
    </w:p>
    <w:p w14:paraId="4887618F" w14:textId="77777777" w:rsidR="00405040" w:rsidRPr="009A27ED" w:rsidRDefault="00405040" w:rsidP="00405040">
      <w:pPr>
        <w:spacing w:before="120" w:after="0" w:line="360" w:lineRule="auto"/>
        <w:rPr>
          <w:rFonts w:eastAsia="Calibri"/>
          <w:szCs w:val="22"/>
        </w:rPr>
      </w:pPr>
      <w:r w:rsidRPr="009A27ED">
        <w:rPr>
          <w:rFonts w:ascii="Times New Roman" w:eastAsia="Times New Roman" w:hAnsi="Times New Roman"/>
          <w:sz w:val="24"/>
          <w:szCs w:val="22"/>
        </w:rPr>
        <w:t>La OCR como coordinadora de REDD+ será responsable de supervisar el reasentamiento, que será implementado por la EE relevante.  Durante el diseño y la ejecución, mantendrá la dirección, supervisión y control.</w:t>
      </w:r>
    </w:p>
    <w:p w14:paraId="0CB69281" w14:textId="77777777" w:rsidR="00405040" w:rsidRPr="009A27ED" w:rsidRDefault="00405040" w:rsidP="00405040">
      <w:pPr>
        <w:spacing w:before="120" w:after="0" w:line="360" w:lineRule="auto"/>
        <w:rPr>
          <w:rFonts w:eastAsia="Calibri"/>
          <w:szCs w:val="22"/>
        </w:rPr>
      </w:pPr>
      <w:r w:rsidRPr="009A27ED">
        <w:rPr>
          <w:rFonts w:ascii="Times New Roman" w:eastAsia="Times New Roman" w:hAnsi="Times New Roman"/>
          <w:sz w:val="24"/>
          <w:szCs w:val="22"/>
        </w:rPr>
        <w:t>Los planes de reasentamientos específicos deberán ser aprobados por el Banco Mundial.</w:t>
      </w:r>
    </w:p>
    <w:p w14:paraId="35CFE1E8" w14:textId="081770AE" w:rsidR="005B4706" w:rsidRPr="009A27ED" w:rsidRDefault="00405040" w:rsidP="00405040">
      <w:pPr>
        <w:spacing w:before="120" w:after="0" w:line="360" w:lineRule="auto"/>
        <w:rPr>
          <w:rFonts w:eastAsia="Calibri"/>
          <w:szCs w:val="22"/>
        </w:rPr>
      </w:pPr>
      <w:r w:rsidRPr="009A27ED">
        <w:rPr>
          <w:rFonts w:ascii="Times New Roman" w:eastAsia="Times New Roman" w:hAnsi="Times New Roman"/>
          <w:sz w:val="24"/>
          <w:szCs w:val="22"/>
        </w:rPr>
        <w:t xml:space="preserve">La OCR será el responsable de dar seguimiento y de mantener al Banco Mundial informado sobre el avance de </w:t>
      </w:r>
      <w:proofErr w:type="gramStart"/>
      <w:r w:rsidRPr="009A27ED">
        <w:rPr>
          <w:rFonts w:ascii="Times New Roman" w:eastAsia="Times New Roman" w:hAnsi="Times New Roman"/>
          <w:sz w:val="24"/>
          <w:szCs w:val="22"/>
        </w:rPr>
        <w:t>los mismos</w:t>
      </w:r>
      <w:proofErr w:type="gramEnd"/>
      <w:r w:rsidRPr="009A27ED">
        <w:rPr>
          <w:rFonts w:ascii="Times New Roman" w:eastAsia="Times New Roman" w:hAnsi="Times New Roman"/>
          <w:sz w:val="24"/>
          <w:szCs w:val="22"/>
        </w:rPr>
        <w:t xml:space="preserve">.    </w:t>
      </w:r>
    </w:p>
    <w:p w14:paraId="236BD9DA" w14:textId="77777777" w:rsidR="005B4706" w:rsidRPr="009A27ED" w:rsidRDefault="005B4706" w:rsidP="00405040">
      <w:pPr>
        <w:spacing w:before="120" w:after="0" w:line="360" w:lineRule="auto"/>
        <w:rPr>
          <w:rFonts w:eastAsia="Calibri"/>
          <w:szCs w:val="22"/>
        </w:rPr>
      </w:pPr>
    </w:p>
    <w:p w14:paraId="02CD155A" w14:textId="25466C9A" w:rsidR="005B4706" w:rsidRPr="009A27ED" w:rsidRDefault="005B4706" w:rsidP="005B4706">
      <w:pPr>
        <w:spacing w:line="360" w:lineRule="auto"/>
        <w:rPr>
          <w:b/>
        </w:rPr>
      </w:pPr>
      <w:r w:rsidRPr="009A27ED">
        <w:rPr>
          <w:rFonts w:ascii="Times New Roman" w:eastAsia="Times New Roman" w:hAnsi="Times New Roman"/>
          <w:b/>
          <w:sz w:val="24"/>
        </w:rPr>
        <w:lastRenderedPageBreak/>
        <w:t>Evaluación de la tenencia de la tierra y sus recursos en el área de contabilidad.</w:t>
      </w:r>
    </w:p>
    <w:p w14:paraId="6061EE25" w14:textId="77777777" w:rsidR="004B496C" w:rsidRPr="009A27ED" w:rsidRDefault="004B496C" w:rsidP="004B496C">
      <w:pPr>
        <w:spacing w:after="0" w:line="360" w:lineRule="auto"/>
        <w:rPr>
          <w:b/>
          <w:i/>
          <w:szCs w:val="22"/>
        </w:rPr>
      </w:pPr>
      <w:r w:rsidRPr="009A27ED">
        <w:rPr>
          <w:rFonts w:ascii="Times New Roman" w:eastAsia="Times New Roman" w:hAnsi="Times New Roman"/>
          <w:b/>
          <w:i/>
          <w:sz w:val="24"/>
          <w:szCs w:val="22"/>
        </w:rPr>
        <w:t>Formas de Tenencia de la tierra</w:t>
      </w:r>
    </w:p>
    <w:p w14:paraId="27F9EC4A" w14:textId="77777777" w:rsidR="004B496C" w:rsidRPr="009A27ED" w:rsidRDefault="004B496C" w:rsidP="004B496C">
      <w:pPr>
        <w:spacing w:after="0" w:line="360" w:lineRule="auto"/>
        <w:rPr>
          <w:b/>
          <w:i/>
          <w:szCs w:val="22"/>
        </w:rPr>
      </w:pPr>
    </w:p>
    <w:p w14:paraId="39EAAD79" w14:textId="77777777" w:rsidR="004B496C" w:rsidRPr="009A27ED" w:rsidRDefault="004B496C" w:rsidP="004B496C">
      <w:pPr>
        <w:spacing w:after="0" w:line="360" w:lineRule="auto"/>
        <w:rPr>
          <w:szCs w:val="22"/>
        </w:rPr>
      </w:pPr>
      <w:r w:rsidRPr="009A27ED">
        <w:rPr>
          <w:rFonts w:ascii="Times New Roman" w:eastAsia="Times New Roman" w:hAnsi="Times New Roman"/>
          <w:sz w:val="24"/>
          <w:szCs w:val="22"/>
        </w:rPr>
        <w:t xml:space="preserve">En República Dominicana, las tierras son de </w:t>
      </w:r>
      <w:r w:rsidRPr="009A27ED">
        <w:rPr>
          <w:rFonts w:ascii="Times New Roman" w:eastAsia="Times New Roman" w:hAnsi="Times New Roman"/>
          <w:b/>
          <w:sz w:val="24"/>
          <w:szCs w:val="22"/>
          <w:u w:val="single"/>
        </w:rPr>
        <w:t>propiedad de particulares</w:t>
      </w:r>
      <w:r w:rsidRPr="009A27ED">
        <w:rPr>
          <w:rFonts w:ascii="Times New Roman" w:eastAsia="Times New Roman" w:hAnsi="Times New Roman"/>
          <w:sz w:val="24"/>
          <w:szCs w:val="22"/>
        </w:rPr>
        <w:t xml:space="preserve"> (personas físicas o morales de carácter privado) o </w:t>
      </w:r>
      <w:r w:rsidRPr="009A27ED">
        <w:rPr>
          <w:rFonts w:ascii="Times New Roman" w:eastAsia="Times New Roman" w:hAnsi="Times New Roman"/>
          <w:b/>
          <w:sz w:val="24"/>
          <w:szCs w:val="22"/>
          <w:u w:val="single"/>
        </w:rPr>
        <w:t>propiedad del Estado</w:t>
      </w:r>
      <w:r w:rsidRPr="009A27ED">
        <w:rPr>
          <w:rFonts w:ascii="Times New Roman" w:eastAsia="Times New Roman" w:hAnsi="Times New Roman"/>
          <w:sz w:val="24"/>
          <w:szCs w:val="22"/>
        </w:rPr>
        <w:t>. De particulares, cuando se les ha reconocido legalmente un derecho de propiedad y han inscrito ese derecho en el Registro de Títulos correspondiente, quien a su vez emite un certificado que avala dicho registro, luego de haber agotado los procedimientos establecidos por la Ley No. 108-05 de Registro Inmobiliario</w:t>
      </w:r>
      <w:r w:rsidRPr="009A27ED">
        <w:rPr>
          <w:rStyle w:val="Refdenotaalpie"/>
          <w:rFonts w:ascii="Times New Roman" w:eastAsia="Times New Roman" w:hAnsi="Times New Roman"/>
          <w:sz w:val="24"/>
          <w:szCs w:val="22"/>
        </w:rPr>
        <w:footnoteReference w:id="85"/>
      </w:r>
      <w:r w:rsidRPr="009A27ED">
        <w:rPr>
          <w:rFonts w:ascii="Times New Roman" w:eastAsia="Times New Roman" w:hAnsi="Times New Roman"/>
          <w:sz w:val="24"/>
          <w:szCs w:val="22"/>
        </w:rPr>
        <w:t>. En el segundo caso, las tierras son propiedad del Estado, ya que este es el propietario originario de todas las tierras, tal como lo establece el Principio III de la citada ley de Registro Inmobiliario, o porque las ha obtenido por el procedimiento de expropiación por causa de utilidad pública, previsto en la Ley No. 344 de 1943 sobre Expropiaciones y sus modificaciones</w:t>
      </w:r>
      <w:r w:rsidRPr="009A27ED">
        <w:rPr>
          <w:rStyle w:val="Refdenotaalpie"/>
          <w:rFonts w:ascii="Times New Roman" w:eastAsia="Times New Roman" w:hAnsi="Times New Roman"/>
          <w:sz w:val="24"/>
          <w:szCs w:val="22"/>
        </w:rPr>
        <w:footnoteReference w:id="86"/>
      </w:r>
      <w:r w:rsidRPr="009A27ED">
        <w:rPr>
          <w:rFonts w:ascii="Times New Roman" w:eastAsia="Times New Roman" w:hAnsi="Times New Roman"/>
          <w:sz w:val="24"/>
          <w:szCs w:val="22"/>
        </w:rPr>
        <w:t xml:space="preserve">. </w:t>
      </w:r>
    </w:p>
    <w:p w14:paraId="7B0DC595" w14:textId="77777777" w:rsidR="004B496C" w:rsidRPr="009A27ED" w:rsidRDefault="004B496C" w:rsidP="004B496C">
      <w:pPr>
        <w:spacing w:after="0" w:line="360" w:lineRule="auto"/>
        <w:rPr>
          <w:szCs w:val="22"/>
        </w:rPr>
      </w:pPr>
    </w:p>
    <w:p w14:paraId="5A61E208" w14:textId="77777777" w:rsidR="004B496C" w:rsidRPr="009A27ED" w:rsidRDefault="004B496C" w:rsidP="004B496C">
      <w:pPr>
        <w:spacing w:after="0" w:line="360" w:lineRule="auto"/>
        <w:rPr>
          <w:b/>
          <w:i/>
          <w:szCs w:val="22"/>
        </w:rPr>
      </w:pPr>
      <w:r w:rsidRPr="009A27ED">
        <w:rPr>
          <w:rFonts w:ascii="Times New Roman" w:eastAsia="Times New Roman" w:hAnsi="Times New Roman"/>
          <w:b/>
          <w:i/>
          <w:sz w:val="24"/>
          <w:szCs w:val="22"/>
        </w:rPr>
        <w:t>Aspectos legales de las distintas formas de tenencia de la tierra</w:t>
      </w:r>
    </w:p>
    <w:p w14:paraId="78294550" w14:textId="77777777" w:rsidR="004B496C" w:rsidRPr="009A27ED" w:rsidRDefault="004B496C" w:rsidP="004B496C">
      <w:pPr>
        <w:spacing w:after="0" w:line="360" w:lineRule="auto"/>
        <w:rPr>
          <w:b/>
          <w:i/>
          <w:szCs w:val="22"/>
        </w:rPr>
      </w:pPr>
    </w:p>
    <w:p w14:paraId="62550A4B" w14:textId="77777777" w:rsidR="004B496C" w:rsidRPr="009A27ED" w:rsidRDefault="004B496C" w:rsidP="004B496C">
      <w:pPr>
        <w:spacing w:after="0" w:line="360" w:lineRule="auto"/>
        <w:rPr>
          <w:szCs w:val="22"/>
        </w:rPr>
      </w:pPr>
      <w:r w:rsidRPr="009A27ED">
        <w:rPr>
          <w:rFonts w:ascii="Times New Roman" w:eastAsia="Times New Roman" w:hAnsi="Times New Roman"/>
          <w:sz w:val="24"/>
          <w:szCs w:val="22"/>
        </w:rPr>
        <w:t>Nuestro ordenamiento jurídico reconoce el derecho de propiedad privada y plantea el acceso a la tenencia de la tierra bajo diferentes modalidades. En este sentido, el Código Civil dominicano define la propiedad en el artículo 544, como el “</w:t>
      </w:r>
      <w:r w:rsidRPr="009A27ED">
        <w:rPr>
          <w:rFonts w:ascii="Times New Roman" w:eastAsia="Times New Roman" w:hAnsi="Times New Roman"/>
          <w:i/>
          <w:sz w:val="24"/>
          <w:szCs w:val="22"/>
        </w:rPr>
        <w:t>derecho de gozar y disponer de las cosas del modo más absoluto, con tal de que no se haga de ellas un uso prohibido por las leyes y reglamentos</w:t>
      </w:r>
      <w:r w:rsidRPr="009A27ED">
        <w:rPr>
          <w:rFonts w:ascii="Times New Roman" w:eastAsia="Times New Roman" w:hAnsi="Times New Roman"/>
          <w:sz w:val="24"/>
          <w:szCs w:val="22"/>
        </w:rPr>
        <w:t>”</w:t>
      </w:r>
      <w:r w:rsidRPr="009A27ED">
        <w:rPr>
          <w:rStyle w:val="Refdenotaalpie"/>
          <w:rFonts w:ascii="Times New Roman" w:eastAsia="Times New Roman" w:hAnsi="Times New Roman"/>
          <w:sz w:val="24"/>
          <w:szCs w:val="22"/>
        </w:rPr>
        <w:footnoteReference w:id="87"/>
      </w:r>
      <w:r w:rsidRPr="009A27ED">
        <w:rPr>
          <w:rFonts w:ascii="Times New Roman" w:eastAsia="Times New Roman" w:hAnsi="Times New Roman"/>
          <w:sz w:val="24"/>
          <w:szCs w:val="22"/>
        </w:rPr>
        <w:t xml:space="preserve">. </w:t>
      </w:r>
    </w:p>
    <w:p w14:paraId="7378BF60" w14:textId="77777777" w:rsidR="004B496C" w:rsidRPr="009A27ED" w:rsidRDefault="004B496C" w:rsidP="004B496C">
      <w:pPr>
        <w:spacing w:after="0" w:line="360" w:lineRule="auto"/>
        <w:rPr>
          <w:szCs w:val="22"/>
        </w:rPr>
      </w:pPr>
    </w:p>
    <w:p w14:paraId="7A52C7CC" w14:textId="77777777" w:rsidR="004B496C" w:rsidRPr="009A27ED" w:rsidRDefault="004B496C" w:rsidP="004B496C">
      <w:pPr>
        <w:spacing w:after="0" w:line="360" w:lineRule="auto"/>
        <w:rPr>
          <w:i/>
          <w:iCs/>
          <w:szCs w:val="22"/>
        </w:rPr>
      </w:pPr>
      <w:r w:rsidRPr="009A27ED">
        <w:rPr>
          <w:rFonts w:ascii="Times New Roman" w:eastAsia="Times New Roman" w:hAnsi="Times New Roman"/>
          <w:sz w:val="24"/>
          <w:szCs w:val="22"/>
        </w:rPr>
        <w:t>Del mismo modo, el derecho a la propiedad inmobiliaria representa una garantía constitucional, amparada en el texto de nuestra Ley sustantiva como un derecho fundamental en su artículo No. 51 estableciendo que: “</w:t>
      </w:r>
      <w:r w:rsidRPr="009A27ED">
        <w:rPr>
          <w:rFonts w:ascii="Times New Roman" w:eastAsia="Times New Roman" w:hAnsi="Times New Roman"/>
          <w:i/>
          <w:sz w:val="24"/>
          <w:szCs w:val="22"/>
        </w:rPr>
        <w:t xml:space="preserve">El Estado reconoce y garantiza el derecho de propiedad. La propiedad tiene una función social que implica obligaciones. Toda persona tiene derecho al goce, disfrute y disposición de sus bienes. </w:t>
      </w:r>
      <w:r w:rsidRPr="009A27ED">
        <w:rPr>
          <w:rFonts w:ascii="Times New Roman" w:eastAsia="Times New Roman" w:hAnsi="Times New Roman"/>
          <w:i/>
          <w:iCs/>
          <w:sz w:val="24"/>
          <w:szCs w:val="22"/>
        </w:rPr>
        <w:t xml:space="preserve">1) Ninguna persona puede ser privada de su propiedad, sino por causa justificada de utilidad pública o de interés social, </w:t>
      </w:r>
      <w:r w:rsidRPr="009A27ED">
        <w:rPr>
          <w:rFonts w:ascii="Times New Roman" w:eastAsia="Times New Roman" w:hAnsi="Times New Roman"/>
          <w:i/>
          <w:iCs/>
          <w:sz w:val="24"/>
          <w:szCs w:val="22"/>
        </w:rPr>
        <w:lastRenderedPageBreak/>
        <w:t>previo pago de su justo valor, determinado por acuerdo entre las partes o sentencia de tribunal competente, de conformidad con lo establecido en la ley. En caso de declaratoria de Estado de Emergencia o de Defensa, la indemnización podrá no ser previa; 2) El Estado promoverá, de acuerdo con la ley, el acceso a la propiedad, en especial a la propiedad inmobiliaria titulada; 3) Se declara de interés social la dedicación de la tierra a fines útiles y la eliminación gradual del latifundio. Es un objetivo principal de la política social del Estado, promover la reforma agraria y la integración de forma efectiva de la población campesina al proceso de desarrollo nacional, mediante el estímulo y la cooperación para la renovación de sus métodos de producción agrícola y su capacitación tecnológica; 4) No habrá confiscación por razones políticas de los bienes de las personas físicas o jurídicas; 5) Sólo podrán ser objeto de confiscación o decomiso, mediante sentencia definitiva, los bienes de personas físicas o jurídicas, nacionales o extranjeras, que tengan su origen en actos ilícitos cometidos contra el patrimonio público, así como los utilizados o provenientes de actividades de tráfico ilícito de estupefacientes y sustancias psicotrópicas o relativas a la delincuencia transnacional organizada y de toda infracción prevista en las leyes penales; 6) La ley establecerá el régimen de administración y disposición de bienes incautados y abandonados en los procesos penales y en los juicios de extinción de dominio, previstos en el ordenamiento jurídico”</w:t>
      </w:r>
      <w:r w:rsidRPr="009A27ED">
        <w:rPr>
          <w:rStyle w:val="Refdenotaalpie"/>
          <w:rFonts w:ascii="Times New Roman" w:eastAsia="Times New Roman" w:hAnsi="Times New Roman"/>
          <w:i/>
          <w:iCs/>
          <w:sz w:val="24"/>
          <w:szCs w:val="22"/>
        </w:rPr>
        <w:footnoteReference w:id="88"/>
      </w:r>
      <w:r w:rsidRPr="009A27ED">
        <w:rPr>
          <w:rFonts w:ascii="Times New Roman" w:eastAsia="Times New Roman" w:hAnsi="Times New Roman"/>
          <w:i/>
          <w:iCs/>
          <w:sz w:val="24"/>
          <w:szCs w:val="22"/>
        </w:rPr>
        <w:t>.</w:t>
      </w:r>
    </w:p>
    <w:p w14:paraId="54C7DC1D" w14:textId="77777777" w:rsidR="004B496C" w:rsidRPr="009A27ED" w:rsidRDefault="004B496C" w:rsidP="004B496C">
      <w:pPr>
        <w:spacing w:after="0" w:line="360" w:lineRule="auto"/>
        <w:rPr>
          <w:i/>
          <w:iCs/>
          <w:szCs w:val="22"/>
        </w:rPr>
      </w:pPr>
    </w:p>
    <w:p w14:paraId="125419E2" w14:textId="77777777" w:rsidR="004B496C" w:rsidRPr="009A27ED" w:rsidRDefault="004B496C" w:rsidP="004B496C">
      <w:pPr>
        <w:autoSpaceDE w:val="0"/>
        <w:autoSpaceDN w:val="0"/>
        <w:adjustRightInd w:val="0"/>
        <w:spacing w:after="0" w:line="360" w:lineRule="auto"/>
        <w:rPr>
          <w:szCs w:val="22"/>
        </w:rPr>
      </w:pPr>
      <w:r w:rsidRPr="009A27ED">
        <w:rPr>
          <w:rFonts w:ascii="Times New Roman" w:eastAsia="Times New Roman" w:hAnsi="Times New Roman"/>
          <w:sz w:val="24"/>
          <w:szCs w:val="22"/>
        </w:rPr>
        <w:t>De acuerdo con la clasificación de los derechos reales establecida por nuestra legislación, el derecho de propiedad y sus desmembraciones constituye un derecho real principal, siendo las desmembraciones de este derecho real las siguientes: El usufructo, el uso, habitación, las servidumbres reales, y las enfiteusis, cuyas características vemos a continuación:</w:t>
      </w:r>
    </w:p>
    <w:p w14:paraId="3F71A24F" w14:textId="77777777" w:rsidR="004B496C" w:rsidRPr="009A27ED" w:rsidRDefault="004B496C" w:rsidP="004B496C">
      <w:pPr>
        <w:autoSpaceDE w:val="0"/>
        <w:autoSpaceDN w:val="0"/>
        <w:adjustRightInd w:val="0"/>
        <w:spacing w:after="0" w:line="360" w:lineRule="auto"/>
        <w:ind w:firstLine="708"/>
        <w:rPr>
          <w:szCs w:val="22"/>
        </w:rPr>
      </w:pPr>
    </w:p>
    <w:p w14:paraId="056C74D0" w14:textId="77777777" w:rsidR="004B496C" w:rsidRPr="009A27ED" w:rsidRDefault="004B496C" w:rsidP="004B496C">
      <w:pPr>
        <w:autoSpaceDE w:val="0"/>
        <w:autoSpaceDN w:val="0"/>
        <w:adjustRightInd w:val="0"/>
        <w:spacing w:after="0" w:line="360" w:lineRule="auto"/>
        <w:ind w:firstLine="708"/>
        <w:rPr>
          <w:szCs w:val="22"/>
        </w:rPr>
      </w:pPr>
      <w:r w:rsidRPr="009A27ED">
        <w:rPr>
          <w:rFonts w:ascii="Times New Roman" w:eastAsia="Times New Roman" w:hAnsi="Times New Roman"/>
          <w:bCs/>
          <w:sz w:val="24"/>
          <w:szCs w:val="22"/>
        </w:rPr>
        <w:t xml:space="preserve">a) </w:t>
      </w:r>
      <w:r w:rsidRPr="009A27ED">
        <w:rPr>
          <w:rFonts w:ascii="Times New Roman" w:eastAsia="Times New Roman" w:hAnsi="Times New Roman"/>
          <w:bCs/>
          <w:sz w:val="24"/>
          <w:szCs w:val="22"/>
          <w:u w:val="single"/>
        </w:rPr>
        <w:t>El usufructo</w:t>
      </w:r>
      <w:r w:rsidRPr="009A27ED">
        <w:rPr>
          <w:rFonts w:ascii="Times New Roman" w:eastAsia="Times New Roman" w:hAnsi="Times New Roman"/>
          <w:bCs/>
          <w:sz w:val="24"/>
          <w:szCs w:val="22"/>
        </w:rPr>
        <w:t>:</w:t>
      </w:r>
      <w:r w:rsidRPr="009A27ED">
        <w:rPr>
          <w:rFonts w:ascii="Times New Roman" w:eastAsia="Times New Roman" w:hAnsi="Times New Roman"/>
          <w:b/>
          <w:bCs/>
          <w:sz w:val="24"/>
          <w:szCs w:val="22"/>
        </w:rPr>
        <w:t xml:space="preserve"> </w:t>
      </w:r>
      <w:r w:rsidRPr="009A27ED">
        <w:rPr>
          <w:rFonts w:ascii="Times New Roman" w:eastAsia="Times New Roman" w:hAnsi="Times New Roman"/>
          <w:sz w:val="24"/>
          <w:szCs w:val="22"/>
        </w:rPr>
        <w:t>El artículo 578 del Código Civil dominicano establece que “</w:t>
      </w:r>
      <w:r w:rsidRPr="009A27ED">
        <w:rPr>
          <w:rFonts w:ascii="Times New Roman" w:eastAsia="Times New Roman" w:hAnsi="Times New Roman"/>
          <w:i/>
          <w:iCs/>
          <w:sz w:val="24"/>
          <w:szCs w:val="22"/>
        </w:rPr>
        <w:t>el usufructo es el derecho de gozar de cosas cuya propiedad pertenece a otro, como este mismo, pero conservando la sustancia de aquellas</w:t>
      </w:r>
      <w:r w:rsidRPr="009A27ED">
        <w:rPr>
          <w:rFonts w:ascii="Times New Roman" w:eastAsia="Times New Roman" w:hAnsi="Times New Roman"/>
          <w:sz w:val="24"/>
          <w:szCs w:val="22"/>
        </w:rPr>
        <w:t>”</w:t>
      </w:r>
      <w:r w:rsidRPr="009A27ED">
        <w:rPr>
          <w:rStyle w:val="Refdenotaalpie"/>
          <w:rFonts w:ascii="Times New Roman" w:eastAsia="Times New Roman" w:hAnsi="Times New Roman"/>
          <w:sz w:val="24"/>
          <w:szCs w:val="22"/>
        </w:rPr>
        <w:footnoteReference w:id="89"/>
      </w:r>
      <w:r w:rsidRPr="009A27ED">
        <w:rPr>
          <w:rFonts w:ascii="Times New Roman" w:eastAsia="Times New Roman" w:hAnsi="Times New Roman"/>
          <w:sz w:val="24"/>
          <w:szCs w:val="22"/>
        </w:rPr>
        <w:t>. Es decir, que el usufructo es un derecho real temporal que otorga al usufructuario el goce y disfrute del inmueble, mientras que el nudo propietario conserva la propiedad de la cosa u objeto de esta convención.</w:t>
      </w:r>
    </w:p>
    <w:p w14:paraId="2CCA0750" w14:textId="77777777" w:rsidR="004B496C" w:rsidRPr="009A27ED" w:rsidRDefault="004B496C" w:rsidP="004B496C">
      <w:pPr>
        <w:autoSpaceDE w:val="0"/>
        <w:autoSpaceDN w:val="0"/>
        <w:adjustRightInd w:val="0"/>
        <w:spacing w:after="0" w:line="360" w:lineRule="auto"/>
        <w:rPr>
          <w:szCs w:val="22"/>
        </w:rPr>
      </w:pPr>
    </w:p>
    <w:p w14:paraId="5D8740EE" w14:textId="77777777" w:rsidR="004B496C" w:rsidRPr="009A27ED" w:rsidRDefault="004B496C" w:rsidP="004B496C">
      <w:pPr>
        <w:autoSpaceDE w:val="0"/>
        <w:autoSpaceDN w:val="0"/>
        <w:adjustRightInd w:val="0"/>
        <w:spacing w:after="0" w:line="360" w:lineRule="auto"/>
        <w:ind w:firstLine="708"/>
        <w:rPr>
          <w:szCs w:val="22"/>
        </w:rPr>
      </w:pPr>
      <w:r w:rsidRPr="009A27ED">
        <w:rPr>
          <w:rFonts w:ascii="Times New Roman" w:eastAsia="Times New Roman" w:hAnsi="Times New Roman"/>
          <w:bCs/>
          <w:sz w:val="24"/>
          <w:szCs w:val="22"/>
        </w:rPr>
        <w:t xml:space="preserve">b) </w:t>
      </w:r>
      <w:r w:rsidRPr="009A27ED">
        <w:rPr>
          <w:rFonts w:ascii="Times New Roman" w:eastAsia="Times New Roman" w:hAnsi="Times New Roman"/>
          <w:bCs/>
          <w:sz w:val="24"/>
          <w:szCs w:val="22"/>
          <w:u w:val="single"/>
        </w:rPr>
        <w:t>El uso y habitación</w:t>
      </w:r>
      <w:r w:rsidRPr="009A27ED">
        <w:rPr>
          <w:rFonts w:ascii="Times New Roman" w:eastAsia="Times New Roman" w:hAnsi="Times New Roman"/>
          <w:sz w:val="24"/>
          <w:szCs w:val="22"/>
        </w:rPr>
        <w:t>: El derecho de uso y habitación previstos en los artículos 625 al 636 del Código Civil dominicano confieren a su titular la prerrogativa de usar la cosa como si fuera el propietario, con un derecho de percibir las rentas y los frutos producidos por el bien inmueble de manera limitada, solo para el uso de las necesidades básicas del beneficiario y de la familia, incluyendo el alojamiento</w:t>
      </w:r>
      <w:r w:rsidRPr="009A27ED">
        <w:rPr>
          <w:rStyle w:val="Refdenotaalpie"/>
          <w:rFonts w:ascii="Times New Roman" w:eastAsia="Times New Roman" w:hAnsi="Times New Roman"/>
          <w:sz w:val="24"/>
          <w:szCs w:val="22"/>
        </w:rPr>
        <w:footnoteReference w:id="90"/>
      </w:r>
      <w:r w:rsidRPr="009A27ED">
        <w:rPr>
          <w:rFonts w:ascii="Times New Roman" w:eastAsia="Times New Roman" w:hAnsi="Times New Roman"/>
          <w:sz w:val="24"/>
          <w:szCs w:val="22"/>
        </w:rPr>
        <w:t>.</w:t>
      </w:r>
    </w:p>
    <w:p w14:paraId="28D2E57F" w14:textId="77777777" w:rsidR="004B496C" w:rsidRPr="009A27ED" w:rsidRDefault="004B496C" w:rsidP="004B496C">
      <w:pPr>
        <w:autoSpaceDE w:val="0"/>
        <w:autoSpaceDN w:val="0"/>
        <w:adjustRightInd w:val="0"/>
        <w:spacing w:after="0" w:line="360" w:lineRule="auto"/>
        <w:rPr>
          <w:szCs w:val="22"/>
        </w:rPr>
      </w:pPr>
    </w:p>
    <w:p w14:paraId="3DBAF65B" w14:textId="77777777" w:rsidR="004B496C" w:rsidRPr="009A27ED" w:rsidRDefault="004B496C" w:rsidP="004B496C">
      <w:pPr>
        <w:autoSpaceDE w:val="0"/>
        <w:autoSpaceDN w:val="0"/>
        <w:adjustRightInd w:val="0"/>
        <w:spacing w:after="0" w:line="360" w:lineRule="auto"/>
        <w:ind w:firstLine="708"/>
        <w:rPr>
          <w:color w:val="FF0000"/>
          <w:szCs w:val="22"/>
        </w:rPr>
      </w:pPr>
      <w:r w:rsidRPr="009A27ED">
        <w:rPr>
          <w:rFonts w:ascii="Times New Roman" w:eastAsia="Times New Roman" w:hAnsi="Times New Roman"/>
          <w:bCs/>
          <w:sz w:val="24"/>
          <w:szCs w:val="22"/>
        </w:rPr>
        <w:t>c)</w:t>
      </w:r>
      <w:r w:rsidRPr="009A27ED">
        <w:rPr>
          <w:rFonts w:ascii="Times New Roman" w:eastAsia="Times New Roman" w:hAnsi="Times New Roman"/>
          <w:b/>
          <w:bCs/>
          <w:sz w:val="24"/>
          <w:szCs w:val="22"/>
        </w:rPr>
        <w:t xml:space="preserve"> </w:t>
      </w:r>
      <w:r w:rsidRPr="009A27ED">
        <w:rPr>
          <w:rFonts w:ascii="Times New Roman" w:eastAsia="Times New Roman" w:hAnsi="Times New Roman"/>
          <w:bCs/>
          <w:sz w:val="24"/>
          <w:szCs w:val="22"/>
          <w:u w:val="single"/>
        </w:rPr>
        <w:t>Las servidumbres reales</w:t>
      </w:r>
      <w:r w:rsidRPr="009A27ED">
        <w:rPr>
          <w:rFonts w:ascii="Times New Roman" w:eastAsia="Times New Roman" w:hAnsi="Times New Roman"/>
          <w:b/>
          <w:bCs/>
          <w:sz w:val="24"/>
          <w:szCs w:val="22"/>
        </w:rPr>
        <w:t xml:space="preserve">: </w:t>
      </w:r>
      <w:r w:rsidRPr="009A27ED">
        <w:rPr>
          <w:rFonts w:ascii="Times New Roman" w:eastAsia="Times New Roman" w:hAnsi="Times New Roman"/>
          <w:sz w:val="24"/>
          <w:szCs w:val="22"/>
        </w:rPr>
        <w:t>El artículo 637 del Código Civil dominicano establece que “</w:t>
      </w:r>
      <w:r w:rsidRPr="009A27ED">
        <w:rPr>
          <w:rFonts w:ascii="Times New Roman" w:eastAsia="Times New Roman" w:hAnsi="Times New Roman"/>
          <w:i/>
          <w:sz w:val="24"/>
          <w:szCs w:val="22"/>
        </w:rPr>
        <w:t xml:space="preserve">la servidumbre </w:t>
      </w:r>
      <w:r w:rsidRPr="009A27ED">
        <w:rPr>
          <w:rFonts w:ascii="Times New Roman" w:eastAsia="Times New Roman" w:hAnsi="Times New Roman"/>
          <w:i/>
          <w:iCs/>
          <w:sz w:val="24"/>
          <w:szCs w:val="22"/>
        </w:rPr>
        <w:t xml:space="preserve">es una carga impuesta </w:t>
      </w:r>
      <w:r w:rsidRPr="009A27ED">
        <w:rPr>
          <w:rFonts w:ascii="Times New Roman" w:eastAsia="Times New Roman" w:hAnsi="Times New Roman"/>
          <w:i/>
          <w:sz w:val="24"/>
          <w:szCs w:val="22"/>
        </w:rPr>
        <w:t>sobre una heredad, para el uso y utilidad de una finca perteneciente a otro propietario</w:t>
      </w:r>
      <w:r w:rsidRPr="009A27ED">
        <w:rPr>
          <w:rFonts w:ascii="Times New Roman" w:eastAsia="Times New Roman" w:hAnsi="Times New Roman"/>
          <w:sz w:val="24"/>
          <w:szCs w:val="22"/>
        </w:rPr>
        <w:t>”</w:t>
      </w:r>
      <w:r w:rsidRPr="009A27ED">
        <w:rPr>
          <w:rStyle w:val="Refdenotaalpie"/>
          <w:rFonts w:ascii="Times New Roman" w:eastAsia="Times New Roman" w:hAnsi="Times New Roman"/>
          <w:sz w:val="24"/>
          <w:szCs w:val="22"/>
        </w:rPr>
        <w:footnoteReference w:id="91"/>
      </w:r>
      <w:r w:rsidRPr="009A27ED">
        <w:rPr>
          <w:rFonts w:ascii="Times New Roman" w:eastAsia="Times New Roman" w:hAnsi="Times New Roman"/>
          <w:sz w:val="24"/>
          <w:szCs w:val="22"/>
        </w:rPr>
        <w:t xml:space="preserve">. La misma tiene su origen en una situación de hecho dada entre dos o más predios, cuya solución resulta por mandato de la ley o en virtud de una convención entre partes. </w:t>
      </w:r>
      <w:r w:rsidRPr="009A27ED">
        <w:rPr>
          <w:rFonts w:ascii="Times New Roman" w:eastAsia="Times New Roman" w:hAnsi="Times New Roman"/>
          <w:color w:val="FF0000"/>
          <w:sz w:val="24"/>
          <w:szCs w:val="22"/>
        </w:rPr>
        <w:t xml:space="preserve"> </w:t>
      </w:r>
    </w:p>
    <w:p w14:paraId="4889C3E5" w14:textId="77777777" w:rsidR="004B496C" w:rsidRPr="009A27ED" w:rsidRDefault="004B496C" w:rsidP="004B496C">
      <w:pPr>
        <w:autoSpaceDE w:val="0"/>
        <w:autoSpaceDN w:val="0"/>
        <w:adjustRightInd w:val="0"/>
        <w:spacing w:after="0" w:line="360" w:lineRule="auto"/>
        <w:rPr>
          <w:color w:val="FF0000"/>
          <w:szCs w:val="22"/>
        </w:rPr>
      </w:pPr>
    </w:p>
    <w:p w14:paraId="682D02ED" w14:textId="77777777" w:rsidR="004B496C" w:rsidRPr="009A27ED" w:rsidRDefault="004B496C" w:rsidP="004B496C">
      <w:pPr>
        <w:spacing w:after="0" w:line="360" w:lineRule="auto"/>
        <w:ind w:firstLine="709"/>
        <w:rPr>
          <w:szCs w:val="22"/>
        </w:rPr>
      </w:pPr>
      <w:r w:rsidRPr="009A27ED">
        <w:rPr>
          <w:rFonts w:ascii="Times New Roman" w:eastAsia="Times New Roman" w:hAnsi="Times New Roman"/>
          <w:sz w:val="24"/>
          <w:szCs w:val="22"/>
        </w:rPr>
        <w:t xml:space="preserve">d) </w:t>
      </w:r>
      <w:r w:rsidRPr="009A27ED">
        <w:rPr>
          <w:rFonts w:ascii="Times New Roman" w:eastAsia="Times New Roman" w:hAnsi="Times New Roman"/>
          <w:sz w:val="24"/>
          <w:szCs w:val="22"/>
          <w:u w:val="single"/>
        </w:rPr>
        <w:t>La enfiteusis</w:t>
      </w:r>
      <w:r w:rsidRPr="009A27ED">
        <w:rPr>
          <w:rFonts w:ascii="Times New Roman" w:eastAsia="Times New Roman" w:hAnsi="Times New Roman"/>
          <w:sz w:val="24"/>
          <w:szCs w:val="22"/>
        </w:rPr>
        <w:t>: La enfiteusis es una modalidad de arrendamiento que otorga al beneficiario un derecho real de uso y goce de la cosa ajena dada en arrendamiento por un período de no menos de 18 años ni mayor de 99 años.</w:t>
      </w:r>
    </w:p>
    <w:p w14:paraId="21D63D07" w14:textId="77777777" w:rsidR="004B496C" w:rsidRPr="009A27ED" w:rsidRDefault="004B496C" w:rsidP="004B496C">
      <w:pPr>
        <w:autoSpaceDE w:val="0"/>
        <w:autoSpaceDN w:val="0"/>
        <w:adjustRightInd w:val="0"/>
        <w:spacing w:after="0" w:line="360" w:lineRule="auto"/>
        <w:rPr>
          <w:szCs w:val="22"/>
        </w:rPr>
      </w:pPr>
    </w:p>
    <w:p w14:paraId="32F003D8" w14:textId="77777777" w:rsidR="004B496C" w:rsidRPr="009A27ED" w:rsidRDefault="004B496C" w:rsidP="004B496C">
      <w:pPr>
        <w:autoSpaceDE w:val="0"/>
        <w:autoSpaceDN w:val="0"/>
        <w:adjustRightInd w:val="0"/>
        <w:spacing w:after="0" w:line="360" w:lineRule="auto"/>
        <w:rPr>
          <w:szCs w:val="22"/>
        </w:rPr>
      </w:pPr>
      <w:r w:rsidRPr="009A27ED">
        <w:rPr>
          <w:rFonts w:ascii="Times New Roman" w:eastAsia="Times New Roman" w:hAnsi="Times New Roman"/>
          <w:sz w:val="24"/>
          <w:szCs w:val="22"/>
        </w:rPr>
        <w:t xml:space="preserve">Asimismo, el marco legal dominicano establece los modos de adquirir la propiedad, lo que permite definir la tenencia formal de la tierra en nuestro ordenamiento jurídico. Los modos de adquirir la propiedad en República Dominicana se dividen en </w:t>
      </w:r>
      <w:r w:rsidRPr="009A27ED">
        <w:rPr>
          <w:rFonts w:ascii="Times New Roman" w:eastAsia="Times New Roman" w:hAnsi="Times New Roman"/>
          <w:b/>
          <w:bCs/>
          <w:i/>
          <w:iCs/>
          <w:sz w:val="24"/>
          <w:szCs w:val="22"/>
        </w:rPr>
        <w:t xml:space="preserve">originarios </w:t>
      </w:r>
      <w:r w:rsidRPr="009A27ED">
        <w:rPr>
          <w:rFonts w:ascii="Times New Roman" w:eastAsia="Times New Roman" w:hAnsi="Times New Roman"/>
          <w:sz w:val="24"/>
          <w:szCs w:val="22"/>
        </w:rPr>
        <w:t xml:space="preserve">y </w:t>
      </w:r>
      <w:r w:rsidRPr="009A27ED">
        <w:rPr>
          <w:rFonts w:ascii="Times New Roman" w:eastAsia="Times New Roman" w:hAnsi="Times New Roman"/>
          <w:b/>
          <w:bCs/>
          <w:i/>
          <w:iCs/>
          <w:sz w:val="24"/>
          <w:szCs w:val="22"/>
        </w:rPr>
        <w:t>derivados</w:t>
      </w:r>
      <w:r w:rsidRPr="009A27ED">
        <w:rPr>
          <w:rFonts w:ascii="Times New Roman" w:eastAsia="Times New Roman" w:hAnsi="Times New Roman"/>
          <w:sz w:val="24"/>
          <w:szCs w:val="22"/>
        </w:rPr>
        <w:t>.</w:t>
      </w:r>
    </w:p>
    <w:p w14:paraId="3CD04831" w14:textId="77777777" w:rsidR="004B496C" w:rsidRPr="009A27ED" w:rsidRDefault="004B496C" w:rsidP="004B496C">
      <w:pPr>
        <w:autoSpaceDE w:val="0"/>
        <w:autoSpaceDN w:val="0"/>
        <w:adjustRightInd w:val="0"/>
        <w:spacing w:after="0" w:line="360" w:lineRule="auto"/>
        <w:rPr>
          <w:szCs w:val="22"/>
        </w:rPr>
      </w:pPr>
    </w:p>
    <w:p w14:paraId="1D6E47A9" w14:textId="77777777" w:rsidR="004B496C" w:rsidRPr="009A27ED" w:rsidRDefault="004B496C" w:rsidP="004B496C">
      <w:pPr>
        <w:autoSpaceDE w:val="0"/>
        <w:autoSpaceDN w:val="0"/>
        <w:adjustRightInd w:val="0"/>
        <w:spacing w:after="0" w:line="360" w:lineRule="auto"/>
        <w:ind w:firstLine="708"/>
        <w:rPr>
          <w:szCs w:val="22"/>
        </w:rPr>
      </w:pPr>
      <w:r w:rsidRPr="009A27ED">
        <w:rPr>
          <w:rFonts w:ascii="Times New Roman" w:eastAsia="Times New Roman" w:hAnsi="Times New Roman"/>
          <w:bCs/>
          <w:sz w:val="24"/>
          <w:szCs w:val="22"/>
        </w:rPr>
        <w:t xml:space="preserve">1) </w:t>
      </w:r>
      <w:r w:rsidRPr="009A27ED">
        <w:rPr>
          <w:rFonts w:ascii="Times New Roman" w:eastAsia="Times New Roman" w:hAnsi="Times New Roman"/>
          <w:b/>
          <w:bCs/>
          <w:sz w:val="24"/>
          <w:szCs w:val="22"/>
          <w:u w:val="single"/>
        </w:rPr>
        <w:t>Modos originarios</w:t>
      </w:r>
      <w:r w:rsidRPr="009A27ED">
        <w:rPr>
          <w:rFonts w:ascii="Times New Roman" w:eastAsia="Times New Roman" w:hAnsi="Times New Roman"/>
          <w:sz w:val="24"/>
          <w:szCs w:val="22"/>
        </w:rPr>
        <w:t xml:space="preserve">: Son modos originarios de adquirir la propiedad </w:t>
      </w:r>
      <w:r w:rsidRPr="009A27ED">
        <w:rPr>
          <w:rFonts w:ascii="Times New Roman" w:eastAsia="Times New Roman" w:hAnsi="Times New Roman"/>
          <w:iCs/>
          <w:sz w:val="24"/>
          <w:szCs w:val="22"/>
        </w:rPr>
        <w:t>aquellos que hacen nacer el derecho por primera vez sobre la persona de su titular, es decir, el reconocimiento e inscripción por primera vez de un derecho real inmobiliario</w:t>
      </w:r>
      <w:r w:rsidRPr="009A27ED">
        <w:rPr>
          <w:rFonts w:ascii="Times New Roman" w:eastAsia="Times New Roman" w:hAnsi="Times New Roman"/>
          <w:sz w:val="24"/>
          <w:szCs w:val="22"/>
        </w:rPr>
        <w:t xml:space="preserve">, lo cual, en nuestro ordenamiento jurídico se refleja como </w:t>
      </w:r>
      <w:r w:rsidRPr="009A27ED">
        <w:rPr>
          <w:rFonts w:ascii="Times New Roman" w:eastAsia="Times New Roman" w:hAnsi="Times New Roman"/>
          <w:iCs/>
          <w:sz w:val="24"/>
          <w:szCs w:val="22"/>
        </w:rPr>
        <w:t>un producto final del procedimiento de saneamiento</w:t>
      </w:r>
      <w:r w:rsidRPr="009A27ED">
        <w:rPr>
          <w:rFonts w:ascii="Times New Roman" w:eastAsia="Times New Roman" w:hAnsi="Times New Roman"/>
          <w:sz w:val="24"/>
          <w:szCs w:val="22"/>
        </w:rPr>
        <w:t>, dando cumplimiento de esta manera al objeto principal de la Ley 108-05, contenido en su artículo primero, que es “</w:t>
      </w:r>
      <w:r w:rsidRPr="009A27ED">
        <w:rPr>
          <w:rFonts w:ascii="Times New Roman" w:eastAsia="Times New Roman" w:hAnsi="Times New Roman"/>
          <w:i/>
          <w:sz w:val="24"/>
          <w:szCs w:val="22"/>
        </w:rPr>
        <w:t xml:space="preserve">regular el saneamiento y el registro de todos los derechos reales inmobiliarios, así como las cargas y gravámenes susceptibles de </w:t>
      </w:r>
      <w:r w:rsidRPr="009A27ED">
        <w:rPr>
          <w:rFonts w:ascii="Times New Roman" w:eastAsia="Times New Roman" w:hAnsi="Times New Roman"/>
          <w:i/>
          <w:sz w:val="24"/>
          <w:szCs w:val="22"/>
        </w:rPr>
        <w:lastRenderedPageBreak/>
        <w:t>registro....</w:t>
      </w:r>
      <w:r w:rsidRPr="009A27ED">
        <w:rPr>
          <w:rFonts w:ascii="Times New Roman" w:eastAsia="Times New Roman" w:hAnsi="Times New Roman"/>
          <w:sz w:val="24"/>
          <w:szCs w:val="22"/>
        </w:rPr>
        <w:t>”</w:t>
      </w:r>
      <w:r w:rsidRPr="009A27ED">
        <w:rPr>
          <w:rStyle w:val="Refdenotaalpie"/>
          <w:rFonts w:ascii="Times New Roman" w:eastAsia="Times New Roman" w:hAnsi="Times New Roman"/>
          <w:sz w:val="24"/>
          <w:szCs w:val="22"/>
        </w:rPr>
        <w:footnoteReference w:id="92"/>
      </w:r>
      <w:r w:rsidRPr="009A27ED">
        <w:rPr>
          <w:rFonts w:ascii="Times New Roman" w:eastAsia="Times New Roman" w:hAnsi="Times New Roman"/>
          <w:sz w:val="24"/>
          <w:szCs w:val="22"/>
        </w:rPr>
        <w:t>, siendo este modo de adquisición reflejado materialmente en la posesión y posterior adquisición por usucapión.</w:t>
      </w:r>
    </w:p>
    <w:p w14:paraId="2ABFD94A" w14:textId="77777777" w:rsidR="004B496C" w:rsidRPr="009A27ED" w:rsidRDefault="004B496C" w:rsidP="004B496C">
      <w:pPr>
        <w:autoSpaceDE w:val="0"/>
        <w:autoSpaceDN w:val="0"/>
        <w:adjustRightInd w:val="0"/>
        <w:spacing w:after="0" w:line="360" w:lineRule="auto"/>
        <w:rPr>
          <w:szCs w:val="22"/>
        </w:rPr>
      </w:pPr>
    </w:p>
    <w:p w14:paraId="1CFFBCE2" w14:textId="77777777" w:rsidR="004B496C" w:rsidRPr="009A27ED" w:rsidRDefault="004B496C" w:rsidP="004B496C">
      <w:pPr>
        <w:autoSpaceDE w:val="0"/>
        <w:autoSpaceDN w:val="0"/>
        <w:adjustRightInd w:val="0"/>
        <w:spacing w:after="0" w:line="360" w:lineRule="auto"/>
        <w:ind w:firstLine="708"/>
        <w:rPr>
          <w:szCs w:val="22"/>
        </w:rPr>
      </w:pPr>
      <w:r w:rsidRPr="009A27ED">
        <w:rPr>
          <w:rFonts w:ascii="Times New Roman" w:eastAsia="Times New Roman" w:hAnsi="Times New Roman"/>
          <w:sz w:val="24"/>
          <w:szCs w:val="22"/>
        </w:rPr>
        <w:t xml:space="preserve">2) </w:t>
      </w:r>
      <w:r w:rsidRPr="009A27ED">
        <w:rPr>
          <w:rFonts w:ascii="Times New Roman" w:eastAsia="Times New Roman" w:hAnsi="Times New Roman"/>
          <w:b/>
          <w:bCs/>
          <w:sz w:val="24"/>
          <w:szCs w:val="22"/>
          <w:u w:val="single"/>
        </w:rPr>
        <w:t>Modos derivados</w:t>
      </w:r>
      <w:r w:rsidRPr="009A27ED">
        <w:rPr>
          <w:rFonts w:ascii="Times New Roman" w:eastAsia="Times New Roman" w:hAnsi="Times New Roman"/>
          <w:b/>
          <w:bCs/>
          <w:sz w:val="24"/>
          <w:szCs w:val="22"/>
        </w:rPr>
        <w:t xml:space="preserve">: </w:t>
      </w:r>
      <w:r w:rsidRPr="009A27ED">
        <w:rPr>
          <w:rFonts w:ascii="Times New Roman" w:eastAsia="Times New Roman" w:hAnsi="Times New Roman"/>
          <w:sz w:val="24"/>
          <w:szCs w:val="22"/>
        </w:rPr>
        <w:t>Son modos derivados de adquisición de la propiedad, aquellos contenidos en los artículos 711 y 712 del Código Civil Dominicano, que establecen: “</w:t>
      </w:r>
      <w:r w:rsidRPr="009A27ED">
        <w:rPr>
          <w:rFonts w:ascii="Times New Roman" w:eastAsia="Times New Roman" w:hAnsi="Times New Roman"/>
          <w:i/>
          <w:iCs/>
          <w:sz w:val="24"/>
          <w:szCs w:val="22"/>
        </w:rPr>
        <w:t xml:space="preserve">La propiedad de los bienes se adquiere y transmite por </w:t>
      </w:r>
      <w:r w:rsidRPr="009A27ED">
        <w:rPr>
          <w:rFonts w:ascii="Times New Roman" w:eastAsia="Times New Roman" w:hAnsi="Times New Roman"/>
          <w:b/>
          <w:bCs/>
          <w:i/>
          <w:iCs/>
          <w:sz w:val="24"/>
          <w:szCs w:val="22"/>
        </w:rPr>
        <w:t>sucesión</w:t>
      </w:r>
      <w:r w:rsidRPr="009A27ED">
        <w:rPr>
          <w:rFonts w:ascii="Times New Roman" w:eastAsia="Times New Roman" w:hAnsi="Times New Roman"/>
          <w:i/>
          <w:iCs/>
          <w:sz w:val="24"/>
          <w:szCs w:val="22"/>
        </w:rPr>
        <w:t xml:space="preserve">, por </w:t>
      </w:r>
      <w:r w:rsidRPr="009A27ED">
        <w:rPr>
          <w:rFonts w:ascii="Times New Roman" w:eastAsia="Times New Roman" w:hAnsi="Times New Roman"/>
          <w:b/>
          <w:bCs/>
          <w:i/>
          <w:iCs/>
          <w:sz w:val="24"/>
          <w:szCs w:val="22"/>
        </w:rPr>
        <w:t xml:space="preserve">donación </w:t>
      </w:r>
      <w:r w:rsidRPr="009A27ED">
        <w:rPr>
          <w:rFonts w:ascii="Times New Roman" w:eastAsia="Times New Roman" w:hAnsi="Times New Roman"/>
          <w:i/>
          <w:iCs/>
          <w:sz w:val="24"/>
          <w:szCs w:val="22"/>
        </w:rPr>
        <w:t xml:space="preserve">entre vivos o testamentaria, y por efecto de las </w:t>
      </w:r>
      <w:proofErr w:type="gramStart"/>
      <w:r w:rsidRPr="009A27ED">
        <w:rPr>
          <w:rFonts w:ascii="Times New Roman" w:eastAsia="Times New Roman" w:hAnsi="Times New Roman"/>
          <w:b/>
          <w:bCs/>
          <w:i/>
          <w:iCs/>
          <w:sz w:val="24"/>
          <w:szCs w:val="22"/>
        </w:rPr>
        <w:t>obligaciones</w:t>
      </w:r>
      <w:r w:rsidRPr="009A27ED">
        <w:rPr>
          <w:rFonts w:ascii="Times New Roman" w:eastAsia="Times New Roman" w:hAnsi="Times New Roman"/>
          <w:i/>
          <w:iCs/>
          <w:sz w:val="24"/>
          <w:szCs w:val="22"/>
        </w:rPr>
        <w:t>....</w:t>
      </w:r>
      <w:proofErr w:type="gramEnd"/>
      <w:r w:rsidRPr="009A27ED">
        <w:rPr>
          <w:rFonts w:ascii="Times New Roman" w:eastAsia="Times New Roman" w:hAnsi="Times New Roman"/>
          <w:i/>
          <w:iCs/>
          <w:sz w:val="24"/>
          <w:szCs w:val="22"/>
        </w:rPr>
        <w:t xml:space="preserve">la propiedad se adquiere también </w:t>
      </w:r>
      <w:r w:rsidRPr="009A27ED">
        <w:rPr>
          <w:rFonts w:ascii="Times New Roman" w:eastAsia="Times New Roman" w:hAnsi="Times New Roman"/>
          <w:b/>
          <w:bCs/>
          <w:i/>
          <w:iCs/>
          <w:sz w:val="24"/>
          <w:szCs w:val="22"/>
        </w:rPr>
        <w:t xml:space="preserve">por accesión </w:t>
      </w:r>
      <w:r w:rsidRPr="009A27ED">
        <w:rPr>
          <w:rFonts w:ascii="Times New Roman" w:eastAsia="Times New Roman" w:hAnsi="Times New Roman"/>
          <w:i/>
          <w:iCs/>
          <w:sz w:val="24"/>
          <w:szCs w:val="22"/>
        </w:rPr>
        <w:t xml:space="preserve">o incorporación, y </w:t>
      </w:r>
      <w:r w:rsidRPr="009A27ED">
        <w:rPr>
          <w:rFonts w:ascii="Times New Roman" w:eastAsia="Times New Roman" w:hAnsi="Times New Roman"/>
          <w:b/>
          <w:bCs/>
          <w:i/>
          <w:iCs/>
          <w:sz w:val="24"/>
          <w:szCs w:val="22"/>
        </w:rPr>
        <w:t>por prescripción</w:t>
      </w:r>
      <w:r w:rsidRPr="009A27ED">
        <w:rPr>
          <w:rFonts w:ascii="Times New Roman" w:eastAsia="Times New Roman" w:hAnsi="Times New Roman"/>
          <w:sz w:val="24"/>
          <w:szCs w:val="22"/>
        </w:rPr>
        <w:t>”</w:t>
      </w:r>
      <w:r w:rsidRPr="009A27ED">
        <w:rPr>
          <w:rStyle w:val="Refdenotaalpie"/>
          <w:rFonts w:ascii="Times New Roman" w:eastAsia="Times New Roman" w:hAnsi="Times New Roman"/>
          <w:sz w:val="24"/>
          <w:szCs w:val="22"/>
        </w:rPr>
        <w:footnoteReference w:id="93"/>
      </w:r>
      <w:r w:rsidRPr="009A27ED">
        <w:rPr>
          <w:rFonts w:ascii="Times New Roman" w:eastAsia="Times New Roman" w:hAnsi="Times New Roman"/>
          <w:sz w:val="24"/>
          <w:szCs w:val="22"/>
        </w:rPr>
        <w:t>.</w:t>
      </w:r>
    </w:p>
    <w:p w14:paraId="19FDEB24" w14:textId="77777777" w:rsidR="004B496C" w:rsidRPr="009A27ED" w:rsidRDefault="004B496C" w:rsidP="004B496C">
      <w:pPr>
        <w:autoSpaceDE w:val="0"/>
        <w:autoSpaceDN w:val="0"/>
        <w:adjustRightInd w:val="0"/>
        <w:spacing w:after="0" w:line="360" w:lineRule="auto"/>
        <w:rPr>
          <w:szCs w:val="22"/>
        </w:rPr>
      </w:pPr>
    </w:p>
    <w:p w14:paraId="3D329108" w14:textId="77777777" w:rsidR="004B496C" w:rsidRPr="009A27ED" w:rsidRDefault="004B496C" w:rsidP="004B496C">
      <w:pPr>
        <w:autoSpaceDE w:val="0"/>
        <w:autoSpaceDN w:val="0"/>
        <w:adjustRightInd w:val="0"/>
        <w:spacing w:after="0" w:line="360" w:lineRule="auto"/>
        <w:ind w:left="708"/>
        <w:rPr>
          <w:szCs w:val="22"/>
        </w:rPr>
      </w:pPr>
      <w:r w:rsidRPr="009A27ED">
        <w:rPr>
          <w:rFonts w:ascii="Times New Roman" w:eastAsia="Times New Roman" w:hAnsi="Times New Roman"/>
          <w:sz w:val="24"/>
          <w:szCs w:val="22"/>
        </w:rPr>
        <w:t xml:space="preserve">a) </w:t>
      </w:r>
      <w:r w:rsidRPr="009A27ED">
        <w:rPr>
          <w:rFonts w:ascii="Times New Roman" w:eastAsia="Times New Roman" w:hAnsi="Times New Roman"/>
          <w:bCs/>
          <w:sz w:val="24"/>
          <w:szCs w:val="22"/>
          <w:u w:val="single"/>
        </w:rPr>
        <w:t>Transmisión por sucesión</w:t>
      </w:r>
      <w:r w:rsidRPr="009A27ED">
        <w:rPr>
          <w:rFonts w:ascii="Times New Roman" w:eastAsia="Times New Roman" w:hAnsi="Times New Roman"/>
          <w:b/>
          <w:bCs/>
          <w:sz w:val="24"/>
          <w:szCs w:val="22"/>
        </w:rPr>
        <w:t xml:space="preserve">. </w:t>
      </w:r>
      <w:r w:rsidRPr="009A27ED">
        <w:rPr>
          <w:rFonts w:ascii="Times New Roman" w:eastAsia="Times New Roman" w:hAnsi="Times New Roman"/>
          <w:sz w:val="24"/>
          <w:szCs w:val="22"/>
        </w:rPr>
        <w:t>De la lectura combinada de los artículos 712 y 718 del Código Civil Dominicano se establece que la sucesión es un modo de transmisión post mortem de los derechos del difunto a favor y provecho de los sucesores o legatarios con calidad legal para recibirlos.</w:t>
      </w:r>
    </w:p>
    <w:p w14:paraId="57F2A849" w14:textId="77777777" w:rsidR="004B496C" w:rsidRPr="009A27ED" w:rsidRDefault="004B496C" w:rsidP="004B496C">
      <w:pPr>
        <w:autoSpaceDE w:val="0"/>
        <w:autoSpaceDN w:val="0"/>
        <w:adjustRightInd w:val="0"/>
        <w:spacing w:after="0" w:line="360" w:lineRule="auto"/>
        <w:ind w:firstLine="708"/>
        <w:rPr>
          <w:szCs w:val="22"/>
        </w:rPr>
      </w:pPr>
    </w:p>
    <w:p w14:paraId="132EE432" w14:textId="77777777" w:rsidR="004B496C" w:rsidRPr="009A27ED" w:rsidRDefault="004B496C" w:rsidP="004B496C">
      <w:pPr>
        <w:autoSpaceDE w:val="0"/>
        <w:autoSpaceDN w:val="0"/>
        <w:adjustRightInd w:val="0"/>
        <w:spacing w:after="0" w:line="360" w:lineRule="auto"/>
        <w:ind w:left="708"/>
        <w:rPr>
          <w:szCs w:val="22"/>
        </w:rPr>
      </w:pPr>
      <w:r w:rsidRPr="009A27ED">
        <w:rPr>
          <w:rFonts w:ascii="Times New Roman" w:eastAsia="Times New Roman" w:hAnsi="Times New Roman"/>
          <w:sz w:val="24"/>
          <w:szCs w:val="22"/>
        </w:rPr>
        <w:t xml:space="preserve">b) </w:t>
      </w:r>
      <w:r w:rsidRPr="009A27ED">
        <w:rPr>
          <w:rFonts w:ascii="Times New Roman" w:eastAsia="Times New Roman" w:hAnsi="Times New Roman"/>
          <w:bCs/>
          <w:sz w:val="24"/>
          <w:szCs w:val="22"/>
          <w:u w:val="single"/>
        </w:rPr>
        <w:t>Transmisión por Donación o Testamentaria</w:t>
      </w:r>
      <w:r w:rsidRPr="009A27ED">
        <w:rPr>
          <w:rFonts w:ascii="Times New Roman" w:eastAsia="Times New Roman" w:hAnsi="Times New Roman"/>
          <w:b/>
          <w:bCs/>
          <w:sz w:val="24"/>
          <w:szCs w:val="22"/>
        </w:rPr>
        <w:t xml:space="preserve">. </w:t>
      </w:r>
      <w:r w:rsidRPr="009A27ED">
        <w:rPr>
          <w:rFonts w:ascii="Times New Roman" w:eastAsia="Times New Roman" w:hAnsi="Times New Roman"/>
          <w:sz w:val="24"/>
          <w:szCs w:val="22"/>
        </w:rPr>
        <w:t>El artículo 893 de Código Civil dominicano establece que “</w:t>
      </w:r>
      <w:r w:rsidRPr="009A27ED">
        <w:rPr>
          <w:rFonts w:ascii="Times New Roman" w:eastAsia="Times New Roman" w:hAnsi="Times New Roman"/>
          <w:i/>
          <w:sz w:val="24"/>
          <w:szCs w:val="22"/>
        </w:rPr>
        <w:t xml:space="preserve">ninguno podrá disponer de sus bienes a título gratuito, sino por </w:t>
      </w:r>
      <w:r w:rsidRPr="009A27ED">
        <w:rPr>
          <w:rFonts w:ascii="Times New Roman" w:eastAsia="Times New Roman" w:hAnsi="Times New Roman"/>
          <w:i/>
          <w:iCs/>
          <w:sz w:val="24"/>
          <w:szCs w:val="22"/>
        </w:rPr>
        <w:t xml:space="preserve">donación </w:t>
      </w:r>
      <w:r w:rsidRPr="009A27ED">
        <w:rPr>
          <w:rFonts w:ascii="Times New Roman" w:eastAsia="Times New Roman" w:hAnsi="Times New Roman"/>
          <w:i/>
          <w:sz w:val="24"/>
          <w:szCs w:val="22"/>
        </w:rPr>
        <w:t>entre vivos o por testamento....</w:t>
      </w:r>
      <w:r w:rsidRPr="009A27ED">
        <w:rPr>
          <w:rFonts w:ascii="Times New Roman" w:eastAsia="Times New Roman" w:hAnsi="Times New Roman"/>
          <w:sz w:val="24"/>
          <w:szCs w:val="22"/>
        </w:rPr>
        <w:t>”</w:t>
      </w:r>
      <w:r w:rsidRPr="009A27ED">
        <w:rPr>
          <w:rStyle w:val="Refdenotaalpie"/>
          <w:rFonts w:ascii="Times New Roman" w:eastAsia="Times New Roman" w:hAnsi="Times New Roman"/>
          <w:sz w:val="24"/>
          <w:szCs w:val="22"/>
        </w:rPr>
        <w:footnoteReference w:id="94"/>
      </w:r>
      <w:r w:rsidRPr="009A27ED">
        <w:rPr>
          <w:rFonts w:ascii="Times New Roman" w:eastAsia="Times New Roman" w:hAnsi="Times New Roman"/>
          <w:sz w:val="24"/>
          <w:szCs w:val="22"/>
        </w:rPr>
        <w:t xml:space="preserve">, disponiendo además los artículos 894 y 895 que la transmisión por donación entre vivos es un acto por el cual el donante se desprende definitiva e irrevocablemente del bien donado, </w:t>
      </w:r>
      <w:r w:rsidRPr="009A27ED">
        <w:rPr>
          <w:rFonts w:ascii="Times New Roman" w:eastAsia="Times New Roman" w:hAnsi="Times New Roman"/>
          <w:i/>
          <w:iCs/>
          <w:sz w:val="24"/>
          <w:szCs w:val="22"/>
        </w:rPr>
        <w:t>en vida</w:t>
      </w:r>
      <w:r w:rsidRPr="009A27ED">
        <w:rPr>
          <w:rFonts w:ascii="Times New Roman" w:eastAsia="Times New Roman" w:hAnsi="Times New Roman"/>
          <w:sz w:val="24"/>
          <w:szCs w:val="22"/>
        </w:rPr>
        <w:t xml:space="preserve">; mientras que la transmisión </w:t>
      </w:r>
      <w:r w:rsidRPr="009A27ED">
        <w:rPr>
          <w:rFonts w:ascii="Times New Roman" w:eastAsia="Times New Roman" w:hAnsi="Times New Roman"/>
          <w:i/>
          <w:iCs/>
          <w:sz w:val="24"/>
          <w:szCs w:val="22"/>
        </w:rPr>
        <w:t xml:space="preserve">testamentaria </w:t>
      </w:r>
      <w:r w:rsidRPr="009A27ED">
        <w:rPr>
          <w:rFonts w:ascii="Times New Roman" w:eastAsia="Times New Roman" w:hAnsi="Times New Roman"/>
          <w:sz w:val="24"/>
          <w:szCs w:val="22"/>
        </w:rPr>
        <w:t xml:space="preserve">es un acto mediante el cual, </w:t>
      </w:r>
      <w:r w:rsidRPr="009A27ED">
        <w:rPr>
          <w:rFonts w:ascii="Times New Roman" w:eastAsia="Times New Roman" w:hAnsi="Times New Roman"/>
          <w:i/>
          <w:iCs/>
          <w:sz w:val="24"/>
          <w:szCs w:val="22"/>
        </w:rPr>
        <w:t>el testador dispone para el futuro</w:t>
      </w:r>
      <w:r w:rsidRPr="009A27ED">
        <w:rPr>
          <w:rFonts w:ascii="Times New Roman" w:eastAsia="Times New Roman" w:hAnsi="Times New Roman"/>
          <w:sz w:val="24"/>
          <w:szCs w:val="22"/>
        </w:rPr>
        <w:t xml:space="preserve">, es decir, para el tiempo en que deje de existir, ambos son modos derivados de transmisión de la propiedad, pero la modalidad testamentaria, </w:t>
      </w:r>
      <w:proofErr w:type="spellStart"/>
      <w:r w:rsidRPr="009A27ED">
        <w:rPr>
          <w:rFonts w:ascii="Times New Roman" w:eastAsia="Times New Roman" w:hAnsi="Times New Roman"/>
          <w:sz w:val="24"/>
          <w:szCs w:val="22"/>
        </w:rPr>
        <w:t>sucesoral</w:t>
      </w:r>
      <w:proofErr w:type="spellEnd"/>
      <w:r w:rsidRPr="009A27ED">
        <w:rPr>
          <w:rFonts w:ascii="Times New Roman" w:eastAsia="Times New Roman" w:hAnsi="Times New Roman"/>
          <w:sz w:val="24"/>
          <w:szCs w:val="22"/>
        </w:rPr>
        <w:t xml:space="preserve"> o donación, dependerá de si el acto de disposición tendrá efecto entre vivos o después de fallecida la persona, y en este último caso, si dejó testamento o no.</w:t>
      </w:r>
    </w:p>
    <w:p w14:paraId="08F50651" w14:textId="77777777" w:rsidR="004B496C" w:rsidRPr="009A27ED" w:rsidRDefault="004B496C" w:rsidP="004B496C">
      <w:pPr>
        <w:autoSpaceDE w:val="0"/>
        <w:autoSpaceDN w:val="0"/>
        <w:adjustRightInd w:val="0"/>
        <w:spacing w:after="0" w:line="360" w:lineRule="auto"/>
        <w:rPr>
          <w:szCs w:val="22"/>
        </w:rPr>
      </w:pPr>
    </w:p>
    <w:p w14:paraId="3B001516" w14:textId="77777777" w:rsidR="004B496C" w:rsidRPr="009A27ED" w:rsidRDefault="004B496C" w:rsidP="004B496C">
      <w:pPr>
        <w:autoSpaceDE w:val="0"/>
        <w:autoSpaceDN w:val="0"/>
        <w:adjustRightInd w:val="0"/>
        <w:spacing w:after="0" w:line="360" w:lineRule="auto"/>
        <w:ind w:left="708"/>
        <w:rPr>
          <w:szCs w:val="22"/>
        </w:rPr>
      </w:pPr>
      <w:r w:rsidRPr="009A27ED">
        <w:rPr>
          <w:rFonts w:ascii="Times New Roman" w:eastAsia="Times New Roman" w:hAnsi="Times New Roman"/>
          <w:sz w:val="24"/>
          <w:szCs w:val="22"/>
        </w:rPr>
        <w:t xml:space="preserve">c) </w:t>
      </w:r>
      <w:r w:rsidRPr="009A27ED">
        <w:rPr>
          <w:rFonts w:ascii="Times New Roman" w:eastAsia="Times New Roman" w:hAnsi="Times New Roman"/>
          <w:bCs/>
          <w:sz w:val="24"/>
          <w:szCs w:val="22"/>
          <w:u w:val="single"/>
        </w:rPr>
        <w:t>Transmisión por efecto de las obligaciones</w:t>
      </w:r>
      <w:r w:rsidRPr="009A27ED">
        <w:rPr>
          <w:rFonts w:ascii="Times New Roman" w:eastAsia="Times New Roman" w:hAnsi="Times New Roman"/>
          <w:b/>
          <w:bCs/>
          <w:sz w:val="24"/>
          <w:szCs w:val="22"/>
        </w:rPr>
        <w:t xml:space="preserve">. </w:t>
      </w:r>
      <w:r w:rsidRPr="009A27ED">
        <w:rPr>
          <w:rFonts w:ascii="Times New Roman" w:eastAsia="Times New Roman" w:hAnsi="Times New Roman"/>
          <w:sz w:val="24"/>
          <w:szCs w:val="22"/>
        </w:rPr>
        <w:t>El artículo 1101 del Código Civil Dominicano establece que “</w:t>
      </w:r>
      <w:r w:rsidRPr="009A27ED">
        <w:rPr>
          <w:rFonts w:ascii="Times New Roman" w:eastAsia="Times New Roman" w:hAnsi="Times New Roman"/>
          <w:i/>
          <w:sz w:val="24"/>
          <w:szCs w:val="22"/>
        </w:rPr>
        <w:t xml:space="preserve">el contrato es un convenio en cuya virtud una o varias personas se obligan respecto de una o varias otras, a dar, hacer o no hacer alguna </w:t>
      </w:r>
      <w:r w:rsidRPr="009A27ED">
        <w:rPr>
          <w:rFonts w:ascii="Times New Roman" w:eastAsia="Times New Roman" w:hAnsi="Times New Roman"/>
          <w:i/>
          <w:sz w:val="24"/>
          <w:szCs w:val="22"/>
        </w:rPr>
        <w:lastRenderedPageBreak/>
        <w:t>cosa</w:t>
      </w:r>
      <w:r w:rsidRPr="009A27ED">
        <w:rPr>
          <w:rFonts w:ascii="Times New Roman" w:eastAsia="Times New Roman" w:hAnsi="Times New Roman"/>
          <w:sz w:val="24"/>
          <w:szCs w:val="22"/>
        </w:rPr>
        <w:t>”</w:t>
      </w:r>
      <w:r w:rsidRPr="009A27ED">
        <w:rPr>
          <w:rStyle w:val="Refdenotaalpie"/>
          <w:rFonts w:ascii="Times New Roman" w:eastAsia="Times New Roman" w:hAnsi="Times New Roman"/>
          <w:sz w:val="24"/>
          <w:szCs w:val="22"/>
        </w:rPr>
        <w:footnoteReference w:id="95"/>
      </w:r>
      <w:r w:rsidRPr="009A27ED">
        <w:rPr>
          <w:rFonts w:ascii="Times New Roman" w:eastAsia="Times New Roman" w:hAnsi="Times New Roman"/>
          <w:sz w:val="24"/>
          <w:szCs w:val="22"/>
        </w:rPr>
        <w:t>, cuyas condiciones de validez contenidas en el artículo 1104 del mismo Código son el consentimiento, la capacidad para contratar, un objeto cierto y una causa lícita. En ese sentido, debemos decir que uno de los principales modos convencionales u contractuales de adquisición de los derechos reales principales es por medio del contrato de compraventa, el cual es definido por el artículo 1582 del Código Civil dominicano, como un contrato por el cual uno se compromete a dar una cosa y otro a pagarla, pudiendo hacerse por documento público o bajo firma privada, pudiendo llevarse a cabo un sinnúmero de convenciones contractuales cuya finalidad sea la transmisión de la propiedad, pero ninguna surte los efectos inmediatos de transmisión del acto de compra venta.</w:t>
      </w:r>
    </w:p>
    <w:p w14:paraId="0D35C7A9" w14:textId="77777777" w:rsidR="004B496C" w:rsidRPr="009A27ED" w:rsidRDefault="004B496C" w:rsidP="004B496C">
      <w:pPr>
        <w:autoSpaceDE w:val="0"/>
        <w:autoSpaceDN w:val="0"/>
        <w:adjustRightInd w:val="0"/>
        <w:spacing w:after="0" w:line="360" w:lineRule="auto"/>
        <w:rPr>
          <w:szCs w:val="22"/>
        </w:rPr>
      </w:pPr>
    </w:p>
    <w:p w14:paraId="633949A0" w14:textId="77777777" w:rsidR="004B496C" w:rsidRPr="009A27ED" w:rsidRDefault="004B496C" w:rsidP="004B496C">
      <w:pPr>
        <w:autoSpaceDE w:val="0"/>
        <w:autoSpaceDN w:val="0"/>
        <w:adjustRightInd w:val="0"/>
        <w:spacing w:after="0" w:line="360" w:lineRule="auto"/>
        <w:ind w:left="708"/>
        <w:rPr>
          <w:szCs w:val="22"/>
        </w:rPr>
      </w:pPr>
      <w:r w:rsidRPr="009A27ED">
        <w:rPr>
          <w:rFonts w:ascii="Times New Roman" w:eastAsia="Times New Roman" w:hAnsi="Times New Roman"/>
          <w:sz w:val="24"/>
          <w:szCs w:val="22"/>
        </w:rPr>
        <w:t xml:space="preserve">d) </w:t>
      </w:r>
      <w:r w:rsidRPr="009A27ED">
        <w:rPr>
          <w:rFonts w:ascii="Times New Roman" w:eastAsia="Times New Roman" w:hAnsi="Times New Roman"/>
          <w:bCs/>
          <w:sz w:val="24"/>
          <w:szCs w:val="22"/>
          <w:u w:val="single"/>
        </w:rPr>
        <w:t>Transmisión por accesión</w:t>
      </w:r>
      <w:r w:rsidRPr="009A27ED">
        <w:rPr>
          <w:rFonts w:ascii="Times New Roman" w:eastAsia="Times New Roman" w:hAnsi="Times New Roman"/>
          <w:b/>
          <w:bCs/>
          <w:sz w:val="24"/>
          <w:szCs w:val="22"/>
        </w:rPr>
        <w:t xml:space="preserve">. </w:t>
      </w:r>
      <w:r w:rsidRPr="009A27ED">
        <w:rPr>
          <w:rFonts w:ascii="Times New Roman" w:eastAsia="Times New Roman" w:hAnsi="Times New Roman"/>
          <w:sz w:val="24"/>
          <w:szCs w:val="22"/>
        </w:rPr>
        <w:t>El artículo 546 del Código Civil establece que “</w:t>
      </w:r>
      <w:r w:rsidRPr="009A27ED">
        <w:rPr>
          <w:rFonts w:ascii="Times New Roman" w:eastAsia="Times New Roman" w:hAnsi="Times New Roman"/>
          <w:i/>
          <w:sz w:val="24"/>
          <w:szCs w:val="22"/>
        </w:rPr>
        <w:t xml:space="preserve">la propiedad de una cosa, mueble, o inmueble, da derecho sobre todo lo que se agrega accesoriamente, sea </w:t>
      </w:r>
      <w:proofErr w:type="gramStart"/>
      <w:r w:rsidRPr="009A27ED">
        <w:rPr>
          <w:rFonts w:ascii="Times New Roman" w:eastAsia="Times New Roman" w:hAnsi="Times New Roman"/>
          <w:i/>
          <w:sz w:val="24"/>
          <w:szCs w:val="22"/>
        </w:rPr>
        <w:t>naturalmente o artificialmente</w:t>
      </w:r>
      <w:proofErr w:type="gramEnd"/>
      <w:r w:rsidRPr="009A27ED">
        <w:rPr>
          <w:rFonts w:ascii="Times New Roman" w:eastAsia="Times New Roman" w:hAnsi="Times New Roman"/>
          <w:i/>
          <w:sz w:val="24"/>
          <w:szCs w:val="22"/>
        </w:rPr>
        <w:t>. Este derecho se llama accesión</w:t>
      </w:r>
      <w:r w:rsidRPr="009A27ED">
        <w:rPr>
          <w:rFonts w:ascii="Times New Roman" w:eastAsia="Times New Roman" w:hAnsi="Times New Roman"/>
          <w:sz w:val="24"/>
          <w:szCs w:val="22"/>
        </w:rPr>
        <w:t>”</w:t>
      </w:r>
      <w:r w:rsidRPr="009A27ED">
        <w:rPr>
          <w:rStyle w:val="Refdenotaalpie"/>
          <w:rFonts w:ascii="Times New Roman" w:eastAsia="Times New Roman" w:hAnsi="Times New Roman"/>
          <w:sz w:val="24"/>
          <w:szCs w:val="22"/>
        </w:rPr>
        <w:footnoteReference w:id="96"/>
      </w:r>
      <w:r w:rsidRPr="009A27ED">
        <w:rPr>
          <w:rFonts w:ascii="Times New Roman" w:eastAsia="Times New Roman" w:hAnsi="Times New Roman"/>
          <w:sz w:val="24"/>
          <w:szCs w:val="22"/>
        </w:rPr>
        <w:t>. La accesión es un modo de adquirir la propiedad independientemente del hecho de la posesión, por lo que el propietario del terreno se convierte en dueño de todas las obras que en ella se implementen o surjan, sea o no poseedor del terreno en cuestión. Mientras que el artículo 551 del mismo código establece que “todo lo que se agrega o incorpora a la cosa, pertenece al dueño de ésta...”, en ese sentido, podemos ver que el derecho civil establece una presunción de propiedad en beneficio del propietario, sobre todo lo que en el terreno se construya, presunción que se destruye mediante la prueba en contrario.</w:t>
      </w:r>
    </w:p>
    <w:p w14:paraId="27CA77E9" w14:textId="77777777" w:rsidR="004B496C" w:rsidRPr="009A27ED" w:rsidRDefault="004B496C" w:rsidP="004B496C">
      <w:pPr>
        <w:autoSpaceDE w:val="0"/>
        <w:autoSpaceDN w:val="0"/>
        <w:adjustRightInd w:val="0"/>
        <w:spacing w:after="0" w:line="360" w:lineRule="auto"/>
        <w:rPr>
          <w:szCs w:val="22"/>
        </w:rPr>
      </w:pPr>
    </w:p>
    <w:p w14:paraId="1D66F7FE" w14:textId="77777777" w:rsidR="004B496C" w:rsidRPr="009A27ED" w:rsidRDefault="004B496C" w:rsidP="004B496C">
      <w:pPr>
        <w:autoSpaceDE w:val="0"/>
        <w:autoSpaceDN w:val="0"/>
        <w:adjustRightInd w:val="0"/>
        <w:spacing w:after="0" w:line="360" w:lineRule="auto"/>
        <w:ind w:left="708"/>
        <w:rPr>
          <w:szCs w:val="22"/>
        </w:rPr>
      </w:pPr>
      <w:r w:rsidRPr="009A27ED">
        <w:rPr>
          <w:rFonts w:ascii="Times New Roman" w:eastAsia="Times New Roman" w:hAnsi="Times New Roman"/>
          <w:sz w:val="24"/>
          <w:szCs w:val="22"/>
        </w:rPr>
        <w:t xml:space="preserve">e) </w:t>
      </w:r>
      <w:r w:rsidRPr="009A27ED">
        <w:rPr>
          <w:rFonts w:ascii="Times New Roman" w:eastAsia="Times New Roman" w:hAnsi="Times New Roman"/>
          <w:bCs/>
          <w:sz w:val="24"/>
          <w:szCs w:val="22"/>
          <w:u w:val="single"/>
        </w:rPr>
        <w:t>Transmisión por prescripción</w:t>
      </w:r>
      <w:r w:rsidRPr="009A27ED">
        <w:rPr>
          <w:rFonts w:ascii="Times New Roman" w:eastAsia="Times New Roman" w:hAnsi="Times New Roman"/>
          <w:b/>
          <w:bCs/>
          <w:sz w:val="24"/>
          <w:szCs w:val="22"/>
        </w:rPr>
        <w:t xml:space="preserve">. </w:t>
      </w:r>
      <w:r w:rsidRPr="009A27ED">
        <w:rPr>
          <w:rFonts w:ascii="Times New Roman" w:eastAsia="Times New Roman" w:hAnsi="Times New Roman"/>
          <w:sz w:val="24"/>
          <w:szCs w:val="22"/>
        </w:rPr>
        <w:t>La prescripción adquisitiva o usucapión es el medio por el cual el poseedor de una cosa inmueble adquiere el derecho de propiedad sobre esa cosa, por efecto de la posesión prolongada durante un plazo legalmente establecido. El artículo 21 de la Ley 108-05 establece que “</w:t>
      </w:r>
      <w:r w:rsidRPr="009A27ED">
        <w:rPr>
          <w:rFonts w:ascii="Times New Roman" w:eastAsia="Times New Roman" w:hAnsi="Times New Roman"/>
          <w:i/>
          <w:sz w:val="24"/>
          <w:szCs w:val="22"/>
        </w:rPr>
        <w:t xml:space="preserve">a los fines de saneamiento, </w:t>
      </w:r>
      <w:r w:rsidRPr="009A27ED">
        <w:rPr>
          <w:rFonts w:ascii="Times New Roman" w:eastAsia="Times New Roman" w:hAnsi="Times New Roman"/>
          <w:i/>
          <w:sz w:val="24"/>
          <w:szCs w:val="22"/>
        </w:rPr>
        <w:lastRenderedPageBreak/>
        <w:t>hay posesión cuando una persona tiene un inmueble bajo su poder a título de dueño o por otro que ejerce el derecho en su nombre</w:t>
      </w:r>
      <w:r w:rsidRPr="009A27ED">
        <w:rPr>
          <w:rFonts w:ascii="Times New Roman" w:eastAsia="Times New Roman" w:hAnsi="Times New Roman"/>
          <w:sz w:val="24"/>
          <w:szCs w:val="22"/>
        </w:rPr>
        <w:t>”</w:t>
      </w:r>
      <w:r w:rsidRPr="009A27ED">
        <w:rPr>
          <w:rStyle w:val="Refdenotaalpie"/>
          <w:rFonts w:ascii="Times New Roman" w:eastAsia="Times New Roman" w:hAnsi="Times New Roman"/>
          <w:sz w:val="24"/>
          <w:szCs w:val="22"/>
        </w:rPr>
        <w:footnoteReference w:id="97"/>
      </w:r>
      <w:r w:rsidRPr="009A27ED">
        <w:rPr>
          <w:rFonts w:ascii="Times New Roman" w:eastAsia="Times New Roman" w:hAnsi="Times New Roman"/>
          <w:sz w:val="24"/>
          <w:szCs w:val="22"/>
        </w:rPr>
        <w:t>.</w:t>
      </w:r>
    </w:p>
    <w:p w14:paraId="124496A8" w14:textId="77777777" w:rsidR="004B496C" w:rsidRPr="009A27ED" w:rsidRDefault="004B496C" w:rsidP="004B496C">
      <w:pPr>
        <w:autoSpaceDE w:val="0"/>
        <w:autoSpaceDN w:val="0"/>
        <w:adjustRightInd w:val="0"/>
        <w:spacing w:after="0" w:line="360" w:lineRule="auto"/>
        <w:rPr>
          <w:szCs w:val="22"/>
        </w:rPr>
      </w:pPr>
    </w:p>
    <w:p w14:paraId="6C54542A" w14:textId="77777777" w:rsidR="004B496C" w:rsidRPr="009A27ED" w:rsidRDefault="004B496C" w:rsidP="004B496C">
      <w:pPr>
        <w:autoSpaceDE w:val="0"/>
        <w:autoSpaceDN w:val="0"/>
        <w:adjustRightInd w:val="0"/>
        <w:spacing w:after="0" w:line="360" w:lineRule="auto"/>
        <w:rPr>
          <w:i/>
          <w:iCs/>
          <w:szCs w:val="22"/>
        </w:rPr>
      </w:pPr>
      <w:r w:rsidRPr="009A27ED">
        <w:rPr>
          <w:rFonts w:ascii="Times New Roman" w:eastAsia="Times New Roman" w:hAnsi="Times New Roman"/>
          <w:sz w:val="24"/>
          <w:szCs w:val="22"/>
        </w:rPr>
        <w:t xml:space="preserve">Para que la posesión sea causa de un derecho de propiedad, debe ser pública, pacifica, inequívoca e ininterrumpida, y a título de propietario por el tiempo fijado </w:t>
      </w:r>
      <w:r w:rsidRPr="009A27ED">
        <w:rPr>
          <w:rFonts w:ascii="Times New Roman" w:eastAsia="Times New Roman" w:hAnsi="Times New Roman"/>
          <w:iCs/>
          <w:sz w:val="24"/>
          <w:szCs w:val="22"/>
        </w:rPr>
        <w:t>por el</w:t>
      </w:r>
      <w:r w:rsidRPr="009A27ED">
        <w:rPr>
          <w:rFonts w:ascii="Times New Roman" w:eastAsia="Times New Roman" w:hAnsi="Times New Roman"/>
          <w:i/>
          <w:iCs/>
          <w:sz w:val="24"/>
          <w:szCs w:val="22"/>
        </w:rPr>
        <w:t xml:space="preserve"> </w:t>
      </w:r>
      <w:r w:rsidRPr="009A27ED">
        <w:rPr>
          <w:rFonts w:ascii="Times New Roman" w:eastAsia="Times New Roman" w:hAnsi="Times New Roman"/>
          <w:sz w:val="24"/>
          <w:szCs w:val="22"/>
        </w:rPr>
        <w:t xml:space="preserve">Código Civil, según la posesión de que se trate, en ese mismo sentido se encuentran contenidos los requisitos de la posesión en los artículos 2228 y siguientes del Código Civil dominicano, a los cuales la Ley de Registro Inmobiliario se adhiere. La Ley No.108-05 de Registro Inmobiliario acoge las modalidades de transmisión del derecho de propiedad contenidos en el derecho común, pero establece a su vez, </w:t>
      </w:r>
      <w:r w:rsidRPr="009A27ED">
        <w:rPr>
          <w:rFonts w:ascii="Times New Roman" w:eastAsia="Times New Roman" w:hAnsi="Times New Roman"/>
          <w:sz w:val="24"/>
          <w:szCs w:val="22"/>
          <w:u w:val="single"/>
        </w:rPr>
        <w:t xml:space="preserve">como requisito indispensable para el surgimiento de los efectos jurídicos del derecho, el registro como única forma de hacerlo oponible a todo el mundo, estableciendo a la vez </w:t>
      </w:r>
      <w:r w:rsidRPr="009A27ED">
        <w:rPr>
          <w:rFonts w:ascii="Times New Roman" w:eastAsia="Times New Roman" w:hAnsi="Times New Roman"/>
          <w:iCs/>
          <w:sz w:val="24"/>
          <w:szCs w:val="22"/>
          <w:u w:val="single"/>
        </w:rPr>
        <w:t xml:space="preserve">una presunción legal de exactitud </w:t>
      </w:r>
      <w:r w:rsidRPr="009A27ED">
        <w:rPr>
          <w:rFonts w:ascii="Times New Roman" w:eastAsia="Times New Roman" w:hAnsi="Times New Roman"/>
          <w:i/>
          <w:iCs/>
          <w:sz w:val="24"/>
          <w:szCs w:val="22"/>
          <w:u w:val="single"/>
        </w:rPr>
        <w:t>erga omnes</w:t>
      </w:r>
      <w:r w:rsidRPr="009A27ED">
        <w:rPr>
          <w:rFonts w:ascii="Times New Roman" w:eastAsia="Times New Roman" w:hAnsi="Times New Roman"/>
          <w:iCs/>
          <w:sz w:val="24"/>
          <w:szCs w:val="22"/>
          <w:u w:val="single"/>
        </w:rPr>
        <w:t>, no admitiendo prueba en contrario</w:t>
      </w:r>
      <w:r w:rsidRPr="009A27ED">
        <w:rPr>
          <w:rFonts w:ascii="Times New Roman" w:eastAsia="Times New Roman" w:hAnsi="Times New Roman"/>
          <w:sz w:val="24"/>
          <w:szCs w:val="22"/>
        </w:rPr>
        <w:t>, tal y como lo establece el artículo 90 de la Ley de Registro Inmobiliario al disponer que “</w:t>
      </w:r>
      <w:r w:rsidRPr="009A27ED">
        <w:rPr>
          <w:rFonts w:ascii="Times New Roman" w:eastAsia="Times New Roman" w:hAnsi="Times New Roman"/>
          <w:i/>
          <w:iCs/>
          <w:sz w:val="24"/>
          <w:szCs w:val="22"/>
        </w:rPr>
        <w:t xml:space="preserve">el registro es constitutivo y vinculante del derecho, carga o gravamen registrado. El contenido de los registros se presume exacto y esta presunción no admite prueba en </w:t>
      </w:r>
      <w:proofErr w:type="gramStart"/>
      <w:r w:rsidRPr="009A27ED">
        <w:rPr>
          <w:rFonts w:ascii="Times New Roman" w:eastAsia="Times New Roman" w:hAnsi="Times New Roman"/>
          <w:i/>
          <w:iCs/>
          <w:sz w:val="24"/>
          <w:szCs w:val="22"/>
        </w:rPr>
        <w:t>contrario....</w:t>
      </w:r>
      <w:proofErr w:type="gramEnd"/>
      <w:r w:rsidRPr="009A27ED">
        <w:rPr>
          <w:rFonts w:ascii="Times New Roman" w:eastAsia="Times New Roman" w:hAnsi="Times New Roman"/>
          <w:i/>
          <w:iCs/>
          <w:sz w:val="24"/>
          <w:szCs w:val="22"/>
        </w:rPr>
        <w:t>”</w:t>
      </w:r>
      <w:r w:rsidRPr="009A27ED">
        <w:rPr>
          <w:rStyle w:val="Refdenotaalpie"/>
          <w:rFonts w:ascii="Times New Roman" w:eastAsia="Times New Roman" w:hAnsi="Times New Roman"/>
          <w:i/>
          <w:iCs/>
          <w:sz w:val="24"/>
          <w:szCs w:val="22"/>
        </w:rPr>
        <w:footnoteReference w:id="98"/>
      </w:r>
      <w:r w:rsidRPr="009A27ED">
        <w:rPr>
          <w:rFonts w:ascii="Times New Roman" w:eastAsia="Times New Roman" w:hAnsi="Times New Roman"/>
          <w:i/>
          <w:iCs/>
          <w:sz w:val="24"/>
          <w:szCs w:val="22"/>
        </w:rPr>
        <w:t>.</w:t>
      </w:r>
    </w:p>
    <w:p w14:paraId="7A2DC4BE" w14:textId="77777777" w:rsidR="004B496C" w:rsidRPr="009A27ED" w:rsidRDefault="004B496C" w:rsidP="004B496C">
      <w:pPr>
        <w:autoSpaceDE w:val="0"/>
        <w:autoSpaceDN w:val="0"/>
        <w:adjustRightInd w:val="0"/>
        <w:spacing w:after="0" w:line="360" w:lineRule="auto"/>
        <w:rPr>
          <w:i/>
          <w:iCs/>
          <w:szCs w:val="22"/>
        </w:rPr>
      </w:pPr>
    </w:p>
    <w:p w14:paraId="48E1A608" w14:textId="77777777" w:rsidR="004B496C" w:rsidRPr="009A27ED" w:rsidRDefault="004B496C" w:rsidP="004B496C">
      <w:pPr>
        <w:autoSpaceDE w:val="0"/>
        <w:autoSpaceDN w:val="0"/>
        <w:adjustRightInd w:val="0"/>
        <w:spacing w:after="0" w:line="360" w:lineRule="auto"/>
        <w:rPr>
          <w:szCs w:val="22"/>
        </w:rPr>
      </w:pPr>
      <w:r w:rsidRPr="009A27ED">
        <w:rPr>
          <w:rFonts w:ascii="Times New Roman" w:eastAsia="Times New Roman" w:hAnsi="Times New Roman"/>
          <w:sz w:val="24"/>
          <w:szCs w:val="22"/>
        </w:rPr>
        <w:t xml:space="preserve">En la República Dominicana la principal forma de transmitir el derecho de propiedad titulado resulta lógicamente de la primera operación inmobiliaria que el propietario originario realiza: la cesión o transferencia de la propiedad.  A partir de este evento, el derecho de propiedad inmobiliario dominicano se basa, sin duda alguna, en la documentación privada, o sea aquella que transmite derecho entre particulares, que transfiere el título adquirido del propietario originario y que los acredita como legítimos propietarios. Por el contrario, el derecho no titulado se caracteriza en principio, por la posesión o  la aprehensión material del inmueble. Actualmente es un hecho inicial que sirve de fundamento para adquirir por prescripción, siempre que se reúnan los demás caracteres exigidos por la ley; pero que se distingue del derecho de propiedad y que puede tenerse independientemente de éste, aunque generalmente una de las formas, la más caracterizada de hacer ostensible ese derecho, es poseyendo materialmente la cosa. </w:t>
      </w:r>
    </w:p>
    <w:p w14:paraId="13AB683C" w14:textId="77777777" w:rsidR="004B496C" w:rsidRPr="009A27ED" w:rsidRDefault="004B496C" w:rsidP="004B496C">
      <w:pPr>
        <w:autoSpaceDE w:val="0"/>
        <w:autoSpaceDN w:val="0"/>
        <w:adjustRightInd w:val="0"/>
        <w:spacing w:after="0" w:line="360" w:lineRule="auto"/>
        <w:ind w:firstLine="708"/>
        <w:rPr>
          <w:color w:val="00B0F0"/>
          <w:szCs w:val="22"/>
        </w:rPr>
      </w:pPr>
    </w:p>
    <w:p w14:paraId="31CA8BC8" w14:textId="77777777" w:rsidR="004B496C" w:rsidRPr="009A27ED" w:rsidRDefault="004B496C" w:rsidP="004B496C">
      <w:pPr>
        <w:autoSpaceDE w:val="0"/>
        <w:autoSpaceDN w:val="0"/>
        <w:adjustRightInd w:val="0"/>
        <w:spacing w:after="0" w:line="360" w:lineRule="auto"/>
        <w:rPr>
          <w:szCs w:val="22"/>
        </w:rPr>
      </w:pPr>
      <w:r w:rsidRPr="009A27ED">
        <w:rPr>
          <w:rFonts w:ascii="Times New Roman" w:eastAsia="Times New Roman" w:hAnsi="Times New Roman"/>
          <w:sz w:val="24"/>
          <w:szCs w:val="22"/>
        </w:rPr>
        <w:t>Para que el derecho no titulado pueda consolidarse legalmente, o en su defecto ser admitido como una posesión de hecho o tenencia informal, oponible a todo el mundo inclusive al Estado, a quien la ley en principio presume como propietario original, este deberá cumplir con las condiciones y requisitos establecidos en el Código Civil y la Ley de Registro Inmobiliario para el reconocimiento de la prescripción adquisitiva o usucapión.</w:t>
      </w:r>
    </w:p>
    <w:p w14:paraId="42614429" w14:textId="77777777" w:rsidR="004B496C" w:rsidRPr="009A27ED" w:rsidRDefault="004B496C" w:rsidP="004B496C">
      <w:pPr>
        <w:autoSpaceDE w:val="0"/>
        <w:autoSpaceDN w:val="0"/>
        <w:adjustRightInd w:val="0"/>
        <w:spacing w:after="0" w:line="360" w:lineRule="auto"/>
        <w:rPr>
          <w:szCs w:val="22"/>
        </w:rPr>
      </w:pPr>
    </w:p>
    <w:p w14:paraId="28809DD5" w14:textId="2C5AD044" w:rsidR="004B496C" w:rsidRPr="009A27ED" w:rsidRDefault="004B496C" w:rsidP="004B496C">
      <w:pPr>
        <w:autoSpaceDE w:val="0"/>
        <w:autoSpaceDN w:val="0"/>
        <w:adjustRightInd w:val="0"/>
        <w:spacing w:after="0" w:line="360" w:lineRule="auto"/>
        <w:rPr>
          <w:szCs w:val="22"/>
        </w:rPr>
      </w:pPr>
      <w:r w:rsidRPr="009A27ED">
        <w:rPr>
          <w:rFonts w:ascii="Times New Roman" w:eastAsia="Times New Roman" w:hAnsi="Times New Roman"/>
          <w:sz w:val="24"/>
          <w:szCs w:val="22"/>
        </w:rPr>
        <w:t xml:space="preserve">Por otro lado, enunciamos a </w:t>
      </w:r>
      <w:r w:rsidR="00567CF4" w:rsidRPr="009A27ED">
        <w:rPr>
          <w:rFonts w:ascii="Times New Roman" w:eastAsia="Times New Roman" w:hAnsi="Times New Roman"/>
          <w:sz w:val="24"/>
          <w:szCs w:val="22"/>
        </w:rPr>
        <w:t>continuación las</w:t>
      </w:r>
      <w:r w:rsidRPr="009A27ED">
        <w:rPr>
          <w:rFonts w:ascii="Times New Roman" w:eastAsia="Times New Roman" w:hAnsi="Times New Roman"/>
          <w:sz w:val="24"/>
          <w:szCs w:val="22"/>
        </w:rPr>
        <w:t xml:space="preserve"> características del régimen de la propiedad privada frente a los límites de dominio público. La propiedad privada se limita por el derecho prevalente de los demás, siendo de estricta necesidad, la facultad de usarla de un modo ordenado, pacífico, rentable, y libre. Salvo las excepciones que establecen la Constitución y las Leyes.</w:t>
      </w:r>
    </w:p>
    <w:p w14:paraId="6933AC0C" w14:textId="77777777" w:rsidR="004B496C" w:rsidRPr="009A27ED" w:rsidRDefault="004B496C" w:rsidP="004B496C">
      <w:pPr>
        <w:autoSpaceDE w:val="0"/>
        <w:autoSpaceDN w:val="0"/>
        <w:adjustRightInd w:val="0"/>
        <w:spacing w:after="0" w:line="360" w:lineRule="auto"/>
        <w:ind w:firstLine="708"/>
        <w:rPr>
          <w:szCs w:val="22"/>
        </w:rPr>
      </w:pPr>
    </w:p>
    <w:p w14:paraId="7E5C46FC" w14:textId="77777777" w:rsidR="004B496C" w:rsidRPr="009A27ED" w:rsidRDefault="004B496C" w:rsidP="004B496C">
      <w:pPr>
        <w:autoSpaceDE w:val="0"/>
        <w:autoSpaceDN w:val="0"/>
        <w:adjustRightInd w:val="0"/>
        <w:spacing w:after="0" w:line="360" w:lineRule="auto"/>
        <w:rPr>
          <w:i/>
          <w:iCs/>
          <w:szCs w:val="22"/>
        </w:rPr>
      </w:pPr>
      <w:r w:rsidRPr="009A27ED">
        <w:rPr>
          <w:rFonts w:ascii="Times New Roman" w:eastAsia="Times New Roman" w:hAnsi="Times New Roman"/>
          <w:sz w:val="24"/>
          <w:szCs w:val="22"/>
        </w:rPr>
        <w:t xml:space="preserve">Por consiguiente, en nuestro ordenamiento jurídico interno, de manera especial, encontramos esas limitaciones en el artículo 544 parte </w:t>
      </w:r>
      <w:proofErr w:type="spellStart"/>
      <w:r w:rsidRPr="009A27ED">
        <w:rPr>
          <w:rFonts w:ascii="Times New Roman" w:eastAsia="Times New Roman" w:hAnsi="Times New Roman"/>
          <w:i/>
          <w:iCs/>
          <w:sz w:val="24"/>
          <w:szCs w:val="22"/>
        </w:rPr>
        <w:t>infine</w:t>
      </w:r>
      <w:proofErr w:type="spellEnd"/>
      <w:r w:rsidRPr="009A27ED">
        <w:rPr>
          <w:rFonts w:ascii="Times New Roman" w:eastAsia="Times New Roman" w:hAnsi="Times New Roman"/>
          <w:sz w:val="24"/>
          <w:szCs w:val="22"/>
        </w:rPr>
        <w:t xml:space="preserve"> del Código Civil, cuando nos dice que tenemos un derecho absoluto sobre el bien, pero </w:t>
      </w:r>
      <w:r w:rsidRPr="009A27ED">
        <w:rPr>
          <w:rFonts w:ascii="Times New Roman" w:eastAsia="Times New Roman" w:hAnsi="Times New Roman"/>
          <w:i/>
          <w:iCs/>
          <w:sz w:val="24"/>
          <w:szCs w:val="22"/>
        </w:rPr>
        <w:t>“con tal que no se haga de ella un uso prohibido por las leyes y los reglamentos”</w:t>
      </w:r>
      <w:r w:rsidRPr="009A27ED">
        <w:rPr>
          <w:rStyle w:val="Refdenotaalpie"/>
          <w:rFonts w:ascii="Times New Roman" w:eastAsia="Times New Roman" w:hAnsi="Times New Roman"/>
          <w:i/>
          <w:iCs/>
          <w:sz w:val="24"/>
          <w:szCs w:val="22"/>
        </w:rPr>
        <w:footnoteReference w:id="99"/>
      </w:r>
      <w:r w:rsidRPr="009A27ED">
        <w:rPr>
          <w:rFonts w:ascii="Times New Roman" w:eastAsia="Times New Roman" w:hAnsi="Times New Roman"/>
          <w:i/>
          <w:iCs/>
          <w:sz w:val="24"/>
          <w:szCs w:val="22"/>
        </w:rPr>
        <w:t xml:space="preserve">. </w:t>
      </w:r>
      <w:r w:rsidRPr="009A27ED">
        <w:rPr>
          <w:rFonts w:ascii="Times New Roman" w:eastAsia="Times New Roman" w:hAnsi="Times New Roman"/>
          <w:sz w:val="24"/>
          <w:szCs w:val="22"/>
        </w:rPr>
        <w:t>De esta manera vemos que los límites impuestos por la ley con relación al modo de ejercer el derecho de propiedad se derivan de los siguientes criterios:</w:t>
      </w:r>
    </w:p>
    <w:p w14:paraId="351C30B4" w14:textId="77777777" w:rsidR="004B496C" w:rsidRPr="009A27ED" w:rsidRDefault="004B496C" w:rsidP="004B496C">
      <w:pPr>
        <w:autoSpaceDE w:val="0"/>
        <w:autoSpaceDN w:val="0"/>
        <w:adjustRightInd w:val="0"/>
        <w:spacing w:after="0" w:line="360" w:lineRule="auto"/>
        <w:rPr>
          <w:szCs w:val="22"/>
        </w:rPr>
      </w:pPr>
    </w:p>
    <w:p w14:paraId="1585264F" w14:textId="77777777" w:rsidR="004B496C" w:rsidRPr="009A27ED" w:rsidRDefault="004B496C" w:rsidP="00E67CB0">
      <w:pPr>
        <w:pStyle w:val="Prrafodelista"/>
        <w:numPr>
          <w:ilvl w:val="0"/>
          <w:numId w:val="148"/>
        </w:numPr>
        <w:autoSpaceDE w:val="0"/>
        <w:autoSpaceDN w:val="0"/>
        <w:adjustRightInd w:val="0"/>
        <w:spacing w:after="0" w:line="360" w:lineRule="auto"/>
        <w:rPr>
          <w:szCs w:val="22"/>
        </w:rPr>
      </w:pPr>
      <w:r w:rsidRPr="009A27ED">
        <w:rPr>
          <w:rFonts w:ascii="Times New Roman" w:eastAsia="Times New Roman" w:hAnsi="Times New Roman"/>
          <w:sz w:val="24"/>
          <w:szCs w:val="22"/>
        </w:rPr>
        <w:t xml:space="preserve">Limites trazados al derecho de propiedad en base a la teoría del abuso de los derechos, que busca del propietario ejerza sus derechos de un modo serio, justo y legítimo, con tal de que sus actuaciones no perjudiquen al prójimo. </w:t>
      </w:r>
    </w:p>
    <w:p w14:paraId="301B7207" w14:textId="77777777" w:rsidR="004B496C" w:rsidRPr="009A27ED" w:rsidRDefault="004B496C" w:rsidP="004B496C">
      <w:pPr>
        <w:autoSpaceDE w:val="0"/>
        <w:autoSpaceDN w:val="0"/>
        <w:adjustRightInd w:val="0"/>
        <w:spacing w:after="0" w:line="360" w:lineRule="auto"/>
        <w:rPr>
          <w:szCs w:val="22"/>
        </w:rPr>
      </w:pPr>
    </w:p>
    <w:p w14:paraId="27F23B67" w14:textId="77777777" w:rsidR="004B496C" w:rsidRPr="009A27ED" w:rsidRDefault="004B496C" w:rsidP="00E67CB0">
      <w:pPr>
        <w:pStyle w:val="Prrafodelista"/>
        <w:numPr>
          <w:ilvl w:val="0"/>
          <w:numId w:val="148"/>
        </w:numPr>
        <w:autoSpaceDE w:val="0"/>
        <w:autoSpaceDN w:val="0"/>
        <w:adjustRightInd w:val="0"/>
        <w:spacing w:after="0" w:line="360" w:lineRule="auto"/>
        <w:rPr>
          <w:szCs w:val="22"/>
        </w:rPr>
      </w:pPr>
      <w:r w:rsidRPr="009A27ED">
        <w:rPr>
          <w:rFonts w:ascii="Times New Roman" w:eastAsia="Times New Roman" w:hAnsi="Times New Roman"/>
          <w:sz w:val="24"/>
          <w:szCs w:val="22"/>
        </w:rPr>
        <w:t xml:space="preserve">Limitaciones establecidas en interés de la colectividad, o en interés general, dentro de la cual se encuentra incluido el derecho de expropiación que tiene el Estado Dominicano. </w:t>
      </w:r>
    </w:p>
    <w:p w14:paraId="12DDB57D" w14:textId="77777777" w:rsidR="004B496C" w:rsidRPr="009A27ED" w:rsidRDefault="004B496C" w:rsidP="004B496C">
      <w:pPr>
        <w:autoSpaceDE w:val="0"/>
        <w:autoSpaceDN w:val="0"/>
        <w:adjustRightInd w:val="0"/>
        <w:spacing w:after="0" w:line="360" w:lineRule="auto"/>
        <w:rPr>
          <w:szCs w:val="22"/>
        </w:rPr>
      </w:pPr>
    </w:p>
    <w:p w14:paraId="5E88326F" w14:textId="77777777" w:rsidR="004B496C" w:rsidRPr="009A27ED" w:rsidRDefault="004B496C" w:rsidP="00E67CB0">
      <w:pPr>
        <w:pStyle w:val="Prrafodelista"/>
        <w:numPr>
          <w:ilvl w:val="0"/>
          <w:numId w:val="148"/>
        </w:numPr>
        <w:autoSpaceDE w:val="0"/>
        <w:autoSpaceDN w:val="0"/>
        <w:adjustRightInd w:val="0"/>
        <w:spacing w:after="0" w:line="360" w:lineRule="auto"/>
        <w:rPr>
          <w:szCs w:val="22"/>
        </w:rPr>
      </w:pPr>
      <w:r w:rsidRPr="009A27ED">
        <w:rPr>
          <w:rFonts w:ascii="Times New Roman" w:eastAsia="Times New Roman" w:hAnsi="Times New Roman"/>
          <w:sz w:val="24"/>
          <w:szCs w:val="22"/>
        </w:rPr>
        <w:t>Los límites que imponen las relaciones de vecindad, como son las servidumbres legales del artículo 640 del Código Civil, en cuanto a las aguas del predio superior.</w:t>
      </w:r>
    </w:p>
    <w:p w14:paraId="2A03A4BE" w14:textId="77777777" w:rsidR="004B496C" w:rsidRPr="009A27ED" w:rsidRDefault="004B496C" w:rsidP="004B496C">
      <w:pPr>
        <w:autoSpaceDE w:val="0"/>
        <w:autoSpaceDN w:val="0"/>
        <w:adjustRightInd w:val="0"/>
        <w:spacing w:after="0" w:line="360" w:lineRule="auto"/>
        <w:rPr>
          <w:szCs w:val="22"/>
        </w:rPr>
      </w:pPr>
    </w:p>
    <w:p w14:paraId="68D3CD62" w14:textId="77777777" w:rsidR="004B496C" w:rsidRPr="009A27ED" w:rsidRDefault="004B496C" w:rsidP="00E67CB0">
      <w:pPr>
        <w:pStyle w:val="Prrafodelista"/>
        <w:numPr>
          <w:ilvl w:val="0"/>
          <w:numId w:val="148"/>
        </w:numPr>
        <w:autoSpaceDE w:val="0"/>
        <w:autoSpaceDN w:val="0"/>
        <w:adjustRightInd w:val="0"/>
        <w:spacing w:after="0" w:line="360" w:lineRule="auto"/>
        <w:rPr>
          <w:szCs w:val="22"/>
        </w:rPr>
      </w:pPr>
      <w:r w:rsidRPr="009A27ED">
        <w:rPr>
          <w:rFonts w:ascii="Times New Roman" w:eastAsia="Times New Roman" w:hAnsi="Times New Roman"/>
          <w:sz w:val="24"/>
          <w:szCs w:val="22"/>
        </w:rPr>
        <w:t>Los limites introducidos en base a la función social de la propiedad, en el contenido normal del derecho, sobre determinadas actuaciones legales o convencionales, como son, afectación del medio ambiente y los recursos naturales, prohibiciones de disposición y de constitución de derechos o garantías reales.</w:t>
      </w:r>
    </w:p>
    <w:p w14:paraId="207B29EE" w14:textId="77777777" w:rsidR="004B496C" w:rsidRPr="009A27ED" w:rsidRDefault="004B496C" w:rsidP="004B496C">
      <w:pPr>
        <w:autoSpaceDE w:val="0"/>
        <w:autoSpaceDN w:val="0"/>
        <w:adjustRightInd w:val="0"/>
        <w:spacing w:after="0" w:line="360" w:lineRule="auto"/>
        <w:rPr>
          <w:szCs w:val="22"/>
        </w:rPr>
      </w:pPr>
    </w:p>
    <w:p w14:paraId="30045692" w14:textId="5A6FC0CA" w:rsidR="004B496C" w:rsidRPr="009A27ED" w:rsidRDefault="004B496C" w:rsidP="004B496C">
      <w:pPr>
        <w:autoSpaceDE w:val="0"/>
        <w:autoSpaceDN w:val="0"/>
        <w:adjustRightInd w:val="0"/>
        <w:spacing w:after="0" w:line="360" w:lineRule="auto"/>
        <w:rPr>
          <w:szCs w:val="22"/>
        </w:rPr>
      </w:pPr>
      <w:r w:rsidRPr="009A27ED">
        <w:rPr>
          <w:rFonts w:ascii="Times New Roman" w:eastAsia="Times New Roman" w:hAnsi="Times New Roman"/>
          <w:sz w:val="24"/>
          <w:szCs w:val="22"/>
        </w:rPr>
        <w:t xml:space="preserve">Otra modalidad para acceder a la </w:t>
      </w:r>
      <w:proofErr w:type="gramStart"/>
      <w:r w:rsidRPr="009A27ED">
        <w:rPr>
          <w:rFonts w:ascii="Times New Roman" w:eastAsia="Times New Roman" w:hAnsi="Times New Roman"/>
          <w:sz w:val="24"/>
          <w:szCs w:val="22"/>
        </w:rPr>
        <w:t>tierra,</w:t>
      </w:r>
      <w:proofErr w:type="gramEnd"/>
      <w:r w:rsidRPr="009A27ED">
        <w:rPr>
          <w:rFonts w:ascii="Times New Roman" w:eastAsia="Times New Roman" w:hAnsi="Times New Roman"/>
          <w:sz w:val="24"/>
          <w:szCs w:val="22"/>
        </w:rPr>
        <w:t xml:space="preserve"> consiste en la entrega que hace el Instituto Agrario Dominicano (IAD) a los parceleros de un Certificado de Asignación Provisional, (Título Provisional), el cual le concede un derecho de uso y usufructo para explotarlas de manera limitada. En consecuencia, este documento no constituye un título definitivo de propiedad, oponible a terceros, sino un certificado de dependencia del IAD, quien es el verdadero propietario de las tierras. La entrega de este Certificado de Asignación Provisional constituye un acto administrativo, en el que el beneficiario disfruta del </w:t>
      </w:r>
      <w:r w:rsidR="00AF66EF" w:rsidRPr="009A27ED">
        <w:rPr>
          <w:rFonts w:ascii="Times New Roman" w:eastAsia="Times New Roman" w:hAnsi="Times New Roman"/>
          <w:sz w:val="24"/>
          <w:szCs w:val="22"/>
        </w:rPr>
        <w:t>terreno,</w:t>
      </w:r>
      <w:r w:rsidRPr="009A27ED">
        <w:rPr>
          <w:rFonts w:ascii="Times New Roman" w:eastAsia="Times New Roman" w:hAnsi="Times New Roman"/>
          <w:sz w:val="24"/>
          <w:szCs w:val="22"/>
        </w:rPr>
        <w:t xml:space="preserve"> pero no puede por la vía judicial oponer sus derechos a terceros, sino a través del IAD, quien es el poseedor a nombre del Estado del derecho de propiedad.</w:t>
      </w:r>
    </w:p>
    <w:p w14:paraId="3179E0FA" w14:textId="77777777" w:rsidR="004B496C" w:rsidRPr="009A27ED" w:rsidRDefault="004B496C" w:rsidP="004B496C">
      <w:pPr>
        <w:autoSpaceDE w:val="0"/>
        <w:autoSpaceDN w:val="0"/>
        <w:adjustRightInd w:val="0"/>
        <w:spacing w:after="0" w:line="360" w:lineRule="auto"/>
        <w:rPr>
          <w:szCs w:val="22"/>
        </w:rPr>
      </w:pPr>
    </w:p>
    <w:p w14:paraId="2BB8AAAB" w14:textId="77777777" w:rsidR="004B496C" w:rsidRPr="009A27ED" w:rsidRDefault="004B496C" w:rsidP="004B496C">
      <w:pPr>
        <w:autoSpaceDE w:val="0"/>
        <w:autoSpaceDN w:val="0"/>
        <w:adjustRightInd w:val="0"/>
        <w:spacing w:after="0" w:line="360" w:lineRule="auto"/>
        <w:rPr>
          <w:szCs w:val="22"/>
        </w:rPr>
      </w:pPr>
      <w:r w:rsidRPr="009A27ED">
        <w:rPr>
          <w:rFonts w:ascii="Times New Roman" w:eastAsia="Times New Roman" w:hAnsi="Times New Roman"/>
          <w:sz w:val="24"/>
          <w:szCs w:val="22"/>
        </w:rPr>
        <w:t xml:space="preserve">La Ley No. 5879, del 27 de abril de 1962, sobre Reforma Agraria en su Artículo 38 dispone que </w:t>
      </w:r>
      <w:proofErr w:type="gramStart"/>
      <w:r w:rsidRPr="009A27ED">
        <w:rPr>
          <w:rFonts w:ascii="Times New Roman" w:eastAsia="Times New Roman" w:hAnsi="Times New Roman"/>
          <w:sz w:val="24"/>
          <w:szCs w:val="22"/>
        </w:rPr>
        <w:t>la distribución de parcelas se harán</w:t>
      </w:r>
      <w:proofErr w:type="gramEnd"/>
      <w:r w:rsidRPr="009A27ED">
        <w:rPr>
          <w:rFonts w:ascii="Times New Roman" w:eastAsia="Times New Roman" w:hAnsi="Times New Roman"/>
          <w:sz w:val="24"/>
          <w:szCs w:val="22"/>
        </w:rPr>
        <w:t xml:space="preserve"> mediante contratos de venta condicionales, donde el precio y las condiciones de pago serán determinadas por el IAD y sus reglamentos</w:t>
      </w:r>
      <w:r w:rsidRPr="009A27ED">
        <w:rPr>
          <w:rStyle w:val="Refdenotaalpie"/>
          <w:rFonts w:ascii="Times New Roman" w:eastAsia="Times New Roman" w:hAnsi="Times New Roman"/>
          <w:sz w:val="24"/>
          <w:szCs w:val="22"/>
        </w:rPr>
        <w:footnoteReference w:id="100"/>
      </w:r>
      <w:r w:rsidRPr="009A27ED">
        <w:rPr>
          <w:rFonts w:ascii="Times New Roman" w:eastAsia="Times New Roman" w:hAnsi="Times New Roman"/>
          <w:sz w:val="24"/>
          <w:szCs w:val="22"/>
        </w:rPr>
        <w:t>. En la práctica, la distribución de parcelas se hace mediante asentamientos en forma gratuita.</w:t>
      </w:r>
    </w:p>
    <w:p w14:paraId="66781F69" w14:textId="77777777" w:rsidR="004B496C" w:rsidRPr="009A27ED" w:rsidRDefault="004B496C" w:rsidP="004B496C">
      <w:pPr>
        <w:autoSpaceDE w:val="0"/>
        <w:autoSpaceDN w:val="0"/>
        <w:adjustRightInd w:val="0"/>
        <w:spacing w:after="0" w:line="360" w:lineRule="auto"/>
        <w:rPr>
          <w:szCs w:val="22"/>
        </w:rPr>
      </w:pPr>
    </w:p>
    <w:p w14:paraId="2959EF50" w14:textId="77777777" w:rsidR="004B496C" w:rsidRPr="009A27ED" w:rsidRDefault="004B496C" w:rsidP="004B496C">
      <w:pPr>
        <w:autoSpaceDE w:val="0"/>
        <w:autoSpaceDN w:val="0"/>
        <w:adjustRightInd w:val="0"/>
        <w:spacing w:after="0" w:line="360" w:lineRule="auto"/>
        <w:rPr>
          <w:szCs w:val="22"/>
        </w:rPr>
      </w:pPr>
      <w:r w:rsidRPr="009A27ED">
        <w:rPr>
          <w:rFonts w:ascii="Times New Roman" w:eastAsia="Times New Roman" w:hAnsi="Times New Roman"/>
          <w:sz w:val="24"/>
          <w:szCs w:val="22"/>
        </w:rPr>
        <w:t xml:space="preserve">La Ley de Reforma Agraria, para la adjudicación de tierras a los beneficiarios, toma como base la explotación individual del terreno. Posteriormente, se introdujeron los sistemas colectivos (1972) y asociativos (1985). En los tres casos, la unidad de asignación es la parcela, de ahí que a los beneficiarios se les denomine parceleros. En la actualidad sólo operan dos tipos de asentamientos: el individual y el asociativo. En el primero, el Estado entrega una parcela a un individuo basado en la Ley de Reforma Agraria; el segundo, consiste en un modelo mixto entre los asentamientos individuales y colectivos. </w:t>
      </w:r>
    </w:p>
    <w:p w14:paraId="7A3EA6AD" w14:textId="77777777" w:rsidR="004B496C" w:rsidRPr="009A27ED" w:rsidRDefault="004B496C" w:rsidP="004B496C">
      <w:pPr>
        <w:autoSpaceDE w:val="0"/>
        <w:autoSpaceDN w:val="0"/>
        <w:adjustRightInd w:val="0"/>
        <w:spacing w:after="0" w:line="360" w:lineRule="auto"/>
        <w:rPr>
          <w:szCs w:val="22"/>
        </w:rPr>
      </w:pPr>
    </w:p>
    <w:p w14:paraId="508D3A26" w14:textId="77777777" w:rsidR="004B496C" w:rsidRPr="009A27ED" w:rsidRDefault="004B496C" w:rsidP="004B496C">
      <w:pPr>
        <w:autoSpaceDE w:val="0"/>
        <w:autoSpaceDN w:val="0"/>
        <w:adjustRightInd w:val="0"/>
        <w:spacing w:after="0" w:line="360" w:lineRule="auto"/>
        <w:rPr>
          <w:szCs w:val="22"/>
        </w:rPr>
      </w:pPr>
      <w:r w:rsidRPr="009A27ED">
        <w:rPr>
          <w:rFonts w:ascii="Times New Roman" w:eastAsia="Times New Roman" w:hAnsi="Times New Roman"/>
          <w:sz w:val="24"/>
          <w:szCs w:val="22"/>
        </w:rPr>
        <w:lastRenderedPageBreak/>
        <w:t xml:space="preserve">A partir de 1981 se comenzaron a otorgar los primeros títulos asociativos, </w:t>
      </w:r>
      <w:proofErr w:type="gramStart"/>
      <w:r w:rsidRPr="009A27ED">
        <w:rPr>
          <w:rFonts w:ascii="Times New Roman" w:eastAsia="Times New Roman" w:hAnsi="Times New Roman"/>
          <w:sz w:val="24"/>
          <w:szCs w:val="22"/>
        </w:rPr>
        <w:t>resultando favorables</w:t>
      </w:r>
      <w:proofErr w:type="gramEnd"/>
      <w:r w:rsidRPr="009A27ED">
        <w:rPr>
          <w:rFonts w:ascii="Times New Roman" w:eastAsia="Times New Roman" w:hAnsi="Times New Roman"/>
          <w:sz w:val="24"/>
          <w:szCs w:val="22"/>
        </w:rPr>
        <w:t xml:space="preserve"> para el desarrollo de empresas autogestionarias en algunos proyectos del IAD, como el proyecto </w:t>
      </w:r>
      <w:proofErr w:type="spellStart"/>
      <w:r w:rsidRPr="009A27ED">
        <w:rPr>
          <w:rFonts w:ascii="Times New Roman" w:eastAsia="Times New Roman" w:hAnsi="Times New Roman"/>
          <w:sz w:val="24"/>
          <w:szCs w:val="22"/>
        </w:rPr>
        <w:t>Ysura</w:t>
      </w:r>
      <w:proofErr w:type="spellEnd"/>
      <w:r w:rsidRPr="009A27ED">
        <w:rPr>
          <w:rFonts w:ascii="Times New Roman" w:eastAsia="Times New Roman" w:hAnsi="Times New Roman"/>
          <w:sz w:val="24"/>
          <w:szCs w:val="22"/>
        </w:rPr>
        <w:t xml:space="preserve"> que se ejecuta en la ciudad de Azua ubicada en la zona sur del país, y el proyecto Manejo racional de bosque seco, entre otros.</w:t>
      </w:r>
    </w:p>
    <w:p w14:paraId="54FCB505" w14:textId="77777777" w:rsidR="004B496C" w:rsidRPr="009A27ED" w:rsidRDefault="004B496C" w:rsidP="004B496C">
      <w:pPr>
        <w:spacing w:after="0" w:line="360" w:lineRule="auto"/>
        <w:rPr>
          <w:szCs w:val="22"/>
        </w:rPr>
      </w:pPr>
    </w:p>
    <w:p w14:paraId="7DB96C43" w14:textId="77777777" w:rsidR="004B496C" w:rsidRPr="009A27ED" w:rsidRDefault="004B496C" w:rsidP="004B496C">
      <w:pPr>
        <w:spacing w:after="0" w:line="360" w:lineRule="auto"/>
        <w:rPr>
          <w:szCs w:val="22"/>
        </w:rPr>
      </w:pPr>
      <w:r w:rsidRPr="009A27ED">
        <w:rPr>
          <w:rFonts w:ascii="Times New Roman" w:eastAsia="Times New Roman" w:hAnsi="Times New Roman"/>
          <w:sz w:val="24"/>
          <w:szCs w:val="22"/>
        </w:rPr>
        <w:t>Respecto a los terrenos que forman parte del conjunto de bienes patrimoniales del Estado dominicano, tenemos que la Ley No. 202-4, Sectorial de Áreas Protegidas dispone en su Artículo 9 que: “</w:t>
      </w:r>
      <w:r w:rsidRPr="009A27ED">
        <w:rPr>
          <w:rFonts w:ascii="Times New Roman" w:eastAsia="Times New Roman" w:hAnsi="Times New Roman"/>
          <w:i/>
          <w:sz w:val="24"/>
          <w:szCs w:val="22"/>
        </w:rPr>
        <w:t>Los terrenos pertenecientes al Estado que integran el Sistema Nacional de Áreas Protegidas son imprescriptibles e inalienables y sobre ellos no puede constituirse ningún derecho privado</w:t>
      </w:r>
      <w:r w:rsidRPr="009A27ED">
        <w:rPr>
          <w:rFonts w:ascii="Times New Roman" w:eastAsia="Times New Roman" w:hAnsi="Times New Roman"/>
          <w:sz w:val="24"/>
          <w:szCs w:val="22"/>
        </w:rPr>
        <w:t>”. Estas características son confirmadas por la Constitución dominicana en su Artículo 16 al establecer que: “</w:t>
      </w:r>
      <w:r w:rsidRPr="009A27ED">
        <w:rPr>
          <w:rFonts w:ascii="Times New Roman" w:eastAsia="Times New Roman" w:hAnsi="Times New Roman"/>
          <w:i/>
          <w:sz w:val="24"/>
          <w:szCs w:val="22"/>
        </w:rPr>
        <w:t>La vida silvestre, las unidades de conservación que conforman el Sistema Nacional de Áreas Protegidas y los ecosistemas y especies que contiene, constituyen bienes patrimoniales de la Nación y son inalienables, inembargables e imprescriptibles. Los límites de las áreas protegidas sólo pueden ser reducidos por ley con la aprobación de las dos terceras partes de los votos de los miembros de las cámaras del Congreso Nacional</w:t>
      </w:r>
      <w:r w:rsidRPr="009A27ED">
        <w:rPr>
          <w:rFonts w:ascii="Times New Roman" w:eastAsia="Times New Roman" w:hAnsi="Times New Roman"/>
          <w:sz w:val="24"/>
          <w:szCs w:val="22"/>
        </w:rPr>
        <w:t>”</w:t>
      </w:r>
      <w:r w:rsidRPr="009A27ED">
        <w:rPr>
          <w:rStyle w:val="Refdenotaalpie"/>
          <w:rFonts w:ascii="Times New Roman" w:eastAsia="Times New Roman" w:hAnsi="Times New Roman"/>
          <w:sz w:val="24"/>
          <w:szCs w:val="22"/>
        </w:rPr>
        <w:footnoteReference w:id="101"/>
      </w:r>
      <w:r w:rsidRPr="009A27ED">
        <w:rPr>
          <w:rFonts w:ascii="Times New Roman" w:eastAsia="Times New Roman" w:hAnsi="Times New Roman"/>
          <w:sz w:val="24"/>
          <w:szCs w:val="22"/>
        </w:rPr>
        <w:t xml:space="preserve">. Entonces, según la Constitución y la Ley Sectorial de Áreas Protegidas estos espacios que son inalienables, inembargables e imprescriptibles, están fuera de todo comercio </w:t>
      </w:r>
      <w:r w:rsidRPr="009A27ED">
        <w:rPr>
          <w:rFonts w:ascii="Times New Roman" w:eastAsia="Times New Roman" w:hAnsi="Times New Roman"/>
          <w:sz w:val="24"/>
          <w:szCs w:val="22"/>
          <w:u w:val="single"/>
        </w:rPr>
        <w:t>y fuera del alcance del dominio privado de los particulares y no procede en ningún caso el registro del derecho de propiedad producto del proceso de saneamiento</w:t>
      </w:r>
      <w:r w:rsidRPr="009A27ED">
        <w:rPr>
          <w:rFonts w:ascii="Times New Roman" w:eastAsia="Times New Roman" w:hAnsi="Times New Roman"/>
          <w:sz w:val="24"/>
          <w:szCs w:val="22"/>
        </w:rPr>
        <w:t>.</w:t>
      </w:r>
    </w:p>
    <w:p w14:paraId="4D7B3250" w14:textId="77777777" w:rsidR="004B496C" w:rsidRPr="009A27ED" w:rsidRDefault="004B496C" w:rsidP="004B496C">
      <w:pPr>
        <w:spacing w:after="0" w:line="360" w:lineRule="auto"/>
        <w:rPr>
          <w:szCs w:val="22"/>
        </w:rPr>
      </w:pPr>
    </w:p>
    <w:p w14:paraId="0A45F72A" w14:textId="77777777" w:rsidR="004B496C" w:rsidRPr="009A27ED" w:rsidRDefault="004B496C" w:rsidP="004B496C">
      <w:pPr>
        <w:shd w:val="clear" w:color="auto" w:fill="FFFFFF"/>
        <w:spacing w:line="360" w:lineRule="auto"/>
        <w:rPr>
          <w:rFonts w:cs="Microsoft Sans Serif"/>
          <w:szCs w:val="22"/>
          <w:lang w:eastAsia="es-DO"/>
        </w:rPr>
      </w:pPr>
      <w:r w:rsidRPr="009A27ED">
        <w:rPr>
          <w:rFonts w:ascii="Times New Roman" w:eastAsia="Times New Roman" w:hAnsi="Times New Roman" w:cs="Microsoft Sans Serif"/>
          <w:sz w:val="24"/>
          <w:szCs w:val="22"/>
          <w:lang w:eastAsia="es-DO"/>
        </w:rPr>
        <w:t xml:space="preserve">Sobre esta cuestión es importante distinguir lo que ocurre en caso de que la condición de área protegida de un espacio o ecosistema haya sido investida con posterioridad a la existencia de parcelas debidamente registradas en esa zona. Para este caso, cabe resaltar la disposición del párrafo del Artículo 9 de la Ley 202-04 que afirma que: </w:t>
      </w:r>
      <w:r w:rsidRPr="009A27ED">
        <w:rPr>
          <w:rFonts w:ascii="Times New Roman" w:eastAsia="Times New Roman" w:hAnsi="Times New Roman" w:cs="Microsoft Sans Serif"/>
          <w:sz w:val="24"/>
          <w:szCs w:val="22"/>
        </w:rPr>
        <w:t>“</w:t>
      </w:r>
      <w:r w:rsidRPr="009A27ED">
        <w:rPr>
          <w:rFonts w:ascii="Times New Roman" w:eastAsia="Times New Roman" w:hAnsi="Times New Roman" w:cs="Microsoft Sans Serif"/>
          <w:i/>
          <w:sz w:val="24"/>
          <w:szCs w:val="22"/>
        </w:rPr>
        <w:t>Los terrenos de dominio privado con título de propiedad inscrito legalmente en el correspondiente Registro del Tribunal Superior de Tierras con anterioridad a la promulgación de la Ley General sobre Medio Ambiente y Recursos Naturales, que se encuentren dentro de las áreas protegidas, se reconocerán como tales”</w:t>
      </w:r>
      <w:r w:rsidRPr="009A27ED">
        <w:rPr>
          <w:rStyle w:val="Refdenotaalpie"/>
          <w:rFonts w:ascii="Times New Roman" w:eastAsia="Times New Roman" w:hAnsi="Times New Roman" w:cs="Microsoft Sans Serif"/>
          <w:i/>
          <w:sz w:val="24"/>
          <w:szCs w:val="22"/>
        </w:rPr>
        <w:footnoteReference w:id="102"/>
      </w:r>
      <w:r w:rsidRPr="009A27ED">
        <w:rPr>
          <w:rFonts w:ascii="Times New Roman" w:eastAsia="Times New Roman" w:hAnsi="Times New Roman" w:cs="Microsoft Sans Serif"/>
          <w:i/>
          <w:sz w:val="24"/>
          <w:szCs w:val="22"/>
        </w:rPr>
        <w:t xml:space="preserve">.  </w:t>
      </w:r>
      <w:r w:rsidRPr="009A27ED">
        <w:rPr>
          <w:rFonts w:ascii="Times New Roman" w:eastAsia="Times New Roman" w:hAnsi="Times New Roman" w:cs="Microsoft Sans Serif"/>
          <w:sz w:val="24"/>
          <w:szCs w:val="22"/>
          <w:lang w:eastAsia="es-DO"/>
        </w:rPr>
        <w:t xml:space="preserve">No </w:t>
      </w:r>
      <w:proofErr w:type="gramStart"/>
      <w:r w:rsidRPr="009A27ED">
        <w:rPr>
          <w:rFonts w:ascii="Times New Roman" w:eastAsia="Times New Roman" w:hAnsi="Times New Roman" w:cs="Microsoft Sans Serif"/>
          <w:sz w:val="24"/>
          <w:szCs w:val="22"/>
          <w:lang w:eastAsia="es-DO"/>
        </w:rPr>
        <w:t>obstante</w:t>
      </w:r>
      <w:proofErr w:type="gramEnd"/>
      <w:r w:rsidRPr="009A27ED">
        <w:rPr>
          <w:rFonts w:ascii="Times New Roman" w:eastAsia="Times New Roman" w:hAnsi="Times New Roman" w:cs="Microsoft Sans Serif"/>
          <w:sz w:val="24"/>
          <w:szCs w:val="22"/>
          <w:lang w:eastAsia="es-DO"/>
        </w:rPr>
        <w:t xml:space="preserve"> esta disposición, el mismo párrafo establece en su </w:t>
      </w:r>
      <w:r w:rsidRPr="009A27ED">
        <w:rPr>
          <w:rFonts w:ascii="Times New Roman" w:eastAsia="Times New Roman" w:hAnsi="Times New Roman" w:cs="Microsoft Sans Serif"/>
          <w:sz w:val="24"/>
          <w:szCs w:val="22"/>
          <w:lang w:eastAsia="es-DO"/>
        </w:rPr>
        <w:lastRenderedPageBreak/>
        <w:t xml:space="preserve">parte </w:t>
      </w:r>
      <w:r w:rsidRPr="009A27ED">
        <w:rPr>
          <w:rFonts w:ascii="Times New Roman" w:eastAsia="Times New Roman" w:hAnsi="Times New Roman" w:cs="Microsoft Sans Serif"/>
          <w:i/>
          <w:sz w:val="24"/>
          <w:szCs w:val="22"/>
          <w:lang w:eastAsia="es-DO"/>
        </w:rPr>
        <w:t>in fine</w:t>
      </w:r>
      <w:r w:rsidRPr="009A27ED">
        <w:rPr>
          <w:rFonts w:ascii="Times New Roman" w:eastAsia="Times New Roman" w:hAnsi="Times New Roman" w:cs="Microsoft Sans Serif"/>
          <w:sz w:val="24"/>
          <w:szCs w:val="22"/>
          <w:lang w:eastAsia="es-DO"/>
        </w:rPr>
        <w:t xml:space="preserve"> un dominio eminente sobre los predios así reconocidos a favor del Estado, lo que significa que tiene a su favor un derecho de preferencia a la compra, el que se impone ante cualquier otro adquiriente. En todo caso, la adquisición por parte del Estado tiene que ir precedida por pago o compensación por los terrenos.</w:t>
      </w:r>
    </w:p>
    <w:p w14:paraId="3927C067" w14:textId="77777777" w:rsidR="004B496C" w:rsidRPr="009A27ED" w:rsidRDefault="004B496C" w:rsidP="004B496C">
      <w:pPr>
        <w:shd w:val="clear" w:color="auto" w:fill="FFFFFF"/>
        <w:spacing w:line="360" w:lineRule="auto"/>
        <w:rPr>
          <w:szCs w:val="22"/>
        </w:rPr>
      </w:pPr>
      <w:r w:rsidRPr="009A27ED">
        <w:rPr>
          <w:rFonts w:ascii="Times New Roman" w:eastAsia="Times New Roman" w:hAnsi="Times New Roman" w:cs="Microsoft Sans Serif"/>
          <w:sz w:val="24"/>
          <w:szCs w:val="22"/>
          <w:lang w:eastAsia="es-DO"/>
        </w:rPr>
        <w:t xml:space="preserve">En este sentido, los terrenos privados se reconocen como tales (esto es, como parcelas debidamente registradas a favor de particulares), con título de propiedad inscrito en el Registro de Títulos correspondiente con anterioridad a la promulgación de la Ley, y que se encuentren dentro de áreas protegidas. </w:t>
      </w:r>
      <w:r w:rsidRPr="009A27ED">
        <w:rPr>
          <w:rFonts w:ascii="Times New Roman" w:eastAsia="Times New Roman" w:hAnsi="Times New Roman"/>
          <w:bCs/>
          <w:sz w:val="24"/>
          <w:szCs w:val="22"/>
        </w:rPr>
        <w:t xml:space="preserve">Resulta importante </w:t>
      </w:r>
      <w:proofErr w:type="gramStart"/>
      <w:r w:rsidRPr="009A27ED">
        <w:rPr>
          <w:rFonts w:ascii="Times New Roman" w:eastAsia="Times New Roman" w:hAnsi="Times New Roman"/>
          <w:bCs/>
          <w:sz w:val="24"/>
          <w:szCs w:val="22"/>
        </w:rPr>
        <w:t>aclarar</w:t>
      </w:r>
      <w:proofErr w:type="gramEnd"/>
      <w:r w:rsidRPr="009A27ED">
        <w:rPr>
          <w:rFonts w:ascii="Times New Roman" w:eastAsia="Times New Roman" w:hAnsi="Times New Roman"/>
          <w:bCs/>
          <w:sz w:val="24"/>
          <w:szCs w:val="22"/>
        </w:rPr>
        <w:t xml:space="preserve"> además, que la Declaratoria de un Área Protegida </w:t>
      </w:r>
      <w:r w:rsidRPr="009A27ED">
        <w:rPr>
          <w:rFonts w:ascii="Times New Roman" w:eastAsia="Times New Roman" w:hAnsi="Times New Roman"/>
          <w:bCs/>
          <w:sz w:val="24"/>
          <w:szCs w:val="22"/>
          <w:u w:val="single"/>
        </w:rPr>
        <w:t xml:space="preserve">no implica </w:t>
      </w:r>
      <w:r w:rsidRPr="009A27ED">
        <w:rPr>
          <w:rFonts w:ascii="Times New Roman" w:eastAsia="Times New Roman" w:hAnsi="Times New Roman"/>
          <w:bCs/>
          <w:sz w:val="24"/>
          <w:szCs w:val="22"/>
        </w:rPr>
        <w:t>en modo alguno la expropiación por parte del Estado dominicano, de aquellos inmuebles de propiedad privada localizado dentro de sus límites</w:t>
      </w:r>
      <w:r w:rsidRPr="009A27ED">
        <w:rPr>
          <w:rFonts w:ascii="Times New Roman" w:eastAsia="Times New Roman" w:hAnsi="Times New Roman"/>
          <w:sz w:val="24"/>
          <w:szCs w:val="22"/>
        </w:rPr>
        <w:t>.</w:t>
      </w:r>
    </w:p>
    <w:p w14:paraId="450D0775" w14:textId="0D492996" w:rsidR="004B496C" w:rsidRPr="009A27ED" w:rsidRDefault="004B496C" w:rsidP="004B496C">
      <w:pPr>
        <w:shd w:val="clear" w:color="auto" w:fill="FFFFFF"/>
        <w:spacing w:line="360" w:lineRule="auto"/>
        <w:rPr>
          <w:rFonts w:ascii="Calibri" w:hAnsi="Calibri" w:cs="Calibri"/>
          <w:szCs w:val="22"/>
        </w:rPr>
      </w:pPr>
      <w:r w:rsidRPr="009A27ED">
        <w:rPr>
          <w:rFonts w:ascii="Times New Roman" w:eastAsia="Times New Roman" w:hAnsi="Times New Roman"/>
          <w:sz w:val="24"/>
          <w:szCs w:val="22"/>
        </w:rPr>
        <w:t xml:space="preserve">En cuanto a la intervención del Programa de Reducción Emisiones en las áreas protegidas, este permitirá la aplicación de las políticas y criterios de conservación y gestión establecidos por el Ministerio de Medio Ambiente para cada una de estas áreas identificadas dentro del programa. En este sentido, para el caso de los tenedores informales de la tierra, el </w:t>
      </w:r>
      <w:r w:rsidR="00124B63" w:rsidRPr="009A27ED">
        <w:rPr>
          <w:rFonts w:ascii="Times New Roman" w:eastAsia="Times New Roman" w:hAnsi="Times New Roman"/>
          <w:sz w:val="24"/>
          <w:szCs w:val="22"/>
        </w:rPr>
        <w:t>Programa REDD+</w:t>
      </w:r>
      <w:r w:rsidR="001B6C5C" w:rsidRPr="009A27ED">
        <w:rPr>
          <w:rFonts w:ascii="Times New Roman" w:eastAsia="Times New Roman" w:hAnsi="Times New Roman"/>
          <w:sz w:val="24"/>
          <w:szCs w:val="22"/>
        </w:rPr>
        <w:t>+ servirá</w:t>
      </w:r>
      <w:r w:rsidRPr="009A27ED">
        <w:rPr>
          <w:rFonts w:ascii="Times New Roman" w:eastAsia="Times New Roman" w:hAnsi="Times New Roman"/>
          <w:sz w:val="24"/>
          <w:szCs w:val="22"/>
        </w:rPr>
        <w:t xml:space="preserve"> como mecanismo de incentivo para mantener las zonas de bosque, proporcionándoles un beneficio, integrándolos en la conservación y gestión </w:t>
      </w:r>
      <w:r w:rsidRPr="009A27ED">
        <w:rPr>
          <w:rFonts w:ascii="Times New Roman" w:eastAsia="Times New Roman" w:hAnsi="Times New Roman" w:cs="Calibri"/>
          <w:sz w:val="24"/>
          <w:szCs w:val="22"/>
        </w:rPr>
        <w:t xml:space="preserve">de estas áreas. Igualmente, con relación a los propietarios formales, la implementación del </w:t>
      </w:r>
      <w:r w:rsidR="00124B63" w:rsidRPr="009A27ED">
        <w:rPr>
          <w:rFonts w:ascii="Times New Roman" w:eastAsia="Times New Roman" w:hAnsi="Times New Roman" w:cs="Calibri"/>
          <w:sz w:val="24"/>
          <w:szCs w:val="22"/>
        </w:rPr>
        <w:t>Programa REDD+</w:t>
      </w:r>
      <w:r w:rsidR="001B6C5C" w:rsidRPr="009A27ED">
        <w:rPr>
          <w:rFonts w:ascii="Times New Roman" w:eastAsia="Times New Roman" w:hAnsi="Times New Roman" w:cs="Calibri"/>
          <w:sz w:val="24"/>
          <w:szCs w:val="22"/>
        </w:rPr>
        <w:t>+ permitirá</w:t>
      </w:r>
      <w:r w:rsidRPr="009A27ED">
        <w:rPr>
          <w:rFonts w:ascii="Times New Roman" w:eastAsia="Times New Roman" w:hAnsi="Times New Roman" w:cs="Calibri"/>
          <w:sz w:val="24"/>
          <w:szCs w:val="22"/>
        </w:rPr>
        <w:t xml:space="preserve"> que estos puedan acceder a beneficios como contraprestación a las limitaciones de uso establecidas por las categorías de manejo respectivas.</w:t>
      </w:r>
    </w:p>
    <w:p w14:paraId="1FE3FDC1" w14:textId="3B90C0E9" w:rsidR="004B496C" w:rsidRPr="009A27ED" w:rsidRDefault="004B496C" w:rsidP="004B496C">
      <w:pPr>
        <w:spacing w:line="360" w:lineRule="auto"/>
        <w:rPr>
          <w:rFonts w:ascii="Calibri" w:hAnsi="Calibri" w:cs="Calibri"/>
          <w:szCs w:val="22"/>
        </w:rPr>
      </w:pPr>
      <w:r w:rsidRPr="009A27ED">
        <w:rPr>
          <w:rFonts w:ascii="Times New Roman" w:eastAsia="Times New Roman" w:hAnsi="Times New Roman" w:cs="Calibri"/>
          <w:sz w:val="24"/>
          <w:szCs w:val="22"/>
        </w:rPr>
        <w:t xml:space="preserve">La aplicación de las políticas y criterios de gestión de las áreas protegidas, </w:t>
      </w:r>
      <w:proofErr w:type="gramStart"/>
      <w:r w:rsidRPr="009A27ED">
        <w:rPr>
          <w:rFonts w:ascii="Times New Roman" w:eastAsia="Times New Roman" w:hAnsi="Times New Roman" w:cs="Calibri"/>
          <w:sz w:val="24"/>
          <w:szCs w:val="22"/>
        </w:rPr>
        <w:t>conjuntamente con</w:t>
      </w:r>
      <w:proofErr w:type="gramEnd"/>
      <w:r w:rsidRPr="009A27ED">
        <w:rPr>
          <w:rFonts w:ascii="Times New Roman" w:eastAsia="Times New Roman" w:hAnsi="Times New Roman" w:cs="Calibri"/>
          <w:sz w:val="24"/>
          <w:szCs w:val="22"/>
        </w:rPr>
        <w:t xml:space="preserve"> la implementación del </w:t>
      </w:r>
      <w:r w:rsidR="00124B63" w:rsidRPr="009A27ED">
        <w:rPr>
          <w:rFonts w:ascii="Times New Roman" w:eastAsia="Times New Roman" w:hAnsi="Times New Roman" w:cs="Calibri"/>
          <w:sz w:val="24"/>
          <w:szCs w:val="22"/>
        </w:rPr>
        <w:t>Programa REDD+</w:t>
      </w:r>
      <w:r w:rsidRPr="009A27ED">
        <w:rPr>
          <w:rFonts w:ascii="Times New Roman" w:eastAsia="Times New Roman" w:hAnsi="Times New Roman" w:cs="Calibri"/>
          <w:sz w:val="24"/>
          <w:szCs w:val="22"/>
        </w:rPr>
        <w:t xml:space="preserve">, se realizará respetando las normas y planes de manejo de estas áreas, así como la protección de los derechos legitimados de los tenedores formales e informales. El </w:t>
      </w:r>
      <w:r w:rsidR="00124B63" w:rsidRPr="009A27ED">
        <w:rPr>
          <w:rFonts w:ascii="Times New Roman" w:eastAsia="Times New Roman" w:hAnsi="Times New Roman" w:cs="Calibri"/>
          <w:sz w:val="24"/>
          <w:szCs w:val="22"/>
        </w:rPr>
        <w:t>Programa REDD+</w:t>
      </w:r>
      <w:r w:rsidR="001B6C5C" w:rsidRPr="009A27ED">
        <w:rPr>
          <w:rFonts w:ascii="Times New Roman" w:eastAsia="Times New Roman" w:hAnsi="Times New Roman" w:cs="Calibri"/>
          <w:sz w:val="24"/>
          <w:szCs w:val="22"/>
        </w:rPr>
        <w:t>+ no</w:t>
      </w:r>
      <w:r w:rsidRPr="009A27ED">
        <w:rPr>
          <w:rFonts w:ascii="Times New Roman" w:eastAsia="Times New Roman" w:hAnsi="Times New Roman" w:cs="Calibri"/>
          <w:sz w:val="24"/>
          <w:szCs w:val="22"/>
        </w:rPr>
        <w:t xml:space="preserve"> contempla enfoques diferentes para cada uno de los tipos de tenencia (formal e informal). Las prácticas consuetudinarias y requisitos establecidos para la legitimación de los tenedores informales de la </w:t>
      </w:r>
      <w:proofErr w:type="gramStart"/>
      <w:r w:rsidRPr="009A27ED">
        <w:rPr>
          <w:rFonts w:ascii="Times New Roman" w:eastAsia="Times New Roman" w:hAnsi="Times New Roman" w:cs="Calibri"/>
          <w:sz w:val="24"/>
          <w:szCs w:val="22"/>
        </w:rPr>
        <w:t>tierra,</w:t>
      </w:r>
      <w:proofErr w:type="gramEnd"/>
      <w:r w:rsidRPr="009A27ED">
        <w:rPr>
          <w:rFonts w:ascii="Times New Roman" w:eastAsia="Times New Roman" w:hAnsi="Times New Roman" w:cs="Calibri"/>
          <w:sz w:val="24"/>
          <w:szCs w:val="22"/>
        </w:rPr>
        <w:t xml:space="preserve"> permitirán un reconocimiento de derechos sobre el uso de la tierra, lo que les concede una participación igualitaria dentro de la distribución de beneficios.</w:t>
      </w:r>
    </w:p>
    <w:p w14:paraId="088A9E52" w14:textId="77777777" w:rsidR="004B496C" w:rsidRPr="009A27ED" w:rsidRDefault="004B496C" w:rsidP="004B496C">
      <w:pPr>
        <w:spacing w:after="0" w:line="360" w:lineRule="auto"/>
        <w:rPr>
          <w:szCs w:val="22"/>
        </w:rPr>
      </w:pPr>
      <w:r w:rsidRPr="009A27ED">
        <w:rPr>
          <w:rFonts w:ascii="Times New Roman" w:eastAsia="Times New Roman" w:hAnsi="Times New Roman"/>
          <w:sz w:val="24"/>
          <w:szCs w:val="22"/>
        </w:rPr>
        <w:t xml:space="preserve">Como hemos visto, el derecho de propiedad tiene un carácter económico privado, y es por esto </w:t>
      </w:r>
      <w:proofErr w:type="gramStart"/>
      <w:r w:rsidRPr="009A27ED">
        <w:rPr>
          <w:rFonts w:ascii="Times New Roman" w:eastAsia="Times New Roman" w:hAnsi="Times New Roman"/>
          <w:sz w:val="24"/>
          <w:szCs w:val="22"/>
        </w:rPr>
        <w:t>que</w:t>
      </w:r>
      <w:proofErr w:type="gramEnd"/>
      <w:r w:rsidRPr="009A27ED">
        <w:rPr>
          <w:rFonts w:ascii="Times New Roman" w:eastAsia="Times New Roman" w:hAnsi="Times New Roman"/>
          <w:sz w:val="24"/>
          <w:szCs w:val="22"/>
        </w:rPr>
        <w:t xml:space="preserve"> las leyes dominicanas disponen de una serie de acciones cuya finalidad es la protección </w:t>
      </w:r>
      <w:proofErr w:type="gramStart"/>
      <w:r w:rsidRPr="009A27ED">
        <w:rPr>
          <w:rFonts w:ascii="Times New Roman" w:eastAsia="Times New Roman" w:hAnsi="Times New Roman"/>
          <w:sz w:val="24"/>
          <w:szCs w:val="22"/>
        </w:rPr>
        <w:t>del mismo</w:t>
      </w:r>
      <w:proofErr w:type="gramEnd"/>
      <w:r w:rsidRPr="009A27ED">
        <w:rPr>
          <w:rFonts w:ascii="Times New Roman" w:eastAsia="Times New Roman" w:hAnsi="Times New Roman"/>
          <w:sz w:val="24"/>
          <w:szCs w:val="22"/>
        </w:rPr>
        <w:t xml:space="preserve"> y la represión de las afectaciones, restricciones o perturbaciones de </w:t>
      </w:r>
      <w:r w:rsidRPr="009A27ED">
        <w:rPr>
          <w:rFonts w:ascii="Times New Roman" w:eastAsia="Times New Roman" w:hAnsi="Times New Roman"/>
          <w:sz w:val="24"/>
          <w:szCs w:val="22"/>
        </w:rPr>
        <w:lastRenderedPageBreak/>
        <w:t>que pueda haber sido objeto. La Ley 108-05 contiene una serie de procedimientos tendientes a salvaguardar el derecho de propiedad y los demás derechos reales inmobiliarios, garantizando la legalidad de su afectación, de manera concreta, la ley dispone todo un sistema de publicidad inmobiliario en todos los aspectos y en todo tipo de relación legal o convencional que se pueda llevar a cabo sobre los inmuebles registrados, estableciendo las instituciones pertinentes para salvaguardar la eficacia, legalidad y transparencia de los procesos y procedimientos que en ella están contenidos.</w:t>
      </w:r>
    </w:p>
    <w:p w14:paraId="18DE3ABA" w14:textId="77777777" w:rsidR="004B496C" w:rsidRPr="009A27ED" w:rsidRDefault="004B496C" w:rsidP="004B496C">
      <w:pPr>
        <w:spacing w:after="0" w:line="360" w:lineRule="auto"/>
        <w:rPr>
          <w:b/>
          <w:i/>
          <w:szCs w:val="22"/>
        </w:rPr>
      </w:pPr>
    </w:p>
    <w:p w14:paraId="207FB95B" w14:textId="77777777" w:rsidR="004B496C" w:rsidRPr="009A27ED" w:rsidRDefault="004B496C" w:rsidP="004B496C">
      <w:pPr>
        <w:spacing w:after="0" w:line="360" w:lineRule="auto"/>
        <w:rPr>
          <w:b/>
          <w:i/>
          <w:szCs w:val="22"/>
        </w:rPr>
      </w:pPr>
      <w:r w:rsidRPr="009A27ED">
        <w:rPr>
          <w:rFonts w:ascii="Times New Roman" w:eastAsia="Times New Roman" w:hAnsi="Times New Roman"/>
          <w:b/>
          <w:i/>
          <w:sz w:val="24"/>
          <w:szCs w:val="22"/>
        </w:rPr>
        <w:t>Derechos Consuetudinarios</w:t>
      </w:r>
    </w:p>
    <w:p w14:paraId="5EF68BFB" w14:textId="77777777" w:rsidR="004B496C" w:rsidRPr="009A27ED" w:rsidRDefault="004B496C" w:rsidP="004B496C">
      <w:pPr>
        <w:spacing w:after="0" w:line="360" w:lineRule="auto"/>
        <w:rPr>
          <w:szCs w:val="22"/>
        </w:rPr>
      </w:pPr>
    </w:p>
    <w:p w14:paraId="336517AB" w14:textId="77777777" w:rsidR="004B496C" w:rsidRPr="009A27ED" w:rsidRDefault="004B496C" w:rsidP="004B496C">
      <w:pPr>
        <w:spacing w:after="0" w:line="360" w:lineRule="auto"/>
        <w:rPr>
          <w:szCs w:val="22"/>
        </w:rPr>
      </w:pPr>
      <w:r w:rsidRPr="009A27ED">
        <w:rPr>
          <w:rFonts w:ascii="Times New Roman" w:eastAsia="Times New Roman" w:hAnsi="Times New Roman"/>
          <w:sz w:val="24"/>
          <w:szCs w:val="22"/>
        </w:rPr>
        <w:t>Existen prácticas consuetudinarias reconocidas y adoptadas, al margen de las disposiciones legales que establecen un sistema formal de registro del derecho de propiedad, que implican principalmente la ocupación no formal de las tierras, ya sean rurales o urbanas, por parte de particulares que no tienen acceso a la tierra, mediante los procedimientos legales convencionales o se encuentran en alguna fase descontinuada o caduca</w:t>
      </w:r>
      <w:r w:rsidRPr="009A27ED">
        <w:rPr>
          <w:rFonts w:ascii="Times New Roman" w:eastAsia="Times New Roman" w:hAnsi="Times New Roman" w:cs="Arial"/>
          <w:sz w:val="24"/>
          <w:szCs w:val="22"/>
        </w:rPr>
        <w:t xml:space="preserve"> </w:t>
      </w:r>
      <w:r w:rsidRPr="009A27ED">
        <w:rPr>
          <w:rFonts w:ascii="Times New Roman" w:eastAsia="Times New Roman" w:hAnsi="Times New Roman"/>
          <w:sz w:val="24"/>
          <w:szCs w:val="22"/>
        </w:rPr>
        <w:t>del proceso de saneamiento.</w:t>
      </w:r>
    </w:p>
    <w:p w14:paraId="4849BBC9" w14:textId="77777777" w:rsidR="004B496C" w:rsidRPr="009A27ED" w:rsidRDefault="004B496C" w:rsidP="004B496C">
      <w:pPr>
        <w:spacing w:after="0" w:line="360" w:lineRule="auto"/>
        <w:rPr>
          <w:szCs w:val="22"/>
        </w:rPr>
      </w:pPr>
    </w:p>
    <w:p w14:paraId="4FB5DE7E" w14:textId="39E5B6F2" w:rsidR="004B496C" w:rsidRPr="009A27ED" w:rsidRDefault="004B496C" w:rsidP="004B496C">
      <w:pPr>
        <w:spacing w:line="360" w:lineRule="auto"/>
        <w:rPr>
          <w:szCs w:val="22"/>
        </w:rPr>
      </w:pPr>
      <w:r w:rsidRPr="009A27ED">
        <w:rPr>
          <w:rFonts w:ascii="Times New Roman" w:eastAsia="Times New Roman" w:hAnsi="Times New Roman"/>
          <w:sz w:val="24"/>
          <w:szCs w:val="22"/>
        </w:rPr>
        <w:t>Cuando las tierras ocupadas por grupos sociales son terrenos propiedad del Estado Dominicano, los ocupantes pueden demostrar que poseen estos terrenos porque los cultivan o los destinan a cualquier otro uso lucrativo (posesión material); porque los tienen cercados o por cualquier otra forma que sirva para determinar su dominio y las colindancias; o porque sus nombres figuran como reclamantes en un plano catastral hecho por el agrimensor que hizo la mensura, la que debe constar en acta de mensura debidamente registrada (posesión teórica), indicando también los años de ocupación (cinco, diez o veinte años), de manera pública, continua, ininterrumpida, pacífica y a título de propietario. En este caso él o la ocupante tienen el derecho de reclamar ante el Tribunal de Tierras la adjudicación de esos derechos por usucapión o prescripción adquisitiva, iniciando de este modo el procedimiento de Saneamiento Catastral. Cabe destacar que la posesión prolongada de hecho puede ser admitida demostrando la ocupación por generaciones de familias ocupantes, siempre y cuando pueda documentarse, mediante cualquier medio de prueba admitido por nuestro ordenamiento jurídico.</w:t>
      </w:r>
    </w:p>
    <w:p w14:paraId="3CA8322A" w14:textId="7C098EA7" w:rsidR="00AF66EF" w:rsidRPr="009A27ED" w:rsidRDefault="00AF66EF" w:rsidP="004B496C">
      <w:pPr>
        <w:spacing w:line="360" w:lineRule="auto"/>
        <w:rPr>
          <w:szCs w:val="22"/>
        </w:rPr>
      </w:pPr>
    </w:p>
    <w:p w14:paraId="15B29A7A" w14:textId="3DEF6E75" w:rsidR="00AF66EF" w:rsidRPr="009A27ED" w:rsidRDefault="00AF66EF" w:rsidP="004B496C">
      <w:pPr>
        <w:spacing w:line="360" w:lineRule="auto"/>
        <w:rPr>
          <w:szCs w:val="22"/>
        </w:rPr>
      </w:pPr>
    </w:p>
    <w:p w14:paraId="256D43AA" w14:textId="77777777" w:rsidR="00AF66EF" w:rsidRPr="009A27ED" w:rsidRDefault="00AF66EF" w:rsidP="004B496C">
      <w:pPr>
        <w:spacing w:line="360" w:lineRule="auto"/>
        <w:rPr>
          <w:szCs w:val="22"/>
        </w:rPr>
      </w:pPr>
    </w:p>
    <w:p w14:paraId="28975047" w14:textId="2CEC6988" w:rsidR="004B496C" w:rsidRPr="009A27ED" w:rsidRDefault="004B496C" w:rsidP="004B496C">
      <w:pPr>
        <w:spacing w:after="0" w:line="360" w:lineRule="auto"/>
        <w:rPr>
          <w:szCs w:val="22"/>
        </w:rPr>
      </w:pPr>
      <w:r w:rsidRPr="009A27ED">
        <w:rPr>
          <w:rFonts w:ascii="Times New Roman" w:eastAsia="Times New Roman" w:hAnsi="Times New Roman"/>
          <w:b/>
          <w:i/>
          <w:sz w:val="24"/>
          <w:szCs w:val="22"/>
        </w:rPr>
        <w:t xml:space="preserve">Brechas, vacíos y ambigüedades del régimen de tenencia de </w:t>
      </w:r>
      <w:r w:rsidR="00AF66EF" w:rsidRPr="009A27ED">
        <w:rPr>
          <w:rFonts w:ascii="Times New Roman" w:eastAsia="Times New Roman" w:hAnsi="Times New Roman"/>
          <w:b/>
          <w:i/>
          <w:sz w:val="24"/>
          <w:szCs w:val="22"/>
        </w:rPr>
        <w:t>la tierra</w:t>
      </w:r>
      <w:r w:rsidRPr="009A27ED">
        <w:rPr>
          <w:rFonts w:ascii="Times New Roman" w:eastAsia="Times New Roman" w:hAnsi="Times New Roman"/>
          <w:sz w:val="24"/>
          <w:szCs w:val="22"/>
        </w:rPr>
        <w:t xml:space="preserve"> </w:t>
      </w:r>
    </w:p>
    <w:p w14:paraId="4FEF798D" w14:textId="77777777" w:rsidR="004B496C" w:rsidRPr="009A27ED" w:rsidRDefault="004B496C" w:rsidP="004B496C">
      <w:pPr>
        <w:spacing w:after="0" w:line="360" w:lineRule="auto"/>
        <w:rPr>
          <w:szCs w:val="22"/>
        </w:rPr>
      </w:pPr>
    </w:p>
    <w:p w14:paraId="3116F42F" w14:textId="77777777" w:rsidR="004B496C" w:rsidRPr="009A27ED" w:rsidRDefault="004B496C" w:rsidP="004B496C">
      <w:pPr>
        <w:spacing w:line="360" w:lineRule="auto"/>
        <w:rPr>
          <w:szCs w:val="22"/>
        </w:rPr>
      </w:pPr>
      <w:r w:rsidRPr="009A27ED">
        <w:rPr>
          <w:rFonts w:ascii="Times New Roman" w:eastAsia="Times New Roman" w:hAnsi="Times New Roman"/>
          <w:sz w:val="24"/>
          <w:szCs w:val="22"/>
        </w:rPr>
        <w:t xml:space="preserve">La certeza jurídica de los derechos de tenencia de la tierra es uno de los principales retos del país. La mayor parte de las tierras en la República Dominicana no está sujeta a ningún derecho de propiedad registrado y se caracteriza por estar altamente concentrada. </w:t>
      </w:r>
    </w:p>
    <w:p w14:paraId="58A2805F" w14:textId="77777777" w:rsidR="004B496C" w:rsidRPr="009A27ED" w:rsidRDefault="004B496C" w:rsidP="004B496C">
      <w:pPr>
        <w:spacing w:line="360" w:lineRule="auto"/>
        <w:rPr>
          <w:szCs w:val="22"/>
        </w:rPr>
      </w:pPr>
      <w:r w:rsidRPr="009A27ED">
        <w:rPr>
          <w:rFonts w:ascii="Times New Roman" w:eastAsia="Times New Roman" w:hAnsi="Times New Roman"/>
          <w:sz w:val="24"/>
          <w:szCs w:val="22"/>
        </w:rPr>
        <w:t xml:space="preserve">De manera general, el sector más pobre de la población rural no tiene tierra, o bien posee parcelas agrícolas muy pequeñas, y la mayoría de las personas, tanto en áreas urbanas como rurales, carecen de derechos formales sobre sus tierras. Hacia el año 2012, se estimaba que sólo un 25% de la tierra agrícola del país estaba registrada (principalmente latifundios y tierras de gran valor), y entre un 25% y un 50% de los residentes en áreas urbanas contaban con títulos formales de propiedad inmobiliaria. Asimismo, en los casos en que la tierra no está registrada o se compruebe que no cumple con las características para optar por el reconocimiento de la tenencia informal por prescripción adquisitiva, se presume que es de propiedad del Estado conforme a las disposiciones de la Ley No.108-05 sobre Registro Inmobiliario. </w:t>
      </w:r>
    </w:p>
    <w:p w14:paraId="6D23996C" w14:textId="09F21ABC" w:rsidR="004B496C" w:rsidRPr="009A27ED" w:rsidRDefault="004B496C" w:rsidP="004B496C">
      <w:pPr>
        <w:spacing w:line="360" w:lineRule="auto"/>
        <w:rPr>
          <w:szCs w:val="22"/>
        </w:rPr>
      </w:pPr>
      <w:r w:rsidRPr="009A27ED">
        <w:rPr>
          <w:rFonts w:ascii="Times New Roman" w:eastAsia="Times New Roman" w:hAnsi="Times New Roman"/>
          <w:sz w:val="24"/>
          <w:szCs w:val="22"/>
        </w:rPr>
        <w:t xml:space="preserve">Según se destaca en un estudio realizado por el Programa REDD/CCAD-GIZ en el año 2013, una de las debilidades relacionadas con la propiedad de las tierras radica en que la mayoría de los pequeños productores carecen de un título de propiedad respecto de los predios que sus familias han </w:t>
      </w:r>
      <w:r w:rsidR="00107097" w:rsidRPr="009A27ED">
        <w:rPr>
          <w:rFonts w:ascii="Times New Roman" w:eastAsia="Times New Roman" w:hAnsi="Times New Roman"/>
          <w:sz w:val="24"/>
          <w:szCs w:val="22"/>
        </w:rPr>
        <w:t xml:space="preserve">trabajado por generaciones. Sin </w:t>
      </w:r>
      <w:r w:rsidR="00AF66EF" w:rsidRPr="009A27ED">
        <w:rPr>
          <w:rFonts w:ascii="Times New Roman" w:eastAsia="Times New Roman" w:hAnsi="Times New Roman"/>
          <w:sz w:val="24"/>
          <w:szCs w:val="22"/>
        </w:rPr>
        <w:t>embargo, se</w:t>
      </w:r>
      <w:r w:rsidRPr="009A27ED">
        <w:rPr>
          <w:rFonts w:ascii="Times New Roman" w:eastAsia="Times New Roman" w:hAnsi="Times New Roman"/>
          <w:sz w:val="24"/>
          <w:szCs w:val="22"/>
        </w:rPr>
        <w:t xml:space="preserve"> debe destacar el esfuerzo realizado por el Estado, a través del Instituto Agrario Dominicano, para emitir títulos provisionales en favor de estos productores tenedores de tierra de la Reforma Agraria, mediante un proceso rápido y simple, como alternativa al proceso de titulación formal establecido en nuestra Ley de Registro Inmobiliario. La tenencia derivada de este proceso de titulación provisional goza de la presunción legal y legitimidad </w:t>
      </w:r>
      <w:r w:rsidR="00AF66EF" w:rsidRPr="009A27ED">
        <w:rPr>
          <w:rFonts w:ascii="Times New Roman" w:eastAsia="Times New Roman" w:hAnsi="Times New Roman"/>
          <w:sz w:val="24"/>
          <w:szCs w:val="22"/>
        </w:rPr>
        <w:t>suficiente para</w:t>
      </w:r>
      <w:r w:rsidRPr="009A27ED">
        <w:rPr>
          <w:rFonts w:ascii="Times New Roman" w:eastAsia="Times New Roman" w:hAnsi="Times New Roman"/>
          <w:sz w:val="24"/>
          <w:szCs w:val="22"/>
        </w:rPr>
        <w:t xml:space="preserve"> ser reconocida como una forma de acceder a la propiedad sin tener que proceder a la titulación formal.   </w:t>
      </w:r>
    </w:p>
    <w:p w14:paraId="09C1A712" w14:textId="77777777" w:rsidR="004B496C" w:rsidRPr="009A27ED" w:rsidRDefault="004B496C" w:rsidP="004B496C">
      <w:pPr>
        <w:spacing w:line="360" w:lineRule="auto"/>
        <w:rPr>
          <w:szCs w:val="22"/>
        </w:rPr>
      </w:pPr>
      <w:r w:rsidRPr="009A27ED">
        <w:rPr>
          <w:rFonts w:ascii="Times New Roman" w:eastAsia="Times New Roman" w:hAnsi="Times New Roman"/>
          <w:sz w:val="24"/>
          <w:szCs w:val="22"/>
        </w:rPr>
        <w:t xml:space="preserve">Resulta importante precisar que las condiciones de tenencia de la tierra descritas anteriormente no influyen ni incentivan al desplazamiento de pequeños y medianos </w:t>
      </w:r>
      <w:r w:rsidRPr="009A27ED">
        <w:rPr>
          <w:rFonts w:ascii="Times New Roman" w:eastAsia="Times New Roman" w:hAnsi="Times New Roman"/>
          <w:sz w:val="24"/>
          <w:szCs w:val="22"/>
        </w:rPr>
        <w:lastRenderedPageBreak/>
        <w:t xml:space="preserve">productores agrícolas hacia las laderas de las montañas, ni constituye un factor determinante dentro de la expansión de la frontera agrícola, dado que este desplazamiento ocurre también en los terrenos titulados. No </w:t>
      </w:r>
      <w:proofErr w:type="gramStart"/>
      <w:r w:rsidRPr="009A27ED">
        <w:rPr>
          <w:rFonts w:ascii="Times New Roman" w:eastAsia="Times New Roman" w:hAnsi="Times New Roman"/>
          <w:sz w:val="24"/>
          <w:szCs w:val="22"/>
        </w:rPr>
        <w:t>obstante</w:t>
      </w:r>
      <w:proofErr w:type="gramEnd"/>
      <w:r w:rsidRPr="009A27ED">
        <w:rPr>
          <w:rFonts w:ascii="Times New Roman" w:eastAsia="Times New Roman" w:hAnsi="Times New Roman"/>
          <w:sz w:val="24"/>
          <w:szCs w:val="22"/>
        </w:rPr>
        <w:t xml:space="preserve"> esta </w:t>
      </w:r>
      <w:proofErr w:type="gramStart"/>
      <w:r w:rsidRPr="009A27ED">
        <w:rPr>
          <w:rFonts w:ascii="Times New Roman" w:eastAsia="Times New Roman" w:hAnsi="Times New Roman"/>
          <w:sz w:val="24"/>
          <w:szCs w:val="22"/>
        </w:rPr>
        <w:t>situación,  el</w:t>
      </w:r>
      <w:proofErr w:type="gramEnd"/>
      <w:r w:rsidRPr="009A27ED">
        <w:rPr>
          <w:rFonts w:ascii="Times New Roman" w:eastAsia="Times New Roman" w:hAnsi="Times New Roman"/>
          <w:sz w:val="24"/>
          <w:szCs w:val="22"/>
        </w:rPr>
        <w:t xml:space="preserve"> Gobierno dominicano ha promulgado una la ley (Ley 44-180)</w:t>
      </w:r>
      <w:r w:rsidRPr="009A27ED">
        <w:rPr>
          <w:rStyle w:val="Refdenotaalpie"/>
          <w:rFonts w:ascii="Times New Roman" w:eastAsia="Times New Roman" w:hAnsi="Times New Roman"/>
          <w:sz w:val="24"/>
          <w:szCs w:val="22"/>
        </w:rPr>
        <w:footnoteReference w:id="103"/>
      </w:r>
      <w:r w:rsidRPr="009A27ED">
        <w:rPr>
          <w:rFonts w:ascii="Times New Roman" w:eastAsia="Times New Roman" w:hAnsi="Times New Roman"/>
          <w:sz w:val="24"/>
          <w:szCs w:val="22"/>
        </w:rPr>
        <w:t xml:space="preserve"> para  la implementación de un esquema de pagos por servicios ambientales (PSA), a los fines de incentivar a los productores y estos puedan garantizar un uso de la tierra compatible con la protección de bosques.</w:t>
      </w:r>
    </w:p>
    <w:p w14:paraId="65330121" w14:textId="390454F0" w:rsidR="004B496C" w:rsidRPr="009A27ED" w:rsidRDefault="004B496C" w:rsidP="004B496C">
      <w:pPr>
        <w:spacing w:after="0" w:line="360" w:lineRule="auto"/>
        <w:rPr>
          <w:szCs w:val="22"/>
        </w:rPr>
      </w:pPr>
      <w:r w:rsidRPr="009A27ED">
        <w:rPr>
          <w:rFonts w:ascii="Times New Roman" w:eastAsia="Times New Roman" w:hAnsi="Times New Roman"/>
          <w:sz w:val="24"/>
          <w:szCs w:val="22"/>
        </w:rPr>
        <w:t xml:space="preserve">Por lo anterior, podemos establecer </w:t>
      </w:r>
      <w:r w:rsidR="00AF66EF" w:rsidRPr="009A27ED">
        <w:rPr>
          <w:rFonts w:ascii="Times New Roman" w:eastAsia="Times New Roman" w:hAnsi="Times New Roman"/>
          <w:sz w:val="24"/>
          <w:szCs w:val="22"/>
        </w:rPr>
        <w:t>que,</w:t>
      </w:r>
      <w:r w:rsidRPr="009A27ED">
        <w:rPr>
          <w:rFonts w:ascii="Times New Roman" w:eastAsia="Times New Roman" w:hAnsi="Times New Roman"/>
          <w:sz w:val="24"/>
          <w:szCs w:val="22"/>
        </w:rPr>
        <w:t xml:space="preserve"> si bien el régimen formal de tenencia de la </w:t>
      </w:r>
      <w:r w:rsidR="00AF66EF" w:rsidRPr="009A27ED">
        <w:rPr>
          <w:rFonts w:ascii="Times New Roman" w:eastAsia="Times New Roman" w:hAnsi="Times New Roman"/>
          <w:sz w:val="24"/>
          <w:szCs w:val="22"/>
        </w:rPr>
        <w:t>tierra constituye</w:t>
      </w:r>
      <w:r w:rsidRPr="009A27ED">
        <w:rPr>
          <w:rFonts w:ascii="Times New Roman" w:eastAsia="Times New Roman" w:hAnsi="Times New Roman"/>
          <w:sz w:val="24"/>
          <w:szCs w:val="22"/>
        </w:rPr>
        <w:t xml:space="preserve"> un aspecto importante en la determinación del uso de ésta, la tenencia informal en la República Dominicana no representa un obstáculo para el reconocimiento de los beneficios derivados de la reducción de emisiones que podrán recibir los poseedores de hecho. </w:t>
      </w:r>
    </w:p>
    <w:p w14:paraId="70BF338A" w14:textId="77777777" w:rsidR="004B496C" w:rsidRPr="009A27ED" w:rsidRDefault="004B496C" w:rsidP="004B496C">
      <w:pPr>
        <w:spacing w:after="0" w:line="360" w:lineRule="auto"/>
        <w:rPr>
          <w:szCs w:val="22"/>
        </w:rPr>
      </w:pPr>
    </w:p>
    <w:p w14:paraId="72292C31" w14:textId="77777777" w:rsidR="004B496C" w:rsidRPr="009A27ED" w:rsidRDefault="004B496C" w:rsidP="004B496C">
      <w:pPr>
        <w:autoSpaceDE w:val="0"/>
        <w:autoSpaceDN w:val="0"/>
        <w:adjustRightInd w:val="0"/>
        <w:spacing w:after="0" w:line="360" w:lineRule="auto"/>
        <w:rPr>
          <w:rFonts w:ascii="Calibri" w:hAnsi="Calibri" w:cs="Calibri"/>
          <w:szCs w:val="22"/>
        </w:rPr>
      </w:pPr>
      <w:r w:rsidRPr="009A27ED">
        <w:rPr>
          <w:rFonts w:ascii="Times New Roman" w:eastAsia="Times New Roman" w:hAnsi="Times New Roman"/>
          <w:sz w:val="24"/>
          <w:szCs w:val="22"/>
        </w:rPr>
        <w:t xml:space="preserve">Un ejemplo de </w:t>
      </w:r>
      <w:proofErr w:type="gramStart"/>
      <w:r w:rsidRPr="009A27ED">
        <w:rPr>
          <w:rFonts w:ascii="Times New Roman" w:eastAsia="Times New Roman" w:hAnsi="Times New Roman"/>
          <w:sz w:val="24"/>
          <w:szCs w:val="22"/>
        </w:rPr>
        <w:t>esto,</w:t>
      </w:r>
      <w:proofErr w:type="gramEnd"/>
      <w:r w:rsidRPr="009A27ED">
        <w:rPr>
          <w:rFonts w:ascii="Times New Roman" w:eastAsia="Times New Roman" w:hAnsi="Times New Roman"/>
          <w:sz w:val="24"/>
          <w:szCs w:val="22"/>
        </w:rPr>
        <w:t xml:space="preserve"> es la implementación del esquema de pagos por servicios ambientales ejecutado por el Proyecto Piloto PSA-CYN en la Cuenca del Río </w:t>
      </w:r>
      <w:proofErr w:type="spellStart"/>
      <w:r w:rsidRPr="009A27ED">
        <w:rPr>
          <w:rFonts w:ascii="Times New Roman" w:eastAsia="Times New Roman" w:hAnsi="Times New Roman"/>
          <w:sz w:val="24"/>
          <w:szCs w:val="22"/>
        </w:rPr>
        <w:t>Yaque</w:t>
      </w:r>
      <w:proofErr w:type="spellEnd"/>
      <w:r w:rsidRPr="009A27ED">
        <w:rPr>
          <w:rFonts w:ascii="Times New Roman" w:eastAsia="Times New Roman" w:hAnsi="Times New Roman"/>
          <w:sz w:val="24"/>
          <w:szCs w:val="22"/>
        </w:rPr>
        <w:t xml:space="preserve"> del Norte. </w:t>
      </w:r>
      <w:r w:rsidRPr="009A27ED">
        <w:rPr>
          <w:rFonts w:ascii="Times New Roman" w:eastAsia="Times New Roman" w:hAnsi="Times New Roman" w:cs="Calibri"/>
          <w:sz w:val="24"/>
          <w:szCs w:val="22"/>
        </w:rPr>
        <w:t xml:space="preserve">De manera específica, el proyecto busca contribuir a la conservación de los cuerpos de agua de la cuenca del </w:t>
      </w:r>
      <w:proofErr w:type="spellStart"/>
      <w:r w:rsidRPr="009A27ED">
        <w:rPr>
          <w:rFonts w:ascii="Times New Roman" w:eastAsia="Times New Roman" w:hAnsi="Times New Roman" w:cs="Calibri"/>
          <w:sz w:val="24"/>
          <w:szCs w:val="22"/>
        </w:rPr>
        <w:t>Yaque</w:t>
      </w:r>
      <w:proofErr w:type="spellEnd"/>
      <w:r w:rsidRPr="009A27ED">
        <w:rPr>
          <w:rFonts w:ascii="Times New Roman" w:eastAsia="Times New Roman" w:hAnsi="Times New Roman" w:cs="Calibri"/>
          <w:sz w:val="24"/>
          <w:szCs w:val="22"/>
        </w:rPr>
        <w:t xml:space="preserve"> del Norte mediante un Pago por Servicios Ambientales, con el fin de aportar a la sostenibilidad del recurso hídrico en calidad y cantidad. En esta primera etapa piloto, las acciones directas buscan recuperar la cobertura arbórea en acuerdo con los propietarios y productores de los terrenos en las áreas de montaña que alimentan a la Presa Tavera (unas 80,000 Ha) en el Municipio de Jarabacoa y parte de la Región Constanza. Los resultados esperados son: a) Regulación de caudales, con el fin de asegurar la cantidad de agua en las presas; b) Reducción de la sedimentación en los embalses, para extender vida útil; c) Mejoramiento de la calidad del agua a través de su descontaminación orgánica y química y, la reducción de sedimentos.</w:t>
      </w:r>
    </w:p>
    <w:p w14:paraId="309145C5" w14:textId="77777777" w:rsidR="004B496C" w:rsidRPr="009A27ED" w:rsidRDefault="004B496C" w:rsidP="004B496C">
      <w:pPr>
        <w:autoSpaceDE w:val="0"/>
        <w:autoSpaceDN w:val="0"/>
        <w:adjustRightInd w:val="0"/>
        <w:spacing w:after="0" w:line="360" w:lineRule="auto"/>
        <w:rPr>
          <w:rFonts w:ascii="Calibri" w:hAnsi="Calibri" w:cs="Calibri"/>
          <w:szCs w:val="22"/>
        </w:rPr>
      </w:pPr>
    </w:p>
    <w:p w14:paraId="502E54AE" w14:textId="77777777" w:rsidR="004B496C" w:rsidRPr="009A27ED" w:rsidRDefault="004B496C" w:rsidP="004B496C">
      <w:pPr>
        <w:autoSpaceDE w:val="0"/>
        <w:autoSpaceDN w:val="0"/>
        <w:adjustRightInd w:val="0"/>
        <w:spacing w:after="0" w:line="360" w:lineRule="auto"/>
        <w:rPr>
          <w:rFonts w:ascii="Calibri" w:hAnsi="Calibri" w:cs="Calibri"/>
          <w:szCs w:val="22"/>
        </w:rPr>
      </w:pPr>
      <w:r w:rsidRPr="009A27ED">
        <w:rPr>
          <w:rFonts w:ascii="Times New Roman" w:eastAsia="Times New Roman" w:hAnsi="Times New Roman" w:cs="Calibri"/>
          <w:sz w:val="24"/>
          <w:szCs w:val="22"/>
        </w:rPr>
        <w:t xml:space="preserve">El proyecto definió tres componentes o líneas de intervención a considerar dentro del mecanismo PSA, para asegurar los servicios ambientales: a) aplicación de tarifas de compensación o pago por conservar áreas de bosque o de sistemas agroforestales que protegen el suelo; b) acciones compartidas con otras entidades de gobierno o no gubernamentales encaminadas a provocar y mantener el cambio de uso del suelo, hacia </w:t>
      </w:r>
      <w:r w:rsidRPr="009A27ED">
        <w:rPr>
          <w:rFonts w:ascii="Times New Roman" w:eastAsia="Times New Roman" w:hAnsi="Times New Roman" w:cs="Calibri"/>
          <w:sz w:val="24"/>
          <w:szCs w:val="22"/>
        </w:rPr>
        <w:lastRenderedPageBreak/>
        <w:t>condiciones que aseguren la generación de los servicios y c) gestión ante instancias para superar los factores adicionales que afectan los servicios ambientales esperados.</w:t>
      </w:r>
    </w:p>
    <w:p w14:paraId="1C73874E" w14:textId="77777777" w:rsidR="004B496C" w:rsidRPr="009A27ED" w:rsidRDefault="004B496C" w:rsidP="004B496C">
      <w:pPr>
        <w:spacing w:after="0" w:line="360" w:lineRule="auto"/>
        <w:rPr>
          <w:szCs w:val="22"/>
        </w:rPr>
      </w:pPr>
    </w:p>
    <w:p w14:paraId="171A8AFD" w14:textId="77777777" w:rsidR="004B496C" w:rsidRPr="009A27ED" w:rsidRDefault="004B496C" w:rsidP="004B496C">
      <w:pPr>
        <w:spacing w:after="0" w:line="360" w:lineRule="auto"/>
        <w:rPr>
          <w:szCs w:val="22"/>
        </w:rPr>
      </w:pPr>
      <w:r w:rsidRPr="009A27ED">
        <w:rPr>
          <w:rFonts w:ascii="Times New Roman" w:eastAsia="Times New Roman" w:hAnsi="Times New Roman"/>
          <w:sz w:val="24"/>
          <w:szCs w:val="22"/>
        </w:rPr>
        <w:t>La mayoría de los beneficiarios de este proyecto que gozan de incentivos y compensaciones no cuentan con títulos formales de las tierras donde realizan sus actividades de conservación y uso sostenible de los bosques.  De forma supletoria, se hace un reconocimiento de la tenencia informal mediante la comprobación de los elementos y características que conforman la prescripción adquisitiva y se procede a la suscripción un contrato que establece los derechos y obligaciones entre el beneficiario el Ministerio de Medio Ambiente y Recursos Naturales para el pago de las compensaciones.</w:t>
      </w:r>
    </w:p>
    <w:p w14:paraId="7052C29B" w14:textId="77777777" w:rsidR="004B496C" w:rsidRPr="009A27ED" w:rsidRDefault="004B496C" w:rsidP="004B496C">
      <w:pPr>
        <w:spacing w:after="0" w:line="360" w:lineRule="auto"/>
        <w:rPr>
          <w:szCs w:val="22"/>
        </w:rPr>
      </w:pPr>
    </w:p>
    <w:p w14:paraId="3200A514" w14:textId="77777777" w:rsidR="004B496C" w:rsidRPr="009A27ED" w:rsidRDefault="004B496C" w:rsidP="004B496C">
      <w:pPr>
        <w:autoSpaceDE w:val="0"/>
        <w:autoSpaceDN w:val="0"/>
        <w:adjustRightInd w:val="0"/>
        <w:spacing w:after="0" w:line="360" w:lineRule="auto"/>
        <w:rPr>
          <w:rFonts w:ascii="Calibri" w:hAnsi="Calibri" w:cs="Calibri"/>
          <w:szCs w:val="22"/>
        </w:rPr>
      </w:pPr>
      <w:r w:rsidRPr="009A27ED">
        <w:rPr>
          <w:rFonts w:ascii="Times New Roman" w:eastAsia="Times New Roman" w:hAnsi="Times New Roman" w:cs="Calibri"/>
          <w:sz w:val="24"/>
          <w:szCs w:val="22"/>
        </w:rPr>
        <w:t>El proceso de evaluación de las solicitudes es realizado por la gerencia del PSA-CYN y aprobadas por el Comité Directivo Interinstitucional. Los pagos se realizarán con cheques mediante contratos formales y escritos, firmados individualmente por cada beneficiario o beneficiaria y el Ministerio de Medio Ambiente y Recursos Naturales. Los contratos son renovados anualmente de forma automática hasta por cinco años y los pagos anuales se realizan en dos cuotas semestrales de 50% cada una. Aunque al inicio fue necesario un duro trabajo para lograr la comprensión, una vez entendido, se están recibiendo más solicitudes de las que se pueden atender.</w:t>
      </w:r>
    </w:p>
    <w:p w14:paraId="5DC9B1FA" w14:textId="77777777" w:rsidR="004B496C" w:rsidRPr="009A27ED" w:rsidRDefault="004B496C" w:rsidP="004B496C">
      <w:pPr>
        <w:autoSpaceDE w:val="0"/>
        <w:autoSpaceDN w:val="0"/>
        <w:adjustRightInd w:val="0"/>
        <w:spacing w:after="0" w:line="360" w:lineRule="auto"/>
        <w:rPr>
          <w:rFonts w:ascii="Calibri" w:hAnsi="Calibri" w:cs="Calibri"/>
          <w:szCs w:val="22"/>
        </w:rPr>
      </w:pPr>
    </w:p>
    <w:p w14:paraId="1DBDA920" w14:textId="3C621054" w:rsidR="004B496C" w:rsidRPr="009A27ED" w:rsidRDefault="004B496C" w:rsidP="004B496C">
      <w:pPr>
        <w:autoSpaceDE w:val="0"/>
        <w:autoSpaceDN w:val="0"/>
        <w:adjustRightInd w:val="0"/>
        <w:spacing w:after="0" w:line="360" w:lineRule="auto"/>
        <w:rPr>
          <w:rFonts w:ascii="Calibri" w:hAnsi="Calibri" w:cs="Calibri"/>
          <w:szCs w:val="22"/>
        </w:rPr>
      </w:pPr>
      <w:r w:rsidRPr="009A27ED">
        <w:rPr>
          <w:rFonts w:ascii="Times New Roman" w:eastAsia="Times New Roman" w:hAnsi="Times New Roman" w:cs="Calibri"/>
          <w:sz w:val="24"/>
          <w:szCs w:val="22"/>
        </w:rPr>
        <w:t>Este proceso del Proyecto PSA-CYN queda formalizado en su “</w:t>
      </w:r>
      <w:r w:rsidRPr="009A27ED">
        <w:rPr>
          <w:rFonts w:ascii="Times New Roman" w:eastAsia="Times New Roman" w:hAnsi="Times New Roman" w:cs="Calibri"/>
          <w:i/>
          <w:sz w:val="24"/>
          <w:szCs w:val="22"/>
        </w:rPr>
        <w:t>Reglamento de Operación para Pago por Servicios Ambientales Hídricos</w:t>
      </w:r>
      <w:r w:rsidRPr="009A27ED">
        <w:rPr>
          <w:rFonts w:ascii="Times New Roman" w:eastAsia="Times New Roman" w:hAnsi="Times New Roman" w:cs="Calibri"/>
          <w:sz w:val="24"/>
          <w:szCs w:val="22"/>
        </w:rPr>
        <w:t>”</w:t>
      </w:r>
      <w:r w:rsidRPr="009A27ED">
        <w:rPr>
          <w:rStyle w:val="Refdenotaalpie"/>
          <w:rFonts w:ascii="Times New Roman" w:eastAsia="Times New Roman" w:hAnsi="Times New Roman" w:cs="Calibri"/>
          <w:sz w:val="24"/>
          <w:szCs w:val="22"/>
        </w:rPr>
        <w:footnoteReference w:id="104"/>
      </w:r>
      <w:r w:rsidRPr="009A27ED">
        <w:rPr>
          <w:rFonts w:ascii="Times New Roman" w:eastAsia="Times New Roman" w:hAnsi="Times New Roman" w:cs="Calibri"/>
          <w:sz w:val="24"/>
          <w:szCs w:val="22"/>
        </w:rPr>
        <w:t xml:space="preserve">. Específicamente en el Artículo 8, literal C, donde se establecen los requisitos generales de elegibilidad. Dentro de estos requisitos </w:t>
      </w:r>
      <w:r w:rsidR="00AF66EF" w:rsidRPr="009A27ED">
        <w:rPr>
          <w:rFonts w:ascii="Times New Roman" w:eastAsia="Times New Roman" w:hAnsi="Times New Roman" w:cs="Calibri"/>
          <w:sz w:val="24"/>
          <w:szCs w:val="22"/>
        </w:rPr>
        <w:t>se admite</w:t>
      </w:r>
      <w:r w:rsidRPr="009A27ED">
        <w:rPr>
          <w:rFonts w:ascii="Times New Roman" w:eastAsia="Times New Roman" w:hAnsi="Times New Roman" w:cs="Calibri"/>
          <w:sz w:val="24"/>
          <w:szCs w:val="22"/>
        </w:rPr>
        <w:t xml:space="preserve"> como bueno y válido el depósito de todo documento que avale la propiedad, incluyendo Certificado de Título, Contrato de Arrendamiento, y para el caso de las posesiones, Acto Notarial firmado y sellado por el </w:t>
      </w:r>
      <w:proofErr w:type="gramStart"/>
      <w:r w:rsidRPr="009A27ED">
        <w:rPr>
          <w:rFonts w:ascii="Times New Roman" w:eastAsia="Times New Roman" w:hAnsi="Times New Roman" w:cs="Calibri"/>
          <w:sz w:val="24"/>
          <w:szCs w:val="22"/>
        </w:rPr>
        <w:t>Alcalde</w:t>
      </w:r>
      <w:proofErr w:type="gramEnd"/>
      <w:r w:rsidRPr="009A27ED">
        <w:rPr>
          <w:rFonts w:ascii="Times New Roman" w:eastAsia="Times New Roman" w:hAnsi="Times New Roman" w:cs="Calibri"/>
          <w:sz w:val="24"/>
          <w:szCs w:val="22"/>
        </w:rPr>
        <w:t xml:space="preserve"> Pedáneo de la demarcación </w:t>
      </w:r>
      <w:proofErr w:type="gramStart"/>
      <w:r w:rsidRPr="009A27ED">
        <w:rPr>
          <w:rFonts w:ascii="Times New Roman" w:eastAsia="Times New Roman" w:hAnsi="Times New Roman" w:cs="Calibri"/>
          <w:sz w:val="24"/>
          <w:szCs w:val="22"/>
        </w:rPr>
        <w:t>político administrativa</w:t>
      </w:r>
      <w:proofErr w:type="gramEnd"/>
      <w:r w:rsidRPr="009A27ED">
        <w:rPr>
          <w:rFonts w:ascii="Times New Roman" w:eastAsia="Times New Roman" w:hAnsi="Times New Roman" w:cs="Calibri"/>
          <w:sz w:val="24"/>
          <w:szCs w:val="22"/>
        </w:rPr>
        <w:t xml:space="preserve"> donde se encuentra ubicado el </w:t>
      </w:r>
      <w:proofErr w:type="gramStart"/>
      <w:r w:rsidRPr="009A27ED">
        <w:rPr>
          <w:rFonts w:ascii="Times New Roman" w:eastAsia="Times New Roman" w:hAnsi="Times New Roman" w:cs="Calibri"/>
          <w:sz w:val="24"/>
          <w:szCs w:val="22"/>
        </w:rPr>
        <w:t>terreno .</w:t>
      </w:r>
      <w:proofErr w:type="gramEnd"/>
      <w:r w:rsidRPr="009A27ED">
        <w:rPr>
          <w:rFonts w:ascii="Times New Roman" w:eastAsia="Times New Roman" w:hAnsi="Times New Roman" w:cs="Calibri"/>
          <w:sz w:val="24"/>
          <w:szCs w:val="22"/>
        </w:rPr>
        <w:t xml:space="preserve"> Dicho proceso se ilustra en </w:t>
      </w:r>
      <w:r w:rsidR="00E67E73" w:rsidRPr="009A27ED">
        <w:rPr>
          <w:rFonts w:ascii="Times New Roman" w:eastAsia="Times New Roman" w:hAnsi="Times New Roman" w:cs="Calibri"/>
          <w:sz w:val="24"/>
          <w:szCs w:val="22"/>
        </w:rPr>
        <w:t>la siguiente figura:</w:t>
      </w:r>
    </w:p>
    <w:p w14:paraId="5583AA0C" w14:textId="371F6EDE" w:rsidR="00E67E73" w:rsidRPr="009A27ED" w:rsidRDefault="00E67E73" w:rsidP="004B496C">
      <w:pPr>
        <w:autoSpaceDE w:val="0"/>
        <w:autoSpaceDN w:val="0"/>
        <w:adjustRightInd w:val="0"/>
        <w:spacing w:after="0" w:line="360" w:lineRule="auto"/>
        <w:rPr>
          <w:rFonts w:ascii="Calibri" w:hAnsi="Calibri" w:cs="Calibri"/>
          <w:szCs w:val="22"/>
        </w:rPr>
      </w:pPr>
    </w:p>
    <w:p w14:paraId="65BFF1F9" w14:textId="77777777" w:rsidR="00703EB9" w:rsidRPr="009A27ED" w:rsidRDefault="00E67E73" w:rsidP="00703EB9">
      <w:pPr>
        <w:keepNext/>
        <w:autoSpaceDE w:val="0"/>
        <w:autoSpaceDN w:val="0"/>
        <w:adjustRightInd w:val="0"/>
        <w:spacing w:after="0" w:line="360" w:lineRule="auto"/>
      </w:pPr>
      <w:r w:rsidRPr="009A27ED">
        <w:rPr>
          <w:rFonts w:ascii="Times New Roman" w:eastAsia="Times New Roman" w:hAnsi="Times New Roman"/>
          <w:noProof/>
          <w:sz w:val="24"/>
          <w:lang w:val="en-US"/>
        </w:rPr>
        <w:lastRenderedPageBreak/>
        <w:drawing>
          <wp:inline distT="0" distB="0" distL="0" distR="0" wp14:anchorId="001817C9" wp14:editId="3A0EC77C">
            <wp:extent cx="4454713" cy="6007311"/>
            <wp:effectExtent l="0" t="0" r="3175" b="0"/>
            <wp:docPr id="448"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4457969" cy="6011702"/>
                    </a:xfrm>
                    <a:prstGeom prst="rect">
                      <a:avLst/>
                    </a:prstGeom>
                    <a:noFill/>
                    <a:ln>
                      <a:noFill/>
                    </a:ln>
                  </pic:spPr>
                </pic:pic>
              </a:graphicData>
            </a:graphic>
          </wp:inline>
        </w:drawing>
      </w:r>
    </w:p>
    <w:p w14:paraId="4BED12B0" w14:textId="573BABC7" w:rsidR="00E67E73" w:rsidRPr="009A27ED" w:rsidRDefault="00703EB9" w:rsidP="00703EB9">
      <w:pPr>
        <w:pStyle w:val="Descripcin"/>
        <w:spacing w:line="360" w:lineRule="auto"/>
        <w:rPr>
          <w:rFonts w:ascii="Calibri" w:hAnsi="Calibri" w:cs="Calibri"/>
          <w:szCs w:val="22"/>
        </w:rPr>
      </w:pPr>
      <w:bookmarkStart w:id="711" w:name="_Toc111889899"/>
      <w:r w:rsidRPr="009A27ED">
        <w:rPr>
          <w:rFonts w:ascii="Times New Roman" w:eastAsia="Times New Roman" w:hAnsi="Times New Roman"/>
          <w:sz w:val="24"/>
        </w:rPr>
        <w:t xml:space="preserve">Esquema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Esquema_ \* ARABIC </w:instrText>
      </w:r>
      <w:r w:rsidRPr="009A27ED">
        <w:rPr>
          <w:rFonts w:ascii="Times New Roman" w:eastAsia="Times New Roman" w:hAnsi="Times New Roman"/>
          <w:sz w:val="24"/>
        </w:rPr>
        <w:fldChar w:fldCharType="separate"/>
      </w:r>
      <w:r w:rsidRPr="009A27ED">
        <w:rPr>
          <w:rFonts w:ascii="Times New Roman" w:eastAsia="Times New Roman" w:hAnsi="Times New Roman"/>
          <w:noProof/>
          <w:sz w:val="24"/>
        </w:rPr>
        <w:t>11</w:t>
      </w:r>
      <w:r w:rsidRPr="009A27ED">
        <w:rPr>
          <w:rFonts w:ascii="Times New Roman" w:eastAsia="Times New Roman" w:hAnsi="Times New Roman"/>
          <w:sz w:val="24"/>
        </w:rPr>
        <w:fldChar w:fldCharType="end"/>
      </w:r>
      <w:r w:rsidRPr="009A27ED">
        <w:rPr>
          <w:rFonts w:ascii="Times New Roman" w:eastAsia="Times New Roman" w:hAnsi="Times New Roman"/>
          <w:sz w:val="24"/>
        </w:rPr>
        <w:t>. Flujograma del proceso de solicitud PSA-CYN</w:t>
      </w:r>
      <w:bookmarkEnd w:id="711"/>
    </w:p>
    <w:p w14:paraId="5EC2FEA4" w14:textId="79AFC52C" w:rsidR="00E67E73" w:rsidRPr="009A27ED" w:rsidRDefault="00E67E73" w:rsidP="004B496C">
      <w:pPr>
        <w:autoSpaceDE w:val="0"/>
        <w:autoSpaceDN w:val="0"/>
        <w:adjustRightInd w:val="0"/>
        <w:spacing w:after="0" w:line="360" w:lineRule="auto"/>
        <w:rPr>
          <w:rFonts w:ascii="Calibri" w:hAnsi="Calibri" w:cs="Calibri"/>
          <w:szCs w:val="22"/>
        </w:rPr>
      </w:pPr>
    </w:p>
    <w:p w14:paraId="64F446EC" w14:textId="77777777" w:rsidR="004B496C" w:rsidRPr="009A27ED" w:rsidRDefault="004B496C" w:rsidP="004B496C">
      <w:pPr>
        <w:spacing w:after="0" w:line="360" w:lineRule="auto"/>
        <w:rPr>
          <w:b/>
          <w:i/>
          <w:szCs w:val="22"/>
        </w:rPr>
      </w:pPr>
      <w:r w:rsidRPr="009A27ED">
        <w:rPr>
          <w:rFonts w:ascii="Times New Roman" w:eastAsia="Times New Roman" w:hAnsi="Times New Roman"/>
          <w:b/>
          <w:i/>
          <w:sz w:val="24"/>
          <w:szCs w:val="22"/>
        </w:rPr>
        <w:t>Análisis Cuantitativo sobre la Tenencia de la Tierra en la República Dominicana</w:t>
      </w:r>
    </w:p>
    <w:p w14:paraId="0A51BC22" w14:textId="77777777" w:rsidR="004B496C" w:rsidRPr="009A27ED" w:rsidRDefault="004B496C" w:rsidP="004B496C">
      <w:pPr>
        <w:spacing w:after="0" w:line="360" w:lineRule="auto"/>
        <w:rPr>
          <w:szCs w:val="22"/>
        </w:rPr>
      </w:pPr>
    </w:p>
    <w:p w14:paraId="7CAB1A26" w14:textId="77777777" w:rsidR="004B496C" w:rsidRPr="009A27ED" w:rsidRDefault="004B496C" w:rsidP="004B496C">
      <w:pPr>
        <w:spacing w:after="0" w:line="360" w:lineRule="auto"/>
        <w:rPr>
          <w:rFonts w:eastAsia="Times New Roman"/>
          <w:szCs w:val="22"/>
        </w:rPr>
      </w:pPr>
      <w:r w:rsidRPr="009A27ED">
        <w:rPr>
          <w:rFonts w:ascii="Times New Roman" w:eastAsia="Times New Roman" w:hAnsi="Times New Roman"/>
          <w:sz w:val="24"/>
          <w:szCs w:val="22"/>
        </w:rPr>
        <w:t xml:space="preserve">A continuación, se presenta una matriz consolidada del muestreo realizado en 2018 sobre la titulación de la tierra a nivel nacional. Este diagnóstico fue obtenido de una muestra de 10 parcelas por cada municipio, para un total de 1,500 muestras, lo que constituyó el universo del estudio. Los datos de las 10 muestras por municipio indican un total de 188,420 ha </w:t>
      </w:r>
      <w:r w:rsidRPr="009A27ED">
        <w:rPr>
          <w:rFonts w:ascii="Times New Roman" w:eastAsia="Times New Roman" w:hAnsi="Times New Roman"/>
          <w:sz w:val="24"/>
          <w:szCs w:val="22"/>
        </w:rPr>
        <w:lastRenderedPageBreak/>
        <w:t xml:space="preserve">tituladas a nivel nacional, de las cuales 27,853 ha están tituladas bajo la ley 1542-47 y 155,529 ha tituladas bajo la ley 108-05. Las cinco provincias que muestran mayor cantidad de tierras tituladas son: Independencia, San Juan de la Maguana, Monte Cristi, Azua y Bahoruco. De igual manera, entre las provincias con menor cantidad de tierras tituladas figuran: Hermanas Mirabal, San José de </w:t>
      </w:r>
      <w:proofErr w:type="spellStart"/>
      <w:r w:rsidRPr="009A27ED">
        <w:rPr>
          <w:rFonts w:ascii="Times New Roman" w:eastAsia="Times New Roman" w:hAnsi="Times New Roman"/>
          <w:sz w:val="24"/>
          <w:szCs w:val="22"/>
        </w:rPr>
        <w:t>Ocoa</w:t>
      </w:r>
      <w:proofErr w:type="spellEnd"/>
      <w:r w:rsidRPr="009A27ED">
        <w:rPr>
          <w:rFonts w:ascii="Times New Roman" w:eastAsia="Times New Roman" w:hAnsi="Times New Roman"/>
          <w:sz w:val="24"/>
          <w:szCs w:val="22"/>
        </w:rPr>
        <w:t>, Peravia, Hato Mayor y Samaná.</w:t>
      </w:r>
    </w:p>
    <w:p w14:paraId="4B170DAE" w14:textId="77777777" w:rsidR="004B496C" w:rsidRPr="009A27ED" w:rsidRDefault="004B496C" w:rsidP="004B496C">
      <w:pPr>
        <w:spacing w:after="0" w:line="360" w:lineRule="auto"/>
        <w:rPr>
          <w:rFonts w:eastAsia="Times New Roman"/>
          <w:szCs w:val="22"/>
        </w:rPr>
      </w:pPr>
    </w:p>
    <w:p w14:paraId="3B071E93" w14:textId="5634079A" w:rsidR="004B496C" w:rsidRPr="009A27ED" w:rsidRDefault="004B496C" w:rsidP="004B496C">
      <w:pPr>
        <w:spacing w:after="0" w:line="360" w:lineRule="auto"/>
        <w:rPr>
          <w:b/>
          <w:szCs w:val="22"/>
        </w:rPr>
      </w:pPr>
      <w:r w:rsidRPr="009A27ED">
        <w:rPr>
          <w:rFonts w:ascii="Times New Roman" w:eastAsia="Times New Roman" w:hAnsi="Times New Roman"/>
          <w:b/>
          <w:sz w:val="24"/>
          <w:szCs w:val="22"/>
        </w:rPr>
        <w:t>Resultados de diagnóstico preliminar sobre titularidad de la tierra en República Dominicana, con 1,500 muestras como universo del estudio.</w:t>
      </w:r>
    </w:p>
    <w:p w14:paraId="2CE59F65" w14:textId="7E446C9D" w:rsidR="00DF3AFC" w:rsidRPr="009A27ED" w:rsidRDefault="00DF3AFC" w:rsidP="00DF3AFC">
      <w:pPr>
        <w:pStyle w:val="Descripcin"/>
        <w:keepNext/>
        <w:spacing w:line="360" w:lineRule="auto"/>
      </w:pPr>
      <w:bookmarkStart w:id="712" w:name="_Toc111887472"/>
      <w:r w:rsidRPr="009A27ED">
        <w:rPr>
          <w:rFonts w:ascii="Times New Roman" w:eastAsia="Times New Roman" w:hAnsi="Times New Roman"/>
          <w:sz w:val="24"/>
        </w:rPr>
        <w:t xml:space="preserve">Cuadro </w:t>
      </w:r>
      <w:r w:rsidRPr="009A27ED">
        <w:rPr>
          <w:rFonts w:ascii="Times New Roman" w:eastAsia="Times New Roman" w:hAnsi="Times New Roman"/>
          <w:sz w:val="24"/>
        </w:rPr>
        <w:fldChar w:fldCharType="begin"/>
      </w:r>
      <w:r w:rsidRPr="009A27ED">
        <w:rPr>
          <w:rFonts w:ascii="Times New Roman" w:eastAsia="Times New Roman" w:hAnsi="Times New Roman"/>
          <w:sz w:val="24"/>
        </w:rPr>
        <w:instrText xml:space="preserve"> SEQ Cuadro \* ARABIC </w:instrText>
      </w:r>
      <w:r w:rsidRPr="009A27ED">
        <w:rPr>
          <w:rFonts w:ascii="Times New Roman" w:eastAsia="Times New Roman" w:hAnsi="Times New Roman"/>
          <w:sz w:val="24"/>
        </w:rPr>
        <w:fldChar w:fldCharType="separate"/>
      </w:r>
      <w:r w:rsidRPr="009A27ED">
        <w:rPr>
          <w:rFonts w:ascii="Times New Roman" w:eastAsia="Times New Roman" w:hAnsi="Times New Roman"/>
          <w:noProof/>
          <w:sz w:val="24"/>
        </w:rPr>
        <w:t>62</w:t>
      </w:r>
      <w:r w:rsidRPr="009A27ED">
        <w:rPr>
          <w:rFonts w:ascii="Times New Roman" w:eastAsia="Times New Roman" w:hAnsi="Times New Roman"/>
          <w:sz w:val="24"/>
        </w:rPr>
        <w:fldChar w:fldCharType="end"/>
      </w:r>
      <w:r w:rsidRPr="009A27ED">
        <w:rPr>
          <w:rFonts w:ascii="Times New Roman" w:eastAsia="Times New Roman" w:hAnsi="Times New Roman"/>
          <w:sz w:val="24"/>
        </w:rPr>
        <w:t>. Resultados de diagnóstico preliminar sobre titularidad de la tierra en República Dominicana, con 1,500 muestras como universo del estudio.</w:t>
      </w:r>
      <w:bookmarkEnd w:id="712"/>
    </w:p>
    <w:tbl>
      <w:tblPr>
        <w:tblStyle w:val="Tablaconcuadrcula"/>
        <w:tblpPr w:leftFromText="141" w:rightFromText="141" w:vertAnchor="text" w:horzAnchor="margin" w:tblpXSpec="center" w:tblpY="435"/>
        <w:tblW w:w="0" w:type="auto"/>
        <w:tblLook w:val="04A0" w:firstRow="1" w:lastRow="0" w:firstColumn="1" w:lastColumn="0" w:noHBand="0" w:noVBand="1"/>
      </w:tblPr>
      <w:tblGrid>
        <w:gridCol w:w="1795"/>
        <w:gridCol w:w="1742"/>
        <w:gridCol w:w="2404"/>
        <w:gridCol w:w="1385"/>
        <w:gridCol w:w="1504"/>
      </w:tblGrid>
      <w:tr w:rsidR="004B496C" w:rsidRPr="009A27ED" w14:paraId="6FE2F9C6" w14:textId="77777777" w:rsidTr="00DF3AFC">
        <w:trPr>
          <w:trHeight w:val="328"/>
        </w:trPr>
        <w:tc>
          <w:tcPr>
            <w:tcW w:w="1795" w:type="dxa"/>
            <w:vMerge w:val="restart"/>
            <w:shd w:val="clear" w:color="auto" w:fill="BDD6EE" w:themeFill="accent1" w:themeFillTint="66"/>
          </w:tcPr>
          <w:p w14:paraId="1B2CB81C" w14:textId="77777777" w:rsidR="004B496C" w:rsidRPr="009A27ED" w:rsidRDefault="004B496C" w:rsidP="00F35FD2">
            <w:pPr>
              <w:rPr>
                <w:b/>
                <w:sz w:val="20"/>
                <w:szCs w:val="20"/>
              </w:rPr>
            </w:pPr>
          </w:p>
          <w:p w14:paraId="1D9FC152" w14:textId="77777777" w:rsidR="004B496C" w:rsidRPr="009A27ED" w:rsidRDefault="004B496C" w:rsidP="00F35FD2">
            <w:pPr>
              <w:rPr>
                <w:b/>
                <w:sz w:val="20"/>
                <w:szCs w:val="20"/>
              </w:rPr>
            </w:pPr>
          </w:p>
          <w:p w14:paraId="14C834A4" w14:textId="77777777" w:rsidR="004B496C" w:rsidRPr="009A27ED" w:rsidRDefault="004B496C" w:rsidP="00F35FD2">
            <w:pPr>
              <w:jc w:val="center"/>
              <w:rPr>
                <w:b/>
                <w:sz w:val="20"/>
                <w:szCs w:val="20"/>
              </w:rPr>
            </w:pPr>
            <w:r w:rsidRPr="009A27ED">
              <w:rPr>
                <w:b/>
                <w:sz w:val="20"/>
                <w:szCs w:val="20"/>
              </w:rPr>
              <w:t>P R O V I N C I A</w:t>
            </w:r>
          </w:p>
        </w:tc>
        <w:tc>
          <w:tcPr>
            <w:tcW w:w="7035" w:type="dxa"/>
            <w:gridSpan w:val="4"/>
            <w:shd w:val="clear" w:color="auto" w:fill="E2EFD9" w:themeFill="accent6" w:themeFillTint="33"/>
          </w:tcPr>
          <w:p w14:paraId="5F9846DA" w14:textId="77777777" w:rsidR="004B496C" w:rsidRPr="009A27ED" w:rsidRDefault="004B496C" w:rsidP="00F35FD2">
            <w:pPr>
              <w:pStyle w:val="Bodytext20"/>
              <w:shd w:val="clear" w:color="auto" w:fill="auto"/>
              <w:spacing w:after="0" w:line="240" w:lineRule="auto"/>
              <w:jc w:val="center"/>
              <w:rPr>
                <w:rFonts w:cstheme="minorHAnsi"/>
                <w:b/>
                <w:sz w:val="20"/>
                <w:szCs w:val="20"/>
                <w:lang w:val="pt-BR"/>
              </w:rPr>
            </w:pPr>
            <w:r w:rsidRPr="009A27ED">
              <w:rPr>
                <w:rFonts w:cstheme="minorHAnsi"/>
                <w:b/>
                <w:sz w:val="20"/>
                <w:szCs w:val="20"/>
                <w:lang w:val="pt-BR"/>
              </w:rPr>
              <w:t xml:space="preserve">Á R E </w:t>
            </w:r>
            <w:proofErr w:type="gramStart"/>
            <w:r w:rsidRPr="009A27ED">
              <w:rPr>
                <w:rFonts w:cstheme="minorHAnsi"/>
                <w:b/>
                <w:sz w:val="20"/>
                <w:szCs w:val="20"/>
                <w:lang w:val="pt-BR"/>
              </w:rPr>
              <w:t>A  T</w:t>
            </w:r>
            <w:proofErr w:type="gramEnd"/>
            <w:r w:rsidRPr="009A27ED">
              <w:rPr>
                <w:rFonts w:cstheme="minorHAnsi"/>
                <w:b/>
                <w:sz w:val="20"/>
                <w:szCs w:val="20"/>
                <w:lang w:val="pt-BR"/>
              </w:rPr>
              <w:t xml:space="preserve"> I T U L A D A</w:t>
            </w:r>
          </w:p>
        </w:tc>
      </w:tr>
      <w:tr w:rsidR="004B496C" w:rsidRPr="009A27ED" w14:paraId="40E2AB2F" w14:textId="77777777" w:rsidTr="00F35FD2">
        <w:trPr>
          <w:trHeight w:val="992"/>
        </w:trPr>
        <w:tc>
          <w:tcPr>
            <w:tcW w:w="1795" w:type="dxa"/>
            <w:vMerge/>
            <w:shd w:val="clear" w:color="auto" w:fill="BDD6EE" w:themeFill="accent1" w:themeFillTint="66"/>
          </w:tcPr>
          <w:p w14:paraId="7195264D" w14:textId="77777777" w:rsidR="004B496C" w:rsidRPr="009A27ED" w:rsidRDefault="004B496C" w:rsidP="00F35FD2">
            <w:pPr>
              <w:pStyle w:val="Bodytext20"/>
              <w:shd w:val="clear" w:color="auto" w:fill="auto"/>
              <w:spacing w:after="0" w:line="240" w:lineRule="auto"/>
              <w:jc w:val="center"/>
              <w:rPr>
                <w:rFonts w:cstheme="minorHAnsi"/>
                <w:b/>
                <w:sz w:val="20"/>
                <w:szCs w:val="20"/>
                <w:lang w:val="pt-BR"/>
              </w:rPr>
            </w:pPr>
          </w:p>
        </w:tc>
        <w:tc>
          <w:tcPr>
            <w:tcW w:w="1742" w:type="dxa"/>
            <w:shd w:val="clear" w:color="auto" w:fill="BDD6EE" w:themeFill="accent1" w:themeFillTint="66"/>
          </w:tcPr>
          <w:p w14:paraId="01EB3E1B" w14:textId="77777777" w:rsidR="004B496C" w:rsidRPr="009A27ED" w:rsidRDefault="004B496C" w:rsidP="00F35FD2">
            <w:pPr>
              <w:pStyle w:val="Bodytext20"/>
              <w:shd w:val="clear" w:color="auto" w:fill="auto"/>
              <w:spacing w:after="0" w:line="240" w:lineRule="auto"/>
              <w:jc w:val="center"/>
              <w:rPr>
                <w:rFonts w:cstheme="minorHAnsi"/>
                <w:b/>
                <w:sz w:val="20"/>
                <w:szCs w:val="20"/>
                <w:lang w:val="es-ES"/>
              </w:rPr>
            </w:pPr>
            <w:r w:rsidRPr="009A27ED">
              <w:rPr>
                <w:rFonts w:cstheme="minorHAnsi"/>
                <w:b/>
                <w:sz w:val="20"/>
                <w:szCs w:val="20"/>
                <w:lang w:val="es-ES"/>
              </w:rPr>
              <w:t>M</w:t>
            </w:r>
            <w:r w:rsidRPr="009A27ED">
              <w:rPr>
                <w:rFonts w:cstheme="minorHAnsi"/>
                <w:b/>
                <w:sz w:val="20"/>
                <w:szCs w:val="20"/>
                <w:vertAlign w:val="superscript"/>
                <w:lang w:val="es-ES"/>
              </w:rPr>
              <w:t>2</w:t>
            </w:r>
            <w:r w:rsidRPr="009A27ED">
              <w:rPr>
                <w:rFonts w:cstheme="minorHAnsi"/>
                <w:b/>
                <w:sz w:val="20"/>
                <w:szCs w:val="20"/>
                <w:lang w:val="es-ES"/>
              </w:rPr>
              <w:t xml:space="preserve"> TITULADOS BAJO LA LEY NO.1542-47</w:t>
            </w:r>
          </w:p>
          <w:p w14:paraId="38BA351A" w14:textId="77777777" w:rsidR="004B496C" w:rsidRPr="009A27ED" w:rsidRDefault="004B496C" w:rsidP="00F35FD2">
            <w:pPr>
              <w:pStyle w:val="Bodytext20"/>
              <w:shd w:val="clear" w:color="auto" w:fill="auto"/>
              <w:spacing w:after="0" w:line="240" w:lineRule="auto"/>
              <w:jc w:val="center"/>
              <w:rPr>
                <w:rFonts w:cstheme="minorHAnsi"/>
                <w:b/>
                <w:sz w:val="20"/>
                <w:szCs w:val="20"/>
                <w:lang w:val="es-ES"/>
              </w:rPr>
            </w:pPr>
            <w:r w:rsidRPr="009A27ED">
              <w:rPr>
                <w:rFonts w:cstheme="minorHAnsi"/>
                <w:b/>
                <w:sz w:val="20"/>
                <w:szCs w:val="20"/>
                <w:lang w:val="es-ES"/>
              </w:rPr>
              <w:t>(Antigua Ley de Registro de Tierras)</w:t>
            </w:r>
          </w:p>
        </w:tc>
        <w:tc>
          <w:tcPr>
            <w:tcW w:w="0" w:type="auto"/>
            <w:shd w:val="clear" w:color="auto" w:fill="BDD6EE" w:themeFill="accent1" w:themeFillTint="66"/>
          </w:tcPr>
          <w:p w14:paraId="5A93EF20" w14:textId="77777777" w:rsidR="004B496C" w:rsidRPr="009A27ED" w:rsidRDefault="004B496C" w:rsidP="00F35FD2">
            <w:pPr>
              <w:pStyle w:val="Bodytext20"/>
              <w:shd w:val="clear" w:color="auto" w:fill="auto"/>
              <w:spacing w:after="0" w:line="240" w:lineRule="auto"/>
              <w:jc w:val="center"/>
              <w:rPr>
                <w:rFonts w:cstheme="minorHAnsi"/>
                <w:b/>
                <w:sz w:val="20"/>
                <w:szCs w:val="20"/>
                <w:lang w:val="es-ES"/>
              </w:rPr>
            </w:pPr>
            <w:r w:rsidRPr="009A27ED">
              <w:rPr>
                <w:rFonts w:cstheme="minorHAnsi"/>
                <w:b/>
                <w:sz w:val="20"/>
                <w:szCs w:val="20"/>
                <w:lang w:val="es-ES"/>
              </w:rPr>
              <w:t>M</w:t>
            </w:r>
            <w:r w:rsidRPr="009A27ED">
              <w:rPr>
                <w:rFonts w:cstheme="minorHAnsi"/>
                <w:b/>
                <w:sz w:val="20"/>
                <w:szCs w:val="20"/>
                <w:vertAlign w:val="superscript"/>
                <w:lang w:val="es-ES"/>
              </w:rPr>
              <w:t>2</w:t>
            </w:r>
            <w:r w:rsidRPr="009A27ED">
              <w:rPr>
                <w:rFonts w:cstheme="minorHAnsi"/>
                <w:b/>
                <w:sz w:val="20"/>
                <w:szCs w:val="20"/>
                <w:lang w:val="es-ES"/>
              </w:rPr>
              <w:t xml:space="preserve"> TITULADOS BAJO LA LEY NO.108-05 de Registro Inmobiliario</w:t>
            </w:r>
          </w:p>
        </w:tc>
        <w:tc>
          <w:tcPr>
            <w:tcW w:w="0" w:type="auto"/>
            <w:shd w:val="clear" w:color="auto" w:fill="BDD6EE" w:themeFill="accent1" w:themeFillTint="66"/>
          </w:tcPr>
          <w:p w14:paraId="784996CF" w14:textId="77777777" w:rsidR="004B496C" w:rsidRPr="009A27ED" w:rsidRDefault="004B496C" w:rsidP="00F35FD2">
            <w:pPr>
              <w:pStyle w:val="Bodytext20"/>
              <w:shd w:val="clear" w:color="auto" w:fill="auto"/>
              <w:spacing w:after="0" w:line="240" w:lineRule="auto"/>
              <w:jc w:val="center"/>
              <w:rPr>
                <w:rFonts w:cstheme="minorHAnsi"/>
                <w:b/>
                <w:sz w:val="20"/>
                <w:szCs w:val="20"/>
                <w:lang w:val="es-ES"/>
              </w:rPr>
            </w:pPr>
          </w:p>
          <w:p w14:paraId="3A2B6A87" w14:textId="77777777" w:rsidR="004B496C" w:rsidRPr="009A27ED" w:rsidRDefault="004B496C" w:rsidP="00F35FD2">
            <w:pPr>
              <w:pStyle w:val="Bodytext20"/>
              <w:shd w:val="clear" w:color="auto" w:fill="auto"/>
              <w:spacing w:after="0" w:line="240" w:lineRule="auto"/>
              <w:jc w:val="center"/>
              <w:rPr>
                <w:rFonts w:cstheme="minorHAnsi"/>
                <w:b/>
                <w:sz w:val="20"/>
                <w:szCs w:val="20"/>
              </w:rPr>
            </w:pPr>
            <w:r w:rsidRPr="009A27ED">
              <w:rPr>
                <w:rFonts w:cstheme="minorHAnsi"/>
                <w:b/>
                <w:sz w:val="20"/>
                <w:szCs w:val="20"/>
              </w:rPr>
              <w:t xml:space="preserve">TOTAL </w:t>
            </w:r>
            <w:proofErr w:type="gramStart"/>
            <w:r w:rsidRPr="009A27ED">
              <w:rPr>
                <w:rFonts w:cstheme="minorHAnsi"/>
                <w:b/>
                <w:sz w:val="20"/>
                <w:szCs w:val="20"/>
              </w:rPr>
              <w:t>EN  M</w:t>
            </w:r>
            <w:proofErr w:type="gramEnd"/>
            <w:r w:rsidRPr="009A27ED">
              <w:rPr>
                <w:rFonts w:cstheme="minorHAnsi"/>
                <w:b/>
                <w:sz w:val="20"/>
                <w:szCs w:val="20"/>
                <w:vertAlign w:val="superscript"/>
              </w:rPr>
              <w:t>2</w:t>
            </w:r>
          </w:p>
        </w:tc>
        <w:tc>
          <w:tcPr>
            <w:tcW w:w="0" w:type="auto"/>
            <w:shd w:val="clear" w:color="auto" w:fill="BDD6EE" w:themeFill="accent1" w:themeFillTint="66"/>
          </w:tcPr>
          <w:p w14:paraId="2EA2831A" w14:textId="77777777" w:rsidR="004B496C" w:rsidRPr="009A27ED" w:rsidRDefault="004B496C" w:rsidP="00F35FD2">
            <w:pPr>
              <w:pStyle w:val="Bodytext20"/>
              <w:shd w:val="clear" w:color="auto" w:fill="auto"/>
              <w:spacing w:after="0" w:line="240" w:lineRule="auto"/>
              <w:jc w:val="center"/>
              <w:rPr>
                <w:rFonts w:cstheme="minorHAnsi"/>
                <w:b/>
                <w:sz w:val="20"/>
                <w:szCs w:val="20"/>
              </w:rPr>
            </w:pPr>
          </w:p>
          <w:p w14:paraId="2B8C4FEB" w14:textId="77777777" w:rsidR="004B496C" w:rsidRPr="009A27ED" w:rsidRDefault="004B496C" w:rsidP="00F35FD2">
            <w:pPr>
              <w:pStyle w:val="Bodytext20"/>
              <w:shd w:val="clear" w:color="auto" w:fill="auto"/>
              <w:spacing w:after="0" w:line="240" w:lineRule="auto"/>
              <w:jc w:val="center"/>
              <w:rPr>
                <w:rFonts w:cstheme="minorHAnsi"/>
                <w:b/>
                <w:sz w:val="20"/>
                <w:szCs w:val="20"/>
              </w:rPr>
            </w:pPr>
            <w:r w:rsidRPr="009A27ED">
              <w:rPr>
                <w:rFonts w:cstheme="minorHAnsi"/>
                <w:b/>
                <w:sz w:val="20"/>
                <w:szCs w:val="20"/>
              </w:rPr>
              <w:t>TOTAL EN HECTAREAS (Ha)</w:t>
            </w:r>
          </w:p>
        </w:tc>
      </w:tr>
      <w:tr w:rsidR="004B496C" w:rsidRPr="009A27ED" w14:paraId="245F5DEF" w14:textId="77777777" w:rsidTr="00F35FD2">
        <w:trPr>
          <w:trHeight w:val="203"/>
        </w:trPr>
        <w:tc>
          <w:tcPr>
            <w:tcW w:w="1795" w:type="dxa"/>
          </w:tcPr>
          <w:p w14:paraId="52CE087C" w14:textId="77777777" w:rsidR="004B496C" w:rsidRPr="009A27ED" w:rsidRDefault="004B496C" w:rsidP="00F35FD2">
            <w:pPr>
              <w:pStyle w:val="Bodytext20"/>
              <w:shd w:val="clear" w:color="auto" w:fill="auto"/>
              <w:spacing w:after="0" w:line="240" w:lineRule="auto"/>
              <w:jc w:val="left"/>
              <w:rPr>
                <w:rFonts w:cstheme="minorHAnsi"/>
                <w:b/>
                <w:sz w:val="20"/>
                <w:szCs w:val="20"/>
              </w:rPr>
            </w:pPr>
            <w:r w:rsidRPr="009A27ED">
              <w:rPr>
                <w:rFonts w:cstheme="minorHAnsi"/>
                <w:b/>
                <w:sz w:val="20"/>
                <w:szCs w:val="20"/>
              </w:rPr>
              <w:t>AZUA</w:t>
            </w:r>
          </w:p>
        </w:tc>
        <w:tc>
          <w:tcPr>
            <w:tcW w:w="1742" w:type="dxa"/>
          </w:tcPr>
          <w:p w14:paraId="452851CA"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105,336,136</w:t>
            </w:r>
          </w:p>
        </w:tc>
        <w:tc>
          <w:tcPr>
            <w:tcW w:w="0" w:type="auto"/>
          </w:tcPr>
          <w:p w14:paraId="36D69CEF"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30.662,063</w:t>
            </w:r>
          </w:p>
        </w:tc>
        <w:tc>
          <w:tcPr>
            <w:tcW w:w="0" w:type="auto"/>
          </w:tcPr>
          <w:p w14:paraId="624F3B8A"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135,998,199</w:t>
            </w:r>
          </w:p>
        </w:tc>
        <w:tc>
          <w:tcPr>
            <w:tcW w:w="0" w:type="auto"/>
            <w:vAlign w:val="bottom"/>
          </w:tcPr>
          <w:p w14:paraId="14ABF840" w14:textId="77777777" w:rsidR="004B496C" w:rsidRPr="009A27ED" w:rsidRDefault="004B496C" w:rsidP="00F35FD2">
            <w:pPr>
              <w:rPr>
                <w:rFonts w:eastAsia="Times New Roman"/>
                <w:sz w:val="20"/>
                <w:szCs w:val="20"/>
              </w:rPr>
            </w:pPr>
            <w:r w:rsidRPr="009A27ED">
              <w:rPr>
                <w:rFonts w:eastAsia="Times New Roman"/>
                <w:sz w:val="20"/>
                <w:szCs w:val="20"/>
              </w:rPr>
              <w:t xml:space="preserve">     13,599.82 </w:t>
            </w:r>
          </w:p>
        </w:tc>
      </w:tr>
      <w:tr w:rsidR="004B496C" w:rsidRPr="009A27ED" w14:paraId="7A1912B9" w14:textId="77777777" w:rsidTr="00F35FD2">
        <w:trPr>
          <w:trHeight w:val="203"/>
        </w:trPr>
        <w:tc>
          <w:tcPr>
            <w:tcW w:w="1795" w:type="dxa"/>
          </w:tcPr>
          <w:p w14:paraId="79A35384" w14:textId="77777777" w:rsidR="004B496C" w:rsidRPr="009A27ED" w:rsidRDefault="004B496C" w:rsidP="00F35FD2">
            <w:pPr>
              <w:pStyle w:val="Bodytext20"/>
              <w:shd w:val="clear" w:color="auto" w:fill="auto"/>
              <w:spacing w:after="0" w:line="240" w:lineRule="auto"/>
              <w:jc w:val="left"/>
              <w:rPr>
                <w:rFonts w:cstheme="minorHAnsi"/>
                <w:b/>
                <w:sz w:val="20"/>
                <w:szCs w:val="20"/>
              </w:rPr>
            </w:pPr>
            <w:r w:rsidRPr="009A27ED">
              <w:rPr>
                <w:rFonts w:cstheme="minorHAnsi"/>
                <w:b/>
                <w:sz w:val="20"/>
                <w:szCs w:val="20"/>
              </w:rPr>
              <w:t>BAHORUCO</w:t>
            </w:r>
          </w:p>
        </w:tc>
        <w:tc>
          <w:tcPr>
            <w:tcW w:w="1742" w:type="dxa"/>
          </w:tcPr>
          <w:p w14:paraId="09C7E9EA"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98,811,232</w:t>
            </w:r>
          </w:p>
        </w:tc>
        <w:tc>
          <w:tcPr>
            <w:tcW w:w="0" w:type="auto"/>
          </w:tcPr>
          <w:p w14:paraId="55656C54"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31,362,501</w:t>
            </w:r>
          </w:p>
        </w:tc>
        <w:tc>
          <w:tcPr>
            <w:tcW w:w="0" w:type="auto"/>
          </w:tcPr>
          <w:p w14:paraId="2EF9C6CE"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130,173,733</w:t>
            </w:r>
          </w:p>
        </w:tc>
        <w:tc>
          <w:tcPr>
            <w:tcW w:w="0" w:type="auto"/>
            <w:vAlign w:val="bottom"/>
          </w:tcPr>
          <w:p w14:paraId="3F4CA314" w14:textId="77777777" w:rsidR="004B496C" w:rsidRPr="009A27ED" w:rsidRDefault="004B496C" w:rsidP="00F35FD2">
            <w:pPr>
              <w:rPr>
                <w:rFonts w:eastAsia="Times New Roman"/>
                <w:sz w:val="20"/>
                <w:szCs w:val="20"/>
              </w:rPr>
            </w:pPr>
            <w:r w:rsidRPr="009A27ED">
              <w:rPr>
                <w:rFonts w:eastAsia="Times New Roman"/>
                <w:sz w:val="20"/>
                <w:szCs w:val="20"/>
              </w:rPr>
              <w:t xml:space="preserve">     13,017.37 </w:t>
            </w:r>
          </w:p>
        </w:tc>
      </w:tr>
      <w:tr w:rsidR="004B496C" w:rsidRPr="009A27ED" w14:paraId="31D9A7A9" w14:textId="77777777" w:rsidTr="00F35FD2">
        <w:trPr>
          <w:trHeight w:val="203"/>
        </w:trPr>
        <w:tc>
          <w:tcPr>
            <w:tcW w:w="1795" w:type="dxa"/>
          </w:tcPr>
          <w:p w14:paraId="2EF048F5" w14:textId="77777777" w:rsidR="004B496C" w:rsidRPr="009A27ED" w:rsidRDefault="004B496C" w:rsidP="00F35FD2">
            <w:pPr>
              <w:pStyle w:val="Bodytext20"/>
              <w:shd w:val="clear" w:color="auto" w:fill="auto"/>
              <w:spacing w:after="0" w:line="240" w:lineRule="auto"/>
              <w:jc w:val="left"/>
              <w:rPr>
                <w:rFonts w:cstheme="minorHAnsi"/>
                <w:b/>
                <w:sz w:val="20"/>
                <w:szCs w:val="20"/>
              </w:rPr>
            </w:pPr>
            <w:r w:rsidRPr="009A27ED">
              <w:rPr>
                <w:rFonts w:cstheme="minorHAnsi"/>
                <w:b/>
                <w:sz w:val="20"/>
                <w:szCs w:val="20"/>
              </w:rPr>
              <w:t>BARAHONA</w:t>
            </w:r>
          </w:p>
        </w:tc>
        <w:tc>
          <w:tcPr>
            <w:tcW w:w="1742" w:type="dxa"/>
          </w:tcPr>
          <w:p w14:paraId="532B9B52"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3,076,576</w:t>
            </w:r>
          </w:p>
        </w:tc>
        <w:tc>
          <w:tcPr>
            <w:tcW w:w="0" w:type="auto"/>
          </w:tcPr>
          <w:p w14:paraId="4AF27B18"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48,477,484</w:t>
            </w:r>
          </w:p>
        </w:tc>
        <w:tc>
          <w:tcPr>
            <w:tcW w:w="0" w:type="auto"/>
          </w:tcPr>
          <w:p w14:paraId="53692D8C"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51,554,060</w:t>
            </w:r>
          </w:p>
        </w:tc>
        <w:tc>
          <w:tcPr>
            <w:tcW w:w="0" w:type="auto"/>
            <w:vAlign w:val="bottom"/>
          </w:tcPr>
          <w:p w14:paraId="050527EF" w14:textId="77777777" w:rsidR="004B496C" w:rsidRPr="009A27ED" w:rsidRDefault="004B496C" w:rsidP="00F35FD2">
            <w:pPr>
              <w:rPr>
                <w:rFonts w:eastAsia="Times New Roman"/>
                <w:sz w:val="20"/>
                <w:szCs w:val="20"/>
              </w:rPr>
            </w:pPr>
            <w:r w:rsidRPr="009A27ED">
              <w:rPr>
                <w:rFonts w:eastAsia="Times New Roman"/>
                <w:sz w:val="20"/>
                <w:szCs w:val="20"/>
              </w:rPr>
              <w:t xml:space="preserve">       5,155.41 </w:t>
            </w:r>
          </w:p>
        </w:tc>
      </w:tr>
      <w:tr w:rsidR="004B496C" w:rsidRPr="009A27ED" w14:paraId="4D402703" w14:textId="77777777" w:rsidTr="00F35FD2">
        <w:trPr>
          <w:trHeight w:val="203"/>
        </w:trPr>
        <w:tc>
          <w:tcPr>
            <w:tcW w:w="1795" w:type="dxa"/>
          </w:tcPr>
          <w:p w14:paraId="0601BBD7" w14:textId="77777777" w:rsidR="004B496C" w:rsidRPr="009A27ED" w:rsidRDefault="004B496C" w:rsidP="00F35FD2">
            <w:pPr>
              <w:pStyle w:val="Bodytext20"/>
              <w:shd w:val="clear" w:color="auto" w:fill="auto"/>
              <w:spacing w:after="0" w:line="240" w:lineRule="auto"/>
              <w:jc w:val="left"/>
              <w:rPr>
                <w:rFonts w:cstheme="minorHAnsi"/>
                <w:b/>
                <w:sz w:val="20"/>
                <w:szCs w:val="20"/>
              </w:rPr>
            </w:pPr>
            <w:r w:rsidRPr="009A27ED">
              <w:rPr>
                <w:rFonts w:cstheme="minorHAnsi"/>
                <w:b/>
                <w:sz w:val="20"/>
                <w:szCs w:val="20"/>
              </w:rPr>
              <w:t>DAJABÓN</w:t>
            </w:r>
          </w:p>
        </w:tc>
        <w:tc>
          <w:tcPr>
            <w:tcW w:w="1742" w:type="dxa"/>
          </w:tcPr>
          <w:p w14:paraId="0B8FD87D"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2,024,519</w:t>
            </w:r>
          </w:p>
        </w:tc>
        <w:tc>
          <w:tcPr>
            <w:tcW w:w="0" w:type="auto"/>
          </w:tcPr>
          <w:p w14:paraId="2870DB6C"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38,127,535</w:t>
            </w:r>
          </w:p>
        </w:tc>
        <w:tc>
          <w:tcPr>
            <w:tcW w:w="0" w:type="auto"/>
          </w:tcPr>
          <w:p w14:paraId="0C9E97ED"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40,152,054</w:t>
            </w:r>
          </w:p>
        </w:tc>
        <w:tc>
          <w:tcPr>
            <w:tcW w:w="0" w:type="auto"/>
            <w:vAlign w:val="bottom"/>
          </w:tcPr>
          <w:p w14:paraId="3B3722D5" w14:textId="77777777" w:rsidR="004B496C" w:rsidRPr="009A27ED" w:rsidRDefault="004B496C" w:rsidP="00F35FD2">
            <w:pPr>
              <w:rPr>
                <w:rFonts w:eastAsia="Times New Roman"/>
                <w:sz w:val="20"/>
                <w:szCs w:val="20"/>
              </w:rPr>
            </w:pPr>
            <w:r w:rsidRPr="009A27ED">
              <w:rPr>
                <w:rFonts w:eastAsia="Times New Roman"/>
                <w:sz w:val="20"/>
                <w:szCs w:val="20"/>
              </w:rPr>
              <w:t xml:space="preserve">       4,015.21 </w:t>
            </w:r>
          </w:p>
        </w:tc>
      </w:tr>
      <w:tr w:rsidR="004B496C" w:rsidRPr="009A27ED" w14:paraId="28F9A4EE" w14:textId="77777777" w:rsidTr="00F35FD2">
        <w:trPr>
          <w:trHeight w:val="203"/>
        </w:trPr>
        <w:tc>
          <w:tcPr>
            <w:tcW w:w="1795" w:type="dxa"/>
          </w:tcPr>
          <w:p w14:paraId="31256B91" w14:textId="77777777" w:rsidR="004B496C" w:rsidRPr="009A27ED" w:rsidRDefault="004B496C" w:rsidP="00F35FD2">
            <w:pPr>
              <w:pStyle w:val="Bodytext20"/>
              <w:shd w:val="clear" w:color="auto" w:fill="auto"/>
              <w:spacing w:after="0" w:line="240" w:lineRule="auto"/>
              <w:jc w:val="left"/>
              <w:rPr>
                <w:rFonts w:cstheme="minorHAnsi"/>
                <w:b/>
                <w:sz w:val="20"/>
                <w:szCs w:val="20"/>
              </w:rPr>
            </w:pPr>
            <w:r w:rsidRPr="009A27ED">
              <w:rPr>
                <w:rFonts w:cstheme="minorHAnsi"/>
                <w:b/>
                <w:sz w:val="20"/>
                <w:szCs w:val="20"/>
              </w:rPr>
              <w:t>DUARTE</w:t>
            </w:r>
          </w:p>
        </w:tc>
        <w:tc>
          <w:tcPr>
            <w:tcW w:w="1742" w:type="dxa"/>
          </w:tcPr>
          <w:p w14:paraId="039C6C7A"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2,839,732</w:t>
            </w:r>
          </w:p>
        </w:tc>
        <w:tc>
          <w:tcPr>
            <w:tcW w:w="0" w:type="auto"/>
          </w:tcPr>
          <w:p w14:paraId="22FA2CC9"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35,840,265</w:t>
            </w:r>
          </w:p>
        </w:tc>
        <w:tc>
          <w:tcPr>
            <w:tcW w:w="0" w:type="auto"/>
          </w:tcPr>
          <w:p w14:paraId="7294D1CA"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38,679,997</w:t>
            </w:r>
          </w:p>
        </w:tc>
        <w:tc>
          <w:tcPr>
            <w:tcW w:w="0" w:type="auto"/>
            <w:vAlign w:val="bottom"/>
          </w:tcPr>
          <w:p w14:paraId="52412A1E" w14:textId="77777777" w:rsidR="004B496C" w:rsidRPr="009A27ED" w:rsidRDefault="004B496C" w:rsidP="00F35FD2">
            <w:pPr>
              <w:rPr>
                <w:rFonts w:eastAsia="Times New Roman"/>
                <w:sz w:val="20"/>
                <w:szCs w:val="20"/>
              </w:rPr>
            </w:pPr>
            <w:r w:rsidRPr="009A27ED">
              <w:rPr>
                <w:rFonts w:eastAsia="Times New Roman"/>
                <w:sz w:val="20"/>
                <w:szCs w:val="20"/>
              </w:rPr>
              <w:t xml:space="preserve">       3,868.00 </w:t>
            </w:r>
          </w:p>
        </w:tc>
      </w:tr>
      <w:tr w:rsidR="004B496C" w:rsidRPr="009A27ED" w14:paraId="60964214" w14:textId="77777777" w:rsidTr="00F35FD2">
        <w:trPr>
          <w:trHeight w:val="203"/>
        </w:trPr>
        <w:tc>
          <w:tcPr>
            <w:tcW w:w="1795" w:type="dxa"/>
          </w:tcPr>
          <w:p w14:paraId="0C3904BF" w14:textId="77777777" w:rsidR="004B496C" w:rsidRPr="009A27ED" w:rsidRDefault="004B496C" w:rsidP="00F35FD2">
            <w:pPr>
              <w:pStyle w:val="Bodytext20"/>
              <w:shd w:val="clear" w:color="auto" w:fill="auto"/>
              <w:spacing w:after="0" w:line="240" w:lineRule="auto"/>
              <w:jc w:val="left"/>
              <w:rPr>
                <w:rFonts w:cstheme="minorHAnsi"/>
                <w:b/>
                <w:sz w:val="20"/>
                <w:szCs w:val="20"/>
              </w:rPr>
            </w:pPr>
            <w:r w:rsidRPr="009A27ED">
              <w:rPr>
                <w:rFonts w:cstheme="minorHAnsi"/>
                <w:b/>
                <w:sz w:val="20"/>
                <w:szCs w:val="20"/>
              </w:rPr>
              <w:t>EL SEIBO</w:t>
            </w:r>
          </w:p>
        </w:tc>
        <w:tc>
          <w:tcPr>
            <w:tcW w:w="1742" w:type="dxa"/>
          </w:tcPr>
          <w:p w14:paraId="0277D567"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643,824</w:t>
            </w:r>
          </w:p>
        </w:tc>
        <w:tc>
          <w:tcPr>
            <w:tcW w:w="0" w:type="auto"/>
          </w:tcPr>
          <w:p w14:paraId="4A4284DE"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18,940,281</w:t>
            </w:r>
          </w:p>
        </w:tc>
        <w:tc>
          <w:tcPr>
            <w:tcW w:w="0" w:type="auto"/>
          </w:tcPr>
          <w:p w14:paraId="74F0182E"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19,584,105</w:t>
            </w:r>
          </w:p>
        </w:tc>
        <w:tc>
          <w:tcPr>
            <w:tcW w:w="0" w:type="auto"/>
            <w:vAlign w:val="bottom"/>
          </w:tcPr>
          <w:p w14:paraId="39DCA442" w14:textId="77777777" w:rsidR="004B496C" w:rsidRPr="009A27ED" w:rsidRDefault="004B496C" w:rsidP="00F35FD2">
            <w:pPr>
              <w:rPr>
                <w:rFonts w:eastAsia="Times New Roman"/>
                <w:sz w:val="20"/>
                <w:szCs w:val="20"/>
              </w:rPr>
            </w:pPr>
            <w:r w:rsidRPr="009A27ED">
              <w:rPr>
                <w:rFonts w:eastAsia="Times New Roman"/>
                <w:sz w:val="20"/>
                <w:szCs w:val="20"/>
              </w:rPr>
              <w:t xml:space="preserve">       1,958.41 </w:t>
            </w:r>
          </w:p>
        </w:tc>
      </w:tr>
      <w:tr w:rsidR="004B496C" w:rsidRPr="009A27ED" w14:paraId="56D6856C" w14:textId="77777777" w:rsidTr="00F35FD2">
        <w:trPr>
          <w:trHeight w:val="203"/>
        </w:trPr>
        <w:tc>
          <w:tcPr>
            <w:tcW w:w="1795" w:type="dxa"/>
          </w:tcPr>
          <w:p w14:paraId="7F71EBC1" w14:textId="77777777" w:rsidR="004B496C" w:rsidRPr="009A27ED" w:rsidRDefault="004B496C" w:rsidP="00F35FD2">
            <w:pPr>
              <w:pStyle w:val="Bodytext20"/>
              <w:shd w:val="clear" w:color="auto" w:fill="auto"/>
              <w:spacing w:after="0" w:line="240" w:lineRule="auto"/>
              <w:jc w:val="left"/>
              <w:rPr>
                <w:rFonts w:cstheme="minorHAnsi"/>
                <w:b/>
                <w:sz w:val="20"/>
                <w:szCs w:val="20"/>
              </w:rPr>
            </w:pPr>
            <w:r w:rsidRPr="009A27ED">
              <w:rPr>
                <w:rFonts w:cstheme="minorHAnsi"/>
                <w:b/>
                <w:sz w:val="20"/>
                <w:szCs w:val="20"/>
              </w:rPr>
              <w:t>ELÍAS PIÑA</w:t>
            </w:r>
          </w:p>
        </w:tc>
        <w:tc>
          <w:tcPr>
            <w:tcW w:w="1742" w:type="dxa"/>
          </w:tcPr>
          <w:p w14:paraId="506E39EE"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2,955,101</w:t>
            </w:r>
          </w:p>
        </w:tc>
        <w:tc>
          <w:tcPr>
            <w:tcW w:w="0" w:type="auto"/>
          </w:tcPr>
          <w:p w14:paraId="2FB1522D"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36,211,591</w:t>
            </w:r>
          </w:p>
        </w:tc>
        <w:tc>
          <w:tcPr>
            <w:tcW w:w="0" w:type="auto"/>
          </w:tcPr>
          <w:p w14:paraId="40AA65B5"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39,166,692</w:t>
            </w:r>
          </w:p>
        </w:tc>
        <w:tc>
          <w:tcPr>
            <w:tcW w:w="0" w:type="auto"/>
            <w:vAlign w:val="bottom"/>
          </w:tcPr>
          <w:p w14:paraId="640CB707" w14:textId="77777777" w:rsidR="004B496C" w:rsidRPr="009A27ED" w:rsidRDefault="004B496C" w:rsidP="00F35FD2">
            <w:pPr>
              <w:rPr>
                <w:rFonts w:eastAsia="Times New Roman"/>
                <w:sz w:val="20"/>
                <w:szCs w:val="20"/>
              </w:rPr>
            </w:pPr>
            <w:r w:rsidRPr="009A27ED">
              <w:rPr>
                <w:rFonts w:eastAsia="Times New Roman"/>
                <w:sz w:val="20"/>
                <w:szCs w:val="20"/>
              </w:rPr>
              <w:t xml:space="preserve">       3,916.67 </w:t>
            </w:r>
          </w:p>
        </w:tc>
      </w:tr>
      <w:tr w:rsidR="004B496C" w:rsidRPr="009A27ED" w14:paraId="4E61D584" w14:textId="77777777" w:rsidTr="00F35FD2">
        <w:trPr>
          <w:trHeight w:val="203"/>
        </w:trPr>
        <w:tc>
          <w:tcPr>
            <w:tcW w:w="1795" w:type="dxa"/>
          </w:tcPr>
          <w:p w14:paraId="7EC96010" w14:textId="77777777" w:rsidR="004B496C" w:rsidRPr="009A27ED" w:rsidRDefault="004B496C" w:rsidP="00F35FD2">
            <w:pPr>
              <w:pStyle w:val="Bodytext20"/>
              <w:shd w:val="clear" w:color="auto" w:fill="auto"/>
              <w:spacing w:after="0" w:line="240" w:lineRule="auto"/>
              <w:jc w:val="left"/>
              <w:rPr>
                <w:rFonts w:cstheme="minorHAnsi"/>
                <w:b/>
                <w:sz w:val="20"/>
                <w:szCs w:val="20"/>
              </w:rPr>
            </w:pPr>
            <w:r w:rsidRPr="009A27ED">
              <w:rPr>
                <w:rFonts w:cstheme="minorHAnsi"/>
                <w:b/>
                <w:sz w:val="20"/>
                <w:szCs w:val="20"/>
              </w:rPr>
              <w:t>ESPAILLAT</w:t>
            </w:r>
          </w:p>
        </w:tc>
        <w:tc>
          <w:tcPr>
            <w:tcW w:w="1742" w:type="dxa"/>
          </w:tcPr>
          <w:p w14:paraId="0E77523B"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2,610,931</w:t>
            </w:r>
          </w:p>
        </w:tc>
        <w:tc>
          <w:tcPr>
            <w:tcW w:w="0" w:type="auto"/>
          </w:tcPr>
          <w:p w14:paraId="129A6433"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20,127,928</w:t>
            </w:r>
          </w:p>
        </w:tc>
        <w:tc>
          <w:tcPr>
            <w:tcW w:w="0" w:type="auto"/>
          </w:tcPr>
          <w:p w14:paraId="4802A5EF"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22,738,859</w:t>
            </w:r>
          </w:p>
        </w:tc>
        <w:tc>
          <w:tcPr>
            <w:tcW w:w="0" w:type="auto"/>
            <w:vAlign w:val="bottom"/>
          </w:tcPr>
          <w:p w14:paraId="28A49E83" w14:textId="77777777" w:rsidR="004B496C" w:rsidRPr="009A27ED" w:rsidRDefault="004B496C" w:rsidP="00F35FD2">
            <w:pPr>
              <w:rPr>
                <w:rFonts w:eastAsia="Times New Roman"/>
                <w:sz w:val="20"/>
                <w:szCs w:val="20"/>
              </w:rPr>
            </w:pPr>
            <w:r w:rsidRPr="009A27ED">
              <w:rPr>
                <w:rFonts w:eastAsia="Times New Roman"/>
                <w:sz w:val="20"/>
                <w:szCs w:val="20"/>
              </w:rPr>
              <w:t xml:space="preserve">       2,273.89 </w:t>
            </w:r>
          </w:p>
        </w:tc>
      </w:tr>
      <w:tr w:rsidR="004B496C" w:rsidRPr="009A27ED" w14:paraId="1D147D52" w14:textId="77777777" w:rsidTr="00F35FD2">
        <w:trPr>
          <w:trHeight w:val="203"/>
        </w:trPr>
        <w:tc>
          <w:tcPr>
            <w:tcW w:w="1795" w:type="dxa"/>
          </w:tcPr>
          <w:p w14:paraId="1A48FF33" w14:textId="77777777" w:rsidR="004B496C" w:rsidRPr="009A27ED" w:rsidRDefault="004B496C" w:rsidP="00F35FD2">
            <w:pPr>
              <w:pStyle w:val="Bodytext20"/>
              <w:shd w:val="clear" w:color="auto" w:fill="auto"/>
              <w:spacing w:after="0" w:line="240" w:lineRule="auto"/>
              <w:jc w:val="left"/>
              <w:rPr>
                <w:rFonts w:cstheme="minorHAnsi"/>
                <w:b/>
                <w:sz w:val="20"/>
                <w:szCs w:val="20"/>
              </w:rPr>
            </w:pPr>
            <w:r w:rsidRPr="009A27ED">
              <w:rPr>
                <w:rFonts w:cstheme="minorHAnsi"/>
                <w:b/>
                <w:sz w:val="20"/>
                <w:szCs w:val="20"/>
              </w:rPr>
              <w:t xml:space="preserve">HATO MAYOR </w:t>
            </w:r>
          </w:p>
        </w:tc>
        <w:tc>
          <w:tcPr>
            <w:tcW w:w="1742" w:type="dxa"/>
          </w:tcPr>
          <w:p w14:paraId="7D72FD9F"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1,321,494</w:t>
            </w:r>
          </w:p>
        </w:tc>
        <w:tc>
          <w:tcPr>
            <w:tcW w:w="0" w:type="auto"/>
          </w:tcPr>
          <w:p w14:paraId="3F78C282"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14,269,443</w:t>
            </w:r>
          </w:p>
        </w:tc>
        <w:tc>
          <w:tcPr>
            <w:tcW w:w="0" w:type="auto"/>
          </w:tcPr>
          <w:p w14:paraId="16CAD7E9"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15,590,937</w:t>
            </w:r>
          </w:p>
        </w:tc>
        <w:tc>
          <w:tcPr>
            <w:tcW w:w="0" w:type="auto"/>
            <w:vAlign w:val="bottom"/>
          </w:tcPr>
          <w:p w14:paraId="7EC9C195" w14:textId="77777777" w:rsidR="004B496C" w:rsidRPr="009A27ED" w:rsidRDefault="004B496C" w:rsidP="00F35FD2">
            <w:pPr>
              <w:rPr>
                <w:rFonts w:eastAsia="Times New Roman"/>
                <w:sz w:val="20"/>
                <w:szCs w:val="20"/>
              </w:rPr>
            </w:pPr>
            <w:r w:rsidRPr="009A27ED">
              <w:rPr>
                <w:rFonts w:eastAsia="Times New Roman"/>
                <w:sz w:val="20"/>
                <w:szCs w:val="20"/>
              </w:rPr>
              <w:t xml:space="preserve">       1,559.09 </w:t>
            </w:r>
          </w:p>
        </w:tc>
      </w:tr>
      <w:tr w:rsidR="004B496C" w:rsidRPr="009A27ED" w14:paraId="716E852A" w14:textId="77777777" w:rsidTr="00F35FD2">
        <w:trPr>
          <w:trHeight w:val="203"/>
        </w:trPr>
        <w:tc>
          <w:tcPr>
            <w:tcW w:w="1795" w:type="dxa"/>
          </w:tcPr>
          <w:p w14:paraId="361886EF" w14:textId="77777777" w:rsidR="004B496C" w:rsidRPr="009A27ED" w:rsidRDefault="004B496C" w:rsidP="00F35FD2">
            <w:pPr>
              <w:pStyle w:val="Bodytext20"/>
              <w:shd w:val="clear" w:color="auto" w:fill="auto"/>
              <w:spacing w:after="0" w:line="240" w:lineRule="auto"/>
              <w:jc w:val="left"/>
              <w:rPr>
                <w:rFonts w:cstheme="minorHAnsi"/>
                <w:b/>
                <w:sz w:val="20"/>
                <w:szCs w:val="20"/>
              </w:rPr>
            </w:pPr>
            <w:r w:rsidRPr="009A27ED">
              <w:rPr>
                <w:rFonts w:cstheme="minorHAnsi"/>
                <w:b/>
                <w:sz w:val="20"/>
                <w:szCs w:val="20"/>
              </w:rPr>
              <w:t>HERMANAS MIRABAL</w:t>
            </w:r>
          </w:p>
        </w:tc>
        <w:tc>
          <w:tcPr>
            <w:tcW w:w="1742" w:type="dxa"/>
          </w:tcPr>
          <w:p w14:paraId="65FD57FD"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1,237,190</w:t>
            </w:r>
          </w:p>
        </w:tc>
        <w:tc>
          <w:tcPr>
            <w:tcW w:w="0" w:type="auto"/>
          </w:tcPr>
          <w:p w14:paraId="43256498"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7,776,592</w:t>
            </w:r>
          </w:p>
        </w:tc>
        <w:tc>
          <w:tcPr>
            <w:tcW w:w="0" w:type="auto"/>
          </w:tcPr>
          <w:p w14:paraId="0C90F356"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9,013,782</w:t>
            </w:r>
          </w:p>
        </w:tc>
        <w:tc>
          <w:tcPr>
            <w:tcW w:w="0" w:type="auto"/>
            <w:vAlign w:val="bottom"/>
          </w:tcPr>
          <w:p w14:paraId="2FD3F519" w14:textId="77777777" w:rsidR="004B496C" w:rsidRPr="009A27ED" w:rsidRDefault="004B496C" w:rsidP="00F35FD2">
            <w:pPr>
              <w:rPr>
                <w:rFonts w:eastAsia="Times New Roman"/>
                <w:sz w:val="20"/>
                <w:szCs w:val="20"/>
              </w:rPr>
            </w:pPr>
            <w:r w:rsidRPr="009A27ED">
              <w:rPr>
                <w:rFonts w:eastAsia="Times New Roman"/>
                <w:sz w:val="20"/>
                <w:szCs w:val="20"/>
              </w:rPr>
              <w:t xml:space="preserve">           901.38 </w:t>
            </w:r>
          </w:p>
        </w:tc>
      </w:tr>
      <w:tr w:rsidR="004B496C" w:rsidRPr="009A27ED" w14:paraId="7D78BCE0" w14:textId="77777777" w:rsidTr="00F35FD2">
        <w:trPr>
          <w:trHeight w:val="203"/>
        </w:trPr>
        <w:tc>
          <w:tcPr>
            <w:tcW w:w="1795" w:type="dxa"/>
          </w:tcPr>
          <w:p w14:paraId="37F7883B" w14:textId="77777777" w:rsidR="004B496C" w:rsidRPr="009A27ED" w:rsidRDefault="004B496C" w:rsidP="00F35FD2">
            <w:pPr>
              <w:pStyle w:val="Bodytext20"/>
              <w:shd w:val="clear" w:color="auto" w:fill="auto"/>
              <w:spacing w:after="0" w:line="240" w:lineRule="auto"/>
              <w:jc w:val="left"/>
              <w:rPr>
                <w:rFonts w:cstheme="minorHAnsi"/>
                <w:b/>
                <w:sz w:val="20"/>
                <w:szCs w:val="20"/>
              </w:rPr>
            </w:pPr>
            <w:r w:rsidRPr="009A27ED">
              <w:rPr>
                <w:rFonts w:cstheme="minorHAnsi"/>
                <w:b/>
                <w:sz w:val="20"/>
                <w:szCs w:val="20"/>
              </w:rPr>
              <w:t>INDEPENDENCIA</w:t>
            </w:r>
          </w:p>
        </w:tc>
        <w:tc>
          <w:tcPr>
            <w:tcW w:w="1742" w:type="dxa"/>
          </w:tcPr>
          <w:p w14:paraId="2E320F89"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9,277,904</w:t>
            </w:r>
          </w:p>
        </w:tc>
        <w:tc>
          <w:tcPr>
            <w:tcW w:w="0" w:type="auto"/>
          </w:tcPr>
          <w:p w14:paraId="518AB4EA"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270,281,751</w:t>
            </w:r>
          </w:p>
        </w:tc>
        <w:tc>
          <w:tcPr>
            <w:tcW w:w="0" w:type="auto"/>
          </w:tcPr>
          <w:p w14:paraId="514B4D0C"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279,559,655</w:t>
            </w:r>
          </w:p>
        </w:tc>
        <w:tc>
          <w:tcPr>
            <w:tcW w:w="0" w:type="auto"/>
            <w:vAlign w:val="bottom"/>
          </w:tcPr>
          <w:p w14:paraId="50D7AF9B" w14:textId="77777777" w:rsidR="004B496C" w:rsidRPr="009A27ED" w:rsidRDefault="004B496C" w:rsidP="00F35FD2">
            <w:pPr>
              <w:rPr>
                <w:rFonts w:eastAsia="Times New Roman"/>
                <w:sz w:val="20"/>
                <w:szCs w:val="20"/>
              </w:rPr>
            </w:pPr>
            <w:r w:rsidRPr="009A27ED">
              <w:rPr>
                <w:rFonts w:eastAsia="Times New Roman"/>
                <w:sz w:val="20"/>
                <w:szCs w:val="20"/>
              </w:rPr>
              <w:t xml:space="preserve">     27,955.97 </w:t>
            </w:r>
          </w:p>
        </w:tc>
      </w:tr>
      <w:tr w:rsidR="004B496C" w:rsidRPr="009A27ED" w14:paraId="00A9E7C1" w14:textId="77777777" w:rsidTr="00F35FD2">
        <w:trPr>
          <w:trHeight w:val="203"/>
        </w:trPr>
        <w:tc>
          <w:tcPr>
            <w:tcW w:w="1795" w:type="dxa"/>
          </w:tcPr>
          <w:p w14:paraId="1BF2C8F9" w14:textId="77777777" w:rsidR="004B496C" w:rsidRPr="009A27ED" w:rsidRDefault="004B496C" w:rsidP="00F35FD2">
            <w:pPr>
              <w:pStyle w:val="Bodytext20"/>
              <w:shd w:val="clear" w:color="auto" w:fill="auto"/>
              <w:spacing w:after="0" w:line="240" w:lineRule="auto"/>
              <w:jc w:val="left"/>
              <w:rPr>
                <w:rFonts w:cstheme="minorHAnsi"/>
                <w:b/>
                <w:sz w:val="20"/>
                <w:szCs w:val="20"/>
              </w:rPr>
            </w:pPr>
            <w:r w:rsidRPr="009A27ED">
              <w:rPr>
                <w:rFonts w:cstheme="minorHAnsi"/>
                <w:b/>
                <w:sz w:val="20"/>
                <w:szCs w:val="20"/>
              </w:rPr>
              <w:t>LA ALTAGRACIA</w:t>
            </w:r>
          </w:p>
        </w:tc>
        <w:tc>
          <w:tcPr>
            <w:tcW w:w="1742" w:type="dxa"/>
          </w:tcPr>
          <w:p w14:paraId="4C14CC00"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818,318</w:t>
            </w:r>
          </w:p>
        </w:tc>
        <w:tc>
          <w:tcPr>
            <w:tcW w:w="0" w:type="auto"/>
          </w:tcPr>
          <w:p w14:paraId="54E30A25"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29,772,303</w:t>
            </w:r>
          </w:p>
        </w:tc>
        <w:tc>
          <w:tcPr>
            <w:tcW w:w="0" w:type="auto"/>
          </w:tcPr>
          <w:p w14:paraId="250907BB"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30,590,621</w:t>
            </w:r>
          </w:p>
        </w:tc>
        <w:tc>
          <w:tcPr>
            <w:tcW w:w="0" w:type="auto"/>
            <w:vAlign w:val="bottom"/>
          </w:tcPr>
          <w:p w14:paraId="667A660D" w14:textId="77777777" w:rsidR="004B496C" w:rsidRPr="009A27ED" w:rsidRDefault="004B496C" w:rsidP="00F35FD2">
            <w:pPr>
              <w:rPr>
                <w:rFonts w:eastAsia="Times New Roman"/>
                <w:sz w:val="20"/>
                <w:szCs w:val="20"/>
              </w:rPr>
            </w:pPr>
            <w:r w:rsidRPr="009A27ED">
              <w:rPr>
                <w:rFonts w:eastAsia="Times New Roman"/>
                <w:sz w:val="20"/>
                <w:szCs w:val="20"/>
              </w:rPr>
              <w:t xml:space="preserve">       3,059.06 </w:t>
            </w:r>
          </w:p>
        </w:tc>
      </w:tr>
      <w:tr w:rsidR="004B496C" w:rsidRPr="009A27ED" w14:paraId="1A77C791" w14:textId="77777777" w:rsidTr="00F35FD2">
        <w:trPr>
          <w:trHeight w:val="203"/>
        </w:trPr>
        <w:tc>
          <w:tcPr>
            <w:tcW w:w="1795" w:type="dxa"/>
          </w:tcPr>
          <w:p w14:paraId="112C813A" w14:textId="77777777" w:rsidR="004B496C" w:rsidRPr="009A27ED" w:rsidRDefault="004B496C" w:rsidP="00F35FD2">
            <w:pPr>
              <w:pStyle w:val="Bodytext20"/>
              <w:shd w:val="clear" w:color="auto" w:fill="auto"/>
              <w:spacing w:after="0" w:line="240" w:lineRule="auto"/>
              <w:jc w:val="left"/>
              <w:rPr>
                <w:rFonts w:cstheme="minorHAnsi"/>
                <w:b/>
                <w:sz w:val="20"/>
                <w:szCs w:val="20"/>
              </w:rPr>
            </w:pPr>
            <w:r w:rsidRPr="009A27ED">
              <w:rPr>
                <w:rFonts w:cstheme="minorHAnsi"/>
                <w:b/>
                <w:sz w:val="20"/>
                <w:szCs w:val="20"/>
              </w:rPr>
              <w:t>LA ROMANA</w:t>
            </w:r>
          </w:p>
        </w:tc>
        <w:tc>
          <w:tcPr>
            <w:tcW w:w="1742" w:type="dxa"/>
          </w:tcPr>
          <w:p w14:paraId="736644B1"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2,010,547</w:t>
            </w:r>
          </w:p>
        </w:tc>
        <w:tc>
          <w:tcPr>
            <w:tcW w:w="0" w:type="auto"/>
          </w:tcPr>
          <w:p w14:paraId="35662F9A"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29,659,697</w:t>
            </w:r>
          </w:p>
        </w:tc>
        <w:tc>
          <w:tcPr>
            <w:tcW w:w="0" w:type="auto"/>
          </w:tcPr>
          <w:p w14:paraId="2C3CFB64"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31,670,244</w:t>
            </w:r>
          </w:p>
        </w:tc>
        <w:tc>
          <w:tcPr>
            <w:tcW w:w="0" w:type="auto"/>
            <w:vAlign w:val="bottom"/>
          </w:tcPr>
          <w:p w14:paraId="3A84FA01" w14:textId="77777777" w:rsidR="004B496C" w:rsidRPr="009A27ED" w:rsidRDefault="004B496C" w:rsidP="00F35FD2">
            <w:pPr>
              <w:rPr>
                <w:rFonts w:eastAsia="Times New Roman"/>
                <w:sz w:val="20"/>
                <w:szCs w:val="20"/>
              </w:rPr>
            </w:pPr>
            <w:r w:rsidRPr="009A27ED">
              <w:rPr>
                <w:rFonts w:eastAsia="Times New Roman"/>
                <w:sz w:val="20"/>
                <w:szCs w:val="20"/>
              </w:rPr>
              <w:t xml:space="preserve">       3,167.02 </w:t>
            </w:r>
          </w:p>
        </w:tc>
      </w:tr>
      <w:tr w:rsidR="004B496C" w:rsidRPr="009A27ED" w14:paraId="30A1A466" w14:textId="77777777" w:rsidTr="00F35FD2">
        <w:trPr>
          <w:trHeight w:val="203"/>
        </w:trPr>
        <w:tc>
          <w:tcPr>
            <w:tcW w:w="1795" w:type="dxa"/>
          </w:tcPr>
          <w:p w14:paraId="002FB8EE" w14:textId="77777777" w:rsidR="004B496C" w:rsidRPr="009A27ED" w:rsidRDefault="004B496C" w:rsidP="00F35FD2">
            <w:pPr>
              <w:pStyle w:val="Bodytext20"/>
              <w:shd w:val="clear" w:color="auto" w:fill="auto"/>
              <w:spacing w:after="0" w:line="240" w:lineRule="auto"/>
              <w:jc w:val="left"/>
              <w:rPr>
                <w:rFonts w:cstheme="minorHAnsi"/>
                <w:b/>
                <w:sz w:val="20"/>
                <w:szCs w:val="20"/>
              </w:rPr>
            </w:pPr>
            <w:r w:rsidRPr="009A27ED">
              <w:rPr>
                <w:rFonts w:cstheme="minorHAnsi"/>
                <w:b/>
                <w:sz w:val="20"/>
                <w:szCs w:val="20"/>
              </w:rPr>
              <w:t>LA VEGA</w:t>
            </w:r>
          </w:p>
        </w:tc>
        <w:tc>
          <w:tcPr>
            <w:tcW w:w="1742" w:type="dxa"/>
          </w:tcPr>
          <w:p w14:paraId="41D63F3A"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1,661,989</w:t>
            </w:r>
          </w:p>
        </w:tc>
        <w:tc>
          <w:tcPr>
            <w:tcW w:w="0" w:type="auto"/>
          </w:tcPr>
          <w:p w14:paraId="534479D3"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21,947,949</w:t>
            </w:r>
          </w:p>
        </w:tc>
        <w:tc>
          <w:tcPr>
            <w:tcW w:w="0" w:type="auto"/>
          </w:tcPr>
          <w:p w14:paraId="05026F25"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23,609,939</w:t>
            </w:r>
          </w:p>
        </w:tc>
        <w:tc>
          <w:tcPr>
            <w:tcW w:w="0" w:type="auto"/>
            <w:vAlign w:val="bottom"/>
          </w:tcPr>
          <w:p w14:paraId="496E899A" w14:textId="77777777" w:rsidR="004B496C" w:rsidRPr="009A27ED" w:rsidRDefault="004B496C" w:rsidP="00F35FD2">
            <w:pPr>
              <w:rPr>
                <w:rFonts w:eastAsia="Times New Roman"/>
                <w:sz w:val="20"/>
                <w:szCs w:val="20"/>
              </w:rPr>
            </w:pPr>
            <w:r w:rsidRPr="009A27ED">
              <w:rPr>
                <w:rFonts w:eastAsia="Times New Roman"/>
                <w:sz w:val="20"/>
                <w:szCs w:val="20"/>
              </w:rPr>
              <w:t xml:space="preserve">       2,360.99 </w:t>
            </w:r>
          </w:p>
        </w:tc>
      </w:tr>
      <w:tr w:rsidR="004B496C" w:rsidRPr="009A27ED" w14:paraId="0F302885" w14:textId="77777777" w:rsidTr="00F35FD2">
        <w:trPr>
          <w:trHeight w:val="203"/>
        </w:trPr>
        <w:tc>
          <w:tcPr>
            <w:tcW w:w="1795" w:type="dxa"/>
          </w:tcPr>
          <w:p w14:paraId="442CB386" w14:textId="77777777" w:rsidR="004B496C" w:rsidRPr="009A27ED" w:rsidRDefault="004B496C" w:rsidP="00F35FD2">
            <w:pPr>
              <w:pStyle w:val="Bodytext20"/>
              <w:shd w:val="clear" w:color="auto" w:fill="auto"/>
              <w:spacing w:after="0" w:line="240" w:lineRule="auto"/>
              <w:jc w:val="left"/>
              <w:rPr>
                <w:rFonts w:cstheme="minorHAnsi"/>
                <w:b/>
                <w:sz w:val="20"/>
                <w:szCs w:val="20"/>
              </w:rPr>
            </w:pPr>
            <w:r w:rsidRPr="009A27ED">
              <w:rPr>
                <w:rFonts w:cstheme="minorHAnsi"/>
                <w:b/>
                <w:sz w:val="20"/>
                <w:szCs w:val="20"/>
              </w:rPr>
              <w:t xml:space="preserve">MARÍA TRINIDAD SÁNCHEZ </w:t>
            </w:r>
          </w:p>
        </w:tc>
        <w:tc>
          <w:tcPr>
            <w:tcW w:w="1742" w:type="dxa"/>
          </w:tcPr>
          <w:p w14:paraId="01EFE6B0"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3,304,811</w:t>
            </w:r>
          </w:p>
        </w:tc>
        <w:tc>
          <w:tcPr>
            <w:tcW w:w="0" w:type="auto"/>
          </w:tcPr>
          <w:p w14:paraId="6B719A98"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21,625,551</w:t>
            </w:r>
          </w:p>
        </w:tc>
        <w:tc>
          <w:tcPr>
            <w:tcW w:w="0" w:type="auto"/>
          </w:tcPr>
          <w:p w14:paraId="00449CF4"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24,930,362</w:t>
            </w:r>
          </w:p>
        </w:tc>
        <w:tc>
          <w:tcPr>
            <w:tcW w:w="0" w:type="auto"/>
            <w:vAlign w:val="bottom"/>
          </w:tcPr>
          <w:p w14:paraId="6345FE0D" w14:textId="77777777" w:rsidR="004B496C" w:rsidRPr="009A27ED" w:rsidRDefault="004B496C" w:rsidP="00F35FD2">
            <w:pPr>
              <w:rPr>
                <w:rFonts w:eastAsia="Times New Roman"/>
                <w:sz w:val="20"/>
                <w:szCs w:val="20"/>
              </w:rPr>
            </w:pPr>
            <w:r w:rsidRPr="009A27ED">
              <w:rPr>
                <w:rFonts w:eastAsia="Times New Roman"/>
                <w:sz w:val="20"/>
                <w:szCs w:val="20"/>
              </w:rPr>
              <w:t xml:space="preserve">       2,493.04 </w:t>
            </w:r>
          </w:p>
        </w:tc>
      </w:tr>
      <w:tr w:rsidR="004B496C" w:rsidRPr="009A27ED" w14:paraId="46DBF39A" w14:textId="77777777" w:rsidTr="00F35FD2">
        <w:trPr>
          <w:trHeight w:val="203"/>
        </w:trPr>
        <w:tc>
          <w:tcPr>
            <w:tcW w:w="1795" w:type="dxa"/>
          </w:tcPr>
          <w:p w14:paraId="458F387A" w14:textId="77777777" w:rsidR="004B496C" w:rsidRPr="009A27ED" w:rsidRDefault="004B496C" w:rsidP="00F35FD2">
            <w:pPr>
              <w:pStyle w:val="Bodytext20"/>
              <w:shd w:val="clear" w:color="auto" w:fill="auto"/>
              <w:spacing w:after="0" w:line="240" w:lineRule="auto"/>
              <w:jc w:val="left"/>
              <w:rPr>
                <w:rFonts w:cstheme="minorHAnsi"/>
                <w:b/>
                <w:sz w:val="20"/>
                <w:szCs w:val="20"/>
              </w:rPr>
            </w:pPr>
            <w:r w:rsidRPr="009A27ED">
              <w:rPr>
                <w:rFonts w:cstheme="minorHAnsi"/>
                <w:b/>
                <w:sz w:val="20"/>
                <w:szCs w:val="20"/>
              </w:rPr>
              <w:t>MONSEÑOR NOUEL</w:t>
            </w:r>
          </w:p>
        </w:tc>
        <w:tc>
          <w:tcPr>
            <w:tcW w:w="1742" w:type="dxa"/>
          </w:tcPr>
          <w:p w14:paraId="22768912"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2,205,040</w:t>
            </w:r>
          </w:p>
        </w:tc>
        <w:tc>
          <w:tcPr>
            <w:tcW w:w="0" w:type="auto"/>
          </w:tcPr>
          <w:p w14:paraId="38754ED5"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21,738,759</w:t>
            </w:r>
          </w:p>
        </w:tc>
        <w:tc>
          <w:tcPr>
            <w:tcW w:w="0" w:type="auto"/>
          </w:tcPr>
          <w:p w14:paraId="075E0C50"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23,943,799</w:t>
            </w:r>
          </w:p>
        </w:tc>
        <w:tc>
          <w:tcPr>
            <w:tcW w:w="0" w:type="auto"/>
            <w:vAlign w:val="bottom"/>
          </w:tcPr>
          <w:p w14:paraId="3E0AFEC0" w14:textId="77777777" w:rsidR="004B496C" w:rsidRPr="009A27ED" w:rsidRDefault="004B496C" w:rsidP="00F35FD2">
            <w:pPr>
              <w:rPr>
                <w:rFonts w:eastAsia="Times New Roman"/>
                <w:sz w:val="20"/>
                <w:szCs w:val="20"/>
              </w:rPr>
            </w:pPr>
            <w:r w:rsidRPr="009A27ED">
              <w:rPr>
                <w:rFonts w:eastAsia="Times New Roman"/>
                <w:sz w:val="20"/>
                <w:szCs w:val="20"/>
              </w:rPr>
              <w:t xml:space="preserve">       2,394.38 </w:t>
            </w:r>
          </w:p>
        </w:tc>
      </w:tr>
      <w:tr w:rsidR="004B496C" w:rsidRPr="009A27ED" w14:paraId="457280F3" w14:textId="77777777" w:rsidTr="00F35FD2">
        <w:trPr>
          <w:trHeight w:val="203"/>
        </w:trPr>
        <w:tc>
          <w:tcPr>
            <w:tcW w:w="1795" w:type="dxa"/>
          </w:tcPr>
          <w:p w14:paraId="7F1D2B57" w14:textId="77777777" w:rsidR="004B496C" w:rsidRPr="009A27ED" w:rsidRDefault="004B496C" w:rsidP="00F35FD2">
            <w:pPr>
              <w:pStyle w:val="Bodytext20"/>
              <w:shd w:val="clear" w:color="auto" w:fill="auto"/>
              <w:spacing w:after="0" w:line="240" w:lineRule="auto"/>
              <w:jc w:val="left"/>
              <w:rPr>
                <w:rFonts w:cstheme="minorHAnsi"/>
                <w:b/>
                <w:sz w:val="20"/>
                <w:szCs w:val="20"/>
              </w:rPr>
            </w:pPr>
            <w:r w:rsidRPr="009A27ED">
              <w:rPr>
                <w:rFonts w:cstheme="minorHAnsi"/>
                <w:b/>
                <w:sz w:val="20"/>
                <w:szCs w:val="20"/>
              </w:rPr>
              <w:lastRenderedPageBreak/>
              <w:t>MONTE CRISTI</w:t>
            </w:r>
          </w:p>
        </w:tc>
        <w:tc>
          <w:tcPr>
            <w:tcW w:w="1742" w:type="dxa"/>
          </w:tcPr>
          <w:p w14:paraId="1D14A4FD"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3,470,113</w:t>
            </w:r>
          </w:p>
        </w:tc>
        <w:tc>
          <w:tcPr>
            <w:tcW w:w="0" w:type="auto"/>
          </w:tcPr>
          <w:p w14:paraId="3C0A4578"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135,052,103</w:t>
            </w:r>
          </w:p>
        </w:tc>
        <w:tc>
          <w:tcPr>
            <w:tcW w:w="0" w:type="auto"/>
          </w:tcPr>
          <w:p w14:paraId="7117D1FA"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138,522,216</w:t>
            </w:r>
          </w:p>
        </w:tc>
        <w:tc>
          <w:tcPr>
            <w:tcW w:w="0" w:type="auto"/>
            <w:vAlign w:val="bottom"/>
          </w:tcPr>
          <w:p w14:paraId="39DF454D" w14:textId="77777777" w:rsidR="004B496C" w:rsidRPr="009A27ED" w:rsidRDefault="004B496C" w:rsidP="00F35FD2">
            <w:pPr>
              <w:rPr>
                <w:rFonts w:eastAsia="Times New Roman"/>
                <w:sz w:val="20"/>
                <w:szCs w:val="20"/>
              </w:rPr>
            </w:pPr>
            <w:r w:rsidRPr="009A27ED">
              <w:rPr>
                <w:rFonts w:eastAsia="Times New Roman"/>
                <w:sz w:val="20"/>
                <w:szCs w:val="20"/>
              </w:rPr>
              <w:t xml:space="preserve">     13,852.22 </w:t>
            </w:r>
          </w:p>
        </w:tc>
      </w:tr>
      <w:tr w:rsidR="004B496C" w:rsidRPr="009A27ED" w14:paraId="461B0994" w14:textId="77777777" w:rsidTr="00F35FD2">
        <w:trPr>
          <w:trHeight w:val="203"/>
        </w:trPr>
        <w:tc>
          <w:tcPr>
            <w:tcW w:w="1795" w:type="dxa"/>
          </w:tcPr>
          <w:p w14:paraId="54C9CC48" w14:textId="77777777" w:rsidR="004B496C" w:rsidRPr="009A27ED" w:rsidRDefault="004B496C" w:rsidP="00F35FD2">
            <w:pPr>
              <w:pStyle w:val="Bodytext20"/>
              <w:shd w:val="clear" w:color="auto" w:fill="auto"/>
              <w:spacing w:after="0" w:line="240" w:lineRule="auto"/>
              <w:jc w:val="left"/>
              <w:rPr>
                <w:rFonts w:cstheme="minorHAnsi"/>
                <w:b/>
                <w:sz w:val="20"/>
                <w:szCs w:val="20"/>
              </w:rPr>
            </w:pPr>
            <w:r w:rsidRPr="009A27ED">
              <w:rPr>
                <w:rFonts w:cstheme="minorHAnsi"/>
                <w:b/>
                <w:sz w:val="20"/>
                <w:szCs w:val="20"/>
              </w:rPr>
              <w:t>MONTE PLATA</w:t>
            </w:r>
          </w:p>
        </w:tc>
        <w:tc>
          <w:tcPr>
            <w:tcW w:w="1742" w:type="dxa"/>
          </w:tcPr>
          <w:p w14:paraId="5CAED679"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2,259,134</w:t>
            </w:r>
          </w:p>
        </w:tc>
        <w:tc>
          <w:tcPr>
            <w:tcW w:w="0" w:type="auto"/>
          </w:tcPr>
          <w:p w14:paraId="3A66C483"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34,804,418</w:t>
            </w:r>
          </w:p>
        </w:tc>
        <w:tc>
          <w:tcPr>
            <w:tcW w:w="0" w:type="auto"/>
          </w:tcPr>
          <w:p w14:paraId="138DA64A"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37,063,552</w:t>
            </w:r>
          </w:p>
        </w:tc>
        <w:tc>
          <w:tcPr>
            <w:tcW w:w="0" w:type="auto"/>
            <w:vAlign w:val="bottom"/>
          </w:tcPr>
          <w:p w14:paraId="3C313069" w14:textId="77777777" w:rsidR="004B496C" w:rsidRPr="009A27ED" w:rsidRDefault="004B496C" w:rsidP="00F35FD2">
            <w:pPr>
              <w:rPr>
                <w:rFonts w:eastAsia="Times New Roman"/>
                <w:sz w:val="20"/>
                <w:szCs w:val="20"/>
              </w:rPr>
            </w:pPr>
            <w:r w:rsidRPr="009A27ED">
              <w:rPr>
                <w:rFonts w:eastAsia="Times New Roman"/>
                <w:sz w:val="20"/>
                <w:szCs w:val="20"/>
              </w:rPr>
              <w:t xml:space="preserve">       3,706.36 </w:t>
            </w:r>
          </w:p>
        </w:tc>
      </w:tr>
      <w:tr w:rsidR="004B496C" w:rsidRPr="009A27ED" w14:paraId="79236544" w14:textId="77777777" w:rsidTr="00F35FD2">
        <w:trPr>
          <w:trHeight w:val="203"/>
        </w:trPr>
        <w:tc>
          <w:tcPr>
            <w:tcW w:w="1795" w:type="dxa"/>
          </w:tcPr>
          <w:p w14:paraId="164B6004" w14:textId="77777777" w:rsidR="004B496C" w:rsidRPr="009A27ED" w:rsidRDefault="004B496C" w:rsidP="00F35FD2">
            <w:pPr>
              <w:pStyle w:val="Bodytext20"/>
              <w:shd w:val="clear" w:color="auto" w:fill="auto"/>
              <w:spacing w:after="0" w:line="240" w:lineRule="auto"/>
              <w:jc w:val="left"/>
              <w:rPr>
                <w:rFonts w:cstheme="minorHAnsi"/>
                <w:b/>
                <w:sz w:val="20"/>
                <w:szCs w:val="20"/>
              </w:rPr>
            </w:pPr>
            <w:r w:rsidRPr="009A27ED">
              <w:rPr>
                <w:rFonts w:cstheme="minorHAnsi"/>
                <w:b/>
                <w:sz w:val="20"/>
                <w:szCs w:val="20"/>
              </w:rPr>
              <w:t>PEDERNALES</w:t>
            </w:r>
          </w:p>
        </w:tc>
        <w:tc>
          <w:tcPr>
            <w:tcW w:w="1742" w:type="dxa"/>
          </w:tcPr>
          <w:p w14:paraId="64AF267C"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806,927</w:t>
            </w:r>
          </w:p>
        </w:tc>
        <w:tc>
          <w:tcPr>
            <w:tcW w:w="0" w:type="auto"/>
          </w:tcPr>
          <w:p w14:paraId="2E644342"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49,750,355</w:t>
            </w:r>
          </w:p>
        </w:tc>
        <w:tc>
          <w:tcPr>
            <w:tcW w:w="0" w:type="auto"/>
          </w:tcPr>
          <w:p w14:paraId="5774F725"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50,556,565</w:t>
            </w:r>
          </w:p>
        </w:tc>
        <w:tc>
          <w:tcPr>
            <w:tcW w:w="0" w:type="auto"/>
            <w:vAlign w:val="bottom"/>
          </w:tcPr>
          <w:p w14:paraId="3D3A1AD0" w14:textId="77777777" w:rsidR="004B496C" w:rsidRPr="009A27ED" w:rsidRDefault="004B496C" w:rsidP="00F35FD2">
            <w:pPr>
              <w:rPr>
                <w:rFonts w:eastAsia="Times New Roman"/>
                <w:sz w:val="20"/>
                <w:szCs w:val="20"/>
              </w:rPr>
            </w:pPr>
            <w:r w:rsidRPr="009A27ED">
              <w:rPr>
                <w:rFonts w:eastAsia="Times New Roman"/>
                <w:sz w:val="20"/>
                <w:szCs w:val="20"/>
              </w:rPr>
              <w:t xml:space="preserve">       5,055.66 </w:t>
            </w:r>
          </w:p>
        </w:tc>
      </w:tr>
      <w:tr w:rsidR="004B496C" w:rsidRPr="009A27ED" w14:paraId="70BF8FB4" w14:textId="77777777" w:rsidTr="00F35FD2">
        <w:trPr>
          <w:trHeight w:val="203"/>
        </w:trPr>
        <w:tc>
          <w:tcPr>
            <w:tcW w:w="1795" w:type="dxa"/>
          </w:tcPr>
          <w:p w14:paraId="5DF0DB63" w14:textId="77777777" w:rsidR="004B496C" w:rsidRPr="009A27ED" w:rsidRDefault="004B496C" w:rsidP="00F35FD2">
            <w:pPr>
              <w:pStyle w:val="Bodytext20"/>
              <w:shd w:val="clear" w:color="auto" w:fill="auto"/>
              <w:spacing w:after="0" w:line="240" w:lineRule="auto"/>
              <w:jc w:val="left"/>
              <w:rPr>
                <w:rFonts w:cstheme="minorHAnsi"/>
                <w:b/>
                <w:sz w:val="20"/>
                <w:szCs w:val="20"/>
              </w:rPr>
            </w:pPr>
            <w:r w:rsidRPr="009A27ED">
              <w:rPr>
                <w:rFonts w:cstheme="minorHAnsi"/>
                <w:b/>
                <w:sz w:val="20"/>
                <w:szCs w:val="20"/>
              </w:rPr>
              <w:t>PERAVIA</w:t>
            </w:r>
          </w:p>
        </w:tc>
        <w:tc>
          <w:tcPr>
            <w:tcW w:w="1742" w:type="dxa"/>
          </w:tcPr>
          <w:p w14:paraId="7C1D3E33"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958,563</w:t>
            </w:r>
          </w:p>
        </w:tc>
        <w:tc>
          <w:tcPr>
            <w:tcW w:w="0" w:type="auto"/>
          </w:tcPr>
          <w:p w14:paraId="08E8378C"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13,575,698</w:t>
            </w:r>
          </w:p>
        </w:tc>
        <w:tc>
          <w:tcPr>
            <w:tcW w:w="0" w:type="auto"/>
          </w:tcPr>
          <w:p w14:paraId="4FA7A3A4"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14,534,261</w:t>
            </w:r>
          </w:p>
        </w:tc>
        <w:tc>
          <w:tcPr>
            <w:tcW w:w="0" w:type="auto"/>
            <w:vAlign w:val="bottom"/>
          </w:tcPr>
          <w:p w14:paraId="6D3DA3BE" w14:textId="77777777" w:rsidR="004B496C" w:rsidRPr="009A27ED" w:rsidRDefault="004B496C" w:rsidP="00F35FD2">
            <w:pPr>
              <w:rPr>
                <w:rFonts w:eastAsia="Times New Roman"/>
                <w:sz w:val="20"/>
                <w:szCs w:val="20"/>
              </w:rPr>
            </w:pPr>
            <w:r w:rsidRPr="009A27ED">
              <w:rPr>
                <w:rFonts w:eastAsia="Times New Roman"/>
                <w:sz w:val="20"/>
                <w:szCs w:val="20"/>
              </w:rPr>
              <w:t xml:space="preserve">       1,453.43 </w:t>
            </w:r>
          </w:p>
        </w:tc>
      </w:tr>
      <w:tr w:rsidR="004B496C" w:rsidRPr="009A27ED" w14:paraId="5D02055A" w14:textId="77777777" w:rsidTr="00F35FD2">
        <w:trPr>
          <w:trHeight w:val="203"/>
        </w:trPr>
        <w:tc>
          <w:tcPr>
            <w:tcW w:w="1795" w:type="dxa"/>
          </w:tcPr>
          <w:p w14:paraId="7FF8EAF1" w14:textId="77777777" w:rsidR="004B496C" w:rsidRPr="009A27ED" w:rsidRDefault="004B496C" w:rsidP="00F35FD2">
            <w:pPr>
              <w:pStyle w:val="Bodytext20"/>
              <w:shd w:val="clear" w:color="auto" w:fill="auto"/>
              <w:spacing w:after="0" w:line="240" w:lineRule="auto"/>
              <w:jc w:val="left"/>
              <w:rPr>
                <w:rFonts w:cstheme="minorHAnsi"/>
                <w:b/>
                <w:sz w:val="20"/>
                <w:szCs w:val="20"/>
              </w:rPr>
            </w:pPr>
            <w:r w:rsidRPr="009A27ED">
              <w:rPr>
                <w:rFonts w:cstheme="minorHAnsi"/>
                <w:b/>
                <w:sz w:val="20"/>
                <w:szCs w:val="20"/>
              </w:rPr>
              <w:t>PUERTO PLATA</w:t>
            </w:r>
          </w:p>
        </w:tc>
        <w:tc>
          <w:tcPr>
            <w:tcW w:w="1742" w:type="dxa"/>
          </w:tcPr>
          <w:p w14:paraId="0B5A17D0"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4,952,621</w:t>
            </w:r>
          </w:p>
        </w:tc>
        <w:tc>
          <w:tcPr>
            <w:tcW w:w="0" w:type="auto"/>
          </w:tcPr>
          <w:p w14:paraId="1A504E92"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69,299,244</w:t>
            </w:r>
          </w:p>
        </w:tc>
        <w:tc>
          <w:tcPr>
            <w:tcW w:w="0" w:type="auto"/>
          </w:tcPr>
          <w:p w14:paraId="15E2FFDF"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74,251,865</w:t>
            </w:r>
          </w:p>
        </w:tc>
        <w:tc>
          <w:tcPr>
            <w:tcW w:w="0" w:type="auto"/>
            <w:vAlign w:val="bottom"/>
          </w:tcPr>
          <w:p w14:paraId="407ED6C4" w14:textId="77777777" w:rsidR="004B496C" w:rsidRPr="009A27ED" w:rsidRDefault="004B496C" w:rsidP="00F35FD2">
            <w:pPr>
              <w:rPr>
                <w:rFonts w:eastAsia="Times New Roman"/>
                <w:sz w:val="20"/>
                <w:szCs w:val="20"/>
              </w:rPr>
            </w:pPr>
            <w:r w:rsidRPr="009A27ED">
              <w:rPr>
                <w:rFonts w:eastAsia="Times New Roman"/>
                <w:sz w:val="20"/>
                <w:szCs w:val="20"/>
              </w:rPr>
              <w:t xml:space="preserve">       7,425.19 </w:t>
            </w:r>
          </w:p>
        </w:tc>
      </w:tr>
      <w:tr w:rsidR="004B496C" w:rsidRPr="009A27ED" w14:paraId="4AEF75D2" w14:textId="77777777" w:rsidTr="00F35FD2">
        <w:trPr>
          <w:trHeight w:val="203"/>
        </w:trPr>
        <w:tc>
          <w:tcPr>
            <w:tcW w:w="1795" w:type="dxa"/>
          </w:tcPr>
          <w:p w14:paraId="319439F8" w14:textId="77777777" w:rsidR="004B496C" w:rsidRPr="009A27ED" w:rsidRDefault="004B496C" w:rsidP="00F35FD2">
            <w:pPr>
              <w:pStyle w:val="Bodytext20"/>
              <w:shd w:val="clear" w:color="auto" w:fill="auto"/>
              <w:spacing w:after="0" w:line="240" w:lineRule="auto"/>
              <w:jc w:val="left"/>
              <w:rPr>
                <w:rFonts w:cstheme="minorHAnsi"/>
                <w:b/>
                <w:sz w:val="20"/>
                <w:szCs w:val="20"/>
              </w:rPr>
            </w:pPr>
            <w:r w:rsidRPr="009A27ED">
              <w:rPr>
                <w:rFonts w:cstheme="minorHAnsi"/>
                <w:b/>
                <w:sz w:val="20"/>
                <w:szCs w:val="20"/>
              </w:rPr>
              <w:t>SAMANÁ</w:t>
            </w:r>
          </w:p>
        </w:tc>
        <w:tc>
          <w:tcPr>
            <w:tcW w:w="1742" w:type="dxa"/>
          </w:tcPr>
          <w:p w14:paraId="1E80A4A1"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1,628,877</w:t>
            </w:r>
          </w:p>
        </w:tc>
        <w:tc>
          <w:tcPr>
            <w:tcW w:w="0" w:type="auto"/>
          </w:tcPr>
          <w:p w14:paraId="48387D8B"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17,040</w:t>
            </w:r>
          </w:p>
        </w:tc>
        <w:tc>
          <w:tcPr>
            <w:tcW w:w="0" w:type="auto"/>
          </w:tcPr>
          <w:p w14:paraId="3A351B28"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18,668,997</w:t>
            </w:r>
          </w:p>
        </w:tc>
        <w:tc>
          <w:tcPr>
            <w:tcW w:w="0" w:type="auto"/>
            <w:vAlign w:val="bottom"/>
          </w:tcPr>
          <w:p w14:paraId="225FA952" w14:textId="77777777" w:rsidR="004B496C" w:rsidRPr="009A27ED" w:rsidRDefault="004B496C" w:rsidP="00F35FD2">
            <w:pPr>
              <w:rPr>
                <w:rFonts w:eastAsia="Times New Roman"/>
                <w:sz w:val="20"/>
                <w:szCs w:val="20"/>
              </w:rPr>
            </w:pPr>
            <w:r w:rsidRPr="009A27ED">
              <w:rPr>
                <w:rFonts w:eastAsia="Times New Roman"/>
                <w:sz w:val="20"/>
                <w:szCs w:val="20"/>
              </w:rPr>
              <w:t xml:space="preserve">       1,866.90 </w:t>
            </w:r>
          </w:p>
        </w:tc>
      </w:tr>
      <w:tr w:rsidR="004B496C" w:rsidRPr="009A27ED" w14:paraId="24CD3318" w14:textId="77777777" w:rsidTr="00F35FD2">
        <w:trPr>
          <w:trHeight w:val="203"/>
        </w:trPr>
        <w:tc>
          <w:tcPr>
            <w:tcW w:w="1795" w:type="dxa"/>
          </w:tcPr>
          <w:p w14:paraId="5F87DA9F" w14:textId="77777777" w:rsidR="004B496C" w:rsidRPr="009A27ED" w:rsidRDefault="004B496C" w:rsidP="00F35FD2">
            <w:pPr>
              <w:pStyle w:val="Bodytext20"/>
              <w:shd w:val="clear" w:color="auto" w:fill="auto"/>
              <w:spacing w:after="0" w:line="240" w:lineRule="auto"/>
              <w:jc w:val="left"/>
              <w:rPr>
                <w:rFonts w:cstheme="minorHAnsi"/>
                <w:b/>
                <w:sz w:val="20"/>
                <w:szCs w:val="20"/>
              </w:rPr>
            </w:pPr>
            <w:r w:rsidRPr="009A27ED">
              <w:rPr>
                <w:rFonts w:cstheme="minorHAnsi"/>
                <w:b/>
                <w:sz w:val="20"/>
                <w:szCs w:val="20"/>
              </w:rPr>
              <w:t>SAN CRISTOBAL</w:t>
            </w:r>
          </w:p>
        </w:tc>
        <w:tc>
          <w:tcPr>
            <w:tcW w:w="1742" w:type="dxa"/>
          </w:tcPr>
          <w:p w14:paraId="79DADDB9"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4,259,452</w:t>
            </w:r>
          </w:p>
        </w:tc>
        <w:tc>
          <w:tcPr>
            <w:tcW w:w="0" w:type="auto"/>
          </w:tcPr>
          <w:p w14:paraId="5C790BD9"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61,274,159</w:t>
            </w:r>
          </w:p>
        </w:tc>
        <w:tc>
          <w:tcPr>
            <w:tcW w:w="0" w:type="auto"/>
          </w:tcPr>
          <w:p w14:paraId="2AC87799"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65,868,108</w:t>
            </w:r>
          </w:p>
        </w:tc>
        <w:tc>
          <w:tcPr>
            <w:tcW w:w="0" w:type="auto"/>
            <w:vAlign w:val="bottom"/>
          </w:tcPr>
          <w:p w14:paraId="67A0F468" w14:textId="77777777" w:rsidR="004B496C" w:rsidRPr="009A27ED" w:rsidRDefault="004B496C" w:rsidP="00F35FD2">
            <w:pPr>
              <w:rPr>
                <w:rFonts w:eastAsia="Times New Roman"/>
                <w:sz w:val="20"/>
                <w:szCs w:val="20"/>
              </w:rPr>
            </w:pPr>
            <w:r w:rsidRPr="009A27ED">
              <w:rPr>
                <w:rFonts w:eastAsia="Times New Roman"/>
                <w:sz w:val="20"/>
                <w:szCs w:val="20"/>
              </w:rPr>
              <w:t xml:space="preserve">       6,586.81 </w:t>
            </w:r>
          </w:p>
        </w:tc>
      </w:tr>
      <w:tr w:rsidR="004B496C" w:rsidRPr="009A27ED" w14:paraId="3ABDB3D9" w14:textId="77777777" w:rsidTr="00F35FD2">
        <w:trPr>
          <w:trHeight w:val="203"/>
        </w:trPr>
        <w:tc>
          <w:tcPr>
            <w:tcW w:w="1795" w:type="dxa"/>
          </w:tcPr>
          <w:p w14:paraId="6F2DD61D" w14:textId="77777777" w:rsidR="004B496C" w:rsidRPr="009A27ED" w:rsidRDefault="004B496C" w:rsidP="00F35FD2">
            <w:pPr>
              <w:pStyle w:val="Bodytext20"/>
              <w:shd w:val="clear" w:color="auto" w:fill="auto"/>
              <w:spacing w:after="0" w:line="240" w:lineRule="auto"/>
              <w:jc w:val="left"/>
              <w:rPr>
                <w:rFonts w:cstheme="minorHAnsi"/>
                <w:b/>
                <w:sz w:val="20"/>
                <w:szCs w:val="20"/>
              </w:rPr>
            </w:pPr>
            <w:r w:rsidRPr="009A27ED">
              <w:rPr>
                <w:rFonts w:cstheme="minorHAnsi"/>
                <w:b/>
                <w:sz w:val="20"/>
                <w:szCs w:val="20"/>
              </w:rPr>
              <w:t>SAN JOSÉ DE OCOA</w:t>
            </w:r>
          </w:p>
        </w:tc>
        <w:tc>
          <w:tcPr>
            <w:tcW w:w="1742" w:type="dxa"/>
          </w:tcPr>
          <w:p w14:paraId="4C7C11CB"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1,571,217</w:t>
            </w:r>
          </w:p>
        </w:tc>
        <w:tc>
          <w:tcPr>
            <w:tcW w:w="0" w:type="auto"/>
          </w:tcPr>
          <w:p w14:paraId="4EC36AF1"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11,913,061</w:t>
            </w:r>
          </w:p>
        </w:tc>
        <w:tc>
          <w:tcPr>
            <w:tcW w:w="0" w:type="auto"/>
          </w:tcPr>
          <w:p w14:paraId="39EA835B"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13,484,278</w:t>
            </w:r>
          </w:p>
        </w:tc>
        <w:tc>
          <w:tcPr>
            <w:tcW w:w="0" w:type="auto"/>
            <w:vAlign w:val="bottom"/>
          </w:tcPr>
          <w:p w14:paraId="74BE11CC" w14:textId="77777777" w:rsidR="004B496C" w:rsidRPr="009A27ED" w:rsidRDefault="004B496C" w:rsidP="00F35FD2">
            <w:pPr>
              <w:rPr>
                <w:rFonts w:eastAsia="Times New Roman"/>
                <w:sz w:val="20"/>
                <w:szCs w:val="20"/>
              </w:rPr>
            </w:pPr>
            <w:r w:rsidRPr="009A27ED">
              <w:rPr>
                <w:rFonts w:eastAsia="Times New Roman"/>
                <w:sz w:val="20"/>
                <w:szCs w:val="20"/>
              </w:rPr>
              <w:t xml:space="preserve">       1,348.43 </w:t>
            </w:r>
          </w:p>
        </w:tc>
      </w:tr>
      <w:tr w:rsidR="004B496C" w:rsidRPr="009A27ED" w14:paraId="2807CF22" w14:textId="77777777" w:rsidTr="00F35FD2">
        <w:trPr>
          <w:trHeight w:val="203"/>
        </w:trPr>
        <w:tc>
          <w:tcPr>
            <w:tcW w:w="1795" w:type="dxa"/>
          </w:tcPr>
          <w:p w14:paraId="1AA965AC" w14:textId="77777777" w:rsidR="004B496C" w:rsidRPr="009A27ED" w:rsidRDefault="004B496C" w:rsidP="00F35FD2">
            <w:pPr>
              <w:pStyle w:val="Bodytext20"/>
              <w:shd w:val="clear" w:color="auto" w:fill="auto"/>
              <w:spacing w:after="0" w:line="240" w:lineRule="auto"/>
              <w:jc w:val="left"/>
              <w:rPr>
                <w:rFonts w:cstheme="minorHAnsi"/>
                <w:b/>
                <w:sz w:val="20"/>
                <w:szCs w:val="20"/>
                <w:lang w:val="es-ES"/>
              </w:rPr>
            </w:pPr>
            <w:r w:rsidRPr="009A27ED">
              <w:rPr>
                <w:rFonts w:cstheme="minorHAnsi"/>
                <w:b/>
                <w:sz w:val="20"/>
                <w:szCs w:val="20"/>
                <w:lang w:val="es-ES"/>
              </w:rPr>
              <w:t>SAN JUAN DE LA MAGUANA</w:t>
            </w:r>
          </w:p>
        </w:tc>
        <w:tc>
          <w:tcPr>
            <w:tcW w:w="1742" w:type="dxa"/>
          </w:tcPr>
          <w:p w14:paraId="6FAE4927"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2,360</w:t>
            </w:r>
          </w:p>
        </w:tc>
        <w:tc>
          <w:tcPr>
            <w:tcW w:w="0" w:type="auto"/>
          </w:tcPr>
          <w:p w14:paraId="0C395CED"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200,052,857</w:t>
            </w:r>
          </w:p>
        </w:tc>
        <w:tc>
          <w:tcPr>
            <w:tcW w:w="0" w:type="auto"/>
          </w:tcPr>
          <w:p w14:paraId="0FAE980A"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202,413,265</w:t>
            </w:r>
          </w:p>
        </w:tc>
        <w:tc>
          <w:tcPr>
            <w:tcW w:w="0" w:type="auto"/>
            <w:vAlign w:val="bottom"/>
          </w:tcPr>
          <w:p w14:paraId="380B63FE" w14:textId="77777777" w:rsidR="004B496C" w:rsidRPr="009A27ED" w:rsidRDefault="004B496C" w:rsidP="00F35FD2">
            <w:pPr>
              <w:rPr>
                <w:rFonts w:eastAsia="Times New Roman"/>
                <w:sz w:val="20"/>
                <w:szCs w:val="20"/>
              </w:rPr>
            </w:pPr>
            <w:r w:rsidRPr="009A27ED">
              <w:rPr>
                <w:rFonts w:eastAsia="Times New Roman"/>
                <w:sz w:val="20"/>
                <w:szCs w:val="20"/>
              </w:rPr>
              <w:t xml:space="preserve">     20,241.33 </w:t>
            </w:r>
          </w:p>
        </w:tc>
      </w:tr>
      <w:tr w:rsidR="004B496C" w:rsidRPr="009A27ED" w14:paraId="281C6F02" w14:textId="77777777" w:rsidTr="00F35FD2">
        <w:trPr>
          <w:trHeight w:val="203"/>
        </w:trPr>
        <w:tc>
          <w:tcPr>
            <w:tcW w:w="1795" w:type="dxa"/>
          </w:tcPr>
          <w:p w14:paraId="4EA2063F" w14:textId="77777777" w:rsidR="004B496C" w:rsidRPr="009A27ED" w:rsidRDefault="004B496C" w:rsidP="00F35FD2">
            <w:pPr>
              <w:pStyle w:val="Bodytext20"/>
              <w:shd w:val="clear" w:color="auto" w:fill="auto"/>
              <w:spacing w:after="0" w:line="240" w:lineRule="auto"/>
              <w:jc w:val="left"/>
              <w:rPr>
                <w:rFonts w:cstheme="minorHAnsi"/>
                <w:b/>
                <w:sz w:val="20"/>
                <w:szCs w:val="20"/>
              </w:rPr>
            </w:pPr>
            <w:r w:rsidRPr="009A27ED">
              <w:rPr>
                <w:rFonts w:cstheme="minorHAnsi"/>
                <w:b/>
                <w:sz w:val="20"/>
                <w:szCs w:val="20"/>
              </w:rPr>
              <w:t>SAN PEDRO DE MACORÍS</w:t>
            </w:r>
          </w:p>
        </w:tc>
        <w:tc>
          <w:tcPr>
            <w:tcW w:w="1742" w:type="dxa"/>
          </w:tcPr>
          <w:p w14:paraId="38D66FE3"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3,060,530</w:t>
            </w:r>
          </w:p>
        </w:tc>
        <w:tc>
          <w:tcPr>
            <w:tcW w:w="0" w:type="auto"/>
          </w:tcPr>
          <w:p w14:paraId="158F1881"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73,410,085</w:t>
            </w:r>
          </w:p>
        </w:tc>
        <w:tc>
          <w:tcPr>
            <w:tcW w:w="0" w:type="auto"/>
          </w:tcPr>
          <w:p w14:paraId="2DABD9D1"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76,470,615</w:t>
            </w:r>
          </w:p>
        </w:tc>
        <w:tc>
          <w:tcPr>
            <w:tcW w:w="0" w:type="auto"/>
            <w:vAlign w:val="bottom"/>
          </w:tcPr>
          <w:p w14:paraId="34CFEF4F" w14:textId="77777777" w:rsidR="004B496C" w:rsidRPr="009A27ED" w:rsidRDefault="004B496C" w:rsidP="00F35FD2">
            <w:pPr>
              <w:rPr>
                <w:rFonts w:eastAsia="Times New Roman"/>
                <w:sz w:val="20"/>
                <w:szCs w:val="20"/>
              </w:rPr>
            </w:pPr>
            <w:r w:rsidRPr="009A27ED">
              <w:rPr>
                <w:rFonts w:eastAsia="Times New Roman"/>
                <w:sz w:val="20"/>
                <w:szCs w:val="20"/>
              </w:rPr>
              <w:t xml:space="preserve">       7,647.06 </w:t>
            </w:r>
          </w:p>
        </w:tc>
      </w:tr>
      <w:tr w:rsidR="004B496C" w:rsidRPr="009A27ED" w14:paraId="53F85666" w14:textId="77777777" w:rsidTr="00F35FD2">
        <w:trPr>
          <w:trHeight w:val="203"/>
        </w:trPr>
        <w:tc>
          <w:tcPr>
            <w:tcW w:w="1795" w:type="dxa"/>
          </w:tcPr>
          <w:p w14:paraId="65DB7A3D" w14:textId="77777777" w:rsidR="004B496C" w:rsidRPr="009A27ED" w:rsidRDefault="004B496C" w:rsidP="00F35FD2">
            <w:pPr>
              <w:pStyle w:val="Bodytext20"/>
              <w:shd w:val="clear" w:color="auto" w:fill="auto"/>
              <w:spacing w:after="0" w:line="240" w:lineRule="auto"/>
              <w:jc w:val="left"/>
              <w:rPr>
                <w:rFonts w:cstheme="minorHAnsi"/>
                <w:b/>
                <w:sz w:val="20"/>
                <w:szCs w:val="20"/>
              </w:rPr>
            </w:pPr>
            <w:r w:rsidRPr="009A27ED">
              <w:rPr>
                <w:rFonts w:cstheme="minorHAnsi"/>
                <w:b/>
                <w:sz w:val="20"/>
                <w:szCs w:val="20"/>
              </w:rPr>
              <w:t>SÁNCHEZ RAMÍREZ</w:t>
            </w:r>
          </w:p>
        </w:tc>
        <w:tc>
          <w:tcPr>
            <w:tcW w:w="1742" w:type="dxa"/>
          </w:tcPr>
          <w:p w14:paraId="2FED602F"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1,995,333</w:t>
            </w:r>
          </w:p>
        </w:tc>
        <w:tc>
          <w:tcPr>
            <w:tcW w:w="0" w:type="auto"/>
          </w:tcPr>
          <w:p w14:paraId="408FC5BD"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55,407,194</w:t>
            </w:r>
          </w:p>
        </w:tc>
        <w:tc>
          <w:tcPr>
            <w:tcW w:w="0" w:type="auto"/>
          </w:tcPr>
          <w:p w14:paraId="66A1B541"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57,402,527</w:t>
            </w:r>
          </w:p>
        </w:tc>
        <w:tc>
          <w:tcPr>
            <w:tcW w:w="0" w:type="auto"/>
            <w:vAlign w:val="bottom"/>
          </w:tcPr>
          <w:p w14:paraId="64B37765" w14:textId="77777777" w:rsidR="004B496C" w:rsidRPr="009A27ED" w:rsidRDefault="004B496C" w:rsidP="00F35FD2">
            <w:pPr>
              <w:rPr>
                <w:rFonts w:eastAsia="Times New Roman"/>
                <w:sz w:val="20"/>
                <w:szCs w:val="20"/>
              </w:rPr>
            </w:pPr>
            <w:r w:rsidRPr="009A27ED">
              <w:rPr>
                <w:rFonts w:eastAsia="Times New Roman"/>
                <w:sz w:val="20"/>
                <w:szCs w:val="20"/>
              </w:rPr>
              <w:t xml:space="preserve">       5,740.25 </w:t>
            </w:r>
          </w:p>
        </w:tc>
      </w:tr>
      <w:tr w:rsidR="004B496C" w:rsidRPr="009A27ED" w14:paraId="5E88845D" w14:textId="77777777" w:rsidTr="00F35FD2">
        <w:trPr>
          <w:trHeight w:val="203"/>
        </w:trPr>
        <w:tc>
          <w:tcPr>
            <w:tcW w:w="1795" w:type="dxa"/>
          </w:tcPr>
          <w:p w14:paraId="791778CB" w14:textId="77777777" w:rsidR="004B496C" w:rsidRPr="009A27ED" w:rsidRDefault="004B496C" w:rsidP="00F35FD2">
            <w:pPr>
              <w:pStyle w:val="Bodytext20"/>
              <w:shd w:val="clear" w:color="auto" w:fill="auto"/>
              <w:spacing w:after="0" w:line="240" w:lineRule="auto"/>
              <w:jc w:val="left"/>
              <w:rPr>
                <w:rFonts w:cstheme="minorHAnsi"/>
                <w:b/>
                <w:sz w:val="20"/>
                <w:szCs w:val="20"/>
              </w:rPr>
            </w:pPr>
            <w:r w:rsidRPr="009A27ED">
              <w:rPr>
                <w:rFonts w:cstheme="minorHAnsi"/>
                <w:b/>
                <w:sz w:val="20"/>
                <w:szCs w:val="20"/>
              </w:rPr>
              <w:t>SANTIAGO</w:t>
            </w:r>
          </w:p>
        </w:tc>
        <w:tc>
          <w:tcPr>
            <w:tcW w:w="1742" w:type="dxa"/>
          </w:tcPr>
          <w:p w14:paraId="1481F99C"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3,748,102</w:t>
            </w:r>
          </w:p>
        </w:tc>
        <w:tc>
          <w:tcPr>
            <w:tcW w:w="0" w:type="auto"/>
          </w:tcPr>
          <w:p w14:paraId="5951A4DF"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29,001,305</w:t>
            </w:r>
          </w:p>
        </w:tc>
        <w:tc>
          <w:tcPr>
            <w:tcW w:w="0" w:type="auto"/>
          </w:tcPr>
          <w:p w14:paraId="2C2ED8A1"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32,749,407</w:t>
            </w:r>
          </w:p>
        </w:tc>
        <w:tc>
          <w:tcPr>
            <w:tcW w:w="0" w:type="auto"/>
            <w:vAlign w:val="bottom"/>
          </w:tcPr>
          <w:p w14:paraId="1C395542" w14:textId="77777777" w:rsidR="004B496C" w:rsidRPr="009A27ED" w:rsidRDefault="004B496C" w:rsidP="00F35FD2">
            <w:pPr>
              <w:rPr>
                <w:rFonts w:eastAsia="Times New Roman"/>
                <w:sz w:val="20"/>
                <w:szCs w:val="20"/>
              </w:rPr>
            </w:pPr>
            <w:r w:rsidRPr="009A27ED">
              <w:rPr>
                <w:rFonts w:eastAsia="Times New Roman"/>
                <w:sz w:val="20"/>
                <w:szCs w:val="20"/>
              </w:rPr>
              <w:t xml:space="preserve">       3,274.94 </w:t>
            </w:r>
          </w:p>
        </w:tc>
      </w:tr>
      <w:tr w:rsidR="004B496C" w:rsidRPr="009A27ED" w14:paraId="2D72CE2D" w14:textId="77777777" w:rsidTr="00F35FD2">
        <w:trPr>
          <w:trHeight w:val="203"/>
        </w:trPr>
        <w:tc>
          <w:tcPr>
            <w:tcW w:w="1795" w:type="dxa"/>
          </w:tcPr>
          <w:p w14:paraId="364AD740" w14:textId="77777777" w:rsidR="004B496C" w:rsidRPr="009A27ED" w:rsidRDefault="004B496C" w:rsidP="00F35FD2">
            <w:pPr>
              <w:pStyle w:val="Bodytext20"/>
              <w:shd w:val="clear" w:color="auto" w:fill="auto"/>
              <w:spacing w:after="0" w:line="240" w:lineRule="auto"/>
              <w:jc w:val="left"/>
              <w:rPr>
                <w:rFonts w:cstheme="minorHAnsi"/>
                <w:b/>
                <w:sz w:val="20"/>
                <w:szCs w:val="20"/>
              </w:rPr>
            </w:pPr>
            <w:r w:rsidRPr="009A27ED">
              <w:rPr>
                <w:rFonts w:cstheme="minorHAnsi"/>
                <w:b/>
                <w:sz w:val="20"/>
                <w:szCs w:val="20"/>
              </w:rPr>
              <w:t>SANTIAGO RODRÍGUEZ</w:t>
            </w:r>
          </w:p>
        </w:tc>
        <w:tc>
          <w:tcPr>
            <w:tcW w:w="1742" w:type="dxa"/>
          </w:tcPr>
          <w:p w14:paraId="70308891"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1,638,471</w:t>
            </w:r>
          </w:p>
        </w:tc>
        <w:tc>
          <w:tcPr>
            <w:tcW w:w="0" w:type="auto"/>
          </w:tcPr>
          <w:p w14:paraId="10F4061C"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76,514,326</w:t>
            </w:r>
          </w:p>
        </w:tc>
        <w:tc>
          <w:tcPr>
            <w:tcW w:w="0" w:type="auto"/>
          </w:tcPr>
          <w:p w14:paraId="7C9B1525"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78,152,797</w:t>
            </w:r>
          </w:p>
        </w:tc>
        <w:tc>
          <w:tcPr>
            <w:tcW w:w="0" w:type="auto"/>
            <w:vAlign w:val="bottom"/>
          </w:tcPr>
          <w:p w14:paraId="64871663" w14:textId="77777777" w:rsidR="004B496C" w:rsidRPr="009A27ED" w:rsidRDefault="004B496C" w:rsidP="00F35FD2">
            <w:pPr>
              <w:rPr>
                <w:rFonts w:eastAsia="Times New Roman"/>
                <w:sz w:val="20"/>
                <w:szCs w:val="20"/>
              </w:rPr>
            </w:pPr>
            <w:r w:rsidRPr="009A27ED">
              <w:rPr>
                <w:rFonts w:eastAsia="Times New Roman"/>
                <w:sz w:val="20"/>
                <w:szCs w:val="20"/>
              </w:rPr>
              <w:t xml:space="preserve">       7,815.28 </w:t>
            </w:r>
          </w:p>
        </w:tc>
      </w:tr>
      <w:tr w:rsidR="004B496C" w:rsidRPr="009A27ED" w14:paraId="7047A43C" w14:textId="77777777" w:rsidTr="00F35FD2">
        <w:trPr>
          <w:trHeight w:val="203"/>
        </w:trPr>
        <w:tc>
          <w:tcPr>
            <w:tcW w:w="1795" w:type="dxa"/>
          </w:tcPr>
          <w:p w14:paraId="285C51A4" w14:textId="77777777" w:rsidR="004B496C" w:rsidRPr="009A27ED" w:rsidRDefault="004B496C" w:rsidP="00F35FD2">
            <w:pPr>
              <w:pStyle w:val="Bodytext20"/>
              <w:shd w:val="clear" w:color="auto" w:fill="auto"/>
              <w:spacing w:after="0" w:line="240" w:lineRule="auto"/>
              <w:jc w:val="left"/>
              <w:rPr>
                <w:rFonts w:cstheme="minorHAnsi"/>
                <w:b/>
                <w:sz w:val="20"/>
                <w:szCs w:val="20"/>
              </w:rPr>
            </w:pPr>
            <w:r w:rsidRPr="009A27ED">
              <w:rPr>
                <w:rFonts w:cstheme="minorHAnsi"/>
                <w:b/>
                <w:sz w:val="20"/>
                <w:szCs w:val="20"/>
              </w:rPr>
              <w:t>SANTO DOMINGO</w:t>
            </w:r>
          </w:p>
        </w:tc>
        <w:tc>
          <w:tcPr>
            <w:tcW w:w="1742" w:type="dxa"/>
          </w:tcPr>
          <w:p w14:paraId="78B4CA61"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5,427,436</w:t>
            </w:r>
          </w:p>
        </w:tc>
        <w:tc>
          <w:tcPr>
            <w:tcW w:w="0" w:type="auto"/>
          </w:tcPr>
          <w:p w14:paraId="4AC4E838"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45,864,952</w:t>
            </w:r>
          </w:p>
        </w:tc>
        <w:tc>
          <w:tcPr>
            <w:tcW w:w="0" w:type="auto"/>
          </w:tcPr>
          <w:p w14:paraId="7F0D8548"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51,292,388</w:t>
            </w:r>
          </w:p>
        </w:tc>
        <w:tc>
          <w:tcPr>
            <w:tcW w:w="0" w:type="auto"/>
            <w:vAlign w:val="bottom"/>
          </w:tcPr>
          <w:p w14:paraId="44BF0C4C" w14:textId="77777777" w:rsidR="004B496C" w:rsidRPr="009A27ED" w:rsidRDefault="004B496C" w:rsidP="00F35FD2">
            <w:pPr>
              <w:rPr>
                <w:rFonts w:eastAsia="Times New Roman"/>
                <w:sz w:val="20"/>
                <w:szCs w:val="20"/>
              </w:rPr>
            </w:pPr>
            <w:r w:rsidRPr="009A27ED">
              <w:rPr>
                <w:rFonts w:eastAsia="Times New Roman"/>
                <w:sz w:val="20"/>
                <w:szCs w:val="20"/>
              </w:rPr>
              <w:t xml:space="preserve">       5,129.24 </w:t>
            </w:r>
          </w:p>
        </w:tc>
      </w:tr>
      <w:tr w:rsidR="004B496C" w:rsidRPr="009A27ED" w14:paraId="752B3974" w14:textId="77777777" w:rsidTr="00F35FD2">
        <w:trPr>
          <w:trHeight w:val="203"/>
        </w:trPr>
        <w:tc>
          <w:tcPr>
            <w:tcW w:w="1795" w:type="dxa"/>
          </w:tcPr>
          <w:p w14:paraId="07748FD4" w14:textId="77777777" w:rsidR="004B496C" w:rsidRPr="009A27ED" w:rsidRDefault="004B496C" w:rsidP="00F35FD2">
            <w:pPr>
              <w:pStyle w:val="Bodytext20"/>
              <w:shd w:val="clear" w:color="auto" w:fill="auto"/>
              <w:spacing w:after="0" w:line="240" w:lineRule="auto"/>
              <w:jc w:val="left"/>
              <w:rPr>
                <w:rFonts w:cstheme="minorHAnsi"/>
                <w:b/>
                <w:sz w:val="20"/>
                <w:szCs w:val="20"/>
              </w:rPr>
            </w:pPr>
            <w:r w:rsidRPr="009A27ED">
              <w:rPr>
                <w:rFonts w:cstheme="minorHAnsi"/>
                <w:b/>
                <w:sz w:val="20"/>
                <w:szCs w:val="20"/>
              </w:rPr>
              <w:t>VALVERDE</w:t>
            </w:r>
          </w:p>
        </w:tc>
        <w:tc>
          <w:tcPr>
            <w:tcW w:w="1742" w:type="dxa"/>
          </w:tcPr>
          <w:p w14:paraId="1DBE7F93"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2,175,909</w:t>
            </w:r>
          </w:p>
        </w:tc>
        <w:tc>
          <w:tcPr>
            <w:tcW w:w="0" w:type="auto"/>
          </w:tcPr>
          <w:p w14:paraId="3030EFCA"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36,467,744</w:t>
            </w:r>
          </w:p>
        </w:tc>
        <w:tc>
          <w:tcPr>
            <w:tcW w:w="0" w:type="auto"/>
          </w:tcPr>
          <w:p w14:paraId="606BD380"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38,643,653</w:t>
            </w:r>
          </w:p>
        </w:tc>
        <w:tc>
          <w:tcPr>
            <w:tcW w:w="0" w:type="auto"/>
            <w:vAlign w:val="bottom"/>
          </w:tcPr>
          <w:p w14:paraId="239DBB68" w14:textId="77777777" w:rsidR="004B496C" w:rsidRPr="009A27ED" w:rsidRDefault="004B496C" w:rsidP="00F35FD2">
            <w:pPr>
              <w:rPr>
                <w:rFonts w:eastAsia="Times New Roman"/>
                <w:sz w:val="20"/>
                <w:szCs w:val="20"/>
              </w:rPr>
            </w:pPr>
            <w:r w:rsidRPr="009A27ED">
              <w:rPr>
                <w:rFonts w:eastAsia="Times New Roman"/>
                <w:sz w:val="20"/>
                <w:szCs w:val="20"/>
              </w:rPr>
              <w:t xml:space="preserve">       3,864.37 </w:t>
            </w:r>
          </w:p>
        </w:tc>
      </w:tr>
      <w:tr w:rsidR="004B496C" w:rsidRPr="009A27ED" w14:paraId="4B98D7E6" w14:textId="77777777" w:rsidTr="00F35FD2">
        <w:trPr>
          <w:trHeight w:val="203"/>
        </w:trPr>
        <w:tc>
          <w:tcPr>
            <w:tcW w:w="1795" w:type="dxa"/>
          </w:tcPr>
          <w:p w14:paraId="16480B95" w14:textId="77777777" w:rsidR="004B496C" w:rsidRPr="009A27ED" w:rsidRDefault="004B496C" w:rsidP="00F35FD2">
            <w:pPr>
              <w:pStyle w:val="Bodytext20"/>
              <w:shd w:val="clear" w:color="auto" w:fill="auto"/>
              <w:spacing w:after="0" w:line="240" w:lineRule="auto"/>
              <w:jc w:val="left"/>
              <w:rPr>
                <w:rFonts w:cstheme="minorHAnsi"/>
                <w:b/>
                <w:sz w:val="20"/>
                <w:szCs w:val="20"/>
              </w:rPr>
            </w:pPr>
            <w:r w:rsidRPr="009A27ED">
              <w:rPr>
                <w:rFonts w:cstheme="minorHAnsi"/>
                <w:b/>
                <w:sz w:val="20"/>
                <w:szCs w:val="20"/>
              </w:rPr>
              <w:t>DISTRITO NACIONAL</w:t>
            </w:r>
          </w:p>
        </w:tc>
        <w:tc>
          <w:tcPr>
            <w:tcW w:w="1742" w:type="dxa"/>
          </w:tcPr>
          <w:p w14:paraId="64F11118"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449,052</w:t>
            </w:r>
          </w:p>
        </w:tc>
        <w:tc>
          <w:tcPr>
            <w:tcW w:w="0" w:type="auto"/>
          </w:tcPr>
          <w:p w14:paraId="0F29A7E1"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16,727,698</w:t>
            </w:r>
          </w:p>
        </w:tc>
        <w:tc>
          <w:tcPr>
            <w:tcW w:w="0" w:type="auto"/>
          </w:tcPr>
          <w:p w14:paraId="4C1A1444" w14:textId="77777777" w:rsidR="004B496C" w:rsidRPr="009A27ED" w:rsidRDefault="004B496C" w:rsidP="00F35FD2">
            <w:pPr>
              <w:pStyle w:val="Bodytext20"/>
              <w:shd w:val="clear" w:color="auto" w:fill="auto"/>
              <w:spacing w:after="0" w:line="240" w:lineRule="auto"/>
              <w:jc w:val="center"/>
              <w:rPr>
                <w:rFonts w:cstheme="minorHAnsi"/>
                <w:sz w:val="20"/>
                <w:szCs w:val="20"/>
              </w:rPr>
            </w:pPr>
            <w:r w:rsidRPr="009A27ED">
              <w:rPr>
                <w:rFonts w:cstheme="minorHAnsi"/>
                <w:sz w:val="20"/>
                <w:szCs w:val="20"/>
              </w:rPr>
              <w:t>17,176,749</w:t>
            </w:r>
          </w:p>
        </w:tc>
        <w:tc>
          <w:tcPr>
            <w:tcW w:w="0" w:type="auto"/>
            <w:vAlign w:val="bottom"/>
          </w:tcPr>
          <w:p w14:paraId="1F885104" w14:textId="77777777" w:rsidR="004B496C" w:rsidRPr="009A27ED" w:rsidRDefault="004B496C" w:rsidP="00F35FD2">
            <w:pPr>
              <w:rPr>
                <w:rFonts w:eastAsia="Times New Roman"/>
                <w:sz w:val="20"/>
                <w:szCs w:val="20"/>
              </w:rPr>
            </w:pPr>
            <w:r w:rsidRPr="009A27ED">
              <w:rPr>
                <w:rFonts w:eastAsia="Times New Roman"/>
                <w:sz w:val="20"/>
                <w:szCs w:val="20"/>
              </w:rPr>
              <w:t xml:space="preserve">       1,717.67 </w:t>
            </w:r>
          </w:p>
        </w:tc>
      </w:tr>
      <w:tr w:rsidR="004B496C" w:rsidRPr="009A27ED" w14:paraId="35E0CE46" w14:textId="77777777" w:rsidTr="00F35FD2">
        <w:trPr>
          <w:trHeight w:val="233"/>
        </w:trPr>
        <w:tc>
          <w:tcPr>
            <w:tcW w:w="1795" w:type="dxa"/>
            <w:vMerge w:val="restart"/>
            <w:shd w:val="clear" w:color="auto" w:fill="BDD6EE" w:themeFill="accent1" w:themeFillTint="66"/>
            <w:vAlign w:val="center"/>
          </w:tcPr>
          <w:p w14:paraId="419F7D67" w14:textId="77777777" w:rsidR="004B496C" w:rsidRPr="009A27ED" w:rsidRDefault="004B496C" w:rsidP="00F35FD2">
            <w:pPr>
              <w:pStyle w:val="Bodytext20"/>
              <w:shd w:val="clear" w:color="auto" w:fill="auto"/>
              <w:spacing w:after="0" w:line="240" w:lineRule="auto"/>
              <w:jc w:val="center"/>
              <w:rPr>
                <w:rFonts w:cstheme="minorHAnsi"/>
                <w:b/>
                <w:sz w:val="20"/>
                <w:szCs w:val="20"/>
              </w:rPr>
            </w:pPr>
            <w:r w:rsidRPr="009A27ED">
              <w:rPr>
                <w:rFonts w:cstheme="minorHAnsi"/>
                <w:b/>
                <w:sz w:val="20"/>
                <w:szCs w:val="20"/>
              </w:rPr>
              <w:t>T O T A L</w:t>
            </w:r>
          </w:p>
        </w:tc>
        <w:tc>
          <w:tcPr>
            <w:tcW w:w="1742" w:type="dxa"/>
            <w:shd w:val="clear" w:color="auto" w:fill="BDD6EE" w:themeFill="accent1" w:themeFillTint="66"/>
          </w:tcPr>
          <w:p w14:paraId="1E9AB302" w14:textId="77777777" w:rsidR="004B496C" w:rsidRPr="009A27ED" w:rsidRDefault="004B496C" w:rsidP="00F35FD2">
            <w:pPr>
              <w:pStyle w:val="Bodytext20"/>
              <w:shd w:val="clear" w:color="auto" w:fill="auto"/>
              <w:spacing w:after="0" w:line="240" w:lineRule="auto"/>
              <w:jc w:val="center"/>
              <w:rPr>
                <w:rFonts w:cstheme="minorHAnsi"/>
                <w:b/>
                <w:sz w:val="20"/>
                <w:szCs w:val="20"/>
              </w:rPr>
            </w:pPr>
            <w:r w:rsidRPr="009A27ED">
              <w:rPr>
                <w:rFonts w:cstheme="minorHAnsi"/>
                <w:b/>
                <w:sz w:val="20"/>
                <w:szCs w:val="20"/>
              </w:rPr>
              <w:t>278,539,441</w:t>
            </w:r>
          </w:p>
        </w:tc>
        <w:tc>
          <w:tcPr>
            <w:tcW w:w="0" w:type="auto"/>
            <w:shd w:val="clear" w:color="auto" w:fill="BDD6EE" w:themeFill="accent1" w:themeFillTint="66"/>
          </w:tcPr>
          <w:p w14:paraId="2FD21E5B" w14:textId="77777777" w:rsidR="004B496C" w:rsidRPr="009A27ED" w:rsidRDefault="004B496C" w:rsidP="00F35FD2">
            <w:pPr>
              <w:pStyle w:val="Bodytext20"/>
              <w:shd w:val="clear" w:color="auto" w:fill="auto"/>
              <w:spacing w:after="0" w:line="240" w:lineRule="auto"/>
              <w:jc w:val="center"/>
              <w:rPr>
                <w:rFonts w:cstheme="minorHAnsi"/>
                <w:b/>
                <w:sz w:val="20"/>
                <w:szCs w:val="20"/>
              </w:rPr>
            </w:pPr>
            <w:r w:rsidRPr="009A27ED">
              <w:rPr>
                <w:rFonts w:cstheme="minorHAnsi"/>
                <w:b/>
                <w:sz w:val="20"/>
                <w:szCs w:val="20"/>
              </w:rPr>
              <w:t>1,555,291,869</w:t>
            </w:r>
          </w:p>
        </w:tc>
        <w:tc>
          <w:tcPr>
            <w:tcW w:w="0" w:type="auto"/>
            <w:vMerge w:val="restart"/>
            <w:shd w:val="clear" w:color="auto" w:fill="BDD6EE" w:themeFill="accent1" w:themeFillTint="66"/>
          </w:tcPr>
          <w:p w14:paraId="2AE35F9A" w14:textId="77777777" w:rsidR="004B496C" w:rsidRPr="009A27ED" w:rsidRDefault="004B496C" w:rsidP="00F35FD2">
            <w:pPr>
              <w:pStyle w:val="Bodytext20"/>
              <w:shd w:val="clear" w:color="auto" w:fill="auto"/>
              <w:spacing w:after="0" w:line="240" w:lineRule="auto"/>
              <w:jc w:val="center"/>
              <w:rPr>
                <w:rFonts w:cstheme="minorHAnsi"/>
                <w:b/>
                <w:sz w:val="20"/>
                <w:szCs w:val="20"/>
              </w:rPr>
            </w:pPr>
            <w:r w:rsidRPr="009A27ED">
              <w:rPr>
                <w:rFonts w:cstheme="minorHAnsi"/>
                <w:b/>
                <w:sz w:val="20"/>
                <w:szCs w:val="20"/>
              </w:rPr>
              <w:t>1,884,208,281</w:t>
            </w:r>
          </w:p>
        </w:tc>
        <w:tc>
          <w:tcPr>
            <w:tcW w:w="0" w:type="auto"/>
            <w:vMerge w:val="restart"/>
            <w:shd w:val="clear" w:color="auto" w:fill="E2EFD9" w:themeFill="accent6" w:themeFillTint="33"/>
          </w:tcPr>
          <w:p w14:paraId="6FD768EA" w14:textId="77777777" w:rsidR="004B496C" w:rsidRPr="009A27ED" w:rsidRDefault="004B496C" w:rsidP="00F35FD2">
            <w:pPr>
              <w:pStyle w:val="Bodytext20"/>
              <w:shd w:val="clear" w:color="auto" w:fill="auto"/>
              <w:spacing w:after="0" w:line="240" w:lineRule="auto"/>
              <w:jc w:val="center"/>
              <w:rPr>
                <w:rFonts w:cstheme="minorHAnsi"/>
                <w:b/>
                <w:sz w:val="20"/>
                <w:szCs w:val="20"/>
              </w:rPr>
            </w:pPr>
            <w:r w:rsidRPr="009A27ED">
              <w:rPr>
                <w:rFonts w:cstheme="minorHAnsi"/>
                <w:b/>
                <w:sz w:val="20"/>
                <w:szCs w:val="20"/>
              </w:rPr>
              <w:t>188,420.83</w:t>
            </w:r>
          </w:p>
        </w:tc>
      </w:tr>
      <w:tr w:rsidR="004B496C" w:rsidRPr="009A27ED" w14:paraId="16E2CAE1" w14:textId="77777777" w:rsidTr="00F35FD2">
        <w:trPr>
          <w:trHeight w:val="240"/>
        </w:trPr>
        <w:tc>
          <w:tcPr>
            <w:tcW w:w="1795" w:type="dxa"/>
            <w:vMerge/>
            <w:shd w:val="clear" w:color="auto" w:fill="BDD6EE" w:themeFill="accent1" w:themeFillTint="66"/>
            <w:vAlign w:val="center"/>
          </w:tcPr>
          <w:p w14:paraId="0C561140" w14:textId="77777777" w:rsidR="004B496C" w:rsidRPr="009A27ED" w:rsidRDefault="004B496C" w:rsidP="00F35FD2">
            <w:pPr>
              <w:pStyle w:val="Bodytext20"/>
              <w:shd w:val="clear" w:color="auto" w:fill="auto"/>
              <w:spacing w:after="0" w:line="240" w:lineRule="auto"/>
              <w:jc w:val="center"/>
              <w:rPr>
                <w:rFonts w:cstheme="minorHAnsi"/>
                <w:b/>
                <w:sz w:val="20"/>
                <w:szCs w:val="20"/>
              </w:rPr>
            </w:pPr>
          </w:p>
        </w:tc>
        <w:tc>
          <w:tcPr>
            <w:tcW w:w="1742" w:type="dxa"/>
            <w:shd w:val="clear" w:color="auto" w:fill="E2EFD9" w:themeFill="accent6" w:themeFillTint="33"/>
          </w:tcPr>
          <w:p w14:paraId="5CE0721B" w14:textId="77777777" w:rsidR="004B496C" w:rsidRPr="009A27ED" w:rsidRDefault="004B496C" w:rsidP="00F35FD2">
            <w:pPr>
              <w:jc w:val="center"/>
              <w:rPr>
                <w:rFonts w:eastAsia="Times New Roman"/>
                <w:b/>
                <w:sz w:val="20"/>
                <w:szCs w:val="20"/>
              </w:rPr>
            </w:pPr>
            <w:r w:rsidRPr="009A27ED">
              <w:rPr>
                <w:rFonts w:eastAsia="Times New Roman"/>
                <w:b/>
                <w:sz w:val="20"/>
                <w:szCs w:val="20"/>
              </w:rPr>
              <w:t>27,853.95 (ha)</w:t>
            </w:r>
          </w:p>
        </w:tc>
        <w:tc>
          <w:tcPr>
            <w:tcW w:w="0" w:type="auto"/>
            <w:shd w:val="clear" w:color="auto" w:fill="E2EFD9" w:themeFill="accent6" w:themeFillTint="33"/>
          </w:tcPr>
          <w:p w14:paraId="298655F1" w14:textId="77777777" w:rsidR="004B496C" w:rsidRPr="009A27ED" w:rsidRDefault="004B496C" w:rsidP="00F35FD2">
            <w:pPr>
              <w:jc w:val="center"/>
              <w:rPr>
                <w:rFonts w:eastAsia="Times New Roman"/>
                <w:b/>
                <w:sz w:val="20"/>
                <w:szCs w:val="20"/>
              </w:rPr>
            </w:pPr>
            <w:r w:rsidRPr="009A27ED">
              <w:rPr>
                <w:rFonts w:eastAsia="Times New Roman"/>
                <w:b/>
                <w:sz w:val="20"/>
                <w:szCs w:val="20"/>
              </w:rPr>
              <w:t>155,529.19 (ha)</w:t>
            </w:r>
          </w:p>
        </w:tc>
        <w:tc>
          <w:tcPr>
            <w:tcW w:w="0" w:type="auto"/>
            <w:vMerge/>
            <w:shd w:val="clear" w:color="auto" w:fill="BDD6EE" w:themeFill="accent1" w:themeFillTint="66"/>
          </w:tcPr>
          <w:p w14:paraId="219BDA1E" w14:textId="77777777" w:rsidR="004B496C" w:rsidRPr="009A27ED" w:rsidRDefault="004B496C" w:rsidP="00F35FD2">
            <w:pPr>
              <w:pStyle w:val="Bodytext20"/>
              <w:shd w:val="clear" w:color="auto" w:fill="auto"/>
              <w:spacing w:after="0" w:line="240" w:lineRule="auto"/>
              <w:jc w:val="center"/>
              <w:rPr>
                <w:rFonts w:cstheme="minorHAnsi"/>
                <w:b/>
                <w:sz w:val="20"/>
                <w:szCs w:val="20"/>
              </w:rPr>
            </w:pPr>
          </w:p>
        </w:tc>
        <w:tc>
          <w:tcPr>
            <w:tcW w:w="0" w:type="auto"/>
            <w:vMerge/>
            <w:shd w:val="clear" w:color="auto" w:fill="E2EFD9" w:themeFill="accent6" w:themeFillTint="33"/>
          </w:tcPr>
          <w:p w14:paraId="730B6306" w14:textId="77777777" w:rsidR="004B496C" w:rsidRPr="009A27ED" w:rsidRDefault="004B496C" w:rsidP="00F35FD2">
            <w:pPr>
              <w:pStyle w:val="Bodytext20"/>
              <w:shd w:val="clear" w:color="auto" w:fill="auto"/>
              <w:spacing w:after="0" w:line="240" w:lineRule="auto"/>
              <w:jc w:val="center"/>
              <w:rPr>
                <w:rFonts w:cstheme="minorHAnsi"/>
                <w:b/>
                <w:sz w:val="20"/>
                <w:szCs w:val="20"/>
              </w:rPr>
            </w:pPr>
          </w:p>
        </w:tc>
      </w:tr>
    </w:tbl>
    <w:p w14:paraId="158DCA38" w14:textId="77777777" w:rsidR="004B496C" w:rsidRPr="009A27ED" w:rsidRDefault="004B496C" w:rsidP="004B496C">
      <w:pPr>
        <w:pStyle w:val="Bodytext20"/>
        <w:shd w:val="clear" w:color="auto" w:fill="auto"/>
        <w:spacing w:line="360" w:lineRule="auto"/>
        <w:rPr>
          <w:rFonts w:cstheme="minorHAnsi"/>
          <w:sz w:val="18"/>
          <w:szCs w:val="18"/>
          <w:lang w:val="es-ES"/>
        </w:rPr>
      </w:pPr>
      <w:r w:rsidRPr="009A27ED">
        <w:rPr>
          <w:rFonts w:ascii="Times New Roman" w:eastAsia="Times New Roman" w:hAnsi="Times New Roman" w:cstheme="minorHAnsi"/>
          <w:sz w:val="24"/>
          <w:szCs w:val="18"/>
          <w:lang w:val="es-ES"/>
        </w:rPr>
        <w:t xml:space="preserve">Fuente:  Consultoría Evaluación de Tenencia de la Tierra en República Dominicana. </w:t>
      </w:r>
    </w:p>
    <w:p w14:paraId="66B4BC6E" w14:textId="39731BCD" w:rsidR="004B496C" w:rsidRPr="009A27ED" w:rsidRDefault="004B496C" w:rsidP="004B496C">
      <w:pPr>
        <w:pStyle w:val="Bodytext20"/>
        <w:spacing w:line="360" w:lineRule="auto"/>
        <w:rPr>
          <w:rFonts w:cstheme="minorHAnsi"/>
          <w:b/>
          <w:i/>
          <w:szCs w:val="22"/>
          <w:lang w:val="es-ES"/>
        </w:rPr>
      </w:pPr>
      <w:r w:rsidRPr="009A27ED">
        <w:rPr>
          <w:rFonts w:ascii="Times New Roman" w:eastAsia="Times New Roman" w:hAnsi="Times New Roman" w:cstheme="minorHAnsi"/>
          <w:sz w:val="24"/>
          <w:szCs w:val="22"/>
          <w:lang w:val="es-ES"/>
        </w:rPr>
        <w:t xml:space="preserve">Cabe establecer que la información disponible hasta la fecha a nivel nacional no permite la realización de un mapeo que pueda caracterizar la distribución, gestión y situación legal de los predios o </w:t>
      </w:r>
      <w:r w:rsidR="00AF66EF" w:rsidRPr="009A27ED">
        <w:rPr>
          <w:rFonts w:ascii="Times New Roman" w:eastAsia="Times New Roman" w:hAnsi="Times New Roman" w:cstheme="minorHAnsi"/>
          <w:sz w:val="24"/>
          <w:szCs w:val="22"/>
          <w:lang w:val="es-ES"/>
        </w:rPr>
        <w:t>terrenos por</w:t>
      </w:r>
      <w:r w:rsidRPr="009A27ED">
        <w:rPr>
          <w:rFonts w:ascii="Times New Roman" w:eastAsia="Times New Roman" w:hAnsi="Times New Roman" w:cstheme="minorHAnsi"/>
          <w:sz w:val="24"/>
          <w:szCs w:val="22"/>
          <w:lang w:val="es-ES"/>
        </w:rPr>
        <w:t xml:space="preserve"> cada uso de suelo identificado por el </w:t>
      </w:r>
      <w:r w:rsidR="00124B63" w:rsidRPr="009A27ED">
        <w:rPr>
          <w:rFonts w:ascii="Times New Roman" w:eastAsia="Times New Roman" w:hAnsi="Times New Roman" w:cstheme="minorHAnsi"/>
          <w:sz w:val="24"/>
          <w:szCs w:val="22"/>
          <w:lang w:val="es-ES"/>
        </w:rPr>
        <w:t>Programa REDD+</w:t>
      </w:r>
      <w:proofErr w:type="gramStart"/>
      <w:r w:rsidR="001920C0" w:rsidRPr="009A27ED">
        <w:rPr>
          <w:rFonts w:ascii="Times New Roman" w:eastAsia="Times New Roman" w:hAnsi="Times New Roman" w:cstheme="minorHAnsi"/>
          <w:sz w:val="24"/>
          <w:szCs w:val="22"/>
          <w:lang w:val="es-ES"/>
        </w:rPr>
        <w:t>+</w:t>
      </w:r>
      <w:r w:rsidRPr="009A27ED">
        <w:rPr>
          <w:rFonts w:ascii="Times New Roman" w:eastAsia="Times New Roman" w:hAnsi="Times New Roman" w:cstheme="minorHAnsi"/>
          <w:sz w:val="24"/>
          <w:szCs w:val="22"/>
          <w:lang w:val="es-ES"/>
        </w:rPr>
        <w:t>(</w:t>
      </w:r>
      <w:proofErr w:type="gramEnd"/>
      <w:r w:rsidRPr="009A27ED">
        <w:rPr>
          <w:rFonts w:ascii="Times New Roman" w:eastAsia="Times New Roman" w:hAnsi="Times New Roman" w:cstheme="minorHAnsi"/>
          <w:sz w:val="24"/>
          <w:szCs w:val="22"/>
          <w:lang w:val="es-ES"/>
        </w:rPr>
        <w:t xml:space="preserve">proporción de parcelas tituladas y no tituladas, tipos de tenencia por categorías de áreas, tipos de conflictos). No obstante, esto no representa un obstáculo técnico ni legal para el </w:t>
      </w:r>
      <w:r w:rsidR="00AF66EF" w:rsidRPr="009A27ED">
        <w:rPr>
          <w:rFonts w:ascii="Times New Roman" w:eastAsia="Times New Roman" w:hAnsi="Times New Roman" w:cstheme="minorHAnsi"/>
          <w:sz w:val="24"/>
          <w:szCs w:val="22"/>
          <w:lang w:val="es-ES"/>
        </w:rPr>
        <w:t>reconocimiento de</w:t>
      </w:r>
      <w:r w:rsidRPr="009A27ED">
        <w:rPr>
          <w:rFonts w:ascii="Times New Roman" w:eastAsia="Times New Roman" w:hAnsi="Times New Roman" w:cstheme="minorHAnsi"/>
          <w:sz w:val="24"/>
          <w:szCs w:val="22"/>
          <w:lang w:val="es-ES"/>
        </w:rPr>
        <w:t xml:space="preserve"> los tipos de tenencia, ni para la determinación de las principales causas de la deforestación y degradación en las áreas prioritarias identificadas para el </w:t>
      </w:r>
      <w:r w:rsidR="00124B63" w:rsidRPr="009A27ED">
        <w:rPr>
          <w:rFonts w:ascii="Times New Roman" w:eastAsia="Times New Roman" w:hAnsi="Times New Roman" w:cstheme="minorHAnsi"/>
          <w:sz w:val="24"/>
          <w:szCs w:val="22"/>
          <w:lang w:val="es-ES"/>
        </w:rPr>
        <w:t>Programa REDD+</w:t>
      </w:r>
      <w:r w:rsidRPr="009A27ED">
        <w:rPr>
          <w:rFonts w:ascii="Times New Roman" w:eastAsia="Times New Roman" w:hAnsi="Times New Roman" w:cstheme="minorHAnsi"/>
          <w:sz w:val="24"/>
          <w:szCs w:val="22"/>
          <w:lang w:val="es-ES"/>
        </w:rPr>
        <w:t xml:space="preserve">.  </w:t>
      </w:r>
    </w:p>
    <w:p w14:paraId="3EADADA4" w14:textId="317769D5" w:rsidR="004B496C" w:rsidRPr="009A27ED" w:rsidRDefault="004B496C" w:rsidP="004B496C">
      <w:pPr>
        <w:pStyle w:val="Bodytext20"/>
        <w:shd w:val="clear" w:color="auto" w:fill="auto"/>
        <w:spacing w:after="0" w:line="360" w:lineRule="auto"/>
        <w:rPr>
          <w:rFonts w:cstheme="minorHAnsi"/>
          <w:b/>
          <w:i/>
          <w:szCs w:val="22"/>
          <w:lang w:val="es-ES"/>
        </w:rPr>
      </w:pPr>
      <w:r w:rsidRPr="009A27ED">
        <w:rPr>
          <w:rFonts w:ascii="Times New Roman" w:eastAsia="Times New Roman" w:hAnsi="Times New Roman" w:cstheme="minorHAnsi"/>
          <w:b/>
          <w:i/>
          <w:sz w:val="24"/>
          <w:szCs w:val="22"/>
          <w:lang w:val="es-ES"/>
        </w:rPr>
        <w:t>Impacto de la Tenencia de la Tierra en la implementación del Programa de Reducc</w:t>
      </w:r>
      <w:r w:rsidR="00A65F30" w:rsidRPr="009A27ED">
        <w:rPr>
          <w:rFonts w:ascii="Times New Roman" w:eastAsia="Times New Roman" w:hAnsi="Times New Roman" w:cstheme="minorHAnsi"/>
          <w:b/>
          <w:i/>
          <w:sz w:val="24"/>
          <w:szCs w:val="22"/>
          <w:lang w:val="es-ES"/>
        </w:rPr>
        <w:t>iones</w:t>
      </w:r>
      <w:r w:rsidRPr="009A27ED">
        <w:rPr>
          <w:rFonts w:ascii="Times New Roman" w:eastAsia="Times New Roman" w:hAnsi="Times New Roman" w:cstheme="minorHAnsi"/>
          <w:b/>
          <w:i/>
          <w:sz w:val="24"/>
          <w:szCs w:val="22"/>
          <w:lang w:val="es-ES"/>
        </w:rPr>
        <w:t xml:space="preserve"> de Emisiones</w:t>
      </w:r>
      <w:r w:rsidR="00A65F30" w:rsidRPr="009A27ED">
        <w:rPr>
          <w:rFonts w:ascii="Times New Roman" w:eastAsia="Times New Roman" w:hAnsi="Times New Roman" w:cstheme="minorHAnsi"/>
          <w:b/>
          <w:i/>
          <w:sz w:val="24"/>
          <w:szCs w:val="22"/>
          <w:lang w:val="es-ES"/>
        </w:rPr>
        <w:t xml:space="preserve"> por Deforestación y Degradación de los Bosques</w:t>
      </w:r>
      <w:r w:rsidRPr="009A27ED">
        <w:rPr>
          <w:rFonts w:ascii="Times New Roman" w:eastAsia="Times New Roman" w:hAnsi="Times New Roman" w:cstheme="minorHAnsi"/>
          <w:b/>
          <w:i/>
          <w:sz w:val="24"/>
          <w:szCs w:val="22"/>
          <w:lang w:val="es-ES"/>
        </w:rPr>
        <w:t>.</w:t>
      </w:r>
    </w:p>
    <w:p w14:paraId="27EB32B6" w14:textId="77777777" w:rsidR="004B496C" w:rsidRPr="009A27ED" w:rsidRDefault="004B496C" w:rsidP="004B496C">
      <w:pPr>
        <w:pStyle w:val="Bodytext20"/>
        <w:shd w:val="clear" w:color="auto" w:fill="auto"/>
        <w:spacing w:after="0" w:line="360" w:lineRule="auto"/>
        <w:rPr>
          <w:rFonts w:cstheme="minorHAnsi"/>
          <w:szCs w:val="22"/>
          <w:lang w:val="es-ES"/>
        </w:rPr>
      </w:pPr>
    </w:p>
    <w:p w14:paraId="05054A8F" w14:textId="2D8D20EF" w:rsidR="004B496C" w:rsidRPr="009A27ED" w:rsidRDefault="004B496C" w:rsidP="004B496C">
      <w:pPr>
        <w:pStyle w:val="Bodytext20"/>
        <w:shd w:val="clear" w:color="auto" w:fill="auto"/>
        <w:spacing w:after="0" w:line="360" w:lineRule="auto"/>
        <w:rPr>
          <w:rFonts w:cstheme="minorHAnsi"/>
          <w:szCs w:val="22"/>
          <w:lang w:val="es-ES"/>
        </w:rPr>
      </w:pPr>
      <w:r w:rsidRPr="009A27ED">
        <w:rPr>
          <w:rFonts w:ascii="Times New Roman" w:eastAsia="Times New Roman" w:hAnsi="Times New Roman" w:cstheme="minorHAnsi"/>
          <w:sz w:val="24"/>
          <w:szCs w:val="22"/>
          <w:lang w:val="es-ES"/>
        </w:rPr>
        <w:t xml:space="preserve">El régimen de tenencia de la tierra en la República Dominicana presenta, a primera impresión, algunas dificultades para acceder a derechos formales de propiedad.  </w:t>
      </w:r>
      <w:r w:rsidR="001B6C5C" w:rsidRPr="009A27ED">
        <w:rPr>
          <w:rFonts w:ascii="Times New Roman" w:eastAsia="Times New Roman" w:hAnsi="Times New Roman" w:cstheme="minorHAnsi"/>
          <w:sz w:val="24"/>
          <w:szCs w:val="22"/>
          <w:lang w:val="es-ES"/>
        </w:rPr>
        <w:t xml:space="preserve">Sin embargo, la implementación efectiva de un </w:t>
      </w:r>
      <w:r w:rsidR="00124B63" w:rsidRPr="009A27ED">
        <w:rPr>
          <w:rFonts w:ascii="Times New Roman" w:eastAsia="Times New Roman" w:hAnsi="Times New Roman" w:cstheme="minorHAnsi"/>
          <w:sz w:val="24"/>
          <w:szCs w:val="22"/>
          <w:lang w:val="es-ES"/>
        </w:rPr>
        <w:t>Programa REDD+</w:t>
      </w:r>
      <w:r w:rsidR="001B6C5C" w:rsidRPr="009A27ED">
        <w:rPr>
          <w:rFonts w:ascii="Times New Roman" w:eastAsia="Times New Roman" w:hAnsi="Times New Roman" w:cstheme="minorHAnsi"/>
          <w:sz w:val="24"/>
          <w:szCs w:val="22"/>
          <w:lang w:val="es-ES"/>
        </w:rPr>
        <w:t xml:space="preserve">, desde el punto de vista de los arreglos institucionales a ser formalizados como consecuencia de la ejecución de las líneas de acción planteadas por el </w:t>
      </w:r>
      <w:r w:rsidR="00124B63" w:rsidRPr="009A27ED">
        <w:rPr>
          <w:rFonts w:ascii="Times New Roman" w:eastAsia="Times New Roman" w:hAnsi="Times New Roman" w:cstheme="minorHAnsi"/>
          <w:sz w:val="24"/>
          <w:szCs w:val="22"/>
          <w:lang w:val="es-ES"/>
        </w:rPr>
        <w:t>Programa REDD+</w:t>
      </w:r>
      <w:r w:rsidR="001B6C5C" w:rsidRPr="009A27ED">
        <w:rPr>
          <w:rFonts w:ascii="Times New Roman" w:eastAsia="Times New Roman" w:hAnsi="Times New Roman" w:cstheme="minorHAnsi"/>
          <w:sz w:val="24"/>
          <w:szCs w:val="22"/>
          <w:lang w:val="es-ES"/>
        </w:rPr>
        <w:t xml:space="preserve">+ provocará consecuencias positivas respecto a los vacíos y brechas identificados más arriba. </w:t>
      </w:r>
      <w:r w:rsidRPr="009A27ED">
        <w:rPr>
          <w:rFonts w:ascii="Times New Roman" w:eastAsia="Times New Roman" w:hAnsi="Times New Roman" w:cstheme="minorHAnsi"/>
          <w:sz w:val="24"/>
          <w:szCs w:val="22"/>
          <w:lang w:val="es-ES"/>
        </w:rPr>
        <w:t xml:space="preserve">A este efecto, durante las consultas realizadas para la Evaluación Estratégica Ambiental y Social (SESA) con los actores y programas involucrados, se determinó que las alternativas planteadas para el reconocimiento y legitimación de la tenencia informal no representarán restricciones al acceso de los beneficios. Esto lo vemos reflejado en la Tabla de Comentarios recibidos en los talleres regionales SES y las reuniones del Comité Técnico Asesor que se incluye en el Capítulo 5.2 del </w:t>
      </w:r>
      <w:r w:rsidR="002302CF" w:rsidRPr="009A27ED">
        <w:rPr>
          <w:rFonts w:ascii="Times New Roman" w:eastAsia="Times New Roman" w:hAnsi="Times New Roman" w:cstheme="minorHAnsi"/>
          <w:sz w:val="24"/>
          <w:szCs w:val="22"/>
          <w:lang w:val="es-ES"/>
        </w:rPr>
        <w:t>ERPD.</w:t>
      </w:r>
    </w:p>
    <w:p w14:paraId="370A0CA4" w14:textId="77777777" w:rsidR="004B496C" w:rsidRPr="009A27ED" w:rsidRDefault="004B496C" w:rsidP="004B496C">
      <w:pPr>
        <w:pStyle w:val="Bodytext20"/>
        <w:shd w:val="clear" w:color="auto" w:fill="auto"/>
        <w:spacing w:after="0" w:line="360" w:lineRule="auto"/>
        <w:rPr>
          <w:rFonts w:cstheme="minorHAnsi"/>
          <w:szCs w:val="22"/>
          <w:lang w:val="es-ES"/>
        </w:rPr>
      </w:pPr>
    </w:p>
    <w:p w14:paraId="1793CE5D" w14:textId="1A354E7D" w:rsidR="004B496C" w:rsidRPr="009A27ED" w:rsidRDefault="004B496C" w:rsidP="004B496C">
      <w:pPr>
        <w:pStyle w:val="Bodytext20"/>
        <w:shd w:val="clear" w:color="auto" w:fill="auto"/>
        <w:spacing w:after="0" w:line="360" w:lineRule="auto"/>
        <w:rPr>
          <w:rFonts w:ascii="Calibri" w:hAnsi="Calibri" w:cs="Calibri"/>
          <w:szCs w:val="22"/>
          <w:lang w:val="es-ES"/>
        </w:rPr>
      </w:pPr>
      <w:r w:rsidRPr="009A27ED">
        <w:rPr>
          <w:rFonts w:ascii="Times New Roman" w:eastAsia="Times New Roman" w:hAnsi="Times New Roman" w:cstheme="minorHAnsi"/>
          <w:sz w:val="24"/>
          <w:szCs w:val="22"/>
          <w:lang w:val="es-ES"/>
        </w:rPr>
        <w:t xml:space="preserve">En este sentido, el </w:t>
      </w:r>
      <w:r w:rsidR="00124B63" w:rsidRPr="009A27ED">
        <w:rPr>
          <w:rFonts w:ascii="Times New Roman" w:eastAsia="Times New Roman" w:hAnsi="Times New Roman" w:cstheme="minorHAnsi"/>
          <w:sz w:val="24"/>
          <w:szCs w:val="22"/>
          <w:lang w:val="es-ES"/>
        </w:rPr>
        <w:t>Programa REDD+</w:t>
      </w:r>
      <w:r w:rsidR="001B6C5C" w:rsidRPr="009A27ED">
        <w:rPr>
          <w:rFonts w:ascii="Times New Roman" w:eastAsia="Times New Roman" w:hAnsi="Times New Roman" w:cstheme="minorHAnsi"/>
          <w:sz w:val="24"/>
          <w:szCs w:val="22"/>
          <w:lang w:val="es-ES"/>
        </w:rPr>
        <w:t>+ presentado</w:t>
      </w:r>
      <w:r w:rsidRPr="009A27ED">
        <w:rPr>
          <w:rFonts w:ascii="Times New Roman" w:eastAsia="Times New Roman" w:hAnsi="Times New Roman" w:cstheme="minorHAnsi"/>
          <w:sz w:val="24"/>
          <w:szCs w:val="22"/>
          <w:lang w:val="es-ES"/>
        </w:rPr>
        <w:t xml:space="preserve"> busca apoyar y facilitar el cumplimiento de los marcos legales existentes. A este efecto, se contempla el levantamiento de información y generación de datos de aquellos usufructuarios informales que cumplan con los requisitos necesarios para la prescripción adquisitiva, y que podrán calificar para iniciar el proceso formal de titulación ante la Jurisdicción Inmobiliaria. En esa medida, se podrá proporcionar a los actuales ocupantes la calidad de propietarios, produciendo una mayor seguridad jurídica y consecuentemente, mejores posibilidades de acceder a los mecanismos de compensación y fuentes de financiamiento que les permitan hacer uso apropiado de la tierra.</w:t>
      </w:r>
    </w:p>
    <w:p w14:paraId="1C609703" w14:textId="77777777" w:rsidR="004B496C" w:rsidRPr="009A27ED" w:rsidRDefault="004B496C" w:rsidP="004B496C">
      <w:pPr>
        <w:pStyle w:val="Bodytext20"/>
        <w:shd w:val="clear" w:color="auto" w:fill="auto"/>
        <w:spacing w:after="0" w:line="360" w:lineRule="auto"/>
        <w:rPr>
          <w:rFonts w:cstheme="minorHAnsi"/>
          <w:szCs w:val="22"/>
          <w:lang w:val="es-ES"/>
        </w:rPr>
      </w:pPr>
    </w:p>
    <w:p w14:paraId="408DFDAB" w14:textId="77777777" w:rsidR="004B496C" w:rsidRPr="009A27ED" w:rsidRDefault="004B496C" w:rsidP="004B496C">
      <w:pPr>
        <w:pStyle w:val="Bodytext20"/>
        <w:shd w:val="clear" w:color="auto" w:fill="auto"/>
        <w:spacing w:after="0" w:line="360" w:lineRule="auto"/>
        <w:rPr>
          <w:rFonts w:cstheme="minorHAnsi"/>
          <w:szCs w:val="22"/>
          <w:lang w:val="es-ES"/>
        </w:rPr>
      </w:pPr>
      <w:r w:rsidRPr="009A27ED">
        <w:rPr>
          <w:rFonts w:ascii="Times New Roman" w:eastAsia="Times New Roman" w:hAnsi="Times New Roman" w:cstheme="minorHAnsi"/>
          <w:sz w:val="24"/>
          <w:szCs w:val="22"/>
          <w:lang w:val="es-ES"/>
        </w:rPr>
        <w:t>A continuación, podemos mencionar dos (2) aspectos positivos que se derivarían de esta implementación:</w:t>
      </w:r>
    </w:p>
    <w:p w14:paraId="22497013" w14:textId="77777777" w:rsidR="004B496C" w:rsidRPr="009A27ED" w:rsidRDefault="004B496C" w:rsidP="004B496C">
      <w:pPr>
        <w:pStyle w:val="Bodytext20"/>
        <w:shd w:val="clear" w:color="auto" w:fill="auto"/>
        <w:spacing w:after="0" w:line="360" w:lineRule="auto"/>
        <w:rPr>
          <w:rFonts w:cstheme="minorHAnsi"/>
          <w:szCs w:val="22"/>
          <w:lang w:val="es-ES"/>
        </w:rPr>
      </w:pPr>
    </w:p>
    <w:p w14:paraId="63DB1F5B" w14:textId="4B3B6B8B" w:rsidR="000077F2" w:rsidRPr="009A27ED" w:rsidRDefault="000077F2" w:rsidP="000077F2">
      <w:pPr>
        <w:pStyle w:val="Bodytext20"/>
        <w:numPr>
          <w:ilvl w:val="0"/>
          <w:numId w:val="149"/>
        </w:numPr>
        <w:shd w:val="clear" w:color="auto" w:fill="auto"/>
        <w:spacing w:after="120" w:line="360" w:lineRule="auto"/>
        <w:ind w:left="630"/>
        <w:rPr>
          <w:rFonts w:cstheme="minorHAnsi"/>
          <w:szCs w:val="22"/>
          <w:lang w:val="es-ES"/>
        </w:rPr>
      </w:pPr>
      <w:r w:rsidRPr="009A27ED">
        <w:rPr>
          <w:rFonts w:ascii="Times New Roman" w:eastAsia="Times New Roman" w:hAnsi="Times New Roman"/>
          <w:color w:val="000000"/>
          <w:sz w:val="24"/>
          <w:szCs w:val="22"/>
          <w:lang w:val="es-ES"/>
        </w:rPr>
        <w:t xml:space="preserve">Se </w:t>
      </w:r>
      <w:r w:rsidR="00AF66EF" w:rsidRPr="009A27ED">
        <w:rPr>
          <w:rFonts w:ascii="Times New Roman" w:eastAsia="Times New Roman" w:hAnsi="Times New Roman"/>
          <w:color w:val="000000"/>
          <w:sz w:val="24"/>
          <w:szCs w:val="22"/>
          <w:lang w:val="es-ES"/>
        </w:rPr>
        <w:t>orientará</w:t>
      </w:r>
      <w:r w:rsidRPr="009A27ED">
        <w:rPr>
          <w:rFonts w:ascii="Times New Roman" w:eastAsia="Times New Roman" w:hAnsi="Times New Roman"/>
          <w:color w:val="000000"/>
          <w:sz w:val="24"/>
          <w:szCs w:val="22"/>
          <w:lang w:val="es-ES"/>
        </w:rPr>
        <w:t xml:space="preserve"> a los beneficiarios que cumplan con los requisitos de prescripción adquisitiva para optar por el registro formal de sus terrenos, generándose una base de datos con las informaciones de </w:t>
      </w:r>
      <w:proofErr w:type="gramStart"/>
      <w:r w:rsidRPr="009A27ED">
        <w:rPr>
          <w:rFonts w:ascii="Times New Roman" w:eastAsia="Times New Roman" w:hAnsi="Times New Roman"/>
          <w:color w:val="000000"/>
          <w:sz w:val="24"/>
          <w:szCs w:val="22"/>
          <w:lang w:val="es-ES"/>
        </w:rPr>
        <w:t>los mismos</w:t>
      </w:r>
      <w:proofErr w:type="gramEnd"/>
      <w:r w:rsidRPr="009A27ED">
        <w:rPr>
          <w:rFonts w:ascii="Times New Roman" w:eastAsia="Times New Roman" w:hAnsi="Times New Roman" w:cstheme="minorHAnsi"/>
          <w:color w:val="000000"/>
          <w:sz w:val="24"/>
          <w:szCs w:val="22"/>
          <w:lang w:val="es-ES"/>
        </w:rPr>
        <w:t xml:space="preserve"> </w:t>
      </w:r>
    </w:p>
    <w:p w14:paraId="765D5267" w14:textId="0A10C6D6" w:rsidR="004B496C" w:rsidRPr="009A27ED" w:rsidRDefault="004B496C" w:rsidP="00C97A18">
      <w:pPr>
        <w:pStyle w:val="Bodytext20"/>
        <w:shd w:val="clear" w:color="auto" w:fill="auto"/>
        <w:spacing w:after="0" w:line="360" w:lineRule="auto"/>
        <w:ind w:left="426"/>
        <w:rPr>
          <w:rFonts w:cstheme="minorHAnsi"/>
          <w:szCs w:val="22"/>
          <w:lang w:val="es-ES"/>
        </w:rPr>
      </w:pPr>
    </w:p>
    <w:p w14:paraId="30D92DE4" w14:textId="3689D25C" w:rsidR="004B496C" w:rsidRPr="009A27ED" w:rsidRDefault="004B496C" w:rsidP="00E67CB0">
      <w:pPr>
        <w:pStyle w:val="Bodytext20"/>
        <w:numPr>
          <w:ilvl w:val="0"/>
          <w:numId w:val="149"/>
        </w:numPr>
        <w:shd w:val="clear" w:color="auto" w:fill="auto"/>
        <w:spacing w:after="0" w:line="360" w:lineRule="auto"/>
        <w:ind w:left="426"/>
        <w:rPr>
          <w:rFonts w:cstheme="minorHAnsi"/>
          <w:szCs w:val="22"/>
          <w:lang w:val="es-ES"/>
        </w:rPr>
      </w:pPr>
      <w:r w:rsidRPr="009A27ED">
        <w:rPr>
          <w:rFonts w:ascii="Times New Roman" w:eastAsia="Times New Roman" w:hAnsi="Times New Roman" w:cstheme="minorHAnsi"/>
          <w:sz w:val="24"/>
          <w:szCs w:val="22"/>
          <w:lang w:val="es-ES"/>
        </w:rPr>
        <w:t xml:space="preserve">Gestionar soluciones efectivas para resolver las controversias relacionadas </w:t>
      </w:r>
      <w:r w:rsidR="00AF66EF" w:rsidRPr="009A27ED">
        <w:rPr>
          <w:rFonts w:ascii="Times New Roman" w:eastAsia="Times New Roman" w:hAnsi="Times New Roman" w:cstheme="minorHAnsi"/>
          <w:sz w:val="24"/>
          <w:szCs w:val="22"/>
          <w:lang w:val="es-ES"/>
        </w:rPr>
        <w:t xml:space="preserve">con </w:t>
      </w:r>
      <w:r w:rsidR="00AF66EF" w:rsidRPr="009A27ED">
        <w:rPr>
          <w:rFonts w:ascii="Times New Roman" w:eastAsia="Times New Roman" w:hAnsi="Times New Roman" w:cstheme="minorHAnsi"/>
          <w:sz w:val="24"/>
          <w:szCs w:val="22"/>
          <w:lang w:val="es-ES"/>
        </w:rPr>
        <w:lastRenderedPageBreak/>
        <w:t>propietarios</w:t>
      </w:r>
      <w:r w:rsidRPr="009A27ED">
        <w:rPr>
          <w:rFonts w:ascii="Times New Roman" w:eastAsia="Times New Roman" w:hAnsi="Times New Roman" w:cstheme="minorHAnsi"/>
          <w:sz w:val="24"/>
          <w:szCs w:val="22"/>
          <w:lang w:val="es-ES"/>
        </w:rPr>
        <w:t xml:space="preserve"> formales y poseedores de hecho. En este caso, los conflictos y controversias que se presenten entre ocupantes informales serán atendidos dentro del marco del Mecanismo de Quejas, Reclamos y Manejos de Conflictos descrito en el Capítulo 15.2 del Programa Nacional de Reducción de Emisiones (</w:t>
      </w:r>
      <w:r w:rsidR="00124B63" w:rsidRPr="009A27ED">
        <w:rPr>
          <w:rFonts w:ascii="Times New Roman" w:eastAsia="Times New Roman" w:hAnsi="Times New Roman" w:cstheme="minorHAnsi"/>
          <w:sz w:val="24"/>
          <w:szCs w:val="22"/>
          <w:lang w:val="es-ES"/>
        </w:rPr>
        <w:t>Programa REDD+</w:t>
      </w:r>
      <w:r w:rsidR="002302CF" w:rsidRPr="009A27ED">
        <w:rPr>
          <w:rFonts w:ascii="Times New Roman" w:eastAsia="Times New Roman" w:hAnsi="Times New Roman" w:cstheme="minorHAnsi"/>
          <w:sz w:val="24"/>
          <w:szCs w:val="22"/>
          <w:lang w:val="es-ES"/>
        </w:rPr>
        <w:t>+</w:t>
      </w:r>
      <w:r w:rsidRPr="009A27ED">
        <w:rPr>
          <w:rFonts w:ascii="Times New Roman" w:eastAsia="Times New Roman" w:hAnsi="Times New Roman" w:cstheme="minorHAnsi"/>
          <w:sz w:val="24"/>
          <w:szCs w:val="22"/>
          <w:lang w:val="es-ES"/>
        </w:rPr>
        <w:t xml:space="preserve">).  El MQRC abordará la solución de estas controversias a través de la verificación de los requisitos documentales que avalan la posesión de hecho. Los requisitos para determinar la legitimidad de la tenencia informal, bajo el esquema de la prescripción adquisitiva, permitirá una reducción de riesgos relacionados con posibles conflictos. En caso de ser necesario, se canalizará la resolución de estos casos a las entidades correspondientes. Para el caso de los conflictos relacionados con derechos de propiedad registrados deberán ser atendidos en las instancias judiciales </w:t>
      </w:r>
      <w:r w:rsidR="00AF66EF" w:rsidRPr="009A27ED">
        <w:rPr>
          <w:rFonts w:ascii="Times New Roman" w:eastAsia="Times New Roman" w:hAnsi="Times New Roman" w:cstheme="minorHAnsi"/>
          <w:sz w:val="24"/>
          <w:szCs w:val="22"/>
          <w:lang w:val="es-ES"/>
        </w:rPr>
        <w:t>inmobiliarias, cumpliendo</w:t>
      </w:r>
      <w:r w:rsidRPr="009A27ED">
        <w:rPr>
          <w:rFonts w:ascii="Times New Roman" w:eastAsia="Times New Roman" w:hAnsi="Times New Roman" w:cstheme="minorHAnsi"/>
          <w:sz w:val="24"/>
          <w:szCs w:val="22"/>
          <w:lang w:val="es-ES"/>
        </w:rPr>
        <w:t xml:space="preserve"> el procedimiento </w:t>
      </w:r>
      <w:r w:rsidR="00AF66EF" w:rsidRPr="009A27ED">
        <w:rPr>
          <w:rFonts w:ascii="Times New Roman" w:eastAsia="Times New Roman" w:hAnsi="Times New Roman" w:cstheme="minorHAnsi"/>
          <w:sz w:val="24"/>
          <w:szCs w:val="22"/>
          <w:lang w:val="es-ES"/>
        </w:rPr>
        <w:t>establecido por</w:t>
      </w:r>
      <w:r w:rsidRPr="009A27ED">
        <w:rPr>
          <w:rFonts w:ascii="Times New Roman" w:eastAsia="Times New Roman" w:hAnsi="Times New Roman" w:cstheme="minorHAnsi"/>
          <w:sz w:val="24"/>
          <w:szCs w:val="22"/>
          <w:lang w:val="es-ES"/>
        </w:rPr>
        <w:t xml:space="preserve"> la Ley No.108-05 de Registro Inmobiliario. </w:t>
      </w:r>
    </w:p>
    <w:p w14:paraId="16C24D30" w14:textId="77777777" w:rsidR="004B496C" w:rsidRPr="009A27ED" w:rsidRDefault="004B496C" w:rsidP="004B496C">
      <w:pPr>
        <w:pStyle w:val="Bodytext20"/>
        <w:shd w:val="clear" w:color="auto" w:fill="auto"/>
        <w:spacing w:after="0" w:line="360" w:lineRule="auto"/>
        <w:ind w:left="1770"/>
        <w:rPr>
          <w:szCs w:val="22"/>
          <w:lang w:val="es-ES"/>
        </w:rPr>
      </w:pPr>
    </w:p>
    <w:p w14:paraId="3717D73F" w14:textId="25DE7B43" w:rsidR="004B496C" w:rsidRPr="009A27ED" w:rsidRDefault="004B496C" w:rsidP="004B496C">
      <w:pPr>
        <w:autoSpaceDE w:val="0"/>
        <w:autoSpaceDN w:val="0"/>
        <w:adjustRightInd w:val="0"/>
        <w:spacing w:after="0" w:line="360" w:lineRule="auto"/>
        <w:rPr>
          <w:color w:val="000000"/>
          <w:szCs w:val="22"/>
        </w:rPr>
      </w:pPr>
      <w:r w:rsidRPr="009A27ED">
        <w:rPr>
          <w:rFonts w:ascii="Times New Roman" w:eastAsia="Times New Roman" w:hAnsi="Times New Roman"/>
          <w:color w:val="000000"/>
          <w:sz w:val="24"/>
          <w:szCs w:val="22"/>
        </w:rPr>
        <w:t xml:space="preserve">En lo que respecta al reconocimiento de las posesiones de hecho, existen en la actualidad mecanismos consuetudinarios reconocidos legalmente, que permiten avalar las intervenciones pacíficas bajo el esquema de la prescripción adquisitiva o presunción de legalidad de la tenencia informal. </w:t>
      </w:r>
      <w:r w:rsidRPr="009A27ED">
        <w:rPr>
          <w:rFonts w:ascii="Times New Roman" w:eastAsia="Times New Roman" w:hAnsi="Times New Roman"/>
          <w:iCs/>
          <w:sz w:val="24"/>
          <w:szCs w:val="22"/>
        </w:rPr>
        <w:t>Para el reconocimiento de esta presunción de legalidad de la tenencia de la tierra informal en</w:t>
      </w:r>
      <w:r w:rsidRPr="009A27ED">
        <w:rPr>
          <w:rFonts w:ascii="Times New Roman" w:eastAsia="Times New Roman" w:hAnsi="Times New Roman"/>
          <w:color w:val="000000"/>
          <w:sz w:val="24"/>
          <w:szCs w:val="22"/>
        </w:rPr>
        <w:t xml:space="preserve"> la implementación del </w:t>
      </w:r>
      <w:r w:rsidR="00124B63" w:rsidRPr="009A27ED">
        <w:rPr>
          <w:rFonts w:ascii="Times New Roman" w:eastAsia="Times New Roman" w:hAnsi="Times New Roman"/>
          <w:color w:val="000000"/>
          <w:sz w:val="24"/>
          <w:szCs w:val="22"/>
        </w:rPr>
        <w:t>Programa REDD+</w:t>
      </w:r>
      <w:r w:rsidRPr="009A27ED">
        <w:rPr>
          <w:rFonts w:ascii="Times New Roman" w:eastAsia="Times New Roman" w:hAnsi="Times New Roman"/>
          <w:color w:val="000000"/>
          <w:sz w:val="24"/>
          <w:szCs w:val="22"/>
        </w:rPr>
        <w:t>, se pueden considerar válidos los siguientes documentos o actos, a saber:</w:t>
      </w:r>
    </w:p>
    <w:p w14:paraId="28A95731" w14:textId="77777777" w:rsidR="004B496C" w:rsidRPr="009A27ED" w:rsidRDefault="004B496C" w:rsidP="004B496C">
      <w:pPr>
        <w:autoSpaceDE w:val="0"/>
        <w:autoSpaceDN w:val="0"/>
        <w:adjustRightInd w:val="0"/>
        <w:spacing w:after="0" w:line="360" w:lineRule="auto"/>
        <w:rPr>
          <w:color w:val="000000"/>
          <w:szCs w:val="22"/>
        </w:rPr>
      </w:pPr>
    </w:p>
    <w:p w14:paraId="0382BB56" w14:textId="77777777" w:rsidR="004B496C" w:rsidRPr="009A27ED" w:rsidRDefault="004B496C" w:rsidP="00E67CB0">
      <w:pPr>
        <w:pStyle w:val="Prrafodelista"/>
        <w:numPr>
          <w:ilvl w:val="0"/>
          <w:numId w:val="149"/>
        </w:numPr>
        <w:autoSpaceDE w:val="0"/>
        <w:autoSpaceDN w:val="0"/>
        <w:adjustRightInd w:val="0"/>
        <w:spacing w:after="0" w:line="360" w:lineRule="auto"/>
        <w:ind w:left="1769" w:hanging="357"/>
        <w:rPr>
          <w:color w:val="000000"/>
          <w:szCs w:val="22"/>
        </w:rPr>
      </w:pPr>
      <w:r w:rsidRPr="009A27ED">
        <w:rPr>
          <w:rFonts w:ascii="Times New Roman" w:eastAsia="Times New Roman" w:hAnsi="Times New Roman"/>
          <w:color w:val="000000"/>
          <w:sz w:val="24"/>
          <w:szCs w:val="22"/>
        </w:rPr>
        <w:t xml:space="preserve">Acto de compra notarizado inscrito y transcrito de terrenos comuneros sin mensurar a ocupante. </w:t>
      </w:r>
    </w:p>
    <w:p w14:paraId="49597F20" w14:textId="77777777" w:rsidR="004B496C" w:rsidRPr="009A27ED" w:rsidRDefault="004B496C" w:rsidP="00E67CB0">
      <w:pPr>
        <w:pStyle w:val="Prrafodelista"/>
        <w:numPr>
          <w:ilvl w:val="0"/>
          <w:numId w:val="149"/>
        </w:numPr>
        <w:autoSpaceDE w:val="0"/>
        <w:autoSpaceDN w:val="0"/>
        <w:adjustRightInd w:val="0"/>
        <w:spacing w:after="0" w:line="360" w:lineRule="auto"/>
        <w:ind w:left="1769" w:hanging="357"/>
        <w:rPr>
          <w:color w:val="000000"/>
          <w:szCs w:val="22"/>
        </w:rPr>
      </w:pPr>
      <w:r w:rsidRPr="009A27ED">
        <w:rPr>
          <w:rFonts w:ascii="Times New Roman" w:eastAsia="Times New Roman" w:hAnsi="Times New Roman"/>
          <w:color w:val="000000"/>
          <w:sz w:val="24"/>
          <w:szCs w:val="22"/>
        </w:rPr>
        <w:t xml:space="preserve">Acto de compra notarizado inscrito y transcrito de terrenos comuneros sin mensurar a ocupante. </w:t>
      </w:r>
    </w:p>
    <w:p w14:paraId="096EC0E6" w14:textId="77777777" w:rsidR="004B496C" w:rsidRPr="009A27ED" w:rsidRDefault="004B496C" w:rsidP="00E67CB0">
      <w:pPr>
        <w:pStyle w:val="Prrafodelista"/>
        <w:numPr>
          <w:ilvl w:val="0"/>
          <w:numId w:val="149"/>
        </w:numPr>
        <w:autoSpaceDE w:val="0"/>
        <w:autoSpaceDN w:val="0"/>
        <w:adjustRightInd w:val="0"/>
        <w:spacing w:after="0" w:line="360" w:lineRule="auto"/>
        <w:ind w:hanging="219"/>
        <w:rPr>
          <w:iCs/>
          <w:color w:val="000000"/>
          <w:szCs w:val="22"/>
        </w:rPr>
      </w:pPr>
      <w:r w:rsidRPr="009A27ED">
        <w:rPr>
          <w:rFonts w:ascii="Times New Roman" w:eastAsia="Times New Roman" w:hAnsi="Times New Roman"/>
          <w:color w:val="000000"/>
          <w:sz w:val="24"/>
          <w:szCs w:val="22"/>
        </w:rPr>
        <w:t xml:space="preserve">  Acto de </w:t>
      </w:r>
      <w:proofErr w:type="gramStart"/>
      <w:r w:rsidRPr="009A27ED">
        <w:rPr>
          <w:rFonts w:ascii="Times New Roman" w:eastAsia="Times New Roman" w:hAnsi="Times New Roman"/>
          <w:color w:val="000000"/>
          <w:sz w:val="24"/>
          <w:szCs w:val="22"/>
        </w:rPr>
        <w:t>compra-venta</w:t>
      </w:r>
      <w:proofErr w:type="gramEnd"/>
      <w:r w:rsidRPr="009A27ED">
        <w:rPr>
          <w:rFonts w:ascii="Times New Roman" w:eastAsia="Times New Roman" w:hAnsi="Times New Roman"/>
          <w:color w:val="000000"/>
          <w:sz w:val="24"/>
          <w:szCs w:val="22"/>
        </w:rPr>
        <w:t xml:space="preserve"> con alcalde como testigo, no notarizado. </w:t>
      </w:r>
    </w:p>
    <w:p w14:paraId="78EAFBF6" w14:textId="77777777" w:rsidR="004B496C" w:rsidRPr="009A27ED" w:rsidRDefault="004B496C" w:rsidP="00E67CB0">
      <w:pPr>
        <w:pStyle w:val="Prrafodelista"/>
        <w:numPr>
          <w:ilvl w:val="0"/>
          <w:numId w:val="149"/>
        </w:numPr>
        <w:autoSpaceDE w:val="0"/>
        <w:autoSpaceDN w:val="0"/>
        <w:adjustRightInd w:val="0"/>
        <w:spacing w:after="0" w:line="360" w:lineRule="auto"/>
        <w:ind w:hanging="219"/>
        <w:rPr>
          <w:iCs/>
          <w:szCs w:val="22"/>
        </w:rPr>
      </w:pPr>
      <w:r w:rsidRPr="009A27ED">
        <w:rPr>
          <w:rFonts w:ascii="Times New Roman" w:eastAsia="Times New Roman" w:hAnsi="Times New Roman"/>
          <w:iCs/>
          <w:sz w:val="24"/>
          <w:szCs w:val="22"/>
        </w:rPr>
        <w:t xml:space="preserve">  Acto de </w:t>
      </w:r>
      <w:proofErr w:type="gramStart"/>
      <w:r w:rsidRPr="009A27ED">
        <w:rPr>
          <w:rFonts w:ascii="Times New Roman" w:eastAsia="Times New Roman" w:hAnsi="Times New Roman"/>
          <w:iCs/>
          <w:sz w:val="24"/>
          <w:szCs w:val="22"/>
        </w:rPr>
        <w:t>compra-venta</w:t>
      </w:r>
      <w:proofErr w:type="gramEnd"/>
      <w:r w:rsidRPr="009A27ED">
        <w:rPr>
          <w:rFonts w:ascii="Times New Roman" w:eastAsia="Times New Roman" w:hAnsi="Times New Roman"/>
          <w:iCs/>
          <w:sz w:val="24"/>
          <w:szCs w:val="22"/>
        </w:rPr>
        <w:t xml:space="preserve"> de terrenos mensurados</w:t>
      </w:r>
    </w:p>
    <w:p w14:paraId="69D10659" w14:textId="77777777" w:rsidR="004B496C" w:rsidRPr="009A27ED" w:rsidRDefault="004B496C" w:rsidP="00E67CB0">
      <w:pPr>
        <w:pStyle w:val="Prrafodelista"/>
        <w:numPr>
          <w:ilvl w:val="0"/>
          <w:numId w:val="149"/>
        </w:numPr>
        <w:autoSpaceDE w:val="0"/>
        <w:autoSpaceDN w:val="0"/>
        <w:adjustRightInd w:val="0"/>
        <w:spacing w:after="0" w:line="360" w:lineRule="auto"/>
        <w:ind w:hanging="219"/>
        <w:rPr>
          <w:iCs/>
          <w:szCs w:val="22"/>
        </w:rPr>
      </w:pPr>
      <w:r w:rsidRPr="009A27ED">
        <w:rPr>
          <w:rFonts w:ascii="Times New Roman" w:eastAsia="Times New Roman" w:hAnsi="Times New Roman"/>
          <w:iCs/>
          <w:sz w:val="24"/>
          <w:szCs w:val="22"/>
        </w:rPr>
        <w:t xml:space="preserve">  Declaración jurada de posesión, notarizado bajo testigos</w:t>
      </w:r>
    </w:p>
    <w:p w14:paraId="12ED7973" w14:textId="7CB54642" w:rsidR="004B496C" w:rsidRPr="009A27ED" w:rsidRDefault="004B496C" w:rsidP="00E67CB0">
      <w:pPr>
        <w:pStyle w:val="Prrafodelista"/>
        <w:numPr>
          <w:ilvl w:val="0"/>
          <w:numId w:val="149"/>
        </w:numPr>
        <w:autoSpaceDE w:val="0"/>
        <w:autoSpaceDN w:val="0"/>
        <w:adjustRightInd w:val="0"/>
        <w:spacing w:after="0" w:line="360" w:lineRule="auto"/>
        <w:ind w:hanging="219"/>
        <w:rPr>
          <w:iCs/>
          <w:szCs w:val="22"/>
        </w:rPr>
      </w:pPr>
      <w:r w:rsidRPr="009A27ED">
        <w:rPr>
          <w:rFonts w:ascii="Times New Roman" w:eastAsia="Times New Roman" w:hAnsi="Times New Roman"/>
          <w:iCs/>
          <w:sz w:val="24"/>
          <w:szCs w:val="22"/>
        </w:rPr>
        <w:t xml:space="preserve">  Determinación de herederos, para </w:t>
      </w:r>
      <w:r w:rsidR="00AF66EF" w:rsidRPr="009A27ED">
        <w:rPr>
          <w:rFonts w:ascii="Times New Roman" w:eastAsia="Times New Roman" w:hAnsi="Times New Roman"/>
          <w:iCs/>
          <w:sz w:val="24"/>
          <w:szCs w:val="22"/>
        </w:rPr>
        <w:t>los casos</w:t>
      </w:r>
      <w:r w:rsidRPr="009A27ED">
        <w:rPr>
          <w:rFonts w:ascii="Times New Roman" w:eastAsia="Times New Roman" w:hAnsi="Times New Roman"/>
          <w:iCs/>
          <w:sz w:val="24"/>
          <w:szCs w:val="22"/>
        </w:rPr>
        <w:t xml:space="preserve"> de sucesión. </w:t>
      </w:r>
    </w:p>
    <w:p w14:paraId="3B58E095" w14:textId="77777777" w:rsidR="004B496C" w:rsidRPr="009A27ED" w:rsidRDefault="004B496C" w:rsidP="004B496C">
      <w:pPr>
        <w:pStyle w:val="Bodytext20"/>
        <w:shd w:val="clear" w:color="auto" w:fill="auto"/>
        <w:spacing w:line="360" w:lineRule="auto"/>
        <w:ind w:hanging="219"/>
        <w:rPr>
          <w:rFonts w:cstheme="minorHAnsi"/>
          <w:b/>
          <w:lang w:val="es-ES"/>
        </w:rPr>
      </w:pPr>
    </w:p>
    <w:p w14:paraId="22531903" w14:textId="447BE323" w:rsidR="004B496C" w:rsidRPr="009A27ED" w:rsidRDefault="004B496C" w:rsidP="004B496C">
      <w:pPr>
        <w:pStyle w:val="Bodytext20"/>
        <w:shd w:val="clear" w:color="auto" w:fill="auto"/>
        <w:spacing w:line="360" w:lineRule="auto"/>
        <w:rPr>
          <w:rFonts w:cstheme="minorHAnsi"/>
          <w:b/>
          <w:szCs w:val="22"/>
          <w:lang w:val="es-ES"/>
        </w:rPr>
      </w:pPr>
      <w:r w:rsidRPr="009A27ED">
        <w:rPr>
          <w:rFonts w:ascii="Times New Roman" w:eastAsia="Times New Roman" w:hAnsi="Times New Roman" w:cstheme="minorHAnsi"/>
          <w:b/>
          <w:sz w:val="24"/>
          <w:szCs w:val="22"/>
          <w:lang w:val="es-ES"/>
        </w:rPr>
        <w:t>Bibliografía</w:t>
      </w:r>
      <w:r w:rsidR="003E1C94" w:rsidRPr="009A27ED">
        <w:rPr>
          <w:rFonts w:ascii="Times New Roman" w:eastAsia="Times New Roman" w:hAnsi="Times New Roman" w:cstheme="minorHAnsi"/>
          <w:b/>
          <w:sz w:val="24"/>
          <w:szCs w:val="22"/>
          <w:lang w:val="es-ES"/>
        </w:rPr>
        <w:t xml:space="preserve"> del anexo </w:t>
      </w:r>
    </w:p>
    <w:p w14:paraId="68F34381" w14:textId="77777777" w:rsidR="004B496C" w:rsidRPr="009A27ED" w:rsidRDefault="004B496C" w:rsidP="004B496C">
      <w:pPr>
        <w:spacing w:line="360" w:lineRule="auto"/>
        <w:rPr>
          <w:szCs w:val="22"/>
        </w:rPr>
      </w:pPr>
      <w:r w:rsidRPr="009A27ED">
        <w:rPr>
          <w:rFonts w:ascii="Times New Roman" w:eastAsia="Times New Roman" w:hAnsi="Times New Roman"/>
          <w:sz w:val="24"/>
          <w:szCs w:val="22"/>
        </w:rPr>
        <w:lastRenderedPageBreak/>
        <w:t xml:space="preserve">Tribunal Constitucional.  2015. Constitución de la República Dominicana, primera edición.  Gaceta Oficial No. 10561.1 del 10 de julio de 2015. Santo Domingo, República Dominicana., </w:t>
      </w:r>
    </w:p>
    <w:p w14:paraId="5771ADA3" w14:textId="77777777" w:rsidR="004B496C" w:rsidRPr="009A27ED" w:rsidRDefault="004B496C" w:rsidP="004B496C">
      <w:pPr>
        <w:spacing w:line="360" w:lineRule="auto"/>
        <w:rPr>
          <w:szCs w:val="22"/>
        </w:rPr>
      </w:pPr>
      <w:r w:rsidRPr="009A27ED">
        <w:rPr>
          <w:rFonts w:ascii="Times New Roman" w:eastAsia="Times New Roman" w:hAnsi="Times New Roman"/>
          <w:sz w:val="24"/>
          <w:szCs w:val="22"/>
        </w:rPr>
        <w:t>Poder Ejecutivo. 2018, Ley sobre Pagos por Servicios Ambientales (Ley No. 44-18). Santo Domingo, República Dominicana.</w:t>
      </w:r>
    </w:p>
    <w:p w14:paraId="3F1F3722" w14:textId="77777777" w:rsidR="004B496C" w:rsidRPr="009A27ED" w:rsidRDefault="004B496C" w:rsidP="004B496C">
      <w:pPr>
        <w:spacing w:line="360" w:lineRule="auto"/>
        <w:rPr>
          <w:szCs w:val="22"/>
        </w:rPr>
      </w:pPr>
      <w:r w:rsidRPr="009A27ED">
        <w:rPr>
          <w:rFonts w:ascii="Times New Roman" w:eastAsia="Times New Roman" w:hAnsi="Times New Roman"/>
          <w:sz w:val="24"/>
          <w:szCs w:val="22"/>
        </w:rPr>
        <w:t>Poder Ejecutivo. 1942. Código Civil de la República Dominicana, modificado por la ley No.1860 del 1942. Santo Domingo, República Dominicana.</w:t>
      </w:r>
    </w:p>
    <w:p w14:paraId="2B92E2ED" w14:textId="77777777" w:rsidR="004B496C" w:rsidRPr="009A27ED" w:rsidRDefault="004B496C" w:rsidP="004B496C">
      <w:pPr>
        <w:spacing w:line="360" w:lineRule="auto"/>
        <w:rPr>
          <w:szCs w:val="22"/>
        </w:rPr>
      </w:pPr>
      <w:r w:rsidRPr="009A27ED">
        <w:rPr>
          <w:rFonts w:ascii="Times New Roman" w:eastAsia="Times New Roman" w:hAnsi="Times New Roman"/>
          <w:sz w:val="24"/>
          <w:szCs w:val="22"/>
        </w:rPr>
        <w:t>Poder Ejecutivo. 2004. Ley Sectorial de Áreas protegidas (Ley No.202-04). Gaceta Oficial No10582. Santo Domingo, República Dominicana.</w:t>
      </w:r>
    </w:p>
    <w:p w14:paraId="3D187431" w14:textId="77777777" w:rsidR="004B496C" w:rsidRPr="009A27ED" w:rsidRDefault="004B496C" w:rsidP="004B496C">
      <w:pPr>
        <w:spacing w:line="360" w:lineRule="auto"/>
        <w:rPr>
          <w:szCs w:val="22"/>
        </w:rPr>
      </w:pPr>
      <w:r w:rsidRPr="009A27ED">
        <w:rPr>
          <w:rFonts w:ascii="Times New Roman" w:eastAsia="Times New Roman" w:hAnsi="Times New Roman"/>
          <w:sz w:val="24"/>
          <w:szCs w:val="22"/>
        </w:rPr>
        <w:t>Poder Ejecutivo, 2005. Ley de Registro Inmobiliario (Ley No.108-05).  Gaceta Oficial</w:t>
      </w:r>
      <w:r w:rsidRPr="009A27ED">
        <w:rPr>
          <w:rFonts w:ascii="Times New Roman" w:eastAsia="Times New Roman" w:hAnsi="Times New Roman"/>
          <w:color w:val="545454"/>
          <w:sz w:val="24"/>
          <w:szCs w:val="22"/>
          <w:shd w:val="clear" w:color="auto" w:fill="FFFFFF"/>
        </w:rPr>
        <w:t xml:space="preserve"> </w:t>
      </w:r>
      <w:r w:rsidRPr="009A27ED">
        <w:rPr>
          <w:rFonts w:ascii="Times New Roman" w:eastAsia="Times New Roman" w:hAnsi="Times New Roman"/>
          <w:sz w:val="24"/>
          <w:szCs w:val="22"/>
          <w:shd w:val="clear" w:color="auto" w:fill="FFFFFF"/>
        </w:rPr>
        <w:t>No. 10316. Santo Domingo, República Dominicana.</w:t>
      </w:r>
    </w:p>
    <w:p w14:paraId="6E2E4A53" w14:textId="77777777" w:rsidR="004B496C" w:rsidRPr="009A27ED" w:rsidRDefault="004B496C" w:rsidP="004B496C">
      <w:pPr>
        <w:spacing w:line="360" w:lineRule="auto"/>
        <w:rPr>
          <w:szCs w:val="22"/>
        </w:rPr>
      </w:pPr>
      <w:r w:rsidRPr="009A27ED">
        <w:rPr>
          <w:rFonts w:ascii="Times New Roman" w:eastAsia="Times New Roman" w:hAnsi="Times New Roman"/>
          <w:sz w:val="24"/>
          <w:szCs w:val="22"/>
        </w:rPr>
        <w:t>Poder Ejecutivo. 1962, Ley de 5879 de Reforma Agraria (Ley No. 5879). Santo Domingo, República Dominicana.</w:t>
      </w:r>
    </w:p>
    <w:p w14:paraId="00E639C8" w14:textId="77777777" w:rsidR="004B496C" w:rsidRPr="009A27ED" w:rsidRDefault="004B496C" w:rsidP="004B496C">
      <w:pPr>
        <w:spacing w:line="360" w:lineRule="auto"/>
        <w:rPr>
          <w:szCs w:val="22"/>
          <w:lang w:val="en-US"/>
        </w:rPr>
      </w:pPr>
      <w:r w:rsidRPr="009A27ED">
        <w:rPr>
          <w:rFonts w:ascii="Times New Roman" w:eastAsia="Times New Roman" w:hAnsi="Times New Roman"/>
          <w:sz w:val="24"/>
          <w:szCs w:val="22"/>
        </w:rPr>
        <w:t xml:space="preserve">Poder Ejecutivo. 1943. Procedimiento especial para las expropiaciones intentadas por el Estado (Ley No. 344). </w:t>
      </w:r>
      <w:r w:rsidRPr="009A27ED">
        <w:rPr>
          <w:rFonts w:ascii="Times New Roman" w:eastAsia="Times New Roman" w:hAnsi="Times New Roman"/>
          <w:sz w:val="24"/>
          <w:szCs w:val="22"/>
          <w:lang w:val="en-US"/>
        </w:rPr>
        <w:t xml:space="preserve">Gaceta </w:t>
      </w:r>
      <w:proofErr w:type="spellStart"/>
      <w:r w:rsidRPr="009A27ED">
        <w:rPr>
          <w:rFonts w:ascii="Times New Roman" w:eastAsia="Times New Roman" w:hAnsi="Times New Roman"/>
          <w:sz w:val="24"/>
          <w:szCs w:val="22"/>
          <w:lang w:val="en-US"/>
        </w:rPr>
        <w:t>Oficial</w:t>
      </w:r>
      <w:proofErr w:type="spellEnd"/>
      <w:r w:rsidRPr="009A27ED">
        <w:rPr>
          <w:rFonts w:ascii="Times New Roman" w:eastAsia="Times New Roman" w:hAnsi="Times New Roman"/>
          <w:sz w:val="24"/>
          <w:szCs w:val="22"/>
          <w:lang w:val="en-US"/>
        </w:rPr>
        <w:t xml:space="preserve"> No. 5951. </w:t>
      </w:r>
      <w:r w:rsidRPr="009A27ED">
        <w:rPr>
          <w:rFonts w:ascii="Times New Roman" w:eastAsia="Times New Roman" w:hAnsi="Times New Roman"/>
          <w:sz w:val="24"/>
          <w:szCs w:val="22"/>
          <w:shd w:val="clear" w:color="auto" w:fill="FFFFFF"/>
          <w:lang w:val="en-US"/>
        </w:rPr>
        <w:t>Santo Domingo, República Dominicana.</w:t>
      </w:r>
    </w:p>
    <w:p w14:paraId="1B43693A" w14:textId="77777777" w:rsidR="004B496C" w:rsidRPr="009A27ED" w:rsidRDefault="004B496C" w:rsidP="004B496C">
      <w:pPr>
        <w:spacing w:line="360" w:lineRule="auto"/>
        <w:rPr>
          <w:szCs w:val="22"/>
        </w:rPr>
      </w:pPr>
      <w:r w:rsidRPr="009A27ED">
        <w:rPr>
          <w:rFonts w:ascii="Times New Roman" w:eastAsia="Times New Roman" w:hAnsi="Times New Roman"/>
          <w:sz w:val="24"/>
          <w:szCs w:val="22"/>
          <w:lang w:val="en-US"/>
        </w:rPr>
        <w:t xml:space="preserve">USAID. 2016. Property Rights and Resource Governance, Dominican Republic Country Profile. </w:t>
      </w:r>
      <w:r w:rsidRPr="009A27ED">
        <w:rPr>
          <w:rFonts w:ascii="Times New Roman" w:eastAsia="Times New Roman" w:hAnsi="Times New Roman"/>
          <w:sz w:val="24"/>
          <w:szCs w:val="22"/>
        </w:rPr>
        <w:t xml:space="preserve">En: </w:t>
      </w:r>
      <w:proofErr w:type="spellStart"/>
      <w:r w:rsidRPr="009A27ED">
        <w:rPr>
          <w:rFonts w:ascii="Times New Roman" w:eastAsia="Times New Roman" w:hAnsi="Times New Roman"/>
          <w:sz w:val="24"/>
          <w:szCs w:val="22"/>
        </w:rPr>
        <w:t>Lopes</w:t>
      </w:r>
      <w:proofErr w:type="spellEnd"/>
      <w:r w:rsidRPr="009A27ED">
        <w:rPr>
          <w:rFonts w:ascii="Times New Roman" w:eastAsia="Times New Roman" w:hAnsi="Times New Roman"/>
          <w:sz w:val="24"/>
          <w:szCs w:val="22"/>
        </w:rPr>
        <w:t>, L. 2018. Documento sobre Derechos de Carbono y Transferencia de Títulos de Reducción de Emisiones en República Dominicana. Santo Domingo, República Dominicana.</w:t>
      </w:r>
    </w:p>
    <w:p w14:paraId="04289910" w14:textId="632B914E" w:rsidR="004B496C" w:rsidRPr="009A27ED" w:rsidRDefault="004B496C" w:rsidP="004B496C">
      <w:pPr>
        <w:spacing w:line="360" w:lineRule="auto"/>
        <w:rPr>
          <w:bCs/>
          <w:szCs w:val="22"/>
        </w:rPr>
      </w:pPr>
      <w:r w:rsidRPr="009A27ED">
        <w:rPr>
          <w:rFonts w:ascii="Times New Roman" w:eastAsia="Times New Roman" w:hAnsi="Times New Roman"/>
          <w:sz w:val="24"/>
          <w:szCs w:val="22"/>
        </w:rPr>
        <w:t>Domínguez, O. 2018. E</w:t>
      </w:r>
      <w:r w:rsidRPr="009A27ED">
        <w:rPr>
          <w:rFonts w:ascii="Times New Roman" w:eastAsia="Times New Roman" w:hAnsi="Times New Roman"/>
          <w:bCs/>
          <w:sz w:val="24"/>
          <w:szCs w:val="22"/>
        </w:rPr>
        <w:t xml:space="preserve">valuación de la tenencia de la tierra y recursos para el </w:t>
      </w:r>
      <w:r w:rsidR="00124B63" w:rsidRPr="009A27ED">
        <w:rPr>
          <w:rFonts w:ascii="Times New Roman" w:eastAsia="Times New Roman" w:hAnsi="Times New Roman"/>
          <w:bCs/>
          <w:sz w:val="24"/>
          <w:szCs w:val="22"/>
        </w:rPr>
        <w:t>Programa REDD+</w:t>
      </w:r>
      <w:r w:rsidR="001B6C5C" w:rsidRPr="009A27ED">
        <w:rPr>
          <w:rFonts w:ascii="Times New Roman" w:eastAsia="Times New Roman" w:hAnsi="Times New Roman"/>
          <w:bCs/>
          <w:sz w:val="24"/>
          <w:szCs w:val="22"/>
        </w:rPr>
        <w:t>+ de</w:t>
      </w:r>
      <w:r w:rsidRPr="009A27ED">
        <w:rPr>
          <w:rFonts w:ascii="Times New Roman" w:eastAsia="Times New Roman" w:hAnsi="Times New Roman"/>
          <w:bCs/>
          <w:sz w:val="24"/>
          <w:szCs w:val="22"/>
        </w:rPr>
        <w:t xml:space="preserve"> República Dominicana. Santo Domingo, República Dominicana.</w:t>
      </w:r>
    </w:p>
    <w:p w14:paraId="6A37A377" w14:textId="77777777" w:rsidR="00405040" w:rsidRPr="009A27ED" w:rsidRDefault="00405040" w:rsidP="00E67E73">
      <w:pPr>
        <w:spacing w:before="120" w:after="0" w:line="360" w:lineRule="auto"/>
      </w:pPr>
    </w:p>
    <w:p w14:paraId="1917B9EF" w14:textId="686282F3" w:rsidR="00405040" w:rsidRPr="009A27ED" w:rsidRDefault="00405040">
      <w:pPr>
        <w:spacing w:after="160" w:line="360" w:lineRule="auto"/>
      </w:pPr>
      <w:r w:rsidRPr="009A27ED">
        <w:rPr>
          <w:rFonts w:ascii="Times New Roman" w:eastAsia="Times New Roman" w:hAnsi="Times New Roman"/>
          <w:sz w:val="24"/>
        </w:rPr>
        <w:br w:type="page"/>
      </w:r>
    </w:p>
    <w:p w14:paraId="58050D5C" w14:textId="2E3F0D01" w:rsidR="00405040" w:rsidRPr="009A27ED" w:rsidRDefault="00405040" w:rsidP="00AB3D08">
      <w:pPr>
        <w:pStyle w:val="Ttulo1"/>
        <w:numPr>
          <w:ilvl w:val="0"/>
          <w:numId w:val="0"/>
        </w:numPr>
        <w:spacing w:line="360" w:lineRule="auto"/>
        <w:jc w:val="both"/>
      </w:pPr>
      <w:bookmarkStart w:id="713" w:name="_Toc529470029"/>
      <w:bookmarkStart w:id="714" w:name="_Toc532335899"/>
      <w:bookmarkStart w:id="715" w:name="_Toc533594091"/>
      <w:bookmarkStart w:id="716" w:name="_Toc111838022"/>
      <w:bookmarkStart w:id="717" w:name="_Hlk4790109"/>
      <w:r w:rsidRPr="009A27ED">
        <w:rPr>
          <w:rFonts w:ascii="Times New Roman" w:eastAsia="Times New Roman" w:hAnsi="Times New Roman"/>
          <w:sz w:val="24"/>
        </w:rPr>
        <w:lastRenderedPageBreak/>
        <w:t xml:space="preserve">Anexo </w:t>
      </w:r>
      <w:r w:rsidR="00471D21" w:rsidRPr="009A27ED">
        <w:rPr>
          <w:rFonts w:ascii="Times New Roman" w:eastAsia="Times New Roman" w:hAnsi="Times New Roman"/>
          <w:sz w:val="24"/>
        </w:rPr>
        <w:t>3</w:t>
      </w:r>
      <w:r w:rsidRPr="009A27ED">
        <w:rPr>
          <w:rFonts w:ascii="Times New Roman" w:eastAsia="Times New Roman" w:hAnsi="Times New Roman"/>
          <w:sz w:val="24"/>
        </w:rPr>
        <w:t xml:space="preserve">. </w:t>
      </w:r>
      <w:r w:rsidR="004C153D" w:rsidRPr="009A27ED">
        <w:rPr>
          <w:rFonts w:ascii="Times New Roman" w:eastAsia="Times New Roman" w:hAnsi="Times New Roman"/>
          <w:sz w:val="24"/>
        </w:rPr>
        <w:t xml:space="preserve">Plan de manejo integrado de Plagas </w:t>
      </w:r>
      <w:r w:rsidRPr="009A27ED">
        <w:rPr>
          <w:rFonts w:ascii="Times New Roman" w:eastAsia="Times New Roman" w:hAnsi="Times New Roman"/>
          <w:sz w:val="24"/>
        </w:rPr>
        <w:t>y Enfermedades</w:t>
      </w:r>
      <w:bookmarkEnd w:id="713"/>
      <w:bookmarkEnd w:id="714"/>
      <w:bookmarkEnd w:id="715"/>
      <w:r w:rsidR="004C153D" w:rsidRPr="009A27ED">
        <w:rPr>
          <w:rFonts w:ascii="Times New Roman" w:eastAsia="Times New Roman" w:hAnsi="Times New Roman"/>
          <w:sz w:val="24"/>
        </w:rPr>
        <w:t xml:space="preserve"> (abordaje de la PO 4.09)</w:t>
      </w:r>
      <w:bookmarkEnd w:id="716"/>
    </w:p>
    <w:p w14:paraId="50D18FFE" w14:textId="77777777" w:rsidR="007948A0" w:rsidRPr="009A27ED" w:rsidRDefault="007948A0" w:rsidP="007948A0">
      <w:pPr>
        <w:autoSpaceDE w:val="0"/>
        <w:autoSpaceDN w:val="0"/>
        <w:adjustRightInd w:val="0"/>
        <w:spacing w:after="0" w:line="360" w:lineRule="auto"/>
        <w:rPr>
          <w:rFonts w:ascii="Calibri" w:hAnsi="Calibri" w:cs="Calibri"/>
          <w:color w:val="000000"/>
          <w:szCs w:val="22"/>
        </w:rPr>
      </w:pPr>
    </w:p>
    <w:p w14:paraId="128DE68E" w14:textId="77777777" w:rsidR="007948A0" w:rsidRPr="009A27ED" w:rsidRDefault="007948A0" w:rsidP="00E67CB0">
      <w:pPr>
        <w:pStyle w:val="Ttulo2"/>
        <w:numPr>
          <w:ilvl w:val="0"/>
          <w:numId w:val="274"/>
        </w:numPr>
        <w:spacing w:before="40" w:line="360" w:lineRule="auto"/>
        <w:ind w:left="426"/>
        <w:jc w:val="both"/>
        <w:rPr>
          <w:rFonts w:ascii="Calibri" w:hAnsi="Calibri" w:cs="Calibri"/>
          <w:sz w:val="22"/>
          <w:szCs w:val="22"/>
        </w:rPr>
      </w:pPr>
      <w:bookmarkStart w:id="718" w:name="_Toc111838023"/>
      <w:bookmarkStart w:id="719" w:name="_Toc8231881"/>
      <w:r w:rsidRPr="009A27ED">
        <w:rPr>
          <w:rFonts w:ascii="Times New Roman" w:eastAsia="Times New Roman" w:hAnsi="Times New Roman" w:cs="Calibri"/>
          <w:sz w:val="24"/>
          <w:szCs w:val="22"/>
        </w:rPr>
        <w:t>Marco Conceptual</w:t>
      </w:r>
      <w:bookmarkEnd w:id="718"/>
    </w:p>
    <w:p w14:paraId="68D2A2E9" w14:textId="77777777" w:rsidR="007948A0" w:rsidRPr="009A27ED" w:rsidRDefault="007948A0" w:rsidP="007948A0">
      <w:pPr>
        <w:spacing w:line="360" w:lineRule="auto"/>
        <w:rPr>
          <w:rFonts w:ascii="TimesNewRomanPSMT" w:hAnsi="TimesNewRomanPSMT" w:cs="TimesNewRomanPSMT"/>
          <w:szCs w:val="22"/>
          <w:lang w:val="es-GT"/>
        </w:rPr>
      </w:pPr>
      <w:r w:rsidRPr="009A27ED">
        <w:rPr>
          <w:rFonts w:ascii="Times New Roman" w:eastAsia="Times New Roman" w:hAnsi="Times New Roman" w:cs="Calibri"/>
          <w:sz w:val="24"/>
          <w:szCs w:val="22"/>
        </w:rPr>
        <w:t>Los plaguicidas son cualquier sustancia o mezcla de sustancias destinadas a prevenir, destruir o controlar cualquier plaga, incluyendo los vectores de enfermedades humanas o de los animales, las especies no deseadas de plantas o animales que causan perjuicio o que interfieren de cualquier otra forma en la producción, elaboración, almacenamiento, transporte o comercialización de alimentos, productos agrícolas, madera y productos de madera o alimentos para animales, o que pueden administrarse a los animales para combatir insectos, arácnidos u otras plagas en o sobre sus cuerpos. El término incluye las sustancias destinadas a utilizarse como reguladoras del crecimiento de las plantas, defoliantes, desecantes, agentes para reducir la densidad de fruta o agentes para evitar la caída prematura de la fruta, y las sustancias aplicadas a los cultivos antes o después de la cosecha para proteger el producto contra la deterioración durante el almacenamiento y transporte</w:t>
      </w:r>
      <w:r w:rsidRPr="009A27ED">
        <w:rPr>
          <w:rStyle w:val="Refdenotaalpie"/>
          <w:rFonts w:ascii="Times New Roman" w:eastAsia="Times New Roman" w:hAnsi="Times New Roman" w:cs="Calibri"/>
          <w:sz w:val="24"/>
          <w:szCs w:val="22"/>
        </w:rPr>
        <w:footnoteReference w:id="105"/>
      </w:r>
      <w:r w:rsidRPr="009A27ED">
        <w:rPr>
          <w:rFonts w:ascii="Times New Roman" w:eastAsia="Times New Roman" w:hAnsi="Times New Roman" w:cs="Calibri"/>
          <w:sz w:val="24"/>
          <w:szCs w:val="22"/>
        </w:rPr>
        <w:t>.</w:t>
      </w:r>
      <w:r w:rsidRPr="009A27ED">
        <w:rPr>
          <w:rFonts w:ascii="Times New Roman" w:eastAsia="Times New Roman" w:hAnsi="Times New Roman" w:cs="TimesNewRomanPSMT"/>
          <w:sz w:val="24"/>
          <w:szCs w:val="22"/>
          <w:lang w:val="es-GT"/>
        </w:rPr>
        <w:t xml:space="preserve"> </w:t>
      </w:r>
    </w:p>
    <w:p w14:paraId="73C0AFDD" w14:textId="77777777" w:rsidR="007948A0" w:rsidRPr="009A27ED" w:rsidRDefault="007948A0" w:rsidP="007948A0">
      <w:pPr>
        <w:autoSpaceDE w:val="0"/>
        <w:autoSpaceDN w:val="0"/>
        <w:adjustRightInd w:val="0"/>
        <w:spacing w:after="0" w:line="360" w:lineRule="auto"/>
        <w:rPr>
          <w:rFonts w:ascii="TimesNewRomanPSMT" w:hAnsi="TimesNewRomanPSMT" w:cs="TimesNewRomanPSMT"/>
          <w:szCs w:val="22"/>
          <w:lang w:val="es-GT"/>
        </w:rPr>
      </w:pPr>
    </w:p>
    <w:p w14:paraId="4227AEB7" w14:textId="77777777" w:rsidR="007948A0" w:rsidRPr="009A27ED" w:rsidRDefault="007948A0" w:rsidP="00E67CB0">
      <w:pPr>
        <w:pStyle w:val="Ttulo2"/>
        <w:numPr>
          <w:ilvl w:val="0"/>
          <w:numId w:val="274"/>
        </w:numPr>
        <w:spacing w:before="40" w:line="360" w:lineRule="auto"/>
        <w:ind w:left="426"/>
        <w:jc w:val="both"/>
        <w:rPr>
          <w:rFonts w:ascii="Calibri" w:hAnsi="Calibri" w:cs="Calibri"/>
          <w:sz w:val="22"/>
          <w:szCs w:val="22"/>
        </w:rPr>
      </w:pPr>
      <w:bookmarkStart w:id="720" w:name="_Toc111838024"/>
      <w:r w:rsidRPr="009A27ED">
        <w:rPr>
          <w:rFonts w:ascii="Times New Roman" w:eastAsia="Times New Roman" w:hAnsi="Times New Roman" w:cs="Calibri"/>
          <w:sz w:val="24"/>
          <w:szCs w:val="22"/>
        </w:rPr>
        <w:t>Finalidad de los Planes de Manejo de Plagas</w:t>
      </w:r>
      <w:bookmarkEnd w:id="719"/>
      <w:bookmarkEnd w:id="720"/>
    </w:p>
    <w:p w14:paraId="07667F05" w14:textId="77777777" w:rsidR="007948A0" w:rsidRPr="009A27ED" w:rsidRDefault="007948A0" w:rsidP="007948A0">
      <w:pPr>
        <w:spacing w:line="360" w:lineRule="auto"/>
        <w:rPr>
          <w:rFonts w:ascii="Calibri" w:hAnsi="Calibri" w:cs="Calibri"/>
          <w:szCs w:val="22"/>
        </w:rPr>
      </w:pPr>
      <w:r w:rsidRPr="009A27ED">
        <w:rPr>
          <w:rFonts w:ascii="Times New Roman" w:eastAsia="Times New Roman" w:hAnsi="Times New Roman" w:cs="Calibri"/>
          <w:sz w:val="24"/>
          <w:szCs w:val="22"/>
        </w:rPr>
        <w:t xml:space="preserve">Los Planes de Manejo de Plagas (PMP) tiene como objetivo asegurar un uso adecuado y seguro de los plaguicidas y fomentar las técnicas de manejo integrado de plagas, con el fin de evitar, o minimizar, los posibles efectos adversos derivados del incremento en el uso de plaguicidas o extensión de prácticas no sustentables o riesgosas para la salud o el ambiente. </w:t>
      </w:r>
    </w:p>
    <w:p w14:paraId="0223A2CF" w14:textId="77777777" w:rsidR="007948A0" w:rsidRPr="009A27ED" w:rsidRDefault="007948A0" w:rsidP="007948A0">
      <w:pPr>
        <w:spacing w:line="360" w:lineRule="auto"/>
        <w:rPr>
          <w:rFonts w:ascii="Calibri" w:hAnsi="Calibri" w:cs="Calibri"/>
          <w:szCs w:val="22"/>
        </w:rPr>
      </w:pPr>
      <w:r w:rsidRPr="009A27ED">
        <w:rPr>
          <w:rFonts w:ascii="Times New Roman" w:eastAsia="Times New Roman" w:hAnsi="Times New Roman" w:cs="Calibri"/>
          <w:sz w:val="24"/>
          <w:szCs w:val="22"/>
        </w:rPr>
        <w:t xml:space="preserve">Para mitigar el riesgo mencionado se requiere lograr un conocimiento básico de manejo de plaguicidas en todos los proyectos e identificar y canalizar los recursos existentes para capacitación técnica hacia aquellos proyectos con mayores riesgos de sufrir efectos adversos por el uso de plaguicidas. Las medidas contempladas en este PMP deberán aplicarse en todos los programas, sistemas, planes y proyectos, ya que, sin importar el apoyo solicitado, como actividad asociada se encuentra la operación. </w:t>
      </w:r>
    </w:p>
    <w:p w14:paraId="2C299752" w14:textId="77777777" w:rsidR="007948A0" w:rsidRPr="009A27ED" w:rsidRDefault="007948A0" w:rsidP="00E67CB0">
      <w:pPr>
        <w:pStyle w:val="Prrafodelista"/>
        <w:numPr>
          <w:ilvl w:val="0"/>
          <w:numId w:val="129"/>
        </w:numPr>
        <w:spacing w:after="120" w:line="360" w:lineRule="auto"/>
        <w:rPr>
          <w:rFonts w:ascii="Calibri" w:hAnsi="Calibri" w:cs="Calibri"/>
          <w:szCs w:val="22"/>
        </w:rPr>
      </w:pPr>
      <w:r w:rsidRPr="009A27ED">
        <w:rPr>
          <w:rFonts w:ascii="Times New Roman" w:eastAsia="Times New Roman" w:hAnsi="Times New Roman" w:cs="Calibri"/>
          <w:sz w:val="24"/>
          <w:szCs w:val="22"/>
        </w:rPr>
        <w:t xml:space="preserve">El Ministerio de Medio Ambiente (con el apoyo del Servicio de Control de Plagas del Ministerio de Agricultura), realizarán una manual de manejo integrado de plagas para </w:t>
      </w:r>
      <w:r w:rsidRPr="009A27ED">
        <w:rPr>
          <w:rFonts w:ascii="Times New Roman" w:eastAsia="Times New Roman" w:hAnsi="Times New Roman" w:cs="Calibri"/>
          <w:sz w:val="24"/>
          <w:szCs w:val="22"/>
        </w:rPr>
        <w:lastRenderedPageBreak/>
        <w:t>las actividades tipo REDD+ que se implementarán y uso de agroquímicos, tomando en cuenta la normativa de República Dominicana y/o el Código Internacional de Conducta para la Distribución y Utilización de Plaguicidas de la FAO.</w:t>
      </w:r>
    </w:p>
    <w:p w14:paraId="529F0081" w14:textId="77777777" w:rsidR="007948A0" w:rsidRPr="009A27ED" w:rsidRDefault="007948A0" w:rsidP="00E67CB0">
      <w:pPr>
        <w:pStyle w:val="Prrafodelista"/>
        <w:numPr>
          <w:ilvl w:val="0"/>
          <w:numId w:val="129"/>
        </w:numPr>
        <w:spacing w:after="120" w:line="360" w:lineRule="auto"/>
        <w:rPr>
          <w:rFonts w:ascii="Calibri" w:hAnsi="Calibri" w:cs="Calibri"/>
          <w:szCs w:val="22"/>
        </w:rPr>
      </w:pPr>
      <w:r w:rsidRPr="009A27ED">
        <w:rPr>
          <w:rFonts w:ascii="Times New Roman" w:eastAsia="Times New Roman" w:hAnsi="Times New Roman" w:cs="Calibri"/>
          <w:sz w:val="24"/>
          <w:szCs w:val="22"/>
        </w:rPr>
        <w:t xml:space="preserve">Se difundirán criterios de manejo integrado de plagas y manejo seguro de plaguicidas y sus envases usados, a los beneficiarios del proyecto. </w:t>
      </w:r>
    </w:p>
    <w:p w14:paraId="38E32BEE" w14:textId="77777777" w:rsidR="007948A0" w:rsidRPr="009A27ED" w:rsidRDefault="007948A0" w:rsidP="00E67CB0">
      <w:pPr>
        <w:pStyle w:val="Prrafodelista"/>
        <w:numPr>
          <w:ilvl w:val="0"/>
          <w:numId w:val="129"/>
        </w:numPr>
        <w:spacing w:after="120" w:line="360" w:lineRule="auto"/>
        <w:rPr>
          <w:rFonts w:ascii="Calibri" w:hAnsi="Calibri" w:cs="Calibri"/>
          <w:szCs w:val="22"/>
        </w:rPr>
      </w:pPr>
      <w:r w:rsidRPr="009A27ED">
        <w:rPr>
          <w:rFonts w:ascii="Times New Roman" w:eastAsia="Times New Roman" w:hAnsi="Times New Roman" w:cs="Calibri"/>
          <w:sz w:val="24"/>
          <w:szCs w:val="22"/>
        </w:rPr>
        <w:t xml:space="preserve">Se monitoreará la incidencia de plagas y el uso de plaguicidas en todos los proyectos. </w:t>
      </w:r>
    </w:p>
    <w:p w14:paraId="7E1925D8" w14:textId="77777777" w:rsidR="007948A0" w:rsidRPr="009A27ED" w:rsidRDefault="007948A0" w:rsidP="007948A0">
      <w:pPr>
        <w:pStyle w:val="Prrafodelista"/>
        <w:spacing w:after="120" w:line="360" w:lineRule="auto"/>
        <w:ind w:left="720"/>
        <w:rPr>
          <w:rFonts w:ascii="Calibri" w:hAnsi="Calibri" w:cs="Calibri"/>
          <w:szCs w:val="22"/>
        </w:rPr>
      </w:pPr>
    </w:p>
    <w:p w14:paraId="25CDCE40" w14:textId="77777777" w:rsidR="007948A0" w:rsidRPr="009A27ED" w:rsidRDefault="007948A0" w:rsidP="00E67CB0">
      <w:pPr>
        <w:pStyle w:val="Ttulo2"/>
        <w:numPr>
          <w:ilvl w:val="0"/>
          <w:numId w:val="274"/>
        </w:numPr>
        <w:spacing w:before="40" w:line="360" w:lineRule="auto"/>
        <w:ind w:left="426"/>
        <w:jc w:val="both"/>
        <w:rPr>
          <w:rFonts w:ascii="Calibri" w:hAnsi="Calibri" w:cs="Calibri"/>
          <w:sz w:val="22"/>
          <w:szCs w:val="22"/>
        </w:rPr>
      </w:pPr>
      <w:bookmarkStart w:id="721" w:name="_Toc8231882"/>
      <w:bookmarkStart w:id="722" w:name="_Toc111838025"/>
      <w:r w:rsidRPr="009A27ED">
        <w:rPr>
          <w:rFonts w:ascii="Times New Roman" w:eastAsia="Times New Roman" w:hAnsi="Times New Roman" w:cs="Calibri"/>
          <w:sz w:val="24"/>
          <w:szCs w:val="22"/>
        </w:rPr>
        <w:t>Requisitos que deben cumplir los plaguicidas para el cumplimiento de la OP 4.09</w:t>
      </w:r>
      <w:bookmarkEnd w:id="721"/>
      <w:bookmarkEnd w:id="722"/>
    </w:p>
    <w:p w14:paraId="636E2D9D" w14:textId="77777777" w:rsidR="007948A0" w:rsidRPr="009A27ED" w:rsidRDefault="007948A0" w:rsidP="007948A0">
      <w:pPr>
        <w:spacing w:line="360" w:lineRule="auto"/>
        <w:rPr>
          <w:rFonts w:ascii="Calibri" w:hAnsi="Calibri" w:cs="Calibri"/>
          <w:szCs w:val="22"/>
        </w:rPr>
      </w:pPr>
      <w:r w:rsidRPr="009A27ED">
        <w:rPr>
          <w:rFonts w:ascii="Times New Roman" w:eastAsia="Times New Roman" w:hAnsi="Times New Roman" w:cs="Calibri"/>
          <w:sz w:val="24"/>
          <w:szCs w:val="22"/>
        </w:rPr>
        <w:t xml:space="preserve">Para asegurar el cumplimiento de la OP 4.09 (Manejo de Plagas), la selección y uso de plaguicidas en proyectos del Banco deben cumplir con los siguientes requisitos: </w:t>
      </w:r>
    </w:p>
    <w:p w14:paraId="14D8BB00" w14:textId="77777777" w:rsidR="007948A0" w:rsidRPr="009A27ED" w:rsidRDefault="007948A0" w:rsidP="00E67CB0">
      <w:pPr>
        <w:pStyle w:val="Prrafodelista"/>
        <w:numPr>
          <w:ilvl w:val="0"/>
          <w:numId w:val="128"/>
        </w:numPr>
        <w:spacing w:after="0" w:line="360" w:lineRule="auto"/>
        <w:rPr>
          <w:rFonts w:ascii="Calibri" w:hAnsi="Calibri" w:cs="Calibri"/>
          <w:szCs w:val="22"/>
        </w:rPr>
      </w:pPr>
      <w:r w:rsidRPr="009A27ED">
        <w:rPr>
          <w:rFonts w:ascii="Times New Roman" w:eastAsia="Times New Roman" w:hAnsi="Times New Roman" w:cs="Calibri"/>
          <w:sz w:val="24"/>
          <w:szCs w:val="22"/>
        </w:rPr>
        <w:t xml:space="preserve">Que, de tener efectos adversos sobre la salud humana, estos sean insignificantes. </w:t>
      </w:r>
    </w:p>
    <w:p w14:paraId="598AB61B" w14:textId="77777777" w:rsidR="007948A0" w:rsidRPr="009A27ED" w:rsidRDefault="007948A0" w:rsidP="00E67CB0">
      <w:pPr>
        <w:pStyle w:val="Prrafodelista"/>
        <w:numPr>
          <w:ilvl w:val="0"/>
          <w:numId w:val="128"/>
        </w:numPr>
        <w:spacing w:after="0" w:line="360" w:lineRule="auto"/>
        <w:rPr>
          <w:rFonts w:ascii="Calibri" w:hAnsi="Calibri" w:cs="Calibri"/>
          <w:szCs w:val="22"/>
        </w:rPr>
      </w:pPr>
      <w:r w:rsidRPr="009A27ED">
        <w:rPr>
          <w:rFonts w:ascii="Times New Roman" w:eastAsia="Times New Roman" w:hAnsi="Times New Roman" w:cs="Calibri"/>
          <w:sz w:val="24"/>
          <w:szCs w:val="22"/>
        </w:rPr>
        <w:t>Que su efectividad contra las especies objetivo haya sido probada.</w:t>
      </w:r>
    </w:p>
    <w:p w14:paraId="3979121C" w14:textId="77777777" w:rsidR="007948A0" w:rsidRPr="009A27ED" w:rsidRDefault="007948A0" w:rsidP="00E67CB0">
      <w:pPr>
        <w:pStyle w:val="Prrafodelista"/>
        <w:numPr>
          <w:ilvl w:val="0"/>
          <w:numId w:val="128"/>
        </w:numPr>
        <w:spacing w:after="0" w:line="360" w:lineRule="auto"/>
        <w:rPr>
          <w:rFonts w:ascii="Calibri" w:hAnsi="Calibri" w:cs="Calibri"/>
          <w:szCs w:val="22"/>
        </w:rPr>
      </w:pPr>
      <w:r w:rsidRPr="009A27ED">
        <w:rPr>
          <w:rFonts w:ascii="Times New Roman" w:eastAsia="Times New Roman" w:hAnsi="Times New Roman" w:cs="Calibri"/>
          <w:sz w:val="24"/>
          <w:szCs w:val="22"/>
        </w:rPr>
        <w:t xml:space="preserve">Que sus efectos sobre especies no-objetivo y el ambiente natural sean mínimos. </w:t>
      </w:r>
    </w:p>
    <w:p w14:paraId="74B89004" w14:textId="77777777" w:rsidR="007948A0" w:rsidRPr="009A27ED" w:rsidRDefault="007948A0" w:rsidP="00E67CB0">
      <w:pPr>
        <w:pStyle w:val="Prrafodelista"/>
        <w:numPr>
          <w:ilvl w:val="0"/>
          <w:numId w:val="128"/>
        </w:numPr>
        <w:spacing w:after="0" w:line="360" w:lineRule="auto"/>
        <w:rPr>
          <w:rFonts w:ascii="Calibri" w:hAnsi="Calibri" w:cs="Calibri"/>
          <w:szCs w:val="22"/>
        </w:rPr>
      </w:pPr>
      <w:r w:rsidRPr="009A27ED">
        <w:rPr>
          <w:rFonts w:ascii="Times New Roman" w:eastAsia="Times New Roman" w:hAnsi="Times New Roman" w:cs="Calibri"/>
          <w:sz w:val="24"/>
          <w:szCs w:val="22"/>
        </w:rPr>
        <w:t>Que los métodos, calendario y frecuencia de aplicación causen el mínimo impacto a los enemigos naturales de la plaga.</w:t>
      </w:r>
    </w:p>
    <w:p w14:paraId="6779CD1B" w14:textId="77777777" w:rsidR="007948A0" w:rsidRPr="009A27ED" w:rsidRDefault="007948A0" w:rsidP="00E67CB0">
      <w:pPr>
        <w:pStyle w:val="Prrafodelista"/>
        <w:numPr>
          <w:ilvl w:val="0"/>
          <w:numId w:val="128"/>
        </w:numPr>
        <w:spacing w:after="0" w:line="360" w:lineRule="auto"/>
        <w:rPr>
          <w:rFonts w:ascii="Calibri" w:hAnsi="Calibri" w:cs="Calibri"/>
          <w:szCs w:val="22"/>
        </w:rPr>
      </w:pPr>
      <w:r w:rsidRPr="009A27ED">
        <w:rPr>
          <w:rFonts w:ascii="Times New Roman" w:eastAsia="Times New Roman" w:hAnsi="Times New Roman" w:cs="Calibri"/>
          <w:sz w:val="24"/>
          <w:szCs w:val="22"/>
        </w:rPr>
        <w:t xml:space="preserve">Que sean seguros para el personal que los aplica. </w:t>
      </w:r>
    </w:p>
    <w:p w14:paraId="46BE7520" w14:textId="77777777" w:rsidR="007948A0" w:rsidRPr="009A27ED" w:rsidRDefault="007948A0" w:rsidP="00E67CB0">
      <w:pPr>
        <w:pStyle w:val="Prrafodelista"/>
        <w:numPr>
          <w:ilvl w:val="0"/>
          <w:numId w:val="128"/>
        </w:numPr>
        <w:spacing w:after="0" w:line="360" w:lineRule="auto"/>
        <w:rPr>
          <w:rFonts w:ascii="Calibri" w:hAnsi="Calibri" w:cs="Calibri"/>
          <w:szCs w:val="22"/>
        </w:rPr>
      </w:pPr>
      <w:r w:rsidRPr="009A27ED">
        <w:rPr>
          <w:rFonts w:ascii="Times New Roman" w:eastAsia="Times New Roman" w:hAnsi="Times New Roman" w:cs="Calibri"/>
          <w:sz w:val="24"/>
          <w:szCs w:val="22"/>
        </w:rPr>
        <w:t xml:space="preserve">Que en su uso considere la necesidad de evitar la resistencia en las plagas. </w:t>
      </w:r>
    </w:p>
    <w:p w14:paraId="13A0312F" w14:textId="77777777" w:rsidR="007948A0" w:rsidRPr="009A27ED" w:rsidRDefault="007948A0" w:rsidP="00E67CB0">
      <w:pPr>
        <w:pStyle w:val="Prrafodelista"/>
        <w:numPr>
          <w:ilvl w:val="0"/>
          <w:numId w:val="128"/>
        </w:numPr>
        <w:spacing w:after="0" w:line="360" w:lineRule="auto"/>
        <w:rPr>
          <w:rFonts w:ascii="Calibri" w:hAnsi="Calibri" w:cs="Calibri"/>
          <w:szCs w:val="22"/>
        </w:rPr>
      </w:pPr>
      <w:r w:rsidRPr="009A27ED">
        <w:rPr>
          <w:rFonts w:ascii="Times New Roman" w:eastAsia="Times New Roman" w:hAnsi="Times New Roman" w:cs="Calibri"/>
          <w:sz w:val="24"/>
          <w:szCs w:val="22"/>
        </w:rPr>
        <w:t xml:space="preserve">Determinar el tipo de plaguicidas empleado, su factor de riesgo, las medidas de seguridad necesarias y el equipo de protección necesario. </w:t>
      </w:r>
    </w:p>
    <w:p w14:paraId="038B826A" w14:textId="77777777" w:rsidR="007948A0" w:rsidRPr="009A27ED" w:rsidRDefault="007948A0" w:rsidP="00E67CB0">
      <w:pPr>
        <w:pStyle w:val="Prrafodelista"/>
        <w:numPr>
          <w:ilvl w:val="0"/>
          <w:numId w:val="128"/>
        </w:numPr>
        <w:spacing w:after="0" w:line="360" w:lineRule="auto"/>
        <w:rPr>
          <w:rFonts w:ascii="Calibri" w:hAnsi="Calibri" w:cs="Calibri"/>
          <w:szCs w:val="22"/>
        </w:rPr>
      </w:pPr>
      <w:r w:rsidRPr="009A27ED">
        <w:rPr>
          <w:rFonts w:ascii="Times New Roman" w:eastAsia="Times New Roman" w:hAnsi="Times New Roman" w:cs="Calibri"/>
          <w:sz w:val="24"/>
          <w:szCs w:val="22"/>
        </w:rPr>
        <w:t>Controlar que los plaguicidas usados cumplan con las regulaciones nacionales de etiqueta, embalaje y almacenamiento, y disposición final de los envases como residuos peligrosos.</w:t>
      </w:r>
    </w:p>
    <w:p w14:paraId="1A16C1AD" w14:textId="77777777" w:rsidR="007948A0" w:rsidRPr="009A27ED" w:rsidRDefault="007948A0" w:rsidP="00E67CB0">
      <w:pPr>
        <w:pStyle w:val="Prrafodelista"/>
        <w:numPr>
          <w:ilvl w:val="0"/>
          <w:numId w:val="128"/>
        </w:numPr>
        <w:spacing w:after="0" w:line="360" w:lineRule="auto"/>
        <w:rPr>
          <w:rFonts w:ascii="Calibri" w:hAnsi="Calibri" w:cs="Calibri"/>
          <w:szCs w:val="22"/>
        </w:rPr>
      </w:pPr>
      <w:proofErr w:type="gramStart"/>
      <w:r w:rsidRPr="009A27ED">
        <w:rPr>
          <w:rFonts w:ascii="Times New Roman" w:eastAsia="Times New Roman" w:hAnsi="Times New Roman" w:cs="Calibri"/>
          <w:sz w:val="24"/>
          <w:szCs w:val="22"/>
        </w:rPr>
        <w:t>Asegurar</w:t>
      </w:r>
      <w:proofErr w:type="gramEnd"/>
      <w:r w:rsidRPr="009A27ED">
        <w:rPr>
          <w:rFonts w:ascii="Times New Roman" w:eastAsia="Times New Roman" w:hAnsi="Times New Roman" w:cs="Calibri"/>
          <w:sz w:val="24"/>
          <w:szCs w:val="22"/>
        </w:rPr>
        <w:t xml:space="preserve"> que las decisiones con respecto a tiempos, cantidades y métodos de uso de los plaguicidas sean tomadas dentro de la estrategia de un manejo integrado de plagas, para salvaguardar el ambiente y prevenir el desarrollo de plagas o resistencia en las mismas (lo que puede provocar la necesidad de utilizar plaguicidas más tóxicos). </w:t>
      </w:r>
    </w:p>
    <w:p w14:paraId="7610C0EB" w14:textId="77777777" w:rsidR="007948A0" w:rsidRPr="009A27ED" w:rsidRDefault="007948A0" w:rsidP="007948A0">
      <w:pPr>
        <w:spacing w:after="0" w:line="360" w:lineRule="auto"/>
        <w:rPr>
          <w:rFonts w:ascii="Calibri" w:hAnsi="Calibri" w:cs="Calibri"/>
          <w:szCs w:val="22"/>
        </w:rPr>
      </w:pPr>
    </w:p>
    <w:p w14:paraId="7BC5E49D" w14:textId="77777777" w:rsidR="007948A0" w:rsidRPr="009A27ED" w:rsidRDefault="007948A0" w:rsidP="00E67CB0">
      <w:pPr>
        <w:pStyle w:val="Ttulo2"/>
        <w:numPr>
          <w:ilvl w:val="0"/>
          <w:numId w:val="274"/>
        </w:numPr>
        <w:spacing w:before="40" w:line="360" w:lineRule="auto"/>
        <w:ind w:left="426"/>
        <w:jc w:val="both"/>
        <w:rPr>
          <w:rFonts w:ascii="Calibri" w:hAnsi="Calibri" w:cs="Calibri"/>
          <w:sz w:val="22"/>
          <w:szCs w:val="22"/>
        </w:rPr>
      </w:pPr>
      <w:bookmarkStart w:id="723" w:name="_Toc8231883"/>
      <w:bookmarkStart w:id="724" w:name="_Toc111838026"/>
      <w:r w:rsidRPr="009A27ED">
        <w:rPr>
          <w:rFonts w:ascii="Times New Roman" w:eastAsia="Times New Roman" w:hAnsi="Times New Roman" w:cs="Calibri"/>
          <w:sz w:val="24"/>
          <w:szCs w:val="22"/>
        </w:rPr>
        <w:t>Medidas de mitigación y capacitación a considerar</w:t>
      </w:r>
      <w:bookmarkEnd w:id="723"/>
      <w:bookmarkEnd w:id="724"/>
    </w:p>
    <w:p w14:paraId="71E054F1" w14:textId="77777777" w:rsidR="007948A0" w:rsidRPr="009A27ED" w:rsidRDefault="007948A0" w:rsidP="007948A0">
      <w:pPr>
        <w:spacing w:line="360" w:lineRule="auto"/>
        <w:rPr>
          <w:rFonts w:ascii="Calibri" w:hAnsi="Calibri" w:cs="Calibri"/>
          <w:szCs w:val="22"/>
        </w:rPr>
      </w:pPr>
      <w:r w:rsidRPr="009A27ED">
        <w:rPr>
          <w:rFonts w:ascii="Times New Roman" w:eastAsia="Times New Roman" w:hAnsi="Times New Roman" w:cs="Calibri"/>
          <w:sz w:val="24"/>
          <w:szCs w:val="22"/>
        </w:rPr>
        <w:t xml:space="preserve">Para mitigar los impactos negativos derivados del uso y aplicación de los plaguicidas, se han identificado las siguientes medidas, que deberán de ser aplicadas a lo largo de la implementación de todos los proyectos. </w:t>
      </w:r>
    </w:p>
    <w:p w14:paraId="46278FC5" w14:textId="77777777" w:rsidR="007948A0" w:rsidRPr="009A27ED" w:rsidRDefault="007948A0" w:rsidP="00E67CB0">
      <w:pPr>
        <w:pStyle w:val="Ttulo3"/>
        <w:numPr>
          <w:ilvl w:val="1"/>
          <w:numId w:val="274"/>
        </w:numPr>
        <w:tabs>
          <w:tab w:val="clear" w:pos="426"/>
        </w:tabs>
        <w:spacing w:line="360" w:lineRule="auto"/>
        <w:ind w:left="709"/>
        <w:jc w:val="both"/>
        <w:rPr>
          <w:rFonts w:ascii="Calibri" w:hAnsi="Calibri" w:cs="Calibri"/>
          <w:szCs w:val="22"/>
        </w:rPr>
      </w:pPr>
      <w:bookmarkStart w:id="725" w:name="_Toc8231884"/>
      <w:bookmarkStart w:id="726" w:name="_Toc111838027"/>
      <w:r w:rsidRPr="009A27ED">
        <w:rPr>
          <w:rFonts w:ascii="Times New Roman" w:eastAsia="Times New Roman" w:hAnsi="Times New Roman" w:cs="Calibri"/>
          <w:sz w:val="24"/>
          <w:szCs w:val="22"/>
        </w:rPr>
        <w:lastRenderedPageBreak/>
        <w:t>Medidas de mitigación para potenciales impactos negativos en el uso de plaguicidas</w:t>
      </w:r>
      <w:bookmarkEnd w:id="725"/>
      <w:bookmarkEnd w:id="726"/>
    </w:p>
    <w:p w14:paraId="76C359E5" w14:textId="77777777" w:rsidR="007948A0" w:rsidRPr="009A27ED" w:rsidRDefault="007948A0" w:rsidP="00E67CB0">
      <w:pPr>
        <w:pStyle w:val="Prrafodelista"/>
        <w:numPr>
          <w:ilvl w:val="0"/>
          <w:numId w:val="130"/>
        </w:numPr>
        <w:spacing w:after="120" w:line="360" w:lineRule="auto"/>
        <w:rPr>
          <w:rFonts w:ascii="Calibri" w:hAnsi="Calibri" w:cs="Calibri"/>
          <w:szCs w:val="22"/>
        </w:rPr>
      </w:pPr>
      <w:r w:rsidRPr="009A27ED">
        <w:rPr>
          <w:rFonts w:ascii="Times New Roman" w:eastAsia="Times New Roman" w:hAnsi="Times New Roman" w:cs="Calibri"/>
          <w:sz w:val="24"/>
          <w:szCs w:val="22"/>
        </w:rPr>
        <w:t xml:space="preserve">Recibir capacitación técnica sobre los plaguicidas (identificación, propiedades, selección, aplicación, almacenamiento, transporte, equipo de protección y descarte de material) y el Manejo Integrado de Plagas, así como de buenas prácticas agrícolas y de manejo </w:t>
      </w:r>
      <w:proofErr w:type="spellStart"/>
      <w:proofErr w:type="gramStart"/>
      <w:r w:rsidRPr="009A27ED">
        <w:rPr>
          <w:rFonts w:ascii="Times New Roman" w:eastAsia="Times New Roman" w:hAnsi="Times New Roman" w:cs="Calibri"/>
          <w:sz w:val="24"/>
          <w:szCs w:val="22"/>
        </w:rPr>
        <w:t>post-cosecha</w:t>
      </w:r>
      <w:proofErr w:type="spellEnd"/>
      <w:proofErr w:type="gramEnd"/>
      <w:r w:rsidRPr="009A27ED">
        <w:rPr>
          <w:rFonts w:ascii="Times New Roman" w:eastAsia="Times New Roman" w:hAnsi="Times New Roman" w:cs="Calibri"/>
          <w:sz w:val="24"/>
          <w:szCs w:val="22"/>
        </w:rPr>
        <w:t>.</w:t>
      </w:r>
    </w:p>
    <w:p w14:paraId="3F5CA485" w14:textId="77777777" w:rsidR="007948A0" w:rsidRPr="009A27ED" w:rsidRDefault="007948A0" w:rsidP="00E67CB0">
      <w:pPr>
        <w:pStyle w:val="Prrafodelista"/>
        <w:numPr>
          <w:ilvl w:val="0"/>
          <w:numId w:val="130"/>
        </w:numPr>
        <w:spacing w:after="120" w:line="360" w:lineRule="auto"/>
        <w:rPr>
          <w:rFonts w:ascii="Calibri" w:hAnsi="Calibri" w:cs="Calibri"/>
          <w:szCs w:val="22"/>
        </w:rPr>
      </w:pPr>
      <w:r w:rsidRPr="009A27ED">
        <w:rPr>
          <w:rFonts w:ascii="Times New Roman" w:eastAsia="Times New Roman" w:hAnsi="Times New Roman" w:cs="Calibri"/>
          <w:sz w:val="24"/>
          <w:szCs w:val="22"/>
        </w:rPr>
        <w:t xml:space="preserve">Utilizar el control químico como última medida para el combate de plagas. </w:t>
      </w:r>
    </w:p>
    <w:p w14:paraId="602065BF" w14:textId="77777777" w:rsidR="007948A0" w:rsidRPr="009A27ED" w:rsidRDefault="007948A0" w:rsidP="00E67CB0">
      <w:pPr>
        <w:pStyle w:val="Prrafodelista"/>
        <w:numPr>
          <w:ilvl w:val="0"/>
          <w:numId w:val="130"/>
        </w:numPr>
        <w:spacing w:after="120" w:line="360" w:lineRule="auto"/>
        <w:rPr>
          <w:rFonts w:ascii="Calibri" w:hAnsi="Calibri" w:cs="Calibri"/>
          <w:szCs w:val="22"/>
        </w:rPr>
      </w:pPr>
      <w:r w:rsidRPr="009A27ED">
        <w:rPr>
          <w:rFonts w:ascii="Times New Roman" w:eastAsia="Times New Roman" w:hAnsi="Times New Roman" w:cs="Calibri"/>
          <w:sz w:val="24"/>
          <w:szCs w:val="22"/>
        </w:rPr>
        <w:t xml:space="preserve">Conocer los umbrales económicos de la plaga que se desea controlar, antes de aplicar plaguicidas. </w:t>
      </w:r>
    </w:p>
    <w:p w14:paraId="55EC2BA6" w14:textId="77777777" w:rsidR="007948A0" w:rsidRPr="009A27ED" w:rsidRDefault="007948A0" w:rsidP="00E67CB0">
      <w:pPr>
        <w:pStyle w:val="Prrafodelista"/>
        <w:numPr>
          <w:ilvl w:val="0"/>
          <w:numId w:val="130"/>
        </w:numPr>
        <w:spacing w:after="120" w:line="360" w:lineRule="auto"/>
        <w:rPr>
          <w:rFonts w:ascii="Calibri" w:hAnsi="Calibri" w:cs="Calibri"/>
          <w:szCs w:val="22"/>
        </w:rPr>
      </w:pPr>
      <w:r w:rsidRPr="009A27ED">
        <w:rPr>
          <w:rFonts w:ascii="Times New Roman" w:eastAsia="Times New Roman" w:hAnsi="Times New Roman" w:cs="Calibri"/>
          <w:sz w:val="24"/>
          <w:szCs w:val="22"/>
        </w:rPr>
        <w:t xml:space="preserve">Aplicar los plaguicidas siguiendo estrictamente las indicaciones de la etiqueta respecto a dosis, cultivos, plagas, número de aplicaciones e intervalos de seguridad. </w:t>
      </w:r>
    </w:p>
    <w:p w14:paraId="60536249" w14:textId="77777777" w:rsidR="007948A0" w:rsidRPr="009A27ED" w:rsidRDefault="007948A0" w:rsidP="00E67CB0">
      <w:pPr>
        <w:pStyle w:val="Prrafodelista"/>
        <w:numPr>
          <w:ilvl w:val="0"/>
          <w:numId w:val="130"/>
        </w:numPr>
        <w:spacing w:after="120" w:line="360" w:lineRule="auto"/>
        <w:rPr>
          <w:rFonts w:ascii="Calibri" w:hAnsi="Calibri" w:cs="Calibri"/>
          <w:szCs w:val="22"/>
        </w:rPr>
      </w:pPr>
      <w:r w:rsidRPr="009A27ED">
        <w:rPr>
          <w:rFonts w:ascii="Times New Roman" w:eastAsia="Times New Roman" w:hAnsi="Times New Roman" w:cs="Calibri"/>
          <w:sz w:val="24"/>
          <w:szCs w:val="22"/>
        </w:rPr>
        <w:t xml:space="preserve">Limitar la aplicación de plaguicidas al área que es el objetivo de control. </w:t>
      </w:r>
    </w:p>
    <w:p w14:paraId="79EE6255" w14:textId="77777777" w:rsidR="007948A0" w:rsidRPr="009A27ED" w:rsidRDefault="007948A0" w:rsidP="00E67CB0">
      <w:pPr>
        <w:pStyle w:val="Prrafodelista"/>
        <w:numPr>
          <w:ilvl w:val="0"/>
          <w:numId w:val="130"/>
        </w:numPr>
        <w:spacing w:after="120" w:line="360" w:lineRule="auto"/>
        <w:rPr>
          <w:rFonts w:ascii="Calibri" w:hAnsi="Calibri" w:cs="Calibri"/>
          <w:szCs w:val="22"/>
        </w:rPr>
      </w:pPr>
      <w:r w:rsidRPr="009A27ED">
        <w:rPr>
          <w:rFonts w:ascii="Times New Roman" w:eastAsia="Times New Roman" w:hAnsi="Times New Roman" w:cs="Calibri"/>
          <w:sz w:val="24"/>
          <w:szCs w:val="22"/>
        </w:rPr>
        <w:t xml:space="preserve">Utilizar aquellos plaguicidas y métodos de aplicación que sean los menos riesgosos, conforme a las instrucciones del técnico. </w:t>
      </w:r>
    </w:p>
    <w:p w14:paraId="493F5296" w14:textId="77777777" w:rsidR="007948A0" w:rsidRPr="009A27ED" w:rsidRDefault="007948A0" w:rsidP="00E67CB0">
      <w:pPr>
        <w:pStyle w:val="Prrafodelista"/>
        <w:numPr>
          <w:ilvl w:val="0"/>
          <w:numId w:val="130"/>
        </w:numPr>
        <w:spacing w:after="120" w:line="360" w:lineRule="auto"/>
        <w:rPr>
          <w:rFonts w:ascii="Calibri" w:hAnsi="Calibri" w:cs="Calibri"/>
          <w:szCs w:val="22"/>
        </w:rPr>
      </w:pPr>
      <w:r w:rsidRPr="009A27ED">
        <w:rPr>
          <w:rFonts w:ascii="Times New Roman" w:eastAsia="Times New Roman" w:hAnsi="Times New Roman" w:cs="Calibri"/>
          <w:sz w:val="24"/>
          <w:szCs w:val="22"/>
        </w:rPr>
        <w:t>Aplicar plaguicidas solamente en las dosis que indique el técnico.</w:t>
      </w:r>
    </w:p>
    <w:p w14:paraId="1D501A23" w14:textId="77777777" w:rsidR="007948A0" w:rsidRPr="009A27ED" w:rsidRDefault="007948A0" w:rsidP="00E67CB0">
      <w:pPr>
        <w:pStyle w:val="Prrafodelista"/>
        <w:numPr>
          <w:ilvl w:val="0"/>
          <w:numId w:val="130"/>
        </w:numPr>
        <w:spacing w:after="120" w:line="360" w:lineRule="auto"/>
        <w:rPr>
          <w:rFonts w:ascii="Calibri" w:hAnsi="Calibri" w:cs="Calibri"/>
          <w:szCs w:val="22"/>
        </w:rPr>
      </w:pPr>
      <w:r w:rsidRPr="009A27ED">
        <w:rPr>
          <w:rFonts w:ascii="Times New Roman" w:eastAsia="Times New Roman" w:hAnsi="Times New Roman" w:cs="Calibri"/>
          <w:sz w:val="24"/>
          <w:szCs w:val="22"/>
        </w:rPr>
        <w:t xml:space="preserve">Utilizar la dosis mínima efectiva y hacer el menor número posible de aplicaciones. </w:t>
      </w:r>
    </w:p>
    <w:p w14:paraId="25077BCC" w14:textId="77777777" w:rsidR="007948A0" w:rsidRPr="009A27ED" w:rsidRDefault="007948A0" w:rsidP="00E67CB0">
      <w:pPr>
        <w:pStyle w:val="Prrafodelista"/>
        <w:numPr>
          <w:ilvl w:val="0"/>
          <w:numId w:val="130"/>
        </w:numPr>
        <w:spacing w:after="120" w:line="360" w:lineRule="auto"/>
        <w:rPr>
          <w:rFonts w:ascii="Calibri" w:hAnsi="Calibri" w:cs="Calibri"/>
          <w:szCs w:val="22"/>
        </w:rPr>
      </w:pPr>
      <w:r w:rsidRPr="009A27ED">
        <w:rPr>
          <w:rFonts w:ascii="Times New Roman" w:eastAsia="Times New Roman" w:hAnsi="Times New Roman" w:cs="Calibri"/>
          <w:sz w:val="24"/>
          <w:szCs w:val="22"/>
        </w:rPr>
        <w:t>No aplicar en condiciones que propicien el acarreo de plaguicidas peligrosos hacia poblaciones cercanas, campos vecinos, hacia áreas con vegetación silvestre o cuerpos de agua.</w:t>
      </w:r>
    </w:p>
    <w:p w14:paraId="2B24F4BD" w14:textId="77777777" w:rsidR="007948A0" w:rsidRPr="009A27ED" w:rsidRDefault="007948A0" w:rsidP="00E67CB0">
      <w:pPr>
        <w:pStyle w:val="Prrafodelista"/>
        <w:numPr>
          <w:ilvl w:val="0"/>
          <w:numId w:val="130"/>
        </w:numPr>
        <w:spacing w:after="120" w:line="360" w:lineRule="auto"/>
        <w:rPr>
          <w:rFonts w:ascii="Calibri" w:hAnsi="Calibri" w:cs="Calibri"/>
          <w:szCs w:val="22"/>
        </w:rPr>
      </w:pPr>
      <w:r w:rsidRPr="009A27ED">
        <w:rPr>
          <w:rFonts w:ascii="Times New Roman" w:eastAsia="Times New Roman" w:hAnsi="Times New Roman" w:cs="Calibri"/>
          <w:sz w:val="24"/>
          <w:szCs w:val="22"/>
        </w:rPr>
        <w:t xml:space="preserve">No limpiar o lavar los equipos de aplicación cerca de arroyos, canales, ríos, lagos o cualquier otro cuerpo de agua o directamente en ellos, ni arrojar los sobrantes o envases de plaguicidas. </w:t>
      </w:r>
    </w:p>
    <w:p w14:paraId="43CDAFE8" w14:textId="77777777" w:rsidR="007948A0" w:rsidRPr="009A27ED" w:rsidRDefault="007948A0" w:rsidP="00E67CB0">
      <w:pPr>
        <w:pStyle w:val="Prrafodelista"/>
        <w:numPr>
          <w:ilvl w:val="0"/>
          <w:numId w:val="130"/>
        </w:numPr>
        <w:spacing w:after="120" w:line="360" w:lineRule="auto"/>
        <w:rPr>
          <w:rFonts w:ascii="Calibri" w:hAnsi="Calibri" w:cs="Calibri"/>
          <w:szCs w:val="22"/>
        </w:rPr>
      </w:pPr>
      <w:r w:rsidRPr="009A27ED">
        <w:rPr>
          <w:rFonts w:ascii="Times New Roman" w:eastAsia="Times New Roman" w:hAnsi="Times New Roman" w:cs="Calibri"/>
          <w:sz w:val="24"/>
          <w:szCs w:val="22"/>
        </w:rPr>
        <w:t>Seleccionar, en la medida de lo posible, plaguicidas orgánico-naturales para el combate de plagas.</w:t>
      </w:r>
    </w:p>
    <w:p w14:paraId="44E2286E" w14:textId="77777777" w:rsidR="007948A0" w:rsidRPr="009A27ED" w:rsidRDefault="007948A0" w:rsidP="00E67CB0">
      <w:pPr>
        <w:pStyle w:val="Prrafodelista"/>
        <w:numPr>
          <w:ilvl w:val="0"/>
          <w:numId w:val="130"/>
        </w:numPr>
        <w:spacing w:after="120" w:line="360" w:lineRule="auto"/>
        <w:rPr>
          <w:rFonts w:ascii="Calibri" w:hAnsi="Calibri" w:cs="Calibri"/>
          <w:szCs w:val="22"/>
        </w:rPr>
      </w:pPr>
      <w:r w:rsidRPr="009A27ED">
        <w:rPr>
          <w:rFonts w:ascii="Times New Roman" w:eastAsia="Times New Roman" w:hAnsi="Times New Roman" w:cs="Calibri"/>
          <w:sz w:val="24"/>
          <w:szCs w:val="22"/>
        </w:rPr>
        <w:t xml:space="preserve">No efectuar aspersiones y espolvoreos si los vientos pueden conducir los plaguicidas a los receptores o cuerpos de agua. </w:t>
      </w:r>
    </w:p>
    <w:p w14:paraId="3335D2F0" w14:textId="77777777" w:rsidR="007948A0" w:rsidRPr="009A27ED" w:rsidRDefault="007948A0" w:rsidP="00E67CB0">
      <w:pPr>
        <w:pStyle w:val="Prrafodelista"/>
        <w:numPr>
          <w:ilvl w:val="0"/>
          <w:numId w:val="130"/>
        </w:numPr>
        <w:spacing w:after="120" w:line="360" w:lineRule="auto"/>
        <w:rPr>
          <w:rFonts w:ascii="Calibri" w:hAnsi="Calibri" w:cs="Calibri"/>
          <w:szCs w:val="22"/>
        </w:rPr>
      </w:pPr>
      <w:r w:rsidRPr="009A27ED">
        <w:rPr>
          <w:rFonts w:ascii="Times New Roman" w:eastAsia="Times New Roman" w:hAnsi="Times New Roman" w:cs="Calibri"/>
          <w:sz w:val="24"/>
          <w:szCs w:val="22"/>
        </w:rPr>
        <w:t xml:space="preserve">Disponer adecuadamente los envases vacíos y remanentes. </w:t>
      </w:r>
    </w:p>
    <w:p w14:paraId="32EA05E6" w14:textId="77777777" w:rsidR="007948A0" w:rsidRPr="009A27ED" w:rsidRDefault="007948A0" w:rsidP="00E67CB0">
      <w:pPr>
        <w:pStyle w:val="Prrafodelista"/>
        <w:numPr>
          <w:ilvl w:val="0"/>
          <w:numId w:val="130"/>
        </w:numPr>
        <w:spacing w:after="120" w:line="360" w:lineRule="auto"/>
        <w:rPr>
          <w:rFonts w:ascii="Calibri" w:hAnsi="Calibri" w:cs="Calibri"/>
          <w:szCs w:val="22"/>
        </w:rPr>
      </w:pPr>
      <w:r w:rsidRPr="009A27ED">
        <w:rPr>
          <w:rFonts w:ascii="Times New Roman" w:eastAsia="Times New Roman" w:hAnsi="Times New Roman" w:cs="Calibri"/>
          <w:sz w:val="24"/>
          <w:szCs w:val="22"/>
        </w:rPr>
        <w:t>Utilizar solamente los plaguicidas incluidos en el Catálogo Oficial de Plaguicidas vigente del Ministerio de Agricultura.</w:t>
      </w:r>
    </w:p>
    <w:p w14:paraId="56F111AF" w14:textId="77777777" w:rsidR="007948A0" w:rsidRPr="009A27ED" w:rsidRDefault="007948A0" w:rsidP="00E67CB0">
      <w:pPr>
        <w:pStyle w:val="Prrafodelista"/>
        <w:numPr>
          <w:ilvl w:val="0"/>
          <w:numId w:val="130"/>
        </w:numPr>
        <w:spacing w:after="120" w:line="360" w:lineRule="auto"/>
        <w:rPr>
          <w:rFonts w:ascii="Calibri" w:hAnsi="Calibri" w:cs="Calibri"/>
          <w:szCs w:val="22"/>
        </w:rPr>
      </w:pPr>
      <w:r w:rsidRPr="009A27ED">
        <w:rPr>
          <w:rFonts w:ascii="Times New Roman" w:eastAsia="Times New Roman" w:hAnsi="Times New Roman" w:cs="Calibri"/>
          <w:sz w:val="24"/>
          <w:szCs w:val="22"/>
        </w:rPr>
        <w:t xml:space="preserve">No utilizar los plaguicidas prohibidos ni restringidos en República Dominicana. </w:t>
      </w:r>
    </w:p>
    <w:p w14:paraId="79404B33" w14:textId="77777777" w:rsidR="007948A0" w:rsidRPr="009A27ED" w:rsidRDefault="007948A0" w:rsidP="00E67CB0">
      <w:pPr>
        <w:pStyle w:val="Prrafodelista"/>
        <w:numPr>
          <w:ilvl w:val="0"/>
          <w:numId w:val="130"/>
        </w:numPr>
        <w:spacing w:after="120" w:line="360" w:lineRule="auto"/>
        <w:rPr>
          <w:rFonts w:ascii="Calibri" w:hAnsi="Calibri" w:cs="Calibri"/>
          <w:szCs w:val="22"/>
        </w:rPr>
      </w:pPr>
      <w:r w:rsidRPr="009A27ED">
        <w:rPr>
          <w:rFonts w:ascii="Times New Roman" w:eastAsia="Times New Roman" w:hAnsi="Times New Roman" w:cs="Calibri"/>
          <w:sz w:val="24"/>
          <w:szCs w:val="22"/>
        </w:rPr>
        <w:lastRenderedPageBreak/>
        <w:t xml:space="preserve">Usar Equipos de Protección Personal con base en el grado de toxicidad del plaguicida, tal como lo indica la etiqueta. </w:t>
      </w:r>
    </w:p>
    <w:p w14:paraId="3291E18F" w14:textId="77777777" w:rsidR="007948A0" w:rsidRPr="009A27ED" w:rsidRDefault="007948A0" w:rsidP="00E67CB0">
      <w:pPr>
        <w:pStyle w:val="Prrafodelista"/>
        <w:numPr>
          <w:ilvl w:val="0"/>
          <w:numId w:val="130"/>
        </w:numPr>
        <w:spacing w:after="120" w:line="360" w:lineRule="auto"/>
        <w:rPr>
          <w:rFonts w:ascii="Calibri" w:hAnsi="Calibri" w:cs="Calibri"/>
          <w:szCs w:val="22"/>
        </w:rPr>
      </w:pPr>
      <w:r w:rsidRPr="009A27ED">
        <w:rPr>
          <w:rFonts w:ascii="Times New Roman" w:eastAsia="Times New Roman" w:hAnsi="Times New Roman" w:cs="Calibri"/>
          <w:sz w:val="24"/>
          <w:szCs w:val="22"/>
        </w:rPr>
        <w:t xml:space="preserve">Utilizar equipos de aplicación en buen estado y debidamente calibrados. </w:t>
      </w:r>
    </w:p>
    <w:p w14:paraId="2186F282" w14:textId="77777777" w:rsidR="007948A0" w:rsidRPr="009A27ED" w:rsidRDefault="007948A0" w:rsidP="00E67CB0">
      <w:pPr>
        <w:pStyle w:val="Prrafodelista"/>
        <w:numPr>
          <w:ilvl w:val="0"/>
          <w:numId w:val="130"/>
        </w:numPr>
        <w:spacing w:after="120" w:line="360" w:lineRule="auto"/>
        <w:rPr>
          <w:rFonts w:ascii="Calibri" w:hAnsi="Calibri" w:cs="Calibri"/>
          <w:szCs w:val="22"/>
        </w:rPr>
      </w:pPr>
      <w:r w:rsidRPr="009A27ED">
        <w:rPr>
          <w:rFonts w:ascii="Times New Roman" w:eastAsia="Times New Roman" w:hAnsi="Times New Roman" w:cs="Calibri"/>
          <w:sz w:val="24"/>
          <w:szCs w:val="22"/>
        </w:rPr>
        <w:t xml:space="preserve">Respetar los periodos de reingreso a las áreas tratadas y señalizarlos con letreros de advertencia. </w:t>
      </w:r>
    </w:p>
    <w:p w14:paraId="51122A9C" w14:textId="77777777" w:rsidR="007948A0" w:rsidRPr="009A27ED" w:rsidRDefault="007948A0" w:rsidP="00E67CB0">
      <w:pPr>
        <w:pStyle w:val="Prrafodelista"/>
        <w:numPr>
          <w:ilvl w:val="0"/>
          <w:numId w:val="130"/>
        </w:numPr>
        <w:spacing w:after="120" w:line="360" w:lineRule="auto"/>
        <w:rPr>
          <w:rFonts w:ascii="Calibri" w:hAnsi="Calibri" w:cs="Calibri"/>
          <w:szCs w:val="22"/>
        </w:rPr>
      </w:pPr>
      <w:r w:rsidRPr="009A27ED">
        <w:rPr>
          <w:rFonts w:ascii="Times New Roman" w:eastAsia="Times New Roman" w:hAnsi="Times New Roman" w:cs="Calibri"/>
          <w:sz w:val="24"/>
          <w:szCs w:val="22"/>
        </w:rPr>
        <w:t xml:space="preserve">No utilizar envases vacíos de plaguicidas para almacenar agua o alimentos. </w:t>
      </w:r>
    </w:p>
    <w:p w14:paraId="40F98427" w14:textId="77777777" w:rsidR="007948A0" w:rsidRPr="009A27ED" w:rsidRDefault="007948A0" w:rsidP="00E67CB0">
      <w:pPr>
        <w:pStyle w:val="Prrafodelista"/>
        <w:numPr>
          <w:ilvl w:val="0"/>
          <w:numId w:val="130"/>
        </w:numPr>
        <w:spacing w:after="120" w:line="360" w:lineRule="auto"/>
        <w:rPr>
          <w:rFonts w:ascii="Calibri" w:hAnsi="Calibri" w:cs="Calibri"/>
          <w:szCs w:val="22"/>
        </w:rPr>
      </w:pPr>
      <w:r w:rsidRPr="009A27ED">
        <w:rPr>
          <w:rFonts w:ascii="Times New Roman" w:eastAsia="Times New Roman" w:hAnsi="Times New Roman" w:cs="Calibri"/>
          <w:sz w:val="24"/>
          <w:szCs w:val="22"/>
        </w:rPr>
        <w:t xml:space="preserve">No </w:t>
      </w:r>
      <w:proofErr w:type="spellStart"/>
      <w:r w:rsidRPr="009A27ED">
        <w:rPr>
          <w:rFonts w:ascii="Times New Roman" w:eastAsia="Times New Roman" w:hAnsi="Times New Roman" w:cs="Calibri"/>
          <w:sz w:val="24"/>
          <w:szCs w:val="22"/>
        </w:rPr>
        <w:t>reenvasar</w:t>
      </w:r>
      <w:proofErr w:type="spellEnd"/>
      <w:r w:rsidRPr="009A27ED">
        <w:rPr>
          <w:rFonts w:ascii="Times New Roman" w:eastAsia="Times New Roman" w:hAnsi="Times New Roman" w:cs="Calibri"/>
          <w:sz w:val="24"/>
          <w:szCs w:val="22"/>
        </w:rPr>
        <w:t xml:space="preserve"> plaguicidas en otros recipientes. </w:t>
      </w:r>
    </w:p>
    <w:p w14:paraId="3F4FB212" w14:textId="77777777" w:rsidR="007948A0" w:rsidRPr="009A27ED" w:rsidRDefault="007948A0" w:rsidP="00E67CB0">
      <w:pPr>
        <w:pStyle w:val="Prrafodelista"/>
        <w:numPr>
          <w:ilvl w:val="0"/>
          <w:numId w:val="130"/>
        </w:numPr>
        <w:spacing w:after="120" w:line="360" w:lineRule="auto"/>
        <w:rPr>
          <w:rFonts w:ascii="Calibri" w:hAnsi="Calibri" w:cs="Calibri"/>
          <w:szCs w:val="22"/>
        </w:rPr>
      </w:pPr>
      <w:r w:rsidRPr="009A27ED">
        <w:rPr>
          <w:rFonts w:ascii="Times New Roman" w:eastAsia="Times New Roman" w:hAnsi="Times New Roman" w:cs="Calibri"/>
          <w:sz w:val="24"/>
          <w:szCs w:val="22"/>
        </w:rPr>
        <w:t xml:space="preserve">Construir mini centros de acopio, para la disposición adecuada de los envases vacíos de plaguicidas. </w:t>
      </w:r>
    </w:p>
    <w:p w14:paraId="6F6F3793" w14:textId="77777777" w:rsidR="007948A0" w:rsidRPr="009A27ED" w:rsidRDefault="007948A0" w:rsidP="00E67CB0">
      <w:pPr>
        <w:pStyle w:val="Prrafodelista"/>
        <w:numPr>
          <w:ilvl w:val="0"/>
          <w:numId w:val="130"/>
        </w:numPr>
        <w:spacing w:after="120" w:line="360" w:lineRule="auto"/>
        <w:rPr>
          <w:rFonts w:ascii="Calibri" w:hAnsi="Calibri" w:cs="Calibri"/>
          <w:szCs w:val="22"/>
        </w:rPr>
      </w:pPr>
      <w:r w:rsidRPr="009A27ED">
        <w:rPr>
          <w:rFonts w:ascii="Times New Roman" w:eastAsia="Times New Roman" w:hAnsi="Times New Roman" w:cs="Calibri"/>
          <w:sz w:val="24"/>
          <w:szCs w:val="22"/>
        </w:rPr>
        <w:t>Por otro lado, es necesario que en las áreas de trabajo, comedores y sanitarios se exhiban carteles conteniendo las siguientes reglas para el manejo y uso seguro de los plaguicidas.</w:t>
      </w:r>
    </w:p>
    <w:p w14:paraId="18B3F6D8" w14:textId="77777777" w:rsidR="007948A0" w:rsidRPr="009A27ED" w:rsidRDefault="007948A0" w:rsidP="00E67CB0">
      <w:pPr>
        <w:pStyle w:val="Prrafodelista"/>
        <w:numPr>
          <w:ilvl w:val="0"/>
          <w:numId w:val="130"/>
        </w:numPr>
        <w:spacing w:after="120" w:line="360" w:lineRule="auto"/>
        <w:rPr>
          <w:rFonts w:ascii="Calibri" w:hAnsi="Calibri" w:cs="Calibri"/>
          <w:szCs w:val="22"/>
        </w:rPr>
      </w:pPr>
      <w:r w:rsidRPr="009A27ED">
        <w:rPr>
          <w:rFonts w:ascii="Times New Roman" w:eastAsia="Times New Roman" w:hAnsi="Times New Roman" w:cs="Calibri"/>
          <w:sz w:val="24"/>
          <w:szCs w:val="22"/>
        </w:rPr>
        <w:t xml:space="preserve">A lo largo del proceso de uso de plaguicidas se aplicarán las siguientes medidas: </w:t>
      </w:r>
    </w:p>
    <w:p w14:paraId="4B117A6F" w14:textId="77777777" w:rsidR="007948A0" w:rsidRPr="009A27ED" w:rsidRDefault="007948A0" w:rsidP="007948A0">
      <w:pPr>
        <w:spacing w:line="360" w:lineRule="auto"/>
        <w:rPr>
          <w:rFonts w:ascii="Calibri" w:hAnsi="Calibri" w:cs="Calibri"/>
          <w:szCs w:val="22"/>
        </w:rPr>
      </w:pPr>
    </w:p>
    <w:p w14:paraId="7892D67A" w14:textId="77777777" w:rsidR="007948A0" w:rsidRPr="009A27ED" w:rsidRDefault="007948A0" w:rsidP="00E67CB0">
      <w:pPr>
        <w:pStyle w:val="Ttulo2"/>
        <w:numPr>
          <w:ilvl w:val="1"/>
          <w:numId w:val="274"/>
        </w:numPr>
        <w:spacing w:before="40" w:line="360" w:lineRule="auto"/>
        <w:ind w:left="709"/>
        <w:jc w:val="both"/>
        <w:rPr>
          <w:rFonts w:ascii="Calibri" w:hAnsi="Calibri" w:cs="Calibri"/>
          <w:sz w:val="22"/>
          <w:szCs w:val="22"/>
        </w:rPr>
      </w:pPr>
      <w:bookmarkStart w:id="727" w:name="_Toc8231885"/>
      <w:bookmarkStart w:id="728" w:name="_Toc111838028"/>
      <w:r w:rsidRPr="009A27ED">
        <w:rPr>
          <w:rFonts w:ascii="Times New Roman" w:eastAsia="Times New Roman" w:hAnsi="Times New Roman" w:cs="Calibri"/>
          <w:sz w:val="24"/>
          <w:szCs w:val="22"/>
        </w:rPr>
        <w:t>Consideraciones en cuanto al almacenamiento</w:t>
      </w:r>
      <w:bookmarkEnd w:id="727"/>
      <w:bookmarkEnd w:id="728"/>
    </w:p>
    <w:p w14:paraId="343B0493" w14:textId="77777777" w:rsidR="007948A0" w:rsidRPr="009A27ED" w:rsidRDefault="007948A0" w:rsidP="00E67CB0">
      <w:pPr>
        <w:pStyle w:val="Prrafodelista"/>
        <w:numPr>
          <w:ilvl w:val="1"/>
          <w:numId w:val="131"/>
        </w:numPr>
        <w:spacing w:after="120" w:line="360" w:lineRule="auto"/>
        <w:ind w:left="709"/>
        <w:rPr>
          <w:rFonts w:ascii="Calibri" w:hAnsi="Calibri" w:cs="Calibri"/>
          <w:szCs w:val="22"/>
        </w:rPr>
      </w:pPr>
      <w:r w:rsidRPr="009A27ED">
        <w:rPr>
          <w:rFonts w:ascii="Times New Roman" w:eastAsia="Times New Roman" w:hAnsi="Times New Roman" w:cs="Calibri"/>
          <w:sz w:val="24"/>
          <w:szCs w:val="22"/>
        </w:rPr>
        <w:t xml:space="preserve">Se debe conocer la naturaleza del material con que se está trabajando, incluyendo su nivel de toxicidad, síntomas de intoxicación y medidas de primeros auxilios. Asimismo, los trabajadores tienen que conocer los riesgos que implica la manipulación de estos productos. </w:t>
      </w:r>
    </w:p>
    <w:p w14:paraId="572B57CA" w14:textId="77777777" w:rsidR="007948A0" w:rsidRPr="009A27ED" w:rsidRDefault="007948A0" w:rsidP="00E67CB0">
      <w:pPr>
        <w:pStyle w:val="Prrafodelista"/>
        <w:numPr>
          <w:ilvl w:val="1"/>
          <w:numId w:val="131"/>
        </w:numPr>
        <w:spacing w:after="120" w:line="360" w:lineRule="auto"/>
        <w:ind w:left="709"/>
        <w:rPr>
          <w:rFonts w:ascii="Calibri" w:hAnsi="Calibri" w:cs="Calibri"/>
          <w:szCs w:val="22"/>
        </w:rPr>
      </w:pPr>
      <w:r w:rsidRPr="009A27ED">
        <w:rPr>
          <w:rFonts w:ascii="Times New Roman" w:eastAsia="Times New Roman" w:hAnsi="Times New Roman" w:cs="Calibri"/>
          <w:sz w:val="24"/>
          <w:szCs w:val="22"/>
        </w:rPr>
        <w:t>En el sitio de almacenamiento se deben colocar en lugar visible las hojas de seguridad del producto.</w:t>
      </w:r>
    </w:p>
    <w:p w14:paraId="34D3B8CD" w14:textId="77777777" w:rsidR="007948A0" w:rsidRPr="009A27ED" w:rsidRDefault="007948A0" w:rsidP="00E67CB0">
      <w:pPr>
        <w:pStyle w:val="Prrafodelista"/>
        <w:numPr>
          <w:ilvl w:val="1"/>
          <w:numId w:val="131"/>
        </w:numPr>
        <w:spacing w:after="120" w:line="360" w:lineRule="auto"/>
        <w:ind w:left="709"/>
        <w:rPr>
          <w:rFonts w:ascii="Calibri" w:hAnsi="Calibri" w:cs="Calibri"/>
          <w:szCs w:val="22"/>
        </w:rPr>
      </w:pPr>
      <w:r w:rsidRPr="009A27ED">
        <w:rPr>
          <w:rFonts w:ascii="Times New Roman" w:eastAsia="Times New Roman" w:hAnsi="Times New Roman" w:cs="Calibri"/>
          <w:sz w:val="24"/>
          <w:szCs w:val="22"/>
        </w:rPr>
        <w:t xml:space="preserve">Se debe envasar en recipientes sellados y debidamente etiquetados. En general, no se aconseja el traspaso entre recipientes y conviene almacenar las materias primas en los recipientes entregados por el proveedor. No se deben aceptar productos no etiquetados. </w:t>
      </w:r>
    </w:p>
    <w:p w14:paraId="396550D6" w14:textId="77777777" w:rsidR="007948A0" w:rsidRPr="009A27ED" w:rsidRDefault="007948A0" w:rsidP="00E67CB0">
      <w:pPr>
        <w:pStyle w:val="Prrafodelista"/>
        <w:numPr>
          <w:ilvl w:val="1"/>
          <w:numId w:val="131"/>
        </w:numPr>
        <w:spacing w:after="120" w:line="360" w:lineRule="auto"/>
        <w:ind w:left="709"/>
        <w:rPr>
          <w:rFonts w:ascii="Calibri" w:hAnsi="Calibri" w:cs="Calibri"/>
          <w:szCs w:val="22"/>
        </w:rPr>
      </w:pPr>
      <w:r w:rsidRPr="009A27ED">
        <w:rPr>
          <w:rFonts w:ascii="Times New Roman" w:eastAsia="Times New Roman" w:hAnsi="Times New Roman" w:cs="Calibri"/>
          <w:sz w:val="24"/>
          <w:szCs w:val="22"/>
        </w:rPr>
        <w:t>Tanto los insumos como los productos deben almacenarse en áreas vigiladas, de acceso restringido y con la debida señalización.</w:t>
      </w:r>
    </w:p>
    <w:p w14:paraId="7EDAFCB4" w14:textId="77777777" w:rsidR="007948A0" w:rsidRPr="009A27ED" w:rsidRDefault="007948A0" w:rsidP="00E67CB0">
      <w:pPr>
        <w:pStyle w:val="Prrafodelista"/>
        <w:numPr>
          <w:ilvl w:val="1"/>
          <w:numId w:val="131"/>
        </w:numPr>
        <w:spacing w:after="120" w:line="360" w:lineRule="auto"/>
        <w:ind w:left="709"/>
        <w:rPr>
          <w:rFonts w:ascii="Calibri" w:hAnsi="Calibri" w:cs="Calibri"/>
          <w:szCs w:val="22"/>
        </w:rPr>
      </w:pPr>
      <w:r w:rsidRPr="009A27ED">
        <w:rPr>
          <w:rFonts w:ascii="Times New Roman" w:eastAsia="Times New Roman" w:hAnsi="Times New Roman" w:cs="Calibri"/>
          <w:sz w:val="24"/>
          <w:szCs w:val="22"/>
        </w:rPr>
        <w:t xml:space="preserve">Almacenar los plaguicidas en un lugar seguro, fresco y bien ventilado y fuera del alcance de los niños; separados de combustibles, alimentos, medicinas, ropas o utensilios domésticos. </w:t>
      </w:r>
    </w:p>
    <w:p w14:paraId="321D72DD" w14:textId="77777777" w:rsidR="007948A0" w:rsidRPr="009A27ED" w:rsidRDefault="007948A0" w:rsidP="00E67CB0">
      <w:pPr>
        <w:pStyle w:val="Prrafodelista"/>
        <w:numPr>
          <w:ilvl w:val="1"/>
          <w:numId w:val="131"/>
        </w:numPr>
        <w:spacing w:after="120" w:line="360" w:lineRule="auto"/>
        <w:ind w:left="709"/>
        <w:rPr>
          <w:rFonts w:ascii="Calibri" w:hAnsi="Calibri" w:cs="Calibri"/>
          <w:szCs w:val="22"/>
        </w:rPr>
      </w:pPr>
      <w:r w:rsidRPr="009A27ED">
        <w:rPr>
          <w:rFonts w:ascii="Times New Roman" w:eastAsia="Times New Roman" w:hAnsi="Times New Roman" w:cs="Calibri"/>
          <w:sz w:val="24"/>
          <w:szCs w:val="22"/>
        </w:rPr>
        <w:lastRenderedPageBreak/>
        <w:t>Revisar con frecuencia las fechas de expiración y tratar de usar los productos próximos a vencerse.</w:t>
      </w:r>
    </w:p>
    <w:p w14:paraId="2ECC4A4C" w14:textId="77777777" w:rsidR="007948A0" w:rsidRPr="009A27ED" w:rsidRDefault="007948A0" w:rsidP="007948A0">
      <w:pPr>
        <w:spacing w:line="360" w:lineRule="auto"/>
        <w:rPr>
          <w:rFonts w:ascii="Calibri" w:hAnsi="Calibri" w:cs="Calibri"/>
          <w:szCs w:val="22"/>
        </w:rPr>
      </w:pPr>
      <w:r w:rsidRPr="009A27ED">
        <w:rPr>
          <w:rFonts w:ascii="Times New Roman" w:eastAsia="Times New Roman" w:hAnsi="Times New Roman" w:cs="Calibri"/>
          <w:b/>
          <w:sz w:val="24"/>
          <w:szCs w:val="22"/>
        </w:rPr>
        <w:t>Formulación</w:t>
      </w:r>
      <w:r w:rsidRPr="009A27ED">
        <w:rPr>
          <w:rFonts w:ascii="Times New Roman" w:eastAsia="Times New Roman" w:hAnsi="Times New Roman" w:cs="Calibri"/>
          <w:sz w:val="24"/>
          <w:szCs w:val="22"/>
        </w:rPr>
        <w:t xml:space="preserve">: Evitar la aplicación de productos en polvo y concentrados emulsionables, que son fácilmente absorbidos por piel y mucosas, y representan un riesgo para la salud humana y animal. Preparar las mezclas de plaguicida con agua al aire libre y utilizando el equipo de protección que recomienda la etiqueta. No mezclarlos con la mano ni utilizar recipientes que se empleen luego para almacenamiento o manipulación de productos o alimentos. </w:t>
      </w:r>
    </w:p>
    <w:p w14:paraId="6E4B206C" w14:textId="77777777" w:rsidR="007948A0" w:rsidRPr="009A27ED" w:rsidRDefault="007948A0" w:rsidP="007948A0">
      <w:pPr>
        <w:spacing w:line="360" w:lineRule="auto"/>
        <w:rPr>
          <w:rFonts w:ascii="Calibri" w:hAnsi="Calibri" w:cs="Calibri"/>
          <w:szCs w:val="22"/>
        </w:rPr>
      </w:pPr>
      <w:r w:rsidRPr="009A27ED">
        <w:rPr>
          <w:rFonts w:ascii="Times New Roman" w:eastAsia="Times New Roman" w:hAnsi="Times New Roman" w:cs="Calibri"/>
          <w:b/>
          <w:sz w:val="24"/>
          <w:szCs w:val="22"/>
        </w:rPr>
        <w:t>Elementos de aplicación</w:t>
      </w:r>
      <w:r w:rsidRPr="009A27ED">
        <w:rPr>
          <w:rFonts w:ascii="Times New Roman" w:eastAsia="Times New Roman" w:hAnsi="Times New Roman" w:cs="Calibri"/>
          <w:sz w:val="24"/>
          <w:szCs w:val="22"/>
        </w:rPr>
        <w:t xml:space="preserve">: Se deberá utilizar equipo adecuado (buen estado de dosificadores, circuito cerrado y bolsas solubles) para minimizar el contacto de los operarios con los productos químicos y evitar la contaminación dérmica, respiratoria y ocular. Los equipos de aplicación y mezcla de plaguicidas se destinarán exclusivamente para este uso. Se deberá revisar cuidadosamente los equipos de aplicación y corregir fugas en las tapas, mangueras, conexiones y aspersores. No extraer los plaguicidas de su envase usando el sistema de sifón, succionando con la boca. No romper las bolsas jalándolas, sino cortándolas en una esquina con tijeras o un cuchillo. </w:t>
      </w:r>
    </w:p>
    <w:p w14:paraId="5327AEC4" w14:textId="77777777" w:rsidR="007948A0" w:rsidRPr="009A27ED" w:rsidRDefault="007948A0" w:rsidP="007948A0">
      <w:pPr>
        <w:spacing w:line="360" w:lineRule="auto"/>
        <w:rPr>
          <w:rFonts w:ascii="Calibri" w:hAnsi="Calibri" w:cs="Calibri"/>
          <w:szCs w:val="22"/>
        </w:rPr>
      </w:pPr>
      <w:r w:rsidRPr="009A27ED">
        <w:rPr>
          <w:rFonts w:ascii="Times New Roman" w:eastAsia="Times New Roman" w:hAnsi="Times New Roman" w:cs="Calibri"/>
          <w:b/>
          <w:sz w:val="24"/>
          <w:szCs w:val="22"/>
        </w:rPr>
        <w:t>Equipo de protección</w:t>
      </w:r>
      <w:r w:rsidRPr="009A27ED">
        <w:rPr>
          <w:rFonts w:ascii="Times New Roman" w:eastAsia="Times New Roman" w:hAnsi="Times New Roman" w:cs="Calibri"/>
          <w:sz w:val="24"/>
          <w:szCs w:val="22"/>
        </w:rPr>
        <w:t xml:space="preserve">: Los operarios deben recibir capacitación sobre bioseguridad y primeros auxilios en caso de intoxicación. Deben recibir información sobre la higiene y cuidados antes, durante y después de la aplicación. Se deberán de utilizar los elementos de protección personal recomendados en la etiqueta. </w:t>
      </w:r>
    </w:p>
    <w:p w14:paraId="346885D2" w14:textId="77777777" w:rsidR="007948A0" w:rsidRPr="009A27ED" w:rsidRDefault="007948A0" w:rsidP="007948A0">
      <w:pPr>
        <w:spacing w:line="360" w:lineRule="auto"/>
        <w:rPr>
          <w:rFonts w:ascii="Calibri" w:hAnsi="Calibri" w:cs="Calibri"/>
          <w:szCs w:val="22"/>
        </w:rPr>
      </w:pPr>
      <w:r w:rsidRPr="009A27ED">
        <w:rPr>
          <w:rFonts w:ascii="Times New Roman" w:eastAsia="Times New Roman" w:hAnsi="Times New Roman" w:cs="Calibri"/>
          <w:b/>
          <w:sz w:val="24"/>
          <w:szCs w:val="22"/>
        </w:rPr>
        <w:t>Aplicación:</w:t>
      </w:r>
      <w:r w:rsidRPr="009A27ED">
        <w:rPr>
          <w:rFonts w:ascii="Times New Roman" w:eastAsia="Times New Roman" w:hAnsi="Times New Roman" w:cs="Calibri"/>
          <w:sz w:val="24"/>
          <w:szCs w:val="22"/>
        </w:rPr>
        <w:t xml:space="preserve"> Cuando se va a iniciar una aplicación es de vital importancia revisar la etiqueta del producto para asegurarse del cumplimiento de las precauciones y recomendaciones señaladas en ella. Asimismo, se deberá tener conocimiento de la toxicidad del producto a utilizar, expresada a través de la franja de coloración de la etiqueta. Si el producto no tiene etiquetas legibles o falta parte de la información, entonces debe devolverse el producto al proveedor o solicitar la información necesaria para hacer un buen uso del plaguicida. No deberán de aplicar los productos fitosanitarios personas que no poseen la capacitación adecuada para realizarla. Del mismo modo, se debe seguir estrictamente las siguientes recomendaciones: </w:t>
      </w:r>
    </w:p>
    <w:p w14:paraId="28E2A35B" w14:textId="77777777" w:rsidR="007948A0" w:rsidRPr="009A27ED" w:rsidRDefault="007948A0" w:rsidP="00E67CB0">
      <w:pPr>
        <w:pStyle w:val="Prrafodelista"/>
        <w:numPr>
          <w:ilvl w:val="1"/>
          <w:numId w:val="132"/>
        </w:numPr>
        <w:spacing w:after="120" w:line="360" w:lineRule="auto"/>
        <w:ind w:left="567"/>
        <w:rPr>
          <w:rFonts w:ascii="Calibri" w:hAnsi="Calibri" w:cs="Calibri"/>
          <w:szCs w:val="22"/>
        </w:rPr>
      </w:pPr>
      <w:r w:rsidRPr="009A27ED">
        <w:rPr>
          <w:rFonts w:ascii="Times New Roman" w:eastAsia="Times New Roman" w:hAnsi="Times New Roman" w:cs="Calibri"/>
          <w:sz w:val="24"/>
          <w:szCs w:val="22"/>
        </w:rPr>
        <w:t xml:space="preserve">Señalizar el área donde se aplicará el producto e impedir el ingreso al perímetro. El área se debe señalizar un tiempo antes de la aplicación para que la población esté al </w:t>
      </w:r>
      <w:r w:rsidRPr="009A27ED">
        <w:rPr>
          <w:rFonts w:ascii="Times New Roman" w:eastAsia="Times New Roman" w:hAnsi="Times New Roman" w:cs="Calibri"/>
          <w:sz w:val="24"/>
          <w:szCs w:val="22"/>
        </w:rPr>
        <w:lastRenderedPageBreak/>
        <w:t>tanto de la fecha, hora y lugar de aplicación. La señalización debe mantenerse en el área hasta que se haya cumplido el tiempo de reingreso establecido en la etiqueta del producto.</w:t>
      </w:r>
    </w:p>
    <w:p w14:paraId="19A19A46" w14:textId="77777777" w:rsidR="007948A0" w:rsidRPr="009A27ED" w:rsidRDefault="007948A0" w:rsidP="00E67CB0">
      <w:pPr>
        <w:pStyle w:val="Prrafodelista"/>
        <w:numPr>
          <w:ilvl w:val="1"/>
          <w:numId w:val="132"/>
        </w:numPr>
        <w:spacing w:after="120" w:line="360" w:lineRule="auto"/>
        <w:ind w:left="567"/>
        <w:rPr>
          <w:rFonts w:ascii="Calibri" w:hAnsi="Calibri" w:cs="Calibri"/>
          <w:szCs w:val="22"/>
        </w:rPr>
      </w:pPr>
      <w:r w:rsidRPr="009A27ED">
        <w:rPr>
          <w:rFonts w:ascii="Times New Roman" w:eastAsia="Times New Roman" w:hAnsi="Times New Roman" w:cs="Calibri"/>
          <w:sz w:val="24"/>
          <w:szCs w:val="22"/>
        </w:rPr>
        <w:t>Mantener alejadas del área a personas, niños, animales ajenos a la faena durante la aplicación y en cultivos recientemente tratados hasta que se cumpla estrictamente el tiempo de reingreso al área tratada recomendado en la etiqueta.</w:t>
      </w:r>
    </w:p>
    <w:p w14:paraId="67A83C74" w14:textId="77777777" w:rsidR="007948A0" w:rsidRPr="009A27ED" w:rsidRDefault="007948A0" w:rsidP="00E67CB0">
      <w:pPr>
        <w:pStyle w:val="Prrafodelista"/>
        <w:numPr>
          <w:ilvl w:val="1"/>
          <w:numId w:val="132"/>
        </w:numPr>
        <w:spacing w:after="120" w:line="360" w:lineRule="auto"/>
        <w:ind w:left="567"/>
        <w:rPr>
          <w:rFonts w:ascii="Calibri" w:hAnsi="Calibri" w:cs="Calibri"/>
          <w:szCs w:val="22"/>
        </w:rPr>
      </w:pPr>
      <w:r w:rsidRPr="009A27ED">
        <w:rPr>
          <w:rFonts w:ascii="Times New Roman" w:eastAsia="Times New Roman" w:hAnsi="Times New Roman" w:cs="Calibri"/>
          <w:sz w:val="24"/>
          <w:szCs w:val="22"/>
        </w:rPr>
        <w:t>Seguir cuidadosamente las recomendaciones señaladas en la etiqueta respecto de dosis, ropa protectora, momento de aplicación, periodo de carencia, tiempo de reingreso, etc.</w:t>
      </w:r>
    </w:p>
    <w:p w14:paraId="3C2423DB" w14:textId="77777777" w:rsidR="007948A0" w:rsidRPr="009A27ED" w:rsidRDefault="007948A0" w:rsidP="00E67CB0">
      <w:pPr>
        <w:pStyle w:val="Prrafodelista"/>
        <w:numPr>
          <w:ilvl w:val="1"/>
          <w:numId w:val="132"/>
        </w:numPr>
        <w:spacing w:after="120" w:line="360" w:lineRule="auto"/>
        <w:ind w:left="567"/>
        <w:rPr>
          <w:rFonts w:ascii="Calibri" w:hAnsi="Calibri" w:cs="Calibri"/>
          <w:szCs w:val="22"/>
        </w:rPr>
      </w:pPr>
      <w:r w:rsidRPr="009A27ED">
        <w:rPr>
          <w:rFonts w:ascii="Times New Roman" w:eastAsia="Times New Roman" w:hAnsi="Times New Roman" w:cs="Calibri"/>
          <w:sz w:val="24"/>
          <w:szCs w:val="22"/>
        </w:rPr>
        <w:t>Observar las condiciones atmosféricas, particularmente el viento que puede ser causa de deriva del producto. El viento puede hacer que los tratamientos sean ineficaces al arrastrar el producto fuera de su objetivo y puede además ser peligroso si la deriva los lleva sobre el aplicador, otros cultivos, cursos de agua, animales o viviendas.</w:t>
      </w:r>
    </w:p>
    <w:p w14:paraId="518049BF" w14:textId="77777777" w:rsidR="007948A0" w:rsidRPr="009A27ED" w:rsidRDefault="007948A0" w:rsidP="00E67CB0">
      <w:pPr>
        <w:pStyle w:val="Prrafodelista"/>
        <w:numPr>
          <w:ilvl w:val="1"/>
          <w:numId w:val="132"/>
        </w:numPr>
        <w:spacing w:after="120" w:line="360" w:lineRule="auto"/>
        <w:ind w:left="567"/>
        <w:rPr>
          <w:rFonts w:ascii="Calibri" w:hAnsi="Calibri" w:cs="Calibri"/>
          <w:szCs w:val="22"/>
        </w:rPr>
      </w:pPr>
      <w:r w:rsidRPr="009A27ED">
        <w:rPr>
          <w:rFonts w:ascii="Times New Roman" w:eastAsia="Times New Roman" w:hAnsi="Times New Roman" w:cs="Calibri"/>
          <w:sz w:val="24"/>
          <w:szCs w:val="22"/>
        </w:rPr>
        <w:t>No aplicar productos fitosanitarios con vientos superiores a 8km/h (cuando los árboles agitan sus ramas). No aplicar contra el viento.</w:t>
      </w:r>
    </w:p>
    <w:p w14:paraId="4199FF46" w14:textId="77777777" w:rsidR="007948A0" w:rsidRPr="009A27ED" w:rsidRDefault="007948A0" w:rsidP="00F464F4">
      <w:pPr>
        <w:spacing w:line="360" w:lineRule="auto"/>
      </w:pPr>
    </w:p>
    <w:p w14:paraId="4BE306EE" w14:textId="77777777" w:rsidR="007948A0" w:rsidRPr="009A27ED" w:rsidRDefault="007948A0" w:rsidP="00E67CB0">
      <w:pPr>
        <w:pStyle w:val="Ttulo2"/>
        <w:numPr>
          <w:ilvl w:val="0"/>
          <w:numId w:val="274"/>
        </w:numPr>
        <w:spacing w:before="40" w:line="360" w:lineRule="auto"/>
        <w:ind w:left="426"/>
        <w:jc w:val="both"/>
        <w:rPr>
          <w:rFonts w:ascii="Calibri" w:hAnsi="Calibri" w:cs="Calibri"/>
          <w:sz w:val="22"/>
          <w:szCs w:val="22"/>
        </w:rPr>
      </w:pPr>
      <w:bookmarkStart w:id="729" w:name="_Toc8231886"/>
      <w:bookmarkStart w:id="730" w:name="_Toc111838029"/>
      <w:r w:rsidRPr="009A27ED">
        <w:rPr>
          <w:rFonts w:ascii="Times New Roman" w:eastAsia="Times New Roman" w:hAnsi="Times New Roman" w:cs="Calibri"/>
          <w:sz w:val="24"/>
          <w:szCs w:val="22"/>
        </w:rPr>
        <w:t>Consideraciones de las actividades de difusión y entrenamiento</w:t>
      </w:r>
      <w:bookmarkEnd w:id="729"/>
      <w:bookmarkEnd w:id="730"/>
    </w:p>
    <w:p w14:paraId="5F8DC4E1" w14:textId="77777777" w:rsidR="007948A0" w:rsidRPr="009A27ED" w:rsidRDefault="007948A0" w:rsidP="007948A0">
      <w:pPr>
        <w:spacing w:line="360" w:lineRule="auto"/>
        <w:rPr>
          <w:rFonts w:ascii="Calibri" w:hAnsi="Calibri" w:cs="Calibri"/>
          <w:szCs w:val="22"/>
        </w:rPr>
      </w:pPr>
      <w:r w:rsidRPr="009A27ED">
        <w:rPr>
          <w:rFonts w:ascii="Times New Roman" w:eastAsia="Times New Roman" w:hAnsi="Times New Roman" w:cs="Calibri"/>
          <w:sz w:val="24"/>
          <w:szCs w:val="22"/>
        </w:rPr>
        <w:t xml:space="preserve">Se llevarán a cabo las siguientes actividades durante la preparación y ejecución del proyecto: </w:t>
      </w:r>
    </w:p>
    <w:p w14:paraId="5CC6E592" w14:textId="77777777" w:rsidR="007948A0" w:rsidRPr="009A27ED" w:rsidRDefault="007948A0" w:rsidP="00E67CB0">
      <w:pPr>
        <w:pStyle w:val="Prrafodelista"/>
        <w:numPr>
          <w:ilvl w:val="1"/>
          <w:numId w:val="133"/>
        </w:numPr>
        <w:spacing w:after="0" w:line="360" w:lineRule="auto"/>
        <w:ind w:left="567"/>
        <w:rPr>
          <w:rFonts w:ascii="Calibri" w:hAnsi="Calibri" w:cs="Calibri"/>
          <w:szCs w:val="22"/>
        </w:rPr>
      </w:pPr>
      <w:r w:rsidRPr="009A27ED">
        <w:rPr>
          <w:rFonts w:ascii="Times New Roman" w:eastAsia="Times New Roman" w:hAnsi="Times New Roman" w:cs="Calibri"/>
          <w:sz w:val="24"/>
          <w:szCs w:val="22"/>
        </w:rPr>
        <w:t xml:space="preserve">Promoción del Manejo Integrado de Plagas (MIP) y las Buenas Prácticas </w:t>
      </w:r>
    </w:p>
    <w:p w14:paraId="5561F937" w14:textId="77777777" w:rsidR="007948A0" w:rsidRPr="009A27ED" w:rsidRDefault="007948A0" w:rsidP="00E67CB0">
      <w:pPr>
        <w:pStyle w:val="Prrafodelista"/>
        <w:numPr>
          <w:ilvl w:val="1"/>
          <w:numId w:val="133"/>
        </w:numPr>
        <w:spacing w:after="0" w:line="360" w:lineRule="auto"/>
        <w:ind w:left="567"/>
        <w:rPr>
          <w:rFonts w:ascii="Calibri" w:hAnsi="Calibri" w:cs="Calibri"/>
          <w:szCs w:val="22"/>
        </w:rPr>
      </w:pPr>
      <w:r w:rsidRPr="009A27ED">
        <w:rPr>
          <w:rFonts w:ascii="Times New Roman" w:eastAsia="Times New Roman" w:hAnsi="Times New Roman" w:cs="Calibri"/>
          <w:sz w:val="24"/>
          <w:szCs w:val="22"/>
        </w:rPr>
        <w:t>Generar y distribuir material de difusión y un manual sobre el MIP</w:t>
      </w:r>
    </w:p>
    <w:p w14:paraId="2AA29164" w14:textId="77777777" w:rsidR="007948A0" w:rsidRPr="009A27ED" w:rsidRDefault="007948A0" w:rsidP="00E67CB0">
      <w:pPr>
        <w:pStyle w:val="Prrafodelista"/>
        <w:numPr>
          <w:ilvl w:val="1"/>
          <w:numId w:val="133"/>
        </w:numPr>
        <w:spacing w:after="0" w:line="360" w:lineRule="auto"/>
        <w:ind w:left="567"/>
        <w:rPr>
          <w:rFonts w:ascii="Calibri" w:hAnsi="Calibri" w:cs="Calibri"/>
          <w:szCs w:val="22"/>
        </w:rPr>
      </w:pPr>
      <w:r w:rsidRPr="009A27ED">
        <w:rPr>
          <w:rFonts w:ascii="Times New Roman" w:eastAsia="Times New Roman" w:hAnsi="Times New Roman" w:cs="Calibri"/>
          <w:sz w:val="24"/>
          <w:szCs w:val="22"/>
        </w:rPr>
        <w:t xml:space="preserve">Establecer un protocolo de asistencia técnica en MIP </w:t>
      </w:r>
    </w:p>
    <w:p w14:paraId="39B07E13" w14:textId="77777777" w:rsidR="007948A0" w:rsidRPr="009A27ED" w:rsidRDefault="007948A0" w:rsidP="00E67CB0">
      <w:pPr>
        <w:pStyle w:val="Prrafodelista"/>
        <w:numPr>
          <w:ilvl w:val="1"/>
          <w:numId w:val="133"/>
        </w:numPr>
        <w:spacing w:after="0" w:line="360" w:lineRule="auto"/>
        <w:ind w:left="567"/>
        <w:rPr>
          <w:rFonts w:ascii="Calibri" w:hAnsi="Calibri" w:cs="Calibri"/>
          <w:szCs w:val="22"/>
        </w:rPr>
      </w:pPr>
      <w:r w:rsidRPr="009A27ED">
        <w:rPr>
          <w:rFonts w:ascii="Times New Roman" w:eastAsia="Times New Roman" w:hAnsi="Times New Roman" w:cs="Calibri"/>
          <w:sz w:val="24"/>
          <w:szCs w:val="22"/>
        </w:rPr>
        <w:t xml:space="preserve">Se diseñará e implementará un programa de capacitación sobre el manejo adecuado de plaguicidas, según las disposiciones contenidas en el presente PMP. </w:t>
      </w:r>
    </w:p>
    <w:p w14:paraId="42E16316" w14:textId="77777777" w:rsidR="007948A0" w:rsidRPr="009A27ED" w:rsidRDefault="007948A0" w:rsidP="007948A0">
      <w:pPr>
        <w:spacing w:line="360" w:lineRule="auto"/>
        <w:rPr>
          <w:rFonts w:ascii="Calibri" w:hAnsi="Calibri" w:cs="Calibri"/>
          <w:szCs w:val="22"/>
        </w:rPr>
      </w:pPr>
    </w:p>
    <w:p w14:paraId="5BA32812" w14:textId="77777777" w:rsidR="007948A0" w:rsidRPr="009A27ED" w:rsidRDefault="007948A0" w:rsidP="00E67CB0">
      <w:pPr>
        <w:pStyle w:val="Ttulo2"/>
        <w:numPr>
          <w:ilvl w:val="0"/>
          <w:numId w:val="274"/>
        </w:numPr>
        <w:spacing w:before="40" w:line="360" w:lineRule="auto"/>
        <w:ind w:left="426"/>
        <w:jc w:val="both"/>
        <w:rPr>
          <w:rFonts w:ascii="Calibri" w:hAnsi="Calibri" w:cs="Calibri"/>
          <w:sz w:val="22"/>
          <w:szCs w:val="22"/>
        </w:rPr>
      </w:pPr>
      <w:bookmarkStart w:id="731" w:name="_Toc8231887"/>
      <w:bookmarkStart w:id="732" w:name="_Toc111838030"/>
      <w:r w:rsidRPr="009A27ED">
        <w:rPr>
          <w:rFonts w:ascii="Times New Roman" w:eastAsia="Times New Roman" w:hAnsi="Times New Roman" w:cs="Calibri"/>
          <w:sz w:val="24"/>
          <w:szCs w:val="22"/>
        </w:rPr>
        <w:t>Equipo mínimo de protección personal</w:t>
      </w:r>
      <w:bookmarkEnd w:id="731"/>
      <w:bookmarkEnd w:id="732"/>
    </w:p>
    <w:p w14:paraId="1D4515A8" w14:textId="7579366D" w:rsidR="007948A0" w:rsidRPr="009A27ED" w:rsidRDefault="007948A0" w:rsidP="007948A0">
      <w:pPr>
        <w:spacing w:line="360" w:lineRule="auto"/>
        <w:rPr>
          <w:rFonts w:ascii="Calibri" w:hAnsi="Calibri" w:cs="Calibri"/>
          <w:szCs w:val="22"/>
        </w:rPr>
      </w:pPr>
      <w:r w:rsidRPr="009A27ED">
        <w:rPr>
          <w:rFonts w:ascii="Times New Roman" w:eastAsia="Times New Roman" w:hAnsi="Times New Roman" w:cs="Calibri"/>
          <w:sz w:val="24"/>
          <w:szCs w:val="22"/>
        </w:rPr>
        <w:t xml:space="preserve">El personal deberá utilizar como mínimo: guantes (nunca de cuero, tela o forrados con tela), monos y delantales, botas, equipo protector para la cabeza, equipo protector para los ojos, respiradores y máscaras </w:t>
      </w:r>
      <w:r w:rsidR="001B6C5C" w:rsidRPr="009A27ED">
        <w:rPr>
          <w:rFonts w:ascii="Times New Roman" w:eastAsia="Times New Roman" w:hAnsi="Times New Roman" w:cs="Calibri"/>
          <w:sz w:val="24"/>
          <w:szCs w:val="22"/>
        </w:rPr>
        <w:t>antigás</w:t>
      </w:r>
      <w:r w:rsidRPr="009A27ED">
        <w:rPr>
          <w:rFonts w:ascii="Times New Roman" w:eastAsia="Times New Roman" w:hAnsi="Times New Roman" w:cs="Calibri"/>
          <w:sz w:val="24"/>
          <w:szCs w:val="22"/>
        </w:rPr>
        <w:t xml:space="preserve">. </w:t>
      </w:r>
    </w:p>
    <w:p w14:paraId="7E5C7CB5" w14:textId="77777777" w:rsidR="007948A0" w:rsidRPr="009A27ED" w:rsidRDefault="007948A0" w:rsidP="007948A0">
      <w:pPr>
        <w:spacing w:line="360" w:lineRule="auto"/>
        <w:rPr>
          <w:rFonts w:ascii="Calibri" w:hAnsi="Calibri" w:cs="Calibri"/>
        </w:rPr>
      </w:pPr>
    </w:p>
    <w:p w14:paraId="48F9D3B4" w14:textId="77777777" w:rsidR="007B7293" w:rsidRPr="009A27ED" w:rsidRDefault="007B7293" w:rsidP="007B7293">
      <w:pPr>
        <w:spacing w:line="360" w:lineRule="auto"/>
      </w:pPr>
    </w:p>
    <w:bookmarkEnd w:id="717"/>
    <w:p w14:paraId="54DE6D45" w14:textId="363F6D7D" w:rsidR="00405040" w:rsidRPr="009A27ED" w:rsidRDefault="00405040" w:rsidP="00405040">
      <w:pPr>
        <w:autoSpaceDE w:val="0"/>
        <w:autoSpaceDN w:val="0"/>
        <w:adjustRightInd w:val="0"/>
        <w:spacing w:after="0" w:line="360" w:lineRule="auto"/>
        <w:rPr>
          <w:color w:val="000000"/>
          <w:szCs w:val="22"/>
        </w:rPr>
      </w:pPr>
    </w:p>
    <w:p w14:paraId="3A582615" w14:textId="77777777" w:rsidR="00DF3AFC" w:rsidRPr="009A27ED" w:rsidRDefault="00DF3AFC" w:rsidP="00405040">
      <w:pPr>
        <w:autoSpaceDE w:val="0"/>
        <w:autoSpaceDN w:val="0"/>
        <w:adjustRightInd w:val="0"/>
        <w:spacing w:after="0" w:line="360" w:lineRule="auto"/>
        <w:rPr>
          <w:color w:val="000000"/>
          <w:szCs w:val="22"/>
        </w:rPr>
      </w:pPr>
    </w:p>
    <w:p w14:paraId="0E3B6AC0" w14:textId="77777777" w:rsidR="008A60E1" w:rsidRPr="009A27ED" w:rsidRDefault="008A60E1" w:rsidP="008A60E1">
      <w:pPr>
        <w:spacing w:line="360" w:lineRule="auto"/>
      </w:pPr>
    </w:p>
    <w:p w14:paraId="28AE4131" w14:textId="33CFC5F2" w:rsidR="00405040" w:rsidRPr="009A27ED" w:rsidRDefault="00405040" w:rsidP="00AB3D08">
      <w:pPr>
        <w:pStyle w:val="Ttulo1"/>
        <w:numPr>
          <w:ilvl w:val="0"/>
          <w:numId w:val="0"/>
        </w:numPr>
        <w:spacing w:line="360" w:lineRule="auto"/>
        <w:jc w:val="both"/>
      </w:pPr>
      <w:bookmarkStart w:id="733" w:name="_Toc529470030"/>
      <w:bookmarkStart w:id="734" w:name="_Toc532335900"/>
      <w:bookmarkStart w:id="735" w:name="_Toc533594092"/>
      <w:bookmarkStart w:id="736" w:name="_Toc111838031"/>
      <w:bookmarkStart w:id="737" w:name="_Hlk4790305"/>
      <w:r w:rsidRPr="009A27ED">
        <w:rPr>
          <w:rFonts w:ascii="Times New Roman" w:eastAsia="Times New Roman" w:hAnsi="Times New Roman"/>
          <w:sz w:val="24"/>
        </w:rPr>
        <w:t>Anexo</w:t>
      </w:r>
      <w:r w:rsidR="009E71E9" w:rsidRPr="009A27ED">
        <w:rPr>
          <w:rFonts w:ascii="Times New Roman" w:eastAsia="Times New Roman" w:hAnsi="Times New Roman"/>
          <w:sz w:val="24"/>
        </w:rPr>
        <w:t xml:space="preserve"> </w:t>
      </w:r>
      <w:r w:rsidR="00620685" w:rsidRPr="009A27ED">
        <w:rPr>
          <w:rFonts w:ascii="Times New Roman" w:eastAsia="Times New Roman" w:hAnsi="Times New Roman"/>
          <w:sz w:val="24"/>
        </w:rPr>
        <w:t>4</w:t>
      </w:r>
      <w:r w:rsidRPr="009A27ED">
        <w:rPr>
          <w:rFonts w:ascii="Times New Roman" w:eastAsia="Times New Roman" w:hAnsi="Times New Roman"/>
          <w:sz w:val="24"/>
        </w:rPr>
        <w:t xml:space="preserve">. Protocolo para la protección de Patrimonio Cultural Físico de acuerdo con la </w:t>
      </w:r>
      <w:r w:rsidR="000D2602" w:rsidRPr="009A27ED">
        <w:rPr>
          <w:rFonts w:ascii="Times New Roman" w:eastAsia="Times New Roman" w:hAnsi="Times New Roman"/>
          <w:sz w:val="24"/>
        </w:rPr>
        <w:t xml:space="preserve">PO </w:t>
      </w:r>
      <w:r w:rsidRPr="009A27ED">
        <w:rPr>
          <w:rFonts w:ascii="Times New Roman" w:eastAsia="Times New Roman" w:hAnsi="Times New Roman"/>
          <w:sz w:val="24"/>
        </w:rPr>
        <w:t>4.11 del BM</w:t>
      </w:r>
      <w:bookmarkEnd w:id="733"/>
      <w:bookmarkEnd w:id="734"/>
      <w:bookmarkEnd w:id="735"/>
      <w:bookmarkEnd w:id="736"/>
      <w:r w:rsidRPr="009A27ED">
        <w:rPr>
          <w:rFonts w:ascii="Times New Roman" w:eastAsia="Times New Roman" w:hAnsi="Times New Roman"/>
          <w:sz w:val="24"/>
        </w:rPr>
        <w:t xml:space="preserve"> </w:t>
      </w:r>
    </w:p>
    <w:p w14:paraId="75805D1A" w14:textId="77777777" w:rsidR="007948A0" w:rsidRPr="009A27ED" w:rsidRDefault="007948A0" w:rsidP="007948A0">
      <w:pPr>
        <w:autoSpaceDE w:val="0"/>
        <w:autoSpaceDN w:val="0"/>
        <w:adjustRightInd w:val="0"/>
        <w:spacing w:after="0" w:line="360" w:lineRule="auto"/>
        <w:rPr>
          <w:szCs w:val="22"/>
        </w:rPr>
      </w:pPr>
    </w:p>
    <w:p w14:paraId="588094B9" w14:textId="77777777" w:rsidR="007948A0" w:rsidRPr="009A27ED" w:rsidRDefault="007948A0" w:rsidP="00E67CB0">
      <w:pPr>
        <w:pStyle w:val="Prrafodelista"/>
        <w:numPr>
          <w:ilvl w:val="0"/>
          <w:numId w:val="276"/>
        </w:numPr>
        <w:tabs>
          <w:tab w:val="left" w:pos="284"/>
        </w:tabs>
        <w:spacing w:after="120" w:line="360" w:lineRule="auto"/>
        <w:ind w:left="284"/>
        <w:rPr>
          <w:rFonts w:ascii="Calibri" w:hAnsi="Calibri" w:cs="Calibri"/>
          <w:b/>
          <w:szCs w:val="22"/>
        </w:rPr>
      </w:pPr>
      <w:r w:rsidRPr="009A27ED">
        <w:rPr>
          <w:rFonts w:ascii="Times New Roman" w:eastAsia="Times New Roman" w:hAnsi="Times New Roman" w:cs="Calibri"/>
          <w:b/>
          <w:sz w:val="24"/>
          <w:szCs w:val="22"/>
        </w:rPr>
        <w:t>Marco conceptual</w:t>
      </w:r>
    </w:p>
    <w:p w14:paraId="57D654CC" w14:textId="259781D6" w:rsidR="007948A0" w:rsidRPr="009A27ED" w:rsidRDefault="007948A0" w:rsidP="007948A0">
      <w:pPr>
        <w:spacing w:line="360" w:lineRule="auto"/>
        <w:rPr>
          <w:rFonts w:ascii="Calibri" w:hAnsi="Calibri" w:cs="Calibri"/>
          <w:szCs w:val="22"/>
        </w:rPr>
      </w:pPr>
      <w:r w:rsidRPr="009A27ED">
        <w:rPr>
          <w:rFonts w:ascii="Times New Roman" w:eastAsia="Times New Roman" w:hAnsi="Times New Roman" w:cs="Calibri"/>
          <w:sz w:val="24"/>
          <w:szCs w:val="22"/>
        </w:rPr>
        <w:t>Según la Ley No. 41-00 que crea la Secretaria de Estado de Cultura</w:t>
      </w:r>
      <w:r w:rsidR="00884C2D" w:rsidRPr="009A27ED">
        <w:rPr>
          <w:rFonts w:ascii="Times New Roman" w:eastAsia="Times New Roman" w:hAnsi="Times New Roman" w:cs="Calibri"/>
          <w:sz w:val="24"/>
          <w:szCs w:val="22"/>
        </w:rPr>
        <w:t xml:space="preserve"> (Ministerio de Cultura)</w:t>
      </w:r>
      <w:r w:rsidRPr="009A27ED">
        <w:rPr>
          <w:rFonts w:ascii="Times New Roman" w:eastAsia="Times New Roman" w:hAnsi="Times New Roman" w:cs="Calibri"/>
          <w:sz w:val="24"/>
          <w:szCs w:val="22"/>
        </w:rPr>
        <w:t>, el patrimonio cultural de la Nación comprende todos los bienes, valores y símbolos culturales tangibles e  intangibles que son expresión de la Nación dominicana, tales como las tradiciones, las costumbres y los hábitos, así como el conjunto de bienes, incluidos aquellos sumergidos en el agua, materiales e inmateriales, muebles e  inmuebles, que poseen un especial interés histórico, artístico, estético, plástico, arquitectónico, urbano, arqueológico, ambiental, ecológico, lingüístico, sonoro, musical, audiovisual, fílmico, científico, tecnológico, testimonial, documental, literario, bibliográfico, museográfico, antropológico y las manifestaciones, los productos y  las representaciones de la cultura popular.</w:t>
      </w:r>
    </w:p>
    <w:p w14:paraId="547FFCE9" w14:textId="77777777" w:rsidR="007948A0" w:rsidRPr="009A27ED" w:rsidRDefault="007948A0" w:rsidP="007948A0">
      <w:pPr>
        <w:pStyle w:val="Prrafodelista"/>
        <w:tabs>
          <w:tab w:val="left" w:pos="284"/>
        </w:tabs>
        <w:spacing w:after="120" w:line="360" w:lineRule="auto"/>
        <w:ind w:left="284"/>
        <w:rPr>
          <w:rFonts w:ascii="Calibri" w:hAnsi="Calibri" w:cs="Calibri"/>
          <w:szCs w:val="22"/>
        </w:rPr>
      </w:pPr>
    </w:p>
    <w:p w14:paraId="4D165893" w14:textId="77777777" w:rsidR="007948A0" w:rsidRPr="009A27ED" w:rsidRDefault="007948A0" w:rsidP="00E67CB0">
      <w:pPr>
        <w:pStyle w:val="Prrafodelista"/>
        <w:numPr>
          <w:ilvl w:val="0"/>
          <w:numId w:val="276"/>
        </w:numPr>
        <w:tabs>
          <w:tab w:val="left" w:pos="284"/>
        </w:tabs>
        <w:spacing w:after="120" w:line="360" w:lineRule="auto"/>
        <w:ind w:left="284"/>
        <w:rPr>
          <w:rFonts w:ascii="Calibri" w:hAnsi="Calibri" w:cs="Calibri"/>
          <w:b/>
          <w:szCs w:val="22"/>
        </w:rPr>
      </w:pPr>
      <w:bookmarkStart w:id="738" w:name="_Toc8231889"/>
      <w:r w:rsidRPr="009A27ED">
        <w:rPr>
          <w:rFonts w:ascii="Times New Roman" w:eastAsia="Times New Roman" w:hAnsi="Times New Roman" w:cs="Calibri"/>
          <w:b/>
          <w:sz w:val="24"/>
          <w:szCs w:val="22"/>
        </w:rPr>
        <w:t>Procedimiento de operación en caso de hallazgos fortuitos</w:t>
      </w:r>
      <w:bookmarkEnd w:id="738"/>
    </w:p>
    <w:p w14:paraId="6D50E8C0" w14:textId="77777777" w:rsidR="007948A0" w:rsidRPr="009A27ED" w:rsidRDefault="007948A0" w:rsidP="007948A0">
      <w:pPr>
        <w:spacing w:line="360" w:lineRule="auto"/>
        <w:rPr>
          <w:rFonts w:ascii="Calibri" w:hAnsi="Calibri" w:cs="Calibri"/>
          <w:szCs w:val="22"/>
        </w:rPr>
      </w:pPr>
      <w:r w:rsidRPr="009A27ED">
        <w:rPr>
          <w:rFonts w:ascii="Times New Roman" w:eastAsia="Times New Roman" w:hAnsi="Times New Roman" w:cs="Calibri"/>
          <w:sz w:val="24"/>
          <w:szCs w:val="22"/>
        </w:rPr>
        <w:t xml:space="preserve">Con el fin de proteger los posibles recursos culturales físicos presentes en los lugares de implementación del proyecto (bienes muebles e inmuebles, lugares, estructuras, grupos de estructuras, y características y paisajes naturales que tienen significado arqueológico, paleontológico, histórico, arquitectónico, religioso, estético o, en términos generales, cultural), se deberá realizar un diagnóstico inicial de las áreas donde se llevarán a cabo los proyectos, a fin de no intervenir en aquellos sitios donde existe la posibilidad de encontrar sitios de significancia cultural, ancestral o histórica. </w:t>
      </w:r>
    </w:p>
    <w:p w14:paraId="53FDF66D" w14:textId="77777777" w:rsidR="007948A0" w:rsidRPr="009A27ED" w:rsidRDefault="007948A0" w:rsidP="007948A0">
      <w:pPr>
        <w:spacing w:line="360" w:lineRule="auto"/>
        <w:rPr>
          <w:rFonts w:ascii="Calibri" w:hAnsi="Calibri" w:cs="Calibri"/>
          <w:szCs w:val="22"/>
        </w:rPr>
      </w:pPr>
      <w:r w:rsidRPr="009A27ED">
        <w:rPr>
          <w:rFonts w:ascii="Times New Roman" w:eastAsia="Times New Roman" w:hAnsi="Times New Roman" w:cs="Calibri"/>
          <w:sz w:val="24"/>
          <w:szCs w:val="22"/>
        </w:rPr>
        <w:t xml:space="preserve">No se apoyará ninguna actividad que tenga algún impacto negativo sobre los recursos culturales físicos. </w:t>
      </w:r>
    </w:p>
    <w:p w14:paraId="50E383FF" w14:textId="77777777" w:rsidR="007948A0" w:rsidRPr="009A27ED" w:rsidRDefault="007948A0" w:rsidP="007948A0">
      <w:pPr>
        <w:spacing w:line="360" w:lineRule="auto"/>
        <w:rPr>
          <w:rFonts w:ascii="Calibri" w:hAnsi="Calibri" w:cs="Calibri"/>
          <w:szCs w:val="22"/>
        </w:rPr>
      </w:pPr>
      <w:r w:rsidRPr="009A27ED">
        <w:rPr>
          <w:rFonts w:ascii="Times New Roman" w:eastAsia="Times New Roman" w:hAnsi="Times New Roman" w:cs="Calibri"/>
          <w:sz w:val="24"/>
          <w:szCs w:val="22"/>
        </w:rPr>
        <w:t xml:space="preserve">Sin embargo, debido a la probabilidad de realizar un hallazgo fortuito (un descubrimiento imprevisto de restos materiales de importancia arqueológica o histórica) durante las </w:t>
      </w:r>
      <w:r w:rsidRPr="009A27ED">
        <w:rPr>
          <w:rFonts w:ascii="Times New Roman" w:eastAsia="Times New Roman" w:hAnsi="Times New Roman" w:cs="Calibri"/>
          <w:sz w:val="24"/>
          <w:szCs w:val="22"/>
        </w:rPr>
        <w:lastRenderedPageBreak/>
        <w:t xml:space="preserve">actividades de construcción, los contratos deberán incluir una cláusula de hallazgos fortuitos, en la que se especificarán las medidas que se deben adoptar si se descubren recursos culturales físicos inesperadamente durante la construcción de obras civiles. </w:t>
      </w:r>
    </w:p>
    <w:p w14:paraId="434BA3A8" w14:textId="77777777" w:rsidR="007948A0" w:rsidRPr="009A27ED" w:rsidRDefault="007948A0" w:rsidP="007948A0">
      <w:pPr>
        <w:spacing w:line="360" w:lineRule="auto"/>
        <w:rPr>
          <w:rFonts w:ascii="Calibri" w:hAnsi="Calibri" w:cs="Calibri"/>
          <w:szCs w:val="22"/>
        </w:rPr>
      </w:pPr>
      <w:r w:rsidRPr="009A27ED">
        <w:rPr>
          <w:rFonts w:ascii="Times New Roman" w:eastAsia="Times New Roman" w:hAnsi="Times New Roman" w:cs="Calibri"/>
          <w:sz w:val="24"/>
          <w:szCs w:val="22"/>
        </w:rPr>
        <w:t>A lo largo de las actividades de construcción (extracción, nivelación, excavación, paso de maquinaria y equipo, etc.) deberá establecerse un programa de monitoreo o seguimiento de la construcción que permita identificar posibles recursos culturales en el sitio. Se deberá identificar, proteger, recuperar y registrar todos los recursos culturales encontrados durante la construcción del proyecto.</w:t>
      </w:r>
    </w:p>
    <w:p w14:paraId="47D22B96" w14:textId="77777777" w:rsidR="007948A0" w:rsidRPr="009A27ED" w:rsidRDefault="007948A0" w:rsidP="007948A0">
      <w:pPr>
        <w:spacing w:line="360" w:lineRule="auto"/>
        <w:rPr>
          <w:rFonts w:ascii="Calibri" w:hAnsi="Calibri" w:cs="Calibri"/>
          <w:szCs w:val="22"/>
        </w:rPr>
      </w:pPr>
      <w:r w:rsidRPr="009A27ED">
        <w:rPr>
          <w:rFonts w:ascii="Times New Roman" w:eastAsia="Times New Roman" w:hAnsi="Times New Roman" w:cs="Calibri"/>
          <w:sz w:val="24"/>
          <w:szCs w:val="22"/>
        </w:rPr>
        <w:t xml:space="preserve">No se deberán causar perturbaciones adicionales a cualquier hallazgo fortuito hasta que un experto competente realice una evaluación y se identifiquen las acciones consecuentes. </w:t>
      </w:r>
    </w:p>
    <w:p w14:paraId="64DF053D" w14:textId="77777777" w:rsidR="007948A0" w:rsidRPr="009A27ED" w:rsidRDefault="007948A0" w:rsidP="007948A0">
      <w:pPr>
        <w:spacing w:line="360" w:lineRule="auto"/>
        <w:rPr>
          <w:rFonts w:ascii="Calibri" w:hAnsi="Calibri" w:cs="Calibri"/>
          <w:szCs w:val="22"/>
        </w:rPr>
      </w:pPr>
      <w:r w:rsidRPr="009A27ED">
        <w:rPr>
          <w:rFonts w:ascii="Times New Roman" w:eastAsia="Times New Roman" w:hAnsi="Times New Roman" w:cs="Calibri"/>
          <w:sz w:val="24"/>
          <w:szCs w:val="22"/>
        </w:rPr>
        <w:t xml:space="preserve">En el caso de encontrar algún hallazgo fortuito de Patrimonio físico cultural, se deberá: </w:t>
      </w:r>
    </w:p>
    <w:p w14:paraId="5AD8D6A4" w14:textId="77777777" w:rsidR="007948A0" w:rsidRPr="009A27ED" w:rsidRDefault="007948A0" w:rsidP="00E67CB0">
      <w:pPr>
        <w:pStyle w:val="Prrafodelista"/>
        <w:numPr>
          <w:ilvl w:val="0"/>
          <w:numId w:val="275"/>
        </w:numPr>
        <w:spacing w:after="120" w:line="360" w:lineRule="auto"/>
        <w:rPr>
          <w:szCs w:val="22"/>
        </w:rPr>
      </w:pPr>
      <w:r w:rsidRPr="009A27ED">
        <w:rPr>
          <w:rFonts w:ascii="Times New Roman" w:eastAsia="Times New Roman" w:hAnsi="Times New Roman"/>
          <w:sz w:val="24"/>
          <w:szCs w:val="22"/>
        </w:rPr>
        <w:t xml:space="preserve">Detener inmediatamente cualquier actividad de construcción o modificación en el sitio. </w:t>
      </w:r>
    </w:p>
    <w:p w14:paraId="4BAF377B" w14:textId="77777777" w:rsidR="007948A0" w:rsidRPr="009A27ED" w:rsidRDefault="007948A0" w:rsidP="00E67CB0">
      <w:pPr>
        <w:pStyle w:val="Prrafodelista"/>
        <w:numPr>
          <w:ilvl w:val="0"/>
          <w:numId w:val="275"/>
        </w:numPr>
        <w:spacing w:after="120" w:line="360" w:lineRule="auto"/>
        <w:rPr>
          <w:szCs w:val="22"/>
        </w:rPr>
      </w:pPr>
      <w:r w:rsidRPr="009A27ED">
        <w:rPr>
          <w:rFonts w:ascii="Times New Roman" w:eastAsia="Times New Roman" w:hAnsi="Times New Roman"/>
          <w:sz w:val="24"/>
          <w:szCs w:val="22"/>
        </w:rPr>
        <w:t>Registrar el hallazgo y documentarlo mediante evidencia fotográfica.</w:t>
      </w:r>
    </w:p>
    <w:p w14:paraId="1BF044B9" w14:textId="77777777" w:rsidR="007948A0" w:rsidRPr="009A27ED" w:rsidRDefault="007948A0" w:rsidP="00E67CB0">
      <w:pPr>
        <w:pStyle w:val="Prrafodelista"/>
        <w:numPr>
          <w:ilvl w:val="0"/>
          <w:numId w:val="275"/>
        </w:numPr>
        <w:spacing w:after="120" w:line="360" w:lineRule="auto"/>
        <w:rPr>
          <w:szCs w:val="22"/>
        </w:rPr>
      </w:pPr>
      <w:r w:rsidRPr="009A27ED">
        <w:rPr>
          <w:rFonts w:ascii="Times New Roman" w:eastAsia="Times New Roman" w:hAnsi="Times New Roman"/>
          <w:sz w:val="24"/>
          <w:szCs w:val="22"/>
        </w:rPr>
        <w:t>Proteger y asegurar el sitio y los hallazgos culturales, incluyendo su almacenamiento, protección y seguridad. Por ningún motivo se deberán de sacar del sitio.</w:t>
      </w:r>
    </w:p>
    <w:p w14:paraId="6B893B48" w14:textId="43639DEA" w:rsidR="007948A0" w:rsidRPr="009A27ED" w:rsidRDefault="007948A0" w:rsidP="00E67CB0">
      <w:pPr>
        <w:pStyle w:val="Prrafodelista"/>
        <w:numPr>
          <w:ilvl w:val="0"/>
          <w:numId w:val="275"/>
        </w:numPr>
        <w:spacing w:after="120" w:line="360" w:lineRule="auto"/>
        <w:rPr>
          <w:szCs w:val="22"/>
        </w:rPr>
      </w:pPr>
      <w:r w:rsidRPr="009A27ED">
        <w:rPr>
          <w:rFonts w:ascii="Times New Roman" w:eastAsia="Times New Roman" w:hAnsi="Times New Roman"/>
          <w:sz w:val="24"/>
          <w:szCs w:val="22"/>
        </w:rPr>
        <w:t>Informar inmediatamente al personal del Ministerio de Cultura para que haga una visita al sitio.</w:t>
      </w:r>
    </w:p>
    <w:p w14:paraId="0AB41D57" w14:textId="1C144F02" w:rsidR="007948A0" w:rsidRPr="009A27ED" w:rsidRDefault="007948A0" w:rsidP="00E67CB0">
      <w:pPr>
        <w:pStyle w:val="Prrafodelista"/>
        <w:numPr>
          <w:ilvl w:val="0"/>
          <w:numId w:val="275"/>
        </w:numPr>
        <w:spacing w:after="120" w:line="360" w:lineRule="auto"/>
        <w:rPr>
          <w:szCs w:val="22"/>
        </w:rPr>
      </w:pPr>
      <w:r w:rsidRPr="009A27ED">
        <w:rPr>
          <w:rFonts w:ascii="Times New Roman" w:eastAsia="Times New Roman" w:hAnsi="Times New Roman"/>
          <w:sz w:val="24"/>
          <w:szCs w:val="22"/>
        </w:rPr>
        <w:t xml:space="preserve">El personal del Ministerio de Medio Ambiente </w:t>
      </w:r>
      <w:r w:rsidR="00884C2D" w:rsidRPr="009A27ED">
        <w:rPr>
          <w:rFonts w:ascii="Times New Roman" w:eastAsia="Times New Roman" w:hAnsi="Times New Roman"/>
          <w:sz w:val="24"/>
          <w:szCs w:val="22"/>
        </w:rPr>
        <w:t xml:space="preserve">y Recursos Naturales </w:t>
      </w:r>
      <w:r w:rsidRPr="009A27ED">
        <w:rPr>
          <w:rFonts w:ascii="Times New Roman" w:eastAsia="Times New Roman" w:hAnsi="Times New Roman"/>
          <w:sz w:val="24"/>
          <w:szCs w:val="22"/>
        </w:rPr>
        <w:t xml:space="preserve">inspeccionará y asegurará el sitio. </w:t>
      </w:r>
    </w:p>
    <w:p w14:paraId="3AD6408A" w14:textId="71F323D4" w:rsidR="007948A0" w:rsidRPr="009A27ED" w:rsidRDefault="007948A0" w:rsidP="00E67CB0">
      <w:pPr>
        <w:pStyle w:val="Prrafodelista"/>
        <w:numPr>
          <w:ilvl w:val="0"/>
          <w:numId w:val="275"/>
        </w:numPr>
        <w:spacing w:after="120" w:line="360" w:lineRule="auto"/>
        <w:rPr>
          <w:szCs w:val="22"/>
        </w:rPr>
      </w:pPr>
      <w:r w:rsidRPr="009A27ED">
        <w:rPr>
          <w:rFonts w:ascii="Times New Roman" w:eastAsia="Times New Roman" w:hAnsi="Times New Roman"/>
          <w:sz w:val="24"/>
          <w:szCs w:val="22"/>
        </w:rPr>
        <w:t xml:space="preserve">El personal de </w:t>
      </w:r>
      <w:r w:rsidR="00884C2D" w:rsidRPr="009A27ED">
        <w:rPr>
          <w:rFonts w:ascii="Times New Roman" w:eastAsia="Times New Roman" w:hAnsi="Times New Roman"/>
          <w:sz w:val="24"/>
          <w:szCs w:val="22"/>
        </w:rPr>
        <w:t xml:space="preserve">Ministerio de Medio Ambiente y Recursos </w:t>
      </w:r>
      <w:r w:rsidRPr="009A27ED">
        <w:rPr>
          <w:rFonts w:ascii="Times New Roman" w:eastAsia="Times New Roman" w:hAnsi="Times New Roman"/>
          <w:sz w:val="24"/>
          <w:szCs w:val="22"/>
        </w:rPr>
        <w:t xml:space="preserve">deberá contactar </w:t>
      </w:r>
      <w:r w:rsidR="00884C2D" w:rsidRPr="009A27ED">
        <w:rPr>
          <w:rFonts w:ascii="Times New Roman" w:eastAsia="Times New Roman" w:hAnsi="Times New Roman"/>
          <w:sz w:val="24"/>
          <w:szCs w:val="22"/>
        </w:rPr>
        <w:t>al Ministerio</w:t>
      </w:r>
      <w:r w:rsidRPr="009A27ED">
        <w:rPr>
          <w:rFonts w:ascii="Times New Roman" w:eastAsia="Times New Roman" w:hAnsi="Times New Roman"/>
          <w:sz w:val="24"/>
          <w:szCs w:val="22"/>
        </w:rPr>
        <w:t xml:space="preserve"> de Cultura para recibir asesoramiento y organizar las tareas de inspección y protección, según corresponda. </w:t>
      </w:r>
    </w:p>
    <w:p w14:paraId="0C1F7875" w14:textId="55152020" w:rsidR="007948A0" w:rsidRPr="009A27ED" w:rsidRDefault="007948A0" w:rsidP="007948A0">
      <w:pPr>
        <w:pStyle w:val="Prrafodelista"/>
        <w:numPr>
          <w:ilvl w:val="0"/>
          <w:numId w:val="275"/>
        </w:numPr>
        <w:spacing w:after="120" w:line="360" w:lineRule="auto"/>
        <w:rPr>
          <w:szCs w:val="22"/>
        </w:rPr>
      </w:pPr>
      <w:r w:rsidRPr="009A27ED">
        <w:rPr>
          <w:rFonts w:ascii="Times New Roman" w:eastAsia="Times New Roman" w:hAnsi="Times New Roman"/>
          <w:sz w:val="24"/>
          <w:szCs w:val="22"/>
        </w:rPr>
        <w:t xml:space="preserve">Elaborar en conjunto con </w:t>
      </w:r>
      <w:r w:rsidR="00050BD5" w:rsidRPr="009A27ED">
        <w:rPr>
          <w:rFonts w:ascii="Times New Roman" w:eastAsia="Times New Roman" w:hAnsi="Times New Roman"/>
          <w:sz w:val="24"/>
          <w:szCs w:val="22"/>
        </w:rPr>
        <w:t xml:space="preserve">el </w:t>
      </w:r>
      <w:r w:rsidR="00884C2D" w:rsidRPr="009A27ED">
        <w:rPr>
          <w:rFonts w:ascii="Times New Roman" w:eastAsia="Times New Roman" w:hAnsi="Times New Roman"/>
          <w:sz w:val="24"/>
          <w:szCs w:val="22"/>
        </w:rPr>
        <w:t xml:space="preserve">Ministerio de Cultura </w:t>
      </w:r>
      <w:r w:rsidRPr="009A27ED">
        <w:rPr>
          <w:rFonts w:ascii="Times New Roman" w:eastAsia="Times New Roman" w:hAnsi="Times New Roman"/>
          <w:sz w:val="24"/>
          <w:szCs w:val="22"/>
        </w:rPr>
        <w:t xml:space="preserve">y </w:t>
      </w:r>
      <w:r w:rsidR="00884C2D" w:rsidRPr="009A27ED">
        <w:rPr>
          <w:rFonts w:ascii="Times New Roman" w:eastAsia="Times New Roman" w:hAnsi="Times New Roman"/>
          <w:sz w:val="24"/>
          <w:szCs w:val="22"/>
        </w:rPr>
        <w:t xml:space="preserve">Ministerio de Medio Ambiente y Recursos </w:t>
      </w:r>
      <w:r w:rsidRPr="009A27ED">
        <w:rPr>
          <w:rFonts w:ascii="Times New Roman" w:eastAsia="Times New Roman" w:hAnsi="Times New Roman"/>
          <w:sz w:val="24"/>
          <w:szCs w:val="22"/>
        </w:rPr>
        <w:t xml:space="preserve">un plan de acción. </w:t>
      </w:r>
    </w:p>
    <w:p w14:paraId="405AF71C" w14:textId="089FEFE7" w:rsidR="004C114C" w:rsidRPr="009A27ED" w:rsidRDefault="007948A0" w:rsidP="000A022C">
      <w:pPr>
        <w:spacing w:line="360" w:lineRule="auto"/>
        <w:rPr>
          <w:szCs w:val="22"/>
        </w:rPr>
      </w:pPr>
      <w:r w:rsidRPr="009A27ED">
        <w:rPr>
          <w:rFonts w:ascii="Times New Roman" w:eastAsia="Times New Roman" w:hAnsi="Times New Roman"/>
          <w:sz w:val="24"/>
          <w:szCs w:val="22"/>
        </w:rPr>
        <w:t>La decisión de implementar o no medidas específicas dependerán de la importancia y el estado del sitio o recurso cultural a nivel local, nacional e internacional. También dependerá de la naturaleza y el alcance de los impactos y/o riesgos esperados, las condiciones del proyecto y todas las posibles restricciones que tenga.</w:t>
      </w:r>
      <w:bookmarkEnd w:id="737"/>
      <w:r w:rsidR="00C3641D" w:rsidRPr="009A27ED">
        <w:rPr>
          <w:rFonts w:ascii="Times New Roman" w:eastAsia="Times New Roman" w:hAnsi="Times New Roman"/>
          <w:sz w:val="24"/>
          <w:szCs w:val="22"/>
        </w:rPr>
        <w:t xml:space="preserve"> </w:t>
      </w:r>
    </w:p>
    <w:p w14:paraId="797C2858" w14:textId="6914F55D" w:rsidR="004C114C" w:rsidRPr="009A27ED" w:rsidRDefault="00424412" w:rsidP="00AF2C41">
      <w:pPr>
        <w:pStyle w:val="Ttulo1"/>
        <w:numPr>
          <w:ilvl w:val="0"/>
          <w:numId w:val="0"/>
        </w:numPr>
        <w:spacing w:line="360" w:lineRule="auto"/>
        <w:jc w:val="both"/>
      </w:pPr>
      <w:bookmarkStart w:id="739" w:name="_Toc111838032"/>
      <w:r w:rsidRPr="009A27ED">
        <w:rPr>
          <w:rFonts w:ascii="Times New Roman" w:eastAsia="Times New Roman" w:hAnsi="Times New Roman"/>
          <w:sz w:val="24"/>
        </w:rPr>
        <w:lastRenderedPageBreak/>
        <w:t>Anexo 5.</w:t>
      </w:r>
      <w:r w:rsidR="004C114C" w:rsidRPr="009A27ED">
        <w:rPr>
          <w:rFonts w:ascii="Times New Roman" w:eastAsia="Times New Roman" w:hAnsi="Times New Roman"/>
          <w:sz w:val="24"/>
        </w:rPr>
        <w:t xml:space="preserve"> </w:t>
      </w:r>
      <w:r w:rsidR="00AF2C41" w:rsidRPr="009A27ED">
        <w:rPr>
          <w:rFonts w:ascii="Times New Roman" w:eastAsia="Times New Roman" w:hAnsi="Times New Roman"/>
          <w:sz w:val="24"/>
        </w:rPr>
        <w:t>Evidencias del proceso de consulta y validación de los instrumentos ambientales y sociales</w:t>
      </w:r>
      <w:bookmarkEnd w:id="739"/>
    </w:p>
    <w:p w14:paraId="616B2C47" w14:textId="77777777" w:rsidR="00AF2C41" w:rsidRPr="009A27ED" w:rsidRDefault="00AF2C41" w:rsidP="00AF2C41">
      <w:pPr>
        <w:pStyle w:val="Titulo2"/>
        <w:spacing w:line="360" w:lineRule="auto"/>
        <w:jc w:val="both"/>
        <w:outlineLvl w:val="9"/>
        <w:rPr>
          <w:rFonts w:cstheme="minorHAnsi"/>
          <w:b w:val="0"/>
          <w:color w:val="auto"/>
          <w:sz w:val="22"/>
          <w:szCs w:val="22"/>
        </w:rPr>
      </w:pPr>
    </w:p>
    <w:p w14:paraId="058DE433" w14:textId="3C674913" w:rsidR="00AF2C41" w:rsidRPr="009A27ED" w:rsidRDefault="00AF2C41" w:rsidP="00AF2C41">
      <w:pPr>
        <w:pStyle w:val="Titulo2"/>
        <w:spacing w:line="360" w:lineRule="auto"/>
        <w:jc w:val="both"/>
        <w:outlineLvl w:val="9"/>
        <w:rPr>
          <w:b w:val="0"/>
          <w:color w:val="000000" w:themeColor="text1"/>
          <w:sz w:val="22"/>
          <w:szCs w:val="22"/>
        </w:rPr>
      </w:pPr>
      <w:r w:rsidRPr="009A27ED">
        <w:rPr>
          <w:rFonts w:ascii="Times New Roman" w:eastAsia="Times New Roman" w:hAnsi="Times New Roman" w:cstheme="minorHAnsi"/>
          <w:b w:val="0"/>
          <w:color w:val="auto"/>
          <w:sz w:val="24"/>
          <w:szCs w:val="22"/>
        </w:rPr>
        <w:t>El Anexo contiene evidencias documentales respecto a:</w:t>
      </w:r>
    </w:p>
    <w:p w14:paraId="2F78336C" w14:textId="11DCE26D" w:rsidR="00AF2C41" w:rsidRPr="009A27ED" w:rsidRDefault="00AF2C41" w:rsidP="00AF2C41">
      <w:pPr>
        <w:numPr>
          <w:ilvl w:val="0"/>
          <w:numId w:val="298"/>
        </w:numPr>
        <w:spacing w:before="100" w:beforeAutospacing="1" w:after="100" w:afterAutospacing="1" w:line="360" w:lineRule="auto"/>
        <w:rPr>
          <w:rFonts w:eastAsia="Times New Roman" w:cs="Calibri"/>
          <w:szCs w:val="22"/>
        </w:rPr>
      </w:pPr>
      <w:r w:rsidRPr="009A27ED">
        <w:rPr>
          <w:rFonts w:ascii="Times New Roman" w:eastAsia="Times New Roman" w:hAnsi="Times New Roman"/>
          <w:sz w:val="24"/>
          <w:szCs w:val="22"/>
        </w:rPr>
        <w:t xml:space="preserve">Taller </w:t>
      </w:r>
      <w:r w:rsidR="00DB34AB" w:rsidRPr="009A27ED">
        <w:rPr>
          <w:rFonts w:ascii="Times New Roman" w:eastAsia="Times New Roman" w:hAnsi="Times New Roman"/>
          <w:sz w:val="24"/>
          <w:szCs w:val="22"/>
        </w:rPr>
        <w:t>Nacional de</w:t>
      </w:r>
      <w:r w:rsidRPr="009A27ED">
        <w:rPr>
          <w:rFonts w:ascii="Times New Roman" w:eastAsia="Times New Roman" w:hAnsi="Times New Roman"/>
          <w:sz w:val="24"/>
          <w:szCs w:val="22"/>
        </w:rPr>
        <w:t xml:space="preserve"> validación de SESA, realizado en agosto del 2018 </w:t>
      </w:r>
    </w:p>
    <w:p w14:paraId="315992BB" w14:textId="77777777" w:rsidR="00AF2C41" w:rsidRPr="009A27ED" w:rsidRDefault="00AF2C41" w:rsidP="00AF2C41">
      <w:pPr>
        <w:numPr>
          <w:ilvl w:val="0"/>
          <w:numId w:val="298"/>
        </w:numPr>
        <w:spacing w:before="100" w:beforeAutospacing="1" w:after="100" w:afterAutospacing="1" w:line="360" w:lineRule="auto"/>
        <w:rPr>
          <w:rFonts w:eastAsia="Times New Roman"/>
          <w:szCs w:val="22"/>
        </w:rPr>
      </w:pPr>
      <w:r w:rsidRPr="009A27ED">
        <w:rPr>
          <w:rFonts w:ascii="Times New Roman" w:eastAsia="Times New Roman" w:hAnsi="Times New Roman"/>
          <w:sz w:val="24"/>
          <w:szCs w:val="22"/>
        </w:rPr>
        <w:t>Taller Nacional validación   MGAS, MQRC, SIS realizado en abril 2019</w:t>
      </w:r>
    </w:p>
    <w:p w14:paraId="545ED7FA" w14:textId="03F4C70B" w:rsidR="00AF2C41" w:rsidRPr="009A27ED" w:rsidRDefault="00AF2C41" w:rsidP="00AF2C41">
      <w:pPr>
        <w:numPr>
          <w:ilvl w:val="0"/>
          <w:numId w:val="298"/>
        </w:numPr>
        <w:spacing w:before="100" w:beforeAutospacing="1" w:after="100" w:afterAutospacing="1" w:line="360" w:lineRule="auto"/>
        <w:rPr>
          <w:rFonts w:eastAsia="Times New Roman"/>
          <w:szCs w:val="22"/>
        </w:rPr>
      </w:pPr>
      <w:r w:rsidRPr="009A27ED">
        <w:rPr>
          <w:rFonts w:ascii="Times New Roman" w:eastAsia="Times New Roman" w:hAnsi="Times New Roman"/>
          <w:sz w:val="24"/>
          <w:szCs w:val="22"/>
        </w:rPr>
        <w:t xml:space="preserve">Taller con el Comité Técnico Asesor </w:t>
      </w:r>
      <w:r w:rsidR="00DB34AB" w:rsidRPr="009A27ED">
        <w:rPr>
          <w:rFonts w:ascii="Times New Roman" w:eastAsia="Times New Roman" w:hAnsi="Times New Roman"/>
          <w:sz w:val="24"/>
          <w:szCs w:val="22"/>
        </w:rPr>
        <w:t>Validación MGAS</w:t>
      </w:r>
      <w:r w:rsidRPr="009A27ED">
        <w:rPr>
          <w:rFonts w:ascii="Times New Roman" w:eastAsia="Times New Roman" w:hAnsi="Times New Roman"/>
          <w:sz w:val="24"/>
          <w:szCs w:val="22"/>
        </w:rPr>
        <w:t xml:space="preserve">, MQRC, SIS realizado en abril 2019 </w:t>
      </w:r>
    </w:p>
    <w:p w14:paraId="55907151" w14:textId="178F6B27" w:rsidR="00AF2C41" w:rsidRPr="009A27ED" w:rsidRDefault="00AF2C41" w:rsidP="00AF2C41">
      <w:pPr>
        <w:numPr>
          <w:ilvl w:val="0"/>
          <w:numId w:val="298"/>
        </w:numPr>
        <w:spacing w:before="100" w:beforeAutospacing="1" w:after="100" w:afterAutospacing="1" w:line="360" w:lineRule="auto"/>
        <w:rPr>
          <w:rFonts w:eastAsia="Times New Roman"/>
          <w:szCs w:val="22"/>
        </w:rPr>
      </w:pPr>
      <w:r w:rsidRPr="009A27ED">
        <w:rPr>
          <w:rFonts w:ascii="Times New Roman" w:eastAsia="Times New Roman" w:hAnsi="Times New Roman"/>
          <w:sz w:val="24"/>
          <w:szCs w:val="22"/>
        </w:rPr>
        <w:t xml:space="preserve">5 </w:t>
      </w:r>
      <w:proofErr w:type="gramStart"/>
      <w:r w:rsidRPr="009A27ED">
        <w:rPr>
          <w:rFonts w:ascii="Times New Roman" w:eastAsia="Times New Roman" w:hAnsi="Times New Roman"/>
          <w:sz w:val="24"/>
          <w:szCs w:val="22"/>
        </w:rPr>
        <w:t>Talleres</w:t>
      </w:r>
      <w:proofErr w:type="gramEnd"/>
      <w:r w:rsidRPr="009A27ED">
        <w:rPr>
          <w:rFonts w:ascii="Times New Roman" w:eastAsia="Times New Roman" w:hAnsi="Times New Roman"/>
          <w:sz w:val="24"/>
          <w:szCs w:val="22"/>
        </w:rPr>
        <w:t xml:space="preserve"> Regionales de Vali</w:t>
      </w:r>
      <w:r w:rsidR="004162F5" w:rsidRPr="009A27ED">
        <w:rPr>
          <w:rFonts w:ascii="Times New Roman" w:eastAsia="Times New Roman" w:hAnsi="Times New Roman"/>
          <w:sz w:val="24"/>
          <w:szCs w:val="22"/>
        </w:rPr>
        <w:t>da</w:t>
      </w:r>
      <w:r w:rsidRPr="009A27ED">
        <w:rPr>
          <w:rFonts w:ascii="Times New Roman" w:eastAsia="Times New Roman" w:hAnsi="Times New Roman"/>
          <w:sz w:val="24"/>
          <w:szCs w:val="22"/>
        </w:rPr>
        <w:t>ci</w:t>
      </w:r>
      <w:r w:rsidR="004162F5" w:rsidRPr="009A27ED">
        <w:rPr>
          <w:rFonts w:ascii="Times New Roman" w:eastAsia="Times New Roman" w:hAnsi="Times New Roman"/>
          <w:sz w:val="24"/>
          <w:szCs w:val="22"/>
        </w:rPr>
        <w:t>ó</w:t>
      </w:r>
      <w:r w:rsidRPr="009A27ED">
        <w:rPr>
          <w:rFonts w:ascii="Times New Roman" w:eastAsia="Times New Roman" w:hAnsi="Times New Roman"/>
          <w:sz w:val="24"/>
          <w:szCs w:val="22"/>
        </w:rPr>
        <w:t>n PMAS realizados en abril 2019</w:t>
      </w:r>
    </w:p>
    <w:p w14:paraId="40B75542" w14:textId="38AECD1A" w:rsidR="00DB34AB" w:rsidRPr="009A27ED" w:rsidRDefault="00DB34AB" w:rsidP="00C845DE">
      <w:pPr>
        <w:numPr>
          <w:ilvl w:val="0"/>
          <w:numId w:val="298"/>
        </w:numPr>
        <w:spacing w:before="100" w:beforeAutospacing="1" w:after="100" w:afterAutospacing="1" w:line="360" w:lineRule="auto"/>
        <w:rPr>
          <w:b/>
          <w:bCs/>
          <w:color w:val="0000FF"/>
          <w:u w:val="single"/>
        </w:rPr>
      </w:pPr>
      <w:r w:rsidRPr="009A27ED">
        <w:rPr>
          <w:rFonts w:ascii="Times New Roman" w:eastAsia="Times New Roman" w:hAnsi="Times New Roman"/>
          <w:sz w:val="24"/>
          <w:szCs w:val="22"/>
        </w:rPr>
        <w:t>Diagnóstico de capacidades de las entidades ejecutoras realizado en octubre 2019</w:t>
      </w:r>
    </w:p>
    <w:p w14:paraId="24FF2E52" w14:textId="77777777" w:rsidR="00DB34AB" w:rsidRPr="009A27ED" w:rsidRDefault="00DB34AB" w:rsidP="00DB34AB">
      <w:pPr>
        <w:spacing w:before="100" w:beforeAutospacing="1" w:after="100" w:afterAutospacing="1" w:line="360" w:lineRule="auto"/>
        <w:rPr>
          <w:b/>
          <w:bCs/>
          <w:color w:val="0000FF"/>
          <w:u w:val="single"/>
        </w:rPr>
      </w:pPr>
    </w:p>
    <w:p w14:paraId="2CD28034" w14:textId="60087D2F" w:rsidR="00B259A9" w:rsidRPr="009A27ED" w:rsidRDefault="00795379" w:rsidP="00C845DE">
      <w:pPr>
        <w:numPr>
          <w:ilvl w:val="0"/>
          <w:numId w:val="298"/>
        </w:numPr>
        <w:spacing w:before="100" w:beforeAutospacing="1" w:after="100" w:afterAutospacing="1" w:line="360" w:lineRule="auto"/>
        <w:rPr>
          <w:rStyle w:val="Hipervnculo"/>
          <w:b/>
          <w:bCs/>
        </w:rPr>
      </w:pPr>
      <w:r w:rsidRPr="009A27ED">
        <w:rPr>
          <w:rFonts w:ascii="Times New Roman" w:eastAsia="Times New Roman" w:hAnsi="Times New Roman"/>
          <w:b/>
          <w:bCs/>
          <w:sz w:val="24"/>
        </w:rPr>
        <w:fldChar w:fldCharType="begin"/>
      </w:r>
      <w:r w:rsidRPr="009A27ED">
        <w:rPr>
          <w:rFonts w:ascii="Times New Roman" w:eastAsia="Times New Roman" w:hAnsi="Times New Roman"/>
          <w:b/>
          <w:bCs/>
          <w:sz w:val="24"/>
        </w:rPr>
        <w:instrText>HYPERLINK "https://drive.google.com/drive/folders/1q0mryhpebX83BmZsG3tHYQgnMiGvv3i_?usp=sharing"</w:instrText>
      </w:r>
      <w:r w:rsidRPr="009A27ED">
        <w:rPr>
          <w:rFonts w:ascii="Times New Roman" w:eastAsia="Times New Roman" w:hAnsi="Times New Roman"/>
          <w:b/>
          <w:bCs/>
          <w:sz w:val="24"/>
        </w:rPr>
      </w:r>
      <w:r w:rsidRPr="009A27ED">
        <w:rPr>
          <w:rFonts w:ascii="Times New Roman" w:eastAsia="Times New Roman" w:hAnsi="Times New Roman"/>
          <w:b/>
          <w:bCs/>
          <w:sz w:val="24"/>
        </w:rPr>
        <w:fldChar w:fldCharType="separate"/>
      </w:r>
      <w:r w:rsidR="00AF2C41" w:rsidRPr="009A27ED">
        <w:rPr>
          <w:rStyle w:val="Hipervnculo"/>
          <w:rFonts w:ascii="Times New Roman" w:eastAsia="Times New Roman" w:hAnsi="Times New Roman"/>
          <w:b/>
          <w:bCs/>
          <w:sz w:val="24"/>
        </w:rPr>
        <w:t>(</w:t>
      </w:r>
      <w:proofErr w:type="spellStart"/>
      <w:proofErr w:type="gramStart"/>
      <w:r w:rsidR="00AF2C41" w:rsidRPr="009A27ED">
        <w:rPr>
          <w:rStyle w:val="Hipervnculo"/>
          <w:rFonts w:ascii="Times New Roman" w:eastAsia="Times New Roman" w:hAnsi="Times New Roman"/>
          <w:b/>
          <w:bCs/>
          <w:sz w:val="24"/>
        </w:rPr>
        <w:t>Click</w:t>
      </w:r>
      <w:proofErr w:type="spellEnd"/>
      <w:proofErr w:type="gramEnd"/>
      <w:r w:rsidR="00AF2C41" w:rsidRPr="009A27ED">
        <w:rPr>
          <w:rStyle w:val="Hipervnculo"/>
          <w:rFonts w:ascii="Times New Roman" w:eastAsia="Times New Roman" w:hAnsi="Times New Roman"/>
          <w:b/>
          <w:bCs/>
          <w:sz w:val="24"/>
        </w:rPr>
        <w:t xml:space="preserve"> para acceder a carpeta externa)</w:t>
      </w:r>
    </w:p>
    <w:bookmarkStart w:id="740" w:name="_Toc23857281"/>
    <w:p w14:paraId="441E2394" w14:textId="7D6408A6" w:rsidR="00C3641D" w:rsidRPr="009A27ED" w:rsidRDefault="00795379" w:rsidP="00AF2C41">
      <w:pPr>
        <w:pStyle w:val="Ttulo1"/>
        <w:numPr>
          <w:ilvl w:val="0"/>
          <w:numId w:val="0"/>
        </w:numPr>
        <w:spacing w:line="360" w:lineRule="auto"/>
        <w:jc w:val="both"/>
        <w:rPr>
          <w:sz w:val="22"/>
          <w:szCs w:val="22"/>
        </w:rPr>
      </w:pPr>
      <w:r w:rsidRPr="009A27ED">
        <w:rPr>
          <w:rFonts w:asciiTheme="minorHAnsi" w:eastAsiaTheme="minorEastAsia" w:hAnsiTheme="minorHAnsi" w:cstheme="minorBidi"/>
          <w:bCs/>
          <w:sz w:val="24"/>
          <w:szCs w:val="24"/>
          <w:bdr w:val="none" w:sz="0" w:space="0" w:color="auto"/>
        </w:rPr>
        <w:fldChar w:fldCharType="end"/>
      </w:r>
      <w:bookmarkStart w:id="741" w:name="_Toc111838033"/>
      <w:r w:rsidR="00C3641D" w:rsidRPr="009A27ED">
        <w:rPr>
          <w:rFonts w:ascii="Times New Roman" w:eastAsia="Times New Roman" w:hAnsi="Times New Roman"/>
          <w:sz w:val="24"/>
        </w:rPr>
        <w:t xml:space="preserve">Anexo </w:t>
      </w:r>
      <w:r w:rsidR="002A4012" w:rsidRPr="009A27ED">
        <w:rPr>
          <w:rFonts w:ascii="Times New Roman" w:eastAsia="Times New Roman" w:hAnsi="Times New Roman"/>
          <w:sz w:val="24"/>
        </w:rPr>
        <w:t>6</w:t>
      </w:r>
      <w:r w:rsidR="00C3641D" w:rsidRPr="009A27ED">
        <w:rPr>
          <w:rFonts w:ascii="Times New Roman" w:eastAsia="Times New Roman" w:hAnsi="Times New Roman"/>
          <w:sz w:val="24"/>
        </w:rPr>
        <w:t xml:space="preserve">. </w:t>
      </w:r>
      <w:bookmarkEnd w:id="740"/>
      <w:r w:rsidR="004C114C" w:rsidRPr="009A27ED">
        <w:rPr>
          <w:rFonts w:ascii="Times New Roman" w:eastAsia="Times New Roman" w:hAnsi="Times New Roman"/>
          <w:sz w:val="24"/>
        </w:rPr>
        <w:t>Guía para la aplicación y seguimiento del cumplimiento de salvaguardas. Manual del usuario</w:t>
      </w:r>
      <w:bookmarkEnd w:id="741"/>
    </w:p>
    <w:p w14:paraId="5B715407" w14:textId="4BF27AF1" w:rsidR="004C114C" w:rsidRPr="009A27ED" w:rsidRDefault="00314651" w:rsidP="00314651">
      <w:pPr>
        <w:pStyle w:val="Aparrafopunteo"/>
        <w:spacing w:line="360" w:lineRule="auto"/>
        <w:ind w:hanging="425"/>
        <w:rPr>
          <w:rStyle w:val="Hipervnculo"/>
          <w:b/>
          <w:bCs/>
        </w:rPr>
      </w:pPr>
      <w:r w:rsidRPr="009A27ED">
        <w:rPr>
          <w:rFonts w:ascii="Times New Roman" w:eastAsia="Times New Roman" w:hAnsi="Times New Roman"/>
          <w:sz w:val="24"/>
        </w:rPr>
        <w:t xml:space="preserve">A) Guía para la aplicación y seguimiento </w:t>
      </w:r>
      <w:r w:rsidR="004C114C" w:rsidRPr="009A27ED">
        <w:rPr>
          <w:rFonts w:ascii="Times New Roman" w:eastAsia="Times New Roman" w:hAnsi="Times New Roman"/>
          <w:sz w:val="24"/>
        </w:rPr>
        <w:fldChar w:fldCharType="begin"/>
      </w:r>
      <w:r w:rsidR="00AF2C41" w:rsidRPr="009A27ED">
        <w:rPr>
          <w:rFonts w:ascii="Times New Roman" w:eastAsia="Times New Roman" w:hAnsi="Times New Roman"/>
          <w:sz w:val="24"/>
        </w:rPr>
        <w:instrText>HYPERLINK "https://drive.google.com/open?id=1w8rRyH9hh29FhAftvgR0daBgKl8fJT9Y"</w:instrText>
      </w:r>
      <w:r w:rsidR="004C114C" w:rsidRPr="009A27ED">
        <w:rPr>
          <w:rFonts w:ascii="Times New Roman" w:eastAsia="Times New Roman" w:hAnsi="Times New Roman"/>
          <w:sz w:val="24"/>
        </w:rPr>
      </w:r>
      <w:r w:rsidR="004C114C" w:rsidRPr="009A27ED">
        <w:rPr>
          <w:rFonts w:ascii="Times New Roman" w:eastAsia="Times New Roman" w:hAnsi="Times New Roman"/>
          <w:sz w:val="24"/>
        </w:rPr>
        <w:fldChar w:fldCharType="separate"/>
      </w:r>
      <w:r w:rsidR="004C114C" w:rsidRPr="009A27ED">
        <w:rPr>
          <w:rStyle w:val="Hipervnculo"/>
          <w:rFonts w:ascii="Times New Roman" w:eastAsia="Times New Roman" w:hAnsi="Times New Roman"/>
          <w:sz w:val="24"/>
        </w:rPr>
        <w:t xml:space="preserve"> </w:t>
      </w:r>
      <w:r w:rsidR="004C114C" w:rsidRPr="009A27ED">
        <w:rPr>
          <w:rStyle w:val="Hipervnculo"/>
          <w:rFonts w:ascii="Times New Roman" w:eastAsia="Times New Roman" w:hAnsi="Times New Roman"/>
          <w:b/>
          <w:bCs/>
          <w:sz w:val="24"/>
        </w:rPr>
        <w:t>(</w:t>
      </w:r>
      <w:proofErr w:type="spellStart"/>
      <w:proofErr w:type="gramStart"/>
      <w:r w:rsidR="004C114C" w:rsidRPr="009A27ED">
        <w:rPr>
          <w:rStyle w:val="Hipervnculo"/>
          <w:rFonts w:ascii="Times New Roman" w:eastAsia="Times New Roman" w:hAnsi="Times New Roman"/>
          <w:b/>
          <w:bCs/>
          <w:sz w:val="24"/>
        </w:rPr>
        <w:t>Click</w:t>
      </w:r>
      <w:proofErr w:type="spellEnd"/>
      <w:proofErr w:type="gramEnd"/>
      <w:r w:rsidR="004C114C" w:rsidRPr="009A27ED">
        <w:rPr>
          <w:rStyle w:val="Hipervnculo"/>
          <w:rFonts w:ascii="Times New Roman" w:eastAsia="Times New Roman" w:hAnsi="Times New Roman"/>
          <w:b/>
          <w:bCs/>
          <w:sz w:val="24"/>
        </w:rPr>
        <w:t xml:space="preserve"> para acceder</w:t>
      </w:r>
      <w:r w:rsidR="00AF2C41" w:rsidRPr="009A27ED">
        <w:rPr>
          <w:rStyle w:val="Hipervnculo"/>
          <w:rFonts w:ascii="Times New Roman" w:eastAsia="Times New Roman" w:hAnsi="Times New Roman"/>
          <w:b/>
          <w:bCs/>
          <w:sz w:val="24"/>
        </w:rPr>
        <w:t xml:space="preserve"> a documento externo</w:t>
      </w:r>
      <w:r w:rsidR="004C114C" w:rsidRPr="009A27ED">
        <w:rPr>
          <w:rStyle w:val="Hipervnculo"/>
          <w:rFonts w:ascii="Times New Roman" w:eastAsia="Times New Roman" w:hAnsi="Times New Roman"/>
          <w:b/>
          <w:bCs/>
          <w:sz w:val="24"/>
        </w:rPr>
        <w:t>)</w:t>
      </w:r>
    </w:p>
    <w:p w14:paraId="586CA7E1" w14:textId="607B4A97" w:rsidR="004C114C" w:rsidRPr="009A27ED" w:rsidRDefault="004C114C" w:rsidP="00314651">
      <w:pPr>
        <w:pStyle w:val="Aparrafopunteo"/>
        <w:numPr>
          <w:ilvl w:val="2"/>
          <w:numId w:val="107"/>
        </w:numPr>
        <w:spacing w:line="360" w:lineRule="auto"/>
        <w:ind w:left="709" w:hanging="283"/>
        <w:rPr>
          <w:rStyle w:val="Hipervnculo"/>
          <w:rFonts w:eastAsiaTheme="minorHAnsi" w:cstheme="minorHAnsi"/>
          <w:color w:val="auto"/>
          <w:u w:val="none"/>
          <w:lang w:val="es-GT"/>
        </w:rPr>
      </w:pPr>
      <w:r w:rsidRPr="009A27ED">
        <w:rPr>
          <w:rFonts w:ascii="Times New Roman" w:eastAsia="Times New Roman" w:hAnsi="Times New Roman"/>
          <w:sz w:val="24"/>
        </w:rPr>
        <w:fldChar w:fldCharType="end"/>
      </w:r>
      <w:r w:rsidR="00314651" w:rsidRPr="009A27ED">
        <w:rPr>
          <w:rFonts w:ascii="Times New Roman" w:eastAsia="Times New Roman" w:hAnsi="Times New Roman"/>
          <w:sz w:val="24"/>
        </w:rPr>
        <w:t xml:space="preserve">Manual de usuario </w:t>
      </w:r>
      <w:hyperlink r:id="rId74" w:history="1">
        <w:r w:rsidR="00314651" w:rsidRPr="009A27ED">
          <w:rPr>
            <w:rStyle w:val="Hipervnculo"/>
            <w:rFonts w:eastAsiaTheme="minorHAnsi" w:cstheme="minorHAnsi"/>
            <w:lang w:val="es-GT"/>
          </w:rPr>
          <w:t>(</w:t>
        </w:r>
        <w:proofErr w:type="spellStart"/>
        <w:proofErr w:type="gramStart"/>
        <w:r w:rsidR="00314651" w:rsidRPr="009A27ED">
          <w:rPr>
            <w:rStyle w:val="Hipervnculo"/>
            <w:rFonts w:eastAsiaTheme="minorHAnsi" w:cstheme="minorHAnsi"/>
            <w:lang w:val="es-GT"/>
          </w:rPr>
          <w:t>Click</w:t>
        </w:r>
        <w:proofErr w:type="spellEnd"/>
        <w:proofErr w:type="gramEnd"/>
        <w:r w:rsidR="00314651" w:rsidRPr="009A27ED">
          <w:rPr>
            <w:rStyle w:val="Hipervnculo"/>
            <w:rFonts w:eastAsiaTheme="minorHAnsi" w:cstheme="minorHAnsi"/>
            <w:lang w:val="es-GT"/>
          </w:rPr>
          <w:t xml:space="preserve"> para acceder a documento externo)</w:t>
        </w:r>
      </w:hyperlink>
    </w:p>
    <w:p w14:paraId="74E95E6A" w14:textId="2545A449" w:rsidR="0041723F" w:rsidRPr="009A27ED" w:rsidRDefault="0041723F" w:rsidP="0041723F">
      <w:pPr>
        <w:pStyle w:val="Aparrafopunteo"/>
        <w:numPr>
          <w:ilvl w:val="0"/>
          <w:numId w:val="0"/>
        </w:numPr>
        <w:spacing w:line="360" w:lineRule="auto"/>
        <w:ind w:left="425" w:hanging="360"/>
      </w:pPr>
    </w:p>
    <w:p w14:paraId="7BBC3A8A" w14:textId="1D2A8E33" w:rsidR="0041723F" w:rsidRPr="0041723F" w:rsidRDefault="0041723F" w:rsidP="0041723F">
      <w:pPr>
        <w:pStyle w:val="Aparrafopunteo"/>
        <w:numPr>
          <w:ilvl w:val="0"/>
          <w:numId w:val="0"/>
        </w:numPr>
        <w:spacing w:line="360" w:lineRule="auto"/>
        <w:ind w:left="425" w:hanging="360"/>
        <w:rPr>
          <w:rFonts w:eastAsiaTheme="minorHAnsi" w:cstheme="minorHAnsi"/>
          <w:color w:val="FF0000"/>
          <w:sz w:val="32"/>
          <w:szCs w:val="32"/>
          <w:lang w:val="es-GT"/>
        </w:rPr>
      </w:pPr>
      <w:r w:rsidRPr="009A27ED">
        <w:rPr>
          <w:rFonts w:ascii="Times New Roman" w:eastAsia="Times New Roman" w:hAnsi="Times New Roman"/>
          <w:color w:val="FF0000"/>
          <w:sz w:val="24"/>
          <w:szCs w:val="32"/>
        </w:rPr>
        <w:t xml:space="preserve">Nota: </w:t>
      </w:r>
      <w:r w:rsidR="0014657A" w:rsidRPr="009A27ED">
        <w:rPr>
          <w:rFonts w:ascii="Times New Roman" w:eastAsia="Times New Roman" w:hAnsi="Times New Roman"/>
          <w:color w:val="FF0000"/>
          <w:sz w:val="24"/>
          <w:szCs w:val="32"/>
        </w:rPr>
        <w:t xml:space="preserve">Aun se debe </w:t>
      </w:r>
      <w:r w:rsidRPr="009A27ED">
        <w:rPr>
          <w:rFonts w:ascii="Times New Roman" w:eastAsia="Times New Roman" w:hAnsi="Times New Roman"/>
          <w:color w:val="FF0000"/>
          <w:sz w:val="24"/>
          <w:szCs w:val="32"/>
        </w:rPr>
        <w:t>Verificar</w:t>
      </w:r>
      <w:r w:rsidR="0014657A" w:rsidRPr="009A27ED">
        <w:rPr>
          <w:rFonts w:ascii="Times New Roman" w:eastAsia="Times New Roman" w:hAnsi="Times New Roman"/>
          <w:color w:val="FF0000"/>
          <w:sz w:val="24"/>
          <w:szCs w:val="32"/>
        </w:rPr>
        <w:t>,</w:t>
      </w:r>
      <w:r w:rsidRPr="009A27ED">
        <w:rPr>
          <w:rFonts w:ascii="Times New Roman" w:eastAsia="Times New Roman" w:hAnsi="Times New Roman"/>
          <w:color w:val="FF0000"/>
          <w:sz w:val="24"/>
          <w:szCs w:val="32"/>
        </w:rPr>
        <w:t xml:space="preserve"> que todos los documentos estén cargados a la carpeta que lleva el hipervínculo</w:t>
      </w:r>
      <w:r w:rsidRPr="0041723F">
        <w:rPr>
          <w:rFonts w:ascii="Times New Roman" w:eastAsia="Times New Roman" w:hAnsi="Times New Roman"/>
          <w:color w:val="FF0000"/>
          <w:sz w:val="24"/>
          <w:szCs w:val="32"/>
        </w:rPr>
        <w:t xml:space="preserve"> </w:t>
      </w:r>
    </w:p>
    <w:sectPr w:rsidR="0041723F" w:rsidRPr="0041723F" w:rsidSect="00BC6D88">
      <w:footerReference w:type="first" r:id="rId75"/>
      <w:pgSz w:w="17037" w:h="15842"/>
      <w:pgMar w:top="1418" w:right="6496" w:bottom="1418" w:left="1701" w:header="567"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25F26D" w14:textId="77777777" w:rsidR="00F45C99" w:rsidRDefault="00F45C99" w:rsidP="002E33BF">
      <w:r>
        <w:separator/>
      </w:r>
    </w:p>
  </w:endnote>
  <w:endnote w:type="continuationSeparator" w:id="0">
    <w:p w14:paraId="2AC50225" w14:textId="77777777" w:rsidR="00F45C99" w:rsidRDefault="00F45C99" w:rsidP="002E33BF">
      <w:r>
        <w:continuationSeparator/>
      </w:r>
    </w:p>
  </w:endnote>
  <w:endnote w:id="1">
    <w:p w14:paraId="6399B98C" w14:textId="6525546F" w:rsidR="00DF3AFC" w:rsidRDefault="00DF3AFC" w:rsidP="004C114C">
      <w:pPr>
        <w:pStyle w:val="Ttulo1"/>
        <w:numPr>
          <w:ilvl w:val="0"/>
          <w:numId w:val="0"/>
        </w:numPr>
        <w:jc w:val="both"/>
      </w:pPr>
      <w:r w:rsidRPr="00E67CB0">
        <w:t xml:space="preserve">Anexo </w:t>
      </w:r>
      <w:r>
        <w:t>7.</w:t>
      </w:r>
      <w:r w:rsidRPr="00E67CB0">
        <w:t xml:space="preserve"> </w:t>
      </w:r>
      <w:r>
        <w:t xml:space="preserve">Diagnóstico de Capacidades </w:t>
      </w:r>
      <w:r w:rsidRPr="0041723F">
        <w:rPr>
          <w:highlight w:val="cyan"/>
        </w:rPr>
        <w:t>de Entidades Ejecutoras</w:t>
      </w:r>
      <w:r>
        <w:t xml:space="preserve"> </w:t>
      </w:r>
    </w:p>
    <w:p w14:paraId="4AC6D150" w14:textId="154DCB40" w:rsidR="00DF3AFC" w:rsidRPr="00050BD5" w:rsidRDefault="00DF3AFC" w:rsidP="00AF2C41">
      <w:pPr>
        <w:pStyle w:val="Aparrafopunteo"/>
        <w:rPr>
          <w:rStyle w:val="Hipervnculo"/>
          <w:b/>
          <w:bCs/>
        </w:rPr>
      </w:pPr>
      <w:r>
        <w:fldChar w:fldCharType="begin"/>
      </w:r>
      <w:r>
        <w:instrText>HYPERLINK "https://drive.google.com/open?id=1yIPQcc5ok3jkssTtDiWb7edfzJhT64A_"</w:instrText>
      </w:r>
      <w:r>
        <w:fldChar w:fldCharType="separate"/>
      </w:r>
      <w:r w:rsidRPr="00050BD5">
        <w:rPr>
          <w:rStyle w:val="Hipervnculo"/>
        </w:rPr>
        <w:t xml:space="preserve"> </w:t>
      </w:r>
      <w:r w:rsidRPr="00050BD5">
        <w:rPr>
          <w:rStyle w:val="Hipervnculo"/>
          <w:b/>
          <w:bCs/>
        </w:rPr>
        <w:t>(Click para acceder</w:t>
      </w:r>
      <w:r>
        <w:rPr>
          <w:rStyle w:val="Hipervnculo"/>
          <w:b/>
          <w:bCs/>
        </w:rPr>
        <w:t xml:space="preserve"> a documento externo</w:t>
      </w:r>
      <w:r w:rsidRPr="00050BD5">
        <w:rPr>
          <w:rStyle w:val="Hipervnculo"/>
          <w:b/>
          <w:bCs/>
        </w:rPr>
        <w:t>)</w:t>
      </w:r>
      <w:r>
        <w:rPr>
          <w:rStyle w:val="Hipervnculo"/>
          <w:b/>
          <w:bCs/>
        </w:rPr>
        <w:t xml:space="preserve"> </w:t>
      </w:r>
    </w:p>
    <w:p w14:paraId="52F609E8" w14:textId="4858B810" w:rsidR="00DF3AFC" w:rsidRPr="00AF2C41" w:rsidRDefault="00DF3AFC" w:rsidP="00AF2C41">
      <w:r>
        <w:rPr>
          <w:rFonts w:eastAsiaTheme="minorEastAsia" w:cstheme="minorBidi"/>
        </w:rPr>
        <w:fldChar w:fldCharType="end"/>
      </w:r>
    </w:p>
    <w:p w14:paraId="005D230C" w14:textId="51BDBB9F" w:rsidR="00DF3AFC" w:rsidRDefault="00DF3AFC" w:rsidP="004C114C">
      <w:pPr>
        <w:pStyle w:val="Ttulo1"/>
        <w:numPr>
          <w:ilvl w:val="0"/>
          <w:numId w:val="0"/>
        </w:numPr>
        <w:jc w:val="both"/>
      </w:pPr>
      <w:r>
        <w:t>Anexo 8. Planes de Manejo Ambiental y Social por Área Priorizada</w:t>
      </w:r>
    </w:p>
    <w:p w14:paraId="74121E36" w14:textId="16BA7C7D" w:rsidR="00DF3AFC" w:rsidRPr="00254083" w:rsidRDefault="00DF3AFC" w:rsidP="004C114C">
      <w:pPr>
        <w:pStyle w:val="Aparrafopunteo"/>
        <w:numPr>
          <w:ilvl w:val="0"/>
          <w:numId w:val="318"/>
        </w:numPr>
        <w:rPr>
          <w:rStyle w:val="Hipervnculo"/>
          <w:b/>
          <w:bCs/>
        </w:rPr>
      </w:pPr>
      <w:r>
        <w:t>Plan de Manejo Ambiental y Social (PMAS) Área Priorizada 1</w:t>
      </w:r>
      <w:r>
        <w:fldChar w:fldCharType="begin"/>
      </w:r>
      <w:r>
        <w:instrText>HYPERLINK "https://drive.google.com/open?id=1aI8al717ckf4f2fHtaxQrE_iJW4ZbGOC"</w:instrText>
      </w:r>
      <w:r>
        <w:fldChar w:fldCharType="separate"/>
      </w:r>
      <w:r w:rsidRPr="00254083">
        <w:rPr>
          <w:rStyle w:val="Hipervnculo"/>
        </w:rPr>
        <w:t xml:space="preserve">  </w:t>
      </w:r>
      <w:r w:rsidRPr="00254083">
        <w:rPr>
          <w:rStyle w:val="Hipervnculo"/>
          <w:b/>
          <w:bCs/>
        </w:rPr>
        <w:t>(Click para acceder)</w:t>
      </w:r>
    </w:p>
    <w:p w14:paraId="75159043" w14:textId="4F552CE1" w:rsidR="00DF3AFC" w:rsidRPr="00050BD5" w:rsidRDefault="00DF3AFC" w:rsidP="004C114C">
      <w:pPr>
        <w:pStyle w:val="Prrafodelista"/>
        <w:numPr>
          <w:ilvl w:val="0"/>
          <w:numId w:val="318"/>
        </w:numPr>
        <w:rPr>
          <w:rStyle w:val="Hipervnculo"/>
          <w:b/>
          <w:bCs/>
        </w:rPr>
      </w:pPr>
      <w:r>
        <w:rPr>
          <w:rFonts w:eastAsiaTheme="minorEastAsia" w:cstheme="minorBidi"/>
        </w:rPr>
        <w:fldChar w:fldCharType="end"/>
      </w:r>
      <w:r>
        <w:rPr>
          <w:rFonts w:eastAsiaTheme="minorEastAsia" w:cstheme="minorBidi"/>
        </w:rPr>
        <w:t>P</w:t>
      </w:r>
      <w:r>
        <w:t xml:space="preserve">lan de Manejo Ambiental y Social (PMAS) Área Priorizada 2 </w:t>
      </w:r>
      <w:r>
        <w:fldChar w:fldCharType="begin"/>
      </w:r>
      <w:r>
        <w:instrText>HYPERLINK "https://drive.google.com/open?id=1i0pwvhabgfNNJ1SOhOIfTfKVmrGr8PJ8"</w:instrText>
      </w:r>
      <w:r>
        <w:fldChar w:fldCharType="separate"/>
      </w:r>
      <w:r w:rsidRPr="00050BD5">
        <w:rPr>
          <w:rStyle w:val="Hipervnculo"/>
        </w:rPr>
        <w:t xml:space="preserve"> </w:t>
      </w:r>
      <w:r w:rsidRPr="00050BD5">
        <w:rPr>
          <w:rStyle w:val="Hipervnculo"/>
          <w:b/>
          <w:bCs/>
        </w:rPr>
        <w:t>(Click para acceder)</w:t>
      </w:r>
    </w:p>
    <w:p w14:paraId="240FBCB7" w14:textId="26B89A12" w:rsidR="00DF3AFC" w:rsidRPr="00C8789E" w:rsidRDefault="00DF3AFC" w:rsidP="004C114C">
      <w:pPr>
        <w:pStyle w:val="Prrafodelista"/>
        <w:numPr>
          <w:ilvl w:val="0"/>
          <w:numId w:val="318"/>
        </w:numPr>
        <w:rPr>
          <w:rStyle w:val="Hipervnculo"/>
          <w:b/>
          <w:bCs/>
        </w:rPr>
      </w:pPr>
      <w:r>
        <w:rPr>
          <w:rFonts w:eastAsiaTheme="minorEastAsia" w:cstheme="minorBidi"/>
        </w:rPr>
        <w:fldChar w:fldCharType="end"/>
      </w:r>
      <w:r>
        <w:t>Plan de Manejo Ambiental y Social (PMAS) Área Priorizada 3</w:t>
      </w:r>
      <w:r>
        <w:fldChar w:fldCharType="begin"/>
      </w:r>
      <w:r>
        <w:instrText>HYPERLINK "https://drive.google.com/open?id=1c40Dgi3W5x-arsnuXdEsQvOdd-uL75mS"</w:instrText>
      </w:r>
      <w:r>
        <w:fldChar w:fldCharType="separate"/>
      </w:r>
      <w:r w:rsidRPr="00C8789E">
        <w:rPr>
          <w:rStyle w:val="Hipervnculo"/>
        </w:rPr>
        <w:t xml:space="preserve">  </w:t>
      </w:r>
      <w:r w:rsidRPr="00C8789E">
        <w:rPr>
          <w:rStyle w:val="Hipervnculo"/>
          <w:b/>
          <w:bCs/>
        </w:rPr>
        <w:t>(Click para acceder)</w:t>
      </w:r>
    </w:p>
    <w:p w14:paraId="222EA907" w14:textId="0B5ABC45" w:rsidR="00DF3AFC" w:rsidRPr="004C114C" w:rsidRDefault="00DF3AFC" w:rsidP="004C114C">
      <w:pPr>
        <w:pStyle w:val="Prrafodelista"/>
        <w:numPr>
          <w:ilvl w:val="0"/>
          <w:numId w:val="318"/>
        </w:numPr>
        <w:rPr>
          <w:rStyle w:val="Hipervnculo"/>
          <w:b/>
          <w:bCs/>
        </w:rPr>
      </w:pPr>
      <w:r>
        <w:rPr>
          <w:rFonts w:eastAsiaTheme="minorEastAsia" w:cstheme="minorBidi"/>
        </w:rPr>
        <w:fldChar w:fldCharType="end"/>
      </w:r>
      <w:r>
        <w:t>Plan de Manejo Ambiental y Social (PMAS) Área Priorizada 4</w:t>
      </w:r>
      <w:r>
        <w:fldChar w:fldCharType="begin"/>
      </w:r>
      <w:r>
        <w:instrText>HYPERLINK "https://drive.google.com/open?id=1sPg3rxXc1qxFyIIzhoq4mXkwTGEpAmgI"</w:instrText>
      </w:r>
      <w:r>
        <w:fldChar w:fldCharType="separate"/>
      </w:r>
      <w:r w:rsidRPr="004C114C">
        <w:rPr>
          <w:rStyle w:val="Hipervnculo"/>
        </w:rPr>
        <w:t xml:space="preserve">  </w:t>
      </w:r>
      <w:r w:rsidRPr="004C114C">
        <w:rPr>
          <w:rStyle w:val="Hipervnculo"/>
          <w:b/>
          <w:bCs/>
        </w:rPr>
        <w:t>(Click para acceder)</w:t>
      </w:r>
    </w:p>
    <w:p w14:paraId="5CFEFF71" w14:textId="4130D287" w:rsidR="00DF3AFC" w:rsidRPr="00050BD5" w:rsidRDefault="00DF3AFC" w:rsidP="004C114C">
      <w:pPr>
        <w:pStyle w:val="Prrafodelista"/>
        <w:numPr>
          <w:ilvl w:val="0"/>
          <w:numId w:val="318"/>
        </w:numPr>
        <w:rPr>
          <w:rStyle w:val="Hipervnculo"/>
          <w:b/>
          <w:bCs/>
        </w:rPr>
      </w:pPr>
      <w:r>
        <w:rPr>
          <w:rFonts w:eastAsiaTheme="minorEastAsia" w:cstheme="minorBidi"/>
        </w:rPr>
        <w:fldChar w:fldCharType="end"/>
      </w:r>
      <w:r>
        <w:t xml:space="preserve">Plan de Manejo Ambiental y Social (PMAS) Área Priorizada 5 </w:t>
      </w:r>
      <w:r>
        <w:fldChar w:fldCharType="begin"/>
      </w:r>
      <w:r>
        <w:instrText>HYPERLINK "https://drive.google.com/open?id=1DQVOdxr7BeX6zAxYS1ebBnkoBsC6A9Ab"</w:instrText>
      </w:r>
      <w:r>
        <w:fldChar w:fldCharType="separate"/>
      </w:r>
      <w:r w:rsidRPr="00050BD5">
        <w:rPr>
          <w:rStyle w:val="Hipervnculo"/>
        </w:rPr>
        <w:t xml:space="preserve"> </w:t>
      </w:r>
      <w:r w:rsidRPr="00050BD5">
        <w:rPr>
          <w:rStyle w:val="Hipervnculo"/>
          <w:b/>
          <w:bCs/>
        </w:rPr>
        <w:t>(Click para acceder)</w:t>
      </w:r>
    </w:p>
    <w:p w14:paraId="39E0A7D0" w14:textId="52C16866" w:rsidR="00DF3AFC" w:rsidRPr="00AF2C41" w:rsidRDefault="00DF3AFC" w:rsidP="00AF2C41">
      <w:pPr>
        <w:spacing w:after="0"/>
        <w:rPr>
          <w:rFonts w:eastAsiaTheme="minorEastAsia" w:cstheme="minorBidi"/>
        </w:rPr>
      </w:pPr>
      <w:r>
        <w:rPr>
          <w:rFonts w:eastAsiaTheme="minorEastAsia" w:cstheme="minorBidi"/>
        </w:rPr>
        <w:fldChar w:fldCharType="end"/>
      </w:r>
      <w:r>
        <w:rPr>
          <w:rFonts w:eastAsiaTheme="minorEastAsia" w:cstheme="minorBidi"/>
        </w:rPr>
        <w:t xml:space="preserve"> </w:t>
      </w:r>
    </w:p>
    <w:p w14:paraId="71E2320C" w14:textId="77777777" w:rsidR="00DF3AFC" w:rsidRPr="00050BD5" w:rsidRDefault="00DF3AFC" w:rsidP="00050BD5"/>
    <w:p w14:paraId="342C2B67" w14:textId="53DC1AD2" w:rsidR="00DF3AFC" w:rsidRPr="00302524" w:rsidRDefault="00DF3AFC" w:rsidP="00BE0E20">
      <w:pPr>
        <w:pStyle w:val="Ttulo1"/>
        <w:numPr>
          <w:ilvl w:val="0"/>
          <w:numId w:val="0"/>
        </w:numPr>
        <w:jc w:val="both"/>
        <w:rPr>
          <w:b w:val="0"/>
          <w:bCs/>
        </w:rPr>
      </w:pPr>
    </w:p>
    <w:p w14:paraId="39FE24A0" w14:textId="77777777" w:rsidR="00DF3AFC" w:rsidRPr="003035AE" w:rsidRDefault="00DF3AFC" w:rsidP="0004071A">
      <w:pPr>
        <w:pStyle w:val="Textonotaalfinal"/>
        <w:rPr>
          <w:lang w:val="es-DO"/>
        </w:rPr>
      </w:pPr>
    </w:p>
  </w:endnote>
  <w:endnote w:id="2">
    <w:p w14:paraId="2CB35C89" w14:textId="77777777" w:rsidR="00DF3AFC" w:rsidRPr="00526134" w:rsidRDefault="00DF3AFC" w:rsidP="00575693">
      <w:pPr>
        <w:pStyle w:val="Textonotapie"/>
        <w:rPr>
          <w:lang w:val="es-ES"/>
        </w:rPr>
      </w:pPr>
      <w:r w:rsidRPr="00526134">
        <w:rPr>
          <w:rStyle w:val="Refdenotaalfinal"/>
          <w:sz w:val="14"/>
          <w:szCs w:val="14"/>
        </w:rPr>
        <w:endnoteRef/>
      </w:r>
      <w:r w:rsidRPr="00526134">
        <w:rPr>
          <w:lang w:val="es-ES"/>
        </w:rPr>
        <w:t xml:space="preserve"> </w:t>
      </w:r>
      <w:r w:rsidRPr="00526134">
        <w:rPr>
          <w:b/>
          <w:lang w:val="es-ES"/>
        </w:rPr>
        <w:t>CPD. Artículo 17.- Numeral 2)</w:t>
      </w:r>
      <w:r w:rsidRPr="00526134">
        <w:rPr>
          <w:lang w:val="es-ES"/>
        </w:rPr>
        <w:t xml:space="preserve"> Se declara de prioridad nacional y de interés social la reforestación del país, la conservación de los bosques y la renovación de los recursos forestales; </w:t>
      </w:r>
      <w:r w:rsidRPr="00526134">
        <w:rPr>
          <w:b/>
          <w:lang w:val="es-ES"/>
        </w:rPr>
        <w:t>Artículo 241</w:t>
      </w:r>
      <w:r w:rsidRPr="00526134">
        <w:rPr>
          <w:lang w:val="es-ES"/>
        </w:rPr>
        <w:t>. El Poder Ejecutivo, previa consulta al Consejo Económico y Social y a los partidos políticos, elaborará y someterá al Congreso Nacional una estrategia de desarrollo, que definirá la visión de la Nación para el largo plazo. El proceso de planificación e inversión pública se regirá por la ley correspondiente.</w:t>
      </w:r>
    </w:p>
  </w:endnote>
  <w:endnote w:id="3">
    <w:p w14:paraId="77F1ABD0" w14:textId="77777777" w:rsidR="00DF3AFC" w:rsidRPr="00526134" w:rsidRDefault="00DF3AFC" w:rsidP="00575693">
      <w:pPr>
        <w:pStyle w:val="Textonotapie"/>
      </w:pPr>
      <w:r w:rsidRPr="00526134">
        <w:rPr>
          <w:rStyle w:val="Refdenotaalfinal"/>
          <w:sz w:val="14"/>
          <w:szCs w:val="14"/>
        </w:rPr>
        <w:endnoteRef/>
      </w:r>
      <w:r w:rsidRPr="00526134">
        <w:t xml:space="preserve"> </w:t>
      </w:r>
      <w:r w:rsidRPr="00526134">
        <w:rPr>
          <w:b/>
        </w:rPr>
        <w:t>Ley 64-00, Artículo 1</w:t>
      </w:r>
      <w:r w:rsidRPr="00526134">
        <w:t xml:space="preserve">.- La presente ley tiene por objeto establecer las normas para la conservación, protección, mejoramiento y restauración del medio ambiente y los recursos naturales, asegurando su uso sostenible. </w:t>
      </w:r>
      <w:r w:rsidRPr="00526134">
        <w:rPr>
          <w:b/>
        </w:rPr>
        <w:t>Artículo 3.- </w:t>
      </w:r>
      <w:r w:rsidRPr="00526134">
        <w:t xml:space="preserve">Los recursos naturales y el medio ambiente son patrimonio común de la nación y un elemento esencial para el desarrollo sostenible del país. </w:t>
      </w:r>
      <w:r w:rsidRPr="00526134">
        <w:rPr>
          <w:b/>
        </w:rPr>
        <w:t>Artículo 4.-</w:t>
      </w:r>
      <w:r w:rsidRPr="00526134">
        <w:t xml:space="preserve"> Se declara de interés nacional la conservación, protección, restauración y uso sostenible de los recursos naturales, el medio ambiente y los bienes que conforman el patrimonio natural y cultural. </w:t>
      </w:r>
      <w:r w:rsidRPr="00526134">
        <w:rPr>
          <w:b/>
        </w:rPr>
        <w:t>Artículo 7.-</w:t>
      </w:r>
      <w:r w:rsidRPr="00526134">
        <w:t xml:space="preserve"> Los programas de protección del medio ambiente y los recursos naturales deberán estar integraos con los planes y programas generales de desarrollo económico y social, de modo que se dé a los problemas correspondientes un enfoque común y se busquen soluciones sostenibles sujetas a un régimen de prioridades en la aplicación de las políticas sectoriales y en la utilización y conservación de los recursos. </w:t>
      </w:r>
      <w:r w:rsidRPr="00526134">
        <w:rPr>
          <w:b/>
        </w:rPr>
        <w:t>Artículo 18, Numeral 8.-</w:t>
      </w:r>
      <w:r w:rsidRPr="00526134">
        <w:t xml:space="preserve"> Promover y garantizar la conservación y el uso sostenible de los recursos forestales y vigilar la aplicación de la política forestal del Estado y las normas que regulan su aprovechamiento; </w:t>
      </w:r>
      <w:r w:rsidRPr="00526134">
        <w:rPr>
          <w:b/>
        </w:rPr>
        <w:t>Artículo 28.-</w:t>
      </w:r>
      <w:r w:rsidRPr="00526134">
        <w:t xml:space="preserve"> La planificación del desarrollo nacional, regional y provincial del país deberá incorporar la dimensión ambiental por medio de un proceso dinámico, permanente, participativo y concertado entre las diferentes entidades involucradas en la gestión ambiental. </w:t>
      </w:r>
      <w:r w:rsidRPr="00526134">
        <w:rPr>
          <w:b/>
        </w:rPr>
        <w:t>Párrafo.- </w:t>
      </w:r>
      <w:r w:rsidRPr="00526134">
        <w:t xml:space="preserve">Las instituciones públicas centralizadas, descentralizadas, autónomas y semiautónomas del Estado, el Ayuntamiento del Distrito Nacional, los ayuntamientos municipales y la Liga Municipal incluirán en sus presupuestos las partidas correspondientes para la aplicación del presente artículo. Corresponde al Secretariado Técnico de la Presidencia, a través de las oficinas Nacional de Planificación y Nacional de Presupuesto, y a la Liga Municipal Dominicana, en coordinación con la Secretaría de Estado de Medio Ambiente y Recursos Naturales, garantizar el cumplimiento del presente artículo. </w:t>
      </w:r>
      <w:r w:rsidRPr="00526134">
        <w:rPr>
          <w:b/>
        </w:rPr>
        <w:t>Artículo 29.-</w:t>
      </w:r>
      <w:r w:rsidRPr="00526134">
        <w:t> Todos los planes, programas y proyectos de desarrollo de carácter nacional, regional, provincial o municipal, deberán elaborarse o adecuarse, según proceda, orientados por los principios rectores de la presente ley, las políticas, estrategias y programas ambientales establecidos por las autoridades competentes.</w:t>
      </w:r>
    </w:p>
  </w:endnote>
  <w:endnote w:id="4">
    <w:p w14:paraId="0D5945AC" w14:textId="77777777" w:rsidR="00DF3AFC" w:rsidRPr="00526134" w:rsidRDefault="00DF3AFC" w:rsidP="00575693">
      <w:pPr>
        <w:pStyle w:val="Textonotapie"/>
        <w:jc w:val="left"/>
        <w:rPr>
          <w:lang w:val="es-ES"/>
        </w:rPr>
      </w:pPr>
      <w:r w:rsidRPr="00526134">
        <w:rPr>
          <w:rStyle w:val="Refdenotaalfinal"/>
          <w:sz w:val="14"/>
          <w:szCs w:val="14"/>
        </w:rPr>
        <w:endnoteRef/>
      </w:r>
      <w:r w:rsidRPr="00526134">
        <w:rPr>
          <w:lang w:val="es-ES"/>
        </w:rPr>
        <w:t xml:space="preserve"> </w:t>
      </w:r>
      <w:r w:rsidRPr="00526134">
        <w:rPr>
          <w:b/>
          <w:lang w:val="es-ES"/>
        </w:rPr>
        <w:t xml:space="preserve">La END, Línea de Acción 3.5.3.1 </w:t>
      </w:r>
      <w:r w:rsidRPr="00526134">
        <w:rPr>
          <w:lang w:val="es-ES"/>
        </w:rPr>
        <w:t xml:space="preserve">Reformar la institucionalidad del sector agropecuario y forestal, con visión sistémica, para impulsar la transformación productiva y la inserción competitiva en los mercados locales y externos. </w:t>
      </w:r>
      <w:r w:rsidRPr="00526134">
        <w:rPr>
          <w:b/>
          <w:lang w:val="es-ES"/>
        </w:rPr>
        <w:t>Línea de Acción 3.5.3.7</w:t>
      </w:r>
      <w:r w:rsidRPr="00526134">
        <w:rPr>
          <w:lang w:val="es-ES"/>
        </w:rPr>
        <w:t xml:space="preserve"> Desarrollar servicios financieros que faciliten la capitalización, tecnificación y manejo de riesgos de las unidades de producción agropecuaria y forestal, con normativas y mecanismos que den respuesta a las necesidades del sector y que aseguren el acceso, individual o colectivo, de las y los pequeños y medianos productores. </w:t>
      </w:r>
      <w:r w:rsidRPr="00526134">
        <w:rPr>
          <w:b/>
          <w:lang w:val="es-ES"/>
        </w:rPr>
        <w:t>Línea de Acción 4.1.1.9</w:t>
      </w:r>
      <w:r w:rsidRPr="00526134">
        <w:rPr>
          <w:lang w:val="es-ES"/>
        </w:rPr>
        <w:t xml:space="preserve"> Gestionar los recursos forestales de forma sostenible y promover la reforestación de los territorios con vocación boscosa con especies endémicas y nativas. </w:t>
      </w:r>
      <w:r w:rsidRPr="00526134">
        <w:rPr>
          <w:b/>
          <w:lang w:val="es-ES"/>
        </w:rPr>
        <w:t>Línea de Acción 4.3.1.3</w:t>
      </w:r>
      <w:r w:rsidRPr="00526134">
        <w:rPr>
          <w:lang w:val="es-ES"/>
        </w:rPr>
        <w:t xml:space="preserve"> Fomentar el desarrollo y la transferencia de tecnología que contribuyan a  adaptar  las  especies forestales y agrícolas a los efectos del cambio climático. </w:t>
      </w:r>
      <w:r w:rsidRPr="00526134">
        <w:rPr>
          <w:b/>
          <w:lang w:val="es-ES"/>
        </w:rPr>
        <w:t>Artículo 31. Numeral 3.</w:t>
      </w:r>
      <w:r w:rsidRPr="00526134">
        <w:rPr>
          <w:lang w:val="es-ES"/>
        </w:rPr>
        <w:t xml:space="preserve"> La reforma de los marcos legales e institucionales relativos al sector agropecuario y forestal quedará definida, aprobada e implementada a fin de impulsar la transformación productiva de dicho </w:t>
      </w:r>
      <w:r w:rsidRPr="00526134">
        <w:rPr>
          <w:lang w:val="es-ES"/>
        </w:rPr>
        <w:t xml:space="preserve">sector,  en un plazo no mayor de tres (3) años. </w:t>
      </w:r>
      <w:r w:rsidRPr="00526134">
        <w:rPr>
          <w:b/>
          <w:lang w:val="es-ES"/>
        </w:rPr>
        <w:t>Artículo 241</w:t>
      </w:r>
      <w:r w:rsidRPr="00526134">
        <w:rPr>
          <w:lang w:val="es-ES"/>
        </w:rPr>
        <w:t>. El Poder Ejecutivo, previa consulta al Consejo Económico y Social y a los partidos políticos, elaborará y someterá al Congreso Nacional una estrategia de desarrollo, que definirá la visión de la Nación para el largo plazo. El proceso de planificación e inversión pública se regirá por la ley correspondiente.</w:t>
      </w:r>
    </w:p>
  </w:endnote>
  <w:endnote w:id="5">
    <w:p w14:paraId="34D29BBF" w14:textId="77777777" w:rsidR="00DF3AFC" w:rsidRPr="00526134" w:rsidRDefault="00DF3AFC" w:rsidP="00575693">
      <w:pPr>
        <w:pStyle w:val="Textonotapie"/>
      </w:pPr>
      <w:r w:rsidRPr="00526134">
        <w:rPr>
          <w:rStyle w:val="Refdenotaalfinal"/>
          <w:sz w:val="14"/>
          <w:szCs w:val="14"/>
        </w:rPr>
        <w:endnoteRef/>
      </w:r>
      <w:r w:rsidRPr="00526134">
        <w:t xml:space="preserve"> </w:t>
      </w:r>
      <w:r w:rsidRPr="00526134">
        <w:rPr>
          <w:b/>
        </w:rPr>
        <w:t>Decreto No. 138-97,</w:t>
      </w:r>
      <w:r w:rsidRPr="00526134">
        <w:t xml:space="preserve"> que crea el Plan Nacional Quisqueya Verde, A los fines de articular las acciones de las instituciones que trabajan en el sector recursos naturales y ambiente, este plan trabajan directamente en actividades de producción de plantas, fomento y protección de plantaciones forestales, recuperación de áreas degradadas y Áreas protegidas.</w:t>
      </w:r>
    </w:p>
  </w:endnote>
  <w:endnote w:id="6">
    <w:p w14:paraId="0EADB413" w14:textId="77777777" w:rsidR="00DF3AFC" w:rsidRPr="00526134" w:rsidRDefault="00DF3AFC" w:rsidP="00575693">
      <w:pPr>
        <w:pStyle w:val="Textonotapie"/>
        <w:rPr>
          <w:lang w:val="es-ES"/>
        </w:rPr>
      </w:pPr>
      <w:r w:rsidRPr="00526134">
        <w:rPr>
          <w:rStyle w:val="Refdenotaalfinal"/>
          <w:sz w:val="14"/>
          <w:szCs w:val="14"/>
        </w:rPr>
        <w:endnoteRef/>
      </w:r>
      <w:r w:rsidRPr="00526134">
        <w:rPr>
          <w:lang w:val="es-ES"/>
        </w:rPr>
        <w:t xml:space="preserve"> </w:t>
      </w:r>
      <w:r w:rsidRPr="00526134">
        <w:rPr>
          <w:b/>
          <w:lang w:val="es-ES"/>
        </w:rPr>
        <w:t>Decreto 10-17</w:t>
      </w:r>
      <w:r w:rsidRPr="00526134">
        <w:rPr>
          <w:lang w:val="es-ES"/>
        </w:rPr>
        <w:t xml:space="preserve">, que Crea la Unidad Coordinadora de Proyectos Agroforestales de la presidencia de la </w:t>
      </w:r>
      <w:r>
        <w:rPr>
          <w:lang w:val="es-ES"/>
        </w:rPr>
        <w:t>República</w:t>
      </w:r>
      <w:r w:rsidRPr="00526134">
        <w:rPr>
          <w:lang w:val="es-ES"/>
        </w:rPr>
        <w:t xml:space="preserve"> Dominicana, este último actualmente ejecuta siete proyectos agroforestales con plantaciones de diferentes especies frutales y forestales, recuperación de áreas degradadas y protección de bosques naturales.</w:t>
      </w:r>
    </w:p>
  </w:endnote>
  <w:endnote w:id="7">
    <w:p w14:paraId="38E1ED88" w14:textId="77777777" w:rsidR="00DF3AFC" w:rsidRPr="00AC0395" w:rsidRDefault="00DF3AFC" w:rsidP="00575693">
      <w:pPr>
        <w:pStyle w:val="Textonotapie"/>
        <w:rPr>
          <w:rFonts w:eastAsia="SimSun"/>
          <w:kern w:val="1"/>
          <w:lang w:eastAsia="hi-IN" w:bidi="hi-IN"/>
        </w:rPr>
      </w:pPr>
      <w:r w:rsidRPr="00C23A6C">
        <w:rPr>
          <w:rStyle w:val="Refdenotaalfinal"/>
          <w:rFonts w:eastAsia="SimSun"/>
          <w:kern w:val="1"/>
          <w:sz w:val="14"/>
          <w:szCs w:val="14"/>
          <w:lang w:eastAsia="hi-IN" w:bidi="hi-IN"/>
        </w:rPr>
        <w:endnoteRef/>
      </w:r>
      <w:r w:rsidRPr="00C23A6C">
        <w:rPr>
          <w:rStyle w:val="Refdenotaalfinal"/>
          <w:rFonts w:eastAsia="SimSun"/>
          <w:kern w:val="1"/>
          <w:sz w:val="14"/>
          <w:szCs w:val="14"/>
          <w:lang w:val="es-DO" w:eastAsia="hi-IN" w:bidi="hi-IN"/>
        </w:rPr>
        <w:t xml:space="preserve"> </w:t>
      </w:r>
      <w:r w:rsidRPr="00C23A6C">
        <w:rPr>
          <w:rFonts w:eastAsia="SimSun"/>
          <w:b/>
          <w:kern w:val="1"/>
          <w:lang w:eastAsia="hi-IN" w:bidi="hi-IN"/>
        </w:rPr>
        <w:t xml:space="preserve">Decreto 57-18, Crea la comisión presidencial para ordenamiento y manejo </w:t>
      </w:r>
      <w:r w:rsidRPr="00AC0395">
        <w:rPr>
          <w:rFonts w:eastAsia="SimSun"/>
          <w:kern w:val="1"/>
          <w:lang w:eastAsia="hi-IN" w:bidi="hi-IN"/>
        </w:rPr>
        <w:t>de la c</w:t>
      </w:r>
      <w:r>
        <w:rPr>
          <w:rFonts w:eastAsia="SimSun"/>
          <w:kern w:val="1"/>
          <w:lang w:eastAsia="hi-IN" w:bidi="hi-IN"/>
        </w:rPr>
        <w:t xml:space="preserve">uenca del Río Yaque del Norte. </w:t>
      </w:r>
    </w:p>
  </w:endnote>
  <w:endnote w:id="8">
    <w:p w14:paraId="4E624FD3" w14:textId="77777777" w:rsidR="00DF3AFC" w:rsidRPr="00526134" w:rsidRDefault="00DF3AFC" w:rsidP="00575693">
      <w:pPr>
        <w:pStyle w:val="Textonotapie"/>
      </w:pPr>
      <w:r w:rsidRPr="00526134">
        <w:rPr>
          <w:rStyle w:val="Refdenotaalfinal"/>
          <w:sz w:val="14"/>
          <w:szCs w:val="14"/>
        </w:rPr>
        <w:endnoteRef/>
      </w:r>
      <w:r w:rsidRPr="00526134">
        <w:t xml:space="preserve"> </w:t>
      </w:r>
      <w:r w:rsidRPr="00526134">
        <w:rPr>
          <w:b/>
        </w:rPr>
        <w:t>CPD: Art. 17</w:t>
      </w:r>
      <w:r w:rsidRPr="00526134">
        <w:t xml:space="preserve"> declara de prioridad nacional y de interés social la reforestación del país, la conservación de los boques y la renovación de los recursos forestales. </w:t>
      </w:r>
      <w:r w:rsidRPr="00526134">
        <w:rPr>
          <w:b/>
        </w:rPr>
        <w:t>Artículo 241.-</w:t>
      </w:r>
      <w:r w:rsidRPr="00526134">
        <w:t xml:space="preserve"> Estrategia de desarrollo. El Poder Ejecutivo, previa consulta al Consejo Económico y Social y a los partidos políticos, elaborará y someterá al Congreso Nacional una estrategia de desarrollo, que definirá la visión de la Nación para el largo plazo. El proceso de planificación e inversión pública se regirá por la ley correspondiente.</w:t>
      </w:r>
    </w:p>
  </w:endnote>
  <w:endnote w:id="9">
    <w:p w14:paraId="2C9D2E31" w14:textId="77777777" w:rsidR="00DF3AFC" w:rsidRPr="00526134" w:rsidRDefault="00DF3AFC" w:rsidP="00575693">
      <w:pPr>
        <w:pStyle w:val="Textonotapie"/>
        <w:rPr>
          <w:lang w:val="es-DO"/>
        </w:rPr>
      </w:pPr>
      <w:r w:rsidRPr="00526134">
        <w:rPr>
          <w:rStyle w:val="Refdenotaalfinal"/>
          <w:sz w:val="14"/>
          <w:szCs w:val="14"/>
        </w:rPr>
        <w:endnoteRef/>
      </w:r>
      <w:r w:rsidRPr="00526134">
        <w:rPr>
          <w:lang w:val="es-DO"/>
        </w:rPr>
        <w:t xml:space="preserve"> </w:t>
      </w:r>
      <w:r w:rsidRPr="00526134">
        <w:rPr>
          <w:b/>
          <w:lang w:val="es-ES"/>
        </w:rPr>
        <w:t>La END, Línea de Acción 3.5.3.1,</w:t>
      </w:r>
      <w:r w:rsidRPr="00526134">
        <w:rPr>
          <w:lang w:val="es-ES"/>
        </w:rPr>
        <w:t xml:space="preserve"> Reformar la institucionalidad del sector agropecuario y forestal, con visión sistémica, para impulsar la transformación productiva y la inserción competitiva en los mercados locales y externos. </w:t>
      </w:r>
      <w:r w:rsidRPr="00526134">
        <w:rPr>
          <w:b/>
          <w:lang w:val="es-ES"/>
        </w:rPr>
        <w:t>Línea de Acción, 3.5.3.4</w:t>
      </w:r>
      <w:r w:rsidRPr="00526134">
        <w:rPr>
          <w:lang w:val="es-ES"/>
        </w:rPr>
        <w:t xml:space="preserve"> Impulsar la investigación, la innovación y el desarrollo tecnológico, incluyendo la biotecnología, para mejorar los procesos de producción, procesamiento y comercialización de productos agropecuarios y forestales y difundir ampliamente sus resultados mediante un eficiente sistema de extensión agrícola. </w:t>
      </w:r>
      <w:r w:rsidRPr="00526134">
        <w:rPr>
          <w:b/>
          <w:lang w:val="es-ES"/>
        </w:rPr>
        <w:t>Línea de Acción, 3.5.3.5</w:t>
      </w:r>
      <w:r w:rsidRPr="00526134">
        <w:rPr>
          <w:lang w:val="es-ES"/>
        </w:rPr>
        <w:t xml:space="preserve"> Fortalecer y facilitar el acceso a los sistemas de información e inteligencia de mercado de los productos agropecuarios y forestales, a través del uso de las TIC, y su apropiada difusión entre productores y organizaciones agropecuarias. </w:t>
      </w:r>
      <w:r w:rsidRPr="00526134">
        <w:rPr>
          <w:b/>
          <w:lang w:val="es-ES"/>
        </w:rPr>
        <w:t>Línea de Acción, 3.5.3.7</w:t>
      </w:r>
      <w:r w:rsidRPr="00526134">
        <w:rPr>
          <w:lang w:val="es-ES"/>
        </w:rPr>
        <w:t xml:space="preserve"> Desarrollar servicios financieros que faciliten la capitalización, tecnificación y manejo de riesgos de las unidades de producción agropecuaria y forestal, con normativas y mecanismos que den respuesta a las necesidades del sector y que aseguren el acceso, individual o colectivo, de las y los pequeños y medianos productores. </w:t>
      </w:r>
      <w:r w:rsidRPr="00526134">
        <w:rPr>
          <w:b/>
          <w:lang w:val="es-ES"/>
        </w:rPr>
        <w:t>Línea de Acción, 3.5.3.9</w:t>
      </w:r>
      <w:r w:rsidRPr="00526134">
        <w:rPr>
          <w:lang w:val="es-ES"/>
        </w:rPr>
        <w:t xml:space="preserve"> Impulsar formas eficientes de provisión de infraestructura, servicios e insumos que eleven la calidad y productividad de los procesos de producción y distribución agroalimentaria y forestal. </w:t>
      </w:r>
      <w:r w:rsidRPr="00526134">
        <w:rPr>
          <w:b/>
          <w:lang w:val="es-ES"/>
        </w:rPr>
        <w:t>Línea de Acción, 3.5.3.11</w:t>
      </w:r>
      <w:r w:rsidRPr="00526134">
        <w:rPr>
          <w:lang w:val="es-ES"/>
        </w:rPr>
        <w:t xml:space="preserve"> Desarrollar un sistema de apoyo a las exportaciones de productos agropecuarios y forestales en los principales mercados de destino, que provea información y capacitación, sobre sus requerimientos y brinde protección frente a malas prácticas. </w:t>
      </w:r>
      <w:r w:rsidRPr="00526134">
        <w:rPr>
          <w:b/>
          <w:lang w:val="es-ES"/>
        </w:rPr>
        <w:t xml:space="preserve">Línea de Acción, 4.1.1.9 </w:t>
      </w:r>
      <w:r w:rsidRPr="00526134">
        <w:rPr>
          <w:lang w:val="es-ES"/>
        </w:rPr>
        <w:t xml:space="preserve">Gestionar los recursos forestales de forma sostenible y promover la reforestación de los territorios con vocación boscosa con especies endémicas y nativas. </w:t>
      </w:r>
      <w:r w:rsidRPr="00526134">
        <w:rPr>
          <w:b/>
          <w:lang w:val="es-ES"/>
        </w:rPr>
        <w:t>Línea de Acción, 4.3.1.3</w:t>
      </w:r>
      <w:r w:rsidRPr="00526134">
        <w:rPr>
          <w:lang w:val="es-ES"/>
        </w:rPr>
        <w:t xml:space="preserve"> Fomentar el desarrollo y la transferencia de tecnología que contribuyan a  adaptar  las  especies forestales y agrícolas a los efectos del cambio climático. </w:t>
      </w:r>
      <w:r w:rsidRPr="00526134">
        <w:rPr>
          <w:b/>
          <w:lang w:val="es-ES"/>
        </w:rPr>
        <w:t xml:space="preserve">Artículo 31. Reformas Asociadas al Tercer </w:t>
      </w:r>
      <w:r w:rsidRPr="00526134">
        <w:rPr>
          <w:b/>
          <w:lang w:val="es-ES"/>
        </w:rPr>
        <w:t>Eje.-</w:t>
      </w:r>
      <w:r w:rsidRPr="00526134">
        <w:rPr>
          <w:lang w:val="es-ES"/>
        </w:rPr>
        <w:t xml:space="preserve"> Las reformas asociadas al Tercer Eje Estratégico que deberá poner en ejecución el Sector Público, son las siguientes: </w:t>
      </w:r>
      <w:r w:rsidRPr="00526134">
        <w:rPr>
          <w:b/>
          <w:lang w:val="es-ES"/>
        </w:rPr>
        <w:t>3.</w:t>
      </w:r>
      <w:r w:rsidRPr="00526134">
        <w:rPr>
          <w:lang w:val="es-ES"/>
        </w:rPr>
        <w:t xml:space="preserve"> La reforma de los marcos legales e institucionales relativos al sector agropecuario y forestal quedará definida, aprobada e implementada a fin de impulsar la transformación productiva de dicho sector,  en un plazo no mayor de tres (3) años. </w:t>
      </w:r>
      <w:r w:rsidRPr="00526134">
        <w:rPr>
          <w:b/>
          <w:lang w:val="es-ES"/>
        </w:rPr>
        <w:t>Artículo 241</w:t>
      </w:r>
      <w:r w:rsidRPr="00526134">
        <w:rPr>
          <w:lang w:val="es-ES"/>
        </w:rPr>
        <w:t xml:space="preserve"> Establece que el Poder Ejecutivo, previa consulta al Consejo Económico y Social y a los partidos políticos, elaborará y someterá al Congreso Nacional una estrategia de desarrollo, que definirá la visión de la Nación para el largo plazo. El proceso de planificación e inversión pública se regirá por la ley corres</w:t>
      </w:r>
      <w:r w:rsidRPr="00AC0395">
        <w:rPr>
          <w:rFonts w:cstheme="minorBidi"/>
          <w:lang w:val="es-ES"/>
        </w:rPr>
        <w:t>p</w:t>
      </w:r>
      <w:r w:rsidRPr="00526134">
        <w:rPr>
          <w:lang w:val="es-ES"/>
        </w:rPr>
        <w:t>ondiente.</w:t>
      </w:r>
    </w:p>
  </w:endnote>
  <w:endnote w:id="10">
    <w:p w14:paraId="2501CDCB" w14:textId="77777777" w:rsidR="00DF3AFC" w:rsidRPr="00AC0395" w:rsidRDefault="00DF3AFC" w:rsidP="00575693">
      <w:pPr>
        <w:pStyle w:val="Textonotapie"/>
      </w:pPr>
      <w:r w:rsidRPr="00526134">
        <w:rPr>
          <w:rStyle w:val="Refdenotaalfinal"/>
          <w:sz w:val="14"/>
          <w:szCs w:val="14"/>
        </w:rPr>
        <w:endnoteRef/>
      </w:r>
      <w:r w:rsidRPr="00526134">
        <w:rPr>
          <w:lang w:val="es-DO"/>
        </w:rPr>
        <w:t xml:space="preserve"> </w:t>
      </w:r>
      <w:r w:rsidRPr="00526134">
        <w:rPr>
          <w:b/>
        </w:rPr>
        <w:t>La Ley NO. 64-00 Art. 1, Art. 3, Art. 4, Art. 7, Art. 28, Art. 29,</w:t>
      </w:r>
      <w:r w:rsidRPr="00526134">
        <w:t xml:space="preserve"> deja claro que esa ley tiene por objeto establecer las normas para la conservación, protección, mejoramiento y restauración del medio ambiente y los recursos naturales, como patrimonio común de la nación y un elemento esencial para el desarrollo sostenible del país, en los que los programas de protección del medio ambiente y los recursos naturales deberán estar integraos con los planes y programas generales de desarrollo económico y social, de modo que se dé a los problemas correspondientes un enfoque común y se busquen soluciones sostenibles sujetas a un régimen de prioridades en la aplicación de las políticas sectoriales y en la utilización y conservación de los recursos, incorporando la dimensión ambiental por medio de un proceso dinámico, permanente, participativo y concertado entre las diferentes entidades involucradas en </w:t>
      </w:r>
      <w:r w:rsidRPr="00AC0395">
        <w:t>la gestión ambiental.</w:t>
      </w:r>
    </w:p>
  </w:endnote>
  <w:endnote w:id="11">
    <w:p w14:paraId="51409CDE" w14:textId="0943D6D5" w:rsidR="00DF3AFC" w:rsidRPr="00526134" w:rsidRDefault="00DF3AFC" w:rsidP="00575693">
      <w:pPr>
        <w:pStyle w:val="Textonotapie"/>
      </w:pPr>
      <w:r w:rsidRPr="00526134">
        <w:rPr>
          <w:rStyle w:val="Refdenotaalfinal"/>
          <w:sz w:val="14"/>
          <w:szCs w:val="14"/>
        </w:rPr>
        <w:endnoteRef/>
      </w:r>
      <w:r w:rsidRPr="00526134">
        <w:t xml:space="preserve"> </w:t>
      </w:r>
      <w:r w:rsidRPr="00526134">
        <w:rPr>
          <w:b/>
        </w:rPr>
        <w:t>RF, Articulo 1:</w:t>
      </w:r>
      <w:r w:rsidRPr="00526134">
        <w:t xml:space="preserve"> El presente Reglamento Forestal, tiene por objeto establecer las pautas necesarias para la adecuada aplicación y cumplimiento de la Ley General de Medio Ambiente y Recursos Naturales No. 64-00 del 18 de agosto del año 2000, en lo que respecta a los recursos forestales. </w:t>
      </w:r>
      <w:r w:rsidRPr="00526134">
        <w:rPr>
          <w:b/>
        </w:rPr>
        <w:t>Son objetivos de este Reglamento: a)</w:t>
      </w:r>
      <w:r w:rsidRPr="00526134">
        <w:t xml:space="preserve"> Establecer pautas de comportamiento, dentro del marco de la Ley 64-00, para atender las necesidades de conservación, fomento y desarrollo de los recursos forestales en la República Dominicana; </w:t>
      </w:r>
      <w:r w:rsidRPr="00526134">
        <w:rPr>
          <w:b/>
        </w:rPr>
        <w:t>b)</w:t>
      </w:r>
      <w:r w:rsidRPr="00526134">
        <w:t xml:space="preserve"> Promover la protección y el uso sostenible de los recursos forestales, estableciendo reglas que permitan la necesaria incorporación de la sociedad civil, en la gestión para el desarrollo y conservación de estos recursos; </w:t>
      </w:r>
      <w:r w:rsidRPr="00526134">
        <w:rPr>
          <w:b/>
        </w:rPr>
        <w:t>c)</w:t>
      </w:r>
      <w:r w:rsidRPr="00526134">
        <w:t xml:space="preserve"> Asegurar el ordenamiento, conservación y desarrollo sostenible de los bosques existentes, tanto en su calidad como en su distribución geográfica, y la recuperación forestal de áreas actualmente desprovistas de vegetación para garantizar sus funciones ecológicas, sociales y económicas;  </w:t>
      </w:r>
      <w:r w:rsidRPr="00526134">
        <w:rPr>
          <w:b/>
        </w:rPr>
        <w:t>Articulo 6:</w:t>
      </w:r>
      <w:r w:rsidRPr="00526134">
        <w:t xml:space="preserve"> Para el cumplimiento de sus objetivos, corresponderá a la Secretaría de Estado de Medio Ambiente y Recursos Naturales, con la asistencia de la Subsecretaría de Recursos Forestales, el ejercicio de las siguientes funciones y atribuciones: </w:t>
      </w:r>
      <w:r w:rsidRPr="00526134">
        <w:rPr>
          <w:b/>
        </w:rPr>
        <w:t>a)</w:t>
      </w:r>
      <w:r w:rsidRPr="00526134">
        <w:t xml:space="preserve"> Administrar el Régimen Forestal y mantener actualizado el Registro Público de la Propiedad Forestal, en coordinación con la Dirección Nacional de Catastro; </w:t>
      </w:r>
      <w:r w:rsidRPr="00526134">
        <w:rPr>
          <w:b/>
        </w:rPr>
        <w:t>b)</w:t>
      </w:r>
      <w:r w:rsidRPr="00526134">
        <w:t xml:space="preserve"> Administrar los incentivos del sector forestal creados por la Ley 64-00 y los mecanismos de control</w:t>
      </w:r>
      <w:r w:rsidRPr="00526134">
        <w:rPr>
          <w:b/>
        </w:rPr>
        <w:t>; c)</w:t>
      </w:r>
      <w:r w:rsidRPr="00526134">
        <w:t xml:space="preserve"> Definir y declarar sobre la base de estudios socioeconómicos y técnicos vigentes, los terrenos de aptitud forestal; </w:t>
      </w:r>
      <w:r w:rsidRPr="00526134">
        <w:rPr>
          <w:b/>
        </w:rPr>
        <w:t>d)</w:t>
      </w:r>
      <w:r w:rsidRPr="00526134">
        <w:t xml:space="preserve"> Conocer, aprobar, evaluar y fiscalizar los planes de trabajo relativos a protección, conservación y aprovechamiento de los recursos forestales en terrenos estatales; </w:t>
      </w:r>
      <w:r w:rsidRPr="00526134">
        <w:rPr>
          <w:b/>
        </w:rPr>
        <w:t>e)</w:t>
      </w:r>
      <w:r w:rsidRPr="00526134">
        <w:t xml:space="preserve"> Autorizar y regular lo concerniente a la instalación y funcionamiento del aserrío y la industrialización de los productos y los subproductos forestales</w:t>
      </w:r>
      <w:r w:rsidRPr="00526134">
        <w:rPr>
          <w:b/>
        </w:rPr>
        <w:t>; f)</w:t>
      </w:r>
      <w:r w:rsidRPr="00526134">
        <w:t xml:space="preserve"> Prestar asistencia técnica para la formulación y ejecución de planes de trabajos relativos a la protección, conservación, aprovechamiento e industrialización de los recursos forestales; </w:t>
      </w:r>
      <w:r w:rsidRPr="00526134">
        <w:rPr>
          <w:b/>
        </w:rPr>
        <w:t>g)</w:t>
      </w:r>
      <w:r w:rsidRPr="00526134">
        <w:t xml:space="preserve"> Procurar el mejoramiento genético de los bosques, para incrementar su productividad y evitar la introducción y propagación de plagas y enfermedades que afecten los recursos forestales; </w:t>
      </w:r>
      <w:r w:rsidRPr="00526134">
        <w:rPr>
          <w:b/>
        </w:rPr>
        <w:t>h)</w:t>
      </w:r>
      <w:r w:rsidRPr="00526134">
        <w:t xml:space="preserve"> Mantener actualizado el inventario de los terrenos de aptitud forestal y de los recursos forestales; </w:t>
      </w:r>
      <w:r w:rsidRPr="00526134">
        <w:rPr>
          <w:b/>
        </w:rPr>
        <w:t>i)</w:t>
      </w:r>
      <w:r w:rsidRPr="00526134">
        <w:t xml:space="preserve"> Realizar y coordinar actividades de prevención, control y combate de incendios forestales</w:t>
      </w:r>
      <w:r w:rsidRPr="00526134">
        <w:rPr>
          <w:b/>
        </w:rPr>
        <w:t>; j)</w:t>
      </w:r>
      <w:r w:rsidRPr="00526134">
        <w:t xml:space="preserve"> Coordinar con las instituciones correspondientes en lo relativo al cumplimiento de las normas sobre contaminación de los bosques; </w:t>
      </w:r>
      <w:r w:rsidRPr="00526134">
        <w:rPr>
          <w:b/>
        </w:rPr>
        <w:t>k)</w:t>
      </w:r>
      <w:r w:rsidRPr="00526134">
        <w:t xml:space="preserve"> Estimular el establecimiento y el manejo adecuado y sostenible de los recursos forestales;</w:t>
      </w:r>
      <w:r w:rsidRPr="00526134">
        <w:rPr>
          <w:b/>
        </w:rPr>
        <w:t xml:space="preserve"> l)</w:t>
      </w:r>
      <w:r w:rsidRPr="00526134">
        <w:t xml:space="preserve"> Fomentar la capacitación del personal involucrado en las labores forestales; </w:t>
      </w:r>
      <w:r w:rsidRPr="00526134">
        <w:rPr>
          <w:b/>
        </w:rPr>
        <w:t>m)</w:t>
      </w:r>
      <w:r w:rsidRPr="00526134">
        <w:t xml:space="preserve"> Administrar los bosques nacionales; </w:t>
      </w:r>
      <w:r w:rsidRPr="00526134">
        <w:rPr>
          <w:b/>
        </w:rPr>
        <w:t>n)</w:t>
      </w:r>
      <w:r w:rsidRPr="00526134">
        <w:t xml:space="preserve"> Establecer un registro de profesionales forestales autorizados para elaborar, asesorar y ejecutar Planes de Manejo Forestal; </w:t>
      </w:r>
      <w:r w:rsidRPr="00526134">
        <w:rPr>
          <w:b/>
        </w:rPr>
        <w:t>o)</w:t>
      </w:r>
      <w:r w:rsidRPr="00526134">
        <w:t xml:space="preserve"> Procurar la coordinación de las acciones para el control forestal con los municipios, las asociaciones de productores forestales, las organizaciones sin fines de lucro con interés en los recursos forestales y los representantes de las comunidades; </w:t>
      </w:r>
      <w:r w:rsidRPr="00526134">
        <w:rPr>
          <w:b/>
        </w:rPr>
        <w:t>p)</w:t>
      </w:r>
      <w:r w:rsidRPr="00526134">
        <w:t xml:space="preserve"> Impulsar y ejecutar programas de fomento para la inversión en el desarrollo de los recursos forestales; </w:t>
      </w:r>
      <w:r w:rsidRPr="00526134">
        <w:rPr>
          <w:b/>
        </w:rPr>
        <w:t>q)</w:t>
      </w:r>
      <w:r w:rsidRPr="00526134">
        <w:t xml:space="preserve"> Regular y fomentar el manejo de los recursos forestales; </w:t>
      </w:r>
      <w:r w:rsidRPr="00526134">
        <w:rPr>
          <w:b/>
        </w:rPr>
        <w:t>r)</w:t>
      </w:r>
      <w:r w:rsidRPr="00526134">
        <w:t xml:space="preserve"> Elaborar, publicar y actualizar los criterios, normas y estándares para la formulación e implementación de proyectos forestales; </w:t>
      </w:r>
      <w:r w:rsidRPr="00526134">
        <w:rPr>
          <w:b/>
        </w:rPr>
        <w:t>s)</w:t>
      </w:r>
      <w:r w:rsidRPr="00526134">
        <w:t xml:space="preserve"> Conocer y aprobar los proyectos y programas forestales a implementarse en todo el territorio nacional; </w:t>
      </w:r>
      <w:r w:rsidRPr="00526134">
        <w:rPr>
          <w:b/>
        </w:rPr>
        <w:t>t)</w:t>
      </w:r>
      <w:r w:rsidRPr="00526134">
        <w:t xml:space="preserve"> La Secretaría de Estado de Medio Ambiente y Recursos Naturales, fomentará el desarrollo de bosques protectores y de uso múltiple en los terrenos de propiedad pública con vocación forestal y establecerá igual responsabilidad para los casos de terrenos de propiedad privada que se encuentren deforestados o en proceso de degradación, sobre la base de los incentivos que para tales fines establece la Ley 64-00 y cualquier otra disposición sobre este tipo de incentivos; </w:t>
      </w:r>
      <w:r w:rsidRPr="00526134">
        <w:rPr>
          <w:b/>
        </w:rPr>
        <w:t>u)</w:t>
      </w:r>
      <w:r w:rsidRPr="00526134">
        <w:t xml:space="preserve"> Promover, en coordinación con los ayuntamientos, el establecimiento y manejo adecuado de la arborización urbana en el territorio nacional; </w:t>
      </w:r>
      <w:r w:rsidRPr="00526134">
        <w:rPr>
          <w:b/>
        </w:rPr>
        <w:t xml:space="preserve">v) </w:t>
      </w:r>
      <w:r w:rsidRPr="00526134">
        <w:t>Elaborar y mantener actualizado el Plan Nacional de Ordenamiento Forestal;</w:t>
      </w:r>
    </w:p>
  </w:endnote>
  <w:endnote w:id="12">
    <w:p w14:paraId="36CECC5D" w14:textId="77777777" w:rsidR="00DF3AFC" w:rsidRPr="00526134" w:rsidRDefault="00DF3AFC" w:rsidP="00575693">
      <w:pPr>
        <w:pStyle w:val="Textonotapie"/>
      </w:pPr>
      <w:r w:rsidRPr="00526134">
        <w:rPr>
          <w:rStyle w:val="Refdenotaalfinal"/>
          <w:sz w:val="14"/>
          <w:szCs w:val="14"/>
        </w:rPr>
        <w:endnoteRef/>
      </w:r>
      <w:r w:rsidRPr="00526134">
        <w:t xml:space="preserve"> </w:t>
      </w:r>
      <w:r w:rsidRPr="00526134">
        <w:rPr>
          <w:b/>
        </w:rPr>
        <w:t>La NTMF</w:t>
      </w:r>
      <w:r w:rsidRPr="00526134">
        <w:t xml:space="preserve">: </w:t>
      </w:r>
      <w:r w:rsidRPr="00526134">
        <w:rPr>
          <w:b/>
        </w:rPr>
        <w:t>Principio no. 1:</w:t>
      </w:r>
      <w:r w:rsidRPr="00526134">
        <w:t xml:space="preserve"> observación de las leyes y principios: El manejo forestal deberá ajustarse a las leyes nacionales, los tratados y los acuerdos internacionales ratificados por el país que regulen la actividad forestal y deberá cumplir con los principios, criterios y normas aprobados por la Secretaría de Estado de Medio Ambiente y Recursos Naturales.</w:t>
      </w:r>
    </w:p>
  </w:endnote>
  <w:endnote w:id="13">
    <w:p w14:paraId="3682CBDA" w14:textId="2203247C" w:rsidR="00DF3AFC" w:rsidRPr="00526134" w:rsidRDefault="00DF3AFC" w:rsidP="00575693">
      <w:pPr>
        <w:pStyle w:val="Textonotapie"/>
      </w:pPr>
      <w:r w:rsidRPr="00526134">
        <w:rPr>
          <w:rStyle w:val="Refdenotaalfinal"/>
          <w:sz w:val="14"/>
          <w:szCs w:val="14"/>
        </w:rPr>
        <w:endnoteRef/>
      </w:r>
      <w:r w:rsidRPr="00526134">
        <w:t xml:space="preserve"> </w:t>
      </w:r>
      <w:r w:rsidRPr="00526134">
        <w:rPr>
          <w:b/>
        </w:rPr>
        <w:t>La END. Artículo 13.</w:t>
      </w:r>
      <w:r w:rsidRPr="00526134">
        <w:t xml:space="preserve"> Sostenibilidad Ambiental. - Todos los planes, programas, proyectos y políticas públicas deberán incorporar criterios de sostenibilidad ambiental y adecuada gestión integral de riesgos.</w:t>
      </w:r>
    </w:p>
  </w:endnote>
  <w:endnote w:id="14">
    <w:p w14:paraId="52D32949" w14:textId="77777777" w:rsidR="00DF3AFC" w:rsidRPr="00526134" w:rsidRDefault="00DF3AFC" w:rsidP="00575693">
      <w:pPr>
        <w:pStyle w:val="Textonotapie"/>
        <w:rPr>
          <w:rFonts w:eastAsia="Cambria" w:cs="Cambria"/>
          <w:b/>
          <w:color w:val="000000"/>
          <w:lang w:val="es-DO" w:eastAsia="es-DO"/>
        </w:rPr>
      </w:pPr>
      <w:r w:rsidRPr="00526134">
        <w:rPr>
          <w:rStyle w:val="Refdenotaalfinal"/>
          <w:sz w:val="14"/>
          <w:szCs w:val="14"/>
        </w:rPr>
        <w:endnoteRef/>
      </w:r>
      <w:r w:rsidRPr="00526134">
        <w:rPr>
          <w:lang w:val="es-ES"/>
        </w:rPr>
        <w:t xml:space="preserve"> </w:t>
      </w:r>
      <w:r w:rsidRPr="00526134">
        <w:rPr>
          <w:rFonts w:eastAsia="Cambria" w:cs="Cambria"/>
          <w:b/>
          <w:color w:val="000000"/>
          <w:lang w:val="es-DO" w:eastAsia="es-DO"/>
        </w:rPr>
        <w:t>Ver Anexo 3. Acuerdos Internacionales Relevantes para REDD+ en República Dominicana.</w:t>
      </w:r>
    </w:p>
  </w:endnote>
  <w:endnote w:id="15">
    <w:p w14:paraId="09E3AD1D" w14:textId="77777777" w:rsidR="00DF3AFC" w:rsidRPr="00526134" w:rsidRDefault="00DF3AFC" w:rsidP="00575693">
      <w:pPr>
        <w:pStyle w:val="Textonotapie"/>
      </w:pPr>
      <w:r w:rsidRPr="00526134">
        <w:rPr>
          <w:rStyle w:val="Refdenotaalfinal"/>
          <w:sz w:val="14"/>
          <w:szCs w:val="14"/>
        </w:rPr>
        <w:endnoteRef/>
      </w:r>
      <w:r w:rsidRPr="00526134">
        <w:t xml:space="preserve"> </w:t>
      </w:r>
      <w:r w:rsidRPr="00526134">
        <w:rPr>
          <w:b/>
        </w:rPr>
        <w:t>CPD: Art.74 Principios de reglamentación e interpretación.</w:t>
      </w:r>
      <w:r w:rsidRPr="00526134">
        <w:t xml:space="preserve"> La interpretación y reglamentación de los derechos y garantías fundamentales, reconocidos en la presente Constitución, se rigen por los principios siguientes: </w:t>
      </w:r>
      <w:r w:rsidRPr="00526134">
        <w:rPr>
          <w:b/>
        </w:rPr>
        <w:t>3)</w:t>
      </w:r>
      <w:r w:rsidRPr="00526134">
        <w:t xml:space="preserve"> Los tratados, pactos y convenciones relativos a derechos humanos, suscritos y ratificados por el Estado dominicano, tienen jerarquía constitucional y son de aplicación directa e inmediata por los tribunales y demás órganos del Estado; </w:t>
      </w:r>
      <w:r w:rsidRPr="00526134">
        <w:rPr>
          <w:b/>
        </w:rPr>
        <w:t xml:space="preserve">Artículo 26.- </w:t>
      </w:r>
      <w:r w:rsidRPr="00526134">
        <w:rPr>
          <w:b/>
        </w:rPr>
        <w:t>Relaciones internacionales y derecho internacional.</w:t>
      </w:r>
      <w:r w:rsidRPr="00526134">
        <w:t xml:space="preserve"> La República Dominicana es un Estado miembro de la comunidad internacional, abierto a la cooperación y apegado a las normas del derecho internacional, en consecuencia: </w:t>
      </w:r>
      <w:r w:rsidRPr="00526134">
        <w:rPr>
          <w:b/>
        </w:rPr>
        <w:t xml:space="preserve">1) </w:t>
      </w:r>
      <w:r w:rsidRPr="00526134">
        <w:t xml:space="preserve">Reconoce y aplica las normas del derecho internacional, general y americano, en la medida en que sus poderes públicos las hayan adoptado; </w:t>
      </w:r>
      <w:r w:rsidRPr="00526134">
        <w:rPr>
          <w:b/>
        </w:rPr>
        <w:t>2)</w:t>
      </w:r>
      <w:r w:rsidRPr="00526134">
        <w:t xml:space="preserve"> Las normas vigentes de convenios internacionales ratificados regirán en el ámbito interno, una vez publicados de manera oficial; </w:t>
      </w:r>
      <w:r w:rsidRPr="00526134">
        <w:rPr>
          <w:b/>
        </w:rPr>
        <w:t xml:space="preserve">3) </w:t>
      </w:r>
      <w:r w:rsidRPr="00526134">
        <w:t xml:space="preserve">Las relaciones internacionales de la República Dominicana se fundamentan y rigen por la afirmación y promoción de sus valores e intereses nacionales, el respeto a los derechos humanos y al derecho internacional; </w:t>
      </w:r>
      <w:r w:rsidRPr="00526134">
        <w:rPr>
          <w:b/>
        </w:rPr>
        <w:t>4)</w:t>
      </w:r>
      <w:r w:rsidRPr="00526134">
        <w:t xml:space="preserve"> En igualdad de condiciones con otros Estados, la República Dominicana acepta un ordenamiento jurídico internacional que garantice el respeto de los derechos fundamentales, la paz, la justicia, y el desarrollo político, social, económico y cultural de las naciones. Se compromete a actuar en el plano internacional, regional y nacional de modo compatible con los intereses nacionales, la convivencia pacífica entre los pueblos y los deberes de solidaridad con todas las naciones; </w:t>
      </w:r>
      <w:r w:rsidRPr="00526134">
        <w:rPr>
          <w:b/>
        </w:rPr>
        <w:t>5)</w:t>
      </w:r>
      <w:r w:rsidRPr="00526134">
        <w:t xml:space="preserve"> La República Dominicana promoverá y favorecerá la integración con las naciones de América, a fin de fortalecer una comunidad de naciones que defienda los intereses de la región. El Estado podrá suscribir tratados internacionales para promover el desarrollo común de las naciones, que aseguren el bienestar de los pueblos y la seguridad colectiva de sus habitantes, y para atribuir a organizaciones supranacionales las competencias requeridas para participar en procesos de integración;</w:t>
      </w:r>
    </w:p>
  </w:endnote>
  <w:endnote w:id="16">
    <w:p w14:paraId="7E74F1F8" w14:textId="77777777" w:rsidR="00DF3AFC" w:rsidRPr="00526134" w:rsidRDefault="00DF3AFC" w:rsidP="00575693">
      <w:pPr>
        <w:pStyle w:val="Textonotapie"/>
      </w:pPr>
      <w:r w:rsidRPr="00526134">
        <w:rPr>
          <w:rStyle w:val="Refdenotaalfinal"/>
          <w:sz w:val="14"/>
          <w:szCs w:val="14"/>
        </w:rPr>
        <w:endnoteRef/>
      </w:r>
      <w:r w:rsidRPr="00526134">
        <w:rPr>
          <w:rStyle w:val="Refdenotaalfinal"/>
          <w:sz w:val="14"/>
          <w:szCs w:val="14"/>
        </w:rPr>
        <w:t xml:space="preserve"> </w:t>
      </w:r>
      <w:r w:rsidRPr="00526134">
        <w:rPr>
          <w:b/>
        </w:rPr>
        <w:t>LOEND: Objetivo 1.4.2.4</w:t>
      </w:r>
      <w:r w:rsidRPr="00526134">
        <w:t xml:space="preserve">. Implementar adecuada y eficientemente los convenios, pactos y tratados internacionales asumidos por el Estado dominicano. </w:t>
      </w:r>
    </w:p>
  </w:endnote>
  <w:endnote w:id="17">
    <w:p w14:paraId="6773BF63" w14:textId="77777777" w:rsidR="00DF3AFC" w:rsidRPr="00526134" w:rsidRDefault="00DF3AFC" w:rsidP="00575693">
      <w:pPr>
        <w:pStyle w:val="Textonotapie"/>
        <w:rPr>
          <w:rFonts w:eastAsia="Cambria" w:cs="Cambria"/>
          <w:color w:val="000000"/>
          <w:lang w:val="es-DO" w:eastAsia="es-DO"/>
        </w:rPr>
      </w:pPr>
      <w:r w:rsidRPr="00526134">
        <w:rPr>
          <w:rStyle w:val="Refdenotaalfinal"/>
          <w:sz w:val="14"/>
          <w:szCs w:val="14"/>
        </w:rPr>
        <w:endnoteRef/>
      </w:r>
      <w:r w:rsidRPr="00526134">
        <w:rPr>
          <w:rStyle w:val="Refdenotaalfinal"/>
          <w:sz w:val="14"/>
          <w:szCs w:val="14"/>
        </w:rPr>
        <w:t xml:space="preserve"> </w:t>
      </w:r>
      <w:r w:rsidRPr="00526134">
        <w:rPr>
          <w:rFonts w:eastAsia="Cambria" w:cs="Cambria"/>
          <w:b/>
          <w:color w:val="000000"/>
          <w:lang w:val="es-DO" w:eastAsia="es-DO"/>
        </w:rPr>
        <w:t>Ley 64-00, Artículo 14.-</w:t>
      </w:r>
      <w:r w:rsidRPr="00526134">
        <w:rPr>
          <w:rFonts w:eastAsia="Cambria" w:cs="Cambria"/>
          <w:color w:val="000000"/>
          <w:lang w:val="es-DO" w:eastAsia="es-DO"/>
        </w:rPr>
        <w:t xml:space="preserve"> La política nacional sobre medio ambiente y recursos naturales deberá fundamentarse y respetar los principios establecidos en la presente ley y conforme a los compromisos internacionales contraídos por el Estado Dominicano. </w:t>
      </w:r>
      <w:r w:rsidRPr="00526134">
        <w:rPr>
          <w:rFonts w:eastAsia="Cambria" w:cs="Cambria"/>
          <w:b/>
          <w:color w:val="000000"/>
          <w:lang w:val="es-DO" w:eastAsia="es-DO"/>
        </w:rPr>
        <w:t>Articulo. 18, numeral 21</w:t>
      </w:r>
      <w:r w:rsidRPr="00526134">
        <w:rPr>
          <w:rFonts w:eastAsia="Cambria" w:cs="Cambria"/>
          <w:color w:val="000000"/>
          <w:lang w:val="es-DO" w:eastAsia="es-DO"/>
        </w:rPr>
        <w:t xml:space="preserve">: Proponer al Poder Ejecutivo las posiciones nacionales </w:t>
      </w:r>
      <w:r w:rsidRPr="00526134">
        <w:rPr>
          <w:rFonts w:eastAsia="Cambria" w:cs="Cambria"/>
          <w:color w:val="000000"/>
          <w:lang w:val="es-DO" w:eastAsia="es-DO"/>
        </w:rPr>
        <w:t>en relación a negociaciones internacionales sobre temas ambientales y sobre la participación nacional en las conferencias de las partes de los convenios ambientales internacionales; proponer la suscripción y ratificación; ser el punto focal de los mismos; y representar al país en los foros y organismos ambientales internacionales en coordinación con la Secretaría de Estado de Relaciones Exteriores;</w:t>
      </w:r>
    </w:p>
  </w:endnote>
  <w:endnote w:id="18">
    <w:p w14:paraId="5E822263" w14:textId="77777777" w:rsidR="00DF3AFC" w:rsidRPr="00526134" w:rsidRDefault="00DF3AFC" w:rsidP="00575693">
      <w:pPr>
        <w:pStyle w:val="Textonotapie"/>
      </w:pPr>
      <w:r w:rsidRPr="00526134">
        <w:rPr>
          <w:rStyle w:val="Refdenotaalfinal"/>
          <w:sz w:val="14"/>
          <w:szCs w:val="14"/>
        </w:rPr>
        <w:endnoteRef/>
      </w:r>
      <w:r w:rsidRPr="00526134">
        <w:rPr>
          <w:lang w:val="es-ES"/>
        </w:rPr>
        <w:t xml:space="preserve"> </w:t>
      </w:r>
      <w:r w:rsidRPr="00526134">
        <w:rPr>
          <w:b/>
        </w:rPr>
        <w:t>NTMF. Principio 1. Observación de las Leyes y Principio.</w:t>
      </w:r>
      <w:r w:rsidRPr="00526134">
        <w:t xml:space="preserve"> El Manejo Forestal deberá ajustarse a las leyes nacionales, los tratados y los acuerdos internacionales ratificados por el país que regulen la actividad forestal y deberá cumplir con los principios, criterios y normas aprobados por la secretaria de estado de Medio Ambiente y Recursos Naturales.</w:t>
      </w:r>
    </w:p>
  </w:endnote>
  <w:endnote w:id="19">
    <w:p w14:paraId="13328B49" w14:textId="1CCA99EA" w:rsidR="00DF3AFC" w:rsidRPr="00526134" w:rsidRDefault="00DF3AFC" w:rsidP="00302CD1">
      <w:pPr>
        <w:pStyle w:val="Textonotapie"/>
      </w:pPr>
      <w:r w:rsidRPr="00526134">
        <w:rPr>
          <w:rStyle w:val="Refdenotaalfinal"/>
          <w:sz w:val="14"/>
          <w:szCs w:val="14"/>
        </w:rPr>
        <w:endnoteRef/>
      </w:r>
      <w:r w:rsidRPr="00526134">
        <w:rPr>
          <w:lang w:val="es-ES"/>
        </w:rPr>
        <w:t xml:space="preserve"> </w:t>
      </w:r>
      <w:r w:rsidRPr="00526134">
        <w:rPr>
          <w:b/>
          <w:lang w:val="es-ES"/>
        </w:rPr>
        <w:t xml:space="preserve">CPD: </w:t>
      </w:r>
      <w:r w:rsidRPr="00526134">
        <w:rPr>
          <w:b/>
        </w:rPr>
        <w:t>Artículo</w:t>
      </w:r>
      <w:r w:rsidRPr="00526134">
        <w:rPr>
          <w:b/>
          <w:lang w:val="es-ES"/>
        </w:rPr>
        <w:t xml:space="preserve"> 49:</w:t>
      </w:r>
      <w:r w:rsidRPr="00526134">
        <w:rPr>
          <w:lang w:val="es-ES"/>
        </w:rPr>
        <w:t xml:space="preserve"> </w:t>
      </w:r>
      <w:r w:rsidRPr="00526134">
        <w:t>Toda persona tiene derecho a la información. Este derecho comprende buscar, investigar, recibir y difundir información de todo tipo, de carácter público, por cualquier medio, canal o vía, conforme determinan la Constitución y la ley; La</w:t>
      </w:r>
      <w:r w:rsidRPr="00526134">
        <w:rPr>
          <w:lang w:val="es-ES"/>
        </w:rPr>
        <w:t xml:space="preserve"> LDPRAPA   y la LOAP  también reconocen y promueve el derecho de libre acceso a la información. </w:t>
      </w:r>
      <w:r w:rsidRPr="00526134">
        <w:rPr>
          <w:b/>
          <w:lang w:val="es-ES"/>
        </w:rPr>
        <w:t xml:space="preserve">LDPRAPA: </w:t>
      </w:r>
      <w:r w:rsidRPr="00526134">
        <w:rPr>
          <w:b/>
        </w:rPr>
        <w:t>Artículo 4.</w:t>
      </w:r>
      <w:r w:rsidRPr="00526134">
        <w:t xml:space="preserve"> Derecho a la buena administración y derechos de las personas en sus relaciones con la Administración Pública. Se reconoce el derecho de las personas a una buena Administración Pública, que se concreta, entre otros, en los siguientes derechos subjetivos de orden administrativo:</w:t>
      </w:r>
      <w:r w:rsidRPr="00526134">
        <w:rPr>
          <w:lang w:val="es-ES"/>
        </w:rPr>
        <w:t xml:space="preserve"> Derecho de acceso a la información de la Administración, en los términos establecidos en la ley que regula la materia.</w:t>
      </w:r>
      <w:r w:rsidRPr="00526134">
        <w:rPr>
          <w:b/>
          <w:lang w:val="es-ES"/>
        </w:rPr>
        <w:t xml:space="preserve"> LOAP: </w:t>
      </w:r>
      <w:r w:rsidRPr="00526134">
        <w:rPr>
          <w:b/>
        </w:rPr>
        <w:t>Artículo</w:t>
      </w:r>
      <w:r w:rsidRPr="00526134">
        <w:rPr>
          <w:b/>
          <w:lang w:val="es-ES"/>
        </w:rPr>
        <w:t xml:space="preserve"> 12. Numeral 12.</w:t>
      </w:r>
      <w:r w:rsidRPr="00526134">
        <w:rPr>
          <w:lang w:val="es-ES"/>
        </w:rPr>
        <w:t xml:space="preserve"> </w:t>
      </w:r>
      <w:r w:rsidRPr="00526134">
        <w:t>Todos los reglamentos, resoluciones y demás actos administrativos de carácter normativo o general dictados por la Administración Pública deberán ser publicados, sin excepción, en el medio que determine la ley, y se les dará la más amplia difusión posible. Los procedimientos administrativos se realizarán de manera que permitan y promuevan el conocimiento de los contenidos y fundamentos de las decisiones y actuaciones que se adopten.</w:t>
      </w:r>
    </w:p>
  </w:endnote>
  <w:endnote w:id="20">
    <w:p w14:paraId="15161E0E" w14:textId="77777777" w:rsidR="00DF3AFC" w:rsidRPr="00526134" w:rsidRDefault="00DF3AFC" w:rsidP="00302CD1">
      <w:pPr>
        <w:pStyle w:val="Textonotapie"/>
      </w:pPr>
      <w:r w:rsidRPr="00526134">
        <w:rPr>
          <w:rStyle w:val="footnotemark"/>
          <w:rFonts w:ascii="Calibri" w:hAnsi="Calibri"/>
          <w:sz w:val="14"/>
          <w:szCs w:val="14"/>
        </w:rPr>
        <w:endnoteRef/>
      </w:r>
      <w:r w:rsidRPr="00526134">
        <w:t xml:space="preserve"> </w:t>
      </w:r>
      <w:r w:rsidRPr="00526134">
        <w:rPr>
          <w:b/>
        </w:rPr>
        <w:t>LGLAIP: Artículo 4.-</w:t>
      </w:r>
      <w:r w:rsidRPr="00526134">
        <w:t xml:space="preserve"> La obligación de rendir información a quien la solicite, se extiende a todo organismo legalmente constituido o en formación, que sea destinatario de fondos públicos, incluyendo los partidos políticos constituidos o en formación, en cuyo caso la información incluirá la identidad de los contribuyentes, origen y destino de los fondos de operación y manejo. </w:t>
      </w:r>
    </w:p>
  </w:endnote>
  <w:endnote w:id="21">
    <w:p w14:paraId="0C8BAAD9" w14:textId="77777777" w:rsidR="00DF3AFC" w:rsidRPr="00526134" w:rsidRDefault="00DF3AFC" w:rsidP="00302CD1">
      <w:pPr>
        <w:pStyle w:val="Textonotapie"/>
      </w:pPr>
      <w:r w:rsidRPr="00526134">
        <w:rPr>
          <w:rStyle w:val="Refdenotaalfinal"/>
          <w:sz w:val="14"/>
          <w:szCs w:val="14"/>
        </w:rPr>
        <w:endnoteRef/>
      </w:r>
      <w:r w:rsidRPr="00526134">
        <w:rPr>
          <w:lang w:val="es-DO"/>
        </w:rPr>
        <w:t xml:space="preserve"> </w:t>
      </w:r>
      <w:r w:rsidRPr="00526134">
        <w:rPr>
          <w:b/>
        </w:rPr>
        <w:t>LGLAIP: Artículo 1.-</w:t>
      </w:r>
      <w:r w:rsidRPr="00526134">
        <w:t xml:space="preserve">  Toda persona tiene derecho a solicitar y a recibir información completa, veraz, adecuada y oportuna, de cualquier órgano del Estado Dominicano, y de todas las sociedades anónimas, compañías anónimas o compañías por acciones con participación estatal, incluyendo: </w:t>
      </w:r>
      <w:r w:rsidRPr="00526134">
        <w:rPr>
          <w:b/>
        </w:rPr>
        <w:t>a.</w:t>
      </w:r>
      <w:r w:rsidRPr="00526134">
        <w:t xml:space="preserve"> Organismos y entidades de la administración pública centralizada; </w:t>
      </w:r>
      <w:r w:rsidRPr="00526134">
        <w:rPr>
          <w:b/>
        </w:rPr>
        <w:t>b.</w:t>
      </w:r>
      <w:r w:rsidRPr="00526134">
        <w:t xml:space="preserve"> Organismos y entidades autónomas y/o descentralizadas del Estado, incluyendo el Distrito Nacional y los organismos municipales; </w:t>
      </w:r>
      <w:r w:rsidRPr="00526134">
        <w:rPr>
          <w:b/>
        </w:rPr>
        <w:t xml:space="preserve">c. </w:t>
      </w:r>
      <w:r w:rsidRPr="00526134">
        <w:t>Organismos y entidades autárquicos y/o descentralizados del Estado;</w:t>
      </w:r>
      <w:r w:rsidRPr="00526134">
        <w:rPr>
          <w:b/>
        </w:rPr>
        <w:t xml:space="preserve"> d. </w:t>
      </w:r>
      <w:r w:rsidRPr="00526134">
        <w:t xml:space="preserve">Empresas y sociedades comerciales propiedad del Estado; </w:t>
      </w:r>
      <w:r w:rsidRPr="00526134">
        <w:rPr>
          <w:b/>
        </w:rPr>
        <w:t>e.</w:t>
      </w:r>
      <w:r w:rsidRPr="00526134">
        <w:t xml:space="preserve"> Sociedades anónimas, compañías anónimas y compañías por acciones con participación estatal;</w:t>
      </w:r>
      <w:r w:rsidRPr="00526134">
        <w:rPr>
          <w:b/>
        </w:rPr>
        <w:t xml:space="preserve"> f. </w:t>
      </w:r>
      <w:r w:rsidRPr="00526134">
        <w:t>Organismos e instituciones de derecho privado que reciban recursos provenientes del Presupuesto Nacional para la consecución de sus fines;</w:t>
      </w:r>
      <w:r w:rsidRPr="00526134">
        <w:rPr>
          <w:b/>
        </w:rPr>
        <w:t xml:space="preserve"> g. </w:t>
      </w:r>
      <w:r w:rsidRPr="00526134">
        <w:t xml:space="preserve">El Poder Legislativo, en cuanto a sus actividades administrativas; </w:t>
      </w:r>
      <w:r w:rsidRPr="00526134">
        <w:rPr>
          <w:b/>
        </w:rPr>
        <w:t>h.</w:t>
      </w:r>
      <w:r w:rsidRPr="00526134">
        <w:t xml:space="preserve"> El Poder Judicial, en cuanto a sus actividades administrativas. </w:t>
      </w:r>
      <w:r w:rsidRPr="00526134">
        <w:rPr>
          <w:b/>
        </w:rPr>
        <w:t>Artículo 2:</w:t>
      </w:r>
      <w:r w:rsidRPr="00526134">
        <w:t xml:space="preserve"> Este derecho de información comprende el derecho de acceder a las informaciones contenidas en actas y expedientes de la administración pública, así como a estar informada periódicamente, cuando lo requiera, de las actividades que desarrollan entidades y personas que cumplen funciones públicas, siempre y cuando este acceso no afecte la seguridad nacional, el orden público, la salud o la moral públicas o el derecho a la privacidad e intimidad de un tercero o el derecho a la reputación de los demás. También comprende la libertad de buscar, solicitar, recibir y difundir informaciones pertenecientes a la administración del Estado y de formular consultas a las entidades y personas que cumplen funciones públicas, teniendo derecho a obtener copia de los documentos que recopilen información sobre el ejercicio de las actividades de su competencia, con las únicas limitaciones, restricciones y condiciones establecidas en la presente ley. </w:t>
      </w:r>
      <w:r w:rsidRPr="00526134">
        <w:rPr>
          <w:b/>
        </w:rPr>
        <w:t>Reglamento LGLAIP: Artículo 2</w:t>
      </w:r>
      <w:r w:rsidRPr="00526134">
        <w:t xml:space="preserve"> :El Estado Dominicano en su conjunto, con los organismos, instituciones y entidades descriptos en el Artículo 1 de la LGLAIP, todo organismo legalmente constituido o en formación que sea destinatario de fondos públicos - incluyendo los partidos políticos constituidos o en formación - y cualquier otro órgano, entidad o persona que ejerza funciones públicas o ejecute presupuesto públicos, interpretarán la Ley y el presente reglamento del modo más favorable al principio de la publicidad y al pleno ejercicio del derecho de acceso a la información. </w:t>
      </w:r>
      <w:r w:rsidRPr="00526134">
        <w:rPr>
          <w:b/>
        </w:rPr>
        <w:t>Artículo 3.-</w:t>
      </w:r>
      <w:r w:rsidRPr="00526134">
        <w:t xml:space="preserve"> Los organismos, instituciones, personas y entidades mencionados en los </w:t>
      </w:r>
      <w:r w:rsidRPr="00526134">
        <w:rPr>
          <w:b/>
        </w:rPr>
        <w:t>Artículos 1, 2 y 4 de la LGLAIP</w:t>
      </w:r>
      <w:r w:rsidRPr="00526134">
        <w:t xml:space="preserve"> tienen la obligación de proveer la información solicitada, siempre que esta no se encuentre sujeta a algunas de las excepciones taxativamente previstas en la LGLAIP y que ello no implique la obligación de crear o producir información con la que no se cuente al momento de efectuarse el pedido, salvo que encuentren legalmente obligados a producirla, en cuyo caso deben proveerla.</w:t>
      </w:r>
    </w:p>
  </w:endnote>
  <w:endnote w:id="22">
    <w:p w14:paraId="6525FD4E" w14:textId="77777777" w:rsidR="00DF3AFC" w:rsidRPr="00526134" w:rsidRDefault="00DF3AFC" w:rsidP="00302CD1">
      <w:pPr>
        <w:pStyle w:val="Textonotapie"/>
      </w:pPr>
      <w:r w:rsidRPr="00526134">
        <w:rPr>
          <w:rStyle w:val="Refdenotaalfinal"/>
          <w:sz w:val="14"/>
          <w:szCs w:val="14"/>
        </w:rPr>
        <w:endnoteRef/>
      </w:r>
      <w:r w:rsidRPr="00526134">
        <w:rPr>
          <w:lang w:val="es-ES"/>
        </w:rPr>
        <w:t xml:space="preserve"> </w:t>
      </w:r>
      <w:r w:rsidRPr="00526134">
        <w:rPr>
          <w:b/>
        </w:rPr>
        <w:t>Ley NO. 64-00 Artículo. 6.:</w:t>
      </w:r>
      <w:r w:rsidRPr="00526134">
        <w:t xml:space="preserve"> La libertad de 1os ciudadanos en el uso de los recursos naturales se basa en el derecho de toda persona a disfrutar de un medio ambiente sano. El Estado garantizara la participación de las comunidades y 1os habitantes del país en la conservación, gestión y uso sostenible de los recursos naturales y el medio ambiente, así como el acceso a información veraz y oportuna sobre la situación y el estado de </w:t>
      </w:r>
      <w:r w:rsidRPr="00526134">
        <w:t xml:space="preserve">los mismos. </w:t>
      </w:r>
    </w:p>
  </w:endnote>
  <w:endnote w:id="23">
    <w:p w14:paraId="7D737532" w14:textId="408D6181" w:rsidR="00DF3AFC" w:rsidRPr="00526134" w:rsidRDefault="00DF3AFC" w:rsidP="00302CD1">
      <w:pPr>
        <w:pStyle w:val="Textonotapie"/>
      </w:pPr>
      <w:r w:rsidRPr="00526134">
        <w:rPr>
          <w:rStyle w:val="Refdenotaalfinal"/>
          <w:sz w:val="14"/>
          <w:szCs w:val="14"/>
        </w:rPr>
        <w:endnoteRef/>
      </w:r>
      <w:r w:rsidRPr="00526134">
        <w:t xml:space="preserve"> Este aspecto está regulado de manera general en el Artículo 23 de la Ley LGLAIP, pero la Ley 64-00, en el Artículo 24, se refiere también al mismo tópico, planteándose así el Marco Legal que exige a las instituciones públicas proporcionar información que explique las leyes, regulaciones y procedimientos relacionados con la gestión de los bosques. Estableciendo la obligación de publicar normas de carácter general, que regulen la forma de prestación y acceso a los servicios públicos. Como medio se prevé usar los portales de internet, en los cuales se tendrá que incluir un lugar específico para que los ciudadanos puedan obtener información sobre los proyectos de reglamentación, de regulación de servicios, de actos y comunicaciones de valor general.  </w:t>
      </w:r>
      <w:r w:rsidRPr="00526134">
        <w:rPr>
          <w:b/>
        </w:rPr>
        <w:t>Ley 64-00, Artículo 24.-</w:t>
      </w:r>
      <w:r w:rsidRPr="00526134">
        <w:t xml:space="preserve"> Para garantizar el diseño y eficaz ejecución de las políticas, planes, programas y proyectos relativos al medio ambiente y los recursos naturales, habrá un sistema con funciones de formulación, orientación y coordinación denominado Sistema Nacional de Gestión Ambiental y de Recursos Naturales. </w:t>
      </w:r>
      <w:r w:rsidRPr="00526134">
        <w:rPr>
          <w:b/>
        </w:rPr>
        <w:t>Párrafo. -</w:t>
      </w:r>
      <w:r w:rsidRPr="00526134">
        <w:t> El Sistema Nacional de Gestión Ambiental y Recursos Naturales constituye el conjunto de orientaciones, normas, actividades, recursos, proyectos, programas e instituciones que hacen posible la aplicación, ejecución, implantación y puesta en marcha de los principios, políticas, estrategias y disposiciones adoptados por los poderes públicos relativos al medio ambiente y los recursos naturales.</w:t>
      </w:r>
    </w:p>
  </w:endnote>
  <w:endnote w:id="24">
    <w:p w14:paraId="5163F387" w14:textId="77777777" w:rsidR="00DF3AFC" w:rsidRPr="00526134" w:rsidRDefault="00DF3AFC" w:rsidP="00302CD1">
      <w:pPr>
        <w:pStyle w:val="Textonotapie"/>
      </w:pPr>
      <w:r w:rsidRPr="00526134">
        <w:rPr>
          <w:rStyle w:val="Refdenotaalfinal"/>
          <w:sz w:val="14"/>
          <w:szCs w:val="14"/>
        </w:rPr>
        <w:endnoteRef/>
      </w:r>
      <w:r w:rsidRPr="00526134">
        <w:rPr>
          <w:lang w:val="es-DO"/>
        </w:rPr>
        <w:t xml:space="preserve"> </w:t>
      </w:r>
      <w:r w:rsidRPr="00526134">
        <w:rPr>
          <w:b/>
        </w:rPr>
        <w:t>Reglamento LGLAIP, Articulo. 42:</w:t>
      </w:r>
      <w:r w:rsidRPr="00526134">
        <w:t xml:space="preserve"> El Instituto Nacional de Administración Pública (INAP) diseminaría e implementar un plan de capacitación y difusión destinado a concientizar, capacitar y actualizar, a 1os integrantes de las OAI y a 1os servidores públicos en general, en la importancia de la transparencia y en el derecho de acceso a la información, así como en la difusión y aplicación de la LGLAIP y sus normas reglamentarias y concordantes. </w:t>
      </w:r>
      <w:r w:rsidRPr="00526134">
        <w:rPr>
          <w:b/>
        </w:rPr>
        <w:t xml:space="preserve">Artículo 43: </w:t>
      </w:r>
      <w:r w:rsidRPr="00526134">
        <w:t xml:space="preserve">La </w:t>
      </w:r>
      <w:r w:rsidRPr="00526134">
        <w:t xml:space="preserve">Secretaria de Estado de Educación promoverá la inclusión, en 1os planes y programas de estudio de todos 1os niveles educativos, de contenidos relacionados con la transparencia en la administración pública y en la sociedad en general y con el ejercicio del derecho de acceso a la información pública en una sociedad democrática. </w:t>
      </w:r>
      <w:r w:rsidRPr="00526134">
        <w:rPr>
          <w:b/>
        </w:rPr>
        <w:t>Artículo 44:</w:t>
      </w:r>
      <w:r w:rsidRPr="00526134">
        <w:t xml:space="preserve"> Todos 1os institutos educativos de nivel terciario, públicos y privados, incluirán en sus actividades curriculares y extracurriculares, contenidos que promuevan la concientización, difusión, investigación y el debate acerca de temas relacionados con la transparencia y el derecho de acceso a la información pública.</w:t>
      </w:r>
    </w:p>
  </w:endnote>
  <w:endnote w:id="25">
    <w:p w14:paraId="02825F55" w14:textId="77777777" w:rsidR="00DF3AFC" w:rsidRPr="00526134" w:rsidRDefault="00DF3AFC" w:rsidP="00302CD1">
      <w:pPr>
        <w:pStyle w:val="Textonotapie"/>
        <w:rPr>
          <w:rFonts w:eastAsia="Cambria" w:cs="Cambria"/>
          <w:color w:val="000000"/>
          <w:lang w:val="es-DO" w:eastAsia="es-DO"/>
        </w:rPr>
      </w:pPr>
      <w:r w:rsidRPr="00526134">
        <w:rPr>
          <w:rStyle w:val="Refdenotaalfinal"/>
          <w:sz w:val="14"/>
          <w:szCs w:val="14"/>
        </w:rPr>
        <w:endnoteRef/>
      </w:r>
      <w:r w:rsidRPr="00526134">
        <w:rPr>
          <w:lang w:val="es-DO"/>
        </w:rPr>
        <w:t xml:space="preserve"> </w:t>
      </w:r>
      <w:r w:rsidRPr="00526134">
        <w:rPr>
          <w:rFonts w:eastAsia="Cambria" w:cs="Cambria"/>
          <w:b/>
          <w:color w:val="000000"/>
          <w:lang w:val="es-DO" w:eastAsia="es-DO"/>
        </w:rPr>
        <w:t>CPD, Articulo. 138: Principios de la Administración Pública.</w:t>
      </w:r>
      <w:r w:rsidRPr="00526134">
        <w:rPr>
          <w:rFonts w:eastAsia="Cambria" w:cs="Cambria"/>
          <w:color w:val="000000"/>
          <w:lang w:val="es-DO" w:eastAsia="es-DO"/>
        </w:rPr>
        <w:t xml:space="preserve"> La Administración Pública está sujeta en su actuación a los principios de eficacia, jerarquía, objetividad, igualdad, transparencia, economía, publicidad y coordinación, con sometimiento pleno al ordenamiento jurídico del Estado.</w:t>
      </w:r>
    </w:p>
  </w:endnote>
  <w:endnote w:id="26">
    <w:p w14:paraId="5E8FF8D3" w14:textId="77777777" w:rsidR="00DF3AFC" w:rsidRPr="00526134" w:rsidRDefault="00DF3AFC" w:rsidP="00302CD1">
      <w:pPr>
        <w:pStyle w:val="Textonotapie"/>
      </w:pPr>
      <w:r w:rsidRPr="00526134">
        <w:rPr>
          <w:rStyle w:val="Refdenotaalfinal"/>
          <w:sz w:val="14"/>
          <w:szCs w:val="14"/>
        </w:rPr>
        <w:endnoteRef/>
      </w:r>
      <w:r w:rsidRPr="00526134">
        <w:t xml:space="preserve"> </w:t>
      </w:r>
      <w:r w:rsidRPr="00526134">
        <w:rPr>
          <w:rFonts w:eastAsia="Cambria" w:cs="Cambria"/>
          <w:b/>
          <w:color w:val="000000"/>
          <w:lang w:val="es-DO" w:eastAsia="es-DO"/>
        </w:rPr>
        <w:t>LOAP, Artículo 12: Principios.</w:t>
      </w:r>
      <w:r w:rsidRPr="00526134">
        <w:rPr>
          <w:rFonts w:eastAsia="Cambria" w:cs="Cambria"/>
          <w:color w:val="000000"/>
          <w:lang w:val="es-DO" w:eastAsia="es-DO"/>
        </w:rPr>
        <w:t xml:space="preserve"> La Administración Pública actúa sometida al ordenamiento jurídico del Estado y se organiza y desarrolla su actividad de acuerdo con los siguientes principios: </w:t>
      </w:r>
      <w:r w:rsidRPr="00526134">
        <w:rPr>
          <w:rFonts w:eastAsia="Cambria" w:cs="Cambria"/>
          <w:b/>
          <w:color w:val="000000"/>
          <w:lang w:val="es-DO" w:eastAsia="es-DO"/>
        </w:rPr>
        <w:t>Principio 10. Principio de rendición de cuentas.</w:t>
      </w:r>
      <w:r w:rsidRPr="00526134">
        <w:rPr>
          <w:rFonts w:eastAsia="Cambria" w:cs="Cambria"/>
          <w:color w:val="000000"/>
          <w:lang w:val="es-DO" w:eastAsia="es-DO"/>
        </w:rPr>
        <w:t xml:space="preserve"> El ejercicio de toda autoridad o función administrativa supone la obligación de las autoridades o funcionarios de la Administración Pública de rendir cuentas por su actuación en los términos y condiciones que determine la ley. </w:t>
      </w:r>
      <w:r w:rsidRPr="00526134">
        <w:rPr>
          <w:rFonts w:eastAsia="Cambria" w:cs="Cambria"/>
          <w:b/>
          <w:color w:val="000000"/>
          <w:lang w:val="es-DO" w:eastAsia="es-DO"/>
        </w:rPr>
        <w:t>Principio 11. Principio de transparencia.</w:t>
      </w:r>
      <w:r w:rsidRPr="00526134">
        <w:rPr>
          <w:rFonts w:eastAsia="Cambria" w:cs="Cambria"/>
          <w:color w:val="000000"/>
          <w:lang w:val="es-DO" w:eastAsia="es-DO"/>
        </w:rPr>
        <w:t xml:space="preserve"> Las personas tienen el derecho de ser informados de manera oportuna, amplia y veraz sobre la actividad administrativa y los resultados de la gestión pública. En consecuencia, los entes públicos establecerán sistemas que suministren a la población la más amplia, oportuna y veraz información sobre sus actividades, con el fin de que se pueda ejercer el control social sobre la gestión pública. Cualquier administrado puede solicitar, de conformidad con la ley, a los entes y órganos de la Administración Pública, la información que desee sobre la actividad de éstos. Todos los entes y órganos de la Administración Pública mantendrán permanentemente actualizadas y a disposición de las personas, en las unidades de información correspondientes, el esquema de su organización, la de los órganos dependientes y la de los organismos autónomos que le están adscritos, así como guías informativas sobre los procedimientos administrativos, servicios y prestaciones aplicables en el ámbito de su competencia.</w:t>
      </w:r>
      <w:r w:rsidRPr="00526134">
        <w:t xml:space="preserve"> </w:t>
      </w:r>
    </w:p>
  </w:endnote>
  <w:endnote w:id="27">
    <w:p w14:paraId="5449924B" w14:textId="370CEC94" w:rsidR="00DF3AFC" w:rsidRPr="00526134" w:rsidRDefault="00DF3AFC" w:rsidP="00302CD1">
      <w:pPr>
        <w:pStyle w:val="Textonotapie"/>
        <w:rPr>
          <w:rFonts w:eastAsia="Cambria" w:cs="Cambria"/>
          <w:color w:val="000000"/>
          <w:lang w:val="es-DO" w:eastAsia="es-DO"/>
        </w:rPr>
      </w:pPr>
      <w:r w:rsidRPr="00526134">
        <w:rPr>
          <w:rStyle w:val="Refdenotaalfinal"/>
          <w:sz w:val="14"/>
          <w:szCs w:val="14"/>
        </w:rPr>
        <w:endnoteRef/>
      </w:r>
      <w:r w:rsidRPr="00526134">
        <w:rPr>
          <w:lang w:val="es-DO"/>
        </w:rPr>
        <w:t xml:space="preserve"> </w:t>
      </w:r>
      <w:r w:rsidRPr="00526134">
        <w:rPr>
          <w:rFonts w:eastAsia="Cambria" w:cs="Cambria"/>
          <w:b/>
          <w:color w:val="000000"/>
          <w:lang w:val="es-DO" w:eastAsia="es-DO"/>
        </w:rPr>
        <w:t>LOEND: Artículo 7</w:t>
      </w:r>
      <w:r w:rsidRPr="00526134">
        <w:rPr>
          <w:rFonts w:eastAsia="Cambria" w:cs="Cambria"/>
          <w:color w:val="000000"/>
          <w:lang w:val="es-DO" w:eastAsia="es-DO"/>
        </w:rPr>
        <w:t>. Primer Eje que procura un Estado Social Democrático de Derecho. - “Un Estado social y democrático de derecho, con instituciones que actúan con ética, transparencia y eficacia al servicio de una sociedad responsable y participativa, que garantiza la seguridad y promueve la equidad, la gobernabilidad, la convivencia pacífica y el desarrollo nacional y local”.</w:t>
      </w:r>
    </w:p>
  </w:endnote>
  <w:endnote w:id="28">
    <w:p w14:paraId="257E1759" w14:textId="77777777" w:rsidR="00DF3AFC" w:rsidRPr="00526134" w:rsidRDefault="00DF3AFC" w:rsidP="00302CD1">
      <w:pPr>
        <w:pStyle w:val="Textonotapie"/>
        <w:rPr>
          <w:rFonts w:eastAsia="Cambria" w:cs="Cambria"/>
          <w:color w:val="000000"/>
          <w:lang w:val="es-DO" w:eastAsia="es-DO"/>
        </w:rPr>
      </w:pPr>
      <w:r w:rsidRPr="00526134">
        <w:rPr>
          <w:rStyle w:val="Refdenotaalfinal"/>
          <w:sz w:val="14"/>
          <w:szCs w:val="14"/>
        </w:rPr>
        <w:endnoteRef/>
      </w:r>
      <w:r w:rsidRPr="00526134">
        <w:t xml:space="preserve"> </w:t>
      </w:r>
      <w:r w:rsidRPr="00526134">
        <w:rPr>
          <w:rFonts w:eastAsia="Cambria" w:cs="Cambria"/>
          <w:b/>
          <w:color w:val="000000"/>
          <w:lang w:val="es-DO" w:eastAsia="es-DO"/>
        </w:rPr>
        <w:t>LOPSP, Artículo. 5:</w:t>
      </w:r>
      <w:r w:rsidRPr="00526134">
        <w:rPr>
          <w:rFonts w:eastAsia="Cambria" w:cs="Cambria"/>
          <w:color w:val="000000"/>
          <w:lang w:val="es-DO" w:eastAsia="es-DO"/>
        </w:rPr>
        <w:t xml:space="preserve"> La Dirección General de Presupuesto es el órgano rector del Sistema de Presupuesto y dependerá de la Secretaría de Estado de Finanzas. Estará a cargo de un </w:t>
      </w:r>
      <w:r w:rsidRPr="00526134">
        <w:rPr>
          <w:rFonts w:eastAsia="Cambria" w:cs="Cambria"/>
          <w:color w:val="000000"/>
          <w:lang w:val="es-DO" w:eastAsia="es-DO"/>
        </w:rPr>
        <w:t xml:space="preserve">Director General, el que será asistido por un Subdirector. Ambos funcionarios serán designados por el Poder Ejecutivo a sugerencia del Secretario de Estado de Finanzas. </w:t>
      </w:r>
      <w:r w:rsidRPr="00526134">
        <w:rPr>
          <w:rFonts w:eastAsia="Cambria" w:cs="Cambria"/>
          <w:b/>
          <w:color w:val="000000"/>
          <w:lang w:val="es-DO" w:eastAsia="es-DO"/>
        </w:rPr>
        <w:t>LCC, Artículo 1: Objeto</w:t>
      </w:r>
      <w:r w:rsidRPr="00526134">
        <w:rPr>
          <w:rFonts w:eastAsia="Cambria" w:cs="Cambria"/>
          <w:color w:val="000000"/>
          <w:lang w:val="es-DO" w:eastAsia="es-DO"/>
        </w:rPr>
        <w:t xml:space="preserve">. La presente ley tiene por objeto establecer las atribuciones y competencias de la Cámara de Cuentas, instituir el Sistema Nacional de Control y Auditoría, armonizar las normas legales relativas al citado Sistema, identificar las instituciones responsables de aplicarlas y jerarquizar su autoridad, facilitar la coordinación interinstitucional, promover la gestión ética, eficiente, eficaz y económica de los administradores de los recursos públicos y facilitar una transparente rendición de cuentas de quienes desempeñan una función pública o reciben recursos públicos. </w:t>
      </w:r>
      <w:r w:rsidRPr="00526134">
        <w:rPr>
          <w:rFonts w:eastAsia="Cambria" w:cs="Cambria"/>
          <w:b/>
          <w:color w:val="000000"/>
          <w:lang w:val="es-DO" w:eastAsia="es-DO"/>
        </w:rPr>
        <w:t>Artículo 5.- Institución.</w:t>
      </w:r>
      <w:r w:rsidRPr="00526134">
        <w:rPr>
          <w:rFonts w:eastAsia="Cambria" w:cs="Cambria"/>
          <w:color w:val="000000"/>
          <w:lang w:val="es-DO" w:eastAsia="es-DO"/>
        </w:rPr>
        <w:t xml:space="preserve"> Se instituye el Sistema Nacional de Control y Auditoría que comprende el conjunto de principios, normas y procedimientos que regulan el control interno institucional y el control externo de la gestión de quienes administran o reciban recursos públicos en entidades sujetas al ámbito de acción de esta ley, con el propósito de lograr el uso ético, eficiente, eficaz y económico de tales recursos y, además, con el debido cuidado del ambiente.   </w:t>
      </w:r>
    </w:p>
    <w:p w14:paraId="71526B79" w14:textId="77777777" w:rsidR="00DF3AFC" w:rsidRPr="00526134" w:rsidRDefault="00DF3AFC" w:rsidP="00302CD1">
      <w:pPr>
        <w:pStyle w:val="Textonotapie"/>
        <w:rPr>
          <w:rFonts w:eastAsia="Cambria" w:cs="Cambria"/>
          <w:color w:val="000000"/>
          <w:lang w:val="es-DO" w:eastAsia="es-DO"/>
        </w:rPr>
      </w:pPr>
      <w:r w:rsidRPr="00526134">
        <w:rPr>
          <w:rFonts w:eastAsia="Cambria" w:cs="Cambria"/>
          <w:color w:val="000000"/>
          <w:lang w:val="es-DO" w:eastAsia="es-DO"/>
        </w:rPr>
        <w:t>Ley que instituye el Sistema Nacional de Control Interno y de la Contraloría General de la República, Art. 1: Finalidad. La presente ley tiene por finalidad instituir el Sistema Nacional de Control Interno, su rectoría y componentes; establecer las atribuciones y facultades de la Contraloría General de la República; regular el control interno de los fondos y recursos públicos y de la gestión pública institucional y su interrelación con la responsabilidad por la función pública, el control externo, el control político y el control social; y, señalar las atribuciones y deberes institucionales en la materia.</w:t>
      </w:r>
    </w:p>
  </w:endnote>
  <w:endnote w:id="29">
    <w:p w14:paraId="01F1FF5D" w14:textId="77777777" w:rsidR="00DF3AFC" w:rsidRPr="00526134" w:rsidRDefault="00DF3AFC" w:rsidP="00302CD1">
      <w:pPr>
        <w:pStyle w:val="Textonotapie"/>
      </w:pPr>
      <w:r w:rsidRPr="00526134">
        <w:rPr>
          <w:rStyle w:val="Refdenotaalfinal"/>
          <w:sz w:val="14"/>
          <w:szCs w:val="14"/>
        </w:rPr>
        <w:endnoteRef/>
      </w:r>
      <w:r w:rsidRPr="00526134">
        <w:rPr>
          <w:lang w:val="es-DO"/>
        </w:rPr>
        <w:t xml:space="preserve"> </w:t>
      </w:r>
      <w:r w:rsidRPr="00526134">
        <w:rPr>
          <w:b/>
        </w:rPr>
        <w:t>CPD, Articulo. 246:</w:t>
      </w:r>
      <w:r w:rsidRPr="00526134">
        <w:t xml:space="preserve"> Control y fiscalización de fondos públicos. El control y fiscalización sobre el patrimonio, los ingresos, gastos y uso de los fondos públicos se llevará a cabo por el Congreso Nacional, la Cámara de Cuentas, la Contraloría General de la República, en el marco de sus respectivas competencias, y por la sociedad a través de los mecanismos establecidos en las leyes. </w:t>
      </w:r>
      <w:r w:rsidRPr="00526134">
        <w:rPr>
          <w:b/>
        </w:rPr>
        <w:t>Artículo  247:</w:t>
      </w:r>
      <w:r w:rsidRPr="00526134">
        <w:t xml:space="preserve"> Control interno. La Contraloría General de la República es el órgano del Poder Ejecutivo rector del control interno, ejerce la fiscalización interna y la evaluación del debido recaudo, manejo, uso e inversión de los recursos públicos y autoriza las órdenes de pago, previa comprobación del cumplimiento de los trámites legales y administrativos, de las instituciones bajo su ámbito, de conformidad con la ley. </w:t>
      </w:r>
    </w:p>
  </w:endnote>
  <w:endnote w:id="30">
    <w:p w14:paraId="3BDE56BF" w14:textId="77777777" w:rsidR="00DF3AFC" w:rsidRPr="00526134" w:rsidRDefault="00DF3AFC" w:rsidP="00302CD1">
      <w:pPr>
        <w:pStyle w:val="Textonotapie"/>
      </w:pPr>
      <w:r w:rsidRPr="00526134">
        <w:rPr>
          <w:rStyle w:val="Refdenotaalfinal"/>
          <w:sz w:val="14"/>
          <w:szCs w:val="14"/>
        </w:rPr>
        <w:endnoteRef/>
      </w:r>
      <w:r w:rsidRPr="00526134">
        <w:rPr>
          <w:lang w:val="es-DO"/>
        </w:rPr>
        <w:t xml:space="preserve"> </w:t>
      </w:r>
      <w:r w:rsidRPr="00526134">
        <w:rPr>
          <w:b/>
        </w:rPr>
        <w:t xml:space="preserve">CPD Articulo 128, Atribuciones del </w:t>
      </w:r>
      <w:r w:rsidRPr="00526134">
        <w:rPr>
          <w:b/>
        </w:rPr>
        <w:t xml:space="preserve">Presidente de la República, </w:t>
      </w:r>
      <w:r w:rsidRPr="00526134">
        <w:t>Numeral 2 En su condición de Jefe de Gobierno tiene la facultad de, Literal g) el poder ejecutivo Someter al Congreso Nacional, a más tardar el primero de octubre de cada año, el Proyecto de Ley de Presupuesto General del Estado para el año siguiente.</w:t>
      </w:r>
      <w:r w:rsidRPr="00526134">
        <w:rPr>
          <w:b/>
        </w:rPr>
        <w:t xml:space="preserve"> Artículo 93.-</w:t>
      </w:r>
      <w:r w:rsidRPr="00526134">
        <w:t xml:space="preserve"> Atribuciones. El Congreso Nacional legisla y fiscaliza en representación del pueblo, le corresponden en consecuencia: </w:t>
      </w:r>
      <w:r w:rsidRPr="00526134">
        <w:rPr>
          <w:b/>
        </w:rPr>
        <w:t xml:space="preserve">i) </w:t>
      </w:r>
      <w:r w:rsidRPr="00526134">
        <w:t xml:space="preserve">Votar anualmente la Ley de Presupuesto General del Estado, así como aprobar o rechazar los gastos extraordinarios para los cuales solicite un crédito el Poder Ejecutivo;  </w:t>
      </w:r>
    </w:p>
  </w:endnote>
  <w:endnote w:id="31">
    <w:p w14:paraId="5BB2AD90" w14:textId="77777777" w:rsidR="00DF3AFC" w:rsidRPr="00526134" w:rsidRDefault="00DF3AFC" w:rsidP="00302CD1">
      <w:pPr>
        <w:pStyle w:val="Textonotapie"/>
        <w:rPr>
          <w:lang w:val="es-DO"/>
        </w:rPr>
      </w:pPr>
      <w:r w:rsidRPr="00526134">
        <w:rPr>
          <w:rStyle w:val="Refdenotaalfinal"/>
          <w:sz w:val="14"/>
          <w:szCs w:val="14"/>
        </w:rPr>
        <w:endnoteRef/>
      </w:r>
      <w:r w:rsidRPr="00526134">
        <w:rPr>
          <w:rStyle w:val="Refdenotaalfinal"/>
          <w:sz w:val="14"/>
          <w:szCs w:val="14"/>
          <w:lang w:val="es-DO"/>
        </w:rPr>
        <w:t xml:space="preserve"> </w:t>
      </w:r>
      <w:r w:rsidRPr="00526134">
        <w:rPr>
          <w:b/>
          <w:lang w:val="es-DO"/>
        </w:rPr>
        <w:t xml:space="preserve">LOPSP </w:t>
      </w:r>
      <w:r w:rsidRPr="00526134">
        <w:rPr>
          <w:b/>
        </w:rPr>
        <w:t>Artículo 12.</w:t>
      </w:r>
      <w:r w:rsidRPr="00526134">
        <w:t xml:space="preserve"> Los presupuestos de los organismos públicos deberán expresar las responsabilidades que les han sido asignadas a los mismos en los planes de desarrollo nacional, constituyendo tales presupuestos el plan de acción anual de gobierno. En consecuencia, los presupuestos deberán contener la producción de bienes y servicios y su incidencia en los resultados esperados de las políticas de desarrollo de corto, mediano y largo plazo. </w:t>
      </w:r>
      <w:r w:rsidRPr="00526134">
        <w:rPr>
          <w:b/>
        </w:rPr>
        <w:t xml:space="preserve">Artículo 13. </w:t>
      </w:r>
      <w:r w:rsidRPr="00526134">
        <w:t xml:space="preserve">El Presupuesto Plurianual del Sector Público no financiero será elaborado por la </w:t>
      </w:r>
      <w:r w:rsidRPr="00526134">
        <w:t>Secretaria de Estado de Finanzas y contendrá el marco financiero, los programas y proyectos prioritarios definidos en el Plan Nacional Plurianual del Sector Público, así como la distribución de gastos por Capítulos según grandes agregados económicos. Este presupuesto tendrá una duración de cuatro años y será aprobado por el Consejo Nacional de Desarrollo antes del 15 de octubre del año en que se inicia el periodo de gobierno, siendo actualizado antes del 30 de junio de cada uno de los años subsiguientes. El Presupuesto Plurianual del Sector Público será utilizado como base para la formulación de los presupuestos anuales.</w:t>
      </w:r>
      <w:r w:rsidRPr="00526134">
        <w:rPr>
          <w:lang w:val="es-DO"/>
        </w:rPr>
        <w:t xml:space="preserve"> </w:t>
      </w:r>
      <w:r w:rsidRPr="00526134">
        <w:rPr>
          <w:b/>
        </w:rPr>
        <w:t>Artículo 15.</w:t>
      </w:r>
      <w:r w:rsidRPr="00526134">
        <w:t xml:space="preserve"> Los presupuestos de los organismos públicos deberán comprender y detallar todos los ingresos y gastos, los que figurarán por separado y en sus montos íntegros, sin compensaciones entre sí.</w:t>
      </w:r>
    </w:p>
  </w:endnote>
  <w:endnote w:id="32">
    <w:p w14:paraId="70B9456D" w14:textId="77777777" w:rsidR="00DF3AFC" w:rsidRPr="00526134" w:rsidRDefault="00DF3AFC" w:rsidP="00302CD1">
      <w:pPr>
        <w:pStyle w:val="Textonotapie"/>
      </w:pPr>
      <w:r w:rsidRPr="00526134">
        <w:rPr>
          <w:rStyle w:val="Refdenotaalfinal"/>
          <w:sz w:val="14"/>
          <w:szCs w:val="14"/>
        </w:rPr>
        <w:endnoteRef/>
      </w:r>
      <w:r w:rsidRPr="00526134">
        <w:rPr>
          <w:lang w:val="es-ES"/>
        </w:rPr>
        <w:t xml:space="preserve"> </w:t>
      </w:r>
      <w:r w:rsidRPr="00526134">
        <w:rPr>
          <w:b/>
        </w:rPr>
        <w:t>CPD, Artículo 51:</w:t>
      </w:r>
      <w:r w:rsidRPr="00526134">
        <w:t xml:space="preserve"> Derecho de propiedad. El Estado reconoce y garantiza el derecho de propiedad. La propiedad tiene una función social que implica obligaciones. Toda persona tiene derecho al goce, disfrute y disposición de sus bienes. </w:t>
      </w:r>
      <w:r w:rsidRPr="00526134">
        <w:rPr>
          <w:b/>
        </w:rPr>
        <w:t>1)</w:t>
      </w:r>
      <w:r w:rsidRPr="00526134">
        <w:t xml:space="preserve"> Ninguna persona puede ser privada de su propiedad, sino por causa justificada de utilidad pública o de interés social, previo pago de su justo valor, determinado por acuerdo entre las partes o sentencia de tribunal competente, de conformidad con lo establecido en la ley. En caso de declaratoria de Estado de Emergencia o de Defensa, la indemnización podrá no ser previa; </w:t>
      </w:r>
      <w:r w:rsidRPr="00526134">
        <w:rPr>
          <w:b/>
        </w:rPr>
        <w:t>2)</w:t>
      </w:r>
      <w:r w:rsidRPr="00526134">
        <w:t xml:space="preserve"> El Estado promoverá, de acuerdo con la ley, el acceso a la propiedad, en especial a la propiedad inmobiliaria titulada; </w:t>
      </w:r>
      <w:r w:rsidRPr="00526134">
        <w:rPr>
          <w:b/>
        </w:rPr>
        <w:t>3)</w:t>
      </w:r>
      <w:r w:rsidRPr="00526134">
        <w:t xml:space="preserve"> Se declara de interés social la dedicación de la tierra a fines útiles y la eliminación gradual del latifundio. Es un objetivo principal de la política social del Estado, promover la reforma agraria y la integración de forma efectiva de la población campesina al proceso de desarrollo nacional, mediante el estímulo y la cooperación para la renovación de sus métodos de producción agrícola y su capacitación tecnológica;  </w:t>
      </w:r>
      <w:r w:rsidRPr="00526134">
        <w:rPr>
          <w:b/>
        </w:rPr>
        <w:t>4)</w:t>
      </w:r>
      <w:r w:rsidRPr="00526134">
        <w:t xml:space="preserve"> No habrá confiscación por razones políticas de los bienes de las personas físicas o jurídicas;  </w:t>
      </w:r>
      <w:r w:rsidRPr="00526134">
        <w:rPr>
          <w:b/>
        </w:rPr>
        <w:t>5)</w:t>
      </w:r>
      <w:r w:rsidRPr="00526134">
        <w:t xml:space="preserve"> Sólo podrán ser objeto de confiscación o decomiso, mediante sentencia definitiva, los bienes de personas físicas o jurídicas, nacionales o extranjeras, que tengan su origen en actos ilícitos cometidos contra el patrimonio público, así como los utilizados o provenientes de actividades de tráfico ilícito de estupefacientes y sustancias psicotrópicas o relativas a la delincuencia transnacional organizada y de toda infracción prevista en las leyes penales;  </w:t>
      </w:r>
      <w:r w:rsidRPr="00526134">
        <w:rPr>
          <w:b/>
        </w:rPr>
        <w:t>6)</w:t>
      </w:r>
      <w:r w:rsidRPr="00526134">
        <w:t xml:space="preserve"> La ley establecerá el régimen de administración y disposición de bienes incautados y abandonados en los procesos penales y en los juicios de extinción de dominio, previstos en el ordenamiento jurídico.</w:t>
      </w:r>
    </w:p>
  </w:endnote>
  <w:endnote w:id="33">
    <w:p w14:paraId="0EA957D1" w14:textId="77777777" w:rsidR="00DF3AFC" w:rsidRPr="00526134" w:rsidRDefault="00DF3AFC" w:rsidP="00302CD1">
      <w:pPr>
        <w:pStyle w:val="Textonotapie"/>
      </w:pPr>
      <w:r w:rsidRPr="00526134">
        <w:rPr>
          <w:rStyle w:val="Refdenotaalfinal"/>
          <w:sz w:val="14"/>
          <w:szCs w:val="14"/>
        </w:rPr>
        <w:endnoteRef/>
      </w:r>
      <w:r w:rsidRPr="00526134">
        <w:rPr>
          <w:lang w:val="es-DO"/>
        </w:rPr>
        <w:t xml:space="preserve"> </w:t>
      </w:r>
      <w:r w:rsidRPr="00526134">
        <w:rPr>
          <w:b/>
        </w:rPr>
        <w:t>LRIRD Artículo 1.-</w:t>
      </w:r>
      <w:r w:rsidRPr="00526134">
        <w:t xml:space="preserve"> Objeto de la ley. La presente ley se denomina “Ley de Registro Inmobiliario” y tiene por objeto regular el saneamiento y el registro de todos los derechos reales inmobiliarios, así como las cargas y gravámenes susceptibles de registro en relación con los inmuebles que conforman el territorio de la República Dominicana y garantizar la legalidad de su mutación o afectación con la intervención del Estado a través de los órganos competentes de la Jurisdicción Inmobiliaria. </w:t>
      </w:r>
      <w:r w:rsidRPr="00526134">
        <w:rPr>
          <w:b/>
          <w:lang w:val="es-DO"/>
        </w:rPr>
        <w:t>A</w:t>
      </w:r>
      <w:r w:rsidRPr="00526134">
        <w:rPr>
          <w:b/>
        </w:rPr>
        <w:t>rtículo</w:t>
      </w:r>
      <w:r w:rsidRPr="00526134">
        <w:rPr>
          <w:b/>
          <w:lang w:val="es-DO"/>
        </w:rPr>
        <w:t>. 13.-</w:t>
      </w:r>
      <w:r w:rsidRPr="00526134">
        <w:rPr>
          <w:lang w:val="es-DO"/>
        </w:rPr>
        <w:t xml:space="preserve"> </w:t>
      </w:r>
      <w:r w:rsidRPr="00526134">
        <w:t>Definición y Funciones. La Dirección Nacional de Registro de Títulos es el órgano de carácter nacional dentro de la Jurisdicción Inmobiliaria encargado de coordinar, dirigir y regular el desenvolvimiento de las oficinas de Registro de Títulos, velar por el cumplimiento de esta ley en el ámbito de su competencia y por el cumplimiento del reglamento General de Registros de Títulos.</w:t>
      </w:r>
      <w:r w:rsidRPr="00526134">
        <w:rPr>
          <w:lang w:val="es-DO"/>
        </w:rPr>
        <w:t xml:space="preserve"> </w:t>
      </w:r>
      <w:r w:rsidRPr="00526134">
        <w:rPr>
          <w:b/>
        </w:rPr>
        <w:t>Artículo 21.-</w:t>
      </w:r>
      <w:r w:rsidRPr="00526134">
        <w:t xml:space="preserve"> Posesión. A los fines del saneamiento, hay posesión cuando una persona tiene un inmueble bajo su poder a título de dueño o por otro que ejerce el derecho en su nombre. Para que la posesión sea causa de un derecho de propiedad, debe ser pública, pacífica, inequívoca e ininterrumpida por el tiempo fijado por el Código Civil según la posesión de que se trate. Se consideran actos posesorios cuando los terrenos se hallen cultivados o dedicados a cualquier otro uso lucrativo, la percepción de frutos, la construcción que se haga en el inmueble, la materialización de los límites. </w:t>
      </w:r>
      <w:r w:rsidRPr="00526134">
        <w:rPr>
          <w:b/>
        </w:rPr>
        <w:t>Artículo 22.</w:t>
      </w:r>
      <w:r w:rsidRPr="00526134">
        <w:t xml:space="preserve"> - Pruebas de la posesión. Se admite todo medio de prueba sobre la posesión, pero la sentencia que adjudique la propiedad no puede fundarse únicamente en la prueba testimonial, pudiendo el juez ordenar cualqu</w:t>
      </w:r>
      <w:r>
        <w:t>ier otra medida complementaria.</w:t>
      </w:r>
    </w:p>
  </w:endnote>
  <w:endnote w:id="34">
    <w:p w14:paraId="119AB216" w14:textId="77777777" w:rsidR="00DF3AFC" w:rsidRPr="00526134" w:rsidRDefault="00DF3AFC" w:rsidP="00302CD1">
      <w:pPr>
        <w:pStyle w:val="Textonotapie"/>
        <w:rPr>
          <w:rFonts w:eastAsia="Cambria" w:cs="Cambria"/>
          <w:color w:val="000000"/>
          <w:lang w:val="es-DO" w:eastAsia="es-DO"/>
        </w:rPr>
      </w:pPr>
      <w:r w:rsidRPr="00526134">
        <w:rPr>
          <w:rStyle w:val="Refdenotaalfinal"/>
          <w:sz w:val="14"/>
          <w:szCs w:val="14"/>
        </w:rPr>
        <w:endnoteRef/>
      </w:r>
      <w:r w:rsidRPr="00526134">
        <w:rPr>
          <w:lang w:val="es-DO"/>
        </w:rPr>
        <w:t xml:space="preserve"> </w:t>
      </w:r>
      <w:r w:rsidRPr="00526134">
        <w:rPr>
          <w:rFonts w:eastAsia="Cambria" w:cs="Cambria"/>
          <w:b/>
          <w:color w:val="000000"/>
          <w:lang w:val="es-DO" w:eastAsia="es-DO"/>
        </w:rPr>
        <w:t>LRIRD, principio III:</w:t>
      </w:r>
      <w:r w:rsidRPr="00526134">
        <w:rPr>
          <w:rFonts w:eastAsia="Cambria" w:cs="Cambria"/>
          <w:color w:val="000000"/>
          <w:lang w:val="es-DO" w:eastAsia="es-DO"/>
        </w:rPr>
        <w:t xml:space="preserve"> El Estado Dominicano es el propietario originario de todos los terrenos que conforman el territorio de la República Dominicana. Se registran a nombre del Estado Dominicano todos los terrenos sobre los que nadie pueda probar derecho de propiedad alguno.</w:t>
      </w:r>
    </w:p>
  </w:endnote>
  <w:endnote w:id="35">
    <w:p w14:paraId="76AEC291" w14:textId="77777777" w:rsidR="00DF3AFC" w:rsidRPr="00526134" w:rsidRDefault="00DF3AFC" w:rsidP="00302CD1">
      <w:pPr>
        <w:pStyle w:val="Textonotapie"/>
      </w:pPr>
      <w:r w:rsidRPr="00526134">
        <w:rPr>
          <w:rStyle w:val="footnotemark"/>
          <w:rFonts w:ascii="Calibri" w:hAnsi="Calibri"/>
          <w:sz w:val="14"/>
          <w:szCs w:val="14"/>
        </w:rPr>
        <w:endnoteRef/>
      </w:r>
      <w:r w:rsidRPr="00526134">
        <w:t xml:space="preserve"> </w:t>
      </w:r>
      <w:r w:rsidRPr="00526134">
        <w:rPr>
          <w:b/>
        </w:rPr>
        <w:t>Código Civil, Artículo 547:</w:t>
      </w:r>
      <w:r w:rsidRPr="00526134">
        <w:t xml:space="preserve"> Los frutos naturales e industriales de la tierra; los frutos civiles; las crías de los animales; pertenecen al propietario por derecho de accesión. </w:t>
      </w:r>
      <w:r w:rsidRPr="00526134">
        <w:rPr>
          <w:b/>
        </w:rPr>
        <w:t>Artículo 548.-</w:t>
      </w:r>
      <w:r w:rsidRPr="00526134">
        <w:t xml:space="preserve"> Los frutos que la cosa produce no pertenecen al propietario, sino con la obligación de rembolsar los gastos de labores, trabajos y simientes invertidos por terceras personas. </w:t>
      </w:r>
      <w:r w:rsidRPr="00526134">
        <w:rPr>
          <w:b/>
        </w:rPr>
        <w:t>Artículo 549.-</w:t>
      </w:r>
      <w:r w:rsidRPr="00526134">
        <w:t xml:space="preserve"> El mero poseedor no hace suyos los frutos, si no lo es de buena fe; en caso contrario está obligado a restituir los productos con la cosa, al propietario que la reivindique. </w:t>
      </w:r>
      <w:r w:rsidRPr="00526134">
        <w:rPr>
          <w:b/>
        </w:rPr>
        <w:t>Artículo 550.-</w:t>
      </w:r>
      <w:r w:rsidRPr="00526134">
        <w:t xml:space="preserve"> Se reputa poseedor de buena fe, al que posea como dueño en virtud de un título traslativo de la propiedad, cuyos vicios ignora. Deja de ser de buena fe, desde el momento en que le sean conocidos aquellos vicios. </w:t>
      </w:r>
      <w:r w:rsidRPr="00526134">
        <w:rPr>
          <w:b/>
        </w:rPr>
        <w:t>Artículo 578.-</w:t>
      </w:r>
      <w:r w:rsidRPr="00526134">
        <w:t xml:space="preserve"> El usufructo consiste en el derecho de gozar de cosas cuya propiedad pertenece a otro, como éste mismo; pero conservando la sustancia de aquellas. </w:t>
      </w:r>
      <w:r w:rsidRPr="00526134">
        <w:rPr>
          <w:b/>
        </w:rPr>
        <w:t>Artículo 583.-</w:t>
      </w:r>
      <w:r w:rsidRPr="00526134">
        <w:t xml:space="preserve"> Son frutos naturales: los que la tierra produce espontáneamente. Los esquilmos y las crías de los animales, son también naturales. Son frutos industriales de una finca, los que se consiguen por medio del cultivo. </w:t>
      </w:r>
      <w:r w:rsidRPr="00526134">
        <w:rPr>
          <w:b/>
        </w:rPr>
        <w:t>Artículo 585.-</w:t>
      </w:r>
      <w:r w:rsidRPr="00526134">
        <w:t xml:space="preserve"> Los frutos naturales o industriales, que penden de sus ramas o raíces en el momento que se adquiere el usufructo, pertenecen al usufructuario. Los que se hallan en el mismo estado, en el momento de concluir el usufructo, pertenecen al propietario, sin abono de una ni otra parte de las labores ni semillas; pero sin perjuicio de la porción de frutos que pudiera haber adquirido el colono porcionero, si lo hubiese, al principiar o concluir el usufructo. </w:t>
      </w:r>
      <w:r w:rsidRPr="00526134">
        <w:rPr>
          <w:b/>
        </w:rPr>
        <w:t>Artículo 711.-</w:t>
      </w:r>
      <w:r w:rsidRPr="00526134">
        <w:t xml:space="preserve"> La propiedad de los bienes se adquiere y trasmite por sucesión, por donación entre vivos o testamentaria, y por efecto de obligaciones. </w:t>
      </w:r>
      <w:r w:rsidRPr="00526134">
        <w:rPr>
          <w:b/>
        </w:rPr>
        <w:t>Artículo 712.-</w:t>
      </w:r>
      <w:r w:rsidRPr="00526134">
        <w:t xml:space="preserve"> La propiedad se adquiere también por accesión o incorporación, y por prescripción. </w:t>
      </w:r>
    </w:p>
  </w:endnote>
  <w:endnote w:id="36">
    <w:p w14:paraId="296B26F1" w14:textId="77777777" w:rsidR="00DF3AFC" w:rsidRPr="00526134" w:rsidRDefault="00DF3AFC" w:rsidP="00302CD1">
      <w:pPr>
        <w:pStyle w:val="Textonotapie"/>
      </w:pPr>
      <w:r w:rsidRPr="00526134">
        <w:rPr>
          <w:rStyle w:val="footnotemark"/>
          <w:rFonts w:ascii="Calibri" w:hAnsi="Calibri"/>
          <w:sz w:val="14"/>
          <w:szCs w:val="14"/>
        </w:rPr>
        <w:endnoteRef/>
      </w:r>
      <w:r w:rsidRPr="00526134">
        <w:t xml:space="preserve"> </w:t>
      </w:r>
      <w:r w:rsidRPr="00526134">
        <w:rPr>
          <w:b/>
        </w:rPr>
        <w:t>CPD, Artículo 51:</w:t>
      </w:r>
      <w:r w:rsidRPr="00526134">
        <w:t xml:space="preserve">  Ninguna persona puede ser privada de su propiedad, sino por causa justificada de utilidad pública o de interés social, previo pago de su justo valor, determinado por acuerdo entre las partes o sentencia de tribunal competente, de conformidad con lo establecido en la ley. En caso de declaratoria de Estado de Emergencia o de Defensa, la indemnización podrá no ser previa; </w:t>
      </w:r>
    </w:p>
  </w:endnote>
  <w:endnote w:id="37">
    <w:p w14:paraId="0EC1C58B" w14:textId="77777777" w:rsidR="00DF3AFC" w:rsidRPr="00526134" w:rsidRDefault="00DF3AFC" w:rsidP="00302CD1">
      <w:pPr>
        <w:pStyle w:val="Textonotapie"/>
      </w:pPr>
      <w:r w:rsidRPr="00526134">
        <w:rPr>
          <w:rStyle w:val="footnotemark"/>
          <w:rFonts w:ascii="Calibri" w:hAnsi="Calibri"/>
          <w:sz w:val="14"/>
          <w:szCs w:val="14"/>
        </w:rPr>
        <w:endnoteRef/>
      </w:r>
      <w:r w:rsidRPr="00526134">
        <w:t xml:space="preserve"> </w:t>
      </w:r>
      <w:r w:rsidRPr="00526134">
        <w:rPr>
          <w:b/>
        </w:rPr>
        <w:t xml:space="preserve">RF, Artículo 2: </w:t>
      </w:r>
      <w:r w:rsidRPr="00526134">
        <w:t xml:space="preserve">Para los fines de aplicación del presente Reglamento los términos que se mencionan a continuación tendrán los siguientes significados: w). Terreno de aptitud forestal de propiedad comunal o colectiva: Terrenos pertenecientes a los municipios, asociaciones comunales, asociaciones de productores, asociaciones campesinas y organizaciones no gubernamentales sin fines de lucro, los cuales sean clasificados como tales terrenos; </w:t>
      </w:r>
    </w:p>
  </w:endnote>
  <w:endnote w:id="38">
    <w:p w14:paraId="3AC41EBE" w14:textId="77777777" w:rsidR="00DF3AFC" w:rsidRPr="00526134" w:rsidRDefault="00DF3AFC" w:rsidP="00302CD1">
      <w:pPr>
        <w:pStyle w:val="Textonotapie"/>
      </w:pPr>
      <w:r w:rsidRPr="00526134">
        <w:rPr>
          <w:rStyle w:val="Refdenotaalfinal"/>
          <w:sz w:val="14"/>
          <w:szCs w:val="14"/>
        </w:rPr>
        <w:endnoteRef/>
      </w:r>
      <w:r w:rsidRPr="00526134">
        <w:rPr>
          <w:lang w:val="es-DO"/>
        </w:rPr>
        <w:t xml:space="preserve"> </w:t>
      </w:r>
      <w:r w:rsidRPr="00526134">
        <w:rPr>
          <w:b/>
        </w:rPr>
        <w:t>RF Artículo 2.- Literal w.</w:t>
      </w:r>
      <w:r w:rsidRPr="00526134">
        <w:t xml:space="preserve"> Terreno de aptitud forestal de propiedad comunal o colectiva: Terrenos pertenecientes a los municipios, asociaciones comunales, asociaciones de productores, asociaciones campesinas y organizaciones no gubernamentales sin fines de lucro, los cuales sean clasificados como tales terrenos;</w:t>
      </w:r>
    </w:p>
  </w:endnote>
  <w:endnote w:id="39">
    <w:p w14:paraId="10DC302D" w14:textId="64D72B3A" w:rsidR="00DF3AFC" w:rsidRPr="00526134" w:rsidRDefault="00DF3AFC" w:rsidP="00302CD1">
      <w:pPr>
        <w:pStyle w:val="Textonotapie"/>
      </w:pPr>
      <w:r w:rsidRPr="00526134">
        <w:rPr>
          <w:rStyle w:val="footnotemark"/>
          <w:rFonts w:ascii="Calibri" w:hAnsi="Calibri"/>
          <w:sz w:val="14"/>
          <w:szCs w:val="14"/>
        </w:rPr>
        <w:endnoteRef/>
      </w:r>
      <w:r w:rsidRPr="00526134">
        <w:t xml:space="preserve"> </w:t>
      </w:r>
      <w:r w:rsidRPr="00526134">
        <w:rPr>
          <w:b/>
        </w:rPr>
        <w:t>LGMARENA Artículo 63:</w:t>
      </w:r>
      <w:r w:rsidRPr="00526134">
        <w:t xml:space="preserve"> El Estado reconoce los servicios ambientales que ofrecen los distintos recursos naturales y establecerá un procedimiento para incluir en las cuentas nacionales los valores establecidos. Párrafo. - En caso de recursos naturales propiedad de la nación, el valor de los servicios ambientales que éstos ofrecen serán destinados a asegurar su calidad y cantidad por medio de medidas de conservación y uso sostenible.  </w:t>
      </w:r>
      <w:r w:rsidRPr="00526134">
        <w:rPr>
          <w:b/>
        </w:rPr>
        <w:t>Artículo 64:</w:t>
      </w:r>
      <w:r w:rsidRPr="00526134">
        <w:t xml:space="preserve"> La secretaria de estado de medio ambiente y recursos naturales creará los mecanismos necesarios, y emitirá las normas para el reconocimiento de los servicios ambientales. Cuando estos servicios procedan de recursos de patrimonio de la nación, los beneficios generados deberán reinvertirse en mejorar la calidad del ambiente y en reducir la vulnerabilidad del territorio de donde provengan.  </w:t>
      </w:r>
    </w:p>
  </w:endnote>
  <w:endnote w:id="40">
    <w:p w14:paraId="6A30D6F5" w14:textId="77777777" w:rsidR="00DF3AFC" w:rsidRPr="00526134" w:rsidRDefault="00DF3AFC" w:rsidP="00302CD1">
      <w:pPr>
        <w:pStyle w:val="Textonotapie"/>
      </w:pPr>
      <w:r w:rsidRPr="00526134">
        <w:rPr>
          <w:rStyle w:val="Refdenotaalfinal"/>
          <w:sz w:val="14"/>
          <w:szCs w:val="14"/>
        </w:rPr>
        <w:endnoteRef/>
      </w:r>
      <w:r w:rsidRPr="00526134">
        <w:t xml:space="preserve"> </w:t>
      </w:r>
      <w:r w:rsidRPr="00526134">
        <w:rPr>
          <w:b/>
        </w:rPr>
        <w:t>LSSB, Artículo 1. Objeto</w:t>
      </w:r>
      <w:r w:rsidRPr="00526134">
        <w:t xml:space="preserve">. Esta Ley tiene por objeto: </w:t>
      </w:r>
      <w:r w:rsidRPr="00526134">
        <w:rPr>
          <w:b/>
        </w:rPr>
        <w:t>numeral 5</w:t>
      </w:r>
      <w:r w:rsidRPr="00526134">
        <w:t>. Asegurar la participación justa y equitativa en los beneficios derivados de la utilización de los recursos genéticos.</w:t>
      </w:r>
    </w:p>
  </w:endnote>
  <w:endnote w:id="41">
    <w:p w14:paraId="6EB36013" w14:textId="77777777" w:rsidR="00DF3AFC" w:rsidRPr="00526134" w:rsidRDefault="00DF3AFC" w:rsidP="00302CD1">
      <w:pPr>
        <w:pStyle w:val="Textonotapie"/>
      </w:pPr>
      <w:r w:rsidRPr="00526134">
        <w:rPr>
          <w:rStyle w:val="Refdenotaalfinal"/>
          <w:sz w:val="14"/>
          <w:szCs w:val="14"/>
        </w:rPr>
        <w:endnoteRef/>
      </w:r>
      <w:r w:rsidRPr="00526134">
        <w:t xml:space="preserve"> </w:t>
      </w:r>
      <w:r w:rsidRPr="00526134">
        <w:rPr>
          <w:b/>
        </w:rPr>
        <w:t>LGMARENA Artículo 136.-</w:t>
      </w:r>
      <w:r w:rsidRPr="00526134">
        <w:t xml:space="preserve"> Se declara de alto interés nacional: </w:t>
      </w:r>
      <w:r w:rsidRPr="00526134">
        <w:rPr>
          <w:b/>
        </w:rPr>
        <w:t>1.</w:t>
      </w:r>
      <w:r w:rsidRPr="00526134">
        <w:t xml:space="preserve"> La conservación de las especies de flora y fauna nativas y endémicas, el fomento de su reproducción y multiplicación, así como la preservación de los ecosistemas naturales que sirven de hábitat a aquellas especies de flora y fauna nativas y endémicas cuya supervivencia dependa de los mismos, los cuales serán objeto de rigurosos mecanismos de protección in situ; </w:t>
      </w:r>
      <w:r w:rsidRPr="00526134">
        <w:rPr>
          <w:b/>
        </w:rPr>
        <w:t xml:space="preserve">2. </w:t>
      </w:r>
      <w:r w:rsidRPr="00526134">
        <w:t xml:space="preserve">La identificación, la clasificación, el inventario y el estudio científico de los componentes y los hábitats de las especies que componen la diversidad biológica nacional; </w:t>
      </w:r>
      <w:r w:rsidRPr="00526134">
        <w:rPr>
          <w:b/>
        </w:rPr>
        <w:t xml:space="preserve">3. </w:t>
      </w:r>
      <w:r w:rsidRPr="00526134">
        <w:t xml:space="preserve">Garantizar el mantenimiento del equilibrio apropiado de los ecosistemas representativos de las diversas regiones biogeográficas de la República; </w:t>
      </w:r>
      <w:r w:rsidRPr="00526134">
        <w:rPr>
          <w:b/>
        </w:rPr>
        <w:t xml:space="preserve">4. </w:t>
      </w:r>
      <w:r w:rsidRPr="00526134">
        <w:t xml:space="preserve">Facilitar la continuidad de los procesos evolutivos; </w:t>
      </w:r>
      <w:r w:rsidRPr="00526134">
        <w:rPr>
          <w:b/>
        </w:rPr>
        <w:t>5.</w:t>
      </w:r>
      <w:r w:rsidRPr="00526134">
        <w:t xml:space="preserve"> Promover la defensa colectiva de los componentes ecológicos; y </w:t>
      </w:r>
      <w:r w:rsidRPr="00526134">
        <w:rPr>
          <w:b/>
        </w:rPr>
        <w:t>6.</w:t>
      </w:r>
      <w:r w:rsidRPr="00526134">
        <w:t xml:space="preserve"> Procurar la participación comunitaria en la conservación y la utilización racional de los recursos genéticos, así como asegurar una justa y equitativa distribución de los beneficios que se deriven de su adecuado manejo y utilización.</w:t>
      </w:r>
    </w:p>
  </w:endnote>
  <w:endnote w:id="42">
    <w:p w14:paraId="7279A865" w14:textId="423C5ABD" w:rsidR="00DF3AFC" w:rsidRPr="00526134" w:rsidRDefault="00DF3AFC" w:rsidP="00302CD1">
      <w:pPr>
        <w:pStyle w:val="Textonotapie"/>
      </w:pPr>
      <w:r w:rsidRPr="00526134">
        <w:rPr>
          <w:rStyle w:val="footnotemark"/>
          <w:rFonts w:ascii="Calibri" w:hAnsi="Calibri"/>
          <w:sz w:val="14"/>
          <w:szCs w:val="14"/>
        </w:rPr>
        <w:endnoteRef/>
      </w:r>
      <w:r w:rsidRPr="00526134">
        <w:t xml:space="preserve"> </w:t>
      </w:r>
      <w:r w:rsidRPr="00526134">
        <w:rPr>
          <w:b/>
        </w:rPr>
        <w:t>RF, Artículo 22:</w:t>
      </w:r>
      <w:r w:rsidRPr="00526134">
        <w:t xml:space="preserve"> La Secretaría de Estado de Medio Ambiente y Recursos Naturales es el ente responsable de captar recursos de diferentes fuentes, organizaciones públicas o privadas nacionales o internacionales, para pagar los servicios ambientales previstos en la Ley 64-00. Por lo tanto, le corresponde velar para que mediante la firma de contratos respectivos y el cumplimiento de los procedimientos establecidos, los propietarios o poseedores de bosques y plantaciones forestales reciban o paguen por los servicios ambientales prestados por dichos inmuebles. Art. 23: Todos los beneficiarios de los programas de fomento establecidos en el Reglamento Forestal, destinarán al Fondo Nacional de Medio Ambiente el 15% de sus ingresos por la fijación de dióxido de carbono y otros gases de efecto invernadero como aporte al fomento y protección forestal.  </w:t>
      </w:r>
    </w:p>
  </w:endnote>
  <w:endnote w:id="43">
    <w:p w14:paraId="403E0F52" w14:textId="77777777" w:rsidR="00DF3AFC" w:rsidRPr="00526134" w:rsidRDefault="00DF3AFC" w:rsidP="00302CD1">
      <w:pPr>
        <w:pStyle w:val="Textonotapie"/>
      </w:pPr>
      <w:r w:rsidRPr="00526134">
        <w:rPr>
          <w:rStyle w:val="Refdenotaalfinal"/>
          <w:sz w:val="14"/>
          <w:szCs w:val="14"/>
        </w:rPr>
        <w:endnoteRef/>
      </w:r>
      <w:r w:rsidRPr="00526134">
        <w:rPr>
          <w:lang w:val="es-ES"/>
        </w:rPr>
        <w:t xml:space="preserve"> </w:t>
      </w:r>
      <w:r w:rsidRPr="00526134">
        <w:rPr>
          <w:b/>
        </w:rPr>
        <w:t>La CPD</w:t>
      </w:r>
      <w:r w:rsidRPr="00526134">
        <w:t xml:space="preserve"> reconoce y requiere la igualdad de género, además promueve medidas para erradicar desigualdades y discriminación de género.</w:t>
      </w:r>
    </w:p>
  </w:endnote>
  <w:endnote w:id="44">
    <w:p w14:paraId="27DE9488" w14:textId="77777777" w:rsidR="00DF3AFC" w:rsidRPr="00526134" w:rsidRDefault="00DF3AFC" w:rsidP="00302CD1">
      <w:pPr>
        <w:pStyle w:val="Textonotapie"/>
      </w:pPr>
      <w:r w:rsidRPr="00526134">
        <w:rPr>
          <w:rStyle w:val="Refdenotaalfinal"/>
          <w:sz w:val="14"/>
          <w:szCs w:val="14"/>
        </w:rPr>
        <w:endnoteRef/>
      </w:r>
      <w:r w:rsidRPr="00526134">
        <w:rPr>
          <w:rStyle w:val="Refdenotaalfinal"/>
          <w:sz w:val="14"/>
          <w:szCs w:val="14"/>
          <w:lang w:val="es-DO"/>
        </w:rPr>
        <w:t xml:space="preserve"> </w:t>
      </w:r>
      <w:r w:rsidRPr="00526134">
        <w:t xml:space="preserve">El primer Eje Estratégico de </w:t>
      </w:r>
      <w:r w:rsidRPr="00526134">
        <w:rPr>
          <w:b/>
        </w:rPr>
        <w:t>la END</w:t>
      </w:r>
      <w:r w:rsidRPr="00526134">
        <w:t xml:space="preserve"> plantea la conformación de: “Un Estado social y democrático de derecho, con instituciones que actúan con ética, transparencia y eficacia al servicio de una sociedad responsable y participativa, que garantiza la seguridad y promueve la equidad, la gobernabilidad, la convivencia pacífica y el desarrollo nacional y local</w:t>
      </w:r>
    </w:p>
  </w:endnote>
  <w:endnote w:id="45">
    <w:p w14:paraId="20F4F3C9" w14:textId="77777777" w:rsidR="00DF3AFC" w:rsidRPr="00526134" w:rsidRDefault="00DF3AFC" w:rsidP="00302CD1">
      <w:pPr>
        <w:pStyle w:val="Textonotapie"/>
      </w:pPr>
      <w:r w:rsidRPr="00526134">
        <w:rPr>
          <w:rStyle w:val="Refdenotaalfinal"/>
          <w:sz w:val="14"/>
          <w:szCs w:val="14"/>
        </w:rPr>
        <w:endnoteRef/>
      </w:r>
      <w:r w:rsidRPr="00526134">
        <w:t xml:space="preserve"> </w:t>
      </w:r>
      <w:r w:rsidRPr="00526134">
        <w:rPr>
          <w:b/>
        </w:rPr>
        <w:t>La Ley 86-99</w:t>
      </w:r>
      <w:r w:rsidRPr="00526134">
        <w:t xml:space="preserve"> crea el Ministerio de la Mujer, como organismo responsable de establecer las normas y coordinar la ejecución de políticas, planes y programas a nivel sectorial, interministerial y con la sociedad civil, dirigidos a lograr la equidad de género y el pleno ejercicio de la ciudadanía por parte de las mujeres</w:t>
      </w:r>
    </w:p>
  </w:endnote>
  <w:endnote w:id="46">
    <w:p w14:paraId="70391958" w14:textId="77777777" w:rsidR="00DF3AFC" w:rsidRPr="00526134" w:rsidRDefault="00DF3AFC" w:rsidP="00302CD1">
      <w:pPr>
        <w:pStyle w:val="Textonotapie"/>
      </w:pPr>
      <w:r w:rsidRPr="00526134">
        <w:rPr>
          <w:rStyle w:val="Refdenotaalfinal"/>
          <w:sz w:val="14"/>
          <w:szCs w:val="14"/>
        </w:rPr>
        <w:endnoteRef/>
      </w:r>
      <w:r w:rsidRPr="00526134">
        <w:t xml:space="preserve"> </w:t>
      </w:r>
      <w:r w:rsidRPr="00526134">
        <w:rPr>
          <w:b/>
        </w:rPr>
        <w:t>La Ley 86-99 Artículo 1.-</w:t>
      </w:r>
      <w:r w:rsidRPr="00526134">
        <w:t xml:space="preserve"> Crea el Ministerio de la Mujer, como organismo responsable de establecer las normas y coordinar la ejecución de políticas, planes y programas a nivel sectorial, interministerial y con la sociedad civil, dirigidos a lograr la equidad de género y el pleno ejercicio de la ciudadanía por parte de las mujeres </w:t>
      </w:r>
      <w:r w:rsidRPr="00526134">
        <w:rPr>
          <w:b/>
        </w:rPr>
        <w:t>Artículo 2:</w:t>
      </w:r>
      <w:r w:rsidRPr="00526134">
        <w:t xml:space="preserve"> La Secretaría de Estado de la Mujer tendrá atribuciones que deberán incidir en las áreas siguientes:  A. NORMATIVAS Y RECTORAS: </w:t>
      </w:r>
      <w:r w:rsidRPr="00526134">
        <w:rPr>
          <w:b/>
        </w:rPr>
        <w:t>a)</w:t>
      </w:r>
      <w:r w:rsidRPr="00526134">
        <w:t xml:space="preserve"> Definir las normas y políticas correspondientes y establecer los mecanismos necesarios para operativizar el compromiso del Estado con la erradicación de todas las formas de discriminación en contra de la mujer; </w:t>
      </w:r>
      <w:r w:rsidRPr="00526134">
        <w:rPr>
          <w:b/>
        </w:rPr>
        <w:t xml:space="preserve"> b) </w:t>
      </w:r>
      <w:r w:rsidRPr="00526134">
        <w:t xml:space="preserve">POLITICA INTERNACIONAL: Se tomarán en consideración los acuerdos aprobados en tratados, conferencias, convenciones, cumbres y otras reuniones nacionales e internacionales en beneficio de la mujer, tales como derechos humanos, eliminación de la discriminación, la violencia y, en general, toda la práctica social, política o económica que impida el desarrollo de la mujer.  </w:t>
      </w:r>
      <w:r w:rsidRPr="00526134">
        <w:rPr>
          <w:b/>
        </w:rPr>
        <w:t>Artículo 3:</w:t>
      </w:r>
      <w:r w:rsidRPr="00526134">
        <w:t xml:space="preserve"> Tanto las actividades coordinadas como las de implementación directa se centrarán en torno a las siguientes prioridades temáticas: </w:t>
      </w:r>
      <w:r w:rsidRPr="00526134">
        <w:rPr>
          <w:b/>
        </w:rPr>
        <w:t>c)</w:t>
      </w:r>
      <w:r w:rsidRPr="00526134">
        <w:t xml:space="preserve"> Evaluar los marcos jurídicos existentes y proponer modificaciones legales que erradiquen la discriminación contra la mujer. </w:t>
      </w:r>
      <w:r w:rsidRPr="00526134">
        <w:rPr>
          <w:b/>
        </w:rPr>
        <w:t>e)</w:t>
      </w:r>
      <w:r w:rsidRPr="00526134">
        <w:t xml:space="preserve"> Favorecer cambios en los patrones socioculturales mediante acciones sistemáticas de comunicación, información y educación dirigidas a eliminar los estereotipos discriminatorios y promover la igualdad real de la mujer.  </w:t>
      </w:r>
    </w:p>
  </w:endnote>
  <w:endnote w:id="47">
    <w:p w14:paraId="598E2F11" w14:textId="77777777" w:rsidR="00DF3AFC" w:rsidRPr="00526134" w:rsidRDefault="00DF3AFC" w:rsidP="00302CD1">
      <w:pPr>
        <w:pStyle w:val="Textonotapie"/>
      </w:pPr>
      <w:r w:rsidRPr="00526134">
        <w:rPr>
          <w:rStyle w:val="Refdenotaalfinal"/>
          <w:sz w:val="14"/>
          <w:szCs w:val="14"/>
        </w:rPr>
        <w:endnoteRef/>
      </w:r>
      <w:r w:rsidRPr="00526134">
        <w:rPr>
          <w:lang w:val="es-DO"/>
        </w:rPr>
        <w:t xml:space="preserve"> </w:t>
      </w:r>
      <w:r w:rsidRPr="00526134">
        <w:rPr>
          <w:b/>
        </w:rPr>
        <w:t>La Ley 86-99 Artículo 1, Literal C.</w:t>
      </w:r>
      <w:r w:rsidRPr="00526134">
        <w:t xml:space="preserve"> Sensibilización y Educación de la Sociedad</w:t>
      </w:r>
      <w:r w:rsidRPr="00526134">
        <w:rPr>
          <w:b/>
        </w:rPr>
        <w:t>. a.</w:t>
      </w:r>
      <w:r w:rsidRPr="00526134">
        <w:t xml:space="preserve"> Promover cambios de actitudes, valores y comportamientos que favorezcan el desarrollo de relaciones equitativas entre mujeres y hombres a nivel individual, de pareja, familiar y comunitario, mediante el empleo de medios educativos y de comunicación. De manera particular se promoverán coordinaciones y acciones conjuntas con los medios educativos y de comunicación estatales. </w:t>
      </w:r>
      <w:r w:rsidRPr="00526134">
        <w:rPr>
          <w:b/>
        </w:rPr>
        <w:t>b.</w:t>
      </w:r>
      <w:r w:rsidRPr="00526134">
        <w:t xml:space="preserve"> Capacitar, sensibilizar e informar a las diferentes instancias gubernamentales y de la sociedad civil en torno a la condición y posición de las mujeres dominicanas.</w:t>
      </w:r>
    </w:p>
  </w:endnote>
  <w:endnote w:id="48">
    <w:p w14:paraId="3EB080CF" w14:textId="05262C02" w:rsidR="00DF3AFC" w:rsidRPr="00526134" w:rsidRDefault="00DF3AFC" w:rsidP="00302CD1">
      <w:pPr>
        <w:pStyle w:val="Textonotapie"/>
        <w:rPr>
          <w:lang w:val="es-DO"/>
        </w:rPr>
      </w:pPr>
      <w:r w:rsidRPr="00526134">
        <w:rPr>
          <w:rStyle w:val="Refdenotaalfinal"/>
          <w:sz w:val="14"/>
          <w:szCs w:val="14"/>
        </w:rPr>
        <w:endnoteRef/>
      </w:r>
      <w:r w:rsidRPr="00526134">
        <w:rPr>
          <w:lang w:val="es-ES"/>
        </w:rPr>
        <w:t xml:space="preserve"> </w:t>
      </w:r>
      <w:r w:rsidRPr="00526134">
        <w:rPr>
          <w:b/>
          <w:lang w:val="es-ES"/>
        </w:rPr>
        <w:t>La CPD Articulo 69,</w:t>
      </w:r>
      <w:r w:rsidRPr="00526134">
        <w:rPr>
          <w:lang w:val="es-ES"/>
        </w:rPr>
        <w:t xml:space="preserve"> reconoce que toda persona tiene derecho a obtener tutela judicial efectiva, con respecto del debido proceso. </w:t>
      </w:r>
      <w:r w:rsidRPr="00526134">
        <w:rPr>
          <w:lang w:val="es-DO"/>
        </w:rPr>
        <w:t xml:space="preserve">Toda persona, en el ejercicio de sus derechos e intereses legítimos, tiene derecho a obtener la tutela judicial efectiva, con respeto del debido proceso que estará conformado por las garantías mínimas que se establecen a continuación: </w:t>
      </w:r>
      <w:r w:rsidRPr="00526134">
        <w:rPr>
          <w:b/>
          <w:lang w:val="es-DO"/>
        </w:rPr>
        <w:t>1)</w:t>
      </w:r>
      <w:r w:rsidRPr="00526134">
        <w:rPr>
          <w:lang w:val="es-DO"/>
        </w:rPr>
        <w:t xml:space="preserve"> El derecho a una justicia accesible, oportuna y gratuita; </w:t>
      </w:r>
      <w:r w:rsidRPr="00526134">
        <w:rPr>
          <w:b/>
          <w:lang w:val="es-DO"/>
        </w:rPr>
        <w:t xml:space="preserve">2) </w:t>
      </w:r>
      <w:r w:rsidRPr="00526134">
        <w:rPr>
          <w:lang w:val="es-DO"/>
        </w:rPr>
        <w:t xml:space="preserve">El derecho a ser oída, dentro de un plazo razonable y por una jurisdicción competente, independiente e imparcial, establecida con anterioridad por la ley; </w:t>
      </w:r>
      <w:r w:rsidRPr="00526134">
        <w:rPr>
          <w:b/>
          <w:lang w:val="es-DO"/>
        </w:rPr>
        <w:t>3)</w:t>
      </w:r>
      <w:r w:rsidRPr="00526134">
        <w:rPr>
          <w:lang w:val="es-DO"/>
        </w:rPr>
        <w:t xml:space="preserve"> El derecho a que se presuma su inocencia y a ser tratada como tal, mientras no se haya declarado su culpabilidad por sentencia irrevocable; </w:t>
      </w:r>
      <w:r w:rsidRPr="00526134">
        <w:rPr>
          <w:b/>
          <w:lang w:val="es-DO"/>
        </w:rPr>
        <w:t>4)</w:t>
      </w:r>
      <w:r w:rsidRPr="00526134">
        <w:rPr>
          <w:lang w:val="es-DO"/>
        </w:rPr>
        <w:t xml:space="preserve"> El derecho a un juicio público, oral y contradictorio, en plena igualdad y con respeto al derecho de defensa; </w:t>
      </w:r>
      <w:r w:rsidRPr="00526134">
        <w:rPr>
          <w:b/>
          <w:lang w:val="es-DO"/>
        </w:rPr>
        <w:t>5)</w:t>
      </w:r>
      <w:r w:rsidRPr="00526134">
        <w:rPr>
          <w:lang w:val="es-DO"/>
        </w:rPr>
        <w:t xml:space="preserve"> Ninguna persona puede ser juzgada dos veces por una misma causa; </w:t>
      </w:r>
      <w:r w:rsidRPr="00526134">
        <w:rPr>
          <w:b/>
          <w:lang w:val="es-DO"/>
        </w:rPr>
        <w:t xml:space="preserve">6) </w:t>
      </w:r>
      <w:r w:rsidRPr="00526134">
        <w:rPr>
          <w:lang w:val="es-DO"/>
        </w:rPr>
        <w:t xml:space="preserve">Nadie podrá ser obligado a declarar contra sí mismo; </w:t>
      </w:r>
      <w:r w:rsidRPr="00526134">
        <w:rPr>
          <w:b/>
          <w:lang w:val="es-DO"/>
        </w:rPr>
        <w:t>7)</w:t>
      </w:r>
      <w:r w:rsidRPr="00526134">
        <w:rPr>
          <w:lang w:val="es-DO"/>
        </w:rPr>
        <w:t xml:space="preserve"> Ninguna persona podrá ser juzgada sino conforme a leyes preexistentes al acto que se le imputa, ante juez o tribunal competente y con observancia de la plenitud de las formalidades propias de cada juicio; </w:t>
      </w:r>
      <w:r w:rsidRPr="00526134">
        <w:rPr>
          <w:b/>
          <w:lang w:val="es-DO"/>
        </w:rPr>
        <w:t>8)</w:t>
      </w:r>
      <w:r w:rsidRPr="00526134">
        <w:rPr>
          <w:lang w:val="es-DO"/>
        </w:rPr>
        <w:t xml:space="preserve"> Es nula toda prueba obtenida en violación a la ley; </w:t>
      </w:r>
      <w:r w:rsidRPr="00526134">
        <w:rPr>
          <w:b/>
          <w:lang w:val="es-DO"/>
        </w:rPr>
        <w:t>9)</w:t>
      </w:r>
      <w:r w:rsidRPr="00526134">
        <w:rPr>
          <w:lang w:val="es-DO"/>
        </w:rPr>
        <w:t xml:space="preserve"> Toda sentencia puede ser recurrida de conformidad con la ley. El tribunal superior no podrá agravar la sanción impuesta cuando sólo la persona condenada recurra la sentencia; </w:t>
      </w:r>
      <w:r w:rsidRPr="00526134">
        <w:rPr>
          <w:b/>
          <w:lang w:val="es-DO"/>
        </w:rPr>
        <w:t>10)</w:t>
      </w:r>
      <w:r w:rsidRPr="00526134">
        <w:rPr>
          <w:lang w:val="es-DO"/>
        </w:rPr>
        <w:t xml:space="preserve"> Las normas del debido proceso se aplicarán a toda clase de actuaciones judiciales y administrativas. Específicamente en materia ecológica, la </w:t>
      </w:r>
      <w:r w:rsidRPr="00526134">
        <w:rPr>
          <w:b/>
          <w:lang w:val="es-DO"/>
        </w:rPr>
        <w:t>Ley No.64-00 Artículo 178</w:t>
      </w:r>
      <w:r w:rsidRPr="00526134">
        <w:rPr>
          <w:lang w:val="es-DO"/>
        </w:rPr>
        <w:t xml:space="preserve">  dispone que toda persona o asociación de ciudadanos tiene legitimidad procesal activa para enunciar y querellarse por todo hecho, acción, factor, proceso, o la omisión u obstaculización de ellos, que haya causado, esté causando o pueda causar daño, degradación, menoscabo, contaminación y/o deterioro del medio ambiente y los recursos naturales, también pueden exigir ante la Secretaría de Estado de Medio Ambiente y Recursos Naturales y cualquier otra autoridad competente, o ante la Procuraduría del Medio Ambiente y Recursos Naturales, el cumplimiento de las obligaciones establecidas en la normatividad ambiental y de las obligaciones establecidas por la presente ley y demás leyes ambientales, normas de calidad ambiental, reglamentos, dictámenes y resoluciones, demandando el cese, la corrección, o la reparación de la situación anómala que la impulsa o causa, y las sanciones estipuladas para los infractores.</w:t>
      </w:r>
    </w:p>
    <w:p w14:paraId="144A52AE" w14:textId="77777777" w:rsidR="00DF3AFC" w:rsidRPr="00526134" w:rsidRDefault="00DF3AFC" w:rsidP="00302CD1">
      <w:pPr>
        <w:pStyle w:val="Textonotapie"/>
      </w:pPr>
      <w:r w:rsidRPr="00526134">
        <w:rPr>
          <w:b/>
        </w:rPr>
        <w:t xml:space="preserve">El Reglamento Forestal  Articulo 10: </w:t>
      </w:r>
      <w:r w:rsidRPr="00526134">
        <w:t>La Secretaría de Estado de Medio Ambiente y Recursos Naturales podrá crear Comisiones Forestales Regionales, las cuales serán órganos de concertación y participación en todas las fases de planificación, ejecución y seguimiento de los planes, programas y proyectos dirigidos al desarrollo, fomento y uso sostenible de los recursos forestales de cada región: f) Conciliar conflictos de intereses en el uso de los recursos forestales</w:t>
      </w:r>
      <w:r w:rsidRPr="00526134">
        <w:rPr>
          <w:b/>
        </w:rPr>
        <w:t>;</w:t>
      </w:r>
      <w:r w:rsidRPr="00526134">
        <w:t xml:space="preserve"> </w:t>
      </w:r>
      <w:r w:rsidRPr="00526134">
        <w:rPr>
          <w:b/>
        </w:rPr>
        <w:t>Decreto 694-09, que crea el Sistema 311 de atención ciudadana, Art. 1:</w:t>
      </w:r>
      <w:r w:rsidRPr="00526134">
        <w:t xml:space="preserve"> Se establece el Sistema 311 de Atención Ciudadana como medio principal de comunicación para la recepción y canalización de denuncias, quejas, demandas, reclamaciones y sugerencias por parte de la ciudadanía a la Administración Pública.  </w:t>
      </w:r>
    </w:p>
  </w:endnote>
  <w:endnote w:id="49">
    <w:p w14:paraId="025289A6" w14:textId="3F01095C" w:rsidR="00DF3AFC" w:rsidRPr="00526134" w:rsidRDefault="00DF3AFC" w:rsidP="00302CD1">
      <w:pPr>
        <w:pStyle w:val="Textonotapie"/>
        <w:rPr>
          <w:lang w:val="es-DO"/>
        </w:rPr>
      </w:pPr>
      <w:r w:rsidRPr="00526134">
        <w:rPr>
          <w:rStyle w:val="Refdenotaalfinal"/>
          <w:sz w:val="14"/>
          <w:szCs w:val="14"/>
        </w:rPr>
        <w:endnoteRef/>
      </w:r>
      <w:r w:rsidRPr="00526134">
        <w:rPr>
          <w:lang w:val="es-DO"/>
        </w:rPr>
        <w:t xml:space="preserve"> </w:t>
      </w:r>
      <w:r w:rsidRPr="00526134">
        <w:rPr>
          <w:b/>
          <w:lang w:val="es-DO"/>
        </w:rPr>
        <w:t xml:space="preserve">La </w:t>
      </w:r>
      <w:r>
        <w:rPr>
          <w:b/>
          <w:lang w:val="es-DO"/>
        </w:rPr>
        <w:t>CPD</w:t>
      </w:r>
      <w:r w:rsidRPr="00526134">
        <w:rPr>
          <w:b/>
          <w:lang w:val="es-DO"/>
        </w:rPr>
        <w:t xml:space="preserve"> Articulo 71,</w:t>
      </w:r>
      <w:r w:rsidRPr="00526134">
        <w:rPr>
          <w:lang w:val="es-DO"/>
        </w:rPr>
        <w:t xml:space="preserve"> contiene la acción de hábeas corpus para toda persona privada de su libertad o amenazada de serlo, de manera ilegal, arbitraria o irrazonable, esta acción se ejercita ante un juez o tribunal competente, para que conozca y decida, de forma sencilla, efectiva, rápida y sumaria, la legalidad de la privación o amenaza de su libertad. También prevé la </w:t>
      </w:r>
      <w:r>
        <w:rPr>
          <w:b/>
          <w:lang w:val="es-DO"/>
        </w:rPr>
        <w:t>CPD</w:t>
      </w:r>
      <w:r w:rsidRPr="00526134">
        <w:rPr>
          <w:b/>
          <w:lang w:val="es-DO"/>
        </w:rPr>
        <w:t xml:space="preserve"> Articulo 72</w:t>
      </w:r>
      <w:r w:rsidRPr="00526134">
        <w:rPr>
          <w:lang w:val="es-DO"/>
        </w:rPr>
        <w:t>, la acción de amparo que tiene toda persona para reclamar ante los tribunales, por sí o por quien actúe en su nombre, la protección inmediata de sus derechos fundamentales, no protegidos por el hábeas corpus, cuando resulten vulnerados o amenazados por la acción o la omisión de toda autoridad pública o de particulares, para hacer efectivo el cumplimiento de una ley o acto administrativo, para garantizar los derechos e intereses colectivos y difusos. Así, toda decisión emanada de un tribunal podrá ser recurrida ante un tribunal superior. La Ley sobre los Derechos de las Personas en sus Relaciones con la Administración y de Procedimiento Administrativo dispone que los actos administrativos que pongan fin a un procedimiento, imposibiliten su continuación, produzcan indefensión, lesionen derechos subjetivos o produzcan daños irreparables podrán ser directamente recurridos en vía administrativa.</w:t>
      </w:r>
    </w:p>
  </w:endnote>
  <w:endnote w:id="50">
    <w:p w14:paraId="33774DC4" w14:textId="663153D4" w:rsidR="00DF3AFC" w:rsidRPr="00526134" w:rsidRDefault="00DF3AFC" w:rsidP="00302CD1">
      <w:pPr>
        <w:pStyle w:val="Textonotapie"/>
      </w:pPr>
      <w:r w:rsidRPr="00526134">
        <w:rPr>
          <w:rStyle w:val="Refdenotaalfinal"/>
          <w:sz w:val="14"/>
          <w:szCs w:val="14"/>
        </w:rPr>
        <w:endnoteRef/>
      </w:r>
      <w:r w:rsidRPr="00526134">
        <w:rPr>
          <w:lang w:val="es-DO"/>
        </w:rPr>
        <w:t xml:space="preserve"> </w:t>
      </w:r>
      <w:r w:rsidRPr="00526134">
        <w:rPr>
          <w:b/>
          <w:lang w:val="es-DO"/>
        </w:rPr>
        <w:t>La Ley sobre los Derechos de las Personas en sus Relaciones con la Administración y de Procedimiento Administrativo, Articulo 4, numeral 10,</w:t>
      </w:r>
      <w:r w:rsidRPr="00526134">
        <w:rPr>
          <w:lang w:val="es-DO"/>
        </w:rPr>
        <w:t xml:space="preserve"> reconoce el derecho de las personas a una buena Administración Pública, siendo uno de los derechos subjetivos de orden administrativo, el derecho a una indemnización justa en los casos de lesiones de bienes o derechos como consecuencia de la actividad o inactividad de la Administración. Señala también que son indemnizables los daños de cualquier tipo, patrimonial, físico o moral, por daño emergente o lucro cesante, siempre que sean reales y efectivo, la indemnización podrá sustituirse por una compensación en especie o por pagos periódicos cuando resulte más adecuada para lograr la reparación debida de acuerdo con el interés público siempre que exista conformidad del lesionado. </w:t>
      </w:r>
      <w:r w:rsidRPr="00526134">
        <w:rPr>
          <w:b/>
          <w:lang w:val="es-DO"/>
        </w:rPr>
        <w:t>La Ley No.64-00 Articulo 183, numeral 4,</w:t>
      </w:r>
      <w:r w:rsidRPr="00526134">
        <w:rPr>
          <w:lang w:val="es-DO"/>
        </w:rPr>
        <w:t xml:space="preserve"> prevé la obligación de indemnizar económicamente a las personas que hayan sufrido un daño o prejuicio. </w:t>
      </w:r>
    </w:p>
  </w:endnote>
  <w:endnote w:id="51">
    <w:p w14:paraId="02EF3558" w14:textId="77F83A0C" w:rsidR="00DF3AFC" w:rsidRPr="00526134" w:rsidRDefault="00DF3AFC" w:rsidP="00302CD1">
      <w:pPr>
        <w:pStyle w:val="Textonotapie"/>
        <w:rPr>
          <w:lang w:val="es-DO"/>
        </w:rPr>
      </w:pPr>
      <w:r w:rsidRPr="00526134">
        <w:rPr>
          <w:rStyle w:val="Refdenotaalfinal"/>
          <w:sz w:val="14"/>
          <w:szCs w:val="14"/>
        </w:rPr>
        <w:endnoteRef/>
      </w:r>
      <w:r w:rsidRPr="00526134">
        <w:rPr>
          <w:lang w:val="es-DO"/>
        </w:rPr>
        <w:t xml:space="preserve"> </w:t>
      </w:r>
      <w:r w:rsidRPr="00526134">
        <w:rPr>
          <w:b/>
          <w:lang w:val="es-DO"/>
        </w:rPr>
        <w:t xml:space="preserve">La </w:t>
      </w:r>
      <w:r>
        <w:rPr>
          <w:b/>
          <w:lang w:val="es-DO"/>
        </w:rPr>
        <w:t>CPD</w:t>
      </w:r>
      <w:r w:rsidRPr="00526134">
        <w:rPr>
          <w:b/>
          <w:lang w:val="es-DO"/>
        </w:rPr>
        <w:t xml:space="preserve"> Articulo 149,</w:t>
      </w:r>
      <w:r w:rsidRPr="00526134">
        <w:rPr>
          <w:lang w:val="es-DO"/>
        </w:rPr>
        <w:t xml:space="preserve"> dispone que la justicia se administra gratuitamente, en nombre de la República, por el Poder Judicial, quien lo ejerce por la Suprema Corte de Justicia y los demás tribunales y su función consiste en administrar justicia para decidir sobre los conflictos entre personas físicas o morales, en derecho privado o público, en todo tipo de procesos, juzgando y haciendo ejecutar lo juzgado. </w:t>
      </w:r>
      <w:r w:rsidRPr="00526134">
        <w:rPr>
          <w:b/>
          <w:lang w:val="es-DO"/>
        </w:rPr>
        <w:t>La Ley No.64-00 Artículo 178</w:t>
      </w:r>
      <w:r w:rsidRPr="00526134">
        <w:rPr>
          <w:lang w:val="es-DO"/>
        </w:rPr>
        <w:t xml:space="preserve">    dispone que toda persona o asociación de ciudadanos pueden exigir ante la Secretaría de Estado de Medio Ambiente y Recursos Naturales y cualquier otra autoridad competente, o ante la Procuraduría del Medio Ambiente y Recursos Naturales, el cumplimiento de las obligaciones establecidas en la normatividad ambiental. También </w:t>
      </w:r>
      <w:r w:rsidRPr="00526134">
        <w:rPr>
          <w:b/>
          <w:lang w:val="es-DO"/>
        </w:rPr>
        <w:t>el Principio 3 de la Norma Técnica de Manejo Forestal</w:t>
      </w:r>
      <w:r w:rsidRPr="00526134">
        <w:rPr>
          <w:lang w:val="es-DO"/>
        </w:rPr>
        <w:t xml:space="preserve"> señala como indicador de medición de la comunicación efectiva entre las comunidades, por medio de sus representantes y los responsables del manejo forestal que se apliquen mecanismos legales para la solución de conflictos entre los responsables y la comunidad.</w:t>
      </w:r>
      <w:r w:rsidRPr="00526134">
        <w:rPr>
          <w:b/>
          <w:lang w:val="es-DO"/>
        </w:rPr>
        <w:t xml:space="preserve"> El Reglamento Forestal Articulo 10:</w:t>
      </w:r>
      <w:r w:rsidRPr="00526134">
        <w:rPr>
          <w:lang w:val="es-DO"/>
        </w:rPr>
        <w:t xml:space="preserve"> La Secretaría de Estado de Medio Ambiente y Recursos Naturales podrá crear Comisiones Forestales Regionales, las cuales serán órganos de concertación y participación en todas las fases de planificación, ejecución y seguimiento de los planes, programas y proyectos dirigidos al desarrollo, fomento y uso sostenible de los recursos forestales de cada región: f) Conciliar conflictos de intereses en el uso de los recursos forestales</w:t>
      </w:r>
    </w:p>
  </w:endnote>
  <w:endnote w:id="52">
    <w:p w14:paraId="2DDE32FB" w14:textId="21F90B4E" w:rsidR="00DF3AFC" w:rsidRPr="00526134" w:rsidRDefault="00DF3AFC" w:rsidP="00302CD1">
      <w:pPr>
        <w:pStyle w:val="Textonotapie"/>
      </w:pPr>
      <w:r w:rsidRPr="00526134">
        <w:rPr>
          <w:rStyle w:val="Refdenotaalfinal"/>
          <w:sz w:val="14"/>
          <w:szCs w:val="14"/>
        </w:rPr>
        <w:endnoteRef/>
      </w:r>
      <w:r w:rsidRPr="00526134">
        <w:t xml:space="preserve"> </w:t>
      </w:r>
      <w:r w:rsidRPr="00526134">
        <w:rPr>
          <w:b/>
        </w:rPr>
        <w:t>La CPD Articulo 69,</w:t>
      </w:r>
      <w:r w:rsidRPr="00526134">
        <w:t xml:space="preserve"> dispone que toda persona, en el ejercicio de sus derechos e intereses legítimos, tiene derecho a obtener la tutela judicial </w:t>
      </w:r>
      <w:r w:rsidRPr="00526134">
        <w:rPr>
          <w:rFonts w:cstheme="minorBidi"/>
          <w:color w:val="auto"/>
          <w:lang w:val="es-ES" w:eastAsia="en-US"/>
        </w:rPr>
        <w:t xml:space="preserve">efectiva, con respeto del debido proceso que estará conformado por las garantías mínimas, entre ellas, el derecho a una justicia accesible, oportuna y gratuita, además Sistema Judicial prevé asistencia legal gratuita, y el servicio de Defensa Publica. </w:t>
      </w:r>
      <w:r w:rsidRPr="00526134">
        <w:rPr>
          <w:rFonts w:cstheme="minorBidi"/>
          <w:b/>
          <w:color w:val="auto"/>
          <w:lang w:val="es-ES" w:eastAsia="en-US"/>
        </w:rPr>
        <w:t>Artículo 177:</w:t>
      </w:r>
      <w:r w:rsidRPr="00526134">
        <w:rPr>
          <w:rFonts w:cstheme="minorBidi"/>
          <w:color w:val="auto"/>
          <w:lang w:val="es-ES" w:eastAsia="en-US"/>
        </w:rPr>
        <w:t xml:space="preserve"> Asistencia legal gratuita. El Estado será responsable de organizar programas y servicios de asistencia legal gratuita a favor de las personas que carezcan de los recursos económicos para obtener una representación judicial de sus intereses, particularmente para la protección de los derechos de la víctima, sin perjuicio de las atribuciones que correspondan al Ministerio Público en el ámbito del proceso penal. </w:t>
      </w:r>
      <w:r w:rsidRPr="00526134">
        <w:rPr>
          <w:rFonts w:cstheme="minorBidi"/>
          <w:b/>
          <w:color w:val="auto"/>
          <w:lang w:val="es-ES" w:eastAsia="en-US"/>
        </w:rPr>
        <w:t>Artículo 176.-</w:t>
      </w:r>
      <w:r w:rsidRPr="00526134">
        <w:rPr>
          <w:rFonts w:cstheme="minorBidi"/>
          <w:color w:val="auto"/>
          <w:lang w:val="es-ES" w:eastAsia="en-US"/>
        </w:rPr>
        <w:t xml:space="preserve"> Defensa Pública. El servicio de Defensa Pública es un órgano del sistema de justicia dotado de autonomía administrativa y funcional, que tiene por finalidad garantizar la tutela efectiva del derecho fundamental a la defensa en las distintas áreas de su competencia. El servicio de Defensa Pública se ofrecerá en todo el territorio nacional atendiendo a los criterios de gratuidad, fácil acceso, igualdad, eficiencia y calidad, para las personas imputadas que por cualquier causa no estén asistidas por abogado. La Ley de Defensa Pública regirá el funcionamiento de esta institución</w:t>
      </w:r>
      <w:r w:rsidRPr="00526134">
        <w:t xml:space="preserve">. </w:t>
      </w:r>
    </w:p>
  </w:endnote>
  <w:endnote w:id="53">
    <w:p w14:paraId="4056A200" w14:textId="11D89678" w:rsidR="00DF3AFC" w:rsidRPr="00526134" w:rsidRDefault="00DF3AFC" w:rsidP="00302CD1">
      <w:pPr>
        <w:pStyle w:val="Textonotapie"/>
        <w:rPr>
          <w:lang w:val="es-DO"/>
        </w:rPr>
      </w:pPr>
      <w:r w:rsidRPr="00526134">
        <w:rPr>
          <w:rStyle w:val="Refdenotaalfinal"/>
          <w:sz w:val="14"/>
          <w:szCs w:val="14"/>
        </w:rPr>
        <w:endnoteRef/>
      </w:r>
      <w:r w:rsidRPr="00526134">
        <w:rPr>
          <w:lang w:val="es-DO"/>
        </w:rPr>
        <w:t xml:space="preserve"> </w:t>
      </w:r>
      <w:r w:rsidRPr="00526134">
        <w:rPr>
          <w:b/>
          <w:lang w:val="es-DO"/>
        </w:rPr>
        <w:t>La CPD Articulo 69,</w:t>
      </w:r>
      <w:r w:rsidRPr="00526134">
        <w:rPr>
          <w:lang w:val="es-DO"/>
        </w:rPr>
        <w:t xml:space="preserve"> reconoce que toda persona tiene derecho a obtener tutela judicial efectiva, con respecto del debido proceso. </w:t>
      </w:r>
      <w:r w:rsidRPr="00526134">
        <w:rPr>
          <w:b/>
          <w:lang w:val="es-DO"/>
        </w:rPr>
        <w:t>Artículo 177.-</w:t>
      </w:r>
      <w:r w:rsidRPr="00526134">
        <w:rPr>
          <w:lang w:val="es-DO"/>
        </w:rPr>
        <w:t xml:space="preserve"> Asistencia legal gratuita</w:t>
      </w:r>
      <w:r>
        <w:rPr>
          <w:lang w:val="es-DO"/>
        </w:rPr>
        <w:t xml:space="preserve">. El Estado será responsable de </w:t>
      </w:r>
      <w:r w:rsidRPr="00526134">
        <w:rPr>
          <w:lang w:val="es-DO"/>
        </w:rPr>
        <w:t xml:space="preserve">organizar programas y servicios de asistencia legal gratuita a favor de las personas que carezcan de los recursos económicos para obtener una representación judicial de sus intereses, particularmente para la protección de los derechos de la víctima, sin perjuicio de las atribuciones que correspondan al Ministerio Público en el ámbito del proceso penal. </w:t>
      </w:r>
      <w:r w:rsidRPr="00526134">
        <w:rPr>
          <w:b/>
          <w:lang w:val="es-DO"/>
        </w:rPr>
        <w:t>Artículo 176.-</w:t>
      </w:r>
      <w:r w:rsidRPr="00526134">
        <w:rPr>
          <w:lang w:val="es-DO"/>
        </w:rPr>
        <w:t xml:space="preserve"> Defensa Pública. El servicio de Defensa Pública es un órgano del sistema de justicia dotado de autonomía administrativa y funcional, que tiene por finalidad garantizar la tutela efectiva del derecho fundamental a la defensa en las distintas áreas de su competencia. El servicio de Defensa Pública se ofrecerá en todo el territorio nacional atendiendo a los criterios de gratuidad, fácil acceso, igualdad, eficiencia y calidad, para las personas imputadas que por cualquier causa no estén asistidas por abogado. La Ley de Defensa Pública regirá el funcionamiento de esta institución.</w:t>
      </w:r>
    </w:p>
  </w:endnote>
  <w:endnote w:id="54">
    <w:p w14:paraId="5691AA2C" w14:textId="6783617A" w:rsidR="00DF3AFC" w:rsidRPr="00526134" w:rsidRDefault="00DF3AFC" w:rsidP="00302CD1">
      <w:pPr>
        <w:pStyle w:val="Textonotapie"/>
        <w:rPr>
          <w:lang w:val="es-DO"/>
        </w:rPr>
      </w:pPr>
      <w:r w:rsidRPr="00526134">
        <w:rPr>
          <w:rStyle w:val="Refdenotaalfinal"/>
          <w:sz w:val="14"/>
          <w:szCs w:val="14"/>
        </w:rPr>
        <w:endnoteRef/>
      </w:r>
      <w:r w:rsidRPr="00526134">
        <w:rPr>
          <w:lang w:val="es-ES"/>
        </w:rPr>
        <w:t xml:space="preserve"> </w:t>
      </w:r>
      <w:r w:rsidRPr="00526134">
        <w:rPr>
          <w:b/>
          <w:lang w:val="es-ES"/>
        </w:rPr>
        <w:t>La CPD Articulo 137,</w:t>
      </w:r>
      <w:r w:rsidRPr="00526134">
        <w:rPr>
          <w:lang w:val="es-ES"/>
        </w:rPr>
        <w:t xml:space="preserve"> establece al Consejo de Ministros como el órgano de coordinación de los asuntos generales de gobierno y tiene como finalidad organizar y agilizar el despacho de los aspectos de la Administración Pública en beneficio de los intereses generales de la Nación y al servicio de la ciudadanía. </w:t>
      </w:r>
      <w:r w:rsidRPr="00526134">
        <w:rPr>
          <w:lang w:val="es-DO"/>
        </w:rPr>
        <w:t>Asimismo, sujeta a la Administración Pública en su actuación a los principios de eficacia, jerarquía, objetividad, igualdad, transparencia, economía, publicidad y coordinación, con sometimiento pleno al ordenamiento jurídico del Estado.</w:t>
      </w:r>
    </w:p>
  </w:endnote>
  <w:endnote w:id="55">
    <w:p w14:paraId="2D3A4176" w14:textId="77777777" w:rsidR="00DF3AFC" w:rsidRPr="00526134" w:rsidRDefault="00DF3AFC" w:rsidP="00302CD1">
      <w:pPr>
        <w:pStyle w:val="Textonotapie"/>
        <w:rPr>
          <w:lang w:val="es-DO"/>
        </w:rPr>
      </w:pPr>
      <w:r w:rsidRPr="00526134">
        <w:rPr>
          <w:rStyle w:val="Refdenotaalfinal"/>
          <w:sz w:val="14"/>
          <w:szCs w:val="14"/>
        </w:rPr>
        <w:endnoteRef/>
      </w:r>
      <w:r w:rsidRPr="00526134">
        <w:rPr>
          <w:lang w:val="es-DO"/>
        </w:rPr>
        <w:t xml:space="preserve"> La </w:t>
      </w:r>
      <w:r w:rsidRPr="00526134">
        <w:rPr>
          <w:b/>
          <w:lang w:val="es-DO"/>
        </w:rPr>
        <w:t>END El Tercer Eje Estratégico postula</w:t>
      </w:r>
      <w:r w:rsidRPr="00526134">
        <w:rPr>
          <w:lang w:val="es-DO"/>
        </w:rPr>
        <w:t>: “Una economía territorial y sectorialmente integrada, innovadora, diversificada, plural, orientada a la calidad y ambientalmente sostenible, que crea y desconcentra la riqueza, genera crecimiento alto y sostenido con equidad y empleo digno, y que aprovecha y potencia las oportunidades del mercado local y se inserta de forma competitiva en la economía global.”</w:t>
      </w:r>
    </w:p>
  </w:endnote>
  <w:endnote w:id="56">
    <w:p w14:paraId="2EEE1FCA" w14:textId="613E03A3" w:rsidR="00DF3AFC" w:rsidRPr="00526134" w:rsidRDefault="00DF3AFC" w:rsidP="00302CD1">
      <w:pPr>
        <w:pStyle w:val="Textonotapie"/>
      </w:pPr>
      <w:r w:rsidRPr="00526134">
        <w:rPr>
          <w:rStyle w:val="Refdenotaalfinal"/>
          <w:sz w:val="14"/>
          <w:szCs w:val="14"/>
        </w:rPr>
        <w:endnoteRef/>
      </w:r>
      <w:r w:rsidRPr="00526134">
        <w:rPr>
          <w:lang w:val="es-DO"/>
        </w:rPr>
        <w:t xml:space="preserve"> </w:t>
      </w:r>
      <w:r w:rsidRPr="00526134">
        <w:rPr>
          <w:b/>
          <w:lang w:val="es-DO"/>
        </w:rPr>
        <w:t>La Ley No.64-00 Articulo 19,</w:t>
      </w:r>
      <w:r w:rsidRPr="00526134">
        <w:rPr>
          <w:lang w:val="es-DO"/>
        </w:rPr>
        <w:t xml:space="preserve">  crea el Consejo Nacional de Medio Ambiente y Recursos Naturales, como enlace entre el Sistema Nacional de Planificación Económica, Social y Administrativa, el sector productivo nacional, la sociedad civil y las entidades de la administración pública centralizadas y descentralizadas pertenecientes al sector medio ambiente y recursos naturales, y como órgano responsable de programar y evaluar las políticas, así como establecer la estrategia nacional de conservación de la biodiversidad. También crea el Sistema Nacional de Gestión Ambiental y de Recursos Naturales, para garantizar el diseño y eficaz ejecución de las políticas, planes, programas y proyectos relativos al medio ambiente y los recursos naturales. Asimismo, dispone que la planificación del desarrollo nacional, regional y provinci</w:t>
      </w:r>
      <w:r>
        <w:rPr>
          <w:lang w:val="es-DO"/>
        </w:rPr>
        <w:t>al</w:t>
      </w:r>
      <w:r w:rsidRPr="00526134">
        <w:rPr>
          <w:lang w:val="es-DO"/>
        </w:rPr>
        <w:t xml:space="preserve"> del país deberá incorporar la dimensión ambiental por medio de un proceso dinámico, permanente, participativo y concertado entre las diferentes entidades involucradas en la gestión ambiental. La Ley que crea la Secretaria de Estado de Economía, Planificación y Desarrollo indica que dicha Secretaría tendrá la calidad de Órgano Rector de la ordenación, el ordenamiento y la formulación de políticas públicas de desarrollo sostenible en el territorio, como expresión espacial de la política económica, social, ambiental y cultural de la sociedad.</w:t>
      </w:r>
    </w:p>
  </w:endnote>
  <w:endnote w:id="57">
    <w:p w14:paraId="00464CA6" w14:textId="4C73AA3E" w:rsidR="00DF3AFC" w:rsidRPr="00526134" w:rsidRDefault="00DF3AFC" w:rsidP="00302CD1">
      <w:pPr>
        <w:pStyle w:val="Textonotapie"/>
      </w:pPr>
      <w:r w:rsidRPr="00526134">
        <w:rPr>
          <w:rStyle w:val="Refdenotaalfinal"/>
          <w:sz w:val="14"/>
          <w:szCs w:val="14"/>
        </w:rPr>
        <w:endnoteRef/>
      </w:r>
      <w:r w:rsidRPr="00526134">
        <w:t xml:space="preserve"> </w:t>
      </w:r>
      <w:r w:rsidRPr="00526134">
        <w:rPr>
          <w:b/>
        </w:rPr>
        <w:t>La Ley 496-06, que crea la Secretaria de Estado de Económica, Planificación y Desarrollo</w:t>
      </w:r>
      <w:r w:rsidRPr="00526134">
        <w:t xml:space="preserve"> dispone que esa Secretaría tiene entre sus atribuciones y funciones: </w:t>
      </w:r>
      <w:r w:rsidRPr="00526134">
        <w:rPr>
          <w:b/>
        </w:rPr>
        <w:t>c)</w:t>
      </w:r>
      <w:r w:rsidRPr="00526134">
        <w:t xml:space="preserve"> Formular la Estrategia de Desarrollo y el Plan Nacional Plurianual del Sector Público, incluyendo la coordinación necesaria a nivel municipal, provincial, regional, nacional y sectorial, para garantizar la debida coherencia global entre políticas, planes, programas y acciones. </w:t>
      </w:r>
      <w:r w:rsidRPr="00526134">
        <w:rPr>
          <w:b/>
        </w:rPr>
        <w:t>e)</w:t>
      </w:r>
      <w:r w:rsidRPr="00526134">
        <w:t xml:space="preserve"> Coordinar la formulación y ejecución de los planes, proyectos y programas de desarrollo de los organismos públicos, comprendidos en el ámbito del Sistema Nacional de Planificación e Inversión Pública. </w:t>
      </w:r>
      <w:r w:rsidRPr="00526134">
        <w:rPr>
          <w:b/>
        </w:rPr>
        <w:t>La Ley No.64-00 Articulo 17,</w:t>
      </w:r>
      <w:r w:rsidRPr="00526134">
        <w:t xml:space="preserve"> crea la Secretaría de Estado de Medio Ambiente y Recursos Naturales como organismo rector de la gestión del medio ambiente, los ecosistemas y de los recursos naturales, para que cumpla con las atribuciones que de conformidad con la legislación ambiental en general. </w:t>
      </w:r>
      <w:r w:rsidRPr="00526134">
        <w:rPr>
          <w:b/>
        </w:rPr>
        <w:t>La Ley Orgánica de la Administración Pública 247-12, Articulo 12 ,</w:t>
      </w:r>
      <w:r w:rsidRPr="00526134">
        <w:t xml:space="preserve"> establece principios de actuación, entre ellos el Principio de lealtad institucional, consistente en que los entes y órganos que conforman la Administración Pública actúen y se relacionen facilitando a los otros órganos y entes la información que precisen sobre la actividad que desarrollen en el ejercicio de sus propias competencias, además de prestar en el ámbito propio, la cooperación y asistencia que los otros entes y órganos pudieran requerir. También están previstos los principios de coordinación y colaboración orientados a que las actividades estén orientadas al logro de los fines y objetivos de la República, coordinando su actuación bajo el principio de unidad de la Administración Pública.</w:t>
      </w:r>
    </w:p>
  </w:endnote>
  <w:endnote w:id="58">
    <w:p w14:paraId="23F71BA0" w14:textId="73BDFE4F" w:rsidR="00DF3AFC" w:rsidRPr="00526134" w:rsidRDefault="00DF3AFC" w:rsidP="00302CD1">
      <w:pPr>
        <w:pStyle w:val="Textonotapie"/>
      </w:pPr>
      <w:r w:rsidRPr="00526134">
        <w:rPr>
          <w:rStyle w:val="Refdenotaalfinal"/>
          <w:sz w:val="14"/>
          <w:szCs w:val="14"/>
        </w:rPr>
        <w:endnoteRef/>
      </w:r>
      <w:r w:rsidRPr="00526134">
        <w:rPr>
          <w:lang w:val="es-DO"/>
        </w:rPr>
        <w:t xml:space="preserve"> </w:t>
      </w:r>
      <w:r w:rsidRPr="00526134">
        <w:rPr>
          <w:b/>
          <w:lang w:val="es-DO"/>
        </w:rPr>
        <w:t>La CPD Artículo 137</w:t>
      </w:r>
      <w:r w:rsidRPr="00526134">
        <w:rPr>
          <w:lang w:val="es-DO"/>
        </w:rPr>
        <w:t xml:space="preserve"> establece al Consejo de Ministros como el órgano de coordinación de los asuntos generales de gobierno y tiene como finalidad organizar y agilizar el despacho de los aspectos de la Administración Pública en beneficio de los intereses generales de la Nación y al servicio de la ciudadanía. Asimismo, sujeta a la Administración Pública en su actuación a los principios de eficacia, jerarquía, objetividad, igualdad, transparencia, economía, publicidad y coordinación, con sometimiento pleno al ordenamiento jurídico del Estado. </w:t>
      </w:r>
      <w:r w:rsidRPr="00526134">
        <w:rPr>
          <w:b/>
          <w:lang w:val="es-DO"/>
        </w:rPr>
        <w:t>La Ley No.64-00 Articulo 19,</w:t>
      </w:r>
      <w:r w:rsidRPr="00526134">
        <w:rPr>
          <w:lang w:val="es-DO"/>
        </w:rPr>
        <w:t xml:space="preserve"> crea el Consejo Nacional de Medio Ambiente y Recursos Naturales, como enlace entre el Sistema Nacional de Planificación Económica, Social y Administrativa, el sector productivo nacional, la sociedad civil y las entidades de la administración pública centralizadas y descentralizadas pertenecientes al sector medio ambiente y recursos naturales, y como órgano responsable de programar y evaluar las políticas, así como establecer la estrategia nacional de conservación de la biodiversidad. También crea el Sistema Nacional de Gestión Ambiental y de Recursos Naturales, para garantizar el diseño y eficaz ejecución de las políticas, planes, programas y proyectos relativos al medio ambiente y los recursos naturales; las instituciones que formen parte del Sistema Nacional de Gestión Ambiental y Recursos Naturales deben contar con unidades de gestión ambiental, con funciones de supervisar, coordinar y dar seguimiento a las políticas, planes, programas, proyectos y acciones ambientales dentro de su institución y para velar por el cumplimiento de las normas ambientales por parte de la misma, asegurando la necesaria coordinación interinstitucional de la gestión ambiental, de acuerdo a las directrices emitidas por la Secretaría de Estado de Medio Ambiente y Recursos Naturales. La Ley que crea la Secretaria de Estado de Economía, Planificación y Desarrollo  señala que La Secretaría de Estado de Economía, Planificación y Desarrollo es el Órgano Rector del Sistema Nacional de Planificación e Inversión Pública y también le da la calidad de Órgano Rector de la ordenación, el ordenamiento y la formulación de políticas públicas de desarrollo sostenible en el territorio, como expresión espacial de la política económica, social, ambiental y cultural de la sociedad.</w:t>
      </w:r>
    </w:p>
  </w:endnote>
  <w:endnote w:id="59">
    <w:p w14:paraId="092CAC9F" w14:textId="77777777" w:rsidR="00DF3AFC" w:rsidRPr="006A6DC6" w:rsidRDefault="00DF3AFC" w:rsidP="00E3636E">
      <w:pPr>
        <w:pStyle w:val="Textonotapie"/>
        <w:rPr>
          <w:sz w:val="18"/>
          <w:szCs w:val="18"/>
        </w:rPr>
      </w:pPr>
      <w:r w:rsidRPr="006A6DC6">
        <w:rPr>
          <w:rStyle w:val="Refdenotaalfinal"/>
          <w:sz w:val="18"/>
          <w:szCs w:val="18"/>
        </w:rPr>
        <w:endnoteRef/>
      </w:r>
      <w:r w:rsidRPr="00302524">
        <w:rPr>
          <w:sz w:val="18"/>
          <w:szCs w:val="18"/>
          <w:lang w:val="es-ES"/>
        </w:rPr>
        <w:t xml:space="preserve"> </w:t>
      </w:r>
      <w:r w:rsidRPr="006A6DC6">
        <w:rPr>
          <w:sz w:val="18"/>
          <w:szCs w:val="18"/>
        </w:rPr>
        <w:t xml:space="preserve">Debido al contexto particular e historia de la </w:t>
      </w:r>
      <w:r>
        <w:rPr>
          <w:sz w:val="18"/>
          <w:szCs w:val="18"/>
        </w:rPr>
        <w:t>República</w:t>
      </w:r>
      <w:r w:rsidRPr="006A6DC6">
        <w:rPr>
          <w:sz w:val="18"/>
          <w:szCs w:val="18"/>
        </w:rPr>
        <w:t xml:space="preserve"> Dominicana, la salvaguarda c) REDD+ de la CMNUCC relativa a los pueblos indígenas no será aplicable y por tanto no será exigida al país, en virtud de la declaración hecha por el mismo respecto a que no cuenta con etnias indígenas.</w:t>
      </w:r>
      <w:r w:rsidRPr="006A6DC6">
        <w:rPr>
          <w:rStyle w:val="Refdenotaalfinal"/>
          <w:sz w:val="18"/>
          <w:szCs w:val="18"/>
        </w:rPr>
        <w:endnoteRef/>
      </w:r>
      <w:r w:rsidRPr="006A6DC6">
        <w:rPr>
          <w:sz w:val="18"/>
          <w:szCs w:val="18"/>
        </w:rPr>
        <w:t xml:space="preserve">  Sin embargo, el presente análisis reflejó que el marco legal hace referencia a comunidades, por lo cual aplicarán algunos criterios de la salvaguarda</w:t>
      </w:r>
    </w:p>
    <w:p w14:paraId="11E6F6BA" w14:textId="77777777" w:rsidR="00DF3AFC" w:rsidRPr="006A6DC6" w:rsidRDefault="00DF3AFC" w:rsidP="00E3636E">
      <w:pPr>
        <w:pStyle w:val="Textonotapie"/>
        <w:rPr>
          <w:lang w:val="es-ES"/>
        </w:rPr>
      </w:pPr>
    </w:p>
  </w:endnote>
  <w:endnote w:id="60">
    <w:p w14:paraId="7CE21760" w14:textId="17E3F3AF" w:rsidR="00DF3AFC" w:rsidRPr="00526134" w:rsidRDefault="00DF3AFC" w:rsidP="002327EC">
      <w:pPr>
        <w:pStyle w:val="Textonotapie"/>
        <w:rPr>
          <w:lang w:val="es-DO"/>
        </w:rPr>
      </w:pPr>
      <w:r w:rsidRPr="00526134">
        <w:rPr>
          <w:rStyle w:val="Refdenotaalfinal"/>
          <w:sz w:val="14"/>
          <w:szCs w:val="14"/>
        </w:rPr>
        <w:endnoteRef/>
      </w:r>
      <w:r w:rsidRPr="00526134">
        <w:rPr>
          <w:lang w:val="es-ES"/>
        </w:rPr>
        <w:t xml:space="preserve"> </w:t>
      </w:r>
      <w:r w:rsidRPr="00526134">
        <w:rPr>
          <w:b/>
        </w:rPr>
        <w:t>Ley 64-00</w:t>
      </w:r>
      <w:r w:rsidRPr="00526134">
        <w:t xml:space="preserve"> Se refiere a comunidades y lo señala en el </w:t>
      </w:r>
      <w:r w:rsidRPr="00526134">
        <w:rPr>
          <w:b/>
        </w:rPr>
        <w:t>Artículo 6</w:t>
      </w:r>
      <w:r w:rsidRPr="00526134">
        <w:t xml:space="preserve">, en el que se refiere a la libertad de los ciudadanos a utilizar los recursos naturales. Indica que </w:t>
      </w:r>
      <w:r w:rsidRPr="00526134">
        <w:rPr>
          <w:lang w:val="es-DO"/>
        </w:rPr>
        <w:t xml:space="preserve">el Estado garantizará la participación de las comunidades y los habitantes del país en la conservación, gestión y uso sostenible de los recursos naturales y el medio ambiente, así como el acceso a información veraz y oportuna sobre la situación y  el estado de los mismos. </w:t>
      </w:r>
      <w:r w:rsidRPr="00526134">
        <w:t xml:space="preserve"> </w:t>
      </w:r>
      <w:r w:rsidRPr="00526134">
        <w:rPr>
          <w:b/>
          <w:lang w:val="es-DO"/>
        </w:rPr>
        <w:t>Articulo 36.-</w:t>
      </w:r>
      <w:r w:rsidRPr="00526134">
        <w:rPr>
          <w:lang w:val="es-DO"/>
        </w:rPr>
        <w:t xml:space="preserve"> Las áreas protegidas son patrimonio del Estado, debiendo ser administradas según sus categorías, zonificación y reglamentación, basándose en planes de manejo aprobados por la Secretaría de Estado de Medio Ambiente y Recursos Naturales, con la participación de la comunidad y sus organizaciones, en la gestión y manejo de las mismas. </w:t>
      </w:r>
      <w:r w:rsidRPr="00526134">
        <w:t xml:space="preserve">También en el </w:t>
      </w:r>
      <w:r w:rsidRPr="00526134">
        <w:rPr>
          <w:b/>
        </w:rPr>
        <w:t>Articulo 169</w:t>
      </w:r>
      <w:r w:rsidRPr="00526134">
        <w:t xml:space="preserve"> al referirse a la reparación de daños, como compensación económica de la responsabilidad civil.</w:t>
      </w:r>
    </w:p>
  </w:endnote>
  <w:endnote w:id="61">
    <w:p w14:paraId="08A7A85A" w14:textId="77777777" w:rsidR="00DF3AFC" w:rsidRPr="00526134" w:rsidRDefault="00DF3AFC" w:rsidP="002327EC">
      <w:pPr>
        <w:pStyle w:val="Textonotapie"/>
        <w:rPr>
          <w:lang w:val="es-DO"/>
        </w:rPr>
      </w:pPr>
      <w:r w:rsidRPr="00526134">
        <w:rPr>
          <w:rStyle w:val="Refdenotaalfinal"/>
          <w:sz w:val="14"/>
          <w:szCs w:val="14"/>
        </w:rPr>
        <w:endnoteRef/>
      </w:r>
      <w:r w:rsidRPr="00526134">
        <w:rPr>
          <w:lang w:val="es-DO"/>
        </w:rPr>
        <w:t xml:space="preserve"> </w:t>
      </w:r>
      <w:r w:rsidRPr="00526134">
        <w:t xml:space="preserve">También la </w:t>
      </w:r>
      <w:r w:rsidRPr="00526134">
        <w:rPr>
          <w:b/>
        </w:rPr>
        <w:t>Ley 176-07</w:t>
      </w:r>
      <w:r w:rsidRPr="00526134">
        <w:t xml:space="preserve">, en los Artículos </w:t>
      </w:r>
      <w:r w:rsidRPr="00526134">
        <w:rPr>
          <w:b/>
        </w:rPr>
        <w:t>1, 18, 27, 152, 237, 239, 243, 244, 252 y 253</w:t>
      </w:r>
      <w:r w:rsidRPr="00526134">
        <w:t>, se refiere a las comunidades y a la participación efectiva de las comunidades en el manejo de los asuntos públicos locales.</w:t>
      </w:r>
    </w:p>
  </w:endnote>
  <w:endnote w:id="62">
    <w:p w14:paraId="22F23C85" w14:textId="77777777" w:rsidR="00DF3AFC" w:rsidRPr="00526134" w:rsidRDefault="00DF3AFC" w:rsidP="002327EC">
      <w:pPr>
        <w:pStyle w:val="Textonotapie"/>
        <w:rPr>
          <w:lang w:val="es-DO"/>
        </w:rPr>
      </w:pPr>
      <w:r w:rsidRPr="00526134">
        <w:rPr>
          <w:rStyle w:val="Refdenotaalfinal"/>
          <w:sz w:val="14"/>
          <w:szCs w:val="14"/>
        </w:rPr>
        <w:endnoteRef/>
      </w:r>
      <w:r w:rsidRPr="00526134">
        <w:rPr>
          <w:lang w:val="es-DO"/>
        </w:rPr>
        <w:t xml:space="preserve"> </w:t>
      </w:r>
      <w:r w:rsidRPr="00526134">
        <w:rPr>
          <w:b/>
        </w:rPr>
        <w:t>La END,</w:t>
      </w:r>
      <w:r w:rsidRPr="00526134">
        <w:t xml:space="preserve"> en el </w:t>
      </w:r>
      <w:r w:rsidRPr="00526134">
        <w:rPr>
          <w:b/>
        </w:rPr>
        <w:t>Objetivo General 1.2,</w:t>
      </w:r>
      <w:r w:rsidRPr="00526134">
        <w:t xml:space="preserve"> sobre el Imperio de la Ley y Seguridad Ciudadana, lo tratan en las líneas de acción, también en el </w:t>
      </w:r>
      <w:r w:rsidRPr="00526134">
        <w:rPr>
          <w:b/>
        </w:rPr>
        <w:t>Objetivo General 2,4,</w:t>
      </w:r>
      <w:r w:rsidRPr="00526134">
        <w:t xml:space="preserve"> relativo a la cohesión territorial; Aparece también la indicación de la consideración a las comunidades en el </w:t>
      </w:r>
      <w:r w:rsidRPr="00526134">
        <w:rPr>
          <w:b/>
        </w:rPr>
        <w:t>Objetivo General 3.5,</w:t>
      </w:r>
      <w:r w:rsidRPr="00526134">
        <w:t xml:space="preserve"> relativo a Estructura productiva sectorial y territorialmente articulada, integrada competitivamente a la economía global y que aprovecha las oportunidades del mercado local; aparece también el </w:t>
      </w:r>
      <w:r w:rsidRPr="00526134">
        <w:rPr>
          <w:b/>
        </w:rPr>
        <w:t>Objetivo General 4.1,</w:t>
      </w:r>
      <w:r w:rsidRPr="00526134">
        <w:t xml:space="preserve"> en el que se refiere al Manejo Sostenible del Medio Ambiente; en el </w:t>
      </w:r>
      <w:r w:rsidRPr="00526134">
        <w:rPr>
          <w:b/>
        </w:rPr>
        <w:t>Objetivo General 4.2,</w:t>
      </w:r>
      <w:r w:rsidRPr="00526134">
        <w:t xml:space="preserve"> en la parte relativa a el Desarrollo de un eficaz sistema nacional de gestión integral de riesgos, con activa participación de las comunidades y gobiernos locales, que minimice los daños y posibilite la recuperación rápida y sostenible de las áreas y poblaciones afectadas.</w:t>
      </w:r>
    </w:p>
  </w:endnote>
  <w:endnote w:id="63">
    <w:p w14:paraId="42087A28" w14:textId="141143DF" w:rsidR="00DF3AFC" w:rsidRPr="00526134" w:rsidRDefault="00DF3AFC" w:rsidP="002327EC">
      <w:pPr>
        <w:pStyle w:val="Textonotapie"/>
      </w:pPr>
      <w:r w:rsidRPr="00526134">
        <w:rPr>
          <w:rStyle w:val="Refdenotaalfinal"/>
          <w:sz w:val="14"/>
          <w:szCs w:val="14"/>
        </w:rPr>
        <w:endnoteRef/>
      </w:r>
      <w:r w:rsidRPr="00526134">
        <w:rPr>
          <w:lang w:val="es-DO"/>
        </w:rPr>
        <w:t xml:space="preserve"> </w:t>
      </w:r>
      <w:r w:rsidRPr="00526134">
        <w:rPr>
          <w:b/>
        </w:rPr>
        <w:t>La Ley No. 64-00, Articulo 6.</w:t>
      </w:r>
      <w:r w:rsidRPr="00526134">
        <w:t xml:space="preserve"> señala que el Estado garantizará la participación de las comunidades y los habitantes del país en la conservación, gestión y uso sostenible de los recursos naturales y el medio ambiente, así como el acceso a información  veraz  y  oportuna sobre la  situación  y  el estado de los mismos.  Estableciendo la participación de la comunidad y sus organizaciones, en la gestión y manejo de las áreas protegidas. </w:t>
      </w:r>
      <w:r w:rsidRPr="00526134">
        <w:rPr>
          <w:b/>
        </w:rPr>
        <w:t xml:space="preserve">El Reglamento Forestal, Articulo 55, </w:t>
      </w:r>
      <w:r w:rsidRPr="00526134">
        <w:t>tiene entre sus metas promover y normar la protección y el uso sostenible de los recursos forestales, permitiendo la necesaria incorporación de la sociedad civil, en la gestión para el desarrollo y conservación de estos recursos.</w:t>
      </w:r>
    </w:p>
  </w:endnote>
  <w:endnote w:id="64">
    <w:p w14:paraId="5A432114" w14:textId="0C101016" w:rsidR="00DF3AFC" w:rsidRPr="00526134" w:rsidRDefault="00DF3AFC" w:rsidP="002327EC">
      <w:pPr>
        <w:pStyle w:val="Textonotapie"/>
        <w:rPr>
          <w:lang w:val="es-DO"/>
        </w:rPr>
      </w:pPr>
      <w:r w:rsidRPr="00526134">
        <w:rPr>
          <w:rStyle w:val="Refdenotaalfinal"/>
          <w:b/>
          <w:sz w:val="14"/>
          <w:szCs w:val="14"/>
        </w:rPr>
        <w:endnoteRef/>
      </w:r>
      <w:r w:rsidRPr="00526134">
        <w:rPr>
          <w:b/>
          <w:lang w:val="es-DO"/>
        </w:rPr>
        <w:t xml:space="preserve"> </w:t>
      </w:r>
      <w:r w:rsidRPr="00526134">
        <w:rPr>
          <w:b/>
          <w:color w:val="000000"/>
          <w:bdr w:val="none" w:sz="0" w:space="0" w:color="auto" w:frame="1"/>
          <w:shd w:val="clear" w:color="auto" w:fill="FAFAFA"/>
        </w:rPr>
        <w:t>Reglamento para la gestión compartida de áreas protegidas en la República Dominicana, Art. 13:</w:t>
      </w:r>
      <w:r w:rsidRPr="00526134">
        <w:rPr>
          <w:color w:val="000000"/>
          <w:bdr w:val="none" w:sz="0" w:space="0" w:color="auto" w:frame="1"/>
          <w:shd w:val="clear" w:color="auto" w:fill="FAFAFA"/>
        </w:rPr>
        <w:t xml:space="preserve"> Pueden ser considerados como entes comanejantes de un área protegida los siguientes: a) Organizaciones comunitarias, gubernamentales o no, de carácter nacional o extranjera, con personería jurídica conforme las leyes y normativas vigentes.</w:t>
      </w:r>
    </w:p>
  </w:endnote>
  <w:endnote w:id="65">
    <w:p w14:paraId="297AC351" w14:textId="7EC28092" w:rsidR="00DF3AFC" w:rsidRPr="00526134" w:rsidRDefault="00DF3AFC" w:rsidP="00877E27">
      <w:pPr>
        <w:pStyle w:val="Textonotapie"/>
      </w:pPr>
      <w:r w:rsidRPr="00526134">
        <w:rPr>
          <w:rStyle w:val="Refdenotaalfinal"/>
          <w:sz w:val="14"/>
          <w:szCs w:val="14"/>
        </w:rPr>
        <w:endnoteRef/>
      </w:r>
      <w:r w:rsidRPr="00526134">
        <w:rPr>
          <w:rStyle w:val="Refdenotaalfinal"/>
          <w:sz w:val="14"/>
          <w:szCs w:val="14"/>
          <w:lang w:val="es-DO"/>
        </w:rPr>
        <w:t xml:space="preserve"> </w:t>
      </w:r>
      <w:r w:rsidRPr="00526134">
        <w:rPr>
          <w:b/>
        </w:rPr>
        <w:t>La Ley 122-05,</w:t>
      </w:r>
      <w:r w:rsidRPr="00526134">
        <w:t xml:space="preserve"> de Asociaciones sin Fines de Lucro, las organizaciones comunitarias se considerarán dentro de las Asociaciones de Beneficio Público o de Servicio a Terceras Personas y podrán ser, según su origen: a. Territoriales: tienen como objetivo básico la promoción del desarrollo comunal: juntas de vecinos/as, comités barriales, uniones vecinales, asociaciones de pobladoras/es, asociaciones pro-desarrollo. b. Funcionales: tienen como objetivo básico desarrollar aspectos particulares de la vida cotidiana de las comunidades: asociaciones de padres, madres, amigos y amigas de las escuelas, comités de salud, clubes culturales, clubes artísticos, clubes deportivos, clubes juveniles, comités de amas de casa, organizaciones eclesiales, entre otras. c. Campesinas: tienen como objetivo básico apoyar los intereses del campesinado, incluyendo sus intereses comunitarios: asociaciones de agricultores/as, organizaciones de productores/as, entre otras.</w:t>
      </w:r>
    </w:p>
  </w:endnote>
  <w:endnote w:id="66">
    <w:p w14:paraId="589EAA05" w14:textId="77777777" w:rsidR="00DF3AFC" w:rsidRPr="00526134" w:rsidRDefault="00DF3AFC" w:rsidP="002327EC">
      <w:pPr>
        <w:pStyle w:val="Textonotapie"/>
        <w:rPr>
          <w:lang w:val="es-DO"/>
        </w:rPr>
      </w:pPr>
      <w:r w:rsidRPr="00526134">
        <w:rPr>
          <w:rStyle w:val="Refdenotaalfinal"/>
          <w:sz w:val="14"/>
          <w:szCs w:val="14"/>
        </w:rPr>
        <w:endnoteRef/>
      </w:r>
      <w:r w:rsidRPr="00526134">
        <w:rPr>
          <w:lang w:val="es-DO"/>
        </w:rPr>
        <w:t xml:space="preserve"> </w:t>
      </w:r>
      <w:r w:rsidRPr="00526134">
        <w:rPr>
          <w:b/>
          <w:lang w:val="es-DO"/>
        </w:rPr>
        <w:t>CPD, Articulo. 64, numeral 4)</w:t>
      </w:r>
      <w:r w:rsidRPr="00526134">
        <w:rPr>
          <w:lang w:val="es-DO"/>
        </w:rPr>
        <w:t xml:space="preserve"> señala El patrimonio cultural de la Nación, material e inmaterial, está bajo la salvaguarda del Estado que garantizará su protección, enriquecimiento, conservación, restauración y puesta en valor. Los bienes del patrimonio cultural de la Nación, cuya propiedad sea estatal o hayan sido adquiridos por el Estado, son inalienables e inembargables y dicha titularidad, imprescriptible</w:t>
      </w:r>
      <w:r>
        <w:rPr>
          <w:lang w:val="es-DO"/>
        </w:rPr>
        <w:t>.</w:t>
      </w:r>
    </w:p>
  </w:endnote>
  <w:endnote w:id="67">
    <w:p w14:paraId="59ED6E50" w14:textId="77777777" w:rsidR="00DF3AFC" w:rsidRPr="00526134" w:rsidRDefault="00DF3AFC" w:rsidP="002327EC">
      <w:pPr>
        <w:pStyle w:val="Textonotapie"/>
        <w:rPr>
          <w:lang w:val="es-DO"/>
        </w:rPr>
      </w:pPr>
      <w:r w:rsidRPr="00526134">
        <w:rPr>
          <w:rStyle w:val="Refdenotaalfinal"/>
          <w:sz w:val="14"/>
          <w:szCs w:val="14"/>
        </w:rPr>
        <w:endnoteRef/>
      </w:r>
      <w:r w:rsidRPr="00526134">
        <w:rPr>
          <w:lang w:val="es-DO"/>
        </w:rPr>
        <w:t xml:space="preserve"> </w:t>
      </w:r>
      <w:r w:rsidRPr="00526134">
        <w:rPr>
          <w:b/>
          <w:lang w:val="es-DO"/>
        </w:rPr>
        <w:t>La Ley Sectorial sobre Biodiversidad, Articulo 11 y Articulo 53,</w:t>
      </w:r>
      <w:r w:rsidRPr="00526134">
        <w:rPr>
          <w:lang w:val="es-DO"/>
        </w:rPr>
        <w:t xml:space="preserve"> hacen referencia a los conocimientos tradicionales.</w:t>
      </w:r>
    </w:p>
  </w:endnote>
  <w:endnote w:id="68">
    <w:p w14:paraId="04ADCD81" w14:textId="77777777" w:rsidR="00DF3AFC" w:rsidRPr="00526134" w:rsidRDefault="00DF3AFC" w:rsidP="002327EC">
      <w:pPr>
        <w:pStyle w:val="Textonotapie"/>
        <w:rPr>
          <w:lang w:val="es-DO"/>
        </w:rPr>
      </w:pPr>
      <w:r w:rsidRPr="00526134">
        <w:rPr>
          <w:rStyle w:val="Refdenotaalfinal"/>
          <w:sz w:val="14"/>
          <w:szCs w:val="14"/>
        </w:rPr>
        <w:endnoteRef/>
      </w:r>
      <w:r w:rsidRPr="00526134">
        <w:rPr>
          <w:lang w:val="es-DO"/>
        </w:rPr>
        <w:t xml:space="preserve"> </w:t>
      </w:r>
      <w:r w:rsidRPr="00526134">
        <w:rPr>
          <w:b/>
          <w:lang w:val="es-DO"/>
        </w:rPr>
        <w:t xml:space="preserve">Ley 202-04 Articulo 7.- Inciso 10.- </w:t>
      </w:r>
      <w:r w:rsidRPr="00526134">
        <w:rPr>
          <w:lang w:val="es-DO"/>
        </w:rPr>
        <w:t>Promover el mantenimiento de atributos culturales específicos y de los conocimientos tradicionales de las poblaciones locales.</w:t>
      </w:r>
    </w:p>
  </w:endnote>
  <w:endnote w:id="69">
    <w:p w14:paraId="1AB18A8F" w14:textId="389426E9" w:rsidR="00DF3AFC" w:rsidRPr="00526134" w:rsidRDefault="00DF3AFC" w:rsidP="002327EC">
      <w:pPr>
        <w:pStyle w:val="Textonotapie"/>
        <w:rPr>
          <w:lang w:val="es-DO"/>
        </w:rPr>
      </w:pPr>
      <w:r w:rsidRPr="00526134">
        <w:rPr>
          <w:rStyle w:val="Refdenotaalfinal"/>
          <w:sz w:val="14"/>
          <w:szCs w:val="14"/>
        </w:rPr>
        <w:endnoteRef/>
      </w:r>
      <w:r w:rsidRPr="00526134">
        <w:rPr>
          <w:lang w:val="es-DO"/>
        </w:rPr>
        <w:t xml:space="preserve"> </w:t>
      </w:r>
      <w:r w:rsidRPr="00526134">
        <w:rPr>
          <w:b/>
          <w:lang w:val="es-DO"/>
        </w:rPr>
        <w:t xml:space="preserve">Ley 64-00 Articulo 136.- Inciso 6.- </w:t>
      </w:r>
      <w:r w:rsidRPr="00526134">
        <w:rPr>
          <w:lang w:val="es-DO"/>
        </w:rPr>
        <w:t xml:space="preserve">Procurar la participación comunitaria en la conservación y la utilización racional de los recursos genéticos, así como asegurar una justa y equitativa distribución de los beneficios que se deriven de su adecuado manejo y utilización. Plantea </w:t>
      </w:r>
      <w:r w:rsidRPr="00526134">
        <w:rPr>
          <w:b/>
          <w:lang w:val="es-DO"/>
        </w:rPr>
        <w:t>La Ley Sectorial sobre Biodiversidad. Artículo 1. Numeral 5</w:t>
      </w:r>
      <w:r w:rsidRPr="00526134">
        <w:rPr>
          <w:lang w:val="es-DO"/>
        </w:rPr>
        <w:t xml:space="preserve">. Asegurar la participación justa y equitativa en los beneficios derivados de la utilización de los recursos genéticos. Esa misma ley en el </w:t>
      </w:r>
      <w:r w:rsidRPr="00526134">
        <w:rPr>
          <w:b/>
          <w:lang w:val="es-DO"/>
        </w:rPr>
        <w:t>Artículo 7.-</w:t>
      </w:r>
      <w:r w:rsidRPr="00526134">
        <w:rPr>
          <w:lang w:val="es-DO"/>
        </w:rPr>
        <w:t xml:space="preserve"> Uso equitativo. El Estado dominicano asegurará la participación de las comunidades en la conservación y utilización sostenible de los elementos de la biodiversidad, asegurando la distribución justa y equitativa de los beneficios derivados de dicha utilización., el </w:t>
      </w:r>
      <w:r w:rsidRPr="00526134">
        <w:rPr>
          <w:b/>
          <w:lang w:val="es-DO"/>
        </w:rPr>
        <w:t>Artículo 48.-</w:t>
      </w:r>
      <w:r w:rsidRPr="00526134">
        <w:rPr>
          <w:lang w:val="es-DO"/>
        </w:rPr>
        <w:t xml:space="preserve"> sobre la Soberanía sobre los recursos genéticos y distribución justa y equitativa de los beneficios. Señala que El Estado dominicano detenta la soberanía sobre los recursos genéticos presentes en el territorio dominicano, y dichos recursos deben ser protegidos y conservados de una manera sostenible, como \in patrimonio nacional para el beneficio de las presentes y futuras generaciones de dominicanos. También le atribuye esa responsabilidad al Ministerio de Medio Ambiente y Recursos Naturales en el </w:t>
      </w:r>
      <w:r w:rsidRPr="00526134">
        <w:rPr>
          <w:b/>
          <w:lang w:val="es-DO"/>
        </w:rPr>
        <w:t>Artículo 49.-</w:t>
      </w:r>
      <w:r w:rsidRPr="00526134">
        <w:rPr>
          <w:lang w:val="es-DO"/>
        </w:rPr>
        <w:t xml:space="preserve"> Acceso a los recursos genéticos y distribución justa y equitativa de los beneficios. Señala que El Ministerio de Medio Ambiente y Recursos Naturales administrará y regulará el acceso a los recursos genéticos, de conformidad con los principios y lo dispuesto en el Convenio sobre la en el Diversidad Biológica y su Protocolo de Nagoya sobre acceso a recursos genéticos y distribución justa y equitativa de los beneficios, a la luz del principio de precaución y del uso equitativo, de acuerdo con las previsiones de los artículos 4, 5, 6 y 7 de esta ley Sectorial sobre Biodiversidad, la misma ley establece la forma de hacer contrato y protección para el uso de esos recursos. </w:t>
      </w:r>
      <w:r w:rsidRPr="00526134">
        <w:rPr>
          <w:b/>
          <w:lang w:val="es-DO"/>
        </w:rPr>
        <w:t>Artículo 53.- Políticas de acceso a los recursos genéticos y distribución de beneficios.</w:t>
      </w:r>
      <w:r w:rsidRPr="00526134">
        <w:rPr>
          <w:lang w:val="es-DO"/>
        </w:rPr>
        <w:t xml:space="preserve"> Corresponde al Ministerio de Medio Ambiente y Recursos Naturales proponer las políticas de acceso sobre los recursos genéticos y sus derivados, participación justa y equitativa de los beneficios que se deriven de su utilización de la biodiversidad, actuar como órgano de consulta obligatoria en los procedimientos de solicitud de protección de los derechos intelectuales sobre la biodiversidad, y los conocimientos tradicionales asociados a los recursos genéticos.</w:t>
      </w:r>
    </w:p>
  </w:endnote>
  <w:endnote w:id="70">
    <w:p w14:paraId="281D485F" w14:textId="69AF274B" w:rsidR="00DF3AFC" w:rsidRPr="00526134" w:rsidRDefault="00DF3AFC" w:rsidP="002327EC">
      <w:pPr>
        <w:pStyle w:val="Textonotapie"/>
      </w:pPr>
      <w:r w:rsidRPr="00526134">
        <w:rPr>
          <w:rStyle w:val="Refdenotaalfinal"/>
          <w:sz w:val="14"/>
          <w:szCs w:val="14"/>
        </w:rPr>
        <w:endnoteRef/>
      </w:r>
      <w:r w:rsidRPr="00526134">
        <w:rPr>
          <w:lang w:val="es-DO"/>
        </w:rPr>
        <w:t xml:space="preserve"> En la LSAP se mencionan los ‘atributos culturales específicos’ y los ‘conocimientos tradicionales’ de poblaciones locales, pero no se definen los términos. </w:t>
      </w:r>
    </w:p>
  </w:endnote>
  <w:endnote w:id="71">
    <w:p w14:paraId="4DE645F7" w14:textId="77777777" w:rsidR="00DF3AFC" w:rsidRPr="00642732" w:rsidRDefault="00DF3AFC" w:rsidP="00FD4CB4">
      <w:pPr>
        <w:pStyle w:val="Textonotapie"/>
        <w:rPr>
          <w:lang w:val="es-DO"/>
        </w:rPr>
      </w:pPr>
      <w:r w:rsidRPr="00526134">
        <w:rPr>
          <w:rStyle w:val="Refdenotaalfinal"/>
          <w:sz w:val="14"/>
          <w:szCs w:val="14"/>
        </w:rPr>
        <w:endnoteRef/>
      </w:r>
      <w:r w:rsidRPr="00526134">
        <w:rPr>
          <w:lang w:val="es-ES"/>
        </w:rPr>
        <w:t xml:space="preserve"> CPD, Artículo 97: Iniciativa legislativa popular. </w:t>
      </w:r>
      <w:r w:rsidRPr="00642732">
        <w:rPr>
          <w:lang w:val="es-DO"/>
        </w:rPr>
        <w:t>Se establece la iniciativa legislativa popular mediante la cual un número de ciudadanos y ciudadanas no menor del dos por ciento (2%) de los inscritos en el registro de electores, podrá presentar proyectos de ley ante el Congreso Nacional. Una ley especial establecerá el procedimiento y las restricciones para el ejercicio de esta iniciativa. Artículo 203.- Referendo, plebiscitos e iniciativa normativa municipal. La Ley Orgánica de la Administración Local establecerá los ámbitos, requisitos y condiciones para el ejercicio del referendo, plebiscito y la iniciativa normativa municipales con el fin de fortalecer el desarrollo de la democracia y la gestión local</w:t>
      </w:r>
    </w:p>
  </w:endnote>
  <w:endnote w:id="72">
    <w:p w14:paraId="16170580" w14:textId="77777777" w:rsidR="00DF3AFC" w:rsidRPr="00526134" w:rsidRDefault="00DF3AFC" w:rsidP="00FD4CB4">
      <w:pPr>
        <w:pStyle w:val="Textonotapie"/>
      </w:pPr>
      <w:r w:rsidRPr="00526134">
        <w:endnoteRef/>
      </w:r>
      <w:r w:rsidRPr="00526134">
        <w:rPr>
          <w:lang w:val="es-DO"/>
        </w:rPr>
        <w:t xml:space="preserve"> </w:t>
      </w:r>
      <w:r w:rsidRPr="00526134">
        <w:rPr>
          <w:b/>
          <w:lang w:val="es-DO"/>
        </w:rPr>
        <w:t xml:space="preserve">LOAP. </w:t>
      </w:r>
      <w:r w:rsidRPr="00526134">
        <w:rPr>
          <w:b/>
        </w:rPr>
        <w:t>Artículo 12: Principio13:</w:t>
      </w:r>
      <w:r w:rsidRPr="00526134">
        <w:t xml:space="preserve"> Principio de participación en las políticas públicas. Las personas tienen el derecho de participar, de conformidad con la ley, en los procedimientos, medios e instancias establecidos para el diseño, la ejecución, seguimiento, evaluación y control de las políticas públicas a cargo de la Administración Pública. Los entes y órganos de la Administración Pública promoverán la participación ciudadana en la gestión pública. A tales fines, las personas podrán, directamente o a través de las comunidades organizadas o las organizaciones públicas no estatales legalmente constituidas, presentar propuestas y formular opiniones sobre la gestión de los entes y órganos de la Administración Pública. A los efectos de su participación en la consulta sobre políticas y normas para la regulación del sector respectivo, cada ministerio llevará un registro de las comunidades organizadas y las organizaciones públicas no estatales cuyo objeto se refiera al sector y que soliciten libremente su inscripción. Participación del público. La participación del público en general, con independencia de que se vea o no afectado directamente por el proyecto de texto reglamentario, plan o programa, deberá garantizarse antes de la aprobación definitiva salvo texto legal en contrario. </w:t>
      </w:r>
    </w:p>
  </w:endnote>
  <w:endnote w:id="73">
    <w:p w14:paraId="0C3AC124" w14:textId="77777777" w:rsidR="00DF3AFC" w:rsidRPr="00642732" w:rsidRDefault="00DF3AFC" w:rsidP="00FD4CB4">
      <w:pPr>
        <w:pStyle w:val="Textonotapie"/>
        <w:rPr>
          <w:lang w:val="es-DO"/>
        </w:rPr>
      </w:pPr>
      <w:r w:rsidRPr="00526134">
        <w:rPr>
          <w:rStyle w:val="Refdenotaalfinal"/>
          <w:sz w:val="14"/>
          <w:szCs w:val="14"/>
        </w:rPr>
        <w:endnoteRef/>
      </w:r>
      <w:r w:rsidRPr="00642732">
        <w:rPr>
          <w:lang w:val="es-DO"/>
        </w:rPr>
        <w:t xml:space="preserve"> </w:t>
      </w:r>
      <w:r w:rsidRPr="00642732">
        <w:rPr>
          <w:b/>
          <w:lang w:val="es-DO"/>
        </w:rPr>
        <w:t>La Ley de Planificación e Inversión Pública, en el Artículo 12, numeral 13</w:t>
      </w:r>
      <w:r w:rsidRPr="00642732">
        <w:rPr>
          <w:lang w:val="es-DO"/>
        </w:rPr>
        <w:t>.  Principio de participación en las políticas públicas. Las personas tienen el derecho de participar, de conformidad con la ley, en los procedimientos, medios e instancias establecidos para el diseño, la ejecución, seguimiento, evaluación y control de las políticas públicas a cargo de la Administración Publica. Los entes y órganos de la Administración Publica promoverán la participación ciudadana en la gestión pública. A tales fines, las personas podrán, directamente o a través de las comunidades organizadas o las organizaciones públicas no estatales legalmente constituidas, presentar propuestas y formular opiniones sobre la gestión de los entes y órganos de la Administración Publica. A los efectos de su participación en la consulta sobre políticas y normas para la regulación del sector respectivo, cada ministerio llevara un registro de las comunidades organizadas y las organizaciones públicas no estatales cuyo objeto se refiera al sector y que soliciten libremente su inscripción</w:t>
      </w:r>
    </w:p>
  </w:endnote>
  <w:endnote w:id="74">
    <w:p w14:paraId="45103A0D" w14:textId="77777777" w:rsidR="00DF3AFC" w:rsidRPr="00526134" w:rsidRDefault="00DF3AFC" w:rsidP="00FD4CB4">
      <w:pPr>
        <w:pStyle w:val="Textonotapie"/>
        <w:rPr>
          <w:rFonts w:eastAsia="Cambria" w:cstheme="minorHAnsi"/>
          <w:color w:val="000000"/>
          <w:lang w:val="es-DO" w:eastAsia="es-DO"/>
        </w:rPr>
      </w:pPr>
      <w:r w:rsidRPr="00526134">
        <w:rPr>
          <w:rStyle w:val="Refdenotaalfinal"/>
          <w:sz w:val="14"/>
          <w:szCs w:val="14"/>
        </w:rPr>
        <w:endnoteRef/>
      </w:r>
      <w:r w:rsidRPr="00642732">
        <w:rPr>
          <w:lang w:val="es-DO"/>
        </w:rPr>
        <w:t xml:space="preserve"> </w:t>
      </w:r>
      <w:r w:rsidRPr="00526134">
        <w:rPr>
          <w:rFonts w:eastAsia="Cambria" w:cstheme="minorHAnsi"/>
          <w:b/>
          <w:color w:val="000000"/>
          <w:lang w:val="es-DO" w:eastAsia="es-DO"/>
        </w:rPr>
        <w:t xml:space="preserve">LDPRAPA, </w:t>
      </w:r>
      <w:r w:rsidRPr="00642732">
        <w:rPr>
          <w:rFonts w:cstheme="minorHAnsi"/>
          <w:b/>
          <w:lang w:val="es-DO"/>
        </w:rPr>
        <w:t>Artículo</w:t>
      </w:r>
      <w:r w:rsidRPr="00526134">
        <w:rPr>
          <w:rFonts w:eastAsia="Cambria" w:cstheme="minorHAnsi"/>
          <w:b/>
          <w:color w:val="000000"/>
          <w:lang w:val="es-DO" w:eastAsia="es-DO"/>
        </w:rPr>
        <w:t xml:space="preserve"> 31:</w:t>
      </w:r>
      <w:r w:rsidRPr="00526134">
        <w:rPr>
          <w:rFonts w:eastAsia="Cambria" w:cstheme="minorHAnsi"/>
          <w:color w:val="000000"/>
          <w:lang w:val="es-DO" w:eastAsia="es-DO"/>
        </w:rPr>
        <w:t xml:space="preserve"> Principios del procedimiento aplicable a la elaboración de reglamentos, planes o programas. La elaboración de reglamentos administrativos, planes y programas de alcance general, se sujetará a los siguientes principios y criterios, cualquiera que sea la Administración competente en cada caso: </w:t>
      </w:r>
      <w:r w:rsidRPr="00526134">
        <w:rPr>
          <w:rFonts w:eastAsia="Cambria" w:cstheme="minorHAnsi"/>
          <w:b/>
          <w:color w:val="000000"/>
          <w:lang w:val="es-DO" w:eastAsia="es-DO"/>
        </w:rPr>
        <w:t>3.</w:t>
      </w:r>
      <w:r w:rsidRPr="00526134">
        <w:rPr>
          <w:rFonts w:eastAsia="Cambria" w:cstheme="minorHAnsi"/>
          <w:color w:val="000000"/>
          <w:lang w:val="es-DO" w:eastAsia="es-DO"/>
        </w:rPr>
        <w:t xml:space="preserve"> Audiencia de los ciudadanos directamente afectados en sus derechos e intereses. La audiencia de los ciudadanos, directamente o a través de las asociaciones que les representen, se ha de producir en todo caso antes de la aprobación definitiva del texto reglamentario, plan o programa cuando puedan verse afectados en sus derechos e intereses legítimos. Habrá de otorgarse un plazo razonable y suficiente, en razón de la materia y de las circunstancias concurrentes, para que esa audiencia resulte real y efectiva. La Administración habrá de contar igualmente con un plazo razonable y suficiente para procesar y analizar las alegaciones realizadas.</w:t>
      </w:r>
    </w:p>
  </w:endnote>
  <w:endnote w:id="75">
    <w:p w14:paraId="1A8FD280" w14:textId="77777777" w:rsidR="00DF3AFC" w:rsidRPr="00642732" w:rsidRDefault="00DF3AFC" w:rsidP="00FD4CB4">
      <w:pPr>
        <w:pStyle w:val="Textonotapie"/>
        <w:rPr>
          <w:lang w:val="es-DO"/>
        </w:rPr>
      </w:pPr>
      <w:r w:rsidRPr="00526134">
        <w:rPr>
          <w:rStyle w:val="Refdenotaalfinal"/>
          <w:sz w:val="14"/>
          <w:szCs w:val="14"/>
        </w:rPr>
        <w:endnoteRef/>
      </w:r>
      <w:r w:rsidRPr="00642732">
        <w:rPr>
          <w:lang w:val="es-DO"/>
        </w:rPr>
        <w:t xml:space="preserve"> </w:t>
      </w:r>
      <w:r w:rsidRPr="00642732">
        <w:rPr>
          <w:b/>
          <w:lang w:val="es-DO"/>
        </w:rPr>
        <w:t>La Ley No.64-00, Articulo 6,</w:t>
      </w:r>
      <w:r w:rsidRPr="00642732">
        <w:rPr>
          <w:lang w:val="es-DO"/>
        </w:rPr>
        <w:t xml:space="preserve">  reconoce el derecho a participar al indicar que el Estado garantizará la participación de las comunidades y los habitantes en la conservación, gestión y uso sostenible de los recursos naturales y el medio ambiente, </w:t>
      </w:r>
      <w:r w:rsidRPr="00642732">
        <w:rPr>
          <w:b/>
          <w:lang w:val="es-DO"/>
        </w:rPr>
        <w:t>Articulo</w:t>
      </w:r>
      <w:r w:rsidRPr="00642732">
        <w:rPr>
          <w:lang w:val="es-DO"/>
        </w:rPr>
        <w:t xml:space="preserve"> 18: Corresponden a la Secretaría de Estado de Medio Ambiente y Recursos Naturales las siguientes funciones: 11) Propiciar la integración de la sociedad civil y las organizaciones comunitarias a los planes, programas y proyectos destinados a la preservación y mejoramiento del medio ambiente;</w:t>
      </w:r>
    </w:p>
  </w:endnote>
  <w:endnote w:id="76">
    <w:p w14:paraId="6729AA6C" w14:textId="558BFBD9" w:rsidR="00DF3AFC" w:rsidRPr="00642732" w:rsidRDefault="00DF3AFC" w:rsidP="00FD4CB4">
      <w:pPr>
        <w:pStyle w:val="Textonotapie"/>
        <w:rPr>
          <w:rFonts w:cstheme="minorHAnsi"/>
          <w:lang w:val="es-DO"/>
        </w:rPr>
      </w:pPr>
      <w:r w:rsidRPr="00526134">
        <w:rPr>
          <w:rStyle w:val="Refdenotaalfinal"/>
          <w:sz w:val="14"/>
          <w:szCs w:val="14"/>
        </w:rPr>
        <w:endnoteRef/>
      </w:r>
      <w:r w:rsidRPr="00642732">
        <w:rPr>
          <w:lang w:val="es-DO"/>
        </w:rPr>
        <w:t xml:space="preserve"> </w:t>
      </w:r>
      <w:r w:rsidRPr="00642732">
        <w:rPr>
          <w:b/>
          <w:lang w:val="es-DO"/>
        </w:rPr>
        <w:t>la LOAP, en el Artículo 12 y los principios de participación</w:t>
      </w:r>
      <w:r w:rsidRPr="00642732">
        <w:rPr>
          <w:rFonts w:cstheme="minorHAnsi"/>
          <w:b/>
          <w:lang w:val="es-DO"/>
        </w:rPr>
        <w:t>,</w:t>
      </w:r>
      <w:r w:rsidRPr="00642732">
        <w:rPr>
          <w:rFonts w:cstheme="minorHAnsi"/>
          <w:lang w:val="es-DO"/>
        </w:rPr>
        <w:t xml:space="preserve"> reconoce el derecho de las personas de participar en los procedimientos, medios e instancias establecidos para el diseño, la ejecución, seguimiento, evaluación y control de las políticas públicas a cargo de la Administración Pública. En línea con lo anterior, la Ley del derecho de las personas en relación a la administración pública reconoce el derecho a participar como principio aplicable a la elaboración de reglamentos, planes o programas el derecho a participar mediante la figura de la audiencia de los ciudadanos afectados.</w:t>
      </w:r>
    </w:p>
  </w:endnote>
  <w:endnote w:id="77">
    <w:p w14:paraId="094A45C8" w14:textId="77777777" w:rsidR="00DF3AFC" w:rsidRPr="00642732" w:rsidRDefault="00DF3AFC" w:rsidP="00FD4CB4">
      <w:pPr>
        <w:pStyle w:val="Textonotapie"/>
        <w:rPr>
          <w:lang w:val="es-DO"/>
        </w:rPr>
      </w:pPr>
      <w:r w:rsidRPr="00526134">
        <w:rPr>
          <w:rStyle w:val="Refdenotaalfinal"/>
          <w:sz w:val="14"/>
          <w:szCs w:val="14"/>
        </w:rPr>
        <w:endnoteRef/>
      </w:r>
      <w:r w:rsidRPr="00642732">
        <w:rPr>
          <w:lang w:val="es-DO"/>
        </w:rPr>
        <w:t xml:space="preserve"> </w:t>
      </w:r>
      <w:r w:rsidRPr="00642732">
        <w:rPr>
          <w:b/>
          <w:lang w:val="es-DO"/>
        </w:rPr>
        <w:t>La Ley 107-13 sobre los Derechos de las Personas en sus Relaciones con la Administración y de Procedimiento Administrativo. Artículo 3.</w:t>
      </w:r>
      <w:r w:rsidRPr="00642732">
        <w:rPr>
          <w:lang w:val="es-DO"/>
        </w:rPr>
        <w:t xml:space="preserve"> Principios de la actuación administrativa. En el marco del respeto al ordenamiento jurídico en su conjunto, la Administración Pública sirve y garantiza con objetividad el interés general y actúa, especialmente en sus relaciones con las personas, de acuerdo con los siguientes principios: </w:t>
      </w:r>
      <w:r w:rsidRPr="00642732">
        <w:rPr>
          <w:b/>
          <w:lang w:val="es-DO"/>
        </w:rPr>
        <w:t>Principio promocional:</w:t>
      </w:r>
      <w:r w:rsidRPr="00642732">
        <w:rPr>
          <w:lang w:val="es-DO"/>
        </w:rPr>
        <w:t xml:space="preserve"> Expresado en la creación de las condiciones para que la libertad y la igualdad de oportunidades de las personas y de los grupos en que se integran sean reales y efectivos, removiendo los obstáculos que impidan su cumplimiento y fomentando igualmente la participación. </w:t>
      </w:r>
      <w:r w:rsidRPr="00642732">
        <w:rPr>
          <w:b/>
          <w:lang w:val="es-DO"/>
        </w:rPr>
        <w:t>Artículo 4.</w:t>
      </w:r>
      <w:r w:rsidRPr="00642732">
        <w:rPr>
          <w:lang w:val="es-DO"/>
        </w:rPr>
        <w:t xml:space="preserve"> Derecho a la buena administración y derechos de las personas en sus relaciones con la Administración Pública. Se reconoce el derecho de las personas a una buena Administración Pública, que se concreta, entre otros, en los siguientes derechos subjetivos de orden administrativo</w:t>
      </w:r>
      <w:r w:rsidRPr="00642732">
        <w:rPr>
          <w:b/>
          <w:lang w:val="es-DO"/>
        </w:rPr>
        <w:t>: 9.</w:t>
      </w:r>
      <w:r w:rsidRPr="00642732">
        <w:rPr>
          <w:lang w:val="es-DO"/>
        </w:rPr>
        <w:t xml:space="preserve"> Derecho de participación en las actuaciones administrativas en que tengan interés, especialmente a través de audiencias y de informaciones públicas. </w:t>
      </w:r>
      <w:r w:rsidRPr="00642732">
        <w:rPr>
          <w:b/>
          <w:lang w:val="es-DO"/>
        </w:rPr>
        <w:t>Artículo 30. Objeto.</w:t>
      </w:r>
      <w:r w:rsidRPr="00642732">
        <w:rPr>
          <w:lang w:val="es-DO"/>
        </w:rPr>
        <w:t xml:space="preserve"> Las disposiciones de este capítulo tienen por objeto establecer los estándares mínimos y obligatorios de los procedimientos administrativos que procuran la adopción de reglamentos, planes y programas, que poseen un alcance general.  La finalidad de estas normas reside en que la Administración Pública obtenga la información necesaria para su aprobación, canalizando el diálogo con otros órganos y entes públicos, con los interesados y el público en general, con ponderación de las políticas sectoriales y derechos implicados y promoviendo el derecho fundamental a la participación ciudadana como sustento de la buena gobernanza democrática. .</w:t>
      </w:r>
    </w:p>
  </w:endnote>
  <w:endnote w:id="78">
    <w:p w14:paraId="0163C215" w14:textId="3EB9F335" w:rsidR="00DF3AFC" w:rsidRPr="00642732" w:rsidRDefault="00DF3AFC" w:rsidP="00FD4CB4">
      <w:pPr>
        <w:pStyle w:val="Textonotapie"/>
        <w:rPr>
          <w:lang w:val="es-DO"/>
        </w:rPr>
      </w:pPr>
      <w:r w:rsidRPr="00526134">
        <w:rPr>
          <w:rStyle w:val="Refdenotaalfinal"/>
          <w:sz w:val="14"/>
          <w:szCs w:val="14"/>
        </w:rPr>
        <w:endnoteRef/>
      </w:r>
      <w:r w:rsidRPr="00642732">
        <w:rPr>
          <w:lang w:val="es-DO"/>
        </w:rPr>
        <w:t xml:space="preserve"> </w:t>
      </w:r>
      <w:r w:rsidRPr="00642732">
        <w:rPr>
          <w:b/>
          <w:lang w:val="es-DO"/>
        </w:rPr>
        <w:t>La Ley Sectorial sobre Biodiversidad 333-15. CONSIDERANDO DECIMOSEGUNDO:</w:t>
      </w:r>
      <w:r w:rsidRPr="00642732">
        <w:rPr>
          <w:lang w:val="es-DO"/>
        </w:rPr>
        <w:t xml:space="preserve"> La necesidad de conservar y usar sosteniblemente los recursos genéticos, asegurando la participación de las comunidades locales en los beneficios derivados de los mismos; </w:t>
      </w:r>
      <w:r w:rsidRPr="00642732">
        <w:rPr>
          <w:b/>
          <w:lang w:val="es-DO"/>
        </w:rPr>
        <w:t xml:space="preserve">Articulo 1 numeral 5. </w:t>
      </w:r>
      <w:r w:rsidRPr="00642732">
        <w:rPr>
          <w:lang w:val="es-DO"/>
        </w:rPr>
        <w:t>Asegurar la participación justa y equitativa en los beneficios derivados de la utilización de los recursos genéticos</w:t>
      </w:r>
      <w:r w:rsidRPr="00642732">
        <w:rPr>
          <w:b/>
          <w:lang w:val="es-DO"/>
        </w:rPr>
        <w:t>. Artículo 7.-</w:t>
      </w:r>
      <w:r w:rsidRPr="00642732">
        <w:rPr>
          <w:lang w:val="es-DO"/>
        </w:rPr>
        <w:t xml:space="preserve"> Uso equitativo. El Estado dominicano asegurará la participación de las comunidades en la conservación y utilización sostenible de los elementos de la biodiversidad, asegurando la distribución justa y equitativa de los beneficios derivados de dicha utilización</w:t>
      </w:r>
      <w:r w:rsidRPr="00642732">
        <w:rPr>
          <w:b/>
          <w:lang w:val="es-DO"/>
        </w:rPr>
        <w:t>. Artículo 20.- Participación</w:t>
      </w:r>
      <w:r w:rsidRPr="00642732">
        <w:rPr>
          <w:lang w:val="es-DO"/>
        </w:rPr>
        <w:t xml:space="preserve">. La gestión de la biodiversidad se realizará con una amplia y directa participación de los sectores y actores involucrados e interesados, y de manera particular las comunidades locales, conforme a la naturaleza y propósito de la acción. </w:t>
      </w:r>
      <w:r w:rsidRPr="00642732">
        <w:rPr>
          <w:b/>
          <w:lang w:val="es-DO"/>
        </w:rPr>
        <w:t>Párrafo II.-</w:t>
      </w:r>
      <w:r w:rsidRPr="00642732">
        <w:rPr>
          <w:lang w:val="es-DO"/>
        </w:rPr>
        <w:t xml:space="preserve"> El Ministerio de Medio Ambiente y Recursos Naturales establecerá y mantendrá los mecanismos de intercambio de información</w:t>
      </w:r>
      <w:r>
        <w:rPr>
          <w:lang w:val="es-DO"/>
        </w:rPr>
        <w:t xml:space="preserve"> </w:t>
      </w:r>
      <w:r w:rsidRPr="00642732">
        <w:rPr>
          <w:lang w:val="es-DO"/>
        </w:rPr>
        <w:t xml:space="preserve">necesarios como herramienta de participación y concienciación pública. </w:t>
      </w:r>
      <w:r w:rsidRPr="00642732">
        <w:rPr>
          <w:b/>
          <w:lang w:val="es-DO"/>
        </w:rPr>
        <w:t>Artículo 53.-</w:t>
      </w:r>
      <w:r w:rsidRPr="00642732">
        <w:rPr>
          <w:lang w:val="es-DO"/>
        </w:rPr>
        <w:t xml:space="preserve"> Políticas de acceso a los recursos genéticos y distribución de beneficios. Corresponde al Ministerio de Medio Ambiente y Recursos Naturales proponer las políticas de acceso sobre los recursos genéticos y sus derivados, participación justa y equitativa de los beneficios que se deriven de su utilización de la biodiversidad, actuar como órgano de consulta obligatoria en los procedimientos de solicitud de protección de los derechos intelectuales sobre la biodiversidad, y los conocimientos tradicionales asociados a los recursos genéticos. </w:t>
      </w:r>
      <w:r w:rsidRPr="00642732">
        <w:rPr>
          <w:b/>
          <w:lang w:val="es-DO"/>
        </w:rPr>
        <w:t>Párrafo. -</w:t>
      </w:r>
      <w:r w:rsidRPr="00642732">
        <w:rPr>
          <w:lang w:val="es-DO"/>
        </w:rPr>
        <w:t xml:space="preserve"> El Ministerio de Medio Ambiente y Recursos Naturales mantendrá un registro actualizado de los usos que se hayan autorizado de los recursos genéticos y sus derivados. </w:t>
      </w:r>
      <w:r w:rsidRPr="00642732">
        <w:rPr>
          <w:b/>
          <w:lang w:val="es-DO"/>
        </w:rPr>
        <w:t xml:space="preserve">Ley No. 64-00, Artículo. 6: </w:t>
      </w:r>
      <w:r w:rsidRPr="00642732">
        <w:rPr>
          <w:lang w:val="es-DO"/>
        </w:rPr>
        <w:t>La libertad de los ciudadanos en el uso de los recursos naturales se basa en el derecho de toda persona a disfrutar de un medio ambiente sano. El Estado garantizará la participación de las comunidades y los habitantes del país en la conservación, gestión y uso sostenible de los recursos naturales y el medio ambiente, así como el acceso a información veraz y oportuna sobre la situación y el estado de los mismos.</w:t>
      </w:r>
    </w:p>
  </w:endnote>
  <w:endnote w:id="79">
    <w:p w14:paraId="6B194A7C" w14:textId="77777777" w:rsidR="00DF3AFC" w:rsidRPr="00642732" w:rsidRDefault="00DF3AFC" w:rsidP="00FD4CB4">
      <w:pPr>
        <w:pStyle w:val="Textonotapie"/>
        <w:rPr>
          <w:lang w:val="es-DO"/>
        </w:rPr>
      </w:pPr>
      <w:r w:rsidRPr="00526134">
        <w:rPr>
          <w:rStyle w:val="Refdenotaalfinal"/>
          <w:sz w:val="14"/>
          <w:szCs w:val="14"/>
        </w:rPr>
        <w:endnoteRef/>
      </w:r>
      <w:r w:rsidRPr="00642732">
        <w:rPr>
          <w:lang w:val="es-DO"/>
        </w:rPr>
        <w:t xml:space="preserve"> </w:t>
      </w:r>
      <w:r w:rsidRPr="00642732">
        <w:rPr>
          <w:b/>
          <w:lang w:val="es-DO"/>
        </w:rPr>
        <w:t>RF, Artículo</w:t>
      </w:r>
      <w:r w:rsidRPr="00642732">
        <w:rPr>
          <w:lang w:val="es-DO"/>
        </w:rPr>
        <w:t xml:space="preserve"> 8: La Secretaría de Estado de Medio Ambiente y Recursos Naturales podrá crear Comisiones Forestales Regionales, las cuales serán órganos de concertación y participación en todas las fases de planificación, ejecución y seguimiento de los planes, programas y proyectos dirigidos al desarrollo, fomento y uso sostenible de los recursos forestales de cada región. Párrafo 2. Las Comisiones Forestales Regionales tendrán las siguientes funciones: a) Participar en la formulación y aplicación de políticas y estrategias para el manejo de los recursos forestales en la región, especialmente en el ordenamiento forestal;</w:t>
      </w:r>
    </w:p>
  </w:endnote>
  <w:endnote w:id="80">
    <w:p w14:paraId="444B735B" w14:textId="52BD7C1A" w:rsidR="00DF3AFC" w:rsidRPr="00526134" w:rsidRDefault="00DF3AFC" w:rsidP="00FD4CB4">
      <w:pPr>
        <w:pStyle w:val="Textonotapie"/>
      </w:pPr>
      <w:r w:rsidRPr="00526134">
        <w:rPr>
          <w:rStyle w:val="Refdenotaalfinal"/>
          <w:sz w:val="14"/>
          <w:szCs w:val="14"/>
        </w:rPr>
        <w:endnoteRef/>
      </w:r>
      <w:r w:rsidRPr="00526134">
        <w:t xml:space="preserve"> </w:t>
      </w:r>
      <w:r w:rsidRPr="00526134">
        <w:rPr>
          <w:b/>
        </w:rPr>
        <w:t>LOEND, Artículo 15: Participación Social.-</w:t>
      </w:r>
      <w:r w:rsidRPr="00526134">
        <w:t xml:space="preserve"> Deberá promoverse la participación social en la formulación, ejecución, auditoría y evaluación de las políticas públicas, mediante la creación de espacios y mecanismos institucionales que faciliten la corresponsabilidad ciudadana, la equidad de género, el acceso a la información, la transparencia, la rendición de cuentas, la veeduría social y la fluidez en las relaciones Estado-sociedad. </w:t>
      </w:r>
      <w:r w:rsidRPr="00526134">
        <w:rPr>
          <w:b/>
        </w:rPr>
        <w:t>Línea de acción  1.1.2.3</w:t>
      </w:r>
      <w:r w:rsidRPr="00526134">
        <w:t xml:space="preserve"> Establecer mecanismos de participación permanente y las vías de comunicación entre las autoridades municipales y los habitantes del municipio para promover la permanente participación social activa y responsable en los espacios de consulta y concertación del gobierno local, mediante el desarrollo de una cultura de derechos y deberes de las y los munícipes y el fortalecimiento de las organizaciones comunitarias y representativas de los distintos sectores que interactúan en el municipio, enfatizando las de niños, niñas, adolescentes, jóvenes y mujeres. </w:t>
      </w:r>
      <w:r w:rsidRPr="00526134">
        <w:rPr>
          <w:b/>
        </w:rPr>
        <w:t xml:space="preserve">Objetivo 3: 1.3.1 </w:t>
      </w:r>
      <w:r w:rsidRPr="00526134">
        <w:t xml:space="preserve">Promover la calidad de la democracia, sus principios, instituciones y procedimientos, facilitando la participación institucional y organizada de la población y el ejercicio. </w:t>
      </w:r>
      <w:r w:rsidRPr="00526134">
        <w:rPr>
          <w:b/>
        </w:rPr>
        <w:t>1.3.1.1</w:t>
      </w:r>
      <w:r w:rsidRPr="00526134">
        <w:t xml:space="preserve"> Establecer una Ley de participación social, con criterios de afirmación positiva para grupos tradicionalmente excluidos, que garantice a la población la canalización de sus necesidades, demandas y propuestas a las instancias correspondientes. </w:t>
      </w:r>
      <w:r w:rsidRPr="00526134">
        <w:rPr>
          <w:b/>
        </w:rPr>
        <w:t xml:space="preserve">1.3.1.2 </w:t>
      </w:r>
      <w:r w:rsidRPr="00526134">
        <w:t xml:space="preserve">Desarrollar y consolidar mecanismos de participación y veeduría social, sustentados en el acceso a la información pública, rendición de cuentas y evaluación y control de calidad de las políticas y servicios públicos. </w:t>
      </w:r>
      <w:r w:rsidRPr="00526134">
        <w:rPr>
          <w:b/>
        </w:rPr>
        <w:t>1.3.1.4.</w:t>
      </w:r>
      <w:r w:rsidRPr="00526134">
        <w:t xml:space="preserve"> Consolidar y promover la participación de las organizaciones de la sociedad civil en la gestión de lo público. </w:t>
      </w:r>
      <w:r w:rsidRPr="00526134">
        <w:rPr>
          <w:b/>
        </w:rPr>
        <w:t>2.3.3.4</w:t>
      </w:r>
      <w:r w:rsidRPr="00526134">
        <w:t xml:space="preserve"> Promover la participación activa de los diferentes actores y sectores sociales en los procesos de diseño, ejecución, evaluación y monitoreo de políticas, programas y proyectos orientados a la reducción de la pobreza, incluyendo aquellos que también impactan positivamente en la sostenibilidad del medio ambiente y la gestión de riesgos. </w:t>
      </w:r>
      <w:r w:rsidRPr="00526134">
        <w:rPr>
          <w:b/>
        </w:rPr>
        <w:t>Objetivo: 4.1.1</w:t>
      </w:r>
      <w:r w:rsidRPr="00526134">
        <w:t xml:space="preserve"> Proteger y usar de forma sostenible los bienes y servicios de los ecosistemas, la biodiversidad y el patrimonio natural de la nación, incluidos los recursos marinos. </w:t>
      </w:r>
      <w:r w:rsidRPr="00526134">
        <w:rPr>
          <w:b/>
        </w:rPr>
        <w:t>4.1.1.2</w:t>
      </w:r>
      <w:r w:rsidRPr="00526134">
        <w:t xml:space="preserve"> Fortalecer la participación de los gobiernos locales en la gestión del medio ambiente y los recursos naturales y promover su implementación, en el ámbito geográfico del Plan de Ordenamiento Territorial. </w:t>
      </w:r>
      <w:r w:rsidRPr="00526134">
        <w:rPr>
          <w:b/>
        </w:rPr>
        <w:t>Artículo 39:</w:t>
      </w:r>
      <w:r w:rsidRPr="00526134">
        <w:t xml:space="preserve"> Participación Social. - La participación social en el proceso de monitoreo y evaluación de la Estrategia Nacional de Desarrollo 2030 se realizará a través del Consejo Económico y Social, los órganos de consulta y participación social en el territorio contemplados en el Sistema Nacional de Planificación e Inversión Pública, el Consejo Nacional de Juventud, representantes de los gobiernos locales y las fuerzas políticas. Estas instancias facilitarán la veeduría social, la rendición de cuentas y el cumplimiento de la corresponsabilidad público-privada necesarias para el logro de los objetivos de desarrollo nacional. </w:t>
      </w:r>
    </w:p>
  </w:endnote>
  <w:endnote w:id="81">
    <w:p w14:paraId="1D953643" w14:textId="77777777" w:rsidR="00DF3AFC" w:rsidRPr="00526134" w:rsidRDefault="00DF3AFC" w:rsidP="00FD4CB4">
      <w:pPr>
        <w:pStyle w:val="Textonotapie"/>
        <w:rPr>
          <w:rFonts w:eastAsia="Cambria" w:cs="Cambria"/>
          <w:color w:val="000000"/>
          <w:lang w:val="es-DO" w:eastAsia="es-DO"/>
        </w:rPr>
      </w:pPr>
      <w:r w:rsidRPr="00526134">
        <w:rPr>
          <w:rStyle w:val="Refdenotaalfinal"/>
          <w:sz w:val="14"/>
          <w:szCs w:val="14"/>
        </w:rPr>
        <w:endnoteRef/>
      </w:r>
      <w:r w:rsidRPr="00642732">
        <w:rPr>
          <w:lang w:val="es-DO"/>
        </w:rPr>
        <w:t xml:space="preserve"> </w:t>
      </w:r>
      <w:r w:rsidRPr="00526134">
        <w:rPr>
          <w:rFonts w:eastAsia="Cambria" w:cs="Cambria"/>
          <w:b/>
          <w:color w:val="000000"/>
          <w:lang w:val="es-DO" w:eastAsia="es-DO"/>
        </w:rPr>
        <w:t xml:space="preserve">LSAP, </w:t>
      </w:r>
      <w:r w:rsidRPr="00642732">
        <w:rPr>
          <w:b/>
          <w:lang w:val="es-DO"/>
        </w:rPr>
        <w:t>Artículo</w:t>
      </w:r>
      <w:r w:rsidRPr="00526134">
        <w:rPr>
          <w:rFonts w:eastAsia="Cambria" w:cs="Cambria"/>
          <w:b/>
          <w:color w:val="000000"/>
          <w:lang w:val="es-DO" w:eastAsia="es-DO"/>
        </w:rPr>
        <w:t>. 4:</w:t>
      </w:r>
      <w:r w:rsidRPr="00526134">
        <w:rPr>
          <w:rFonts w:eastAsia="Cambria" w:cs="Cambria"/>
          <w:color w:val="000000"/>
          <w:lang w:val="es-DO" w:eastAsia="es-DO"/>
        </w:rPr>
        <w:t xml:space="preserve"> Son objetivos de la presente ley: 2) Promover la participación activa de todos los sectores sociales en la conservación y el uso ecológicamente sostenible de las áreas protegidas;</w:t>
      </w:r>
    </w:p>
  </w:endnote>
  <w:endnote w:id="82">
    <w:p w14:paraId="004F77C5" w14:textId="63650852" w:rsidR="00DF3AFC" w:rsidRPr="00642732" w:rsidRDefault="00DF3AFC" w:rsidP="00FD4CB4">
      <w:pPr>
        <w:pStyle w:val="Textonotapie"/>
        <w:rPr>
          <w:lang w:val="es-DO"/>
        </w:rPr>
      </w:pPr>
      <w:r w:rsidRPr="00526134">
        <w:rPr>
          <w:rStyle w:val="Refdenotaalfinal"/>
          <w:sz w:val="14"/>
          <w:szCs w:val="14"/>
        </w:rPr>
        <w:endnoteRef/>
      </w:r>
      <w:r w:rsidRPr="00642732">
        <w:rPr>
          <w:lang w:val="es-DO"/>
        </w:rPr>
        <w:t xml:space="preserve"> </w:t>
      </w:r>
      <w:r w:rsidRPr="00642732">
        <w:rPr>
          <w:b/>
          <w:lang w:val="es-DO"/>
        </w:rPr>
        <w:t>RSAA, Artículo 25.-</w:t>
      </w:r>
      <w:r w:rsidRPr="00642732">
        <w:rPr>
          <w:lang w:val="es-DO"/>
        </w:rPr>
        <w:t xml:space="preserve"> El Ministerio de Medio Ambiente y Recursos Naturales hará disponible el estudio ambiental a l</w:t>
      </w:r>
      <w:r>
        <w:rPr>
          <w:lang w:val="es-DO"/>
        </w:rPr>
        <w:t>o</w:t>
      </w:r>
      <w:r w:rsidRPr="00642732">
        <w:rPr>
          <w:lang w:val="es-DO"/>
        </w:rPr>
        <w:t xml:space="preserve">s </w:t>
      </w:r>
      <w:r>
        <w:rPr>
          <w:lang w:val="es-DO"/>
        </w:rPr>
        <w:t>actores involucrados</w:t>
      </w:r>
      <w:r w:rsidRPr="00642732">
        <w:rPr>
          <w:lang w:val="es-DO"/>
        </w:rPr>
        <w:t xml:space="preserve"> y al público en general y otorgará un plazo de no menos de quince (15) días hábiles, contados a partir de que se publique la disponibilidad de estos documentos, para recibir las opiniones del público. </w:t>
      </w:r>
      <w:r w:rsidRPr="00642732">
        <w:rPr>
          <w:b/>
          <w:lang w:val="es-DO"/>
        </w:rPr>
        <w:t>Artículo</w:t>
      </w:r>
      <w:r w:rsidRPr="00642732">
        <w:rPr>
          <w:lang w:val="es-DO"/>
        </w:rPr>
        <w:t xml:space="preserve"> 26.- Para los proyectos categorías A y B, el promotor realizará, por lo menos, una vista pública de consulta en la zona de influencia del proyecto, la cual será de invitación abierta, publicada en un periódico de circulación nacional y por los medios de comunicación que resulten adecuados para la zona de estudio. En la misma se considerará a la población no como objeto de estudio sino como sujeto de un proceso. </w:t>
      </w:r>
      <w:r w:rsidRPr="00642732">
        <w:rPr>
          <w:b/>
          <w:lang w:val="es-DO"/>
        </w:rPr>
        <w:t>Artículo</w:t>
      </w:r>
      <w:r w:rsidRPr="00642732">
        <w:rPr>
          <w:lang w:val="es-DO"/>
        </w:rPr>
        <w:t xml:space="preserve"> 27.- El Ministerio podrá, cuando así lo considere, convocar a Audiencias Públicas sobre cualquier proyecto sometido a su consideración. Las Audiencias pueden ser realizadas en cualquiera de las fases del proceso (desde el análisis previo hasta la validación) previo a la emisión de una autorización. </w:t>
      </w:r>
      <w:r w:rsidRPr="00642732">
        <w:rPr>
          <w:b/>
          <w:lang w:val="es-DO"/>
        </w:rPr>
        <w:t>Artículo</w:t>
      </w:r>
      <w:r w:rsidRPr="00642732">
        <w:rPr>
          <w:lang w:val="es-DO"/>
        </w:rPr>
        <w:t>. - Los comentarios y observaciones recibidas en el proceso de Consulta Pública formarán parte de las informaciones a ser consideradas por los distintos comités en la decisión de otorgar o no la autorización ambiental solicitada.</w:t>
      </w:r>
    </w:p>
  </w:endnote>
  <w:endnote w:id="83">
    <w:p w14:paraId="03B2625D" w14:textId="77777777" w:rsidR="00DF3AFC" w:rsidRPr="00642732" w:rsidRDefault="00DF3AFC" w:rsidP="00FD4CB4">
      <w:pPr>
        <w:pStyle w:val="Textonotapie"/>
        <w:rPr>
          <w:lang w:val="es-DO"/>
        </w:rPr>
      </w:pPr>
      <w:r w:rsidRPr="00526134">
        <w:rPr>
          <w:rStyle w:val="Refdenotaalfinal"/>
          <w:sz w:val="14"/>
          <w:szCs w:val="14"/>
        </w:rPr>
        <w:endnoteRef/>
      </w:r>
      <w:r w:rsidRPr="00642732">
        <w:rPr>
          <w:lang w:val="es-DO"/>
        </w:rPr>
        <w:t xml:space="preserve"> LDPRAPA, Artículo 31: Principios del procedimiento aplicable a la elaboración de reglamentos, planes o programas. La elaboración de reglamentos administrativos, planes y programas de alcance general, se sujetará a los siguientes principios y criterios, cualquiera que sea la Administración competente en cada caso: 3. Audiencia de los ciudadanos directamente afectados en sus derechos e intereses. La audiencia de los ciudadanos, directamente o a través de las asociaciones que les representen, se ha de producir en todo caso antes de la aprobación definitiva del texto reglamentario, plan o programa cuando puedan verse afectados en sus derechos e intereses legítimos. Habrá de otorgarse un plazo razonable y suficiente, en razón de la materia y de las circunstancias concurrentes, para que esa audiencia resulte real y efectiva. La Administración habrá de contar igualmente con un plazo razonable y suficiente para procesar y analizar las alegaciones realizadas. 4. Participación del público. La participación del público en general, con independencia de que se vea o no afectado directamente por el proyecto de texto reglamentario, plan o programa, deberá garantizarse antes de la aprobación definitiva salvo texto legal en contrario</w:t>
      </w:r>
    </w:p>
  </w:endnote>
  <w:endnote w:id="84">
    <w:p w14:paraId="6D743A30" w14:textId="77777777" w:rsidR="00DF3AFC" w:rsidRPr="00642732" w:rsidRDefault="00DF3AFC" w:rsidP="00FD4CB4">
      <w:pPr>
        <w:pStyle w:val="Textonotapie"/>
        <w:rPr>
          <w:lang w:val="es-DO"/>
        </w:rPr>
      </w:pPr>
      <w:r w:rsidRPr="00526134">
        <w:rPr>
          <w:rStyle w:val="Refdenotaalfinal"/>
          <w:sz w:val="14"/>
          <w:szCs w:val="14"/>
        </w:rPr>
        <w:endnoteRef/>
      </w:r>
      <w:r w:rsidRPr="00642732">
        <w:rPr>
          <w:lang w:val="es-DO"/>
        </w:rPr>
        <w:t xml:space="preserve"> Resolución 11-2008 que crea las Direcciones Provinciales de Medio Ambiente y Recursos Naturales. Artículo 6: “ … promover la conformación de los Consejos Provinciales de Medio Ambiente y Recursos Naturales, de carácter consultivo, con la participación de las organizaciones comunitarias, gobiernos locales, sector privado, academias, instituciones públicas, asociaciones de productores y otras entidades representativas, en el ámbito territorial delas Direcciones Provinciales, a fin de que sirvan como espacios de acompañamiento del Ministerio de Ambiente en la definición y ejecución de las políticas, planes, programas, proyectos y actividades.”</w:t>
      </w:r>
    </w:p>
  </w:endnote>
  <w:endnote w:id="85">
    <w:p w14:paraId="1EE938B0" w14:textId="77777777" w:rsidR="00DF3AFC" w:rsidRPr="00642732" w:rsidRDefault="00DF3AFC" w:rsidP="00FD4CB4">
      <w:pPr>
        <w:pStyle w:val="Textonotapie"/>
        <w:rPr>
          <w:lang w:val="es-DO"/>
        </w:rPr>
      </w:pPr>
      <w:r w:rsidRPr="00526134">
        <w:rPr>
          <w:rStyle w:val="Refdenotaalfinal"/>
          <w:sz w:val="14"/>
          <w:szCs w:val="14"/>
        </w:rPr>
        <w:endnoteRef/>
      </w:r>
      <w:r w:rsidRPr="00642732">
        <w:rPr>
          <w:lang w:val="es-DO"/>
        </w:rPr>
        <w:t xml:space="preserve"> El RF Artículo 10. prevé la creación de Comisiones Forestales Regionales, como órganos de concertación y participación en todas las fases de planificación, ejecución y seguimiento de los planes, programas y proyectos dirigidos al desarrollo, fomento y uso sostenible de los recursos forestales de cada región. Señala que: La Secretaría de Estado de Medio Ambiente y Recursos Naturales podrá crear Comisiones Forestales Regionales, las cuales serán órganos de concertación y participación en todas las fases de planificación, ejecución y seguimiento de los planes, programas y proyectos dirigidos al desarrollo, fomento y uso sostenible de los recursos forestales de cada región. Párrafo 1. Las Comisiones Forestales Regionales deberán contar con un mínimo de cinco miembros representativos de los distintos sectores presentes en cada región. La Comisión estará integrada por representantes de asociaciones campesinas forestales o cooperativas, organizaciones no gubernamentales relacionadas con el sector, organizaciones de empresarios forestales, Ayuntamientos Municipales, instituciones públicas relacionadas con el sector e instituciones religiosas, que estén reconocidas legalmente. Estas Comisiones escogerán entre sus miembros: Presidente, Vicepresidente, Secretario y miembros. El Gerente Regional fungirá como Secretario de esta Comisión.</w:t>
      </w:r>
    </w:p>
  </w:endnote>
  <w:endnote w:id="86">
    <w:p w14:paraId="507AFD1F" w14:textId="77777777" w:rsidR="00DF3AFC" w:rsidRPr="00886B49" w:rsidRDefault="00DF3AFC" w:rsidP="00FD4CB4">
      <w:pPr>
        <w:pStyle w:val="Textonotapie"/>
      </w:pPr>
      <w:r w:rsidRPr="00526134">
        <w:endnoteRef/>
      </w:r>
      <w:r w:rsidRPr="00886B49">
        <w:t xml:space="preserve"> </w:t>
      </w:r>
      <w:r w:rsidRPr="00886B49">
        <w:rPr>
          <w:b/>
        </w:rPr>
        <w:t>Ley No. 64-00, Articulo. 178:</w:t>
      </w:r>
      <w:r w:rsidRPr="00886B49">
        <w:t xml:space="preserve"> Toda persona o asociación de ciudadanos tiene legitimidad procesal activa para enunciar y querellarse por todo hecho, acción, factor, proceso, o la omisión u obstaculización de ellos, que haya causado, esté causando o pueda causar daño, degradación, menoscabo, contaminación y/o deterioro del medio ambiente y los recursos naturales. Párrafo.-Igualmente podrán exigir ante la Secretaría de Estado de Medio Ambiente y Recursos Naturales y cualquier otra autoridad competente establecida por esta ley y la legislación vigente, o ante la Procuraduría del Medio Ambiente y Recursos Naturales, el cumplimiento de las obligaciones establecidas por la presente ley y demás leyes ambientales, normas de calidad ambiental, reglamentos, dictámenes y resoluciones, demandando el cese, la corrección, o la reparación de la situación anómala que la impulsa o causa, y las sanciones estipuladas para los infractores. </w:t>
      </w:r>
    </w:p>
  </w:endnote>
  <w:endnote w:id="87">
    <w:tbl>
      <w:tblPr>
        <w:tblOverlap w:val="never"/>
        <w:tblW w:w="5000" w:type="pct"/>
        <w:tblCellMar>
          <w:top w:w="26" w:type="dxa"/>
        </w:tblCellMar>
        <w:tblLook w:val="04A0" w:firstRow="1" w:lastRow="0" w:firstColumn="1" w:lastColumn="0" w:noHBand="0" w:noVBand="1"/>
      </w:tblPr>
      <w:tblGrid>
        <w:gridCol w:w="8840"/>
      </w:tblGrid>
      <w:tr w:rsidR="00DF3AFC" w:rsidRPr="00616456" w14:paraId="1F4417F3" w14:textId="77777777" w:rsidTr="00947670">
        <w:trPr>
          <w:trHeight w:val="1942"/>
        </w:trPr>
        <w:tc>
          <w:tcPr>
            <w:tcW w:w="5000" w:type="pct"/>
            <w:tcBorders>
              <w:top w:val="nil"/>
              <w:left w:val="nil"/>
              <w:bottom w:val="nil"/>
              <w:right w:val="nil"/>
            </w:tcBorders>
            <w:shd w:val="clear" w:color="auto" w:fill="FAFAFA"/>
          </w:tcPr>
          <w:p w14:paraId="42610686" w14:textId="77777777" w:rsidR="00DF3AFC" w:rsidRPr="00526134" w:rsidRDefault="00DF3AFC" w:rsidP="002327EC">
            <w:pPr>
              <w:pStyle w:val="Textonotapie"/>
            </w:pPr>
            <w:r w:rsidRPr="00526134">
              <w:rPr>
                <w:rStyle w:val="Refdenotaalfinal"/>
                <w:sz w:val="14"/>
                <w:szCs w:val="14"/>
              </w:rPr>
              <w:endnoteRef/>
            </w:r>
            <w:r w:rsidRPr="00526134">
              <w:t xml:space="preserve"> </w:t>
            </w:r>
            <w:r w:rsidRPr="00526134">
              <w:rPr>
                <w:rFonts w:eastAsia="Cambria" w:cs="Cambria"/>
                <w:b/>
                <w:color w:val="000000"/>
                <w:lang w:val="es-DO"/>
              </w:rPr>
              <w:t>LSAP: Artículo  5:</w:t>
            </w:r>
            <w:r w:rsidRPr="00526134">
              <w:rPr>
                <w:rFonts w:eastAsia="Cambria" w:cs="Cambria"/>
                <w:color w:val="000000"/>
                <w:lang w:val="es-DO"/>
              </w:rPr>
              <w:t xml:space="preserve"> Son criterios para aplicar la presente ley: 10) Cuando exista un uso comunitario, cultural o de subsistencia, de especies endémicas, frágiles o en franco peligro de extinción, el Estado promoverá fuentes alternativas, actividades educativas, asistencia técnica, diseñará incentivos y modos de compensación, y gestionará los recursos financieros necesarios y la investigación necesaria para asegurar la conservación a largo plazo de las especies, tomando en consideración las prácticas culturales existentes. Art 4: son objetivos de la presente ley:  6) Reconocer y compensar el esfuerzo, las prácticas y las innovaciones de las comunidades locales para la conservación y el uso ecológicamente sostenible de las áreas protegidas; Art.7 : Los objetivos de conservación del Sistema Nacional de Áreas Protegidas son: 10) Promover el mantenimiento de atributos culturales específicos y de los conocimientos tradicionales de las poblaciones locales;  Art. 6: EI Sistema Nacional de Áreas Protegidas es el conjunto de espacios terrestres y marinos del territorio nacional que han sido destinados al cumplimiento de los objetivos de conservación establecidos en la presente ley. Estas áreas tienen carácter definitivo y comprenden los terrenos pertenecientes al Estado que conforman el Patrimonio Nacional de Áreas Bajo Régimen Especial de Protección y aquellos terrenos de dominio privado que se encuentren en ellas, así como las que se dec1aren en el futuro. PARRAFO III.- Cuando convenga al interés social, la Secretaria de Estado de Medio Ambiente y Recursos Naturales permitirá la participación de las comunidades y organizaciones locales en la elaboraci6n de los planes de manejo de las áreas protegidas, así como su participación en los beneficios derivados de su conservación.</w:t>
            </w:r>
          </w:p>
        </w:tc>
      </w:tr>
    </w:tbl>
    <w:p w14:paraId="125793E1" w14:textId="77777777" w:rsidR="00DF3AFC" w:rsidRPr="00642732" w:rsidRDefault="00DF3AFC" w:rsidP="0085128C">
      <w:pPr>
        <w:pStyle w:val="Textonotapie"/>
        <w:ind w:left="0" w:firstLine="0"/>
        <w:rPr>
          <w:rFonts w:eastAsia="Cambria" w:cs="Cambria"/>
          <w:color w:val="000000"/>
          <w:lang w:val="es-DO" w:eastAsia="es-DO"/>
        </w:rPr>
      </w:pPr>
    </w:p>
  </w:endnote>
  <w:endnote w:id="88">
    <w:p w14:paraId="2079DFE4" w14:textId="77777777" w:rsidR="00DF3AFC" w:rsidRPr="00526134" w:rsidRDefault="00DF3AFC" w:rsidP="002327EC">
      <w:pPr>
        <w:pStyle w:val="Textonotapie"/>
        <w:rPr>
          <w:lang w:val="es-ES"/>
        </w:rPr>
      </w:pPr>
      <w:r w:rsidRPr="00526134">
        <w:rPr>
          <w:rStyle w:val="Refdenotaalfinal"/>
          <w:sz w:val="14"/>
          <w:szCs w:val="14"/>
        </w:rPr>
        <w:endnoteRef/>
      </w:r>
      <w:r w:rsidRPr="00526134">
        <w:rPr>
          <w:lang w:val="es-ES"/>
        </w:rPr>
        <w:t xml:space="preserve"> </w:t>
      </w:r>
      <w:r w:rsidRPr="00526134">
        <w:rPr>
          <w:b/>
          <w:lang w:val="es-ES"/>
        </w:rPr>
        <w:t>Ley 64-00, Artículo 157 Párrafo I.-</w:t>
      </w:r>
      <w:r w:rsidRPr="00526134">
        <w:rPr>
          <w:lang w:val="es-ES"/>
        </w:rPr>
        <w:t> Las normativas forestales estarán regidas por la ley sectorial y hasta tanto no se ejecute el inventario forestal nacional del bosque nativo, queda prohibido el corte, aprovechamiento, aserrío e industrialización de árboles nativos.</w:t>
      </w:r>
    </w:p>
  </w:endnote>
  <w:endnote w:id="89">
    <w:p w14:paraId="7E8EEDE3" w14:textId="77777777" w:rsidR="00DF3AFC" w:rsidRPr="00642732" w:rsidRDefault="00DF3AFC" w:rsidP="002327EC">
      <w:pPr>
        <w:pStyle w:val="Textonotapie"/>
        <w:rPr>
          <w:lang w:val="es-DO"/>
        </w:rPr>
      </w:pPr>
      <w:r w:rsidRPr="00526134">
        <w:rPr>
          <w:rStyle w:val="Refdenotaalfinal"/>
          <w:sz w:val="14"/>
          <w:szCs w:val="14"/>
        </w:rPr>
        <w:endnoteRef/>
      </w:r>
      <w:r w:rsidRPr="00642732">
        <w:rPr>
          <w:lang w:val="es-DO"/>
        </w:rPr>
        <w:t xml:space="preserve"> </w:t>
      </w:r>
      <w:r w:rsidRPr="00642732">
        <w:rPr>
          <w:b/>
          <w:lang w:val="es-DO"/>
        </w:rPr>
        <w:t>Reglamento Forestal, Artículo</w:t>
      </w:r>
      <w:r w:rsidRPr="00642732">
        <w:rPr>
          <w:lang w:val="es-DO"/>
        </w:rPr>
        <w:t xml:space="preserve"> 2: Para los fines de aplicación del presente Reglamento los términos que se mencionan a continuación tendrán los siguientes significados: d) Bosque: área cubierta de árboles como vegetación predominante, con una cobertura de copa mayor a 50%; e) Bosque natural: es un sistema ecológico en el cual predominan los árboles, los cuales han crecido espontáneamente dando paso a los diferentes procesos y relaciones ecológicas que sirven de refugio a la vida silvestre y producen madera y/o productos forestales no madereros; f) Bosques nacionales: Todos los terrenos propiedad del Estado, donde existen bosques de protección, producción o ambos a la vez. r) Plantaciones forestales: Son áreas cubiertas de especies forestales plantadas y las cuales han superado la etapa de establecimiento. Las plantaciones forestales pueden convertirse en bosques plantados, bosques mixtos, o simplemente en hileras, bloques o cualquier dimensión superficial con árboles plantados; s) Plantaciones forestales establecidas: Son áreas cubiertas de especies forestales plantadas, las cuales han sobrevivido por lo menos una época de sequía y los individuos han sobrevivido al menos el 80% del área total, o han sobrevivido 80% de un bloque dentro del área total plantada. </w:t>
      </w:r>
      <w:r w:rsidRPr="00642732">
        <w:rPr>
          <w:b/>
          <w:lang w:val="es-DO"/>
        </w:rPr>
        <w:t>Artículo 59 - Párrafo II.-</w:t>
      </w:r>
      <w:r w:rsidRPr="00642732">
        <w:rPr>
          <w:lang w:val="es-DO"/>
        </w:rPr>
        <w:t> Los bosques nacionales que sean bosques naturales y que sean clasificados como bosques de protección solo podrán ser manejados cuando ello implique su mejoramiento y el fortalecimiento de la función principal que cumplen, siempre garantizando que en ningún caso se produzca la eliminación permanente de la vegetación.</w:t>
      </w:r>
    </w:p>
  </w:endnote>
  <w:endnote w:id="90">
    <w:p w14:paraId="4C492948" w14:textId="77777777" w:rsidR="00DF3AFC" w:rsidRPr="00526134" w:rsidRDefault="00DF3AFC" w:rsidP="002327EC">
      <w:pPr>
        <w:pStyle w:val="Textonotapie"/>
      </w:pPr>
      <w:r w:rsidRPr="00526134">
        <w:rPr>
          <w:rStyle w:val="Refdenotaalfinal"/>
          <w:sz w:val="14"/>
          <w:szCs w:val="14"/>
        </w:rPr>
        <w:endnoteRef/>
      </w:r>
      <w:r w:rsidRPr="00526134">
        <w:t xml:space="preserve"> </w:t>
      </w:r>
      <w:r w:rsidRPr="00526134">
        <w:rPr>
          <w:b/>
        </w:rPr>
        <w:t xml:space="preserve">Ley 64-00,  Artículo 157. </w:t>
      </w:r>
      <w:r w:rsidRPr="00526134">
        <w:t xml:space="preserve">Se permitirá el aprovechamiento de las plantaciones forestales hechas con fines comerciales en las cuencas medias y bajas, así como en los suelos llanos que se dediquen a la producción comercial de especies arbóreas y maderables. </w:t>
      </w:r>
      <w:r w:rsidRPr="00526134">
        <w:rPr>
          <w:b/>
        </w:rPr>
        <w:t>Párrafo I.-</w:t>
      </w:r>
      <w:r w:rsidRPr="00526134">
        <w:t xml:space="preserve"> Las normativas forestales estarán regidas por la ley sectorial y hasta tanto no se ejecute el inventario forestal nacional del bosque nativo, queda prohibido el corte, aprovechamiento, aserrío e industrialización de árboles nativos. </w:t>
      </w:r>
      <w:r w:rsidRPr="00526134">
        <w:rPr>
          <w:b/>
        </w:rPr>
        <w:t>Párrafo II.-</w:t>
      </w:r>
      <w:r w:rsidRPr="00526134">
        <w:t xml:space="preserve"> Con el fin de actualizar la existencia de la reserva forestal nacional de los bosques nativos y de plantaciones artificiales con fines comerciales, se establece un plazo máximo de un (1) año, a partir de la vigencia de esta ley, para que la Secretaría de Estado de Medio Ambiente y Recursos Naturales planifique y ejecute un inventario nacional, el cual deberá reflejar, entre otros aspectos, lo referente a: </w:t>
      </w:r>
      <w:r w:rsidRPr="00526134">
        <w:rPr>
          <w:b/>
        </w:rPr>
        <w:t>1)</w:t>
      </w:r>
      <w:r w:rsidRPr="00526134">
        <w:t xml:space="preserve"> Bosques nativos de áreas nativas protegidas; </w:t>
      </w:r>
      <w:r w:rsidRPr="00526134">
        <w:rPr>
          <w:b/>
        </w:rPr>
        <w:t>2)</w:t>
      </w:r>
      <w:r w:rsidRPr="00526134">
        <w:t xml:space="preserve"> Bosques nativos correspondientes a categoría de protección; </w:t>
      </w:r>
      <w:r w:rsidRPr="00526134">
        <w:rPr>
          <w:b/>
        </w:rPr>
        <w:t>3)</w:t>
      </w:r>
      <w:r w:rsidRPr="00526134">
        <w:t xml:space="preserve"> Bosques nativos correspondientes a categoría de protección y producción; </w:t>
      </w:r>
      <w:r w:rsidRPr="00526134">
        <w:rPr>
          <w:b/>
        </w:rPr>
        <w:t>4)</w:t>
      </w:r>
      <w:r w:rsidRPr="00526134">
        <w:t xml:space="preserve"> Bosques nativos correspondientes a categoría de producción; </w:t>
      </w:r>
      <w:r w:rsidRPr="00526134">
        <w:rPr>
          <w:b/>
        </w:rPr>
        <w:t>5)</w:t>
      </w:r>
      <w:r w:rsidRPr="00526134">
        <w:t xml:space="preserve"> Bosques artificiales correspondientes a categoría de protección y producción; </w:t>
      </w:r>
      <w:r w:rsidRPr="00526134">
        <w:rPr>
          <w:b/>
        </w:rPr>
        <w:t>6)</w:t>
      </w:r>
      <w:r w:rsidRPr="00526134">
        <w:t xml:space="preserve"> Bosques artificiales correspondientes a categoría de producción.</w:t>
      </w:r>
    </w:p>
  </w:endnote>
  <w:endnote w:id="91">
    <w:p w14:paraId="2DC186E6" w14:textId="77777777" w:rsidR="00DF3AFC" w:rsidRPr="00642732" w:rsidRDefault="00DF3AFC" w:rsidP="002327EC">
      <w:pPr>
        <w:pStyle w:val="Textonotapie"/>
        <w:rPr>
          <w:lang w:val="es-DO"/>
        </w:rPr>
      </w:pPr>
      <w:r w:rsidRPr="00526134">
        <w:rPr>
          <w:rStyle w:val="Refdenotaalfinal"/>
          <w:sz w:val="14"/>
          <w:szCs w:val="14"/>
        </w:rPr>
        <w:endnoteRef/>
      </w:r>
      <w:r w:rsidRPr="00642732">
        <w:rPr>
          <w:lang w:val="es-DO"/>
        </w:rPr>
        <w:t xml:space="preserve"> </w:t>
      </w:r>
      <w:r w:rsidRPr="00642732">
        <w:rPr>
          <w:b/>
          <w:lang w:val="es-DO"/>
        </w:rPr>
        <w:t xml:space="preserve">Reglamento Forestal Artículo 2. Literal m. </w:t>
      </w:r>
      <w:r w:rsidRPr="00642732">
        <w:rPr>
          <w:lang w:val="es-DO"/>
        </w:rPr>
        <w:t xml:space="preserve">plantaciones forestales: son especies forestales plantadas y las cuales han superado la etapa de establecimiento. Las plantaciones forestales pueden convertirse en bosques plantados, bosques mixtos, o simplemente en hileras, bloques o cualquier dimensión superficial con árboles plantados.  </w:t>
      </w:r>
    </w:p>
  </w:endnote>
  <w:endnote w:id="92">
    <w:p w14:paraId="7460F3ED" w14:textId="77777777" w:rsidR="00DF3AFC" w:rsidRPr="00642732" w:rsidRDefault="00DF3AFC" w:rsidP="002327EC">
      <w:pPr>
        <w:pStyle w:val="Textonotapie"/>
        <w:rPr>
          <w:lang w:val="es-DO"/>
        </w:rPr>
      </w:pPr>
      <w:r w:rsidRPr="00526134">
        <w:rPr>
          <w:rStyle w:val="Refdenotaalfinal"/>
          <w:sz w:val="14"/>
          <w:szCs w:val="14"/>
        </w:rPr>
        <w:endnoteRef/>
      </w:r>
      <w:r w:rsidRPr="00642732">
        <w:rPr>
          <w:lang w:val="es-DO"/>
        </w:rPr>
        <w:t xml:space="preserve"> </w:t>
      </w:r>
      <w:r w:rsidRPr="00642732">
        <w:rPr>
          <w:b/>
          <w:lang w:val="es-DO"/>
        </w:rPr>
        <w:t>Anteproyecto de Ley Forestal, Artículo 18.-</w:t>
      </w:r>
      <w:r w:rsidRPr="00642732">
        <w:rPr>
          <w:lang w:val="es-DO"/>
        </w:rPr>
        <w:t xml:space="preserve"> Plantaciones forestales. Se clasifica como bosques, las plantaciones forestales de especies endémicas, nativas o exóticas, establecidas mediante plantación manual o mecanizada ya sea con fines de conservación ambiental o con fines de producción de bienes forestales y se denominan para estos fines, plantaciones forestales conservacionistas y plantaciones forestales productoras.</w:t>
      </w:r>
    </w:p>
  </w:endnote>
  <w:endnote w:id="93">
    <w:p w14:paraId="467ACB26" w14:textId="77777777" w:rsidR="00DF3AFC" w:rsidRPr="00642732" w:rsidRDefault="00DF3AFC" w:rsidP="002327EC">
      <w:pPr>
        <w:pStyle w:val="Textonotapie"/>
        <w:rPr>
          <w:lang w:val="es-DO"/>
        </w:rPr>
      </w:pPr>
      <w:r w:rsidRPr="00526134">
        <w:rPr>
          <w:rStyle w:val="Refdenotaalfinal"/>
          <w:sz w:val="14"/>
          <w:szCs w:val="14"/>
        </w:rPr>
        <w:endnoteRef/>
      </w:r>
      <w:r w:rsidRPr="00642732">
        <w:rPr>
          <w:lang w:val="es-DO"/>
        </w:rPr>
        <w:t xml:space="preserve"> </w:t>
      </w:r>
      <w:r w:rsidRPr="00642732">
        <w:rPr>
          <w:b/>
          <w:lang w:val="es-DO"/>
        </w:rPr>
        <w:t>RF, Artículo 2, Literal t.</w:t>
      </w:r>
      <w:r w:rsidRPr="00642732">
        <w:rPr>
          <w:lang w:val="es-DO"/>
        </w:rPr>
        <w:t xml:space="preserve"> Servicios ambientales: Los que brindan el bosque y las plantaciones forestales y que inciden directamente en la protección y el mejoramiento del medio ambiente. Entre los cuales están los siguientes: Mitigación de emisiones de gases de efecto invernadero (fijación, reducción, secuestro, almacenamiento y absorción); protección del agua para uso general, agrícola o industrial; conservación de los ecosistemas mediante la protección de la biodiversidad aplicando un manejo racional que dé por resultado el uso sostenible de los recursos para fines científicos, farmacéuticos, genéticos, belleza escénica y turísticos;</w:t>
      </w:r>
    </w:p>
  </w:endnote>
  <w:endnote w:id="94">
    <w:p w14:paraId="6FD05AFA" w14:textId="77777777" w:rsidR="00DF3AFC" w:rsidRPr="00526134" w:rsidRDefault="00DF3AFC" w:rsidP="002327EC">
      <w:pPr>
        <w:pStyle w:val="Textonotapie"/>
      </w:pPr>
      <w:r w:rsidRPr="00526134">
        <w:rPr>
          <w:rStyle w:val="Refdenotaalfinal"/>
          <w:sz w:val="14"/>
          <w:szCs w:val="14"/>
        </w:rPr>
        <w:endnoteRef/>
      </w:r>
      <w:r w:rsidRPr="00526134">
        <w:t xml:space="preserve"> </w:t>
      </w:r>
      <w:r w:rsidRPr="00526134">
        <w:rPr>
          <w:b/>
        </w:rPr>
        <w:t>Ley 64-00, Artículo 63.-</w:t>
      </w:r>
      <w:r w:rsidRPr="00526134">
        <w:rPr>
          <w:color w:val="000000"/>
          <w:lang w:eastAsia="es-ES"/>
        </w:rPr>
        <w:t> </w:t>
      </w:r>
      <w:r w:rsidRPr="00526134">
        <w:t xml:space="preserve">El Estado reconoce los servicios ambientales que ofrecen los distintos recursos naturales y establecerá un procedimiento para incluir en las cuentas nacionales los valores establecidos. </w:t>
      </w:r>
      <w:r w:rsidRPr="00526134">
        <w:rPr>
          <w:b/>
        </w:rPr>
        <w:t>Párrafo.- </w:t>
      </w:r>
      <w:r w:rsidRPr="00526134">
        <w:t>En el caso de recursos naturales propiedad de la nación, el valor de los servicios ambientales que éstos ofrecen serán destinados a asegurar su calidad y cantidad por medio de medidas de conservación y uso sostenible.</w:t>
      </w:r>
    </w:p>
  </w:endnote>
  <w:endnote w:id="95">
    <w:p w14:paraId="273F116C" w14:textId="77777777" w:rsidR="00DF3AFC" w:rsidRPr="006C3A13" w:rsidRDefault="00DF3AFC" w:rsidP="002327EC">
      <w:pPr>
        <w:pStyle w:val="Textonotapie"/>
      </w:pPr>
      <w:r w:rsidRPr="00526134">
        <w:rPr>
          <w:rStyle w:val="Refdenotaalfinal"/>
          <w:sz w:val="14"/>
          <w:szCs w:val="14"/>
        </w:rPr>
        <w:endnoteRef/>
      </w:r>
      <w:r w:rsidRPr="006C3A13">
        <w:t xml:space="preserve"> </w:t>
      </w:r>
      <w:r w:rsidRPr="006C3A13">
        <w:rPr>
          <w:b/>
        </w:rPr>
        <w:t xml:space="preserve">LSAP, Artículo. 2: </w:t>
      </w:r>
      <w:r w:rsidRPr="006C3A13">
        <w:t xml:space="preserve">La presente ley deberá ser interpretada de acuerdo con las siguientes definiciones:  Servicios ambientales: Son los servicios que brindan los bosques y fuentes de agua naturales y artificiales, primarios o secundarios, que se encuentren en cualquier estado dentro de las etapas de sucesión ecológica, y que para los efectos de la presente ley consideran el secuestro, el almacenamiento y estacionamiento de gases con efecto de invernadero, la protección y generación de agua, la protección de la biodiversidad y la belleza escénica. </w:t>
      </w:r>
    </w:p>
  </w:endnote>
  <w:endnote w:id="96">
    <w:p w14:paraId="398C2597" w14:textId="77777777" w:rsidR="00DF3AFC" w:rsidRPr="00642732" w:rsidRDefault="00DF3AFC" w:rsidP="002327EC">
      <w:pPr>
        <w:pStyle w:val="Textonotapie"/>
        <w:rPr>
          <w:lang w:val="es-DO"/>
        </w:rPr>
      </w:pPr>
      <w:r w:rsidRPr="00526134">
        <w:rPr>
          <w:rStyle w:val="Refdenotaalfinal"/>
          <w:sz w:val="14"/>
          <w:szCs w:val="14"/>
        </w:rPr>
        <w:endnoteRef/>
      </w:r>
      <w:r w:rsidRPr="00642732">
        <w:rPr>
          <w:lang w:val="es-DO"/>
        </w:rPr>
        <w:t xml:space="preserve"> </w:t>
      </w:r>
      <w:r w:rsidRPr="00642732">
        <w:rPr>
          <w:b/>
          <w:lang w:val="es-DO"/>
        </w:rPr>
        <w:t>Anteproyecto de Ley Forestal, Artículo 55.-</w:t>
      </w:r>
      <w:r w:rsidRPr="00642732">
        <w:rPr>
          <w:lang w:val="es-DO"/>
        </w:rPr>
        <w:t xml:space="preserve"> Objetivos de la investigación forestal. Son objetivos de la investigación forestal: </w:t>
      </w:r>
      <w:r w:rsidRPr="00642732">
        <w:rPr>
          <w:b/>
          <w:lang w:val="es-DO"/>
        </w:rPr>
        <w:t xml:space="preserve">1) </w:t>
      </w:r>
      <w:r w:rsidRPr="00642732">
        <w:rPr>
          <w:lang w:val="es-DO"/>
        </w:rPr>
        <w:t>Generar y validar el conocimiento sobre la diversidad de bienes y servicios de los ecosistemas forestales, sus propiedades, usos y aplicaciones, y los mecanismos idóneos para su protección y utilización sostenible;</w:t>
      </w:r>
    </w:p>
  </w:endnote>
  <w:endnote w:id="97">
    <w:p w14:paraId="508AE506" w14:textId="77777777" w:rsidR="00DF3AFC" w:rsidRPr="00526134" w:rsidRDefault="00DF3AFC" w:rsidP="002327EC">
      <w:pPr>
        <w:pStyle w:val="Textonotapie"/>
      </w:pPr>
      <w:r w:rsidRPr="00526134">
        <w:rPr>
          <w:rStyle w:val="Refdenotaalfinal"/>
          <w:sz w:val="14"/>
          <w:szCs w:val="14"/>
        </w:rPr>
        <w:endnoteRef/>
      </w:r>
      <w:r w:rsidRPr="00526134">
        <w:t xml:space="preserve"> </w:t>
      </w:r>
      <w:r w:rsidRPr="00526134">
        <w:rPr>
          <w:b/>
        </w:rPr>
        <w:t>El Anteproyecto de Ley Forestal</w:t>
      </w:r>
      <w:r w:rsidRPr="00526134">
        <w:t xml:space="preserve"> siempre hace una diferenciación al citar “bosque natural o plantado” y “bosque nativo y plantado” aunque no define las diferencias entre ambos.</w:t>
      </w:r>
    </w:p>
  </w:endnote>
  <w:endnote w:id="98">
    <w:p w14:paraId="7B8108D8" w14:textId="513FED13" w:rsidR="00DF3AFC" w:rsidRPr="00642732" w:rsidRDefault="00DF3AFC" w:rsidP="002327EC">
      <w:pPr>
        <w:pStyle w:val="Textonotapie"/>
        <w:rPr>
          <w:lang w:val="es-DO"/>
        </w:rPr>
      </w:pPr>
      <w:r w:rsidRPr="00526134">
        <w:rPr>
          <w:rStyle w:val="Refdenotaalfinal"/>
          <w:sz w:val="14"/>
          <w:szCs w:val="14"/>
        </w:rPr>
        <w:endnoteRef/>
      </w:r>
      <w:r w:rsidRPr="00642732">
        <w:rPr>
          <w:lang w:val="es-DO"/>
        </w:rPr>
        <w:t xml:space="preserve"> </w:t>
      </w:r>
      <w:r w:rsidRPr="00642732">
        <w:rPr>
          <w:b/>
          <w:lang w:val="es-DO"/>
        </w:rPr>
        <w:t>La CPD</w:t>
      </w:r>
      <w:r w:rsidRPr="00642732">
        <w:rPr>
          <w:lang w:val="es-DO"/>
        </w:rPr>
        <w:t xml:space="preserve"> establece como prioridad del Estado la formulación y ejecución, mediante ley, de un plan de ordenamiento territorial que asegure el uso eficiente y sostenible de los recursos naturales de la Nación, acorde con la necesidad de adaptación al cambio climático.</w:t>
      </w:r>
    </w:p>
  </w:endnote>
  <w:endnote w:id="99">
    <w:p w14:paraId="203D355D" w14:textId="42A77F27" w:rsidR="00DF3AFC" w:rsidRPr="00642732" w:rsidRDefault="00DF3AFC" w:rsidP="002327EC">
      <w:pPr>
        <w:pStyle w:val="Textonotapie"/>
        <w:rPr>
          <w:lang w:val="es-DO"/>
        </w:rPr>
      </w:pPr>
      <w:r w:rsidRPr="00526134">
        <w:rPr>
          <w:rStyle w:val="Refdenotaalfinal"/>
          <w:sz w:val="14"/>
          <w:szCs w:val="14"/>
        </w:rPr>
        <w:endnoteRef/>
      </w:r>
      <w:r w:rsidRPr="00642732">
        <w:rPr>
          <w:lang w:val="es-DO"/>
        </w:rPr>
        <w:t xml:space="preserve"> Así, la </w:t>
      </w:r>
      <w:r w:rsidRPr="00642732">
        <w:rPr>
          <w:b/>
          <w:lang w:val="es-DO"/>
        </w:rPr>
        <w:t>Ley No.64-00, Artículo 157, Párrafo I</w:t>
      </w:r>
      <w:r w:rsidRPr="00642732">
        <w:rPr>
          <w:lang w:val="es-DO"/>
        </w:rPr>
        <w:t xml:space="preserve">, señala que las normativas forestales estarán regidas por la ley sectorial, y se refiere al inventario forestal nacional del bosque nativo, estableciendo un plazo máximo de un año para que la Secretaría de Estado de Medio Ambiente y Recursos Naturales planifique y ejecute un inventario nacional y clasifique los bosques de acuerdo con su finalidad, considerando los aspectos de conservación, protección y producción. Siendo el mapeo de los bosques naturales una consecuencia del inventario referido. Por su parte </w:t>
      </w:r>
      <w:r w:rsidRPr="00642732">
        <w:rPr>
          <w:b/>
          <w:lang w:val="es-DO"/>
        </w:rPr>
        <w:t>el Reglamento Forestal</w:t>
      </w:r>
      <w:r w:rsidRPr="00642732">
        <w:rPr>
          <w:lang w:val="es-DO"/>
        </w:rPr>
        <w:t xml:space="preserve">  también se refiere a un inventario de los terrenos de aptitud forestal y de los recursos forestales. La Norma Técnica de Manejo Forestal define al Inventario Forestal.</w:t>
      </w:r>
    </w:p>
  </w:endnote>
  <w:endnote w:id="100">
    <w:p w14:paraId="67350407" w14:textId="48C0B972" w:rsidR="00DF3AFC" w:rsidRPr="00642732" w:rsidRDefault="00DF3AFC" w:rsidP="002327EC">
      <w:pPr>
        <w:pStyle w:val="Textonotapie"/>
        <w:rPr>
          <w:lang w:val="es-DO"/>
        </w:rPr>
      </w:pPr>
      <w:r w:rsidRPr="00526134">
        <w:rPr>
          <w:rStyle w:val="Refdenotaalfinal"/>
          <w:sz w:val="14"/>
          <w:szCs w:val="14"/>
        </w:rPr>
        <w:endnoteRef/>
      </w:r>
      <w:r w:rsidRPr="00642732">
        <w:rPr>
          <w:lang w:val="es-DO"/>
        </w:rPr>
        <w:t xml:space="preserve"> </w:t>
      </w:r>
      <w:r w:rsidRPr="00642732">
        <w:rPr>
          <w:b/>
          <w:lang w:val="es-DO"/>
        </w:rPr>
        <w:t>La CPD, Articulo 194,</w:t>
      </w:r>
      <w:r w:rsidRPr="00642732">
        <w:rPr>
          <w:lang w:val="es-DO"/>
        </w:rPr>
        <w:t xml:space="preserve"> establece como prioridad del Estado la formulación y ejecución, mediante ley, de un plan de ordenamiento territorial que asegure el uso eficiente y sostenible de los recursos naturales de la Nación, acorde con la necesidad de adaptación al cambio climático.</w:t>
      </w:r>
    </w:p>
  </w:endnote>
  <w:endnote w:id="101">
    <w:p w14:paraId="77E8792D" w14:textId="77777777" w:rsidR="00DF3AFC" w:rsidRPr="00526134" w:rsidRDefault="00DF3AFC" w:rsidP="002327EC">
      <w:pPr>
        <w:pStyle w:val="Textonotapie"/>
        <w:rPr>
          <w:rFonts w:cstheme="minorBidi"/>
        </w:rPr>
      </w:pPr>
      <w:r w:rsidRPr="00526134">
        <w:rPr>
          <w:rStyle w:val="Refdenotaalfinal"/>
          <w:sz w:val="14"/>
          <w:szCs w:val="14"/>
        </w:rPr>
        <w:endnoteRef/>
      </w:r>
      <w:r w:rsidRPr="006C3A13">
        <w:t xml:space="preserve"> </w:t>
      </w:r>
      <w:r w:rsidRPr="00526134">
        <w:rPr>
          <w:rFonts w:cstheme="minorBidi"/>
          <w:b/>
        </w:rPr>
        <w:t>Ley No.64-00, Articulo 157,</w:t>
      </w:r>
      <w:r w:rsidRPr="006C3A13">
        <w:rPr>
          <w:b/>
        </w:rPr>
        <w:t xml:space="preserve"> </w:t>
      </w:r>
      <w:r w:rsidRPr="00526134">
        <w:rPr>
          <w:rFonts w:cstheme="minorBidi"/>
        </w:rPr>
        <w:t xml:space="preserve">Las normativas forestales estarán regidas por la ley sectorial, y, hasta tanto no se ejecute el inventario forestal nacional del bosque nativo, queda prohibido el corte, aprovechamiento, aserrío e industrialización de árboles nativos. Párrafo II.- Con el fin de actualizar la existencia de la reserva forestal nacional de los bosques nativos y de plantaciones artificiales con fines comerciales, se establece un plazo máximo de un (1) año, a partir de la vigencia de esta ley, para que la Secretaría de Estado de Medio Ambiente y Recursos Naturales planifique y ejecute un inventario nacional,  el cual deberá reflejar, entre otros aspectos, lo referente a: 1) Bosques nativos de áreas nativas protegidas; 2) Bosques nativos correspondientes a categoría de protección; 3) Bosques nativos correspondientes a categoría de protección y producción; 4) Bosques nativos correspondientes a categoría de producción; 5) Bosques artificiales correspondientes a categoría de protección y producción; Bosques artificiales correspondientes a categoría de producción; </w:t>
      </w:r>
      <w:r w:rsidRPr="00526134">
        <w:rPr>
          <w:rFonts w:cstheme="minorBidi"/>
          <w:b/>
        </w:rPr>
        <w:t>Articulo 155:</w:t>
      </w:r>
      <w:r w:rsidRPr="006C3A13">
        <w:t xml:space="preserve"> </w:t>
      </w:r>
      <w:r w:rsidRPr="00526134">
        <w:rPr>
          <w:rFonts w:cstheme="minorBidi"/>
        </w:rPr>
        <w:t>La Secretaría de Estado de Medio Ambiente y Recursos Naturales clasificará los bosques de acuerdo con su finalidad, considerando los aspectos de conservación, protección y producción.</w:t>
      </w:r>
    </w:p>
  </w:endnote>
  <w:endnote w:id="102">
    <w:p w14:paraId="2C7D9E1F" w14:textId="77777777" w:rsidR="00DF3AFC" w:rsidRPr="005262BD" w:rsidRDefault="00DF3AFC" w:rsidP="002327EC">
      <w:pPr>
        <w:pStyle w:val="Textonotapie"/>
        <w:rPr>
          <w:shd w:val="clear" w:color="auto" w:fill="FFFFFF"/>
          <w:lang w:eastAsia="es-ES"/>
        </w:rPr>
      </w:pPr>
      <w:r w:rsidRPr="00526134">
        <w:rPr>
          <w:rStyle w:val="Refdenotaalfinal"/>
          <w:sz w:val="14"/>
          <w:szCs w:val="14"/>
        </w:rPr>
        <w:endnoteRef/>
      </w:r>
      <w:r w:rsidRPr="005262BD">
        <w:t xml:space="preserve"> </w:t>
      </w:r>
      <w:r w:rsidRPr="005262BD">
        <w:rPr>
          <w:b/>
        </w:rPr>
        <w:t>El Reglamento Forestal, Artículo 6</w:t>
      </w:r>
      <w:r w:rsidRPr="005262BD">
        <w:t xml:space="preserve">: Para el cumplimiento de sus objetivos, corresponderá a la Secretaría de Estado de Medio Ambiente y Recursos Naturales, con la asistencia de la Subsecretaría de Recursos Forestales, el ejercicio de las siguientes funciones y  atribuciones: h) Mantener actualizado el inventario de los terrenos de aptitud forestal y de los recursos forestales; </w:t>
      </w:r>
      <w:r w:rsidRPr="005262BD">
        <w:rPr>
          <w:b/>
        </w:rPr>
        <w:t>Artículo 25</w:t>
      </w:r>
      <w:r w:rsidRPr="005262BD">
        <w:t xml:space="preserve">, hace referencia al Artículo 157 de la ley 64-00 y agrega  que deberá realizar un inventario de la superficie forestal del país, cartografiándola y caracterizándola adecuadamente, donde se establezca con precisión las zonas con bosques nativos de áreas nativas protegidas, bosques nativos correspondientes a categoría de protección, bosques nativos correspondientes a categoría de protección y producción, bosques nativos correspondientes a categoría de producción, bosques artificiales correspondientes a categoría de protección y producción y bosques artificiales correspondientes a categoría de producción. Por otro lado </w:t>
      </w:r>
      <w:r w:rsidRPr="005262BD">
        <w:rPr>
          <w:b/>
        </w:rPr>
        <w:t xml:space="preserve">La Norma Técnica de Manejo Forestal, en el numeral 2.1, </w:t>
      </w:r>
      <w:r w:rsidRPr="005262BD">
        <w:t>establece que para poder elaborar una adecuada planificación forestal debe contarse con un cabal conocimiento de la situación actual del bosque, como punto de partida, para tal finalidad se debe ejecutar un Inventario Forestal.</w:t>
      </w:r>
    </w:p>
  </w:endnote>
  <w:endnote w:id="103">
    <w:p w14:paraId="6A27DEF4" w14:textId="77777777" w:rsidR="00DF3AFC" w:rsidRPr="005262BD" w:rsidRDefault="00DF3AFC" w:rsidP="002327EC">
      <w:pPr>
        <w:pStyle w:val="Textonotapie"/>
      </w:pPr>
      <w:r w:rsidRPr="00526134">
        <w:endnoteRef/>
      </w:r>
      <w:r w:rsidRPr="005262BD">
        <w:t xml:space="preserve"> </w:t>
      </w:r>
      <w:r w:rsidRPr="005262BD">
        <w:rPr>
          <w:b/>
        </w:rPr>
        <w:t>NTMF, 2.11 Inventario forestal</w:t>
      </w:r>
      <w:r w:rsidRPr="005262BD">
        <w:t xml:space="preserve">. </w:t>
      </w:r>
      <w:r w:rsidRPr="00526134">
        <w:rPr>
          <w:rFonts w:cstheme="minorBidi"/>
        </w:rPr>
        <w:t>El Inventario Forestal es la base para cualquier tipo de aprovechamiento (corte de madera). El inventario debe ser levantado por unidades de manejo (compartimientos o rodales) y debe ser representativo con el fin de captar la diversidad del bosque. El levantamiento de los datos silvícolas se enfoca hacia las masas boscosas; sin embargo, la descripción silvícola del rodal debe reflejar la biodiversidad del sitio referente a especies en peligro de extinción y otros factores de valor especial, como son los nacientes y corrientes de agua.</w:t>
      </w:r>
      <w:r w:rsidRPr="005262BD">
        <w:t xml:space="preserve"> </w:t>
      </w:r>
    </w:p>
  </w:endnote>
  <w:endnote w:id="104">
    <w:p w14:paraId="16A132BA" w14:textId="437ADD88" w:rsidR="00DF3AFC" w:rsidRPr="00642732" w:rsidRDefault="00DF3AFC" w:rsidP="002327EC">
      <w:pPr>
        <w:pStyle w:val="Textonotapie"/>
        <w:rPr>
          <w:lang w:val="es-DO"/>
        </w:rPr>
      </w:pPr>
      <w:r w:rsidRPr="00526134">
        <w:rPr>
          <w:rStyle w:val="Refdenotaalfinal"/>
          <w:sz w:val="14"/>
          <w:szCs w:val="14"/>
        </w:rPr>
        <w:endnoteRef/>
      </w:r>
      <w:r w:rsidRPr="00642732">
        <w:rPr>
          <w:lang w:val="es-DO"/>
        </w:rPr>
        <w:t xml:space="preserve"> </w:t>
      </w:r>
      <w:r w:rsidRPr="00642732">
        <w:rPr>
          <w:b/>
          <w:lang w:val="es-DO"/>
        </w:rPr>
        <w:t>El Reglamento Forestal, Artículo 6</w:t>
      </w:r>
      <w:r w:rsidRPr="00642732">
        <w:rPr>
          <w:lang w:val="es-DO"/>
        </w:rPr>
        <w:t xml:space="preserve">: Para el cumplimiento de sus objetivos, corresponderá a la Secretaría de Estado de Medio Ambiente y Recursos Naturales, con la asistencia de la Subsecretaría de Recursos Forestales, el ejercicio de las siguientes funciones y atribuciones: h) Mantener actualizado el inventario de los terrenos de aptitud forestal y de los recursos forestales; </w:t>
      </w:r>
      <w:r w:rsidRPr="00642732">
        <w:rPr>
          <w:b/>
          <w:lang w:val="es-DO"/>
        </w:rPr>
        <w:t>Artículo 7 Literal j.</w:t>
      </w:r>
      <w:r w:rsidRPr="00642732">
        <w:rPr>
          <w:lang w:val="es-DO"/>
        </w:rPr>
        <w:t xml:space="preserve">  </w:t>
      </w:r>
      <w:r w:rsidRPr="00642732">
        <w:rPr>
          <w:b/>
          <w:lang w:val="es-DO"/>
        </w:rPr>
        <w:t>y la Ley 64-00.</w:t>
      </w:r>
      <w:r w:rsidRPr="00642732">
        <w:rPr>
          <w:lang w:val="es-DO"/>
        </w:rPr>
        <w:t xml:space="preserve"> Señalan a la Subsecretaría de Recursos Forestales para mantener actualizado el inventario de los terrenos de aptitud forestal y de los recursos forestales.</w:t>
      </w:r>
    </w:p>
  </w:endnote>
  <w:endnote w:id="105">
    <w:p w14:paraId="4123B541" w14:textId="49D35531" w:rsidR="00DF3AFC" w:rsidRPr="005262BD" w:rsidRDefault="00DF3AFC" w:rsidP="002327EC">
      <w:pPr>
        <w:pStyle w:val="Textonotapie"/>
      </w:pPr>
      <w:r w:rsidRPr="00526134">
        <w:endnoteRef/>
      </w:r>
      <w:r w:rsidRPr="005262BD">
        <w:t xml:space="preserve"> </w:t>
      </w:r>
      <w:r w:rsidRPr="005262BD">
        <w:rPr>
          <w:b/>
        </w:rPr>
        <w:t xml:space="preserve">Ley No. 64-00: Artículo 137: </w:t>
      </w:r>
      <w:r w:rsidRPr="005262BD">
        <w:t xml:space="preserve">Es deber del Estado y de todos sus habitantes velar por la conservación y aprovechamiento sostenible de la diversidad biológica y del patrimonio genético nacional, de acuerdo con los principios y normas consignados en la legislación nacional y en los tratados y convenios internacionales aprobados por el Estado Dominicano. </w:t>
      </w:r>
      <w:r w:rsidRPr="005262BD">
        <w:rPr>
          <w:b/>
        </w:rPr>
        <w:t xml:space="preserve">Artículo. 154: </w:t>
      </w:r>
      <w:r w:rsidRPr="005262BD">
        <w:t xml:space="preserve">El manejo y uso de los bosques y suelos forestales debe ser sostenible.  Una ley especial normará el manejo forestal integral y el uso sostenible de los recursos del bosque para los fines de su conservación, explotación, producción, industrialización y comercialización, así como la preservación de otros recursos naturales que forman parte de su ecosistema y del medio ambiente en general. </w:t>
      </w:r>
      <w:r w:rsidRPr="005262BD">
        <w:rPr>
          <w:b/>
        </w:rPr>
        <w:t>Artículo. 156:</w:t>
      </w:r>
      <w:r w:rsidRPr="005262BD">
        <w:t xml:space="preserve"> Se prohíbe la destrucción de los bosques nativos. </w:t>
      </w:r>
      <w:r w:rsidRPr="005262BD">
        <w:rPr>
          <w:b/>
        </w:rPr>
        <w:t>Artículo 71</w:t>
      </w:r>
      <w:r w:rsidRPr="005262BD">
        <w:t xml:space="preserve">: Se crea el Fondo Nacional para el Medio Ambiente y Recursos Naturales, para desarrollar y financiar programas y proyectos de protección, conservación, investigación, educación, restauración y uso sostenible, con personería jurídica, patrimonio independiente y administración propia, y con jurisdicción en todo el territorio nacional.  </w:t>
      </w:r>
    </w:p>
  </w:endnote>
  <w:endnote w:id="106">
    <w:p w14:paraId="11ED547C" w14:textId="77777777" w:rsidR="00DF3AFC" w:rsidRPr="00642732" w:rsidRDefault="00DF3AFC" w:rsidP="002327EC">
      <w:pPr>
        <w:pStyle w:val="Textonotapie"/>
        <w:rPr>
          <w:lang w:val="es-DO"/>
        </w:rPr>
      </w:pPr>
      <w:r w:rsidRPr="00526134">
        <w:rPr>
          <w:rStyle w:val="Refdenotaalfinal"/>
          <w:sz w:val="14"/>
          <w:szCs w:val="14"/>
        </w:rPr>
        <w:endnoteRef/>
      </w:r>
      <w:r w:rsidRPr="00642732">
        <w:rPr>
          <w:lang w:val="es-DO"/>
        </w:rPr>
        <w:t xml:space="preserve"> </w:t>
      </w:r>
      <w:r w:rsidRPr="00642732">
        <w:rPr>
          <w:b/>
          <w:lang w:val="es-DO"/>
        </w:rPr>
        <w:t>La CPD, Artículo 67.</w:t>
      </w:r>
      <w:r w:rsidRPr="00642732">
        <w:rPr>
          <w:lang w:val="es-DO"/>
        </w:rPr>
        <w:t xml:space="preserve">  Protección del medio ambiente. Constituyen deberes del Estado prevenir la contaminación, proteger y mantener el medio ambiente en provecho de las presentes y futuras generaciones. En consecuencia:  </w:t>
      </w:r>
      <w:r w:rsidRPr="00642732">
        <w:rPr>
          <w:b/>
          <w:lang w:val="es-DO"/>
        </w:rPr>
        <w:t xml:space="preserve">1) </w:t>
      </w:r>
      <w:r w:rsidRPr="00642732">
        <w:rPr>
          <w:lang w:val="es-DO"/>
        </w:rPr>
        <w:t xml:space="preserve">Toda persona tiene derecho, tanto de modo individual como colectivo, al uso y goce sostenible de los recursos naturales; a habitar en un ambiente sano, ecológicamente equilibrado y adecuado para el desarrollo y preservación de las distintas formas de vida, del paisaje y de la naturaleza; </w:t>
      </w:r>
      <w:r w:rsidRPr="00642732">
        <w:rPr>
          <w:b/>
          <w:lang w:val="es-DO"/>
        </w:rPr>
        <w:t>2)</w:t>
      </w:r>
      <w:r w:rsidRPr="00642732">
        <w:rPr>
          <w:lang w:val="es-DO"/>
        </w:rPr>
        <w:t xml:space="preserve"> Se prohíbe la introducción, desarrollo, producción, tenencia, comercialización, transporte, almacenamiento y uso de armas químicas, biológicas y nucleares y de agroquímicos vedados internacionalmente, además de residuos nucleares, desechos tóxicos y peligrosos; </w:t>
      </w:r>
      <w:r w:rsidRPr="00642732">
        <w:rPr>
          <w:b/>
          <w:lang w:val="es-DO"/>
        </w:rPr>
        <w:t>3)</w:t>
      </w:r>
      <w:r w:rsidRPr="00642732">
        <w:rPr>
          <w:lang w:val="es-DO"/>
        </w:rPr>
        <w:t xml:space="preserve"> El Estado promoverá, en el sector público y privado, el uso de tecnologías y energías alternativas no contaminantes; </w:t>
      </w:r>
      <w:r w:rsidRPr="00642732">
        <w:rPr>
          <w:b/>
          <w:lang w:val="es-DO"/>
        </w:rPr>
        <w:t>4)</w:t>
      </w:r>
      <w:r w:rsidRPr="00642732">
        <w:rPr>
          <w:lang w:val="es-DO"/>
        </w:rPr>
        <w:t xml:space="preserve"> En los contratos que el Estado celebre o en los permisos que se otorguen que involucren el uso y explotación de los recursos naturales, se considerará incluida la obligación de conservar el equilibrio ecológico, el acceso a la tecnología y su transferencia, así como de restablecer el ambiente a su estado natural, si éste resulta alterado; </w:t>
      </w:r>
      <w:r w:rsidRPr="00642732">
        <w:rPr>
          <w:b/>
          <w:lang w:val="es-DO"/>
        </w:rPr>
        <w:t>5)</w:t>
      </w:r>
      <w:r w:rsidRPr="00642732">
        <w:rPr>
          <w:lang w:val="es-DO"/>
        </w:rPr>
        <w:t xml:space="preserve"> Los poderes públicos prevendrán y controlarán los factores de deterioro ambiental, impondrán las sanciones legales, la responsabilidad objetiva por daños causados al medio ambiente y a los recursos naturales y exigirán su reparación. Asimismo, cooperarán con otras naciones en la protección de los ecosistemas a lo largo de la frontera marítima y terrestre.</w:t>
      </w:r>
    </w:p>
  </w:endnote>
  <w:endnote w:id="107">
    <w:p w14:paraId="58CED2AA" w14:textId="77777777" w:rsidR="00DF3AFC" w:rsidRPr="00526134" w:rsidRDefault="00DF3AFC" w:rsidP="002327EC">
      <w:pPr>
        <w:pStyle w:val="Textonotapie"/>
      </w:pPr>
      <w:r w:rsidRPr="00526134">
        <w:rPr>
          <w:rStyle w:val="Refdenotaalfinal"/>
          <w:sz w:val="14"/>
          <w:szCs w:val="14"/>
        </w:rPr>
        <w:endnoteRef/>
      </w:r>
      <w:r w:rsidRPr="00526134">
        <w:t xml:space="preserve"> </w:t>
      </w:r>
      <w:r w:rsidRPr="00526134">
        <w:rPr>
          <w:b/>
        </w:rPr>
        <w:t>La Ley No.64-00, Artículo 136.</w:t>
      </w:r>
      <w:r w:rsidRPr="00526134">
        <w:rPr>
          <w:b/>
          <w:bCs/>
          <w:color w:val="000000"/>
          <w:lang w:eastAsia="es-ES"/>
        </w:rPr>
        <w:t>-</w:t>
      </w:r>
      <w:r w:rsidRPr="00526134">
        <w:rPr>
          <w:color w:val="000000"/>
          <w:lang w:eastAsia="es-ES"/>
        </w:rPr>
        <w:t> </w:t>
      </w:r>
      <w:r w:rsidRPr="00526134">
        <w:t>Se declara de alto interés nacional: 1) La conservación de las especies de flora y fauna nativas y endémicas, el fomento de su reproducción y multiplicación, así como la preservación de los ecosistemas naturales que sirven de hábitat a aquellas especies de flora y fauna nativas y endémicas cuya supervivencia dependa de los mismos, los cuales serán objeto de rigurosos mecanismos de protección in situ; 2) La identificación, la clasificación, el inventario y el estudio científico de los componentes y los hábitats de las especies que componen la diversidad biológica nacional; 3)Garantizar el mantenimiento del equilibrio apropiado de los ecosistemas representativos de las diversas regiones biogeográficas de la República; 4) Facilitar la continuidad de los procesos evolutivos; 5) Promover la defensa colectiva de los componentes ecológicos; y 6) Procurar la participación comunitaria en la conservación y la utilización racional de los recursos genéticos, así como asegurar una justa y equitativa distribución de los beneficios que se deriven de su adecuado manejo y utilización</w:t>
      </w:r>
      <w:r w:rsidRPr="00526134">
        <w:rPr>
          <w:color w:val="000000"/>
          <w:shd w:val="clear" w:color="auto" w:fill="FFFFFF"/>
          <w:lang w:eastAsia="es-ES"/>
        </w:rPr>
        <w:t>.</w:t>
      </w:r>
      <w:r w:rsidRPr="00526134">
        <w:t xml:space="preserve"> </w:t>
      </w:r>
      <w:r w:rsidRPr="00526134">
        <w:rPr>
          <w:b/>
        </w:rPr>
        <w:t>Artículo 138.-</w:t>
      </w:r>
      <w:r w:rsidRPr="00526134">
        <w:t xml:space="preserve"> Se prohíbe la destrucción, degradación, menoscabo o disminución de los ecosistemas naturales y de las especies de flora y fauna silvestres, así como la colecta de especímenes de flora y fauna sin contar con la debida autorización de la Secretaría de Estado de Medio Ambiente y Recursos Naturales. </w:t>
      </w:r>
      <w:r w:rsidRPr="00526134">
        <w:rPr>
          <w:b/>
        </w:rPr>
        <w:t>Artículo 139.-</w:t>
      </w:r>
      <w:r w:rsidRPr="00526134">
        <w:t xml:space="preserve"> Las instancias competentes de la Secretaría de Estado de Medio Ambiente y Recursos Naturales elaborarán la lista de las especies en peligro de extinción, amenazadas o protegidas, las cuales serán objeto de un riguroso control y de mecanismos de protección in situ y ex situ, que garanticen su recuperación y conservación de acuerdo con las leyes especiales y convenios internacionales aprobados por el Estado Dominicano. </w:t>
      </w:r>
      <w:r w:rsidRPr="00526134">
        <w:rPr>
          <w:b/>
        </w:rPr>
        <w:t>Artículo 140.-</w:t>
      </w:r>
      <w:r w:rsidRPr="00526134">
        <w:t> En relación a las especies de flora y fauna declaradas como amenazadas, en peligro o en vías de extinción por el Estado Dominicano o por cualquier otro país, de acuerdo con los tratados internacionales suscritos por el Estado Dominicano, se prohíbe la caza, pesca, captura, hostigamiento, maltrato, muerte, tráfico, importación, exportación, comercio, manufactura o elaboración de artesanías, así como la exhibición y posesión ilegal.</w:t>
      </w:r>
      <w:r w:rsidRPr="00526134">
        <w:rPr>
          <w:b/>
          <w:bCs/>
          <w:color w:val="000000"/>
          <w:lang w:eastAsia="es-ES"/>
        </w:rPr>
        <w:t xml:space="preserve"> </w:t>
      </w:r>
      <w:r w:rsidRPr="00526134">
        <w:rPr>
          <w:b/>
        </w:rPr>
        <w:t>Artículo 142.-</w:t>
      </w:r>
      <w:r w:rsidRPr="00526134">
        <w:t> A efecto de resguardar la diversidad biológica, la Secretaría de Estado de Medio Ambiente y Recursos Naturales podrá: 1) Establecer sistemas de veda; 2) Fijar cuotas de caza y captura de especies de fauna; 3) Retener embarques de productos de la vida silvestre, tanto los originados en el país como en tránsito, en cualquier fase de su envío o traslado, cuando presuma que se trata de comercio ilegal o se infrinjan las disposiciones de esta ley y sus reglamentos y los convenios internacionales aprobados por el Estado, quedando exenta de cualquier tipo de responsabilidad.</w:t>
      </w:r>
      <w:r w:rsidRPr="00642732">
        <w:rPr>
          <w:lang w:val="es-DO"/>
        </w:rPr>
        <w:t xml:space="preserve"> </w:t>
      </w:r>
    </w:p>
  </w:endnote>
  <w:endnote w:id="108">
    <w:p w14:paraId="1174B7C0" w14:textId="77777777" w:rsidR="00DF3AFC" w:rsidRPr="00526134" w:rsidRDefault="00DF3AFC" w:rsidP="002327EC">
      <w:pPr>
        <w:pStyle w:val="Textonotapie"/>
      </w:pPr>
      <w:r w:rsidRPr="00526134">
        <w:rPr>
          <w:rStyle w:val="Refdenotaalfinal"/>
          <w:sz w:val="14"/>
          <w:szCs w:val="14"/>
        </w:rPr>
        <w:endnoteRef/>
      </w:r>
      <w:r w:rsidRPr="00526134">
        <w:t xml:space="preserve"> </w:t>
      </w:r>
      <w:r w:rsidRPr="00526134">
        <w:rPr>
          <w:b/>
        </w:rPr>
        <w:t>LSSB Artículo 29.-</w:t>
      </w:r>
      <w:r w:rsidRPr="00526134">
        <w:t xml:space="preserve"> Protección de especies. Se declara de alto interés nacional la protección de las poblaciones de las especies de flora y fauna endémica, nativa y migratoria, presentes en la República Dominicana. </w:t>
      </w:r>
      <w:r w:rsidRPr="00526134">
        <w:rPr>
          <w:b/>
        </w:rPr>
        <w:t>Artículo 30.-</w:t>
      </w:r>
      <w:r w:rsidRPr="00526134">
        <w:t xml:space="preserve"> Sistema de clasificación. Se establece el sistema de clasificación de las especies por categoría de uso y conservación. Este sistema está integrado por las categorías de manejo y criterios de inclusión siguientes: a) EXTINTO (EX). Cuando no queda ninguna duda razonable de que el último individuo existente ha muerto. Se presume que un taxón está extinto cuando la realización de prospecciones exhaustivas de sus hábitats, conocidos y/o esperados, en los momentos apropiados (diarios, estacionales, anuales), y a lo largo de su área de distribución histórica, no ha podido detectar un solo individuo. Las prospecciones deberán ser realizadas en períodos de tiempo apropiados al ciclo de vida y formas de vida del taxón. b) EXTINTO EN ESTADO SILVESTRE (EES). Está extinto en estado silvestre cuando sólo sobrevive en cultivo, en cautividad o como población (o poblaciones) naturalizadas completamente fuera de su distribución original. Se presume que un taxón está extinto en estado silvestre cuando la realización de prospecciones exhaustivas de sus hábitats, conocidos y/o esperados, en los momentos apropiados (diarios, estacionales, anuales), y a lo largo de su área de distribución histórica, no ha podido detectar un solo individuo. c) EN PELIGRO CRÍTICO (PC). Está en peligro crítico cuando la mejor evidencia disponible indica que cumple cualquiera de los criterios "A" a "E" para en peligro crítico y, por consiguiente, se considera que se está enfrentando a un riesgo de extinción extremadamente alto en estado de vida silvestre. d) EN PELIGRO (EP). Está en peligro cuando la mejor evidencia disponible indica que cumple cualquiera de los criterios "A" a "E" para en peligro y, por consiguiente, se considera que se está enfrentando a un riesgo de extinción muy alto en estado de vida silvestre. e) VULNERABLE (VU). Es vulnerable cuando la mejor evidencia disponible indica que cumple cualquiera de los criterios "A" a "E" para vulnerable y, por consiguiente, se considera que se está enfrentando a un riesgo de extinción alto en estado de vida silvestre. f) CASI AMENAZADO (CA). Está casi amenazado cuando ha sido evaluado según los criterios y no satisface, actualmente, los criterios para en peligro crítico, en peligro o vulnerable, pero está próximo a satisfacer los criterios, o posiblemente los satisfaga, en un futuro cercano. g) PREOCUPACIÓN MENOR (PM). Se considera de preocupación menor cuando, habiendo sido evaluado, no cumple ninguno de los criterios que definen las categorías de en peligro crítico, en peligro, vulnerable o casi amenazado. Se incluyen en esta categoría taxones abundantes y de amplia distribución. h) DATOS INSUFICIENTES (DI). Se incluye en la categoría de datos insuficientes cuando no hay información adecuada para hacer una evaluación, directa o indirecta, de su riesgo de extinción basándose en la distribución y/o condición de la población. Un taxón en esta categoría puede estar bien estudiado, y su biología ser bien conocida, pero carecer de los datos apropiados sobre su abundancia y/o distribución. i) NO EVALUADO (NE). Se considera no evaluado cuando todavía no ha sido clasificado en relación a estos criterios. </w:t>
      </w:r>
      <w:r w:rsidRPr="00526134">
        <w:rPr>
          <w:b/>
        </w:rPr>
        <w:t>Artículo 35.-</w:t>
      </w:r>
      <w:r w:rsidRPr="00526134">
        <w:t xml:space="preserve"> Priorización en especies amenazadas. El uso de los recursos naturales de un espacio o territorio determinado considerará, de manera prioritaria, la protección de especies declaradas como amenazadas, especialmente las que estén en peligro de extinción.</w:t>
      </w:r>
    </w:p>
  </w:endnote>
  <w:endnote w:id="109">
    <w:p w14:paraId="45B9FB1E" w14:textId="77777777" w:rsidR="00DF3AFC" w:rsidRPr="00526134" w:rsidRDefault="00DF3AFC" w:rsidP="002327EC">
      <w:pPr>
        <w:pStyle w:val="Textonotapie"/>
      </w:pPr>
      <w:r w:rsidRPr="00526134">
        <w:rPr>
          <w:rStyle w:val="Refdenotaalfinal"/>
          <w:sz w:val="14"/>
          <w:szCs w:val="14"/>
        </w:rPr>
        <w:endnoteRef/>
      </w:r>
      <w:r w:rsidRPr="00526134">
        <w:t xml:space="preserve"> </w:t>
      </w:r>
      <w:r w:rsidRPr="00526134">
        <w:rPr>
          <w:b/>
        </w:rPr>
        <w:t>La Ley No.64-00, Articulo 167:</w:t>
      </w:r>
      <w:r w:rsidRPr="00526134">
        <w:t xml:space="preserve"> La Secretaría de Estado de Medio Ambiente y Recursos Naturales queda facultada para disponer las siguientes medidas: </w:t>
      </w:r>
      <w:r w:rsidRPr="00526134">
        <w:rPr>
          <w:b/>
        </w:rPr>
        <w:t>1)</w:t>
      </w:r>
      <w:r w:rsidRPr="00526134">
        <w:t xml:space="preserve"> Multa desde medio (1/2) salario mínimo hasta tres mil (3,000) salarios mínimos vigentes, en la fecha en que se cometió la infracción, en función de la dimensión económica de la persona física o jurídica que causó el daño y de la magnitud de los daños causados;  </w:t>
      </w:r>
      <w:r w:rsidRPr="00526134">
        <w:rPr>
          <w:b/>
        </w:rPr>
        <w:t>2)</w:t>
      </w:r>
      <w:r w:rsidRPr="00526134">
        <w:t xml:space="preserve"> Limitación o restricción de las actividades que provocan el daño o riesgo al medio ambiente, o si fuere el caso, sujeción de las mismas a las modalidades o procedimientos que hagan desaparecer dicho perjuicio o riesgo; </w:t>
      </w:r>
      <w:r w:rsidRPr="00526134">
        <w:rPr>
          <w:b/>
        </w:rPr>
        <w:t>3)</w:t>
      </w:r>
      <w:r w:rsidRPr="00526134">
        <w:t xml:space="preserve"> Decomiso y/o incautación de los objetos, instrumentos, artefactos, vehículos, materias primas, productos o artículos, terminados o no, empleados para provocar el daño; y </w:t>
      </w:r>
      <w:r w:rsidRPr="00526134">
        <w:rPr>
          <w:b/>
        </w:rPr>
        <w:t>4)</w:t>
      </w:r>
      <w:r w:rsidRPr="00526134">
        <w:t xml:space="preserve"> Prohibición o suspensión temporal o provisional de las actividades que generan el daño o riesgo ambiental que se trata de evitar y, en caso extremo, clausura parcial o total del local o establecimiento donde se lleva a cabo la actividad que haya generado la violación a la presente ley y otras relacionadas.  </w:t>
      </w:r>
      <w:r w:rsidRPr="00526134">
        <w:rPr>
          <w:b/>
        </w:rPr>
        <w:t>Párrafo I.-</w:t>
      </w:r>
      <w:r w:rsidRPr="00526134">
        <w:t xml:space="preserve"> Las personas o entidades jurídicas que no cumplan con las órdenes, emplazamientos y recomendaciones emanadas de la Secretaría de Estado de Medio Ambiente y Recursos Naturales, serán objeto del retiro temporal o definitivo de la autorización para ejercer o efectuar las actividades que los causaren, sin perjuicio de otras sanciones que pueda dictar el tribunal competente</w:t>
      </w:r>
      <w:r w:rsidRPr="00526134">
        <w:rPr>
          <w:b/>
        </w:rPr>
        <w:t>. Párrafo II.-</w:t>
      </w:r>
      <w:r w:rsidRPr="00526134">
        <w:t xml:space="preserve"> Las medidas a que se refiere el presente artículo, se adoptarán y aplicarán conforme al proceso administrativo correspondiente mediante resolución motivada y hecha por escrito, la cual deberá ser notificada mediante acto de alguacil y podrá ser recurrida conforme al procedimiento administrativo.</w:t>
      </w:r>
      <w:r w:rsidRPr="00526134">
        <w:rPr>
          <w:b/>
        </w:rPr>
        <w:t xml:space="preserve"> Articulo 174 </w:t>
      </w:r>
      <w:r w:rsidRPr="00526134">
        <w:t xml:space="preserve">Todo el que culposa o dolosamente, por acción u omisión, transgreda o viole la presente ley y demás disposiciones que la complementen, incurre en delito contra el medio ambiente y los recursos naturales y, por tanto, responderá de conformidad a las mismas. Así, de toda agresión o delito contra el medio ambiente y los recursos naturales nace una acción contra el culpable o responsable. </w:t>
      </w:r>
      <w:r w:rsidRPr="00526134">
        <w:rPr>
          <w:b/>
        </w:rPr>
        <w:t>Artículo 175.- </w:t>
      </w:r>
      <w:r w:rsidRPr="00526134">
        <w:t xml:space="preserve">Incurren en delitos contra el medio ambiente y los recursos naturales: </w:t>
      </w:r>
      <w:r w:rsidRPr="00526134">
        <w:rPr>
          <w:b/>
        </w:rPr>
        <w:t xml:space="preserve">1. </w:t>
      </w:r>
      <w:r w:rsidRPr="00526134">
        <w:t>Quien violare la presente ley, las leyes complementarias, reglamentos y normas, y realizare actividades que dañen de forma considerable o permanente los recursos naturales;</w:t>
      </w:r>
      <w:r w:rsidRPr="00526134">
        <w:rPr>
          <w:b/>
        </w:rPr>
        <w:t xml:space="preserve"> 2. </w:t>
      </w:r>
      <w:r w:rsidRPr="00526134">
        <w:t xml:space="preserve">Quien produzca alteraciones, daños o perjuicios dentro del sistema nacional de áreas protegidas y quien corte o destruya árboles en áreas forestales de protección y en zonas frágiles, declaradas legalmente como tales; </w:t>
      </w:r>
      <w:r w:rsidRPr="00526134">
        <w:rPr>
          <w:b/>
        </w:rPr>
        <w:t xml:space="preserve">3. </w:t>
      </w:r>
      <w:r w:rsidRPr="00526134">
        <w:t xml:space="preserve">Quien cace, capture o provoque la muerte de especies declaradas en peligro de extinción o protegidas legalmente; </w:t>
      </w:r>
      <w:r w:rsidRPr="00526134">
        <w:rPr>
          <w:b/>
        </w:rPr>
        <w:t xml:space="preserve">4. </w:t>
      </w:r>
      <w:r w:rsidRPr="00526134">
        <w:t xml:space="preserve">Quien use explosivos, venenos, trampas u otros instrumentos o artes que dañen o causen sufrimiento a especies de fauna terrestre o acuática, sean éstas endémicas, nativas, residentes o migratorias; </w:t>
      </w:r>
      <w:r w:rsidRPr="00526134">
        <w:rPr>
          <w:b/>
        </w:rPr>
        <w:t xml:space="preserve">5. </w:t>
      </w:r>
      <w:r w:rsidRPr="00526134">
        <w:t xml:space="preserve">Quien violare las normas, parámetros y límites permisibles de vertidos o disposición final de sustancias tóxicas y peligrosas definidas legalmente, y las descargue en cuerpos de agua, las libere al aire o las deposite en sitios no autorizados para ello, o en sitios autorizados sin permiso o clandestinamente; </w:t>
      </w:r>
      <w:r w:rsidRPr="00526134">
        <w:rPr>
          <w:b/>
        </w:rPr>
        <w:t xml:space="preserve">6. </w:t>
      </w:r>
      <w:r w:rsidRPr="00526134">
        <w:t>Quien violare las normas, parámetros y límites permisibles, y vierta aguas servidas no tratadas a cuerpos de aguas o sistemas de alcantarillado, disponga de desechos sólidos industriales no peligrosos en sitios no autorizados para ello o emita al aire sustancias contaminantes, escapes de gases, agentes biológicos y bioquímicos;</w:t>
      </w:r>
      <w:r w:rsidRPr="00526134">
        <w:rPr>
          <w:b/>
        </w:rPr>
        <w:t xml:space="preserve"> 7. </w:t>
      </w:r>
      <w:r w:rsidRPr="00526134">
        <w:t xml:space="preserve">Quien violare las normas técnicas pertinentes y genere o maneje sustancias tóxicas o peligrosas, transforme desechos tóxicos o peligrosos trasloando la contaminación a otro medio receptor, o quien los opere, almacene o descargue en sitios no autorizados; </w:t>
      </w:r>
      <w:r w:rsidRPr="00526134">
        <w:rPr>
          <w:b/>
        </w:rPr>
        <w:t xml:space="preserve">8. </w:t>
      </w:r>
      <w:r w:rsidRPr="00526134">
        <w:t xml:space="preserve">Quien violare las regulaciones contenidas en las licencias o permisos ambientales, o las haya obtenido usando datos falsos o alteren las bitácoras ambientales sobre emisiones y vertidos, o el funcionario público que otorgue tales licencias o permisos, sin cumplir con los requisitos del proceso de evaluación de impacto ambiental, cuando la ley así lo exija. </w:t>
      </w:r>
      <w:r w:rsidRPr="00526134">
        <w:rPr>
          <w:b/>
        </w:rPr>
        <w:t>Artículo 176.- </w:t>
      </w:r>
      <w:r w:rsidRPr="00526134">
        <w:t xml:space="preserve">Cuando cualquiera de los hechos punibles anteriormente descritos se hubieren cometido por decisión de los órganos directivos de una persona jurídica, dentro de la actividad que dicha persona normalmente realiza y con sus propios fondos, en búsqueda de una ganancia o en su propio interés, independientemente de las sanciones a que se haga acreedor el autor inmediato del delito, la persona jurídica será sancionada con multa de cinco mil (5,000) a veinte mil (20,000) salarios mínimos, y de acuerdo con la gravedad del daño causado, la prohibición de realizar la actividad que originó el ilícito (o delito) por un período de (1) mes a tres (3) años. En caso de daños de gravedad mayor que conllevaren intoxicación de grupos humanos, destrucción de hábitats o contaminación irreversible extensa, se prohibirá la actividad o se clausurará el establecimiento de forma definitiva, a discreción del juez. </w:t>
      </w:r>
      <w:r w:rsidRPr="00526134">
        <w:rPr>
          <w:b/>
        </w:rPr>
        <w:t>Párrafo.- </w:t>
      </w:r>
      <w:r w:rsidRPr="00526134">
        <w:t>La acción judicial derivada de los delitos previstos por la presente ley y leyes complementarias es de orden público y se ejerce de oficio, por querella o por denuncia.</w:t>
      </w:r>
    </w:p>
  </w:endnote>
  <w:endnote w:id="110">
    <w:p w14:paraId="0AE39AD9" w14:textId="77777777" w:rsidR="00DF3AFC" w:rsidRPr="00526134" w:rsidRDefault="00DF3AFC" w:rsidP="002327EC">
      <w:pPr>
        <w:pStyle w:val="Textonotapie"/>
      </w:pPr>
      <w:r w:rsidRPr="00526134">
        <w:rPr>
          <w:rStyle w:val="Refdenotaalfinal"/>
          <w:sz w:val="14"/>
          <w:szCs w:val="14"/>
        </w:rPr>
        <w:endnoteRef/>
      </w:r>
      <w:r w:rsidRPr="00642732">
        <w:rPr>
          <w:lang w:val="es-DO"/>
        </w:rPr>
        <w:t xml:space="preserve"> </w:t>
      </w:r>
      <w:r w:rsidRPr="00642732">
        <w:rPr>
          <w:b/>
          <w:lang w:val="es-DO"/>
        </w:rPr>
        <w:t>La CPD, Articulo 17.</w:t>
      </w:r>
      <w:r w:rsidRPr="00642732">
        <w:rPr>
          <w:lang w:val="es-DO"/>
        </w:rPr>
        <w:t xml:space="preserve">- Aprovechamiento de los recursos naturales. Los yacimientos mineros y de hidrocarburos y, en general, los recursos naturales no renovables, sólo pueden ser explorados y explotados por particulares, bajo criterios ambientales sostenibles, en virtud de las concesiones, contratos, licencias, permisos o cuotas, en las condiciones que determine la ley. Los particulares pueden aprovechar los recursos naturales renovables de manera racional con las condiciones, obligaciones y limitaciones que disponga la ley. En consecuencia: 1) Se declara de alto interés público la exploración y explotación de hidrocarburos en el territorio nacional y en las áreas marítimas bajo jurisdicción nacional; 2) Se declara de prioridad nacional y de interés social la reforestación del país, la conservación de los bosques y la renovación de los recursos forestales; 3) Se declara de prioridad nacional la preservación y aprovechamiento racional de los recursos vivos y no vivos de las áreas marítimas nacionales, en especial el conjunto de bancos y emersiones dentro de la política nacional de desarrollo marítimo; 4) Los beneficios percibidos por el Estado por la explotación de los recursos naturales serán dedicados al desarrollo de la Nación y de las provincias donde se encuentran, en la proporción y condiciones fijadas por ley. </w:t>
      </w:r>
    </w:p>
  </w:endnote>
  <w:endnote w:id="111">
    <w:p w14:paraId="58B82E5A" w14:textId="4AE6F1A0" w:rsidR="00DF3AFC" w:rsidRPr="00642732" w:rsidRDefault="00DF3AFC" w:rsidP="002327EC">
      <w:pPr>
        <w:pStyle w:val="Textonotapie"/>
        <w:rPr>
          <w:lang w:val="es-DO"/>
        </w:rPr>
      </w:pPr>
      <w:r w:rsidRPr="00526134">
        <w:rPr>
          <w:rStyle w:val="Refdenotaalfinal"/>
          <w:sz w:val="14"/>
          <w:szCs w:val="14"/>
        </w:rPr>
        <w:endnoteRef/>
      </w:r>
      <w:r w:rsidRPr="00642732">
        <w:rPr>
          <w:lang w:val="es-DO"/>
        </w:rPr>
        <w:t xml:space="preserve"> </w:t>
      </w:r>
      <w:r w:rsidRPr="00642732">
        <w:rPr>
          <w:b/>
          <w:lang w:val="es-DO"/>
        </w:rPr>
        <w:t>El Reglamento Forestal, Articulo 1, Literal b,</w:t>
      </w:r>
      <w:r w:rsidRPr="00642732">
        <w:rPr>
          <w:lang w:val="es-DO"/>
        </w:rPr>
        <w:t xml:space="preserve"> tiene como una de sus metas promover y normar la protección y el uso sostenible de los recursos forestales, estableciendo reglas que permitan la necesaria incorporación de la sociedad civil, en la gestión para el desarrollo y conservación de estos recursos. Además, define a los bosques nacionales como todos los terrenos propiedad del Estado, donde existen bosques de protección, producción o ambos a la vez.</w:t>
      </w:r>
    </w:p>
  </w:endnote>
  <w:endnote w:id="112">
    <w:p w14:paraId="2CD72364" w14:textId="2688518B" w:rsidR="00DF3AFC" w:rsidRPr="005262BD" w:rsidRDefault="00DF3AFC" w:rsidP="002327EC">
      <w:pPr>
        <w:pStyle w:val="Textonotapie"/>
      </w:pPr>
      <w:r w:rsidRPr="00526134">
        <w:endnoteRef/>
      </w:r>
      <w:r w:rsidRPr="005262BD">
        <w:t xml:space="preserve"> </w:t>
      </w:r>
      <w:r w:rsidRPr="005262BD">
        <w:rPr>
          <w:b/>
        </w:rPr>
        <w:t>LIDF, Articulo. 1:</w:t>
      </w:r>
      <w:r w:rsidRPr="005262BD">
        <w:t xml:space="preserve"> Podrán acogerse a los incentivos y beneficios que estipula la presente ley, las personas naturales o jurídicas domiciliadas en el país, que emprendan, promuevan, inviertan  capital o adquiera participación sea como propietario de terrenos, inversionistas, prestatarios y operadores de empresas, total o parcial en actividades concernientes a industrias de la siguiente naturaleza: </w:t>
      </w:r>
      <w:r w:rsidRPr="005262BD">
        <w:rPr>
          <w:b/>
        </w:rPr>
        <w:t>a)</w:t>
      </w:r>
      <w:r w:rsidRPr="005262BD">
        <w:t xml:space="preserve"> Proyectos de forestación o reforestación, para su ulterior aprovechamiento, para madera, pulpa, combustible, o cualquier otro proceso de transformación industrial, o cuya explotación se realice mediante métodos de preservación que no agoten los recursos forestales, ni destruyan su proceso de reproducción, crecimiento y eviten los riesgos de incendios.</w:t>
      </w:r>
      <w:r w:rsidRPr="005262BD">
        <w:rPr>
          <w:b/>
        </w:rPr>
        <w:t xml:space="preserve"> b)</w:t>
      </w:r>
      <w:r w:rsidRPr="005262BD">
        <w:t xml:space="preserve"> Proyectos para el crecimiento de árboles con fines energéticos, dedicados a la producción de carbón vegetal, mediante el corte periódico por desgaje y su procesamiento… </w:t>
      </w:r>
      <w:r w:rsidRPr="005262BD">
        <w:rPr>
          <w:b/>
        </w:rPr>
        <w:t>c)</w:t>
      </w:r>
      <w:r w:rsidRPr="005262BD">
        <w:t xml:space="preserve"> Las escuelas, centros educativos de investigación o experimentación, orientados a la forestación o proyectos de desarrollo mixtos, en las zonas de bosques secos, bosques húmedos y tierras agrícolas. </w:t>
      </w:r>
    </w:p>
  </w:endnote>
  <w:endnote w:id="113">
    <w:p w14:paraId="54756DFF" w14:textId="77777777" w:rsidR="00DF3AFC" w:rsidRPr="005262BD" w:rsidRDefault="00DF3AFC" w:rsidP="002327EC">
      <w:pPr>
        <w:pStyle w:val="Textonotapie"/>
      </w:pPr>
      <w:r w:rsidRPr="00526134">
        <w:endnoteRef/>
      </w:r>
      <w:r w:rsidRPr="005262BD">
        <w:t xml:space="preserve"> </w:t>
      </w:r>
      <w:r w:rsidRPr="005262BD">
        <w:rPr>
          <w:b/>
        </w:rPr>
        <w:t>LCFAF, Articulo. 1:</w:t>
      </w:r>
      <w:r w:rsidRPr="005262BD">
        <w:t xml:space="preserve"> La presente Ley, tiene por objeto regular la conservación, restauración, fomento y aprovechamiento de la vegetación forestal, el transporte y comercio de los productos que de ella deriven, así como la administración nacional del servicio forestal y desarrollo e integración adecuados de la industria forestal. Párrafo.-  Son aplicables las disposiciones de esta Ley a todos los terrenos forestales cualquiera que sea su régimen de propiedad. </w:t>
      </w:r>
    </w:p>
  </w:endnote>
  <w:endnote w:id="114">
    <w:p w14:paraId="3809B218" w14:textId="77777777" w:rsidR="00DF3AFC" w:rsidRPr="005262BD" w:rsidRDefault="00DF3AFC" w:rsidP="002327EC">
      <w:pPr>
        <w:pStyle w:val="Textonotapie"/>
      </w:pPr>
      <w:r w:rsidRPr="00526134">
        <w:endnoteRef/>
      </w:r>
      <w:r w:rsidRPr="005262BD">
        <w:t xml:space="preserve"> </w:t>
      </w:r>
      <w:r w:rsidRPr="005262BD">
        <w:rPr>
          <w:b/>
        </w:rPr>
        <w:t>Ley No. 64-00: Artículo 33:</w:t>
      </w:r>
      <w:r w:rsidRPr="005262BD">
        <w:t xml:space="preserve"> Se crea el Sistema Nacional de Áreas Protegidas, que comprende todas las áreas de ese carácter, existentes y que se creen en el futuro, públicas o privadas. Se transfieren las responsabilidades de la Dirección Nacional de Parques a la Secretaría de Estado de Medio Ambiente y Recursos Naturales. Para el establecimiento de las áreas protegidas, se deben tomar en cuenta los siguientes mandatos: … Proteger cuencas hidrográficas, ciclos hidrológicos, zonas acuíferas, muestras de comunidades bióticas, recursos genéticos particulares y la diversidad genética de los ecosistemas naturales y de sus elementos. </w:t>
      </w:r>
      <w:r w:rsidRPr="005262BD">
        <w:rPr>
          <w:b/>
        </w:rPr>
        <w:t>Artículo 35:</w:t>
      </w:r>
      <w:r w:rsidRPr="005262BD">
        <w:t xml:space="preserve"> Los objetivos de establecer áreas protegidas son: 1) Salvar, conocer, conservar y usar, conforme a su categoría de manejo, la biodiversidad y los ecosistemas bajo régimen de protección que conforman el patrimonio natural de la república; 2) Mantener en estado natural las muestras representativas de comunidades bióticas, zonas de vida, regiones fisiográficas, unidades biogeográficas, recursos genéticos y especies de vida silvestre amenazadas, en peligro o en vías de extinción, para facilitar la investigación científica, el mantenimiento de la diversidad biológica, asegurar la estabilidad ecológica, promover las actividades recreativas y de turismo sostenible y para favorecer la educación ambiental, la investigación científica y el estudio de los ecosistemas. </w:t>
      </w:r>
    </w:p>
  </w:endnote>
  <w:endnote w:id="115">
    <w:p w14:paraId="6702101E" w14:textId="77777777" w:rsidR="00DF3AFC" w:rsidRPr="00642732" w:rsidRDefault="00DF3AFC" w:rsidP="002327EC">
      <w:pPr>
        <w:pStyle w:val="Textonotapie"/>
        <w:rPr>
          <w:lang w:val="es-DO"/>
        </w:rPr>
      </w:pPr>
      <w:r w:rsidRPr="00526134">
        <w:rPr>
          <w:rStyle w:val="Refdenotaalfinal"/>
          <w:sz w:val="14"/>
          <w:szCs w:val="14"/>
        </w:rPr>
        <w:endnoteRef/>
      </w:r>
      <w:r w:rsidRPr="00642732">
        <w:rPr>
          <w:lang w:val="es-DO"/>
        </w:rPr>
        <w:t xml:space="preserve"> </w:t>
      </w:r>
      <w:r w:rsidRPr="00642732">
        <w:rPr>
          <w:b/>
          <w:lang w:val="es-DO"/>
        </w:rPr>
        <w:t>LSAP, Artículo 1:</w:t>
      </w:r>
      <w:r w:rsidRPr="00642732">
        <w:rPr>
          <w:lang w:val="es-DO"/>
        </w:rPr>
        <w:t xml:space="preserve"> EI objeto de la presente ley es garantizar la conservación y preservación de muestras representativas de los diferentes ecosistemas y del patrimonio natural y cultural de la </w:t>
      </w:r>
      <w:r>
        <w:rPr>
          <w:lang w:val="es-DO"/>
        </w:rPr>
        <w:t>República</w:t>
      </w:r>
      <w:r w:rsidRPr="00642732">
        <w:rPr>
          <w:lang w:val="es-DO"/>
        </w:rPr>
        <w:t xml:space="preserve"> Dominicana para asegurar la permanencia y optimización de los servicios ambientales y económicos que estos ecosistemas ofrecen o puedan ofrecer a la sociedad dominicana en la presente y futuras generaciones. </w:t>
      </w:r>
      <w:r w:rsidRPr="00642732">
        <w:rPr>
          <w:b/>
          <w:lang w:val="es-DO"/>
        </w:rPr>
        <w:t>Artículo 2:</w:t>
      </w:r>
      <w:r w:rsidRPr="00642732">
        <w:rPr>
          <w:lang w:val="es-DO"/>
        </w:rPr>
        <w:t xml:space="preserve"> Definiciones. La presente ley deberá ser interpretada de acuerdo con las siguientes definiciones: Reserva forestal: Terrenos cubiertos de bosques o tierras de vocación forestal, de propiedad estatal, privada, municipal o comunitaria, que por sus aptitudes cumplen con la función de proteger suelos y agua, o poseen un evidente potencial energético para producir de manera sostenible madera, leña, carbón y otros productos forestales. Su manejo requiere estar primordialmente orientado a la conservación o uso y aprovechamiento sostenible, o hacia la protección de un recurso natural de especial importancia, como el agua. Las reservas forestales pueden ser de conservación estricta para asegurar su uso futuro, o de manejo especial para el aprovechamiento presente de sus recursos. </w:t>
      </w:r>
      <w:r w:rsidRPr="00642732">
        <w:rPr>
          <w:b/>
          <w:lang w:val="es-DO"/>
        </w:rPr>
        <w:t>Artículo 6:</w:t>
      </w:r>
      <w:r w:rsidRPr="00642732">
        <w:rPr>
          <w:lang w:val="es-DO"/>
        </w:rPr>
        <w:t xml:space="preserve"> El Sistema Nacional de Áreas Protegidas es el conjunto de espacios terrestres y marinos del territorio nacional que han sido destinados al cumplimiento de los objetivos de conservación establecidos en la presente ley.  Estas áreas tienen carácter definitivo y comprenden los terrenos pertenecientes al Estado que conforman el Patrimonio Nacional de Áreas Bajo Régimen Especial de Protección y aquellos terrenos de dominio privado que se encuentren en ellas, así como las que se declaren en el futuro. </w:t>
      </w:r>
      <w:r w:rsidRPr="00642732">
        <w:rPr>
          <w:b/>
          <w:lang w:val="es-DO"/>
        </w:rPr>
        <w:t>Artículo 13</w:t>
      </w:r>
      <w:r w:rsidRPr="00642732">
        <w:rPr>
          <w:lang w:val="es-DO"/>
        </w:rPr>
        <w:t xml:space="preserve">: Las unidades del Sistema Nacional de Áreas Protegidas se corresponderán con las siguientes categorías de manejo consistentes con las normas universalmente aceptadas de la Unión Mundial para la Naturaleza: … Categoría V. Reservas Naturales: Reservas Forestales, Bosque Modelo y Reserva Privada. </w:t>
      </w:r>
      <w:r w:rsidRPr="00642732">
        <w:rPr>
          <w:b/>
          <w:lang w:val="es-DO"/>
        </w:rPr>
        <w:t>Artículo 14:</w:t>
      </w:r>
      <w:r w:rsidRPr="00642732">
        <w:rPr>
          <w:lang w:val="es-DO"/>
        </w:rPr>
        <w:t xml:space="preserve"> Los objetivos de manejo y usos permitidos de las categorías indicadas anteriormente son los siguientes: Categoría I. Áreas de Protección Estricta: su objetivo de manejo es proteger recursos y procesos naturales ecológicamente singulares del medio ambiente natural. Los usos permitidos en esta categoría de manejo son: investigación científica, monitoreo ambiental, educación, conservación de recursos genéticos y turismo ecológico de conformidad con el plan de manejo y la zonificación del área, así como infraestructuras aprobadas por la Secretaria de Estado de Medio Ambiente y Recursos Naturales y destinadas a la protección.</w:t>
      </w:r>
    </w:p>
  </w:endnote>
  <w:endnote w:id="116">
    <w:p w14:paraId="55314117" w14:textId="77777777" w:rsidR="00DF3AFC" w:rsidRPr="00642732" w:rsidRDefault="00DF3AFC" w:rsidP="002327EC">
      <w:pPr>
        <w:pStyle w:val="Textonotapie"/>
        <w:rPr>
          <w:lang w:val="es-DO"/>
        </w:rPr>
      </w:pPr>
      <w:r w:rsidRPr="00526134">
        <w:rPr>
          <w:rStyle w:val="Refdenotaalfinal"/>
          <w:sz w:val="14"/>
          <w:szCs w:val="14"/>
        </w:rPr>
        <w:endnoteRef/>
      </w:r>
      <w:r w:rsidRPr="00642732">
        <w:rPr>
          <w:lang w:val="es-DO"/>
        </w:rPr>
        <w:t xml:space="preserve"> </w:t>
      </w:r>
      <w:r w:rsidRPr="00642732">
        <w:rPr>
          <w:b/>
          <w:lang w:val="es-DO"/>
        </w:rPr>
        <w:t>La Ley sobre Conservación Forestal y Árboles Frutales, Articulo 48,</w:t>
      </w:r>
      <w:r w:rsidRPr="00642732">
        <w:rPr>
          <w:lang w:val="es-DO"/>
        </w:rPr>
        <w:t xml:space="preserve">  consagra Reservas Forestales de la República, mismas que son inalienables e imprescriptibles; prohíbe desmontes, talas, quemas y cultivos, en diversas zonas; además faculta al Poder Ejecutivo para establecer parques nacionales en los terrenos forestales que lo ameriten. </w:t>
      </w:r>
    </w:p>
  </w:endnote>
  <w:endnote w:id="117">
    <w:p w14:paraId="5D9AE24D" w14:textId="77777777" w:rsidR="00DF3AFC" w:rsidRPr="00642732" w:rsidRDefault="00DF3AFC" w:rsidP="002327EC">
      <w:pPr>
        <w:pStyle w:val="Textonotapie"/>
        <w:rPr>
          <w:lang w:val="es-DO"/>
        </w:rPr>
      </w:pPr>
      <w:r w:rsidRPr="00526134">
        <w:rPr>
          <w:rStyle w:val="Refdenotaalfinal"/>
          <w:sz w:val="14"/>
          <w:szCs w:val="14"/>
        </w:rPr>
        <w:endnoteRef/>
      </w:r>
      <w:r w:rsidRPr="00642732">
        <w:rPr>
          <w:b/>
          <w:lang w:val="es-DO"/>
        </w:rPr>
        <w:t>El Reglamento Forestal, Articulo 51</w:t>
      </w:r>
      <w:r w:rsidRPr="00642732">
        <w:rPr>
          <w:lang w:val="es-DO"/>
        </w:rPr>
        <w:t xml:space="preserve">, considera áreas especiales de manejo o zonas de protección en las que no se admite </w:t>
      </w:r>
      <w:r w:rsidRPr="00526134">
        <w:rPr>
          <w:rFonts w:eastAsia="Cambria" w:cs="Cambria"/>
          <w:color w:val="000000"/>
          <w:lang w:val="es-DO" w:eastAsia="es-DO"/>
        </w:rPr>
        <w:t>tala</w:t>
      </w:r>
      <w:r w:rsidRPr="00642732">
        <w:rPr>
          <w:lang w:val="es-DO"/>
        </w:rPr>
        <w:t xml:space="preserve"> rasa, únicamente permite cortas de mejoras para eliminar árboles enfermos o con defectos naturales que ameriten su eliminación de tal manera que se reafirmen las funciones principales de estos bosques, en estricta correspondencia con el Plan de Manejo.</w:t>
      </w:r>
    </w:p>
  </w:endnote>
  <w:endnote w:id="118">
    <w:p w14:paraId="19E880BD" w14:textId="77777777" w:rsidR="00DF3AFC" w:rsidRPr="005262BD" w:rsidRDefault="00DF3AFC" w:rsidP="002327EC">
      <w:pPr>
        <w:pStyle w:val="Textonotapie"/>
      </w:pPr>
      <w:r w:rsidRPr="00526134">
        <w:endnoteRef/>
      </w:r>
      <w:r w:rsidRPr="005262BD">
        <w:t xml:space="preserve"> </w:t>
      </w:r>
      <w:r w:rsidRPr="005262BD">
        <w:rPr>
          <w:b/>
        </w:rPr>
        <w:t>LOEND, Objetivo 4.1.1</w:t>
      </w:r>
      <w:r w:rsidRPr="005262BD">
        <w:t xml:space="preserve"> Proteger y usar de forma sostenible los bienes y servicios de los ecosistemas, la biodiversidad y el patrimonio natural de la nación, incluidos los recursos marinos. </w:t>
      </w:r>
      <w:r w:rsidRPr="005262BD">
        <w:rPr>
          <w:b/>
        </w:rPr>
        <w:t>Línea de acción 4.1.1.5</w:t>
      </w:r>
      <w:r w:rsidRPr="005262BD">
        <w:t xml:space="preserve"> Fortalecer las capacidades profesionales y recursos tecnológicos para la gestión ambiental y el desarrollo sostenible a partir de las potencialidades que presentan las Grandes Regiones Estratégicas de Planificación.  </w:t>
      </w:r>
      <w:r w:rsidRPr="005262BD">
        <w:rPr>
          <w:b/>
        </w:rPr>
        <w:t>Línea de acción 4.1.1.6</w:t>
      </w:r>
      <w:r w:rsidRPr="005262BD">
        <w:t xml:space="preserve"> Desarrollar sistemas de monitoreo, evaluación y valoración del estado del medio ambiente y los recursos naturales a nivel nacional, regional y local, a partir de la consolidación de un Sistema de Información Ambiental que incluya la valoración de los recursos naturales en las cuentas nacionales. </w:t>
      </w:r>
      <w:r w:rsidRPr="005262BD">
        <w:rPr>
          <w:b/>
        </w:rPr>
        <w:t>Línea de acción 4.1.1.7</w:t>
      </w:r>
      <w:r w:rsidRPr="005262BD">
        <w:t xml:space="preserve"> Realizar investigaciones y crear sistemas de información y análisis sistemáticos acerca del impacto de la degradación del medioambiente en las condiciones de vida de la población, en particular sobre las mujeres y los grupos vulnerables. </w:t>
      </w:r>
    </w:p>
  </w:endnote>
  <w:endnote w:id="119">
    <w:p w14:paraId="079F8132" w14:textId="77777777" w:rsidR="00DF3AFC" w:rsidRPr="00526134" w:rsidRDefault="00DF3AFC" w:rsidP="002327EC">
      <w:pPr>
        <w:pStyle w:val="Textonotapie"/>
        <w:rPr>
          <w:lang w:val="es-DO"/>
        </w:rPr>
      </w:pPr>
      <w:r w:rsidRPr="00526134">
        <w:rPr>
          <w:rStyle w:val="Refdenotaalfinal"/>
          <w:sz w:val="14"/>
          <w:szCs w:val="14"/>
        </w:rPr>
        <w:endnoteRef/>
      </w:r>
      <w:r w:rsidRPr="00642732">
        <w:rPr>
          <w:lang w:val="es-DO"/>
        </w:rPr>
        <w:t xml:space="preserve"> </w:t>
      </w:r>
      <w:r w:rsidRPr="00642732">
        <w:rPr>
          <w:b/>
          <w:lang w:val="es-DO"/>
        </w:rPr>
        <w:t>La CPD, Articulo 194.-</w:t>
      </w:r>
      <w:r w:rsidRPr="00642732">
        <w:rPr>
          <w:lang w:val="es-DO"/>
        </w:rPr>
        <w:t xml:space="preserve"> Es prioridad del Estado la formulación y ejecución, mediante ley, de un plan de ordenamiento territorial que asegure el uso eficiente y sostenible de los recursos naturales de la Nación, acorde con la necesidad de adaptación al cambio climático.</w:t>
      </w:r>
    </w:p>
  </w:endnote>
  <w:endnote w:id="120">
    <w:p w14:paraId="0D2C06ED" w14:textId="77777777" w:rsidR="00DF3AFC" w:rsidRPr="00642732" w:rsidRDefault="00DF3AFC" w:rsidP="002327EC">
      <w:pPr>
        <w:pStyle w:val="Textonotapie"/>
        <w:rPr>
          <w:lang w:val="es-DO"/>
        </w:rPr>
      </w:pPr>
      <w:r w:rsidRPr="00526134">
        <w:rPr>
          <w:rStyle w:val="Refdenotaalfinal"/>
          <w:sz w:val="14"/>
          <w:szCs w:val="14"/>
        </w:rPr>
        <w:endnoteRef/>
      </w:r>
      <w:r w:rsidRPr="00642732">
        <w:rPr>
          <w:lang w:val="es-DO"/>
        </w:rPr>
        <w:t xml:space="preserve"> </w:t>
      </w:r>
      <w:r w:rsidRPr="00642732">
        <w:rPr>
          <w:b/>
          <w:lang w:val="es-DO"/>
        </w:rPr>
        <w:t>La Ley 64-00, en el Artículo 16, Numeral 39.-</w:t>
      </w:r>
      <w:r w:rsidRPr="00642732">
        <w:rPr>
          <w:lang w:val="es-DO"/>
        </w:rPr>
        <w:t xml:space="preserve"> establece que para los efectos de esta ley, se entenderá por: Ordenamiento del suelo: Proceso de planificación dirigido a evaluar y programar el uso del suelo en el territorio nacional, de acuerdo con sus características y potencialidades, tomando en cuenta los recursos naturales y ambientales, las actividades económicas y sociales y la distribución de la población, en el marco de una política de conservación y uso sostenible de los recursos naturales y el medio ambiente. </w:t>
      </w:r>
      <w:r w:rsidRPr="00642732">
        <w:rPr>
          <w:b/>
          <w:lang w:val="es-DO"/>
        </w:rPr>
        <w:t>Artículo 120.-</w:t>
      </w:r>
      <w:r w:rsidRPr="00642732">
        <w:rPr>
          <w:lang w:val="es-DO"/>
        </w:rPr>
        <w:t xml:space="preserve"> Se ordena a la Secretaría de Estado de Medio Ambiente y Recursos Naturales la elaboración y aplicación de reglas y parámetros de zonificación u ordenamiento del territorio, que determinen y delimiten claramente el potencial y los usos que deben o pueden darse a los suelos, de acuerdo con su capacidad, sus potencialidades particulares y sus condiciones ambientales específicas. </w:t>
      </w:r>
      <w:r w:rsidRPr="00642732">
        <w:rPr>
          <w:b/>
          <w:lang w:val="es-DO"/>
        </w:rPr>
        <w:t>Artículo 154.-</w:t>
      </w:r>
      <w:r w:rsidRPr="00642732">
        <w:rPr>
          <w:lang w:val="es-DO"/>
        </w:rPr>
        <w:t xml:space="preserve"> El manejo y uso de los bosques y suelos forestales debe ser sostenible. Una ley especial normará el manejo forestal integral y el uso sostenible de los recursos del bosque para los fines de su conservación, explotación, producción, industrialización y comercialización, así como la preservación de otros recursos naturales que forman parte de su ecosistema y del medio ambiente en general. </w:t>
      </w:r>
      <w:r w:rsidRPr="00642732">
        <w:rPr>
          <w:b/>
          <w:lang w:val="es-DO"/>
        </w:rPr>
        <w:t>El Artículo 18, numeral 17.-</w:t>
      </w:r>
      <w:r w:rsidRPr="00642732">
        <w:rPr>
          <w:lang w:val="es-DO"/>
        </w:rPr>
        <w:t xml:space="preserve"> señala que corresponden a la Secretaría de Estado de Medio Ambiente y Recursos Naturales las siguientes funciones: Establecer el Sistema Nacional de Información Ambiental y de Recursos Naturales; realizar, organizar y actualizar el inventario de la biodiversidad y de los recursos genéticos nacionales, así como diseñar y ejecutar la estrategia nacional de conservación de la biodiversidad; </w:t>
      </w:r>
      <w:r w:rsidRPr="00642732">
        <w:rPr>
          <w:b/>
          <w:lang w:val="es-DO"/>
        </w:rPr>
        <w:t>Artículo 136, Numeral 2.-</w:t>
      </w:r>
      <w:r w:rsidRPr="00642732">
        <w:rPr>
          <w:lang w:val="es-DO"/>
        </w:rPr>
        <w:t xml:space="preserve"> Se declara de alto interés nacional: La identificación, la clasificación, el inventario y el estudio científico de los componentes y los hábitats de las especies que componen la diversidad biológica nacional; </w:t>
      </w:r>
      <w:r w:rsidRPr="00642732">
        <w:rPr>
          <w:b/>
          <w:lang w:val="es-DO"/>
        </w:rPr>
        <w:t>Artículo 157, Párrafo I.-</w:t>
      </w:r>
      <w:r w:rsidRPr="00642732">
        <w:rPr>
          <w:lang w:val="es-DO"/>
        </w:rPr>
        <w:t xml:space="preserve"> Las normativas forestales estarán regidas por la ley sectorial, y, hasta tanto no se ejecute el inventario forestal nacional del bosque nativo, queda prohibido el corte, aprovechamiento, aserrío e industrialización de árboles nativos. Párrafo II.- Con el fin de actualizar la existencia de la reserva forestal nacional de los bosques nativos y de plantaciones artificiales con fines comerciales, se establece un plazo máximo de un (1) año, a partir de la vigencia de esta ley, para que la Secretaría de Estado de Medio Ambiente y Recursos Naturales planifique y ejecute un inventario nacional, el cual deberá reflejar, entre otros aspectos, lo referente a: </w:t>
      </w:r>
      <w:r w:rsidRPr="00642732">
        <w:rPr>
          <w:b/>
          <w:lang w:val="es-DO"/>
        </w:rPr>
        <w:t>1)</w:t>
      </w:r>
      <w:r w:rsidRPr="00642732">
        <w:rPr>
          <w:lang w:val="es-DO"/>
        </w:rPr>
        <w:t xml:space="preserve"> Bosques nativos de áreas nativas protegidas; </w:t>
      </w:r>
      <w:r w:rsidRPr="00642732">
        <w:rPr>
          <w:b/>
          <w:lang w:val="es-DO"/>
        </w:rPr>
        <w:t>2)</w:t>
      </w:r>
      <w:r w:rsidRPr="00642732">
        <w:rPr>
          <w:lang w:val="es-DO"/>
        </w:rPr>
        <w:t xml:space="preserve"> Bosques nativos correspondientes a categoría de protección;</w:t>
      </w:r>
      <w:r w:rsidRPr="00642732">
        <w:rPr>
          <w:b/>
          <w:lang w:val="es-DO"/>
        </w:rPr>
        <w:t xml:space="preserve"> 3)</w:t>
      </w:r>
      <w:r w:rsidRPr="00642732">
        <w:rPr>
          <w:lang w:val="es-DO"/>
        </w:rPr>
        <w:t xml:space="preserve"> Bosques nativos correspondientes a categoría de protección y producción; </w:t>
      </w:r>
      <w:r w:rsidRPr="00642732">
        <w:rPr>
          <w:b/>
          <w:lang w:val="es-DO"/>
        </w:rPr>
        <w:t>4)</w:t>
      </w:r>
      <w:r w:rsidRPr="00642732">
        <w:rPr>
          <w:lang w:val="es-DO"/>
        </w:rPr>
        <w:t xml:space="preserve"> Bosques nativos correspondientes a categoría de producción; </w:t>
      </w:r>
      <w:r w:rsidRPr="00642732">
        <w:rPr>
          <w:b/>
          <w:lang w:val="es-DO"/>
        </w:rPr>
        <w:t>5)</w:t>
      </w:r>
      <w:r w:rsidRPr="00642732">
        <w:rPr>
          <w:lang w:val="es-DO"/>
        </w:rPr>
        <w:t xml:space="preserve"> Bosques artificiales correspondientes a categoría de protección y producción; </w:t>
      </w:r>
      <w:r w:rsidRPr="00642732">
        <w:rPr>
          <w:b/>
          <w:lang w:val="es-DO"/>
        </w:rPr>
        <w:t>6)</w:t>
      </w:r>
      <w:r w:rsidRPr="00642732">
        <w:rPr>
          <w:lang w:val="es-DO"/>
        </w:rPr>
        <w:t xml:space="preserve"> Bosques artificiales correspondientes a categoría de producción.</w:t>
      </w:r>
    </w:p>
  </w:endnote>
  <w:endnote w:id="121">
    <w:p w14:paraId="6D126891" w14:textId="77777777" w:rsidR="00DF3AFC" w:rsidRPr="00642732" w:rsidRDefault="00DF3AFC" w:rsidP="002327EC">
      <w:pPr>
        <w:pStyle w:val="Textonotapie"/>
        <w:rPr>
          <w:lang w:val="es-DO"/>
        </w:rPr>
      </w:pPr>
      <w:r w:rsidRPr="00526134">
        <w:rPr>
          <w:rStyle w:val="Refdenotaalfinal"/>
          <w:sz w:val="14"/>
          <w:szCs w:val="14"/>
        </w:rPr>
        <w:endnoteRef/>
      </w:r>
      <w:r w:rsidRPr="00642732">
        <w:rPr>
          <w:lang w:val="es-DO"/>
        </w:rPr>
        <w:t xml:space="preserve"> </w:t>
      </w:r>
      <w:r w:rsidRPr="00642732">
        <w:rPr>
          <w:b/>
          <w:lang w:val="es-DO"/>
        </w:rPr>
        <w:t xml:space="preserve">La Ley Sectorial Áreas Protegidas, Articulo 27.- </w:t>
      </w:r>
      <w:r w:rsidRPr="00642732">
        <w:rPr>
          <w:lang w:val="es-DO"/>
        </w:rPr>
        <w:t>El Catastro Nacional de Áreas Protegidas deberá mantener actualizados los planos y mapas de las áreas protegidas, con sus áreas y linderos topográficos, sus inventarios de especies de la flora y la fauna, y sus inventarios de infraestructuras de servicio, incluyendo alojamientos, senderos y señales, entre otros.</w:t>
      </w:r>
      <w:r w:rsidRPr="00642732">
        <w:rPr>
          <w:b/>
          <w:lang w:val="es-DO"/>
        </w:rPr>
        <w:t xml:space="preserve"> Artículo 30.-</w:t>
      </w:r>
      <w:r w:rsidRPr="00642732">
        <w:rPr>
          <w:lang w:val="es-DO"/>
        </w:rPr>
        <w:t xml:space="preserve"> El Sistema Nacional de Áreas Protegidas es irreducible en cada una de sus partes y en su totalidad, el cual deberá ser asumido como tal con la formulación y ejecución de un plan nacional de ordenamiento territorial.   dispone que el Catastro Nacional de Áreas Protegidas deberá mantener actualizados los planos y mapas de las áreas protegidas. La Norma Técnica de Manejo Forestal  define el Inventario Forestal.</w:t>
      </w:r>
    </w:p>
  </w:endnote>
  <w:endnote w:id="122">
    <w:p w14:paraId="764284E6" w14:textId="77777777" w:rsidR="00DF3AFC" w:rsidRPr="00642732" w:rsidRDefault="00DF3AFC" w:rsidP="002327EC">
      <w:pPr>
        <w:pStyle w:val="Textonotapie"/>
        <w:rPr>
          <w:lang w:val="es-DO"/>
        </w:rPr>
      </w:pPr>
      <w:r w:rsidRPr="00526134">
        <w:rPr>
          <w:rStyle w:val="Refdenotaalfinal"/>
          <w:sz w:val="14"/>
          <w:szCs w:val="14"/>
        </w:rPr>
        <w:endnoteRef/>
      </w:r>
      <w:r w:rsidRPr="00642732">
        <w:rPr>
          <w:lang w:val="es-DO"/>
        </w:rPr>
        <w:t xml:space="preserve"> </w:t>
      </w:r>
      <w:r w:rsidRPr="00642732">
        <w:rPr>
          <w:b/>
          <w:lang w:val="es-DO"/>
        </w:rPr>
        <w:t>NTMF. 2.1.</w:t>
      </w:r>
      <w:r w:rsidRPr="00642732">
        <w:rPr>
          <w:lang w:val="es-DO"/>
        </w:rPr>
        <w:t xml:space="preserve"> Para poder elaborar una adecuada planificación forestal debe contarse con un cabal conocimiento de la situación actual del bosque como punto de partida. Para tal finalidad se debe ejecutar un inventario forestal. El inventario forestal básicamente recaba las informaciones de las superficies forestales. Estas informaciones son colectadas mediante trabajos de agrimensura para la determinación de las extensiones de los terrenos y elaboración de mapas reglamentarios y las mediciones forestales para determinar la existencia de árboles en estas superficies (el vuelo forestal). Por la gran extensión de las superficies y la cantidad de árboles que componen el vuelo forestal, estos inventarios casi siempre se efectúan en forma de muestreos.</w:t>
      </w:r>
    </w:p>
  </w:endnote>
  <w:endnote w:id="123">
    <w:p w14:paraId="70F16011" w14:textId="77777777" w:rsidR="00DF3AFC" w:rsidRPr="00642732" w:rsidRDefault="00DF3AFC" w:rsidP="002327EC">
      <w:pPr>
        <w:pStyle w:val="Textonotapie"/>
        <w:rPr>
          <w:lang w:val="es-DO"/>
        </w:rPr>
      </w:pPr>
      <w:r w:rsidRPr="00526134">
        <w:rPr>
          <w:rStyle w:val="Refdenotaalfinal"/>
          <w:sz w:val="14"/>
          <w:szCs w:val="14"/>
        </w:rPr>
        <w:endnoteRef/>
      </w:r>
      <w:r w:rsidRPr="00642732">
        <w:rPr>
          <w:lang w:val="es-DO"/>
        </w:rPr>
        <w:t xml:space="preserve"> </w:t>
      </w:r>
      <w:r w:rsidRPr="00642732">
        <w:rPr>
          <w:b/>
          <w:lang w:val="es-DO"/>
        </w:rPr>
        <w:t>RF, Articulo 6:</w:t>
      </w:r>
      <w:r w:rsidRPr="00642732">
        <w:rPr>
          <w:lang w:val="es-DO"/>
        </w:rPr>
        <w:t xml:space="preserve"> Para el cumplimiento de sus objetivos, corresponderá a la Secretaría de Estado de Medio Ambiente y Recursos Naturales, con la asistencia de la Subsecretaría de Recursos Forestales, el ejercicio de las siguientes funciones y  atribuciones: h) Mantener actualizado el inventario de los terrenos de aptitud forestal y de los recursos forestales;</w:t>
      </w:r>
    </w:p>
  </w:endnote>
  <w:endnote w:id="124">
    <w:p w14:paraId="76FF5765" w14:textId="77777777" w:rsidR="00DF3AFC" w:rsidRPr="00642732" w:rsidRDefault="00DF3AFC" w:rsidP="002327EC">
      <w:pPr>
        <w:pStyle w:val="Textonotapie"/>
        <w:rPr>
          <w:lang w:val="es-DO"/>
        </w:rPr>
      </w:pPr>
      <w:r w:rsidRPr="00526134">
        <w:rPr>
          <w:rStyle w:val="Refdenotaalfinal"/>
          <w:sz w:val="14"/>
          <w:szCs w:val="14"/>
        </w:rPr>
        <w:endnoteRef/>
      </w:r>
      <w:r w:rsidRPr="00642732">
        <w:rPr>
          <w:lang w:val="es-DO"/>
        </w:rPr>
        <w:t xml:space="preserve"> </w:t>
      </w:r>
      <w:r w:rsidRPr="00642732">
        <w:rPr>
          <w:b/>
          <w:lang w:val="es-DO"/>
        </w:rPr>
        <w:t>Ley 64-00, Artículo 155.</w:t>
      </w:r>
      <w:r w:rsidRPr="00642732">
        <w:rPr>
          <w:lang w:val="es-DO"/>
        </w:rPr>
        <w:t xml:space="preserve"> El Marco Legal define los agentes/instituciones a cargo de la operacionalización de la ley, como se evidencia en la parte forestal con respecto a la ley 64-00. La Ley Orgánica de la Estrategia Nacional de Desarrollo de la República Dominicana 2030 , fija su objetivo específico 4.1.1 para proteger y usar de forma sostenible los bienes y servicios de los ecosistemas, la biodiversidad y el patrimonio natural de la nación, estableciendo líneas de acción en ese sentido.  </w:t>
      </w:r>
    </w:p>
    <w:p w14:paraId="3CC8BB32" w14:textId="77777777" w:rsidR="00DF3AFC" w:rsidRPr="00642732" w:rsidRDefault="00DF3AFC" w:rsidP="002327EC">
      <w:pPr>
        <w:pStyle w:val="Textonotapie"/>
        <w:rPr>
          <w:lang w:val="es-DO"/>
        </w:rPr>
      </w:pPr>
      <w:r w:rsidRPr="00642732">
        <w:rPr>
          <w:lang w:val="es-DO"/>
        </w:rPr>
        <w:t xml:space="preserve">La Ley Sectorial de Áreas Protegidas  dispone como objetivos de conservación del Sistema Nacional de Áreas Protegidas, el proporcionar oportunidades para la investigación científica y el monitoreo ambiental. </w:t>
      </w:r>
    </w:p>
  </w:endnote>
  <w:endnote w:id="125">
    <w:p w14:paraId="7BC25097" w14:textId="77777777" w:rsidR="00DF3AFC" w:rsidRPr="00526134" w:rsidRDefault="00DF3AFC" w:rsidP="002327EC">
      <w:pPr>
        <w:pStyle w:val="Textonotapie"/>
      </w:pPr>
      <w:r w:rsidRPr="00526134">
        <w:rPr>
          <w:rStyle w:val="Refdenotaalfinal"/>
          <w:sz w:val="14"/>
          <w:szCs w:val="14"/>
        </w:rPr>
        <w:endnoteRef/>
      </w:r>
      <w:r w:rsidRPr="00642732">
        <w:rPr>
          <w:lang w:val="es-DO"/>
        </w:rPr>
        <w:t xml:space="preserve"> </w:t>
      </w:r>
      <w:r w:rsidRPr="00642732">
        <w:rPr>
          <w:b/>
          <w:lang w:val="es-DO"/>
        </w:rPr>
        <w:t>La Ley No.64-00. Artículo 52.</w:t>
      </w:r>
      <w:r w:rsidRPr="00642732">
        <w:rPr>
          <w:lang w:val="es-DO"/>
        </w:rPr>
        <w:t xml:space="preserve">  Establece la obligación para la Secretaría de Estado de Medio Ambiente y Recursos Naturales de elaborar y publicar, cada dos años, un informe del estado del medio ambiente y los recursos naturales; además esta Secretaría en coordinación con las demás autoridades competentes, realizará la vigilancia monitoreo e inspección que considere necesarias para el cumplimiento de la Ley, las leyes sectoriales, sus reglamentos y otras disposiciones administrativas.</w:t>
      </w:r>
    </w:p>
  </w:endnote>
  <w:endnote w:id="126">
    <w:p w14:paraId="689AB27B" w14:textId="77777777" w:rsidR="00DF3AFC" w:rsidRPr="00526134" w:rsidRDefault="00DF3AFC" w:rsidP="002327EC">
      <w:pPr>
        <w:pStyle w:val="Textonotapie"/>
        <w:rPr>
          <w:lang w:val="es-DO"/>
        </w:rPr>
      </w:pPr>
      <w:r w:rsidRPr="00526134">
        <w:rPr>
          <w:rStyle w:val="Refdenotaalfinal"/>
          <w:sz w:val="14"/>
          <w:szCs w:val="14"/>
        </w:rPr>
        <w:endnoteRef/>
      </w:r>
      <w:r w:rsidRPr="00642732">
        <w:rPr>
          <w:lang w:val="es-DO"/>
        </w:rPr>
        <w:t xml:space="preserve"> </w:t>
      </w:r>
      <w:r w:rsidRPr="00642732">
        <w:rPr>
          <w:b/>
          <w:lang w:val="es-DO"/>
        </w:rPr>
        <w:t>La CPD Artículo 67.-</w:t>
      </w:r>
      <w:r w:rsidRPr="00642732">
        <w:rPr>
          <w:lang w:val="es-DO"/>
        </w:rPr>
        <w:t xml:space="preserve"> Protección del medio ambiente. Constituyen deberes del Estado prevenir la contaminación, proteger y mantener el medio ambiente en provecho de las presentes y futuras generaciones. En consecuencia: 1) Toda persona tiene derecho, tanto de modo individual como colectivo, al uso y goce sostenible de los recursos naturales; a habitar en un ambiente sano, ecológicamente equilibrado y adecuado para el desarrollo y preservación de las distintas formas de vida, del paisaje y de la naturaleza;  reconoce el derecho a toda persona (de modo individual o colectivo) al uso y goce sostenible de los recursos naturales.</w:t>
      </w:r>
    </w:p>
  </w:endnote>
  <w:endnote w:id="127">
    <w:p w14:paraId="11BDFBD1" w14:textId="77777777" w:rsidR="00DF3AFC" w:rsidRPr="00642732" w:rsidRDefault="00DF3AFC" w:rsidP="002327EC">
      <w:pPr>
        <w:pStyle w:val="Textonotapie"/>
        <w:rPr>
          <w:lang w:val="es-DO"/>
        </w:rPr>
      </w:pPr>
      <w:r w:rsidRPr="00526134">
        <w:rPr>
          <w:rStyle w:val="Refdenotaalfinal"/>
          <w:sz w:val="14"/>
          <w:szCs w:val="14"/>
        </w:rPr>
        <w:endnoteRef/>
      </w:r>
      <w:r w:rsidRPr="00642732">
        <w:rPr>
          <w:lang w:val="es-DO"/>
        </w:rPr>
        <w:t xml:space="preserve"> </w:t>
      </w:r>
      <w:r w:rsidRPr="00642732">
        <w:rPr>
          <w:b/>
          <w:lang w:val="es-DO"/>
        </w:rPr>
        <w:t xml:space="preserve">Ley 64-00, Articulo 18, Numeral 10. </w:t>
      </w:r>
      <w:r w:rsidRPr="00642732">
        <w:rPr>
          <w:lang w:val="es-DO"/>
        </w:rPr>
        <w:t xml:space="preserve">Orientar, promover y estimular en las instituciones privadas, organizaciones comunitarias y no gubernamentales, las actividades de preservación, restauración, conservación y uso sostenible del medio ambiente, así como la protección de los recursos naturales, adecuando sus actividades a las políticas, objetivos y metas sobre medio ambiente y recursos naturales previstos; </w:t>
      </w:r>
      <w:r w:rsidRPr="00642732">
        <w:rPr>
          <w:b/>
          <w:lang w:val="es-DO"/>
        </w:rPr>
        <w:t>Ley 202-04. Articulo 4.-</w:t>
      </w:r>
      <w:r w:rsidRPr="00642732">
        <w:rPr>
          <w:lang w:val="es-DO"/>
        </w:rPr>
        <w:t xml:space="preserve"> Son objetivos de la presente ley: </w:t>
      </w:r>
      <w:r w:rsidRPr="00642732">
        <w:rPr>
          <w:b/>
          <w:lang w:val="es-DO"/>
        </w:rPr>
        <w:t xml:space="preserve">1) </w:t>
      </w:r>
      <w:r w:rsidRPr="00642732">
        <w:rPr>
          <w:lang w:val="es-DO"/>
        </w:rPr>
        <w:t xml:space="preserve">Integrar la conservación, el uso sostenible y el manejo de las áreas protegidas en el desarrollo de políticas socioculturales, económicas y ambientales, y el pleno disfrute de los bienes y servicios que brinden a la sociedad; </w:t>
      </w:r>
      <w:r w:rsidRPr="00642732">
        <w:rPr>
          <w:b/>
          <w:lang w:val="es-DO"/>
        </w:rPr>
        <w:t>2)</w:t>
      </w:r>
      <w:r w:rsidRPr="00642732">
        <w:rPr>
          <w:lang w:val="es-DO"/>
        </w:rPr>
        <w:t xml:space="preserve"> Promover la participación activa de todos los sectores sociales en la conservación y el uso ecológicamente sostenible de las áreas protegidas; </w:t>
      </w:r>
      <w:r w:rsidRPr="00642732">
        <w:rPr>
          <w:b/>
          <w:lang w:val="es-DO"/>
        </w:rPr>
        <w:t>3)</w:t>
      </w:r>
      <w:r w:rsidRPr="00642732">
        <w:rPr>
          <w:lang w:val="es-DO"/>
        </w:rPr>
        <w:t xml:space="preserve"> Promover la educación y la conciencia pública sobre la conservación, la utilización y la preservación de sitios y ecosistemas, y de las áreas silvestres bajo régimen legal de protección;  </w:t>
      </w:r>
      <w:r w:rsidRPr="00642732">
        <w:rPr>
          <w:b/>
          <w:lang w:val="es-DO"/>
        </w:rPr>
        <w:t>La Ley No.64-00</w:t>
      </w:r>
      <w:r w:rsidRPr="00642732">
        <w:rPr>
          <w:lang w:val="es-DO"/>
        </w:rPr>
        <w:t xml:space="preserve">  busca garantizar la participación de las comunidades y los habitantes en la conservación, gestión y uso sostenible de los recursos naturales y el medio ambiente. Siendo la Secretaría de Estado de Medio Ambiente y Recursos Naturales la encargada de elaborar normas, revisar las existentes y supervisar la aplicación eficaz de la legislación, para garantizar la conservación y el uso sostenible de los recursos naturales y mejorar la calidad del medio ambiente. La Ley que crea la Secretaria de Estado de Economía, Planificación y Desarrollo  señala que dicha Secretaría es el Órgano Rector del Sistema Nacional de Planificación e Inversión Pública y tiene por misión, conducir y coordinar el proceso de formulación, gestión, seguimiento y evaluación de las políticas macroeconómicas y de desarrollo  sostenible para la obtención de la cohesión económica, social, territorial e institucional de la nación. La LSAP  tiene como uno de sus objetivos promover el acceso a los beneficios de los servicios en las áreas protegidas; además de establecer como uno de sus principios, la obligación del Estado y los particulares para velar porque las áreas protegidas se utilicen en forma sostenible y sean incorporadas racionalmente al desarrollo económico nacional. Por su parte, el Reglamento Forestal  tiene por objeto dictar las normas necesarias para la adecuada aplicación de la Ley de Medio Ambiente y Recursos Naturales y establece entre sus metas  asegurar el ordenamiento, conservación y desarrollo sostenible de los bosques existentes.</w:t>
      </w:r>
    </w:p>
  </w:endnote>
  <w:endnote w:id="128">
    <w:p w14:paraId="40724051" w14:textId="77777777" w:rsidR="00DF3AFC" w:rsidRPr="00526134" w:rsidRDefault="00DF3AFC" w:rsidP="002327EC">
      <w:pPr>
        <w:pStyle w:val="Textonotapie"/>
        <w:rPr>
          <w:lang w:val="es-DO"/>
        </w:rPr>
      </w:pPr>
      <w:r w:rsidRPr="00526134">
        <w:rPr>
          <w:rStyle w:val="Refdenotaalfinal"/>
          <w:sz w:val="14"/>
          <w:szCs w:val="14"/>
        </w:rPr>
        <w:endnoteRef/>
      </w:r>
      <w:r w:rsidRPr="00642732">
        <w:rPr>
          <w:lang w:val="es-DO"/>
        </w:rPr>
        <w:t xml:space="preserve"> </w:t>
      </w:r>
      <w:r w:rsidRPr="00642732">
        <w:rPr>
          <w:b/>
          <w:lang w:val="es-DO"/>
        </w:rPr>
        <w:t>END, Línea de Acción 4.1.1.9</w:t>
      </w:r>
      <w:r w:rsidRPr="00642732">
        <w:rPr>
          <w:lang w:val="es-DO"/>
        </w:rPr>
        <w:t xml:space="preserve">. Gestionar los recursos forestales de forma sostenible y promover la reforestación de los territorios con vocación boscosa con especies endémicas y nativas. </w:t>
      </w:r>
      <w:r w:rsidRPr="00642732">
        <w:rPr>
          <w:b/>
          <w:lang w:val="es-DO"/>
        </w:rPr>
        <w:t>Línea de Acción 4.3.1.3.</w:t>
      </w:r>
      <w:r w:rsidRPr="00642732">
        <w:rPr>
          <w:lang w:val="es-DO"/>
        </w:rPr>
        <w:t xml:space="preserve"> Fomentar el desarrollo y la transferencia de tecnología que contribuyan a  adaptar  las  especies forestales y agrícolas a los efectos del cambio climático</w:t>
      </w:r>
      <w:r w:rsidRPr="00642732">
        <w:rPr>
          <w:b/>
          <w:lang w:val="es-DO"/>
        </w:rPr>
        <w:t>.</w:t>
      </w:r>
    </w:p>
  </w:endnote>
  <w:endnote w:id="129">
    <w:p w14:paraId="7A1A3086" w14:textId="77777777" w:rsidR="00DF3AFC" w:rsidRPr="00090C07" w:rsidRDefault="00DF3AFC" w:rsidP="002327EC">
      <w:pPr>
        <w:pStyle w:val="Textonotapie"/>
      </w:pPr>
      <w:r w:rsidRPr="00526134">
        <w:endnoteRef/>
      </w:r>
      <w:r w:rsidRPr="00090C07">
        <w:t xml:space="preserve"> </w:t>
      </w:r>
      <w:r w:rsidRPr="00090C07">
        <w:rPr>
          <w:b/>
        </w:rPr>
        <w:t>RF, Artículo 1:</w:t>
      </w:r>
      <w:r w:rsidRPr="00090C07">
        <w:t xml:space="preserve"> El presente Reglamento Forestal, tiene por objeto dictar las normas necesarias para la adecuada aplicación de la Ley de Medio Ambiente y Recursos Naturales No. 64-00 del 18 de agosto del 2000. Son metas de este Reglamento: c. Asegurar el ordenamiento, conservación y desarrollo sostenible de los bosques existentes, tanto en su calidad como en su distribución geográfica, y la recuperación forestal de áreas actualmente desprovistas de vegetación para garantizar sus funciones, sociales y económicas; d. Promover la restauración y el desarrollo de los bosques en tierras de aptitud forestal para que cumplan con la función de conservar suelos y aguas, y la diversidad biológica, además de dinamizar el desarrollo rural mediante la generación de empleos que contribuyan al aumento de los ingresos, la disminución de la pobreza y el mejoramiento de la calidad de vida de la Nación dominicana;  </w:t>
      </w:r>
    </w:p>
  </w:endnote>
  <w:endnote w:id="130">
    <w:p w14:paraId="59C4815C" w14:textId="77777777" w:rsidR="00DF3AFC" w:rsidRPr="00642732" w:rsidRDefault="00DF3AFC" w:rsidP="002327EC">
      <w:pPr>
        <w:pStyle w:val="Textonotapie"/>
        <w:rPr>
          <w:lang w:val="es-DO"/>
        </w:rPr>
      </w:pPr>
      <w:r w:rsidRPr="00526134">
        <w:rPr>
          <w:rStyle w:val="Refdenotaalfinal"/>
          <w:sz w:val="14"/>
          <w:szCs w:val="14"/>
        </w:rPr>
        <w:endnoteRef/>
      </w:r>
      <w:r w:rsidRPr="00642732">
        <w:rPr>
          <w:lang w:val="es-DO"/>
        </w:rPr>
        <w:t xml:space="preserve"> </w:t>
      </w:r>
      <w:r w:rsidRPr="00642732">
        <w:rPr>
          <w:b/>
          <w:lang w:val="es-DO"/>
        </w:rPr>
        <w:t>La CPD,  Artículo 67. Numeral 5.</w:t>
      </w:r>
      <w:r w:rsidRPr="00642732">
        <w:rPr>
          <w:lang w:val="es-DO"/>
        </w:rPr>
        <w:t xml:space="preserve">reconoce que los poderes públicos prevendrán y controlarán los factores de deterioro ambiental, impondrán las sanciones legales, la responsabilidad objetiva por daños causados al medio ambiente y a los recursos naturales y exigirán su reparación. La Ley No.64-00  prevé sanciones además de que todo el que cause daño al medio ambiente o a los recursos naturales, tendrá responsabilidad objetiva por los daños que pueda ocasionar y estará obligado a repararlo materialmente, a su costo, si ello fuere posible, e indemnizarlo. Además, señala en qué consiste la reparación del daño. También se prevén sanciones penales en la Ley No.64-00, al calificar diversas conductas como delitos y establecerles una pena específica. </w:t>
      </w:r>
      <w:r w:rsidRPr="00642732">
        <w:rPr>
          <w:b/>
          <w:lang w:val="es-DO"/>
        </w:rPr>
        <w:t>Artículo 169.-</w:t>
      </w:r>
      <w:r w:rsidRPr="00642732">
        <w:rPr>
          <w:lang w:val="es-DO"/>
        </w:rPr>
        <w:t xml:space="preserve"> Sin perjuicio de las sanciones que señale la ley, todo el que cause daño al medio ambiente o a los recursos naturales tendrá responsabilidad objetiva por los daños que pueda ocasionar, de conformidad con la presente ley y las disposiciones legales complementarias. Asimismo, estará obligado a repararlo materialmente, a su costo, si ello fuere posible, e indemnizarlo conforme a la ley. </w:t>
      </w:r>
      <w:r w:rsidRPr="00642732">
        <w:rPr>
          <w:b/>
          <w:lang w:val="es-DO"/>
        </w:rPr>
        <w:t>Párrafo.-</w:t>
      </w:r>
      <w:r w:rsidRPr="00642732">
        <w:rPr>
          <w:lang w:val="es-DO"/>
        </w:rPr>
        <w:t> La reparación del daño consiste en el restablecimiento de la situación anterior al hecho, en los casos que sea posible, en la compensación económica del daño y los perjuicios ocasionados al medio ambiente o a los recursos naturales, a las comunidades o a los particulares.</w:t>
      </w:r>
    </w:p>
  </w:endnote>
  <w:endnote w:id="131">
    <w:p w14:paraId="62A389DA" w14:textId="5BF4EF8E" w:rsidR="00DF3AFC" w:rsidRPr="00526134" w:rsidRDefault="00DF3AFC" w:rsidP="002327EC">
      <w:pPr>
        <w:pStyle w:val="Textonotapie"/>
      </w:pPr>
      <w:r w:rsidRPr="00526134">
        <w:rPr>
          <w:rStyle w:val="Refdenotaalfinal"/>
          <w:sz w:val="14"/>
          <w:szCs w:val="14"/>
        </w:rPr>
        <w:endnoteRef/>
      </w:r>
      <w:r w:rsidRPr="00526134">
        <w:t xml:space="preserve"> </w:t>
      </w:r>
      <w:r w:rsidRPr="00526134">
        <w:rPr>
          <w:b/>
        </w:rPr>
        <w:t>La Ley No.64-00, Artículo 174</w:t>
      </w:r>
      <w:r w:rsidRPr="00526134">
        <w:t xml:space="preserve">. Se prevén sanciones penales al calificar diversas conductas como delitos y establecerles una pena específica. El Reglamento Forestal  dispone que todo producto forestal que por sentencia de un tribunal competente se declare que ha sido obtenido ilegalmente, será confiscado en favor de la Secretaría de Estado de Medio Ambiente y Recursos Naturales, considerando que un producto forestal ha sido obtenido ilegalmente cuando procede de cortes de árboles no autorizados y cuando se transporta sin la documentación correspondiente. </w:t>
      </w:r>
      <w:r w:rsidRPr="00526134">
        <w:rPr>
          <w:b/>
        </w:rPr>
        <w:t>Artículo 175.-</w:t>
      </w:r>
      <w:r w:rsidRPr="00526134">
        <w:t xml:space="preserve"> Incurren en delitos contra el medio ambiente y los recursos naturales: </w:t>
      </w:r>
      <w:r w:rsidRPr="00526134">
        <w:rPr>
          <w:b/>
        </w:rPr>
        <w:t>1)</w:t>
      </w:r>
      <w:r w:rsidRPr="00526134">
        <w:t xml:space="preserve"> Quien violare la presente ley, las leyes complementarias, reglamentos y normas, y realizare actividades que dañen de forma considerable o permanente los recursos naturales; </w:t>
      </w:r>
      <w:r w:rsidRPr="00526134">
        <w:rPr>
          <w:b/>
        </w:rPr>
        <w:t xml:space="preserve">2) </w:t>
      </w:r>
      <w:r w:rsidRPr="00526134">
        <w:t xml:space="preserve">Quien produzca alteraciones, daños o perjuicios dentro del sistema nacional de áreas protegidas y quien corte o destruya árboles en áreas forestales de protección y en zonas frágiles, declaradas legalmente como tales; </w:t>
      </w:r>
      <w:r w:rsidRPr="00526134">
        <w:rPr>
          <w:b/>
        </w:rPr>
        <w:t>8)</w:t>
      </w:r>
      <w:r w:rsidRPr="00526134">
        <w:t xml:space="preserve"> Quien violare las regulaciones contenidas en las licencias o permisos ambientales, o las haya obtenido usando datos falsos o alteren las bitácoras ambientales sobre emisiones y vertidos, o el funcionario público que otorgue tales licencias o permisos, sin cumplir con los requisitos del proceso de evaluación de impacto ambiental, cuando la ley así lo exija. </w:t>
      </w:r>
      <w:r w:rsidRPr="00526134">
        <w:rPr>
          <w:b/>
        </w:rPr>
        <w:t>Artículo 176.-</w:t>
      </w:r>
      <w:r w:rsidRPr="00526134">
        <w:t xml:space="preserve"> Cuando cualquiera de los hechos punibles anteriormente descritos se hubieren cometido por decisión de los órganos directivos de una persona jurídica, dentro de la actividad que dicha persona normalmente realiza y con sus propios fondos, en búsqueda de una ganancia o en su propio interés, independientemente de las sanciones a que se haga acreedor el autor inmediato del delito, la persona jurídica será sancionada con multa de cinco mil (5,000) a veinte mil (20,000) salarios mínimos, y de acuerdo con la gravedad del daño causado, la prohibición de realizar la actividad que originó el ilícito (o delito) por un período de (1) mes a tres (3) años. En caso de daños de gravedad mayor que conllevaren intoxicación de grupos humanos, destrucción de hábitats o contaminación irreversible extensa, se prohibirá la actividad o se clausurará el establecimiento de forma definitiva, a discreción del juez. </w:t>
      </w:r>
      <w:r w:rsidRPr="00526134">
        <w:rPr>
          <w:b/>
        </w:rPr>
        <w:t>Párrafo.-</w:t>
      </w:r>
      <w:r w:rsidRPr="00526134">
        <w:t xml:space="preserve"> La acción judicial derivada de los delitos previstos por la presente ley y leyes complementarias es de orden público y se ejerce de oficio, por querella o por denuncia. </w:t>
      </w:r>
      <w:r w:rsidRPr="00526134">
        <w:rPr>
          <w:b/>
        </w:rPr>
        <w:t>Artículo 177.-</w:t>
      </w:r>
      <w:r w:rsidRPr="00526134">
        <w:t> Los tribunales de primera instancia de la correspondiente jurisdicción serán los competentes para juzgar en primer grado las violaciones a la presente ley.</w:t>
      </w:r>
      <w:r w:rsidRPr="00526134">
        <w:rPr>
          <w:b/>
          <w:bCs/>
          <w:color w:val="000000"/>
          <w:lang w:eastAsia="es-ES"/>
        </w:rPr>
        <w:t xml:space="preserve"> </w:t>
      </w:r>
      <w:r w:rsidRPr="00526134">
        <w:rPr>
          <w:b/>
        </w:rPr>
        <w:t>Artículo 183.-</w:t>
      </w:r>
      <w:r w:rsidRPr="00526134">
        <w:t xml:space="preserve"> El tribunal de primera instancia de la jurisdicción correspondiente podrá dictar contra las personas naturales o jurídicas que hayan violado la presente ley, las siguientes sanciones u obligaciones: </w:t>
      </w:r>
      <w:r w:rsidRPr="00526134">
        <w:rPr>
          <w:b/>
        </w:rPr>
        <w:t xml:space="preserve">1) </w:t>
      </w:r>
      <w:r w:rsidRPr="00526134">
        <w:t xml:space="preserve">Prisión correccional de seis (6) días a tres (3) años y, si hubiesen fallecido personas a causa de la violación, se aplicará lo establecido en el Código Penal Dominicano; y/o </w:t>
      </w:r>
      <w:r w:rsidRPr="00526134">
        <w:rPr>
          <w:b/>
        </w:rPr>
        <w:t xml:space="preserve">2) </w:t>
      </w:r>
      <w:r w:rsidRPr="00526134">
        <w:t xml:space="preserve">Multa de una cuarte (1/4) parte del salario mínimo hasta diez mil (10,000) salarios mínimos vigentes en el sector público en la fecha en que pronuncie la sentencia; y/o </w:t>
      </w:r>
      <w:r w:rsidRPr="00526134">
        <w:rPr>
          <w:b/>
        </w:rPr>
        <w:t>3)</w:t>
      </w:r>
      <w:r w:rsidRPr="00526134">
        <w:t xml:space="preserve"> El decomiso de materias primas, herramientas, equipos, instrumentos, maquinarias, vehículos de transporte, así como productos o artículos, si los hubiere, que provengan de la violación cometida, o fueron utilizados en la perpetración del hecho delictuoso, o puedan de por sí constituirse en peligro para los recursos naturales y el medio ambiente, o a la salud de seres humanos; y/o </w:t>
      </w:r>
      <w:r w:rsidRPr="00526134">
        <w:rPr>
          <w:b/>
        </w:rPr>
        <w:t xml:space="preserve">4) </w:t>
      </w:r>
      <w:r w:rsidRPr="00526134">
        <w:t xml:space="preserve">La obligación de indemnizar económicamente a las personas que hayan sufrido daños y perjuicios; y/o </w:t>
      </w:r>
      <w:r w:rsidRPr="00526134">
        <w:rPr>
          <w:b/>
        </w:rPr>
        <w:t>5)</w:t>
      </w:r>
      <w:r w:rsidRPr="00526134">
        <w:t xml:space="preserve"> Retiro temporal o definitivo de la autorización, licencia o permiso para ejercer o efectuar las actividades que hayan causado, o puedan causar daño o perjuicio; y/o </w:t>
      </w:r>
      <w:r w:rsidRPr="00526134">
        <w:rPr>
          <w:b/>
        </w:rPr>
        <w:t>6)</w:t>
      </w:r>
      <w:r w:rsidRPr="00526134">
        <w:t xml:space="preserve"> Destruir, neutralizar o disponer, de acuerdo con los procedimientos señalados por la presente ley y la autoridad competente, las sustancias elaboradas, fabricadas, manufacturadas, procesadas u ofrecidas en venta, susceptibles de causar daños a la salud humana y al medio ambiente; y/o </w:t>
      </w:r>
      <w:r w:rsidRPr="00526134">
        <w:rPr>
          <w:b/>
        </w:rPr>
        <w:t xml:space="preserve">7) </w:t>
      </w:r>
      <w:r w:rsidRPr="00526134">
        <w:t xml:space="preserve">La obligación de modificar o demoler las construcciones violatorias de disposiciones sobre protección, conservación y defensa del medio ambiente y los seres humanos; y/o </w:t>
      </w:r>
      <w:r w:rsidRPr="00526134">
        <w:rPr>
          <w:b/>
        </w:rPr>
        <w:t>8)</w:t>
      </w:r>
      <w:r w:rsidRPr="00526134">
        <w:t xml:space="preserve"> La obligación de devolver a su país de origen las sustancias y elementos o combinaciones peligrosas o dañinas que se hayan importado en violación a la ley; y/o</w:t>
      </w:r>
      <w:r w:rsidRPr="00526134">
        <w:rPr>
          <w:b/>
        </w:rPr>
        <w:t xml:space="preserve"> 9)</w:t>
      </w:r>
      <w:r w:rsidRPr="00526134">
        <w:t xml:space="preserve"> Instalar los dispositivos necesarios para detener o evitar contaminación, menoscabo, disminución o degradación del medio ambiente; y/o </w:t>
      </w:r>
      <w:r w:rsidRPr="00526134">
        <w:rPr>
          <w:b/>
        </w:rPr>
        <w:t>10)</w:t>
      </w:r>
      <w:r w:rsidRPr="00526134">
        <w:t xml:space="preserve"> La obligación de devolver los elementos al medio natural de donde fueron sustraídos; y/o </w:t>
      </w:r>
      <w:r w:rsidRPr="00526134">
        <w:rPr>
          <w:b/>
        </w:rPr>
        <w:t>11)</w:t>
      </w:r>
      <w:r w:rsidRPr="00526134">
        <w:t xml:space="preserve"> La obligación de reparar, reponer, resarcir, restituir, restaurar o rehabilitar a su estado original, en la medida de lo posible, el recurso natural eliminado, destruido, menoscabado, disminuido, deteriorado o modificado negativamente. </w:t>
      </w:r>
      <w:r w:rsidRPr="00526134">
        <w:rPr>
          <w:b/>
        </w:rPr>
        <w:t>Párrafo.-</w:t>
      </w:r>
      <w:r w:rsidRPr="00526134">
        <w:t xml:space="preserve"> Los objetos, materias primas, maquinarias, instrumentos, vehículos, productos o artículos decomisados por orden del tribunal correspondiente, de acuerdo con el presente artículo, o que hayan sido decomisados o incautaos por la Secretaría de Estado de Medio Ambiente y Recursos Naturales y que el tribunal ratifique, que no conlleven peligro para las personas, los recursos naturales o el medio ambiente y que posean valor comercial, serán vendidos en pública subasta, y el cincuenta por ciento (50%) del importe de su venta será utilizado para reparar los daños ambientales y el cincuenta por ciento (50%) restante, para resarcir los daños a favor de las personas perjudicadas por sus acciones, si hubiere. De lo contrario, pasarán al fondo operativo de la Secretaría de Estado de Medio Ambiente y Recursos Naturales creado en esta ley, previo descuento de los gastos judiciales y de venta. </w:t>
      </w:r>
      <w:r w:rsidRPr="00526134">
        <w:rPr>
          <w:b/>
        </w:rPr>
        <w:t>El Código Penal Dominicano</w:t>
      </w:r>
      <w:r w:rsidRPr="00526134">
        <w:t xml:space="preserve"> castiga el incendio de acuerdo a diversas consideraciones, así, se imponen sanciones al que cause incendio intencional en los montes maderables, dañando o destruyendo la vegetación forestal, con especialidad en los pinares de la República, sea cual fuere el régimen en derecho de propiedad de los mismos. </w:t>
      </w:r>
    </w:p>
  </w:endnote>
  <w:endnote w:id="132">
    <w:p w14:paraId="36EC4B75" w14:textId="77777777" w:rsidR="00DF3AFC" w:rsidRPr="00642732" w:rsidRDefault="00DF3AFC" w:rsidP="002327EC">
      <w:pPr>
        <w:pStyle w:val="Textonotapie"/>
        <w:rPr>
          <w:lang w:val="es-DO"/>
        </w:rPr>
      </w:pPr>
      <w:r w:rsidRPr="00526134">
        <w:rPr>
          <w:rStyle w:val="Refdenotaalfinal"/>
          <w:sz w:val="14"/>
          <w:szCs w:val="14"/>
        </w:rPr>
        <w:endnoteRef/>
      </w:r>
      <w:r w:rsidRPr="00642732">
        <w:rPr>
          <w:lang w:val="es-DO"/>
        </w:rPr>
        <w:t xml:space="preserve"> </w:t>
      </w:r>
      <w:r w:rsidRPr="00642732">
        <w:rPr>
          <w:b/>
          <w:lang w:val="es-DO"/>
        </w:rPr>
        <w:t>El Reglamento Forestal</w:t>
      </w:r>
      <w:r w:rsidRPr="00642732">
        <w:rPr>
          <w:lang w:val="es-DO"/>
        </w:rPr>
        <w:t xml:space="preserve">  dispone entre las funciones del Regente Forestal en la ejecución de los planes de manejo de bosques, velar por el estricto cumplimiento de las normas técnicas y legales establecidas en Plan de Manejo, verificar que el diseño de caminos e infraestructura y uso de equipo durante la fase de aprovechamiento, se realicen de acuerdo con las disposiciones establecidas en el plan de manejo aprobado, verificar y recomendar que las labores de corta, extracción y transporte sean las adecuadas para minimizar el impacto sobre el bosque remanente. Asimismo, señala lo que comprende el sistema de protección contra incendios forestales. </w:t>
      </w:r>
      <w:r w:rsidRPr="00642732">
        <w:rPr>
          <w:b/>
          <w:lang w:val="es-DO"/>
        </w:rPr>
        <w:t>Establece en el artículo 7. Literal v.</w:t>
      </w:r>
      <w:r w:rsidRPr="00642732">
        <w:rPr>
          <w:lang w:val="es-DO"/>
        </w:rPr>
        <w:t xml:space="preserve"> La Secretaría de Estado de Medio Ambiente y Recursos Naturales, fomentará el desarrollo de bosques protectores y de uso múltiple en todos los terrenos de propiedad pública en las zonas cordilleranas y establecerá igual responsabilidad para los casos de terrenos de propiedad privada que se encuentren deforestados o en proceso de degradación, sobre la base de los incentivos que para tales fines establece la Ley 64-00 y cualquier otra disposición sobre este tipo de incentivos; </w:t>
      </w:r>
      <w:r w:rsidRPr="00642732">
        <w:rPr>
          <w:b/>
          <w:lang w:val="es-DO"/>
        </w:rPr>
        <w:t xml:space="preserve">Artículo 54. </w:t>
      </w:r>
      <w:r w:rsidRPr="00642732">
        <w:rPr>
          <w:lang w:val="es-DO"/>
        </w:rPr>
        <w:t xml:space="preserve">En los terrenos ubicados en áreas de manejo especial que hayan sido sometidos o no al régimen forestal y que se encuentren deforestados o con problemas fitosanitarios, sus propietarios dispondrán de un plazo establecido en los reglamentos para el sometimiento voluntario a las medidas impuestas por la Subsecretaría de Estado de Recursos Forestales, para lo cual se dará el apoyo necesario. En caso negativo, la Subsecretaría de Estado de Recursos Forestales llevará a cabo el tratamiento apropiado con cargo al titular de la propiedad, de acuerdo a lo establecido en el Reglamento. </w:t>
      </w:r>
      <w:r w:rsidRPr="00642732">
        <w:rPr>
          <w:b/>
          <w:lang w:val="es-DO"/>
        </w:rPr>
        <w:t>Artículo 86.</w:t>
      </w:r>
      <w:r w:rsidRPr="00642732">
        <w:rPr>
          <w:lang w:val="es-DO"/>
        </w:rPr>
        <w:t xml:space="preserve"> Se prohíbe toda actividad que pueda contribuir a producir incendios forestales, tales como: </w:t>
      </w:r>
      <w:r w:rsidRPr="00642732">
        <w:rPr>
          <w:b/>
          <w:lang w:val="es-DO"/>
        </w:rPr>
        <w:t>a.</w:t>
      </w:r>
      <w:r w:rsidRPr="00642732">
        <w:rPr>
          <w:lang w:val="es-DO"/>
        </w:rPr>
        <w:t xml:space="preserve"> Hacer quema, a menos que sean expresamente autorizadas por la Subsecretaría de Estado de Recursos Forestales</w:t>
      </w:r>
      <w:r w:rsidRPr="00642732">
        <w:rPr>
          <w:b/>
          <w:lang w:val="es-DO"/>
        </w:rPr>
        <w:t>; b.</w:t>
      </w:r>
      <w:r w:rsidRPr="00642732">
        <w:rPr>
          <w:lang w:val="es-DO"/>
        </w:rPr>
        <w:t xml:space="preserve"> Dejar fogatas y tizones encendidos; </w:t>
      </w:r>
      <w:r w:rsidRPr="00642732">
        <w:rPr>
          <w:b/>
          <w:lang w:val="es-DO"/>
        </w:rPr>
        <w:t>c.</w:t>
      </w:r>
      <w:r w:rsidRPr="00642732">
        <w:rPr>
          <w:lang w:val="es-DO"/>
        </w:rPr>
        <w:t xml:space="preserve"> Arrojar fósforos, colillas o cigarros encendidos en áreas boscosas; y </w:t>
      </w:r>
      <w:r w:rsidRPr="00642732">
        <w:rPr>
          <w:b/>
          <w:lang w:val="es-DO"/>
        </w:rPr>
        <w:t>d.</w:t>
      </w:r>
      <w:r w:rsidRPr="00642732">
        <w:rPr>
          <w:lang w:val="es-DO"/>
        </w:rPr>
        <w:t xml:space="preserve"> Realizar cualquier operación que pueda ser causa del origen o propagación de un incendio forestal. </w:t>
      </w:r>
      <w:r w:rsidRPr="00642732">
        <w:rPr>
          <w:b/>
          <w:lang w:val="es-DO"/>
        </w:rPr>
        <w:t>Artículo 87.</w:t>
      </w:r>
      <w:r w:rsidRPr="00642732">
        <w:rPr>
          <w:lang w:val="es-DO"/>
        </w:rPr>
        <w:t xml:space="preserve"> La Subsecretaría de Estado de Recursos Forestales dispondrá de los recursos necesarios para el establecimiento y organización de un programa permanente de prevención y control de incendios forestales. </w:t>
      </w:r>
      <w:r w:rsidRPr="00642732">
        <w:rPr>
          <w:b/>
          <w:lang w:val="es-DO"/>
        </w:rPr>
        <w:t>Artículo 96.</w:t>
      </w:r>
      <w:r w:rsidRPr="00642732">
        <w:rPr>
          <w:lang w:val="es-DO"/>
        </w:rPr>
        <w:t xml:space="preserve"> Las empresas que transporten o almacenen combustibles en terrenos forestales, están obligadas a tomar las precauciones adecuadas, de acuerdo con este Reglamento, para prevenir los incendios en dichas zonas. </w:t>
      </w:r>
      <w:r w:rsidRPr="00642732">
        <w:rPr>
          <w:b/>
          <w:lang w:val="es-DO"/>
        </w:rPr>
        <w:t>Artículo 97</w:t>
      </w:r>
      <w:r w:rsidRPr="00642732">
        <w:rPr>
          <w:lang w:val="es-DO"/>
        </w:rPr>
        <w:t>. En caso de incendios forestales, todas las autoridades civiles y militares, están en el deber de prestar su cooperación con los elementos adecuados de que dispongan para extinguirlos.</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inionPro-Regular">
    <w:altName w:val="Cambria"/>
    <w:panose1 w:val="00000000000000000000"/>
    <w:charset w:val="4D"/>
    <w:family w:val="auto"/>
    <w:notTrueType/>
    <w:pitch w:val="default"/>
    <w:sig w:usb0="00000003" w:usb1="00000000" w:usb2="00000000" w:usb3="00000000" w:csb0="00000001" w:csb1="00000000"/>
  </w:font>
  <w:font w:name="Gill Sans">
    <w:charset w:val="B1"/>
    <w:family w:val="swiss"/>
    <w:pitch w:val="variable"/>
    <w:sig w:usb0="80000A67" w:usb1="00000000" w:usb2="00000000" w:usb3="00000000" w:csb0="000001F7" w:csb1="00000000"/>
  </w:font>
  <w:font w:name="Arial Narrow">
    <w:panose1 w:val="020B0606020202030204"/>
    <w:charset w:val="00"/>
    <w:family w:val="swiss"/>
    <w:pitch w:val="variable"/>
    <w:sig w:usb0="00000287" w:usb1="00000800" w:usb2="00000000" w:usb3="00000000" w:csb0="0000009F" w:csb1="00000000"/>
  </w:font>
  <w:font w:name="Myriad Pro Light">
    <w:panose1 w:val="020B0603030403020204"/>
    <w:charset w:val="00"/>
    <w:family w:val="swiss"/>
    <w:notTrueType/>
    <w:pitch w:val="variable"/>
    <w:sig w:usb0="A00002AF" w:usb1="5000204B" w:usb2="00000000" w:usb3="00000000" w:csb0="0000019F" w:csb1="00000000"/>
  </w:font>
  <w:font w:name="Myriad Pro">
    <w:panose1 w:val="020B0503030403020204"/>
    <w:charset w:val="00"/>
    <w:family w:val="swiss"/>
    <w:notTrueType/>
    <w:pitch w:val="variable"/>
    <w:sig w:usb0="A00002AF" w:usb1="5000204B" w:usb2="00000000" w:usb3="00000000" w:csb0="0000019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Lucida Grande">
    <w:charset w:val="00"/>
    <w:family w:val="swiss"/>
    <w:pitch w:val="variable"/>
    <w:sig w:usb0="E1000AEF" w:usb1="5000A1FF" w:usb2="00000000" w:usb3="00000000" w:csb0="000001BF" w:csb1="00000000"/>
  </w:font>
  <w:font w:name="Helvetica">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Gill Sans MT">
    <w:panose1 w:val="020B0502020104020203"/>
    <w:charset w:val="00"/>
    <w:family w:val="swiss"/>
    <w:pitch w:val="variable"/>
    <w:sig w:usb0="00000007" w:usb1="00000000" w:usb2="00000000" w:usb3="00000000" w:csb0="00000003" w:csb1="00000000"/>
  </w:font>
  <w:font w:name="FiraSans-Light">
    <w:altName w:val="Calibri"/>
    <w:panose1 w:val="00000000000000000000"/>
    <w:charset w:val="00"/>
    <w:family w:val="swiss"/>
    <w:notTrueType/>
    <w:pitch w:val="default"/>
    <w:sig w:usb0="00000003" w:usb1="00000000" w:usb2="00000000" w:usb3="00000000" w:csb0="00000001" w:csb1="00000000"/>
  </w:font>
  <w:font w:name="Calibri (Cuerpo)">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Raleway">
    <w:charset w:val="00"/>
    <w:family w:val="auto"/>
    <w:pitch w:val="variable"/>
    <w:sig w:usb0="A00002FF" w:usb1="5000205B" w:usb2="00000000" w:usb3="00000000" w:csb0="00000197" w:csb1="00000000"/>
  </w:font>
  <w:font w:name="Microsoft Sans Serif">
    <w:panose1 w:val="020B0604020202020204"/>
    <w:charset w:val="00"/>
    <w:family w:val="swiss"/>
    <w:pitch w:val="variable"/>
    <w:sig w:usb0="E5002EFF" w:usb1="C000605B" w:usb2="00000029" w:usb3="00000000" w:csb0="000101F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TimesNewRomanPSMT">
    <w:altName w:val="Times New Roman"/>
    <w:charset w:val="00"/>
    <w:family w:val="roman"/>
    <w:pitch w:val="variable"/>
    <w:sig w:usb0="E0002AEF" w:usb1="C0007841"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183892486"/>
      <w:docPartObj>
        <w:docPartGallery w:val="Page Numbers (Bottom of Page)"/>
        <w:docPartUnique/>
      </w:docPartObj>
    </w:sdtPr>
    <w:sdtContent>
      <w:p w14:paraId="62E01B7A" w14:textId="4FC57E65" w:rsidR="00DF3AFC" w:rsidRDefault="00DF3AFC" w:rsidP="00910AB9">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7A59D227" w14:textId="77777777" w:rsidR="00DF3AFC" w:rsidRDefault="00DF3AFC" w:rsidP="00F163C3">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83552670"/>
      <w:docPartObj>
        <w:docPartGallery w:val="Page Numbers (Bottom of Page)"/>
        <w:docPartUnique/>
      </w:docPartObj>
    </w:sdtPr>
    <w:sdtContent>
      <w:p w14:paraId="426CB068" w14:textId="210C2CDE" w:rsidR="00DF3AFC" w:rsidRDefault="00DF3AFC">
        <w:pPr>
          <w:pStyle w:val="Piedepgina"/>
          <w:jc w:val="center"/>
        </w:pPr>
        <w:r>
          <w:fldChar w:fldCharType="begin"/>
        </w:r>
        <w:r>
          <w:instrText>PAGE   \* MERGEFORMAT</w:instrText>
        </w:r>
        <w:r>
          <w:fldChar w:fldCharType="separate"/>
        </w:r>
        <w:r w:rsidR="004F4806" w:rsidRPr="004F4806">
          <w:rPr>
            <w:noProof/>
            <w:lang w:val="es-ES"/>
          </w:rPr>
          <w:t>9</w:t>
        </w:r>
        <w:r>
          <w:fldChar w:fldCharType="end"/>
        </w:r>
      </w:p>
    </w:sdtContent>
  </w:sdt>
  <w:p w14:paraId="0AD4AE9D" w14:textId="77777777" w:rsidR="00DF3AFC" w:rsidRDefault="00DF3AFC">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8FE10" w14:textId="77777777" w:rsidR="00DF3AFC" w:rsidRPr="00944641" w:rsidRDefault="00DF3AFC" w:rsidP="002E33BF">
    <w:pPr>
      <w:pStyle w:val="Piedepgina"/>
    </w:pPr>
    <w:r w:rsidRPr="00944641">
      <w:t>Nota: El presente borrador es un “documento abierto” en el cual se presenta una primera propuesta de interpretación nacional. Este documento deberá ser retroalimentado y posteriormente validado por las partes relevantes al proceso REDD+ 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219020" w14:textId="77777777" w:rsidR="00F45C99" w:rsidRDefault="00F45C99" w:rsidP="002E33BF">
      <w:r>
        <w:separator/>
      </w:r>
    </w:p>
  </w:footnote>
  <w:footnote w:type="continuationSeparator" w:id="0">
    <w:p w14:paraId="0E76D888" w14:textId="77777777" w:rsidR="00F45C99" w:rsidRDefault="00F45C99" w:rsidP="002E33BF">
      <w:r>
        <w:continuationSeparator/>
      </w:r>
    </w:p>
  </w:footnote>
  <w:footnote w:id="1">
    <w:p w14:paraId="74EFB6FB" w14:textId="77777777" w:rsidR="00DF3AFC" w:rsidRPr="00B505D8" w:rsidRDefault="00DF3AFC" w:rsidP="0039610A">
      <w:pPr>
        <w:pStyle w:val="Textonotapie"/>
      </w:pPr>
      <w:r w:rsidRPr="00B505D8">
        <w:rPr>
          <w:rStyle w:val="Refdenotaalpie"/>
          <w:rFonts w:asciiTheme="minorHAnsi" w:hAnsiTheme="minorHAnsi" w:cstheme="minorHAnsi"/>
          <w:sz w:val="16"/>
          <w:szCs w:val="16"/>
        </w:rPr>
        <w:footnoteRef/>
      </w:r>
      <w:r w:rsidRPr="00B505D8">
        <w:t xml:space="preserve"> </w:t>
      </w:r>
      <w:r>
        <w:t xml:space="preserve">Ver Reporte </w:t>
      </w:r>
      <w:r w:rsidRPr="00B505D8">
        <w:t>SESA</w:t>
      </w:r>
    </w:p>
  </w:footnote>
  <w:footnote w:id="2">
    <w:p w14:paraId="2B4BBBA6" w14:textId="3F2C714A" w:rsidR="00DF3AFC" w:rsidRPr="00B505D8" w:rsidRDefault="00DF3AFC" w:rsidP="0039610A">
      <w:pPr>
        <w:pStyle w:val="Textonotapie"/>
      </w:pPr>
      <w:r w:rsidRPr="00B505D8">
        <w:rPr>
          <w:rStyle w:val="Refdenotaalpie"/>
          <w:rFonts w:asciiTheme="minorHAnsi" w:hAnsiTheme="minorHAnsi"/>
          <w:sz w:val="16"/>
          <w:szCs w:val="16"/>
        </w:rPr>
        <w:footnoteRef/>
      </w:r>
      <w:r w:rsidRPr="00B505D8">
        <w:t xml:space="preserve"> </w:t>
      </w:r>
      <w:r>
        <w:t>Ver</w:t>
      </w:r>
      <w:r w:rsidRPr="00B505D8">
        <w:t xml:space="preserve"> producto 8 que presenta el Borrador v.4 de la Evaluación Estratégica Social y Ambiental </w:t>
      </w:r>
    </w:p>
  </w:footnote>
  <w:footnote w:id="3">
    <w:p w14:paraId="136AA64D" w14:textId="5B479249" w:rsidR="00DF3AFC" w:rsidRPr="00B505D8" w:rsidRDefault="00DF3AFC" w:rsidP="0039610A">
      <w:pPr>
        <w:pStyle w:val="Textonotapie"/>
      </w:pPr>
      <w:r w:rsidRPr="00B505D8">
        <w:rPr>
          <w:rStyle w:val="Refdenotaalpie"/>
          <w:rFonts w:asciiTheme="minorHAnsi" w:hAnsiTheme="minorHAnsi"/>
          <w:sz w:val="16"/>
          <w:szCs w:val="16"/>
        </w:rPr>
        <w:footnoteRef/>
      </w:r>
      <w:r w:rsidRPr="00B505D8">
        <w:t xml:space="preserve"> Análisis de las causas directas e indirectas (drivers) de deforestación y degradación de los bosques (DD) en República Dominicana y propuestas de alternativas de uso sostenible del suelo que disminuyen la DD y aumentan los reservorios de carbono del proyecto preparaci</w:t>
      </w:r>
      <w:r>
        <w:t>ó</w:t>
      </w:r>
      <w:r w:rsidRPr="00B505D8">
        <w:t xml:space="preserve">n para REDD’ realizado por el Consorcio Sud-Austral Consulting SpA – Forest Finest en </w:t>
      </w:r>
      <w:r>
        <w:t>a</w:t>
      </w:r>
      <w:r w:rsidRPr="00B505D8">
        <w:t>bril 2018.</w:t>
      </w:r>
    </w:p>
  </w:footnote>
  <w:footnote w:id="4">
    <w:p w14:paraId="7D7A8706" w14:textId="63C3EA76" w:rsidR="00DF3AFC" w:rsidRPr="00B505D8" w:rsidRDefault="00DF3AFC" w:rsidP="0039610A">
      <w:pPr>
        <w:pStyle w:val="Textonotapie"/>
      </w:pPr>
      <w:r w:rsidRPr="00B505D8">
        <w:rPr>
          <w:rStyle w:val="Refdenotaalpie"/>
          <w:rFonts w:asciiTheme="minorHAnsi" w:hAnsiTheme="minorHAnsi"/>
          <w:sz w:val="16"/>
          <w:szCs w:val="16"/>
        </w:rPr>
        <w:footnoteRef/>
      </w:r>
      <w:r w:rsidRPr="00B505D8">
        <w:t xml:space="preserve"> Ver las Ayuda Memorias de la</w:t>
      </w:r>
      <w:r>
        <w:t>s</w:t>
      </w:r>
      <w:r w:rsidRPr="00B505D8">
        <w:t xml:space="preserve"> reuniones relevantes</w:t>
      </w:r>
      <w:r>
        <w:t>,</w:t>
      </w:r>
      <w:r w:rsidRPr="00B505D8">
        <w:t xml:space="preserve"> en el Anexo 3</w:t>
      </w:r>
    </w:p>
  </w:footnote>
  <w:footnote w:id="5">
    <w:p w14:paraId="609AF414" w14:textId="6E0698F1" w:rsidR="00DF3AFC" w:rsidRPr="00B505D8" w:rsidRDefault="00DF3AFC" w:rsidP="0039610A">
      <w:pPr>
        <w:pStyle w:val="Textonotapie"/>
        <w:rPr>
          <w:b/>
        </w:rPr>
      </w:pPr>
      <w:r w:rsidRPr="00B505D8">
        <w:rPr>
          <w:rStyle w:val="Refdenotaalpie"/>
          <w:rFonts w:asciiTheme="minorHAnsi" w:hAnsiTheme="minorHAnsi"/>
          <w:sz w:val="16"/>
          <w:szCs w:val="16"/>
        </w:rPr>
        <w:footnoteRef/>
      </w:r>
      <w:r w:rsidRPr="00B505D8">
        <w:t xml:space="preserve"> Análisis marco legal de República Dominicana vigente y relevante a las salvaguardas REDD+ de la CMNUCC, Consultoría ‘Análisis marco legal, institucional y de cumplimiento para las salvaguardas de REDD+’, Julio 2018</w:t>
      </w:r>
    </w:p>
  </w:footnote>
  <w:footnote w:id="6">
    <w:p w14:paraId="339289B2" w14:textId="77777777" w:rsidR="00DF3AFC" w:rsidRPr="007F0BC6" w:rsidRDefault="00DF3AFC" w:rsidP="0039610A">
      <w:pPr>
        <w:pStyle w:val="Textonotapie"/>
        <w:rPr>
          <w:lang w:val="en-US"/>
        </w:rPr>
      </w:pPr>
      <w:r w:rsidRPr="00B505D8">
        <w:rPr>
          <w:rStyle w:val="Refdenotaalpie"/>
          <w:rFonts w:asciiTheme="minorHAnsi" w:hAnsiTheme="minorHAnsi" w:cstheme="minorHAnsi"/>
          <w:sz w:val="16"/>
          <w:szCs w:val="16"/>
        </w:rPr>
        <w:footnoteRef/>
      </w:r>
      <w:r w:rsidRPr="007F0BC6">
        <w:rPr>
          <w:lang w:val="en-US"/>
        </w:rPr>
        <w:t xml:space="preserve"> Guidelines and Generic Terms of Reference for SESAs and ESMF, Annex C Generic Guidelines for draft input to ToR for ESMF</w:t>
      </w:r>
      <w:r w:rsidRPr="007F0BC6">
        <w:rPr>
          <w:noProof/>
          <w:lang w:val="en-US"/>
        </w:rPr>
        <w:t>.</w:t>
      </w:r>
    </w:p>
  </w:footnote>
  <w:footnote w:id="7">
    <w:p w14:paraId="17B930C2" w14:textId="08089C67" w:rsidR="00DF3AFC" w:rsidRPr="00125E95" w:rsidRDefault="00DF3AFC" w:rsidP="0039610A">
      <w:pPr>
        <w:pStyle w:val="Textonotapie"/>
      </w:pPr>
      <w:r w:rsidRPr="00125E95">
        <w:rPr>
          <w:rStyle w:val="Refdenotaalpie"/>
          <w:rFonts w:asciiTheme="minorHAnsi" w:hAnsiTheme="minorHAnsi" w:cstheme="minorHAnsi"/>
        </w:rPr>
        <w:footnoteRef/>
      </w:r>
      <w:r w:rsidRPr="00125E95">
        <w:t xml:space="preserve"> Análisis de las causas directas e indirectas (drivers) de deforestación y degradación de los bosques (DD) en República Dominicana y propuestas de alternativas de uso sostenible del suelo que disminuyen la DD y aumentan los reservorios de carbono del proyecto preparación para REDD’ realizado por el Consorcio Sud-Austral Consulting SpA – Forest Finest en abril 2018.</w:t>
      </w:r>
    </w:p>
  </w:footnote>
  <w:footnote w:id="8">
    <w:p w14:paraId="369033B5" w14:textId="039BDE91" w:rsidR="00DF3AFC" w:rsidRPr="00125E95" w:rsidRDefault="00DF3AFC" w:rsidP="0039610A">
      <w:pPr>
        <w:pStyle w:val="Textonotapie"/>
      </w:pPr>
      <w:r w:rsidRPr="00125E95">
        <w:rPr>
          <w:rStyle w:val="Refdenotaalpie"/>
          <w:rFonts w:ascii="Calibri" w:hAnsi="Calibri"/>
          <w:sz w:val="16"/>
          <w:szCs w:val="16"/>
          <w:vertAlign w:val="baseline"/>
          <w:lang w:val="es-ES_tradnl"/>
        </w:rPr>
        <w:footnoteRef/>
      </w:r>
      <w:r w:rsidRPr="00125E95">
        <w:t xml:space="preserve"> Ver las Ayuda Memorias de las reuniones relevantes del 8 y 14 de agosto 2018 relacionadas con la selección de las Opciones y Acciones REDD+. Reunión interna y reunión con CTA ampliado. </w:t>
      </w:r>
    </w:p>
  </w:footnote>
  <w:footnote w:id="9">
    <w:p w14:paraId="551C6731" w14:textId="1C865579" w:rsidR="00DF3AFC" w:rsidRPr="00A63DAC" w:rsidRDefault="00DF3AFC" w:rsidP="0039610A">
      <w:pPr>
        <w:pStyle w:val="Textonotapie"/>
        <w:rPr>
          <w:b/>
        </w:rPr>
      </w:pPr>
      <w:r w:rsidRPr="00125E95">
        <w:rPr>
          <w:rStyle w:val="Refdenotaalpie"/>
          <w:rFonts w:ascii="Calibri" w:hAnsi="Calibri"/>
          <w:sz w:val="16"/>
          <w:szCs w:val="16"/>
          <w:vertAlign w:val="baseline"/>
          <w:lang w:val="es-ES_tradnl"/>
        </w:rPr>
        <w:footnoteRef/>
      </w:r>
      <w:r w:rsidRPr="00125E95">
        <w:t xml:space="preserve"> Ver reporte Análisis marco legal de República Dominicana vigente y relevante a las salvaguardas REDD+ de la CMNUCC, Consultoría ‘Análisis marco legal, institucional y de cumplimiento para las salvaguardas de REDD+’, Julio 2018</w:t>
      </w:r>
    </w:p>
  </w:footnote>
  <w:footnote w:id="10">
    <w:p w14:paraId="3DAFA4BC" w14:textId="77777777" w:rsidR="00DF3AFC" w:rsidRPr="006329B9" w:rsidRDefault="00DF3AFC" w:rsidP="007E798F">
      <w:pPr>
        <w:pStyle w:val="Sinespaciado"/>
        <w:rPr>
          <w:sz w:val="16"/>
          <w:szCs w:val="16"/>
        </w:rPr>
      </w:pPr>
      <w:r w:rsidRPr="006329B9">
        <w:rPr>
          <w:rStyle w:val="Refdenotaalpie"/>
          <w:rFonts w:asciiTheme="minorHAnsi" w:hAnsiTheme="minorHAnsi"/>
          <w:color w:val="000000" w:themeColor="text1"/>
          <w:sz w:val="16"/>
          <w:szCs w:val="16"/>
          <w:lang w:val="es-ES_tradnl"/>
        </w:rPr>
        <w:footnoteRef/>
      </w:r>
      <w:r w:rsidRPr="006329B9">
        <w:rPr>
          <w:sz w:val="16"/>
          <w:szCs w:val="16"/>
        </w:rPr>
        <w:t xml:space="preserve">Decisión 1/CPEUM.16 de la </w:t>
      </w:r>
      <w:r w:rsidRPr="006329B9">
        <w:rPr>
          <w:bCs/>
          <w:sz w:val="16"/>
          <w:szCs w:val="16"/>
        </w:rPr>
        <w:t>CMNUCC</w:t>
      </w:r>
      <w:r w:rsidRPr="006329B9">
        <w:rPr>
          <w:sz w:val="16"/>
          <w:szCs w:val="16"/>
        </w:rPr>
        <w:t>, opcit, Anexo I, apartado 2.</w:t>
      </w:r>
    </w:p>
  </w:footnote>
  <w:footnote w:id="11">
    <w:p w14:paraId="036C49D6" w14:textId="77777777" w:rsidR="00DF3AFC" w:rsidRPr="0039610A" w:rsidRDefault="00DF3AFC" w:rsidP="0039610A">
      <w:pPr>
        <w:pStyle w:val="Textonotapie"/>
        <w:ind w:left="284" w:hanging="284"/>
        <w:rPr>
          <w:rStyle w:val="Refdenotaalpie"/>
          <w:rFonts w:ascii="Calibri" w:hAnsi="Calibri"/>
          <w:sz w:val="16"/>
          <w:szCs w:val="16"/>
          <w:vertAlign w:val="baseline"/>
          <w:lang w:val="es-ES_tradnl"/>
        </w:rPr>
      </w:pPr>
      <w:r w:rsidRPr="0039610A">
        <w:rPr>
          <w:rStyle w:val="Refdenotaalpie"/>
          <w:rFonts w:ascii="Calibri" w:hAnsi="Calibri"/>
          <w:sz w:val="16"/>
          <w:szCs w:val="16"/>
          <w:lang w:val="es-ES_tradnl"/>
        </w:rPr>
        <w:footnoteRef/>
      </w:r>
      <w:r w:rsidRPr="0039610A">
        <w:t>El párrafo 70 de la Decisión establece que: La conferencia de las Partes “Alienta a las Partes que son países en desarrollo a contribuir a la labor de mitigación en el sector forestal adoptando las siguientes medidas, a su discreción y con arreglo a sus capacidades respectivas y sus circunstancias nacionales:  a) La reducción de las emisiones debidas a la deforestación;  b) La reducción de las emisiones debidas a la degradación forestal;  c) La conservación de las reservas forestales de carbono;  d) La gestión sostenible de los bosques;  e) El incremento de las reservas forestales de carbono.” Así como el párrafo 72 establece que la COP: "Los países Partes, al elaborar y ejecutar sus estrategias nacionales o planes de acción, para abordar, entre otras cosas, las causas de la deforestación y la degradación forestal, tenencia de la tierra, la gobernanza forestal, las consideraciones de género y las salvaguardas identificados en el párrafo 2 del Apéndice I de la presente decisión, asegurando la participación plena y efectiva de los interesados pertinentes, entre otros, los pueblos indígenas y las comunidades locales." Decisión de la CMNUCC 1/CPEUM.16, opcit, párrafos 70 y 72.</w:t>
      </w:r>
    </w:p>
  </w:footnote>
  <w:footnote w:id="12">
    <w:p w14:paraId="6C5940B3" w14:textId="77777777" w:rsidR="00DF3AFC" w:rsidRPr="0039610A" w:rsidRDefault="00DF3AFC" w:rsidP="0039610A">
      <w:pPr>
        <w:pStyle w:val="Textonotapie"/>
        <w:ind w:left="284" w:hanging="284"/>
      </w:pPr>
      <w:r w:rsidRPr="0039610A">
        <w:rPr>
          <w:rStyle w:val="Refdenotaalpie"/>
          <w:rFonts w:ascii="Calibri" w:hAnsi="Calibri"/>
          <w:sz w:val="16"/>
          <w:szCs w:val="16"/>
          <w:lang w:val="es-ES_tradnl"/>
        </w:rPr>
        <w:footnoteRef/>
      </w:r>
      <w:r w:rsidRPr="0039610A">
        <w:t xml:space="preserve"> Decisión 1/CP.16, párrafo 69 de la CMNUCC.</w:t>
      </w:r>
    </w:p>
  </w:footnote>
  <w:footnote w:id="13">
    <w:p w14:paraId="37140871" w14:textId="77777777" w:rsidR="00DF3AFC" w:rsidRPr="00B505D8" w:rsidRDefault="00DF3AFC" w:rsidP="0039610A">
      <w:pPr>
        <w:pStyle w:val="Textonotapie"/>
        <w:ind w:left="284" w:hanging="284"/>
      </w:pPr>
      <w:r w:rsidRPr="0039610A">
        <w:rPr>
          <w:rStyle w:val="Refdenotaalpie"/>
          <w:rFonts w:ascii="Calibri" w:hAnsi="Calibri"/>
          <w:sz w:val="16"/>
          <w:szCs w:val="16"/>
          <w:lang w:val="es-ES_tradnl"/>
        </w:rPr>
        <w:footnoteRef/>
      </w:r>
      <w:r w:rsidRPr="0039610A">
        <w:t xml:space="preserve"> Decisión 2/CP.17, párrafo 63 de la CMNUCC.</w:t>
      </w:r>
    </w:p>
  </w:footnote>
  <w:footnote w:id="14">
    <w:p w14:paraId="1694A2CE" w14:textId="77777777" w:rsidR="00DF3AFC" w:rsidRPr="00B505D8" w:rsidRDefault="00DF3AFC" w:rsidP="00947670">
      <w:pPr>
        <w:rPr>
          <w:color w:val="000000" w:themeColor="text1"/>
          <w:sz w:val="16"/>
          <w:szCs w:val="16"/>
        </w:rPr>
      </w:pPr>
      <w:r w:rsidRPr="00B505D8">
        <w:rPr>
          <w:rStyle w:val="Refdenotaalpie"/>
          <w:rFonts w:asciiTheme="minorHAnsi" w:hAnsiTheme="minorHAnsi"/>
          <w:color w:val="000000" w:themeColor="text1"/>
          <w:sz w:val="16"/>
          <w:szCs w:val="16"/>
        </w:rPr>
        <w:footnoteRef/>
      </w:r>
      <w:r w:rsidRPr="00B505D8">
        <w:rPr>
          <w:color w:val="000000" w:themeColor="text1"/>
          <w:sz w:val="16"/>
          <w:szCs w:val="16"/>
        </w:rPr>
        <w:t xml:space="preserve"> Decisión 1/CP.16, párrafo 71 (d) y Decisión 9/CP.19, párrafo 3 de la CMNUCC</w:t>
      </w:r>
    </w:p>
  </w:footnote>
  <w:footnote w:id="15">
    <w:p w14:paraId="5F3684D0" w14:textId="1C3F7CE5" w:rsidR="00DF3AFC" w:rsidRPr="00B505D8" w:rsidRDefault="00DF3AFC" w:rsidP="00387669">
      <w:pPr>
        <w:pStyle w:val="Textonotapie"/>
      </w:pPr>
      <w:r w:rsidRPr="00B505D8">
        <w:rPr>
          <w:rStyle w:val="Refdenotaalpie"/>
          <w:rFonts w:asciiTheme="minorHAnsi" w:hAnsiTheme="minorHAnsi" w:cstheme="minorHAnsi"/>
          <w:sz w:val="16"/>
          <w:szCs w:val="16"/>
        </w:rPr>
        <w:footnoteRef/>
      </w:r>
      <w:r w:rsidRPr="00B505D8">
        <w:t xml:space="preserve"> Doc</w:t>
      </w:r>
      <w:r>
        <w:t xml:space="preserve">umento </w:t>
      </w:r>
      <w:r w:rsidRPr="00B505D8">
        <w:t>SESA</w:t>
      </w:r>
    </w:p>
  </w:footnote>
  <w:footnote w:id="16">
    <w:p w14:paraId="49920072" w14:textId="2101D427" w:rsidR="00DF3AFC" w:rsidRPr="00B505D8" w:rsidRDefault="00DF3AFC" w:rsidP="00387669">
      <w:pPr>
        <w:pStyle w:val="Textonotapie"/>
      </w:pPr>
      <w:r w:rsidRPr="00B505D8">
        <w:rPr>
          <w:rStyle w:val="Refdenotaalpie"/>
          <w:rFonts w:asciiTheme="minorHAnsi" w:hAnsiTheme="minorHAnsi"/>
          <w:sz w:val="16"/>
          <w:szCs w:val="16"/>
        </w:rPr>
        <w:footnoteRef/>
      </w:r>
      <w:r w:rsidRPr="00B505D8">
        <w:t xml:space="preserve"> </w:t>
      </w:r>
      <w:r>
        <w:t>V</w:t>
      </w:r>
      <w:r w:rsidRPr="00B505D8">
        <w:t xml:space="preserve">er producto 8 que presenta el Borrador v.4 de la Evaluación Estratégica Social y Ambiental </w:t>
      </w:r>
    </w:p>
  </w:footnote>
  <w:footnote w:id="17">
    <w:p w14:paraId="0127E9F0" w14:textId="22E722BD" w:rsidR="00DF3AFC" w:rsidRPr="00B505D8" w:rsidRDefault="00DF3AFC" w:rsidP="00387669">
      <w:pPr>
        <w:pStyle w:val="Textonotapie"/>
      </w:pPr>
      <w:r w:rsidRPr="00B505D8">
        <w:rPr>
          <w:rStyle w:val="Refdenotaalpie"/>
          <w:rFonts w:asciiTheme="minorHAnsi" w:hAnsiTheme="minorHAnsi"/>
          <w:sz w:val="16"/>
          <w:szCs w:val="16"/>
        </w:rPr>
        <w:footnoteRef/>
      </w:r>
      <w:r w:rsidRPr="00B505D8">
        <w:t xml:space="preserve"> Análisis de las causas directas e indirectas (drivers) de deforestación y degradación de los bosques (DD) en República Dominicana y propuestas de alternativas de uso sostenible del suelo que disminuyen la DD y aumentan los reservorios de carbono del proyecto preparación para REDD’ realizado por el Consorcio Sud-Austral Consulting SpA – Forest Finest en abril 2018.</w:t>
      </w:r>
    </w:p>
  </w:footnote>
  <w:footnote w:id="18">
    <w:p w14:paraId="73464B77" w14:textId="2D7F7A41" w:rsidR="00DF3AFC" w:rsidRPr="00B505D8" w:rsidRDefault="00DF3AFC" w:rsidP="00387669">
      <w:pPr>
        <w:pStyle w:val="Textonotapie"/>
      </w:pPr>
      <w:r w:rsidRPr="00B505D8">
        <w:rPr>
          <w:rStyle w:val="Refdenotaalpie"/>
          <w:rFonts w:asciiTheme="minorHAnsi" w:hAnsiTheme="minorHAnsi"/>
          <w:sz w:val="16"/>
          <w:szCs w:val="16"/>
        </w:rPr>
        <w:footnoteRef/>
      </w:r>
      <w:r w:rsidRPr="00B505D8">
        <w:t xml:space="preserve"> Ver las Ayuda Memorias de las reuniones relevantes en el Anexo 3</w:t>
      </w:r>
    </w:p>
  </w:footnote>
  <w:footnote w:id="19">
    <w:p w14:paraId="6ACA05AC" w14:textId="18A661E6" w:rsidR="00DF3AFC" w:rsidRPr="00B505D8" w:rsidRDefault="00DF3AFC" w:rsidP="00387669">
      <w:pPr>
        <w:pStyle w:val="Textonotapie"/>
        <w:rPr>
          <w:b/>
        </w:rPr>
      </w:pPr>
      <w:r w:rsidRPr="00B505D8">
        <w:rPr>
          <w:rStyle w:val="Refdenotaalpie"/>
          <w:rFonts w:asciiTheme="minorHAnsi" w:hAnsiTheme="minorHAnsi"/>
          <w:sz w:val="16"/>
          <w:szCs w:val="16"/>
        </w:rPr>
        <w:footnoteRef/>
      </w:r>
      <w:r w:rsidRPr="00302524">
        <w:rPr>
          <w:lang w:val="es-ES"/>
        </w:rPr>
        <w:t xml:space="preserve"> </w:t>
      </w:r>
      <w:r w:rsidRPr="00B505D8">
        <w:t>Análisis marco legal de República Dominicana vigente y relevante a las salvaguardas REDD+ de la CMNUCC, Consultoría ‘Análisis marco legal, institucional y de cumplimiento para las salvaguardas de REDD+’, Julio 2018</w:t>
      </w:r>
    </w:p>
  </w:footnote>
  <w:footnote w:id="20">
    <w:p w14:paraId="63487D03" w14:textId="77777777" w:rsidR="00DF3AFC" w:rsidRPr="007F0BC6" w:rsidRDefault="00DF3AFC" w:rsidP="00387669">
      <w:pPr>
        <w:pStyle w:val="Textonotapie"/>
        <w:rPr>
          <w:lang w:val="en-US"/>
        </w:rPr>
      </w:pPr>
      <w:r w:rsidRPr="00B505D8">
        <w:rPr>
          <w:rStyle w:val="Refdenotaalpie"/>
          <w:rFonts w:asciiTheme="minorHAnsi" w:hAnsiTheme="minorHAnsi" w:cstheme="minorHAnsi"/>
          <w:sz w:val="16"/>
          <w:szCs w:val="16"/>
        </w:rPr>
        <w:footnoteRef/>
      </w:r>
      <w:r w:rsidRPr="007F0BC6">
        <w:rPr>
          <w:lang w:val="en-US"/>
        </w:rPr>
        <w:t xml:space="preserve"> Guidelines and Generic Terms of Reference for SESAs and ESMF, Annex C Generic Guidelines for draft input to ToR for ESMF</w:t>
      </w:r>
      <w:r w:rsidRPr="007F0BC6">
        <w:rPr>
          <w:noProof/>
          <w:lang w:val="en-US"/>
        </w:rPr>
        <w:t>.</w:t>
      </w:r>
    </w:p>
  </w:footnote>
  <w:footnote w:id="21">
    <w:p w14:paraId="6EF0BAB9" w14:textId="0A88511F" w:rsidR="00DF3AFC" w:rsidRPr="00B505D8" w:rsidRDefault="00DF3AFC" w:rsidP="00B104AC">
      <w:pPr>
        <w:pStyle w:val="Textonotapie"/>
      </w:pPr>
      <w:r w:rsidRPr="00125C2D">
        <w:rPr>
          <w:rStyle w:val="Refdenotaalpie"/>
        </w:rPr>
        <w:footnoteRef/>
      </w:r>
      <w:r w:rsidRPr="00125C2D">
        <w:rPr>
          <w:lang w:val="es-ES"/>
        </w:rPr>
        <w:t xml:space="preserve"> </w:t>
      </w:r>
      <w:r w:rsidRPr="00B505D8">
        <w:t>Análisis de las causas directas e indirectas (drivers) de deforestación y degradación de los bosques (DD) en República Dominicana y propuestas de alternativas de uso sostenible del suelo que disminuyen la DD y aumentan los reservorios de carbono del proyecto preparación para REDD’ realizado por el Consorcio Sud-Austral Consulting SpA – Forest Finest en Abril 2018.</w:t>
      </w:r>
    </w:p>
    <w:p w14:paraId="243834DC" w14:textId="77777777" w:rsidR="00DF3AFC" w:rsidRPr="005405EA" w:rsidRDefault="00DF3AFC" w:rsidP="0039610A">
      <w:pPr>
        <w:pStyle w:val="Textonotapie"/>
      </w:pPr>
    </w:p>
  </w:footnote>
  <w:footnote w:id="22">
    <w:p w14:paraId="1B5093E5" w14:textId="501DE56D" w:rsidR="00DF3AFC" w:rsidRPr="00B505D8" w:rsidRDefault="00DF3AFC" w:rsidP="004A40A7">
      <w:pPr>
        <w:pStyle w:val="Textonotapie"/>
      </w:pPr>
      <w:r>
        <w:rPr>
          <w:rStyle w:val="Refdenotaalpie"/>
        </w:rPr>
        <w:footnoteRef/>
      </w:r>
      <w:r w:rsidRPr="005405EA">
        <w:rPr>
          <w:lang w:val="es-ES"/>
        </w:rPr>
        <w:t xml:space="preserve"> </w:t>
      </w:r>
      <w:r w:rsidRPr="00B505D8">
        <w:t>Análisis de las causas directas e indirectas (drivers) de deforestación y degradación de los bosques (DD) en República Dominicana y propuestas de alternativas de uso sostenible del suelo que disminuyen la DD y aumentan los reservorios de carbono del proyecto preparación para REDD’ realizado por el Consorcio Sud-Austral Consulting SpA – Forest Finest en abril 2018.</w:t>
      </w:r>
    </w:p>
    <w:p w14:paraId="7D4685F7" w14:textId="77777777" w:rsidR="00DF3AFC" w:rsidRPr="005405EA" w:rsidRDefault="00DF3AFC" w:rsidP="0039610A">
      <w:pPr>
        <w:pStyle w:val="Textonotapie"/>
      </w:pPr>
    </w:p>
  </w:footnote>
  <w:footnote w:id="23">
    <w:p w14:paraId="5E88D392" w14:textId="77777777" w:rsidR="00DF3AFC" w:rsidRPr="00355AA5" w:rsidRDefault="00DF3AFC" w:rsidP="00856730">
      <w:pPr>
        <w:pStyle w:val="Textonotapie"/>
        <w:rPr>
          <w:rFonts w:cstheme="minorHAnsi"/>
          <w:sz w:val="18"/>
          <w:szCs w:val="18"/>
        </w:rPr>
      </w:pPr>
      <w:r w:rsidRPr="00355AA5">
        <w:rPr>
          <w:rStyle w:val="Refdenotaalpie"/>
        </w:rPr>
        <w:footnoteRef/>
      </w:r>
      <w:r w:rsidRPr="00355AA5">
        <w:rPr>
          <w:rFonts w:cstheme="minorHAnsi"/>
          <w:sz w:val="18"/>
          <w:szCs w:val="18"/>
        </w:rPr>
        <w:t xml:space="preserve"> Ley No.108-05 de Registro Inmobiliario, del 23 de marzo del 2005, G.O.</w:t>
      </w:r>
      <w:r w:rsidRPr="00355AA5">
        <w:rPr>
          <w:rFonts w:cstheme="minorHAnsi"/>
          <w:color w:val="545454"/>
          <w:sz w:val="18"/>
          <w:szCs w:val="18"/>
          <w:shd w:val="clear" w:color="auto" w:fill="FFFFFF"/>
        </w:rPr>
        <w:t xml:space="preserve"> </w:t>
      </w:r>
      <w:r>
        <w:rPr>
          <w:rFonts w:cstheme="minorHAnsi"/>
          <w:sz w:val="18"/>
          <w:szCs w:val="18"/>
          <w:shd w:val="clear" w:color="auto" w:fill="FFFFFF"/>
        </w:rPr>
        <w:t>No. 10316 del 2 de abril del 2005</w:t>
      </w:r>
      <w:r w:rsidRPr="00355AA5">
        <w:rPr>
          <w:rFonts w:cstheme="minorHAnsi"/>
          <w:sz w:val="18"/>
          <w:szCs w:val="18"/>
        </w:rPr>
        <w:t xml:space="preserve"> </w:t>
      </w:r>
    </w:p>
  </w:footnote>
  <w:footnote w:id="24">
    <w:p w14:paraId="422973F0" w14:textId="77777777" w:rsidR="00DF3AFC" w:rsidRDefault="00DF3AFC" w:rsidP="00856730">
      <w:pPr>
        <w:pStyle w:val="Textonotapie"/>
      </w:pPr>
      <w:r>
        <w:rPr>
          <w:rStyle w:val="Refdenotaalpie"/>
        </w:rPr>
        <w:footnoteRef/>
      </w:r>
      <w:r>
        <w:t xml:space="preserve"> </w:t>
      </w:r>
      <w:r w:rsidRPr="00E7315F">
        <w:rPr>
          <w:sz w:val="18"/>
          <w:szCs w:val="18"/>
        </w:rPr>
        <w:t>Ley No. 344 que establece un procedimiento especial para las expropiaciones intentadas por el Estado, G. O. No. 5951 del 31 de julio del 1943</w:t>
      </w:r>
    </w:p>
  </w:footnote>
  <w:footnote w:id="25">
    <w:p w14:paraId="4B51873E" w14:textId="77777777" w:rsidR="00DF3AFC" w:rsidRDefault="00DF3AFC" w:rsidP="00856730">
      <w:pPr>
        <w:pStyle w:val="Textonotapie"/>
      </w:pPr>
      <w:r>
        <w:rPr>
          <w:rStyle w:val="Refdenotaalpie"/>
        </w:rPr>
        <w:footnoteRef/>
      </w:r>
      <w:r>
        <w:t xml:space="preserve"> </w:t>
      </w:r>
      <w:r w:rsidRPr="00844AA1">
        <w:rPr>
          <w:sz w:val="18"/>
          <w:szCs w:val="18"/>
        </w:rPr>
        <w:t>Código Civil de la Rep</w:t>
      </w:r>
      <w:r>
        <w:rPr>
          <w:sz w:val="18"/>
          <w:szCs w:val="18"/>
        </w:rPr>
        <w:t>ública Dominicana</w:t>
      </w:r>
    </w:p>
  </w:footnote>
  <w:footnote w:id="26">
    <w:p w14:paraId="11BE3330" w14:textId="77777777" w:rsidR="00DF3AFC" w:rsidRPr="007D467F" w:rsidRDefault="00DF3AFC" w:rsidP="00856730">
      <w:pPr>
        <w:pStyle w:val="Textonotapie"/>
        <w:rPr>
          <w:sz w:val="18"/>
          <w:szCs w:val="18"/>
        </w:rPr>
      </w:pPr>
      <w:r w:rsidRPr="00844AA1">
        <w:rPr>
          <w:rStyle w:val="Refdenotaalpie"/>
        </w:rPr>
        <w:footnoteRef/>
      </w:r>
      <w:r w:rsidRPr="00844AA1">
        <w:rPr>
          <w:sz w:val="18"/>
          <w:szCs w:val="18"/>
        </w:rPr>
        <w:t xml:space="preserve"> Constitución de la República Dominicana, proclamada el 1</w:t>
      </w:r>
      <w:r>
        <w:rPr>
          <w:sz w:val="18"/>
          <w:szCs w:val="18"/>
        </w:rPr>
        <w:t>3</w:t>
      </w:r>
      <w:r w:rsidRPr="00844AA1">
        <w:rPr>
          <w:sz w:val="18"/>
          <w:szCs w:val="18"/>
        </w:rPr>
        <w:t xml:space="preserve"> de junio del 2005, G.O No. 10561.1</w:t>
      </w:r>
      <w:r>
        <w:rPr>
          <w:sz w:val="18"/>
          <w:szCs w:val="18"/>
        </w:rPr>
        <w:t xml:space="preserve"> </w:t>
      </w:r>
      <w:r>
        <w:t xml:space="preserve">del </w:t>
      </w:r>
      <w:r w:rsidRPr="007D467F">
        <w:rPr>
          <w:sz w:val="18"/>
          <w:szCs w:val="18"/>
        </w:rPr>
        <w:t>10 de julio de 2015</w:t>
      </w:r>
    </w:p>
  </w:footnote>
  <w:footnote w:id="27">
    <w:p w14:paraId="48BE6DDC" w14:textId="77777777" w:rsidR="00DF3AFC" w:rsidRDefault="00DF3AFC" w:rsidP="00856730">
      <w:pPr>
        <w:pStyle w:val="Textonotapie"/>
      </w:pPr>
      <w:r>
        <w:rPr>
          <w:rStyle w:val="Refdenotaalpie"/>
        </w:rPr>
        <w:footnoteRef/>
      </w:r>
      <w:r>
        <w:t xml:space="preserve"> </w:t>
      </w:r>
      <w:r w:rsidRPr="00844AA1">
        <w:rPr>
          <w:sz w:val="18"/>
          <w:szCs w:val="18"/>
        </w:rPr>
        <w:t>Código Civil de la Rep</w:t>
      </w:r>
      <w:r>
        <w:rPr>
          <w:sz w:val="18"/>
          <w:szCs w:val="18"/>
        </w:rPr>
        <w:t>ública Dominicana</w:t>
      </w:r>
    </w:p>
  </w:footnote>
  <w:footnote w:id="28">
    <w:p w14:paraId="4C897E51" w14:textId="77777777" w:rsidR="00DF3AFC" w:rsidRDefault="00DF3AFC" w:rsidP="00856730">
      <w:pPr>
        <w:pStyle w:val="Textonotapie"/>
      </w:pPr>
      <w:r>
        <w:rPr>
          <w:rStyle w:val="Refdenotaalpie"/>
        </w:rPr>
        <w:footnoteRef/>
      </w:r>
      <w:r>
        <w:t xml:space="preserve"> </w:t>
      </w:r>
      <w:r w:rsidRPr="00844AA1">
        <w:rPr>
          <w:sz w:val="18"/>
          <w:szCs w:val="18"/>
        </w:rPr>
        <w:t>Código Civil de la Rep</w:t>
      </w:r>
      <w:r>
        <w:rPr>
          <w:sz w:val="18"/>
          <w:szCs w:val="18"/>
        </w:rPr>
        <w:t>ública Dominicana</w:t>
      </w:r>
    </w:p>
  </w:footnote>
  <w:footnote w:id="29">
    <w:p w14:paraId="51BFCAC2" w14:textId="77777777" w:rsidR="00DF3AFC" w:rsidRDefault="00DF3AFC" w:rsidP="00856730">
      <w:pPr>
        <w:pStyle w:val="Textonotapie"/>
      </w:pPr>
      <w:r>
        <w:rPr>
          <w:rStyle w:val="Refdenotaalpie"/>
        </w:rPr>
        <w:footnoteRef/>
      </w:r>
      <w:r>
        <w:t xml:space="preserve"> </w:t>
      </w:r>
      <w:r w:rsidRPr="00844AA1">
        <w:rPr>
          <w:sz w:val="18"/>
          <w:szCs w:val="18"/>
        </w:rPr>
        <w:t>Código Civil de la Rep</w:t>
      </w:r>
      <w:r>
        <w:rPr>
          <w:sz w:val="18"/>
          <w:szCs w:val="18"/>
        </w:rPr>
        <w:t>ública Dominicana</w:t>
      </w:r>
    </w:p>
  </w:footnote>
  <w:footnote w:id="30">
    <w:p w14:paraId="45D24C71" w14:textId="77777777" w:rsidR="00DF3AFC" w:rsidRDefault="00DF3AFC" w:rsidP="00856730">
      <w:pPr>
        <w:pStyle w:val="Textonotapie"/>
      </w:pPr>
      <w:r>
        <w:rPr>
          <w:rStyle w:val="Refdenotaalpie"/>
        </w:rPr>
        <w:footnoteRef/>
      </w:r>
      <w:r>
        <w:t xml:space="preserve"> </w:t>
      </w:r>
      <w:r w:rsidRPr="00355AA5">
        <w:rPr>
          <w:rFonts w:cstheme="minorHAnsi"/>
          <w:sz w:val="18"/>
          <w:szCs w:val="18"/>
        </w:rPr>
        <w:t>Ley No.108-05 de Registro Inmobiliario, del 23 de marzo del 2005, G.O.</w:t>
      </w:r>
      <w:r w:rsidRPr="00355AA5">
        <w:rPr>
          <w:rFonts w:cstheme="minorHAnsi"/>
          <w:color w:val="545454"/>
          <w:sz w:val="18"/>
          <w:szCs w:val="18"/>
          <w:shd w:val="clear" w:color="auto" w:fill="FFFFFF"/>
        </w:rPr>
        <w:t xml:space="preserve"> </w:t>
      </w:r>
      <w:r>
        <w:rPr>
          <w:rFonts w:cstheme="minorHAnsi"/>
          <w:sz w:val="18"/>
          <w:szCs w:val="18"/>
          <w:shd w:val="clear" w:color="auto" w:fill="FFFFFF"/>
        </w:rPr>
        <w:t>No. 10316 del 2 de abril del 2005</w:t>
      </w:r>
    </w:p>
  </w:footnote>
  <w:footnote w:id="31">
    <w:p w14:paraId="2FCB6E55" w14:textId="77777777" w:rsidR="00DF3AFC" w:rsidRDefault="00DF3AFC" w:rsidP="00856730">
      <w:pPr>
        <w:pStyle w:val="Textonotapie"/>
      </w:pPr>
      <w:r>
        <w:rPr>
          <w:rStyle w:val="Refdenotaalpie"/>
        </w:rPr>
        <w:footnoteRef/>
      </w:r>
      <w:r>
        <w:t xml:space="preserve"> </w:t>
      </w:r>
      <w:r w:rsidRPr="00844AA1">
        <w:rPr>
          <w:sz w:val="18"/>
          <w:szCs w:val="18"/>
        </w:rPr>
        <w:t>Código Civil de la Rep</w:t>
      </w:r>
      <w:r>
        <w:rPr>
          <w:sz w:val="18"/>
          <w:szCs w:val="18"/>
        </w:rPr>
        <w:t>ública Dominicana</w:t>
      </w:r>
    </w:p>
  </w:footnote>
  <w:footnote w:id="32">
    <w:p w14:paraId="2A548035" w14:textId="77777777" w:rsidR="00DF3AFC" w:rsidRDefault="00DF3AFC" w:rsidP="00856730">
      <w:pPr>
        <w:pStyle w:val="Textonotapie"/>
      </w:pPr>
      <w:r>
        <w:rPr>
          <w:rStyle w:val="Refdenotaalpie"/>
        </w:rPr>
        <w:footnoteRef/>
      </w:r>
      <w:r>
        <w:t xml:space="preserve"> </w:t>
      </w:r>
      <w:r w:rsidRPr="00844AA1">
        <w:rPr>
          <w:sz w:val="18"/>
          <w:szCs w:val="18"/>
        </w:rPr>
        <w:t>Código Civil de la Rep</w:t>
      </w:r>
      <w:r>
        <w:rPr>
          <w:sz w:val="18"/>
          <w:szCs w:val="18"/>
        </w:rPr>
        <w:t>ública Dominicana</w:t>
      </w:r>
    </w:p>
  </w:footnote>
  <w:footnote w:id="33">
    <w:p w14:paraId="06C7361E" w14:textId="77777777" w:rsidR="00DF3AFC" w:rsidRDefault="00DF3AFC" w:rsidP="00856730">
      <w:pPr>
        <w:pStyle w:val="Textonotapie"/>
      </w:pPr>
      <w:r>
        <w:rPr>
          <w:rStyle w:val="Refdenotaalpie"/>
        </w:rPr>
        <w:footnoteRef/>
      </w:r>
      <w:r>
        <w:t xml:space="preserve"> </w:t>
      </w:r>
      <w:r w:rsidRPr="00844AA1">
        <w:rPr>
          <w:sz w:val="18"/>
          <w:szCs w:val="18"/>
        </w:rPr>
        <w:t>Código Civil de la Rep</w:t>
      </w:r>
      <w:r>
        <w:rPr>
          <w:sz w:val="18"/>
          <w:szCs w:val="18"/>
        </w:rPr>
        <w:t>ública Dominicana</w:t>
      </w:r>
    </w:p>
  </w:footnote>
  <w:footnote w:id="34">
    <w:p w14:paraId="2373CD9B" w14:textId="77777777" w:rsidR="00DF3AFC" w:rsidRDefault="00DF3AFC" w:rsidP="00856730">
      <w:pPr>
        <w:pStyle w:val="Textonotapie"/>
      </w:pPr>
      <w:r>
        <w:rPr>
          <w:rStyle w:val="Refdenotaalpie"/>
        </w:rPr>
        <w:footnoteRef/>
      </w:r>
      <w:r>
        <w:t xml:space="preserve"> </w:t>
      </w:r>
      <w:r w:rsidRPr="00844AA1">
        <w:rPr>
          <w:sz w:val="18"/>
          <w:szCs w:val="18"/>
        </w:rPr>
        <w:t>Código Civil de la Rep</w:t>
      </w:r>
      <w:r>
        <w:rPr>
          <w:sz w:val="18"/>
          <w:szCs w:val="18"/>
        </w:rPr>
        <w:t>ública Dominicana</w:t>
      </w:r>
    </w:p>
  </w:footnote>
  <w:footnote w:id="35">
    <w:p w14:paraId="2CA36955" w14:textId="77777777" w:rsidR="00DF3AFC" w:rsidRDefault="00DF3AFC" w:rsidP="00856730">
      <w:pPr>
        <w:pStyle w:val="Textonotapie"/>
      </w:pPr>
      <w:r>
        <w:rPr>
          <w:rStyle w:val="Refdenotaalpie"/>
        </w:rPr>
        <w:footnoteRef/>
      </w:r>
      <w:r>
        <w:t xml:space="preserve"> </w:t>
      </w:r>
      <w:r w:rsidRPr="00355AA5">
        <w:rPr>
          <w:rFonts w:cstheme="minorHAnsi"/>
          <w:sz w:val="18"/>
          <w:szCs w:val="18"/>
        </w:rPr>
        <w:t>Ley No.108-05 de Registro Inmobiliario, del 23 de marzo del 2005, G.O.</w:t>
      </w:r>
      <w:r w:rsidRPr="00355AA5">
        <w:rPr>
          <w:rFonts w:cstheme="minorHAnsi"/>
          <w:color w:val="545454"/>
          <w:sz w:val="18"/>
          <w:szCs w:val="18"/>
          <w:shd w:val="clear" w:color="auto" w:fill="FFFFFF"/>
        </w:rPr>
        <w:t xml:space="preserve"> </w:t>
      </w:r>
      <w:r>
        <w:rPr>
          <w:rFonts w:cstheme="minorHAnsi"/>
          <w:sz w:val="18"/>
          <w:szCs w:val="18"/>
          <w:shd w:val="clear" w:color="auto" w:fill="FFFFFF"/>
        </w:rPr>
        <w:t>No. 10316 del 2 de abril del 2005</w:t>
      </w:r>
    </w:p>
  </w:footnote>
  <w:footnote w:id="36">
    <w:p w14:paraId="158E4367" w14:textId="19E66F4D" w:rsidR="00DF3AFC" w:rsidRPr="00B505D8" w:rsidRDefault="00DF3AFC" w:rsidP="0039610A">
      <w:pPr>
        <w:pStyle w:val="Textonotapie"/>
      </w:pPr>
      <w:r w:rsidRPr="00B505D8">
        <w:rPr>
          <w:rStyle w:val="Refdenotaalpie"/>
          <w:rFonts w:asciiTheme="minorHAnsi" w:hAnsiTheme="minorHAnsi" w:cstheme="minorHAnsi"/>
          <w:sz w:val="16"/>
          <w:szCs w:val="16"/>
        </w:rPr>
        <w:footnoteRef/>
      </w:r>
      <w:r w:rsidRPr="00B505D8">
        <w:t xml:space="preserve"> Taller Ministerial Interno ‘Validación Opciones Estratégicas, Acciones y Programas para REDD+’, 8 de </w:t>
      </w:r>
      <w:r>
        <w:t>a</w:t>
      </w:r>
      <w:r w:rsidRPr="00B505D8">
        <w:t>gosto 2018. Taller Comité Técnico Asesor Ampliado, 14 de agosto 2018. Ayuda Memoria de reunión.</w:t>
      </w:r>
    </w:p>
  </w:footnote>
  <w:footnote w:id="37">
    <w:p w14:paraId="0DBC84D6" w14:textId="77777777" w:rsidR="00DF3AFC" w:rsidRPr="00302524" w:rsidRDefault="00DF3AFC" w:rsidP="00947670">
      <w:pPr>
        <w:spacing w:after="150" w:line="240" w:lineRule="atLeast"/>
        <w:textAlignment w:val="baseline"/>
        <w:rPr>
          <w:rFonts w:cs="Lucida Grande"/>
          <w:color w:val="000000"/>
          <w:sz w:val="16"/>
          <w:szCs w:val="16"/>
        </w:rPr>
      </w:pPr>
      <w:r w:rsidRPr="00384838">
        <w:rPr>
          <w:rStyle w:val="Refdenotaalpie"/>
          <w:rFonts w:asciiTheme="minorHAnsi" w:hAnsiTheme="minorHAnsi"/>
          <w:sz w:val="16"/>
          <w:szCs w:val="16"/>
        </w:rPr>
        <w:footnoteRef/>
      </w:r>
      <w:r w:rsidRPr="00302524">
        <w:rPr>
          <w:sz w:val="16"/>
          <w:szCs w:val="16"/>
        </w:rPr>
        <w:t xml:space="preserve"> </w:t>
      </w:r>
      <w:r w:rsidRPr="00302524">
        <w:rPr>
          <w:rFonts w:cs="Lucida Grande"/>
          <w:color w:val="000000"/>
          <w:sz w:val="16"/>
          <w:szCs w:val="16"/>
        </w:rPr>
        <w:t>Reducción de la Deforestación, Reducción de la Degradación, Conservación, Manejo Sostenible de los Bosques, Aumento de los stocks forestales de carbono</w:t>
      </w:r>
    </w:p>
    <w:p w14:paraId="1440C4FC" w14:textId="77777777" w:rsidR="00DF3AFC" w:rsidRPr="00302524" w:rsidRDefault="00DF3AFC" w:rsidP="00947670">
      <w:pPr>
        <w:spacing w:after="0"/>
        <w:jc w:val="left"/>
        <w:rPr>
          <w:rFonts w:ascii="Times New Roman" w:hAnsi="Times New Roman"/>
        </w:rPr>
      </w:pPr>
    </w:p>
    <w:p w14:paraId="13D1B6B7" w14:textId="77777777" w:rsidR="00DF3AFC" w:rsidRPr="00F94247" w:rsidRDefault="00DF3AFC" w:rsidP="0039610A">
      <w:pPr>
        <w:pStyle w:val="Textonotapie"/>
      </w:pPr>
    </w:p>
  </w:footnote>
  <w:footnote w:id="38">
    <w:p w14:paraId="6F5B42AD" w14:textId="349AC696" w:rsidR="00DF3AFC" w:rsidRPr="00C22306" w:rsidRDefault="00DF3AFC" w:rsidP="004F0168">
      <w:pPr>
        <w:pStyle w:val="Textonotapie"/>
      </w:pPr>
      <w:r w:rsidRPr="00C22306">
        <w:rPr>
          <w:rStyle w:val="Refdenotaalpie"/>
          <w:rFonts w:asciiTheme="minorHAnsi" w:hAnsiTheme="minorHAnsi"/>
          <w:sz w:val="16"/>
          <w:szCs w:val="16"/>
        </w:rPr>
        <w:footnoteRef/>
      </w:r>
      <w:r w:rsidRPr="00C22306">
        <w:t xml:space="preserve"> Código de Leyes Constitucionales. Seis Editores. 2014. Pág. 37.</w:t>
      </w:r>
    </w:p>
  </w:footnote>
  <w:footnote w:id="39">
    <w:p w14:paraId="645A3735" w14:textId="30C12D34" w:rsidR="00DF3AFC" w:rsidRPr="00C22306" w:rsidRDefault="00DF3AFC" w:rsidP="004F0168">
      <w:pPr>
        <w:pStyle w:val="Textonotapie"/>
      </w:pPr>
      <w:r w:rsidRPr="00C22306">
        <w:rPr>
          <w:rStyle w:val="Refdenotaalpie"/>
          <w:rFonts w:asciiTheme="minorHAnsi" w:hAnsiTheme="minorHAnsi"/>
          <w:sz w:val="16"/>
          <w:szCs w:val="16"/>
        </w:rPr>
        <w:footnoteRef/>
      </w:r>
      <w:r w:rsidRPr="00C22306">
        <w:t xml:space="preserve"> González, Geraldino. R.D. Convenios Internacionales y Medio Ambiente. Editora el Nuevo Diario, 2002. Pág. 39</w:t>
      </w:r>
    </w:p>
  </w:footnote>
  <w:footnote w:id="40">
    <w:p w14:paraId="7404D7EC" w14:textId="77777777" w:rsidR="00DF3AFC" w:rsidRPr="00C22306" w:rsidRDefault="00DF3AFC" w:rsidP="004F0168">
      <w:pPr>
        <w:pStyle w:val="Textonotapie"/>
      </w:pPr>
      <w:r w:rsidRPr="00C22306">
        <w:rPr>
          <w:rStyle w:val="Refdenotaalpie"/>
          <w:rFonts w:asciiTheme="minorHAnsi" w:hAnsiTheme="minorHAnsi"/>
          <w:sz w:val="16"/>
          <w:szCs w:val="16"/>
        </w:rPr>
        <w:footnoteRef/>
      </w:r>
      <w:r w:rsidRPr="00C22306">
        <w:t xml:space="preserve"> Valenzuela, Dra. Yocasta. Los Convenios Internacionales del Medio Ambiente. Extraído el 12 de agosto del 2014 de http://es.slideshare.net/enjportal/enj200-convenios-internacionales-del-medio-ambiente-dra-yocasta-valenzuela</w:t>
      </w:r>
    </w:p>
  </w:footnote>
  <w:footnote w:id="41">
    <w:p w14:paraId="28167608" w14:textId="655742F2" w:rsidR="00DF3AFC" w:rsidRPr="00C22306" w:rsidRDefault="00DF3AFC" w:rsidP="004F0168">
      <w:pPr>
        <w:pStyle w:val="Textonotapie"/>
      </w:pPr>
      <w:r w:rsidRPr="00C22306">
        <w:rPr>
          <w:rStyle w:val="Refdenotaalpie"/>
          <w:rFonts w:asciiTheme="minorHAnsi" w:hAnsiTheme="minorHAnsi"/>
          <w:sz w:val="16"/>
          <w:szCs w:val="16"/>
        </w:rPr>
        <w:footnoteRef/>
      </w:r>
      <w:r w:rsidRPr="00C22306">
        <w:t xml:space="preserve"> Gonz</w:t>
      </w:r>
      <w:r>
        <w:t>á</w:t>
      </w:r>
      <w:r w:rsidRPr="00C22306">
        <w:t>lez, Geraldino. R.D. Convenios Internacionales y Medio Ambiente. Editora el Nuevo Diario, 2002. Pág. 61</w:t>
      </w:r>
    </w:p>
  </w:footnote>
  <w:footnote w:id="42">
    <w:p w14:paraId="00BAE0DC" w14:textId="77777777" w:rsidR="00DF3AFC" w:rsidRPr="00C22306" w:rsidRDefault="00DF3AFC" w:rsidP="004F0168">
      <w:pPr>
        <w:pStyle w:val="Textonotapie"/>
      </w:pPr>
      <w:r w:rsidRPr="00C22306">
        <w:rPr>
          <w:rStyle w:val="Refdenotaalpie"/>
          <w:rFonts w:asciiTheme="minorHAnsi" w:hAnsiTheme="minorHAnsi"/>
          <w:sz w:val="16"/>
          <w:szCs w:val="16"/>
        </w:rPr>
        <w:footnoteRef/>
      </w:r>
      <w:r w:rsidRPr="00C22306">
        <w:t xml:space="preserve"> Valenzuela, Dra. Yocasta. Los Convenios Internacionales del Medio Ambiente. Extraído el 12 de agosto del 2014 de http://es.slideshare.net/enjportal/enj200-convenios-internacionales-del-medio-ambiente-dra-yocasta-valenzuela</w:t>
      </w:r>
    </w:p>
  </w:footnote>
  <w:footnote w:id="43">
    <w:p w14:paraId="1C510422" w14:textId="61D773DD" w:rsidR="00DF3AFC" w:rsidRDefault="00DF3AFC" w:rsidP="004F0168">
      <w:pPr>
        <w:pStyle w:val="Textonotapie"/>
      </w:pPr>
      <w:r w:rsidRPr="00C22306">
        <w:rPr>
          <w:rStyle w:val="Refdenotaalpie"/>
          <w:rFonts w:asciiTheme="minorHAnsi" w:hAnsiTheme="minorHAnsi"/>
          <w:sz w:val="16"/>
          <w:szCs w:val="16"/>
        </w:rPr>
        <w:footnoteRef/>
      </w:r>
      <w:r w:rsidRPr="00C22306">
        <w:t xml:space="preserve"> Valenzuela, Dra. Yocasta. Los Convenios Internacionales del Medio Ambiente. Extraído el 12 de agosto del 2014 de </w:t>
      </w:r>
      <w:hyperlink r:id="rId1" w:history="1">
        <w:r w:rsidRPr="00767AC9">
          <w:rPr>
            <w:rStyle w:val="Hipervnculo"/>
            <w:lang w:val="es-ES_tradnl"/>
          </w:rPr>
          <w:t>http://es.slideshare.net/enjportal/enj200-convenios-internacionales-del-medio-ambiente-dra-yocasta-valenzuela</w:t>
        </w:r>
      </w:hyperlink>
    </w:p>
    <w:p w14:paraId="099D7C2C" w14:textId="77777777" w:rsidR="00DF3AFC" w:rsidRPr="00C22306" w:rsidRDefault="00DF3AFC" w:rsidP="004F0168">
      <w:pPr>
        <w:pStyle w:val="Textonotapie"/>
      </w:pPr>
    </w:p>
  </w:footnote>
  <w:footnote w:id="44">
    <w:p w14:paraId="6B184645" w14:textId="77777777" w:rsidR="00DF3AFC" w:rsidRPr="00C22306" w:rsidRDefault="00DF3AFC" w:rsidP="004F0168">
      <w:pPr>
        <w:pStyle w:val="Textonotapie"/>
      </w:pPr>
      <w:r w:rsidRPr="00C22306">
        <w:rPr>
          <w:rStyle w:val="Refdenotaalpie"/>
          <w:rFonts w:asciiTheme="minorHAnsi" w:hAnsiTheme="minorHAnsi"/>
          <w:sz w:val="16"/>
          <w:szCs w:val="16"/>
        </w:rPr>
        <w:footnoteRef/>
      </w:r>
      <w:r w:rsidRPr="00C22306">
        <w:t xml:space="preserve"> Resolución 233 de Convención de la UNESCO sobre la protección del patrimonio mundial, cultura y natural. Extraído el 12 de agosto del 20014 de http://enlacecongreso.mirex.gov.do/ecc/Lists/Instrumentos%20Internacionales/Attachments/2280/CONVENCION%20PARA%20LA%20PROTECCION%20DEL%20PATRIMONIO%20MUNDIAL%20CULTURAL%20Y%20NATURAL%20DE%20LA%20UNESCO.pdf</w:t>
      </w:r>
    </w:p>
  </w:footnote>
  <w:footnote w:id="45">
    <w:p w14:paraId="1D4CBA12" w14:textId="7DEFED04" w:rsidR="00DF3AFC" w:rsidRPr="00C22306" w:rsidRDefault="00DF3AFC" w:rsidP="004F0168">
      <w:pPr>
        <w:pStyle w:val="Textonotapie"/>
      </w:pPr>
      <w:r w:rsidRPr="00C22306">
        <w:rPr>
          <w:rStyle w:val="Refdenotaalpie"/>
          <w:rFonts w:asciiTheme="minorHAnsi" w:hAnsiTheme="minorHAnsi"/>
          <w:sz w:val="16"/>
          <w:szCs w:val="16"/>
        </w:rPr>
        <w:footnoteRef/>
      </w:r>
      <w:r w:rsidRPr="00C22306">
        <w:t xml:space="preserve"> Código de Leyes Constitucionales. Seis Editores. 2014. Pág. 18.</w:t>
      </w:r>
    </w:p>
  </w:footnote>
  <w:footnote w:id="46">
    <w:p w14:paraId="238AFD1D" w14:textId="77777777" w:rsidR="00DF3AFC" w:rsidRPr="00C22306" w:rsidRDefault="00DF3AFC" w:rsidP="004F0168">
      <w:pPr>
        <w:pStyle w:val="Textonotapie"/>
      </w:pPr>
      <w:r w:rsidRPr="00C22306">
        <w:rPr>
          <w:rStyle w:val="Refdenotaalpie"/>
          <w:rFonts w:asciiTheme="minorHAnsi" w:hAnsiTheme="minorHAnsi"/>
          <w:color w:val="000000"/>
          <w:sz w:val="16"/>
          <w:szCs w:val="16"/>
        </w:rPr>
        <w:footnoteRef/>
      </w:r>
      <w:r w:rsidRPr="00C22306">
        <w:t xml:space="preserve"> Secretaria de Estado de Medio Ambiente y Recursos Naturales. Programa de las Naciones Unidas para el Desarrollo. Extraído el 12 de agosto del 2014 de http://www.ambiente.gob.do/cms/archivos/tematico/cop/PDF/Inventario%20Marco%20Politico,Legal%20e%20Institucional.pdf.</w:t>
      </w:r>
    </w:p>
  </w:footnote>
  <w:footnote w:id="47">
    <w:p w14:paraId="261CFA55" w14:textId="77777777" w:rsidR="00DF3AFC" w:rsidRPr="00C22306" w:rsidRDefault="00DF3AFC" w:rsidP="006E3ABB">
      <w:pPr>
        <w:pStyle w:val="Textonotapie"/>
      </w:pPr>
      <w:r w:rsidRPr="00C22306">
        <w:rPr>
          <w:rStyle w:val="Refdenotaalpie"/>
          <w:rFonts w:asciiTheme="minorHAnsi" w:hAnsiTheme="minorHAnsi"/>
          <w:sz w:val="16"/>
          <w:szCs w:val="16"/>
        </w:rPr>
        <w:footnoteRef/>
      </w:r>
      <w:r w:rsidRPr="00C22306">
        <w:t xml:space="preserve"> Organización de las Naciones Unidas para la Educación de la Ciencia y Cultura. Los Estados Partes para la Convención para la Salvaguardia  del Patrimonio Cultural Inmaterial (2003). Extraído en fecha 12 de agosto del 2014 de </w:t>
      </w:r>
      <w:hyperlink r:id="rId2" w:history="1">
        <w:r w:rsidRPr="00C22306">
          <w:rPr>
            <w:rStyle w:val="Hipervnculo"/>
            <w:lang w:val="es-MX"/>
          </w:rPr>
          <w:t>http://www.unesco.org/eri/la/convention.asp?KO=17116&amp;language=S&amp;order=alpha</w:t>
        </w:r>
      </w:hyperlink>
    </w:p>
  </w:footnote>
  <w:footnote w:id="48">
    <w:p w14:paraId="40BC5C94" w14:textId="77777777" w:rsidR="00DF3AFC" w:rsidRPr="00C22306" w:rsidRDefault="00DF3AFC" w:rsidP="006E3ABB">
      <w:pPr>
        <w:pStyle w:val="Textonotapie"/>
      </w:pPr>
      <w:r w:rsidRPr="00C22306">
        <w:rPr>
          <w:rStyle w:val="Refdenotaalpie"/>
          <w:rFonts w:asciiTheme="minorHAnsi" w:hAnsiTheme="minorHAnsi"/>
          <w:sz w:val="16"/>
          <w:szCs w:val="16"/>
        </w:rPr>
        <w:footnoteRef/>
      </w:r>
      <w:r w:rsidRPr="00C22306">
        <w:t xml:space="preserve"> Res. No. 309-06 que aprueba  Cultural Inmaterial, suscrita con la UNESCO el 17 de octubre de 2003.  Convención para Salvaguardia del Patrimonio. Extraído el 12 de agosto del 2014 de http://enlacecongreso.mirex.gov.do/ecc/Lists/Instrumentos%20Internacionales/Attachments/54/Res.%20309-06%20Convenci%C3%B3n%20para%20la%20Salvaguardia%20del%20Patrimonio%20Cultural%20Inmaterial,%20UNESCO%20171003.pdf</w:t>
      </w:r>
    </w:p>
  </w:footnote>
  <w:footnote w:id="49">
    <w:p w14:paraId="15388178" w14:textId="77777777" w:rsidR="00DF3AFC" w:rsidRPr="00C22306" w:rsidRDefault="00DF3AFC" w:rsidP="006E3ABB">
      <w:pPr>
        <w:pStyle w:val="Textonotapie"/>
      </w:pPr>
      <w:r w:rsidRPr="00C22306">
        <w:rPr>
          <w:rStyle w:val="Refdenotaalpie"/>
          <w:rFonts w:asciiTheme="minorHAnsi" w:hAnsiTheme="minorHAnsi"/>
          <w:sz w:val="16"/>
          <w:szCs w:val="16"/>
        </w:rPr>
        <w:footnoteRef/>
      </w:r>
      <w:r w:rsidRPr="00C22306">
        <w:t xml:space="preserve"> Código de Leyes Constitucionales. Seis Editores. 2014. Pág. 15</w:t>
      </w:r>
    </w:p>
  </w:footnote>
  <w:footnote w:id="50">
    <w:p w14:paraId="33CB9B0E" w14:textId="7864BD71" w:rsidR="00DF3AFC" w:rsidRPr="00C22306" w:rsidRDefault="00DF3AFC" w:rsidP="006E3ABB">
      <w:pPr>
        <w:pStyle w:val="Textonotapie"/>
      </w:pPr>
      <w:r w:rsidRPr="00C22306">
        <w:rPr>
          <w:rStyle w:val="Refdenotaalpie"/>
          <w:rFonts w:asciiTheme="minorHAnsi" w:hAnsiTheme="minorHAnsi"/>
          <w:sz w:val="16"/>
          <w:szCs w:val="16"/>
        </w:rPr>
        <w:footnoteRef/>
      </w:r>
      <w:r w:rsidRPr="00C22306">
        <w:t xml:space="preserve"> González, Geraldino. R.D. Convenios Internacionales y Medio Ambiente. Editora el Nuevo Diario, 2002. Pág. 77</w:t>
      </w:r>
    </w:p>
  </w:footnote>
  <w:footnote w:id="51">
    <w:p w14:paraId="25084659" w14:textId="77777777" w:rsidR="00DF3AFC" w:rsidRPr="00C22306" w:rsidRDefault="00DF3AFC" w:rsidP="006E3ABB">
      <w:pPr>
        <w:pStyle w:val="Textonotapie"/>
      </w:pPr>
      <w:r w:rsidRPr="00C22306">
        <w:rPr>
          <w:rStyle w:val="Refdenotaalpie"/>
          <w:rFonts w:asciiTheme="minorHAnsi" w:hAnsiTheme="minorHAnsi"/>
          <w:sz w:val="16"/>
          <w:szCs w:val="16"/>
        </w:rPr>
        <w:footnoteRef/>
      </w:r>
      <w:r w:rsidRPr="00C22306">
        <w:t xml:space="preserve"> Valenzuela, Dra. Yocasta. Los Convenios Internacionales del Medio Ambiente. Extraído el 12 de agosto del 2014 de http://es.slideshare.net/enjportal/enj200-convenios-internacionales-del-medio-ambiente-dra-yocasta-valenzuela</w:t>
      </w:r>
    </w:p>
  </w:footnote>
  <w:footnote w:id="52">
    <w:p w14:paraId="497F8B24" w14:textId="77777777" w:rsidR="00DF3AFC" w:rsidRPr="00C22306" w:rsidRDefault="00DF3AFC" w:rsidP="006E3ABB">
      <w:pPr>
        <w:pStyle w:val="Textonotapie"/>
      </w:pPr>
      <w:r w:rsidRPr="00C22306">
        <w:rPr>
          <w:rStyle w:val="Refdenotaalpie"/>
          <w:rFonts w:asciiTheme="minorHAnsi" w:hAnsiTheme="minorHAnsi"/>
          <w:sz w:val="16"/>
          <w:szCs w:val="16"/>
        </w:rPr>
        <w:footnoteRef/>
      </w:r>
      <w:r w:rsidRPr="00C22306">
        <w:t xml:space="preserve"> Convención sobre la Protección y Promoción de la Diversidad de las Expresiones Culturales. Extraído el 12 de agosto del 2014 de http://enlacecongreso.mirex.gov.do/ecc/Lists/Instrumentos%20Internacionales/DispForm.aspx?ID=13</w:t>
      </w:r>
    </w:p>
  </w:footnote>
  <w:footnote w:id="53">
    <w:p w14:paraId="3D09B081" w14:textId="77777777" w:rsidR="00DF3AFC" w:rsidRPr="00C22306" w:rsidRDefault="00DF3AFC" w:rsidP="006E3ABB">
      <w:pPr>
        <w:pStyle w:val="Textonotapie"/>
      </w:pPr>
      <w:r w:rsidRPr="00C22306">
        <w:rPr>
          <w:rStyle w:val="Refdenotaalpie"/>
          <w:rFonts w:asciiTheme="minorHAnsi" w:hAnsiTheme="minorHAnsi"/>
          <w:sz w:val="16"/>
          <w:szCs w:val="16"/>
        </w:rPr>
        <w:footnoteRef/>
      </w:r>
      <w:r w:rsidRPr="00C22306">
        <w:t>Convenios Internacionales. Extraído en fecha 12 de agosto del 2014 de http://www.idiaf.gov.do/publicaciones/Publications/dominicana.rrffgg.idiaf/HTML/files/assets/basic-html/page57.html.</w:t>
      </w:r>
    </w:p>
  </w:footnote>
  <w:footnote w:id="54">
    <w:p w14:paraId="37C52931" w14:textId="77777777" w:rsidR="00DF3AFC" w:rsidRPr="00C22306" w:rsidRDefault="00DF3AFC" w:rsidP="006E3ABB">
      <w:pPr>
        <w:pStyle w:val="Textonotapie"/>
      </w:pPr>
      <w:r w:rsidRPr="00C22306">
        <w:rPr>
          <w:rStyle w:val="Refdenotaalpie"/>
          <w:rFonts w:asciiTheme="minorHAnsi" w:hAnsiTheme="minorHAnsi"/>
          <w:sz w:val="16"/>
          <w:szCs w:val="16"/>
        </w:rPr>
        <w:footnoteRef/>
      </w:r>
      <w:r w:rsidRPr="00C22306">
        <w:t xml:space="preserve"> Convenio Sobre la Diversidad Biológica y su Protocolo de Cartagena sobre Seguridad de Biotecnología. Dominicana de Impresos y Publicidad, Diciembre 2000. Pág. 3-4.</w:t>
      </w:r>
    </w:p>
  </w:footnote>
  <w:footnote w:id="55">
    <w:p w14:paraId="21CA1EF6" w14:textId="4BC49628" w:rsidR="00DF3AFC" w:rsidRPr="00C22306" w:rsidRDefault="00DF3AFC" w:rsidP="006E3ABB">
      <w:pPr>
        <w:pStyle w:val="Textonotapie"/>
      </w:pPr>
      <w:r w:rsidRPr="00C22306">
        <w:rPr>
          <w:rStyle w:val="Refdenotaalpie"/>
          <w:rFonts w:asciiTheme="minorHAnsi" w:hAnsiTheme="minorHAnsi"/>
          <w:sz w:val="16"/>
          <w:szCs w:val="16"/>
        </w:rPr>
        <w:footnoteRef/>
      </w:r>
      <w:r w:rsidRPr="00C22306">
        <w:t xml:space="preserve"> No es jurídicamente vinculante</w:t>
      </w:r>
    </w:p>
  </w:footnote>
  <w:footnote w:id="56">
    <w:p w14:paraId="621274E5" w14:textId="77777777" w:rsidR="00DF3AFC" w:rsidRPr="00C22306" w:rsidRDefault="00DF3AFC" w:rsidP="006E3ABB">
      <w:pPr>
        <w:pStyle w:val="Textonotapie"/>
      </w:pPr>
      <w:r w:rsidRPr="00C22306">
        <w:rPr>
          <w:rStyle w:val="Refdenotaalpie"/>
          <w:rFonts w:asciiTheme="minorHAnsi" w:hAnsiTheme="minorHAnsi"/>
          <w:sz w:val="16"/>
          <w:szCs w:val="16"/>
        </w:rPr>
        <w:footnoteRef/>
      </w:r>
      <w:r w:rsidRPr="00C22306">
        <w:t xml:space="preserve"> Derechos Humanos. Declaración Universal de los Derechos Humanos. Extraído el 12 de agosto del 2014 de http://www.derechoshumanos.net/normativa/normas/1948-DeclaracionUniversal.htm</w:t>
      </w:r>
    </w:p>
  </w:footnote>
  <w:footnote w:id="57">
    <w:p w14:paraId="791B5180" w14:textId="4FC14AFB" w:rsidR="00DF3AFC" w:rsidRPr="00C22306" w:rsidRDefault="00DF3AFC" w:rsidP="0039610A">
      <w:pPr>
        <w:pStyle w:val="Textonotapie"/>
      </w:pPr>
      <w:r w:rsidRPr="00C22306">
        <w:rPr>
          <w:rStyle w:val="Refdenotaalpie"/>
          <w:rFonts w:asciiTheme="minorHAnsi" w:hAnsiTheme="minorHAnsi" w:cstheme="minorHAnsi"/>
          <w:sz w:val="16"/>
          <w:szCs w:val="16"/>
        </w:rPr>
        <w:footnoteRef/>
      </w:r>
      <w:r w:rsidRPr="00C22306">
        <w:t xml:space="preserve"> No es jurídicamente vinculante</w:t>
      </w:r>
    </w:p>
  </w:footnote>
  <w:footnote w:id="58">
    <w:p w14:paraId="28129350" w14:textId="77777777" w:rsidR="00DF3AFC" w:rsidRPr="00C22306" w:rsidRDefault="00DF3AFC" w:rsidP="006E3ABB">
      <w:pPr>
        <w:pStyle w:val="Textonotapie"/>
      </w:pPr>
      <w:r w:rsidRPr="00C22306">
        <w:rPr>
          <w:rStyle w:val="Refdenotaalpie"/>
          <w:rFonts w:asciiTheme="minorHAnsi" w:hAnsiTheme="minorHAnsi"/>
          <w:sz w:val="16"/>
          <w:szCs w:val="16"/>
        </w:rPr>
        <w:footnoteRef/>
      </w:r>
      <w:r w:rsidRPr="00C22306">
        <w:t xml:space="preserve"> Pacto Internacional de Derechos Económicos, Sociales y Culturales. Extraído el 12 de agosto del 2014 de http://enlacecongreso.mirex.gov.do/ecc/Lists/Instrumentos%20Internacionales/Attachments/2350/PACTO%20INTERNACIONAL%20DE%20DERECHOS%20ECONOMICOS%20SOCIALES%20Y%20CULTURALES.pdf</w:t>
      </w:r>
    </w:p>
  </w:footnote>
  <w:footnote w:id="59">
    <w:p w14:paraId="6BAA289F" w14:textId="77777777" w:rsidR="00DF3AFC" w:rsidRPr="00C22306" w:rsidRDefault="00DF3AFC" w:rsidP="006E3ABB">
      <w:pPr>
        <w:pStyle w:val="Textonotapie"/>
      </w:pPr>
      <w:r w:rsidRPr="00C22306">
        <w:rPr>
          <w:rStyle w:val="Refdenotaalpie"/>
          <w:rFonts w:asciiTheme="minorHAnsi" w:hAnsiTheme="minorHAnsi"/>
          <w:sz w:val="16"/>
          <w:szCs w:val="16"/>
        </w:rPr>
        <w:footnoteRef/>
      </w:r>
      <w:r w:rsidRPr="00C22306">
        <w:t xml:space="preserve"> Comisión Interamericana de Derechos Humanos. Ratificación de instrumentos interamericanos de derechos humanos por parte de República Dominicana. Extraído en fecha 11 de agosto del 2014 de </w:t>
      </w:r>
      <w:hyperlink r:id="rId3" w:history="1">
        <w:r w:rsidRPr="00C22306">
          <w:rPr>
            <w:rStyle w:val="Hipervnculo"/>
            <w:lang w:val="es-MX"/>
          </w:rPr>
          <w:t>http://www.oas.org/es/cidh/actividades/visitas/2013-repdom/Ratificacion-Rep-Dom.pdf</w:t>
        </w:r>
      </w:hyperlink>
    </w:p>
  </w:footnote>
  <w:footnote w:id="60">
    <w:p w14:paraId="79E53D51" w14:textId="77777777" w:rsidR="00DF3AFC" w:rsidRPr="00C22306" w:rsidRDefault="00DF3AFC" w:rsidP="006E3ABB">
      <w:pPr>
        <w:pStyle w:val="Textonotapie"/>
      </w:pPr>
      <w:r w:rsidRPr="00C22306">
        <w:rPr>
          <w:rStyle w:val="Refdenotaalpie"/>
          <w:rFonts w:asciiTheme="minorHAnsi" w:hAnsiTheme="minorHAnsi"/>
          <w:sz w:val="16"/>
          <w:szCs w:val="16"/>
        </w:rPr>
        <w:footnoteRef/>
      </w:r>
      <w:r w:rsidRPr="00C22306">
        <w:t xml:space="preserve"> Sánchez Peña, Ramón Ovidio. Perfil Temático de la Biodiversidad en República Dominicana. Pág. 18.  Extraído en fecha 11 de agosto del 2014 de http://www.ambiente.gob.do/cms/archivos/proyectos/ncsa/2-2_Perfil_Tematico_Biodiversidad_RD.pdf</w:t>
      </w:r>
    </w:p>
  </w:footnote>
  <w:footnote w:id="61">
    <w:p w14:paraId="6A6E3972" w14:textId="77777777" w:rsidR="00DF3AFC" w:rsidRPr="00C22306" w:rsidRDefault="00DF3AFC" w:rsidP="006E3ABB">
      <w:pPr>
        <w:pStyle w:val="Textonotapie"/>
      </w:pPr>
      <w:r w:rsidRPr="00C22306">
        <w:rPr>
          <w:rStyle w:val="Refdenotaalpie"/>
          <w:rFonts w:asciiTheme="minorHAnsi" w:hAnsiTheme="minorHAnsi"/>
          <w:sz w:val="16"/>
          <w:szCs w:val="16"/>
        </w:rPr>
        <w:footnoteRef/>
      </w:r>
      <w:r w:rsidRPr="00C22306">
        <w:t xml:space="preserve"> Valenzuela, Dra. Yocasta. Los Convenios Internacionales del Medio Ambiente. Extraído el 12 de agosto del 2014 de http://es.slideshare.net/enjportal/enj200-convenios-internacionales-del-medio-ambiente-dra-yocasta-valenzuela</w:t>
      </w:r>
    </w:p>
  </w:footnote>
  <w:footnote w:id="62">
    <w:p w14:paraId="219EAF58" w14:textId="77777777" w:rsidR="00DF3AFC" w:rsidRPr="00C22306" w:rsidRDefault="00DF3AFC" w:rsidP="006E3ABB">
      <w:pPr>
        <w:pStyle w:val="Textonotapie"/>
      </w:pPr>
      <w:r w:rsidRPr="00C22306">
        <w:rPr>
          <w:rStyle w:val="Refdenotaalpie"/>
          <w:rFonts w:asciiTheme="minorHAnsi" w:hAnsiTheme="minorHAnsi"/>
          <w:sz w:val="16"/>
          <w:szCs w:val="16"/>
        </w:rPr>
        <w:footnoteRef/>
      </w:r>
      <w:r w:rsidRPr="00C22306">
        <w:t xml:space="preserve"> Diccionario Enciclopédico Dominicano de Medio Ambiente. Protocolo de Kioto. Extraído en fecha 12 de agosto del 2014 de http://www.dominicanaonline.org/diccionariomedioambiente/es/definicionVer.asp?id=667.</w:t>
      </w:r>
    </w:p>
  </w:footnote>
  <w:footnote w:id="63">
    <w:p w14:paraId="5FB99025" w14:textId="77777777" w:rsidR="00DF3AFC" w:rsidRPr="00F8467D" w:rsidRDefault="00DF3AFC" w:rsidP="006E3ABB">
      <w:pPr>
        <w:pStyle w:val="Textonotapie"/>
      </w:pPr>
      <w:r w:rsidRPr="00C22306">
        <w:rPr>
          <w:rStyle w:val="Refdenotaalpie"/>
          <w:rFonts w:asciiTheme="minorHAnsi" w:hAnsiTheme="minorHAnsi"/>
          <w:sz w:val="16"/>
          <w:szCs w:val="16"/>
        </w:rPr>
        <w:footnoteRef/>
      </w:r>
      <w:r w:rsidRPr="00C22306">
        <w:t xml:space="preserve"> Valenzuela, Dra. Yocasta. Los Convenios Internacionales del Medio Ambiente. Extraído el 12 de agosto del 2014 de http://es.slideshare.net/enjportal/enj200-convenios-internacionales-del-medio-ambiente-dra-yocasta-valenzuela</w:t>
      </w:r>
    </w:p>
  </w:footnote>
  <w:footnote w:id="64">
    <w:p w14:paraId="6CDBB8BA" w14:textId="77777777" w:rsidR="00DF3AFC" w:rsidRPr="00F8467D" w:rsidRDefault="00DF3AFC" w:rsidP="006E3ABB">
      <w:pPr>
        <w:pStyle w:val="Textonotapie"/>
      </w:pPr>
      <w:r w:rsidRPr="00F8467D">
        <w:rPr>
          <w:rStyle w:val="Refdenotaalpie"/>
          <w:sz w:val="16"/>
          <w:szCs w:val="16"/>
        </w:rPr>
        <w:footnoteRef/>
      </w:r>
      <w:r w:rsidRPr="00F8467D">
        <w:t xml:space="preserve"> Convenios Internacionales. Extraído en fecha 12 de agosto del 2014 de http://www.idiaf.gov.do/publicaciones/Publications/dominicana.rrffgg.idiaf/HTML/files/assets/basic-html/page57.html</w:t>
      </w:r>
    </w:p>
  </w:footnote>
  <w:footnote w:id="65">
    <w:p w14:paraId="66CE0746" w14:textId="61F4937A" w:rsidR="00DF3AFC" w:rsidRPr="00082571" w:rsidRDefault="00DF3AFC" w:rsidP="00397510">
      <w:pPr>
        <w:pStyle w:val="TtuloTDC"/>
        <w:numPr>
          <w:ilvl w:val="0"/>
          <w:numId w:val="0"/>
        </w:numPr>
        <w:spacing w:before="120" w:line="240" w:lineRule="auto"/>
      </w:pPr>
      <w:r>
        <w:rPr>
          <w:rStyle w:val="Refdenotaalpie"/>
        </w:rPr>
        <w:footnoteRef/>
      </w:r>
      <w:r>
        <w:t xml:space="preserve"> </w:t>
      </w:r>
      <w:r w:rsidRPr="00F163C3">
        <w:rPr>
          <w:b w:val="0"/>
          <w:sz w:val="16"/>
          <w:szCs w:val="16"/>
          <w:lang w:val="es-ES"/>
        </w:rPr>
        <w:t xml:space="preserve">Ver: Anexo 2. MPRI. </w:t>
      </w:r>
      <w:r w:rsidRPr="00F163C3">
        <w:rPr>
          <w:b w:val="0"/>
          <w:sz w:val="16"/>
          <w:szCs w:val="16"/>
        </w:rPr>
        <w:t>4.3. Análisis de brechas o vacíos entre el marco legal e institucional del país y la Política Operacional 4.12 del Banco Mundial</w:t>
      </w:r>
    </w:p>
    <w:p w14:paraId="0FCC7FA1" w14:textId="7AB4710B" w:rsidR="00DF3AFC" w:rsidRPr="00F163C3" w:rsidRDefault="00DF3AFC">
      <w:pPr>
        <w:pStyle w:val="Textonotapie"/>
        <w:rPr>
          <w:lang w:val="es-ES"/>
        </w:rPr>
      </w:pPr>
    </w:p>
  </w:footnote>
  <w:footnote w:id="66">
    <w:p w14:paraId="7F396E2B" w14:textId="77777777" w:rsidR="00DF3AFC" w:rsidRPr="001E165D" w:rsidRDefault="00DF3AFC" w:rsidP="0039610A">
      <w:pPr>
        <w:pStyle w:val="Textonotapie"/>
        <w:rPr>
          <w:lang w:val="es-GT"/>
        </w:rPr>
      </w:pPr>
      <w:r w:rsidRPr="003148D2">
        <w:rPr>
          <w:rStyle w:val="Refdenotaalpie"/>
          <w:rFonts w:asciiTheme="minorHAnsi" w:hAnsiTheme="minorHAnsi"/>
          <w:sz w:val="16"/>
          <w:szCs w:val="16"/>
        </w:rPr>
        <w:footnoteRef/>
      </w:r>
      <w:r w:rsidRPr="001E165D">
        <w:rPr>
          <w:lang w:val="es-GT"/>
        </w:rPr>
        <w:t xml:space="preserve"> ESF Banco Mundial, pagina 3.</w:t>
      </w:r>
    </w:p>
  </w:footnote>
  <w:footnote w:id="67">
    <w:p w14:paraId="4BECDD9E" w14:textId="4C190462" w:rsidR="00DF3AFC" w:rsidRPr="00C24819" w:rsidRDefault="00DF3AFC">
      <w:pPr>
        <w:pStyle w:val="Textonotapie"/>
        <w:rPr>
          <w:lang w:val="es-ES"/>
        </w:rPr>
      </w:pPr>
      <w:r>
        <w:rPr>
          <w:rStyle w:val="Refdenotaalpie"/>
        </w:rPr>
        <w:footnoteRef/>
      </w:r>
      <w:r>
        <w:t xml:space="preserve"> </w:t>
      </w:r>
      <w:r w:rsidRPr="00C24819">
        <w:rPr>
          <w:lang w:val="es-ES"/>
        </w:rPr>
        <w:t>Se considera significativ</w:t>
      </w:r>
      <w:r>
        <w:rPr>
          <w:lang w:val="es-ES"/>
        </w:rPr>
        <w:t>a a</w:t>
      </w:r>
      <w:r w:rsidRPr="00C24819">
        <w:rPr>
          <w:lang w:val="es-ES"/>
        </w:rPr>
        <w:t xml:space="preserve"> m</w:t>
      </w:r>
      <w:r>
        <w:rPr>
          <w:lang w:val="es-ES"/>
        </w:rPr>
        <w:t>á</w:t>
      </w:r>
      <w:r w:rsidRPr="00C24819">
        <w:rPr>
          <w:lang w:val="es-ES"/>
        </w:rPr>
        <w:t xml:space="preserve">s de 200 </w:t>
      </w:r>
      <w:r>
        <w:rPr>
          <w:lang w:val="es-ES"/>
        </w:rPr>
        <w:t>casos de adquisición involuntaria</w:t>
      </w:r>
    </w:p>
  </w:footnote>
  <w:footnote w:id="68">
    <w:p w14:paraId="4F023C64" w14:textId="07CA219B" w:rsidR="00DF3AFC" w:rsidRPr="00385CFE" w:rsidRDefault="00DF3AFC" w:rsidP="0039610A">
      <w:pPr>
        <w:pStyle w:val="Textonotapie"/>
        <w:rPr>
          <w:lang w:val="es-DO"/>
        </w:rPr>
      </w:pPr>
      <w:r w:rsidRPr="00385CFE">
        <w:rPr>
          <w:rStyle w:val="Refdenotaalpie"/>
          <w:rFonts w:asciiTheme="minorHAnsi" w:hAnsiTheme="minorHAnsi"/>
          <w:sz w:val="16"/>
          <w:szCs w:val="16"/>
        </w:rPr>
        <w:footnoteRef/>
      </w:r>
      <w:r w:rsidRPr="00385CFE">
        <w:rPr>
          <w:lang w:val="es-DO"/>
        </w:rPr>
        <w:t xml:space="preserve"> </w:t>
      </w:r>
      <w:r w:rsidRPr="00385CFE">
        <w:t>Entre las situaciones que se consideran como impactos negativos significativos sobre poblaciones vulnerables y que por lo tanto implican la "no elegibilidad", se encuentran las siguientes: a) disrupciones culturales significativas que afecten de manera grave prácticas y modos de vida, tales como el desplazamiento físico de estas poblaciones vulnerables sin su consentimiento previo, libre e informado y sin que se beneficien de manera justa y equitativa de</w:t>
      </w:r>
      <w:r>
        <w:t xml:space="preserve"> la actividad</w:t>
      </w:r>
      <w:r w:rsidRPr="00385CFE">
        <w:t>; b) impactos sobre tierras de uso común y recursos naturales de uso tradicional afectando irreversiblemente los medios de subsistencia de las poblaciones vulnerables, y c) afectaciones severas y/o irreversibles sobre recursos y prácticas culturales.  </w:t>
      </w:r>
    </w:p>
  </w:footnote>
  <w:footnote w:id="69">
    <w:p w14:paraId="23D3A94A" w14:textId="77777777" w:rsidR="00DF3AFC" w:rsidRDefault="00DF3AFC" w:rsidP="00947670">
      <w:pPr>
        <w:pStyle w:val="m-3461190846226000828msofootnotetext"/>
        <w:shd w:val="clear" w:color="auto" w:fill="FFFFFF"/>
        <w:spacing w:before="0" w:beforeAutospacing="0" w:after="0" w:afterAutospacing="0"/>
        <w:ind w:left="709"/>
        <w:jc w:val="both"/>
        <w:rPr>
          <w:rFonts w:ascii="Arial" w:hAnsi="Arial" w:cs="Arial"/>
          <w:color w:val="222222"/>
          <w:sz w:val="18"/>
          <w:szCs w:val="18"/>
        </w:rPr>
      </w:pPr>
      <w:r>
        <w:rPr>
          <w:rStyle w:val="Refdenotaalpie"/>
        </w:rPr>
        <w:footnoteRef/>
      </w:r>
      <w:r w:rsidRPr="00AE170F">
        <w:rPr>
          <w:lang w:val="es-DO"/>
        </w:rPr>
        <w:t xml:space="preserve"> </w:t>
      </w:r>
      <w:hyperlink r:id="rId4" w:tgtFrame="_blank" w:history="1">
        <w:r>
          <w:rPr>
            <w:rStyle w:val="Hipervnculo"/>
            <w:rFonts w:cs="Arial"/>
            <w:color w:val="1155CC"/>
            <w:sz w:val="18"/>
            <w:szCs w:val="18"/>
            <w:lang w:val="es-ES_tradnl"/>
          </w:rPr>
          <w:t>http://apps.who.int/iris/bitstream/handle/10665/44271/9789241547963_eng.pdf?sequence=1&amp;isAllowed=y</w:t>
        </w:r>
      </w:hyperlink>
    </w:p>
    <w:p w14:paraId="0A123103" w14:textId="77777777" w:rsidR="00DF3AFC" w:rsidRPr="00AE170F" w:rsidRDefault="00DF3AFC" w:rsidP="0039610A">
      <w:pPr>
        <w:pStyle w:val="Textonotapie"/>
      </w:pPr>
    </w:p>
  </w:footnote>
  <w:footnote w:id="70">
    <w:p w14:paraId="76EEEB3F" w14:textId="77777777" w:rsidR="00DF3AFC" w:rsidRPr="00AE170F" w:rsidRDefault="00DF3AFC" w:rsidP="0039610A">
      <w:pPr>
        <w:pStyle w:val="Textonotapie"/>
      </w:pPr>
      <w:r>
        <w:rPr>
          <w:rStyle w:val="Refdenotaalpie"/>
        </w:rPr>
        <w:footnoteRef/>
      </w:r>
      <w:r w:rsidRPr="00AE170F">
        <w:t xml:space="preserve"> </w:t>
      </w:r>
      <w:hyperlink r:id="rId5" w:history="1">
        <w:r w:rsidRPr="00FB60DC">
          <w:rPr>
            <w:rStyle w:val="Hipervnculo"/>
            <w:lang w:val="es-DO"/>
          </w:rPr>
          <w:t>http://www.reddccadgiz.org/documentos/doc_1417514524.pdf</w:t>
        </w:r>
      </w:hyperlink>
      <w:r>
        <w:t xml:space="preserve"> </w:t>
      </w:r>
    </w:p>
  </w:footnote>
  <w:footnote w:id="71">
    <w:p w14:paraId="46C3C1B4" w14:textId="7ACC2B2A" w:rsidR="00DF3AFC" w:rsidRPr="00AE170F" w:rsidRDefault="00DF3AFC" w:rsidP="0039610A">
      <w:pPr>
        <w:pStyle w:val="Textonotapie"/>
      </w:pPr>
      <w:r w:rsidRPr="00CB4018">
        <w:rPr>
          <w:rStyle w:val="Refdenotaalpie"/>
        </w:rPr>
        <w:footnoteRef/>
      </w:r>
      <w:r w:rsidRPr="00CB4018">
        <w:t xml:space="preserve"> </w:t>
      </w:r>
      <w:r w:rsidRPr="00AE170F">
        <w:t xml:space="preserve">Manejo Forestal Sostenible, Reforestación, Sistemas agroforestales, Sistemas silvopastoriles, Regeneración natural de zonas degrades, , </w:t>
      </w:r>
      <w:r w:rsidRPr="0065598A">
        <w:t>Conservación de Bosque en Áreas Protegidas, con participacion comunitaria</w:t>
      </w:r>
    </w:p>
  </w:footnote>
  <w:footnote w:id="72">
    <w:p w14:paraId="795EA1FD" w14:textId="7B3CD2BF" w:rsidR="00DF3AFC" w:rsidRPr="00302524" w:rsidRDefault="00DF3AFC" w:rsidP="005C2A7B">
      <w:pPr>
        <w:autoSpaceDE w:val="0"/>
        <w:autoSpaceDN w:val="0"/>
        <w:adjustRightInd w:val="0"/>
        <w:spacing w:after="0"/>
        <w:rPr>
          <w:sz w:val="16"/>
          <w:szCs w:val="16"/>
        </w:rPr>
      </w:pPr>
      <w:r w:rsidRPr="005C2A7B">
        <w:rPr>
          <w:rStyle w:val="Refdenotaalpie"/>
          <w:rFonts w:asciiTheme="minorHAnsi" w:hAnsiTheme="minorHAnsi"/>
          <w:sz w:val="16"/>
          <w:szCs w:val="16"/>
        </w:rPr>
        <w:footnoteRef/>
      </w:r>
      <w:r w:rsidRPr="005C2A7B">
        <w:rPr>
          <w:sz w:val="16"/>
          <w:szCs w:val="16"/>
        </w:rPr>
        <w:t xml:space="preserve"> </w:t>
      </w:r>
      <w:r w:rsidRPr="00302524">
        <w:rPr>
          <w:sz w:val="16"/>
          <w:szCs w:val="16"/>
        </w:rPr>
        <w:t xml:space="preserve">a) la privación involuntaria de tierras, que da por resultado: i) el desplazamiento o la pérdida de la vivienda; ii) la pérdida de los activos o del acceso a los activos, o iii) la pérdida de las fuentes de ingresos o de los medios de subsistencia, ya sea que los afectados deban </w:t>
      </w:r>
      <w:r w:rsidRPr="005C2A7B">
        <w:rPr>
          <w:sz w:val="16"/>
          <w:szCs w:val="16"/>
        </w:rPr>
        <w:t xml:space="preserve">trasladarse a otro lugar o no, o </w:t>
      </w:r>
      <w:r w:rsidRPr="00302524">
        <w:rPr>
          <w:sz w:val="16"/>
          <w:szCs w:val="16"/>
        </w:rPr>
        <w:t>b) la restricción involuntaria del acceso a zonas calificadas por la ley como parques o zonas protegidas, con los consiguientes efectos adversos para la subsistencia de las personas desplazadas.</w:t>
      </w:r>
    </w:p>
    <w:p w14:paraId="3E795834" w14:textId="77777777" w:rsidR="00DF3AFC" w:rsidRPr="00302524" w:rsidRDefault="00DF3AFC" w:rsidP="00173468">
      <w:pPr>
        <w:pStyle w:val="Textonotapie"/>
        <w:rPr>
          <w:lang w:val="es-ES"/>
        </w:rPr>
      </w:pPr>
    </w:p>
  </w:footnote>
  <w:footnote w:id="73">
    <w:p w14:paraId="00988B68" w14:textId="77777777" w:rsidR="00DF3AFC" w:rsidRPr="00B41F56" w:rsidRDefault="00DF3AFC"/>
    <w:p w14:paraId="6D314DB9" w14:textId="77777777" w:rsidR="00DF3AFC" w:rsidRPr="00B41F56" w:rsidRDefault="00DF3AFC" w:rsidP="007D2635">
      <w:pPr>
        <w:pStyle w:val="Textonotapie"/>
        <w:ind w:left="0" w:firstLine="0"/>
        <w:rPr>
          <w:lang w:val="es-ES"/>
        </w:rPr>
      </w:pPr>
    </w:p>
  </w:footnote>
  <w:footnote w:id="74">
    <w:p w14:paraId="3AA47E8E" w14:textId="77777777" w:rsidR="00DF3AFC" w:rsidRPr="004939D2" w:rsidRDefault="00DF3AFC" w:rsidP="00F512DB">
      <w:pPr>
        <w:pStyle w:val="Textonotapie"/>
      </w:pPr>
      <w:r w:rsidRPr="004939D2">
        <w:rPr>
          <w:rStyle w:val="Refdenotaalpie"/>
          <w:rFonts w:asciiTheme="minorHAnsi" w:hAnsiTheme="minorHAnsi"/>
          <w:szCs w:val="16"/>
        </w:rPr>
        <w:footnoteRef/>
      </w:r>
      <w:r w:rsidRPr="004939D2">
        <w:t xml:space="preserve"> Indicador 26 Marco metodológico FCPF</w:t>
      </w:r>
    </w:p>
  </w:footnote>
  <w:footnote w:id="75">
    <w:p w14:paraId="5397D332" w14:textId="77777777" w:rsidR="00DF3AFC" w:rsidRPr="004939D2" w:rsidRDefault="00DF3AFC" w:rsidP="00F512DB">
      <w:pPr>
        <w:autoSpaceDE w:val="0"/>
        <w:autoSpaceDN w:val="0"/>
        <w:adjustRightInd w:val="0"/>
        <w:rPr>
          <w:color w:val="000000" w:themeColor="text1"/>
          <w:sz w:val="16"/>
          <w:szCs w:val="16"/>
          <w:lang w:val="es-ES_tradnl" w:eastAsia="zh-CN"/>
        </w:rPr>
      </w:pPr>
      <w:r w:rsidRPr="004939D2">
        <w:rPr>
          <w:rStyle w:val="Refdenotaalpie"/>
          <w:rFonts w:asciiTheme="minorHAnsi" w:hAnsiTheme="minorHAnsi"/>
          <w:sz w:val="16"/>
          <w:szCs w:val="16"/>
        </w:rPr>
        <w:footnoteRef/>
      </w:r>
      <w:r w:rsidRPr="00307BE1">
        <w:rPr>
          <w:sz w:val="16"/>
          <w:szCs w:val="16"/>
          <w:lang w:val="es-DO"/>
        </w:rPr>
        <w:t xml:space="preserve"> </w:t>
      </w:r>
      <w:r w:rsidRPr="00302524">
        <w:rPr>
          <w:sz w:val="16"/>
          <w:szCs w:val="16"/>
        </w:rPr>
        <w:t>Ver Reporte : ‘</w:t>
      </w:r>
      <w:r w:rsidRPr="004939D2">
        <w:rPr>
          <w:color w:val="000000" w:themeColor="text1"/>
          <w:sz w:val="16"/>
          <w:szCs w:val="16"/>
          <w:lang w:val="es-ES_tradnl"/>
        </w:rPr>
        <w:t xml:space="preserve">Propuesta de </w:t>
      </w:r>
      <w:r w:rsidRPr="004939D2">
        <w:rPr>
          <w:color w:val="000000" w:themeColor="text1"/>
          <w:sz w:val="16"/>
          <w:szCs w:val="16"/>
          <w:lang w:val="es-ES_tradnl" w:eastAsia="zh-CN"/>
        </w:rPr>
        <w:t>Mecanismo de Recepción de Quejas, Reclamos y Manejo de Conflictos (MQRC) para REDD+ en Rep</w:t>
      </w:r>
      <w:r w:rsidRPr="004939D2">
        <w:rPr>
          <w:color w:val="000000" w:themeColor="text1"/>
          <w:sz w:val="16"/>
          <w:szCs w:val="16"/>
          <w:lang w:val="es-ES_tradnl"/>
        </w:rPr>
        <w:t>ú</w:t>
      </w:r>
      <w:r w:rsidRPr="004939D2">
        <w:rPr>
          <w:color w:val="000000" w:themeColor="text1"/>
          <w:sz w:val="16"/>
          <w:szCs w:val="16"/>
          <w:lang w:val="es-ES_tradnl" w:eastAsia="zh-CN"/>
        </w:rPr>
        <w:t>blica Dominicana’</w:t>
      </w:r>
    </w:p>
    <w:p w14:paraId="028DF531" w14:textId="77777777" w:rsidR="00DF3AFC" w:rsidRPr="004939D2" w:rsidRDefault="00DF3AFC" w:rsidP="00F512DB">
      <w:pPr>
        <w:pStyle w:val="Textonotapie"/>
      </w:pPr>
    </w:p>
  </w:footnote>
  <w:footnote w:id="76">
    <w:p w14:paraId="76DAEB87" w14:textId="77777777" w:rsidR="00DF3AFC" w:rsidRPr="00257496" w:rsidRDefault="00DF3AFC" w:rsidP="00235386">
      <w:pPr>
        <w:pStyle w:val="Textonotapie"/>
        <w:rPr>
          <w:sz w:val="18"/>
          <w:szCs w:val="18"/>
          <w:lang w:val="es-ES"/>
        </w:rPr>
      </w:pPr>
      <w:r w:rsidRPr="00257496">
        <w:rPr>
          <w:rStyle w:val="Refdenotaalpie"/>
        </w:rPr>
        <w:footnoteRef/>
      </w:r>
      <w:r w:rsidRPr="00257496">
        <w:rPr>
          <w:sz w:val="18"/>
          <w:szCs w:val="18"/>
          <w:lang w:val="es-ES"/>
        </w:rPr>
        <w:t xml:space="preserve"> El cual la ley presume inicialmente como propietario original.</w:t>
      </w:r>
    </w:p>
  </w:footnote>
  <w:footnote w:id="77">
    <w:p w14:paraId="478AA123" w14:textId="0AEA9033" w:rsidR="00DF3AFC" w:rsidRPr="00E66828" w:rsidRDefault="00DF3AFC" w:rsidP="00235386">
      <w:pPr>
        <w:pStyle w:val="Textonotapie"/>
        <w:rPr>
          <w:sz w:val="18"/>
          <w:szCs w:val="18"/>
          <w:lang w:val="es-ES"/>
        </w:rPr>
      </w:pPr>
      <w:r w:rsidRPr="00E66828">
        <w:rPr>
          <w:rStyle w:val="Refdenotaalpie"/>
        </w:rPr>
        <w:footnoteRef/>
      </w:r>
      <w:r w:rsidRPr="00E66828">
        <w:rPr>
          <w:sz w:val="18"/>
          <w:szCs w:val="18"/>
          <w:lang w:val="es-ES"/>
        </w:rPr>
        <w:t xml:space="preserve"> La República Dominicana ha identificado los siguientes como los beneficios no carbono que podría recibir el país por la implementación del </w:t>
      </w:r>
      <w:r>
        <w:rPr>
          <w:sz w:val="18"/>
          <w:szCs w:val="18"/>
          <w:lang w:val="es-ES"/>
        </w:rPr>
        <w:t>Programa REDD+.</w:t>
      </w:r>
      <w:r w:rsidRPr="00E66828">
        <w:rPr>
          <w:sz w:val="18"/>
          <w:szCs w:val="18"/>
          <w:lang w:val="es-ES"/>
        </w:rPr>
        <w:t xml:space="preserve"> Los beneficios no carbono pueden clasificarse entre beneficios ambientales y sociales:</w:t>
      </w:r>
    </w:p>
    <w:p w14:paraId="2C54A8BD" w14:textId="77777777" w:rsidR="00DF3AFC" w:rsidRPr="00E66828" w:rsidRDefault="00DF3AFC" w:rsidP="00235386">
      <w:pPr>
        <w:rPr>
          <w:sz w:val="18"/>
          <w:szCs w:val="18"/>
        </w:rPr>
      </w:pPr>
      <w:r w:rsidRPr="00E66828">
        <w:rPr>
          <w:b/>
          <w:bCs/>
          <w:sz w:val="18"/>
          <w:szCs w:val="18"/>
        </w:rPr>
        <w:t>Ambientales</w:t>
      </w:r>
      <w:r w:rsidRPr="00E66828">
        <w:rPr>
          <w:sz w:val="18"/>
          <w:szCs w:val="18"/>
        </w:rPr>
        <w:t>: i) Conservación de la biodiversidad; ii) Mejora en la provisión de los servicios ecosistémicos (Regulación del ciclo del agua, Captura de carbono, Paisajísticos, Regulación del clima); iii) Mejoramiento en la calidad del agua; Mejoramiento en las técnicas de producción (aplicación de buenas prácticas); iv) Conservación y estabilización de suelos; v) Rehabilitación de tierras degradadas y vi) Recuperación de tierras productivas</w:t>
      </w:r>
      <w:r>
        <w:rPr>
          <w:sz w:val="18"/>
          <w:szCs w:val="18"/>
        </w:rPr>
        <w:t>.</w:t>
      </w:r>
    </w:p>
    <w:p w14:paraId="46DA1926" w14:textId="77777777" w:rsidR="00DF3AFC" w:rsidRPr="00E66828" w:rsidRDefault="00DF3AFC" w:rsidP="00235386">
      <w:pPr>
        <w:rPr>
          <w:sz w:val="18"/>
          <w:szCs w:val="18"/>
        </w:rPr>
      </w:pPr>
      <w:r w:rsidRPr="00E66828">
        <w:rPr>
          <w:b/>
          <w:bCs/>
          <w:sz w:val="18"/>
          <w:szCs w:val="18"/>
        </w:rPr>
        <w:t>Sociales</w:t>
      </w:r>
      <w:r w:rsidRPr="00E66828">
        <w:rPr>
          <w:sz w:val="18"/>
          <w:szCs w:val="18"/>
        </w:rPr>
        <w:t>: i) Mejora de la productividad agrícola, forestal y ganadera; ii)</w:t>
      </w:r>
      <w:r>
        <w:rPr>
          <w:sz w:val="18"/>
          <w:szCs w:val="18"/>
        </w:rPr>
        <w:t xml:space="preserve"> </w:t>
      </w:r>
      <w:r w:rsidRPr="00E66828">
        <w:rPr>
          <w:sz w:val="18"/>
          <w:szCs w:val="18"/>
        </w:rPr>
        <w:t xml:space="preserve">Aumento de la cultura forestal local con fines comerciales; iii) Mejores economías domésticas y reducción de la pobreza; </w:t>
      </w:r>
      <w:r>
        <w:rPr>
          <w:sz w:val="18"/>
          <w:szCs w:val="18"/>
        </w:rPr>
        <w:t xml:space="preserve">iv) </w:t>
      </w:r>
      <w:r w:rsidRPr="00E66828">
        <w:rPr>
          <w:sz w:val="18"/>
          <w:szCs w:val="18"/>
        </w:rPr>
        <w:t>Creación de empleo;</w:t>
      </w:r>
      <w:r>
        <w:rPr>
          <w:sz w:val="18"/>
          <w:szCs w:val="18"/>
        </w:rPr>
        <w:t xml:space="preserve"> v)</w:t>
      </w:r>
      <w:r w:rsidRPr="00E66828">
        <w:rPr>
          <w:sz w:val="18"/>
          <w:szCs w:val="18"/>
        </w:rPr>
        <w:t xml:space="preserve"> Reconocimiento del derecho de propiedad de tierras; </w:t>
      </w:r>
      <w:r>
        <w:rPr>
          <w:sz w:val="18"/>
          <w:szCs w:val="18"/>
        </w:rPr>
        <w:t xml:space="preserve">vi) </w:t>
      </w:r>
      <w:r w:rsidRPr="00E66828">
        <w:rPr>
          <w:sz w:val="18"/>
          <w:szCs w:val="18"/>
        </w:rPr>
        <w:t xml:space="preserve">Mejor gobernanza y </w:t>
      </w:r>
      <w:r>
        <w:rPr>
          <w:sz w:val="18"/>
          <w:szCs w:val="18"/>
        </w:rPr>
        <w:t xml:space="preserve">vii) </w:t>
      </w:r>
      <w:r w:rsidRPr="00E66828">
        <w:rPr>
          <w:sz w:val="18"/>
          <w:szCs w:val="18"/>
        </w:rPr>
        <w:t>fortalecimiento institucional</w:t>
      </w:r>
      <w:r>
        <w:rPr>
          <w:sz w:val="18"/>
          <w:szCs w:val="18"/>
        </w:rPr>
        <w:t>.</w:t>
      </w:r>
    </w:p>
  </w:footnote>
  <w:footnote w:id="78">
    <w:p w14:paraId="027AB460" w14:textId="206CFE98" w:rsidR="00DF3AFC" w:rsidRPr="00650361" w:rsidRDefault="00DF3AFC" w:rsidP="00302524">
      <w:pPr>
        <w:spacing w:after="0"/>
        <w:rPr>
          <w:rFonts w:cs="Microsoft Sans Serif"/>
          <w:sz w:val="18"/>
          <w:szCs w:val="18"/>
          <w:lang w:val="es-DO"/>
        </w:rPr>
      </w:pPr>
      <w:r w:rsidRPr="00650361">
        <w:rPr>
          <w:rStyle w:val="Refdenotaalpie"/>
          <w:rFonts w:cs="Microsoft Sans Serif"/>
        </w:rPr>
        <w:footnoteRef/>
      </w:r>
      <w:r w:rsidRPr="00650361">
        <w:rPr>
          <w:rFonts w:cs="Microsoft Sans Serif"/>
          <w:sz w:val="18"/>
          <w:szCs w:val="18"/>
        </w:rPr>
        <w:t xml:space="preserve"> </w:t>
      </w:r>
      <w:r w:rsidRPr="00650361">
        <w:rPr>
          <w:rFonts w:cs="Microsoft Sans Serif"/>
          <w:sz w:val="18"/>
          <w:szCs w:val="18"/>
          <w:bdr w:val="none" w:sz="0" w:space="0" w:color="auto" w:frame="1"/>
          <w:lang w:eastAsia="es-DO"/>
        </w:rPr>
        <w:t>Eduardo García De Enterría. “Curso de Derecho Administrativo”. Tomo II. 11º Edición. 2008. Madrid. p 271</w:t>
      </w:r>
    </w:p>
  </w:footnote>
  <w:footnote w:id="79">
    <w:p w14:paraId="4E3722F5" w14:textId="106FCC89" w:rsidR="00DF3AFC" w:rsidRPr="00650361" w:rsidRDefault="00DF3AFC" w:rsidP="00302524">
      <w:pPr>
        <w:spacing w:after="0"/>
        <w:rPr>
          <w:rFonts w:cs="Microsoft Sans Serif"/>
          <w:sz w:val="18"/>
          <w:szCs w:val="18"/>
        </w:rPr>
      </w:pPr>
      <w:r w:rsidRPr="00650361">
        <w:rPr>
          <w:rStyle w:val="Refdenotaalpie"/>
          <w:rFonts w:cs="Microsoft Sans Serif"/>
        </w:rPr>
        <w:footnoteRef/>
      </w:r>
      <w:r w:rsidRPr="00650361">
        <w:rPr>
          <w:rFonts w:cs="Microsoft Sans Serif"/>
          <w:sz w:val="18"/>
          <w:szCs w:val="18"/>
        </w:rPr>
        <w:t xml:space="preserve"> Eduardo García De Enterría. Ob. Cit. p. 278.</w:t>
      </w:r>
    </w:p>
  </w:footnote>
  <w:footnote w:id="80">
    <w:p w14:paraId="3444E0BB" w14:textId="77777777" w:rsidR="00DF3AFC" w:rsidRPr="00DF6CAD" w:rsidRDefault="00DF3AFC" w:rsidP="003070B4">
      <w:pPr>
        <w:pStyle w:val="Textonotapie"/>
        <w:rPr>
          <w:lang w:val="es-DO"/>
        </w:rPr>
      </w:pPr>
      <w:r>
        <w:rPr>
          <w:rStyle w:val="Refdenotaalpie"/>
        </w:rPr>
        <w:footnoteRef/>
      </w:r>
      <w:r>
        <w:t xml:space="preserve"> </w:t>
      </w:r>
      <w:r w:rsidRPr="00DF6CAD">
        <w:t>Sentencia del Tribunal Constitucional TC/0205/13. Expediente núm. TC-05-2012-0136, relativo al recurso de revisión constitucional en materia de amparo incoado por el Ministerio de Hacienda, contra la Sentencia núm. 095-2012, dictada por la Segunda Sala del Tribunal Superior Administrativo, en fecha veintisiete (27) de julio de dos mil doce (2012).</w:t>
      </w:r>
    </w:p>
  </w:footnote>
  <w:footnote w:id="81">
    <w:p w14:paraId="516E2399" w14:textId="77777777" w:rsidR="00DF3AFC" w:rsidRPr="00302524" w:rsidRDefault="00DF3AFC" w:rsidP="00405040">
      <w:pPr>
        <w:pStyle w:val="Textonotapie"/>
        <w:rPr>
          <w:lang w:val="es-ES"/>
        </w:rPr>
      </w:pPr>
      <w:r w:rsidRPr="00FD5116">
        <w:rPr>
          <w:rStyle w:val="Refdenotaalpie"/>
          <w:rFonts w:asciiTheme="minorHAnsi" w:hAnsiTheme="minorHAnsi"/>
          <w:sz w:val="16"/>
          <w:szCs w:val="16"/>
        </w:rPr>
        <w:footnoteRef/>
      </w:r>
      <w:r w:rsidRPr="00FD5116">
        <w:t xml:space="preserve"> Cuando se declara un área protegida lo que se cambia es el uso y las actividades que se permiten, el Ministerio d</w:t>
      </w:r>
      <w:r>
        <w:t>e Medio Ambiente y Recursos Nat</w:t>
      </w:r>
      <w:r w:rsidRPr="00FD5116">
        <w:t>urales señala que no es necesario indemnizar porque los propietarios no pierden la calidad del derecho de propiedad, que lo que se regula es el uso de ese bien, pero sacan a los propietarios de los predios y no se sigue el procedimiento de declarar esos terrenos de utilidad pública y luego declararlos áreas protegidas, sino que se hace una declaratoria de área protegida por Ley o por decreto presidencial, pero esos propietarios no han sido resarcidos esa es  la constante que se ha dado en el país, caso concreto el decreto 571-09 que creó más de 30 áreas protegidas en diferentes categorías, de cuya declaratoria se han generado conflictos que están ventilándose a nivel judicial uno en la Suprema Corte de Justicia (Caso Parque Manolo Tabares Justo) y en un tribunal del RD-CAFTA (Caso Parque Baigüate)</w:t>
      </w:r>
      <w:r>
        <w:t xml:space="preserve">. Esto podría evitarse si se siguiera el procedimiento establecido por las leyes y normas aprobadas. </w:t>
      </w:r>
    </w:p>
  </w:footnote>
  <w:footnote w:id="82">
    <w:p w14:paraId="0958913B" w14:textId="72D902F5" w:rsidR="00DF3AFC" w:rsidRPr="003C6FE1" w:rsidRDefault="00DF3AFC" w:rsidP="00405040">
      <w:pPr>
        <w:pStyle w:val="Textonotapie"/>
      </w:pPr>
      <w:r w:rsidRPr="00B505D8">
        <w:rPr>
          <w:rStyle w:val="Refdenotaalpie"/>
          <w:rFonts w:asciiTheme="minorHAnsi" w:hAnsiTheme="minorHAnsi" w:cstheme="minorHAnsi"/>
          <w:sz w:val="16"/>
          <w:szCs w:val="16"/>
        </w:rPr>
        <w:footnoteRef/>
      </w:r>
      <w:r w:rsidRPr="003C6FE1">
        <w:t xml:space="preserve"> OP 4.1</w:t>
      </w:r>
      <w:r>
        <w:t>2</w:t>
      </w:r>
      <w:r w:rsidRPr="003C6FE1">
        <w:t xml:space="preserve"> p.2</w:t>
      </w:r>
    </w:p>
  </w:footnote>
  <w:footnote w:id="83">
    <w:p w14:paraId="25C84673" w14:textId="77777777" w:rsidR="00DF3AFC" w:rsidRPr="003C6FE1" w:rsidRDefault="00DF3AFC" w:rsidP="00405040">
      <w:pPr>
        <w:autoSpaceDE w:val="0"/>
        <w:autoSpaceDN w:val="0"/>
        <w:adjustRightInd w:val="0"/>
        <w:spacing w:after="0"/>
        <w:jc w:val="left"/>
        <w:rPr>
          <w:sz w:val="16"/>
          <w:szCs w:val="16"/>
          <w:lang w:val="es-DO"/>
        </w:rPr>
      </w:pPr>
      <w:r>
        <w:rPr>
          <w:rStyle w:val="Refdenotaalpie"/>
        </w:rPr>
        <w:footnoteRef/>
      </w:r>
      <w:r w:rsidRPr="005B0F5D">
        <w:t xml:space="preserve"> </w:t>
      </w:r>
      <w:r w:rsidRPr="003C6FE1">
        <w:rPr>
          <w:sz w:val="16"/>
          <w:szCs w:val="16"/>
          <w:lang w:val="es-DO"/>
        </w:rPr>
        <w:t>Se considerará que los efectos son “mínimos” si las personas afectadas no resultan desplazadas físicamente y si se pierde menos del 10% de sus activos productivos.</w:t>
      </w:r>
    </w:p>
  </w:footnote>
  <w:footnote w:id="84">
    <w:p w14:paraId="0F435E3B" w14:textId="77777777" w:rsidR="00DF3AFC" w:rsidRPr="003C6FE1" w:rsidRDefault="00DF3AFC" w:rsidP="00405040">
      <w:pPr>
        <w:autoSpaceDE w:val="0"/>
        <w:autoSpaceDN w:val="0"/>
        <w:adjustRightInd w:val="0"/>
        <w:spacing w:after="0"/>
        <w:jc w:val="left"/>
        <w:rPr>
          <w:sz w:val="16"/>
          <w:szCs w:val="16"/>
          <w:lang w:val="es-DO"/>
        </w:rPr>
      </w:pPr>
      <w:r w:rsidRPr="00B505D8">
        <w:rPr>
          <w:rStyle w:val="Refdenotaalpie"/>
          <w:rFonts w:asciiTheme="minorHAnsi" w:hAnsiTheme="minorHAnsi"/>
          <w:sz w:val="16"/>
          <w:szCs w:val="16"/>
        </w:rPr>
        <w:footnoteRef/>
      </w:r>
      <w:r w:rsidRPr="003C6FE1">
        <w:rPr>
          <w:sz w:val="16"/>
          <w:szCs w:val="16"/>
          <w:lang w:val="es-DO"/>
        </w:rPr>
        <w:t xml:space="preserve"> En caso de que durante el análisis de las actividades propuestas se identifiquen riesgos e impactos adversos con alcance de la OP 4.12, pero los efectos en la totalidad de la población desplazada sean mínimos, o si el número de personas desplazadas es inferior a 200, se podrá realizar un PdRA que deberá cumplir con lo establecido en el Anexo A, párrafo 22 de la OP 4.12.</w:t>
      </w:r>
    </w:p>
    <w:p w14:paraId="2682B69B" w14:textId="77777777" w:rsidR="00DF3AFC" w:rsidRPr="003C6FE1" w:rsidRDefault="00DF3AFC" w:rsidP="00405040">
      <w:pPr>
        <w:pStyle w:val="Textonotapie"/>
      </w:pPr>
    </w:p>
  </w:footnote>
  <w:footnote w:id="85">
    <w:p w14:paraId="0FDE9B50" w14:textId="77777777" w:rsidR="00DF3AFC" w:rsidRPr="00355AA5" w:rsidRDefault="00DF3AFC" w:rsidP="004B496C">
      <w:pPr>
        <w:pStyle w:val="Textonotapie"/>
        <w:rPr>
          <w:rFonts w:cstheme="minorHAnsi"/>
          <w:sz w:val="18"/>
          <w:szCs w:val="18"/>
        </w:rPr>
      </w:pPr>
      <w:r w:rsidRPr="00355AA5">
        <w:rPr>
          <w:rStyle w:val="Refdenotaalpie"/>
        </w:rPr>
        <w:footnoteRef/>
      </w:r>
      <w:r w:rsidRPr="00355AA5">
        <w:rPr>
          <w:rFonts w:cstheme="minorHAnsi"/>
          <w:sz w:val="18"/>
          <w:szCs w:val="18"/>
        </w:rPr>
        <w:t xml:space="preserve"> Ley No.108-05 de Registro Inmobiliario, del 23 de marzo del 2005, G.O.</w:t>
      </w:r>
      <w:r w:rsidRPr="00355AA5">
        <w:rPr>
          <w:rFonts w:cstheme="minorHAnsi"/>
          <w:color w:val="545454"/>
          <w:sz w:val="18"/>
          <w:szCs w:val="18"/>
          <w:shd w:val="clear" w:color="auto" w:fill="FFFFFF"/>
        </w:rPr>
        <w:t xml:space="preserve"> </w:t>
      </w:r>
      <w:r>
        <w:rPr>
          <w:rFonts w:cstheme="minorHAnsi"/>
          <w:sz w:val="18"/>
          <w:szCs w:val="18"/>
          <w:shd w:val="clear" w:color="auto" w:fill="FFFFFF"/>
        </w:rPr>
        <w:t>No. 10316 del 2 de abril del 2005</w:t>
      </w:r>
      <w:r w:rsidRPr="00355AA5">
        <w:rPr>
          <w:rFonts w:cstheme="minorHAnsi"/>
          <w:sz w:val="18"/>
          <w:szCs w:val="18"/>
        </w:rPr>
        <w:t xml:space="preserve"> </w:t>
      </w:r>
    </w:p>
  </w:footnote>
  <w:footnote w:id="86">
    <w:p w14:paraId="69F91783" w14:textId="77777777" w:rsidR="00DF3AFC" w:rsidRDefault="00DF3AFC" w:rsidP="004B496C">
      <w:pPr>
        <w:pStyle w:val="Textonotapie"/>
      </w:pPr>
      <w:r>
        <w:rPr>
          <w:rStyle w:val="Refdenotaalpie"/>
        </w:rPr>
        <w:footnoteRef/>
      </w:r>
      <w:r>
        <w:t xml:space="preserve"> </w:t>
      </w:r>
      <w:r w:rsidRPr="00E7315F">
        <w:rPr>
          <w:sz w:val="18"/>
          <w:szCs w:val="18"/>
        </w:rPr>
        <w:t>Ley No. 344 que establece un procedimiento especial para las expropiaciones intentadas por el Estado, G. O. No. 5951 del 31 de julio del 1943</w:t>
      </w:r>
    </w:p>
  </w:footnote>
  <w:footnote w:id="87">
    <w:p w14:paraId="1407F96C" w14:textId="77777777" w:rsidR="00DF3AFC" w:rsidRDefault="00DF3AFC" w:rsidP="004B496C">
      <w:pPr>
        <w:pStyle w:val="Textonotapie"/>
      </w:pPr>
      <w:r>
        <w:rPr>
          <w:rStyle w:val="Refdenotaalpie"/>
        </w:rPr>
        <w:footnoteRef/>
      </w:r>
      <w:r>
        <w:t xml:space="preserve"> </w:t>
      </w:r>
      <w:r w:rsidRPr="00844AA1">
        <w:rPr>
          <w:sz w:val="18"/>
          <w:szCs w:val="18"/>
        </w:rPr>
        <w:t>Código Civil de la Rep</w:t>
      </w:r>
      <w:r>
        <w:rPr>
          <w:sz w:val="18"/>
          <w:szCs w:val="18"/>
        </w:rPr>
        <w:t>ública Dominicana</w:t>
      </w:r>
    </w:p>
  </w:footnote>
  <w:footnote w:id="88">
    <w:p w14:paraId="10F86F3E" w14:textId="77777777" w:rsidR="00DF3AFC" w:rsidRPr="007D467F" w:rsidRDefault="00DF3AFC" w:rsidP="004B496C">
      <w:pPr>
        <w:pStyle w:val="Textonotapie"/>
        <w:rPr>
          <w:sz w:val="18"/>
          <w:szCs w:val="18"/>
        </w:rPr>
      </w:pPr>
      <w:r w:rsidRPr="00844AA1">
        <w:rPr>
          <w:rStyle w:val="Refdenotaalpie"/>
        </w:rPr>
        <w:footnoteRef/>
      </w:r>
      <w:r w:rsidRPr="00844AA1">
        <w:rPr>
          <w:sz w:val="18"/>
          <w:szCs w:val="18"/>
        </w:rPr>
        <w:t xml:space="preserve"> Constitución de la República Dominicana, proclamada el 1</w:t>
      </w:r>
      <w:r>
        <w:rPr>
          <w:sz w:val="18"/>
          <w:szCs w:val="18"/>
        </w:rPr>
        <w:t>3</w:t>
      </w:r>
      <w:r w:rsidRPr="00844AA1">
        <w:rPr>
          <w:sz w:val="18"/>
          <w:szCs w:val="18"/>
        </w:rPr>
        <w:t xml:space="preserve"> de junio del 2005, G.O No. 10561.1</w:t>
      </w:r>
      <w:r>
        <w:rPr>
          <w:sz w:val="18"/>
          <w:szCs w:val="18"/>
        </w:rPr>
        <w:t xml:space="preserve"> </w:t>
      </w:r>
      <w:r>
        <w:t xml:space="preserve">del </w:t>
      </w:r>
      <w:r w:rsidRPr="007D467F">
        <w:rPr>
          <w:sz w:val="18"/>
          <w:szCs w:val="18"/>
        </w:rPr>
        <w:t>10 de julio de 2015</w:t>
      </w:r>
    </w:p>
  </w:footnote>
  <w:footnote w:id="89">
    <w:p w14:paraId="25D04A2F" w14:textId="77777777" w:rsidR="00DF3AFC" w:rsidRDefault="00DF3AFC" w:rsidP="004B496C">
      <w:pPr>
        <w:pStyle w:val="Textonotapie"/>
      </w:pPr>
      <w:r>
        <w:rPr>
          <w:rStyle w:val="Refdenotaalpie"/>
        </w:rPr>
        <w:footnoteRef/>
      </w:r>
      <w:r>
        <w:t xml:space="preserve"> </w:t>
      </w:r>
      <w:r w:rsidRPr="00844AA1">
        <w:rPr>
          <w:sz w:val="18"/>
          <w:szCs w:val="18"/>
        </w:rPr>
        <w:t>Código Civil de la Rep</w:t>
      </w:r>
      <w:r>
        <w:rPr>
          <w:sz w:val="18"/>
          <w:szCs w:val="18"/>
        </w:rPr>
        <w:t>ública Dominicana</w:t>
      </w:r>
    </w:p>
  </w:footnote>
  <w:footnote w:id="90">
    <w:p w14:paraId="42BAAA71" w14:textId="77777777" w:rsidR="00DF3AFC" w:rsidRDefault="00DF3AFC" w:rsidP="004B496C">
      <w:pPr>
        <w:pStyle w:val="Textonotapie"/>
      </w:pPr>
      <w:r>
        <w:rPr>
          <w:rStyle w:val="Refdenotaalpie"/>
        </w:rPr>
        <w:footnoteRef/>
      </w:r>
      <w:r>
        <w:t xml:space="preserve"> </w:t>
      </w:r>
      <w:r w:rsidRPr="00844AA1">
        <w:rPr>
          <w:sz w:val="18"/>
          <w:szCs w:val="18"/>
        </w:rPr>
        <w:t>Código Civil de la Rep</w:t>
      </w:r>
      <w:r>
        <w:rPr>
          <w:sz w:val="18"/>
          <w:szCs w:val="18"/>
        </w:rPr>
        <w:t>ública Dominicana</w:t>
      </w:r>
    </w:p>
  </w:footnote>
  <w:footnote w:id="91">
    <w:p w14:paraId="0E2981D4" w14:textId="77777777" w:rsidR="00DF3AFC" w:rsidRDefault="00DF3AFC" w:rsidP="004B496C">
      <w:pPr>
        <w:pStyle w:val="Textonotapie"/>
      </w:pPr>
      <w:r>
        <w:rPr>
          <w:rStyle w:val="Refdenotaalpie"/>
        </w:rPr>
        <w:footnoteRef/>
      </w:r>
      <w:r>
        <w:t xml:space="preserve"> </w:t>
      </w:r>
      <w:r w:rsidRPr="00844AA1">
        <w:rPr>
          <w:sz w:val="18"/>
          <w:szCs w:val="18"/>
        </w:rPr>
        <w:t>Código Civil de la Rep</w:t>
      </w:r>
      <w:r>
        <w:rPr>
          <w:sz w:val="18"/>
          <w:szCs w:val="18"/>
        </w:rPr>
        <w:t>ública Dominicana</w:t>
      </w:r>
    </w:p>
  </w:footnote>
  <w:footnote w:id="92">
    <w:p w14:paraId="69664E25" w14:textId="77777777" w:rsidR="00DF3AFC" w:rsidRDefault="00DF3AFC" w:rsidP="004B496C">
      <w:pPr>
        <w:pStyle w:val="Textonotapie"/>
      </w:pPr>
      <w:r>
        <w:rPr>
          <w:rStyle w:val="Refdenotaalpie"/>
        </w:rPr>
        <w:footnoteRef/>
      </w:r>
      <w:r>
        <w:t xml:space="preserve"> </w:t>
      </w:r>
      <w:r w:rsidRPr="00355AA5">
        <w:rPr>
          <w:rFonts w:cstheme="minorHAnsi"/>
          <w:sz w:val="18"/>
          <w:szCs w:val="18"/>
        </w:rPr>
        <w:t>Ley No.108-05 de Registro Inmobiliario, del 23 de marzo del 2005, G.O.</w:t>
      </w:r>
      <w:r w:rsidRPr="00355AA5">
        <w:rPr>
          <w:rFonts w:cstheme="minorHAnsi"/>
          <w:color w:val="545454"/>
          <w:sz w:val="18"/>
          <w:szCs w:val="18"/>
          <w:shd w:val="clear" w:color="auto" w:fill="FFFFFF"/>
        </w:rPr>
        <w:t xml:space="preserve"> </w:t>
      </w:r>
      <w:r>
        <w:rPr>
          <w:rFonts w:cstheme="minorHAnsi"/>
          <w:sz w:val="18"/>
          <w:szCs w:val="18"/>
          <w:shd w:val="clear" w:color="auto" w:fill="FFFFFF"/>
        </w:rPr>
        <w:t>No. 10316 del 2 de abril del 2005</w:t>
      </w:r>
    </w:p>
  </w:footnote>
  <w:footnote w:id="93">
    <w:p w14:paraId="14D0E11F" w14:textId="77777777" w:rsidR="00DF3AFC" w:rsidRDefault="00DF3AFC" w:rsidP="004B496C">
      <w:pPr>
        <w:pStyle w:val="Textonotapie"/>
      </w:pPr>
      <w:r>
        <w:rPr>
          <w:rStyle w:val="Refdenotaalpie"/>
        </w:rPr>
        <w:footnoteRef/>
      </w:r>
      <w:r>
        <w:t xml:space="preserve"> </w:t>
      </w:r>
      <w:r w:rsidRPr="00844AA1">
        <w:rPr>
          <w:sz w:val="18"/>
          <w:szCs w:val="18"/>
        </w:rPr>
        <w:t>Código Civil de la Rep</w:t>
      </w:r>
      <w:r>
        <w:rPr>
          <w:sz w:val="18"/>
          <w:szCs w:val="18"/>
        </w:rPr>
        <w:t>ública Dominicana</w:t>
      </w:r>
    </w:p>
  </w:footnote>
  <w:footnote w:id="94">
    <w:p w14:paraId="2C592985" w14:textId="77777777" w:rsidR="00DF3AFC" w:rsidRDefault="00DF3AFC" w:rsidP="004B496C">
      <w:pPr>
        <w:pStyle w:val="Textonotapie"/>
      </w:pPr>
      <w:r>
        <w:rPr>
          <w:rStyle w:val="Refdenotaalpie"/>
        </w:rPr>
        <w:footnoteRef/>
      </w:r>
      <w:r>
        <w:t xml:space="preserve"> </w:t>
      </w:r>
      <w:r w:rsidRPr="00844AA1">
        <w:rPr>
          <w:sz w:val="18"/>
          <w:szCs w:val="18"/>
        </w:rPr>
        <w:t>Código Civil de la Rep</w:t>
      </w:r>
      <w:r>
        <w:rPr>
          <w:sz w:val="18"/>
          <w:szCs w:val="18"/>
        </w:rPr>
        <w:t>ública Dominicana</w:t>
      </w:r>
    </w:p>
  </w:footnote>
  <w:footnote w:id="95">
    <w:p w14:paraId="739AA330" w14:textId="77777777" w:rsidR="00DF3AFC" w:rsidRDefault="00DF3AFC" w:rsidP="004B496C">
      <w:pPr>
        <w:pStyle w:val="Textonotapie"/>
      </w:pPr>
      <w:r>
        <w:rPr>
          <w:rStyle w:val="Refdenotaalpie"/>
        </w:rPr>
        <w:footnoteRef/>
      </w:r>
      <w:r>
        <w:t xml:space="preserve"> </w:t>
      </w:r>
      <w:r w:rsidRPr="00844AA1">
        <w:rPr>
          <w:sz w:val="18"/>
          <w:szCs w:val="18"/>
        </w:rPr>
        <w:t>Código Civil de la Rep</w:t>
      </w:r>
      <w:r>
        <w:rPr>
          <w:sz w:val="18"/>
          <w:szCs w:val="18"/>
        </w:rPr>
        <w:t>ública Dominicana</w:t>
      </w:r>
    </w:p>
  </w:footnote>
  <w:footnote w:id="96">
    <w:p w14:paraId="0E735A68" w14:textId="77777777" w:rsidR="00DF3AFC" w:rsidRDefault="00DF3AFC" w:rsidP="004B496C">
      <w:pPr>
        <w:pStyle w:val="Textonotapie"/>
      </w:pPr>
      <w:r>
        <w:rPr>
          <w:rStyle w:val="Refdenotaalpie"/>
        </w:rPr>
        <w:footnoteRef/>
      </w:r>
      <w:r>
        <w:t xml:space="preserve"> </w:t>
      </w:r>
      <w:r w:rsidRPr="00844AA1">
        <w:rPr>
          <w:sz w:val="18"/>
          <w:szCs w:val="18"/>
        </w:rPr>
        <w:t>Código Civil de la Rep</w:t>
      </w:r>
      <w:r>
        <w:rPr>
          <w:sz w:val="18"/>
          <w:szCs w:val="18"/>
        </w:rPr>
        <w:t>ública Dominicana</w:t>
      </w:r>
    </w:p>
  </w:footnote>
  <w:footnote w:id="97">
    <w:p w14:paraId="7A6005E5" w14:textId="77777777" w:rsidR="00DF3AFC" w:rsidRDefault="00DF3AFC" w:rsidP="004B496C">
      <w:pPr>
        <w:pStyle w:val="Textonotapie"/>
      </w:pPr>
      <w:r>
        <w:rPr>
          <w:rStyle w:val="Refdenotaalpie"/>
        </w:rPr>
        <w:footnoteRef/>
      </w:r>
      <w:r>
        <w:t xml:space="preserve"> </w:t>
      </w:r>
      <w:r w:rsidRPr="00355AA5">
        <w:rPr>
          <w:rFonts w:cstheme="minorHAnsi"/>
          <w:sz w:val="18"/>
          <w:szCs w:val="18"/>
        </w:rPr>
        <w:t>Ley No.108-05 de Registro Inmobiliario, del 23 de marzo del 2005, G.O.</w:t>
      </w:r>
      <w:r w:rsidRPr="00355AA5">
        <w:rPr>
          <w:rFonts w:cstheme="minorHAnsi"/>
          <w:color w:val="545454"/>
          <w:sz w:val="18"/>
          <w:szCs w:val="18"/>
          <w:shd w:val="clear" w:color="auto" w:fill="FFFFFF"/>
        </w:rPr>
        <w:t xml:space="preserve"> </w:t>
      </w:r>
      <w:r>
        <w:rPr>
          <w:rFonts w:cstheme="minorHAnsi"/>
          <w:sz w:val="18"/>
          <w:szCs w:val="18"/>
          <w:shd w:val="clear" w:color="auto" w:fill="FFFFFF"/>
        </w:rPr>
        <w:t>No. 10316 del 2 de abril del 2005</w:t>
      </w:r>
    </w:p>
  </w:footnote>
  <w:footnote w:id="98">
    <w:p w14:paraId="50CF1249" w14:textId="77777777" w:rsidR="00DF3AFC" w:rsidRDefault="00DF3AFC" w:rsidP="004B496C">
      <w:pPr>
        <w:pStyle w:val="Textonotapie"/>
      </w:pPr>
      <w:r>
        <w:rPr>
          <w:rStyle w:val="Refdenotaalpie"/>
        </w:rPr>
        <w:footnoteRef/>
      </w:r>
      <w:r>
        <w:t xml:space="preserve"> </w:t>
      </w:r>
      <w:r w:rsidRPr="00355AA5">
        <w:rPr>
          <w:rFonts w:cstheme="minorHAnsi"/>
          <w:sz w:val="18"/>
          <w:szCs w:val="18"/>
        </w:rPr>
        <w:t>Ley No.108-05 de Registro Inmobiliario, del 23 de marzo del 2005, G.O.</w:t>
      </w:r>
      <w:r w:rsidRPr="00355AA5">
        <w:rPr>
          <w:rFonts w:cstheme="minorHAnsi"/>
          <w:color w:val="545454"/>
          <w:sz w:val="18"/>
          <w:szCs w:val="18"/>
          <w:shd w:val="clear" w:color="auto" w:fill="FFFFFF"/>
        </w:rPr>
        <w:t xml:space="preserve"> </w:t>
      </w:r>
      <w:r>
        <w:rPr>
          <w:rFonts w:cstheme="minorHAnsi"/>
          <w:sz w:val="18"/>
          <w:szCs w:val="18"/>
          <w:shd w:val="clear" w:color="auto" w:fill="FFFFFF"/>
        </w:rPr>
        <w:t>No. 10316 del 2 de abril del 2005</w:t>
      </w:r>
    </w:p>
  </w:footnote>
  <w:footnote w:id="99">
    <w:p w14:paraId="32FD4A2B" w14:textId="77777777" w:rsidR="00DF3AFC" w:rsidRDefault="00DF3AFC" w:rsidP="004B496C">
      <w:pPr>
        <w:pStyle w:val="Textonotapie"/>
      </w:pPr>
      <w:r>
        <w:rPr>
          <w:rStyle w:val="Refdenotaalpie"/>
        </w:rPr>
        <w:footnoteRef/>
      </w:r>
      <w:r>
        <w:t xml:space="preserve"> </w:t>
      </w:r>
      <w:r w:rsidRPr="00844AA1">
        <w:rPr>
          <w:sz w:val="18"/>
          <w:szCs w:val="18"/>
        </w:rPr>
        <w:t>Código Civil de la Rep</w:t>
      </w:r>
      <w:r>
        <w:rPr>
          <w:sz w:val="18"/>
          <w:szCs w:val="18"/>
        </w:rPr>
        <w:t>ública Dominicana</w:t>
      </w:r>
    </w:p>
  </w:footnote>
  <w:footnote w:id="100">
    <w:p w14:paraId="3A1330AF" w14:textId="77777777" w:rsidR="00DF3AFC" w:rsidRPr="000049A6" w:rsidRDefault="00DF3AFC" w:rsidP="004B496C">
      <w:pPr>
        <w:pStyle w:val="Textonotapie"/>
        <w:rPr>
          <w:sz w:val="18"/>
          <w:szCs w:val="18"/>
        </w:rPr>
      </w:pPr>
      <w:r w:rsidRPr="000049A6">
        <w:rPr>
          <w:rStyle w:val="Refdenotaalpie"/>
        </w:rPr>
        <w:footnoteRef/>
      </w:r>
      <w:r w:rsidRPr="000049A6">
        <w:rPr>
          <w:sz w:val="18"/>
          <w:szCs w:val="18"/>
        </w:rPr>
        <w:t xml:space="preserve"> </w:t>
      </w:r>
      <w:r w:rsidRPr="000049A6">
        <w:rPr>
          <w:rFonts w:cstheme="minorHAnsi"/>
          <w:sz w:val="18"/>
          <w:szCs w:val="18"/>
        </w:rPr>
        <w:t xml:space="preserve">Ley No. </w:t>
      </w:r>
      <w:r w:rsidRPr="000049A6">
        <w:rPr>
          <w:sz w:val="18"/>
          <w:szCs w:val="18"/>
        </w:rPr>
        <w:t>5879, de Reforma Agraria, del 27 de abril de 1962</w:t>
      </w:r>
    </w:p>
  </w:footnote>
  <w:footnote w:id="101">
    <w:p w14:paraId="0D3F73FB" w14:textId="77777777" w:rsidR="00DF3AFC" w:rsidRDefault="00DF3AFC" w:rsidP="004B496C">
      <w:pPr>
        <w:pStyle w:val="Textonotapie"/>
      </w:pPr>
      <w:r w:rsidRPr="000049A6">
        <w:rPr>
          <w:rStyle w:val="Refdenotaalpie"/>
        </w:rPr>
        <w:footnoteRef/>
      </w:r>
      <w:r w:rsidRPr="000049A6">
        <w:rPr>
          <w:sz w:val="18"/>
          <w:szCs w:val="18"/>
        </w:rPr>
        <w:t xml:space="preserve"> Ley No.202-04, Sectorial de Áreas protegidas</w:t>
      </w:r>
      <w:r>
        <w:t xml:space="preserve">, </w:t>
      </w:r>
      <w:r w:rsidRPr="000049A6">
        <w:rPr>
          <w:sz w:val="18"/>
          <w:szCs w:val="18"/>
        </w:rPr>
        <w:t>del 30 de julio del 2004, G.O.</w:t>
      </w:r>
      <w:r>
        <w:rPr>
          <w:sz w:val="18"/>
          <w:szCs w:val="18"/>
        </w:rPr>
        <w:t>10582 del 3 de agosto del 2004</w:t>
      </w:r>
    </w:p>
  </w:footnote>
  <w:footnote w:id="102">
    <w:p w14:paraId="565125D2" w14:textId="77777777" w:rsidR="00DF3AFC" w:rsidRDefault="00DF3AFC" w:rsidP="004B496C">
      <w:pPr>
        <w:pStyle w:val="Textonotapie"/>
      </w:pPr>
      <w:r>
        <w:rPr>
          <w:rStyle w:val="Refdenotaalpie"/>
        </w:rPr>
        <w:footnoteRef/>
      </w:r>
      <w:r>
        <w:t xml:space="preserve"> </w:t>
      </w:r>
      <w:r w:rsidRPr="000049A6">
        <w:rPr>
          <w:sz w:val="18"/>
          <w:szCs w:val="18"/>
        </w:rPr>
        <w:t>Ley No.202-04, Sectorial de Áreas protegidas</w:t>
      </w:r>
      <w:r>
        <w:t xml:space="preserve">, </w:t>
      </w:r>
      <w:r w:rsidRPr="000049A6">
        <w:rPr>
          <w:sz w:val="18"/>
          <w:szCs w:val="18"/>
        </w:rPr>
        <w:t>del 30 de julio del 2004, G.O.</w:t>
      </w:r>
      <w:r>
        <w:rPr>
          <w:sz w:val="18"/>
          <w:szCs w:val="18"/>
        </w:rPr>
        <w:t>10282 del 3 de agosto del 2004</w:t>
      </w:r>
    </w:p>
  </w:footnote>
  <w:footnote w:id="103">
    <w:p w14:paraId="0224C7A1" w14:textId="77777777" w:rsidR="00DF3AFC" w:rsidRDefault="00DF3AFC" w:rsidP="004B496C">
      <w:pPr>
        <w:pStyle w:val="Textonotapie"/>
      </w:pPr>
      <w:r>
        <w:rPr>
          <w:rStyle w:val="Refdenotaalpie"/>
        </w:rPr>
        <w:footnoteRef/>
      </w:r>
      <w:r>
        <w:t xml:space="preserve"> Ley No. 44-18 De Pagos por Servicios Ambientales, del 31 de agosto del 2018. </w:t>
      </w:r>
    </w:p>
  </w:footnote>
  <w:footnote w:id="104">
    <w:p w14:paraId="580B12E6" w14:textId="77777777" w:rsidR="00DF3AFC" w:rsidRDefault="00DF3AFC" w:rsidP="004B496C">
      <w:pPr>
        <w:pStyle w:val="Textonotapie"/>
      </w:pPr>
      <w:r>
        <w:rPr>
          <w:rStyle w:val="Refdenotaalpie"/>
        </w:rPr>
        <w:footnoteRef/>
      </w:r>
      <w:r>
        <w:t xml:space="preserve"> Reglamento de Operación para Pago por Servicios Ambientales Hídricos, Proyecto Piloto Cuenca del Río Yaque del Norte – PSA-CYN, aprobado por el Comité Directivo Interinstitucional del Proyecto PSA-CYN, en fecha 27 de octubre de 2010.</w:t>
      </w:r>
    </w:p>
  </w:footnote>
  <w:footnote w:id="105">
    <w:p w14:paraId="3D29322D" w14:textId="77777777" w:rsidR="00DF3AFC" w:rsidRPr="00931F56" w:rsidRDefault="00DF3AFC" w:rsidP="007948A0">
      <w:pPr>
        <w:autoSpaceDE w:val="0"/>
        <w:autoSpaceDN w:val="0"/>
        <w:adjustRightInd w:val="0"/>
        <w:spacing w:after="0"/>
        <w:rPr>
          <w:rFonts w:ascii="TimesNewRomanPSMT" w:hAnsi="TimesNewRomanPSMT" w:cs="TimesNewRomanPSMT"/>
          <w:lang w:val="es-GT"/>
        </w:rPr>
      </w:pPr>
      <w:r>
        <w:rPr>
          <w:rStyle w:val="Refdenotaalpie"/>
        </w:rPr>
        <w:footnoteRef/>
      </w:r>
      <w:r>
        <w:t xml:space="preserve"> </w:t>
      </w:r>
      <w:r w:rsidRPr="00931F56">
        <w:rPr>
          <w:rFonts w:asciiTheme="majorHAnsi" w:hAnsiTheme="majorHAnsi" w:cstheme="majorHAnsi"/>
        </w:rPr>
        <w:t>A</w:t>
      </w:r>
      <w:r w:rsidRPr="00931F56">
        <w:rPr>
          <w:rFonts w:asciiTheme="majorHAnsi" w:hAnsiTheme="majorHAnsi" w:cstheme="majorHAnsi"/>
          <w:lang w:val="es-GT"/>
        </w:rPr>
        <w:t xml:space="preserve">rtículo 2° del </w:t>
      </w:r>
      <w:r w:rsidRPr="00931F56">
        <w:rPr>
          <w:rFonts w:asciiTheme="majorHAnsi" w:hAnsiTheme="majorHAnsi" w:cstheme="majorHAnsi"/>
          <w:i/>
          <w:iCs/>
          <w:lang w:val="es-GT"/>
        </w:rPr>
        <w:t xml:space="preserve">Código Internacional de Conducta para la Distribución y Utilización de Plaguicidas </w:t>
      </w:r>
      <w:r w:rsidRPr="00931F56">
        <w:rPr>
          <w:rFonts w:asciiTheme="majorHAnsi" w:hAnsiTheme="majorHAnsi" w:cstheme="majorHAnsi"/>
          <w:lang w:val="es-GT"/>
        </w:rPr>
        <w:t>(FAO, 1990)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844A05" w14:textId="77777777" w:rsidR="00DF3AFC" w:rsidRDefault="00DF3AFC" w:rsidP="00575693">
    <w:pPr>
      <w:pStyle w:val="Aparrafopunteo"/>
      <w:numPr>
        <w:ilvl w:val="0"/>
        <w:numId w:val="0"/>
      </w:numPr>
      <w:ind w:left="42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8CF827" w14:textId="146F5119" w:rsidR="00DF3AFC" w:rsidRDefault="00DF3AFC">
    <w:pPr>
      <w:pStyle w:val="Textoindependiente"/>
      <w:spacing w:line="14" w:lineRule="auto"/>
      <w:rPr>
        <w:sz w:val="20"/>
      </w:rPr>
    </w:pPr>
    <w:r>
      <w:rPr>
        <w:noProof/>
        <w:lang w:val="en-US" w:eastAsia="en-US"/>
      </w:rPr>
      <mc:AlternateContent>
        <mc:Choice Requires="wps">
          <w:drawing>
            <wp:anchor distT="0" distB="0" distL="114300" distR="114300" simplePos="0" relativeHeight="251657728" behindDoc="1" locked="0" layoutInCell="1" allowOverlap="1" wp14:anchorId="193F6885" wp14:editId="03A60DE2">
              <wp:simplePos x="0" y="0"/>
              <wp:positionH relativeFrom="page">
                <wp:posOffset>6510020</wp:posOffset>
              </wp:positionH>
              <wp:positionV relativeFrom="page">
                <wp:posOffset>477520</wp:posOffset>
              </wp:positionV>
              <wp:extent cx="191135" cy="164465"/>
              <wp:effectExtent l="0" t="0" r="0" b="0"/>
              <wp:wrapNone/>
              <wp:docPr id="13" name="Cuadro de texto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135" cy="164465"/>
                      </a:xfrm>
                      <a:prstGeom prst="rect">
                        <a:avLst/>
                      </a:prstGeom>
                      <a:noFill/>
                      <a:ln>
                        <a:noFill/>
                      </a:ln>
                    </wps:spPr>
                    <wps:txbx>
                      <w:txbxContent>
                        <w:p w14:paraId="3D38670C" w14:textId="02F8979D" w:rsidR="00DF3AFC" w:rsidRDefault="00DF3AFC">
                          <w:pPr>
                            <w:spacing w:line="251" w:lineRule="exact"/>
                            <w:ind w:left="4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93F6885" id="_x0000_t202" coordsize="21600,21600" o:spt="202" path="m,l,21600r21600,l21600,xe">
              <v:stroke joinstyle="miter"/>
              <v:path gradientshapeok="t" o:connecttype="rect"/>
            </v:shapetype>
            <v:shape id="Cuadro de texto 13" o:spid="_x0000_s1029" type="#_x0000_t202" style="position:absolute;left:0;text-align:left;margin-left:512.6pt;margin-top:37.6pt;width:15.05pt;height:12.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dba7gEAAL4DAAAOAAAAZHJzL2Uyb0RvYy54bWysU9tu2zAMfR+wfxD0vjjuJdiMOEWXosOA&#10;7gJ0+wBGkmNhtqhRSuzs60fJSdatb8VeBEoiDw+PjpY3Y9+JvaFg0dWynM2lME6htm5by+/f7t+8&#10;lSJEcBo6dKaWBxPkzer1q+XgK3OBLXbakGAQF6rB17KN0VdFEVRreggz9MbxZYPUQ+QtbQtNMDB6&#10;3xUX8/miGJC0J1QmBD69my7lKuM3jVHxS9MEE0VXS+YW80p53aS1WC2h2hL41qojDXgBix6s46Zn&#10;qDuIIHZkn0H1VhEGbOJMYV9g01hl8gw8TTn/Z5rHFrzJs7A4wZ9lCv8PVn3efyVhNb/dpRQOen6j&#10;9Q40odBGRDNGFHzDMg0+VJz96Dk/ju9x5JI8cvAPqH4E4XDdgtuaWyIcWgOaaZapsnhSOuGEBLIZ&#10;PqHmdrCLmIHGhvqkIasiGJ2f63B+IiYiVGr5riwvr6VQfFUurq4W17kDVKdiTyF+MNiLFNSS2AEZ&#10;HPYPISYyUJ1SUi+H97brsgs699cBJ6aTTD7xnZjHcTMexdigPvAYhJOp+BNw0CL9kmJgQ9Uy/NwB&#10;GSm6j46lSO47BXQKNqcAnOLSWkYppnAdJ5fuPNlty8iT2A5vWa7G5lGSrhOLI082SZ7waOjkwqf7&#10;nPXn261+AwAA//8DAFBLAwQUAAYACAAAACEArMVqRt8AAAAMAQAADwAAAGRycy9kb3ducmV2Lnht&#10;bEyPwU7DMBBE70j8g7VI3KidoBQIcaoKwQkJkYYDRyfeJlbjdYjdNvw9zomedkczmn1bbGY7sBNO&#10;3jiSkKwEMKTWaUOdhK/67e4RmA+KtBocoYRf9LApr68KlWt3pgpPu9CxWEI+VxL6EMacc9/2aJVf&#10;uREpens3WRWinDquJ3WO5XbgqRBrbpWheKFXI7702B52Ryth+03Vq/n5aD6rfWXq+knQ+/og5e3N&#10;vH0GFnAO/2FY8CM6lJGpcUfSng1RizRLY1bCwzKXhMiye2DNsiUJ8LLgl0+UfwAAAP//AwBQSwEC&#10;LQAUAAYACAAAACEAtoM4kv4AAADhAQAAEwAAAAAAAAAAAAAAAAAAAAAAW0NvbnRlbnRfVHlwZXNd&#10;LnhtbFBLAQItABQABgAIAAAAIQA4/SH/1gAAAJQBAAALAAAAAAAAAAAAAAAAAC8BAABfcmVscy8u&#10;cmVsc1BLAQItABQABgAIAAAAIQCWrdba7gEAAL4DAAAOAAAAAAAAAAAAAAAAAC4CAABkcnMvZTJv&#10;RG9jLnhtbFBLAQItABQABgAIAAAAIQCsxWpG3wAAAAwBAAAPAAAAAAAAAAAAAAAAAEgEAABkcnMv&#10;ZG93bnJldi54bWxQSwUGAAAAAAQABADzAAAAVAUAAAAA&#10;" filled="f" stroked="f">
              <v:textbox inset="0,0,0,0">
                <w:txbxContent>
                  <w:p w14:paraId="3D38670C" w14:textId="02F8979D" w:rsidR="00DF3AFC" w:rsidRDefault="00DF3AFC">
                    <w:pPr>
                      <w:spacing w:line="251" w:lineRule="exact"/>
                      <w:ind w:left="40"/>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91031"/>
    <w:multiLevelType w:val="hybridMultilevel"/>
    <w:tmpl w:val="97984A26"/>
    <w:lvl w:ilvl="0" w:tplc="1C0A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07117BA"/>
    <w:multiLevelType w:val="hybridMultilevel"/>
    <w:tmpl w:val="E3D63722"/>
    <w:lvl w:ilvl="0" w:tplc="1C0A0019">
      <w:start w:val="1"/>
      <w:numFmt w:val="lowerLetter"/>
      <w:lvlText w:val="%1."/>
      <w:lvlJc w:val="left"/>
      <w:pPr>
        <w:ind w:left="459" w:hanging="360"/>
      </w:pPr>
      <w:rPr>
        <w:rFonts w:hint="default"/>
      </w:rPr>
    </w:lvl>
    <w:lvl w:ilvl="1" w:tplc="04090003">
      <w:start w:val="1"/>
      <w:numFmt w:val="bullet"/>
      <w:lvlText w:val="o"/>
      <w:lvlJc w:val="left"/>
      <w:pPr>
        <w:ind w:left="1179" w:hanging="360"/>
      </w:pPr>
      <w:rPr>
        <w:rFonts w:ascii="Courier New" w:hAnsi="Courier New" w:cs="Courier New" w:hint="default"/>
      </w:rPr>
    </w:lvl>
    <w:lvl w:ilvl="2" w:tplc="04090005" w:tentative="1">
      <w:start w:val="1"/>
      <w:numFmt w:val="bullet"/>
      <w:lvlText w:val=""/>
      <w:lvlJc w:val="left"/>
      <w:pPr>
        <w:ind w:left="1899" w:hanging="360"/>
      </w:pPr>
      <w:rPr>
        <w:rFonts w:ascii="Wingdings" w:hAnsi="Wingdings" w:hint="default"/>
      </w:rPr>
    </w:lvl>
    <w:lvl w:ilvl="3" w:tplc="04090001" w:tentative="1">
      <w:start w:val="1"/>
      <w:numFmt w:val="bullet"/>
      <w:lvlText w:val=""/>
      <w:lvlJc w:val="left"/>
      <w:pPr>
        <w:ind w:left="2619" w:hanging="360"/>
      </w:pPr>
      <w:rPr>
        <w:rFonts w:ascii="Symbol" w:hAnsi="Symbol" w:hint="default"/>
      </w:rPr>
    </w:lvl>
    <w:lvl w:ilvl="4" w:tplc="04090003" w:tentative="1">
      <w:start w:val="1"/>
      <w:numFmt w:val="bullet"/>
      <w:lvlText w:val="o"/>
      <w:lvlJc w:val="left"/>
      <w:pPr>
        <w:ind w:left="3339" w:hanging="360"/>
      </w:pPr>
      <w:rPr>
        <w:rFonts w:ascii="Courier New" w:hAnsi="Courier New" w:cs="Courier New" w:hint="default"/>
      </w:rPr>
    </w:lvl>
    <w:lvl w:ilvl="5" w:tplc="04090005" w:tentative="1">
      <w:start w:val="1"/>
      <w:numFmt w:val="bullet"/>
      <w:lvlText w:val=""/>
      <w:lvlJc w:val="left"/>
      <w:pPr>
        <w:ind w:left="4059" w:hanging="360"/>
      </w:pPr>
      <w:rPr>
        <w:rFonts w:ascii="Wingdings" w:hAnsi="Wingdings" w:hint="default"/>
      </w:rPr>
    </w:lvl>
    <w:lvl w:ilvl="6" w:tplc="04090001" w:tentative="1">
      <w:start w:val="1"/>
      <w:numFmt w:val="bullet"/>
      <w:lvlText w:val=""/>
      <w:lvlJc w:val="left"/>
      <w:pPr>
        <w:ind w:left="4779" w:hanging="360"/>
      </w:pPr>
      <w:rPr>
        <w:rFonts w:ascii="Symbol" w:hAnsi="Symbol" w:hint="default"/>
      </w:rPr>
    </w:lvl>
    <w:lvl w:ilvl="7" w:tplc="04090003" w:tentative="1">
      <w:start w:val="1"/>
      <w:numFmt w:val="bullet"/>
      <w:lvlText w:val="o"/>
      <w:lvlJc w:val="left"/>
      <w:pPr>
        <w:ind w:left="5499" w:hanging="360"/>
      </w:pPr>
      <w:rPr>
        <w:rFonts w:ascii="Courier New" w:hAnsi="Courier New" w:cs="Courier New" w:hint="default"/>
      </w:rPr>
    </w:lvl>
    <w:lvl w:ilvl="8" w:tplc="04090005" w:tentative="1">
      <w:start w:val="1"/>
      <w:numFmt w:val="bullet"/>
      <w:lvlText w:val=""/>
      <w:lvlJc w:val="left"/>
      <w:pPr>
        <w:ind w:left="6219" w:hanging="360"/>
      </w:pPr>
      <w:rPr>
        <w:rFonts w:ascii="Wingdings" w:hAnsi="Wingdings" w:hint="default"/>
      </w:rPr>
    </w:lvl>
  </w:abstractNum>
  <w:abstractNum w:abstractNumId="2" w15:restartNumberingAfterBreak="0">
    <w:nsid w:val="007375EA"/>
    <w:multiLevelType w:val="hybridMultilevel"/>
    <w:tmpl w:val="7560417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0C12466"/>
    <w:multiLevelType w:val="hybridMultilevel"/>
    <w:tmpl w:val="189A13B6"/>
    <w:lvl w:ilvl="0" w:tplc="B3AC5AC6">
      <w:start w:val="1"/>
      <w:numFmt w:val="bullet"/>
      <w:lvlText w:val="-"/>
      <w:lvlJc w:val="left"/>
      <w:pPr>
        <w:ind w:left="720" w:hanging="360"/>
      </w:pPr>
      <w:rPr>
        <w:rFonts w:ascii="Calibri" w:hAnsi="Calibri" w:hint="default"/>
      </w:rPr>
    </w:lvl>
    <w:lvl w:ilvl="1" w:tplc="B3AC5AC6">
      <w:start w:val="1"/>
      <w:numFmt w:val="bullet"/>
      <w:lvlText w:val="-"/>
      <w:lvlJc w:val="left"/>
      <w:pPr>
        <w:ind w:left="1440" w:hanging="360"/>
      </w:pPr>
      <w:rPr>
        <w:rFonts w:ascii="Calibri"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14012A5"/>
    <w:multiLevelType w:val="hybridMultilevel"/>
    <w:tmpl w:val="06321502"/>
    <w:lvl w:ilvl="0" w:tplc="B3AC5AC6">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1CC0CFC"/>
    <w:multiLevelType w:val="multilevel"/>
    <w:tmpl w:val="1A92C246"/>
    <w:lvl w:ilvl="0">
      <w:start w:val="1"/>
      <w:numFmt w:val="lowerLetter"/>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1D86B7D"/>
    <w:multiLevelType w:val="multilevel"/>
    <w:tmpl w:val="B2420A00"/>
    <w:lvl w:ilvl="0">
      <w:start w:val="1"/>
      <w:numFmt w:val="lowerLetter"/>
      <w:lvlText w:val="%1."/>
      <w:lvlJc w:val="left"/>
      <w:pPr>
        <w:ind w:left="360" w:hanging="360"/>
      </w:pPr>
      <w:rPr>
        <w:rFont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7" w15:restartNumberingAfterBreak="0">
    <w:nsid w:val="027F7DA8"/>
    <w:multiLevelType w:val="multilevel"/>
    <w:tmpl w:val="DB2002E8"/>
    <w:lvl w:ilvl="0">
      <w:start w:val="1"/>
      <w:numFmt w:val="lowerLetter"/>
      <w:lvlText w:val="%1."/>
      <w:lvlJc w:val="left"/>
      <w:pPr>
        <w:ind w:left="754" w:hanging="360"/>
      </w:pPr>
      <w:rPr>
        <w:rFonts w:hint="default"/>
      </w:rPr>
    </w:lvl>
    <w:lvl w:ilvl="1">
      <w:start w:val="1"/>
      <w:numFmt w:val="lowerLetter"/>
      <w:lvlText w:val="%2."/>
      <w:lvlJc w:val="left"/>
      <w:pPr>
        <w:ind w:left="1474" w:hanging="360"/>
      </w:pPr>
    </w:lvl>
    <w:lvl w:ilvl="2">
      <w:start w:val="1"/>
      <w:numFmt w:val="lowerRoman"/>
      <w:lvlText w:val="%3."/>
      <w:lvlJc w:val="right"/>
      <w:pPr>
        <w:ind w:left="2194" w:hanging="180"/>
      </w:pPr>
    </w:lvl>
    <w:lvl w:ilvl="3">
      <w:start w:val="1"/>
      <w:numFmt w:val="decimal"/>
      <w:lvlText w:val="%4."/>
      <w:lvlJc w:val="left"/>
      <w:pPr>
        <w:ind w:left="2914" w:hanging="360"/>
      </w:pPr>
    </w:lvl>
    <w:lvl w:ilvl="4">
      <w:start w:val="1"/>
      <w:numFmt w:val="lowerLetter"/>
      <w:lvlText w:val="%5."/>
      <w:lvlJc w:val="left"/>
      <w:pPr>
        <w:ind w:left="3634" w:hanging="360"/>
      </w:pPr>
    </w:lvl>
    <w:lvl w:ilvl="5">
      <w:start w:val="1"/>
      <w:numFmt w:val="lowerRoman"/>
      <w:lvlText w:val="%6."/>
      <w:lvlJc w:val="right"/>
      <w:pPr>
        <w:ind w:left="4354" w:hanging="180"/>
      </w:pPr>
    </w:lvl>
    <w:lvl w:ilvl="6">
      <w:start w:val="1"/>
      <w:numFmt w:val="decimal"/>
      <w:lvlText w:val="%7."/>
      <w:lvlJc w:val="left"/>
      <w:pPr>
        <w:ind w:left="5074" w:hanging="360"/>
      </w:pPr>
    </w:lvl>
    <w:lvl w:ilvl="7">
      <w:start w:val="1"/>
      <w:numFmt w:val="lowerLetter"/>
      <w:lvlText w:val="%8."/>
      <w:lvlJc w:val="left"/>
      <w:pPr>
        <w:ind w:left="5794" w:hanging="360"/>
      </w:pPr>
    </w:lvl>
    <w:lvl w:ilvl="8">
      <w:start w:val="1"/>
      <w:numFmt w:val="lowerRoman"/>
      <w:lvlText w:val="%9."/>
      <w:lvlJc w:val="right"/>
      <w:pPr>
        <w:ind w:left="6514" w:hanging="180"/>
      </w:pPr>
    </w:lvl>
  </w:abstractNum>
  <w:abstractNum w:abstractNumId="8" w15:restartNumberingAfterBreak="0">
    <w:nsid w:val="034A56A1"/>
    <w:multiLevelType w:val="hybridMultilevel"/>
    <w:tmpl w:val="274E3F58"/>
    <w:lvl w:ilvl="0" w:tplc="B3AC5AC6">
      <w:start w:val="1"/>
      <w:numFmt w:val="bullet"/>
      <w:lvlText w:val="-"/>
      <w:lvlJc w:val="left"/>
      <w:pPr>
        <w:ind w:left="720" w:hanging="360"/>
      </w:pPr>
      <w:rPr>
        <w:rFonts w:ascii="Calibri" w:hAnsi="Calibri" w:hint="default"/>
      </w:rPr>
    </w:lvl>
    <w:lvl w:ilvl="1" w:tplc="B3AC5AC6">
      <w:start w:val="1"/>
      <w:numFmt w:val="bullet"/>
      <w:lvlText w:val="-"/>
      <w:lvlJc w:val="left"/>
      <w:pPr>
        <w:ind w:left="1440" w:hanging="360"/>
      </w:pPr>
      <w:rPr>
        <w:rFonts w:ascii="Calibri"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3F61838"/>
    <w:multiLevelType w:val="multilevel"/>
    <w:tmpl w:val="8E72402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0418450E"/>
    <w:multiLevelType w:val="multilevel"/>
    <w:tmpl w:val="60FCFE8A"/>
    <w:lvl w:ilvl="0">
      <w:start w:val="1"/>
      <w:numFmt w:val="lowerLetter"/>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0427046E"/>
    <w:multiLevelType w:val="hybridMultilevel"/>
    <w:tmpl w:val="4552AC36"/>
    <w:lvl w:ilvl="0" w:tplc="04090017">
      <w:start w:val="1"/>
      <w:numFmt w:val="lowerLetter"/>
      <w:lvlText w:val="%1)"/>
      <w:lvlJc w:val="left"/>
      <w:pPr>
        <w:ind w:left="360" w:hanging="360"/>
      </w:pPr>
      <w:rPr>
        <w:rFonts w:hint="default"/>
        <w:color w:val="auto"/>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2" w15:restartNumberingAfterBreak="0">
    <w:nsid w:val="054011E4"/>
    <w:multiLevelType w:val="hybridMultilevel"/>
    <w:tmpl w:val="F3800884"/>
    <w:lvl w:ilvl="0" w:tplc="100A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554280D"/>
    <w:multiLevelType w:val="multilevel"/>
    <w:tmpl w:val="E3D63722"/>
    <w:lvl w:ilvl="0">
      <w:start w:val="1"/>
      <w:numFmt w:val="lowerLetter"/>
      <w:lvlText w:val="%1."/>
      <w:lvlJc w:val="left"/>
      <w:pPr>
        <w:ind w:left="459" w:hanging="360"/>
      </w:pPr>
      <w:rPr>
        <w:rFonts w:hint="default"/>
      </w:rPr>
    </w:lvl>
    <w:lvl w:ilvl="1">
      <w:start w:val="1"/>
      <w:numFmt w:val="bullet"/>
      <w:lvlText w:val="o"/>
      <w:lvlJc w:val="left"/>
      <w:pPr>
        <w:ind w:left="1179" w:hanging="360"/>
      </w:pPr>
      <w:rPr>
        <w:rFonts w:ascii="Courier New" w:hAnsi="Courier New" w:cs="Courier New" w:hint="default"/>
      </w:rPr>
    </w:lvl>
    <w:lvl w:ilvl="2">
      <w:start w:val="1"/>
      <w:numFmt w:val="bullet"/>
      <w:lvlText w:val=""/>
      <w:lvlJc w:val="left"/>
      <w:pPr>
        <w:ind w:left="1899" w:hanging="360"/>
      </w:pPr>
      <w:rPr>
        <w:rFonts w:ascii="Wingdings" w:hAnsi="Wingdings" w:hint="default"/>
      </w:rPr>
    </w:lvl>
    <w:lvl w:ilvl="3">
      <w:start w:val="1"/>
      <w:numFmt w:val="bullet"/>
      <w:lvlText w:val=""/>
      <w:lvlJc w:val="left"/>
      <w:pPr>
        <w:ind w:left="2619" w:hanging="360"/>
      </w:pPr>
      <w:rPr>
        <w:rFonts w:ascii="Symbol" w:hAnsi="Symbol" w:hint="default"/>
      </w:rPr>
    </w:lvl>
    <w:lvl w:ilvl="4">
      <w:start w:val="1"/>
      <w:numFmt w:val="bullet"/>
      <w:lvlText w:val="o"/>
      <w:lvlJc w:val="left"/>
      <w:pPr>
        <w:ind w:left="3339" w:hanging="360"/>
      </w:pPr>
      <w:rPr>
        <w:rFonts w:ascii="Courier New" w:hAnsi="Courier New" w:cs="Courier New" w:hint="default"/>
      </w:rPr>
    </w:lvl>
    <w:lvl w:ilvl="5">
      <w:start w:val="1"/>
      <w:numFmt w:val="bullet"/>
      <w:lvlText w:val=""/>
      <w:lvlJc w:val="left"/>
      <w:pPr>
        <w:ind w:left="4059" w:hanging="360"/>
      </w:pPr>
      <w:rPr>
        <w:rFonts w:ascii="Wingdings" w:hAnsi="Wingdings" w:hint="default"/>
      </w:rPr>
    </w:lvl>
    <w:lvl w:ilvl="6">
      <w:start w:val="1"/>
      <w:numFmt w:val="bullet"/>
      <w:lvlText w:val=""/>
      <w:lvlJc w:val="left"/>
      <w:pPr>
        <w:ind w:left="4779" w:hanging="360"/>
      </w:pPr>
      <w:rPr>
        <w:rFonts w:ascii="Symbol" w:hAnsi="Symbol" w:hint="default"/>
      </w:rPr>
    </w:lvl>
    <w:lvl w:ilvl="7">
      <w:start w:val="1"/>
      <w:numFmt w:val="bullet"/>
      <w:lvlText w:val="o"/>
      <w:lvlJc w:val="left"/>
      <w:pPr>
        <w:ind w:left="5499" w:hanging="360"/>
      </w:pPr>
      <w:rPr>
        <w:rFonts w:ascii="Courier New" w:hAnsi="Courier New" w:cs="Courier New" w:hint="default"/>
      </w:rPr>
    </w:lvl>
    <w:lvl w:ilvl="8">
      <w:start w:val="1"/>
      <w:numFmt w:val="bullet"/>
      <w:lvlText w:val=""/>
      <w:lvlJc w:val="left"/>
      <w:pPr>
        <w:ind w:left="6219" w:hanging="360"/>
      </w:pPr>
      <w:rPr>
        <w:rFonts w:ascii="Wingdings" w:hAnsi="Wingdings" w:hint="default"/>
      </w:rPr>
    </w:lvl>
  </w:abstractNum>
  <w:abstractNum w:abstractNumId="14" w15:restartNumberingAfterBreak="0">
    <w:nsid w:val="06A23036"/>
    <w:multiLevelType w:val="multilevel"/>
    <w:tmpl w:val="E9F4CAD6"/>
    <w:lvl w:ilvl="0">
      <w:start w:val="1"/>
      <w:numFmt w:val="lowerLetter"/>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06F75967"/>
    <w:multiLevelType w:val="multilevel"/>
    <w:tmpl w:val="3264AA1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076015BA"/>
    <w:multiLevelType w:val="hybridMultilevel"/>
    <w:tmpl w:val="998E8D4C"/>
    <w:lvl w:ilvl="0" w:tplc="1C0A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79A45A0"/>
    <w:multiLevelType w:val="hybridMultilevel"/>
    <w:tmpl w:val="160ABCD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07B85369"/>
    <w:multiLevelType w:val="multilevel"/>
    <w:tmpl w:val="D6540C60"/>
    <w:lvl w:ilvl="0">
      <w:start w:val="1"/>
      <w:numFmt w:val="lowerLetter"/>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07C37289"/>
    <w:multiLevelType w:val="multilevel"/>
    <w:tmpl w:val="87206AE2"/>
    <w:lvl w:ilvl="0">
      <w:start w:val="1"/>
      <w:numFmt w:val="lowerLetter"/>
      <w:lvlText w:val="%1."/>
      <w:lvlJc w:val="left"/>
      <w:pPr>
        <w:ind w:left="360" w:hanging="360"/>
      </w:pPr>
      <w:rPr>
        <w:rFont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0" w15:restartNumberingAfterBreak="0">
    <w:nsid w:val="0843168C"/>
    <w:multiLevelType w:val="hybridMultilevel"/>
    <w:tmpl w:val="7090B372"/>
    <w:lvl w:ilvl="0" w:tplc="100A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08990C3C"/>
    <w:multiLevelType w:val="multilevel"/>
    <w:tmpl w:val="3370A20A"/>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08D63A38"/>
    <w:multiLevelType w:val="hybridMultilevel"/>
    <w:tmpl w:val="8DAC74AA"/>
    <w:lvl w:ilvl="0" w:tplc="100A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08FC5D96"/>
    <w:multiLevelType w:val="multilevel"/>
    <w:tmpl w:val="E9F4CAD6"/>
    <w:lvl w:ilvl="0">
      <w:start w:val="1"/>
      <w:numFmt w:val="lowerLetter"/>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4" w15:restartNumberingAfterBreak="0">
    <w:nsid w:val="09331FE8"/>
    <w:multiLevelType w:val="hybridMultilevel"/>
    <w:tmpl w:val="979A8974"/>
    <w:lvl w:ilvl="0" w:tplc="100A0019">
      <w:start w:val="1"/>
      <w:numFmt w:val="lowerLetter"/>
      <w:lvlText w:val="%1."/>
      <w:lvlJc w:val="left"/>
      <w:pPr>
        <w:ind w:left="720" w:hanging="360"/>
      </w:pPr>
      <w:rPr>
        <w:rFonts w:hint="default"/>
      </w:rPr>
    </w:lvl>
    <w:lvl w:ilvl="1" w:tplc="540A0003" w:tentative="1">
      <w:start w:val="1"/>
      <w:numFmt w:val="bullet"/>
      <w:lvlText w:val="o"/>
      <w:lvlJc w:val="left"/>
      <w:pPr>
        <w:ind w:left="1440" w:hanging="360"/>
      </w:pPr>
      <w:rPr>
        <w:rFonts w:ascii="Courier New" w:hAnsi="Courier New" w:cs="Courier New" w:hint="default"/>
      </w:rPr>
    </w:lvl>
    <w:lvl w:ilvl="2" w:tplc="540A0005" w:tentative="1">
      <w:start w:val="1"/>
      <w:numFmt w:val="bullet"/>
      <w:lvlText w:val=""/>
      <w:lvlJc w:val="left"/>
      <w:pPr>
        <w:ind w:left="2160" w:hanging="360"/>
      </w:pPr>
      <w:rPr>
        <w:rFonts w:ascii="Wingdings" w:hAnsi="Wingdings" w:hint="default"/>
      </w:rPr>
    </w:lvl>
    <w:lvl w:ilvl="3" w:tplc="540A0001" w:tentative="1">
      <w:start w:val="1"/>
      <w:numFmt w:val="bullet"/>
      <w:lvlText w:val=""/>
      <w:lvlJc w:val="left"/>
      <w:pPr>
        <w:ind w:left="2880" w:hanging="360"/>
      </w:pPr>
      <w:rPr>
        <w:rFonts w:ascii="Symbol" w:hAnsi="Symbol" w:hint="default"/>
      </w:rPr>
    </w:lvl>
    <w:lvl w:ilvl="4" w:tplc="540A0003" w:tentative="1">
      <w:start w:val="1"/>
      <w:numFmt w:val="bullet"/>
      <w:lvlText w:val="o"/>
      <w:lvlJc w:val="left"/>
      <w:pPr>
        <w:ind w:left="3600" w:hanging="360"/>
      </w:pPr>
      <w:rPr>
        <w:rFonts w:ascii="Courier New" w:hAnsi="Courier New" w:cs="Courier New" w:hint="default"/>
      </w:rPr>
    </w:lvl>
    <w:lvl w:ilvl="5" w:tplc="540A0005" w:tentative="1">
      <w:start w:val="1"/>
      <w:numFmt w:val="bullet"/>
      <w:lvlText w:val=""/>
      <w:lvlJc w:val="left"/>
      <w:pPr>
        <w:ind w:left="4320" w:hanging="360"/>
      </w:pPr>
      <w:rPr>
        <w:rFonts w:ascii="Wingdings" w:hAnsi="Wingdings" w:hint="default"/>
      </w:rPr>
    </w:lvl>
    <w:lvl w:ilvl="6" w:tplc="540A0001" w:tentative="1">
      <w:start w:val="1"/>
      <w:numFmt w:val="bullet"/>
      <w:lvlText w:val=""/>
      <w:lvlJc w:val="left"/>
      <w:pPr>
        <w:ind w:left="5040" w:hanging="360"/>
      </w:pPr>
      <w:rPr>
        <w:rFonts w:ascii="Symbol" w:hAnsi="Symbol" w:hint="default"/>
      </w:rPr>
    </w:lvl>
    <w:lvl w:ilvl="7" w:tplc="540A0003" w:tentative="1">
      <w:start w:val="1"/>
      <w:numFmt w:val="bullet"/>
      <w:lvlText w:val="o"/>
      <w:lvlJc w:val="left"/>
      <w:pPr>
        <w:ind w:left="5760" w:hanging="360"/>
      </w:pPr>
      <w:rPr>
        <w:rFonts w:ascii="Courier New" w:hAnsi="Courier New" w:cs="Courier New" w:hint="default"/>
      </w:rPr>
    </w:lvl>
    <w:lvl w:ilvl="8" w:tplc="540A0005" w:tentative="1">
      <w:start w:val="1"/>
      <w:numFmt w:val="bullet"/>
      <w:lvlText w:val=""/>
      <w:lvlJc w:val="left"/>
      <w:pPr>
        <w:ind w:left="6480" w:hanging="360"/>
      </w:pPr>
      <w:rPr>
        <w:rFonts w:ascii="Wingdings" w:hAnsi="Wingdings" w:hint="default"/>
      </w:rPr>
    </w:lvl>
  </w:abstractNum>
  <w:abstractNum w:abstractNumId="25" w15:restartNumberingAfterBreak="0">
    <w:nsid w:val="093E311C"/>
    <w:multiLevelType w:val="multilevel"/>
    <w:tmpl w:val="3926D21C"/>
    <w:lvl w:ilvl="0">
      <w:start w:val="1"/>
      <w:numFmt w:val="bullet"/>
      <w:pStyle w:val="Listaconvietas"/>
      <w:lvlText w:val=""/>
      <w:lvlJc w:val="left"/>
      <w:pPr>
        <w:tabs>
          <w:tab w:val="num" w:pos="1004"/>
        </w:tabs>
        <w:ind w:left="1004" w:hanging="284"/>
      </w:pPr>
      <w:rPr>
        <w:rFonts w:ascii="Wingdings" w:hAnsi="Wingdings" w:hint="default"/>
      </w:rPr>
    </w:lvl>
    <w:lvl w:ilvl="1">
      <w:start w:val="1"/>
      <w:numFmt w:val="bullet"/>
      <w:pStyle w:val="Listaconvietas2"/>
      <w:lvlText w:val="–"/>
      <w:lvlJc w:val="left"/>
      <w:pPr>
        <w:tabs>
          <w:tab w:val="num" w:pos="1287"/>
        </w:tabs>
        <w:ind w:left="1287" w:hanging="283"/>
      </w:pPr>
      <w:rPr>
        <w:rFonts w:ascii="Times New Roman" w:hAnsi="Times New Roman" w:cs="Times New Roman" w:hint="default"/>
      </w:rPr>
    </w:lvl>
    <w:lvl w:ilvl="2">
      <w:start w:val="1"/>
      <w:numFmt w:val="bullet"/>
      <w:pStyle w:val="Listaconvietas3"/>
      <w:lvlText w:val=""/>
      <w:lvlJc w:val="left"/>
      <w:pPr>
        <w:tabs>
          <w:tab w:val="num" w:pos="1571"/>
        </w:tabs>
        <w:ind w:left="1571" w:hanging="284"/>
      </w:pPr>
      <w:rPr>
        <w:rFonts w:ascii="Wingdings 2" w:hAnsi="Wingdings 2" w:hint="default"/>
      </w:rPr>
    </w:lvl>
    <w:lvl w:ilvl="3">
      <w:start w:val="1"/>
      <w:numFmt w:val="none"/>
      <w:pStyle w:val="Listaconvietas4"/>
      <w:suff w:val="nothing"/>
      <w:lvlText w:val=""/>
      <w:lvlJc w:val="left"/>
      <w:pPr>
        <w:ind w:left="1571" w:firstLine="0"/>
      </w:pPr>
      <w:rPr>
        <w:rFonts w:hint="default"/>
      </w:rPr>
    </w:lvl>
    <w:lvl w:ilvl="4">
      <w:start w:val="1"/>
      <w:numFmt w:val="none"/>
      <w:suff w:val="nothing"/>
      <w:lvlText w:val=""/>
      <w:lvlJc w:val="left"/>
      <w:pPr>
        <w:ind w:left="1571" w:firstLine="0"/>
      </w:pPr>
      <w:rPr>
        <w:rFonts w:hint="default"/>
      </w:rPr>
    </w:lvl>
    <w:lvl w:ilvl="5">
      <w:start w:val="1"/>
      <w:numFmt w:val="none"/>
      <w:suff w:val="nothing"/>
      <w:lvlText w:val=""/>
      <w:lvlJc w:val="left"/>
      <w:pPr>
        <w:ind w:left="1571" w:firstLine="0"/>
      </w:pPr>
      <w:rPr>
        <w:rFonts w:hint="default"/>
      </w:rPr>
    </w:lvl>
    <w:lvl w:ilvl="6">
      <w:start w:val="1"/>
      <w:numFmt w:val="none"/>
      <w:suff w:val="nothing"/>
      <w:lvlText w:val=""/>
      <w:lvlJc w:val="left"/>
      <w:pPr>
        <w:ind w:left="1571" w:firstLine="0"/>
      </w:pPr>
      <w:rPr>
        <w:rFonts w:hint="default"/>
      </w:rPr>
    </w:lvl>
    <w:lvl w:ilvl="7">
      <w:start w:val="1"/>
      <w:numFmt w:val="none"/>
      <w:suff w:val="nothing"/>
      <w:lvlText w:val=""/>
      <w:lvlJc w:val="left"/>
      <w:pPr>
        <w:ind w:left="1571" w:firstLine="0"/>
      </w:pPr>
      <w:rPr>
        <w:rFonts w:hint="default"/>
      </w:rPr>
    </w:lvl>
    <w:lvl w:ilvl="8">
      <w:start w:val="1"/>
      <w:numFmt w:val="none"/>
      <w:suff w:val="nothing"/>
      <w:lvlText w:val=""/>
      <w:lvlJc w:val="left"/>
      <w:pPr>
        <w:ind w:left="1571" w:firstLine="0"/>
      </w:pPr>
      <w:rPr>
        <w:rFonts w:hint="default"/>
      </w:rPr>
    </w:lvl>
  </w:abstractNum>
  <w:abstractNum w:abstractNumId="26" w15:restartNumberingAfterBreak="0">
    <w:nsid w:val="095B1F94"/>
    <w:multiLevelType w:val="hybridMultilevel"/>
    <w:tmpl w:val="50567F82"/>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27" w15:restartNumberingAfterBreak="0">
    <w:nsid w:val="09D847A6"/>
    <w:multiLevelType w:val="hybridMultilevel"/>
    <w:tmpl w:val="B7F830A0"/>
    <w:lvl w:ilvl="0" w:tplc="100A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0A3C61E1"/>
    <w:multiLevelType w:val="hybridMultilevel"/>
    <w:tmpl w:val="548CD608"/>
    <w:lvl w:ilvl="0" w:tplc="1C0A0019">
      <w:start w:val="1"/>
      <w:numFmt w:val="lowerLetter"/>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29" w15:restartNumberingAfterBreak="0">
    <w:nsid w:val="0AE941DA"/>
    <w:multiLevelType w:val="hybridMultilevel"/>
    <w:tmpl w:val="FCAAA5B0"/>
    <w:lvl w:ilvl="0" w:tplc="100A0019">
      <w:start w:val="1"/>
      <w:numFmt w:val="lowerLetter"/>
      <w:lvlText w:val="%1."/>
      <w:lvlJc w:val="left"/>
      <w:pPr>
        <w:ind w:left="360" w:hanging="360"/>
      </w:pPr>
      <w:rPr>
        <w:rFonts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0" w15:restartNumberingAfterBreak="0">
    <w:nsid w:val="0B393CC8"/>
    <w:multiLevelType w:val="hybridMultilevel"/>
    <w:tmpl w:val="F1A04C14"/>
    <w:lvl w:ilvl="0" w:tplc="A3C6854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0B4A3946"/>
    <w:multiLevelType w:val="hybridMultilevel"/>
    <w:tmpl w:val="41F01BF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0B4A4D8D"/>
    <w:multiLevelType w:val="hybridMultilevel"/>
    <w:tmpl w:val="4DD67DD2"/>
    <w:lvl w:ilvl="0" w:tplc="040C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0B742340"/>
    <w:multiLevelType w:val="hybridMultilevel"/>
    <w:tmpl w:val="094C10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0B794C1E"/>
    <w:multiLevelType w:val="multilevel"/>
    <w:tmpl w:val="C0FAB55C"/>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5" w15:restartNumberingAfterBreak="0">
    <w:nsid w:val="0BAA2817"/>
    <w:multiLevelType w:val="hybridMultilevel"/>
    <w:tmpl w:val="7A96551C"/>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6" w15:restartNumberingAfterBreak="0">
    <w:nsid w:val="0BD75F03"/>
    <w:multiLevelType w:val="hybridMultilevel"/>
    <w:tmpl w:val="98E4D7C2"/>
    <w:lvl w:ilvl="0" w:tplc="100A0019">
      <w:start w:val="1"/>
      <w:numFmt w:val="lowerLetter"/>
      <w:lvlText w:val="%1."/>
      <w:lvlJc w:val="left"/>
      <w:pPr>
        <w:ind w:left="360" w:hanging="360"/>
      </w:pPr>
      <w:rPr>
        <w:rFonts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7" w15:restartNumberingAfterBreak="0">
    <w:nsid w:val="0BFE4522"/>
    <w:multiLevelType w:val="hybridMultilevel"/>
    <w:tmpl w:val="DD105508"/>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8" w15:restartNumberingAfterBreak="0">
    <w:nsid w:val="0C863495"/>
    <w:multiLevelType w:val="hybridMultilevel"/>
    <w:tmpl w:val="FA9CEFAC"/>
    <w:lvl w:ilvl="0" w:tplc="100A0017">
      <w:start w:val="1"/>
      <w:numFmt w:val="lowerLetter"/>
      <w:lvlText w:val="%1)"/>
      <w:lvlJc w:val="left"/>
      <w:pPr>
        <w:ind w:left="720" w:hanging="360"/>
      </w:pPr>
      <w:rPr>
        <w:rFonts w:hint="default"/>
        <w:color w:val="auto"/>
        <w:sz w:val="24"/>
        <w:szCs w:val="24"/>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9" w15:restartNumberingAfterBreak="0">
    <w:nsid w:val="0C891462"/>
    <w:multiLevelType w:val="multilevel"/>
    <w:tmpl w:val="6D76B4E8"/>
    <w:lvl w:ilvl="0">
      <w:start w:val="1"/>
      <w:numFmt w:val="lowerLetter"/>
      <w:lvlText w:val="%1."/>
      <w:lvlJc w:val="left"/>
      <w:pPr>
        <w:ind w:left="360" w:hanging="360"/>
      </w:pPr>
      <w:rPr>
        <w:rFont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0" w15:restartNumberingAfterBreak="0">
    <w:nsid w:val="0CE559D4"/>
    <w:multiLevelType w:val="hybridMultilevel"/>
    <w:tmpl w:val="CE4240FA"/>
    <w:lvl w:ilvl="0" w:tplc="040A0019">
      <w:start w:val="1"/>
      <w:numFmt w:val="lowerLetter"/>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1" w15:restartNumberingAfterBreak="0">
    <w:nsid w:val="0D33130B"/>
    <w:multiLevelType w:val="hybridMultilevel"/>
    <w:tmpl w:val="896C99F2"/>
    <w:lvl w:ilvl="0" w:tplc="1C0A0019">
      <w:start w:val="1"/>
      <w:numFmt w:val="lowerLetter"/>
      <w:lvlText w:val="%1."/>
      <w:lvlJc w:val="left"/>
      <w:pPr>
        <w:ind w:left="720" w:hanging="360"/>
      </w:pPr>
      <w:rPr>
        <w:rFonts w:hint="default"/>
      </w:rPr>
    </w:lvl>
    <w:lvl w:ilvl="1" w:tplc="100A0019">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42" w15:restartNumberingAfterBreak="0">
    <w:nsid w:val="0D3B36CD"/>
    <w:multiLevelType w:val="hybridMultilevel"/>
    <w:tmpl w:val="2CD2F6B4"/>
    <w:lvl w:ilvl="0" w:tplc="040A0019">
      <w:start w:val="1"/>
      <w:numFmt w:val="lowerLetter"/>
      <w:lvlText w:val="%1."/>
      <w:lvlJc w:val="left"/>
      <w:pPr>
        <w:ind w:left="360" w:hanging="360"/>
      </w:pPr>
    </w:lvl>
    <w:lvl w:ilvl="1" w:tplc="040A0019">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43" w15:restartNumberingAfterBreak="0">
    <w:nsid w:val="0D4E0EC1"/>
    <w:multiLevelType w:val="hybridMultilevel"/>
    <w:tmpl w:val="030087D4"/>
    <w:lvl w:ilvl="0" w:tplc="4BAEC12A">
      <w:start w:val="1"/>
      <w:numFmt w:val="lowerLetter"/>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4" w15:restartNumberingAfterBreak="0">
    <w:nsid w:val="0D6A4F74"/>
    <w:multiLevelType w:val="hybridMultilevel"/>
    <w:tmpl w:val="D6540C60"/>
    <w:lvl w:ilvl="0" w:tplc="100A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0DB0581B"/>
    <w:multiLevelType w:val="hybridMultilevel"/>
    <w:tmpl w:val="BBD8FE24"/>
    <w:lvl w:ilvl="0" w:tplc="100A0017">
      <w:start w:val="1"/>
      <w:numFmt w:val="lowerLetter"/>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46" w15:restartNumberingAfterBreak="0">
    <w:nsid w:val="0E784F67"/>
    <w:multiLevelType w:val="hybridMultilevel"/>
    <w:tmpl w:val="E8941E2E"/>
    <w:lvl w:ilvl="0" w:tplc="100A0019">
      <w:start w:val="1"/>
      <w:numFmt w:val="lowerLetter"/>
      <w:lvlText w:val="%1."/>
      <w:lvlJc w:val="left"/>
      <w:pPr>
        <w:ind w:left="360" w:hanging="360"/>
      </w:pPr>
      <w:rPr>
        <w:rFonts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47" w15:restartNumberingAfterBreak="0">
    <w:nsid w:val="0E946CF4"/>
    <w:multiLevelType w:val="hybridMultilevel"/>
    <w:tmpl w:val="B0D44702"/>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48" w15:restartNumberingAfterBreak="0">
    <w:nsid w:val="0EAE5B74"/>
    <w:multiLevelType w:val="hybridMultilevel"/>
    <w:tmpl w:val="9B0A4CCE"/>
    <w:lvl w:ilvl="0" w:tplc="CD5003D6">
      <w:numFmt w:val="bullet"/>
      <w:lvlText w:val="-"/>
      <w:lvlJc w:val="left"/>
      <w:pPr>
        <w:ind w:left="720" w:hanging="360"/>
      </w:pPr>
      <w:rPr>
        <w:rFonts w:ascii="Calibri" w:eastAsia="Times New Roman" w:hAnsi="Calibri"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0EB2086F"/>
    <w:multiLevelType w:val="hybridMultilevel"/>
    <w:tmpl w:val="A970D61A"/>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0" w15:restartNumberingAfterBreak="0">
    <w:nsid w:val="0F091135"/>
    <w:multiLevelType w:val="multilevel"/>
    <w:tmpl w:val="C0F6355E"/>
    <w:lvl w:ilvl="0">
      <w:start w:val="1"/>
      <w:numFmt w:val="decimal"/>
      <w:lvlText w:val="%1."/>
      <w:lvlJc w:val="left"/>
      <w:pPr>
        <w:ind w:left="360" w:hanging="360"/>
      </w:pPr>
    </w:lvl>
    <w:lvl w:ilvl="1">
      <w:start w:val="4"/>
      <w:numFmt w:val="decimal"/>
      <w:isLgl/>
      <w:lvlText w:val="%1.%2"/>
      <w:lvlJc w:val="left"/>
      <w:pPr>
        <w:ind w:left="513" w:hanging="480"/>
      </w:pPr>
      <w:rPr>
        <w:rFonts w:hint="default"/>
      </w:rPr>
    </w:lvl>
    <w:lvl w:ilvl="2">
      <w:start w:val="1"/>
      <w:numFmt w:val="decimal"/>
      <w:isLgl/>
      <w:lvlText w:val="%1.%2.%3"/>
      <w:lvlJc w:val="left"/>
      <w:pPr>
        <w:ind w:left="786" w:hanging="720"/>
      </w:pPr>
      <w:rPr>
        <w:rFonts w:hint="default"/>
      </w:rPr>
    </w:lvl>
    <w:lvl w:ilvl="3">
      <w:start w:val="1"/>
      <w:numFmt w:val="decimal"/>
      <w:isLgl/>
      <w:lvlText w:val="%1.%2.%3.%4"/>
      <w:lvlJc w:val="left"/>
      <w:pPr>
        <w:ind w:left="819" w:hanging="720"/>
      </w:pPr>
      <w:rPr>
        <w:rFonts w:hint="default"/>
      </w:rPr>
    </w:lvl>
    <w:lvl w:ilvl="4">
      <w:start w:val="1"/>
      <w:numFmt w:val="decimal"/>
      <w:isLgl/>
      <w:lvlText w:val="%1.%2.%3.%4.%5"/>
      <w:lvlJc w:val="left"/>
      <w:pPr>
        <w:ind w:left="1212" w:hanging="1080"/>
      </w:pPr>
      <w:rPr>
        <w:rFonts w:hint="default"/>
      </w:rPr>
    </w:lvl>
    <w:lvl w:ilvl="5">
      <w:start w:val="1"/>
      <w:numFmt w:val="decimal"/>
      <w:isLgl/>
      <w:lvlText w:val="%1.%2.%3.%4.%5.%6"/>
      <w:lvlJc w:val="left"/>
      <w:pPr>
        <w:ind w:left="1245" w:hanging="1080"/>
      </w:pPr>
      <w:rPr>
        <w:rFonts w:hint="default"/>
      </w:rPr>
    </w:lvl>
    <w:lvl w:ilvl="6">
      <w:start w:val="1"/>
      <w:numFmt w:val="decimal"/>
      <w:isLgl/>
      <w:lvlText w:val="%1.%2.%3.%4.%5.%6.%7"/>
      <w:lvlJc w:val="left"/>
      <w:pPr>
        <w:ind w:left="1638" w:hanging="1440"/>
      </w:pPr>
      <w:rPr>
        <w:rFonts w:hint="default"/>
      </w:rPr>
    </w:lvl>
    <w:lvl w:ilvl="7">
      <w:start w:val="1"/>
      <w:numFmt w:val="decimal"/>
      <w:isLgl/>
      <w:lvlText w:val="%1.%2.%3.%4.%5.%6.%7.%8"/>
      <w:lvlJc w:val="left"/>
      <w:pPr>
        <w:ind w:left="1671" w:hanging="1440"/>
      </w:pPr>
      <w:rPr>
        <w:rFonts w:hint="default"/>
      </w:rPr>
    </w:lvl>
    <w:lvl w:ilvl="8">
      <w:start w:val="1"/>
      <w:numFmt w:val="decimal"/>
      <w:isLgl/>
      <w:lvlText w:val="%1.%2.%3.%4.%5.%6.%7.%8.%9"/>
      <w:lvlJc w:val="left"/>
      <w:pPr>
        <w:ind w:left="1704" w:hanging="1440"/>
      </w:pPr>
      <w:rPr>
        <w:rFonts w:hint="default"/>
      </w:rPr>
    </w:lvl>
  </w:abstractNum>
  <w:abstractNum w:abstractNumId="51" w15:restartNumberingAfterBreak="0">
    <w:nsid w:val="0F2B2389"/>
    <w:multiLevelType w:val="hybridMultilevel"/>
    <w:tmpl w:val="F2D8E47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52" w15:restartNumberingAfterBreak="0">
    <w:nsid w:val="0F5B371C"/>
    <w:multiLevelType w:val="multilevel"/>
    <w:tmpl w:val="78E09668"/>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3" w15:restartNumberingAfterBreak="0">
    <w:nsid w:val="0F765EC3"/>
    <w:multiLevelType w:val="hybridMultilevel"/>
    <w:tmpl w:val="3B383844"/>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54" w15:restartNumberingAfterBreak="0">
    <w:nsid w:val="0FA71C40"/>
    <w:multiLevelType w:val="hybridMultilevel"/>
    <w:tmpl w:val="C378625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1002567D"/>
    <w:multiLevelType w:val="hybridMultilevel"/>
    <w:tmpl w:val="BC102E36"/>
    <w:lvl w:ilvl="0" w:tplc="04090001">
      <w:start w:val="1"/>
      <w:numFmt w:val="bullet"/>
      <w:lvlText w:val=""/>
      <w:lvlJc w:val="left"/>
      <w:pPr>
        <w:ind w:left="720" w:hanging="360"/>
      </w:pPr>
      <w:rPr>
        <w:rFonts w:ascii="Symbol" w:hAnsi="Symbol" w:hint="default"/>
      </w:rPr>
    </w:lvl>
    <w:lvl w:ilvl="1" w:tplc="6BDA23DA">
      <w:start w:val="1"/>
      <w:numFmt w:val="bullet"/>
      <w:lvlText w:val=""/>
      <w:lvlJc w:val="left"/>
      <w:pPr>
        <w:ind w:left="1440" w:hanging="360"/>
      </w:pPr>
      <w:rPr>
        <w:rFonts w:ascii="Wingdings" w:hAnsi="Wingdings" w:hint="default"/>
        <w:color w:val="auto"/>
        <w:sz w:val="24"/>
        <w:szCs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10251ED4"/>
    <w:multiLevelType w:val="hybridMultilevel"/>
    <w:tmpl w:val="EA40384C"/>
    <w:lvl w:ilvl="0" w:tplc="040A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108D2F84"/>
    <w:multiLevelType w:val="multilevel"/>
    <w:tmpl w:val="6696FE0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15:restartNumberingAfterBreak="0">
    <w:nsid w:val="128E1262"/>
    <w:multiLevelType w:val="multilevel"/>
    <w:tmpl w:val="8FDA4778"/>
    <w:lvl w:ilvl="0">
      <w:start w:val="1"/>
      <w:numFmt w:val="lowerLetter"/>
      <w:lvlText w:val="%1."/>
      <w:lvlJc w:val="left"/>
      <w:pPr>
        <w:ind w:left="72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9" w15:restartNumberingAfterBreak="0">
    <w:nsid w:val="129B766D"/>
    <w:multiLevelType w:val="multilevel"/>
    <w:tmpl w:val="FCAAA5B0"/>
    <w:lvl w:ilvl="0">
      <w:start w:val="1"/>
      <w:numFmt w:val="lowerLetter"/>
      <w:lvlText w:val="%1."/>
      <w:lvlJc w:val="left"/>
      <w:pPr>
        <w:ind w:left="360" w:hanging="360"/>
      </w:pPr>
      <w:rPr>
        <w:rFont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60" w15:restartNumberingAfterBreak="0">
    <w:nsid w:val="12C66585"/>
    <w:multiLevelType w:val="multilevel"/>
    <w:tmpl w:val="7E88B34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1" w15:restartNumberingAfterBreak="0">
    <w:nsid w:val="13A6059E"/>
    <w:multiLevelType w:val="hybridMultilevel"/>
    <w:tmpl w:val="1CAA0CC8"/>
    <w:lvl w:ilvl="0" w:tplc="9560288C">
      <w:start w:val="1"/>
      <w:numFmt w:val="lowerLetter"/>
      <w:lvlText w:val="%1."/>
      <w:lvlJc w:val="left"/>
      <w:pPr>
        <w:ind w:left="329" w:hanging="360"/>
      </w:pPr>
      <w:rPr>
        <w:rFonts w:asciiTheme="minorHAnsi" w:hAnsiTheme="minorHAnsi" w:cstheme="minorHAnsi" w:hint="default"/>
      </w:rPr>
    </w:lvl>
    <w:lvl w:ilvl="1" w:tplc="1C0A0019" w:tentative="1">
      <w:start w:val="1"/>
      <w:numFmt w:val="lowerLetter"/>
      <w:lvlText w:val="%2."/>
      <w:lvlJc w:val="left"/>
      <w:pPr>
        <w:ind w:left="1049" w:hanging="360"/>
      </w:pPr>
    </w:lvl>
    <w:lvl w:ilvl="2" w:tplc="1C0A001B" w:tentative="1">
      <w:start w:val="1"/>
      <w:numFmt w:val="lowerRoman"/>
      <w:lvlText w:val="%3."/>
      <w:lvlJc w:val="right"/>
      <w:pPr>
        <w:ind w:left="1769" w:hanging="180"/>
      </w:pPr>
    </w:lvl>
    <w:lvl w:ilvl="3" w:tplc="1C0A000F" w:tentative="1">
      <w:start w:val="1"/>
      <w:numFmt w:val="decimal"/>
      <w:lvlText w:val="%4."/>
      <w:lvlJc w:val="left"/>
      <w:pPr>
        <w:ind w:left="2489" w:hanging="360"/>
      </w:pPr>
    </w:lvl>
    <w:lvl w:ilvl="4" w:tplc="1C0A0019" w:tentative="1">
      <w:start w:val="1"/>
      <w:numFmt w:val="lowerLetter"/>
      <w:lvlText w:val="%5."/>
      <w:lvlJc w:val="left"/>
      <w:pPr>
        <w:ind w:left="3209" w:hanging="360"/>
      </w:pPr>
    </w:lvl>
    <w:lvl w:ilvl="5" w:tplc="1C0A001B" w:tentative="1">
      <w:start w:val="1"/>
      <w:numFmt w:val="lowerRoman"/>
      <w:lvlText w:val="%6."/>
      <w:lvlJc w:val="right"/>
      <w:pPr>
        <w:ind w:left="3929" w:hanging="180"/>
      </w:pPr>
    </w:lvl>
    <w:lvl w:ilvl="6" w:tplc="1C0A000F" w:tentative="1">
      <w:start w:val="1"/>
      <w:numFmt w:val="decimal"/>
      <w:lvlText w:val="%7."/>
      <w:lvlJc w:val="left"/>
      <w:pPr>
        <w:ind w:left="4649" w:hanging="360"/>
      </w:pPr>
    </w:lvl>
    <w:lvl w:ilvl="7" w:tplc="1C0A0019" w:tentative="1">
      <w:start w:val="1"/>
      <w:numFmt w:val="lowerLetter"/>
      <w:lvlText w:val="%8."/>
      <w:lvlJc w:val="left"/>
      <w:pPr>
        <w:ind w:left="5369" w:hanging="360"/>
      </w:pPr>
    </w:lvl>
    <w:lvl w:ilvl="8" w:tplc="1C0A001B" w:tentative="1">
      <w:start w:val="1"/>
      <w:numFmt w:val="lowerRoman"/>
      <w:lvlText w:val="%9."/>
      <w:lvlJc w:val="right"/>
      <w:pPr>
        <w:ind w:left="6089" w:hanging="180"/>
      </w:pPr>
    </w:lvl>
  </w:abstractNum>
  <w:abstractNum w:abstractNumId="62" w15:restartNumberingAfterBreak="0">
    <w:nsid w:val="144257A7"/>
    <w:multiLevelType w:val="hybridMultilevel"/>
    <w:tmpl w:val="C684689C"/>
    <w:lvl w:ilvl="0" w:tplc="A3C6854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45C3D86"/>
    <w:multiLevelType w:val="hybridMultilevel"/>
    <w:tmpl w:val="565A2B38"/>
    <w:lvl w:ilvl="0" w:tplc="CB3A16EA">
      <w:start w:val="1"/>
      <w:numFmt w:val="lowerLetter"/>
      <w:lvlText w:val="%1."/>
      <w:lvlJc w:val="left"/>
      <w:pPr>
        <w:ind w:left="394" w:hanging="360"/>
      </w:pPr>
      <w:rPr>
        <w:rFonts w:hint="default"/>
      </w:rPr>
    </w:lvl>
    <w:lvl w:ilvl="1" w:tplc="04090019" w:tentative="1">
      <w:start w:val="1"/>
      <w:numFmt w:val="lowerLetter"/>
      <w:lvlText w:val="%2."/>
      <w:lvlJc w:val="left"/>
      <w:pPr>
        <w:ind w:left="1114" w:hanging="360"/>
      </w:pPr>
    </w:lvl>
    <w:lvl w:ilvl="2" w:tplc="0409001B" w:tentative="1">
      <w:start w:val="1"/>
      <w:numFmt w:val="lowerRoman"/>
      <w:lvlText w:val="%3."/>
      <w:lvlJc w:val="right"/>
      <w:pPr>
        <w:ind w:left="1834" w:hanging="180"/>
      </w:pPr>
    </w:lvl>
    <w:lvl w:ilvl="3" w:tplc="0409000F" w:tentative="1">
      <w:start w:val="1"/>
      <w:numFmt w:val="decimal"/>
      <w:lvlText w:val="%4."/>
      <w:lvlJc w:val="left"/>
      <w:pPr>
        <w:ind w:left="2554" w:hanging="360"/>
      </w:pPr>
    </w:lvl>
    <w:lvl w:ilvl="4" w:tplc="04090019" w:tentative="1">
      <w:start w:val="1"/>
      <w:numFmt w:val="lowerLetter"/>
      <w:lvlText w:val="%5."/>
      <w:lvlJc w:val="left"/>
      <w:pPr>
        <w:ind w:left="3274" w:hanging="360"/>
      </w:pPr>
    </w:lvl>
    <w:lvl w:ilvl="5" w:tplc="0409001B" w:tentative="1">
      <w:start w:val="1"/>
      <w:numFmt w:val="lowerRoman"/>
      <w:lvlText w:val="%6."/>
      <w:lvlJc w:val="right"/>
      <w:pPr>
        <w:ind w:left="3994" w:hanging="180"/>
      </w:pPr>
    </w:lvl>
    <w:lvl w:ilvl="6" w:tplc="0409000F" w:tentative="1">
      <w:start w:val="1"/>
      <w:numFmt w:val="decimal"/>
      <w:lvlText w:val="%7."/>
      <w:lvlJc w:val="left"/>
      <w:pPr>
        <w:ind w:left="4714" w:hanging="360"/>
      </w:pPr>
    </w:lvl>
    <w:lvl w:ilvl="7" w:tplc="04090019" w:tentative="1">
      <w:start w:val="1"/>
      <w:numFmt w:val="lowerLetter"/>
      <w:lvlText w:val="%8."/>
      <w:lvlJc w:val="left"/>
      <w:pPr>
        <w:ind w:left="5434" w:hanging="360"/>
      </w:pPr>
    </w:lvl>
    <w:lvl w:ilvl="8" w:tplc="0409001B" w:tentative="1">
      <w:start w:val="1"/>
      <w:numFmt w:val="lowerRoman"/>
      <w:lvlText w:val="%9."/>
      <w:lvlJc w:val="right"/>
      <w:pPr>
        <w:ind w:left="6154" w:hanging="180"/>
      </w:pPr>
    </w:lvl>
  </w:abstractNum>
  <w:abstractNum w:abstractNumId="64" w15:restartNumberingAfterBreak="0">
    <w:nsid w:val="15825854"/>
    <w:multiLevelType w:val="hybridMultilevel"/>
    <w:tmpl w:val="27FEA340"/>
    <w:lvl w:ilvl="0" w:tplc="BCFC8C62">
      <w:start w:val="1"/>
      <w:numFmt w:val="decimal"/>
      <w:lvlText w:val="%1"/>
      <w:lvlJc w:val="left"/>
      <w:pPr>
        <w:ind w:left="720" w:hanging="360"/>
      </w:pPr>
      <w:rPr>
        <w:rFonts w:asciiTheme="minorHAnsi" w:eastAsiaTheme="minorHAnsi" w:hAnsiTheme="minorHAnsi" w:cstheme="minorHAnsi" w:hint="default"/>
        <w:sz w:val="24"/>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5" w15:restartNumberingAfterBreak="0">
    <w:nsid w:val="15A934DC"/>
    <w:multiLevelType w:val="multilevel"/>
    <w:tmpl w:val="6B6A1E22"/>
    <w:lvl w:ilvl="0">
      <w:start w:val="1"/>
      <w:numFmt w:val="decimal"/>
      <w:pStyle w:val="BoxNumberedText"/>
      <w:lvlText w:val="%1."/>
      <w:lvlJc w:val="left"/>
      <w:pPr>
        <w:tabs>
          <w:tab w:val="num" w:pos="284"/>
        </w:tabs>
        <w:ind w:left="284" w:hanging="284"/>
      </w:pPr>
      <w:rPr>
        <w:rFonts w:hint="default"/>
      </w:rPr>
    </w:lvl>
    <w:lvl w:ilvl="1">
      <w:start w:val="1"/>
      <w:numFmt w:val="lowerLetter"/>
      <w:lvlText w:val="%2."/>
      <w:lvlJc w:val="left"/>
      <w:pPr>
        <w:tabs>
          <w:tab w:val="num" w:pos="567"/>
        </w:tabs>
        <w:ind w:left="567" w:hanging="283"/>
      </w:pPr>
      <w:rPr>
        <w:rFonts w:hint="default"/>
      </w:rPr>
    </w:lvl>
    <w:lvl w:ilvl="2">
      <w:start w:val="1"/>
      <w:numFmt w:val="none"/>
      <w:suff w:val="nothing"/>
      <w:lvlText w:val=""/>
      <w:lvlJc w:val="left"/>
      <w:pPr>
        <w:ind w:left="567" w:firstLine="0"/>
      </w:pPr>
      <w:rPr>
        <w:rFonts w:hint="default"/>
      </w:rPr>
    </w:lvl>
    <w:lvl w:ilvl="3">
      <w:start w:val="1"/>
      <w:numFmt w:val="none"/>
      <w:suff w:val="nothing"/>
      <w:lvlText w:val=""/>
      <w:lvlJc w:val="left"/>
      <w:pPr>
        <w:ind w:left="567" w:firstLine="0"/>
      </w:pPr>
      <w:rPr>
        <w:rFonts w:hint="default"/>
      </w:rPr>
    </w:lvl>
    <w:lvl w:ilvl="4">
      <w:start w:val="1"/>
      <w:numFmt w:val="none"/>
      <w:suff w:val="nothing"/>
      <w:lvlText w:val=""/>
      <w:lvlJc w:val="left"/>
      <w:pPr>
        <w:ind w:left="567" w:firstLine="0"/>
      </w:pPr>
      <w:rPr>
        <w:rFonts w:hint="default"/>
      </w:rPr>
    </w:lvl>
    <w:lvl w:ilvl="5">
      <w:start w:val="1"/>
      <w:numFmt w:val="none"/>
      <w:suff w:val="nothing"/>
      <w:lvlText w:val=""/>
      <w:lvlJc w:val="left"/>
      <w:pPr>
        <w:ind w:left="567" w:firstLine="0"/>
      </w:pPr>
      <w:rPr>
        <w:rFonts w:hint="default"/>
      </w:rPr>
    </w:lvl>
    <w:lvl w:ilvl="6">
      <w:start w:val="1"/>
      <w:numFmt w:val="none"/>
      <w:suff w:val="nothing"/>
      <w:lvlText w:val=""/>
      <w:lvlJc w:val="left"/>
      <w:pPr>
        <w:ind w:left="567" w:firstLine="0"/>
      </w:pPr>
      <w:rPr>
        <w:rFonts w:hint="default"/>
      </w:rPr>
    </w:lvl>
    <w:lvl w:ilvl="7">
      <w:start w:val="1"/>
      <w:numFmt w:val="none"/>
      <w:suff w:val="nothing"/>
      <w:lvlText w:val=""/>
      <w:lvlJc w:val="left"/>
      <w:pPr>
        <w:ind w:left="567" w:firstLine="0"/>
      </w:pPr>
      <w:rPr>
        <w:rFonts w:hint="default"/>
      </w:rPr>
    </w:lvl>
    <w:lvl w:ilvl="8">
      <w:start w:val="1"/>
      <w:numFmt w:val="none"/>
      <w:suff w:val="nothing"/>
      <w:lvlText w:val=""/>
      <w:lvlJc w:val="left"/>
      <w:pPr>
        <w:ind w:left="567" w:firstLine="0"/>
      </w:pPr>
      <w:rPr>
        <w:rFonts w:hint="default"/>
      </w:rPr>
    </w:lvl>
  </w:abstractNum>
  <w:abstractNum w:abstractNumId="66" w15:restartNumberingAfterBreak="0">
    <w:nsid w:val="15FC1196"/>
    <w:multiLevelType w:val="hybridMultilevel"/>
    <w:tmpl w:val="8598811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163C337D"/>
    <w:multiLevelType w:val="hybridMultilevel"/>
    <w:tmpl w:val="E2E871A4"/>
    <w:lvl w:ilvl="0" w:tplc="100A0017">
      <w:start w:val="1"/>
      <w:numFmt w:val="lowerLetter"/>
      <w:lvlText w:val="%1)"/>
      <w:lvlJc w:val="left"/>
      <w:pPr>
        <w:ind w:left="720" w:hanging="360"/>
      </w:pPr>
      <w:rPr>
        <w:rFont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68" w15:restartNumberingAfterBreak="0">
    <w:nsid w:val="1649219C"/>
    <w:multiLevelType w:val="hybridMultilevel"/>
    <w:tmpl w:val="96BC259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9" w15:restartNumberingAfterBreak="0">
    <w:nsid w:val="168D62C1"/>
    <w:multiLevelType w:val="hybridMultilevel"/>
    <w:tmpl w:val="B422F4F2"/>
    <w:lvl w:ilvl="0" w:tplc="040A0019">
      <w:start w:val="1"/>
      <w:numFmt w:val="lowerLetter"/>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70" w15:restartNumberingAfterBreak="0">
    <w:nsid w:val="17A11F07"/>
    <w:multiLevelType w:val="hybridMultilevel"/>
    <w:tmpl w:val="50D69D62"/>
    <w:lvl w:ilvl="0" w:tplc="435C8FFE">
      <w:start w:val="1"/>
      <w:numFmt w:val="bullet"/>
      <w:lvlText w:val=""/>
      <w:lvlJc w:val="left"/>
      <w:pPr>
        <w:ind w:left="720" w:hanging="360"/>
      </w:pPr>
      <w:rPr>
        <w:rFonts w:ascii="Wingdings" w:hAnsi="Wingdings" w:hint="default"/>
        <w:color w:val="0070C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1" w15:restartNumberingAfterBreak="0">
    <w:nsid w:val="17BC3BF5"/>
    <w:multiLevelType w:val="hybridMultilevel"/>
    <w:tmpl w:val="FFF2B0D4"/>
    <w:lvl w:ilvl="0" w:tplc="70FE4946">
      <w:start w:val="1"/>
      <w:numFmt w:val="bullet"/>
      <w:lvlText w:val="•"/>
      <w:lvlJc w:val="left"/>
      <w:pPr>
        <w:ind w:left="459" w:hanging="360"/>
      </w:pPr>
      <w:rPr>
        <w:rFonts w:ascii="Times" w:hAnsi="Times" w:hint="default"/>
      </w:rPr>
    </w:lvl>
    <w:lvl w:ilvl="1" w:tplc="1C0A0019">
      <w:start w:val="1"/>
      <w:numFmt w:val="lowerLetter"/>
      <w:lvlText w:val="%2."/>
      <w:lvlJc w:val="left"/>
      <w:pPr>
        <w:ind w:left="785" w:hanging="360"/>
      </w:pPr>
      <w:rPr>
        <w:rFonts w:hint="default"/>
      </w:rPr>
    </w:lvl>
    <w:lvl w:ilvl="2" w:tplc="04090005" w:tentative="1">
      <w:start w:val="1"/>
      <w:numFmt w:val="bullet"/>
      <w:lvlText w:val=""/>
      <w:lvlJc w:val="left"/>
      <w:pPr>
        <w:ind w:left="1899" w:hanging="360"/>
      </w:pPr>
      <w:rPr>
        <w:rFonts w:ascii="Wingdings" w:hAnsi="Wingdings" w:hint="default"/>
      </w:rPr>
    </w:lvl>
    <w:lvl w:ilvl="3" w:tplc="04090001" w:tentative="1">
      <w:start w:val="1"/>
      <w:numFmt w:val="bullet"/>
      <w:lvlText w:val=""/>
      <w:lvlJc w:val="left"/>
      <w:pPr>
        <w:ind w:left="2619" w:hanging="360"/>
      </w:pPr>
      <w:rPr>
        <w:rFonts w:ascii="Symbol" w:hAnsi="Symbol" w:hint="default"/>
      </w:rPr>
    </w:lvl>
    <w:lvl w:ilvl="4" w:tplc="04090003" w:tentative="1">
      <w:start w:val="1"/>
      <w:numFmt w:val="bullet"/>
      <w:lvlText w:val="o"/>
      <w:lvlJc w:val="left"/>
      <w:pPr>
        <w:ind w:left="3339" w:hanging="360"/>
      </w:pPr>
      <w:rPr>
        <w:rFonts w:ascii="Courier New" w:hAnsi="Courier New" w:cs="Courier New" w:hint="default"/>
      </w:rPr>
    </w:lvl>
    <w:lvl w:ilvl="5" w:tplc="04090005" w:tentative="1">
      <w:start w:val="1"/>
      <w:numFmt w:val="bullet"/>
      <w:lvlText w:val=""/>
      <w:lvlJc w:val="left"/>
      <w:pPr>
        <w:ind w:left="4059" w:hanging="360"/>
      </w:pPr>
      <w:rPr>
        <w:rFonts w:ascii="Wingdings" w:hAnsi="Wingdings" w:hint="default"/>
      </w:rPr>
    </w:lvl>
    <w:lvl w:ilvl="6" w:tplc="04090001" w:tentative="1">
      <w:start w:val="1"/>
      <w:numFmt w:val="bullet"/>
      <w:lvlText w:val=""/>
      <w:lvlJc w:val="left"/>
      <w:pPr>
        <w:ind w:left="4779" w:hanging="360"/>
      </w:pPr>
      <w:rPr>
        <w:rFonts w:ascii="Symbol" w:hAnsi="Symbol" w:hint="default"/>
      </w:rPr>
    </w:lvl>
    <w:lvl w:ilvl="7" w:tplc="04090003" w:tentative="1">
      <w:start w:val="1"/>
      <w:numFmt w:val="bullet"/>
      <w:lvlText w:val="o"/>
      <w:lvlJc w:val="left"/>
      <w:pPr>
        <w:ind w:left="5499" w:hanging="360"/>
      </w:pPr>
      <w:rPr>
        <w:rFonts w:ascii="Courier New" w:hAnsi="Courier New" w:cs="Courier New" w:hint="default"/>
      </w:rPr>
    </w:lvl>
    <w:lvl w:ilvl="8" w:tplc="04090005" w:tentative="1">
      <w:start w:val="1"/>
      <w:numFmt w:val="bullet"/>
      <w:lvlText w:val=""/>
      <w:lvlJc w:val="left"/>
      <w:pPr>
        <w:ind w:left="6219" w:hanging="360"/>
      </w:pPr>
      <w:rPr>
        <w:rFonts w:ascii="Wingdings" w:hAnsi="Wingdings" w:hint="default"/>
      </w:rPr>
    </w:lvl>
  </w:abstractNum>
  <w:abstractNum w:abstractNumId="72" w15:restartNumberingAfterBreak="0">
    <w:nsid w:val="17FB3A98"/>
    <w:multiLevelType w:val="multilevel"/>
    <w:tmpl w:val="8E585C3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4"/>
      <w:numFmt w:val="decimal"/>
      <w:lvlText w:val="%3."/>
      <w:lvlJc w:val="left"/>
      <w:pPr>
        <w:ind w:left="2160" w:hanging="360"/>
      </w:pPr>
      <w:rPr>
        <w:rFonts w:hint="default"/>
        <w:color w:val="FFFFFF" w:themeColor="background1"/>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3" w15:restartNumberingAfterBreak="0">
    <w:nsid w:val="18024D39"/>
    <w:multiLevelType w:val="hybridMultilevel"/>
    <w:tmpl w:val="87206AE2"/>
    <w:lvl w:ilvl="0" w:tplc="100A0019">
      <w:start w:val="1"/>
      <w:numFmt w:val="lowerLetter"/>
      <w:lvlText w:val="%1."/>
      <w:lvlJc w:val="left"/>
      <w:pPr>
        <w:ind w:left="360" w:hanging="360"/>
      </w:pPr>
      <w:rPr>
        <w:rFonts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74" w15:restartNumberingAfterBreak="0">
    <w:nsid w:val="182E546E"/>
    <w:multiLevelType w:val="hybridMultilevel"/>
    <w:tmpl w:val="623888F4"/>
    <w:lvl w:ilvl="0" w:tplc="42202828">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5" w15:restartNumberingAfterBreak="0">
    <w:nsid w:val="189076A0"/>
    <w:multiLevelType w:val="multilevel"/>
    <w:tmpl w:val="2E84FD86"/>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6" w15:restartNumberingAfterBreak="0">
    <w:nsid w:val="19173762"/>
    <w:multiLevelType w:val="hybridMultilevel"/>
    <w:tmpl w:val="D30AC874"/>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77" w15:restartNumberingAfterBreak="0">
    <w:nsid w:val="19434F54"/>
    <w:multiLevelType w:val="hybridMultilevel"/>
    <w:tmpl w:val="00AE8E9C"/>
    <w:lvl w:ilvl="0" w:tplc="100A0019">
      <w:start w:val="1"/>
      <w:numFmt w:val="lowerLetter"/>
      <w:lvlText w:val="%1."/>
      <w:lvlJc w:val="left"/>
      <w:pPr>
        <w:ind w:left="6" w:hanging="360"/>
      </w:pPr>
      <w:rPr>
        <w:rFonts w:hint="default"/>
      </w:rPr>
    </w:lvl>
    <w:lvl w:ilvl="1" w:tplc="040A0003" w:tentative="1">
      <w:start w:val="1"/>
      <w:numFmt w:val="bullet"/>
      <w:lvlText w:val="o"/>
      <w:lvlJc w:val="left"/>
      <w:pPr>
        <w:ind w:left="726" w:hanging="360"/>
      </w:pPr>
      <w:rPr>
        <w:rFonts w:ascii="Courier New" w:hAnsi="Courier New" w:cs="Courier New" w:hint="default"/>
      </w:rPr>
    </w:lvl>
    <w:lvl w:ilvl="2" w:tplc="040A0005" w:tentative="1">
      <w:start w:val="1"/>
      <w:numFmt w:val="bullet"/>
      <w:lvlText w:val=""/>
      <w:lvlJc w:val="left"/>
      <w:pPr>
        <w:ind w:left="1446" w:hanging="360"/>
      </w:pPr>
      <w:rPr>
        <w:rFonts w:ascii="Wingdings" w:hAnsi="Wingdings" w:hint="default"/>
      </w:rPr>
    </w:lvl>
    <w:lvl w:ilvl="3" w:tplc="040A0001" w:tentative="1">
      <w:start w:val="1"/>
      <w:numFmt w:val="bullet"/>
      <w:lvlText w:val=""/>
      <w:lvlJc w:val="left"/>
      <w:pPr>
        <w:ind w:left="2166" w:hanging="360"/>
      </w:pPr>
      <w:rPr>
        <w:rFonts w:ascii="Symbol" w:hAnsi="Symbol" w:hint="default"/>
      </w:rPr>
    </w:lvl>
    <w:lvl w:ilvl="4" w:tplc="040A0003" w:tentative="1">
      <w:start w:val="1"/>
      <w:numFmt w:val="bullet"/>
      <w:lvlText w:val="o"/>
      <w:lvlJc w:val="left"/>
      <w:pPr>
        <w:ind w:left="2886" w:hanging="360"/>
      </w:pPr>
      <w:rPr>
        <w:rFonts w:ascii="Courier New" w:hAnsi="Courier New" w:cs="Courier New" w:hint="default"/>
      </w:rPr>
    </w:lvl>
    <w:lvl w:ilvl="5" w:tplc="040A0005" w:tentative="1">
      <w:start w:val="1"/>
      <w:numFmt w:val="bullet"/>
      <w:lvlText w:val=""/>
      <w:lvlJc w:val="left"/>
      <w:pPr>
        <w:ind w:left="3606" w:hanging="360"/>
      </w:pPr>
      <w:rPr>
        <w:rFonts w:ascii="Wingdings" w:hAnsi="Wingdings" w:hint="default"/>
      </w:rPr>
    </w:lvl>
    <w:lvl w:ilvl="6" w:tplc="040A0001" w:tentative="1">
      <w:start w:val="1"/>
      <w:numFmt w:val="bullet"/>
      <w:lvlText w:val=""/>
      <w:lvlJc w:val="left"/>
      <w:pPr>
        <w:ind w:left="4326" w:hanging="360"/>
      </w:pPr>
      <w:rPr>
        <w:rFonts w:ascii="Symbol" w:hAnsi="Symbol" w:hint="default"/>
      </w:rPr>
    </w:lvl>
    <w:lvl w:ilvl="7" w:tplc="040A0003" w:tentative="1">
      <w:start w:val="1"/>
      <w:numFmt w:val="bullet"/>
      <w:lvlText w:val="o"/>
      <w:lvlJc w:val="left"/>
      <w:pPr>
        <w:ind w:left="5046" w:hanging="360"/>
      </w:pPr>
      <w:rPr>
        <w:rFonts w:ascii="Courier New" w:hAnsi="Courier New" w:cs="Courier New" w:hint="default"/>
      </w:rPr>
    </w:lvl>
    <w:lvl w:ilvl="8" w:tplc="040A0005" w:tentative="1">
      <w:start w:val="1"/>
      <w:numFmt w:val="bullet"/>
      <w:lvlText w:val=""/>
      <w:lvlJc w:val="left"/>
      <w:pPr>
        <w:ind w:left="5766" w:hanging="360"/>
      </w:pPr>
      <w:rPr>
        <w:rFonts w:ascii="Wingdings" w:hAnsi="Wingdings" w:hint="default"/>
      </w:rPr>
    </w:lvl>
  </w:abstractNum>
  <w:abstractNum w:abstractNumId="78" w15:restartNumberingAfterBreak="0">
    <w:nsid w:val="195E5FEA"/>
    <w:multiLevelType w:val="hybridMultilevel"/>
    <w:tmpl w:val="D206AB92"/>
    <w:lvl w:ilvl="0" w:tplc="040A0001">
      <w:start w:val="1"/>
      <w:numFmt w:val="bullet"/>
      <w:lvlText w:val=""/>
      <w:lvlJc w:val="left"/>
      <w:pPr>
        <w:ind w:left="360" w:hanging="360"/>
      </w:pPr>
      <w:rPr>
        <w:rFonts w:ascii="Symbol" w:hAnsi="Symbol" w:hint="default"/>
      </w:rPr>
    </w:lvl>
    <w:lvl w:ilvl="1" w:tplc="040A0003">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79" w15:restartNumberingAfterBreak="0">
    <w:nsid w:val="1A183B39"/>
    <w:multiLevelType w:val="hybridMultilevel"/>
    <w:tmpl w:val="8D628DF0"/>
    <w:lvl w:ilvl="0" w:tplc="080A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1A59011D"/>
    <w:multiLevelType w:val="multilevel"/>
    <w:tmpl w:val="08FAC5E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1" w15:restartNumberingAfterBreak="0">
    <w:nsid w:val="1ADA44B4"/>
    <w:multiLevelType w:val="hybridMultilevel"/>
    <w:tmpl w:val="F29AC270"/>
    <w:lvl w:ilvl="0" w:tplc="540A000F">
      <w:start w:val="1"/>
      <w:numFmt w:val="decimal"/>
      <w:lvlText w:val="%1."/>
      <w:lvlJc w:val="left"/>
      <w:pPr>
        <w:ind w:left="720" w:hanging="360"/>
      </w:p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82" w15:restartNumberingAfterBreak="0">
    <w:nsid w:val="1B634B2F"/>
    <w:multiLevelType w:val="hybridMultilevel"/>
    <w:tmpl w:val="438A7F6A"/>
    <w:lvl w:ilvl="0" w:tplc="100A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1B64739A"/>
    <w:multiLevelType w:val="hybridMultilevel"/>
    <w:tmpl w:val="FA60C0E8"/>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84" w15:restartNumberingAfterBreak="0">
    <w:nsid w:val="1B931C60"/>
    <w:multiLevelType w:val="hybridMultilevel"/>
    <w:tmpl w:val="A37A0BCE"/>
    <w:lvl w:ilvl="0" w:tplc="100A0019">
      <w:start w:val="1"/>
      <w:numFmt w:val="lowerLetter"/>
      <w:lvlText w:val="%1."/>
      <w:lvlJc w:val="left"/>
      <w:pPr>
        <w:ind w:left="360" w:hanging="360"/>
      </w:pPr>
      <w:rPr>
        <w:rFonts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85" w15:restartNumberingAfterBreak="0">
    <w:nsid w:val="1BA54584"/>
    <w:multiLevelType w:val="hybridMultilevel"/>
    <w:tmpl w:val="08FAC5E2"/>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86" w15:restartNumberingAfterBreak="0">
    <w:nsid w:val="1BD313E1"/>
    <w:multiLevelType w:val="multilevel"/>
    <w:tmpl w:val="08FAC5E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7" w15:restartNumberingAfterBreak="0">
    <w:nsid w:val="1C1926C2"/>
    <w:multiLevelType w:val="hybridMultilevel"/>
    <w:tmpl w:val="1506E122"/>
    <w:lvl w:ilvl="0" w:tplc="B3AC5AC6">
      <w:start w:val="1"/>
      <w:numFmt w:val="bullet"/>
      <w:lvlText w:val="-"/>
      <w:lvlJc w:val="left"/>
      <w:pPr>
        <w:ind w:left="720" w:hanging="360"/>
      </w:pPr>
      <w:rPr>
        <w:rFonts w:ascii="Calibri" w:hAnsi="Calibri" w:hint="default"/>
      </w:rPr>
    </w:lvl>
    <w:lvl w:ilvl="1" w:tplc="4F143502">
      <w:start w:val="3"/>
      <w:numFmt w:val="bullet"/>
      <w:lvlText w:val="•"/>
      <w:lvlJc w:val="left"/>
      <w:pPr>
        <w:ind w:left="1785" w:hanging="705"/>
      </w:pPr>
      <w:rPr>
        <w:rFonts w:ascii="Calibri" w:eastAsiaTheme="minorHAnsi" w:hAnsi="Calibri" w:cs="Calibri"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8" w15:restartNumberingAfterBreak="0">
    <w:nsid w:val="1C2F7394"/>
    <w:multiLevelType w:val="hybridMultilevel"/>
    <w:tmpl w:val="7F3C8032"/>
    <w:lvl w:ilvl="0" w:tplc="A3C6854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1C75616D"/>
    <w:multiLevelType w:val="hybridMultilevel"/>
    <w:tmpl w:val="076277E0"/>
    <w:lvl w:ilvl="0" w:tplc="B3AC5AC6">
      <w:start w:val="1"/>
      <w:numFmt w:val="bullet"/>
      <w:lvlText w:val="-"/>
      <w:lvlJc w:val="left"/>
      <w:pPr>
        <w:ind w:left="720" w:hanging="360"/>
      </w:pPr>
      <w:rPr>
        <w:rFonts w:ascii="Calibri" w:hAnsi="Calibr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0" w15:restartNumberingAfterBreak="0">
    <w:nsid w:val="1CAA5612"/>
    <w:multiLevelType w:val="multilevel"/>
    <w:tmpl w:val="A37A0BCE"/>
    <w:lvl w:ilvl="0">
      <w:start w:val="1"/>
      <w:numFmt w:val="lowerLetter"/>
      <w:lvlText w:val="%1."/>
      <w:lvlJc w:val="left"/>
      <w:pPr>
        <w:ind w:left="360" w:hanging="360"/>
      </w:p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91" w15:restartNumberingAfterBreak="0">
    <w:nsid w:val="1D3C5040"/>
    <w:multiLevelType w:val="hybridMultilevel"/>
    <w:tmpl w:val="F8B26FF8"/>
    <w:lvl w:ilvl="0" w:tplc="100A0019">
      <w:start w:val="1"/>
      <w:numFmt w:val="lowerLetter"/>
      <w:lvlText w:val="%1."/>
      <w:lvlJc w:val="left"/>
      <w:pPr>
        <w:ind w:left="360" w:hanging="360"/>
      </w:pPr>
      <w:rPr>
        <w:rFonts w:hint="default"/>
      </w:rPr>
    </w:lvl>
    <w:lvl w:ilvl="1" w:tplc="0C0A0003" w:tentative="1">
      <w:start w:val="1"/>
      <w:numFmt w:val="bullet"/>
      <w:lvlText w:val="o"/>
      <w:lvlJc w:val="left"/>
      <w:pPr>
        <w:ind w:left="1794" w:hanging="360"/>
      </w:pPr>
      <w:rPr>
        <w:rFonts w:ascii="Courier New" w:hAnsi="Courier New" w:cs="Courier New" w:hint="default"/>
      </w:rPr>
    </w:lvl>
    <w:lvl w:ilvl="2" w:tplc="0C0A0005" w:tentative="1">
      <w:start w:val="1"/>
      <w:numFmt w:val="bullet"/>
      <w:lvlText w:val=""/>
      <w:lvlJc w:val="left"/>
      <w:pPr>
        <w:ind w:left="2514" w:hanging="360"/>
      </w:pPr>
      <w:rPr>
        <w:rFonts w:ascii="Wingdings" w:hAnsi="Wingdings" w:hint="default"/>
      </w:rPr>
    </w:lvl>
    <w:lvl w:ilvl="3" w:tplc="0C0A0001" w:tentative="1">
      <w:start w:val="1"/>
      <w:numFmt w:val="bullet"/>
      <w:lvlText w:val=""/>
      <w:lvlJc w:val="left"/>
      <w:pPr>
        <w:ind w:left="3234" w:hanging="360"/>
      </w:pPr>
      <w:rPr>
        <w:rFonts w:ascii="Symbol" w:hAnsi="Symbol" w:hint="default"/>
      </w:rPr>
    </w:lvl>
    <w:lvl w:ilvl="4" w:tplc="0C0A0003" w:tentative="1">
      <w:start w:val="1"/>
      <w:numFmt w:val="bullet"/>
      <w:lvlText w:val="o"/>
      <w:lvlJc w:val="left"/>
      <w:pPr>
        <w:ind w:left="3954" w:hanging="360"/>
      </w:pPr>
      <w:rPr>
        <w:rFonts w:ascii="Courier New" w:hAnsi="Courier New" w:cs="Courier New" w:hint="default"/>
      </w:rPr>
    </w:lvl>
    <w:lvl w:ilvl="5" w:tplc="0C0A0005" w:tentative="1">
      <w:start w:val="1"/>
      <w:numFmt w:val="bullet"/>
      <w:lvlText w:val=""/>
      <w:lvlJc w:val="left"/>
      <w:pPr>
        <w:ind w:left="4674" w:hanging="360"/>
      </w:pPr>
      <w:rPr>
        <w:rFonts w:ascii="Wingdings" w:hAnsi="Wingdings" w:hint="default"/>
      </w:rPr>
    </w:lvl>
    <w:lvl w:ilvl="6" w:tplc="0C0A0001" w:tentative="1">
      <w:start w:val="1"/>
      <w:numFmt w:val="bullet"/>
      <w:lvlText w:val=""/>
      <w:lvlJc w:val="left"/>
      <w:pPr>
        <w:ind w:left="5394" w:hanging="360"/>
      </w:pPr>
      <w:rPr>
        <w:rFonts w:ascii="Symbol" w:hAnsi="Symbol" w:hint="default"/>
      </w:rPr>
    </w:lvl>
    <w:lvl w:ilvl="7" w:tplc="0C0A0003" w:tentative="1">
      <w:start w:val="1"/>
      <w:numFmt w:val="bullet"/>
      <w:lvlText w:val="o"/>
      <w:lvlJc w:val="left"/>
      <w:pPr>
        <w:ind w:left="6114" w:hanging="360"/>
      </w:pPr>
      <w:rPr>
        <w:rFonts w:ascii="Courier New" w:hAnsi="Courier New" w:cs="Courier New" w:hint="default"/>
      </w:rPr>
    </w:lvl>
    <w:lvl w:ilvl="8" w:tplc="0C0A0005" w:tentative="1">
      <w:start w:val="1"/>
      <w:numFmt w:val="bullet"/>
      <w:lvlText w:val=""/>
      <w:lvlJc w:val="left"/>
      <w:pPr>
        <w:ind w:left="6834" w:hanging="360"/>
      </w:pPr>
      <w:rPr>
        <w:rFonts w:ascii="Wingdings" w:hAnsi="Wingdings" w:hint="default"/>
      </w:rPr>
    </w:lvl>
  </w:abstractNum>
  <w:abstractNum w:abstractNumId="92" w15:restartNumberingAfterBreak="0">
    <w:nsid w:val="1D494321"/>
    <w:multiLevelType w:val="hybridMultilevel"/>
    <w:tmpl w:val="373C8336"/>
    <w:lvl w:ilvl="0" w:tplc="1C0A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1D5E4D5D"/>
    <w:multiLevelType w:val="hybridMultilevel"/>
    <w:tmpl w:val="43186C40"/>
    <w:lvl w:ilvl="0" w:tplc="A3C6854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1D7A07DC"/>
    <w:multiLevelType w:val="hybridMultilevel"/>
    <w:tmpl w:val="8F76058A"/>
    <w:lvl w:ilvl="0" w:tplc="C0DA140C">
      <w:start w:val="1"/>
      <w:numFmt w:val="lowerLetter"/>
      <w:lvlText w:val="%1-"/>
      <w:lvlJc w:val="left"/>
      <w:pPr>
        <w:ind w:left="720" w:hanging="360"/>
      </w:pPr>
      <w:rPr>
        <w:rFonts w:asciiTheme="minorHAnsi" w:hAnsiTheme="minorHAnsi" w:cstheme="minorHAnsi"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95" w15:restartNumberingAfterBreak="0">
    <w:nsid w:val="1D86590C"/>
    <w:multiLevelType w:val="hybridMultilevel"/>
    <w:tmpl w:val="B2420A00"/>
    <w:lvl w:ilvl="0" w:tplc="100A0019">
      <w:start w:val="1"/>
      <w:numFmt w:val="lowerLetter"/>
      <w:lvlText w:val="%1."/>
      <w:lvlJc w:val="left"/>
      <w:pPr>
        <w:ind w:left="360" w:hanging="360"/>
      </w:pPr>
      <w:rPr>
        <w:rFonts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96" w15:restartNumberingAfterBreak="0">
    <w:nsid w:val="1DBA237E"/>
    <w:multiLevelType w:val="hybridMultilevel"/>
    <w:tmpl w:val="BB0E91DC"/>
    <w:lvl w:ilvl="0" w:tplc="080A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1DBA264F"/>
    <w:multiLevelType w:val="hybridMultilevel"/>
    <w:tmpl w:val="C7EE703A"/>
    <w:lvl w:ilvl="0" w:tplc="100A0019">
      <w:start w:val="1"/>
      <w:numFmt w:val="lowerLetter"/>
      <w:lvlText w:val="%1."/>
      <w:lvlJc w:val="left"/>
      <w:pPr>
        <w:ind w:left="360" w:hanging="360"/>
      </w:pPr>
      <w:rPr>
        <w:rFonts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98" w15:restartNumberingAfterBreak="0">
    <w:nsid w:val="1DCA7D19"/>
    <w:multiLevelType w:val="hybridMultilevel"/>
    <w:tmpl w:val="72FC9FA8"/>
    <w:lvl w:ilvl="0" w:tplc="040A0001">
      <w:start w:val="1"/>
      <w:numFmt w:val="bullet"/>
      <w:lvlText w:val=""/>
      <w:lvlJc w:val="left"/>
      <w:pPr>
        <w:ind w:left="360" w:hanging="360"/>
      </w:pPr>
      <w:rPr>
        <w:rFonts w:ascii="Symbol" w:hAnsi="Symbol" w:hint="default"/>
      </w:rPr>
    </w:lvl>
    <w:lvl w:ilvl="1" w:tplc="784EC30A">
      <w:start w:val="2002"/>
      <w:numFmt w:val="bullet"/>
      <w:lvlText w:val="-"/>
      <w:lvlJc w:val="left"/>
      <w:pPr>
        <w:ind w:left="1080" w:hanging="360"/>
      </w:pPr>
      <w:rPr>
        <w:rFonts w:ascii="Calibri" w:eastAsiaTheme="minorHAnsi" w:hAnsi="Calibri" w:cstheme="minorBidi"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99" w15:restartNumberingAfterBreak="0">
    <w:nsid w:val="1DE80514"/>
    <w:multiLevelType w:val="hybridMultilevel"/>
    <w:tmpl w:val="FF9E1D58"/>
    <w:lvl w:ilvl="0" w:tplc="100A0019">
      <w:start w:val="1"/>
      <w:numFmt w:val="lowerLetter"/>
      <w:lvlText w:val="%1."/>
      <w:lvlJc w:val="left"/>
      <w:pPr>
        <w:ind w:left="720" w:hanging="360"/>
      </w:pPr>
      <w:rPr>
        <w:rFont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0" w15:restartNumberingAfterBreak="0">
    <w:nsid w:val="1E46272B"/>
    <w:multiLevelType w:val="hybridMultilevel"/>
    <w:tmpl w:val="B98A9418"/>
    <w:lvl w:ilvl="0" w:tplc="CD5003D6">
      <w:numFmt w:val="bullet"/>
      <w:lvlText w:val="-"/>
      <w:lvlJc w:val="left"/>
      <w:pPr>
        <w:ind w:left="720" w:hanging="360"/>
      </w:pPr>
      <w:rPr>
        <w:rFonts w:ascii="Calibri" w:eastAsia="Times New Roman" w:hAnsi="Calibri"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1ECF2CE2"/>
    <w:multiLevelType w:val="multilevel"/>
    <w:tmpl w:val="BADAED82"/>
    <w:lvl w:ilvl="0">
      <w:start w:val="1"/>
      <w:numFmt w:val="decimal"/>
      <w:lvlText w:val="%1."/>
      <w:lvlJc w:val="left"/>
      <w:pPr>
        <w:ind w:left="720" w:hanging="360"/>
      </w:pPr>
    </w:lvl>
    <w:lvl w:ilvl="1">
      <w:start w:val="1"/>
      <w:numFmt w:val="decimal"/>
      <w:isLgl/>
      <w:lvlText w:val="%1.%2"/>
      <w:lvlJc w:val="left"/>
      <w:pPr>
        <w:ind w:left="1060" w:hanging="7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02" w15:restartNumberingAfterBreak="0">
    <w:nsid w:val="1EEB4742"/>
    <w:multiLevelType w:val="hybridMultilevel"/>
    <w:tmpl w:val="091CCBE8"/>
    <w:lvl w:ilvl="0" w:tplc="100A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1F9C5D0A"/>
    <w:multiLevelType w:val="hybridMultilevel"/>
    <w:tmpl w:val="D7E04F7E"/>
    <w:lvl w:ilvl="0" w:tplc="040A0005">
      <w:start w:val="1"/>
      <w:numFmt w:val="bullet"/>
      <w:lvlText w:val=""/>
      <w:lvlJc w:val="left"/>
      <w:pPr>
        <w:ind w:left="720" w:hanging="360"/>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4" w15:restartNumberingAfterBreak="0">
    <w:nsid w:val="204A7B71"/>
    <w:multiLevelType w:val="hybridMultilevel"/>
    <w:tmpl w:val="C5503C60"/>
    <w:lvl w:ilvl="0" w:tplc="1C0A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15:restartNumberingAfterBreak="0">
    <w:nsid w:val="20550D7A"/>
    <w:multiLevelType w:val="hybridMultilevel"/>
    <w:tmpl w:val="4858E7F2"/>
    <w:lvl w:ilvl="0" w:tplc="040A0019">
      <w:start w:val="1"/>
      <w:numFmt w:val="lowerLetter"/>
      <w:lvlText w:val="%1."/>
      <w:lvlJc w:val="left"/>
      <w:pPr>
        <w:ind w:left="360" w:hanging="360"/>
      </w:pPr>
      <w:rPr>
        <w:rFonts w:hint="default"/>
      </w:rPr>
    </w:lvl>
    <w:lvl w:ilvl="1" w:tplc="1C0A0019">
      <w:start w:val="1"/>
      <w:numFmt w:val="lowerLetter"/>
      <w:lvlText w:val="%2."/>
      <w:lvlJc w:val="left"/>
      <w:pPr>
        <w:ind w:left="1080" w:hanging="360"/>
      </w:pPr>
      <w:rPr>
        <w:rFonts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06" w15:restartNumberingAfterBreak="0">
    <w:nsid w:val="20922675"/>
    <w:multiLevelType w:val="hybridMultilevel"/>
    <w:tmpl w:val="D65E6162"/>
    <w:lvl w:ilvl="0" w:tplc="1C0A0019">
      <w:start w:val="1"/>
      <w:numFmt w:val="lowerLetter"/>
      <w:lvlText w:val="%1."/>
      <w:lvlJc w:val="left"/>
      <w:pPr>
        <w:ind w:left="720" w:hanging="360"/>
      </w:pPr>
      <w:rPr>
        <w:rFont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7" w15:restartNumberingAfterBreak="0">
    <w:nsid w:val="20A4750B"/>
    <w:multiLevelType w:val="multilevel"/>
    <w:tmpl w:val="D4C414D4"/>
    <w:lvl w:ilvl="0">
      <w:start w:val="7"/>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08" w15:restartNumberingAfterBreak="0">
    <w:nsid w:val="211E2361"/>
    <w:multiLevelType w:val="hybridMultilevel"/>
    <w:tmpl w:val="E2520DDC"/>
    <w:lvl w:ilvl="0" w:tplc="100A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214B66D7"/>
    <w:multiLevelType w:val="hybridMultilevel"/>
    <w:tmpl w:val="30905268"/>
    <w:lvl w:ilvl="0" w:tplc="040A0005">
      <w:start w:val="1"/>
      <w:numFmt w:val="bullet"/>
      <w:lvlText w:val=""/>
      <w:lvlJc w:val="left"/>
      <w:pPr>
        <w:ind w:left="720" w:hanging="360"/>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0" w15:restartNumberingAfterBreak="0">
    <w:nsid w:val="220427E7"/>
    <w:multiLevelType w:val="hybridMultilevel"/>
    <w:tmpl w:val="F51E068C"/>
    <w:lvl w:ilvl="0" w:tplc="1C0A0019">
      <w:start w:val="1"/>
      <w:numFmt w:val="lowerLetter"/>
      <w:lvlText w:val="%1."/>
      <w:lvlJc w:val="left"/>
      <w:pPr>
        <w:ind w:left="459" w:hanging="360"/>
      </w:pPr>
      <w:rPr>
        <w:rFonts w:hint="default"/>
      </w:rPr>
    </w:lvl>
    <w:lvl w:ilvl="1" w:tplc="04090003">
      <w:start w:val="1"/>
      <w:numFmt w:val="bullet"/>
      <w:lvlText w:val="o"/>
      <w:lvlJc w:val="left"/>
      <w:pPr>
        <w:ind w:left="1179" w:hanging="360"/>
      </w:pPr>
      <w:rPr>
        <w:rFonts w:ascii="Courier New" w:hAnsi="Courier New" w:cs="Courier New" w:hint="default"/>
      </w:rPr>
    </w:lvl>
    <w:lvl w:ilvl="2" w:tplc="04090005" w:tentative="1">
      <w:start w:val="1"/>
      <w:numFmt w:val="bullet"/>
      <w:lvlText w:val=""/>
      <w:lvlJc w:val="left"/>
      <w:pPr>
        <w:ind w:left="1899" w:hanging="360"/>
      </w:pPr>
      <w:rPr>
        <w:rFonts w:ascii="Wingdings" w:hAnsi="Wingdings" w:hint="default"/>
      </w:rPr>
    </w:lvl>
    <w:lvl w:ilvl="3" w:tplc="04090001" w:tentative="1">
      <w:start w:val="1"/>
      <w:numFmt w:val="bullet"/>
      <w:lvlText w:val=""/>
      <w:lvlJc w:val="left"/>
      <w:pPr>
        <w:ind w:left="2619" w:hanging="360"/>
      </w:pPr>
      <w:rPr>
        <w:rFonts w:ascii="Symbol" w:hAnsi="Symbol" w:hint="default"/>
      </w:rPr>
    </w:lvl>
    <w:lvl w:ilvl="4" w:tplc="04090003" w:tentative="1">
      <w:start w:val="1"/>
      <w:numFmt w:val="bullet"/>
      <w:lvlText w:val="o"/>
      <w:lvlJc w:val="left"/>
      <w:pPr>
        <w:ind w:left="3339" w:hanging="360"/>
      </w:pPr>
      <w:rPr>
        <w:rFonts w:ascii="Courier New" w:hAnsi="Courier New" w:cs="Courier New" w:hint="default"/>
      </w:rPr>
    </w:lvl>
    <w:lvl w:ilvl="5" w:tplc="04090005" w:tentative="1">
      <w:start w:val="1"/>
      <w:numFmt w:val="bullet"/>
      <w:lvlText w:val=""/>
      <w:lvlJc w:val="left"/>
      <w:pPr>
        <w:ind w:left="4059" w:hanging="360"/>
      </w:pPr>
      <w:rPr>
        <w:rFonts w:ascii="Wingdings" w:hAnsi="Wingdings" w:hint="default"/>
      </w:rPr>
    </w:lvl>
    <w:lvl w:ilvl="6" w:tplc="04090001" w:tentative="1">
      <w:start w:val="1"/>
      <w:numFmt w:val="bullet"/>
      <w:lvlText w:val=""/>
      <w:lvlJc w:val="left"/>
      <w:pPr>
        <w:ind w:left="4779" w:hanging="360"/>
      </w:pPr>
      <w:rPr>
        <w:rFonts w:ascii="Symbol" w:hAnsi="Symbol" w:hint="default"/>
      </w:rPr>
    </w:lvl>
    <w:lvl w:ilvl="7" w:tplc="04090003" w:tentative="1">
      <w:start w:val="1"/>
      <w:numFmt w:val="bullet"/>
      <w:lvlText w:val="o"/>
      <w:lvlJc w:val="left"/>
      <w:pPr>
        <w:ind w:left="5499" w:hanging="360"/>
      </w:pPr>
      <w:rPr>
        <w:rFonts w:ascii="Courier New" w:hAnsi="Courier New" w:cs="Courier New" w:hint="default"/>
      </w:rPr>
    </w:lvl>
    <w:lvl w:ilvl="8" w:tplc="04090005" w:tentative="1">
      <w:start w:val="1"/>
      <w:numFmt w:val="bullet"/>
      <w:lvlText w:val=""/>
      <w:lvlJc w:val="left"/>
      <w:pPr>
        <w:ind w:left="6219" w:hanging="360"/>
      </w:pPr>
      <w:rPr>
        <w:rFonts w:ascii="Wingdings" w:hAnsi="Wingdings" w:hint="default"/>
      </w:rPr>
    </w:lvl>
  </w:abstractNum>
  <w:abstractNum w:abstractNumId="111" w15:restartNumberingAfterBreak="0">
    <w:nsid w:val="223C0302"/>
    <w:multiLevelType w:val="hybridMultilevel"/>
    <w:tmpl w:val="214EF5EC"/>
    <w:lvl w:ilvl="0" w:tplc="040A0019">
      <w:start w:val="1"/>
      <w:numFmt w:val="lowerLetter"/>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12" w15:restartNumberingAfterBreak="0">
    <w:nsid w:val="22AA135F"/>
    <w:multiLevelType w:val="multilevel"/>
    <w:tmpl w:val="0C22E34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3" w15:restartNumberingAfterBreak="0">
    <w:nsid w:val="2396747E"/>
    <w:multiLevelType w:val="hybridMultilevel"/>
    <w:tmpl w:val="9C8058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4" w15:restartNumberingAfterBreak="0">
    <w:nsid w:val="23A7637D"/>
    <w:multiLevelType w:val="hybridMultilevel"/>
    <w:tmpl w:val="EDC41C04"/>
    <w:lvl w:ilvl="0" w:tplc="080A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23E667E0"/>
    <w:multiLevelType w:val="hybridMultilevel"/>
    <w:tmpl w:val="766EC126"/>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16" w15:restartNumberingAfterBreak="0">
    <w:nsid w:val="24186815"/>
    <w:multiLevelType w:val="hybridMultilevel"/>
    <w:tmpl w:val="6FD81BAA"/>
    <w:lvl w:ilvl="0" w:tplc="1C0A0019">
      <w:start w:val="1"/>
      <w:numFmt w:val="lowerLetter"/>
      <w:lvlText w:val="%1."/>
      <w:lvlJc w:val="left"/>
      <w:pPr>
        <w:ind w:left="785" w:hanging="360"/>
      </w:pPr>
      <w:rPr>
        <w:rFonts w:hint="default"/>
      </w:rPr>
    </w:lvl>
    <w:lvl w:ilvl="1" w:tplc="040A0003" w:tentative="1">
      <w:start w:val="1"/>
      <w:numFmt w:val="bullet"/>
      <w:lvlText w:val="o"/>
      <w:lvlJc w:val="left"/>
      <w:pPr>
        <w:ind w:left="1505" w:hanging="360"/>
      </w:pPr>
      <w:rPr>
        <w:rFonts w:ascii="Courier New" w:hAnsi="Courier New" w:cs="Courier New" w:hint="default"/>
      </w:rPr>
    </w:lvl>
    <w:lvl w:ilvl="2" w:tplc="040A0005" w:tentative="1">
      <w:start w:val="1"/>
      <w:numFmt w:val="bullet"/>
      <w:lvlText w:val=""/>
      <w:lvlJc w:val="left"/>
      <w:pPr>
        <w:ind w:left="2225" w:hanging="360"/>
      </w:pPr>
      <w:rPr>
        <w:rFonts w:ascii="Wingdings" w:hAnsi="Wingdings" w:hint="default"/>
      </w:rPr>
    </w:lvl>
    <w:lvl w:ilvl="3" w:tplc="040A0001" w:tentative="1">
      <w:start w:val="1"/>
      <w:numFmt w:val="bullet"/>
      <w:lvlText w:val=""/>
      <w:lvlJc w:val="left"/>
      <w:pPr>
        <w:ind w:left="2945" w:hanging="360"/>
      </w:pPr>
      <w:rPr>
        <w:rFonts w:ascii="Symbol" w:hAnsi="Symbol" w:hint="default"/>
      </w:rPr>
    </w:lvl>
    <w:lvl w:ilvl="4" w:tplc="040A0003" w:tentative="1">
      <w:start w:val="1"/>
      <w:numFmt w:val="bullet"/>
      <w:lvlText w:val="o"/>
      <w:lvlJc w:val="left"/>
      <w:pPr>
        <w:ind w:left="3665" w:hanging="360"/>
      </w:pPr>
      <w:rPr>
        <w:rFonts w:ascii="Courier New" w:hAnsi="Courier New" w:cs="Courier New" w:hint="default"/>
      </w:rPr>
    </w:lvl>
    <w:lvl w:ilvl="5" w:tplc="040A0005" w:tentative="1">
      <w:start w:val="1"/>
      <w:numFmt w:val="bullet"/>
      <w:lvlText w:val=""/>
      <w:lvlJc w:val="left"/>
      <w:pPr>
        <w:ind w:left="4385" w:hanging="360"/>
      </w:pPr>
      <w:rPr>
        <w:rFonts w:ascii="Wingdings" w:hAnsi="Wingdings" w:hint="default"/>
      </w:rPr>
    </w:lvl>
    <w:lvl w:ilvl="6" w:tplc="040A0001" w:tentative="1">
      <w:start w:val="1"/>
      <w:numFmt w:val="bullet"/>
      <w:lvlText w:val=""/>
      <w:lvlJc w:val="left"/>
      <w:pPr>
        <w:ind w:left="5105" w:hanging="360"/>
      </w:pPr>
      <w:rPr>
        <w:rFonts w:ascii="Symbol" w:hAnsi="Symbol" w:hint="default"/>
      </w:rPr>
    </w:lvl>
    <w:lvl w:ilvl="7" w:tplc="040A0003" w:tentative="1">
      <w:start w:val="1"/>
      <w:numFmt w:val="bullet"/>
      <w:lvlText w:val="o"/>
      <w:lvlJc w:val="left"/>
      <w:pPr>
        <w:ind w:left="5825" w:hanging="360"/>
      </w:pPr>
      <w:rPr>
        <w:rFonts w:ascii="Courier New" w:hAnsi="Courier New" w:cs="Courier New" w:hint="default"/>
      </w:rPr>
    </w:lvl>
    <w:lvl w:ilvl="8" w:tplc="040A0005" w:tentative="1">
      <w:start w:val="1"/>
      <w:numFmt w:val="bullet"/>
      <w:lvlText w:val=""/>
      <w:lvlJc w:val="left"/>
      <w:pPr>
        <w:ind w:left="6545" w:hanging="360"/>
      </w:pPr>
      <w:rPr>
        <w:rFonts w:ascii="Wingdings" w:hAnsi="Wingdings" w:hint="default"/>
      </w:rPr>
    </w:lvl>
  </w:abstractNum>
  <w:abstractNum w:abstractNumId="117" w15:restartNumberingAfterBreak="0">
    <w:nsid w:val="24410BD6"/>
    <w:multiLevelType w:val="hybridMultilevel"/>
    <w:tmpl w:val="A01CEB22"/>
    <w:lvl w:ilvl="0" w:tplc="1C0A0019">
      <w:start w:val="1"/>
      <w:numFmt w:val="lowerLetter"/>
      <w:lvlText w:val="%1."/>
      <w:lvlJc w:val="left"/>
      <w:pPr>
        <w:ind w:left="644" w:hanging="360"/>
      </w:pPr>
      <w:rPr>
        <w:rFonts w:hint="default"/>
      </w:rPr>
    </w:lvl>
    <w:lvl w:ilvl="1" w:tplc="100A0019">
      <w:start w:val="1"/>
      <w:numFmt w:val="lowerLetter"/>
      <w:lvlText w:val="%2."/>
      <w:lvlJc w:val="left"/>
      <w:pPr>
        <w:ind w:left="1364" w:hanging="360"/>
      </w:pPr>
    </w:lvl>
    <w:lvl w:ilvl="2" w:tplc="100A001B" w:tentative="1">
      <w:start w:val="1"/>
      <w:numFmt w:val="lowerRoman"/>
      <w:lvlText w:val="%3."/>
      <w:lvlJc w:val="right"/>
      <w:pPr>
        <w:ind w:left="2084" w:hanging="180"/>
      </w:pPr>
    </w:lvl>
    <w:lvl w:ilvl="3" w:tplc="100A000F" w:tentative="1">
      <w:start w:val="1"/>
      <w:numFmt w:val="decimal"/>
      <w:lvlText w:val="%4."/>
      <w:lvlJc w:val="left"/>
      <w:pPr>
        <w:ind w:left="2804" w:hanging="360"/>
      </w:pPr>
    </w:lvl>
    <w:lvl w:ilvl="4" w:tplc="100A0019" w:tentative="1">
      <w:start w:val="1"/>
      <w:numFmt w:val="lowerLetter"/>
      <w:lvlText w:val="%5."/>
      <w:lvlJc w:val="left"/>
      <w:pPr>
        <w:ind w:left="3524" w:hanging="360"/>
      </w:pPr>
    </w:lvl>
    <w:lvl w:ilvl="5" w:tplc="100A001B" w:tentative="1">
      <w:start w:val="1"/>
      <w:numFmt w:val="lowerRoman"/>
      <w:lvlText w:val="%6."/>
      <w:lvlJc w:val="right"/>
      <w:pPr>
        <w:ind w:left="4244" w:hanging="180"/>
      </w:pPr>
    </w:lvl>
    <w:lvl w:ilvl="6" w:tplc="100A000F" w:tentative="1">
      <w:start w:val="1"/>
      <w:numFmt w:val="decimal"/>
      <w:lvlText w:val="%7."/>
      <w:lvlJc w:val="left"/>
      <w:pPr>
        <w:ind w:left="4964" w:hanging="360"/>
      </w:pPr>
    </w:lvl>
    <w:lvl w:ilvl="7" w:tplc="100A0019" w:tentative="1">
      <w:start w:val="1"/>
      <w:numFmt w:val="lowerLetter"/>
      <w:lvlText w:val="%8."/>
      <w:lvlJc w:val="left"/>
      <w:pPr>
        <w:ind w:left="5684" w:hanging="360"/>
      </w:pPr>
    </w:lvl>
    <w:lvl w:ilvl="8" w:tplc="100A001B" w:tentative="1">
      <w:start w:val="1"/>
      <w:numFmt w:val="lowerRoman"/>
      <w:lvlText w:val="%9."/>
      <w:lvlJc w:val="right"/>
      <w:pPr>
        <w:ind w:left="6404" w:hanging="180"/>
      </w:pPr>
    </w:lvl>
  </w:abstractNum>
  <w:abstractNum w:abstractNumId="118" w15:restartNumberingAfterBreak="0">
    <w:nsid w:val="247C6F77"/>
    <w:multiLevelType w:val="multilevel"/>
    <w:tmpl w:val="04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19" w15:restartNumberingAfterBreak="0">
    <w:nsid w:val="24EB0D0B"/>
    <w:multiLevelType w:val="hybridMultilevel"/>
    <w:tmpl w:val="60A29FF0"/>
    <w:lvl w:ilvl="0" w:tplc="E460FC5A">
      <w:start w:val="1"/>
      <w:numFmt w:val="decimal"/>
      <w:lvlText w:val="%1."/>
      <w:lvlJc w:val="left"/>
      <w:pPr>
        <w:ind w:left="1636" w:hanging="360"/>
      </w:pPr>
      <w:rPr>
        <w:rFonts w:hint="default"/>
      </w:rPr>
    </w:lvl>
    <w:lvl w:ilvl="1" w:tplc="6AEE82CA">
      <w:start w:val="1"/>
      <w:numFmt w:val="lowerLetter"/>
      <w:lvlText w:val="%2)"/>
      <w:lvlJc w:val="left"/>
      <w:pPr>
        <w:ind w:left="2356" w:hanging="360"/>
      </w:pPr>
      <w:rPr>
        <w:rFonts w:asciiTheme="minorHAnsi" w:eastAsiaTheme="minorHAnsi" w:hAnsiTheme="minorHAnsi" w:cstheme="minorBidi"/>
      </w:rPr>
    </w:lvl>
    <w:lvl w:ilvl="2" w:tplc="1C0A001B" w:tentative="1">
      <w:start w:val="1"/>
      <w:numFmt w:val="lowerRoman"/>
      <w:lvlText w:val="%3."/>
      <w:lvlJc w:val="right"/>
      <w:pPr>
        <w:ind w:left="3076" w:hanging="180"/>
      </w:pPr>
    </w:lvl>
    <w:lvl w:ilvl="3" w:tplc="1C0A000F" w:tentative="1">
      <w:start w:val="1"/>
      <w:numFmt w:val="decimal"/>
      <w:lvlText w:val="%4."/>
      <w:lvlJc w:val="left"/>
      <w:pPr>
        <w:ind w:left="3796" w:hanging="360"/>
      </w:pPr>
    </w:lvl>
    <w:lvl w:ilvl="4" w:tplc="1C0A0019" w:tentative="1">
      <w:start w:val="1"/>
      <w:numFmt w:val="lowerLetter"/>
      <w:lvlText w:val="%5."/>
      <w:lvlJc w:val="left"/>
      <w:pPr>
        <w:ind w:left="4516" w:hanging="360"/>
      </w:pPr>
    </w:lvl>
    <w:lvl w:ilvl="5" w:tplc="1C0A001B" w:tentative="1">
      <w:start w:val="1"/>
      <w:numFmt w:val="lowerRoman"/>
      <w:lvlText w:val="%6."/>
      <w:lvlJc w:val="right"/>
      <w:pPr>
        <w:ind w:left="5236" w:hanging="180"/>
      </w:pPr>
    </w:lvl>
    <w:lvl w:ilvl="6" w:tplc="1C0A000F" w:tentative="1">
      <w:start w:val="1"/>
      <w:numFmt w:val="decimal"/>
      <w:lvlText w:val="%7."/>
      <w:lvlJc w:val="left"/>
      <w:pPr>
        <w:ind w:left="5956" w:hanging="360"/>
      </w:pPr>
    </w:lvl>
    <w:lvl w:ilvl="7" w:tplc="1C0A0019" w:tentative="1">
      <w:start w:val="1"/>
      <w:numFmt w:val="lowerLetter"/>
      <w:lvlText w:val="%8."/>
      <w:lvlJc w:val="left"/>
      <w:pPr>
        <w:ind w:left="6676" w:hanging="360"/>
      </w:pPr>
    </w:lvl>
    <w:lvl w:ilvl="8" w:tplc="1C0A001B" w:tentative="1">
      <w:start w:val="1"/>
      <w:numFmt w:val="lowerRoman"/>
      <w:lvlText w:val="%9."/>
      <w:lvlJc w:val="right"/>
      <w:pPr>
        <w:ind w:left="7396" w:hanging="180"/>
      </w:pPr>
    </w:lvl>
  </w:abstractNum>
  <w:abstractNum w:abstractNumId="120" w15:restartNumberingAfterBreak="0">
    <w:nsid w:val="25137AF2"/>
    <w:multiLevelType w:val="hybridMultilevel"/>
    <w:tmpl w:val="B60A1FD8"/>
    <w:lvl w:ilvl="0" w:tplc="1C0A0019">
      <w:start w:val="1"/>
      <w:numFmt w:val="lowerLetter"/>
      <w:lvlText w:val="%1."/>
      <w:lvlJc w:val="left"/>
      <w:pPr>
        <w:ind w:left="720" w:hanging="360"/>
      </w:pPr>
      <w:rPr>
        <w:rFont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1" w15:restartNumberingAfterBreak="0">
    <w:nsid w:val="25155410"/>
    <w:multiLevelType w:val="hybridMultilevel"/>
    <w:tmpl w:val="807A700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15:restartNumberingAfterBreak="0">
    <w:nsid w:val="2559100E"/>
    <w:multiLevelType w:val="hybridMultilevel"/>
    <w:tmpl w:val="322E8E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3" w15:restartNumberingAfterBreak="0">
    <w:nsid w:val="25C10D3A"/>
    <w:multiLevelType w:val="hybridMultilevel"/>
    <w:tmpl w:val="1660DBDE"/>
    <w:lvl w:ilvl="0" w:tplc="1C0A0019">
      <w:start w:val="1"/>
      <w:numFmt w:val="lowerLetter"/>
      <w:lvlText w:val="%1."/>
      <w:lvlJc w:val="left"/>
      <w:pPr>
        <w:ind w:left="720" w:hanging="360"/>
      </w:pPr>
      <w:rPr>
        <w:rFont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4" w15:restartNumberingAfterBreak="0">
    <w:nsid w:val="26443354"/>
    <w:multiLevelType w:val="hybridMultilevel"/>
    <w:tmpl w:val="864C7E86"/>
    <w:lvl w:ilvl="0" w:tplc="040A0001">
      <w:start w:val="1"/>
      <w:numFmt w:val="bullet"/>
      <w:lvlText w:val=""/>
      <w:lvlJc w:val="left"/>
      <w:pPr>
        <w:ind w:left="720" w:hanging="360"/>
      </w:pPr>
      <w:rPr>
        <w:rFonts w:ascii="Symbol" w:hAnsi="Symbol"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25" w15:restartNumberingAfterBreak="0">
    <w:nsid w:val="26AE1DF9"/>
    <w:multiLevelType w:val="hybridMultilevel"/>
    <w:tmpl w:val="E89EB6E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26C8028A"/>
    <w:multiLevelType w:val="hybridMultilevel"/>
    <w:tmpl w:val="12B61710"/>
    <w:lvl w:ilvl="0" w:tplc="A3C68540">
      <w:numFmt w:val="bullet"/>
      <w:lvlText w:val="-"/>
      <w:lvlJc w:val="left"/>
      <w:pPr>
        <w:ind w:left="720" w:hanging="360"/>
      </w:pPr>
      <w:rPr>
        <w:rFonts w:ascii="Calibri" w:eastAsia="Times New Roman" w:hAnsi="Calibri" w:cs="Calibr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7" w15:restartNumberingAfterBreak="0">
    <w:nsid w:val="26D20F1C"/>
    <w:multiLevelType w:val="multilevel"/>
    <w:tmpl w:val="CFE05E7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8" w15:restartNumberingAfterBreak="0">
    <w:nsid w:val="27051616"/>
    <w:multiLevelType w:val="multilevel"/>
    <w:tmpl w:val="E9F4CAD6"/>
    <w:lvl w:ilvl="0">
      <w:start w:val="1"/>
      <w:numFmt w:val="lowerLetter"/>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9" w15:restartNumberingAfterBreak="0">
    <w:nsid w:val="27965FF9"/>
    <w:multiLevelType w:val="hybridMultilevel"/>
    <w:tmpl w:val="1A92C246"/>
    <w:lvl w:ilvl="0" w:tplc="100A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15:restartNumberingAfterBreak="0">
    <w:nsid w:val="279A00F5"/>
    <w:multiLevelType w:val="hybridMultilevel"/>
    <w:tmpl w:val="88C20F18"/>
    <w:lvl w:ilvl="0" w:tplc="A3C68540">
      <w:numFmt w:val="bullet"/>
      <w:lvlText w:val="-"/>
      <w:lvlJc w:val="left"/>
      <w:pPr>
        <w:ind w:left="1637" w:hanging="360"/>
      </w:pPr>
      <w:rPr>
        <w:rFonts w:ascii="Calibri" w:eastAsia="Times New Roman" w:hAnsi="Calibri" w:cs="Calibri" w:hint="default"/>
      </w:rPr>
    </w:lvl>
    <w:lvl w:ilvl="1" w:tplc="1C0A0003" w:tentative="1">
      <w:start w:val="1"/>
      <w:numFmt w:val="bullet"/>
      <w:lvlText w:val="o"/>
      <w:lvlJc w:val="left"/>
      <w:pPr>
        <w:ind w:left="2490" w:hanging="360"/>
      </w:pPr>
      <w:rPr>
        <w:rFonts w:ascii="Courier New" w:hAnsi="Courier New" w:cs="Courier New" w:hint="default"/>
      </w:rPr>
    </w:lvl>
    <w:lvl w:ilvl="2" w:tplc="1C0A0005" w:tentative="1">
      <w:start w:val="1"/>
      <w:numFmt w:val="bullet"/>
      <w:lvlText w:val=""/>
      <w:lvlJc w:val="left"/>
      <w:pPr>
        <w:ind w:left="3210" w:hanging="360"/>
      </w:pPr>
      <w:rPr>
        <w:rFonts w:ascii="Wingdings" w:hAnsi="Wingdings" w:hint="default"/>
      </w:rPr>
    </w:lvl>
    <w:lvl w:ilvl="3" w:tplc="1C0A0001" w:tentative="1">
      <w:start w:val="1"/>
      <w:numFmt w:val="bullet"/>
      <w:lvlText w:val=""/>
      <w:lvlJc w:val="left"/>
      <w:pPr>
        <w:ind w:left="3930" w:hanging="360"/>
      </w:pPr>
      <w:rPr>
        <w:rFonts w:ascii="Symbol" w:hAnsi="Symbol" w:hint="default"/>
      </w:rPr>
    </w:lvl>
    <w:lvl w:ilvl="4" w:tplc="1C0A0003" w:tentative="1">
      <w:start w:val="1"/>
      <w:numFmt w:val="bullet"/>
      <w:lvlText w:val="o"/>
      <w:lvlJc w:val="left"/>
      <w:pPr>
        <w:ind w:left="4650" w:hanging="360"/>
      </w:pPr>
      <w:rPr>
        <w:rFonts w:ascii="Courier New" w:hAnsi="Courier New" w:cs="Courier New" w:hint="default"/>
      </w:rPr>
    </w:lvl>
    <w:lvl w:ilvl="5" w:tplc="1C0A0005" w:tentative="1">
      <w:start w:val="1"/>
      <w:numFmt w:val="bullet"/>
      <w:lvlText w:val=""/>
      <w:lvlJc w:val="left"/>
      <w:pPr>
        <w:ind w:left="5370" w:hanging="360"/>
      </w:pPr>
      <w:rPr>
        <w:rFonts w:ascii="Wingdings" w:hAnsi="Wingdings" w:hint="default"/>
      </w:rPr>
    </w:lvl>
    <w:lvl w:ilvl="6" w:tplc="1C0A0001" w:tentative="1">
      <w:start w:val="1"/>
      <w:numFmt w:val="bullet"/>
      <w:lvlText w:val=""/>
      <w:lvlJc w:val="left"/>
      <w:pPr>
        <w:ind w:left="6090" w:hanging="360"/>
      </w:pPr>
      <w:rPr>
        <w:rFonts w:ascii="Symbol" w:hAnsi="Symbol" w:hint="default"/>
      </w:rPr>
    </w:lvl>
    <w:lvl w:ilvl="7" w:tplc="1C0A0003" w:tentative="1">
      <w:start w:val="1"/>
      <w:numFmt w:val="bullet"/>
      <w:lvlText w:val="o"/>
      <w:lvlJc w:val="left"/>
      <w:pPr>
        <w:ind w:left="6810" w:hanging="360"/>
      </w:pPr>
      <w:rPr>
        <w:rFonts w:ascii="Courier New" w:hAnsi="Courier New" w:cs="Courier New" w:hint="default"/>
      </w:rPr>
    </w:lvl>
    <w:lvl w:ilvl="8" w:tplc="1C0A0005" w:tentative="1">
      <w:start w:val="1"/>
      <w:numFmt w:val="bullet"/>
      <w:lvlText w:val=""/>
      <w:lvlJc w:val="left"/>
      <w:pPr>
        <w:ind w:left="7530" w:hanging="360"/>
      </w:pPr>
      <w:rPr>
        <w:rFonts w:ascii="Wingdings" w:hAnsi="Wingdings" w:hint="default"/>
      </w:rPr>
    </w:lvl>
  </w:abstractNum>
  <w:abstractNum w:abstractNumId="131" w15:restartNumberingAfterBreak="0">
    <w:nsid w:val="27AC22D5"/>
    <w:multiLevelType w:val="hybridMultilevel"/>
    <w:tmpl w:val="E4F049C8"/>
    <w:lvl w:ilvl="0" w:tplc="040A0001">
      <w:start w:val="1"/>
      <w:numFmt w:val="bullet"/>
      <w:lvlText w:val=""/>
      <w:lvlJc w:val="left"/>
      <w:pPr>
        <w:ind w:left="360" w:hanging="360"/>
      </w:pPr>
      <w:rPr>
        <w:rFonts w:ascii="Symbol" w:hAnsi="Symbol" w:hint="default"/>
      </w:rPr>
    </w:lvl>
    <w:lvl w:ilvl="1" w:tplc="040A0003">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32" w15:restartNumberingAfterBreak="0">
    <w:nsid w:val="282A0F62"/>
    <w:multiLevelType w:val="multilevel"/>
    <w:tmpl w:val="D8304312"/>
    <w:lvl w:ilvl="0">
      <w:start w:val="1"/>
      <w:numFmt w:val="lowerLetter"/>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3" w15:restartNumberingAfterBreak="0">
    <w:nsid w:val="28336E92"/>
    <w:multiLevelType w:val="multilevel"/>
    <w:tmpl w:val="8D6CFE28"/>
    <w:lvl w:ilvl="0">
      <w:start w:val="1"/>
      <w:numFmt w:val="lowerLetter"/>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4" w15:restartNumberingAfterBreak="0">
    <w:nsid w:val="285B55E0"/>
    <w:multiLevelType w:val="hybridMultilevel"/>
    <w:tmpl w:val="97A65FC0"/>
    <w:lvl w:ilvl="0" w:tplc="100A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15:restartNumberingAfterBreak="0">
    <w:nsid w:val="28975809"/>
    <w:multiLevelType w:val="hybridMultilevel"/>
    <w:tmpl w:val="320443DE"/>
    <w:lvl w:ilvl="0" w:tplc="0C4C0926">
      <w:start w:val="1"/>
      <w:numFmt w:val="lowerLetter"/>
      <w:lvlText w:val="%1."/>
      <w:lvlJc w:val="left"/>
      <w:pPr>
        <w:ind w:left="644" w:hanging="360"/>
      </w:pPr>
      <w:rPr>
        <w:rFonts w:hint="default"/>
        <w:b w:val="0"/>
        <w:i w:val="0"/>
      </w:rPr>
    </w:lvl>
    <w:lvl w:ilvl="1" w:tplc="04090003" w:tentative="1">
      <w:start w:val="1"/>
      <w:numFmt w:val="bullet"/>
      <w:lvlText w:val="o"/>
      <w:lvlJc w:val="left"/>
      <w:pPr>
        <w:ind w:left="2223" w:hanging="360"/>
      </w:pPr>
      <w:rPr>
        <w:rFonts w:ascii="Courier New" w:hAnsi="Courier New" w:cs="Courier New" w:hint="default"/>
      </w:rPr>
    </w:lvl>
    <w:lvl w:ilvl="2" w:tplc="04090005" w:tentative="1">
      <w:start w:val="1"/>
      <w:numFmt w:val="bullet"/>
      <w:lvlText w:val=""/>
      <w:lvlJc w:val="left"/>
      <w:pPr>
        <w:ind w:left="2943" w:hanging="360"/>
      </w:pPr>
      <w:rPr>
        <w:rFonts w:ascii="Wingdings" w:hAnsi="Wingdings" w:hint="default"/>
      </w:rPr>
    </w:lvl>
    <w:lvl w:ilvl="3" w:tplc="04090001" w:tentative="1">
      <w:start w:val="1"/>
      <w:numFmt w:val="bullet"/>
      <w:lvlText w:val=""/>
      <w:lvlJc w:val="left"/>
      <w:pPr>
        <w:ind w:left="3663" w:hanging="360"/>
      </w:pPr>
      <w:rPr>
        <w:rFonts w:ascii="Symbol" w:hAnsi="Symbol" w:hint="default"/>
      </w:rPr>
    </w:lvl>
    <w:lvl w:ilvl="4" w:tplc="04090003" w:tentative="1">
      <w:start w:val="1"/>
      <w:numFmt w:val="bullet"/>
      <w:lvlText w:val="o"/>
      <w:lvlJc w:val="left"/>
      <w:pPr>
        <w:ind w:left="4383" w:hanging="360"/>
      </w:pPr>
      <w:rPr>
        <w:rFonts w:ascii="Courier New" w:hAnsi="Courier New" w:cs="Courier New" w:hint="default"/>
      </w:rPr>
    </w:lvl>
    <w:lvl w:ilvl="5" w:tplc="04090005" w:tentative="1">
      <w:start w:val="1"/>
      <w:numFmt w:val="bullet"/>
      <w:lvlText w:val=""/>
      <w:lvlJc w:val="left"/>
      <w:pPr>
        <w:ind w:left="5103" w:hanging="360"/>
      </w:pPr>
      <w:rPr>
        <w:rFonts w:ascii="Wingdings" w:hAnsi="Wingdings" w:hint="default"/>
      </w:rPr>
    </w:lvl>
    <w:lvl w:ilvl="6" w:tplc="04090001" w:tentative="1">
      <w:start w:val="1"/>
      <w:numFmt w:val="bullet"/>
      <w:lvlText w:val=""/>
      <w:lvlJc w:val="left"/>
      <w:pPr>
        <w:ind w:left="5823" w:hanging="360"/>
      </w:pPr>
      <w:rPr>
        <w:rFonts w:ascii="Symbol" w:hAnsi="Symbol" w:hint="default"/>
      </w:rPr>
    </w:lvl>
    <w:lvl w:ilvl="7" w:tplc="04090003" w:tentative="1">
      <w:start w:val="1"/>
      <w:numFmt w:val="bullet"/>
      <w:lvlText w:val="o"/>
      <w:lvlJc w:val="left"/>
      <w:pPr>
        <w:ind w:left="6543" w:hanging="360"/>
      </w:pPr>
      <w:rPr>
        <w:rFonts w:ascii="Courier New" w:hAnsi="Courier New" w:cs="Courier New" w:hint="default"/>
      </w:rPr>
    </w:lvl>
    <w:lvl w:ilvl="8" w:tplc="04090005" w:tentative="1">
      <w:start w:val="1"/>
      <w:numFmt w:val="bullet"/>
      <w:lvlText w:val=""/>
      <w:lvlJc w:val="left"/>
      <w:pPr>
        <w:ind w:left="7263" w:hanging="360"/>
      </w:pPr>
      <w:rPr>
        <w:rFonts w:ascii="Wingdings" w:hAnsi="Wingdings" w:hint="default"/>
      </w:rPr>
    </w:lvl>
  </w:abstractNum>
  <w:abstractNum w:abstractNumId="136" w15:restartNumberingAfterBreak="0">
    <w:nsid w:val="28E05BB7"/>
    <w:multiLevelType w:val="hybridMultilevel"/>
    <w:tmpl w:val="852A07AE"/>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7" w15:restartNumberingAfterBreak="0">
    <w:nsid w:val="2944459D"/>
    <w:multiLevelType w:val="hybridMultilevel"/>
    <w:tmpl w:val="A49C95A8"/>
    <w:lvl w:ilvl="0" w:tplc="040A0005">
      <w:start w:val="1"/>
      <w:numFmt w:val="bullet"/>
      <w:lvlText w:val=""/>
      <w:lvlJc w:val="left"/>
      <w:pPr>
        <w:ind w:left="417" w:hanging="360"/>
      </w:pPr>
      <w:rPr>
        <w:rFonts w:ascii="Wingdings" w:hAnsi="Wingdings" w:hint="default"/>
      </w:rPr>
    </w:lvl>
    <w:lvl w:ilvl="1" w:tplc="040A0003" w:tentative="1">
      <w:start w:val="1"/>
      <w:numFmt w:val="bullet"/>
      <w:lvlText w:val="o"/>
      <w:lvlJc w:val="left"/>
      <w:pPr>
        <w:ind w:left="1137" w:hanging="360"/>
      </w:pPr>
      <w:rPr>
        <w:rFonts w:ascii="Courier New" w:hAnsi="Courier New" w:cs="Courier New" w:hint="default"/>
      </w:rPr>
    </w:lvl>
    <w:lvl w:ilvl="2" w:tplc="040A0005" w:tentative="1">
      <w:start w:val="1"/>
      <w:numFmt w:val="bullet"/>
      <w:lvlText w:val=""/>
      <w:lvlJc w:val="left"/>
      <w:pPr>
        <w:ind w:left="1857" w:hanging="360"/>
      </w:pPr>
      <w:rPr>
        <w:rFonts w:ascii="Wingdings" w:hAnsi="Wingdings" w:hint="default"/>
      </w:rPr>
    </w:lvl>
    <w:lvl w:ilvl="3" w:tplc="040A0001" w:tentative="1">
      <w:start w:val="1"/>
      <w:numFmt w:val="bullet"/>
      <w:lvlText w:val=""/>
      <w:lvlJc w:val="left"/>
      <w:pPr>
        <w:ind w:left="2577" w:hanging="360"/>
      </w:pPr>
      <w:rPr>
        <w:rFonts w:ascii="Symbol" w:hAnsi="Symbol" w:hint="default"/>
      </w:rPr>
    </w:lvl>
    <w:lvl w:ilvl="4" w:tplc="040A0003" w:tentative="1">
      <w:start w:val="1"/>
      <w:numFmt w:val="bullet"/>
      <w:lvlText w:val="o"/>
      <w:lvlJc w:val="left"/>
      <w:pPr>
        <w:ind w:left="3297" w:hanging="360"/>
      </w:pPr>
      <w:rPr>
        <w:rFonts w:ascii="Courier New" w:hAnsi="Courier New" w:cs="Courier New" w:hint="default"/>
      </w:rPr>
    </w:lvl>
    <w:lvl w:ilvl="5" w:tplc="040A0005" w:tentative="1">
      <w:start w:val="1"/>
      <w:numFmt w:val="bullet"/>
      <w:lvlText w:val=""/>
      <w:lvlJc w:val="left"/>
      <w:pPr>
        <w:ind w:left="4017" w:hanging="360"/>
      </w:pPr>
      <w:rPr>
        <w:rFonts w:ascii="Wingdings" w:hAnsi="Wingdings" w:hint="default"/>
      </w:rPr>
    </w:lvl>
    <w:lvl w:ilvl="6" w:tplc="040A0001" w:tentative="1">
      <w:start w:val="1"/>
      <w:numFmt w:val="bullet"/>
      <w:lvlText w:val=""/>
      <w:lvlJc w:val="left"/>
      <w:pPr>
        <w:ind w:left="4737" w:hanging="360"/>
      </w:pPr>
      <w:rPr>
        <w:rFonts w:ascii="Symbol" w:hAnsi="Symbol" w:hint="default"/>
      </w:rPr>
    </w:lvl>
    <w:lvl w:ilvl="7" w:tplc="040A0003" w:tentative="1">
      <w:start w:val="1"/>
      <w:numFmt w:val="bullet"/>
      <w:lvlText w:val="o"/>
      <w:lvlJc w:val="left"/>
      <w:pPr>
        <w:ind w:left="5457" w:hanging="360"/>
      </w:pPr>
      <w:rPr>
        <w:rFonts w:ascii="Courier New" w:hAnsi="Courier New" w:cs="Courier New" w:hint="default"/>
      </w:rPr>
    </w:lvl>
    <w:lvl w:ilvl="8" w:tplc="040A0005" w:tentative="1">
      <w:start w:val="1"/>
      <w:numFmt w:val="bullet"/>
      <w:lvlText w:val=""/>
      <w:lvlJc w:val="left"/>
      <w:pPr>
        <w:ind w:left="6177" w:hanging="360"/>
      </w:pPr>
      <w:rPr>
        <w:rFonts w:ascii="Wingdings" w:hAnsi="Wingdings" w:hint="default"/>
      </w:rPr>
    </w:lvl>
  </w:abstractNum>
  <w:abstractNum w:abstractNumId="138" w15:restartNumberingAfterBreak="0">
    <w:nsid w:val="296A061C"/>
    <w:multiLevelType w:val="hybridMultilevel"/>
    <w:tmpl w:val="160ABCD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15:restartNumberingAfterBreak="0">
    <w:nsid w:val="296C4699"/>
    <w:multiLevelType w:val="hybridMultilevel"/>
    <w:tmpl w:val="23BC5E3E"/>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40" w15:restartNumberingAfterBreak="0">
    <w:nsid w:val="2A3B57DC"/>
    <w:multiLevelType w:val="hybridMultilevel"/>
    <w:tmpl w:val="B1C434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15:restartNumberingAfterBreak="0">
    <w:nsid w:val="2A8B5843"/>
    <w:multiLevelType w:val="hybridMultilevel"/>
    <w:tmpl w:val="97B0E892"/>
    <w:lvl w:ilvl="0" w:tplc="100A0019">
      <w:start w:val="1"/>
      <w:numFmt w:val="lowerLetter"/>
      <w:lvlText w:val="%1."/>
      <w:lvlJc w:val="left"/>
      <w:pPr>
        <w:ind w:left="360" w:hanging="360"/>
      </w:pPr>
      <w:rPr>
        <w:rFonts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42" w15:restartNumberingAfterBreak="0">
    <w:nsid w:val="2B22706F"/>
    <w:multiLevelType w:val="hybridMultilevel"/>
    <w:tmpl w:val="5B509050"/>
    <w:lvl w:ilvl="0" w:tplc="100A0017">
      <w:start w:val="1"/>
      <w:numFmt w:val="lowerLetter"/>
      <w:lvlText w:val="%1)"/>
      <w:lvlJc w:val="left"/>
      <w:pPr>
        <w:ind w:left="720" w:hanging="360"/>
      </w:pPr>
      <w:rPr>
        <w:rFont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3" w15:restartNumberingAfterBreak="0">
    <w:nsid w:val="2B5D52A3"/>
    <w:multiLevelType w:val="hybridMultilevel"/>
    <w:tmpl w:val="00BC9D48"/>
    <w:lvl w:ilvl="0" w:tplc="040A0019">
      <w:start w:val="1"/>
      <w:numFmt w:val="lowerLetter"/>
      <w:lvlText w:val="%1."/>
      <w:lvlJc w:val="left"/>
      <w:pPr>
        <w:ind w:left="360" w:hanging="360"/>
      </w:p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144" w15:restartNumberingAfterBreak="0">
    <w:nsid w:val="2B824FA7"/>
    <w:multiLevelType w:val="hybridMultilevel"/>
    <w:tmpl w:val="9C9A27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15:restartNumberingAfterBreak="0">
    <w:nsid w:val="2B84135B"/>
    <w:multiLevelType w:val="hybridMultilevel"/>
    <w:tmpl w:val="57C20186"/>
    <w:lvl w:ilvl="0" w:tplc="04090017">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46" w15:restartNumberingAfterBreak="0">
    <w:nsid w:val="2BAC27B0"/>
    <w:multiLevelType w:val="hybridMultilevel"/>
    <w:tmpl w:val="6680B4F6"/>
    <w:lvl w:ilvl="0" w:tplc="04090001">
      <w:start w:val="1"/>
      <w:numFmt w:val="bullet"/>
      <w:lvlText w:val=""/>
      <w:lvlJc w:val="left"/>
      <w:pPr>
        <w:ind w:left="928" w:hanging="360"/>
      </w:pPr>
      <w:rPr>
        <w:rFonts w:ascii="Symbol" w:hAnsi="Symbol" w:hint="default"/>
      </w:rPr>
    </w:lvl>
    <w:lvl w:ilvl="1" w:tplc="1C0A0019">
      <w:start w:val="1"/>
      <w:numFmt w:val="lowerLetter"/>
      <w:lvlText w:val="%2."/>
      <w:lvlJc w:val="left"/>
      <w:pPr>
        <w:ind w:left="785" w:hanging="360"/>
      </w:pPr>
      <w:rPr>
        <w:rFonts w:hint="default"/>
      </w:rPr>
    </w:lvl>
    <w:lvl w:ilvl="2" w:tplc="04090005" w:tentative="1">
      <w:start w:val="1"/>
      <w:numFmt w:val="bullet"/>
      <w:lvlText w:val=""/>
      <w:lvlJc w:val="left"/>
      <w:pPr>
        <w:ind w:left="1899" w:hanging="360"/>
      </w:pPr>
      <w:rPr>
        <w:rFonts w:ascii="Wingdings" w:hAnsi="Wingdings" w:hint="default"/>
      </w:rPr>
    </w:lvl>
    <w:lvl w:ilvl="3" w:tplc="04090001" w:tentative="1">
      <w:start w:val="1"/>
      <w:numFmt w:val="bullet"/>
      <w:lvlText w:val=""/>
      <w:lvlJc w:val="left"/>
      <w:pPr>
        <w:ind w:left="2619" w:hanging="360"/>
      </w:pPr>
      <w:rPr>
        <w:rFonts w:ascii="Symbol" w:hAnsi="Symbol" w:hint="default"/>
      </w:rPr>
    </w:lvl>
    <w:lvl w:ilvl="4" w:tplc="04090003" w:tentative="1">
      <w:start w:val="1"/>
      <w:numFmt w:val="bullet"/>
      <w:lvlText w:val="o"/>
      <w:lvlJc w:val="left"/>
      <w:pPr>
        <w:ind w:left="3339" w:hanging="360"/>
      </w:pPr>
      <w:rPr>
        <w:rFonts w:ascii="Courier New" w:hAnsi="Courier New" w:cs="Courier New" w:hint="default"/>
      </w:rPr>
    </w:lvl>
    <w:lvl w:ilvl="5" w:tplc="04090005" w:tentative="1">
      <w:start w:val="1"/>
      <w:numFmt w:val="bullet"/>
      <w:lvlText w:val=""/>
      <w:lvlJc w:val="left"/>
      <w:pPr>
        <w:ind w:left="4059" w:hanging="360"/>
      </w:pPr>
      <w:rPr>
        <w:rFonts w:ascii="Wingdings" w:hAnsi="Wingdings" w:hint="default"/>
      </w:rPr>
    </w:lvl>
    <w:lvl w:ilvl="6" w:tplc="04090001" w:tentative="1">
      <w:start w:val="1"/>
      <w:numFmt w:val="bullet"/>
      <w:lvlText w:val=""/>
      <w:lvlJc w:val="left"/>
      <w:pPr>
        <w:ind w:left="4779" w:hanging="360"/>
      </w:pPr>
      <w:rPr>
        <w:rFonts w:ascii="Symbol" w:hAnsi="Symbol" w:hint="default"/>
      </w:rPr>
    </w:lvl>
    <w:lvl w:ilvl="7" w:tplc="04090003" w:tentative="1">
      <w:start w:val="1"/>
      <w:numFmt w:val="bullet"/>
      <w:lvlText w:val="o"/>
      <w:lvlJc w:val="left"/>
      <w:pPr>
        <w:ind w:left="5499" w:hanging="360"/>
      </w:pPr>
      <w:rPr>
        <w:rFonts w:ascii="Courier New" w:hAnsi="Courier New" w:cs="Courier New" w:hint="default"/>
      </w:rPr>
    </w:lvl>
    <w:lvl w:ilvl="8" w:tplc="04090005" w:tentative="1">
      <w:start w:val="1"/>
      <w:numFmt w:val="bullet"/>
      <w:lvlText w:val=""/>
      <w:lvlJc w:val="left"/>
      <w:pPr>
        <w:ind w:left="6219" w:hanging="360"/>
      </w:pPr>
      <w:rPr>
        <w:rFonts w:ascii="Wingdings" w:hAnsi="Wingdings" w:hint="default"/>
      </w:rPr>
    </w:lvl>
  </w:abstractNum>
  <w:abstractNum w:abstractNumId="147" w15:restartNumberingAfterBreak="0">
    <w:nsid w:val="2BAD52FA"/>
    <w:multiLevelType w:val="multilevel"/>
    <w:tmpl w:val="45589080"/>
    <w:lvl w:ilvl="0">
      <w:start w:val="1"/>
      <w:numFmt w:val="lowerLetter"/>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8" w15:restartNumberingAfterBreak="0">
    <w:nsid w:val="2BBA3A99"/>
    <w:multiLevelType w:val="hybridMultilevel"/>
    <w:tmpl w:val="28F6D43A"/>
    <w:lvl w:ilvl="0" w:tplc="19AC2EEA">
      <w:start w:val="1"/>
      <w:numFmt w:val="bullet"/>
      <w:pStyle w:val="Sangranormal"/>
      <w:lvlText w:val=""/>
      <w:lvlJc w:val="left"/>
      <w:pPr>
        <w:tabs>
          <w:tab w:val="num" w:pos="1985"/>
        </w:tabs>
        <w:ind w:left="1985" w:hanging="284"/>
      </w:pPr>
      <w:rPr>
        <w:rFonts w:ascii="Symbol" w:hAnsi="Symbol" w:hint="default"/>
      </w:rPr>
    </w:lvl>
    <w:lvl w:ilvl="1" w:tplc="04090003" w:tentative="1">
      <w:start w:val="1"/>
      <w:numFmt w:val="bullet"/>
      <w:lvlText w:val="o"/>
      <w:lvlJc w:val="left"/>
      <w:pPr>
        <w:tabs>
          <w:tab w:val="num" w:pos="2149"/>
        </w:tabs>
        <w:ind w:left="2149" w:hanging="360"/>
      </w:pPr>
      <w:rPr>
        <w:rFonts w:ascii="Courier New" w:hAnsi="Courier New" w:hint="default"/>
      </w:rPr>
    </w:lvl>
    <w:lvl w:ilvl="2" w:tplc="04090005" w:tentative="1">
      <w:start w:val="1"/>
      <w:numFmt w:val="bullet"/>
      <w:lvlText w:val=""/>
      <w:lvlJc w:val="left"/>
      <w:pPr>
        <w:tabs>
          <w:tab w:val="num" w:pos="2869"/>
        </w:tabs>
        <w:ind w:left="2869" w:hanging="360"/>
      </w:pPr>
      <w:rPr>
        <w:rFonts w:ascii="Wingdings" w:hAnsi="Wingdings" w:hint="default"/>
      </w:rPr>
    </w:lvl>
    <w:lvl w:ilvl="3" w:tplc="04090001" w:tentative="1">
      <w:start w:val="1"/>
      <w:numFmt w:val="bullet"/>
      <w:lvlText w:val=""/>
      <w:lvlJc w:val="left"/>
      <w:pPr>
        <w:tabs>
          <w:tab w:val="num" w:pos="3589"/>
        </w:tabs>
        <w:ind w:left="3589" w:hanging="360"/>
      </w:pPr>
      <w:rPr>
        <w:rFonts w:ascii="Symbol" w:hAnsi="Symbol" w:hint="default"/>
      </w:rPr>
    </w:lvl>
    <w:lvl w:ilvl="4" w:tplc="04090003" w:tentative="1">
      <w:start w:val="1"/>
      <w:numFmt w:val="bullet"/>
      <w:lvlText w:val="o"/>
      <w:lvlJc w:val="left"/>
      <w:pPr>
        <w:tabs>
          <w:tab w:val="num" w:pos="4309"/>
        </w:tabs>
        <w:ind w:left="4309" w:hanging="360"/>
      </w:pPr>
      <w:rPr>
        <w:rFonts w:ascii="Courier New" w:hAnsi="Courier New" w:hint="default"/>
      </w:rPr>
    </w:lvl>
    <w:lvl w:ilvl="5" w:tplc="04090005" w:tentative="1">
      <w:start w:val="1"/>
      <w:numFmt w:val="bullet"/>
      <w:lvlText w:val=""/>
      <w:lvlJc w:val="left"/>
      <w:pPr>
        <w:tabs>
          <w:tab w:val="num" w:pos="5029"/>
        </w:tabs>
        <w:ind w:left="5029" w:hanging="360"/>
      </w:pPr>
      <w:rPr>
        <w:rFonts w:ascii="Wingdings" w:hAnsi="Wingdings" w:hint="default"/>
      </w:rPr>
    </w:lvl>
    <w:lvl w:ilvl="6" w:tplc="04090001" w:tentative="1">
      <w:start w:val="1"/>
      <w:numFmt w:val="bullet"/>
      <w:lvlText w:val=""/>
      <w:lvlJc w:val="left"/>
      <w:pPr>
        <w:tabs>
          <w:tab w:val="num" w:pos="5749"/>
        </w:tabs>
        <w:ind w:left="5749" w:hanging="360"/>
      </w:pPr>
      <w:rPr>
        <w:rFonts w:ascii="Symbol" w:hAnsi="Symbol" w:hint="default"/>
      </w:rPr>
    </w:lvl>
    <w:lvl w:ilvl="7" w:tplc="04090003" w:tentative="1">
      <w:start w:val="1"/>
      <w:numFmt w:val="bullet"/>
      <w:lvlText w:val="o"/>
      <w:lvlJc w:val="left"/>
      <w:pPr>
        <w:tabs>
          <w:tab w:val="num" w:pos="6469"/>
        </w:tabs>
        <w:ind w:left="6469" w:hanging="360"/>
      </w:pPr>
      <w:rPr>
        <w:rFonts w:ascii="Courier New" w:hAnsi="Courier New" w:hint="default"/>
      </w:rPr>
    </w:lvl>
    <w:lvl w:ilvl="8" w:tplc="04090005" w:tentative="1">
      <w:start w:val="1"/>
      <w:numFmt w:val="bullet"/>
      <w:lvlText w:val=""/>
      <w:lvlJc w:val="left"/>
      <w:pPr>
        <w:tabs>
          <w:tab w:val="num" w:pos="7189"/>
        </w:tabs>
        <w:ind w:left="7189" w:hanging="360"/>
      </w:pPr>
      <w:rPr>
        <w:rFonts w:ascii="Wingdings" w:hAnsi="Wingdings" w:hint="default"/>
      </w:rPr>
    </w:lvl>
  </w:abstractNum>
  <w:abstractNum w:abstractNumId="149" w15:restartNumberingAfterBreak="0">
    <w:nsid w:val="2CE03EC6"/>
    <w:multiLevelType w:val="hybridMultilevel"/>
    <w:tmpl w:val="58B8E732"/>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50" w15:restartNumberingAfterBreak="0">
    <w:nsid w:val="2CE15C44"/>
    <w:multiLevelType w:val="multilevel"/>
    <w:tmpl w:val="643CEC34"/>
    <w:lvl w:ilvl="0">
      <w:start w:val="1"/>
      <w:numFmt w:val="lowerLetter"/>
      <w:lvlText w:val="%1."/>
      <w:lvlJc w:val="left"/>
      <w:pPr>
        <w:ind w:left="754" w:hanging="360"/>
      </w:pPr>
      <w:rPr>
        <w:rFonts w:hint="default"/>
      </w:rPr>
    </w:lvl>
    <w:lvl w:ilvl="1">
      <w:start w:val="1"/>
      <w:numFmt w:val="lowerLetter"/>
      <w:lvlText w:val="%2."/>
      <w:lvlJc w:val="left"/>
      <w:pPr>
        <w:ind w:left="1474" w:hanging="360"/>
      </w:pPr>
    </w:lvl>
    <w:lvl w:ilvl="2">
      <w:start w:val="1"/>
      <w:numFmt w:val="lowerRoman"/>
      <w:lvlText w:val="%3."/>
      <w:lvlJc w:val="right"/>
      <w:pPr>
        <w:ind w:left="2194" w:hanging="180"/>
      </w:pPr>
    </w:lvl>
    <w:lvl w:ilvl="3">
      <w:start w:val="1"/>
      <w:numFmt w:val="decimal"/>
      <w:lvlText w:val="%4."/>
      <w:lvlJc w:val="left"/>
      <w:pPr>
        <w:ind w:left="2914" w:hanging="360"/>
      </w:pPr>
    </w:lvl>
    <w:lvl w:ilvl="4">
      <w:start w:val="1"/>
      <w:numFmt w:val="lowerLetter"/>
      <w:lvlText w:val="%5."/>
      <w:lvlJc w:val="left"/>
      <w:pPr>
        <w:ind w:left="3634" w:hanging="360"/>
      </w:pPr>
    </w:lvl>
    <w:lvl w:ilvl="5">
      <w:start w:val="1"/>
      <w:numFmt w:val="lowerRoman"/>
      <w:lvlText w:val="%6."/>
      <w:lvlJc w:val="right"/>
      <w:pPr>
        <w:ind w:left="4354" w:hanging="180"/>
      </w:pPr>
    </w:lvl>
    <w:lvl w:ilvl="6">
      <w:start w:val="1"/>
      <w:numFmt w:val="decimal"/>
      <w:lvlText w:val="%7."/>
      <w:lvlJc w:val="left"/>
      <w:pPr>
        <w:ind w:left="5074" w:hanging="360"/>
      </w:pPr>
    </w:lvl>
    <w:lvl w:ilvl="7">
      <w:start w:val="1"/>
      <w:numFmt w:val="lowerLetter"/>
      <w:lvlText w:val="%8."/>
      <w:lvlJc w:val="left"/>
      <w:pPr>
        <w:ind w:left="5794" w:hanging="360"/>
      </w:pPr>
    </w:lvl>
    <w:lvl w:ilvl="8">
      <w:start w:val="1"/>
      <w:numFmt w:val="lowerRoman"/>
      <w:lvlText w:val="%9."/>
      <w:lvlJc w:val="right"/>
      <w:pPr>
        <w:ind w:left="6514" w:hanging="180"/>
      </w:pPr>
    </w:lvl>
  </w:abstractNum>
  <w:abstractNum w:abstractNumId="151" w15:restartNumberingAfterBreak="0">
    <w:nsid w:val="2D2B18E6"/>
    <w:multiLevelType w:val="hybridMultilevel"/>
    <w:tmpl w:val="3CAE3B2C"/>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52" w15:restartNumberingAfterBreak="0">
    <w:nsid w:val="2D9E334C"/>
    <w:multiLevelType w:val="hybridMultilevel"/>
    <w:tmpl w:val="629216F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53" w15:restartNumberingAfterBreak="0">
    <w:nsid w:val="2DB416E8"/>
    <w:multiLevelType w:val="hybridMultilevel"/>
    <w:tmpl w:val="092065FC"/>
    <w:lvl w:ilvl="0" w:tplc="100A0019">
      <w:start w:val="1"/>
      <w:numFmt w:val="lowerLetter"/>
      <w:lvlText w:val="%1."/>
      <w:lvlJc w:val="left"/>
      <w:pPr>
        <w:ind w:left="1440" w:hanging="360"/>
      </w:pPr>
    </w:lvl>
    <w:lvl w:ilvl="1" w:tplc="100A0019" w:tentative="1">
      <w:start w:val="1"/>
      <w:numFmt w:val="lowerLetter"/>
      <w:lvlText w:val="%2."/>
      <w:lvlJc w:val="left"/>
      <w:pPr>
        <w:ind w:left="2160" w:hanging="360"/>
      </w:pPr>
    </w:lvl>
    <w:lvl w:ilvl="2" w:tplc="100A001B" w:tentative="1">
      <w:start w:val="1"/>
      <w:numFmt w:val="lowerRoman"/>
      <w:lvlText w:val="%3."/>
      <w:lvlJc w:val="right"/>
      <w:pPr>
        <w:ind w:left="2880" w:hanging="180"/>
      </w:pPr>
    </w:lvl>
    <w:lvl w:ilvl="3" w:tplc="100A000F" w:tentative="1">
      <w:start w:val="1"/>
      <w:numFmt w:val="decimal"/>
      <w:lvlText w:val="%4."/>
      <w:lvlJc w:val="left"/>
      <w:pPr>
        <w:ind w:left="3600" w:hanging="360"/>
      </w:pPr>
    </w:lvl>
    <w:lvl w:ilvl="4" w:tplc="100A0019" w:tentative="1">
      <w:start w:val="1"/>
      <w:numFmt w:val="lowerLetter"/>
      <w:lvlText w:val="%5."/>
      <w:lvlJc w:val="left"/>
      <w:pPr>
        <w:ind w:left="4320" w:hanging="360"/>
      </w:pPr>
    </w:lvl>
    <w:lvl w:ilvl="5" w:tplc="100A001B" w:tentative="1">
      <w:start w:val="1"/>
      <w:numFmt w:val="lowerRoman"/>
      <w:lvlText w:val="%6."/>
      <w:lvlJc w:val="right"/>
      <w:pPr>
        <w:ind w:left="5040" w:hanging="180"/>
      </w:pPr>
    </w:lvl>
    <w:lvl w:ilvl="6" w:tplc="100A000F" w:tentative="1">
      <w:start w:val="1"/>
      <w:numFmt w:val="decimal"/>
      <w:lvlText w:val="%7."/>
      <w:lvlJc w:val="left"/>
      <w:pPr>
        <w:ind w:left="5760" w:hanging="360"/>
      </w:pPr>
    </w:lvl>
    <w:lvl w:ilvl="7" w:tplc="100A0019" w:tentative="1">
      <w:start w:val="1"/>
      <w:numFmt w:val="lowerLetter"/>
      <w:lvlText w:val="%8."/>
      <w:lvlJc w:val="left"/>
      <w:pPr>
        <w:ind w:left="6480" w:hanging="360"/>
      </w:pPr>
    </w:lvl>
    <w:lvl w:ilvl="8" w:tplc="100A001B" w:tentative="1">
      <w:start w:val="1"/>
      <w:numFmt w:val="lowerRoman"/>
      <w:lvlText w:val="%9."/>
      <w:lvlJc w:val="right"/>
      <w:pPr>
        <w:ind w:left="7200" w:hanging="180"/>
      </w:pPr>
    </w:lvl>
  </w:abstractNum>
  <w:abstractNum w:abstractNumId="154" w15:restartNumberingAfterBreak="0">
    <w:nsid w:val="2DE90006"/>
    <w:multiLevelType w:val="multilevel"/>
    <w:tmpl w:val="E9F4CAD6"/>
    <w:lvl w:ilvl="0">
      <w:start w:val="1"/>
      <w:numFmt w:val="lowerLetter"/>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5" w15:restartNumberingAfterBreak="0">
    <w:nsid w:val="2E773F73"/>
    <w:multiLevelType w:val="hybridMultilevel"/>
    <w:tmpl w:val="A9F0FFE6"/>
    <w:lvl w:ilvl="0" w:tplc="1C0A0019">
      <w:start w:val="1"/>
      <w:numFmt w:val="lowerLetter"/>
      <w:lvlText w:val="%1."/>
      <w:lvlJc w:val="left"/>
      <w:pPr>
        <w:ind w:left="720" w:hanging="360"/>
      </w:pPr>
      <w:rPr>
        <w:rFonts w:hint="default"/>
      </w:rPr>
    </w:lvl>
    <w:lvl w:ilvl="1" w:tplc="04090003">
      <w:start w:val="1"/>
      <w:numFmt w:val="bullet"/>
      <w:lvlText w:val="o"/>
      <w:lvlJc w:val="left"/>
      <w:pPr>
        <w:ind w:left="1145" w:hanging="360"/>
      </w:pPr>
      <w:rPr>
        <w:rFonts w:ascii="Courier New" w:hAnsi="Courier New" w:cs="Courier New" w:hint="default"/>
      </w:rPr>
    </w:lvl>
    <w:lvl w:ilvl="2" w:tplc="04090005" w:tentative="1">
      <w:start w:val="1"/>
      <w:numFmt w:val="bullet"/>
      <w:lvlText w:val=""/>
      <w:lvlJc w:val="left"/>
      <w:pPr>
        <w:ind w:left="1865" w:hanging="360"/>
      </w:pPr>
      <w:rPr>
        <w:rFonts w:ascii="Wingdings" w:hAnsi="Wingdings" w:hint="default"/>
      </w:rPr>
    </w:lvl>
    <w:lvl w:ilvl="3" w:tplc="04090001" w:tentative="1">
      <w:start w:val="1"/>
      <w:numFmt w:val="bullet"/>
      <w:lvlText w:val=""/>
      <w:lvlJc w:val="left"/>
      <w:pPr>
        <w:ind w:left="2585" w:hanging="360"/>
      </w:pPr>
      <w:rPr>
        <w:rFonts w:ascii="Symbol" w:hAnsi="Symbol" w:hint="default"/>
      </w:rPr>
    </w:lvl>
    <w:lvl w:ilvl="4" w:tplc="04090003" w:tentative="1">
      <w:start w:val="1"/>
      <w:numFmt w:val="bullet"/>
      <w:lvlText w:val="o"/>
      <w:lvlJc w:val="left"/>
      <w:pPr>
        <w:ind w:left="3305" w:hanging="360"/>
      </w:pPr>
      <w:rPr>
        <w:rFonts w:ascii="Courier New" w:hAnsi="Courier New" w:cs="Courier New" w:hint="default"/>
      </w:rPr>
    </w:lvl>
    <w:lvl w:ilvl="5" w:tplc="04090005" w:tentative="1">
      <w:start w:val="1"/>
      <w:numFmt w:val="bullet"/>
      <w:lvlText w:val=""/>
      <w:lvlJc w:val="left"/>
      <w:pPr>
        <w:ind w:left="4025" w:hanging="360"/>
      </w:pPr>
      <w:rPr>
        <w:rFonts w:ascii="Wingdings" w:hAnsi="Wingdings" w:hint="default"/>
      </w:rPr>
    </w:lvl>
    <w:lvl w:ilvl="6" w:tplc="04090001" w:tentative="1">
      <w:start w:val="1"/>
      <w:numFmt w:val="bullet"/>
      <w:lvlText w:val=""/>
      <w:lvlJc w:val="left"/>
      <w:pPr>
        <w:ind w:left="4745" w:hanging="360"/>
      </w:pPr>
      <w:rPr>
        <w:rFonts w:ascii="Symbol" w:hAnsi="Symbol" w:hint="default"/>
      </w:rPr>
    </w:lvl>
    <w:lvl w:ilvl="7" w:tplc="04090003" w:tentative="1">
      <w:start w:val="1"/>
      <w:numFmt w:val="bullet"/>
      <w:lvlText w:val="o"/>
      <w:lvlJc w:val="left"/>
      <w:pPr>
        <w:ind w:left="5465" w:hanging="360"/>
      </w:pPr>
      <w:rPr>
        <w:rFonts w:ascii="Courier New" w:hAnsi="Courier New" w:cs="Courier New" w:hint="default"/>
      </w:rPr>
    </w:lvl>
    <w:lvl w:ilvl="8" w:tplc="04090005" w:tentative="1">
      <w:start w:val="1"/>
      <w:numFmt w:val="bullet"/>
      <w:lvlText w:val=""/>
      <w:lvlJc w:val="left"/>
      <w:pPr>
        <w:ind w:left="6185" w:hanging="360"/>
      </w:pPr>
      <w:rPr>
        <w:rFonts w:ascii="Wingdings" w:hAnsi="Wingdings" w:hint="default"/>
      </w:rPr>
    </w:lvl>
  </w:abstractNum>
  <w:abstractNum w:abstractNumId="156" w15:restartNumberingAfterBreak="0">
    <w:nsid w:val="2E9D0094"/>
    <w:multiLevelType w:val="hybridMultilevel"/>
    <w:tmpl w:val="C14AB690"/>
    <w:lvl w:ilvl="0" w:tplc="B3AC5AC6">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7" w15:restartNumberingAfterBreak="0">
    <w:nsid w:val="2EC8795E"/>
    <w:multiLevelType w:val="hybridMultilevel"/>
    <w:tmpl w:val="DEFAD212"/>
    <w:lvl w:ilvl="0" w:tplc="040A0001">
      <w:start w:val="1"/>
      <w:numFmt w:val="bullet"/>
      <w:lvlText w:val=""/>
      <w:lvlJc w:val="left"/>
      <w:pPr>
        <w:ind w:left="360" w:hanging="360"/>
      </w:pPr>
      <w:rPr>
        <w:rFonts w:ascii="Symbol" w:hAnsi="Symbol" w:hint="default"/>
      </w:rPr>
    </w:lvl>
    <w:lvl w:ilvl="1" w:tplc="040A0003">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58" w15:restartNumberingAfterBreak="0">
    <w:nsid w:val="2EE12081"/>
    <w:multiLevelType w:val="hybridMultilevel"/>
    <w:tmpl w:val="37C87136"/>
    <w:lvl w:ilvl="0" w:tplc="1C0A0019">
      <w:start w:val="1"/>
      <w:numFmt w:val="lowerLetter"/>
      <w:lvlText w:val="%1."/>
      <w:lvlJc w:val="left"/>
      <w:pPr>
        <w:ind w:left="459" w:hanging="360"/>
      </w:pPr>
      <w:rPr>
        <w:rFonts w:hint="default"/>
      </w:rPr>
    </w:lvl>
    <w:lvl w:ilvl="1" w:tplc="04090003">
      <w:start w:val="1"/>
      <w:numFmt w:val="bullet"/>
      <w:lvlText w:val="o"/>
      <w:lvlJc w:val="left"/>
      <w:pPr>
        <w:ind w:left="1179" w:hanging="360"/>
      </w:pPr>
      <w:rPr>
        <w:rFonts w:ascii="Courier New" w:hAnsi="Courier New" w:cs="Courier New" w:hint="default"/>
      </w:rPr>
    </w:lvl>
    <w:lvl w:ilvl="2" w:tplc="04090005" w:tentative="1">
      <w:start w:val="1"/>
      <w:numFmt w:val="bullet"/>
      <w:lvlText w:val=""/>
      <w:lvlJc w:val="left"/>
      <w:pPr>
        <w:ind w:left="1899" w:hanging="360"/>
      </w:pPr>
      <w:rPr>
        <w:rFonts w:ascii="Wingdings" w:hAnsi="Wingdings" w:hint="default"/>
      </w:rPr>
    </w:lvl>
    <w:lvl w:ilvl="3" w:tplc="04090001" w:tentative="1">
      <w:start w:val="1"/>
      <w:numFmt w:val="bullet"/>
      <w:lvlText w:val=""/>
      <w:lvlJc w:val="left"/>
      <w:pPr>
        <w:ind w:left="2619" w:hanging="360"/>
      </w:pPr>
      <w:rPr>
        <w:rFonts w:ascii="Symbol" w:hAnsi="Symbol" w:hint="default"/>
      </w:rPr>
    </w:lvl>
    <w:lvl w:ilvl="4" w:tplc="04090003" w:tentative="1">
      <w:start w:val="1"/>
      <w:numFmt w:val="bullet"/>
      <w:lvlText w:val="o"/>
      <w:lvlJc w:val="left"/>
      <w:pPr>
        <w:ind w:left="3339" w:hanging="360"/>
      </w:pPr>
      <w:rPr>
        <w:rFonts w:ascii="Courier New" w:hAnsi="Courier New" w:cs="Courier New" w:hint="default"/>
      </w:rPr>
    </w:lvl>
    <w:lvl w:ilvl="5" w:tplc="04090005" w:tentative="1">
      <w:start w:val="1"/>
      <w:numFmt w:val="bullet"/>
      <w:lvlText w:val=""/>
      <w:lvlJc w:val="left"/>
      <w:pPr>
        <w:ind w:left="4059" w:hanging="360"/>
      </w:pPr>
      <w:rPr>
        <w:rFonts w:ascii="Wingdings" w:hAnsi="Wingdings" w:hint="default"/>
      </w:rPr>
    </w:lvl>
    <w:lvl w:ilvl="6" w:tplc="04090001" w:tentative="1">
      <w:start w:val="1"/>
      <w:numFmt w:val="bullet"/>
      <w:lvlText w:val=""/>
      <w:lvlJc w:val="left"/>
      <w:pPr>
        <w:ind w:left="4779" w:hanging="360"/>
      </w:pPr>
      <w:rPr>
        <w:rFonts w:ascii="Symbol" w:hAnsi="Symbol" w:hint="default"/>
      </w:rPr>
    </w:lvl>
    <w:lvl w:ilvl="7" w:tplc="04090003" w:tentative="1">
      <w:start w:val="1"/>
      <w:numFmt w:val="bullet"/>
      <w:lvlText w:val="o"/>
      <w:lvlJc w:val="left"/>
      <w:pPr>
        <w:ind w:left="5499" w:hanging="360"/>
      </w:pPr>
      <w:rPr>
        <w:rFonts w:ascii="Courier New" w:hAnsi="Courier New" w:cs="Courier New" w:hint="default"/>
      </w:rPr>
    </w:lvl>
    <w:lvl w:ilvl="8" w:tplc="04090005" w:tentative="1">
      <w:start w:val="1"/>
      <w:numFmt w:val="bullet"/>
      <w:lvlText w:val=""/>
      <w:lvlJc w:val="left"/>
      <w:pPr>
        <w:ind w:left="6219" w:hanging="360"/>
      </w:pPr>
      <w:rPr>
        <w:rFonts w:ascii="Wingdings" w:hAnsi="Wingdings" w:hint="default"/>
      </w:rPr>
    </w:lvl>
  </w:abstractNum>
  <w:abstractNum w:abstractNumId="159" w15:restartNumberingAfterBreak="0">
    <w:nsid w:val="2F84196A"/>
    <w:multiLevelType w:val="hybridMultilevel"/>
    <w:tmpl w:val="3D5A2BF8"/>
    <w:lvl w:ilvl="0" w:tplc="0C4C0926">
      <w:start w:val="1"/>
      <w:numFmt w:val="lowerLetter"/>
      <w:lvlText w:val="%1."/>
      <w:lvlJc w:val="left"/>
      <w:pPr>
        <w:ind w:left="1004" w:hanging="360"/>
      </w:pPr>
      <w:rPr>
        <w:rFonts w:hint="default"/>
        <w:b w:val="0"/>
        <w:i w:val="0"/>
      </w:rPr>
    </w:lvl>
    <w:lvl w:ilvl="1" w:tplc="100A0019" w:tentative="1">
      <w:start w:val="1"/>
      <w:numFmt w:val="lowerLetter"/>
      <w:lvlText w:val="%2."/>
      <w:lvlJc w:val="left"/>
      <w:pPr>
        <w:ind w:left="1800" w:hanging="360"/>
      </w:pPr>
    </w:lvl>
    <w:lvl w:ilvl="2" w:tplc="100A001B" w:tentative="1">
      <w:start w:val="1"/>
      <w:numFmt w:val="lowerRoman"/>
      <w:lvlText w:val="%3."/>
      <w:lvlJc w:val="right"/>
      <w:pPr>
        <w:ind w:left="2520" w:hanging="180"/>
      </w:pPr>
    </w:lvl>
    <w:lvl w:ilvl="3" w:tplc="100A000F" w:tentative="1">
      <w:start w:val="1"/>
      <w:numFmt w:val="decimal"/>
      <w:lvlText w:val="%4."/>
      <w:lvlJc w:val="left"/>
      <w:pPr>
        <w:ind w:left="3240" w:hanging="360"/>
      </w:pPr>
    </w:lvl>
    <w:lvl w:ilvl="4" w:tplc="100A0019" w:tentative="1">
      <w:start w:val="1"/>
      <w:numFmt w:val="lowerLetter"/>
      <w:lvlText w:val="%5."/>
      <w:lvlJc w:val="left"/>
      <w:pPr>
        <w:ind w:left="3960" w:hanging="360"/>
      </w:pPr>
    </w:lvl>
    <w:lvl w:ilvl="5" w:tplc="100A001B" w:tentative="1">
      <w:start w:val="1"/>
      <w:numFmt w:val="lowerRoman"/>
      <w:lvlText w:val="%6."/>
      <w:lvlJc w:val="right"/>
      <w:pPr>
        <w:ind w:left="4680" w:hanging="180"/>
      </w:pPr>
    </w:lvl>
    <w:lvl w:ilvl="6" w:tplc="100A000F" w:tentative="1">
      <w:start w:val="1"/>
      <w:numFmt w:val="decimal"/>
      <w:lvlText w:val="%7."/>
      <w:lvlJc w:val="left"/>
      <w:pPr>
        <w:ind w:left="5400" w:hanging="360"/>
      </w:pPr>
    </w:lvl>
    <w:lvl w:ilvl="7" w:tplc="100A0019" w:tentative="1">
      <w:start w:val="1"/>
      <w:numFmt w:val="lowerLetter"/>
      <w:lvlText w:val="%8."/>
      <w:lvlJc w:val="left"/>
      <w:pPr>
        <w:ind w:left="6120" w:hanging="360"/>
      </w:pPr>
    </w:lvl>
    <w:lvl w:ilvl="8" w:tplc="100A001B" w:tentative="1">
      <w:start w:val="1"/>
      <w:numFmt w:val="lowerRoman"/>
      <w:lvlText w:val="%9."/>
      <w:lvlJc w:val="right"/>
      <w:pPr>
        <w:ind w:left="6840" w:hanging="180"/>
      </w:pPr>
    </w:lvl>
  </w:abstractNum>
  <w:abstractNum w:abstractNumId="160" w15:restartNumberingAfterBreak="0">
    <w:nsid w:val="2FAF7E21"/>
    <w:multiLevelType w:val="hybridMultilevel"/>
    <w:tmpl w:val="FC6677EA"/>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61" w15:restartNumberingAfterBreak="0">
    <w:nsid w:val="30543C68"/>
    <w:multiLevelType w:val="multilevel"/>
    <w:tmpl w:val="D8304312"/>
    <w:lvl w:ilvl="0">
      <w:start w:val="1"/>
      <w:numFmt w:val="lowerLetter"/>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2" w15:restartNumberingAfterBreak="0">
    <w:nsid w:val="306B38E6"/>
    <w:multiLevelType w:val="hybridMultilevel"/>
    <w:tmpl w:val="5AE8CE3A"/>
    <w:lvl w:ilvl="0" w:tplc="1C0A000F">
      <w:start w:val="1"/>
      <w:numFmt w:val="decimal"/>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63" w15:restartNumberingAfterBreak="0">
    <w:nsid w:val="30D40397"/>
    <w:multiLevelType w:val="hybridMultilevel"/>
    <w:tmpl w:val="A37A0BCE"/>
    <w:lvl w:ilvl="0" w:tplc="100A0019">
      <w:start w:val="1"/>
      <w:numFmt w:val="lowerLetter"/>
      <w:lvlText w:val="%1."/>
      <w:lvlJc w:val="left"/>
      <w:pPr>
        <w:ind w:left="360" w:hanging="360"/>
      </w:pPr>
    </w:lvl>
    <w:lvl w:ilvl="1" w:tplc="040A0003">
      <w:start w:val="1"/>
      <w:numFmt w:val="bullet"/>
      <w:lvlText w:val="o"/>
      <w:lvlJc w:val="left"/>
      <w:pPr>
        <w:ind w:left="1080" w:hanging="360"/>
      </w:pPr>
      <w:rPr>
        <w:rFonts w:ascii="Courier New" w:hAnsi="Courier New" w:cs="Courier New" w:hint="default"/>
      </w:rPr>
    </w:lvl>
    <w:lvl w:ilvl="2" w:tplc="040A0005">
      <w:start w:val="1"/>
      <w:numFmt w:val="bullet"/>
      <w:lvlText w:val=""/>
      <w:lvlJc w:val="left"/>
      <w:pPr>
        <w:ind w:left="1800" w:hanging="360"/>
      </w:pPr>
      <w:rPr>
        <w:rFonts w:ascii="Wingdings" w:hAnsi="Wingdings" w:hint="default"/>
      </w:rPr>
    </w:lvl>
    <w:lvl w:ilvl="3" w:tplc="040A0001">
      <w:start w:val="1"/>
      <w:numFmt w:val="bullet"/>
      <w:lvlText w:val=""/>
      <w:lvlJc w:val="left"/>
      <w:pPr>
        <w:ind w:left="2520" w:hanging="360"/>
      </w:pPr>
      <w:rPr>
        <w:rFonts w:ascii="Symbol" w:hAnsi="Symbol" w:hint="default"/>
      </w:rPr>
    </w:lvl>
    <w:lvl w:ilvl="4" w:tplc="040A0003">
      <w:start w:val="1"/>
      <w:numFmt w:val="bullet"/>
      <w:lvlText w:val="o"/>
      <w:lvlJc w:val="left"/>
      <w:pPr>
        <w:ind w:left="3240" w:hanging="360"/>
      </w:pPr>
      <w:rPr>
        <w:rFonts w:ascii="Courier New" w:hAnsi="Courier New" w:cs="Courier New" w:hint="default"/>
      </w:rPr>
    </w:lvl>
    <w:lvl w:ilvl="5" w:tplc="040A0005">
      <w:start w:val="1"/>
      <w:numFmt w:val="bullet"/>
      <w:lvlText w:val=""/>
      <w:lvlJc w:val="left"/>
      <w:pPr>
        <w:ind w:left="3960" w:hanging="360"/>
      </w:pPr>
      <w:rPr>
        <w:rFonts w:ascii="Wingdings" w:hAnsi="Wingdings" w:hint="default"/>
      </w:rPr>
    </w:lvl>
    <w:lvl w:ilvl="6" w:tplc="040A0001">
      <w:start w:val="1"/>
      <w:numFmt w:val="bullet"/>
      <w:lvlText w:val=""/>
      <w:lvlJc w:val="left"/>
      <w:pPr>
        <w:ind w:left="4680" w:hanging="360"/>
      </w:pPr>
      <w:rPr>
        <w:rFonts w:ascii="Symbol" w:hAnsi="Symbol" w:hint="default"/>
      </w:rPr>
    </w:lvl>
    <w:lvl w:ilvl="7" w:tplc="040A0003">
      <w:start w:val="1"/>
      <w:numFmt w:val="bullet"/>
      <w:lvlText w:val="o"/>
      <w:lvlJc w:val="left"/>
      <w:pPr>
        <w:ind w:left="5400" w:hanging="360"/>
      </w:pPr>
      <w:rPr>
        <w:rFonts w:ascii="Courier New" w:hAnsi="Courier New" w:cs="Courier New" w:hint="default"/>
      </w:rPr>
    </w:lvl>
    <w:lvl w:ilvl="8" w:tplc="040A0005">
      <w:start w:val="1"/>
      <w:numFmt w:val="bullet"/>
      <w:lvlText w:val=""/>
      <w:lvlJc w:val="left"/>
      <w:pPr>
        <w:ind w:left="6120" w:hanging="360"/>
      </w:pPr>
      <w:rPr>
        <w:rFonts w:ascii="Wingdings" w:hAnsi="Wingdings" w:hint="default"/>
      </w:rPr>
    </w:lvl>
  </w:abstractNum>
  <w:abstractNum w:abstractNumId="164" w15:restartNumberingAfterBreak="0">
    <w:nsid w:val="31967727"/>
    <w:multiLevelType w:val="hybridMultilevel"/>
    <w:tmpl w:val="E1040B7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5" w15:restartNumberingAfterBreak="0">
    <w:nsid w:val="32034A8E"/>
    <w:multiLevelType w:val="multilevel"/>
    <w:tmpl w:val="60FCFE8A"/>
    <w:lvl w:ilvl="0">
      <w:start w:val="1"/>
      <w:numFmt w:val="lowerLetter"/>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6" w15:restartNumberingAfterBreak="0">
    <w:nsid w:val="3243731C"/>
    <w:multiLevelType w:val="hybridMultilevel"/>
    <w:tmpl w:val="B5365818"/>
    <w:lvl w:ilvl="0" w:tplc="04069228">
      <w:start w:val="1"/>
      <w:numFmt w:val="lowerLetter"/>
      <w:lvlText w:val="%1."/>
      <w:lvlJc w:val="left"/>
      <w:pPr>
        <w:ind w:left="394" w:hanging="360"/>
      </w:pPr>
      <w:rPr>
        <w:rFonts w:hint="default"/>
      </w:rPr>
    </w:lvl>
    <w:lvl w:ilvl="1" w:tplc="04090019" w:tentative="1">
      <w:start w:val="1"/>
      <w:numFmt w:val="lowerLetter"/>
      <w:lvlText w:val="%2."/>
      <w:lvlJc w:val="left"/>
      <w:pPr>
        <w:ind w:left="1114" w:hanging="360"/>
      </w:pPr>
    </w:lvl>
    <w:lvl w:ilvl="2" w:tplc="0409001B" w:tentative="1">
      <w:start w:val="1"/>
      <w:numFmt w:val="lowerRoman"/>
      <w:lvlText w:val="%3."/>
      <w:lvlJc w:val="right"/>
      <w:pPr>
        <w:ind w:left="1834" w:hanging="180"/>
      </w:pPr>
    </w:lvl>
    <w:lvl w:ilvl="3" w:tplc="0409000F" w:tentative="1">
      <w:start w:val="1"/>
      <w:numFmt w:val="decimal"/>
      <w:lvlText w:val="%4."/>
      <w:lvlJc w:val="left"/>
      <w:pPr>
        <w:ind w:left="2554" w:hanging="360"/>
      </w:pPr>
    </w:lvl>
    <w:lvl w:ilvl="4" w:tplc="04090019" w:tentative="1">
      <w:start w:val="1"/>
      <w:numFmt w:val="lowerLetter"/>
      <w:lvlText w:val="%5."/>
      <w:lvlJc w:val="left"/>
      <w:pPr>
        <w:ind w:left="3274" w:hanging="360"/>
      </w:pPr>
    </w:lvl>
    <w:lvl w:ilvl="5" w:tplc="0409001B" w:tentative="1">
      <w:start w:val="1"/>
      <w:numFmt w:val="lowerRoman"/>
      <w:lvlText w:val="%6."/>
      <w:lvlJc w:val="right"/>
      <w:pPr>
        <w:ind w:left="3994" w:hanging="180"/>
      </w:pPr>
    </w:lvl>
    <w:lvl w:ilvl="6" w:tplc="0409000F" w:tentative="1">
      <w:start w:val="1"/>
      <w:numFmt w:val="decimal"/>
      <w:lvlText w:val="%7."/>
      <w:lvlJc w:val="left"/>
      <w:pPr>
        <w:ind w:left="4714" w:hanging="360"/>
      </w:pPr>
    </w:lvl>
    <w:lvl w:ilvl="7" w:tplc="04090019" w:tentative="1">
      <w:start w:val="1"/>
      <w:numFmt w:val="lowerLetter"/>
      <w:lvlText w:val="%8."/>
      <w:lvlJc w:val="left"/>
      <w:pPr>
        <w:ind w:left="5434" w:hanging="360"/>
      </w:pPr>
    </w:lvl>
    <w:lvl w:ilvl="8" w:tplc="0409001B" w:tentative="1">
      <w:start w:val="1"/>
      <w:numFmt w:val="lowerRoman"/>
      <w:lvlText w:val="%9."/>
      <w:lvlJc w:val="right"/>
      <w:pPr>
        <w:ind w:left="6154" w:hanging="180"/>
      </w:pPr>
    </w:lvl>
  </w:abstractNum>
  <w:abstractNum w:abstractNumId="167" w15:restartNumberingAfterBreak="0">
    <w:nsid w:val="329E0B23"/>
    <w:multiLevelType w:val="multilevel"/>
    <w:tmpl w:val="93C0A458"/>
    <w:lvl w:ilvl="0">
      <w:start w:val="1"/>
      <w:numFmt w:val="decimal"/>
      <w:lvlText w:val="%1."/>
      <w:lvlJc w:val="left"/>
      <w:pPr>
        <w:ind w:left="2629" w:hanging="360"/>
      </w:pPr>
      <w:rPr>
        <w:rFonts w:hint="default"/>
      </w:rPr>
    </w:lvl>
    <w:lvl w:ilvl="1">
      <w:start w:val="1"/>
      <w:numFmt w:val="decimal"/>
      <w:isLgl/>
      <w:lvlText w:val="%1.%2."/>
      <w:lvlJc w:val="left"/>
      <w:pPr>
        <w:ind w:left="2989" w:hanging="720"/>
      </w:pPr>
      <w:rPr>
        <w:rFonts w:hint="default"/>
      </w:rPr>
    </w:lvl>
    <w:lvl w:ilvl="2">
      <w:start w:val="1"/>
      <w:numFmt w:val="decimal"/>
      <w:isLgl/>
      <w:lvlText w:val="%1.%2.%3."/>
      <w:lvlJc w:val="left"/>
      <w:pPr>
        <w:ind w:left="2989" w:hanging="720"/>
      </w:pPr>
      <w:rPr>
        <w:rFonts w:hint="default"/>
      </w:rPr>
    </w:lvl>
    <w:lvl w:ilvl="3">
      <w:start w:val="1"/>
      <w:numFmt w:val="decimal"/>
      <w:isLgl/>
      <w:lvlText w:val="%1.%2.%3.%4."/>
      <w:lvlJc w:val="left"/>
      <w:pPr>
        <w:ind w:left="3349" w:hanging="1080"/>
      </w:pPr>
      <w:rPr>
        <w:rFonts w:hint="default"/>
      </w:rPr>
    </w:lvl>
    <w:lvl w:ilvl="4">
      <w:start w:val="1"/>
      <w:numFmt w:val="decimal"/>
      <w:isLgl/>
      <w:lvlText w:val="%1.%2.%3.%4.%5."/>
      <w:lvlJc w:val="left"/>
      <w:pPr>
        <w:ind w:left="3349" w:hanging="1080"/>
      </w:pPr>
      <w:rPr>
        <w:rFonts w:hint="default"/>
      </w:rPr>
    </w:lvl>
    <w:lvl w:ilvl="5">
      <w:start w:val="1"/>
      <w:numFmt w:val="decimal"/>
      <w:isLgl/>
      <w:lvlText w:val="%1.%2.%3.%4.%5.%6."/>
      <w:lvlJc w:val="left"/>
      <w:pPr>
        <w:ind w:left="3709" w:hanging="1440"/>
      </w:pPr>
      <w:rPr>
        <w:rFonts w:hint="default"/>
      </w:rPr>
    </w:lvl>
    <w:lvl w:ilvl="6">
      <w:start w:val="1"/>
      <w:numFmt w:val="decimal"/>
      <w:isLgl/>
      <w:lvlText w:val="%1.%2.%3.%4.%5.%6.%7."/>
      <w:lvlJc w:val="left"/>
      <w:pPr>
        <w:ind w:left="3709" w:hanging="1440"/>
      </w:pPr>
      <w:rPr>
        <w:rFonts w:hint="default"/>
      </w:rPr>
    </w:lvl>
    <w:lvl w:ilvl="7">
      <w:start w:val="1"/>
      <w:numFmt w:val="decimal"/>
      <w:isLgl/>
      <w:lvlText w:val="%1.%2.%3.%4.%5.%6.%7.%8."/>
      <w:lvlJc w:val="left"/>
      <w:pPr>
        <w:ind w:left="4069" w:hanging="1800"/>
      </w:pPr>
      <w:rPr>
        <w:rFonts w:hint="default"/>
      </w:rPr>
    </w:lvl>
    <w:lvl w:ilvl="8">
      <w:start w:val="1"/>
      <w:numFmt w:val="decimal"/>
      <w:isLgl/>
      <w:lvlText w:val="%1.%2.%3.%4.%5.%6.%7.%8.%9."/>
      <w:lvlJc w:val="left"/>
      <w:pPr>
        <w:ind w:left="4069" w:hanging="1800"/>
      </w:pPr>
      <w:rPr>
        <w:rFonts w:hint="default"/>
      </w:rPr>
    </w:lvl>
  </w:abstractNum>
  <w:abstractNum w:abstractNumId="168" w15:restartNumberingAfterBreak="0">
    <w:nsid w:val="32AB7CD9"/>
    <w:multiLevelType w:val="hybridMultilevel"/>
    <w:tmpl w:val="F996BB6A"/>
    <w:lvl w:ilvl="0" w:tplc="481E267A">
      <w:start w:val="1"/>
      <w:numFmt w:val="decimal"/>
      <w:pStyle w:val="ps"/>
      <w:lvlText w:val="%1."/>
      <w:lvlJc w:val="left"/>
      <w:pPr>
        <w:ind w:left="720" w:hanging="360"/>
      </w:pPr>
      <w:rPr>
        <w:rFonts w:ascii="Times New Roman" w:hAnsi="Times New Roman" w:cs="Times New Roman" w:hint="default"/>
      </w:rPr>
    </w:lvl>
    <w:lvl w:ilvl="1" w:tplc="98043B70">
      <w:start w:val="1"/>
      <w:numFmt w:val="lowerRoman"/>
      <w:lvlText w:val="(%2)"/>
      <w:lvlJc w:val="left"/>
      <w:pPr>
        <w:ind w:left="1440" w:hanging="360"/>
      </w:pPr>
      <w:rPr>
        <w:rFonts w:hint="default"/>
      </w:rPr>
    </w:lvl>
    <w:lvl w:ilvl="2" w:tplc="C1682DB0">
      <w:start w:val="1"/>
      <w:numFmt w:val="bullet"/>
      <w:lvlText w:val=""/>
      <w:lvlJc w:val="left"/>
      <w:pPr>
        <w:ind w:left="2160" w:hanging="180"/>
      </w:pPr>
      <w:rPr>
        <w:rFonts w:ascii="Symbol" w:hAnsi="Symbol" w:hint="default"/>
      </w:rPr>
    </w:lvl>
    <w:lvl w:ilvl="3" w:tplc="312E10CC">
      <w:start w:val="1"/>
      <w:numFmt w:val="decimal"/>
      <w:lvlText w:val="%4."/>
      <w:lvlJc w:val="left"/>
      <w:pPr>
        <w:ind w:left="2880" w:hanging="360"/>
      </w:pPr>
    </w:lvl>
    <w:lvl w:ilvl="4" w:tplc="AE6AC4E4" w:tentative="1">
      <w:start w:val="1"/>
      <w:numFmt w:val="lowerLetter"/>
      <w:lvlText w:val="%5."/>
      <w:lvlJc w:val="left"/>
      <w:pPr>
        <w:ind w:left="3600" w:hanging="360"/>
      </w:pPr>
    </w:lvl>
    <w:lvl w:ilvl="5" w:tplc="F886D9F0" w:tentative="1">
      <w:start w:val="1"/>
      <w:numFmt w:val="lowerRoman"/>
      <w:lvlText w:val="%6."/>
      <w:lvlJc w:val="right"/>
      <w:pPr>
        <w:ind w:left="4320" w:hanging="180"/>
      </w:pPr>
    </w:lvl>
    <w:lvl w:ilvl="6" w:tplc="677A32C8" w:tentative="1">
      <w:start w:val="1"/>
      <w:numFmt w:val="decimal"/>
      <w:lvlText w:val="%7."/>
      <w:lvlJc w:val="left"/>
      <w:pPr>
        <w:ind w:left="5040" w:hanging="360"/>
      </w:pPr>
    </w:lvl>
    <w:lvl w:ilvl="7" w:tplc="9B9C59D6" w:tentative="1">
      <w:start w:val="1"/>
      <w:numFmt w:val="lowerLetter"/>
      <w:lvlText w:val="%8."/>
      <w:lvlJc w:val="left"/>
      <w:pPr>
        <w:ind w:left="5760" w:hanging="360"/>
      </w:pPr>
    </w:lvl>
    <w:lvl w:ilvl="8" w:tplc="D910C6F6" w:tentative="1">
      <w:start w:val="1"/>
      <w:numFmt w:val="lowerRoman"/>
      <w:lvlText w:val="%9."/>
      <w:lvlJc w:val="right"/>
      <w:pPr>
        <w:ind w:left="6480" w:hanging="180"/>
      </w:pPr>
    </w:lvl>
  </w:abstractNum>
  <w:abstractNum w:abstractNumId="169" w15:restartNumberingAfterBreak="0">
    <w:nsid w:val="32B6403F"/>
    <w:multiLevelType w:val="hybridMultilevel"/>
    <w:tmpl w:val="35A2E462"/>
    <w:lvl w:ilvl="0" w:tplc="FF18E58C">
      <w:start w:val="1"/>
      <w:numFmt w:val="lowerRoman"/>
      <w:lvlText w:val="%1."/>
      <w:lvlJc w:val="left"/>
      <w:pPr>
        <w:ind w:left="1440" w:hanging="720"/>
      </w:pPr>
      <w:rPr>
        <w:rFonts w:hint="default"/>
      </w:rPr>
    </w:lvl>
    <w:lvl w:ilvl="1" w:tplc="3F703C94">
      <w:start w:val="1"/>
      <w:numFmt w:val="lowerLetter"/>
      <w:lvlText w:val="%2)"/>
      <w:lvlJc w:val="left"/>
      <w:pPr>
        <w:ind w:left="786"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0" w15:restartNumberingAfterBreak="0">
    <w:nsid w:val="32E24E1B"/>
    <w:multiLevelType w:val="hybridMultilevel"/>
    <w:tmpl w:val="A252AE1C"/>
    <w:lvl w:ilvl="0" w:tplc="E0F0E820">
      <w:start w:val="1"/>
      <w:numFmt w:val="lowerLetter"/>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171" w15:restartNumberingAfterBreak="0">
    <w:nsid w:val="32E53DD7"/>
    <w:multiLevelType w:val="hybridMultilevel"/>
    <w:tmpl w:val="3370A20A"/>
    <w:lvl w:ilvl="0" w:tplc="1C0A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2" w15:restartNumberingAfterBreak="0">
    <w:nsid w:val="333C493F"/>
    <w:multiLevelType w:val="hybridMultilevel"/>
    <w:tmpl w:val="70FC11F8"/>
    <w:lvl w:ilvl="0" w:tplc="1C0A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3" w15:restartNumberingAfterBreak="0">
    <w:nsid w:val="334B70F8"/>
    <w:multiLevelType w:val="multilevel"/>
    <w:tmpl w:val="418CEA80"/>
    <w:lvl w:ilvl="0">
      <w:start w:val="6"/>
      <w:numFmt w:val="decimal"/>
      <w:lvlText w:val="%1"/>
      <w:lvlJc w:val="left"/>
      <w:pPr>
        <w:ind w:left="360" w:hanging="360"/>
      </w:pPr>
      <w:rPr>
        <w:rFonts w:hint="default"/>
        <w:b/>
        <w:sz w:val="24"/>
      </w:rPr>
    </w:lvl>
    <w:lvl w:ilvl="1">
      <w:start w:val="1"/>
      <w:numFmt w:val="decimal"/>
      <w:lvlText w:val="%1.%2"/>
      <w:lvlJc w:val="left"/>
      <w:pPr>
        <w:ind w:left="360" w:hanging="360"/>
      </w:pPr>
      <w:rPr>
        <w:rFonts w:hint="default"/>
        <w:b/>
        <w:sz w:val="24"/>
      </w:rPr>
    </w:lvl>
    <w:lvl w:ilvl="2">
      <w:start w:val="1"/>
      <w:numFmt w:val="decimal"/>
      <w:lvlText w:val="%1.%2.%3"/>
      <w:lvlJc w:val="left"/>
      <w:pPr>
        <w:ind w:left="720" w:hanging="720"/>
      </w:pPr>
      <w:rPr>
        <w:rFonts w:hint="default"/>
        <w:b/>
        <w:sz w:val="24"/>
      </w:rPr>
    </w:lvl>
    <w:lvl w:ilvl="3">
      <w:start w:val="1"/>
      <w:numFmt w:val="decimal"/>
      <w:lvlText w:val="%1.%2.%3.%4"/>
      <w:lvlJc w:val="left"/>
      <w:pPr>
        <w:ind w:left="1080" w:hanging="1080"/>
      </w:pPr>
      <w:rPr>
        <w:rFonts w:hint="default"/>
        <w:b/>
        <w:sz w:val="24"/>
      </w:rPr>
    </w:lvl>
    <w:lvl w:ilvl="4">
      <w:start w:val="1"/>
      <w:numFmt w:val="decimal"/>
      <w:lvlText w:val="%1.%2.%3.%4.%5"/>
      <w:lvlJc w:val="left"/>
      <w:pPr>
        <w:ind w:left="1080" w:hanging="1080"/>
      </w:pPr>
      <w:rPr>
        <w:rFonts w:hint="default"/>
        <w:b/>
        <w:sz w:val="24"/>
      </w:rPr>
    </w:lvl>
    <w:lvl w:ilvl="5">
      <w:start w:val="1"/>
      <w:numFmt w:val="decimal"/>
      <w:lvlText w:val="%1.%2.%3.%4.%5.%6"/>
      <w:lvlJc w:val="left"/>
      <w:pPr>
        <w:ind w:left="1440" w:hanging="1440"/>
      </w:pPr>
      <w:rPr>
        <w:rFonts w:hint="default"/>
        <w:b/>
        <w:sz w:val="24"/>
      </w:rPr>
    </w:lvl>
    <w:lvl w:ilvl="6">
      <w:start w:val="1"/>
      <w:numFmt w:val="decimal"/>
      <w:lvlText w:val="%1.%2.%3.%4.%5.%6.%7"/>
      <w:lvlJc w:val="left"/>
      <w:pPr>
        <w:ind w:left="1440" w:hanging="1440"/>
      </w:pPr>
      <w:rPr>
        <w:rFonts w:hint="default"/>
        <w:b/>
        <w:sz w:val="24"/>
      </w:rPr>
    </w:lvl>
    <w:lvl w:ilvl="7">
      <w:start w:val="1"/>
      <w:numFmt w:val="decimal"/>
      <w:lvlText w:val="%1.%2.%3.%4.%5.%6.%7.%8"/>
      <w:lvlJc w:val="left"/>
      <w:pPr>
        <w:ind w:left="1800" w:hanging="1800"/>
      </w:pPr>
      <w:rPr>
        <w:rFonts w:hint="default"/>
        <w:b/>
        <w:sz w:val="24"/>
      </w:rPr>
    </w:lvl>
    <w:lvl w:ilvl="8">
      <w:start w:val="1"/>
      <w:numFmt w:val="decimal"/>
      <w:lvlText w:val="%1.%2.%3.%4.%5.%6.%7.%8.%9"/>
      <w:lvlJc w:val="left"/>
      <w:pPr>
        <w:ind w:left="2160" w:hanging="2160"/>
      </w:pPr>
      <w:rPr>
        <w:rFonts w:hint="default"/>
        <w:b/>
        <w:sz w:val="24"/>
      </w:rPr>
    </w:lvl>
  </w:abstractNum>
  <w:abstractNum w:abstractNumId="174" w15:restartNumberingAfterBreak="0">
    <w:nsid w:val="335E6BD8"/>
    <w:multiLevelType w:val="hybridMultilevel"/>
    <w:tmpl w:val="3CAE3B2C"/>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75" w15:restartNumberingAfterBreak="0">
    <w:nsid w:val="337697A2"/>
    <w:multiLevelType w:val="hybridMultilevel"/>
    <w:tmpl w:val="B04CC2DA"/>
    <w:lvl w:ilvl="0" w:tplc="D4148D10">
      <w:start w:val="1"/>
      <w:numFmt w:val="lowerRoman"/>
      <w:lvlText w:val="%1"/>
      <w:lvlJc w:val="left"/>
      <w:rPr>
        <w:b/>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6" w15:restartNumberingAfterBreak="0">
    <w:nsid w:val="33F61E63"/>
    <w:multiLevelType w:val="hybridMultilevel"/>
    <w:tmpl w:val="C0C03894"/>
    <w:lvl w:ilvl="0" w:tplc="1C0A0001">
      <w:start w:val="1"/>
      <w:numFmt w:val="bullet"/>
      <w:lvlText w:val=""/>
      <w:lvlJc w:val="left"/>
      <w:pPr>
        <w:ind w:left="1440" w:hanging="360"/>
      </w:pPr>
      <w:rPr>
        <w:rFonts w:ascii="Symbol" w:hAnsi="Symbol" w:hint="default"/>
      </w:rPr>
    </w:lvl>
    <w:lvl w:ilvl="1" w:tplc="1C0A0003" w:tentative="1">
      <w:start w:val="1"/>
      <w:numFmt w:val="bullet"/>
      <w:lvlText w:val="o"/>
      <w:lvlJc w:val="left"/>
      <w:pPr>
        <w:ind w:left="2160" w:hanging="360"/>
      </w:pPr>
      <w:rPr>
        <w:rFonts w:ascii="Courier New" w:hAnsi="Courier New" w:cs="Courier New" w:hint="default"/>
      </w:rPr>
    </w:lvl>
    <w:lvl w:ilvl="2" w:tplc="1C0A0005" w:tentative="1">
      <w:start w:val="1"/>
      <w:numFmt w:val="bullet"/>
      <w:lvlText w:val=""/>
      <w:lvlJc w:val="left"/>
      <w:pPr>
        <w:ind w:left="2880" w:hanging="360"/>
      </w:pPr>
      <w:rPr>
        <w:rFonts w:ascii="Wingdings" w:hAnsi="Wingdings" w:hint="default"/>
      </w:rPr>
    </w:lvl>
    <w:lvl w:ilvl="3" w:tplc="1C0A0001" w:tentative="1">
      <w:start w:val="1"/>
      <w:numFmt w:val="bullet"/>
      <w:lvlText w:val=""/>
      <w:lvlJc w:val="left"/>
      <w:pPr>
        <w:ind w:left="3600" w:hanging="360"/>
      </w:pPr>
      <w:rPr>
        <w:rFonts w:ascii="Symbol" w:hAnsi="Symbol" w:hint="default"/>
      </w:rPr>
    </w:lvl>
    <w:lvl w:ilvl="4" w:tplc="1C0A0003" w:tentative="1">
      <w:start w:val="1"/>
      <w:numFmt w:val="bullet"/>
      <w:lvlText w:val="o"/>
      <w:lvlJc w:val="left"/>
      <w:pPr>
        <w:ind w:left="4320" w:hanging="360"/>
      </w:pPr>
      <w:rPr>
        <w:rFonts w:ascii="Courier New" w:hAnsi="Courier New" w:cs="Courier New" w:hint="default"/>
      </w:rPr>
    </w:lvl>
    <w:lvl w:ilvl="5" w:tplc="1C0A0005" w:tentative="1">
      <w:start w:val="1"/>
      <w:numFmt w:val="bullet"/>
      <w:lvlText w:val=""/>
      <w:lvlJc w:val="left"/>
      <w:pPr>
        <w:ind w:left="5040" w:hanging="360"/>
      </w:pPr>
      <w:rPr>
        <w:rFonts w:ascii="Wingdings" w:hAnsi="Wingdings" w:hint="default"/>
      </w:rPr>
    </w:lvl>
    <w:lvl w:ilvl="6" w:tplc="1C0A0001" w:tentative="1">
      <w:start w:val="1"/>
      <w:numFmt w:val="bullet"/>
      <w:lvlText w:val=""/>
      <w:lvlJc w:val="left"/>
      <w:pPr>
        <w:ind w:left="5760" w:hanging="360"/>
      </w:pPr>
      <w:rPr>
        <w:rFonts w:ascii="Symbol" w:hAnsi="Symbol" w:hint="default"/>
      </w:rPr>
    </w:lvl>
    <w:lvl w:ilvl="7" w:tplc="1C0A0003" w:tentative="1">
      <w:start w:val="1"/>
      <w:numFmt w:val="bullet"/>
      <w:lvlText w:val="o"/>
      <w:lvlJc w:val="left"/>
      <w:pPr>
        <w:ind w:left="6480" w:hanging="360"/>
      </w:pPr>
      <w:rPr>
        <w:rFonts w:ascii="Courier New" w:hAnsi="Courier New" w:cs="Courier New" w:hint="default"/>
      </w:rPr>
    </w:lvl>
    <w:lvl w:ilvl="8" w:tplc="1C0A0005" w:tentative="1">
      <w:start w:val="1"/>
      <w:numFmt w:val="bullet"/>
      <w:lvlText w:val=""/>
      <w:lvlJc w:val="left"/>
      <w:pPr>
        <w:ind w:left="7200" w:hanging="360"/>
      </w:pPr>
      <w:rPr>
        <w:rFonts w:ascii="Wingdings" w:hAnsi="Wingdings" w:hint="default"/>
      </w:rPr>
    </w:lvl>
  </w:abstractNum>
  <w:abstractNum w:abstractNumId="177" w15:restartNumberingAfterBreak="0">
    <w:nsid w:val="34222B25"/>
    <w:multiLevelType w:val="hybridMultilevel"/>
    <w:tmpl w:val="EA0C6274"/>
    <w:lvl w:ilvl="0" w:tplc="100A0019">
      <w:start w:val="1"/>
      <w:numFmt w:val="lowerLetter"/>
      <w:lvlText w:val="%1."/>
      <w:lvlJc w:val="left"/>
      <w:pPr>
        <w:ind w:left="459" w:hanging="360"/>
      </w:pPr>
      <w:rPr>
        <w:rFonts w:hint="default"/>
      </w:rPr>
    </w:lvl>
    <w:lvl w:ilvl="1" w:tplc="04090003">
      <w:start w:val="1"/>
      <w:numFmt w:val="bullet"/>
      <w:lvlText w:val="o"/>
      <w:lvlJc w:val="left"/>
      <w:pPr>
        <w:ind w:left="1179" w:hanging="360"/>
      </w:pPr>
      <w:rPr>
        <w:rFonts w:ascii="Courier New" w:hAnsi="Courier New" w:cs="Courier New" w:hint="default"/>
      </w:rPr>
    </w:lvl>
    <w:lvl w:ilvl="2" w:tplc="04090005" w:tentative="1">
      <w:start w:val="1"/>
      <w:numFmt w:val="bullet"/>
      <w:lvlText w:val=""/>
      <w:lvlJc w:val="left"/>
      <w:pPr>
        <w:ind w:left="1899" w:hanging="360"/>
      </w:pPr>
      <w:rPr>
        <w:rFonts w:ascii="Wingdings" w:hAnsi="Wingdings" w:hint="default"/>
      </w:rPr>
    </w:lvl>
    <w:lvl w:ilvl="3" w:tplc="04090001" w:tentative="1">
      <w:start w:val="1"/>
      <w:numFmt w:val="bullet"/>
      <w:lvlText w:val=""/>
      <w:lvlJc w:val="left"/>
      <w:pPr>
        <w:ind w:left="2619" w:hanging="360"/>
      </w:pPr>
      <w:rPr>
        <w:rFonts w:ascii="Symbol" w:hAnsi="Symbol" w:hint="default"/>
      </w:rPr>
    </w:lvl>
    <w:lvl w:ilvl="4" w:tplc="04090003" w:tentative="1">
      <w:start w:val="1"/>
      <w:numFmt w:val="bullet"/>
      <w:lvlText w:val="o"/>
      <w:lvlJc w:val="left"/>
      <w:pPr>
        <w:ind w:left="3339" w:hanging="360"/>
      </w:pPr>
      <w:rPr>
        <w:rFonts w:ascii="Courier New" w:hAnsi="Courier New" w:cs="Courier New" w:hint="default"/>
      </w:rPr>
    </w:lvl>
    <w:lvl w:ilvl="5" w:tplc="04090005" w:tentative="1">
      <w:start w:val="1"/>
      <w:numFmt w:val="bullet"/>
      <w:lvlText w:val=""/>
      <w:lvlJc w:val="left"/>
      <w:pPr>
        <w:ind w:left="4059" w:hanging="360"/>
      </w:pPr>
      <w:rPr>
        <w:rFonts w:ascii="Wingdings" w:hAnsi="Wingdings" w:hint="default"/>
      </w:rPr>
    </w:lvl>
    <w:lvl w:ilvl="6" w:tplc="04090001" w:tentative="1">
      <w:start w:val="1"/>
      <w:numFmt w:val="bullet"/>
      <w:lvlText w:val=""/>
      <w:lvlJc w:val="left"/>
      <w:pPr>
        <w:ind w:left="4779" w:hanging="360"/>
      </w:pPr>
      <w:rPr>
        <w:rFonts w:ascii="Symbol" w:hAnsi="Symbol" w:hint="default"/>
      </w:rPr>
    </w:lvl>
    <w:lvl w:ilvl="7" w:tplc="04090003" w:tentative="1">
      <w:start w:val="1"/>
      <w:numFmt w:val="bullet"/>
      <w:lvlText w:val="o"/>
      <w:lvlJc w:val="left"/>
      <w:pPr>
        <w:ind w:left="5499" w:hanging="360"/>
      </w:pPr>
      <w:rPr>
        <w:rFonts w:ascii="Courier New" w:hAnsi="Courier New" w:cs="Courier New" w:hint="default"/>
      </w:rPr>
    </w:lvl>
    <w:lvl w:ilvl="8" w:tplc="04090005" w:tentative="1">
      <w:start w:val="1"/>
      <w:numFmt w:val="bullet"/>
      <w:lvlText w:val=""/>
      <w:lvlJc w:val="left"/>
      <w:pPr>
        <w:ind w:left="6219" w:hanging="360"/>
      </w:pPr>
      <w:rPr>
        <w:rFonts w:ascii="Wingdings" w:hAnsi="Wingdings" w:hint="default"/>
      </w:rPr>
    </w:lvl>
  </w:abstractNum>
  <w:abstractNum w:abstractNumId="178" w15:restartNumberingAfterBreak="0">
    <w:nsid w:val="35583875"/>
    <w:multiLevelType w:val="hybridMultilevel"/>
    <w:tmpl w:val="355C6058"/>
    <w:lvl w:ilvl="0" w:tplc="1C0A0019">
      <w:start w:val="1"/>
      <w:numFmt w:val="lowerLetter"/>
      <w:lvlText w:val="%1."/>
      <w:lvlJc w:val="left"/>
      <w:pPr>
        <w:ind w:left="360" w:hanging="360"/>
      </w:pPr>
      <w:rPr>
        <w:rFont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9" w15:restartNumberingAfterBreak="0">
    <w:nsid w:val="355E2768"/>
    <w:multiLevelType w:val="hybridMultilevel"/>
    <w:tmpl w:val="15F6FE10"/>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80" w15:restartNumberingAfterBreak="0">
    <w:nsid w:val="35844116"/>
    <w:multiLevelType w:val="hybridMultilevel"/>
    <w:tmpl w:val="4DA29D52"/>
    <w:lvl w:ilvl="0" w:tplc="1C0A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1" w15:restartNumberingAfterBreak="0">
    <w:nsid w:val="35E71325"/>
    <w:multiLevelType w:val="multilevel"/>
    <w:tmpl w:val="58B8E73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2" w15:restartNumberingAfterBreak="0">
    <w:nsid w:val="36080C41"/>
    <w:multiLevelType w:val="multilevel"/>
    <w:tmpl w:val="CA944A2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3" w15:restartNumberingAfterBreak="0">
    <w:nsid w:val="36D5395C"/>
    <w:multiLevelType w:val="hybridMultilevel"/>
    <w:tmpl w:val="A37A0BCE"/>
    <w:lvl w:ilvl="0" w:tplc="100A0019">
      <w:start w:val="1"/>
      <w:numFmt w:val="lowerLetter"/>
      <w:lvlText w:val="%1."/>
      <w:lvlJc w:val="left"/>
      <w:pPr>
        <w:ind w:left="360" w:hanging="360"/>
      </w:pPr>
    </w:lvl>
    <w:lvl w:ilvl="1" w:tplc="040A0003">
      <w:start w:val="1"/>
      <w:numFmt w:val="bullet"/>
      <w:lvlText w:val="o"/>
      <w:lvlJc w:val="left"/>
      <w:pPr>
        <w:ind w:left="1080" w:hanging="360"/>
      </w:pPr>
      <w:rPr>
        <w:rFonts w:ascii="Courier New" w:hAnsi="Courier New" w:cs="Courier New" w:hint="default"/>
      </w:rPr>
    </w:lvl>
    <w:lvl w:ilvl="2" w:tplc="040A0005">
      <w:start w:val="1"/>
      <w:numFmt w:val="bullet"/>
      <w:lvlText w:val=""/>
      <w:lvlJc w:val="left"/>
      <w:pPr>
        <w:ind w:left="1800" w:hanging="360"/>
      </w:pPr>
      <w:rPr>
        <w:rFonts w:ascii="Wingdings" w:hAnsi="Wingdings" w:hint="default"/>
      </w:rPr>
    </w:lvl>
    <w:lvl w:ilvl="3" w:tplc="040A0001">
      <w:start w:val="1"/>
      <w:numFmt w:val="bullet"/>
      <w:lvlText w:val=""/>
      <w:lvlJc w:val="left"/>
      <w:pPr>
        <w:ind w:left="2520" w:hanging="360"/>
      </w:pPr>
      <w:rPr>
        <w:rFonts w:ascii="Symbol" w:hAnsi="Symbol" w:hint="default"/>
      </w:rPr>
    </w:lvl>
    <w:lvl w:ilvl="4" w:tplc="040A0003">
      <w:start w:val="1"/>
      <w:numFmt w:val="bullet"/>
      <w:lvlText w:val="o"/>
      <w:lvlJc w:val="left"/>
      <w:pPr>
        <w:ind w:left="3240" w:hanging="360"/>
      </w:pPr>
      <w:rPr>
        <w:rFonts w:ascii="Courier New" w:hAnsi="Courier New" w:cs="Courier New" w:hint="default"/>
      </w:rPr>
    </w:lvl>
    <w:lvl w:ilvl="5" w:tplc="040A0005">
      <w:start w:val="1"/>
      <w:numFmt w:val="bullet"/>
      <w:lvlText w:val=""/>
      <w:lvlJc w:val="left"/>
      <w:pPr>
        <w:ind w:left="3960" w:hanging="360"/>
      </w:pPr>
      <w:rPr>
        <w:rFonts w:ascii="Wingdings" w:hAnsi="Wingdings" w:hint="default"/>
      </w:rPr>
    </w:lvl>
    <w:lvl w:ilvl="6" w:tplc="040A0001">
      <w:start w:val="1"/>
      <w:numFmt w:val="bullet"/>
      <w:lvlText w:val=""/>
      <w:lvlJc w:val="left"/>
      <w:pPr>
        <w:ind w:left="4680" w:hanging="360"/>
      </w:pPr>
      <w:rPr>
        <w:rFonts w:ascii="Symbol" w:hAnsi="Symbol" w:hint="default"/>
      </w:rPr>
    </w:lvl>
    <w:lvl w:ilvl="7" w:tplc="040A0003">
      <w:start w:val="1"/>
      <w:numFmt w:val="bullet"/>
      <w:lvlText w:val="o"/>
      <w:lvlJc w:val="left"/>
      <w:pPr>
        <w:ind w:left="5400" w:hanging="360"/>
      </w:pPr>
      <w:rPr>
        <w:rFonts w:ascii="Courier New" w:hAnsi="Courier New" w:cs="Courier New" w:hint="default"/>
      </w:rPr>
    </w:lvl>
    <w:lvl w:ilvl="8" w:tplc="040A0005">
      <w:start w:val="1"/>
      <w:numFmt w:val="bullet"/>
      <w:lvlText w:val=""/>
      <w:lvlJc w:val="left"/>
      <w:pPr>
        <w:ind w:left="6120" w:hanging="360"/>
      </w:pPr>
      <w:rPr>
        <w:rFonts w:ascii="Wingdings" w:hAnsi="Wingdings" w:hint="default"/>
      </w:rPr>
    </w:lvl>
  </w:abstractNum>
  <w:abstractNum w:abstractNumId="184" w15:restartNumberingAfterBreak="0">
    <w:nsid w:val="37347828"/>
    <w:multiLevelType w:val="hybridMultilevel"/>
    <w:tmpl w:val="A37A0BCE"/>
    <w:lvl w:ilvl="0" w:tplc="100A0019">
      <w:start w:val="1"/>
      <w:numFmt w:val="lowerLetter"/>
      <w:lvlText w:val="%1."/>
      <w:lvlJc w:val="left"/>
      <w:pPr>
        <w:ind w:left="360" w:hanging="360"/>
      </w:pPr>
      <w:rPr>
        <w:rFonts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85" w15:restartNumberingAfterBreak="0">
    <w:nsid w:val="3764292D"/>
    <w:multiLevelType w:val="hybridMultilevel"/>
    <w:tmpl w:val="333037D4"/>
    <w:lvl w:ilvl="0" w:tplc="19868676">
      <w:start w:val="1"/>
      <w:numFmt w:val="decimal"/>
      <w:pStyle w:val="Number1"/>
      <w:lvlText w:val="%1."/>
      <w:lvlJc w:val="left"/>
      <w:pPr>
        <w:ind w:left="720" w:hanging="360"/>
      </w:pPr>
      <w:rPr>
        <w:sz w:val="20"/>
        <w:szCs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6" w15:restartNumberingAfterBreak="0">
    <w:nsid w:val="37DC27CA"/>
    <w:multiLevelType w:val="multilevel"/>
    <w:tmpl w:val="07A473D0"/>
    <w:lvl w:ilvl="0">
      <w:start w:val="1"/>
      <w:numFmt w:val="bullet"/>
      <w:pStyle w:val="TableBullet1"/>
      <w:lvlText w:val=""/>
      <w:lvlJc w:val="left"/>
      <w:pPr>
        <w:tabs>
          <w:tab w:val="num" w:pos="284"/>
        </w:tabs>
        <w:ind w:left="284" w:hanging="284"/>
      </w:pPr>
      <w:rPr>
        <w:rFonts w:ascii="Wingdings" w:hAnsi="Wingdings" w:hint="default"/>
      </w:rPr>
    </w:lvl>
    <w:lvl w:ilvl="1">
      <w:start w:val="1"/>
      <w:numFmt w:val="bullet"/>
      <w:pStyle w:val="TableBullet2"/>
      <w:lvlText w:val="–"/>
      <w:lvlJc w:val="left"/>
      <w:pPr>
        <w:tabs>
          <w:tab w:val="num" w:pos="567"/>
        </w:tabs>
        <w:ind w:left="567" w:hanging="283"/>
      </w:pPr>
      <w:rPr>
        <w:rFonts w:ascii="Times New Roman" w:hAnsi="Times New Roman" w:cs="Times New Roman" w:hint="default"/>
      </w:rPr>
    </w:lvl>
    <w:lvl w:ilvl="2">
      <w:start w:val="1"/>
      <w:numFmt w:val="none"/>
      <w:suff w:val="nothing"/>
      <w:lvlText w:val=""/>
      <w:lvlJc w:val="left"/>
      <w:pPr>
        <w:ind w:left="567" w:firstLine="0"/>
      </w:pPr>
      <w:rPr>
        <w:rFonts w:hint="default"/>
      </w:rPr>
    </w:lvl>
    <w:lvl w:ilvl="3">
      <w:start w:val="1"/>
      <w:numFmt w:val="none"/>
      <w:suff w:val="nothing"/>
      <w:lvlText w:val=""/>
      <w:lvlJc w:val="left"/>
      <w:pPr>
        <w:ind w:left="567" w:firstLine="0"/>
      </w:pPr>
      <w:rPr>
        <w:rFonts w:hint="default"/>
      </w:rPr>
    </w:lvl>
    <w:lvl w:ilvl="4">
      <w:start w:val="1"/>
      <w:numFmt w:val="none"/>
      <w:suff w:val="nothing"/>
      <w:lvlText w:val=""/>
      <w:lvlJc w:val="left"/>
      <w:pPr>
        <w:ind w:left="567" w:firstLine="0"/>
      </w:pPr>
      <w:rPr>
        <w:rFonts w:hint="default"/>
      </w:rPr>
    </w:lvl>
    <w:lvl w:ilvl="5">
      <w:start w:val="1"/>
      <w:numFmt w:val="none"/>
      <w:suff w:val="nothing"/>
      <w:lvlText w:val=""/>
      <w:lvlJc w:val="left"/>
      <w:pPr>
        <w:ind w:left="567" w:firstLine="0"/>
      </w:pPr>
      <w:rPr>
        <w:rFonts w:hint="default"/>
      </w:rPr>
    </w:lvl>
    <w:lvl w:ilvl="6">
      <w:start w:val="1"/>
      <w:numFmt w:val="none"/>
      <w:suff w:val="nothing"/>
      <w:lvlText w:val=""/>
      <w:lvlJc w:val="left"/>
      <w:pPr>
        <w:ind w:left="567" w:firstLine="0"/>
      </w:pPr>
      <w:rPr>
        <w:rFonts w:hint="default"/>
      </w:rPr>
    </w:lvl>
    <w:lvl w:ilvl="7">
      <w:start w:val="1"/>
      <w:numFmt w:val="none"/>
      <w:suff w:val="nothing"/>
      <w:lvlText w:val=""/>
      <w:lvlJc w:val="left"/>
      <w:pPr>
        <w:ind w:left="567" w:firstLine="0"/>
      </w:pPr>
      <w:rPr>
        <w:rFonts w:hint="default"/>
      </w:rPr>
    </w:lvl>
    <w:lvl w:ilvl="8">
      <w:start w:val="1"/>
      <w:numFmt w:val="none"/>
      <w:suff w:val="nothing"/>
      <w:lvlText w:val=""/>
      <w:lvlJc w:val="left"/>
      <w:pPr>
        <w:ind w:left="567" w:firstLine="0"/>
      </w:pPr>
      <w:rPr>
        <w:rFonts w:hint="default"/>
      </w:rPr>
    </w:lvl>
  </w:abstractNum>
  <w:abstractNum w:abstractNumId="187" w15:restartNumberingAfterBreak="0">
    <w:nsid w:val="37F318A3"/>
    <w:multiLevelType w:val="hybridMultilevel"/>
    <w:tmpl w:val="B6CC2188"/>
    <w:lvl w:ilvl="0" w:tplc="A3C68540">
      <w:numFmt w:val="bullet"/>
      <w:lvlText w:val="-"/>
      <w:lvlJc w:val="left"/>
      <w:pPr>
        <w:ind w:left="720" w:hanging="360"/>
      </w:pPr>
      <w:rPr>
        <w:rFonts w:ascii="Calibri" w:eastAsia="Times New Roman" w:hAnsi="Calibri" w:cs="Calibr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8" w15:restartNumberingAfterBreak="0">
    <w:nsid w:val="38D50CC1"/>
    <w:multiLevelType w:val="multilevel"/>
    <w:tmpl w:val="87206AE2"/>
    <w:lvl w:ilvl="0">
      <w:start w:val="1"/>
      <w:numFmt w:val="lowerLetter"/>
      <w:lvlText w:val="%1."/>
      <w:lvlJc w:val="left"/>
      <w:pPr>
        <w:ind w:left="360" w:hanging="360"/>
      </w:pPr>
      <w:rPr>
        <w:rFont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89" w15:restartNumberingAfterBreak="0">
    <w:nsid w:val="38EA3639"/>
    <w:multiLevelType w:val="hybridMultilevel"/>
    <w:tmpl w:val="A37A0BCE"/>
    <w:lvl w:ilvl="0" w:tplc="100A0019">
      <w:start w:val="1"/>
      <w:numFmt w:val="lowerLetter"/>
      <w:lvlText w:val="%1."/>
      <w:lvlJc w:val="left"/>
      <w:pPr>
        <w:ind w:left="360" w:hanging="360"/>
      </w:pPr>
      <w:rPr>
        <w:rFonts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90" w15:restartNumberingAfterBreak="0">
    <w:nsid w:val="390405CE"/>
    <w:multiLevelType w:val="multilevel"/>
    <w:tmpl w:val="2DC41220"/>
    <w:lvl w:ilvl="0">
      <w:start w:val="1"/>
      <w:numFmt w:val="lowerLetter"/>
      <w:lvlText w:val="%1)"/>
      <w:lvlJc w:val="left"/>
      <w:pPr>
        <w:tabs>
          <w:tab w:val="num" w:pos="720"/>
        </w:tabs>
        <w:ind w:left="720" w:hanging="360"/>
      </w:pPr>
      <w:rPr>
        <w:rFonts w:hint="default"/>
        <w:sz w:val="20"/>
      </w:rPr>
    </w:lvl>
    <w:lvl w:ilvl="1">
      <w:start w:val="10"/>
      <w:numFmt w:val="decimal"/>
      <w:lvlText w:val="%2"/>
      <w:lvlJc w:val="left"/>
      <w:pPr>
        <w:ind w:left="1353" w:hanging="360"/>
      </w:pPr>
      <w:rPr>
        <w:rFonts w:hint="default"/>
      </w:rPr>
    </w:lvl>
    <w:lvl w:ilvl="2">
      <w:start w:val="2"/>
      <w:numFmt w:val="upperLetter"/>
      <w:lvlText w:val="%3)"/>
      <w:lvlJc w:val="left"/>
      <w:pPr>
        <w:ind w:left="2160" w:hanging="360"/>
      </w:pPr>
      <w:rPr>
        <w:rFonts w:hint="default"/>
        <w:sz w:val="24"/>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1" w15:restartNumberingAfterBreak="0">
    <w:nsid w:val="39110168"/>
    <w:multiLevelType w:val="multilevel"/>
    <w:tmpl w:val="A37A0BCE"/>
    <w:lvl w:ilvl="0">
      <w:start w:val="1"/>
      <w:numFmt w:val="lowerLetter"/>
      <w:lvlText w:val="%1."/>
      <w:lvlJc w:val="left"/>
      <w:pPr>
        <w:ind w:left="360" w:hanging="360"/>
      </w:p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92" w15:restartNumberingAfterBreak="0">
    <w:nsid w:val="392469B5"/>
    <w:multiLevelType w:val="hybridMultilevel"/>
    <w:tmpl w:val="36EA3DDE"/>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93" w15:restartNumberingAfterBreak="0">
    <w:nsid w:val="3A1E43E9"/>
    <w:multiLevelType w:val="hybridMultilevel"/>
    <w:tmpl w:val="E794A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4" w15:restartNumberingAfterBreak="0">
    <w:nsid w:val="3A214626"/>
    <w:multiLevelType w:val="multilevel"/>
    <w:tmpl w:val="AC82A7FC"/>
    <w:lvl w:ilvl="0">
      <w:start w:val="1"/>
      <w:numFmt w:val="lowerLetter"/>
      <w:lvlText w:val="%1."/>
      <w:lvlJc w:val="left"/>
      <w:pPr>
        <w:ind w:left="360" w:hanging="360"/>
      </w:pPr>
      <w:rPr>
        <w:rFont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95" w15:restartNumberingAfterBreak="0">
    <w:nsid w:val="3A504CD4"/>
    <w:multiLevelType w:val="hybridMultilevel"/>
    <w:tmpl w:val="4044EF46"/>
    <w:lvl w:ilvl="0" w:tplc="100A0019">
      <w:start w:val="1"/>
      <w:numFmt w:val="lowerLetter"/>
      <w:lvlText w:val="%1."/>
      <w:lvlJc w:val="left"/>
      <w:pPr>
        <w:ind w:left="360" w:hanging="360"/>
      </w:pPr>
      <w:rPr>
        <w:rFonts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96" w15:restartNumberingAfterBreak="0">
    <w:nsid w:val="3A6B5A12"/>
    <w:multiLevelType w:val="hybridMultilevel"/>
    <w:tmpl w:val="3E4A2FEC"/>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97" w15:restartNumberingAfterBreak="0">
    <w:nsid w:val="3A9228F1"/>
    <w:multiLevelType w:val="hybridMultilevel"/>
    <w:tmpl w:val="9AF4EBE2"/>
    <w:lvl w:ilvl="0" w:tplc="0C0A0001">
      <w:start w:val="1"/>
      <w:numFmt w:val="bullet"/>
      <w:lvlText w:val=""/>
      <w:lvlJc w:val="left"/>
      <w:pPr>
        <w:ind w:left="502" w:hanging="360"/>
      </w:pPr>
      <w:rPr>
        <w:rFonts w:ascii="Symbol" w:hAnsi="Symbol" w:hint="default"/>
      </w:rPr>
    </w:lvl>
    <w:lvl w:ilvl="1" w:tplc="0C0A0003">
      <w:start w:val="1"/>
      <w:numFmt w:val="bullet"/>
      <w:lvlText w:val="o"/>
      <w:lvlJc w:val="left"/>
      <w:pPr>
        <w:ind w:left="1222" w:hanging="360"/>
      </w:pPr>
      <w:rPr>
        <w:rFonts w:ascii="Courier New" w:hAnsi="Courier New" w:hint="default"/>
      </w:rPr>
    </w:lvl>
    <w:lvl w:ilvl="2" w:tplc="0C0A0005">
      <w:start w:val="1"/>
      <w:numFmt w:val="bullet"/>
      <w:lvlText w:val=""/>
      <w:lvlJc w:val="left"/>
      <w:pPr>
        <w:ind w:left="1942" w:hanging="360"/>
      </w:pPr>
      <w:rPr>
        <w:rFonts w:ascii="Wingdings" w:hAnsi="Wingdings" w:hint="default"/>
      </w:rPr>
    </w:lvl>
    <w:lvl w:ilvl="3" w:tplc="0C0A0001" w:tentative="1">
      <w:start w:val="1"/>
      <w:numFmt w:val="bullet"/>
      <w:lvlText w:val=""/>
      <w:lvlJc w:val="left"/>
      <w:pPr>
        <w:ind w:left="2662" w:hanging="360"/>
      </w:pPr>
      <w:rPr>
        <w:rFonts w:ascii="Symbol" w:hAnsi="Symbol" w:hint="default"/>
      </w:rPr>
    </w:lvl>
    <w:lvl w:ilvl="4" w:tplc="0C0A0003" w:tentative="1">
      <w:start w:val="1"/>
      <w:numFmt w:val="bullet"/>
      <w:lvlText w:val="o"/>
      <w:lvlJc w:val="left"/>
      <w:pPr>
        <w:ind w:left="3382" w:hanging="360"/>
      </w:pPr>
      <w:rPr>
        <w:rFonts w:ascii="Courier New" w:hAnsi="Courier New" w:hint="default"/>
      </w:rPr>
    </w:lvl>
    <w:lvl w:ilvl="5" w:tplc="0C0A0005" w:tentative="1">
      <w:start w:val="1"/>
      <w:numFmt w:val="bullet"/>
      <w:lvlText w:val=""/>
      <w:lvlJc w:val="left"/>
      <w:pPr>
        <w:ind w:left="4102" w:hanging="360"/>
      </w:pPr>
      <w:rPr>
        <w:rFonts w:ascii="Wingdings" w:hAnsi="Wingdings" w:hint="default"/>
      </w:rPr>
    </w:lvl>
    <w:lvl w:ilvl="6" w:tplc="0C0A0001" w:tentative="1">
      <w:start w:val="1"/>
      <w:numFmt w:val="bullet"/>
      <w:lvlText w:val=""/>
      <w:lvlJc w:val="left"/>
      <w:pPr>
        <w:ind w:left="4822" w:hanging="360"/>
      </w:pPr>
      <w:rPr>
        <w:rFonts w:ascii="Symbol" w:hAnsi="Symbol" w:hint="default"/>
      </w:rPr>
    </w:lvl>
    <w:lvl w:ilvl="7" w:tplc="0C0A0003" w:tentative="1">
      <w:start w:val="1"/>
      <w:numFmt w:val="bullet"/>
      <w:lvlText w:val="o"/>
      <w:lvlJc w:val="left"/>
      <w:pPr>
        <w:ind w:left="5542" w:hanging="360"/>
      </w:pPr>
      <w:rPr>
        <w:rFonts w:ascii="Courier New" w:hAnsi="Courier New" w:hint="default"/>
      </w:rPr>
    </w:lvl>
    <w:lvl w:ilvl="8" w:tplc="0C0A0005" w:tentative="1">
      <w:start w:val="1"/>
      <w:numFmt w:val="bullet"/>
      <w:lvlText w:val=""/>
      <w:lvlJc w:val="left"/>
      <w:pPr>
        <w:ind w:left="6262" w:hanging="360"/>
      </w:pPr>
      <w:rPr>
        <w:rFonts w:ascii="Wingdings" w:hAnsi="Wingdings" w:hint="default"/>
      </w:rPr>
    </w:lvl>
  </w:abstractNum>
  <w:abstractNum w:abstractNumId="198" w15:restartNumberingAfterBreak="0">
    <w:nsid w:val="3AB26B66"/>
    <w:multiLevelType w:val="hybridMultilevel"/>
    <w:tmpl w:val="FA96D450"/>
    <w:lvl w:ilvl="0" w:tplc="040A0001">
      <w:start w:val="1"/>
      <w:numFmt w:val="bullet"/>
      <w:lvlText w:val=""/>
      <w:lvlJc w:val="left"/>
      <w:pPr>
        <w:ind w:left="360" w:hanging="360"/>
      </w:pPr>
      <w:rPr>
        <w:rFonts w:ascii="Symbol" w:hAnsi="Symbol" w:hint="default"/>
      </w:rPr>
    </w:lvl>
    <w:lvl w:ilvl="1" w:tplc="A686CE40">
      <w:start w:val="1"/>
      <w:numFmt w:val="bullet"/>
      <w:lvlText w:val="-"/>
      <w:lvlJc w:val="left"/>
      <w:pPr>
        <w:ind w:left="1080" w:hanging="360"/>
      </w:pPr>
      <w:rPr>
        <w:rFonts w:ascii="Calibri" w:eastAsiaTheme="minorHAnsi" w:hAnsi="Calibri" w:cs="Arial"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99" w15:restartNumberingAfterBreak="0">
    <w:nsid w:val="3B7F2CD5"/>
    <w:multiLevelType w:val="hybridMultilevel"/>
    <w:tmpl w:val="4F560998"/>
    <w:lvl w:ilvl="0" w:tplc="100A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0" w15:restartNumberingAfterBreak="0">
    <w:nsid w:val="3B8C30B9"/>
    <w:multiLevelType w:val="hybridMultilevel"/>
    <w:tmpl w:val="C4FC9FE0"/>
    <w:lvl w:ilvl="0" w:tplc="04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573" w:hanging="360"/>
      </w:pPr>
      <w:rPr>
        <w:rFonts w:ascii="Courier New" w:hAnsi="Courier New" w:cs="Courier New" w:hint="default"/>
      </w:rPr>
    </w:lvl>
    <w:lvl w:ilvl="2" w:tplc="1C0A0005" w:tentative="1">
      <w:start w:val="1"/>
      <w:numFmt w:val="bullet"/>
      <w:lvlText w:val=""/>
      <w:lvlJc w:val="left"/>
      <w:pPr>
        <w:ind w:left="2293" w:hanging="360"/>
      </w:pPr>
      <w:rPr>
        <w:rFonts w:ascii="Wingdings" w:hAnsi="Wingdings" w:hint="default"/>
      </w:rPr>
    </w:lvl>
    <w:lvl w:ilvl="3" w:tplc="1C0A0001" w:tentative="1">
      <w:start w:val="1"/>
      <w:numFmt w:val="bullet"/>
      <w:lvlText w:val=""/>
      <w:lvlJc w:val="left"/>
      <w:pPr>
        <w:ind w:left="3013" w:hanging="360"/>
      </w:pPr>
      <w:rPr>
        <w:rFonts w:ascii="Symbol" w:hAnsi="Symbol" w:hint="default"/>
      </w:rPr>
    </w:lvl>
    <w:lvl w:ilvl="4" w:tplc="1C0A0003" w:tentative="1">
      <w:start w:val="1"/>
      <w:numFmt w:val="bullet"/>
      <w:lvlText w:val="o"/>
      <w:lvlJc w:val="left"/>
      <w:pPr>
        <w:ind w:left="3733" w:hanging="360"/>
      </w:pPr>
      <w:rPr>
        <w:rFonts w:ascii="Courier New" w:hAnsi="Courier New" w:cs="Courier New" w:hint="default"/>
      </w:rPr>
    </w:lvl>
    <w:lvl w:ilvl="5" w:tplc="1C0A0005" w:tentative="1">
      <w:start w:val="1"/>
      <w:numFmt w:val="bullet"/>
      <w:lvlText w:val=""/>
      <w:lvlJc w:val="left"/>
      <w:pPr>
        <w:ind w:left="4453" w:hanging="360"/>
      </w:pPr>
      <w:rPr>
        <w:rFonts w:ascii="Wingdings" w:hAnsi="Wingdings" w:hint="default"/>
      </w:rPr>
    </w:lvl>
    <w:lvl w:ilvl="6" w:tplc="1C0A0001" w:tentative="1">
      <w:start w:val="1"/>
      <w:numFmt w:val="bullet"/>
      <w:lvlText w:val=""/>
      <w:lvlJc w:val="left"/>
      <w:pPr>
        <w:ind w:left="5173" w:hanging="360"/>
      </w:pPr>
      <w:rPr>
        <w:rFonts w:ascii="Symbol" w:hAnsi="Symbol" w:hint="default"/>
      </w:rPr>
    </w:lvl>
    <w:lvl w:ilvl="7" w:tplc="1C0A0003" w:tentative="1">
      <w:start w:val="1"/>
      <w:numFmt w:val="bullet"/>
      <w:lvlText w:val="o"/>
      <w:lvlJc w:val="left"/>
      <w:pPr>
        <w:ind w:left="5893" w:hanging="360"/>
      </w:pPr>
      <w:rPr>
        <w:rFonts w:ascii="Courier New" w:hAnsi="Courier New" w:cs="Courier New" w:hint="default"/>
      </w:rPr>
    </w:lvl>
    <w:lvl w:ilvl="8" w:tplc="1C0A0005" w:tentative="1">
      <w:start w:val="1"/>
      <w:numFmt w:val="bullet"/>
      <w:lvlText w:val=""/>
      <w:lvlJc w:val="left"/>
      <w:pPr>
        <w:ind w:left="6613" w:hanging="360"/>
      </w:pPr>
      <w:rPr>
        <w:rFonts w:ascii="Wingdings" w:hAnsi="Wingdings" w:hint="default"/>
      </w:rPr>
    </w:lvl>
  </w:abstractNum>
  <w:abstractNum w:abstractNumId="201" w15:restartNumberingAfterBreak="0">
    <w:nsid w:val="3BB67878"/>
    <w:multiLevelType w:val="multilevel"/>
    <w:tmpl w:val="98E2A2CA"/>
    <w:lvl w:ilvl="0">
      <w:start w:val="1"/>
      <w:numFmt w:val="lowerLetter"/>
      <w:lvlText w:val="%1."/>
      <w:lvlJc w:val="left"/>
      <w:pPr>
        <w:ind w:left="360" w:hanging="360"/>
      </w:pPr>
      <w:rPr>
        <w:rFont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02" w15:restartNumberingAfterBreak="0">
    <w:nsid w:val="3BE4678D"/>
    <w:multiLevelType w:val="hybridMultilevel"/>
    <w:tmpl w:val="164492DC"/>
    <w:lvl w:ilvl="0" w:tplc="7876B06E">
      <w:start w:val="1"/>
      <w:numFmt w:val="decimal"/>
      <w:lvlText w:val="%1."/>
      <w:lvlJc w:val="left"/>
      <w:pPr>
        <w:ind w:left="720" w:hanging="360"/>
      </w:pPr>
      <w:rPr>
        <w:rFonts w:asciiTheme="minorHAnsi" w:eastAsia="Arial" w:hAnsiTheme="minorHAnsi" w:cstheme="minorHAnsi" w:hint="default"/>
        <w:b w:val="0"/>
        <w:w w:val="91"/>
        <w:sz w:val="24"/>
        <w:szCs w:val="24"/>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3" w15:restartNumberingAfterBreak="0">
    <w:nsid w:val="3C001222"/>
    <w:multiLevelType w:val="hybridMultilevel"/>
    <w:tmpl w:val="975048B0"/>
    <w:lvl w:ilvl="0" w:tplc="100A0019">
      <w:start w:val="1"/>
      <w:numFmt w:val="lowerLetter"/>
      <w:lvlText w:val="%1."/>
      <w:lvlJc w:val="left"/>
      <w:pPr>
        <w:ind w:left="360" w:hanging="360"/>
      </w:pPr>
      <w:rPr>
        <w:rFonts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204" w15:restartNumberingAfterBreak="0">
    <w:nsid w:val="3C525BDD"/>
    <w:multiLevelType w:val="hybridMultilevel"/>
    <w:tmpl w:val="0A5A68FC"/>
    <w:lvl w:ilvl="0" w:tplc="1C0A0019">
      <w:start w:val="1"/>
      <w:numFmt w:val="lowerLetter"/>
      <w:lvlText w:val="%1."/>
      <w:lvlJc w:val="left"/>
      <w:pPr>
        <w:ind w:left="426" w:hanging="360"/>
      </w:pPr>
      <w:rPr>
        <w:rFonts w:hint="default"/>
      </w:rPr>
    </w:lvl>
    <w:lvl w:ilvl="1" w:tplc="100A0019">
      <w:start w:val="1"/>
      <w:numFmt w:val="lowerLetter"/>
      <w:lvlText w:val="%2."/>
      <w:lvlJc w:val="left"/>
      <w:pPr>
        <w:ind w:left="1146" w:hanging="360"/>
      </w:pPr>
    </w:lvl>
    <w:lvl w:ilvl="2" w:tplc="100A001B" w:tentative="1">
      <w:start w:val="1"/>
      <w:numFmt w:val="lowerRoman"/>
      <w:lvlText w:val="%3."/>
      <w:lvlJc w:val="right"/>
      <w:pPr>
        <w:ind w:left="1866" w:hanging="180"/>
      </w:pPr>
    </w:lvl>
    <w:lvl w:ilvl="3" w:tplc="100A000F" w:tentative="1">
      <w:start w:val="1"/>
      <w:numFmt w:val="decimal"/>
      <w:lvlText w:val="%4."/>
      <w:lvlJc w:val="left"/>
      <w:pPr>
        <w:ind w:left="2586" w:hanging="360"/>
      </w:pPr>
    </w:lvl>
    <w:lvl w:ilvl="4" w:tplc="100A0019" w:tentative="1">
      <w:start w:val="1"/>
      <w:numFmt w:val="lowerLetter"/>
      <w:lvlText w:val="%5."/>
      <w:lvlJc w:val="left"/>
      <w:pPr>
        <w:ind w:left="3306" w:hanging="360"/>
      </w:pPr>
    </w:lvl>
    <w:lvl w:ilvl="5" w:tplc="100A001B" w:tentative="1">
      <w:start w:val="1"/>
      <w:numFmt w:val="lowerRoman"/>
      <w:lvlText w:val="%6."/>
      <w:lvlJc w:val="right"/>
      <w:pPr>
        <w:ind w:left="4026" w:hanging="180"/>
      </w:pPr>
    </w:lvl>
    <w:lvl w:ilvl="6" w:tplc="100A000F" w:tentative="1">
      <w:start w:val="1"/>
      <w:numFmt w:val="decimal"/>
      <w:lvlText w:val="%7."/>
      <w:lvlJc w:val="left"/>
      <w:pPr>
        <w:ind w:left="4746" w:hanging="360"/>
      </w:pPr>
    </w:lvl>
    <w:lvl w:ilvl="7" w:tplc="100A0019" w:tentative="1">
      <w:start w:val="1"/>
      <w:numFmt w:val="lowerLetter"/>
      <w:lvlText w:val="%8."/>
      <w:lvlJc w:val="left"/>
      <w:pPr>
        <w:ind w:left="5466" w:hanging="360"/>
      </w:pPr>
    </w:lvl>
    <w:lvl w:ilvl="8" w:tplc="100A001B" w:tentative="1">
      <w:start w:val="1"/>
      <w:numFmt w:val="lowerRoman"/>
      <w:lvlText w:val="%9."/>
      <w:lvlJc w:val="right"/>
      <w:pPr>
        <w:ind w:left="6186" w:hanging="180"/>
      </w:pPr>
    </w:lvl>
  </w:abstractNum>
  <w:abstractNum w:abstractNumId="205" w15:restartNumberingAfterBreak="0">
    <w:nsid w:val="3C5D75F2"/>
    <w:multiLevelType w:val="hybridMultilevel"/>
    <w:tmpl w:val="5C941676"/>
    <w:lvl w:ilvl="0" w:tplc="25C09480">
      <w:start w:val="1"/>
      <w:numFmt w:val="lowerLetter"/>
      <w:lvlText w:val="%1."/>
      <w:lvlJc w:val="left"/>
      <w:pPr>
        <w:ind w:left="777" w:hanging="360"/>
      </w:pPr>
      <w:rPr>
        <w:rFonts w:asciiTheme="minorHAnsi" w:hAnsiTheme="minorHAnsi" w:hint="default"/>
      </w:rPr>
    </w:lvl>
    <w:lvl w:ilvl="1" w:tplc="100A0019" w:tentative="1">
      <w:start w:val="1"/>
      <w:numFmt w:val="lowerLetter"/>
      <w:lvlText w:val="%2."/>
      <w:lvlJc w:val="left"/>
      <w:pPr>
        <w:ind w:left="1497" w:hanging="360"/>
      </w:pPr>
    </w:lvl>
    <w:lvl w:ilvl="2" w:tplc="100A001B" w:tentative="1">
      <w:start w:val="1"/>
      <w:numFmt w:val="lowerRoman"/>
      <w:lvlText w:val="%3."/>
      <w:lvlJc w:val="right"/>
      <w:pPr>
        <w:ind w:left="2217" w:hanging="180"/>
      </w:pPr>
    </w:lvl>
    <w:lvl w:ilvl="3" w:tplc="100A000F" w:tentative="1">
      <w:start w:val="1"/>
      <w:numFmt w:val="decimal"/>
      <w:lvlText w:val="%4."/>
      <w:lvlJc w:val="left"/>
      <w:pPr>
        <w:ind w:left="2937" w:hanging="360"/>
      </w:pPr>
    </w:lvl>
    <w:lvl w:ilvl="4" w:tplc="100A0019" w:tentative="1">
      <w:start w:val="1"/>
      <w:numFmt w:val="lowerLetter"/>
      <w:lvlText w:val="%5."/>
      <w:lvlJc w:val="left"/>
      <w:pPr>
        <w:ind w:left="3657" w:hanging="360"/>
      </w:pPr>
    </w:lvl>
    <w:lvl w:ilvl="5" w:tplc="100A001B" w:tentative="1">
      <w:start w:val="1"/>
      <w:numFmt w:val="lowerRoman"/>
      <w:lvlText w:val="%6."/>
      <w:lvlJc w:val="right"/>
      <w:pPr>
        <w:ind w:left="4377" w:hanging="180"/>
      </w:pPr>
    </w:lvl>
    <w:lvl w:ilvl="6" w:tplc="100A000F" w:tentative="1">
      <w:start w:val="1"/>
      <w:numFmt w:val="decimal"/>
      <w:lvlText w:val="%7."/>
      <w:lvlJc w:val="left"/>
      <w:pPr>
        <w:ind w:left="5097" w:hanging="360"/>
      </w:pPr>
    </w:lvl>
    <w:lvl w:ilvl="7" w:tplc="100A0019" w:tentative="1">
      <w:start w:val="1"/>
      <w:numFmt w:val="lowerLetter"/>
      <w:lvlText w:val="%8."/>
      <w:lvlJc w:val="left"/>
      <w:pPr>
        <w:ind w:left="5817" w:hanging="360"/>
      </w:pPr>
    </w:lvl>
    <w:lvl w:ilvl="8" w:tplc="100A001B" w:tentative="1">
      <w:start w:val="1"/>
      <w:numFmt w:val="lowerRoman"/>
      <w:lvlText w:val="%9."/>
      <w:lvlJc w:val="right"/>
      <w:pPr>
        <w:ind w:left="6537" w:hanging="180"/>
      </w:pPr>
    </w:lvl>
  </w:abstractNum>
  <w:abstractNum w:abstractNumId="206" w15:restartNumberingAfterBreak="0">
    <w:nsid w:val="3C6D584F"/>
    <w:multiLevelType w:val="multilevel"/>
    <w:tmpl w:val="E9F4CAD6"/>
    <w:lvl w:ilvl="0">
      <w:start w:val="1"/>
      <w:numFmt w:val="lowerLetter"/>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07" w15:restartNumberingAfterBreak="0">
    <w:nsid w:val="3C9E355F"/>
    <w:multiLevelType w:val="hybridMultilevel"/>
    <w:tmpl w:val="55E6EC66"/>
    <w:lvl w:ilvl="0" w:tplc="100A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8" w15:restartNumberingAfterBreak="0">
    <w:nsid w:val="3CF07BE7"/>
    <w:multiLevelType w:val="hybridMultilevel"/>
    <w:tmpl w:val="37D07508"/>
    <w:lvl w:ilvl="0" w:tplc="1C0A0019">
      <w:start w:val="1"/>
      <w:numFmt w:val="lowerLetter"/>
      <w:lvlText w:val="%1."/>
      <w:lvlJc w:val="left"/>
      <w:pPr>
        <w:ind w:left="720" w:hanging="360"/>
      </w:pPr>
      <w:rPr>
        <w:rFont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09" w15:restartNumberingAfterBreak="0">
    <w:nsid w:val="3D1102C7"/>
    <w:multiLevelType w:val="multilevel"/>
    <w:tmpl w:val="4E568AFE"/>
    <w:lvl w:ilvl="0">
      <w:start w:val="1"/>
      <w:numFmt w:val="lowerLetter"/>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0" w15:restartNumberingAfterBreak="0">
    <w:nsid w:val="3D174B06"/>
    <w:multiLevelType w:val="hybridMultilevel"/>
    <w:tmpl w:val="00889920"/>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11" w15:restartNumberingAfterBreak="0">
    <w:nsid w:val="3E5044F6"/>
    <w:multiLevelType w:val="hybridMultilevel"/>
    <w:tmpl w:val="CACCA8D8"/>
    <w:lvl w:ilvl="0" w:tplc="1C0A0019">
      <w:start w:val="1"/>
      <w:numFmt w:val="lowerLetter"/>
      <w:lvlText w:val="%1."/>
      <w:lvlJc w:val="left"/>
      <w:pPr>
        <w:ind w:left="459" w:hanging="360"/>
      </w:pPr>
      <w:rPr>
        <w:rFonts w:hint="default"/>
      </w:rPr>
    </w:lvl>
    <w:lvl w:ilvl="1" w:tplc="04090019" w:tentative="1">
      <w:start w:val="1"/>
      <w:numFmt w:val="lowerLetter"/>
      <w:lvlText w:val="%2."/>
      <w:lvlJc w:val="left"/>
      <w:pPr>
        <w:ind w:left="1179" w:hanging="360"/>
      </w:pPr>
    </w:lvl>
    <w:lvl w:ilvl="2" w:tplc="0409001B" w:tentative="1">
      <w:start w:val="1"/>
      <w:numFmt w:val="lowerRoman"/>
      <w:lvlText w:val="%3."/>
      <w:lvlJc w:val="right"/>
      <w:pPr>
        <w:ind w:left="1899" w:hanging="180"/>
      </w:pPr>
    </w:lvl>
    <w:lvl w:ilvl="3" w:tplc="0409000F" w:tentative="1">
      <w:start w:val="1"/>
      <w:numFmt w:val="decimal"/>
      <w:lvlText w:val="%4."/>
      <w:lvlJc w:val="left"/>
      <w:pPr>
        <w:ind w:left="2619" w:hanging="360"/>
      </w:pPr>
    </w:lvl>
    <w:lvl w:ilvl="4" w:tplc="04090019" w:tentative="1">
      <w:start w:val="1"/>
      <w:numFmt w:val="lowerLetter"/>
      <w:lvlText w:val="%5."/>
      <w:lvlJc w:val="left"/>
      <w:pPr>
        <w:ind w:left="3339" w:hanging="360"/>
      </w:pPr>
    </w:lvl>
    <w:lvl w:ilvl="5" w:tplc="0409001B" w:tentative="1">
      <w:start w:val="1"/>
      <w:numFmt w:val="lowerRoman"/>
      <w:lvlText w:val="%6."/>
      <w:lvlJc w:val="right"/>
      <w:pPr>
        <w:ind w:left="4059" w:hanging="180"/>
      </w:pPr>
    </w:lvl>
    <w:lvl w:ilvl="6" w:tplc="0409000F" w:tentative="1">
      <w:start w:val="1"/>
      <w:numFmt w:val="decimal"/>
      <w:lvlText w:val="%7."/>
      <w:lvlJc w:val="left"/>
      <w:pPr>
        <w:ind w:left="4779" w:hanging="360"/>
      </w:pPr>
    </w:lvl>
    <w:lvl w:ilvl="7" w:tplc="04090019" w:tentative="1">
      <w:start w:val="1"/>
      <w:numFmt w:val="lowerLetter"/>
      <w:lvlText w:val="%8."/>
      <w:lvlJc w:val="left"/>
      <w:pPr>
        <w:ind w:left="5499" w:hanging="360"/>
      </w:pPr>
    </w:lvl>
    <w:lvl w:ilvl="8" w:tplc="0409001B" w:tentative="1">
      <w:start w:val="1"/>
      <w:numFmt w:val="lowerRoman"/>
      <w:lvlText w:val="%9."/>
      <w:lvlJc w:val="right"/>
      <w:pPr>
        <w:ind w:left="6219" w:hanging="180"/>
      </w:pPr>
    </w:lvl>
  </w:abstractNum>
  <w:abstractNum w:abstractNumId="212" w15:restartNumberingAfterBreak="0">
    <w:nsid w:val="3E631251"/>
    <w:multiLevelType w:val="hybridMultilevel"/>
    <w:tmpl w:val="077C6FEC"/>
    <w:lvl w:ilvl="0" w:tplc="510EEF30">
      <w:start w:val="1"/>
      <w:numFmt w:val="decimal"/>
      <w:lvlText w:val="%1."/>
      <w:lvlJc w:val="left"/>
      <w:pPr>
        <w:ind w:left="360" w:hanging="360"/>
      </w:pPr>
      <w:rPr>
        <w:rFonts w:asciiTheme="minorHAnsi" w:eastAsiaTheme="minorHAnsi" w:hAnsiTheme="minorHAnsi" w:cstheme="minorHAnsi"/>
        <w:b w:val="0"/>
        <w:color w:val="FFFFFF" w:themeColor="background1"/>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3" w15:restartNumberingAfterBreak="0">
    <w:nsid w:val="3ED71258"/>
    <w:multiLevelType w:val="hybridMultilevel"/>
    <w:tmpl w:val="FA9CEFAC"/>
    <w:lvl w:ilvl="0" w:tplc="FFFFFFFF">
      <w:start w:val="1"/>
      <w:numFmt w:val="lowerLetter"/>
      <w:lvlText w:val="%1)"/>
      <w:lvlJc w:val="left"/>
      <w:pPr>
        <w:ind w:left="720" w:hanging="360"/>
      </w:pPr>
      <w:rPr>
        <w:rFonts w:hint="default"/>
        <w:color w:val="auto"/>
        <w:sz w:val="24"/>
        <w:szCs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3F794451"/>
    <w:multiLevelType w:val="multilevel"/>
    <w:tmpl w:val="4B347E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3FAE345B"/>
    <w:multiLevelType w:val="hybridMultilevel"/>
    <w:tmpl w:val="8D6CFE28"/>
    <w:lvl w:ilvl="0" w:tplc="100A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6" w15:restartNumberingAfterBreak="0">
    <w:nsid w:val="4053030E"/>
    <w:multiLevelType w:val="hybridMultilevel"/>
    <w:tmpl w:val="A00EBAE2"/>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217" w15:restartNumberingAfterBreak="0">
    <w:nsid w:val="405C4572"/>
    <w:multiLevelType w:val="hybridMultilevel"/>
    <w:tmpl w:val="BCAE0D28"/>
    <w:lvl w:ilvl="0" w:tplc="1C0A0019">
      <w:start w:val="1"/>
      <w:numFmt w:val="lowerLetter"/>
      <w:lvlText w:val="%1."/>
      <w:lvlJc w:val="left"/>
      <w:pPr>
        <w:ind w:left="720" w:hanging="360"/>
      </w:pPr>
      <w:rPr>
        <w:rFonts w:hint="default"/>
        <w:sz w:val="20"/>
        <w:szCs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8" w15:restartNumberingAfterBreak="0">
    <w:nsid w:val="40664489"/>
    <w:multiLevelType w:val="hybridMultilevel"/>
    <w:tmpl w:val="E3DAD93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19" w15:restartNumberingAfterBreak="0">
    <w:nsid w:val="410B1194"/>
    <w:multiLevelType w:val="hybridMultilevel"/>
    <w:tmpl w:val="6696FE0C"/>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20" w15:restartNumberingAfterBreak="0">
    <w:nsid w:val="419820C9"/>
    <w:multiLevelType w:val="multilevel"/>
    <w:tmpl w:val="57221D00"/>
    <w:lvl w:ilvl="0">
      <w:start w:val="1"/>
      <w:numFmt w:val="lowerLetter"/>
      <w:lvlText w:val="%1."/>
      <w:lvlJc w:val="left"/>
      <w:pPr>
        <w:ind w:left="360" w:hanging="360"/>
      </w:pPr>
      <w:rPr>
        <w:rFont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21" w15:restartNumberingAfterBreak="0">
    <w:nsid w:val="41A80D9F"/>
    <w:multiLevelType w:val="hybridMultilevel"/>
    <w:tmpl w:val="0DC6E5C8"/>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22" w15:restartNumberingAfterBreak="0">
    <w:nsid w:val="41F8123F"/>
    <w:multiLevelType w:val="hybridMultilevel"/>
    <w:tmpl w:val="76E6BD0A"/>
    <w:lvl w:ilvl="0" w:tplc="100A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3" w15:restartNumberingAfterBreak="0">
    <w:nsid w:val="424A6595"/>
    <w:multiLevelType w:val="hybridMultilevel"/>
    <w:tmpl w:val="AF14327C"/>
    <w:lvl w:ilvl="0" w:tplc="100A0017">
      <w:start w:val="1"/>
      <w:numFmt w:val="lowerLetter"/>
      <w:lvlText w:val="%1)"/>
      <w:lvlJc w:val="left"/>
      <w:pPr>
        <w:ind w:left="720" w:hanging="360"/>
      </w:pPr>
      <w:rPr>
        <w:rFont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224" w15:restartNumberingAfterBreak="0">
    <w:nsid w:val="42737682"/>
    <w:multiLevelType w:val="hybridMultilevel"/>
    <w:tmpl w:val="8C74AA5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5" w15:restartNumberingAfterBreak="0">
    <w:nsid w:val="4287667C"/>
    <w:multiLevelType w:val="hybridMultilevel"/>
    <w:tmpl w:val="F84AEE62"/>
    <w:lvl w:ilvl="0" w:tplc="1C0A0019">
      <w:start w:val="1"/>
      <w:numFmt w:val="lowerLetter"/>
      <w:lvlText w:val="%1."/>
      <w:lvlJc w:val="left"/>
      <w:pPr>
        <w:ind w:left="459" w:hanging="360"/>
      </w:pPr>
      <w:rPr>
        <w:rFonts w:hint="default"/>
      </w:rPr>
    </w:lvl>
    <w:lvl w:ilvl="1" w:tplc="04090003">
      <w:start w:val="1"/>
      <w:numFmt w:val="bullet"/>
      <w:lvlText w:val="o"/>
      <w:lvlJc w:val="left"/>
      <w:pPr>
        <w:ind w:left="1179" w:hanging="360"/>
      </w:pPr>
      <w:rPr>
        <w:rFonts w:ascii="Courier New" w:hAnsi="Courier New" w:cs="Courier New" w:hint="default"/>
      </w:rPr>
    </w:lvl>
    <w:lvl w:ilvl="2" w:tplc="04090005" w:tentative="1">
      <w:start w:val="1"/>
      <w:numFmt w:val="bullet"/>
      <w:lvlText w:val=""/>
      <w:lvlJc w:val="left"/>
      <w:pPr>
        <w:ind w:left="1899" w:hanging="360"/>
      </w:pPr>
      <w:rPr>
        <w:rFonts w:ascii="Wingdings" w:hAnsi="Wingdings" w:hint="default"/>
      </w:rPr>
    </w:lvl>
    <w:lvl w:ilvl="3" w:tplc="04090001" w:tentative="1">
      <w:start w:val="1"/>
      <w:numFmt w:val="bullet"/>
      <w:lvlText w:val=""/>
      <w:lvlJc w:val="left"/>
      <w:pPr>
        <w:ind w:left="2619" w:hanging="360"/>
      </w:pPr>
      <w:rPr>
        <w:rFonts w:ascii="Symbol" w:hAnsi="Symbol" w:hint="default"/>
      </w:rPr>
    </w:lvl>
    <w:lvl w:ilvl="4" w:tplc="04090003" w:tentative="1">
      <w:start w:val="1"/>
      <w:numFmt w:val="bullet"/>
      <w:lvlText w:val="o"/>
      <w:lvlJc w:val="left"/>
      <w:pPr>
        <w:ind w:left="3339" w:hanging="360"/>
      </w:pPr>
      <w:rPr>
        <w:rFonts w:ascii="Courier New" w:hAnsi="Courier New" w:cs="Courier New" w:hint="default"/>
      </w:rPr>
    </w:lvl>
    <w:lvl w:ilvl="5" w:tplc="04090005" w:tentative="1">
      <w:start w:val="1"/>
      <w:numFmt w:val="bullet"/>
      <w:lvlText w:val=""/>
      <w:lvlJc w:val="left"/>
      <w:pPr>
        <w:ind w:left="4059" w:hanging="360"/>
      </w:pPr>
      <w:rPr>
        <w:rFonts w:ascii="Wingdings" w:hAnsi="Wingdings" w:hint="default"/>
      </w:rPr>
    </w:lvl>
    <w:lvl w:ilvl="6" w:tplc="04090001" w:tentative="1">
      <w:start w:val="1"/>
      <w:numFmt w:val="bullet"/>
      <w:lvlText w:val=""/>
      <w:lvlJc w:val="left"/>
      <w:pPr>
        <w:ind w:left="4779" w:hanging="360"/>
      </w:pPr>
      <w:rPr>
        <w:rFonts w:ascii="Symbol" w:hAnsi="Symbol" w:hint="default"/>
      </w:rPr>
    </w:lvl>
    <w:lvl w:ilvl="7" w:tplc="04090003" w:tentative="1">
      <w:start w:val="1"/>
      <w:numFmt w:val="bullet"/>
      <w:lvlText w:val="o"/>
      <w:lvlJc w:val="left"/>
      <w:pPr>
        <w:ind w:left="5499" w:hanging="360"/>
      </w:pPr>
      <w:rPr>
        <w:rFonts w:ascii="Courier New" w:hAnsi="Courier New" w:cs="Courier New" w:hint="default"/>
      </w:rPr>
    </w:lvl>
    <w:lvl w:ilvl="8" w:tplc="04090005" w:tentative="1">
      <w:start w:val="1"/>
      <w:numFmt w:val="bullet"/>
      <w:lvlText w:val=""/>
      <w:lvlJc w:val="left"/>
      <w:pPr>
        <w:ind w:left="6219" w:hanging="360"/>
      </w:pPr>
      <w:rPr>
        <w:rFonts w:ascii="Wingdings" w:hAnsi="Wingdings" w:hint="default"/>
      </w:rPr>
    </w:lvl>
  </w:abstractNum>
  <w:abstractNum w:abstractNumId="226" w15:restartNumberingAfterBreak="0">
    <w:nsid w:val="42963BEA"/>
    <w:multiLevelType w:val="hybridMultilevel"/>
    <w:tmpl w:val="5E68325E"/>
    <w:lvl w:ilvl="0" w:tplc="100A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7" w15:restartNumberingAfterBreak="0">
    <w:nsid w:val="42DF2EB3"/>
    <w:multiLevelType w:val="hybridMultilevel"/>
    <w:tmpl w:val="7ECA8C56"/>
    <w:lvl w:ilvl="0" w:tplc="100A0019">
      <w:start w:val="1"/>
      <w:numFmt w:val="lowerLetter"/>
      <w:lvlText w:val="%1."/>
      <w:lvlJc w:val="left"/>
      <w:pPr>
        <w:ind w:left="360" w:hanging="360"/>
      </w:p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228" w15:restartNumberingAfterBreak="0">
    <w:nsid w:val="43B110C1"/>
    <w:multiLevelType w:val="hybridMultilevel"/>
    <w:tmpl w:val="A37A0BCE"/>
    <w:lvl w:ilvl="0" w:tplc="100A0019">
      <w:start w:val="1"/>
      <w:numFmt w:val="lowerLetter"/>
      <w:lvlText w:val="%1."/>
      <w:lvlJc w:val="left"/>
      <w:pPr>
        <w:ind w:left="360" w:hanging="360"/>
      </w:pPr>
      <w:rPr>
        <w:rFonts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229" w15:restartNumberingAfterBreak="0">
    <w:nsid w:val="44AD65CD"/>
    <w:multiLevelType w:val="hybridMultilevel"/>
    <w:tmpl w:val="45321EA4"/>
    <w:lvl w:ilvl="0" w:tplc="0C4C0926">
      <w:start w:val="1"/>
      <w:numFmt w:val="lowerLetter"/>
      <w:lvlText w:val="%1."/>
      <w:lvlJc w:val="left"/>
      <w:pPr>
        <w:ind w:left="786"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0" w15:restartNumberingAfterBreak="0">
    <w:nsid w:val="454A59FC"/>
    <w:multiLevelType w:val="multilevel"/>
    <w:tmpl w:val="EDA6979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1" w15:restartNumberingAfterBreak="0">
    <w:nsid w:val="46001F95"/>
    <w:multiLevelType w:val="multilevel"/>
    <w:tmpl w:val="CACCA8D8"/>
    <w:lvl w:ilvl="0">
      <w:start w:val="1"/>
      <w:numFmt w:val="lowerLetter"/>
      <w:lvlText w:val="%1."/>
      <w:lvlJc w:val="left"/>
      <w:pPr>
        <w:ind w:left="459" w:hanging="360"/>
      </w:pPr>
      <w:rPr>
        <w:rFonts w:hint="default"/>
      </w:rPr>
    </w:lvl>
    <w:lvl w:ilvl="1">
      <w:start w:val="1"/>
      <w:numFmt w:val="lowerLetter"/>
      <w:lvlText w:val="%2."/>
      <w:lvlJc w:val="left"/>
      <w:pPr>
        <w:ind w:left="1179" w:hanging="360"/>
      </w:pPr>
    </w:lvl>
    <w:lvl w:ilvl="2">
      <w:start w:val="1"/>
      <w:numFmt w:val="lowerRoman"/>
      <w:lvlText w:val="%3."/>
      <w:lvlJc w:val="right"/>
      <w:pPr>
        <w:ind w:left="1899" w:hanging="180"/>
      </w:pPr>
    </w:lvl>
    <w:lvl w:ilvl="3">
      <w:start w:val="1"/>
      <w:numFmt w:val="decimal"/>
      <w:lvlText w:val="%4."/>
      <w:lvlJc w:val="left"/>
      <w:pPr>
        <w:ind w:left="2619" w:hanging="360"/>
      </w:pPr>
    </w:lvl>
    <w:lvl w:ilvl="4">
      <w:start w:val="1"/>
      <w:numFmt w:val="lowerLetter"/>
      <w:lvlText w:val="%5."/>
      <w:lvlJc w:val="left"/>
      <w:pPr>
        <w:ind w:left="3339" w:hanging="360"/>
      </w:pPr>
    </w:lvl>
    <w:lvl w:ilvl="5">
      <w:start w:val="1"/>
      <w:numFmt w:val="lowerRoman"/>
      <w:lvlText w:val="%6."/>
      <w:lvlJc w:val="right"/>
      <w:pPr>
        <w:ind w:left="4059" w:hanging="180"/>
      </w:pPr>
    </w:lvl>
    <w:lvl w:ilvl="6">
      <w:start w:val="1"/>
      <w:numFmt w:val="decimal"/>
      <w:lvlText w:val="%7."/>
      <w:lvlJc w:val="left"/>
      <w:pPr>
        <w:ind w:left="4779" w:hanging="360"/>
      </w:pPr>
    </w:lvl>
    <w:lvl w:ilvl="7">
      <w:start w:val="1"/>
      <w:numFmt w:val="lowerLetter"/>
      <w:lvlText w:val="%8."/>
      <w:lvlJc w:val="left"/>
      <w:pPr>
        <w:ind w:left="5499" w:hanging="360"/>
      </w:pPr>
    </w:lvl>
    <w:lvl w:ilvl="8">
      <w:start w:val="1"/>
      <w:numFmt w:val="lowerRoman"/>
      <w:lvlText w:val="%9."/>
      <w:lvlJc w:val="right"/>
      <w:pPr>
        <w:ind w:left="6219" w:hanging="180"/>
      </w:pPr>
    </w:lvl>
  </w:abstractNum>
  <w:abstractNum w:abstractNumId="232" w15:restartNumberingAfterBreak="0">
    <w:nsid w:val="4641765F"/>
    <w:multiLevelType w:val="multilevel"/>
    <w:tmpl w:val="08FAC5E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3" w15:restartNumberingAfterBreak="0">
    <w:nsid w:val="46C95B89"/>
    <w:multiLevelType w:val="hybridMultilevel"/>
    <w:tmpl w:val="32AC7404"/>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34" w15:restartNumberingAfterBreak="0">
    <w:nsid w:val="473B5A71"/>
    <w:multiLevelType w:val="hybridMultilevel"/>
    <w:tmpl w:val="1F485D2A"/>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35" w15:restartNumberingAfterBreak="0">
    <w:nsid w:val="47652680"/>
    <w:multiLevelType w:val="multilevel"/>
    <w:tmpl w:val="57C2018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6" w15:restartNumberingAfterBreak="0">
    <w:nsid w:val="48006256"/>
    <w:multiLevelType w:val="hybridMultilevel"/>
    <w:tmpl w:val="A93AA494"/>
    <w:lvl w:ilvl="0" w:tplc="100A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7" w15:restartNumberingAfterBreak="0">
    <w:nsid w:val="48496B50"/>
    <w:multiLevelType w:val="multilevel"/>
    <w:tmpl w:val="7AF8DD5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8" w15:restartNumberingAfterBreak="0">
    <w:nsid w:val="487C11B0"/>
    <w:multiLevelType w:val="hybridMultilevel"/>
    <w:tmpl w:val="A37A0BCE"/>
    <w:lvl w:ilvl="0" w:tplc="100A0019">
      <w:start w:val="1"/>
      <w:numFmt w:val="lowerLetter"/>
      <w:lvlText w:val="%1."/>
      <w:lvlJc w:val="left"/>
      <w:pPr>
        <w:ind w:left="360" w:hanging="360"/>
      </w:pPr>
      <w:rPr>
        <w:rFonts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239" w15:restartNumberingAfterBreak="0">
    <w:nsid w:val="48DE2537"/>
    <w:multiLevelType w:val="hybridMultilevel"/>
    <w:tmpl w:val="B99C36FC"/>
    <w:lvl w:ilvl="0" w:tplc="1C0A0019">
      <w:start w:val="1"/>
      <w:numFmt w:val="lowerLetter"/>
      <w:lvlText w:val="%1."/>
      <w:lvlJc w:val="left"/>
      <w:pPr>
        <w:ind w:left="754" w:hanging="360"/>
      </w:pPr>
      <w:rPr>
        <w:rFonts w:hint="default"/>
      </w:rPr>
    </w:lvl>
    <w:lvl w:ilvl="1" w:tplc="04090019" w:tentative="1">
      <w:start w:val="1"/>
      <w:numFmt w:val="lowerLetter"/>
      <w:lvlText w:val="%2."/>
      <w:lvlJc w:val="left"/>
      <w:pPr>
        <w:ind w:left="1474" w:hanging="360"/>
      </w:pPr>
    </w:lvl>
    <w:lvl w:ilvl="2" w:tplc="0409001B" w:tentative="1">
      <w:start w:val="1"/>
      <w:numFmt w:val="lowerRoman"/>
      <w:lvlText w:val="%3."/>
      <w:lvlJc w:val="right"/>
      <w:pPr>
        <w:ind w:left="2194" w:hanging="180"/>
      </w:pPr>
    </w:lvl>
    <w:lvl w:ilvl="3" w:tplc="0409000F" w:tentative="1">
      <w:start w:val="1"/>
      <w:numFmt w:val="decimal"/>
      <w:lvlText w:val="%4."/>
      <w:lvlJc w:val="left"/>
      <w:pPr>
        <w:ind w:left="2914" w:hanging="360"/>
      </w:pPr>
    </w:lvl>
    <w:lvl w:ilvl="4" w:tplc="04090019" w:tentative="1">
      <w:start w:val="1"/>
      <w:numFmt w:val="lowerLetter"/>
      <w:lvlText w:val="%5."/>
      <w:lvlJc w:val="left"/>
      <w:pPr>
        <w:ind w:left="3634" w:hanging="360"/>
      </w:pPr>
    </w:lvl>
    <w:lvl w:ilvl="5" w:tplc="0409001B" w:tentative="1">
      <w:start w:val="1"/>
      <w:numFmt w:val="lowerRoman"/>
      <w:lvlText w:val="%6."/>
      <w:lvlJc w:val="right"/>
      <w:pPr>
        <w:ind w:left="4354" w:hanging="180"/>
      </w:pPr>
    </w:lvl>
    <w:lvl w:ilvl="6" w:tplc="0409000F" w:tentative="1">
      <w:start w:val="1"/>
      <w:numFmt w:val="decimal"/>
      <w:lvlText w:val="%7."/>
      <w:lvlJc w:val="left"/>
      <w:pPr>
        <w:ind w:left="5074" w:hanging="360"/>
      </w:pPr>
    </w:lvl>
    <w:lvl w:ilvl="7" w:tplc="04090019" w:tentative="1">
      <w:start w:val="1"/>
      <w:numFmt w:val="lowerLetter"/>
      <w:lvlText w:val="%8."/>
      <w:lvlJc w:val="left"/>
      <w:pPr>
        <w:ind w:left="5794" w:hanging="360"/>
      </w:pPr>
    </w:lvl>
    <w:lvl w:ilvl="8" w:tplc="0409001B" w:tentative="1">
      <w:start w:val="1"/>
      <w:numFmt w:val="lowerRoman"/>
      <w:lvlText w:val="%9."/>
      <w:lvlJc w:val="right"/>
      <w:pPr>
        <w:ind w:left="6514" w:hanging="180"/>
      </w:pPr>
    </w:lvl>
  </w:abstractNum>
  <w:abstractNum w:abstractNumId="240" w15:restartNumberingAfterBreak="0">
    <w:nsid w:val="48F47B6E"/>
    <w:multiLevelType w:val="hybridMultilevel"/>
    <w:tmpl w:val="1388AF8A"/>
    <w:lvl w:ilvl="0" w:tplc="1C0A0019">
      <w:start w:val="1"/>
      <w:numFmt w:val="lowerLetter"/>
      <w:lvlText w:val="%1."/>
      <w:lvlJc w:val="left"/>
      <w:pPr>
        <w:ind w:left="720" w:hanging="360"/>
      </w:pPr>
      <w:rPr>
        <w:rFont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41" w15:restartNumberingAfterBreak="0">
    <w:nsid w:val="49810DD4"/>
    <w:multiLevelType w:val="hybridMultilevel"/>
    <w:tmpl w:val="821E4E46"/>
    <w:lvl w:ilvl="0" w:tplc="19DC784C">
      <w:start w:val="1"/>
      <w:numFmt w:val="lowerLetter"/>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242" w15:restartNumberingAfterBreak="0">
    <w:nsid w:val="49CE32F1"/>
    <w:multiLevelType w:val="hybridMultilevel"/>
    <w:tmpl w:val="F5042100"/>
    <w:lvl w:ilvl="0" w:tplc="1C0A0019">
      <w:start w:val="1"/>
      <w:numFmt w:val="lowerLetter"/>
      <w:lvlText w:val="%1."/>
      <w:lvlJc w:val="left"/>
      <w:pPr>
        <w:ind w:left="459" w:hanging="360"/>
      </w:pPr>
      <w:rPr>
        <w:rFonts w:hint="default"/>
      </w:rPr>
    </w:lvl>
    <w:lvl w:ilvl="1" w:tplc="04090003">
      <w:start w:val="1"/>
      <w:numFmt w:val="bullet"/>
      <w:lvlText w:val="o"/>
      <w:lvlJc w:val="left"/>
      <w:pPr>
        <w:ind w:left="1179" w:hanging="360"/>
      </w:pPr>
      <w:rPr>
        <w:rFonts w:ascii="Courier New" w:hAnsi="Courier New" w:cs="Courier New" w:hint="default"/>
      </w:rPr>
    </w:lvl>
    <w:lvl w:ilvl="2" w:tplc="04090005" w:tentative="1">
      <w:start w:val="1"/>
      <w:numFmt w:val="bullet"/>
      <w:lvlText w:val=""/>
      <w:lvlJc w:val="left"/>
      <w:pPr>
        <w:ind w:left="1899" w:hanging="360"/>
      </w:pPr>
      <w:rPr>
        <w:rFonts w:ascii="Wingdings" w:hAnsi="Wingdings" w:hint="default"/>
      </w:rPr>
    </w:lvl>
    <w:lvl w:ilvl="3" w:tplc="04090001" w:tentative="1">
      <w:start w:val="1"/>
      <w:numFmt w:val="bullet"/>
      <w:lvlText w:val=""/>
      <w:lvlJc w:val="left"/>
      <w:pPr>
        <w:ind w:left="2619" w:hanging="360"/>
      </w:pPr>
      <w:rPr>
        <w:rFonts w:ascii="Symbol" w:hAnsi="Symbol" w:hint="default"/>
      </w:rPr>
    </w:lvl>
    <w:lvl w:ilvl="4" w:tplc="04090003" w:tentative="1">
      <w:start w:val="1"/>
      <w:numFmt w:val="bullet"/>
      <w:lvlText w:val="o"/>
      <w:lvlJc w:val="left"/>
      <w:pPr>
        <w:ind w:left="3339" w:hanging="360"/>
      </w:pPr>
      <w:rPr>
        <w:rFonts w:ascii="Courier New" w:hAnsi="Courier New" w:cs="Courier New" w:hint="default"/>
      </w:rPr>
    </w:lvl>
    <w:lvl w:ilvl="5" w:tplc="04090005" w:tentative="1">
      <w:start w:val="1"/>
      <w:numFmt w:val="bullet"/>
      <w:lvlText w:val=""/>
      <w:lvlJc w:val="left"/>
      <w:pPr>
        <w:ind w:left="4059" w:hanging="360"/>
      </w:pPr>
      <w:rPr>
        <w:rFonts w:ascii="Wingdings" w:hAnsi="Wingdings" w:hint="default"/>
      </w:rPr>
    </w:lvl>
    <w:lvl w:ilvl="6" w:tplc="04090001" w:tentative="1">
      <w:start w:val="1"/>
      <w:numFmt w:val="bullet"/>
      <w:lvlText w:val=""/>
      <w:lvlJc w:val="left"/>
      <w:pPr>
        <w:ind w:left="4779" w:hanging="360"/>
      </w:pPr>
      <w:rPr>
        <w:rFonts w:ascii="Symbol" w:hAnsi="Symbol" w:hint="default"/>
      </w:rPr>
    </w:lvl>
    <w:lvl w:ilvl="7" w:tplc="04090003" w:tentative="1">
      <w:start w:val="1"/>
      <w:numFmt w:val="bullet"/>
      <w:lvlText w:val="o"/>
      <w:lvlJc w:val="left"/>
      <w:pPr>
        <w:ind w:left="5499" w:hanging="360"/>
      </w:pPr>
      <w:rPr>
        <w:rFonts w:ascii="Courier New" w:hAnsi="Courier New" w:cs="Courier New" w:hint="default"/>
      </w:rPr>
    </w:lvl>
    <w:lvl w:ilvl="8" w:tplc="04090005" w:tentative="1">
      <w:start w:val="1"/>
      <w:numFmt w:val="bullet"/>
      <w:lvlText w:val=""/>
      <w:lvlJc w:val="left"/>
      <w:pPr>
        <w:ind w:left="6219" w:hanging="360"/>
      </w:pPr>
      <w:rPr>
        <w:rFonts w:ascii="Wingdings" w:hAnsi="Wingdings" w:hint="default"/>
      </w:rPr>
    </w:lvl>
  </w:abstractNum>
  <w:abstractNum w:abstractNumId="243" w15:restartNumberingAfterBreak="0">
    <w:nsid w:val="4A666835"/>
    <w:multiLevelType w:val="hybridMultilevel"/>
    <w:tmpl w:val="207EF938"/>
    <w:lvl w:ilvl="0" w:tplc="080A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4" w15:restartNumberingAfterBreak="0">
    <w:nsid w:val="4AD214EB"/>
    <w:multiLevelType w:val="hybridMultilevel"/>
    <w:tmpl w:val="7A1E749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45" w15:restartNumberingAfterBreak="0">
    <w:nsid w:val="4AEF7E12"/>
    <w:multiLevelType w:val="hybridMultilevel"/>
    <w:tmpl w:val="5D58661C"/>
    <w:lvl w:ilvl="0" w:tplc="1C0A0017">
      <w:start w:val="1"/>
      <w:numFmt w:val="lowerLetter"/>
      <w:lvlText w:val="%1)"/>
      <w:lvlJc w:val="left"/>
      <w:pPr>
        <w:ind w:left="720" w:hanging="360"/>
      </w:pPr>
      <w:rPr>
        <w:rFonts w:hint="default"/>
      </w:rPr>
    </w:lvl>
    <w:lvl w:ilvl="1" w:tplc="CD5003D6">
      <w:numFmt w:val="bullet"/>
      <w:lvlText w:val="-"/>
      <w:lvlJc w:val="left"/>
      <w:pPr>
        <w:ind w:left="1500" w:hanging="420"/>
      </w:pPr>
      <w:rPr>
        <w:rFonts w:ascii="Calibri" w:eastAsia="Times New Roman" w:hAnsi="Calibri" w:cstheme="minorHAnsi" w:hint="default"/>
      </w:r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246" w15:restartNumberingAfterBreak="0">
    <w:nsid w:val="4BBF34F2"/>
    <w:multiLevelType w:val="multilevel"/>
    <w:tmpl w:val="77765A0E"/>
    <w:lvl w:ilvl="0">
      <w:start w:val="1"/>
      <w:numFmt w:val="upperLetter"/>
      <w:pStyle w:val="RegSectionLevel1"/>
      <w:suff w:val="space"/>
      <w:lvlText w:val="SECTION %1."/>
      <w:lvlJc w:val="left"/>
      <w:pPr>
        <w:ind w:left="0" w:firstLine="0"/>
      </w:pPr>
      <w:rPr>
        <w:rFonts w:hint="default"/>
      </w:rPr>
    </w:lvl>
    <w:lvl w:ilvl="1">
      <w:start w:val="1"/>
      <w:numFmt w:val="decimal"/>
      <w:pStyle w:val="RegSectionLevel2"/>
      <w:suff w:val="space"/>
      <w:lvlText w:val="%1.%2."/>
      <w:lvlJc w:val="left"/>
      <w:pPr>
        <w:ind w:left="0" w:firstLine="0"/>
      </w:pPr>
      <w:rPr>
        <w:rFonts w:hint="default"/>
      </w:rPr>
    </w:lvl>
    <w:lvl w:ilvl="2">
      <w:start w:val="1"/>
      <w:numFmt w:val="decimal"/>
      <w:pStyle w:val="RegSectionLevel3"/>
      <w:suff w:val="space"/>
      <w:lvlText w:val="%1.%2.%3."/>
      <w:lvlJc w:val="left"/>
      <w:pPr>
        <w:ind w:left="0" w:firstLine="0"/>
      </w:pPr>
      <w:rPr>
        <w:rFonts w:hint="default"/>
        <w:i w:val="0"/>
      </w:rPr>
    </w:lvl>
    <w:lvl w:ilvl="3">
      <w:start w:val="1"/>
      <w:numFmt w:val="decimal"/>
      <w:pStyle w:val="RegSectionLevel4"/>
      <w:suff w:val="space"/>
      <w:lvlText w:val="%1.%2.%3.%4."/>
      <w:lvlJc w:val="left"/>
      <w:pPr>
        <w:ind w:left="0" w:firstLine="0"/>
      </w:pPr>
      <w:rPr>
        <w:rFonts w:hint="default"/>
      </w:rPr>
    </w:lvl>
    <w:lvl w:ilvl="4">
      <w:start w:val="1"/>
      <w:numFmt w:val="decimal"/>
      <w:pStyle w:val="RegSectionLevel5"/>
      <w:suff w:val="space"/>
      <w:lvlText w:val="%1.%2.%3.%4.%5."/>
      <w:lvlJc w:val="left"/>
      <w:pPr>
        <w:ind w:left="0" w:firstLine="0"/>
      </w:pPr>
      <w:rPr>
        <w:rFonts w:hint="default"/>
      </w:rPr>
    </w:lvl>
    <w:lvl w:ilvl="5">
      <w:start w:val="1"/>
      <w:numFmt w:val="decimal"/>
      <w:pStyle w:val="RegSectionLevel6"/>
      <w:suff w:val="space"/>
      <w:lvlText w:val="%1.%2.%3.%4.%5.%6."/>
      <w:lvlJc w:val="left"/>
      <w:pPr>
        <w:ind w:left="0" w:firstLine="0"/>
      </w:pPr>
      <w:rPr>
        <w:rFonts w:hint="default"/>
      </w:rPr>
    </w:lvl>
    <w:lvl w:ilvl="6">
      <w:start w:val="1"/>
      <w:numFmt w:val="decimal"/>
      <w:pStyle w:val="RegSectionLevel7"/>
      <w:suff w:val="space"/>
      <w:lvlText w:val="%1.%2.%3.%4.%5.%6.%7."/>
      <w:lvlJc w:val="left"/>
      <w:pPr>
        <w:ind w:left="1296" w:hanging="1296"/>
      </w:pPr>
      <w:rPr>
        <w:rFonts w:hint="default"/>
      </w:rPr>
    </w:lvl>
    <w:lvl w:ilvl="7">
      <w:start w:val="1"/>
      <w:numFmt w:val="decimal"/>
      <w:pStyle w:val="RegSectionLevel8"/>
      <w:suff w:val="space"/>
      <w:lvlText w:val="%1.%2.%3.%4.%5.%6.%7.%8."/>
      <w:lvlJc w:val="left"/>
      <w:pPr>
        <w:ind w:left="0" w:firstLine="0"/>
      </w:pPr>
      <w:rPr>
        <w:rFonts w:hint="default"/>
      </w:rPr>
    </w:lvl>
    <w:lvl w:ilvl="8">
      <w:start w:val="1"/>
      <w:numFmt w:val="decimal"/>
      <w:pStyle w:val="RegSectionLevel9"/>
      <w:suff w:val="space"/>
      <w:lvlText w:val="%1.%2.%3.%4.%5.%6.%7.%8.%9."/>
      <w:lvlJc w:val="left"/>
      <w:pPr>
        <w:ind w:left="0" w:firstLine="0"/>
      </w:pPr>
      <w:rPr>
        <w:rFonts w:hint="default"/>
      </w:rPr>
    </w:lvl>
  </w:abstractNum>
  <w:abstractNum w:abstractNumId="247" w15:restartNumberingAfterBreak="0">
    <w:nsid w:val="4BDB4610"/>
    <w:multiLevelType w:val="hybridMultilevel"/>
    <w:tmpl w:val="36DAD8DE"/>
    <w:lvl w:ilvl="0" w:tplc="100A0019">
      <w:start w:val="1"/>
      <w:numFmt w:val="lowerLetter"/>
      <w:lvlText w:val="%1."/>
      <w:lvlJc w:val="left"/>
      <w:pPr>
        <w:ind w:left="108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8" w15:restartNumberingAfterBreak="0">
    <w:nsid w:val="4C2A2C26"/>
    <w:multiLevelType w:val="hybridMultilevel"/>
    <w:tmpl w:val="A37A0BCE"/>
    <w:lvl w:ilvl="0" w:tplc="100A0019">
      <w:start w:val="1"/>
      <w:numFmt w:val="lowerLetter"/>
      <w:lvlText w:val="%1."/>
      <w:lvlJc w:val="left"/>
      <w:pPr>
        <w:ind w:left="360" w:hanging="360"/>
      </w:pPr>
      <w:rPr>
        <w:rFonts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249" w15:restartNumberingAfterBreak="0">
    <w:nsid w:val="4C326894"/>
    <w:multiLevelType w:val="multilevel"/>
    <w:tmpl w:val="07EE865A"/>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0" w15:restartNumberingAfterBreak="0">
    <w:nsid w:val="4C9F4573"/>
    <w:multiLevelType w:val="hybridMultilevel"/>
    <w:tmpl w:val="A37A0BCE"/>
    <w:lvl w:ilvl="0" w:tplc="100A0019">
      <w:start w:val="1"/>
      <w:numFmt w:val="lowerLetter"/>
      <w:lvlText w:val="%1."/>
      <w:lvlJc w:val="left"/>
      <w:pPr>
        <w:ind w:left="360" w:hanging="360"/>
      </w:pPr>
      <w:rPr>
        <w:rFonts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251" w15:restartNumberingAfterBreak="0">
    <w:nsid w:val="4CD42BB1"/>
    <w:multiLevelType w:val="hybridMultilevel"/>
    <w:tmpl w:val="C1F67830"/>
    <w:lvl w:ilvl="0" w:tplc="100A0019">
      <w:start w:val="1"/>
      <w:numFmt w:val="lowerLetter"/>
      <w:lvlText w:val="%1."/>
      <w:lvlJc w:val="left"/>
      <w:pPr>
        <w:ind w:left="360" w:hanging="360"/>
      </w:pPr>
      <w:rPr>
        <w:rFonts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252" w15:restartNumberingAfterBreak="0">
    <w:nsid w:val="4D5E41D2"/>
    <w:multiLevelType w:val="hybridMultilevel"/>
    <w:tmpl w:val="B23E857A"/>
    <w:lvl w:ilvl="0" w:tplc="A3C68540">
      <w:numFmt w:val="bullet"/>
      <w:lvlText w:val="-"/>
      <w:lvlJc w:val="left"/>
      <w:pPr>
        <w:ind w:left="360" w:hanging="360"/>
      </w:pPr>
      <w:rPr>
        <w:rFonts w:ascii="Calibri" w:eastAsia="Times New Roman"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3" w15:restartNumberingAfterBreak="0">
    <w:nsid w:val="4D810FE9"/>
    <w:multiLevelType w:val="hybridMultilevel"/>
    <w:tmpl w:val="2B68942C"/>
    <w:lvl w:ilvl="0" w:tplc="CC1A917E">
      <w:start w:val="1"/>
      <w:numFmt w:val="decimal"/>
      <w:lvlText w:val="%1."/>
      <w:lvlJc w:val="left"/>
      <w:pPr>
        <w:ind w:left="360" w:hanging="360"/>
      </w:pPr>
      <w:rPr>
        <w:rFonts w:hint="default"/>
        <w:color w:val="FFFFFF" w:themeColor="background1"/>
      </w:rPr>
    </w:lvl>
    <w:lvl w:ilvl="1" w:tplc="927A0002">
      <w:start w:val="1"/>
      <w:numFmt w:val="lowerLetter"/>
      <w:lvlText w:val="%2."/>
      <w:lvlJc w:val="left"/>
      <w:pPr>
        <w:ind w:left="1080" w:hanging="360"/>
      </w:pPr>
      <w:rPr>
        <w:color w:val="FFFFFF" w:themeColor="background1"/>
      </w:rPr>
    </w:lvl>
    <w:lvl w:ilvl="2" w:tplc="040A001B">
      <w:start w:val="1"/>
      <w:numFmt w:val="lowerRoman"/>
      <w:lvlText w:val="%3."/>
      <w:lvlJc w:val="right"/>
      <w:pPr>
        <w:ind w:left="1800" w:hanging="180"/>
      </w:pPr>
    </w:lvl>
    <w:lvl w:ilvl="3" w:tplc="7B3895E6">
      <w:start w:val="6"/>
      <w:numFmt w:val="decimal"/>
      <w:lvlText w:val="%4"/>
      <w:lvlJc w:val="left"/>
      <w:pPr>
        <w:ind w:left="2520" w:hanging="360"/>
      </w:pPr>
      <w:rPr>
        <w:rFonts w:hint="default"/>
      </w:r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254" w15:restartNumberingAfterBreak="0">
    <w:nsid w:val="4DB25DF1"/>
    <w:multiLevelType w:val="hybridMultilevel"/>
    <w:tmpl w:val="563EE2E6"/>
    <w:lvl w:ilvl="0" w:tplc="1C0A0019">
      <w:start w:val="1"/>
      <w:numFmt w:val="lowerLetter"/>
      <w:lvlText w:val="%1."/>
      <w:lvlJc w:val="left"/>
      <w:pPr>
        <w:ind w:left="749" w:hanging="360"/>
      </w:pPr>
      <w:rPr>
        <w:rFonts w:hint="default"/>
      </w:rPr>
    </w:lvl>
    <w:lvl w:ilvl="1" w:tplc="04090003" w:tentative="1">
      <w:start w:val="1"/>
      <w:numFmt w:val="bullet"/>
      <w:lvlText w:val="o"/>
      <w:lvlJc w:val="left"/>
      <w:pPr>
        <w:ind w:left="1469" w:hanging="360"/>
      </w:pPr>
      <w:rPr>
        <w:rFonts w:ascii="Courier New" w:hAnsi="Courier New" w:cs="Courier New" w:hint="default"/>
      </w:rPr>
    </w:lvl>
    <w:lvl w:ilvl="2" w:tplc="04090005" w:tentative="1">
      <w:start w:val="1"/>
      <w:numFmt w:val="bullet"/>
      <w:lvlText w:val=""/>
      <w:lvlJc w:val="left"/>
      <w:pPr>
        <w:ind w:left="2189" w:hanging="360"/>
      </w:pPr>
      <w:rPr>
        <w:rFonts w:ascii="Wingdings" w:hAnsi="Wingdings" w:hint="default"/>
      </w:rPr>
    </w:lvl>
    <w:lvl w:ilvl="3" w:tplc="04090001" w:tentative="1">
      <w:start w:val="1"/>
      <w:numFmt w:val="bullet"/>
      <w:lvlText w:val=""/>
      <w:lvlJc w:val="left"/>
      <w:pPr>
        <w:ind w:left="2909" w:hanging="360"/>
      </w:pPr>
      <w:rPr>
        <w:rFonts w:ascii="Symbol" w:hAnsi="Symbol" w:hint="default"/>
      </w:rPr>
    </w:lvl>
    <w:lvl w:ilvl="4" w:tplc="04090003" w:tentative="1">
      <w:start w:val="1"/>
      <w:numFmt w:val="bullet"/>
      <w:lvlText w:val="o"/>
      <w:lvlJc w:val="left"/>
      <w:pPr>
        <w:ind w:left="3629" w:hanging="360"/>
      </w:pPr>
      <w:rPr>
        <w:rFonts w:ascii="Courier New" w:hAnsi="Courier New" w:cs="Courier New" w:hint="default"/>
      </w:rPr>
    </w:lvl>
    <w:lvl w:ilvl="5" w:tplc="04090005" w:tentative="1">
      <w:start w:val="1"/>
      <w:numFmt w:val="bullet"/>
      <w:lvlText w:val=""/>
      <w:lvlJc w:val="left"/>
      <w:pPr>
        <w:ind w:left="4349" w:hanging="360"/>
      </w:pPr>
      <w:rPr>
        <w:rFonts w:ascii="Wingdings" w:hAnsi="Wingdings" w:hint="default"/>
      </w:rPr>
    </w:lvl>
    <w:lvl w:ilvl="6" w:tplc="04090001" w:tentative="1">
      <w:start w:val="1"/>
      <w:numFmt w:val="bullet"/>
      <w:lvlText w:val=""/>
      <w:lvlJc w:val="left"/>
      <w:pPr>
        <w:ind w:left="5069" w:hanging="360"/>
      </w:pPr>
      <w:rPr>
        <w:rFonts w:ascii="Symbol" w:hAnsi="Symbol" w:hint="default"/>
      </w:rPr>
    </w:lvl>
    <w:lvl w:ilvl="7" w:tplc="04090003" w:tentative="1">
      <w:start w:val="1"/>
      <w:numFmt w:val="bullet"/>
      <w:lvlText w:val="o"/>
      <w:lvlJc w:val="left"/>
      <w:pPr>
        <w:ind w:left="5789" w:hanging="360"/>
      </w:pPr>
      <w:rPr>
        <w:rFonts w:ascii="Courier New" w:hAnsi="Courier New" w:cs="Courier New" w:hint="default"/>
      </w:rPr>
    </w:lvl>
    <w:lvl w:ilvl="8" w:tplc="04090005" w:tentative="1">
      <w:start w:val="1"/>
      <w:numFmt w:val="bullet"/>
      <w:lvlText w:val=""/>
      <w:lvlJc w:val="left"/>
      <w:pPr>
        <w:ind w:left="6509" w:hanging="360"/>
      </w:pPr>
      <w:rPr>
        <w:rFonts w:ascii="Wingdings" w:hAnsi="Wingdings" w:hint="default"/>
      </w:rPr>
    </w:lvl>
  </w:abstractNum>
  <w:abstractNum w:abstractNumId="255" w15:restartNumberingAfterBreak="0">
    <w:nsid w:val="4DDD5159"/>
    <w:multiLevelType w:val="multilevel"/>
    <w:tmpl w:val="1A381C7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56" w15:restartNumberingAfterBreak="0">
    <w:nsid w:val="4E611627"/>
    <w:multiLevelType w:val="hybridMultilevel"/>
    <w:tmpl w:val="3A8A2E56"/>
    <w:lvl w:ilvl="0" w:tplc="04090001">
      <w:start w:val="1"/>
      <w:numFmt w:val="bullet"/>
      <w:lvlText w:val=""/>
      <w:lvlJc w:val="left"/>
      <w:pPr>
        <w:ind w:left="720" w:hanging="360"/>
      </w:pPr>
      <w:rPr>
        <w:rFonts w:ascii="Symbol" w:hAnsi="Symbol" w:hint="default"/>
      </w:rPr>
    </w:lvl>
    <w:lvl w:ilvl="1" w:tplc="6BDA23DA">
      <w:start w:val="1"/>
      <w:numFmt w:val="bullet"/>
      <w:lvlText w:val=""/>
      <w:lvlJc w:val="left"/>
      <w:pPr>
        <w:ind w:left="1440" w:hanging="360"/>
      </w:pPr>
      <w:rPr>
        <w:rFonts w:ascii="Wingdings" w:hAnsi="Wingdings" w:hint="default"/>
        <w:color w:val="auto"/>
        <w:sz w:val="24"/>
        <w:szCs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4E6839D5"/>
    <w:multiLevelType w:val="hybridMultilevel"/>
    <w:tmpl w:val="9EF2526A"/>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258" w15:restartNumberingAfterBreak="0">
    <w:nsid w:val="4F355EF0"/>
    <w:multiLevelType w:val="hybridMultilevel"/>
    <w:tmpl w:val="0D3C2B40"/>
    <w:lvl w:ilvl="0" w:tplc="70FE4946">
      <w:start w:val="1"/>
      <w:numFmt w:val="bullet"/>
      <w:lvlText w:val="•"/>
      <w:lvlJc w:val="left"/>
      <w:pPr>
        <w:ind w:left="928" w:hanging="360"/>
      </w:pPr>
      <w:rPr>
        <w:rFonts w:ascii="Times" w:hAnsi="Times" w:hint="default"/>
      </w:rPr>
    </w:lvl>
    <w:lvl w:ilvl="1" w:tplc="1C0A0019">
      <w:start w:val="1"/>
      <w:numFmt w:val="lowerLetter"/>
      <w:lvlText w:val="%2."/>
      <w:lvlJc w:val="left"/>
      <w:pPr>
        <w:ind w:left="785" w:hanging="360"/>
      </w:pPr>
      <w:rPr>
        <w:rFonts w:hint="default"/>
      </w:rPr>
    </w:lvl>
    <w:lvl w:ilvl="2" w:tplc="04090005" w:tentative="1">
      <w:start w:val="1"/>
      <w:numFmt w:val="bullet"/>
      <w:lvlText w:val=""/>
      <w:lvlJc w:val="left"/>
      <w:pPr>
        <w:ind w:left="1899" w:hanging="360"/>
      </w:pPr>
      <w:rPr>
        <w:rFonts w:ascii="Wingdings" w:hAnsi="Wingdings" w:hint="default"/>
      </w:rPr>
    </w:lvl>
    <w:lvl w:ilvl="3" w:tplc="04090001" w:tentative="1">
      <w:start w:val="1"/>
      <w:numFmt w:val="bullet"/>
      <w:lvlText w:val=""/>
      <w:lvlJc w:val="left"/>
      <w:pPr>
        <w:ind w:left="2619" w:hanging="360"/>
      </w:pPr>
      <w:rPr>
        <w:rFonts w:ascii="Symbol" w:hAnsi="Symbol" w:hint="default"/>
      </w:rPr>
    </w:lvl>
    <w:lvl w:ilvl="4" w:tplc="04090003" w:tentative="1">
      <w:start w:val="1"/>
      <w:numFmt w:val="bullet"/>
      <w:lvlText w:val="o"/>
      <w:lvlJc w:val="left"/>
      <w:pPr>
        <w:ind w:left="3339" w:hanging="360"/>
      </w:pPr>
      <w:rPr>
        <w:rFonts w:ascii="Courier New" w:hAnsi="Courier New" w:cs="Courier New" w:hint="default"/>
      </w:rPr>
    </w:lvl>
    <w:lvl w:ilvl="5" w:tplc="04090005" w:tentative="1">
      <w:start w:val="1"/>
      <w:numFmt w:val="bullet"/>
      <w:lvlText w:val=""/>
      <w:lvlJc w:val="left"/>
      <w:pPr>
        <w:ind w:left="4059" w:hanging="360"/>
      </w:pPr>
      <w:rPr>
        <w:rFonts w:ascii="Wingdings" w:hAnsi="Wingdings" w:hint="default"/>
      </w:rPr>
    </w:lvl>
    <w:lvl w:ilvl="6" w:tplc="04090001" w:tentative="1">
      <w:start w:val="1"/>
      <w:numFmt w:val="bullet"/>
      <w:lvlText w:val=""/>
      <w:lvlJc w:val="left"/>
      <w:pPr>
        <w:ind w:left="4779" w:hanging="360"/>
      </w:pPr>
      <w:rPr>
        <w:rFonts w:ascii="Symbol" w:hAnsi="Symbol" w:hint="default"/>
      </w:rPr>
    </w:lvl>
    <w:lvl w:ilvl="7" w:tplc="04090003" w:tentative="1">
      <w:start w:val="1"/>
      <w:numFmt w:val="bullet"/>
      <w:lvlText w:val="o"/>
      <w:lvlJc w:val="left"/>
      <w:pPr>
        <w:ind w:left="5499" w:hanging="360"/>
      </w:pPr>
      <w:rPr>
        <w:rFonts w:ascii="Courier New" w:hAnsi="Courier New" w:cs="Courier New" w:hint="default"/>
      </w:rPr>
    </w:lvl>
    <w:lvl w:ilvl="8" w:tplc="04090005" w:tentative="1">
      <w:start w:val="1"/>
      <w:numFmt w:val="bullet"/>
      <w:lvlText w:val=""/>
      <w:lvlJc w:val="left"/>
      <w:pPr>
        <w:ind w:left="6219" w:hanging="360"/>
      </w:pPr>
      <w:rPr>
        <w:rFonts w:ascii="Wingdings" w:hAnsi="Wingdings" w:hint="default"/>
      </w:rPr>
    </w:lvl>
  </w:abstractNum>
  <w:abstractNum w:abstractNumId="259" w15:restartNumberingAfterBreak="0">
    <w:nsid w:val="4F425A02"/>
    <w:multiLevelType w:val="multilevel"/>
    <w:tmpl w:val="1F46440E"/>
    <w:lvl w:ilvl="0">
      <w:start w:val="1"/>
      <w:numFmt w:val="lowerLetter"/>
      <w:lvlText w:val="%1."/>
      <w:lvlJc w:val="left"/>
      <w:pPr>
        <w:ind w:left="360" w:hanging="360"/>
      </w:pPr>
      <w:rPr>
        <w:rFont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60" w15:restartNumberingAfterBreak="0">
    <w:nsid w:val="4FC44EA7"/>
    <w:multiLevelType w:val="multilevel"/>
    <w:tmpl w:val="6046B540"/>
    <w:lvl w:ilvl="0">
      <w:start w:val="1"/>
      <w:numFmt w:val="decimal"/>
      <w:lvlText w:val="%1"/>
      <w:lvlJc w:val="left"/>
      <w:pPr>
        <w:ind w:left="360" w:hanging="360"/>
      </w:pPr>
      <w:rPr>
        <w:rFonts w:hint="default"/>
      </w:rPr>
    </w:lvl>
    <w:lvl w:ilvl="1">
      <w:start w:val="1"/>
      <w:numFmt w:val="decimal"/>
      <w:lvlText w:val="%1.%2"/>
      <w:lvlJc w:val="left"/>
      <w:pPr>
        <w:ind w:left="417" w:hanging="360"/>
      </w:pPr>
      <w:rPr>
        <w:rFonts w:hint="default"/>
      </w:rPr>
    </w:lvl>
    <w:lvl w:ilvl="2">
      <w:start w:val="1"/>
      <w:numFmt w:val="decimal"/>
      <w:lvlText w:val="%1.%2.%3"/>
      <w:lvlJc w:val="left"/>
      <w:pPr>
        <w:ind w:left="834" w:hanging="720"/>
      </w:pPr>
      <w:rPr>
        <w:rFonts w:hint="default"/>
      </w:rPr>
    </w:lvl>
    <w:lvl w:ilvl="3">
      <w:start w:val="1"/>
      <w:numFmt w:val="decimal"/>
      <w:lvlText w:val="%1.%2.%3.%4"/>
      <w:lvlJc w:val="left"/>
      <w:pPr>
        <w:ind w:left="891" w:hanging="720"/>
      </w:pPr>
      <w:rPr>
        <w:rFonts w:hint="default"/>
      </w:rPr>
    </w:lvl>
    <w:lvl w:ilvl="4">
      <w:start w:val="1"/>
      <w:numFmt w:val="decimal"/>
      <w:lvlText w:val="%1.%2.%3.%4.%5"/>
      <w:lvlJc w:val="left"/>
      <w:pPr>
        <w:ind w:left="1308" w:hanging="1080"/>
      </w:pPr>
      <w:rPr>
        <w:rFonts w:hint="default"/>
      </w:rPr>
    </w:lvl>
    <w:lvl w:ilvl="5">
      <w:start w:val="1"/>
      <w:numFmt w:val="decimal"/>
      <w:lvlText w:val="%1.%2.%3.%4.%5.%6"/>
      <w:lvlJc w:val="left"/>
      <w:pPr>
        <w:ind w:left="1365" w:hanging="1080"/>
      </w:pPr>
      <w:rPr>
        <w:rFonts w:hint="default"/>
      </w:rPr>
    </w:lvl>
    <w:lvl w:ilvl="6">
      <w:start w:val="1"/>
      <w:numFmt w:val="decimal"/>
      <w:lvlText w:val="%1.%2.%3.%4.%5.%6.%7"/>
      <w:lvlJc w:val="left"/>
      <w:pPr>
        <w:ind w:left="1782" w:hanging="1440"/>
      </w:pPr>
      <w:rPr>
        <w:rFonts w:hint="default"/>
      </w:rPr>
    </w:lvl>
    <w:lvl w:ilvl="7">
      <w:start w:val="1"/>
      <w:numFmt w:val="decimal"/>
      <w:lvlText w:val="%1.%2.%3.%4.%5.%6.%7.%8"/>
      <w:lvlJc w:val="left"/>
      <w:pPr>
        <w:ind w:left="1839" w:hanging="1440"/>
      </w:pPr>
      <w:rPr>
        <w:rFonts w:hint="default"/>
      </w:rPr>
    </w:lvl>
    <w:lvl w:ilvl="8">
      <w:start w:val="1"/>
      <w:numFmt w:val="decimal"/>
      <w:lvlText w:val="%1.%2.%3.%4.%5.%6.%7.%8.%9"/>
      <w:lvlJc w:val="left"/>
      <w:pPr>
        <w:ind w:left="1896" w:hanging="1440"/>
      </w:pPr>
      <w:rPr>
        <w:rFonts w:hint="default"/>
      </w:rPr>
    </w:lvl>
  </w:abstractNum>
  <w:abstractNum w:abstractNumId="261" w15:restartNumberingAfterBreak="0">
    <w:nsid w:val="4FDA3349"/>
    <w:multiLevelType w:val="hybridMultilevel"/>
    <w:tmpl w:val="650AB088"/>
    <w:lvl w:ilvl="0" w:tplc="100A0019">
      <w:start w:val="1"/>
      <w:numFmt w:val="lowerLetter"/>
      <w:lvlText w:val="%1."/>
      <w:lvlJc w:val="left"/>
      <w:pPr>
        <w:ind w:left="720" w:hanging="360"/>
      </w:pPr>
      <w:rPr>
        <w:rFont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62" w15:restartNumberingAfterBreak="0">
    <w:nsid w:val="4FE0781A"/>
    <w:multiLevelType w:val="multilevel"/>
    <w:tmpl w:val="22BA7DD8"/>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63" w15:restartNumberingAfterBreak="0">
    <w:nsid w:val="4FE256DB"/>
    <w:multiLevelType w:val="hybridMultilevel"/>
    <w:tmpl w:val="5D308570"/>
    <w:lvl w:ilvl="0" w:tplc="2F928324">
      <w:start w:val="1"/>
      <w:numFmt w:val="decimal"/>
      <w:lvlText w:val="%1."/>
      <w:lvlJc w:val="left"/>
      <w:pPr>
        <w:ind w:left="720" w:hanging="360"/>
      </w:pPr>
      <w:rPr>
        <w:rFonts w:asciiTheme="minorHAnsi" w:hAnsiTheme="minorHAnsi" w:cstheme="minorHAnsi"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264" w15:restartNumberingAfterBreak="0">
    <w:nsid w:val="4FEC4733"/>
    <w:multiLevelType w:val="hybridMultilevel"/>
    <w:tmpl w:val="6D76B4E8"/>
    <w:lvl w:ilvl="0" w:tplc="100A0019">
      <w:start w:val="1"/>
      <w:numFmt w:val="lowerLetter"/>
      <w:lvlText w:val="%1."/>
      <w:lvlJc w:val="left"/>
      <w:pPr>
        <w:ind w:left="360" w:hanging="360"/>
      </w:pPr>
      <w:rPr>
        <w:rFonts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265" w15:restartNumberingAfterBreak="0">
    <w:nsid w:val="4FFD5F1B"/>
    <w:multiLevelType w:val="hybridMultilevel"/>
    <w:tmpl w:val="A98E2E1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66" w15:restartNumberingAfterBreak="0">
    <w:nsid w:val="4FFD60AE"/>
    <w:multiLevelType w:val="hybridMultilevel"/>
    <w:tmpl w:val="7806DCE2"/>
    <w:lvl w:ilvl="0" w:tplc="040A0001">
      <w:start w:val="1"/>
      <w:numFmt w:val="bullet"/>
      <w:lvlText w:val=""/>
      <w:lvlJc w:val="left"/>
      <w:pPr>
        <w:ind w:left="36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67" w15:restartNumberingAfterBreak="0">
    <w:nsid w:val="50121483"/>
    <w:multiLevelType w:val="hybridMultilevel"/>
    <w:tmpl w:val="54B29B82"/>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68" w15:restartNumberingAfterBreak="0">
    <w:nsid w:val="50824159"/>
    <w:multiLevelType w:val="hybridMultilevel"/>
    <w:tmpl w:val="3EB4E410"/>
    <w:lvl w:ilvl="0" w:tplc="100A0019">
      <w:start w:val="1"/>
      <w:numFmt w:val="lowerLetter"/>
      <w:lvlText w:val="%1."/>
      <w:lvlJc w:val="left"/>
      <w:pPr>
        <w:ind w:left="72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9" w15:restartNumberingAfterBreak="0">
    <w:nsid w:val="509122C4"/>
    <w:multiLevelType w:val="multilevel"/>
    <w:tmpl w:val="DAA231F0"/>
    <w:lvl w:ilvl="0">
      <w:start w:val="3"/>
      <w:numFmt w:val="decimal"/>
      <w:lvlText w:val="%1"/>
      <w:lvlJc w:val="left"/>
      <w:pPr>
        <w:ind w:left="644" w:hanging="360"/>
      </w:pPr>
      <w:rPr>
        <w:rFonts w:hint="default"/>
      </w:rPr>
    </w:lvl>
    <w:lvl w:ilvl="1">
      <w:start w:val="3"/>
      <w:numFmt w:val="decimal"/>
      <w:lvlText w:val="%1.%2"/>
      <w:lvlJc w:val="left"/>
      <w:pPr>
        <w:ind w:left="643"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0" w15:restartNumberingAfterBreak="0">
    <w:nsid w:val="50F80C95"/>
    <w:multiLevelType w:val="hybridMultilevel"/>
    <w:tmpl w:val="AF2812C6"/>
    <w:lvl w:ilvl="0" w:tplc="040A0005">
      <w:start w:val="1"/>
      <w:numFmt w:val="bullet"/>
      <w:lvlText w:val=""/>
      <w:lvlJc w:val="left"/>
      <w:pPr>
        <w:ind w:left="720" w:hanging="360"/>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71" w15:restartNumberingAfterBreak="0">
    <w:nsid w:val="51057FC5"/>
    <w:multiLevelType w:val="hybridMultilevel"/>
    <w:tmpl w:val="7A464134"/>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72" w15:restartNumberingAfterBreak="0">
    <w:nsid w:val="5117389A"/>
    <w:multiLevelType w:val="hybridMultilevel"/>
    <w:tmpl w:val="D8304312"/>
    <w:lvl w:ilvl="0" w:tplc="1C0A0019">
      <w:start w:val="1"/>
      <w:numFmt w:val="lowerLetter"/>
      <w:lvlText w:val="%1."/>
      <w:lvlJc w:val="left"/>
      <w:pPr>
        <w:ind w:left="720" w:hanging="360"/>
      </w:pPr>
      <w:rPr>
        <w:rFont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273" w15:restartNumberingAfterBreak="0">
    <w:nsid w:val="51DD58C9"/>
    <w:multiLevelType w:val="hybridMultilevel"/>
    <w:tmpl w:val="A12CB55C"/>
    <w:lvl w:ilvl="0" w:tplc="080A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4" w15:restartNumberingAfterBreak="0">
    <w:nsid w:val="52AA1609"/>
    <w:multiLevelType w:val="hybridMultilevel"/>
    <w:tmpl w:val="F5CEA43C"/>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275" w15:restartNumberingAfterBreak="0">
    <w:nsid w:val="52F01621"/>
    <w:multiLevelType w:val="hybridMultilevel"/>
    <w:tmpl w:val="2618E9AE"/>
    <w:lvl w:ilvl="0" w:tplc="6BDA23DA">
      <w:start w:val="1"/>
      <w:numFmt w:val="bullet"/>
      <w:lvlText w:val=""/>
      <w:lvlJc w:val="left"/>
      <w:pPr>
        <w:ind w:left="360" w:hanging="360"/>
      </w:pPr>
      <w:rPr>
        <w:rFonts w:ascii="Wingdings" w:hAnsi="Wingdings" w:hint="default"/>
        <w:color w:val="auto"/>
        <w:sz w:val="24"/>
        <w:szCs w:val="24"/>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76" w15:restartNumberingAfterBreak="0">
    <w:nsid w:val="5362105C"/>
    <w:multiLevelType w:val="hybridMultilevel"/>
    <w:tmpl w:val="7A64F172"/>
    <w:lvl w:ilvl="0" w:tplc="040A0005">
      <w:start w:val="1"/>
      <w:numFmt w:val="bullet"/>
      <w:lvlText w:val=""/>
      <w:lvlJc w:val="left"/>
      <w:pPr>
        <w:ind w:left="360" w:hanging="360"/>
      </w:pPr>
      <w:rPr>
        <w:rFonts w:ascii="Wingdings" w:hAnsi="Wingdings"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277" w15:restartNumberingAfterBreak="0">
    <w:nsid w:val="53B57FEB"/>
    <w:multiLevelType w:val="multilevel"/>
    <w:tmpl w:val="E8941E2E"/>
    <w:lvl w:ilvl="0">
      <w:start w:val="1"/>
      <w:numFmt w:val="lowerLetter"/>
      <w:lvlText w:val="%1."/>
      <w:lvlJc w:val="left"/>
      <w:pPr>
        <w:ind w:left="360" w:hanging="360"/>
      </w:pPr>
      <w:rPr>
        <w:rFont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78" w15:restartNumberingAfterBreak="0">
    <w:nsid w:val="54174AF2"/>
    <w:multiLevelType w:val="hybridMultilevel"/>
    <w:tmpl w:val="AFFE32CC"/>
    <w:lvl w:ilvl="0" w:tplc="B3AC5AC6">
      <w:start w:val="1"/>
      <w:numFmt w:val="bullet"/>
      <w:lvlText w:val="-"/>
      <w:lvlJc w:val="left"/>
      <w:pPr>
        <w:ind w:left="720" w:hanging="360"/>
      </w:pPr>
      <w:rPr>
        <w:rFonts w:ascii="Calibri" w:hAnsi="Calibri" w:hint="default"/>
      </w:rPr>
    </w:lvl>
    <w:lvl w:ilvl="1" w:tplc="B3AC5AC6">
      <w:start w:val="1"/>
      <w:numFmt w:val="bullet"/>
      <w:lvlText w:val="-"/>
      <w:lvlJc w:val="left"/>
      <w:pPr>
        <w:ind w:left="1440" w:hanging="360"/>
      </w:pPr>
      <w:rPr>
        <w:rFonts w:ascii="Calibri"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9" w15:restartNumberingAfterBreak="0">
    <w:nsid w:val="544821A4"/>
    <w:multiLevelType w:val="hybridMultilevel"/>
    <w:tmpl w:val="79CC1D9A"/>
    <w:lvl w:ilvl="0" w:tplc="100A0019">
      <w:start w:val="1"/>
      <w:numFmt w:val="lowerLetter"/>
      <w:lvlText w:val="%1."/>
      <w:lvlJc w:val="left"/>
      <w:pPr>
        <w:ind w:left="1069" w:hanging="360"/>
      </w:pPr>
      <w:rPr>
        <w:rFonts w:hint="default"/>
      </w:rPr>
    </w:lvl>
    <w:lvl w:ilvl="1" w:tplc="08090003" w:tentative="1">
      <w:start w:val="1"/>
      <w:numFmt w:val="bullet"/>
      <w:lvlText w:val="o"/>
      <w:lvlJc w:val="left"/>
      <w:pPr>
        <w:ind w:left="1429" w:hanging="360"/>
      </w:pPr>
      <w:rPr>
        <w:rFonts w:ascii="Courier New" w:hAnsi="Courier New" w:cs="Courier New" w:hint="default"/>
      </w:rPr>
    </w:lvl>
    <w:lvl w:ilvl="2" w:tplc="08090005" w:tentative="1">
      <w:start w:val="1"/>
      <w:numFmt w:val="bullet"/>
      <w:lvlText w:val=""/>
      <w:lvlJc w:val="left"/>
      <w:pPr>
        <w:ind w:left="2149" w:hanging="360"/>
      </w:pPr>
      <w:rPr>
        <w:rFonts w:ascii="Wingdings" w:hAnsi="Wingdings" w:hint="default"/>
      </w:rPr>
    </w:lvl>
    <w:lvl w:ilvl="3" w:tplc="08090001" w:tentative="1">
      <w:start w:val="1"/>
      <w:numFmt w:val="bullet"/>
      <w:lvlText w:val=""/>
      <w:lvlJc w:val="left"/>
      <w:pPr>
        <w:ind w:left="2869" w:hanging="360"/>
      </w:pPr>
      <w:rPr>
        <w:rFonts w:ascii="Symbol" w:hAnsi="Symbol" w:hint="default"/>
      </w:rPr>
    </w:lvl>
    <w:lvl w:ilvl="4" w:tplc="08090003" w:tentative="1">
      <w:start w:val="1"/>
      <w:numFmt w:val="bullet"/>
      <w:lvlText w:val="o"/>
      <w:lvlJc w:val="left"/>
      <w:pPr>
        <w:ind w:left="3589" w:hanging="360"/>
      </w:pPr>
      <w:rPr>
        <w:rFonts w:ascii="Courier New" w:hAnsi="Courier New" w:cs="Courier New" w:hint="default"/>
      </w:rPr>
    </w:lvl>
    <w:lvl w:ilvl="5" w:tplc="08090005" w:tentative="1">
      <w:start w:val="1"/>
      <w:numFmt w:val="bullet"/>
      <w:lvlText w:val=""/>
      <w:lvlJc w:val="left"/>
      <w:pPr>
        <w:ind w:left="4309" w:hanging="360"/>
      </w:pPr>
      <w:rPr>
        <w:rFonts w:ascii="Wingdings" w:hAnsi="Wingdings" w:hint="default"/>
      </w:rPr>
    </w:lvl>
    <w:lvl w:ilvl="6" w:tplc="08090001" w:tentative="1">
      <w:start w:val="1"/>
      <w:numFmt w:val="bullet"/>
      <w:lvlText w:val=""/>
      <w:lvlJc w:val="left"/>
      <w:pPr>
        <w:ind w:left="5029" w:hanging="360"/>
      </w:pPr>
      <w:rPr>
        <w:rFonts w:ascii="Symbol" w:hAnsi="Symbol" w:hint="default"/>
      </w:rPr>
    </w:lvl>
    <w:lvl w:ilvl="7" w:tplc="08090003" w:tentative="1">
      <w:start w:val="1"/>
      <w:numFmt w:val="bullet"/>
      <w:lvlText w:val="o"/>
      <w:lvlJc w:val="left"/>
      <w:pPr>
        <w:ind w:left="5749" w:hanging="360"/>
      </w:pPr>
      <w:rPr>
        <w:rFonts w:ascii="Courier New" w:hAnsi="Courier New" w:cs="Courier New" w:hint="default"/>
      </w:rPr>
    </w:lvl>
    <w:lvl w:ilvl="8" w:tplc="08090005" w:tentative="1">
      <w:start w:val="1"/>
      <w:numFmt w:val="bullet"/>
      <w:lvlText w:val=""/>
      <w:lvlJc w:val="left"/>
      <w:pPr>
        <w:ind w:left="6469" w:hanging="360"/>
      </w:pPr>
      <w:rPr>
        <w:rFonts w:ascii="Wingdings" w:hAnsi="Wingdings" w:hint="default"/>
      </w:rPr>
    </w:lvl>
  </w:abstractNum>
  <w:abstractNum w:abstractNumId="280" w15:restartNumberingAfterBreak="0">
    <w:nsid w:val="54812BBA"/>
    <w:multiLevelType w:val="hybridMultilevel"/>
    <w:tmpl w:val="676643CA"/>
    <w:lvl w:ilvl="0" w:tplc="1C0A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1" w15:restartNumberingAfterBreak="0">
    <w:nsid w:val="55097AD2"/>
    <w:multiLevelType w:val="hybridMultilevel"/>
    <w:tmpl w:val="094E5B8C"/>
    <w:lvl w:ilvl="0" w:tplc="70FE4946">
      <w:start w:val="1"/>
      <w:numFmt w:val="bullet"/>
      <w:pStyle w:val="Apunteoticket"/>
      <w:lvlText w:val="•"/>
      <w:lvlJc w:val="left"/>
      <w:pPr>
        <w:ind w:left="459" w:hanging="360"/>
      </w:pPr>
      <w:rPr>
        <w:rFonts w:ascii="Times" w:hAnsi="Times" w:hint="default"/>
      </w:rPr>
    </w:lvl>
    <w:lvl w:ilvl="1" w:tplc="04090003">
      <w:start w:val="1"/>
      <w:numFmt w:val="bullet"/>
      <w:lvlText w:val="o"/>
      <w:lvlJc w:val="left"/>
      <w:pPr>
        <w:ind w:left="1179" w:hanging="360"/>
      </w:pPr>
      <w:rPr>
        <w:rFonts w:ascii="Courier New" w:hAnsi="Courier New" w:cs="Courier New" w:hint="default"/>
      </w:rPr>
    </w:lvl>
    <w:lvl w:ilvl="2" w:tplc="04090005" w:tentative="1">
      <w:start w:val="1"/>
      <w:numFmt w:val="bullet"/>
      <w:lvlText w:val=""/>
      <w:lvlJc w:val="left"/>
      <w:pPr>
        <w:ind w:left="1899" w:hanging="360"/>
      </w:pPr>
      <w:rPr>
        <w:rFonts w:ascii="Wingdings" w:hAnsi="Wingdings" w:hint="default"/>
      </w:rPr>
    </w:lvl>
    <w:lvl w:ilvl="3" w:tplc="04090001" w:tentative="1">
      <w:start w:val="1"/>
      <w:numFmt w:val="bullet"/>
      <w:lvlText w:val=""/>
      <w:lvlJc w:val="left"/>
      <w:pPr>
        <w:ind w:left="2619" w:hanging="360"/>
      </w:pPr>
      <w:rPr>
        <w:rFonts w:ascii="Symbol" w:hAnsi="Symbol" w:hint="default"/>
      </w:rPr>
    </w:lvl>
    <w:lvl w:ilvl="4" w:tplc="04090003" w:tentative="1">
      <w:start w:val="1"/>
      <w:numFmt w:val="bullet"/>
      <w:lvlText w:val="o"/>
      <w:lvlJc w:val="left"/>
      <w:pPr>
        <w:ind w:left="3339" w:hanging="360"/>
      </w:pPr>
      <w:rPr>
        <w:rFonts w:ascii="Courier New" w:hAnsi="Courier New" w:cs="Courier New" w:hint="default"/>
      </w:rPr>
    </w:lvl>
    <w:lvl w:ilvl="5" w:tplc="04090005" w:tentative="1">
      <w:start w:val="1"/>
      <w:numFmt w:val="bullet"/>
      <w:lvlText w:val=""/>
      <w:lvlJc w:val="left"/>
      <w:pPr>
        <w:ind w:left="4059" w:hanging="360"/>
      </w:pPr>
      <w:rPr>
        <w:rFonts w:ascii="Wingdings" w:hAnsi="Wingdings" w:hint="default"/>
      </w:rPr>
    </w:lvl>
    <w:lvl w:ilvl="6" w:tplc="04090001" w:tentative="1">
      <w:start w:val="1"/>
      <w:numFmt w:val="bullet"/>
      <w:lvlText w:val=""/>
      <w:lvlJc w:val="left"/>
      <w:pPr>
        <w:ind w:left="4779" w:hanging="360"/>
      </w:pPr>
      <w:rPr>
        <w:rFonts w:ascii="Symbol" w:hAnsi="Symbol" w:hint="default"/>
      </w:rPr>
    </w:lvl>
    <w:lvl w:ilvl="7" w:tplc="04090003" w:tentative="1">
      <w:start w:val="1"/>
      <w:numFmt w:val="bullet"/>
      <w:lvlText w:val="o"/>
      <w:lvlJc w:val="left"/>
      <w:pPr>
        <w:ind w:left="5499" w:hanging="360"/>
      </w:pPr>
      <w:rPr>
        <w:rFonts w:ascii="Courier New" w:hAnsi="Courier New" w:cs="Courier New" w:hint="default"/>
      </w:rPr>
    </w:lvl>
    <w:lvl w:ilvl="8" w:tplc="04090005" w:tentative="1">
      <w:start w:val="1"/>
      <w:numFmt w:val="bullet"/>
      <w:lvlText w:val=""/>
      <w:lvlJc w:val="left"/>
      <w:pPr>
        <w:ind w:left="6219" w:hanging="360"/>
      </w:pPr>
      <w:rPr>
        <w:rFonts w:ascii="Wingdings" w:hAnsi="Wingdings" w:hint="default"/>
      </w:rPr>
    </w:lvl>
  </w:abstractNum>
  <w:abstractNum w:abstractNumId="282" w15:restartNumberingAfterBreak="0">
    <w:nsid w:val="559A4005"/>
    <w:multiLevelType w:val="hybridMultilevel"/>
    <w:tmpl w:val="78E09668"/>
    <w:lvl w:ilvl="0" w:tplc="1C0A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3" w15:restartNumberingAfterBreak="0">
    <w:nsid w:val="55CC3F08"/>
    <w:multiLevelType w:val="hybridMultilevel"/>
    <w:tmpl w:val="B12696F2"/>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284" w15:restartNumberingAfterBreak="0">
    <w:nsid w:val="55E45EE6"/>
    <w:multiLevelType w:val="multilevel"/>
    <w:tmpl w:val="C3181FFE"/>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5" w15:restartNumberingAfterBreak="0">
    <w:nsid w:val="56360DB4"/>
    <w:multiLevelType w:val="multilevel"/>
    <w:tmpl w:val="FA60C0E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6" w15:restartNumberingAfterBreak="0">
    <w:nsid w:val="566B0300"/>
    <w:multiLevelType w:val="hybridMultilevel"/>
    <w:tmpl w:val="AEAC7C00"/>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287" w15:restartNumberingAfterBreak="0">
    <w:nsid w:val="567E7021"/>
    <w:multiLevelType w:val="multilevel"/>
    <w:tmpl w:val="97984A26"/>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8" w15:restartNumberingAfterBreak="0">
    <w:nsid w:val="568E556A"/>
    <w:multiLevelType w:val="multilevel"/>
    <w:tmpl w:val="2C7ABA90"/>
    <w:lvl w:ilvl="0">
      <w:start w:val="1"/>
      <w:numFmt w:val="bullet"/>
      <w:pStyle w:val="BoxBullet1"/>
      <w:lvlText w:val=""/>
      <w:lvlJc w:val="left"/>
      <w:pPr>
        <w:tabs>
          <w:tab w:val="num" w:pos="284"/>
        </w:tabs>
        <w:ind w:left="284" w:hanging="284"/>
      </w:pPr>
      <w:rPr>
        <w:rFonts w:ascii="Wingdings" w:hAnsi="Wingdings" w:hint="default"/>
      </w:rPr>
    </w:lvl>
    <w:lvl w:ilvl="1">
      <w:start w:val="1"/>
      <w:numFmt w:val="bullet"/>
      <w:pStyle w:val="BoxBullet2"/>
      <w:lvlText w:val="–"/>
      <w:lvlJc w:val="left"/>
      <w:pPr>
        <w:tabs>
          <w:tab w:val="num" w:pos="567"/>
        </w:tabs>
        <w:ind w:left="567" w:hanging="283"/>
      </w:pPr>
      <w:rPr>
        <w:rFonts w:ascii="Times New Roman" w:hAnsi="Times New Roman" w:cs="Times New Roman" w:hint="default"/>
      </w:rPr>
    </w:lvl>
    <w:lvl w:ilvl="2">
      <w:start w:val="1"/>
      <w:numFmt w:val="none"/>
      <w:suff w:val="nothing"/>
      <w:lvlText w:val=""/>
      <w:lvlJc w:val="left"/>
      <w:pPr>
        <w:ind w:left="567" w:firstLine="0"/>
      </w:pPr>
      <w:rPr>
        <w:rFonts w:hint="default"/>
      </w:rPr>
    </w:lvl>
    <w:lvl w:ilvl="3">
      <w:start w:val="1"/>
      <w:numFmt w:val="none"/>
      <w:suff w:val="nothing"/>
      <w:lvlText w:val=""/>
      <w:lvlJc w:val="left"/>
      <w:pPr>
        <w:ind w:left="567" w:firstLine="0"/>
      </w:pPr>
      <w:rPr>
        <w:rFonts w:hint="default"/>
      </w:rPr>
    </w:lvl>
    <w:lvl w:ilvl="4">
      <w:start w:val="1"/>
      <w:numFmt w:val="none"/>
      <w:suff w:val="nothing"/>
      <w:lvlText w:val=""/>
      <w:lvlJc w:val="left"/>
      <w:pPr>
        <w:ind w:left="567" w:firstLine="0"/>
      </w:pPr>
      <w:rPr>
        <w:rFonts w:hint="default"/>
      </w:rPr>
    </w:lvl>
    <w:lvl w:ilvl="5">
      <w:start w:val="1"/>
      <w:numFmt w:val="none"/>
      <w:suff w:val="nothing"/>
      <w:lvlText w:val=""/>
      <w:lvlJc w:val="left"/>
      <w:pPr>
        <w:ind w:left="567" w:firstLine="0"/>
      </w:pPr>
      <w:rPr>
        <w:rFonts w:hint="default"/>
      </w:rPr>
    </w:lvl>
    <w:lvl w:ilvl="6">
      <w:start w:val="1"/>
      <w:numFmt w:val="none"/>
      <w:suff w:val="nothing"/>
      <w:lvlText w:val=""/>
      <w:lvlJc w:val="left"/>
      <w:pPr>
        <w:ind w:left="567" w:firstLine="0"/>
      </w:pPr>
      <w:rPr>
        <w:rFonts w:hint="default"/>
      </w:rPr>
    </w:lvl>
    <w:lvl w:ilvl="7">
      <w:start w:val="1"/>
      <w:numFmt w:val="none"/>
      <w:suff w:val="nothing"/>
      <w:lvlText w:val=""/>
      <w:lvlJc w:val="left"/>
      <w:pPr>
        <w:ind w:left="567" w:firstLine="0"/>
      </w:pPr>
      <w:rPr>
        <w:rFonts w:hint="default"/>
      </w:rPr>
    </w:lvl>
    <w:lvl w:ilvl="8">
      <w:start w:val="1"/>
      <w:numFmt w:val="none"/>
      <w:lvlRestart w:val="2"/>
      <w:suff w:val="nothing"/>
      <w:lvlText w:val=""/>
      <w:lvlJc w:val="left"/>
      <w:pPr>
        <w:ind w:left="567" w:firstLine="0"/>
      </w:pPr>
      <w:rPr>
        <w:rFonts w:hint="default"/>
      </w:rPr>
    </w:lvl>
  </w:abstractNum>
  <w:abstractNum w:abstractNumId="289" w15:restartNumberingAfterBreak="0">
    <w:nsid w:val="56B64F03"/>
    <w:multiLevelType w:val="hybridMultilevel"/>
    <w:tmpl w:val="CE58BB80"/>
    <w:lvl w:ilvl="0" w:tplc="B3AC5AC6">
      <w:start w:val="1"/>
      <w:numFmt w:val="bullet"/>
      <w:lvlText w:val="-"/>
      <w:lvlJc w:val="left"/>
      <w:pPr>
        <w:ind w:left="720" w:hanging="360"/>
      </w:pPr>
      <w:rPr>
        <w:rFonts w:ascii="Calibri"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0" w15:restartNumberingAfterBreak="0">
    <w:nsid w:val="57243CF0"/>
    <w:multiLevelType w:val="hybridMultilevel"/>
    <w:tmpl w:val="4462B5E6"/>
    <w:lvl w:ilvl="0" w:tplc="100A0019">
      <w:start w:val="1"/>
      <w:numFmt w:val="lowerLetter"/>
      <w:lvlText w:val="%1."/>
      <w:lvlJc w:val="left"/>
      <w:pPr>
        <w:ind w:left="360" w:hanging="360"/>
      </w:pPr>
    </w:lvl>
    <w:lvl w:ilvl="1" w:tplc="040A0003">
      <w:start w:val="1"/>
      <w:numFmt w:val="bullet"/>
      <w:lvlText w:val="o"/>
      <w:lvlJc w:val="left"/>
      <w:pPr>
        <w:ind w:left="1080" w:hanging="360"/>
      </w:pPr>
      <w:rPr>
        <w:rFonts w:ascii="Courier New" w:hAnsi="Courier New" w:cs="Courier New" w:hint="default"/>
      </w:rPr>
    </w:lvl>
    <w:lvl w:ilvl="2" w:tplc="040A0005">
      <w:start w:val="1"/>
      <w:numFmt w:val="bullet"/>
      <w:lvlText w:val=""/>
      <w:lvlJc w:val="left"/>
      <w:pPr>
        <w:ind w:left="1800" w:hanging="360"/>
      </w:pPr>
      <w:rPr>
        <w:rFonts w:ascii="Wingdings" w:hAnsi="Wingdings" w:hint="default"/>
      </w:rPr>
    </w:lvl>
    <w:lvl w:ilvl="3" w:tplc="040A0001">
      <w:start w:val="1"/>
      <w:numFmt w:val="bullet"/>
      <w:lvlText w:val=""/>
      <w:lvlJc w:val="left"/>
      <w:pPr>
        <w:ind w:left="2520" w:hanging="360"/>
      </w:pPr>
      <w:rPr>
        <w:rFonts w:ascii="Symbol" w:hAnsi="Symbol" w:hint="default"/>
      </w:rPr>
    </w:lvl>
    <w:lvl w:ilvl="4" w:tplc="040A0003">
      <w:start w:val="1"/>
      <w:numFmt w:val="bullet"/>
      <w:lvlText w:val="o"/>
      <w:lvlJc w:val="left"/>
      <w:pPr>
        <w:ind w:left="3240" w:hanging="360"/>
      </w:pPr>
      <w:rPr>
        <w:rFonts w:ascii="Courier New" w:hAnsi="Courier New" w:cs="Courier New" w:hint="default"/>
      </w:rPr>
    </w:lvl>
    <w:lvl w:ilvl="5" w:tplc="040A0005">
      <w:start w:val="1"/>
      <w:numFmt w:val="bullet"/>
      <w:lvlText w:val=""/>
      <w:lvlJc w:val="left"/>
      <w:pPr>
        <w:ind w:left="3960" w:hanging="360"/>
      </w:pPr>
      <w:rPr>
        <w:rFonts w:ascii="Wingdings" w:hAnsi="Wingdings" w:hint="default"/>
      </w:rPr>
    </w:lvl>
    <w:lvl w:ilvl="6" w:tplc="040A0001">
      <w:start w:val="1"/>
      <w:numFmt w:val="bullet"/>
      <w:lvlText w:val=""/>
      <w:lvlJc w:val="left"/>
      <w:pPr>
        <w:ind w:left="4680" w:hanging="360"/>
      </w:pPr>
      <w:rPr>
        <w:rFonts w:ascii="Symbol" w:hAnsi="Symbol" w:hint="default"/>
      </w:rPr>
    </w:lvl>
    <w:lvl w:ilvl="7" w:tplc="040A0003">
      <w:start w:val="1"/>
      <w:numFmt w:val="bullet"/>
      <w:lvlText w:val="o"/>
      <w:lvlJc w:val="left"/>
      <w:pPr>
        <w:ind w:left="5400" w:hanging="360"/>
      </w:pPr>
      <w:rPr>
        <w:rFonts w:ascii="Courier New" w:hAnsi="Courier New" w:cs="Courier New" w:hint="default"/>
      </w:rPr>
    </w:lvl>
    <w:lvl w:ilvl="8" w:tplc="040A0005">
      <w:start w:val="1"/>
      <w:numFmt w:val="bullet"/>
      <w:lvlText w:val=""/>
      <w:lvlJc w:val="left"/>
      <w:pPr>
        <w:ind w:left="6120" w:hanging="360"/>
      </w:pPr>
      <w:rPr>
        <w:rFonts w:ascii="Wingdings" w:hAnsi="Wingdings" w:hint="default"/>
      </w:rPr>
    </w:lvl>
  </w:abstractNum>
  <w:abstractNum w:abstractNumId="291" w15:restartNumberingAfterBreak="0">
    <w:nsid w:val="578130D9"/>
    <w:multiLevelType w:val="hybridMultilevel"/>
    <w:tmpl w:val="4F00387A"/>
    <w:lvl w:ilvl="0" w:tplc="1C0A0019">
      <w:start w:val="1"/>
      <w:numFmt w:val="lowerLetter"/>
      <w:lvlText w:val="%1."/>
      <w:lvlJc w:val="left"/>
      <w:pPr>
        <w:ind w:left="754" w:hanging="360"/>
      </w:pPr>
      <w:rPr>
        <w:rFonts w:hint="default"/>
      </w:rPr>
    </w:lvl>
    <w:lvl w:ilvl="1" w:tplc="04090019" w:tentative="1">
      <w:start w:val="1"/>
      <w:numFmt w:val="lowerLetter"/>
      <w:lvlText w:val="%2."/>
      <w:lvlJc w:val="left"/>
      <w:pPr>
        <w:ind w:left="1474" w:hanging="360"/>
      </w:pPr>
    </w:lvl>
    <w:lvl w:ilvl="2" w:tplc="0409001B" w:tentative="1">
      <w:start w:val="1"/>
      <w:numFmt w:val="lowerRoman"/>
      <w:lvlText w:val="%3."/>
      <w:lvlJc w:val="right"/>
      <w:pPr>
        <w:ind w:left="2194" w:hanging="180"/>
      </w:pPr>
    </w:lvl>
    <w:lvl w:ilvl="3" w:tplc="0409000F" w:tentative="1">
      <w:start w:val="1"/>
      <w:numFmt w:val="decimal"/>
      <w:lvlText w:val="%4."/>
      <w:lvlJc w:val="left"/>
      <w:pPr>
        <w:ind w:left="2914" w:hanging="360"/>
      </w:pPr>
    </w:lvl>
    <w:lvl w:ilvl="4" w:tplc="04090019" w:tentative="1">
      <w:start w:val="1"/>
      <w:numFmt w:val="lowerLetter"/>
      <w:lvlText w:val="%5."/>
      <w:lvlJc w:val="left"/>
      <w:pPr>
        <w:ind w:left="3634" w:hanging="360"/>
      </w:pPr>
    </w:lvl>
    <w:lvl w:ilvl="5" w:tplc="0409001B" w:tentative="1">
      <w:start w:val="1"/>
      <w:numFmt w:val="lowerRoman"/>
      <w:lvlText w:val="%6."/>
      <w:lvlJc w:val="right"/>
      <w:pPr>
        <w:ind w:left="4354" w:hanging="180"/>
      </w:pPr>
    </w:lvl>
    <w:lvl w:ilvl="6" w:tplc="0409000F" w:tentative="1">
      <w:start w:val="1"/>
      <w:numFmt w:val="decimal"/>
      <w:lvlText w:val="%7."/>
      <w:lvlJc w:val="left"/>
      <w:pPr>
        <w:ind w:left="5074" w:hanging="360"/>
      </w:pPr>
    </w:lvl>
    <w:lvl w:ilvl="7" w:tplc="04090019" w:tentative="1">
      <w:start w:val="1"/>
      <w:numFmt w:val="lowerLetter"/>
      <w:lvlText w:val="%8."/>
      <w:lvlJc w:val="left"/>
      <w:pPr>
        <w:ind w:left="5794" w:hanging="360"/>
      </w:pPr>
    </w:lvl>
    <w:lvl w:ilvl="8" w:tplc="0409001B" w:tentative="1">
      <w:start w:val="1"/>
      <w:numFmt w:val="lowerRoman"/>
      <w:lvlText w:val="%9."/>
      <w:lvlJc w:val="right"/>
      <w:pPr>
        <w:ind w:left="6514" w:hanging="180"/>
      </w:pPr>
    </w:lvl>
  </w:abstractNum>
  <w:abstractNum w:abstractNumId="292" w15:restartNumberingAfterBreak="0">
    <w:nsid w:val="57B7433E"/>
    <w:multiLevelType w:val="multilevel"/>
    <w:tmpl w:val="373C8336"/>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3" w15:restartNumberingAfterBreak="0">
    <w:nsid w:val="585C7E23"/>
    <w:multiLevelType w:val="hybridMultilevel"/>
    <w:tmpl w:val="6D720D56"/>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94" w15:restartNumberingAfterBreak="0">
    <w:nsid w:val="594026A5"/>
    <w:multiLevelType w:val="hybridMultilevel"/>
    <w:tmpl w:val="7828174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5" w15:restartNumberingAfterBreak="0">
    <w:nsid w:val="594C061C"/>
    <w:multiLevelType w:val="multilevel"/>
    <w:tmpl w:val="58B8E73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6" w15:restartNumberingAfterBreak="0">
    <w:nsid w:val="598875EB"/>
    <w:multiLevelType w:val="hybridMultilevel"/>
    <w:tmpl w:val="26981BC6"/>
    <w:lvl w:ilvl="0" w:tplc="100A0017">
      <w:start w:val="1"/>
      <w:numFmt w:val="lowerLetter"/>
      <w:lvlText w:val="%1)"/>
      <w:lvlJc w:val="left"/>
      <w:pPr>
        <w:ind w:left="720" w:hanging="360"/>
      </w:pPr>
      <w:rPr>
        <w:rFonts w:hint="default"/>
        <w:color w:val="auto"/>
        <w:sz w:val="24"/>
        <w:szCs w:val="24"/>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97" w15:restartNumberingAfterBreak="0">
    <w:nsid w:val="59D16077"/>
    <w:multiLevelType w:val="hybridMultilevel"/>
    <w:tmpl w:val="251E71C0"/>
    <w:lvl w:ilvl="0" w:tplc="100A0019">
      <w:start w:val="1"/>
      <w:numFmt w:val="lowerLetter"/>
      <w:lvlText w:val="%1."/>
      <w:lvlJc w:val="left"/>
      <w:pPr>
        <w:ind w:left="72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8" w15:restartNumberingAfterBreak="0">
    <w:nsid w:val="5A0826E6"/>
    <w:multiLevelType w:val="multilevel"/>
    <w:tmpl w:val="1A78CC8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9" w15:restartNumberingAfterBreak="0">
    <w:nsid w:val="5A215C4B"/>
    <w:multiLevelType w:val="multilevel"/>
    <w:tmpl w:val="58B8E73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0" w15:restartNumberingAfterBreak="0">
    <w:nsid w:val="5B4A6EA8"/>
    <w:multiLevelType w:val="multilevel"/>
    <w:tmpl w:val="4BB02B4E"/>
    <w:lvl w:ilvl="0">
      <w:start w:val="1"/>
      <w:numFmt w:val="decimal"/>
      <w:pStyle w:val="Numberedtext"/>
      <w:lvlText w:val="%1."/>
      <w:lvlJc w:val="left"/>
      <w:pPr>
        <w:tabs>
          <w:tab w:val="num" w:pos="1004"/>
        </w:tabs>
        <w:ind w:left="1004" w:hanging="284"/>
      </w:pPr>
      <w:rPr>
        <w:rFonts w:hint="default"/>
      </w:rPr>
    </w:lvl>
    <w:lvl w:ilvl="1">
      <w:start w:val="1"/>
      <w:numFmt w:val="lowerLetter"/>
      <w:lvlText w:val="%2."/>
      <w:lvlJc w:val="left"/>
      <w:pPr>
        <w:tabs>
          <w:tab w:val="num" w:pos="1287"/>
        </w:tabs>
        <w:ind w:left="1287" w:hanging="283"/>
      </w:pPr>
      <w:rPr>
        <w:rFonts w:hint="default"/>
      </w:rPr>
    </w:lvl>
    <w:lvl w:ilvl="2">
      <w:start w:val="1"/>
      <w:numFmt w:val="lowerRoman"/>
      <w:lvlText w:val="%3."/>
      <w:lvlJc w:val="left"/>
      <w:pPr>
        <w:tabs>
          <w:tab w:val="num" w:pos="1571"/>
        </w:tabs>
        <w:ind w:left="1571" w:hanging="284"/>
      </w:pPr>
      <w:rPr>
        <w:rFonts w:hint="default"/>
      </w:rPr>
    </w:lvl>
    <w:lvl w:ilvl="3">
      <w:start w:val="1"/>
      <w:numFmt w:val="none"/>
      <w:lvlText w:val=""/>
      <w:lvlJc w:val="left"/>
      <w:pPr>
        <w:tabs>
          <w:tab w:val="num" w:pos="1571"/>
        </w:tabs>
        <w:ind w:left="1571" w:firstLine="0"/>
      </w:pPr>
      <w:rPr>
        <w:rFonts w:hint="default"/>
      </w:rPr>
    </w:lvl>
    <w:lvl w:ilvl="4">
      <w:start w:val="1"/>
      <w:numFmt w:val="none"/>
      <w:lvlText w:val=""/>
      <w:lvlJc w:val="left"/>
      <w:pPr>
        <w:tabs>
          <w:tab w:val="num" w:pos="1571"/>
        </w:tabs>
        <w:ind w:left="1571" w:firstLine="0"/>
      </w:pPr>
      <w:rPr>
        <w:rFonts w:hint="default"/>
      </w:rPr>
    </w:lvl>
    <w:lvl w:ilvl="5">
      <w:start w:val="1"/>
      <w:numFmt w:val="none"/>
      <w:lvlText w:val=""/>
      <w:lvlJc w:val="left"/>
      <w:pPr>
        <w:tabs>
          <w:tab w:val="num" w:pos="1571"/>
        </w:tabs>
        <w:ind w:left="1571" w:firstLine="0"/>
      </w:pPr>
      <w:rPr>
        <w:rFonts w:hint="default"/>
      </w:rPr>
    </w:lvl>
    <w:lvl w:ilvl="6">
      <w:start w:val="1"/>
      <w:numFmt w:val="none"/>
      <w:lvlText w:val=""/>
      <w:lvlJc w:val="left"/>
      <w:pPr>
        <w:tabs>
          <w:tab w:val="num" w:pos="1571"/>
        </w:tabs>
        <w:ind w:left="1571" w:firstLine="0"/>
      </w:pPr>
      <w:rPr>
        <w:rFonts w:hint="default"/>
      </w:rPr>
    </w:lvl>
    <w:lvl w:ilvl="7">
      <w:start w:val="1"/>
      <w:numFmt w:val="none"/>
      <w:lvlText w:val=""/>
      <w:lvlJc w:val="left"/>
      <w:pPr>
        <w:tabs>
          <w:tab w:val="num" w:pos="1571"/>
        </w:tabs>
        <w:ind w:left="1571" w:firstLine="0"/>
      </w:pPr>
      <w:rPr>
        <w:rFonts w:hint="default"/>
      </w:rPr>
    </w:lvl>
    <w:lvl w:ilvl="8">
      <w:start w:val="1"/>
      <w:numFmt w:val="none"/>
      <w:lvlRestart w:val="3"/>
      <w:lvlText w:val=""/>
      <w:lvlJc w:val="left"/>
      <w:pPr>
        <w:tabs>
          <w:tab w:val="num" w:pos="1571"/>
        </w:tabs>
        <w:ind w:left="1571" w:firstLine="0"/>
      </w:pPr>
      <w:rPr>
        <w:rFonts w:hint="default"/>
      </w:rPr>
    </w:lvl>
  </w:abstractNum>
  <w:abstractNum w:abstractNumId="301" w15:restartNumberingAfterBreak="0">
    <w:nsid w:val="5B5B075B"/>
    <w:multiLevelType w:val="hybridMultilevel"/>
    <w:tmpl w:val="A9F22CB8"/>
    <w:lvl w:ilvl="0" w:tplc="100A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2" w15:restartNumberingAfterBreak="0">
    <w:nsid w:val="5BB15DC2"/>
    <w:multiLevelType w:val="multilevel"/>
    <w:tmpl w:val="6BFAEEBC"/>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03" w15:restartNumberingAfterBreak="0">
    <w:nsid w:val="5CCA7B62"/>
    <w:multiLevelType w:val="hybridMultilevel"/>
    <w:tmpl w:val="7E88B348"/>
    <w:lvl w:ilvl="0" w:tplc="080A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4" w15:restartNumberingAfterBreak="0">
    <w:nsid w:val="5D293315"/>
    <w:multiLevelType w:val="hybridMultilevel"/>
    <w:tmpl w:val="C80C0C5C"/>
    <w:lvl w:ilvl="0" w:tplc="6BDA23DA">
      <w:start w:val="1"/>
      <w:numFmt w:val="bullet"/>
      <w:lvlText w:val=""/>
      <w:lvlJc w:val="left"/>
      <w:pPr>
        <w:ind w:left="360" w:hanging="360"/>
      </w:pPr>
      <w:rPr>
        <w:rFonts w:ascii="Wingdings" w:hAnsi="Wingdings" w:hint="default"/>
        <w:color w:val="auto"/>
        <w:sz w:val="24"/>
        <w:szCs w:val="24"/>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05" w15:restartNumberingAfterBreak="0">
    <w:nsid w:val="5D6C51C1"/>
    <w:multiLevelType w:val="multilevel"/>
    <w:tmpl w:val="5A7EFDD8"/>
    <w:lvl w:ilvl="0">
      <w:start w:val="6"/>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146" w:hanging="720"/>
      </w:pPr>
      <w:rPr>
        <w:rFonts w:hint="default"/>
      </w:rPr>
    </w:lvl>
    <w:lvl w:ilvl="3">
      <w:start w:val="1"/>
      <w:numFmt w:val="decimal"/>
      <w:lvlText w:val="%1.%2.%3.%4"/>
      <w:lvlJc w:val="left"/>
      <w:pPr>
        <w:ind w:left="1571"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06" w15:restartNumberingAfterBreak="0">
    <w:nsid w:val="5E49733E"/>
    <w:multiLevelType w:val="multilevel"/>
    <w:tmpl w:val="8DF204F0"/>
    <w:lvl w:ilvl="0">
      <w:start w:val="1"/>
      <w:numFmt w:val="decimal"/>
      <w:pStyle w:val="TableNumberedText"/>
      <w:lvlText w:val="%1."/>
      <w:lvlJc w:val="left"/>
      <w:pPr>
        <w:tabs>
          <w:tab w:val="num" w:pos="284"/>
        </w:tabs>
        <w:ind w:left="284" w:hanging="284"/>
      </w:pPr>
      <w:rPr>
        <w:rFonts w:hint="default"/>
      </w:rPr>
    </w:lvl>
    <w:lvl w:ilvl="1">
      <w:start w:val="1"/>
      <w:numFmt w:val="lowerLetter"/>
      <w:lvlText w:val="%2."/>
      <w:lvlJc w:val="left"/>
      <w:pPr>
        <w:tabs>
          <w:tab w:val="num" w:pos="567"/>
        </w:tabs>
        <w:ind w:left="567" w:hanging="283"/>
      </w:pPr>
      <w:rPr>
        <w:rFonts w:hint="default"/>
      </w:rPr>
    </w:lvl>
    <w:lvl w:ilvl="2">
      <w:start w:val="1"/>
      <w:numFmt w:val="none"/>
      <w:suff w:val="nothing"/>
      <w:lvlText w:val=""/>
      <w:lvlJc w:val="left"/>
      <w:pPr>
        <w:ind w:left="567" w:firstLine="0"/>
      </w:pPr>
      <w:rPr>
        <w:rFonts w:hint="default"/>
      </w:rPr>
    </w:lvl>
    <w:lvl w:ilvl="3">
      <w:start w:val="1"/>
      <w:numFmt w:val="none"/>
      <w:suff w:val="nothing"/>
      <w:lvlText w:val=""/>
      <w:lvlJc w:val="left"/>
      <w:pPr>
        <w:ind w:left="567" w:firstLine="0"/>
      </w:pPr>
      <w:rPr>
        <w:rFonts w:hint="default"/>
      </w:rPr>
    </w:lvl>
    <w:lvl w:ilvl="4">
      <w:start w:val="1"/>
      <w:numFmt w:val="none"/>
      <w:suff w:val="nothing"/>
      <w:lvlText w:val=""/>
      <w:lvlJc w:val="left"/>
      <w:pPr>
        <w:ind w:left="567" w:firstLine="0"/>
      </w:pPr>
      <w:rPr>
        <w:rFonts w:hint="default"/>
      </w:rPr>
    </w:lvl>
    <w:lvl w:ilvl="5">
      <w:start w:val="1"/>
      <w:numFmt w:val="none"/>
      <w:suff w:val="nothing"/>
      <w:lvlText w:val=""/>
      <w:lvlJc w:val="left"/>
      <w:pPr>
        <w:ind w:left="567" w:firstLine="0"/>
      </w:pPr>
      <w:rPr>
        <w:rFonts w:hint="default"/>
      </w:rPr>
    </w:lvl>
    <w:lvl w:ilvl="6">
      <w:start w:val="1"/>
      <w:numFmt w:val="none"/>
      <w:suff w:val="nothing"/>
      <w:lvlText w:val=""/>
      <w:lvlJc w:val="left"/>
      <w:pPr>
        <w:ind w:left="567" w:firstLine="0"/>
      </w:pPr>
      <w:rPr>
        <w:rFonts w:hint="default"/>
      </w:rPr>
    </w:lvl>
    <w:lvl w:ilvl="7">
      <w:start w:val="1"/>
      <w:numFmt w:val="none"/>
      <w:suff w:val="nothing"/>
      <w:lvlText w:val=""/>
      <w:lvlJc w:val="left"/>
      <w:pPr>
        <w:ind w:left="567" w:firstLine="0"/>
      </w:pPr>
      <w:rPr>
        <w:rFonts w:hint="default"/>
      </w:rPr>
    </w:lvl>
    <w:lvl w:ilvl="8">
      <w:start w:val="1"/>
      <w:numFmt w:val="none"/>
      <w:suff w:val="nothing"/>
      <w:lvlText w:val=""/>
      <w:lvlJc w:val="left"/>
      <w:pPr>
        <w:ind w:left="567" w:firstLine="0"/>
      </w:pPr>
      <w:rPr>
        <w:rFonts w:hint="default"/>
      </w:rPr>
    </w:lvl>
  </w:abstractNum>
  <w:abstractNum w:abstractNumId="307" w15:restartNumberingAfterBreak="0">
    <w:nsid w:val="5E5773BA"/>
    <w:multiLevelType w:val="hybridMultilevel"/>
    <w:tmpl w:val="AA32E018"/>
    <w:lvl w:ilvl="0" w:tplc="8A44DA5A">
      <w:start w:val="1"/>
      <w:numFmt w:val="lowerLetter"/>
      <w:lvlText w:val="%1."/>
      <w:lvlJc w:val="left"/>
      <w:pPr>
        <w:ind w:left="720" w:hanging="360"/>
      </w:pPr>
      <w:rPr>
        <w:rFonts w:hint="default"/>
        <w:b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08" w15:restartNumberingAfterBreak="0">
    <w:nsid w:val="5F254EB0"/>
    <w:multiLevelType w:val="hybridMultilevel"/>
    <w:tmpl w:val="DF0A2EA2"/>
    <w:lvl w:ilvl="0" w:tplc="100A0019">
      <w:start w:val="1"/>
      <w:numFmt w:val="lowerLetter"/>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309" w15:restartNumberingAfterBreak="0">
    <w:nsid w:val="5F7B315E"/>
    <w:multiLevelType w:val="multilevel"/>
    <w:tmpl w:val="05BC5EA4"/>
    <w:lvl w:ilvl="0">
      <w:start w:val="1"/>
      <w:numFmt w:val="decimal"/>
      <w:pStyle w:val="Ttulo1"/>
      <w:lvlText w:val="%1"/>
      <w:lvlJc w:val="left"/>
      <w:pPr>
        <w:ind w:left="5676" w:hanging="432"/>
      </w:pPr>
    </w:lvl>
    <w:lvl w:ilvl="1">
      <w:start w:val="1"/>
      <w:numFmt w:val="decimal"/>
      <w:pStyle w:val="Ttulo2"/>
      <w:lvlText w:val="%1.%2"/>
      <w:lvlJc w:val="left"/>
      <w:pPr>
        <w:ind w:left="4404" w:hanging="576"/>
      </w:pPr>
      <w:rPr>
        <w:b/>
        <w:color w:val="000000" w:themeColor="text1"/>
        <w:sz w:val="24"/>
      </w:rPr>
    </w:lvl>
    <w:lvl w:ilvl="2">
      <w:start w:val="1"/>
      <w:numFmt w:val="decimal"/>
      <w:pStyle w:val="Ttulo3"/>
      <w:lvlText w:val="%1.%2.%3"/>
      <w:lvlJc w:val="left"/>
      <w:pPr>
        <w:ind w:left="720" w:hanging="720"/>
      </w:pPr>
    </w:lvl>
    <w:lvl w:ilvl="3">
      <w:start w:val="1"/>
      <w:numFmt w:val="decimal"/>
      <w:pStyle w:val="Ttulo4"/>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310" w15:restartNumberingAfterBreak="0">
    <w:nsid w:val="5F8F3B8C"/>
    <w:multiLevelType w:val="hybridMultilevel"/>
    <w:tmpl w:val="6CC08A48"/>
    <w:lvl w:ilvl="0" w:tplc="3A8801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1" w15:restartNumberingAfterBreak="0">
    <w:nsid w:val="5FC1498C"/>
    <w:multiLevelType w:val="hybridMultilevel"/>
    <w:tmpl w:val="B1BC0CA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2" w15:restartNumberingAfterBreak="0">
    <w:nsid w:val="5FDF4AEB"/>
    <w:multiLevelType w:val="hybridMultilevel"/>
    <w:tmpl w:val="9766A7AC"/>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313" w15:restartNumberingAfterBreak="0">
    <w:nsid w:val="60933C7D"/>
    <w:multiLevelType w:val="multilevel"/>
    <w:tmpl w:val="7D6E8872"/>
    <w:lvl w:ilvl="0">
      <w:start w:val="1"/>
      <w:numFmt w:val="lowerLetter"/>
      <w:lvlText w:val="%1."/>
      <w:lvlJc w:val="left"/>
      <w:pPr>
        <w:ind w:left="754" w:hanging="360"/>
      </w:pPr>
      <w:rPr>
        <w:rFonts w:hint="default"/>
      </w:rPr>
    </w:lvl>
    <w:lvl w:ilvl="1">
      <w:start w:val="1"/>
      <w:numFmt w:val="lowerLetter"/>
      <w:lvlText w:val="%2."/>
      <w:lvlJc w:val="left"/>
      <w:pPr>
        <w:ind w:left="1474" w:hanging="360"/>
      </w:pPr>
    </w:lvl>
    <w:lvl w:ilvl="2">
      <w:start w:val="1"/>
      <w:numFmt w:val="lowerRoman"/>
      <w:lvlText w:val="%3."/>
      <w:lvlJc w:val="right"/>
      <w:pPr>
        <w:ind w:left="2194" w:hanging="180"/>
      </w:pPr>
    </w:lvl>
    <w:lvl w:ilvl="3">
      <w:start w:val="1"/>
      <w:numFmt w:val="decimal"/>
      <w:lvlText w:val="%4."/>
      <w:lvlJc w:val="left"/>
      <w:pPr>
        <w:ind w:left="2914" w:hanging="360"/>
      </w:pPr>
    </w:lvl>
    <w:lvl w:ilvl="4">
      <w:start w:val="1"/>
      <w:numFmt w:val="lowerLetter"/>
      <w:lvlText w:val="%5."/>
      <w:lvlJc w:val="left"/>
      <w:pPr>
        <w:ind w:left="3634" w:hanging="360"/>
      </w:pPr>
    </w:lvl>
    <w:lvl w:ilvl="5">
      <w:start w:val="1"/>
      <w:numFmt w:val="lowerRoman"/>
      <w:lvlText w:val="%6."/>
      <w:lvlJc w:val="right"/>
      <w:pPr>
        <w:ind w:left="4354" w:hanging="180"/>
      </w:pPr>
    </w:lvl>
    <w:lvl w:ilvl="6">
      <w:start w:val="1"/>
      <w:numFmt w:val="decimal"/>
      <w:lvlText w:val="%7."/>
      <w:lvlJc w:val="left"/>
      <w:pPr>
        <w:ind w:left="5074" w:hanging="360"/>
      </w:pPr>
    </w:lvl>
    <w:lvl w:ilvl="7">
      <w:start w:val="1"/>
      <w:numFmt w:val="lowerLetter"/>
      <w:lvlText w:val="%8."/>
      <w:lvlJc w:val="left"/>
      <w:pPr>
        <w:ind w:left="5794" w:hanging="360"/>
      </w:pPr>
    </w:lvl>
    <w:lvl w:ilvl="8">
      <w:start w:val="1"/>
      <w:numFmt w:val="lowerRoman"/>
      <w:lvlText w:val="%9."/>
      <w:lvlJc w:val="right"/>
      <w:pPr>
        <w:ind w:left="6514" w:hanging="180"/>
      </w:pPr>
    </w:lvl>
  </w:abstractNum>
  <w:abstractNum w:abstractNumId="314" w15:restartNumberingAfterBreak="0">
    <w:nsid w:val="612751E6"/>
    <w:multiLevelType w:val="hybridMultilevel"/>
    <w:tmpl w:val="75A6041A"/>
    <w:lvl w:ilvl="0" w:tplc="A3C6854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5" w15:restartNumberingAfterBreak="0">
    <w:nsid w:val="61360F8A"/>
    <w:multiLevelType w:val="hybridMultilevel"/>
    <w:tmpl w:val="8758E488"/>
    <w:lvl w:ilvl="0" w:tplc="1C0A0019">
      <w:start w:val="1"/>
      <w:numFmt w:val="lowerLetter"/>
      <w:lvlText w:val="%1."/>
      <w:lvlJc w:val="left"/>
      <w:pPr>
        <w:ind w:left="459" w:hanging="360"/>
      </w:pPr>
      <w:rPr>
        <w:rFonts w:hint="default"/>
      </w:rPr>
    </w:lvl>
    <w:lvl w:ilvl="1" w:tplc="04090019" w:tentative="1">
      <w:start w:val="1"/>
      <w:numFmt w:val="lowerLetter"/>
      <w:lvlText w:val="%2."/>
      <w:lvlJc w:val="left"/>
      <w:pPr>
        <w:ind w:left="1179" w:hanging="360"/>
      </w:pPr>
    </w:lvl>
    <w:lvl w:ilvl="2" w:tplc="0409001B" w:tentative="1">
      <w:start w:val="1"/>
      <w:numFmt w:val="lowerRoman"/>
      <w:lvlText w:val="%3."/>
      <w:lvlJc w:val="right"/>
      <w:pPr>
        <w:ind w:left="1899" w:hanging="180"/>
      </w:pPr>
    </w:lvl>
    <w:lvl w:ilvl="3" w:tplc="0409000F" w:tentative="1">
      <w:start w:val="1"/>
      <w:numFmt w:val="decimal"/>
      <w:lvlText w:val="%4."/>
      <w:lvlJc w:val="left"/>
      <w:pPr>
        <w:ind w:left="2619" w:hanging="360"/>
      </w:pPr>
    </w:lvl>
    <w:lvl w:ilvl="4" w:tplc="04090019" w:tentative="1">
      <w:start w:val="1"/>
      <w:numFmt w:val="lowerLetter"/>
      <w:lvlText w:val="%5."/>
      <w:lvlJc w:val="left"/>
      <w:pPr>
        <w:ind w:left="3339" w:hanging="360"/>
      </w:pPr>
    </w:lvl>
    <w:lvl w:ilvl="5" w:tplc="0409001B" w:tentative="1">
      <w:start w:val="1"/>
      <w:numFmt w:val="lowerRoman"/>
      <w:lvlText w:val="%6."/>
      <w:lvlJc w:val="right"/>
      <w:pPr>
        <w:ind w:left="4059" w:hanging="180"/>
      </w:pPr>
    </w:lvl>
    <w:lvl w:ilvl="6" w:tplc="0409000F" w:tentative="1">
      <w:start w:val="1"/>
      <w:numFmt w:val="decimal"/>
      <w:lvlText w:val="%7."/>
      <w:lvlJc w:val="left"/>
      <w:pPr>
        <w:ind w:left="4779" w:hanging="360"/>
      </w:pPr>
    </w:lvl>
    <w:lvl w:ilvl="7" w:tplc="04090019" w:tentative="1">
      <w:start w:val="1"/>
      <w:numFmt w:val="lowerLetter"/>
      <w:lvlText w:val="%8."/>
      <w:lvlJc w:val="left"/>
      <w:pPr>
        <w:ind w:left="5499" w:hanging="360"/>
      </w:pPr>
    </w:lvl>
    <w:lvl w:ilvl="8" w:tplc="0409001B" w:tentative="1">
      <w:start w:val="1"/>
      <w:numFmt w:val="lowerRoman"/>
      <w:lvlText w:val="%9."/>
      <w:lvlJc w:val="right"/>
      <w:pPr>
        <w:ind w:left="6219" w:hanging="180"/>
      </w:pPr>
    </w:lvl>
  </w:abstractNum>
  <w:abstractNum w:abstractNumId="316" w15:restartNumberingAfterBreak="0">
    <w:nsid w:val="616C2E2A"/>
    <w:multiLevelType w:val="multilevel"/>
    <w:tmpl w:val="091CCBE8"/>
    <w:lvl w:ilvl="0">
      <w:start w:val="1"/>
      <w:numFmt w:val="lowerLetter"/>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7" w15:restartNumberingAfterBreak="0">
    <w:nsid w:val="61F25982"/>
    <w:multiLevelType w:val="hybridMultilevel"/>
    <w:tmpl w:val="69AA061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8" w15:restartNumberingAfterBreak="0">
    <w:nsid w:val="61F305DC"/>
    <w:multiLevelType w:val="hybridMultilevel"/>
    <w:tmpl w:val="F8E8A28E"/>
    <w:lvl w:ilvl="0" w:tplc="100A0019">
      <w:start w:val="1"/>
      <w:numFmt w:val="lowerLetter"/>
      <w:lvlText w:val="%1."/>
      <w:lvlJc w:val="left"/>
      <w:pPr>
        <w:ind w:left="720" w:hanging="360"/>
      </w:pPr>
      <w:rPr>
        <w:rFont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19" w15:restartNumberingAfterBreak="0">
    <w:nsid w:val="625073BE"/>
    <w:multiLevelType w:val="hybridMultilevel"/>
    <w:tmpl w:val="2E84FD86"/>
    <w:lvl w:ilvl="0" w:tplc="1C0A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0" w15:restartNumberingAfterBreak="0">
    <w:nsid w:val="62B90F5B"/>
    <w:multiLevelType w:val="hybridMultilevel"/>
    <w:tmpl w:val="A37A0BCE"/>
    <w:lvl w:ilvl="0" w:tplc="100A0019">
      <w:start w:val="1"/>
      <w:numFmt w:val="lowerLetter"/>
      <w:lvlText w:val="%1."/>
      <w:lvlJc w:val="left"/>
      <w:pPr>
        <w:ind w:left="360" w:hanging="360"/>
      </w:pPr>
      <w:rPr>
        <w:rFonts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21" w15:restartNumberingAfterBreak="0">
    <w:nsid w:val="631B440F"/>
    <w:multiLevelType w:val="hybridMultilevel"/>
    <w:tmpl w:val="57221D00"/>
    <w:lvl w:ilvl="0" w:tplc="100A0019">
      <w:start w:val="1"/>
      <w:numFmt w:val="lowerLetter"/>
      <w:lvlText w:val="%1."/>
      <w:lvlJc w:val="left"/>
      <w:pPr>
        <w:ind w:left="360" w:hanging="360"/>
      </w:pPr>
      <w:rPr>
        <w:rFonts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22" w15:restartNumberingAfterBreak="0">
    <w:nsid w:val="636723D8"/>
    <w:multiLevelType w:val="hybridMultilevel"/>
    <w:tmpl w:val="0ACA32E2"/>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323" w15:restartNumberingAfterBreak="0">
    <w:nsid w:val="63690051"/>
    <w:multiLevelType w:val="hybridMultilevel"/>
    <w:tmpl w:val="B2469A52"/>
    <w:lvl w:ilvl="0" w:tplc="100A0019">
      <w:start w:val="1"/>
      <w:numFmt w:val="lowerLetter"/>
      <w:lvlText w:val="%1."/>
      <w:lvlJc w:val="left"/>
      <w:pPr>
        <w:ind w:left="360" w:hanging="360"/>
      </w:pPr>
      <w:rPr>
        <w:rFonts w:hint="default"/>
      </w:rPr>
    </w:lvl>
    <w:lvl w:ilvl="1" w:tplc="040A0003">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24" w15:restartNumberingAfterBreak="0">
    <w:nsid w:val="638C3F83"/>
    <w:multiLevelType w:val="multilevel"/>
    <w:tmpl w:val="8B968DAE"/>
    <w:lvl w:ilvl="0">
      <w:start w:val="1"/>
      <w:numFmt w:val="decimal"/>
      <w:lvlText w:val="%1."/>
      <w:lvlJc w:val="left"/>
      <w:pPr>
        <w:ind w:left="720" w:hanging="360"/>
      </w:pPr>
      <w:rPr>
        <w:rFonts w:hint="default"/>
        <w:sz w:val="20"/>
        <w:szCs w:val="16"/>
      </w:rPr>
    </w:lvl>
    <w:lvl w:ilvl="1">
      <w:start w:val="8"/>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5" w15:restartNumberingAfterBreak="0">
    <w:nsid w:val="638F1E21"/>
    <w:multiLevelType w:val="hybridMultilevel"/>
    <w:tmpl w:val="FA6A74F6"/>
    <w:lvl w:ilvl="0" w:tplc="040A0001">
      <w:start w:val="1"/>
      <w:numFmt w:val="bullet"/>
      <w:lvlText w:val=""/>
      <w:lvlJc w:val="left"/>
      <w:pPr>
        <w:ind w:left="360" w:hanging="360"/>
      </w:pPr>
      <w:rPr>
        <w:rFonts w:ascii="Symbol" w:hAnsi="Symbol" w:hint="default"/>
      </w:rPr>
    </w:lvl>
    <w:lvl w:ilvl="1" w:tplc="040A0003">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26" w15:restartNumberingAfterBreak="0">
    <w:nsid w:val="64155316"/>
    <w:multiLevelType w:val="hybridMultilevel"/>
    <w:tmpl w:val="A37A0BCE"/>
    <w:lvl w:ilvl="0" w:tplc="100A0019">
      <w:start w:val="1"/>
      <w:numFmt w:val="lowerLetter"/>
      <w:lvlText w:val="%1."/>
      <w:lvlJc w:val="left"/>
      <w:pPr>
        <w:ind w:left="360" w:hanging="360"/>
      </w:pPr>
      <w:rPr>
        <w:rFonts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27" w15:restartNumberingAfterBreak="0">
    <w:nsid w:val="64A0080E"/>
    <w:multiLevelType w:val="hybridMultilevel"/>
    <w:tmpl w:val="643CEC34"/>
    <w:lvl w:ilvl="0" w:tplc="1C0A0019">
      <w:start w:val="1"/>
      <w:numFmt w:val="lowerLetter"/>
      <w:lvlText w:val="%1."/>
      <w:lvlJc w:val="left"/>
      <w:pPr>
        <w:ind w:left="754" w:hanging="360"/>
      </w:pPr>
      <w:rPr>
        <w:rFonts w:hint="default"/>
      </w:rPr>
    </w:lvl>
    <w:lvl w:ilvl="1" w:tplc="04090019" w:tentative="1">
      <w:start w:val="1"/>
      <w:numFmt w:val="lowerLetter"/>
      <w:lvlText w:val="%2."/>
      <w:lvlJc w:val="left"/>
      <w:pPr>
        <w:ind w:left="1474" w:hanging="360"/>
      </w:pPr>
    </w:lvl>
    <w:lvl w:ilvl="2" w:tplc="0409001B" w:tentative="1">
      <w:start w:val="1"/>
      <w:numFmt w:val="lowerRoman"/>
      <w:lvlText w:val="%3."/>
      <w:lvlJc w:val="right"/>
      <w:pPr>
        <w:ind w:left="2194" w:hanging="180"/>
      </w:pPr>
    </w:lvl>
    <w:lvl w:ilvl="3" w:tplc="0409000F" w:tentative="1">
      <w:start w:val="1"/>
      <w:numFmt w:val="decimal"/>
      <w:lvlText w:val="%4."/>
      <w:lvlJc w:val="left"/>
      <w:pPr>
        <w:ind w:left="2914" w:hanging="360"/>
      </w:pPr>
    </w:lvl>
    <w:lvl w:ilvl="4" w:tplc="04090019" w:tentative="1">
      <w:start w:val="1"/>
      <w:numFmt w:val="lowerLetter"/>
      <w:lvlText w:val="%5."/>
      <w:lvlJc w:val="left"/>
      <w:pPr>
        <w:ind w:left="3634" w:hanging="360"/>
      </w:pPr>
    </w:lvl>
    <w:lvl w:ilvl="5" w:tplc="0409001B" w:tentative="1">
      <w:start w:val="1"/>
      <w:numFmt w:val="lowerRoman"/>
      <w:lvlText w:val="%6."/>
      <w:lvlJc w:val="right"/>
      <w:pPr>
        <w:ind w:left="4354" w:hanging="180"/>
      </w:pPr>
    </w:lvl>
    <w:lvl w:ilvl="6" w:tplc="0409000F" w:tentative="1">
      <w:start w:val="1"/>
      <w:numFmt w:val="decimal"/>
      <w:lvlText w:val="%7."/>
      <w:lvlJc w:val="left"/>
      <w:pPr>
        <w:ind w:left="5074" w:hanging="360"/>
      </w:pPr>
    </w:lvl>
    <w:lvl w:ilvl="7" w:tplc="04090019" w:tentative="1">
      <w:start w:val="1"/>
      <w:numFmt w:val="lowerLetter"/>
      <w:lvlText w:val="%8."/>
      <w:lvlJc w:val="left"/>
      <w:pPr>
        <w:ind w:left="5794" w:hanging="360"/>
      </w:pPr>
    </w:lvl>
    <w:lvl w:ilvl="8" w:tplc="0409001B" w:tentative="1">
      <w:start w:val="1"/>
      <w:numFmt w:val="lowerRoman"/>
      <w:lvlText w:val="%9."/>
      <w:lvlJc w:val="right"/>
      <w:pPr>
        <w:ind w:left="6514" w:hanging="180"/>
      </w:pPr>
    </w:lvl>
  </w:abstractNum>
  <w:abstractNum w:abstractNumId="328" w15:restartNumberingAfterBreak="0">
    <w:nsid w:val="64A025F9"/>
    <w:multiLevelType w:val="hybridMultilevel"/>
    <w:tmpl w:val="6D1C32B8"/>
    <w:lvl w:ilvl="0" w:tplc="10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329" w15:restartNumberingAfterBreak="0">
    <w:nsid w:val="64AB3551"/>
    <w:multiLevelType w:val="hybridMultilevel"/>
    <w:tmpl w:val="2362ABF8"/>
    <w:lvl w:ilvl="0" w:tplc="1C0A0019">
      <w:start w:val="1"/>
      <w:numFmt w:val="lowerLetter"/>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0" w15:restartNumberingAfterBreak="0">
    <w:nsid w:val="6533155E"/>
    <w:multiLevelType w:val="hybridMultilevel"/>
    <w:tmpl w:val="F8B6020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1" w15:restartNumberingAfterBreak="0">
    <w:nsid w:val="65733524"/>
    <w:multiLevelType w:val="hybridMultilevel"/>
    <w:tmpl w:val="A37A0BCE"/>
    <w:lvl w:ilvl="0" w:tplc="100A0019">
      <w:start w:val="1"/>
      <w:numFmt w:val="lowerLetter"/>
      <w:lvlText w:val="%1."/>
      <w:lvlJc w:val="left"/>
      <w:pPr>
        <w:ind w:left="360" w:hanging="360"/>
      </w:pPr>
    </w:lvl>
    <w:lvl w:ilvl="1" w:tplc="040A0003">
      <w:start w:val="1"/>
      <w:numFmt w:val="bullet"/>
      <w:lvlText w:val="o"/>
      <w:lvlJc w:val="left"/>
      <w:pPr>
        <w:ind w:left="1080" w:hanging="360"/>
      </w:pPr>
      <w:rPr>
        <w:rFonts w:ascii="Courier New" w:hAnsi="Courier New" w:cs="Courier New" w:hint="default"/>
      </w:rPr>
    </w:lvl>
    <w:lvl w:ilvl="2" w:tplc="040A0005">
      <w:start w:val="1"/>
      <w:numFmt w:val="bullet"/>
      <w:lvlText w:val=""/>
      <w:lvlJc w:val="left"/>
      <w:pPr>
        <w:ind w:left="1800" w:hanging="360"/>
      </w:pPr>
      <w:rPr>
        <w:rFonts w:ascii="Wingdings" w:hAnsi="Wingdings" w:hint="default"/>
      </w:rPr>
    </w:lvl>
    <w:lvl w:ilvl="3" w:tplc="040A0001">
      <w:start w:val="1"/>
      <w:numFmt w:val="bullet"/>
      <w:lvlText w:val=""/>
      <w:lvlJc w:val="left"/>
      <w:pPr>
        <w:ind w:left="2520" w:hanging="360"/>
      </w:pPr>
      <w:rPr>
        <w:rFonts w:ascii="Symbol" w:hAnsi="Symbol" w:hint="default"/>
      </w:rPr>
    </w:lvl>
    <w:lvl w:ilvl="4" w:tplc="040A0003">
      <w:start w:val="1"/>
      <w:numFmt w:val="bullet"/>
      <w:lvlText w:val="o"/>
      <w:lvlJc w:val="left"/>
      <w:pPr>
        <w:ind w:left="3240" w:hanging="360"/>
      </w:pPr>
      <w:rPr>
        <w:rFonts w:ascii="Courier New" w:hAnsi="Courier New" w:cs="Courier New" w:hint="default"/>
      </w:rPr>
    </w:lvl>
    <w:lvl w:ilvl="5" w:tplc="040A0005">
      <w:start w:val="1"/>
      <w:numFmt w:val="bullet"/>
      <w:lvlText w:val=""/>
      <w:lvlJc w:val="left"/>
      <w:pPr>
        <w:ind w:left="3960" w:hanging="360"/>
      </w:pPr>
      <w:rPr>
        <w:rFonts w:ascii="Wingdings" w:hAnsi="Wingdings" w:hint="default"/>
      </w:rPr>
    </w:lvl>
    <w:lvl w:ilvl="6" w:tplc="040A0001">
      <w:start w:val="1"/>
      <w:numFmt w:val="bullet"/>
      <w:lvlText w:val=""/>
      <w:lvlJc w:val="left"/>
      <w:pPr>
        <w:ind w:left="4680" w:hanging="360"/>
      </w:pPr>
      <w:rPr>
        <w:rFonts w:ascii="Symbol" w:hAnsi="Symbol" w:hint="default"/>
      </w:rPr>
    </w:lvl>
    <w:lvl w:ilvl="7" w:tplc="040A0003">
      <w:start w:val="1"/>
      <w:numFmt w:val="bullet"/>
      <w:lvlText w:val="o"/>
      <w:lvlJc w:val="left"/>
      <w:pPr>
        <w:ind w:left="5400" w:hanging="360"/>
      </w:pPr>
      <w:rPr>
        <w:rFonts w:ascii="Courier New" w:hAnsi="Courier New" w:cs="Courier New" w:hint="default"/>
      </w:rPr>
    </w:lvl>
    <w:lvl w:ilvl="8" w:tplc="040A0005">
      <w:start w:val="1"/>
      <w:numFmt w:val="bullet"/>
      <w:lvlText w:val=""/>
      <w:lvlJc w:val="left"/>
      <w:pPr>
        <w:ind w:left="6120" w:hanging="360"/>
      </w:pPr>
      <w:rPr>
        <w:rFonts w:ascii="Wingdings" w:hAnsi="Wingdings" w:hint="default"/>
      </w:rPr>
    </w:lvl>
  </w:abstractNum>
  <w:abstractNum w:abstractNumId="332" w15:restartNumberingAfterBreak="0">
    <w:nsid w:val="65751225"/>
    <w:multiLevelType w:val="hybridMultilevel"/>
    <w:tmpl w:val="A1D4EC06"/>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33" w15:restartNumberingAfterBreak="0">
    <w:nsid w:val="666B708B"/>
    <w:multiLevelType w:val="hybridMultilevel"/>
    <w:tmpl w:val="A5E25180"/>
    <w:lvl w:ilvl="0" w:tplc="A3C68540">
      <w:numFmt w:val="bullet"/>
      <w:lvlText w:val="-"/>
      <w:lvlJc w:val="left"/>
      <w:pPr>
        <w:ind w:left="360" w:hanging="360"/>
      </w:pPr>
      <w:rPr>
        <w:rFonts w:ascii="Calibri" w:eastAsia="Times New Roman"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4" w15:restartNumberingAfterBreak="0">
    <w:nsid w:val="66BF6FA7"/>
    <w:multiLevelType w:val="hybridMultilevel"/>
    <w:tmpl w:val="326A657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35" w15:restartNumberingAfterBreak="0">
    <w:nsid w:val="66DB3599"/>
    <w:multiLevelType w:val="hybridMultilevel"/>
    <w:tmpl w:val="CF42A3FE"/>
    <w:lvl w:ilvl="0" w:tplc="040A0017">
      <w:start w:val="1"/>
      <w:numFmt w:val="lowerLetter"/>
      <w:lvlText w:val="%1)"/>
      <w:lvlJc w:val="left"/>
      <w:pPr>
        <w:ind w:left="2356" w:hanging="360"/>
      </w:pPr>
      <w:rPr>
        <w:rFonts w:hint="default"/>
      </w:rPr>
    </w:lvl>
    <w:lvl w:ilvl="1" w:tplc="04090019">
      <w:start w:val="1"/>
      <w:numFmt w:val="lowerLetter"/>
      <w:lvlText w:val="%2."/>
      <w:lvlJc w:val="left"/>
      <w:pPr>
        <w:ind w:left="3076" w:hanging="360"/>
      </w:pPr>
    </w:lvl>
    <w:lvl w:ilvl="2" w:tplc="0409001B" w:tentative="1">
      <w:start w:val="1"/>
      <w:numFmt w:val="lowerRoman"/>
      <w:lvlText w:val="%3."/>
      <w:lvlJc w:val="right"/>
      <w:pPr>
        <w:ind w:left="3796" w:hanging="180"/>
      </w:pPr>
    </w:lvl>
    <w:lvl w:ilvl="3" w:tplc="0409000F" w:tentative="1">
      <w:start w:val="1"/>
      <w:numFmt w:val="decimal"/>
      <w:lvlText w:val="%4."/>
      <w:lvlJc w:val="left"/>
      <w:pPr>
        <w:ind w:left="4516" w:hanging="360"/>
      </w:pPr>
    </w:lvl>
    <w:lvl w:ilvl="4" w:tplc="04090019" w:tentative="1">
      <w:start w:val="1"/>
      <w:numFmt w:val="lowerLetter"/>
      <w:lvlText w:val="%5."/>
      <w:lvlJc w:val="left"/>
      <w:pPr>
        <w:ind w:left="5236" w:hanging="360"/>
      </w:pPr>
    </w:lvl>
    <w:lvl w:ilvl="5" w:tplc="0409001B" w:tentative="1">
      <w:start w:val="1"/>
      <w:numFmt w:val="lowerRoman"/>
      <w:lvlText w:val="%6."/>
      <w:lvlJc w:val="right"/>
      <w:pPr>
        <w:ind w:left="5956" w:hanging="180"/>
      </w:pPr>
    </w:lvl>
    <w:lvl w:ilvl="6" w:tplc="0409000F" w:tentative="1">
      <w:start w:val="1"/>
      <w:numFmt w:val="decimal"/>
      <w:lvlText w:val="%7."/>
      <w:lvlJc w:val="left"/>
      <w:pPr>
        <w:ind w:left="6676" w:hanging="360"/>
      </w:pPr>
    </w:lvl>
    <w:lvl w:ilvl="7" w:tplc="04090019" w:tentative="1">
      <w:start w:val="1"/>
      <w:numFmt w:val="lowerLetter"/>
      <w:lvlText w:val="%8."/>
      <w:lvlJc w:val="left"/>
      <w:pPr>
        <w:ind w:left="7396" w:hanging="360"/>
      </w:pPr>
    </w:lvl>
    <w:lvl w:ilvl="8" w:tplc="0409001B" w:tentative="1">
      <w:start w:val="1"/>
      <w:numFmt w:val="lowerRoman"/>
      <w:lvlText w:val="%9."/>
      <w:lvlJc w:val="right"/>
      <w:pPr>
        <w:ind w:left="8116" w:hanging="180"/>
      </w:pPr>
    </w:lvl>
  </w:abstractNum>
  <w:abstractNum w:abstractNumId="336" w15:restartNumberingAfterBreak="0">
    <w:nsid w:val="66DD7D0A"/>
    <w:multiLevelType w:val="multilevel"/>
    <w:tmpl w:val="830277A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37" w15:restartNumberingAfterBreak="0">
    <w:nsid w:val="66E3575D"/>
    <w:multiLevelType w:val="multilevel"/>
    <w:tmpl w:val="B01239CC"/>
    <w:lvl w:ilvl="0">
      <w:start w:val="1"/>
      <w:numFmt w:val="bullet"/>
      <w:lvlText w:val=""/>
      <w:lvlJc w:val="left"/>
      <w:pPr>
        <w:ind w:left="360" w:hanging="360"/>
      </w:pPr>
      <w:rPr>
        <w:rFonts w:ascii="Symbol" w:hAnsi="Symbol" w:hint="default"/>
        <w:sz w:val="20"/>
      </w:rPr>
    </w:lvl>
    <w:lvl w:ilvl="1" w:tentative="1">
      <w:start w:val="1"/>
      <w:numFmt w:val="bullet"/>
      <w:lvlText w:val=""/>
      <w:lvlJc w:val="left"/>
      <w:pPr>
        <w:tabs>
          <w:tab w:val="num" w:pos="1789"/>
        </w:tabs>
        <w:ind w:left="1789" w:hanging="360"/>
      </w:pPr>
      <w:rPr>
        <w:rFonts w:ascii="Symbol" w:hAnsi="Symbol" w:hint="default"/>
        <w:sz w:val="20"/>
      </w:rPr>
    </w:lvl>
    <w:lvl w:ilvl="2" w:tentative="1">
      <w:start w:val="1"/>
      <w:numFmt w:val="bullet"/>
      <w:lvlText w:val=""/>
      <w:lvlJc w:val="left"/>
      <w:pPr>
        <w:tabs>
          <w:tab w:val="num" w:pos="2509"/>
        </w:tabs>
        <w:ind w:left="2509" w:hanging="360"/>
      </w:pPr>
      <w:rPr>
        <w:rFonts w:ascii="Symbol" w:hAnsi="Symbol" w:hint="default"/>
        <w:sz w:val="20"/>
      </w:rPr>
    </w:lvl>
    <w:lvl w:ilvl="3" w:tentative="1">
      <w:start w:val="1"/>
      <w:numFmt w:val="bullet"/>
      <w:lvlText w:val=""/>
      <w:lvlJc w:val="left"/>
      <w:pPr>
        <w:tabs>
          <w:tab w:val="num" w:pos="3229"/>
        </w:tabs>
        <w:ind w:left="3229" w:hanging="360"/>
      </w:pPr>
      <w:rPr>
        <w:rFonts w:ascii="Symbol" w:hAnsi="Symbol" w:hint="default"/>
        <w:sz w:val="20"/>
      </w:rPr>
    </w:lvl>
    <w:lvl w:ilvl="4" w:tentative="1">
      <w:start w:val="1"/>
      <w:numFmt w:val="bullet"/>
      <w:lvlText w:val=""/>
      <w:lvlJc w:val="left"/>
      <w:pPr>
        <w:tabs>
          <w:tab w:val="num" w:pos="3949"/>
        </w:tabs>
        <w:ind w:left="3949" w:hanging="360"/>
      </w:pPr>
      <w:rPr>
        <w:rFonts w:ascii="Symbol" w:hAnsi="Symbol" w:hint="default"/>
        <w:sz w:val="20"/>
      </w:rPr>
    </w:lvl>
    <w:lvl w:ilvl="5" w:tentative="1">
      <w:start w:val="1"/>
      <w:numFmt w:val="bullet"/>
      <w:lvlText w:val=""/>
      <w:lvlJc w:val="left"/>
      <w:pPr>
        <w:tabs>
          <w:tab w:val="num" w:pos="4669"/>
        </w:tabs>
        <w:ind w:left="4669" w:hanging="360"/>
      </w:pPr>
      <w:rPr>
        <w:rFonts w:ascii="Symbol" w:hAnsi="Symbol" w:hint="default"/>
        <w:sz w:val="20"/>
      </w:rPr>
    </w:lvl>
    <w:lvl w:ilvl="6" w:tentative="1">
      <w:start w:val="1"/>
      <w:numFmt w:val="bullet"/>
      <w:lvlText w:val=""/>
      <w:lvlJc w:val="left"/>
      <w:pPr>
        <w:tabs>
          <w:tab w:val="num" w:pos="5389"/>
        </w:tabs>
        <w:ind w:left="5389" w:hanging="360"/>
      </w:pPr>
      <w:rPr>
        <w:rFonts w:ascii="Symbol" w:hAnsi="Symbol" w:hint="default"/>
        <w:sz w:val="20"/>
      </w:rPr>
    </w:lvl>
    <w:lvl w:ilvl="7" w:tentative="1">
      <w:start w:val="1"/>
      <w:numFmt w:val="bullet"/>
      <w:lvlText w:val=""/>
      <w:lvlJc w:val="left"/>
      <w:pPr>
        <w:tabs>
          <w:tab w:val="num" w:pos="6109"/>
        </w:tabs>
        <w:ind w:left="6109" w:hanging="360"/>
      </w:pPr>
      <w:rPr>
        <w:rFonts w:ascii="Symbol" w:hAnsi="Symbol" w:hint="default"/>
        <w:sz w:val="20"/>
      </w:rPr>
    </w:lvl>
    <w:lvl w:ilvl="8" w:tentative="1">
      <w:start w:val="1"/>
      <w:numFmt w:val="bullet"/>
      <w:lvlText w:val=""/>
      <w:lvlJc w:val="left"/>
      <w:pPr>
        <w:tabs>
          <w:tab w:val="num" w:pos="6829"/>
        </w:tabs>
        <w:ind w:left="6829" w:hanging="360"/>
      </w:pPr>
      <w:rPr>
        <w:rFonts w:ascii="Symbol" w:hAnsi="Symbol" w:hint="default"/>
        <w:sz w:val="20"/>
      </w:rPr>
    </w:lvl>
  </w:abstractNum>
  <w:abstractNum w:abstractNumId="338" w15:restartNumberingAfterBreak="0">
    <w:nsid w:val="67074DC5"/>
    <w:multiLevelType w:val="hybridMultilevel"/>
    <w:tmpl w:val="C93469EE"/>
    <w:lvl w:ilvl="0" w:tplc="4B8821D2">
      <w:start w:val="1"/>
      <w:numFmt w:val="bullet"/>
      <w:pStyle w:val="Aparrafopunteo"/>
      <w:lvlText w:val="-"/>
      <w:lvlJc w:val="left"/>
      <w:pPr>
        <w:ind w:left="425" w:hanging="360"/>
      </w:pPr>
      <w:rPr>
        <w:rFonts w:ascii="Calibri" w:hAnsi="Calibri" w:hint="default"/>
      </w:rPr>
    </w:lvl>
    <w:lvl w:ilvl="1" w:tplc="04090003">
      <w:start w:val="1"/>
      <w:numFmt w:val="bullet"/>
      <w:lvlText w:val="o"/>
      <w:lvlJc w:val="left"/>
      <w:pPr>
        <w:ind w:left="1145" w:hanging="360"/>
      </w:pPr>
      <w:rPr>
        <w:rFonts w:ascii="Courier New" w:hAnsi="Courier New" w:cs="Courier New" w:hint="default"/>
      </w:rPr>
    </w:lvl>
    <w:lvl w:ilvl="2" w:tplc="04090005" w:tentative="1">
      <w:start w:val="1"/>
      <w:numFmt w:val="bullet"/>
      <w:lvlText w:val=""/>
      <w:lvlJc w:val="left"/>
      <w:pPr>
        <w:ind w:left="1865" w:hanging="360"/>
      </w:pPr>
      <w:rPr>
        <w:rFonts w:ascii="Wingdings" w:hAnsi="Wingdings" w:hint="default"/>
      </w:rPr>
    </w:lvl>
    <w:lvl w:ilvl="3" w:tplc="04090001" w:tentative="1">
      <w:start w:val="1"/>
      <w:numFmt w:val="bullet"/>
      <w:lvlText w:val=""/>
      <w:lvlJc w:val="left"/>
      <w:pPr>
        <w:ind w:left="2585" w:hanging="360"/>
      </w:pPr>
      <w:rPr>
        <w:rFonts w:ascii="Symbol" w:hAnsi="Symbol" w:hint="default"/>
      </w:rPr>
    </w:lvl>
    <w:lvl w:ilvl="4" w:tplc="04090003" w:tentative="1">
      <w:start w:val="1"/>
      <w:numFmt w:val="bullet"/>
      <w:lvlText w:val="o"/>
      <w:lvlJc w:val="left"/>
      <w:pPr>
        <w:ind w:left="3305" w:hanging="360"/>
      </w:pPr>
      <w:rPr>
        <w:rFonts w:ascii="Courier New" w:hAnsi="Courier New" w:cs="Courier New" w:hint="default"/>
      </w:rPr>
    </w:lvl>
    <w:lvl w:ilvl="5" w:tplc="04090005" w:tentative="1">
      <w:start w:val="1"/>
      <w:numFmt w:val="bullet"/>
      <w:lvlText w:val=""/>
      <w:lvlJc w:val="left"/>
      <w:pPr>
        <w:ind w:left="4025" w:hanging="360"/>
      </w:pPr>
      <w:rPr>
        <w:rFonts w:ascii="Wingdings" w:hAnsi="Wingdings" w:hint="default"/>
      </w:rPr>
    </w:lvl>
    <w:lvl w:ilvl="6" w:tplc="04090001" w:tentative="1">
      <w:start w:val="1"/>
      <w:numFmt w:val="bullet"/>
      <w:lvlText w:val=""/>
      <w:lvlJc w:val="left"/>
      <w:pPr>
        <w:ind w:left="4745" w:hanging="360"/>
      </w:pPr>
      <w:rPr>
        <w:rFonts w:ascii="Symbol" w:hAnsi="Symbol" w:hint="default"/>
      </w:rPr>
    </w:lvl>
    <w:lvl w:ilvl="7" w:tplc="04090003" w:tentative="1">
      <w:start w:val="1"/>
      <w:numFmt w:val="bullet"/>
      <w:lvlText w:val="o"/>
      <w:lvlJc w:val="left"/>
      <w:pPr>
        <w:ind w:left="5465" w:hanging="360"/>
      </w:pPr>
      <w:rPr>
        <w:rFonts w:ascii="Courier New" w:hAnsi="Courier New" w:cs="Courier New" w:hint="default"/>
      </w:rPr>
    </w:lvl>
    <w:lvl w:ilvl="8" w:tplc="04090005" w:tentative="1">
      <w:start w:val="1"/>
      <w:numFmt w:val="bullet"/>
      <w:lvlText w:val=""/>
      <w:lvlJc w:val="left"/>
      <w:pPr>
        <w:ind w:left="6185" w:hanging="360"/>
      </w:pPr>
      <w:rPr>
        <w:rFonts w:ascii="Wingdings" w:hAnsi="Wingdings" w:hint="default"/>
      </w:rPr>
    </w:lvl>
  </w:abstractNum>
  <w:abstractNum w:abstractNumId="339" w15:restartNumberingAfterBreak="0">
    <w:nsid w:val="670C1137"/>
    <w:multiLevelType w:val="hybridMultilevel"/>
    <w:tmpl w:val="3796D82A"/>
    <w:lvl w:ilvl="0" w:tplc="100A0019">
      <w:start w:val="1"/>
      <w:numFmt w:val="lowerLetter"/>
      <w:lvlText w:val="%1."/>
      <w:lvlJc w:val="left"/>
      <w:pPr>
        <w:ind w:left="360" w:hanging="360"/>
      </w:pPr>
      <w:rPr>
        <w:rFonts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40" w15:restartNumberingAfterBreak="0">
    <w:nsid w:val="675C09E4"/>
    <w:multiLevelType w:val="hybridMultilevel"/>
    <w:tmpl w:val="0C22E340"/>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341" w15:restartNumberingAfterBreak="0">
    <w:nsid w:val="675F7D0F"/>
    <w:multiLevelType w:val="hybridMultilevel"/>
    <w:tmpl w:val="7AF8DD58"/>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342" w15:restartNumberingAfterBreak="0">
    <w:nsid w:val="67BB3279"/>
    <w:multiLevelType w:val="hybridMultilevel"/>
    <w:tmpl w:val="34841660"/>
    <w:lvl w:ilvl="0" w:tplc="6E78889C">
      <w:start w:val="1"/>
      <w:numFmt w:val="upperLetter"/>
      <w:lvlText w:val="%1)"/>
      <w:lvlJc w:val="left"/>
      <w:pPr>
        <w:ind w:left="502" w:hanging="360"/>
      </w:pPr>
      <w:rPr>
        <w:rFonts w:eastAsiaTheme="minorEastAsia" w:cstheme="minorBidi" w:hint="default"/>
        <w:sz w:val="24"/>
      </w:rPr>
    </w:lvl>
    <w:lvl w:ilvl="1" w:tplc="1C0A0019" w:tentative="1">
      <w:start w:val="1"/>
      <w:numFmt w:val="lowerLetter"/>
      <w:lvlText w:val="%2."/>
      <w:lvlJc w:val="left"/>
      <w:pPr>
        <w:ind w:left="1222" w:hanging="360"/>
      </w:pPr>
    </w:lvl>
    <w:lvl w:ilvl="2" w:tplc="1C0A001B" w:tentative="1">
      <w:start w:val="1"/>
      <w:numFmt w:val="lowerRoman"/>
      <w:lvlText w:val="%3."/>
      <w:lvlJc w:val="right"/>
      <w:pPr>
        <w:ind w:left="1942" w:hanging="180"/>
      </w:pPr>
    </w:lvl>
    <w:lvl w:ilvl="3" w:tplc="1C0A000F" w:tentative="1">
      <w:start w:val="1"/>
      <w:numFmt w:val="decimal"/>
      <w:lvlText w:val="%4."/>
      <w:lvlJc w:val="left"/>
      <w:pPr>
        <w:ind w:left="2662" w:hanging="360"/>
      </w:pPr>
    </w:lvl>
    <w:lvl w:ilvl="4" w:tplc="1C0A0019" w:tentative="1">
      <w:start w:val="1"/>
      <w:numFmt w:val="lowerLetter"/>
      <w:lvlText w:val="%5."/>
      <w:lvlJc w:val="left"/>
      <w:pPr>
        <w:ind w:left="3382" w:hanging="360"/>
      </w:pPr>
    </w:lvl>
    <w:lvl w:ilvl="5" w:tplc="1C0A001B" w:tentative="1">
      <w:start w:val="1"/>
      <w:numFmt w:val="lowerRoman"/>
      <w:lvlText w:val="%6."/>
      <w:lvlJc w:val="right"/>
      <w:pPr>
        <w:ind w:left="4102" w:hanging="180"/>
      </w:pPr>
    </w:lvl>
    <w:lvl w:ilvl="6" w:tplc="1C0A000F" w:tentative="1">
      <w:start w:val="1"/>
      <w:numFmt w:val="decimal"/>
      <w:lvlText w:val="%7."/>
      <w:lvlJc w:val="left"/>
      <w:pPr>
        <w:ind w:left="4822" w:hanging="360"/>
      </w:pPr>
    </w:lvl>
    <w:lvl w:ilvl="7" w:tplc="1C0A0019" w:tentative="1">
      <w:start w:val="1"/>
      <w:numFmt w:val="lowerLetter"/>
      <w:lvlText w:val="%8."/>
      <w:lvlJc w:val="left"/>
      <w:pPr>
        <w:ind w:left="5542" w:hanging="360"/>
      </w:pPr>
    </w:lvl>
    <w:lvl w:ilvl="8" w:tplc="1C0A001B" w:tentative="1">
      <w:start w:val="1"/>
      <w:numFmt w:val="lowerRoman"/>
      <w:lvlText w:val="%9."/>
      <w:lvlJc w:val="right"/>
      <w:pPr>
        <w:ind w:left="6262" w:hanging="180"/>
      </w:pPr>
    </w:lvl>
  </w:abstractNum>
  <w:abstractNum w:abstractNumId="343" w15:restartNumberingAfterBreak="0">
    <w:nsid w:val="67C257E8"/>
    <w:multiLevelType w:val="hybridMultilevel"/>
    <w:tmpl w:val="40BE3270"/>
    <w:lvl w:ilvl="0" w:tplc="100A0019">
      <w:start w:val="1"/>
      <w:numFmt w:val="lowerLetter"/>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4" w15:restartNumberingAfterBreak="0">
    <w:nsid w:val="67C95B12"/>
    <w:multiLevelType w:val="multilevel"/>
    <w:tmpl w:val="A37A0BCE"/>
    <w:lvl w:ilvl="0">
      <w:start w:val="1"/>
      <w:numFmt w:val="lowerLetter"/>
      <w:lvlText w:val="%1."/>
      <w:lvlJc w:val="left"/>
      <w:pPr>
        <w:ind w:left="360" w:hanging="360"/>
      </w:pPr>
      <w:rPr>
        <w:rFont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345" w15:restartNumberingAfterBreak="0">
    <w:nsid w:val="688A5510"/>
    <w:multiLevelType w:val="hybridMultilevel"/>
    <w:tmpl w:val="0C162068"/>
    <w:lvl w:ilvl="0" w:tplc="1C0A0019">
      <w:start w:val="1"/>
      <w:numFmt w:val="lowerLetter"/>
      <w:lvlText w:val="%1."/>
      <w:lvlJc w:val="left"/>
      <w:pPr>
        <w:ind w:left="754" w:hanging="360"/>
      </w:pPr>
      <w:rPr>
        <w:rFonts w:hint="default"/>
      </w:rPr>
    </w:lvl>
    <w:lvl w:ilvl="1" w:tplc="04090019" w:tentative="1">
      <w:start w:val="1"/>
      <w:numFmt w:val="lowerLetter"/>
      <w:lvlText w:val="%2."/>
      <w:lvlJc w:val="left"/>
      <w:pPr>
        <w:ind w:left="1474" w:hanging="360"/>
      </w:pPr>
    </w:lvl>
    <w:lvl w:ilvl="2" w:tplc="0409001B" w:tentative="1">
      <w:start w:val="1"/>
      <w:numFmt w:val="lowerRoman"/>
      <w:lvlText w:val="%3."/>
      <w:lvlJc w:val="right"/>
      <w:pPr>
        <w:ind w:left="2194" w:hanging="180"/>
      </w:pPr>
    </w:lvl>
    <w:lvl w:ilvl="3" w:tplc="0409000F" w:tentative="1">
      <w:start w:val="1"/>
      <w:numFmt w:val="decimal"/>
      <w:lvlText w:val="%4."/>
      <w:lvlJc w:val="left"/>
      <w:pPr>
        <w:ind w:left="2914" w:hanging="360"/>
      </w:pPr>
    </w:lvl>
    <w:lvl w:ilvl="4" w:tplc="04090019" w:tentative="1">
      <w:start w:val="1"/>
      <w:numFmt w:val="lowerLetter"/>
      <w:lvlText w:val="%5."/>
      <w:lvlJc w:val="left"/>
      <w:pPr>
        <w:ind w:left="3634" w:hanging="360"/>
      </w:pPr>
    </w:lvl>
    <w:lvl w:ilvl="5" w:tplc="0409001B" w:tentative="1">
      <w:start w:val="1"/>
      <w:numFmt w:val="lowerRoman"/>
      <w:lvlText w:val="%6."/>
      <w:lvlJc w:val="right"/>
      <w:pPr>
        <w:ind w:left="4354" w:hanging="180"/>
      </w:pPr>
    </w:lvl>
    <w:lvl w:ilvl="6" w:tplc="0409000F" w:tentative="1">
      <w:start w:val="1"/>
      <w:numFmt w:val="decimal"/>
      <w:lvlText w:val="%7."/>
      <w:lvlJc w:val="left"/>
      <w:pPr>
        <w:ind w:left="5074" w:hanging="360"/>
      </w:pPr>
    </w:lvl>
    <w:lvl w:ilvl="7" w:tplc="04090019" w:tentative="1">
      <w:start w:val="1"/>
      <w:numFmt w:val="lowerLetter"/>
      <w:lvlText w:val="%8."/>
      <w:lvlJc w:val="left"/>
      <w:pPr>
        <w:ind w:left="5794" w:hanging="360"/>
      </w:pPr>
    </w:lvl>
    <w:lvl w:ilvl="8" w:tplc="0409001B" w:tentative="1">
      <w:start w:val="1"/>
      <w:numFmt w:val="lowerRoman"/>
      <w:lvlText w:val="%9."/>
      <w:lvlJc w:val="right"/>
      <w:pPr>
        <w:ind w:left="6514" w:hanging="180"/>
      </w:pPr>
    </w:lvl>
  </w:abstractNum>
  <w:abstractNum w:abstractNumId="346" w15:restartNumberingAfterBreak="0">
    <w:nsid w:val="68901F50"/>
    <w:multiLevelType w:val="hybridMultilevel"/>
    <w:tmpl w:val="D23842BA"/>
    <w:lvl w:ilvl="0" w:tplc="100A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7" w15:restartNumberingAfterBreak="0">
    <w:nsid w:val="68B125D2"/>
    <w:multiLevelType w:val="hybridMultilevel"/>
    <w:tmpl w:val="1866642C"/>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48" w15:restartNumberingAfterBreak="0">
    <w:nsid w:val="68CD4375"/>
    <w:multiLevelType w:val="multilevel"/>
    <w:tmpl w:val="A37A0BCE"/>
    <w:lvl w:ilvl="0">
      <w:start w:val="1"/>
      <w:numFmt w:val="lowerLetter"/>
      <w:lvlText w:val="%1."/>
      <w:lvlJc w:val="left"/>
      <w:pPr>
        <w:ind w:left="360" w:hanging="360"/>
      </w:pPr>
      <w:rPr>
        <w:rFont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349" w15:restartNumberingAfterBreak="0">
    <w:nsid w:val="6992663C"/>
    <w:multiLevelType w:val="hybridMultilevel"/>
    <w:tmpl w:val="BDD060C8"/>
    <w:lvl w:ilvl="0" w:tplc="100A0019">
      <w:start w:val="1"/>
      <w:numFmt w:val="lowerLetter"/>
      <w:lvlText w:val="%1."/>
      <w:lvlJc w:val="left"/>
      <w:pPr>
        <w:ind w:left="360" w:hanging="360"/>
      </w:pPr>
      <w:rPr>
        <w:rFonts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50" w15:restartNumberingAfterBreak="0">
    <w:nsid w:val="69DA0B4C"/>
    <w:multiLevelType w:val="hybridMultilevel"/>
    <w:tmpl w:val="22BA7DD8"/>
    <w:lvl w:ilvl="0" w:tplc="100A0019">
      <w:start w:val="1"/>
      <w:numFmt w:val="lowerLetter"/>
      <w:lvlText w:val="%1."/>
      <w:lvlJc w:val="left"/>
      <w:pPr>
        <w:ind w:left="1080" w:hanging="360"/>
      </w:pPr>
    </w:lvl>
    <w:lvl w:ilvl="1" w:tplc="080A0019">
      <w:start w:val="1"/>
      <w:numFmt w:val="lowerLetter"/>
      <w:lvlText w:val="%2."/>
      <w:lvlJc w:val="left"/>
      <w:pPr>
        <w:ind w:left="36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51" w15:restartNumberingAfterBreak="0">
    <w:nsid w:val="69E96AA3"/>
    <w:multiLevelType w:val="hybridMultilevel"/>
    <w:tmpl w:val="57140DA0"/>
    <w:lvl w:ilvl="0" w:tplc="A3C6854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2" w15:restartNumberingAfterBreak="0">
    <w:nsid w:val="6A047496"/>
    <w:multiLevelType w:val="hybridMultilevel"/>
    <w:tmpl w:val="D65E6162"/>
    <w:lvl w:ilvl="0" w:tplc="1C0A0019">
      <w:start w:val="1"/>
      <w:numFmt w:val="lowerLetter"/>
      <w:lvlText w:val="%1."/>
      <w:lvlJc w:val="left"/>
      <w:pPr>
        <w:ind w:left="720" w:hanging="360"/>
      </w:pPr>
      <w:rPr>
        <w:rFont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53" w15:restartNumberingAfterBreak="0">
    <w:nsid w:val="6A5A4D99"/>
    <w:multiLevelType w:val="hybridMultilevel"/>
    <w:tmpl w:val="7BD8933C"/>
    <w:lvl w:ilvl="0" w:tplc="040A0001">
      <w:start w:val="1"/>
      <w:numFmt w:val="bullet"/>
      <w:lvlText w:val=""/>
      <w:lvlJc w:val="left"/>
      <w:pPr>
        <w:ind w:left="360" w:hanging="360"/>
      </w:pPr>
      <w:rPr>
        <w:rFonts w:ascii="Symbol" w:hAnsi="Symbol" w:hint="default"/>
      </w:rPr>
    </w:lvl>
    <w:lvl w:ilvl="1" w:tplc="040A0003">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54" w15:restartNumberingAfterBreak="0">
    <w:nsid w:val="6A9D508E"/>
    <w:multiLevelType w:val="hybridMultilevel"/>
    <w:tmpl w:val="AC82A7FC"/>
    <w:lvl w:ilvl="0" w:tplc="100A0019">
      <w:start w:val="1"/>
      <w:numFmt w:val="lowerLetter"/>
      <w:lvlText w:val="%1."/>
      <w:lvlJc w:val="left"/>
      <w:pPr>
        <w:ind w:left="360" w:hanging="360"/>
      </w:pPr>
      <w:rPr>
        <w:rFonts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55" w15:restartNumberingAfterBreak="0">
    <w:nsid w:val="6AA168A1"/>
    <w:multiLevelType w:val="multilevel"/>
    <w:tmpl w:val="5454973E"/>
    <w:lvl w:ilvl="0">
      <w:start w:val="1"/>
      <w:numFmt w:val="bullet"/>
      <w:lvlText w:val=""/>
      <w:lvlJc w:val="left"/>
      <w:pPr>
        <w:ind w:left="360" w:hanging="360"/>
      </w:pPr>
      <w:rPr>
        <w:rFonts w:ascii="Wingdings" w:hAnsi="Wingding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56" w15:restartNumberingAfterBreak="0">
    <w:nsid w:val="6B8B7373"/>
    <w:multiLevelType w:val="hybridMultilevel"/>
    <w:tmpl w:val="20D28544"/>
    <w:lvl w:ilvl="0" w:tplc="0409000F">
      <w:start w:val="1"/>
      <w:numFmt w:val="decimal"/>
      <w:lvlText w:val="%1."/>
      <w:lvlJc w:val="left"/>
      <w:pPr>
        <w:ind w:left="720" w:hanging="360"/>
      </w:pPr>
    </w:lvl>
    <w:lvl w:ilvl="1" w:tplc="0C0A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7" w15:restartNumberingAfterBreak="0">
    <w:nsid w:val="6B9037FC"/>
    <w:multiLevelType w:val="hybridMultilevel"/>
    <w:tmpl w:val="CF08EE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8" w15:restartNumberingAfterBreak="0">
    <w:nsid w:val="6C106550"/>
    <w:multiLevelType w:val="hybridMultilevel"/>
    <w:tmpl w:val="EBE8EC3A"/>
    <w:lvl w:ilvl="0" w:tplc="1C0A0019">
      <w:start w:val="1"/>
      <w:numFmt w:val="lowerLetter"/>
      <w:lvlText w:val="%1."/>
      <w:lvlJc w:val="left"/>
      <w:pPr>
        <w:ind w:left="928" w:hanging="360"/>
      </w:pPr>
      <w:rPr>
        <w:rFonts w:hint="default"/>
      </w:rPr>
    </w:lvl>
    <w:lvl w:ilvl="1" w:tplc="100A0019" w:tentative="1">
      <w:start w:val="1"/>
      <w:numFmt w:val="lowerLetter"/>
      <w:lvlText w:val="%2."/>
      <w:lvlJc w:val="left"/>
      <w:pPr>
        <w:ind w:left="1800" w:hanging="360"/>
      </w:pPr>
    </w:lvl>
    <w:lvl w:ilvl="2" w:tplc="100A001B" w:tentative="1">
      <w:start w:val="1"/>
      <w:numFmt w:val="lowerRoman"/>
      <w:lvlText w:val="%3."/>
      <w:lvlJc w:val="right"/>
      <w:pPr>
        <w:ind w:left="2520" w:hanging="180"/>
      </w:pPr>
    </w:lvl>
    <w:lvl w:ilvl="3" w:tplc="100A000F" w:tentative="1">
      <w:start w:val="1"/>
      <w:numFmt w:val="decimal"/>
      <w:lvlText w:val="%4."/>
      <w:lvlJc w:val="left"/>
      <w:pPr>
        <w:ind w:left="3240" w:hanging="360"/>
      </w:pPr>
    </w:lvl>
    <w:lvl w:ilvl="4" w:tplc="100A0019" w:tentative="1">
      <w:start w:val="1"/>
      <w:numFmt w:val="lowerLetter"/>
      <w:lvlText w:val="%5."/>
      <w:lvlJc w:val="left"/>
      <w:pPr>
        <w:ind w:left="3960" w:hanging="360"/>
      </w:pPr>
    </w:lvl>
    <w:lvl w:ilvl="5" w:tplc="100A001B" w:tentative="1">
      <w:start w:val="1"/>
      <w:numFmt w:val="lowerRoman"/>
      <w:lvlText w:val="%6."/>
      <w:lvlJc w:val="right"/>
      <w:pPr>
        <w:ind w:left="4680" w:hanging="180"/>
      </w:pPr>
    </w:lvl>
    <w:lvl w:ilvl="6" w:tplc="100A000F" w:tentative="1">
      <w:start w:val="1"/>
      <w:numFmt w:val="decimal"/>
      <w:lvlText w:val="%7."/>
      <w:lvlJc w:val="left"/>
      <w:pPr>
        <w:ind w:left="5400" w:hanging="360"/>
      </w:pPr>
    </w:lvl>
    <w:lvl w:ilvl="7" w:tplc="100A0019" w:tentative="1">
      <w:start w:val="1"/>
      <w:numFmt w:val="lowerLetter"/>
      <w:lvlText w:val="%8."/>
      <w:lvlJc w:val="left"/>
      <w:pPr>
        <w:ind w:left="6120" w:hanging="360"/>
      </w:pPr>
    </w:lvl>
    <w:lvl w:ilvl="8" w:tplc="100A001B" w:tentative="1">
      <w:start w:val="1"/>
      <w:numFmt w:val="lowerRoman"/>
      <w:lvlText w:val="%9."/>
      <w:lvlJc w:val="right"/>
      <w:pPr>
        <w:ind w:left="6840" w:hanging="180"/>
      </w:pPr>
    </w:lvl>
  </w:abstractNum>
  <w:abstractNum w:abstractNumId="359" w15:restartNumberingAfterBreak="0">
    <w:nsid w:val="6C524E78"/>
    <w:multiLevelType w:val="hybridMultilevel"/>
    <w:tmpl w:val="4BD6C86A"/>
    <w:lvl w:ilvl="0" w:tplc="080A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0" w15:restartNumberingAfterBreak="0">
    <w:nsid w:val="6C913683"/>
    <w:multiLevelType w:val="hybridMultilevel"/>
    <w:tmpl w:val="9692E5EE"/>
    <w:lvl w:ilvl="0" w:tplc="1C0A0019">
      <w:start w:val="1"/>
      <w:numFmt w:val="lowerLetter"/>
      <w:lvlText w:val="%1."/>
      <w:lvlJc w:val="left"/>
      <w:pPr>
        <w:ind w:left="720" w:hanging="360"/>
      </w:pPr>
      <w:rPr>
        <w:rFonts w:hint="default"/>
      </w:rPr>
    </w:lvl>
    <w:lvl w:ilvl="1" w:tplc="04090003">
      <w:start w:val="1"/>
      <w:numFmt w:val="bullet"/>
      <w:lvlText w:val="o"/>
      <w:lvlJc w:val="left"/>
      <w:pPr>
        <w:ind w:left="1145" w:hanging="360"/>
      </w:pPr>
      <w:rPr>
        <w:rFonts w:ascii="Courier New" w:hAnsi="Courier New" w:cs="Courier New" w:hint="default"/>
      </w:rPr>
    </w:lvl>
    <w:lvl w:ilvl="2" w:tplc="04090005" w:tentative="1">
      <w:start w:val="1"/>
      <w:numFmt w:val="bullet"/>
      <w:lvlText w:val=""/>
      <w:lvlJc w:val="left"/>
      <w:pPr>
        <w:ind w:left="1865" w:hanging="360"/>
      </w:pPr>
      <w:rPr>
        <w:rFonts w:ascii="Wingdings" w:hAnsi="Wingdings" w:hint="default"/>
      </w:rPr>
    </w:lvl>
    <w:lvl w:ilvl="3" w:tplc="04090001" w:tentative="1">
      <w:start w:val="1"/>
      <w:numFmt w:val="bullet"/>
      <w:lvlText w:val=""/>
      <w:lvlJc w:val="left"/>
      <w:pPr>
        <w:ind w:left="2585" w:hanging="360"/>
      </w:pPr>
      <w:rPr>
        <w:rFonts w:ascii="Symbol" w:hAnsi="Symbol" w:hint="default"/>
      </w:rPr>
    </w:lvl>
    <w:lvl w:ilvl="4" w:tplc="04090003" w:tentative="1">
      <w:start w:val="1"/>
      <w:numFmt w:val="bullet"/>
      <w:lvlText w:val="o"/>
      <w:lvlJc w:val="left"/>
      <w:pPr>
        <w:ind w:left="3305" w:hanging="360"/>
      </w:pPr>
      <w:rPr>
        <w:rFonts w:ascii="Courier New" w:hAnsi="Courier New" w:cs="Courier New" w:hint="default"/>
      </w:rPr>
    </w:lvl>
    <w:lvl w:ilvl="5" w:tplc="04090005" w:tentative="1">
      <w:start w:val="1"/>
      <w:numFmt w:val="bullet"/>
      <w:lvlText w:val=""/>
      <w:lvlJc w:val="left"/>
      <w:pPr>
        <w:ind w:left="4025" w:hanging="360"/>
      </w:pPr>
      <w:rPr>
        <w:rFonts w:ascii="Wingdings" w:hAnsi="Wingdings" w:hint="default"/>
      </w:rPr>
    </w:lvl>
    <w:lvl w:ilvl="6" w:tplc="04090001" w:tentative="1">
      <w:start w:val="1"/>
      <w:numFmt w:val="bullet"/>
      <w:lvlText w:val=""/>
      <w:lvlJc w:val="left"/>
      <w:pPr>
        <w:ind w:left="4745" w:hanging="360"/>
      </w:pPr>
      <w:rPr>
        <w:rFonts w:ascii="Symbol" w:hAnsi="Symbol" w:hint="default"/>
      </w:rPr>
    </w:lvl>
    <w:lvl w:ilvl="7" w:tplc="04090003" w:tentative="1">
      <w:start w:val="1"/>
      <w:numFmt w:val="bullet"/>
      <w:lvlText w:val="o"/>
      <w:lvlJc w:val="left"/>
      <w:pPr>
        <w:ind w:left="5465" w:hanging="360"/>
      </w:pPr>
      <w:rPr>
        <w:rFonts w:ascii="Courier New" w:hAnsi="Courier New" w:cs="Courier New" w:hint="default"/>
      </w:rPr>
    </w:lvl>
    <w:lvl w:ilvl="8" w:tplc="04090005" w:tentative="1">
      <w:start w:val="1"/>
      <w:numFmt w:val="bullet"/>
      <w:lvlText w:val=""/>
      <w:lvlJc w:val="left"/>
      <w:pPr>
        <w:ind w:left="6185" w:hanging="360"/>
      </w:pPr>
      <w:rPr>
        <w:rFonts w:ascii="Wingdings" w:hAnsi="Wingdings" w:hint="default"/>
      </w:rPr>
    </w:lvl>
  </w:abstractNum>
  <w:abstractNum w:abstractNumId="361" w15:restartNumberingAfterBreak="0">
    <w:nsid w:val="6D0700E9"/>
    <w:multiLevelType w:val="hybridMultilevel"/>
    <w:tmpl w:val="236AFA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2" w15:restartNumberingAfterBreak="0">
    <w:nsid w:val="6D093F08"/>
    <w:multiLevelType w:val="hybridMultilevel"/>
    <w:tmpl w:val="54C8F5DA"/>
    <w:lvl w:ilvl="0" w:tplc="0C0A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3" w15:restartNumberingAfterBreak="0">
    <w:nsid w:val="6D39058F"/>
    <w:multiLevelType w:val="multilevel"/>
    <w:tmpl w:val="FF9CAC9E"/>
    <w:lvl w:ilvl="0">
      <w:start w:val="1"/>
      <w:numFmt w:val="decimal"/>
      <w:lvlText w:val="%1."/>
      <w:lvlJc w:val="left"/>
      <w:pPr>
        <w:ind w:left="410" w:hanging="360"/>
      </w:pPr>
      <w:rPr>
        <w:rFonts w:hint="default"/>
      </w:rPr>
    </w:lvl>
    <w:lvl w:ilvl="1">
      <w:start w:val="1"/>
      <w:numFmt w:val="lowerLetter"/>
      <w:lvlText w:val="%2)"/>
      <w:lvlJc w:val="left"/>
      <w:pPr>
        <w:ind w:left="410" w:hanging="360"/>
      </w:pPr>
      <w:rPr>
        <w:rFonts w:hint="default"/>
        <w:color w:val="auto"/>
      </w:rPr>
    </w:lvl>
    <w:lvl w:ilvl="2">
      <w:start w:val="1"/>
      <w:numFmt w:val="decimal"/>
      <w:isLgl/>
      <w:lvlText w:val="%1.%2.%3"/>
      <w:lvlJc w:val="left"/>
      <w:pPr>
        <w:ind w:left="770" w:hanging="720"/>
      </w:pPr>
      <w:rPr>
        <w:rFonts w:hint="default"/>
      </w:rPr>
    </w:lvl>
    <w:lvl w:ilvl="3">
      <w:start w:val="1"/>
      <w:numFmt w:val="decimal"/>
      <w:isLgl/>
      <w:lvlText w:val="%1.%2.%3.%4"/>
      <w:lvlJc w:val="left"/>
      <w:pPr>
        <w:ind w:left="1130" w:hanging="1080"/>
      </w:pPr>
      <w:rPr>
        <w:rFonts w:hint="default"/>
      </w:rPr>
    </w:lvl>
    <w:lvl w:ilvl="4">
      <w:start w:val="1"/>
      <w:numFmt w:val="decimal"/>
      <w:isLgl/>
      <w:lvlText w:val="%1.%2.%3.%4.%5"/>
      <w:lvlJc w:val="left"/>
      <w:pPr>
        <w:ind w:left="1130" w:hanging="1080"/>
      </w:pPr>
      <w:rPr>
        <w:rFonts w:hint="default"/>
      </w:rPr>
    </w:lvl>
    <w:lvl w:ilvl="5">
      <w:start w:val="1"/>
      <w:numFmt w:val="decimal"/>
      <w:isLgl/>
      <w:lvlText w:val="%1.%2.%3.%4.%5.%6"/>
      <w:lvlJc w:val="left"/>
      <w:pPr>
        <w:ind w:left="1490" w:hanging="1440"/>
      </w:pPr>
      <w:rPr>
        <w:rFonts w:hint="default"/>
      </w:rPr>
    </w:lvl>
    <w:lvl w:ilvl="6">
      <w:start w:val="1"/>
      <w:numFmt w:val="decimal"/>
      <w:isLgl/>
      <w:lvlText w:val="%1.%2.%3.%4.%5.%6.%7"/>
      <w:lvlJc w:val="left"/>
      <w:pPr>
        <w:ind w:left="1490" w:hanging="1440"/>
      </w:pPr>
      <w:rPr>
        <w:rFonts w:hint="default"/>
      </w:rPr>
    </w:lvl>
    <w:lvl w:ilvl="7">
      <w:start w:val="1"/>
      <w:numFmt w:val="decimal"/>
      <w:isLgl/>
      <w:lvlText w:val="%1.%2.%3.%4.%5.%6.%7.%8"/>
      <w:lvlJc w:val="left"/>
      <w:pPr>
        <w:ind w:left="1850" w:hanging="1800"/>
      </w:pPr>
      <w:rPr>
        <w:rFonts w:hint="default"/>
      </w:rPr>
    </w:lvl>
    <w:lvl w:ilvl="8">
      <w:start w:val="1"/>
      <w:numFmt w:val="decimal"/>
      <w:isLgl/>
      <w:lvlText w:val="%1.%2.%3.%4.%5.%6.%7.%8.%9"/>
      <w:lvlJc w:val="left"/>
      <w:pPr>
        <w:ind w:left="1850" w:hanging="1800"/>
      </w:pPr>
      <w:rPr>
        <w:rFonts w:hint="default"/>
      </w:rPr>
    </w:lvl>
  </w:abstractNum>
  <w:abstractNum w:abstractNumId="364" w15:restartNumberingAfterBreak="0">
    <w:nsid w:val="6D8A203D"/>
    <w:multiLevelType w:val="hybridMultilevel"/>
    <w:tmpl w:val="41F01BF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5" w15:restartNumberingAfterBreak="0">
    <w:nsid w:val="6DEC48FE"/>
    <w:multiLevelType w:val="multilevel"/>
    <w:tmpl w:val="FCAAA5B0"/>
    <w:lvl w:ilvl="0">
      <w:start w:val="1"/>
      <w:numFmt w:val="lowerLetter"/>
      <w:lvlText w:val="%1."/>
      <w:lvlJc w:val="left"/>
      <w:pPr>
        <w:ind w:left="360" w:hanging="360"/>
      </w:pPr>
      <w:rPr>
        <w:rFont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366" w15:restartNumberingAfterBreak="0">
    <w:nsid w:val="6EC705CA"/>
    <w:multiLevelType w:val="hybridMultilevel"/>
    <w:tmpl w:val="76AAC4C4"/>
    <w:lvl w:ilvl="0" w:tplc="1C0A0019">
      <w:start w:val="1"/>
      <w:numFmt w:val="lowerLetter"/>
      <w:lvlText w:val="%1."/>
      <w:lvlJc w:val="left"/>
      <w:pPr>
        <w:ind w:left="720" w:hanging="360"/>
      </w:pPr>
      <w:rPr>
        <w:rFont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67" w15:restartNumberingAfterBreak="0">
    <w:nsid w:val="6F752C21"/>
    <w:multiLevelType w:val="hybridMultilevel"/>
    <w:tmpl w:val="1F46440E"/>
    <w:lvl w:ilvl="0" w:tplc="100A0019">
      <w:start w:val="1"/>
      <w:numFmt w:val="lowerLetter"/>
      <w:lvlText w:val="%1."/>
      <w:lvlJc w:val="left"/>
      <w:pPr>
        <w:ind w:left="360" w:hanging="360"/>
      </w:pPr>
      <w:rPr>
        <w:rFonts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68" w15:restartNumberingAfterBreak="0">
    <w:nsid w:val="6FA96B80"/>
    <w:multiLevelType w:val="hybridMultilevel"/>
    <w:tmpl w:val="A58A23B2"/>
    <w:lvl w:ilvl="0" w:tplc="100A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9" w15:restartNumberingAfterBreak="0">
    <w:nsid w:val="6FB71482"/>
    <w:multiLevelType w:val="multilevel"/>
    <w:tmpl w:val="F53A5652"/>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70" w15:restartNumberingAfterBreak="0">
    <w:nsid w:val="6FF27805"/>
    <w:multiLevelType w:val="multilevel"/>
    <w:tmpl w:val="E9F4CAD6"/>
    <w:lvl w:ilvl="0">
      <w:start w:val="1"/>
      <w:numFmt w:val="lowerLetter"/>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71" w15:restartNumberingAfterBreak="0">
    <w:nsid w:val="6FFA1115"/>
    <w:multiLevelType w:val="hybridMultilevel"/>
    <w:tmpl w:val="E7CAC7CA"/>
    <w:lvl w:ilvl="0" w:tplc="1C0A0019">
      <w:start w:val="1"/>
      <w:numFmt w:val="lowerLetter"/>
      <w:lvlText w:val="%1."/>
      <w:lvlJc w:val="left"/>
      <w:pPr>
        <w:ind w:left="754" w:hanging="360"/>
      </w:pPr>
      <w:rPr>
        <w:rFonts w:hint="default"/>
      </w:rPr>
    </w:lvl>
    <w:lvl w:ilvl="1" w:tplc="04090019" w:tentative="1">
      <w:start w:val="1"/>
      <w:numFmt w:val="lowerLetter"/>
      <w:lvlText w:val="%2."/>
      <w:lvlJc w:val="left"/>
      <w:pPr>
        <w:ind w:left="1474" w:hanging="360"/>
      </w:pPr>
    </w:lvl>
    <w:lvl w:ilvl="2" w:tplc="0409001B" w:tentative="1">
      <w:start w:val="1"/>
      <w:numFmt w:val="lowerRoman"/>
      <w:lvlText w:val="%3."/>
      <w:lvlJc w:val="right"/>
      <w:pPr>
        <w:ind w:left="2194" w:hanging="180"/>
      </w:pPr>
    </w:lvl>
    <w:lvl w:ilvl="3" w:tplc="0409000F" w:tentative="1">
      <w:start w:val="1"/>
      <w:numFmt w:val="decimal"/>
      <w:lvlText w:val="%4."/>
      <w:lvlJc w:val="left"/>
      <w:pPr>
        <w:ind w:left="2914" w:hanging="360"/>
      </w:pPr>
    </w:lvl>
    <w:lvl w:ilvl="4" w:tplc="04090019" w:tentative="1">
      <w:start w:val="1"/>
      <w:numFmt w:val="lowerLetter"/>
      <w:lvlText w:val="%5."/>
      <w:lvlJc w:val="left"/>
      <w:pPr>
        <w:ind w:left="3634" w:hanging="360"/>
      </w:pPr>
    </w:lvl>
    <w:lvl w:ilvl="5" w:tplc="0409001B" w:tentative="1">
      <w:start w:val="1"/>
      <w:numFmt w:val="lowerRoman"/>
      <w:lvlText w:val="%6."/>
      <w:lvlJc w:val="right"/>
      <w:pPr>
        <w:ind w:left="4354" w:hanging="180"/>
      </w:pPr>
    </w:lvl>
    <w:lvl w:ilvl="6" w:tplc="0409000F" w:tentative="1">
      <w:start w:val="1"/>
      <w:numFmt w:val="decimal"/>
      <w:lvlText w:val="%7."/>
      <w:lvlJc w:val="left"/>
      <w:pPr>
        <w:ind w:left="5074" w:hanging="360"/>
      </w:pPr>
    </w:lvl>
    <w:lvl w:ilvl="7" w:tplc="04090019" w:tentative="1">
      <w:start w:val="1"/>
      <w:numFmt w:val="lowerLetter"/>
      <w:lvlText w:val="%8."/>
      <w:lvlJc w:val="left"/>
      <w:pPr>
        <w:ind w:left="5794" w:hanging="360"/>
      </w:pPr>
    </w:lvl>
    <w:lvl w:ilvl="8" w:tplc="0409001B" w:tentative="1">
      <w:start w:val="1"/>
      <w:numFmt w:val="lowerRoman"/>
      <w:lvlText w:val="%9."/>
      <w:lvlJc w:val="right"/>
      <w:pPr>
        <w:ind w:left="6514" w:hanging="180"/>
      </w:pPr>
    </w:lvl>
  </w:abstractNum>
  <w:abstractNum w:abstractNumId="372" w15:restartNumberingAfterBreak="0">
    <w:nsid w:val="700F4D92"/>
    <w:multiLevelType w:val="multilevel"/>
    <w:tmpl w:val="4F5605B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73" w15:restartNumberingAfterBreak="0">
    <w:nsid w:val="705966C0"/>
    <w:multiLevelType w:val="multilevel"/>
    <w:tmpl w:val="A78ACA3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4" w15:restartNumberingAfterBreak="0">
    <w:nsid w:val="707D2D6A"/>
    <w:multiLevelType w:val="multilevel"/>
    <w:tmpl w:val="36DAD8DE"/>
    <w:lvl w:ilvl="0">
      <w:start w:val="1"/>
      <w:numFmt w:val="lowerLetter"/>
      <w:lvlText w:val="%1."/>
      <w:lvlJc w:val="left"/>
      <w:pPr>
        <w:ind w:left="108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75" w15:restartNumberingAfterBreak="0">
    <w:nsid w:val="70A65CFC"/>
    <w:multiLevelType w:val="multilevel"/>
    <w:tmpl w:val="A3F801B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1"/>
      <w:numFmt w:val="decimal"/>
      <w:lvlText w:val="%4"/>
      <w:lvlJc w:val="left"/>
      <w:pPr>
        <w:ind w:left="2912" w:hanging="360"/>
      </w:pPr>
      <w:rPr>
        <w:rFonts w:hint="default"/>
      </w:rPr>
    </w:lvl>
    <w:lvl w:ilvl="4">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6" w15:restartNumberingAfterBreak="0">
    <w:nsid w:val="70CF7CE7"/>
    <w:multiLevelType w:val="multilevel"/>
    <w:tmpl w:val="6D1C32B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7" w15:restartNumberingAfterBreak="0">
    <w:nsid w:val="70E37526"/>
    <w:multiLevelType w:val="hybridMultilevel"/>
    <w:tmpl w:val="00C87002"/>
    <w:lvl w:ilvl="0" w:tplc="1C0A0019">
      <w:start w:val="1"/>
      <w:numFmt w:val="lowerLetter"/>
      <w:lvlText w:val="%1."/>
      <w:lvlJc w:val="left"/>
      <w:pPr>
        <w:ind w:left="459" w:hanging="360"/>
      </w:pPr>
      <w:rPr>
        <w:rFonts w:hint="default"/>
      </w:rPr>
    </w:lvl>
    <w:lvl w:ilvl="1" w:tplc="04090003">
      <w:start w:val="1"/>
      <w:numFmt w:val="bullet"/>
      <w:lvlText w:val="o"/>
      <w:lvlJc w:val="left"/>
      <w:pPr>
        <w:ind w:left="1179" w:hanging="360"/>
      </w:pPr>
      <w:rPr>
        <w:rFonts w:ascii="Courier New" w:hAnsi="Courier New" w:cs="Courier New" w:hint="default"/>
      </w:rPr>
    </w:lvl>
    <w:lvl w:ilvl="2" w:tplc="04090005" w:tentative="1">
      <w:start w:val="1"/>
      <w:numFmt w:val="bullet"/>
      <w:lvlText w:val=""/>
      <w:lvlJc w:val="left"/>
      <w:pPr>
        <w:ind w:left="1899" w:hanging="360"/>
      </w:pPr>
      <w:rPr>
        <w:rFonts w:ascii="Wingdings" w:hAnsi="Wingdings" w:hint="default"/>
      </w:rPr>
    </w:lvl>
    <w:lvl w:ilvl="3" w:tplc="04090001" w:tentative="1">
      <w:start w:val="1"/>
      <w:numFmt w:val="bullet"/>
      <w:lvlText w:val=""/>
      <w:lvlJc w:val="left"/>
      <w:pPr>
        <w:ind w:left="2619" w:hanging="360"/>
      </w:pPr>
      <w:rPr>
        <w:rFonts w:ascii="Symbol" w:hAnsi="Symbol" w:hint="default"/>
      </w:rPr>
    </w:lvl>
    <w:lvl w:ilvl="4" w:tplc="04090003" w:tentative="1">
      <w:start w:val="1"/>
      <w:numFmt w:val="bullet"/>
      <w:lvlText w:val="o"/>
      <w:lvlJc w:val="left"/>
      <w:pPr>
        <w:ind w:left="3339" w:hanging="360"/>
      </w:pPr>
      <w:rPr>
        <w:rFonts w:ascii="Courier New" w:hAnsi="Courier New" w:cs="Courier New" w:hint="default"/>
      </w:rPr>
    </w:lvl>
    <w:lvl w:ilvl="5" w:tplc="04090005" w:tentative="1">
      <w:start w:val="1"/>
      <w:numFmt w:val="bullet"/>
      <w:lvlText w:val=""/>
      <w:lvlJc w:val="left"/>
      <w:pPr>
        <w:ind w:left="4059" w:hanging="360"/>
      </w:pPr>
      <w:rPr>
        <w:rFonts w:ascii="Wingdings" w:hAnsi="Wingdings" w:hint="default"/>
      </w:rPr>
    </w:lvl>
    <w:lvl w:ilvl="6" w:tplc="04090001" w:tentative="1">
      <w:start w:val="1"/>
      <w:numFmt w:val="bullet"/>
      <w:lvlText w:val=""/>
      <w:lvlJc w:val="left"/>
      <w:pPr>
        <w:ind w:left="4779" w:hanging="360"/>
      </w:pPr>
      <w:rPr>
        <w:rFonts w:ascii="Symbol" w:hAnsi="Symbol" w:hint="default"/>
      </w:rPr>
    </w:lvl>
    <w:lvl w:ilvl="7" w:tplc="04090003" w:tentative="1">
      <w:start w:val="1"/>
      <w:numFmt w:val="bullet"/>
      <w:lvlText w:val="o"/>
      <w:lvlJc w:val="left"/>
      <w:pPr>
        <w:ind w:left="5499" w:hanging="360"/>
      </w:pPr>
      <w:rPr>
        <w:rFonts w:ascii="Courier New" w:hAnsi="Courier New" w:cs="Courier New" w:hint="default"/>
      </w:rPr>
    </w:lvl>
    <w:lvl w:ilvl="8" w:tplc="04090005" w:tentative="1">
      <w:start w:val="1"/>
      <w:numFmt w:val="bullet"/>
      <w:lvlText w:val=""/>
      <w:lvlJc w:val="left"/>
      <w:pPr>
        <w:ind w:left="6219" w:hanging="360"/>
      </w:pPr>
      <w:rPr>
        <w:rFonts w:ascii="Wingdings" w:hAnsi="Wingdings" w:hint="default"/>
      </w:rPr>
    </w:lvl>
  </w:abstractNum>
  <w:abstractNum w:abstractNumId="378" w15:restartNumberingAfterBreak="0">
    <w:nsid w:val="71005838"/>
    <w:multiLevelType w:val="hybridMultilevel"/>
    <w:tmpl w:val="438824DE"/>
    <w:lvl w:ilvl="0" w:tplc="100A0019">
      <w:start w:val="1"/>
      <w:numFmt w:val="lowerLetter"/>
      <w:lvlText w:val="%1."/>
      <w:lvlJc w:val="left"/>
      <w:pPr>
        <w:ind w:left="720" w:hanging="360"/>
      </w:pPr>
      <w:rPr>
        <w:rFonts w:hint="default"/>
      </w:rPr>
    </w:lvl>
    <w:lvl w:ilvl="1" w:tplc="04090003">
      <w:start w:val="1"/>
      <w:numFmt w:val="bullet"/>
      <w:lvlText w:val="o"/>
      <w:lvlJc w:val="left"/>
      <w:pPr>
        <w:ind w:left="644"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9" w15:restartNumberingAfterBreak="0">
    <w:nsid w:val="712611E8"/>
    <w:multiLevelType w:val="hybridMultilevel"/>
    <w:tmpl w:val="43EAF136"/>
    <w:lvl w:ilvl="0" w:tplc="1C0A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0" w15:restartNumberingAfterBreak="0">
    <w:nsid w:val="713A0150"/>
    <w:multiLevelType w:val="hybridMultilevel"/>
    <w:tmpl w:val="F6A6E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1" w15:restartNumberingAfterBreak="0">
    <w:nsid w:val="713D0936"/>
    <w:multiLevelType w:val="hybridMultilevel"/>
    <w:tmpl w:val="05DAB914"/>
    <w:lvl w:ilvl="0" w:tplc="100A0019">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2" w15:restartNumberingAfterBreak="0">
    <w:nsid w:val="71DD0DFE"/>
    <w:multiLevelType w:val="hybridMultilevel"/>
    <w:tmpl w:val="16307F46"/>
    <w:lvl w:ilvl="0" w:tplc="100A0019">
      <w:start w:val="1"/>
      <w:numFmt w:val="lowerLetter"/>
      <w:lvlText w:val="%1."/>
      <w:lvlJc w:val="left"/>
      <w:pPr>
        <w:ind w:left="644" w:hanging="360"/>
      </w:pPr>
      <w:rPr>
        <w:rFonts w:hint="default"/>
      </w:rPr>
    </w:lvl>
    <w:lvl w:ilvl="1" w:tplc="08090003" w:tentative="1">
      <w:start w:val="1"/>
      <w:numFmt w:val="bullet"/>
      <w:lvlText w:val="o"/>
      <w:lvlJc w:val="left"/>
      <w:pPr>
        <w:ind w:left="2071" w:hanging="360"/>
      </w:pPr>
      <w:rPr>
        <w:rFonts w:ascii="Courier New" w:hAnsi="Courier New" w:cs="Courier New" w:hint="default"/>
      </w:rPr>
    </w:lvl>
    <w:lvl w:ilvl="2" w:tplc="08090005" w:tentative="1">
      <w:start w:val="1"/>
      <w:numFmt w:val="bullet"/>
      <w:lvlText w:val=""/>
      <w:lvlJc w:val="left"/>
      <w:pPr>
        <w:ind w:left="2791" w:hanging="360"/>
      </w:pPr>
      <w:rPr>
        <w:rFonts w:ascii="Wingdings" w:hAnsi="Wingdings" w:hint="default"/>
      </w:rPr>
    </w:lvl>
    <w:lvl w:ilvl="3" w:tplc="08090001" w:tentative="1">
      <w:start w:val="1"/>
      <w:numFmt w:val="bullet"/>
      <w:lvlText w:val=""/>
      <w:lvlJc w:val="left"/>
      <w:pPr>
        <w:ind w:left="3511" w:hanging="360"/>
      </w:pPr>
      <w:rPr>
        <w:rFonts w:ascii="Symbol" w:hAnsi="Symbol" w:hint="default"/>
      </w:rPr>
    </w:lvl>
    <w:lvl w:ilvl="4" w:tplc="08090003" w:tentative="1">
      <w:start w:val="1"/>
      <w:numFmt w:val="bullet"/>
      <w:lvlText w:val="o"/>
      <w:lvlJc w:val="left"/>
      <w:pPr>
        <w:ind w:left="4231" w:hanging="360"/>
      </w:pPr>
      <w:rPr>
        <w:rFonts w:ascii="Courier New" w:hAnsi="Courier New" w:cs="Courier New" w:hint="default"/>
      </w:rPr>
    </w:lvl>
    <w:lvl w:ilvl="5" w:tplc="08090005" w:tentative="1">
      <w:start w:val="1"/>
      <w:numFmt w:val="bullet"/>
      <w:lvlText w:val=""/>
      <w:lvlJc w:val="left"/>
      <w:pPr>
        <w:ind w:left="4951" w:hanging="360"/>
      </w:pPr>
      <w:rPr>
        <w:rFonts w:ascii="Wingdings" w:hAnsi="Wingdings" w:hint="default"/>
      </w:rPr>
    </w:lvl>
    <w:lvl w:ilvl="6" w:tplc="08090001" w:tentative="1">
      <w:start w:val="1"/>
      <w:numFmt w:val="bullet"/>
      <w:lvlText w:val=""/>
      <w:lvlJc w:val="left"/>
      <w:pPr>
        <w:ind w:left="5671" w:hanging="360"/>
      </w:pPr>
      <w:rPr>
        <w:rFonts w:ascii="Symbol" w:hAnsi="Symbol" w:hint="default"/>
      </w:rPr>
    </w:lvl>
    <w:lvl w:ilvl="7" w:tplc="08090003" w:tentative="1">
      <w:start w:val="1"/>
      <w:numFmt w:val="bullet"/>
      <w:lvlText w:val="o"/>
      <w:lvlJc w:val="left"/>
      <w:pPr>
        <w:ind w:left="6391" w:hanging="360"/>
      </w:pPr>
      <w:rPr>
        <w:rFonts w:ascii="Courier New" w:hAnsi="Courier New" w:cs="Courier New" w:hint="default"/>
      </w:rPr>
    </w:lvl>
    <w:lvl w:ilvl="8" w:tplc="08090005" w:tentative="1">
      <w:start w:val="1"/>
      <w:numFmt w:val="bullet"/>
      <w:lvlText w:val=""/>
      <w:lvlJc w:val="left"/>
      <w:pPr>
        <w:ind w:left="7111" w:hanging="360"/>
      </w:pPr>
      <w:rPr>
        <w:rFonts w:ascii="Wingdings" w:hAnsi="Wingdings" w:hint="default"/>
      </w:rPr>
    </w:lvl>
  </w:abstractNum>
  <w:abstractNum w:abstractNumId="383" w15:restartNumberingAfterBreak="0">
    <w:nsid w:val="721A1EFF"/>
    <w:multiLevelType w:val="hybridMultilevel"/>
    <w:tmpl w:val="565A2B38"/>
    <w:lvl w:ilvl="0" w:tplc="CB3A16EA">
      <w:start w:val="1"/>
      <w:numFmt w:val="lowerLetter"/>
      <w:lvlText w:val="%1."/>
      <w:lvlJc w:val="left"/>
      <w:pPr>
        <w:ind w:left="394" w:hanging="360"/>
      </w:pPr>
      <w:rPr>
        <w:rFonts w:hint="default"/>
      </w:rPr>
    </w:lvl>
    <w:lvl w:ilvl="1" w:tplc="04090019" w:tentative="1">
      <w:start w:val="1"/>
      <w:numFmt w:val="lowerLetter"/>
      <w:lvlText w:val="%2."/>
      <w:lvlJc w:val="left"/>
      <w:pPr>
        <w:ind w:left="1114" w:hanging="360"/>
      </w:pPr>
    </w:lvl>
    <w:lvl w:ilvl="2" w:tplc="0409001B" w:tentative="1">
      <w:start w:val="1"/>
      <w:numFmt w:val="lowerRoman"/>
      <w:lvlText w:val="%3."/>
      <w:lvlJc w:val="right"/>
      <w:pPr>
        <w:ind w:left="1834" w:hanging="180"/>
      </w:pPr>
    </w:lvl>
    <w:lvl w:ilvl="3" w:tplc="0409000F" w:tentative="1">
      <w:start w:val="1"/>
      <w:numFmt w:val="decimal"/>
      <w:lvlText w:val="%4."/>
      <w:lvlJc w:val="left"/>
      <w:pPr>
        <w:ind w:left="2554" w:hanging="360"/>
      </w:pPr>
    </w:lvl>
    <w:lvl w:ilvl="4" w:tplc="04090019" w:tentative="1">
      <w:start w:val="1"/>
      <w:numFmt w:val="lowerLetter"/>
      <w:lvlText w:val="%5."/>
      <w:lvlJc w:val="left"/>
      <w:pPr>
        <w:ind w:left="3274" w:hanging="360"/>
      </w:pPr>
    </w:lvl>
    <w:lvl w:ilvl="5" w:tplc="0409001B" w:tentative="1">
      <w:start w:val="1"/>
      <w:numFmt w:val="lowerRoman"/>
      <w:lvlText w:val="%6."/>
      <w:lvlJc w:val="right"/>
      <w:pPr>
        <w:ind w:left="3994" w:hanging="180"/>
      </w:pPr>
    </w:lvl>
    <w:lvl w:ilvl="6" w:tplc="0409000F" w:tentative="1">
      <w:start w:val="1"/>
      <w:numFmt w:val="decimal"/>
      <w:lvlText w:val="%7."/>
      <w:lvlJc w:val="left"/>
      <w:pPr>
        <w:ind w:left="4714" w:hanging="360"/>
      </w:pPr>
    </w:lvl>
    <w:lvl w:ilvl="7" w:tplc="04090019" w:tentative="1">
      <w:start w:val="1"/>
      <w:numFmt w:val="lowerLetter"/>
      <w:lvlText w:val="%8."/>
      <w:lvlJc w:val="left"/>
      <w:pPr>
        <w:ind w:left="5434" w:hanging="360"/>
      </w:pPr>
    </w:lvl>
    <w:lvl w:ilvl="8" w:tplc="0409001B" w:tentative="1">
      <w:start w:val="1"/>
      <w:numFmt w:val="lowerRoman"/>
      <w:lvlText w:val="%9."/>
      <w:lvlJc w:val="right"/>
      <w:pPr>
        <w:ind w:left="6154" w:hanging="180"/>
      </w:pPr>
    </w:lvl>
  </w:abstractNum>
  <w:abstractNum w:abstractNumId="384" w15:restartNumberingAfterBreak="0">
    <w:nsid w:val="7232343D"/>
    <w:multiLevelType w:val="hybridMultilevel"/>
    <w:tmpl w:val="7C24E0F2"/>
    <w:lvl w:ilvl="0" w:tplc="A3C6854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5" w15:restartNumberingAfterBreak="0">
    <w:nsid w:val="723D54B7"/>
    <w:multiLevelType w:val="multilevel"/>
    <w:tmpl w:val="98E2A2CA"/>
    <w:lvl w:ilvl="0">
      <w:start w:val="1"/>
      <w:numFmt w:val="lowerLetter"/>
      <w:lvlText w:val="%1."/>
      <w:lvlJc w:val="left"/>
      <w:pPr>
        <w:ind w:left="360" w:hanging="360"/>
      </w:pPr>
      <w:rPr>
        <w:rFont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386" w15:restartNumberingAfterBreak="0">
    <w:nsid w:val="72514C8A"/>
    <w:multiLevelType w:val="hybridMultilevel"/>
    <w:tmpl w:val="1B48F7DE"/>
    <w:lvl w:ilvl="0" w:tplc="040A0001">
      <w:start w:val="1"/>
      <w:numFmt w:val="bullet"/>
      <w:lvlText w:val=""/>
      <w:lvlJc w:val="left"/>
      <w:pPr>
        <w:ind w:left="1080" w:hanging="360"/>
      </w:pPr>
      <w:rPr>
        <w:rFonts w:ascii="Symbol" w:hAnsi="Symbol" w:hint="default"/>
      </w:r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87" w15:restartNumberingAfterBreak="0">
    <w:nsid w:val="72AB6962"/>
    <w:multiLevelType w:val="hybridMultilevel"/>
    <w:tmpl w:val="DB2002E8"/>
    <w:lvl w:ilvl="0" w:tplc="1C0A0019">
      <w:start w:val="1"/>
      <w:numFmt w:val="lowerLetter"/>
      <w:lvlText w:val="%1."/>
      <w:lvlJc w:val="left"/>
      <w:pPr>
        <w:ind w:left="754" w:hanging="360"/>
      </w:pPr>
      <w:rPr>
        <w:rFonts w:hint="default"/>
      </w:rPr>
    </w:lvl>
    <w:lvl w:ilvl="1" w:tplc="04090019" w:tentative="1">
      <w:start w:val="1"/>
      <w:numFmt w:val="lowerLetter"/>
      <w:lvlText w:val="%2."/>
      <w:lvlJc w:val="left"/>
      <w:pPr>
        <w:ind w:left="1474" w:hanging="360"/>
      </w:pPr>
    </w:lvl>
    <w:lvl w:ilvl="2" w:tplc="0409001B" w:tentative="1">
      <w:start w:val="1"/>
      <w:numFmt w:val="lowerRoman"/>
      <w:lvlText w:val="%3."/>
      <w:lvlJc w:val="right"/>
      <w:pPr>
        <w:ind w:left="2194" w:hanging="180"/>
      </w:pPr>
    </w:lvl>
    <w:lvl w:ilvl="3" w:tplc="0409000F" w:tentative="1">
      <w:start w:val="1"/>
      <w:numFmt w:val="decimal"/>
      <w:lvlText w:val="%4."/>
      <w:lvlJc w:val="left"/>
      <w:pPr>
        <w:ind w:left="2914" w:hanging="360"/>
      </w:pPr>
    </w:lvl>
    <w:lvl w:ilvl="4" w:tplc="04090019" w:tentative="1">
      <w:start w:val="1"/>
      <w:numFmt w:val="lowerLetter"/>
      <w:lvlText w:val="%5."/>
      <w:lvlJc w:val="left"/>
      <w:pPr>
        <w:ind w:left="3634" w:hanging="360"/>
      </w:pPr>
    </w:lvl>
    <w:lvl w:ilvl="5" w:tplc="0409001B" w:tentative="1">
      <w:start w:val="1"/>
      <w:numFmt w:val="lowerRoman"/>
      <w:lvlText w:val="%6."/>
      <w:lvlJc w:val="right"/>
      <w:pPr>
        <w:ind w:left="4354" w:hanging="180"/>
      </w:pPr>
    </w:lvl>
    <w:lvl w:ilvl="6" w:tplc="0409000F" w:tentative="1">
      <w:start w:val="1"/>
      <w:numFmt w:val="decimal"/>
      <w:lvlText w:val="%7."/>
      <w:lvlJc w:val="left"/>
      <w:pPr>
        <w:ind w:left="5074" w:hanging="360"/>
      </w:pPr>
    </w:lvl>
    <w:lvl w:ilvl="7" w:tplc="04090019" w:tentative="1">
      <w:start w:val="1"/>
      <w:numFmt w:val="lowerLetter"/>
      <w:lvlText w:val="%8."/>
      <w:lvlJc w:val="left"/>
      <w:pPr>
        <w:ind w:left="5794" w:hanging="360"/>
      </w:pPr>
    </w:lvl>
    <w:lvl w:ilvl="8" w:tplc="0409001B" w:tentative="1">
      <w:start w:val="1"/>
      <w:numFmt w:val="lowerRoman"/>
      <w:lvlText w:val="%9."/>
      <w:lvlJc w:val="right"/>
      <w:pPr>
        <w:ind w:left="6514" w:hanging="180"/>
      </w:pPr>
    </w:lvl>
  </w:abstractNum>
  <w:abstractNum w:abstractNumId="388" w15:restartNumberingAfterBreak="0">
    <w:nsid w:val="72C66103"/>
    <w:multiLevelType w:val="hybridMultilevel"/>
    <w:tmpl w:val="1566665C"/>
    <w:lvl w:ilvl="0" w:tplc="04090019">
      <w:start w:val="1"/>
      <w:numFmt w:val="lowerLetter"/>
      <w:lvlText w:val="%1."/>
      <w:lvlJc w:val="left"/>
      <w:pPr>
        <w:ind w:left="1080" w:hanging="360"/>
      </w:pPr>
    </w:lvl>
    <w:lvl w:ilvl="1" w:tplc="7D8AA61A">
      <w:start w:val="1"/>
      <w:numFmt w:val="decimal"/>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9" w15:restartNumberingAfterBreak="0">
    <w:nsid w:val="72F577CE"/>
    <w:multiLevelType w:val="multilevel"/>
    <w:tmpl w:val="22BA7DD8"/>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90" w15:restartNumberingAfterBreak="0">
    <w:nsid w:val="737054EF"/>
    <w:multiLevelType w:val="hybridMultilevel"/>
    <w:tmpl w:val="6DFE233E"/>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391" w15:restartNumberingAfterBreak="0">
    <w:nsid w:val="73B833A1"/>
    <w:multiLevelType w:val="hybridMultilevel"/>
    <w:tmpl w:val="27E01B24"/>
    <w:lvl w:ilvl="0" w:tplc="1C0A000F">
      <w:start w:val="1"/>
      <w:numFmt w:val="decimal"/>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392" w15:restartNumberingAfterBreak="0">
    <w:nsid w:val="74147143"/>
    <w:multiLevelType w:val="multilevel"/>
    <w:tmpl w:val="F7F6237A"/>
    <w:lvl w:ilvl="0">
      <w:start w:val="1"/>
      <w:numFmt w:val="lowerLetter"/>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93" w15:restartNumberingAfterBreak="0">
    <w:nsid w:val="744955FD"/>
    <w:multiLevelType w:val="hybridMultilevel"/>
    <w:tmpl w:val="07EE865A"/>
    <w:lvl w:ilvl="0" w:tplc="1C0A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4" w15:restartNumberingAfterBreak="0">
    <w:nsid w:val="74801DE5"/>
    <w:multiLevelType w:val="multilevel"/>
    <w:tmpl w:val="3968DA9C"/>
    <w:lvl w:ilvl="0">
      <w:start w:val="1"/>
      <w:numFmt w:val="bullet"/>
      <w:lvlText w:val=""/>
      <w:lvlJc w:val="left"/>
      <w:pPr>
        <w:ind w:left="360" w:hanging="360"/>
      </w:pPr>
      <w:rPr>
        <w:rFonts w:ascii="Wingdings" w:hAnsi="Wingding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95" w15:restartNumberingAfterBreak="0">
    <w:nsid w:val="74D1402D"/>
    <w:multiLevelType w:val="hybridMultilevel"/>
    <w:tmpl w:val="34BA2C84"/>
    <w:lvl w:ilvl="0" w:tplc="8F4833B6">
      <w:start w:val="1"/>
      <w:numFmt w:val="lowerLetter"/>
      <w:lvlText w:val="%1."/>
      <w:lvlJc w:val="left"/>
      <w:pPr>
        <w:ind w:left="720" w:hanging="360"/>
      </w:pPr>
      <w:rPr>
        <w:sz w:val="24"/>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396" w15:restartNumberingAfterBreak="0">
    <w:nsid w:val="750353FB"/>
    <w:multiLevelType w:val="hybridMultilevel"/>
    <w:tmpl w:val="8ED646FE"/>
    <w:lvl w:ilvl="0" w:tplc="100A0019">
      <w:start w:val="1"/>
      <w:numFmt w:val="lowerLetter"/>
      <w:lvlText w:val="%1."/>
      <w:lvlJc w:val="left"/>
      <w:pPr>
        <w:ind w:left="720" w:hanging="360"/>
      </w:pPr>
    </w:lvl>
    <w:lvl w:ilvl="1" w:tplc="080A0019">
      <w:start w:val="1"/>
      <w:numFmt w:val="lowerLetter"/>
      <w:lvlText w:val="%2."/>
      <w:lvlJc w:val="left"/>
      <w:pPr>
        <w:ind w:left="360" w:hanging="360"/>
      </w:pPr>
    </w:lvl>
    <w:lvl w:ilvl="2" w:tplc="080A001B">
      <w:start w:val="1"/>
      <w:numFmt w:val="lowerRoman"/>
      <w:lvlText w:val="%3."/>
      <w:lvlJc w:val="right"/>
      <w:pPr>
        <w:ind w:left="2160" w:hanging="180"/>
      </w:pPr>
    </w:lvl>
    <w:lvl w:ilvl="3" w:tplc="080A000F">
      <w:start w:val="1"/>
      <w:numFmt w:val="decimal"/>
      <w:lvlText w:val="%4."/>
      <w:lvlJc w:val="left"/>
      <w:pPr>
        <w:ind w:left="36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36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397" w15:restartNumberingAfterBreak="0">
    <w:nsid w:val="76254C11"/>
    <w:multiLevelType w:val="multilevel"/>
    <w:tmpl w:val="CEFE6E64"/>
    <w:lvl w:ilvl="0">
      <w:start w:val="1"/>
      <w:numFmt w:val="decimal"/>
      <w:lvlText w:val="%1"/>
      <w:lvlJc w:val="left"/>
      <w:pPr>
        <w:ind w:left="432" w:hanging="432"/>
      </w:pPr>
    </w:lvl>
    <w:lvl w:ilvl="1">
      <w:start w:val="1"/>
      <w:numFmt w:val="upperRoman"/>
      <w:lvlText w:val="%2."/>
      <w:lvlJc w:val="right"/>
      <w:pPr>
        <w:ind w:left="576" w:hanging="576"/>
      </w:pPr>
      <w:rPr>
        <w:b/>
        <w:sz w:val="24"/>
      </w:rPr>
    </w:lvl>
    <w:lvl w:ilvl="2">
      <w:start w:val="1"/>
      <w:numFmt w:val="decimal"/>
      <w:lvlText w:val="%1.%2.%3"/>
      <w:lvlJc w:val="left"/>
      <w:pPr>
        <w:ind w:left="720" w:hanging="720"/>
      </w:pPr>
      <w:rPr>
        <w:b w:val="0"/>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98" w15:restartNumberingAfterBreak="0">
    <w:nsid w:val="763A66C4"/>
    <w:multiLevelType w:val="hybridMultilevel"/>
    <w:tmpl w:val="69D8E43E"/>
    <w:lvl w:ilvl="0" w:tplc="E1C4DC7E">
      <w:start w:val="1"/>
      <w:numFmt w:val="lowerLetter"/>
      <w:lvlText w:val="%1)"/>
      <w:lvlJc w:val="left"/>
      <w:pPr>
        <w:ind w:left="1080" w:hanging="360"/>
      </w:pPr>
      <w:rPr>
        <w:rFonts w:asciiTheme="minorHAnsi" w:eastAsiaTheme="minorHAnsi" w:hAnsiTheme="minorHAnsi" w:cs="Calibri"/>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9" w15:restartNumberingAfterBreak="0">
    <w:nsid w:val="76A02E2D"/>
    <w:multiLevelType w:val="hybridMultilevel"/>
    <w:tmpl w:val="4E568AFE"/>
    <w:lvl w:ilvl="0" w:tplc="100A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0" w15:restartNumberingAfterBreak="0">
    <w:nsid w:val="76F317B7"/>
    <w:multiLevelType w:val="multilevel"/>
    <w:tmpl w:val="5EE012A4"/>
    <w:lvl w:ilvl="0">
      <w:start w:val="1"/>
      <w:numFmt w:val="lowerLetter"/>
      <w:lvlText w:val="%1."/>
      <w:lvlJc w:val="left"/>
      <w:pPr>
        <w:ind w:left="360" w:hanging="360"/>
      </w:pPr>
      <w:rPr>
        <w:rFont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01" w15:restartNumberingAfterBreak="0">
    <w:nsid w:val="775F5C31"/>
    <w:multiLevelType w:val="hybridMultilevel"/>
    <w:tmpl w:val="326015A4"/>
    <w:lvl w:ilvl="0" w:tplc="1C0A0019">
      <w:start w:val="1"/>
      <w:numFmt w:val="lowerLetter"/>
      <w:lvlText w:val="%1."/>
      <w:lvlJc w:val="left"/>
      <w:pPr>
        <w:ind w:left="720" w:hanging="360"/>
      </w:pPr>
      <w:rPr>
        <w:rFont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02" w15:restartNumberingAfterBreak="0">
    <w:nsid w:val="77DD2EA0"/>
    <w:multiLevelType w:val="hybridMultilevel"/>
    <w:tmpl w:val="E4F89C0C"/>
    <w:lvl w:ilvl="0" w:tplc="B46894AA">
      <w:start w:val="1"/>
      <w:numFmt w:val="lowerLetter"/>
      <w:lvlText w:val="%1."/>
      <w:lvlJc w:val="left"/>
      <w:pPr>
        <w:ind w:left="535" w:hanging="360"/>
      </w:pPr>
      <w:rPr>
        <w:rFonts w:hint="default"/>
      </w:rPr>
    </w:lvl>
    <w:lvl w:ilvl="1" w:tplc="1C0A0019" w:tentative="1">
      <w:start w:val="1"/>
      <w:numFmt w:val="lowerLetter"/>
      <w:lvlText w:val="%2."/>
      <w:lvlJc w:val="left"/>
      <w:pPr>
        <w:ind w:left="1255" w:hanging="360"/>
      </w:pPr>
    </w:lvl>
    <w:lvl w:ilvl="2" w:tplc="1C0A001B" w:tentative="1">
      <w:start w:val="1"/>
      <w:numFmt w:val="lowerRoman"/>
      <w:lvlText w:val="%3."/>
      <w:lvlJc w:val="right"/>
      <w:pPr>
        <w:ind w:left="1975" w:hanging="180"/>
      </w:pPr>
    </w:lvl>
    <w:lvl w:ilvl="3" w:tplc="1C0A000F" w:tentative="1">
      <w:start w:val="1"/>
      <w:numFmt w:val="decimal"/>
      <w:lvlText w:val="%4."/>
      <w:lvlJc w:val="left"/>
      <w:pPr>
        <w:ind w:left="2695" w:hanging="360"/>
      </w:pPr>
    </w:lvl>
    <w:lvl w:ilvl="4" w:tplc="1C0A0019" w:tentative="1">
      <w:start w:val="1"/>
      <w:numFmt w:val="lowerLetter"/>
      <w:lvlText w:val="%5."/>
      <w:lvlJc w:val="left"/>
      <w:pPr>
        <w:ind w:left="3415" w:hanging="360"/>
      </w:pPr>
    </w:lvl>
    <w:lvl w:ilvl="5" w:tplc="1C0A001B" w:tentative="1">
      <w:start w:val="1"/>
      <w:numFmt w:val="lowerRoman"/>
      <w:lvlText w:val="%6."/>
      <w:lvlJc w:val="right"/>
      <w:pPr>
        <w:ind w:left="4135" w:hanging="180"/>
      </w:pPr>
    </w:lvl>
    <w:lvl w:ilvl="6" w:tplc="1C0A000F" w:tentative="1">
      <w:start w:val="1"/>
      <w:numFmt w:val="decimal"/>
      <w:lvlText w:val="%7."/>
      <w:lvlJc w:val="left"/>
      <w:pPr>
        <w:ind w:left="4855" w:hanging="360"/>
      </w:pPr>
    </w:lvl>
    <w:lvl w:ilvl="7" w:tplc="1C0A0019" w:tentative="1">
      <w:start w:val="1"/>
      <w:numFmt w:val="lowerLetter"/>
      <w:lvlText w:val="%8."/>
      <w:lvlJc w:val="left"/>
      <w:pPr>
        <w:ind w:left="5575" w:hanging="360"/>
      </w:pPr>
    </w:lvl>
    <w:lvl w:ilvl="8" w:tplc="1C0A001B" w:tentative="1">
      <w:start w:val="1"/>
      <w:numFmt w:val="lowerRoman"/>
      <w:lvlText w:val="%9."/>
      <w:lvlJc w:val="right"/>
      <w:pPr>
        <w:ind w:left="6295" w:hanging="180"/>
      </w:pPr>
    </w:lvl>
  </w:abstractNum>
  <w:abstractNum w:abstractNumId="403" w15:restartNumberingAfterBreak="0">
    <w:nsid w:val="77F8435A"/>
    <w:multiLevelType w:val="hybridMultilevel"/>
    <w:tmpl w:val="3CCA6B88"/>
    <w:lvl w:ilvl="0" w:tplc="100A0019">
      <w:start w:val="1"/>
      <w:numFmt w:val="lowerLetter"/>
      <w:lvlText w:val="%1."/>
      <w:lvlJc w:val="left"/>
      <w:pPr>
        <w:ind w:left="360" w:hanging="360"/>
      </w:pPr>
      <w:rPr>
        <w:rFonts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404" w15:restartNumberingAfterBreak="0">
    <w:nsid w:val="785A57B2"/>
    <w:multiLevelType w:val="hybridMultilevel"/>
    <w:tmpl w:val="A970D61A"/>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405" w15:restartNumberingAfterBreak="0">
    <w:nsid w:val="78E70D82"/>
    <w:multiLevelType w:val="hybridMultilevel"/>
    <w:tmpl w:val="EDA6979E"/>
    <w:lvl w:ilvl="0" w:tplc="100A0019">
      <w:start w:val="1"/>
      <w:numFmt w:val="lowerLetter"/>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406" w15:restartNumberingAfterBreak="0">
    <w:nsid w:val="79975D97"/>
    <w:multiLevelType w:val="multilevel"/>
    <w:tmpl w:val="4BD6C86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7" w15:restartNumberingAfterBreak="0">
    <w:nsid w:val="7AD6359A"/>
    <w:multiLevelType w:val="hybridMultilevel"/>
    <w:tmpl w:val="28824FB2"/>
    <w:lvl w:ilvl="0" w:tplc="080A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8" w15:restartNumberingAfterBreak="0">
    <w:nsid w:val="7AF56A5F"/>
    <w:multiLevelType w:val="hybridMultilevel"/>
    <w:tmpl w:val="A54A9F82"/>
    <w:lvl w:ilvl="0" w:tplc="BBCAC324">
      <w:start w:val="1"/>
      <w:numFmt w:val="decimal"/>
      <w:pStyle w:val="Estilo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9" w15:restartNumberingAfterBreak="0">
    <w:nsid w:val="7B0E18A0"/>
    <w:multiLevelType w:val="hybridMultilevel"/>
    <w:tmpl w:val="CA944A26"/>
    <w:lvl w:ilvl="0" w:tplc="10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410" w15:restartNumberingAfterBreak="0">
    <w:nsid w:val="7B2E53BB"/>
    <w:multiLevelType w:val="hybridMultilevel"/>
    <w:tmpl w:val="EE7497C2"/>
    <w:lvl w:ilvl="0" w:tplc="1C0A0019">
      <w:start w:val="1"/>
      <w:numFmt w:val="lowerLetter"/>
      <w:lvlText w:val="%1."/>
      <w:lvlJc w:val="left"/>
      <w:pPr>
        <w:ind w:left="720" w:hanging="360"/>
      </w:pPr>
      <w:rPr>
        <w:rFonts w:hint="default"/>
        <w:sz w:val="20"/>
        <w:szCs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1" w15:restartNumberingAfterBreak="0">
    <w:nsid w:val="7B717485"/>
    <w:multiLevelType w:val="hybridMultilevel"/>
    <w:tmpl w:val="B06A7782"/>
    <w:lvl w:ilvl="0" w:tplc="100A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2" w15:restartNumberingAfterBreak="0">
    <w:nsid w:val="7B873D2F"/>
    <w:multiLevelType w:val="hybridMultilevel"/>
    <w:tmpl w:val="C9D0CBA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3" w15:restartNumberingAfterBreak="0">
    <w:nsid w:val="7B8A2363"/>
    <w:multiLevelType w:val="multilevel"/>
    <w:tmpl w:val="98E4D7C2"/>
    <w:lvl w:ilvl="0">
      <w:start w:val="1"/>
      <w:numFmt w:val="lowerLetter"/>
      <w:lvlText w:val="%1."/>
      <w:lvlJc w:val="left"/>
      <w:pPr>
        <w:ind w:left="360" w:hanging="360"/>
      </w:pPr>
      <w:rPr>
        <w:rFont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14" w15:restartNumberingAfterBreak="0">
    <w:nsid w:val="7B913E46"/>
    <w:multiLevelType w:val="multilevel"/>
    <w:tmpl w:val="0ACA32E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5" w15:restartNumberingAfterBreak="0">
    <w:nsid w:val="7BD6068F"/>
    <w:multiLevelType w:val="multilevel"/>
    <w:tmpl w:val="60FCFE8A"/>
    <w:lvl w:ilvl="0">
      <w:start w:val="1"/>
      <w:numFmt w:val="lowerLetter"/>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16" w15:restartNumberingAfterBreak="0">
    <w:nsid w:val="7C22665B"/>
    <w:multiLevelType w:val="hybridMultilevel"/>
    <w:tmpl w:val="10A04F2E"/>
    <w:lvl w:ilvl="0" w:tplc="1C0A0019">
      <w:start w:val="1"/>
      <w:numFmt w:val="lowerLetter"/>
      <w:lvlText w:val="%1."/>
      <w:lvlJc w:val="left"/>
      <w:pPr>
        <w:ind w:left="360" w:hanging="360"/>
      </w:pPr>
      <w:rPr>
        <w:rFonts w:hint="default"/>
      </w:rPr>
    </w:lvl>
    <w:lvl w:ilvl="1" w:tplc="04090003">
      <w:start w:val="1"/>
      <w:numFmt w:val="bullet"/>
      <w:lvlText w:val="o"/>
      <w:lvlJc w:val="left"/>
      <w:pPr>
        <w:ind w:left="1145" w:hanging="360"/>
      </w:pPr>
      <w:rPr>
        <w:rFonts w:ascii="Courier New" w:hAnsi="Courier New" w:cs="Courier New" w:hint="default"/>
      </w:rPr>
    </w:lvl>
    <w:lvl w:ilvl="2" w:tplc="04090005" w:tentative="1">
      <w:start w:val="1"/>
      <w:numFmt w:val="bullet"/>
      <w:lvlText w:val=""/>
      <w:lvlJc w:val="left"/>
      <w:pPr>
        <w:ind w:left="1865" w:hanging="360"/>
      </w:pPr>
      <w:rPr>
        <w:rFonts w:ascii="Wingdings" w:hAnsi="Wingdings" w:hint="default"/>
      </w:rPr>
    </w:lvl>
    <w:lvl w:ilvl="3" w:tplc="04090001" w:tentative="1">
      <w:start w:val="1"/>
      <w:numFmt w:val="bullet"/>
      <w:lvlText w:val=""/>
      <w:lvlJc w:val="left"/>
      <w:pPr>
        <w:ind w:left="2585" w:hanging="360"/>
      </w:pPr>
      <w:rPr>
        <w:rFonts w:ascii="Symbol" w:hAnsi="Symbol" w:hint="default"/>
      </w:rPr>
    </w:lvl>
    <w:lvl w:ilvl="4" w:tplc="04090003" w:tentative="1">
      <w:start w:val="1"/>
      <w:numFmt w:val="bullet"/>
      <w:lvlText w:val="o"/>
      <w:lvlJc w:val="left"/>
      <w:pPr>
        <w:ind w:left="3305" w:hanging="360"/>
      </w:pPr>
      <w:rPr>
        <w:rFonts w:ascii="Courier New" w:hAnsi="Courier New" w:cs="Courier New" w:hint="default"/>
      </w:rPr>
    </w:lvl>
    <w:lvl w:ilvl="5" w:tplc="04090005" w:tentative="1">
      <w:start w:val="1"/>
      <w:numFmt w:val="bullet"/>
      <w:lvlText w:val=""/>
      <w:lvlJc w:val="left"/>
      <w:pPr>
        <w:ind w:left="4025" w:hanging="360"/>
      </w:pPr>
      <w:rPr>
        <w:rFonts w:ascii="Wingdings" w:hAnsi="Wingdings" w:hint="default"/>
      </w:rPr>
    </w:lvl>
    <w:lvl w:ilvl="6" w:tplc="04090001" w:tentative="1">
      <w:start w:val="1"/>
      <w:numFmt w:val="bullet"/>
      <w:lvlText w:val=""/>
      <w:lvlJc w:val="left"/>
      <w:pPr>
        <w:ind w:left="4745" w:hanging="360"/>
      </w:pPr>
      <w:rPr>
        <w:rFonts w:ascii="Symbol" w:hAnsi="Symbol" w:hint="default"/>
      </w:rPr>
    </w:lvl>
    <w:lvl w:ilvl="7" w:tplc="04090003" w:tentative="1">
      <w:start w:val="1"/>
      <w:numFmt w:val="bullet"/>
      <w:lvlText w:val="o"/>
      <w:lvlJc w:val="left"/>
      <w:pPr>
        <w:ind w:left="5465" w:hanging="360"/>
      </w:pPr>
      <w:rPr>
        <w:rFonts w:ascii="Courier New" w:hAnsi="Courier New" w:cs="Courier New" w:hint="default"/>
      </w:rPr>
    </w:lvl>
    <w:lvl w:ilvl="8" w:tplc="04090005" w:tentative="1">
      <w:start w:val="1"/>
      <w:numFmt w:val="bullet"/>
      <w:lvlText w:val=""/>
      <w:lvlJc w:val="left"/>
      <w:pPr>
        <w:ind w:left="6185" w:hanging="360"/>
      </w:pPr>
      <w:rPr>
        <w:rFonts w:ascii="Wingdings" w:hAnsi="Wingdings" w:hint="default"/>
      </w:rPr>
    </w:lvl>
  </w:abstractNum>
  <w:abstractNum w:abstractNumId="417" w15:restartNumberingAfterBreak="0">
    <w:nsid w:val="7CA651B1"/>
    <w:multiLevelType w:val="hybridMultilevel"/>
    <w:tmpl w:val="98E2A2CA"/>
    <w:lvl w:ilvl="0" w:tplc="100A0019">
      <w:start w:val="1"/>
      <w:numFmt w:val="lowerLetter"/>
      <w:lvlText w:val="%1."/>
      <w:lvlJc w:val="left"/>
      <w:pPr>
        <w:ind w:left="360" w:hanging="360"/>
      </w:pPr>
      <w:rPr>
        <w:rFonts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418" w15:restartNumberingAfterBreak="0">
    <w:nsid w:val="7D5275F2"/>
    <w:multiLevelType w:val="multilevel"/>
    <w:tmpl w:val="4462B5E6"/>
    <w:lvl w:ilvl="0">
      <w:start w:val="1"/>
      <w:numFmt w:val="lowerLetter"/>
      <w:lvlText w:val="%1."/>
      <w:lvlJc w:val="left"/>
      <w:pPr>
        <w:ind w:left="360" w:hanging="360"/>
      </w:p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19" w15:restartNumberingAfterBreak="0">
    <w:nsid w:val="7D6D0E23"/>
    <w:multiLevelType w:val="hybridMultilevel"/>
    <w:tmpl w:val="175A3094"/>
    <w:lvl w:ilvl="0" w:tplc="B3AC5AC6">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0" w15:restartNumberingAfterBreak="0">
    <w:nsid w:val="7DB55333"/>
    <w:multiLevelType w:val="hybridMultilevel"/>
    <w:tmpl w:val="F4C6D12A"/>
    <w:lvl w:ilvl="0" w:tplc="C748A32A">
      <w:start w:val="1"/>
      <w:numFmt w:val="lowerLetter"/>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421" w15:restartNumberingAfterBreak="0">
    <w:nsid w:val="7E5424C4"/>
    <w:multiLevelType w:val="hybridMultilevel"/>
    <w:tmpl w:val="A37A0BCE"/>
    <w:lvl w:ilvl="0" w:tplc="100A0019">
      <w:start w:val="1"/>
      <w:numFmt w:val="lowerLetter"/>
      <w:lvlText w:val="%1."/>
      <w:lvlJc w:val="left"/>
      <w:pPr>
        <w:ind w:left="360" w:hanging="360"/>
      </w:pPr>
    </w:lvl>
    <w:lvl w:ilvl="1" w:tplc="040A0003">
      <w:start w:val="1"/>
      <w:numFmt w:val="bullet"/>
      <w:lvlText w:val="o"/>
      <w:lvlJc w:val="left"/>
      <w:pPr>
        <w:ind w:left="1080" w:hanging="360"/>
      </w:pPr>
      <w:rPr>
        <w:rFonts w:ascii="Courier New" w:hAnsi="Courier New" w:cs="Courier New" w:hint="default"/>
      </w:rPr>
    </w:lvl>
    <w:lvl w:ilvl="2" w:tplc="040A0005">
      <w:start w:val="1"/>
      <w:numFmt w:val="bullet"/>
      <w:lvlText w:val=""/>
      <w:lvlJc w:val="left"/>
      <w:pPr>
        <w:ind w:left="1800" w:hanging="360"/>
      </w:pPr>
      <w:rPr>
        <w:rFonts w:ascii="Wingdings" w:hAnsi="Wingdings" w:hint="default"/>
      </w:rPr>
    </w:lvl>
    <w:lvl w:ilvl="3" w:tplc="040A0001">
      <w:start w:val="1"/>
      <w:numFmt w:val="bullet"/>
      <w:lvlText w:val=""/>
      <w:lvlJc w:val="left"/>
      <w:pPr>
        <w:ind w:left="2520" w:hanging="360"/>
      </w:pPr>
      <w:rPr>
        <w:rFonts w:ascii="Symbol" w:hAnsi="Symbol" w:hint="default"/>
      </w:rPr>
    </w:lvl>
    <w:lvl w:ilvl="4" w:tplc="040A0003">
      <w:start w:val="1"/>
      <w:numFmt w:val="bullet"/>
      <w:lvlText w:val="o"/>
      <w:lvlJc w:val="left"/>
      <w:pPr>
        <w:ind w:left="3240" w:hanging="360"/>
      </w:pPr>
      <w:rPr>
        <w:rFonts w:ascii="Courier New" w:hAnsi="Courier New" w:cs="Courier New" w:hint="default"/>
      </w:rPr>
    </w:lvl>
    <w:lvl w:ilvl="5" w:tplc="040A0005">
      <w:start w:val="1"/>
      <w:numFmt w:val="bullet"/>
      <w:lvlText w:val=""/>
      <w:lvlJc w:val="left"/>
      <w:pPr>
        <w:ind w:left="3960" w:hanging="360"/>
      </w:pPr>
      <w:rPr>
        <w:rFonts w:ascii="Wingdings" w:hAnsi="Wingdings" w:hint="default"/>
      </w:rPr>
    </w:lvl>
    <w:lvl w:ilvl="6" w:tplc="040A0001">
      <w:start w:val="1"/>
      <w:numFmt w:val="bullet"/>
      <w:lvlText w:val=""/>
      <w:lvlJc w:val="left"/>
      <w:pPr>
        <w:ind w:left="4680" w:hanging="360"/>
      </w:pPr>
      <w:rPr>
        <w:rFonts w:ascii="Symbol" w:hAnsi="Symbol" w:hint="default"/>
      </w:rPr>
    </w:lvl>
    <w:lvl w:ilvl="7" w:tplc="040A0003">
      <w:start w:val="1"/>
      <w:numFmt w:val="bullet"/>
      <w:lvlText w:val="o"/>
      <w:lvlJc w:val="left"/>
      <w:pPr>
        <w:ind w:left="5400" w:hanging="360"/>
      </w:pPr>
      <w:rPr>
        <w:rFonts w:ascii="Courier New" w:hAnsi="Courier New" w:cs="Courier New" w:hint="default"/>
      </w:rPr>
    </w:lvl>
    <w:lvl w:ilvl="8" w:tplc="040A0005">
      <w:start w:val="1"/>
      <w:numFmt w:val="bullet"/>
      <w:lvlText w:val=""/>
      <w:lvlJc w:val="left"/>
      <w:pPr>
        <w:ind w:left="6120" w:hanging="360"/>
      </w:pPr>
      <w:rPr>
        <w:rFonts w:ascii="Wingdings" w:hAnsi="Wingdings" w:hint="default"/>
      </w:rPr>
    </w:lvl>
  </w:abstractNum>
  <w:abstractNum w:abstractNumId="422" w15:restartNumberingAfterBreak="0">
    <w:nsid w:val="7EA42C42"/>
    <w:multiLevelType w:val="hybridMultilevel"/>
    <w:tmpl w:val="EDF0C87A"/>
    <w:lvl w:ilvl="0" w:tplc="04090019">
      <w:start w:val="1"/>
      <w:numFmt w:val="low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3" w15:restartNumberingAfterBreak="0">
    <w:nsid w:val="7EC34286"/>
    <w:multiLevelType w:val="hybridMultilevel"/>
    <w:tmpl w:val="8104F262"/>
    <w:lvl w:ilvl="0" w:tplc="A3C6854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4" w15:restartNumberingAfterBreak="0">
    <w:nsid w:val="7EE265E8"/>
    <w:multiLevelType w:val="multilevel"/>
    <w:tmpl w:val="32AC740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5" w15:restartNumberingAfterBreak="0">
    <w:nsid w:val="7EFC6676"/>
    <w:multiLevelType w:val="hybridMultilevel"/>
    <w:tmpl w:val="1A36132C"/>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426" w15:restartNumberingAfterBreak="0">
    <w:nsid w:val="7F0F4644"/>
    <w:multiLevelType w:val="hybridMultilevel"/>
    <w:tmpl w:val="D83ABF92"/>
    <w:lvl w:ilvl="0" w:tplc="100A0019">
      <w:start w:val="1"/>
      <w:numFmt w:val="lowerLetter"/>
      <w:lvlText w:val="%1."/>
      <w:lvlJc w:val="left"/>
      <w:pPr>
        <w:ind w:left="72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7" w15:restartNumberingAfterBreak="0">
    <w:nsid w:val="7FB76FA0"/>
    <w:multiLevelType w:val="hybridMultilevel"/>
    <w:tmpl w:val="F5C8B72E"/>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428" w15:restartNumberingAfterBreak="0">
    <w:nsid w:val="7FF82FB7"/>
    <w:multiLevelType w:val="hybridMultilevel"/>
    <w:tmpl w:val="893AF1D8"/>
    <w:lvl w:ilvl="0" w:tplc="1C0A0019">
      <w:start w:val="1"/>
      <w:numFmt w:val="lowerLetter"/>
      <w:lvlText w:val="%1."/>
      <w:lvlJc w:val="left"/>
      <w:pPr>
        <w:ind w:left="360" w:hanging="360"/>
      </w:pPr>
      <w:rPr>
        <w:rFonts w:hint="default"/>
      </w:rPr>
    </w:lvl>
    <w:lvl w:ilvl="1" w:tplc="040A0003">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num w:numId="1" w16cid:durableId="1448429015">
    <w:abstractNumId w:val="89"/>
  </w:num>
  <w:num w:numId="2" w16cid:durableId="579172264">
    <w:abstractNumId w:val="255"/>
  </w:num>
  <w:num w:numId="3" w16cid:durableId="1430732611">
    <w:abstractNumId w:val="269"/>
  </w:num>
  <w:num w:numId="4" w16cid:durableId="792099057">
    <w:abstractNumId w:val="372"/>
  </w:num>
  <w:num w:numId="5" w16cid:durableId="65690700">
    <w:abstractNumId w:val="127"/>
  </w:num>
  <w:num w:numId="6" w16cid:durableId="2054960878">
    <w:abstractNumId w:val="288"/>
  </w:num>
  <w:num w:numId="7" w16cid:durableId="1109083702">
    <w:abstractNumId w:val="65"/>
  </w:num>
  <w:num w:numId="8" w16cid:durableId="248347254">
    <w:abstractNumId w:val="300"/>
  </w:num>
  <w:num w:numId="9" w16cid:durableId="1543126570">
    <w:abstractNumId w:val="186"/>
  </w:num>
  <w:num w:numId="10" w16cid:durableId="1446149764">
    <w:abstractNumId w:val="306"/>
  </w:num>
  <w:num w:numId="11" w16cid:durableId="1570458119">
    <w:abstractNumId w:val="25"/>
  </w:num>
  <w:num w:numId="12" w16cid:durableId="1477456140">
    <w:abstractNumId w:val="246"/>
  </w:num>
  <w:num w:numId="13" w16cid:durableId="621809750">
    <w:abstractNumId w:val="148"/>
  </w:num>
  <w:num w:numId="14" w16cid:durableId="399253921">
    <w:abstractNumId w:val="185"/>
  </w:num>
  <w:num w:numId="15" w16cid:durableId="805511638">
    <w:abstractNumId w:val="11"/>
  </w:num>
  <w:num w:numId="16" w16cid:durableId="353307091">
    <w:abstractNumId w:val="32"/>
  </w:num>
  <w:num w:numId="17" w16cid:durableId="1156653855">
    <w:abstractNumId w:val="169"/>
  </w:num>
  <w:num w:numId="18" w16cid:durableId="2077773561">
    <w:abstractNumId w:val="229"/>
  </w:num>
  <w:num w:numId="19" w16cid:durableId="1897428121">
    <w:abstractNumId w:val="284"/>
  </w:num>
  <w:num w:numId="20" w16cid:durableId="227155736">
    <w:abstractNumId w:val="101"/>
  </w:num>
  <w:num w:numId="21" w16cid:durableId="449714139">
    <w:abstractNumId w:val="15"/>
  </w:num>
  <w:num w:numId="22" w16cid:durableId="1912806769">
    <w:abstractNumId w:val="128"/>
  </w:num>
  <w:num w:numId="23" w16cid:durableId="1018039805">
    <w:abstractNumId w:val="206"/>
  </w:num>
  <w:num w:numId="24" w16cid:durableId="1530801505">
    <w:abstractNumId w:val="23"/>
  </w:num>
  <w:num w:numId="25" w16cid:durableId="681249602">
    <w:abstractNumId w:val="14"/>
  </w:num>
  <w:num w:numId="26" w16cid:durableId="676344025">
    <w:abstractNumId w:val="370"/>
  </w:num>
  <w:num w:numId="27" w16cid:durableId="1686517602">
    <w:abstractNumId w:val="154"/>
  </w:num>
  <w:num w:numId="28" w16cid:durableId="1657613121">
    <w:abstractNumId w:val="392"/>
  </w:num>
  <w:num w:numId="29" w16cid:durableId="1084033575">
    <w:abstractNumId w:val="165"/>
  </w:num>
  <w:num w:numId="30" w16cid:durableId="571894915">
    <w:abstractNumId w:val="147"/>
  </w:num>
  <w:num w:numId="31" w16cid:durableId="1464345080">
    <w:abstractNumId w:val="245"/>
  </w:num>
  <w:num w:numId="32" w16cid:durableId="723989595">
    <w:abstractNumId w:val="272"/>
  </w:num>
  <w:num w:numId="33" w16cid:durableId="697000960">
    <w:abstractNumId w:val="81"/>
  </w:num>
  <w:num w:numId="34" w16cid:durableId="684210882">
    <w:abstractNumId w:val="27"/>
  </w:num>
  <w:num w:numId="35" w16cid:durableId="929431617">
    <w:abstractNumId w:val="82"/>
  </w:num>
  <w:num w:numId="36" w16cid:durableId="380443248">
    <w:abstractNumId w:val="338"/>
  </w:num>
  <w:num w:numId="37" w16cid:durableId="442383666">
    <w:abstractNumId w:val="281"/>
  </w:num>
  <w:num w:numId="38" w16cid:durableId="987587223">
    <w:abstractNumId w:val="56"/>
  </w:num>
  <w:num w:numId="39" w16cid:durableId="714355252">
    <w:abstractNumId w:val="212"/>
  </w:num>
  <w:num w:numId="40" w16cid:durableId="105664345">
    <w:abstractNumId w:val="253"/>
  </w:num>
  <w:num w:numId="41" w16cid:durableId="401222495">
    <w:abstractNumId w:val="168"/>
  </w:num>
  <w:num w:numId="42" w16cid:durableId="1243295106">
    <w:abstractNumId w:val="104"/>
  </w:num>
  <w:num w:numId="43" w16cid:durableId="2026590413">
    <w:abstractNumId w:val="410"/>
  </w:num>
  <w:num w:numId="44" w16cid:durableId="958730187">
    <w:abstractNumId w:val="360"/>
  </w:num>
  <w:num w:numId="45" w16cid:durableId="1814060916">
    <w:abstractNumId w:val="110"/>
  </w:num>
  <w:num w:numId="46" w16cid:durableId="569312433">
    <w:abstractNumId w:val="377"/>
  </w:num>
  <w:num w:numId="47" w16cid:durableId="1890219019">
    <w:abstractNumId w:val="158"/>
  </w:num>
  <w:num w:numId="48" w16cid:durableId="1589924511">
    <w:abstractNumId w:val="366"/>
  </w:num>
  <w:num w:numId="49" w16cid:durableId="1549956545">
    <w:abstractNumId w:val="123"/>
  </w:num>
  <w:num w:numId="50" w16cid:durableId="2070640743">
    <w:abstractNumId w:val="208"/>
  </w:num>
  <w:num w:numId="51" w16cid:durableId="1079134813">
    <w:abstractNumId w:val="329"/>
  </w:num>
  <w:num w:numId="52" w16cid:durableId="853425784">
    <w:abstractNumId w:val="180"/>
  </w:num>
  <w:num w:numId="53" w16cid:durableId="2034726717">
    <w:abstractNumId w:val="401"/>
  </w:num>
  <w:num w:numId="54" w16cid:durableId="933126837">
    <w:abstractNumId w:val="352"/>
  </w:num>
  <w:num w:numId="55" w16cid:durableId="376242482">
    <w:abstractNumId w:val="120"/>
  </w:num>
  <w:num w:numId="56" w16cid:durableId="1069033893">
    <w:abstractNumId w:val="240"/>
  </w:num>
  <w:num w:numId="57" w16cid:durableId="23096092">
    <w:abstractNumId w:val="155"/>
  </w:num>
  <w:num w:numId="58" w16cid:durableId="634798995">
    <w:abstractNumId w:val="116"/>
  </w:num>
  <w:num w:numId="59" w16cid:durableId="567232070">
    <w:abstractNumId w:val="71"/>
  </w:num>
  <w:num w:numId="60" w16cid:durableId="1153915300">
    <w:abstractNumId w:val="41"/>
  </w:num>
  <w:num w:numId="61" w16cid:durableId="1304653150">
    <w:abstractNumId w:val="258"/>
  </w:num>
  <w:num w:numId="62" w16cid:durableId="465588884">
    <w:abstractNumId w:val="117"/>
  </w:num>
  <w:num w:numId="63" w16cid:durableId="1240142471">
    <w:abstractNumId w:val="217"/>
  </w:num>
  <w:num w:numId="64" w16cid:durableId="752703879">
    <w:abstractNumId w:val="225"/>
  </w:num>
  <w:num w:numId="65" w16cid:durableId="857736776">
    <w:abstractNumId w:val="1"/>
  </w:num>
  <w:num w:numId="66" w16cid:durableId="82578439">
    <w:abstractNumId w:val="242"/>
  </w:num>
  <w:num w:numId="67" w16cid:durableId="233392857">
    <w:abstractNumId w:val="358"/>
  </w:num>
  <w:num w:numId="68" w16cid:durableId="847989710">
    <w:abstractNumId w:val="416"/>
  </w:num>
  <w:num w:numId="69" w16cid:durableId="86851166">
    <w:abstractNumId w:val="177"/>
  </w:num>
  <w:num w:numId="70" w16cid:durableId="846945993">
    <w:abstractNumId w:val="227"/>
  </w:num>
  <w:num w:numId="71" w16cid:durableId="1000934707">
    <w:abstractNumId w:val="172"/>
  </w:num>
  <w:num w:numId="72" w16cid:durableId="893351777">
    <w:abstractNumId w:val="254"/>
  </w:num>
  <w:num w:numId="73" w16cid:durableId="1143818168">
    <w:abstractNumId w:val="381"/>
  </w:num>
  <w:num w:numId="74" w16cid:durableId="670452710">
    <w:abstractNumId w:val="153"/>
  </w:num>
  <w:num w:numId="75" w16cid:durableId="156502641">
    <w:abstractNumId w:val="135"/>
  </w:num>
  <w:num w:numId="76" w16cid:durableId="1263948929">
    <w:abstractNumId w:val="159"/>
  </w:num>
  <w:num w:numId="77" w16cid:durableId="677512053">
    <w:abstractNumId w:val="378"/>
  </w:num>
  <w:num w:numId="78" w16cid:durableId="46419726">
    <w:abstractNumId w:val="279"/>
  </w:num>
  <w:num w:numId="79" w16cid:durableId="389352750">
    <w:abstractNumId w:val="382"/>
  </w:num>
  <w:num w:numId="80" w16cid:durableId="1750611376">
    <w:abstractNumId w:val="24"/>
  </w:num>
  <w:num w:numId="81" w16cid:durableId="1718162018">
    <w:abstractNumId w:val="324"/>
  </w:num>
  <w:num w:numId="82" w16cid:durableId="326401484">
    <w:abstractNumId w:val="16"/>
  </w:num>
  <w:num w:numId="83" w16cid:durableId="1451435332">
    <w:abstractNumId w:val="157"/>
  </w:num>
  <w:num w:numId="84" w16cid:durableId="229074940">
    <w:abstractNumId w:val="50"/>
  </w:num>
  <w:num w:numId="85" w16cid:durableId="562914801">
    <w:abstractNumId w:val="274"/>
  </w:num>
  <w:num w:numId="86" w16cid:durableId="1076635559">
    <w:abstractNumId w:val="325"/>
  </w:num>
  <w:num w:numId="87" w16cid:durableId="213546185">
    <w:abstractNumId w:val="78"/>
  </w:num>
  <w:num w:numId="88" w16cid:durableId="497111107">
    <w:abstractNumId w:val="353"/>
  </w:num>
  <w:num w:numId="89" w16cid:durableId="442002122">
    <w:abstractNumId w:val="115"/>
  </w:num>
  <w:num w:numId="90" w16cid:durableId="140776362">
    <w:abstractNumId w:val="164"/>
  </w:num>
  <w:num w:numId="91" w16cid:durableId="1271084725">
    <w:abstractNumId w:val="37"/>
  </w:num>
  <w:num w:numId="92" w16cid:durableId="980691433">
    <w:abstractNumId w:val="198"/>
  </w:num>
  <w:num w:numId="93" w16cid:durableId="1874029458">
    <w:abstractNumId w:val="283"/>
  </w:num>
  <w:num w:numId="94" w16cid:durableId="1660648787">
    <w:abstractNumId w:val="179"/>
  </w:num>
  <w:num w:numId="95" w16cid:durableId="810707280">
    <w:abstractNumId w:val="98"/>
  </w:num>
  <w:num w:numId="96" w16cid:durableId="67240710">
    <w:abstractNumId w:val="304"/>
  </w:num>
  <w:num w:numId="97" w16cid:durableId="313066660">
    <w:abstractNumId w:val="275"/>
  </w:num>
  <w:num w:numId="98" w16cid:durableId="91976578">
    <w:abstractNumId w:val="124"/>
  </w:num>
  <w:num w:numId="99" w16cid:durableId="1519151898">
    <w:abstractNumId w:val="337"/>
  </w:num>
  <w:num w:numId="100" w16cid:durableId="1805467306">
    <w:abstractNumId w:val="72"/>
  </w:num>
  <w:num w:numId="101" w16cid:durableId="372458986">
    <w:abstractNumId w:val="375"/>
  </w:num>
  <w:num w:numId="102" w16cid:durableId="1522664477">
    <w:abstractNumId w:val="266"/>
  </w:num>
  <w:num w:numId="103" w16cid:durableId="7686310">
    <w:abstractNumId w:val="152"/>
  </w:num>
  <w:num w:numId="104" w16cid:durableId="684131883">
    <w:abstractNumId w:val="380"/>
  </w:num>
  <w:num w:numId="105" w16cid:durableId="1928688961">
    <w:abstractNumId w:val="265"/>
  </w:num>
  <w:num w:numId="106" w16cid:durableId="1918980593">
    <w:abstractNumId w:val="144"/>
  </w:num>
  <w:num w:numId="107" w16cid:durableId="473912843">
    <w:abstractNumId w:val="190"/>
  </w:num>
  <w:num w:numId="108" w16cid:durableId="86734772">
    <w:abstractNumId w:val="45"/>
  </w:num>
  <w:num w:numId="109" w16cid:durableId="2067727363">
    <w:abstractNumId w:val="67"/>
  </w:num>
  <w:num w:numId="110" w16cid:durableId="481972575">
    <w:abstractNumId w:val="223"/>
  </w:num>
  <w:num w:numId="111" w16cid:durableId="420492312">
    <w:abstractNumId w:val="244"/>
  </w:num>
  <w:num w:numId="112" w16cid:durableId="1680153827">
    <w:abstractNumId w:val="334"/>
  </w:num>
  <w:num w:numId="113" w16cid:durableId="1561595867">
    <w:abstractNumId w:val="256"/>
  </w:num>
  <w:num w:numId="114" w16cid:durableId="1949384071">
    <w:abstractNumId w:val="55"/>
  </w:num>
  <w:num w:numId="115" w16cid:durableId="1684478383">
    <w:abstractNumId w:val="363"/>
  </w:num>
  <w:num w:numId="116" w16cid:durableId="1059981632">
    <w:abstractNumId w:val="408"/>
  </w:num>
  <w:num w:numId="117" w16cid:durableId="1664240912">
    <w:abstractNumId w:val="309"/>
  </w:num>
  <w:num w:numId="118" w16cid:durableId="1337688020">
    <w:abstractNumId w:val="118"/>
  </w:num>
  <w:num w:numId="119" w16cid:durableId="1512647756">
    <w:abstractNumId w:val="2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0" w16cid:durableId="1000424447">
    <w:abstractNumId w:val="105"/>
    <w:lvlOverride w:ilvl="0">
      <w:startOverride w:val="1"/>
    </w:lvlOverride>
    <w:lvlOverride w:ilvl="1">
      <w:startOverride w:val="1"/>
    </w:lvlOverride>
    <w:lvlOverride w:ilvl="2"/>
    <w:lvlOverride w:ilvl="3"/>
    <w:lvlOverride w:ilvl="4"/>
    <w:lvlOverride w:ilvl="5"/>
    <w:lvlOverride w:ilvl="6"/>
    <w:lvlOverride w:ilvl="7"/>
    <w:lvlOverride w:ilvl="8"/>
  </w:num>
  <w:num w:numId="121" w16cid:durableId="1352686736">
    <w:abstractNumId w:val="428"/>
    <w:lvlOverride w:ilvl="0">
      <w:startOverride w:val="1"/>
    </w:lvlOverride>
    <w:lvlOverride w:ilvl="1"/>
    <w:lvlOverride w:ilvl="2"/>
    <w:lvlOverride w:ilvl="3"/>
    <w:lvlOverride w:ilvl="4"/>
    <w:lvlOverride w:ilvl="5"/>
    <w:lvlOverride w:ilvl="6"/>
    <w:lvlOverride w:ilvl="7"/>
    <w:lvlOverride w:ilvl="8"/>
  </w:num>
  <w:num w:numId="122" w16cid:durableId="1908108510">
    <w:abstractNumId w:val="2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16cid:durableId="275721146">
    <w:abstractNumId w:val="397"/>
  </w:num>
  <w:num w:numId="124" w16cid:durableId="176122476">
    <w:abstractNumId w:val="355"/>
  </w:num>
  <w:num w:numId="125" w16cid:durableId="1857501602">
    <w:abstractNumId w:val="394"/>
  </w:num>
  <w:num w:numId="126" w16cid:durableId="263807061">
    <w:abstractNumId w:val="356"/>
  </w:num>
  <w:num w:numId="127" w16cid:durableId="1157264842">
    <w:abstractNumId w:val="362"/>
  </w:num>
  <w:num w:numId="128" w16cid:durableId="555822728">
    <w:abstractNumId w:val="156"/>
  </w:num>
  <w:num w:numId="129" w16cid:durableId="2147234689">
    <w:abstractNumId w:val="411"/>
  </w:num>
  <w:num w:numId="130" w16cid:durableId="1281111215">
    <w:abstractNumId w:val="87"/>
  </w:num>
  <w:num w:numId="131" w16cid:durableId="1802840249">
    <w:abstractNumId w:val="3"/>
  </w:num>
  <w:num w:numId="132" w16cid:durableId="1462648637">
    <w:abstractNumId w:val="8"/>
  </w:num>
  <w:num w:numId="133" w16cid:durableId="767239810">
    <w:abstractNumId w:val="278"/>
  </w:num>
  <w:num w:numId="134" w16cid:durableId="1312833204">
    <w:abstractNumId w:val="218"/>
  </w:num>
  <w:num w:numId="135" w16cid:durableId="723220189">
    <w:abstractNumId w:val="293"/>
  </w:num>
  <w:num w:numId="136" w16cid:durableId="456143951">
    <w:abstractNumId w:val="68"/>
  </w:num>
  <w:num w:numId="137" w16cid:durableId="246233009">
    <w:abstractNumId w:val="347"/>
  </w:num>
  <w:num w:numId="138" w16cid:durableId="1182087570">
    <w:abstractNumId w:val="210"/>
  </w:num>
  <w:num w:numId="139" w16cid:durableId="89010099">
    <w:abstractNumId w:val="425"/>
  </w:num>
  <w:num w:numId="140" w16cid:durableId="1264725965">
    <w:abstractNumId w:val="35"/>
  </w:num>
  <w:num w:numId="141" w16cid:durableId="710544343">
    <w:abstractNumId w:val="26"/>
  </w:num>
  <w:num w:numId="142" w16cid:durableId="1186286797">
    <w:abstractNumId w:val="332"/>
  </w:num>
  <w:num w:numId="143" w16cid:durableId="1536694244">
    <w:abstractNumId w:val="286"/>
  </w:num>
  <w:num w:numId="144" w16cid:durableId="629897434">
    <w:abstractNumId w:val="76"/>
  </w:num>
  <w:num w:numId="145" w16cid:durableId="51933094">
    <w:abstractNumId w:val="257"/>
  </w:num>
  <w:num w:numId="146" w16cid:durableId="550966518">
    <w:abstractNumId w:val="139"/>
  </w:num>
  <w:num w:numId="147" w16cid:durableId="999234206">
    <w:abstractNumId w:val="192"/>
  </w:num>
  <w:num w:numId="148" w16cid:durableId="421798436">
    <w:abstractNumId w:val="140"/>
  </w:num>
  <w:num w:numId="149" w16cid:durableId="1707095719">
    <w:abstractNumId w:val="130"/>
  </w:num>
  <w:num w:numId="150" w16cid:durableId="9533940">
    <w:abstractNumId w:val="200"/>
  </w:num>
  <w:num w:numId="151" w16cid:durableId="42949583">
    <w:abstractNumId w:val="136"/>
  </w:num>
  <w:num w:numId="152" w16cid:durableId="1784821">
    <w:abstractNumId w:val="398"/>
  </w:num>
  <w:num w:numId="153" w16cid:durableId="779572066">
    <w:abstractNumId w:val="119"/>
  </w:num>
  <w:num w:numId="154" w16cid:durableId="1840851159">
    <w:abstractNumId w:val="335"/>
  </w:num>
  <w:num w:numId="155" w16cid:durableId="84376759">
    <w:abstractNumId w:val="178"/>
  </w:num>
  <w:num w:numId="156" w16cid:durableId="535315902">
    <w:abstractNumId w:val="276"/>
  </w:num>
  <w:num w:numId="157" w16cid:durableId="429401224">
    <w:abstractNumId w:val="260"/>
  </w:num>
  <w:num w:numId="158" w16cid:durableId="2038001882">
    <w:abstractNumId w:val="369"/>
  </w:num>
  <w:num w:numId="159" w16cid:durableId="1775707034">
    <w:abstractNumId w:val="336"/>
  </w:num>
  <w:num w:numId="160" w16cid:durableId="430786127">
    <w:abstractNumId w:val="302"/>
  </w:num>
  <w:num w:numId="161" w16cid:durableId="1974210712">
    <w:abstractNumId w:val="9"/>
  </w:num>
  <w:num w:numId="162" w16cid:durableId="1149052514">
    <w:abstractNumId w:val="270"/>
  </w:num>
  <w:num w:numId="163" w16cid:durableId="1741633805">
    <w:abstractNumId w:val="109"/>
  </w:num>
  <w:num w:numId="164" w16cid:durableId="304507960">
    <w:abstractNumId w:val="70"/>
  </w:num>
  <w:num w:numId="165" w16cid:durableId="1858540587">
    <w:abstractNumId w:val="137"/>
  </w:num>
  <w:num w:numId="166" w16cid:durableId="1231886897">
    <w:abstractNumId w:val="308"/>
  </w:num>
  <w:num w:numId="167" w16cid:durableId="1681009530">
    <w:abstractNumId w:val="40"/>
  </w:num>
  <w:num w:numId="168" w16cid:durableId="398292194">
    <w:abstractNumId w:val="143"/>
  </w:num>
  <w:num w:numId="169" w16cid:durableId="756484660">
    <w:abstractNumId w:val="111"/>
  </w:num>
  <w:num w:numId="170" w16cid:durableId="1352802261">
    <w:abstractNumId w:val="42"/>
  </w:num>
  <w:num w:numId="171" w16cid:durableId="1610351120">
    <w:abstractNumId w:val="121"/>
  </w:num>
  <w:num w:numId="172" w16cid:durableId="265580023">
    <w:abstractNumId w:val="296"/>
  </w:num>
  <w:num w:numId="173" w16cid:durableId="716668058">
    <w:abstractNumId w:val="38"/>
  </w:num>
  <w:num w:numId="174" w16cid:durableId="296842928">
    <w:abstractNumId w:val="142"/>
  </w:num>
  <w:num w:numId="175" w16cid:durableId="1557081398">
    <w:abstractNumId w:val="173"/>
  </w:num>
  <w:num w:numId="176" w16cid:durableId="271983591">
    <w:abstractNumId w:val="3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7" w16cid:durableId="856650348">
    <w:abstractNumId w:val="354"/>
  </w:num>
  <w:num w:numId="178" w16cid:durableId="2065177352">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9" w16cid:durableId="1015574911">
    <w:abstractNumId w:val="290"/>
    <w:lvlOverride w:ilvl="0">
      <w:startOverride w:val="1"/>
    </w:lvlOverride>
    <w:lvlOverride w:ilvl="1"/>
    <w:lvlOverride w:ilvl="2"/>
    <w:lvlOverride w:ilvl="3"/>
    <w:lvlOverride w:ilvl="4"/>
    <w:lvlOverride w:ilvl="5"/>
    <w:lvlOverride w:ilvl="6"/>
    <w:lvlOverride w:ilvl="7"/>
    <w:lvlOverride w:ilvl="8"/>
  </w:num>
  <w:num w:numId="180" w16cid:durableId="929510722">
    <w:abstractNumId w:val="4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1" w16cid:durableId="679893479">
    <w:abstractNumId w:val="183"/>
    <w:lvlOverride w:ilvl="0">
      <w:startOverride w:val="1"/>
    </w:lvlOverride>
    <w:lvlOverride w:ilvl="1"/>
    <w:lvlOverride w:ilvl="2"/>
    <w:lvlOverride w:ilvl="3"/>
    <w:lvlOverride w:ilvl="4"/>
    <w:lvlOverride w:ilvl="5"/>
    <w:lvlOverride w:ilvl="6"/>
    <w:lvlOverride w:ilvl="7"/>
    <w:lvlOverride w:ilvl="8"/>
  </w:num>
  <w:num w:numId="182" w16cid:durableId="2117171255">
    <w:abstractNumId w:val="203"/>
  </w:num>
  <w:num w:numId="183" w16cid:durableId="1641693113">
    <w:abstractNumId w:val="2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4" w16cid:durableId="51930748">
    <w:abstractNumId w:val="163"/>
    <w:lvlOverride w:ilvl="0">
      <w:startOverride w:val="1"/>
    </w:lvlOverride>
    <w:lvlOverride w:ilvl="1"/>
    <w:lvlOverride w:ilvl="2"/>
    <w:lvlOverride w:ilvl="3"/>
    <w:lvlOverride w:ilvl="4"/>
    <w:lvlOverride w:ilvl="5"/>
    <w:lvlOverride w:ilvl="6"/>
    <w:lvlOverride w:ilvl="7"/>
    <w:lvlOverride w:ilvl="8"/>
  </w:num>
  <w:num w:numId="185" w16cid:durableId="745303491">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6" w16cid:durableId="573393863">
    <w:abstractNumId w:val="421"/>
    <w:lvlOverride w:ilvl="0">
      <w:startOverride w:val="1"/>
    </w:lvlOverride>
    <w:lvlOverride w:ilvl="1"/>
    <w:lvlOverride w:ilvl="2"/>
    <w:lvlOverride w:ilvl="3"/>
    <w:lvlOverride w:ilvl="4"/>
    <w:lvlOverride w:ilvl="5"/>
    <w:lvlOverride w:ilvl="6"/>
    <w:lvlOverride w:ilvl="7"/>
    <w:lvlOverride w:ilvl="8"/>
  </w:num>
  <w:num w:numId="187" w16cid:durableId="1317147438">
    <w:abstractNumId w:val="195"/>
    <w:lvlOverride w:ilvl="0">
      <w:startOverride w:val="1"/>
    </w:lvlOverride>
    <w:lvlOverride w:ilvl="1"/>
    <w:lvlOverride w:ilvl="2"/>
    <w:lvlOverride w:ilvl="3"/>
    <w:lvlOverride w:ilvl="4"/>
    <w:lvlOverride w:ilvl="5"/>
    <w:lvlOverride w:ilvl="6"/>
    <w:lvlOverride w:ilvl="7"/>
    <w:lvlOverride w:ilvl="8"/>
  </w:num>
  <w:num w:numId="188" w16cid:durableId="1472821926">
    <w:abstractNumId w:val="3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9" w16cid:durableId="363558514">
    <w:abstractNumId w:val="2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0" w16cid:durableId="1846284336">
    <w:abstractNumId w:val="331"/>
    <w:lvlOverride w:ilvl="0">
      <w:startOverride w:val="1"/>
    </w:lvlOverride>
    <w:lvlOverride w:ilvl="1"/>
    <w:lvlOverride w:ilvl="2"/>
    <w:lvlOverride w:ilvl="3"/>
    <w:lvlOverride w:ilvl="4"/>
    <w:lvlOverride w:ilvl="5"/>
    <w:lvlOverride w:ilvl="6"/>
    <w:lvlOverride w:ilvl="7"/>
    <w:lvlOverride w:ilvl="8"/>
  </w:num>
  <w:num w:numId="191" w16cid:durableId="39327567">
    <w:abstractNumId w:val="29"/>
    <w:lvlOverride w:ilvl="0">
      <w:startOverride w:val="1"/>
    </w:lvlOverride>
    <w:lvlOverride w:ilvl="1"/>
    <w:lvlOverride w:ilvl="2"/>
    <w:lvlOverride w:ilvl="3"/>
    <w:lvlOverride w:ilvl="4"/>
    <w:lvlOverride w:ilvl="5"/>
    <w:lvlOverride w:ilvl="6"/>
    <w:lvlOverride w:ilvl="7"/>
    <w:lvlOverride w:ilvl="8"/>
  </w:num>
  <w:num w:numId="192" w16cid:durableId="1901818000">
    <w:abstractNumId w:val="1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3" w16cid:durableId="1905211836">
    <w:abstractNumId w:val="4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16cid:durableId="1829251703">
    <w:abstractNumId w:val="1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5" w16cid:durableId="894049535">
    <w:abstractNumId w:val="250"/>
    <w:lvlOverride w:ilvl="0">
      <w:startOverride w:val="1"/>
    </w:lvlOverride>
    <w:lvlOverride w:ilvl="1"/>
    <w:lvlOverride w:ilvl="2"/>
    <w:lvlOverride w:ilvl="3"/>
    <w:lvlOverride w:ilvl="4"/>
    <w:lvlOverride w:ilvl="5"/>
    <w:lvlOverride w:ilvl="6"/>
    <w:lvlOverride w:ilvl="7"/>
    <w:lvlOverride w:ilvl="8"/>
  </w:num>
  <w:num w:numId="196" w16cid:durableId="2144535731">
    <w:abstractNumId w:val="73"/>
    <w:lvlOverride w:ilvl="0">
      <w:startOverride w:val="1"/>
    </w:lvlOverride>
    <w:lvlOverride w:ilvl="1"/>
    <w:lvlOverride w:ilvl="2"/>
    <w:lvlOverride w:ilvl="3"/>
    <w:lvlOverride w:ilvl="4"/>
    <w:lvlOverride w:ilvl="5"/>
    <w:lvlOverride w:ilvl="6"/>
    <w:lvlOverride w:ilvl="7"/>
    <w:lvlOverride w:ilvl="8"/>
  </w:num>
  <w:num w:numId="197" w16cid:durableId="1363701406">
    <w:abstractNumId w:val="2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8" w16cid:durableId="1681737966">
    <w:abstractNumId w:val="84"/>
    <w:lvlOverride w:ilvl="0">
      <w:startOverride w:val="1"/>
    </w:lvlOverride>
    <w:lvlOverride w:ilvl="1"/>
    <w:lvlOverride w:ilvl="2"/>
    <w:lvlOverride w:ilvl="3"/>
    <w:lvlOverride w:ilvl="4"/>
    <w:lvlOverride w:ilvl="5"/>
    <w:lvlOverride w:ilvl="6"/>
    <w:lvlOverride w:ilvl="7"/>
    <w:lvlOverride w:ilvl="8"/>
  </w:num>
  <w:num w:numId="199" w16cid:durableId="1094009274">
    <w:abstractNumId w:val="12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0" w16cid:durableId="445319633">
    <w:abstractNumId w:val="417"/>
    <w:lvlOverride w:ilvl="0">
      <w:startOverride w:val="1"/>
    </w:lvlOverride>
    <w:lvlOverride w:ilvl="1"/>
    <w:lvlOverride w:ilvl="2"/>
    <w:lvlOverride w:ilvl="3"/>
    <w:lvlOverride w:ilvl="4"/>
    <w:lvlOverride w:ilvl="5"/>
    <w:lvlOverride w:ilvl="6"/>
    <w:lvlOverride w:ilvl="7"/>
    <w:lvlOverride w:ilvl="8"/>
  </w:num>
  <w:num w:numId="201" w16cid:durableId="63724037">
    <w:abstractNumId w:val="3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2" w16cid:durableId="1719167198">
    <w:abstractNumId w:val="238"/>
    <w:lvlOverride w:ilvl="0">
      <w:startOverride w:val="1"/>
    </w:lvlOverride>
    <w:lvlOverride w:ilvl="1"/>
    <w:lvlOverride w:ilvl="2"/>
    <w:lvlOverride w:ilvl="3"/>
    <w:lvlOverride w:ilvl="4"/>
    <w:lvlOverride w:ilvl="5"/>
    <w:lvlOverride w:ilvl="6"/>
    <w:lvlOverride w:ilvl="7"/>
    <w:lvlOverride w:ilvl="8"/>
  </w:num>
  <w:num w:numId="203" w16cid:durableId="592396871">
    <w:abstractNumId w:val="321"/>
    <w:lvlOverride w:ilvl="0">
      <w:startOverride w:val="1"/>
    </w:lvlOverride>
    <w:lvlOverride w:ilvl="1"/>
    <w:lvlOverride w:ilvl="2"/>
    <w:lvlOverride w:ilvl="3"/>
    <w:lvlOverride w:ilvl="4"/>
    <w:lvlOverride w:ilvl="5"/>
    <w:lvlOverride w:ilvl="6"/>
    <w:lvlOverride w:ilvl="7"/>
    <w:lvlOverride w:ilvl="8"/>
  </w:num>
  <w:num w:numId="204" w16cid:durableId="1845508069">
    <w:abstractNumId w:val="3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5" w16cid:durableId="327680693">
    <w:abstractNumId w:val="95"/>
    <w:lvlOverride w:ilvl="0">
      <w:startOverride w:val="1"/>
    </w:lvlOverride>
    <w:lvlOverride w:ilvl="1"/>
    <w:lvlOverride w:ilvl="2"/>
    <w:lvlOverride w:ilvl="3"/>
    <w:lvlOverride w:ilvl="4"/>
    <w:lvlOverride w:ilvl="5"/>
    <w:lvlOverride w:ilvl="6"/>
    <w:lvlOverride w:ilvl="7"/>
    <w:lvlOverride w:ilvl="8"/>
  </w:num>
  <w:num w:numId="206" w16cid:durableId="1776944493">
    <w:abstractNumId w:val="224"/>
  </w:num>
  <w:num w:numId="207" w16cid:durableId="447816939">
    <w:abstractNumId w:val="46"/>
    <w:lvlOverride w:ilvl="0">
      <w:startOverride w:val="1"/>
    </w:lvlOverride>
    <w:lvlOverride w:ilvl="1"/>
    <w:lvlOverride w:ilvl="2"/>
    <w:lvlOverride w:ilvl="3"/>
    <w:lvlOverride w:ilvl="4"/>
    <w:lvlOverride w:ilvl="5"/>
    <w:lvlOverride w:ilvl="6"/>
    <w:lvlOverride w:ilvl="7"/>
    <w:lvlOverride w:ilvl="8"/>
  </w:num>
  <w:num w:numId="208" w16cid:durableId="1886285449">
    <w:abstractNumId w:val="3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9" w16cid:durableId="1978140807">
    <w:abstractNumId w:val="25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0" w16cid:durableId="884871316">
    <w:abstractNumId w:val="36"/>
    <w:lvlOverride w:ilvl="0">
      <w:startOverride w:val="1"/>
    </w:lvlOverride>
    <w:lvlOverride w:ilvl="1"/>
    <w:lvlOverride w:ilvl="2"/>
    <w:lvlOverride w:ilvl="3"/>
    <w:lvlOverride w:ilvl="4"/>
    <w:lvlOverride w:ilvl="5"/>
    <w:lvlOverride w:ilvl="6"/>
    <w:lvlOverride w:ilvl="7"/>
    <w:lvlOverride w:ilvl="8"/>
  </w:num>
  <w:num w:numId="211" w16cid:durableId="1790003433">
    <w:abstractNumId w:val="228"/>
    <w:lvlOverride w:ilvl="0">
      <w:startOverride w:val="1"/>
    </w:lvlOverride>
    <w:lvlOverride w:ilvl="1"/>
    <w:lvlOverride w:ilvl="2"/>
    <w:lvlOverride w:ilvl="3"/>
    <w:lvlOverride w:ilvl="4"/>
    <w:lvlOverride w:ilvl="5"/>
    <w:lvlOverride w:ilvl="6"/>
    <w:lvlOverride w:ilvl="7"/>
    <w:lvlOverride w:ilvl="8"/>
  </w:num>
  <w:num w:numId="212" w16cid:durableId="1027292597">
    <w:abstractNumId w:val="339"/>
    <w:lvlOverride w:ilvl="0">
      <w:startOverride w:val="1"/>
    </w:lvlOverride>
    <w:lvlOverride w:ilvl="1"/>
    <w:lvlOverride w:ilvl="2"/>
    <w:lvlOverride w:ilvl="3"/>
    <w:lvlOverride w:ilvl="4"/>
    <w:lvlOverride w:ilvl="5"/>
    <w:lvlOverride w:ilvl="6"/>
    <w:lvlOverride w:ilvl="7"/>
    <w:lvlOverride w:ilvl="8"/>
  </w:num>
  <w:num w:numId="213" w16cid:durableId="1899199892">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4" w16cid:durableId="413283278">
    <w:abstractNumId w:val="4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5" w16cid:durableId="389421873">
    <w:abstractNumId w:val="2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6" w16cid:durableId="1543979110">
    <w:abstractNumId w:val="1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7" w16cid:durableId="1772359333">
    <w:abstractNumId w:val="349"/>
    <w:lvlOverride w:ilvl="0">
      <w:startOverride w:val="1"/>
    </w:lvlOverride>
    <w:lvlOverride w:ilvl="1"/>
    <w:lvlOverride w:ilvl="2"/>
    <w:lvlOverride w:ilvl="3"/>
    <w:lvlOverride w:ilvl="4"/>
    <w:lvlOverride w:ilvl="5"/>
    <w:lvlOverride w:ilvl="6"/>
    <w:lvlOverride w:ilvl="7"/>
    <w:lvlOverride w:ilvl="8"/>
  </w:num>
  <w:num w:numId="218" w16cid:durableId="1302226760">
    <w:abstractNumId w:val="3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9" w16cid:durableId="166288200">
    <w:abstractNumId w:val="2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0" w16cid:durableId="1818105673">
    <w:abstractNumId w:val="141"/>
    <w:lvlOverride w:ilvl="0">
      <w:startOverride w:val="1"/>
    </w:lvlOverride>
    <w:lvlOverride w:ilvl="1"/>
    <w:lvlOverride w:ilvl="2"/>
    <w:lvlOverride w:ilvl="3"/>
    <w:lvlOverride w:ilvl="4"/>
    <w:lvlOverride w:ilvl="5"/>
    <w:lvlOverride w:ilvl="6"/>
    <w:lvlOverride w:ilvl="7"/>
    <w:lvlOverride w:ilvl="8"/>
  </w:num>
  <w:num w:numId="221" w16cid:durableId="2138991717">
    <w:abstractNumId w:val="1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2" w16cid:durableId="1227373765">
    <w:abstractNumId w:val="4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3" w16cid:durableId="999188676">
    <w:abstractNumId w:val="403"/>
    <w:lvlOverride w:ilvl="0">
      <w:startOverride w:val="1"/>
    </w:lvlOverride>
    <w:lvlOverride w:ilvl="1"/>
    <w:lvlOverride w:ilvl="2"/>
    <w:lvlOverride w:ilvl="3"/>
    <w:lvlOverride w:ilvl="4"/>
    <w:lvlOverride w:ilvl="5"/>
    <w:lvlOverride w:ilvl="6"/>
    <w:lvlOverride w:ilvl="7"/>
    <w:lvlOverride w:ilvl="8"/>
  </w:num>
  <w:num w:numId="224" w16cid:durableId="1730759465">
    <w:abstractNumId w:val="2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5" w16cid:durableId="1531796434">
    <w:abstractNumId w:val="1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6" w16cid:durableId="1802452761">
    <w:abstractNumId w:val="367"/>
  </w:num>
  <w:num w:numId="227" w16cid:durableId="1907253695">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8" w16cid:durableId="387579983">
    <w:abstractNumId w:val="264"/>
    <w:lvlOverride w:ilvl="0">
      <w:startOverride w:val="1"/>
    </w:lvlOverride>
    <w:lvlOverride w:ilvl="1"/>
    <w:lvlOverride w:ilvl="2"/>
    <w:lvlOverride w:ilvl="3"/>
    <w:lvlOverride w:ilvl="4"/>
    <w:lvlOverride w:ilvl="5"/>
    <w:lvlOverride w:ilvl="6"/>
    <w:lvlOverride w:ilvl="7"/>
    <w:lvlOverride w:ilvl="8"/>
  </w:num>
  <w:num w:numId="229" w16cid:durableId="2029863415">
    <w:abstractNumId w:val="248"/>
    <w:lvlOverride w:ilvl="0">
      <w:startOverride w:val="1"/>
    </w:lvlOverride>
    <w:lvlOverride w:ilvl="1"/>
    <w:lvlOverride w:ilvl="2"/>
    <w:lvlOverride w:ilvl="3"/>
    <w:lvlOverride w:ilvl="4"/>
    <w:lvlOverride w:ilvl="5"/>
    <w:lvlOverride w:ilvl="6"/>
    <w:lvlOverride w:ilvl="7"/>
    <w:lvlOverride w:ilvl="8"/>
  </w:num>
  <w:num w:numId="230" w16cid:durableId="749078030">
    <w:abstractNumId w:val="40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1" w16cid:durableId="1962416303">
    <w:abstractNumId w:val="326"/>
    <w:lvlOverride w:ilvl="0">
      <w:startOverride w:val="1"/>
    </w:lvlOverride>
    <w:lvlOverride w:ilvl="1"/>
    <w:lvlOverride w:ilvl="2"/>
    <w:lvlOverride w:ilvl="3"/>
    <w:lvlOverride w:ilvl="4"/>
    <w:lvlOverride w:ilvl="5"/>
    <w:lvlOverride w:ilvl="6"/>
    <w:lvlOverride w:ilvl="7"/>
    <w:lvlOverride w:ilvl="8"/>
  </w:num>
  <w:num w:numId="232" w16cid:durableId="1080954625">
    <w:abstractNumId w:val="251"/>
    <w:lvlOverride w:ilvl="0">
      <w:startOverride w:val="1"/>
    </w:lvlOverride>
    <w:lvlOverride w:ilvl="1"/>
    <w:lvlOverride w:ilvl="2"/>
    <w:lvlOverride w:ilvl="3"/>
    <w:lvlOverride w:ilvl="4"/>
    <w:lvlOverride w:ilvl="5"/>
    <w:lvlOverride w:ilvl="6"/>
    <w:lvlOverride w:ilvl="7"/>
    <w:lvlOverride w:ilvl="8"/>
  </w:num>
  <w:num w:numId="233" w16cid:durableId="1084105384">
    <w:abstractNumId w:val="145"/>
  </w:num>
  <w:num w:numId="234" w16cid:durableId="1063328540">
    <w:abstractNumId w:val="2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5" w16cid:durableId="445120862">
    <w:abstractNumId w:val="189"/>
    <w:lvlOverride w:ilvl="0">
      <w:startOverride w:val="1"/>
    </w:lvlOverride>
    <w:lvlOverride w:ilvl="1"/>
    <w:lvlOverride w:ilvl="2"/>
    <w:lvlOverride w:ilvl="3"/>
    <w:lvlOverride w:ilvl="4"/>
    <w:lvlOverride w:ilvl="5"/>
    <w:lvlOverride w:ilvl="6"/>
    <w:lvlOverride w:ilvl="7"/>
    <w:lvlOverride w:ilvl="8"/>
  </w:num>
  <w:num w:numId="236" w16cid:durableId="209457757">
    <w:abstractNumId w:val="3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7" w16cid:durableId="2136293063">
    <w:abstractNumId w:val="184"/>
    <w:lvlOverride w:ilvl="0">
      <w:startOverride w:val="1"/>
    </w:lvlOverride>
    <w:lvlOverride w:ilvl="1"/>
    <w:lvlOverride w:ilvl="2"/>
    <w:lvlOverride w:ilvl="3"/>
    <w:lvlOverride w:ilvl="4"/>
    <w:lvlOverride w:ilvl="5"/>
    <w:lvlOverride w:ilvl="6"/>
    <w:lvlOverride w:ilvl="7"/>
    <w:lvlOverride w:ilvl="8"/>
  </w:num>
  <w:num w:numId="238" w16cid:durableId="270285629">
    <w:abstractNumId w:val="97"/>
    <w:lvlOverride w:ilvl="0">
      <w:startOverride w:val="1"/>
    </w:lvlOverride>
    <w:lvlOverride w:ilvl="1"/>
    <w:lvlOverride w:ilvl="2"/>
    <w:lvlOverride w:ilvl="3"/>
    <w:lvlOverride w:ilvl="4"/>
    <w:lvlOverride w:ilvl="5"/>
    <w:lvlOverride w:ilvl="6"/>
    <w:lvlOverride w:ilvl="7"/>
    <w:lvlOverride w:ilvl="8"/>
  </w:num>
  <w:num w:numId="239" w16cid:durableId="1757241785">
    <w:abstractNumId w:val="320"/>
    <w:lvlOverride w:ilvl="0">
      <w:startOverride w:val="1"/>
    </w:lvlOverride>
    <w:lvlOverride w:ilvl="1"/>
    <w:lvlOverride w:ilvl="2"/>
    <w:lvlOverride w:ilvl="3"/>
    <w:lvlOverride w:ilvl="4"/>
    <w:lvlOverride w:ilvl="5"/>
    <w:lvlOverride w:ilvl="6"/>
    <w:lvlOverride w:ilvl="7"/>
    <w:lvlOverride w:ilvl="8"/>
  </w:num>
  <w:num w:numId="240" w16cid:durableId="2033844606">
    <w:abstractNumId w:val="3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1" w16cid:durableId="130826647">
    <w:abstractNumId w:val="3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2" w16cid:durableId="1772583990">
    <w:abstractNumId w:val="89"/>
  </w:num>
  <w:num w:numId="243" w16cid:durableId="418869430">
    <w:abstractNumId w:val="35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4" w16cid:durableId="1472090316">
    <w:abstractNumId w:val="1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5" w16cid:durableId="729117209">
    <w:abstractNumId w:val="20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6" w16cid:durableId="1981615876">
    <w:abstractNumId w:val="289"/>
  </w:num>
  <w:num w:numId="247" w16cid:durableId="41262654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8" w16cid:durableId="190860912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9" w16cid:durableId="542253143">
    <w:abstractNumId w:val="3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0" w16cid:durableId="1729331105">
    <w:abstractNumId w:val="1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1" w16cid:durableId="37751967">
    <w:abstractNumId w:val="39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2" w16cid:durableId="472007">
    <w:abstractNumId w:val="3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3" w16cid:durableId="1512793674">
    <w:abstractNumId w:val="1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4" w16cid:durableId="459611721">
    <w:abstractNumId w:val="1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5" w16cid:durableId="1508599198">
    <w:abstractNumId w:val="10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6" w16cid:durableId="482308554">
    <w:abstractNumId w:val="312"/>
  </w:num>
  <w:num w:numId="257" w16cid:durableId="686907807">
    <w:abstractNumId w:val="263"/>
  </w:num>
  <w:num w:numId="258" w16cid:durableId="903955200">
    <w:abstractNumId w:val="28"/>
  </w:num>
  <w:num w:numId="259" w16cid:durableId="710037185">
    <w:abstractNumId w:val="94"/>
  </w:num>
  <w:num w:numId="260" w16cid:durableId="850411047">
    <w:abstractNumId w:val="216"/>
  </w:num>
  <w:num w:numId="261" w16cid:durableId="724646004">
    <w:abstractNumId w:val="402"/>
  </w:num>
  <w:num w:numId="262" w16cid:durableId="1769277229">
    <w:abstractNumId w:val="61"/>
  </w:num>
  <w:num w:numId="263" w16cid:durableId="1506631861">
    <w:abstractNumId w:val="63"/>
  </w:num>
  <w:num w:numId="264" w16cid:durableId="136801560">
    <w:abstractNumId w:val="311"/>
  </w:num>
  <w:num w:numId="265" w16cid:durableId="1268274412">
    <w:abstractNumId w:val="197"/>
  </w:num>
  <w:num w:numId="266" w16cid:durableId="2070418793">
    <w:abstractNumId w:val="330"/>
  </w:num>
  <w:num w:numId="267" w16cid:durableId="142237519">
    <w:abstractNumId w:val="125"/>
  </w:num>
  <w:num w:numId="268" w16cid:durableId="1624533880">
    <w:abstractNumId w:val="383"/>
  </w:num>
  <w:num w:numId="269" w16cid:durableId="1475676505">
    <w:abstractNumId w:val="31"/>
  </w:num>
  <w:num w:numId="270" w16cid:durableId="46951873">
    <w:abstractNumId w:val="364"/>
  </w:num>
  <w:num w:numId="271" w16cid:durableId="482502811">
    <w:abstractNumId w:val="106"/>
  </w:num>
  <w:num w:numId="272" w16cid:durableId="900556973">
    <w:abstractNumId w:val="422"/>
  </w:num>
  <w:num w:numId="273" w16cid:durableId="102574068">
    <w:abstractNumId w:val="166"/>
  </w:num>
  <w:num w:numId="274" w16cid:durableId="349725885">
    <w:abstractNumId w:val="167"/>
  </w:num>
  <w:num w:numId="275" w16cid:durableId="1322928672">
    <w:abstractNumId w:val="202"/>
  </w:num>
  <w:num w:numId="276" w16cid:durableId="2052680728">
    <w:abstractNumId w:val="310"/>
  </w:num>
  <w:num w:numId="277" w16cid:durableId="900752561">
    <w:abstractNumId w:val="298"/>
  </w:num>
  <w:num w:numId="278" w16cid:durableId="2136942403">
    <w:abstractNumId w:val="305"/>
  </w:num>
  <w:num w:numId="279" w16cid:durableId="141850393">
    <w:abstractNumId w:val="34"/>
  </w:num>
  <w:num w:numId="280" w16cid:durableId="744882374">
    <w:abstractNumId w:val="388"/>
  </w:num>
  <w:num w:numId="281" w16cid:durableId="1822774696">
    <w:abstractNumId w:val="412"/>
  </w:num>
  <w:num w:numId="282" w16cid:durableId="1690910374">
    <w:abstractNumId w:val="361"/>
  </w:num>
  <w:num w:numId="283" w16cid:durableId="644697192">
    <w:abstractNumId w:val="51"/>
  </w:num>
  <w:num w:numId="284" w16cid:durableId="1205943139">
    <w:abstractNumId w:val="103"/>
  </w:num>
  <w:num w:numId="285" w16cid:durableId="746808308">
    <w:abstractNumId w:val="64"/>
  </w:num>
  <w:num w:numId="286" w16cid:durableId="1555003058">
    <w:abstractNumId w:val="343"/>
  </w:num>
  <w:num w:numId="287" w16cid:durableId="1300914737">
    <w:abstractNumId w:val="77"/>
  </w:num>
  <w:num w:numId="288" w16cid:durableId="976569406">
    <w:abstractNumId w:val="91"/>
  </w:num>
  <w:num w:numId="289" w16cid:durableId="831336422">
    <w:abstractNumId w:val="131"/>
  </w:num>
  <w:num w:numId="290" w16cid:durableId="926305371">
    <w:abstractNumId w:val="323"/>
  </w:num>
  <w:num w:numId="291" w16cid:durableId="286394795">
    <w:abstractNumId w:val="318"/>
  </w:num>
  <w:num w:numId="292" w16cid:durableId="1856184851">
    <w:abstractNumId w:val="261"/>
  </w:num>
  <w:num w:numId="293" w16cid:durableId="1050421514">
    <w:abstractNumId w:val="99"/>
  </w:num>
  <w:num w:numId="294" w16cid:durableId="1273318487">
    <w:abstractNumId w:val="43"/>
  </w:num>
  <w:num w:numId="295" w16cid:durableId="148057714">
    <w:abstractNumId w:val="307"/>
  </w:num>
  <w:num w:numId="296" w16cid:durableId="963577672">
    <w:abstractNumId w:val="69"/>
  </w:num>
  <w:num w:numId="297" w16cid:durableId="22874982">
    <w:abstractNumId w:val="386"/>
  </w:num>
  <w:num w:numId="298" w16cid:durableId="658462040">
    <w:abstractNumId w:val="214"/>
  </w:num>
  <w:num w:numId="299" w16cid:durableId="336538724">
    <w:abstractNumId w:val="309"/>
  </w:num>
  <w:num w:numId="300" w16cid:durableId="1574703470">
    <w:abstractNumId w:val="122"/>
  </w:num>
  <w:num w:numId="301" w16cid:durableId="102581403">
    <w:abstractNumId w:val="62"/>
  </w:num>
  <w:num w:numId="302" w16cid:durableId="1417751849">
    <w:abstractNumId w:val="423"/>
  </w:num>
  <w:num w:numId="303" w16cid:durableId="1992327131">
    <w:abstractNumId w:val="126"/>
  </w:num>
  <w:num w:numId="304" w16cid:durableId="163253644">
    <w:abstractNumId w:val="187"/>
  </w:num>
  <w:num w:numId="305" w16cid:durableId="473907480">
    <w:abstractNumId w:val="89"/>
  </w:num>
  <w:num w:numId="306" w16cid:durableId="2071607843">
    <w:abstractNumId w:val="314"/>
  </w:num>
  <w:num w:numId="307" w16cid:durableId="2829965">
    <w:abstractNumId w:val="93"/>
  </w:num>
  <w:num w:numId="308" w16cid:durableId="1318991432">
    <w:abstractNumId w:val="419"/>
  </w:num>
  <w:num w:numId="309" w16cid:durableId="1940330138">
    <w:abstractNumId w:val="48"/>
  </w:num>
  <w:num w:numId="310" w16cid:durableId="314795968">
    <w:abstractNumId w:val="333"/>
  </w:num>
  <w:num w:numId="311" w16cid:durableId="1349671467">
    <w:abstractNumId w:val="4"/>
  </w:num>
  <w:num w:numId="312" w16cid:durableId="1996030892">
    <w:abstractNumId w:val="351"/>
  </w:num>
  <w:num w:numId="313" w16cid:durableId="900409411">
    <w:abstractNumId w:val="88"/>
  </w:num>
  <w:num w:numId="314" w16cid:durableId="438068359">
    <w:abstractNumId w:val="252"/>
  </w:num>
  <w:num w:numId="315" w16cid:durableId="1276012294">
    <w:abstractNumId w:val="100"/>
  </w:num>
  <w:num w:numId="316" w16cid:durableId="1320766459">
    <w:abstractNumId w:val="384"/>
  </w:num>
  <w:num w:numId="317" w16cid:durableId="1075279649">
    <w:abstractNumId w:val="30"/>
  </w:num>
  <w:num w:numId="318" w16cid:durableId="864444309">
    <w:abstractNumId w:val="193"/>
  </w:num>
  <w:num w:numId="319" w16cid:durableId="590696837">
    <w:abstractNumId w:val="309"/>
  </w:num>
  <w:num w:numId="320" w16cid:durableId="1899129195">
    <w:abstractNumId w:val="309"/>
  </w:num>
  <w:num w:numId="321" w16cid:durableId="857278272">
    <w:abstractNumId w:val="342"/>
  </w:num>
  <w:num w:numId="322" w16cid:durableId="1735733239">
    <w:abstractNumId w:val="47"/>
  </w:num>
  <w:num w:numId="323" w16cid:durableId="501967074">
    <w:abstractNumId w:val="74"/>
  </w:num>
  <w:num w:numId="324" w16cid:durableId="244148455">
    <w:abstractNumId w:val="33"/>
  </w:num>
  <w:num w:numId="325" w16cid:durableId="744188918">
    <w:abstractNumId w:val="161"/>
  </w:num>
  <w:num w:numId="326" w16cid:durableId="111680357">
    <w:abstractNumId w:val="92"/>
  </w:num>
  <w:num w:numId="327" w16cid:durableId="1693413317">
    <w:abstractNumId w:val="132"/>
  </w:num>
  <w:num w:numId="328" w16cid:durableId="94596219">
    <w:abstractNumId w:val="319"/>
  </w:num>
  <w:num w:numId="329" w16cid:durableId="2092896396">
    <w:abstractNumId w:val="75"/>
  </w:num>
  <w:num w:numId="330" w16cid:durableId="1077362716">
    <w:abstractNumId w:val="171"/>
  </w:num>
  <w:num w:numId="331" w16cid:durableId="2098594513">
    <w:abstractNumId w:val="21"/>
  </w:num>
  <w:num w:numId="332" w16cid:durableId="1191845798">
    <w:abstractNumId w:val="0"/>
  </w:num>
  <w:num w:numId="333" w16cid:durableId="1698265089">
    <w:abstractNumId w:val="287"/>
  </w:num>
  <w:num w:numId="334" w16cid:durableId="1447433041">
    <w:abstractNumId w:val="379"/>
  </w:num>
  <w:num w:numId="335" w16cid:durableId="942029904">
    <w:abstractNumId w:val="292"/>
  </w:num>
  <w:num w:numId="336" w16cid:durableId="1460222204">
    <w:abstractNumId w:val="282"/>
  </w:num>
  <w:num w:numId="337" w16cid:durableId="185599734">
    <w:abstractNumId w:val="52"/>
  </w:num>
  <w:num w:numId="338" w16cid:durableId="583300143">
    <w:abstractNumId w:val="393"/>
  </w:num>
  <w:num w:numId="339" w16cid:durableId="108164994">
    <w:abstractNumId w:val="249"/>
  </w:num>
  <w:num w:numId="340" w16cid:durableId="1200126801">
    <w:abstractNumId w:val="280"/>
  </w:num>
  <w:num w:numId="341" w16cid:durableId="1950117819">
    <w:abstractNumId w:val="10"/>
  </w:num>
  <w:num w:numId="342" w16cid:durableId="1986082481">
    <w:abstractNumId w:val="415"/>
  </w:num>
  <w:num w:numId="343" w16cid:durableId="1237129339">
    <w:abstractNumId w:val="86"/>
  </w:num>
  <w:num w:numId="344" w16cid:durableId="1532457987">
    <w:abstractNumId w:val="80"/>
  </w:num>
  <w:num w:numId="345" w16cid:durableId="1572228350">
    <w:abstractNumId w:val="359"/>
  </w:num>
  <w:num w:numId="346" w16cid:durableId="282079614">
    <w:abstractNumId w:val="232"/>
  </w:num>
  <w:num w:numId="347" w16cid:durableId="599266769">
    <w:abstractNumId w:val="418"/>
  </w:num>
  <w:num w:numId="348" w16cid:durableId="1374427790">
    <w:abstractNumId w:val="44"/>
  </w:num>
  <w:num w:numId="349" w16cid:durableId="1327514640">
    <w:abstractNumId w:val="18"/>
  </w:num>
  <w:num w:numId="350" w16cid:durableId="1313556320">
    <w:abstractNumId w:val="129"/>
  </w:num>
  <w:num w:numId="351" w16cid:durableId="974067871">
    <w:abstractNumId w:val="5"/>
  </w:num>
  <w:num w:numId="352" w16cid:durableId="839733296">
    <w:abstractNumId w:val="406"/>
  </w:num>
  <w:num w:numId="353" w16cid:durableId="1242258437">
    <w:abstractNumId w:val="194"/>
  </w:num>
  <w:num w:numId="354" w16cid:durableId="45690956">
    <w:abstractNumId w:val="57"/>
  </w:num>
  <w:num w:numId="355" w16cid:durableId="747727432">
    <w:abstractNumId w:val="79"/>
  </w:num>
  <w:num w:numId="356" w16cid:durableId="928463578">
    <w:abstractNumId w:val="191"/>
  </w:num>
  <w:num w:numId="357" w16cid:durableId="1022315851">
    <w:abstractNumId w:val="90"/>
  </w:num>
  <w:num w:numId="358" w16cid:durableId="15811241">
    <w:abstractNumId w:val="181"/>
  </w:num>
  <w:num w:numId="359" w16cid:durableId="1425880316">
    <w:abstractNumId w:val="59"/>
  </w:num>
  <w:num w:numId="360" w16cid:durableId="1533809287">
    <w:abstractNumId w:val="365"/>
  </w:num>
  <w:num w:numId="361" w16cid:durableId="589238132">
    <w:abstractNumId w:val="368"/>
  </w:num>
  <w:num w:numId="362" w16cid:durableId="1018966799">
    <w:abstractNumId w:val="299"/>
  </w:num>
  <w:num w:numId="363" w16cid:durableId="1433473114">
    <w:abstractNumId w:val="295"/>
  </w:num>
  <w:num w:numId="364" w16cid:durableId="1857041458">
    <w:abstractNumId w:val="96"/>
  </w:num>
  <w:num w:numId="365" w16cid:durableId="1286083960">
    <w:abstractNumId w:val="230"/>
  </w:num>
  <w:num w:numId="366" w16cid:durableId="163937424">
    <w:abstractNumId w:val="297"/>
  </w:num>
  <w:num w:numId="367" w16cid:durableId="754404132">
    <w:abstractNumId w:val="19"/>
  </w:num>
  <w:num w:numId="368" w16cid:durableId="647827582">
    <w:abstractNumId w:val="188"/>
  </w:num>
  <w:num w:numId="369" w16cid:durableId="1365444142">
    <w:abstractNumId w:val="346"/>
  </w:num>
  <w:num w:numId="370" w16cid:durableId="1962491592">
    <w:abstractNumId w:val="201"/>
  </w:num>
  <w:num w:numId="371" w16cid:durableId="732584207">
    <w:abstractNumId w:val="385"/>
  </w:num>
  <w:num w:numId="372" w16cid:durableId="2088382895">
    <w:abstractNumId w:val="222"/>
  </w:num>
  <w:num w:numId="373" w16cid:durableId="887229524">
    <w:abstractNumId w:val="220"/>
  </w:num>
  <w:num w:numId="374" w16cid:durableId="310863888">
    <w:abstractNumId w:val="12"/>
  </w:num>
  <w:num w:numId="375" w16cid:durableId="1551720353">
    <w:abstractNumId w:val="112"/>
  </w:num>
  <w:num w:numId="376" w16cid:durableId="89279395">
    <w:abstractNumId w:val="243"/>
  </w:num>
  <w:num w:numId="377" w16cid:durableId="2040550627">
    <w:abstractNumId w:val="6"/>
  </w:num>
  <w:num w:numId="378" w16cid:durableId="1394501495">
    <w:abstractNumId w:val="399"/>
  </w:num>
  <w:num w:numId="379" w16cid:durableId="1132166346">
    <w:abstractNumId w:val="209"/>
  </w:num>
  <w:num w:numId="380" w16cid:durableId="1279141373">
    <w:abstractNumId w:val="226"/>
  </w:num>
  <w:num w:numId="381" w16cid:durableId="1589458510">
    <w:abstractNumId w:val="277"/>
  </w:num>
  <w:num w:numId="382" w16cid:durableId="1266887980">
    <w:abstractNumId w:val="108"/>
  </w:num>
  <w:num w:numId="383" w16cid:durableId="738018999">
    <w:abstractNumId w:val="237"/>
  </w:num>
  <w:num w:numId="384" w16cid:durableId="54352599">
    <w:abstractNumId w:val="114"/>
  </w:num>
  <w:num w:numId="385" w16cid:durableId="1404764842">
    <w:abstractNumId w:val="413"/>
  </w:num>
  <w:num w:numId="386" w16cid:durableId="1162237220">
    <w:abstractNumId w:val="215"/>
  </w:num>
  <w:num w:numId="387" w16cid:durableId="2044675476">
    <w:abstractNumId w:val="133"/>
  </w:num>
  <w:num w:numId="388" w16cid:durableId="2137410065">
    <w:abstractNumId w:val="134"/>
  </w:num>
  <w:num w:numId="389" w16cid:durableId="292057291">
    <w:abstractNumId w:val="285"/>
  </w:num>
  <w:num w:numId="390" w16cid:durableId="1844470161">
    <w:abstractNumId w:val="303"/>
  </w:num>
  <w:num w:numId="391" w16cid:durableId="1099374009">
    <w:abstractNumId w:val="60"/>
  </w:num>
  <w:num w:numId="392" w16cid:durableId="232544202">
    <w:abstractNumId w:val="407"/>
  </w:num>
  <w:num w:numId="393" w16cid:durableId="2093701849">
    <w:abstractNumId w:val="327"/>
  </w:num>
  <w:num w:numId="394" w16cid:durableId="1373771174">
    <w:abstractNumId w:val="150"/>
  </w:num>
  <w:num w:numId="395" w16cid:durableId="2071809201">
    <w:abstractNumId w:val="387"/>
  </w:num>
  <w:num w:numId="396" w16cid:durableId="1757361497">
    <w:abstractNumId w:val="414"/>
  </w:num>
  <w:num w:numId="397" w16cid:durableId="1580359385">
    <w:abstractNumId w:val="199"/>
  </w:num>
  <w:num w:numId="398" w16cid:durableId="1155757978">
    <w:abstractNumId w:val="424"/>
  </w:num>
  <w:num w:numId="399" w16cid:durableId="1593591158">
    <w:abstractNumId w:val="273"/>
  </w:num>
  <w:num w:numId="400" w16cid:durableId="1245453104">
    <w:abstractNumId w:val="313"/>
  </w:num>
  <w:num w:numId="401" w16cid:durableId="1659260154">
    <w:abstractNumId w:val="291"/>
  </w:num>
  <w:num w:numId="402" w16cid:durableId="716664763">
    <w:abstractNumId w:val="7"/>
  </w:num>
  <w:num w:numId="403" w16cid:durableId="1725520304">
    <w:abstractNumId w:val="345"/>
  </w:num>
  <w:num w:numId="404" w16cid:durableId="1533959601">
    <w:abstractNumId w:val="400"/>
  </w:num>
  <w:num w:numId="405" w16cid:durableId="604771711">
    <w:abstractNumId w:val="259"/>
  </w:num>
  <w:num w:numId="406" w16cid:durableId="369453206">
    <w:abstractNumId w:val="207"/>
  </w:num>
  <w:num w:numId="407" w16cid:durableId="1370452690">
    <w:abstractNumId w:val="39"/>
  </w:num>
  <w:num w:numId="408" w16cid:durableId="1505243469">
    <w:abstractNumId w:val="102"/>
  </w:num>
  <w:num w:numId="409" w16cid:durableId="1794597032">
    <w:abstractNumId w:val="316"/>
  </w:num>
  <w:num w:numId="410" w16cid:durableId="1526285286">
    <w:abstractNumId w:val="236"/>
  </w:num>
  <w:num w:numId="411" w16cid:durableId="1812479766">
    <w:abstractNumId w:val="182"/>
  </w:num>
  <w:num w:numId="412" w16cid:durableId="20672605">
    <w:abstractNumId w:val="268"/>
  </w:num>
  <w:num w:numId="413" w16cid:durableId="1366717597">
    <w:abstractNumId w:val="344"/>
  </w:num>
  <w:num w:numId="414" w16cid:durableId="339351321">
    <w:abstractNumId w:val="20"/>
  </w:num>
  <w:num w:numId="415" w16cid:durableId="1272057652">
    <w:abstractNumId w:val="58"/>
  </w:num>
  <w:num w:numId="416" w16cid:durableId="1176380557">
    <w:abstractNumId w:val="301"/>
  </w:num>
  <w:num w:numId="417" w16cid:durableId="939752160">
    <w:abstractNumId w:val="348"/>
  </w:num>
  <w:num w:numId="418" w16cid:durableId="1349873762">
    <w:abstractNumId w:val="373"/>
  </w:num>
  <w:num w:numId="419" w16cid:durableId="1647928307">
    <w:abstractNumId w:val="235"/>
  </w:num>
  <w:num w:numId="420" w16cid:durableId="1431775167">
    <w:abstractNumId w:val="138"/>
  </w:num>
  <w:num w:numId="421" w16cid:durableId="1090545930">
    <w:abstractNumId w:val="17"/>
  </w:num>
  <w:num w:numId="422" w16cid:durableId="2092774618">
    <w:abstractNumId w:val="389"/>
  </w:num>
  <w:num w:numId="423" w16cid:durableId="388579880">
    <w:abstractNumId w:val="262"/>
  </w:num>
  <w:num w:numId="424" w16cid:durableId="2147355069">
    <w:abstractNumId w:val="247"/>
  </w:num>
  <w:num w:numId="425" w16cid:durableId="101540247">
    <w:abstractNumId w:val="239"/>
  </w:num>
  <w:num w:numId="426" w16cid:durableId="353532368">
    <w:abstractNumId w:val="371"/>
  </w:num>
  <w:num w:numId="427" w16cid:durableId="1583371655">
    <w:abstractNumId w:val="374"/>
  </w:num>
  <w:num w:numId="428" w16cid:durableId="1809131609">
    <w:abstractNumId w:val="22"/>
  </w:num>
  <w:num w:numId="429" w16cid:durableId="1598445405">
    <w:abstractNumId w:val="376"/>
  </w:num>
  <w:num w:numId="430" w16cid:durableId="1571109751">
    <w:abstractNumId w:val="426"/>
  </w:num>
  <w:num w:numId="431" w16cid:durableId="1459639681">
    <w:abstractNumId w:val="13"/>
  </w:num>
  <w:num w:numId="432" w16cid:durableId="697312500">
    <w:abstractNumId w:val="211"/>
  </w:num>
  <w:num w:numId="433" w16cid:durableId="1092048883">
    <w:abstractNumId w:val="231"/>
  </w:num>
  <w:num w:numId="434" w16cid:durableId="244582481">
    <w:abstractNumId w:val="315"/>
  </w:num>
  <w:num w:numId="435" w16cid:durableId="1481655346">
    <w:abstractNumId w:val="309"/>
  </w:num>
  <w:num w:numId="436" w16cid:durableId="1845783806">
    <w:abstractNumId w:val="309"/>
  </w:num>
  <w:num w:numId="437" w16cid:durableId="1984845747">
    <w:abstractNumId w:val="213"/>
  </w:num>
  <w:num w:numId="438" w16cid:durableId="1402950248">
    <w:abstractNumId w:val="66"/>
  </w:num>
  <w:num w:numId="439" w16cid:durableId="1959872189">
    <w:abstractNumId w:val="54"/>
  </w:num>
  <w:num w:numId="440" w16cid:durableId="845678128">
    <w:abstractNumId w:val="2"/>
  </w:num>
  <w:num w:numId="441" w16cid:durableId="1651445915">
    <w:abstractNumId w:val="357"/>
  </w:num>
  <w:num w:numId="442" w16cid:durableId="1010721316">
    <w:abstractNumId w:val="317"/>
  </w:num>
  <w:num w:numId="443" w16cid:durableId="1561208706">
    <w:abstractNumId w:val="309"/>
  </w:num>
  <w:num w:numId="444" w16cid:durableId="21785817">
    <w:abstractNumId w:val="49"/>
  </w:num>
  <w:num w:numId="445" w16cid:durableId="585773866">
    <w:abstractNumId w:val="294"/>
  </w:num>
  <w:num w:numId="446" w16cid:durableId="581644875">
    <w:abstractNumId w:val="174"/>
  </w:num>
  <w:num w:numId="447" w16cid:durableId="1385061700">
    <w:abstractNumId w:val="162"/>
  </w:num>
  <w:num w:numId="448" w16cid:durableId="1118067295">
    <w:abstractNumId w:val="391"/>
  </w:num>
  <w:num w:numId="449" w16cid:durableId="1127772302">
    <w:abstractNumId w:val="176"/>
  </w:num>
  <w:num w:numId="450" w16cid:durableId="1857839521">
    <w:abstractNumId w:val="175"/>
  </w:num>
  <w:num w:numId="451" w16cid:durableId="40175447">
    <w:abstractNumId w:val="113"/>
  </w:num>
  <w:num w:numId="452" w16cid:durableId="1660184492">
    <w:abstractNumId w:val="146"/>
  </w:num>
  <w:numIdMacAtCleanup w:val="4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BR" w:vendorID="64" w:dllVersion="6" w:nlCheck="1" w:checkStyle="0"/>
  <w:activeWritingStyle w:appName="MSWord" w:lang="fr-FR" w:vendorID="64" w:dllVersion="6" w:nlCheck="1" w:checkStyle="0"/>
  <w:activeWritingStyle w:appName="MSWord" w:lang="es-DO" w:vendorID="64" w:dllVersion="6" w:nlCheck="1" w:checkStyle="0"/>
  <w:activeWritingStyle w:appName="MSWord" w:lang="es-ES" w:vendorID="64" w:dllVersion="6" w:nlCheck="1" w:checkStyle="0"/>
  <w:activeWritingStyle w:appName="MSWord" w:lang="en-US" w:vendorID="64" w:dllVersion="6" w:nlCheck="1" w:checkStyle="0"/>
  <w:activeWritingStyle w:appName="MSWord" w:lang="es-US" w:vendorID="64" w:dllVersion="6" w:nlCheck="1" w:checkStyle="0"/>
  <w:activeWritingStyle w:appName="MSWord" w:lang="es-GT" w:vendorID="64" w:dllVersion="6" w:nlCheck="1" w:checkStyle="0"/>
  <w:activeWritingStyle w:appName="MSWord" w:lang="es-ES_tradnl" w:vendorID="64" w:dllVersion="6" w:nlCheck="1" w:checkStyle="0"/>
  <w:activeWritingStyle w:appName="MSWord" w:lang="es-ES" w:vendorID="64" w:dllVersion="4096" w:nlCheck="1" w:checkStyle="0"/>
  <w:activeWritingStyle w:appName="MSWord" w:lang="es-ES_tradnl" w:vendorID="64" w:dllVersion="4096" w:nlCheck="1" w:checkStyle="0"/>
  <w:activeWritingStyle w:appName="MSWord" w:lang="en-US" w:vendorID="64" w:dllVersion="4096" w:nlCheck="1" w:checkStyle="0"/>
  <w:activeWritingStyle w:appName="MSWord" w:lang="fr-FR" w:vendorID="64" w:dllVersion="4096" w:nlCheck="1" w:checkStyle="0"/>
  <w:activeWritingStyle w:appName="MSWord" w:lang="es-MX" w:vendorID="64" w:dllVersion="6" w:nlCheck="1" w:checkStyle="0"/>
  <w:activeWritingStyle w:appName="MSWord" w:lang="es-EC" w:vendorID="64" w:dllVersion="6" w:nlCheck="1" w:checkStyle="0"/>
  <w:activeWritingStyle w:appName="MSWord" w:lang="es-CL" w:vendorID="64" w:dllVersion="6" w:nlCheck="1" w:checkStyle="0"/>
  <w:activeWritingStyle w:appName="MSWord" w:lang="en-ZA" w:vendorID="64" w:dllVersion="6" w:nlCheck="1" w:checkStyle="0"/>
  <w:activeWritingStyle w:appName="MSWord" w:lang="es-CR" w:vendorID="64" w:dllVersion="6" w:nlCheck="1" w:checkStyle="0"/>
  <w:activeWritingStyle w:appName="MSWord" w:lang="en-GB" w:vendorID="64" w:dllVersion="6" w:nlCheck="1" w:checkStyle="1"/>
  <w:activeWritingStyle w:appName="MSWord" w:lang="es-GT" w:vendorID="64" w:dllVersion="0" w:nlCheck="1" w:checkStyle="0"/>
  <w:activeWritingStyle w:appName="MSWord" w:lang="es-ES" w:vendorID="64" w:dllVersion="0" w:nlCheck="1" w:checkStyle="0"/>
  <w:activeWritingStyle w:appName="MSWord" w:lang="es-DO" w:vendorID="64" w:dllVersion="0" w:nlCheck="1" w:checkStyle="0"/>
  <w:activeWritingStyle w:appName="MSWord" w:lang="es-ES_tradnl" w:vendorID="64" w:dllVersion="0" w:nlCheck="1" w:checkStyle="0"/>
  <w:activeWritingStyle w:appName="MSWord" w:lang="es-EC" w:vendorID="64" w:dllVersion="0" w:nlCheck="1" w:checkStyle="0"/>
  <w:activeWritingStyle w:appName="MSWord" w:lang="en-US" w:vendorID="64" w:dllVersion="0" w:nlCheck="1" w:checkStyle="0"/>
  <w:activeWritingStyle w:appName="MSWord" w:lang="es-MX" w:vendorID="64" w:dllVersion="0" w:nlCheck="1" w:checkStyle="0"/>
  <w:activeWritingStyle w:appName="MSWord" w:lang="es-CL" w:vendorID="64" w:dllVersion="0" w:nlCheck="1" w:checkStyle="0"/>
  <w:activeWritingStyle w:appName="MSWord" w:lang="es-US" w:vendorID="64" w:dllVersion="0" w:nlCheck="1" w:checkStyle="0"/>
  <w:activeWritingStyle w:appName="MSWord" w:lang="en-ZA" w:vendorID="64" w:dllVersion="0" w:nlCheck="1" w:checkStyle="0"/>
  <w:activeWritingStyle w:appName="MSWord" w:lang="es-CR" w:vendorID="64" w:dllVersion="0" w:nlCheck="1" w:checkStyle="0"/>
  <w:activeWritingStyle w:appName="MSWord" w:lang="fr-FR" w:vendorID="64" w:dllVersion="0" w:nlCheck="1" w:checkStyle="0"/>
  <w:activeWritingStyle w:appName="MSWord" w:lang="pt-PT" w:vendorID="64" w:dllVersion="4096" w:nlCheck="1" w:checkStyle="0"/>
  <w:activeWritingStyle w:appName="MSWord" w:lang="en-GB" w:vendorID="64" w:dllVersion="4096" w:nlCheck="1" w:checkStyle="0"/>
  <w:activeWritingStyle w:appName="MSWord" w:lang="es-SV" w:vendorID="64" w:dllVersion="0" w:nlCheck="1" w:checkStyle="0"/>
  <w:activeWritingStyle w:appName="MSWord" w:lang="pt-BR" w:vendorID="64" w:dllVersion="0" w:nlCheck="1" w:checkStyle="0"/>
  <w:activeWritingStyle w:appName="MSWord" w:lang="es-SV" w:vendorID="64" w:dllVersion="6" w:nlCheck="1" w:checkStyle="0"/>
  <w:activeWritingStyle w:appName="MSWord" w:lang="es-DO" w:vendorID="64" w:dllVersion="4096" w:nlCheck="1" w:checkStyle="0"/>
  <w:activeWritingStyle w:appName="MSWord" w:lang="es-GT" w:vendorID="64" w:dllVersion="4096" w:nlCheck="1" w:checkStyle="0"/>
  <w:activeWritingStyle w:appName="MSWord" w:lang="es-MX" w:vendorID="64" w:dllVersion="4096" w:nlCheck="1" w:checkStyle="0"/>
  <w:activeWritingStyle w:appName="MSWord" w:lang="pt-BR" w:vendorID="64" w:dllVersion="4096" w:nlCheck="1" w:checkStyle="0"/>
  <w:activeWritingStyle w:appName="MSWord" w:lang="es-US" w:vendorID="64" w:dllVersion="4096" w:nlCheck="1" w:checkStyle="0"/>
  <w:activeWritingStyle w:appName="MSWord" w:lang="es-CL" w:vendorID="64" w:dllVersion="4096" w:nlCheck="1" w:checkStyle="0"/>
  <w:activeWritingStyle w:appName="MSWord" w:lang="en-ZA" w:vendorID="64" w:dllVersion="4096" w:nlCheck="1" w:checkStyle="0"/>
  <w:activeWritingStyle w:appName="MSWord" w:lang="es-SV" w:vendorID="64" w:dllVersion="4096" w:nlCheck="1" w:checkStyle="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6DF0"/>
    <w:rsid w:val="00000E1A"/>
    <w:rsid w:val="00002C67"/>
    <w:rsid w:val="00006486"/>
    <w:rsid w:val="000077F2"/>
    <w:rsid w:val="00007894"/>
    <w:rsid w:val="00011067"/>
    <w:rsid w:val="000135D8"/>
    <w:rsid w:val="000148DF"/>
    <w:rsid w:val="00014CAF"/>
    <w:rsid w:val="00015957"/>
    <w:rsid w:val="000165C9"/>
    <w:rsid w:val="00016BB8"/>
    <w:rsid w:val="00016D27"/>
    <w:rsid w:val="00017257"/>
    <w:rsid w:val="00020454"/>
    <w:rsid w:val="00020836"/>
    <w:rsid w:val="00022168"/>
    <w:rsid w:val="00022AD7"/>
    <w:rsid w:val="00023778"/>
    <w:rsid w:val="00024D16"/>
    <w:rsid w:val="00024E45"/>
    <w:rsid w:val="0002525F"/>
    <w:rsid w:val="00030AA4"/>
    <w:rsid w:val="000310D3"/>
    <w:rsid w:val="0003151E"/>
    <w:rsid w:val="00031667"/>
    <w:rsid w:val="00031F63"/>
    <w:rsid w:val="00032171"/>
    <w:rsid w:val="00033BFC"/>
    <w:rsid w:val="0003458B"/>
    <w:rsid w:val="000349D2"/>
    <w:rsid w:val="000359EC"/>
    <w:rsid w:val="00036355"/>
    <w:rsid w:val="000365EC"/>
    <w:rsid w:val="00036EE0"/>
    <w:rsid w:val="00037933"/>
    <w:rsid w:val="0004071A"/>
    <w:rsid w:val="00040E08"/>
    <w:rsid w:val="00042164"/>
    <w:rsid w:val="00042E46"/>
    <w:rsid w:val="000436E8"/>
    <w:rsid w:val="00043B88"/>
    <w:rsid w:val="0004455E"/>
    <w:rsid w:val="000447BF"/>
    <w:rsid w:val="00045DE5"/>
    <w:rsid w:val="0004646E"/>
    <w:rsid w:val="00046E96"/>
    <w:rsid w:val="00047A82"/>
    <w:rsid w:val="0005062D"/>
    <w:rsid w:val="00050BD5"/>
    <w:rsid w:val="00051542"/>
    <w:rsid w:val="0005172A"/>
    <w:rsid w:val="00051E06"/>
    <w:rsid w:val="00052BA3"/>
    <w:rsid w:val="00053D43"/>
    <w:rsid w:val="00055948"/>
    <w:rsid w:val="00060031"/>
    <w:rsid w:val="00060352"/>
    <w:rsid w:val="000606DA"/>
    <w:rsid w:val="00060737"/>
    <w:rsid w:val="00060F48"/>
    <w:rsid w:val="00060F74"/>
    <w:rsid w:val="000616B8"/>
    <w:rsid w:val="00062739"/>
    <w:rsid w:val="00062A19"/>
    <w:rsid w:val="00062F57"/>
    <w:rsid w:val="00063253"/>
    <w:rsid w:val="00065304"/>
    <w:rsid w:val="00065A64"/>
    <w:rsid w:val="00070B22"/>
    <w:rsid w:val="00071515"/>
    <w:rsid w:val="0007180C"/>
    <w:rsid w:val="00071E90"/>
    <w:rsid w:val="00072129"/>
    <w:rsid w:val="00072E47"/>
    <w:rsid w:val="000748EC"/>
    <w:rsid w:val="00074BE3"/>
    <w:rsid w:val="0007555A"/>
    <w:rsid w:val="000760F9"/>
    <w:rsid w:val="0007781E"/>
    <w:rsid w:val="00077A21"/>
    <w:rsid w:val="0008043A"/>
    <w:rsid w:val="00080EBC"/>
    <w:rsid w:val="00082160"/>
    <w:rsid w:val="00082571"/>
    <w:rsid w:val="00082EBE"/>
    <w:rsid w:val="0008324C"/>
    <w:rsid w:val="00083964"/>
    <w:rsid w:val="00084A69"/>
    <w:rsid w:val="000859E0"/>
    <w:rsid w:val="00085F37"/>
    <w:rsid w:val="00086504"/>
    <w:rsid w:val="0008777D"/>
    <w:rsid w:val="000903CA"/>
    <w:rsid w:val="0009281F"/>
    <w:rsid w:val="00094A53"/>
    <w:rsid w:val="00094AA0"/>
    <w:rsid w:val="00095A26"/>
    <w:rsid w:val="00096429"/>
    <w:rsid w:val="000A022C"/>
    <w:rsid w:val="000A04C1"/>
    <w:rsid w:val="000A0CFB"/>
    <w:rsid w:val="000A1BB5"/>
    <w:rsid w:val="000A2A53"/>
    <w:rsid w:val="000A2F67"/>
    <w:rsid w:val="000A4405"/>
    <w:rsid w:val="000A4786"/>
    <w:rsid w:val="000A4C43"/>
    <w:rsid w:val="000A5F75"/>
    <w:rsid w:val="000A720D"/>
    <w:rsid w:val="000A77C3"/>
    <w:rsid w:val="000A7E18"/>
    <w:rsid w:val="000B02CB"/>
    <w:rsid w:val="000B1999"/>
    <w:rsid w:val="000B213A"/>
    <w:rsid w:val="000B2549"/>
    <w:rsid w:val="000B3F27"/>
    <w:rsid w:val="000B5C68"/>
    <w:rsid w:val="000B5E35"/>
    <w:rsid w:val="000C047D"/>
    <w:rsid w:val="000C122A"/>
    <w:rsid w:val="000C1635"/>
    <w:rsid w:val="000C18E5"/>
    <w:rsid w:val="000C2240"/>
    <w:rsid w:val="000C3449"/>
    <w:rsid w:val="000C4374"/>
    <w:rsid w:val="000C4D01"/>
    <w:rsid w:val="000C4D57"/>
    <w:rsid w:val="000C5B5B"/>
    <w:rsid w:val="000C7570"/>
    <w:rsid w:val="000D08B8"/>
    <w:rsid w:val="000D0B74"/>
    <w:rsid w:val="000D1413"/>
    <w:rsid w:val="000D23B5"/>
    <w:rsid w:val="000D2602"/>
    <w:rsid w:val="000D30C4"/>
    <w:rsid w:val="000D3584"/>
    <w:rsid w:val="000D3F51"/>
    <w:rsid w:val="000D4B88"/>
    <w:rsid w:val="000D54E1"/>
    <w:rsid w:val="000D68BA"/>
    <w:rsid w:val="000D707C"/>
    <w:rsid w:val="000D7D7A"/>
    <w:rsid w:val="000E20A4"/>
    <w:rsid w:val="000E23DD"/>
    <w:rsid w:val="000E3491"/>
    <w:rsid w:val="000E3A08"/>
    <w:rsid w:val="000E3D10"/>
    <w:rsid w:val="000E4731"/>
    <w:rsid w:val="000E5EFC"/>
    <w:rsid w:val="000E60EC"/>
    <w:rsid w:val="000E6509"/>
    <w:rsid w:val="000E6797"/>
    <w:rsid w:val="000E6B85"/>
    <w:rsid w:val="000E7488"/>
    <w:rsid w:val="000E7ACA"/>
    <w:rsid w:val="000E7BAA"/>
    <w:rsid w:val="000F0044"/>
    <w:rsid w:val="000F0907"/>
    <w:rsid w:val="000F2416"/>
    <w:rsid w:val="000F3DB9"/>
    <w:rsid w:val="000F659E"/>
    <w:rsid w:val="000F71D6"/>
    <w:rsid w:val="00100831"/>
    <w:rsid w:val="00101421"/>
    <w:rsid w:val="00101944"/>
    <w:rsid w:val="00102134"/>
    <w:rsid w:val="0010228A"/>
    <w:rsid w:val="00102F6D"/>
    <w:rsid w:val="00102FF5"/>
    <w:rsid w:val="00103037"/>
    <w:rsid w:val="00105122"/>
    <w:rsid w:val="001054C7"/>
    <w:rsid w:val="00105640"/>
    <w:rsid w:val="00107097"/>
    <w:rsid w:val="00111817"/>
    <w:rsid w:val="00112B47"/>
    <w:rsid w:val="00113137"/>
    <w:rsid w:val="001137F4"/>
    <w:rsid w:val="00113F00"/>
    <w:rsid w:val="00114042"/>
    <w:rsid w:val="00114412"/>
    <w:rsid w:val="00114F68"/>
    <w:rsid w:val="00116601"/>
    <w:rsid w:val="00117956"/>
    <w:rsid w:val="001203E3"/>
    <w:rsid w:val="00122554"/>
    <w:rsid w:val="00124B63"/>
    <w:rsid w:val="00125A45"/>
    <w:rsid w:val="00125E95"/>
    <w:rsid w:val="001266F4"/>
    <w:rsid w:val="00126A57"/>
    <w:rsid w:val="00127026"/>
    <w:rsid w:val="00127987"/>
    <w:rsid w:val="00130559"/>
    <w:rsid w:val="00131853"/>
    <w:rsid w:val="001320EE"/>
    <w:rsid w:val="0013256D"/>
    <w:rsid w:val="00132765"/>
    <w:rsid w:val="00133D1D"/>
    <w:rsid w:val="00133EEE"/>
    <w:rsid w:val="00133FCD"/>
    <w:rsid w:val="00134C86"/>
    <w:rsid w:val="00134FE6"/>
    <w:rsid w:val="001353AE"/>
    <w:rsid w:val="00140831"/>
    <w:rsid w:val="001412DC"/>
    <w:rsid w:val="0014237C"/>
    <w:rsid w:val="00142AF2"/>
    <w:rsid w:val="0014329C"/>
    <w:rsid w:val="00143CBF"/>
    <w:rsid w:val="00144D8F"/>
    <w:rsid w:val="00145006"/>
    <w:rsid w:val="0014657A"/>
    <w:rsid w:val="0015153A"/>
    <w:rsid w:val="00151836"/>
    <w:rsid w:val="00151ED7"/>
    <w:rsid w:val="00152098"/>
    <w:rsid w:val="0015239F"/>
    <w:rsid w:val="001526C0"/>
    <w:rsid w:val="00153681"/>
    <w:rsid w:val="00153CB2"/>
    <w:rsid w:val="001551A6"/>
    <w:rsid w:val="00156D99"/>
    <w:rsid w:val="0015709A"/>
    <w:rsid w:val="00157C3B"/>
    <w:rsid w:val="00160706"/>
    <w:rsid w:val="00160B32"/>
    <w:rsid w:val="00161EB6"/>
    <w:rsid w:val="001621D5"/>
    <w:rsid w:val="001670C8"/>
    <w:rsid w:val="0017036B"/>
    <w:rsid w:val="00170677"/>
    <w:rsid w:val="0017085F"/>
    <w:rsid w:val="00171A32"/>
    <w:rsid w:val="00172CD2"/>
    <w:rsid w:val="00172DFB"/>
    <w:rsid w:val="00173378"/>
    <w:rsid w:val="00173468"/>
    <w:rsid w:val="00175E7B"/>
    <w:rsid w:val="001768FA"/>
    <w:rsid w:val="00176D05"/>
    <w:rsid w:val="0017708E"/>
    <w:rsid w:val="001771F0"/>
    <w:rsid w:val="001773BA"/>
    <w:rsid w:val="00177EFD"/>
    <w:rsid w:val="00182DAD"/>
    <w:rsid w:val="00183B8E"/>
    <w:rsid w:val="0018406B"/>
    <w:rsid w:val="001864F0"/>
    <w:rsid w:val="00186C17"/>
    <w:rsid w:val="00190CE8"/>
    <w:rsid w:val="001920C0"/>
    <w:rsid w:val="001926C2"/>
    <w:rsid w:val="001926EC"/>
    <w:rsid w:val="00192E30"/>
    <w:rsid w:val="00192EC5"/>
    <w:rsid w:val="00193F7B"/>
    <w:rsid w:val="00194910"/>
    <w:rsid w:val="00196416"/>
    <w:rsid w:val="001A183F"/>
    <w:rsid w:val="001A29F0"/>
    <w:rsid w:val="001A34C2"/>
    <w:rsid w:val="001A37DB"/>
    <w:rsid w:val="001A39BA"/>
    <w:rsid w:val="001A481F"/>
    <w:rsid w:val="001A565B"/>
    <w:rsid w:val="001A5C20"/>
    <w:rsid w:val="001A652B"/>
    <w:rsid w:val="001A67E9"/>
    <w:rsid w:val="001A6CF5"/>
    <w:rsid w:val="001A7FF3"/>
    <w:rsid w:val="001B42B3"/>
    <w:rsid w:val="001B42ED"/>
    <w:rsid w:val="001B4E0C"/>
    <w:rsid w:val="001B5425"/>
    <w:rsid w:val="001B5C07"/>
    <w:rsid w:val="001B605C"/>
    <w:rsid w:val="001B6C5C"/>
    <w:rsid w:val="001B7681"/>
    <w:rsid w:val="001B7F9B"/>
    <w:rsid w:val="001C146F"/>
    <w:rsid w:val="001C15B8"/>
    <w:rsid w:val="001C1A4B"/>
    <w:rsid w:val="001C2144"/>
    <w:rsid w:val="001C42D5"/>
    <w:rsid w:val="001C4A38"/>
    <w:rsid w:val="001C5D31"/>
    <w:rsid w:val="001C69B7"/>
    <w:rsid w:val="001C6E90"/>
    <w:rsid w:val="001D150B"/>
    <w:rsid w:val="001D1A27"/>
    <w:rsid w:val="001D1EE3"/>
    <w:rsid w:val="001D259F"/>
    <w:rsid w:val="001D3E11"/>
    <w:rsid w:val="001D4B98"/>
    <w:rsid w:val="001D4FD3"/>
    <w:rsid w:val="001D71B1"/>
    <w:rsid w:val="001D74C2"/>
    <w:rsid w:val="001E0DB3"/>
    <w:rsid w:val="001E165D"/>
    <w:rsid w:val="001E1A00"/>
    <w:rsid w:val="001E1C0C"/>
    <w:rsid w:val="001E2DBC"/>
    <w:rsid w:val="001E3989"/>
    <w:rsid w:val="001E6630"/>
    <w:rsid w:val="001E6948"/>
    <w:rsid w:val="001E7280"/>
    <w:rsid w:val="001E7CDC"/>
    <w:rsid w:val="001F1C88"/>
    <w:rsid w:val="001F3228"/>
    <w:rsid w:val="001F3BBC"/>
    <w:rsid w:val="001F41CD"/>
    <w:rsid w:val="001F428F"/>
    <w:rsid w:val="001F5586"/>
    <w:rsid w:val="001F56F6"/>
    <w:rsid w:val="001F5A91"/>
    <w:rsid w:val="001F68BA"/>
    <w:rsid w:val="002021A1"/>
    <w:rsid w:val="00202584"/>
    <w:rsid w:val="002032AD"/>
    <w:rsid w:val="00206AA7"/>
    <w:rsid w:val="00207243"/>
    <w:rsid w:val="002079C0"/>
    <w:rsid w:val="0021004C"/>
    <w:rsid w:val="0021019F"/>
    <w:rsid w:val="00211198"/>
    <w:rsid w:val="002118EB"/>
    <w:rsid w:val="00212909"/>
    <w:rsid w:val="00214684"/>
    <w:rsid w:val="00214C88"/>
    <w:rsid w:val="00215A4A"/>
    <w:rsid w:val="002162FC"/>
    <w:rsid w:val="00220F46"/>
    <w:rsid w:val="00220F49"/>
    <w:rsid w:val="00221347"/>
    <w:rsid w:val="0022382C"/>
    <w:rsid w:val="00226019"/>
    <w:rsid w:val="00226024"/>
    <w:rsid w:val="002263C7"/>
    <w:rsid w:val="002267C3"/>
    <w:rsid w:val="002271EA"/>
    <w:rsid w:val="00227883"/>
    <w:rsid w:val="002302CF"/>
    <w:rsid w:val="002305FA"/>
    <w:rsid w:val="0023089F"/>
    <w:rsid w:val="00230DD0"/>
    <w:rsid w:val="002310CD"/>
    <w:rsid w:val="0023199C"/>
    <w:rsid w:val="00231AA1"/>
    <w:rsid w:val="00232181"/>
    <w:rsid w:val="002327EC"/>
    <w:rsid w:val="00232D38"/>
    <w:rsid w:val="0023306B"/>
    <w:rsid w:val="002331B1"/>
    <w:rsid w:val="0023351C"/>
    <w:rsid w:val="00233BBB"/>
    <w:rsid w:val="0023429D"/>
    <w:rsid w:val="00235386"/>
    <w:rsid w:val="00240834"/>
    <w:rsid w:val="00240A17"/>
    <w:rsid w:val="00241588"/>
    <w:rsid w:val="0024198F"/>
    <w:rsid w:val="002420D4"/>
    <w:rsid w:val="00242E07"/>
    <w:rsid w:val="002435ED"/>
    <w:rsid w:val="002440CA"/>
    <w:rsid w:val="00244C32"/>
    <w:rsid w:val="002452E8"/>
    <w:rsid w:val="00245448"/>
    <w:rsid w:val="002466D4"/>
    <w:rsid w:val="00247964"/>
    <w:rsid w:val="0025073C"/>
    <w:rsid w:val="0025075B"/>
    <w:rsid w:val="002508B0"/>
    <w:rsid w:val="00250BB2"/>
    <w:rsid w:val="00251CC9"/>
    <w:rsid w:val="002528C3"/>
    <w:rsid w:val="00254083"/>
    <w:rsid w:val="0025465D"/>
    <w:rsid w:val="00255770"/>
    <w:rsid w:val="002559A3"/>
    <w:rsid w:val="00256899"/>
    <w:rsid w:val="00256FFE"/>
    <w:rsid w:val="00257252"/>
    <w:rsid w:val="002576F9"/>
    <w:rsid w:val="00257CAD"/>
    <w:rsid w:val="00260482"/>
    <w:rsid w:val="002604E0"/>
    <w:rsid w:val="00261011"/>
    <w:rsid w:val="002617AE"/>
    <w:rsid w:val="00262621"/>
    <w:rsid w:val="00263692"/>
    <w:rsid w:val="002647AF"/>
    <w:rsid w:val="0026559E"/>
    <w:rsid w:val="00265764"/>
    <w:rsid w:val="0026611E"/>
    <w:rsid w:val="00267542"/>
    <w:rsid w:val="002717CE"/>
    <w:rsid w:val="0027368E"/>
    <w:rsid w:val="002736C8"/>
    <w:rsid w:val="0027371A"/>
    <w:rsid w:val="00273E43"/>
    <w:rsid w:val="00273EEF"/>
    <w:rsid w:val="00274B9E"/>
    <w:rsid w:val="002754EA"/>
    <w:rsid w:val="00275ACA"/>
    <w:rsid w:val="00276570"/>
    <w:rsid w:val="002777D4"/>
    <w:rsid w:val="00280D9A"/>
    <w:rsid w:val="00283BE5"/>
    <w:rsid w:val="00283C67"/>
    <w:rsid w:val="0028451D"/>
    <w:rsid w:val="00284B11"/>
    <w:rsid w:val="002851E8"/>
    <w:rsid w:val="00285DDF"/>
    <w:rsid w:val="00286796"/>
    <w:rsid w:val="00286D9A"/>
    <w:rsid w:val="00287AA3"/>
    <w:rsid w:val="00287F07"/>
    <w:rsid w:val="0029202C"/>
    <w:rsid w:val="002925A6"/>
    <w:rsid w:val="00292CE1"/>
    <w:rsid w:val="00294F75"/>
    <w:rsid w:val="0029609D"/>
    <w:rsid w:val="002962EC"/>
    <w:rsid w:val="00296CA3"/>
    <w:rsid w:val="00297250"/>
    <w:rsid w:val="002A37A8"/>
    <w:rsid w:val="002A4003"/>
    <w:rsid w:val="002A4012"/>
    <w:rsid w:val="002A6609"/>
    <w:rsid w:val="002A67F7"/>
    <w:rsid w:val="002A7552"/>
    <w:rsid w:val="002B0539"/>
    <w:rsid w:val="002B0E6B"/>
    <w:rsid w:val="002B20CD"/>
    <w:rsid w:val="002B2118"/>
    <w:rsid w:val="002B2924"/>
    <w:rsid w:val="002B3F6B"/>
    <w:rsid w:val="002B5886"/>
    <w:rsid w:val="002B5FE9"/>
    <w:rsid w:val="002B692F"/>
    <w:rsid w:val="002B7736"/>
    <w:rsid w:val="002B7E96"/>
    <w:rsid w:val="002C173F"/>
    <w:rsid w:val="002C1EEA"/>
    <w:rsid w:val="002C28AF"/>
    <w:rsid w:val="002C2FE9"/>
    <w:rsid w:val="002C3621"/>
    <w:rsid w:val="002C36FA"/>
    <w:rsid w:val="002C66E2"/>
    <w:rsid w:val="002C6AC5"/>
    <w:rsid w:val="002D0C89"/>
    <w:rsid w:val="002D14F1"/>
    <w:rsid w:val="002D2682"/>
    <w:rsid w:val="002D3FD4"/>
    <w:rsid w:val="002D6328"/>
    <w:rsid w:val="002D7BBC"/>
    <w:rsid w:val="002E1CBA"/>
    <w:rsid w:val="002E33BF"/>
    <w:rsid w:val="002E558B"/>
    <w:rsid w:val="002E574E"/>
    <w:rsid w:val="002E5866"/>
    <w:rsid w:val="002E5B86"/>
    <w:rsid w:val="002E5ECA"/>
    <w:rsid w:val="002E6E7D"/>
    <w:rsid w:val="002E71CC"/>
    <w:rsid w:val="002E79EE"/>
    <w:rsid w:val="002F0AA6"/>
    <w:rsid w:val="002F0DF5"/>
    <w:rsid w:val="002F118E"/>
    <w:rsid w:val="002F2A85"/>
    <w:rsid w:val="002F3B45"/>
    <w:rsid w:val="002F3B8A"/>
    <w:rsid w:val="002F3F2C"/>
    <w:rsid w:val="002F4847"/>
    <w:rsid w:val="002F4E1B"/>
    <w:rsid w:val="002F5682"/>
    <w:rsid w:val="002F701C"/>
    <w:rsid w:val="002F749C"/>
    <w:rsid w:val="003005DC"/>
    <w:rsid w:val="003005DD"/>
    <w:rsid w:val="003006E4"/>
    <w:rsid w:val="003010DC"/>
    <w:rsid w:val="003012FF"/>
    <w:rsid w:val="00302524"/>
    <w:rsid w:val="00302867"/>
    <w:rsid w:val="0030298E"/>
    <w:rsid w:val="00302CD1"/>
    <w:rsid w:val="00303144"/>
    <w:rsid w:val="0030475F"/>
    <w:rsid w:val="00304DB0"/>
    <w:rsid w:val="003065BD"/>
    <w:rsid w:val="00306D45"/>
    <w:rsid w:val="003070B4"/>
    <w:rsid w:val="00307699"/>
    <w:rsid w:val="00307B0A"/>
    <w:rsid w:val="003106E6"/>
    <w:rsid w:val="003136AB"/>
    <w:rsid w:val="00314651"/>
    <w:rsid w:val="00314ACF"/>
    <w:rsid w:val="003201DB"/>
    <w:rsid w:val="0032048E"/>
    <w:rsid w:val="0032105C"/>
    <w:rsid w:val="003214A6"/>
    <w:rsid w:val="00321BD8"/>
    <w:rsid w:val="00322F88"/>
    <w:rsid w:val="003242B4"/>
    <w:rsid w:val="00325EB4"/>
    <w:rsid w:val="00326E8A"/>
    <w:rsid w:val="0032711D"/>
    <w:rsid w:val="00327B92"/>
    <w:rsid w:val="003318C1"/>
    <w:rsid w:val="00331A74"/>
    <w:rsid w:val="00334595"/>
    <w:rsid w:val="00334DF9"/>
    <w:rsid w:val="0033501A"/>
    <w:rsid w:val="003360B4"/>
    <w:rsid w:val="003372D9"/>
    <w:rsid w:val="0034117E"/>
    <w:rsid w:val="00343243"/>
    <w:rsid w:val="003432A6"/>
    <w:rsid w:val="00344498"/>
    <w:rsid w:val="003451DE"/>
    <w:rsid w:val="003455A2"/>
    <w:rsid w:val="00347A89"/>
    <w:rsid w:val="00350122"/>
    <w:rsid w:val="00350825"/>
    <w:rsid w:val="00352156"/>
    <w:rsid w:val="003533CC"/>
    <w:rsid w:val="003539DD"/>
    <w:rsid w:val="00353A92"/>
    <w:rsid w:val="003542DB"/>
    <w:rsid w:val="00355109"/>
    <w:rsid w:val="00355503"/>
    <w:rsid w:val="0035558B"/>
    <w:rsid w:val="00355FFC"/>
    <w:rsid w:val="0035663E"/>
    <w:rsid w:val="00356CDD"/>
    <w:rsid w:val="00357476"/>
    <w:rsid w:val="00361ED5"/>
    <w:rsid w:val="0036252B"/>
    <w:rsid w:val="003626F6"/>
    <w:rsid w:val="00363CF6"/>
    <w:rsid w:val="00364108"/>
    <w:rsid w:val="00365458"/>
    <w:rsid w:val="00365B0B"/>
    <w:rsid w:val="00366587"/>
    <w:rsid w:val="00366815"/>
    <w:rsid w:val="00366FB3"/>
    <w:rsid w:val="00367E09"/>
    <w:rsid w:val="003707FA"/>
    <w:rsid w:val="0037115F"/>
    <w:rsid w:val="003723B0"/>
    <w:rsid w:val="0037289C"/>
    <w:rsid w:val="0037390B"/>
    <w:rsid w:val="00374421"/>
    <w:rsid w:val="003751D3"/>
    <w:rsid w:val="003757AE"/>
    <w:rsid w:val="00375947"/>
    <w:rsid w:val="003765F0"/>
    <w:rsid w:val="00376813"/>
    <w:rsid w:val="00377603"/>
    <w:rsid w:val="003817B2"/>
    <w:rsid w:val="0038468A"/>
    <w:rsid w:val="00384845"/>
    <w:rsid w:val="0038499B"/>
    <w:rsid w:val="00384F13"/>
    <w:rsid w:val="00385808"/>
    <w:rsid w:val="003858D1"/>
    <w:rsid w:val="0038760C"/>
    <w:rsid w:val="00387669"/>
    <w:rsid w:val="00390246"/>
    <w:rsid w:val="00391424"/>
    <w:rsid w:val="00392A31"/>
    <w:rsid w:val="00393510"/>
    <w:rsid w:val="00394C8F"/>
    <w:rsid w:val="003959D6"/>
    <w:rsid w:val="0039610A"/>
    <w:rsid w:val="003962C9"/>
    <w:rsid w:val="0039726B"/>
    <w:rsid w:val="00397510"/>
    <w:rsid w:val="00397ECA"/>
    <w:rsid w:val="003A10F6"/>
    <w:rsid w:val="003A1F73"/>
    <w:rsid w:val="003A20E0"/>
    <w:rsid w:val="003A66F4"/>
    <w:rsid w:val="003B080D"/>
    <w:rsid w:val="003B2274"/>
    <w:rsid w:val="003B2BFB"/>
    <w:rsid w:val="003B528E"/>
    <w:rsid w:val="003B5BE2"/>
    <w:rsid w:val="003B5CDD"/>
    <w:rsid w:val="003B69EE"/>
    <w:rsid w:val="003B7B40"/>
    <w:rsid w:val="003C0DC1"/>
    <w:rsid w:val="003C223E"/>
    <w:rsid w:val="003C227E"/>
    <w:rsid w:val="003C38DE"/>
    <w:rsid w:val="003C3FB0"/>
    <w:rsid w:val="003C4140"/>
    <w:rsid w:val="003C42A7"/>
    <w:rsid w:val="003C4FDF"/>
    <w:rsid w:val="003C5828"/>
    <w:rsid w:val="003C6BAF"/>
    <w:rsid w:val="003C7BE1"/>
    <w:rsid w:val="003D140E"/>
    <w:rsid w:val="003D19DA"/>
    <w:rsid w:val="003D1B60"/>
    <w:rsid w:val="003D1D34"/>
    <w:rsid w:val="003D1E4D"/>
    <w:rsid w:val="003D344E"/>
    <w:rsid w:val="003D3B1E"/>
    <w:rsid w:val="003D434A"/>
    <w:rsid w:val="003D46E0"/>
    <w:rsid w:val="003D5872"/>
    <w:rsid w:val="003D5CA3"/>
    <w:rsid w:val="003D6161"/>
    <w:rsid w:val="003D6252"/>
    <w:rsid w:val="003D6792"/>
    <w:rsid w:val="003E0078"/>
    <w:rsid w:val="003E0496"/>
    <w:rsid w:val="003E082D"/>
    <w:rsid w:val="003E1152"/>
    <w:rsid w:val="003E13BB"/>
    <w:rsid w:val="003E1B9D"/>
    <w:rsid w:val="003E1C94"/>
    <w:rsid w:val="003E21C1"/>
    <w:rsid w:val="003E4615"/>
    <w:rsid w:val="003E4AEB"/>
    <w:rsid w:val="003E4B49"/>
    <w:rsid w:val="003E5EBE"/>
    <w:rsid w:val="003E5FA9"/>
    <w:rsid w:val="003E6E05"/>
    <w:rsid w:val="003F0379"/>
    <w:rsid w:val="003F1B66"/>
    <w:rsid w:val="003F2CC5"/>
    <w:rsid w:val="003F3103"/>
    <w:rsid w:val="003F33A7"/>
    <w:rsid w:val="003F3A23"/>
    <w:rsid w:val="003F458D"/>
    <w:rsid w:val="003F4AED"/>
    <w:rsid w:val="003F58F7"/>
    <w:rsid w:val="003F6474"/>
    <w:rsid w:val="003F6AA2"/>
    <w:rsid w:val="003F6BC5"/>
    <w:rsid w:val="003F7A85"/>
    <w:rsid w:val="003F7B2A"/>
    <w:rsid w:val="00401885"/>
    <w:rsid w:val="004022D3"/>
    <w:rsid w:val="00402C05"/>
    <w:rsid w:val="00404C6A"/>
    <w:rsid w:val="00404F37"/>
    <w:rsid w:val="00405040"/>
    <w:rsid w:val="00405627"/>
    <w:rsid w:val="004056F6"/>
    <w:rsid w:val="00405AFD"/>
    <w:rsid w:val="00407322"/>
    <w:rsid w:val="00407E8E"/>
    <w:rsid w:val="00412861"/>
    <w:rsid w:val="00412BE4"/>
    <w:rsid w:val="00414965"/>
    <w:rsid w:val="004162F5"/>
    <w:rsid w:val="0041723F"/>
    <w:rsid w:val="00417E67"/>
    <w:rsid w:val="004211D3"/>
    <w:rsid w:val="004216B9"/>
    <w:rsid w:val="0042176A"/>
    <w:rsid w:val="00421F40"/>
    <w:rsid w:val="00422E52"/>
    <w:rsid w:val="00423990"/>
    <w:rsid w:val="00424412"/>
    <w:rsid w:val="00425318"/>
    <w:rsid w:val="004266D5"/>
    <w:rsid w:val="00427A06"/>
    <w:rsid w:val="00430D42"/>
    <w:rsid w:val="00431EE5"/>
    <w:rsid w:val="004322CE"/>
    <w:rsid w:val="004330D8"/>
    <w:rsid w:val="004331A5"/>
    <w:rsid w:val="0043355E"/>
    <w:rsid w:val="004343BE"/>
    <w:rsid w:val="00434410"/>
    <w:rsid w:val="004362F1"/>
    <w:rsid w:val="00437230"/>
    <w:rsid w:val="0044125F"/>
    <w:rsid w:val="004416EF"/>
    <w:rsid w:val="004417F0"/>
    <w:rsid w:val="004418A3"/>
    <w:rsid w:val="004434CA"/>
    <w:rsid w:val="00444BB0"/>
    <w:rsid w:val="00444DDE"/>
    <w:rsid w:val="00444E8F"/>
    <w:rsid w:val="00444F60"/>
    <w:rsid w:val="00445222"/>
    <w:rsid w:val="004453FB"/>
    <w:rsid w:val="004459B9"/>
    <w:rsid w:val="00445B67"/>
    <w:rsid w:val="00446E8C"/>
    <w:rsid w:val="00447586"/>
    <w:rsid w:val="00450EDB"/>
    <w:rsid w:val="00452864"/>
    <w:rsid w:val="00452F27"/>
    <w:rsid w:val="00453D8F"/>
    <w:rsid w:val="004545A3"/>
    <w:rsid w:val="00455939"/>
    <w:rsid w:val="00456546"/>
    <w:rsid w:val="00456D92"/>
    <w:rsid w:val="004574F2"/>
    <w:rsid w:val="004626AB"/>
    <w:rsid w:val="00462D1B"/>
    <w:rsid w:val="004630BE"/>
    <w:rsid w:val="0046491D"/>
    <w:rsid w:val="004656D3"/>
    <w:rsid w:val="004658EE"/>
    <w:rsid w:val="00466594"/>
    <w:rsid w:val="00466F41"/>
    <w:rsid w:val="00467218"/>
    <w:rsid w:val="004674EB"/>
    <w:rsid w:val="00467E7B"/>
    <w:rsid w:val="00471A7E"/>
    <w:rsid w:val="00471D21"/>
    <w:rsid w:val="00473896"/>
    <w:rsid w:val="00474626"/>
    <w:rsid w:val="00480595"/>
    <w:rsid w:val="004806C4"/>
    <w:rsid w:val="00480A68"/>
    <w:rsid w:val="00480FFC"/>
    <w:rsid w:val="004823C1"/>
    <w:rsid w:val="00483EA4"/>
    <w:rsid w:val="00483ED3"/>
    <w:rsid w:val="004846B1"/>
    <w:rsid w:val="00485400"/>
    <w:rsid w:val="00485B33"/>
    <w:rsid w:val="00485C4E"/>
    <w:rsid w:val="0048751E"/>
    <w:rsid w:val="00487C1C"/>
    <w:rsid w:val="0049245C"/>
    <w:rsid w:val="00493537"/>
    <w:rsid w:val="00493A4D"/>
    <w:rsid w:val="00493C71"/>
    <w:rsid w:val="0049512C"/>
    <w:rsid w:val="004956E1"/>
    <w:rsid w:val="00495880"/>
    <w:rsid w:val="00496D94"/>
    <w:rsid w:val="00496EEA"/>
    <w:rsid w:val="004971CF"/>
    <w:rsid w:val="004975BD"/>
    <w:rsid w:val="004A0379"/>
    <w:rsid w:val="004A099A"/>
    <w:rsid w:val="004A1982"/>
    <w:rsid w:val="004A1A07"/>
    <w:rsid w:val="004A289C"/>
    <w:rsid w:val="004A32DA"/>
    <w:rsid w:val="004A3CDF"/>
    <w:rsid w:val="004A40A7"/>
    <w:rsid w:val="004A4289"/>
    <w:rsid w:val="004A493C"/>
    <w:rsid w:val="004A4FA5"/>
    <w:rsid w:val="004A5EFC"/>
    <w:rsid w:val="004A62C6"/>
    <w:rsid w:val="004A6C92"/>
    <w:rsid w:val="004A7A95"/>
    <w:rsid w:val="004B09A6"/>
    <w:rsid w:val="004B20FC"/>
    <w:rsid w:val="004B312B"/>
    <w:rsid w:val="004B3FBA"/>
    <w:rsid w:val="004B4775"/>
    <w:rsid w:val="004B496C"/>
    <w:rsid w:val="004B663F"/>
    <w:rsid w:val="004B68C3"/>
    <w:rsid w:val="004B7076"/>
    <w:rsid w:val="004B716E"/>
    <w:rsid w:val="004C114C"/>
    <w:rsid w:val="004C153D"/>
    <w:rsid w:val="004C1D11"/>
    <w:rsid w:val="004C29EE"/>
    <w:rsid w:val="004C36ED"/>
    <w:rsid w:val="004C3762"/>
    <w:rsid w:val="004C5A9F"/>
    <w:rsid w:val="004C5C13"/>
    <w:rsid w:val="004C70EF"/>
    <w:rsid w:val="004D01F7"/>
    <w:rsid w:val="004D2848"/>
    <w:rsid w:val="004D2BBF"/>
    <w:rsid w:val="004E024B"/>
    <w:rsid w:val="004E0B73"/>
    <w:rsid w:val="004E0CA8"/>
    <w:rsid w:val="004E1FED"/>
    <w:rsid w:val="004E357E"/>
    <w:rsid w:val="004E462D"/>
    <w:rsid w:val="004E48D2"/>
    <w:rsid w:val="004E5988"/>
    <w:rsid w:val="004E6BAE"/>
    <w:rsid w:val="004E71BA"/>
    <w:rsid w:val="004E781C"/>
    <w:rsid w:val="004F0168"/>
    <w:rsid w:val="004F0F18"/>
    <w:rsid w:val="004F1D70"/>
    <w:rsid w:val="004F2F98"/>
    <w:rsid w:val="004F3480"/>
    <w:rsid w:val="004F4756"/>
    <w:rsid w:val="004F4806"/>
    <w:rsid w:val="004F4E28"/>
    <w:rsid w:val="004F7215"/>
    <w:rsid w:val="004F7A99"/>
    <w:rsid w:val="005001AC"/>
    <w:rsid w:val="0050083A"/>
    <w:rsid w:val="00501D6E"/>
    <w:rsid w:val="00502246"/>
    <w:rsid w:val="00502BC6"/>
    <w:rsid w:val="0050344A"/>
    <w:rsid w:val="00506A0D"/>
    <w:rsid w:val="00506FB2"/>
    <w:rsid w:val="00507E5A"/>
    <w:rsid w:val="00511EE9"/>
    <w:rsid w:val="00512407"/>
    <w:rsid w:val="00512D82"/>
    <w:rsid w:val="005148A8"/>
    <w:rsid w:val="005206DF"/>
    <w:rsid w:val="005211D7"/>
    <w:rsid w:val="00522067"/>
    <w:rsid w:val="0052254C"/>
    <w:rsid w:val="00522DE0"/>
    <w:rsid w:val="005234DC"/>
    <w:rsid w:val="00523D30"/>
    <w:rsid w:val="00524989"/>
    <w:rsid w:val="005249B9"/>
    <w:rsid w:val="00525A6C"/>
    <w:rsid w:val="0052635E"/>
    <w:rsid w:val="005263A7"/>
    <w:rsid w:val="00527489"/>
    <w:rsid w:val="00530B3D"/>
    <w:rsid w:val="00531F4C"/>
    <w:rsid w:val="005322AA"/>
    <w:rsid w:val="00532C83"/>
    <w:rsid w:val="00533B74"/>
    <w:rsid w:val="00536635"/>
    <w:rsid w:val="00537573"/>
    <w:rsid w:val="00537E0D"/>
    <w:rsid w:val="0054061B"/>
    <w:rsid w:val="00540F2B"/>
    <w:rsid w:val="005419E8"/>
    <w:rsid w:val="00541F56"/>
    <w:rsid w:val="00542822"/>
    <w:rsid w:val="0054293B"/>
    <w:rsid w:val="00544808"/>
    <w:rsid w:val="00544902"/>
    <w:rsid w:val="00546251"/>
    <w:rsid w:val="00546752"/>
    <w:rsid w:val="00547EC4"/>
    <w:rsid w:val="00550DA0"/>
    <w:rsid w:val="00553055"/>
    <w:rsid w:val="00553CF9"/>
    <w:rsid w:val="005540A1"/>
    <w:rsid w:val="00554733"/>
    <w:rsid w:val="00554ADD"/>
    <w:rsid w:val="00554E21"/>
    <w:rsid w:val="0055517A"/>
    <w:rsid w:val="00555897"/>
    <w:rsid w:val="00556F40"/>
    <w:rsid w:val="005570E4"/>
    <w:rsid w:val="00561064"/>
    <w:rsid w:val="0056154B"/>
    <w:rsid w:val="00561AC6"/>
    <w:rsid w:val="0056292A"/>
    <w:rsid w:val="00562F95"/>
    <w:rsid w:val="00562FF5"/>
    <w:rsid w:val="005633E0"/>
    <w:rsid w:val="0056350A"/>
    <w:rsid w:val="00567CF4"/>
    <w:rsid w:val="00570736"/>
    <w:rsid w:val="005708B0"/>
    <w:rsid w:val="0057223A"/>
    <w:rsid w:val="00574B59"/>
    <w:rsid w:val="00574FC1"/>
    <w:rsid w:val="00575047"/>
    <w:rsid w:val="00575693"/>
    <w:rsid w:val="00576117"/>
    <w:rsid w:val="00576194"/>
    <w:rsid w:val="00576843"/>
    <w:rsid w:val="0057726B"/>
    <w:rsid w:val="00577765"/>
    <w:rsid w:val="00577B58"/>
    <w:rsid w:val="00580284"/>
    <w:rsid w:val="00582213"/>
    <w:rsid w:val="00583087"/>
    <w:rsid w:val="0058324E"/>
    <w:rsid w:val="00586A07"/>
    <w:rsid w:val="00591357"/>
    <w:rsid w:val="005926DA"/>
    <w:rsid w:val="00593639"/>
    <w:rsid w:val="005936A7"/>
    <w:rsid w:val="00594B12"/>
    <w:rsid w:val="00595933"/>
    <w:rsid w:val="00597B6E"/>
    <w:rsid w:val="005A186D"/>
    <w:rsid w:val="005A46BB"/>
    <w:rsid w:val="005A5E9E"/>
    <w:rsid w:val="005A61D0"/>
    <w:rsid w:val="005A643B"/>
    <w:rsid w:val="005A6DCB"/>
    <w:rsid w:val="005A6E85"/>
    <w:rsid w:val="005A719A"/>
    <w:rsid w:val="005B0D2B"/>
    <w:rsid w:val="005B1071"/>
    <w:rsid w:val="005B1783"/>
    <w:rsid w:val="005B21B8"/>
    <w:rsid w:val="005B2415"/>
    <w:rsid w:val="005B428F"/>
    <w:rsid w:val="005B4706"/>
    <w:rsid w:val="005B5B77"/>
    <w:rsid w:val="005B6485"/>
    <w:rsid w:val="005B65B2"/>
    <w:rsid w:val="005B72B2"/>
    <w:rsid w:val="005C01DC"/>
    <w:rsid w:val="005C100E"/>
    <w:rsid w:val="005C1014"/>
    <w:rsid w:val="005C2480"/>
    <w:rsid w:val="005C26DD"/>
    <w:rsid w:val="005C2A7B"/>
    <w:rsid w:val="005C2EAE"/>
    <w:rsid w:val="005C4D82"/>
    <w:rsid w:val="005C5268"/>
    <w:rsid w:val="005C5D7E"/>
    <w:rsid w:val="005C69F9"/>
    <w:rsid w:val="005C6A75"/>
    <w:rsid w:val="005C71C8"/>
    <w:rsid w:val="005C7914"/>
    <w:rsid w:val="005C7A41"/>
    <w:rsid w:val="005C7CB6"/>
    <w:rsid w:val="005D0285"/>
    <w:rsid w:val="005D06F4"/>
    <w:rsid w:val="005D0A3C"/>
    <w:rsid w:val="005D17F7"/>
    <w:rsid w:val="005D1F4B"/>
    <w:rsid w:val="005D2B73"/>
    <w:rsid w:val="005D2C2C"/>
    <w:rsid w:val="005D2DED"/>
    <w:rsid w:val="005D4AB0"/>
    <w:rsid w:val="005D642E"/>
    <w:rsid w:val="005D71A6"/>
    <w:rsid w:val="005D740E"/>
    <w:rsid w:val="005D7718"/>
    <w:rsid w:val="005D7C77"/>
    <w:rsid w:val="005E0825"/>
    <w:rsid w:val="005E48A4"/>
    <w:rsid w:val="005E7D24"/>
    <w:rsid w:val="005F2BFE"/>
    <w:rsid w:val="005F3D29"/>
    <w:rsid w:val="005F4493"/>
    <w:rsid w:val="005F63DC"/>
    <w:rsid w:val="005F667F"/>
    <w:rsid w:val="005F71FC"/>
    <w:rsid w:val="00601E80"/>
    <w:rsid w:val="006020B6"/>
    <w:rsid w:val="0060265E"/>
    <w:rsid w:val="00604AA7"/>
    <w:rsid w:val="00606E0B"/>
    <w:rsid w:val="00607735"/>
    <w:rsid w:val="00607A56"/>
    <w:rsid w:val="00607B3C"/>
    <w:rsid w:val="00611247"/>
    <w:rsid w:val="00612B75"/>
    <w:rsid w:val="00613803"/>
    <w:rsid w:val="006144EF"/>
    <w:rsid w:val="00614729"/>
    <w:rsid w:val="006149C7"/>
    <w:rsid w:val="00614ACA"/>
    <w:rsid w:val="00614EAA"/>
    <w:rsid w:val="00615080"/>
    <w:rsid w:val="006158D6"/>
    <w:rsid w:val="00617C20"/>
    <w:rsid w:val="00620685"/>
    <w:rsid w:val="00621FB8"/>
    <w:rsid w:val="0062238A"/>
    <w:rsid w:val="00622F57"/>
    <w:rsid w:val="00623B87"/>
    <w:rsid w:val="006256F1"/>
    <w:rsid w:val="00626534"/>
    <w:rsid w:val="00627019"/>
    <w:rsid w:val="006305DD"/>
    <w:rsid w:val="006314D9"/>
    <w:rsid w:val="0063183E"/>
    <w:rsid w:val="006324E8"/>
    <w:rsid w:val="006329B9"/>
    <w:rsid w:val="00632A31"/>
    <w:rsid w:val="00633CE0"/>
    <w:rsid w:val="006343CB"/>
    <w:rsid w:val="00634429"/>
    <w:rsid w:val="00635435"/>
    <w:rsid w:val="0063545B"/>
    <w:rsid w:val="00635672"/>
    <w:rsid w:val="00637DDD"/>
    <w:rsid w:val="00641098"/>
    <w:rsid w:val="00641CEF"/>
    <w:rsid w:val="00644635"/>
    <w:rsid w:val="00644CA5"/>
    <w:rsid w:val="00646A94"/>
    <w:rsid w:val="00646E8C"/>
    <w:rsid w:val="0064743C"/>
    <w:rsid w:val="00647BCC"/>
    <w:rsid w:val="00651BA7"/>
    <w:rsid w:val="00652A11"/>
    <w:rsid w:val="00652ACE"/>
    <w:rsid w:val="0065304D"/>
    <w:rsid w:val="00654D6A"/>
    <w:rsid w:val="0065598A"/>
    <w:rsid w:val="00655ADA"/>
    <w:rsid w:val="00656C51"/>
    <w:rsid w:val="00657627"/>
    <w:rsid w:val="00660E3E"/>
    <w:rsid w:val="0066584E"/>
    <w:rsid w:val="006660FE"/>
    <w:rsid w:val="00666F4E"/>
    <w:rsid w:val="0067031D"/>
    <w:rsid w:val="00672809"/>
    <w:rsid w:val="0067389B"/>
    <w:rsid w:val="0067621A"/>
    <w:rsid w:val="006763DC"/>
    <w:rsid w:val="00680722"/>
    <w:rsid w:val="00680D50"/>
    <w:rsid w:val="00681A25"/>
    <w:rsid w:val="00682273"/>
    <w:rsid w:val="00682A92"/>
    <w:rsid w:val="00683378"/>
    <w:rsid w:val="00684AC7"/>
    <w:rsid w:val="0068591B"/>
    <w:rsid w:val="00685972"/>
    <w:rsid w:val="00686073"/>
    <w:rsid w:val="006877F0"/>
    <w:rsid w:val="00687DFB"/>
    <w:rsid w:val="00690298"/>
    <w:rsid w:val="00690EB7"/>
    <w:rsid w:val="00691360"/>
    <w:rsid w:val="00691EEE"/>
    <w:rsid w:val="00691F17"/>
    <w:rsid w:val="006947D7"/>
    <w:rsid w:val="0069562F"/>
    <w:rsid w:val="00695D69"/>
    <w:rsid w:val="00696436"/>
    <w:rsid w:val="006970D9"/>
    <w:rsid w:val="006A01D5"/>
    <w:rsid w:val="006A32AE"/>
    <w:rsid w:val="006A37E7"/>
    <w:rsid w:val="006A3CF6"/>
    <w:rsid w:val="006A4C77"/>
    <w:rsid w:val="006A4EAB"/>
    <w:rsid w:val="006A4FD3"/>
    <w:rsid w:val="006A5F49"/>
    <w:rsid w:val="006A6DF0"/>
    <w:rsid w:val="006A73FA"/>
    <w:rsid w:val="006A7820"/>
    <w:rsid w:val="006A7DB3"/>
    <w:rsid w:val="006B01FF"/>
    <w:rsid w:val="006B11E5"/>
    <w:rsid w:val="006B1BF2"/>
    <w:rsid w:val="006B1E9B"/>
    <w:rsid w:val="006B2B22"/>
    <w:rsid w:val="006B2FC7"/>
    <w:rsid w:val="006B41FC"/>
    <w:rsid w:val="006B6C2B"/>
    <w:rsid w:val="006C04A4"/>
    <w:rsid w:val="006C1863"/>
    <w:rsid w:val="006C21A7"/>
    <w:rsid w:val="006C3E33"/>
    <w:rsid w:val="006C4042"/>
    <w:rsid w:val="006C4124"/>
    <w:rsid w:val="006C4D6C"/>
    <w:rsid w:val="006C5568"/>
    <w:rsid w:val="006C5B2A"/>
    <w:rsid w:val="006C773F"/>
    <w:rsid w:val="006D012B"/>
    <w:rsid w:val="006D0B45"/>
    <w:rsid w:val="006D12EF"/>
    <w:rsid w:val="006D2257"/>
    <w:rsid w:val="006D329A"/>
    <w:rsid w:val="006D38DD"/>
    <w:rsid w:val="006D3BD0"/>
    <w:rsid w:val="006D450A"/>
    <w:rsid w:val="006D452E"/>
    <w:rsid w:val="006D4A0D"/>
    <w:rsid w:val="006D6516"/>
    <w:rsid w:val="006E0196"/>
    <w:rsid w:val="006E03E2"/>
    <w:rsid w:val="006E1DF0"/>
    <w:rsid w:val="006E1E28"/>
    <w:rsid w:val="006E2D92"/>
    <w:rsid w:val="006E3ABB"/>
    <w:rsid w:val="006E5947"/>
    <w:rsid w:val="006E6019"/>
    <w:rsid w:val="006E6404"/>
    <w:rsid w:val="006E6BAB"/>
    <w:rsid w:val="006E6D57"/>
    <w:rsid w:val="006E6E95"/>
    <w:rsid w:val="006E7466"/>
    <w:rsid w:val="006E7F42"/>
    <w:rsid w:val="006F0BF1"/>
    <w:rsid w:val="006F21BE"/>
    <w:rsid w:val="006F22B1"/>
    <w:rsid w:val="006F2A27"/>
    <w:rsid w:val="006F3371"/>
    <w:rsid w:val="006F33A0"/>
    <w:rsid w:val="006F47EA"/>
    <w:rsid w:val="006F495E"/>
    <w:rsid w:val="006F5605"/>
    <w:rsid w:val="006F7AA0"/>
    <w:rsid w:val="007010D1"/>
    <w:rsid w:val="007020A9"/>
    <w:rsid w:val="007023C6"/>
    <w:rsid w:val="0070272F"/>
    <w:rsid w:val="007033C5"/>
    <w:rsid w:val="007039B1"/>
    <w:rsid w:val="00703EB9"/>
    <w:rsid w:val="00704831"/>
    <w:rsid w:val="00705A81"/>
    <w:rsid w:val="007073A7"/>
    <w:rsid w:val="0071197E"/>
    <w:rsid w:val="0071501B"/>
    <w:rsid w:val="007157A1"/>
    <w:rsid w:val="007157DD"/>
    <w:rsid w:val="00715EEE"/>
    <w:rsid w:val="007160D5"/>
    <w:rsid w:val="00716548"/>
    <w:rsid w:val="007176AB"/>
    <w:rsid w:val="00717D6B"/>
    <w:rsid w:val="00720434"/>
    <w:rsid w:val="007205B8"/>
    <w:rsid w:val="00721557"/>
    <w:rsid w:val="00722417"/>
    <w:rsid w:val="00722744"/>
    <w:rsid w:val="0072320F"/>
    <w:rsid w:val="00723D1E"/>
    <w:rsid w:val="00723E6C"/>
    <w:rsid w:val="00724B41"/>
    <w:rsid w:val="007250B1"/>
    <w:rsid w:val="007273A2"/>
    <w:rsid w:val="00730611"/>
    <w:rsid w:val="00731450"/>
    <w:rsid w:val="007358A4"/>
    <w:rsid w:val="007358FA"/>
    <w:rsid w:val="00735ECF"/>
    <w:rsid w:val="00736DF7"/>
    <w:rsid w:val="00737342"/>
    <w:rsid w:val="0073769A"/>
    <w:rsid w:val="007376C2"/>
    <w:rsid w:val="007404E7"/>
    <w:rsid w:val="00740501"/>
    <w:rsid w:val="00740C75"/>
    <w:rsid w:val="00741F6B"/>
    <w:rsid w:val="00742028"/>
    <w:rsid w:val="00742F6C"/>
    <w:rsid w:val="00743164"/>
    <w:rsid w:val="0074554C"/>
    <w:rsid w:val="00746FE0"/>
    <w:rsid w:val="00750181"/>
    <w:rsid w:val="00750221"/>
    <w:rsid w:val="00751452"/>
    <w:rsid w:val="00752A06"/>
    <w:rsid w:val="00752D05"/>
    <w:rsid w:val="007533E0"/>
    <w:rsid w:val="007560ED"/>
    <w:rsid w:val="007561BC"/>
    <w:rsid w:val="007570A1"/>
    <w:rsid w:val="00757CBA"/>
    <w:rsid w:val="007600A3"/>
    <w:rsid w:val="00764909"/>
    <w:rsid w:val="00765BA2"/>
    <w:rsid w:val="0076660F"/>
    <w:rsid w:val="00766AB2"/>
    <w:rsid w:val="00766B04"/>
    <w:rsid w:val="00771284"/>
    <w:rsid w:val="00771CF7"/>
    <w:rsid w:val="00772117"/>
    <w:rsid w:val="00772295"/>
    <w:rsid w:val="00772326"/>
    <w:rsid w:val="007723DC"/>
    <w:rsid w:val="00774ECF"/>
    <w:rsid w:val="007757FE"/>
    <w:rsid w:val="00775958"/>
    <w:rsid w:val="00780264"/>
    <w:rsid w:val="0078160A"/>
    <w:rsid w:val="007816B0"/>
    <w:rsid w:val="00781AEF"/>
    <w:rsid w:val="007831F3"/>
    <w:rsid w:val="0078443F"/>
    <w:rsid w:val="007848EE"/>
    <w:rsid w:val="00785293"/>
    <w:rsid w:val="00785464"/>
    <w:rsid w:val="007857A3"/>
    <w:rsid w:val="00786F0A"/>
    <w:rsid w:val="0078707E"/>
    <w:rsid w:val="0078724F"/>
    <w:rsid w:val="00787BD1"/>
    <w:rsid w:val="00787F0C"/>
    <w:rsid w:val="00787F1D"/>
    <w:rsid w:val="00791271"/>
    <w:rsid w:val="00792306"/>
    <w:rsid w:val="00792469"/>
    <w:rsid w:val="0079337A"/>
    <w:rsid w:val="0079363A"/>
    <w:rsid w:val="00794291"/>
    <w:rsid w:val="007948A0"/>
    <w:rsid w:val="00795379"/>
    <w:rsid w:val="007953F0"/>
    <w:rsid w:val="00795D52"/>
    <w:rsid w:val="00796C8B"/>
    <w:rsid w:val="00796D84"/>
    <w:rsid w:val="00797695"/>
    <w:rsid w:val="007977B3"/>
    <w:rsid w:val="00797A3D"/>
    <w:rsid w:val="00797C8F"/>
    <w:rsid w:val="007A033E"/>
    <w:rsid w:val="007A0785"/>
    <w:rsid w:val="007A0D82"/>
    <w:rsid w:val="007A11B8"/>
    <w:rsid w:val="007A4A05"/>
    <w:rsid w:val="007A4B2D"/>
    <w:rsid w:val="007A4F12"/>
    <w:rsid w:val="007A60B0"/>
    <w:rsid w:val="007A6796"/>
    <w:rsid w:val="007A69CB"/>
    <w:rsid w:val="007A7039"/>
    <w:rsid w:val="007A75DE"/>
    <w:rsid w:val="007A7C53"/>
    <w:rsid w:val="007A7D1B"/>
    <w:rsid w:val="007B044F"/>
    <w:rsid w:val="007B0993"/>
    <w:rsid w:val="007B1A49"/>
    <w:rsid w:val="007B1D03"/>
    <w:rsid w:val="007B3E96"/>
    <w:rsid w:val="007B6044"/>
    <w:rsid w:val="007B6B43"/>
    <w:rsid w:val="007B7293"/>
    <w:rsid w:val="007B7FBE"/>
    <w:rsid w:val="007C02A2"/>
    <w:rsid w:val="007C03D8"/>
    <w:rsid w:val="007C0D9C"/>
    <w:rsid w:val="007C16F6"/>
    <w:rsid w:val="007C39F9"/>
    <w:rsid w:val="007C47D9"/>
    <w:rsid w:val="007C5AFF"/>
    <w:rsid w:val="007C5EBB"/>
    <w:rsid w:val="007C60B6"/>
    <w:rsid w:val="007C6B4E"/>
    <w:rsid w:val="007D1D44"/>
    <w:rsid w:val="007D2635"/>
    <w:rsid w:val="007D3A34"/>
    <w:rsid w:val="007D41DA"/>
    <w:rsid w:val="007D5516"/>
    <w:rsid w:val="007D5EAE"/>
    <w:rsid w:val="007D7538"/>
    <w:rsid w:val="007D75A6"/>
    <w:rsid w:val="007D7A4C"/>
    <w:rsid w:val="007E0FD2"/>
    <w:rsid w:val="007E233D"/>
    <w:rsid w:val="007E3751"/>
    <w:rsid w:val="007E41FA"/>
    <w:rsid w:val="007E4617"/>
    <w:rsid w:val="007E56D7"/>
    <w:rsid w:val="007E5CAD"/>
    <w:rsid w:val="007E75AF"/>
    <w:rsid w:val="007E798F"/>
    <w:rsid w:val="007E7D75"/>
    <w:rsid w:val="007F0BC6"/>
    <w:rsid w:val="007F330D"/>
    <w:rsid w:val="007F403C"/>
    <w:rsid w:val="007F4176"/>
    <w:rsid w:val="007F54F3"/>
    <w:rsid w:val="007F56AE"/>
    <w:rsid w:val="007F6BF7"/>
    <w:rsid w:val="007F753C"/>
    <w:rsid w:val="007F77C6"/>
    <w:rsid w:val="007F7CAF"/>
    <w:rsid w:val="00800ABF"/>
    <w:rsid w:val="00801083"/>
    <w:rsid w:val="0080132C"/>
    <w:rsid w:val="00801919"/>
    <w:rsid w:val="00802C2C"/>
    <w:rsid w:val="008045DD"/>
    <w:rsid w:val="0080532B"/>
    <w:rsid w:val="008068A5"/>
    <w:rsid w:val="00807373"/>
    <w:rsid w:val="0080772D"/>
    <w:rsid w:val="00807AFB"/>
    <w:rsid w:val="00810461"/>
    <w:rsid w:val="00811081"/>
    <w:rsid w:val="0081164F"/>
    <w:rsid w:val="008136EF"/>
    <w:rsid w:val="00813AD2"/>
    <w:rsid w:val="00814708"/>
    <w:rsid w:val="00814CE1"/>
    <w:rsid w:val="00814FB7"/>
    <w:rsid w:val="008152C4"/>
    <w:rsid w:val="00815913"/>
    <w:rsid w:val="0081717B"/>
    <w:rsid w:val="008176A9"/>
    <w:rsid w:val="008200E9"/>
    <w:rsid w:val="0082040D"/>
    <w:rsid w:val="008211C6"/>
    <w:rsid w:val="00821B6A"/>
    <w:rsid w:val="00821C9F"/>
    <w:rsid w:val="00821E71"/>
    <w:rsid w:val="0082435B"/>
    <w:rsid w:val="00826268"/>
    <w:rsid w:val="00826511"/>
    <w:rsid w:val="00827E46"/>
    <w:rsid w:val="00830330"/>
    <w:rsid w:val="00830FF5"/>
    <w:rsid w:val="00831726"/>
    <w:rsid w:val="00832511"/>
    <w:rsid w:val="008341A0"/>
    <w:rsid w:val="00834CE1"/>
    <w:rsid w:val="00836348"/>
    <w:rsid w:val="00837D68"/>
    <w:rsid w:val="00840BF6"/>
    <w:rsid w:val="00841FBE"/>
    <w:rsid w:val="0084239E"/>
    <w:rsid w:val="00842BAD"/>
    <w:rsid w:val="0084307B"/>
    <w:rsid w:val="00843950"/>
    <w:rsid w:val="00843E67"/>
    <w:rsid w:val="00844423"/>
    <w:rsid w:val="008444D4"/>
    <w:rsid w:val="008446AC"/>
    <w:rsid w:val="0084488D"/>
    <w:rsid w:val="008458DF"/>
    <w:rsid w:val="00845D81"/>
    <w:rsid w:val="00845F43"/>
    <w:rsid w:val="00845FC1"/>
    <w:rsid w:val="0084718C"/>
    <w:rsid w:val="0084796D"/>
    <w:rsid w:val="00850CFE"/>
    <w:rsid w:val="0085128C"/>
    <w:rsid w:val="008516D6"/>
    <w:rsid w:val="008524DE"/>
    <w:rsid w:val="00852881"/>
    <w:rsid w:val="00852FE1"/>
    <w:rsid w:val="008532EE"/>
    <w:rsid w:val="008540D5"/>
    <w:rsid w:val="0085466F"/>
    <w:rsid w:val="00856454"/>
    <w:rsid w:val="00856523"/>
    <w:rsid w:val="00856730"/>
    <w:rsid w:val="00857AFC"/>
    <w:rsid w:val="00860B17"/>
    <w:rsid w:val="008641B5"/>
    <w:rsid w:val="00864551"/>
    <w:rsid w:val="00864881"/>
    <w:rsid w:val="008661EB"/>
    <w:rsid w:val="00867019"/>
    <w:rsid w:val="00870F3F"/>
    <w:rsid w:val="00871B3A"/>
    <w:rsid w:val="008737CE"/>
    <w:rsid w:val="00874197"/>
    <w:rsid w:val="00874AA3"/>
    <w:rsid w:val="00874F12"/>
    <w:rsid w:val="00874FCA"/>
    <w:rsid w:val="0087622B"/>
    <w:rsid w:val="00876DE1"/>
    <w:rsid w:val="00876EA4"/>
    <w:rsid w:val="00877E27"/>
    <w:rsid w:val="00880B31"/>
    <w:rsid w:val="00880BF7"/>
    <w:rsid w:val="00881CAE"/>
    <w:rsid w:val="008820E2"/>
    <w:rsid w:val="0088302F"/>
    <w:rsid w:val="008837CB"/>
    <w:rsid w:val="00883AC1"/>
    <w:rsid w:val="00884301"/>
    <w:rsid w:val="00884C2D"/>
    <w:rsid w:val="00885B67"/>
    <w:rsid w:val="00885D5E"/>
    <w:rsid w:val="0088650E"/>
    <w:rsid w:val="0088657C"/>
    <w:rsid w:val="008913F5"/>
    <w:rsid w:val="008945E2"/>
    <w:rsid w:val="0089725B"/>
    <w:rsid w:val="00897AC4"/>
    <w:rsid w:val="00897D3E"/>
    <w:rsid w:val="00897EDE"/>
    <w:rsid w:val="008A0315"/>
    <w:rsid w:val="008A0DAE"/>
    <w:rsid w:val="008A1CDF"/>
    <w:rsid w:val="008A42D5"/>
    <w:rsid w:val="008A60E1"/>
    <w:rsid w:val="008A63EF"/>
    <w:rsid w:val="008A67FD"/>
    <w:rsid w:val="008A7331"/>
    <w:rsid w:val="008B0B4E"/>
    <w:rsid w:val="008B1EEA"/>
    <w:rsid w:val="008B38AE"/>
    <w:rsid w:val="008B3D78"/>
    <w:rsid w:val="008B5FBA"/>
    <w:rsid w:val="008B5FF8"/>
    <w:rsid w:val="008B65A4"/>
    <w:rsid w:val="008B6D4E"/>
    <w:rsid w:val="008B7042"/>
    <w:rsid w:val="008C1DC7"/>
    <w:rsid w:val="008C2A4E"/>
    <w:rsid w:val="008C2D9A"/>
    <w:rsid w:val="008C456C"/>
    <w:rsid w:val="008C49EA"/>
    <w:rsid w:val="008C6265"/>
    <w:rsid w:val="008C6376"/>
    <w:rsid w:val="008C6671"/>
    <w:rsid w:val="008C72CE"/>
    <w:rsid w:val="008C7F35"/>
    <w:rsid w:val="008D0307"/>
    <w:rsid w:val="008D106C"/>
    <w:rsid w:val="008D1A94"/>
    <w:rsid w:val="008D26D2"/>
    <w:rsid w:val="008D29B8"/>
    <w:rsid w:val="008D459D"/>
    <w:rsid w:val="008D4842"/>
    <w:rsid w:val="008D54C0"/>
    <w:rsid w:val="008D553B"/>
    <w:rsid w:val="008D58D1"/>
    <w:rsid w:val="008D5F07"/>
    <w:rsid w:val="008D5F29"/>
    <w:rsid w:val="008D6033"/>
    <w:rsid w:val="008D77B0"/>
    <w:rsid w:val="008D7D58"/>
    <w:rsid w:val="008E276C"/>
    <w:rsid w:val="008E35AF"/>
    <w:rsid w:val="008E3627"/>
    <w:rsid w:val="008E416D"/>
    <w:rsid w:val="008E516B"/>
    <w:rsid w:val="008E6499"/>
    <w:rsid w:val="008F03AD"/>
    <w:rsid w:val="008F04F9"/>
    <w:rsid w:val="008F1E1D"/>
    <w:rsid w:val="008F2601"/>
    <w:rsid w:val="008F28AA"/>
    <w:rsid w:val="008F29C0"/>
    <w:rsid w:val="008F408B"/>
    <w:rsid w:val="008F650B"/>
    <w:rsid w:val="008F799A"/>
    <w:rsid w:val="00900A02"/>
    <w:rsid w:val="009035A1"/>
    <w:rsid w:val="00904715"/>
    <w:rsid w:val="009059EB"/>
    <w:rsid w:val="0090654F"/>
    <w:rsid w:val="009075E5"/>
    <w:rsid w:val="00910904"/>
    <w:rsid w:val="00910AB9"/>
    <w:rsid w:val="009119E2"/>
    <w:rsid w:val="0091218B"/>
    <w:rsid w:val="0091360D"/>
    <w:rsid w:val="00913832"/>
    <w:rsid w:val="00914563"/>
    <w:rsid w:val="00915436"/>
    <w:rsid w:val="00915B36"/>
    <w:rsid w:val="00915DFC"/>
    <w:rsid w:val="00916B70"/>
    <w:rsid w:val="00917B25"/>
    <w:rsid w:val="009201E2"/>
    <w:rsid w:val="009219FE"/>
    <w:rsid w:val="00921A74"/>
    <w:rsid w:val="009222C9"/>
    <w:rsid w:val="009234D5"/>
    <w:rsid w:val="009237A3"/>
    <w:rsid w:val="0092396B"/>
    <w:rsid w:val="00924172"/>
    <w:rsid w:val="00924D4A"/>
    <w:rsid w:val="009252A9"/>
    <w:rsid w:val="0092645B"/>
    <w:rsid w:val="0092652C"/>
    <w:rsid w:val="00926E2E"/>
    <w:rsid w:val="00927120"/>
    <w:rsid w:val="00927AD9"/>
    <w:rsid w:val="00931191"/>
    <w:rsid w:val="009330F8"/>
    <w:rsid w:val="009339E9"/>
    <w:rsid w:val="009339EC"/>
    <w:rsid w:val="00934A49"/>
    <w:rsid w:val="00934C85"/>
    <w:rsid w:val="00934D8B"/>
    <w:rsid w:val="0093524F"/>
    <w:rsid w:val="00936209"/>
    <w:rsid w:val="009364B1"/>
    <w:rsid w:val="00936AE7"/>
    <w:rsid w:val="00936E5F"/>
    <w:rsid w:val="009400F8"/>
    <w:rsid w:val="0094082D"/>
    <w:rsid w:val="0094114C"/>
    <w:rsid w:val="009422D5"/>
    <w:rsid w:val="00942922"/>
    <w:rsid w:val="00944641"/>
    <w:rsid w:val="0094473D"/>
    <w:rsid w:val="00944B5E"/>
    <w:rsid w:val="009471F7"/>
    <w:rsid w:val="00947670"/>
    <w:rsid w:val="0095036D"/>
    <w:rsid w:val="00950544"/>
    <w:rsid w:val="00952737"/>
    <w:rsid w:val="009535B2"/>
    <w:rsid w:val="00954045"/>
    <w:rsid w:val="009543E6"/>
    <w:rsid w:val="0095454C"/>
    <w:rsid w:val="00955E56"/>
    <w:rsid w:val="0095688F"/>
    <w:rsid w:val="0095692C"/>
    <w:rsid w:val="009576D4"/>
    <w:rsid w:val="00957BF2"/>
    <w:rsid w:val="009621EC"/>
    <w:rsid w:val="009650EA"/>
    <w:rsid w:val="00965299"/>
    <w:rsid w:val="0096648C"/>
    <w:rsid w:val="0096755D"/>
    <w:rsid w:val="00967E85"/>
    <w:rsid w:val="00970507"/>
    <w:rsid w:val="00970BCD"/>
    <w:rsid w:val="00971A14"/>
    <w:rsid w:val="009728A0"/>
    <w:rsid w:val="00972E58"/>
    <w:rsid w:val="00974B5C"/>
    <w:rsid w:val="00975745"/>
    <w:rsid w:val="00975DB6"/>
    <w:rsid w:val="00976F3B"/>
    <w:rsid w:val="00982F2B"/>
    <w:rsid w:val="00984905"/>
    <w:rsid w:val="0098549F"/>
    <w:rsid w:val="00985BA1"/>
    <w:rsid w:val="00985E36"/>
    <w:rsid w:val="0098658C"/>
    <w:rsid w:val="00986B20"/>
    <w:rsid w:val="0098762B"/>
    <w:rsid w:val="00987B03"/>
    <w:rsid w:val="00990B15"/>
    <w:rsid w:val="00991876"/>
    <w:rsid w:val="009954DA"/>
    <w:rsid w:val="009960B7"/>
    <w:rsid w:val="009A0B3E"/>
    <w:rsid w:val="009A1FE6"/>
    <w:rsid w:val="009A27ED"/>
    <w:rsid w:val="009A2B51"/>
    <w:rsid w:val="009A2ED4"/>
    <w:rsid w:val="009A3184"/>
    <w:rsid w:val="009A3560"/>
    <w:rsid w:val="009A3F19"/>
    <w:rsid w:val="009A44C1"/>
    <w:rsid w:val="009A46A8"/>
    <w:rsid w:val="009A4951"/>
    <w:rsid w:val="009A4D5F"/>
    <w:rsid w:val="009A6071"/>
    <w:rsid w:val="009A63CC"/>
    <w:rsid w:val="009B03D8"/>
    <w:rsid w:val="009B0B4B"/>
    <w:rsid w:val="009B1154"/>
    <w:rsid w:val="009B1160"/>
    <w:rsid w:val="009B34D3"/>
    <w:rsid w:val="009B38ED"/>
    <w:rsid w:val="009B4067"/>
    <w:rsid w:val="009B4DEC"/>
    <w:rsid w:val="009B4F86"/>
    <w:rsid w:val="009B5B19"/>
    <w:rsid w:val="009B6B10"/>
    <w:rsid w:val="009B6B7B"/>
    <w:rsid w:val="009C0833"/>
    <w:rsid w:val="009C1C4D"/>
    <w:rsid w:val="009C2711"/>
    <w:rsid w:val="009C2C9F"/>
    <w:rsid w:val="009C36AE"/>
    <w:rsid w:val="009C3EF3"/>
    <w:rsid w:val="009C4726"/>
    <w:rsid w:val="009C47E1"/>
    <w:rsid w:val="009C5AC0"/>
    <w:rsid w:val="009C5BB0"/>
    <w:rsid w:val="009C63E7"/>
    <w:rsid w:val="009C6DC0"/>
    <w:rsid w:val="009C70E6"/>
    <w:rsid w:val="009D0FCB"/>
    <w:rsid w:val="009D26A2"/>
    <w:rsid w:val="009D377B"/>
    <w:rsid w:val="009D38A4"/>
    <w:rsid w:val="009D3F59"/>
    <w:rsid w:val="009D50A6"/>
    <w:rsid w:val="009D54C6"/>
    <w:rsid w:val="009D5AE5"/>
    <w:rsid w:val="009D6B2D"/>
    <w:rsid w:val="009D7104"/>
    <w:rsid w:val="009D7F39"/>
    <w:rsid w:val="009E0D21"/>
    <w:rsid w:val="009E0D7A"/>
    <w:rsid w:val="009E25CF"/>
    <w:rsid w:val="009E4E49"/>
    <w:rsid w:val="009E54A7"/>
    <w:rsid w:val="009E5DF9"/>
    <w:rsid w:val="009E66AC"/>
    <w:rsid w:val="009E71E9"/>
    <w:rsid w:val="009E7602"/>
    <w:rsid w:val="009E7C58"/>
    <w:rsid w:val="009E7D44"/>
    <w:rsid w:val="009F058C"/>
    <w:rsid w:val="009F12E4"/>
    <w:rsid w:val="009F15F4"/>
    <w:rsid w:val="009F322D"/>
    <w:rsid w:val="009F3B2C"/>
    <w:rsid w:val="009F3CF5"/>
    <w:rsid w:val="009F4619"/>
    <w:rsid w:val="009F617B"/>
    <w:rsid w:val="00A006E6"/>
    <w:rsid w:val="00A00AFF"/>
    <w:rsid w:val="00A01D7D"/>
    <w:rsid w:val="00A01FF4"/>
    <w:rsid w:val="00A021F9"/>
    <w:rsid w:val="00A0230A"/>
    <w:rsid w:val="00A02BBA"/>
    <w:rsid w:val="00A03350"/>
    <w:rsid w:val="00A04601"/>
    <w:rsid w:val="00A04CF2"/>
    <w:rsid w:val="00A052A7"/>
    <w:rsid w:val="00A06362"/>
    <w:rsid w:val="00A064DB"/>
    <w:rsid w:val="00A066F3"/>
    <w:rsid w:val="00A0747B"/>
    <w:rsid w:val="00A07D41"/>
    <w:rsid w:val="00A105CE"/>
    <w:rsid w:val="00A12B9D"/>
    <w:rsid w:val="00A143F7"/>
    <w:rsid w:val="00A14BA6"/>
    <w:rsid w:val="00A15CA1"/>
    <w:rsid w:val="00A169FB"/>
    <w:rsid w:val="00A16DE9"/>
    <w:rsid w:val="00A17817"/>
    <w:rsid w:val="00A2026B"/>
    <w:rsid w:val="00A21703"/>
    <w:rsid w:val="00A22759"/>
    <w:rsid w:val="00A228CE"/>
    <w:rsid w:val="00A23A39"/>
    <w:rsid w:val="00A250FF"/>
    <w:rsid w:val="00A25505"/>
    <w:rsid w:val="00A25B98"/>
    <w:rsid w:val="00A261A8"/>
    <w:rsid w:val="00A2649D"/>
    <w:rsid w:val="00A26949"/>
    <w:rsid w:val="00A30131"/>
    <w:rsid w:val="00A304D3"/>
    <w:rsid w:val="00A32FB1"/>
    <w:rsid w:val="00A337BC"/>
    <w:rsid w:val="00A351F3"/>
    <w:rsid w:val="00A3693B"/>
    <w:rsid w:val="00A41005"/>
    <w:rsid w:val="00A423D7"/>
    <w:rsid w:val="00A4383B"/>
    <w:rsid w:val="00A44308"/>
    <w:rsid w:val="00A449BE"/>
    <w:rsid w:val="00A4590A"/>
    <w:rsid w:val="00A4612C"/>
    <w:rsid w:val="00A467B3"/>
    <w:rsid w:val="00A47A18"/>
    <w:rsid w:val="00A47C0C"/>
    <w:rsid w:val="00A47E28"/>
    <w:rsid w:val="00A47E5E"/>
    <w:rsid w:val="00A51715"/>
    <w:rsid w:val="00A51A18"/>
    <w:rsid w:val="00A523DF"/>
    <w:rsid w:val="00A52940"/>
    <w:rsid w:val="00A54B67"/>
    <w:rsid w:val="00A553AA"/>
    <w:rsid w:val="00A557B9"/>
    <w:rsid w:val="00A55B61"/>
    <w:rsid w:val="00A60CD8"/>
    <w:rsid w:val="00A61964"/>
    <w:rsid w:val="00A62511"/>
    <w:rsid w:val="00A6284F"/>
    <w:rsid w:val="00A62B87"/>
    <w:rsid w:val="00A64F56"/>
    <w:rsid w:val="00A6505B"/>
    <w:rsid w:val="00A65F30"/>
    <w:rsid w:val="00A6602A"/>
    <w:rsid w:val="00A660DC"/>
    <w:rsid w:val="00A66FF6"/>
    <w:rsid w:val="00A700DC"/>
    <w:rsid w:val="00A70434"/>
    <w:rsid w:val="00A72471"/>
    <w:rsid w:val="00A73E31"/>
    <w:rsid w:val="00A74277"/>
    <w:rsid w:val="00A7526F"/>
    <w:rsid w:val="00A75283"/>
    <w:rsid w:val="00A766C1"/>
    <w:rsid w:val="00A76B3D"/>
    <w:rsid w:val="00A76DF0"/>
    <w:rsid w:val="00A7739E"/>
    <w:rsid w:val="00A77D9F"/>
    <w:rsid w:val="00A80B69"/>
    <w:rsid w:val="00A81C19"/>
    <w:rsid w:val="00A82FFD"/>
    <w:rsid w:val="00A83D75"/>
    <w:rsid w:val="00A840B2"/>
    <w:rsid w:val="00A85297"/>
    <w:rsid w:val="00A8668E"/>
    <w:rsid w:val="00A86D9F"/>
    <w:rsid w:val="00A8748D"/>
    <w:rsid w:val="00A87BF8"/>
    <w:rsid w:val="00A912F8"/>
    <w:rsid w:val="00A9439F"/>
    <w:rsid w:val="00A973B1"/>
    <w:rsid w:val="00A976A8"/>
    <w:rsid w:val="00A978AE"/>
    <w:rsid w:val="00A97EE0"/>
    <w:rsid w:val="00AA0C57"/>
    <w:rsid w:val="00AA3037"/>
    <w:rsid w:val="00AA40BA"/>
    <w:rsid w:val="00AA4172"/>
    <w:rsid w:val="00AA4540"/>
    <w:rsid w:val="00AA4A56"/>
    <w:rsid w:val="00AA5425"/>
    <w:rsid w:val="00AA54CB"/>
    <w:rsid w:val="00AA5652"/>
    <w:rsid w:val="00AA6244"/>
    <w:rsid w:val="00AA666C"/>
    <w:rsid w:val="00AA692B"/>
    <w:rsid w:val="00AA7454"/>
    <w:rsid w:val="00AB0048"/>
    <w:rsid w:val="00AB08B6"/>
    <w:rsid w:val="00AB0F66"/>
    <w:rsid w:val="00AB3D08"/>
    <w:rsid w:val="00AB40C0"/>
    <w:rsid w:val="00AB5A50"/>
    <w:rsid w:val="00AB7374"/>
    <w:rsid w:val="00AB7EEB"/>
    <w:rsid w:val="00AC074E"/>
    <w:rsid w:val="00AC1044"/>
    <w:rsid w:val="00AC12AB"/>
    <w:rsid w:val="00AC15D9"/>
    <w:rsid w:val="00AC3E74"/>
    <w:rsid w:val="00AC48D2"/>
    <w:rsid w:val="00AC4ECF"/>
    <w:rsid w:val="00AC5608"/>
    <w:rsid w:val="00AC718D"/>
    <w:rsid w:val="00AC7344"/>
    <w:rsid w:val="00AC7C76"/>
    <w:rsid w:val="00AD0F6C"/>
    <w:rsid w:val="00AD11B9"/>
    <w:rsid w:val="00AD182F"/>
    <w:rsid w:val="00AD2952"/>
    <w:rsid w:val="00AD42AB"/>
    <w:rsid w:val="00AD4BC5"/>
    <w:rsid w:val="00AD6B12"/>
    <w:rsid w:val="00AE50FF"/>
    <w:rsid w:val="00AE592A"/>
    <w:rsid w:val="00AE5AF2"/>
    <w:rsid w:val="00AE5F76"/>
    <w:rsid w:val="00AE67A4"/>
    <w:rsid w:val="00AF1B7B"/>
    <w:rsid w:val="00AF1DE1"/>
    <w:rsid w:val="00AF2B85"/>
    <w:rsid w:val="00AF2C41"/>
    <w:rsid w:val="00AF340D"/>
    <w:rsid w:val="00AF4C22"/>
    <w:rsid w:val="00AF4D11"/>
    <w:rsid w:val="00AF4FDE"/>
    <w:rsid w:val="00AF500E"/>
    <w:rsid w:val="00AF55F1"/>
    <w:rsid w:val="00AF5CE2"/>
    <w:rsid w:val="00AF66E5"/>
    <w:rsid w:val="00AF66EF"/>
    <w:rsid w:val="00AF6CB3"/>
    <w:rsid w:val="00AF7606"/>
    <w:rsid w:val="00AF7681"/>
    <w:rsid w:val="00AF7E4B"/>
    <w:rsid w:val="00B00067"/>
    <w:rsid w:val="00B01F9C"/>
    <w:rsid w:val="00B030CA"/>
    <w:rsid w:val="00B03A2E"/>
    <w:rsid w:val="00B049B5"/>
    <w:rsid w:val="00B04D02"/>
    <w:rsid w:val="00B0735C"/>
    <w:rsid w:val="00B0743C"/>
    <w:rsid w:val="00B07BDC"/>
    <w:rsid w:val="00B104AC"/>
    <w:rsid w:val="00B11B0C"/>
    <w:rsid w:val="00B13BEC"/>
    <w:rsid w:val="00B14321"/>
    <w:rsid w:val="00B14B72"/>
    <w:rsid w:val="00B15302"/>
    <w:rsid w:val="00B160DC"/>
    <w:rsid w:val="00B168A1"/>
    <w:rsid w:val="00B175D7"/>
    <w:rsid w:val="00B22469"/>
    <w:rsid w:val="00B229ED"/>
    <w:rsid w:val="00B243CB"/>
    <w:rsid w:val="00B24777"/>
    <w:rsid w:val="00B25182"/>
    <w:rsid w:val="00B259A9"/>
    <w:rsid w:val="00B2781C"/>
    <w:rsid w:val="00B27C74"/>
    <w:rsid w:val="00B27E7A"/>
    <w:rsid w:val="00B301BA"/>
    <w:rsid w:val="00B304FF"/>
    <w:rsid w:val="00B30EBE"/>
    <w:rsid w:val="00B3109D"/>
    <w:rsid w:val="00B31F6C"/>
    <w:rsid w:val="00B323E2"/>
    <w:rsid w:val="00B328CF"/>
    <w:rsid w:val="00B32F4D"/>
    <w:rsid w:val="00B3329D"/>
    <w:rsid w:val="00B339B7"/>
    <w:rsid w:val="00B34FEE"/>
    <w:rsid w:val="00B3618B"/>
    <w:rsid w:val="00B36761"/>
    <w:rsid w:val="00B37F7C"/>
    <w:rsid w:val="00B414CD"/>
    <w:rsid w:val="00B41ACD"/>
    <w:rsid w:val="00B41B83"/>
    <w:rsid w:val="00B41F56"/>
    <w:rsid w:val="00B43F91"/>
    <w:rsid w:val="00B44AFC"/>
    <w:rsid w:val="00B44FA7"/>
    <w:rsid w:val="00B4684D"/>
    <w:rsid w:val="00B473D8"/>
    <w:rsid w:val="00B50085"/>
    <w:rsid w:val="00B509EA"/>
    <w:rsid w:val="00B51A11"/>
    <w:rsid w:val="00B51CF4"/>
    <w:rsid w:val="00B528C4"/>
    <w:rsid w:val="00B533F4"/>
    <w:rsid w:val="00B5353F"/>
    <w:rsid w:val="00B54802"/>
    <w:rsid w:val="00B548B6"/>
    <w:rsid w:val="00B6110C"/>
    <w:rsid w:val="00B61494"/>
    <w:rsid w:val="00B62E6A"/>
    <w:rsid w:val="00B65ED1"/>
    <w:rsid w:val="00B66F4B"/>
    <w:rsid w:val="00B714F8"/>
    <w:rsid w:val="00B7224B"/>
    <w:rsid w:val="00B7411D"/>
    <w:rsid w:val="00B743A6"/>
    <w:rsid w:val="00B76AF2"/>
    <w:rsid w:val="00B76DE6"/>
    <w:rsid w:val="00B77CBF"/>
    <w:rsid w:val="00B80189"/>
    <w:rsid w:val="00B80F73"/>
    <w:rsid w:val="00B81BBF"/>
    <w:rsid w:val="00B81BD8"/>
    <w:rsid w:val="00B82249"/>
    <w:rsid w:val="00B83340"/>
    <w:rsid w:val="00B84F60"/>
    <w:rsid w:val="00B85B09"/>
    <w:rsid w:val="00B85BEE"/>
    <w:rsid w:val="00B876A6"/>
    <w:rsid w:val="00B90A11"/>
    <w:rsid w:val="00B91F66"/>
    <w:rsid w:val="00B9724A"/>
    <w:rsid w:val="00B973C8"/>
    <w:rsid w:val="00BA0914"/>
    <w:rsid w:val="00BA1395"/>
    <w:rsid w:val="00BA1C29"/>
    <w:rsid w:val="00BA3BF1"/>
    <w:rsid w:val="00BA3F28"/>
    <w:rsid w:val="00BA4C8E"/>
    <w:rsid w:val="00BA566F"/>
    <w:rsid w:val="00BA60A2"/>
    <w:rsid w:val="00BA6CA0"/>
    <w:rsid w:val="00BB108C"/>
    <w:rsid w:val="00BB1407"/>
    <w:rsid w:val="00BB3CD5"/>
    <w:rsid w:val="00BB537E"/>
    <w:rsid w:val="00BB5BE3"/>
    <w:rsid w:val="00BB6641"/>
    <w:rsid w:val="00BB670C"/>
    <w:rsid w:val="00BB7E77"/>
    <w:rsid w:val="00BC0EC1"/>
    <w:rsid w:val="00BC0FD8"/>
    <w:rsid w:val="00BC1238"/>
    <w:rsid w:val="00BC12CF"/>
    <w:rsid w:val="00BC31E9"/>
    <w:rsid w:val="00BC3678"/>
    <w:rsid w:val="00BC3829"/>
    <w:rsid w:val="00BC6099"/>
    <w:rsid w:val="00BC6D88"/>
    <w:rsid w:val="00BC6DC6"/>
    <w:rsid w:val="00BD0F53"/>
    <w:rsid w:val="00BD1B4E"/>
    <w:rsid w:val="00BD289F"/>
    <w:rsid w:val="00BD4E50"/>
    <w:rsid w:val="00BD5A0C"/>
    <w:rsid w:val="00BD6B1E"/>
    <w:rsid w:val="00BD6B7E"/>
    <w:rsid w:val="00BD732B"/>
    <w:rsid w:val="00BE0548"/>
    <w:rsid w:val="00BE0E20"/>
    <w:rsid w:val="00BE2D00"/>
    <w:rsid w:val="00BE3192"/>
    <w:rsid w:val="00BE3D3C"/>
    <w:rsid w:val="00BE42B1"/>
    <w:rsid w:val="00BE57A8"/>
    <w:rsid w:val="00BE63F0"/>
    <w:rsid w:val="00BE6CF2"/>
    <w:rsid w:val="00BE754D"/>
    <w:rsid w:val="00BF1F30"/>
    <w:rsid w:val="00BF2269"/>
    <w:rsid w:val="00BF233E"/>
    <w:rsid w:val="00BF2F20"/>
    <w:rsid w:val="00BF33AA"/>
    <w:rsid w:val="00BF37A9"/>
    <w:rsid w:val="00BF5178"/>
    <w:rsid w:val="00BF5D35"/>
    <w:rsid w:val="00BF6B66"/>
    <w:rsid w:val="00C00659"/>
    <w:rsid w:val="00C00845"/>
    <w:rsid w:val="00C0186E"/>
    <w:rsid w:val="00C022F9"/>
    <w:rsid w:val="00C02912"/>
    <w:rsid w:val="00C02D9E"/>
    <w:rsid w:val="00C05276"/>
    <w:rsid w:val="00C060C9"/>
    <w:rsid w:val="00C0621F"/>
    <w:rsid w:val="00C06613"/>
    <w:rsid w:val="00C06C4C"/>
    <w:rsid w:val="00C06E5F"/>
    <w:rsid w:val="00C072DC"/>
    <w:rsid w:val="00C101C7"/>
    <w:rsid w:val="00C106A2"/>
    <w:rsid w:val="00C1111B"/>
    <w:rsid w:val="00C112C9"/>
    <w:rsid w:val="00C13A82"/>
    <w:rsid w:val="00C13E03"/>
    <w:rsid w:val="00C14368"/>
    <w:rsid w:val="00C14557"/>
    <w:rsid w:val="00C147C2"/>
    <w:rsid w:val="00C17270"/>
    <w:rsid w:val="00C21C34"/>
    <w:rsid w:val="00C222BA"/>
    <w:rsid w:val="00C2275F"/>
    <w:rsid w:val="00C23380"/>
    <w:rsid w:val="00C237C0"/>
    <w:rsid w:val="00C240C0"/>
    <w:rsid w:val="00C243C2"/>
    <w:rsid w:val="00C24819"/>
    <w:rsid w:val="00C26C94"/>
    <w:rsid w:val="00C27962"/>
    <w:rsid w:val="00C302EA"/>
    <w:rsid w:val="00C329AB"/>
    <w:rsid w:val="00C33611"/>
    <w:rsid w:val="00C34635"/>
    <w:rsid w:val="00C346E0"/>
    <w:rsid w:val="00C351B5"/>
    <w:rsid w:val="00C35DB2"/>
    <w:rsid w:val="00C3641D"/>
    <w:rsid w:val="00C364E7"/>
    <w:rsid w:val="00C37AF3"/>
    <w:rsid w:val="00C40192"/>
    <w:rsid w:val="00C40B0B"/>
    <w:rsid w:val="00C40F3E"/>
    <w:rsid w:val="00C41035"/>
    <w:rsid w:val="00C41380"/>
    <w:rsid w:val="00C41EE8"/>
    <w:rsid w:val="00C42BBE"/>
    <w:rsid w:val="00C42BE2"/>
    <w:rsid w:val="00C42D92"/>
    <w:rsid w:val="00C441CA"/>
    <w:rsid w:val="00C4499A"/>
    <w:rsid w:val="00C45E35"/>
    <w:rsid w:val="00C4641F"/>
    <w:rsid w:val="00C47DC2"/>
    <w:rsid w:val="00C50262"/>
    <w:rsid w:val="00C504B4"/>
    <w:rsid w:val="00C5097D"/>
    <w:rsid w:val="00C50F91"/>
    <w:rsid w:val="00C51C0A"/>
    <w:rsid w:val="00C51FD3"/>
    <w:rsid w:val="00C53CB8"/>
    <w:rsid w:val="00C54671"/>
    <w:rsid w:val="00C54ACA"/>
    <w:rsid w:val="00C55023"/>
    <w:rsid w:val="00C55107"/>
    <w:rsid w:val="00C551DB"/>
    <w:rsid w:val="00C558B2"/>
    <w:rsid w:val="00C55CE7"/>
    <w:rsid w:val="00C56004"/>
    <w:rsid w:val="00C56884"/>
    <w:rsid w:val="00C56A28"/>
    <w:rsid w:val="00C56DA7"/>
    <w:rsid w:val="00C5703D"/>
    <w:rsid w:val="00C60CF4"/>
    <w:rsid w:val="00C60F88"/>
    <w:rsid w:val="00C61FD4"/>
    <w:rsid w:val="00C63297"/>
    <w:rsid w:val="00C6519B"/>
    <w:rsid w:val="00C65EBF"/>
    <w:rsid w:val="00C6670E"/>
    <w:rsid w:val="00C71AD3"/>
    <w:rsid w:val="00C75138"/>
    <w:rsid w:val="00C75C7E"/>
    <w:rsid w:val="00C76261"/>
    <w:rsid w:val="00C77454"/>
    <w:rsid w:val="00C774F6"/>
    <w:rsid w:val="00C77685"/>
    <w:rsid w:val="00C77A1F"/>
    <w:rsid w:val="00C8011C"/>
    <w:rsid w:val="00C80DEE"/>
    <w:rsid w:val="00C80E9E"/>
    <w:rsid w:val="00C83567"/>
    <w:rsid w:val="00C842AF"/>
    <w:rsid w:val="00C845DE"/>
    <w:rsid w:val="00C84E1A"/>
    <w:rsid w:val="00C85786"/>
    <w:rsid w:val="00C86998"/>
    <w:rsid w:val="00C86CAB"/>
    <w:rsid w:val="00C871BE"/>
    <w:rsid w:val="00C8789E"/>
    <w:rsid w:val="00C87F78"/>
    <w:rsid w:val="00C90A9D"/>
    <w:rsid w:val="00C910E6"/>
    <w:rsid w:val="00C92F38"/>
    <w:rsid w:val="00C937C4"/>
    <w:rsid w:val="00C938AC"/>
    <w:rsid w:val="00C9436E"/>
    <w:rsid w:val="00C943F5"/>
    <w:rsid w:val="00C946E6"/>
    <w:rsid w:val="00C94F71"/>
    <w:rsid w:val="00C968C1"/>
    <w:rsid w:val="00C968FB"/>
    <w:rsid w:val="00C96F2F"/>
    <w:rsid w:val="00C97942"/>
    <w:rsid w:val="00C97A18"/>
    <w:rsid w:val="00C97D96"/>
    <w:rsid w:val="00CA0A5B"/>
    <w:rsid w:val="00CA14C8"/>
    <w:rsid w:val="00CA2C0A"/>
    <w:rsid w:val="00CA34EE"/>
    <w:rsid w:val="00CA4861"/>
    <w:rsid w:val="00CA4F7D"/>
    <w:rsid w:val="00CA53BB"/>
    <w:rsid w:val="00CA6656"/>
    <w:rsid w:val="00CA69CA"/>
    <w:rsid w:val="00CA7F2C"/>
    <w:rsid w:val="00CB005A"/>
    <w:rsid w:val="00CB0374"/>
    <w:rsid w:val="00CB0613"/>
    <w:rsid w:val="00CB07B1"/>
    <w:rsid w:val="00CB0940"/>
    <w:rsid w:val="00CB0954"/>
    <w:rsid w:val="00CB3E2D"/>
    <w:rsid w:val="00CB3FEF"/>
    <w:rsid w:val="00CB4BC3"/>
    <w:rsid w:val="00CB4DAD"/>
    <w:rsid w:val="00CB4E66"/>
    <w:rsid w:val="00CB5A3B"/>
    <w:rsid w:val="00CB6CB1"/>
    <w:rsid w:val="00CB78C1"/>
    <w:rsid w:val="00CC020D"/>
    <w:rsid w:val="00CC0289"/>
    <w:rsid w:val="00CC045D"/>
    <w:rsid w:val="00CC48B8"/>
    <w:rsid w:val="00CC547B"/>
    <w:rsid w:val="00CC6BC0"/>
    <w:rsid w:val="00CC70AC"/>
    <w:rsid w:val="00CD0183"/>
    <w:rsid w:val="00CD05B4"/>
    <w:rsid w:val="00CD0843"/>
    <w:rsid w:val="00CD0A56"/>
    <w:rsid w:val="00CD240D"/>
    <w:rsid w:val="00CD253B"/>
    <w:rsid w:val="00CD26DE"/>
    <w:rsid w:val="00CD3B9B"/>
    <w:rsid w:val="00CD3EFB"/>
    <w:rsid w:val="00CD4286"/>
    <w:rsid w:val="00CD4C75"/>
    <w:rsid w:val="00CD4ED8"/>
    <w:rsid w:val="00CD5024"/>
    <w:rsid w:val="00CD6F03"/>
    <w:rsid w:val="00CE0677"/>
    <w:rsid w:val="00CE10AB"/>
    <w:rsid w:val="00CE3532"/>
    <w:rsid w:val="00CE462A"/>
    <w:rsid w:val="00CE5638"/>
    <w:rsid w:val="00CE5C0B"/>
    <w:rsid w:val="00CE605D"/>
    <w:rsid w:val="00CE6214"/>
    <w:rsid w:val="00CF048E"/>
    <w:rsid w:val="00CF0EB4"/>
    <w:rsid w:val="00CF1A11"/>
    <w:rsid w:val="00CF1FD5"/>
    <w:rsid w:val="00CF26C7"/>
    <w:rsid w:val="00CF2E10"/>
    <w:rsid w:val="00CF33AF"/>
    <w:rsid w:val="00CF3946"/>
    <w:rsid w:val="00CF40B9"/>
    <w:rsid w:val="00CF4BA5"/>
    <w:rsid w:val="00CF5818"/>
    <w:rsid w:val="00CF5AEC"/>
    <w:rsid w:val="00CF5CD4"/>
    <w:rsid w:val="00CF6669"/>
    <w:rsid w:val="00D01C05"/>
    <w:rsid w:val="00D0231C"/>
    <w:rsid w:val="00D02998"/>
    <w:rsid w:val="00D0627F"/>
    <w:rsid w:val="00D06968"/>
    <w:rsid w:val="00D073EC"/>
    <w:rsid w:val="00D07A57"/>
    <w:rsid w:val="00D119E1"/>
    <w:rsid w:val="00D127A3"/>
    <w:rsid w:val="00D12DF9"/>
    <w:rsid w:val="00D12F9D"/>
    <w:rsid w:val="00D135AB"/>
    <w:rsid w:val="00D13C42"/>
    <w:rsid w:val="00D13EE4"/>
    <w:rsid w:val="00D1465E"/>
    <w:rsid w:val="00D20665"/>
    <w:rsid w:val="00D20BFE"/>
    <w:rsid w:val="00D21741"/>
    <w:rsid w:val="00D21B46"/>
    <w:rsid w:val="00D225ED"/>
    <w:rsid w:val="00D247EA"/>
    <w:rsid w:val="00D258F4"/>
    <w:rsid w:val="00D25963"/>
    <w:rsid w:val="00D25E2D"/>
    <w:rsid w:val="00D26A24"/>
    <w:rsid w:val="00D31C3D"/>
    <w:rsid w:val="00D32CB0"/>
    <w:rsid w:val="00D32D22"/>
    <w:rsid w:val="00D335C7"/>
    <w:rsid w:val="00D335CD"/>
    <w:rsid w:val="00D33916"/>
    <w:rsid w:val="00D34380"/>
    <w:rsid w:val="00D34CEA"/>
    <w:rsid w:val="00D3681D"/>
    <w:rsid w:val="00D36C84"/>
    <w:rsid w:val="00D37B74"/>
    <w:rsid w:val="00D37B84"/>
    <w:rsid w:val="00D405C8"/>
    <w:rsid w:val="00D40E0B"/>
    <w:rsid w:val="00D41766"/>
    <w:rsid w:val="00D41C6E"/>
    <w:rsid w:val="00D41E37"/>
    <w:rsid w:val="00D42802"/>
    <w:rsid w:val="00D428DF"/>
    <w:rsid w:val="00D42EDE"/>
    <w:rsid w:val="00D436E6"/>
    <w:rsid w:val="00D451BA"/>
    <w:rsid w:val="00D4535A"/>
    <w:rsid w:val="00D4690F"/>
    <w:rsid w:val="00D479B6"/>
    <w:rsid w:val="00D51527"/>
    <w:rsid w:val="00D51CEE"/>
    <w:rsid w:val="00D52078"/>
    <w:rsid w:val="00D52EEA"/>
    <w:rsid w:val="00D52FA5"/>
    <w:rsid w:val="00D532D6"/>
    <w:rsid w:val="00D556C4"/>
    <w:rsid w:val="00D556F2"/>
    <w:rsid w:val="00D557EA"/>
    <w:rsid w:val="00D560C6"/>
    <w:rsid w:val="00D56BA1"/>
    <w:rsid w:val="00D57375"/>
    <w:rsid w:val="00D6036F"/>
    <w:rsid w:val="00D613BE"/>
    <w:rsid w:val="00D63C20"/>
    <w:rsid w:val="00D6431E"/>
    <w:rsid w:val="00D64BEC"/>
    <w:rsid w:val="00D65DF3"/>
    <w:rsid w:val="00D702F0"/>
    <w:rsid w:val="00D707B8"/>
    <w:rsid w:val="00D7190C"/>
    <w:rsid w:val="00D71DE0"/>
    <w:rsid w:val="00D7264E"/>
    <w:rsid w:val="00D729F6"/>
    <w:rsid w:val="00D73C6F"/>
    <w:rsid w:val="00D742D3"/>
    <w:rsid w:val="00D744CB"/>
    <w:rsid w:val="00D75E6A"/>
    <w:rsid w:val="00D760F0"/>
    <w:rsid w:val="00D76FB7"/>
    <w:rsid w:val="00D81742"/>
    <w:rsid w:val="00D817D1"/>
    <w:rsid w:val="00D83FE7"/>
    <w:rsid w:val="00D841B5"/>
    <w:rsid w:val="00D8424C"/>
    <w:rsid w:val="00D85466"/>
    <w:rsid w:val="00D8579D"/>
    <w:rsid w:val="00D87C0E"/>
    <w:rsid w:val="00D87C8A"/>
    <w:rsid w:val="00D90BD4"/>
    <w:rsid w:val="00D93149"/>
    <w:rsid w:val="00D94265"/>
    <w:rsid w:val="00D9491C"/>
    <w:rsid w:val="00D9492F"/>
    <w:rsid w:val="00D94EF3"/>
    <w:rsid w:val="00D94F88"/>
    <w:rsid w:val="00D94F8D"/>
    <w:rsid w:val="00D96C41"/>
    <w:rsid w:val="00D97A7B"/>
    <w:rsid w:val="00D97CA5"/>
    <w:rsid w:val="00DA06A1"/>
    <w:rsid w:val="00DA0C8A"/>
    <w:rsid w:val="00DA180E"/>
    <w:rsid w:val="00DA2386"/>
    <w:rsid w:val="00DA3E16"/>
    <w:rsid w:val="00DA57A5"/>
    <w:rsid w:val="00DB2BEB"/>
    <w:rsid w:val="00DB34AB"/>
    <w:rsid w:val="00DB3767"/>
    <w:rsid w:val="00DB38A6"/>
    <w:rsid w:val="00DB3A4C"/>
    <w:rsid w:val="00DB40B9"/>
    <w:rsid w:val="00DB47E6"/>
    <w:rsid w:val="00DB5BAB"/>
    <w:rsid w:val="00DB5CE3"/>
    <w:rsid w:val="00DC0AAC"/>
    <w:rsid w:val="00DC0AF8"/>
    <w:rsid w:val="00DC1344"/>
    <w:rsid w:val="00DC2A1B"/>
    <w:rsid w:val="00DC2EED"/>
    <w:rsid w:val="00DC349B"/>
    <w:rsid w:val="00DC3C1B"/>
    <w:rsid w:val="00DC44A5"/>
    <w:rsid w:val="00DC4603"/>
    <w:rsid w:val="00DC4668"/>
    <w:rsid w:val="00DC4CBE"/>
    <w:rsid w:val="00DC4F13"/>
    <w:rsid w:val="00DC5C8E"/>
    <w:rsid w:val="00DC6D70"/>
    <w:rsid w:val="00DC7B24"/>
    <w:rsid w:val="00DD1A96"/>
    <w:rsid w:val="00DD44E4"/>
    <w:rsid w:val="00DD4F5C"/>
    <w:rsid w:val="00DD51BF"/>
    <w:rsid w:val="00DD59CE"/>
    <w:rsid w:val="00DD5E83"/>
    <w:rsid w:val="00DD70E7"/>
    <w:rsid w:val="00DD7182"/>
    <w:rsid w:val="00DD7808"/>
    <w:rsid w:val="00DD7DFB"/>
    <w:rsid w:val="00DE06D7"/>
    <w:rsid w:val="00DE15ED"/>
    <w:rsid w:val="00DE47AF"/>
    <w:rsid w:val="00DE4D1A"/>
    <w:rsid w:val="00DE51E9"/>
    <w:rsid w:val="00DE57E0"/>
    <w:rsid w:val="00DE732B"/>
    <w:rsid w:val="00DF09A8"/>
    <w:rsid w:val="00DF1AF5"/>
    <w:rsid w:val="00DF2B22"/>
    <w:rsid w:val="00DF2CA5"/>
    <w:rsid w:val="00DF31DD"/>
    <w:rsid w:val="00DF3AFC"/>
    <w:rsid w:val="00DF401F"/>
    <w:rsid w:val="00DF4B68"/>
    <w:rsid w:val="00DF53B0"/>
    <w:rsid w:val="00DF69DD"/>
    <w:rsid w:val="00DF6F1E"/>
    <w:rsid w:val="00E006AA"/>
    <w:rsid w:val="00E009BF"/>
    <w:rsid w:val="00E00E1B"/>
    <w:rsid w:val="00E01EB2"/>
    <w:rsid w:val="00E02BF6"/>
    <w:rsid w:val="00E03258"/>
    <w:rsid w:val="00E03488"/>
    <w:rsid w:val="00E03931"/>
    <w:rsid w:val="00E03D0C"/>
    <w:rsid w:val="00E0531F"/>
    <w:rsid w:val="00E06842"/>
    <w:rsid w:val="00E06C8A"/>
    <w:rsid w:val="00E101D4"/>
    <w:rsid w:val="00E10324"/>
    <w:rsid w:val="00E11330"/>
    <w:rsid w:val="00E12236"/>
    <w:rsid w:val="00E12322"/>
    <w:rsid w:val="00E12608"/>
    <w:rsid w:val="00E12CE5"/>
    <w:rsid w:val="00E17973"/>
    <w:rsid w:val="00E20516"/>
    <w:rsid w:val="00E20C15"/>
    <w:rsid w:val="00E20DC2"/>
    <w:rsid w:val="00E21872"/>
    <w:rsid w:val="00E21E3A"/>
    <w:rsid w:val="00E23E66"/>
    <w:rsid w:val="00E243D8"/>
    <w:rsid w:val="00E248EE"/>
    <w:rsid w:val="00E26617"/>
    <w:rsid w:val="00E2699B"/>
    <w:rsid w:val="00E26DA4"/>
    <w:rsid w:val="00E2722A"/>
    <w:rsid w:val="00E2760E"/>
    <w:rsid w:val="00E27902"/>
    <w:rsid w:val="00E32F3B"/>
    <w:rsid w:val="00E334E4"/>
    <w:rsid w:val="00E3578D"/>
    <w:rsid w:val="00E3636E"/>
    <w:rsid w:val="00E36488"/>
    <w:rsid w:val="00E36764"/>
    <w:rsid w:val="00E371C1"/>
    <w:rsid w:val="00E42395"/>
    <w:rsid w:val="00E42CF7"/>
    <w:rsid w:val="00E42E9F"/>
    <w:rsid w:val="00E44617"/>
    <w:rsid w:val="00E44E80"/>
    <w:rsid w:val="00E46AEF"/>
    <w:rsid w:val="00E46BC8"/>
    <w:rsid w:val="00E471E4"/>
    <w:rsid w:val="00E47E5B"/>
    <w:rsid w:val="00E50973"/>
    <w:rsid w:val="00E50E36"/>
    <w:rsid w:val="00E51CD7"/>
    <w:rsid w:val="00E52EE6"/>
    <w:rsid w:val="00E54218"/>
    <w:rsid w:val="00E60FA3"/>
    <w:rsid w:val="00E61B10"/>
    <w:rsid w:val="00E61D07"/>
    <w:rsid w:val="00E62E0A"/>
    <w:rsid w:val="00E6357C"/>
    <w:rsid w:val="00E64537"/>
    <w:rsid w:val="00E66CC9"/>
    <w:rsid w:val="00E679D5"/>
    <w:rsid w:val="00E67CB0"/>
    <w:rsid w:val="00E67E73"/>
    <w:rsid w:val="00E71206"/>
    <w:rsid w:val="00E71948"/>
    <w:rsid w:val="00E72087"/>
    <w:rsid w:val="00E72143"/>
    <w:rsid w:val="00E728EE"/>
    <w:rsid w:val="00E74685"/>
    <w:rsid w:val="00E76993"/>
    <w:rsid w:val="00E80394"/>
    <w:rsid w:val="00E80C70"/>
    <w:rsid w:val="00E80DC0"/>
    <w:rsid w:val="00E80F38"/>
    <w:rsid w:val="00E810B2"/>
    <w:rsid w:val="00E822C0"/>
    <w:rsid w:val="00E827FE"/>
    <w:rsid w:val="00E82DE0"/>
    <w:rsid w:val="00E83143"/>
    <w:rsid w:val="00E831C7"/>
    <w:rsid w:val="00E836E2"/>
    <w:rsid w:val="00E84BF9"/>
    <w:rsid w:val="00E8520F"/>
    <w:rsid w:val="00E8540D"/>
    <w:rsid w:val="00E8578D"/>
    <w:rsid w:val="00E85EB4"/>
    <w:rsid w:val="00E870E3"/>
    <w:rsid w:val="00E871A1"/>
    <w:rsid w:val="00E87AEF"/>
    <w:rsid w:val="00E87E84"/>
    <w:rsid w:val="00E9064E"/>
    <w:rsid w:val="00E921C2"/>
    <w:rsid w:val="00E959C6"/>
    <w:rsid w:val="00E962B5"/>
    <w:rsid w:val="00E971E9"/>
    <w:rsid w:val="00E973F8"/>
    <w:rsid w:val="00E97CFC"/>
    <w:rsid w:val="00EA0556"/>
    <w:rsid w:val="00EA163A"/>
    <w:rsid w:val="00EA281F"/>
    <w:rsid w:val="00EA342E"/>
    <w:rsid w:val="00EA55B6"/>
    <w:rsid w:val="00EA5C7B"/>
    <w:rsid w:val="00EA73D1"/>
    <w:rsid w:val="00EA7A00"/>
    <w:rsid w:val="00EB1DAD"/>
    <w:rsid w:val="00EB2000"/>
    <w:rsid w:val="00EB217D"/>
    <w:rsid w:val="00EB2EF8"/>
    <w:rsid w:val="00EB51AA"/>
    <w:rsid w:val="00EB5309"/>
    <w:rsid w:val="00EB5A4F"/>
    <w:rsid w:val="00EB5F52"/>
    <w:rsid w:val="00EB60FF"/>
    <w:rsid w:val="00EB7C8A"/>
    <w:rsid w:val="00EB7E97"/>
    <w:rsid w:val="00EC0AED"/>
    <w:rsid w:val="00EC1ABB"/>
    <w:rsid w:val="00EC2DD4"/>
    <w:rsid w:val="00EC2FFC"/>
    <w:rsid w:val="00EC36CD"/>
    <w:rsid w:val="00EC435F"/>
    <w:rsid w:val="00EC48EA"/>
    <w:rsid w:val="00EC4CBB"/>
    <w:rsid w:val="00EC4CF6"/>
    <w:rsid w:val="00ED01ED"/>
    <w:rsid w:val="00ED0986"/>
    <w:rsid w:val="00ED0F9A"/>
    <w:rsid w:val="00ED16CC"/>
    <w:rsid w:val="00ED2CBF"/>
    <w:rsid w:val="00ED44A0"/>
    <w:rsid w:val="00ED5195"/>
    <w:rsid w:val="00ED5366"/>
    <w:rsid w:val="00ED60BD"/>
    <w:rsid w:val="00ED6208"/>
    <w:rsid w:val="00ED6414"/>
    <w:rsid w:val="00ED65C5"/>
    <w:rsid w:val="00ED7232"/>
    <w:rsid w:val="00ED7834"/>
    <w:rsid w:val="00EE0763"/>
    <w:rsid w:val="00EE14BF"/>
    <w:rsid w:val="00EE3163"/>
    <w:rsid w:val="00EE39DF"/>
    <w:rsid w:val="00EE3F25"/>
    <w:rsid w:val="00EE5975"/>
    <w:rsid w:val="00EE5ABE"/>
    <w:rsid w:val="00EE65EB"/>
    <w:rsid w:val="00EF0BCB"/>
    <w:rsid w:val="00EF13C4"/>
    <w:rsid w:val="00EF15A9"/>
    <w:rsid w:val="00EF2DF3"/>
    <w:rsid w:val="00EF3661"/>
    <w:rsid w:val="00EF371D"/>
    <w:rsid w:val="00EF3D6B"/>
    <w:rsid w:val="00EF4BC5"/>
    <w:rsid w:val="00EF5C80"/>
    <w:rsid w:val="00EF6096"/>
    <w:rsid w:val="00EF66A4"/>
    <w:rsid w:val="00EF6C85"/>
    <w:rsid w:val="00EF781D"/>
    <w:rsid w:val="00EF7B8B"/>
    <w:rsid w:val="00F013D6"/>
    <w:rsid w:val="00F01A89"/>
    <w:rsid w:val="00F01D53"/>
    <w:rsid w:val="00F01DDB"/>
    <w:rsid w:val="00F021A3"/>
    <w:rsid w:val="00F03A58"/>
    <w:rsid w:val="00F03B95"/>
    <w:rsid w:val="00F03BEA"/>
    <w:rsid w:val="00F041ED"/>
    <w:rsid w:val="00F04F6B"/>
    <w:rsid w:val="00F06086"/>
    <w:rsid w:val="00F06A03"/>
    <w:rsid w:val="00F11564"/>
    <w:rsid w:val="00F12C9C"/>
    <w:rsid w:val="00F136AB"/>
    <w:rsid w:val="00F15339"/>
    <w:rsid w:val="00F1572E"/>
    <w:rsid w:val="00F163C3"/>
    <w:rsid w:val="00F201B8"/>
    <w:rsid w:val="00F202BD"/>
    <w:rsid w:val="00F21E46"/>
    <w:rsid w:val="00F23170"/>
    <w:rsid w:val="00F23304"/>
    <w:rsid w:val="00F23627"/>
    <w:rsid w:val="00F2463B"/>
    <w:rsid w:val="00F25384"/>
    <w:rsid w:val="00F2588E"/>
    <w:rsid w:val="00F25ED3"/>
    <w:rsid w:val="00F266FF"/>
    <w:rsid w:val="00F2718C"/>
    <w:rsid w:val="00F31BD4"/>
    <w:rsid w:val="00F3206F"/>
    <w:rsid w:val="00F32EB2"/>
    <w:rsid w:val="00F33166"/>
    <w:rsid w:val="00F33679"/>
    <w:rsid w:val="00F34B49"/>
    <w:rsid w:val="00F352A8"/>
    <w:rsid w:val="00F35969"/>
    <w:rsid w:val="00F35AC9"/>
    <w:rsid w:val="00F35FD2"/>
    <w:rsid w:val="00F360D0"/>
    <w:rsid w:val="00F3658E"/>
    <w:rsid w:val="00F36C86"/>
    <w:rsid w:val="00F37836"/>
    <w:rsid w:val="00F37A41"/>
    <w:rsid w:val="00F40107"/>
    <w:rsid w:val="00F4078D"/>
    <w:rsid w:val="00F41CC9"/>
    <w:rsid w:val="00F42A85"/>
    <w:rsid w:val="00F43550"/>
    <w:rsid w:val="00F435CF"/>
    <w:rsid w:val="00F43956"/>
    <w:rsid w:val="00F43B12"/>
    <w:rsid w:val="00F43DB6"/>
    <w:rsid w:val="00F450CA"/>
    <w:rsid w:val="00F45C99"/>
    <w:rsid w:val="00F45CCB"/>
    <w:rsid w:val="00F463FC"/>
    <w:rsid w:val="00F464F4"/>
    <w:rsid w:val="00F46564"/>
    <w:rsid w:val="00F47656"/>
    <w:rsid w:val="00F50552"/>
    <w:rsid w:val="00F50757"/>
    <w:rsid w:val="00F511A6"/>
    <w:rsid w:val="00F51282"/>
    <w:rsid w:val="00F512DB"/>
    <w:rsid w:val="00F51A27"/>
    <w:rsid w:val="00F52002"/>
    <w:rsid w:val="00F531F3"/>
    <w:rsid w:val="00F53344"/>
    <w:rsid w:val="00F53450"/>
    <w:rsid w:val="00F542EB"/>
    <w:rsid w:val="00F5676F"/>
    <w:rsid w:val="00F56D37"/>
    <w:rsid w:val="00F56EBD"/>
    <w:rsid w:val="00F579CC"/>
    <w:rsid w:val="00F61282"/>
    <w:rsid w:val="00F639C2"/>
    <w:rsid w:val="00F6594A"/>
    <w:rsid w:val="00F65984"/>
    <w:rsid w:val="00F65CE2"/>
    <w:rsid w:val="00F663D4"/>
    <w:rsid w:val="00F66870"/>
    <w:rsid w:val="00F6708A"/>
    <w:rsid w:val="00F6752A"/>
    <w:rsid w:val="00F706F2"/>
    <w:rsid w:val="00F718E1"/>
    <w:rsid w:val="00F72A6E"/>
    <w:rsid w:val="00F736B1"/>
    <w:rsid w:val="00F750AB"/>
    <w:rsid w:val="00F765B5"/>
    <w:rsid w:val="00F76869"/>
    <w:rsid w:val="00F76B2F"/>
    <w:rsid w:val="00F76B40"/>
    <w:rsid w:val="00F76FB8"/>
    <w:rsid w:val="00F82FC5"/>
    <w:rsid w:val="00F8329C"/>
    <w:rsid w:val="00F835BE"/>
    <w:rsid w:val="00F84C7D"/>
    <w:rsid w:val="00F859FC"/>
    <w:rsid w:val="00F90CA0"/>
    <w:rsid w:val="00F91D6C"/>
    <w:rsid w:val="00F92AAD"/>
    <w:rsid w:val="00F92BEE"/>
    <w:rsid w:val="00F93852"/>
    <w:rsid w:val="00F94FC7"/>
    <w:rsid w:val="00F969F6"/>
    <w:rsid w:val="00FA09ED"/>
    <w:rsid w:val="00FA0B64"/>
    <w:rsid w:val="00FA2417"/>
    <w:rsid w:val="00FA2FEE"/>
    <w:rsid w:val="00FA4D27"/>
    <w:rsid w:val="00FA523D"/>
    <w:rsid w:val="00FA574A"/>
    <w:rsid w:val="00FB054F"/>
    <w:rsid w:val="00FB0B5D"/>
    <w:rsid w:val="00FB13F3"/>
    <w:rsid w:val="00FB17F9"/>
    <w:rsid w:val="00FB2811"/>
    <w:rsid w:val="00FC0F96"/>
    <w:rsid w:val="00FC4749"/>
    <w:rsid w:val="00FC5139"/>
    <w:rsid w:val="00FC706C"/>
    <w:rsid w:val="00FC72BF"/>
    <w:rsid w:val="00FD0DEB"/>
    <w:rsid w:val="00FD11A6"/>
    <w:rsid w:val="00FD318D"/>
    <w:rsid w:val="00FD3ABE"/>
    <w:rsid w:val="00FD4CB4"/>
    <w:rsid w:val="00FD4E96"/>
    <w:rsid w:val="00FD5B20"/>
    <w:rsid w:val="00FD5E1E"/>
    <w:rsid w:val="00FD6055"/>
    <w:rsid w:val="00FD60CC"/>
    <w:rsid w:val="00FD7C7A"/>
    <w:rsid w:val="00FE02AA"/>
    <w:rsid w:val="00FE0842"/>
    <w:rsid w:val="00FE1039"/>
    <w:rsid w:val="00FE1469"/>
    <w:rsid w:val="00FE2107"/>
    <w:rsid w:val="00FE3037"/>
    <w:rsid w:val="00FE313C"/>
    <w:rsid w:val="00FE3400"/>
    <w:rsid w:val="00FE38C1"/>
    <w:rsid w:val="00FE659A"/>
    <w:rsid w:val="00FF3623"/>
    <w:rsid w:val="00FF430B"/>
    <w:rsid w:val="00FF5387"/>
    <w:rsid w:val="00FF5EE9"/>
    <w:rsid w:val="00FF77C4"/>
    <w:rsid w:val="00FF79A0"/>
    <w:rsid w:val="00FF7C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34F1C54"/>
  <w15:docId w15:val="{6F0BE120-D805-4488-8229-3C3884D5D2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1" w:unhideWhenUsed="1" w:qFormat="1"/>
    <w:lsdException w:name="heading 5" w:semiHidden="1" w:uiPriority="1"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iPriority="0" w:unhideWhenUsed="1"/>
    <w:lsdException w:name="footnote text" w:semiHidden="1" w:unhideWhenUsed="1" w:qFormat="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1ABB"/>
    <w:pPr>
      <w:spacing w:after="120" w:line="240" w:lineRule="auto"/>
      <w:jc w:val="both"/>
    </w:pPr>
    <w:rPr>
      <w:rFonts w:cstheme="minorHAnsi"/>
      <w:szCs w:val="24"/>
      <w:lang w:val="es-ES"/>
    </w:rPr>
  </w:style>
  <w:style w:type="paragraph" w:styleId="Ttulo1">
    <w:name w:val="heading 1"/>
    <w:aliases w:val="encabezado"/>
    <w:basedOn w:val="Normal"/>
    <w:next w:val="Normal"/>
    <w:link w:val="Ttulo1Car"/>
    <w:uiPriority w:val="9"/>
    <w:qFormat/>
    <w:rsid w:val="003B5BE2"/>
    <w:pPr>
      <w:keepNext/>
      <w:keepLines/>
      <w:numPr>
        <w:numId w:val="117"/>
      </w:numPr>
      <w:spacing w:before="240" w:after="0"/>
      <w:jc w:val="center"/>
      <w:outlineLvl w:val="0"/>
    </w:pPr>
    <w:rPr>
      <w:rFonts w:asciiTheme="majorHAnsi" w:eastAsiaTheme="majorEastAsia" w:hAnsiTheme="majorHAnsi" w:cstheme="majorBidi"/>
      <w:b/>
      <w:sz w:val="28"/>
      <w:szCs w:val="32"/>
      <w:bdr w:val="none" w:sz="0" w:space="0" w:color="auto" w:frame="1"/>
    </w:rPr>
  </w:style>
  <w:style w:type="paragraph" w:styleId="Ttulo2">
    <w:name w:val="heading 2"/>
    <w:aliases w:val="Title Header2"/>
    <w:basedOn w:val="Ttulo1"/>
    <w:next w:val="Normal"/>
    <w:link w:val="Ttulo2Car"/>
    <w:uiPriority w:val="9"/>
    <w:unhideWhenUsed/>
    <w:qFormat/>
    <w:rsid w:val="00485C4E"/>
    <w:pPr>
      <w:numPr>
        <w:ilvl w:val="1"/>
      </w:numPr>
      <w:outlineLvl w:val="1"/>
    </w:pPr>
  </w:style>
  <w:style w:type="paragraph" w:styleId="Ttulo3">
    <w:name w:val="heading 3"/>
    <w:basedOn w:val="Normal"/>
    <w:next w:val="Normal"/>
    <w:link w:val="Ttulo3Car"/>
    <w:unhideWhenUsed/>
    <w:qFormat/>
    <w:rsid w:val="003B5BE2"/>
    <w:pPr>
      <w:keepNext/>
      <w:keepLines/>
      <w:numPr>
        <w:ilvl w:val="2"/>
        <w:numId w:val="117"/>
      </w:numPr>
      <w:tabs>
        <w:tab w:val="left" w:pos="426"/>
      </w:tabs>
      <w:spacing w:before="40" w:after="0"/>
      <w:jc w:val="left"/>
      <w:outlineLvl w:val="2"/>
    </w:pPr>
    <w:rPr>
      <w:rFonts w:asciiTheme="majorHAnsi" w:eastAsiaTheme="majorEastAsia" w:hAnsiTheme="majorHAnsi" w:cstheme="majorBidi"/>
      <w:b/>
      <w:lang w:val="es-DO"/>
    </w:rPr>
  </w:style>
  <w:style w:type="paragraph" w:styleId="Ttulo4">
    <w:name w:val="heading 4"/>
    <w:basedOn w:val="Normal"/>
    <w:next w:val="Normal"/>
    <w:link w:val="Ttulo4Car"/>
    <w:uiPriority w:val="1"/>
    <w:unhideWhenUsed/>
    <w:qFormat/>
    <w:rsid w:val="0039610A"/>
    <w:pPr>
      <w:keepNext/>
      <w:keepLines/>
      <w:numPr>
        <w:ilvl w:val="3"/>
        <w:numId w:val="117"/>
      </w:numPr>
      <w:spacing w:before="40" w:after="0"/>
      <w:outlineLvl w:val="3"/>
    </w:pPr>
    <w:rPr>
      <w:rFonts w:asciiTheme="majorHAnsi" w:eastAsiaTheme="majorEastAsia" w:hAnsiTheme="majorHAnsi" w:cstheme="majorBidi"/>
      <w:i/>
      <w:iCs/>
      <w:color w:val="2E74B5" w:themeColor="accent1" w:themeShade="BF"/>
    </w:rPr>
  </w:style>
  <w:style w:type="paragraph" w:styleId="Ttulo5">
    <w:name w:val="heading 5"/>
    <w:basedOn w:val="Normal"/>
    <w:next w:val="Normal"/>
    <w:link w:val="Ttulo5Car"/>
    <w:uiPriority w:val="1"/>
    <w:unhideWhenUsed/>
    <w:qFormat/>
    <w:rsid w:val="00E06C8A"/>
    <w:pPr>
      <w:keepNext/>
      <w:keepLines/>
      <w:numPr>
        <w:ilvl w:val="4"/>
        <w:numId w:val="117"/>
      </w:numPr>
      <w:spacing w:before="40" w:after="0"/>
      <w:outlineLvl w:val="4"/>
    </w:pPr>
    <w:rPr>
      <w:rFonts w:asciiTheme="majorHAnsi" w:eastAsiaTheme="majorEastAsia" w:hAnsiTheme="majorHAnsi" w:cstheme="majorBidi"/>
      <w:color w:val="2E74B5" w:themeColor="accent1" w:themeShade="BF"/>
    </w:rPr>
  </w:style>
  <w:style w:type="paragraph" w:styleId="Ttulo6">
    <w:name w:val="heading 6"/>
    <w:basedOn w:val="Ttulo3"/>
    <w:next w:val="Textoindependiente"/>
    <w:link w:val="Ttulo6Car"/>
    <w:qFormat/>
    <w:rsid w:val="00E42E9F"/>
    <w:pPr>
      <w:keepLines w:val="0"/>
      <w:numPr>
        <w:ilvl w:val="5"/>
      </w:numPr>
      <w:tabs>
        <w:tab w:val="clear" w:pos="426"/>
      </w:tabs>
      <w:spacing w:before="0" w:after="80"/>
      <w:outlineLvl w:val="5"/>
    </w:pPr>
    <w:rPr>
      <w:rFonts w:ascii="Garamond" w:eastAsia="Times New Roman" w:hAnsi="Garamond" w:cs="Arial"/>
      <w:b w:val="0"/>
      <w:color w:val="FF6600"/>
      <w:kern w:val="28"/>
      <w:lang w:val="es-ES_tradnl" w:eastAsia="en-NZ"/>
    </w:rPr>
  </w:style>
  <w:style w:type="paragraph" w:styleId="Ttulo7">
    <w:name w:val="heading 7"/>
    <w:basedOn w:val="Ttulo1"/>
    <w:next w:val="Normal"/>
    <w:link w:val="Ttulo7Car"/>
    <w:qFormat/>
    <w:rsid w:val="00E42E9F"/>
    <w:pPr>
      <w:keepLines w:val="0"/>
      <w:numPr>
        <w:ilvl w:val="6"/>
      </w:numPr>
      <w:spacing w:before="120" w:after="60"/>
      <w:jc w:val="left"/>
      <w:outlineLvl w:val="6"/>
    </w:pPr>
    <w:rPr>
      <w:rFonts w:ascii="Times New Roman" w:eastAsia="Calibri" w:hAnsi="Times New Roman" w:cs="Times New Roman"/>
      <w:b w:val="0"/>
      <w:kern w:val="28"/>
      <w:sz w:val="22"/>
      <w:szCs w:val="20"/>
      <w:bdr w:val="none" w:sz="0" w:space="0" w:color="auto"/>
      <w:lang w:val="en-GB" w:eastAsia="nl-NL"/>
    </w:rPr>
  </w:style>
  <w:style w:type="paragraph" w:styleId="Ttulo8">
    <w:name w:val="heading 8"/>
    <w:basedOn w:val="Ttulo1"/>
    <w:next w:val="Normal"/>
    <w:link w:val="Ttulo8Car"/>
    <w:qFormat/>
    <w:rsid w:val="00E42E9F"/>
    <w:pPr>
      <w:keepLines w:val="0"/>
      <w:numPr>
        <w:ilvl w:val="7"/>
      </w:numPr>
      <w:spacing w:before="120" w:after="60"/>
      <w:jc w:val="left"/>
      <w:outlineLvl w:val="7"/>
    </w:pPr>
    <w:rPr>
      <w:rFonts w:ascii="Times New Roman" w:eastAsia="Calibri" w:hAnsi="Times New Roman" w:cs="Times New Roman"/>
      <w:b w:val="0"/>
      <w:kern w:val="28"/>
      <w:sz w:val="22"/>
      <w:szCs w:val="20"/>
      <w:bdr w:val="none" w:sz="0" w:space="0" w:color="auto"/>
      <w:lang w:val="en-GB" w:eastAsia="nl-NL"/>
    </w:rPr>
  </w:style>
  <w:style w:type="paragraph" w:styleId="Ttulo9">
    <w:name w:val="heading 9"/>
    <w:basedOn w:val="Normal"/>
    <w:next w:val="Normal"/>
    <w:link w:val="Ttulo9Car"/>
    <w:qFormat/>
    <w:rsid w:val="00E42E9F"/>
    <w:pPr>
      <w:keepNext/>
      <w:numPr>
        <w:ilvl w:val="8"/>
        <w:numId w:val="117"/>
      </w:numPr>
      <w:spacing w:after="0"/>
      <w:outlineLvl w:val="8"/>
    </w:pPr>
    <w:rPr>
      <w:rFonts w:ascii="Arial" w:eastAsia="Times New Roman" w:hAnsi="Arial" w:cs="Arial"/>
      <w:color w:val="0000FF"/>
      <w:sz w:val="20"/>
      <w:u w:val="single"/>
      <w:lang w:val="en-G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encabezado Car"/>
    <w:basedOn w:val="Fuentedeprrafopredeter"/>
    <w:link w:val="Ttulo1"/>
    <w:uiPriority w:val="9"/>
    <w:rsid w:val="003B5BE2"/>
    <w:rPr>
      <w:rFonts w:asciiTheme="majorHAnsi" w:eastAsiaTheme="majorEastAsia" w:hAnsiTheme="majorHAnsi" w:cstheme="majorBidi"/>
      <w:b/>
      <w:sz w:val="28"/>
      <w:szCs w:val="32"/>
      <w:bdr w:val="none" w:sz="0" w:space="0" w:color="auto" w:frame="1"/>
      <w:lang w:val="es-ES"/>
    </w:rPr>
  </w:style>
  <w:style w:type="paragraph" w:styleId="Sinespaciado">
    <w:name w:val="No Spacing"/>
    <w:basedOn w:val="Normal"/>
    <w:link w:val="SinespaciadoCar"/>
    <w:uiPriority w:val="1"/>
    <w:qFormat/>
    <w:rsid w:val="007E798F"/>
    <w:pPr>
      <w:spacing w:after="0"/>
    </w:pPr>
    <w:rPr>
      <w:szCs w:val="22"/>
      <w:lang w:val="es-GT"/>
    </w:rPr>
  </w:style>
  <w:style w:type="character" w:customStyle="1" w:styleId="Ttulo2Car">
    <w:name w:val="Título 2 Car"/>
    <w:aliases w:val="Title Header2 Car"/>
    <w:basedOn w:val="Fuentedeprrafopredeter"/>
    <w:link w:val="Ttulo2"/>
    <w:uiPriority w:val="9"/>
    <w:rsid w:val="00485C4E"/>
    <w:rPr>
      <w:rFonts w:asciiTheme="majorHAnsi" w:eastAsiaTheme="majorEastAsia" w:hAnsiTheme="majorHAnsi" w:cstheme="majorBidi"/>
      <w:b/>
      <w:sz w:val="28"/>
      <w:szCs w:val="32"/>
      <w:bdr w:val="none" w:sz="0" w:space="0" w:color="auto" w:frame="1"/>
      <w:lang w:val="es-ES"/>
    </w:rPr>
  </w:style>
  <w:style w:type="paragraph" w:styleId="Textoindependiente">
    <w:name w:val="Body Text"/>
    <w:aliases w:val="lext,heat,Body Text Char Char Char Char Char,Body Text Char Char Char Char,Body Text Char Char Char,Body Text Char Char,1body,BodText,bt,body text,Body Txt,heading3,3 indent,heading31,body text1,3 indent1,heading32,body text2,b,B."/>
    <w:basedOn w:val="Normal"/>
    <w:link w:val="TextoindependienteCar"/>
    <w:uiPriority w:val="1"/>
    <w:qFormat/>
    <w:rsid w:val="00561064"/>
    <w:rPr>
      <w:rFonts w:ascii="Garamond" w:eastAsia="Times New Roman" w:hAnsi="Garamond" w:cs="Times New Roman"/>
      <w:lang w:val="es-GT" w:eastAsia="en-NZ"/>
    </w:rPr>
  </w:style>
  <w:style w:type="character" w:customStyle="1" w:styleId="TextoindependienteCar">
    <w:name w:val="Texto independiente Car"/>
    <w:aliases w:val="lext Car,heat Car,Body Text Char Char Char Char Char Car,Body Text Char Char Char Char Car,Body Text Char Char Char Car,Body Text Char Char Car,1body Car,BodText Car,bt Car,body text Car,Body Txt Car,heading3 Car,3 indent Car"/>
    <w:basedOn w:val="Fuentedeprrafopredeter"/>
    <w:link w:val="Textoindependiente"/>
    <w:uiPriority w:val="99"/>
    <w:rsid w:val="00561064"/>
    <w:rPr>
      <w:rFonts w:ascii="Garamond" w:eastAsia="Times New Roman" w:hAnsi="Garamond" w:cs="Times New Roman"/>
      <w:sz w:val="24"/>
      <w:szCs w:val="24"/>
      <w:lang w:val="es-GT" w:eastAsia="en-NZ"/>
    </w:rPr>
  </w:style>
  <w:style w:type="paragraph" w:styleId="Textonotapie">
    <w:name w:val="footnote text"/>
    <w:aliases w:val="Texto nota pie Car Car,Car,Texto nota pie Car Car Car Car,Texto nota pie1,ft,single space,fn,FOOTNOTES,Texto nota pie Car Car Car Car Car Car,Texto nota pie Car Car Car Car Car Car Car,Texto nota pie Car Car Car Car Car Car Ca,Char, Car,f"/>
    <w:basedOn w:val="Normal"/>
    <w:link w:val="TextonotapieCar"/>
    <w:uiPriority w:val="99"/>
    <w:qFormat/>
    <w:rsid w:val="0039610A"/>
    <w:pPr>
      <w:keepNext/>
      <w:keepLines/>
      <w:spacing w:after="0"/>
      <w:ind w:left="288" w:hanging="288"/>
    </w:pPr>
    <w:rPr>
      <w:rFonts w:ascii="Calibri" w:hAnsi="Calibri" w:cs="Calibri"/>
      <w:color w:val="000000" w:themeColor="text1"/>
      <w:spacing w:val="-3"/>
      <w:sz w:val="16"/>
      <w:szCs w:val="16"/>
      <w:lang w:val="es-ES_tradnl" w:eastAsia="en-NZ"/>
    </w:rPr>
  </w:style>
  <w:style w:type="character" w:customStyle="1" w:styleId="TextonotapieCar">
    <w:name w:val="Texto nota pie Car"/>
    <w:aliases w:val="Texto nota pie Car Car Car,Car Car,Texto nota pie Car Car Car Car Car,Texto nota pie1 Car,ft Car,single space Car,fn Car,FOOTNOTES Car,Texto nota pie Car Car Car Car Car Car Car1,Texto nota pie Car Car Car Car Car Car Car Car,Char Car"/>
    <w:basedOn w:val="Fuentedeprrafopredeter"/>
    <w:link w:val="Textonotapie"/>
    <w:uiPriority w:val="99"/>
    <w:qFormat/>
    <w:rsid w:val="0039610A"/>
    <w:rPr>
      <w:rFonts w:ascii="Calibri" w:hAnsi="Calibri" w:cs="Calibri"/>
      <w:color w:val="000000" w:themeColor="text1"/>
      <w:spacing w:val="-3"/>
      <w:sz w:val="16"/>
      <w:szCs w:val="16"/>
      <w:lang w:val="es-ES_tradnl" w:eastAsia="en-NZ"/>
    </w:rPr>
  </w:style>
  <w:style w:type="character" w:styleId="Refdenotaalpie">
    <w:name w:val="footnote reference"/>
    <w:aliases w:val="ftref,16 Point,Superscript 6 Point,BVI fnr,Appel note de bas de p,Footnote Reference1,Ref,de nota al pie,referencia nota al pie,fr,(NECG) Footnote Reference,footnote ref,Footnote Reference Number,Footnote Ref in FtNote,number,SUPERS"/>
    <w:basedOn w:val="Fuentedeprrafopredeter"/>
    <w:link w:val="CarattereCarattereCharCharCharCharCharCharZchn"/>
    <w:uiPriority w:val="99"/>
    <w:qFormat/>
    <w:rsid w:val="00561064"/>
    <w:rPr>
      <w:rFonts w:ascii="Garamond" w:hAnsi="Garamond"/>
      <w:sz w:val="18"/>
      <w:szCs w:val="18"/>
      <w:vertAlign w:val="superscript"/>
      <w:lang w:val="es-ES"/>
    </w:rPr>
  </w:style>
  <w:style w:type="character" w:styleId="Hipervnculo">
    <w:name w:val="Hyperlink"/>
    <w:basedOn w:val="Fuentedeprrafopredeter"/>
    <w:uiPriority w:val="99"/>
    <w:rsid w:val="00561064"/>
    <w:rPr>
      <w:color w:val="0000FF"/>
      <w:u w:val="single"/>
      <w:lang w:val="es-ES"/>
    </w:rPr>
  </w:style>
  <w:style w:type="paragraph" w:styleId="Prrafodelista">
    <w:name w:val="List Paragraph"/>
    <w:aliases w:val="Ha,Dot pt,List Paragraph1,Bullets,P‡rrafo de lista,List number Paragraph,List Paragraph (numbered (a)),Listenabsatz,SOP_bullet1,Resume Title,Table of contents numbered,List Paragraph (bulleted list),Bullet 1 List,Numeracion iniciativas"/>
    <w:basedOn w:val="Normal"/>
    <w:link w:val="PrrafodelistaCar"/>
    <w:uiPriority w:val="34"/>
    <w:qFormat/>
    <w:rsid w:val="002E33BF"/>
    <w:pPr>
      <w:spacing w:after="200" w:line="276" w:lineRule="auto"/>
      <w:contextualSpacing/>
    </w:pPr>
    <w:rPr>
      <w:lang w:val="es-GT"/>
    </w:rPr>
  </w:style>
  <w:style w:type="character" w:customStyle="1" w:styleId="PrrafodelistaCar">
    <w:name w:val="Párrafo de lista Car"/>
    <w:aliases w:val="Ha Car,Dot pt Car,List Paragraph1 Car,Bullets Car,P‡rrafo de lista Car,List number Paragraph Car,List Paragraph (numbered (a)) Car,Listenabsatz Car,SOP_bullet1 Car,Resume Title Car,Table of contents numbered Car,Bullet 1 List Car"/>
    <w:basedOn w:val="Fuentedeprrafopredeter"/>
    <w:link w:val="Prrafodelista"/>
    <w:uiPriority w:val="34"/>
    <w:qFormat/>
    <w:rsid w:val="002E33BF"/>
    <w:rPr>
      <w:rFonts w:cstheme="minorHAnsi"/>
      <w:sz w:val="24"/>
      <w:szCs w:val="24"/>
      <w:lang w:val="es-GT"/>
    </w:rPr>
  </w:style>
  <w:style w:type="character" w:customStyle="1" w:styleId="Ttulo3Car">
    <w:name w:val="Título 3 Car"/>
    <w:basedOn w:val="Fuentedeprrafopredeter"/>
    <w:link w:val="Ttulo3"/>
    <w:rsid w:val="003B5BE2"/>
    <w:rPr>
      <w:rFonts w:asciiTheme="majorHAnsi" w:eastAsiaTheme="majorEastAsia" w:hAnsiTheme="majorHAnsi" w:cstheme="majorBidi"/>
      <w:b/>
      <w:sz w:val="24"/>
      <w:szCs w:val="24"/>
      <w:lang w:val="es-DO"/>
    </w:rPr>
  </w:style>
  <w:style w:type="character" w:customStyle="1" w:styleId="Ttulo4Car">
    <w:name w:val="Título 4 Car"/>
    <w:basedOn w:val="Fuentedeprrafopredeter"/>
    <w:link w:val="Ttulo4"/>
    <w:uiPriority w:val="1"/>
    <w:rsid w:val="0039610A"/>
    <w:rPr>
      <w:rFonts w:asciiTheme="majorHAnsi" w:eastAsiaTheme="majorEastAsia" w:hAnsiTheme="majorHAnsi" w:cstheme="majorBidi"/>
      <w:i/>
      <w:iCs/>
      <w:color w:val="2E74B5" w:themeColor="accent1" w:themeShade="BF"/>
      <w:sz w:val="24"/>
      <w:szCs w:val="24"/>
      <w:lang w:val="es-ES"/>
    </w:rPr>
  </w:style>
  <w:style w:type="character" w:customStyle="1" w:styleId="SinespaciadoCar">
    <w:name w:val="Sin espaciado Car"/>
    <w:basedOn w:val="Fuentedeprrafopredeter"/>
    <w:link w:val="Sinespaciado"/>
    <w:uiPriority w:val="1"/>
    <w:rsid w:val="007E798F"/>
    <w:rPr>
      <w:rFonts w:cstheme="minorHAnsi"/>
      <w:sz w:val="24"/>
      <w:lang w:val="es-GT"/>
    </w:rPr>
  </w:style>
  <w:style w:type="character" w:customStyle="1" w:styleId="Ttulo5Car">
    <w:name w:val="Título 5 Car"/>
    <w:basedOn w:val="Fuentedeprrafopredeter"/>
    <w:link w:val="Ttulo5"/>
    <w:uiPriority w:val="1"/>
    <w:rsid w:val="00E06C8A"/>
    <w:rPr>
      <w:rFonts w:asciiTheme="majorHAnsi" w:eastAsiaTheme="majorEastAsia" w:hAnsiTheme="majorHAnsi" w:cstheme="majorBidi"/>
      <w:color w:val="2E74B5" w:themeColor="accent1" w:themeShade="BF"/>
      <w:sz w:val="24"/>
      <w:szCs w:val="24"/>
      <w:lang w:val="es-ES"/>
    </w:rPr>
  </w:style>
  <w:style w:type="paragraph" w:styleId="Descripcin">
    <w:name w:val="caption"/>
    <w:aliases w:val="Epígrafe Anglo,Carácter Carácter,Char Char Char Char,Char Char Char Char Char Char Char,C...,Char Char Char,Char Char Char Char Char Char,Caption1,Caption Char Char Char Char Char Char Char Char Char,Caption1 Char Char,Caption Char"/>
    <w:basedOn w:val="Normal"/>
    <w:next w:val="Normal"/>
    <w:link w:val="DescripcinCar"/>
    <w:uiPriority w:val="35"/>
    <w:unhideWhenUsed/>
    <w:qFormat/>
    <w:rsid w:val="00A423D7"/>
    <w:pPr>
      <w:spacing w:after="200"/>
    </w:pPr>
    <w:rPr>
      <w:i/>
      <w:iCs/>
      <w:color w:val="44546A" w:themeColor="text2"/>
      <w:sz w:val="18"/>
      <w:szCs w:val="18"/>
    </w:rPr>
  </w:style>
  <w:style w:type="table" w:customStyle="1" w:styleId="TableGrid2">
    <w:name w:val="Table Grid2"/>
    <w:basedOn w:val="Tablanormal"/>
    <w:next w:val="Tablaconcuadrcula"/>
    <w:rsid w:val="003E1B9D"/>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concuadrcula">
    <w:name w:val="Table Grid"/>
    <w:basedOn w:val="Tablanormal"/>
    <w:uiPriority w:val="39"/>
    <w:rsid w:val="003E1B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6Car">
    <w:name w:val="Título 6 Car"/>
    <w:basedOn w:val="Fuentedeprrafopredeter"/>
    <w:link w:val="Ttulo6"/>
    <w:rsid w:val="00E42E9F"/>
    <w:rPr>
      <w:rFonts w:ascii="Garamond" w:eastAsia="Times New Roman" w:hAnsi="Garamond" w:cs="Arial"/>
      <w:color w:val="FF6600"/>
      <w:kern w:val="28"/>
      <w:sz w:val="24"/>
      <w:szCs w:val="24"/>
      <w:lang w:val="es-ES_tradnl" w:eastAsia="en-NZ"/>
    </w:rPr>
  </w:style>
  <w:style w:type="character" w:customStyle="1" w:styleId="Ttulo7Car">
    <w:name w:val="Título 7 Car"/>
    <w:basedOn w:val="Fuentedeprrafopredeter"/>
    <w:link w:val="Ttulo7"/>
    <w:rsid w:val="00E42E9F"/>
    <w:rPr>
      <w:rFonts w:ascii="Times New Roman" w:eastAsia="Calibri" w:hAnsi="Times New Roman" w:cs="Times New Roman"/>
      <w:kern w:val="28"/>
      <w:szCs w:val="20"/>
      <w:lang w:val="en-GB" w:eastAsia="nl-NL"/>
    </w:rPr>
  </w:style>
  <w:style w:type="character" w:customStyle="1" w:styleId="Ttulo8Car">
    <w:name w:val="Título 8 Car"/>
    <w:basedOn w:val="Fuentedeprrafopredeter"/>
    <w:link w:val="Ttulo8"/>
    <w:rsid w:val="00E42E9F"/>
    <w:rPr>
      <w:rFonts w:ascii="Times New Roman" w:eastAsia="Calibri" w:hAnsi="Times New Roman" w:cs="Times New Roman"/>
      <w:kern w:val="28"/>
      <w:szCs w:val="20"/>
      <w:lang w:val="en-GB" w:eastAsia="nl-NL"/>
    </w:rPr>
  </w:style>
  <w:style w:type="character" w:customStyle="1" w:styleId="Ttulo9Car">
    <w:name w:val="Título 9 Car"/>
    <w:basedOn w:val="Fuentedeprrafopredeter"/>
    <w:link w:val="Ttulo9"/>
    <w:rsid w:val="00E42E9F"/>
    <w:rPr>
      <w:rFonts w:ascii="Arial" w:eastAsia="Times New Roman" w:hAnsi="Arial" w:cs="Arial"/>
      <w:color w:val="0000FF"/>
      <w:sz w:val="20"/>
      <w:szCs w:val="24"/>
      <w:u w:val="single"/>
      <w:lang w:val="en-GB"/>
    </w:rPr>
  </w:style>
  <w:style w:type="paragraph" w:customStyle="1" w:styleId="BlockQuotation">
    <w:name w:val="Block Quotation"/>
    <w:basedOn w:val="Textoindependiente"/>
    <w:next w:val="Textoindependiente"/>
    <w:rsid w:val="00E42E9F"/>
    <w:pPr>
      <w:keepLines/>
      <w:spacing w:line="280" w:lineRule="atLeast"/>
      <w:ind w:left="720" w:right="720"/>
    </w:pPr>
    <w:rPr>
      <w:i/>
    </w:rPr>
  </w:style>
  <w:style w:type="paragraph" w:customStyle="1" w:styleId="Subheading">
    <w:name w:val="Subheading"/>
    <w:basedOn w:val="Textoindependiente"/>
    <w:next w:val="Textoindependiente"/>
    <w:rsid w:val="00E42E9F"/>
    <w:pPr>
      <w:keepNext/>
      <w:spacing w:after="80"/>
      <w:jc w:val="left"/>
    </w:pPr>
    <w:rPr>
      <w:b/>
      <w:kern w:val="28"/>
    </w:rPr>
  </w:style>
  <w:style w:type="paragraph" w:styleId="Listaconvietas">
    <w:name w:val="List Bullet"/>
    <w:aliases w:val="List Bullet Title,List Bullet Title Char Char Char,List Bullet Title Char Char Char Char,List Bullet1 Char,List Bullet Char Char Char Char Char Char Char,List Bullet Char Char Char Char,List Bullet Char Char Char Char Char,List Bullet2"/>
    <w:basedOn w:val="Textoindependiente"/>
    <w:link w:val="ListaconvietasCar"/>
    <w:rsid w:val="00E42E9F"/>
    <w:pPr>
      <w:numPr>
        <w:numId w:val="11"/>
      </w:numPr>
    </w:pPr>
    <w:rPr>
      <w:lang w:val="en-US"/>
    </w:rPr>
  </w:style>
  <w:style w:type="character" w:customStyle="1" w:styleId="ListaconvietasCar">
    <w:name w:val="Lista con viñetas Car"/>
    <w:aliases w:val="List Bullet Title Car,List Bullet Title Char Char Char Car,List Bullet Title Char Char Char Char Car,List Bullet1 Char Car,List Bullet Char Char Char Char Char Char Char Car,List Bullet Char Char Char Char Car,List Bullet2 Car"/>
    <w:basedOn w:val="Fuentedeprrafopredeter"/>
    <w:link w:val="Listaconvietas"/>
    <w:locked/>
    <w:rsid w:val="00E42E9F"/>
    <w:rPr>
      <w:rFonts w:ascii="Garamond" w:eastAsia="Times New Roman" w:hAnsi="Garamond" w:cs="Times New Roman"/>
      <w:sz w:val="24"/>
      <w:szCs w:val="24"/>
      <w:lang w:eastAsia="en-NZ"/>
    </w:rPr>
  </w:style>
  <w:style w:type="paragraph" w:styleId="Continuarlista">
    <w:name w:val="List Continue"/>
    <w:basedOn w:val="Textoindependiente"/>
    <w:rsid w:val="00E42E9F"/>
    <w:pPr>
      <w:ind w:left="1004"/>
    </w:pPr>
  </w:style>
  <w:style w:type="paragraph" w:styleId="Listaconvietas2">
    <w:name w:val="List Bullet 2"/>
    <w:aliases w:val="List Bullet 2 Char Char Char"/>
    <w:basedOn w:val="Textoindependiente"/>
    <w:rsid w:val="00E42E9F"/>
    <w:pPr>
      <w:numPr>
        <w:ilvl w:val="1"/>
        <w:numId w:val="11"/>
      </w:numPr>
    </w:pPr>
    <w:rPr>
      <w:lang w:val="en-US"/>
    </w:rPr>
  </w:style>
  <w:style w:type="paragraph" w:styleId="Listaconvietas3">
    <w:name w:val="List Bullet 3"/>
    <w:basedOn w:val="Textoindependiente"/>
    <w:rsid w:val="00E42E9F"/>
    <w:pPr>
      <w:numPr>
        <w:ilvl w:val="2"/>
        <w:numId w:val="11"/>
      </w:numPr>
    </w:pPr>
    <w:rPr>
      <w:lang w:val="en-US"/>
    </w:rPr>
  </w:style>
  <w:style w:type="paragraph" w:styleId="Listaconvietas4">
    <w:name w:val="List Bullet 4"/>
    <w:basedOn w:val="Textoindependiente"/>
    <w:rsid w:val="00E42E9F"/>
    <w:pPr>
      <w:numPr>
        <w:ilvl w:val="3"/>
        <w:numId w:val="11"/>
      </w:numPr>
    </w:pPr>
    <w:rPr>
      <w:lang w:val="en-US"/>
    </w:rPr>
  </w:style>
  <w:style w:type="paragraph" w:styleId="Continuarlista2">
    <w:name w:val="List Continue 2"/>
    <w:basedOn w:val="Textoindependiente"/>
    <w:rsid w:val="00E42E9F"/>
    <w:pPr>
      <w:ind w:left="1287"/>
    </w:pPr>
  </w:style>
  <w:style w:type="paragraph" w:customStyle="1" w:styleId="Numberedtext">
    <w:name w:val="Numbered text"/>
    <w:basedOn w:val="Textoindependiente"/>
    <w:rsid w:val="00E42E9F"/>
    <w:pPr>
      <w:numPr>
        <w:numId w:val="8"/>
      </w:numPr>
    </w:pPr>
  </w:style>
  <w:style w:type="paragraph" w:customStyle="1" w:styleId="BoxText">
    <w:name w:val="Box Text"/>
    <w:basedOn w:val="Normal"/>
    <w:rsid w:val="00E42E9F"/>
    <w:pPr>
      <w:spacing w:before="30" w:after="30"/>
    </w:pPr>
    <w:rPr>
      <w:rFonts w:ascii="Garamond" w:eastAsia="Times New Roman" w:hAnsi="Garamond" w:cs="Times New Roman"/>
      <w:lang w:val="es-GT" w:eastAsia="en-NZ"/>
    </w:rPr>
  </w:style>
  <w:style w:type="paragraph" w:customStyle="1" w:styleId="BoxBullet1">
    <w:name w:val="Box Bullet 1"/>
    <w:basedOn w:val="BoxText"/>
    <w:rsid w:val="00E42E9F"/>
    <w:pPr>
      <w:numPr>
        <w:numId w:val="6"/>
      </w:numPr>
    </w:pPr>
  </w:style>
  <w:style w:type="paragraph" w:customStyle="1" w:styleId="BoxBullet2">
    <w:name w:val="Box Bullet 2"/>
    <w:basedOn w:val="BoxText"/>
    <w:rsid w:val="00E42E9F"/>
    <w:pPr>
      <w:numPr>
        <w:ilvl w:val="1"/>
        <w:numId w:val="6"/>
      </w:numPr>
    </w:pPr>
  </w:style>
  <w:style w:type="paragraph" w:customStyle="1" w:styleId="TableText">
    <w:name w:val="Table Text"/>
    <w:basedOn w:val="Normal"/>
    <w:rsid w:val="00E42E9F"/>
    <w:pPr>
      <w:spacing w:before="30" w:after="30"/>
      <w:jc w:val="left"/>
    </w:pPr>
    <w:rPr>
      <w:rFonts w:ascii="Garamond" w:eastAsia="Times New Roman" w:hAnsi="Garamond" w:cs="Times New Roman"/>
      <w:lang w:val="es-GT" w:eastAsia="en-NZ"/>
    </w:rPr>
  </w:style>
  <w:style w:type="paragraph" w:customStyle="1" w:styleId="TableBullet1">
    <w:name w:val="Table Bullet 1"/>
    <w:basedOn w:val="TableText"/>
    <w:rsid w:val="00E42E9F"/>
    <w:pPr>
      <w:numPr>
        <w:numId w:val="9"/>
      </w:numPr>
    </w:pPr>
  </w:style>
  <w:style w:type="paragraph" w:customStyle="1" w:styleId="TableBullet2">
    <w:name w:val="Table Bullet 2"/>
    <w:basedOn w:val="TableText"/>
    <w:rsid w:val="00E42E9F"/>
    <w:pPr>
      <w:numPr>
        <w:ilvl w:val="1"/>
        <w:numId w:val="9"/>
      </w:numPr>
    </w:pPr>
  </w:style>
  <w:style w:type="paragraph" w:customStyle="1" w:styleId="BoldHeading">
    <w:name w:val="Bold Heading"/>
    <w:basedOn w:val="Ttulo1"/>
    <w:next w:val="Textoindependiente"/>
    <w:rsid w:val="00E42E9F"/>
    <w:pPr>
      <w:keepLines w:val="0"/>
      <w:spacing w:after="120"/>
      <w:jc w:val="left"/>
      <w:outlineLvl w:val="9"/>
    </w:pPr>
    <w:rPr>
      <w:rFonts w:ascii="Garamond" w:eastAsia="Times New Roman" w:hAnsi="Garamond" w:cs="Arial"/>
      <w:b w:val="0"/>
      <w:bCs/>
      <w:kern w:val="28"/>
      <w:sz w:val="24"/>
      <w:szCs w:val="36"/>
      <w:bdr w:val="none" w:sz="0" w:space="0" w:color="auto"/>
      <w:lang w:val="es-GT" w:eastAsia="en-NZ"/>
    </w:rPr>
  </w:style>
  <w:style w:type="paragraph" w:customStyle="1" w:styleId="BoxNumberedText">
    <w:name w:val="Box Numbered Text"/>
    <w:basedOn w:val="BoxText"/>
    <w:rsid w:val="00E42E9F"/>
    <w:pPr>
      <w:numPr>
        <w:numId w:val="7"/>
      </w:numPr>
    </w:pPr>
  </w:style>
  <w:style w:type="paragraph" w:styleId="Piedepgina">
    <w:name w:val="footer"/>
    <w:basedOn w:val="Normal"/>
    <w:link w:val="PiedepginaCar"/>
    <w:uiPriority w:val="99"/>
    <w:qFormat/>
    <w:rsid w:val="00E42E9F"/>
    <w:pPr>
      <w:tabs>
        <w:tab w:val="right" w:pos="8505"/>
      </w:tabs>
      <w:spacing w:after="0"/>
    </w:pPr>
    <w:rPr>
      <w:rFonts w:ascii="Garamond" w:eastAsia="Times New Roman" w:hAnsi="Garamond" w:cs="Times New Roman"/>
      <w:sz w:val="20"/>
      <w:lang w:val="es-GT" w:eastAsia="en-NZ"/>
    </w:rPr>
  </w:style>
  <w:style w:type="character" w:customStyle="1" w:styleId="PiedepginaCar">
    <w:name w:val="Pie de página Car"/>
    <w:basedOn w:val="Fuentedeprrafopredeter"/>
    <w:link w:val="Piedepgina"/>
    <w:uiPriority w:val="99"/>
    <w:rsid w:val="00E42E9F"/>
    <w:rPr>
      <w:rFonts w:ascii="Garamond" w:eastAsia="Times New Roman" w:hAnsi="Garamond" w:cs="Times New Roman"/>
      <w:sz w:val="20"/>
      <w:szCs w:val="24"/>
      <w:lang w:val="es-GT" w:eastAsia="en-NZ"/>
    </w:rPr>
  </w:style>
  <w:style w:type="character" w:styleId="Refdecomentario">
    <w:name w:val="annotation reference"/>
    <w:basedOn w:val="Fuentedeprrafopredeter"/>
    <w:uiPriority w:val="99"/>
    <w:rsid w:val="00E42E9F"/>
    <w:rPr>
      <w:sz w:val="16"/>
      <w:szCs w:val="16"/>
    </w:rPr>
  </w:style>
  <w:style w:type="paragraph" w:styleId="Textocomentario">
    <w:name w:val="annotation text"/>
    <w:basedOn w:val="Normal"/>
    <w:link w:val="TextocomentarioCar"/>
    <w:uiPriority w:val="99"/>
    <w:rsid w:val="00E42E9F"/>
    <w:pPr>
      <w:spacing w:after="0"/>
    </w:pPr>
    <w:rPr>
      <w:rFonts w:ascii="Garamond" w:eastAsia="Times New Roman" w:hAnsi="Garamond" w:cs="Times New Roman"/>
      <w:sz w:val="20"/>
      <w:szCs w:val="20"/>
      <w:lang w:val="es-GT" w:eastAsia="en-NZ"/>
    </w:rPr>
  </w:style>
  <w:style w:type="character" w:customStyle="1" w:styleId="TextocomentarioCar">
    <w:name w:val="Texto comentario Car"/>
    <w:basedOn w:val="Fuentedeprrafopredeter"/>
    <w:link w:val="Textocomentario"/>
    <w:uiPriority w:val="99"/>
    <w:rsid w:val="00E42E9F"/>
    <w:rPr>
      <w:rFonts w:ascii="Garamond" w:eastAsia="Times New Roman" w:hAnsi="Garamond" w:cs="Times New Roman"/>
      <w:sz w:val="20"/>
      <w:szCs w:val="20"/>
      <w:lang w:val="es-GT" w:eastAsia="en-NZ"/>
    </w:rPr>
  </w:style>
  <w:style w:type="paragraph" w:styleId="Asuntodelcomentario">
    <w:name w:val="annotation subject"/>
    <w:basedOn w:val="Textocomentario"/>
    <w:next w:val="Textocomentario"/>
    <w:link w:val="AsuntodelcomentarioCar"/>
    <w:uiPriority w:val="99"/>
    <w:rsid w:val="00E42E9F"/>
    <w:rPr>
      <w:b/>
      <w:bCs/>
    </w:rPr>
  </w:style>
  <w:style w:type="character" w:customStyle="1" w:styleId="AsuntodelcomentarioCar">
    <w:name w:val="Asunto del comentario Car"/>
    <w:basedOn w:val="TextocomentarioCar"/>
    <w:link w:val="Asuntodelcomentario"/>
    <w:uiPriority w:val="99"/>
    <w:rsid w:val="00E42E9F"/>
    <w:rPr>
      <w:rFonts w:ascii="Garamond" w:eastAsia="Times New Roman" w:hAnsi="Garamond" w:cs="Times New Roman"/>
      <w:b/>
      <w:bCs/>
      <w:sz w:val="20"/>
      <w:szCs w:val="20"/>
      <w:lang w:val="es-GT" w:eastAsia="en-NZ"/>
    </w:rPr>
  </w:style>
  <w:style w:type="paragraph" w:styleId="Textodeglobo">
    <w:name w:val="Balloon Text"/>
    <w:basedOn w:val="Normal"/>
    <w:link w:val="TextodegloboCar"/>
    <w:uiPriority w:val="99"/>
    <w:rsid w:val="00E42E9F"/>
    <w:pPr>
      <w:spacing w:after="0"/>
    </w:pPr>
    <w:rPr>
      <w:rFonts w:ascii="Garamond" w:eastAsia="Times New Roman" w:hAnsi="Garamond" w:cs="Tahoma"/>
      <w:sz w:val="16"/>
      <w:szCs w:val="16"/>
      <w:lang w:val="es-GT" w:eastAsia="en-NZ"/>
    </w:rPr>
  </w:style>
  <w:style w:type="character" w:customStyle="1" w:styleId="TextodegloboCar">
    <w:name w:val="Texto de globo Car"/>
    <w:basedOn w:val="Fuentedeprrafopredeter"/>
    <w:link w:val="Textodeglobo"/>
    <w:uiPriority w:val="99"/>
    <w:rsid w:val="00E42E9F"/>
    <w:rPr>
      <w:rFonts w:ascii="Garamond" w:eastAsia="Times New Roman" w:hAnsi="Garamond" w:cs="Tahoma"/>
      <w:sz w:val="16"/>
      <w:szCs w:val="16"/>
      <w:lang w:val="es-GT" w:eastAsia="en-NZ"/>
    </w:rPr>
  </w:style>
  <w:style w:type="paragraph" w:styleId="Encabezado">
    <w:name w:val="header"/>
    <w:basedOn w:val="Normal"/>
    <w:link w:val="EncabezadoCar"/>
    <w:uiPriority w:val="99"/>
    <w:rsid w:val="00E42E9F"/>
    <w:pPr>
      <w:keepLines/>
      <w:tabs>
        <w:tab w:val="center" w:pos="4153"/>
        <w:tab w:val="right" w:pos="8306"/>
      </w:tabs>
      <w:spacing w:after="0"/>
      <w:jc w:val="center"/>
    </w:pPr>
    <w:rPr>
      <w:rFonts w:ascii="Garamond" w:eastAsia="Times New Roman" w:hAnsi="Garamond" w:cs="Times New Roman"/>
      <w:sz w:val="20"/>
      <w:lang w:val="es-GT" w:eastAsia="en-NZ"/>
    </w:rPr>
  </w:style>
  <w:style w:type="character" w:customStyle="1" w:styleId="EncabezadoCar">
    <w:name w:val="Encabezado Car"/>
    <w:basedOn w:val="Fuentedeprrafopredeter"/>
    <w:link w:val="Encabezado"/>
    <w:uiPriority w:val="99"/>
    <w:rsid w:val="00E42E9F"/>
    <w:rPr>
      <w:rFonts w:ascii="Garamond" w:eastAsia="Times New Roman" w:hAnsi="Garamond" w:cs="Times New Roman"/>
      <w:sz w:val="20"/>
      <w:szCs w:val="24"/>
      <w:lang w:val="es-GT" w:eastAsia="en-NZ"/>
    </w:rPr>
  </w:style>
  <w:style w:type="character" w:styleId="Nmerodepgina">
    <w:name w:val="page number"/>
    <w:basedOn w:val="Fuentedeprrafopredeter"/>
    <w:rsid w:val="00E42E9F"/>
    <w:rPr>
      <w:rFonts w:ascii="Garamond" w:hAnsi="Garamond"/>
      <w:sz w:val="18"/>
      <w:lang w:val="es-ES"/>
    </w:rPr>
  </w:style>
  <w:style w:type="paragraph" w:customStyle="1" w:styleId="SourceNoteText">
    <w:name w:val="Source/Note Text"/>
    <w:basedOn w:val="Normal"/>
    <w:rsid w:val="00E42E9F"/>
    <w:pPr>
      <w:tabs>
        <w:tab w:val="left" w:pos="743"/>
      </w:tabs>
      <w:spacing w:before="120" w:after="30"/>
      <w:ind w:left="743" w:hanging="743"/>
      <w:jc w:val="left"/>
    </w:pPr>
    <w:rPr>
      <w:rFonts w:ascii="Garamond" w:eastAsia="Times New Roman" w:hAnsi="Garamond" w:cs="Times New Roman"/>
      <w:sz w:val="20"/>
      <w:lang w:val="es-GT" w:eastAsia="en-NZ"/>
    </w:rPr>
  </w:style>
  <w:style w:type="paragraph" w:customStyle="1" w:styleId="TableNumberedText">
    <w:name w:val="Table Numbered Text"/>
    <w:basedOn w:val="TableText"/>
    <w:rsid w:val="00E42E9F"/>
    <w:pPr>
      <w:numPr>
        <w:numId w:val="10"/>
      </w:numPr>
    </w:pPr>
  </w:style>
  <w:style w:type="paragraph" w:styleId="TDC1">
    <w:name w:val="toc 1"/>
    <w:basedOn w:val="Normal"/>
    <w:next w:val="Normal"/>
    <w:uiPriority w:val="39"/>
    <w:qFormat/>
    <w:rsid w:val="00E42E9F"/>
    <w:pPr>
      <w:spacing w:before="240"/>
      <w:jc w:val="left"/>
    </w:pPr>
    <w:rPr>
      <w:b/>
      <w:bCs/>
      <w:sz w:val="20"/>
      <w:szCs w:val="20"/>
    </w:rPr>
  </w:style>
  <w:style w:type="paragraph" w:styleId="TDC2">
    <w:name w:val="toc 2"/>
    <w:basedOn w:val="Normal"/>
    <w:next w:val="Normal"/>
    <w:uiPriority w:val="39"/>
    <w:qFormat/>
    <w:rsid w:val="00E42E9F"/>
    <w:pPr>
      <w:spacing w:before="120" w:after="0"/>
      <w:ind w:left="240"/>
      <w:jc w:val="left"/>
    </w:pPr>
    <w:rPr>
      <w:i/>
      <w:iCs/>
      <w:sz w:val="20"/>
      <w:szCs w:val="20"/>
    </w:rPr>
  </w:style>
  <w:style w:type="paragraph" w:styleId="TDC3">
    <w:name w:val="toc 3"/>
    <w:basedOn w:val="Normal"/>
    <w:next w:val="Normal"/>
    <w:uiPriority w:val="39"/>
    <w:qFormat/>
    <w:rsid w:val="00E42E9F"/>
    <w:pPr>
      <w:spacing w:after="0"/>
      <w:ind w:left="480"/>
      <w:jc w:val="left"/>
    </w:pPr>
    <w:rPr>
      <w:sz w:val="20"/>
      <w:szCs w:val="20"/>
    </w:rPr>
  </w:style>
  <w:style w:type="paragraph" w:styleId="Tabladeilustraciones">
    <w:name w:val="table of figures"/>
    <w:basedOn w:val="TDC1"/>
    <w:next w:val="Normal"/>
    <w:uiPriority w:val="99"/>
    <w:qFormat/>
    <w:rsid w:val="00E42E9F"/>
    <w:pPr>
      <w:spacing w:before="0" w:after="0"/>
      <w:ind w:left="440" w:hanging="440"/>
    </w:pPr>
    <w:rPr>
      <w:bCs w:val="0"/>
      <w:lang w:val="es-ES_tradnl" w:eastAsia="es-DO"/>
    </w:rPr>
  </w:style>
  <w:style w:type="paragraph" w:customStyle="1" w:styleId="TableorFigureEnd">
    <w:name w:val="Table or Figure End"/>
    <w:basedOn w:val="Normal"/>
    <w:next w:val="Textoindependiente"/>
    <w:rsid w:val="00E42E9F"/>
    <w:pPr>
      <w:pBdr>
        <w:top w:val="single" w:sz="4" w:space="1" w:color="auto"/>
      </w:pBdr>
      <w:tabs>
        <w:tab w:val="right" w:leader="dot" w:pos="8296"/>
      </w:tabs>
      <w:spacing w:before="90" w:after="0"/>
      <w:ind w:left="-57" w:right="-57"/>
    </w:pPr>
    <w:rPr>
      <w:rFonts w:ascii="Garamond" w:eastAsia="Times New Roman" w:hAnsi="Garamond" w:cs="Times New Roman"/>
      <w:lang w:val="es-GT" w:eastAsia="en-NZ"/>
    </w:rPr>
  </w:style>
  <w:style w:type="paragraph" w:styleId="Ttulo">
    <w:name w:val="Title"/>
    <w:basedOn w:val="Normal"/>
    <w:link w:val="TtuloCar"/>
    <w:uiPriority w:val="10"/>
    <w:qFormat/>
    <w:rsid w:val="00E42E9F"/>
    <w:pPr>
      <w:spacing w:after="240"/>
      <w:ind w:left="1134" w:right="1134"/>
      <w:jc w:val="center"/>
    </w:pPr>
    <w:rPr>
      <w:rFonts w:ascii="Garamond" w:eastAsia="Times New Roman" w:hAnsi="Garamond" w:cs="Arial"/>
      <w:b/>
      <w:bCs/>
      <w:kern w:val="28"/>
      <w:sz w:val="48"/>
      <w:szCs w:val="48"/>
      <w:lang w:val="es-GT" w:eastAsia="en-NZ"/>
    </w:rPr>
  </w:style>
  <w:style w:type="character" w:customStyle="1" w:styleId="TtuloCar">
    <w:name w:val="Título Car"/>
    <w:basedOn w:val="Fuentedeprrafopredeter"/>
    <w:link w:val="Ttulo"/>
    <w:uiPriority w:val="10"/>
    <w:rsid w:val="00E42E9F"/>
    <w:rPr>
      <w:rFonts w:ascii="Garamond" w:eastAsia="Times New Roman" w:hAnsi="Garamond" w:cs="Arial"/>
      <w:b/>
      <w:bCs/>
      <w:kern w:val="28"/>
      <w:sz w:val="48"/>
      <w:szCs w:val="48"/>
      <w:lang w:val="es-GT" w:eastAsia="en-NZ"/>
    </w:rPr>
  </w:style>
  <w:style w:type="paragraph" w:styleId="TDC4">
    <w:name w:val="toc 4"/>
    <w:basedOn w:val="Ttulo4"/>
    <w:next w:val="Ttulo1"/>
    <w:uiPriority w:val="39"/>
    <w:qFormat/>
    <w:rsid w:val="00E42E9F"/>
    <w:pPr>
      <w:keepNext w:val="0"/>
      <w:keepLines w:val="0"/>
      <w:numPr>
        <w:ilvl w:val="0"/>
        <w:numId w:val="0"/>
      </w:numPr>
      <w:spacing w:before="0"/>
      <w:ind w:left="720"/>
      <w:jc w:val="left"/>
      <w:outlineLvl w:val="9"/>
    </w:pPr>
    <w:rPr>
      <w:rFonts w:asciiTheme="minorHAnsi" w:eastAsiaTheme="minorHAnsi" w:hAnsiTheme="minorHAnsi" w:cstheme="minorHAnsi"/>
      <w:i w:val="0"/>
      <w:iCs w:val="0"/>
      <w:color w:val="auto"/>
      <w:sz w:val="20"/>
      <w:szCs w:val="20"/>
    </w:rPr>
  </w:style>
  <w:style w:type="paragraph" w:customStyle="1" w:styleId="TableBorder">
    <w:name w:val="Table Border"/>
    <w:basedOn w:val="TableText"/>
    <w:rsid w:val="00E42E9F"/>
    <w:pPr>
      <w:pBdr>
        <w:bottom w:val="single" w:sz="4" w:space="0" w:color="auto"/>
      </w:pBdr>
      <w:spacing w:before="0" w:after="120"/>
      <w:ind w:left="-57" w:right="-57"/>
    </w:pPr>
    <w:rPr>
      <w:sz w:val="2"/>
    </w:rPr>
  </w:style>
  <w:style w:type="paragraph" w:styleId="Revisin">
    <w:name w:val="Revision"/>
    <w:hidden/>
    <w:uiPriority w:val="99"/>
    <w:semiHidden/>
    <w:rsid w:val="00E42E9F"/>
    <w:pPr>
      <w:spacing w:after="0" w:line="240" w:lineRule="auto"/>
    </w:pPr>
    <w:rPr>
      <w:rFonts w:ascii="Garamond" w:eastAsia="Times New Roman" w:hAnsi="Garamond" w:cs="Times New Roman"/>
      <w:sz w:val="24"/>
      <w:szCs w:val="24"/>
      <w:lang w:val="es-ES" w:eastAsia="en-NZ"/>
    </w:rPr>
  </w:style>
  <w:style w:type="paragraph" w:customStyle="1" w:styleId="Chapter">
    <w:name w:val="Chapter"/>
    <w:basedOn w:val="Normal"/>
    <w:next w:val="Normal"/>
    <w:uiPriority w:val="99"/>
    <w:rsid w:val="00E42E9F"/>
    <w:pPr>
      <w:keepNext/>
      <w:tabs>
        <w:tab w:val="num" w:pos="648"/>
        <w:tab w:val="left" w:pos="1440"/>
      </w:tabs>
      <w:spacing w:before="240" w:after="240"/>
      <w:ind w:firstLine="288"/>
      <w:jc w:val="center"/>
    </w:pPr>
    <w:rPr>
      <w:rFonts w:ascii="Times New Roman" w:eastAsia="Times New Roman" w:hAnsi="Times New Roman" w:cs="Times New Roman"/>
      <w:b/>
      <w:smallCaps/>
      <w:szCs w:val="20"/>
    </w:rPr>
  </w:style>
  <w:style w:type="paragraph" w:customStyle="1" w:styleId="Paragraph">
    <w:name w:val="Paragraph"/>
    <w:basedOn w:val="Sangradetextonormal"/>
    <w:link w:val="ParagraphChar"/>
    <w:uiPriority w:val="99"/>
    <w:rsid w:val="00E42E9F"/>
    <w:pPr>
      <w:tabs>
        <w:tab w:val="num" w:pos="720"/>
      </w:tabs>
      <w:spacing w:before="120"/>
      <w:ind w:left="720" w:hanging="720"/>
      <w:jc w:val="both"/>
      <w:outlineLvl w:val="1"/>
    </w:pPr>
    <w:rPr>
      <w:szCs w:val="20"/>
      <w:lang w:val="es-ES_tradnl" w:eastAsia="en-US"/>
    </w:rPr>
  </w:style>
  <w:style w:type="paragraph" w:styleId="Sangradetextonormal">
    <w:name w:val="Body Text Indent"/>
    <w:basedOn w:val="Normal"/>
    <w:link w:val="SangradetextonormalCar"/>
    <w:rsid w:val="00E42E9F"/>
    <w:pPr>
      <w:ind w:left="360"/>
      <w:jc w:val="left"/>
    </w:pPr>
    <w:rPr>
      <w:rFonts w:ascii="Times New Roman" w:eastAsia="Times New Roman" w:hAnsi="Times New Roman" w:cs="Times New Roman"/>
      <w:lang w:val="es-GT" w:eastAsia="en-NZ"/>
    </w:rPr>
  </w:style>
  <w:style w:type="character" w:customStyle="1" w:styleId="SangradetextonormalCar">
    <w:name w:val="Sangría de texto normal Car"/>
    <w:basedOn w:val="Fuentedeprrafopredeter"/>
    <w:link w:val="Sangradetextonormal"/>
    <w:rsid w:val="00E42E9F"/>
    <w:rPr>
      <w:rFonts w:ascii="Times New Roman" w:eastAsia="Times New Roman" w:hAnsi="Times New Roman" w:cs="Times New Roman"/>
      <w:sz w:val="24"/>
      <w:szCs w:val="24"/>
      <w:lang w:val="es-GT" w:eastAsia="en-NZ"/>
    </w:rPr>
  </w:style>
  <w:style w:type="character" w:customStyle="1" w:styleId="ParagraphChar">
    <w:name w:val="Paragraph Char"/>
    <w:link w:val="Paragraph"/>
    <w:uiPriority w:val="99"/>
    <w:locked/>
    <w:rsid w:val="00E42E9F"/>
    <w:rPr>
      <w:rFonts w:ascii="Times New Roman" w:eastAsia="Times New Roman" w:hAnsi="Times New Roman" w:cs="Times New Roman"/>
      <w:sz w:val="24"/>
      <w:szCs w:val="20"/>
      <w:lang w:val="es-ES_tradnl"/>
    </w:rPr>
  </w:style>
  <w:style w:type="paragraph" w:customStyle="1" w:styleId="subpar">
    <w:name w:val="subpar"/>
    <w:basedOn w:val="Sangra3detindependiente"/>
    <w:uiPriority w:val="99"/>
    <w:rsid w:val="00E42E9F"/>
    <w:pPr>
      <w:tabs>
        <w:tab w:val="num" w:pos="1152"/>
      </w:tabs>
      <w:spacing w:before="120"/>
      <w:ind w:left="1152" w:hanging="432"/>
      <w:jc w:val="both"/>
      <w:outlineLvl w:val="2"/>
    </w:pPr>
    <w:rPr>
      <w:szCs w:val="20"/>
      <w:lang w:val="es-ES_tradnl" w:eastAsia="en-US"/>
    </w:rPr>
  </w:style>
  <w:style w:type="paragraph" w:styleId="Sangra3detindependiente">
    <w:name w:val="Body Text Indent 3"/>
    <w:basedOn w:val="Normal"/>
    <w:link w:val="Sangra3detindependienteCar"/>
    <w:rsid w:val="00E42E9F"/>
    <w:pPr>
      <w:ind w:left="360"/>
      <w:jc w:val="left"/>
    </w:pPr>
    <w:rPr>
      <w:rFonts w:ascii="Times New Roman" w:eastAsia="Times New Roman" w:hAnsi="Times New Roman" w:cs="Times New Roman"/>
      <w:szCs w:val="16"/>
      <w:lang w:val="es-GT" w:eastAsia="en-NZ"/>
    </w:rPr>
  </w:style>
  <w:style w:type="character" w:customStyle="1" w:styleId="Sangra3detindependienteCar">
    <w:name w:val="Sangría 3 de t. independiente Car"/>
    <w:basedOn w:val="Fuentedeprrafopredeter"/>
    <w:link w:val="Sangra3detindependiente"/>
    <w:rsid w:val="00E42E9F"/>
    <w:rPr>
      <w:rFonts w:ascii="Times New Roman" w:eastAsia="Times New Roman" w:hAnsi="Times New Roman" w:cs="Times New Roman"/>
      <w:sz w:val="24"/>
      <w:szCs w:val="16"/>
      <w:lang w:val="es-GT" w:eastAsia="en-NZ"/>
    </w:rPr>
  </w:style>
  <w:style w:type="character" w:styleId="nfasis">
    <w:name w:val="Emphasis"/>
    <w:basedOn w:val="Fuentedeprrafopredeter"/>
    <w:uiPriority w:val="20"/>
    <w:qFormat/>
    <w:rsid w:val="00E42E9F"/>
    <w:rPr>
      <w:i/>
      <w:iCs/>
    </w:rPr>
  </w:style>
  <w:style w:type="table" w:customStyle="1" w:styleId="Tablaconcuadrcula1">
    <w:name w:val="Tabla con cuadrícula1"/>
    <w:basedOn w:val="Tablanormal"/>
    <w:uiPriority w:val="59"/>
    <w:rsid w:val="00E42E9F"/>
    <w:pPr>
      <w:spacing w:after="0" w:line="240" w:lineRule="auto"/>
    </w:pPr>
    <w:rPr>
      <w:lang w:val="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TDC">
    <w:name w:val="TOC Heading"/>
    <w:basedOn w:val="Ttulo1"/>
    <w:next w:val="Normal"/>
    <w:uiPriority w:val="39"/>
    <w:unhideWhenUsed/>
    <w:qFormat/>
    <w:rsid w:val="003C7BE1"/>
    <w:pPr>
      <w:spacing w:before="0" w:line="276" w:lineRule="auto"/>
      <w:jc w:val="left"/>
      <w:outlineLvl w:val="9"/>
    </w:pPr>
    <w:rPr>
      <w:bCs/>
      <w:sz w:val="24"/>
      <w:szCs w:val="28"/>
      <w:bdr w:val="none" w:sz="0" w:space="0" w:color="auto"/>
      <w:lang w:val="es-GT"/>
    </w:rPr>
  </w:style>
  <w:style w:type="paragraph" w:styleId="ndice1">
    <w:name w:val="index 1"/>
    <w:basedOn w:val="Normal"/>
    <w:next w:val="Normal"/>
    <w:autoRedefine/>
    <w:rsid w:val="00E42E9F"/>
    <w:pPr>
      <w:spacing w:after="0"/>
      <w:ind w:left="240" w:hanging="240"/>
    </w:pPr>
    <w:rPr>
      <w:rFonts w:ascii="Garamond" w:eastAsia="Times New Roman" w:hAnsi="Garamond" w:cs="Times New Roman"/>
      <w:lang w:val="es-GT" w:eastAsia="en-NZ"/>
    </w:rPr>
  </w:style>
  <w:style w:type="paragraph" w:customStyle="1" w:styleId="Default">
    <w:name w:val="Default"/>
    <w:rsid w:val="00E42E9F"/>
    <w:pPr>
      <w:autoSpaceDE w:val="0"/>
      <w:autoSpaceDN w:val="0"/>
      <w:adjustRightInd w:val="0"/>
      <w:spacing w:after="0" w:line="240" w:lineRule="auto"/>
    </w:pPr>
    <w:rPr>
      <w:rFonts w:ascii="Times New Roman" w:eastAsia="Times New Roman" w:hAnsi="Times New Roman" w:cs="Times New Roman"/>
      <w:color w:val="000000"/>
      <w:sz w:val="24"/>
      <w:szCs w:val="24"/>
      <w:lang w:val="es-GT"/>
    </w:rPr>
  </w:style>
  <w:style w:type="paragraph" w:customStyle="1" w:styleId="wfxRecipient">
    <w:name w:val="wfxRecipient"/>
    <w:basedOn w:val="Normal"/>
    <w:rsid w:val="00E42E9F"/>
    <w:pPr>
      <w:overflowPunct w:val="0"/>
      <w:autoSpaceDE w:val="0"/>
      <w:autoSpaceDN w:val="0"/>
      <w:adjustRightInd w:val="0"/>
      <w:spacing w:after="0"/>
      <w:jc w:val="left"/>
      <w:textAlignment w:val="baseline"/>
    </w:pPr>
    <w:rPr>
      <w:rFonts w:ascii="Times New Roman" w:eastAsia="Times New Roman" w:hAnsi="Times New Roman" w:cs="Times New Roman"/>
      <w:szCs w:val="20"/>
    </w:rPr>
  </w:style>
  <w:style w:type="paragraph" w:customStyle="1" w:styleId="AnnexHead">
    <w:name w:val="AnnexHead"/>
    <w:basedOn w:val="Normal"/>
    <w:rsid w:val="00E42E9F"/>
    <w:pPr>
      <w:spacing w:after="0"/>
      <w:jc w:val="center"/>
    </w:pPr>
    <w:rPr>
      <w:rFonts w:ascii="Times New Roman" w:eastAsia="Times New Roman" w:hAnsi="Times New Roman" w:cs="Times New Roman"/>
      <w:spacing w:val="-3"/>
      <w:sz w:val="72"/>
    </w:rPr>
  </w:style>
  <w:style w:type="paragraph" w:customStyle="1" w:styleId="Listavistosa-nfasis11">
    <w:name w:val="Lista vistosa - Énfasis 11"/>
    <w:basedOn w:val="Normal"/>
    <w:link w:val="Listavistosa-nfasis1Car"/>
    <w:uiPriority w:val="34"/>
    <w:qFormat/>
    <w:rsid w:val="00E42E9F"/>
    <w:pPr>
      <w:spacing w:after="0"/>
      <w:ind w:left="720"/>
      <w:contextualSpacing/>
      <w:jc w:val="left"/>
    </w:pPr>
    <w:rPr>
      <w:rFonts w:ascii="Times New Roman" w:eastAsia="Times New Roman" w:hAnsi="Times New Roman" w:cs="Times New Roman"/>
      <w:lang w:val="en-US"/>
    </w:rPr>
  </w:style>
  <w:style w:type="paragraph" w:styleId="TDC5">
    <w:name w:val="toc 5"/>
    <w:basedOn w:val="Normal"/>
    <w:next w:val="Normal"/>
    <w:autoRedefine/>
    <w:uiPriority w:val="39"/>
    <w:unhideWhenUsed/>
    <w:qFormat/>
    <w:rsid w:val="00E42E9F"/>
    <w:pPr>
      <w:spacing w:after="0"/>
      <w:ind w:left="960"/>
      <w:jc w:val="left"/>
    </w:pPr>
    <w:rPr>
      <w:sz w:val="20"/>
      <w:szCs w:val="20"/>
    </w:rPr>
  </w:style>
  <w:style w:type="paragraph" w:styleId="TDC6">
    <w:name w:val="toc 6"/>
    <w:basedOn w:val="Normal"/>
    <w:next w:val="Normal"/>
    <w:autoRedefine/>
    <w:uiPriority w:val="39"/>
    <w:unhideWhenUsed/>
    <w:qFormat/>
    <w:rsid w:val="00E42E9F"/>
    <w:pPr>
      <w:spacing w:after="0"/>
      <w:ind w:left="1200"/>
      <w:jc w:val="left"/>
    </w:pPr>
    <w:rPr>
      <w:sz w:val="20"/>
      <w:szCs w:val="20"/>
    </w:rPr>
  </w:style>
  <w:style w:type="paragraph" w:styleId="TDC7">
    <w:name w:val="toc 7"/>
    <w:basedOn w:val="Normal"/>
    <w:next w:val="Normal"/>
    <w:autoRedefine/>
    <w:uiPriority w:val="39"/>
    <w:unhideWhenUsed/>
    <w:qFormat/>
    <w:rsid w:val="00E42E9F"/>
    <w:pPr>
      <w:spacing w:after="0"/>
      <w:ind w:left="1440"/>
      <w:jc w:val="left"/>
    </w:pPr>
    <w:rPr>
      <w:sz w:val="20"/>
      <w:szCs w:val="20"/>
    </w:rPr>
  </w:style>
  <w:style w:type="paragraph" w:styleId="TDC8">
    <w:name w:val="toc 8"/>
    <w:basedOn w:val="Normal"/>
    <w:next w:val="Normal"/>
    <w:autoRedefine/>
    <w:uiPriority w:val="39"/>
    <w:unhideWhenUsed/>
    <w:qFormat/>
    <w:rsid w:val="00E42E9F"/>
    <w:pPr>
      <w:spacing w:after="0"/>
      <w:ind w:left="1680"/>
      <w:jc w:val="left"/>
    </w:pPr>
    <w:rPr>
      <w:sz w:val="20"/>
      <w:szCs w:val="20"/>
    </w:rPr>
  </w:style>
  <w:style w:type="paragraph" w:styleId="TDC9">
    <w:name w:val="toc 9"/>
    <w:basedOn w:val="Normal"/>
    <w:next w:val="Normal"/>
    <w:autoRedefine/>
    <w:uiPriority w:val="39"/>
    <w:unhideWhenUsed/>
    <w:qFormat/>
    <w:rsid w:val="00E42E9F"/>
    <w:pPr>
      <w:spacing w:after="0"/>
      <w:ind w:left="1920"/>
      <w:jc w:val="left"/>
    </w:pPr>
    <w:rPr>
      <w:sz w:val="20"/>
      <w:szCs w:val="20"/>
    </w:rPr>
  </w:style>
  <w:style w:type="paragraph" w:styleId="HTMLconformatoprevio">
    <w:name w:val="HTML Preformatted"/>
    <w:basedOn w:val="Normal"/>
    <w:link w:val="HTMLconformatoprevioCar"/>
    <w:uiPriority w:val="99"/>
    <w:unhideWhenUsed/>
    <w:rsid w:val="00E42E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Pr>
      <w:rFonts w:ascii="Courier New" w:eastAsia="Times New Roman" w:hAnsi="Courier New" w:cs="Courier New"/>
      <w:sz w:val="20"/>
      <w:szCs w:val="20"/>
      <w:lang w:val="es-GT" w:eastAsia="es-GT"/>
    </w:rPr>
  </w:style>
  <w:style w:type="character" w:customStyle="1" w:styleId="HTMLconformatoprevioCar">
    <w:name w:val="HTML con formato previo Car"/>
    <w:basedOn w:val="Fuentedeprrafopredeter"/>
    <w:link w:val="HTMLconformatoprevio"/>
    <w:uiPriority w:val="99"/>
    <w:rsid w:val="00E42E9F"/>
    <w:rPr>
      <w:rFonts w:ascii="Courier New" w:eastAsia="Times New Roman" w:hAnsi="Courier New" w:cs="Courier New"/>
      <w:sz w:val="20"/>
      <w:szCs w:val="20"/>
      <w:lang w:val="es-GT" w:eastAsia="es-GT"/>
    </w:rPr>
  </w:style>
  <w:style w:type="character" w:styleId="nfasisintenso">
    <w:name w:val="Intense Emphasis"/>
    <w:basedOn w:val="Fuentedeprrafopredeter"/>
    <w:uiPriority w:val="21"/>
    <w:qFormat/>
    <w:rsid w:val="00E42E9F"/>
    <w:rPr>
      <w:b/>
      <w:bCs/>
      <w:i/>
      <w:iCs/>
      <w:color w:val="5B9BD5" w:themeColor="accent1"/>
    </w:rPr>
  </w:style>
  <w:style w:type="paragraph" w:styleId="NormalWeb">
    <w:name w:val="Normal (Web)"/>
    <w:basedOn w:val="Normal"/>
    <w:uiPriority w:val="99"/>
    <w:unhideWhenUsed/>
    <w:rsid w:val="00E42E9F"/>
    <w:pPr>
      <w:spacing w:before="100" w:beforeAutospacing="1" w:after="100" w:afterAutospacing="1"/>
      <w:jc w:val="left"/>
    </w:pPr>
    <w:rPr>
      <w:rFonts w:ascii="Times New Roman" w:eastAsia="Times New Roman" w:hAnsi="Times New Roman" w:cs="Times New Roman"/>
      <w:lang w:val="en-US" w:eastAsia="fr-FR"/>
    </w:rPr>
  </w:style>
  <w:style w:type="paragraph" w:customStyle="1" w:styleId="EglBodyText">
    <w:name w:val="Egl_Body Text"/>
    <w:basedOn w:val="Normal"/>
    <w:link w:val="EglBodyTextChar"/>
    <w:rsid w:val="00E42E9F"/>
    <w:pPr>
      <w:spacing w:before="120"/>
    </w:pPr>
    <w:rPr>
      <w:rFonts w:ascii="Garamond" w:eastAsia="Times New Roman" w:hAnsi="Garamond" w:cs="Times New Roman"/>
      <w:sz w:val="23"/>
      <w:lang w:val="en-US" w:eastAsia="ko-KR"/>
    </w:rPr>
  </w:style>
  <w:style w:type="character" w:customStyle="1" w:styleId="EglBodyTextChar">
    <w:name w:val="Egl_Body Text Char"/>
    <w:link w:val="EglBodyText"/>
    <w:rsid w:val="00E42E9F"/>
    <w:rPr>
      <w:rFonts w:ascii="Garamond" w:eastAsia="Times New Roman" w:hAnsi="Garamond" w:cs="Times New Roman"/>
      <w:sz w:val="23"/>
      <w:szCs w:val="24"/>
      <w:lang w:eastAsia="ko-KR"/>
    </w:rPr>
  </w:style>
  <w:style w:type="paragraph" w:customStyle="1" w:styleId="Prrafobsico">
    <w:name w:val="[Párrafo básico]"/>
    <w:basedOn w:val="Normal"/>
    <w:uiPriority w:val="99"/>
    <w:rsid w:val="00E42E9F"/>
    <w:pPr>
      <w:widowControl w:val="0"/>
      <w:autoSpaceDE w:val="0"/>
      <w:autoSpaceDN w:val="0"/>
      <w:adjustRightInd w:val="0"/>
      <w:spacing w:after="0" w:line="288" w:lineRule="auto"/>
      <w:jc w:val="left"/>
      <w:textAlignment w:val="center"/>
    </w:pPr>
    <w:rPr>
      <w:rFonts w:ascii="MinionPro-Regular" w:hAnsi="MinionPro-Regular" w:cs="MinionPro-Regular"/>
      <w:color w:val="000000"/>
    </w:rPr>
  </w:style>
  <w:style w:type="paragraph" w:customStyle="1" w:styleId="Acronyms">
    <w:name w:val="Acronyms"/>
    <w:basedOn w:val="Normal"/>
    <w:rsid w:val="00E42E9F"/>
    <w:pPr>
      <w:spacing w:before="120" w:after="160"/>
      <w:ind w:left="1440" w:hanging="1440"/>
    </w:pPr>
    <w:rPr>
      <w:rFonts w:ascii="Gill Sans" w:eastAsia="Times New Roman" w:hAnsi="Gill Sans" w:cs="Times New Roman"/>
      <w:szCs w:val="23"/>
      <w:lang w:val="en-US"/>
    </w:rPr>
  </w:style>
  <w:style w:type="character" w:styleId="Hipervnculovisitado">
    <w:name w:val="FollowedHyperlink"/>
    <w:basedOn w:val="Fuentedeprrafopredeter"/>
    <w:uiPriority w:val="99"/>
    <w:unhideWhenUsed/>
    <w:rsid w:val="00E42E9F"/>
    <w:rPr>
      <w:color w:val="800080"/>
      <w:u w:val="single"/>
    </w:rPr>
  </w:style>
  <w:style w:type="paragraph" w:customStyle="1" w:styleId="xl65">
    <w:name w:val="xl65"/>
    <w:basedOn w:val="Normal"/>
    <w:rsid w:val="00E42E9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Narrow" w:eastAsia="Times New Roman" w:hAnsi="Arial Narrow" w:cs="Times New Roman"/>
      <w:b/>
      <w:bCs/>
      <w:sz w:val="18"/>
      <w:szCs w:val="18"/>
      <w:lang w:val="es-GT" w:eastAsia="es-GT"/>
    </w:rPr>
  </w:style>
  <w:style w:type="paragraph" w:customStyle="1" w:styleId="xl66">
    <w:name w:val="xl66"/>
    <w:basedOn w:val="Normal"/>
    <w:rsid w:val="00E42E9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Narrow" w:eastAsia="Times New Roman" w:hAnsi="Arial Narrow" w:cs="Times New Roman"/>
      <w:sz w:val="18"/>
      <w:szCs w:val="18"/>
      <w:lang w:val="es-GT" w:eastAsia="es-GT"/>
    </w:rPr>
  </w:style>
  <w:style w:type="paragraph" w:customStyle="1" w:styleId="xl67">
    <w:name w:val="xl67"/>
    <w:basedOn w:val="Normal"/>
    <w:rsid w:val="00E42E9F"/>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left"/>
      <w:textAlignment w:val="top"/>
    </w:pPr>
    <w:rPr>
      <w:rFonts w:ascii="Arial Narrow" w:eastAsia="Times New Roman" w:hAnsi="Arial Narrow" w:cs="Times New Roman"/>
      <w:sz w:val="18"/>
      <w:szCs w:val="18"/>
      <w:lang w:val="es-GT" w:eastAsia="es-GT"/>
    </w:rPr>
  </w:style>
  <w:style w:type="paragraph" w:customStyle="1" w:styleId="xl68">
    <w:name w:val="xl68"/>
    <w:basedOn w:val="Normal"/>
    <w:rsid w:val="00E42E9F"/>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left"/>
      <w:textAlignment w:val="top"/>
    </w:pPr>
    <w:rPr>
      <w:rFonts w:ascii="Arial Narrow" w:eastAsia="Times New Roman" w:hAnsi="Arial Narrow" w:cs="Times New Roman"/>
      <w:b/>
      <w:bCs/>
      <w:sz w:val="18"/>
      <w:szCs w:val="18"/>
      <w:lang w:val="es-GT" w:eastAsia="es-GT"/>
    </w:rPr>
  </w:style>
  <w:style w:type="paragraph" w:customStyle="1" w:styleId="xl69">
    <w:name w:val="xl69"/>
    <w:basedOn w:val="Normal"/>
    <w:rsid w:val="00E42E9F"/>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jc w:val="center"/>
      <w:textAlignment w:val="center"/>
    </w:pPr>
    <w:rPr>
      <w:rFonts w:ascii="Arial Narrow" w:eastAsia="Times New Roman" w:hAnsi="Arial Narrow" w:cs="Times New Roman"/>
      <w:b/>
      <w:bCs/>
      <w:sz w:val="18"/>
      <w:szCs w:val="18"/>
      <w:lang w:val="es-GT" w:eastAsia="es-GT"/>
    </w:rPr>
  </w:style>
  <w:style w:type="paragraph" w:customStyle="1" w:styleId="xl70">
    <w:name w:val="xl70"/>
    <w:basedOn w:val="Normal"/>
    <w:rsid w:val="00E42E9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left"/>
      <w:textAlignment w:val="top"/>
    </w:pPr>
    <w:rPr>
      <w:rFonts w:ascii="Arial Narrow" w:eastAsia="Times New Roman" w:hAnsi="Arial Narrow" w:cs="Times New Roman"/>
      <w:b/>
      <w:bCs/>
      <w:sz w:val="18"/>
      <w:szCs w:val="18"/>
      <w:lang w:val="es-GT" w:eastAsia="es-GT"/>
    </w:rPr>
  </w:style>
  <w:style w:type="paragraph" w:customStyle="1" w:styleId="xl71">
    <w:name w:val="xl71"/>
    <w:basedOn w:val="Normal"/>
    <w:rsid w:val="00E42E9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eastAsia="Times New Roman" w:hAnsi="Arial Narrow" w:cs="Times New Roman"/>
      <w:b/>
      <w:bCs/>
      <w:sz w:val="18"/>
      <w:szCs w:val="18"/>
      <w:lang w:val="es-GT" w:eastAsia="es-GT"/>
    </w:rPr>
  </w:style>
  <w:style w:type="paragraph" w:customStyle="1" w:styleId="xl72">
    <w:name w:val="xl72"/>
    <w:basedOn w:val="Normal"/>
    <w:rsid w:val="00E42E9F"/>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jc w:val="left"/>
      <w:textAlignment w:val="center"/>
    </w:pPr>
    <w:rPr>
      <w:rFonts w:ascii="Arial Narrow" w:eastAsia="Times New Roman" w:hAnsi="Arial Narrow" w:cs="Times New Roman"/>
      <w:b/>
      <w:bCs/>
      <w:sz w:val="18"/>
      <w:szCs w:val="18"/>
      <w:lang w:val="es-GT" w:eastAsia="es-GT"/>
    </w:rPr>
  </w:style>
  <w:style w:type="paragraph" w:customStyle="1" w:styleId="xl73">
    <w:name w:val="xl73"/>
    <w:basedOn w:val="Normal"/>
    <w:rsid w:val="00E42E9F"/>
    <w:pPr>
      <w:pBdr>
        <w:top w:val="single" w:sz="4" w:space="0" w:color="auto"/>
        <w:left w:val="single" w:sz="4" w:space="0" w:color="auto"/>
        <w:right w:val="single" w:sz="4" w:space="0" w:color="auto"/>
      </w:pBdr>
      <w:shd w:val="clear" w:color="000000" w:fill="92CDDC"/>
      <w:spacing w:before="100" w:beforeAutospacing="1" w:after="100" w:afterAutospacing="1"/>
      <w:jc w:val="center"/>
      <w:textAlignment w:val="center"/>
    </w:pPr>
    <w:rPr>
      <w:rFonts w:ascii="Arial Narrow" w:eastAsia="Times New Roman" w:hAnsi="Arial Narrow" w:cs="Times New Roman"/>
      <w:b/>
      <w:bCs/>
      <w:sz w:val="18"/>
      <w:szCs w:val="18"/>
      <w:lang w:val="es-GT" w:eastAsia="es-GT"/>
    </w:rPr>
  </w:style>
  <w:style w:type="paragraph" w:customStyle="1" w:styleId="xl74">
    <w:name w:val="xl74"/>
    <w:basedOn w:val="Normal"/>
    <w:rsid w:val="00E42E9F"/>
    <w:pPr>
      <w:pBdr>
        <w:left w:val="single" w:sz="4" w:space="0" w:color="auto"/>
        <w:bottom w:val="single" w:sz="4" w:space="0" w:color="auto"/>
        <w:right w:val="single" w:sz="4" w:space="0" w:color="auto"/>
      </w:pBdr>
      <w:shd w:val="clear" w:color="000000" w:fill="92CDDC"/>
      <w:spacing w:before="100" w:beforeAutospacing="1" w:after="100" w:afterAutospacing="1"/>
      <w:jc w:val="center"/>
      <w:textAlignment w:val="center"/>
    </w:pPr>
    <w:rPr>
      <w:rFonts w:ascii="Arial Narrow" w:eastAsia="Times New Roman" w:hAnsi="Arial Narrow" w:cs="Times New Roman"/>
      <w:b/>
      <w:bCs/>
      <w:sz w:val="18"/>
      <w:szCs w:val="18"/>
      <w:lang w:val="es-GT" w:eastAsia="es-GT"/>
    </w:rPr>
  </w:style>
  <w:style w:type="paragraph" w:customStyle="1" w:styleId="xl75">
    <w:name w:val="xl75"/>
    <w:basedOn w:val="Normal"/>
    <w:rsid w:val="00E42E9F"/>
    <w:pPr>
      <w:pBdr>
        <w:top w:val="single" w:sz="4" w:space="0" w:color="auto"/>
        <w:left w:val="single" w:sz="4" w:space="0" w:color="auto"/>
        <w:right w:val="single" w:sz="4" w:space="0" w:color="auto"/>
      </w:pBdr>
      <w:shd w:val="clear" w:color="000000" w:fill="0070C0"/>
      <w:spacing w:before="100" w:beforeAutospacing="1" w:after="100" w:afterAutospacing="1"/>
      <w:jc w:val="center"/>
      <w:textAlignment w:val="center"/>
    </w:pPr>
    <w:rPr>
      <w:rFonts w:ascii="Arial Narrow" w:eastAsia="Times New Roman" w:hAnsi="Arial Narrow" w:cs="Times New Roman"/>
      <w:b/>
      <w:bCs/>
      <w:sz w:val="18"/>
      <w:szCs w:val="18"/>
      <w:lang w:val="es-GT" w:eastAsia="es-GT"/>
    </w:rPr>
  </w:style>
  <w:style w:type="paragraph" w:customStyle="1" w:styleId="xl76">
    <w:name w:val="xl76"/>
    <w:basedOn w:val="Normal"/>
    <w:rsid w:val="00E42E9F"/>
    <w:pPr>
      <w:pBdr>
        <w:left w:val="single" w:sz="4" w:space="0" w:color="auto"/>
        <w:bottom w:val="single" w:sz="4" w:space="0" w:color="auto"/>
        <w:right w:val="single" w:sz="4" w:space="0" w:color="auto"/>
      </w:pBdr>
      <w:shd w:val="clear" w:color="000000" w:fill="0070C0"/>
      <w:spacing w:before="100" w:beforeAutospacing="1" w:after="100" w:afterAutospacing="1"/>
      <w:jc w:val="center"/>
      <w:textAlignment w:val="center"/>
    </w:pPr>
    <w:rPr>
      <w:rFonts w:ascii="Arial Narrow" w:eastAsia="Times New Roman" w:hAnsi="Arial Narrow" w:cs="Times New Roman"/>
      <w:b/>
      <w:bCs/>
      <w:sz w:val="18"/>
      <w:szCs w:val="18"/>
      <w:lang w:val="es-GT" w:eastAsia="es-GT"/>
    </w:rPr>
  </w:style>
  <w:style w:type="paragraph" w:customStyle="1" w:styleId="xl77">
    <w:name w:val="xl77"/>
    <w:basedOn w:val="Normal"/>
    <w:rsid w:val="00E42E9F"/>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Narrow" w:eastAsia="Times New Roman" w:hAnsi="Arial Narrow" w:cs="Times New Roman"/>
      <w:b/>
      <w:bCs/>
      <w:sz w:val="18"/>
      <w:szCs w:val="18"/>
      <w:lang w:val="es-GT" w:eastAsia="es-GT"/>
    </w:rPr>
  </w:style>
  <w:style w:type="paragraph" w:customStyle="1" w:styleId="xl78">
    <w:name w:val="xl78"/>
    <w:basedOn w:val="Normal"/>
    <w:rsid w:val="00E42E9F"/>
    <w:pPr>
      <w:pBdr>
        <w:top w:val="single" w:sz="4" w:space="0" w:color="auto"/>
        <w:bottom w:val="single" w:sz="4" w:space="0" w:color="auto"/>
      </w:pBdr>
      <w:spacing w:before="100" w:beforeAutospacing="1" w:after="100" w:afterAutospacing="1"/>
      <w:jc w:val="center"/>
      <w:textAlignment w:val="center"/>
    </w:pPr>
    <w:rPr>
      <w:rFonts w:ascii="Arial Narrow" w:eastAsia="Times New Roman" w:hAnsi="Arial Narrow" w:cs="Times New Roman"/>
      <w:b/>
      <w:bCs/>
      <w:sz w:val="18"/>
      <w:szCs w:val="18"/>
      <w:lang w:val="es-GT" w:eastAsia="es-GT"/>
    </w:rPr>
  </w:style>
  <w:style w:type="paragraph" w:customStyle="1" w:styleId="xl79">
    <w:name w:val="xl79"/>
    <w:basedOn w:val="Normal"/>
    <w:rsid w:val="00E42E9F"/>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Narrow" w:eastAsia="Times New Roman" w:hAnsi="Arial Narrow" w:cs="Times New Roman"/>
      <w:b/>
      <w:bCs/>
      <w:sz w:val="18"/>
      <w:szCs w:val="18"/>
      <w:lang w:val="es-GT" w:eastAsia="es-GT"/>
    </w:rPr>
  </w:style>
  <w:style w:type="paragraph" w:customStyle="1" w:styleId="xl80">
    <w:name w:val="xl80"/>
    <w:basedOn w:val="Normal"/>
    <w:rsid w:val="00E42E9F"/>
    <w:pPr>
      <w:pBdr>
        <w:top w:val="single" w:sz="4" w:space="0" w:color="auto"/>
        <w:left w:val="single" w:sz="4" w:space="0" w:color="auto"/>
        <w:bottom w:val="single" w:sz="4" w:space="0" w:color="auto"/>
      </w:pBdr>
      <w:spacing w:before="100" w:beforeAutospacing="1" w:after="100" w:afterAutospacing="1"/>
      <w:jc w:val="left"/>
      <w:textAlignment w:val="top"/>
    </w:pPr>
    <w:rPr>
      <w:rFonts w:ascii="Arial Narrow" w:eastAsia="Times New Roman" w:hAnsi="Arial Narrow" w:cs="Times New Roman"/>
      <w:sz w:val="18"/>
      <w:szCs w:val="18"/>
      <w:lang w:val="es-GT" w:eastAsia="es-GT"/>
    </w:rPr>
  </w:style>
  <w:style w:type="paragraph" w:customStyle="1" w:styleId="TitleSecondLine">
    <w:name w:val="Title Second Line"/>
    <w:basedOn w:val="TitleSecondLineCover"/>
    <w:rsid w:val="00E42E9F"/>
    <w:rPr>
      <w:bCs w:val="0"/>
      <w:color w:val="auto"/>
    </w:rPr>
  </w:style>
  <w:style w:type="paragraph" w:customStyle="1" w:styleId="TitleSecondLineCover">
    <w:name w:val="Title Second Line Cover"/>
    <w:basedOn w:val="Normal"/>
    <w:rsid w:val="00E42E9F"/>
    <w:pPr>
      <w:keepNext/>
      <w:keepLines/>
      <w:suppressAutoHyphens/>
      <w:spacing w:before="120"/>
    </w:pPr>
    <w:rPr>
      <w:rFonts w:ascii="Gill Sans" w:eastAsia="Times New Roman" w:hAnsi="Gill Sans" w:cs="Arial"/>
      <w:bCs/>
      <w:caps/>
      <w:color w:val="FFFFFF"/>
      <w:kern w:val="32"/>
      <w:sz w:val="36"/>
      <w:szCs w:val="72"/>
      <w:lang w:val="en-US"/>
    </w:rPr>
  </w:style>
  <w:style w:type="paragraph" w:customStyle="1" w:styleId="Disclaimer">
    <w:name w:val="Disclaimer"/>
    <w:basedOn w:val="Normal"/>
    <w:rsid w:val="00E42E9F"/>
    <w:pPr>
      <w:spacing w:before="120"/>
    </w:pPr>
    <w:rPr>
      <w:rFonts w:ascii="Gill Sans" w:eastAsia="Times New Roman" w:hAnsi="Gill Sans" w:cs="Times New Roman"/>
      <w:sz w:val="18"/>
      <w:lang w:val="en-US"/>
    </w:rPr>
  </w:style>
  <w:style w:type="paragraph" w:customStyle="1" w:styleId="CoverPageText">
    <w:name w:val="Cover Page Text"/>
    <w:basedOn w:val="Normal"/>
    <w:rsid w:val="00E42E9F"/>
    <w:pPr>
      <w:spacing w:before="120" w:after="160"/>
    </w:pPr>
    <w:rPr>
      <w:rFonts w:ascii="Gill Sans" w:eastAsia="Times New Roman" w:hAnsi="Gill Sans" w:cs="Times New Roman"/>
      <w:lang w:val="en-US"/>
    </w:rPr>
  </w:style>
  <w:style w:type="character" w:customStyle="1" w:styleId="A3">
    <w:name w:val="A3"/>
    <w:uiPriority w:val="99"/>
    <w:rsid w:val="00E42E9F"/>
    <w:rPr>
      <w:rFonts w:cs="Myriad Pro Light"/>
      <w:b/>
      <w:bCs/>
      <w:color w:val="000000"/>
      <w:sz w:val="31"/>
      <w:szCs w:val="31"/>
    </w:rPr>
  </w:style>
  <w:style w:type="paragraph" w:customStyle="1" w:styleId="Pa2">
    <w:name w:val="Pa2"/>
    <w:basedOn w:val="Normal"/>
    <w:next w:val="Normal"/>
    <w:uiPriority w:val="99"/>
    <w:rsid w:val="00E42E9F"/>
    <w:pPr>
      <w:autoSpaceDE w:val="0"/>
      <w:autoSpaceDN w:val="0"/>
      <w:adjustRightInd w:val="0"/>
      <w:spacing w:after="0" w:line="241" w:lineRule="atLeast"/>
      <w:jc w:val="left"/>
    </w:pPr>
    <w:rPr>
      <w:rFonts w:ascii="Myriad Pro" w:hAnsi="Myriad Pro" w:cstheme="minorBidi"/>
      <w:lang w:val="es-GT"/>
    </w:rPr>
  </w:style>
  <w:style w:type="character" w:styleId="nfasissutil">
    <w:name w:val="Subtle Emphasis"/>
    <w:basedOn w:val="Fuentedeprrafopredeter"/>
    <w:uiPriority w:val="19"/>
    <w:qFormat/>
    <w:rsid w:val="00E42E9F"/>
    <w:rPr>
      <w:i/>
      <w:iCs/>
      <w:color w:val="808080" w:themeColor="text1" w:themeTint="7F"/>
    </w:rPr>
  </w:style>
  <w:style w:type="paragraph" w:customStyle="1" w:styleId="FirstHeading">
    <w:name w:val="FirstHeading"/>
    <w:basedOn w:val="Normal"/>
    <w:next w:val="Normal"/>
    <w:link w:val="FirstHeadingChar"/>
    <w:rsid w:val="00E42E9F"/>
    <w:pPr>
      <w:keepNext/>
      <w:pBdr>
        <w:right w:val="single" w:sz="4" w:space="4" w:color="auto"/>
      </w:pBdr>
      <w:tabs>
        <w:tab w:val="left" w:pos="0"/>
        <w:tab w:val="left" w:pos="86"/>
      </w:tabs>
      <w:spacing w:before="120" w:after="0"/>
      <w:ind w:left="720" w:hanging="720"/>
      <w:jc w:val="left"/>
    </w:pPr>
    <w:rPr>
      <w:rFonts w:ascii="Garamond" w:eastAsia="Times New Roman" w:hAnsi="Garamond" w:cs="Times New Roman"/>
      <w:b/>
      <w:lang w:val="es-GT" w:eastAsia="en-NZ"/>
    </w:rPr>
  </w:style>
  <w:style w:type="character" w:customStyle="1" w:styleId="FirstHeadingChar">
    <w:name w:val="FirstHeading Char"/>
    <w:basedOn w:val="TextoindependienteCar"/>
    <w:link w:val="FirstHeading"/>
    <w:rsid w:val="00E42E9F"/>
    <w:rPr>
      <w:rFonts w:ascii="Garamond" w:eastAsia="Times New Roman" w:hAnsi="Garamond" w:cs="Times New Roman"/>
      <w:b/>
      <w:sz w:val="24"/>
      <w:szCs w:val="24"/>
      <w:lang w:val="es-GT" w:eastAsia="en-NZ"/>
    </w:rPr>
  </w:style>
  <w:style w:type="paragraph" w:customStyle="1" w:styleId="SecHeading">
    <w:name w:val="SecHeading"/>
    <w:basedOn w:val="Normal"/>
    <w:next w:val="Paragraph"/>
    <w:link w:val="SecHeadingChar"/>
    <w:rsid w:val="00E42E9F"/>
    <w:pPr>
      <w:keepNext/>
      <w:pBdr>
        <w:right w:val="single" w:sz="4" w:space="4" w:color="auto"/>
      </w:pBdr>
      <w:tabs>
        <w:tab w:val="num" w:pos="1296"/>
      </w:tabs>
      <w:spacing w:before="120" w:after="0"/>
      <w:ind w:left="1296" w:hanging="576"/>
      <w:jc w:val="left"/>
    </w:pPr>
    <w:rPr>
      <w:rFonts w:ascii="Garamond" w:eastAsia="Times New Roman" w:hAnsi="Garamond" w:cs="Times New Roman"/>
      <w:b/>
      <w:lang w:val="es-GT" w:eastAsia="en-NZ"/>
    </w:rPr>
  </w:style>
  <w:style w:type="character" w:customStyle="1" w:styleId="SecHeadingChar">
    <w:name w:val="SecHeading Char"/>
    <w:basedOn w:val="TextoindependienteCar"/>
    <w:link w:val="SecHeading"/>
    <w:rsid w:val="00E42E9F"/>
    <w:rPr>
      <w:rFonts w:ascii="Garamond" w:eastAsia="Times New Roman" w:hAnsi="Garamond" w:cs="Times New Roman"/>
      <w:b/>
      <w:sz w:val="24"/>
      <w:szCs w:val="24"/>
      <w:lang w:val="es-GT" w:eastAsia="en-NZ"/>
    </w:rPr>
  </w:style>
  <w:style w:type="paragraph" w:customStyle="1" w:styleId="SubHeading1">
    <w:name w:val="SubHeading1"/>
    <w:basedOn w:val="SecHeading"/>
    <w:link w:val="SubHeading1Char"/>
    <w:rsid w:val="00E42E9F"/>
    <w:pPr>
      <w:tabs>
        <w:tab w:val="clear" w:pos="1296"/>
        <w:tab w:val="num" w:pos="1872"/>
      </w:tabs>
      <w:spacing w:after="120"/>
      <w:ind w:left="1872"/>
    </w:pPr>
    <w:rPr>
      <w:rFonts w:ascii="Times New Roman" w:hAnsi="Times New Roman"/>
    </w:rPr>
  </w:style>
  <w:style w:type="character" w:customStyle="1" w:styleId="SubHeading1Char">
    <w:name w:val="SubHeading1 Char"/>
    <w:basedOn w:val="TextoindependienteCar"/>
    <w:link w:val="SubHeading1"/>
    <w:rsid w:val="00E42E9F"/>
    <w:rPr>
      <w:rFonts w:ascii="Times New Roman" w:eastAsia="Times New Roman" w:hAnsi="Times New Roman" w:cs="Times New Roman"/>
      <w:b/>
      <w:sz w:val="24"/>
      <w:szCs w:val="24"/>
      <w:lang w:val="es-GT" w:eastAsia="en-NZ"/>
    </w:rPr>
  </w:style>
  <w:style w:type="paragraph" w:customStyle="1" w:styleId="Subheading2">
    <w:name w:val="Subheading2"/>
    <w:basedOn w:val="SecHeading"/>
    <w:link w:val="Subheading2Char"/>
    <w:rsid w:val="00E42E9F"/>
    <w:pPr>
      <w:tabs>
        <w:tab w:val="clear" w:pos="1296"/>
        <w:tab w:val="num" w:pos="2376"/>
      </w:tabs>
      <w:spacing w:after="120"/>
      <w:ind w:left="2376" w:hanging="288"/>
    </w:pPr>
    <w:rPr>
      <w:rFonts w:ascii="Times New Roman" w:hAnsi="Times New Roman"/>
    </w:rPr>
  </w:style>
  <w:style w:type="character" w:customStyle="1" w:styleId="Subheading2Char">
    <w:name w:val="Subheading2 Char"/>
    <w:basedOn w:val="TextoindependienteCar"/>
    <w:link w:val="Subheading2"/>
    <w:rsid w:val="00E42E9F"/>
    <w:rPr>
      <w:rFonts w:ascii="Times New Roman" w:eastAsia="Times New Roman" w:hAnsi="Times New Roman" w:cs="Times New Roman"/>
      <w:b/>
      <w:sz w:val="24"/>
      <w:szCs w:val="24"/>
      <w:lang w:val="es-GT" w:eastAsia="en-NZ"/>
    </w:rPr>
  </w:style>
  <w:style w:type="paragraph" w:customStyle="1" w:styleId="SubSubPar">
    <w:name w:val="SubSubPar"/>
    <w:basedOn w:val="subpar"/>
    <w:link w:val="SubSubParChar"/>
    <w:rsid w:val="00E42E9F"/>
    <w:pPr>
      <w:pBdr>
        <w:right w:val="single" w:sz="4" w:space="4" w:color="auto"/>
      </w:pBdr>
      <w:tabs>
        <w:tab w:val="left" w:pos="0"/>
        <w:tab w:val="num" w:pos="1296"/>
      </w:tabs>
      <w:ind w:left="1296" w:hanging="288"/>
    </w:pPr>
    <w:rPr>
      <w:rFonts w:ascii="Garamond" w:hAnsi="Garamond"/>
      <w:szCs w:val="24"/>
      <w:lang w:eastAsia="en-NZ"/>
    </w:rPr>
  </w:style>
  <w:style w:type="character" w:customStyle="1" w:styleId="SubSubParChar">
    <w:name w:val="SubSubPar Char"/>
    <w:basedOn w:val="TextoindependienteCar"/>
    <w:link w:val="SubSubPar"/>
    <w:rsid w:val="00E42E9F"/>
    <w:rPr>
      <w:rFonts w:ascii="Garamond" w:eastAsia="Times New Roman" w:hAnsi="Garamond" w:cs="Times New Roman"/>
      <w:sz w:val="24"/>
      <w:szCs w:val="24"/>
      <w:lang w:val="es-ES_tradnl" w:eastAsia="en-NZ"/>
    </w:rPr>
  </w:style>
  <w:style w:type="paragraph" w:customStyle="1" w:styleId="Regtable">
    <w:name w:val="Regtable"/>
    <w:basedOn w:val="Normal"/>
    <w:link w:val="RegtableChar"/>
    <w:rsid w:val="00E42E9F"/>
    <w:pPr>
      <w:keepLines/>
      <w:framePr w:wrap="around" w:vAnchor="text" w:hAnchor="text" w:y="1"/>
      <w:tabs>
        <w:tab w:val="left" w:pos="284"/>
        <w:tab w:val="left" w:pos="567"/>
      </w:tabs>
      <w:spacing w:before="20" w:after="20"/>
      <w:jc w:val="left"/>
    </w:pPr>
    <w:rPr>
      <w:rFonts w:ascii="Garamond" w:eastAsia="Times New Roman" w:hAnsi="Garamond" w:cs="Times New Roman"/>
      <w:lang w:val="es-GT" w:eastAsia="en-NZ"/>
    </w:rPr>
  </w:style>
  <w:style w:type="character" w:customStyle="1" w:styleId="RegtableChar">
    <w:name w:val="Regtable Char"/>
    <w:basedOn w:val="TextoindependienteCar"/>
    <w:link w:val="Regtable"/>
    <w:rsid w:val="00E42E9F"/>
    <w:rPr>
      <w:rFonts w:ascii="Garamond" w:eastAsia="Times New Roman" w:hAnsi="Garamond" w:cs="Times New Roman"/>
      <w:sz w:val="24"/>
      <w:szCs w:val="24"/>
      <w:lang w:val="es-GT" w:eastAsia="en-NZ"/>
    </w:rPr>
  </w:style>
  <w:style w:type="paragraph" w:customStyle="1" w:styleId="TableTitle">
    <w:name w:val="TableTitle"/>
    <w:basedOn w:val="Normal"/>
    <w:link w:val="TableTitleChar"/>
    <w:rsid w:val="00E42E9F"/>
    <w:pPr>
      <w:keepNext/>
      <w:framePr w:wrap="around" w:vAnchor="text" w:hAnchor="text" w:y="1"/>
      <w:tabs>
        <w:tab w:val="left" w:pos="284"/>
        <w:tab w:val="left" w:pos="567"/>
      </w:tabs>
      <w:spacing w:before="20" w:after="20"/>
      <w:jc w:val="center"/>
    </w:pPr>
    <w:rPr>
      <w:rFonts w:ascii="Times New Roman Bold" w:eastAsia="Times New Roman" w:hAnsi="Times New Roman Bold" w:cs="Times New Roman"/>
      <w:b/>
      <w:spacing w:val="-3"/>
      <w:lang w:val="es-GT" w:eastAsia="en-NZ"/>
    </w:rPr>
  </w:style>
  <w:style w:type="character" w:customStyle="1" w:styleId="TableTitleChar">
    <w:name w:val="TableTitle Char"/>
    <w:basedOn w:val="TextoindependienteCar"/>
    <w:link w:val="TableTitle"/>
    <w:rsid w:val="00E42E9F"/>
    <w:rPr>
      <w:rFonts w:ascii="Times New Roman Bold" w:eastAsia="Times New Roman" w:hAnsi="Times New Roman Bold" w:cs="Times New Roman"/>
      <w:b/>
      <w:spacing w:val="-3"/>
      <w:sz w:val="24"/>
      <w:szCs w:val="24"/>
      <w:lang w:val="es-GT" w:eastAsia="en-NZ"/>
    </w:rPr>
  </w:style>
  <w:style w:type="character" w:customStyle="1" w:styleId="st">
    <w:name w:val="st"/>
    <w:basedOn w:val="Fuentedeprrafopredeter"/>
    <w:rsid w:val="00E42E9F"/>
  </w:style>
  <w:style w:type="character" w:customStyle="1" w:styleId="apple-converted-space">
    <w:name w:val="apple-converted-space"/>
    <w:basedOn w:val="Fuentedeprrafopredeter"/>
    <w:rsid w:val="00E42E9F"/>
  </w:style>
  <w:style w:type="table" w:styleId="Listaclara-nfasis3">
    <w:name w:val="Light List Accent 3"/>
    <w:basedOn w:val="Tablanormal"/>
    <w:uiPriority w:val="61"/>
    <w:rsid w:val="00E42E9F"/>
    <w:pPr>
      <w:spacing w:after="0" w:line="240" w:lineRule="auto"/>
    </w:pPr>
    <w:rPr>
      <w:lang w:val="es-GT"/>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staclara-nfasis1">
    <w:name w:val="Light List Accent 1"/>
    <w:basedOn w:val="Tablanormal"/>
    <w:uiPriority w:val="61"/>
    <w:rsid w:val="00E42E9F"/>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styleId="Textoennegrita">
    <w:name w:val="Strong"/>
    <w:basedOn w:val="Fuentedeprrafopredeter"/>
    <w:uiPriority w:val="22"/>
    <w:qFormat/>
    <w:rsid w:val="00E42E9F"/>
    <w:rPr>
      <w:b/>
      <w:bCs/>
    </w:rPr>
  </w:style>
  <w:style w:type="paragraph" w:customStyle="1" w:styleId="Outline3">
    <w:name w:val="Outline3"/>
    <w:basedOn w:val="Normal"/>
    <w:rsid w:val="00E42E9F"/>
    <w:pPr>
      <w:tabs>
        <w:tab w:val="num" w:pos="1368"/>
      </w:tabs>
      <w:spacing w:before="240" w:after="0"/>
      <w:ind w:left="1368" w:hanging="504"/>
    </w:pPr>
    <w:rPr>
      <w:rFonts w:eastAsia="Times New Roman" w:cs="Times New Roman"/>
      <w:kern w:val="28"/>
      <w:szCs w:val="20"/>
      <w:lang w:val="en-US"/>
    </w:rPr>
  </w:style>
  <w:style w:type="paragraph" w:customStyle="1" w:styleId="Outline4">
    <w:name w:val="Outline4"/>
    <w:basedOn w:val="Normal"/>
    <w:rsid w:val="00E42E9F"/>
    <w:pPr>
      <w:tabs>
        <w:tab w:val="num" w:pos="1872"/>
      </w:tabs>
      <w:spacing w:before="240" w:after="0"/>
      <w:ind w:left="1872" w:hanging="504"/>
    </w:pPr>
    <w:rPr>
      <w:rFonts w:eastAsia="Times New Roman" w:cs="Times New Roman"/>
      <w:kern w:val="28"/>
      <w:szCs w:val="20"/>
      <w:lang w:val="en-US"/>
    </w:rPr>
  </w:style>
  <w:style w:type="paragraph" w:customStyle="1" w:styleId="lead2">
    <w:name w:val="lead2"/>
    <w:basedOn w:val="Normal"/>
    <w:rsid w:val="00E42E9F"/>
    <w:pPr>
      <w:widowControl w:val="0"/>
      <w:overflowPunct w:val="0"/>
      <w:autoSpaceDE w:val="0"/>
      <w:autoSpaceDN w:val="0"/>
      <w:adjustRightInd w:val="0"/>
      <w:spacing w:after="0"/>
      <w:textAlignment w:val="baseline"/>
    </w:pPr>
    <w:rPr>
      <w:rFonts w:ascii="Arial" w:eastAsia="Times New Roman" w:hAnsi="Arial" w:cs="Times New Roman"/>
      <w:sz w:val="20"/>
      <w:szCs w:val="20"/>
      <w:lang w:val="en-US" w:eastAsia="nl-NL"/>
    </w:rPr>
  </w:style>
  <w:style w:type="paragraph" w:customStyle="1" w:styleId="p7">
    <w:name w:val="p7"/>
    <w:basedOn w:val="Normal"/>
    <w:rsid w:val="00E42E9F"/>
    <w:pPr>
      <w:widowControl w:val="0"/>
      <w:tabs>
        <w:tab w:val="left" w:pos="5000"/>
      </w:tabs>
      <w:overflowPunct w:val="0"/>
      <w:autoSpaceDE w:val="0"/>
      <w:autoSpaceDN w:val="0"/>
      <w:adjustRightInd w:val="0"/>
      <w:spacing w:after="0" w:line="240" w:lineRule="atLeast"/>
      <w:ind w:left="3532"/>
      <w:textAlignment w:val="baseline"/>
    </w:pPr>
    <w:rPr>
      <w:rFonts w:eastAsia="Times New Roman" w:cs="Times New Roman"/>
      <w:szCs w:val="20"/>
      <w:lang w:val="en-US"/>
    </w:rPr>
  </w:style>
  <w:style w:type="character" w:customStyle="1" w:styleId="SangradetextonormalCar1">
    <w:name w:val="Sangría de texto normal Car1"/>
    <w:basedOn w:val="Fuentedeprrafopredeter"/>
    <w:semiHidden/>
    <w:rsid w:val="00E42E9F"/>
    <w:rPr>
      <w:rFonts w:eastAsia="Times New Roman" w:cs="Times New Roman"/>
      <w:sz w:val="22"/>
      <w:lang w:val="en-US"/>
    </w:rPr>
  </w:style>
  <w:style w:type="character" w:customStyle="1" w:styleId="AsuntodelcomentarioCar1">
    <w:name w:val="Asunto del comentario Car1"/>
    <w:basedOn w:val="TextocomentarioCar"/>
    <w:semiHidden/>
    <w:rsid w:val="00E42E9F"/>
    <w:rPr>
      <w:rFonts w:ascii="Garamond" w:eastAsia="Times New Roman" w:hAnsi="Garamond" w:cs="Times New Roman"/>
      <w:b/>
      <w:bCs/>
      <w:sz w:val="20"/>
      <w:szCs w:val="20"/>
      <w:lang w:val="en-US" w:eastAsia="en-NZ"/>
    </w:rPr>
  </w:style>
  <w:style w:type="table" w:customStyle="1" w:styleId="RegTableSpecial">
    <w:name w:val="RegTableSpecial"/>
    <w:basedOn w:val="Tablanormal"/>
    <w:rsid w:val="00E42E9F"/>
    <w:pPr>
      <w:keepNext/>
      <w:spacing w:after="0" w:line="240" w:lineRule="auto"/>
    </w:pPr>
    <w:rPr>
      <w:rFonts w:ascii="Times New Roman" w:eastAsia="MS Mincho" w:hAnsi="Times New Roman" w:cs="Times New Roman"/>
      <w:sz w:val="20"/>
      <w:szCs w:val="20"/>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tblStylePr w:type="firstRow">
      <w:pPr>
        <w:wordWrap/>
        <w:spacing w:beforeLines="0" w:before="40" w:beforeAutospacing="0" w:afterLines="0" w:after="40" w:afterAutospacing="0"/>
        <w:jc w:val="center"/>
      </w:pPr>
      <w:rPr>
        <w:b/>
      </w:rPr>
      <w:tblPr/>
      <w:tcPr>
        <w:shd w:val="clear" w:color="auto" w:fill="D9D9D9"/>
        <w:vAlign w:val="center"/>
      </w:tcPr>
    </w:tblStylePr>
    <w:tblStylePr w:type="lastRow">
      <w:pPr>
        <w:keepNext w:val="0"/>
        <w:wordWrap/>
      </w:pPr>
    </w:tblStylePr>
    <w:tblStylePr w:type="firstCol">
      <w:pPr>
        <w:wordWrap/>
        <w:spacing w:beforeLines="0" w:before="20" w:beforeAutospacing="0" w:afterLines="0" w:after="20" w:afterAutospacing="0"/>
        <w:jc w:val="center"/>
      </w:pPr>
      <w:rPr>
        <w:b/>
      </w:rPr>
      <w:tblPr/>
      <w:tcPr>
        <w:shd w:val="clear" w:color="auto" w:fill="D9D9D9"/>
      </w:tcPr>
    </w:tblStylePr>
  </w:style>
  <w:style w:type="paragraph" w:customStyle="1" w:styleId="textbox">
    <w:name w:val="textbox"/>
    <w:basedOn w:val="Normal"/>
    <w:rsid w:val="00E42E9F"/>
    <w:pPr>
      <w:spacing w:before="100" w:beforeAutospacing="1" w:after="100" w:afterAutospacing="1"/>
    </w:pPr>
    <w:rPr>
      <w:rFonts w:eastAsia="Times New Roman" w:cs="Times New Roman"/>
      <w:lang w:val="en-US"/>
    </w:rPr>
  </w:style>
  <w:style w:type="character" w:customStyle="1" w:styleId="DescripcinCar">
    <w:name w:val="Descripción Car"/>
    <w:aliases w:val="Epígrafe Anglo Car,Carácter Carácter Car,Char Char Char Char Car,Char Char Char Char Char Char Char Car,C... Car,Char Char Char Car,Char Char Char Char Char Char Car,Caption1 Car,Caption Char Char Char Char Char Char Char Char Char Car"/>
    <w:basedOn w:val="Fuentedeprrafopredeter"/>
    <w:link w:val="Descripcin"/>
    <w:uiPriority w:val="35"/>
    <w:rsid w:val="00E42E9F"/>
    <w:rPr>
      <w:rFonts w:cstheme="minorHAnsi"/>
      <w:i/>
      <w:iCs/>
      <w:color w:val="44546A" w:themeColor="text2"/>
      <w:sz w:val="18"/>
      <w:szCs w:val="18"/>
      <w:lang w:val="es-ES_tradnl" w:eastAsia="es-DO"/>
    </w:rPr>
  </w:style>
  <w:style w:type="paragraph" w:customStyle="1" w:styleId="Aparrafopunteo">
    <w:name w:val="A_parrafo_punteo"/>
    <w:basedOn w:val="Prrafodelista"/>
    <w:qFormat/>
    <w:rsid w:val="0039610A"/>
    <w:pPr>
      <w:numPr>
        <w:numId w:val="36"/>
      </w:numPr>
      <w:spacing w:after="0" w:line="240" w:lineRule="auto"/>
      <w:contextualSpacing w:val="0"/>
    </w:pPr>
    <w:rPr>
      <w:rFonts w:eastAsiaTheme="minorEastAsia" w:cstheme="minorBidi"/>
      <w:lang w:val="es-ES"/>
    </w:rPr>
  </w:style>
  <w:style w:type="paragraph" w:customStyle="1" w:styleId="asudaustralINDICEFIGURA">
    <w:name w:val="a_sudaustral_INDICE_FIGURA"/>
    <w:basedOn w:val="Normal"/>
    <w:rsid w:val="00E42E9F"/>
    <w:pPr>
      <w:pBdr>
        <w:top w:val="single" w:sz="4" w:space="1" w:color="00000A"/>
        <w:bottom w:val="single" w:sz="4" w:space="1" w:color="00000A"/>
      </w:pBdr>
      <w:spacing w:line="276" w:lineRule="auto"/>
      <w:ind w:left="993" w:hanging="993"/>
    </w:pPr>
    <w:rPr>
      <w:rFonts w:eastAsia="Calibri" w:cs="Times New Roman"/>
      <w:i/>
      <w:iCs/>
      <w:smallCaps/>
      <w:color w:val="00000A"/>
      <w:sz w:val="18"/>
      <w:szCs w:val="20"/>
      <w:lang w:val="es-HN"/>
    </w:rPr>
  </w:style>
  <w:style w:type="character" w:customStyle="1" w:styleId="hps">
    <w:name w:val="hps"/>
    <w:basedOn w:val="Fuentedeprrafopredeter"/>
    <w:rsid w:val="00E42E9F"/>
  </w:style>
  <w:style w:type="paragraph" w:customStyle="1" w:styleId="TableParagraph">
    <w:name w:val="Table Paragraph"/>
    <w:basedOn w:val="Normal"/>
    <w:uiPriority w:val="1"/>
    <w:qFormat/>
    <w:rsid w:val="00E42E9F"/>
    <w:pPr>
      <w:widowControl w:val="0"/>
      <w:autoSpaceDE w:val="0"/>
      <w:autoSpaceDN w:val="0"/>
      <w:spacing w:after="0"/>
    </w:pPr>
    <w:rPr>
      <w:rFonts w:ascii="Calibri" w:eastAsia="Calibri" w:hAnsi="Calibri" w:cs="Times New Roman"/>
      <w:lang w:val="gl" w:eastAsia="gl"/>
    </w:rPr>
  </w:style>
  <w:style w:type="table" w:styleId="Sombreadoclaro-nfasis1">
    <w:name w:val="Light Shading Accent 1"/>
    <w:basedOn w:val="Tablanormal"/>
    <w:uiPriority w:val="60"/>
    <w:rsid w:val="00E42E9F"/>
    <w:pPr>
      <w:spacing w:after="0" w:line="240" w:lineRule="auto"/>
    </w:pPr>
    <w:rPr>
      <w:rFonts w:eastAsiaTheme="minorEastAsia"/>
      <w:color w:val="2E74B5" w:themeColor="accent1" w:themeShade="BF"/>
      <w:sz w:val="24"/>
      <w:szCs w:val="24"/>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Sombreadoclaro-nfasis3">
    <w:name w:val="Light Shading Accent 3"/>
    <w:basedOn w:val="Tablanormal"/>
    <w:uiPriority w:val="60"/>
    <w:rsid w:val="00E42E9F"/>
    <w:pPr>
      <w:spacing w:after="0" w:line="240" w:lineRule="auto"/>
    </w:pPr>
    <w:rPr>
      <w:rFonts w:eastAsiaTheme="minorEastAsia"/>
      <w:color w:val="7B7B7B" w:themeColor="accent3" w:themeShade="BF"/>
      <w:sz w:val="24"/>
      <w:szCs w:val="24"/>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TableNormal1">
    <w:name w:val="Table Normal1"/>
    <w:uiPriority w:val="2"/>
    <w:semiHidden/>
    <w:unhideWhenUsed/>
    <w:qFormat/>
    <w:rsid w:val="00E42E9F"/>
    <w:pPr>
      <w:widowControl w:val="0"/>
      <w:autoSpaceDE w:val="0"/>
      <w:autoSpaceDN w:val="0"/>
      <w:spacing w:after="0" w:line="240" w:lineRule="auto"/>
    </w:pPr>
    <w:tblPr>
      <w:tblInd w:w="0" w:type="dxa"/>
      <w:tblCellMar>
        <w:top w:w="0" w:type="dxa"/>
        <w:left w:w="0" w:type="dxa"/>
        <w:bottom w:w="0" w:type="dxa"/>
        <w:right w:w="0" w:type="dxa"/>
      </w:tblCellMar>
    </w:tblPr>
  </w:style>
  <w:style w:type="paragraph" w:styleId="Subttulo">
    <w:name w:val="Subtitle"/>
    <w:basedOn w:val="Normal"/>
    <w:next w:val="Normal"/>
    <w:link w:val="SubttuloCar"/>
    <w:uiPriority w:val="11"/>
    <w:qFormat/>
    <w:rsid w:val="00E42E9F"/>
    <w:pPr>
      <w:numPr>
        <w:ilvl w:val="1"/>
      </w:numPr>
      <w:spacing w:after="160"/>
    </w:pPr>
    <w:rPr>
      <w:rFonts w:eastAsiaTheme="minorEastAsia" w:cstheme="minorBidi"/>
      <w:color w:val="5A5A5A" w:themeColor="text1" w:themeTint="A5"/>
      <w:spacing w:val="15"/>
      <w:lang w:val="en-US"/>
    </w:rPr>
  </w:style>
  <w:style w:type="character" w:customStyle="1" w:styleId="SubttuloCar">
    <w:name w:val="Subtítulo Car"/>
    <w:basedOn w:val="Fuentedeprrafopredeter"/>
    <w:link w:val="Subttulo"/>
    <w:uiPriority w:val="11"/>
    <w:rsid w:val="00E42E9F"/>
    <w:rPr>
      <w:rFonts w:eastAsiaTheme="minorEastAsia"/>
      <w:color w:val="5A5A5A" w:themeColor="text1" w:themeTint="A5"/>
      <w:spacing w:val="15"/>
    </w:rPr>
  </w:style>
  <w:style w:type="table" w:customStyle="1" w:styleId="ListTable3-Accent31">
    <w:name w:val="List Table 3 - Accent 31"/>
    <w:basedOn w:val="Tablanormal"/>
    <w:uiPriority w:val="48"/>
    <w:rsid w:val="00E42E9F"/>
    <w:pPr>
      <w:spacing w:after="0" w:line="240" w:lineRule="auto"/>
    </w:pPr>
    <w:rPr>
      <w:rFonts w:eastAsiaTheme="minorEastAsia"/>
      <w:lang w:val="es-ES" w:eastAsia="ja-JP"/>
    </w:r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customStyle="1" w:styleId="TableGridLight1">
    <w:name w:val="Table Grid Light1"/>
    <w:basedOn w:val="Tablanormal"/>
    <w:uiPriority w:val="40"/>
    <w:rsid w:val="00E42E9F"/>
    <w:pPr>
      <w:spacing w:after="0" w:line="240" w:lineRule="auto"/>
    </w:pPr>
    <w:rPr>
      <w:rFonts w:ascii="Times New Roman" w:eastAsia="Times New Roman" w:hAnsi="Times New Roman" w:cs="Times New Roman"/>
      <w:sz w:val="20"/>
      <w:szCs w:val="20"/>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Outline2">
    <w:name w:val="Outline2"/>
    <w:basedOn w:val="Normal"/>
    <w:rsid w:val="00E42E9F"/>
    <w:pPr>
      <w:tabs>
        <w:tab w:val="num" w:pos="864"/>
      </w:tabs>
      <w:spacing w:before="240" w:after="0"/>
      <w:ind w:left="864" w:hanging="504"/>
    </w:pPr>
    <w:rPr>
      <w:rFonts w:eastAsia="Times New Roman" w:cs="Times New Roman"/>
      <w:kern w:val="28"/>
      <w:szCs w:val="20"/>
      <w:lang w:val="en-US"/>
    </w:rPr>
  </w:style>
  <w:style w:type="paragraph" w:customStyle="1" w:styleId="Block">
    <w:name w:val="Block"/>
    <w:basedOn w:val="Normal"/>
    <w:rsid w:val="00E42E9F"/>
    <w:pPr>
      <w:widowControl w:val="0"/>
      <w:spacing w:after="0"/>
    </w:pPr>
    <w:rPr>
      <w:rFonts w:eastAsia="Times New Roman" w:cs="Times New Roman"/>
      <w:b/>
      <w:szCs w:val="20"/>
      <w:lang w:val="en-US"/>
    </w:rPr>
  </w:style>
  <w:style w:type="paragraph" w:customStyle="1" w:styleId="p8">
    <w:name w:val="p8"/>
    <w:basedOn w:val="Normal"/>
    <w:rsid w:val="00E42E9F"/>
    <w:pPr>
      <w:widowControl w:val="0"/>
      <w:tabs>
        <w:tab w:val="left" w:pos="323"/>
      </w:tabs>
      <w:overflowPunct w:val="0"/>
      <w:autoSpaceDE w:val="0"/>
      <w:autoSpaceDN w:val="0"/>
      <w:adjustRightInd w:val="0"/>
      <w:spacing w:after="0" w:line="240" w:lineRule="atLeast"/>
      <w:ind w:left="1145" w:hanging="323"/>
      <w:textAlignment w:val="baseline"/>
    </w:pPr>
    <w:rPr>
      <w:rFonts w:eastAsia="Times New Roman" w:cs="Times New Roman"/>
      <w:sz w:val="20"/>
      <w:szCs w:val="20"/>
      <w:lang w:val="en-US"/>
    </w:rPr>
  </w:style>
  <w:style w:type="paragraph" w:customStyle="1" w:styleId="p5">
    <w:name w:val="p5"/>
    <w:basedOn w:val="Normal"/>
    <w:rsid w:val="00E42E9F"/>
    <w:pPr>
      <w:widowControl w:val="0"/>
      <w:tabs>
        <w:tab w:val="left" w:pos="204"/>
      </w:tabs>
      <w:overflowPunct w:val="0"/>
      <w:autoSpaceDE w:val="0"/>
      <w:autoSpaceDN w:val="0"/>
      <w:adjustRightInd w:val="0"/>
      <w:spacing w:after="0" w:line="240" w:lineRule="atLeast"/>
      <w:textAlignment w:val="baseline"/>
    </w:pPr>
    <w:rPr>
      <w:rFonts w:eastAsia="Times New Roman" w:cs="Times New Roman"/>
      <w:sz w:val="20"/>
      <w:szCs w:val="20"/>
      <w:lang w:val="en-US"/>
    </w:rPr>
  </w:style>
  <w:style w:type="paragraph" w:styleId="Textodebloque">
    <w:name w:val="Block Text"/>
    <w:basedOn w:val="Normal"/>
    <w:rsid w:val="00E42E9F"/>
    <w:pPr>
      <w:spacing w:before="120" w:after="0"/>
      <w:ind w:left="120" w:right="410"/>
    </w:pPr>
    <w:rPr>
      <w:rFonts w:ascii="Arial" w:eastAsia="Times New Roman" w:hAnsi="Arial" w:cs="Arial"/>
      <w:color w:val="0000FF"/>
      <w:sz w:val="20"/>
      <w:lang w:val="en-GB"/>
    </w:rPr>
  </w:style>
  <w:style w:type="character" w:customStyle="1" w:styleId="texto11">
    <w:name w:val="texto11"/>
    <w:rsid w:val="00E42E9F"/>
    <w:rPr>
      <w:rFonts w:ascii="Arial" w:hAnsi="Arial" w:cs="Arial" w:hint="default"/>
      <w:b w:val="0"/>
      <w:bCs w:val="0"/>
      <w:i w:val="0"/>
      <w:iCs w:val="0"/>
      <w:caps w:val="0"/>
      <w:color w:val="000000"/>
      <w:sz w:val="20"/>
      <w:szCs w:val="20"/>
    </w:rPr>
  </w:style>
  <w:style w:type="paragraph" w:customStyle="1" w:styleId="RegSectionLevel1">
    <w:name w:val="RegSectionLevel1"/>
    <w:basedOn w:val="Normal"/>
    <w:rsid w:val="00E42E9F"/>
    <w:pPr>
      <w:keepNext/>
      <w:numPr>
        <w:numId w:val="12"/>
      </w:numPr>
      <w:spacing w:before="120" w:after="0"/>
      <w:outlineLvl w:val="0"/>
    </w:pPr>
    <w:rPr>
      <w:rFonts w:eastAsia="MS Mincho" w:cs="Times New Roman"/>
      <w:b/>
      <w:szCs w:val="20"/>
      <w:lang w:val="en-GB"/>
    </w:rPr>
  </w:style>
  <w:style w:type="paragraph" w:customStyle="1" w:styleId="RegSectionLevel2">
    <w:name w:val="RegSectionLevel2"/>
    <w:basedOn w:val="Normal"/>
    <w:rsid w:val="00E42E9F"/>
    <w:pPr>
      <w:keepNext/>
      <w:numPr>
        <w:ilvl w:val="1"/>
        <w:numId w:val="12"/>
      </w:numPr>
      <w:spacing w:after="0"/>
    </w:pPr>
    <w:rPr>
      <w:rFonts w:eastAsia="MS Mincho" w:cs="Times New Roman"/>
      <w:b/>
      <w:lang w:val="en-GB" w:eastAsia="de-DE"/>
    </w:rPr>
  </w:style>
  <w:style w:type="paragraph" w:customStyle="1" w:styleId="RegSectionLevel3">
    <w:name w:val="RegSectionLevel3"/>
    <w:basedOn w:val="Normal"/>
    <w:rsid w:val="00E42E9F"/>
    <w:pPr>
      <w:keepNext/>
      <w:numPr>
        <w:ilvl w:val="2"/>
        <w:numId w:val="12"/>
      </w:numPr>
      <w:autoSpaceDE w:val="0"/>
      <w:autoSpaceDN w:val="0"/>
      <w:adjustRightInd w:val="0"/>
      <w:spacing w:after="0"/>
    </w:pPr>
    <w:rPr>
      <w:rFonts w:eastAsia="MS Mincho" w:cs="Times New Roman"/>
      <w:b/>
      <w:bCs/>
      <w:lang w:val="en-US" w:eastAsia="de-DE"/>
    </w:rPr>
  </w:style>
  <w:style w:type="paragraph" w:customStyle="1" w:styleId="RegSectionLevel4">
    <w:name w:val="RegSectionLevel4"/>
    <w:basedOn w:val="Normal"/>
    <w:rsid w:val="00E42E9F"/>
    <w:pPr>
      <w:keepNext/>
      <w:numPr>
        <w:ilvl w:val="3"/>
        <w:numId w:val="12"/>
      </w:numPr>
    </w:pPr>
    <w:rPr>
      <w:rFonts w:eastAsia="MS Mincho" w:cs="Times New Roman"/>
      <w:b/>
      <w:szCs w:val="20"/>
      <w:lang w:val="en-GB" w:eastAsia="de-DE"/>
    </w:rPr>
  </w:style>
  <w:style w:type="paragraph" w:customStyle="1" w:styleId="RegSectionLevel5">
    <w:name w:val="RegSectionLevel5"/>
    <w:basedOn w:val="Normal"/>
    <w:rsid w:val="00E42E9F"/>
    <w:pPr>
      <w:keepNext/>
      <w:numPr>
        <w:ilvl w:val="4"/>
        <w:numId w:val="12"/>
      </w:numPr>
    </w:pPr>
    <w:rPr>
      <w:rFonts w:eastAsia="MS Mincho" w:cs="Times New Roman"/>
      <w:b/>
      <w:szCs w:val="20"/>
      <w:lang w:val="en-GB" w:eastAsia="de-DE"/>
    </w:rPr>
  </w:style>
  <w:style w:type="paragraph" w:customStyle="1" w:styleId="RegSectionLevel6">
    <w:name w:val="RegSectionLevel6"/>
    <w:basedOn w:val="Normal"/>
    <w:rsid w:val="00E42E9F"/>
    <w:pPr>
      <w:keepNext/>
      <w:numPr>
        <w:ilvl w:val="5"/>
        <w:numId w:val="12"/>
      </w:numPr>
    </w:pPr>
    <w:rPr>
      <w:rFonts w:eastAsia="MS Mincho" w:cs="Times New Roman"/>
      <w:b/>
      <w:szCs w:val="20"/>
      <w:lang w:val="en-GB" w:eastAsia="de-DE"/>
    </w:rPr>
  </w:style>
  <w:style w:type="paragraph" w:customStyle="1" w:styleId="RegSectionLevel7">
    <w:name w:val="RegSectionLevel7"/>
    <w:basedOn w:val="Normal"/>
    <w:rsid w:val="00E42E9F"/>
    <w:pPr>
      <w:keepNext/>
      <w:numPr>
        <w:ilvl w:val="6"/>
        <w:numId w:val="12"/>
      </w:numPr>
      <w:ind w:left="1298" w:hanging="1298"/>
    </w:pPr>
    <w:rPr>
      <w:rFonts w:eastAsia="MS Mincho" w:cs="Times New Roman"/>
      <w:b/>
      <w:szCs w:val="20"/>
      <w:lang w:val="en-GB" w:eastAsia="de-DE"/>
    </w:rPr>
  </w:style>
  <w:style w:type="paragraph" w:customStyle="1" w:styleId="RegSectionLevel8">
    <w:name w:val="RegSectionLevel8"/>
    <w:basedOn w:val="Normal"/>
    <w:rsid w:val="00E42E9F"/>
    <w:pPr>
      <w:keepNext/>
      <w:numPr>
        <w:ilvl w:val="7"/>
        <w:numId w:val="12"/>
      </w:numPr>
    </w:pPr>
    <w:rPr>
      <w:rFonts w:eastAsia="MS Mincho" w:cs="Times New Roman"/>
      <w:b/>
      <w:szCs w:val="20"/>
      <w:lang w:val="en-GB" w:eastAsia="de-DE"/>
    </w:rPr>
  </w:style>
  <w:style w:type="paragraph" w:customStyle="1" w:styleId="RegSectionLevel9">
    <w:name w:val="RegSectionLevel9"/>
    <w:basedOn w:val="Normal"/>
    <w:rsid w:val="00E42E9F"/>
    <w:pPr>
      <w:keepNext/>
      <w:numPr>
        <w:ilvl w:val="8"/>
        <w:numId w:val="12"/>
      </w:numPr>
      <w:spacing w:after="160"/>
    </w:pPr>
    <w:rPr>
      <w:rFonts w:eastAsia="MS Mincho" w:cs="Times New Roman"/>
      <w:b/>
      <w:szCs w:val="20"/>
      <w:lang w:val="en-GB" w:eastAsia="de-DE"/>
    </w:rPr>
  </w:style>
  <w:style w:type="paragraph" w:customStyle="1" w:styleId="Apunteoticket">
    <w:name w:val="A_punteo_ticket"/>
    <w:basedOn w:val="Prrafodelista"/>
    <w:qFormat/>
    <w:rsid w:val="004A40A7"/>
    <w:pPr>
      <w:numPr>
        <w:numId w:val="37"/>
      </w:numPr>
      <w:spacing w:after="0" w:line="240" w:lineRule="auto"/>
      <w:contextualSpacing w:val="0"/>
    </w:pPr>
    <w:rPr>
      <w:rFonts w:eastAsiaTheme="minorEastAsia" w:cstheme="minorBidi"/>
      <w:color w:val="000000"/>
      <w:lang w:val="es-ES"/>
    </w:rPr>
  </w:style>
  <w:style w:type="paragraph" w:customStyle="1" w:styleId="asudaustralFUENTETablaFigura">
    <w:name w:val="a_sudaustral_FUENTE_TablaFigura"/>
    <w:basedOn w:val="Normal"/>
    <w:rsid w:val="00E42E9F"/>
    <w:pPr>
      <w:pBdr>
        <w:bottom w:val="single" w:sz="4" w:space="2" w:color="00000A"/>
      </w:pBdr>
      <w:spacing w:after="0" w:line="276" w:lineRule="auto"/>
    </w:pPr>
    <w:rPr>
      <w:rFonts w:ascii="Calibri" w:eastAsia="Calibri" w:hAnsi="Calibri" w:cs="Times New Roman"/>
      <w:i/>
      <w:iCs/>
      <w:color w:val="00000A"/>
      <w:sz w:val="16"/>
      <w:szCs w:val="16"/>
      <w:lang w:val="es-CL" w:bidi="en-US"/>
    </w:rPr>
  </w:style>
  <w:style w:type="table" w:customStyle="1" w:styleId="GridTable4-Accent51">
    <w:name w:val="Grid Table 4 - Accent 51"/>
    <w:basedOn w:val="Tablanormal"/>
    <w:uiPriority w:val="49"/>
    <w:rsid w:val="00E42E9F"/>
    <w:pPr>
      <w:spacing w:after="0" w:line="240" w:lineRule="auto"/>
    </w:pPr>
    <w:rPr>
      <w:lang w:val="es-CL"/>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customStyle="1" w:styleId="AsudaustralINDICETABLA">
    <w:name w:val="A_sudaustral_INDICE_TABLA"/>
    <w:basedOn w:val="asudaustralINDICEFIGURA"/>
    <w:rsid w:val="00E42E9F"/>
  </w:style>
  <w:style w:type="paragraph" w:customStyle="1" w:styleId="asudaustralindiceMAPA">
    <w:name w:val="a_sudaustral_indice_MAPA"/>
    <w:basedOn w:val="Normal"/>
    <w:rsid w:val="00E42E9F"/>
    <w:pPr>
      <w:pBdr>
        <w:top w:val="single" w:sz="4" w:space="1" w:color="00000A"/>
        <w:bottom w:val="single" w:sz="4" w:space="1" w:color="00000A"/>
      </w:pBdr>
      <w:spacing w:line="276" w:lineRule="auto"/>
      <w:ind w:left="993" w:hanging="993"/>
    </w:pPr>
    <w:rPr>
      <w:rFonts w:eastAsia="Calibri" w:cs="Times New Roman"/>
      <w:i/>
      <w:iCs/>
      <w:smallCaps/>
      <w:color w:val="00000A"/>
      <w:sz w:val="18"/>
      <w:szCs w:val="20"/>
      <w:lang w:val="es-HN"/>
    </w:rPr>
  </w:style>
  <w:style w:type="paragraph" w:customStyle="1" w:styleId="asudaustralINDICEILUSTRACION">
    <w:name w:val="a_sudaustral_INDICE_ILUSTRACION"/>
    <w:basedOn w:val="Normal"/>
    <w:rsid w:val="00E42E9F"/>
    <w:pPr>
      <w:pBdr>
        <w:top w:val="single" w:sz="4" w:space="1" w:color="00000A"/>
        <w:bottom w:val="single" w:sz="4" w:space="1" w:color="00000A"/>
      </w:pBdr>
      <w:spacing w:line="276" w:lineRule="auto"/>
      <w:ind w:left="993" w:hanging="993"/>
    </w:pPr>
    <w:rPr>
      <w:rFonts w:eastAsia="Calibri" w:cs="Times New Roman"/>
      <w:i/>
      <w:iCs/>
      <w:smallCaps/>
      <w:color w:val="00000A"/>
      <w:sz w:val="18"/>
      <w:szCs w:val="20"/>
      <w:lang w:val="es-HN"/>
    </w:rPr>
  </w:style>
  <w:style w:type="table" w:customStyle="1" w:styleId="TableNormal2">
    <w:name w:val="Table Normal2"/>
    <w:uiPriority w:val="2"/>
    <w:semiHidden/>
    <w:unhideWhenUsed/>
    <w:qFormat/>
    <w:rsid w:val="00E42E9F"/>
    <w:pPr>
      <w:widowControl w:val="0"/>
      <w:autoSpaceDE w:val="0"/>
      <w:autoSpaceDN w:val="0"/>
      <w:spacing w:after="0" w:line="240" w:lineRule="auto"/>
    </w:pPr>
    <w:tblPr>
      <w:tblInd w:w="0" w:type="dxa"/>
      <w:tblCellMar>
        <w:top w:w="0" w:type="dxa"/>
        <w:left w:w="0" w:type="dxa"/>
        <w:bottom w:w="0" w:type="dxa"/>
        <w:right w:w="0" w:type="dxa"/>
      </w:tblCellMar>
    </w:tblPr>
  </w:style>
  <w:style w:type="character" w:customStyle="1" w:styleId="UnresolvedMention1">
    <w:name w:val="Unresolved Mention1"/>
    <w:basedOn w:val="Fuentedeprrafopredeter"/>
    <w:uiPriority w:val="99"/>
    <w:unhideWhenUsed/>
    <w:rsid w:val="00E42E9F"/>
    <w:rPr>
      <w:color w:val="605E5C"/>
      <w:shd w:val="clear" w:color="auto" w:fill="E1DFDD"/>
    </w:rPr>
  </w:style>
  <w:style w:type="table" w:customStyle="1" w:styleId="GridTable4-Accent31">
    <w:name w:val="Grid Table 4 - Accent 31"/>
    <w:basedOn w:val="Tablanormal"/>
    <w:uiPriority w:val="49"/>
    <w:rsid w:val="00E42E9F"/>
    <w:pPr>
      <w:spacing w:after="0" w:line="240" w:lineRule="auto"/>
    </w:pPr>
    <w:rPr>
      <w:rFonts w:eastAsiaTheme="minorEastAsia"/>
      <w:lang w:val="es-ES" w:eastAsia="ja-JP"/>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styleId="Textodelmarcadordeposicin">
    <w:name w:val="Placeholder Text"/>
    <w:basedOn w:val="Fuentedeprrafopredeter"/>
    <w:uiPriority w:val="99"/>
    <w:semiHidden/>
    <w:rsid w:val="00E42E9F"/>
    <w:rPr>
      <w:color w:val="808080"/>
    </w:rPr>
  </w:style>
  <w:style w:type="table" w:customStyle="1" w:styleId="GridTable4-Accent11">
    <w:name w:val="Grid Table 4 - Accent 11"/>
    <w:basedOn w:val="Tablanormal"/>
    <w:uiPriority w:val="49"/>
    <w:rsid w:val="00E42E9F"/>
    <w:pPr>
      <w:spacing w:after="0" w:line="240" w:lineRule="auto"/>
    </w:pPr>
    <w:rPr>
      <w:sz w:val="24"/>
      <w:szCs w:val="24"/>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GridTable4-Accent12">
    <w:name w:val="Grid Table 4 - Accent 12"/>
    <w:basedOn w:val="Tablanormal"/>
    <w:uiPriority w:val="49"/>
    <w:rsid w:val="00E42E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Bodytext2">
    <w:name w:val="Body text (2)_"/>
    <w:basedOn w:val="Fuentedeprrafopredeter"/>
    <w:link w:val="Bodytext20"/>
    <w:rsid w:val="00E42E9F"/>
    <w:rPr>
      <w:shd w:val="clear" w:color="auto" w:fill="FFFFFF"/>
    </w:rPr>
  </w:style>
  <w:style w:type="paragraph" w:customStyle="1" w:styleId="Bodytext20">
    <w:name w:val="Body text (2)"/>
    <w:basedOn w:val="Normal"/>
    <w:link w:val="Bodytext2"/>
    <w:rsid w:val="00E42E9F"/>
    <w:pPr>
      <w:widowControl w:val="0"/>
      <w:shd w:val="clear" w:color="auto" w:fill="FFFFFF"/>
      <w:spacing w:after="480" w:line="274" w:lineRule="exact"/>
    </w:pPr>
    <w:rPr>
      <w:rFonts w:cstheme="minorBidi"/>
      <w:lang w:val="en-US"/>
    </w:rPr>
  </w:style>
  <w:style w:type="table" w:customStyle="1" w:styleId="GridTable1Light-Accent11">
    <w:name w:val="Grid Table 1 Light - Accent 11"/>
    <w:basedOn w:val="Tablanormal"/>
    <w:uiPriority w:val="46"/>
    <w:rsid w:val="00E42E9F"/>
    <w:pPr>
      <w:spacing w:after="0" w:line="240" w:lineRule="auto"/>
    </w:pPr>
    <w:rPr>
      <w:rFonts w:ascii="Times New Roman" w:eastAsia="Times New Roman" w:hAnsi="Times New Roman" w:cs="Times New Roman"/>
      <w:sz w:val="24"/>
      <w:szCs w:val="24"/>
    </w:r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InduforTable">
    <w:name w:val="Indufor Table"/>
    <w:basedOn w:val="Tablanormal"/>
    <w:uiPriority w:val="61"/>
    <w:rsid w:val="00E42E9F"/>
    <w:pPr>
      <w:keepNext/>
      <w:keepLines/>
      <w:suppressAutoHyphens/>
      <w:spacing w:before="20" w:after="20" w:line="240" w:lineRule="auto"/>
      <w:ind w:left="57" w:right="57"/>
    </w:pPr>
    <w:rPr>
      <w:rFonts w:ascii="Arial" w:eastAsia="Times New Roman" w:hAnsi="Arial" w:cs="Times New Roman"/>
      <w:sz w:val="24"/>
      <w:szCs w:val="24"/>
    </w:rPr>
    <w:tblPr>
      <w:tblStyleRowBandSize w:val="1"/>
      <w:tblStyleColBandSize w:val="1"/>
      <w:tblInd w:w="709" w:type="dxa"/>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CellMar>
        <w:left w:w="0" w:type="dxa"/>
        <w:right w:w="0" w:type="dxa"/>
      </w:tblCellMar>
    </w:tblPr>
    <w:trPr>
      <w:cantSplit/>
    </w:trPr>
    <w:tblStylePr w:type="firstRow">
      <w:pPr>
        <w:spacing w:before="0" w:after="0" w:line="240" w:lineRule="auto"/>
        <w:jc w:val="center"/>
      </w:pPr>
      <w:rPr>
        <w:rFonts w:ascii="Arial" w:hAnsi="Arial"/>
        <w:b/>
        <w:bCs/>
        <w:color w:val="FFFFFF" w:themeColor="background1"/>
        <w:sz w:val="20"/>
      </w:rPr>
      <w:tblPr/>
      <w:tcPr>
        <w:shd w:val="clear" w:color="auto" w:fill="5B9BD5" w:themeFill="accent1"/>
      </w:tcPr>
    </w:tblStylePr>
    <w:tblStylePr w:type="lastRow">
      <w:pPr>
        <w:spacing w:before="0" w:after="0" w:line="240" w:lineRule="auto"/>
      </w:pPr>
      <w:rPr>
        <w:b/>
        <w:bCs/>
      </w:rPr>
      <w:tblPr/>
      <w:tcPr>
        <w:tcBorders>
          <w:top w:val="nil"/>
          <w:left w:val="single" w:sz="8" w:space="0" w:color="5B9BD5" w:themeColor="accent1"/>
          <w:bottom w:val="single" w:sz="8" w:space="0" w:color="5B9BD5" w:themeColor="accent1"/>
          <w:right w:val="single" w:sz="8" w:space="0" w:color="5B9BD5" w:themeColor="accent1"/>
        </w:tcBorders>
      </w:tcPr>
    </w:tblStylePr>
    <w:tblStylePr w:type="firstCol">
      <w:rPr>
        <w:b w:val="0"/>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Mencinsinresolver1">
    <w:name w:val="Mención sin resolver1"/>
    <w:basedOn w:val="Fuentedeprrafopredeter"/>
    <w:uiPriority w:val="99"/>
    <w:semiHidden/>
    <w:unhideWhenUsed/>
    <w:rsid w:val="00E42E9F"/>
    <w:rPr>
      <w:color w:val="605E5C"/>
      <w:shd w:val="clear" w:color="auto" w:fill="E1DFDD"/>
    </w:rPr>
  </w:style>
  <w:style w:type="table" w:customStyle="1" w:styleId="GridTable1Light-Accent12">
    <w:name w:val="Grid Table 1 Light - Accent 12"/>
    <w:basedOn w:val="Tablanormal"/>
    <w:uiPriority w:val="46"/>
    <w:rsid w:val="00E42E9F"/>
    <w:pPr>
      <w:spacing w:after="0" w:line="240" w:lineRule="auto"/>
    </w:pPr>
    <w:rPr>
      <w:rFonts w:ascii="Times New Roman" w:eastAsia="Times New Roman" w:hAnsi="Times New Roman" w:cs="Times New Roman"/>
      <w:sz w:val="24"/>
      <w:szCs w:val="24"/>
    </w:r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character" w:customStyle="1" w:styleId="UnresolvedMention2">
    <w:name w:val="Unresolved Mention2"/>
    <w:basedOn w:val="Fuentedeprrafopredeter"/>
    <w:uiPriority w:val="99"/>
    <w:semiHidden/>
    <w:unhideWhenUsed/>
    <w:rsid w:val="00E42E9F"/>
    <w:rPr>
      <w:color w:val="605E5C"/>
      <w:shd w:val="clear" w:color="auto" w:fill="E1DFDD"/>
    </w:rPr>
  </w:style>
  <w:style w:type="paragraph" w:customStyle="1" w:styleId="xmsonormal">
    <w:name w:val="x_msonormal"/>
    <w:basedOn w:val="Normal"/>
    <w:rsid w:val="00E42E9F"/>
    <w:pPr>
      <w:spacing w:before="100" w:beforeAutospacing="1" w:after="100" w:afterAutospacing="1"/>
      <w:jc w:val="left"/>
    </w:pPr>
    <w:rPr>
      <w:rFonts w:ascii="Times New Roman" w:eastAsia="Times New Roman" w:hAnsi="Times New Roman" w:cs="Times New Roman"/>
      <w:lang w:eastAsia="es-ES"/>
    </w:rPr>
  </w:style>
  <w:style w:type="table" w:customStyle="1" w:styleId="TableGrid1">
    <w:name w:val="Table Grid1"/>
    <w:basedOn w:val="Tablanormal"/>
    <w:next w:val="Tablaconcuadrcula"/>
    <w:uiPriority w:val="39"/>
    <w:rsid w:val="00E42E9F"/>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RegTableSpecial1">
    <w:name w:val="RegTableSpecial1"/>
    <w:basedOn w:val="Tablanormal"/>
    <w:rsid w:val="00E42E9F"/>
    <w:pPr>
      <w:keepNext/>
      <w:spacing w:after="0" w:line="240" w:lineRule="auto"/>
    </w:pPr>
    <w:rPr>
      <w:rFonts w:ascii="Times New Roman" w:eastAsia="MS Mincho" w:hAnsi="Times New Roman" w:cs="Times New Roman"/>
      <w:sz w:val="20"/>
      <w:szCs w:val="20"/>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tblStylePr w:type="firstRow">
      <w:pPr>
        <w:wordWrap/>
        <w:spacing w:beforeLines="0" w:before="40" w:beforeAutospacing="0" w:afterLines="0" w:after="40" w:afterAutospacing="0"/>
        <w:jc w:val="center"/>
      </w:pPr>
      <w:rPr>
        <w:b/>
      </w:rPr>
      <w:tblPr/>
      <w:tcPr>
        <w:shd w:val="clear" w:color="auto" w:fill="D9D9D9"/>
        <w:vAlign w:val="center"/>
      </w:tcPr>
    </w:tblStylePr>
    <w:tblStylePr w:type="lastRow">
      <w:pPr>
        <w:keepNext w:val="0"/>
        <w:wordWrap/>
      </w:pPr>
    </w:tblStylePr>
    <w:tblStylePr w:type="firstCol">
      <w:pPr>
        <w:wordWrap/>
        <w:spacing w:beforeLines="0" w:before="20" w:beforeAutospacing="0" w:afterLines="0" w:after="20" w:afterAutospacing="0"/>
        <w:jc w:val="center"/>
      </w:pPr>
      <w:rPr>
        <w:b/>
      </w:rPr>
      <w:tblPr/>
      <w:tcPr>
        <w:shd w:val="clear" w:color="auto" w:fill="D9D9D9"/>
      </w:tcPr>
    </w:tblStylePr>
  </w:style>
  <w:style w:type="table" w:customStyle="1" w:styleId="LightShading-Accent11">
    <w:name w:val="Light Shading - Accent 11"/>
    <w:basedOn w:val="Tablanormal"/>
    <w:next w:val="Sombreadoclaro-nfasis1"/>
    <w:uiPriority w:val="60"/>
    <w:rsid w:val="00E42E9F"/>
    <w:pPr>
      <w:spacing w:after="0" w:line="240" w:lineRule="auto"/>
    </w:pPr>
    <w:rPr>
      <w:rFonts w:eastAsiaTheme="minorEastAsia"/>
      <w:color w:val="2E74B5" w:themeColor="accent1" w:themeShade="BF"/>
      <w:sz w:val="24"/>
      <w:szCs w:val="24"/>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LightShading-Accent31">
    <w:name w:val="Light Shading - Accent 31"/>
    <w:basedOn w:val="Tablanormal"/>
    <w:next w:val="Sombreadoclaro-nfasis3"/>
    <w:uiPriority w:val="60"/>
    <w:rsid w:val="00E42E9F"/>
    <w:pPr>
      <w:spacing w:after="0" w:line="240" w:lineRule="auto"/>
    </w:pPr>
    <w:rPr>
      <w:rFonts w:eastAsiaTheme="minorEastAsia"/>
      <w:color w:val="7B7B7B" w:themeColor="accent3" w:themeShade="BF"/>
      <w:sz w:val="24"/>
      <w:szCs w:val="24"/>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TableNormal11">
    <w:name w:val="Table Normal11"/>
    <w:uiPriority w:val="2"/>
    <w:semiHidden/>
    <w:unhideWhenUsed/>
    <w:qFormat/>
    <w:rsid w:val="00E42E9F"/>
    <w:pPr>
      <w:widowControl w:val="0"/>
      <w:autoSpaceDE w:val="0"/>
      <w:autoSpaceDN w:val="0"/>
      <w:spacing w:after="0" w:line="240" w:lineRule="auto"/>
    </w:pPr>
    <w:tblPr>
      <w:tblInd w:w="0" w:type="dxa"/>
      <w:tblCellMar>
        <w:top w:w="0" w:type="dxa"/>
        <w:left w:w="0" w:type="dxa"/>
        <w:bottom w:w="0" w:type="dxa"/>
        <w:right w:w="0" w:type="dxa"/>
      </w:tblCellMar>
    </w:tblPr>
  </w:style>
  <w:style w:type="table" w:customStyle="1" w:styleId="ListTable3-Accent311">
    <w:name w:val="List Table 3 - Accent 311"/>
    <w:basedOn w:val="Tablanormal"/>
    <w:next w:val="ListTable3-Accent31"/>
    <w:uiPriority w:val="48"/>
    <w:rsid w:val="00E42E9F"/>
    <w:pPr>
      <w:spacing w:after="0" w:line="240" w:lineRule="auto"/>
    </w:pPr>
    <w:rPr>
      <w:rFonts w:eastAsiaTheme="minorEastAsia"/>
      <w:lang w:val="es-ES" w:eastAsia="ja-JP"/>
    </w:r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customStyle="1" w:styleId="TableGridLight11">
    <w:name w:val="Table Grid Light11"/>
    <w:basedOn w:val="Tablanormal"/>
    <w:next w:val="TableGridLight1"/>
    <w:uiPriority w:val="40"/>
    <w:rsid w:val="00E42E9F"/>
    <w:pPr>
      <w:spacing w:after="0" w:line="240" w:lineRule="auto"/>
    </w:pPr>
    <w:rPr>
      <w:rFonts w:ascii="Times New Roman" w:eastAsia="Times New Roman" w:hAnsi="Times New Roman" w:cs="Times New Roman"/>
      <w:sz w:val="20"/>
      <w:szCs w:val="20"/>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GridTable4-Accent511">
    <w:name w:val="Grid Table 4 - Accent 511"/>
    <w:basedOn w:val="Tablanormal"/>
    <w:next w:val="GridTable4-Accent51"/>
    <w:uiPriority w:val="49"/>
    <w:rsid w:val="00E42E9F"/>
    <w:pPr>
      <w:spacing w:after="0" w:line="240" w:lineRule="auto"/>
    </w:pPr>
    <w:rPr>
      <w:lang w:val="es-CL"/>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TableNormal12">
    <w:name w:val="Table Normal12"/>
    <w:uiPriority w:val="2"/>
    <w:semiHidden/>
    <w:unhideWhenUsed/>
    <w:qFormat/>
    <w:rsid w:val="00E42E9F"/>
    <w:pPr>
      <w:widowControl w:val="0"/>
      <w:autoSpaceDE w:val="0"/>
      <w:autoSpaceDN w:val="0"/>
      <w:spacing w:after="0" w:line="240" w:lineRule="auto"/>
    </w:pPr>
    <w:tblPr>
      <w:tblInd w:w="0" w:type="dxa"/>
      <w:tblCellMar>
        <w:top w:w="0" w:type="dxa"/>
        <w:left w:w="0" w:type="dxa"/>
        <w:bottom w:w="0" w:type="dxa"/>
        <w:right w:w="0" w:type="dxa"/>
      </w:tblCellMar>
    </w:tblPr>
  </w:style>
  <w:style w:type="table" w:customStyle="1" w:styleId="TableNormal21">
    <w:name w:val="Table Normal21"/>
    <w:uiPriority w:val="2"/>
    <w:semiHidden/>
    <w:unhideWhenUsed/>
    <w:qFormat/>
    <w:rsid w:val="00E42E9F"/>
    <w:pPr>
      <w:widowControl w:val="0"/>
      <w:autoSpaceDE w:val="0"/>
      <w:autoSpaceDN w:val="0"/>
      <w:spacing w:after="0" w:line="240" w:lineRule="auto"/>
    </w:pPr>
    <w:tblPr>
      <w:tblInd w:w="0" w:type="dxa"/>
      <w:tblCellMar>
        <w:top w:w="0" w:type="dxa"/>
        <w:left w:w="0" w:type="dxa"/>
        <w:bottom w:w="0" w:type="dxa"/>
        <w:right w:w="0" w:type="dxa"/>
      </w:tblCellMar>
    </w:tblPr>
  </w:style>
  <w:style w:type="table" w:customStyle="1" w:styleId="GridTable4-Accent311">
    <w:name w:val="Grid Table 4 - Accent 311"/>
    <w:basedOn w:val="Tablanormal"/>
    <w:next w:val="GridTable4-Accent31"/>
    <w:uiPriority w:val="49"/>
    <w:rsid w:val="00E42E9F"/>
    <w:pPr>
      <w:spacing w:after="0" w:line="240" w:lineRule="auto"/>
    </w:pPr>
    <w:rPr>
      <w:rFonts w:eastAsiaTheme="minorEastAsia"/>
      <w:lang w:val="es-ES" w:eastAsia="ja-JP"/>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GridTable4-Accent111">
    <w:name w:val="Grid Table 4 - Accent 111"/>
    <w:basedOn w:val="Tablanormal"/>
    <w:uiPriority w:val="49"/>
    <w:rsid w:val="00E42E9F"/>
    <w:pPr>
      <w:spacing w:after="0" w:line="240" w:lineRule="auto"/>
    </w:pPr>
    <w:rPr>
      <w:sz w:val="24"/>
      <w:szCs w:val="24"/>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GridTable4-Accent121">
    <w:name w:val="Grid Table 4 - Accent 121"/>
    <w:basedOn w:val="Tablanormal"/>
    <w:next w:val="GridTable4-Accent12"/>
    <w:uiPriority w:val="49"/>
    <w:rsid w:val="00E42E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GridTable1Light-Accent111">
    <w:name w:val="Grid Table 1 Light - Accent 111"/>
    <w:basedOn w:val="Tablanormal"/>
    <w:uiPriority w:val="46"/>
    <w:rsid w:val="00E42E9F"/>
    <w:pPr>
      <w:spacing w:after="0" w:line="240" w:lineRule="auto"/>
    </w:pPr>
    <w:rPr>
      <w:rFonts w:ascii="Times New Roman" w:eastAsia="Times New Roman" w:hAnsi="Times New Roman" w:cs="Times New Roman"/>
      <w:sz w:val="24"/>
      <w:szCs w:val="24"/>
    </w:r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InduforTable1">
    <w:name w:val="Indufor Table1"/>
    <w:basedOn w:val="Tablanormal"/>
    <w:uiPriority w:val="61"/>
    <w:rsid w:val="00E42E9F"/>
    <w:pPr>
      <w:keepNext/>
      <w:keepLines/>
      <w:suppressAutoHyphens/>
      <w:spacing w:before="20" w:after="20" w:line="240" w:lineRule="auto"/>
      <w:ind w:left="57" w:right="57"/>
    </w:pPr>
    <w:rPr>
      <w:rFonts w:ascii="Arial" w:eastAsia="Times New Roman" w:hAnsi="Arial" w:cs="Times New Roman"/>
      <w:sz w:val="24"/>
      <w:szCs w:val="24"/>
    </w:rPr>
    <w:tblPr>
      <w:tblStyleRowBandSize w:val="1"/>
      <w:tblStyleColBandSize w:val="1"/>
      <w:tblInd w:w="709" w:type="dxa"/>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CellMar>
        <w:left w:w="0" w:type="dxa"/>
        <w:right w:w="0" w:type="dxa"/>
      </w:tblCellMar>
    </w:tblPr>
    <w:trPr>
      <w:cantSplit/>
    </w:trPr>
    <w:tblStylePr w:type="firstRow">
      <w:pPr>
        <w:spacing w:before="0" w:after="0" w:line="240" w:lineRule="auto"/>
        <w:jc w:val="center"/>
      </w:pPr>
      <w:rPr>
        <w:rFonts w:ascii="Arial" w:hAnsi="Arial"/>
        <w:b/>
        <w:bCs/>
        <w:color w:val="FFFFFF" w:themeColor="background1"/>
        <w:sz w:val="20"/>
      </w:rPr>
      <w:tblPr/>
      <w:tcPr>
        <w:shd w:val="clear" w:color="auto" w:fill="5B9BD5" w:themeFill="accent1"/>
      </w:tcPr>
    </w:tblStylePr>
    <w:tblStylePr w:type="lastRow">
      <w:pPr>
        <w:spacing w:before="0" w:after="0" w:line="240" w:lineRule="auto"/>
      </w:pPr>
      <w:rPr>
        <w:b/>
        <w:bCs/>
      </w:rPr>
      <w:tblPr/>
      <w:tcPr>
        <w:tcBorders>
          <w:top w:val="nil"/>
          <w:left w:val="single" w:sz="8" w:space="0" w:color="5B9BD5" w:themeColor="accent1"/>
          <w:bottom w:val="single" w:sz="8" w:space="0" w:color="5B9BD5" w:themeColor="accent1"/>
          <w:right w:val="single" w:sz="8" w:space="0" w:color="5B9BD5" w:themeColor="accent1"/>
        </w:tcBorders>
      </w:tcPr>
    </w:tblStylePr>
    <w:tblStylePr w:type="firstCol">
      <w:rPr>
        <w:b w:val="0"/>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BodyTextIndentChar1">
    <w:name w:val="Body Text Indent Char1"/>
    <w:basedOn w:val="Fuentedeprrafopredeter"/>
    <w:uiPriority w:val="99"/>
    <w:semiHidden/>
    <w:rsid w:val="00E42E9F"/>
    <w:rPr>
      <w:rFonts w:eastAsia="Times New Roman" w:cs="Times New Roman"/>
      <w:sz w:val="22"/>
      <w:lang w:val="en-US"/>
    </w:rPr>
  </w:style>
  <w:style w:type="character" w:customStyle="1" w:styleId="CommentSubjectChar1">
    <w:name w:val="Comment Subject Char1"/>
    <w:basedOn w:val="TextocomentarioCar"/>
    <w:uiPriority w:val="99"/>
    <w:semiHidden/>
    <w:rsid w:val="00E42E9F"/>
    <w:rPr>
      <w:rFonts w:ascii="Times New Roman" w:eastAsia="Times New Roman" w:hAnsi="Times New Roman" w:cs="Times New Roman"/>
      <w:b/>
      <w:bCs/>
      <w:sz w:val="20"/>
      <w:szCs w:val="20"/>
      <w:lang w:val="en-US" w:eastAsia="en-NZ"/>
    </w:rPr>
  </w:style>
  <w:style w:type="table" w:customStyle="1" w:styleId="GridTable1Light-Accent121">
    <w:name w:val="Grid Table 1 Light - Accent 121"/>
    <w:basedOn w:val="Tablanormal"/>
    <w:uiPriority w:val="46"/>
    <w:rsid w:val="00E42E9F"/>
    <w:pPr>
      <w:spacing w:after="0" w:line="240" w:lineRule="auto"/>
    </w:pPr>
    <w:rPr>
      <w:rFonts w:ascii="Times New Roman" w:eastAsia="Times New Roman" w:hAnsi="Times New Roman" w:cs="Times New Roman"/>
      <w:sz w:val="24"/>
      <w:szCs w:val="24"/>
    </w:rPr>
    <w:tblPr>
      <w:tblStyleRowBandSize w:val="1"/>
      <w:tblStyleColBandSize w:val="1"/>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Pr>
    <w:tblStylePr w:type="firstRow">
      <w:rPr>
        <w:b/>
        <w:bCs/>
      </w:rPr>
      <w:tblPr/>
      <w:tcPr>
        <w:tcBorders>
          <w:bottom w:val="single" w:sz="12" w:space="0" w:color="9CC2E5"/>
        </w:tcBorders>
      </w:tcPr>
    </w:tblStylePr>
    <w:tblStylePr w:type="lastRow">
      <w:rPr>
        <w:b/>
        <w:bCs/>
      </w:rPr>
      <w:tblPr/>
      <w:tcPr>
        <w:tcBorders>
          <w:top w:val="double" w:sz="2" w:space="0" w:color="9CC2E5"/>
        </w:tcBorders>
      </w:tcPr>
    </w:tblStylePr>
    <w:tblStylePr w:type="firstCol">
      <w:rPr>
        <w:b/>
        <w:bCs/>
      </w:rPr>
    </w:tblStylePr>
    <w:tblStylePr w:type="lastCol">
      <w:rPr>
        <w:b/>
        <w:bCs/>
      </w:rPr>
    </w:tblStylePr>
  </w:style>
  <w:style w:type="character" w:customStyle="1" w:styleId="Mencinsinresolver2">
    <w:name w:val="Mención sin resolver2"/>
    <w:basedOn w:val="Fuentedeprrafopredeter"/>
    <w:uiPriority w:val="99"/>
    <w:semiHidden/>
    <w:unhideWhenUsed/>
    <w:rsid w:val="00E42E9F"/>
    <w:rPr>
      <w:color w:val="605E5C"/>
      <w:shd w:val="clear" w:color="auto" w:fill="E1DFDD"/>
    </w:rPr>
  </w:style>
  <w:style w:type="paragraph" w:customStyle="1" w:styleId="Heading1Chapters">
    <w:name w:val="Heading 1 Chapters"/>
    <w:basedOn w:val="Ttulo1"/>
    <w:link w:val="Heading1ChaptersChar"/>
    <w:qFormat/>
    <w:rsid w:val="00E42E9F"/>
    <w:pPr>
      <w:keepLines w:val="0"/>
      <w:spacing w:before="0"/>
      <w:ind w:left="360" w:hanging="360"/>
      <w:jc w:val="left"/>
    </w:pPr>
    <w:rPr>
      <w:rFonts w:eastAsia="Calibri" w:cstheme="minorHAnsi"/>
      <w:b w:val="0"/>
      <w:bCs/>
      <w:kern w:val="28"/>
      <w:szCs w:val="28"/>
      <w:lang w:val="es-GT" w:eastAsia="nl-NL"/>
    </w:rPr>
  </w:style>
  <w:style w:type="character" w:customStyle="1" w:styleId="Heading1ChaptersChar">
    <w:name w:val="Heading 1 Chapters Char"/>
    <w:basedOn w:val="Ttulo1Car"/>
    <w:link w:val="Heading1Chapters"/>
    <w:rsid w:val="00E42E9F"/>
    <w:rPr>
      <w:rFonts w:asciiTheme="majorHAnsi" w:eastAsia="Calibri" w:hAnsiTheme="majorHAnsi" w:cstheme="minorHAnsi"/>
      <w:b w:val="0"/>
      <w:bCs/>
      <w:kern w:val="28"/>
      <w:sz w:val="28"/>
      <w:szCs w:val="28"/>
      <w:bdr w:val="none" w:sz="0" w:space="0" w:color="auto" w:frame="1"/>
      <w:lang w:val="es-GT" w:eastAsia="nl-NL"/>
    </w:rPr>
  </w:style>
  <w:style w:type="character" w:customStyle="1" w:styleId="EndnoteText1">
    <w:name w:val="Endnote Text1"/>
    <w:uiPriority w:val="1"/>
    <w:semiHidden/>
    <w:unhideWhenUsed/>
    <w:rsid w:val="00947670"/>
  </w:style>
  <w:style w:type="character" w:customStyle="1" w:styleId="Kappaleenoletusfontti1">
    <w:name w:val="Kappaleen oletusfontti1"/>
    <w:uiPriority w:val="1"/>
    <w:semiHidden/>
    <w:unhideWhenUsed/>
    <w:rsid w:val="00947670"/>
  </w:style>
  <w:style w:type="character" w:customStyle="1" w:styleId="Kappaleenoletusfontti10">
    <w:name w:val="Kappaleen oletusfontti10"/>
    <w:uiPriority w:val="1"/>
    <w:semiHidden/>
    <w:unhideWhenUsed/>
    <w:rsid w:val="00947670"/>
  </w:style>
  <w:style w:type="character" w:customStyle="1" w:styleId="Kappaleenoletusfontti11">
    <w:name w:val="Kappaleen oletusfontti11"/>
    <w:uiPriority w:val="1"/>
    <w:semiHidden/>
    <w:unhideWhenUsed/>
    <w:rsid w:val="00947670"/>
  </w:style>
  <w:style w:type="character" w:customStyle="1" w:styleId="Kappaleenoletusfontti12">
    <w:name w:val="Kappaleen oletusfontti12"/>
    <w:uiPriority w:val="1"/>
    <w:semiHidden/>
    <w:unhideWhenUsed/>
    <w:rsid w:val="00947670"/>
  </w:style>
  <w:style w:type="character" w:customStyle="1" w:styleId="Kappaleenoletusfontti13">
    <w:name w:val="Kappaleen oletusfontti13"/>
    <w:uiPriority w:val="1"/>
    <w:semiHidden/>
    <w:unhideWhenUsed/>
    <w:rsid w:val="00947670"/>
  </w:style>
  <w:style w:type="character" w:customStyle="1" w:styleId="Kappaleenoletusfontti14">
    <w:name w:val="Kappaleen oletusfontti14"/>
    <w:uiPriority w:val="1"/>
    <w:semiHidden/>
    <w:unhideWhenUsed/>
    <w:rsid w:val="00947670"/>
  </w:style>
  <w:style w:type="character" w:customStyle="1" w:styleId="Kappaleenoletusfontti15">
    <w:name w:val="Kappaleen oletusfontti15"/>
    <w:uiPriority w:val="1"/>
    <w:semiHidden/>
    <w:unhideWhenUsed/>
    <w:rsid w:val="00947670"/>
  </w:style>
  <w:style w:type="paragraph" w:customStyle="1" w:styleId="pivys">
    <w:name w:val="päiväys"/>
    <w:basedOn w:val="Normal"/>
    <w:rsid w:val="00947670"/>
    <w:pPr>
      <w:framePr w:w="9072" w:hSpace="181" w:wrap="around" w:hAnchor="margin" w:xAlign="center" w:yAlign="bottom"/>
      <w:suppressAutoHyphens/>
      <w:jc w:val="left"/>
    </w:pPr>
    <w:rPr>
      <w:rFonts w:ascii="Arial" w:eastAsia="Times New Roman" w:hAnsi="Arial" w:cs="Times New Roman"/>
      <w:lang w:val="en-GB"/>
    </w:rPr>
  </w:style>
  <w:style w:type="paragraph" w:customStyle="1" w:styleId="box">
    <w:name w:val="box"/>
    <w:basedOn w:val="Normal"/>
    <w:rsid w:val="00947670"/>
    <w:pPr>
      <w:keepNext/>
      <w:keepLines/>
      <w:pBdr>
        <w:top w:val="single" w:sz="6" w:space="6" w:color="auto"/>
        <w:left w:val="single" w:sz="6" w:space="6" w:color="auto"/>
        <w:bottom w:val="single" w:sz="6" w:space="6" w:color="auto"/>
        <w:right w:val="single" w:sz="6" w:space="6" w:color="auto"/>
      </w:pBdr>
      <w:shd w:val="pct5" w:color="auto" w:fill="FFFFFF"/>
      <w:spacing w:after="100"/>
      <w:ind w:left="828" w:right="119"/>
    </w:pPr>
    <w:rPr>
      <w:rFonts w:ascii="Arial" w:eastAsia="Times New Roman" w:hAnsi="Arial" w:cs="Times New Roman"/>
      <w:lang w:val="en-GB"/>
    </w:rPr>
  </w:style>
  <w:style w:type="paragraph" w:customStyle="1" w:styleId="figure">
    <w:name w:val="figure"/>
    <w:basedOn w:val="Normal"/>
    <w:next w:val="Normal"/>
    <w:rsid w:val="00947670"/>
    <w:pPr>
      <w:keepLines/>
      <w:spacing w:after="0"/>
      <w:ind w:left="709"/>
      <w:jc w:val="left"/>
    </w:pPr>
    <w:rPr>
      <w:rFonts w:ascii="Arial" w:eastAsia="Times New Roman" w:hAnsi="Arial" w:cs="Times New Roman"/>
      <w:lang w:val="en-GB"/>
    </w:rPr>
  </w:style>
  <w:style w:type="paragraph" w:customStyle="1" w:styleId="jobname">
    <w:name w:val="job name"/>
    <w:basedOn w:val="Normal"/>
    <w:rsid w:val="00947670"/>
    <w:pPr>
      <w:framePr w:w="9072" w:hSpace="181" w:wrap="around" w:hAnchor="margin" w:xAlign="center" w:yAlign="center"/>
      <w:suppressAutoHyphens/>
      <w:jc w:val="left"/>
    </w:pPr>
    <w:rPr>
      <w:rFonts w:ascii="Arial" w:eastAsia="Times New Roman" w:hAnsi="Arial" w:cs="Times New Roman"/>
      <w:b/>
      <w:sz w:val="30"/>
      <w:lang w:val="en-GB"/>
    </w:rPr>
  </w:style>
  <w:style w:type="paragraph" w:customStyle="1" w:styleId="copyright">
    <w:name w:val="copyright"/>
    <w:basedOn w:val="pivys"/>
    <w:rsid w:val="00947670"/>
    <w:pPr>
      <w:framePr w:wrap="around"/>
      <w:pBdr>
        <w:top w:val="single" w:sz="4" w:space="4" w:color="auto"/>
        <w:left w:val="single" w:sz="4" w:space="4" w:color="auto"/>
        <w:bottom w:val="single" w:sz="4" w:space="4" w:color="auto"/>
        <w:right w:val="single" w:sz="4" w:space="4" w:color="auto"/>
      </w:pBdr>
      <w:jc w:val="both"/>
    </w:pPr>
    <w:rPr>
      <w:bCs/>
    </w:rPr>
  </w:style>
  <w:style w:type="paragraph" w:styleId="Sangranormal">
    <w:name w:val="Normal Indent"/>
    <w:basedOn w:val="Normal"/>
    <w:next w:val="Normal"/>
    <w:semiHidden/>
    <w:rsid w:val="00947670"/>
    <w:pPr>
      <w:numPr>
        <w:numId w:val="13"/>
      </w:numPr>
      <w:jc w:val="left"/>
    </w:pPr>
    <w:rPr>
      <w:rFonts w:ascii="Arial" w:eastAsia="Times New Roman" w:hAnsi="Arial" w:cs="Times New Roman"/>
      <w:lang w:val="en-GB"/>
    </w:rPr>
  </w:style>
  <w:style w:type="character" w:styleId="Nmerodelnea">
    <w:name w:val="line number"/>
    <w:basedOn w:val="Kappaleenoletusfontti15"/>
    <w:uiPriority w:val="99"/>
    <w:semiHidden/>
    <w:unhideWhenUsed/>
    <w:rsid w:val="00947670"/>
  </w:style>
  <w:style w:type="paragraph" w:customStyle="1" w:styleId="JobNumber">
    <w:name w:val="JobNumber"/>
    <w:basedOn w:val="Normal"/>
    <w:link w:val="JobNumberChar"/>
    <w:rsid w:val="00947670"/>
    <w:pPr>
      <w:tabs>
        <w:tab w:val="right" w:pos="9070"/>
      </w:tabs>
      <w:spacing w:after="0"/>
      <w:jc w:val="right"/>
    </w:pPr>
    <w:rPr>
      <w:rFonts w:ascii="Arial" w:eastAsia="Times New Roman" w:hAnsi="Arial" w:cs="Times New Roman"/>
      <w:sz w:val="16"/>
      <w:lang w:val="en-GB"/>
    </w:rPr>
  </w:style>
  <w:style w:type="character" w:customStyle="1" w:styleId="JobNumberChar">
    <w:name w:val="JobNumber Char"/>
    <w:basedOn w:val="Kappaleenoletusfontti15"/>
    <w:link w:val="JobNumber"/>
    <w:rsid w:val="00947670"/>
    <w:rPr>
      <w:rFonts w:ascii="Arial" w:eastAsia="Times New Roman" w:hAnsi="Arial" w:cs="Times New Roman"/>
      <w:sz w:val="16"/>
      <w:szCs w:val="24"/>
      <w:lang w:val="en-GB"/>
    </w:rPr>
  </w:style>
  <w:style w:type="paragraph" w:customStyle="1" w:styleId="notesunderfigures">
    <w:name w:val="notes_under_figures"/>
    <w:basedOn w:val="Normal"/>
    <w:next w:val="Normal"/>
    <w:qFormat/>
    <w:rsid w:val="00947670"/>
    <w:pPr>
      <w:spacing w:before="40"/>
      <w:ind w:left="709"/>
    </w:pPr>
    <w:rPr>
      <w:rFonts w:ascii="Arial" w:eastAsia="Times New Roman" w:hAnsi="Arial" w:cs="Times New Roman"/>
      <w:sz w:val="18"/>
      <w:szCs w:val="18"/>
      <w:lang w:val="en-GB"/>
    </w:rPr>
  </w:style>
  <w:style w:type="paragraph" w:customStyle="1" w:styleId="Textosubrayado">
    <w:name w:val="Texto subrayado"/>
    <w:basedOn w:val="Normal"/>
    <w:qFormat/>
    <w:rsid w:val="004F0168"/>
    <w:rPr>
      <w:u w:val="single"/>
    </w:rPr>
  </w:style>
  <w:style w:type="character" w:customStyle="1" w:styleId="spelle">
    <w:name w:val="spelle"/>
    <w:basedOn w:val="Kappaleenoletusfontti15"/>
    <w:rsid w:val="00947670"/>
  </w:style>
  <w:style w:type="paragraph" w:styleId="Mapadeldocumento">
    <w:name w:val="Document Map"/>
    <w:basedOn w:val="Normal"/>
    <w:link w:val="MapadeldocumentoCar"/>
    <w:uiPriority w:val="99"/>
    <w:unhideWhenUsed/>
    <w:rsid w:val="00947670"/>
    <w:pPr>
      <w:spacing w:after="0"/>
      <w:ind w:left="709"/>
    </w:pPr>
    <w:rPr>
      <w:rFonts w:ascii="Lucida Grande" w:eastAsia="Times New Roman" w:hAnsi="Lucida Grande" w:cs="Lucida Grande"/>
      <w:lang w:val="en-GB"/>
    </w:rPr>
  </w:style>
  <w:style w:type="character" w:customStyle="1" w:styleId="MapadeldocumentoCar">
    <w:name w:val="Mapa del documento Car"/>
    <w:basedOn w:val="Fuentedeprrafopredeter"/>
    <w:link w:val="Mapadeldocumento"/>
    <w:uiPriority w:val="99"/>
    <w:rsid w:val="00947670"/>
    <w:rPr>
      <w:rFonts w:ascii="Lucida Grande" w:eastAsia="Times New Roman" w:hAnsi="Lucida Grande" w:cs="Lucida Grande"/>
      <w:sz w:val="24"/>
      <w:szCs w:val="24"/>
      <w:lang w:val="en-GB"/>
    </w:rPr>
  </w:style>
  <w:style w:type="paragraph" w:customStyle="1" w:styleId="p1">
    <w:name w:val="p1"/>
    <w:basedOn w:val="Normal"/>
    <w:rsid w:val="00947670"/>
    <w:pPr>
      <w:spacing w:after="0"/>
      <w:jc w:val="left"/>
    </w:pPr>
    <w:rPr>
      <w:rFonts w:ascii="Helvetica" w:hAnsi="Helvetica" w:cs="Times New Roman"/>
      <w:sz w:val="17"/>
      <w:szCs w:val="17"/>
      <w:lang w:val="en-GB" w:eastAsia="en-GB"/>
    </w:rPr>
  </w:style>
  <w:style w:type="paragraph" w:customStyle="1" w:styleId="Number1">
    <w:name w:val="Number 1"/>
    <w:basedOn w:val="Prrafodelista"/>
    <w:qFormat/>
    <w:rsid w:val="003B2274"/>
    <w:pPr>
      <w:numPr>
        <w:numId w:val="14"/>
      </w:numPr>
      <w:spacing w:after="0" w:line="240" w:lineRule="auto"/>
      <w:contextualSpacing w:val="0"/>
    </w:pPr>
    <w:rPr>
      <w:rFonts w:eastAsia="Times New Roman"/>
      <w:szCs w:val="22"/>
      <w:lang w:val="es-ES_tradnl" w:eastAsia="en-GB"/>
    </w:rPr>
  </w:style>
  <w:style w:type="table" w:styleId="Cuadrculavistosa-nfasis3">
    <w:name w:val="Colorful Grid Accent 3"/>
    <w:basedOn w:val="Tablanormal"/>
    <w:rsid w:val="00947670"/>
    <w:pPr>
      <w:spacing w:after="0" w:line="240" w:lineRule="auto"/>
    </w:pPr>
    <w:rPr>
      <w:rFonts w:ascii="Times New Roman" w:eastAsia="Times New Roman" w:hAnsi="Times New Roman" w:cs="Times New Roman"/>
      <w:color w:val="000000" w:themeColor="text1"/>
      <w:sz w:val="24"/>
      <w:szCs w:val="24"/>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paragraph" w:styleId="Sangra2detindependiente">
    <w:name w:val="Body Text Indent 2"/>
    <w:basedOn w:val="Normal"/>
    <w:link w:val="Sangra2detindependienteCar"/>
    <w:unhideWhenUsed/>
    <w:rsid w:val="00947670"/>
    <w:pPr>
      <w:ind w:left="709"/>
    </w:pPr>
    <w:rPr>
      <w:rFonts w:ascii="Arial" w:eastAsia="Times New Roman" w:hAnsi="Arial" w:cs="Times New Roman"/>
      <w:lang w:val="en-GB"/>
    </w:rPr>
  </w:style>
  <w:style w:type="character" w:customStyle="1" w:styleId="Sangra2detindependienteCar">
    <w:name w:val="Sangría 2 de t. independiente Car"/>
    <w:basedOn w:val="Fuentedeprrafopredeter"/>
    <w:link w:val="Sangra2detindependiente"/>
    <w:rsid w:val="00947670"/>
    <w:rPr>
      <w:rFonts w:ascii="Arial" w:eastAsia="Times New Roman" w:hAnsi="Arial" w:cs="Times New Roman"/>
      <w:sz w:val="24"/>
      <w:szCs w:val="24"/>
      <w:lang w:val="en-GB"/>
    </w:rPr>
  </w:style>
  <w:style w:type="paragraph" w:styleId="Textoindependiente2">
    <w:name w:val="Body Text 2"/>
    <w:basedOn w:val="Normal"/>
    <w:link w:val="Textoindependiente2Car"/>
    <w:uiPriority w:val="99"/>
    <w:unhideWhenUsed/>
    <w:rsid w:val="00947670"/>
    <w:rPr>
      <w:rFonts w:ascii="Arial" w:eastAsia="Times New Roman" w:hAnsi="Arial" w:cs="Times New Roman"/>
      <w:lang w:val="en-US"/>
    </w:rPr>
  </w:style>
  <w:style w:type="character" w:customStyle="1" w:styleId="Textoindependiente2Car">
    <w:name w:val="Texto independiente 2 Car"/>
    <w:basedOn w:val="Fuentedeprrafopredeter"/>
    <w:link w:val="Textoindependiente2"/>
    <w:uiPriority w:val="99"/>
    <w:rsid w:val="00947670"/>
    <w:rPr>
      <w:rFonts w:ascii="Arial" w:eastAsia="Times New Roman" w:hAnsi="Arial" w:cs="Times New Roman"/>
      <w:sz w:val="24"/>
      <w:szCs w:val="24"/>
    </w:rPr>
  </w:style>
  <w:style w:type="table" w:customStyle="1" w:styleId="GridTable3-Accent51">
    <w:name w:val="Grid Table 3 - Accent 51"/>
    <w:basedOn w:val="Tablanormal"/>
    <w:uiPriority w:val="48"/>
    <w:rsid w:val="00947670"/>
    <w:pPr>
      <w:spacing w:after="0" w:line="240" w:lineRule="auto"/>
    </w:pPr>
    <w:rPr>
      <w:sz w:val="24"/>
      <w:szCs w:val="24"/>
      <w:lang w:val="en-GB"/>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customStyle="1" w:styleId="GridTable1Light-Accent51">
    <w:name w:val="Grid Table 1 Light - Accent 51"/>
    <w:basedOn w:val="Tablanormal"/>
    <w:uiPriority w:val="46"/>
    <w:rsid w:val="00947670"/>
    <w:pPr>
      <w:spacing w:after="0" w:line="240" w:lineRule="auto"/>
    </w:pPr>
    <w:rPr>
      <w:sz w:val="24"/>
      <w:szCs w:val="24"/>
      <w:lang w:val="en-GB"/>
    </w:r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GridTable1Light-Accent13">
    <w:name w:val="Grid Table 1 Light - Accent 13"/>
    <w:basedOn w:val="Tablanormal"/>
    <w:uiPriority w:val="46"/>
    <w:rsid w:val="00947670"/>
    <w:pPr>
      <w:spacing w:after="0" w:line="240" w:lineRule="auto"/>
    </w:pPr>
    <w:rPr>
      <w:sz w:val="24"/>
      <w:szCs w:val="24"/>
      <w:lang w:val="en-GB"/>
    </w:r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ridTable2-Accent31">
    <w:name w:val="Grid Table 2 - Accent 31"/>
    <w:basedOn w:val="Tablanormal"/>
    <w:uiPriority w:val="47"/>
    <w:rsid w:val="00947670"/>
    <w:pPr>
      <w:spacing w:after="0" w:line="240" w:lineRule="auto"/>
    </w:pPr>
    <w:rPr>
      <w:rFonts w:ascii="Times New Roman" w:eastAsia="Times New Roman" w:hAnsi="Times New Roman" w:cs="Times New Roman"/>
      <w:sz w:val="24"/>
      <w:szCs w:val="24"/>
    </w:r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Textonotaalfinal">
    <w:name w:val="endnote text"/>
    <w:basedOn w:val="Normal"/>
    <w:link w:val="TextonotaalfinalCar"/>
    <w:uiPriority w:val="99"/>
    <w:unhideWhenUsed/>
    <w:rsid w:val="00947670"/>
    <w:pPr>
      <w:spacing w:before="240" w:after="240"/>
    </w:pPr>
    <w:rPr>
      <w:rFonts w:ascii="Calibri" w:eastAsia="SimSun" w:hAnsi="Calibri" w:cs="Calibri"/>
      <w:kern w:val="1"/>
      <w:sz w:val="20"/>
      <w:szCs w:val="18"/>
      <w:lang w:val="en-GB" w:eastAsia="hi-IN" w:bidi="hi-IN"/>
    </w:rPr>
  </w:style>
  <w:style w:type="character" w:customStyle="1" w:styleId="TextonotaalfinalCar">
    <w:name w:val="Texto nota al final Car"/>
    <w:basedOn w:val="Fuentedeprrafopredeter"/>
    <w:link w:val="Textonotaalfinal"/>
    <w:uiPriority w:val="99"/>
    <w:rsid w:val="00947670"/>
    <w:rPr>
      <w:rFonts w:ascii="Calibri" w:eastAsia="SimSun" w:hAnsi="Calibri" w:cs="Calibri"/>
      <w:kern w:val="1"/>
      <w:sz w:val="20"/>
      <w:szCs w:val="18"/>
      <w:lang w:val="en-GB" w:eastAsia="hi-IN" w:bidi="hi-IN"/>
    </w:rPr>
  </w:style>
  <w:style w:type="character" w:styleId="Refdenotaalfinal">
    <w:name w:val="endnote reference"/>
    <w:basedOn w:val="Fuentedeprrafopredeter"/>
    <w:uiPriority w:val="99"/>
    <w:unhideWhenUsed/>
    <w:rsid w:val="00947670"/>
    <w:rPr>
      <w:vertAlign w:val="superscript"/>
    </w:rPr>
  </w:style>
  <w:style w:type="character" w:customStyle="1" w:styleId="Listavistosa-nfasis1Car">
    <w:name w:val="Lista vistosa - Énfasis 1 Car"/>
    <w:link w:val="Listavistosa-nfasis11"/>
    <w:uiPriority w:val="34"/>
    <w:rsid w:val="00947670"/>
    <w:rPr>
      <w:rFonts w:ascii="Times New Roman" w:eastAsia="Times New Roman" w:hAnsi="Times New Roman" w:cs="Times New Roman"/>
      <w:sz w:val="24"/>
      <w:szCs w:val="24"/>
    </w:rPr>
  </w:style>
  <w:style w:type="paragraph" w:customStyle="1" w:styleId="footnotedescription">
    <w:name w:val="footnote description"/>
    <w:next w:val="Normal"/>
    <w:link w:val="footnotedescriptionChar"/>
    <w:hidden/>
    <w:rsid w:val="00947670"/>
    <w:pPr>
      <w:spacing w:after="0" w:line="242" w:lineRule="auto"/>
    </w:pPr>
    <w:rPr>
      <w:rFonts w:ascii="Cambria" w:eastAsia="Cambria" w:hAnsi="Cambria" w:cs="Cambria"/>
      <w:color w:val="000000"/>
      <w:sz w:val="16"/>
      <w:lang w:val="es-DO" w:eastAsia="es-DO"/>
    </w:rPr>
  </w:style>
  <w:style w:type="character" w:customStyle="1" w:styleId="footnotedescriptionChar">
    <w:name w:val="footnote description Char"/>
    <w:link w:val="footnotedescription"/>
    <w:rsid w:val="00947670"/>
    <w:rPr>
      <w:rFonts w:ascii="Cambria" w:eastAsia="Cambria" w:hAnsi="Cambria" w:cs="Cambria"/>
      <w:color w:val="000000"/>
      <w:sz w:val="16"/>
      <w:lang w:val="es-DO" w:eastAsia="es-DO"/>
    </w:rPr>
  </w:style>
  <w:style w:type="character" w:customStyle="1" w:styleId="footnotemark">
    <w:name w:val="footnote mark"/>
    <w:hidden/>
    <w:rsid w:val="00947670"/>
    <w:rPr>
      <w:rFonts w:ascii="Cambria" w:eastAsia="Cambria" w:hAnsi="Cambria" w:cs="Cambria"/>
      <w:color w:val="000000"/>
      <w:sz w:val="16"/>
      <w:vertAlign w:val="superscript"/>
    </w:rPr>
  </w:style>
  <w:style w:type="paragraph" w:customStyle="1" w:styleId="ydp6933ac5emsonormal">
    <w:name w:val="ydp6933ac5emsonormal"/>
    <w:basedOn w:val="Normal"/>
    <w:rsid w:val="00947670"/>
    <w:pPr>
      <w:spacing w:before="100" w:beforeAutospacing="1" w:after="100" w:afterAutospacing="1"/>
      <w:jc w:val="left"/>
    </w:pPr>
    <w:rPr>
      <w:rFonts w:ascii="Times New Roman" w:eastAsia="Times New Roman" w:hAnsi="Times New Roman" w:cs="Times New Roman"/>
      <w:lang w:val="fr-FR"/>
    </w:rPr>
  </w:style>
  <w:style w:type="paragraph" w:customStyle="1" w:styleId="ydp31aa1c56msonormal">
    <w:name w:val="ydp31aa1c56msonormal"/>
    <w:basedOn w:val="Normal"/>
    <w:rsid w:val="00947670"/>
    <w:pPr>
      <w:spacing w:before="100" w:beforeAutospacing="1" w:after="100" w:afterAutospacing="1"/>
      <w:jc w:val="left"/>
    </w:pPr>
    <w:rPr>
      <w:rFonts w:ascii="Times New Roman" w:eastAsia="Times New Roman" w:hAnsi="Times New Roman" w:cs="Times New Roman"/>
      <w:lang w:val="fr-FR"/>
    </w:rPr>
  </w:style>
  <w:style w:type="paragraph" w:customStyle="1" w:styleId="asides">
    <w:name w:val="asides"/>
    <w:basedOn w:val="Normal"/>
    <w:link w:val="asidesChar"/>
    <w:rsid w:val="00947670"/>
    <w:pPr>
      <w:pBdr>
        <w:top w:val="single" w:sz="6" w:space="12" w:color="77898F"/>
        <w:left w:val="single" w:sz="6" w:space="12" w:color="77898F"/>
        <w:bottom w:val="single" w:sz="6" w:space="12" w:color="77898F"/>
        <w:right w:val="single" w:sz="6" w:space="12" w:color="77898F"/>
      </w:pBdr>
      <w:autoSpaceDE w:val="0"/>
      <w:autoSpaceDN w:val="0"/>
      <w:adjustRightInd w:val="0"/>
      <w:spacing w:after="0" w:line="300" w:lineRule="exact"/>
      <w:ind w:left="284" w:right="284"/>
    </w:pPr>
    <w:rPr>
      <w:rFonts w:ascii="Calibri" w:eastAsia="Verdana" w:hAnsi="Calibri" w:cs="Tahoma"/>
      <w:color w:val="000000"/>
      <w:spacing w:val="-6"/>
      <w:kern w:val="20"/>
      <w:sz w:val="23"/>
      <w:szCs w:val="22"/>
      <w:lang w:val="en-GB"/>
    </w:rPr>
  </w:style>
  <w:style w:type="character" w:customStyle="1" w:styleId="asidesChar">
    <w:name w:val="asides Char"/>
    <w:basedOn w:val="Fuentedeprrafopredeter"/>
    <w:link w:val="asides"/>
    <w:rsid w:val="00947670"/>
    <w:rPr>
      <w:rFonts w:ascii="Calibri" w:eastAsia="Verdana" w:hAnsi="Calibri" w:cs="Tahoma"/>
      <w:color w:val="000000"/>
      <w:spacing w:val="-6"/>
      <w:kern w:val="20"/>
      <w:sz w:val="23"/>
      <w:lang w:val="en-GB"/>
    </w:rPr>
  </w:style>
  <w:style w:type="numbering" w:styleId="111111">
    <w:name w:val="Outline List 2"/>
    <w:basedOn w:val="Sinlista"/>
    <w:semiHidden/>
    <w:unhideWhenUsed/>
    <w:rsid w:val="00947670"/>
    <w:pPr>
      <w:numPr>
        <w:numId w:val="19"/>
      </w:numPr>
    </w:pPr>
  </w:style>
  <w:style w:type="character" w:customStyle="1" w:styleId="Hipervnculovisitado1">
    <w:name w:val="Hipervínculo visitado1"/>
    <w:basedOn w:val="Fuentedeprrafopredeter"/>
    <w:uiPriority w:val="99"/>
    <w:semiHidden/>
    <w:unhideWhenUsed/>
    <w:rsid w:val="00947670"/>
    <w:rPr>
      <w:color w:val="800080"/>
      <w:u w:val="single"/>
    </w:rPr>
  </w:style>
  <w:style w:type="table" w:customStyle="1" w:styleId="Tablaconcuadrcula4-nfasis51">
    <w:name w:val="Tabla con cuadrícula 4 - Énfasis 51"/>
    <w:basedOn w:val="Tablanormal"/>
    <w:next w:val="GridTable4-Accent51"/>
    <w:uiPriority w:val="49"/>
    <w:rsid w:val="00947670"/>
    <w:pPr>
      <w:spacing w:after="0" w:line="240" w:lineRule="auto"/>
    </w:pPr>
    <w:rPr>
      <w:rFonts w:ascii="Calibri" w:eastAsia="Calibri" w:hAnsi="Calibri" w:cs="Times New Roman"/>
      <w:lang w:val="es-CL"/>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TableNormal3">
    <w:name w:val="Table Normal3"/>
    <w:uiPriority w:val="2"/>
    <w:semiHidden/>
    <w:unhideWhenUsed/>
    <w:qFormat/>
    <w:rsid w:val="00947670"/>
    <w:pPr>
      <w:widowControl w:val="0"/>
      <w:autoSpaceDE w:val="0"/>
      <w:autoSpaceDN w:val="0"/>
      <w:spacing w:after="0" w:line="240" w:lineRule="auto"/>
    </w:pPr>
    <w:rPr>
      <w:rFonts w:ascii="Calibri" w:eastAsia="Calibri" w:hAnsi="Calibri" w:cs="Times New Roman"/>
    </w:rPr>
    <w:tblPr>
      <w:tblInd w:w="0" w:type="dxa"/>
      <w:tblCellMar>
        <w:top w:w="0" w:type="dxa"/>
        <w:left w:w="0" w:type="dxa"/>
        <w:bottom w:w="0" w:type="dxa"/>
        <w:right w:w="0" w:type="dxa"/>
      </w:tblCellMar>
    </w:tblPr>
  </w:style>
  <w:style w:type="table" w:customStyle="1" w:styleId="GridTable21">
    <w:name w:val="Grid Table 21"/>
    <w:basedOn w:val="Tablanormal"/>
    <w:uiPriority w:val="47"/>
    <w:rsid w:val="00947670"/>
    <w:pPr>
      <w:spacing w:after="0" w:line="240" w:lineRule="auto"/>
    </w:pPr>
    <w:rPr>
      <w:lang w:val="es-MX"/>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Cuadrculaclara-nfasis1">
    <w:name w:val="Light Grid Accent 1"/>
    <w:basedOn w:val="Tablanormal"/>
    <w:uiPriority w:val="62"/>
    <w:rsid w:val="00947670"/>
    <w:pPr>
      <w:spacing w:after="0" w:line="240" w:lineRule="auto"/>
    </w:pPr>
    <w:rPr>
      <w:sz w:val="24"/>
      <w:szCs w:val="24"/>
      <w:lang w:val="es-DO"/>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Cuadrculaclara-nfasis5">
    <w:name w:val="Light Grid Accent 5"/>
    <w:basedOn w:val="Tablanormal"/>
    <w:uiPriority w:val="62"/>
    <w:rsid w:val="00947670"/>
    <w:pPr>
      <w:spacing w:after="0" w:line="240" w:lineRule="auto"/>
    </w:pPr>
    <w:rPr>
      <w:sz w:val="24"/>
      <w:szCs w:val="24"/>
      <w:lang w:val="es-DO"/>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paragraph" w:customStyle="1" w:styleId="m-3461190846226000828msofootnotetext">
    <w:name w:val="m_-3461190846226000828msofootnotetext"/>
    <w:basedOn w:val="Normal"/>
    <w:rsid w:val="00947670"/>
    <w:pPr>
      <w:spacing w:before="100" w:beforeAutospacing="1" w:after="100" w:afterAutospacing="1"/>
      <w:jc w:val="left"/>
    </w:pPr>
    <w:rPr>
      <w:rFonts w:ascii="Times New Roman" w:eastAsia="Times New Roman" w:hAnsi="Times New Roman" w:cs="Times New Roman"/>
      <w:lang w:eastAsia="es-ES"/>
    </w:rPr>
  </w:style>
  <w:style w:type="table" w:styleId="Cuadrculaclara-nfasis3">
    <w:name w:val="Light Grid Accent 3"/>
    <w:basedOn w:val="Tablanormal"/>
    <w:uiPriority w:val="62"/>
    <w:rsid w:val="0004071A"/>
    <w:pPr>
      <w:spacing w:after="0" w:line="240" w:lineRule="auto"/>
    </w:pPr>
    <w:rPr>
      <w:rFonts w:eastAsia="MS Mincho"/>
      <w:lang w:val="es-DO"/>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paragraph" w:styleId="Textoindependiente3">
    <w:name w:val="Body Text 3"/>
    <w:basedOn w:val="Normal"/>
    <w:link w:val="Textoindependiente3Car"/>
    <w:rsid w:val="0004071A"/>
    <w:pPr>
      <w:spacing w:after="0" w:line="360" w:lineRule="auto"/>
    </w:pPr>
    <w:rPr>
      <w:rFonts w:ascii="Times New Roman" w:eastAsia="Times New Roman" w:hAnsi="Times New Roman" w:cs="Times New Roman"/>
    </w:rPr>
  </w:style>
  <w:style w:type="character" w:customStyle="1" w:styleId="Textoindependiente3Car">
    <w:name w:val="Texto independiente 3 Car"/>
    <w:basedOn w:val="Fuentedeprrafopredeter"/>
    <w:link w:val="Textoindependiente3"/>
    <w:rsid w:val="0004071A"/>
    <w:rPr>
      <w:rFonts w:ascii="Times New Roman" w:eastAsia="Times New Roman" w:hAnsi="Times New Roman" w:cs="Times New Roman"/>
      <w:sz w:val="24"/>
      <w:szCs w:val="24"/>
      <w:lang w:val="es-ES"/>
    </w:rPr>
  </w:style>
  <w:style w:type="paragraph" w:customStyle="1" w:styleId="m-5185426788548049649gmail-msolistparagraph">
    <w:name w:val="m_-5185426788548049649gmail-msolistparagraph"/>
    <w:basedOn w:val="Normal"/>
    <w:rsid w:val="006C04A4"/>
    <w:pPr>
      <w:spacing w:before="100" w:beforeAutospacing="1" w:after="100" w:afterAutospacing="1"/>
      <w:jc w:val="left"/>
    </w:pPr>
    <w:rPr>
      <w:rFonts w:ascii="Times New Roman" w:eastAsia="Times New Roman" w:hAnsi="Times New Roman" w:cs="Times New Roman"/>
      <w:lang w:val="es-SV" w:eastAsia="es-SV"/>
    </w:rPr>
  </w:style>
  <w:style w:type="paragraph" w:customStyle="1" w:styleId="PARRMARN">
    <w:name w:val="PARR MARN"/>
    <w:basedOn w:val="Normal"/>
    <w:link w:val="PARRMARNCar"/>
    <w:qFormat/>
    <w:rsid w:val="00B168A1"/>
    <w:pPr>
      <w:spacing w:after="0"/>
    </w:pPr>
    <w:rPr>
      <w:rFonts w:ascii="Gill Sans MT" w:eastAsia="MS Mincho" w:hAnsi="Gill Sans MT" w:cs="Arial"/>
      <w:color w:val="595959" w:themeColor="text1" w:themeTint="A6"/>
      <w:szCs w:val="22"/>
      <w:lang w:val="es-SV" w:eastAsia="es-SV"/>
    </w:rPr>
  </w:style>
  <w:style w:type="character" w:customStyle="1" w:styleId="PARRMARNCar">
    <w:name w:val="PARR MARN Car"/>
    <w:basedOn w:val="Fuentedeprrafopredeter"/>
    <w:link w:val="PARRMARN"/>
    <w:rsid w:val="00B168A1"/>
    <w:rPr>
      <w:rFonts w:ascii="Gill Sans MT" w:eastAsia="MS Mincho" w:hAnsi="Gill Sans MT" w:cs="Arial"/>
      <w:color w:val="595959" w:themeColor="text1" w:themeTint="A6"/>
      <w:lang w:val="es-SV" w:eastAsia="es-SV"/>
    </w:rPr>
  </w:style>
  <w:style w:type="paragraph" w:customStyle="1" w:styleId="ps">
    <w:name w:val="ps"/>
    <w:basedOn w:val="Normal"/>
    <w:link w:val="psChar"/>
    <w:uiPriority w:val="99"/>
    <w:qFormat/>
    <w:rsid w:val="003C4140"/>
    <w:pPr>
      <w:numPr>
        <w:numId w:val="41"/>
      </w:numPr>
      <w:spacing w:before="120"/>
    </w:pPr>
    <w:rPr>
      <w:rFonts w:ascii="Times New Roman" w:hAnsi="Times New Roman" w:cstheme="minorBidi"/>
      <w:szCs w:val="22"/>
      <w:lang w:val="en-US"/>
    </w:rPr>
  </w:style>
  <w:style w:type="character" w:customStyle="1" w:styleId="psChar">
    <w:name w:val="ps Char"/>
    <w:basedOn w:val="Fuentedeprrafopredeter"/>
    <w:link w:val="ps"/>
    <w:uiPriority w:val="99"/>
    <w:rsid w:val="003C4140"/>
    <w:rPr>
      <w:rFonts w:ascii="Times New Roman" w:hAnsi="Times New Roman"/>
    </w:rPr>
  </w:style>
  <w:style w:type="table" w:customStyle="1" w:styleId="GridTable1Light-Accent52">
    <w:name w:val="Grid Table 1 Light - Accent 52"/>
    <w:basedOn w:val="Tablanormal"/>
    <w:uiPriority w:val="46"/>
    <w:rsid w:val="00C80DEE"/>
    <w:pPr>
      <w:spacing w:after="0" w:line="240" w:lineRule="auto"/>
    </w:pPr>
    <w:rPr>
      <w:lang w:val="es-ES"/>
    </w:r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Tablaconcuadrcula1clara-nfasis51">
    <w:name w:val="Tabla con cuadrícula 1 clara - Énfasis 51"/>
    <w:basedOn w:val="Tablanormal"/>
    <w:uiPriority w:val="46"/>
    <w:rsid w:val="000E20A4"/>
    <w:pPr>
      <w:spacing w:after="0" w:line="240" w:lineRule="auto"/>
    </w:pPr>
    <w:rPr>
      <w:lang w:val="es-ES"/>
    </w:r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paragraph" w:customStyle="1" w:styleId="Titulo2">
    <w:name w:val="Titulo 2"/>
    <w:basedOn w:val="Prrafodelista"/>
    <w:link w:val="Titulo2Car"/>
    <w:qFormat/>
    <w:rsid w:val="000E20A4"/>
    <w:pPr>
      <w:spacing w:after="0" w:line="259" w:lineRule="auto"/>
      <w:ind w:left="720" w:hanging="360"/>
      <w:jc w:val="left"/>
      <w:outlineLvl w:val="1"/>
    </w:pPr>
    <w:rPr>
      <w:rFonts w:cstheme="minorBidi"/>
      <w:b/>
      <w:color w:val="ED7D31" w:themeColor="accent2"/>
      <w:sz w:val="28"/>
      <w:szCs w:val="28"/>
      <w:lang w:val="es-ES"/>
    </w:rPr>
  </w:style>
  <w:style w:type="character" w:customStyle="1" w:styleId="Titulo2Car">
    <w:name w:val="Titulo 2 Car"/>
    <w:basedOn w:val="Fuentedeprrafopredeter"/>
    <w:link w:val="Titulo2"/>
    <w:rsid w:val="000E20A4"/>
    <w:rPr>
      <w:b/>
      <w:color w:val="ED7D31" w:themeColor="accent2"/>
      <w:sz w:val="28"/>
      <w:szCs w:val="28"/>
      <w:lang w:val="es-ES"/>
    </w:rPr>
  </w:style>
  <w:style w:type="paragraph" w:customStyle="1" w:styleId="Indicadores2">
    <w:name w:val="Indicadores 2"/>
    <w:basedOn w:val="Normal"/>
    <w:link w:val="Indicadores2Car"/>
    <w:qFormat/>
    <w:rsid w:val="00287AA3"/>
    <w:pPr>
      <w:spacing w:after="0"/>
    </w:pPr>
    <w:rPr>
      <w:rFonts w:ascii="Times New Roman" w:hAnsi="Times New Roman" w:cs="Times New Roman"/>
      <w:b/>
      <w:szCs w:val="22"/>
      <w:lang w:val="es-GT"/>
    </w:rPr>
  </w:style>
  <w:style w:type="character" w:customStyle="1" w:styleId="Indicadores2Car">
    <w:name w:val="Indicadores 2 Car"/>
    <w:basedOn w:val="Fuentedeprrafopredeter"/>
    <w:link w:val="Indicadores2"/>
    <w:rsid w:val="00287AA3"/>
    <w:rPr>
      <w:rFonts w:ascii="Times New Roman" w:hAnsi="Times New Roman" w:cs="Times New Roman"/>
      <w:b/>
      <w:lang w:val="es-GT"/>
    </w:rPr>
  </w:style>
  <w:style w:type="paragraph" w:customStyle="1" w:styleId="m826399444923632953xmsonormal">
    <w:name w:val="m_826399444923632953x_msonormal"/>
    <w:basedOn w:val="Normal"/>
    <w:rsid w:val="00405040"/>
    <w:pPr>
      <w:spacing w:before="100" w:beforeAutospacing="1" w:after="100" w:afterAutospacing="1"/>
      <w:jc w:val="left"/>
    </w:pPr>
    <w:rPr>
      <w:rFonts w:ascii="Times New Roman" w:eastAsia="Times New Roman" w:hAnsi="Times New Roman" w:cs="Times New Roman"/>
      <w:lang w:val="es-DO" w:eastAsia="es-DO"/>
    </w:rPr>
  </w:style>
  <w:style w:type="paragraph" w:customStyle="1" w:styleId="Estilo1">
    <w:name w:val="Estilo1"/>
    <w:basedOn w:val="Ttulo1"/>
    <w:link w:val="Estilo1Car"/>
    <w:qFormat/>
    <w:rsid w:val="003B5BE2"/>
    <w:pPr>
      <w:numPr>
        <w:numId w:val="116"/>
      </w:numPr>
    </w:pPr>
    <w:rPr>
      <w:b w:val="0"/>
      <w:color w:val="000000" w:themeColor="text1"/>
    </w:rPr>
  </w:style>
  <w:style w:type="character" w:customStyle="1" w:styleId="Estilo1Car">
    <w:name w:val="Estilo1 Car"/>
    <w:basedOn w:val="Ttulo1Car"/>
    <w:link w:val="Estilo1"/>
    <w:rsid w:val="003B5BE2"/>
    <w:rPr>
      <w:rFonts w:asciiTheme="majorHAnsi" w:eastAsiaTheme="majorEastAsia" w:hAnsiTheme="majorHAnsi" w:cstheme="majorBidi"/>
      <w:b w:val="0"/>
      <w:color w:val="000000" w:themeColor="text1"/>
      <w:sz w:val="28"/>
      <w:szCs w:val="32"/>
      <w:bdr w:val="none" w:sz="0" w:space="0" w:color="auto" w:frame="1"/>
      <w:lang w:val="es-ES"/>
    </w:rPr>
  </w:style>
  <w:style w:type="table" w:customStyle="1" w:styleId="InduforTable2">
    <w:name w:val="Indufor Table2"/>
    <w:basedOn w:val="Tablanormal"/>
    <w:uiPriority w:val="61"/>
    <w:rsid w:val="005D7718"/>
    <w:pPr>
      <w:keepLines/>
      <w:suppressAutoHyphens/>
      <w:spacing w:before="20" w:after="20" w:line="240" w:lineRule="auto"/>
      <w:ind w:left="57" w:right="57"/>
    </w:pPr>
    <w:rPr>
      <w:rFonts w:ascii="Arial" w:eastAsia="Times New Roman" w:hAnsi="Arial" w:cs="Times New Roman"/>
      <w:sz w:val="24"/>
      <w:szCs w:val="24"/>
      <w:lang w:val="es-MX"/>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CellMar>
        <w:left w:w="0" w:type="dxa"/>
        <w:right w:w="0" w:type="dxa"/>
      </w:tblCellMar>
    </w:tblPr>
    <w:tblStylePr w:type="firstRow">
      <w:pPr>
        <w:spacing w:beforeLines="0" w:before="0" w:beforeAutospacing="0" w:afterLines="0" w:after="0" w:afterAutospacing="0" w:line="240" w:lineRule="auto"/>
        <w:jc w:val="center"/>
      </w:pPr>
      <w:rPr>
        <w:rFonts w:ascii="Arial" w:hAnsi="Arial" w:cs="Arial" w:hint="default"/>
        <w:b/>
        <w:bCs/>
        <w:color w:val="FFFFFF" w:themeColor="background1"/>
        <w:sz w:val="20"/>
        <w:szCs w:val="20"/>
      </w:rPr>
      <w:tblPr/>
      <w:tcPr>
        <w:shd w:val="clear" w:color="auto" w:fill="5B9BD5" w:themeFill="accent1"/>
      </w:tcPr>
    </w:tblStylePr>
    <w:tblStylePr w:type="lastRow">
      <w:pPr>
        <w:spacing w:beforeLines="0" w:before="0" w:beforeAutospacing="0" w:afterLines="0" w:after="0" w:afterAutospacing="0" w:line="240" w:lineRule="auto"/>
      </w:pPr>
      <w:rPr>
        <w:b/>
        <w:bCs/>
      </w:rPr>
      <w:tblPr/>
      <w:tcPr>
        <w:tcBorders>
          <w:top w:val="nil"/>
          <w:left w:val="single" w:sz="8" w:space="0" w:color="5B9BD5" w:themeColor="accent1"/>
          <w:bottom w:val="single" w:sz="8" w:space="0" w:color="5B9BD5" w:themeColor="accent1"/>
          <w:right w:val="single" w:sz="8" w:space="0" w:color="5B9BD5" w:themeColor="accent1"/>
        </w:tcBorders>
      </w:tcPr>
    </w:tblStylePr>
    <w:tblStylePr w:type="firstCol">
      <w:rPr>
        <w:b w:val="0"/>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InduforTable3">
    <w:name w:val="Indufor Table3"/>
    <w:basedOn w:val="Tablanormal"/>
    <w:uiPriority w:val="61"/>
    <w:rsid w:val="00874F12"/>
    <w:pPr>
      <w:keepLines/>
      <w:suppressAutoHyphens/>
      <w:spacing w:before="20" w:after="20" w:line="240" w:lineRule="auto"/>
      <w:ind w:left="57" w:right="57"/>
    </w:pPr>
    <w:rPr>
      <w:rFonts w:ascii="Arial" w:eastAsia="Times New Roman" w:hAnsi="Arial" w:cs="Times New Roman"/>
      <w:sz w:val="24"/>
      <w:szCs w:val="24"/>
      <w:lang w:val="es-MX"/>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CellMar>
        <w:left w:w="0" w:type="dxa"/>
        <w:right w:w="0" w:type="dxa"/>
      </w:tblCellMar>
    </w:tblPr>
    <w:tblStylePr w:type="firstRow">
      <w:pPr>
        <w:spacing w:beforeLines="0" w:before="0" w:beforeAutospacing="0" w:afterLines="0" w:after="0" w:afterAutospacing="0" w:line="240" w:lineRule="auto"/>
        <w:jc w:val="center"/>
      </w:pPr>
      <w:rPr>
        <w:rFonts w:ascii="Arial" w:hAnsi="Arial" w:cs="Arial" w:hint="default"/>
        <w:b/>
        <w:bCs/>
        <w:color w:val="FFFFFF" w:themeColor="background1"/>
        <w:sz w:val="20"/>
        <w:szCs w:val="20"/>
      </w:rPr>
      <w:tblPr/>
      <w:tcPr>
        <w:shd w:val="clear" w:color="auto" w:fill="5B9BD5" w:themeFill="accent1"/>
      </w:tcPr>
    </w:tblStylePr>
    <w:tblStylePr w:type="lastRow">
      <w:pPr>
        <w:spacing w:beforeLines="0" w:before="0" w:beforeAutospacing="0" w:afterLines="0" w:after="0" w:afterAutospacing="0" w:line="240" w:lineRule="auto"/>
      </w:pPr>
      <w:rPr>
        <w:b/>
        <w:bCs/>
      </w:rPr>
      <w:tblPr/>
      <w:tcPr>
        <w:tcBorders>
          <w:top w:val="nil"/>
          <w:left w:val="single" w:sz="8" w:space="0" w:color="5B9BD5" w:themeColor="accent1"/>
          <w:bottom w:val="single" w:sz="8" w:space="0" w:color="5B9BD5" w:themeColor="accent1"/>
          <w:right w:val="single" w:sz="8" w:space="0" w:color="5B9BD5" w:themeColor="accent1"/>
        </w:tcBorders>
      </w:tcPr>
    </w:tblStylePr>
    <w:tblStylePr w:type="firstCol">
      <w:rPr>
        <w:b w:val="0"/>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InduforTable4">
    <w:name w:val="Indufor Table4"/>
    <w:basedOn w:val="Tablanormal"/>
    <w:uiPriority w:val="61"/>
    <w:rsid w:val="00874F12"/>
    <w:pPr>
      <w:keepLines/>
      <w:suppressAutoHyphens/>
      <w:spacing w:before="20" w:after="20" w:line="240" w:lineRule="auto"/>
      <w:ind w:left="57" w:right="57"/>
    </w:pPr>
    <w:rPr>
      <w:rFonts w:ascii="Arial" w:eastAsia="Times New Roman" w:hAnsi="Arial" w:cs="Times New Roman"/>
      <w:sz w:val="24"/>
      <w:szCs w:val="24"/>
      <w:lang w:val="es-MX"/>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CellMar>
        <w:left w:w="0" w:type="dxa"/>
        <w:right w:w="0" w:type="dxa"/>
      </w:tblCellMar>
    </w:tblPr>
    <w:tblStylePr w:type="firstRow">
      <w:pPr>
        <w:spacing w:beforeLines="0" w:before="0" w:beforeAutospacing="0" w:afterLines="0" w:after="0" w:afterAutospacing="0" w:line="240" w:lineRule="auto"/>
        <w:jc w:val="center"/>
      </w:pPr>
      <w:rPr>
        <w:rFonts w:ascii="Arial" w:hAnsi="Arial" w:cs="Arial" w:hint="default"/>
        <w:b/>
        <w:bCs/>
        <w:color w:val="FFFFFF" w:themeColor="background1"/>
        <w:sz w:val="20"/>
        <w:szCs w:val="20"/>
      </w:rPr>
      <w:tblPr/>
      <w:tcPr>
        <w:shd w:val="clear" w:color="auto" w:fill="5B9BD5" w:themeFill="accent1"/>
      </w:tcPr>
    </w:tblStylePr>
    <w:tblStylePr w:type="lastRow">
      <w:pPr>
        <w:spacing w:beforeLines="0" w:before="0" w:beforeAutospacing="0" w:afterLines="0" w:after="0" w:afterAutospacing="0" w:line="240" w:lineRule="auto"/>
      </w:pPr>
      <w:rPr>
        <w:b/>
        <w:bCs/>
      </w:rPr>
      <w:tblPr/>
      <w:tcPr>
        <w:tcBorders>
          <w:top w:val="nil"/>
          <w:left w:val="single" w:sz="8" w:space="0" w:color="5B9BD5" w:themeColor="accent1"/>
          <w:bottom w:val="single" w:sz="8" w:space="0" w:color="5B9BD5" w:themeColor="accent1"/>
          <w:right w:val="single" w:sz="8" w:space="0" w:color="5B9BD5" w:themeColor="accent1"/>
        </w:tcBorders>
      </w:tcPr>
    </w:tblStylePr>
    <w:tblStylePr w:type="firstCol">
      <w:rPr>
        <w:b w:val="0"/>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InduforTable5">
    <w:name w:val="Indufor Table5"/>
    <w:basedOn w:val="Tablanormal"/>
    <w:uiPriority w:val="61"/>
    <w:rsid w:val="00874F12"/>
    <w:pPr>
      <w:keepLines/>
      <w:suppressAutoHyphens/>
      <w:spacing w:before="20" w:after="20" w:line="240" w:lineRule="auto"/>
      <w:ind w:left="57" w:right="57"/>
    </w:pPr>
    <w:rPr>
      <w:rFonts w:ascii="Arial" w:eastAsia="Times New Roman" w:hAnsi="Arial" w:cs="Times New Roman"/>
      <w:sz w:val="24"/>
      <w:szCs w:val="24"/>
      <w:lang w:val="es-MX"/>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CellMar>
        <w:left w:w="0" w:type="dxa"/>
        <w:right w:w="0" w:type="dxa"/>
      </w:tblCellMar>
    </w:tblPr>
    <w:tblStylePr w:type="firstRow">
      <w:pPr>
        <w:spacing w:beforeLines="0" w:before="0" w:beforeAutospacing="0" w:afterLines="0" w:after="0" w:afterAutospacing="0" w:line="240" w:lineRule="auto"/>
        <w:jc w:val="center"/>
      </w:pPr>
      <w:rPr>
        <w:rFonts w:ascii="Arial" w:hAnsi="Arial" w:cs="Arial" w:hint="default"/>
        <w:b/>
        <w:bCs/>
        <w:color w:val="FFFFFF" w:themeColor="background1"/>
        <w:sz w:val="20"/>
        <w:szCs w:val="20"/>
      </w:rPr>
      <w:tblPr/>
      <w:tcPr>
        <w:shd w:val="clear" w:color="auto" w:fill="5B9BD5" w:themeFill="accent1"/>
      </w:tcPr>
    </w:tblStylePr>
    <w:tblStylePr w:type="lastRow">
      <w:pPr>
        <w:spacing w:beforeLines="0" w:before="0" w:beforeAutospacing="0" w:afterLines="0" w:after="0" w:afterAutospacing="0" w:line="240" w:lineRule="auto"/>
      </w:pPr>
      <w:rPr>
        <w:b/>
        <w:bCs/>
      </w:rPr>
      <w:tblPr/>
      <w:tcPr>
        <w:tcBorders>
          <w:top w:val="nil"/>
          <w:left w:val="single" w:sz="8" w:space="0" w:color="5B9BD5" w:themeColor="accent1"/>
          <w:bottom w:val="single" w:sz="8" w:space="0" w:color="5B9BD5" w:themeColor="accent1"/>
          <w:right w:val="single" w:sz="8" w:space="0" w:color="5B9BD5" w:themeColor="accent1"/>
        </w:tcBorders>
      </w:tcPr>
    </w:tblStylePr>
    <w:tblStylePr w:type="firstCol">
      <w:rPr>
        <w:b w:val="0"/>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InduforTable6">
    <w:name w:val="Indufor Table6"/>
    <w:basedOn w:val="Tablanormal"/>
    <w:uiPriority w:val="61"/>
    <w:rsid w:val="00874F12"/>
    <w:pPr>
      <w:keepLines/>
      <w:suppressAutoHyphens/>
      <w:spacing w:before="20" w:after="20" w:line="240" w:lineRule="auto"/>
      <w:ind w:left="57" w:right="57"/>
    </w:pPr>
    <w:rPr>
      <w:rFonts w:ascii="Arial" w:eastAsia="Times New Roman" w:hAnsi="Arial" w:cs="Times New Roman"/>
      <w:sz w:val="24"/>
      <w:szCs w:val="24"/>
      <w:lang w:val="es-MX"/>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CellMar>
        <w:left w:w="0" w:type="dxa"/>
        <w:right w:w="0" w:type="dxa"/>
      </w:tblCellMar>
    </w:tblPr>
    <w:tblStylePr w:type="firstRow">
      <w:pPr>
        <w:spacing w:beforeLines="0" w:before="0" w:beforeAutospacing="0" w:afterLines="0" w:after="0" w:afterAutospacing="0" w:line="240" w:lineRule="auto"/>
        <w:jc w:val="center"/>
      </w:pPr>
      <w:rPr>
        <w:rFonts w:ascii="Arial" w:hAnsi="Arial" w:cs="Arial" w:hint="default"/>
        <w:b/>
        <w:bCs/>
        <w:color w:val="FFFFFF" w:themeColor="background1"/>
        <w:sz w:val="20"/>
        <w:szCs w:val="20"/>
      </w:rPr>
      <w:tblPr/>
      <w:tcPr>
        <w:shd w:val="clear" w:color="auto" w:fill="5B9BD5" w:themeFill="accent1"/>
      </w:tcPr>
    </w:tblStylePr>
    <w:tblStylePr w:type="lastRow">
      <w:pPr>
        <w:spacing w:beforeLines="0" w:before="0" w:beforeAutospacing="0" w:afterLines="0" w:after="0" w:afterAutospacing="0" w:line="240" w:lineRule="auto"/>
      </w:pPr>
      <w:rPr>
        <w:b/>
        <w:bCs/>
      </w:rPr>
      <w:tblPr/>
      <w:tcPr>
        <w:tcBorders>
          <w:top w:val="nil"/>
          <w:left w:val="single" w:sz="8" w:space="0" w:color="5B9BD5" w:themeColor="accent1"/>
          <w:bottom w:val="single" w:sz="8" w:space="0" w:color="5B9BD5" w:themeColor="accent1"/>
          <w:right w:val="single" w:sz="8" w:space="0" w:color="5B9BD5" w:themeColor="accent1"/>
        </w:tcBorders>
      </w:tcPr>
    </w:tblStylePr>
    <w:tblStylePr w:type="firstCol">
      <w:rPr>
        <w:b w:val="0"/>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InduforTable7">
    <w:name w:val="Indufor Table7"/>
    <w:basedOn w:val="Tablanormal"/>
    <w:uiPriority w:val="61"/>
    <w:rsid w:val="00874F12"/>
    <w:pPr>
      <w:keepLines/>
      <w:suppressAutoHyphens/>
      <w:spacing w:before="20" w:after="20" w:line="240" w:lineRule="auto"/>
      <w:ind w:left="57" w:right="57"/>
    </w:pPr>
    <w:rPr>
      <w:rFonts w:ascii="Arial" w:eastAsia="Times New Roman" w:hAnsi="Arial" w:cs="Times New Roman"/>
      <w:sz w:val="24"/>
      <w:szCs w:val="24"/>
      <w:lang w:val="es-MX"/>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CellMar>
        <w:left w:w="0" w:type="dxa"/>
        <w:right w:w="0" w:type="dxa"/>
      </w:tblCellMar>
    </w:tblPr>
    <w:tblStylePr w:type="firstRow">
      <w:pPr>
        <w:spacing w:beforeLines="0" w:before="0" w:beforeAutospacing="0" w:afterLines="0" w:after="0" w:afterAutospacing="0" w:line="240" w:lineRule="auto"/>
        <w:jc w:val="center"/>
      </w:pPr>
      <w:rPr>
        <w:rFonts w:ascii="Arial" w:hAnsi="Arial" w:cs="Arial" w:hint="default"/>
        <w:b/>
        <w:bCs/>
        <w:color w:val="FFFFFF" w:themeColor="background1"/>
        <w:sz w:val="20"/>
        <w:szCs w:val="20"/>
      </w:rPr>
      <w:tblPr/>
      <w:tcPr>
        <w:shd w:val="clear" w:color="auto" w:fill="5B9BD5" w:themeFill="accent1"/>
      </w:tcPr>
    </w:tblStylePr>
    <w:tblStylePr w:type="lastRow">
      <w:pPr>
        <w:spacing w:beforeLines="0" w:before="0" w:beforeAutospacing="0" w:afterLines="0" w:after="0" w:afterAutospacing="0" w:line="240" w:lineRule="auto"/>
      </w:pPr>
      <w:rPr>
        <w:b/>
        <w:bCs/>
      </w:rPr>
      <w:tblPr/>
      <w:tcPr>
        <w:tcBorders>
          <w:top w:val="nil"/>
          <w:left w:val="single" w:sz="8" w:space="0" w:color="5B9BD5" w:themeColor="accent1"/>
          <w:bottom w:val="single" w:sz="8" w:space="0" w:color="5B9BD5" w:themeColor="accent1"/>
          <w:right w:val="single" w:sz="8" w:space="0" w:color="5B9BD5" w:themeColor="accent1"/>
        </w:tcBorders>
      </w:tcPr>
    </w:tblStylePr>
    <w:tblStylePr w:type="firstCol">
      <w:rPr>
        <w:b w:val="0"/>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Tablaconcuadrcula4-nfasis11">
    <w:name w:val="Tabla con cuadrícula 4 - Énfasis 11"/>
    <w:basedOn w:val="Tablanormal"/>
    <w:uiPriority w:val="49"/>
    <w:rsid w:val="00807AFB"/>
    <w:pPr>
      <w:spacing w:after="0" w:line="240" w:lineRule="auto"/>
    </w:pPr>
    <w:rPr>
      <w:rFonts w:ascii="Calibri" w:hAnsi="Calibri" w:cs="Times New Roman"/>
      <w:spacing w:val="-3"/>
      <w:sz w:val="18"/>
      <w:szCs w:val="20"/>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Mencinsinresolver3">
    <w:name w:val="Mención sin resolver3"/>
    <w:basedOn w:val="Fuentedeprrafopredeter"/>
    <w:uiPriority w:val="99"/>
    <w:semiHidden/>
    <w:unhideWhenUsed/>
    <w:rsid w:val="0023306B"/>
    <w:rPr>
      <w:color w:val="605E5C"/>
      <w:shd w:val="clear" w:color="auto" w:fill="E1DFDD"/>
    </w:rPr>
  </w:style>
  <w:style w:type="paragraph" w:customStyle="1" w:styleId="Normal140">
    <w:name w:val="Normal_140"/>
    <w:qFormat/>
    <w:rsid w:val="00CE5638"/>
    <w:pPr>
      <w:widowControl w:val="0"/>
      <w:autoSpaceDE w:val="0"/>
      <w:autoSpaceDN w:val="0"/>
      <w:spacing w:after="0" w:line="240" w:lineRule="auto"/>
    </w:pPr>
    <w:rPr>
      <w:rFonts w:ascii="Arial" w:eastAsia="Times New Roman" w:hAnsi="Arial" w:cs="Arial"/>
      <w:color w:val="000000"/>
      <w:sz w:val="24"/>
      <w:szCs w:val="24"/>
      <w:lang w:val="es-MX"/>
    </w:rPr>
  </w:style>
  <w:style w:type="character" w:customStyle="1" w:styleId="Mencinsinresolver4">
    <w:name w:val="Mención sin resolver4"/>
    <w:basedOn w:val="Fuentedeprrafopredeter"/>
    <w:uiPriority w:val="99"/>
    <w:unhideWhenUsed/>
    <w:rsid w:val="00D56BA1"/>
    <w:rPr>
      <w:color w:val="605E5C"/>
      <w:shd w:val="clear" w:color="auto" w:fill="E1DFDD"/>
    </w:rPr>
  </w:style>
  <w:style w:type="character" w:customStyle="1" w:styleId="UnresolvedMention3">
    <w:name w:val="Unresolved Mention3"/>
    <w:basedOn w:val="Fuentedeprrafopredeter"/>
    <w:uiPriority w:val="99"/>
    <w:semiHidden/>
    <w:unhideWhenUsed/>
    <w:rsid w:val="005C7CB6"/>
    <w:rPr>
      <w:color w:val="605E5C"/>
      <w:shd w:val="clear" w:color="auto" w:fill="E1DFDD"/>
    </w:rPr>
  </w:style>
  <w:style w:type="paragraph" w:customStyle="1" w:styleId="CarattereCarattereCharCharCharCharCharCharZchn">
    <w:name w:val="Carattere Carattere Char Char Char Char Char Char Zchn"/>
    <w:aliases w:val="ftref Char Char Char Char Char Char Zchn,Char Char Char Char Char Char Char Char Zchn,ftref Char Char Char1 Zchn,Carattere Carattere Char Char Char Char Char Char Char Zchn"/>
    <w:basedOn w:val="Normal"/>
    <w:next w:val="Normal"/>
    <w:link w:val="Refdenotaalpie"/>
    <w:uiPriority w:val="99"/>
    <w:rsid w:val="00235386"/>
    <w:pPr>
      <w:widowControl w:val="0"/>
      <w:tabs>
        <w:tab w:val="left" w:pos="220"/>
        <w:tab w:val="left" w:pos="720"/>
      </w:tabs>
      <w:autoSpaceDE w:val="0"/>
      <w:autoSpaceDN w:val="0"/>
      <w:adjustRightInd w:val="0"/>
      <w:spacing w:after="160" w:line="240" w:lineRule="exact"/>
      <w:jc w:val="left"/>
    </w:pPr>
    <w:rPr>
      <w:rFonts w:ascii="Garamond" w:hAnsi="Garamond" w:cstheme="minorBidi"/>
      <w:sz w:val="18"/>
      <w:szCs w:val="18"/>
      <w:vertAlign w:val="superscript"/>
    </w:rPr>
  </w:style>
  <w:style w:type="table" w:customStyle="1" w:styleId="Tablaconcuadrcula6concolores-nfasis11">
    <w:name w:val="Tabla con cuadrícula 6 con colores - Énfasis 11"/>
    <w:basedOn w:val="Tablanormal"/>
    <w:uiPriority w:val="51"/>
    <w:rsid w:val="00235386"/>
    <w:pPr>
      <w:spacing w:after="0" w:line="240" w:lineRule="auto"/>
    </w:pPr>
    <w:rPr>
      <w:color w:val="2E74B5" w:themeColor="accent1" w:themeShade="BF"/>
      <w:lang w:val="es-DO"/>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UnresolvedMention4">
    <w:name w:val="Unresolved Mention4"/>
    <w:basedOn w:val="Fuentedeprrafopredeter"/>
    <w:uiPriority w:val="99"/>
    <w:semiHidden/>
    <w:unhideWhenUsed/>
    <w:rsid w:val="005A6E85"/>
    <w:rPr>
      <w:color w:val="605E5C"/>
      <w:shd w:val="clear" w:color="auto" w:fill="E1DFDD"/>
    </w:rPr>
  </w:style>
  <w:style w:type="character" w:customStyle="1" w:styleId="Mencinsinresolver5">
    <w:name w:val="Mención sin resolver5"/>
    <w:basedOn w:val="Fuentedeprrafopredeter"/>
    <w:uiPriority w:val="99"/>
    <w:semiHidden/>
    <w:unhideWhenUsed/>
    <w:rsid w:val="00495880"/>
    <w:rPr>
      <w:color w:val="605E5C"/>
      <w:shd w:val="clear" w:color="auto" w:fill="E1DFDD"/>
    </w:rPr>
  </w:style>
  <w:style w:type="character" w:customStyle="1" w:styleId="Mencinsinresolver6">
    <w:name w:val="Mención sin resolver6"/>
    <w:basedOn w:val="Fuentedeprrafopredeter"/>
    <w:uiPriority w:val="99"/>
    <w:semiHidden/>
    <w:unhideWhenUsed/>
    <w:rsid w:val="00F233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9932">
      <w:bodyDiv w:val="1"/>
      <w:marLeft w:val="0"/>
      <w:marRight w:val="0"/>
      <w:marTop w:val="0"/>
      <w:marBottom w:val="0"/>
      <w:divBdr>
        <w:top w:val="none" w:sz="0" w:space="0" w:color="auto"/>
        <w:left w:val="none" w:sz="0" w:space="0" w:color="auto"/>
        <w:bottom w:val="none" w:sz="0" w:space="0" w:color="auto"/>
        <w:right w:val="none" w:sz="0" w:space="0" w:color="auto"/>
      </w:divBdr>
    </w:div>
    <w:div w:id="64422654">
      <w:bodyDiv w:val="1"/>
      <w:marLeft w:val="0"/>
      <w:marRight w:val="0"/>
      <w:marTop w:val="0"/>
      <w:marBottom w:val="0"/>
      <w:divBdr>
        <w:top w:val="none" w:sz="0" w:space="0" w:color="auto"/>
        <w:left w:val="none" w:sz="0" w:space="0" w:color="auto"/>
        <w:bottom w:val="none" w:sz="0" w:space="0" w:color="auto"/>
        <w:right w:val="none" w:sz="0" w:space="0" w:color="auto"/>
      </w:divBdr>
    </w:div>
    <w:div w:id="89400073">
      <w:bodyDiv w:val="1"/>
      <w:marLeft w:val="0"/>
      <w:marRight w:val="0"/>
      <w:marTop w:val="0"/>
      <w:marBottom w:val="0"/>
      <w:divBdr>
        <w:top w:val="none" w:sz="0" w:space="0" w:color="auto"/>
        <w:left w:val="none" w:sz="0" w:space="0" w:color="auto"/>
        <w:bottom w:val="none" w:sz="0" w:space="0" w:color="auto"/>
        <w:right w:val="none" w:sz="0" w:space="0" w:color="auto"/>
      </w:divBdr>
    </w:div>
    <w:div w:id="103769637">
      <w:bodyDiv w:val="1"/>
      <w:marLeft w:val="0"/>
      <w:marRight w:val="0"/>
      <w:marTop w:val="0"/>
      <w:marBottom w:val="0"/>
      <w:divBdr>
        <w:top w:val="none" w:sz="0" w:space="0" w:color="auto"/>
        <w:left w:val="none" w:sz="0" w:space="0" w:color="auto"/>
        <w:bottom w:val="none" w:sz="0" w:space="0" w:color="auto"/>
        <w:right w:val="none" w:sz="0" w:space="0" w:color="auto"/>
      </w:divBdr>
    </w:div>
    <w:div w:id="126970492">
      <w:bodyDiv w:val="1"/>
      <w:marLeft w:val="0"/>
      <w:marRight w:val="0"/>
      <w:marTop w:val="0"/>
      <w:marBottom w:val="0"/>
      <w:divBdr>
        <w:top w:val="none" w:sz="0" w:space="0" w:color="auto"/>
        <w:left w:val="none" w:sz="0" w:space="0" w:color="auto"/>
        <w:bottom w:val="none" w:sz="0" w:space="0" w:color="auto"/>
        <w:right w:val="none" w:sz="0" w:space="0" w:color="auto"/>
      </w:divBdr>
    </w:div>
    <w:div w:id="146752384">
      <w:bodyDiv w:val="1"/>
      <w:marLeft w:val="0"/>
      <w:marRight w:val="0"/>
      <w:marTop w:val="0"/>
      <w:marBottom w:val="0"/>
      <w:divBdr>
        <w:top w:val="none" w:sz="0" w:space="0" w:color="auto"/>
        <w:left w:val="none" w:sz="0" w:space="0" w:color="auto"/>
        <w:bottom w:val="none" w:sz="0" w:space="0" w:color="auto"/>
        <w:right w:val="none" w:sz="0" w:space="0" w:color="auto"/>
      </w:divBdr>
      <w:divsChild>
        <w:div w:id="907112573">
          <w:marLeft w:val="547"/>
          <w:marRight w:val="0"/>
          <w:marTop w:val="0"/>
          <w:marBottom w:val="0"/>
          <w:divBdr>
            <w:top w:val="none" w:sz="0" w:space="0" w:color="auto"/>
            <w:left w:val="none" w:sz="0" w:space="0" w:color="auto"/>
            <w:bottom w:val="none" w:sz="0" w:space="0" w:color="auto"/>
            <w:right w:val="none" w:sz="0" w:space="0" w:color="auto"/>
          </w:divBdr>
        </w:div>
      </w:divsChild>
    </w:div>
    <w:div w:id="162938467">
      <w:bodyDiv w:val="1"/>
      <w:marLeft w:val="0"/>
      <w:marRight w:val="0"/>
      <w:marTop w:val="0"/>
      <w:marBottom w:val="0"/>
      <w:divBdr>
        <w:top w:val="none" w:sz="0" w:space="0" w:color="auto"/>
        <w:left w:val="none" w:sz="0" w:space="0" w:color="auto"/>
        <w:bottom w:val="none" w:sz="0" w:space="0" w:color="auto"/>
        <w:right w:val="none" w:sz="0" w:space="0" w:color="auto"/>
      </w:divBdr>
    </w:div>
    <w:div w:id="323095245">
      <w:bodyDiv w:val="1"/>
      <w:marLeft w:val="0"/>
      <w:marRight w:val="0"/>
      <w:marTop w:val="0"/>
      <w:marBottom w:val="0"/>
      <w:divBdr>
        <w:top w:val="none" w:sz="0" w:space="0" w:color="auto"/>
        <w:left w:val="none" w:sz="0" w:space="0" w:color="auto"/>
        <w:bottom w:val="none" w:sz="0" w:space="0" w:color="auto"/>
        <w:right w:val="none" w:sz="0" w:space="0" w:color="auto"/>
      </w:divBdr>
    </w:div>
    <w:div w:id="429660303">
      <w:bodyDiv w:val="1"/>
      <w:marLeft w:val="0"/>
      <w:marRight w:val="0"/>
      <w:marTop w:val="0"/>
      <w:marBottom w:val="0"/>
      <w:divBdr>
        <w:top w:val="none" w:sz="0" w:space="0" w:color="auto"/>
        <w:left w:val="none" w:sz="0" w:space="0" w:color="auto"/>
        <w:bottom w:val="none" w:sz="0" w:space="0" w:color="auto"/>
        <w:right w:val="none" w:sz="0" w:space="0" w:color="auto"/>
      </w:divBdr>
    </w:div>
    <w:div w:id="441609837">
      <w:bodyDiv w:val="1"/>
      <w:marLeft w:val="0"/>
      <w:marRight w:val="0"/>
      <w:marTop w:val="0"/>
      <w:marBottom w:val="0"/>
      <w:divBdr>
        <w:top w:val="none" w:sz="0" w:space="0" w:color="auto"/>
        <w:left w:val="none" w:sz="0" w:space="0" w:color="auto"/>
        <w:bottom w:val="none" w:sz="0" w:space="0" w:color="auto"/>
        <w:right w:val="none" w:sz="0" w:space="0" w:color="auto"/>
      </w:divBdr>
    </w:div>
    <w:div w:id="475682788">
      <w:bodyDiv w:val="1"/>
      <w:marLeft w:val="0"/>
      <w:marRight w:val="0"/>
      <w:marTop w:val="0"/>
      <w:marBottom w:val="0"/>
      <w:divBdr>
        <w:top w:val="none" w:sz="0" w:space="0" w:color="auto"/>
        <w:left w:val="none" w:sz="0" w:space="0" w:color="auto"/>
        <w:bottom w:val="none" w:sz="0" w:space="0" w:color="auto"/>
        <w:right w:val="none" w:sz="0" w:space="0" w:color="auto"/>
      </w:divBdr>
    </w:div>
    <w:div w:id="522208446">
      <w:bodyDiv w:val="1"/>
      <w:marLeft w:val="0"/>
      <w:marRight w:val="0"/>
      <w:marTop w:val="0"/>
      <w:marBottom w:val="0"/>
      <w:divBdr>
        <w:top w:val="none" w:sz="0" w:space="0" w:color="auto"/>
        <w:left w:val="none" w:sz="0" w:space="0" w:color="auto"/>
        <w:bottom w:val="none" w:sz="0" w:space="0" w:color="auto"/>
        <w:right w:val="none" w:sz="0" w:space="0" w:color="auto"/>
      </w:divBdr>
    </w:div>
    <w:div w:id="559249870">
      <w:bodyDiv w:val="1"/>
      <w:marLeft w:val="0"/>
      <w:marRight w:val="0"/>
      <w:marTop w:val="0"/>
      <w:marBottom w:val="0"/>
      <w:divBdr>
        <w:top w:val="none" w:sz="0" w:space="0" w:color="auto"/>
        <w:left w:val="none" w:sz="0" w:space="0" w:color="auto"/>
        <w:bottom w:val="none" w:sz="0" w:space="0" w:color="auto"/>
        <w:right w:val="none" w:sz="0" w:space="0" w:color="auto"/>
      </w:divBdr>
    </w:div>
    <w:div w:id="646709953">
      <w:bodyDiv w:val="1"/>
      <w:marLeft w:val="0"/>
      <w:marRight w:val="0"/>
      <w:marTop w:val="0"/>
      <w:marBottom w:val="0"/>
      <w:divBdr>
        <w:top w:val="none" w:sz="0" w:space="0" w:color="auto"/>
        <w:left w:val="none" w:sz="0" w:space="0" w:color="auto"/>
        <w:bottom w:val="none" w:sz="0" w:space="0" w:color="auto"/>
        <w:right w:val="none" w:sz="0" w:space="0" w:color="auto"/>
      </w:divBdr>
    </w:div>
    <w:div w:id="708455069">
      <w:bodyDiv w:val="1"/>
      <w:marLeft w:val="0"/>
      <w:marRight w:val="0"/>
      <w:marTop w:val="0"/>
      <w:marBottom w:val="0"/>
      <w:divBdr>
        <w:top w:val="none" w:sz="0" w:space="0" w:color="auto"/>
        <w:left w:val="none" w:sz="0" w:space="0" w:color="auto"/>
        <w:bottom w:val="none" w:sz="0" w:space="0" w:color="auto"/>
        <w:right w:val="none" w:sz="0" w:space="0" w:color="auto"/>
      </w:divBdr>
    </w:div>
    <w:div w:id="739866741">
      <w:bodyDiv w:val="1"/>
      <w:marLeft w:val="0"/>
      <w:marRight w:val="0"/>
      <w:marTop w:val="0"/>
      <w:marBottom w:val="0"/>
      <w:divBdr>
        <w:top w:val="none" w:sz="0" w:space="0" w:color="auto"/>
        <w:left w:val="none" w:sz="0" w:space="0" w:color="auto"/>
        <w:bottom w:val="none" w:sz="0" w:space="0" w:color="auto"/>
        <w:right w:val="none" w:sz="0" w:space="0" w:color="auto"/>
      </w:divBdr>
    </w:div>
    <w:div w:id="753673889">
      <w:bodyDiv w:val="1"/>
      <w:marLeft w:val="0"/>
      <w:marRight w:val="0"/>
      <w:marTop w:val="0"/>
      <w:marBottom w:val="0"/>
      <w:divBdr>
        <w:top w:val="none" w:sz="0" w:space="0" w:color="auto"/>
        <w:left w:val="none" w:sz="0" w:space="0" w:color="auto"/>
        <w:bottom w:val="none" w:sz="0" w:space="0" w:color="auto"/>
        <w:right w:val="none" w:sz="0" w:space="0" w:color="auto"/>
      </w:divBdr>
      <w:divsChild>
        <w:div w:id="1784953451">
          <w:marLeft w:val="547"/>
          <w:marRight w:val="0"/>
          <w:marTop w:val="0"/>
          <w:marBottom w:val="0"/>
          <w:divBdr>
            <w:top w:val="none" w:sz="0" w:space="0" w:color="auto"/>
            <w:left w:val="none" w:sz="0" w:space="0" w:color="auto"/>
            <w:bottom w:val="none" w:sz="0" w:space="0" w:color="auto"/>
            <w:right w:val="none" w:sz="0" w:space="0" w:color="auto"/>
          </w:divBdr>
        </w:div>
      </w:divsChild>
    </w:div>
    <w:div w:id="783691649">
      <w:bodyDiv w:val="1"/>
      <w:marLeft w:val="0"/>
      <w:marRight w:val="0"/>
      <w:marTop w:val="0"/>
      <w:marBottom w:val="0"/>
      <w:divBdr>
        <w:top w:val="none" w:sz="0" w:space="0" w:color="auto"/>
        <w:left w:val="none" w:sz="0" w:space="0" w:color="auto"/>
        <w:bottom w:val="none" w:sz="0" w:space="0" w:color="auto"/>
        <w:right w:val="none" w:sz="0" w:space="0" w:color="auto"/>
      </w:divBdr>
    </w:div>
    <w:div w:id="809904990">
      <w:bodyDiv w:val="1"/>
      <w:marLeft w:val="0"/>
      <w:marRight w:val="0"/>
      <w:marTop w:val="0"/>
      <w:marBottom w:val="0"/>
      <w:divBdr>
        <w:top w:val="none" w:sz="0" w:space="0" w:color="auto"/>
        <w:left w:val="none" w:sz="0" w:space="0" w:color="auto"/>
        <w:bottom w:val="none" w:sz="0" w:space="0" w:color="auto"/>
        <w:right w:val="none" w:sz="0" w:space="0" w:color="auto"/>
      </w:divBdr>
    </w:div>
    <w:div w:id="903292622">
      <w:bodyDiv w:val="1"/>
      <w:marLeft w:val="0"/>
      <w:marRight w:val="0"/>
      <w:marTop w:val="0"/>
      <w:marBottom w:val="0"/>
      <w:divBdr>
        <w:top w:val="none" w:sz="0" w:space="0" w:color="auto"/>
        <w:left w:val="none" w:sz="0" w:space="0" w:color="auto"/>
        <w:bottom w:val="none" w:sz="0" w:space="0" w:color="auto"/>
        <w:right w:val="none" w:sz="0" w:space="0" w:color="auto"/>
      </w:divBdr>
    </w:div>
    <w:div w:id="912664921">
      <w:bodyDiv w:val="1"/>
      <w:marLeft w:val="0"/>
      <w:marRight w:val="0"/>
      <w:marTop w:val="0"/>
      <w:marBottom w:val="0"/>
      <w:divBdr>
        <w:top w:val="none" w:sz="0" w:space="0" w:color="auto"/>
        <w:left w:val="none" w:sz="0" w:space="0" w:color="auto"/>
        <w:bottom w:val="none" w:sz="0" w:space="0" w:color="auto"/>
        <w:right w:val="none" w:sz="0" w:space="0" w:color="auto"/>
      </w:divBdr>
    </w:div>
    <w:div w:id="1011028084">
      <w:bodyDiv w:val="1"/>
      <w:marLeft w:val="0"/>
      <w:marRight w:val="0"/>
      <w:marTop w:val="0"/>
      <w:marBottom w:val="0"/>
      <w:divBdr>
        <w:top w:val="none" w:sz="0" w:space="0" w:color="auto"/>
        <w:left w:val="none" w:sz="0" w:space="0" w:color="auto"/>
        <w:bottom w:val="none" w:sz="0" w:space="0" w:color="auto"/>
        <w:right w:val="none" w:sz="0" w:space="0" w:color="auto"/>
      </w:divBdr>
    </w:div>
    <w:div w:id="1044215612">
      <w:bodyDiv w:val="1"/>
      <w:marLeft w:val="0"/>
      <w:marRight w:val="0"/>
      <w:marTop w:val="0"/>
      <w:marBottom w:val="0"/>
      <w:divBdr>
        <w:top w:val="none" w:sz="0" w:space="0" w:color="auto"/>
        <w:left w:val="none" w:sz="0" w:space="0" w:color="auto"/>
        <w:bottom w:val="none" w:sz="0" w:space="0" w:color="auto"/>
        <w:right w:val="none" w:sz="0" w:space="0" w:color="auto"/>
      </w:divBdr>
      <w:divsChild>
        <w:div w:id="267929159">
          <w:marLeft w:val="0"/>
          <w:marRight w:val="0"/>
          <w:marTop w:val="0"/>
          <w:marBottom w:val="0"/>
          <w:divBdr>
            <w:top w:val="none" w:sz="0" w:space="0" w:color="auto"/>
            <w:left w:val="none" w:sz="0" w:space="0" w:color="auto"/>
            <w:bottom w:val="none" w:sz="0" w:space="0" w:color="auto"/>
            <w:right w:val="none" w:sz="0" w:space="0" w:color="auto"/>
          </w:divBdr>
          <w:divsChild>
            <w:div w:id="744186527">
              <w:marLeft w:val="0"/>
              <w:marRight w:val="0"/>
              <w:marTop w:val="0"/>
              <w:marBottom w:val="0"/>
              <w:divBdr>
                <w:top w:val="none" w:sz="0" w:space="0" w:color="auto"/>
                <w:left w:val="none" w:sz="0" w:space="0" w:color="auto"/>
                <w:bottom w:val="none" w:sz="0" w:space="0" w:color="auto"/>
                <w:right w:val="none" w:sz="0" w:space="0" w:color="auto"/>
              </w:divBdr>
              <w:divsChild>
                <w:div w:id="1320232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7039133">
      <w:bodyDiv w:val="1"/>
      <w:marLeft w:val="0"/>
      <w:marRight w:val="0"/>
      <w:marTop w:val="0"/>
      <w:marBottom w:val="0"/>
      <w:divBdr>
        <w:top w:val="none" w:sz="0" w:space="0" w:color="auto"/>
        <w:left w:val="none" w:sz="0" w:space="0" w:color="auto"/>
        <w:bottom w:val="none" w:sz="0" w:space="0" w:color="auto"/>
        <w:right w:val="none" w:sz="0" w:space="0" w:color="auto"/>
      </w:divBdr>
    </w:div>
    <w:div w:id="1269194407">
      <w:bodyDiv w:val="1"/>
      <w:marLeft w:val="0"/>
      <w:marRight w:val="0"/>
      <w:marTop w:val="0"/>
      <w:marBottom w:val="0"/>
      <w:divBdr>
        <w:top w:val="none" w:sz="0" w:space="0" w:color="auto"/>
        <w:left w:val="none" w:sz="0" w:space="0" w:color="auto"/>
        <w:bottom w:val="none" w:sz="0" w:space="0" w:color="auto"/>
        <w:right w:val="none" w:sz="0" w:space="0" w:color="auto"/>
      </w:divBdr>
    </w:div>
    <w:div w:id="1569993360">
      <w:bodyDiv w:val="1"/>
      <w:marLeft w:val="0"/>
      <w:marRight w:val="0"/>
      <w:marTop w:val="0"/>
      <w:marBottom w:val="0"/>
      <w:divBdr>
        <w:top w:val="none" w:sz="0" w:space="0" w:color="auto"/>
        <w:left w:val="none" w:sz="0" w:space="0" w:color="auto"/>
        <w:bottom w:val="none" w:sz="0" w:space="0" w:color="auto"/>
        <w:right w:val="none" w:sz="0" w:space="0" w:color="auto"/>
      </w:divBdr>
    </w:div>
    <w:div w:id="1650086246">
      <w:bodyDiv w:val="1"/>
      <w:marLeft w:val="0"/>
      <w:marRight w:val="0"/>
      <w:marTop w:val="0"/>
      <w:marBottom w:val="0"/>
      <w:divBdr>
        <w:top w:val="none" w:sz="0" w:space="0" w:color="auto"/>
        <w:left w:val="none" w:sz="0" w:space="0" w:color="auto"/>
        <w:bottom w:val="none" w:sz="0" w:space="0" w:color="auto"/>
        <w:right w:val="none" w:sz="0" w:space="0" w:color="auto"/>
      </w:divBdr>
    </w:div>
    <w:div w:id="1670402025">
      <w:bodyDiv w:val="1"/>
      <w:marLeft w:val="0"/>
      <w:marRight w:val="0"/>
      <w:marTop w:val="0"/>
      <w:marBottom w:val="0"/>
      <w:divBdr>
        <w:top w:val="none" w:sz="0" w:space="0" w:color="auto"/>
        <w:left w:val="none" w:sz="0" w:space="0" w:color="auto"/>
        <w:bottom w:val="none" w:sz="0" w:space="0" w:color="auto"/>
        <w:right w:val="none" w:sz="0" w:space="0" w:color="auto"/>
      </w:divBdr>
    </w:div>
    <w:div w:id="1683822500">
      <w:bodyDiv w:val="1"/>
      <w:marLeft w:val="0"/>
      <w:marRight w:val="0"/>
      <w:marTop w:val="0"/>
      <w:marBottom w:val="0"/>
      <w:divBdr>
        <w:top w:val="none" w:sz="0" w:space="0" w:color="auto"/>
        <w:left w:val="none" w:sz="0" w:space="0" w:color="auto"/>
        <w:bottom w:val="none" w:sz="0" w:space="0" w:color="auto"/>
        <w:right w:val="none" w:sz="0" w:space="0" w:color="auto"/>
      </w:divBdr>
    </w:div>
    <w:div w:id="1764641339">
      <w:bodyDiv w:val="1"/>
      <w:marLeft w:val="0"/>
      <w:marRight w:val="0"/>
      <w:marTop w:val="0"/>
      <w:marBottom w:val="0"/>
      <w:divBdr>
        <w:top w:val="none" w:sz="0" w:space="0" w:color="auto"/>
        <w:left w:val="none" w:sz="0" w:space="0" w:color="auto"/>
        <w:bottom w:val="none" w:sz="0" w:space="0" w:color="auto"/>
        <w:right w:val="none" w:sz="0" w:space="0" w:color="auto"/>
      </w:divBdr>
    </w:div>
    <w:div w:id="1814056587">
      <w:bodyDiv w:val="1"/>
      <w:marLeft w:val="0"/>
      <w:marRight w:val="0"/>
      <w:marTop w:val="0"/>
      <w:marBottom w:val="0"/>
      <w:divBdr>
        <w:top w:val="none" w:sz="0" w:space="0" w:color="auto"/>
        <w:left w:val="none" w:sz="0" w:space="0" w:color="auto"/>
        <w:bottom w:val="none" w:sz="0" w:space="0" w:color="auto"/>
        <w:right w:val="none" w:sz="0" w:space="0" w:color="auto"/>
      </w:divBdr>
    </w:div>
    <w:div w:id="1814640213">
      <w:bodyDiv w:val="1"/>
      <w:marLeft w:val="0"/>
      <w:marRight w:val="0"/>
      <w:marTop w:val="0"/>
      <w:marBottom w:val="0"/>
      <w:divBdr>
        <w:top w:val="none" w:sz="0" w:space="0" w:color="auto"/>
        <w:left w:val="none" w:sz="0" w:space="0" w:color="auto"/>
        <w:bottom w:val="none" w:sz="0" w:space="0" w:color="auto"/>
        <w:right w:val="none" w:sz="0" w:space="0" w:color="auto"/>
      </w:divBdr>
    </w:div>
    <w:div w:id="1825586988">
      <w:bodyDiv w:val="1"/>
      <w:marLeft w:val="0"/>
      <w:marRight w:val="0"/>
      <w:marTop w:val="0"/>
      <w:marBottom w:val="0"/>
      <w:divBdr>
        <w:top w:val="none" w:sz="0" w:space="0" w:color="auto"/>
        <w:left w:val="none" w:sz="0" w:space="0" w:color="auto"/>
        <w:bottom w:val="none" w:sz="0" w:space="0" w:color="auto"/>
        <w:right w:val="none" w:sz="0" w:space="0" w:color="auto"/>
      </w:divBdr>
    </w:div>
    <w:div w:id="1827167465">
      <w:bodyDiv w:val="1"/>
      <w:marLeft w:val="0"/>
      <w:marRight w:val="0"/>
      <w:marTop w:val="0"/>
      <w:marBottom w:val="0"/>
      <w:divBdr>
        <w:top w:val="none" w:sz="0" w:space="0" w:color="auto"/>
        <w:left w:val="none" w:sz="0" w:space="0" w:color="auto"/>
        <w:bottom w:val="none" w:sz="0" w:space="0" w:color="auto"/>
        <w:right w:val="none" w:sz="0" w:space="0" w:color="auto"/>
      </w:divBdr>
    </w:div>
    <w:div w:id="1831209388">
      <w:bodyDiv w:val="1"/>
      <w:marLeft w:val="0"/>
      <w:marRight w:val="0"/>
      <w:marTop w:val="0"/>
      <w:marBottom w:val="0"/>
      <w:divBdr>
        <w:top w:val="none" w:sz="0" w:space="0" w:color="auto"/>
        <w:left w:val="none" w:sz="0" w:space="0" w:color="auto"/>
        <w:bottom w:val="none" w:sz="0" w:space="0" w:color="auto"/>
        <w:right w:val="none" w:sz="0" w:space="0" w:color="auto"/>
      </w:divBdr>
    </w:div>
    <w:div w:id="1867986888">
      <w:bodyDiv w:val="1"/>
      <w:marLeft w:val="0"/>
      <w:marRight w:val="0"/>
      <w:marTop w:val="0"/>
      <w:marBottom w:val="0"/>
      <w:divBdr>
        <w:top w:val="none" w:sz="0" w:space="0" w:color="auto"/>
        <w:left w:val="none" w:sz="0" w:space="0" w:color="auto"/>
        <w:bottom w:val="none" w:sz="0" w:space="0" w:color="auto"/>
        <w:right w:val="none" w:sz="0" w:space="0" w:color="auto"/>
      </w:divBdr>
    </w:div>
    <w:div w:id="1904177176">
      <w:bodyDiv w:val="1"/>
      <w:marLeft w:val="0"/>
      <w:marRight w:val="0"/>
      <w:marTop w:val="0"/>
      <w:marBottom w:val="0"/>
      <w:divBdr>
        <w:top w:val="none" w:sz="0" w:space="0" w:color="auto"/>
        <w:left w:val="none" w:sz="0" w:space="0" w:color="auto"/>
        <w:bottom w:val="none" w:sz="0" w:space="0" w:color="auto"/>
        <w:right w:val="none" w:sz="0" w:space="0" w:color="auto"/>
      </w:divBdr>
    </w:div>
    <w:div w:id="1919242441">
      <w:bodyDiv w:val="1"/>
      <w:marLeft w:val="0"/>
      <w:marRight w:val="0"/>
      <w:marTop w:val="0"/>
      <w:marBottom w:val="0"/>
      <w:divBdr>
        <w:top w:val="none" w:sz="0" w:space="0" w:color="auto"/>
        <w:left w:val="none" w:sz="0" w:space="0" w:color="auto"/>
        <w:bottom w:val="none" w:sz="0" w:space="0" w:color="auto"/>
        <w:right w:val="none" w:sz="0" w:space="0" w:color="auto"/>
      </w:divBdr>
    </w:div>
    <w:div w:id="1957564559">
      <w:bodyDiv w:val="1"/>
      <w:marLeft w:val="0"/>
      <w:marRight w:val="0"/>
      <w:marTop w:val="0"/>
      <w:marBottom w:val="0"/>
      <w:divBdr>
        <w:top w:val="none" w:sz="0" w:space="0" w:color="auto"/>
        <w:left w:val="none" w:sz="0" w:space="0" w:color="auto"/>
        <w:bottom w:val="none" w:sz="0" w:space="0" w:color="auto"/>
        <w:right w:val="none" w:sz="0" w:space="0" w:color="auto"/>
      </w:divBdr>
    </w:div>
    <w:div w:id="2006933941">
      <w:bodyDiv w:val="1"/>
      <w:marLeft w:val="0"/>
      <w:marRight w:val="0"/>
      <w:marTop w:val="0"/>
      <w:marBottom w:val="0"/>
      <w:divBdr>
        <w:top w:val="none" w:sz="0" w:space="0" w:color="auto"/>
        <w:left w:val="none" w:sz="0" w:space="0" w:color="auto"/>
        <w:bottom w:val="none" w:sz="0" w:space="0" w:color="auto"/>
        <w:right w:val="none" w:sz="0" w:space="0" w:color="auto"/>
      </w:divBdr>
    </w:div>
    <w:div w:id="2017151292">
      <w:bodyDiv w:val="1"/>
      <w:marLeft w:val="0"/>
      <w:marRight w:val="0"/>
      <w:marTop w:val="0"/>
      <w:marBottom w:val="0"/>
      <w:divBdr>
        <w:top w:val="none" w:sz="0" w:space="0" w:color="auto"/>
        <w:left w:val="none" w:sz="0" w:space="0" w:color="auto"/>
        <w:bottom w:val="none" w:sz="0" w:space="0" w:color="auto"/>
        <w:right w:val="none" w:sz="0" w:space="0" w:color="auto"/>
      </w:divBdr>
    </w:div>
    <w:div w:id="2021813792">
      <w:bodyDiv w:val="1"/>
      <w:marLeft w:val="0"/>
      <w:marRight w:val="0"/>
      <w:marTop w:val="0"/>
      <w:marBottom w:val="0"/>
      <w:divBdr>
        <w:top w:val="none" w:sz="0" w:space="0" w:color="auto"/>
        <w:left w:val="none" w:sz="0" w:space="0" w:color="auto"/>
        <w:bottom w:val="none" w:sz="0" w:space="0" w:color="auto"/>
        <w:right w:val="none" w:sz="0" w:space="0" w:color="auto"/>
      </w:divBdr>
    </w:div>
    <w:div w:id="2044473977">
      <w:bodyDiv w:val="1"/>
      <w:marLeft w:val="0"/>
      <w:marRight w:val="0"/>
      <w:marTop w:val="0"/>
      <w:marBottom w:val="0"/>
      <w:divBdr>
        <w:top w:val="none" w:sz="0" w:space="0" w:color="auto"/>
        <w:left w:val="none" w:sz="0" w:space="0" w:color="auto"/>
        <w:bottom w:val="none" w:sz="0" w:space="0" w:color="auto"/>
        <w:right w:val="none" w:sz="0" w:space="0" w:color="auto"/>
      </w:divBdr>
    </w:div>
    <w:div w:id="2073118514">
      <w:bodyDiv w:val="1"/>
      <w:marLeft w:val="0"/>
      <w:marRight w:val="0"/>
      <w:marTop w:val="0"/>
      <w:marBottom w:val="0"/>
      <w:divBdr>
        <w:top w:val="none" w:sz="0" w:space="0" w:color="auto"/>
        <w:left w:val="none" w:sz="0" w:space="0" w:color="auto"/>
        <w:bottom w:val="none" w:sz="0" w:space="0" w:color="auto"/>
        <w:right w:val="none" w:sz="0" w:space="0" w:color="auto"/>
      </w:divBdr>
    </w:div>
    <w:div w:id="20779762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4.png"/><Relationship Id="rId42" Type="http://schemas.openxmlformats.org/officeDocument/2006/relationships/image" Target="media/image16.jpeg"/><Relationship Id="rId47" Type="http://schemas.openxmlformats.org/officeDocument/2006/relationships/hyperlink" Target="http://censo2010.one.gob.do/volumenes_censo_2010/vol1.pdf" TargetMode="External"/><Relationship Id="rId63" Type="http://schemas.openxmlformats.org/officeDocument/2006/relationships/diagramQuickStyle" Target="diagrams/quickStyle2.xml"/><Relationship Id="rId68" Type="http://schemas.openxmlformats.org/officeDocument/2006/relationships/image" Target="media/image24.png"/><Relationship Id="rId2" Type="http://schemas.openxmlformats.org/officeDocument/2006/relationships/customXml" Target="../customXml/item2.xml"/><Relationship Id="rId16" Type="http://schemas.openxmlformats.org/officeDocument/2006/relationships/hyperlink" Target="file:///C:\Users\solen\Desktop\Documentos%20REDD+\MGAS4%20(Recuperado).docx" TargetMode="External"/><Relationship Id="rId29" Type="http://schemas.openxmlformats.org/officeDocument/2006/relationships/image" Target="media/image7.jpeg"/><Relationship Id="rId11" Type="http://schemas.openxmlformats.org/officeDocument/2006/relationships/image" Target="media/image1.jpg"/><Relationship Id="rId24" Type="http://schemas.openxmlformats.org/officeDocument/2006/relationships/customXml" Target="ink/ink2.xml"/><Relationship Id="rId32" Type="http://schemas.openxmlformats.org/officeDocument/2006/relationships/hyperlink" Target="http://economia.gob.do/mepyd" TargetMode="External"/><Relationship Id="rId37" Type="http://schemas.openxmlformats.org/officeDocument/2006/relationships/image" Target="media/image12.jpeg"/><Relationship Id="rId40" Type="http://schemas.microsoft.com/office/2007/relationships/hdphoto" Target="media/hdphoto1.wdp"/><Relationship Id="rId45" Type="http://schemas.openxmlformats.org/officeDocument/2006/relationships/chart" Target="charts/chart4.xml"/><Relationship Id="rId53" Type="http://schemas.openxmlformats.org/officeDocument/2006/relationships/diagramLayout" Target="diagrams/layout1.xml"/><Relationship Id="rId58" Type="http://schemas.openxmlformats.org/officeDocument/2006/relationships/image" Target="media/image19.png"/><Relationship Id="rId66" Type="http://schemas.openxmlformats.org/officeDocument/2006/relationships/image" Target="media/image22.emf"/><Relationship Id="rId74" Type="http://schemas.openxmlformats.org/officeDocument/2006/relationships/hyperlink" Target="https://drive.google.com/open?id=135k4LQUdR9iFPO-vREogcLy49fNJLpo8" TargetMode="External"/><Relationship Id="rId5" Type="http://schemas.openxmlformats.org/officeDocument/2006/relationships/numbering" Target="numbering.xml"/><Relationship Id="rId61" Type="http://schemas.openxmlformats.org/officeDocument/2006/relationships/diagramData" Target="diagrams/data2.xml"/><Relationship Id="rId19" Type="http://schemas.openxmlformats.org/officeDocument/2006/relationships/footer" Target="footer2.xml"/><Relationship Id="rId14" Type="http://schemas.openxmlformats.org/officeDocument/2006/relationships/hyperlink" Target="http://ambiente.gob." TargetMode="External"/><Relationship Id="rId27" Type="http://schemas.openxmlformats.org/officeDocument/2006/relationships/image" Target="media/image6.emf"/><Relationship Id="rId30" Type="http://schemas.openxmlformats.org/officeDocument/2006/relationships/image" Target="media/image8.jpeg"/><Relationship Id="rId35" Type="http://schemas.openxmlformats.org/officeDocument/2006/relationships/hyperlink" Target="http://ambiente.gob.do/viceministerio-areas-protegidas-y-biodiversidad" TargetMode="External"/><Relationship Id="rId43" Type="http://schemas.openxmlformats.org/officeDocument/2006/relationships/chart" Target="charts/chart2.xml"/><Relationship Id="rId48" Type="http://schemas.openxmlformats.org/officeDocument/2006/relationships/hyperlink" Target="http://www.one.gob.do" TargetMode="External"/><Relationship Id="rId56" Type="http://schemas.microsoft.com/office/2007/relationships/diagramDrawing" Target="diagrams/drawing1.xml"/><Relationship Id="rId64" Type="http://schemas.openxmlformats.org/officeDocument/2006/relationships/diagramColors" Target="diagrams/colors2.xml"/><Relationship Id="rId69" Type="http://schemas.openxmlformats.org/officeDocument/2006/relationships/image" Target="media/image25.emf"/><Relationship Id="rId77"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image" Target="media/image17.emf"/><Relationship Id="rId72" Type="http://schemas.openxmlformats.org/officeDocument/2006/relationships/image" Target="media/image28.emf"/><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eader" Target="header1.xml"/><Relationship Id="rId25" Type="http://schemas.openxmlformats.org/officeDocument/2006/relationships/image" Target="media/image5.emf"/><Relationship Id="rId33" Type="http://schemas.openxmlformats.org/officeDocument/2006/relationships/image" Target="media/image10.png"/><Relationship Id="rId38" Type="http://schemas.openxmlformats.org/officeDocument/2006/relationships/image" Target="media/image13.jpeg"/><Relationship Id="rId46" Type="http://schemas.openxmlformats.org/officeDocument/2006/relationships/chart" Target="charts/chart5.xml"/><Relationship Id="rId59" Type="http://schemas.openxmlformats.org/officeDocument/2006/relationships/image" Target="media/image20.png"/><Relationship Id="rId67" Type="http://schemas.openxmlformats.org/officeDocument/2006/relationships/image" Target="media/image23.png"/><Relationship Id="rId20" Type="http://schemas.openxmlformats.org/officeDocument/2006/relationships/customXml" Target="ink/ink1.xml"/><Relationship Id="rId41" Type="http://schemas.openxmlformats.org/officeDocument/2006/relationships/image" Target="media/image15.jpg"/><Relationship Id="rId54" Type="http://schemas.openxmlformats.org/officeDocument/2006/relationships/diagramQuickStyle" Target="diagrams/quickStyle1.xml"/><Relationship Id="rId62" Type="http://schemas.openxmlformats.org/officeDocument/2006/relationships/diagramLayout" Target="diagrams/layout2.xml"/><Relationship Id="rId70" Type="http://schemas.openxmlformats.org/officeDocument/2006/relationships/image" Target="media/image26.emf"/><Relationship Id="rId75"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file:///C:\Users\solen\Desktop\Documentos%20REDD+\MGAS4%20(Recuperado).docx" TargetMode="External"/><Relationship Id="rId23" Type="http://schemas.openxmlformats.org/officeDocument/2006/relationships/image" Target="media/image4.emf"/><Relationship Id="rId28" Type="http://schemas.openxmlformats.org/officeDocument/2006/relationships/hyperlink" Target="http://www.ganaderia.gob.do/index.php/servicios/item/263-autorizacion-de-la-importacion-de-animales-y-productos-y-subproductos-de-origen-animal" TargetMode="External"/><Relationship Id="rId36" Type="http://schemas.openxmlformats.org/officeDocument/2006/relationships/chart" Target="charts/chart1.xml"/><Relationship Id="rId49" Type="http://schemas.openxmlformats.org/officeDocument/2006/relationships/chart" Target="charts/chart6.xml"/><Relationship Id="rId57" Type="http://schemas.openxmlformats.org/officeDocument/2006/relationships/image" Target="media/image18.png"/><Relationship Id="rId10" Type="http://schemas.openxmlformats.org/officeDocument/2006/relationships/endnotes" Target="endnotes.xml"/><Relationship Id="rId31" Type="http://schemas.openxmlformats.org/officeDocument/2006/relationships/image" Target="media/image9.png"/><Relationship Id="rId44" Type="http://schemas.openxmlformats.org/officeDocument/2006/relationships/chart" Target="charts/chart3.xml"/><Relationship Id="rId52" Type="http://schemas.openxmlformats.org/officeDocument/2006/relationships/diagramData" Target="diagrams/data1.xml"/><Relationship Id="rId60" Type="http://schemas.openxmlformats.org/officeDocument/2006/relationships/image" Target="media/image21.jpeg"/><Relationship Id="rId65" Type="http://schemas.microsoft.com/office/2007/relationships/diagramDrawing" Target="diagrams/drawing2.xml"/><Relationship Id="rId73" Type="http://schemas.openxmlformats.org/officeDocument/2006/relationships/image" Target="media/image27.emf"/><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footer" Target="footer1.xml"/><Relationship Id="rId39" Type="http://schemas.openxmlformats.org/officeDocument/2006/relationships/image" Target="media/image14.png"/><Relationship Id="rId34" Type="http://schemas.openxmlformats.org/officeDocument/2006/relationships/image" Target="media/image11.emf"/><Relationship Id="rId50" Type="http://schemas.openxmlformats.org/officeDocument/2006/relationships/header" Target="header2.xml"/><Relationship Id="rId55" Type="http://schemas.openxmlformats.org/officeDocument/2006/relationships/diagramColors" Target="diagrams/colors1.xml"/><Relationship Id="rId76" Type="http://schemas.openxmlformats.org/officeDocument/2006/relationships/fontTable" Target="fontTable.xml"/><Relationship Id="rId7" Type="http://schemas.openxmlformats.org/officeDocument/2006/relationships/settings" Target="settings.xml"/><Relationship Id="rId71" Type="http://schemas.openxmlformats.org/officeDocument/2006/relationships/customXml" Target="ink/ink3.xml"/></Relationships>
</file>

<file path=word/_rels/footnotes.xml.rels><?xml version="1.0" encoding="UTF-8" standalone="yes"?>
<Relationships xmlns="http://schemas.openxmlformats.org/package/2006/relationships"><Relationship Id="rId3" Type="http://schemas.openxmlformats.org/officeDocument/2006/relationships/hyperlink" Target="http://www.oas.org/es/cidh/actividades/visitas/2013-repdom/Ratificacion-Rep-Dom.pdf" TargetMode="External"/><Relationship Id="rId2" Type="http://schemas.openxmlformats.org/officeDocument/2006/relationships/hyperlink" Target="http://www.unesco.org/eri/la/convention.asp?KO=17116&amp;language=S&amp;order=alpha" TargetMode="External"/><Relationship Id="rId1" Type="http://schemas.openxmlformats.org/officeDocument/2006/relationships/hyperlink" Target="http://es.slideshare.net/enjportal/enj200-convenios-internacionales-del-medio-ambiente-dra-yocasta-valenzuela" TargetMode="External"/><Relationship Id="rId5" Type="http://schemas.openxmlformats.org/officeDocument/2006/relationships/hyperlink" Target="http://www.reddccadgiz.org/documentos/doc_1417514524.pdf" TargetMode="External"/><Relationship Id="rId4" Type="http://schemas.openxmlformats.org/officeDocument/2006/relationships/hyperlink" Target="http://apps.who.int/iris/bitstream/handle/10665/44271/9789241547963_eng.pdf?sequence=1&amp;isAllowed=y"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C:/Users/jsegura/Downloads/AREA%20INTERVENCION%20REDD_AREAS%20%20%20PROTEGIDAS.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C:/Users/jsegura/Downloads/Matriz%20Caracteristicas%20biofisicas%20y%20socioeconomicas%20areas%20priorizadas%20(2).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C:/Users/jsegura/Downloads/Matriz%20Caracteristicas%20biofisicas%20y%20socioeconomicas%20areas%20priorizadas%20(2).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C:/Users/jsegura/Desktop/Caracterizacion%20y%20PMAS/Matriz%20Caracteristicas%20biofisicas%20y%20socioeconomicas%20areas%20priorizadas%20actualizada%20al%2003012019.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C:/Users/jsegura/Desktop/Caracterizacion%20y%20PMAS/Matriz%20Caracteristicas%20biofisicas%20y%20socioeconomicas%20areas%20priorizadas%20actualizada%20al%2003012019.xlsx" TargetMode="External"/></Relationships>
</file>

<file path=word/charts/_rels/chart6.xml.rels><?xml version="1.0" encoding="UTF-8" standalone="yes"?>
<Relationships xmlns="http://schemas.openxmlformats.org/package/2006/relationships"><Relationship Id="rId3" Type="http://schemas.openxmlformats.org/officeDocument/2006/relationships/oleObject" Target="C:/Users/jsegura/Desktop/Caracterizacion%20y%20PMAS/Matriz%20Caracteristicas%20biofisicas%20y%20socioeconomicas%20areas%20priorizadas%20actualizada%20al%2003012019.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Porcentajes de Áreas Protegidas</a:t>
            </a:r>
            <a:r>
              <a:rPr lang="en-US" baseline="0"/>
              <a:t> en cada Áreas Priorizadas </a:t>
            </a:r>
            <a:r>
              <a:rPr lang="en-US"/>
              <a:t> </a:t>
            </a:r>
          </a:p>
        </c:rich>
      </c:tx>
      <c:overlay val="0"/>
    </c:title>
    <c:autoTitleDeleted val="0"/>
    <c:plotArea>
      <c:layout/>
      <c:pieChart>
        <c:varyColors val="1"/>
        <c:ser>
          <c:idx val="0"/>
          <c:order val="0"/>
          <c:dLbls>
            <c:spPr>
              <a:noFill/>
              <a:ln>
                <a:noFill/>
              </a:ln>
              <a:effectLst/>
            </c:spPr>
            <c:showLegendKey val="0"/>
            <c:showVal val="0"/>
            <c:showCatName val="0"/>
            <c:showSerName val="0"/>
            <c:showPercent val="1"/>
            <c:showBubbleSize val="0"/>
            <c:showLeaderLines val="1"/>
            <c:extLst>
              <c:ext xmlns:c15="http://schemas.microsoft.com/office/drawing/2012/chart" uri="{CE6537A1-D6FC-4f65-9D91-7224C49458BB}"/>
            </c:extLst>
          </c:dLbls>
          <c:cat>
            <c:strRef>
              <c:f>'[AREA INTERVENCION REDD_AREAS   PROTEGIDAS.xlsx]INTERSEC_A_INTERVENCION_A_PROTE'!$S$142:$S$146</c:f>
              <c:strCache>
                <c:ptCount val="5"/>
                <c:pt idx="0">
                  <c:v>Area 1</c:v>
                </c:pt>
                <c:pt idx="1">
                  <c:v>Area 2</c:v>
                </c:pt>
                <c:pt idx="2">
                  <c:v>Area 3</c:v>
                </c:pt>
                <c:pt idx="3">
                  <c:v>Area 4</c:v>
                </c:pt>
                <c:pt idx="4">
                  <c:v>Area 5</c:v>
                </c:pt>
              </c:strCache>
            </c:strRef>
          </c:cat>
          <c:val>
            <c:numRef>
              <c:f>'[AREA INTERVENCION REDD_AREAS   PROTEGIDAS.xlsx]INTERSEC_A_INTERVENCION_A_PROTE'!$T$142:$T$146</c:f>
              <c:numCache>
                <c:formatCode>0</c:formatCode>
                <c:ptCount val="5"/>
                <c:pt idx="0">
                  <c:v>10</c:v>
                </c:pt>
                <c:pt idx="1">
                  <c:v>9</c:v>
                </c:pt>
                <c:pt idx="2">
                  <c:v>23</c:v>
                </c:pt>
                <c:pt idx="3">
                  <c:v>9</c:v>
                </c:pt>
                <c:pt idx="4">
                  <c:v>5</c:v>
                </c:pt>
              </c:numCache>
            </c:numRef>
          </c:val>
          <c:extLst>
            <c:ext xmlns:c16="http://schemas.microsoft.com/office/drawing/2014/chart" uri="{C3380CC4-5D6E-409C-BE32-E72D297353CC}">
              <c16:uniqueId val="{00000000-F67C-754D-9D0F-86613FE024EC}"/>
            </c:ext>
          </c:extLst>
        </c:ser>
        <c:dLbls>
          <c:showLegendKey val="0"/>
          <c:showVal val="0"/>
          <c:showCatName val="0"/>
          <c:showSerName val="0"/>
          <c:showPercent val="1"/>
          <c:showBubbleSize val="0"/>
          <c:showLeaderLines val="1"/>
        </c:dLbls>
        <c:firstSliceAng val="0"/>
      </c:pieChart>
    </c:plotArea>
    <c:legend>
      <c:legendPos val="t"/>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400"/>
              <a:t>Usos del</a:t>
            </a:r>
            <a:r>
              <a:rPr lang="en-US" sz="1400" baseline="0"/>
              <a:t> Suelo </a:t>
            </a:r>
            <a:r>
              <a:rPr lang="en-US" sz="1400"/>
              <a:t>en las Áreas Priorizadas para REDD+ en República Dominicana</a:t>
            </a:r>
          </a:p>
        </c:rich>
      </c:tx>
      <c:overlay val="0"/>
    </c:title>
    <c:autoTitleDeleted val="0"/>
    <c:view3D>
      <c:rotX val="30"/>
      <c:rotY val="0"/>
      <c:rAngAx val="0"/>
    </c:view3D>
    <c:floor>
      <c:thickness val="0"/>
    </c:floor>
    <c:sideWall>
      <c:thickness val="0"/>
    </c:sideWall>
    <c:backWall>
      <c:thickness val="0"/>
    </c:backWall>
    <c:plotArea>
      <c:layout/>
      <c:pie3DChart>
        <c:varyColors val="1"/>
        <c:ser>
          <c:idx val="0"/>
          <c:order val="0"/>
          <c:dLbls>
            <c:spPr>
              <a:noFill/>
              <a:ln>
                <a:noFill/>
              </a:ln>
              <a:effectLst/>
            </c:spPr>
            <c:showLegendKey val="0"/>
            <c:showVal val="0"/>
            <c:showCatName val="0"/>
            <c:showSerName val="0"/>
            <c:showPercent val="1"/>
            <c:showBubbleSize val="0"/>
            <c:showLeaderLines val="1"/>
            <c:extLst>
              <c:ext xmlns:c15="http://schemas.microsoft.com/office/drawing/2012/chart" uri="{CE6537A1-D6FC-4f65-9D91-7224C49458BB}"/>
            </c:extLst>
          </c:dLbls>
          <c:cat>
            <c:strRef>
              <c:f>'[Matriz Caracteristicas biofisicas y socioeconomicas areas priorizadas (2).xlsx]Sheet5'!$A$29:$G$29</c:f>
              <c:strCache>
                <c:ptCount val="7"/>
                <c:pt idx="0">
                  <c:v>Bosque nativo en Has.</c:v>
                </c:pt>
                <c:pt idx="1">
                  <c:v>Plantaciones forestales . Has.</c:v>
                </c:pt>
                <c:pt idx="2">
                  <c:v>Uso Agrícola, Has.</c:v>
                </c:pt>
                <c:pt idx="3">
                  <c:v>Matorrales , Has.</c:v>
                </c:pt>
                <c:pt idx="4">
                  <c:v>Cuerpos de agua y humedales</c:v>
                </c:pt>
                <c:pt idx="5">
                  <c:v>Uso urbano</c:v>
                </c:pt>
                <c:pt idx="6">
                  <c:v>Otros usos Pastos</c:v>
                </c:pt>
              </c:strCache>
            </c:strRef>
          </c:cat>
          <c:val>
            <c:numRef>
              <c:f>'[Matriz Caracteristicas biofisicas y socioeconomicas areas priorizadas (2).xlsx]Sheet5'!$A$30:$G$30</c:f>
              <c:numCache>
                <c:formatCode>_(* #,##0.00_);_(* \(#,##0.00\);_(* "-"??_);_(@_)</c:formatCode>
                <c:ptCount val="7"/>
                <c:pt idx="0">
                  <c:v>471084.84</c:v>
                </c:pt>
                <c:pt idx="1">
                  <c:v>219048.59</c:v>
                </c:pt>
                <c:pt idx="2">
                  <c:v>391025.49</c:v>
                </c:pt>
                <c:pt idx="3">
                  <c:v>335049.23</c:v>
                </c:pt>
                <c:pt idx="4">
                  <c:v>9320.5800000000017</c:v>
                </c:pt>
                <c:pt idx="5">
                  <c:v>13710.02</c:v>
                </c:pt>
                <c:pt idx="6">
                  <c:v>138311.02999999991</c:v>
                </c:pt>
              </c:numCache>
            </c:numRef>
          </c:val>
          <c:extLst>
            <c:ext xmlns:c16="http://schemas.microsoft.com/office/drawing/2014/chart" uri="{C3380CC4-5D6E-409C-BE32-E72D297353CC}">
              <c16:uniqueId val="{00000000-C3FF-394A-B49B-2821EF7722CC}"/>
            </c:ext>
          </c:extLst>
        </c:ser>
        <c:dLbls>
          <c:showLegendKey val="0"/>
          <c:showVal val="0"/>
          <c:showCatName val="0"/>
          <c:showSerName val="0"/>
          <c:showPercent val="1"/>
          <c:showBubbleSize val="0"/>
          <c:showLeaderLines val="1"/>
        </c:dLbls>
      </c:pie3DChart>
    </c:plotArea>
    <c:legend>
      <c:legendPos val="t"/>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'[Matriz Caracteristicas biofisicas y socioeconomicas areas priorizadas (2).xlsx]Sheet5'!$O$12</c:f>
              <c:strCache>
                <c:ptCount val="1"/>
                <c:pt idx="0">
                  <c:v>Bosque nativo en Has.</c:v>
                </c:pt>
              </c:strCache>
            </c:strRef>
          </c:tx>
          <c:invertIfNegative val="0"/>
          <c:cat>
            <c:strRef>
              <c:f>'[Matriz Caracteristicas biofisicas y socioeconomicas areas priorizadas (2).xlsx]Sheet5'!$N$13:$N$17</c:f>
              <c:strCache>
                <c:ptCount val="5"/>
                <c:pt idx="0">
                  <c:v>Area 1</c:v>
                </c:pt>
                <c:pt idx="1">
                  <c:v>Area 2</c:v>
                </c:pt>
                <c:pt idx="2">
                  <c:v>Area3 </c:v>
                </c:pt>
                <c:pt idx="3">
                  <c:v>Area 4</c:v>
                </c:pt>
                <c:pt idx="4">
                  <c:v>Area 5</c:v>
                </c:pt>
              </c:strCache>
            </c:strRef>
          </c:cat>
          <c:val>
            <c:numRef>
              <c:f>'[Matriz Caracteristicas biofisicas y socioeconomicas areas priorizadas (2).xlsx]Sheet5'!$O$13:$O$17</c:f>
              <c:numCache>
                <c:formatCode>_(* #,##0.00_);_(* \(#,##0.00\);_(* "-"??_);_(@_)</c:formatCode>
                <c:ptCount val="5"/>
                <c:pt idx="0">
                  <c:v>85786.19</c:v>
                </c:pt>
                <c:pt idx="1">
                  <c:v>36355.199999999997</c:v>
                </c:pt>
                <c:pt idx="2">
                  <c:v>210311.06</c:v>
                </c:pt>
                <c:pt idx="3">
                  <c:v>49027.14</c:v>
                </c:pt>
                <c:pt idx="4">
                  <c:v>89605.25</c:v>
                </c:pt>
              </c:numCache>
            </c:numRef>
          </c:val>
          <c:extLst>
            <c:ext xmlns:c16="http://schemas.microsoft.com/office/drawing/2014/chart" uri="{C3380CC4-5D6E-409C-BE32-E72D297353CC}">
              <c16:uniqueId val="{00000000-6C0B-9B4A-BF54-3128DD934C8F}"/>
            </c:ext>
          </c:extLst>
        </c:ser>
        <c:ser>
          <c:idx val="1"/>
          <c:order val="1"/>
          <c:tx>
            <c:strRef>
              <c:f>'[Matriz Caracteristicas biofisicas y socioeconomicas areas priorizadas (2).xlsx]Sheet5'!$P$12</c:f>
              <c:strCache>
                <c:ptCount val="1"/>
                <c:pt idx="0">
                  <c:v>Plantaciones forestales . Has.</c:v>
                </c:pt>
              </c:strCache>
            </c:strRef>
          </c:tx>
          <c:invertIfNegative val="0"/>
          <c:cat>
            <c:strRef>
              <c:f>'[Matriz Caracteristicas biofisicas y socioeconomicas areas priorizadas (2).xlsx]Sheet5'!$N$13:$N$17</c:f>
              <c:strCache>
                <c:ptCount val="5"/>
                <c:pt idx="0">
                  <c:v>Area 1</c:v>
                </c:pt>
                <c:pt idx="1">
                  <c:v>Area 2</c:v>
                </c:pt>
                <c:pt idx="2">
                  <c:v>Area3 </c:v>
                </c:pt>
                <c:pt idx="3">
                  <c:v>Area 4</c:v>
                </c:pt>
                <c:pt idx="4">
                  <c:v>Area 5</c:v>
                </c:pt>
              </c:strCache>
            </c:strRef>
          </c:cat>
          <c:val>
            <c:numRef>
              <c:f>'[Matriz Caracteristicas biofisicas y socioeconomicas areas priorizadas (2).xlsx]Sheet5'!$P$13:$P$17</c:f>
              <c:numCache>
                <c:formatCode>_(* #,##0.00_);_(* \(#,##0.00\);_(* "-"??_);_(@_)</c:formatCode>
                <c:ptCount val="5"/>
                <c:pt idx="0">
                  <c:v>67426.01999999999</c:v>
                </c:pt>
                <c:pt idx="1">
                  <c:v>12407.83</c:v>
                </c:pt>
                <c:pt idx="2">
                  <c:v>138239.32</c:v>
                </c:pt>
                <c:pt idx="3">
                  <c:v>0</c:v>
                </c:pt>
                <c:pt idx="4">
                  <c:v>975.42</c:v>
                </c:pt>
              </c:numCache>
            </c:numRef>
          </c:val>
          <c:extLst>
            <c:ext xmlns:c16="http://schemas.microsoft.com/office/drawing/2014/chart" uri="{C3380CC4-5D6E-409C-BE32-E72D297353CC}">
              <c16:uniqueId val="{00000001-6C0B-9B4A-BF54-3128DD934C8F}"/>
            </c:ext>
          </c:extLst>
        </c:ser>
        <c:ser>
          <c:idx val="2"/>
          <c:order val="2"/>
          <c:tx>
            <c:strRef>
              <c:f>'[Matriz Caracteristicas biofisicas y socioeconomicas areas priorizadas (2).xlsx]Sheet5'!$Q$12</c:f>
              <c:strCache>
                <c:ptCount val="1"/>
                <c:pt idx="0">
                  <c:v>Uso Agrícola, Has.</c:v>
                </c:pt>
              </c:strCache>
            </c:strRef>
          </c:tx>
          <c:invertIfNegative val="0"/>
          <c:cat>
            <c:strRef>
              <c:f>'[Matriz Caracteristicas biofisicas y socioeconomicas areas priorizadas (2).xlsx]Sheet5'!$N$13:$N$17</c:f>
              <c:strCache>
                <c:ptCount val="5"/>
                <c:pt idx="0">
                  <c:v>Area 1</c:v>
                </c:pt>
                <c:pt idx="1">
                  <c:v>Area 2</c:v>
                </c:pt>
                <c:pt idx="2">
                  <c:v>Area3 </c:v>
                </c:pt>
                <c:pt idx="3">
                  <c:v>Area 4</c:v>
                </c:pt>
                <c:pt idx="4">
                  <c:v>Area 5</c:v>
                </c:pt>
              </c:strCache>
            </c:strRef>
          </c:cat>
          <c:val>
            <c:numRef>
              <c:f>'[Matriz Caracteristicas biofisicas y socioeconomicas areas priorizadas (2).xlsx]Sheet5'!$Q$13:$Q$17</c:f>
              <c:numCache>
                <c:formatCode>_(* #,##0.00_);_(* \(#,##0.00\);_(* "-"??_);_(@_)</c:formatCode>
                <c:ptCount val="5"/>
                <c:pt idx="0">
                  <c:v>16820.579999999991</c:v>
                </c:pt>
                <c:pt idx="1">
                  <c:v>74569.679999999993</c:v>
                </c:pt>
                <c:pt idx="2">
                  <c:v>168528.27</c:v>
                </c:pt>
                <c:pt idx="3">
                  <c:v>52227.81</c:v>
                </c:pt>
                <c:pt idx="4">
                  <c:v>78879.149999999994</c:v>
                </c:pt>
              </c:numCache>
            </c:numRef>
          </c:val>
          <c:extLst>
            <c:ext xmlns:c16="http://schemas.microsoft.com/office/drawing/2014/chart" uri="{C3380CC4-5D6E-409C-BE32-E72D297353CC}">
              <c16:uniqueId val="{00000002-6C0B-9B4A-BF54-3128DD934C8F}"/>
            </c:ext>
          </c:extLst>
        </c:ser>
        <c:ser>
          <c:idx val="3"/>
          <c:order val="3"/>
          <c:tx>
            <c:strRef>
              <c:f>'[Matriz Caracteristicas biofisicas y socioeconomicas areas priorizadas (2).xlsx]Sheet5'!$R$12</c:f>
              <c:strCache>
                <c:ptCount val="1"/>
                <c:pt idx="0">
                  <c:v>Matorrales , Has.</c:v>
                </c:pt>
              </c:strCache>
            </c:strRef>
          </c:tx>
          <c:invertIfNegative val="0"/>
          <c:cat>
            <c:strRef>
              <c:f>'[Matriz Caracteristicas biofisicas y socioeconomicas areas priorizadas (2).xlsx]Sheet5'!$N$13:$N$17</c:f>
              <c:strCache>
                <c:ptCount val="5"/>
                <c:pt idx="0">
                  <c:v>Area 1</c:v>
                </c:pt>
                <c:pt idx="1">
                  <c:v>Area 2</c:v>
                </c:pt>
                <c:pt idx="2">
                  <c:v>Area3 </c:v>
                </c:pt>
                <c:pt idx="3">
                  <c:v>Area 4</c:v>
                </c:pt>
                <c:pt idx="4">
                  <c:v>Area 5</c:v>
                </c:pt>
              </c:strCache>
            </c:strRef>
          </c:cat>
          <c:val>
            <c:numRef>
              <c:f>'[Matriz Caracteristicas biofisicas y socioeconomicas areas priorizadas (2).xlsx]Sheet5'!$R$13:$R$17</c:f>
              <c:numCache>
                <c:formatCode>_(* #,##0.00_);_(* \(#,##0.00\);_(* "-"??_);_(@_)</c:formatCode>
                <c:ptCount val="5"/>
                <c:pt idx="0">
                  <c:v>8871.61</c:v>
                </c:pt>
                <c:pt idx="1">
                  <c:v>67377.939999999988</c:v>
                </c:pt>
                <c:pt idx="2">
                  <c:v>258799.68</c:v>
                </c:pt>
                <c:pt idx="3">
                  <c:v>0</c:v>
                </c:pt>
                <c:pt idx="4">
                  <c:v>0</c:v>
                </c:pt>
              </c:numCache>
            </c:numRef>
          </c:val>
          <c:extLst>
            <c:ext xmlns:c16="http://schemas.microsoft.com/office/drawing/2014/chart" uri="{C3380CC4-5D6E-409C-BE32-E72D297353CC}">
              <c16:uniqueId val="{00000003-6C0B-9B4A-BF54-3128DD934C8F}"/>
            </c:ext>
          </c:extLst>
        </c:ser>
        <c:ser>
          <c:idx val="4"/>
          <c:order val="4"/>
          <c:tx>
            <c:strRef>
              <c:f>'[Matriz Caracteristicas biofisicas y socioeconomicas areas priorizadas (2).xlsx]Sheet5'!$S$12</c:f>
              <c:strCache>
                <c:ptCount val="1"/>
                <c:pt idx="0">
                  <c:v>Cuerpos de agua y humedales</c:v>
                </c:pt>
              </c:strCache>
            </c:strRef>
          </c:tx>
          <c:invertIfNegative val="0"/>
          <c:cat>
            <c:strRef>
              <c:f>'[Matriz Caracteristicas biofisicas y socioeconomicas areas priorizadas (2).xlsx]Sheet5'!$N$13:$N$17</c:f>
              <c:strCache>
                <c:ptCount val="5"/>
                <c:pt idx="0">
                  <c:v>Area 1</c:v>
                </c:pt>
                <c:pt idx="1">
                  <c:v>Area 2</c:v>
                </c:pt>
                <c:pt idx="2">
                  <c:v>Area3 </c:v>
                </c:pt>
                <c:pt idx="3">
                  <c:v>Area 4</c:v>
                </c:pt>
                <c:pt idx="4">
                  <c:v>Area 5</c:v>
                </c:pt>
              </c:strCache>
            </c:strRef>
          </c:cat>
          <c:val>
            <c:numRef>
              <c:f>'[Matriz Caracteristicas biofisicas y socioeconomicas areas priorizadas (2).xlsx]Sheet5'!$S$13:$S$17</c:f>
              <c:numCache>
                <c:formatCode>_(* #,##0.00_);_(* \(#,##0.00\);_(* "-"??_);_(@_)</c:formatCode>
                <c:ptCount val="5"/>
                <c:pt idx="0">
                  <c:v>828.09</c:v>
                </c:pt>
                <c:pt idx="1">
                  <c:v>2594.52</c:v>
                </c:pt>
                <c:pt idx="2">
                  <c:v>3073.68</c:v>
                </c:pt>
                <c:pt idx="3">
                  <c:v>159.30000000000001</c:v>
                </c:pt>
                <c:pt idx="4">
                  <c:v>2664.99</c:v>
                </c:pt>
              </c:numCache>
            </c:numRef>
          </c:val>
          <c:extLst>
            <c:ext xmlns:c16="http://schemas.microsoft.com/office/drawing/2014/chart" uri="{C3380CC4-5D6E-409C-BE32-E72D297353CC}">
              <c16:uniqueId val="{00000004-6C0B-9B4A-BF54-3128DD934C8F}"/>
            </c:ext>
          </c:extLst>
        </c:ser>
        <c:ser>
          <c:idx val="5"/>
          <c:order val="5"/>
          <c:tx>
            <c:strRef>
              <c:f>'[Matriz Caracteristicas biofisicas y socioeconomicas areas priorizadas (2).xlsx]Sheet5'!$T$12</c:f>
              <c:strCache>
                <c:ptCount val="1"/>
                <c:pt idx="0">
                  <c:v>Uso urbano</c:v>
                </c:pt>
              </c:strCache>
            </c:strRef>
          </c:tx>
          <c:invertIfNegative val="0"/>
          <c:cat>
            <c:strRef>
              <c:f>'[Matriz Caracteristicas biofisicas y socioeconomicas areas priorizadas (2).xlsx]Sheet5'!$N$13:$N$17</c:f>
              <c:strCache>
                <c:ptCount val="5"/>
                <c:pt idx="0">
                  <c:v>Area 1</c:v>
                </c:pt>
                <c:pt idx="1">
                  <c:v>Area 2</c:v>
                </c:pt>
                <c:pt idx="2">
                  <c:v>Area3 </c:v>
                </c:pt>
                <c:pt idx="3">
                  <c:v>Area 4</c:v>
                </c:pt>
                <c:pt idx="4">
                  <c:v>Area 5</c:v>
                </c:pt>
              </c:strCache>
            </c:strRef>
          </c:cat>
          <c:val>
            <c:numRef>
              <c:f>'[Matriz Caracteristicas biofisicas y socioeconomicas areas priorizadas (2).xlsx]Sheet5'!$T$13:$T$17</c:f>
              <c:numCache>
                <c:formatCode>_(* #,##0.00_);_(* \(#,##0.00\);_(* "-"??_);_(@_)</c:formatCode>
                <c:ptCount val="5"/>
                <c:pt idx="0">
                  <c:v>700.18</c:v>
                </c:pt>
                <c:pt idx="1">
                  <c:v>4261.76</c:v>
                </c:pt>
                <c:pt idx="2">
                  <c:v>4757.13</c:v>
                </c:pt>
                <c:pt idx="3">
                  <c:v>2704.49</c:v>
                </c:pt>
                <c:pt idx="4">
                  <c:v>1286.46</c:v>
                </c:pt>
              </c:numCache>
            </c:numRef>
          </c:val>
          <c:extLst>
            <c:ext xmlns:c16="http://schemas.microsoft.com/office/drawing/2014/chart" uri="{C3380CC4-5D6E-409C-BE32-E72D297353CC}">
              <c16:uniqueId val="{00000005-6C0B-9B4A-BF54-3128DD934C8F}"/>
            </c:ext>
          </c:extLst>
        </c:ser>
        <c:ser>
          <c:idx val="6"/>
          <c:order val="6"/>
          <c:tx>
            <c:strRef>
              <c:f>'[Matriz Caracteristicas biofisicas y socioeconomicas areas priorizadas (2).xlsx]Sheet5'!$U$12</c:f>
              <c:strCache>
                <c:ptCount val="1"/>
                <c:pt idx="0">
                  <c:v>Otros usos Pastos</c:v>
                </c:pt>
              </c:strCache>
            </c:strRef>
          </c:tx>
          <c:invertIfNegative val="0"/>
          <c:cat>
            <c:strRef>
              <c:f>'[Matriz Caracteristicas biofisicas y socioeconomicas areas priorizadas (2).xlsx]Sheet5'!$N$13:$N$17</c:f>
              <c:strCache>
                <c:ptCount val="5"/>
                <c:pt idx="0">
                  <c:v>Area 1</c:v>
                </c:pt>
                <c:pt idx="1">
                  <c:v>Area 2</c:v>
                </c:pt>
                <c:pt idx="2">
                  <c:v>Area3 </c:v>
                </c:pt>
                <c:pt idx="3">
                  <c:v>Area 4</c:v>
                </c:pt>
                <c:pt idx="4">
                  <c:v>Area 5</c:v>
                </c:pt>
              </c:strCache>
            </c:strRef>
          </c:cat>
          <c:val>
            <c:numRef>
              <c:f>'[Matriz Caracteristicas biofisicas y socioeconomicas areas priorizadas (2).xlsx]Sheet5'!$U$13:$U$17</c:f>
              <c:numCache>
                <c:formatCode>_(* #,##0.00_);_(* \(#,##0.00\);_(* "-"??_);_(@_)</c:formatCode>
                <c:ptCount val="5"/>
                <c:pt idx="0">
                  <c:v>23283.45</c:v>
                </c:pt>
                <c:pt idx="1">
                  <c:v>11320.14</c:v>
                </c:pt>
                <c:pt idx="2">
                  <c:v>24013.79</c:v>
                </c:pt>
                <c:pt idx="3">
                  <c:v>36679.230000000003</c:v>
                </c:pt>
                <c:pt idx="4">
                  <c:v>43014.42</c:v>
                </c:pt>
              </c:numCache>
            </c:numRef>
          </c:val>
          <c:extLst>
            <c:ext xmlns:c16="http://schemas.microsoft.com/office/drawing/2014/chart" uri="{C3380CC4-5D6E-409C-BE32-E72D297353CC}">
              <c16:uniqueId val="{00000006-6C0B-9B4A-BF54-3128DD934C8F}"/>
            </c:ext>
          </c:extLst>
        </c:ser>
        <c:dLbls>
          <c:showLegendKey val="0"/>
          <c:showVal val="0"/>
          <c:showCatName val="0"/>
          <c:showSerName val="0"/>
          <c:showPercent val="0"/>
          <c:showBubbleSize val="0"/>
        </c:dLbls>
        <c:gapWidth val="150"/>
        <c:axId val="2108600968"/>
        <c:axId val="2102416456"/>
      </c:barChart>
      <c:catAx>
        <c:axId val="2108600968"/>
        <c:scaling>
          <c:orientation val="minMax"/>
        </c:scaling>
        <c:delete val="0"/>
        <c:axPos val="b"/>
        <c:numFmt formatCode="General" sourceLinked="0"/>
        <c:majorTickMark val="out"/>
        <c:minorTickMark val="none"/>
        <c:tickLblPos val="nextTo"/>
        <c:crossAx val="2102416456"/>
        <c:crosses val="autoZero"/>
        <c:auto val="1"/>
        <c:lblAlgn val="ctr"/>
        <c:lblOffset val="100"/>
        <c:noMultiLvlLbl val="0"/>
      </c:catAx>
      <c:valAx>
        <c:axId val="2102416456"/>
        <c:scaling>
          <c:orientation val="minMax"/>
        </c:scaling>
        <c:delete val="0"/>
        <c:axPos val="l"/>
        <c:majorGridlines/>
        <c:numFmt formatCode="_(* #,##0.00_);_(* \(#,##0.00\);_(* &quot;-&quot;??_);_(@_)" sourceLinked="1"/>
        <c:majorTickMark val="out"/>
        <c:minorTickMark val="none"/>
        <c:tickLblPos val="nextTo"/>
        <c:crossAx val="2108600968"/>
        <c:crosses val="autoZero"/>
        <c:crossBetween val="between"/>
      </c:valAx>
    </c:plotArea>
    <c:legend>
      <c:legendPos val="r"/>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600"/>
              <a:t>Rangos de pendiente del</a:t>
            </a:r>
            <a:r>
              <a:rPr lang="en-US" sz="1600" baseline="0"/>
              <a:t> territorio  priorizado para acciones REDD</a:t>
            </a:r>
          </a:p>
          <a:p>
            <a:pPr>
              <a:defRPr/>
            </a:pPr>
            <a:r>
              <a:rPr lang="en-US" sz="1600"/>
              <a:t>EN KM²</a:t>
            </a:r>
          </a:p>
        </c:rich>
      </c:tx>
      <c:overlay val="0"/>
    </c:title>
    <c:autoTitleDeleted val="0"/>
    <c:plotArea>
      <c:layout/>
      <c:pieChart>
        <c:varyColors val="1"/>
        <c:ser>
          <c:idx val="0"/>
          <c:order val="0"/>
          <c:tx>
            <c:strRef>
              <c:f>'[Matriz Caracteristicas biofisicas y socioeconomicas areas priorizadas actualizada al 03012019.xlsx]caracteristicas Biofisica'!$B$97</c:f>
              <c:strCache>
                <c:ptCount val="1"/>
                <c:pt idx="0">
                  <c:v>TOTAL GENERAL EN KM²</c:v>
                </c:pt>
              </c:strCache>
            </c:strRef>
          </c:tx>
          <c:dLbls>
            <c:spPr>
              <a:noFill/>
              <a:ln>
                <a:noFill/>
              </a:ln>
              <a:effectLst/>
            </c:spPr>
            <c:showLegendKey val="0"/>
            <c:showVal val="0"/>
            <c:showCatName val="1"/>
            <c:showSerName val="0"/>
            <c:showPercent val="1"/>
            <c:showBubbleSize val="0"/>
            <c:showLeaderLines val="1"/>
            <c:extLst>
              <c:ext xmlns:c15="http://schemas.microsoft.com/office/drawing/2012/chart" uri="{CE6537A1-D6FC-4f65-9D91-7224C49458BB}"/>
            </c:extLst>
          </c:dLbls>
          <c:cat>
            <c:strRef>
              <c:f>'[Matriz Caracteristicas biofisicas y socioeconomicas areas priorizadas actualizada al 03012019.xlsx]caracteristicas Biofisica'!$C$96:$H$96</c:f>
              <c:strCache>
                <c:ptCount val="6"/>
                <c:pt idx="0">
                  <c:v> 0 a 4 %</c:v>
                </c:pt>
                <c:pt idx="1">
                  <c:v> 4 a 8 %</c:v>
                </c:pt>
                <c:pt idx="2">
                  <c:v> 8 a 16 %</c:v>
                </c:pt>
                <c:pt idx="3">
                  <c:v> 16 a 32 %</c:v>
                </c:pt>
                <c:pt idx="4">
                  <c:v>32 a 60 %</c:v>
                </c:pt>
                <c:pt idx="5">
                  <c:v> &gt; 60 %</c:v>
                </c:pt>
              </c:strCache>
            </c:strRef>
          </c:cat>
          <c:val>
            <c:numRef>
              <c:f>'[Matriz Caracteristicas biofisicas y socioeconomicas areas priorizadas actualizada al 03012019.xlsx]caracteristicas Biofisica'!$C$97:$H$97</c:f>
              <c:numCache>
                <c:formatCode>#,##0.00</c:formatCode>
                <c:ptCount val="6"/>
                <c:pt idx="0">
                  <c:v>1993.304198246828</c:v>
                </c:pt>
                <c:pt idx="1">
                  <c:v>1956.5768267908611</c:v>
                </c:pt>
                <c:pt idx="2">
                  <c:v>2574.0157639563531</c:v>
                </c:pt>
                <c:pt idx="3">
                  <c:v>3873.88321959418</c:v>
                </c:pt>
                <c:pt idx="4">
                  <c:v>3723.5207172274349</c:v>
                </c:pt>
                <c:pt idx="5">
                  <c:v>1078.2381688863049</c:v>
                </c:pt>
              </c:numCache>
            </c:numRef>
          </c:val>
          <c:extLst>
            <c:ext xmlns:c16="http://schemas.microsoft.com/office/drawing/2014/chart" uri="{C3380CC4-5D6E-409C-BE32-E72D297353CC}">
              <c16:uniqueId val="{00000000-BE54-3E4B-8B1D-A8C3F93D6D54}"/>
            </c:ext>
          </c:extLst>
        </c:ser>
        <c:dLbls>
          <c:showLegendKey val="0"/>
          <c:showVal val="0"/>
          <c:showCatName val="1"/>
          <c:showSerName val="0"/>
          <c:showPercent val="1"/>
          <c:showBubbleSize val="0"/>
          <c:showLeaderLines val="1"/>
        </c:dLbls>
        <c:firstSliceAng val="0"/>
      </c:pieChart>
    </c:plotArea>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400">
                <a:latin typeface="+mn-lt"/>
                <a:cs typeface="Times New Roman" panose="02020603050405020304" pitchFamily="18" charset="0"/>
              </a:rPr>
              <a:t>% Hogares pobres en las áreas priorizadas</a:t>
            </a:r>
          </a:p>
        </c:rich>
      </c:tx>
      <c:overlay val="0"/>
    </c:title>
    <c:autoTitleDeleted val="0"/>
    <c:plotArea>
      <c:layout/>
      <c:barChart>
        <c:barDir val="col"/>
        <c:grouping val="clustered"/>
        <c:varyColors val="0"/>
        <c:ser>
          <c:idx val="0"/>
          <c:order val="0"/>
          <c:tx>
            <c:strRef>
              <c:f>'[Matriz Caracteristicas biofisicas y socioeconomicas areas priorizadas actualizada al 03012019.xlsx]Hogares pobres por area prioriz'!$H$1</c:f>
              <c:strCache>
                <c:ptCount val="1"/>
                <c:pt idx="0">
                  <c:v>% Hogares pobres</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'[Matriz Caracteristicas biofisicas y socioeconomicas areas priorizadas actualizada al 03012019.xlsx]Hogares pobres por area prioriz'!$G$2:$G$6</c:f>
              <c:strCache>
                <c:ptCount val="5"/>
                <c:pt idx="0">
                  <c:v> Area 1</c:v>
                </c:pt>
                <c:pt idx="1">
                  <c:v> Area 2</c:v>
                </c:pt>
                <c:pt idx="2">
                  <c:v> Area 3</c:v>
                </c:pt>
                <c:pt idx="3">
                  <c:v> Area 4</c:v>
                </c:pt>
                <c:pt idx="4">
                  <c:v> Area 5</c:v>
                </c:pt>
              </c:strCache>
            </c:strRef>
          </c:cat>
          <c:val>
            <c:numRef>
              <c:f>'[Matriz Caracteristicas biofisicas y socioeconomicas areas priorizadas actualizada al 03012019.xlsx]Hogares pobres por area prioriz'!$H$2:$H$6</c:f>
              <c:numCache>
                <c:formatCode>0.0</c:formatCode>
                <c:ptCount val="5"/>
                <c:pt idx="0">
                  <c:v>51.785714285714299</c:v>
                </c:pt>
                <c:pt idx="1">
                  <c:v>79.525000000000006</c:v>
                </c:pt>
                <c:pt idx="2">
                  <c:v>57.864285714285707</c:v>
                </c:pt>
                <c:pt idx="3">
                  <c:v>32.1</c:v>
                </c:pt>
                <c:pt idx="4">
                  <c:v>60.05</c:v>
                </c:pt>
              </c:numCache>
            </c:numRef>
          </c:val>
          <c:extLst>
            <c:ext xmlns:c16="http://schemas.microsoft.com/office/drawing/2014/chart" uri="{C3380CC4-5D6E-409C-BE32-E72D297353CC}">
              <c16:uniqueId val="{00000000-FA32-8E4D-A197-EF5A36E42365}"/>
            </c:ext>
          </c:extLst>
        </c:ser>
        <c:dLbls>
          <c:showLegendKey val="0"/>
          <c:showVal val="0"/>
          <c:showCatName val="0"/>
          <c:showSerName val="0"/>
          <c:showPercent val="0"/>
          <c:showBubbleSize val="0"/>
        </c:dLbls>
        <c:gapWidth val="75"/>
        <c:overlap val="-25"/>
        <c:axId val="2112068120"/>
        <c:axId val="2109835112"/>
      </c:barChart>
      <c:catAx>
        <c:axId val="2112068120"/>
        <c:scaling>
          <c:orientation val="minMax"/>
        </c:scaling>
        <c:delete val="0"/>
        <c:axPos val="b"/>
        <c:numFmt formatCode="General" sourceLinked="0"/>
        <c:majorTickMark val="none"/>
        <c:minorTickMark val="none"/>
        <c:tickLblPos val="nextTo"/>
        <c:crossAx val="2109835112"/>
        <c:crosses val="autoZero"/>
        <c:auto val="1"/>
        <c:lblAlgn val="ctr"/>
        <c:lblOffset val="100"/>
        <c:noMultiLvlLbl val="0"/>
      </c:catAx>
      <c:valAx>
        <c:axId val="2109835112"/>
        <c:scaling>
          <c:orientation val="minMax"/>
        </c:scaling>
        <c:delete val="0"/>
        <c:axPos val="l"/>
        <c:majorGridlines/>
        <c:numFmt formatCode="0.0" sourceLinked="1"/>
        <c:majorTickMark val="none"/>
        <c:minorTickMark val="none"/>
        <c:tickLblPos val="nextTo"/>
        <c:spPr>
          <a:ln w="9525">
            <a:noFill/>
          </a:ln>
        </c:spPr>
        <c:crossAx val="2112068120"/>
        <c:crosses val="autoZero"/>
        <c:crossBetween val="between"/>
      </c:valAx>
    </c:plotArea>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800" b="1" i="0" u="none" strike="noStrike" kern="1200" baseline="0">
              <a:solidFill>
                <a:schemeClr val="tx1"/>
              </a:solidFill>
              <a:latin typeface="+mn-lt"/>
              <a:ea typeface="+mn-ea"/>
              <a:cs typeface="+mn-cs"/>
            </a:defRPr>
          </a:pPr>
          <a:endParaRPr lang="en-US"/>
        </a:p>
      </c:txPr>
    </c:title>
    <c:autoTitleDeleted val="0"/>
    <c:plotArea>
      <c:layout/>
      <c:barChart>
        <c:barDir val="col"/>
        <c:grouping val="clustered"/>
        <c:varyColors val="0"/>
        <c:ser>
          <c:idx val="0"/>
          <c:order val="0"/>
          <c:tx>
            <c:strRef>
              <c:f>'[Matriz Caracteristicas biofisicas y socioeconomicas areas priorizadas actualizada al 03012019.xlsx]Sheet7'!$M$12</c:f>
              <c:strCache>
                <c:ptCount val="1"/>
                <c:pt idx="0">
                  <c:v>Índice de ingresos</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tx1"/>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'[Matriz Caracteristicas biofisicas y socioeconomicas areas priorizadas actualizada al 03012019.xlsx]Sheet7'!$L$13:$L$17</c:f>
              <c:strCache>
                <c:ptCount val="5"/>
                <c:pt idx="0">
                  <c:v>Area 1</c:v>
                </c:pt>
                <c:pt idx="1">
                  <c:v>Area 2</c:v>
                </c:pt>
                <c:pt idx="2">
                  <c:v>Area 3</c:v>
                </c:pt>
                <c:pt idx="3">
                  <c:v>Area 4</c:v>
                </c:pt>
                <c:pt idx="4">
                  <c:v>Area 5</c:v>
                </c:pt>
              </c:strCache>
            </c:strRef>
          </c:cat>
          <c:val>
            <c:numRef>
              <c:f>'[Matriz Caracteristicas biofisicas y socioeconomicas areas priorizadas actualizada al 03012019.xlsx]Sheet7'!$M$13:$M$17</c:f>
              <c:numCache>
                <c:formatCode>_(* #,##0.00_);_(* \(#,##0.00\);_(* "-"??_);_(@_)</c:formatCode>
                <c:ptCount val="5"/>
                <c:pt idx="0">
                  <c:v>0.502</c:v>
                </c:pt>
                <c:pt idx="1">
                  <c:v>0.311</c:v>
                </c:pt>
                <c:pt idx="2">
                  <c:v>0.46833333333333299</c:v>
                </c:pt>
                <c:pt idx="3">
                  <c:v>0.53866666666666696</c:v>
                </c:pt>
                <c:pt idx="4">
                  <c:v>0.49249999999999999</c:v>
                </c:pt>
              </c:numCache>
            </c:numRef>
          </c:val>
          <c:extLst>
            <c:ext xmlns:c16="http://schemas.microsoft.com/office/drawing/2014/chart" uri="{C3380CC4-5D6E-409C-BE32-E72D297353CC}">
              <c16:uniqueId val="{00000000-2EDF-AE4F-A01F-4951651F9E12}"/>
            </c:ext>
          </c:extLst>
        </c:ser>
        <c:dLbls>
          <c:showLegendKey val="0"/>
          <c:showVal val="1"/>
          <c:showCatName val="0"/>
          <c:showSerName val="0"/>
          <c:showPercent val="0"/>
          <c:showBubbleSize val="0"/>
        </c:dLbls>
        <c:gapWidth val="150"/>
        <c:overlap val="-25"/>
        <c:axId val="2084632680"/>
        <c:axId val="2085167416"/>
      </c:barChart>
      <c:catAx>
        <c:axId val="2084632680"/>
        <c:scaling>
          <c:orientation val="minMax"/>
        </c:scaling>
        <c:delete val="0"/>
        <c:axPos val="b"/>
        <c:numFmt formatCode="General" sourceLinked="0"/>
        <c:majorTickMark val="none"/>
        <c:minorTickMark val="none"/>
        <c:tickLblPos val="nextTo"/>
        <c:spPr>
          <a:noFill/>
          <a:ln w="6350" cap="flat" cmpd="sng" algn="ctr">
            <a:solidFill>
              <a:schemeClr val="tx1">
                <a:tint val="75000"/>
              </a:schemeClr>
            </a:solidFill>
            <a:prstDash val="solid"/>
            <a:round/>
          </a:ln>
          <a:effectLst/>
        </c:spPr>
        <c:txPr>
          <a:bodyPr rot="-600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en-US"/>
          </a:p>
        </c:txPr>
        <c:crossAx val="2085167416"/>
        <c:crosses val="autoZero"/>
        <c:auto val="1"/>
        <c:lblAlgn val="ctr"/>
        <c:lblOffset val="100"/>
        <c:noMultiLvlLbl val="0"/>
      </c:catAx>
      <c:valAx>
        <c:axId val="2085167416"/>
        <c:scaling>
          <c:orientation val="minMax"/>
        </c:scaling>
        <c:delete val="1"/>
        <c:axPos val="l"/>
        <c:numFmt formatCode="_(* #,##0.00_);_(* \(#,##0.00\);_(* &quot;-&quot;??_);_(@_)" sourceLinked="1"/>
        <c:majorTickMark val="out"/>
        <c:minorTickMark val="none"/>
        <c:tickLblPos val="nextTo"/>
        <c:crossAx val="2084632680"/>
        <c:crosses val="autoZero"/>
        <c:crossBetween val="between"/>
      </c:valAx>
      <c:spPr>
        <a:solidFill>
          <a:schemeClr val="bg1"/>
        </a:solidFill>
        <a:ln>
          <a:noFill/>
        </a:ln>
        <a:effectLst/>
      </c:spPr>
    </c:plotArea>
    <c:plotVisOnly val="1"/>
    <c:dispBlanksAs val="gap"/>
    <c:showDLblsOverMax val="0"/>
  </c:chart>
  <c:spPr>
    <a:solidFill>
      <a:schemeClr val="bg1"/>
    </a:solidFill>
    <a:ln w="6350" cap="flat" cmpd="sng" algn="ctr">
      <a:solidFill>
        <a:schemeClr val="tx1">
          <a:tint val="75000"/>
        </a:schemeClr>
      </a:solidFill>
      <a:prstDash val="solid"/>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5">
  <cs:axisTitle>
    <cs:lnRef idx="0"/>
    <cs:fillRef idx="0"/>
    <cs:effectRef idx="0"/>
    <cs:fontRef idx="minor">
      <a:schemeClr val="tx1"/>
    </cs:fontRef>
    <cs:defRPr sz="1000" b="1" kern="1200"/>
  </cs:axisTitle>
  <cs:categoryAxis>
    <cs:lnRef idx="1">
      <a:schemeClr val="tx1">
        <a:tint val="75000"/>
      </a:schemeClr>
    </cs:lnRef>
    <cs:fillRef idx="0"/>
    <cs:effectRef idx="0"/>
    <cs:fontRef idx="minor">
      <a:schemeClr val="tx1"/>
    </cs:fontRef>
    <cs:spPr>
      <a:ln>
        <a:round/>
      </a:ln>
    </cs:spPr>
    <cs:defRPr sz="1000" kern="1200"/>
  </cs:categoryAxis>
  <cs:chartArea mods="allowNoFillOverride allowNoLineOverride">
    <cs:lnRef idx="1">
      <a:schemeClr val="tx1">
        <a:tint val="75000"/>
      </a:schemeClr>
    </cs:lnRef>
    <cs:fillRef idx="1">
      <a:schemeClr val="bg1"/>
    </cs:fillRef>
    <cs:effectRef idx="0"/>
    <cs:fontRef idx="minor">
      <a:schemeClr val="tx1"/>
    </cs:fontRef>
    <cs:spPr>
      <a:ln>
        <a:round/>
      </a:ln>
    </cs:spPr>
    <cs:defRPr sz="1000" kern="1200"/>
  </cs:chartArea>
  <cs:dataLabel>
    <cs:lnRef idx="0"/>
    <cs:fillRef idx="0"/>
    <cs:effectRef idx="0"/>
    <cs:fontRef idx="minor">
      <a:schemeClr val="tx1"/>
    </cs:fontRef>
    <cs:defRPr sz="1000" kern="1200"/>
  </cs:dataLabel>
  <cs:dataLabelCallout>
    <cs:lnRef idx="0"/>
    <cs:fillRef idx="0"/>
    <cs:effectRef idx="0"/>
    <cs:fontRef idx="minor">
      <a:schemeClr val="dk1"/>
    </cs:fontRef>
    <cs:spPr>
      <a:solidFill>
        <a:schemeClr val="lt1"/>
      </a:solidFill>
      <a:ln>
        <a:solidFill>
          <a:schemeClr val="dk1">
            <a:lumMod val="65000"/>
            <a:lumOff val="35000"/>
          </a:schemeClr>
        </a:solidFill>
      </a:ln>
    </cs:spPr>
    <cs:defRPr sz="1000" kern="1200"/>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1">
      <cs:styleClr val="auto"/>
    </cs:lnRef>
    <cs:lineWidthScale>3</cs:lineWidthScale>
    <cs:fillRef idx="0"/>
    <cs:effectRef idx="0"/>
    <cs:fontRef idx="minor">
      <a:schemeClr val="tx1"/>
    </cs:fontRef>
    <cs:spPr>
      <a:ln cap="rnd">
        <a:round/>
      </a:ln>
    </cs:spPr>
  </cs:dataPointLine>
  <cs:dataPointMarker>
    <cs:lnRef idx="1">
      <cs:styleClr val="auto"/>
    </cs:lnRef>
    <cs:fillRef idx="1">
      <cs:styleClr val="auto"/>
    </cs:fillRef>
    <cs:effectRef idx="0"/>
    <cs:fontRef idx="minor">
      <a:schemeClr val="tx1"/>
    </cs:fontRef>
    <cs:spPr>
      <a:ln>
        <a:round/>
      </a:ln>
    </cs:spPr>
  </cs:dataPointMarker>
  <cs:dataPointMarkerLayout/>
  <cs:dataPointWireframe>
    <cs:lnRef idx="1">
      <cs:styleClr val="auto"/>
    </cs:lnRef>
    <cs:fillRef idx="0"/>
    <cs:effectRef idx="0"/>
    <cs:fontRef idx="minor">
      <a:schemeClr val="tx1"/>
    </cs:fontRef>
    <cs:spPr>
      <a:ln>
        <a:round/>
      </a:ln>
    </cs:spPr>
  </cs:dataPointWireframe>
  <cs:dataTable>
    <cs:lnRef idx="1">
      <a:schemeClr val="tx1">
        <a:tint val="75000"/>
      </a:schemeClr>
    </cs:lnRef>
    <cs:fillRef idx="0"/>
    <cs:effectRef idx="0"/>
    <cs:fontRef idx="minor">
      <a:schemeClr val="tx1"/>
    </cs:fontRef>
    <cs:spPr>
      <a:ln>
        <a:round/>
      </a:ln>
    </cs:spPr>
    <cs:defRPr sz="1000" kern="1200"/>
  </cs:dataTable>
  <cs:downBar>
    <cs:lnRef idx="1">
      <a:schemeClr val="tx1"/>
    </cs:lnRef>
    <cs:fillRef idx="1" mods="ignoreCSTransforms">
      <cs:styleClr val="0">
        <a:shade val="25000"/>
      </cs:styleClr>
    </cs:fillRef>
    <cs:effectRef idx="0"/>
    <cs:fontRef idx="minor">
      <a:schemeClr val="tx1"/>
    </cs:fontRef>
    <cs:spPr>
      <a:ln>
        <a:round/>
      </a:ln>
    </cs:spPr>
  </cs:downBar>
  <cs:dropLine>
    <cs:lnRef idx="1">
      <a:schemeClr val="tx1"/>
    </cs:lnRef>
    <cs:fillRef idx="0"/>
    <cs:effectRef idx="0"/>
    <cs:fontRef idx="minor">
      <a:schemeClr val="tx1"/>
    </cs:fontRef>
    <cs:spPr>
      <a:ln>
        <a:round/>
      </a:ln>
    </cs:spPr>
  </cs:dropLine>
  <cs:errorBar>
    <cs:lnRef idx="1">
      <a:schemeClr val="tx1"/>
    </cs:lnRef>
    <cs:fillRef idx="1">
      <a:schemeClr val="tx1"/>
    </cs:fillRef>
    <cs:effectRef idx="0"/>
    <cs:fontRef idx="minor">
      <a:schemeClr val="tx1"/>
    </cs:fontRef>
    <cs:spPr>
      <a:ln>
        <a:round/>
      </a:ln>
    </cs:spPr>
  </cs:errorBar>
  <cs:floor>
    <cs:lnRef idx="1">
      <a:schemeClr val="tx1">
        <a:tint val="75000"/>
      </a:schemeClr>
    </cs:lnRef>
    <cs:fillRef idx="0"/>
    <cs:effectRef idx="0"/>
    <cs:fontRef idx="minor">
      <a:schemeClr val="tx1"/>
    </cs:fontRef>
    <cs:spPr>
      <a:ln>
        <a:round/>
      </a:ln>
    </cs:spPr>
  </cs:floor>
  <cs:gridlineMajor>
    <cs:lnRef idx="1">
      <a:schemeClr val="tx1">
        <a:tint val="75000"/>
      </a:schemeClr>
    </cs:lnRef>
    <cs:fillRef idx="0"/>
    <cs:effectRef idx="0"/>
    <cs:fontRef idx="minor">
      <a:schemeClr val="tx1"/>
    </cs:fontRef>
    <cs:spPr>
      <a:ln>
        <a:round/>
      </a:ln>
    </cs:spPr>
  </cs:gridlineMajor>
  <cs:gridlineMinor>
    <cs:lnRef idx="1">
      <a:schemeClr val="tx1">
        <a:tint val="50000"/>
      </a:schemeClr>
    </cs:lnRef>
    <cs:fillRef idx="0"/>
    <cs:effectRef idx="0"/>
    <cs:fontRef idx="minor">
      <a:schemeClr val="tx1"/>
    </cs:fontRef>
    <cs:spPr>
      <a:ln>
        <a:round/>
      </a:ln>
    </cs:spPr>
  </cs:gridlineMinor>
  <cs:hiLoLine>
    <cs:lnRef idx="1">
      <a:schemeClr val="tx1"/>
    </cs:lnRef>
    <cs:fillRef idx="0"/>
    <cs:effectRef idx="0"/>
    <cs:fontRef idx="minor">
      <a:schemeClr val="tx1"/>
    </cs:fontRef>
    <cs:spPr>
      <a:ln>
        <a:round/>
      </a:ln>
    </cs:spPr>
  </cs:hiLoLine>
  <cs:leaderLine>
    <cs:lnRef idx="1">
      <a:schemeClr val="tx1"/>
    </cs:lnRef>
    <cs:fillRef idx="0"/>
    <cs:effectRef idx="0"/>
    <cs:fontRef idx="minor">
      <a:schemeClr val="tx1"/>
    </cs:fontRef>
    <cs:spPr>
      <a:ln>
        <a:round/>
      </a:ln>
    </cs:spPr>
  </cs:leaderLine>
  <cs:legend>
    <cs:lnRef idx="0"/>
    <cs:fillRef idx="0"/>
    <cs:effectRef idx="0"/>
    <cs:fontRef idx="minor">
      <a:schemeClr val="tx1"/>
    </cs:fontRef>
    <cs:defRPr sz="1000" kern="1200"/>
  </cs:legend>
  <cs:plotArea mods="allowNoFillOverride allowNoLineOverride">
    <cs:lnRef idx="0"/>
    <cs:fillRef idx="1">
      <a:schemeClr val="bg1"/>
    </cs:fillRef>
    <cs:effectRef idx="0"/>
    <cs:fontRef idx="minor">
      <a:schemeClr val="tx1"/>
    </cs:fontRef>
  </cs:plotArea>
  <cs:plotArea3D>
    <cs:lnRef idx="0"/>
    <cs:fillRef idx="0"/>
    <cs:effectRef idx="0"/>
    <cs:fontRef idx="minor">
      <a:schemeClr val="tx1"/>
    </cs:fontRef>
  </cs:plotArea3D>
  <cs:seriesAxis>
    <cs:lnRef idx="1">
      <a:schemeClr val="tx1">
        <a:tint val="75000"/>
      </a:schemeClr>
    </cs:lnRef>
    <cs:fillRef idx="0"/>
    <cs:effectRef idx="0"/>
    <cs:fontRef idx="minor">
      <a:schemeClr val="tx1"/>
    </cs:fontRef>
    <cs:spPr>
      <a:ln>
        <a:round/>
      </a:ln>
    </cs:spPr>
    <cs:defRPr sz="1000" kern="1200"/>
  </cs:seriesAxis>
  <cs:seriesLine>
    <cs:lnRef idx="1">
      <a:schemeClr val="tx1"/>
    </cs:lnRef>
    <cs:fillRef idx="0"/>
    <cs:effectRef idx="0"/>
    <cs:fontRef idx="minor">
      <a:schemeClr val="tx1"/>
    </cs:fontRef>
    <cs:spPr>
      <a:ln>
        <a:round/>
      </a:ln>
    </cs:spPr>
  </cs:seriesLine>
  <cs:title>
    <cs:lnRef idx="0"/>
    <cs:fillRef idx="0"/>
    <cs:effectRef idx="0"/>
    <cs:fontRef idx="minor">
      <a:schemeClr val="tx1"/>
    </cs:fontRef>
    <cs:defRPr sz="1800" b="1" kern="1200"/>
  </cs:title>
  <cs:trendline>
    <cs:lnRef idx="1">
      <a:schemeClr val="tx1"/>
    </cs:lnRef>
    <cs:fillRef idx="0"/>
    <cs:effectRef idx="0"/>
    <cs:fontRef idx="minor">
      <a:schemeClr val="tx1"/>
    </cs:fontRef>
    <cs:spPr>
      <a:ln cap="rnd">
        <a:round/>
      </a:ln>
    </cs:spPr>
  </cs:trendline>
  <cs:trendlineLabel>
    <cs:lnRef idx="0"/>
    <cs:fillRef idx="0"/>
    <cs:effectRef idx="0"/>
    <cs:fontRef idx="minor">
      <a:schemeClr val="tx1"/>
    </cs:fontRef>
    <cs:defRPr sz="1000" kern="1200"/>
  </cs:trendlineLabel>
  <cs:upBar>
    <cs:lnRef idx="1">
      <a:schemeClr val="tx1"/>
    </cs:lnRef>
    <cs:fillRef idx="1" mods="ignoreCSTransforms">
      <cs:styleClr val="0">
        <a:tint val="25000"/>
      </cs:styleClr>
    </cs:fillRef>
    <cs:effectRef idx="0"/>
    <cs:fontRef idx="minor">
      <a:schemeClr val="tx1"/>
    </cs:fontRef>
    <cs:spPr>
      <a:ln>
        <a:round/>
      </a:ln>
    </cs:spPr>
  </cs:upBar>
  <cs:valueAxis>
    <cs:lnRef idx="1">
      <a:schemeClr val="tx1">
        <a:tint val="75000"/>
      </a:schemeClr>
    </cs:lnRef>
    <cs:fillRef idx="0"/>
    <cs:effectRef idx="0"/>
    <cs:fontRef idx="minor">
      <a:schemeClr val="tx1"/>
    </cs:fontRef>
    <cs:spPr>
      <a:ln>
        <a:round/>
      </a:ln>
    </cs:spPr>
    <cs:defRPr sz="1000" kern="1200"/>
  </cs:valueAxis>
  <cs:wall>
    <cs:lnRef idx="0"/>
    <cs:fillRef idx="0"/>
    <cs:effectRef idx="0"/>
    <cs:fontRef idx="minor">
      <a:schemeClr val="tx1"/>
    </cs:fontRef>
  </cs:wall>
</cs:chartStyle>
</file>

<file path=word/diagrams/colors1.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7B39B79-F88D-714E-9344-E14DBDCC1627}" type="doc">
      <dgm:prSet loTypeId="urn:microsoft.com/office/officeart/2005/8/layout/target3" loCatId="" qsTypeId="urn:microsoft.com/office/officeart/2005/8/quickstyle/simple2" qsCatId="simple" csTypeId="urn:microsoft.com/office/officeart/2005/8/colors/colorful3" csCatId="colorful" phldr="1"/>
      <dgm:spPr/>
    </dgm:pt>
    <dgm:pt modelId="{D64BD58A-14E2-334A-A31D-6205005AF1A7}">
      <dgm:prSet phldrT="[Texto]" custT="1"/>
      <dgm:spPr/>
      <dgm:t>
        <a:bodyPr/>
        <a:lstStyle/>
        <a:p>
          <a:pPr algn="just"/>
          <a:r>
            <a:rPr lang="es-ES" sz="1100" b="1"/>
            <a:t>Comité Técnico Asesor (CTA)</a:t>
          </a:r>
          <a:r>
            <a:rPr lang="es-ES" sz="1100"/>
            <a:t>: mecanismo consultivo, de seguimiento y fiscalización de las metas a alcanzar a través de los proyectos/programas en ejecución vinculados con REDD+ en el país.</a:t>
          </a:r>
        </a:p>
      </dgm:t>
    </dgm:pt>
    <dgm:pt modelId="{B124218A-CAC1-ED47-84B9-5A28D9A092D4}" type="parTrans" cxnId="{ED61E0B5-53B5-5240-9F24-D58BB35B02B5}">
      <dgm:prSet/>
      <dgm:spPr/>
      <dgm:t>
        <a:bodyPr/>
        <a:lstStyle/>
        <a:p>
          <a:endParaRPr lang="es-ES" sz="1800"/>
        </a:p>
      </dgm:t>
    </dgm:pt>
    <dgm:pt modelId="{1019B993-7DE3-5145-94C1-D2622F2F1686}" type="sibTrans" cxnId="{ED61E0B5-53B5-5240-9F24-D58BB35B02B5}">
      <dgm:prSet/>
      <dgm:spPr/>
      <dgm:t>
        <a:bodyPr/>
        <a:lstStyle/>
        <a:p>
          <a:endParaRPr lang="es-ES" sz="1800"/>
        </a:p>
      </dgm:t>
    </dgm:pt>
    <dgm:pt modelId="{DAC635E1-3761-4745-AC3D-3C8CB5A3FBDD}">
      <dgm:prSet phldrT="[Texto]" custT="1"/>
      <dgm:spPr/>
      <dgm:t>
        <a:bodyPr/>
        <a:lstStyle/>
        <a:p>
          <a:pPr algn="just"/>
          <a:r>
            <a:rPr lang="es-ES" sz="1100" b="1"/>
            <a:t>Entidades Ejecutoras: </a:t>
          </a:r>
          <a:r>
            <a:rPr lang="es-ES" sz="1100" b="0"/>
            <a:t>l</a:t>
          </a:r>
          <a:r>
            <a:rPr lang="es-ES" sz="1100"/>
            <a:t>as instituciones gubernamentales o no gubernamentales serán responsables directas de la ejecución de los proyectos/programas y de los instrumentos de salvaguardas</a:t>
          </a:r>
        </a:p>
      </dgm:t>
    </dgm:pt>
    <dgm:pt modelId="{92E9BD29-7095-F843-A8DF-D5087D6CF740}" type="parTrans" cxnId="{AB1CCCE1-5C36-D443-A155-7DCF74D22A6F}">
      <dgm:prSet/>
      <dgm:spPr/>
      <dgm:t>
        <a:bodyPr/>
        <a:lstStyle/>
        <a:p>
          <a:endParaRPr lang="es-ES" sz="1800"/>
        </a:p>
      </dgm:t>
    </dgm:pt>
    <dgm:pt modelId="{BBFE10A8-E4AD-614A-86C3-1EED8C55005F}" type="sibTrans" cxnId="{AB1CCCE1-5C36-D443-A155-7DCF74D22A6F}">
      <dgm:prSet/>
      <dgm:spPr/>
      <dgm:t>
        <a:bodyPr/>
        <a:lstStyle/>
        <a:p>
          <a:endParaRPr lang="es-ES" sz="1800"/>
        </a:p>
      </dgm:t>
    </dgm:pt>
    <dgm:pt modelId="{38ADEB6E-55EC-2048-A599-E194FEE2F5AB}">
      <dgm:prSet phldrT="[Texto]" custT="1"/>
      <dgm:spPr/>
      <dgm:t>
        <a:bodyPr/>
        <a:lstStyle/>
        <a:p>
          <a:pPr algn="just"/>
          <a:endParaRPr lang="es-ES" sz="1100" b="1"/>
        </a:p>
        <a:p>
          <a:pPr algn="just"/>
          <a:endParaRPr lang="es-ES" sz="1100" b="1"/>
        </a:p>
        <a:p>
          <a:pPr algn="just"/>
          <a:r>
            <a:rPr lang="es-ES" sz="1100" b="1"/>
            <a:t>Oficina de Coordinacion REDD+: </a:t>
          </a:r>
          <a:r>
            <a:rPr lang="es-ES" sz="1100"/>
            <a:t>dará seguimiento al flujo de información técnica y financiera de los proyectos/programas para cumplimiento de metas REDD+. Elaborará y gestionará los acuerdos interinstitucionales. Brindará asesoría técnica sobre REDD+ a las Entidades Ejecutoras. Responsable de elaborar procesos de captura de información de los proyectos/programas para cumplimiento de  metas REDD+ y seguimiento del MGAS</a:t>
          </a:r>
        </a:p>
      </dgm:t>
    </dgm:pt>
    <dgm:pt modelId="{16E07C31-DB58-C64A-B0CF-6417342CA754}" type="sibTrans" cxnId="{58E7D283-2C28-1E44-97AA-83B8C6FD24D6}">
      <dgm:prSet/>
      <dgm:spPr/>
      <dgm:t>
        <a:bodyPr/>
        <a:lstStyle/>
        <a:p>
          <a:endParaRPr lang="es-ES" sz="1800"/>
        </a:p>
      </dgm:t>
    </dgm:pt>
    <dgm:pt modelId="{0B8E4B15-8CE3-C64E-8552-8512BEB63046}" type="parTrans" cxnId="{58E7D283-2C28-1E44-97AA-83B8C6FD24D6}">
      <dgm:prSet/>
      <dgm:spPr/>
      <dgm:t>
        <a:bodyPr/>
        <a:lstStyle/>
        <a:p>
          <a:endParaRPr lang="es-ES" sz="1800"/>
        </a:p>
      </dgm:t>
    </dgm:pt>
    <dgm:pt modelId="{FF7F6257-7EE2-7947-A214-D26186723B7D}" type="pres">
      <dgm:prSet presAssocID="{97B39B79-F88D-714E-9344-E14DBDCC1627}" presName="Name0" presStyleCnt="0">
        <dgm:presLayoutVars>
          <dgm:chMax val="7"/>
          <dgm:dir/>
          <dgm:animLvl val="lvl"/>
          <dgm:resizeHandles val="exact"/>
        </dgm:presLayoutVars>
      </dgm:prSet>
      <dgm:spPr/>
    </dgm:pt>
    <dgm:pt modelId="{0DFF1DDD-5272-214E-BAA7-6EB27663B8B3}" type="pres">
      <dgm:prSet presAssocID="{DAC635E1-3761-4745-AC3D-3C8CB5A3FBDD}" presName="circle1" presStyleLbl="node1" presStyleIdx="0" presStyleCnt="3"/>
      <dgm:spPr/>
    </dgm:pt>
    <dgm:pt modelId="{91BDEBA9-0960-1A41-BEE2-FA475DB30DD6}" type="pres">
      <dgm:prSet presAssocID="{DAC635E1-3761-4745-AC3D-3C8CB5A3FBDD}" presName="space" presStyleCnt="0"/>
      <dgm:spPr/>
    </dgm:pt>
    <dgm:pt modelId="{2260597B-7611-C34E-94DC-3CDCA0585D53}" type="pres">
      <dgm:prSet presAssocID="{DAC635E1-3761-4745-AC3D-3C8CB5A3FBDD}" presName="rect1" presStyleLbl="alignAcc1" presStyleIdx="0" presStyleCnt="3"/>
      <dgm:spPr/>
    </dgm:pt>
    <dgm:pt modelId="{CA631E2E-51D6-724B-BA97-FEF7B32D78E4}" type="pres">
      <dgm:prSet presAssocID="{38ADEB6E-55EC-2048-A599-E194FEE2F5AB}" presName="vertSpace2" presStyleLbl="node1" presStyleIdx="0" presStyleCnt="3"/>
      <dgm:spPr/>
    </dgm:pt>
    <dgm:pt modelId="{B72A1AFD-9E7B-BF4B-86A9-D83C685D2957}" type="pres">
      <dgm:prSet presAssocID="{38ADEB6E-55EC-2048-A599-E194FEE2F5AB}" presName="circle2" presStyleLbl="node1" presStyleIdx="1" presStyleCnt="3" custScaleX="104412" custScaleY="97513" custLinFactNeighborX="535" custLinFactNeighborY="-3899"/>
      <dgm:spPr/>
    </dgm:pt>
    <dgm:pt modelId="{95346F95-877E-C246-BFE2-7E5F00789262}" type="pres">
      <dgm:prSet presAssocID="{38ADEB6E-55EC-2048-A599-E194FEE2F5AB}" presName="rect2" presStyleLbl="alignAcc1" presStyleIdx="1" presStyleCnt="3" custScaleY="97502" custLinFactNeighborX="76" custLinFactNeighborY="-5148"/>
      <dgm:spPr/>
    </dgm:pt>
    <dgm:pt modelId="{470CFBD6-00AF-984F-A259-6AC2D77DE310}" type="pres">
      <dgm:prSet presAssocID="{D64BD58A-14E2-334A-A31D-6205005AF1A7}" presName="vertSpace3" presStyleLbl="node1" presStyleIdx="1" presStyleCnt="3"/>
      <dgm:spPr/>
    </dgm:pt>
    <dgm:pt modelId="{B1A34DEC-95D0-1C4D-B5E3-D2F99DF9CE68}" type="pres">
      <dgm:prSet presAssocID="{D64BD58A-14E2-334A-A31D-6205005AF1A7}" presName="circle3" presStyleLbl="node1" presStyleIdx="2" presStyleCnt="3" custScaleY="84071" custLinFactNeighborY="14854"/>
      <dgm:spPr/>
    </dgm:pt>
    <dgm:pt modelId="{0A102267-F057-6844-ADC5-60C5F8B1A337}" type="pres">
      <dgm:prSet presAssocID="{D64BD58A-14E2-334A-A31D-6205005AF1A7}" presName="rect3" presStyleLbl="alignAcc1" presStyleIdx="2" presStyleCnt="3" custScaleY="89047" custLinFactNeighborX="76" custLinFactNeighborY="29800"/>
      <dgm:spPr/>
    </dgm:pt>
    <dgm:pt modelId="{9C17DB7D-9765-B24A-A70E-8AA5360BC4AF}" type="pres">
      <dgm:prSet presAssocID="{DAC635E1-3761-4745-AC3D-3C8CB5A3FBDD}" presName="rect1ParTxNoCh" presStyleLbl="alignAcc1" presStyleIdx="2" presStyleCnt="3">
        <dgm:presLayoutVars>
          <dgm:chMax val="1"/>
          <dgm:bulletEnabled val="1"/>
        </dgm:presLayoutVars>
      </dgm:prSet>
      <dgm:spPr/>
    </dgm:pt>
    <dgm:pt modelId="{DAD4501F-4B72-E540-B5FA-CC29286B4D5F}" type="pres">
      <dgm:prSet presAssocID="{38ADEB6E-55EC-2048-A599-E194FEE2F5AB}" presName="rect2ParTxNoCh" presStyleLbl="alignAcc1" presStyleIdx="2" presStyleCnt="3">
        <dgm:presLayoutVars>
          <dgm:chMax val="1"/>
          <dgm:bulletEnabled val="1"/>
        </dgm:presLayoutVars>
      </dgm:prSet>
      <dgm:spPr/>
    </dgm:pt>
    <dgm:pt modelId="{F6526E44-ADE1-8B4B-B64F-14866C0C443F}" type="pres">
      <dgm:prSet presAssocID="{D64BD58A-14E2-334A-A31D-6205005AF1A7}" presName="rect3ParTxNoCh" presStyleLbl="alignAcc1" presStyleIdx="2" presStyleCnt="3">
        <dgm:presLayoutVars>
          <dgm:chMax val="1"/>
          <dgm:bulletEnabled val="1"/>
        </dgm:presLayoutVars>
      </dgm:prSet>
      <dgm:spPr/>
    </dgm:pt>
  </dgm:ptLst>
  <dgm:cxnLst>
    <dgm:cxn modelId="{DE838B24-AC5B-4B6A-89A5-1EC13F1FB5D4}" type="presOf" srcId="{38ADEB6E-55EC-2048-A599-E194FEE2F5AB}" destId="{DAD4501F-4B72-E540-B5FA-CC29286B4D5F}" srcOrd="1" destOrd="0" presId="urn:microsoft.com/office/officeart/2005/8/layout/target3"/>
    <dgm:cxn modelId="{26EE8D28-768C-40DE-85B1-009ECFD51477}" type="presOf" srcId="{38ADEB6E-55EC-2048-A599-E194FEE2F5AB}" destId="{95346F95-877E-C246-BFE2-7E5F00789262}" srcOrd="0" destOrd="0" presId="urn:microsoft.com/office/officeart/2005/8/layout/target3"/>
    <dgm:cxn modelId="{461F5D3E-DB0D-4862-A73E-EACE3AA335EE}" type="presOf" srcId="{D64BD58A-14E2-334A-A31D-6205005AF1A7}" destId="{F6526E44-ADE1-8B4B-B64F-14866C0C443F}" srcOrd="1" destOrd="0" presId="urn:microsoft.com/office/officeart/2005/8/layout/target3"/>
    <dgm:cxn modelId="{682F6375-0DFE-4F30-A9C8-A690B1EECA50}" type="presOf" srcId="{D64BD58A-14E2-334A-A31D-6205005AF1A7}" destId="{0A102267-F057-6844-ADC5-60C5F8B1A337}" srcOrd="0" destOrd="0" presId="urn:microsoft.com/office/officeart/2005/8/layout/target3"/>
    <dgm:cxn modelId="{58E7D283-2C28-1E44-97AA-83B8C6FD24D6}" srcId="{97B39B79-F88D-714E-9344-E14DBDCC1627}" destId="{38ADEB6E-55EC-2048-A599-E194FEE2F5AB}" srcOrd="1" destOrd="0" parTransId="{0B8E4B15-8CE3-C64E-8552-8512BEB63046}" sibTransId="{16E07C31-DB58-C64A-B0CF-6417342CA754}"/>
    <dgm:cxn modelId="{67E64490-137E-4DDA-ABAD-605758C22C2B}" type="presOf" srcId="{DAC635E1-3761-4745-AC3D-3C8CB5A3FBDD}" destId="{9C17DB7D-9765-B24A-A70E-8AA5360BC4AF}" srcOrd="1" destOrd="0" presId="urn:microsoft.com/office/officeart/2005/8/layout/target3"/>
    <dgm:cxn modelId="{ED61E0B5-53B5-5240-9F24-D58BB35B02B5}" srcId="{97B39B79-F88D-714E-9344-E14DBDCC1627}" destId="{D64BD58A-14E2-334A-A31D-6205005AF1A7}" srcOrd="2" destOrd="0" parTransId="{B124218A-CAC1-ED47-84B9-5A28D9A092D4}" sibTransId="{1019B993-7DE3-5145-94C1-D2622F2F1686}"/>
    <dgm:cxn modelId="{636738CA-4FAB-4C6A-9643-3AA4F98D4437}" type="presOf" srcId="{97B39B79-F88D-714E-9344-E14DBDCC1627}" destId="{FF7F6257-7EE2-7947-A214-D26186723B7D}" srcOrd="0" destOrd="0" presId="urn:microsoft.com/office/officeart/2005/8/layout/target3"/>
    <dgm:cxn modelId="{AB1CCCE1-5C36-D443-A155-7DCF74D22A6F}" srcId="{97B39B79-F88D-714E-9344-E14DBDCC1627}" destId="{DAC635E1-3761-4745-AC3D-3C8CB5A3FBDD}" srcOrd="0" destOrd="0" parTransId="{92E9BD29-7095-F843-A8DF-D5087D6CF740}" sibTransId="{BBFE10A8-E4AD-614A-86C3-1EED8C55005F}"/>
    <dgm:cxn modelId="{31F0D9F6-8025-4545-88C0-95100C5D974B}" type="presOf" srcId="{DAC635E1-3761-4745-AC3D-3C8CB5A3FBDD}" destId="{2260597B-7611-C34E-94DC-3CDCA0585D53}" srcOrd="0" destOrd="0" presId="urn:microsoft.com/office/officeart/2005/8/layout/target3"/>
    <dgm:cxn modelId="{6199A59F-3103-4688-AF28-BF9837635DCE}" type="presParOf" srcId="{FF7F6257-7EE2-7947-A214-D26186723B7D}" destId="{0DFF1DDD-5272-214E-BAA7-6EB27663B8B3}" srcOrd="0" destOrd="0" presId="urn:microsoft.com/office/officeart/2005/8/layout/target3"/>
    <dgm:cxn modelId="{D5281416-2B71-40F6-A7BC-E23B3E899B15}" type="presParOf" srcId="{FF7F6257-7EE2-7947-A214-D26186723B7D}" destId="{91BDEBA9-0960-1A41-BEE2-FA475DB30DD6}" srcOrd="1" destOrd="0" presId="urn:microsoft.com/office/officeart/2005/8/layout/target3"/>
    <dgm:cxn modelId="{F05EB02D-A33D-48B9-B729-37C6953643B7}" type="presParOf" srcId="{FF7F6257-7EE2-7947-A214-D26186723B7D}" destId="{2260597B-7611-C34E-94DC-3CDCA0585D53}" srcOrd="2" destOrd="0" presId="urn:microsoft.com/office/officeart/2005/8/layout/target3"/>
    <dgm:cxn modelId="{2BDC707D-5056-487E-B4FA-39785951132F}" type="presParOf" srcId="{FF7F6257-7EE2-7947-A214-D26186723B7D}" destId="{CA631E2E-51D6-724B-BA97-FEF7B32D78E4}" srcOrd="3" destOrd="0" presId="urn:microsoft.com/office/officeart/2005/8/layout/target3"/>
    <dgm:cxn modelId="{80B87674-D2A6-4087-B610-44A22AF90D3A}" type="presParOf" srcId="{FF7F6257-7EE2-7947-A214-D26186723B7D}" destId="{B72A1AFD-9E7B-BF4B-86A9-D83C685D2957}" srcOrd="4" destOrd="0" presId="urn:microsoft.com/office/officeart/2005/8/layout/target3"/>
    <dgm:cxn modelId="{3DEB6D83-25B2-441E-B4E9-9835810C594F}" type="presParOf" srcId="{FF7F6257-7EE2-7947-A214-D26186723B7D}" destId="{95346F95-877E-C246-BFE2-7E5F00789262}" srcOrd="5" destOrd="0" presId="urn:microsoft.com/office/officeart/2005/8/layout/target3"/>
    <dgm:cxn modelId="{EF80AA43-D41F-4CCA-B20A-F82CCA4EF872}" type="presParOf" srcId="{FF7F6257-7EE2-7947-A214-D26186723B7D}" destId="{470CFBD6-00AF-984F-A259-6AC2D77DE310}" srcOrd="6" destOrd="0" presId="urn:microsoft.com/office/officeart/2005/8/layout/target3"/>
    <dgm:cxn modelId="{C298491D-E15B-4B2A-ABC5-C5B408DE8EDE}" type="presParOf" srcId="{FF7F6257-7EE2-7947-A214-D26186723B7D}" destId="{B1A34DEC-95D0-1C4D-B5E3-D2F99DF9CE68}" srcOrd="7" destOrd="0" presId="urn:microsoft.com/office/officeart/2005/8/layout/target3"/>
    <dgm:cxn modelId="{FDD5380B-6B53-4AB7-B44E-18DAAC4AB6DF}" type="presParOf" srcId="{FF7F6257-7EE2-7947-A214-D26186723B7D}" destId="{0A102267-F057-6844-ADC5-60C5F8B1A337}" srcOrd="8" destOrd="0" presId="urn:microsoft.com/office/officeart/2005/8/layout/target3"/>
    <dgm:cxn modelId="{D1971F94-F8DD-4779-914A-76BB5B53E432}" type="presParOf" srcId="{FF7F6257-7EE2-7947-A214-D26186723B7D}" destId="{9C17DB7D-9765-B24A-A70E-8AA5360BC4AF}" srcOrd="9" destOrd="0" presId="urn:microsoft.com/office/officeart/2005/8/layout/target3"/>
    <dgm:cxn modelId="{499077F1-9707-4A8A-89B3-98E991C6C91E}" type="presParOf" srcId="{FF7F6257-7EE2-7947-A214-D26186723B7D}" destId="{DAD4501F-4B72-E540-B5FA-CC29286B4D5F}" srcOrd="10" destOrd="0" presId="urn:microsoft.com/office/officeart/2005/8/layout/target3"/>
    <dgm:cxn modelId="{A40C53F0-DCB2-4460-9321-7D1CD6CBAA1D}" type="presParOf" srcId="{FF7F6257-7EE2-7947-A214-D26186723B7D}" destId="{F6526E44-ADE1-8B4B-B64F-14866C0C443F}" srcOrd="11" destOrd="0" presId="urn:microsoft.com/office/officeart/2005/8/layout/target3"/>
  </dgm:cxnLst>
  <dgm:bg/>
  <dgm:whole/>
  <dgm:extLst>
    <a:ext uri="http://schemas.microsoft.com/office/drawing/2008/diagram">
      <dsp:dataModelExt xmlns:dsp="http://schemas.microsoft.com/office/drawing/2008/diagram" relId="rId56"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8836DF7D-8CC5-A142-83C8-BF5567C178BA}" type="doc">
      <dgm:prSet loTypeId="urn:microsoft.com/office/officeart/2005/8/layout/bProcess3" loCatId="" qsTypeId="urn:microsoft.com/office/officeart/2005/8/quickstyle/simple4" qsCatId="simple" csTypeId="urn:microsoft.com/office/officeart/2005/8/colors/colorful4" csCatId="colorful" phldr="1"/>
      <dgm:spPr/>
      <dgm:t>
        <a:bodyPr/>
        <a:lstStyle/>
        <a:p>
          <a:endParaRPr lang="es-ES"/>
        </a:p>
      </dgm:t>
    </dgm:pt>
    <dgm:pt modelId="{43C9EF56-633C-8440-B49C-2D4B195134F2}">
      <dgm:prSet phldrT="[Texto]"/>
      <dgm:spPr/>
      <dgm:t>
        <a:bodyPr/>
        <a:lstStyle/>
        <a:p>
          <a:pPr algn="ctr"/>
          <a:r>
            <a:rPr lang="es-ES" b="1">
              <a:solidFill>
                <a:srgbClr val="000000"/>
              </a:solidFill>
            </a:rPr>
            <a:t>4. Evaluación</a:t>
          </a:r>
        </a:p>
      </dgm:t>
    </dgm:pt>
    <dgm:pt modelId="{B6A10F62-5D24-FB4A-A25B-48DD5EAA363C}" type="parTrans" cxnId="{99A3926A-9BD5-B449-9901-161392AB8741}">
      <dgm:prSet/>
      <dgm:spPr/>
      <dgm:t>
        <a:bodyPr/>
        <a:lstStyle/>
        <a:p>
          <a:pPr algn="ctr"/>
          <a:endParaRPr lang="es-ES" b="1">
            <a:solidFill>
              <a:srgbClr val="000000"/>
            </a:solidFill>
          </a:endParaRPr>
        </a:p>
      </dgm:t>
    </dgm:pt>
    <dgm:pt modelId="{2F99984B-CA74-E749-904D-4D313A490C1C}" type="sibTrans" cxnId="{99A3926A-9BD5-B449-9901-161392AB8741}">
      <dgm:prSet/>
      <dgm:spPr/>
      <dgm:t>
        <a:bodyPr/>
        <a:lstStyle/>
        <a:p>
          <a:pPr algn="ctr"/>
          <a:endParaRPr lang="es-ES" b="1">
            <a:solidFill>
              <a:srgbClr val="000000"/>
            </a:solidFill>
          </a:endParaRPr>
        </a:p>
      </dgm:t>
    </dgm:pt>
    <dgm:pt modelId="{84A2AFB9-E6AD-6E4A-BB6B-344423B96884}">
      <dgm:prSet phldrT="[Texto]"/>
      <dgm:spPr/>
      <dgm:t>
        <a:bodyPr/>
        <a:lstStyle/>
        <a:p>
          <a:pPr algn="ctr"/>
          <a:r>
            <a:rPr lang="es-ES" b="1">
              <a:solidFill>
                <a:srgbClr val="000000"/>
              </a:solidFill>
            </a:rPr>
            <a:t>1. Recepción</a:t>
          </a:r>
        </a:p>
      </dgm:t>
    </dgm:pt>
    <dgm:pt modelId="{BA84AAFF-9150-8A45-900E-274AB86878B4}" type="parTrans" cxnId="{A553762A-A3F3-BE48-B83C-43E7867ACEA3}">
      <dgm:prSet/>
      <dgm:spPr/>
      <dgm:t>
        <a:bodyPr/>
        <a:lstStyle/>
        <a:p>
          <a:pPr algn="ctr"/>
          <a:endParaRPr lang="es-ES" b="1">
            <a:solidFill>
              <a:srgbClr val="000000"/>
            </a:solidFill>
          </a:endParaRPr>
        </a:p>
      </dgm:t>
    </dgm:pt>
    <dgm:pt modelId="{45240628-FDFE-3946-8635-114C7EE541D2}" type="sibTrans" cxnId="{A553762A-A3F3-BE48-B83C-43E7867ACEA3}">
      <dgm:prSet/>
      <dgm:spPr/>
      <dgm:t>
        <a:bodyPr/>
        <a:lstStyle/>
        <a:p>
          <a:pPr algn="ctr"/>
          <a:endParaRPr lang="es-ES" b="1">
            <a:solidFill>
              <a:srgbClr val="000000"/>
            </a:solidFill>
          </a:endParaRPr>
        </a:p>
      </dgm:t>
    </dgm:pt>
    <dgm:pt modelId="{CA81B2C0-0E18-6D4F-ADD6-94673C5F6771}">
      <dgm:prSet phldrT="[Texto]"/>
      <dgm:spPr/>
      <dgm:t>
        <a:bodyPr/>
        <a:lstStyle/>
        <a:p>
          <a:pPr algn="ctr"/>
          <a:r>
            <a:rPr lang="es-ES" b="1">
              <a:solidFill>
                <a:srgbClr val="000000"/>
              </a:solidFill>
            </a:rPr>
            <a:t>2. Información de la queja o reclamo</a:t>
          </a:r>
        </a:p>
      </dgm:t>
    </dgm:pt>
    <dgm:pt modelId="{139D53C4-320F-004C-AA4D-32009C512F18}" type="parTrans" cxnId="{C5B35AA1-6814-FB4A-BAAD-EA9CDCF477B8}">
      <dgm:prSet/>
      <dgm:spPr/>
      <dgm:t>
        <a:bodyPr/>
        <a:lstStyle/>
        <a:p>
          <a:pPr algn="ctr"/>
          <a:endParaRPr lang="es-ES" b="1">
            <a:solidFill>
              <a:srgbClr val="000000"/>
            </a:solidFill>
          </a:endParaRPr>
        </a:p>
      </dgm:t>
    </dgm:pt>
    <dgm:pt modelId="{E987ECDD-3C1F-A34F-B7AA-41C0331D3F64}" type="sibTrans" cxnId="{C5B35AA1-6814-FB4A-BAAD-EA9CDCF477B8}">
      <dgm:prSet/>
      <dgm:spPr/>
      <dgm:t>
        <a:bodyPr/>
        <a:lstStyle/>
        <a:p>
          <a:pPr algn="ctr"/>
          <a:endParaRPr lang="es-ES" b="1">
            <a:solidFill>
              <a:srgbClr val="000000"/>
            </a:solidFill>
          </a:endParaRPr>
        </a:p>
      </dgm:t>
    </dgm:pt>
    <dgm:pt modelId="{6E7E4A3D-CE23-5D41-ABE4-2FE914A5FF0B}">
      <dgm:prSet phldrT="[Texto]"/>
      <dgm:spPr/>
      <dgm:t>
        <a:bodyPr/>
        <a:lstStyle/>
        <a:p>
          <a:pPr algn="ctr"/>
          <a:r>
            <a:rPr lang="es-ES" b="1">
              <a:solidFill>
                <a:srgbClr val="000000"/>
              </a:solidFill>
            </a:rPr>
            <a:t>3. Registro de Queja</a:t>
          </a:r>
        </a:p>
      </dgm:t>
    </dgm:pt>
    <dgm:pt modelId="{6C34E8AE-605D-664E-BF75-850E0686F077}" type="parTrans" cxnId="{B39EE067-577D-944E-8C99-B8C2D48A183E}">
      <dgm:prSet/>
      <dgm:spPr/>
      <dgm:t>
        <a:bodyPr/>
        <a:lstStyle/>
        <a:p>
          <a:pPr algn="ctr"/>
          <a:endParaRPr lang="es-ES" b="1">
            <a:solidFill>
              <a:srgbClr val="000000"/>
            </a:solidFill>
          </a:endParaRPr>
        </a:p>
      </dgm:t>
    </dgm:pt>
    <dgm:pt modelId="{8CE31AB7-7890-0440-ABB2-D2C91F51A09E}" type="sibTrans" cxnId="{B39EE067-577D-944E-8C99-B8C2D48A183E}">
      <dgm:prSet/>
      <dgm:spPr/>
      <dgm:t>
        <a:bodyPr/>
        <a:lstStyle/>
        <a:p>
          <a:pPr algn="ctr"/>
          <a:endParaRPr lang="es-ES" b="1">
            <a:solidFill>
              <a:srgbClr val="000000"/>
            </a:solidFill>
          </a:endParaRPr>
        </a:p>
      </dgm:t>
    </dgm:pt>
    <dgm:pt modelId="{6E300EA9-DC4A-5144-88E0-8F96E8F5A88D}">
      <dgm:prSet/>
      <dgm:spPr/>
      <dgm:t>
        <a:bodyPr/>
        <a:lstStyle/>
        <a:p>
          <a:pPr algn="ctr"/>
          <a:r>
            <a:rPr lang="es-ES" b="1">
              <a:solidFill>
                <a:srgbClr val="000000"/>
              </a:solidFill>
            </a:rPr>
            <a:t>5. Reconocimiento Inicial</a:t>
          </a:r>
        </a:p>
      </dgm:t>
    </dgm:pt>
    <dgm:pt modelId="{80CD8D8F-F7F8-1948-889C-4CC4BA645AF3}" type="parTrans" cxnId="{9DDF573E-0C80-AD4E-9616-C186FD37405D}">
      <dgm:prSet/>
      <dgm:spPr/>
      <dgm:t>
        <a:bodyPr/>
        <a:lstStyle/>
        <a:p>
          <a:pPr algn="ctr"/>
          <a:endParaRPr lang="es-ES" b="1">
            <a:solidFill>
              <a:srgbClr val="000000"/>
            </a:solidFill>
          </a:endParaRPr>
        </a:p>
      </dgm:t>
    </dgm:pt>
    <dgm:pt modelId="{6F411947-9820-3F4A-A017-20CB3046CB7E}" type="sibTrans" cxnId="{9DDF573E-0C80-AD4E-9616-C186FD37405D}">
      <dgm:prSet/>
      <dgm:spPr/>
      <dgm:t>
        <a:bodyPr/>
        <a:lstStyle/>
        <a:p>
          <a:pPr algn="ctr"/>
          <a:endParaRPr lang="es-ES" b="1">
            <a:solidFill>
              <a:srgbClr val="000000"/>
            </a:solidFill>
          </a:endParaRPr>
        </a:p>
      </dgm:t>
    </dgm:pt>
    <dgm:pt modelId="{5A6E5BB9-1F28-B847-80A1-9613D4D2D931}">
      <dgm:prSet/>
      <dgm:spPr/>
      <dgm:t>
        <a:bodyPr/>
        <a:lstStyle/>
        <a:p>
          <a:pPr algn="ctr"/>
          <a:r>
            <a:rPr lang="es-ES" b="1">
              <a:solidFill>
                <a:srgbClr val="000000"/>
              </a:solidFill>
            </a:rPr>
            <a:t>6. Implementar respuesta</a:t>
          </a:r>
        </a:p>
      </dgm:t>
    </dgm:pt>
    <dgm:pt modelId="{69AAB932-F601-644D-98E6-87460E4881F6}" type="parTrans" cxnId="{9392E3B9-8879-C846-8345-CDE5536E3A7B}">
      <dgm:prSet/>
      <dgm:spPr/>
      <dgm:t>
        <a:bodyPr/>
        <a:lstStyle/>
        <a:p>
          <a:pPr algn="ctr"/>
          <a:endParaRPr lang="es-ES" b="1">
            <a:solidFill>
              <a:srgbClr val="000000"/>
            </a:solidFill>
          </a:endParaRPr>
        </a:p>
      </dgm:t>
    </dgm:pt>
    <dgm:pt modelId="{C0C93A3C-8096-A54D-96AC-B46F4E6ABF1C}" type="sibTrans" cxnId="{9392E3B9-8879-C846-8345-CDE5536E3A7B}">
      <dgm:prSet/>
      <dgm:spPr/>
      <dgm:t>
        <a:bodyPr/>
        <a:lstStyle/>
        <a:p>
          <a:pPr algn="ctr"/>
          <a:endParaRPr lang="es-ES" b="1">
            <a:solidFill>
              <a:srgbClr val="000000"/>
            </a:solidFill>
          </a:endParaRPr>
        </a:p>
      </dgm:t>
    </dgm:pt>
    <dgm:pt modelId="{F7B03295-C39B-DB41-A792-7640EA21E061}">
      <dgm:prSet/>
      <dgm:spPr/>
      <dgm:t>
        <a:bodyPr/>
        <a:lstStyle/>
        <a:p>
          <a:pPr algn="ctr"/>
          <a:r>
            <a:rPr lang="es-ES" b="1">
              <a:solidFill>
                <a:srgbClr val="000000"/>
              </a:solidFill>
            </a:rPr>
            <a:t>Respuesta de acción</a:t>
          </a:r>
        </a:p>
      </dgm:t>
    </dgm:pt>
    <dgm:pt modelId="{2FE7A4BE-9487-B149-8AD4-371153F7F0E4}" type="parTrans" cxnId="{ED57326F-214F-4D4D-BF84-E8922220BFBB}">
      <dgm:prSet/>
      <dgm:spPr/>
      <dgm:t>
        <a:bodyPr/>
        <a:lstStyle/>
        <a:p>
          <a:pPr algn="ctr"/>
          <a:endParaRPr lang="es-ES" b="1">
            <a:solidFill>
              <a:srgbClr val="000000"/>
            </a:solidFill>
          </a:endParaRPr>
        </a:p>
      </dgm:t>
    </dgm:pt>
    <dgm:pt modelId="{26D8F1A8-792A-BA4D-AACF-D5E123A9245C}" type="sibTrans" cxnId="{ED57326F-214F-4D4D-BF84-E8922220BFBB}">
      <dgm:prSet/>
      <dgm:spPr/>
      <dgm:t>
        <a:bodyPr/>
        <a:lstStyle/>
        <a:p>
          <a:pPr algn="ctr"/>
          <a:endParaRPr lang="es-ES" b="1">
            <a:solidFill>
              <a:srgbClr val="000000"/>
            </a:solidFill>
          </a:endParaRPr>
        </a:p>
      </dgm:t>
    </dgm:pt>
    <dgm:pt modelId="{ACECCB11-E944-D548-8280-2094FADBB53B}">
      <dgm:prSet/>
      <dgm:spPr/>
      <dgm:t>
        <a:bodyPr/>
        <a:lstStyle/>
        <a:p>
          <a:pPr algn="ctr"/>
          <a:r>
            <a:rPr lang="es-ES" b="1">
              <a:solidFill>
                <a:srgbClr val="000000"/>
              </a:solidFill>
            </a:rPr>
            <a:t>No interes...</a:t>
          </a:r>
        </a:p>
      </dgm:t>
    </dgm:pt>
    <dgm:pt modelId="{83599F34-6DB9-D84C-A650-CAD9C0962C97}" type="parTrans" cxnId="{8E763D86-BEDB-364D-A558-8BE108AB3908}">
      <dgm:prSet/>
      <dgm:spPr/>
      <dgm:t>
        <a:bodyPr/>
        <a:lstStyle/>
        <a:p>
          <a:pPr algn="ctr"/>
          <a:endParaRPr lang="es-ES" b="1">
            <a:solidFill>
              <a:srgbClr val="000000"/>
            </a:solidFill>
          </a:endParaRPr>
        </a:p>
      </dgm:t>
    </dgm:pt>
    <dgm:pt modelId="{4AFD5232-910A-5B4E-B8E6-92E891258850}" type="sibTrans" cxnId="{8E763D86-BEDB-364D-A558-8BE108AB3908}">
      <dgm:prSet/>
      <dgm:spPr/>
      <dgm:t>
        <a:bodyPr/>
        <a:lstStyle/>
        <a:p>
          <a:pPr algn="ctr"/>
          <a:endParaRPr lang="es-ES" b="1">
            <a:solidFill>
              <a:srgbClr val="000000"/>
            </a:solidFill>
          </a:endParaRPr>
        </a:p>
      </dgm:t>
    </dgm:pt>
    <dgm:pt modelId="{651F4963-9A71-1F49-B1C4-218F1A2C984D}">
      <dgm:prSet/>
      <dgm:spPr/>
      <dgm:t>
        <a:bodyPr/>
        <a:lstStyle/>
        <a:p>
          <a:pPr algn="ctr"/>
          <a:r>
            <a:rPr lang="es-ES" b="1">
              <a:solidFill>
                <a:srgbClr val="000000"/>
              </a:solidFill>
            </a:rPr>
            <a:t>7. Evaluación adicional</a:t>
          </a:r>
        </a:p>
      </dgm:t>
    </dgm:pt>
    <dgm:pt modelId="{26EBF2FA-A75D-C843-9856-10D751875059}" type="parTrans" cxnId="{0EC5CDC2-D3FF-F642-BCC8-3EE68BB5588E}">
      <dgm:prSet/>
      <dgm:spPr/>
      <dgm:t>
        <a:bodyPr/>
        <a:lstStyle/>
        <a:p>
          <a:pPr algn="ctr"/>
          <a:endParaRPr lang="es-ES" b="1">
            <a:solidFill>
              <a:srgbClr val="000000"/>
            </a:solidFill>
          </a:endParaRPr>
        </a:p>
      </dgm:t>
    </dgm:pt>
    <dgm:pt modelId="{FA3D848F-0668-B041-BA15-927D8B3D2E63}" type="sibTrans" cxnId="{0EC5CDC2-D3FF-F642-BCC8-3EE68BB5588E}">
      <dgm:prSet/>
      <dgm:spPr/>
      <dgm:t>
        <a:bodyPr/>
        <a:lstStyle/>
        <a:p>
          <a:pPr algn="ctr"/>
          <a:endParaRPr lang="es-ES" b="1">
            <a:solidFill>
              <a:srgbClr val="000000"/>
            </a:solidFill>
          </a:endParaRPr>
        </a:p>
      </dgm:t>
    </dgm:pt>
    <dgm:pt modelId="{D5CB1789-4468-324A-B1D0-F56000615344}">
      <dgm:prSet/>
      <dgm:spPr/>
      <dgm:t>
        <a:bodyPr/>
        <a:lstStyle/>
        <a:p>
          <a:pPr algn="ctr"/>
          <a:r>
            <a:rPr lang="es-ES" b="1">
              <a:solidFill>
                <a:srgbClr val="000000"/>
              </a:solidFill>
            </a:rPr>
            <a:t>8. Formalizar respuesta</a:t>
          </a:r>
        </a:p>
      </dgm:t>
    </dgm:pt>
    <dgm:pt modelId="{6429C328-8A16-4C4B-A2E0-AEBC876EC3FB}" type="parTrans" cxnId="{40EDD3F8-DF39-0B49-BC12-05AFF1C2FE13}">
      <dgm:prSet/>
      <dgm:spPr/>
      <dgm:t>
        <a:bodyPr/>
        <a:lstStyle/>
        <a:p>
          <a:pPr algn="ctr"/>
          <a:endParaRPr lang="es-ES" b="1">
            <a:solidFill>
              <a:srgbClr val="000000"/>
            </a:solidFill>
          </a:endParaRPr>
        </a:p>
      </dgm:t>
    </dgm:pt>
    <dgm:pt modelId="{4AA57D51-3D04-6949-987B-35ED32D9958D}" type="sibTrans" cxnId="{40EDD3F8-DF39-0B49-BC12-05AFF1C2FE13}">
      <dgm:prSet/>
      <dgm:spPr/>
      <dgm:t>
        <a:bodyPr/>
        <a:lstStyle/>
        <a:p>
          <a:pPr algn="ctr"/>
          <a:endParaRPr lang="es-ES" b="1">
            <a:solidFill>
              <a:srgbClr val="000000"/>
            </a:solidFill>
          </a:endParaRPr>
        </a:p>
      </dgm:t>
    </dgm:pt>
    <dgm:pt modelId="{0D21E66C-F478-464C-B886-431EC735163D}">
      <dgm:prSet/>
      <dgm:spPr/>
      <dgm:t>
        <a:bodyPr/>
        <a:lstStyle/>
        <a:p>
          <a:pPr algn="ctr"/>
          <a:r>
            <a:rPr lang="es-ES" b="1">
              <a:solidFill>
                <a:srgbClr val="000000"/>
              </a:solidFill>
            </a:rPr>
            <a:t>9. Revisión de respuesta</a:t>
          </a:r>
        </a:p>
      </dgm:t>
    </dgm:pt>
    <dgm:pt modelId="{508CB38C-7C04-C445-9364-AC691A7593BB}" type="parTrans" cxnId="{32D3AA87-11DA-AD49-A406-730DBEBF1D49}">
      <dgm:prSet/>
      <dgm:spPr/>
      <dgm:t>
        <a:bodyPr/>
        <a:lstStyle/>
        <a:p>
          <a:pPr algn="ctr"/>
          <a:endParaRPr lang="es-ES" b="1">
            <a:solidFill>
              <a:srgbClr val="000000"/>
            </a:solidFill>
          </a:endParaRPr>
        </a:p>
      </dgm:t>
    </dgm:pt>
    <dgm:pt modelId="{6E7491F6-44BC-FB4E-916F-DA6BF6FFC48D}" type="sibTrans" cxnId="{32D3AA87-11DA-AD49-A406-730DBEBF1D49}">
      <dgm:prSet/>
      <dgm:spPr/>
      <dgm:t>
        <a:bodyPr/>
        <a:lstStyle/>
        <a:p>
          <a:pPr algn="ctr"/>
          <a:endParaRPr lang="es-ES" b="1">
            <a:solidFill>
              <a:srgbClr val="000000"/>
            </a:solidFill>
          </a:endParaRPr>
        </a:p>
      </dgm:t>
    </dgm:pt>
    <dgm:pt modelId="{D79735F1-C055-AB4C-875F-A0E71C397C93}">
      <dgm:prSet/>
      <dgm:spPr/>
      <dgm:t>
        <a:bodyPr/>
        <a:lstStyle/>
        <a:p>
          <a:pPr algn="ctr"/>
          <a:r>
            <a:rPr lang="es-ES" b="1">
              <a:solidFill>
                <a:srgbClr val="000000"/>
              </a:solidFill>
            </a:rPr>
            <a:t>10. Repuesta no aceptada</a:t>
          </a:r>
        </a:p>
      </dgm:t>
    </dgm:pt>
    <dgm:pt modelId="{307B6789-AE9C-1E46-AAFD-178F14515754}" type="parTrans" cxnId="{0E487449-C86F-5D48-8138-57762AAFEF54}">
      <dgm:prSet/>
      <dgm:spPr/>
      <dgm:t>
        <a:bodyPr/>
        <a:lstStyle/>
        <a:p>
          <a:pPr algn="ctr"/>
          <a:endParaRPr lang="es-ES" b="1">
            <a:solidFill>
              <a:srgbClr val="000000"/>
            </a:solidFill>
          </a:endParaRPr>
        </a:p>
      </dgm:t>
    </dgm:pt>
    <dgm:pt modelId="{C0AC3BC8-8C27-934E-A998-E840ED0B8CC0}" type="sibTrans" cxnId="{0E487449-C86F-5D48-8138-57762AAFEF54}">
      <dgm:prSet/>
      <dgm:spPr/>
      <dgm:t>
        <a:bodyPr/>
        <a:lstStyle/>
        <a:p>
          <a:pPr algn="ctr"/>
          <a:endParaRPr lang="es-ES" b="1">
            <a:solidFill>
              <a:srgbClr val="000000"/>
            </a:solidFill>
          </a:endParaRPr>
        </a:p>
      </dgm:t>
    </dgm:pt>
    <dgm:pt modelId="{F952ADA2-834A-AE49-910C-F09FEA407AF7}">
      <dgm:prSet/>
      <dgm:spPr/>
      <dgm:t>
        <a:bodyPr/>
        <a:lstStyle/>
        <a:p>
          <a:pPr algn="ctr"/>
          <a:r>
            <a:rPr lang="es-ES" b="1">
              <a:solidFill>
                <a:srgbClr val="000000"/>
              </a:solidFill>
            </a:rPr>
            <a:t>11. Cierre</a:t>
          </a:r>
        </a:p>
      </dgm:t>
    </dgm:pt>
    <dgm:pt modelId="{BDA5BCC5-AA59-EF40-844A-2B0CBF42AA25}" type="parTrans" cxnId="{9075CB3B-028A-1742-B367-3F4FA3DE5C58}">
      <dgm:prSet/>
      <dgm:spPr/>
      <dgm:t>
        <a:bodyPr/>
        <a:lstStyle/>
        <a:p>
          <a:pPr algn="ctr"/>
          <a:endParaRPr lang="es-ES" b="1">
            <a:solidFill>
              <a:srgbClr val="000000"/>
            </a:solidFill>
          </a:endParaRPr>
        </a:p>
      </dgm:t>
    </dgm:pt>
    <dgm:pt modelId="{4EF8BCBF-D5A2-764F-9E08-6B6875D94C59}" type="sibTrans" cxnId="{9075CB3B-028A-1742-B367-3F4FA3DE5C58}">
      <dgm:prSet/>
      <dgm:spPr/>
      <dgm:t>
        <a:bodyPr/>
        <a:lstStyle/>
        <a:p>
          <a:pPr algn="ctr"/>
          <a:endParaRPr lang="es-ES" b="1">
            <a:solidFill>
              <a:srgbClr val="000000"/>
            </a:solidFill>
          </a:endParaRPr>
        </a:p>
      </dgm:t>
    </dgm:pt>
    <dgm:pt modelId="{A6D32B2E-45D0-2840-81F9-C8DDF4E074B1}" type="pres">
      <dgm:prSet presAssocID="{8836DF7D-8CC5-A142-83C8-BF5567C178BA}" presName="Name0" presStyleCnt="0">
        <dgm:presLayoutVars>
          <dgm:dir/>
          <dgm:resizeHandles val="exact"/>
        </dgm:presLayoutVars>
      </dgm:prSet>
      <dgm:spPr/>
    </dgm:pt>
    <dgm:pt modelId="{406FB3D6-91CA-594D-86FE-7E43121ACFD6}" type="pres">
      <dgm:prSet presAssocID="{84A2AFB9-E6AD-6E4A-BB6B-344423B96884}" presName="node" presStyleLbl="node1" presStyleIdx="0" presStyleCnt="11">
        <dgm:presLayoutVars>
          <dgm:bulletEnabled val="1"/>
        </dgm:presLayoutVars>
      </dgm:prSet>
      <dgm:spPr/>
    </dgm:pt>
    <dgm:pt modelId="{353AF9EB-6880-FE42-AED9-9C817C5F12E7}" type="pres">
      <dgm:prSet presAssocID="{45240628-FDFE-3946-8635-114C7EE541D2}" presName="sibTrans" presStyleLbl="sibTrans1D1" presStyleIdx="0" presStyleCnt="10"/>
      <dgm:spPr/>
    </dgm:pt>
    <dgm:pt modelId="{062C7CBD-3603-E44C-BCB7-0745CFF9B87B}" type="pres">
      <dgm:prSet presAssocID="{45240628-FDFE-3946-8635-114C7EE541D2}" presName="connectorText" presStyleLbl="sibTrans1D1" presStyleIdx="0" presStyleCnt="10"/>
      <dgm:spPr/>
    </dgm:pt>
    <dgm:pt modelId="{ECAB704B-B890-CA4F-B512-AEE465CD4F01}" type="pres">
      <dgm:prSet presAssocID="{CA81B2C0-0E18-6D4F-ADD6-94673C5F6771}" presName="node" presStyleLbl="node1" presStyleIdx="1" presStyleCnt="11">
        <dgm:presLayoutVars>
          <dgm:bulletEnabled val="1"/>
        </dgm:presLayoutVars>
      </dgm:prSet>
      <dgm:spPr/>
    </dgm:pt>
    <dgm:pt modelId="{76E12FEA-AA63-2C4F-9407-456699B7D12C}" type="pres">
      <dgm:prSet presAssocID="{E987ECDD-3C1F-A34F-B7AA-41C0331D3F64}" presName="sibTrans" presStyleLbl="sibTrans1D1" presStyleIdx="1" presStyleCnt="10"/>
      <dgm:spPr/>
    </dgm:pt>
    <dgm:pt modelId="{8E75DDA2-C1F8-A04F-A20C-080AE3B2C409}" type="pres">
      <dgm:prSet presAssocID="{E987ECDD-3C1F-A34F-B7AA-41C0331D3F64}" presName="connectorText" presStyleLbl="sibTrans1D1" presStyleIdx="1" presStyleCnt="10"/>
      <dgm:spPr/>
    </dgm:pt>
    <dgm:pt modelId="{F9CF86B2-657D-5740-AF65-88D3A8D33C5D}" type="pres">
      <dgm:prSet presAssocID="{6E7E4A3D-CE23-5D41-ABE4-2FE914A5FF0B}" presName="node" presStyleLbl="node1" presStyleIdx="2" presStyleCnt="11">
        <dgm:presLayoutVars>
          <dgm:bulletEnabled val="1"/>
        </dgm:presLayoutVars>
      </dgm:prSet>
      <dgm:spPr/>
    </dgm:pt>
    <dgm:pt modelId="{1CF939ED-9297-9048-A411-2273BF345A11}" type="pres">
      <dgm:prSet presAssocID="{8CE31AB7-7890-0440-ABB2-D2C91F51A09E}" presName="sibTrans" presStyleLbl="sibTrans1D1" presStyleIdx="2" presStyleCnt="10"/>
      <dgm:spPr/>
    </dgm:pt>
    <dgm:pt modelId="{EBB623BE-7E85-3944-9FFD-AC97D3976BBF}" type="pres">
      <dgm:prSet presAssocID="{8CE31AB7-7890-0440-ABB2-D2C91F51A09E}" presName="connectorText" presStyleLbl="sibTrans1D1" presStyleIdx="2" presStyleCnt="10"/>
      <dgm:spPr/>
    </dgm:pt>
    <dgm:pt modelId="{DBE27AE1-93FD-8141-B8F5-8A7118432716}" type="pres">
      <dgm:prSet presAssocID="{43C9EF56-633C-8440-B49C-2D4B195134F2}" presName="node" presStyleLbl="node1" presStyleIdx="3" presStyleCnt="11">
        <dgm:presLayoutVars>
          <dgm:bulletEnabled val="1"/>
        </dgm:presLayoutVars>
      </dgm:prSet>
      <dgm:spPr/>
    </dgm:pt>
    <dgm:pt modelId="{684814A3-1F6B-2545-A53E-0BC262B260CB}" type="pres">
      <dgm:prSet presAssocID="{2F99984B-CA74-E749-904D-4D313A490C1C}" presName="sibTrans" presStyleLbl="sibTrans1D1" presStyleIdx="3" presStyleCnt="10"/>
      <dgm:spPr/>
    </dgm:pt>
    <dgm:pt modelId="{CD37CECE-AD93-2D47-B3F8-794CF0101BB4}" type="pres">
      <dgm:prSet presAssocID="{2F99984B-CA74-E749-904D-4D313A490C1C}" presName="connectorText" presStyleLbl="sibTrans1D1" presStyleIdx="3" presStyleCnt="10"/>
      <dgm:spPr/>
    </dgm:pt>
    <dgm:pt modelId="{8DDBAE92-007E-E14A-B8D1-10D4055163A8}" type="pres">
      <dgm:prSet presAssocID="{6E300EA9-DC4A-5144-88E0-8F96E8F5A88D}" presName="node" presStyleLbl="node1" presStyleIdx="4" presStyleCnt="11">
        <dgm:presLayoutVars>
          <dgm:bulletEnabled val="1"/>
        </dgm:presLayoutVars>
      </dgm:prSet>
      <dgm:spPr/>
    </dgm:pt>
    <dgm:pt modelId="{3245C61C-D85C-924F-9F24-AAA4FB060C22}" type="pres">
      <dgm:prSet presAssocID="{6F411947-9820-3F4A-A017-20CB3046CB7E}" presName="sibTrans" presStyleLbl="sibTrans1D1" presStyleIdx="4" presStyleCnt="10"/>
      <dgm:spPr/>
    </dgm:pt>
    <dgm:pt modelId="{A343BFC9-C9C5-8B47-B50D-6ECC0BD93748}" type="pres">
      <dgm:prSet presAssocID="{6F411947-9820-3F4A-A017-20CB3046CB7E}" presName="connectorText" presStyleLbl="sibTrans1D1" presStyleIdx="4" presStyleCnt="10"/>
      <dgm:spPr/>
    </dgm:pt>
    <dgm:pt modelId="{AD024EC3-B7BB-0D4C-9AD8-33ABBB9BB46B}" type="pres">
      <dgm:prSet presAssocID="{5A6E5BB9-1F28-B847-80A1-9613D4D2D931}" presName="node" presStyleLbl="node1" presStyleIdx="5" presStyleCnt="11">
        <dgm:presLayoutVars>
          <dgm:bulletEnabled val="1"/>
        </dgm:presLayoutVars>
      </dgm:prSet>
      <dgm:spPr/>
    </dgm:pt>
    <dgm:pt modelId="{7D72122D-D09A-F34D-BD09-4F40302FC3B1}" type="pres">
      <dgm:prSet presAssocID="{C0C93A3C-8096-A54D-96AC-B46F4E6ABF1C}" presName="sibTrans" presStyleLbl="sibTrans1D1" presStyleIdx="5" presStyleCnt="10"/>
      <dgm:spPr/>
    </dgm:pt>
    <dgm:pt modelId="{E4B7178C-9444-D547-9F3C-98B31F946C00}" type="pres">
      <dgm:prSet presAssocID="{C0C93A3C-8096-A54D-96AC-B46F4E6ABF1C}" presName="connectorText" presStyleLbl="sibTrans1D1" presStyleIdx="5" presStyleCnt="10"/>
      <dgm:spPr/>
    </dgm:pt>
    <dgm:pt modelId="{BDB3ED45-952C-B345-8C5B-5E54DAC033AC}" type="pres">
      <dgm:prSet presAssocID="{651F4963-9A71-1F49-B1C4-218F1A2C984D}" presName="node" presStyleLbl="node1" presStyleIdx="6" presStyleCnt="11">
        <dgm:presLayoutVars>
          <dgm:bulletEnabled val="1"/>
        </dgm:presLayoutVars>
      </dgm:prSet>
      <dgm:spPr/>
    </dgm:pt>
    <dgm:pt modelId="{BD47862C-265C-414F-B155-30B1981ACD8C}" type="pres">
      <dgm:prSet presAssocID="{FA3D848F-0668-B041-BA15-927D8B3D2E63}" presName="sibTrans" presStyleLbl="sibTrans1D1" presStyleIdx="6" presStyleCnt="10"/>
      <dgm:spPr/>
    </dgm:pt>
    <dgm:pt modelId="{1BB2D9A1-55B5-BF47-BFD0-E6588BE2970B}" type="pres">
      <dgm:prSet presAssocID="{FA3D848F-0668-B041-BA15-927D8B3D2E63}" presName="connectorText" presStyleLbl="sibTrans1D1" presStyleIdx="6" presStyleCnt="10"/>
      <dgm:spPr/>
    </dgm:pt>
    <dgm:pt modelId="{B341ADCD-605F-094C-9252-302269948DB4}" type="pres">
      <dgm:prSet presAssocID="{D5CB1789-4468-324A-B1D0-F56000615344}" presName="node" presStyleLbl="node1" presStyleIdx="7" presStyleCnt="11">
        <dgm:presLayoutVars>
          <dgm:bulletEnabled val="1"/>
        </dgm:presLayoutVars>
      </dgm:prSet>
      <dgm:spPr/>
    </dgm:pt>
    <dgm:pt modelId="{95EA461B-DAA4-6344-A110-5287D7D22885}" type="pres">
      <dgm:prSet presAssocID="{4AA57D51-3D04-6949-987B-35ED32D9958D}" presName="sibTrans" presStyleLbl="sibTrans1D1" presStyleIdx="7" presStyleCnt="10"/>
      <dgm:spPr/>
    </dgm:pt>
    <dgm:pt modelId="{A691550D-05E5-554D-A7F9-4F8888F2896B}" type="pres">
      <dgm:prSet presAssocID="{4AA57D51-3D04-6949-987B-35ED32D9958D}" presName="connectorText" presStyleLbl="sibTrans1D1" presStyleIdx="7" presStyleCnt="10"/>
      <dgm:spPr/>
    </dgm:pt>
    <dgm:pt modelId="{BC5992CC-AC4E-F54A-938A-41EA7C3AF962}" type="pres">
      <dgm:prSet presAssocID="{0D21E66C-F478-464C-B886-431EC735163D}" presName="node" presStyleLbl="node1" presStyleIdx="8" presStyleCnt="11">
        <dgm:presLayoutVars>
          <dgm:bulletEnabled val="1"/>
        </dgm:presLayoutVars>
      </dgm:prSet>
      <dgm:spPr/>
    </dgm:pt>
    <dgm:pt modelId="{B2802D78-15D7-0D40-9435-D59CB74AEC4F}" type="pres">
      <dgm:prSet presAssocID="{6E7491F6-44BC-FB4E-916F-DA6BF6FFC48D}" presName="sibTrans" presStyleLbl="sibTrans1D1" presStyleIdx="8" presStyleCnt="10"/>
      <dgm:spPr/>
    </dgm:pt>
    <dgm:pt modelId="{1C920AF5-C088-4741-92B4-9F0444F56AA8}" type="pres">
      <dgm:prSet presAssocID="{6E7491F6-44BC-FB4E-916F-DA6BF6FFC48D}" presName="connectorText" presStyleLbl="sibTrans1D1" presStyleIdx="8" presStyleCnt="10"/>
      <dgm:spPr/>
    </dgm:pt>
    <dgm:pt modelId="{15453980-9AD0-0A4B-A978-3ADF800F70AC}" type="pres">
      <dgm:prSet presAssocID="{D79735F1-C055-AB4C-875F-A0E71C397C93}" presName="node" presStyleLbl="node1" presStyleIdx="9" presStyleCnt="11">
        <dgm:presLayoutVars>
          <dgm:bulletEnabled val="1"/>
        </dgm:presLayoutVars>
      </dgm:prSet>
      <dgm:spPr/>
    </dgm:pt>
    <dgm:pt modelId="{F13EDFF0-2009-2C41-8FEB-AFAAC2F37077}" type="pres">
      <dgm:prSet presAssocID="{C0AC3BC8-8C27-934E-A998-E840ED0B8CC0}" presName="sibTrans" presStyleLbl="sibTrans1D1" presStyleIdx="9" presStyleCnt="10"/>
      <dgm:spPr/>
    </dgm:pt>
    <dgm:pt modelId="{9429643F-9CE1-A940-9D01-08370945F31C}" type="pres">
      <dgm:prSet presAssocID="{C0AC3BC8-8C27-934E-A998-E840ED0B8CC0}" presName="connectorText" presStyleLbl="sibTrans1D1" presStyleIdx="9" presStyleCnt="10"/>
      <dgm:spPr/>
    </dgm:pt>
    <dgm:pt modelId="{24853918-F1C6-7540-BDF6-714FA2AB0C73}" type="pres">
      <dgm:prSet presAssocID="{F952ADA2-834A-AE49-910C-F09FEA407AF7}" presName="node" presStyleLbl="node1" presStyleIdx="10" presStyleCnt="11">
        <dgm:presLayoutVars>
          <dgm:bulletEnabled val="1"/>
        </dgm:presLayoutVars>
      </dgm:prSet>
      <dgm:spPr/>
    </dgm:pt>
  </dgm:ptLst>
  <dgm:cxnLst>
    <dgm:cxn modelId="{790F620D-9152-415F-A083-5CC6B4C7E94C}" type="presOf" srcId="{6F411947-9820-3F4A-A017-20CB3046CB7E}" destId="{A343BFC9-C9C5-8B47-B50D-6ECC0BD93748}" srcOrd="1" destOrd="0" presId="urn:microsoft.com/office/officeart/2005/8/layout/bProcess3"/>
    <dgm:cxn modelId="{8025DB0F-8594-4E47-9256-FD7A7091C992}" type="presOf" srcId="{5A6E5BB9-1F28-B847-80A1-9613D4D2D931}" destId="{AD024EC3-B7BB-0D4C-9AD8-33ABBB9BB46B}" srcOrd="0" destOrd="0" presId="urn:microsoft.com/office/officeart/2005/8/layout/bProcess3"/>
    <dgm:cxn modelId="{CF515610-A8E2-4EA3-A73B-A8BB49B62660}" type="presOf" srcId="{8CE31AB7-7890-0440-ABB2-D2C91F51A09E}" destId="{1CF939ED-9297-9048-A411-2273BF345A11}" srcOrd="0" destOrd="0" presId="urn:microsoft.com/office/officeart/2005/8/layout/bProcess3"/>
    <dgm:cxn modelId="{B7A8F910-860B-46CF-BA7D-09468898EECC}" type="presOf" srcId="{C0C93A3C-8096-A54D-96AC-B46F4E6ABF1C}" destId="{E4B7178C-9444-D547-9F3C-98B31F946C00}" srcOrd="1" destOrd="0" presId="urn:microsoft.com/office/officeart/2005/8/layout/bProcess3"/>
    <dgm:cxn modelId="{23CD2F17-294D-425F-A3BE-324837C07468}" type="presOf" srcId="{FA3D848F-0668-B041-BA15-927D8B3D2E63}" destId="{BD47862C-265C-414F-B155-30B1981ACD8C}" srcOrd="0" destOrd="0" presId="urn:microsoft.com/office/officeart/2005/8/layout/bProcess3"/>
    <dgm:cxn modelId="{E65C9728-4B68-4457-B5FF-6FFF58CEF585}" type="presOf" srcId="{45240628-FDFE-3946-8635-114C7EE541D2}" destId="{062C7CBD-3603-E44C-BCB7-0745CFF9B87B}" srcOrd="1" destOrd="0" presId="urn:microsoft.com/office/officeart/2005/8/layout/bProcess3"/>
    <dgm:cxn modelId="{8C0C4B29-F1C0-43D5-B046-870E1EEAA56B}" type="presOf" srcId="{651F4963-9A71-1F49-B1C4-218F1A2C984D}" destId="{BDB3ED45-952C-B345-8C5B-5E54DAC033AC}" srcOrd="0" destOrd="0" presId="urn:microsoft.com/office/officeart/2005/8/layout/bProcess3"/>
    <dgm:cxn modelId="{87F44C29-B966-40C5-815C-71EF4595B1F8}" type="presOf" srcId="{6E300EA9-DC4A-5144-88E0-8F96E8F5A88D}" destId="{8DDBAE92-007E-E14A-B8D1-10D4055163A8}" srcOrd="0" destOrd="0" presId="urn:microsoft.com/office/officeart/2005/8/layout/bProcess3"/>
    <dgm:cxn modelId="{A553762A-A3F3-BE48-B83C-43E7867ACEA3}" srcId="{8836DF7D-8CC5-A142-83C8-BF5567C178BA}" destId="{84A2AFB9-E6AD-6E4A-BB6B-344423B96884}" srcOrd="0" destOrd="0" parTransId="{BA84AAFF-9150-8A45-900E-274AB86878B4}" sibTransId="{45240628-FDFE-3946-8635-114C7EE541D2}"/>
    <dgm:cxn modelId="{AD3D3B2F-50FF-4CF1-B241-62C13B3B7B18}" type="presOf" srcId="{C0C93A3C-8096-A54D-96AC-B46F4E6ABF1C}" destId="{7D72122D-D09A-F34D-BD09-4F40302FC3B1}" srcOrd="0" destOrd="0" presId="urn:microsoft.com/office/officeart/2005/8/layout/bProcess3"/>
    <dgm:cxn modelId="{E5EC0332-2B56-4EF0-8DDF-4C148D5F421E}" type="presOf" srcId="{2F99984B-CA74-E749-904D-4D313A490C1C}" destId="{684814A3-1F6B-2545-A53E-0BC262B260CB}" srcOrd="0" destOrd="0" presId="urn:microsoft.com/office/officeart/2005/8/layout/bProcess3"/>
    <dgm:cxn modelId="{F5BAD139-CDA0-4F59-9BC0-02258CA70A5E}" type="presOf" srcId="{84A2AFB9-E6AD-6E4A-BB6B-344423B96884}" destId="{406FB3D6-91CA-594D-86FE-7E43121ACFD6}" srcOrd="0" destOrd="0" presId="urn:microsoft.com/office/officeart/2005/8/layout/bProcess3"/>
    <dgm:cxn modelId="{9075CB3B-028A-1742-B367-3F4FA3DE5C58}" srcId="{8836DF7D-8CC5-A142-83C8-BF5567C178BA}" destId="{F952ADA2-834A-AE49-910C-F09FEA407AF7}" srcOrd="10" destOrd="0" parTransId="{BDA5BCC5-AA59-EF40-844A-2B0CBF42AA25}" sibTransId="{4EF8BCBF-D5A2-764F-9E08-6B6875D94C59}"/>
    <dgm:cxn modelId="{9DDF573E-0C80-AD4E-9616-C186FD37405D}" srcId="{8836DF7D-8CC5-A142-83C8-BF5567C178BA}" destId="{6E300EA9-DC4A-5144-88E0-8F96E8F5A88D}" srcOrd="4" destOrd="0" parTransId="{80CD8D8F-F7F8-1948-889C-4CC4BA645AF3}" sibTransId="{6F411947-9820-3F4A-A017-20CB3046CB7E}"/>
    <dgm:cxn modelId="{AB247C61-15A8-4BEE-9A83-BF52358A0E02}" type="presOf" srcId="{6E7E4A3D-CE23-5D41-ABE4-2FE914A5FF0B}" destId="{F9CF86B2-657D-5740-AF65-88D3A8D33C5D}" srcOrd="0" destOrd="0" presId="urn:microsoft.com/office/officeart/2005/8/layout/bProcess3"/>
    <dgm:cxn modelId="{9A3A2342-A411-4447-8F0F-6DDBD0182E2E}" type="presOf" srcId="{F952ADA2-834A-AE49-910C-F09FEA407AF7}" destId="{24853918-F1C6-7540-BDF6-714FA2AB0C73}" srcOrd="0" destOrd="0" presId="urn:microsoft.com/office/officeart/2005/8/layout/bProcess3"/>
    <dgm:cxn modelId="{8DB63342-FE38-4C97-AD84-953EE2B4EBFA}" type="presOf" srcId="{4AA57D51-3D04-6949-987B-35ED32D9958D}" destId="{95EA461B-DAA4-6344-A110-5287D7D22885}" srcOrd="0" destOrd="0" presId="urn:microsoft.com/office/officeart/2005/8/layout/bProcess3"/>
    <dgm:cxn modelId="{1706CD43-A631-4DE6-9CDD-4DEBEA863743}" type="presOf" srcId="{2F99984B-CA74-E749-904D-4D313A490C1C}" destId="{CD37CECE-AD93-2D47-B3F8-794CF0101BB4}" srcOrd="1" destOrd="0" presId="urn:microsoft.com/office/officeart/2005/8/layout/bProcess3"/>
    <dgm:cxn modelId="{B39EE067-577D-944E-8C99-B8C2D48A183E}" srcId="{8836DF7D-8CC5-A142-83C8-BF5567C178BA}" destId="{6E7E4A3D-CE23-5D41-ABE4-2FE914A5FF0B}" srcOrd="2" destOrd="0" parTransId="{6C34E8AE-605D-664E-BF75-850E0686F077}" sibTransId="{8CE31AB7-7890-0440-ABB2-D2C91F51A09E}"/>
    <dgm:cxn modelId="{0E487449-C86F-5D48-8138-57762AAFEF54}" srcId="{8836DF7D-8CC5-A142-83C8-BF5567C178BA}" destId="{D79735F1-C055-AB4C-875F-A0E71C397C93}" srcOrd="9" destOrd="0" parTransId="{307B6789-AE9C-1E46-AAFD-178F14515754}" sibTransId="{C0AC3BC8-8C27-934E-A998-E840ED0B8CC0}"/>
    <dgm:cxn modelId="{99A3926A-9BD5-B449-9901-161392AB8741}" srcId="{8836DF7D-8CC5-A142-83C8-BF5567C178BA}" destId="{43C9EF56-633C-8440-B49C-2D4B195134F2}" srcOrd="3" destOrd="0" parTransId="{B6A10F62-5D24-FB4A-A25B-48DD5EAA363C}" sibTransId="{2F99984B-CA74-E749-904D-4D313A490C1C}"/>
    <dgm:cxn modelId="{ED57326F-214F-4D4D-BF84-E8922220BFBB}" srcId="{5A6E5BB9-1F28-B847-80A1-9613D4D2D931}" destId="{F7B03295-C39B-DB41-A792-7640EA21E061}" srcOrd="0" destOrd="0" parTransId="{2FE7A4BE-9487-B149-8AD4-371153F7F0E4}" sibTransId="{26D8F1A8-792A-BA4D-AACF-D5E123A9245C}"/>
    <dgm:cxn modelId="{8A3BDA6F-70D2-48F1-AA40-47672AA59A23}" type="presOf" srcId="{43C9EF56-633C-8440-B49C-2D4B195134F2}" destId="{DBE27AE1-93FD-8141-B8F5-8A7118432716}" srcOrd="0" destOrd="0" presId="urn:microsoft.com/office/officeart/2005/8/layout/bProcess3"/>
    <dgm:cxn modelId="{50FB917B-4FBB-4F60-9545-4A82359CDD23}" type="presOf" srcId="{CA81B2C0-0E18-6D4F-ADD6-94673C5F6771}" destId="{ECAB704B-B890-CA4F-B512-AEE465CD4F01}" srcOrd="0" destOrd="0" presId="urn:microsoft.com/office/officeart/2005/8/layout/bProcess3"/>
    <dgm:cxn modelId="{EFD84B7E-FEAB-4DD4-A71A-F10684770962}" type="presOf" srcId="{4AA57D51-3D04-6949-987B-35ED32D9958D}" destId="{A691550D-05E5-554D-A7F9-4F8888F2896B}" srcOrd="1" destOrd="0" presId="urn:microsoft.com/office/officeart/2005/8/layout/bProcess3"/>
    <dgm:cxn modelId="{8E763D86-BEDB-364D-A558-8BE108AB3908}" srcId="{5A6E5BB9-1F28-B847-80A1-9613D4D2D931}" destId="{ACECCB11-E944-D548-8280-2094FADBB53B}" srcOrd="1" destOrd="0" parTransId="{83599F34-6DB9-D84C-A650-CAD9C0962C97}" sibTransId="{4AFD5232-910A-5B4E-B8E6-92E891258850}"/>
    <dgm:cxn modelId="{32D3AA87-11DA-AD49-A406-730DBEBF1D49}" srcId="{8836DF7D-8CC5-A142-83C8-BF5567C178BA}" destId="{0D21E66C-F478-464C-B886-431EC735163D}" srcOrd="8" destOrd="0" parTransId="{508CB38C-7C04-C445-9364-AC691A7593BB}" sibTransId="{6E7491F6-44BC-FB4E-916F-DA6BF6FFC48D}"/>
    <dgm:cxn modelId="{0E32988E-BDD2-439E-BC1C-4ECC91E1CB4F}" type="presOf" srcId="{C0AC3BC8-8C27-934E-A998-E840ED0B8CC0}" destId="{9429643F-9CE1-A940-9D01-08370945F31C}" srcOrd="1" destOrd="0" presId="urn:microsoft.com/office/officeart/2005/8/layout/bProcess3"/>
    <dgm:cxn modelId="{D168A292-FEC5-4EEA-9F8D-C846EE0B0226}" type="presOf" srcId="{E987ECDD-3C1F-A34F-B7AA-41C0331D3F64}" destId="{8E75DDA2-C1F8-A04F-A20C-080AE3B2C409}" srcOrd="1" destOrd="0" presId="urn:microsoft.com/office/officeart/2005/8/layout/bProcess3"/>
    <dgm:cxn modelId="{C44DAC9D-6407-4BB1-B4AA-515E895ACF3F}" type="presOf" srcId="{45240628-FDFE-3946-8635-114C7EE541D2}" destId="{353AF9EB-6880-FE42-AED9-9C817C5F12E7}" srcOrd="0" destOrd="0" presId="urn:microsoft.com/office/officeart/2005/8/layout/bProcess3"/>
    <dgm:cxn modelId="{C5B35AA1-6814-FB4A-BAAD-EA9CDCF477B8}" srcId="{8836DF7D-8CC5-A142-83C8-BF5567C178BA}" destId="{CA81B2C0-0E18-6D4F-ADD6-94673C5F6771}" srcOrd="1" destOrd="0" parTransId="{139D53C4-320F-004C-AA4D-32009C512F18}" sibTransId="{E987ECDD-3C1F-A34F-B7AA-41C0331D3F64}"/>
    <dgm:cxn modelId="{B36260A5-B7F2-496D-9058-A8336AE7428B}" type="presOf" srcId="{ACECCB11-E944-D548-8280-2094FADBB53B}" destId="{AD024EC3-B7BB-0D4C-9AD8-33ABBB9BB46B}" srcOrd="0" destOrd="2" presId="urn:microsoft.com/office/officeart/2005/8/layout/bProcess3"/>
    <dgm:cxn modelId="{A9CDA3A8-CDA6-443F-A8E0-70BE3FA7B6A0}" type="presOf" srcId="{D5CB1789-4468-324A-B1D0-F56000615344}" destId="{B341ADCD-605F-094C-9252-302269948DB4}" srcOrd="0" destOrd="0" presId="urn:microsoft.com/office/officeart/2005/8/layout/bProcess3"/>
    <dgm:cxn modelId="{9392E3B9-8879-C846-8345-CDE5536E3A7B}" srcId="{8836DF7D-8CC5-A142-83C8-BF5567C178BA}" destId="{5A6E5BB9-1F28-B847-80A1-9613D4D2D931}" srcOrd="5" destOrd="0" parTransId="{69AAB932-F601-644D-98E6-87460E4881F6}" sibTransId="{C0C93A3C-8096-A54D-96AC-B46F4E6ABF1C}"/>
    <dgm:cxn modelId="{0EC5CDC2-D3FF-F642-BCC8-3EE68BB5588E}" srcId="{8836DF7D-8CC5-A142-83C8-BF5567C178BA}" destId="{651F4963-9A71-1F49-B1C4-218F1A2C984D}" srcOrd="6" destOrd="0" parTransId="{26EBF2FA-A75D-C843-9856-10D751875059}" sibTransId="{FA3D848F-0668-B041-BA15-927D8B3D2E63}"/>
    <dgm:cxn modelId="{82AB41C4-21BA-4AD2-8AD7-1A265FC31D04}" type="presOf" srcId="{8CE31AB7-7890-0440-ABB2-D2C91F51A09E}" destId="{EBB623BE-7E85-3944-9FFD-AC97D3976BBF}" srcOrd="1" destOrd="0" presId="urn:microsoft.com/office/officeart/2005/8/layout/bProcess3"/>
    <dgm:cxn modelId="{E356C5CC-29EC-41A4-9C94-82C9231B5A48}" type="presOf" srcId="{C0AC3BC8-8C27-934E-A998-E840ED0B8CC0}" destId="{F13EDFF0-2009-2C41-8FEB-AFAAC2F37077}" srcOrd="0" destOrd="0" presId="urn:microsoft.com/office/officeart/2005/8/layout/bProcess3"/>
    <dgm:cxn modelId="{F5756BCE-DC4B-412E-9914-F172D4EBA0F7}" type="presOf" srcId="{6E7491F6-44BC-FB4E-916F-DA6BF6FFC48D}" destId="{1C920AF5-C088-4741-92B4-9F0444F56AA8}" srcOrd="1" destOrd="0" presId="urn:microsoft.com/office/officeart/2005/8/layout/bProcess3"/>
    <dgm:cxn modelId="{734CFFD1-4C86-459C-BDFA-38D5754682C0}" type="presOf" srcId="{6F411947-9820-3F4A-A017-20CB3046CB7E}" destId="{3245C61C-D85C-924F-9F24-AAA4FB060C22}" srcOrd="0" destOrd="0" presId="urn:microsoft.com/office/officeart/2005/8/layout/bProcess3"/>
    <dgm:cxn modelId="{D7C518D3-249F-40FD-915A-CAD58ACDD622}" type="presOf" srcId="{FA3D848F-0668-B041-BA15-927D8B3D2E63}" destId="{1BB2D9A1-55B5-BF47-BFD0-E6588BE2970B}" srcOrd="1" destOrd="0" presId="urn:microsoft.com/office/officeart/2005/8/layout/bProcess3"/>
    <dgm:cxn modelId="{9FE929DC-7F77-4ADA-B1B6-2F54293877C6}" type="presOf" srcId="{E987ECDD-3C1F-A34F-B7AA-41C0331D3F64}" destId="{76E12FEA-AA63-2C4F-9407-456699B7D12C}" srcOrd="0" destOrd="0" presId="urn:microsoft.com/office/officeart/2005/8/layout/bProcess3"/>
    <dgm:cxn modelId="{12EBFFDF-C5AF-4950-83D3-327D121680F3}" type="presOf" srcId="{6E7491F6-44BC-FB4E-916F-DA6BF6FFC48D}" destId="{B2802D78-15D7-0D40-9435-D59CB74AEC4F}" srcOrd="0" destOrd="0" presId="urn:microsoft.com/office/officeart/2005/8/layout/bProcess3"/>
    <dgm:cxn modelId="{2E78C6E1-504A-4D9D-973C-8CFDE546CE42}" type="presOf" srcId="{D79735F1-C055-AB4C-875F-A0E71C397C93}" destId="{15453980-9AD0-0A4B-A978-3ADF800F70AC}" srcOrd="0" destOrd="0" presId="urn:microsoft.com/office/officeart/2005/8/layout/bProcess3"/>
    <dgm:cxn modelId="{3D584CF4-8443-4169-816F-C48C52B43EE1}" type="presOf" srcId="{8836DF7D-8CC5-A142-83C8-BF5567C178BA}" destId="{A6D32B2E-45D0-2840-81F9-C8DDF4E074B1}" srcOrd="0" destOrd="0" presId="urn:microsoft.com/office/officeart/2005/8/layout/bProcess3"/>
    <dgm:cxn modelId="{8E1F92F6-198A-41A1-81C1-37B2FE9B28A6}" type="presOf" srcId="{F7B03295-C39B-DB41-A792-7640EA21E061}" destId="{AD024EC3-B7BB-0D4C-9AD8-33ABBB9BB46B}" srcOrd="0" destOrd="1" presId="urn:microsoft.com/office/officeart/2005/8/layout/bProcess3"/>
    <dgm:cxn modelId="{0EC644F7-2FCE-4246-BB22-1AA656E85C69}" type="presOf" srcId="{0D21E66C-F478-464C-B886-431EC735163D}" destId="{BC5992CC-AC4E-F54A-938A-41EA7C3AF962}" srcOrd="0" destOrd="0" presId="urn:microsoft.com/office/officeart/2005/8/layout/bProcess3"/>
    <dgm:cxn modelId="{40EDD3F8-DF39-0B49-BC12-05AFF1C2FE13}" srcId="{8836DF7D-8CC5-A142-83C8-BF5567C178BA}" destId="{D5CB1789-4468-324A-B1D0-F56000615344}" srcOrd="7" destOrd="0" parTransId="{6429C328-8A16-4C4B-A2E0-AEBC876EC3FB}" sibTransId="{4AA57D51-3D04-6949-987B-35ED32D9958D}"/>
    <dgm:cxn modelId="{E98DEDB1-EA74-4BA0-999B-4931D53097B5}" type="presParOf" srcId="{A6D32B2E-45D0-2840-81F9-C8DDF4E074B1}" destId="{406FB3D6-91CA-594D-86FE-7E43121ACFD6}" srcOrd="0" destOrd="0" presId="urn:microsoft.com/office/officeart/2005/8/layout/bProcess3"/>
    <dgm:cxn modelId="{24D7422D-D57D-4A56-9DCD-EFAA8CEA55C4}" type="presParOf" srcId="{A6D32B2E-45D0-2840-81F9-C8DDF4E074B1}" destId="{353AF9EB-6880-FE42-AED9-9C817C5F12E7}" srcOrd="1" destOrd="0" presId="urn:microsoft.com/office/officeart/2005/8/layout/bProcess3"/>
    <dgm:cxn modelId="{3EA6DBEA-4A46-49D3-8F5E-679BB7A8779B}" type="presParOf" srcId="{353AF9EB-6880-FE42-AED9-9C817C5F12E7}" destId="{062C7CBD-3603-E44C-BCB7-0745CFF9B87B}" srcOrd="0" destOrd="0" presId="urn:microsoft.com/office/officeart/2005/8/layout/bProcess3"/>
    <dgm:cxn modelId="{E70146E5-4860-4211-BA48-EB523AAE7FFD}" type="presParOf" srcId="{A6D32B2E-45D0-2840-81F9-C8DDF4E074B1}" destId="{ECAB704B-B890-CA4F-B512-AEE465CD4F01}" srcOrd="2" destOrd="0" presId="urn:microsoft.com/office/officeart/2005/8/layout/bProcess3"/>
    <dgm:cxn modelId="{4ADAED6B-4F46-4953-9E1E-2C254B3C4882}" type="presParOf" srcId="{A6D32B2E-45D0-2840-81F9-C8DDF4E074B1}" destId="{76E12FEA-AA63-2C4F-9407-456699B7D12C}" srcOrd="3" destOrd="0" presId="urn:microsoft.com/office/officeart/2005/8/layout/bProcess3"/>
    <dgm:cxn modelId="{73DA2B17-FAC3-488F-AAFB-4F8E9EA58074}" type="presParOf" srcId="{76E12FEA-AA63-2C4F-9407-456699B7D12C}" destId="{8E75DDA2-C1F8-A04F-A20C-080AE3B2C409}" srcOrd="0" destOrd="0" presId="urn:microsoft.com/office/officeart/2005/8/layout/bProcess3"/>
    <dgm:cxn modelId="{E76D65BE-B65E-40CD-B846-F48835D6B537}" type="presParOf" srcId="{A6D32B2E-45D0-2840-81F9-C8DDF4E074B1}" destId="{F9CF86B2-657D-5740-AF65-88D3A8D33C5D}" srcOrd="4" destOrd="0" presId="urn:microsoft.com/office/officeart/2005/8/layout/bProcess3"/>
    <dgm:cxn modelId="{00BA6DD4-09E7-4252-9968-315DEF24C809}" type="presParOf" srcId="{A6D32B2E-45D0-2840-81F9-C8DDF4E074B1}" destId="{1CF939ED-9297-9048-A411-2273BF345A11}" srcOrd="5" destOrd="0" presId="urn:microsoft.com/office/officeart/2005/8/layout/bProcess3"/>
    <dgm:cxn modelId="{C613172A-AE84-42F2-9C40-4326A636E659}" type="presParOf" srcId="{1CF939ED-9297-9048-A411-2273BF345A11}" destId="{EBB623BE-7E85-3944-9FFD-AC97D3976BBF}" srcOrd="0" destOrd="0" presId="urn:microsoft.com/office/officeart/2005/8/layout/bProcess3"/>
    <dgm:cxn modelId="{1A0CBB76-5AB5-4F3E-B0CA-E87D15A1C5E7}" type="presParOf" srcId="{A6D32B2E-45D0-2840-81F9-C8DDF4E074B1}" destId="{DBE27AE1-93FD-8141-B8F5-8A7118432716}" srcOrd="6" destOrd="0" presId="urn:microsoft.com/office/officeart/2005/8/layout/bProcess3"/>
    <dgm:cxn modelId="{99DAEB95-90A7-4507-B51D-1129DB0275A3}" type="presParOf" srcId="{A6D32B2E-45D0-2840-81F9-C8DDF4E074B1}" destId="{684814A3-1F6B-2545-A53E-0BC262B260CB}" srcOrd="7" destOrd="0" presId="urn:microsoft.com/office/officeart/2005/8/layout/bProcess3"/>
    <dgm:cxn modelId="{C6AE07DA-C7B5-4705-94A3-34F07AE6B2EF}" type="presParOf" srcId="{684814A3-1F6B-2545-A53E-0BC262B260CB}" destId="{CD37CECE-AD93-2D47-B3F8-794CF0101BB4}" srcOrd="0" destOrd="0" presId="urn:microsoft.com/office/officeart/2005/8/layout/bProcess3"/>
    <dgm:cxn modelId="{DAD7E2F3-9BE1-4CF3-8427-1ED6D9A7C75E}" type="presParOf" srcId="{A6D32B2E-45D0-2840-81F9-C8DDF4E074B1}" destId="{8DDBAE92-007E-E14A-B8D1-10D4055163A8}" srcOrd="8" destOrd="0" presId="urn:microsoft.com/office/officeart/2005/8/layout/bProcess3"/>
    <dgm:cxn modelId="{1DEC525E-FA04-43EC-BBF2-0EC93A198AF6}" type="presParOf" srcId="{A6D32B2E-45D0-2840-81F9-C8DDF4E074B1}" destId="{3245C61C-D85C-924F-9F24-AAA4FB060C22}" srcOrd="9" destOrd="0" presId="urn:microsoft.com/office/officeart/2005/8/layout/bProcess3"/>
    <dgm:cxn modelId="{76F96B14-5CC9-4541-A32A-FBBABDDECAE4}" type="presParOf" srcId="{3245C61C-D85C-924F-9F24-AAA4FB060C22}" destId="{A343BFC9-C9C5-8B47-B50D-6ECC0BD93748}" srcOrd="0" destOrd="0" presId="urn:microsoft.com/office/officeart/2005/8/layout/bProcess3"/>
    <dgm:cxn modelId="{E9B5D134-2130-4CF7-A2B0-6C18B890237E}" type="presParOf" srcId="{A6D32B2E-45D0-2840-81F9-C8DDF4E074B1}" destId="{AD024EC3-B7BB-0D4C-9AD8-33ABBB9BB46B}" srcOrd="10" destOrd="0" presId="urn:microsoft.com/office/officeart/2005/8/layout/bProcess3"/>
    <dgm:cxn modelId="{5B8AD46D-630A-455D-928C-6F9F9CEBC2C8}" type="presParOf" srcId="{A6D32B2E-45D0-2840-81F9-C8DDF4E074B1}" destId="{7D72122D-D09A-F34D-BD09-4F40302FC3B1}" srcOrd="11" destOrd="0" presId="urn:microsoft.com/office/officeart/2005/8/layout/bProcess3"/>
    <dgm:cxn modelId="{B29CB3A7-0F31-49CC-87B1-60F084206C52}" type="presParOf" srcId="{7D72122D-D09A-F34D-BD09-4F40302FC3B1}" destId="{E4B7178C-9444-D547-9F3C-98B31F946C00}" srcOrd="0" destOrd="0" presId="urn:microsoft.com/office/officeart/2005/8/layout/bProcess3"/>
    <dgm:cxn modelId="{E339A513-CA78-4C0C-BB6E-9904D6E446DA}" type="presParOf" srcId="{A6D32B2E-45D0-2840-81F9-C8DDF4E074B1}" destId="{BDB3ED45-952C-B345-8C5B-5E54DAC033AC}" srcOrd="12" destOrd="0" presId="urn:microsoft.com/office/officeart/2005/8/layout/bProcess3"/>
    <dgm:cxn modelId="{E5F8583F-B046-4D40-A18A-7B012EA668D7}" type="presParOf" srcId="{A6D32B2E-45D0-2840-81F9-C8DDF4E074B1}" destId="{BD47862C-265C-414F-B155-30B1981ACD8C}" srcOrd="13" destOrd="0" presId="urn:microsoft.com/office/officeart/2005/8/layout/bProcess3"/>
    <dgm:cxn modelId="{81FE708D-0AD3-409A-923C-F293EE16F6F9}" type="presParOf" srcId="{BD47862C-265C-414F-B155-30B1981ACD8C}" destId="{1BB2D9A1-55B5-BF47-BFD0-E6588BE2970B}" srcOrd="0" destOrd="0" presId="urn:microsoft.com/office/officeart/2005/8/layout/bProcess3"/>
    <dgm:cxn modelId="{797CC2FD-7DE1-49E6-BC8E-73C8D025AF8A}" type="presParOf" srcId="{A6D32B2E-45D0-2840-81F9-C8DDF4E074B1}" destId="{B341ADCD-605F-094C-9252-302269948DB4}" srcOrd="14" destOrd="0" presId="urn:microsoft.com/office/officeart/2005/8/layout/bProcess3"/>
    <dgm:cxn modelId="{D9715761-679F-4772-A251-49A7F2B14EAC}" type="presParOf" srcId="{A6D32B2E-45D0-2840-81F9-C8DDF4E074B1}" destId="{95EA461B-DAA4-6344-A110-5287D7D22885}" srcOrd="15" destOrd="0" presId="urn:microsoft.com/office/officeart/2005/8/layout/bProcess3"/>
    <dgm:cxn modelId="{12B34922-1AB0-4779-9A8C-D6EACB6FF226}" type="presParOf" srcId="{95EA461B-DAA4-6344-A110-5287D7D22885}" destId="{A691550D-05E5-554D-A7F9-4F8888F2896B}" srcOrd="0" destOrd="0" presId="urn:microsoft.com/office/officeart/2005/8/layout/bProcess3"/>
    <dgm:cxn modelId="{86B74E78-AFCF-4E07-9006-9397D4117623}" type="presParOf" srcId="{A6D32B2E-45D0-2840-81F9-C8DDF4E074B1}" destId="{BC5992CC-AC4E-F54A-938A-41EA7C3AF962}" srcOrd="16" destOrd="0" presId="urn:microsoft.com/office/officeart/2005/8/layout/bProcess3"/>
    <dgm:cxn modelId="{679C06A4-B596-42BC-9830-32C3E7B51965}" type="presParOf" srcId="{A6D32B2E-45D0-2840-81F9-C8DDF4E074B1}" destId="{B2802D78-15D7-0D40-9435-D59CB74AEC4F}" srcOrd="17" destOrd="0" presId="urn:microsoft.com/office/officeart/2005/8/layout/bProcess3"/>
    <dgm:cxn modelId="{D93C8CE7-9053-44F7-AA71-80A4DB66E06F}" type="presParOf" srcId="{B2802D78-15D7-0D40-9435-D59CB74AEC4F}" destId="{1C920AF5-C088-4741-92B4-9F0444F56AA8}" srcOrd="0" destOrd="0" presId="urn:microsoft.com/office/officeart/2005/8/layout/bProcess3"/>
    <dgm:cxn modelId="{4654CA88-667B-4F7A-B886-FA4B423D3C7E}" type="presParOf" srcId="{A6D32B2E-45D0-2840-81F9-C8DDF4E074B1}" destId="{15453980-9AD0-0A4B-A978-3ADF800F70AC}" srcOrd="18" destOrd="0" presId="urn:microsoft.com/office/officeart/2005/8/layout/bProcess3"/>
    <dgm:cxn modelId="{BE32E8E6-AB2E-4CD4-A243-8AF27960D799}" type="presParOf" srcId="{A6D32B2E-45D0-2840-81F9-C8DDF4E074B1}" destId="{F13EDFF0-2009-2C41-8FEB-AFAAC2F37077}" srcOrd="19" destOrd="0" presId="urn:microsoft.com/office/officeart/2005/8/layout/bProcess3"/>
    <dgm:cxn modelId="{0EA071D6-0612-4943-BBB5-A69200956F13}" type="presParOf" srcId="{F13EDFF0-2009-2C41-8FEB-AFAAC2F37077}" destId="{9429643F-9CE1-A940-9D01-08370945F31C}" srcOrd="0" destOrd="0" presId="urn:microsoft.com/office/officeart/2005/8/layout/bProcess3"/>
    <dgm:cxn modelId="{B063AEBC-229C-412D-9E58-DFFB02753F40}" type="presParOf" srcId="{A6D32B2E-45D0-2840-81F9-C8DDF4E074B1}" destId="{24853918-F1C6-7540-BDF6-714FA2AB0C73}" srcOrd="20" destOrd="0" presId="urn:microsoft.com/office/officeart/2005/8/layout/bProcess3"/>
  </dgm:cxnLst>
  <dgm:bg/>
  <dgm:whole/>
  <dgm:extLst>
    <a:ext uri="http://schemas.microsoft.com/office/drawing/2008/diagram">
      <dsp:dataModelExt xmlns:dsp="http://schemas.microsoft.com/office/drawing/2008/diagram" relId="rId6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DFF1DDD-5272-214E-BAA7-6EB27663B8B3}">
      <dsp:nvSpPr>
        <dsp:cNvPr id="0" name=""/>
        <dsp:cNvSpPr/>
      </dsp:nvSpPr>
      <dsp:spPr>
        <a:xfrm>
          <a:off x="0" y="0"/>
          <a:ext cx="2755899" cy="2755899"/>
        </a:xfrm>
        <a:prstGeom prst="pie">
          <a:avLst>
            <a:gd name="adj1" fmla="val 5400000"/>
            <a:gd name="adj2" fmla="val 16200000"/>
          </a:avLst>
        </a:prstGeom>
        <a:solidFill>
          <a:schemeClr val="accent3">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sp>
    <dsp:sp modelId="{2260597B-7611-C34E-94DC-3CDCA0585D53}">
      <dsp:nvSpPr>
        <dsp:cNvPr id="0" name=""/>
        <dsp:cNvSpPr/>
      </dsp:nvSpPr>
      <dsp:spPr>
        <a:xfrm>
          <a:off x="1377949" y="0"/>
          <a:ext cx="3841750" cy="2755899"/>
        </a:xfrm>
        <a:prstGeom prst="rect">
          <a:avLst/>
        </a:prstGeom>
        <a:solidFill>
          <a:schemeClr val="lt1">
            <a:alpha val="90000"/>
            <a:hueOff val="0"/>
            <a:satOff val="0"/>
            <a:lumOff val="0"/>
            <a:alphaOff val="0"/>
          </a:schemeClr>
        </a:solidFill>
        <a:ln w="12700" cap="flat" cmpd="sng" algn="ctr">
          <a:solidFill>
            <a:schemeClr val="accent3">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marL="0" lvl="0" indent="0" algn="just" defTabSz="488950">
            <a:lnSpc>
              <a:spcPct val="90000"/>
            </a:lnSpc>
            <a:spcBef>
              <a:spcPct val="0"/>
            </a:spcBef>
            <a:spcAft>
              <a:spcPct val="35000"/>
            </a:spcAft>
            <a:buNone/>
          </a:pPr>
          <a:r>
            <a:rPr lang="es-ES" sz="1100" b="1" kern="1200"/>
            <a:t>Entidades Ejecutoras: </a:t>
          </a:r>
          <a:r>
            <a:rPr lang="es-ES" sz="1100" b="0" kern="1200"/>
            <a:t>l</a:t>
          </a:r>
          <a:r>
            <a:rPr lang="es-ES" sz="1100" kern="1200"/>
            <a:t>as instituciones gubernamentales o no gubernamentales serán responsables directas de la ejecución de los proyectos/programas y de los instrumentos de salvaguardas</a:t>
          </a:r>
        </a:p>
      </dsp:txBody>
      <dsp:txXfrm>
        <a:off x="1377949" y="0"/>
        <a:ext cx="3841750" cy="826771"/>
      </dsp:txXfrm>
    </dsp:sp>
    <dsp:sp modelId="{B72A1AFD-9E7B-BF4B-86A9-D83C685D2957}">
      <dsp:nvSpPr>
        <dsp:cNvPr id="0" name=""/>
        <dsp:cNvSpPr/>
      </dsp:nvSpPr>
      <dsp:spPr>
        <a:xfrm>
          <a:off x="452350" y="756927"/>
          <a:ext cx="1870366" cy="1746782"/>
        </a:xfrm>
        <a:prstGeom prst="pie">
          <a:avLst>
            <a:gd name="adj1" fmla="val 5400000"/>
            <a:gd name="adj2" fmla="val 16200000"/>
          </a:avLst>
        </a:prstGeom>
        <a:solidFill>
          <a:schemeClr val="accent3">
            <a:hueOff val="1355300"/>
            <a:satOff val="50000"/>
            <a:lumOff val="-7353"/>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sp>
    <dsp:sp modelId="{95346F95-877E-C246-BFE2-7E5F00789262}">
      <dsp:nvSpPr>
        <dsp:cNvPr id="0" name=""/>
        <dsp:cNvSpPr/>
      </dsp:nvSpPr>
      <dsp:spPr>
        <a:xfrm>
          <a:off x="1377949" y="756927"/>
          <a:ext cx="3841750" cy="1746585"/>
        </a:xfrm>
        <a:prstGeom prst="rect">
          <a:avLst/>
        </a:prstGeom>
        <a:solidFill>
          <a:schemeClr val="lt1">
            <a:alpha val="90000"/>
            <a:hueOff val="0"/>
            <a:satOff val="0"/>
            <a:lumOff val="0"/>
            <a:alphaOff val="0"/>
          </a:schemeClr>
        </a:solidFill>
        <a:ln w="12700" cap="flat" cmpd="sng" algn="ctr">
          <a:solidFill>
            <a:schemeClr val="accent3">
              <a:hueOff val="1355300"/>
              <a:satOff val="50000"/>
              <a:lumOff val="-7353"/>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marL="0" lvl="0" indent="0" algn="just" defTabSz="488950">
            <a:lnSpc>
              <a:spcPct val="90000"/>
            </a:lnSpc>
            <a:spcBef>
              <a:spcPct val="0"/>
            </a:spcBef>
            <a:spcAft>
              <a:spcPct val="35000"/>
            </a:spcAft>
            <a:buNone/>
          </a:pPr>
          <a:endParaRPr lang="es-ES" sz="1100" b="1" kern="1200"/>
        </a:p>
        <a:p>
          <a:pPr marL="0" lvl="0" indent="0" algn="just" defTabSz="488950">
            <a:lnSpc>
              <a:spcPct val="90000"/>
            </a:lnSpc>
            <a:spcBef>
              <a:spcPct val="0"/>
            </a:spcBef>
            <a:spcAft>
              <a:spcPct val="35000"/>
            </a:spcAft>
            <a:buNone/>
          </a:pPr>
          <a:endParaRPr lang="es-ES" sz="1100" b="1" kern="1200"/>
        </a:p>
        <a:p>
          <a:pPr marL="0" lvl="0" indent="0" algn="just" defTabSz="488950">
            <a:lnSpc>
              <a:spcPct val="90000"/>
            </a:lnSpc>
            <a:spcBef>
              <a:spcPct val="0"/>
            </a:spcBef>
            <a:spcAft>
              <a:spcPct val="35000"/>
            </a:spcAft>
            <a:buNone/>
          </a:pPr>
          <a:r>
            <a:rPr lang="es-ES" sz="1100" b="1" kern="1200"/>
            <a:t>Oficina de Coordinacion REDD+: </a:t>
          </a:r>
          <a:r>
            <a:rPr lang="es-ES" sz="1100" kern="1200"/>
            <a:t>dará seguimiento al flujo de información técnica y financiera de los proyectos/programas para cumplimiento de metas REDD+. Elaborará y gestionará los acuerdos interinstitucionales. Brindará asesoría técnica sobre REDD+ a las Entidades Ejecutoras. Responsable de elaborar procesos de captura de información de los proyectos/programas para cumplimiento de  metas REDD+ y seguimiento del MGAS</a:t>
          </a:r>
        </a:p>
      </dsp:txBody>
      <dsp:txXfrm>
        <a:off x="1377949" y="756927"/>
        <a:ext cx="3841750" cy="806116"/>
      </dsp:txXfrm>
    </dsp:sp>
    <dsp:sp modelId="{B1A34DEC-95D0-1C4D-B5E3-D2F99DF9CE68}">
      <dsp:nvSpPr>
        <dsp:cNvPr id="0" name=""/>
        <dsp:cNvSpPr/>
      </dsp:nvSpPr>
      <dsp:spPr>
        <a:xfrm>
          <a:off x="964565" y="1776349"/>
          <a:ext cx="826769" cy="695073"/>
        </a:xfrm>
        <a:prstGeom prst="pie">
          <a:avLst>
            <a:gd name="adj1" fmla="val 5400000"/>
            <a:gd name="adj2" fmla="val 16200000"/>
          </a:avLst>
        </a:prstGeom>
        <a:solidFill>
          <a:schemeClr val="accent3">
            <a:hueOff val="2710599"/>
            <a:satOff val="100000"/>
            <a:lumOff val="-14706"/>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sp>
    <dsp:sp modelId="{0A102267-F057-6844-ADC5-60C5F8B1A337}">
      <dsp:nvSpPr>
        <dsp:cNvPr id="0" name=""/>
        <dsp:cNvSpPr/>
      </dsp:nvSpPr>
      <dsp:spPr>
        <a:xfrm>
          <a:off x="1377949" y="1945196"/>
          <a:ext cx="3841750" cy="736213"/>
        </a:xfrm>
        <a:prstGeom prst="rect">
          <a:avLst/>
        </a:prstGeom>
        <a:solidFill>
          <a:schemeClr val="lt1">
            <a:alpha val="90000"/>
            <a:hueOff val="0"/>
            <a:satOff val="0"/>
            <a:lumOff val="0"/>
            <a:alphaOff val="0"/>
          </a:schemeClr>
        </a:solidFill>
        <a:ln w="12700" cap="flat" cmpd="sng" algn="ctr">
          <a:solidFill>
            <a:schemeClr val="accent3">
              <a:hueOff val="2710599"/>
              <a:satOff val="100000"/>
              <a:lumOff val="-14706"/>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marL="0" lvl="0" indent="0" algn="just" defTabSz="488950">
            <a:lnSpc>
              <a:spcPct val="90000"/>
            </a:lnSpc>
            <a:spcBef>
              <a:spcPct val="0"/>
            </a:spcBef>
            <a:spcAft>
              <a:spcPct val="35000"/>
            </a:spcAft>
            <a:buNone/>
          </a:pPr>
          <a:r>
            <a:rPr lang="es-ES" sz="1100" b="1" kern="1200"/>
            <a:t>Comité Técnico Asesor (CTA)</a:t>
          </a:r>
          <a:r>
            <a:rPr lang="es-ES" sz="1100" kern="1200"/>
            <a:t>: mecanismo consultivo, de seguimiento y fiscalización de las metas a alcanzar a través de los proyectos/programas en ejecución vinculados con REDD+ en el país.</a:t>
          </a:r>
        </a:p>
      </dsp:txBody>
      <dsp:txXfrm>
        <a:off x="1377949" y="1945196"/>
        <a:ext cx="3841750" cy="736213"/>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53AF9EB-6880-FE42-AED9-9C817C5F12E7}">
      <dsp:nvSpPr>
        <dsp:cNvPr id="0" name=""/>
        <dsp:cNvSpPr/>
      </dsp:nvSpPr>
      <dsp:spPr>
        <a:xfrm>
          <a:off x="1036553" y="464850"/>
          <a:ext cx="207998" cy="91440"/>
        </a:xfrm>
        <a:custGeom>
          <a:avLst/>
          <a:gdLst/>
          <a:ahLst/>
          <a:cxnLst/>
          <a:rect l="0" t="0" r="0" b="0"/>
          <a:pathLst>
            <a:path>
              <a:moveTo>
                <a:pt x="0" y="45720"/>
              </a:moveTo>
              <a:lnTo>
                <a:pt x="207998" y="45720"/>
              </a:lnTo>
            </a:path>
          </a:pathLst>
        </a:custGeom>
        <a:noFill/>
        <a:ln w="6350" cap="flat" cmpd="sng" algn="ctr">
          <a:solidFill>
            <a:schemeClr val="accent4">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s-ES" sz="500" b="1" kern="1200">
            <a:solidFill>
              <a:srgbClr val="000000"/>
            </a:solidFill>
          </a:endParaRPr>
        </a:p>
      </dsp:txBody>
      <dsp:txXfrm>
        <a:off x="1134588" y="509377"/>
        <a:ext cx="11929" cy="2385"/>
      </dsp:txXfrm>
    </dsp:sp>
    <dsp:sp modelId="{406FB3D6-91CA-594D-86FE-7E43121ACFD6}">
      <dsp:nvSpPr>
        <dsp:cNvPr id="0" name=""/>
        <dsp:cNvSpPr/>
      </dsp:nvSpPr>
      <dsp:spPr>
        <a:xfrm>
          <a:off x="968" y="199354"/>
          <a:ext cx="1037385" cy="622431"/>
        </a:xfrm>
        <a:prstGeom prst="rect">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ctr" anchorCtr="0">
          <a:noAutofit/>
        </a:bodyPr>
        <a:lstStyle/>
        <a:p>
          <a:pPr marL="0" lvl="0" indent="0" algn="ctr" defTabSz="355600">
            <a:lnSpc>
              <a:spcPct val="90000"/>
            </a:lnSpc>
            <a:spcBef>
              <a:spcPct val="0"/>
            </a:spcBef>
            <a:spcAft>
              <a:spcPct val="35000"/>
            </a:spcAft>
            <a:buNone/>
          </a:pPr>
          <a:r>
            <a:rPr lang="es-ES" sz="800" b="1" kern="1200">
              <a:solidFill>
                <a:srgbClr val="000000"/>
              </a:solidFill>
            </a:rPr>
            <a:t>1. Recepción</a:t>
          </a:r>
        </a:p>
      </dsp:txBody>
      <dsp:txXfrm>
        <a:off x="968" y="199354"/>
        <a:ext cx="1037385" cy="622431"/>
      </dsp:txXfrm>
    </dsp:sp>
    <dsp:sp modelId="{76E12FEA-AA63-2C4F-9407-456699B7D12C}">
      <dsp:nvSpPr>
        <dsp:cNvPr id="0" name=""/>
        <dsp:cNvSpPr/>
      </dsp:nvSpPr>
      <dsp:spPr>
        <a:xfrm>
          <a:off x="2312538" y="464850"/>
          <a:ext cx="207998" cy="91440"/>
        </a:xfrm>
        <a:custGeom>
          <a:avLst/>
          <a:gdLst/>
          <a:ahLst/>
          <a:cxnLst/>
          <a:rect l="0" t="0" r="0" b="0"/>
          <a:pathLst>
            <a:path>
              <a:moveTo>
                <a:pt x="0" y="45720"/>
              </a:moveTo>
              <a:lnTo>
                <a:pt x="207998" y="45720"/>
              </a:lnTo>
            </a:path>
          </a:pathLst>
        </a:custGeom>
        <a:noFill/>
        <a:ln w="6350" cap="flat" cmpd="sng" algn="ctr">
          <a:solidFill>
            <a:schemeClr val="accent4">
              <a:hueOff val="1155077"/>
              <a:satOff val="-5330"/>
              <a:lumOff val="196"/>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s-ES" sz="500" b="1" kern="1200">
            <a:solidFill>
              <a:srgbClr val="000000"/>
            </a:solidFill>
          </a:endParaRPr>
        </a:p>
      </dsp:txBody>
      <dsp:txXfrm>
        <a:off x="2410572" y="509377"/>
        <a:ext cx="11929" cy="2385"/>
      </dsp:txXfrm>
    </dsp:sp>
    <dsp:sp modelId="{ECAB704B-B890-CA4F-B512-AEE465CD4F01}">
      <dsp:nvSpPr>
        <dsp:cNvPr id="0" name=""/>
        <dsp:cNvSpPr/>
      </dsp:nvSpPr>
      <dsp:spPr>
        <a:xfrm>
          <a:off x="1276952" y="199354"/>
          <a:ext cx="1037385" cy="622431"/>
        </a:xfrm>
        <a:prstGeom prst="rect">
          <a:avLst/>
        </a:prstGeom>
        <a:gradFill rotWithShape="0">
          <a:gsLst>
            <a:gs pos="0">
              <a:schemeClr val="accent4">
                <a:hueOff val="1039569"/>
                <a:satOff val="-4797"/>
                <a:lumOff val="177"/>
                <a:alphaOff val="0"/>
                <a:satMod val="103000"/>
                <a:lumMod val="102000"/>
                <a:tint val="94000"/>
              </a:schemeClr>
            </a:gs>
            <a:gs pos="50000">
              <a:schemeClr val="accent4">
                <a:hueOff val="1039569"/>
                <a:satOff val="-4797"/>
                <a:lumOff val="177"/>
                <a:alphaOff val="0"/>
                <a:satMod val="110000"/>
                <a:lumMod val="100000"/>
                <a:shade val="100000"/>
              </a:schemeClr>
            </a:gs>
            <a:gs pos="100000">
              <a:schemeClr val="accent4">
                <a:hueOff val="1039569"/>
                <a:satOff val="-4797"/>
                <a:lumOff val="177"/>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ctr" anchorCtr="0">
          <a:noAutofit/>
        </a:bodyPr>
        <a:lstStyle/>
        <a:p>
          <a:pPr marL="0" lvl="0" indent="0" algn="ctr" defTabSz="355600">
            <a:lnSpc>
              <a:spcPct val="90000"/>
            </a:lnSpc>
            <a:spcBef>
              <a:spcPct val="0"/>
            </a:spcBef>
            <a:spcAft>
              <a:spcPct val="35000"/>
            </a:spcAft>
            <a:buNone/>
          </a:pPr>
          <a:r>
            <a:rPr lang="es-ES" sz="800" b="1" kern="1200">
              <a:solidFill>
                <a:srgbClr val="000000"/>
              </a:solidFill>
            </a:rPr>
            <a:t>2. Información de la queja o reclamo</a:t>
          </a:r>
        </a:p>
      </dsp:txBody>
      <dsp:txXfrm>
        <a:off x="1276952" y="199354"/>
        <a:ext cx="1037385" cy="622431"/>
      </dsp:txXfrm>
    </dsp:sp>
    <dsp:sp modelId="{1CF939ED-9297-9048-A411-2273BF345A11}">
      <dsp:nvSpPr>
        <dsp:cNvPr id="0" name=""/>
        <dsp:cNvSpPr/>
      </dsp:nvSpPr>
      <dsp:spPr>
        <a:xfrm>
          <a:off x="3588522" y="464850"/>
          <a:ext cx="207998" cy="91440"/>
        </a:xfrm>
        <a:custGeom>
          <a:avLst/>
          <a:gdLst/>
          <a:ahLst/>
          <a:cxnLst/>
          <a:rect l="0" t="0" r="0" b="0"/>
          <a:pathLst>
            <a:path>
              <a:moveTo>
                <a:pt x="0" y="45720"/>
              </a:moveTo>
              <a:lnTo>
                <a:pt x="207998" y="45720"/>
              </a:lnTo>
            </a:path>
          </a:pathLst>
        </a:custGeom>
        <a:noFill/>
        <a:ln w="6350" cap="flat" cmpd="sng" algn="ctr">
          <a:solidFill>
            <a:schemeClr val="accent4">
              <a:hueOff val="2310154"/>
              <a:satOff val="-10660"/>
              <a:lumOff val="392"/>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s-ES" sz="500" b="1" kern="1200">
            <a:solidFill>
              <a:srgbClr val="000000"/>
            </a:solidFill>
          </a:endParaRPr>
        </a:p>
      </dsp:txBody>
      <dsp:txXfrm>
        <a:off x="3686556" y="509377"/>
        <a:ext cx="11929" cy="2385"/>
      </dsp:txXfrm>
    </dsp:sp>
    <dsp:sp modelId="{F9CF86B2-657D-5740-AF65-88D3A8D33C5D}">
      <dsp:nvSpPr>
        <dsp:cNvPr id="0" name=""/>
        <dsp:cNvSpPr/>
      </dsp:nvSpPr>
      <dsp:spPr>
        <a:xfrm>
          <a:off x="2552936" y="199354"/>
          <a:ext cx="1037385" cy="622431"/>
        </a:xfrm>
        <a:prstGeom prst="rect">
          <a:avLst/>
        </a:prstGeom>
        <a:gradFill rotWithShape="0">
          <a:gsLst>
            <a:gs pos="0">
              <a:schemeClr val="accent4">
                <a:hueOff val="2079139"/>
                <a:satOff val="-9594"/>
                <a:lumOff val="353"/>
                <a:alphaOff val="0"/>
                <a:satMod val="103000"/>
                <a:lumMod val="102000"/>
                <a:tint val="94000"/>
              </a:schemeClr>
            </a:gs>
            <a:gs pos="50000">
              <a:schemeClr val="accent4">
                <a:hueOff val="2079139"/>
                <a:satOff val="-9594"/>
                <a:lumOff val="353"/>
                <a:alphaOff val="0"/>
                <a:satMod val="110000"/>
                <a:lumMod val="100000"/>
                <a:shade val="100000"/>
              </a:schemeClr>
            </a:gs>
            <a:gs pos="100000">
              <a:schemeClr val="accent4">
                <a:hueOff val="2079139"/>
                <a:satOff val="-9594"/>
                <a:lumOff val="353"/>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ctr" anchorCtr="0">
          <a:noAutofit/>
        </a:bodyPr>
        <a:lstStyle/>
        <a:p>
          <a:pPr marL="0" lvl="0" indent="0" algn="ctr" defTabSz="355600">
            <a:lnSpc>
              <a:spcPct val="90000"/>
            </a:lnSpc>
            <a:spcBef>
              <a:spcPct val="0"/>
            </a:spcBef>
            <a:spcAft>
              <a:spcPct val="35000"/>
            </a:spcAft>
            <a:buNone/>
          </a:pPr>
          <a:r>
            <a:rPr lang="es-ES" sz="800" b="1" kern="1200">
              <a:solidFill>
                <a:srgbClr val="000000"/>
              </a:solidFill>
            </a:rPr>
            <a:t>3. Registro de Queja</a:t>
          </a:r>
        </a:p>
      </dsp:txBody>
      <dsp:txXfrm>
        <a:off x="2552936" y="199354"/>
        <a:ext cx="1037385" cy="622431"/>
      </dsp:txXfrm>
    </dsp:sp>
    <dsp:sp modelId="{684814A3-1F6B-2545-A53E-0BC262B260CB}">
      <dsp:nvSpPr>
        <dsp:cNvPr id="0" name=""/>
        <dsp:cNvSpPr/>
      </dsp:nvSpPr>
      <dsp:spPr>
        <a:xfrm>
          <a:off x="519661" y="819985"/>
          <a:ext cx="3827952" cy="207998"/>
        </a:xfrm>
        <a:custGeom>
          <a:avLst/>
          <a:gdLst/>
          <a:ahLst/>
          <a:cxnLst/>
          <a:rect l="0" t="0" r="0" b="0"/>
          <a:pathLst>
            <a:path>
              <a:moveTo>
                <a:pt x="3827952" y="0"/>
              </a:moveTo>
              <a:lnTo>
                <a:pt x="3827952" y="121099"/>
              </a:lnTo>
              <a:lnTo>
                <a:pt x="0" y="121099"/>
              </a:lnTo>
              <a:lnTo>
                <a:pt x="0" y="207998"/>
              </a:lnTo>
            </a:path>
          </a:pathLst>
        </a:custGeom>
        <a:noFill/>
        <a:ln w="6350" cap="flat" cmpd="sng" algn="ctr">
          <a:solidFill>
            <a:schemeClr val="accent4">
              <a:hueOff val="3465231"/>
              <a:satOff val="-15989"/>
              <a:lumOff val="588"/>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s-ES" sz="500" b="1" kern="1200">
            <a:solidFill>
              <a:srgbClr val="000000"/>
            </a:solidFill>
          </a:endParaRPr>
        </a:p>
      </dsp:txBody>
      <dsp:txXfrm>
        <a:off x="2337752" y="922792"/>
        <a:ext cx="191769" cy="2385"/>
      </dsp:txXfrm>
    </dsp:sp>
    <dsp:sp modelId="{DBE27AE1-93FD-8141-B8F5-8A7118432716}">
      <dsp:nvSpPr>
        <dsp:cNvPr id="0" name=""/>
        <dsp:cNvSpPr/>
      </dsp:nvSpPr>
      <dsp:spPr>
        <a:xfrm>
          <a:off x="3828921" y="199354"/>
          <a:ext cx="1037385" cy="622431"/>
        </a:xfrm>
        <a:prstGeom prst="rect">
          <a:avLst/>
        </a:prstGeom>
        <a:gradFill rotWithShape="0">
          <a:gsLst>
            <a:gs pos="0">
              <a:schemeClr val="accent4">
                <a:hueOff val="3118708"/>
                <a:satOff val="-14390"/>
                <a:lumOff val="530"/>
                <a:alphaOff val="0"/>
                <a:satMod val="103000"/>
                <a:lumMod val="102000"/>
                <a:tint val="94000"/>
              </a:schemeClr>
            </a:gs>
            <a:gs pos="50000">
              <a:schemeClr val="accent4">
                <a:hueOff val="3118708"/>
                <a:satOff val="-14390"/>
                <a:lumOff val="530"/>
                <a:alphaOff val="0"/>
                <a:satMod val="110000"/>
                <a:lumMod val="100000"/>
                <a:shade val="100000"/>
              </a:schemeClr>
            </a:gs>
            <a:gs pos="100000">
              <a:schemeClr val="accent4">
                <a:hueOff val="3118708"/>
                <a:satOff val="-14390"/>
                <a:lumOff val="53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ctr" anchorCtr="0">
          <a:noAutofit/>
        </a:bodyPr>
        <a:lstStyle/>
        <a:p>
          <a:pPr marL="0" lvl="0" indent="0" algn="ctr" defTabSz="355600">
            <a:lnSpc>
              <a:spcPct val="90000"/>
            </a:lnSpc>
            <a:spcBef>
              <a:spcPct val="0"/>
            </a:spcBef>
            <a:spcAft>
              <a:spcPct val="35000"/>
            </a:spcAft>
            <a:buNone/>
          </a:pPr>
          <a:r>
            <a:rPr lang="es-ES" sz="800" b="1" kern="1200">
              <a:solidFill>
                <a:srgbClr val="000000"/>
              </a:solidFill>
            </a:rPr>
            <a:t>4. Evaluación</a:t>
          </a:r>
        </a:p>
      </dsp:txBody>
      <dsp:txXfrm>
        <a:off x="3828921" y="199354"/>
        <a:ext cx="1037385" cy="622431"/>
      </dsp:txXfrm>
    </dsp:sp>
    <dsp:sp modelId="{3245C61C-D85C-924F-9F24-AAA4FB060C22}">
      <dsp:nvSpPr>
        <dsp:cNvPr id="0" name=""/>
        <dsp:cNvSpPr/>
      </dsp:nvSpPr>
      <dsp:spPr>
        <a:xfrm>
          <a:off x="1036553" y="1325880"/>
          <a:ext cx="207998" cy="91440"/>
        </a:xfrm>
        <a:custGeom>
          <a:avLst/>
          <a:gdLst/>
          <a:ahLst/>
          <a:cxnLst/>
          <a:rect l="0" t="0" r="0" b="0"/>
          <a:pathLst>
            <a:path>
              <a:moveTo>
                <a:pt x="0" y="45720"/>
              </a:moveTo>
              <a:lnTo>
                <a:pt x="207998" y="45720"/>
              </a:lnTo>
            </a:path>
          </a:pathLst>
        </a:custGeom>
        <a:noFill/>
        <a:ln w="6350" cap="flat" cmpd="sng" algn="ctr">
          <a:solidFill>
            <a:schemeClr val="accent4">
              <a:hueOff val="4620308"/>
              <a:satOff val="-21319"/>
              <a:lumOff val="784"/>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s-ES" sz="500" b="1" kern="1200">
            <a:solidFill>
              <a:srgbClr val="000000"/>
            </a:solidFill>
          </a:endParaRPr>
        </a:p>
      </dsp:txBody>
      <dsp:txXfrm>
        <a:off x="1134588" y="1370407"/>
        <a:ext cx="11929" cy="2385"/>
      </dsp:txXfrm>
    </dsp:sp>
    <dsp:sp modelId="{8DDBAE92-007E-E14A-B8D1-10D4055163A8}">
      <dsp:nvSpPr>
        <dsp:cNvPr id="0" name=""/>
        <dsp:cNvSpPr/>
      </dsp:nvSpPr>
      <dsp:spPr>
        <a:xfrm>
          <a:off x="968" y="1060384"/>
          <a:ext cx="1037385" cy="622431"/>
        </a:xfrm>
        <a:prstGeom prst="rect">
          <a:avLst/>
        </a:prstGeom>
        <a:gradFill rotWithShape="0">
          <a:gsLst>
            <a:gs pos="0">
              <a:schemeClr val="accent4">
                <a:hueOff val="4158277"/>
                <a:satOff val="-19187"/>
                <a:lumOff val="706"/>
                <a:alphaOff val="0"/>
                <a:satMod val="103000"/>
                <a:lumMod val="102000"/>
                <a:tint val="94000"/>
              </a:schemeClr>
            </a:gs>
            <a:gs pos="50000">
              <a:schemeClr val="accent4">
                <a:hueOff val="4158277"/>
                <a:satOff val="-19187"/>
                <a:lumOff val="706"/>
                <a:alphaOff val="0"/>
                <a:satMod val="110000"/>
                <a:lumMod val="100000"/>
                <a:shade val="100000"/>
              </a:schemeClr>
            </a:gs>
            <a:gs pos="100000">
              <a:schemeClr val="accent4">
                <a:hueOff val="4158277"/>
                <a:satOff val="-19187"/>
                <a:lumOff val="706"/>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ctr" anchorCtr="0">
          <a:noAutofit/>
        </a:bodyPr>
        <a:lstStyle/>
        <a:p>
          <a:pPr marL="0" lvl="0" indent="0" algn="ctr" defTabSz="355600">
            <a:lnSpc>
              <a:spcPct val="90000"/>
            </a:lnSpc>
            <a:spcBef>
              <a:spcPct val="0"/>
            </a:spcBef>
            <a:spcAft>
              <a:spcPct val="35000"/>
            </a:spcAft>
            <a:buNone/>
          </a:pPr>
          <a:r>
            <a:rPr lang="es-ES" sz="800" b="1" kern="1200">
              <a:solidFill>
                <a:srgbClr val="000000"/>
              </a:solidFill>
            </a:rPr>
            <a:t>5. Reconocimiento Inicial</a:t>
          </a:r>
        </a:p>
      </dsp:txBody>
      <dsp:txXfrm>
        <a:off x="968" y="1060384"/>
        <a:ext cx="1037385" cy="622431"/>
      </dsp:txXfrm>
    </dsp:sp>
    <dsp:sp modelId="{7D72122D-D09A-F34D-BD09-4F40302FC3B1}">
      <dsp:nvSpPr>
        <dsp:cNvPr id="0" name=""/>
        <dsp:cNvSpPr/>
      </dsp:nvSpPr>
      <dsp:spPr>
        <a:xfrm>
          <a:off x="2312538" y="1325880"/>
          <a:ext cx="207998" cy="91440"/>
        </a:xfrm>
        <a:custGeom>
          <a:avLst/>
          <a:gdLst/>
          <a:ahLst/>
          <a:cxnLst/>
          <a:rect l="0" t="0" r="0" b="0"/>
          <a:pathLst>
            <a:path>
              <a:moveTo>
                <a:pt x="0" y="45720"/>
              </a:moveTo>
              <a:lnTo>
                <a:pt x="207998" y="45720"/>
              </a:lnTo>
            </a:path>
          </a:pathLst>
        </a:custGeom>
        <a:noFill/>
        <a:ln w="6350" cap="flat" cmpd="sng" algn="ctr">
          <a:solidFill>
            <a:schemeClr val="accent4">
              <a:hueOff val="5775385"/>
              <a:satOff val="-26649"/>
              <a:lumOff val="981"/>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s-ES" sz="500" b="1" kern="1200">
            <a:solidFill>
              <a:srgbClr val="000000"/>
            </a:solidFill>
          </a:endParaRPr>
        </a:p>
      </dsp:txBody>
      <dsp:txXfrm>
        <a:off x="2410572" y="1370407"/>
        <a:ext cx="11929" cy="2385"/>
      </dsp:txXfrm>
    </dsp:sp>
    <dsp:sp modelId="{AD024EC3-B7BB-0D4C-9AD8-33ABBB9BB46B}">
      <dsp:nvSpPr>
        <dsp:cNvPr id="0" name=""/>
        <dsp:cNvSpPr/>
      </dsp:nvSpPr>
      <dsp:spPr>
        <a:xfrm>
          <a:off x="1276952" y="1060384"/>
          <a:ext cx="1037385" cy="622431"/>
        </a:xfrm>
        <a:prstGeom prst="rect">
          <a:avLst/>
        </a:prstGeom>
        <a:gradFill rotWithShape="0">
          <a:gsLst>
            <a:gs pos="0">
              <a:schemeClr val="accent4">
                <a:hueOff val="5197846"/>
                <a:satOff val="-23984"/>
                <a:lumOff val="883"/>
                <a:alphaOff val="0"/>
                <a:satMod val="103000"/>
                <a:lumMod val="102000"/>
                <a:tint val="94000"/>
              </a:schemeClr>
            </a:gs>
            <a:gs pos="50000">
              <a:schemeClr val="accent4">
                <a:hueOff val="5197846"/>
                <a:satOff val="-23984"/>
                <a:lumOff val="883"/>
                <a:alphaOff val="0"/>
                <a:satMod val="110000"/>
                <a:lumMod val="100000"/>
                <a:shade val="100000"/>
              </a:schemeClr>
            </a:gs>
            <a:gs pos="100000">
              <a:schemeClr val="accent4">
                <a:hueOff val="5197846"/>
                <a:satOff val="-23984"/>
                <a:lumOff val="883"/>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t" anchorCtr="0">
          <a:noAutofit/>
        </a:bodyPr>
        <a:lstStyle/>
        <a:p>
          <a:pPr marL="0" lvl="0" indent="0" algn="ctr" defTabSz="355600">
            <a:lnSpc>
              <a:spcPct val="90000"/>
            </a:lnSpc>
            <a:spcBef>
              <a:spcPct val="0"/>
            </a:spcBef>
            <a:spcAft>
              <a:spcPct val="35000"/>
            </a:spcAft>
            <a:buNone/>
          </a:pPr>
          <a:r>
            <a:rPr lang="es-ES" sz="800" b="1" kern="1200">
              <a:solidFill>
                <a:srgbClr val="000000"/>
              </a:solidFill>
            </a:rPr>
            <a:t>6. Implementar respuesta</a:t>
          </a:r>
        </a:p>
        <a:p>
          <a:pPr marL="57150" lvl="1" indent="-57150" algn="ctr" defTabSz="266700">
            <a:lnSpc>
              <a:spcPct val="90000"/>
            </a:lnSpc>
            <a:spcBef>
              <a:spcPct val="0"/>
            </a:spcBef>
            <a:spcAft>
              <a:spcPct val="15000"/>
            </a:spcAft>
            <a:buChar char="•"/>
          </a:pPr>
          <a:r>
            <a:rPr lang="es-ES" sz="600" b="1" kern="1200">
              <a:solidFill>
                <a:srgbClr val="000000"/>
              </a:solidFill>
            </a:rPr>
            <a:t>Respuesta de acción</a:t>
          </a:r>
        </a:p>
        <a:p>
          <a:pPr marL="57150" lvl="1" indent="-57150" algn="ctr" defTabSz="266700">
            <a:lnSpc>
              <a:spcPct val="90000"/>
            </a:lnSpc>
            <a:spcBef>
              <a:spcPct val="0"/>
            </a:spcBef>
            <a:spcAft>
              <a:spcPct val="15000"/>
            </a:spcAft>
            <a:buChar char="•"/>
          </a:pPr>
          <a:r>
            <a:rPr lang="es-ES" sz="600" b="1" kern="1200">
              <a:solidFill>
                <a:srgbClr val="000000"/>
              </a:solidFill>
            </a:rPr>
            <a:t>No interes...</a:t>
          </a:r>
        </a:p>
      </dsp:txBody>
      <dsp:txXfrm>
        <a:off x="1276952" y="1060384"/>
        <a:ext cx="1037385" cy="622431"/>
      </dsp:txXfrm>
    </dsp:sp>
    <dsp:sp modelId="{BD47862C-265C-414F-B155-30B1981ACD8C}">
      <dsp:nvSpPr>
        <dsp:cNvPr id="0" name=""/>
        <dsp:cNvSpPr/>
      </dsp:nvSpPr>
      <dsp:spPr>
        <a:xfrm>
          <a:off x="3588522" y="1325880"/>
          <a:ext cx="207998" cy="91440"/>
        </a:xfrm>
        <a:custGeom>
          <a:avLst/>
          <a:gdLst/>
          <a:ahLst/>
          <a:cxnLst/>
          <a:rect l="0" t="0" r="0" b="0"/>
          <a:pathLst>
            <a:path>
              <a:moveTo>
                <a:pt x="0" y="45720"/>
              </a:moveTo>
              <a:lnTo>
                <a:pt x="207998" y="45720"/>
              </a:lnTo>
            </a:path>
          </a:pathLst>
        </a:custGeom>
        <a:noFill/>
        <a:ln w="6350" cap="flat" cmpd="sng" algn="ctr">
          <a:solidFill>
            <a:schemeClr val="accent4">
              <a:hueOff val="6930461"/>
              <a:satOff val="-31979"/>
              <a:lumOff val="1177"/>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s-ES" sz="500" b="1" kern="1200">
            <a:solidFill>
              <a:srgbClr val="000000"/>
            </a:solidFill>
          </a:endParaRPr>
        </a:p>
      </dsp:txBody>
      <dsp:txXfrm>
        <a:off x="3686556" y="1370407"/>
        <a:ext cx="11929" cy="2385"/>
      </dsp:txXfrm>
    </dsp:sp>
    <dsp:sp modelId="{BDB3ED45-952C-B345-8C5B-5E54DAC033AC}">
      <dsp:nvSpPr>
        <dsp:cNvPr id="0" name=""/>
        <dsp:cNvSpPr/>
      </dsp:nvSpPr>
      <dsp:spPr>
        <a:xfrm>
          <a:off x="2552936" y="1060384"/>
          <a:ext cx="1037385" cy="622431"/>
        </a:xfrm>
        <a:prstGeom prst="rect">
          <a:avLst/>
        </a:prstGeom>
        <a:gradFill rotWithShape="0">
          <a:gsLst>
            <a:gs pos="0">
              <a:schemeClr val="accent4">
                <a:hueOff val="6237415"/>
                <a:satOff val="-28781"/>
                <a:lumOff val="1059"/>
                <a:alphaOff val="0"/>
                <a:satMod val="103000"/>
                <a:lumMod val="102000"/>
                <a:tint val="94000"/>
              </a:schemeClr>
            </a:gs>
            <a:gs pos="50000">
              <a:schemeClr val="accent4">
                <a:hueOff val="6237415"/>
                <a:satOff val="-28781"/>
                <a:lumOff val="1059"/>
                <a:alphaOff val="0"/>
                <a:satMod val="110000"/>
                <a:lumMod val="100000"/>
                <a:shade val="100000"/>
              </a:schemeClr>
            </a:gs>
            <a:gs pos="100000">
              <a:schemeClr val="accent4">
                <a:hueOff val="6237415"/>
                <a:satOff val="-28781"/>
                <a:lumOff val="1059"/>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ctr" anchorCtr="0">
          <a:noAutofit/>
        </a:bodyPr>
        <a:lstStyle/>
        <a:p>
          <a:pPr marL="0" lvl="0" indent="0" algn="ctr" defTabSz="355600">
            <a:lnSpc>
              <a:spcPct val="90000"/>
            </a:lnSpc>
            <a:spcBef>
              <a:spcPct val="0"/>
            </a:spcBef>
            <a:spcAft>
              <a:spcPct val="35000"/>
            </a:spcAft>
            <a:buNone/>
          </a:pPr>
          <a:r>
            <a:rPr lang="es-ES" sz="800" b="1" kern="1200">
              <a:solidFill>
                <a:srgbClr val="000000"/>
              </a:solidFill>
            </a:rPr>
            <a:t>7. Evaluación adicional</a:t>
          </a:r>
        </a:p>
      </dsp:txBody>
      <dsp:txXfrm>
        <a:off x="2552936" y="1060384"/>
        <a:ext cx="1037385" cy="622431"/>
      </dsp:txXfrm>
    </dsp:sp>
    <dsp:sp modelId="{95EA461B-DAA4-6344-A110-5287D7D22885}">
      <dsp:nvSpPr>
        <dsp:cNvPr id="0" name=""/>
        <dsp:cNvSpPr/>
      </dsp:nvSpPr>
      <dsp:spPr>
        <a:xfrm>
          <a:off x="519661" y="1681015"/>
          <a:ext cx="3827952" cy="207998"/>
        </a:xfrm>
        <a:custGeom>
          <a:avLst/>
          <a:gdLst/>
          <a:ahLst/>
          <a:cxnLst/>
          <a:rect l="0" t="0" r="0" b="0"/>
          <a:pathLst>
            <a:path>
              <a:moveTo>
                <a:pt x="3827952" y="0"/>
              </a:moveTo>
              <a:lnTo>
                <a:pt x="3827952" y="121099"/>
              </a:lnTo>
              <a:lnTo>
                <a:pt x="0" y="121099"/>
              </a:lnTo>
              <a:lnTo>
                <a:pt x="0" y="207998"/>
              </a:lnTo>
            </a:path>
          </a:pathLst>
        </a:custGeom>
        <a:noFill/>
        <a:ln w="6350" cap="flat" cmpd="sng" algn="ctr">
          <a:solidFill>
            <a:schemeClr val="accent4">
              <a:hueOff val="8085538"/>
              <a:satOff val="-37308"/>
              <a:lumOff val="1373"/>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s-ES" sz="500" b="1" kern="1200">
            <a:solidFill>
              <a:srgbClr val="000000"/>
            </a:solidFill>
          </a:endParaRPr>
        </a:p>
      </dsp:txBody>
      <dsp:txXfrm>
        <a:off x="2337752" y="1783821"/>
        <a:ext cx="191769" cy="2385"/>
      </dsp:txXfrm>
    </dsp:sp>
    <dsp:sp modelId="{B341ADCD-605F-094C-9252-302269948DB4}">
      <dsp:nvSpPr>
        <dsp:cNvPr id="0" name=""/>
        <dsp:cNvSpPr/>
      </dsp:nvSpPr>
      <dsp:spPr>
        <a:xfrm>
          <a:off x="3828921" y="1060384"/>
          <a:ext cx="1037385" cy="622431"/>
        </a:xfrm>
        <a:prstGeom prst="rect">
          <a:avLst/>
        </a:prstGeom>
        <a:gradFill rotWithShape="0">
          <a:gsLst>
            <a:gs pos="0">
              <a:schemeClr val="accent4">
                <a:hueOff val="7276984"/>
                <a:satOff val="-33578"/>
                <a:lumOff val="1236"/>
                <a:alphaOff val="0"/>
                <a:satMod val="103000"/>
                <a:lumMod val="102000"/>
                <a:tint val="94000"/>
              </a:schemeClr>
            </a:gs>
            <a:gs pos="50000">
              <a:schemeClr val="accent4">
                <a:hueOff val="7276984"/>
                <a:satOff val="-33578"/>
                <a:lumOff val="1236"/>
                <a:alphaOff val="0"/>
                <a:satMod val="110000"/>
                <a:lumMod val="100000"/>
                <a:shade val="100000"/>
              </a:schemeClr>
            </a:gs>
            <a:gs pos="100000">
              <a:schemeClr val="accent4">
                <a:hueOff val="7276984"/>
                <a:satOff val="-33578"/>
                <a:lumOff val="1236"/>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ctr" anchorCtr="0">
          <a:noAutofit/>
        </a:bodyPr>
        <a:lstStyle/>
        <a:p>
          <a:pPr marL="0" lvl="0" indent="0" algn="ctr" defTabSz="355600">
            <a:lnSpc>
              <a:spcPct val="90000"/>
            </a:lnSpc>
            <a:spcBef>
              <a:spcPct val="0"/>
            </a:spcBef>
            <a:spcAft>
              <a:spcPct val="35000"/>
            </a:spcAft>
            <a:buNone/>
          </a:pPr>
          <a:r>
            <a:rPr lang="es-ES" sz="800" b="1" kern="1200">
              <a:solidFill>
                <a:srgbClr val="000000"/>
              </a:solidFill>
            </a:rPr>
            <a:t>8. Formalizar respuesta</a:t>
          </a:r>
        </a:p>
      </dsp:txBody>
      <dsp:txXfrm>
        <a:off x="3828921" y="1060384"/>
        <a:ext cx="1037385" cy="622431"/>
      </dsp:txXfrm>
    </dsp:sp>
    <dsp:sp modelId="{B2802D78-15D7-0D40-9435-D59CB74AEC4F}">
      <dsp:nvSpPr>
        <dsp:cNvPr id="0" name=""/>
        <dsp:cNvSpPr/>
      </dsp:nvSpPr>
      <dsp:spPr>
        <a:xfrm>
          <a:off x="1036553" y="2186909"/>
          <a:ext cx="207998" cy="91440"/>
        </a:xfrm>
        <a:custGeom>
          <a:avLst/>
          <a:gdLst/>
          <a:ahLst/>
          <a:cxnLst/>
          <a:rect l="0" t="0" r="0" b="0"/>
          <a:pathLst>
            <a:path>
              <a:moveTo>
                <a:pt x="0" y="45720"/>
              </a:moveTo>
              <a:lnTo>
                <a:pt x="207998" y="45720"/>
              </a:lnTo>
            </a:path>
          </a:pathLst>
        </a:custGeom>
        <a:noFill/>
        <a:ln w="6350" cap="flat" cmpd="sng" algn="ctr">
          <a:solidFill>
            <a:schemeClr val="accent4">
              <a:hueOff val="9240615"/>
              <a:satOff val="-42638"/>
              <a:lumOff val="1569"/>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s-ES" sz="500" b="1" kern="1200">
            <a:solidFill>
              <a:srgbClr val="000000"/>
            </a:solidFill>
          </a:endParaRPr>
        </a:p>
      </dsp:txBody>
      <dsp:txXfrm>
        <a:off x="1134588" y="2231436"/>
        <a:ext cx="11929" cy="2385"/>
      </dsp:txXfrm>
    </dsp:sp>
    <dsp:sp modelId="{BC5992CC-AC4E-F54A-938A-41EA7C3AF962}">
      <dsp:nvSpPr>
        <dsp:cNvPr id="0" name=""/>
        <dsp:cNvSpPr/>
      </dsp:nvSpPr>
      <dsp:spPr>
        <a:xfrm>
          <a:off x="968" y="1921414"/>
          <a:ext cx="1037385" cy="622431"/>
        </a:xfrm>
        <a:prstGeom prst="rect">
          <a:avLst/>
        </a:prstGeom>
        <a:gradFill rotWithShape="0">
          <a:gsLst>
            <a:gs pos="0">
              <a:schemeClr val="accent4">
                <a:hueOff val="8316554"/>
                <a:satOff val="-38374"/>
                <a:lumOff val="1412"/>
                <a:alphaOff val="0"/>
                <a:satMod val="103000"/>
                <a:lumMod val="102000"/>
                <a:tint val="94000"/>
              </a:schemeClr>
            </a:gs>
            <a:gs pos="50000">
              <a:schemeClr val="accent4">
                <a:hueOff val="8316554"/>
                <a:satOff val="-38374"/>
                <a:lumOff val="1412"/>
                <a:alphaOff val="0"/>
                <a:satMod val="110000"/>
                <a:lumMod val="100000"/>
                <a:shade val="100000"/>
              </a:schemeClr>
            </a:gs>
            <a:gs pos="100000">
              <a:schemeClr val="accent4">
                <a:hueOff val="8316554"/>
                <a:satOff val="-38374"/>
                <a:lumOff val="1412"/>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ctr" anchorCtr="0">
          <a:noAutofit/>
        </a:bodyPr>
        <a:lstStyle/>
        <a:p>
          <a:pPr marL="0" lvl="0" indent="0" algn="ctr" defTabSz="355600">
            <a:lnSpc>
              <a:spcPct val="90000"/>
            </a:lnSpc>
            <a:spcBef>
              <a:spcPct val="0"/>
            </a:spcBef>
            <a:spcAft>
              <a:spcPct val="35000"/>
            </a:spcAft>
            <a:buNone/>
          </a:pPr>
          <a:r>
            <a:rPr lang="es-ES" sz="800" b="1" kern="1200">
              <a:solidFill>
                <a:srgbClr val="000000"/>
              </a:solidFill>
            </a:rPr>
            <a:t>9. Revisión de respuesta</a:t>
          </a:r>
        </a:p>
      </dsp:txBody>
      <dsp:txXfrm>
        <a:off x="968" y="1921414"/>
        <a:ext cx="1037385" cy="622431"/>
      </dsp:txXfrm>
    </dsp:sp>
    <dsp:sp modelId="{F13EDFF0-2009-2C41-8FEB-AFAAC2F37077}">
      <dsp:nvSpPr>
        <dsp:cNvPr id="0" name=""/>
        <dsp:cNvSpPr/>
      </dsp:nvSpPr>
      <dsp:spPr>
        <a:xfrm>
          <a:off x="2312538" y="2186909"/>
          <a:ext cx="207998" cy="91440"/>
        </a:xfrm>
        <a:custGeom>
          <a:avLst/>
          <a:gdLst/>
          <a:ahLst/>
          <a:cxnLst/>
          <a:rect l="0" t="0" r="0" b="0"/>
          <a:pathLst>
            <a:path>
              <a:moveTo>
                <a:pt x="0" y="45720"/>
              </a:moveTo>
              <a:lnTo>
                <a:pt x="207998" y="45720"/>
              </a:lnTo>
            </a:path>
          </a:pathLst>
        </a:custGeom>
        <a:noFill/>
        <a:ln w="6350" cap="flat" cmpd="sng" algn="ctr">
          <a:solidFill>
            <a:schemeClr val="accent4">
              <a:hueOff val="10395692"/>
              <a:satOff val="-47968"/>
              <a:lumOff val="1765"/>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s-ES" sz="500" b="1" kern="1200">
            <a:solidFill>
              <a:srgbClr val="000000"/>
            </a:solidFill>
          </a:endParaRPr>
        </a:p>
      </dsp:txBody>
      <dsp:txXfrm>
        <a:off x="2410572" y="2231436"/>
        <a:ext cx="11929" cy="2385"/>
      </dsp:txXfrm>
    </dsp:sp>
    <dsp:sp modelId="{15453980-9AD0-0A4B-A978-3ADF800F70AC}">
      <dsp:nvSpPr>
        <dsp:cNvPr id="0" name=""/>
        <dsp:cNvSpPr/>
      </dsp:nvSpPr>
      <dsp:spPr>
        <a:xfrm>
          <a:off x="1276952" y="1921414"/>
          <a:ext cx="1037385" cy="622431"/>
        </a:xfrm>
        <a:prstGeom prst="rect">
          <a:avLst/>
        </a:prstGeom>
        <a:gradFill rotWithShape="0">
          <a:gsLst>
            <a:gs pos="0">
              <a:schemeClr val="accent4">
                <a:hueOff val="9356123"/>
                <a:satOff val="-43171"/>
                <a:lumOff val="1589"/>
                <a:alphaOff val="0"/>
                <a:satMod val="103000"/>
                <a:lumMod val="102000"/>
                <a:tint val="94000"/>
              </a:schemeClr>
            </a:gs>
            <a:gs pos="50000">
              <a:schemeClr val="accent4">
                <a:hueOff val="9356123"/>
                <a:satOff val="-43171"/>
                <a:lumOff val="1589"/>
                <a:alphaOff val="0"/>
                <a:satMod val="110000"/>
                <a:lumMod val="100000"/>
                <a:shade val="100000"/>
              </a:schemeClr>
            </a:gs>
            <a:gs pos="100000">
              <a:schemeClr val="accent4">
                <a:hueOff val="9356123"/>
                <a:satOff val="-43171"/>
                <a:lumOff val="1589"/>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ctr" anchorCtr="0">
          <a:noAutofit/>
        </a:bodyPr>
        <a:lstStyle/>
        <a:p>
          <a:pPr marL="0" lvl="0" indent="0" algn="ctr" defTabSz="355600">
            <a:lnSpc>
              <a:spcPct val="90000"/>
            </a:lnSpc>
            <a:spcBef>
              <a:spcPct val="0"/>
            </a:spcBef>
            <a:spcAft>
              <a:spcPct val="35000"/>
            </a:spcAft>
            <a:buNone/>
          </a:pPr>
          <a:r>
            <a:rPr lang="es-ES" sz="800" b="1" kern="1200">
              <a:solidFill>
                <a:srgbClr val="000000"/>
              </a:solidFill>
            </a:rPr>
            <a:t>10. Repuesta no aceptada</a:t>
          </a:r>
        </a:p>
      </dsp:txBody>
      <dsp:txXfrm>
        <a:off x="1276952" y="1921414"/>
        <a:ext cx="1037385" cy="622431"/>
      </dsp:txXfrm>
    </dsp:sp>
    <dsp:sp modelId="{24853918-F1C6-7540-BDF6-714FA2AB0C73}">
      <dsp:nvSpPr>
        <dsp:cNvPr id="0" name=""/>
        <dsp:cNvSpPr/>
      </dsp:nvSpPr>
      <dsp:spPr>
        <a:xfrm>
          <a:off x="2552936" y="1921414"/>
          <a:ext cx="1037385" cy="622431"/>
        </a:xfrm>
        <a:prstGeom prst="rect">
          <a:avLst/>
        </a:prstGeom>
        <a:gradFill rotWithShape="0">
          <a:gsLst>
            <a:gs pos="0">
              <a:schemeClr val="accent4">
                <a:hueOff val="10395692"/>
                <a:satOff val="-47968"/>
                <a:lumOff val="1765"/>
                <a:alphaOff val="0"/>
                <a:satMod val="103000"/>
                <a:lumMod val="102000"/>
                <a:tint val="94000"/>
              </a:schemeClr>
            </a:gs>
            <a:gs pos="50000">
              <a:schemeClr val="accent4">
                <a:hueOff val="10395692"/>
                <a:satOff val="-47968"/>
                <a:lumOff val="1765"/>
                <a:alphaOff val="0"/>
                <a:satMod val="110000"/>
                <a:lumMod val="100000"/>
                <a:shade val="100000"/>
              </a:schemeClr>
            </a:gs>
            <a:gs pos="100000">
              <a:schemeClr val="accent4">
                <a:hueOff val="10395692"/>
                <a:satOff val="-47968"/>
                <a:lumOff val="1765"/>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ctr" anchorCtr="0">
          <a:noAutofit/>
        </a:bodyPr>
        <a:lstStyle/>
        <a:p>
          <a:pPr marL="0" lvl="0" indent="0" algn="ctr" defTabSz="355600">
            <a:lnSpc>
              <a:spcPct val="90000"/>
            </a:lnSpc>
            <a:spcBef>
              <a:spcPct val="0"/>
            </a:spcBef>
            <a:spcAft>
              <a:spcPct val="35000"/>
            </a:spcAft>
            <a:buNone/>
          </a:pPr>
          <a:r>
            <a:rPr lang="es-ES" sz="800" b="1" kern="1200">
              <a:solidFill>
                <a:srgbClr val="000000"/>
              </a:solidFill>
            </a:rPr>
            <a:t>11. Cierre</a:t>
          </a:r>
        </a:p>
      </dsp:txBody>
      <dsp:txXfrm>
        <a:off x="2552936" y="1921414"/>
        <a:ext cx="1037385" cy="622431"/>
      </dsp:txXfrm>
    </dsp:sp>
  </dsp:spTree>
</dsp:drawing>
</file>

<file path=word/diagrams/layout1.xml><?xml version="1.0" encoding="utf-8"?>
<dgm:layoutDef xmlns:dgm="http://schemas.openxmlformats.org/drawingml/2006/diagram" xmlns:a="http://schemas.openxmlformats.org/drawingml/2006/main" uniqueId="urn:microsoft.com/office/officeart/2005/8/layout/target3">
  <dgm:title val=""/>
  <dgm:desc val=""/>
  <dgm:catLst>
    <dgm:cat type="relationship" pri="11000"/>
    <dgm:cat type="list" pri="22000"/>
    <dgm:cat type="convert" pri="4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ampData>
  <dgm:styleData>
    <dgm:dataModel>
      <dgm:ptLst>
        <dgm:pt modelId="0" type="doc"/>
        <dgm:pt modelId="1"/>
        <dgm:pt modelId="11"/>
        <dgm:pt modelId="12"/>
        <dgm:pt modelId="2"/>
        <dgm:pt modelId="21"/>
        <dgm:pt modelId="22"/>
        <dgm:pt modelId="3"/>
        <dgm:pt modelId="31"/>
        <dgm:pt modelId="32"/>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tyleData>
  <dgm:clrData>
    <dgm:dataModel>
      <dgm:ptLst>
        <dgm:pt modelId="0" type="doc"/>
        <dgm:pt modelId="1"/>
        <dgm:pt modelId="11"/>
        <dgm:pt modelId="12"/>
        <dgm:pt modelId="2"/>
        <dgm:pt modelId="21"/>
        <dgm:pt modelId="22"/>
        <dgm:pt modelId="3"/>
        <dgm:pt modelId="31"/>
        <dgm:pt modelId="32"/>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clrData>
  <dgm:layoutNode name="Name0">
    <dgm:varLst>
      <dgm:chMax val="7"/>
      <dgm:dir/>
      <dgm:animLvl val="lvl"/>
      <dgm:resizeHandles val="exact"/>
    </dgm:varLst>
    <dgm:alg type="composite"/>
    <dgm:shape xmlns:r="http://schemas.openxmlformats.org/officeDocument/2006/relationships" r:blip="">
      <dgm:adjLst/>
    </dgm:shape>
    <dgm:presOf/>
    <dgm:choose name="Name1">
      <dgm:if name="Name2" func="var" arg="dir" op="equ" val="norm">
        <dgm:choose name="Name3">
          <dgm:if name="Name4" axis="ch" ptType="node" func="cnt" op="equ" val="1">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rect1ParTx" refType="r" refFor="ch" refForName="space"/>
              <dgm:constr type="w" for="ch" forName="rect1ParTx" refType="w" refFor="ch" refForName="rect1" fact="0.5"/>
              <dgm:constr type="t" for="ch" forName="rect1ParTx" refType="t" refFor="ch" refForName="rect1"/>
              <dgm:constr type="b" for="ch" forName="rect1ParTx" refType="b" refFor="ch" refForName="rect1"/>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b" refFor="ch" refForName="rect1"/>
              <dgm:constr type="primFontSz" for="ch" op="equ" val="65"/>
              <dgm:constr type="secFontSz" for="ch" op="equ" val="65"/>
            </dgm:constrLst>
          </dgm:if>
          <dgm:if name="Name5" axis="ch" ptType="node" func="cnt" op="equ" val="2">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5"/>
              <dgm:constr type="hOff" for="ch" forName="circle2" refType="h" refFor="ch" refForName="vertSpace2" fact="-0.5"/>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rect2ParTx" refType="r" refFor="ch" refForName="space"/>
              <dgm:constr type="w" for="ch" forName="rect2ParTx" refType="w" refFor="ch" refForName="rect2" fact="0.5"/>
              <dgm:constr type="t" for="ch" forName="rect2ParTx" refType="t" refFor="ch" refForName="rect2"/>
              <dgm:constr type="b" for="ch" forName="rect2ParTx" refType="b" refFor="ch" refForName="rect2"/>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b" refFor="ch" refForName="rect2"/>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primFontSz" for="ch" op="equ" val="65"/>
              <dgm:constr type="secFontSz" for="ch" op="equ" val="65"/>
            </dgm:constrLst>
          </dgm:if>
          <dgm:if name="Name6" axis="ch" ptType="node" func="cnt" op="equ" val="3">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66667"/>
              <dgm:constr type="hOff" for="ch" forName="circle2" refType="h" refFor="ch" refForName="vertSpace2" fact="-0.33333"/>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33333"/>
              <dgm:constr type="hOff" for="ch" forName="circle3" refType="h" refFor="ch" refForName="vertSpace2" fact="-0.66667"/>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rect3ParTx" refType="r" refFor="ch" refForName="space"/>
              <dgm:constr type="w" for="ch" forName="rect3ParTx" refType="w" refFor="ch" refForName="rect3" fact="0.5"/>
              <dgm:constr type="t" for="ch" forName="rect3ParTx" refType="t" refFor="ch" refForName="rect3"/>
              <dgm:constr type="b" for="ch" forName="rect3ParTx" refType="b" refFor="ch" refForName="rect3"/>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b" refFor="ch" refForName="rect3"/>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primFontSz" for="ch" op="equ" val="65"/>
              <dgm:constr type="secFontSz" for="ch" op="equ" val="65"/>
            </dgm:constrLst>
          </dgm:if>
          <dgm:if name="Name7" axis="ch" ptType="node" func="cnt" op="equ" val="4">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75"/>
              <dgm:constr type="hOff" for="ch" forName="circle2" refType="h" refFor="ch" refForName="vertSpace2" fact="-0.25"/>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5"/>
              <dgm:constr type="hOff" for="ch" forName="circle3" refType="h" refFor="ch" refForName="vertSpace2" fact="-0.5"/>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25"/>
              <dgm:constr type="hOff" for="ch" forName="circle4" refType="h" refFor="ch" refForName="vertSpace2" fact="-0.75"/>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rect4ParTx" refType="r" refFor="ch" refForName="space"/>
              <dgm:constr type="w" for="ch" forName="rect4ParTx" refType="w" refFor="ch" refForName="rect4" fact="0.5"/>
              <dgm:constr type="t" for="ch" forName="rect4ParTx" refType="t" refFor="ch" refForName="rect4"/>
              <dgm:constr type="b" for="ch" forName="rect4ParTx" refType="b" refFor="ch" refForName="rect4"/>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b" refFor="ch" refForName="rect4"/>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primFontSz" for="ch" op="equ" val="65"/>
              <dgm:constr type="secFontSz" for="ch" op="equ" val="65"/>
            </dgm:constrLst>
          </dgm:if>
          <dgm:if name="Name8" axis="ch" ptType="node" func="cnt" op="equ" val="5">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8"/>
              <dgm:constr type="hOff" for="ch" forName="circle2" refType="h" refFor="ch" refForName="vertSpace2" fact="-0.2"/>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6"/>
              <dgm:constr type="hOff" for="ch" forName="circle3" refType="h" refFor="ch" refForName="vertSpace2" fact="-0.4"/>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4"/>
              <dgm:constr type="hOff" for="ch" forName="circle4" refType="h" refFor="ch" refForName="vertSpace2" fact="-0.6"/>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l" refFor="ch" refForName="space"/>
              <dgm:constr type="h" for="ch" forName="circle5" refType="h" refFor="ch" refForName="circle1" fact="0.2"/>
              <dgm:constr type="hOff" for="ch" forName="circle5" refType="h" refFor="ch" refForName="vertSpace2" fact="-0.8"/>
              <dgm:constr type="w" for="ch" forName="circle5" refType="h" refFor="ch" refForName="circle5" op="equ"/>
              <dgm:constr type="wOff" for="ch" forName="circle5" refType="hOff" refFor="ch" refForName="circle5" op="equ"/>
              <dgm:constr type="b" for="ch" forName="circle5" refType="t" refFor="ch" refForName="vertSpace5"/>
              <dgm:constr type="l" for="ch" forName="rect5" refType="r" refFor="ch" refForName="space"/>
              <dgm:constr type="r" for="ch" forName="rect5" refType="w"/>
              <dgm:constr type="h" for="ch" forName="rect5" refType="h" refFor="ch" refForName="circle5"/>
              <dgm:constr type="hOff" for="ch" forName="rect5" refType="hOff" refFor="ch" refForName="circle5"/>
              <dgm:constr type="b" for="ch" forName="rect5" refType="b" refFor="ch" refForName="circle5"/>
              <dgm:constr type="l" for="ch" forName="rect5ParTx" refType="r" refFor="ch" refForName="space"/>
              <dgm:constr type="w" for="ch" forName="rect5ParTx" refType="w" refFor="ch" refForName="rect5" fact="0.5"/>
              <dgm:constr type="t" for="ch" forName="rect5ParTx" refType="t" refFor="ch" refForName="rect5"/>
              <dgm:constr type="b" for="ch" forName="rect5ParTx" refType="b" refFor="ch" refForName="rect5"/>
              <dgm:constr type="l" for="ch" forName="rect5ChTx" refType="r" refFor="ch" refForName="rect5ParTx"/>
              <dgm:constr type="w" for="ch" forName="rect5ChTx" refType="w" refFor="ch" refForName="rect5ParTx"/>
              <dgm:constr type="t" for="ch" forName="rect5ChTx" refType="t" refFor="ch" refForName="rect5ParTx"/>
              <dgm:constr type="b" for="ch" forName="rect5ChTx" refType="b" refFor="ch" refForName="rect5ParTx"/>
              <dgm:constr type="l" for="ch" forName="rect5ParTxNoCh" refType="r" refFor="ch" refForName="space"/>
              <dgm:constr type="w" for="ch" forName="rect5ParTxNoCh" refType="w" refFor="ch" refForName="rect5"/>
              <dgm:constr type="t" for="ch" forName="rect5ParTxNoCh" refType="t" refFor="ch" refForName="rect5"/>
              <dgm:constr type="b" for="ch" forName="rect5ParTxNoCh" refType="b" refFor="ch" refForName="rect5"/>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l" for="ch" forName="rect4ParTx" refType="r" refFor="ch" refForName="space"/>
              <dgm:constr type="w" for="ch" forName="rect4ParTx" refType="w" refFor="ch" refForName="rect4" fact="0.5"/>
              <dgm:constr type="t" for="ch" forName="rect4ParTx" refType="t" refFor="ch" refForName="rect4"/>
              <dgm:constr type="b" for="ch" forName="rect4ParTx" refType="t" refFor="ch" refForName="rect5"/>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t" refFor="ch" refForName="rect5"/>
              <dgm:constr type="primFontSz" for="ch" op="equ" val="65"/>
              <dgm:constr type="secFontSz" for="ch" op="equ" val="65"/>
            </dgm:constrLst>
          </dgm:if>
          <dgm:if name="Name9" axis="ch" ptType="node" func="cnt" op="equ" val="6">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83333"/>
              <dgm:constr type="hOff" for="ch" forName="circle2" refType="h" refFor="ch" refForName="vertSpace2" fact="-0.16667"/>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66667"/>
              <dgm:constr type="hOff" for="ch" forName="circle3" refType="h" refFor="ch" refForName="vertSpace2" fact="-0.33333"/>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5"/>
              <dgm:constr type="hOff" for="ch" forName="circle4" refType="h" refFor="ch" refForName="vertSpace2" fact="-0.5"/>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l" refFor="ch" refForName="space"/>
              <dgm:constr type="h" for="ch" forName="circle5" refType="h" refFor="ch" refForName="circle1" fact="0.33333"/>
              <dgm:constr type="hOff" for="ch" forName="circle5" refType="h" refFor="ch" refForName="vertSpace2" fact="-0.66667"/>
              <dgm:constr type="w" for="ch" forName="circle5" refType="h" refFor="ch" refForName="circle5" op="equ"/>
              <dgm:constr type="wOff" for="ch" forName="circle5" refType="hOff" refFor="ch" refForName="circle5" op="equ"/>
              <dgm:constr type="b" for="ch" forName="circle5" refType="t" refFor="ch" refForName="vertSpace5"/>
              <dgm:constr type="l" for="ch" forName="rect5" refType="r" refFor="ch" refForName="space"/>
              <dgm:constr type="r" for="ch" forName="rect5" refType="w"/>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l" refFor="ch" refForName="space"/>
              <dgm:constr type="h" for="ch" forName="circle6" refType="h" refFor="ch" refForName="circle1" fact="0.16667"/>
              <dgm:constr type="hOff" for="ch" forName="circle6" refType="h" refFor="ch" refForName="vertSpace2" fact="-0.83333"/>
              <dgm:constr type="w" for="ch" forName="circle6" refType="h" refFor="ch" refForName="circle6" op="equ"/>
              <dgm:constr type="wOff" for="ch" forName="circle6" refType="hOff" refFor="ch" refForName="circle6" op="equ"/>
              <dgm:constr type="b" for="ch" forName="circle6" refType="t" refFor="ch" refForName="vertSpace6"/>
              <dgm:constr type="l" for="ch" forName="rect6" refType="r" refFor="ch" refForName="space"/>
              <dgm:constr type="r" for="ch" forName="rect6" refType="w"/>
              <dgm:constr type="h" for="ch" forName="rect6" refType="h" refFor="ch" refForName="circle6"/>
              <dgm:constr type="hOff" for="ch" forName="rect6" refType="hOff" refFor="ch" refForName="circle6"/>
              <dgm:constr type="b" for="ch" forName="rect6" refType="b" refFor="ch" refForName="circle6"/>
              <dgm:constr type="l" for="ch" forName="rect6ParTx" refType="r" refFor="ch" refForName="space"/>
              <dgm:constr type="w" for="ch" forName="rect6ParTx" refType="w" refFor="ch" refForName="rect6" fact="0.5"/>
              <dgm:constr type="t" for="ch" forName="rect6ParTx" refType="t" refFor="ch" refForName="rect6"/>
              <dgm:constr type="b" for="ch" forName="rect6ParTx" refType="b" refFor="ch" refForName="rect6"/>
              <dgm:constr type="l" for="ch" forName="rect6ChTx" refType="r" refFor="ch" refForName="rect6ParTx"/>
              <dgm:constr type="w" for="ch" forName="rect6ChTx" refType="w" refFor="ch" refForName="rect6ParTx"/>
              <dgm:constr type="t" for="ch" forName="rect6ChTx" refType="t" refFor="ch" refForName="rect6ParTx"/>
              <dgm:constr type="b" for="ch" forName="rect6ChTx" refType="b" refFor="ch" refForName="rect6ParTx"/>
              <dgm:constr type="l" for="ch" forName="rect6ParTxNoCh" refType="r" refFor="ch" refForName="space"/>
              <dgm:constr type="w" for="ch" forName="rect6ParTxNoCh" refType="w" refFor="ch" refForName="rect6"/>
              <dgm:constr type="t" for="ch" forName="rect6ParTxNoCh" refType="t" refFor="ch" refForName="rect6"/>
              <dgm:constr type="b" for="ch" forName="rect6ParTxNoCh" refType="b" refFor="ch" refForName="rect6"/>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l" for="ch" forName="rect4ParTx" refType="r" refFor="ch" refForName="space"/>
              <dgm:constr type="w" for="ch" forName="rect4ParTx" refType="w" refFor="ch" refForName="rect4" fact="0.5"/>
              <dgm:constr type="t" for="ch" forName="rect4ParTx" refType="t" refFor="ch" refForName="rect4"/>
              <dgm:constr type="b" for="ch" forName="rect4ParTx" refType="t" refFor="ch" refForName="rect5"/>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t" refFor="ch" refForName="rect5"/>
              <dgm:constr type="l" for="ch" forName="rect5ParTx" refType="r" refFor="ch" refForName="space"/>
              <dgm:constr type="w" for="ch" forName="rect5ParTx" refType="w" refFor="ch" refForName="rect5" fact="0.5"/>
              <dgm:constr type="t" for="ch" forName="rect5ParTx" refType="t" refFor="ch" refForName="rect5"/>
              <dgm:constr type="b" for="ch" forName="rect5ParTx" refType="t" refFor="ch" refForName="rect6"/>
              <dgm:constr type="l" for="ch" forName="rect5ChTx" refType="r" refFor="ch" refForName="rect5ParTx"/>
              <dgm:constr type="w" for="ch" forName="rect5ChTx" refType="w" refFor="ch" refForName="rect5ParTx"/>
              <dgm:constr type="t" for="ch" forName="rect5ChTx" refType="t" refFor="ch" refForName="rect5ParTx"/>
              <dgm:constr type="b" for="ch" forName="rect5ChTx" refType="b" refFor="ch" refForName="rect5ParTx"/>
              <dgm:constr type="l" for="ch" forName="rect5ParTxNoCh" refType="r" refFor="ch" refForName="space"/>
              <dgm:constr type="w" for="ch" forName="rect5ParTxNoCh" refType="w" refFor="ch" refForName="rect5"/>
              <dgm:constr type="t" for="ch" forName="rect5ParTxNoCh" refType="t" refFor="ch" refForName="rect5"/>
              <dgm:constr type="b" for="ch" forName="rect5ParTxNoCh" refType="t" refFor="ch" refForName="rect6"/>
              <dgm:constr type="primFontSz" for="ch" op="equ" val="65"/>
              <dgm:constr type="secFontSz" for="ch" op="equ" val="65"/>
            </dgm:constrLst>
          </dgm:if>
          <dgm:if name="Name10" axis="ch" ptType="node" func="cnt" op="gte" val="7">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85714"/>
              <dgm:constr type="hOff" for="ch" forName="circle2" refType="h" refFor="ch" refForName="vertSpace2" fact="-0.14286"/>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71429"/>
              <dgm:constr type="hOff" for="ch" forName="circle3" refType="h" refFor="ch" refForName="vertSpace2" fact="-0.28571"/>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57143"/>
              <dgm:constr type="hOff" for="ch" forName="circle4" refType="h" refFor="ch" refForName="vertSpace2" fact="-0.42857"/>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l" refFor="ch" refForName="space"/>
              <dgm:constr type="h" for="ch" forName="circle5" refType="h" refFor="ch" refForName="circle1" fact="0.42857"/>
              <dgm:constr type="hOff" for="ch" forName="circle5" refType="h" refFor="ch" refForName="vertSpace2" fact="-0.57143"/>
              <dgm:constr type="w" for="ch" forName="circle5" refType="h" refFor="ch" refForName="circle5" op="equ"/>
              <dgm:constr type="wOff" for="ch" forName="circle5" refType="hOff" refFor="ch" refForName="circle5" op="equ"/>
              <dgm:constr type="b" for="ch" forName="circle5" refType="t" refFor="ch" refForName="vertSpace5"/>
              <dgm:constr type="l" for="ch" forName="rect5" refType="r" refFor="ch" refForName="space"/>
              <dgm:constr type="r" for="ch" forName="rect5" refType="w"/>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l" refFor="ch" refForName="space"/>
              <dgm:constr type="h" for="ch" forName="circle6" refType="h" refFor="ch" refForName="circle1" fact="0.28571"/>
              <dgm:constr type="hOff" for="ch" forName="circle6" refType="h" refFor="ch" refForName="vertSpace2" fact="-0.71429"/>
              <dgm:constr type="w" for="ch" forName="circle6" refType="h" refFor="ch" refForName="circle6" op="equ"/>
              <dgm:constr type="wOff" for="ch" forName="circle6" refType="hOff" refFor="ch" refForName="circle6" op="equ"/>
              <dgm:constr type="b" for="ch" forName="circle6" refType="t" refFor="ch" refForName="vertSpace6"/>
              <dgm:constr type="l" for="ch" forName="rect6" refType="r" refFor="ch" refForName="space"/>
              <dgm:constr type="r" for="ch" forName="rect6" refType="w"/>
              <dgm:constr type="h" for="ch" forName="rect6" refType="h" refFor="ch" refForName="circle6"/>
              <dgm:constr type="hOff" for="ch" forName="rect6" refType="hOff" refFor="ch" refForName="circle6"/>
              <dgm:constr type="b" for="ch" forName="rect6" refType="b" refFor="ch" refForName="circle6"/>
              <dgm:constr type="l" for="ch" forName="vertSpace7"/>
              <dgm:constr type="w" for="ch" forName="vertSpace7" refType="w"/>
              <dgm:constr type="h" for="ch" forName="vertSpace7" refType="h" refFor="ch" refForName="vertSpace6"/>
              <dgm:constr type="b" for="ch" forName="vertSpace7" refType="t" refFor="ch" refForName="vertSpace6"/>
              <dgm:constr type="ctrX" for="ch" forName="circle7" refType="l" refFor="ch" refForName="space"/>
              <dgm:constr type="h" for="ch" forName="circle7" refType="h" refFor="ch" refForName="circle1" fact="0.14286"/>
              <dgm:constr type="hOff" for="ch" forName="circle7" refType="h" refFor="ch" refForName="vertSpace2" fact="-0.85714"/>
              <dgm:constr type="w" for="ch" forName="circle7" refType="h" refFor="ch" refForName="circle7" op="equ"/>
              <dgm:constr type="wOff" for="ch" forName="circle7" refType="hOff" refFor="ch" refForName="circle7" op="equ"/>
              <dgm:constr type="b" for="ch" forName="circle7" refType="t" refFor="ch" refForName="vertSpace7"/>
              <dgm:constr type="l" for="ch" forName="rect7" refType="r" refFor="ch" refForName="space"/>
              <dgm:constr type="r" for="ch" forName="rect7" refType="w"/>
              <dgm:constr type="h" for="ch" forName="rect7" refType="h" refFor="ch" refForName="circle7"/>
              <dgm:constr type="hOff" for="ch" forName="rect7" refType="hOff" refFor="ch" refForName="circle7"/>
              <dgm:constr type="b" for="ch" forName="rect7" refType="b" refFor="ch" refForName="circle7"/>
              <dgm:constr type="l" for="ch" forName="rect7ParTx" refType="r" refFor="ch" refForName="space"/>
              <dgm:constr type="w" for="ch" forName="rect7ParTx" refType="w" refFor="ch" refForName="rect7" fact="0.5"/>
              <dgm:constr type="t" for="ch" forName="rect7ParTx" refType="t" refFor="ch" refForName="rect7"/>
              <dgm:constr type="b" for="ch" forName="rect7ParTx" refType="b" refFor="ch" refForName="rect7"/>
              <dgm:constr type="l" for="ch" forName="rect7ChTx" refType="r" refFor="ch" refForName="rect7ParTx"/>
              <dgm:constr type="w" for="ch" forName="rect7ChTx" refType="w" refFor="ch" refForName="rect7ParTx"/>
              <dgm:constr type="t" for="ch" forName="rect7ChTx" refType="t" refFor="ch" refForName="rect7ParTx"/>
              <dgm:constr type="b" for="ch" forName="rect7ChTx" refType="b" refFor="ch" refForName="rect7ParTx"/>
              <dgm:constr type="l" for="ch" forName="rect7ParTxNoCh" refType="r" refFor="ch" refForName="space"/>
              <dgm:constr type="w" for="ch" forName="rect7ParTxNoCh" refType="w" refFor="ch" refForName="rect7"/>
              <dgm:constr type="t" for="ch" forName="rect7ParTxNoCh" refType="t" refFor="ch" refForName="rect7"/>
              <dgm:constr type="b" for="ch" forName="rect7ParTxNoCh" refType="b" refFor="ch" refForName="rect7"/>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l" for="ch" forName="rect4ParTx" refType="r" refFor="ch" refForName="space"/>
              <dgm:constr type="w" for="ch" forName="rect4ParTx" refType="w" refFor="ch" refForName="rect4" fact="0.5"/>
              <dgm:constr type="t" for="ch" forName="rect4ParTx" refType="t" refFor="ch" refForName="rect4"/>
              <dgm:constr type="b" for="ch" forName="rect4ParTx" refType="t" refFor="ch" refForName="rect5"/>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t" refFor="ch" refForName="rect5"/>
              <dgm:constr type="l" for="ch" forName="rect5ParTx" refType="r" refFor="ch" refForName="space"/>
              <dgm:constr type="w" for="ch" forName="rect5ParTx" refType="w" refFor="ch" refForName="rect5" fact="0.5"/>
              <dgm:constr type="t" for="ch" forName="rect5ParTx" refType="t" refFor="ch" refForName="rect5"/>
              <dgm:constr type="b" for="ch" forName="rect5ParTx" refType="t" refFor="ch" refForName="rect6"/>
              <dgm:constr type="l" for="ch" forName="rect5ChTx" refType="r" refFor="ch" refForName="rect5ParTx"/>
              <dgm:constr type="w" for="ch" forName="rect5ChTx" refType="w" refFor="ch" refForName="rect5ParTx"/>
              <dgm:constr type="t" for="ch" forName="rect5ChTx" refType="t" refFor="ch" refForName="rect5ParTx"/>
              <dgm:constr type="b" for="ch" forName="rect5ChTx" refType="b" refFor="ch" refForName="rect5ParTx"/>
              <dgm:constr type="l" for="ch" forName="rect5ParTxNoCh" refType="r" refFor="ch" refForName="space"/>
              <dgm:constr type="w" for="ch" forName="rect5ParTxNoCh" refType="w" refFor="ch" refForName="rect5"/>
              <dgm:constr type="t" for="ch" forName="rect5ParTxNoCh" refType="t" refFor="ch" refForName="rect5"/>
              <dgm:constr type="b" for="ch" forName="rect5ParTxNoCh" refType="t" refFor="ch" refForName="rect6"/>
              <dgm:constr type="l" for="ch" forName="rect6ParTx" refType="r" refFor="ch" refForName="space"/>
              <dgm:constr type="w" for="ch" forName="rect6ParTx" refType="w" refFor="ch" refForName="rect6" fact="0.5"/>
              <dgm:constr type="t" for="ch" forName="rect6ParTx" refType="t" refFor="ch" refForName="rect6"/>
              <dgm:constr type="b" for="ch" forName="rect6ParTx" refType="t" refFor="ch" refForName="rect7"/>
              <dgm:constr type="l" for="ch" forName="rect6ChTx" refType="r" refFor="ch" refForName="rect6ParTx"/>
              <dgm:constr type="w" for="ch" forName="rect6ChTx" refType="w" refFor="ch" refForName="rect6ParTx"/>
              <dgm:constr type="t" for="ch" forName="rect6ChTx" refType="t" refFor="ch" refForName="rect6ParTx"/>
              <dgm:constr type="b" for="ch" forName="rect6ChTx" refType="b" refFor="ch" refForName="rect6ParTx"/>
              <dgm:constr type="l" for="ch" forName="rect6ParTxNoCh" refType="r" refFor="ch" refForName="space"/>
              <dgm:constr type="w" for="ch" forName="rect6ParTxNoCh" refType="w" refFor="ch" refForName="rect6"/>
              <dgm:constr type="t" for="ch" forName="rect6ParTxNoCh" refType="t" refFor="ch" refForName="rect6"/>
              <dgm:constr type="b" for="ch" forName="rect6ParTxNoCh" refType="t" refFor="ch" refForName="rect7"/>
              <dgm:constr type="primFontSz" for="ch" op="equ" val="65"/>
              <dgm:constr type="secFontSz" for="ch" op="equ" val="65"/>
            </dgm:constrLst>
          </dgm:if>
          <dgm:else name="Name11">
            <dgm:constrLst/>
          </dgm:else>
        </dgm:choose>
      </dgm:if>
      <dgm:else name="Name12">
        <dgm:choose name="Name13">
          <dgm:if name="Name14" axis="ch" ptType="node" func="cnt" op="equ" val="1">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r" for="ch" forName="rect1ParTx" refType="l" refFor="ch" refForName="space"/>
              <dgm:constr type="w" for="ch" forName="rect1ParTx" refType="w" refFor="ch" refForName="rect1" fact="0.5"/>
              <dgm:constr type="t" for="ch" forName="rect1ParTx" refType="t" refFor="ch" refForName="rect1"/>
              <dgm:constr type="b" for="ch" forName="rect1ParTx" refType="b" refFor="ch" refForName="rect1"/>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b" refFor="ch" refForName="rect1"/>
              <dgm:constr type="primFontSz" for="ch" op="equ" val="65"/>
              <dgm:constr type="secFontSz" for="ch" op="equ" val="65"/>
            </dgm:constrLst>
          </dgm:if>
          <dgm:if name="Name15" axis="ch" ptType="node" func="cnt" op="equ" val="2">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5"/>
              <dgm:constr type="hOff" for="ch" forName="circle2" refType="h" refFor="ch" refForName="vertSpace2" fact="-0.5"/>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r" for="ch" forName="rect2ParTx" refType="l" refFor="ch" refForName="space"/>
              <dgm:constr type="w" for="ch" forName="rect2ParTx" refType="w" refFor="ch" refForName="rect2" fact="0.5"/>
              <dgm:constr type="t" for="ch" forName="rect2ParTx" refType="t" refFor="ch" refForName="rect2"/>
              <dgm:constr type="b" for="ch" forName="rect2ParTx" refType="b" refFor="ch" refForName="rect2"/>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b" refFor="ch" refForName="rect2"/>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primFontSz" for="ch" op="equ" val="65"/>
              <dgm:constr type="secFontSz" for="ch" op="equ" val="65"/>
            </dgm:constrLst>
          </dgm:if>
          <dgm:if name="Name16" axis="ch" ptType="node" func="cnt" op="equ" val="3">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66667"/>
              <dgm:constr type="hOff" for="ch" forName="circle2" refType="h" refFor="ch" refForName="vertSpace2" fact="-0.33333"/>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33333"/>
              <dgm:constr type="hOff" for="ch" forName="circle3" refType="h" refFor="ch" refForName="vertSpace2" fact="-0.66667"/>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r" for="ch" forName="rect3ParTx" refType="l" refFor="ch" refForName="space"/>
              <dgm:constr type="w" for="ch" forName="rect3ParTx" refType="w" refFor="ch" refForName="rect3" fact="0.5"/>
              <dgm:constr type="t" for="ch" forName="rect3ParTx" refType="t" refFor="ch" refForName="rect3"/>
              <dgm:constr type="b" for="ch" forName="rect3ParTx" refType="b" refFor="ch" refForName="rect3"/>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b" refFor="ch" refForName="rect3"/>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primFontSz" for="ch" op="equ" val="65"/>
              <dgm:constr type="secFontSz" for="ch" op="equ" val="65"/>
            </dgm:constrLst>
          </dgm:if>
          <dgm:if name="Name17" axis="ch" ptType="node" func="cnt" op="equ" val="4">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75"/>
              <dgm:constr type="hOff" for="ch" forName="circle2" refType="h" refFor="ch" refForName="vertSpace2" fact="-0.25"/>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5"/>
              <dgm:constr type="hOff" for="ch" forName="circle3" refType="h" refFor="ch" refForName="vertSpace2" fact="-0.5"/>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25"/>
              <dgm:constr type="hOff" for="ch" forName="circle4" refType="h" refFor="ch" refForName="vertSpace2" fact="-0.75"/>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r" for="ch" forName="rect4ParTx" refType="l" refFor="ch" refForName="space"/>
              <dgm:constr type="w" for="ch" forName="rect4ParTx" refType="w" refFor="ch" refForName="rect4" fact="0.5"/>
              <dgm:constr type="t" for="ch" forName="rect4ParTx" refType="t" refFor="ch" refForName="rect4"/>
              <dgm:constr type="b" for="ch" forName="rect4ParTx" refType="b" refFor="ch" refForName="rect4"/>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b" refFor="ch" refForName="rect4"/>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primFontSz" for="ch" op="equ" val="65"/>
              <dgm:constr type="secFontSz" for="ch" op="equ" val="65"/>
            </dgm:constrLst>
          </dgm:if>
          <dgm:if name="Name18" axis="ch" ptType="node" func="cnt" op="equ" val="5">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8"/>
              <dgm:constr type="hOff" for="ch" forName="circle2" refType="h" refFor="ch" refForName="vertSpace2" fact="-0.2"/>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6"/>
              <dgm:constr type="hOff" for="ch" forName="circle3" refType="h" refFor="ch" refForName="vertSpace2" fact="-0.4"/>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4"/>
              <dgm:constr type="hOff" for="ch" forName="circle4" refType="h" refFor="ch" refForName="vertSpace2" fact="-0.6"/>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r" refFor="ch" refForName="space"/>
              <dgm:constr type="h" for="ch" forName="circle5" refType="h" refFor="ch" refForName="circle1" fact="0.2"/>
              <dgm:constr type="hOff" for="ch" forName="circle5" refType="h" refFor="ch" refForName="vertSpace2" fact="-0.8"/>
              <dgm:constr type="w" for="ch" forName="circle5" refType="h" refFor="ch" refForName="circle5" op="equ"/>
              <dgm:constr type="wOff" for="ch" forName="circle5" refType="hOff" refFor="ch" refForName="circle5" op="equ"/>
              <dgm:constr type="b" for="ch" forName="circle5" refType="t" refFor="ch" refForName="vertSpace5"/>
              <dgm:constr type="r" for="ch" forName="rect5" refType="l" refFor="ch" refForName="space"/>
              <dgm:constr type="l" for="ch" forName="rect5"/>
              <dgm:constr type="h" for="ch" forName="rect5" refType="h" refFor="ch" refForName="circle5"/>
              <dgm:constr type="hOff" for="ch" forName="rect5" refType="hOff" refFor="ch" refForName="circle5"/>
              <dgm:constr type="b" for="ch" forName="rect5" refType="b" refFor="ch" refForName="circle5"/>
              <dgm:constr type="r" for="ch" forName="rect5ParTx" refType="l" refFor="ch" refForName="space"/>
              <dgm:constr type="w" for="ch" forName="rect5ParTx" refType="w" refFor="ch" refForName="rect5" fact="0.5"/>
              <dgm:constr type="t" for="ch" forName="rect5ParTx" refType="t" refFor="ch" refForName="rect5"/>
              <dgm:constr type="b" for="ch" forName="rect5ParTx" refType="b" refFor="ch" refForName="rect5"/>
              <dgm:constr type="r" for="ch" forName="rect5ChTx" refType="l" refFor="ch" refForName="rect5ParTx"/>
              <dgm:constr type="w" for="ch" forName="rect5ChTx" refType="w" refFor="ch" refForName="rect5ParTx"/>
              <dgm:constr type="t" for="ch" forName="rect5ChTx" refType="t" refFor="ch" refForName="rect5ParTx"/>
              <dgm:constr type="b" for="ch" forName="rect5ChTx" refType="b" refFor="ch" refForName="rect5ParTx"/>
              <dgm:constr type="r" for="ch" forName="rect5ParTxNoCh" refType="l" refFor="ch" refForName="space"/>
              <dgm:constr type="w" for="ch" forName="rect5ParTxNoCh" refType="w" refFor="ch" refForName="rect5"/>
              <dgm:constr type="t" for="ch" forName="rect5ParTxNoCh" refType="t" refFor="ch" refForName="rect5"/>
              <dgm:constr type="b" for="ch" forName="rect5ParTxNoCh" refType="b" refFor="ch" refForName="rect5"/>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r" for="ch" forName="rect4ParTx" refType="l" refFor="ch" refForName="space"/>
              <dgm:constr type="w" for="ch" forName="rect4ParTx" refType="w" refFor="ch" refForName="rect4" fact="0.5"/>
              <dgm:constr type="t" for="ch" forName="rect4ParTx" refType="t" refFor="ch" refForName="rect4"/>
              <dgm:constr type="b" for="ch" forName="rect4ParTx" refType="t" refFor="ch" refForName="rect5"/>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t" refFor="ch" refForName="rect5"/>
              <dgm:constr type="primFontSz" for="ch" op="equ" val="65"/>
              <dgm:constr type="secFontSz" for="ch" op="equ" val="65"/>
            </dgm:constrLst>
          </dgm:if>
          <dgm:if name="Name19" axis="ch" ptType="node" func="cnt" op="equ" val="6">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83333"/>
              <dgm:constr type="hOff" for="ch" forName="circle2" refType="h" refFor="ch" refForName="vertSpace2" fact="-0.16667"/>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66667"/>
              <dgm:constr type="hOff" for="ch" forName="circle3" refType="h" refFor="ch" refForName="vertSpace2" fact="-0.33333"/>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5"/>
              <dgm:constr type="hOff" for="ch" forName="circle4" refType="h" refFor="ch" refForName="vertSpace2" fact="-0.5"/>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r" refFor="ch" refForName="space"/>
              <dgm:constr type="h" for="ch" forName="circle5" refType="h" refFor="ch" refForName="circle1" fact="0.33333"/>
              <dgm:constr type="hOff" for="ch" forName="circle5" refType="h" refFor="ch" refForName="vertSpace2" fact="-0.66667"/>
              <dgm:constr type="w" for="ch" forName="circle5" refType="h" refFor="ch" refForName="circle5" op="equ"/>
              <dgm:constr type="wOff" for="ch" forName="circle5" refType="hOff" refFor="ch" refForName="circle5" op="equ"/>
              <dgm:constr type="b" for="ch" forName="circle5" refType="t" refFor="ch" refForName="vertSpace5"/>
              <dgm:constr type="r" for="ch" forName="rect5" refType="l" refFor="ch" refForName="space"/>
              <dgm:constr type="l" for="ch" forName="rect5"/>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r" refFor="ch" refForName="space"/>
              <dgm:constr type="h" for="ch" forName="circle6" refType="h" refFor="ch" refForName="circle1" fact="0.16667"/>
              <dgm:constr type="hOff" for="ch" forName="circle6" refType="h" refFor="ch" refForName="vertSpace2" fact="-0.83333"/>
              <dgm:constr type="w" for="ch" forName="circle6" refType="h" refFor="ch" refForName="circle6" op="equ"/>
              <dgm:constr type="wOff" for="ch" forName="circle6" refType="hOff" refFor="ch" refForName="circle6" op="equ"/>
              <dgm:constr type="b" for="ch" forName="circle6" refType="t" refFor="ch" refForName="vertSpace6"/>
              <dgm:constr type="r" for="ch" forName="rect6" refType="l" refFor="ch" refForName="space"/>
              <dgm:constr type="l" for="ch" forName="rect6"/>
              <dgm:constr type="h" for="ch" forName="rect6" refType="h" refFor="ch" refForName="circle6"/>
              <dgm:constr type="hOff" for="ch" forName="rect6" refType="hOff" refFor="ch" refForName="circle6"/>
              <dgm:constr type="b" for="ch" forName="rect6" refType="b" refFor="ch" refForName="circle6"/>
              <dgm:constr type="r" for="ch" forName="rect6ParTx" refType="l" refFor="ch" refForName="space"/>
              <dgm:constr type="w" for="ch" forName="rect6ParTx" refType="w" refFor="ch" refForName="rect6" fact="0.5"/>
              <dgm:constr type="t" for="ch" forName="rect6ParTx" refType="t" refFor="ch" refForName="rect6"/>
              <dgm:constr type="b" for="ch" forName="rect6ParTx" refType="b" refFor="ch" refForName="rect6"/>
              <dgm:constr type="r" for="ch" forName="rect6ChTx" refType="l" refFor="ch" refForName="rect6ParTx"/>
              <dgm:constr type="w" for="ch" forName="rect6ChTx" refType="w" refFor="ch" refForName="rect6ParTx"/>
              <dgm:constr type="t" for="ch" forName="rect6ChTx" refType="t" refFor="ch" refForName="rect6ParTx"/>
              <dgm:constr type="b" for="ch" forName="rect6ChTx" refType="b" refFor="ch" refForName="rect6ParTx"/>
              <dgm:constr type="r" for="ch" forName="rect6ParTxNoCh" refType="l" refFor="ch" refForName="space"/>
              <dgm:constr type="w" for="ch" forName="rect6ParTxNoCh" refType="w" refFor="ch" refForName="rect6"/>
              <dgm:constr type="t" for="ch" forName="rect6ParTxNoCh" refType="t" refFor="ch" refForName="rect6"/>
              <dgm:constr type="b" for="ch" forName="rect6ParTxNoCh" refType="b" refFor="ch" refForName="rect6"/>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r" for="ch" forName="rect4ParTx" refType="l" refFor="ch" refForName="space"/>
              <dgm:constr type="w" for="ch" forName="rect4ParTx" refType="w" refFor="ch" refForName="rect4" fact="0.5"/>
              <dgm:constr type="t" for="ch" forName="rect4ParTx" refType="t" refFor="ch" refForName="rect4"/>
              <dgm:constr type="b" for="ch" forName="rect4ParTx" refType="t" refFor="ch" refForName="rect5"/>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t" refFor="ch" refForName="rect5"/>
              <dgm:constr type="r" for="ch" forName="rect5ParTx" refType="l" refFor="ch" refForName="space"/>
              <dgm:constr type="w" for="ch" forName="rect5ParTx" refType="w" refFor="ch" refForName="rect5" fact="0.5"/>
              <dgm:constr type="t" for="ch" forName="rect5ParTx" refType="t" refFor="ch" refForName="rect5"/>
              <dgm:constr type="b" for="ch" forName="rect5ParTx" refType="t" refFor="ch" refForName="rect6"/>
              <dgm:constr type="r" for="ch" forName="rect5ChTx" refType="l" refFor="ch" refForName="rect5ParTx"/>
              <dgm:constr type="w" for="ch" forName="rect5ChTx" refType="w" refFor="ch" refForName="rect5ParTx"/>
              <dgm:constr type="t" for="ch" forName="rect5ChTx" refType="t" refFor="ch" refForName="rect5ParTx"/>
              <dgm:constr type="b" for="ch" forName="rect5ChTx" refType="b" refFor="ch" refForName="rect5ParTx"/>
              <dgm:constr type="r" for="ch" forName="rect5ParTxNoCh" refType="l" refFor="ch" refForName="space"/>
              <dgm:constr type="w" for="ch" forName="rect5ParTxNoCh" refType="w" refFor="ch" refForName="rect5"/>
              <dgm:constr type="t" for="ch" forName="rect5ParTxNoCh" refType="t" refFor="ch" refForName="rect5"/>
              <dgm:constr type="b" for="ch" forName="rect5ParTxNoCh" refType="t" refFor="ch" refForName="rect6"/>
              <dgm:constr type="primFontSz" for="ch" op="equ" val="65"/>
              <dgm:constr type="secFontSz" for="ch" op="equ" val="65"/>
            </dgm:constrLst>
          </dgm:if>
          <dgm:if name="Name20" axis="ch" ptType="node" func="cnt" op="gte" val="7">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85714"/>
              <dgm:constr type="hOff" for="ch" forName="circle2" refType="h" refFor="ch" refForName="vertSpace2" fact="-0.14286"/>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71429"/>
              <dgm:constr type="hOff" for="ch" forName="circle3" refType="h" refFor="ch" refForName="vertSpace2" fact="-0.28571"/>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57143"/>
              <dgm:constr type="hOff" for="ch" forName="circle4" refType="h" refFor="ch" refForName="vertSpace2" fact="-0.42857"/>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r" refFor="ch" refForName="space"/>
              <dgm:constr type="h" for="ch" forName="circle5" refType="h" refFor="ch" refForName="circle1" fact="0.42857"/>
              <dgm:constr type="hOff" for="ch" forName="circle5" refType="h" refFor="ch" refForName="vertSpace2" fact="-0.57143"/>
              <dgm:constr type="w" for="ch" forName="circle5" refType="h" refFor="ch" refForName="circle5" op="equ"/>
              <dgm:constr type="wOff" for="ch" forName="circle5" refType="hOff" refFor="ch" refForName="circle5" op="equ"/>
              <dgm:constr type="b" for="ch" forName="circle5" refType="t" refFor="ch" refForName="vertSpace5"/>
              <dgm:constr type="r" for="ch" forName="rect5" refType="l" refFor="ch" refForName="space"/>
              <dgm:constr type="l" for="ch" forName="rect5"/>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r" refFor="ch" refForName="space"/>
              <dgm:constr type="h" for="ch" forName="circle6" refType="h" refFor="ch" refForName="circle1" fact="0.28571"/>
              <dgm:constr type="hOff" for="ch" forName="circle6" refType="h" refFor="ch" refForName="vertSpace2" fact="-0.71429"/>
              <dgm:constr type="w" for="ch" forName="circle6" refType="h" refFor="ch" refForName="circle6" op="equ"/>
              <dgm:constr type="wOff" for="ch" forName="circle6" refType="hOff" refFor="ch" refForName="circle6" op="equ"/>
              <dgm:constr type="b" for="ch" forName="circle6" refType="t" refFor="ch" refForName="vertSpace6"/>
              <dgm:constr type="r" for="ch" forName="rect6" refType="l" refFor="ch" refForName="space"/>
              <dgm:constr type="l" for="ch" forName="rect6"/>
              <dgm:constr type="h" for="ch" forName="rect6" refType="h" refFor="ch" refForName="circle6"/>
              <dgm:constr type="hOff" for="ch" forName="rect6" refType="hOff" refFor="ch" refForName="circle6"/>
              <dgm:constr type="b" for="ch" forName="rect6" refType="b" refFor="ch" refForName="circle6"/>
              <dgm:constr type="l" for="ch" forName="vertSpace7"/>
              <dgm:constr type="w" for="ch" forName="vertSpace7" refType="w"/>
              <dgm:constr type="h" for="ch" forName="vertSpace7" refType="h" refFor="ch" refForName="vertSpace6"/>
              <dgm:constr type="b" for="ch" forName="vertSpace7" refType="t" refFor="ch" refForName="vertSpace6"/>
              <dgm:constr type="ctrX" for="ch" forName="circle7" refType="r" refFor="ch" refForName="space"/>
              <dgm:constr type="h" for="ch" forName="circle7" refType="h" refFor="ch" refForName="circle1" fact="0.14286"/>
              <dgm:constr type="hOff" for="ch" forName="circle7" refType="h" refFor="ch" refForName="vertSpace2" fact="-0.85714"/>
              <dgm:constr type="w" for="ch" forName="circle7" refType="h" refFor="ch" refForName="circle7" op="equ"/>
              <dgm:constr type="wOff" for="ch" forName="circle7" refType="hOff" refFor="ch" refForName="circle7" op="equ"/>
              <dgm:constr type="b" for="ch" forName="circle7" refType="t" refFor="ch" refForName="vertSpace7"/>
              <dgm:constr type="r" for="ch" forName="rect7" refType="l" refFor="ch" refForName="space"/>
              <dgm:constr type="l" for="ch" forName="rect7"/>
              <dgm:constr type="h" for="ch" forName="rect7" refType="h" refFor="ch" refForName="circle7"/>
              <dgm:constr type="hOff" for="ch" forName="rect7" refType="hOff" refFor="ch" refForName="circle7"/>
              <dgm:constr type="b" for="ch" forName="rect7" refType="b" refFor="ch" refForName="circle7"/>
              <dgm:constr type="r" for="ch" forName="rect7ParTx" refType="l" refFor="ch" refForName="space"/>
              <dgm:constr type="w" for="ch" forName="rect7ParTx" refType="w" refFor="ch" refForName="rect7" fact="0.5"/>
              <dgm:constr type="t" for="ch" forName="rect7ParTx" refType="t" refFor="ch" refForName="rect7"/>
              <dgm:constr type="b" for="ch" forName="rect7ParTx" refType="b" refFor="ch" refForName="rect7"/>
              <dgm:constr type="r" for="ch" forName="rect7ChTx" refType="l" refFor="ch" refForName="rect7ParTx"/>
              <dgm:constr type="w" for="ch" forName="rect7ChTx" refType="w" refFor="ch" refForName="rect7ParTx"/>
              <dgm:constr type="t" for="ch" forName="rect7ChTx" refType="t" refFor="ch" refForName="rect7ParTx"/>
              <dgm:constr type="b" for="ch" forName="rect7ChTx" refType="b" refFor="ch" refForName="rect7ParTx"/>
              <dgm:constr type="r" for="ch" forName="rect7ParTxNoCh" refType="l" refFor="ch" refForName="space"/>
              <dgm:constr type="w" for="ch" forName="rect7ParTxNoCh" refType="w" refFor="ch" refForName="rect7"/>
              <dgm:constr type="t" for="ch" forName="rect7ParTxNoCh" refType="t" refFor="ch" refForName="rect7"/>
              <dgm:constr type="b" for="ch" forName="rect7ParTxNoCh" refType="b" refFor="ch" refForName="rect7"/>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r" for="ch" forName="rect4ParTx" refType="l" refFor="ch" refForName="space"/>
              <dgm:constr type="w" for="ch" forName="rect4ParTx" refType="w" refFor="ch" refForName="rect4" fact="0.5"/>
              <dgm:constr type="t" for="ch" forName="rect4ParTx" refType="t" refFor="ch" refForName="rect4"/>
              <dgm:constr type="b" for="ch" forName="rect4ParTx" refType="t" refFor="ch" refForName="rect5"/>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t" refFor="ch" refForName="rect5"/>
              <dgm:constr type="r" for="ch" forName="rect5ParTx" refType="l" refFor="ch" refForName="space"/>
              <dgm:constr type="w" for="ch" forName="rect5ParTx" refType="w" refFor="ch" refForName="rect5" fact="0.5"/>
              <dgm:constr type="t" for="ch" forName="rect5ParTx" refType="t" refFor="ch" refForName="rect5"/>
              <dgm:constr type="b" for="ch" forName="rect5ParTx" refType="t" refFor="ch" refForName="rect6"/>
              <dgm:constr type="r" for="ch" forName="rect5ChTx" refType="l" refFor="ch" refForName="rect5ParTx"/>
              <dgm:constr type="w" for="ch" forName="rect5ChTx" refType="w" refFor="ch" refForName="rect5ParTx"/>
              <dgm:constr type="t" for="ch" forName="rect5ChTx" refType="t" refFor="ch" refForName="rect5ParTx"/>
              <dgm:constr type="b" for="ch" forName="rect5ChTx" refType="b" refFor="ch" refForName="rect5ParTx"/>
              <dgm:constr type="r" for="ch" forName="rect5ParTxNoCh" refType="l" refFor="ch" refForName="space"/>
              <dgm:constr type="w" for="ch" forName="rect5ParTxNoCh" refType="w" refFor="ch" refForName="rect5"/>
              <dgm:constr type="t" for="ch" forName="rect5ParTxNoCh" refType="t" refFor="ch" refForName="rect5"/>
              <dgm:constr type="b" for="ch" forName="rect5ParTxNoCh" refType="t" refFor="ch" refForName="rect6"/>
              <dgm:constr type="r" for="ch" forName="rect6ParTx" refType="l" refFor="ch" refForName="space"/>
              <dgm:constr type="w" for="ch" forName="rect6ParTx" refType="w" refFor="ch" refForName="rect6" fact="0.5"/>
              <dgm:constr type="t" for="ch" forName="rect6ParTx" refType="t" refFor="ch" refForName="rect6"/>
              <dgm:constr type="b" for="ch" forName="rect6ParTx" refType="t" refFor="ch" refForName="rect7"/>
              <dgm:constr type="r" for="ch" forName="rect6ChTx" refType="l" refFor="ch" refForName="rect6ParTx"/>
              <dgm:constr type="w" for="ch" forName="rect6ChTx" refType="w" refFor="ch" refForName="rect6ParTx"/>
              <dgm:constr type="t" for="ch" forName="rect6ChTx" refType="t" refFor="ch" refForName="rect6ParTx"/>
              <dgm:constr type="b" for="ch" forName="rect6ChTx" refType="b" refFor="ch" refForName="rect6ParTx"/>
              <dgm:constr type="r" for="ch" forName="rect6ParTxNoCh" refType="l" refFor="ch" refForName="space"/>
              <dgm:constr type="w" for="ch" forName="rect6ParTxNoCh" refType="w" refFor="ch" refForName="rect6"/>
              <dgm:constr type="t" for="ch" forName="rect6ParTxNoCh" refType="t" refFor="ch" refForName="rect6"/>
              <dgm:constr type="b" for="ch" forName="rect6ParTxNoCh" refType="t" refFor="ch" refForName="rect7"/>
              <dgm:constr type="primFontSz" for="ch" op="equ" val="65"/>
              <dgm:constr type="secFontSz" for="ch" op="equ" val="65"/>
            </dgm:constrLst>
          </dgm:if>
          <dgm:else name="Name21">
            <dgm:constrLst/>
          </dgm:else>
        </dgm:choose>
      </dgm:else>
    </dgm:choose>
    <dgm:ruleLst/>
    <dgm:forEach name="Name22" axis="ch" ptType="node" cnt="1">
      <dgm:layoutNode name="circle1" styleLbl="node1">
        <dgm:alg type="sp"/>
        <dgm:choose name="Name23">
          <dgm:if name="Name24" func="var" arg="dir" op="equ" val="norm">
            <dgm:shape xmlns:r="http://schemas.openxmlformats.org/officeDocument/2006/relationships" type="pie" r:blip="">
              <dgm:adjLst>
                <dgm:adj idx="1" val="90"/>
                <dgm:adj idx="2" val="270"/>
              </dgm:adjLst>
            </dgm:shape>
          </dgm:if>
          <dgm:else name="Name25">
            <dgm:shape xmlns:r="http://schemas.openxmlformats.org/officeDocument/2006/relationships" type="pie" r:blip="">
              <dgm:adjLst>
                <dgm:adj idx="1" val="270"/>
                <dgm:adj idx="2" val="90"/>
              </dgm:adjLst>
            </dgm:shape>
          </dgm:else>
        </dgm:choose>
        <dgm:presOf/>
        <dgm:constrLst/>
        <dgm:ruleLst/>
      </dgm:layoutNode>
      <dgm:layoutNode name="space">
        <dgm:alg type="sp"/>
        <dgm:shape xmlns:r="http://schemas.openxmlformats.org/officeDocument/2006/relationships" r:blip="">
          <dgm:adjLst/>
        </dgm:shape>
        <dgm:presOf/>
        <dgm:constrLst/>
        <dgm:ruleLst/>
      </dgm:layoutNode>
      <dgm:layoutNode name="rect1" styleLbl="alignAcc1">
        <dgm:alg type="sp"/>
        <dgm:shape xmlns:r="http://schemas.openxmlformats.org/officeDocument/2006/relationships" type="rect" r:blip="">
          <dgm:adjLst/>
        </dgm:shape>
        <dgm:presOf axis="self"/>
        <dgm:constrLst/>
        <dgm:ruleLst/>
      </dgm:layoutNode>
    </dgm:forEach>
    <dgm:forEach name="Name26" axis="ch" ptType="node" st="2" cnt="1">
      <dgm:layoutNode name="vertSpace2">
        <dgm:alg type="sp"/>
        <dgm:shape xmlns:r="http://schemas.openxmlformats.org/officeDocument/2006/relationships" type="rect" r:blip="" hideGeom="1">
          <dgm:adjLst/>
        </dgm:shape>
        <dgm:presOf/>
        <dgm:constrLst/>
        <dgm:ruleLst/>
      </dgm:layoutNode>
      <dgm:layoutNode name="circle2" styleLbl="node1">
        <dgm:alg type="sp"/>
        <dgm:choose name="Name27">
          <dgm:if name="Name28" func="var" arg="dir" op="equ" val="norm">
            <dgm:shape xmlns:r="http://schemas.openxmlformats.org/officeDocument/2006/relationships" type="pie" r:blip="">
              <dgm:adjLst>
                <dgm:adj idx="1" val="90"/>
                <dgm:adj idx="2" val="270"/>
              </dgm:adjLst>
            </dgm:shape>
          </dgm:if>
          <dgm:else name="Name29">
            <dgm:shape xmlns:r="http://schemas.openxmlformats.org/officeDocument/2006/relationships" type="pie" r:blip="">
              <dgm:adjLst>
                <dgm:adj idx="1" val="270"/>
                <dgm:adj idx="2" val="90"/>
              </dgm:adjLst>
            </dgm:shape>
          </dgm:else>
        </dgm:choose>
        <dgm:presOf/>
        <dgm:constrLst/>
        <dgm:ruleLst/>
      </dgm:layoutNode>
      <dgm:layoutNode name="rect2" styleLbl="alignAcc1">
        <dgm:alg type="sp"/>
        <dgm:shape xmlns:r="http://schemas.openxmlformats.org/officeDocument/2006/relationships" type="rect" r:blip="">
          <dgm:adjLst/>
        </dgm:shape>
        <dgm:presOf axis="self"/>
        <dgm:constrLst/>
        <dgm:ruleLst/>
      </dgm:layoutNode>
    </dgm:forEach>
    <dgm:forEach name="Name30" axis="ch" ptType="node" st="3" cnt="1">
      <dgm:layoutNode name="vertSpace3">
        <dgm:alg type="sp"/>
        <dgm:shape xmlns:r="http://schemas.openxmlformats.org/officeDocument/2006/relationships" type="rect" r:blip="" hideGeom="1">
          <dgm:adjLst/>
        </dgm:shape>
        <dgm:presOf/>
        <dgm:constrLst/>
        <dgm:ruleLst/>
      </dgm:layoutNode>
      <dgm:layoutNode name="circle3" styleLbl="node1">
        <dgm:alg type="sp"/>
        <dgm:choose name="Name31">
          <dgm:if name="Name32" func="var" arg="dir" op="equ" val="norm">
            <dgm:shape xmlns:r="http://schemas.openxmlformats.org/officeDocument/2006/relationships" type="pie" r:blip="">
              <dgm:adjLst>
                <dgm:adj idx="1" val="90"/>
                <dgm:adj idx="2" val="270"/>
              </dgm:adjLst>
            </dgm:shape>
          </dgm:if>
          <dgm:else name="Name33">
            <dgm:shape xmlns:r="http://schemas.openxmlformats.org/officeDocument/2006/relationships" type="pie" r:blip="">
              <dgm:adjLst>
                <dgm:adj idx="1" val="270"/>
                <dgm:adj idx="2" val="90"/>
              </dgm:adjLst>
            </dgm:shape>
          </dgm:else>
        </dgm:choose>
        <dgm:presOf/>
        <dgm:constrLst/>
        <dgm:ruleLst/>
      </dgm:layoutNode>
      <dgm:layoutNode name="rect3" styleLbl="alignAcc1">
        <dgm:alg type="sp"/>
        <dgm:shape xmlns:r="http://schemas.openxmlformats.org/officeDocument/2006/relationships" type="rect" r:blip="">
          <dgm:adjLst/>
        </dgm:shape>
        <dgm:presOf axis="self"/>
        <dgm:constrLst/>
        <dgm:ruleLst/>
      </dgm:layoutNode>
    </dgm:forEach>
    <dgm:forEach name="Name34" axis="ch" ptType="node" st="4" cnt="1">
      <dgm:layoutNode name="vertSpace4">
        <dgm:alg type="sp"/>
        <dgm:shape xmlns:r="http://schemas.openxmlformats.org/officeDocument/2006/relationships" type="rect" r:blip="" hideGeom="1">
          <dgm:adjLst/>
        </dgm:shape>
        <dgm:presOf/>
        <dgm:constrLst/>
        <dgm:ruleLst/>
      </dgm:layoutNode>
      <dgm:layoutNode name="circle4" styleLbl="node1">
        <dgm:alg type="sp"/>
        <dgm:choose name="Name35">
          <dgm:if name="Name36" func="var" arg="dir" op="equ" val="norm">
            <dgm:shape xmlns:r="http://schemas.openxmlformats.org/officeDocument/2006/relationships" type="pie" r:blip="">
              <dgm:adjLst>
                <dgm:adj idx="1" val="90"/>
                <dgm:adj idx="2" val="270"/>
              </dgm:adjLst>
            </dgm:shape>
          </dgm:if>
          <dgm:else name="Name37">
            <dgm:shape xmlns:r="http://schemas.openxmlformats.org/officeDocument/2006/relationships" type="pie" r:blip="">
              <dgm:adjLst>
                <dgm:adj idx="1" val="270"/>
                <dgm:adj idx="2" val="90"/>
              </dgm:adjLst>
            </dgm:shape>
          </dgm:else>
        </dgm:choose>
        <dgm:presOf/>
        <dgm:constrLst/>
        <dgm:ruleLst/>
      </dgm:layoutNode>
      <dgm:layoutNode name="rect4" styleLbl="alignAcc1">
        <dgm:alg type="sp"/>
        <dgm:shape xmlns:r="http://schemas.openxmlformats.org/officeDocument/2006/relationships" type="rect" r:blip="">
          <dgm:adjLst/>
        </dgm:shape>
        <dgm:presOf axis="self"/>
        <dgm:constrLst/>
        <dgm:ruleLst/>
      </dgm:layoutNode>
    </dgm:forEach>
    <dgm:forEach name="Name38" axis="ch" ptType="node" st="5" cnt="1">
      <dgm:layoutNode name="vertSpace5">
        <dgm:alg type="sp"/>
        <dgm:shape xmlns:r="http://schemas.openxmlformats.org/officeDocument/2006/relationships" type="rect" r:blip="" hideGeom="1">
          <dgm:adjLst/>
        </dgm:shape>
        <dgm:presOf/>
        <dgm:constrLst/>
        <dgm:ruleLst/>
      </dgm:layoutNode>
      <dgm:layoutNode name="circle5" styleLbl="node1">
        <dgm:alg type="sp"/>
        <dgm:choose name="Name39">
          <dgm:if name="Name40" func="var" arg="dir" op="equ" val="norm">
            <dgm:shape xmlns:r="http://schemas.openxmlformats.org/officeDocument/2006/relationships" type="pie" r:blip="">
              <dgm:adjLst>
                <dgm:adj idx="1" val="90"/>
                <dgm:adj idx="2" val="270"/>
              </dgm:adjLst>
            </dgm:shape>
          </dgm:if>
          <dgm:else name="Name41">
            <dgm:shape xmlns:r="http://schemas.openxmlformats.org/officeDocument/2006/relationships" type="pie" r:blip="">
              <dgm:adjLst>
                <dgm:adj idx="1" val="270"/>
                <dgm:adj idx="2" val="90"/>
              </dgm:adjLst>
            </dgm:shape>
          </dgm:else>
        </dgm:choose>
        <dgm:presOf/>
        <dgm:constrLst/>
        <dgm:ruleLst/>
      </dgm:layoutNode>
      <dgm:layoutNode name="rect5" styleLbl="alignAcc1">
        <dgm:alg type="sp"/>
        <dgm:shape xmlns:r="http://schemas.openxmlformats.org/officeDocument/2006/relationships" type="rect" r:blip="">
          <dgm:adjLst/>
        </dgm:shape>
        <dgm:presOf axis="self"/>
        <dgm:constrLst/>
        <dgm:ruleLst/>
      </dgm:layoutNode>
    </dgm:forEach>
    <dgm:forEach name="Name42" axis="ch" ptType="node" st="6" cnt="1">
      <dgm:layoutNode name="vertSpace6">
        <dgm:alg type="sp"/>
        <dgm:shape xmlns:r="http://schemas.openxmlformats.org/officeDocument/2006/relationships" type="rect" r:blip="" hideGeom="1">
          <dgm:adjLst/>
        </dgm:shape>
        <dgm:presOf/>
        <dgm:constrLst/>
        <dgm:ruleLst/>
      </dgm:layoutNode>
      <dgm:layoutNode name="circle6" styleLbl="node1">
        <dgm:alg type="sp"/>
        <dgm:choose name="Name43">
          <dgm:if name="Name44" func="var" arg="dir" op="equ" val="norm">
            <dgm:shape xmlns:r="http://schemas.openxmlformats.org/officeDocument/2006/relationships" type="pie" r:blip="">
              <dgm:adjLst>
                <dgm:adj idx="1" val="90"/>
                <dgm:adj idx="2" val="270"/>
              </dgm:adjLst>
            </dgm:shape>
          </dgm:if>
          <dgm:else name="Name45">
            <dgm:shape xmlns:r="http://schemas.openxmlformats.org/officeDocument/2006/relationships" type="pie" r:blip="">
              <dgm:adjLst>
                <dgm:adj idx="1" val="270"/>
                <dgm:adj idx="2" val="90"/>
              </dgm:adjLst>
            </dgm:shape>
          </dgm:else>
        </dgm:choose>
        <dgm:presOf/>
        <dgm:constrLst/>
        <dgm:ruleLst/>
      </dgm:layoutNode>
      <dgm:layoutNode name="rect6" styleLbl="alignAcc1">
        <dgm:alg type="sp"/>
        <dgm:shape xmlns:r="http://schemas.openxmlformats.org/officeDocument/2006/relationships" type="rect" r:blip="">
          <dgm:adjLst/>
        </dgm:shape>
        <dgm:presOf axis="self"/>
        <dgm:constrLst/>
        <dgm:ruleLst/>
      </dgm:layoutNode>
    </dgm:forEach>
    <dgm:forEach name="Name46" axis="ch" ptType="node" st="7" cnt="1">
      <dgm:layoutNode name="vertSpace7">
        <dgm:alg type="sp"/>
        <dgm:shape xmlns:r="http://schemas.openxmlformats.org/officeDocument/2006/relationships" type="rect" r:blip="" hideGeom="1">
          <dgm:adjLst/>
        </dgm:shape>
        <dgm:presOf/>
        <dgm:constrLst/>
        <dgm:ruleLst/>
      </dgm:layoutNode>
      <dgm:layoutNode name="circle7" styleLbl="node1">
        <dgm:alg type="sp"/>
        <dgm:choose name="Name47">
          <dgm:if name="Name48" func="var" arg="dir" op="equ" val="norm">
            <dgm:shape xmlns:r="http://schemas.openxmlformats.org/officeDocument/2006/relationships" type="pie" r:blip="">
              <dgm:adjLst>
                <dgm:adj idx="1" val="90"/>
                <dgm:adj idx="2" val="270"/>
              </dgm:adjLst>
            </dgm:shape>
          </dgm:if>
          <dgm:else name="Name49">
            <dgm:shape xmlns:r="http://schemas.openxmlformats.org/officeDocument/2006/relationships" type="pie" r:blip="">
              <dgm:adjLst>
                <dgm:adj idx="1" val="270"/>
                <dgm:adj idx="2" val="90"/>
              </dgm:adjLst>
            </dgm:shape>
          </dgm:else>
        </dgm:choose>
        <dgm:presOf/>
        <dgm:constrLst/>
        <dgm:ruleLst/>
      </dgm:layoutNode>
      <dgm:layoutNode name="rect7" styleLbl="alignAcc1">
        <dgm:alg type="sp"/>
        <dgm:shape xmlns:r="http://schemas.openxmlformats.org/officeDocument/2006/relationships" type="rect" r:blip="">
          <dgm:adjLst/>
        </dgm:shape>
        <dgm:presOf axis="self"/>
        <dgm:constrLst/>
        <dgm:ruleLst/>
      </dgm:layoutNode>
    </dgm:forEach>
    <dgm:forEach name="Name50" axis="ch" ptType="node" cnt="1">
      <dgm:choose name="Name51">
        <dgm:if name="Name52" axis="root des" ptType="all node" func="maxDepth" op="gte" val="2">
          <dgm:layoutNode name="rect1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1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53">
          <dgm:layoutNode name="rect1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54" axis="ch" ptType="node" st="2" cnt="1">
      <dgm:choose name="Name55">
        <dgm:if name="Name56" axis="root des" ptType="all node" func="maxDepth" op="gte" val="2">
          <dgm:layoutNode name="rect2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2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57">
          <dgm:layoutNode name="rect2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58" axis="ch" ptType="node" st="3" cnt="1">
      <dgm:choose name="Name59">
        <dgm:if name="Name60" axis="root des" ptType="all node" func="maxDepth" op="gte" val="2">
          <dgm:layoutNode name="rect3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3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61">
          <dgm:layoutNode name="rect3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62" axis="ch" ptType="node" st="4" cnt="1">
      <dgm:choose name="Name63">
        <dgm:if name="Name64" axis="root des" ptType="all node" func="maxDepth" op="gte" val="2">
          <dgm:layoutNode name="rect4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4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65">
          <dgm:layoutNode name="rect4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66" axis="ch" ptType="node" st="5" cnt="1">
      <dgm:choose name="Name67">
        <dgm:if name="Name68" axis="root des" ptType="all node" func="maxDepth" op="gte" val="2">
          <dgm:layoutNode name="rect5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5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69">
          <dgm:layoutNode name="rect5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70" axis="ch" ptType="node" st="6" cnt="1">
      <dgm:choose name="Name71">
        <dgm:if name="Name72" axis="root des" ptType="all node" func="maxDepth" op="gte" val="2">
          <dgm:layoutNode name="rect6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6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73">
          <dgm:layoutNode name="rect6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74" axis="ch" ptType="node" st="7" cnt="1">
      <dgm:choose name="Name75">
        <dgm:if name="Name76" axis="root des" ptType="all node" func="maxDepth" op="gte" val="2">
          <dgm:layoutNode name="rect7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7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77">
          <dgm:layoutNode name="rect7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bProcess3">
  <dgm:title val=""/>
  <dgm:desc val=""/>
  <dgm:catLst>
    <dgm:cat type="process" pri="18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axis="self" func="var" arg="dir" op="equ" val="norm">
        <dgm:alg type="snake">
          <dgm:param type="grDir" val="tL"/>
          <dgm:param type="flowDir" val="row"/>
          <dgm:param type="contDir" val="sameDir"/>
          <dgm:param type="bkpt" val="endCnv"/>
        </dgm:alg>
      </dgm:if>
      <dgm:else name="Name3">
        <dgm:alg type="snake">
          <dgm:param type="grDir" val="tR"/>
          <dgm:param type="flowDir" val="row"/>
          <dgm:param type="contDir" val="sameDir"/>
          <dgm:param type="bkpt" val="endCnv"/>
        </dgm:alg>
      </dgm:else>
    </dgm:choose>
    <dgm:shape xmlns:r="http://schemas.openxmlformats.org/officeDocument/2006/relationships" r:blip="">
      <dgm:adjLst/>
    </dgm:shape>
    <dgm:presOf/>
    <dgm:constrLst>
      <dgm:constr type="w" for="ch" ptType="node" refType="w"/>
      <dgm:constr type="w" for="ch" forName="sibTrans" refType="w" refFor="ch" refPtType="node" op="equ" fact="0.23"/>
      <dgm:constr type="sp" refType="w" refFor="ch" refForName="sibTrans" op="equ"/>
      <dgm:constr type="userB" for="des" forName="connectorText" refType="sp"/>
      <dgm:constr type="primFontSz" for="ch" ptType="node" op="equ" val="65"/>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ect" r:blip="">
          <dgm:adjLst/>
        </dgm:shape>
        <dgm:presOf axis="desOrSelf" ptType="node"/>
        <dgm:constrLst>
          <dgm:constr type="h" refType="w" fact="0.6"/>
        </dgm:constrLst>
        <dgm:ruleLst>
          <dgm:rule type="primFontSz" val="5" fact="NaN" max="NaN"/>
        </dgm:ruleLst>
      </dgm:layoutNode>
      <dgm:forEach name="sibTransForEach" axis="followSib" ptType="sibTrans" cnt="1">
        <dgm:layoutNode name="sibTrans">
          <dgm:choose name="Name4">
            <dgm:if name="Name5" axis="self" func="var" arg="dir" op="equ" val="norm">
              <dgm:alg type="conn">
                <dgm:param type="connRout" val="bend"/>
                <dgm:param type="dim" val="1D"/>
                <dgm:param type="begPts" val="midR bCtr"/>
                <dgm:param type="endPts" val="midL tCtr"/>
              </dgm:alg>
            </dgm:if>
            <dgm:else name="Name6">
              <dgm:alg type="conn">
                <dgm:param type="connRout" val="bend"/>
                <dgm:param type="dim" val="1D"/>
                <dgm:param type="begPts" val="midL bCtr"/>
                <dgm:param type="endPts" val="midR tCtr"/>
              </dgm:alg>
            </dgm:else>
          </dgm:choose>
          <dgm:shape xmlns:r="http://schemas.openxmlformats.org/officeDocument/2006/relationships" type="conn" r:blip="" zOrderOff="-2">
            <dgm:adjLst/>
          </dgm:shape>
          <dgm:presOf axis="self"/>
          <dgm:constrLst>
            <dgm:constr type="begPad" val="-0.05"/>
            <dgm:constr type="endPad" val="0.9"/>
            <dgm:constr type="userA" for="ch" refType="connDist"/>
          </dgm:constrLst>
          <dgm:ruleLst/>
          <dgm:layoutNode name="connectorText">
            <dgm:alg type="tx">
              <dgm:param type="autoTxRot" val="upr"/>
            </dgm:alg>
            <dgm:shape xmlns:r="http://schemas.openxmlformats.org/officeDocument/2006/relationships" type="rect" r:blip="" hideGeom="1">
              <dgm:adjLst/>
            </dgm:shape>
            <dgm:presOf axis="self"/>
            <dgm:constrLst>
              <dgm:constr type="userA"/>
              <dgm:constr type="userB"/>
              <dgm:constr type="w" refType="userA" fact="0.05"/>
              <dgm:constr type="h" refType="userB" fact="0.01"/>
              <dgm:constr type="lMarg" val="1"/>
              <dgm:constr type="rMarg" val="1"/>
              <dgm:constr type="tMarg"/>
              <dgm:constr type="bMarg"/>
            </dgm:constrLst>
            <dgm:ruleLst>
              <dgm:rule type="w" val="NaN" fact="0.6" max="NaN"/>
              <dgm:rule type="h" val="NaN" fact="0.6" max="NaN"/>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2-08-10T00:10:11.098"/>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0 10,'0'-4,"0"-2</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8-10T00:10:35.603"/>
    </inkml:context>
    <inkml:brush xml:id="br0">
      <inkml:brushProperty name="width" value="0.05" units="cm"/>
      <inkml:brushProperty name="height" value="0.05" units="cm"/>
    </inkml:brush>
  </inkml:definitions>
  <inkml:trace contextRef="#ctx0" brushRef="#br0">-2147483648-2147483648 24575</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1-22T13:16:29.654"/>
    </inkml:context>
    <inkml:brush xml:id="br0">
      <inkml:brushProperty name="width" value="0.05" units="cm"/>
      <inkml:brushProperty name="height" value="0.05" units="cm"/>
    </inkml:brush>
  </inkml:definitions>
  <inkml:trace contextRef="#ctx0" brushRef="#br0">0 0 24575,'0'0'0</inkml:trace>
</inkml:ink>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IND09</b:Tag>
    <b:SourceType>Report</b:SourceType>
    <b:Guid>{C534F3F2-8413-406A-B096-F2A1E277046D}</b:Guid>
    <b:Author>
      <b:Author>
        <b:Corporate>INDRHI</b:Corporate>
      </b:Author>
    </b:Author>
    <b:Title>Plan Hidrológico Nacional</b:Title>
    <b:Year>2009</b:Year>
    <b:Publisher>Instituto Nacional de Recursos Hidráulicos</b:Publisher>
    <b:City>Santo Domingo</b:City>
    <b:RefOrder>49</b:RefOrder>
  </b:Source>
  <b:Source>
    <b:Tag>Ova17</b:Tag>
    <b:SourceType>Report</b:SourceType>
    <b:Guid>{AE4FB1B0-5FAE-418E-986C-0C56299C0B1B}</b:Guid>
    <b:Title>Neutralidad en la Degradación de las Tierras: Informe Línea de Base</b:Title>
    <b:Year>2017</b:Year>
    <b:Pages>37</b:Pages>
    <b:Author>
      <b:Author>
        <b:NameList>
          <b:Person>
            <b:Last>Ovalles</b:Last>
            <b:First>Pablo</b:First>
          </b:Person>
        </b:NameList>
      </b:Author>
    </b:Author>
    <b:Publisher>Ministerio de Medio Ambiente</b:Publisher>
    <b:City>Santo Domingo</b:City>
    <b:RefOrder>30</b:RefOrder>
  </b:Source>
  <b:Source>
    <b:Tag>Riv17</b:Tag>
    <b:SourceType>Report</b:SourceType>
    <b:Guid>{E486E363-FF5F-40E2-BF13-23FD6DBF6845}</b:Guid>
    <b:Title>Situación Actual de los Suelos en Republica Dominicana</b:Title>
    <b:Year>2017</b:Year>
    <b:Author>
      <b:Author>
        <b:NameList>
          <b:Person>
            <b:Last>Rivera</b:Last>
            <b:First>Rafael</b:First>
          </b:Person>
        </b:NameList>
      </b:Author>
    </b:Author>
    <b:Publisher>Ministerio de Medio Ambiente</b:Publisher>
    <b:City>Santo Domingo</b:City>
    <b:RefOrder>48</b:RefOrder>
  </b:Source>
</b:Sourc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D604C3B73AE9943B737720A48E3AF7C" ma:contentTypeVersion="13" ma:contentTypeDescription="Create a new document." ma:contentTypeScope="" ma:versionID="015b179b9a614909c32ec6600a823107">
  <xsd:schema xmlns:xsd="http://www.w3.org/2001/XMLSchema" xmlns:xs="http://www.w3.org/2001/XMLSchema" xmlns:p="http://schemas.microsoft.com/office/2006/metadata/properties" xmlns:ns3="60c75bb3-2e3f-4394-b4f4-3e2677e21dfa" xmlns:ns4="9c83b91e-5ffe-420f-9ed1-9dac5903eaec" targetNamespace="http://schemas.microsoft.com/office/2006/metadata/properties" ma:root="true" ma:fieldsID="d1be903bc2db326df854fb7bcd409634" ns3:_="" ns4:_="">
    <xsd:import namespace="60c75bb3-2e3f-4394-b4f4-3e2677e21dfa"/>
    <xsd:import namespace="9c83b91e-5ffe-420f-9ed1-9dac5903eaec"/>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c75bb3-2e3f-4394-b4f4-3e2677e21dfa"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c83b91e-5ffe-420f-9ed1-9dac5903eaec"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D80FE46-E540-4845-8874-F9E0A900EC55}">
  <ds:schemaRefs>
    <ds:schemaRef ds:uri="http://schemas.openxmlformats.org/officeDocument/2006/bibliography"/>
  </ds:schemaRefs>
</ds:datastoreItem>
</file>

<file path=customXml/itemProps2.xml><?xml version="1.0" encoding="utf-8"?>
<ds:datastoreItem xmlns:ds="http://schemas.openxmlformats.org/officeDocument/2006/customXml" ds:itemID="{212CE7FD-F70D-4417-B58C-582B81DA2DA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9A8B2E4-FDDF-43CC-822E-727B4173BD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c75bb3-2e3f-4394-b4f4-3e2677e21dfa"/>
    <ds:schemaRef ds:uri="9c83b91e-5ffe-420f-9ed1-9dac5903ea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FF699CF-A681-4877-A3F3-879CDB77820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389</Pages>
  <Words>133770</Words>
  <Characters>735739</Characters>
  <Application>Microsoft Office Word</Application>
  <DocSecurity>0</DocSecurity>
  <Lines>6131</Lines>
  <Paragraphs>1735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867774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Gabriela Díaz</dc:creator>
  <cp:keywords/>
  <dc:description/>
  <cp:lastModifiedBy>Juan Grillo</cp:lastModifiedBy>
  <cp:revision>2</cp:revision>
  <cp:lastPrinted>2019-11-07T18:11:00Z</cp:lastPrinted>
  <dcterms:created xsi:type="dcterms:W3CDTF">2025-05-19T13:36:00Z</dcterms:created>
  <dcterms:modified xsi:type="dcterms:W3CDTF">2025-05-19T13:36:00Z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0x010100FD604C3B73AE9943B737720A48E3AF7C</vt:lpwstr>
  </property>
</Properties>
</file>